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kern w:val="0"/>
          <w:sz w:val="32"/>
          <w:szCs w:val="32"/>
        </w:rPr>
      </w:pPr>
    </w:p>
    <w:p>
      <w:pPr>
        <w:jc w:val="center"/>
        <w:rPr>
          <w:rFonts w:ascii="仿宋" w:hAnsi="仿宋" w:eastAsia="仿宋"/>
          <w:kern w:val="0"/>
          <w:sz w:val="32"/>
          <w:szCs w:val="32"/>
        </w:rPr>
      </w:pPr>
    </w:p>
    <w:p>
      <w:pPr>
        <w:jc w:val="center"/>
        <w:rPr>
          <w:rFonts w:ascii="仿宋" w:hAnsi="仿宋" w:eastAsia="仿宋"/>
          <w:kern w:val="0"/>
          <w:sz w:val="32"/>
          <w:szCs w:val="32"/>
        </w:rPr>
      </w:pPr>
      <w:r>
        <w:rPr>
          <w:rFonts w:hint="eastAsia" w:ascii="仿宋" w:hAnsi="仿宋" w:eastAsia="仿宋"/>
          <w:kern w:val="0"/>
          <w:sz w:val="32"/>
          <w:szCs w:val="32"/>
        </w:rPr>
        <w:t>皖南医学院货物采购项目</w:t>
      </w:r>
    </w:p>
    <w:p>
      <w:pPr>
        <w:rPr>
          <w:rFonts w:ascii="宋体" w:hAnsi="宋体"/>
          <w:b/>
          <w:sz w:val="84"/>
          <w:szCs w:val="84"/>
        </w:rPr>
      </w:pPr>
    </w:p>
    <w:p>
      <w:pPr>
        <w:jc w:val="center"/>
        <w:rPr>
          <w:rFonts w:ascii="宋体" w:hAnsi="宋体"/>
          <w:b/>
          <w:sz w:val="84"/>
          <w:szCs w:val="84"/>
        </w:rPr>
      </w:pPr>
    </w:p>
    <w:p>
      <w:pPr>
        <w:autoSpaceDE w:val="0"/>
        <w:autoSpaceDN w:val="0"/>
        <w:adjustRightInd w:val="0"/>
        <w:snapToGrid w:val="0"/>
        <w:jc w:val="center"/>
        <w:rPr>
          <w:rFonts w:ascii="仿宋" w:hAnsi="仿宋"/>
          <w:kern w:val="0"/>
          <w:sz w:val="72"/>
          <w:szCs w:val="72"/>
        </w:rPr>
      </w:pPr>
      <w:r>
        <w:rPr>
          <w:rFonts w:hint="eastAsia" w:ascii="仿宋" w:hAnsi="仿宋"/>
          <w:kern w:val="0"/>
          <w:sz w:val="72"/>
          <w:szCs w:val="72"/>
        </w:rPr>
        <w:t>招标文件</w:t>
      </w:r>
    </w:p>
    <w:p>
      <w:pPr>
        <w:pStyle w:val="3"/>
        <w:jc w:val="center"/>
        <w:rPr>
          <w:rFonts w:ascii="宋体" w:hAnsi="宋体"/>
          <w:b w:val="0"/>
          <w:sz w:val="36"/>
          <w:szCs w:val="36"/>
        </w:rPr>
      </w:pPr>
      <w:r>
        <w:rPr>
          <w:rStyle w:val="35"/>
          <w:rFonts w:hint="eastAsia"/>
          <w:b w:val="0"/>
        </w:rPr>
        <w:t>（第一册   专用部分</w:t>
      </w:r>
      <w:r>
        <w:rPr>
          <w:rStyle w:val="35"/>
          <w:b w:val="0"/>
        </w:rPr>
        <w:t>）</w:t>
      </w: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510"/>
        <w:jc w:val="center"/>
        <w:rPr>
          <w:rFonts w:hint="default" w:ascii="宋体" w:hAnsi="宋体" w:eastAsiaTheme="minorEastAsia"/>
          <w:b/>
          <w:sz w:val="32"/>
          <w:szCs w:val="32"/>
          <w:lang w:val="en-US" w:eastAsia="zh-CN"/>
        </w:rPr>
      </w:pPr>
      <w:r>
        <w:rPr>
          <w:rFonts w:hint="eastAsia" w:ascii="宋体" w:hAnsi="宋体"/>
          <w:b/>
          <w:sz w:val="32"/>
          <w:szCs w:val="32"/>
        </w:rPr>
        <w:t>项目编号：FSKY34000120229490号</w:t>
      </w:r>
      <w:r>
        <w:rPr>
          <w:rFonts w:hint="eastAsia" w:ascii="宋体" w:hAnsi="宋体"/>
          <w:b/>
          <w:sz w:val="32"/>
          <w:szCs w:val="32"/>
          <w:lang w:val="en-US" w:eastAsia="zh-CN"/>
        </w:rPr>
        <w:t>001</w:t>
      </w:r>
    </w:p>
    <w:p>
      <w:pPr>
        <w:ind w:right="510"/>
        <w:jc w:val="center"/>
        <w:rPr>
          <w:rFonts w:ascii="宋体" w:hAnsi="宋体"/>
          <w:b/>
          <w:sz w:val="32"/>
          <w:szCs w:val="32"/>
        </w:rPr>
      </w:pPr>
    </w:p>
    <w:p>
      <w:pPr>
        <w:ind w:left="1558" w:right="510" w:hanging="1558" w:hangingChars="485"/>
        <w:jc w:val="left"/>
        <w:rPr>
          <w:rFonts w:ascii="宋体" w:hAnsi="宋体"/>
          <w:b/>
          <w:sz w:val="32"/>
          <w:szCs w:val="32"/>
        </w:rPr>
      </w:pPr>
      <w:r>
        <w:rPr>
          <w:rFonts w:hint="eastAsia" w:ascii="宋体" w:hAnsi="宋体"/>
          <w:b/>
          <w:sz w:val="32"/>
          <w:szCs w:val="32"/>
        </w:rPr>
        <w:t>项目名称：皖南医学院高水平学科创新能力提升设备采购项目(十</w:t>
      </w:r>
      <w:r>
        <w:rPr>
          <w:rFonts w:hint="eastAsia" w:ascii="宋体" w:hAnsi="宋体"/>
          <w:b/>
          <w:sz w:val="32"/>
          <w:szCs w:val="32"/>
          <w:lang w:val="en-US" w:eastAsia="zh-CN"/>
        </w:rPr>
        <w:t>四</w:t>
      </w:r>
      <w:r>
        <w:rPr>
          <w:rFonts w:hint="eastAsia" w:ascii="宋体" w:hAnsi="宋体"/>
          <w:b/>
          <w:sz w:val="32"/>
          <w:szCs w:val="32"/>
        </w:rPr>
        <w:t>)</w:t>
      </w:r>
    </w:p>
    <w:p>
      <w:pPr>
        <w:pStyle w:val="7"/>
        <w:jc w:val="center"/>
        <w:rPr>
          <w:rFonts w:ascii="宋体" w:hAnsi="宋体"/>
          <w:b/>
          <w:sz w:val="32"/>
          <w:szCs w:val="32"/>
        </w:rPr>
      </w:pPr>
    </w:p>
    <w:p>
      <w:pPr>
        <w:pStyle w:val="7"/>
        <w:jc w:val="center"/>
        <w:rPr>
          <w:rFonts w:ascii="宋体" w:hAnsi="宋体"/>
          <w:b/>
          <w:sz w:val="32"/>
          <w:szCs w:val="32"/>
        </w:rPr>
      </w:pPr>
    </w:p>
    <w:p>
      <w:pPr>
        <w:pStyle w:val="7"/>
        <w:jc w:val="center"/>
        <w:rPr>
          <w:rFonts w:ascii="宋体" w:hAnsi="宋体"/>
          <w:b/>
          <w:sz w:val="32"/>
          <w:szCs w:val="32"/>
        </w:rPr>
      </w:pPr>
    </w:p>
    <w:p>
      <w:pPr>
        <w:pStyle w:val="7"/>
        <w:jc w:val="center"/>
        <w:rPr>
          <w:rFonts w:ascii="宋体" w:hAnsi="宋体"/>
          <w:b/>
          <w:sz w:val="32"/>
          <w:szCs w:val="32"/>
        </w:rPr>
      </w:pPr>
    </w:p>
    <w:p>
      <w:pPr>
        <w:pStyle w:val="7"/>
        <w:jc w:val="center"/>
        <w:rPr>
          <w:rFonts w:ascii="宋体" w:hAnsi="宋体"/>
          <w:b/>
          <w:sz w:val="32"/>
          <w:szCs w:val="32"/>
        </w:rPr>
      </w:pPr>
    </w:p>
    <w:p>
      <w:pPr>
        <w:pStyle w:val="7"/>
        <w:jc w:val="center"/>
        <w:rPr>
          <w:rFonts w:ascii="宋体" w:hAnsi="宋体"/>
          <w:b/>
          <w:sz w:val="32"/>
          <w:szCs w:val="32"/>
        </w:rPr>
      </w:pPr>
      <w:r>
        <w:rPr>
          <w:rFonts w:hint="eastAsia" w:ascii="宋体" w:hAnsi="宋体"/>
          <w:b/>
          <w:sz w:val="32"/>
          <w:szCs w:val="32"/>
        </w:rPr>
        <w:t>采购人：皖南医学院</w:t>
      </w:r>
    </w:p>
    <w:p>
      <w:pPr>
        <w:jc w:val="center"/>
        <w:rPr>
          <w:rFonts w:ascii="宋体" w:hAnsi="宋体"/>
          <w:b/>
          <w:sz w:val="36"/>
          <w:szCs w:val="36"/>
        </w:rPr>
      </w:pPr>
      <w:r>
        <w:rPr>
          <w:rFonts w:hint="eastAsia" w:ascii="宋体" w:hAnsi="宋体"/>
          <w:b/>
          <w:sz w:val="32"/>
          <w:szCs w:val="32"/>
        </w:rPr>
        <w:t>代理机构：安徽安兆工程技术咨询服务有限公司</w:t>
      </w:r>
    </w:p>
    <w:p>
      <w:pPr>
        <w:jc w:val="center"/>
        <w:rPr>
          <w:rFonts w:ascii="宋体" w:hAnsi="宋体"/>
          <w:b/>
          <w:sz w:val="36"/>
          <w:szCs w:val="36"/>
        </w:rPr>
      </w:pPr>
    </w:p>
    <w:p>
      <w:pPr>
        <w:jc w:val="center"/>
      </w:pPr>
      <w:r>
        <w:rPr>
          <w:rFonts w:hint="eastAsia" w:ascii="宋体" w:hAnsi="宋体"/>
          <w:b/>
          <w:sz w:val="32"/>
          <w:szCs w:val="32"/>
        </w:rPr>
        <w:t>2022年11月</w:t>
      </w:r>
      <w:r>
        <w:rPr>
          <w:rFonts w:hint="eastAsia" w:ascii="宋体" w:hAnsi="宋体"/>
          <w:b/>
          <w:sz w:val="32"/>
          <w:szCs w:val="32"/>
          <w:lang w:val="en-US" w:eastAsia="zh-CN"/>
        </w:rPr>
        <w:t>14</w:t>
      </w:r>
      <w:r>
        <w:rPr>
          <w:rFonts w:hint="eastAsia" w:ascii="宋体" w:hAnsi="宋体"/>
          <w:b/>
          <w:sz w:val="32"/>
          <w:szCs w:val="32"/>
        </w:rPr>
        <w:t>日</w:t>
      </w:r>
    </w:p>
    <w:p/>
    <w:p>
      <w:pPr>
        <w:pStyle w:val="4"/>
        <w:spacing w:beforeAutospacing="0" w:afterAutospacing="0" w:line="500" w:lineRule="exact"/>
        <w:jc w:val="center"/>
        <w:sectPr>
          <w:footerReference r:id="rId3" w:type="default"/>
          <w:pgSz w:w="11907" w:h="16840"/>
          <w:pgMar w:top="1440" w:right="1800" w:bottom="1276" w:left="1800" w:header="851" w:footer="851" w:gutter="0"/>
          <w:pgNumType w:start="0"/>
          <w:cols w:space="720" w:num="1"/>
          <w:docGrid w:linePitch="312" w:charSpace="0"/>
        </w:sectPr>
      </w:pPr>
    </w:p>
    <w:p>
      <w:pPr>
        <w:pStyle w:val="4"/>
        <w:spacing w:beforeAutospacing="0" w:afterAutospacing="0" w:line="500" w:lineRule="exact"/>
        <w:jc w:val="center"/>
      </w:pPr>
      <w:r>
        <w:rPr>
          <w:rFonts w:hint="eastAsia"/>
        </w:rPr>
        <w:t>招标文件目录</w:t>
      </w:r>
    </w:p>
    <w:tbl>
      <w:tblPr>
        <w:tblStyle w:val="19"/>
        <w:tblW w:w="0" w:type="auto"/>
        <w:jc w:val="center"/>
        <w:tblLayout w:type="fixed"/>
        <w:tblCellMar>
          <w:top w:w="0" w:type="dxa"/>
          <w:left w:w="108" w:type="dxa"/>
          <w:bottom w:w="0" w:type="dxa"/>
          <w:right w:w="108" w:type="dxa"/>
        </w:tblCellMar>
      </w:tblPr>
      <w:tblGrid>
        <w:gridCol w:w="1418"/>
        <w:gridCol w:w="7825"/>
      </w:tblGrid>
      <w:tr>
        <w:tblPrEx>
          <w:tblCellMar>
            <w:top w:w="0" w:type="dxa"/>
            <w:left w:w="108" w:type="dxa"/>
            <w:bottom w:w="0" w:type="dxa"/>
            <w:right w:w="108" w:type="dxa"/>
          </w:tblCellMar>
        </w:tblPrEx>
        <w:trPr>
          <w:trHeight w:val="270" w:hRule="atLeast"/>
          <w:jc w:val="center"/>
        </w:trPr>
        <w:tc>
          <w:tcPr>
            <w:tcW w:w="1418" w:type="dxa"/>
            <w:vAlign w:val="center"/>
          </w:tcPr>
          <w:p>
            <w:pPr>
              <w:spacing w:beforeAutospacing="0" w:afterAutospacing="0" w:line="360" w:lineRule="auto"/>
              <w:rPr>
                <w:rFonts w:ascii="宋体" w:hAnsi="宋体"/>
              </w:rPr>
            </w:pPr>
          </w:p>
        </w:tc>
        <w:tc>
          <w:tcPr>
            <w:tcW w:w="7825" w:type="dxa"/>
            <w:vAlign w:val="center"/>
          </w:tcPr>
          <w:p>
            <w:pPr>
              <w:spacing w:beforeAutospacing="0" w:afterAutospacing="0" w:line="360" w:lineRule="auto"/>
              <w:rPr>
                <w:rFonts w:ascii="宋体" w:hAnsi="宋体"/>
                <w:b/>
                <w:sz w:val="30"/>
                <w:szCs w:val="30"/>
              </w:rPr>
            </w:pPr>
            <w:r>
              <w:rPr>
                <w:rFonts w:hint="eastAsia" w:ascii="宋体" w:hAnsi="宋体"/>
                <w:b/>
                <w:sz w:val="30"/>
                <w:szCs w:val="30"/>
              </w:rPr>
              <w:t>第一册  招标文件专用部分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第一章</w:t>
            </w:r>
          </w:p>
        </w:tc>
        <w:tc>
          <w:tcPr>
            <w:tcW w:w="7825" w:type="dxa"/>
            <w:vAlign w:val="center"/>
          </w:tcPr>
          <w:p>
            <w:pPr>
              <w:pStyle w:val="7"/>
              <w:rPr>
                <w:rFonts w:ascii="宋体" w:hAnsi="宋体"/>
                <w:b/>
                <w:sz w:val="28"/>
                <w:szCs w:val="28"/>
              </w:rPr>
            </w:pPr>
            <w:r>
              <w:rPr>
                <w:rFonts w:hint="eastAsia" w:ascii="宋体" w:hAnsi="宋体"/>
                <w:b/>
                <w:sz w:val="28"/>
                <w:szCs w:val="28"/>
              </w:rPr>
              <w:t>招标公告</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第二章</w:t>
            </w:r>
          </w:p>
        </w:tc>
        <w:tc>
          <w:tcPr>
            <w:tcW w:w="7825"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 xml:space="preserve">供应商须知前附表 </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第三章</w:t>
            </w:r>
          </w:p>
        </w:tc>
        <w:tc>
          <w:tcPr>
            <w:tcW w:w="7825"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合同条款前附表</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第四章</w:t>
            </w:r>
          </w:p>
        </w:tc>
        <w:tc>
          <w:tcPr>
            <w:tcW w:w="7825"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采购需求（含图纸资料）</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第五章</w:t>
            </w:r>
          </w:p>
        </w:tc>
        <w:tc>
          <w:tcPr>
            <w:tcW w:w="7825"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评标办法及评分规则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b/>
              </w:rPr>
            </w:pPr>
          </w:p>
        </w:tc>
        <w:tc>
          <w:tcPr>
            <w:tcW w:w="7825" w:type="dxa"/>
            <w:vAlign w:val="center"/>
          </w:tcPr>
          <w:p>
            <w:pPr>
              <w:spacing w:beforeAutospacing="0" w:afterAutospacing="0" w:line="360" w:lineRule="auto"/>
              <w:rPr>
                <w:rFonts w:ascii="宋体" w:hAnsi="宋体"/>
                <w:b/>
              </w:rPr>
            </w:pPr>
            <w:r>
              <w:rPr>
                <w:rFonts w:hint="eastAsia" w:ascii="宋体" w:hAnsi="宋体"/>
                <w:b/>
                <w:sz w:val="30"/>
                <w:szCs w:val="30"/>
              </w:rPr>
              <w:t>第二册  招标文件通用部分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第一章</w:t>
            </w:r>
          </w:p>
        </w:tc>
        <w:tc>
          <w:tcPr>
            <w:tcW w:w="7825"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供应商须知</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 资金来源</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2 招标文件内容</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3 对供应商的要求</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4 招标文件的澄清和修改</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5 投标文件的组成</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6 投标函</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7 投标报价</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8 投标有效期</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9 投标文件的编制与提交</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 xml:space="preserve">10 拒收标书 </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11 偏离</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12无效投标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13 履约保证金</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14 开标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15 评标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16 定标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17 合同的授予和签订</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18 质疑与投诉</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19 验收</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20 合同标的转让与分包</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21 价款结算办法</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sz w:val="28"/>
                <w:szCs w:val="28"/>
              </w:rPr>
            </w:pPr>
          </w:p>
        </w:tc>
        <w:tc>
          <w:tcPr>
            <w:tcW w:w="7825" w:type="dxa"/>
            <w:vAlign w:val="center"/>
          </w:tcPr>
          <w:p>
            <w:pPr>
              <w:spacing w:beforeAutospacing="0" w:afterAutospacing="0" w:line="360" w:lineRule="auto"/>
              <w:rPr>
                <w:rFonts w:ascii="宋体" w:hAnsi="宋体"/>
                <w:sz w:val="28"/>
                <w:szCs w:val="28"/>
              </w:rPr>
            </w:pPr>
            <w:r>
              <w:rPr>
                <w:rFonts w:hint="eastAsia" w:ascii="宋体" w:hAnsi="宋体"/>
                <w:sz w:val="28"/>
                <w:szCs w:val="28"/>
              </w:rPr>
              <w:t>22 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第二章</w:t>
            </w:r>
          </w:p>
        </w:tc>
        <w:tc>
          <w:tcPr>
            <w:tcW w:w="7825"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采购合同</w:t>
            </w:r>
          </w:p>
        </w:tc>
      </w:tr>
      <w:tr>
        <w:tblPrEx>
          <w:tblCellMar>
            <w:top w:w="0" w:type="dxa"/>
            <w:left w:w="108" w:type="dxa"/>
            <w:bottom w:w="0" w:type="dxa"/>
            <w:right w:w="108" w:type="dxa"/>
          </w:tblCellMar>
        </w:tblPrEx>
        <w:trPr>
          <w:trHeight w:val="105" w:hRule="atLeast"/>
          <w:jc w:val="center"/>
        </w:trPr>
        <w:tc>
          <w:tcPr>
            <w:tcW w:w="1418"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第三章</w:t>
            </w:r>
          </w:p>
        </w:tc>
        <w:tc>
          <w:tcPr>
            <w:tcW w:w="7825" w:type="dxa"/>
            <w:vAlign w:val="center"/>
          </w:tcPr>
          <w:p>
            <w:pPr>
              <w:spacing w:beforeAutospacing="0" w:afterAutospacing="0" w:line="360" w:lineRule="auto"/>
              <w:rPr>
                <w:rFonts w:ascii="宋体" w:hAnsi="宋体"/>
                <w:b/>
                <w:sz w:val="28"/>
                <w:szCs w:val="28"/>
              </w:rPr>
            </w:pPr>
            <w:r>
              <w:rPr>
                <w:rFonts w:hint="eastAsia" w:ascii="宋体" w:hAnsi="宋体"/>
                <w:b/>
                <w:sz w:val="28"/>
                <w:szCs w:val="28"/>
              </w:rPr>
              <w:t>投标文件格式</w:t>
            </w:r>
          </w:p>
        </w:tc>
      </w:tr>
    </w:tbl>
    <w:p/>
    <w:p/>
    <w:p/>
    <w:p/>
    <w:p/>
    <w:p>
      <w:pPr>
        <w:pStyle w:val="4"/>
        <w:spacing w:beforeAutospacing="0" w:afterAutospacing="0" w:line="500" w:lineRule="exact"/>
        <w:jc w:val="center"/>
      </w:pPr>
      <w:r>
        <w:br w:type="page"/>
      </w:r>
      <w:r>
        <w:rPr>
          <w:rFonts w:hint="eastAsia"/>
        </w:rPr>
        <w:t>第一章  招标公告</w:t>
      </w:r>
    </w:p>
    <w:p>
      <w:pPr>
        <w:spacing w:beforeAutospacing="0" w:afterAutospacing="0" w:line="360" w:lineRule="auto"/>
        <w:jc w:val="center"/>
        <w:rPr>
          <w:rFonts w:hint="eastAsia" w:ascii="宋体" w:hAnsi="宋体" w:eastAsia="宋体"/>
          <w:b/>
          <w:sz w:val="32"/>
          <w:szCs w:val="32"/>
          <w:lang w:eastAsia="zh-CN"/>
        </w:rPr>
      </w:pPr>
      <w:r>
        <w:rPr>
          <w:rFonts w:hint="eastAsia" w:ascii="宋体" w:hAnsi="宋体"/>
          <w:b/>
          <w:sz w:val="32"/>
          <w:szCs w:val="32"/>
        </w:rPr>
        <w:t>皖南医学院高水平学科创新能力提升设备采购</w:t>
      </w:r>
      <w:r>
        <w:rPr>
          <w:rFonts w:hint="eastAsia" w:ascii="宋体" w:hAnsi="宋体"/>
          <w:b/>
          <w:sz w:val="32"/>
          <w:szCs w:val="32"/>
          <w:lang w:eastAsia="zh-CN"/>
        </w:rPr>
        <w:t>项目(十四）</w:t>
      </w:r>
    </w:p>
    <w:p>
      <w:pPr>
        <w:spacing w:beforeAutospacing="0" w:afterAutospacing="0" w:line="360" w:lineRule="auto"/>
        <w:jc w:val="center"/>
        <w:rPr>
          <w:rFonts w:ascii="宋体" w:hAnsi="宋体"/>
          <w:b/>
          <w:sz w:val="32"/>
          <w:szCs w:val="32"/>
        </w:rPr>
      </w:pPr>
      <w:r>
        <w:rPr>
          <w:rFonts w:hint="eastAsia" w:ascii="宋体" w:hAnsi="宋体"/>
          <w:b/>
          <w:sz w:val="32"/>
          <w:szCs w:val="32"/>
        </w:rPr>
        <w:t>公开招标公告</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rPr>
      </w:pPr>
      <w:r>
        <w:rPr>
          <w:rFonts w:asciiTheme="minorEastAsia" w:hAnsiTheme="minorEastAsia" w:eastAsiaTheme="minorEastAsia"/>
          <w:b/>
          <w:bCs/>
          <w:sz w:val="22"/>
        </w:rPr>
        <w:t>项目概况</w:t>
      </w:r>
    </w:p>
    <w:p>
      <w:pPr>
        <w:pBdr>
          <w:top w:val="single" w:color="auto" w:sz="4" w:space="1"/>
          <w:left w:val="single" w:color="auto" w:sz="4" w:space="4"/>
          <w:bottom w:val="single" w:color="auto" w:sz="4" w:space="0"/>
          <w:right w:val="single" w:color="auto" w:sz="4" w:space="4"/>
        </w:pBdr>
        <w:snapToGrid w:val="0"/>
        <w:spacing w:beforeAutospacing="0" w:afterAutospacing="0" w:line="360" w:lineRule="auto"/>
        <w:ind w:firstLine="440" w:firstLineChars="200"/>
        <w:contextualSpacing/>
        <w:rPr>
          <w:rFonts w:asciiTheme="minorEastAsia" w:hAnsiTheme="minorEastAsia" w:eastAsiaTheme="minorEastAsia"/>
          <w:b/>
          <w:bCs/>
          <w:sz w:val="22"/>
        </w:rPr>
      </w:pPr>
      <w:r>
        <w:rPr>
          <w:rFonts w:hint="eastAsia"/>
          <w:sz w:val="22"/>
          <w:szCs w:val="24"/>
        </w:rPr>
        <w:t>皖南医学院高水平学科创新能力提升设备采购</w:t>
      </w:r>
      <w:r>
        <w:rPr>
          <w:rFonts w:hint="eastAsia"/>
          <w:sz w:val="22"/>
          <w:szCs w:val="24"/>
          <w:lang w:eastAsia="zh-CN"/>
        </w:rPr>
        <w:t>项目(十四）</w:t>
      </w:r>
      <w:r>
        <w:rPr>
          <w:rFonts w:hint="eastAsia" w:asciiTheme="minorEastAsia" w:hAnsiTheme="minorEastAsia" w:eastAsiaTheme="minorEastAsia"/>
          <w:sz w:val="22"/>
        </w:rPr>
        <w:t>的潜在投标人应按公告约定的方式获取招标文件，并于2022年12月</w:t>
      </w:r>
      <w:r>
        <w:rPr>
          <w:rFonts w:hint="eastAsia" w:asciiTheme="minorEastAsia" w:hAnsiTheme="minorEastAsia"/>
          <w:sz w:val="22"/>
          <w:lang w:val="en-US" w:eastAsia="zh-CN"/>
        </w:rPr>
        <w:t>6</w:t>
      </w:r>
      <w:r>
        <w:rPr>
          <w:rFonts w:hint="eastAsia" w:asciiTheme="minorEastAsia" w:hAnsiTheme="minorEastAsia" w:eastAsiaTheme="minorEastAsia"/>
          <w:sz w:val="22"/>
        </w:rPr>
        <w:t>日 9:</w:t>
      </w:r>
      <w:r>
        <w:rPr>
          <w:rFonts w:hint="eastAsia" w:asciiTheme="minorEastAsia" w:hAnsiTheme="minorEastAsia"/>
          <w:sz w:val="22"/>
          <w:lang w:val="en-US" w:eastAsia="zh-CN"/>
        </w:rPr>
        <w:t>30</w:t>
      </w:r>
      <w:r>
        <w:rPr>
          <w:rFonts w:hint="eastAsia" w:asciiTheme="minorEastAsia" w:hAnsiTheme="minorEastAsia" w:eastAsiaTheme="minorEastAsia"/>
          <w:bCs/>
          <w:sz w:val="22"/>
        </w:rPr>
        <w:t>（北京时间）前递交投标</w:t>
      </w:r>
      <w:r>
        <w:rPr>
          <w:rFonts w:asciiTheme="minorEastAsia" w:hAnsiTheme="minorEastAsia" w:eastAsiaTheme="minorEastAsia"/>
          <w:bCs/>
          <w:sz w:val="22"/>
        </w:rPr>
        <w:t>文件</w:t>
      </w:r>
      <w:r>
        <w:rPr>
          <w:rFonts w:hint="eastAsia" w:asciiTheme="minorEastAsia" w:hAnsiTheme="minorEastAsia" w:eastAsiaTheme="minorEastAsia"/>
          <w:sz w:val="22"/>
        </w:rPr>
        <w:t>。</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rPr>
      </w:pPr>
      <w:r>
        <w:rPr>
          <w:rFonts w:asciiTheme="minorEastAsia" w:hAnsiTheme="minorEastAsia" w:eastAsiaTheme="minorEastAsia"/>
          <w:b/>
          <w:bCs/>
          <w:sz w:val="22"/>
        </w:rPr>
        <w:t>一、项目基本情况</w:t>
      </w:r>
    </w:p>
    <w:p>
      <w:pPr>
        <w:snapToGrid w:val="0"/>
        <w:spacing w:beforeAutospacing="0" w:afterAutospacing="0" w:line="360" w:lineRule="auto"/>
        <w:ind w:firstLine="444" w:firstLineChars="202"/>
        <w:contextualSpacing/>
        <w:rPr>
          <w:rFonts w:hint="default" w:asciiTheme="minorEastAsia" w:hAnsiTheme="minorEastAsia" w:eastAsiaTheme="minorEastAsia"/>
          <w:sz w:val="22"/>
          <w:lang w:val="en-US" w:eastAsia="zh-CN"/>
        </w:rPr>
      </w:pPr>
      <w:r>
        <w:rPr>
          <w:rFonts w:hint="eastAsia" w:asciiTheme="minorEastAsia" w:hAnsiTheme="minorEastAsia" w:eastAsiaTheme="minorEastAsia"/>
          <w:sz w:val="22"/>
        </w:rPr>
        <w:t>1.项目编号：FSKY34000120229490号</w:t>
      </w:r>
      <w:r>
        <w:rPr>
          <w:rFonts w:hint="eastAsia" w:asciiTheme="minorEastAsia" w:hAnsiTheme="minorEastAsia"/>
          <w:sz w:val="22"/>
          <w:lang w:val="en-US" w:eastAsia="zh-CN"/>
        </w:rPr>
        <w:t>001</w:t>
      </w:r>
    </w:p>
    <w:p>
      <w:pPr>
        <w:snapToGrid w:val="0"/>
        <w:spacing w:beforeAutospacing="0" w:afterAutospacing="0" w:line="360" w:lineRule="auto"/>
        <w:ind w:firstLine="444" w:firstLineChars="202"/>
        <w:contextualSpacing/>
        <w:rPr>
          <w:rFonts w:hint="eastAsia" w:eastAsia="宋体" w:asciiTheme="minorEastAsia" w:hAnsiTheme="minorEastAsia"/>
          <w:sz w:val="22"/>
          <w:lang w:eastAsia="zh-CN"/>
        </w:rPr>
      </w:pPr>
      <w:r>
        <w:rPr>
          <w:rFonts w:hint="eastAsia" w:asciiTheme="minorEastAsia" w:hAnsiTheme="minorEastAsia" w:eastAsiaTheme="minorEastAsia"/>
          <w:sz w:val="22"/>
        </w:rPr>
        <w:t>2.项目名称：</w:t>
      </w:r>
      <w:r>
        <w:rPr>
          <w:rFonts w:hint="eastAsia"/>
          <w:sz w:val="22"/>
          <w:szCs w:val="24"/>
        </w:rPr>
        <w:t>皖南医学院高水平学科创新能力提升设备采购</w:t>
      </w:r>
      <w:r>
        <w:rPr>
          <w:rFonts w:hint="eastAsia"/>
          <w:sz w:val="22"/>
          <w:szCs w:val="24"/>
          <w:lang w:eastAsia="zh-CN"/>
        </w:rPr>
        <w:t>项目(十四）</w:t>
      </w:r>
    </w:p>
    <w:p>
      <w:pPr>
        <w:snapToGrid w:val="0"/>
        <w:spacing w:beforeAutospacing="0" w:afterAutospacing="0" w:line="360" w:lineRule="auto"/>
        <w:ind w:firstLine="444" w:firstLineChars="202"/>
        <w:contextualSpacing/>
        <w:rPr>
          <w:rFonts w:asciiTheme="minorEastAsia" w:hAnsiTheme="minorEastAsia" w:eastAsiaTheme="minorEastAsia"/>
          <w:sz w:val="22"/>
        </w:rPr>
      </w:pPr>
      <w:r>
        <w:rPr>
          <w:rFonts w:hint="eastAsia" w:asciiTheme="minorEastAsia" w:hAnsiTheme="minorEastAsia" w:eastAsiaTheme="minorEastAsia"/>
          <w:sz w:val="22"/>
        </w:rPr>
        <w:t>3.预算金额：4500000元</w:t>
      </w:r>
    </w:p>
    <w:p>
      <w:pPr>
        <w:snapToGrid w:val="0"/>
        <w:spacing w:beforeAutospacing="0" w:afterAutospacing="0" w:line="360" w:lineRule="auto"/>
        <w:ind w:firstLine="444" w:firstLineChars="202"/>
        <w:contextualSpacing/>
        <w:rPr>
          <w:rFonts w:asciiTheme="minorEastAsia" w:hAnsiTheme="minorEastAsia" w:eastAsiaTheme="minorEastAsia"/>
          <w:sz w:val="22"/>
        </w:rPr>
      </w:pPr>
      <w:r>
        <w:rPr>
          <w:rFonts w:hint="eastAsia" w:asciiTheme="minorEastAsia" w:hAnsiTheme="minorEastAsia" w:eastAsiaTheme="minorEastAsia"/>
          <w:sz w:val="22"/>
        </w:rPr>
        <w:t>4.最高限价：4500000元</w:t>
      </w:r>
    </w:p>
    <w:p>
      <w:pPr>
        <w:snapToGrid w:val="0"/>
        <w:spacing w:beforeAutospacing="0" w:afterAutospacing="0" w:line="360" w:lineRule="auto"/>
        <w:ind w:firstLine="444" w:firstLineChars="202"/>
        <w:contextualSpacing/>
        <w:rPr>
          <w:rFonts w:asciiTheme="minorEastAsia" w:hAnsiTheme="minorEastAsia" w:eastAsiaTheme="minorEastAsia"/>
          <w:sz w:val="22"/>
        </w:rPr>
      </w:pPr>
      <w:r>
        <w:rPr>
          <w:rFonts w:hint="eastAsia" w:asciiTheme="minorEastAsia" w:hAnsiTheme="minorEastAsia" w:eastAsiaTheme="minorEastAsia"/>
          <w:sz w:val="22"/>
        </w:rPr>
        <w:t>5.采购需求：</w:t>
      </w:r>
      <w:r>
        <w:rPr>
          <w:rFonts w:asciiTheme="minorEastAsia" w:hAnsiTheme="minorEastAsia" w:eastAsiaTheme="minorEastAsia"/>
          <w:sz w:val="22"/>
        </w:rPr>
        <w:t>岛津气质联用专用自动进样器（150位）</w:t>
      </w:r>
      <w:r>
        <w:rPr>
          <w:rFonts w:hint="eastAsia" w:asciiTheme="minorEastAsia" w:hAnsiTheme="minorEastAsia" w:eastAsiaTheme="minorEastAsia"/>
          <w:sz w:val="22"/>
        </w:rPr>
        <w:t>、岛津气质联用专用数据库、紫外分光光度计、高速冷冻离心机、冷冻研磨仪、液相色谱串联质谱仪、气相色谱质谱联用仪等。（详见采购文件）</w:t>
      </w:r>
    </w:p>
    <w:p>
      <w:pPr>
        <w:snapToGrid w:val="0"/>
        <w:spacing w:beforeAutospacing="0" w:afterAutospacing="0" w:line="360" w:lineRule="auto"/>
        <w:ind w:firstLine="444" w:firstLineChars="202"/>
        <w:contextualSpacing/>
        <w:rPr>
          <w:rFonts w:asciiTheme="minorEastAsia" w:hAnsiTheme="minorEastAsia" w:eastAsiaTheme="minorEastAsia"/>
          <w:sz w:val="22"/>
        </w:rPr>
      </w:pPr>
      <w:r>
        <w:rPr>
          <w:rFonts w:hint="eastAsia" w:asciiTheme="minorEastAsia" w:hAnsiTheme="minorEastAsia" w:eastAsiaTheme="minorEastAsia"/>
          <w:sz w:val="22"/>
        </w:rPr>
        <w:t>6.合同履行期限：</w:t>
      </w:r>
      <w:r>
        <w:rPr>
          <w:rFonts w:hint="eastAsia"/>
          <w:sz w:val="22"/>
          <w:lang w:val="en-US" w:eastAsia="zh-CN"/>
        </w:rPr>
        <w:t>合同签订后10个</w:t>
      </w:r>
      <w:r>
        <w:rPr>
          <w:rFonts w:hint="eastAsia" w:eastAsiaTheme="minorEastAsia"/>
          <w:sz w:val="22"/>
        </w:rPr>
        <w:t>日历天</w:t>
      </w:r>
      <w:r>
        <w:rPr>
          <w:rFonts w:hint="eastAsia"/>
          <w:sz w:val="22"/>
        </w:rPr>
        <w:t>。</w:t>
      </w:r>
    </w:p>
    <w:p>
      <w:pPr>
        <w:snapToGrid w:val="0"/>
        <w:spacing w:beforeAutospacing="0" w:afterAutospacing="0" w:line="360" w:lineRule="auto"/>
        <w:ind w:firstLine="444" w:firstLineChars="202"/>
        <w:contextualSpacing/>
        <w:rPr>
          <w:rFonts w:asciiTheme="minorEastAsia" w:hAnsiTheme="minorEastAsia" w:eastAsiaTheme="minorEastAsia"/>
          <w:sz w:val="22"/>
        </w:rPr>
      </w:pPr>
      <w:r>
        <w:rPr>
          <w:rFonts w:hint="eastAsia" w:asciiTheme="minorEastAsia" w:hAnsiTheme="minorEastAsia" w:eastAsiaTheme="minorEastAsia"/>
          <w:sz w:val="22"/>
        </w:rPr>
        <w:t>7.本项目不接受联合体投标。</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rPr>
      </w:pPr>
      <w:r>
        <w:rPr>
          <w:rFonts w:asciiTheme="minorEastAsia" w:hAnsiTheme="minorEastAsia" w:eastAsiaTheme="minorEastAsia"/>
          <w:b/>
          <w:bCs/>
          <w:sz w:val="22"/>
        </w:rPr>
        <w:t>二、申请人的资格要求</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rPr>
      </w:pPr>
      <w:r>
        <w:rPr>
          <w:rFonts w:asciiTheme="minorEastAsia" w:hAnsiTheme="minorEastAsia" w:eastAsiaTheme="minorEastAsia"/>
          <w:sz w:val="22"/>
        </w:rPr>
        <w:t>1.满足《中华人民共和国政府采购法》第二十二条规定。</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rPr>
      </w:pPr>
      <w:r>
        <w:rPr>
          <w:rFonts w:asciiTheme="minorEastAsia" w:hAnsiTheme="minorEastAsia" w:eastAsiaTheme="minorEastAsia"/>
          <w:sz w:val="22"/>
        </w:rPr>
        <w:t>2.落实政府采购政策需满足的资格要求：无。</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rPr>
      </w:pPr>
      <w:r>
        <w:rPr>
          <w:rFonts w:asciiTheme="minorEastAsia" w:hAnsiTheme="minorEastAsia" w:eastAsiaTheme="minorEastAsia"/>
          <w:sz w:val="22"/>
        </w:rPr>
        <w:t>3.本项目的特定资格要求：无。</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rPr>
      </w:pPr>
      <w:r>
        <w:rPr>
          <w:rFonts w:asciiTheme="minorEastAsia" w:hAnsiTheme="minorEastAsia" w:eastAsiaTheme="minorEastAsia"/>
          <w:b/>
          <w:bCs/>
          <w:sz w:val="22"/>
        </w:rPr>
        <w:t>三、获取招标文件</w:t>
      </w:r>
    </w:p>
    <w:p>
      <w:pPr>
        <w:pStyle w:val="15"/>
        <w:shd w:val="clear" w:color="auto" w:fill="FFFFFF"/>
        <w:spacing w:before="0" w:beforeAutospacing="0" w:after="0" w:afterAutospacing="0" w:line="360" w:lineRule="auto"/>
        <w:ind w:firstLine="389" w:firstLineChars="177"/>
        <w:contextualSpacing/>
        <w:jc w:val="both"/>
        <w:rPr>
          <w:rFonts w:hint="default" w:cs="宋体" w:asciiTheme="minorEastAsia" w:hAnsiTheme="minorEastAsia" w:eastAsiaTheme="minorEastAsia"/>
          <w:sz w:val="22"/>
        </w:rPr>
      </w:pPr>
      <w:r>
        <w:rPr>
          <w:rFonts w:asciiTheme="minorEastAsia" w:hAnsiTheme="minorEastAsia" w:eastAsiaTheme="minorEastAsia"/>
          <w:sz w:val="22"/>
        </w:rPr>
        <w:t>1.时间</w:t>
      </w:r>
      <w:r>
        <w:rPr>
          <w:rFonts w:cs="宋体" w:asciiTheme="minorEastAsia" w:hAnsiTheme="minorEastAsia" w:eastAsiaTheme="minorEastAsia"/>
          <w:sz w:val="22"/>
        </w:rPr>
        <w:t>：2022年11月</w:t>
      </w:r>
      <w:r>
        <w:rPr>
          <w:rFonts w:hint="eastAsia" w:cs="宋体" w:asciiTheme="minorEastAsia" w:hAnsiTheme="minorEastAsia"/>
          <w:sz w:val="22"/>
          <w:lang w:val="en-US" w:eastAsia="zh-CN"/>
        </w:rPr>
        <w:t>15</w:t>
      </w:r>
      <w:r>
        <w:rPr>
          <w:rFonts w:cs="宋体" w:asciiTheme="minorEastAsia" w:hAnsiTheme="minorEastAsia" w:eastAsiaTheme="minorEastAsia"/>
          <w:sz w:val="22"/>
        </w:rPr>
        <w:t>日至2022年11月</w:t>
      </w:r>
      <w:r>
        <w:rPr>
          <w:rFonts w:hint="eastAsia" w:cs="宋体" w:asciiTheme="minorEastAsia" w:hAnsiTheme="minorEastAsia"/>
          <w:sz w:val="22"/>
          <w:lang w:val="en-US" w:eastAsia="zh-CN"/>
        </w:rPr>
        <w:t>23</w:t>
      </w:r>
      <w:r>
        <w:rPr>
          <w:rFonts w:cs="宋体" w:asciiTheme="minorEastAsia" w:hAnsiTheme="minorEastAsia" w:eastAsiaTheme="minorEastAsia"/>
          <w:sz w:val="22"/>
        </w:rPr>
        <w:t>日，每天上午08:00至18:00（北京时间，法定节假日除外）</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rPr>
      </w:pPr>
      <w:r>
        <w:rPr>
          <w:rFonts w:asciiTheme="minorEastAsia" w:hAnsiTheme="minorEastAsia" w:eastAsiaTheme="minorEastAsia"/>
          <w:sz w:val="22"/>
        </w:rPr>
        <w:t>2.地点：</w:t>
      </w:r>
      <w:r>
        <w:rPr>
          <w:rFonts w:hint="eastAsia" w:asciiTheme="minorEastAsia" w:hAnsiTheme="minorEastAsia" w:eastAsiaTheme="minorEastAsia"/>
          <w:sz w:val="22"/>
        </w:rPr>
        <w:t>按公告约定的方式</w:t>
      </w:r>
    </w:p>
    <w:p>
      <w:pPr>
        <w:pStyle w:val="37"/>
        <w:snapToGrid w:val="0"/>
        <w:spacing w:beforeAutospacing="0" w:afterAutospacing="0" w:line="360" w:lineRule="auto"/>
        <w:ind w:firstLine="444" w:firstLineChars="202"/>
        <w:contextualSpacing/>
        <w:rPr>
          <w:rFonts w:asciiTheme="minorEastAsia" w:hAnsiTheme="minorEastAsia" w:eastAsiaTheme="minorEastAsia"/>
          <w:sz w:val="22"/>
          <w:szCs w:val="22"/>
        </w:rPr>
      </w:pPr>
      <w:r>
        <w:rPr>
          <w:rFonts w:hint="eastAsia" w:asciiTheme="minorEastAsia" w:hAnsiTheme="minorEastAsia" w:eastAsiaTheme="minorEastAsia"/>
          <w:sz w:val="22"/>
          <w:szCs w:val="22"/>
        </w:rPr>
        <w:t>3.邮件发送，潜在投标人在获取招标文件时应提供法定代表人证明或法定代表人授权书。</w:t>
      </w:r>
    </w:p>
    <w:p>
      <w:pPr>
        <w:pStyle w:val="37"/>
        <w:snapToGrid w:val="0"/>
        <w:spacing w:beforeAutospacing="0" w:afterAutospacing="0" w:line="360" w:lineRule="auto"/>
        <w:ind w:firstLine="444" w:firstLineChars="202"/>
        <w:contextualSpacing/>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注：各投标人须于获取文件时间内将以上资料扫描件（内容清晰可见）</w:t>
      </w:r>
      <w:r>
        <w:rPr>
          <w:rFonts w:hint="eastAsia"/>
        </w:rPr>
        <w:fldChar w:fldCharType="begin"/>
      </w:r>
      <w:r>
        <w:instrText xml:space="preserve"> HYPERLINK "mailto:发至邮箱1661934783@qq.com" </w:instrText>
      </w:r>
      <w:r>
        <w:rPr>
          <w:rFonts w:hint="eastAsia"/>
        </w:rPr>
        <w:fldChar w:fldCharType="separate"/>
      </w:r>
      <w:r>
        <w:rPr>
          <w:rFonts w:hint="eastAsia" w:asciiTheme="minorEastAsia" w:hAnsiTheme="minorEastAsia" w:eastAsiaTheme="minorEastAsia"/>
          <w:sz w:val="22"/>
          <w:szCs w:val="22"/>
        </w:rPr>
        <w:t>发至邮箱1661934783@qq.com</w:t>
      </w:r>
      <w:r>
        <w:rPr>
          <w:rFonts w:hint="eastAsia" w:asciiTheme="minorEastAsia" w:hAnsiTheme="minorEastAsia" w:eastAsiaTheme="minorEastAsia"/>
          <w:sz w:val="22"/>
          <w:szCs w:val="22"/>
        </w:rPr>
        <w:fldChar w:fldCharType="end"/>
      </w:r>
      <w:r>
        <w:rPr>
          <w:rFonts w:hint="eastAsia" w:cs="宋体" w:asciiTheme="minorEastAsia" w:hAnsiTheme="minorEastAsia" w:eastAsiaTheme="minorEastAsia"/>
          <w:sz w:val="22"/>
          <w:szCs w:val="22"/>
        </w:rPr>
        <w:t>，并备注联系方式</w:t>
      </w:r>
      <w:r>
        <w:rPr>
          <w:rFonts w:asciiTheme="minorEastAsia" w:hAnsiTheme="minorEastAsia" w:eastAsiaTheme="minorEastAsia"/>
          <w:sz w:val="22"/>
          <w:szCs w:val="22"/>
        </w:rPr>
        <w:t xml:space="preserve">。 </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rPr>
      </w:pPr>
      <w:r>
        <w:rPr>
          <w:rFonts w:asciiTheme="minorEastAsia" w:hAnsiTheme="minorEastAsia" w:eastAsiaTheme="minorEastAsia"/>
          <w:sz w:val="22"/>
        </w:rPr>
        <w:t>4.售价：</w:t>
      </w:r>
      <w:r>
        <w:rPr>
          <w:rFonts w:cs="宋体" w:asciiTheme="minorEastAsia" w:hAnsiTheme="minorEastAsia" w:eastAsiaTheme="minorEastAsia"/>
          <w:sz w:val="22"/>
        </w:rPr>
        <w:t>每套人民币0元整</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rPr>
      </w:pPr>
      <w:r>
        <w:rPr>
          <w:rFonts w:asciiTheme="minorEastAsia" w:hAnsiTheme="minorEastAsia" w:eastAsiaTheme="minorEastAsia"/>
          <w:b/>
          <w:bCs/>
          <w:sz w:val="22"/>
        </w:rPr>
        <w:t>四、提交投标文件截止时间、开标时间和地点</w:t>
      </w:r>
    </w:p>
    <w:p>
      <w:pPr>
        <w:snapToGrid w:val="0"/>
        <w:spacing w:beforeAutospacing="0" w:afterAutospacing="0" w:line="360" w:lineRule="auto"/>
        <w:ind w:firstLine="444" w:firstLineChars="202"/>
        <w:contextualSpacing/>
        <w:rPr>
          <w:rFonts w:asciiTheme="minorEastAsia" w:hAnsiTheme="minorEastAsia" w:eastAsiaTheme="minorEastAsia"/>
          <w:bCs/>
          <w:sz w:val="22"/>
        </w:rPr>
      </w:pPr>
      <w:r>
        <w:rPr>
          <w:rFonts w:asciiTheme="minorEastAsia" w:hAnsiTheme="minorEastAsia" w:eastAsiaTheme="minorEastAsia"/>
          <w:sz w:val="22"/>
        </w:rPr>
        <w:t>1.时间：</w:t>
      </w:r>
      <w:r>
        <w:rPr>
          <w:rFonts w:hint="eastAsia" w:asciiTheme="minorEastAsia" w:hAnsiTheme="minorEastAsia" w:eastAsiaTheme="minorEastAsia"/>
          <w:bCs/>
          <w:sz w:val="22"/>
        </w:rPr>
        <w:t>2022年12月</w:t>
      </w:r>
      <w:r>
        <w:rPr>
          <w:rFonts w:hint="eastAsia" w:asciiTheme="minorEastAsia" w:hAnsiTheme="minorEastAsia"/>
          <w:bCs/>
          <w:sz w:val="22"/>
          <w:lang w:val="en-US" w:eastAsia="zh-CN"/>
        </w:rPr>
        <w:t>6</w:t>
      </w:r>
      <w:r>
        <w:rPr>
          <w:rFonts w:hint="eastAsia" w:asciiTheme="minorEastAsia" w:hAnsiTheme="minorEastAsia" w:eastAsiaTheme="minorEastAsia"/>
          <w:bCs/>
          <w:sz w:val="22"/>
        </w:rPr>
        <w:t>日 9:</w:t>
      </w:r>
      <w:r>
        <w:rPr>
          <w:rFonts w:hint="eastAsia" w:asciiTheme="minorEastAsia" w:hAnsiTheme="minorEastAsia"/>
          <w:bCs/>
          <w:sz w:val="22"/>
          <w:lang w:val="en-US" w:eastAsia="zh-CN"/>
        </w:rPr>
        <w:t>30</w:t>
      </w:r>
      <w:r>
        <w:rPr>
          <w:rFonts w:hint="eastAsia" w:asciiTheme="minorEastAsia" w:hAnsiTheme="minorEastAsia" w:eastAsiaTheme="minorEastAsia"/>
          <w:bCs/>
          <w:sz w:val="22"/>
        </w:rPr>
        <w:t>（北京时间）</w:t>
      </w:r>
    </w:p>
    <w:p>
      <w:pPr>
        <w:pStyle w:val="15"/>
        <w:shd w:val="clear" w:color="auto" w:fill="FFFFFF"/>
        <w:spacing w:before="0" w:beforeAutospacing="0" w:after="0" w:afterAutospacing="0" w:line="360" w:lineRule="auto"/>
        <w:ind w:firstLine="389" w:firstLineChars="177"/>
        <w:contextualSpacing/>
        <w:jc w:val="both"/>
        <w:rPr>
          <w:rFonts w:hint="default" w:cs="宋体" w:asciiTheme="minorEastAsia" w:hAnsiTheme="minorEastAsia" w:eastAsiaTheme="minorEastAsia"/>
          <w:sz w:val="22"/>
        </w:rPr>
      </w:pPr>
      <w:r>
        <w:rPr>
          <w:rFonts w:asciiTheme="minorEastAsia" w:hAnsiTheme="minorEastAsia" w:eastAsiaTheme="minorEastAsia"/>
          <w:sz w:val="22"/>
        </w:rPr>
        <w:t>2.地点：</w:t>
      </w:r>
      <w:r>
        <w:rPr>
          <w:rFonts w:cs="宋体" w:asciiTheme="minorEastAsia" w:hAnsiTheme="minorEastAsia" w:eastAsiaTheme="minorEastAsia"/>
          <w:sz w:val="22"/>
        </w:rPr>
        <w:t>芜湖市鸠江区城市之光写字楼（苏宁环球大酒店南侧）东楼310室</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rPr>
      </w:pPr>
      <w:r>
        <w:rPr>
          <w:rFonts w:asciiTheme="minorEastAsia" w:hAnsiTheme="minorEastAsia" w:eastAsiaTheme="minorEastAsia"/>
          <w:b/>
          <w:bCs/>
          <w:sz w:val="22"/>
        </w:rPr>
        <w:t>五、公告期限</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rPr>
      </w:pPr>
      <w:r>
        <w:rPr>
          <w:rFonts w:asciiTheme="minorEastAsia" w:hAnsiTheme="minorEastAsia" w:eastAsiaTheme="minorEastAsia"/>
          <w:sz w:val="22"/>
        </w:rPr>
        <w:t>自本公告发布之日起5个工作日。</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rPr>
      </w:pPr>
      <w:r>
        <w:rPr>
          <w:rFonts w:asciiTheme="minorEastAsia" w:hAnsiTheme="minorEastAsia" w:eastAsiaTheme="minorEastAsia"/>
          <w:b/>
          <w:bCs/>
          <w:sz w:val="22"/>
        </w:rPr>
        <w:t>六、其他补充事宜</w:t>
      </w:r>
    </w:p>
    <w:p>
      <w:pPr>
        <w:pStyle w:val="15"/>
        <w:shd w:val="clear" w:color="auto" w:fill="FFFFFF"/>
        <w:spacing w:before="0" w:beforeAutospacing="0" w:after="0" w:afterAutospacing="0" w:line="360" w:lineRule="auto"/>
        <w:ind w:firstLine="389" w:firstLineChars="177"/>
        <w:contextualSpacing/>
        <w:jc w:val="both"/>
        <w:rPr>
          <w:rFonts w:hint="eastAsia" w:asciiTheme="minorEastAsia" w:hAnsiTheme="minorEastAsia" w:eastAsiaTheme="minorEastAsia"/>
          <w:sz w:val="22"/>
          <w:lang w:val="en-US" w:eastAsia="zh-CN"/>
        </w:rPr>
      </w:pPr>
      <w:r>
        <w:rPr>
          <w:rFonts w:asciiTheme="minorEastAsia" w:hAnsiTheme="minorEastAsia" w:eastAsiaTheme="minorEastAsia"/>
          <w:sz w:val="22"/>
        </w:rPr>
        <w:t>1.资金来源：财政资金</w:t>
      </w:r>
      <w:r>
        <w:rPr>
          <w:rFonts w:hint="eastAsia" w:asciiTheme="minorEastAsia" w:hAnsiTheme="minorEastAsia"/>
          <w:sz w:val="22"/>
          <w:lang w:val="en-US" w:eastAsia="zh-CN"/>
        </w:rPr>
        <w:t>；</w:t>
      </w:r>
    </w:p>
    <w:p>
      <w:pPr>
        <w:pStyle w:val="15"/>
        <w:shd w:val="clear" w:color="auto" w:fill="FFFFFF"/>
        <w:spacing w:before="0" w:beforeAutospacing="0" w:after="0" w:afterAutospacing="0" w:line="360" w:lineRule="auto"/>
        <w:ind w:firstLine="389" w:firstLineChars="177"/>
        <w:contextualSpacing/>
        <w:jc w:val="both"/>
        <w:rPr>
          <w:rFonts w:hint="eastAsia" w:asciiTheme="minorEastAsia" w:hAnsiTheme="minorEastAsia" w:eastAsiaTheme="minorEastAsia"/>
          <w:sz w:val="22"/>
          <w:lang w:val="en-US" w:eastAsia="zh-CN"/>
        </w:rPr>
      </w:pPr>
      <w:r>
        <w:rPr>
          <w:rFonts w:asciiTheme="minorEastAsia" w:hAnsiTheme="minorEastAsia" w:eastAsiaTheme="minorEastAsia"/>
          <w:sz w:val="22"/>
        </w:rPr>
        <w:t>2.本项目免收投标保证金</w:t>
      </w:r>
      <w:r>
        <w:rPr>
          <w:rFonts w:hint="eastAsia" w:asciiTheme="minorEastAsia" w:hAnsiTheme="minorEastAsia"/>
          <w:sz w:val="22"/>
          <w:lang w:val="en-US" w:eastAsia="zh-CN"/>
        </w:rPr>
        <w:t>；</w:t>
      </w:r>
    </w:p>
    <w:p>
      <w:pPr>
        <w:pStyle w:val="15"/>
        <w:shd w:val="clear" w:color="auto" w:fill="FFFFFF"/>
        <w:spacing w:before="0" w:beforeAutospacing="0" w:after="0" w:afterAutospacing="0" w:line="360" w:lineRule="auto"/>
        <w:ind w:firstLine="389" w:firstLineChars="177"/>
        <w:contextualSpacing/>
        <w:jc w:val="both"/>
        <w:rPr>
          <w:rFonts w:hint="eastAsia" w:asciiTheme="minorEastAsia" w:hAnsiTheme="minorEastAsia" w:eastAsiaTheme="minorEastAsia"/>
          <w:sz w:val="22"/>
          <w:lang w:val="en-US" w:eastAsia="zh-CN"/>
        </w:rPr>
      </w:pPr>
      <w:r>
        <w:rPr>
          <w:rFonts w:asciiTheme="minorEastAsia" w:hAnsiTheme="minorEastAsia" w:eastAsiaTheme="minorEastAsia"/>
          <w:sz w:val="22"/>
        </w:rPr>
        <w:t>3. 标段（包）划分：不划分标段（包）</w:t>
      </w:r>
      <w:r>
        <w:rPr>
          <w:rFonts w:hint="eastAsia" w:asciiTheme="minorEastAsia" w:hAnsiTheme="minorEastAsia"/>
          <w:sz w:val="22"/>
          <w:lang w:val="en-US" w:eastAsia="zh-CN"/>
        </w:rPr>
        <w:t>；</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rPr>
      </w:pPr>
      <w:r>
        <w:rPr>
          <w:rFonts w:asciiTheme="minorEastAsia" w:hAnsiTheme="minorEastAsia" w:eastAsiaTheme="minorEastAsia"/>
          <w:sz w:val="22"/>
        </w:rPr>
        <w:t>4.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如对此项内容有疑问，可通过招标文件约定的方式进行质疑。</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rPr>
      </w:pPr>
      <w:r>
        <w:rPr>
          <w:rFonts w:asciiTheme="minorEastAsia" w:hAnsiTheme="minorEastAsia" w:eastAsiaTheme="minorEastAsia"/>
          <w:b/>
          <w:bCs/>
          <w:sz w:val="22"/>
        </w:rPr>
        <w:t>七、对本次招标提出询问，请按以下方式联系</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r>
        <w:rPr>
          <w:rFonts w:hint="eastAsia" w:asciiTheme="minorEastAsia" w:hAnsiTheme="minorEastAsia" w:eastAsiaTheme="minorEastAsia"/>
          <w:sz w:val="22"/>
        </w:rPr>
        <w:t>1.</w:t>
      </w:r>
      <w:r>
        <w:rPr>
          <w:rFonts w:hint="eastAsia" w:cs="Calibri" w:asciiTheme="minorEastAsia" w:hAnsiTheme="minorEastAsia" w:eastAsiaTheme="minorEastAsia"/>
          <w:color w:val="000000"/>
          <w:kern w:val="0"/>
          <w:sz w:val="22"/>
        </w:rPr>
        <w:t>采购人信息</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r>
        <w:rPr>
          <w:rFonts w:hint="eastAsia" w:asciiTheme="minorEastAsia" w:hAnsiTheme="minorEastAsia" w:eastAsiaTheme="minorEastAsia"/>
          <w:sz w:val="22"/>
        </w:rPr>
        <w:t>名 称：皖南医学院</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r>
        <w:rPr>
          <w:rFonts w:hint="eastAsia" w:asciiTheme="minorEastAsia" w:hAnsiTheme="minorEastAsia" w:eastAsiaTheme="minorEastAsia"/>
          <w:sz w:val="22"/>
        </w:rPr>
        <w:t>地址：安徽省芜湖市弋江区文昌西路22号</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bookmarkStart w:id="0" w:name="_Toc28359086"/>
      <w:bookmarkStart w:id="1" w:name="_Toc28359009"/>
      <w:r>
        <w:rPr>
          <w:rFonts w:hint="eastAsia" w:asciiTheme="minorEastAsia" w:hAnsiTheme="minorEastAsia" w:eastAsiaTheme="minorEastAsia"/>
          <w:sz w:val="22"/>
        </w:rPr>
        <w:t>联系方式：</w:t>
      </w:r>
      <w:r>
        <w:rPr>
          <w:rFonts w:hint="eastAsia" w:asciiTheme="minorEastAsia" w:hAnsiTheme="minorEastAsia"/>
          <w:sz w:val="22"/>
          <w:lang w:val="en-US" w:eastAsia="zh-CN"/>
        </w:rPr>
        <w:t>何</w:t>
      </w:r>
      <w:r>
        <w:rPr>
          <w:rFonts w:hint="eastAsia" w:asciiTheme="minorEastAsia" w:hAnsiTheme="minorEastAsia" w:eastAsiaTheme="minorEastAsia"/>
          <w:sz w:val="22"/>
        </w:rPr>
        <w:t>老师 0553-3932052</w:t>
      </w:r>
    </w:p>
    <w:bookmarkEnd w:id="0"/>
    <w:bookmarkEnd w:id="1"/>
    <w:p>
      <w:pPr>
        <w:tabs>
          <w:tab w:val="left" w:pos="6173"/>
        </w:tabs>
        <w:snapToGrid w:val="0"/>
        <w:spacing w:beforeAutospacing="0" w:afterAutospacing="0" w:line="360" w:lineRule="auto"/>
        <w:ind w:left="426" w:leftChars="202" w:hanging="2"/>
        <w:contextualSpacing/>
        <w:jc w:val="left"/>
        <w:rPr>
          <w:rFonts w:asciiTheme="minorEastAsia" w:hAnsiTheme="minorEastAsia" w:eastAsiaTheme="minorEastAsia"/>
          <w:sz w:val="22"/>
        </w:rPr>
      </w:pPr>
      <w:r>
        <w:rPr>
          <w:rFonts w:hint="eastAsia" w:asciiTheme="minorEastAsia" w:hAnsiTheme="minorEastAsia" w:eastAsiaTheme="minorEastAsia"/>
          <w:sz w:val="22"/>
        </w:rPr>
        <w:t>2.采购代理机构信息</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r>
        <w:rPr>
          <w:rFonts w:hint="eastAsia" w:asciiTheme="minorEastAsia" w:hAnsiTheme="minorEastAsia" w:eastAsiaTheme="minorEastAsia"/>
          <w:sz w:val="22"/>
        </w:rPr>
        <w:t>名 称：安徽安兆工程技术咨询服务有限公司</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r>
        <w:rPr>
          <w:rFonts w:hint="eastAsia" w:asciiTheme="minorEastAsia" w:hAnsiTheme="minorEastAsia" w:eastAsiaTheme="minorEastAsia"/>
          <w:sz w:val="22"/>
        </w:rPr>
        <w:t>地　址：合肥市包河区云谷路2588号</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bookmarkStart w:id="2" w:name="_Toc28359010"/>
      <w:bookmarkStart w:id="3" w:name="_Toc28359087"/>
      <w:r>
        <w:rPr>
          <w:rFonts w:hint="eastAsia" w:asciiTheme="minorEastAsia" w:hAnsiTheme="minorEastAsia" w:eastAsiaTheme="minorEastAsia"/>
          <w:sz w:val="22"/>
        </w:rPr>
        <w:t>联系方式：李冀 18755158351</w:t>
      </w:r>
    </w:p>
    <w:bookmarkEnd w:id="2"/>
    <w:bookmarkEnd w:id="3"/>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r>
        <w:rPr>
          <w:rFonts w:hint="eastAsia" w:asciiTheme="minorEastAsia" w:hAnsiTheme="minorEastAsia" w:eastAsiaTheme="minorEastAsia"/>
          <w:sz w:val="22"/>
        </w:rPr>
        <w:t>3.项目</w:t>
      </w:r>
      <w:r>
        <w:rPr>
          <w:rFonts w:asciiTheme="minorEastAsia" w:hAnsiTheme="minorEastAsia" w:eastAsiaTheme="minorEastAsia"/>
          <w:sz w:val="22"/>
        </w:rPr>
        <w:t>联系方式</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r>
        <w:rPr>
          <w:rFonts w:hint="eastAsia" w:asciiTheme="minorEastAsia" w:hAnsiTheme="minorEastAsia" w:eastAsiaTheme="minorEastAsia"/>
          <w:sz w:val="22"/>
        </w:rPr>
        <w:t>项目联系人：李冀</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r>
        <w:rPr>
          <w:rFonts w:hint="eastAsia" w:asciiTheme="minorEastAsia" w:hAnsiTheme="minorEastAsia" w:eastAsiaTheme="minorEastAsia"/>
          <w:sz w:val="22"/>
        </w:rPr>
        <w:t>电　话：18755158351</w:t>
      </w:r>
    </w:p>
    <w:p>
      <w:pPr>
        <w:snapToGrid w:val="0"/>
        <w:spacing w:beforeAutospacing="0" w:afterAutospacing="0" w:line="360" w:lineRule="auto"/>
        <w:ind w:left="426" w:leftChars="202" w:hanging="2"/>
        <w:contextualSpacing/>
        <w:jc w:val="left"/>
        <w:rPr>
          <w:rFonts w:asciiTheme="minorEastAsia" w:hAnsiTheme="minorEastAsia" w:eastAsiaTheme="minorEastAsia"/>
          <w:sz w:val="22"/>
        </w:rPr>
      </w:pPr>
    </w:p>
    <w:p>
      <w:pPr>
        <w:snapToGrid w:val="0"/>
        <w:spacing w:beforeAutospacing="0" w:afterAutospacing="0" w:line="360" w:lineRule="auto"/>
        <w:ind w:left="1054" w:leftChars="371" w:hanging="275" w:hangingChars="125"/>
        <w:contextualSpacing/>
        <w:jc w:val="right"/>
        <w:rPr>
          <w:rFonts w:asciiTheme="minorEastAsia" w:hAnsiTheme="minorEastAsia" w:eastAsiaTheme="minorEastAsia"/>
          <w:sz w:val="22"/>
        </w:rPr>
      </w:pPr>
      <w:r>
        <w:rPr>
          <w:rFonts w:hint="eastAsia" w:asciiTheme="minorEastAsia" w:hAnsiTheme="minorEastAsia" w:eastAsiaTheme="minorEastAsia"/>
          <w:sz w:val="22"/>
        </w:rPr>
        <w:t>采购人：皖南医学院</w:t>
      </w:r>
    </w:p>
    <w:p>
      <w:pPr>
        <w:snapToGrid w:val="0"/>
        <w:spacing w:beforeAutospacing="0" w:afterAutospacing="0" w:line="360" w:lineRule="auto"/>
        <w:ind w:left="1054" w:leftChars="371" w:hanging="275" w:hangingChars="125"/>
        <w:contextualSpacing/>
        <w:jc w:val="right"/>
        <w:rPr>
          <w:rFonts w:asciiTheme="minorEastAsia" w:hAnsiTheme="minorEastAsia" w:eastAsiaTheme="minorEastAsia"/>
          <w:sz w:val="22"/>
        </w:rPr>
      </w:pPr>
      <w:r>
        <w:rPr>
          <w:rFonts w:hint="eastAsia" w:asciiTheme="minorEastAsia" w:hAnsiTheme="minorEastAsia" w:eastAsiaTheme="minorEastAsia"/>
          <w:sz w:val="22"/>
        </w:rPr>
        <w:t>采购代理机构：安徽安兆工程技术咨询服务有限公司</w:t>
      </w:r>
    </w:p>
    <w:p>
      <w:pPr>
        <w:snapToGrid w:val="0"/>
        <w:spacing w:beforeAutospacing="0" w:afterAutospacing="0" w:line="360" w:lineRule="auto"/>
        <w:contextualSpacing/>
        <w:jc w:val="right"/>
        <w:rPr>
          <w:rFonts w:cs="宋体" w:asciiTheme="minorEastAsia" w:hAnsiTheme="minorEastAsia" w:eastAsiaTheme="minorEastAsia"/>
          <w:b/>
          <w:kern w:val="0"/>
          <w:sz w:val="22"/>
        </w:rPr>
      </w:pPr>
      <w:r>
        <w:rPr>
          <w:rFonts w:hint="eastAsia" w:asciiTheme="minorEastAsia" w:hAnsiTheme="minorEastAsia" w:eastAsiaTheme="minorEastAsia"/>
          <w:sz w:val="22"/>
        </w:rPr>
        <w:t>2022年11月</w:t>
      </w:r>
      <w:r>
        <w:rPr>
          <w:rFonts w:hint="eastAsia" w:asciiTheme="minorEastAsia" w:hAnsiTheme="minorEastAsia"/>
          <w:sz w:val="22"/>
          <w:lang w:val="en-US" w:eastAsia="zh-CN"/>
        </w:rPr>
        <w:t>14</w:t>
      </w:r>
      <w:r>
        <w:rPr>
          <w:rFonts w:hint="eastAsia" w:asciiTheme="minorEastAsia" w:hAnsiTheme="minorEastAsia" w:eastAsiaTheme="minorEastAsia"/>
          <w:sz w:val="22"/>
        </w:rPr>
        <w:t>日</w:t>
      </w:r>
    </w:p>
    <w:p>
      <w:pPr>
        <w:jc w:val="center"/>
        <w:rPr>
          <w:b/>
          <w:sz w:val="24"/>
        </w:rPr>
      </w:pPr>
      <w:r>
        <w:br w:type="page"/>
      </w:r>
      <w:r>
        <w:rPr>
          <w:rFonts w:hint="eastAsia"/>
          <w:b/>
          <w:sz w:val="24"/>
        </w:rPr>
        <w:t>开标地点提示</w:t>
      </w:r>
    </w:p>
    <w:p>
      <w:pPr>
        <w:jc w:val="center"/>
        <w:rPr>
          <w:b/>
          <w:sz w:val="24"/>
        </w:rPr>
      </w:pPr>
    </w:p>
    <w:p>
      <w:pPr>
        <w:rPr>
          <w:b/>
        </w:rPr>
      </w:pPr>
      <w:r>
        <w:rPr>
          <w:b/>
        </w:rPr>
        <w:drawing>
          <wp:inline distT="0" distB="0" distL="114300" distR="114300">
            <wp:extent cx="5376545" cy="3481705"/>
            <wp:effectExtent l="0" t="0" r="3175" b="8255"/>
            <wp:docPr id="1" name="图片 1" descr="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位置"/>
                    <pic:cNvPicPr>
                      <a:picLocks noChangeAspect="1"/>
                    </pic:cNvPicPr>
                  </pic:nvPicPr>
                  <pic:blipFill>
                    <a:blip r:embed="rId6"/>
                    <a:stretch>
                      <a:fillRect/>
                    </a:stretch>
                  </pic:blipFill>
                  <pic:spPr>
                    <a:xfrm>
                      <a:off x="0" y="0"/>
                      <a:ext cx="5376545" cy="3481705"/>
                    </a:xfrm>
                    <a:prstGeom prst="rect">
                      <a:avLst/>
                    </a:prstGeom>
                    <a:ln w="12700">
                      <a:noFill/>
                    </a:ln>
                  </pic:spPr>
                </pic:pic>
              </a:graphicData>
            </a:graphic>
          </wp:inline>
        </w:drawing>
      </w:r>
    </w:p>
    <w:p>
      <w:pPr>
        <w:pStyle w:val="18"/>
        <w:ind w:firstLine="422"/>
        <w:rPr>
          <w:b/>
        </w:rPr>
      </w:pPr>
    </w:p>
    <w:p>
      <w:pPr>
        <w:pStyle w:val="2"/>
        <w:ind w:left="1260"/>
        <w:rPr>
          <w:rFonts w:ascii="宋体" w:hAnsi="宋体"/>
          <w:kern w:val="0"/>
          <w:sz w:val="24"/>
        </w:rPr>
      </w:pPr>
    </w:p>
    <w:p>
      <w:pPr>
        <w:pStyle w:val="15"/>
        <w:shd w:val="clear" w:color="auto" w:fill="FFFFFF"/>
        <w:spacing w:before="0" w:beforeAutospacing="0" w:after="0" w:afterAutospacing="0" w:line="360" w:lineRule="auto"/>
        <w:jc w:val="both"/>
        <w:rPr>
          <w:rFonts w:hint="default"/>
          <w:szCs w:val="24"/>
        </w:rPr>
      </w:pPr>
    </w:p>
    <w:p>
      <w:pPr>
        <w:widowControl/>
        <w:jc w:val="left"/>
        <w:rPr>
          <w:rFonts w:ascii="Arial" w:hAnsi="Arial" w:eastAsia="黑体"/>
          <w:b/>
          <w:sz w:val="32"/>
          <w:szCs w:val="20"/>
        </w:rPr>
      </w:pPr>
      <w:r>
        <w:br w:type="page"/>
      </w:r>
    </w:p>
    <w:p>
      <w:pPr>
        <w:pStyle w:val="4"/>
        <w:spacing w:beforeAutospacing="0" w:afterAutospacing="0" w:line="500" w:lineRule="exact"/>
        <w:jc w:val="center"/>
      </w:pPr>
      <w:r>
        <w:rPr>
          <w:rFonts w:hint="eastAsia"/>
        </w:rPr>
        <w:t>第二章  供应商须知前附表</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7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条款名称</w:t>
            </w:r>
          </w:p>
        </w:tc>
        <w:tc>
          <w:tcPr>
            <w:tcW w:w="6520"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7" w:type="dxa"/>
            <w:vMerge w:val="restart"/>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项目性质</w:t>
            </w:r>
          </w:p>
        </w:tc>
        <w:tc>
          <w:tcPr>
            <w:tcW w:w="6520" w:type="dxa"/>
            <w:vAlign w:val="center"/>
          </w:tcPr>
          <w:p>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货物采购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vAlign w:val="center"/>
          </w:tcPr>
          <w:p>
            <w:pPr>
              <w:spacing w:beforeAutospacing="0" w:afterAutospacing="0" w:line="360" w:lineRule="exact"/>
              <w:jc w:val="center"/>
              <w:rPr>
                <w:rFonts w:asciiTheme="minorEastAsia" w:hAnsiTheme="minorEastAsia" w:eastAsiaTheme="minorEastAsia"/>
                <w:szCs w:val="21"/>
              </w:rPr>
            </w:pP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公告媒体</w:t>
            </w:r>
          </w:p>
        </w:tc>
        <w:tc>
          <w:tcPr>
            <w:tcW w:w="6520" w:type="dxa"/>
            <w:vAlign w:val="center"/>
          </w:tcPr>
          <w:p>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安徽省政府采购网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项目分包</w:t>
            </w:r>
          </w:p>
        </w:tc>
        <w:tc>
          <w:tcPr>
            <w:tcW w:w="6520" w:type="dxa"/>
            <w:vAlign w:val="center"/>
          </w:tcPr>
          <w:p>
            <w:pPr>
              <w:spacing w:beforeAutospacing="0" w:afterAutospacing="0" w:line="360" w:lineRule="exact"/>
              <w:jc w:val="left"/>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不分包     □分为个包：</w:t>
            </w:r>
            <w:r>
              <w:rPr>
                <w:rFonts w:hint="eastAsia" w:asciiTheme="minorEastAsia" w:hAnsiTheme="minorEastAsia" w:eastAsiaTheme="minorEastAsia"/>
                <w:szCs w:val="21"/>
                <w:u w:val="single"/>
              </w:rPr>
              <w:t>（描述分包情况）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进口产品投标</w:t>
            </w:r>
          </w:p>
        </w:tc>
        <w:tc>
          <w:tcPr>
            <w:tcW w:w="6520" w:type="dxa"/>
            <w:vAlign w:val="center"/>
          </w:tcPr>
          <w:p>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不允许</w:t>
            </w:r>
          </w:p>
          <w:p>
            <w:pPr>
              <w:spacing w:beforeAutospacing="0" w:afterAutospacing="0" w:line="360" w:lineRule="exact"/>
              <w:jc w:val="left"/>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允许：本采购项目允许采购的进口产品详见采购需求一览表。（注：本文件所称进口产品是指通过中国海关报关验放进入中国境内且产自关境外的产品）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tcBorders>
              <w:bottom w:val="single" w:color="auto" w:sz="4" w:space="0"/>
            </w:tcBorders>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8" w:type="dxa"/>
            <w:tcBorders>
              <w:bottom w:val="single" w:color="auto" w:sz="4" w:space="0"/>
            </w:tcBorders>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踏勘现场</w:t>
            </w:r>
          </w:p>
        </w:tc>
        <w:tc>
          <w:tcPr>
            <w:tcW w:w="6520" w:type="dxa"/>
            <w:tcBorders>
              <w:bottom w:val="single" w:color="auto" w:sz="4" w:space="0"/>
            </w:tcBorders>
            <w:vAlign w:val="center"/>
          </w:tcPr>
          <w:p>
            <w:pPr>
              <w:spacing w:beforeAutospacing="0" w:afterAutospacing="0" w:line="360" w:lineRule="exact"/>
              <w:jc w:val="left"/>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不组织</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组织：</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1.时间：</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2.地点：</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3.联系方式：</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tcBorders>
              <w:bottom w:val="single" w:color="auto" w:sz="4" w:space="0"/>
            </w:tcBorders>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8" w:type="dxa"/>
            <w:tcBorders>
              <w:bottom w:val="single" w:color="auto" w:sz="4" w:space="0"/>
            </w:tcBorders>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质疑及答复</w:t>
            </w:r>
          </w:p>
        </w:tc>
        <w:tc>
          <w:tcPr>
            <w:tcW w:w="6520" w:type="dxa"/>
            <w:tcBorders>
              <w:bottom w:val="single" w:color="auto" w:sz="4" w:space="0"/>
            </w:tcBorders>
            <w:vAlign w:val="center"/>
          </w:tcPr>
          <w:p>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供应商根据政府采购有关法律法规规定的时间和方式提出疑问，采购人或代理机构按有关规定给予答复。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6520" w:type="dxa"/>
            <w:vAlign w:val="center"/>
          </w:tcPr>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开标后90个日历天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8" w:type="dxa"/>
            <w:vAlign w:val="center"/>
          </w:tcPr>
          <w:p>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投标截止时间、地点</w:t>
            </w:r>
          </w:p>
        </w:tc>
        <w:tc>
          <w:tcPr>
            <w:tcW w:w="65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78" w:type="dxa"/>
            <w:vAlign w:val="center"/>
          </w:tcPr>
          <w:p>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开标时间、地点</w:t>
            </w:r>
          </w:p>
        </w:tc>
        <w:tc>
          <w:tcPr>
            <w:tcW w:w="65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投标文件提交</w:t>
            </w:r>
          </w:p>
        </w:tc>
        <w:tc>
          <w:tcPr>
            <w:tcW w:w="6520" w:type="dxa"/>
            <w:vAlign w:val="center"/>
          </w:tcPr>
          <w:p>
            <w:pPr>
              <w:spacing w:beforeAutospacing="0" w:afterAutospacing="0" w:line="360" w:lineRule="exact"/>
              <w:jc w:val="left"/>
              <w:rPr>
                <w:rFonts w:asciiTheme="minorEastAsia" w:hAnsiTheme="minorEastAsia" w:eastAsiaTheme="minorEastAsia"/>
                <w:color w:val="0D0D0D"/>
                <w:szCs w:val="21"/>
              </w:rPr>
            </w:pPr>
            <w:r>
              <w:rPr>
                <w:rFonts w:hint="eastAsia" w:cs="宋体" w:asciiTheme="minorEastAsia" w:hAnsiTheme="minorEastAsia" w:eastAsiaTheme="minorEastAsia"/>
                <w:szCs w:val="21"/>
              </w:rPr>
              <w:t>1.本项目采用</w:t>
            </w:r>
            <w:r>
              <w:rPr>
                <w:rFonts w:hint="eastAsia" w:asciiTheme="minorEastAsia" w:hAnsiTheme="minorEastAsia" w:eastAsiaTheme="minorEastAsia"/>
                <w:color w:val="0D0D0D"/>
                <w:szCs w:val="21"/>
              </w:rPr>
              <w:t>纸质投标文件，其中：正本</w:t>
            </w:r>
            <w:r>
              <w:rPr>
                <w:rFonts w:hint="eastAsia" w:asciiTheme="minorEastAsia" w:hAnsiTheme="minorEastAsia" w:eastAsiaTheme="minorEastAsia"/>
                <w:color w:val="0D0D0D"/>
                <w:szCs w:val="21"/>
                <w:u w:val="single"/>
              </w:rPr>
              <w:t xml:space="preserve">壹 </w:t>
            </w:r>
            <w:r>
              <w:rPr>
                <w:rFonts w:hint="eastAsia" w:asciiTheme="minorEastAsia" w:hAnsiTheme="minorEastAsia" w:eastAsiaTheme="minorEastAsia"/>
                <w:color w:val="0D0D0D"/>
                <w:szCs w:val="21"/>
              </w:rPr>
              <w:t>份，副本</w:t>
            </w:r>
            <w:r>
              <w:rPr>
                <w:rFonts w:hint="eastAsia" w:asciiTheme="minorEastAsia" w:hAnsiTheme="minorEastAsia" w:eastAsiaTheme="minorEastAsia"/>
                <w:color w:val="0D0D0D"/>
                <w:szCs w:val="21"/>
                <w:u w:val="single"/>
              </w:rPr>
              <w:t xml:space="preserve">肆 </w:t>
            </w:r>
            <w:r>
              <w:rPr>
                <w:rFonts w:hint="eastAsia" w:asciiTheme="minorEastAsia" w:hAnsiTheme="minorEastAsia" w:eastAsiaTheme="minorEastAsia"/>
                <w:color w:val="0D0D0D"/>
                <w:szCs w:val="21"/>
              </w:rPr>
              <w:t>份。</w:t>
            </w:r>
          </w:p>
          <w:p>
            <w:pPr>
              <w:spacing w:beforeAutospacing="0" w:afterAutospacing="0" w:line="360" w:lineRule="exact"/>
              <w:rPr>
                <w:rFonts w:asciiTheme="minorEastAsia" w:hAnsiTheme="minorEastAsia" w:eastAsiaTheme="minorEastAsia"/>
                <w:color w:val="0D0D0D"/>
                <w:szCs w:val="21"/>
              </w:rPr>
            </w:pPr>
            <w:r>
              <w:rPr>
                <w:rFonts w:hint="eastAsia" w:asciiTheme="minorEastAsia" w:hAnsiTheme="minorEastAsia" w:eastAsiaTheme="minorEastAsia"/>
                <w:color w:val="0D0D0D"/>
                <w:szCs w:val="21"/>
              </w:rPr>
              <w:t>2.所有投标文件须装订成册，密封递交。</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color w:val="0D0D0D"/>
                <w:szCs w:val="21"/>
              </w:rPr>
              <w:t>3.电子版投标文件:供应商须提供电子版投标文件(光盘或U盘)壹份，</w:t>
            </w:r>
            <w:r>
              <w:rPr>
                <w:rFonts w:hint="eastAsia" w:asciiTheme="minorEastAsia" w:hAnsiTheme="minorEastAsia" w:eastAsiaTheme="minorEastAsia"/>
                <w:color w:val="FF0000"/>
                <w:szCs w:val="21"/>
              </w:rPr>
              <w:t>单独密封递交</w:t>
            </w:r>
            <w:r>
              <w:rPr>
                <w:rFonts w:hint="eastAsia" w:asciiTheme="minorEastAsia" w:hAnsiTheme="minorEastAsia" w:eastAsiaTheme="minorEastAsia"/>
                <w:color w:val="0D0D0D"/>
                <w:szCs w:val="21"/>
              </w:rPr>
              <w:t>，电子版投标文件为签字盖章后的正本扫描件。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是否邀请投标人到现场</w:t>
            </w:r>
          </w:p>
        </w:tc>
        <w:tc>
          <w:tcPr>
            <w:tcW w:w="6520" w:type="dxa"/>
            <w:vAlign w:val="center"/>
          </w:tcPr>
          <w:p>
            <w:pPr>
              <w:pStyle w:val="7"/>
              <w:rPr>
                <w:rFonts w:asciiTheme="minorEastAsia" w:hAnsiTheme="minorEastAsia" w:eastAsiaTheme="minorEastAsia"/>
                <w:szCs w:val="21"/>
              </w:rPr>
            </w:pPr>
            <w:r>
              <w:rPr>
                <w:rFonts w:hint="eastAsia" w:asciiTheme="minorEastAsia" w:hAnsiTheme="minorEastAsia" w:eastAsiaTheme="minorEastAsia"/>
                <w:szCs w:val="21"/>
              </w:rPr>
              <w:t>□否，本项目不邀请投标人参加开标会，由采购人和代理机构按规定开标。</w:t>
            </w:r>
          </w:p>
          <w:p>
            <w:pPr>
              <w:pStyle w:val="7"/>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是，具体要求：采购人和代理机构在规定的投标截止时间（开标时间）和地点公开开标，邀请所有供应商的法定代表人或其委托代理人参加。供应商可自行选择是否参加。</w:t>
            </w:r>
          </w:p>
          <w:p>
            <w:pPr>
              <w:pStyle w:val="7"/>
              <w:rPr>
                <w:rFonts w:asciiTheme="minorEastAsia" w:hAnsiTheme="minorEastAsia" w:eastAsiaTheme="minorEastAsia"/>
                <w:szCs w:val="21"/>
              </w:rPr>
            </w:pPr>
            <w:r>
              <w:rPr>
                <w:rFonts w:hint="eastAsia" w:asciiTheme="minorEastAsia" w:hAnsiTheme="minorEastAsia" w:eastAsiaTheme="minorEastAsia"/>
                <w:color w:val="FF0000"/>
                <w:szCs w:val="21"/>
              </w:rPr>
              <w:t>（本项目不接受邮寄投标文件）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评标办法</w:t>
            </w:r>
          </w:p>
        </w:tc>
        <w:tc>
          <w:tcPr>
            <w:tcW w:w="6520" w:type="dxa"/>
            <w:vAlign w:val="center"/>
          </w:tcPr>
          <w:p>
            <w:pPr>
              <w:spacing w:beforeAutospacing="0" w:afterAutospacing="0" w:line="36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本项目采用：</w:t>
            </w:r>
            <w:r>
              <w:rPr>
                <w:rFonts w:hint="eastAsia"/>
              </w:rPr>
              <w:t>■</w:t>
            </w:r>
            <w:r>
              <w:rPr>
                <w:rFonts w:hint="eastAsia" w:asciiTheme="minorEastAsia" w:hAnsiTheme="minorEastAsia" w:eastAsiaTheme="minorEastAsia"/>
                <w:szCs w:val="21"/>
              </w:rPr>
              <w:t>最低评标价法；□综合评分法。</w:t>
            </w:r>
          </w:p>
          <w:p>
            <w:pPr>
              <w:spacing w:beforeAutospacing="0" w:afterAutospacing="0" w:line="36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评标办法详见招标文件。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信用查询</w:t>
            </w:r>
          </w:p>
        </w:tc>
        <w:tc>
          <w:tcPr>
            <w:tcW w:w="6520" w:type="dxa"/>
            <w:vAlign w:val="center"/>
          </w:tcPr>
          <w:p>
            <w:pPr>
              <w:pStyle w:val="7"/>
              <w:rPr>
                <w:rFonts w:asciiTheme="minorEastAsia" w:hAnsiTheme="minorEastAsia" w:eastAsiaTheme="minorEastAsia"/>
                <w:szCs w:val="21"/>
              </w:rPr>
            </w:pPr>
            <w:r>
              <w:rPr>
                <w:rFonts w:hint="eastAsia" w:asciiTheme="minorEastAsia" w:hAnsiTheme="minorEastAsia" w:eastAsiaTheme="minorEastAsia"/>
                <w:szCs w:val="21"/>
              </w:rPr>
              <w:t>1.参与采购活动的供应商在评标结束当日被列入以下失信名单的，不得被推荐为政府采购项目中标候选供应商。</w:t>
            </w:r>
          </w:p>
          <w:p>
            <w:pPr>
              <w:pStyle w:val="7"/>
              <w:rPr>
                <w:rFonts w:asciiTheme="minorEastAsia" w:hAnsiTheme="minorEastAsia" w:eastAsiaTheme="minorEastAsia"/>
                <w:szCs w:val="21"/>
              </w:rPr>
            </w:pPr>
            <w:r>
              <w:rPr>
                <w:rFonts w:hint="eastAsia" w:asciiTheme="minorEastAsia" w:hAnsiTheme="minorEastAsia" w:eastAsiaTheme="minorEastAsia"/>
                <w:szCs w:val="21"/>
              </w:rPr>
              <w:t>1.1供应商被列入失信被执行人的；</w:t>
            </w:r>
          </w:p>
          <w:p>
            <w:pPr>
              <w:pStyle w:val="7"/>
              <w:rPr>
                <w:rFonts w:asciiTheme="minorEastAsia" w:hAnsiTheme="minorEastAsia" w:eastAsiaTheme="minorEastAsia"/>
                <w:szCs w:val="21"/>
              </w:rPr>
            </w:pPr>
            <w:r>
              <w:rPr>
                <w:rFonts w:hint="eastAsia" w:asciiTheme="minorEastAsia" w:hAnsiTheme="minorEastAsia" w:eastAsiaTheme="minorEastAsia"/>
                <w:szCs w:val="21"/>
              </w:rPr>
              <w:t>1.2供应商被工列入企业经营异常名录的；</w:t>
            </w:r>
          </w:p>
          <w:p>
            <w:pPr>
              <w:pStyle w:val="7"/>
              <w:rPr>
                <w:rFonts w:asciiTheme="minorEastAsia" w:hAnsiTheme="minorEastAsia" w:eastAsiaTheme="minorEastAsia"/>
                <w:szCs w:val="21"/>
              </w:rPr>
            </w:pPr>
            <w:r>
              <w:rPr>
                <w:rFonts w:hint="eastAsia" w:asciiTheme="minorEastAsia" w:hAnsiTheme="minorEastAsia" w:eastAsiaTheme="minorEastAsia"/>
                <w:szCs w:val="21"/>
              </w:rPr>
              <w:t>1.3供应商被列入重大税收违法案件当事人名单的；</w:t>
            </w:r>
          </w:p>
          <w:p>
            <w:pPr>
              <w:pStyle w:val="7"/>
              <w:rPr>
                <w:rFonts w:asciiTheme="minorEastAsia" w:hAnsiTheme="minorEastAsia" w:eastAsiaTheme="minorEastAsia"/>
                <w:szCs w:val="21"/>
              </w:rPr>
            </w:pPr>
            <w:r>
              <w:rPr>
                <w:rFonts w:hint="eastAsia" w:asciiTheme="minorEastAsia" w:hAnsiTheme="minorEastAsia" w:eastAsiaTheme="minorEastAsia"/>
                <w:szCs w:val="21"/>
              </w:rPr>
              <w:t>1.4供应商被列入政府采购严重违法失信行为记录名单的；</w:t>
            </w:r>
          </w:p>
          <w:p>
            <w:pPr>
              <w:pStyle w:val="7"/>
              <w:rPr>
                <w:rFonts w:asciiTheme="minorEastAsia" w:hAnsiTheme="minorEastAsia" w:eastAsiaTheme="minorEastAsia"/>
                <w:szCs w:val="21"/>
              </w:rPr>
            </w:pPr>
            <w:r>
              <w:rPr>
                <w:rFonts w:hint="eastAsia" w:asciiTheme="minorEastAsia" w:hAnsiTheme="minorEastAsia" w:eastAsiaTheme="minorEastAsia"/>
                <w:szCs w:val="21"/>
              </w:rPr>
              <w:t>2.联合体供应商，联合体任何一方存在上述不良信用记录的，视同联合体存在不良信用记录。</w:t>
            </w:r>
          </w:p>
          <w:p>
            <w:pPr>
              <w:pStyle w:val="7"/>
              <w:rPr>
                <w:rFonts w:asciiTheme="minorEastAsia" w:hAnsiTheme="minorEastAsia" w:eastAsiaTheme="minorEastAsia"/>
                <w:szCs w:val="21"/>
              </w:rPr>
            </w:pPr>
            <w:r>
              <w:rPr>
                <w:rFonts w:hint="eastAsia" w:asciiTheme="minorEastAsia" w:hAnsiTheme="minorEastAsia" w:eastAsiaTheme="minorEastAsia"/>
                <w:szCs w:val="21"/>
              </w:rPr>
              <w:t>3.不良信用记录查询渠道如下：</w:t>
            </w:r>
          </w:p>
          <w:p>
            <w:pPr>
              <w:pStyle w:val="7"/>
              <w:rPr>
                <w:rFonts w:asciiTheme="minorEastAsia" w:hAnsiTheme="minorEastAsia" w:eastAsiaTheme="minorEastAsia"/>
                <w:szCs w:val="21"/>
              </w:rPr>
            </w:pPr>
            <w:r>
              <w:rPr>
                <w:rFonts w:hint="eastAsia" w:asciiTheme="minorEastAsia" w:hAnsiTheme="minorEastAsia" w:eastAsiaTheme="minorEastAsia"/>
                <w:szCs w:val="21"/>
              </w:rPr>
              <w:t>3.1失信被执行人：信用中国官网（www.creditchina.gov.cn）</w:t>
            </w:r>
          </w:p>
          <w:p>
            <w:pPr>
              <w:pStyle w:val="7"/>
              <w:rPr>
                <w:rFonts w:asciiTheme="minorEastAsia" w:hAnsiTheme="minorEastAsia" w:eastAsiaTheme="minorEastAsia"/>
                <w:szCs w:val="21"/>
              </w:rPr>
            </w:pPr>
            <w:r>
              <w:rPr>
                <w:rFonts w:hint="eastAsia" w:asciiTheme="minorEastAsia" w:hAnsiTheme="minorEastAsia" w:eastAsiaTheme="minorEastAsia"/>
                <w:szCs w:val="21"/>
              </w:rPr>
              <w:t>3.2企业经营异常名录：信用中国官网（www.creditchina.gov.cn）</w:t>
            </w:r>
          </w:p>
          <w:p>
            <w:pPr>
              <w:pStyle w:val="7"/>
              <w:rPr>
                <w:rFonts w:asciiTheme="minorEastAsia" w:hAnsiTheme="minorEastAsia" w:eastAsiaTheme="minorEastAsia"/>
                <w:szCs w:val="21"/>
              </w:rPr>
            </w:pPr>
            <w:r>
              <w:rPr>
                <w:rFonts w:hint="eastAsia" w:asciiTheme="minorEastAsia" w:hAnsiTheme="minorEastAsia" w:eastAsiaTheme="minorEastAsia"/>
                <w:szCs w:val="21"/>
              </w:rPr>
              <w:t>3.3重大税收违法案件当事人名单：信用中国官网（www.creditchina.gov.cn）</w:t>
            </w:r>
          </w:p>
          <w:p>
            <w:pPr>
              <w:pStyle w:val="7"/>
              <w:rPr>
                <w:rFonts w:asciiTheme="minorEastAsia" w:hAnsiTheme="minorEastAsia" w:eastAsiaTheme="minorEastAsia"/>
                <w:szCs w:val="21"/>
              </w:rPr>
            </w:pPr>
            <w:r>
              <w:rPr>
                <w:rFonts w:hint="eastAsia" w:asciiTheme="minorEastAsia" w:hAnsiTheme="minorEastAsia" w:eastAsiaTheme="minorEastAsia"/>
                <w:szCs w:val="21"/>
              </w:rPr>
              <w:t>3.4政府采购严重违法失信行为记录名单：中国政府采购官网（www.ccgp.gov.cn）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kern w:val="0"/>
                <w:szCs w:val="21"/>
              </w:rPr>
              <w:t>履约保证金（合同履约担保）</w:t>
            </w:r>
          </w:p>
        </w:tc>
        <w:tc>
          <w:tcPr>
            <w:tcW w:w="6520" w:type="dxa"/>
            <w:vAlign w:val="center"/>
          </w:tcPr>
          <w:p>
            <w:pPr>
              <w:spacing w:beforeAutospacing="0" w:afterAutospacing="0" w:line="360" w:lineRule="exact"/>
              <w:rPr>
                <w:rFonts w:asciiTheme="minorEastAsia" w:hAnsiTheme="minorEastAsia" w:eastAsiaTheme="minorEastAsia"/>
                <w:color w:val="0D0D0D"/>
                <w:szCs w:val="21"/>
              </w:rPr>
            </w:pPr>
            <w:r>
              <w:rPr>
                <w:rFonts w:hint="eastAsia" w:asciiTheme="minorEastAsia" w:hAnsiTheme="minorEastAsia" w:eastAsiaTheme="minorEastAsia"/>
                <w:color w:val="0D0D0D"/>
                <w:szCs w:val="21"/>
              </w:rPr>
              <w:t>1.本项目采用的履约保证金形式为：支票、现金、</w:t>
            </w:r>
            <w:r>
              <w:rPr>
                <w:rFonts w:asciiTheme="minorEastAsia" w:hAnsiTheme="minorEastAsia" w:eastAsiaTheme="minorEastAsia"/>
                <w:color w:val="0D0D0D"/>
                <w:szCs w:val="21"/>
              </w:rPr>
              <w:t>银行保函、保证保</w:t>
            </w:r>
            <w:r>
              <w:rPr>
                <w:rFonts w:hint="eastAsia" w:asciiTheme="minorEastAsia" w:hAnsiTheme="minorEastAsia" w:eastAsiaTheme="minorEastAsia"/>
                <w:color w:val="0D0D0D"/>
                <w:szCs w:val="21"/>
              </w:rPr>
              <w:t>险，本项目采用的履约保证金标准（或数额）为：中标价的2.5%。</w:t>
            </w:r>
          </w:p>
          <w:p>
            <w:pPr>
              <w:spacing w:beforeAutospacing="0" w:afterAutospacing="0" w:line="360" w:lineRule="exact"/>
              <w:rPr>
                <w:rFonts w:asciiTheme="minorEastAsia" w:hAnsiTheme="minorEastAsia" w:eastAsiaTheme="minorEastAsia"/>
                <w:color w:val="0D0D0D"/>
                <w:szCs w:val="21"/>
              </w:rPr>
            </w:pPr>
            <w:r>
              <w:rPr>
                <w:rFonts w:hint="eastAsia" w:asciiTheme="minorEastAsia" w:hAnsiTheme="minorEastAsia" w:eastAsiaTheme="minorEastAsia"/>
                <w:color w:val="0D0D0D"/>
                <w:szCs w:val="21"/>
              </w:rPr>
              <w:t>2.履约保证金专户信息：</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color w:val="0D0D0D"/>
                <w:szCs w:val="21"/>
              </w:rPr>
              <w:t>开户单位：皖南医学院；开户银行：安徽省芜湖市建行中山路支行；账号：</w:t>
            </w:r>
            <w:r>
              <w:rPr>
                <w:rFonts w:asciiTheme="minorEastAsia" w:hAnsiTheme="minorEastAsia" w:eastAsiaTheme="minorEastAsia"/>
                <w:color w:val="0D0D0D"/>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代理服务费</w:t>
            </w:r>
          </w:p>
        </w:tc>
        <w:tc>
          <w:tcPr>
            <w:tcW w:w="6520" w:type="dxa"/>
            <w:vAlign w:val="center"/>
          </w:tcPr>
          <w:p>
            <w:pPr>
              <w:spacing w:beforeAutospacing="0" w:afterAutospacing="0" w:line="360" w:lineRule="exact"/>
              <w:rPr>
                <w:rFonts w:asciiTheme="minorEastAsia" w:hAnsiTheme="minorEastAsia" w:eastAsiaTheme="minorEastAsia"/>
                <w:color w:val="0D0D0D"/>
                <w:szCs w:val="21"/>
              </w:rPr>
            </w:pPr>
            <w:r>
              <w:rPr>
                <w:rFonts w:hint="eastAsia" w:asciiTheme="minorEastAsia" w:hAnsiTheme="minorEastAsia" w:eastAsiaTheme="minorEastAsia"/>
                <w:color w:val="0D0D0D"/>
                <w:szCs w:val="21"/>
              </w:rPr>
              <w:t>1.支付方：</w:t>
            </w:r>
            <w:r>
              <w:rPr>
                <w:rFonts w:hint="eastAsia" w:asciiTheme="minorEastAsia" w:hAnsiTheme="minorEastAsia" w:eastAsiaTheme="minorEastAsia"/>
                <w:color w:val="0D0D0D"/>
                <w:szCs w:val="21"/>
              </w:rPr>
              <w:sym w:font="Wingdings" w:char="00A8"/>
            </w:r>
            <w:r>
              <w:rPr>
                <w:rFonts w:hint="eastAsia" w:asciiTheme="minorEastAsia" w:hAnsiTheme="minorEastAsia" w:eastAsiaTheme="minorEastAsia"/>
                <w:color w:val="0D0D0D"/>
                <w:szCs w:val="21"/>
              </w:rPr>
              <w:t>采购人；■中标供应商。</w:t>
            </w:r>
          </w:p>
          <w:p>
            <w:pPr>
              <w:spacing w:beforeAutospacing="0" w:afterAutospacing="0" w:line="360" w:lineRule="exact"/>
              <w:rPr>
                <w:rFonts w:asciiTheme="minorEastAsia" w:hAnsiTheme="minorEastAsia" w:eastAsiaTheme="minorEastAsia"/>
                <w:color w:val="0D0D0D"/>
                <w:szCs w:val="21"/>
              </w:rPr>
            </w:pPr>
            <w:r>
              <w:rPr>
                <w:rFonts w:hint="eastAsia" w:asciiTheme="minorEastAsia" w:hAnsiTheme="minorEastAsia" w:eastAsiaTheme="minorEastAsia"/>
                <w:color w:val="0D0D0D"/>
                <w:szCs w:val="21"/>
              </w:rPr>
              <w:t>2.支付标准：</w:t>
            </w:r>
            <w:r>
              <w:rPr>
                <w:rFonts w:hint="eastAsia" w:asciiTheme="minorEastAsia" w:hAnsiTheme="minorEastAsia" w:eastAsiaTheme="minorEastAsia"/>
                <w:color w:val="0D0D0D"/>
                <w:szCs w:val="21"/>
                <w:highlight w:val="none"/>
              </w:rPr>
              <w:t>皖南医学院2022-2025年度采购代理服务项目入库约定标准（中标价100万以上的项目按照《招标代理收费管理暂行办法》（计价格〔2002〕1980号文）的75%执行</w:t>
            </w:r>
            <w:r>
              <w:rPr>
                <w:rFonts w:hint="eastAsia" w:asciiTheme="minorEastAsia" w:hAnsiTheme="minorEastAsia" w:eastAsiaTheme="minorEastAsia"/>
                <w:color w:val="0D0D0D"/>
                <w:szCs w:val="21"/>
                <w:highlight w:val="none"/>
                <w:lang w:eastAsia="zh-CN"/>
              </w:rPr>
              <w:t>，</w:t>
            </w:r>
            <w:r>
              <w:rPr>
                <w:rFonts w:hint="eastAsia" w:asciiTheme="minorEastAsia" w:hAnsiTheme="minorEastAsia" w:eastAsiaTheme="minorEastAsia"/>
                <w:color w:val="0D0D0D"/>
                <w:szCs w:val="21"/>
                <w:highlight w:val="none"/>
              </w:rPr>
              <w:t>中标价100万以</w:t>
            </w:r>
            <w:r>
              <w:rPr>
                <w:rFonts w:hint="eastAsia" w:asciiTheme="minorEastAsia" w:hAnsiTheme="minorEastAsia" w:eastAsiaTheme="minorEastAsia"/>
                <w:color w:val="0D0D0D"/>
                <w:szCs w:val="21"/>
                <w:highlight w:val="none"/>
                <w:lang w:val="en-US" w:eastAsia="zh-CN"/>
              </w:rPr>
              <w:t>下</w:t>
            </w:r>
            <w:r>
              <w:rPr>
                <w:rFonts w:hint="eastAsia" w:asciiTheme="minorEastAsia" w:hAnsiTheme="minorEastAsia" w:eastAsiaTheme="minorEastAsia"/>
                <w:color w:val="0D0D0D"/>
                <w:szCs w:val="21"/>
                <w:highlight w:val="none"/>
              </w:rPr>
              <w:t>的项目按照《招标代理收费管理暂行办法》（计价格〔2002〕1980号文）的</w:t>
            </w:r>
            <w:r>
              <w:rPr>
                <w:rFonts w:hint="eastAsia" w:asciiTheme="minorEastAsia" w:hAnsiTheme="minorEastAsia" w:eastAsiaTheme="minorEastAsia"/>
                <w:color w:val="0D0D0D"/>
                <w:szCs w:val="21"/>
                <w:highlight w:val="none"/>
                <w:lang w:val="en-US" w:eastAsia="zh-CN"/>
              </w:rPr>
              <w:t>100</w:t>
            </w:r>
            <w:r>
              <w:rPr>
                <w:rFonts w:hint="eastAsia" w:asciiTheme="minorEastAsia" w:hAnsiTheme="minorEastAsia" w:eastAsiaTheme="minorEastAsia"/>
                <w:color w:val="0D0D0D"/>
                <w:szCs w:val="21"/>
                <w:highlight w:val="none"/>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Merge w:val="restart"/>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节能产品</w:t>
            </w:r>
          </w:p>
        </w:tc>
        <w:tc>
          <w:tcPr>
            <w:tcW w:w="6520" w:type="dxa"/>
            <w:vAlign w:val="center"/>
          </w:tcPr>
          <w:p>
            <w:pPr>
              <w:spacing w:beforeAutospacing="0" w:afterAutospacing="0" w:line="360" w:lineRule="exact"/>
              <w:rPr>
                <w:rFonts w:asciiTheme="minorEastAsia" w:hAnsiTheme="minorEastAsia" w:eastAsiaTheme="minorEastAsia"/>
                <w:color w:val="0D0D0D"/>
                <w:szCs w:val="21"/>
              </w:rPr>
            </w:pPr>
            <w:r>
              <w:rPr>
                <w:rFonts w:hint="eastAsia" w:asciiTheme="minorEastAsia" w:hAnsiTheme="minorEastAsia" w:eastAsiaTheme="minorEastAsia"/>
                <w:color w:val="0D0D0D"/>
                <w:szCs w:val="21"/>
              </w:rPr>
              <w:t>1.强制采购类节能产品：必须按品目清单要求采购，并在招标文件第四章进行说明。</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color w:val="0D0D0D"/>
                <w:szCs w:val="21"/>
              </w:rPr>
              <w:t>2.优先采购类节能产品：详见招标文件。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07" w:type="dxa"/>
            <w:vMerge w:val="continue"/>
            <w:vAlign w:val="center"/>
          </w:tcPr>
          <w:p>
            <w:pPr>
              <w:spacing w:beforeAutospacing="0" w:afterAutospacing="0" w:line="360" w:lineRule="exact"/>
              <w:jc w:val="center"/>
              <w:rPr>
                <w:rFonts w:asciiTheme="minorEastAsia" w:hAnsiTheme="minorEastAsia" w:eastAsiaTheme="minorEastAsia"/>
                <w:szCs w:val="21"/>
              </w:rPr>
            </w:pP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环境标志产品</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07" w:type="dxa"/>
            <w:vMerge w:val="restart"/>
            <w:vAlign w:val="center"/>
          </w:tcPr>
          <w:p>
            <w:pPr>
              <w:tabs>
                <w:tab w:val="left" w:pos="360"/>
                <w:tab w:val="left" w:pos="394"/>
              </w:tabs>
              <w:snapToGrid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278" w:type="dxa"/>
            <w:vMerge w:val="restart"/>
            <w:vAlign w:val="center"/>
          </w:tcPr>
          <w:p>
            <w:pPr>
              <w:tabs>
                <w:tab w:val="left" w:pos="360"/>
                <w:tab w:val="left" w:pos="394"/>
              </w:tabs>
              <w:snapToGrid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非</w:t>
            </w:r>
            <w:r>
              <w:rPr>
                <w:rFonts w:hint="eastAsia" w:asciiTheme="minorEastAsia" w:hAnsiTheme="minorEastAsia" w:eastAsiaTheme="minorEastAsia"/>
                <w:szCs w:val="21"/>
                <w:lang w:val="zh-CN"/>
              </w:rPr>
              <w:t>专门面向中小企业采购</w:t>
            </w:r>
            <w:r>
              <w:rPr>
                <w:rFonts w:hint="eastAsia" w:asciiTheme="minorEastAsia" w:hAnsiTheme="minorEastAsia" w:eastAsiaTheme="minorEastAsia"/>
                <w:szCs w:val="21"/>
              </w:rPr>
              <w:t>货物的价格扣除</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是否专门面向中小企业：□是  </w:t>
            </w:r>
            <w:r>
              <w:rPr>
                <w:rFonts w:hint="eastAsia"/>
              </w:rPr>
              <w:t>■</w:t>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Merge w:val="continue"/>
            <w:vAlign w:val="center"/>
          </w:tcPr>
          <w:p>
            <w:pPr>
              <w:tabs>
                <w:tab w:val="left" w:pos="360"/>
                <w:tab w:val="left" w:pos="394"/>
              </w:tabs>
              <w:snapToGrid w:val="0"/>
              <w:jc w:val="center"/>
              <w:textAlignment w:val="center"/>
              <w:rPr>
                <w:rFonts w:asciiTheme="minorEastAsia" w:hAnsiTheme="minorEastAsia" w:eastAsiaTheme="minorEastAsia"/>
                <w:szCs w:val="21"/>
              </w:rPr>
            </w:pPr>
          </w:p>
        </w:tc>
        <w:tc>
          <w:tcPr>
            <w:tcW w:w="1278" w:type="dxa"/>
            <w:vMerge w:val="continue"/>
            <w:vAlign w:val="center"/>
          </w:tcPr>
          <w:p>
            <w:pPr>
              <w:tabs>
                <w:tab w:val="left" w:pos="360"/>
                <w:tab w:val="left" w:pos="394"/>
              </w:tabs>
              <w:snapToGrid w:val="0"/>
              <w:jc w:val="center"/>
              <w:textAlignment w:val="center"/>
              <w:rPr>
                <w:rFonts w:asciiTheme="minorEastAsia" w:hAnsiTheme="minorEastAsia" w:eastAsiaTheme="minorEastAsia"/>
                <w:szCs w:val="21"/>
              </w:rPr>
            </w:pP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根据工业和信息化部、国家统计局、国家发展和改革委员会、财政部《关于印发中小企业划型标准规定的通知》（工信部联企业【2011】300号）及财政部、工业和信息化部《政府采购促进中小企业发展管理办法》（财库〔2020〕46号）。</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非</w:t>
            </w:r>
            <w:r>
              <w:rPr>
                <w:rFonts w:hint="eastAsia" w:asciiTheme="minorEastAsia" w:hAnsiTheme="minorEastAsia" w:eastAsiaTheme="minorEastAsia"/>
                <w:szCs w:val="21"/>
                <w:lang w:val="zh-CN"/>
              </w:rPr>
              <w:t>专门面向中小企业采购</w:t>
            </w:r>
            <w:r>
              <w:rPr>
                <w:rFonts w:hint="eastAsia" w:asciiTheme="minorEastAsia" w:hAnsiTheme="minorEastAsia" w:eastAsiaTheme="minorEastAsia"/>
                <w:szCs w:val="21"/>
              </w:rPr>
              <w:t>货物，享受中小企业扶持政策的供应商应当满足下列条件：</w:t>
            </w:r>
          </w:p>
          <w:p>
            <w:pPr>
              <w:tabs>
                <w:tab w:val="left" w:pos="360"/>
                <w:tab w:val="left" w:pos="394"/>
              </w:tabs>
              <w:snapToGrid w:val="0"/>
              <w:jc w:val="left"/>
              <w:textAlignment w:val="center"/>
              <w:rPr>
                <w:rFonts w:asciiTheme="minorEastAsia" w:hAnsiTheme="minorEastAsia" w:eastAsiaTheme="minorEastAsia"/>
                <w:szCs w:val="21"/>
                <w:lang w:val="zh-CN"/>
              </w:rPr>
            </w:pPr>
            <w:r>
              <w:rPr>
                <w:rFonts w:hint="eastAsia" w:asciiTheme="minorEastAsia" w:hAnsiTheme="minorEastAsia" w:eastAsiaTheme="minorEastAsia"/>
                <w:szCs w:val="21"/>
              </w:rPr>
              <w:t>1.供应商</w:t>
            </w:r>
            <w:r>
              <w:rPr>
                <w:rFonts w:hint="eastAsia" w:asciiTheme="minorEastAsia" w:hAnsiTheme="minorEastAsia" w:eastAsiaTheme="minorEastAsia"/>
                <w:szCs w:val="21"/>
                <w:lang w:val="zh-CN"/>
              </w:rPr>
              <w:t>提供</w:t>
            </w:r>
            <w:r>
              <w:rPr>
                <w:rFonts w:hint="eastAsia" w:asciiTheme="minorEastAsia" w:hAnsiTheme="minorEastAsia" w:eastAsiaTheme="minorEastAsia"/>
                <w:szCs w:val="21"/>
              </w:rPr>
              <w:t>的货物（本项目涉及的服务不做要求）全部为</w:t>
            </w:r>
            <w:r>
              <w:rPr>
                <w:rFonts w:hint="eastAsia" w:asciiTheme="minorEastAsia" w:hAnsiTheme="minorEastAsia" w:eastAsiaTheme="minorEastAsia"/>
                <w:szCs w:val="21"/>
                <w:lang w:val="zh-CN"/>
              </w:rPr>
              <w:t>小型企业、微型企业、</w:t>
            </w:r>
            <w:r>
              <w:rPr>
                <w:rFonts w:hint="eastAsia" w:asciiTheme="minorEastAsia" w:hAnsiTheme="minorEastAsia" w:eastAsiaTheme="minorEastAsia"/>
                <w:szCs w:val="21"/>
              </w:rPr>
              <w:t>监狱企业或残疾人福利性单位</w:t>
            </w:r>
            <w:r>
              <w:rPr>
                <w:rFonts w:hint="eastAsia" w:asciiTheme="minorEastAsia" w:hAnsiTheme="minorEastAsia" w:eastAsiaTheme="minorEastAsia"/>
                <w:szCs w:val="21"/>
                <w:lang w:val="zh-CN"/>
              </w:rPr>
              <w:t>制造，给予</w:t>
            </w:r>
            <w:r>
              <w:rPr>
                <w:rFonts w:hint="eastAsia" w:asciiTheme="minorEastAsia" w:hAnsiTheme="minorEastAsia" w:eastAsiaTheme="minorEastAsia"/>
                <w:szCs w:val="21"/>
              </w:rPr>
              <w:t>10</w:t>
            </w:r>
            <w:r>
              <w:rPr>
                <w:rFonts w:hint="eastAsia" w:asciiTheme="minorEastAsia" w:hAnsiTheme="minorEastAsia" w:eastAsiaTheme="minorEastAsia"/>
                <w:szCs w:val="21"/>
                <w:lang w:val="zh-CN"/>
              </w:rPr>
              <w:t>%的价格扣除，用扣除后的价格参与评审。</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1.1.货物为</w:t>
            </w:r>
            <w:r>
              <w:rPr>
                <w:rFonts w:hint="eastAsia" w:asciiTheme="minorEastAsia" w:hAnsiTheme="minorEastAsia" w:eastAsiaTheme="minorEastAsia"/>
                <w:szCs w:val="21"/>
                <w:lang w:val="zh-CN"/>
              </w:rPr>
              <w:t>小型企业、微型</w:t>
            </w:r>
            <w:r>
              <w:rPr>
                <w:rFonts w:hint="eastAsia" w:asciiTheme="minorEastAsia" w:hAnsiTheme="minorEastAsia" w:eastAsiaTheme="minorEastAsia"/>
                <w:szCs w:val="21"/>
              </w:rPr>
              <w:t>企业</w:t>
            </w:r>
            <w:r>
              <w:rPr>
                <w:rFonts w:hint="eastAsia" w:asciiTheme="minorEastAsia" w:hAnsiTheme="minorEastAsia" w:eastAsiaTheme="minorEastAsia"/>
                <w:szCs w:val="21"/>
                <w:lang w:val="zh-CN"/>
              </w:rPr>
              <w:t>制造</w:t>
            </w:r>
            <w:r>
              <w:rPr>
                <w:rFonts w:hint="eastAsia" w:asciiTheme="minorEastAsia" w:hAnsiTheme="minorEastAsia" w:eastAsiaTheme="minorEastAsia"/>
                <w:szCs w:val="21"/>
              </w:rPr>
              <w:t>，投标供应商应当在投标文件中提供有效的《中小企业声明函》，并对其真实性负责。</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1.2货物为监狱企业</w:t>
            </w:r>
            <w:r>
              <w:rPr>
                <w:rFonts w:hint="eastAsia" w:asciiTheme="minorEastAsia" w:hAnsiTheme="minorEastAsia" w:eastAsiaTheme="minorEastAsia"/>
                <w:szCs w:val="21"/>
                <w:lang w:val="zh-CN"/>
              </w:rPr>
              <w:t>制造</w:t>
            </w:r>
            <w:r>
              <w:rPr>
                <w:rFonts w:hint="eastAsia" w:asciiTheme="minorEastAsia" w:hAnsiTheme="minorEastAsia" w:eastAsiaTheme="minorEastAsia"/>
                <w:szCs w:val="21"/>
              </w:rPr>
              <w:t>，投标供应商应当在投标文件中提供由省级以上监狱管理局、戒毒管理局（含新疆建设生产兵团）出具的属于监狱企业的证明文件，不再列入《中小企业声明函》，不重复享受政策。</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监狱企业：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1.3货物为残疾人福利性单位</w:t>
            </w:r>
            <w:r>
              <w:rPr>
                <w:rFonts w:hint="eastAsia" w:asciiTheme="minorEastAsia" w:hAnsiTheme="minorEastAsia" w:eastAsiaTheme="minorEastAsia"/>
                <w:szCs w:val="21"/>
                <w:lang w:val="zh-CN"/>
              </w:rPr>
              <w:t>制造，</w:t>
            </w:r>
            <w:r>
              <w:rPr>
                <w:rFonts w:hint="eastAsia" w:asciiTheme="minorEastAsia" w:hAnsiTheme="minorEastAsia" w:eastAsiaTheme="minorEastAsia"/>
                <w:szCs w:val="21"/>
              </w:rPr>
              <w:t>投标供应商应当在投标文件中提供由141号文规定的《残疾人福利性单位声明函》，不再列入《中小企业声明函》，不重复享受政策。</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rPr>
              <w:t>残疾人福利性单位：根据财政部民政部《中国残疾人联合会关于促进残疾人就业政府采购政策的通知》（财库【2017】141号）的规定</w:t>
            </w:r>
            <w:r>
              <w:rPr>
                <w:rFonts w:hint="eastAsia" w:asciiTheme="minorEastAsia" w:hAnsiTheme="minorEastAsia" w:eastAsiaTheme="minor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278" w:type="dxa"/>
            <w:vAlign w:val="center"/>
          </w:tcPr>
          <w:p>
            <w:pPr>
              <w:pStyle w:val="7"/>
              <w:jc w:val="center"/>
              <w:rPr>
                <w:rFonts w:asciiTheme="minorEastAsia" w:hAnsiTheme="minorEastAsia" w:eastAsiaTheme="minorEastAsia"/>
                <w:szCs w:val="21"/>
              </w:rPr>
            </w:pPr>
            <w:r>
              <w:rPr>
                <w:rFonts w:hint="eastAsia" w:asciiTheme="minorEastAsia" w:hAnsiTheme="minorEastAsia" w:eastAsiaTheme="minorEastAsia"/>
                <w:szCs w:val="21"/>
              </w:rPr>
              <w:t>主要中标标的名称、规格型号、数量、单价、服务要求等</w:t>
            </w:r>
          </w:p>
        </w:tc>
        <w:tc>
          <w:tcPr>
            <w:tcW w:w="6520" w:type="dxa"/>
            <w:vAlign w:val="center"/>
          </w:tcPr>
          <w:p>
            <w:pPr>
              <w:pStyle w:val="7"/>
              <w:rPr>
                <w:rFonts w:asciiTheme="minorEastAsia" w:hAnsiTheme="minorEastAsia" w:eastAsiaTheme="minorEastAsia"/>
                <w:szCs w:val="21"/>
              </w:rPr>
            </w:pPr>
            <w:r>
              <w:rPr>
                <w:rFonts w:hint="eastAsia" w:asciiTheme="minorEastAsia" w:hAnsiTheme="minorEastAsia" w:eastAsiaTheme="minorEastAsia"/>
                <w:szCs w:val="21"/>
              </w:rPr>
              <w:t>依据《中华人民共和国政府采购法实施条例》（国务院令第658号）规定：</w:t>
            </w:r>
          </w:p>
          <w:p>
            <w:pPr>
              <w:pStyle w:val="7"/>
              <w:rPr>
                <w:rFonts w:asciiTheme="minorEastAsia" w:hAnsiTheme="minorEastAsia" w:eastAsiaTheme="minorEastAsia"/>
                <w:szCs w:val="21"/>
              </w:rPr>
            </w:pPr>
            <w:r>
              <w:rPr>
                <w:rFonts w:hint="eastAsia" w:asciiTheme="minorEastAsia" w:hAnsiTheme="minorEastAsia" w:eastAsiaTheme="minorEastAsia"/>
                <w:szCs w:val="21"/>
              </w:rPr>
              <w:t>本项目将对中标供应商的主要中标标的名称、规格型号、数量、单价、服务要求等，经评标委员会评审认可后随评标结果一并公示。参加本次采购活动的供应商应当在投标文件中提供有效的《主要中标标的承诺函》，如有虚假，将取消其中标资格并上报处理。</w:t>
            </w:r>
          </w:p>
          <w:p>
            <w:pPr>
              <w:pStyle w:val="7"/>
              <w:rPr>
                <w:rFonts w:asciiTheme="minorEastAsia" w:hAnsiTheme="minorEastAsia" w:eastAsiaTheme="minorEastAsia"/>
                <w:szCs w:val="21"/>
              </w:rPr>
            </w:pPr>
            <w:r>
              <w:rPr>
                <w:rFonts w:hint="eastAsia" w:asciiTheme="minorEastAsia" w:hAnsiTheme="minorEastAsia" w:eastAsiaTheme="minorEastAsia"/>
                <w:szCs w:val="21"/>
              </w:rPr>
              <w:t>注：主要中标标的由采购人根据项目情况设定，至少应包含核心产品。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278"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同品牌多家供应商处理原则</w:t>
            </w:r>
          </w:p>
        </w:tc>
        <w:tc>
          <w:tcPr>
            <w:tcW w:w="6520" w:type="dxa"/>
            <w:vAlign w:val="center"/>
          </w:tcPr>
          <w:p>
            <w:pPr>
              <w:pStyle w:val="7"/>
              <w:rPr>
                <w:rFonts w:asciiTheme="minorEastAsia" w:hAnsiTheme="minorEastAsia" w:eastAsiaTheme="minorEastAsia"/>
                <w:szCs w:val="21"/>
              </w:rPr>
            </w:pPr>
            <w:r>
              <w:rPr>
                <w:rFonts w:hint="eastAsia" w:asciiTheme="minorEastAsia" w:hAnsiTheme="minorEastAsia" w:eastAsiaTheme="minorEastAsia"/>
                <w:szCs w:val="21"/>
              </w:rPr>
              <w:t>1.最低评标价法：提供相同品牌产品的不同供应商参加同一分包项目投标的，以其中通过资格审查、符合性审查且评标价最低的参加评标。评标价相同的，按照以下方式确定一个参加评标的供应商，其他投标无效。</w:t>
            </w:r>
          </w:p>
          <w:p>
            <w:pPr>
              <w:pStyle w:val="7"/>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随机抽取</w:t>
            </w:r>
          </w:p>
          <w:p>
            <w:pPr>
              <w:pStyle w:val="7"/>
              <w:rPr>
                <w:rFonts w:asciiTheme="minorEastAsia" w:hAnsiTheme="minorEastAsia" w:eastAsiaTheme="minorEastAsia"/>
                <w:szCs w:val="21"/>
              </w:rPr>
            </w:pPr>
            <w:r>
              <w:rPr>
                <w:rFonts w:hint="eastAsia" w:asciiTheme="minorEastAsia" w:hAnsiTheme="minorEastAsia" w:eastAsiaTheme="minorEastAsia"/>
                <w:szCs w:val="21"/>
              </w:rPr>
              <w:t>□其他____________________</w:t>
            </w:r>
          </w:p>
          <w:p>
            <w:pPr>
              <w:pStyle w:val="7"/>
              <w:rPr>
                <w:rFonts w:asciiTheme="minorEastAsia" w:hAnsiTheme="minorEastAsia" w:eastAsiaTheme="minorEastAsia"/>
                <w:szCs w:val="21"/>
              </w:rPr>
            </w:pPr>
            <w:r>
              <w:rPr>
                <w:rFonts w:hint="eastAsia" w:asciiTheme="minorEastAsia" w:hAnsiTheme="minorEastAsia" w:eastAsiaTheme="minorEastAsia"/>
                <w:szCs w:val="21"/>
              </w:rPr>
              <w:t>2.综合评分法：提供相同品牌产品且通过资格审查、符合性审查的不同供应商参加同一分包项目投标的，按一家供应商计算，评审后得分最高的同品牌供应商获得中标供应商推荐资格；评审得分相同的，按照以下方式确定一个供应商获得中标供应商推荐资格，其他同品牌供应商不作为中标候选供应商。</w:t>
            </w:r>
          </w:p>
          <w:p>
            <w:pPr>
              <w:pStyle w:val="7"/>
              <w:rPr>
                <w:rFonts w:asciiTheme="minorEastAsia" w:hAnsiTheme="minorEastAsia" w:eastAsiaTheme="minorEastAsia"/>
                <w:szCs w:val="21"/>
              </w:rPr>
            </w:pPr>
            <w:r>
              <w:rPr>
                <w:rFonts w:hint="eastAsia" w:asciiTheme="minorEastAsia" w:hAnsiTheme="minorEastAsia" w:eastAsiaTheme="minorEastAsia"/>
                <w:szCs w:val="21"/>
              </w:rPr>
              <w:t>□随机抽取</w:t>
            </w:r>
          </w:p>
          <w:p>
            <w:pPr>
              <w:pStyle w:val="7"/>
              <w:rPr>
                <w:rFonts w:asciiTheme="minorEastAsia" w:hAnsiTheme="minorEastAsia" w:eastAsiaTheme="minorEastAsia"/>
                <w:szCs w:val="21"/>
              </w:rPr>
            </w:pPr>
            <w:r>
              <w:rPr>
                <w:rFonts w:hint="eastAsia" w:asciiTheme="minorEastAsia" w:hAnsiTheme="minorEastAsia" w:eastAsiaTheme="minorEastAsia"/>
                <w:szCs w:val="21"/>
              </w:rPr>
              <w:t>□其他____________________</w:t>
            </w:r>
          </w:p>
          <w:p>
            <w:pPr>
              <w:pStyle w:val="7"/>
              <w:rPr>
                <w:rFonts w:asciiTheme="minorEastAsia" w:hAnsiTheme="minorEastAsia" w:eastAsiaTheme="minorEastAsia"/>
                <w:szCs w:val="21"/>
              </w:rPr>
            </w:pPr>
            <w:r>
              <w:rPr>
                <w:rFonts w:hint="eastAsia" w:asciiTheme="minorEastAsia" w:hAnsiTheme="minorEastAsia" w:eastAsiaTheme="minorEastAsia"/>
                <w:szCs w:val="21"/>
              </w:rPr>
              <w:t>3.</w:t>
            </w:r>
            <w:r>
              <w:rPr>
                <w:rFonts w:cs="Arial" w:asciiTheme="minorEastAsia" w:hAnsiTheme="minorEastAsia" w:eastAsiaTheme="minorEastAsia"/>
                <w:szCs w:val="21"/>
              </w:rPr>
              <w:t>非单一产品采购项目，采购人应当根据采购项目技术构成、产品价格比重等合理确定核心产品，并在招标文件中载明。多家供应商提供的核心产品品牌相同的，按前两款规定</w:t>
            </w:r>
            <w:r>
              <w:rPr>
                <w:rFonts w:hint="eastAsia" w:cs="Arial" w:asciiTheme="minorEastAsia" w:hAnsiTheme="minorEastAsia" w:eastAsiaTheme="minorEastAsia"/>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278" w:type="dxa"/>
            <w:vAlign w:val="center"/>
          </w:tcPr>
          <w:p>
            <w:pPr>
              <w:pStyle w:val="7"/>
              <w:rPr>
                <w:rFonts w:asciiTheme="minorEastAsia" w:hAnsiTheme="minorEastAsia" w:eastAsiaTheme="minorEastAsia"/>
                <w:szCs w:val="21"/>
              </w:rPr>
            </w:pPr>
            <w:r>
              <w:rPr>
                <w:rFonts w:hint="eastAsia" w:cs="Arial" w:asciiTheme="minorEastAsia" w:hAnsiTheme="minorEastAsia" w:eastAsiaTheme="minorEastAsia"/>
                <w:szCs w:val="21"/>
              </w:rPr>
              <w:t>政府采购监督管理部门</w:t>
            </w:r>
          </w:p>
        </w:tc>
        <w:tc>
          <w:tcPr>
            <w:tcW w:w="6520" w:type="dxa"/>
            <w:vAlign w:val="center"/>
          </w:tcPr>
          <w:p>
            <w:pPr>
              <w:spacing w:beforeAutospacing="0" w:afterAutospacing="0" w:line="360" w:lineRule="exact"/>
              <w:rPr>
                <w:rFonts w:asciiTheme="minorEastAsia" w:hAnsiTheme="minorEastAsia" w:eastAsiaTheme="minorEastAsia"/>
                <w:szCs w:val="21"/>
                <w:lang w:val="zh-CN"/>
              </w:rPr>
            </w:pPr>
            <w:r>
              <w:rPr>
                <w:rFonts w:hint="eastAsia" w:asciiTheme="minorEastAsia" w:hAnsiTheme="minorEastAsia" w:eastAsiaTheme="minorEastAsia"/>
                <w:szCs w:val="21"/>
              </w:rPr>
              <w:t>名称：安徽省财政厅</w:t>
            </w:r>
          </w:p>
          <w:p>
            <w:pPr>
              <w:spacing w:beforeAutospacing="0" w:afterAutospacing="0" w:line="360" w:lineRule="exact"/>
              <w:rPr>
                <w:rFonts w:asciiTheme="minorEastAsia" w:hAnsiTheme="minorEastAsia" w:eastAsiaTheme="minorEastAsia"/>
                <w:szCs w:val="21"/>
                <w:lang w:val="zh-CN"/>
              </w:rPr>
            </w:pPr>
            <w:r>
              <w:rPr>
                <w:rFonts w:hint="eastAsia" w:asciiTheme="minorEastAsia" w:hAnsiTheme="minorEastAsia" w:eastAsiaTheme="minorEastAsia"/>
                <w:szCs w:val="21"/>
              </w:rPr>
              <w:t>地 址：合肥市阜南西路238号</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电 话：0551-68150309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信用标评分</w:t>
            </w:r>
          </w:p>
        </w:tc>
        <w:tc>
          <w:tcPr>
            <w:tcW w:w="6520" w:type="dxa"/>
            <w:vAlign w:val="center"/>
          </w:tcPr>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本项目不启用信用标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beforeAutospacing="0" w:afterAutospacing="0" w:line="360" w:lineRule="exact"/>
              <w:jc w:val="center"/>
              <w:rPr>
                <w:rFonts w:asciiTheme="minorEastAsia" w:hAnsiTheme="minorEastAsia" w:eastAsiaTheme="minorEastAsia"/>
                <w:szCs w:val="21"/>
              </w:rPr>
            </w:pPr>
            <w:r>
              <w:rPr>
                <w:rFonts w:hint="eastAsia" w:ascii="宋体" w:hAnsi="宋体"/>
              </w:rPr>
              <w:t>其他要求</w:t>
            </w:r>
          </w:p>
        </w:tc>
        <w:tc>
          <w:tcPr>
            <w:tcW w:w="6520" w:type="dxa"/>
            <w:vAlign w:val="center"/>
          </w:tcPr>
          <w:p>
            <w:pPr>
              <w:pStyle w:val="7"/>
              <w:rPr>
                <w:rFonts w:cs="Arial" w:asciiTheme="minorEastAsia" w:hAnsiTheme="minorEastAsia" w:eastAsiaTheme="minorEastAsia"/>
                <w:szCs w:val="21"/>
              </w:rPr>
            </w:pPr>
            <w:r>
              <w:rPr>
                <w:rFonts w:hint="eastAsia" w:cs="Arial" w:asciiTheme="minorEastAsia" w:hAnsiTheme="minorEastAsia" w:eastAsiaTheme="minorEastAsia"/>
                <w:szCs w:val="21"/>
              </w:rPr>
              <w:t>本项目中涉及商品包装、快递包装的，供应商须按照《财政部办公厅 生态环境部办公厅 国家邮政局办公室关于印发&lt;商品包装政府采购需求标准（试行）&gt;、&lt;快递包装政府采购需求标准（试行）&gt;的通知》执行。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6520" w:type="dxa"/>
            <w:vAlign w:val="center"/>
          </w:tcPr>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1.当招标文件通用部分和该专用部分不一致时，以此专用部分为准。</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2.说明：■表示采用条款，</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表示不采用条款。</w:t>
            </w:r>
          </w:p>
          <w:p>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3.诚信投标温馨提示：参加本次采购活动的供应商在投标文件中提供的所有资料均应真实，如有虚假，将被取消中标资格并承担不利法律后果。</w:t>
            </w:r>
          </w:p>
        </w:tc>
      </w:tr>
    </w:tbl>
    <w:p/>
    <w:p>
      <w:pPr>
        <w:rPr>
          <w:rFonts w:ascii="宋体" w:hAnsi="宋体"/>
          <w:sz w:val="24"/>
          <w:szCs w:val="24"/>
        </w:rPr>
      </w:pPr>
      <w:r>
        <w:rPr>
          <w:rFonts w:hint="eastAsia" w:ascii="宋体" w:hAnsi="宋体"/>
          <w:sz w:val="24"/>
          <w:szCs w:val="24"/>
        </w:rPr>
        <w:br w:type="page"/>
      </w:r>
    </w:p>
    <w:p>
      <w:pPr>
        <w:pStyle w:val="4"/>
        <w:spacing w:beforeAutospacing="0" w:afterAutospacing="0" w:line="500" w:lineRule="exact"/>
        <w:jc w:val="center"/>
      </w:pPr>
      <w:r>
        <w:rPr>
          <w:rFonts w:hint="eastAsia"/>
        </w:rPr>
        <w:t>第三章  合同条款前附表</w:t>
      </w:r>
    </w:p>
    <w:p>
      <w:pPr>
        <w:spacing w:beforeAutospacing="0" w:afterAutospacing="0" w:line="360" w:lineRule="auto"/>
        <w:jc w:val="center"/>
        <w:rPr>
          <w:rFonts w:ascii="宋体" w:hAnsi="宋体"/>
          <w:b/>
          <w:sz w:val="28"/>
          <w:szCs w:val="28"/>
        </w:rPr>
      </w:pPr>
      <w:r>
        <w:rPr>
          <w:rFonts w:hint="eastAsia" w:ascii="宋体" w:hAnsi="宋体"/>
          <w:b/>
          <w:sz w:val="28"/>
          <w:szCs w:val="28"/>
        </w:rPr>
        <w:t>合同条款前附表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7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exact"/>
              <w:jc w:val="center"/>
              <w:rPr>
                <w:rFonts w:ascii="宋体" w:hAnsi="宋体"/>
                <w:szCs w:val="21"/>
              </w:rPr>
            </w:pPr>
            <w:r>
              <w:rPr>
                <w:rFonts w:hint="eastAsia" w:ascii="宋体" w:hAnsi="宋体"/>
                <w:szCs w:val="21"/>
              </w:rPr>
              <w:t>1</w:t>
            </w:r>
          </w:p>
        </w:tc>
        <w:tc>
          <w:tcPr>
            <w:tcW w:w="720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exact"/>
              <w:rPr>
                <w:rFonts w:ascii="宋体" w:hAnsi="宋体"/>
                <w:szCs w:val="21"/>
              </w:rPr>
            </w:pPr>
            <w:r>
              <w:rPr>
                <w:rFonts w:hint="eastAsia" w:ascii="宋体" w:hAnsi="宋体"/>
                <w:szCs w:val="21"/>
              </w:rPr>
              <w:t>履约地点为：皖南医学院</w:t>
            </w:r>
          </w:p>
          <w:p>
            <w:pPr>
              <w:spacing w:beforeAutospacing="0" w:afterAutospacing="0" w:line="360" w:lineRule="exact"/>
              <w:rPr>
                <w:rFonts w:ascii="宋体" w:hAnsi="宋体"/>
                <w:szCs w:val="21"/>
              </w:rPr>
            </w:pPr>
            <w:r>
              <w:rPr>
                <w:rFonts w:hint="eastAsia" w:ascii="宋体" w:hAnsi="宋体"/>
                <w:szCs w:val="21"/>
              </w:rPr>
              <w:t>（注：由采购人指定本项目履约地点）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exact"/>
              <w:jc w:val="center"/>
              <w:rPr>
                <w:rFonts w:ascii="宋体" w:hAnsi="宋体"/>
                <w:szCs w:val="21"/>
              </w:rPr>
            </w:pPr>
            <w:r>
              <w:rPr>
                <w:rFonts w:hint="eastAsia" w:ascii="宋体" w:hAnsi="宋体"/>
                <w:szCs w:val="21"/>
              </w:rPr>
              <w:t>2</w:t>
            </w:r>
          </w:p>
        </w:tc>
        <w:tc>
          <w:tcPr>
            <w:tcW w:w="720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exact"/>
            </w:pPr>
            <w:r>
              <w:rPr>
                <w:rFonts w:hint="eastAsia"/>
              </w:rPr>
              <w:t>预付款：□无   ■有，金额/比例为：</w:t>
            </w:r>
          </w:p>
          <w:p>
            <w:pPr>
              <w:spacing w:beforeAutospacing="0" w:afterAutospacing="0" w:line="360" w:lineRule="exact"/>
            </w:pPr>
            <w:r>
              <w:rPr>
                <w:rFonts w:hint="eastAsia"/>
              </w:rPr>
              <w:t>付款应按下列条件进行：（1）合同签订并收到中标供应商提供的等额预付款保函，采购人支付合同价款的25%；（2）设备安装调试完毕且验收合格正常能使用后一次性付清剩余合同价款。</w:t>
            </w:r>
          </w:p>
          <w:p>
            <w:pPr>
              <w:spacing w:beforeAutospacing="0" w:afterAutospacing="0" w:line="360" w:lineRule="exact"/>
            </w:pPr>
            <w:r>
              <w:rPr>
                <w:rFonts w:hint="eastAsia"/>
              </w:rPr>
              <w:t>注：（1）本项目为教育贴息贷款更新教育装备采购项目，执行政府采购预付款制度，同时要求中标供应商提供预付款保函。（2）付款前中标供应商须按要求开具正规的发票。（3）预付款保函形式：银行保函。（4）预付款保函递交要求：银行保函将原件交至招标人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exact"/>
              <w:jc w:val="center"/>
              <w:rPr>
                <w:rFonts w:ascii="宋体" w:hAnsi="宋体"/>
                <w:szCs w:val="21"/>
              </w:rPr>
            </w:pPr>
            <w:r>
              <w:rPr>
                <w:rFonts w:hint="eastAsia" w:ascii="宋体" w:hAnsi="宋体"/>
                <w:szCs w:val="21"/>
              </w:rPr>
              <w:t>3</w:t>
            </w:r>
          </w:p>
        </w:tc>
        <w:tc>
          <w:tcPr>
            <w:tcW w:w="720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exact"/>
              <w:rPr>
                <w:rFonts w:ascii="宋体" w:hAnsi="宋体"/>
                <w:szCs w:val="21"/>
              </w:rPr>
            </w:pPr>
            <w:r>
              <w:rPr>
                <w:rFonts w:hint="eastAsia" w:ascii="宋体" w:hAnsi="宋体"/>
                <w:szCs w:val="21"/>
              </w:rPr>
              <w:t>索赔方式：在合同中约定。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exact"/>
              <w:jc w:val="center"/>
              <w:rPr>
                <w:rFonts w:ascii="宋体" w:hAnsi="宋体"/>
                <w:szCs w:val="21"/>
              </w:rPr>
            </w:pPr>
            <w:r>
              <w:rPr>
                <w:rFonts w:hint="eastAsia" w:ascii="宋体" w:hAnsi="宋体"/>
                <w:szCs w:val="21"/>
              </w:rPr>
              <w:t>4</w:t>
            </w:r>
          </w:p>
        </w:tc>
        <w:tc>
          <w:tcPr>
            <w:tcW w:w="720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exact"/>
              <w:rPr>
                <w:rFonts w:ascii="宋体" w:hAnsi="宋体"/>
                <w:szCs w:val="21"/>
              </w:rPr>
            </w:pPr>
            <w:r>
              <w:rPr>
                <w:rFonts w:hint="eastAsia" w:ascii="宋体" w:hAnsi="宋体"/>
                <w:szCs w:val="21"/>
              </w:rPr>
              <w:t>本合同买方为：皖南医学院</w:t>
            </w:r>
          </w:p>
          <w:p>
            <w:pPr>
              <w:spacing w:beforeAutospacing="0" w:afterAutospacing="0" w:line="360" w:lineRule="exact"/>
              <w:rPr>
                <w:rFonts w:ascii="宋体" w:hAnsi="宋体"/>
                <w:szCs w:val="21"/>
              </w:rPr>
            </w:pPr>
            <w:r>
              <w:rPr>
                <w:rFonts w:hint="eastAsia" w:ascii="宋体" w:hAnsi="宋体"/>
                <w:szCs w:val="21"/>
              </w:rPr>
              <w:t>交货时间（供货期）：</w:t>
            </w:r>
            <w:r>
              <w:rPr>
                <w:rFonts w:hint="eastAsia"/>
                <w:sz w:val="22"/>
                <w:lang w:val="en-US" w:eastAsia="zh-CN"/>
              </w:rPr>
              <w:t>合同签订后10个</w:t>
            </w:r>
            <w:r>
              <w:rPr>
                <w:rFonts w:hint="eastAsia" w:eastAsiaTheme="minorEastAsia"/>
                <w:sz w:val="22"/>
              </w:rPr>
              <w:t>日历天</w:t>
            </w:r>
          </w:p>
          <w:p>
            <w:pPr>
              <w:spacing w:beforeAutospacing="0" w:afterAutospacing="0" w:line="360" w:lineRule="exact"/>
              <w:rPr>
                <w:rFonts w:ascii="宋体" w:hAnsi="宋体"/>
                <w:szCs w:val="21"/>
              </w:rPr>
            </w:pPr>
            <w:r>
              <w:rPr>
                <w:rFonts w:hint="eastAsia" w:ascii="宋体" w:hAnsi="宋体"/>
                <w:szCs w:val="21"/>
              </w:rPr>
              <w:t>质保期：3年</w:t>
            </w:r>
          </w:p>
          <w:p>
            <w:pPr>
              <w:spacing w:beforeAutospacing="0" w:afterAutospacing="0" w:line="360" w:lineRule="exact"/>
              <w:rPr>
                <w:rFonts w:ascii="宋体" w:hAnsi="宋体"/>
                <w:szCs w:val="21"/>
              </w:rPr>
            </w:pPr>
            <w:r>
              <w:rPr>
                <w:rFonts w:hint="eastAsia" w:ascii="宋体" w:hAnsi="宋体"/>
                <w:szCs w:val="21"/>
              </w:rPr>
              <w:t>交货地点：皖南医学院</w:t>
            </w:r>
          </w:p>
          <w:p>
            <w:pPr>
              <w:spacing w:beforeAutospacing="0" w:afterAutospacing="0" w:line="360" w:lineRule="exact"/>
              <w:rPr>
                <w:rFonts w:ascii="宋体" w:hAnsi="宋体"/>
                <w:szCs w:val="21"/>
              </w:rPr>
            </w:pPr>
            <w:r>
              <w:rPr>
                <w:rFonts w:hint="eastAsia" w:ascii="宋体" w:hAnsi="宋体"/>
                <w:szCs w:val="21"/>
              </w:rPr>
              <w:t>代理机构：安徽安兆工程技术咨询服务有限公司</w:t>
            </w:r>
          </w:p>
        </w:tc>
      </w:tr>
    </w:tbl>
    <w:p>
      <w:pPr>
        <w:spacing w:before="120" w:beforeLines="50" w:beforeAutospacing="1" w:after="72" w:afterLines="30" w:afterAutospacing="1" w:line="360" w:lineRule="auto"/>
        <w:rPr>
          <w:rFonts w:ascii="宋体" w:hAnsi="宋体"/>
          <w:sz w:val="24"/>
          <w:szCs w:val="24"/>
        </w:rPr>
      </w:pPr>
      <w:r>
        <w:rPr>
          <w:rFonts w:hint="eastAsia" w:ascii="宋体" w:hAnsi="宋体"/>
          <w:sz w:val="24"/>
          <w:szCs w:val="24"/>
        </w:rPr>
        <w:t>备注：采购合同格式见通用部分，采购人提供采购合同文本的，按采购人提供的采购合同文本签订合同。</w:t>
      </w:r>
    </w:p>
    <w:p>
      <w:pPr>
        <w:pStyle w:val="4"/>
        <w:spacing w:beforeAutospacing="0" w:afterAutospacing="0" w:line="500" w:lineRule="exact"/>
        <w:jc w:val="center"/>
      </w:pPr>
      <w:r>
        <w:br w:type="page"/>
      </w:r>
      <w:r>
        <w:rPr>
          <w:rFonts w:hint="eastAsia"/>
        </w:rPr>
        <w:t>第四章  采购需求</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备注：</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1.以下《采购需求说明》及《采购需求一览表》所列内容为采购人所提采购需求，供应商应认真仔细研究，投标时应慎重选择相应的产品及技术参数、规格型号等进行投标。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ascii="宋体" w:hAnsi="宋体"/>
          <w:b/>
          <w:color w:val="FF0000"/>
          <w:sz w:val="24"/>
          <w:szCs w:val="24"/>
        </w:rPr>
      </w:pPr>
      <w:r>
        <w:rPr>
          <w:rFonts w:hint="eastAsia" w:ascii="宋体" w:hAnsi="宋体" w:eastAsia="宋体" w:cs="Times New Roman"/>
          <w:b/>
          <w:color w:val="auto"/>
          <w:sz w:val="24"/>
          <w:szCs w:val="24"/>
          <w:highlight w:val="none"/>
          <w:lang w:val="en-US" w:eastAsia="zh-CN"/>
        </w:rPr>
        <w:t>2.采购</w:t>
      </w:r>
      <w:r>
        <w:rPr>
          <w:rFonts w:hint="eastAsia" w:ascii="宋体" w:hAnsi="宋体" w:cs="Times New Roman"/>
          <w:b/>
          <w:color w:val="auto"/>
          <w:sz w:val="24"/>
          <w:szCs w:val="24"/>
          <w:highlight w:val="none"/>
          <w:lang w:val="en-US" w:eastAsia="zh-CN"/>
        </w:rPr>
        <w:t>需求中各项参数均不得有负偏离，否则投标无效。</w:t>
      </w:r>
      <w:r>
        <w:rPr>
          <w:rFonts w:hint="eastAsia" w:ascii="宋体" w:hAnsi="宋体"/>
          <w:b/>
          <w:color w:val="FF0000"/>
          <w:sz w:val="24"/>
          <w:szCs w:val="24"/>
          <w:highlight w:val="none"/>
          <w:lang w:val="en-US" w:eastAsia="zh-CN"/>
        </w:rPr>
        <w:t>其中</w:t>
      </w:r>
      <w:r>
        <w:rPr>
          <w:rFonts w:hint="eastAsia" w:ascii="宋体" w:hAnsi="宋体" w:cs="Times New Roman"/>
          <w:b/>
          <w:color w:val="FF0000"/>
          <w:sz w:val="24"/>
          <w:szCs w:val="24"/>
          <w:highlight w:val="none"/>
        </w:rPr>
        <w:t>标有*的参数</w:t>
      </w:r>
      <w:r>
        <w:rPr>
          <w:rFonts w:hint="eastAsia" w:ascii="宋体" w:hAnsi="宋体" w:cs="Times New Roman"/>
          <w:b/>
          <w:color w:val="FF0000"/>
          <w:sz w:val="24"/>
          <w:szCs w:val="24"/>
          <w:highlight w:val="none"/>
          <w:lang w:eastAsia="zh-CN"/>
        </w:rPr>
        <w:t>，</w:t>
      </w:r>
      <w:r>
        <w:rPr>
          <w:rFonts w:hint="eastAsia" w:ascii="宋体" w:hAnsi="宋体" w:cs="Times New Roman"/>
          <w:b/>
          <w:color w:val="FF0000"/>
          <w:sz w:val="24"/>
          <w:szCs w:val="24"/>
          <w:highlight w:val="none"/>
          <w:lang w:val="en-US" w:eastAsia="zh-CN"/>
        </w:rPr>
        <w:t>必须提供</w:t>
      </w:r>
      <w:r>
        <w:rPr>
          <w:rFonts w:hint="eastAsia" w:ascii="宋体" w:hAnsi="宋体"/>
          <w:b/>
          <w:color w:val="FF0000"/>
          <w:sz w:val="24"/>
          <w:szCs w:val="24"/>
          <w:highlight w:val="none"/>
          <w:lang w:eastAsia="zh-CN"/>
        </w:rPr>
        <w:t>支持资料，</w:t>
      </w:r>
      <w:r>
        <w:rPr>
          <w:rFonts w:hint="eastAsia" w:ascii="宋体" w:hAnsi="宋体"/>
          <w:b/>
          <w:color w:val="FF0000"/>
          <w:sz w:val="24"/>
          <w:szCs w:val="24"/>
          <w:highlight w:val="none"/>
          <w:lang w:val="en-US" w:eastAsia="zh-CN"/>
        </w:rPr>
        <w:t>未标有*参数的，以具体要求中是否要求提供为准</w:t>
      </w:r>
      <w:r>
        <w:rPr>
          <w:rFonts w:hint="eastAsia" w:ascii="宋体" w:hAnsi="宋体"/>
          <w:b/>
          <w:color w:val="FF0000"/>
          <w:sz w:val="24"/>
          <w:szCs w:val="24"/>
          <w:highlight w:val="none"/>
          <w:lang w:eastAsia="zh-CN"/>
        </w:rPr>
        <w:t>。</w:t>
      </w:r>
      <w:r>
        <w:rPr>
          <w:rFonts w:hint="eastAsia" w:ascii="宋体" w:hAnsi="宋体" w:cs="Times New Roman"/>
          <w:b/>
          <w:color w:val="auto"/>
          <w:sz w:val="24"/>
          <w:szCs w:val="24"/>
          <w:highlight w:val="none"/>
          <w:lang w:val="en-US" w:eastAsia="zh-CN"/>
        </w:rPr>
        <w:t>采购需求说明中</w:t>
      </w:r>
      <w:r>
        <w:rPr>
          <w:rFonts w:hint="eastAsia" w:ascii="宋体" w:hAnsi="宋体"/>
          <w:b/>
          <w:color w:val="auto"/>
          <w:sz w:val="24"/>
          <w:szCs w:val="24"/>
          <w:highlight w:val="none"/>
          <w:lang w:val="en-US" w:eastAsia="zh-CN"/>
        </w:rPr>
        <w:t>要求在</w:t>
      </w:r>
      <w:r>
        <w:rPr>
          <w:rFonts w:hint="eastAsia" w:ascii="宋体" w:hAnsi="宋体"/>
          <w:b/>
          <w:color w:val="auto"/>
          <w:sz w:val="24"/>
          <w:szCs w:val="24"/>
          <w:highlight w:val="none"/>
          <w:lang w:eastAsia="zh-CN"/>
        </w:rPr>
        <w:t>投标文件中提供技术支持资料</w:t>
      </w:r>
      <w:r>
        <w:rPr>
          <w:rFonts w:hint="eastAsia" w:ascii="宋体" w:hAnsi="宋体"/>
          <w:b/>
          <w:color w:val="auto"/>
          <w:sz w:val="24"/>
          <w:szCs w:val="24"/>
          <w:highlight w:val="none"/>
          <w:lang w:val="en-US" w:eastAsia="zh-CN"/>
        </w:rPr>
        <w:t>或其他支持资料的，以</w:t>
      </w:r>
      <w:r>
        <w:rPr>
          <w:rFonts w:hint="eastAsia" w:ascii="宋体" w:hAnsi="宋体"/>
          <w:b/>
          <w:color w:val="auto"/>
          <w:sz w:val="24"/>
          <w:szCs w:val="24"/>
          <w:highlight w:val="none"/>
        </w:rPr>
        <w:t>招标文件明确要求的材料</w:t>
      </w:r>
      <w:r>
        <w:rPr>
          <w:rFonts w:hint="eastAsia" w:ascii="宋体" w:hAnsi="宋体"/>
          <w:b/>
          <w:color w:val="auto"/>
          <w:sz w:val="24"/>
          <w:szCs w:val="24"/>
          <w:highlight w:val="none"/>
          <w:lang w:val="en-US" w:eastAsia="zh-CN"/>
        </w:rPr>
        <w:t>为准；招标文件未明确要求的，</w:t>
      </w:r>
      <w:r>
        <w:rPr>
          <w:rFonts w:hint="eastAsia" w:ascii="宋体" w:hAnsi="宋体"/>
          <w:b/>
          <w:color w:val="auto"/>
          <w:sz w:val="24"/>
          <w:szCs w:val="24"/>
          <w:highlight w:val="none"/>
        </w:rPr>
        <w:t>以制造商公开发布的资料或</w:t>
      </w:r>
      <w:r>
        <w:rPr>
          <w:rFonts w:hint="eastAsia" w:ascii="宋体" w:hAnsi="宋体"/>
          <w:b/>
          <w:color w:val="auto"/>
          <w:sz w:val="24"/>
          <w:szCs w:val="24"/>
          <w:highlight w:val="none"/>
          <w:lang w:val="en-US" w:eastAsia="zh-CN"/>
        </w:rPr>
        <w:t>或产品彩页或</w:t>
      </w:r>
      <w:r>
        <w:rPr>
          <w:rFonts w:hint="eastAsia" w:ascii="宋体" w:hAnsi="宋体"/>
          <w:b/>
          <w:color w:val="auto"/>
          <w:sz w:val="24"/>
          <w:szCs w:val="24"/>
          <w:highlight w:val="none"/>
        </w:rPr>
        <w:t>检测机构出具的检测报告为准。若制造商公开发布的资料与检测机构出具的检测报告不一致，以检测机构出具的检测报告为准。若为外文证明材料，须同时提供中文翻译说明。</w:t>
      </w:r>
      <w:r>
        <w:rPr>
          <w:rFonts w:hint="eastAsia" w:ascii="宋体" w:hAnsi="宋体"/>
          <w:b/>
          <w:color w:val="auto"/>
          <w:sz w:val="24"/>
          <w:szCs w:val="24"/>
          <w:highlight w:val="none"/>
          <w:lang w:val="en-US" w:eastAsia="zh-CN"/>
        </w:rPr>
        <w:t>不满足上述要求的，</w:t>
      </w:r>
      <w:r>
        <w:rPr>
          <w:rFonts w:hint="eastAsia" w:ascii="宋体" w:hAnsi="宋体"/>
          <w:b/>
          <w:color w:val="auto"/>
          <w:sz w:val="24"/>
          <w:szCs w:val="24"/>
          <w:highlight w:val="none"/>
        </w:rPr>
        <w:t>不予认可</w:t>
      </w:r>
      <w:r>
        <w:rPr>
          <w:rFonts w:hint="eastAsia" w:ascii="宋体" w:hAnsi="宋体"/>
          <w:b/>
          <w:color w:val="auto"/>
          <w:sz w:val="24"/>
          <w:szCs w:val="24"/>
          <w:highlight w:val="none"/>
          <w:lang w:eastAsia="zh-CN"/>
        </w:rPr>
        <w:t>。</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3.投标报价包括采购、运输、人工、安装、售后、验收、税费等所有费用。</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4.本项目招标文件通用部分第三章 “投标文件格式”中内容应根据项目需要和评标办法规定填写；如不需要，则填写无。</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5.中标供应商和采购人签订的合同应与招标文件中的采购合同一致，不得另行签订与采购合同相背离的其他合同。</w:t>
      </w:r>
    </w:p>
    <w:p>
      <w:pPr>
        <w:pStyle w:val="39"/>
        <w:spacing w:beforeAutospacing="0" w:afterAutospacing="0" w:line="360" w:lineRule="auto"/>
        <w:ind w:firstLine="470" w:firstLineChars="196"/>
        <w:rPr>
          <w:rFonts w:ascii="宋体" w:hAnsi="宋体"/>
          <w:sz w:val="24"/>
          <w:szCs w:val="24"/>
        </w:rPr>
      </w:pPr>
      <w:bookmarkStart w:id="4" w:name="_Hlk33586079"/>
      <w:bookmarkEnd w:id="4"/>
      <w:r>
        <w:rPr>
          <w:rFonts w:hint="eastAsia" w:ascii="宋体" w:hAnsi="宋体"/>
          <w:sz w:val="24"/>
          <w:szCs w:val="24"/>
        </w:rPr>
        <w:t>6.下列《采购需求一览表》中标注“▲”的产品，投标供应商在投标文件《主要中标标的承诺函》中填写名称、规格、型号、数量、单价等信息该承诺函经评标委员会评审认可后随评审结果一并公示，如投标文件中未提供、提供不全将可能导致投标无效。采购人（代理机构）在编制招标文件时必须将采购的主要产品(包括核心产品)标注“▲”。</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7.采购人或代理机构查询中国政府采购网相关链接，并根据查询结果，在采购需求一览表填写列入品目清单情况。</w:t>
      </w:r>
    </w:p>
    <w:p>
      <w:pPr>
        <w:pStyle w:val="39"/>
        <w:spacing w:beforeAutospacing="0" w:afterAutospacing="0" w:line="360" w:lineRule="auto"/>
        <w:ind w:firstLine="472" w:firstLineChars="196"/>
        <w:rPr>
          <w:rFonts w:ascii="宋体" w:hAnsi="宋体"/>
          <w:b/>
          <w:sz w:val="24"/>
          <w:szCs w:val="24"/>
        </w:rPr>
      </w:pPr>
      <w:r>
        <w:rPr>
          <w:rFonts w:hint="eastAsia" w:ascii="宋体" w:hAnsi="宋体"/>
          <w:b/>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采购产品如有列入品目清单内优先采购节能或环境标志产品，根据评标办法要求提供相关证明材料，否则在评标时相关评审项不得分。</w:t>
      </w:r>
    </w:p>
    <w:p>
      <w:pPr>
        <w:pStyle w:val="39"/>
        <w:spacing w:beforeAutospacing="0" w:afterAutospacing="0" w:line="360" w:lineRule="auto"/>
        <w:ind w:firstLine="480" w:firstLineChars="200"/>
        <w:rPr>
          <w:rFonts w:ascii="宋体" w:hAnsi="宋体"/>
          <w:sz w:val="24"/>
          <w:szCs w:val="24"/>
        </w:rPr>
      </w:pPr>
      <w:r>
        <w:rPr>
          <w:rFonts w:hint="eastAsia" w:ascii="宋体" w:hAnsi="宋体"/>
          <w:sz w:val="24"/>
          <w:szCs w:val="24"/>
        </w:rPr>
        <w:t>8.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pPr>
        <w:pStyle w:val="39"/>
        <w:numPr>
          <w:ilvl w:val="255"/>
          <w:numId w:val="0"/>
        </w:numPr>
        <w:spacing w:beforeAutospacing="0" w:afterAutospacing="0" w:line="360" w:lineRule="auto"/>
        <w:ind w:firstLine="480" w:firstLineChars="200"/>
        <w:rPr>
          <w:rFonts w:ascii="宋体" w:hAnsi="宋体"/>
          <w:sz w:val="24"/>
          <w:szCs w:val="24"/>
        </w:rPr>
      </w:pPr>
      <w:r>
        <w:rPr>
          <w:rFonts w:hint="eastAsia" w:ascii="宋体" w:hAnsi="宋体"/>
          <w:sz w:val="24"/>
          <w:szCs w:val="24"/>
        </w:rPr>
        <w:t>9.采购人（代理机构）在编制招标文件时必须将采购标的性质（采购货物或采购服务）予以明确。</w:t>
      </w:r>
    </w:p>
    <w:p>
      <w:pPr>
        <w:pStyle w:val="39"/>
        <w:numPr>
          <w:ilvl w:val="255"/>
          <w:numId w:val="0"/>
        </w:numPr>
        <w:spacing w:beforeAutospacing="0" w:afterAutospacing="0" w:line="360" w:lineRule="auto"/>
        <w:rPr>
          <w:rFonts w:ascii="宋体" w:hAnsi="宋体"/>
          <w:sz w:val="24"/>
          <w:szCs w:val="24"/>
        </w:rPr>
      </w:pPr>
      <w:r>
        <w:rPr>
          <w:rFonts w:hint="eastAsia" w:ascii="宋体" w:hAnsi="宋体"/>
          <w:sz w:val="24"/>
          <w:szCs w:val="24"/>
        </w:rPr>
        <w:t>中小企业划分标准：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04"/>
        <w:gridCol w:w="1097"/>
        <w:gridCol w:w="1295"/>
        <w:gridCol w:w="1561"/>
        <w:gridCol w:w="138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行业名称</w:t>
            </w:r>
          </w:p>
        </w:tc>
        <w:tc>
          <w:tcPr>
            <w:tcW w:w="1104"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指标名称</w:t>
            </w:r>
          </w:p>
        </w:tc>
        <w:tc>
          <w:tcPr>
            <w:tcW w:w="1097"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计量单位</w:t>
            </w:r>
          </w:p>
        </w:tc>
        <w:tc>
          <w:tcPr>
            <w:tcW w:w="1295" w:type="dxa"/>
            <w:vAlign w:val="center"/>
          </w:tcPr>
          <w:p>
            <w:pPr>
              <w:widowControl/>
              <w:spacing w:beforeAutospacing="0" w:afterAutospacing="0" w:line="360" w:lineRule="auto"/>
              <w:ind w:firstLine="420"/>
              <w:rPr>
                <w:rFonts w:ascii="宋体" w:hAnsi="宋体"/>
                <w:sz w:val="18"/>
                <w:szCs w:val="18"/>
              </w:rPr>
            </w:pPr>
            <w:r>
              <w:rPr>
                <w:rFonts w:hint="eastAsia" w:ascii="宋体" w:hAnsi="宋体"/>
                <w:sz w:val="18"/>
                <w:szCs w:val="18"/>
              </w:rPr>
              <w:t>大型</w:t>
            </w:r>
          </w:p>
        </w:tc>
        <w:tc>
          <w:tcPr>
            <w:tcW w:w="1561" w:type="dxa"/>
            <w:vAlign w:val="center"/>
          </w:tcPr>
          <w:p>
            <w:pPr>
              <w:widowControl/>
              <w:spacing w:beforeAutospacing="0" w:afterAutospacing="0" w:line="360" w:lineRule="auto"/>
              <w:ind w:firstLine="420"/>
              <w:rPr>
                <w:rFonts w:ascii="宋体" w:hAnsi="宋体"/>
                <w:sz w:val="18"/>
                <w:szCs w:val="18"/>
              </w:rPr>
            </w:pPr>
            <w:r>
              <w:rPr>
                <w:rFonts w:hint="eastAsia" w:ascii="宋体" w:hAnsi="宋体"/>
                <w:sz w:val="18"/>
                <w:szCs w:val="18"/>
              </w:rPr>
              <w:t>中型</w:t>
            </w:r>
          </w:p>
        </w:tc>
        <w:tc>
          <w:tcPr>
            <w:tcW w:w="1389" w:type="dxa"/>
            <w:vAlign w:val="center"/>
          </w:tcPr>
          <w:p>
            <w:pPr>
              <w:widowControl/>
              <w:spacing w:beforeAutospacing="0" w:afterAutospacing="0" w:line="360" w:lineRule="auto"/>
              <w:ind w:firstLine="420"/>
              <w:rPr>
                <w:rFonts w:ascii="宋体" w:hAnsi="宋体"/>
                <w:sz w:val="18"/>
                <w:szCs w:val="18"/>
              </w:rPr>
            </w:pPr>
            <w:r>
              <w:rPr>
                <w:rFonts w:hint="eastAsia" w:ascii="宋体" w:hAnsi="宋体"/>
                <w:sz w:val="18"/>
                <w:szCs w:val="18"/>
              </w:rPr>
              <w:t>小型</w:t>
            </w:r>
          </w:p>
        </w:tc>
        <w:tc>
          <w:tcPr>
            <w:tcW w:w="965"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农、林、牧、渔业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50≤Y&lt;500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beforeAutospacing="0" w:afterAutospacing="0" w:line="360" w:lineRule="auto"/>
              <w:jc w:val="center"/>
              <w:rPr>
                <w:rFonts w:ascii="宋体" w:hAnsi="宋体"/>
                <w:sz w:val="18"/>
                <w:szCs w:val="18"/>
              </w:rPr>
            </w:pPr>
            <w:r>
              <w:rPr>
                <w:rFonts w:hint="eastAsia" w:ascii="宋体" w:hAnsi="宋体"/>
                <w:sz w:val="18"/>
                <w:szCs w:val="18"/>
              </w:rPr>
              <w:t>工业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2000≤Y&lt;40000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300≤Y&lt;2000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beforeAutospacing="0" w:afterAutospacing="0" w:line="360" w:lineRule="auto"/>
              <w:jc w:val="center"/>
              <w:rPr>
                <w:rFonts w:ascii="宋体" w:hAnsi="宋体"/>
                <w:sz w:val="18"/>
                <w:szCs w:val="18"/>
              </w:rPr>
            </w:pPr>
            <w:r>
              <w:rPr>
                <w:rFonts w:hint="eastAsia" w:ascii="宋体" w:hAnsi="宋体"/>
                <w:sz w:val="18"/>
                <w:szCs w:val="18"/>
              </w:rPr>
              <w:t>建筑业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Y≥80000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6000≤Y&lt;80000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300≤Y&lt;6000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Z≥80000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5000≤Z&lt;80000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300≤Z&lt;5000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beforeAutospacing="0" w:afterAutospacing="0" w:line="360" w:lineRule="auto"/>
              <w:jc w:val="center"/>
              <w:rPr>
                <w:rFonts w:ascii="宋体" w:hAnsi="宋体"/>
                <w:sz w:val="18"/>
                <w:szCs w:val="18"/>
              </w:rPr>
            </w:pPr>
            <w:r>
              <w:rPr>
                <w:rFonts w:hint="eastAsia" w:ascii="宋体" w:hAnsi="宋体"/>
                <w:sz w:val="18"/>
                <w:szCs w:val="18"/>
              </w:rPr>
              <w:t>批发业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20≤X&lt;200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5≤X&lt;20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5000≤Y&lt;40000</w:t>
            </w:r>
          </w:p>
        </w:tc>
        <w:tc>
          <w:tcPr>
            <w:tcW w:w="1389"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1000≤Y&lt;5000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beforeAutospacing="0" w:afterAutospacing="0" w:line="360" w:lineRule="auto"/>
              <w:jc w:val="center"/>
              <w:rPr>
                <w:rFonts w:ascii="宋体" w:hAnsi="宋体"/>
                <w:sz w:val="18"/>
                <w:szCs w:val="18"/>
              </w:rPr>
            </w:pPr>
            <w:r>
              <w:rPr>
                <w:rFonts w:hint="eastAsia" w:ascii="宋体" w:hAnsi="宋体"/>
                <w:sz w:val="18"/>
                <w:szCs w:val="18"/>
              </w:rPr>
              <w:t>零售业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10≤X&lt;50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100≤Y&lt;500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交通运输业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3000≤Y&lt;30000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200≤Y&lt;3000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仓储业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100≤X&lt;200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1000≤Y&lt;30000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邮政业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2000≤Y&lt;30000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住宿业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餐饮业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信息传输业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X≥2000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100≤X&lt;2000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Y≥100000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1000≤Y&lt;100000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软件和信息技术服务业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1000≤Y&lt;10000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房地产开发经营</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Y≥200000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1000≤Y&lt;200000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Z≥10000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5000≤Z&lt;10000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2000≤Z&lt;5000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物业管理</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Y≥5000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1000≤Y&lt;5000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租赁和商务服务业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Z≥120000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8000≤Z&lt;120000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100≤Z&lt;8000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其他未列明行业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bl>
    <w:p>
      <w:pPr>
        <w:pStyle w:val="39"/>
        <w:numPr>
          <w:ilvl w:val="255"/>
          <w:numId w:val="0"/>
        </w:numPr>
        <w:spacing w:beforeAutospacing="0" w:afterAutospacing="0" w:line="360" w:lineRule="auto"/>
        <w:rPr>
          <w:rFonts w:ascii="宋体" w:hAnsi="宋体"/>
          <w:sz w:val="24"/>
          <w:szCs w:val="24"/>
        </w:rPr>
      </w:pPr>
    </w:p>
    <w:p>
      <w:pPr>
        <w:pStyle w:val="39"/>
        <w:ind w:firstLine="470" w:firstLineChars="196"/>
        <w:rPr>
          <w:rFonts w:ascii="宋体" w:hAnsi="宋体"/>
          <w:sz w:val="24"/>
          <w:szCs w:val="24"/>
        </w:rPr>
      </w:pPr>
    </w:p>
    <w:p>
      <w:pPr>
        <w:rPr>
          <w:rFonts w:ascii="宋体" w:hAnsi="宋体"/>
          <w:b/>
          <w:sz w:val="28"/>
          <w:szCs w:val="28"/>
        </w:rPr>
      </w:pPr>
      <w:r>
        <w:rPr>
          <w:rFonts w:hint="eastAsia" w:ascii="宋体" w:hAnsi="宋体"/>
          <w:b/>
          <w:sz w:val="28"/>
          <w:szCs w:val="28"/>
        </w:rPr>
        <w:br w:type="page"/>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采购需求说明</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一、岛津气质联用专用自动进样器（150位）</w:t>
      </w:r>
    </w:p>
    <w:p>
      <w:pPr>
        <w:pStyle w:val="2"/>
        <w:spacing w:beforeAutospacing="0" w:afterAutospacing="0" w:line="360" w:lineRule="auto"/>
        <w:ind w:left="0" w:leftChars="0"/>
      </w:pPr>
      <w:r>
        <w:rPr>
          <w:rFonts w:hint="eastAsia"/>
        </w:rPr>
        <w:t>1.支持150位样品瓶位，与现有设备无缝对接</w:t>
      </w:r>
    </w:p>
    <w:p>
      <w:pPr>
        <w:pStyle w:val="2"/>
        <w:spacing w:beforeAutospacing="0" w:afterAutospacing="0" w:line="360" w:lineRule="auto"/>
        <w:ind w:left="0" w:leftChars="0"/>
      </w:pPr>
      <w:r>
        <w:rPr>
          <w:rFonts w:hint="eastAsia"/>
        </w:rPr>
        <w:t>2.供货商完成现有GCMS-QP2010Ultra的软件升级</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二、岛津气质联用专用数据库</w:t>
      </w:r>
    </w:p>
    <w:p>
      <w:pPr>
        <w:pStyle w:val="2"/>
        <w:spacing w:beforeAutospacing="0" w:afterAutospacing="0" w:line="360" w:lineRule="auto"/>
        <w:ind w:left="0" w:leftChars="0"/>
      </w:pPr>
      <w:r>
        <w:rPr>
          <w:rFonts w:hint="eastAsia"/>
        </w:rPr>
        <w:t>1.代谢物数据库</w:t>
      </w:r>
    </w:p>
    <w:p>
      <w:pPr>
        <w:pStyle w:val="2"/>
        <w:spacing w:beforeAutospacing="0" w:afterAutospacing="0" w:line="360" w:lineRule="auto"/>
        <w:ind w:left="0" w:leftChars="0"/>
      </w:pPr>
      <w:r>
        <w:rPr>
          <w:rFonts w:hint="eastAsia"/>
        </w:rPr>
        <w:t>2.供货商完成现有GCMS-QP2010Ultra的软件升级</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三、紫外分光光度计</w:t>
      </w:r>
    </w:p>
    <w:p>
      <w:pPr>
        <w:pStyle w:val="2"/>
        <w:spacing w:beforeAutospacing="0" w:afterAutospacing="0" w:line="360" w:lineRule="auto"/>
        <w:ind w:left="0" w:leftChars="0"/>
      </w:pPr>
      <w:r>
        <w:rPr>
          <w:rFonts w:hint="eastAsia"/>
        </w:rPr>
        <w:t>1.波长范围：190 -1,100 nm</w:t>
      </w:r>
    </w:p>
    <w:p>
      <w:pPr>
        <w:pStyle w:val="2"/>
        <w:spacing w:beforeAutospacing="0" w:afterAutospacing="0" w:line="360" w:lineRule="auto"/>
        <w:ind w:left="0" w:leftChars="0"/>
      </w:pPr>
      <w:r>
        <w:rPr>
          <w:rFonts w:hint="eastAsia"/>
        </w:rPr>
        <w:t>2.光谱带宽：1 nm (190 to 1,100 nm)</w:t>
      </w:r>
    </w:p>
    <w:p>
      <w:pPr>
        <w:pStyle w:val="2"/>
        <w:spacing w:beforeAutospacing="0" w:afterAutospacing="0" w:line="360" w:lineRule="auto"/>
        <w:ind w:left="0" w:leftChars="0"/>
      </w:pPr>
      <w:r>
        <w:rPr>
          <w:rFonts w:hint="eastAsia"/>
        </w:rPr>
        <w:t>3.波长显示：0.1 nm步进</w:t>
      </w:r>
    </w:p>
    <w:p>
      <w:pPr>
        <w:pStyle w:val="2"/>
        <w:spacing w:beforeAutospacing="0" w:afterAutospacing="0" w:line="360" w:lineRule="auto"/>
        <w:ind w:left="0" w:leftChars="0"/>
      </w:pPr>
      <w:r>
        <w:rPr>
          <w:rFonts w:hint="eastAsia"/>
        </w:rPr>
        <w:t>4.波长设置：0.1 nm步进</w:t>
      </w:r>
    </w:p>
    <w:p>
      <w:pPr>
        <w:pStyle w:val="2"/>
        <w:spacing w:beforeAutospacing="0" w:afterAutospacing="0" w:line="360" w:lineRule="auto"/>
        <w:ind w:left="0" w:leftChars="0"/>
      </w:pPr>
      <w:r>
        <w:rPr>
          <w:rFonts w:hint="eastAsia"/>
        </w:rPr>
        <w:t>5.波长准确度：± 0.1 nm （氘灯， 656.1 nm处）, 全光谱范围± 0.3 nm</w:t>
      </w:r>
    </w:p>
    <w:p>
      <w:pPr>
        <w:pStyle w:val="2"/>
        <w:spacing w:beforeAutospacing="0" w:afterAutospacing="0" w:line="360" w:lineRule="auto"/>
        <w:ind w:left="0" w:leftChars="0"/>
      </w:pPr>
      <w:r>
        <w:rPr>
          <w:rFonts w:hint="eastAsia"/>
        </w:rPr>
        <w:t>6.波长重复性：± 0.1 nm</w:t>
      </w:r>
    </w:p>
    <w:p>
      <w:pPr>
        <w:pStyle w:val="2"/>
        <w:spacing w:beforeAutospacing="0" w:afterAutospacing="0" w:line="360" w:lineRule="auto"/>
        <w:ind w:left="0" w:leftChars="0"/>
      </w:pPr>
      <w:r>
        <w:rPr>
          <w:rFonts w:hint="eastAsia"/>
        </w:rPr>
        <w:t>7.波长转动速度：29,000 nm/min</w:t>
      </w:r>
    </w:p>
    <w:p>
      <w:pPr>
        <w:pStyle w:val="2"/>
        <w:spacing w:beforeAutospacing="0" w:afterAutospacing="0" w:line="360" w:lineRule="auto"/>
        <w:ind w:left="0" w:leftChars="0"/>
      </w:pPr>
      <w:r>
        <w:rPr>
          <w:rFonts w:hint="eastAsia"/>
        </w:rPr>
        <w:t>*8.波长扫描速度：29,000 -2 nm/min</w:t>
      </w:r>
    </w:p>
    <w:p>
      <w:pPr>
        <w:pStyle w:val="2"/>
        <w:spacing w:beforeAutospacing="0" w:afterAutospacing="0" w:line="360" w:lineRule="auto"/>
        <w:ind w:left="0" w:leftChars="0"/>
      </w:pPr>
      <w:r>
        <w:rPr>
          <w:rFonts w:hint="eastAsia"/>
        </w:rPr>
        <w:t>9.换灯波长：根据设置波长自动执行换灯操作，可设换灯波长范围295 - 364 nm (0.1 nm步进)</w:t>
      </w:r>
    </w:p>
    <w:p>
      <w:pPr>
        <w:pStyle w:val="2"/>
        <w:spacing w:beforeAutospacing="0" w:afterAutospacing="0" w:line="360" w:lineRule="auto"/>
        <w:ind w:left="0" w:leftChars="0"/>
      </w:pPr>
      <w:r>
        <w:rPr>
          <w:rFonts w:hint="eastAsia"/>
        </w:rPr>
        <w:t>10.杂散光：&lt;0.02% (220 nm，NaI)</w:t>
      </w:r>
    </w:p>
    <w:p>
      <w:pPr>
        <w:pStyle w:val="2"/>
        <w:spacing w:beforeAutospacing="0" w:afterAutospacing="0" w:line="360" w:lineRule="auto"/>
        <w:ind w:left="0" w:leftChars="0"/>
      </w:pPr>
      <w:r>
        <w:rPr>
          <w:rFonts w:hint="eastAsia"/>
        </w:rPr>
        <w:t>&lt;0.02% (340 nm ，NaNO2)</w:t>
      </w:r>
    </w:p>
    <w:p>
      <w:pPr>
        <w:pStyle w:val="2"/>
        <w:spacing w:beforeAutospacing="0" w:afterAutospacing="0" w:line="360" w:lineRule="auto"/>
        <w:ind w:left="0" w:leftChars="0"/>
      </w:pPr>
      <w:r>
        <w:rPr>
          <w:rFonts w:hint="eastAsia"/>
        </w:rPr>
        <w:t>&lt;0.5% (198 nm ，KCl)</w:t>
      </w:r>
    </w:p>
    <w:p>
      <w:pPr>
        <w:pStyle w:val="2"/>
        <w:spacing w:beforeAutospacing="0" w:afterAutospacing="0" w:line="360" w:lineRule="auto"/>
        <w:ind w:left="0" w:leftChars="0"/>
      </w:pPr>
      <w:r>
        <w:rPr>
          <w:rFonts w:hint="eastAsia"/>
        </w:rPr>
        <w:t>11.光路系统：双光束</w:t>
      </w:r>
    </w:p>
    <w:p>
      <w:pPr>
        <w:pStyle w:val="2"/>
        <w:spacing w:beforeAutospacing="0" w:afterAutospacing="0" w:line="360" w:lineRule="auto"/>
        <w:ind w:left="0" w:leftChars="0"/>
      </w:pPr>
      <w:r>
        <w:rPr>
          <w:rFonts w:hint="eastAsia"/>
        </w:rPr>
        <w:t>12.光度范围：吸光度： -4-4 Abs，透过率: 0%-400%</w:t>
      </w:r>
    </w:p>
    <w:p>
      <w:pPr>
        <w:pStyle w:val="2"/>
        <w:spacing w:beforeAutospacing="0" w:afterAutospacing="0" w:line="360" w:lineRule="auto"/>
        <w:ind w:left="0" w:leftChars="0"/>
      </w:pPr>
      <w:r>
        <w:rPr>
          <w:rFonts w:hint="eastAsia"/>
        </w:rPr>
        <w:t>13.光度准确性：± 0.002 Abs （0.5 Abs）</w:t>
      </w:r>
    </w:p>
    <w:p>
      <w:pPr>
        <w:pStyle w:val="2"/>
        <w:spacing w:beforeAutospacing="0" w:afterAutospacing="0" w:line="360" w:lineRule="auto"/>
        <w:ind w:left="0" w:leftChars="0"/>
      </w:pPr>
      <w:r>
        <w:rPr>
          <w:rFonts w:hint="eastAsia"/>
        </w:rPr>
        <w:t>± 0.004 Abs （1.0 Abs）</w:t>
      </w:r>
    </w:p>
    <w:p>
      <w:pPr>
        <w:pStyle w:val="2"/>
        <w:spacing w:beforeAutospacing="0" w:afterAutospacing="0" w:line="360" w:lineRule="auto"/>
        <w:ind w:left="0" w:leftChars="0"/>
      </w:pPr>
      <w:r>
        <w:rPr>
          <w:rFonts w:hint="eastAsia"/>
        </w:rPr>
        <w:t>± 0.006 Abs （2.0 Abs）</w:t>
      </w:r>
    </w:p>
    <w:p>
      <w:pPr>
        <w:pStyle w:val="2"/>
        <w:spacing w:beforeAutospacing="0" w:afterAutospacing="0" w:line="360" w:lineRule="auto"/>
        <w:ind w:left="0" w:leftChars="0"/>
      </w:pPr>
      <w:r>
        <w:rPr>
          <w:rFonts w:hint="eastAsia"/>
        </w:rPr>
        <w:t>(使用NIST930D/NIST1930或者相同性能滤光片)</w:t>
      </w:r>
    </w:p>
    <w:p>
      <w:pPr>
        <w:pStyle w:val="2"/>
        <w:spacing w:beforeAutospacing="0" w:afterAutospacing="0" w:line="360" w:lineRule="auto"/>
        <w:ind w:left="0" w:leftChars="0"/>
      </w:pPr>
      <w:r>
        <w:rPr>
          <w:rFonts w:hint="eastAsia"/>
        </w:rPr>
        <w:t>*14.光度重复性：&lt;± 0.0002 Abs at 0.5 Abs</w:t>
      </w:r>
    </w:p>
    <w:p>
      <w:pPr>
        <w:pStyle w:val="2"/>
        <w:spacing w:beforeAutospacing="0" w:afterAutospacing="0" w:line="360" w:lineRule="auto"/>
        <w:ind w:left="0" w:leftChars="0"/>
      </w:pPr>
      <w:r>
        <w:rPr>
          <w:rFonts w:hint="eastAsia"/>
        </w:rPr>
        <w:t>&lt;± 0.0002 Abs at 1 Abs</w:t>
      </w:r>
    </w:p>
    <w:p>
      <w:pPr>
        <w:pStyle w:val="2"/>
        <w:spacing w:beforeAutospacing="0" w:afterAutospacing="0" w:line="360" w:lineRule="auto"/>
        <w:ind w:left="0" w:leftChars="0"/>
      </w:pPr>
      <w:r>
        <w:rPr>
          <w:rFonts w:hint="eastAsia"/>
        </w:rPr>
        <w:t>&lt;± 0.001 Abs at 2 Abs</w:t>
      </w:r>
    </w:p>
    <w:p>
      <w:pPr>
        <w:pStyle w:val="2"/>
        <w:spacing w:beforeAutospacing="0" w:afterAutospacing="0" w:line="360" w:lineRule="auto"/>
        <w:ind w:left="0" w:leftChars="0"/>
      </w:pPr>
      <w:r>
        <w:rPr>
          <w:rFonts w:hint="eastAsia"/>
        </w:rPr>
        <w:t>15.基线稳定性：&lt;0.0003 Abs/Hr (700 nm，光源稳定1小时后)</w:t>
      </w:r>
    </w:p>
    <w:p>
      <w:pPr>
        <w:pStyle w:val="2"/>
        <w:spacing w:beforeAutospacing="0" w:afterAutospacing="0" w:line="360" w:lineRule="auto"/>
        <w:ind w:left="0" w:leftChars="0"/>
      </w:pPr>
      <w:r>
        <w:rPr>
          <w:rFonts w:hint="eastAsia"/>
        </w:rPr>
        <w:t>16.基线平坦度：&lt;± 0.0006 Abs (1,100 - 190 nm, 光源稳定1小时后)</w:t>
      </w:r>
    </w:p>
    <w:p>
      <w:pPr>
        <w:pStyle w:val="2"/>
        <w:spacing w:beforeAutospacing="0" w:afterAutospacing="0" w:line="360" w:lineRule="auto"/>
        <w:ind w:left="0" w:leftChars="0"/>
      </w:pPr>
      <w:r>
        <w:rPr>
          <w:rFonts w:hint="eastAsia"/>
        </w:rPr>
        <w:t>17.噪声水平: &lt;0.00005 Abs (700 nm)</w:t>
      </w:r>
    </w:p>
    <w:p>
      <w:pPr>
        <w:pStyle w:val="2"/>
        <w:spacing w:beforeAutospacing="0" w:afterAutospacing="0" w:line="360" w:lineRule="auto"/>
        <w:ind w:left="0" w:leftChars="0"/>
      </w:pPr>
      <w:r>
        <w:rPr>
          <w:rFonts w:hint="eastAsia"/>
        </w:rPr>
        <w:t>18.光源: 20W碘钨灯和氘灯, 集成光源设计，自动灯位转换</w:t>
      </w:r>
    </w:p>
    <w:p>
      <w:pPr>
        <w:pStyle w:val="2"/>
        <w:spacing w:beforeAutospacing="0" w:afterAutospacing="0" w:line="360" w:lineRule="auto"/>
        <w:ind w:left="0" w:leftChars="0"/>
      </w:pPr>
      <w:r>
        <w:rPr>
          <w:rFonts w:hint="eastAsia"/>
        </w:rPr>
        <w:t>19.单色器：低杂散光LO-RAY-LIGH光栅，Czerny-Turner构型</w:t>
      </w:r>
    </w:p>
    <w:p>
      <w:pPr>
        <w:pStyle w:val="2"/>
        <w:spacing w:beforeAutospacing="0" w:afterAutospacing="0" w:line="360" w:lineRule="auto"/>
        <w:ind w:left="0" w:leftChars="0"/>
      </w:pPr>
      <w:r>
        <w:rPr>
          <w:rFonts w:hint="eastAsia"/>
        </w:rPr>
        <w:t>20.检测器：硅光二极管</w:t>
      </w:r>
    </w:p>
    <w:p>
      <w:pPr>
        <w:pStyle w:val="2"/>
        <w:spacing w:beforeAutospacing="0" w:afterAutospacing="0" w:line="360" w:lineRule="auto"/>
        <w:ind w:left="0" w:leftChars="0"/>
      </w:pPr>
      <w:r>
        <w:rPr>
          <w:rFonts w:hint="eastAsia"/>
        </w:rPr>
        <w:t>21.软件：标配 LabSolutions UV-Vis软件</w:t>
      </w:r>
    </w:p>
    <w:p>
      <w:pPr>
        <w:pStyle w:val="2"/>
        <w:spacing w:beforeAutospacing="0" w:afterAutospacing="0" w:line="360" w:lineRule="auto"/>
        <w:ind w:left="0" w:leftChars="0"/>
      </w:pPr>
      <w:r>
        <w:rPr>
          <w:rFonts w:hint="eastAsia"/>
        </w:rPr>
        <w:t>可通过USB接口进行外部控制</w:t>
      </w:r>
    </w:p>
    <w:p>
      <w:pPr>
        <w:pStyle w:val="2"/>
        <w:spacing w:beforeAutospacing="0" w:afterAutospacing="0" w:line="360" w:lineRule="auto"/>
        <w:ind w:left="0" w:leftChars="0"/>
      </w:pPr>
      <w:r>
        <w:rPr>
          <w:rFonts w:hint="eastAsia"/>
        </w:rPr>
        <w:t>22.显示：24-bit彩色触摸屏幕</w:t>
      </w:r>
    </w:p>
    <w:p>
      <w:pPr>
        <w:pStyle w:val="2"/>
        <w:spacing w:beforeAutospacing="0" w:afterAutospacing="0" w:line="360" w:lineRule="auto"/>
        <w:ind w:left="0" w:leftChars="0"/>
      </w:pPr>
      <w:r>
        <w:rPr>
          <w:rFonts w:hint="eastAsia"/>
        </w:rPr>
        <w:t>*23.支持八种语言随时切换：中文，英文，日文，西班牙语，葡萄牙语，德语，法语，俄语</w:t>
      </w:r>
    </w:p>
    <w:p>
      <w:pPr>
        <w:pStyle w:val="2"/>
        <w:spacing w:beforeAutospacing="0" w:afterAutospacing="0" w:line="360" w:lineRule="auto"/>
        <w:ind w:left="0" w:leftChars="0"/>
      </w:pPr>
      <w:r>
        <w:rPr>
          <w:rFonts w:hint="eastAsia"/>
        </w:rPr>
        <w:t>*24.可连接键盘，使用键盘输入方式</w:t>
      </w:r>
    </w:p>
    <w:p>
      <w:pPr>
        <w:pStyle w:val="2"/>
        <w:spacing w:beforeAutospacing="0" w:afterAutospacing="0" w:line="360" w:lineRule="auto"/>
        <w:ind w:left="0" w:leftChars="0"/>
      </w:pPr>
      <w:r>
        <w:rPr>
          <w:rFonts w:hint="eastAsia"/>
        </w:rPr>
        <w:t>*25.可连接扫码器，自动读入样品条形码编号</w:t>
      </w:r>
    </w:p>
    <w:p>
      <w:pPr>
        <w:pStyle w:val="2"/>
        <w:spacing w:beforeAutospacing="0" w:afterAutospacing="0" w:line="360" w:lineRule="auto"/>
        <w:ind w:left="0" w:leftChars="0"/>
      </w:pPr>
      <w:r>
        <w:rPr>
          <w:rFonts w:hint="eastAsia"/>
        </w:rPr>
        <w:t>*26.无线数据传输功能，实现计算机与测试主机之间无线数据传输</w:t>
      </w:r>
    </w:p>
    <w:p>
      <w:pPr>
        <w:pStyle w:val="2"/>
        <w:spacing w:beforeAutospacing="0" w:afterAutospacing="0" w:line="360" w:lineRule="auto"/>
        <w:ind w:left="0" w:leftChars="0"/>
      </w:pPr>
      <w:r>
        <w:rPr>
          <w:rFonts w:hint="eastAsia"/>
        </w:rPr>
        <w:t>*27.自动唤醒及休眠功能，可进行唤醒时间和唤醒周期的设置</w:t>
      </w:r>
    </w:p>
    <w:p>
      <w:pPr>
        <w:pStyle w:val="2"/>
        <w:spacing w:beforeAutospacing="0" w:afterAutospacing="0" w:line="360" w:lineRule="auto"/>
        <w:ind w:left="0" w:leftChars="0"/>
      </w:pPr>
      <w:r>
        <w:rPr>
          <w:rFonts w:hint="eastAsia"/>
        </w:rPr>
        <w:t>*28.可连接支持PictBridge协议的打印机，进行无线打印</w:t>
      </w:r>
    </w:p>
    <w:p>
      <w:pPr>
        <w:pStyle w:val="2"/>
        <w:spacing w:beforeAutospacing="0" w:afterAutospacing="0" w:line="360" w:lineRule="auto"/>
        <w:ind w:left="0" w:leftChars="0"/>
      </w:pPr>
      <w:r>
        <w:rPr>
          <w:rFonts w:hint="eastAsia"/>
        </w:rPr>
        <w:t>29.样品仓：内部尺寸 W110 × D250 × H115 mm，光束间距100 mm</w:t>
      </w:r>
    </w:p>
    <w:p>
      <w:pPr>
        <w:pStyle w:val="2"/>
        <w:spacing w:beforeAutospacing="0" w:afterAutospacing="0" w:line="360" w:lineRule="auto"/>
        <w:ind w:left="0" w:leftChars="0"/>
      </w:pPr>
      <w:r>
        <w:rPr>
          <w:rFonts w:hint="eastAsia"/>
        </w:rPr>
        <w:t>30.电源要求：AC100,120,220,230,240 V,50/60 Hz, 140 VA</w:t>
      </w:r>
    </w:p>
    <w:p>
      <w:pPr>
        <w:pStyle w:val="2"/>
        <w:spacing w:beforeAutospacing="0" w:afterAutospacing="0" w:line="360" w:lineRule="auto"/>
        <w:ind w:left="0" w:leftChars="0"/>
      </w:pPr>
      <w:r>
        <w:rPr>
          <w:rFonts w:hint="eastAsia"/>
        </w:rPr>
        <w:t>31.环境要求：温度范围15°C-35°C，湿度范围30%-80%（无结露现象，30°C或者更高温度时湿度不超过70%）</w:t>
      </w:r>
    </w:p>
    <w:p>
      <w:pPr>
        <w:pStyle w:val="2"/>
        <w:spacing w:beforeAutospacing="0" w:afterAutospacing="0" w:line="360" w:lineRule="auto"/>
        <w:ind w:left="0" w:leftChars="0"/>
      </w:pPr>
      <w:r>
        <w:rPr>
          <w:rFonts w:hint="eastAsia"/>
        </w:rPr>
        <w:t>32.尺寸：W450 × D501 × H244 mm</w:t>
      </w:r>
    </w:p>
    <w:p>
      <w:pPr>
        <w:pStyle w:val="2"/>
        <w:spacing w:beforeAutospacing="0" w:afterAutospacing="0" w:line="360" w:lineRule="auto"/>
        <w:ind w:left="0" w:leftChars="0"/>
      </w:pPr>
      <w:r>
        <w:rPr>
          <w:rFonts w:hint="eastAsia"/>
        </w:rPr>
        <w:t>33.重量：16.6 kg</w:t>
      </w:r>
    </w:p>
    <w:p>
      <w:pPr>
        <w:pStyle w:val="2"/>
        <w:spacing w:beforeAutospacing="0" w:afterAutospacing="0" w:line="360" w:lineRule="auto"/>
        <w:ind w:left="0" w:leftChars="0"/>
        <w:rPr>
          <w:rFonts w:hint="eastAsia"/>
          <w:lang w:eastAsia="zh-CN"/>
        </w:rPr>
      </w:pPr>
      <w:r>
        <w:rPr>
          <w:rFonts w:hint="eastAsia"/>
        </w:rPr>
        <w:t>34.配台式电脑一台。</w:t>
      </w:r>
      <w:r>
        <w:rPr>
          <w:rFonts w:hint="eastAsia"/>
          <w:lang w:eastAsia="zh-CN"/>
        </w:rPr>
        <w:t>（</w:t>
      </w:r>
      <w:r>
        <w:rPr>
          <w:rFonts w:hint="eastAsia"/>
          <w:lang w:val="en-US" w:eastAsia="zh-CN"/>
        </w:rPr>
        <w:t>强制采购类节能产品，</w:t>
      </w:r>
      <w:r>
        <w:rPr>
          <w:rFonts w:hint="eastAsia"/>
        </w:rPr>
        <w:t>提供国家确定的认证机构证明网页截图，及认证机构出具的、处于有效期之内的节能产品认证证书，否则按无效投标处理</w:t>
      </w:r>
      <w:r>
        <w:rPr>
          <w:rFonts w:hint="eastAsia"/>
          <w:lang w:eastAsia="zh-CN"/>
        </w:rPr>
        <w:t>）</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四、高速冷冻离心机</w:t>
      </w:r>
    </w:p>
    <w:p>
      <w:pPr>
        <w:pStyle w:val="2"/>
        <w:spacing w:beforeAutospacing="0" w:afterAutospacing="0" w:line="360" w:lineRule="auto"/>
        <w:ind w:left="0" w:leftChars="0"/>
      </w:pPr>
      <w:r>
        <w:rPr>
          <w:rFonts w:hint="eastAsia"/>
        </w:rPr>
        <w:t>1.温度范围：-10°C－ 40°C 。</w:t>
      </w:r>
    </w:p>
    <w:p>
      <w:pPr>
        <w:pStyle w:val="2"/>
        <w:spacing w:beforeAutospacing="0" w:afterAutospacing="0" w:line="360" w:lineRule="auto"/>
        <w:ind w:left="0" w:leftChars="0"/>
      </w:pPr>
      <w:r>
        <w:rPr>
          <w:rFonts w:hint="eastAsia"/>
        </w:rPr>
        <w:t>*2.具备快速制冷功能，可迅速降温至设定温度。从室温（21°C）降至4°C仅需8分钟（投标文件中提供所投产品彩页加以证明）。</w:t>
      </w:r>
    </w:p>
    <w:p>
      <w:pPr>
        <w:pStyle w:val="2"/>
        <w:spacing w:beforeAutospacing="0" w:afterAutospacing="0" w:line="360" w:lineRule="auto"/>
        <w:ind w:left="0" w:leftChars="0"/>
      </w:pPr>
      <w:r>
        <w:rPr>
          <w:rFonts w:hint="eastAsia"/>
        </w:rPr>
        <w:t>*3.快速锁定技术，可快速、轻松地开关转子盖（投标文件中提供所投产品彩页资料供核对）。</w:t>
      </w:r>
    </w:p>
    <w:p>
      <w:pPr>
        <w:pStyle w:val="2"/>
        <w:spacing w:beforeAutospacing="0" w:afterAutospacing="0" w:line="360" w:lineRule="auto"/>
        <w:ind w:left="0" w:leftChars="0"/>
      </w:pPr>
      <w:r>
        <w:rPr>
          <w:rFonts w:hint="eastAsia"/>
        </w:rPr>
        <w:t>4.具有紧急开盖功能，适用断电等突发实验事故。</w:t>
      </w:r>
    </w:p>
    <w:p>
      <w:pPr>
        <w:pStyle w:val="2"/>
        <w:spacing w:beforeAutospacing="0" w:afterAutospacing="0" w:line="360" w:lineRule="auto"/>
        <w:ind w:left="0" w:leftChars="0"/>
      </w:pPr>
      <w:r>
        <w:rPr>
          <w:rFonts w:hint="eastAsia"/>
        </w:rPr>
        <w:t>5.在全速运行状态下仍能确保将样品温度控制在4°C，从而更大限度地保护样品，同时实现更高效的分离结果。</w:t>
      </w:r>
    </w:p>
    <w:p>
      <w:pPr>
        <w:pStyle w:val="2"/>
        <w:spacing w:beforeAutospacing="0" w:afterAutospacing="0" w:line="360" w:lineRule="auto"/>
        <w:ind w:left="0" w:leftChars="0"/>
      </w:pPr>
      <w:r>
        <w:rPr>
          <w:rFonts w:hint="eastAsia"/>
        </w:rPr>
        <w:t>*6.在24×1.5/2ml转子以及10×5ml转子运行时最高转速≥15060rpm，最大相对离心力≥ 21,300g。（投标文件中提供所投产品彩页加以证明）</w:t>
      </w:r>
    </w:p>
    <w:p>
      <w:pPr>
        <w:pStyle w:val="2"/>
        <w:spacing w:beforeAutospacing="0" w:afterAutospacing="0" w:line="360" w:lineRule="auto"/>
        <w:ind w:left="0" w:leftChars="0"/>
      </w:pPr>
      <w:r>
        <w:rPr>
          <w:rFonts w:hint="eastAsia"/>
        </w:rPr>
        <w:t>*7.具备定速记时功能，可在达到设定转速后才开始倒数计时。（投标文件中提供所投产品彩页加以证明）</w:t>
      </w:r>
    </w:p>
    <w:p>
      <w:pPr>
        <w:pStyle w:val="2"/>
        <w:spacing w:beforeAutospacing="0" w:afterAutospacing="0" w:line="360" w:lineRule="auto"/>
        <w:ind w:left="0" w:leftChars="0"/>
      </w:pPr>
      <w:r>
        <w:rPr>
          <w:rFonts w:hint="eastAsia"/>
        </w:rPr>
        <w:t>*8.单独的瞬时离心按键，无需长按，一按即启动，便于快速离心，软刹车功能，防止重悬，提高回收率（投标文件中提供所投产品彩页加以证明）。</w:t>
      </w:r>
    </w:p>
    <w:p>
      <w:pPr>
        <w:pStyle w:val="2"/>
        <w:spacing w:beforeAutospacing="0" w:afterAutospacing="0" w:line="360" w:lineRule="auto"/>
        <w:ind w:left="0" w:leftChars="0"/>
      </w:pPr>
      <w:r>
        <w:rPr>
          <w:rFonts w:hint="eastAsia"/>
        </w:rPr>
        <w:t>9.转子在最大承载时，加速至最高转速的时间≤15s，最高转速减速至0的时间≤15秒。</w:t>
      </w:r>
    </w:p>
    <w:p>
      <w:pPr>
        <w:pStyle w:val="2"/>
        <w:spacing w:beforeAutospacing="0" w:afterAutospacing="0" w:line="360" w:lineRule="auto"/>
        <w:ind w:left="0" w:leftChars="0"/>
      </w:pPr>
      <w:r>
        <w:rPr>
          <w:rFonts w:hint="eastAsia"/>
        </w:rPr>
        <w:t>10.离心时间：可设定10秒至9小时59分钟，或连续运行。</w:t>
      </w:r>
    </w:p>
    <w:p>
      <w:pPr>
        <w:pStyle w:val="2"/>
        <w:spacing w:beforeAutospacing="0" w:afterAutospacing="0" w:line="360" w:lineRule="auto"/>
        <w:ind w:left="0" w:leftChars="0"/>
      </w:pPr>
      <w:r>
        <w:rPr>
          <w:rFonts w:hint="eastAsia"/>
        </w:rPr>
        <w:t>11.高效压缩机控制，提供 ECO 自动待机功能，优化制冷性能，延长压缩机使用寿命。</w:t>
      </w:r>
    </w:p>
    <w:p>
      <w:pPr>
        <w:pStyle w:val="2"/>
        <w:spacing w:beforeAutospacing="0" w:afterAutospacing="0" w:line="360" w:lineRule="auto"/>
        <w:ind w:left="0" w:leftChars="0"/>
      </w:pPr>
      <w:r>
        <w:rPr>
          <w:rFonts w:hint="eastAsia"/>
        </w:rPr>
        <w:t>12.运行结束计时功能，可以查看离心结束的时间，方便判断是否需要再次离心。</w:t>
      </w:r>
    </w:p>
    <w:p>
      <w:pPr>
        <w:pStyle w:val="2"/>
        <w:spacing w:beforeAutospacing="0" w:afterAutospacing="0" w:line="360" w:lineRule="auto"/>
        <w:ind w:left="0" w:leftChars="0"/>
      </w:pPr>
      <w:r>
        <w:rPr>
          <w:rFonts w:hint="eastAsia"/>
        </w:rPr>
        <w:t>13.单独的 rpm（转速）/ rcf（相对离心力）转换按键，便于操作。</w:t>
      </w:r>
    </w:p>
    <w:p>
      <w:pPr>
        <w:pStyle w:val="2"/>
        <w:spacing w:beforeAutospacing="0" w:afterAutospacing="0" w:line="360" w:lineRule="auto"/>
        <w:ind w:left="0" w:leftChars="0"/>
      </w:pPr>
      <w:r>
        <w:rPr>
          <w:rFonts w:hint="eastAsia"/>
        </w:rPr>
        <w:t>14.铝制转子，耐化学腐蚀。转子可在 121°C 高温高压灭菌20分钟，杜绝污染。</w:t>
      </w:r>
    </w:p>
    <w:p>
      <w:pPr>
        <w:pStyle w:val="2"/>
        <w:spacing w:beforeAutospacing="0" w:afterAutospacing="0" w:line="360" w:lineRule="auto"/>
        <w:ind w:left="0" w:leftChars="0"/>
      </w:pPr>
      <w:r>
        <w:rPr>
          <w:rFonts w:hint="eastAsia"/>
        </w:rPr>
        <w:t>15.在最高转速时，噪音也非常低，不高于54dB（A）。</w:t>
      </w:r>
    </w:p>
    <w:p>
      <w:pPr>
        <w:pStyle w:val="2"/>
        <w:spacing w:beforeAutospacing="0" w:afterAutospacing="0" w:line="360" w:lineRule="auto"/>
        <w:ind w:left="0" w:leftChars="0"/>
      </w:pPr>
      <w:r>
        <w:rPr>
          <w:rFonts w:hint="eastAsia"/>
        </w:rPr>
        <w:t>*16.内置冷凝水槽，避免腔体内冷凝水积聚，防止腐蚀。</w:t>
      </w:r>
    </w:p>
    <w:p>
      <w:pPr>
        <w:pStyle w:val="2"/>
        <w:spacing w:beforeAutospacing="0" w:afterAutospacing="0" w:line="360" w:lineRule="auto"/>
        <w:ind w:left="0" w:leftChars="0"/>
      </w:pPr>
      <w:r>
        <w:rPr>
          <w:rFonts w:hint="eastAsia"/>
        </w:rPr>
        <w:t>配置：冷冻离心机主机1台，含气密性转子盖的24×1.5ml角转子（投标文件中提供所投产品彩页加以证明）。</w:t>
      </w:r>
    </w:p>
    <w:p>
      <w:pPr>
        <w:pStyle w:val="2"/>
        <w:spacing w:beforeAutospacing="0" w:afterAutospacing="0" w:line="360" w:lineRule="auto"/>
        <w:ind w:left="0" w:leftChars="0"/>
      </w:pPr>
      <w:r>
        <w:rPr>
          <w:rFonts w:hint="eastAsia"/>
        </w:rPr>
        <w:t>*17. OptiBowl® 离心机盖设计确保静音操作，即使不盖转子盖离心也非常安静.（投标文件中提供所投产品彩页加以证明）。</w:t>
      </w:r>
    </w:p>
    <w:p>
      <w:pPr>
        <w:pStyle w:val="2"/>
        <w:spacing w:beforeAutospacing="0" w:afterAutospacing="0" w:line="360" w:lineRule="auto"/>
        <w:ind w:left="0" w:leftChars="0"/>
      </w:pPr>
      <w:r>
        <w:rPr>
          <w:rFonts w:hint="eastAsia"/>
        </w:rPr>
        <w:t>*18 SOFT 软刹车功能，防止重悬，保护敏感样品</w:t>
      </w:r>
    </w:p>
    <w:p>
      <w:pPr>
        <w:pStyle w:val="2"/>
        <w:spacing w:beforeAutospacing="0" w:afterAutospacing="0" w:line="360" w:lineRule="auto"/>
        <w:ind w:left="0" w:leftChars="0"/>
      </w:pPr>
      <w:r>
        <w:rPr>
          <w:rFonts w:hint="eastAsia"/>
        </w:rPr>
        <w:t>19.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五、冷冻研磨仪</w:t>
      </w:r>
    </w:p>
    <w:p>
      <w:pPr>
        <w:pStyle w:val="2"/>
        <w:spacing w:beforeAutospacing="0" w:afterAutospacing="0" w:line="360" w:lineRule="auto"/>
        <w:ind w:left="0" w:leftChars="0"/>
      </w:pPr>
      <w:r>
        <w:rPr>
          <w:rFonts w:hint="eastAsia"/>
        </w:rPr>
        <w:t>1、 货物名称：全自动样品冷冻研磨机</w:t>
      </w:r>
    </w:p>
    <w:p>
      <w:pPr>
        <w:pStyle w:val="2"/>
        <w:spacing w:beforeAutospacing="0" w:afterAutospacing="0" w:line="360" w:lineRule="auto"/>
        <w:ind w:left="0" w:leftChars="0"/>
      </w:pPr>
      <w:r>
        <w:rPr>
          <w:rFonts w:hint="eastAsia"/>
        </w:rPr>
        <w:t>2、主要用途：通过低温研磨生物样品能够有效抑制核酸降解，保留蛋白质活性,并可大批量处理样品。具有组织均质，研磨，细胞破碎，匀浆，材料分散，制备，振动的作用。</w:t>
      </w:r>
    </w:p>
    <w:p>
      <w:pPr>
        <w:pStyle w:val="2"/>
        <w:spacing w:beforeAutospacing="0" w:afterAutospacing="0" w:line="360" w:lineRule="auto"/>
        <w:ind w:left="0" w:leftChars="0"/>
      </w:pPr>
      <w:r>
        <w:rPr>
          <w:rFonts w:hint="eastAsia"/>
        </w:rPr>
        <w:t>3、主要功能和技术指标：</w:t>
      </w:r>
    </w:p>
    <w:p>
      <w:pPr>
        <w:pStyle w:val="2"/>
        <w:spacing w:beforeAutospacing="0" w:afterAutospacing="0" w:line="360" w:lineRule="auto"/>
        <w:ind w:left="0" w:leftChars="0"/>
      </w:pPr>
      <w:r>
        <w:rPr>
          <w:rFonts w:hint="eastAsia"/>
        </w:rPr>
        <w:t>3.1 15秒内最大处理量同时可以处理48个样品，包括可以适用24位和48位的低温冷冻适配器</w:t>
      </w:r>
    </w:p>
    <w:p>
      <w:pPr>
        <w:pStyle w:val="2"/>
        <w:spacing w:beforeAutospacing="0" w:afterAutospacing="0" w:line="360" w:lineRule="auto"/>
        <w:ind w:left="0" w:leftChars="0"/>
      </w:pPr>
      <w:r>
        <w:rPr>
          <w:rFonts w:hint="eastAsia"/>
        </w:rPr>
        <w:t>3.2  可以兼容的样品量：48*(0.2-0.5ML) /24*2ML /12*(5-15)ML /4*15ML /2*25ML  /2*50ML，且可以任意定做各种规格研磨管。</w:t>
      </w:r>
    </w:p>
    <w:p>
      <w:pPr>
        <w:pStyle w:val="2"/>
        <w:spacing w:beforeAutospacing="0" w:afterAutospacing="0" w:line="360" w:lineRule="auto"/>
        <w:ind w:left="0" w:leftChars="0"/>
      </w:pPr>
      <w:r>
        <w:rPr>
          <w:rFonts w:hint="eastAsia"/>
        </w:rPr>
        <w:t xml:space="preserve">3.3  触摸屏显示,人性化交互设计，操作便捷，可以方便直观的操作 ： </w:t>
      </w:r>
    </w:p>
    <w:p>
      <w:pPr>
        <w:pStyle w:val="2"/>
        <w:spacing w:beforeAutospacing="0" w:afterAutospacing="0" w:line="360" w:lineRule="auto"/>
        <w:ind w:left="0" w:leftChars="0"/>
      </w:pPr>
      <w:r>
        <w:rPr>
          <w:rFonts w:hint="eastAsia"/>
        </w:rPr>
        <w:t>3.3.1模式循环：根据设置的实验参数，可在几个设置好的参数间不断循环，进一步减少人为因数的干扰。</w:t>
      </w:r>
    </w:p>
    <w:p>
      <w:pPr>
        <w:pStyle w:val="2"/>
        <w:spacing w:beforeAutospacing="0" w:afterAutospacing="0" w:line="360" w:lineRule="auto"/>
        <w:ind w:left="0" w:leftChars="0"/>
      </w:pPr>
      <w:r>
        <w:rPr>
          <w:rFonts w:hint="eastAsia"/>
        </w:rPr>
        <w:t>3.3.2 可存储十组实验数据，根据不同实验样本，设置有动物心脏脾肺肾、骨骼、皮肤、毛发模式。</w:t>
      </w:r>
    </w:p>
    <w:p>
      <w:pPr>
        <w:pStyle w:val="2"/>
        <w:spacing w:beforeAutospacing="0" w:afterAutospacing="0" w:line="360" w:lineRule="auto"/>
        <w:ind w:left="0" w:leftChars="0"/>
      </w:pPr>
      <w:r>
        <w:rPr>
          <w:rFonts w:hint="eastAsia"/>
        </w:rPr>
        <w:t>3.4 开盖运行保护：电磁锁定</w:t>
      </w:r>
    </w:p>
    <w:p>
      <w:pPr>
        <w:pStyle w:val="2"/>
        <w:spacing w:beforeAutospacing="0" w:afterAutospacing="0" w:line="360" w:lineRule="auto"/>
        <w:ind w:left="0" w:leftChars="0"/>
      </w:pPr>
      <w:r>
        <w:rPr>
          <w:rFonts w:hint="eastAsia"/>
        </w:rPr>
        <w:t>3.5.最大进料尺寸：无要求，根据适配器调节。</w:t>
      </w:r>
    </w:p>
    <w:p>
      <w:pPr>
        <w:pStyle w:val="2"/>
        <w:spacing w:beforeAutospacing="0" w:afterAutospacing="0" w:line="360" w:lineRule="auto"/>
        <w:ind w:left="0" w:leftChars="0"/>
      </w:pPr>
      <w:r>
        <w:rPr>
          <w:rFonts w:hint="eastAsia"/>
        </w:rPr>
        <w:t>3.6.最终出料粒度：~5µm。</w:t>
      </w:r>
    </w:p>
    <w:p>
      <w:pPr>
        <w:pStyle w:val="2"/>
        <w:spacing w:beforeAutospacing="0" w:afterAutospacing="0" w:line="360" w:lineRule="auto"/>
        <w:ind w:left="0" w:leftChars="0"/>
      </w:pPr>
      <w:r>
        <w:rPr>
          <w:rFonts w:hint="eastAsia"/>
        </w:rPr>
        <w:t>3.7.研磨平台数 (可接纳研磨罐数) &gt;2 。</w:t>
      </w:r>
    </w:p>
    <w:p>
      <w:pPr>
        <w:pStyle w:val="2"/>
        <w:spacing w:beforeAutospacing="0" w:afterAutospacing="0" w:line="360" w:lineRule="auto"/>
        <w:ind w:left="0" w:leftChars="0"/>
      </w:pPr>
      <w:r>
        <w:rPr>
          <w:rFonts w:hint="eastAsia"/>
        </w:rPr>
        <w:t>3.8.带自动中心定位的紧固装置,工作时安全锁，全程保护。</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六、液相色谱串联质谱仪</w:t>
      </w:r>
    </w:p>
    <w:p>
      <w:pPr>
        <w:pStyle w:val="2"/>
        <w:spacing w:beforeAutospacing="0" w:afterAutospacing="0" w:line="360" w:lineRule="auto"/>
        <w:ind w:left="0" w:leftChars="0"/>
      </w:pPr>
      <w:r>
        <w:rPr>
          <w:rFonts w:hint="eastAsia"/>
        </w:rPr>
        <w:t>1 名称：液相色谱/三重四极杆串联质谱联用仪</w:t>
      </w:r>
    </w:p>
    <w:p>
      <w:pPr>
        <w:pStyle w:val="2"/>
        <w:spacing w:beforeAutospacing="0" w:afterAutospacing="0" w:line="360" w:lineRule="auto"/>
        <w:ind w:left="0" w:leftChars="0"/>
      </w:pPr>
      <w:r>
        <w:rPr>
          <w:rFonts w:hint="eastAsia"/>
        </w:rPr>
        <w:t>2 用途：痕量化合物定量分析，符合国际、国内相关标准和法规的要求。</w:t>
      </w:r>
    </w:p>
    <w:p>
      <w:pPr>
        <w:pStyle w:val="2"/>
        <w:spacing w:beforeAutospacing="0" w:afterAutospacing="0" w:line="360" w:lineRule="auto"/>
        <w:ind w:left="0" w:leftChars="0"/>
      </w:pPr>
      <w:r>
        <w:rPr>
          <w:rFonts w:hint="eastAsia"/>
        </w:rPr>
        <w:t>3 一般规格和要求：</w:t>
      </w:r>
    </w:p>
    <w:p>
      <w:pPr>
        <w:pStyle w:val="2"/>
        <w:spacing w:beforeAutospacing="0" w:afterAutospacing="0" w:line="360" w:lineRule="auto"/>
        <w:ind w:left="0" w:leftChars="0"/>
      </w:pPr>
      <w:r>
        <w:rPr>
          <w:rFonts w:hint="eastAsia"/>
        </w:rPr>
        <w:t>3.1该系统由超高效色谱仪、串联四极杆质谱仪、真空系统、供气系统、仪器控制和数据管理系统五部分构成。</w:t>
      </w:r>
    </w:p>
    <w:p>
      <w:pPr>
        <w:pStyle w:val="2"/>
        <w:spacing w:beforeAutospacing="0" w:afterAutospacing="0" w:line="360" w:lineRule="auto"/>
        <w:ind w:left="0" w:leftChars="0"/>
      </w:pPr>
      <w:r>
        <w:rPr>
          <w:rFonts w:hint="eastAsia"/>
        </w:rPr>
        <w:t>3.2液相色谱与串联四极杆质谱仪均为同一厂家生产，保证联机技术的稳定性；提供相关证明文件，如官网信息、行业知名网站信息链接等。</w:t>
      </w:r>
    </w:p>
    <w:p>
      <w:pPr>
        <w:pStyle w:val="2"/>
        <w:spacing w:beforeAutospacing="0" w:afterAutospacing="0" w:line="360" w:lineRule="auto"/>
        <w:ind w:left="0" w:leftChars="0"/>
      </w:pPr>
      <w:r>
        <w:rPr>
          <w:rFonts w:hint="eastAsia"/>
        </w:rPr>
        <w:t>4 主要技术和性能规格要求</w:t>
      </w:r>
    </w:p>
    <w:p>
      <w:pPr>
        <w:pStyle w:val="2"/>
        <w:spacing w:beforeAutospacing="0" w:afterAutospacing="0" w:line="360" w:lineRule="auto"/>
        <w:ind w:left="0" w:leftChars="0"/>
      </w:pPr>
      <w:r>
        <w:rPr>
          <w:rFonts w:hint="eastAsia"/>
        </w:rPr>
        <w:t xml:space="preserve">4.1  离子源 </w:t>
      </w:r>
    </w:p>
    <w:p>
      <w:pPr>
        <w:pStyle w:val="2"/>
        <w:spacing w:beforeAutospacing="0" w:afterAutospacing="0" w:line="360" w:lineRule="auto"/>
        <w:ind w:left="0" w:leftChars="0"/>
      </w:pPr>
      <w:r>
        <w:rPr>
          <w:rFonts w:hint="eastAsia"/>
        </w:rPr>
        <w:t>*4.1.1需配同时具有电喷雾电离(ESI)和大气压化学电离(APCI)的复合离子源(ESI/APCI 复合离子源)，无需进行硬件更换，即可实现ESI/APCI的数据采集。</w:t>
      </w:r>
    </w:p>
    <w:p>
      <w:pPr>
        <w:pStyle w:val="2"/>
        <w:spacing w:beforeAutospacing="0" w:afterAutospacing="0" w:line="360" w:lineRule="auto"/>
        <w:ind w:left="0" w:leftChars="0"/>
      </w:pPr>
      <w:r>
        <w:rPr>
          <w:rFonts w:hint="eastAsia"/>
        </w:rPr>
        <w:t>*4.1.2 复合离子源实现一次进样完成ESI/APCI离子的检测，同时得到全时段ESI+、ESI-、APCI+、APCI-四通道数据，提供技术支持资料。</w:t>
      </w:r>
    </w:p>
    <w:p>
      <w:pPr>
        <w:pStyle w:val="2"/>
        <w:spacing w:beforeAutospacing="0" w:afterAutospacing="0" w:line="360" w:lineRule="auto"/>
        <w:ind w:left="0" w:leftChars="0"/>
      </w:pPr>
      <w:r>
        <w:rPr>
          <w:rFonts w:hint="eastAsia"/>
        </w:rPr>
        <w:t>*4.1.3ESI 和APCI切换时间≤20 ms（提供说明书、参数规格表等证明文件）。</w:t>
      </w:r>
    </w:p>
    <w:p>
      <w:pPr>
        <w:pStyle w:val="2"/>
        <w:spacing w:beforeAutospacing="0" w:afterAutospacing="0" w:line="360" w:lineRule="auto"/>
        <w:ind w:left="0" w:leftChars="0"/>
      </w:pPr>
      <w:r>
        <w:rPr>
          <w:rFonts w:hint="eastAsia"/>
        </w:rPr>
        <w:t>*4.1.4 待机和维护过程时，不消耗氮气。</w:t>
      </w:r>
    </w:p>
    <w:p>
      <w:pPr>
        <w:pStyle w:val="2"/>
        <w:spacing w:beforeAutospacing="0" w:afterAutospacing="0" w:line="360" w:lineRule="auto"/>
        <w:ind w:left="0" w:leftChars="0"/>
      </w:pPr>
      <w:r>
        <w:rPr>
          <w:rFonts w:hint="eastAsia"/>
        </w:rPr>
        <w:t xml:space="preserve">4.1.4.1 待机过程不消耗氮气，提供官方证明文件。 </w:t>
      </w:r>
    </w:p>
    <w:p>
      <w:pPr>
        <w:pStyle w:val="2"/>
        <w:spacing w:beforeAutospacing="0" w:afterAutospacing="0" w:line="360" w:lineRule="auto"/>
        <w:ind w:left="0" w:leftChars="0"/>
      </w:pPr>
      <w:r>
        <w:rPr>
          <w:rFonts w:hint="eastAsia"/>
        </w:rPr>
        <w:t xml:space="preserve">4.1.4.2 离子源日常维护(清洗离子导入接口)无需卸真空，减少宕机时间。 </w:t>
      </w:r>
    </w:p>
    <w:p>
      <w:pPr>
        <w:pStyle w:val="2"/>
        <w:spacing w:beforeAutospacing="0" w:afterAutospacing="0" w:line="360" w:lineRule="auto"/>
        <w:ind w:left="0" w:leftChars="0"/>
      </w:pPr>
      <w:r>
        <w:rPr>
          <w:rFonts w:hint="eastAsia"/>
        </w:rPr>
        <w:t>*4.1.5 离子源具有双控温区域，脱溶剂气温度设置≥650度，且需满足离子源接口作为另一控温区域，温度设置≥150度，提高脱溶剂化效果，请提供软件温度设置截图证明文件。</w:t>
      </w:r>
    </w:p>
    <w:p>
      <w:pPr>
        <w:pStyle w:val="2"/>
        <w:spacing w:beforeAutospacing="0" w:afterAutospacing="0" w:line="360" w:lineRule="auto"/>
        <w:ind w:left="0" w:leftChars="0"/>
      </w:pPr>
      <w:r>
        <w:rPr>
          <w:rFonts w:hint="eastAsia"/>
        </w:rPr>
        <w:t>4.1.6 离子源接口采用锥孔设计或为毛细管设计；若为毛细管设计，由于损耗较大，需额外多配50根毛细管。</w:t>
      </w:r>
    </w:p>
    <w:p>
      <w:pPr>
        <w:pStyle w:val="2"/>
        <w:spacing w:beforeAutospacing="0" w:afterAutospacing="0" w:line="360" w:lineRule="auto"/>
        <w:ind w:left="0" w:leftChars="0"/>
      </w:pPr>
      <w:r>
        <w:rPr>
          <w:rFonts w:hint="eastAsia"/>
        </w:rPr>
        <w:t>*4.1.7 质谱端直接进样自动调谐和校准系统，实现化合物质谱条件自动开发，每次可同时优化多个化合物，开发好的质谱条件可以自动保存为方法文件，直接用于样品分析。</w:t>
      </w:r>
    </w:p>
    <w:p>
      <w:pPr>
        <w:pStyle w:val="2"/>
        <w:spacing w:beforeAutospacing="0" w:afterAutospacing="0" w:line="360" w:lineRule="auto"/>
        <w:ind w:left="0" w:leftChars="0"/>
      </w:pPr>
      <w:r>
        <w:rPr>
          <w:rFonts w:hint="eastAsia"/>
        </w:rPr>
        <w:t>4.1.7.1 质谱端内置全自动注射泵和一体式切换阀，可通过软件自动切换。</w:t>
      </w:r>
    </w:p>
    <w:p>
      <w:pPr>
        <w:pStyle w:val="2"/>
        <w:spacing w:beforeAutospacing="0" w:afterAutospacing="0" w:line="360" w:lineRule="auto"/>
        <w:ind w:left="0" w:leftChars="0"/>
      </w:pPr>
      <w:r>
        <w:rPr>
          <w:rFonts w:hint="eastAsia"/>
        </w:rPr>
        <w:t>4.1.7.2 质谱端配置直接进样瓶，数量 ≥ 2</w:t>
      </w:r>
    </w:p>
    <w:p>
      <w:pPr>
        <w:pStyle w:val="2"/>
        <w:spacing w:beforeAutospacing="0" w:afterAutospacing="0" w:line="360" w:lineRule="auto"/>
        <w:ind w:left="0" w:leftChars="0"/>
      </w:pPr>
      <w:r>
        <w:rPr>
          <w:rFonts w:hint="eastAsia"/>
        </w:rPr>
        <w:t>4.1.8 离子源具有可扩展性，满足不同样品基质中各种化合物的分析需求，可扩展离子源种类≥5；可扩展类型包含大气压化学电离源-做低极性化合物、气相大气压化学电离源电离源-做二噁英、溴代阻燃剂、大气压固体分析电离源-做固体和半固体样品的直接进样分析、微流离子源-极少量珍贵样品的分析、增强型电喷雾电离源-提升离子化效率、实时直接分析离子源-液体、固体、半固体样品的直接进样分析，并提供相关应用文献作为证明材料。</w:t>
      </w:r>
    </w:p>
    <w:p>
      <w:pPr>
        <w:pStyle w:val="2"/>
        <w:spacing w:beforeAutospacing="0" w:afterAutospacing="0" w:line="360" w:lineRule="auto"/>
        <w:ind w:left="0" w:leftChars="0"/>
      </w:pPr>
      <w:r>
        <w:rPr>
          <w:rFonts w:hint="eastAsia"/>
        </w:rPr>
        <w:t>*4.1.9可升级固体样品直接进样离子源：样品无需前处理，无需色谱分离，可进行固体，液体样品表面直接离子化进样。</w:t>
      </w:r>
    </w:p>
    <w:p>
      <w:pPr>
        <w:pStyle w:val="2"/>
        <w:spacing w:beforeAutospacing="0" w:afterAutospacing="0" w:line="360" w:lineRule="auto"/>
        <w:ind w:left="0" w:leftChars="0"/>
      </w:pPr>
      <w:r>
        <w:rPr>
          <w:rFonts w:hint="eastAsia"/>
        </w:rPr>
        <w:t>*4.1.10 离子源同时具备GC接口，升级可随时进行LC-MS和GC-MS的快速切换。</w:t>
      </w:r>
    </w:p>
    <w:p>
      <w:pPr>
        <w:pStyle w:val="2"/>
        <w:spacing w:beforeAutospacing="0" w:afterAutospacing="0" w:line="360" w:lineRule="auto"/>
        <w:ind w:left="0" w:leftChars="0"/>
      </w:pPr>
      <w:r>
        <w:rPr>
          <w:rFonts w:hint="eastAsia"/>
        </w:rPr>
        <w:t>4.2 真空系统：特殊设计的抽溶剂大抽速机械泵和长寿命分子涡轮泵组合差分抽气高真空系统, 无需额外水冷却系统，自动断电保护功能。</w:t>
      </w:r>
    </w:p>
    <w:p>
      <w:pPr>
        <w:pStyle w:val="2"/>
        <w:spacing w:beforeAutospacing="0" w:afterAutospacing="0" w:line="360" w:lineRule="auto"/>
        <w:ind w:left="0" w:leftChars="0"/>
      </w:pPr>
      <w:r>
        <w:rPr>
          <w:rFonts w:hint="eastAsia"/>
        </w:rPr>
        <w:t>4.3 质量分析器和碰撞池</w:t>
      </w:r>
    </w:p>
    <w:p>
      <w:pPr>
        <w:pStyle w:val="2"/>
        <w:spacing w:beforeAutospacing="0" w:afterAutospacing="0" w:line="360" w:lineRule="auto"/>
        <w:ind w:left="0" w:leftChars="0"/>
      </w:pPr>
      <w:r>
        <w:rPr>
          <w:rFonts w:hint="eastAsia"/>
        </w:rPr>
        <w:t>*4.3.1 一级四极杆质量分析器后带有前后过滤器，防止发生质量歧视效应；二级四极杆质量分析器前带有过滤器，提升离子传输效率，提供带有仪器结构图的证明文件。</w:t>
      </w:r>
    </w:p>
    <w:p>
      <w:pPr>
        <w:pStyle w:val="2"/>
        <w:spacing w:beforeAutospacing="0" w:afterAutospacing="0" w:line="360" w:lineRule="auto"/>
        <w:ind w:left="0" w:leftChars="0"/>
      </w:pPr>
      <w:r>
        <w:rPr>
          <w:rFonts w:hint="eastAsia"/>
        </w:rPr>
        <w:t>* 4.3.2 碰撞池：直线型碰撞池或90度弯曲碰撞池，降低碰撞池清洗频次；若为进口产品，投标文件中提供投标文件中提供生产企业或生产企业的国内分支机构（分公司、办事处等）或国内代理商（包括分销商、经销商等，下同）针对本项目盖章的针对碰撞池连续三年免费清洗的售后服务承诺书（须体现项目名称、产品名称，如为代理商授权，须同时提供产品代理身份证明材料或产品代理身份声明&lt;格式自拟&gt;，否则不予认可）。</w:t>
      </w:r>
    </w:p>
    <w:p>
      <w:pPr>
        <w:pStyle w:val="2"/>
        <w:spacing w:beforeAutospacing="0" w:afterAutospacing="0" w:line="360" w:lineRule="auto"/>
        <w:ind w:left="0" w:leftChars="0"/>
      </w:pPr>
      <w:r>
        <w:rPr>
          <w:rFonts w:hint="eastAsia"/>
        </w:rPr>
        <w:t xml:space="preserve">4.4 检测器 </w:t>
      </w:r>
    </w:p>
    <w:p>
      <w:pPr>
        <w:pStyle w:val="2"/>
        <w:spacing w:beforeAutospacing="0" w:afterAutospacing="0" w:line="360" w:lineRule="auto"/>
        <w:ind w:left="0" w:leftChars="0"/>
      </w:pPr>
      <w:r>
        <w:rPr>
          <w:rFonts w:hint="eastAsia"/>
        </w:rPr>
        <w:t>4.4.1光电倍增器或电子倍增器。若为光电倍增器，需密封在真空玻璃内，满足长期大量脏样品定量分析的数据可靠性和重复性；若为电子倍增器，由于其一般只有2-3年使用寿命，需额外配置4个电子倍增器，以满足10年的使用寿命。</w:t>
      </w:r>
    </w:p>
    <w:p>
      <w:pPr>
        <w:pStyle w:val="2"/>
        <w:spacing w:beforeAutospacing="0" w:afterAutospacing="0" w:line="360" w:lineRule="auto"/>
        <w:ind w:left="0" w:leftChars="0"/>
      </w:pPr>
      <w:r>
        <w:rPr>
          <w:rFonts w:hint="eastAsia"/>
        </w:rPr>
        <w:t>4.5 四极杆串联质谱仪性能指标</w:t>
      </w:r>
    </w:p>
    <w:p>
      <w:pPr>
        <w:pStyle w:val="2"/>
        <w:spacing w:beforeAutospacing="0" w:afterAutospacing="0" w:line="360" w:lineRule="auto"/>
        <w:ind w:left="0" w:leftChars="0"/>
      </w:pPr>
      <w:r>
        <w:rPr>
          <w:rFonts w:hint="eastAsia"/>
        </w:rPr>
        <w:t>*4.5.1  质量范围:&gt; 2－2040Da 提供软件截图</w:t>
      </w:r>
    </w:p>
    <w:p>
      <w:pPr>
        <w:pStyle w:val="2"/>
        <w:spacing w:beforeAutospacing="0" w:afterAutospacing="0" w:line="360" w:lineRule="auto"/>
        <w:ind w:left="0" w:leftChars="0"/>
      </w:pPr>
      <w:r>
        <w:rPr>
          <w:rFonts w:hint="eastAsia"/>
        </w:rPr>
        <w:t xml:space="preserve">4.5.2 分辨率：半峰宽≤0.5 Da </w:t>
      </w:r>
    </w:p>
    <w:p>
      <w:pPr>
        <w:pStyle w:val="2"/>
        <w:spacing w:beforeAutospacing="0" w:afterAutospacing="0" w:line="360" w:lineRule="auto"/>
        <w:ind w:left="0" w:leftChars="0"/>
      </w:pPr>
      <w:r>
        <w:rPr>
          <w:rFonts w:hint="eastAsia"/>
        </w:rPr>
        <w:t>4.5.3质量数稳定性： 平均标准偏差≤0.1Da /24Hr，全质量范围偏差≤0.01%</w:t>
      </w:r>
    </w:p>
    <w:p>
      <w:pPr>
        <w:pStyle w:val="2"/>
        <w:spacing w:beforeAutospacing="0" w:afterAutospacing="0" w:line="360" w:lineRule="auto"/>
        <w:ind w:left="0" w:leftChars="0"/>
      </w:pPr>
      <w:r>
        <w:rPr>
          <w:rFonts w:hint="eastAsia"/>
        </w:rPr>
        <w:t>*4.5.4 灵敏度及检出限</w:t>
      </w:r>
    </w:p>
    <w:p>
      <w:pPr>
        <w:pStyle w:val="2"/>
        <w:spacing w:beforeAutospacing="0" w:afterAutospacing="0" w:line="360" w:lineRule="auto"/>
        <w:ind w:left="0" w:leftChars="0"/>
      </w:pPr>
      <w:r>
        <w:rPr>
          <w:rFonts w:hint="eastAsia"/>
        </w:rPr>
        <w:t>ESI正离子灵敏度，1pg利血平柱上进样，原始数据或无平滑数据m/z609-195信噪比≥ 1500,000:1，同时满足6针重现性RSD&lt;5% .</w:t>
      </w:r>
    </w:p>
    <w:p>
      <w:pPr>
        <w:pStyle w:val="2"/>
        <w:spacing w:beforeAutospacing="0" w:afterAutospacing="0" w:line="360" w:lineRule="auto"/>
        <w:ind w:left="0" w:leftChars="0"/>
      </w:pPr>
      <w:r>
        <w:rPr>
          <w:rFonts w:hint="eastAsia"/>
        </w:rPr>
        <w:t>ESI负离子灵敏度，1pg氯霉素柱上进样，原始数据或无平滑数据m/z321-152信噪比≥1000,000:1同时满足6针重现性RSD&lt;5% .</w:t>
      </w:r>
    </w:p>
    <w:p>
      <w:pPr>
        <w:pStyle w:val="2"/>
        <w:spacing w:beforeAutospacing="0" w:afterAutospacing="0" w:line="360" w:lineRule="auto"/>
        <w:ind w:left="0" w:leftChars="0"/>
      </w:pPr>
      <w:r>
        <w:rPr>
          <w:rFonts w:hint="eastAsia"/>
        </w:rPr>
        <w:t xml:space="preserve">*4.5.5  一次进样可完成＞32000（可调）组MRM的同时分析。 </w:t>
      </w:r>
    </w:p>
    <w:p>
      <w:pPr>
        <w:pStyle w:val="2"/>
        <w:spacing w:beforeAutospacing="0" w:afterAutospacing="0" w:line="360" w:lineRule="auto"/>
        <w:ind w:left="0" w:leftChars="0"/>
      </w:pPr>
      <w:r>
        <w:rPr>
          <w:rFonts w:hint="eastAsia"/>
        </w:rPr>
        <w:t>*4.5.6  扫描速率 ≥20000 Da/s（可调），步进0.1 Da；</w:t>
      </w:r>
    </w:p>
    <w:p>
      <w:pPr>
        <w:pStyle w:val="2"/>
        <w:spacing w:beforeAutospacing="0" w:afterAutospacing="0" w:line="360" w:lineRule="auto"/>
        <w:ind w:left="0" w:leftChars="0"/>
      </w:pPr>
      <w:r>
        <w:rPr>
          <w:rFonts w:hint="eastAsia"/>
        </w:rPr>
        <w:t>4.5.7 最小驻留时间≤1ms；</w:t>
      </w:r>
    </w:p>
    <w:p>
      <w:pPr>
        <w:pStyle w:val="2"/>
        <w:spacing w:beforeAutospacing="0" w:afterAutospacing="0" w:line="360" w:lineRule="auto"/>
        <w:ind w:left="0" w:leftChars="0"/>
      </w:pPr>
      <w:r>
        <w:rPr>
          <w:rFonts w:hint="eastAsia"/>
        </w:rPr>
        <w:t>*4.5.8正负离子切换≤15ms。</w:t>
      </w:r>
    </w:p>
    <w:p>
      <w:pPr>
        <w:pStyle w:val="2"/>
        <w:spacing w:beforeAutospacing="0" w:afterAutospacing="0" w:line="360" w:lineRule="auto"/>
        <w:ind w:left="0" w:leftChars="0"/>
      </w:pPr>
      <w:r>
        <w:rPr>
          <w:rFonts w:hint="eastAsia"/>
        </w:rPr>
        <w:t>4.5.9 扫描方式：</w:t>
      </w:r>
    </w:p>
    <w:p>
      <w:pPr>
        <w:pStyle w:val="2"/>
        <w:spacing w:beforeAutospacing="0" w:afterAutospacing="0" w:line="360" w:lineRule="auto"/>
        <w:ind w:left="0" w:leftChars="0"/>
      </w:pPr>
      <w:r>
        <w:rPr>
          <w:rFonts w:hint="eastAsia"/>
        </w:rPr>
        <w:t xml:space="preserve">4.5.9.1具有全扫描(Full Scan)、选择离子扫描(SIM)、子离子扫描（Product Ion Scan）、母离子扫描（Precursor Ion Scan）、中性丢失扫描（Neutral Loss Scan）、多反应监测扫描（MRM）。MRM和Full Sacn切换时间 ≤ 3ms； </w:t>
      </w:r>
    </w:p>
    <w:p>
      <w:pPr>
        <w:pStyle w:val="2"/>
        <w:spacing w:beforeAutospacing="0" w:afterAutospacing="0" w:line="360" w:lineRule="auto"/>
        <w:ind w:left="0" w:leftChars="0"/>
      </w:pPr>
      <w:r>
        <w:rPr>
          <w:rFonts w:hint="eastAsia"/>
        </w:rPr>
        <w:t>4.5.9.2 双重扫描MRM模式：一针进样同时得到MRM和Full Scan数据，用于评估检测过程中的样品背景基质情况，避免假阴性的产生：提供一针进样同时得到甲胺磷、灭多威、乙酰甲胺磷、去乙基阿特拉津、去乙基西马嗪、绿麦隆、 单宁、阿特拉津、甲氧隆、布洛芬等≥20化合物的特征MRM和Full Scan（50-550Da）提供数据证明文件。</w:t>
      </w:r>
    </w:p>
    <w:p>
      <w:pPr>
        <w:pStyle w:val="2"/>
        <w:spacing w:beforeAutospacing="0" w:afterAutospacing="0" w:line="360" w:lineRule="auto"/>
        <w:ind w:left="0" w:leftChars="0"/>
      </w:pPr>
      <w:r>
        <w:rPr>
          <w:rFonts w:hint="eastAsia"/>
        </w:rPr>
        <w:t>4.5.9.3 MRM和Full Sacn切换时间 ≤ 3ms</w:t>
      </w:r>
    </w:p>
    <w:p>
      <w:pPr>
        <w:pStyle w:val="2"/>
        <w:spacing w:beforeAutospacing="0" w:afterAutospacing="0" w:line="360" w:lineRule="auto"/>
        <w:ind w:left="0" w:leftChars="0"/>
      </w:pPr>
      <w:r>
        <w:rPr>
          <w:rFonts w:hint="eastAsia"/>
        </w:rPr>
        <w:t>*4.5.9.4 动态阈值二级全扫描子离子确认功能：一针进样同时得到MRM和子离子全扫描数据，用于评估检测过程中的样品基质干扰情况，自动同标准品二级全扫描谱图实现比对、确证，在定量分析的同时实现定性功能，避免复杂痕量样品假阳性的产生。</w:t>
      </w:r>
    </w:p>
    <w:p>
      <w:pPr>
        <w:pStyle w:val="2"/>
        <w:spacing w:beforeAutospacing="0" w:afterAutospacing="0" w:line="360" w:lineRule="auto"/>
        <w:ind w:left="0" w:leftChars="0"/>
      </w:pPr>
      <w:r>
        <w:rPr>
          <w:rFonts w:hint="eastAsia"/>
        </w:rPr>
        <w:t>*4.5.10质谱气体要求：整套质谱使用氮气，碰撞室使用分子量更大、惰性更好的氩气作为碰撞气，以保证碰撞质量更好。</w:t>
      </w:r>
    </w:p>
    <w:p>
      <w:pPr>
        <w:pStyle w:val="2"/>
        <w:spacing w:beforeAutospacing="0" w:afterAutospacing="0" w:line="360" w:lineRule="auto"/>
        <w:ind w:left="0" w:leftChars="0"/>
      </w:pPr>
      <w:r>
        <w:rPr>
          <w:rFonts w:hint="eastAsia"/>
        </w:rPr>
        <w:t xml:space="preserve">4.6  软件: </w:t>
      </w:r>
    </w:p>
    <w:p>
      <w:pPr>
        <w:pStyle w:val="2"/>
        <w:spacing w:beforeAutospacing="0" w:afterAutospacing="0" w:line="360" w:lineRule="auto"/>
        <w:ind w:left="0" w:leftChars="0"/>
      </w:pPr>
      <w:r>
        <w:rPr>
          <w:rFonts w:hint="eastAsia"/>
        </w:rPr>
        <w:t>4.6.1 仪器参数的检测及校正功能：</w:t>
      </w:r>
    </w:p>
    <w:p>
      <w:pPr>
        <w:pStyle w:val="2"/>
        <w:spacing w:beforeAutospacing="0" w:afterAutospacing="0" w:line="360" w:lineRule="auto"/>
        <w:ind w:left="0" w:leftChars="0"/>
      </w:pPr>
      <w:r>
        <w:rPr>
          <w:rFonts w:hint="eastAsia"/>
        </w:rPr>
        <w:t>集成的样品/校正液传输系统，可编程控制的切换阀；</w:t>
      </w:r>
    </w:p>
    <w:p>
      <w:pPr>
        <w:pStyle w:val="2"/>
        <w:spacing w:beforeAutospacing="0" w:afterAutospacing="0" w:line="360" w:lineRule="auto"/>
        <w:ind w:left="0" w:leftChars="0"/>
      </w:pPr>
      <w:r>
        <w:rPr>
          <w:rFonts w:hint="eastAsia"/>
        </w:rPr>
        <w:t>自动质量校正；自动样品调谐；</w:t>
      </w:r>
    </w:p>
    <w:p>
      <w:pPr>
        <w:pStyle w:val="2"/>
        <w:spacing w:beforeAutospacing="0" w:afterAutospacing="0" w:line="360" w:lineRule="auto"/>
        <w:ind w:left="0" w:leftChars="0"/>
      </w:pPr>
      <w:r>
        <w:rPr>
          <w:rFonts w:hint="eastAsia"/>
        </w:rPr>
        <w:t>自动SIR(选择离子扫描)和MRM (多选择反应监测)方法开发；</w:t>
      </w:r>
    </w:p>
    <w:p>
      <w:pPr>
        <w:pStyle w:val="2"/>
        <w:spacing w:beforeAutospacing="0" w:afterAutospacing="0" w:line="360" w:lineRule="auto"/>
        <w:ind w:left="0" w:leftChars="0"/>
      </w:pPr>
      <w:r>
        <w:rPr>
          <w:rFonts w:hint="eastAsia"/>
        </w:rPr>
        <w:t>UPLC-MS/MS系统检查—自动柱上性能检测；</w:t>
      </w:r>
    </w:p>
    <w:p>
      <w:pPr>
        <w:pStyle w:val="2"/>
        <w:spacing w:beforeAutospacing="0" w:afterAutospacing="0" w:line="360" w:lineRule="auto"/>
        <w:ind w:left="0" w:leftChars="0"/>
      </w:pPr>
      <w:r>
        <w:rPr>
          <w:rFonts w:hint="eastAsia"/>
        </w:rPr>
        <w:t>自动MRM设置（采集速率分配-对于多组分MRM实验，每个通道的驻留时间，通道间延迟时间和扫描间延迟时间可自动分配来确保每每个色谱峰上所采集到的MRM数据点的优化。</w:t>
      </w:r>
    </w:p>
    <w:p>
      <w:pPr>
        <w:pStyle w:val="2"/>
        <w:spacing w:beforeAutospacing="0" w:afterAutospacing="0" w:line="360" w:lineRule="auto"/>
        <w:ind w:left="0" w:leftChars="0"/>
      </w:pPr>
      <w:r>
        <w:rPr>
          <w:rFonts w:hint="eastAsia"/>
        </w:rPr>
        <w:t>显著优化了MRM的周期时间以适应重叠峰的保留时间窗口。无论单次分析的组分数量有多少，此功能都能很大程度地简化MRM方法的创建，并同时确保每次实验的最佳定量性能。</w:t>
      </w:r>
    </w:p>
    <w:p>
      <w:pPr>
        <w:pStyle w:val="2"/>
        <w:spacing w:beforeAutospacing="0" w:afterAutospacing="0" w:line="360" w:lineRule="auto"/>
        <w:ind w:left="0" w:leftChars="0"/>
      </w:pPr>
      <w:r>
        <w:rPr>
          <w:rFonts w:hint="eastAsia"/>
        </w:rPr>
        <w:t>4.6.1.1 系统参数的检测及其预警</w:t>
      </w:r>
    </w:p>
    <w:p>
      <w:pPr>
        <w:pStyle w:val="2"/>
        <w:spacing w:beforeAutospacing="0" w:afterAutospacing="0" w:line="360" w:lineRule="auto"/>
        <w:ind w:left="0" w:leftChars="0"/>
      </w:pPr>
      <w:r>
        <w:rPr>
          <w:rFonts w:hint="eastAsia"/>
        </w:rPr>
        <w:t>4.6.1.2自动调谐参数（质谱分辨率、质谱校准、离子源优化）</w:t>
      </w:r>
    </w:p>
    <w:p>
      <w:pPr>
        <w:pStyle w:val="2"/>
        <w:spacing w:beforeAutospacing="0" w:afterAutospacing="0" w:line="360" w:lineRule="auto"/>
        <w:ind w:left="0" w:leftChars="0"/>
      </w:pPr>
      <w:r>
        <w:rPr>
          <w:rFonts w:hint="eastAsia"/>
        </w:rPr>
        <w:t>*4.6.1.3一次性全自动生成包括离子对信息、碰撞能、离子导入电压等参数在内的SIR/MRM方法，提供技术支持资料。</w:t>
      </w:r>
    </w:p>
    <w:p>
      <w:pPr>
        <w:pStyle w:val="2"/>
        <w:spacing w:beforeAutospacing="0" w:afterAutospacing="0" w:line="360" w:lineRule="auto"/>
        <w:ind w:left="0" w:leftChars="0"/>
      </w:pPr>
      <w:r>
        <w:rPr>
          <w:rFonts w:hint="eastAsia"/>
        </w:rPr>
        <w:t>4.6.1.4检查液相色谱/质谱系统性能，确保分析结果准确</w:t>
      </w:r>
    </w:p>
    <w:p>
      <w:pPr>
        <w:pStyle w:val="2"/>
        <w:spacing w:beforeAutospacing="0" w:afterAutospacing="0" w:line="360" w:lineRule="auto"/>
        <w:ind w:left="0" w:leftChars="0"/>
      </w:pPr>
      <w:r>
        <w:rPr>
          <w:rFonts w:hint="eastAsia"/>
        </w:rPr>
        <w:t>4.6.1.5监测系统长期稳定性，能根据分析操作的情况绘制短、中、长期批间趋势图，长期监测系统健康</w:t>
      </w:r>
    </w:p>
    <w:p>
      <w:pPr>
        <w:pStyle w:val="2"/>
        <w:spacing w:beforeAutospacing="0" w:afterAutospacing="0" w:line="360" w:lineRule="auto"/>
        <w:ind w:left="0" w:leftChars="0"/>
      </w:pPr>
      <w:r>
        <w:rPr>
          <w:rFonts w:hint="eastAsia"/>
        </w:rPr>
        <w:t xml:space="preserve">4.6.2  目标化合物分析软件： </w:t>
      </w:r>
    </w:p>
    <w:p>
      <w:pPr>
        <w:pStyle w:val="2"/>
        <w:spacing w:beforeAutospacing="0" w:afterAutospacing="0" w:line="360" w:lineRule="auto"/>
        <w:ind w:left="0" w:leftChars="0"/>
      </w:pPr>
      <w:r>
        <w:rPr>
          <w:rFonts w:hint="eastAsia"/>
        </w:rPr>
        <w:t>4.6.3  符合法规的定量软件，实现自动MRM离子丰度比确认。</w:t>
      </w:r>
    </w:p>
    <w:p>
      <w:pPr>
        <w:pStyle w:val="2"/>
        <w:spacing w:beforeAutospacing="0" w:afterAutospacing="0" w:line="360" w:lineRule="auto"/>
        <w:ind w:left="0" w:leftChars="0"/>
      </w:pPr>
      <w:r>
        <w:rPr>
          <w:rFonts w:hint="eastAsia"/>
        </w:rPr>
        <w:t>4.6.4  QC自动监测软件</w:t>
      </w:r>
    </w:p>
    <w:p>
      <w:pPr>
        <w:pStyle w:val="2"/>
        <w:spacing w:beforeAutospacing="0" w:afterAutospacing="0" w:line="360" w:lineRule="auto"/>
        <w:ind w:left="0" w:leftChars="0"/>
      </w:pPr>
      <w:r>
        <w:rPr>
          <w:rFonts w:hint="eastAsia"/>
        </w:rPr>
        <w:t>4.7  超高效液相色谱仪</w:t>
      </w:r>
    </w:p>
    <w:p>
      <w:pPr>
        <w:pStyle w:val="2"/>
        <w:spacing w:beforeAutospacing="0" w:afterAutospacing="0" w:line="360" w:lineRule="auto"/>
        <w:ind w:left="0" w:leftChars="0"/>
      </w:pPr>
      <w:r>
        <w:rPr>
          <w:rFonts w:hint="eastAsia"/>
        </w:rPr>
        <w:t>4.7.1 流速范围：0.001-2mL/min，以 0.001ml/min 为增量</w:t>
      </w:r>
    </w:p>
    <w:p>
      <w:pPr>
        <w:pStyle w:val="2"/>
        <w:spacing w:beforeAutospacing="0" w:afterAutospacing="0" w:line="360" w:lineRule="auto"/>
        <w:ind w:left="0" w:leftChars="0"/>
      </w:pPr>
      <w:r>
        <w:rPr>
          <w:rFonts w:hint="eastAsia"/>
        </w:rPr>
        <w:t>4.7.2 最高操作压力：≥15000psi</w:t>
      </w:r>
    </w:p>
    <w:p>
      <w:pPr>
        <w:pStyle w:val="2"/>
        <w:spacing w:beforeAutospacing="0" w:afterAutospacing="0" w:line="360" w:lineRule="auto"/>
        <w:ind w:left="0" w:leftChars="0"/>
      </w:pPr>
      <w:r>
        <w:rPr>
          <w:rFonts w:hint="eastAsia"/>
        </w:rPr>
        <w:t>*4.7.3 色谱泵压力传感器数量：≥2</w:t>
      </w:r>
    </w:p>
    <w:p>
      <w:pPr>
        <w:pStyle w:val="2"/>
        <w:spacing w:beforeAutospacing="0" w:afterAutospacing="0" w:line="360" w:lineRule="auto"/>
        <w:ind w:left="0" w:leftChars="0"/>
      </w:pPr>
      <w:r>
        <w:rPr>
          <w:rFonts w:hint="eastAsia"/>
        </w:rPr>
        <w:t>4.7.4 延迟体积：&lt;80µL，含50uL混合器，不随反压变化。</w:t>
      </w:r>
    </w:p>
    <w:p>
      <w:pPr>
        <w:pStyle w:val="2"/>
        <w:spacing w:beforeAutospacing="0" w:afterAutospacing="0" w:line="360" w:lineRule="auto"/>
        <w:ind w:left="0" w:leftChars="0"/>
      </w:pPr>
      <w:r>
        <w:rPr>
          <w:rFonts w:hint="eastAsia"/>
        </w:rPr>
        <w:t>*4.7.5梯度模式：预编可选11种梯度曲线(线性梯度, 2 种步进梯度, 4 种凹形梯度, 4 种凸形梯度。 其中1号和11号为突变曲线)</w:t>
      </w:r>
    </w:p>
    <w:p>
      <w:pPr>
        <w:pStyle w:val="2"/>
        <w:spacing w:beforeAutospacing="0" w:afterAutospacing="0" w:line="360" w:lineRule="auto"/>
        <w:ind w:left="0" w:leftChars="0"/>
      </w:pPr>
      <w:r>
        <w:rPr>
          <w:rFonts w:hint="eastAsia"/>
        </w:rPr>
        <w:t>4.7.6 样品管理系统</w:t>
      </w:r>
    </w:p>
    <w:p>
      <w:pPr>
        <w:pStyle w:val="2"/>
        <w:spacing w:beforeAutospacing="0" w:afterAutospacing="0" w:line="360" w:lineRule="auto"/>
        <w:ind w:left="0" w:leftChars="0"/>
      </w:pPr>
      <w:r>
        <w:rPr>
          <w:rFonts w:hint="eastAsia"/>
        </w:rPr>
        <w:t>4.7.6.1样品管理器耐压：≥15000psi</w:t>
      </w:r>
    </w:p>
    <w:p>
      <w:pPr>
        <w:pStyle w:val="2"/>
        <w:spacing w:beforeAutospacing="0" w:afterAutospacing="0" w:line="360" w:lineRule="auto"/>
        <w:ind w:left="0" w:leftChars="0"/>
      </w:pPr>
      <w:r>
        <w:rPr>
          <w:rFonts w:hint="eastAsia"/>
        </w:rPr>
        <w:t>4.7.6.2样品数量：≥90位2ml样品瓶</w:t>
      </w:r>
    </w:p>
    <w:p>
      <w:pPr>
        <w:pStyle w:val="2"/>
        <w:spacing w:beforeAutospacing="0" w:afterAutospacing="0" w:line="360" w:lineRule="auto"/>
        <w:ind w:left="0" w:leftChars="0"/>
      </w:pPr>
      <w:r>
        <w:rPr>
          <w:rFonts w:hint="eastAsia"/>
        </w:rPr>
        <w:t>4.7.6.3进样范围：0.1-100µL</w:t>
      </w:r>
    </w:p>
    <w:p>
      <w:pPr>
        <w:pStyle w:val="2"/>
        <w:spacing w:beforeAutospacing="0" w:afterAutospacing="0" w:line="360" w:lineRule="auto"/>
        <w:ind w:left="0" w:leftChars="0"/>
      </w:pPr>
      <w:r>
        <w:rPr>
          <w:rFonts w:hint="eastAsia"/>
        </w:rPr>
        <w:t>4.7.6.4 进样次数：每个样品1—99次进样</w:t>
      </w:r>
    </w:p>
    <w:p>
      <w:pPr>
        <w:pStyle w:val="2"/>
        <w:spacing w:beforeAutospacing="0" w:afterAutospacing="0" w:line="360" w:lineRule="auto"/>
        <w:ind w:left="0" w:leftChars="0"/>
      </w:pPr>
      <w:r>
        <w:rPr>
          <w:rFonts w:hint="eastAsia"/>
        </w:rPr>
        <w:t>4.7.6.5 进样精度：≤0.25%RSD</w:t>
      </w:r>
    </w:p>
    <w:p>
      <w:pPr>
        <w:pStyle w:val="2"/>
        <w:spacing w:beforeAutospacing="0" w:afterAutospacing="0" w:line="360" w:lineRule="auto"/>
        <w:ind w:left="0" w:leftChars="0"/>
      </w:pPr>
      <w:r>
        <w:rPr>
          <w:rFonts w:hint="eastAsia"/>
        </w:rPr>
        <w:t>4.7.6.6 进样线性度：&gt;0.999</w:t>
      </w:r>
    </w:p>
    <w:p>
      <w:pPr>
        <w:pStyle w:val="2"/>
        <w:spacing w:beforeAutospacing="0" w:afterAutospacing="0" w:line="360" w:lineRule="auto"/>
        <w:ind w:left="0" w:leftChars="0"/>
      </w:pPr>
      <w:r>
        <w:rPr>
          <w:rFonts w:hint="eastAsia"/>
        </w:rPr>
        <w:t>4.7.6.7 样品控制温度：4-40℃</w:t>
      </w:r>
    </w:p>
    <w:p>
      <w:pPr>
        <w:pStyle w:val="2"/>
        <w:spacing w:beforeAutospacing="0" w:afterAutospacing="0" w:line="360" w:lineRule="auto"/>
        <w:ind w:left="0" w:leftChars="0"/>
      </w:pPr>
      <w:r>
        <w:rPr>
          <w:rFonts w:hint="eastAsia"/>
        </w:rPr>
        <w:t xml:space="preserve">4.7.6.8 样品污染度：≤0.0025% </w:t>
      </w:r>
    </w:p>
    <w:p>
      <w:pPr>
        <w:pStyle w:val="2"/>
        <w:spacing w:beforeAutospacing="0" w:afterAutospacing="0" w:line="360" w:lineRule="auto"/>
        <w:ind w:left="0" w:leftChars="0"/>
      </w:pPr>
      <w:r>
        <w:rPr>
          <w:rFonts w:hint="eastAsia"/>
        </w:rPr>
        <w:t>4.7.7 柱温箱</w:t>
      </w:r>
    </w:p>
    <w:p>
      <w:pPr>
        <w:pStyle w:val="2"/>
        <w:spacing w:beforeAutospacing="0" w:afterAutospacing="0" w:line="360" w:lineRule="auto"/>
        <w:ind w:left="0" w:leftChars="0"/>
      </w:pPr>
      <w:r>
        <w:rPr>
          <w:rFonts w:hint="eastAsia"/>
        </w:rPr>
        <w:t>4.7.7.1控温范围：室温-90℃</w:t>
      </w:r>
    </w:p>
    <w:p>
      <w:pPr>
        <w:pStyle w:val="2"/>
        <w:spacing w:beforeAutospacing="0" w:afterAutospacing="0" w:line="360" w:lineRule="auto"/>
        <w:ind w:left="0" w:leftChars="0"/>
      </w:pPr>
      <w:r>
        <w:rPr>
          <w:rFonts w:hint="eastAsia"/>
        </w:rPr>
        <w:t>4.7.7.2 控温精度：±0.3℃</w:t>
      </w:r>
    </w:p>
    <w:p>
      <w:pPr>
        <w:pStyle w:val="2"/>
        <w:spacing w:beforeAutospacing="0" w:afterAutospacing="0" w:line="360" w:lineRule="auto"/>
        <w:ind w:left="0" w:leftChars="0"/>
      </w:pPr>
      <w:r>
        <w:rPr>
          <w:rFonts w:hint="eastAsia"/>
        </w:rPr>
        <w:t>*4.7.7.3 色谱柱信息跟踪记：在线记录色谱柱使用信息（液相主机可读取每根色谱柱最近50次历史使用记录，包括色谱柱的型号,使用时间,压力及分析结果等）；提供软件功能</w:t>
      </w:r>
    </w:p>
    <w:p>
      <w:pPr>
        <w:pStyle w:val="2"/>
        <w:spacing w:beforeAutospacing="0" w:afterAutospacing="0" w:line="360" w:lineRule="auto"/>
        <w:ind w:left="0" w:leftChars="0"/>
      </w:pPr>
      <w:r>
        <w:rPr>
          <w:rFonts w:hint="eastAsia"/>
        </w:rPr>
        <w:t>5 基本配置</w:t>
      </w:r>
    </w:p>
    <w:p>
      <w:pPr>
        <w:pStyle w:val="2"/>
        <w:spacing w:beforeAutospacing="0" w:afterAutospacing="0" w:line="360" w:lineRule="auto"/>
        <w:ind w:left="0" w:leftChars="0"/>
      </w:pPr>
      <w:r>
        <w:rPr>
          <w:rFonts w:hint="eastAsia"/>
        </w:rPr>
        <w:t>5.1 液相主机×1、质谱主机×1、真空泵×1</w:t>
      </w:r>
    </w:p>
    <w:p>
      <w:pPr>
        <w:pStyle w:val="2"/>
        <w:spacing w:beforeAutospacing="0" w:afterAutospacing="0" w:line="360" w:lineRule="auto"/>
        <w:ind w:left="0" w:leftChars="0"/>
      </w:pPr>
      <w:r>
        <w:rPr>
          <w:rFonts w:hint="eastAsia"/>
        </w:rPr>
        <w:t>5.2 氮气发生器×1</w:t>
      </w:r>
    </w:p>
    <w:p>
      <w:pPr>
        <w:pStyle w:val="2"/>
        <w:spacing w:beforeAutospacing="0" w:afterAutospacing="0" w:line="360" w:lineRule="auto"/>
        <w:ind w:left="0" w:leftChars="0"/>
      </w:pPr>
      <w:r>
        <w:rPr>
          <w:rFonts w:hint="eastAsia"/>
        </w:rPr>
        <w:t>5.3 碰撞气瓶×1</w:t>
      </w:r>
    </w:p>
    <w:p>
      <w:pPr>
        <w:pStyle w:val="2"/>
        <w:spacing w:beforeAutospacing="0" w:afterAutospacing="0" w:line="360" w:lineRule="auto"/>
        <w:ind w:left="0" w:leftChars="0"/>
      </w:pPr>
      <w:r>
        <w:rPr>
          <w:rFonts w:hint="eastAsia"/>
        </w:rPr>
        <w:t>5.4 样品瓶 500个</w:t>
      </w:r>
    </w:p>
    <w:p>
      <w:pPr>
        <w:pStyle w:val="2"/>
        <w:spacing w:beforeAutospacing="0" w:afterAutospacing="0" w:line="360" w:lineRule="auto"/>
        <w:ind w:left="0" w:leftChars="0"/>
        <w:rPr>
          <w:rFonts w:hint="eastAsia"/>
        </w:rPr>
      </w:pPr>
      <w:r>
        <w:rPr>
          <w:rFonts w:hint="eastAsia"/>
        </w:rPr>
        <w:t xml:space="preserve">5.5  色谱柱 </w:t>
      </w:r>
      <w:r>
        <w:t>PFP Column</w:t>
      </w:r>
      <w:r>
        <w:rPr>
          <w:rFonts w:hint="eastAsia"/>
        </w:rPr>
        <w:t>（</w:t>
      </w:r>
      <w:r>
        <w:t>5 µm, 2.1 mm X 100 mm</w:t>
      </w:r>
      <w:r>
        <w:rPr>
          <w:rFonts w:hint="eastAsia"/>
        </w:rPr>
        <w:t>）1支；</w:t>
      </w:r>
      <w:r>
        <w:t>C18 Column</w:t>
      </w:r>
      <w:r>
        <w:rPr>
          <w:rFonts w:hint="eastAsia"/>
        </w:rPr>
        <w:t>（</w:t>
      </w:r>
      <w:r>
        <w:t>1.7 µm, 2.1 x 100 mm</w:t>
      </w:r>
      <w:r>
        <w:rPr>
          <w:rFonts w:hint="eastAsia"/>
        </w:rPr>
        <w:t>）1支；</w:t>
      </w:r>
      <w:r>
        <w:t>HILIC Column</w:t>
      </w:r>
      <w:r>
        <w:rPr>
          <w:rFonts w:hint="eastAsia"/>
        </w:rPr>
        <w:t>（</w:t>
      </w:r>
      <w:r>
        <w:t>5 µm, 2.1 mm X 100 mm</w:t>
      </w:r>
      <w:r>
        <w:rPr>
          <w:rFonts w:hint="eastAsia"/>
        </w:rPr>
        <w:t>）1支。</w:t>
      </w:r>
    </w:p>
    <w:p>
      <w:pPr>
        <w:pStyle w:val="2"/>
        <w:spacing w:beforeAutospacing="0" w:afterAutospacing="0" w:line="360" w:lineRule="auto"/>
        <w:ind w:left="0" w:leftChars="0"/>
      </w:pPr>
      <w:r>
        <w:rPr>
          <w:rFonts w:hint="eastAsia"/>
        </w:rPr>
        <w:t>5.6 计算机×1、打印机×1</w:t>
      </w:r>
    </w:p>
    <w:p>
      <w:pPr>
        <w:pStyle w:val="2"/>
        <w:ind w:left="0" w:leftChars="0"/>
      </w:pP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七、气相色谱质谱联用仪</w:t>
      </w:r>
    </w:p>
    <w:p>
      <w:pPr>
        <w:pStyle w:val="2"/>
        <w:spacing w:beforeAutospacing="0" w:afterAutospacing="0" w:line="360" w:lineRule="auto"/>
        <w:ind w:left="0" w:leftChars="0"/>
      </w:pPr>
      <w:r>
        <w:rPr>
          <w:rFonts w:hint="eastAsia"/>
        </w:rPr>
        <w:t>（一）工作条件</w:t>
      </w:r>
    </w:p>
    <w:p>
      <w:pPr>
        <w:pStyle w:val="2"/>
        <w:spacing w:beforeAutospacing="0" w:afterAutospacing="0" w:line="360" w:lineRule="auto"/>
        <w:ind w:left="0" w:leftChars="0"/>
      </w:pPr>
      <w:r>
        <w:rPr>
          <w:rFonts w:hint="eastAsia"/>
        </w:rPr>
        <w:t>1.1 电源：220V，50Hz电源</w:t>
      </w:r>
    </w:p>
    <w:p>
      <w:pPr>
        <w:pStyle w:val="2"/>
        <w:spacing w:beforeAutospacing="0" w:afterAutospacing="0" w:line="360" w:lineRule="auto"/>
        <w:ind w:left="0" w:leftChars="0"/>
      </w:pPr>
      <w:r>
        <w:rPr>
          <w:rFonts w:hint="eastAsia"/>
        </w:rPr>
        <w:t>1.2 环境温度：15-35˚C</w:t>
      </w:r>
    </w:p>
    <w:p>
      <w:pPr>
        <w:pStyle w:val="2"/>
        <w:spacing w:beforeAutospacing="0" w:afterAutospacing="0" w:line="360" w:lineRule="auto"/>
        <w:ind w:left="0" w:leftChars="0"/>
      </w:pPr>
      <w:r>
        <w:rPr>
          <w:rFonts w:hint="eastAsia"/>
        </w:rPr>
        <w:t>1.3 环境湿度：5%~95%</w:t>
      </w:r>
    </w:p>
    <w:p>
      <w:pPr>
        <w:pStyle w:val="2"/>
        <w:spacing w:beforeAutospacing="0" w:afterAutospacing="0" w:line="360" w:lineRule="auto"/>
        <w:ind w:left="0" w:leftChars="0"/>
      </w:pPr>
      <w:r>
        <w:rPr>
          <w:rFonts w:hint="eastAsia"/>
        </w:rPr>
        <w:t>（二）技术指标</w:t>
      </w:r>
    </w:p>
    <w:p>
      <w:pPr>
        <w:pStyle w:val="2"/>
        <w:spacing w:beforeAutospacing="0" w:afterAutospacing="0" w:line="360" w:lineRule="auto"/>
        <w:ind w:left="0" w:leftChars="0"/>
      </w:pPr>
      <w:r>
        <w:rPr>
          <w:rFonts w:hint="eastAsia"/>
        </w:rPr>
        <w:t>*2.1柱箱：可同时安装两个进样口，三个检测器，</w:t>
      </w:r>
    </w:p>
    <w:p>
      <w:pPr>
        <w:pStyle w:val="2"/>
        <w:spacing w:beforeAutospacing="0" w:afterAutospacing="0" w:line="360" w:lineRule="auto"/>
        <w:ind w:left="0" w:leftChars="0"/>
      </w:pPr>
      <w:r>
        <w:rPr>
          <w:rFonts w:hint="eastAsia"/>
        </w:rPr>
        <w:t>2.1.1温度范围：室温以上8˚C~425˚C</w:t>
      </w:r>
    </w:p>
    <w:p>
      <w:pPr>
        <w:pStyle w:val="2"/>
        <w:spacing w:beforeAutospacing="0" w:afterAutospacing="0" w:line="360" w:lineRule="auto"/>
        <w:ind w:left="0" w:leftChars="0"/>
      </w:pPr>
      <w:r>
        <w:rPr>
          <w:rFonts w:hint="eastAsia"/>
        </w:rPr>
        <w:t>2.1.2温度设定值精度：0.1℃</w:t>
      </w:r>
    </w:p>
    <w:p>
      <w:pPr>
        <w:pStyle w:val="2"/>
        <w:spacing w:beforeAutospacing="0" w:afterAutospacing="0" w:line="360" w:lineRule="auto"/>
        <w:ind w:left="0" w:leftChars="0"/>
      </w:pPr>
      <w:r>
        <w:rPr>
          <w:rFonts w:hint="eastAsia"/>
        </w:rPr>
        <w:t>2.1.3室温每变化1℃柱温箱变化：&lt;0.0l℃</w:t>
      </w:r>
    </w:p>
    <w:p>
      <w:pPr>
        <w:pStyle w:val="2"/>
        <w:spacing w:beforeAutospacing="0" w:afterAutospacing="0" w:line="360" w:lineRule="auto"/>
        <w:ind w:left="0" w:leftChars="0"/>
      </w:pPr>
      <w:r>
        <w:rPr>
          <w:rFonts w:hint="eastAsia"/>
        </w:rPr>
        <w:t>2.1.4升降温阶层：20阶/21平台</w:t>
      </w:r>
    </w:p>
    <w:p>
      <w:pPr>
        <w:pStyle w:val="2"/>
        <w:spacing w:beforeAutospacing="0" w:afterAutospacing="0" w:line="360" w:lineRule="auto"/>
        <w:ind w:left="0" w:leftChars="0"/>
      </w:pPr>
      <w:r>
        <w:rPr>
          <w:rFonts w:hint="eastAsia"/>
        </w:rPr>
        <w:t xml:space="preserve">2.1.5保留时间重现性: &lt;0.06% </w:t>
      </w:r>
    </w:p>
    <w:p>
      <w:pPr>
        <w:pStyle w:val="2"/>
        <w:spacing w:beforeAutospacing="0" w:afterAutospacing="0" w:line="360" w:lineRule="auto"/>
        <w:ind w:left="0" w:leftChars="0"/>
      </w:pPr>
      <w:r>
        <w:rPr>
          <w:rFonts w:hint="eastAsia"/>
        </w:rPr>
        <w:t>2.1.6峰面积重现性: &lt; 2% RSD</w:t>
      </w:r>
    </w:p>
    <w:p>
      <w:pPr>
        <w:pStyle w:val="2"/>
        <w:spacing w:beforeAutospacing="0" w:afterAutospacing="0" w:line="360" w:lineRule="auto"/>
        <w:ind w:left="0" w:leftChars="0"/>
      </w:pPr>
      <w:r>
        <w:rPr>
          <w:rFonts w:hint="eastAsia"/>
        </w:rPr>
        <w:t>*2.1.7 色谱仪自带5英寸彩色触摸屏控制模块，无需任何按键控制，支持中文/英文/日文3种语言显示，并为方便使用，具备以下功能：</w:t>
      </w:r>
    </w:p>
    <w:p>
      <w:pPr>
        <w:pStyle w:val="2"/>
        <w:spacing w:beforeAutospacing="0" w:afterAutospacing="0" w:line="360" w:lineRule="auto"/>
        <w:ind w:left="0" w:leftChars="0"/>
      </w:pPr>
      <w:r>
        <w:rPr>
          <w:rFonts w:hint="eastAsia"/>
        </w:rPr>
        <w:t>完全控制及显示所有温度区域、载气流量、所有检测器温度及气流</w:t>
      </w:r>
    </w:p>
    <w:p>
      <w:pPr>
        <w:pStyle w:val="2"/>
        <w:spacing w:beforeAutospacing="0" w:afterAutospacing="0" w:line="360" w:lineRule="auto"/>
        <w:ind w:left="0" w:leftChars="0"/>
      </w:pPr>
      <w:r>
        <w:rPr>
          <w:rFonts w:hint="eastAsia"/>
        </w:rPr>
        <w:t>可实现显示气相色谱检测器获得的色谱图</w:t>
      </w:r>
    </w:p>
    <w:p>
      <w:pPr>
        <w:pStyle w:val="2"/>
        <w:spacing w:beforeAutospacing="0" w:afterAutospacing="0" w:line="360" w:lineRule="auto"/>
        <w:ind w:left="0" w:leftChars="0"/>
      </w:pPr>
      <w:r>
        <w:rPr>
          <w:rFonts w:hint="eastAsia"/>
        </w:rPr>
        <w:t>可实现进行系统诊断、在线帮助和记事本记录程序事件</w:t>
      </w:r>
    </w:p>
    <w:p>
      <w:pPr>
        <w:pStyle w:val="2"/>
        <w:spacing w:beforeAutospacing="0" w:afterAutospacing="0" w:line="360" w:lineRule="auto"/>
        <w:ind w:left="0" w:leftChars="0"/>
      </w:pPr>
      <w:r>
        <w:rPr>
          <w:rFonts w:hint="eastAsia"/>
        </w:rPr>
        <w:t>可实时查找并显示需要更换的消耗品图片、更换步骤及消耗品订货号</w:t>
      </w:r>
    </w:p>
    <w:p>
      <w:pPr>
        <w:pStyle w:val="2"/>
        <w:spacing w:beforeAutospacing="0" w:afterAutospacing="0" w:line="360" w:lineRule="auto"/>
        <w:ind w:left="0" w:leftChars="0"/>
      </w:pPr>
      <w:r>
        <w:rPr>
          <w:rFonts w:hint="eastAsia"/>
        </w:rPr>
        <w:t>2.1.8 色谱柱带有自计数系统，每根色谱柱无论是否在同一台气相色谱仪上都将独立累计该色谱柱经历的进样针数，为该色谱柱维护提供可靠依据</w:t>
      </w:r>
    </w:p>
    <w:p>
      <w:pPr>
        <w:pStyle w:val="2"/>
        <w:spacing w:beforeAutospacing="0" w:afterAutospacing="0" w:line="360" w:lineRule="auto"/>
        <w:ind w:left="0" w:leftChars="0"/>
      </w:pPr>
      <w:r>
        <w:rPr>
          <w:rFonts w:hint="eastAsia"/>
        </w:rPr>
        <w:t>*2.1.9可通过平板电脑，笔记本等的浏览器实现对仪器的远程控制，非借助第三方软件（需提供官网相关链接证明）</w:t>
      </w:r>
    </w:p>
    <w:p>
      <w:pPr>
        <w:pStyle w:val="2"/>
        <w:spacing w:beforeAutospacing="0" w:afterAutospacing="0" w:line="360" w:lineRule="auto"/>
        <w:ind w:left="0" w:leftChars="0"/>
      </w:pPr>
      <w:r>
        <w:rPr>
          <w:rFonts w:hint="eastAsia"/>
        </w:rPr>
        <w:t>2.2电子气路控制(EPC)</w:t>
      </w:r>
    </w:p>
    <w:p>
      <w:pPr>
        <w:pStyle w:val="2"/>
        <w:spacing w:beforeAutospacing="0" w:afterAutospacing="0" w:line="360" w:lineRule="auto"/>
        <w:ind w:left="0" w:leftChars="0"/>
      </w:pPr>
      <w:r>
        <w:rPr>
          <w:rFonts w:hint="eastAsia"/>
        </w:rPr>
        <w:t>2.2.1大气压力传感器补偿高度或环境的变化</w:t>
      </w:r>
    </w:p>
    <w:p>
      <w:pPr>
        <w:pStyle w:val="2"/>
        <w:spacing w:beforeAutospacing="0" w:afterAutospacing="0" w:line="360" w:lineRule="auto"/>
        <w:ind w:left="0" w:leftChars="0"/>
      </w:pPr>
      <w:r>
        <w:rPr>
          <w:rFonts w:hint="eastAsia"/>
        </w:rPr>
        <w:t>*2.2.2压力设定值和控制精度:0.01psi</w:t>
      </w:r>
    </w:p>
    <w:p>
      <w:pPr>
        <w:pStyle w:val="2"/>
        <w:spacing w:beforeAutospacing="0" w:afterAutospacing="0" w:line="360" w:lineRule="auto"/>
        <w:ind w:left="0" w:leftChars="0"/>
      </w:pPr>
      <w:r>
        <w:rPr>
          <w:rFonts w:hint="eastAsia"/>
        </w:rPr>
        <w:t>*2.2.3最大压力设定范围：0-100 psi</w:t>
      </w:r>
    </w:p>
    <w:p>
      <w:pPr>
        <w:pStyle w:val="2"/>
        <w:spacing w:beforeAutospacing="0" w:afterAutospacing="0" w:line="360" w:lineRule="auto"/>
        <w:ind w:left="0" w:leftChars="0"/>
      </w:pPr>
      <w:r>
        <w:rPr>
          <w:rFonts w:hint="eastAsia"/>
        </w:rPr>
        <w:t>2.3毛细管分流/不分流进样口</w:t>
      </w:r>
    </w:p>
    <w:p>
      <w:pPr>
        <w:pStyle w:val="2"/>
        <w:spacing w:beforeAutospacing="0" w:afterAutospacing="0" w:line="360" w:lineRule="auto"/>
        <w:ind w:left="0" w:leftChars="0"/>
      </w:pPr>
      <w:r>
        <w:rPr>
          <w:rFonts w:hint="eastAsia"/>
        </w:rPr>
        <w:t>*2.3.1快速扳转式进样口：无需工具维护隔垫和衬管（提供实物照片以作证明）</w:t>
      </w:r>
    </w:p>
    <w:p>
      <w:pPr>
        <w:pStyle w:val="2"/>
        <w:spacing w:beforeAutospacing="0" w:afterAutospacing="0" w:line="360" w:lineRule="auto"/>
        <w:ind w:left="0" w:leftChars="0"/>
      </w:pPr>
      <w:r>
        <w:rPr>
          <w:rFonts w:hint="eastAsia"/>
        </w:rPr>
        <w:t>2.3.2最高操作温度400 ℃</w:t>
      </w:r>
    </w:p>
    <w:p>
      <w:pPr>
        <w:pStyle w:val="2"/>
        <w:spacing w:beforeAutospacing="0" w:afterAutospacing="0" w:line="360" w:lineRule="auto"/>
        <w:ind w:left="0" w:leftChars="0"/>
      </w:pPr>
      <w:r>
        <w:rPr>
          <w:rFonts w:hint="eastAsia"/>
        </w:rPr>
        <w:t>2.3.3压力设定范围为0-100 psi 或0-689.47 kPa</w:t>
      </w:r>
    </w:p>
    <w:p>
      <w:pPr>
        <w:pStyle w:val="2"/>
        <w:spacing w:beforeAutospacing="0" w:afterAutospacing="0" w:line="360" w:lineRule="auto"/>
        <w:ind w:left="0" w:leftChars="0"/>
      </w:pPr>
      <w:r>
        <w:rPr>
          <w:rFonts w:hint="eastAsia"/>
        </w:rPr>
        <w:t>2.3.4最大分流比 7500：1</w:t>
      </w:r>
    </w:p>
    <w:p>
      <w:pPr>
        <w:pStyle w:val="2"/>
        <w:spacing w:beforeAutospacing="0" w:afterAutospacing="0" w:line="360" w:lineRule="auto"/>
        <w:ind w:left="0" w:leftChars="0"/>
      </w:pPr>
      <w:r>
        <w:rPr>
          <w:rFonts w:hint="eastAsia"/>
        </w:rPr>
        <w:t>2.3.5流量设定范围为0-500mL/min N2、0-1250ml/min H2或He</w:t>
      </w:r>
    </w:p>
    <w:p>
      <w:pPr>
        <w:pStyle w:val="2"/>
        <w:spacing w:beforeAutospacing="0" w:afterAutospacing="0" w:line="360" w:lineRule="auto"/>
        <w:ind w:left="0" w:leftChars="0"/>
      </w:pPr>
      <w:r>
        <w:rPr>
          <w:rFonts w:hint="eastAsia"/>
        </w:rPr>
        <w:t>2.4自动进样器</w:t>
      </w:r>
    </w:p>
    <w:p>
      <w:pPr>
        <w:pStyle w:val="2"/>
        <w:spacing w:beforeAutospacing="0" w:afterAutospacing="0" w:line="360" w:lineRule="auto"/>
        <w:ind w:left="0" w:leftChars="0"/>
      </w:pPr>
      <w:r>
        <w:rPr>
          <w:rFonts w:hint="eastAsia"/>
        </w:rPr>
        <w:t>2.4.1叠加进样：在当前的样品分析结束之前就开始下一个样品分析的洗针操作并抓起下一个样品瓶，缩短分析时间，提高分析通量。</w:t>
      </w:r>
    </w:p>
    <w:p>
      <w:pPr>
        <w:pStyle w:val="2"/>
        <w:spacing w:beforeAutospacing="0" w:afterAutospacing="0" w:line="360" w:lineRule="auto"/>
        <w:ind w:left="0" w:leftChars="0"/>
      </w:pPr>
      <w:r>
        <w:rPr>
          <w:rFonts w:hint="eastAsia"/>
        </w:rPr>
        <w:t>*2.4.2进样范围：0.01 μL-250.0 μL</w:t>
      </w:r>
    </w:p>
    <w:p>
      <w:pPr>
        <w:pStyle w:val="2"/>
        <w:spacing w:beforeAutospacing="0" w:afterAutospacing="0" w:line="360" w:lineRule="auto"/>
        <w:ind w:left="0" w:leftChars="0"/>
      </w:pPr>
      <w:r>
        <w:rPr>
          <w:rFonts w:hint="eastAsia"/>
        </w:rPr>
        <w:t>2.4.3样品位数：大于150位</w:t>
      </w:r>
    </w:p>
    <w:p>
      <w:pPr>
        <w:pStyle w:val="2"/>
        <w:spacing w:beforeAutospacing="0" w:afterAutospacing="0" w:line="360" w:lineRule="auto"/>
        <w:ind w:left="0" w:leftChars="0"/>
      </w:pPr>
      <w:r>
        <w:rPr>
          <w:rFonts w:hint="eastAsia"/>
        </w:rPr>
        <w:t>2.4.4进样塔无需螺母固定可自由取下</w:t>
      </w:r>
    </w:p>
    <w:p>
      <w:pPr>
        <w:pStyle w:val="2"/>
        <w:spacing w:beforeAutospacing="0" w:afterAutospacing="0" w:line="360" w:lineRule="auto"/>
        <w:ind w:left="0" w:leftChars="0"/>
      </w:pPr>
      <w:r>
        <w:rPr>
          <w:rFonts w:hint="eastAsia"/>
        </w:rPr>
        <w:t>2.4.5具备双塔同时进样功能</w:t>
      </w:r>
    </w:p>
    <w:p>
      <w:pPr>
        <w:pStyle w:val="2"/>
        <w:spacing w:beforeAutospacing="0" w:afterAutospacing="0" w:line="360" w:lineRule="auto"/>
        <w:ind w:left="0" w:leftChars="0"/>
      </w:pPr>
      <w:r>
        <w:rPr>
          <w:rFonts w:hint="eastAsia"/>
        </w:rPr>
        <w:t>2.5质谱检测器（单四极杆）</w:t>
      </w:r>
    </w:p>
    <w:p>
      <w:pPr>
        <w:pStyle w:val="2"/>
        <w:spacing w:beforeAutospacing="0" w:afterAutospacing="0" w:line="360" w:lineRule="auto"/>
        <w:ind w:left="0" w:leftChars="0"/>
      </w:pPr>
      <w:r>
        <w:rPr>
          <w:rFonts w:hint="eastAsia"/>
        </w:rPr>
        <w:t>2.5.1离子源</w:t>
      </w:r>
    </w:p>
    <w:p>
      <w:pPr>
        <w:pStyle w:val="2"/>
        <w:spacing w:beforeAutospacing="0" w:afterAutospacing="0" w:line="360" w:lineRule="auto"/>
        <w:ind w:left="0" w:leftChars="0"/>
      </w:pPr>
      <w:r>
        <w:rPr>
          <w:rFonts w:hint="eastAsia"/>
        </w:rPr>
        <w:t>2.5.1.1  离子化方式：EI电离源</w:t>
      </w:r>
    </w:p>
    <w:p>
      <w:pPr>
        <w:pStyle w:val="2"/>
        <w:spacing w:beforeAutospacing="0" w:afterAutospacing="0" w:line="360" w:lineRule="auto"/>
        <w:ind w:left="0" w:leftChars="0"/>
      </w:pPr>
      <w:r>
        <w:rPr>
          <w:rFonts w:hint="eastAsia"/>
        </w:rPr>
        <w:t>*2.5.1.2  离子源类型: 整体成型的全惰性EI离子源，另配1套不锈钢源以作备用</w:t>
      </w:r>
    </w:p>
    <w:p>
      <w:pPr>
        <w:pStyle w:val="2"/>
        <w:spacing w:beforeAutospacing="0" w:afterAutospacing="0" w:line="360" w:lineRule="auto"/>
        <w:ind w:left="0" w:leftChars="0"/>
      </w:pPr>
      <w:r>
        <w:rPr>
          <w:rFonts w:hint="eastAsia"/>
        </w:rPr>
        <w:t>*2.5.1.3  离子化能量: 5-241 eV任意可调，需提供技术支持材料</w:t>
      </w:r>
    </w:p>
    <w:p>
      <w:pPr>
        <w:pStyle w:val="2"/>
        <w:spacing w:beforeAutospacing="0" w:afterAutospacing="0" w:line="360" w:lineRule="auto"/>
        <w:ind w:left="0" w:leftChars="0"/>
      </w:pPr>
      <w:r>
        <w:rPr>
          <w:rFonts w:hint="eastAsia"/>
        </w:rPr>
        <w:t>*2.5.1.4  离子化电流: 0-315 uA，需提供技术支持材料</w:t>
      </w:r>
    </w:p>
    <w:p>
      <w:pPr>
        <w:pStyle w:val="2"/>
        <w:spacing w:beforeAutospacing="0" w:afterAutospacing="0" w:line="360" w:lineRule="auto"/>
        <w:ind w:left="0" w:leftChars="0"/>
      </w:pPr>
      <w:r>
        <w:rPr>
          <w:rFonts w:hint="eastAsia"/>
        </w:rPr>
        <w:t>2.5.1.5  传输线温度: 100-350 ℃</w:t>
      </w:r>
    </w:p>
    <w:p>
      <w:pPr>
        <w:pStyle w:val="2"/>
        <w:spacing w:beforeAutospacing="0" w:afterAutospacing="0" w:line="360" w:lineRule="auto"/>
        <w:ind w:left="0" w:leftChars="0"/>
      </w:pPr>
      <w:r>
        <w:rPr>
          <w:rFonts w:hint="eastAsia"/>
        </w:rPr>
        <w:t>2.5.1.6  离子源温度: 150-350 ℃</w:t>
      </w:r>
    </w:p>
    <w:p>
      <w:pPr>
        <w:pStyle w:val="2"/>
        <w:spacing w:beforeAutospacing="0" w:afterAutospacing="0" w:line="360" w:lineRule="auto"/>
        <w:ind w:left="0" w:leftChars="0"/>
      </w:pPr>
      <w:r>
        <w:rPr>
          <w:rFonts w:hint="eastAsia"/>
        </w:rPr>
        <w:t>*2.5.1.7  灯丝：EI为双灯丝自动切换，灯丝位于离子源两侧</w:t>
      </w:r>
    </w:p>
    <w:p>
      <w:pPr>
        <w:pStyle w:val="2"/>
        <w:spacing w:beforeAutospacing="0" w:afterAutospacing="0" w:line="360" w:lineRule="auto"/>
        <w:ind w:left="0" w:leftChars="0"/>
      </w:pPr>
      <w:r>
        <w:rPr>
          <w:rFonts w:hint="eastAsia"/>
        </w:rPr>
        <w:t>2.5.2  质量分析器</w:t>
      </w:r>
    </w:p>
    <w:p>
      <w:pPr>
        <w:pStyle w:val="2"/>
        <w:spacing w:beforeAutospacing="0" w:afterAutospacing="0" w:line="360" w:lineRule="auto"/>
        <w:ind w:left="0" w:leftChars="0"/>
      </w:pPr>
      <w:r>
        <w:rPr>
          <w:rFonts w:hint="eastAsia"/>
        </w:rPr>
        <w:t>2.5.2.1质量分析器：四极杆质量分析器或飞行时间管质量分析器。</w:t>
      </w:r>
    </w:p>
    <w:p>
      <w:pPr>
        <w:pStyle w:val="2"/>
        <w:spacing w:beforeAutospacing="0" w:afterAutospacing="0" w:line="360" w:lineRule="auto"/>
        <w:ind w:left="0" w:leftChars="0"/>
      </w:pPr>
      <w:r>
        <w:rPr>
          <w:rFonts w:hint="eastAsia"/>
        </w:rPr>
        <w:t>*2.5.2.2 四极杆质量分析器要求：整体成形可加热石英镀金共轭双曲面四极杆，气质服役周期内无需对四极杆进行维护。如不满足需提供备用四极杆一套方便维护时进行四极杆更换，或者需要配套在线GPC凝胶净化系统以保护离子源与四极杆免受污染，需提供技术支持资料</w:t>
      </w:r>
    </w:p>
    <w:p>
      <w:pPr>
        <w:pStyle w:val="2"/>
        <w:spacing w:beforeAutospacing="0" w:afterAutospacing="0" w:line="360" w:lineRule="auto"/>
        <w:ind w:left="0" w:leftChars="0"/>
      </w:pPr>
      <w:r>
        <w:rPr>
          <w:rFonts w:hint="eastAsia"/>
        </w:rPr>
        <w:t>*2.5.2.3 质量分析器控制要求：可独立加热控温，提供需提供技术支持资料</w:t>
      </w:r>
    </w:p>
    <w:p>
      <w:pPr>
        <w:pStyle w:val="2"/>
        <w:spacing w:beforeAutospacing="0" w:afterAutospacing="0" w:line="360" w:lineRule="auto"/>
        <w:ind w:left="0" w:leftChars="0"/>
      </w:pPr>
      <w:r>
        <w:rPr>
          <w:rFonts w:hint="eastAsia"/>
        </w:rPr>
        <w:t>*2.5.2.4 质量分析器控温范围： 106-200℃，提供需提供技术支持资料</w:t>
      </w:r>
    </w:p>
    <w:p>
      <w:pPr>
        <w:pStyle w:val="2"/>
        <w:spacing w:beforeAutospacing="0" w:afterAutospacing="0" w:line="360" w:lineRule="auto"/>
        <w:ind w:left="0" w:leftChars="0"/>
      </w:pPr>
      <w:r>
        <w:rPr>
          <w:rFonts w:hint="eastAsia"/>
        </w:rPr>
        <w:t>*2.5.2.5 质量分析器保护装置：为避免预四极杆带来的进一步污染，不接受预四极杆作为去中心粒子的设计方式，采用T-K（Turner-Kruger）透镜去中心粒子污染，提供仪器厂商发布的T-K透镜设计说明</w:t>
      </w:r>
    </w:p>
    <w:p>
      <w:pPr>
        <w:pStyle w:val="2"/>
        <w:spacing w:beforeAutospacing="0" w:afterAutospacing="0" w:line="360" w:lineRule="auto"/>
        <w:ind w:left="0" w:leftChars="0"/>
      </w:pPr>
      <w:r>
        <w:rPr>
          <w:rFonts w:hint="eastAsia"/>
        </w:rPr>
        <w:t>2.5.2.6质量范围：2-1000 amu，质量轴分辨率：单位质量可调</w:t>
      </w:r>
    </w:p>
    <w:p>
      <w:pPr>
        <w:pStyle w:val="2"/>
        <w:spacing w:beforeAutospacing="0" w:afterAutospacing="0" w:line="360" w:lineRule="auto"/>
        <w:ind w:left="0" w:leftChars="0"/>
      </w:pPr>
      <w:r>
        <w:rPr>
          <w:rFonts w:hint="eastAsia"/>
        </w:rPr>
        <w:t>2.5.2.7 质量轴稳定性：优于0.10 amu/48hrs</w:t>
      </w:r>
    </w:p>
    <w:p>
      <w:pPr>
        <w:pStyle w:val="2"/>
        <w:spacing w:beforeAutospacing="0" w:afterAutospacing="0" w:line="360" w:lineRule="auto"/>
        <w:ind w:left="0" w:leftChars="0"/>
      </w:pPr>
      <w:r>
        <w:rPr>
          <w:rFonts w:hint="eastAsia"/>
        </w:rPr>
        <w:t>2.5.3 检测器：配备长寿命三通道电子倍增器(EM) 的三重离轴检测器</w:t>
      </w:r>
    </w:p>
    <w:p>
      <w:pPr>
        <w:pStyle w:val="2"/>
        <w:spacing w:beforeAutospacing="0" w:afterAutospacing="0" w:line="360" w:lineRule="auto"/>
        <w:ind w:left="0" w:leftChars="0"/>
      </w:pPr>
      <w:r>
        <w:rPr>
          <w:rFonts w:hint="eastAsia"/>
        </w:rPr>
        <w:t>2.5.4 仪器性能</w:t>
      </w:r>
    </w:p>
    <w:p>
      <w:pPr>
        <w:pStyle w:val="2"/>
        <w:spacing w:beforeAutospacing="0" w:afterAutospacing="0" w:line="360" w:lineRule="auto"/>
        <w:ind w:left="0" w:leftChars="0"/>
      </w:pPr>
      <w:r>
        <w:rPr>
          <w:rFonts w:hint="eastAsia"/>
        </w:rPr>
        <w:t>2.5.4.1 动态范围(电子)：106</w:t>
      </w:r>
    </w:p>
    <w:p>
      <w:pPr>
        <w:pStyle w:val="2"/>
        <w:spacing w:beforeAutospacing="0" w:afterAutospacing="0" w:line="360" w:lineRule="auto"/>
        <w:ind w:left="0" w:leftChars="0"/>
      </w:pPr>
      <w:r>
        <w:rPr>
          <w:rFonts w:hint="eastAsia"/>
        </w:rPr>
        <w:t>2.5.4.2扫描速度(电子)：0.1amu步径,6050 amu/s</w:t>
      </w:r>
    </w:p>
    <w:p>
      <w:pPr>
        <w:pStyle w:val="2"/>
        <w:spacing w:beforeAutospacing="0" w:afterAutospacing="0" w:line="360" w:lineRule="auto"/>
        <w:ind w:left="0" w:leftChars="0"/>
      </w:pPr>
      <w:r>
        <w:rPr>
          <w:rFonts w:hint="eastAsia"/>
        </w:rPr>
        <w:t>2.5.4.3 记录速度：8,000 amu/s</w:t>
      </w:r>
    </w:p>
    <w:p>
      <w:pPr>
        <w:pStyle w:val="2"/>
        <w:spacing w:beforeAutospacing="0" w:afterAutospacing="0" w:line="360" w:lineRule="auto"/>
        <w:ind w:left="0" w:leftChars="0"/>
      </w:pPr>
      <w:r>
        <w:rPr>
          <w:rFonts w:hint="eastAsia"/>
        </w:rPr>
        <w:t>2.5.4.4  SIM：60离子×100个组</w:t>
      </w:r>
    </w:p>
    <w:p>
      <w:pPr>
        <w:pStyle w:val="2"/>
        <w:spacing w:beforeAutospacing="0" w:afterAutospacing="0" w:line="360" w:lineRule="auto"/>
        <w:ind w:left="0" w:leftChars="0"/>
      </w:pPr>
      <w:r>
        <w:rPr>
          <w:rFonts w:hint="eastAsia"/>
        </w:rPr>
        <w:t>*2.5.4.5 真空泵系统：＞255 L/sec (大抽数分子涡轮泵) ，不接受双入口差动式涡轮分子泵。</w:t>
      </w:r>
    </w:p>
    <w:p>
      <w:pPr>
        <w:pStyle w:val="2"/>
        <w:spacing w:beforeAutospacing="0" w:afterAutospacing="0" w:line="360" w:lineRule="auto"/>
        <w:ind w:left="0" w:leftChars="0"/>
      </w:pPr>
      <w:r>
        <w:rPr>
          <w:rFonts w:hint="eastAsia"/>
        </w:rPr>
        <w:t>2.5.4.6 流量：4 ml/min (标准涡轮泵)</w:t>
      </w:r>
    </w:p>
    <w:p>
      <w:pPr>
        <w:pStyle w:val="2"/>
        <w:spacing w:beforeAutospacing="0" w:afterAutospacing="0" w:line="360" w:lineRule="auto"/>
        <w:ind w:left="0" w:leftChars="0"/>
      </w:pPr>
      <w:r>
        <w:rPr>
          <w:rFonts w:hint="eastAsia"/>
        </w:rPr>
        <w:t xml:space="preserve">2.5.4.7 灵敏度：用30m长0.25mm内径0.25um膜厚的毛细柱现场验收，进样1 μL 浓度为1 pg/μL 的OFN 标样，扫描质量范围50 到300 u，提取离子272。全扫描信噪比：1pg八氟萘（OFN）,信/噪比≥550：1 </w:t>
      </w:r>
    </w:p>
    <w:p>
      <w:pPr>
        <w:pStyle w:val="2"/>
        <w:spacing w:beforeAutospacing="0" w:afterAutospacing="0" w:line="360" w:lineRule="auto"/>
        <w:ind w:left="0" w:leftChars="0"/>
      </w:pPr>
      <w:r>
        <w:rPr>
          <w:rFonts w:hint="eastAsia"/>
        </w:rPr>
        <w:t>*2.5.4.8  SIM最低检测限：4.2 fg八氟萘（OFN）。提供技术支持资料。</w:t>
      </w:r>
    </w:p>
    <w:p>
      <w:pPr>
        <w:pStyle w:val="2"/>
        <w:spacing w:beforeAutospacing="0" w:afterAutospacing="0" w:line="360" w:lineRule="auto"/>
        <w:ind w:left="0" w:leftChars="0"/>
      </w:pPr>
      <w:r>
        <w:rPr>
          <w:rFonts w:hint="eastAsia"/>
        </w:rPr>
        <w:t>2.5.</w:t>
      </w:r>
      <w:r>
        <w:rPr>
          <w:rFonts w:hint="eastAsia"/>
          <w:lang w:val="en-US" w:eastAsia="zh-CN"/>
        </w:rPr>
        <w:t>5</w:t>
      </w:r>
      <w:r>
        <w:rPr>
          <w:rFonts w:hint="eastAsia"/>
        </w:rPr>
        <w:t xml:space="preserve"> 真空系统</w:t>
      </w:r>
    </w:p>
    <w:p>
      <w:pPr>
        <w:pStyle w:val="2"/>
        <w:spacing w:beforeAutospacing="0" w:afterAutospacing="0" w:line="360" w:lineRule="auto"/>
        <w:ind w:left="0" w:leftChars="0"/>
      </w:pPr>
      <w:r>
        <w:rPr>
          <w:rFonts w:hint="eastAsia"/>
        </w:rPr>
        <w:t>2.5.</w:t>
      </w:r>
      <w:r>
        <w:rPr>
          <w:rFonts w:hint="eastAsia"/>
          <w:lang w:val="en-US" w:eastAsia="zh-CN"/>
        </w:rPr>
        <w:t>5</w:t>
      </w:r>
      <w:r>
        <w:rPr>
          <w:rFonts w:hint="eastAsia"/>
        </w:rPr>
        <w:t>.1 配置与GC/MS为同一品牌的 250L/s以上分子涡轮泵+变频机械泵（具有节能待机功能），从而达到最佳的仪器兼容性和后续维护成本。</w:t>
      </w:r>
    </w:p>
    <w:p>
      <w:pPr>
        <w:pStyle w:val="2"/>
        <w:spacing w:beforeAutospacing="0" w:afterAutospacing="0" w:line="360" w:lineRule="auto"/>
        <w:ind w:left="0" w:leftChars="0"/>
      </w:pPr>
      <w:r>
        <w:rPr>
          <w:rFonts w:hint="eastAsia"/>
        </w:rPr>
        <w:t>2.5.</w:t>
      </w:r>
      <w:r>
        <w:rPr>
          <w:rFonts w:hint="eastAsia"/>
          <w:lang w:val="en-US" w:eastAsia="zh-CN"/>
        </w:rPr>
        <w:t>5</w:t>
      </w:r>
      <w:r>
        <w:rPr>
          <w:rFonts w:hint="eastAsia"/>
        </w:rPr>
        <w:t xml:space="preserve">.2 快速放空：当质谱仪开始放空时，气相色谱仪会使用最优的载气流量对质谱仪的质量分析器降温减少了等待质谱仪质量分析器降温的时间。 </w:t>
      </w:r>
    </w:p>
    <w:p>
      <w:pPr>
        <w:pStyle w:val="2"/>
        <w:spacing w:beforeAutospacing="0" w:afterAutospacing="0" w:line="360" w:lineRule="auto"/>
        <w:ind w:left="0" w:leftChars="0"/>
      </w:pPr>
      <w:r>
        <w:rPr>
          <w:rFonts w:hint="eastAsia"/>
        </w:rPr>
        <w:t>2.5.</w:t>
      </w:r>
      <w:r>
        <w:rPr>
          <w:rFonts w:hint="eastAsia"/>
          <w:lang w:val="en-US" w:eastAsia="zh-CN"/>
        </w:rPr>
        <w:t>5</w:t>
      </w:r>
      <w:r>
        <w:rPr>
          <w:rFonts w:hint="eastAsia"/>
        </w:rPr>
        <w:t>.3 安全保护：如果质谱仪真空泵出现故障，气相色谱会自动关闭气源以保护GC/MSD系统。</w:t>
      </w:r>
    </w:p>
    <w:p>
      <w:pPr>
        <w:pStyle w:val="2"/>
        <w:spacing w:beforeAutospacing="0" w:afterAutospacing="0" w:line="360" w:lineRule="auto"/>
        <w:ind w:left="0" w:leftChars="0"/>
      </w:pPr>
      <w:r>
        <w:rPr>
          <w:rFonts w:hint="eastAsia"/>
        </w:rPr>
        <w:t>配备真空硅，可以时时质谱端真空度。</w:t>
      </w:r>
    </w:p>
    <w:p>
      <w:pPr>
        <w:pStyle w:val="2"/>
        <w:spacing w:beforeAutospacing="0" w:afterAutospacing="0" w:line="360" w:lineRule="auto"/>
        <w:ind w:left="0" w:leftChars="0"/>
      </w:pPr>
      <w:r>
        <w:rPr>
          <w:rFonts w:hint="eastAsia"/>
        </w:rPr>
        <w:t>2.6   数据处理系统</w:t>
      </w:r>
    </w:p>
    <w:p>
      <w:pPr>
        <w:pStyle w:val="2"/>
        <w:spacing w:beforeAutospacing="0" w:afterAutospacing="0" w:line="360" w:lineRule="auto"/>
        <w:ind w:left="0" w:leftChars="0"/>
      </w:pPr>
      <w:r>
        <w:rPr>
          <w:rFonts w:hint="eastAsia"/>
        </w:rPr>
        <w:t>2.6.1工作站可同时或独立控制气相色谱仪的质谱和色谱两部分。色谱工作站、质谱工作站之间的数据传输全部依靠自身安装的网卡实现。</w:t>
      </w:r>
    </w:p>
    <w:p>
      <w:pPr>
        <w:pStyle w:val="2"/>
        <w:spacing w:beforeAutospacing="0" w:afterAutospacing="0" w:line="360" w:lineRule="auto"/>
        <w:ind w:left="0" w:leftChars="0"/>
      </w:pPr>
      <w:r>
        <w:rPr>
          <w:rFonts w:hint="eastAsia"/>
        </w:rPr>
        <w:t>2.6.2  工作软件（仪器控制及数据处理）：原装色谱、质谱工作站。中/英文可选者可优先考虑。</w:t>
      </w:r>
    </w:p>
    <w:p>
      <w:pPr>
        <w:pStyle w:val="2"/>
        <w:spacing w:beforeAutospacing="0" w:afterAutospacing="0" w:line="360" w:lineRule="auto"/>
        <w:ind w:left="0" w:leftChars="0"/>
      </w:pPr>
      <w:r>
        <w:rPr>
          <w:rFonts w:hint="eastAsia"/>
        </w:rPr>
        <w:t>2.6.3  手动/自动调谐，数据采集，数据检索，分析结果报告，定量分析及谱库检索功能。</w:t>
      </w:r>
    </w:p>
    <w:p>
      <w:pPr>
        <w:pStyle w:val="2"/>
        <w:spacing w:beforeAutospacing="0" w:afterAutospacing="0" w:line="360" w:lineRule="auto"/>
        <w:ind w:left="0" w:leftChars="0"/>
      </w:pPr>
      <w:r>
        <w:rPr>
          <w:rFonts w:hint="eastAsia"/>
        </w:rPr>
        <w:t>2.6.4数据分析软件应包括常规数据和符合EPA 要求的专用环境数据处理等多种分析模式。两种模式通过软件配置互相转换，均能独立工作。</w:t>
      </w:r>
    </w:p>
    <w:p>
      <w:pPr>
        <w:pStyle w:val="2"/>
        <w:spacing w:beforeAutospacing="0" w:afterAutospacing="0" w:line="360" w:lineRule="auto"/>
        <w:ind w:left="0" w:leftChars="0"/>
      </w:pPr>
      <w:r>
        <w:rPr>
          <w:rFonts w:hint="eastAsia"/>
        </w:rPr>
        <w:t>2.6.5 操作环境：Windows 7专业版软件。</w:t>
      </w:r>
    </w:p>
    <w:p>
      <w:pPr>
        <w:pStyle w:val="2"/>
        <w:spacing w:beforeAutospacing="0" w:afterAutospacing="0" w:line="360" w:lineRule="auto"/>
        <w:ind w:left="0" w:leftChars="0"/>
      </w:pPr>
      <w:r>
        <w:rPr>
          <w:rFonts w:hint="eastAsia"/>
        </w:rPr>
        <w:t>2.6.6  谱库：NIST 2020库（24万张以上）</w:t>
      </w:r>
    </w:p>
    <w:p>
      <w:pPr>
        <w:pStyle w:val="2"/>
        <w:spacing w:beforeAutospacing="0" w:afterAutospacing="0" w:line="360" w:lineRule="auto"/>
        <w:ind w:left="0" w:leftChars="0"/>
      </w:pPr>
      <w:r>
        <w:rPr>
          <w:rFonts w:hint="eastAsia"/>
        </w:rPr>
        <w:t>*2.6.7质谱数据处理软件可依据保留时间锁定谱库当中标准保留时间和质谱信息对样品当中可能存在的目标化合物进行自动搜寻,并显示搜寻结果.搜寻结果应显示每个化合物的实测保留时间与谱库当中其标准保留时间的偏差, 定量及确认离子之间的标准丰度比与实测丰度比等以供使用者准确定性。</w:t>
      </w:r>
    </w:p>
    <w:p>
      <w:pPr>
        <w:pStyle w:val="2"/>
        <w:spacing w:beforeAutospacing="0" w:afterAutospacing="0" w:line="360" w:lineRule="auto"/>
        <w:ind w:left="0" w:leftChars="0"/>
      </w:pPr>
      <w:r>
        <w:rPr>
          <w:rFonts w:hint="eastAsia"/>
        </w:rPr>
        <w:t>*2.6.8具有电子方法功能：可直接对已有的GC/MS分析方法通过网络进行转换直接使用</w:t>
      </w:r>
    </w:p>
    <w:p>
      <w:pPr>
        <w:pStyle w:val="2"/>
        <w:spacing w:beforeAutospacing="0" w:afterAutospacing="0" w:line="360" w:lineRule="auto"/>
        <w:ind w:left="0" w:leftChars="0"/>
      </w:pPr>
      <w:r>
        <w:rPr>
          <w:rFonts w:hint="eastAsia"/>
        </w:rPr>
        <w:t>2.6.9硬件：原装质谱专用计算机，激光打印机</w:t>
      </w:r>
      <w:r>
        <w:rPr>
          <w:rFonts w:hint="eastAsia"/>
          <w:lang w:eastAsia="zh-CN"/>
        </w:rPr>
        <w:t>（</w:t>
      </w:r>
      <w:r>
        <w:rPr>
          <w:rFonts w:hint="eastAsia"/>
          <w:lang w:val="en-US" w:eastAsia="zh-CN"/>
        </w:rPr>
        <w:t>强制采购类节能产品，</w:t>
      </w:r>
      <w:r>
        <w:rPr>
          <w:rFonts w:hint="eastAsia"/>
        </w:rPr>
        <w:t>提供激光打印机国家确定的认证机构证明网页截图，及认证机构出具的、处于有效期之内的节能产品认证证书，否则按无效投标处理</w:t>
      </w:r>
      <w:r>
        <w:rPr>
          <w:rFonts w:hint="eastAsia"/>
          <w:lang w:eastAsia="zh-CN"/>
        </w:rPr>
        <w:t>）</w:t>
      </w:r>
      <w:r>
        <w:rPr>
          <w:rFonts w:hint="eastAsia"/>
        </w:rPr>
        <w:t>。</w:t>
      </w:r>
    </w:p>
    <w:p>
      <w:pPr>
        <w:pStyle w:val="2"/>
        <w:spacing w:beforeAutospacing="0" w:afterAutospacing="0" w:line="360" w:lineRule="auto"/>
        <w:ind w:left="0" w:leftChars="0"/>
      </w:pPr>
      <w:r>
        <w:rPr>
          <w:rFonts w:hint="eastAsia"/>
        </w:rPr>
        <w:t>（三）售后服务与培训</w:t>
      </w:r>
    </w:p>
    <w:p>
      <w:pPr>
        <w:pStyle w:val="2"/>
        <w:spacing w:beforeAutospacing="0" w:afterAutospacing="0" w:line="360" w:lineRule="auto"/>
        <w:ind w:left="0" w:leftChars="0"/>
      </w:pPr>
      <w:r>
        <w:rPr>
          <w:rFonts w:hint="eastAsia"/>
        </w:rPr>
        <w:t>1 供应商提供仪器的现场安装与调试，达到承诺的技术指标。如果现场安装调试没有通过，用户有权要求退货并赔偿损失</w:t>
      </w:r>
    </w:p>
    <w:p>
      <w:pPr>
        <w:pStyle w:val="2"/>
        <w:spacing w:beforeAutospacing="0" w:afterAutospacing="0" w:line="360" w:lineRule="auto"/>
        <w:ind w:left="0" w:leftChars="0"/>
      </w:pPr>
      <w:r>
        <w:rPr>
          <w:rFonts w:hint="eastAsia"/>
        </w:rPr>
        <w:t>2 供应商在装机现场对用户进行基本操作培训</w:t>
      </w:r>
    </w:p>
    <w:p>
      <w:pPr>
        <w:pStyle w:val="2"/>
        <w:spacing w:beforeAutospacing="0" w:afterAutospacing="0" w:line="360" w:lineRule="auto"/>
        <w:ind w:left="0" w:leftChars="0"/>
      </w:pPr>
      <w:r>
        <w:rPr>
          <w:rFonts w:hint="eastAsia"/>
        </w:rPr>
        <w:t>3 制造商能为用户在国内提供2个课程和上机实践培训名额</w:t>
      </w:r>
    </w:p>
    <w:p>
      <w:pPr>
        <w:pStyle w:val="2"/>
        <w:spacing w:beforeAutospacing="0" w:afterAutospacing="0" w:line="360" w:lineRule="auto"/>
        <w:ind w:left="0" w:leftChars="0"/>
      </w:pPr>
      <w:r>
        <w:rPr>
          <w:rFonts w:hint="eastAsia"/>
        </w:rPr>
        <w:t>*4 制造商通过有效的售后服务体系认证，需提供制造商的有效的售后服务体系认证证书；</w:t>
      </w:r>
    </w:p>
    <w:p>
      <w:pPr>
        <w:pStyle w:val="2"/>
        <w:spacing w:beforeAutospacing="0" w:afterAutospacing="0" w:line="360" w:lineRule="auto"/>
        <w:ind w:left="0" w:leftChars="0"/>
        <w:rPr>
          <w:rFonts w:asciiTheme="minorEastAsia" w:hAnsiTheme="minorEastAsia" w:eastAsiaTheme="minorEastAsia" w:cstheme="minorEastAsia"/>
          <w:color w:val="000000"/>
          <w:kern w:val="0"/>
          <w:szCs w:val="21"/>
        </w:rPr>
      </w:pPr>
      <w:r>
        <w:rPr>
          <w:rFonts w:hint="eastAsia"/>
        </w:rPr>
        <w:t>5.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p>
      <w:pPr>
        <w:pStyle w:val="2"/>
        <w:spacing w:beforeAutospacing="0" w:afterAutospacing="0" w:line="360" w:lineRule="auto"/>
        <w:ind w:left="0" w:leftChars="0"/>
        <w:rPr>
          <w:b/>
          <w:bCs/>
        </w:rPr>
      </w:pPr>
      <w:r>
        <w:rPr>
          <w:rFonts w:hint="eastAsia"/>
          <w:b/>
          <w:bCs/>
        </w:rPr>
        <w:t>（四）配置清单</w:t>
      </w:r>
    </w:p>
    <w:p>
      <w:pPr>
        <w:pStyle w:val="2"/>
        <w:spacing w:beforeAutospacing="0" w:afterAutospacing="0" w:line="360" w:lineRule="auto"/>
        <w:ind w:left="0" w:leftChars="0"/>
      </w:pPr>
      <w:r>
        <w:rPr>
          <w:rFonts w:hint="eastAsia"/>
        </w:rPr>
        <w:t>1.气相色谱主机（包含两个全惰性进样口 150位液体自动进样器）一套</w:t>
      </w:r>
    </w:p>
    <w:p>
      <w:pPr>
        <w:pStyle w:val="2"/>
        <w:spacing w:beforeAutospacing="0" w:afterAutospacing="0" w:line="360" w:lineRule="auto"/>
        <w:ind w:left="0" w:leftChars="0"/>
      </w:pPr>
      <w:r>
        <w:rPr>
          <w:rFonts w:hint="eastAsia"/>
        </w:rPr>
        <w:t>2.质谱主机一套</w:t>
      </w:r>
    </w:p>
    <w:p>
      <w:pPr>
        <w:pStyle w:val="2"/>
        <w:spacing w:beforeAutospacing="0" w:afterAutospacing="0" w:line="360" w:lineRule="auto"/>
        <w:ind w:left="0" w:leftChars="0"/>
      </w:pPr>
      <w:r>
        <w:rPr>
          <w:rFonts w:hint="eastAsia"/>
        </w:rPr>
        <w:t>3.全惰性化EI离子源一套</w:t>
      </w:r>
    </w:p>
    <w:p>
      <w:pPr>
        <w:pStyle w:val="2"/>
        <w:spacing w:beforeAutospacing="0" w:afterAutospacing="0" w:line="360" w:lineRule="auto"/>
        <w:ind w:left="0" w:leftChars="0"/>
      </w:pPr>
      <w:r>
        <w:rPr>
          <w:rFonts w:hint="eastAsia"/>
        </w:rPr>
        <w:t>4.不锈钢EI离子源一套</w:t>
      </w:r>
    </w:p>
    <w:p>
      <w:pPr>
        <w:pStyle w:val="2"/>
        <w:spacing w:beforeAutospacing="0" w:afterAutospacing="0" w:line="360" w:lineRule="auto"/>
        <w:ind w:left="0" w:leftChars="0"/>
      </w:pPr>
      <w:r>
        <w:rPr>
          <w:rFonts w:hint="eastAsia"/>
        </w:rPr>
        <w:t>5.分子涡轮泵一套</w:t>
      </w:r>
    </w:p>
    <w:p>
      <w:pPr>
        <w:pStyle w:val="2"/>
        <w:spacing w:beforeAutospacing="0" w:afterAutospacing="0" w:line="360" w:lineRule="auto"/>
        <w:ind w:left="0" w:leftChars="0"/>
      </w:pPr>
      <w:r>
        <w:rPr>
          <w:rFonts w:hint="eastAsia"/>
        </w:rPr>
        <w:t>6.气相/质谱 维护工具包一套</w:t>
      </w:r>
    </w:p>
    <w:p>
      <w:pPr>
        <w:pStyle w:val="2"/>
        <w:spacing w:beforeAutospacing="0" w:afterAutospacing="0" w:line="360" w:lineRule="auto"/>
        <w:ind w:left="0" w:leftChars="0"/>
      </w:pPr>
      <w:r>
        <w:rPr>
          <w:rFonts w:hint="eastAsia"/>
        </w:rPr>
        <w:t>7.质谱工作站  电脑以及质谱控制软件一套</w:t>
      </w:r>
    </w:p>
    <w:p>
      <w:pPr>
        <w:pStyle w:val="2"/>
        <w:spacing w:beforeAutospacing="0" w:afterAutospacing="0" w:line="360" w:lineRule="auto"/>
        <w:ind w:left="0" w:leftChars="0"/>
      </w:pPr>
      <w:r>
        <w:rPr>
          <w:rFonts w:hint="eastAsia"/>
        </w:rPr>
        <w:t>8.消耗品：大容量捕集阱 2个；液体自动进样针 10μl 5个；2ml 液体样品小瓶/隔垫/盖子 300个；进样口隔垫 50个；石墨密封垫圈（0.32，0.53）各20个；分流/不分流衬管 10个；色谱柱（规格可以调整）：DB-5</w:t>
      </w:r>
      <w:r>
        <w:t>m</w:t>
      </w:r>
      <w:r>
        <w:rPr>
          <w:rFonts w:hint="eastAsia"/>
        </w:rPr>
        <w:t>s 二根，DB-35ms一根。</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八、台式电脑</w:t>
      </w:r>
    </w:p>
    <w:p>
      <w:pPr>
        <w:pStyle w:val="2"/>
        <w:spacing w:beforeAutospacing="0" w:afterAutospacing="0" w:line="360" w:lineRule="auto"/>
        <w:ind w:left="0" w:leftChars="0"/>
        <w:rPr>
          <w:rFonts w:hint="eastAsia"/>
          <w:lang w:eastAsia="zh-CN"/>
        </w:rPr>
        <w:sectPr>
          <w:footerReference r:id="rId4" w:type="default"/>
          <w:pgSz w:w="11907" w:h="16840"/>
          <w:pgMar w:top="1440" w:right="1800" w:bottom="1276" w:left="1800" w:header="851" w:footer="851" w:gutter="0"/>
          <w:pgNumType w:start="1"/>
          <w:cols w:space="720" w:num="1"/>
          <w:docGrid w:linePitch="312" w:charSpace="0"/>
        </w:sectPr>
      </w:pPr>
      <w:r>
        <w:rPr>
          <w:rFonts w:hint="eastAsia"/>
        </w:rPr>
        <w:t>I7-10700/16G/512G SSD/集成/无光驱/win10/23.8寸/500W电源</w:t>
      </w:r>
      <w:r>
        <w:rPr>
          <w:rFonts w:hint="eastAsia"/>
          <w:lang w:eastAsia="zh-CN"/>
        </w:rPr>
        <w:t>（</w:t>
      </w:r>
      <w:r>
        <w:rPr>
          <w:rFonts w:hint="eastAsia"/>
          <w:lang w:val="en-US" w:eastAsia="zh-CN"/>
        </w:rPr>
        <w:t>强制采购类节能产品，</w:t>
      </w:r>
      <w:r>
        <w:rPr>
          <w:rFonts w:hint="eastAsia"/>
        </w:rPr>
        <w:t>提供国家确定的认证机构证明网页截图，及认证机构出具的、处于有效期之内的节能产品认证证书，否则按无效投标处理</w:t>
      </w:r>
      <w:r>
        <w:rPr>
          <w:rFonts w:hint="eastAsia"/>
          <w:lang w:eastAsia="zh-CN"/>
        </w:rPr>
        <w:t>）</w:t>
      </w:r>
      <w:bookmarkStart w:id="9" w:name="_GoBack"/>
      <w:bookmarkEnd w:id="9"/>
    </w:p>
    <w:p>
      <w:pPr>
        <w:pStyle w:val="5"/>
        <w:snapToGrid w:val="0"/>
        <w:spacing w:before="0" w:beforeAutospacing="0" w:after="0" w:afterAutospacing="0" w:line="360" w:lineRule="auto"/>
        <w:jc w:val="center"/>
        <w:textAlignment w:val="baseline"/>
        <w:rPr>
          <w:sz w:val="28"/>
          <w:szCs w:val="30"/>
        </w:rPr>
      </w:pPr>
      <w:r>
        <w:rPr>
          <w:rFonts w:hint="eastAsia"/>
          <w:sz w:val="28"/>
          <w:szCs w:val="30"/>
        </w:rPr>
        <w:t>采购需求一览表</w:t>
      </w:r>
    </w:p>
    <w:tbl>
      <w:tblPr>
        <w:tblStyle w:val="19"/>
        <w:tblW w:w="13452" w:type="dxa"/>
        <w:tblInd w:w="96" w:type="dxa"/>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972"/>
        <w:gridCol w:w="972"/>
      </w:tblGrid>
      <w:tr>
        <w:tblPrEx>
          <w:tblCellMar>
            <w:top w:w="0" w:type="dxa"/>
            <w:left w:w="108" w:type="dxa"/>
            <w:bottom w:w="0" w:type="dxa"/>
            <w:right w:w="108" w:type="dxa"/>
          </w:tblCellMar>
        </w:tblPrEx>
        <w:trPr>
          <w:trHeight w:val="64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名称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技术参数和规格型号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合计价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列入优先采购和强制采购品目清单情况（优先采购或强制采购）</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rPr>
              <w:t>所属行业（按工信部联企业【2011】300号）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7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岛津气质联用专用自动进样器（150位）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hint="eastAsia" w:cs="方正仿宋_GBK" w:asciiTheme="minorEastAsia" w:hAnsiTheme="minorEastAsia" w:eastAsiaTheme="minorEastAsia"/>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岛津气质联用专用数据库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hint="eastAsia" w:cs="方正仿宋_GBK" w:asciiTheme="minorEastAsia" w:hAnsiTheme="minorEastAsia" w:eastAsiaTheme="minorEastAsia"/>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紫外分光光度计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高速冷冻离心机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允许采购进口产品</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冷冻研磨仪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sz w:val="24"/>
                <w:szCs w:val="24"/>
              </w:rPr>
              <w:t>▲</w:t>
            </w:r>
            <w:r>
              <w:rPr>
                <w:rFonts w:hint="eastAsia" w:ascii="宋体" w:hAnsi="宋体" w:cs="宋体"/>
                <w:color w:val="000000"/>
                <w:kern w:val="0"/>
                <w:sz w:val="20"/>
                <w:szCs w:val="20"/>
                <w:lang w:bidi="ar"/>
              </w:rPr>
              <w:t>液相色谱串联质谱仪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允许采购进口产品</w:t>
            </w:r>
          </w:p>
        </w:tc>
      </w:tr>
      <w:tr>
        <w:tblPrEx>
          <w:tblCellMar>
            <w:top w:w="0" w:type="dxa"/>
            <w:left w:w="108" w:type="dxa"/>
            <w:bottom w:w="0" w:type="dxa"/>
            <w:right w:w="108"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气相色谱质谱联用仪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允许采购进口产品</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台式电脑</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31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cs="宋体" w:eastAsiaTheme="minorEastAsia"/>
                <w:color w:val="000000"/>
                <w:sz w:val="18"/>
                <w:szCs w:val="18"/>
                <w:lang w:val="en-US" w:eastAsia="zh-CN"/>
              </w:rPr>
            </w:pPr>
            <w:r>
              <w:rPr>
                <w:rFonts w:hint="eastAsia" w:ascii="宋体" w:hAnsi="宋体" w:cs="宋体"/>
                <w:b/>
                <w:bCs/>
                <w:color w:val="000000"/>
                <w:kern w:val="0"/>
                <w:sz w:val="18"/>
                <w:szCs w:val="18"/>
                <w:lang w:bidi="ar"/>
              </w:rPr>
              <w:t>强制采购</w:t>
            </w:r>
            <w:r>
              <w:rPr>
                <w:rFonts w:hint="eastAsia" w:ascii="宋体" w:hAnsi="宋体" w:cs="宋体"/>
                <w:b/>
                <w:bCs/>
                <w:color w:val="000000"/>
                <w:kern w:val="0"/>
                <w:sz w:val="18"/>
                <w:szCs w:val="18"/>
                <w:lang w:val="en-US" w:eastAsia="zh-CN" w:bidi="ar"/>
              </w:rPr>
              <w:t>节能产品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bl>
    <w:p>
      <w:pPr>
        <w:rPr>
          <w:sz w:val="20"/>
        </w:rPr>
      </w:pPr>
    </w:p>
    <w:p>
      <w:pPr>
        <w:pStyle w:val="39"/>
        <w:jc w:val="center"/>
        <w:rPr>
          <w:rFonts w:ascii="宋体" w:hAnsi="宋体"/>
          <w:sz w:val="24"/>
          <w:szCs w:val="24"/>
        </w:rPr>
      </w:pPr>
      <w:r>
        <w:rPr>
          <w:rFonts w:ascii="宋体" w:hAnsi="宋体"/>
          <w:sz w:val="24"/>
          <w:szCs w:val="24"/>
        </w:rPr>
        <w:t>本项目核心产品一览表</w:t>
      </w:r>
    </w:p>
    <w:tbl>
      <w:tblPr>
        <w:tblStyle w:val="19"/>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rPr>
                <w:color w:val="000000"/>
                <w:sz w:val="21"/>
              </w:rPr>
              <w:t>6</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宋体" w:hAnsi="宋体" w:cs="宋体"/>
                <w:color w:val="000000"/>
                <w:kern w:val="0"/>
                <w:sz w:val="20"/>
                <w:szCs w:val="20"/>
                <w:lang w:bidi="ar"/>
              </w:rPr>
              <w:t>液相色谱串联质谱仪</w:t>
            </w:r>
          </w:p>
        </w:tc>
      </w:tr>
    </w:tbl>
    <w:p>
      <w:pPr>
        <w:pStyle w:val="39"/>
        <w:ind w:firstLine="470" w:firstLineChars="196"/>
        <w:jc w:val="center"/>
        <w:rPr>
          <w:rFonts w:ascii="宋体" w:hAnsi="宋体"/>
          <w:sz w:val="24"/>
          <w:szCs w:val="24"/>
        </w:rPr>
      </w:pPr>
    </w:p>
    <w:p>
      <w:pPr>
        <w:pStyle w:val="39"/>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9"/>
        <w:ind w:firstLine="1200" w:firstLineChars="500"/>
        <w:rPr>
          <w:rFonts w:ascii="宋体" w:hAnsi="宋体"/>
          <w:sz w:val="24"/>
          <w:szCs w:val="24"/>
        </w:rPr>
      </w:pPr>
      <w:r>
        <w:rPr>
          <w:rFonts w:hint="eastAsia" w:ascii="宋体" w:hAnsi="宋体"/>
          <w:sz w:val="24"/>
          <w:szCs w:val="24"/>
        </w:rPr>
        <w:t xml:space="preserve">2.上表应根据具体项目和评标办法合理填写。     </w:t>
      </w:r>
    </w:p>
    <w:p>
      <w:pPr>
        <w:widowControl/>
        <w:jc w:val="left"/>
        <w:sectPr>
          <w:pgSz w:w="16840" w:h="11907" w:orient="landscape"/>
          <w:pgMar w:top="1797" w:right="1440" w:bottom="1797" w:left="1276" w:header="851" w:footer="851" w:gutter="0"/>
          <w:cols w:space="720" w:num="1"/>
          <w:docGrid w:linePitch="312" w:charSpace="0"/>
        </w:sectPr>
      </w:pPr>
    </w:p>
    <w:p/>
    <w:p>
      <w:pPr>
        <w:pStyle w:val="4"/>
        <w:spacing w:beforeAutospacing="0" w:afterAutospacing="0" w:line="500" w:lineRule="exact"/>
        <w:jc w:val="center"/>
        <w:rPr>
          <w:rFonts w:ascii="黑体" w:hAnsi="黑体"/>
        </w:rPr>
      </w:pPr>
      <w:r>
        <w:rPr>
          <w:rFonts w:hint="eastAsia" w:ascii="黑体" w:hAnsi="黑体"/>
        </w:rPr>
        <w:t>第五章  评标办法及评分规则</w:t>
      </w:r>
    </w:p>
    <w:p>
      <w:pPr>
        <w:spacing w:beforeAutospacing="0" w:afterAutospacing="0" w:line="360" w:lineRule="auto"/>
        <w:ind w:firstLine="482" w:firstLineChars="200"/>
        <w:rPr>
          <w:rFonts w:ascii="宋体" w:hAnsi="宋体"/>
          <w:b/>
          <w:sz w:val="24"/>
          <w:szCs w:val="24"/>
        </w:rPr>
      </w:pPr>
      <w:r>
        <w:rPr>
          <w:rFonts w:hint="eastAsia" w:ascii="宋体" w:hAnsi="宋体"/>
          <w:b/>
          <w:sz w:val="24"/>
          <w:szCs w:val="24"/>
        </w:rPr>
        <w:t xml:space="preserve">1.评审原则 </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1.1合法、合规原则。</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1.2符合公共资源交易规则原则。</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1.3公平、公正、科学、审慎、择优原则。</w:t>
      </w:r>
    </w:p>
    <w:p>
      <w:pPr>
        <w:spacing w:line="360" w:lineRule="auto"/>
        <w:ind w:firstLine="480" w:firstLineChars="200"/>
        <w:rPr>
          <w:rFonts w:ascii="宋体" w:hAnsi="宋体"/>
          <w:sz w:val="24"/>
          <w:szCs w:val="24"/>
        </w:rPr>
      </w:pPr>
      <w:r>
        <w:rPr>
          <w:rFonts w:hint="eastAsia" w:ascii="宋体" w:hAnsi="宋体"/>
          <w:color w:val="auto"/>
          <w:sz w:val="24"/>
          <w:szCs w:val="24"/>
          <w:highlight w:val="none"/>
        </w:rPr>
        <w:t>1.4价格优先原则。在最大限度地满足招标文件中的各项实质性要求基础上，依据每个供应商的评标价由低到高，依次确定排名顺序。</w:t>
      </w:r>
    </w:p>
    <w:p>
      <w:pPr>
        <w:spacing w:line="360" w:lineRule="auto"/>
        <w:ind w:firstLine="482" w:firstLineChars="200"/>
        <w:rPr>
          <w:rFonts w:ascii="宋体" w:hAnsi="宋体"/>
          <w:b/>
          <w:sz w:val="24"/>
          <w:szCs w:val="24"/>
        </w:rPr>
      </w:pPr>
      <w:r>
        <w:rPr>
          <w:rFonts w:hint="eastAsia" w:ascii="宋体" w:hAnsi="宋体"/>
          <w:b/>
          <w:sz w:val="24"/>
          <w:szCs w:val="24"/>
        </w:rPr>
        <w:t>2.评审内容</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2.1资格性和符合性审查内容及标准</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采购人或代理机构对投标文件的资格性响应作合格性审查, 审查结论分为“合格”与“不合格”。审查不合格的投标文件不再进行后续评审。</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有下列情形之一的，应做无效投标处理：</w:t>
      </w:r>
    </w:p>
    <w:tbl>
      <w:tblPr>
        <w:tblStyle w:val="1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770" w:type="dxa"/>
            <w:gridSpan w:val="2"/>
            <w:tcBorders>
              <w:top w:val="outset" w:color="auto" w:sz="6" w:space="0"/>
              <w:left w:val="outset" w:color="auto" w:sz="6" w:space="0"/>
              <w:bottom w:val="outset" w:color="auto" w:sz="6" w:space="0"/>
              <w:right w:val="outset" w:color="auto" w:sz="6" w:space="0"/>
            </w:tcBorders>
            <w:vAlign w:val="center"/>
          </w:tcPr>
          <w:p>
            <w:pPr>
              <w:jc w:val="center"/>
            </w:pPr>
            <w:r>
              <w:t>评审内容</w:t>
            </w:r>
          </w:p>
        </w:tc>
        <w:tc>
          <w:tcPr>
            <w:tcW w:w="4771" w:type="dxa"/>
            <w:tcBorders>
              <w:top w:val="outset" w:color="auto" w:sz="6" w:space="0"/>
              <w:left w:val="outset" w:color="auto" w:sz="6" w:space="0"/>
              <w:bottom w:val="outset" w:color="auto" w:sz="6" w:space="0"/>
              <w:right w:val="outset" w:color="auto" w:sz="6" w:space="0"/>
            </w:tcBorders>
            <w:vAlign w:val="center"/>
          </w:tcPr>
          <w:p>
            <w:pPr>
              <w:jc w:val="center"/>
            </w:pPr>
            <w: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3" w:hRule="atLeast"/>
        </w:trPr>
        <w:tc>
          <w:tcPr>
            <w:tcW w:w="961" w:type="dxa"/>
            <w:vMerge w:val="restart"/>
            <w:tcBorders>
              <w:top w:val="outset" w:color="auto" w:sz="6" w:space="0"/>
              <w:left w:val="outset" w:color="auto" w:sz="6" w:space="0"/>
              <w:right w:val="outset" w:color="auto" w:sz="6" w:space="0"/>
            </w:tcBorders>
            <w:vAlign w:val="center"/>
          </w:tcPr>
          <w:p>
            <w:pPr>
              <w:jc w:val="left"/>
            </w:pPr>
            <w:r>
              <w:t>资格性审查</w:t>
            </w:r>
          </w:p>
        </w:tc>
        <w:tc>
          <w:tcPr>
            <w:tcW w:w="3809" w:type="dxa"/>
            <w:tcBorders>
              <w:top w:val="outset" w:color="auto" w:sz="6" w:space="0"/>
              <w:left w:val="outset" w:color="auto" w:sz="6" w:space="0"/>
              <w:right w:val="outset" w:color="auto" w:sz="6" w:space="0"/>
            </w:tcBorders>
            <w:vAlign w:val="center"/>
          </w:tcPr>
          <w:p/>
          <w:p>
            <w:pPr>
              <w:jc w:val="left"/>
            </w:pPr>
            <w:r>
              <w:t>营业执照</w:t>
            </w:r>
          </w:p>
        </w:tc>
        <w:tc>
          <w:tcPr>
            <w:tcW w:w="4771" w:type="dxa"/>
            <w:tcBorders>
              <w:top w:val="outset" w:color="auto" w:sz="6" w:space="0"/>
              <w:left w:val="outset" w:color="auto" w:sz="6" w:space="0"/>
              <w:bottom w:val="outset" w:color="auto" w:sz="6" w:space="0"/>
              <w:right w:val="outset" w:color="auto" w:sz="6" w:space="0"/>
            </w:tcBorders>
            <w:vAlign w:val="center"/>
          </w:tcPr>
          <w:p/>
          <w:p>
            <w:pPr>
              <w:tabs>
                <w:tab w:val="center" w:pos="2378"/>
              </w:tabs>
              <w:jc w:val="left"/>
            </w:pPr>
            <w:r>
              <w:t>未提供合法有效营业执照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资格</w:t>
            </w:r>
            <w:r>
              <w:t>条件</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法定代表人或授权委托人资格</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其他</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供应商被行政监督部门作出禁止投标处罚且在有效期内的，或其他违反法律法规和招标文件规定的情形</w:t>
            </w:r>
          </w:p>
        </w:tc>
      </w:tr>
    </w:tbl>
    <w:p>
      <w:pPr>
        <w:spacing w:beforeAutospacing="0" w:afterAutospacing="0" w:line="360" w:lineRule="auto"/>
        <w:ind w:firstLine="480" w:firstLineChars="200"/>
        <w:rPr>
          <w:rFonts w:ascii="宋体" w:hAnsi="宋体"/>
          <w:sz w:val="24"/>
          <w:szCs w:val="24"/>
        </w:rPr>
      </w:pPr>
      <w:r>
        <w:rPr>
          <w:rFonts w:hint="eastAsia" w:ascii="宋体" w:hAnsi="宋体"/>
          <w:sz w:val="24"/>
          <w:szCs w:val="24"/>
        </w:rPr>
        <w:t>评标委员会对投标文件的符合性响应作合格性审查, 审查结论分为“合格”与“不合格”。审查不合格的投标文件不再进行后续评审。</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有下列情形之一的，评标委员会应做无效投标处理：</w:t>
      </w:r>
    </w:p>
    <w:tbl>
      <w:tblPr>
        <w:tblStyle w:val="19"/>
        <w:tblW w:w="9541"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restart"/>
            <w:tcBorders>
              <w:top w:val="outset" w:color="auto" w:sz="6" w:space="0"/>
              <w:left w:val="outset" w:color="auto" w:sz="6" w:space="0"/>
              <w:right w:val="outset" w:color="auto" w:sz="6" w:space="0"/>
            </w:tcBorders>
            <w:vAlign w:val="center"/>
          </w:tcPr>
          <w:p>
            <w:pPr>
              <w:jc w:val="left"/>
              <w:rPr>
                <w:sz w:val="22"/>
                <w:szCs w:val="24"/>
              </w:rPr>
            </w:pPr>
            <w:r>
              <w:rPr>
                <w:sz w:val="22"/>
                <w:szCs w:val="24"/>
              </w:rPr>
              <w:t>符合性审查</w:t>
            </w: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供应商名称</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与营业执照、资质证书等不一致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投标文件签署</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未按招标文件要求加盖公章且无法定代表人或授权委托人签字（签章），以致影响整个投标文件效力或正常评审的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投标文件格式</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未按规定格式填写，实质性内容不全或关键字迹模糊、无法辨认，以致影响整个投标文件效力或正常评审的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投标方案及报价</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报价超过招标文件中规定的预算金额或者最高限价</w:t>
            </w:r>
            <w:r>
              <w:rPr>
                <w:rFonts w:hint="eastAsia"/>
                <w:sz w:val="22"/>
                <w:szCs w:val="24"/>
              </w:rPr>
              <w:t>；</w:t>
            </w:r>
            <w:r>
              <w:rPr>
                <w:sz w:val="22"/>
                <w:szCs w:val="24"/>
              </w:rPr>
              <w:t>递交两份或多份内容不同的投标文件，或在一份投标文件中对同一招标项目有两个或多个报价，且未声明哪一个有效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投标有效期</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交货时间、地点、质保期或付款方式</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sz w:val="22"/>
                <w:szCs w:val="24"/>
              </w:rP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rFonts w:hint="eastAsia"/>
                <w:sz w:val="22"/>
                <w:szCs w:val="24"/>
                <w:lang w:val="en-US" w:eastAsia="zh-CN"/>
              </w:rPr>
              <w:t>参数响应</w:t>
            </w:r>
          </w:p>
        </w:tc>
        <w:tc>
          <w:tcPr>
            <w:tcW w:w="4771" w:type="dxa"/>
            <w:tcBorders>
              <w:top w:val="outset" w:color="auto" w:sz="6" w:space="0"/>
              <w:left w:val="outset" w:color="auto" w:sz="6" w:space="0"/>
              <w:bottom w:val="outset" w:color="auto" w:sz="6" w:space="0"/>
              <w:right w:val="outset" w:color="auto" w:sz="6" w:space="0"/>
            </w:tcBorders>
            <w:vAlign w:val="center"/>
          </w:tcPr>
          <w:p>
            <w:pPr>
              <w:rPr>
                <w:rFonts w:hint="eastAsia"/>
                <w:lang w:val="en-US" w:eastAsia="zh-CN"/>
              </w:rPr>
            </w:pPr>
            <w:r>
              <w:rPr>
                <w:rFonts w:hint="eastAsia"/>
                <w:sz w:val="22"/>
                <w:szCs w:val="24"/>
                <w:lang w:val="en-US" w:eastAsia="zh-CN"/>
              </w:rPr>
              <w:t>参数响应负偏离或未按要求提供支持资料的</w:t>
            </w:r>
          </w:p>
          <w:p>
            <w:pPr>
              <w:jc w:val="left"/>
              <w:rPr>
                <w:sz w:val="22"/>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rFonts w:hint="eastAsia"/>
                <w:sz w:val="22"/>
                <w:szCs w:val="24"/>
              </w:rPr>
              <w:t>其他实质性响应</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rPr>
            </w:pPr>
            <w:r>
              <w:rPr>
                <w:rFonts w:hint="eastAsia"/>
                <w:sz w:val="22"/>
                <w:szCs w:val="24"/>
              </w:rPr>
              <w:t>不符合招标文件的要求</w:t>
            </w:r>
          </w:p>
        </w:tc>
      </w:tr>
    </w:tbl>
    <w:p>
      <w:pPr>
        <w:spacing w:beforeAutospacing="0" w:afterAutospacing="0" w:line="360" w:lineRule="auto"/>
        <w:ind w:firstLine="480" w:firstLineChars="200"/>
        <w:rPr>
          <w:rFonts w:ascii="宋体" w:hAnsi="宋体"/>
          <w:sz w:val="24"/>
          <w:szCs w:val="24"/>
        </w:rPr>
      </w:pPr>
      <w:r>
        <w:rPr>
          <w:rFonts w:hint="eastAsia" w:ascii="宋体" w:hAnsi="宋体"/>
          <w:sz w:val="24"/>
          <w:szCs w:val="24"/>
        </w:rPr>
        <w:t>2.2技术、商务和报价评审内容及标准</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2.2.1评标委员会应对所有投标文件中货物技术参数、报价清单和售后服务等内容是否满足招标文件要求进行评审。全部满足招标文件实质性要求的，为合格；不合格的投标文件，不再进行后续评审。</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2.2.2评标价的确认：评标委员会对所有实质性响应招标文件要求的投标报价进行核查、调整，包括根据本招标文件规定的政府采购政策进行的价格扣除。</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1）价格调整：如供应商对招标文件的内容，特别是对招标范围的理解发生误差，有子项漏报的（即该供应商投标报价为漏项报价），经评标委员会评审，按漏项子项和相关标准（有规定标准的按规定标准，无规定标准的按本次招标中相应的最高的单价报价）计算出该供应商的投标调整价；</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（2）价格扣除：供应商的投标报价（如有漏项报价，则为投标调整价）按招标文件规定的价格扣除办法计算其评标价。</w:t>
      </w:r>
    </w:p>
    <w:p>
      <w:pPr>
        <w:spacing w:beforeAutospacing="0" w:afterAutospacing="0" w:line="360" w:lineRule="auto"/>
        <w:ind w:firstLine="482" w:firstLineChars="200"/>
        <w:rPr>
          <w:rFonts w:ascii="宋体" w:hAnsi="宋体"/>
          <w:b/>
          <w:sz w:val="24"/>
          <w:szCs w:val="24"/>
        </w:rPr>
      </w:pPr>
      <w:r>
        <w:rPr>
          <w:rFonts w:hint="eastAsia" w:ascii="宋体" w:hAnsi="宋体"/>
          <w:b/>
          <w:sz w:val="24"/>
          <w:szCs w:val="24"/>
        </w:rPr>
        <w:t xml:space="preserve">3．评审结果 </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经评审合格的投标文件，评标委员会按评标价由低到高顺序依次推荐2名中标候选供应商。排名第一的为首选中标供应商，排名第二的为备选供应商。</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3.2评标委员会（安排代理机构）对拟推荐的中标候选供应商的信用状况进行查询，经查询若被列入供应商须知前附表中第12条失信名单的，由评标委员会取消其中标候选供应商资格，并按3.1条重新确定中标候选供应商人选，完成相关工作。与此同时，将对拟推荐的中标候选供应商的截至评标日的信用状况进行查询并在截图上由评委会签字确认。</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3评标委员会完成评标后，应当向采购人提交书面评标报告。</w:t>
      </w:r>
    </w:p>
    <w:p>
      <w:pPr>
        <w:spacing w:beforeAutospacing="0" w:afterAutospacing="0" w:line="360" w:lineRule="auto"/>
        <w:ind w:firstLine="482" w:firstLineChars="200"/>
        <w:rPr>
          <w:rFonts w:ascii="宋体" w:hAnsi="宋体"/>
          <w:b/>
          <w:sz w:val="24"/>
          <w:szCs w:val="24"/>
        </w:rPr>
      </w:pPr>
      <w:r>
        <w:rPr>
          <w:rFonts w:hint="eastAsia" w:ascii="宋体" w:hAnsi="宋体"/>
          <w:b/>
          <w:sz w:val="24"/>
          <w:szCs w:val="24"/>
        </w:rPr>
        <w:t>4.例外情况</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4.1当出现供应商评标价相同时，评标委员会采用随机抽取方法确定排名顺序。</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4.2当评标委员会认为各投标报价均较高时，可以否决全部投标。</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4.3招标文件条款存在含义不清或者相互矛盾的，评标委员会应当针对相应条款作出有利于相应供应商的结论。</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4.4 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pPr>
        <w:spacing w:beforeAutospacing="0" w:afterAutospacing="0" w:line="360" w:lineRule="auto"/>
        <w:ind w:firstLine="482" w:firstLineChars="200"/>
        <w:rPr>
          <w:rFonts w:ascii="宋体" w:hAnsi="宋体"/>
          <w:b/>
          <w:sz w:val="24"/>
          <w:szCs w:val="24"/>
        </w:rPr>
      </w:pPr>
      <w:r>
        <w:rPr>
          <w:rFonts w:hint="eastAsia" w:ascii="宋体" w:hAnsi="宋体"/>
          <w:b/>
          <w:sz w:val="24"/>
          <w:szCs w:val="24"/>
        </w:rPr>
        <w:t>5.其他</w:t>
      </w:r>
    </w:p>
    <w:p>
      <w:pPr>
        <w:spacing w:beforeAutospacing="0" w:afterAutospacing="0" w:line="360" w:lineRule="auto"/>
        <w:ind w:firstLine="480" w:firstLineChars="200"/>
        <w:rPr>
          <w:rFonts w:ascii="宋体" w:hAnsi="宋体"/>
          <w:sz w:val="24"/>
          <w:szCs w:val="24"/>
        </w:rPr>
      </w:pPr>
      <w:r>
        <w:rPr>
          <w:rFonts w:hint="eastAsia" w:ascii="宋体" w:hAnsi="宋体"/>
          <w:sz w:val="24"/>
          <w:szCs w:val="24"/>
        </w:rPr>
        <w:t>5.1中标结果公告：公告内容应包括</w:t>
      </w:r>
      <w:r>
        <w:rPr>
          <w:rFonts w:ascii="宋体" w:hAnsi="宋体"/>
          <w:sz w:val="24"/>
          <w:szCs w:val="24"/>
        </w:rPr>
        <w:t>采购人及其委托的代理机构的名称、地址、联系方式，项目名称和项目编号，中标供应商名称、地址和中标金额，主要中标标的的名称、规格型号、数量、单价、服务要求，</w:t>
      </w:r>
      <w:r>
        <w:rPr>
          <w:rFonts w:hint="eastAsia" w:ascii="宋体" w:hAnsi="宋体"/>
          <w:sz w:val="24"/>
          <w:szCs w:val="24"/>
        </w:rPr>
        <w:t>评标被否决单位及原因，</w:t>
      </w:r>
      <w:r>
        <w:rPr>
          <w:rFonts w:ascii="宋体" w:hAnsi="宋体"/>
          <w:sz w:val="24"/>
          <w:szCs w:val="24"/>
        </w:rPr>
        <w:t>中标公告期限以及</w:t>
      </w:r>
      <w:r>
        <w:rPr>
          <w:rFonts w:hint="eastAsia" w:ascii="宋体" w:hAnsi="宋体"/>
          <w:sz w:val="24"/>
          <w:szCs w:val="24"/>
        </w:rPr>
        <w:t>评标</w:t>
      </w:r>
      <w:r>
        <w:rPr>
          <w:rFonts w:ascii="宋体" w:hAnsi="宋体"/>
          <w:sz w:val="24"/>
          <w:szCs w:val="24"/>
        </w:rPr>
        <w:t>委员会成员名单</w:t>
      </w:r>
      <w:r>
        <w:rPr>
          <w:rFonts w:hint="eastAsia" w:ascii="宋体" w:hAnsi="宋体"/>
          <w:sz w:val="24"/>
          <w:szCs w:val="24"/>
        </w:rPr>
        <w:t>。招标文件随之一起公告。</w:t>
      </w:r>
    </w:p>
    <w:p>
      <w:pPr>
        <w:keepNext/>
        <w:keepLines/>
        <w:spacing w:beforeAutospacing="0" w:afterAutospacing="0" w:line="500" w:lineRule="exact"/>
        <w:jc w:val="center"/>
        <w:rPr>
          <w:rFonts w:ascii="仿宋" w:hAnsi="仿宋" w:eastAsia="仿宋"/>
          <w:szCs w:val="32"/>
        </w:rPr>
      </w:pPr>
      <w:r>
        <w:rPr>
          <w:rFonts w:hint="eastAsia" w:cs="Arial"/>
          <w:sz w:val="24"/>
          <w:szCs w:val="24"/>
        </w:rPr>
        <w:br w:type="page"/>
      </w:r>
    </w:p>
    <w:p>
      <w:pPr>
        <w:jc w:val="center"/>
        <w:rPr>
          <w:rFonts w:ascii="仿宋" w:hAnsi="仿宋" w:eastAsia="仿宋"/>
          <w:sz w:val="32"/>
          <w:szCs w:val="32"/>
        </w:rPr>
      </w:pPr>
    </w:p>
    <w:p>
      <w:pPr>
        <w:jc w:val="center"/>
      </w:pPr>
      <w:r>
        <w:rPr>
          <w:rFonts w:hint="eastAsia" w:ascii="仿宋" w:hAnsi="仿宋" w:eastAsia="仿宋"/>
          <w:sz w:val="32"/>
          <w:szCs w:val="32"/>
        </w:rPr>
        <w:t>皖南医学院货物采购项目</w:t>
      </w:r>
    </w:p>
    <w:p>
      <w:pPr>
        <w:rPr>
          <w:rFonts w:ascii="宋体" w:hAnsi="宋体"/>
          <w:b/>
          <w:sz w:val="84"/>
          <w:szCs w:val="84"/>
        </w:rPr>
      </w:pPr>
    </w:p>
    <w:p>
      <w:pPr>
        <w:jc w:val="center"/>
        <w:rPr>
          <w:rFonts w:ascii="宋体" w:hAnsi="宋体"/>
          <w:b/>
          <w:sz w:val="84"/>
          <w:szCs w:val="84"/>
        </w:rPr>
      </w:pPr>
    </w:p>
    <w:p>
      <w:pPr>
        <w:jc w:val="center"/>
        <w:rPr>
          <w:rFonts w:ascii="宋体" w:hAnsi="宋体"/>
          <w:b/>
          <w:sz w:val="72"/>
          <w:szCs w:val="72"/>
        </w:rPr>
      </w:pPr>
      <w:r>
        <w:rPr>
          <w:rFonts w:hint="eastAsia" w:ascii="宋体" w:hAnsi="宋体"/>
          <w:b/>
          <w:sz w:val="72"/>
          <w:szCs w:val="72"/>
        </w:rPr>
        <w:t>招标文件</w:t>
      </w:r>
    </w:p>
    <w:p/>
    <w:p>
      <w:pPr>
        <w:pStyle w:val="3"/>
        <w:jc w:val="center"/>
        <w:rPr>
          <w:rFonts w:ascii="宋体" w:hAnsi="宋体"/>
          <w:b w:val="0"/>
          <w:sz w:val="36"/>
          <w:szCs w:val="36"/>
        </w:rPr>
      </w:pPr>
      <w:r>
        <w:rPr>
          <w:rStyle w:val="35"/>
          <w:rFonts w:hint="eastAsia"/>
          <w:b w:val="0"/>
        </w:rPr>
        <w:t>（第二册   通用部分</w:t>
      </w:r>
      <w:r>
        <w:rPr>
          <w:rStyle w:val="35"/>
          <w:b w:val="0"/>
        </w:rPr>
        <w:t>）</w:t>
      </w: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1284"/>
        <w:rPr>
          <w:rFonts w:ascii="宋体" w:hAnsi="宋体"/>
          <w:b/>
          <w:sz w:val="44"/>
          <w:szCs w:val="44"/>
        </w:rPr>
      </w:pP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pStyle w:val="7"/>
        <w:jc w:val="center"/>
        <w:rPr>
          <w:rFonts w:ascii="宋体" w:hAnsi="宋体"/>
          <w:b/>
          <w:sz w:val="32"/>
          <w:szCs w:val="32"/>
        </w:rPr>
      </w:pPr>
      <w:r>
        <w:rPr>
          <w:rFonts w:hint="eastAsia" w:ascii="宋体" w:hAnsi="宋体"/>
          <w:b/>
          <w:sz w:val="32"/>
          <w:szCs w:val="32"/>
        </w:rPr>
        <w:t>采购人：皖南医学院</w:t>
      </w:r>
    </w:p>
    <w:p>
      <w:pPr>
        <w:jc w:val="center"/>
        <w:rPr>
          <w:rFonts w:ascii="宋体" w:hAnsi="宋体"/>
          <w:b/>
          <w:sz w:val="36"/>
          <w:szCs w:val="36"/>
        </w:rPr>
      </w:pPr>
      <w:r>
        <w:rPr>
          <w:rFonts w:hint="eastAsia" w:ascii="宋体" w:hAnsi="宋体"/>
          <w:b/>
          <w:sz w:val="32"/>
          <w:szCs w:val="32"/>
        </w:rPr>
        <w:t>代理机构：安徽安兆工程技术咨询服务有限公司</w:t>
      </w:r>
    </w:p>
    <w:p>
      <w:pPr>
        <w:jc w:val="center"/>
        <w:rPr>
          <w:rFonts w:ascii="宋体" w:hAnsi="宋体"/>
          <w:b/>
          <w:sz w:val="36"/>
          <w:szCs w:val="36"/>
        </w:rPr>
      </w:pPr>
    </w:p>
    <w:p>
      <w:pPr>
        <w:jc w:val="center"/>
      </w:pPr>
      <w:r>
        <w:rPr>
          <w:rFonts w:hint="eastAsia" w:ascii="宋体" w:hAnsi="宋体"/>
          <w:b/>
          <w:sz w:val="32"/>
          <w:szCs w:val="32"/>
        </w:rPr>
        <w:t>2022年11月</w:t>
      </w:r>
      <w:r>
        <w:rPr>
          <w:rFonts w:hint="eastAsia" w:ascii="宋体" w:hAnsi="宋体"/>
          <w:b/>
          <w:sz w:val="32"/>
          <w:szCs w:val="32"/>
          <w:lang w:val="en-US" w:eastAsia="zh-CN"/>
        </w:rPr>
        <w:t>14</w:t>
      </w:r>
      <w:r>
        <w:rPr>
          <w:rFonts w:hint="eastAsia" w:ascii="宋体" w:hAnsi="宋体"/>
          <w:b/>
          <w:sz w:val="32"/>
          <w:szCs w:val="32"/>
        </w:rPr>
        <w:t>日</w:t>
      </w:r>
    </w:p>
    <w:p/>
    <w:p/>
    <w:p>
      <w:pPr>
        <w:pStyle w:val="4"/>
        <w:spacing w:beforeAutospacing="0" w:afterAutospacing="0" w:line="500" w:lineRule="exact"/>
        <w:jc w:val="center"/>
      </w:pPr>
      <w:r>
        <w:br w:type="page"/>
      </w:r>
      <w:r>
        <w:t>第一章</w:t>
      </w:r>
      <w:r>
        <w:rPr>
          <w:rFonts w:hint="eastAsia"/>
        </w:rPr>
        <w:t xml:space="preserve"> </w:t>
      </w:r>
      <w:r>
        <w:t>供应商须知</w:t>
      </w:r>
    </w:p>
    <w:p>
      <w:pPr>
        <w:pStyle w:val="5"/>
        <w:snapToGrid w:val="0"/>
        <w:spacing w:before="0" w:beforeAutospacing="0" w:after="0" w:afterAutospacing="0" w:line="360" w:lineRule="auto"/>
        <w:jc w:val="left"/>
        <w:rPr>
          <w:sz w:val="21"/>
          <w:szCs w:val="30"/>
        </w:rPr>
      </w:pPr>
      <w:r>
        <w:rPr>
          <w:sz w:val="21"/>
          <w:szCs w:val="30"/>
        </w:rPr>
        <w:t>1.资金来源</w:t>
      </w:r>
    </w:p>
    <w:p>
      <w:pPr>
        <w:spacing w:beforeAutospacing="0" w:afterAutospacing="0" w:line="360" w:lineRule="auto"/>
        <w:ind w:firstLine="420" w:firstLineChars="200"/>
        <w:rPr>
          <w:rFonts w:ascii="宋体" w:hAnsi="宋体"/>
        </w:rPr>
      </w:pPr>
      <w:r>
        <w:rPr>
          <w:rFonts w:ascii="宋体" w:hAnsi="宋体"/>
        </w:rPr>
        <w:t>1.1本项目的采购人已安排采购预算资金用于支付本次招标项目合同项下的款项。</w:t>
      </w:r>
    </w:p>
    <w:p>
      <w:pPr>
        <w:pStyle w:val="5"/>
        <w:snapToGrid w:val="0"/>
        <w:spacing w:before="0" w:beforeAutospacing="0" w:after="0" w:afterAutospacing="0" w:line="360" w:lineRule="auto"/>
        <w:jc w:val="left"/>
        <w:rPr>
          <w:sz w:val="21"/>
          <w:szCs w:val="30"/>
        </w:rPr>
      </w:pPr>
      <w:r>
        <w:rPr>
          <w:rFonts w:hint="eastAsia"/>
          <w:sz w:val="21"/>
          <w:szCs w:val="30"/>
        </w:rPr>
        <w:t>2.招标文件内容</w:t>
      </w:r>
    </w:p>
    <w:p>
      <w:pPr>
        <w:spacing w:beforeAutospacing="0" w:afterAutospacing="0" w:line="360" w:lineRule="auto"/>
        <w:ind w:firstLine="420" w:firstLineChars="200"/>
        <w:rPr>
          <w:rFonts w:ascii="宋体" w:hAnsi="宋体"/>
        </w:rPr>
      </w:pPr>
      <w:r>
        <w:rPr>
          <w:rFonts w:hint="eastAsia" w:ascii="宋体" w:hAnsi="宋体"/>
        </w:rPr>
        <w:t>2.1招标文件共八章，分两册。各册的内容如下：</w:t>
      </w:r>
    </w:p>
    <w:p>
      <w:pPr>
        <w:spacing w:beforeAutospacing="0" w:afterAutospacing="0" w:line="360" w:lineRule="auto"/>
        <w:ind w:firstLine="420" w:firstLineChars="200"/>
        <w:rPr>
          <w:rFonts w:ascii="宋体" w:hAnsi="宋体"/>
        </w:rPr>
      </w:pPr>
      <w:r>
        <w:rPr>
          <w:rFonts w:hint="eastAsia" w:ascii="宋体" w:hAnsi="宋体"/>
        </w:rPr>
        <w:t>第一册（专用部分）</w:t>
      </w:r>
    </w:p>
    <w:p>
      <w:pPr>
        <w:spacing w:beforeAutospacing="0" w:afterAutospacing="0" w:line="360" w:lineRule="auto"/>
        <w:ind w:firstLine="420" w:firstLineChars="200"/>
        <w:rPr>
          <w:rFonts w:ascii="宋体" w:hAnsi="宋体"/>
        </w:rPr>
      </w:pPr>
      <w:r>
        <w:rPr>
          <w:rFonts w:hint="eastAsia" w:ascii="宋体" w:hAnsi="宋体"/>
        </w:rPr>
        <w:t>第 一 章    招标公告</w:t>
      </w:r>
    </w:p>
    <w:p>
      <w:pPr>
        <w:spacing w:beforeAutospacing="0" w:afterAutospacing="0" w:line="360" w:lineRule="auto"/>
        <w:ind w:firstLine="420" w:firstLineChars="200"/>
        <w:rPr>
          <w:rFonts w:ascii="宋体" w:hAnsi="宋体"/>
        </w:rPr>
      </w:pPr>
      <w:r>
        <w:rPr>
          <w:rFonts w:hint="eastAsia" w:ascii="宋体" w:hAnsi="宋体"/>
        </w:rPr>
        <w:t xml:space="preserve">第 二 章   供应商须知前附表 </w:t>
      </w:r>
    </w:p>
    <w:p>
      <w:pPr>
        <w:spacing w:beforeAutospacing="0" w:afterAutospacing="0" w:line="360" w:lineRule="auto"/>
        <w:ind w:firstLine="420" w:firstLineChars="200"/>
        <w:rPr>
          <w:rFonts w:ascii="宋体" w:hAnsi="宋体"/>
        </w:rPr>
      </w:pPr>
      <w:r>
        <w:rPr>
          <w:rFonts w:hint="eastAsia" w:ascii="宋体" w:hAnsi="宋体"/>
        </w:rPr>
        <w:t>第 三 章   合同条款前附表</w:t>
      </w:r>
    </w:p>
    <w:p>
      <w:pPr>
        <w:spacing w:beforeAutospacing="0" w:afterAutospacing="0" w:line="360" w:lineRule="auto"/>
        <w:ind w:firstLine="420" w:firstLineChars="200"/>
        <w:rPr>
          <w:rFonts w:ascii="宋体" w:hAnsi="宋体"/>
        </w:rPr>
      </w:pPr>
      <w:r>
        <w:rPr>
          <w:rFonts w:hint="eastAsia" w:ascii="宋体" w:hAnsi="宋体"/>
        </w:rPr>
        <w:t>第 四 章   采购需求</w:t>
      </w:r>
    </w:p>
    <w:p>
      <w:pPr>
        <w:spacing w:beforeAutospacing="0" w:afterAutospacing="0" w:line="360" w:lineRule="auto"/>
        <w:ind w:firstLine="420" w:firstLineChars="200"/>
        <w:rPr>
          <w:rFonts w:ascii="宋体" w:hAnsi="宋体"/>
        </w:rPr>
      </w:pPr>
      <w:r>
        <w:rPr>
          <w:rFonts w:hint="eastAsia" w:ascii="宋体" w:hAnsi="宋体"/>
        </w:rPr>
        <w:t>第 五 章    评标办法及评分规则</w:t>
      </w:r>
    </w:p>
    <w:p>
      <w:pPr>
        <w:spacing w:beforeAutospacing="0" w:afterAutospacing="0" w:line="360" w:lineRule="auto"/>
        <w:ind w:firstLine="420" w:firstLineChars="200"/>
        <w:rPr>
          <w:rFonts w:ascii="宋体" w:hAnsi="宋体"/>
        </w:rPr>
      </w:pPr>
      <w:r>
        <w:rPr>
          <w:rFonts w:hint="eastAsia" w:ascii="宋体" w:hAnsi="宋体"/>
        </w:rPr>
        <w:t>第二册（通用部分）</w:t>
      </w:r>
    </w:p>
    <w:p>
      <w:pPr>
        <w:spacing w:beforeAutospacing="0" w:afterAutospacing="0" w:line="360" w:lineRule="auto"/>
        <w:ind w:firstLine="420" w:firstLineChars="200"/>
        <w:rPr>
          <w:rFonts w:ascii="宋体" w:hAnsi="宋体"/>
        </w:rPr>
      </w:pPr>
      <w:r>
        <w:rPr>
          <w:rFonts w:hint="eastAsia" w:ascii="宋体" w:hAnsi="宋体"/>
        </w:rPr>
        <w:t>第 一 章    供应商须知</w:t>
      </w:r>
    </w:p>
    <w:p>
      <w:pPr>
        <w:spacing w:beforeAutospacing="0" w:afterAutospacing="0" w:line="360" w:lineRule="auto"/>
        <w:ind w:firstLine="420" w:firstLineChars="200"/>
        <w:rPr>
          <w:rFonts w:ascii="宋体" w:hAnsi="宋体"/>
        </w:rPr>
      </w:pPr>
      <w:r>
        <w:rPr>
          <w:rFonts w:hint="eastAsia" w:ascii="宋体" w:hAnsi="宋体"/>
        </w:rPr>
        <w:t>第 二 章    采购合同</w:t>
      </w:r>
    </w:p>
    <w:p>
      <w:pPr>
        <w:spacing w:beforeAutospacing="0" w:afterAutospacing="0" w:line="360" w:lineRule="auto"/>
        <w:ind w:firstLine="420" w:firstLineChars="200"/>
        <w:rPr>
          <w:rFonts w:ascii="宋体" w:hAnsi="宋体"/>
        </w:rPr>
      </w:pPr>
      <w:r>
        <w:rPr>
          <w:rFonts w:hint="eastAsia" w:ascii="宋体" w:hAnsi="宋体"/>
        </w:rPr>
        <w:t>第 三 章    投标文件格式</w:t>
      </w:r>
    </w:p>
    <w:p>
      <w:pPr>
        <w:spacing w:beforeAutospacing="0" w:afterAutospacing="0" w:line="360" w:lineRule="auto"/>
        <w:ind w:firstLine="420" w:firstLineChars="200"/>
        <w:rPr>
          <w:rFonts w:ascii="宋体" w:hAnsi="宋体"/>
        </w:rPr>
      </w:pPr>
      <w:r>
        <w:rPr>
          <w:rFonts w:hint="eastAsia" w:ascii="宋体" w:hAnsi="宋体"/>
        </w:rPr>
        <w:t>2.2供应商应认真阅读招标文件所有的事项、格式、条款和技术规范等。如供应商没有按照招标文件要求提交全部资料，或者投标文件没有对招标文件在各方面都做出实质性响应，供应商承担可能导致其投标被否决的风险。</w:t>
      </w:r>
    </w:p>
    <w:p>
      <w:pPr>
        <w:pStyle w:val="5"/>
        <w:snapToGrid w:val="0"/>
        <w:spacing w:before="0" w:beforeAutospacing="0" w:after="0" w:afterAutospacing="0" w:line="360" w:lineRule="auto"/>
        <w:jc w:val="left"/>
        <w:rPr>
          <w:sz w:val="21"/>
          <w:szCs w:val="30"/>
        </w:rPr>
      </w:pPr>
      <w:r>
        <w:rPr>
          <w:rFonts w:hint="eastAsia"/>
          <w:sz w:val="21"/>
          <w:szCs w:val="30"/>
        </w:rPr>
        <w:t>3.对供应商的要求</w:t>
      </w:r>
    </w:p>
    <w:p>
      <w:pPr>
        <w:spacing w:beforeAutospacing="0" w:afterAutospacing="0" w:line="360" w:lineRule="auto"/>
        <w:ind w:firstLine="420" w:firstLineChars="200"/>
        <w:rPr>
          <w:rFonts w:ascii="宋体" w:hAnsi="宋体"/>
        </w:rPr>
      </w:pPr>
      <w:r>
        <w:rPr>
          <w:rFonts w:hint="eastAsia" w:ascii="宋体" w:hAnsi="宋体"/>
        </w:rPr>
        <w:t>3.1供应商不得直接或间接地与采购人或与受委托对本次招标货物进行设计、编制规范和其他文件的单位或其附属机构有任何关联。</w:t>
      </w:r>
    </w:p>
    <w:p>
      <w:pPr>
        <w:spacing w:beforeAutospacing="0" w:afterAutospacing="0" w:line="360" w:lineRule="auto"/>
        <w:ind w:firstLine="420" w:firstLineChars="200"/>
        <w:rPr>
          <w:rFonts w:ascii="宋体" w:hAnsi="宋体"/>
        </w:rPr>
      </w:pPr>
      <w:r>
        <w:rPr>
          <w:rFonts w:hint="eastAsia" w:ascii="宋体" w:hAnsi="宋体"/>
        </w:rPr>
        <w:t>3.2供应商必须为具有相应货物供货资质和能力的企业法人或其他经济组织。本项目应具备的专门资格条件见供应商须知前附表之规定。</w:t>
      </w:r>
    </w:p>
    <w:p>
      <w:pPr>
        <w:spacing w:beforeAutospacing="0" w:afterAutospacing="0" w:line="360" w:lineRule="auto"/>
        <w:ind w:firstLine="420" w:firstLineChars="200"/>
        <w:rPr>
          <w:rFonts w:ascii="宋体" w:hAnsi="宋体"/>
        </w:rPr>
      </w:pPr>
      <w:r>
        <w:rPr>
          <w:rFonts w:hint="eastAsia" w:ascii="宋体" w:hAnsi="宋体"/>
        </w:rPr>
        <w:t>3.3供应商应遵守国家有关法律、法规、规章，具有良好的商业信誉和健全的财务会计制度。</w:t>
      </w:r>
    </w:p>
    <w:p>
      <w:pPr>
        <w:spacing w:beforeAutospacing="0" w:afterAutospacing="0" w:line="360" w:lineRule="auto"/>
        <w:ind w:firstLine="420" w:firstLineChars="200"/>
        <w:rPr>
          <w:rFonts w:ascii="宋体" w:hAnsi="宋体"/>
        </w:rPr>
      </w:pPr>
      <w:r>
        <w:rPr>
          <w:rFonts w:hint="eastAsia" w:ascii="宋体" w:hAnsi="宋体"/>
        </w:rPr>
        <w:t>3.4两个以上供应商可以组成一个投标联合体，以一个供应商的身份投标。</w:t>
      </w:r>
    </w:p>
    <w:p>
      <w:pPr>
        <w:spacing w:beforeAutospacing="0" w:afterAutospacing="0" w:line="360" w:lineRule="auto"/>
        <w:ind w:firstLine="420" w:firstLineChars="200"/>
        <w:rPr>
          <w:rFonts w:ascii="宋体" w:hAnsi="宋体"/>
        </w:rPr>
      </w:pPr>
      <w:r>
        <w:rPr>
          <w:rFonts w:hint="eastAsia" w:ascii="宋体" w:hAnsi="宋体"/>
        </w:rPr>
        <w:t>联合体各方之间应当签订共同投标协议（协议应附在投标文件中），明确约定联合体各方承担的工作和相应的责任。联合体各方签订共同投标协议后，不得再以自己的名义单独在同一项目中投标，也不得组成新的联合体参加同一项目投标。</w:t>
      </w:r>
    </w:p>
    <w:p>
      <w:pPr>
        <w:spacing w:beforeAutospacing="0" w:afterAutospacing="0" w:line="360" w:lineRule="auto"/>
        <w:ind w:firstLine="420" w:firstLineChars="200"/>
        <w:rPr>
          <w:rFonts w:ascii="宋体" w:hAnsi="宋体"/>
        </w:rPr>
      </w:pPr>
      <w:r>
        <w:rPr>
          <w:rFonts w:hint="eastAsia" w:ascii="宋体" w:hAnsi="宋体"/>
        </w:rPr>
        <w:t>招标文件未特别说明不接受联合体投标的，视为接受联合体投标。</w:t>
      </w:r>
    </w:p>
    <w:p>
      <w:pPr>
        <w:spacing w:beforeAutospacing="0" w:afterAutospacing="0" w:line="360" w:lineRule="auto"/>
        <w:ind w:firstLine="420" w:firstLineChars="200"/>
        <w:rPr>
          <w:rFonts w:ascii="宋体" w:hAnsi="宋体"/>
        </w:rPr>
      </w:pPr>
      <w:r>
        <w:rPr>
          <w:rFonts w:hint="eastAsia" w:ascii="宋体" w:hAnsi="宋体"/>
        </w:rPr>
        <w:t>3.5供应商必须认真阅读招标文件内容，按招标文件要求编写投标文件。</w:t>
      </w:r>
    </w:p>
    <w:p>
      <w:pPr>
        <w:pStyle w:val="5"/>
        <w:snapToGrid w:val="0"/>
        <w:spacing w:before="0" w:beforeAutospacing="0" w:after="0" w:afterAutospacing="0" w:line="360" w:lineRule="auto"/>
        <w:jc w:val="left"/>
        <w:rPr>
          <w:sz w:val="21"/>
          <w:szCs w:val="30"/>
        </w:rPr>
      </w:pPr>
      <w:r>
        <w:rPr>
          <w:rFonts w:hint="eastAsia"/>
          <w:sz w:val="21"/>
          <w:szCs w:val="30"/>
        </w:rPr>
        <w:t>4.招标文件的澄清和修改</w:t>
      </w:r>
    </w:p>
    <w:p>
      <w:pPr>
        <w:spacing w:beforeAutospacing="0" w:afterAutospacing="0" w:line="360" w:lineRule="auto"/>
        <w:ind w:firstLine="420" w:firstLineChars="200"/>
        <w:rPr>
          <w:rFonts w:ascii="宋体" w:hAnsi="宋体"/>
        </w:rPr>
      </w:pPr>
      <w:r>
        <w:rPr>
          <w:rFonts w:hint="eastAsia" w:ascii="宋体" w:hAnsi="宋体"/>
        </w:rPr>
        <w:t>4.1在开标时间前，潜在供应商对招标文件有疑问且要求采购人澄清的，应于供应商须知前附表规定的时间前以书面形式告知采购人，采购人对招标文件的修改或答疑回复将于供应商须知前附表规定的时间以书面形式发出,供应商自行上网查阅。</w:t>
      </w:r>
    </w:p>
    <w:p>
      <w:pPr>
        <w:spacing w:beforeAutospacing="0" w:afterAutospacing="0" w:line="360" w:lineRule="auto"/>
        <w:ind w:firstLine="420" w:firstLineChars="200"/>
        <w:rPr>
          <w:rFonts w:ascii="宋体" w:hAnsi="宋体"/>
        </w:rPr>
      </w:pPr>
      <w:r>
        <w:rPr>
          <w:rFonts w:hint="eastAsia" w:ascii="宋体" w:hAnsi="宋体"/>
        </w:rPr>
        <w:t>4.2为使供应商有合理的时间按补充文件准备投标文件，采购人可能根据具体情况酌情延长投标截止日期。</w:t>
      </w:r>
    </w:p>
    <w:p>
      <w:pPr>
        <w:pStyle w:val="5"/>
        <w:snapToGrid w:val="0"/>
        <w:spacing w:before="0" w:beforeAutospacing="0" w:after="0" w:afterAutospacing="0" w:line="360" w:lineRule="auto"/>
        <w:jc w:val="left"/>
        <w:rPr>
          <w:sz w:val="21"/>
          <w:szCs w:val="30"/>
        </w:rPr>
      </w:pPr>
      <w:r>
        <w:rPr>
          <w:rFonts w:hint="eastAsia"/>
          <w:sz w:val="21"/>
          <w:szCs w:val="30"/>
        </w:rPr>
        <w:t>5.投标文件的组成</w:t>
      </w:r>
    </w:p>
    <w:p>
      <w:pPr>
        <w:spacing w:beforeAutospacing="0" w:afterAutospacing="0" w:line="360" w:lineRule="auto"/>
        <w:ind w:firstLine="420" w:firstLineChars="200"/>
        <w:rPr>
          <w:rFonts w:ascii="宋体" w:hAnsi="宋体"/>
        </w:rPr>
      </w:pPr>
      <w:r>
        <w:rPr>
          <w:rFonts w:hint="eastAsia" w:ascii="宋体" w:hAnsi="宋体"/>
        </w:rPr>
        <w:t>供应商应完整地填写招标文件提供的投标文件格式，涉及投标文件中须加盖单位公章的地方，不接受投标专用章。</w:t>
      </w:r>
    </w:p>
    <w:p>
      <w:pPr>
        <w:pStyle w:val="5"/>
        <w:snapToGrid w:val="0"/>
        <w:spacing w:before="0" w:beforeAutospacing="0" w:after="0" w:afterAutospacing="0" w:line="360" w:lineRule="auto"/>
        <w:jc w:val="left"/>
        <w:rPr>
          <w:sz w:val="21"/>
          <w:szCs w:val="30"/>
        </w:rPr>
      </w:pPr>
      <w:r>
        <w:rPr>
          <w:rFonts w:hint="eastAsia"/>
          <w:sz w:val="21"/>
          <w:szCs w:val="30"/>
        </w:rPr>
        <w:t>6.投标函</w:t>
      </w:r>
    </w:p>
    <w:p>
      <w:pPr>
        <w:spacing w:beforeAutospacing="0" w:afterAutospacing="0" w:line="360" w:lineRule="auto"/>
        <w:ind w:firstLine="420" w:firstLineChars="200"/>
        <w:rPr>
          <w:rFonts w:ascii="宋体" w:hAnsi="宋体"/>
        </w:rPr>
      </w:pPr>
      <w:r>
        <w:rPr>
          <w:rFonts w:hint="eastAsia" w:ascii="宋体" w:hAnsi="宋体"/>
        </w:rPr>
        <w:t>6.1供应商应完整地填写招标文件中规定的投标函。</w:t>
      </w:r>
    </w:p>
    <w:p>
      <w:pPr>
        <w:pStyle w:val="5"/>
        <w:snapToGrid w:val="0"/>
        <w:spacing w:before="0" w:beforeAutospacing="0" w:after="0" w:afterAutospacing="0" w:line="360" w:lineRule="auto"/>
        <w:jc w:val="left"/>
        <w:rPr>
          <w:sz w:val="21"/>
          <w:szCs w:val="30"/>
        </w:rPr>
      </w:pPr>
      <w:r>
        <w:rPr>
          <w:rFonts w:hint="eastAsia"/>
          <w:sz w:val="21"/>
          <w:szCs w:val="30"/>
        </w:rPr>
        <w:t>7.投标报价</w:t>
      </w:r>
    </w:p>
    <w:p>
      <w:pPr>
        <w:spacing w:beforeAutospacing="0" w:afterAutospacing="0" w:line="360" w:lineRule="auto"/>
        <w:ind w:firstLine="420" w:firstLineChars="200"/>
        <w:rPr>
          <w:rFonts w:ascii="宋体" w:hAnsi="宋体"/>
        </w:rPr>
      </w:pPr>
      <w:r>
        <w:rPr>
          <w:rFonts w:hint="eastAsia" w:ascii="宋体" w:hAnsi="宋体"/>
        </w:rPr>
        <w:t>7.1供应商应在投标文件中的投标分项报价表上标明投报货物的名称、规格型号、单位、数量、单价和总价并签章。</w:t>
      </w:r>
    </w:p>
    <w:p>
      <w:pPr>
        <w:spacing w:beforeAutospacing="0" w:afterAutospacing="0" w:line="360" w:lineRule="auto"/>
        <w:ind w:firstLine="420" w:firstLineChars="200"/>
        <w:rPr>
          <w:rFonts w:ascii="宋体" w:hAnsi="宋体"/>
        </w:rPr>
      </w:pPr>
      <w:r>
        <w:rPr>
          <w:rFonts w:hint="eastAsia" w:ascii="宋体" w:hAnsi="宋体"/>
        </w:rPr>
        <w:t>7.2每种货物只能有一个投标报价，任何有选择的报价将不予接受。</w:t>
      </w:r>
    </w:p>
    <w:p>
      <w:pPr>
        <w:spacing w:beforeAutospacing="0" w:afterAutospacing="0" w:line="360" w:lineRule="auto"/>
        <w:ind w:firstLine="420" w:firstLineChars="200"/>
        <w:rPr>
          <w:rFonts w:ascii="宋体" w:hAnsi="宋体"/>
        </w:rPr>
      </w:pPr>
      <w:r>
        <w:rPr>
          <w:rFonts w:hint="eastAsia" w:ascii="宋体" w:hAnsi="宋体"/>
        </w:rPr>
        <w:t>7.3投标报价不得使用降价函或优惠报价。</w:t>
      </w:r>
    </w:p>
    <w:p>
      <w:pPr>
        <w:spacing w:beforeAutospacing="0" w:afterAutospacing="0" w:line="360" w:lineRule="auto"/>
        <w:ind w:firstLine="420" w:firstLineChars="200"/>
        <w:rPr>
          <w:rFonts w:ascii="宋体" w:hAnsi="宋体"/>
        </w:rPr>
      </w:pPr>
      <w:r>
        <w:rPr>
          <w:rFonts w:hint="eastAsia" w:ascii="宋体" w:hAnsi="宋体"/>
        </w:rPr>
        <w:t>7.4供应商应按固定价格报价，除招标文件另有约定外，各分项投标单价在合同履行过程中是固定不变的，不得以任何理由予以变更。</w:t>
      </w:r>
    </w:p>
    <w:p>
      <w:pPr>
        <w:spacing w:beforeAutospacing="0" w:afterAutospacing="0" w:line="360" w:lineRule="auto"/>
        <w:ind w:firstLine="420" w:firstLineChars="200"/>
        <w:rPr>
          <w:rFonts w:ascii="宋体" w:hAnsi="宋体"/>
        </w:rPr>
      </w:pPr>
      <w:r>
        <w:rPr>
          <w:rFonts w:hint="eastAsia" w:ascii="宋体" w:hAnsi="宋体"/>
        </w:rPr>
        <w:t>7.5投标货币为人民币。供应商的投标报价应遵守《中华人民共和国价格法》。</w:t>
      </w:r>
    </w:p>
    <w:p>
      <w:pPr>
        <w:spacing w:beforeAutospacing="0" w:afterAutospacing="0" w:line="360" w:lineRule="auto"/>
        <w:ind w:firstLine="420" w:firstLineChars="200"/>
        <w:rPr>
          <w:rFonts w:ascii="宋体" w:hAnsi="宋体"/>
        </w:rPr>
      </w:pPr>
      <w:r>
        <w:rPr>
          <w:rFonts w:hint="eastAsia" w:ascii="宋体" w:hAnsi="宋体"/>
        </w:rPr>
        <w:t>7.6投标价为完成项目合同全部内容的总价。</w:t>
      </w:r>
    </w:p>
    <w:p>
      <w:pPr>
        <w:pStyle w:val="5"/>
        <w:snapToGrid w:val="0"/>
        <w:spacing w:before="0" w:beforeAutospacing="0" w:after="0" w:afterAutospacing="0" w:line="360" w:lineRule="auto"/>
        <w:jc w:val="left"/>
        <w:rPr>
          <w:sz w:val="21"/>
          <w:szCs w:val="30"/>
        </w:rPr>
      </w:pPr>
      <w:r>
        <w:rPr>
          <w:rFonts w:hint="eastAsia"/>
          <w:sz w:val="21"/>
          <w:szCs w:val="30"/>
        </w:rPr>
        <w:t>8.投标有效期</w:t>
      </w:r>
    </w:p>
    <w:p>
      <w:pPr>
        <w:spacing w:beforeAutospacing="0" w:afterAutospacing="0" w:line="360" w:lineRule="auto"/>
        <w:ind w:firstLine="420" w:firstLineChars="200"/>
        <w:rPr>
          <w:rFonts w:ascii="宋体" w:hAnsi="宋体"/>
        </w:rPr>
      </w:pPr>
      <w:r>
        <w:rPr>
          <w:rFonts w:hint="eastAsia" w:ascii="宋体" w:hAnsi="宋体"/>
        </w:rPr>
        <w:t>8.1供应商须接受招标文件中投标有效期的相关规定。如不接受，将被视为非实质性响应而予以否决。</w:t>
      </w:r>
    </w:p>
    <w:p>
      <w:pPr>
        <w:spacing w:beforeAutospacing="0" w:afterAutospacing="0" w:line="360" w:lineRule="auto"/>
        <w:ind w:firstLine="420" w:firstLineChars="200"/>
        <w:rPr>
          <w:rFonts w:ascii="宋体" w:hAnsi="宋体"/>
        </w:rPr>
      </w:pPr>
      <w:r>
        <w:rPr>
          <w:rFonts w:hint="eastAsia" w:ascii="宋体" w:hAnsi="宋体"/>
        </w:rPr>
        <w:t>8.2如需延长投标有效期，按相关法律法规执行。</w:t>
      </w:r>
    </w:p>
    <w:p>
      <w:pPr>
        <w:pStyle w:val="5"/>
        <w:snapToGrid w:val="0"/>
        <w:spacing w:before="0" w:beforeAutospacing="0" w:after="0" w:afterAutospacing="0" w:line="360" w:lineRule="auto"/>
        <w:jc w:val="left"/>
        <w:rPr>
          <w:sz w:val="21"/>
          <w:szCs w:val="30"/>
        </w:rPr>
      </w:pPr>
      <w:r>
        <w:rPr>
          <w:rFonts w:hint="eastAsia"/>
          <w:sz w:val="21"/>
          <w:szCs w:val="30"/>
        </w:rPr>
        <w:t>9.投标文件的编制与提交</w:t>
      </w:r>
    </w:p>
    <w:p>
      <w:pPr>
        <w:spacing w:beforeAutospacing="0" w:afterAutospacing="0" w:line="360" w:lineRule="auto"/>
        <w:ind w:firstLine="420" w:firstLineChars="200"/>
        <w:rPr>
          <w:rFonts w:ascii="宋体" w:hAnsi="宋体"/>
          <w:szCs w:val="21"/>
        </w:rPr>
      </w:pPr>
      <w:r>
        <w:rPr>
          <w:rFonts w:hint="eastAsia" w:ascii="宋体" w:hAnsi="宋体"/>
          <w:szCs w:val="21"/>
        </w:rPr>
        <w:t>9.1投标文件应按招标文件的要求与格式编写。</w:t>
      </w:r>
    </w:p>
    <w:p>
      <w:pPr>
        <w:spacing w:beforeAutospacing="0" w:afterAutospacing="0" w:line="360" w:lineRule="auto"/>
        <w:ind w:firstLine="420" w:firstLineChars="200"/>
        <w:rPr>
          <w:rFonts w:ascii="宋体" w:hAnsi="宋体"/>
          <w:szCs w:val="21"/>
        </w:rPr>
      </w:pPr>
      <w:r>
        <w:rPr>
          <w:rFonts w:hint="eastAsia" w:ascii="宋体" w:hAnsi="宋体"/>
          <w:szCs w:val="21"/>
        </w:rPr>
        <w:t>9.2投标文件因表达不清所引起的后果由投标人负责。</w:t>
      </w:r>
    </w:p>
    <w:p>
      <w:pPr>
        <w:spacing w:beforeAutospacing="0" w:afterAutospacing="0" w:line="360" w:lineRule="auto"/>
        <w:ind w:firstLine="420" w:firstLineChars="200"/>
        <w:rPr>
          <w:rFonts w:ascii="宋体" w:hAnsi="宋体"/>
          <w:szCs w:val="21"/>
        </w:rPr>
      </w:pPr>
      <w:r>
        <w:rPr>
          <w:rFonts w:hint="eastAsia" w:ascii="宋体" w:hAnsi="宋体"/>
          <w:szCs w:val="21"/>
        </w:rPr>
        <w:t>9.3投标人编制和提交投标文件所需费用自理。</w:t>
      </w:r>
    </w:p>
    <w:p>
      <w:pPr>
        <w:pStyle w:val="5"/>
        <w:snapToGrid w:val="0"/>
        <w:spacing w:before="0" w:beforeAutospacing="0" w:after="0" w:afterAutospacing="0" w:line="360" w:lineRule="auto"/>
        <w:jc w:val="left"/>
        <w:rPr>
          <w:sz w:val="21"/>
          <w:szCs w:val="30"/>
        </w:rPr>
      </w:pPr>
      <w:r>
        <w:rPr>
          <w:rFonts w:hint="eastAsia"/>
          <w:sz w:val="21"/>
          <w:szCs w:val="30"/>
        </w:rPr>
        <w:t xml:space="preserve">10.有下列情形之一的，拒收投标文件： </w:t>
      </w:r>
    </w:p>
    <w:p>
      <w:pPr>
        <w:spacing w:beforeAutospacing="0" w:afterAutospacing="0" w:line="360" w:lineRule="auto"/>
        <w:ind w:firstLine="420" w:firstLineChars="200"/>
        <w:rPr>
          <w:szCs w:val="21"/>
        </w:rPr>
      </w:pPr>
      <w:r>
        <w:rPr>
          <w:rFonts w:hint="eastAsia" w:ascii="宋体" w:hAnsi="宋体"/>
          <w:szCs w:val="21"/>
        </w:rPr>
        <w:t>10.1</w:t>
      </w:r>
      <w:r>
        <w:rPr>
          <w:rFonts w:ascii="Arial" w:hAnsi="Arial" w:cs="Arial"/>
          <w:color w:val="333333"/>
          <w:szCs w:val="21"/>
          <w:shd w:val="clear" w:color="auto" w:fill="FFFFFF"/>
        </w:rPr>
        <w:t>在招标文件规定的投标截止时间之后送达的投标文件。</w:t>
      </w:r>
    </w:p>
    <w:p>
      <w:pPr>
        <w:spacing w:beforeAutospacing="0" w:afterAutospacing="0" w:line="300" w:lineRule="auto"/>
        <w:ind w:firstLine="420" w:firstLineChars="200"/>
        <w:rPr>
          <w:rFonts w:ascii="宋体" w:hAnsi="宋体"/>
        </w:rPr>
      </w:pPr>
      <w:r>
        <w:rPr>
          <w:rFonts w:hint="eastAsia" w:ascii="宋体" w:hAnsi="宋体"/>
        </w:rPr>
        <w:t>10.2</w:t>
      </w:r>
      <w:r>
        <w:rPr>
          <w:rFonts w:ascii="Arial" w:hAnsi="Arial" w:cs="Arial"/>
          <w:color w:val="333333"/>
          <w:szCs w:val="21"/>
          <w:shd w:val="clear" w:color="auto" w:fill="FFFFFF"/>
        </w:rPr>
        <w:t>投标文件未按招标文件要求密封。</w:t>
      </w:r>
    </w:p>
    <w:p>
      <w:pPr>
        <w:pStyle w:val="5"/>
        <w:snapToGrid w:val="0"/>
        <w:spacing w:before="0" w:beforeAutospacing="0" w:after="0" w:afterAutospacing="0" w:line="360" w:lineRule="auto"/>
        <w:jc w:val="left"/>
        <w:rPr>
          <w:sz w:val="21"/>
          <w:szCs w:val="30"/>
        </w:rPr>
      </w:pPr>
      <w:r>
        <w:rPr>
          <w:rFonts w:hint="eastAsia"/>
          <w:sz w:val="21"/>
          <w:szCs w:val="30"/>
        </w:rPr>
        <w:t>11.偏离</w:t>
      </w:r>
    </w:p>
    <w:p>
      <w:pPr>
        <w:spacing w:beforeAutospacing="0" w:afterAutospacing="0" w:line="360" w:lineRule="auto"/>
        <w:ind w:firstLine="420" w:firstLineChars="200"/>
        <w:rPr>
          <w:rFonts w:ascii="宋体" w:hAnsi="宋体"/>
        </w:rPr>
      </w:pPr>
      <w:r>
        <w:rPr>
          <w:rFonts w:hint="eastAsia" w:ascii="宋体" w:hAnsi="宋体"/>
        </w:rPr>
        <w:t>11.1本条所称偏离为投标文件对招标文件的偏离，即不满足或不响应招标文件的要求。</w:t>
      </w:r>
    </w:p>
    <w:p>
      <w:pPr>
        <w:pStyle w:val="5"/>
        <w:snapToGrid w:val="0"/>
        <w:spacing w:before="0" w:beforeAutospacing="0" w:after="0" w:afterAutospacing="0" w:line="360" w:lineRule="auto"/>
        <w:jc w:val="left"/>
        <w:rPr>
          <w:sz w:val="21"/>
          <w:szCs w:val="30"/>
        </w:rPr>
      </w:pPr>
      <w:r>
        <w:rPr>
          <w:rFonts w:hint="eastAsia"/>
          <w:sz w:val="21"/>
          <w:szCs w:val="30"/>
        </w:rPr>
        <w:t>12.无效投标</w:t>
      </w:r>
    </w:p>
    <w:p>
      <w:pPr>
        <w:spacing w:beforeAutospacing="0" w:afterAutospacing="0" w:line="360" w:lineRule="auto"/>
        <w:ind w:firstLine="420" w:firstLineChars="200"/>
        <w:rPr>
          <w:rFonts w:ascii="宋体" w:hAnsi="宋体"/>
        </w:rPr>
      </w:pPr>
      <w:r>
        <w:rPr>
          <w:rFonts w:hint="eastAsia" w:ascii="宋体" w:hAnsi="宋体"/>
        </w:rPr>
        <w:t>12.1投标文件未按招标文件要求签署、盖章的；</w:t>
      </w:r>
    </w:p>
    <w:p>
      <w:pPr>
        <w:spacing w:beforeAutospacing="0" w:afterAutospacing="0" w:line="360" w:lineRule="auto"/>
        <w:ind w:firstLine="420" w:firstLineChars="200"/>
        <w:rPr>
          <w:rFonts w:ascii="宋体" w:hAnsi="宋体"/>
        </w:rPr>
      </w:pPr>
      <w:r>
        <w:rPr>
          <w:rFonts w:hint="eastAsia" w:ascii="宋体" w:hAnsi="宋体"/>
        </w:rPr>
        <w:t>12.2投标文件与招标文件实质性要求条款有偏离的；</w:t>
      </w:r>
    </w:p>
    <w:p>
      <w:pPr>
        <w:spacing w:beforeAutospacing="0" w:afterAutospacing="0" w:line="360" w:lineRule="auto"/>
        <w:ind w:firstLine="420" w:firstLineChars="200"/>
        <w:rPr>
          <w:rFonts w:ascii="宋体" w:hAnsi="宋体"/>
        </w:rPr>
      </w:pPr>
      <w:r>
        <w:rPr>
          <w:rFonts w:hint="eastAsia" w:ascii="宋体" w:hAnsi="宋体"/>
        </w:rPr>
        <w:t>12.3招标文件中加注星号（“*”）的任何一项主要技术参数不满足的；</w:t>
      </w:r>
    </w:p>
    <w:p>
      <w:pPr>
        <w:spacing w:beforeAutospacing="0" w:afterAutospacing="0" w:line="360" w:lineRule="auto"/>
        <w:ind w:firstLine="420" w:firstLineChars="200"/>
        <w:rPr>
          <w:rFonts w:ascii="宋体" w:hAnsi="宋体"/>
        </w:rPr>
      </w:pPr>
      <w:r>
        <w:rPr>
          <w:rFonts w:hint="eastAsia" w:ascii="宋体" w:hAnsi="宋体"/>
        </w:rPr>
        <w:t>12.4投标报价使用降价函、优惠价的或有两个或多个报价且未声明哪一个有效的；报价超过招标文件中规定的预算金额或者最高限价的；</w:t>
      </w:r>
    </w:p>
    <w:p>
      <w:pPr>
        <w:spacing w:beforeAutospacing="0" w:afterAutospacing="0" w:line="360" w:lineRule="auto"/>
        <w:ind w:firstLine="420" w:firstLineChars="200"/>
        <w:rPr>
          <w:rFonts w:ascii="宋体" w:hAnsi="宋体"/>
        </w:rPr>
      </w:pPr>
      <w:r>
        <w:rPr>
          <w:rFonts w:hint="eastAsia" w:ascii="宋体" w:hAnsi="宋体"/>
        </w:rPr>
        <w:t>12.5法定代表人、授权委托人身份证明无效；</w:t>
      </w:r>
    </w:p>
    <w:p>
      <w:pPr>
        <w:spacing w:beforeAutospacing="0" w:afterAutospacing="0" w:line="360" w:lineRule="auto"/>
        <w:ind w:firstLine="420" w:firstLineChars="200"/>
        <w:rPr>
          <w:rFonts w:ascii="宋体" w:hAnsi="宋体"/>
        </w:rPr>
      </w:pPr>
      <w:r>
        <w:rPr>
          <w:rFonts w:hint="eastAsia" w:ascii="宋体" w:hAnsi="宋体"/>
        </w:rPr>
        <w:t>12.6供应商不符合招标文件所列的资格要求；或未提交相应的资格材料。如法人营业执照、资质证书（如有）等；</w:t>
      </w:r>
    </w:p>
    <w:p>
      <w:pPr>
        <w:spacing w:beforeAutospacing="0" w:afterAutospacing="0" w:line="360" w:lineRule="auto"/>
        <w:ind w:firstLine="420" w:firstLineChars="200"/>
        <w:rPr>
          <w:rFonts w:ascii="宋体" w:hAnsi="宋体"/>
        </w:rPr>
      </w:pPr>
      <w:r>
        <w:rPr>
          <w:rFonts w:hint="eastAsia" w:ascii="宋体" w:hAnsi="宋体"/>
        </w:rPr>
        <w:t>12.7若联合投标，未附联合投标协议或联合体协议未按招标文件要求签署盖章的；</w:t>
      </w:r>
    </w:p>
    <w:p>
      <w:pPr>
        <w:spacing w:beforeAutospacing="0" w:afterAutospacing="0" w:line="360" w:lineRule="auto"/>
        <w:ind w:firstLine="420" w:firstLineChars="200"/>
        <w:rPr>
          <w:rFonts w:ascii="宋体" w:hAnsi="宋体"/>
        </w:rPr>
      </w:pPr>
      <w:r>
        <w:rPr>
          <w:rFonts w:hint="eastAsia" w:ascii="宋体" w:hAnsi="宋体"/>
        </w:rPr>
        <w:t>12.8投标文件技术规格中一般参数超出允许负偏离的最高项数的；</w:t>
      </w:r>
    </w:p>
    <w:p>
      <w:pPr>
        <w:spacing w:beforeAutospacing="0" w:afterAutospacing="0" w:line="360" w:lineRule="auto"/>
        <w:ind w:firstLine="420" w:firstLineChars="200"/>
        <w:rPr>
          <w:rFonts w:ascii="宋体" w:hAnsi="宋体"/>
        </w:rPr>
      </w:pPr>
      <w:r>
        <w:rPr>
          <w:rFonts w:hint="eastAsia" w:ascii="宋体" w:hAnsi="宋体"/>
        </w:rPr>
        <w:t>12.9供应商无投标产品详细技术规格，只简单写上“响应” “符合”或“满足”等字样的；</w:t>
      </w:r>
    </w:p>
    <w:p>
      <w:pPr>
        <w:spacing w:beforeAutospacing="0" w:afterAutospacing="0" w:line="360" w:lineRule="auto"/>
        <w:ind w:firstLine="420" w:firstLineChars="200"/>
        <w:rPr>
          <w:rFonts w:ascii="宋体" w:hAnsi="宋体"/>
        </w:rPr>
      </w:pPr>
      <w:r>
        <w:rPr>
          <w:rFonts w:hint="eastAsia" w:ascii="宋体" w:hAnsi="宋体"/>
        </w:rPr>
        <w:t>12.</w:t>
      </w:r>
      <w:r>
        <w:rPr>
          <w:rFonts w:hint="eastAsia" w:ascii="宋体" w:hAnsi="宋体"/>
          <w:lang w:val="en-US" w:eastAsia="zh-CN"/>
        </w:rPr>
        <w:t>10</w:t>
      </w:r>
      <w:r>
        <w:rPr>
          <w:rFonts w:hint="eastAsia" w:ascii="宋体" w:hAnsi="宋体"/>
        </w:rPr>
        <w:t>投标文件的技术规格偏离表未如实填写偏离情况的，视同提供虚假资料，其投标文件作无效投标处理；</w:t>
      </w:r>
    </w:p>
    <w:p>
      <w:pPr>
        <w:spacing w:beforeAutospacing="0" w:afterAutospacing="0" w:line="360" w:lineRule="auto"/>
        <w:ind w:firstLine="420" w:firstLineChars="200"/>
        <w:rPr>
          <w:rFonts w:ascii="宋体" w:hAnsi="宋体"/>
        </w:rPr>
      </w:pPr>
      <w:r>
        <w:rPr>
          <w:rFonts w:hint="eastAsia" w:ascii="宋体" w:hAnsi="宋体"/>
        </w:rPr>
        <w:t>12.</w:t>
      </w:r>
      <w:r>
        <w:rPr>
          <w:rFonts w:hint="eastAsia" w:ascii="宋体" w:hAnsi="宋体"/>
          <w:lang w:val="en-US" w:eastAsia="zh-CN"/>
        </w:rPr>
        <w:t>11</w:t>
      </w:r>
      <w:r>
        <w:rPr>
          <w:rFonts w:hint="eastAsia" w:ascii="宋体" w:hAnsi="宋体"/>
        </w:rPr>
        <w:t>投标文件含有采购人不能接受的附加条件的；</w:t>
      </w:r>
    </w:p>
    <w:p>
      <w:pPr>
        <w:spacing w:beforeAutospacing="0" w:afterAutospacing="0" w:line="360" w:lineRule="auto"/>
        <w:ind w:firstLine="420" w:firstLineChars="200"/>
        <w:rPr>
          <w:rFonts w:ascii="宋体" w:hAnsi="宋体"/>
        </w:rPr>
      </w:pPr>
      <w:r>
        <w:rPr>
          <w:rFonts w:hint="eastAsia" w:ascii="宋体" w:hAnsi="宋体"/>
        </w:rPr>
        <w:t>12.</w:t>
      </w:r>
      <w:r>
        <w:rPr>
          <w:rFonts w:hint="eastAsia" w:ascii="宋体" w:hAnsi="宋体"/>
          <w:lang w:val="en-US" w:eastAsia="zh-CN"/>
        </w:rPr>
        <w:t>12</w:t>
      </w:r>
      <w:r>
        <w:rPr>
          <w:rFonts w:hint="eastAsia" w:ascii="宋体" w:hAnsi="宋体"/>
        </w:rPr>
        <w:t>不符合法律法规和招标文件中规定的其它实质性要求的情形。</w:t>
      </w:r>
    </w:p>
    <w:p>
      <w:pPr>
        <w:pStyle w:val="5"/>
        <w:snapToGrid w:val="0"/>
        <w:spacing w:before="0" w:beforeAutospacing="0" w:after="0" w:afterAutospacing="0" w:line="360" w:lineRule="auto"/>
        <w:jc w:val="left"/>
        <w:rPr>
          <w:sz w:val="21"/>
          <w:szCs w:val="30"/>
        </w:rPr>
      </w:pPr>
      <w:r>
        <w:rPr>
          <w:rFonts w:hint="eastAsia"/>
          <w:sz w:val="21"/>
          <w:szCs w:val="30"/>
        </w:rPr>
        <w:t>13.履约保证金</w:t>
      </w:r>
    </w:p>
    <w:p>
      <w:pPr>
        <w:spacing w:beforeAutospacing="0" w:afterAutospacing="0" w:line="360" w:lineRule="auto"/>
        <w:ind w:firstLine="420" w:firstLineChars="200"/>
        <w:rPr>
          <w:rFonts w:ascii="宋体" w:hAnsi="宋体"/>
        </w:rPr>
      </w:pPr>
      <w:r>
        <w:rPr>
          <w:rFonts w:hint="eastAsia" w:ascii="宋体" w:hAnsi="宋体"/>
        </w:rPr>
        <w:t>13.1履约保证金退付：</w:t>
      </w:r>
      <w:r>
        <w:rPr>
          <w:rFonts w:hint="eastAsia" w:ascii="宋体" w:hAnsi="宋体"/>
          <w:szCs w:val="21"/>
        </w:rPr>
        <w:t>合同中另行约定</w:t>
      </w:r>
      <w:r>
        <w:rPr>
          <w:rFonts w:hint="eastAsia" w:ascii="宋体" w:hAnsi="宋体"/>
        </w:rPr>
        <w:t>。</w:t>
      </w:r>
    </w:p>
    <w:p>
      <w:pPr>
        <w:pStyle w:val="5"/>
        <w:snapToGrid w:val="0"/>
        <w:spacing w:before="0" w:beforeAutospacing="0" w:after="0" w:afterAutospacing="0" w:line="360" w:lineRule="auto"/>
        <w:jc w:val="left"/>
        <w:rPr>
          <w:sz w:val="21"/>
          <w:szCs w:val="30"/>
        </w:rPr>
      </w:pPr>
      <w:r>
        <w:rPr>
          <w:rFonts w:hint="eastAsia"/>
          <w:sz w:val="21"/>
          <w:szCs w:val="30"/>
        </w:rPr>
        <w:t>14.开标</w:t>
      </w:r>
    </w:p>
    <w:p>
      <w:pPr>
        <w:spacing w:beforeAutospacing="0" w:afterAutospacing="0" w:line="360" w:lineRule="auto"/>
        <w:ind w:firstLine="420" w:firstLineChars="200"/>
        <w:rPr>
          <w:rFonts w:ascii="宋体" w:hAnsi="宋体"/>
          <w:szCs w:val="21"/>
        </w:rPr>
      </w:pPr>
      <w:r>
        <w:rPr>
          <w:rFonts w:hint="eastAsia" w:ascii="宋体" w:hAnsi="宋体"/>
          <w:szCs w:val="21"/>
        </w:rPr>
        <w:t>14.1开标会议于规定时间、规定地点举行。</w:t>
      </w:r>
    </w:p>
    <w:p>
      <w:pPr>
        <w:spacing w:beforeAutospacing="0" w:afterAutospacing="0" w:line="360" w:lineRule="auto"/>
        <w:ind w:firstLine="420" w:firstLineChars="200"/>
        <w:rPr>
          <w:rFonts w:ascii="宋体" w:hAnsi="宋体"/>
          <w:szCs w:val="21"/>
        </w:rPr>
      </w:pPr>
      <w:r>
        <w:rPr>
          <w:rFonts w:hint="eastAsia" w:ascii="宋体" w:hAnsi="宋体"/>
          <w:szCs w:val="21"/>
        </w:rPr>
        <w:t>14.2开标会议由采购代理机构主持。在投标截止时间后，由项目开标主持人宣布开标开始。</w:t>
      </w:r>
    </w:p>
    <w:p>
      <w:pPr>
        <w:spacing w:beforeAutospacing="0" w:afterAutospacing="0" w:line="360" w:lineRule="auto"/>
        <w:ind w:firstLine="420" w:firstLineChars="200"/>
        <w:rPr>
          <w:rFonts w:ascii="宋体" w:hAnsi="宋体"/>
          <w:szCs w:val="21"/>
        </w:rPr>
      </w:pPr>
      <w:r>
        <w:rPr>
          <w:rFonts w:hint="eastAsia" w:ascii="宋体" w:hAnsi="宋体"/>
          <w:szCs w:val="21"/>
        </w:rPr>
        <w:t>14.3主持人介绍到会人员、宣布开标会议议程、宣布开标纪律。</w:t>
      </w:r>
    </w:p>
    <w:p>
      <w:pPr>
        <w:spacing w:beforeAutospacing="0" w:afterAutospacing="0" w:line="360" w:lineRule="auto"/>
        <w:ind w:firstLine="420" w:firstLineChars="200"/>
        <w:rPr>
          <w:rFonts w:ascii="宋体" w:hAnsi="宋体"/>
          <w:szCs w:val="21"/>
        </w:rPr>
      </w:pPr>
      <w:r>
        <w:rPr>
          <w:rFonts w:hint="eastAsia" w:ascii="宋体" w:hAnsi="宋体"/>
          <w:szCs w:val="21"/>
        </w:rPr>
        <w:t>14.4投标截止时间前，按招标文件要求现场递交投标文件的投标人不足三家时，主持人可宣布招标不成功。</w:t>
      </w:r>
    </w:p>
    <w:p>
      <w:pPr>
        <w:spacing w:beforeAutospacing="0" w:afterAutospacing="0" w:line="360" w:lineRule="auto"/>
        <w:ind w:firstLine="420" w:firstLineChars="200"/>
        <w:rPr>
          <w:rFonts w:ascii="宋体" w:hAnsi="宋体"/>
          <w:szCs w:val="21"/>
        </w:rPr>
      </w:pPr>
      <w:r>
        <w:rPr>
          <w:rFonts w:hint="eastAsia" w:ascii="宋体" w:hAnsi="宋体"/>
          <w:szCs w:val="21"/>
        </w:rPr>
        <w:t>14.5主持人宣布开标结束。</w:t>
      </w:r>
    </w:p>
    <w:p>
      <w:pPr>
        <w:pStyle w:val="5"/>
        <w:snapToGrid w:val="0"/>
        <w:spacing w:before="0" w:beforeAutospacing="0" w:after="0" w:afterAutospacing="0" w:line="360" w:lineRule="auto"/>
        <w:jc w:val="left"/>
        <w:rPr>
          <w:sz w:val="21"/>
          <w:szCs w:val="30"/>
        </w:rPr>
      </w:pPr>
      <w:r>
        <w:rPr>
          <w:rFonts w:hint="eastAsia"/>
          <w:sz w:val="21"/>
          <w:szCs w:val="30"/>
        </w:rPr>
        <w:t>15.评标</w:t>
      </w:r>
    </w:p>
    <w:p>
      <w:pPr>
        <w:spacing w:beforeAutospacing="0" w:afterAutospacing="0" w:line="360" w:lineRule="auto"/>
        <w:ind w:firstLine="420" w:firstLineChars="200"/>
        <w:rPr>
          <w:rFonts w:ascii="宋体" w:hAnsi="宋体"/>
        </w:rPr>
      </w:pPr>
      <w:r>
        <w:rPr>
          <w:rFonts w:hint="eastAsia" w:ascii="宋体" w:hAnsi="宋体"/>
        </w:rPr>
        <w:t>15.1本项目采用的评标办法及评分规则：详见第一册第五章。</w:t>
      </w:r>
    </w:p>
    <w:p>
      <w:pPr>
        <w:spacing w:beforeAutospacing="0" w:afterAutospacing="0" w:line="360" w:lineRule="auto"/>
        <w:ind w:firstLine="420" w:firstLineChars="200"/>
        <w:rPr>
          <w:rFonts w:ascii="宋体" w:hAnsi="宋体"/>
        </w:rPr>
      </w:pPr>
      <w:r>
        <w:rPr>
          <w:rFonts w:hint="eastAsia" w:ascii="宋体" w:hAnsi="宋体"/>
        </w:rPr>
        <w:t>15.2评标原则：</w:t>
      </w:r>
    </w:p>
    <w:p>
      <w:pPr>
        <w:spacing w:beforeAutospacing="0" w:afterAutospacing="0" w:line="360" w:lineRule="auto"/>
        <w:ind w:firstLine="420" w:firstLineChars="200"/>
        <w:rPr>
          <w:rFonts w:ascii="宋体" w:hAnsi="宋体"/>
        </w:rPr>
      </w:pPr>
      <w:r>
        <w:rPr>
          <w:rFonts w:hint="eastAsia" w:ascii="宋体" w:hAnsi="宋体"/>
        </w:rPr>
        <w:t>15.2.1对所有有效投标文件的评价，都采用相同的程序和标准。</w:t>
      </w:r>
    </w:p>
    <w:p>
      <w:pPr>
        <w:spacing w:beforeAutospacing="0" w:afterAutospacing="0" w:line="360" w:lineRule="auto"/>
        <w:ind w:firstLine="420" w:firstLineChars="200"/>
        <w:rPr>
          <w:rFonts w:ascii="宋体" w:hAnsi="宋体"/>
        </w:rPr>
      </w:pPr>
      <w:r>
        <w:rPr>
          <w:rFonts w:hint="eastAsia" w:ascii="宋体" w:hAnsi="宋体"/>
        </w:rPr>
        <w:t>15.2.2评标严格按照招标文件的要求和条件进行。</w:t>
      </w:r>
    </w:p>
    <w:p>
      <w:pPr>
        <w:spacing w:beforeAutospacing="0" w:afterAutospacing="0" w:line="360" w:lineRule="auto"/>
        <w:ind w:firstLine="420" w:firstLineChars="200"/>
        <w:rPr>
          <w:rFonts w:ascii="宋体" w:hAnsi="宋体"/>
        </w:rPr>
      </w:pPr>
      <w:r>
        <w:rPr>
          <w:rFonts w:hint="eastAsia" w:ascii="宋体" w:hAnsi="宋体"/>
        </w:rPr>
        <w:t>15.3评标程序：</w:t>
      </w:r>
    </w:p>
    <w:p>
      <w:pPr>
        <w:spacing w:beforeAutospacing="0" w:afterAutospacing="0" w:line="360" w:lineRule="auto"/>
        <w:ind w:firstLine="420" w:firstLineChars="200"/>
        <w:rPr>
          <w:rFonts w:ascii="宋体" w:hAnsi="宋体"/>
        </w:rPr>
      </w:pPr>
      <w:r>
        <w:rPr>
          <w:rFonts w:hint="eastAsia" w:ascii="宋体" w:hAnsi="宋体"/>
        </w:rPr>
        <w:t>15.3.1根据招标文件的要求和规定，采购人或代理机构会首先对各供应商的投标文件进行资格性审查。资格性审查是依据法律法规和招标文件的规定，对投标文件中的资格证明等进行审查，以确定供应商是否具备投标资格。评标委员会对各供应商的投标文件进行符合性审查。符合性审查是依据招标文件的规定，从投标文件的有效性、完整性和对招标文件的响应程度进行审查，以确定供应商是否对招标文件的实质性要求作出响应。</w:t>
      </w:r>
    </w:p>
    <w:p>
      <w:pPr>
        <w:spacing w:beforeAutospacing="0" w:afterAutospacing="0" w:line="360" w:lineRule="auto"/>
        <w:ind w:firstLine="420" w:firstLineChars="200"/>
        <w:rPr>
          <w:rFonts w:ascii="宋体" w:hAnsi="宋体"/>
        </w:rPr>
      </w:pPr>
      <w:r>
        <w:rPr>
          <w:rFonts w:hint="eastAsia" w:ascii="宋体" w:hAnsi="宋体"/>
        </w:rPr>
        <w:t>15.3.2澄清有关问题。为了有助于对投标文件进行审查、评估和比较，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委托人签字。供应商的澄清、说明或者补正不得超出投标文件的范围或者改变投标文件的实质性内容。书面承诺为其投标文件的组成部分。</w:t>
      </w:r>
    </w:p>
    <w:p>
      <w:pPr>
        <w:spacing w:beforeAutospacing="0" w:afterAutospacing="0" w:line="360" w:lineRule="auto"/>
        <w:ind w:firstLine="420" w:firstLineChars="200"/>
        <w:rPr>
          <w:rFonts w:ascii="宋体" w:hAnsi="宋体"/>
        </w:rPr>
      </w:pPr>
      <w:r>
        <w:rPr>
          <w:rFonts w:hint="eastAsia" w:ascii="宋体" w:hAnsi="宋体"/>
        </w:rPr>
        <w:t>15.3.3投标偏离：对于投标文件中不构成实质性偏差的不正规、不一致或不规则，评标委员会可以接受，但这种接受不能损坏或影响任何供应商的相对排序。</w:t>
      </w:r>
    </w:p>
    <w:p>
      <w:pPr>
        <w:spacing w:beforeAutospacing="0" w:afterAutospacing="0" w:line="360" w:lineRule="auto"/>
        <w:ind w:firstLine="420" w:firstLineChars="200"/>
        <w:rPr>
          <w:rFonts w:ascii="宋体" w:hAnsi="宋体"/>
        </w:rPr>
      </w:pPr>
      <w:r>
        <w:rPr>
          <w:rFonts w:hint="eastAsia" w:ascii="宋体" w:hAnsi="宋体"/>
        </w:rPr>
        <w:t>15.3.4实质上响应的投标应该是与招标文件要求的全部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pPr>
        <w:spacing w:beforeAutospacing="0" w:afterAutospacing="0" w:line="360" w:lineRule="auto"/>
        <w:ind w:firstLine="420" w:firstLineChars="200"/>
        <w:rPr>
          <w:rFonts w:ascii="宋体" w:hAnsi="宋体"/>
        </w:rPr>
      </w:pPr>
      <w:r>
        <w:rPr>
          <w:rFonts w:hint="eastAsia" w:ascii="宋体" w:hAnsi="宋体"/>
        </w:rPr>
        <w:t>15.3.5实质上没有响应招标文件要求的投标将被拒绝。供应商不得通过修正或撤销不符合要求的偏离或保留从而使其投标成为实质上响应的投标。</w:t>
      </w:r>
    </w:p>
    <w:p>
      <w:pPr>
        <w:spacing w:beforeAutospacing="0" w:afterAutospacing="0" w:line="360" w:lineRule="auto"/>
        <w:ind w:firstLine="420" w:firstLineChars="200"/>
        <w:rPr>
          <w:rFonts w:ascii="宋体" w:hAnsi="宋体"/>
        </w:rPr>
      </w:pPr>
      <w:r>
        <w:rPr>
          <w:rFonts w:hint="eastAsia" w:ascii="宋体" w:hAnsi="宋体"/>
        </w:rPr>
        <w:t>15.3.6比较与评价。评标委员会对初审合格的投标文件按照招标文件中规定的评标办法和评分规则进行综合比较和评价。</w:t>
      </w:r>
    </w:p>
    <w:p>
      <w:pPr>
        <w:spacing w:beforeAutospacing="0" w:afterAutospacing="0" w:line="360" w:lineRule="auto"/>
        <w:ind w:firstLine="420" w:firstLineChars="200"/>
        <w:rPr>
          <w:rFonts w:ascii="宋体" w:hAnsi="宋体"/>
        </w:rPr>
      </w:pPr>
      <w:r>
        <w:rPr>
          <w:rFonts w:hint="eastAsia" w:ascii="宋体" w:hAnsi="宋体"/>
        </w:rPr>
        <w:t>15.3.7评标委员会根据确定的评标办法和评分规则进行比较、排序，最后依据排名顺序推荐中标候选供应商。</w:t>
      </w:r>
    </w:p>
    <w:p>
      <w:pPr>
        <w:spacing w:beforeAutospacing="0" w:afterAutospacing="0" w:line="360" w:lineRule="auto"/>
        <w:ind w:firstLine="420" w:firstLineChars="200"/>
        <w:rPr>
          <w:rFonts w:ascii="宋体" w:hAnsi="宋体"/>
        </w:rPr>
      </w:pPr>
      <w:r>
        <w:rPr>
          <w:rFonts w:hint="eastAsia" w:ascii="宋体" w:hAnsi="宋体"/>
        </w:rPr>
        <w:t>15.4评标过程及保密原则：</w:t>
      </w:r>
    </w:p>
    <w:p>
      <w:pPr>
        <w:spacing w:beforeAutospacing="0" w:afterAutospacing="0" w:line="360" w:lineRule="auto"/>
        <w:ind w:firstLine="420" w:firstLineChars="200"/>
        <w:rPr>
          <w:rFonts w:ascii="宋体" w:hAnsi="宋体"/>
        </w:rPr>
      </w:pPr>
      <w:r>
        <w:rPr>
          <w:rFonts w:hint="eastAsia" w:ascii="宋体" w:hAnsi="宋体"/>
        </w:rPr>
        <w:t>15.4.1开标之后，直到授予中标供应商合同止，凡与本次招标有关人员对属于审查、澄清、评价和比较投标的有关资料以及授标意向等，均不得向供应商或其他无关的人员透露。</w:t>
      </w:r>
    </w:p>
    <w:p>
      <w:pPr>
        <w:spacing w:beforeAutospacing="0" w:afterAutospacing="0" w:line="360" w:lineRule="auto"/>
        <w:ind w:firstLine="420" w:firstLineChars="200"/>
        <w:rPr>
          <w:rFonts w:ascii="宋体" w:hAnsi="宋体"/>
        </w:rPr>
      </w:pPr>
      <w:r>
        <w:rPr>
          <w:rFonts w:hint="eastAsia" w:ascii="宋体" w:hAnsi="宋体"/>
        </w:rPr>
        <w:t>15.4.2在评标期间，供应商试图影响采购人和评标委员会的任何活动，将导致其投标被拒绝，并承担相应的法律责任。</w:t>
      </w:r>
    </w:p>
    <w:p>
      <w:pPr>
        <w:spacing w:beforeAutospacing="0" w:afterAutospacing="0" w:line="360" w:lineRule="auto"/>
        <w:ind w:firstLine="420" w:firstLineChars="200"/>
        <w:rPr>
          <w:rFonts w:ascii="宋体" w:hAnsi="宋体"/>
        </w:rPr>
      </w:pPr>
      <w:r>
        <w:rPr>
          <w:rFonts w:hint="eastAsia" w:ascii="宋体" w:hAnsi="宋体"/>
        </w:rPr>
        <w:t>15.5供应商未在质疑期内提出质疑，则视为认同该评标结果。</w:t>
      </w:r>
    </w:p>
    <w:p>
      <w:pPr>
        <w:pStyle w:val="5"/>
        <w:snapToGrid w:val="0"/>
        <w:spacing w:before="0" w:beforeAutospacing="0" w:after="0" w:afterAutospacing="0" w:line="360" w:lineRule="auto"/>
        <w:jc w:val="left"/>
        <w:rPr>
          <w:sz w:val="21"/>
          <w:szCs w:val="30"/>
        </w:rPr>
      </w:pPr>
      <w:r>
        <w:rPr>
          <w:rFonts w:hint="eastAsia"/>
          <w:sz w:val="21"/>
          <w:szCs w:val="30"/>
        </w:rPr>
        <w:t>16.定标</w:t>
      </w:r>
    </w:p>
    <w:p>
      <w:pPr>
        <w:spacing w:beforeAutospacing="0" w:afterAutospacing="0" w:line="360" w:lineRule="auto"/>
        <w:ind w:firstLine="420" w:firstLineChars="200"/>
        <w:rPr>
          <w:rFonts w:ascii="宋体" w:hAnsi="宋体"/>
        </w:rPr>
      </w:pPr>
      <w:r>
        <w:rPr>
          <w:rFonts w:hint="eastAsia" w:ascii="宋体" w:hAnsi="宋体"/>
        </w:rPr>
        <w:t>16.1采购人审定评标意见，决定招标结果；</w:t>
      </w:r>
    </w:p>
    <w:p>
      <w:pPr>
        <w:spacing w:beforeAutospacing="0" w:afterAutospacing="0" w:line="360" w:lineRule="auto"/>
        <w:ind w:firstLine="420" w:firstLineChars="200"/>
        <w:rPr>
          <w:rFonts w:ascii="宋体" w:hAnsi="宋体"/>
        </w:rPr>
      </w:pPr>
      <w:r>
        <w:rPr>
          <w:rFonts w:hint="eastAsia" w:ascii="宋体" w:hAnsi="宋体"/>
        </w:rPr>
        <w:t>16.2中标或不中标不作解释；</w:t>
      </w:r>
    </w:p>
    <w:p>
      <w:pPr>
        <w:spacing w:beforeAutospacing="0" w:afterAutospacing="0" w:line="360" w:lineRule="auto"/>
        <w:ind w:firstLine="420" w:firstLineChars="200"/>
        <w:rPr>
          <w:rFonts w:ascii="宋体" w:hAnsi="宋体"/>
        </w:rPr>
      </w:pPr>
      <w:r>
        <w:rPr>
          <w:rFonts w:hint="eastAsia" w:ascii="宋体" w:hAnsi="宋体"/>
        </w:rPr>
        <w:t>16.3采购人不保证报价最低的单位一定中标。</w:t>
      </w:r>
    </w:p>
    <w:p>
      <w:pPr>
        <w:pStyle w:val="5"/>
        <w:snapToGrid w:val="0"/>
        <w:spacing w:before="0" w:beforeAutospacing="0" w:after="0" w:afterAutospacing="0" w:line="360" w:lineRule="auto"/>
        <w:jc w:val="left"/>
        <w:rPr>
          <w:sz w:val="21"/>
          <w:szCs w:val="30"/>
        </w:rPr>
      </w:pPr>
      <w:r>
        <w:rPr>
          <w:rFonts w:hint="eastAsia"/>
          <w:sz w:val="21"/>
          <w:szCs w:val="30"/>
        </w:rPr>
        <w:t>17.合同的授予和签订</w:t>
      </w:r>
    </w:p>
    <w:p>
      <w:pPr>
        <w:spacing w:beforeAutospacing="0" w:afterAutospacing="0" w:line="360" w:lineRule="auto"/>
        <w:ind w:firstLine="420" w:firstLineChars="200"/>
        <w:rPr>
          <w:rFonts w:ascii="宋体" w:hAnsi="宋体"/>
        </w:rPr>
      </w:pPr>
      <w:r>
        <w:rPr>
          <w:rFonts w:hint="eastAsia" w:ascii="宋体" w:hAnsi="宋体"/>
        </w:rPr>
        <w:t>17.1定标后，将以中标通知书形式通知中标供应商，并在网站上发布中标公告。</w:t>
      </w:r>
    </w:p>
    <w:p>
      <w:pPr>
        <w:spacing w:beforeAutospacing="0" w:afterAutospacing="0" w:line="360" w:lineRule="auto"/>
        <w:ind w:firstLine="420" w:firstLineChars="200"/>
        <w:rPr>
          <w:rFonts w:ascii="宋体" w:hAnsi="宋体"/>
        </w:rPr>
      </w:pPr>
      <w:r>
        <w:rPr>
          <w:rFonts w:hint="eastAsia" w:ascii="宋体" w:hAnsi="宋体"/>
        </w:rPr>
        <w:t>17.2合同价款为中标价。</w:t>
      </w:r>
    </w:p>
    <w:p>
      <w:pPr>
        <w:spacing w:beforeAutospacing="0" w:afterAutospacing="0" w:line="360" w:lineRule="auto"/>
        <w:ind w:firstLine="420" w:firstLineChars="200"/>
        <w:rPr>
          <w:rFonts w:ascii="宋体" w:hAnsi="宋体"/>
        </w:rPr>
      </w:pPr>
      <w:r>
        <w:rPr>
          <w:rFonts w:hint="eastAsia" w:ascii="宋体" w:hAnsi="宋体"/>
        </w:rPr>
        <w:t>17.3中标供应商应在被宣布中标之日或收到中标通知之日起，</w:t>
      </w:r>
      <w:r>
        <w:rPr>
          <w:rFonts w:hint="eastAsia" w:ascii="宋体" w:hAnsi="宋体"/>
          <w:lang w:val="en-US" w:eastAsia="zh-CN"/>
        </w:rPr>
        <w:t>3</w:t>
      </w:r>
      <w:r>
        <w:rPr>
          <w:rFonts w:hint="eastAsia" w:ascii="宋体" w:hAnsi="宋体"/>
        </w:rPr>
        <w:t>日内与招标文件中规定的买方办理供货合同签订等各项手续。</w:t>
      </w:r>
    </w:p>
    <w:p>
      <w:pPr>
        <w:spacing w:beforeAutospacing="0" w:afterAutospacing="0" w:line="360" w:lineRule="auto"/>
        <w:ind w:firstLine="420" w:firstLineChars="200"/>
        <w:rPr>
          <w:rFonts w:ascii="宋体" w:hAnsi="宋体"/>
        </w:rPr>
      </w:pPr>
      <w:r>
        <w:rPr>
          <w:rFonts w:hint="eastAsia" w:ascii="宋体" w:hAnsi="宋体"/>
        </w:rPr>
        <w:t>17.4招标文件的内容、投标文件中除与招标文件有抵触的各项承诺外都视同合同的有效组成部分，与合同有同等效力，双方不得以任何借口和形式提出更改和附加条件。</w:t>
      </w:r>
    </w:p>
    <w:p>
      <w:pPr>
        <w:spacing w:beforeAutospacing="0" w:afterAutospacing="0" w:line="360" w:lineRule="auto"/>
        <w:ind w:firstLine="420" w:firstLineChars="200"/>
        <w:rPr>
          <w:rFonts w:ascii="宋体" w:hAnsi="宋体"/>
        </w:rPr>
      </w:pPr>
      <w:r>
        <w:rPr>
          <w:rFonts w:hint="eastAsia" w:ascii="宋体" w:hAnsi="宋体"/>
        </w:rPr>
        <w:t>17.5中标供应商不按时与买方签订项目供货合同，公共资源交易监督部门有权取消其中标资格。</w:t>
      </w:r>
    </w:p>
    <w:p>
      <w:pPr>
        <w:spacing w:beforeAutospacing="0" w:afterAutospacing="0" w:line="360" w:lineRule="auto"/>
        <w:ind w:firstLine="420" w:firstLineChars="200"/>
        <w:rPr>
          <w:rFonts w:ascii="宋体" w:hAnsi="宋体"/>
        </w:rPr>
      </w:pPr>
      <w:r>
        <w:rPr>
          <w:rFonts w:hint="eastAsia" w:ascii="宋体" w:hAnsi="宋体"/>
        </w:rPr>
        <w:t>17.6中标供应商按签订的合同按时按质按量供货，并经项目买方验收合格后，将如数退还履约保证金；否则买方有权根据损失费从履约保证金中扣除，不足部分从项目价款中扣除。</w:t>
      </w:r>
    </w:p>
    <w:p>
      <w:pPr>
        <w:pStyle w:val="5"/>
        <w:snapToGrid w:val="0"/>
        <w:spacing w:before="0" w:beforeAutospacing="0" w:after="0" w:afterAutospacing="0" w:line="360" w:lineRule="auto"/>
        <w:jc w:val="left"/>
        <w:rPr>
          <w:sz w:val="21"/>
          <w:szCs w:val="30"/>
        </w:rPr>
      </w:pPr>
      <w:r>
        <w:rPr>
          <w:rFonts w:hint="eastAsia"/>
          <w:sz w:val="21"/>
          <w:szCs w:val="30"/>
        </w:rPr>
        <w:t>18.质疑与投诉</w:t>
      </w:r>
    </w:p>
    <w:p>
      <w:pPr>
        <w:spacing w:beforeAutospacing="0" w:afterAutospacing="0" w:line="360" w:lineRule="auto"/>
        <w:ind w:firstLine="420" w:firstLineChars="200"/>
        <w:rPr>
          <w:rFonts w:ascii="宋体" w:hAnsi="宋体"/>
        </w:rPr>
      </w:pPr>
      <w:r>
        <w:rPr>
          <w:rFonts w:hint="eastAsia" w:ascii="宋体" w:hAnsi="宋体"/>
        </w:rPr>
        <w:t>18.1质疑</w:t>
      </w:r>
    </w:p>
    <w:p>
      <w:pPr>
        <w:spacing w:beforeAutospacing="0" w:afterAutospacing="0" w:line="360" w:lineRule="auto"/>
        <w:ind w:firstLine="420" w:firstLineChars="200"/>
        <w:rPr>
          <w:rFonts w:ascii="宋体" w:hAnsi="宋体"/>
        </w:rPr>
      </w:pPr>
      <w:r>
        <w:rPr>
          <w:rFonts w:hint="eastAsia" w:ascii="宋体" w:hAnsi="宋体"/>
        </w:rPr>
        <w:t>18.1.1供应商认为采购文件、采购过程、中标或者成交结果使自己的权益受到损害的，可以书面形式向采购人、采购代理机构提出质疑。</w:t>
      </w:r>
    </w:p>
    <w:p>
      <w:pPr>
        <w:spacing w:beforeAutospacing="0" w:afterAutospacing="0" w:line="360" w:lineRule="auto"/>
        <w:ind w:firstLine="420" w:firstLineChars="200"/>
        <w:rPr>
          <w:rFonts w:ascii="宋体" w:hAnsi="宋体"/>
        </w:rPr>
      </w:pPr>
      <w:r>
        <w:rPr>
          <w:rFonts w:hint="eastAsia" w:ascii="宋体" w:hAnsi="宋体"/>
        </w:rPr>
        <w:t xml:space="preserve">18.1.2对同一采购程序环节的质疑应在规定时限内一次性提出： </w:t>
      </w:r>
    </w:p>
    <w:p>
      <w:pPr>
        <w:spacing w:beforeAutospacing="0" w:afterAutospacing="0" w:line="360" w:lineRule="auto"/>
        <w:ind w:firstLine="420" w:firstLineChars="200"/>
        <w:rPr>
          <w:rFonts w:ascii="宋体" w:hAnsi="宋体"/>
        </w:rPr>
      </w:pPr>
      <w:r>
        <w:rPr>
          <w:rFonts w:hint="eastAsia" w:ascii="宋体" w:hAnsi="宋体"/>
        </w:rPr>
        <w:t>供应商认为采购文件、采购过程、中标或者成交结果使自己的权益受到损害的，可以在知道或者应知其权益受到损害之日起7个工作日内，以书面形式向采购人、采购代理机构提出质疑。</w:t>
      </w:r>
    </w:p>
    <w:p>
      <w:pPr>
        <w:spacing w:beforeAutospacing="0" w:afterAutospacing="0" w:line="360" w:lineRule="auto"/>
        <w:ind w:firstLine="420" w:firstLineChars="200"/>
        <w:rPr>
          <w:rFonts w:ascii="宋体" w:hAnsi="宋体"/>
        </w:rPr>
      </w:pPr>
      <w:r>
        <w:rPr>
          <w:rFonts w:hint="eastAsia" w:ascii="宋体" w:hAnsi="宋体"/>
        </w:rPr>
        <w:t>18.1.3质疑应以书面形式实名提出，书面质疑材料应当包括以下内容：</w:t>
      </w:r>
    </w:p>
    <w:p>
      <w:pPr>
        <w:spacing w:beforeAutospacing="0" w:afterAutospacing="0" w:line="360" w:lineRule="auto"/>
        <w:ind w:firstLine="420" w:firstLineChars="200"/>
        <w:rPr>
          <w:rFonts w:ascii="宋体" w:hAnsi="宋体"/>
        </w:rPr>
      </w:pPr>
      <w:r>
        <w:rPr>
          <w:rFonts w:hint="eastAsia" w:ascii="宋体" w:hAnsi="宋体"/>
        </w:rPr>
        <w:t>18.1.3.1供应商的姓名或者名称、地址、邮编、联系人及联系电话；</w:t>
      </w:r>
    </w:p>
    <w:p>
      <w:pPr>
        <w:spacing w:beforeAutospacing="0" w:afterAutospacing="0" w:line="360" w:lineRule="auto"/>
        <w:ind w:firstLine="420" w:firstLineChars="200"/>
        <w:rPr>
          <w:rFonts w:ascii="宋体" w:hAnsi="宋体"/>
        </w:rPr>
      </w:pPr>
      <w:r>
        <w:rPr>
          <w:rFonts w:hint="eastAsia" w:ascii="宋体" w:hAnsi="宋体"/>
        </w:rPr>
        <w:t>18.1.3.2质疑项目的名称、编号；</w:t>
      </w:r>
    </w:p>
    <w:p>
      <w:pPr>
        <w:spacing w:beforeAutospacing="0" w:afterAutospacing="0" w:line="360" w:lineRule="auto"/>
        <w:ind w:firstLine="420" w:firstLineChars="200"/>
        <w:rPr>
          <w:rFonts w:ascii="宋体" w:hAnsi="宋体"/>
        </w:rPr>
      </w:pPr>
      <w:r>
        <w:rPr>
          <w:rFonts w:hint="eastAsia" w:ascii="宋体" w:hAnsi="宋体"/>
        </w:rPr>
        <w:t>18.1.3.3被质疑人名称；</w:t>
      </w:r>
    </w:p>
    <w:p>
      <w:pPr>
        <w:spacing w:beforeAutospacing="0" w:afterAutospacing="0" w:line="360" w:lineRule="auto"/>
        <w:ind w:firstLine="420" w:firstLineChars="200"/>
        <w:rPr>
          <w:rFonts w:ascii="宋体" w:hAnsi="宋体"/>
        </w:rPr>
      </w:pPr>
      <w:r>
        <w:rPr>
          <w:rFonts w:hint="eastAsia" w:ascii="宋体" w:hAnsi="宋体"/>
        </w:rPr>
        <w:t>18.1.3.4具体、明确的质疑事项和与质疑事项相关的请求；</w:t>
      </w:r>
    </w:p>
    <w:p>
      <w:pPr>
        <w:spacing w:beforeAutospacing="0" w:afterAutospacing="0" w:line="360" w:lineRule="auto"/>
        <w:ind w:firstLine="420" w:firstLineChars="200"/>
        <w:rPr>
          <w:rFonts w:ascii="宋体" w:hAnsi="宋体"/>
        </w:rPr>
      </w:pPr>
      <w:r>
        <w:rPr>
          <w:rFonts w:hint="eastAsia" w:ascii="宋体" w:hAnsi="宋体"/>
        </w:rPr>
        <w:t>18.1.3.5事实依据；</w:t>
      </w:r>
    </w:p>
    <w:p>
      <w:pPr>
        <w:spacing w:beforeAutospacing="0" w:afterAutospacing="0" w:line="360" w:lineRule="auto"/>
        <w:ind w:firstLine="420" w:firstLineChars="200"/>
        <w:rPr>
          <w:rFonts w:ascii="宋体" w:hAnsi="宋体"/>
        </w:rPr>
      </w:pPr>
      <w:r>
        <w:rPr>
          <w:rFonts w:hint="eastAsia" w:ascii="宋体" w:hAnsi="宋体"/>
        </w:rPr>
        <w:t>18.1.3.6必要的法律依据；</w:t>
      </w:r>
    </w:p>
    <w:p>
      <w:pPr>
        <w:spacing w:beforeAutospacing="0" w:afterAutospacing="0" w:line="360" w:lineRule="auto"/>
        <w:ind w:firstLine="420" w:firstLineChars="200"/>
        <w:rPr>
          <w:rFonts w:ascii="宋体" w:hAnsi="宋体"/>
        </w:rPr>
      </w:pPr>
      <w:r>
        <w:rPr>
          <w:rFonts w:hint="eastAsia" w:ascii="宋体" w:hAnsi="宋体"/>
        </w:rPr>
        <w:t>18.1.3.7提起质疑的日期。</w:t>
      </w:r>
    </w:p>
    <w:p>
      <w:pPr>
        <w:spacing w:beforeAutospacing="0" w:afterAutospacing="0" w:line="360" w:lineRule="auto"/>
        <w:ind w:firstLine="420" w:firstLineChars="200"/>
        <w:rPr>
          <w:rFonts w:ascii="宋体" w:hAnsi="宋体"/>
        </w:rPr>
      </w:pPr>
      <w:r>
        <w:rPr>
          <w:rFonts w:hint="eastAsia" w:ascii="宋体" w:hAnsi="宋体"/>
        </w:rPr>
        <w:t>质疑人为法人或者其他组织的，应当由法定代表人或其委托代理人（需有委托授权书）签字并加盖公章。</w:t>
      </w:r>
    </w:p>
    <w:p>
      <w:pPr>
        <w:spacing w:beforeAutospacing="0" w:afterAutospacing="0" w:line="360" w:lineRule="auto"/>
        <w:ind w:firstLine="420" w:firstLineChars="200"/>
        <w:rPr>
          <w:rFonts w:ascii="宋体" w:hAnsi="宋体"/>
        </w:rPr>
      </w:pPr>
      <w:r>
        <w:rPr>
          <w:rFonts w:hint="eastAsia" w:ascii="宋体" w:hAnsi="宋体"/>
        </w:rPr>
        <w:t>18.1.4对中标结果有质疑的，有下列情形之一的，不予受理：</w:t>
      </w:r>
    </w:p>
    <w:p>
      <w:pPr>
        <w:spacing w:beforeAutospacing="0" w:afterAutospacing="0" w:line="360" w:lineRule="auto"/>
        <w:ind w:firstLine="420" w:firstLineChars="200"/>
        <w:rPr>
          <w:rFonts w:ascii="宋体" w:hAnsi="宋体"/>
        </w:rPr>
      </w:pPr>
      <w:r>
        <w:rPr>
          <w:rFonts w:hint="eastAsia" w:ascii="宋体" w:hAnsi="宋体"/>
        </w:rPr>
        <w:t>18.1.4.1提起质疑的主体不是参与该政府采购项目活动的供应商；</w:t>
      </w:r>
    </w:p>
    <w:p>
      <w:pPr>
        <w:spacing w:beforeAutospacing="0" w:afterAutospacing="0" w:line="360" w:lineRule="auto"/>
        <w:ind w:firstLine="420" w:firstLineChars="200"/>
        <w:rPr>
          <w:rFonts w:ascii="宋体" w:hAnsi="宋体"/>
        </w:rPr>
      </w:pPr>
      <w:r>
        <w:rPr>
          <w:rFonts w:hint="eastAsia" w:ascii="宋体" w:hAnsi="宋体"/>
        </w:rPr>
        <w:t>18.1.4.2提起质疑的时间超过规定时限的；</w:t>
      </w:r>
    </w:p>
    <w:p>
      <w:pPr>
        <w:spacing w:beforeAutospacing="0" w:afterAutospacing="0" w:line="360" w:lineRule="auto"/>
        <w:ind w:firstLine="420" w:firstLineChars="200"/>
        <w:rPr>
          <w:rFonts w:ascii="宋体" w:hAnsi="宋体"/>
        </w:rPr>
      </w:pPr>
      <w:r>
        <w:rPr>
          <w:rFonts w:hint="eastAsia" w:ascii="宋体" w:hAnsi="宋体"/>
        </w:rPr>
        <w:t>18.1.4.3质疑材料不完整的；</w:t>
      </w:r>
    </w:p>
    <w:p>
      <w:pPr>
        <w:spacing w:beforeAutospacing="0" w:afterAutospacing="0" w:line="360" w:lineRule="auto"/>
        <w:ind w:firstLine="420" w:firstLineChars="200"/>
        <w:rPr>
          <w:rFonts w:ascii="宋体" w:hAnsi="宋体"/>
        </w:rPr>
      </w:pPr>
      <w:r>
        <w:rPr>
          <w:rFonts w:hint="eastAsia" w:ascii="宋体" w:hAnsi="宋体"/>
        </w:rPr>
        <w:t>18.1.4.4质疑事项含有主观猜测等内容且未提供有效线索、难以查证的；</w:t>
      </w:r>
    </w:p>
    <w:p>
      <w:pPr>
        <w:spacing w:beforeAutospacing="0" w:afterAutospacing="0" w:line="360" w:lineRule="auto"/>
        <w:ind w:firstLine="420" w:firstLineChars="200"/>
        <w:rPr>
          <w:rFonts w:ascii="宋体" w:hAnsi="宋体"/>
        </w:rPr>
      </w:pPr>
      <w:r>
        <w:rPr>
          <w:rFonts w:hint="eastAsia" w:ascii="宋体" w:hAnsi="宋体"/>
        </w:rPr>
        <w:t>18.1.4.5对其他投标供应商的投标文件详细内容质疑，无法提供合法来源渠道的；</w:t>
      </w:r>
    </w:p>
    <w:p>
      <w:pPr>
        <w:spacing w:beforeAutospacing="0" w:afterAutospacing="0" w:line="360" w:lineRule="auto"/>
        <w:ind w:firstLine="420" w:firstLineChars="200"/>
        <w:rPr>
          <w:rFonts w:ascii="宋体" w:hAnsi="宋体"/>
        </w:rPr>
      </w:pPr>
      <w:r>
        <w:rPr>
          <w:rFonts w:hint="eastAsia" w:ascii="宋体" w:hAnsi="宋体"/>
        </w:rPr>
        <w:t>18.1.4.6质疑事项已进入投诉处理、行政复议或行政诉讼程序的。</w:t>
      </w:r>
    </w:p>
    <w:p>
      <w:pPr>
        <w:spacing w:beforeAutospacing="0" w:afterAutospacing="0" w:line="360" w:lineRule="auto"/>
        <w:ind w:firstLine="420" w:firstLineChars="200"/>
        <w:rPr>
          <w:rFonts w:ascii="宋体" w:hAnsi="宋体"/>
        </w:rPr>
      </w:pPr>
      <w:r>
        <w:rPr>
          <w:rFonts w:hint="eastAsia" w:ascii="宋体" w:hAnsi="宋体"/>
        </w:rPr>
        <w:t>18.1.5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pPr>
        <w:spacing w:beforeAutospacing="0" w:afterAutospacing="0" w:line="360" w:lineRule="auto"/>
        <w:ind w:firstLine="420" w:firstLineChars="200"/>
        <w:rPr>
          <w:rFonts w:ascii="宋体" w:hAnsi="宋体"/>
        </w:rPr>
      </w:pPr>
      <w:r>
        <w:rPr>
          <w:rFonts w:hint="eastAsia" w:ascii="宋体" w:hAnsi="宋体"/>
        </w:rPr>
        <w:t>18.1.6质疑答复应当包括下列内容：</w:t>
      </w:r>
    </w:p>
    <w:p>
      <w:pPr>
        <w:spacing w:beforeAutospacing="0" w:afterAutospacing="0" w:line="360" w:lineRule="auto"/>
        <w:ind w:firstLine="420" w:firstLineChars="200"/>
        <w:rPr>
          <w:rFonts w:ascii="宋体" w:hAnsi="宋体"/>
        </w:rPr>
      </w:pPr>
      <w:r>
        <w:rPr>
          <w:rFonts w:hint="eastAsia" w:ascii="宋体" w:hAnsi="宋体"/>
        </w:rPr>
        <w:t>18.1.6.1质疑供应商的姓名或者名称；</w:t>
      </w:r>
    </w:p>
    <w:p>
      <w:pPr>
        <w:spacing w:beforeAutospacing="0" w:afterAutospacing="0" w:line="360" w:lineRule="auto"/>
        <w:ind w:firstLine="420" w:firstLineChars="200"/>
        <w:rPr>
          <w:rFonts w:ascii="宋体" w:hAnsi="宋体"/>
        </w:rPr>
      </w:pPr>
      <w:r>
        <w:rPr>
          <w:rFonts w:hint="eastAsia" w:ascii="宋体" w:hAnsi="宋体"/>
        </w:rPr>
        <w:t>　　18.1.6.2收到质疑函的日期、质疑项目名称及编号；</w:t>
      </w:r>
    </w:p>
    <w:p>
      <w:pPr>
        <w:spacing w:beforeAutospacing="0" w:afterAutospacing="0" w:line="360" w:lineRule="auto"/>
        <w:ind w:firstLine="420" w:firstLineChars="200"/>
        <w:rPr>
          <w:rFonts w:ascii="宋体" w:hAnsi="宋体"/>
        </w:rPr>
      </w:pPr>
      <w:r>
        <w:rPr>
          <w:rFonts w:hint="eastAsia" w:ascii="宋体" w:hAnsi="宋体"/>
        </w:rPr>
        <w:t>　　18.1.6.3质疑事项、质疑答复的具体内容、事实依据和法律依据；</w:t>
      </w:r>
    </w:p>
    <w:p>
      <w:pPr>
        <w:spacing w:beforeAutospacing="0" w:afterAutospacing="0" w:line="360" w:lineRule="auto"/>
        <w:ind w:firstLine="420" w:firstLineChars="200"/>
        <w:rPr>
          <w:rFonts w:ascii="宋体" w:hAnsi="宋体"/>
        </w:rPr>
      </w:pPr>
      <w:r>
        <w:rPr>
          <w:rFonts w:hint="eastAsia" w:ascii="宋体" w:hAnsi="宋体"/>
        </w:rPr>
        <w:t>　　18.1.6.4告知质疑供应商依法投诉的权利；</w:t>
      </w:r>
    </w:p>
    <w:p>
      <w:pPr>
        <w:spacing w:beforeAutospacing="0" w:afterAutospacing="0" w:line="360" w:lineRule="auto"/>
        <w:ind w:firstLine="420" w:firstLineChars="200"/>
        <w:rPr>
          <w:rFonts w:ascii="宋体" w:hAnsi="宋体"/>
        </w:rPr>
      </w:pPr>
      <w:r>
        <w:rPr>
          <w:rFonts w:hint="eastAsia" w:ascii="宋体" w:hAnsi="宋体"/>
        </w:rPr>
        <w:t>　　18.1.6.5质疑答复人名称；</w:t>
      </w:r>
    </w:p>
    <w:p>
      <w:pPr>
        <w:spacing w:beforeAutospacing="0" w:afterAutospacing="0" w:line="360" w:lineRule="auto"/>
        <w:ind w:firstLine="420" w:firstLineChars="200"/>
        <w:rPr>
          <w:rFonts w:ascii="宋体" w:hAnsi="宋体"/>
        </w:rPr>
      </w:pPr>
      <w:r>
        <w:rPr>
          <w:rFonts w:hint="eastAsia" w:ascii="宋体" w:hAnsi="宋体"/>
        </w:rPr>
        <w:t>18.1.6.6答复质疑的日期。</w:t>
      </w:r>
    </w:p>
    <w:p>
      <w:pPr>
        <w:spacing w:beforeAutospacing="0" w:afterAutospacing="0" w:line="360" w:lineRule="auto"/>
        <w:ind w:firstLine="420" w:firstLineChars="200"/>
        <w:rPr>
          <w:rFonts w:ascii="宋体" w:hAnsi="宋体"/>
        </w:rPr>
      </w:pPr>
      <w:r>
        <w:rPr>
          <w:rFonts w:hint="eastAsia" w:ascii="宋体" w:hAnsi="宋体"/>
        </w:rPr>
        <w:t>18.1.7质疑人在答复期满前撤回质疑的，应由法定代表人或授权代表人签字确认，采购代理机构即终止质疑处理程序。质疑人不得以同一理由再次提出质疑。</w:t>
      </w:r>
    </w:p>
    <w:p>
      <w:pPr>
        <w:spacing w:beforeAutospacing="0" w:afterAutospacing="0" w:line="360" w:lineRule="auto"/>
        <w:ind w:firstLine="420" w:firstLineChars="200"/>
        <w:rPr>
          <w:rFonts w:ascii="宋体" w:hAnsi="宋体"/>
        </w:rPr>
      </w:pPr>
      <w:r>
        <w:rPr>
          <w:rFonts w:hint="eastAsia" w:ascii="宋体" w:hAnsi="宋体"/>
        </w:rPr>
        <w:t>18.2投诉</w:t>
      </w:r>
    </w:p>
    <w:p>
      <w:pPr>
        <w:spacing w:beforeAutospacing="0" w:afterAutospacing="0" w:line="360" w:lineRule="auto"/>
        <w:ind w:firstLine="420" w:firstLineChars="200"/>
        <w:rPr>
          <w:rFonts w:ascii="宋体" w:hAnsi="宋体"/>
        </w:rPr>
      </w:pPr>
      <w:r>
        <w:rPr>
          <w:rFonts w:hint="eastAsia" w:ascii="宋体" w:hAnsi="宋体"/>
        </w:rPr>
        <w:t>18.2.1质疑人对质疑答复不满意或代理机构未在规定时间内做出答复的，可在答复期满后15个工作日内提出投诉。</w:t>
      </w:r>
    </w:p>
    <w:p>
      <w:pPr>
        <w:spacing w:beforeAutospacing="0" w:afterAutospacing="0" w:line="360" w:lineRule="auto"/>
        <w:ind w:firstLine="420" w:firstLineChars="200"/>
        <w:rPr>
          <w:rFonts w:ascii="宋体" w:hAnsi="宋体"/>
        </w:rPr>
      </w:pPr>
      <w:r>
        <w:rPr>
          <w:rFonts w:hint="eastAsia" w:ascii="宋体" w:hAnsi="宋体"/>
        </w:rPr>
        <w:t>18.2.2投诉应以书面形式实名提出，书面投诉材料应当包括以下内容</w:t>
      </w:r>
    </w:p>
    <w:p>
      <w:pPr>
        <w:spacing w:beforeAutospacing="0" w:afterAutospacing="0" w:line="360" w:lineRule="auto"/>
        <w:ind w:firstLine="420" w:firstLineChars="200"/>
        <w:rPr>
          <w:rFonts w:ascii="宋体" w:hAnsi="宋体"/>
        </w:rPr>
      </w:pPr>
      <w:r>
        <w:rPr>
          <w:rFonts w:hint="eastAsia" w:ascii="宋体" w:hAnsi="宋体"/>
        </w:rPr>
        <w:t>18.2.2.1投诉人和被投诉人的姓名或者名称、通讯地址、邮编、联系人及联系电话；</w:t>
      </w:r>
    </w:p>
    <w:p>
      <w:pPr>
        <w:spacing w:beforeAutospacing="0" w:afterAutospacing="0" w:line="360" w:lineRule="auto"/>
        <w:ind w:firstLine="420" w:firstLineChars="200"/>
        <w:rPr>
          <w:rFonts w:ascii="宋体" w:hAnsi="宋体"/>
        </w:rPr>
      </w:pPr>
      <w:r>
        <w:rPr>
          <w:rFonts w:hint="eastAsia" w:ascii="宋体" w:hAnsi="宋体"/>
        </w:rPr>
        <w:t>18.2.2.2质疑和质疑答复情况说明及相关证明材料；</w:t>
      </w:r>
    </w:p>
    <w:p>
      <w:pPr>
        <w:spacing w:beforeAutospacing="0" w:afterAutospacing="0" w:line="360" w:lineRule="auto"/>
        <w:ind w:firstLine="420" w:firstLineChars="200"/>
        <w:rPr>
          <w:rFonts w:ascii="宋体" w:hAnsi="宋体"/>
        </w:rPr>
      </w:pPr>
      <w:r>
        <w:rPr>
          <w:rFonts w:hint="eastAsia" w:ascii="宋体" w:hAnsi="宋体"/>
        </w:rPr>
        <w:t>18.2.2.3具体、明确的投诉事项和与投诉事项相关的投诉请求；</w:t>
      </w:r>
    </w:p>
    <w:p>
      <w:pPr>
        <w:spacing w:beforeAutospacing="0" w:afterAutospacing="0" w:line="360" w:lineRule="auto"/>
        <w:ind w:firstLine="420" w:firstLineChars="200"/>
        <w:rPr>
          <w:rFonts w:ascii="宋体" w:hAnsi="宋体"/>
        </w:rPr>
      </w:pPr>
      <w:r>
        <w:rPr>
          <w:rFonts w:hint="eastAsia" w:ascii="宋体" w:hAnsi="宋体"/>
        </w:rPr>
        <w:t>18.2.2.4事实依据；</w:t>
      </w:r>
    </w:p>
    <w:p>
      <w:pPr>
        <w:spacing w:beforeAutospacing="0" w:afterAutospacing="0" w:line="360" w:lineRule="auto"/>
        <w:ind w:firstLine="420" w:firstLineChars="200"/>
        <w:rPr>
          <w:rFonts w:ascii="宋体" w:hAnsi="宋体"/>
        </w:rPr>
      </w:pPr>
      <w:r>
        <w:rPr>
          <w:rFonts w:hint="eastAsia" w:ascii="宋体" w:hAnsi="宋体"/>
        </w:rPr>
        <w:t>18.2.2.5法律依据；</w:t>
      </w:r>
    </w:p>
    <w:p>
      <w:pPr>
        <w:spacing w:beforeAutospacing="0" w:afterAutospacing="0" w:line="360" w:lineRule="auto"/>
        <w:ind w:firstLine="420" w:firstLineChars="200"/>
        <w:rPr>
          <w:rFonts w:ascii="宋体" w:hAnsi="宋体"/>
        </w:rPr>
      </w:pPr>
      <w:r>
        <w:rPr>
          <w:rFonts w:hint="eastAsia" w:ascii="宋体" w:hAnsi="宋体"/>
        </w:rPr>
        <w:t>18.2.2.6提起投诉的日期。</w:t>
      </w:r>
    </w:p>
    <w:p>
      <w:pPr>
        <w:spacing w:beforeAutospacing="0" w:afterAutospacing="0" w:line="360" w:lineRule="auto"/>
        <w:ind w:firstLine="420" w:firstLineChars="200"/>
        <w:rPr>
          <w:rFonts w:ascii="宋体" w:hAnsi="宋体"/>
        </w:rPr>
      </w:pPr>
      <w:r>
        <w:rPr>
          <w:rFonts w:hint="eastAsia" w:ascii="宋体" w:hAnsi="宋体"/>
        </w:rPr>
        <w:t>投诉人为自然人的，应当由本人签字；投诉人为法人或者其他组织的，应当由法定代表人、主要负责人，或者其授权委托人签字或者盖章，并加盖公章。</w:t>
      </w:r>
    </w:p>
    <w:p>
      <w:pPr>
        <w:spacing w:beforeAutospacing="0" w:afterAutospacing="0" w:line="360" w:lineRule="auto"/>
        <w:ind w:firstLine="420" w:firstLineChars="200"/>
        <w:rPr>
          <w:rFonts w:ascii="宋体" w:hAnsi="宋体"/>
        </w:rPr>
      </w:pPr>
      <w:r>
        <w:rPr>
          <w:rFonts w:hint="eastAsia" w:ascii="宋体" w:hAnsi="宋体"/>
        </w:rPr>
        <w:t>18.2.3有下列情形之一的，不予受理</w:t>
      </w:r>
    </w:p>
    <w:p>
      <w:pPr>
        <w:spacing w:beforeAutospacing="0" w:afterAutospacing="0" w:line="360" w:lineRule="auto"/>
        <w:ind w:firstLine="420" w:firstLineChars="200"/>
        <w:rPr>
          <w:rFonts w:ascii="宋体" w:hAnsi="宋体"/>
        </w:rPr>
      </w:pPr>
      <w:r>
        <w:rPr>
          <w:rFonts w:hint="eastAsia" w:ascii="宋体" w:hAnsi="宋体"/>
        </w:rPr>
        <w:t>18.2.3.1提起投诉的主体不是参与该政府采购项目活动的供应商；</w:t>
      </w:r>
    </w:p>
    <w:p>
      <w:pPr>
        <w:spacing w:beforeAutospacing="0" w:afterAutospacing="0" w:line="360" w:lineRule="auto"/>
        <w:ind w:firstLine="420" w:firstLineChars="200"/>
        <w:rPr>
          <w:rFonts w:ascii="宋体" w:hAnsi="宋体"/>
        </w:rPr>
      </w:pPr>
      <w:r>
        <w:rPr>
          <w:rFonts w:hint="eastAsia" w:ascii="宋体" w:hAnsi="宋体"/>
        </w:rPr>
        <w:t>18.2.3.2提起投诉的时间超过规定时限的；</w:t>
      </w:r>
    </w:p>
    <w:p>
      <w:pPr>
        <w:spacing w:beforeAutospacing="0" w:afterAutospacing="0" w:line="360" w:lineRule="auto"/>
        <w:ind w:firstLine="420" w:firstLineChars="200"/>
        <w:rPr>
          <w:rFonts w:ascii="宋体" w:hAnsi="宋体"/>
        </w:rPr>
      </w:pPr>
      <w:r>
        <w:rPr>
          <w:rFonts w:hint="eastAsia" w:ascii="宋体" w:hAnsi="宋体"/>
        </w:rPr>
        <w:t>18.2.3.3投诉材料不完整的；</w:t>
      </w:r>
    </w:p>
    <w:p>
      <w:pPr>
        <w:spacing w:beforeAutospacing="0" w:afterAutospacing="0" w:line="360" w:lineRule="auto"/>
        <w:ind w:firstLine="420" w:firstLineChars="200"/>
        <w:rPr>
          <w:rFonts w:ascii="宋体" w:hAnsi="宋体"/>
        </w:rPr>
      </w:pPr>
      <w:r>
        <w:rPr>
          <w:rFonts w:hint="eastAsia" w:ascii="宋体" w:hAnsi="宋体"/>
        </w:rPr>
        <w:t>18.2.3.4投诉事项含有主观猜测等内容且未提供有效线索、难以查证的；</w:t>
      </w:r>
    </w:p>
    <w:p>
      <w:pPr>
        <w:spacing w:beforeAutospacing="0" w:afterAutospacing="0" w:line="360" w:lineRule="auto"/>
        <w:ind w:firstLine="420" w:firstLineChars="200"/>
        <w:rPr>
          <w:rFonts w:ascii="宋体" w:hAnsi="宋体"/>
        </w:rPr>
      </w:pPr>
      <w:r>
        <w:rPr>
          <w:rFonts w:ascii="宋体" w:hAnsi="宋体"/>
        </w:rPr>
        <w:t>18.2.3.</w:t>
      </w:r>
      <w:r>
        <w:rPr>
          <w:rFonts w:hint="eastAsia" w:ascii="宋体" w:hAnsi="宋体"/>
        </w:rPr>
        <w:t>5对其他供应商的投标文件详细内容提起投诉，无法提供合法来源渠道的；</w:t>
      </w:r>
    </w:p>
    <w:p>
      <w:pPr>
        <w:spacing w:beforeAutospacing="0" w:afterAutospacing="0" w:line="360" w:lineRule="auto"/>
        <w:ind w:firstLine="420" w:firstLineChars="200"/>
        <w:rPr>
          <w:rFonts w:ascii="宋体" w:hAnsi="宋体"/>
        </w:rPr>
      </w:pPr>
      <w:r>
        <w:rPr>
          <w:rFonts w:hint="eastAsia" w:ascii="宋体" w:hAnsi="宋体"/>
        </w:rPr>
        <w:t>18.2.4投诉的处理流程详见《政府采购质疑和投诉办法》（财政部令第94号）</w:t>
      </w:r>
    </w:p>
    <w:p>
      <w:pPr>
        <w:pStyle w:val="5"/>
        <w:snapToGrid w:val="0"/>
        <w:spacing w:before="0" w:beforeAutospacing="0" w:after="0" w:afterAutospacing="0" w:line="360" w:lineRule="auto"/>
        <w:jc w:val="left"/>
        <w:rPr>
          <w:sz w:val="21"/>
          <w:szCs w:val="30"/>
        </w:rPr>
      </w:pPr>
      <w:r>
        <w:rPr>
          <w:rFonts w:hint="eastAsia"/>
          <w:sz w:val="21"/>
          <w:szCs w:val="30"/>
        </w:rPr>
        <w:t>19.验收</w:t>
      </w:r>
    </w:p>
    <w:p>
      <w:pPr>
        <w:spacing w:beforeAutospacing="0" w:afterAutospacing="0" w:line="360" w:lineRule="auto"/>
        <w:ind w:firstLine="420" w:firstLineChars="200"/>
        <w:rPr>
          <w:rFonts w:ascii="宋体" w:hAnsi="宋体"/>
        </w:rPr>
      </w:pPr>
      <w:r>
        <w:rPr>
          <w:rFonts w:hint="eastAsia" w:ascii="宋体" w:hAnsi="宋体"/>
        </w:rPr>
        <w:t>19.1采购人验收时，应严格依照招标文件、中标通知书、政府采购合同及相关验收规范进行核对、验收，形成验收结论，并出具书面验收报告。</w:t>
      </w:r>
    </w:p>
    <w:p>
      <w:pPr>
        <w:spacing w:beforeAutospacing="0" w:afterAutospacing="0" w:line="360" w:lineRule="auto"/>
        <w:ind w:firstLine="420" w:firstLineChars="200"/>
        <w:rPr>
          <w:rFonts w:ascii="宋体" w:hAnsi="宋体"/>
        </w:rPr>
      </w:pPr>
      <w:r>
        <w:rPr>
          <w:rFonts w:hint="eastAsia" w:ascii="宋体" w:hAnsi="宋体"/>
        </w:rPr>
        <w:t>19.2涉及安全、消防、环保等其他需要由质检或行业主管部门进行验收的项目，必须邀请相关部门或相关专家参与验收。检测、验收费用均由合同乙方（中标供应商）承担。</w:t>
      </w:r>
    </w:p>
    <w:p>
      <w:pPr>
        <w:pStyle w:val="5"/>
        <w:snapToGrid w:val="0"/>
        <w:spacing w:before="0" w:beforeAutospacing="0" w:after="0" w:afterAutospacing="0" w:line="360" w:lineRule="auto"/>
        <w:jc w:val="left"/>
        <w:rPr>
          <w:sz w:val="21"/>
          <w:szCs w:val="30"/>
        </w:rPr>
      </w:pPr>
      <w:r>
        <w:rPr>
          <w:rFonts w:hint="eastAsia"/>
          <w:sz w:val="21"/>
          <w:szCs w:val="30"/>
        </w:rPr>
        <w:t>20.合同标的转让与分包</w:t>
      </w:r>
    </w:p>
    <w:p>
      <w:pPr>
        <w:spacing w:beforeAutospacing="0" w:afterAutospacing="0" w:line="360" w:lineRule="auto"/>
        <w:ind w:firstLine="420" w:firstLineChars="200"/>
        <w:rPr>
          <w:rFonts w:ascii="宋体" w:hAnsi="宋体"/>
        </w:rPr>
      </w:pPr>
      <w:r>
        <w:rPr>
          <w:rFonts w:hint="eastAsia" w:ascii="宋体" w:hAnsi="宋体"/>
        </w:rPr>
        <w:t xml:space="preserve">20.1合同未约定或者未经采购人同意，中标供应商不得向他人转让中标项目，也不得将中标项目肢解后分别向他人转让。 </w:t>
      </w:r>
    </w:p>
    <w:p>
      <w:pPr>
        <w:spacing w:beforeAutospacing="0" w:afterAutospacing="0" w:line="360" w:lineRule="auto"/>
        <w:ind w:firstLine="420" w:firstLineChars="200"/>
        <w:rPr>
          <w:rFonts w:ascii="宋体" w:hAnsi="宋体"/>
        </w:rPr>
      </w:pPr>
      <w:r>
        <w:rPr>
          <w:rFonts w:hint="eastAsia" w:ascii="宋体" w:hAnsi="宋体"/>
        </w:rPr>
        <w:t>20.2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pPr>
        <w:spacing w:beforeAutospacing="0" w:afterAutospacing="0" w:line="360" w:lineRule="auto"/>
        <w:ind w:firstLine="420" w:firstLineChars="200"/>
        <w:rPr>
          <w:rFonts w:ascii="宋体" w:hAnsi="宋体"/>
        </w:rPr>
      </w:pPr>
      <w:r>
        <w:rPr>
          <w:rFonts w:hint="eastAsia" w:ascii="宋体" w:hAnsi="宋体"/>
        </w:rPr>
        <w:t>20.3中标供应商应当就分包项目向采购人负责，接受分包的人就分包项目承担连带责任。</w:t>
      </w:r>
    </w:p>
    <w:p>
      <w:pPr>
        <w:spacing w:beforeAutospacing="0" w:afterAutospacing="0" w:line="360" w:lineRule="auto"/>
        <w:ind w:firstLine="420" w:firstLineChars="200"/>
        <w:rPr>
          <w:rFonts w:ascii="宋体" w:hAnsi="宋体"/>
        </w:rPr>
      </w:pPr>
      <w:r>
        <w:rPr>
          <w:rFonts w:hint="eastAsia" w:ascii="宋体" w:hAnsi="宋体"/>
        </w:rPr>
        <w:t>20.4未经政府采购监督管理部门批准，进口设备不得转包。</w:t>
      </w:r>
    </w:p>
    <w:p>
      <w:pPr>
        <w:pStyle w:val="5"/>
        <w:snapToGrid w:val="0"/>
        <w:spacing w:before="0" w:beforeAutospacing="0" w:after="0" w:afterAutospacing="0" w:line="360" w:lineRule="auto"/>
        <w:jc w:val="left"/>
        <w:rPr>
          <w:sz w:val="21"/>
          <w:szCs w:val="30"/>
        </w:rPr>
      </w:pPr>
      <w:r>
        <w:rPr>
          <w:rFonts w:hint="eastAsia"/>
          <w:sz w:val="21"/>
          <w:szCs w:val="30"/>
        </w:rPr>
        <w:t>21.价款结算办法（见专用部分第三章《合同条款前附表》）</w:t>
      </w:r>
    </w:p>
    <w:p>
      <w:pPr>
        <w:pStyle w:val="5"/>
        <w:snapToGrid w:val="0"/>
        <w:spacing w:before="0" w:beforeAutospacing="0" w:after="0" w:afterAutospacing="0" w:line="360" w:lineRule="auto"/>
        <w:jc w:val="left"/>
        <w:rPr>
          <w:sz w:val="21"/>
          <w:szCs w:val="30"/>
        </w:rPr>
      </w:pPr>
      <w:r>
        <w:rPr>
          <w:rFonts w:hint="eastAsia"/>
          <w:sz w:val="21"/>
          <w:szCs w:val="30"/>
        </w:rPr>
        <w:t>22.附则</w:t>
      </w:r>
    </w:p>
    <w:p>
      <w:pPr>
        <w:spacing w:beforeAutospacing="0" w:afterAutospacing="0" w:line="360" w:lineRule="auto"/>
        <w:ind w:firstLine="420" w:firstLineChars="200"/>
        <w:rPr>
          <w:rFonts w:ascii="宋体" w:hAnsi="宋体"/>
        </w:rPr>
      </w:pPr>
      <w:r>
        <w:rPr>
          <w:rFonts w:hint="eastAsia" w:ascii="宋体" w:hAnsi="宋体"/>
        </w:rPr>
        <w:t>22.1参加本次招标活动的所有人员不得将对投标文件的审查、澄清、评议以及评标的情况透露给供应商或与招标工作无关的人员。如有发现，造成不良影响的，按有关法律法规的规定追究当事人责任。</w:t>
      </w:r>
    </w:p>
    <w:p>
      <w:pPr>
        <w:spacing w:beforeAutospacing="0" w:afterAutospacing="0" w:line="360" w:lineRule="auto"/>
        <w:ind w:firstLine="420" w:firstLineChars="200"/>
        <w:rPr>
          <w:rFonts w:ascii="宋体" w:hAnsi="宋体"/>
        </w:rPr>
      </w:pPr>
      <w:r>
        <w:rPr>
          <w:rFonts w:hint="eastAsia" w:ascii="宋体" w:hAnsi="宋体"/>
        </w:rPr>
        <w:t>22.2本招标文件由代理机构负责解释。</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p>
    <w:p>
      <w:pPr>
        <w:pStyle w:val="4"/>
        <w:spacing w:beforeAutospacing="0" w:afterAutospacing="0" w:line="500" w:lineRule="exact"/>
        <w:jc w:val="center"/>
      </w:pPr>
      <w:r>
        <w:rPr>
          <w:rFonts w:hint="eastAsia" w:ascii="宋体" w:hAnsi="宋体"/>
          <w:szCs w:val="21"/>
        </w:rPr>
        <w:br w:type="page"/>
      </w:r>
      <w:r>
        <w:rPr>
          <w:rFonts w:hint="eastAsia"/>
        </w:rPr>
        <w:t>第二章 采购合同（格式）</w:t>
      </w:r>
    </w:p>
    <w:p>
      <w:pPr>
        <w:pStyle w:val="40"/>
        <w:spacing w:beforeAutospacing="0" w:afterAutospacing="0" w:line="360" w:lineRule="auto"/>
        <w:rPr>
          <w:rFonts w:ascii="宋体" w:hAnsi="宋体"/>
          <w:sz w:val="24"/>
          <w:szCs w:val="24"/>
        </w:rPr>
      </w:pPr>
    </w:p>
    <w:p>
      <w:pPr>
        <w:jc w:val="center"/>
        <w:rPr>
          <w:rFonts w:hint="eastAsia" w:ascii="宋体" w:hAnsi="宋体" w:eastAsia="宋体"/>
          <w:b/>
          <w:sz w:val="30"/>
          <w:szCs w:val="30"/>
          <w:lang w:eastAsia="zh-CN"/>
        </w:rPr>
      </w:pPr>
      <w:r>
        <w:rPr>
          <w:rFonts w:hint="eastAsia" w:ascii="宋体" w:hAnsi="宋体"/>
          <w:b/>
          <w:sz w:val="30"/>
          <w:szCs w:val="30"/>
        </w:rPr>
        <w:t>皖南医学院高水平学科创新能力提升设备采购</w:t>
      </w:r>
      <w:r>
        <w:rPr>
          <w:rFonts w:hint="eastAsia" w:ascii="宋体" w:hAnsi="宋体"/>
          <w:b/>
          <w:sz w:val="30"/>
          <w:szCs w:val="30"/>
          <w:lang w:eastAsia="zh-CN"/>
        </w:rPr>
        <w:t>项目(十四）</w:t>
      </w:r>
    </w:p>
    <w:p>
      <w:pPr>
        <w:jc w:val="center"/>
        <w:rPr>
          <w:rFonts w:ascii="宋体" w:hAnsi="宋体"/>
          <w:b/>
          <w:sz w:val="30"/>
          <w:szCs w:val="30"/>
        </w:rPr>
      </w:pPr>
      <w:r>
        <w:rPr>
          <w:rFonts w:hint="eastAsia" w:ascii="宋体" w:hAnsi="宋体"/>
          <w:b/>
          <w:sz w:val="30"/>
          <w:szCs w:val="30"/>
        </w:rPr>
        <w:t>项目采购合同</w:t>
      </w:r>
    </w:p>
    <w:p>
      <w:pPr>
        <w:jc w:val="center"/>
        <w:rPr>
          <w:rFonts w:ascii="Arial" w:hAnsi="Arial" w:eastAsia="仿宋_GB2312"/>
          <w:kern w:val="28"/>
          <w:sz w:val="24"/>
          <w:szCs w:val="24"/>
        </w:rPr>
      </w:pPr>
    </w:p>
    <w:p>
      <w:pPr>
        <w:wordWrap w:val="0"/>
        <w:spacing w:beforeAutospacing="0" w:afterAutospacing="0" w:line="560" w:lineRule="exact"/>
        <w:jc w:val="right"/>
        <w:rPr>
          <w:rFonts w:ascii="仿宋" w:hAnsi="仿宋" w:eastAsia="仿宋"/>
          <w:kern w:val="28"/>
          <w:sz w:val="24"/>
          <w:szCs w:val="24"/>
        </w:rPr>
      </w:pPr>
      <w:r>
        <w:rPr>
          <w:rFonts w:hint="eastAsia" w:ascii="仿宋" w:hAnsi="仿宋" w:eastAsia="仿宋"/>
          <w:kern w:val="28"/>
          <w:sz w:val="24"/>
          <w:szCs w:val="24"/>
        </w:rPr>
        <w:t xml:space="preserve">合同编号：             </w:t>
      </w:r>
    </w:p>
    <w:p>
      <w:pPr>
        <w:wordWrap w:val="0"/>
        <w:spacing w:beforeAutospacing="0" w:afterAutospacing="0" w:line="560" w:lineRule="exact"/>
        <w:jc w:val="right"/>
        <w:rPr>
          <w:rFonts w:ascii="仿宋" w:hAnsi="仿宋" w:eastAsia="仿宋"/>
          <w:kern w:val="28"/>
          <w:sz w:val="24"/>
          <w:szCs w:val="24"/>
        </w:rPr>
      </w:pPr>
      <w:r>
        <w:rPr>
          <w:rFonts w:hint="eastAsia" w:ascii="仿宋" w:hAnsi="仿宋" w:eastAsia="仿宋"/>
          <w:kern w:val="28"/>
          <w:sz w:val="24"/>
          <w:szCs w:val="24"/>
        </w:rPr>
        <w:t xml:space="preserve">项目编号：             </w:t>
      </w:r>
    </w:p>
    <w:p>
      <w:pPr>
        <w:spacing w:beforeAutospacing="0" w:afterAutospacing="0" w:line="560" w:lineRule="exact"/>
        <w:rPr>
          <w:rFonts w:ascii="仿宋" w:hAnsi="仿宋" w:eastAsia="仿宋"/>
          <w:kern w:val="28"/>
          <w:sz w:val="24"/>
          <w:szCs w:val="24"/>
        </w:rPr>
      </w:pPr>
    </w:p>
    <w:p>
      <w:pPr>
        <w:spacing w:beforeAutospacing="0" w:afterAutospacing="0" w:line="560" w:lineRule="exact"/>
        <w:jc w:val="left"/>
        <w:rPr>
          <w:rFonts w:ascii="仿宋" w:hAnsi="仿宋" w:eastAsia="仿宋"/>
          <w:kern w:val="28"/>
          <w:sz w:val="24"/>
          <w:szCs w:val="24"/>
        </w:rPr>
      </w:pPr>
      <w:r>
        <w:rPr>
          <w:rFonts w:hint="eastAsia" w:ascii="仿宋" w:hAnsi="仿宋" w:eastAsia="仿宋"/>
          <w:kern w:val="28"/>
          <w:sz w:val="24"/>
          <w:szCs w:val="24"/>
        </w:rPr>
        <w:t>买  方：皖南医学院电话：0553-3932052</w:t>
      </w:r>
    </w:p>
    <w:p>
      <w:pPr>
        <w:spacing w:beforeAutospacing="0" w:afterAutospacing="0" w:line="560" w:lineRule="exact"/>
        <w:jc w:val="left"/>
        <w:rPr>
          <w:rFonts w:ascii="仿宋" w:hAnsi="仿宋" w:eastAsia="仿宋"/>
          <w:kern w:val="28"/>
          <w:sz w:val="24"/>
          <w:szCs w:val="24"/>
        </w:rPr>
      </w:pPr>
      <w:r>
        <w:rPr>
          <w:rFonts w:hint="eastAsia" w:ascii="仿宋" w:hAnsi="仿宋" w:eastAsia="仿宋"/>
          <w:kern w:val="28"/>
          <w:sz w:val="24"/>
          <w:szCs w:val="24"/>
        </w:rPr>
        <w:t xml:space="preserve">卖  方：                                  电话： </w:t>
      </w:r>
    </w:p>
    <w:p>
      <w:pPr>
        <w:spacing w:beforeAutospacing="0" w:afterAutospacing="0" w:line="560" w:lineRule="exact"/>
        <w:jc w:val="left"/>
        <w:rPr>
          <w:rFonts w:ascii="仿宋" w:hAnsi="仿宋" w:eastAsia="仿宋"/>
          <w:kern w:val="28"/>
          <w:sz w:val="24"/>
          <w:szCs w:val="24"/>
        </w:rPr>
      </w:pPr>
      <w:r>
        <w:rPr>
          <w:rFonts w:hint="eastAsia" w:ascii="仿宋" w:hAnsi="仿宋" w:eastAsia="仿宋"/>
          <w:kern w:val="28"/>
          <w:sz w:val="24"/>
          <w:szCs w:val="24"/>
        </w:rPr>
        <w:t>见证方：安徽安兆工程技术咨询服务有限公司  电话： 0551-65707329</w:t>
      </w:r>
    </w:p>
    <w:p>
      <w:pPr>
        <w:spacing w:beforeAutospacing="0" w:afterAutospacing="0" w:line="560" w:lineRule="exact"/>
        <w:rPr>
          <w:rFonts w:ascii="仿宋" w:hAnsi="仿宋" w:eastAsia="仿宋"/>
          <w:kern w:val="28"/>
          <w:sz w:val="24"/>
          <w:szCs w:val="24"/>
        </w:rPr>
      </w:pPr>
    </w:p>
    <w:p>
      <w:pPr>
        <w:spacing w:beforeAutospacing="0" w:afterAutospacing="0" w:line="560" w:lineRule="exact"/>
        <w:ind w:firstLine="600" w:firstLineChars="250"/>
        <w:rPr>
          <w:rFonts w:ascii="仿宋" w:hAnsi="仿宋" w:eastAsia="仿宋"/>
          <w:kern w:val="28"/>
          <w:sz w:val="24"/>
          <w:szCs w:val="24"/>
        </w:rPr>
      </w:pPr>
      <w:r>
        <w:rPr>
          <w:rFonts w:hint="eastAsia" w:ascii="仿宋" w:hAnsi="仿宋" w:eastAsia="仿宋"/>
          <w:kern w:val="28"/>
          <w:sz w:val="24"/>
          <w:szCs w:val="24"/>
        </w:rPr>
        <w:t>买方通过</w:t>
      </w:r>
      <w:r>
        <w:rPr>
          <w:rFonts w:hint="eastAsia" w:ascii="仿宋" w:hAnsi="仿宋" w:eastAsia="仿宋"/>
          <w:kern w:val="28"/>
          <w:sz w:val="24"/>
          <w:szCs w:val="24"/>
          <w:u w:val="single"/>
        </w:rPr>
        <w:t>安徽安兆工程技术咨询服务有限公司</w:t>
      </w:r>
      <w:r>
        <w:rPr>
          <w:rFonts w:hint="eastAsia" w:ascii="仿宋" w:hAnsi="仿宋" w:eastAsia="仿宋"/>
          <w:kern w:val="28"/>
          <w:sz w:val="24"/>
          <w:szCs w:val="24"/>
        </w:rPr>
        <w:t>组织的</w:t>
      </w:r>
      <w:r>
        <w:rPr>
          <w:rFonts w:hint="eastAsia" w:ascii="仿宋" w:hAnsi="仿宋" w:eastAsia="仿宋"/>
          <w:kern w:val="28"/>
          <w:sz w:val="24"/>
          <w:szCs w:val="24"/>
          <w:u w:val="single"/>
        </w:rPr>
        <w:t>公开招标</w:t>
      </w:r>
      <w:r>
        <w:rPr>
          <w:rFonts w:hint="eastAsia" w:ascii="仿宋" w:hAnsi="仿宋" w:eastAsia="仿宋"/>
          <w:kern w:val="28"/>
          <w:sz w:val="24"/>
          <w:szCs w:val="24"/>
        </w:rPr>
        <w:t>方式采购活动，经评标委员会的评审，决定将本项目采购合同授予卖方。为进一步明确双方的责任，确保合同的顺利履行，</w:t>
      </w:r>
      <w:r>
        <w:rPr>
          <w:rFonts w:hint="eastAsia" w:ascii="仿宋" w:hAnsi="仿宋" w:eastAsia="仿宋"/>
          <w:color w:val="000000"/>
          <w:kern w:val="28"/>
          <w:sz w:val="24"/>
          <w:szCs w:val="24"/>
        </w:rPr>
        <w:t>根据《中华人民共和国政府采购法》、《中华人民共和国民法典》及有关法律规定，遵循平等、自愿、公平和诚实信用的原则，</w:t>
      </w:r>
      <w:r>
        <w:rPr>
          <w:rFonts w:hint="eastAsia" w:ascii="仿宋" w:hAnsi="仿宋" w:eastAsia="仿宋"/>
          <w:kern w:val="28"/>
          <w:sz w:val="24"/>
          <w:szCs w:val="24"/>
        </w:rPr>
        <w:t>买卖双方</w:t>
      </w:r>
      <w:r>
        <w:rPr>
          <w:rFonts w:hint="eastAsia" w:ascii="仿宋" w:hAnsi="仿宋" w:eastAsia="仿宋"/>
          <w:color w:val="000000"/>
          <w:kern w:val="28"/>
          <w:sz w:val="24"/>
          <w:szCs w:val="24"/>
        </w:rPr>
        <w:t>协商一致</w:t>
      </w:r>
      <w:r>
        <w:rPr>
          <w:rFonts w:hint="eastAsia" w:ascii="仿宋" w:hAnsi="仿宋" w:eastAsia="仿宋"/>
          <w:kern w:val="28"/>
          <w:sz w:val="24"/>
          <w:szCs w:val="24"/>
        </w:rPr>
        <w:t>同意按如下条款签订本合同：</w:t>
      </w:r>
    </w:p>
    <w:p>
      <w:pPr>
        <w:spacing w:before="120" w:beforeLines="50" w:beforeAutospacing="0" w:afterAutospacing="0"/>
        <w:ind w:firstLine="480" w:firstLineChars="200"/>
        <w:rPr>
          <w:rFonts w:ascii="仿宋" w:hAnsi="仿宋" w:eastAsia="仿宋"/>
          <w:kern w:val="28"/>
          <w:sz w:val="24"/>
          <w:szCs w:val="24"/>
        </w:rPr>
      </w:pPr>
      <w:r>
        <w:rPr>
          <w:rFonts w:hint="eastAsia" w:ascii="黑体" w:hAnsi="黑体" w:eastAsia="黑体"/>
          <w:kern w:val="28"/>
          <w:sz w:val="24"/>
          <w:szCs w:val="24"/>
        </w:rPr>
        <w:t xml:space="preserve">一、货物的名称、规格型号、数量和价格（若产品过多则见附表，如有附表则必须加盖公章） </w:t>
      </w:r>
    </w:p>
    <w:p>
      <w:pPr>
        <w:spacing w:beforeAutospacing="0" w:after="120" w:afterLines="5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本合同所采购的货物、服务的名称、技术规格和数量如下：</w:t>
      </w:r>
    </w:p>
    <w:tbl>
      <w:tblPr>
        <w:tblStyle w:val="19"/>
        <w:tblW w:w="85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500"/>
        <w:gridCol w:w="1296"/>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品牌、型号规格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岛津气质联用专用自动进样器（150位）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岛津气质联用专用数据库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高速冷冻离心机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冷冻研磨仪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液相色谱串联质谱仪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气相色谱质谱联用仪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bl>
    <w:p>
      <w:pPr>
        <w:spacing w:before="120" w:beforeLines="50" w:beforeAutospacing="0" w:afterAutospacing="0"/>
        <w:ind w:firstLine="482" w:firstLineChars="200"/>
        <w:rPr>
          <w:rFonts w:ascii="黑体" w:hAnsi="黑体" w:eastAsia="黑体"/>
          <w:b/>
          <w:kern w:val="28"/>
          <w:sz w:val="24"/>
          <w:szCs w:val="24"/>
        </w:rPr>
      </w:pPr>
      <w:r>
        <w:rPr>
          <w:rFonts w:hint="eastAsia" w:ascii="黑体" w:hAnsi="黑体" w:eastAsia="黑体"/>
          <w:b/>
          <w:kern w:val="28"/>
          <w:sz w:val="24"/>
          <w:szCs w:val="24"/>
        </w:rPr>
        <w:t>二、组成合同的文件</w:t>
      </w:r>
    </w:p>
    <w:p>
      <w:pPr>
        <w:spacing w:beforeAutospacing="0" w:afterAutospacing="0" w:line="560" w:lineRule="exact"/>
        <w:ind w:firstLine="540"/>
        <w:rPr>
          <w:rFonts w:ascii="仿宋" w:hAnsi="仿宋" w:eastAsia="仿宋"/>
          <w:kern w:val="28"/>
          <w:sz w:val="24"/>
          <w:szCs w:val="24"/>
        </w:rPr>
      </w:pPr>
      <w:r>
        <w:rPr>
          <w:rFonts w:hint="eastAsia" w:ascii="仿宋" w:hAnsi="仿宋" w:eastAsia="仿宋"/>
          <w:kern w:val="28"/>
          <w:sz w:val="24"/>
          <w:szCs w:val="24"/>
        </w:rPr>
        <w:t>组成本合同的文件包括：</w:t>
      </w:r>
    </w:p>
    <w:p>
      <w:pPr>
        <w:numPr>
          <w:ilvl w:val="0"/>
          <w:numId w:val="1"/>
        </w:num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采购文件及答疑、更正公告;</w:t>
      </w:r>
    </w:p>
    <w:p>
      <w:pPr>
        <w:numPr>
          <w:ilvl w:val="0"/>
          <w:numId w:val="1"/>
        </w:num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采购文件标准文本中的“合同条款”；</w:t>
      </w:r>
    </w:p>
    <w:p>
      <w:pPr>
        <w:numPr>
          <w:ilvl w:val="0"/>
          <w:numId w:val="1"/>
        </w:num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中标或成交公告；</w:t>
      </w:r>
    </w:p>
    <w:p>
      <w:pPr>
        <w:numPr>
          <w:ilvl w:val="0"/>
          <w:numId w:val="1"/>
        </w:num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卖方提交的投标文件及书面承诺函；</w:t>
      </w:r>
    </w:p>
    <w:p>
      <w:pPr>
        <w:numPr>
          <w:ilvl w:val="0"/>
          <w:numId w:val="1"/>
        </w:num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双方另行签订的补充协议。</w:t>
      </w:r>
    </w:p>
    <w:p>
      <w:pPr>
        <w:spacing w:beforeAutospacing="0" w:afterAutospacing="0" w:line="360" w:lineRule="auto"/>
        <w:ind w:firstLine="480" w:firstLineChars="200"/>
        <w:rPr>
          <w:rFonts w:ascii="仿宋" w:hAnsi="仿宋" w:eastAsia="仿宋"/>
          <w:bCs/>
          <w:kern w:val="28"/>
          <w:sz w:val="24"/>
          <w:szCs w:val="24"/>
        </w:rPr>
      </w:pPr>
      <w:r>
        <w:rPr>
          <w:rFonts w:hint="eastAsia" w:ascii="黑体" w:hAnsi="黑体" w:eastAsia="黑体"/>
          <w:bCs/>
          <w:kern w:val="28"/>
          <w:sz w:val="24"/>
          <w:szCs w:val="24"/>
        </w:rPr>
        <w:t>三、 本合同的总金额为¥元(人民币大写：)。</w:t>
      </w:r>
    </w:p>
    <w:p>
      <w:pPr>
        <w:ind w:firstLine="482" w:firstLineChars="200"/>
        <w:rPr>
          <w:rFonts w:ascii="黑体" w:hAnsi="黑体" w:eastAsia="黑体"/>
          <w:b/>
          <w:kern w:val="28"/>
          <w:sz w:val="24"/>
          <w:szCs w:val="24"/>
        </w:rPr>
      </w:pPr>
      <w:r>
        <w:rPr>
          <w:rFonts w:hint="eastAsia" w:ascii="黑体" w:hAnsi="黑体" w:eastAsia="黑体"/>
          <w:b/>
          <w:kern w:val="28"/>
          <w:sz w:val="24"/>
          <w:szCs w:val="24"/>
        </w:rPr>
        <w:t>四、供货期限</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卖方应于合同签字生效后开始计算的日内将货物</w:t>
      </w:r>
      <w:r>
        <w:rPr>
          <w:rFonts w:hint="eastAsia" w:ascii="仿宋" w:hAnsi="仿宋" w:eastAsia="仿宋"/>
          <w:b/>
          <w:kern w:val="28"/>
          <w:sz w:val="24"/>
          <w:szCs w:val="24"/>
        </w:rPr>
        <w:t>一次性</w:t>
      </w:r>
      <w:r>
        <w:rPr>
          <w:rFonts w:hint="eastAsia" w:ascii="仿宋" w:hAnsi="仿宋" w:eastAsia="仿宋"/>
          <w:kern w:val="28"/>
          <w:sz w:val="24"/>
          <w:szCs w:val="24"/>
        </w:rPr>
        <w:t>送到买方指定的地点，由买方进行验收。</w:t>
      </w:r>
    </w:p>
    <w:p>
      <w:pPr>
        <w:spacing w:beforeAutospacing="0" w:afterAutospacing="0" w:line="560" w:lineRule="exact"/>
        <w:ind w:firstLine="480" w:firstLineChars="200"/>
        <w:rPr>
          <w:rFonts w:ascii="仿宋" w:hAnsi="仿宋" w:eastAsia="仿宋"/>
          <w:b/>
          <w:kern w:val="28"/>
          <w:sz w:val="24"/>
          <w:szCs w:val="24"/>
        </w:rPr>
      </w:pPr>
      <w:r>
        <w:rPr>
          <w:rFonts w:hint="eastAsia" w:ascii="仿宋" w:hAnsi="仿宋" w:eastAsia="仿宋"/>
          <w:kern w:val="28"/>
          <w:sz w:val="24"/>
        </w:rPr>
        <w:t xml:space="preserve">货物运输至买方指定地点到货物验收合格前， </w:t>
      </w:r>
      <w:r>
        <w:rPr>
          <w:rFonts w:hint="eastAsia" w:ascii="仿宋" w:hAnsi="仿宋" w:eastAsia="仿宋"/>
          <w:kern w:val="28"/>
          <w:sz w:val="24"/>
          <w:u w:val="single"/>
        </w:rPr>
        <w:t xml:space="preserve"> 卖方 </w:t>
      </w:r>
      <w:r>
        <w:rPr>
          <w:rFonts w:hint="eastAsia" w:ascii="仿宋" w:hAnsi="仿宋" w:eastAsia="仿宋"/>
          <w:kern w:val="28"/>
          <w:sz w:val="24"/>
        </w:rPr>
        <w:t>负责对货物承担安保义务。</w:t>
      </w:r>
    </w:p>
    <w:p>
      <w:pPr>
        <w:widowControl/>
        <w:ind w:firstLine="482" w:firstLineChars="200"/>
        <w:rPr>
          <w:rFonts w:ascii="黑体" w:hAnsi="黑体" w:eastAsia="黑体"/>
          <w:b/>
          <w:kern w:val="28"/>
          <w:sz w:val="24"/>
          <w:szCs w:val="24"/>
        </w:rPr>
      </w:pPr>
      <w:r>
        <w:rPr>
          <w:rFonts w:hint="eastAsia" w:ascii="黑体" w:hAnsi="黑体" w:eastAsia="黑体"/>
          <w:b/>
          <w:kern w:val="28"/>
          <w:sz w:val="24"/>
          <w:szCs w:val="24"/>
        </w:rPr>
        <w:t>五、验收要求</w:t>
      </w:r>
    </w:p>
    <w:p>
      <w:pPr>
        <w:widowControl/>
        <w:ind w:firstLine="482" w:firstLineChars="200"/>
        <w:rPr>
          <w:rFonts w:ascii="楷体" w:hAnsi="楷体" w:eastAsia="楷体"/>
          <w:b/>
          <w:kern w:val="28"/>
          <w:sz w:val="24"/>
          <w:szCs w:val="24"/>
        </w:rPr>
      </w:pPr>
      <w:r>
        <w:rPr>
          <w:rFonts w:hint="eastAsia" w:ascii="黑体" w:hAnsi="黑体" w:eastAsia="黑体"/>
          <w:b/>
          <w:kern w:val="28"/>
          <w:sz w:val="24"/>
          <w:szCs w:val="24"/>
        </w:rPr>
        <w:t>（一）</w:t>
      </w:r>
      <w:r>
        <w:rPr>
          <w:rFonts w:hint="eastAsia" w:ascii="楷体" w:hAnsi="楷体" w:eastAsia="楷体"/>
          <w:b/>
          <w:kern w:val="28"/>
          <w:sz w:val="24"/>
          <w:szCs w:val="24"/>
        </w:rPr>
        <w:t>质量标准</w:t>
      </w:r>
    </w:p>
    <w:p>
      <w:pPr>
        <w:spacing w:beforeAutospacing="0" w:after="120" w:afterLines="5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widowControl/>
        <w:ind w:firstLine="482" w:firstLineChars="200"/>
        <w:rPr>
          <w:rFonts w:ascii="楷体" w:hAnsi="楷体" w:eastAsia="楷体"/>
          <w:b/>
          <w:kern w:val="28"/>
          <w:sz w:val="24"/>
          <w:szCs w:val="24"/>
        </w:rPr>
      </w:pPr>
      <w:r>
        <w:rPr>
          <w:rFonts w:hint="eastAsia" w:ascii="楷体" w:hAnsi="楷体" w:eastAsia="楷体"/>
          <w:b/>
          <w:kern w:val="28"/>
          <w:sz w:val="24"/>
          <w:szCs w:val="24"/>
        </w:rPr>
        <w:t>（二）验收组织</w:t>
      </w:r>
    </w:p>
    <w:p>
      <w:pPr>
        <w:widowControl/>
        <w:spacing w:beforeAutospacing="0" w:after="120" w:afterLines="50" w:afterAutospacing="0" w:line="560" w:lineRule="exact"/>
        <w:ind w:firstLine="480" w:firstLineChars="200"/>
        <w:rPr>
          <w:rFonts w:ascii="仿宋" w:hAnsi="仿宋" w:eastAsia="仿宋"/>
          <w:color w:val="333333"/>
          <w:kern w:val="28"/>
          <w:sz w:val="24"/>
          <w:szCs w:val="24"/>
          <w:shd w:val="clear" w:color="auto" w:fill="FFFFFF"/>
        </w:rPr>
      </w:pPr>
      <w:r>
        <w:rPr>
          <w:rFonts w:hint="eastAsia" w:ascii="仿宋" w:hAnsi="仿宋" w:eastAsia="仿宋"/>
          <w:kern w:val="28"/>
          <w:sz w:val="24"/>
          <w:szCs w:val="24"/>
        </w:rPr>
        <w:t>买方负责组织验收工作，</w:t>
      </w:r>
      <w:r>
        <w:rPr>
          <w:rFonts w:hint="eastAsia" w:ascii="仿宋" w:hAnsi="仿宋" w:eastAsia="仿宋" w:cs="宋体"/>
          <w:kern w:val="0"/>
          <w:sz w:val="24"/>
          <w:szCs w:val="24"/>
        </w:rPr>
        <w:t>大型或者复杂的政府采购项目，必须邀请国家认可的质量检测机构参加验收工作。</w:t>
      </w:r>
    </w:p>
    <w:p>
      <w:pPr>
        <w:ind w:firstLine="482" w:firstLineChars="200"/>
        <w:rPr>
          <w:rFonts w:ascii="楷体" w:hAnsi="楷体" w:eastAsia="楷体"/>
          <w:b/>
          <w:kern w:val="28"/>
          <w:sz w:val="24"/>
          <w:szCs w:val="24"/>
        </w:rPr>
      </w:pPr>
      <w:r>
        <w:rPr>
          <w:rFonts w:hint="eastAsia" w:ascii="楷体" w:hAnsi="楷体" w:eastAsia="楷体"/>
          <w:b/>
          <w:kern w:val="28"/>
          <w:sz w:val="24"/>
          <w:szCs w:val="24"/>
        </w:rPr>
        <w:t>（三）验收程序</w:t>
      </w:r>
    </w:p>
    <w:p>
      <w:pPr>
        <w:spacing w:beforeAutospacing="0" w:afterAutospacing="0"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1.成立验收小组，</w:t>
      </w:r>
      <w:r>
        <w:rPr>
          <w:rFonts w:hint="eastAsia" w:ascii="仿宋" w:hAnsi="仿宋" w:eastAsia="仿宋"/>
          <w:kern w:val="28"/>
          <w:sz w:val="24"/>
          <w:szCs w:val="24"/>
        </w:rPr>
        <w:t>验收人员应由买方代表和技术专家组成</w:t>
      </w:r>
      <w:r>
        <w:rPr>
          <w:rFonts w:hint="eastAsia" w:ascii="仿宋" w:hAnsi="仿宋" w:eastAsia="仿宋" w:cs="宋体"/>
          <w:kern w:val="0"/>
          <w:sz w:val="24"/>
          <w:szCs w:val="24"/>
        </w:rPr>
        <w:t>。</w:t>
      </w:r>
    </w:p>
    <w:p>
      <w:pPr>
        <w:widowControl/>
        <w:spacing w:beforeAutospacing="0" w:afterAutospacing="0"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2.验收前要编制验收表格。</w:t>
      </w:r>
    </w:p>
    <w:p>
      <w:pPr>
        <w:widowControl/>
        <w:spacing w:beforeAutospacing="0" w:afterAutospacing="0"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3.验收时双方要按照验收表格逐项验收。</w:t>
      </w:r>
    </w:p>
    <w:p>
      <w:pPr>
        <w:widowControl/>
        <w:spacing w:beforeAutospacing="0" w:afterAutospacing="0"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4.验收方出具验收报告。</w:t>
      </w:r>
    </w:p>
    <w:p>
      <w:pPr>
        <w:widowControl/>
        <w:spacing w:beforeAutospacing="0" w:after="120" w:afterLines="50" w:afterAutospacing="0" w:line="560" w:lineRule="exact"/>
        <w:ind w:firstLine="480" w:firstLineChars="200"/>
        <w:rPr>
          <w:rFonts w:ascii="仿宋" w:hAnsi="仿宋" w:eastAsia="仿宋"/>
          <w:b/>
          <w:kern w:val="28"/>
          <w:sz w:val="24"/>
          <w:szCs w:val="24"/>
        </w:rPr>
      </w:pPr>
      <w:r>
        <w:rPr>
          <w:rFonts w:hint="eastAsia" w:ascii="仿宋" w:hAnsi="仿宋" w:eastAsia="仿宋" w:cs="宋体"/>
          <w:kern w:val="0"/>
          <w:sz w:val="24"/>
          <w:szCs w:val="24"/>
        </w:rPr>
        <w:t>5.复杂设备的验收还要包括出厂检验、到货检验、安装和调试、最终验收、培训等伴随服务的验收。</w:t>
      </w:r>
    </w:p>
    <w:p>
      <w:pPr>
        <w:ind w:firstLine="482" w:firstLineChars="200"/>
        <w:rPr>
          <w:rFonts w:ascii="黑体" w:hAnsi="黑体" w:eastAsia="黑体"/>
          <w:b/>
          <w:kern w:val="28"/>
          <w:sz w:val="24"/>
          <w:szCs w:val="24"/>
        </w:rPr>
      </w:pPr>
      <w:r>
        <w:rPr>
          <w:rFonts w:hint="eastAsia" w:ascii="黑体" w:hAnsi="黑体" w:eastAsia="黑体"/>
          <w:b/>
          <w:kern w:val="28"/>
          <w:sz w:val="24"/>
          <w:szCs w:val="24"/>
        </w:rPr>
        <w:t>六、付款方式</w:t>
      </w:r>
    </w:p>
    <w:p>
      <w:pPr>
        <w:spacing w:line="560" w:lineRule="exact"/>
        <w:ind w:firstLine="480" w:firstLineChars="200"/>
        <w:rPr>
          <w:rFonts w:hint="eastAsia" w:ascii="仿宋" w:hAnsi="仿宋" w:eastAsia="仿宋" w:cs="Times New Roman"/>
          <w:kern w:val="28"/>
          <w:sz w:val="24"/>
          <w:szCs w:val="24"/>
        </w:rPr>
      </w:pPr>
      <w:r>
        <w:rPr>
          <w:rFonts w:hint="eastAsia" w:ascii="仿宋" w:hAnsi="仿宋" w:eastAsia="仿宋" w:cs="Times New Roman"/>
          <w:kern w:val="28"/>
          <w:sz w:val="24"/>
          <w:szCs w:val="24"/>
        </w:rPr>
        <w:t>（1）合同签订并收到中标供应商提供的等额预付款保函，采购人支付合同价款的25%；（2）设备安装调试完毕且验收合格正常能使用后一次性付清剩余合同价款。</w:t>
      </w:r>
    </w:p>
    <w:p>
      <w:pPr>
        <w:spacing w:line="560" w:lineRule="exact"/>
        <w:ind w:firstLine="480" w:firstLineChars="200"/>
        <w:rPr>
          <w:rFonts w:hint="eastAsia" w:ascii="仿宋" w:hAnsi="仿宋" w:eastAsia="仿宋" w:cs="Times New Roman"/>
          <w:kern w:val="28"/>
          <w:sz w:val="24"/>
          <w:szCs w:val="24"/>
        </w:rPr>
      </w:pPr>
      <w:r>
        <w:rPr>
          <w:rFonts w:hint="eastAsia" w:ascii="仿宋" w:hAnsi="仿宋" w:eastAsia="仿宋" w:cs="Times New Roman"/>
          <w:kern w:val="28"/>
          <w:sz w:val="24"/>
          <w:szCs w:val="24"/>
        </w:rPr>
        <w:t>注：（1）本项目为教育贴息贷款更新教育装备采购项目，执行政府采购预付款制度，同时要求中标供应商提供预付款保函。（2）付款前中标供应商须按要求开具正规的发票。（3）预付款保函形式：银行保函。（4）预付款保函递交要求：银行保函将原件交至招标人保管。</w:t>
      </w:r>
    </w:p>
    <w:p>
      <w:pPr>
        <w:ind w:firstLine="482" w:firstLineChars="200"/>
        <w:rPr>
          <w:rFonts w:ascii="黑体" w:hAnsi="黑体" w:eastAsia="黑体"/>
          <w:b/>
          <w:kern w:val="28"/>
          <w:sz w:val="24"/>
          <w:szCs w:val="24"/>
        </w:rPr>
      </w:pPr>
      <w:r>
        <w:rPr>
          <w:rFonts w:hint="eastAsia" w:ascii="黑体" w:hAnsi="黑体" w:eastAsia="黑体"/>
          <w:b/>
          <w:kern w:val="28"/>
          <w:sz w:val="24"/>
          <w:szCs w:val="24"/>
        </w:rPr>
        <w:t>七、售后服务</w:t>
      </w:r>
    </w:p>
    <w:p>
      <w:pPr>
        <w:spacing w:beforeAutospacing="0" w:afterAutospacing="0" w:line="560" w:lineRule="exact"/>
        <w:ind w:firstLine="480" w:firstLineChars="200"/>
        <w:rPr>
          <w:rFonts w:ascii="仿宋" w:hAnsi="仿宋" w:eastAsia="仿宋"/>
          <w:kern w:val="28"/>
          <w:sz w:val="24"/>
          <w:szCs w:val="24"/>
        </w:rPr>
      </w:pPr>
      <w:r>
        <w:rPr>
          <w:rFonts w:hint="eastAsia" w:ascii="宋体" w:hAnsi="宋体" w:eastAsia="仿宋_GB2312"/>
          <w:kern w:val="28"/>
          <w:sz w:val="24"/>
          <w:szCs w:val="24"/>
        </w:rPr>
        <w:t>（一）</w:t>
      </w:r>
      <w:r>
        <w:rPr>
          <w:rFonts w:hint="eastAsia" w:ascii="仿宋" w:hAnsi="仿宋" w:eastAsia="仿宋"/>
          <w:kern w:val="28"/>
          <w:sz w:val="24"/>
          <w:szCs w:val="24"/>
        </w:rPr>
        <w:t xml:space="preserve">卖方对合同货物的质量保修期为验收证书签署之日起 </w:t>
      </w:r>
      <w:r>
        <w:rPr>
          <w:rFonts w:hint="eastAsia" w:ascii="仿宋" w:hAnsi="仿宋" w:eastAsia="仿宋"/>
          <w:kern w:val="28"/>
          <w:sz w:val="24"/>
          <w:szCs w:val="24"/>
          <w:u w:val="single"/>
        </w:rPr>
        <w:t>36</w:t>
      </w:r>
      <w:r>
        <w:rPr>
          <w:rFonts w:hint="eastAsia" w:ascii="仿宋" w:hAnsi="仿宋" w:eastAsia="仿宋"/>
          <w:kern w:val="28"/>
          <w:sz w:val="24"/>
          <w:szCs w:val="24"/>
        </w:rPr>
        <w:t>个月。</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 xml:space="preserve">（二）卖方在合同货物的质量保修期内，免费为买方提供合同货物的技术指导和维修服务服务的时间是：每周 </w:t>
      </w:r>
      <w:r>
        <w:rPr>
          <w:rFonts w:hint="eastAsia" w:ascii="仿宋" w:hAnsi="仿宋" w:eastAsia="仿宋"/>
          <w:kern w:val="28"/>
          <w:sz w:val="24"/>
          <w:szCs w:val="24"/>
          <w:u w:val="single"/>
        </w:rPr>
        <w:t>5</w:t>
      </w:r>
      <w:r>
        <w:rPr>
          <w:rFonts w:hint="eastAsia" w:ascii="仿宋" w:hAnsi="仿宋" w:eastAsia="仿宋"/>
          <w:kern w:val="28"/>
          <w:sz w:val="24"/>
          <w:szCs w:val="24"/>
        </w:rPr>
        <w:t>天</w:t>
      </w:r>
      <w:r>
        <w:rPr>
          <w:rFonts w:hint="eastAsia" w:ascii="仿宋" w:hAnsi="仿宋" w:eastAsia="仿宋"/>
          <w:kern w:val="28"/>
          <w:sz w:val="24"/>
          <w:szCs w:val="24"/>
          <w:u w:val="single"/>
        </w:rPr>
        <w:t>8</w:t>
      </w:r>
      <w:r>
        <w:rPr>
          <w:rFonts w:hint="eastAsia" w:ascii="仿宋" w:hAnsi="仿宋" w:eastAsia="仿宋"/>
          <w:kern w:val="28"/>
          <w:sz w:val="24"/>
          <w:szCs w:val="24"/>
        </w:rPr>
        <w:t>小时（工作时间）。</w:t>
      </w:r>
    </w:p>
    <w:p>
      <w:pPr>
        <w:spacing w:beforeAutospacing="0" w:afterAutospacing="0" w:line="560" w:lineRule="exact"/>
        <w:ind w:firstLine="480" w:firstLineChars="200"/>
        <w:rPr>
          <w:rFonts w:ascii="宋体" w:hAnsi="宋体" w:eastAsia="仿宋_GB2312"/>
          <w:kern w:val="28"/>
          <w:sz w:val="24"/>
          <w:szCs w:val="24"/>
        </w:rPr>
      </w:pPr>
      <w:r>
        <w:rPr>
          <w:rFonts w:hint="eastAsia" w:ascii="宋体" w:hAnsi="宋体" w:eastAsia="仿宋_GB2312"/>
          <w:kern w:val="28"/>
          <w:sz w:val="24"/>
          <w:szCs w:val="24"/>
        </w:rPr>
        <w:t>（三）卖方保证在合同货物出现故障和缺陷时，或接到买方提出的技术服务要求后</w:t>
      </w:r>
      <w:r>
        <w:rPr>
          <w:rFonts w:hint="eastAsia" w:ascii="宋体" w:hAnsi="宋体" w:eastAsia="仿宋_GB2312"/>
          <w:kern w:val="28"/>
          <w:sz w:val="24"/>
          <w:szCs w:val="24"/>
          <w:u w:val="single"/>
        </w:rPr>
        <w:t>2</w:t>
      </w:r>
      <w:r>
        <w:rPr>
          <w:rFonts w:hint="eastAsia" w:ascii="宋体" w:hAnsi="宋体" w:eastAsia="仿宋_GB2312"/>
          <w:kern w:val="28"/>
          <w:sz w:val="24"/>
          <w:szCs w:val="24"/>
        </w:rPr>
        <w:t>小时内予以答复，如买方有要求或必要时，卖方应在接到买方通知后</w:t>
      </w:r>
      <w:r>
        <w:rPr>
          <w:rFonts w:hint="eastAsia" w:ascii="宋体" w:hAnsi="宋体" w:eastAsia="仿宋_GB2312"/>
          <w:kern w:val="28"/>
          <w:sz w:val="24"/>
          <w:szCs w:val="24"/>
          <w:u w:val="single"/>
        </w:rPr>
        <w:t>24</w:t>
      </w:r>
      <w:r>
        <w:rPr>
          <w:rFonts w:hint="eastAsia" w:ascii="宋体" w:hAnsi="宋体" w:eastAsia="仿宋_GB2312"/>
          <w:kern w:val="28"/>
          <w:sz w:val="24"/>
          <w:szCs w:val="24"/>
        </w:rPr>
        <w:t>小时内派员至买方免费维修和提供现场指导。</w:t>
      </w:r>
    </w:p>
    <w:p>
      <w:pPr>
        <w:spacing w:beforeAutospacing="0" w:afterAutospacing="0" w:line="560" w:lineRule="exact"/>
        <w:ind w:firstLine="480" w:firstLineChars="200"/>
        <w:rPr>
          <w:rFonts w:ascii="宋体" w:hAnsi="宋体" w:eastAsia="仿宋_GB2312"/>
          <w:kern w:val="28"/>
          <w:sz w:val="24"/>
          <w:szCs w:val="24"/>
        </w:rPr>
      </w:pPr>
      <w:r>
        <w:rPr>
          <w:rFonts w:hint="eastAsia" w:ascii="宋体" w:hAnsi="宋体" w:eastAsia="仿宋_GB2312"/>
          <w:kern w:val="28"/>
          <w:sz w:val="24"/>
          <w:szCs w:val="24"/>
        </w:rPr>
        <w:t>（四）如卖方在接到买方维修通知后</w:t>
      </w:r>
      <w:r>
        <w:rPr>
          <w:rFonts w:hint="eastAsia" w:ascii="宋体" w:hAnsi="宋体" w:eastAsia="仿宋_GB2312"/>
          <w:kern w:val="28"/>
          <w:sz w:val="24"/>
          <w:szCs w:val="24"/>
          <w:u w:val="single"/>
        </w:rPr>
        <w:t>48</w:t>
      </w:r>
      <w:r>
        <w:rPr>
          <w:rFonts w:hint="eastAsia" w:ascii="宋体" w:hAnsi="宋体" w:eastAsia="仿宋_GB2312"/>
          <w:kern w:val="28"/>
          <w:sz w:val="24"/>
          <w:szCs w:val="24"/>
        </w:rPr>
        <w:t>小时仍不能修复有关货物，卖方应提供与该货物同一型号的备用货物。</w:t>
      </w:r>
    </w:p>
    <w:p>
      <w:pPr>
        <w:spacing w:beforeAutospacing="0" w:afterAutospacing="0" w:line="560" w:lineRule="exact"/>
        <w:ind w:firstLine="480" w:firstLineChars="200"/>
        <w:rPr>
          <w:rFonts w:ascii="宋体" w:hAnsi="宋体" w:eastAsia="仿宋_GB2312"/>
          <w:kern w:val="28"/>
          <w:sz w:val="24"/>
          <w:szCs w:val="24"/>
        </w:rPr>
      </w:pPr>
      <w:r>
        <w:rPr>
          <w:rFonts w:hint="eastAsia" w:ascii="宋体" w:hAnsi="宋体" w:eastAsia="仿宋_GB2312"/>
          <w:kern w:val="28"/>
          <w:sz w:val="24"/>
          <w:szCs w:val="24"/>
        </w:rPr>
        <w:t>（五）如卖方在接到买方提出的技术服务要求或维修通知后</w:t>
      </w:r>
      <w:r>
        <w:rPr>
          <w:rFonts w:hint="eastAsia" w:ascii="宋体" w:hAnsi="宋体" w:eastAsia="仿宋_GB2312"/>
          <w:kern w:val="28"/>
          <w:sz w:val="24"/>
          <w:szCs w:val="24"/>
          <w:u w:val="single"/>
        </w:rPr>
        <w:t>48</w:t>
      </w:r>
      <w:r>
        <w:rPr>
          <w:rFonts w:hint="eastAsia" w:ascii="宋体" w:hAnsi="宋体" w:eastAsia="仿宋_GB2312"/>
          <w:kern w:val="28"/>
          <w:sz w:val="24"/>
          <w:szCs w:val="24"/>
        </w:rPr>
        <w:t>小时内没有响应、拒绝或没有派员到达买方提供技术服务、修理或退换货物，买方有权委托第三方对合同货物进行维修或提供技术服务，因此产生的相关费用由卖方承担。</w:t>
      </w:r>
    </w:p>
    <w:p>
      <w:pPr>
        <w:spacing w:beforeAutospacing="0" w:after="120" w:afterLines="50" w:afterAutospacing="0" w:line="560" w:lineRule="exact"/>
        <w:ind w:firstLine="480" w:firstLineChars="200"/>
        <w:rPr>
          <w:rFonts w:ascii="宋体" w:hAnsi="宋体" w:eastAsia="仿宋_GB2312"/>
          <w:kern w:val="28"/>
          <w:sz w:val="24"/>
          <w:szCs w:val="24"/>
        </w:rPr>
      </w:pPr>
      <w:r>
        <w:rPr>
          <w:rFonts w:hint="eastAsia" w:ascii="宋体" w:hAnsi="宋体" w:eastAsia="仿宋_GB2312"/>
          <w:kern w:val="28"/>
          <w:sz w:val="24"/>
          <w:szCs w:val="24"/>
        </w:rPr>
        <w:t>（六）在合同货物保修期届满后，如果因合同货物硬件或软件的固有缺陷和瑕疵出现紧急故障和事故，卖方应在接到买方通知之后 24 小时内到达现场。</w:t>
      </w:r>
    </w:p>
    <w:p>
      <w:pPr>
        <w:ind w:firstLine="482" w:firstLineChars="200"/>
        <w:rPr>
          <w:rFonts w:ascii="黑体" w:hAnsi="黑体" w:eastAsia="黑体"/>
          <w:b/>
          <w:kern w:val="28"/>
          <w:sz w:val="24"/>
          <w:szCs w:val="24"/>
        </w:rPr>
      </w:pPr>
      <w:r>
        <w:rPr>
          <w:rFonts w:hint="eastAsia" w:ascii="黑体" w:hAnsi="黑体" w:eastAsia="黑体"/>
          <w:b/>
          <w:kern w:val="28"/>
          <w:sz w:val="24"/>
          <w:szCs w:val="24"/>
        </w:rPr>
        <w:t>八、履约保证金</w:t>
      </w:r>
    </w:p>
    <w:p>
      <w:pPr>
        <w:spacing w:beforeAutospacing="0" w:after="120" w:afterLines="5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本项目履约保证金为¥元(人民币大写：)，收受人为</w:t>
      </w:r>
      <w:r>
        <w:rPr>
          <w:rFonts w:hint="eastAsia" w:ascii="仿宋" w:hAnsi="仿宋" w:eastAsia="仿宋"/>
          <w:kern w:val="28"/>
          <w:sz w:val="24"/>
          <w:szCs w:val="24"/>
          <w:u w:val="single"/>
        </w:rPr>
        <w:t>皖南医学院</w:t>
      </w:r>
      <w:r>
        <w:rPr>
          <w:rFonts w:hint="eastAsia" w:ascii="仿宋" w:hAnsi="仿宋" w:eastAsia="仿宋"/>
          <w:kern w:val="28"/>
          <w:sz w:val="24"/>
          <w:szCs w:val="24"/>
        </w:rPr>
        <w:t>，期限为验收合格后</w:t>
      </w:r>
      <w:r>
        <w:rPr>
          <w:rFonts w:hint="eastAsia" w:ascii="仿宋" w:hAnsi="仿宋" w:eastAsia="仿宋"/>
          <w:kern w:val="28"/>
          <w:sz w:val="24"/>
          <w:szCs w:val="24"/>
          <w:u w:val="single"/>
        </w:rPr>
        <w:t xml:space="preserve"> 12个月 </w:t>
      </w:r>
      <w:r>
        <w:rPr>
          <w:rFonts w:hint="eastAsia" w:ascii="仿宋" w:hAnsi="仿宋" w:eastAsia="仿宋"/>
          <w:kern w:val="28"/>
          <w:sz w:val="24"/>
          <w:szCs w:val="24"/>
        </w:rPr>
        <w:t>。如卖方</w:t>
      </w:r>
      <w:r>
        <w:rPr>
          <w:rFonts w:hint="eastAsia" w:ascii="仿宋" w:hAnsi="仿宋" w:eastAsia="仿宋"/>
          <w:color w:val="000000"/>
          <w:kern w:val="28"/>
          <w:sz w:val="24"/>
          <w:szCs w:val="24"/>
        </w:rPr>
        <w:t>未能按期履行合同，买方可从履约保证金中获得经济上的赔偿。</w:t>
      </w:r>
    </w:p>
    <w:p>
      <w:pPr>
        <w:ind w:firstLine="482" w:firstLineChars="200"/>
        <w:rPr>
          <w:rFonts w:ascii="黑体" w:hAnsi="黑体" w:eastAsia="黑体"/>
          <w:b/>
          <w:kern w:val="28"/>
          <w:sz w:val="24"/>
          <w:szCs w:val="24"/>
        </w:rPr>
      </w:pPr>
      <w:r>
        <w:rPr>
          <w:rFonts w:hint="eastAsia" w:ascii="黑体" w:hAnsi="黑体" w:eastAsia="黑体"/>
          <w:b/>
          <w:kern w:val="28"/>
          <w:sz w:val="24"/>
          <w:szCs w:val="24"/>
        </w:rPr>
        <w:t>九、违约责任</w:t>
      </w:r>
    </w:p>
    <w:p>
      <w:pPr>
        <w:spacing w:beforeAutospacing="0" w:afterAutospacing="0" w:line="560" w:lineRule="exact"/>
        <w:ind w:firstLine="480" w:firstLineChars="200"/>
        <w:rPr>
          <w:rFonts w:ascii="仿宋" w:hAnsi="仿宋" w:eastAsia="仿宋"/>
          <w:color w:val="000000"/>
          <w:kern w:val="28"/>
          <w:sz w:val="24"/>
          <w:szCs w:val="24"/>
        </w:rPr>
      </w:pPr>
      <w:r>
        <w:rPr>
          <w:rFonts w:hint="eastAsia" w:ascii="仿宋" w:hAnsi="仿宋" w:eastAsia="仿宋"/>
          <w:kern w:val="28"/>
          <w:sz w:val="24"/>
          <w:szCs w:val="24"/>
        </w:rPr>
        <w:t>（一）卖方供货期超过合同约定供货期限。</w:t>
      </w:r>
      <w:r>
        <w:rPr>
          <w:rFonts w:hint="eastAsia" w:ascii="仿宋" w:hAnsi="仿宋" w:eastAsia="仿宋"/>
          <w:color w:val="000000"/>
          <w:kern w:val="28"/>
          <w:sz w:val="24"/>
          <w:szCs w:val="24"/>
        </w:rPr>
        <w:t>如果卖方由于自身的原因未能按期履行完合同，买方可从履约保证金中获得经济上的赔偿。其标准为按每延期一周收取合同金额的</w:t>
      </w:r>
      <w:r>
        <w:rPr>
          <w:rFonts w:hint="eastAsia" w:ascii="仿宋" w:hAnsi="仿宋" w:eastAsia="仿宋"/>
          <w:color w:val="000000"/>
          <w:kern w:val="28"/>
          <w:sz w:val="24"/>
          <w:szCs w:val="24"/>
          <w:u w:val="single"/>
        </w:rPr>
        <w:t xml:space="preserve"> 0.5 </w:t>
      </w:r>
      <w:r>
        <w:rPr>
          <w:rFonts w:hint="eastAsia" w:ascii="仿宋" w:hAnsi="仿宋" w:eastAsia="仿宋"/>
          <w:color w:val="000000"/>
          <w:kern w:val="28"/>
          <w:sz w:val="24"/>
          <w:szCs w:val="24"/>
        </w:rPr>
        <w:t>%，但误期赔偿费总额不得超过履约保证金总额。一周按7天计算，不足7天按一周计算。在此情况下，卖方不得要求买方退还其履约保证金。</w:t>
      </w:r>
    </w:p>
    <w:p>
      <w:pPr>
        <w:spacing w:beforeAutospacing="0" w:afterAutospacing="0" w:line="560" w:lineRule="exact"/>
        <w:ind w:firstLine="480" w:firstLineChars="200"/>
        <w:rPr>
          <w:rFonts w:ascii="仿宋" w:hAnsi="仿宋" w:eastAsia="仿宋"/>
          <w:kern w:val="28"/>
          <w:sz w:val="24"/>
        </w:rPr>
      </w:pPr>
      <w:r>
        <w:rPr>
          <w:rFonts w:hint="eastAsia" w:ascii="仿宋" w:hAnsi="仿宋" w:eastAsia="仿宋"/>
          <w:kern w:val="28"/>
          <w:sz w:val="24"/>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spacing w:beforeAutospacing="0" w:afterAutospacing="0" w:line="560" w:lineRule="exact"/>
        <w:ind w:firstLine="480" w:firstLineChars="200"/>
        <w:rPr>
          <w:rFonts w:ascii="仿宋" w:hAnsi="仿宋" w:eastAsia="仿宋"/>
          <w:color w:val="000000"/>
          <w:kern w:val="28"/>
          <w:sz w:val="24"/>
          <w:szCs w:val="24"/>
        </w:rPr>
      </w:pPr>
      <w:r>
        <w:rPr>
          <w:rFonts w:hint="eastAsia" w:ascii="仿宋" w:hAnsi="仿宋" w:eastAsia="仿宋"/>
          <w:kern w:val="28"/>
          <w:sz w:val="24"/>
        </w:rPr>
        <w:t>（三）卖方交货不符合合同质量标准，卖方必须重新提供符合质量标准的产品，由此造成的误期</w:t>
      </w:r>
      <w:r>
        <w:rPr>
          <w:rFonts w:hint="eastAsia" w:ascii="仿宋" w:hAnsi="仿宋" w:eastAsia="仿宋"/>
          <w:color w:val="000000"/>
          <w:kern w:val="28"/>
          <w:sz w:val="24"/>
        </w:rPr>
        <w:t>赔偿费按照</w:t>
      </w:r>
      <w:r>
        <w:rPr>
          <w:rFonts w:hint="eastAsia" w:ascii="仿宋" w:hAnsi="仿宋" w:eastAsia="仿宋"/>
          <w:kern w:val="28"/>
          <w:sz w:val="24"/>
        </w:rPr>
        <w:t>前款约定</w:t>
      </w:r>
      <w:r>
        <w:rPr>
          <w:rFonts w:hint="eastAsia" w:ascii="仿宋" w:hAnsi="仿宋" w:eastAsia="仿宋"/>
          <w:color w:val="000000"/>
          <w:kern w:val="28"/>
          <w:sz w:val="24"/>
        </w:rPr>
        <w:t>执行。如卖方在买方规定的时间内未能提供符合质量标准的产品，买方有权终止合同，没收履约保证金，</w:t>
      </w:r>
      <w:r>
        <w:rPr>
          <w:rFonts w:hint="eastAsia" w:ascii="仿宋" w:hAnsi="仿宋" w:eastAsia="仿宋"/>
          <w:kern w:val="28"/>
          <w:sz w:val="24"/>
        </w:rPr>
        <w:t>提请政府采购监管部门将卖方列入不良行为记录名单，在一至三年内禁止参加政府采购活动。</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（四）卖方将合同转包，提供假冒伪劣产品，擅自变更、中止或者终止合同的，买方有权终止合同，并提请政府采购监管部门对卖方进行采购金额千分之五的罚款，列入不良行为记录名单，在</w:t>
      </w:r>
      <w:r>
        <w:rPr>
          <w:rFonts w:hint="eastAsia" w:ascii="Times New Roman" w:hAnsi="Times New Roman" w:eastAsia="仿宋_GB2312"/>
          <w:kern w:val="28"/>
          <w:sz w:val="24"/>
        </w:rPr>
        <w:t>一至三年</w:t>
      </w:r>
      <w:r>
        <w:rPr>
          <w:rFonts w:hint="eastAsia" w:ascii="仿宋" w:hAnsi="仿宋" w:eastAsia="仿宋"/>
          <w:kern w:val="28"/>
          <w:sz w:val="24"/>
          <w:szCs w:val="24"/>
        </w:rPr>
        <w:t>内禁止参加政府采购活动。</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（五）买方未能按时组织验收，由财政部门责令限期改正，给予警告，对直接负责的主管人员和其他直接责任人员，由其行政主管部门给予处分，并予通报。</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（六）买方违反合同规定拒绝接收货物的，应当承担由此造成的损失。</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（七）验收合格后，买方未能按时提请付款，由财政部门责令限期改正，给予警告。</w:t>
      </w:r>
    </w:p>
    <w:p>
      <w:pPr>
        <w:spacing w:beforeAutospacing="0" w:afterAutospacing="0" w:line="560" w:lineRule="exact"/>
        <w:ind w:firstLine="480" w:firstLineChars="200"/>
        <w:rPr>
          <w:rFonts w:ascii="仿宋" w:hAnsi="仿宋" w:eastAsia="仿宋"/>
          <w:kern w:val="28"/>
          <w:sz w:val="24"/>
        </w:rPr>
      </w:pPr>
      <w:r>
        <w:rPr>
          <w:rFonts w:hint="eastAsia" w:ascii="仿宋" w:hAnsi="仿宋" w:eastAsia="仿宋"/>
          <w:kern w:val="28"/>
          <w:sz w:val="24"/>
        </w:rPr>
        <w:t>（八）买方擅自变更、中止或者终止合同，由财政部门责令限期改正，给予警告，对直接负责的主管人员和其他直接责任人员，由其行政主管部门给予处分，并予通报。</w:t>
      </w:r>
    </w:p>
    <w:p>
      <w:pPr>
        <w:spacing w:before="120" w:beforeLines="50" w:beforeAutospacing="0" w:afterAutospacing="0"/>
        <w:ind w:firstLine="482" w:firstLineChars="200"/>
        <w:rPr>
          <w:rFonts w:ascii="黑体" w:hAnsi="黑体" w:eastAsia="黑体"/>
          <w:b/>
          <w:kern w:val="28"/>
          <w:sz w:val="24"/>
        </w:rPr>
      </w:pPr>
      <w:r>
        <w:rPr>
          <w:rFonts w:hint="eastAsia" w:ascii="黑体" w:hAnsi="黑体" w:eastAsia="黑体"/>
          <w:b/>
          <w:kern w:val="28"/>
          <w:sz w:val="24"/>
        </w:rPr>
        <w:t>十、签约地点</w:t>
      </w:r>
    </w:p>
    <w:p>
      <w:pPr>
        <w:spacing w:beforeAutospacing="0" w:afterAutospacing="0" w:line="560" w:lineRule="exact"/>
        <w:ind w:firstLine="560" w:firstLineChars="200"/>
        <w:rPr>
          <w:rFonts w:ascii="仿宋" w:hAnsi="仿宋" w:eastAsia="仿宋"/>
          <w:bCs/>
          <w:color w:val="000000"/>
          <w:kern w:val="28"/>
          <w:sz w:val="28"/>
          <w:szCs w:val="28"/>
        </w:rPr>
      </w:pPr>
      <w:r>
        <w:rPr>
          <w:rFonts w:hint="eastAsia" w:ascii="仿宋" w:hAnsi="仿宋" w:eastAsia="仿宋"/>
          <w:bCs/>
          <w:color w:val="000000"/>
          <w:kern w:val="28"/>
          <w:sz w:val="28"/>
          <w:szCs w:val="28"/>
        </w:rPr>
        <w:t>本合同在签订。</w:t>
      </w:r>
    </w:p>
    <w:p>
      <w:pPr>
        <w:spacing w:before="120" w:beforeLines="50" w:beforeAutospacing="0" w:afterAutospacing="0"/>
        <w:ind w:firstLine="482" w:firstLineChars="200"/>
        <w:rPr>
          <w:rFonts w:ascii="黑体" w:hAnsi="黑体" w:eastAsia="黑体"/>
          <w:b/>
          <w:kern w:val="28"/>
          <w:sz w:val="24"/>
        </w:rPr>
      </w:pPr>
      <w:r>
        <w:rPr>
          <w:rFonts w:hint="eastAsia" w:ascii="黑体" w:hAnsi="黑体" w:eastAsia="黑体"/>
          <w:b/>
          <w:kern w:val="28"/>
          <w:sz w:val="24"/>
        </w:rPr>
        <w:t>十一、合同的终止</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（一）本合同因下列原因而终止：</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1.本合同正常履行完毕；</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2.合同双方协议终止本合同的履行；</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3.不可抗力事件导致本合同无法履行或履行不必要；</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4.符合本合同约定的其他终止合同的条款。</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（二）对本合同终止有过错的一方应赔偿另一方因合同终止而受到的损失。对合同终止双方均无过错的，则各自承担所受到的损失。</w:t>
      </w:r>
    </w:p>
    <w:p>
      <w:pPr>
        <w:spacing w:before="120" w:beforeLines="50" w:beforeAutospacing="0" w:afterAutospacing="0"/>
        <w:ind w:firstLine="562" w:firstLineChars="200"/>
        <w:rPr>
          <w:rFonts w:ascii="黑体" w:hAnsi="黑体" w:eastAsia="黑体"/>
          <w:b/>
          <w:kern w:val="28"/>
          <w:sz w:val="24"/>
          <w:szCs w:val="24"/>
        </w:rPr>
      </w:pPr>
      <w:r>
        <w:rPr>
          <w:rFonts w:hint="eastAsia" w:ascii="黑体" w:hAnsi="黑体" w:eastAsia="黑体"/>
          <w:b/>
          <w:bCs/>
          <w:color w:val="000000"/>
          <w:kern w:val="28"/>
          <w:sz w:val="28"/>
          <w:szCs w:val="28"/>
        </w:rPr>
        <w:t>十二、</w:t>
      </w:r>
      <w:r>
        <w:rPr>
          <w:rFonts w:hint="eastAsia" w:ascii="黑体" w:hAnsi="黑体" w:eastAsia="黑体"/>
          <w:b/>
          <w:kern w:val="28"/>
          <w:sz w:val="24"/>
          <w:szCs w:val="24"/>
        </w:rPr>
        <w:t>其他</w:t>
      </w:r>
    </w:p>
    <w:p>
      <w:pPr>
        <w:spacing w:beforeAutospacing="0" w:afterAutospacing="0" w:line="560" w:lineRule="exact"/>
        <w:ind w:firstLine="480" w:firstLineChars="200"/>
        <w:rPr>
          <w:rFonts w:ascii="仿宋" w:hAnsi="仿宋" w:eastAsia="仿宋"/>
          <w:kern w:val="28"/>
          <w:sz w:val="24"/>
          <w:szCs w:val="24"/>
        </w:rPr>
      </w:pPr>
      <w:r>
        <w:rPr>
          <w:rFonts w:hint="eastAsia" w:ascii="仿宋" w:hAnsi="仿宋" w:eastAsia="仿宋"/>
          <w:kern w:val="28"/>
          <w:sz w:val="24"/>
          <w:szCs w:val="24"/>
        </w:rPr>
        <w:t>（一）买卖双方必须严格按照采购文件、投标文件及有关承诺签订采购合同，不得擅自变更。合同执行期内，买卖双方均不得随意变更或解除合同。</w:t>
      </w:r>
    </w:p>
    <w:p>
      <w:pPr>
        <w:widowControl/>
        <w:spacing w:beforeAutospacing="0" w:afterAutospacing="0" w:line="56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（二）本合同执行期间，如遇不可抗力，致使合同无法履行时，买卖双方应按有关法律规定及时协商处理。</w:t>
      </w:r>
    </w:p>
    <w:p>
      <w:pPr>
        <w:spacing w:beforeAutospacing="0" w:afterAutospacing="0" w:line="560" w:lineRule="exact"/>
        <w:ind w:firstLine="480" w:firstLineChars="200"/>
        <w:rPr>
          <w:rFonts w:ascii="仿宋" w:hAnsi="仿宋" w:eastAsia="仿宋"/>
          <w:b/>
          <w:bCs/>
          <w:color w:val="000000"/>
          <w:kern w:val="28"/>
          <w:sz w:val="24"/>
          <w:szCs w:val="24"/>
        </w:rPr>
      </w:pPr>
      <w:r>
        <w:rPr>
          <w:rFonts w:hint="eastAsia" w:ascii="仿宋" w:hAnsi="仿宋" w:eastAsia="仿宋"/>
          <w:bCs/>
          <w:color w:val="000000"/>
          <w:kern w:val="28"/>
          <w:sz w:val="24"/>
          <w:szCs w:val="24"/>
        </w:rPr>
        <w:t>（三）合同未尽事宜，</w:t>
      </w:r>
      <w:r>
        <w:rPr>
          <w:rFonts w:hint="eastAsia" w:ascii="仿宋" w:hAnsi="仿宋" w:eastAsia="仿宋"/>
          <w:kern w:val="28"/>
          <w:sz w:val="24"/>
          <w:szCs w:val="24"/>
        </w:rPr>
        <w:t>买卖双方</w:t>
      </w:r>
      <w:r>
        <w:rPr>
          <w:rFonts w:hint="eastAsia" w:ascii="仿宋" w:hAnsi="仿宋" w:eastAsia="仿宋"/>
          <w:bCs/>
          <w:color w:val="000000"/>
          <w:kern w:val="28"/>
          <w:sz w:val="24"/>
          <w:szCs w:val="24"/>
        </w:rPr>
        <w:t>另行签订补充协议，补充协议是合同的组成部分。</w:t>
      </w:r>
    </w:p>
    <w:p>
      <w:pPr>
        <w:widowControl/>
        <w:spacing w:beforeAutospacing="0" w:afterAutospacing="0" w:line="56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（四）本合同如发生纠纷，买卖双方应当及时协商解决，协商不成时，按以下第（2）项方式处理：（1）根据《中华人民共和国仲裁法》的规定向</w:t>
      </w:r>
      <w:r>
        <w:rPr>
          <w:rFonts w:hint="eastAsia" w:ascii="仿宋" w:hAnsi="仿宋" w:eastAsia="仿宋" w:cs="宋体"/>
          <w:kern w:val="0"/>
          <w:sz w:val="24"/>
          <w:szCs w:val="24"/>
          <w:u w:val="single"/>
        </w:rPr>
        <w:t>芜湖仲裁委员会</w:t>
      </w:r>
      <w:r>
        <w:rPr>
          <w:rFonts w:hint="eastAsia" w:ascii="仿宋" w:hAnsi="仿宋" w:eastAsia="仿宋" w:cs="宋体"/>
          <w:kern w:val="0"/>
          <w:sz w:val="24"/>
          <w:szCs w:val="24"/>
        </w:rPr>
        <w:t>申请仲裁。（2）向</w:t>
      </w:r>
      <w:r>
        <w:rPr>
          <w:rFonts w:hint="eastAsia" w:ascii="仿宋" w:hAnsi="仿宋" w:eastAsia="仿宋" w:cs="宋体"/>
          <w:kern w:val="0"/>
          <w:sz w:val="24"/>
          <w:szCs w:val="24"/>
          <w:u w:val="single"/>
        </w:rPr>
        <w:t xml:space="preserve">  芜湖市 </w:t>
      </w:r>
      <w:r>
        <w:rPr>
          <w:rFonts w:hint="eastAsia" w:ascii="仿宋" w:hAnsi="仿宋" w:eastAsia="仿宋" w:cs="宋体"/>
          <w:kern w:val="0"/>
          <w:sz w:val="24"/>
          <w:szCs w:val="24"/>
        </w:rPr>
        <w:t>人民法院起诉。</w:t>
      </w:r>
    </w:p>
    <w:p>
      <w:pPr>
        <w:widowControl/>
        <w:spacing w:beforeAutospacing="0" w:afterAutospacing="0" w:line="560" w:lineRule="exact"/>
        <w:ind w:firstLine="480" w:firstLineChars="200"/>
        <w:jc w:val="left"/>
        <w:rPr>
          <w:rFonts w:ascii="仿宋" w:hAnsi="仿宋" w:eastAsia="仿宋" w:cs="宋体"/>
          <w:kern w:val="0"/>
          <w:sz w:val="24"/>
          <w:szCs w:val="24"/>
        </w:rPr>
      </w:pPr>
      <w:r>
        <w:rPr>
          <w:rFonts w:hint="eastAsia" w:ascii="仿宋" w:hAnsi="仿宋" w:eastAsia="仿宋"/>
          <w:kern w:val="28"/>
          <w:sz w:val="24"/>
          <w:szCs w:val="24"/>
        </w:rPr>
        <w:t>本合同一式陆份，自买卖双方法定代表人或委托代理人和见证方签字加盖单位公章后生效。</w:t>
      </w:r>
    </w:p>
    <w:p>
      <w:pPr>
        <w:spacing w:beforeAutospacing="0" w:afterAutospacing="0" w:line="560" w:lineRule="exact"/>
        <w:ind w:right="560"/>
        <w:rPr>
          <w:rFonts w:ascii="仿宋" w:hAnsi="仿宋" w:eastAsia="仿宋"/>
          <w:kern w:val="28"/>
          <w:sz w:val="24"/>
          <w:szCs w:val="24"/>
        </w:rPr>
      </w:pPr>
    </w:p>
    <w:p>
      <w:pPr>
        <w:spacing w:beforeAutospacing="0" w:afterAutospacing="0" w:line="560" w:lineRule="exact"/>
        <w:ind w:right="560"/>
        <w:rPr>
          <w:rFonts w:ascii="仿宋" w:hAnsi="仿宋" w:eastAsia="仿宋"/>
          <w:kern w:val="28"/>
          <w:sz w:val="24"/>
          <w:szCs w:val="24"/>
        </w:rPr>
      </w:pPr>
    </w:p>
    <w:p>
      <w:pPr>
        <w:spacing w:beforeAutospacing="0" w:afterAutospacing="0" w:line="560" w:lineRule="exact"/>
        <w:ind w:left="4920" w:hanging="4920" w:hangingChars="2050"/>
        <w:rPr>
          <w:rFonts w:ascii="仿宋" w:hAnsi="仿宋" w:eastAsia="仿宋"/>
          <w:kern w:val="28"/>
          <w:sz w:val="24"/>
          <w:szCs w:val="24"/>
        </w:rPr>
      </w:pPr>
      <w:r>
        <w:rPr>
          <w:rFonts w:hint="eastAsia" w:ascii="仿宋" w:hAnsi="仿宋" w:eastAsia="仿宋"/>
          <w:kern w:val="28"/>
          <w:sz w:val="24"/>
          <w:szCs w:val="24"/>
        </w:rPr>
        <w:t xml:space="preserve">买 方：                       卖 方： </w:t>
      </w:r>
    </w:p>
    <w:p>
      <w:pPr>
        <w:spacing w:beforeAutospacing="0" w:afterAutospacing="0" w:line="560" w:lineRule="exact"/>
        <w:ind w:right="560"/>
        <w:rPr>
          <w:rFonts w:ascii="仿宋" w:hAnsi="仿宋" w:eastAsia="仿宋"/>
          <w:kern w:val="28"/>
          <w:sz w:val="24"/>
          <w:szCs w:val="24"/>
        </w:rPr>
      </w:pPr>
      <w:r>
        <w:rPr>
          <w:rFonts w:hint="eastAsia" w:ascii="仿宋" w:hAnsi="仿宋" w:eastAsia="仿宋"/>
          <w:kern w:val="28"/>
          <w:sz w:val="24"/>
          <w:szCs w:val="24"/>
        </w:rPr>
        <w:t>单位盖章：                    单位盖章：</w:t>
      </w:r>
    </w:p>
    <w:p>
      <w:p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代表签字：                    代表签字：</w:t>
      </w:r>
    </w:p>
    <w:p>
      <w:p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日    期：                    日    期:</w:t>
      </w:r>
    </w:p>
    <w:p>
      <w:pPr>
        <w:spacing w:beforeAutospacing="0" w:afterAutospacing="0" w:line="560" w:lineRule="exact"/>
        <w:rPr>
          <w:rFonts w:ascii="仿宋" w:hAnsi="仿宋" w:eastAsia="仿宋"/>
          <w:kern w:val="28"/>
          <w:sz w:val="24"/>
          <w:szCs w:val="24"/>
        </w:rPr>
      </w:pPr>
    </w:p>
    <w:p>
      <w:p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见证方:</w:t>
      </w:r>
    </w:p>
    <w:p>
      <w:p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单位盖章：</w:t>
      </w:r>
    </w:p>
    <w:p>
      <w:pPr>
        <w:spacing w:beforeAutospacing="0" w:afterAutospacing="0" w:line="560" w:lineRule="exact"/>
        <w:rPr>
          <w:rFonts w:ascii="仿宋" w:hAnsi="仿宋" w:eastAsia="仿宋"/>
          <w:kern w:val="28"/>
          <w:sz w:val="24"/>
          <w:szCs w:val="24"/>
        </w:rPr>
      </w:pPr>
      <w:r>
        <w:rPr>
          <w:rFonts w:hint="eastAsia" w:ascii="仿宋" w:hAnsi="仿宋" w:eastAsia="仿宋"/>
          <w:kern w:val="28"/>
          <w:sz w:val="24"/>
          <w:szCs w:val="24"/>
        </w:rPr>
        <w:t>代表签字：</w:t>
      </w:r>
    </w:p>
    <w:p>
      <w:pPr>
        <w:spacing w:beforeAutospacing="0" w:afterAutospacing="0" w:line="220" w:lineRule="atLeast"/>
        <w:rPr>
          <w:rFonts w:ascii="仿宋" w:hAnsi="仿宋" w:eastAsia="仿宋"/>
          <w:kern w:val="28"/>
          <w:sz w:val="24"/>
          <w:szCs w:val="24"/>
        </w:rPr>
      </w:pPr>
      <w:r>
        <w:rPr>
          <w:rFonts w:hint="eastAsia" w:ascii="仿宋" w:hAnsi="仿宋" w:eastAsia="仿宋"/>
          <w:kern w:val="28"/>
          <w:sz w:val="24"/>
          <w:szCs w:val="24"/>
        </w:rPr>
        <w:t>日    期：</w:t>
      </w:r>
    </w:p>
    <w:p/>
    <w:p>
      <w:pPr>
        <w:pStyle w:val="4"/>
        <w:spacing w:beforeAutospacing="0" w:afterAutospacing="0" w:line="500" w:lineRule="exact"/>
        <w:jc w:val="center"/>
      </w:pPr>
      <w:r>
        <w:br w:type="page"/>
      </w:r>
      <w:r>
        <w:t>第</w:t>
      </w:r>
      <w:r>
        <w:rPr>
          <w:rFonts w:hint="eastAsia"/>
        </w:rPr>
        <w:t>三</w:t>
      </w:r>
      <w:r>
        <w:t>章</w:t>
      </w:r>
      <w:r>
        <w:rPr>
          <w:rFonts w:hint="eastAsia"/>
        </w:rPr>
        <w:t xml:space="preserve"> </w:t>
      </w:r>
      <w:r>
        <w:t>投标文件格式</w:t>
      </w:r>
    </w:p>
    <w:p>
      <w:pPr>
        <w:pStyle w:val="5"/>
        <w:spacing w:beforeAutospacing="0" w:afterAutospacing="0" w:line="500" w:lineRule="exact"/>
        <w:jc w:val="center"/>
        <w:rPr>
          <w:sz w:val="30"/>
          <w:szCs w:val="30"/>
        </w:rPr>
      </w:pPr>
      <w:r>
        <w:rPr>
          <w:rFonts w:hint="eastAsia"/>
          <w:sz w:val="30"/>
          <w:szCs w:val="30"/>
        </w:rPr>
        <w:t>一、</w:t>
      </w:r>
      <w:r>
        <w:rPr>
          <w:sz w:val="30"/>
          <w:szCs w:val="30"/>
        </w:rPr>
        <w:t>投标函</w:t>
      </w:r>
    </w:p>
    <w:p>
      <w:pPr>
        <w:spacing w:beforeAutospacing="0" w:afterAutospacing="0" w:line="360" w:lineRule="auto"/>
        <w:rPr>
          <w:rFonts w:hint="default" w:ascii="宋体" w:hAnsi="宋体" w:eastAsiaTheme="minorEastAsia"/>
          <w:b/>
          <w:sz w:val="24"/>
          <w:szCs w:val="24"/>
          <w:lang w:val="en-US" w:eastAsia="zh-CN"/>
        </w:rPr>
      </w:pPr>
      <w:r>
        <w:rPr>
          <w:rFonts w:hint="eastAsia" w:ascii="宋体" w:hAnsi="宋体"/>
          <w:b/>
          <w:sz w:val="24"/>
          <w:szCs w:val="24"/>
        </w:rPr>
        <w:t>致：</w:t>
      </w:r>
      <w:r>
        <w:rPr>
          <w:rFonts w:hint="eastAsia" w:ascii="宋体" w:hAnsi="宋体"/>
          <w:b/>
          <w:sz w:val="24"/>
          <w:szCs w:val="24"/>
          <w:u w:val="single"/>
          <w:lang w:val="en-US" w:eastAsia="zh-CN"/>
        </w:rPr>
        <w:t>皖南医学院</w:t>
      </w:r>
    </w:p>
    <w:p>
      <w:pPr>
        <w:spacing w:beforeAutospacing="0" w:afterAutospacing="0" w:line="360" w:lineRule="auto"/>
        <w:ind w:firstLine="420" w:firstLineChars="200"/>
        <w:rPr>
          <w:rFonts w:ascii="宋体" w:hAnsi="宋体"/>
        </w:rPr>
      </w:pPr>
      <w:r>
        <w:rPr>
          <w:rFonts w:ascii="宋体" w:hAnsi="宋体"/>
        </w:rPr>
        <w:t>1.在研究了</w:t>
      </w:r>
      <w:r>
        <w:rPr>
          <w:rFonts w:hint="eastAsia" w:ascii="宋体" w:hAnsi="宋体"/>
          <w:u w:val="single"/>
        </w:rPr>
        <w:t>皖南医学院高水平学科创新能力提升设备采购</w:t>
      </w:r>
      <w:r>
        <w:rPr>
          <w:rFonts w:hint="eastAsia" w:ascii="宋体" w:hAnsi="宋体"/>
          <w:u w:val="single"/>
          <w:lang w:eastAsia="zh-CN"/>
        </w:rPr>
        <w:t>项目(十四）</w:t>
      </w:r>
      <w:r>
        <w:rPr>
          <w:rFonts w:hint="eastAsia" w:ascii="宋体" w:hAnsi="宋体"/>
          <w:u w:val="single"/>
        </w:rPr>
        <w:t>（项目编号：FSKY34000120229490号</w:t>
      </w:r>
      <w:r>
        <w:rPr>
          <w:rFonts w:hint="eastAsia" w:ascii="宋体" w:hAnsi="宋体"/>
          <w:u w:val="single"/>
          <w:lang w:val="en-US" w:eastAsia="zh-CN"/>
        </w:rPr>
        <w:t>001</w:t>
      </w:r>
      <w:r>
        <w:rPr>
          <w:rFonts w:hint="eastAsia" w:ascii="宋体" w:hAnsi="宋体"/>
          <w:u w:val="single"/>
        </w:rPr>
        <w:t>）</w:t>
      </w:r>
      <w:r>
        <w:rPr>
          <w:rFonts w:ascii="宋体" w:hAnsi="宋体"/>
        </w:rPr>
        <w:t>招标文件（含补充文件）后，我们愿意按人民币（大写</w:t>
      </w:r>
      <w:r>
        <w:rPr>
          <w:rFonts w:hint="eastAsia" w:ascii="宋体" w:hAnsi="宋体"/>
          <w:u w:val="single"/>
        </w:rPr>
        <w:t xml:space="preserve">     </w:t>
      </w:r>
      <w:r>
        <w:rPr>
          <w:rFonts w:ascii="宋体" w:hAnsi="宋体"/>
        </w:rPr>
        <w:t>元）（小写</w:t>
      </w:r>
      <w:r>
        <w:rPr>
          <w:rFonts w:hint="eastAsia" w:ascii="宋体" w:hAnsi="宋体"/>
          <w:u w:val="single"/>
        </w:rPr>
        <w:t xml:space="preserve">    </w:t>
      </w:r>
      <w:r>
        <w:rPr>
          <w:rFonts w:ascii="宋体" w:hAnsi="宋体"/>
        </w:rPr>
        <w:t>元）的投标总价，遵照招标文件（含补充文件）的要求承担本招标项目的实施，完成本次招标范围的全部项目内容及其保修工作。</w:t>
      </w:r>
    </w:p>
    <w:p>
      <w:pPr>
        <w:spacing w:line="360" w:lineRule="auto"/>
        <w:ind w:firstLine="420" w:firstLineChars="200"/>
        <w:rPr>
          <w:rFonts w:ascii="宋体" w:hAnsi="宋体"/>
        </w:rPr>
      </w:pPr>
      <w:r>
        <w:rPr>
          <w:rFonts w:ascii="宋体" w:hAnsi="宋体"/>
        </w:rPr>
        <w:t>2.如果你单位接受我们的投标，我们将保证在</w:t>
      </w:r>
      <w:r>
        <w:rPr>
          <w:rFonts w:hint="eastAsia" w:ascii="宋体" w:hAnsi="宋体"/>
          <w:u w:val="single"/>
          <w:lang w:val="en-US" w:eastAsia="zh-CN"/>
        </w:rPr>
        <w:t xml:space="preserve">合同签订后   </w:t>
      </w:r>
      <w:r>
        <w:rPr>
          <w:rFonts w:ascii="宋体" w:hAnsi="宋体"/>
        </w:rPr>
        <w:t>个日历天的供货期内完成本招标项目的全部工作内容，并达到招标规定的要求。</w:t>
      </w:r>
    </w:p>
    <w:p>
      <w:pPr>
        <w:spacing w:beforeAutospacing="0" w:afterAutospacing="0" w:line="360" w:lineRule="auto"/>
        <w:ind w:firstLine="420" w:firstLineChars="200"/>
        <w:rPr>
          <w:rFonts w:ascii="宋体" w:hAnsi="宋体"/>
        </w:rPr>
      </w:pPr>
      <w:r>
        <w:rPr>
          <w:rFonts w:ascii="宋体" w:hAnsi="宋体"/>
        </w:rPr>
        <w:t>3.我们同意从规定的开标之日起</w:t>
      </w:r>
      <w:r>
        <w:rPr>
          <w:rFonts w:hint="eastAsia" w:ascii="宋体" w:hAnsi="宋体"/>
        </w:rPr>
        <w:t>90</w:t>
      </w:r>
      <w:r>
        <w:rPr>
          <w:rFonts w:ascii="宋体" w:hAnsi="宋体"/>
        </w:rPr>
        <w:t>个日历天的投标有效期内严格遵守投标文件的各项承诺。在此期限届满之前，本投标文件始终将对我方具有约束力，并随时接受中标。</w:t>
      </w:r>
    </w:p>
    <w:p>
      <w:pPr>
        <w:spacing w:beforeAutospacing="0" w:afterAutospacing="0" w:line="360" w:lineRule="auto"/>
        <w:ind w:firstLine="420" w:firstLineChars="200"/>
        <w:rPr>
          <w:rFonts w:ascii="宋体" w:hAnsi="宋体"/>
        </w:rPr>
      </w:pPr>
      <w:r>
        <w:rPr>
          <w:rFonts w:ascii="宋体" w:hAnsi="宋体"/>
        </w:rPr>
        <w:t>4.在合同书正式签署生效之前，本投标文件连同你单位的中标通知书将构成我们双方之间共同遵守的文件，对双方具有约束力。</w:t>
      </w:r>
    </w:p>
    <w:p>
      <w:pPr>
        <w:spacing w:beforeAutospacing="0" w:afterAutospacing="0" w:line="360" w:lineRule="auto"/>
        <w:ind w:firstLine="420" w:firstLineChars="200"/>
        <w:rPr>
          <w:rFonts w:ascii="宋体" w:hAnsi="宋体"/>
        </w:rPr>
      </w:pPr>
      <w:r>
        <w:rPr>
          <w:rFonts w:ascii="宋体" w:hAnsi="宋体"/>
        </w:rPr>
        <w:t>5.我们理解你单位不负担我们的任何投标费用。</w:t>
      </w:r>
    </w:p>
    <w:p>
      <w:pPr>
        <w:spacing w:beforeAutospacing="0" w:afterAutospacing="0" w:line="360" w:lineRule="auto"/>
        <w:ind w:firstLine="420" w:firstLineChars="200"/>
        <w:rPr>
          <w:rFonts w:ascii="宋体" w:hAnsi="宋体"/>
        </w:rPr>
      </w:pPr>
      <w:r>
        <w:rPr>
          <w:rFonts w:ascii="宋体" w:hAnsi="宋体"/>
        </w:rPr>
        <w:t>6.我方承诺，与对本次招标货物进行设计、编制规范和其他文件的单位或其附属机构均无关联。我方不是买方的附属机构。</w:t>
      </w:r>
    </w:p>
    <w:p>
      <w:pPr>
        <w:spacing w:beforeAutospacing="0" w:afterAutospacing="0" w:line="360" w:lineRule="auto"/>
        <w:ind w:firstLine="420" w:firstLineChars="200"/>
        <w:rPr>
          <w:rFonts w:ascii="宋体" w:hAnsi="宋体"/>
        </w:rPr>
      </w:pPr>
      <w:r>
        <w:rPr>
          <w:rFonts w:ascii="宋体" w:hAnsi="宋体"/>
        </w:rPr>
        <w:t>7.我们完全接受招标文件的规定。如有违反，你单位有权撤消我单位中标资格，另选中标单位。</w:t>
      </w:r>
    </w:p>
    <w:p>
      <w:pPr>
        <w:spacing w:beforeAutospacing="0" w:afterAutospacing="0" w:line="360" w:lineRule="auto"/>
        <w:ind w:firstLine="420" w:firstLineChars="200"/>
        <w:rPr>
          <w:rFonts w:ascii="宋体" w:hAnsi="宋体"/>
        </w:rPr>
      </w:pPr>
      <w:r>
        <w:rPr>
          <w:rFonts w:hint="eastAsia" w:ascii="宋体" w:hAnsi="宋体"/>
        </w:rPr>
        <w:t>8.其他需要承诺的事项（为保留条款）。</w:t>
      </w:r>
    </w:p>
    <w:p>
      <w:pPr>
        <w:spacing w:beforeAutospacing="0" w:afterAutospacing="0" w:line="360" w:lineRule="auto"/>
        <w:ind w:firstLine="420" w:firstLineChars="200"/>
        <w:rPr>
          <w:rFonts w:ascii="宋体" w:hAnsi="宋体"/>
        </w:rPr>
      </w:pPr>
    </w:p>
    <w:p>
      <w:pPr>
        <w:snapToGrid w:val="0"/>
        <w:spacing w:beforeAutospacing="0" w:afterAutospacing="0" w:line="360" w:lineRule="auto"/>
        <w:rPr>
          <w:rFonts w:ascii="宋体" w:hAnsi="宋体"/>
          <w:szCs w:val="21"/>
        </w:rPr>
      </w:pPr>
      <w:r>
        <w:rPr>
          <w:rFonts w:ascii="宋体" w:hAnsi="宋体"/>
        </w:rPr>
        <w:t>供应商：</w:t>
      </w:r>
      <w:r>
        <w:rPr>
          <w:rFonts w:ascii="宋体" w:hAnsi="宋体"/>
          <w:szCs w:val="21"/>
        </w:rPr>
        <w:t>(</w:t>
      </w:r>
      <w:r>
        <w:rPr>
          <w:rFonts w:hint="eastAsia" w:ascii="宋体" w:hAnsi="宋体"/>
          <w:szCs w:val="21"/>
        </w:rPr>
        <w:t>盖单位公章</w:t>
      </w:r>
      <w:r>
        <w:rPr>
          <w:rFonts w:ascii="宋体" w:hAnsi="宋体"/>
          <w:szCs w:val="21"/>
        </w:rPr>
        <w:t>)</w:t>
      </w:r>
    </w:p>
    <w:p>
      <w:pPr>
        <w:spacing w:beforeAutospacing="0" w:afterAutospacing="0" w:line="360" w:lineRule="auto"/>
        <w:rPr>
          <w:rFonts w:ascii="宋体" w:hAnsi="宋体"/>
        </w:rPr>
      </w:pPr>
      <w:r>
        <w:rPr>
          <w:rFonts w:ascii="宋体" w:hAnsi="宋体"/>
        </w:rPr>
        <w:t>单位地址及邮政编码：</w:t>
      </w:r>
    </w:p>
    <w:p>
      <w:pPr>
        <w:spacing w:beforeAutospacing="0" w:afterAutospacing="0" w:line="360" w:lineRule="auto"/>
        <w:rPr>
          <w:rFonts w:ascii="宋体" w:hAnsi="宋体"/>
        </w:rPr>
      </w:pPr>
      <w:r>
        <w:rPr>
          <w:rFonts w:ascii="宋体" w:hAnsi="宋体"/>
        </w:rPr>
        <w:t>法定代表人或授权代理人</w:t>
      </w:r>
      <w:r>
        <w:rPr>
          <w:rFonts w:hint="eastAsia" w:ascii="宋体" w:hAnsi="宋体"/>
          <w:szCs w:val="21"/>
        </w:rPr>
        <w:t>（</w:t>
      </w:r>
      <w:r>
        <w:rPr>
          <w:rFonts w:hint="eastAsia"/>
          <w:szCs w:val="21"/>
        </w:rPr>
        <w:t>签字或盖章</w:t>
      </w:r>
      <w:r>
        <w:rPr>
          <w:rFonts w:ascii="宋体" w:hAnsi="宋体"/>
          <w:szCs w:val="21"/>
        </w:rPr>
        <w:t>）</w:t>
      </w:r>
      <w:r>
        <w:rPr>
          <w:rFonts w:hint="eastAsia" w:ascii="宋体" w:hAnsi="宋体"/>
        </w:rPr>
        <w:t>：</w:t>
      </w:r>
    </w:p>
    <w:p>
      <w:pPr>
        <w:spacing w:beforeAutospacing="0" w:afterAutospacing="0" w:line="360" w:lineRule="auto"/>
        <w:rPr>
          <w:rFonts w:ascii="宋体" w:hAnsi="宋体"/>
        </w:rPr>
      </w:pPr>
      <w:r>
        <w:rPr>
          <w:rFonts w:ascii="宋体" w:hAnsi="宋体"/>
        </w:rPr>
        <w:t xml:space="preserve">联系电话（传真）：  </w:t>
      </w:r>
    </w:p>
    <w:p>
      <w:pPr>
        <w:spacing w:beforeAutospacing="0" w:afterAutospacing="0" w:line="360" w:lineRule="auto"/>
        <w:rPr>
          <w:rFonts w:ascii="宋体" w:hAnsi="宋体"/>
        </w:rPr>
      </w:pPr>
      <w:r>
        <w:rPr>
          <w:rFonts w:ascii="宋体" w:hAnsi="宋体"/>
        </w:rPr>
        <w:t xml:space="preserve">开户银行名称：                      </w:t>
      </w:r>
    </w:p>
    <w:p>
      <w:pPr>
        <w:spacing w:beforeAutospacing="0" w:afterAutospacing="0" w:line="360" w:lineRule="auto"/>
        <w:rPr>
          <w:rFonts w:ascii="宋体" w:hAnsi="宋体"/>
        </w:rPr>
      </w:pPr>
      <w:r>
        <w:rPr>
          <w:rFonts w:hint="eastAsia" w:ascii="宋体" w:hAnsi="宋体"/>
          <w:szCs w:val="21"/>
        </w:rPr>
        <w:t xml:space="preserve">开户银行账号（基本账户）： </w:t>
      </w:r>
    </w:p>
    <w:p>
      <w:pPr>
        <w:spacing w:beforeAutospacing="0" w:afterAutospacing="0" w:line="360" w:lineRule="auto"/>
        <w:rPr>
          <w:rFonts w:ascii="宋体" w:hAnsi="宋体"/>
        </w:rPr>
      </w:pPr>
      <w:r>
        <w:rPr>
          <w:rFonts w:ascii="宋体" w:hAnsi="宋体"/>
        </w:rPr>
        <w:t>开户银行地址：</w:t>
      </w:r>
    </w:p>
    <w:p>
      <w:pPr>
        <w:spacing w:beforeAutospacing="0" w:afterAutospacing="0" w:line="360" w:lineRule="auto"/>
        <w:rPr>
          <w:rFonts w:ascii="宋体" w:hAnsi="宋体"/>
        </w:rPr>
      </w:pPr>
      <w:r>
        <w:rPr>
          <w:rFonts w:ascii="宋体" w:hAnsi="宋体"/>
        </w:rPr>
        <w:t>开户银行电话：</w:t>
      </w:r>
    </w:p>
    <w:p>
      <w:pPr>
        <w:spacing w:beforeAutospacing="0" w:afterAutospacing="0" w:line="360" w:lineRule="auto"/>
        <w:jc w:val="right"/>
        <w:rPr>
          <w:rFonts w:ascii="宋体" w:hAnsi="宋体"/>
        </w:rPr>
      </w:pPr>
      <w:r>
        <w:rPr>
          <w:rFonts w:ascii="宋体" w:hAnsi="宋体"/>
        </w:rPr>
        <w:t xml:space="preserve">                                                          年    月    日</w:t>
      </w:r>
    </w:p>
    <w:p>
      <w:pPr>
        <w:widowControl/>
        <w:jc w:val="left"/>
        <w:rPr>
          <w:rFonts w:ascii="宋体" w:hAnsi="宋体"/>
          <w:b/>
          <w:sz w:val="28"/>
          <w:szCs w:val="28"/>
        </w:rPr>
      </w:pPr>
      <w:r>
        <w:rPr>
          <w:rFonts w:ascii="宋体" w:hAnsi="宋体"/>
          <w:b/>
          <w:sz w:val="28"/>
          <w:szCs w:val="28"/>
        </w:rPr>
        <w:br w:type="page"/>
      </w:r>
    </w:p>
    <w:p>
      <w:pPr>
        <w:spacing w:beforeAutospacing="0" w:afterAutospacing="0" w:line="360" w:lineRule="auto"/>
        <w:rPr>
          <w:rFonts w:ascii="宋体" w:hAnsi="宋体"/>
        </w:rPr>
      </w:pPr>
    </w:p>
    <w:p>
      <w:pPr>
        <w:spacing w:beforeAutospacing="0" w:afterAutospacing="0" w:line="360" w:lineRule="auto"/>
        <w:jc w:val="center"/>
        <w:rPr>
          <w:rFonts w:ascii="宋体" w:hAnsi="宋体"/>
          <w:b/>
          <w:sz w:val="28"/>
          <w:szCs w:val="28"/>
        </w:rPr>
      </w:pPr>
      <w:r>
        <w:rPr>
          <w:rFonts w:hint="eastAsia" w:ascii="宋体" w:hAnsi="宋体"/>
          <w:b/>
          <w:sz w:val="28"/>
          <w:szCs w:val="28"/>
        </w:rPr>
        <w:t>投标一览表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标题</w:t>
            </w:r>
          </w:p>
        </w:tc>
        <w:tc>
          <w:tcPr>
            <w:tcW w:w="468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项目名称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rFonts w:hint="eastAsia" w:eastAsia="宋体"/>
                <w:lang w:eastAsia="zh-CN"/>
              </w:rPr>
            </w:pPr>
            <w:r>
              <w:rPr>
                <w:rFonts w:hint="eastAsia" w:ascii="宋体" w:hAnsi="宋体" w:cs="宋体"/>
                <w:sz w:val="24"/>
                <w:szCs w:val="24"/>
              </w:rPr>
              <w:t>皖南医学院高水平学科创新能力提升设备采购</w:t>
            </w:r>
            <w:r>
              <w:rPr>
                <w:rFonts w:hint="eastAsia" w:ascii="宋体" w:hAnsi="宋体" w:cs="宋体"/>
                <w:sz w:val="24"/>
                <w:szCs w:val="24"/>
                <w:lang w:eastAsia="zh-CN"/>
              </w:rPr>
              <w:t>项目(十四）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项目编号</w:t>
            </w:r>
          </w:p>
        </w:tc>
        <w:tc>
          <w:tcPr>
            <w:tcW w:w="468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rFonts w:hint="default" w:ascii="宋体" w:hAnsi="宋体" w:cs="宋体" w:eastAsiaTheme="minorEastAsia"/>
                <w:sz w:val="24"/>
                <w:szCs w:val="24"/>
                <w:lang w:val="en-US" w:eastAsia="zh-CN"/>
              </w:rPr>
            </w:pPr>
            <w:r>
              <w:rPr>
                <w:rFonts w:hint="eastAsia" w:ascii="宋体" w:hAnsi="宋体" w:cs="宋体"/>
                <w:sz w:val="24"/>
                <w:szCs w:val="24"/>
              </w:rPr>
              <w:t>FSKY34000120229490号</w:t>
            </w:r>
            <w:r>
              <w:rPr>
                <w:rFonts w:hint="eastAsia" w:ascii="宋体" w:hAnsi="宋体" w:cs="宋体"/>
                <w:sz w:val="24"/>
                <w:szCs w:val="24"/>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供应商（签章）</w:t>
            </w:r>
          </w:p>
        </w:tc>
        <w:tc>
          <w:tcPr>
            <w:tcW w:w="468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法定代表人或其代理人</w:t>
            </w:r>
          </w:p>
          <w:p>
            <w:pPr>
              <w:spacing w:beforeAutospacing="0" w:afterAutospacing="0" w:line="480" w:lineRule="auto"/>
              <w:jc w:val="center"/>
            </w:pPr>
            <w:r>
              <w:rPr>
                <w:rFonts w:hint="eastAsia"/>
              </w:rPr>
              <w:t>（签字或盖章）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投标总价</w:t>
            </w:r>
          </w:p>
        </w:tc>
        <w:tc>
          <w:tcPr>
            <w:tcW w:w="468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供货期</w:t>
            </w:r>
          </w:p>
          <w:p>
            <w:pPr>
              <w:spacing w:beforeAutospacing="0" w:afterAutospacing="0" w:line="480" w:lineRule="auto"/>
              <w:jc w:val="center"/>
            </w:pPr>
            <w:r>
              <w:rPr>
                <w:rFonts w:hint="eastAsia"/>
              </w:rPr>
              <w:t>注：招标文件中关于供货期的要求具体详见“第三章合同条款前附表”</w:t>
            </w:r>
          </w:p>
        </w:tc>
        <w:tc>
          <w:tcPr>
            <w:tcW w:w="468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法定代表人</w:t>
            </w:r>
          </w:p>
        </w:tc>
        <w:tc>
          <w:tcPr>
            <w:tcW w:w="468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pPr>
            <w:r>
              <w:rPr>
                <w:rFonts w:hint="eastAsia"/>
              </w:rPr>
              <w:t>授权代理人</w:t>
            </w:r>
          </w:p>
        </w:tc>
        <w:tc>
          <w:tcPr>
            <w:tcW w:w="468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sz w:val="24"/>
              </w:rPr>
            </w:pPr>
          </w:p>
        </w:tc>
      </w:tr>
    </w:tbl>
    <w:p>
      <w:pPr>
        <w:widowControl/>
        <w:spacing w:beforeAutospacing="0" w:afterAutospacing="0" w:line="360" w:lineRule="auto"/>
        <w:jc w:val="left"/>
        <w:rPr>
          <w:rFonts w:ascii="宋体" w:hAnsi="宋体"/>
          <w:szCs w:val="18"/>
        </w:rPr>
      </w:pPr>
    </w:p>
    <w:p>
      <w:pPr>
        <w:widowControl/>
        <w:jc w:val="left"/>
        <w:rPr>
          <w:rFonts w:ascii="Times New Roman" w:hAnsi="Times New Roman"/>
          <w:b/>
          <w:sz w:val="30"/>
          <w:szCs w:val="30"/>
        </w:rPr>
      </w:pPr>
      <w:r>
        <w:rPr>
          <w:sz w:val="30"/>
          <w:szCs w:val="30"/>
        </w:rPr>
        <w:br w:type="page"/>
      </w:r>
    </w:p>
    <w:p>
      <w:pPr>
        <w:pStyle w:val="5"/>
        <w:spacing w:beforeAutospacing="0" w:afterAutospacing="0" w:line="500" w:lineRule="exact"/>
        <w:jc w:val="left"/>
        <w:rPr>
          <w:sz w:val="30"/>
          <w:szCs w:val="30"/>
        </w:rPr>
      </w:pPr>
      <w:r>
        <w:rPr>
          <w:sz w:val="30"/>
          <w:szCs w:val="30"/>
        </w:rPr>
        <w:t>二、</w:t>
      </w:r>
      <w:r>
        <w:rPr>
          <w:rFonts w:hint="eastAsia"/>
          <w:sz w:val="30"/>
          <w:szCs w:val="30"/>
        </w:rPr>
        <w:t>授权委托书</w:t>
      </w:r>
    </w:p>
    <w:p>
      <w:pPr>
        <w:spacing w:beforeAutospacing="0" w:afterAutospacing="0" w:line="360" w:lineRule="auto"/>
        <w:jc w:val="center"/>
        <w:rPr>
          <w:rFonts w:ascii="宋体" w:hAnsi="宋体"/>
          <w:b/>
          <w:sz w:val="28"/>
          <w:szCs w:val="28"/>
        </w:rPr>
      </w:pPr>
      <w:r>
        <w:rPr>
          <w:rFonts w:hint="eastAsia" w:ascii="宋体" w:hAnsi="宋体"/>
          <w:b/>
          <w:sz w:val="28"/>
          <w:szCs w:val="28"/>
        </w:rPr>
        <w:t>（适用于授权委托人参加投标）</w:t>
      </w:r>
    </w:p>
    <w:p>
      <w:pPr>
        <w:spacing w:beforeAutospacing="0" w:afterAutospacing="0" w:line="360" w:lineRule="auto"/>
        <w:ind w:firstLine="420" w:firstLineChars="200"/>
        <w:rPr>
          <w:rFonts w:ascii="宋体" w:hAnsi="宋体"/>
        </w:rPr>
      </w:pPr>
      <w:r>
        <w:rPr>
          <w:rFonts w:hint="eastAsia" w:ascii="宋体" w:hAnsi="宋体"/>
        </w:rPr>
        <w:t>本授权委托书申明，我</w:t>
      </w:r>
      <w:r>
        <w:rPr>
          <w:rFonts w:hint="eastAsia" w:ascii="宋体" w:hAnsi="宋体"/>
          <w:u w:val="single"/>
        </w:rPr>
        <w:t>        (姓名)</w:t>
      </w:r>
      <w:r>
        <w:rPr>
          <w:rFonts w:hint="eastAsia" w:ascii="宋体" w:hAnsi="宋体"/>
        </w:rPr>
        <w:t>系</w:t>
      </w:r>
      <w:r>
        <w:rPr>
          <w:rFonts w:hint="eastAsia" w:ascii="宋体" w:hAnsi="宋体"/>
          <w:u w:val="single"/>
        </w:rPr>
        <w:t xml:space="preserve">                  (供应商名称)</w:t>
      </w:r>
      <w:r>
        <w:rPr>
          <w:rFonts w:hint="eastAsia" w:ascii="宋体" w:hAnsi="宋体"/>
        </w:rPr>
        <w:t>的法定代表人，现授权委托</w:t>
      </w:r>
      <w:r>
        <w:rPr>
          <w:rFonts w:hint="eastAsia" w:ascii="宋体" w:hAnsi="宋体"/>
          <w:u w:val="single"/>
        </w:rPr>
        <w:t xml:space="preserve">         (姓名) </w:t>
      </w:r>
      <w:r>
        <w:rPr>
          <w:rFonts w:hint="eastAsia" w:ascii="宋体" w:hAnsi="宋体"/>
        </w:rPr>
        <w:t>为我方代理人，参加</w:t>
      </w:r>
      <w:r>
        <w:rPr>
          <w:rFonts w:hint="eastAsia" w:ascii="宋体" w:hAnsi="宋体"/>
          <w:u w:val="single"/>
        </w:rPr>
        <w:t>皖南医学院高水平学科创新能力提升设备采购</w:t>
      </w:r>
      <w:r>
        <w:rPr>
          <w:rFonts w:hint="eastAsia" w:ascii="宋体" w:hAnsi="宋体"/>
          <w:u w:val="single"/>
          <w:lang w:eastAsia="zh-CN"/>
        </w:rPr>
        <w:t>项目(十四）</w:t>
      </w:r>
      <w:r>
        <w:rPr>
          <w:rFonts w:hint="eastAsia" w:ascii="宋体" w:hAnsi="宋体"/>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spacing w:beforeAutospacing="0" w:afterAutospacing="0" w:line="360" w:lineRule="auto"/>
        <w:ind w:firstLine="420" w:firstLineChars="200"/>
        <w:rPr>
          <w:rFonts w:ascii="宋体" w:hAnsi="宋体"/>
        </w:rPr>
      </w:pPr>
      <w:r>
        <w:rPr>
          <w:rFonts w:hint="eastAsia" w:ascii="宋体" w:hAnsi="宋体"/>
        </w:rPr>
        <w:t>代理人无转委托权，特此委托。</w:t>
      </w:r>
    </w:p>
    <w:p>
      <w:pPr>
        <w:spacing w:beforeAutospacing="0" w:afterAutospacing="0" w:line="360" w:lineRule="auto"/>
        <w:ind w:firstLine="420" w:firstLineChars="200"/>
        <w:rPr>
          <w:rFonts w:ascii="宋体" w:hAnsi="宋体"/>
        </w:rPr>
      </w:pPr>
      <w:r>
        <w:rPr>
          <w:rFonts w:hint="eastAsia" w:ascii="宋体" w:hAnsi="宋体"/>
        </w:rPr>
        <w:t>代理人：</w:t>
      </w:r>
      <w:r>
        <w:rPr>
          <w:rFonts w:hint="eastAsia" w:ascii="宋体" w:hAnsi="宋体"/>
          <w:u w:val="single"/>
        </w:rPr>
        <w:t>              </w:t>
      </w:r>
      <w:r>
        <w:rPr>
          <w:rFonts w:hint="eastAsia" w:ascii="宋体" w:hAnsi="宋体"/>
        </w:rPr>
        <w:t>（签字或盖章）</w:t>
      </w:r>
    </w:p>
    <w:p>
      <w:pPr>
        <w:spacing w:beforeAutospacing="0" w:afterAutospacing="0" w:line="360" w:lineRule="auto"/>
        <w:ind w:firstLine="420" w:firstLineChars="200"/>
        <w:rPr>
          <w:rFonts w:ascii="宋体" w:hAnsi="宋体"/>
        </w:rPr>
      </w:pPr>
      <w:r>
        <w:rPr>
          <w:rFonts w:hint="eastAsia" w:ascii="宋体" w:hAnsi="宋体"/>
        </w:rPr>
        <w:t>代理人身份证号码：</w:t>
      </w:r>
      <w:r>
        <w:rPr>
          <w:rFonts w:hint="eastAsia" w:ascii="宋体" w:hAnsi="宋体"/>
          <w:u w:val="single"/>
        </w:rPr>
        <w:t xml:space="preserve">                   </w:t>
      </w:r>
    </w:p>
    <w:p>
      <w:pPr>
        <w:spacing w:beforeAutospacing="0" w:afterAutospacing="0" w:line="360" w:lineRule="auto"/>
        <w:ind w:firstLine="420" w:firstLineChars="200"/>
        <w:rPr>
          <w:rFonts w:ascii="宋体" w:hAnsi="宋体"/>
        </w:rPr>
      </w:pPr>
      <w:r>
        <w:rPr>
          <w:rFonts w:hint="eastAsia" w:ascii="宋体" w:hAnsi="宋体"/>
        </w:rPr>
        <w:t>性别：</w:t>
      </w:r>
      <w:r>
        <w:rPr>
          <w:rFonts w:hint="eastAsia" w:ascii="宋体" w:hAnsi="宋体"/>
          <w:u w:val="single"/>
        </w:rPr>
        <w:t xml:space="preserve">               </w:t>
      </w:r>
    </w:p>
    <w:p>
      <w:pPr>
        <w:spacing w:beforeAutospacing="0" w:afterAutospacing="0" w:line="360" w:lineRule="auto"/>
        <w:ind w:firstLine="420" w:firstLineChars="200"/>
        <w:rPr>
          <w:rFonts w:ascii="宋体" w:hAnsi="宋体"/>
        </w:rPr>
      </w:pPr>
      <w:r>
        <w:rPr>
          <w:rFonts w:hint="eastAsia" w:ascii="宋体" w:hAnsi="宋体"/>
        </w:rPr>
        <w:t>年龄：</w:t>
      </w:r>
      <w:r>
        <w:rPr>
          <w:rFonts w:hint="eastAsia" w:ascii="宋体" w:hAnsi="宋体"/>
          <w:u w:val="single"/>
        </w:rPr>
        <w:t xml:space="preserve">              </w:t>
      </w:r>
    </w:p>
    <w:p>
      <w:pPr>
        <w:spacing w:beforeAutospacing="0" w:afterAutospacing="0" w:line="360" w:lineRule="auto"/>
        <w:ind w:firstLine="420" w:firstLineChars="200"/>
        <w:rPr>
          <w:rFonts w:ascii="宋体" w:hAnsi="宋体"/>
        </w:rPr>
      </w:pPr>
      <w:r>
        <w:rPr>
          <w:rFonts w:hint="eastAsia" w:ascii="宋体" w:hAnsi="宋体"/>
        </w:rPr>
        <w:t>供应商：</w:t>
      </w:r>
      <w:r>
        <w:rPr>
          <w:rFonts w:hint="eastAsia" w:ascii="宋体" w:hAnsi="宋体"/>
          <w:u w:val="single"/>
        </w:rPr>
        <w:t>              </w:t>
      </w:r>
      <w:r>
        <w:rPr>
          <w:rFonts w:ascii="宋体" w:hAnsi="宋体"/>
        </w:rPr>
        <w:t>(</w:t>
      </w:r>
      <w:r>
        <w:rPr>
          <w:rFonts w:hint="eastAsia" w:ascii="宋体" w:hAnsi="宋体"/>
        </w:rPr>
        <w:t>盖单位公章</w:t>
      </w:r>
      <w:r>
        <w:rPr>
          <w:rFonts w:ascii="宋体" w:hAnsi="宋体"/>
        </w:rPr>
        <w:t>)</w:t>
      </w:r>
    </w:p>
    <w:p>
      <w:pPr>
        <w:spacing w:beforeAutospacing="0" w:afterAutospacing="0" w:line="360" w:lineRule="auto"/>
        <w:ind w:firstLine="420" w:firstLineChars="200"/>
        <w:rPr>
          <w:rFonts w:ascii="宋体" w:hAnsi="宋体"/>
        </w:rPr>
      </w:pPr>
      <w:r>
        <w:rPr>
          <w:rFonts w:hint="eastAsia" w:ascii="宋体" w:hAnsi="宋体"/>
        </w:rPr>
        <w:t>法定代表人：</w:t>
      </w:r>
      <w:r>
        <w:rPr>
          <w:rFonts w:hint="eastAsia" w:ascii="宋体" w:hAnsi="宋体"/>
          <w:u w:val="single"/>
        </w:rPr>
        <w:t>             </w:t>
      </w:r>
      <w:r>
        <w:rPr>
          <w:rFonts w:hint="eastAsia" w:ascii="宋体" w:hAnsi="宋体"/>
        </w:rPr>
        <w:t>（签字或盖章）</w:t>
      </w:r>
    </w:p>
    <w:p>
      <w:pPr>
        <w:spacing w:beforeAutospacing="0" w:afterAutospacing="0" w:line="360" w:lineRule="auto"/>
        <w:ind w:firstLine="420" w:firstLineChars="200"/>
        <w:rPr>
          <w:rFonts w:ascii="宋体" w:hAnsi="宋体"/>
        </w:rPr>
      </w:pPr>
      <w:r>
        <w:rPr>
          <w:rFonts w:hint="eastAsia" w:ascii="宋体" w:hAnsi="宋体"/>
        </w:rPr>
        <w:t>法定代表人身份证号码：</w:t>
      </w:r>
      <w:r>
        <w:rPr>
          <w:rFonts w:hint="eastAsia" w:ascii="宋体" w:hAnsi="宋体"/>
          <w:u w:val="single"/>
        </w:rPr>
        <w:t>                </w:t>
      </w:r>
    </w:p>
    <w:p>
      <w:pPr>
        <w:spacing w:beforeAutospacing="0" w:afterAutospacing="0" w:line="360" w:lineRule="auto"/>
        <w:ind w:firstLine="420" w:firstLineChars="200"/>
        <w:rPr>
          <w:rFonts w:ascii="宋体" w:hAnsi="宋体"/>
        </w:rPr>
      </w:pPr>
      <w:r>
        <w:rPr>
          <w:rFonts w:hint="eastAsia" w:ascii="宋体" w:hAnsi="宋体"/>
        </w:rPr>
        <w:t xml:space="preserve">签发日期:     年   月  日         </w:t>
      </w:r>
    </w:p>
    <w:p>
      <w:pPr>
        <w:spacing w:beforeAutospacing="0" w:afterAutospacing="0" w:line="360" w:lineRule="auto"/>
        <w:ind w:firstLine="643" w:firstLineChars="200"/>
        <w:rPr>
          <w:rFonts w:ascii="黑体" w:hAnsi="黑体" w:eastAsia="黑体"/>
          <w:b/>
          <w:sz w:val="32"/>
          <w:szCs w:val="32"/>
        </w:rPr>
      </w:pPr>
    </w:p>
    <w:p>
      <w:pPr>
        <w:spacing w:beforeAutospacing="0" w:afterAutospacing="0" w:line="360" w:lineRule="auto"/>
        <w:jc w:val="center"/>
        <w:rPr>
          <w:rFonts w:ascii="宋体" w:hAnsi="宋体"/>
          <w:b/>
          <w:sz w:val="28"/>
          <w:szCs w:val="28"/>
        </w:rPr>
      </w:pPr>
      <w:r>
        <w:rPr>
          <w:rFonts w:hint="eastAsia" w:ascii="宋体" w:hAnsi="宋体"/>
          <w:b/>
          <w:sz w:val="28"/>
          <w:szCs w:val="28"/>
        </w:rPr>
        <w:t>须提供法定代表人及授权委托人身份证正反两面扫描件</w:t>
      </w:r>
    </w:p>
    <w:p>
      <w:pPr>
        <w:spacing w:beforeAutospacing="0" w:afterAutospacing="0" w:line="360" w:lineRule="auto"/>
        <w:jc w:val="center"/>
        <w:rPr>
          <w:rFonts w:ascii="黑体" w:hAnsi="黑体" w:eastAsia="黑体"/>
          <w:b/>
          <w:sz w:val="32"/>
          <w:szCs w:val="32"/>
        </w:rPr>
      </w:pPr>
    </w:p>
    <w:p>
      <w:pPr>
        <w:spacing w:beforeAutospacing="0" w:afterAutospacing="0" w:line="360" w:lineRule="auto"/>
        <w:jc w:val="center"/>
        <w:rPr>
          <w:rFonts w:ascii="黑体" w:hAnsi="黑体" w:eastAsia="黑体"/>
          <w:b/>
          <w:sz w:val="32"/>
          <w:szCs w:val="32"/>
        </w:rPr>
      </w:pPr>
    </w:p>
    <w:p>
      <w:pPr>
        <w:spacing w:beforeAutospacing="0" w:afterAutospacing="0" w:line="360" w:lineRule="auto"/>
        <w:jc w:val="center"/>
        <w:rPr>
          <w:rFonts w:ascii="黑体" w:hAnsi="黑体" w:eastAsia="黑体"/>
          <w:b/>
          <w:sz w:val="32"/>
          <w:szCs w:val="32"/>
        </w:rPr>
      </w:pPr>
    </w:p>
    <w:p>
      <w:pPr>
        <w:spacing w:beforeAutospacing="0" w:afterAutospacing="0" w:line="360" w:lineRule="auto"/>
        <w:jc w:val="center"/>
        <w:rPr>
          <w:rFonts w:ascii="黑体" w:hAnsi="黑体" w:eastAsia="黑体"/>
          <w:b/>
          <w:sz w:val="32"/>
          <w:szCs w:val="32"/>
        </w:rPr>
      </w:pPr>
    </w:p>
    <w:p>
      <w:pPr>
        <w:pStyle w:val="5"/>
        <w:spacing w:beforeAutospacing="0" w:afterAutospacing="0" w:line="500" w:lineRule="exact"/>
        <w:jc w:val="left"/>
        <w:rPr>
          <w:sz w:val="30"/>
          <w:szCs w:val="30"/>
        </w:rPr>
      </w:pPr>
      <w:r>
        <w:rPr>
          <w:rFonts w:hint="eastAsia" w:ascii="宋体" w:hAnsi="宋体" w:cs="宋体"/>
          <w:b w:val="0"/>
          <w:szCs w:val="32"/>
        </w:rPr>
        <w:br w:type="page"/>
      </w:r>
      <w:r>
        <w:rPr>
          <w:rFonts w:hint="eastAsia" w:ascii="宋体" w:hAnsi="宋体" w:cs="宋体"/>
          <w:b w:val="0"/>
          <w:szCs w:val="32"/>
        </w:rPr>
        <w:t>二、</w:t>
      </w:r>
      <w:r>
        <w:rPr>
          <w:rFonts w:hint="eastAsia"/>
          <w:sz w:val="30"/>
          <w:szCs w:val="30"/>
        </w:rPr>
        <w:t>法定代表人证明</w:t>
      </w:r>
    </w:p>
    <w:p>
      <w:pPr>
        <w:spacing w:beforeAutospacing="0" w:afterAutospacing="0" w:line="360" w:lineRule="auto"/>
        <w:jc w:val="center"/>
        <w:rPr>
          <w:rFonts w:ascii="宋体" w:hAnsi="宋体"/>
          <w:b/>
          <w:sz w:val="28"/>
          <w:szCs w:val="28"/>
        </w:rPr>
      </w:pPr>
      <w:r>
        <w:rPr>
          <w:rFonts w:hint="eastAsia" w:ascii="宋体" w:hAnsi="宋体"/>
          <w:b/>
          <w:sz w:val="28"/>
          <w:szCs w:val="28"/>
        </w:rPr>
        <w:t>（适用于法定代表人参加投标）</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ascii="宋体" w:hAnsi="宋体"/>
          <w:u w:val="single"/>
        </w:rPr>
        <w:t xml:space="preserve">  （法定代表人姓名）</w:t>
      </w:r>
      <w:r>
        <w:rPr>
          <w:rFonts w:hint="eastAsia" w:ascii="宋体" w:hAnsi="宋体"/>
        </w:rPr>
        <w:t>系</w:t>
      </w:r>
      <w:r>
        <w:rPr>
          <w:rFonts w:ascii="宋体" w:hAnsi="宋体"/>
          <w:u w:val="single"/>
        </w:rPr>
        <w:t xml:space="preserve">              （供应商名称）</w:t>
      </w:r>
      <w:r>
        <w:rPr>
          <w:rFonts w:hint="eastAsia" w:ascii="宋体" w:hAnsi="宋体"/>
        </w:rPr>
        <w:t>法定代表人，职务为</w:t>
      </w:r>
      <w:r>
        <w:rPr>
          <w:rFonts w:ascii="宋体" w:hAnsi="宋体"/>
          <w:u w:val="single"/>
        </w:rPr>
        <w:t>（职务名称）</w:t>
      </w:r>
      <w:r>
        <w:rPr>
          <w:rFonts w:ascii="宋体" w:hAnsi="宋体"/>
        </w:rPr>
        <w:t>。</w:t>
      </w:r>
    </w:p>
    <w:p>
      <w:pPr>
        <w:spacing w:beforeAutospacing="0" w:afterAutospacing="0" w:line="360" w:lineRule="auto"/>
        <w:ind w:firstLine="420" w:firstLineChars="200"/>
        <w:rPr>
          <w:rFonts w:ascii="宋体" w:hAnsi="宋体"/>
        </w:rPr>
      </w:pPr>
      <w:r>
        <w:rPr>
          <w:rFonts w:ascii="宋体" w:hAnsi="宋体"/>
        </w:rPr>
        <w:t>特此证明。</w:t>
      </w:r>
    </w:p>
    <w:p>
      <w:pPr>
        <w:spacing w:beforeAutospacing="0" w:afterAutospacing="0" w:line="360" w:lineRule="auto"/>
        <w:ind w:firstLine="420" w:firstLineChars="200"/>
        <w:rPr>
          <w:rFonts w:ascii="宋体" w:hAnsi="宋体"/>
        </w:rPr>
      </w:pPr>
      <w:r>
        <w:rPr>
          <w:rFonts w:ascii="宋体" w:hAnsi="宋体"/>
        </w:rPr>
        <w:t>附：</w:t>
      </w:r>
    </w:p>
    <w:p>
      <w:pPr>
        <w:spacing w:beforeAutospacing="0" w:afterAutospacing="0" w:line="360" w:lineRule="auto"/>
        <w:ind w:firstLine="420" w:firstLineChars="200"/>
        <w:rPr>
          <w:rFonts w:ascii="宋体" w:hAnsi="宋体"/>
        </w:rPr>
      </w:pPr>
      <w:r>
        <w:rPr>
          <w:rFonts w:hint="eastAsia" w:ascii="宋体" w:hAnsi="宋体"/>
        </w:rPr>
        <w:t>法定代表人</w:t>
      </w:r>
      <w:r>
        <w:rPr>
          <w:rFonts w:ascii="宋体" w:hAnsi="宋体"/>
        </w:rPr>
        <w:t>身份证号码：</w:t>
      </w:r>
      <w:r>
        <w:rPr>
          <w:rFonts w:hint="eastAsia" w:ascii="宋体" w:hAnsi="宋体"/>
        </w:rPr>
        <w:t>；</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jc w:val="right"/>
        <w:rPr>
          <w:rFonts w:ascii="宋体" w:hAnsi="宋体"/>
        </w:rPr>
      </w:pPr>
      <w:r>
        <w:rPr>
          <w:rFonts w:ascii="宋体" w:hAnsi="宋体"/>
        </w:rPr>
        <w:t>供应商全称 (</w:t>
      </w:r>
      <w:r>
        <w:rPr>
          <w:rFonts w:hint="eastAsia" w:ascii="宋体" w:hAnsi="宋体"/>
        </w:rPr>
        <w:t>盖单位公章</w:t>
      </w:r>
      <w:r>
        <w:rPr>
          <w:rFonts w:ascii="宋体" w:hAnsi="宋体"/>
        </w:rPr>
        <w:t xml:space="preserve">)                                                    </w:t>
      </w:r>
    </w:p>
    <w:p>
      <w:pPr>
        <w:spacing w:beforeAutospacing="0" w:afterAutospacing="0" w:line="360" w:lineRule="auto"/>
        <w:ind w:firstLine="420" w:firstLineChars="200"/>
        <w:jc w:val="right"/>
        <w:rPr>
          <w:rFonts w:ascii="宋体" w:hAnsi="宋体"/>
        </w:rPr>
      </w:pPr>
      <w:r>
        <w:rPr>
          <w:rFonts w:ascii="宋体" w:hAnsi="宋体"/>
        </w:rPr>
        <w:t xml:space="preserve"> 年   月   日</w:t>
      </w:r>
    </w:p>
    <w:p>
      <w:pPr>
        <w:spacing w:beforeAutospacing="0" w:afterAutospacing="0" w:line="360" w:lineRule="auto"/>
        <w:ind w:firstLine="643" w:firstLineChars="200"/>
        <w:jc w:val="right"/>
        <w:rPr>
          <w:rFonts w:ascii="宋体" w:hAnsi="宋体"/>
          <w:b/>
          <w:sz w:val="32"/>
          <w:szCs w:val="32"/>
        </w:rPr>
      </w:pPr>
    </w:p>
    <w:p>
      <w:pPr>
        <w:spacing w:beforeAutospacing="0" w:afterAutospacing="0" w:line="360" w:lineRule="auto"/>
        <w:jc w:val="center"/>
        <w:rPr>
          <w:rFonts w:ascii="宋体" w:hAnsi="宋体"/>
          <w:b/>
          <w:sz w:val="28"/>
          <w:szCs w:val="28"/>
        </w:rPr>
      </w:pPr>
      <w:r>
        <w:rPr>
          <w:rFonts w:hint="eastAsia" w:ascii="宋体" w:hAnsi="宋体"/>
          <w:b/>
          <w:sz w:val="28"/>
          <w:szCs w:val="28"/>
        </w:rPr>
        <w:t>须提供法定代表人身份证正反两面扫描件</w:t>
      </w:r>
    </w:p>
    <w:p>
      <w:pPr>
        <w:pStyle w:val="5"/>
        <w:spacing w:beforeAutospacing="0" w:afterAutospacing="0" w:line="500" w:lineRule="exact"/>
        <w:jc w:val="left"/>
        <w:rPr>
          <w:sz w:val="30"/>
          <w:szCs w:val="30"/>
        </w:rPr>
        <w:sectPr>
          <w:pgSz w:w="11907" w:h="16840"/>
          <w:pgMar w:top="1440" w:right="1800" w:bottom="1276" w:left="1800" w:header="851" w:footer="851" w:gutter="0"/>
          <w:cols w:space="720" w:num="1"/>
          <w:docGrid w:linePitch="312" w:charSpace="0"/>
        </w:sectPr>
      </w:pPr>
    </w:p>
    <w:p>
      <w:pPr>
        <w:pStyle w:val="5"/>
        <w:spacing w:beforeAutospacing="0" w:afterAutospacing="0" w:line="500" w:lineRule="exact"/>
        <w:jc w:val="left"/>
        <w:rPr>
          <w:sz w:val="30"/>
          <w:szCs w:val="30"/>
        </w:rPr>
      </w:pPr>
      <w:r>
        <w:rPr>
          <w:rFonts w:hint="eastAsia"/>
          <w:sz w:val="30"/>
          <w:szCs w:val="30"/>
        </w:rPr>
        <w:t>三、</w:t>
      </w:r>
      <w:r>
        <w:rPr>
          <w:sz w:val="30"/>
          <w:szCs w:val="30"/>
        </w:rPr>
        <w:t>投标分项报价表</w:t>
      </w:r>
    </w:p>
    <w:p>
      <w:pPr>
        <w:spacing w:beforeAutospacing="0" w:afterAutospacing="0" w:line="360" w:lineRule="auto"/>
        <w:jc w:val="center"/>
        <w:rPr>
          <w:rFonts w:ascii="宋体" w:hAnsi="宋体"/>
          <w:b/>
          <w:sz w:val="28"/>
          <w:szCs w:val="28"/>
        </w:rPr>
      </w:pPr>
      <w:r>
        <w:rPr>
          <w:rFonts w:ascii="宋体" w:hAnsi="宋体"/>
          <w:b/>
          <w:sz w:val="28"/>
          <w:szCs w:val="28"/>
        </w:rPr>
        <w:t>投标分项报价表</w:t>
      </w:r>
    </w:p>
    <w:tbl>
      <w:tblPr>
        <w:tblStyle w:val="19"/>
        <w:tblW w:w="135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2664"/>
        <w:gridCol w:w="1836"/>
        <w:gridCol w:w="912"/>
        <w:gridCol w:w="840"/>
        <w:gridCol w:w="960"/>
        <w:gridCol w:w="960"/>
        <w:gridCol w:w="744"/>
        <w:gridCol w:w="960"/>
        <w:gridCol w:w="960"/>
        <w:gridCol w:w="552"/>
        <w:gridCol w:w="552"/>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货物名称及规格型号</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6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主机及标准附件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备品备件专用工具</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运杂费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安装调试检验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培训及技术服务</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岛津气质联用专用自动进样器（150位）</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岛津气质联用专用数据库</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紫外分光光度计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高速冷冻离心机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冷冻研磨仪</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液相色谱串联质谱仪</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气相色谱质谱联用仪</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报价总计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r>
    </w:tbl>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 xml:space="preserve">法定代表人或授权代理人（签字或盖章） </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备</w:t>
      </w:r>
      <w:r>
        <w:rPr>
          <w:rFonts w:ascii="宋体" w:hAnsi="宋体"/>
        </w:rPr>
        <w:t>注：</w:t>
      </w:r>
    </w:p>
    <w:p>
      <w:pPr>
        <w:spacing w:beforeAutospacing="0" w:afterAutospacing="0" w:line="360" w:lineRule="auto"/>
        <w:ind w:firstLine="422" w:firstLineChars="200"/>
        <w:rPr>
          <w:rFonts w:ascii="宋体" w:hAnsi="宋体"/>
          <w:b/>
        </w:rPr>
      </w:pPr>
      <w:r>
        <w:rPr>
          <w:rFonts w:ascii="宋体" w:hAnsi="宋体"/>
          <w:b/>
        </w:rPr>
        <w:t>1.如果按单价计算的结果与总价不一致，以单价为准修正总价。</w:t>
      </w:r>
    </w:p>
    <w:p>
      <w:pPr>
        <w:spacing w:beforeAutospacing="0" w:afterAutospacing="0" w:line="360" w:lineRule="auto"/>
        <w:ind w:firstLine="422" w:firstLineChars="200"/>
        <w:rPr>
          <w:rFonts w:ascii="宋体" w:hAnsi="宋体"/>
          <w:b/>
        </w:rPr>
      </w:pPr>
      <w:r>
        <w:rPr>
          <w:rFonts w:ascii="宋体" w:hAnsi="宋体"/>
          <w:b/>
        </w:rPr>
        <w:t>2.如果不提供详细分项报价</w:t>
      </w:r>
      <w:r>
        <w:rPr>
          <w:rFonts w:hint="eastAsia" w:ascii="宋体" w:hAnsi="宋体"/>
          <w:b/>
        </w:rPr>
        <w:t>或未按招标文件《采购需求一览表》中的产品名称提供详细分项报价，</w:t>
      </w:r>
      <w:r>
        <w:rPr>
          <w:rFonts w:ascii="宋体" w:hAnsi="宋体"/>
          <w:b/>
        </w:rPr>
        <w:t>将视为没有实质性响应招标文件</w:t>
      </w:r>
      <w:r>
        <w:rPr>
          <w:rFonts w:hint="eastAsia" w:ascii="宋体" w:hAnsi="宋体"/>
          <w:b/>
        </w:rPr>
        <w:t>，作无效投标处理</w:t>
      </w:r>
      <w:r>
        <w:rPr>
          <w:rFonts w:ascii="宋体" w:hAnsi="宋体"/>
          <w:b/>
        </w:rPr>
        <w:t>。</w:t>
      </w:r>
    </w:p>
    <w:p>
      <w:pPr>
        <w:spacing w:beforeAutospacing="0" w:afterAutospacing="0" w:line="360" w:lineRule="auto"/>
        <w:ind w:firstLine="422" w:firstLineChars="200"/>
        <w:rPr>
          <w:rFonts w:ascii="宋体" w:hAnsi="宋体"/>
          <w:b/>
        </w:rPr>
      </w:pPr>
      <w:r>
        <w:rPr>
          <w:rFonts w:ascii="宋体" w:hAnsi="宋体"/>
          <w:b/>
        </w:rPr>
        <w:t>3.上述单价为综合单价，应包含一切税费。</w:t>
      </w:r>
    </w:p>
    <w:p>
      <w:pPr>
        <w:spacing w:beforeAutospacing="0" w:afterAutospacing="0" w:line="360" w:lineRule="auto"/>
        <w:ind w:firstLine="422" w:firstLineChars="200"/>
        <w:rPr>
          <w:rFonts w:ascii="宋体" w:hAnsi="宋体"/>
          <w:b/>
        </w:rPr>
      </w:pPr>
      <w:r>
        <w:rPr>
          <w:rFonts w:ascii="宋体" w:hAnsi="宋体"/>
          <w:b/>
        </w:rPr>
        <w:t>4.供应商根据项目实际填写，表中单项，项目招标要求不涉及的可留空或自行调整。</w:t>
      </w:r>
    </w:p>
    <w:p>
      <w:pPr>
        <w:spacing w:beforeAutospacing="0" w:afterAutospacing="0" w:line="360" w:lineRule="auto"/>
        <w:ind w:firstLine="422" w:firstLineChars="200"/>
      </w:pPr>
      <w:r>
        <w:rPr>
          <w:rFonts w:ascii="宋体" w:hAnsi="宋体"/>
          <w:b/>
        </w:rPr>
        <w:t>5.表格不够可以自行加页；具体配置请供应商填写完全，没有填写完全的则按无此配置评标。</w:t>
      </w:r>
    </w:p>
    <w:p/>
    <w:p>
      <w:pPr>
        <w:widowControl/>
        <w:jc w:val="left"/>
      </w:pPr>
      <w:r>
        <w:br w:type="page"/>
      </w:r>
    </w:p>
    <w:p>
      <w:pPr>
        <w:pStyle w:val="5"/>
        <w:spacing w:beforeAutospacing="0" w:afterAutospacing="0" w:line="500" w:lineRule="exact"/>
        <w:jc w:val="left"/>
        <w:rPr>
          <w:sz w:val="30"/>
          <w:szCs w:val="30"/>
        </w:rPr>
      </w:pPr>
      <w:r>
        <w:rPr>
          <w:rFonts w:hint="eastAsia"/>
          <w:sz w:val="30"/>
          <w:szCs w:val="30"/>
        </w:rPr>
        <w:t>四、</w:t>
      </w:r>
      <w:r>
        <w:rPr>
          <w:sz w:val="30"/>
          <w:szCs w:val="30"/>
        </w:rPr>
        <w:t>交货一览表</w:t>
      </w:r>
    </w:p>
    <w:p>
      <w:pPr>
        <w:spacing w:beforeAutospacing="0" w:afterAutospacing="0" w:line="360" w:lineRule="auto"/>
        <w:jc w:val="center"/>
        <w:rPr>
          <w:rFonts w:ascii="宋体" w:hAnsi="宋体"/>
          <w:b/>
          <w:sz w:val="28"/>
          <w:szCs w:val="28"/>
        </w:rPr>
      </w:pPr>
      <w:r>
        <w:rPr>
          <w:rFonts w:hint="eastAsia" w:ascii="宋体" w:hAnsi="宋体"/>
          <w:b/>
          <w:sz w:val="28"/>
          <w:szCs w:val="28"/>
        </w:rPr>
        <w:t>交货一览表</w:t>
      </w:r>
    </w:p>
    <w:tbl>
      <w:tblPr>
        <w:tblStyle w:val="19"/>
        <w:tblW w:w="129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3024"/>
        <w:gridCol w:w="672"/>
        <w:gridCol w:w="1164"/>
        <w:gridCol w:w="1164"/>
        <w:gridCol w:w="1248"/>
        <w:gridCol w:w="1320"/>
        <w:gridCol w:w="1464"/>
        <w:gridCol w:w="1176"/>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货物名称及规格型号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产品品牌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原产地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制造商名称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执行质量标准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交货期</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交货地点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岛津气质联用专用自动进样器（150位）</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岛津气质联用专用数据库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紫外分光光度计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高速冷冻离心机</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冷冻研磨仪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液相色谱串联质谱仪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气相色谱质谱联用仪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bl>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供应商(盖单位公章)</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 xml:space="preserve">法定代表人或授权代理人（签字或盖章） </w:t>
      </w:r>
    </w:p>
    <w:p>
      <w:pPr>
        <w:spacing w:beforeAutospacing="0" w:afterAutospacing="0" w:line="360" w:lineRule="auto"/>
        <w:ind w:firstLine="420" w:firstLineChars="200"/>
        <w:rPr>
          <w:rFonts w:ascii="宋体" w:hAnsi="宋体"/>
        </w:rPr>
      </w:pPr>
      <w:r>
        <w:rPr>
          <w:rFonts w:hint="eastAsia" w:ascii="宋体" w:hAnsi="宋体"/>
        </w:rPr>
        <w:t>备</w:t>
      </w:r>
      <w:r>
        <w:rPr>
          <w:rFonts w:ascii="宋体" w:hAnsi="宋体"/>
        </w:rPr>
        <w:t>注</w:t>
      </w:r>
      <w:r>
        <w:rPr>
          <w:rFonts w:hint="eastAsia" w:ascii="宋体" w:hAnsi="宋体"/>
        </w:rPr>
        <w:t>：</w:t>
      </w:r>
    </w:p>
    <w:p>
      <w:pPr>
        <w:spacing w:beforeAutospacing="0" w:afterAutospacing="0" w:line="360" w:lineRule="auto"/>
        <w:ind w:firstLine="422" w:firstLineChars="200"/>
        <w:rPr>
          <w:rFonts w:ascii="宋体" w:hAnsi="宋体"/>
          <w:b/>
        </w:rPr>
      </w:pPr>
      <w:r>
        <w:rPr>
          <w:rFonts w:hint="eastAsia" w:ascii="宋体" w:hAnsi="宋体"/>
          <w:b/>
        </w:rPr>
        <w:t>1.本表和投标分项报价表的序号、货物名称及规格型号、数量等应一致。</w:t>
      </w:r>
    </w:p>
    <w:p>
      <w:pPr>
        <w:spacing w:beforeAutospacing="0" w:afterAutospacing="0" w:line="360" w:lineRule="auto"/>
        <w:ind w:firstLine="422" w:firstLineChars="200"/>
        <w:rPr>
          <w:rFonts w:ascii="宋体" w:hAnsi="宋体"/>
          <w:b/>
        </w:rPr>
      </w:pPr>
      <w:r>
        <w:rPr>
          <w:rFonts w:hint="eastAsia" w:ascii="宋体" w:hAnsi="宋体"/>
          <w:b/>
        </w:rPr>
        <w:t>2.供应商根据项目实际填写，表中单项，项目招标要求不涉及的可留空或自行调整。</w:t>
      </w:r>
    </w:p>
    <w:p>
      <w:pPr>
        <w:pStyle w:val="2"/>
        <w:ind w:left="1260"/>
        <w:sectPr>
          <w:pgSz w:w="16840" w:h="11907" w:orient="landscape"/>
          <w:pgMar w:top="1797" w:right="1440" w:bottom="1797" w:left="1276" w:header="851" w:footer="851" w:gutter="0"/>
          <w:cols w:space="720" w:num="1"/>
          <w:docGrid w:linePitch="312" w:charSpace="0"/>
        </w:sectPr>
      </w:pPr>
    </w:p>
    <w:p>
      <w:pPr>
        <w:pStyle w:val="5"/>
        <w:spacing w:beforeAutospacing="0" w:afterAutospacing="0" w:line="500" w:lineRule="exact"/>
        <w:jc w:val="left"/>
        <w:rPr>
          <w:sz w:val="30"/>
          <w:szCs w:val="30"/>
        </w:rPr>
      </w:pPr>
      <w:r>
        <w:rPr>
          <w:rFonts w:hint="eastAsia"/>
          <w:sz w:val="30"/>
          <w:szCs w:val="30"/>
        </w:rPr>
        <w:t>五、招标文件约定的核心产品一览表</w:t>
      </w:r>
    </w:p>
    <w:p>
      <w:pPr>
        <w:spacing w:beforeAutospacing="0" w:afterAutospacing="0" w:line="360" w:lineRule="auto"/>
        <w:jc w:val="center"/>
        <w:rPr>
          <w:rFonts w:ascii="仿宋_GB2312" w:eastAsia="仿宋_GB2312"/>
          <w:sz w:val="24"/>
          <w:szCs w:val="24"/>
        </w:rPr>
      </w:pPr>
      <w:r>
        <w:rPr>
          <w:rFonts w:hint="eastAsia" w:ascii="宋体" w:hAnsi="宋体"/>
          <w:b/>
          <w:sz w:val="28"/>
          <w:szCs w:val="28"/>
        </w:rPr>
        <w:t xml:space="preserve">招标文件约定的核心产品一览表 </w:t>
      </w:r>
    </w:p>
    <w:tbl>
      <w:tblPr>
        <w:tblStyle w:val="19"/>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08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5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招标文件约定的核心产品名称</w:t>
            </w:r>
          </w:p>
        </w:tc>
        <w:tc>
          <w:tcPr>
            <w:tcW w:w="3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5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000000"/>
                <w:kern w:val="0"/>
                <w:sz w:val="20"/>
                <w:szCs w:val="20"/>
                <w:lang w:bidi="ar"/>
              </w:rPr>
              <w:t>液相色谱串联质谱仪</w:t>
            </w:r>
          </w:p>
        </w:tc>
        <w:tc>
          <w:tcPr>
            <w:tcW w:w="3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beforeAutospacing="0" w:afterAutospacing="0" w:line="360" w:lineRule="auto"/>
        <w:ind w:firstLine="420" w:firstLineChars="200"/>
        <w:rPr>
          <w:rFonts w:ascii="宋体" w:hAnsi="宋体"/>
        </w:rPr>
      </w:pPr>
      <w:r>
        <w:rPr>
          <w:rFonts w:hint="eastAsia" w:ascii="宋体" w:hAnsi="宋体"/>
        </w:rPr>
        <w:t xml:space="preserve">法定代表人或授权代理人（签字或盖章） </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备</w:t>
      </w:r>
      <w:r>
        <w:rPr>
          <w:rFonts w:ascii="宋体" w:hAnsi="宋体"/>
        </w:rPr>
        <w:t>注</w:t>
      </w:r>
      <w:r>
        <w:rPr>
          <w:rFonts w:hint="eastAsia" w:ascii="宋体" w:hAnsi="宋体"/>
        </w:rPr>
        <w:t>：</w:t>
      </w:r>
      <w:r>
        <w:rPr>
          <w:rFonts w:hint="eastAsia" w:ascii="宋体" w:hAnsi="宋体"/>
          <w:b/>
        </w:rPr>
        <w:t>根据项目实际填写，可留空或自行调整。</w:t>
      </w:r>
    </w:p>
    <w:p>
      <w:pPr>
        <w:spacing w:beforeAutospacing="0" w:afterAutospacing="0" w:line="360" w:lineRule="exact"/>
        <w:ind w:firstLine="413" w:firstLineChars="196"/>
        <w:rPr>
          <w:rFonts w:ascii="宋体" w:hAnsi="宋体" w:cs="宋体"/>
          <w:b/>
        </w:rPr>
      </w:pPr>
    </w:p>
    <w:p>
      <w:pPr>
        <w:pStyle w:val="5"/>
        <w:spacing w:beforeAutospacing="0" w:afterAutospacing="0" w:line="500" w:lineRule="exact"/>
        <w:jc w:val="left"/>
        <w:rPr>
          <w:sz w:val="30"/>
          <w:szCs w:val="30"/>
        </w:rPr>
        <w:sectPr>
          <w:pgSz w:w="11907" w:h="16840"/>
          <w:pgMar w:top="1440" w:right="1800" w:bottom="1276" w:left="1800" w:header="851" w:footer="851" w:gutter="0"/>
          <w:cols w:space="720" w:num="1"/>
          <w:docGrid w:linePitch="312" w:charSpace="0"/>
        </w:sectPr>
      </w:pPr>
    </w:p>
    <w:p>
      <w:pPr>
        <w:pStyle w:val="5"/>
        <w:spacing w:beforeAutospacing="0" w:afterAutospacing="0" w:line="500" w:lineRule="exact"/>
        <w:jc w:val="left"/>
        <w:rPr>
          <w:sz w:val="30"/>
          <w:szCs w:val="30"/>
        </w:rPr>
      </w:pPr>
      <w:r>
        <w:rPr>
          <w:sz w:val="30"/>
          <w:szCs w:val="30"/>
        </w:rPr>
        <w:t>六、技术规格偏离表</w:t>
      </w:r>
    </w:p>
    <w:p>
      <w:pPr>
        <w:spacing w:beforeAutospacing="0" w:afterAutospacing="0" w:line="360" w:lineRule="auto"/>
        <w:jc w:val="center"/>
        <w:rPr>
          <w:rFonts w:ascii="宋体" w:hAnsi="宋体"/>
          <w:b/>
          <w:sz w:val="28"/>
          <w:szCs w:val="28"/>
        </w:rPr>
      </w:pPr>
      <w:r>
        <w:rPr>
          <w:rFonts w:ascii="宋体" w:hAnsi="宋体"/>
          <w:b/>
          <w:sz w:val="28"/>
          <w:szCs w:val="28"/>
        </w:rPr>
        <w:t>技术规格偏离表</w:t>
      </w:r>
    </w:p>
    <w:tbl>
      <w:tblPr>
        <w:tblStyle w:val="19"/>
        <w:tblW w:w="141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1030"/>
        <w:gridCol w:w="4133"/>
        <w:gridCol w:w="3917"/>
        <w:gridCol w:w="1590"/>
        <w:gridCol w:w="1184"/>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招标货物主要参数、技术规格</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投标货物主要参数、技术规格</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（正或负或无）</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备注：相关证明材料在投标文件中的具体位置（页码）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岛津气质联用专用自动进样器（150位）</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岛津气质联用专用数据库</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紫外分光光度计</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高速冷冻离心机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冷冻研磨仪</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液相色谱串联质谱仪</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4.1.10</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4.5.10</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气相色谱质谱联用仪</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（一）工作条件</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（二）技术指标</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（四）配置清单</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
      <w:pPr>
        <w:spacing w:beforeAutospacing="0" w:afterAutospacing="0"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beforeAutospacing="0" w:afterAutospacing="0" w:line="360" w:lineRule="auto"/>
        <w:ind w:firstLine="420" w:firstLineChars="200"/>
        <w:rPr>
          <w:rFonts w:ascii="宋体" w:hAnsi="宋体"/>
        </w:rPr>
      </w:pPr>
      <w:r>
        <w:rPr>
          <w:rFonts w:hint="eastAsia" w:ascii="宋体" w:hAnsi="宋体"/>
        </w:rPr>
        <w:t xml:space="preserve">法定代表人或授权代理人（签字或盖章） </w:t>
      </w:r>
    </w:p>
    <w:p>
      <w:pPr>
        <w:spacing w:beforeAutospacing="0" w:afterAutospacing="0" w:line="360" w:lineRule="auto"/>
        <w:ind w:firstLine="420" w:firstLineChars="200"/>
        <w:rPr>
          <w:rFonts w:ascii="宋体" w:hAnsi="宋体"/>
        </w:rPr>
      </w:pPr>
      <w:r>
        <w:rPr>
          <w:rFonts w:hint="eastAsia" w:ascii="宋体" w:hAnsi="宋体"/>
        </w:rPr>
        <w:t>备注</w:t>
      </w:r>
      <w:r>
        <w:rPr>
          <w:rFonts w:ascii="宋体" w:hAnsi="宋体"/>
        </w:rPr>
        <w:t>：</w:t>
      </w:r>
    </w:p>
    <w:p>
      <w:pPr>
        <w:spacing w:beforeAutospacing="0" w:afterAutospacing="0" w:line="360" w:lineRule="auto"/>
        <w:ind w:firstLine="422" w:firstLineChars="200"/>
        <w:rPr>
          <w:rFonts w:ascii="宋体" w:hAnsi="宋体"/>
          <w:b/>
        </w:rPr>
      </w:pPr>
      <w:r>
        <w:rPr>
          <w:rFonts w:ascii="宋体" w:hAnsi="宋体"/>
          <w:b/>
        </w:rPr>
        <w:t>1.本表填写时，招标货物主要参数、技术规格</w:t>
      </w:r>
      <w:r>
        <w:rPr>
          <w:rFonts w:hint="eastAsia" w:ascii="宋体" w:hAnsi="宋体"/>
          <w:b/>
        </w:rPr>
        <w:t>为招标文件《采购需求一览表》中技术参数要求，</w:t>
      </w:r>
      <w:r>
        <w:rPr>
          <w:rFonts w:ascii="宋体" w:hAnsi="宋体"/>
          <w:b/>
        </w:rPr>
        <w:t>投标货物</w:t>
      </w:r>
      <w:r>
        <w:rPr>
          <w:rFonts w:hint="eastAsia" w:ascii="宋体" w:hAnsi="宋体"/>
          <w:b/>
        </w:rPr>
        <w:t>主要</w:t>
      </w:r>
      <w:r>
        <w:rPr>
          <w:rFonts w:ascii="宋体" w:hAnsi="宋体"/>
          <w:b/>
        </w:rPr>
        <w:t>参数</w:t>
      </w:r>
      <w:r>
        <w:rPr>
          <w:rFonts w:hint="eastAsia" w:ascii="宋体" w:hAnsi="宋体"/>
          <w:b/>
        </w:rPr>
        <w:t>、技术</w:t>
      </w:r>
      <w:r>
        <w:rPr>
          <w:rFonts w:ascii="宋体" w:hAnsi="宋体"/>
          <w:b/>
        </w:rPr>
        <w:t>规格应据实填写。</w:t>
      </w:r>
    </w:p>
    <w:p>
      <w:pPr>
        <w:spacing w:beforeAutospacing="0" w:afterAutospacing="0" w:line="360" w:lineRule="auto"/>
        <w:ind w:firstLine="422" w:firstLineChars="200"/>
        <w:rPr>
          <w:rFonts w:ascii="宋体" w:hAnsi="宋体"/>
          <w:b/>
        </w:rPr>
      </w:pPr>
      <w:r>
        <w:rPr>
          <w:rFonts w:ascii="宋体" w:hAnsi="宋体"/>
          <w:b/>
        </w:rPr>
        <w:t>2.供应商根据项目实际填写，表中单项，项目招标要求不涉及的可留空或自行调整。</w:t>
      </w:r>
    </w:p>
    <w:p>
      <w:pPr>
        <w:pStyle w:val="5"/>
        <w:spacing w:beforeAutospacing="0" w:afterAutospacing="0" w:line="500" w:lineRule="exact"/>
        <w:jc w:val="left"/>
        <w:rPr>
          <w:sz w:val="30"/>
          <w:szCs w:val="30"/>
        </w:rPr>
        <w:sectPr>
          <w:pgSz w:w="16840" w:h="11907" w:orient="landscape"/>
          <w:pgMar w:top="1797" w:right="1440" w:bottom="1797" w:left="1276" w:header="851" w:footer="851" w:gutter="0"/>
          <w:cols w:space="720" w:num="1"/>
          <w:docGrid w:linePitch="312" w:charSpace="0"/>
        </w:sectPr>
      </w:pPr>
    </w:p>
    <w:p>
      <w:pPr>
        <w:pStyle w:val="5"/>
        <w:spacing w:beforeAutospacing="0" w:afterAutospacing="0" w:line="500" w:lineRule="exact"/>
        <w:jc w:val="left"/>
        <w:rPr>
          <w:sz w:val="30"/>
          <w:szCs w:val="30"/>
        </w:rPr>
      </w:pPr>
      <w:r>
        <w:rPr>
          <w:rFonts w:hint="eastAsia"/>
          <w:sz w:val="30"/>
          <w:szCs w:val="30"/>
        </w:rPr>
        <w:t>七、</w:t>
      </w:r>
      <w:r>
        <w:rPr>
          <w:sz w:val="30"/>
          <w:szCs w:val="30"/>
        </w:rPr>
        <w:t>商务条款偏离表</w:t>
      </w:r>
    </w:p>
    <w:p>
      <w:pPr>
        <w:spacing w:beforeAutospacing="0" w:afterAutospacing="0" w:line="360" w:lineRule="auto"/>
        <w:jc w:val="center"/>
        <w:rPr>
          <w:rFonts w:ascii="宋体" w:hAnsi="宋体"/>
          <w:sz w:val="36"/>
        </w:rPr>
      </w:pPr>
      <w:r>
        <w:rPr>
          <w:rFonts w:ascii="宋体" w:hAnsi="宋体"/>
          <w:b/>
          <w:sz w:val="28"/>
          <w:szCs w:val="28"/>
        </w:rPr>
        <w:t>商务条款偏离表</w:t>
      </w:r>
    </w:p>
    <w:tbl>
      <w:tblPr>
        <w:tblStyle w:val="19"/>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87"/>
        <w:gridCol w:w="2325"/>
        <w:gridCol w:w="1904"/>
        <w:gridCol w:w="157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trPr>
        <w:tc>
          <w:tcPr>
            <w:tcW w:w="675" w:type="dxa"/>
            <w:vAlign w:val="center"/>
          </w:tcPr>
          <w:p>
            <w:pPr>
              <w:jc w:val="center"/>
              <w:rPr>
                <w:rFonts w:ascii="宋体" w:hAnsi="宋体"/>
                <w:szCs w:val="21"/>
              </w:rPr>
            </w:pPr>
            <w:r>
              <w:rPr>
                <w:rFonts w:ascii="宋体" w:hAnsi="宋体"/>
                <w:szCs w:val="21"/>
              </w:rPr>
              <w:t>序号</w:t>
            </w:r>
          </w:p>
        </w:tc>
        <w:tc>
          <w:tcPr>
            <w:tcW w:w="1287" w:type="dxa"/>
            <w:vAlign w:val="center"/>
          </w:tcPr>
          <w:p>
            <w:pPr>
              <w:jc w:val="center"/>
              <w:rPr>
                <w:rFonts w:ascii="宋体" w:hAnsi="宋体"/>
                <w:szCs w:val="21"/>
              </w:rPr>
            </w:pPr>
            <w:r>
              <w:rPr>
                <w:rFonts w:ascii="宋体" w:hAnsi="宋体"/>
                <w:szCs w:val="21"/>
              </w:rPr>
              <w:t>招标文件规定条款项</w:t>
            </w:r>
          </w:p>
        </w:tc>
        <w:tc>
          <w:tcPr>
            <w:tcW w:w="2325" w:type="dxa"/>
            <w:vAlign w:val="center"/>
          </w:tcPr>
          <w:p>
            <w:pPr>
              <w:jc w:val="center"/>
              <w:rPr>
                <w:rFonts w:ascii="宋体" w:hAnsi="宋体"/>
                <w:szCs w:val="21"/>
              </w:rPr>
            </w:pPr>
            <w:r>
              <w:rPr>
                <w:rFonts w:ascii="宋体" w:hAnsi="宋体"/>
                <w:szCs w:val="21"/>
              </w:rPr>
              <w:t>招标文件的商务条款</w:t>
            </w:r>
          </w:p>
        </w:tc>
        <w:tc>
          <w:tcPr>
            <w:tcW w:w="1904" w:type="dxa"/>
            <w:vAlign w:val="center"/>
          </w:tcPr>
          <w:p>
            <w:pPr>
              <w:jc w:val="center"/>
              <w:rPr>
                <w:rFonts w:ascii="宋体" w:hAnsi="宋体"/>
                <w:szCs w:val="21"/>
              </w:rPr>
            </w:pPr>
            <w:r>
              <w:rPr>
                <w:rFonts w:ascii="宋体" w:hAnsi="宋体"/>
                <w:szCs w:val="21"/>
              </w:rPr>
              <w:t>投标文件的商务条款</w:t>
            </w:r>
          </w:p>
        </w:tc>
        <w:tc>
          <w:tcPr>
            <w:tcW w:w="1572" w:type="dxa"/>
            <w:vAlign w:val="center"/>
          </w:tcPr>
          <w:p>
            <w:pPr>
              <w:jc w:val="center"/>
              <w:rPr>
                <w:rFonts w:ascii="宋体" w:hAnsi="宋体"/>
                <w:szCs w:val="21"/>
              </w:rPr>
            </w:pPr>
            <w:r>
              <w:rPr>
                <w:rFonts w:ascii="宋体" w:hAnsi="宋体"/>
                <w:szCs w:val="21"/>
              </w:rPr>
              <w:t>差异说明</w:t>
            </w:r>
          </w:p>
        </w:tc>
        <w:tc>
          <w:tcPr>
            <w:tcW w:w="1904" w:type="dxa"/>
            <w:vAlign w:val="center"/>
          </w:tcPr>
          <w:p>
            <w:pPr>
              <w:jc w:val="center"/>
              <w:rPr>
                <w:rFonts w:ascii="宋体" w:hAnsi="宋体"/>
                <w:szCs w:val="21"/>
              </w:rPr>
            </w:pPr>
            <w:r>
              <w:rPr>
                <w:rFonts w:ascii="宋体" w:hAnsi="宋体"/>
                <w:szCs w:val="21"/>
              </w:rPr>
              <w:t>备注</w:t>
            </w:r>
            <w:r>
              <w:rPr>
                <w:rFonts w:hint="eastAsia" w:ascii="宋体" w:hAnsi="宋体"/>
                <w:szCs w:val="21"/>
              </w:rPr>
              <w:t>：</w:t>
            </w:r>
            <w:r>
              <w:rPr>
                <w:rFonts w:ascii="宋体" w:hAnsi="宋体"/>
                <w:szCs w:val="21"/>
              </w:rPr>
              <w:t>相关证明材料在投标文件中的具体位置</w:t>
            </w:r>
            <w:r>
              <w:rPr>
                <w:rFonts w:hint="eastAsia" w:ascii="宋体" w:hAnsi="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675" w:type="dxa"/>
            <w:vAlign w:val="center"/>
          </w:tcPr>
          <w:p>
            <w:pPr>
              <w:spacing w:beforeAutospacing="0" w:afterAutospacing="0" w:line="360" w:lineRule="auto"/>
              <w:jc w:val="center"/>
              <w:rPr>
                <w:rFonts w:ascii="宋体" w:hAnsi="宋体"/>
                <w:szCs w:val="21"/>
              </w:rPr>
            </w:pPr>
            <w:r>
              <w:rPr>
                <w:rFonts w:ascii="宋体" w:hAnsi="宋体"/>
                <w:szCs w:val="21"/>
              </w:rPr>
              <w:t>1</w:t>
            </w:r>
          </w:p>
        </w:tc>
        <w:tc>
          <w:tcPr>
            <w:tcW w:w="1287" w:type="dxa"/>
            <w:vAlign w:val="center"/>
          </w:tcPr>
          <w:p>
            <w:pPr>
              <w:spacing w:beforeAutospacing="0" w:afterAutospacing="0" w:line="360" w:lineRule="auto"/>
              <w:jc w:val="center"/>
              <w:rPr>
                <w:rFonts w:ascii="宋体" w:hAnsi="宋体"/>
                <w:szCs w:val="21"/>
              </w:rPr>
            </w:pPr>
            <w:r>
              <w:rPr>
                <w:rFonts w:ascii="宋体" w:hAnsi="宋体"/>
                <w:szCs w:val="21"/>
              </w:rPr>
              <w:t>供货期</w:t>
            </w:r>
          </w:p>
        </w:tc>
        <w:tc>
          <w:tcPr>
            <w:tcW w:w="2325" w:type="dxa"/>
            <w:vAlign w:val="center"/>
          </w:tcPr>
          <w:p>
            <w:pPr>
              <w:spacing w:beforeAutospacing="0" w:afterAutospacing="0" w:line="360" w:lineRule="auto"/>
              <w:jc w:val="center"/>
              <w:rPr>
                <w:rFonts w:ascii="宋体" w:hAnsi="宋体"/>
                <w:szCs w:val="21"/>
              </w:rPr>
            </w:pPr>
            <w:r>
              <w:rPr>
                <w:rFonts w:hint="eastAsia"/>
                <w:sz w:val="22"/>
                <w:lang w:val="en-US" w:eastAsia="zh-CN"/>
              </w:rPr>
              <w:t>合同签订后10个</w:t>
            </w:r>
            <w:r>
              <w:rPr>
                <w:rFonts w:hint="eastAsia" w:eastAsiaTheme="minorEastAsia"/>
                <w:sz w:val="22"/>
              </w:rPr>
              <w:t>日历天</w:t>
            </w:r>
          </w:p>
        </w:tc>
        <w:tc>
          <w:tcPr>
            <w:tcW w:w="1904" w:type="dxa"/>
            <w:vAlign w:val="center"/>
          </w:tcPr>
          <w:p>
            <w:pPr>
              <w:spacing w:beforeAutospacing="0" w:afterAutospacing="0" w:line="360" w:lineRule="auto"/>
              <w:jc w:val="center"/>
              <w:rPr>
                <w:rFonts w:ascii="宋体" w:hAnsi="宋体"/>
                <w:szCs w:val="21"/>
              </w:rPr>
            </w:pPr>
          </w:p>
        </w:tc>
        <w:tc>
          <w:tcPr>
            <w:tcW w:w="1572" w:type="dxa"/>
            <w:vAlign w:val="center"/>
          </w:tcPr>
          <w:p>
            <w:pPr>
              <w:spacing w:beforeAutospacing="0" w:afterAutospacing="0" w:line="360" w:lineRule="auto"/>
              <w:jc w:val="center"/>
              <w:rPr>
                <w:rFonts w:ascii="宋体" w:hAnsi="宋体"/>
                <w:szCs w:val="21"/>
              </w:rPr>
            </w:pPr>
          </w:p>
        </w:tc>
        <w:tc>
          <w:tcPr>
            <w:tcW w:w="1904" w:type="dxa"/>
            <w:vAlign w:val="center"/>
          </w:tcPr>
          <w:p>
            <w:pPr>
              <w:spacing w:beforeAutospacing="0" w:afterAutospacing="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宋体" w:hAnsi="宋体"/>
                <w:szCs w:val="21"/>
              </w:rPr>
            </w:pPr>
            <w:r>
              <w:rPr>
                <w:rFonts w:ascii="宋体" w:hAnsi="宋体"/>
                <w:szCs w:val="21"/>
              </w:rPr>
              <w:t>2</w:t>
            </w:r>
          </w:p>
        </w:tc>
        <w:tc>
          <w:tcPr>
            <w:tcW w:w="1287" w:type="dxa"/>
            <w:vAlign w:val="center"/>
          </w:tcPr>
          <w:p>
            <w:pPr>
              <w:jc w:val="center"/>
              <w:rPr>
                <w:rFonts w:ascii="宋体" w:hAnsi="宋体"/>
                <w:szCs w:val="21"/>
              </w:rPr>
            </w:pPr>
            <w:r>
              <w:rPr>
                <w:rFonts w:ascii="宋体" w:hAnsi="宋体"/>
                <w:szCs w:val="21"/>
              </w:rPr>
              <w:t>质保期</w:t>
            </w:r>
          </w:p>
        </w:tc>
        <w:tc>
          <w:tcPr>
            <w:tcW w:w="2325" w:type="dxa"/>
            <w:vAlign w:val="center"/>
          </w:tcPr>
          <w:p>
            <w:pPr>
              <w:jc w:val="center"/>
              <w:rPr>
                <w:rFonts w:ascii="宋体" w:hAnsi="宋体"/>
                <w:szCs w:val="21"/>
              </w:rPr>
            </w:pPr>
            <w:r>
              <w:rPr>
                <w:rFonts w:hint="eastAsia" w:ascii="宋体" w:hAnsi="宋体"/>
                <w:szCs w:val="21"/>
              </w:rPr>
              <w:t>所有产品免费质保3年</w:t>
            </w:r>
          </w:p>
        </w:tc>
        <w:tc>
          <w:tcPr>
            <w:tcW w:w="1904"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190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7" w:hRule="exact"/>
        </w:trPr>
        <w:tc>
          <w:tcPr>
            <w:tcW w:w="675" w:type="dxa"/>
            <w:vAlign w:val="center"/>
          </w:tcPr>
          <w:p>
            <w:pPr>
              <w:jc w:val="center"/>
              <w:rPr>
                <w:rFonts w:ascii="宋体" w:hAnsi="宋体"/>
                <w:szCs w:val="21"/>
              </w:rPr>
            </w:pPr>
            <w:r>
              <w:rPr>
                <w:rFonts w:ascii="宋体" w:hAnsi="宋体"/>
                <w:szCs w:val="21"/>
              </w:rPr>
              <w:t>3</w:t>
            </w:r>
          </w:p>
        </w:tc>
        <w:tc>
          <w:tcPr>
            <w:tcW w:w="1287" w:type="dxa"/>
            <w:vAlign w:val="center"/>
          </w:tcPr>
          <w:p>
            <w:pPr>
              <w:jc w:val="center"/>
              <w:rPr>
                <w:rFonts w:ascii="宋体" w:hAnsi="宋体"/>
                <w:szCs w:val="21"/>
              </w:rPr>
            </w:pPr>
            <w:r>
              <w:rPr>
                <w:rFonts w:ascii="宋体" w:hAnsi="宋体"/>
                <w:szCs w:val="21"/>
              </w:rPr>
              <w:t>付款方式</w:t>
            </w:r>
          </w:p>
        </w:tc>
        <w:tc>
          <w:tcPr>
            <w:tcW w:w="2325" w:type="dxa"/>
            <w:vAlign w:val="center"/>
          </w:tcPr>
          <w:p>
            <w:pPr>
              <w:spacing w:beforeAutospacing="0" w:afterAutospacing="0" w:line="360" w:lineRule="exact"/>
            </w:pPr>
            <w:r>
              <w:rPr>
                <w:rFonts w:hint="eastAsia"/>
              </w:rPr>
              <w:t>（1）合同签订并收到中标供应商提供的等额预付款保函，采购人支付合同价款的25%；（2）设备安装调试完毕且验收合格正常能使用后一次性付清剩余合同价款。</w:t>
            </w:r>
          </w:p>
          <w:p>
            <w:pPr>
              <w:jc w:val="center"/>
              <w:rPr>
                <w:rFonts w:ascii="宋体" w:hAnsi="宋体"/>
                <w:szCs w:val="21"/>
              </w:rPr>
            </w:pPr>
            <w:r>
              <w:rPr>
                <w:rFonts w:hint="eastAsia"/>
              </w:rPr>
              <w:t>注：（1）本项目为教育贴息贷款更新教育装备采购项目，执行政府采购预付款制度，同时要求中标供应商提供预付款保函。（2）付款前中标供应商须按要求开具正规的发票。（3）预付款保函形式：银行保函。（4）预付款保函递交要求：银行保函将原件交至招标人保管。</w:t>
            </w:r>
          </w:p>
        </w:tc>
        <w:tc>
          <w:tcPr>
            <w:tcW w:w="1904"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1904" w:type="dxa"/>
            <w:vAlign w:val="center"/>
          </w:tcPr>
          <w:p>
            <w:pPr>
              <w:jc w:val="center"/>
              <w:rPr>
                <w:rFonts w:ascii="宋体" w:hAnsi="宋体"/>
                <w:szCs w:val="21"/>
              </w:rPr>
            </w:pPr>
          </w:p>
        </w:tc>
      </w:tr>
    </w:tbl>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beforeAutospacing="0" w:afterAutospacing="0" w:line="360" w:lineRule="auto"/>
        <w:ind w:firstLine="420" w:firstLineChars="200"/>
        <w:rPr>
          <w:rFonts w:ascii="宋体" w:hAnsi="宋体"/>
        </w:rPr>
      </w:pPr>
      <w:r>
        <w:rPr>
          <w:rFonts w:hint="eastAsia" w:ascii="宋体" w:hAnsi="宋体"/>
        </w:rPr>
        <w:t xml:space="preserve">法定代表人或授权代理人（签字或盖章） </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备</w:t>
      </w:r>
      <w:r>
        <w:rPr>
          <w:rFonts w:ascii="宋体" w:hAnsi="宋体"/>
        </w:rPr>
        <w:t>注：</w:t>
      </w:r>
    </w:p>
    <w:p>
      <w:pPr>
        <w:spacing w:beforeAutospacing="0" w:afterAutospacing="0" w:line="360" w:lineRule="auto"/>
        <w:ind w:firstLine="422" w:firstLineChars="200"/>
        <w:rPr>
          <w:rFonts w:ascii="宋体" w:hAnsi="宋体"/>
          <w:b/>
        </w:rPr>
      </w:pPr>
      <w:r>
        <w:rPr>
          <w:rFonts w:ascii="宋体" w:hAnsi="宋体"/>
          <w:b/>
        </w:rPr>
        <w:t>1.商务条款部分主要指的是报价；售后服务要求；单位业绩；各种资质；产品标准证书、获奖证书等项。</w:t>
      </w:r>
    </w:p>
    <w:p>
      <w:pPr>
        <w:spacing w:beforeAutospacing="0" w:afterAutospacing="0" w:line="360" w:lineRule="auto"/>
        <w:ind w:firstLine="422" w:firstLineChars="200"/>
        <w:rPr>
          <w:rFonts w:ascii="宋体" w:hAnsi="宋体"/>
          <w:b/>
        </w:rPr>
      </w:pPr>
      <w:r>
        <w:rPr>
          <w:rFonts w:ascii="宋体" w:hAnsi="宋体"/>
          <w:b/>
        </w:rPr>
        <w:t>2.供应商根据项目实际填写，表中单项，项目招标要求不涉及的可留空或自行调整。</w:t>
      </w:r>
    </w:p>
    <w:p>
      <w:pPr>
        <w:pStyle w:val="5"/>
        <w:spacing w:beforeAutospacing="0" w:afterAutospacing="0" w:line="500" w:lineRule="exact"/>
        <w:jc w:val="left"/>
        <w:rPr>
          <w:sz w:val="30"/>
          <w:szCs w:val="30"/>
        </w:rPr>
      </w:pPr>
      <w:bookmarkStart w:id="5" w:name="_Toc457768003"/>
      <w:bookmarkEnd w:id="5"/>
      <w:bookmarkStart w:id="6" w:name="_Toc463044738"/>
      <w:bookmarkEnd w:id="6"/>
      <w:r>
        <w:rPr>
          <w:rFonts w:hint="eastAsia"/>
          <w:sz w:val="30"/>
          <w:szCs w:val="30"/>
        </w:rPr>
        <w:t>八、主要中标标的承诺函</w:t>
      </w:r>
    </w:p>
    <w:p>
      <w:pPr>
        <w:spacing w:beforeAutospacing="0" w:afterAutospacing="0" w:line="360" w:lineRule="auto"/>
        <w:jc w:val="center"/>
        <w:rPr>
          <w:rFonts w:ascii="宋体" w:hAnsi="宋体"/>
          <w:b/>
          <w:sz w:val="28"/>
          <w:szCs w:val="28"/>
        </w:rPr>
      </w:pPr>
      <w:r>
        <w:rPr>
          <w:rFonts w:hint="eastAsia" w:ascii="宋体" w:hAnsi="宋体"/>
          <w:b/>
          <w:sz w:val="28"/>
          <w:szCs w:val="28"/>
        </w:rPr>
        <w:t>主要中标标的承诺函</w:t>
      </w:r>
    </w:p>
    <w:p>
      <w:pPr>
        <w:spacing w:beforeAutospacing="0" w:afterAutospacing="0" w:line="360" w:lineRule="auto"/>
        <w:rPr>
          <w:rFonts w:ascii="宋体" w:hAnsi="宋体"/>
          <w:b/>
          <w:sz w:val="24"/>
          <w:szCs w:val="24"/>
        </w:rPr>
      </w:pPr>
      <w:r>
        <w:rPr>
          <w:rFonts w:hint="eastAsia" w:ascii="宋体" w:hAnsi="宋体"/>
          <w:b/>
          <w:sz w:val="24"/>
          <w:szCs w:val="24"/>
        </w:rPr>
        <w:t>致：</w:t>
      </w:r>
      <w:r>
        <w:rPr>
          <w:rFonts w:hint="eastAsia" w:ascii="宋体" w:hAnsi="宋体"/>
          <w:b/>
          <w:sz w:val="24"/>
          <w:szCs w:val="24"/>
          <w:u w:val="single"/>
        </w:rPr>
        <w:t>安徽安兆工程技术咨询服务有限公司</w:t>
      </w:r>
    </w:p>
    <w:p>
      <w:pPr>
        <w:spacing w:beforeAutospacing="0" w:afterAutospacing="0" w:line="360" w:lineRule="auto"/>
        <w:rPr>
          <w:rFonts w:ascii="宋体" w:hAnsi="宋体"/>
          <w:b/>
          <w:sz w:val="24"/>
          <w:szCs w:val="24"/>
          <w:u w:val="single"/>
        </w:rPr>
      </w:pPr>
      <w:r>
        <w:rPr>
          <w:rFonts w:hint="eastAsia" w:ascii="宋体" w:hAnsi="宋体"/>
          <w:b/>
          <w:sz w:val="24"/>
          <w:szCs w:val="24"/>
          <w:u w:val="single"/>
        </w:rPr>
        <w:t>皖南医学院</w:t>
      </w:r>
    </w:p>
    <w:p>
      <w:pPr>
        <w:spacing w:beforeAutospacing="0" w:afterAutospacing="0" w:line="360" w:lineRule="auto"/>
        <w:ind w:firstLine="420" w:firstLineChars="200"/>
        <w:rPr>
          <w:rFonts w:ascii="宋体" w:hAnsi="宋体"/>
        </w:rPr>
      </w:pPr>
      <w:r>
        <w:rPr>
          <w:rFonts w:hint="eastAsia" w:ascii="宋体" w:hAnsi="宋体"/>
        </w:rPr>
        <w:t>我单位同意中标公告中公示以下主要中标标的并承诺：投</w:t>
      </w:r>
      <w:r>
        <w:rPr>
          <w:rFonts w:ascii="宋体" w:hAnsi="宋体"/>
        </w:rPr>
        <w:t>标</w:t>
      </w:r>
      <w:r>
        <w:rPr>
          <w:rFonts w:hint="eastAsia" w:ascii="宋体" w:hAnsi="宋体"/>
        </w:rPr>
        <w:t>文件中所提供的主要中标标的均真实有效。若被发现存在任何虚假、隐瞒情况，我单位承担由此产生的一切后果。</w:t>
      </w:r>
    </w:p>
    <w:tbl>
      <w:tblPr>
        <w:tblStyle w:val="19"/>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2452"/>
        <w:gridCol w:w="1471"/>
        <w:gridCol w:w="1254"/>
        <w:gridCol w:w="148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4" w:type="dxa"/>
            <w:vAlign w:val="center"/>
          </w:tcPr>
          <w:p>
            <w:pPr>
              <w:widowControl/>
              <w:jc w:val="center"/>
              <w:rPr>
                <w:rFonts w:ascii="宋体" w:hAnsi="宋体"/>
                <w:szCs w:val="21"/>
              </w:rPr>
            </w:pPr>
            <w:r>
              <w:rPr>
                <w:rFonts w:hint="eastAsia" w:ascii="宋体" w:hAnsi="宋体"/>
                <w:szCs w:val="21"/>
              </w:rPr>
              <w:t>序号</w:t>
            </w:r>
          </w:p>
        </w:tc>
        <w:tc>
          <w:tcPr>
            <w:tcW w:w="1559" w:type="dxa"/>
            <w:vAlign w:val="center"/>
          </w:tcPr>
          <w:p>
            <w:pPr>
              <w:widowControl/>
              <w:jc w:val="center"/>
              <w:rPr>
                <w:rFonts w:ascii="宋体" w:hAnsi="宋体"/>
                <w:szCs w:val="21"/>
              </w:rPr>
            </w:pPr>
            <w:r>
              <w:rPr>
                <w:rFonts w:hint="eastAsia" w:ascii="宋体" w:hAnsi="宋体"/>
                <w:szCs w:val="21"/>
              </w:rPr>
              <w:t>名称</w:t>
            </w:r>
          </w:p>
        </w:tc>
        <w:tc>
          <w:tcPr>
            <w:tcW w:w="2452" w:type="dxa"/>
            <w:vAlign w:val="center"/>
          </w:tcPr>
          <w:p>
            <w:pPr>
              <w:widowControl/>
              <w:jc w:val="center"/>
              <w:rPr>
                <w:rFonts w:ascii="宋体" w:hAnsi="宋体"/>
                <w:szCs w:val="21"/>
              </w:rPr>
            </w:pPr>
            <w:r>
              <w:rPr>
                <w:rFonts w:hint="eastAsia" w:ascii="宋体" w:hAnsi="宋体"/>
                <w:szCs w:val="21"/>
              </w:rPr>
              <w:t>规格型号</w:t>
            </w:r>
          </w:p>
        </w:tc>
        <w:tc>
          <w:tcPr>
            <w:tcW w:w="1471" w:type="dxa"/>
            <w:vAlign w:val="center"/>
          </w:tcPr>
          <w:p>
            <w:pPr>
              <w:widowControl/>
              <w:jc w:val="center"/>
              <w:rPr>
                <w:rFonts w:ascii="宋体" w:hAnsi="宋体"/>
                <w:szCs w:val="21"/>
              </w:rPr>
            </w:pPr>
            <w:r>
              <w:rPr>
                <w:rFonts w:hint="eastAsia" w:ascii="宋体" w:hAnsi="宋体"/>
                <w:szCs w:val="21"/>
              </w:rPr>
              <w:t>数量</w:t>
            </w:r>
          </w:p>
        </w:tc>
        <w:tc>
          <w:tcPr>
            <w:tcW w:w="1254" w:type="dxa"/>
            <w:vAlign w:val="center"/>
          </w:tcPr>
          <w:p>
            <w:pPr>
              <w:widowControl/>
              <w:jc w:val="center"/>
              <w:rPr>
                <w:rFonts w:ascii="宋体" w:hAnsi="宋体"/>
                <w:szCs w:val="21"/>
              </w:rPr>
            </w:pPr>
            <w:r>
              <w:rPr>
                <w:rFonts w:hint="eastAsia" w:ascii="宋体" w:hAnsi="宋体"/>
                <w:szCs w:val="21"/>
              </w:rPr>
              <w:t>单价</w:t>
            </w:r>
          </w:p>
        </w:tc>
        <w:tc>
          <w:tcPr>
            <w:tcW w:w="1487" w:type="dxa"/>
            <w:vAlign w:val="center"/>
          </w:tcPr>
          <w:p>
            <w:pPr>
              <w:widowControl/>
              <w:jc w:val="center"/>
              <w:rPr>
                <w:rFonts w:ascii="宋体" w:hAnsi="宋体"/>
                <w:szCs w:val="21"/>
              </w:rPr>
            </w:pPr>
            <w:r>
              <w:rPr>
                <w:rFonts w:hint="eastAsia" w:ascii="宋体" w:hAnsi="宋体"/>
                <w:szCs w:val="21"/>
              </w:rPr>
              <w:t>服务要求</w:t>
            </w:r>
          </w:p>
        </w:tc>
        <w:tc>
          <w:tcPr>
            <w:tcW w:w="831" w:type="dxa"/>
            <w:vAlign w:val="center"/>
          </w:tcPr>
          <w:p>
            <w:pPr>
              <w:widowControl/>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534" w:type="dxa"/>
            <w:vAlign w:val="center"/>
          </w:tcPr>
          <w:p>
            <w:pPr>
              <w:widowControl/>
              <w:jc w:val="center"/>
              <w:rPr>
                <w:rFonts w:ascii="宋体" w:hAnsi="宋体"/>
                <w:szCs w:val="21"/>
              </w:rPr>
            </w:pPr>
            <w:r>
              <w:rPr>
                <w:rFonts w:hint="eastAsia" w:ascii="宋体" w:hAnsi="宋体"/>
                <w:szCs w:val="21"/>
              </w:rPr>
              <w:t>1</w:t>
            </w:r>
          </w:p>
        </w:tc>
        <w:tc>
          <w:tcPr>
            <w:tcW w:w="1559" w:type="dxa"/>
            <w:vAlign w:val="center"/>
          </w:tcPr>
          <w:p>
            <w:pPr>
              <w:widowControl/>
              <w:jc w:val="center"/>
              <w:rPr>
                <w:rFonts w:ascii="宋体" w:hAnsi="宋体"/>
                <w:szCs w:val="21"/>
              </w:rPr>
            </w:pPr>
            <w:r>
              <w:rPr>
                <w:rFonts w:hint="eastAsia" w:ascii="宋体" w:hAnsi="宋体" w:cs="宋体"/>
                <w:color w:val="000000"/>
                <w:kern w:val="0"/>
                <w:sz w:val="20"/>
                <w:szCs w:val="20"/>
                <w:lang w:bidi="ar"/>
              </w:rPr>
              <w:t>液相色谱串联质谱仪</w:t>
            </w:r>
          </w:p>
        </w:tc>
        <w:tc>
          <w:tcPr>
            <w:tcW w:w="2452" w:type="dxa"/>
            <w:vAlign w:val="center"/>
          </w:tcPr>
          <w:p>
            <w:pPr>
              <w:widowControl/>
              <w:jc w:val="center"/>
              <w:rPr>
                <w:rFonts w:ascii="宋体" w:hAnsi="宋体"/>
                <w:szCs w:val="21"/>
              </w:rPr>
            </w:pPr>
            <w:r>
              <w:rPr>
                <w:rFonts w:ascii="宋体" w:hAnsi="宋体"/>
                <w:i/>
                <w:iCs/>
                <w:szCs w:val="21"/>
              </w:rPr>
              <w:t>（填本</w:t>
            </w:r>
            <w:r>
              <w:rPr>
                <w:rFonts w:hint="eastAsia" w:ascii="宋体" w:hAnsi="宋体"/>
                <w:i/>
                <w:iCs/>
                <w:szCs w:val="21"/>
              </w:rPr>
              <w:t>项目</w:t>
            </w:r>
            <w:r>
              <w:rPr>
                <w:rFonts w:ascii="宋体" w:hAnsi="宋体"/>
                <w:i/>
                <w:iCs/>
                <w:szCs w:val="21"/>
              </w:rPr>
              <w:t>投标型号）</w:t>
            </w:r>
          </w:p>
        </w:tc>
        <w:tc>
          <w:tcPr>
            <w:tcW w:w="1471" w:type="dxa"/>
            <w:vAlign w:val="center"/>
          </w:tcPr>
          <w:p>
            <w:pPr>
              <w:widowControl/>
              <w:jc w:val="center"/>
              <w:rPr>
                <w:rFonts w:ascii="宋体" w:hAnsi="宋体"/>
                <w:szCs w:val="21"/>
              </w:rPr>
            </w:pPr>
            <w:r>
              <w:rPr>
                <w:rFonts w:ascii="宋体" w:hAnsi="宋体"/>
                <w:i/>
                <w:iCs/>
                <w:szCs w:val="21"/>
              </w:rPr>
              <w:t>（填本</w:t>
            </w:r>
            <w:r>
              <w:rPr>
                <w:rFonts w:hint="eastAsia" w:ascii="宋体" w:hAnsi="宋体"/>
                <w:i/>
                <w:iCs/>
                <w:szCs w:val="21"/>
              </w:rPr>
              <w:t>项目</w:t>
            </w:r>
            <w:r>
              <w:rPr>
                <w:rFonts w:ascii="宋体" w:hAnsi="宋体"/>
                <w:i/>
                <w:iCs/>
                <w:szCs w:val="21"/>
              </w:rPr>
              <w:t>投标</w:t>
            </w:r>
            <w:r>
              <w:rPr>
                <w:rFonts w:hint="eastAsia" w:ascii="宋体" w:hAnsi="宋体"/>
                <w:i/>
                <w:iCs/>
                <w:szCs w:val="21"/>
              </w:rPr>
              <w:t>数量</w:t>
            </w:r>
            <w:r>
              <w:rPr>
                <w:rFonts w:ascii="宋体" w:hAnsi="宋体"/>
                <w:i/>
                <w:iCs/>
                <w:szCs w:val="21"/>
              </w:rPr>
              <w:t>）</w:t>
            </w:r>
          </w:p>
        </w:tc>
        <w:tc>
          <w:tcPr>
            <w:tcW w:w="1254" w:type="dxa"/>
            <w:vAlign w:val="center"/>
          </w:tcPr>
          <w:p>
            <w:pPr>
              <w:widowControl/>
              <w:jc w:val="center"/>
              <w:rPr>
                <w:rFonts w:ascii="宋体" w:hAnsi="宋体"/>
                <w:szCs w:val="21"/>
              </w:rPr>
            </w:pPr>
            <w:r>
              <w:rPr>
                <w:rFonts w:ascii="宋体" w:hAnsi="宋体"/>
                <w:i/>
                <w:iCs/>
                <w:szCs w:val="21"/>
              </w:rPr>
              <w:t>（填本</w:t>
            </w:r>
            <w:r>
              <w:rPr>
                <w:rFonts w:hint="eastAsia" w:ascii="宋体" w:hAnsi="宋体"/>
                <w:i/>
                <w:iCs/>
                <w:szCs w:val="21"/>
              </w:rPr>
              <w:t>项目</w:t>
            </w:r>
            <w:r>
              <w:rPr>
                <w:rFonts w:ascii="宋体" w:hAnsi="宋体"/>
                <w:i/>
                <w:iCs/>
                <w:szCs w:val="21"/>
              </w:rPr>
              <w:t>投标单价）</w:t>
            </w:r>
          </w:p>
        </w:tc>
        <w:tc>
          <w:tcPr>
            <w:tcW w:w="1487" w:type="dxa"/>
            <w:vAlign w:val="center"/>
          </w:tcPr>
          <w:p>
            <w:pPr>
              <w:widowControl/>
              <w:jc w:val="center"/>
              <w:rPr>
                <w:rFonts w:ascii="宋体" w:hAnsi="宋体"/>
                <w:szCs w:val="21"/>
              </w:rPr>
            </w:pPr>
            <w:r>
              <w:rPr>
                <w:rFonts w:ascii="宋体" w:hAnsi="宋体"/>
                <w:szCs w:val="21"/>
              </w:rPr>
              <w:t>满足招标文件要求</w:t>
            </w:r>
          </w:p>
        </w:tc>
        <w:tc>
          <w:tcPr>
            <w:tcW w:w="831" w:type="dxa"/>
            <w:vAlign w:val="center"/>
          </w:tcPr>
          <w:p>
            <w:pPr>
              <w:widowControl/>
              <w:jc w:val="center"/>
              <w:rPr>
                <w:rFonts w:ascii="宋体" w:hAnsi="宋体"/>
                <w:szCs w:val="21"/>
              </w:rPr>
            </w:pPr>
          </w:p>
        </w:tc>
      </w:tr>
    </w:tbl>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beforeAutospacing="0" w:afterAutospacing="0" w:line="360" w:lineRule="auto"/>
        <w:ind w:firstLine="420" w:firstLineChars="200"/>
        <w:rPr>
          <w:rFonts w:ascii="宋体" w:hAnsi="宋体"/>
        </w:rPr>
      </w:pPr>
      <w:r>
        <w:rPr>
          <w:rFonts w:hint="eastAsia" w:ascii="宋体" w:hAnsi="宋体"/>
        </w:rPr>
        <w:t xml:space="preserve">法定代表人或授权代理人（签字或盖章） </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备注：</w:t>
      </w:r>
    </w:p>
    <w:p>
      <w:pPr>
        <w:spacing w:beforeAutospacing="0" w:afterAutospacing="0" w:line="360" w:lineRule="auto"/>
        <w:ind w:firstLine="422" w:firstLineChars="200"/>
        <w:rPr>
          <w:rFonts w:ascii="宋体" w:hAnsi="宋体"/>
          <w:b/>
        </w:rPr>
      </w:pPr>
      <w:r>
        <w:rPr>
          <w:rFonts w:hint="eastAsia" w:ascii="宋体" w:hAnsi="宋体"/>
          <w:b/>
        </w:rPr>
        <w:t>1.表中所列内容应符合供应商须知前附表中相关要求，且主要中标标的必须包括核心产品；</w:t>
      </w:r>
    </w:p>
    <w:p>
      <w:pPr>
        <w:spacing w:beforeAutospacing="0" w:afterAutospacing="0" w:line="360" w:lineRule="auto"/>
        <w:ind w:firstLine="422" w:firstLineChars="200"/>
        <w:rPr>
          <w:rFonts w:ascii="宋体" w:hAnsi="宋体"/>
          <w:b/>
        </w:rPr>
      </w:pPr>
      <w:r>
        <w:rPr>
          <w:rFonts w:hint="eastAsia" w:ascii="宋体" w:hAnsi="宋体"/>
          <w:b/>
        </w:rPr>
        <w:t>2.中标供应商提供的以上承诺情况（含名称、规格型号、数量、单价、服务要求），经评</w:t>
      </w:r>
      <w:r>
        <w:rPr>
          <w:rFonts w:ascii="宋体" w:hAnsi="宋体"/>
          <w:b/>
        </w:rPr>
        <w:t>标委员会</w:t>
      </w:r>
      <w:r>
        <w:rPr>
          <w:rFonts w:hint="eastAsia" w:ascii="宋体" w:hAnsi="宋体"/>
          <w:b/>
        </w:rPr>
        <w:t>确认后，将按约定随评审结果公告。</w:t>
      </w:r>
    </w:p>
    <w:p>
      <w:pPr>
        <w:spacing w:beforeAutospacing="0" w:afterAutospacing="0" w:line="360" w:lineRule="auto"/>
        <w:ind w:firstLine="420" w:firstLineChars="200"/>
        <w:rPr>
          <w:rFonts w:ascii="宋体" w:hAnsi="宋体"/>
        </w:rPr>
      </w:pPr>
    </w:p>
    <w:p>
      <w:pPr>
        <w:rPr>
          <w:rFonts w:ascii="宋体" w:hAnsi="宋体"/>
          <w:kern w:val="0"/>
          <w:szCs w:val="24"/>
        </w:rPr>
      </w:pPr>
      <w:r>
        <w:rPr>
          <w:sz w:val="30"/>
          <w:szCs w:val="30"/>
        </w:rPr>
        <w:br w:type="page"/>
      </w:r>
    </w:p>
    <w:p>
      <w:pPr>
        <w:pStyle w:val="5"/>
        <w:spacing w:beforeAutospacing="0" w:afterAutospacing="0" w:line="500" w:lineRule="exact"/>
        <w:jc w:val="left"/>
        <w:rPr>
          <w:sz w:val="30"/>
          <w:szCs w:val="30"/>
        </w:rPr>
      </w:pPr>
      <w:r>
        <w:rPr>
          <w:rFonts w:hint="eastAsia"/>
          <w:sz w:val="30"/>
          <w:szCs w:val="30"/>
        </w:rPr>
        <w:t>九、享受政府采购优惠政策证明材料</w:t>
      </w:r>
    </w:p>
    <w:p>
      <w:pPr>
        <w:pStyle w:val="6"/>
        <w:keepNext w:val="0"/>
        <w:keepLines w:val="0"/>
        <w:widowControl/>
        <w:spacing w:before="100" w:beforeAutospacing="1" w:after="100" w:afterAutospacing="1" w:line="240" w:lineRule="auto"/>
        <w:jc w:val="center"/>
        <w:rPr>
          <w:rFonts w:ascii="宋体" w:hAnsi="宋体" w:eastAsia="宋体"/>
          <w:kern w:val="0"/>
          <w:szCs w:val="24"/>
        </w:rPr>
      </w:pPr>
      <w:r>
        <w:rPr>
          <w:rFonts w:hint="eastAsia" w:ascii="宋体" w:hAnsi="宋体" w:eastAsia="宋体"/>
          <w:kern w:val="0"/>
          <w:szCs w:val="24"/>
        </w:rPr>
        <w:t>（一）中小企业声明函</w:t>
      </w:r>
    </w:p>
    <w:p>
      <w:pPr>
        <w:pStyle w:val="41"/>
        <w:spacing w:beforeAutospacing="0" w:afterAutospacing="0" w:line="503" w:lineRule="exact"/>
        <w:ind w:firstLine="426"/>
        <w:rPr>
          <w:rFonts w:cs="Times New Roman"/>
          <w:color w:val="auto"/>
          <w:sz w:val="21"/>
          <w:szCs w:val="22"/>
          <w:lang w:val="en-US" w:eastAsia="zh-CN" w:bidi="ar-SA"/>
        </w:rPr>
      </w:pPr>
      <w:r>
        <w:rPr>
          <w:rFonts w:cs="Times New Roman"/>
          <w:color w:val="auto"/>
          <w:sz w:val="21"/>
          <w:szCs w:val="22"/>
          <w:lang w:val="en-US" w:eastAsia="zh-CN" w:bidi="ar-SA"/>
        </w:rPr>
        <w:t>本公司（联合体）郑重声明，根据《政府采购促进中小企业发展管理办法》（财库（2020）46号）的规定，本公司（联合体）参加</w:t>
      </w:r>
      <w:r>
        <w:rPr>
          <w:rFonts w:cs="Times New Roman"/>
          <w:color w:val="auto"/>
          <w:sz w:val="21"/>
          <w:szCs w:val="22"/>
          <w:u w:val="single"/>
          <w:lang w:val="en-US" w:eastAsia="zh-CN" w:bidi="ar-SA"/>
        </w:rPr>
        <w:t>（单位名称）</w:t>
      </w:r>
      <w:r>
        <w:rPr>
          <w:rFonts w:cs="Times New Roman"/>
          <w:color w:val="auto"/>
          <w:sz w:val="21"/>
          <w:szCs w:val="22"/>
          <w:lang w:val="en-US" w:eastAsia="zh-CN" w:bidi="ar-SA"/>
        </w:rPr>
        <w:t>的</w:t>
      </w:r>
      <w:r>
        <w:rPr>
          <w:rFonts w:cs="Times New Roman"/>
          <w:color w:val="auto"/>
          <w:sz w:val="21"/>
          <w:szCs w:val="22"/>
          <w:u w:val="single"/>
          <w:lang w:val="en-US" w:eastAsia="zh-CN" w:bidi="ar-SA"/>
        </w:rPr>
        <w:t>（项目名称）</w:t>
      </w:r>
      <w:r>
        <w:rPr>
          <w:rFonts w:cs="Times New Roman"/>
          <w:color w:val="auto"/>
          <w:sz w:val="21"/>
          <w:szCs w:val="22"/>
          <w:lang w:val="en-US" w:eastAsia="zh-CN" w:bidi="ar-SA"/>
        </w:rPr>
        <w:t>采购活动,提供的货物全部由符合政策要求的中小企业制造。相关企业（含联合体中的中小企业、签订分包意向协议的中小企业）的具体情况如下：</w:t>
      </w:r>
    </w:p>
    <w:p>
      <w:pPr>
        <w:pStyle w:val="41"/>
        <w:tabs>
          <w:tab w:val="left" w:pos="1176"/>
          <w:tab w:val="left" w:pos="1210"/>
          <w:tab w:val="left" w:pos="4229"/>
          <w:tab w:val="left" w:pos="6360"/>
        </w:tabs>
        <w:spacing w:beforeAutospacing="0" w:afterAutospacing="0" w:line="509" w:lineRule="exact"/>
        <w:ind w:firstLine="424" w:firstLineChars="202"/>
        <w:rPr>
          <w:rFonts w:cs="Times New Roman"/>
          <w:color w:val="auto"/>
          <w:sz w:val="21"/>
          <w:szCs w:val="22"/>
          <w:lang w:val="en-US" w:eastAsia="zh-CN" w:bidi="ar-SA"/>
        </w:rPr>
      </w:pPr>
      <w:bookmarkStart w:id="7" w:name="bookmark40"/>
      <w:bookmarkEnd w:id="7"/>
      <w:r>
        <w:rPr>
          <w:rFonts w:hint="eastAsia" w:cs="Times New Roman"/>
          <w:color w:val="auto"/>
          <w:sz w:val="21"/>
          <w:szCs w:val="22"/>
          <w:lang w:val="en-US" w:eastAsia="zh-CN" w:bidi="ar-SA"/>
        </w:rPr>
        <w:t>1.</w:t>
      </w:r>
      <w:r>
        <w:rPr>
          <w:rFonts w:cs="Times New Roman"/>
          <w:color w:val="auto"/>
          <w:sz w:val="21"/>
          <w:szCs w:val="22"/>
          <w:u w:val="single"/>
          <w:lang w:val="en-US" w:eastAsia="zh-CN" w:bidi="ar-SA"/>
        </w:rPr>
        <w:t>（标的名称）</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cs="Times New Roman"/>
          <w:color w:val="auto"/>
          <w:sz w:val="21"/>
          <w:szCs w:val="22"/>
          <w:u w:val="single"/>
          <w:lang w:val="en-US" w:eastAsia="zh-CN" w:bidi="ar-SA"/>
        </w:rPr>
        <w:t>（采购文件中明确的所属行业）</w:t>
      </w:r>
      <w:r>
        <w:rPr>
          <w:rFonts w:cs="Times New Roman"/>
          <w:color w:val="auto"/>
          <w:sz w:val="21"/>
          <w:szCs w:val="22"/>
          <w:lang w:val="en-US" w:eastAsia="zh-CN" w:bidi="ar-SA"/>
        </w:rPr>
        <w:t>行业</w:t>
      </w:r>
      <w:r>
        <w:rPr>
          <w:rFonts w:hint="eastAsia" w:cs="Times New Roman"/>
          <w:color w:val="auto"/>
          <w:sz w:val="21"/>
          <w:szCs w:val="22"/>
          <w:lang w:val="en-US" w:eastAsia="zh-CN" w:bidi="ar-SA"/>
        </w:rPr>
        <w:t>；</w:t>
      </w:r>
      <w:r>
        <w:rPr>
          <w:rFonts w:cs="Times New Roman"/>
          <w:color w:val="auto"/>
          <w:sz w:val="21"/>
          <w:szCs w:val="22"/>
          <w:lang w:val="en-US" w:eastAsia="zh-CN" w:bidi="ar-SA"/>
        </w:rPr>
        <w:t>制造商为</w:t>
      </w:r>
      <w:r>
        <w:rPr>
          <w:rFonts w:cs="Times New Roman"/>
          <w:color w:val="auto"/>
          <w:sz w:val="21"/>
          <w:szCs w:val="22"/>
          <w:u w:val="single"/>
          <w:lang w:val="en-US" w:eastAsia="zh-CN" w:bidi="ar-SA"/>
        </w:rPr>
        <w:t>（企业名称）</w:t>
      </w:r>
      <w:r>
        <w:rPr>
          <w:rFonts w:hint="eastAsia" w:cs="Times New Roman"/>
          <w:color w:val="auto"/>
          <w:sz w:val="21"/>
          <w:szCs w:val="22"/>
          <w:lang w:val="en-US" w:eastAsia="zh-CN" w:bidi="ar-SA"/>
        </w:rPr>
        <w:t>，</w:t>
      </w:r>
      <w:r>
        <w:rPr>
          <w:rFonts w:cs="Times New Roman"/>
          <w:color w:val="auto"/>
          <w:sz w:val="21"/>
          <w:szCs w:val="22"/>
          <w:lang w:val="en-US" w:eastAsia="zh-CN" w:bidi="ar-SA"/>
        </w:rPr>
        <w:t>从业人员</w:t>
      </w:r>
      <w:r>
        <w:rPr>
          <w:rFonts w:cs="Times New Roman"/>
          <w:color w:val="auto"/>
          <w:sz w:val="21"/>
          <w:szCs w:val="22"/>
          <w:u w:val="single"/>
          <w:lang w:val="en-US" w:eastAsia="zh-CN" w:bidi="ar-SA"/>
        </w:rPr>
        <w:tab/>
      </w:r>
      <w:r>
        <w:rPr>
          <w:rFonts w:cs="Times New Roman"/>
          <w:color w:val="auto"/>
          <w:sz w:val="21"/>
          <w:szCs w:val="22"/>
          <w:lang w:val="en-US" w:eastAsia="zh-CN" w:bidi="ar-SA"/>
        </w:rPr>
        <w:t>人，营业收入为</w:t>
      </w:r>
      <w:r>
        <w:rPr>
          <w:rFonts w:cs="Times New Roman"/>
          <w:color w:val="auto"/>
          <w:sz w:val="21"/>
          <w:szCs w:val="22"/>
          <w:u w:val="single"/>
          <w:lang w:val="en-US" w:eastAsia="zh-CN" w:bidi="ar-SA"/>
        </w:rPr>
        <w:tab/>
      </w:r>
      <w:r>
        <w:rPr>
          <w:rFonts w:cs="Times New Roman"/>
          <w:color w:val="auto"/>
          <w:sz w:val="21"/>
          <w:szCs w:val="22"/>
          <w:lang w:val="en-US" w:eastAsia="zh-CN" w:bidi="ar-SA"/>
        </w:rPr>
        <w:t>万元，资产总额为</w:t>
      </w:r>
      <w:r>
        <w:rPr>
          <w:rFonts w:cs="Times New Roman"/>
          <w:color w:val="auto"/>
          <w:sz w:val="21"/>
          <w:szCs w:val="22"/>
          <w:u w:val="single"/>
          <w:lang w:val="en-US" w:eastAsia="zh-CN" w:bidi="ar-SA"/>
        </w:rPr>
        <w:tab/>
      </w:r>
      <w:r>
        <w:rPr>
          <w:rFonts w:cs="Times New Roman"/>
          <w:color w:val="auto"/>
          <w:sz w:val="21"/>
          <w:szCs w:val="22"/>
          <w:lang w:val="en-US" w:eastAsia="zh-CN" w:bidi="ar-SA"/>
        </w:rPr>
        <w:t>万元</w:t>
      </w:r>
      <w:r>
        <w:rPr>
          <w:rFonts w:hint="eastAsia" w:cs="Times New Roman"/>
          <w:color w:val="auto"/>
          <w:sz w:val="21"/>
          <w:szCs w:val="22"/>
          <w:vertAlign w:val="superscript"/>
          <w:lang w:val="en-US" w:eastAsia="zh-CN" w:bidi="ar-SA"/>
        </w:rPr>
        <w:t>1</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cs="Times New Roman"/>
          <w:color w:val="auto"/>
          <w:sz w:val="21"/>
          <w:szCs w:val="22"/>
          <w:u w:val="single"/>
          <w:lang w:val="en-US" w:eastAsia="zh-CN" w:bidi="ar-SA"/>
        </w:rPr>
        <w:t>（中型企业、小型企业、微型企业）</w:t>
      </w:r>
      <w:r>
        <w:rPr>
          <w:rFonts w:hint="eastAsia" w:cs="Times New Roman"/>
          <w:color w:val="auto"/>
          <w:sz w:val="21"/>
          <w:szCs w:val="22"/>
          <w:lang w:val="en-US" w:eastAsia="zh-CN" w:bidi="ar-SA"/>
        </w:rPr>
        <w:t>；</w:t>
      </w:r>
    </w:p>
    <w:p>
      <w:pPr>
        <w:pStyle w:val="41"/>
        <w:tabs>
          <w:tab w:val="left" w:pos="893"/>
          <w:tab w:val="left" w:pos="1176"/>
          <w:tab w:val="left" w:pos="3936"/>
        </w:tabs>
        <w:spacing w:beforeAutospacing="0" w:afterAutospacing="0" w:line="517" w:lineRule="exact"/>
        <w:rPr>
          <w:rFonts w:cs="Times New Roman"/>
          <w:color w:val="auto"/>
          <w:sz w:val="21"/>
          <w:szCs w:val="22"/>
          <w:lang w:val="en-US" w:eastAsia="zh-CN" w:bidi="ar-SA"/>
        </w:rPr>
      </w:pPr>
      <w:bookmarkStart w:id="8" w:name="bookmark41"/>
      <w:bookmarkEnd w:id="8"/>
      <w:r>
        <w:rPr>
          <w:rFonts w:hint="eastAsia" w:cs="Times New Roman"/>
          <w:color w:val="auto"/>
          <w:sz w:val="21"/>
          <w:szCs w:val="22"/>
          <w:lang w:val="en-US" w:eastAsia="zh-CN" w:bidi="ar-SA"/>
        </w:rPr>
        <w:t>2.</w:t>
      </w:r>
      <w:r>
        <w:rPr>
          <w:rFonts w:cs="Times New Roman"/>
          <w:color w:val="auto"/>
          <w:sz w:val="21"/>
          <w:szCs w:val="22"/>
          <w:u w:val="single"/>
          <w:lang w:val="en-US" w:eastAsia="zh-CN" w:bidi="ar-SA"/>
        </w:rPr>
        <w:t>（标的名称）</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cs="Times New Roman"/>
          <w:color w:val="auto"/>
          <w:sz w:val="21"/>
          <w:szCs w:val="22"/>
          <w:u w:val="single"/>
          <w:lang w:val="en-US" w:eastAsia="zh-CN" w:bidi="ar-SA"/>
        </w:rPr>
        <w:t>（采购文件中明确的所属行业丿</w:t>
      </w:r>
      <w:r>
        <w:rPr>
          <w:rFonts w:cs="Times New Roman"/>
          <w:color w:val="auto"/>
          <w:sz w:val="21"/>
          <w:szCs w:val="22"/>
          <w:lang w:val="en-US" w:eastAsia="zh-CN" w:bidi="ar-SA"/>
        </w:rPr>
        <w:t>行业</w:t>
      </w:r>
      <w:r>
        <w:rPr>
          <w:rFonts w:hint="eastAsia" w:cs="Times New Roman"/>
          <w:color w:val="auto"/>
          <w:sz w:val="21"/>
          <w:szCs w:val="22"/>
          <w:lang w:val="en-US" w:eastAsia="zh-CN" w:bidi="ar-SA"/>
        </w:rPr>
        <w:t>；</w:t>
      </w:r>
      <w:r>
        <w:rPr>
          <w:rFonts w:cs="Times New Roman"/>
          <w:color w:val="auto"/>
          <w:sz w:val="21"/>
          <w:szCs w:val="22"/>
          <w:lang w:val="en-US" w:eastAsia="zh-CN" w:bidi="ar-SA"/>
        </w:rPr>
        <w:t>制造商为</w:t>
      </w:r>
      <w:r>
        <w:rPr>
          <w:rFonts w:cs="Times New Roman"/>
          <w:color w:val="auto"/>
          <w:sz w:val="21"/>
          <w:szCs w:val="22"/>
          <w:u w:val="single"/>
          <w:lang w:val="en-US" w:eastAsia="zh-CN" w:bidi="ar-SA"/>
        </w:rPr>
        <w:t>（企业名称）</w:t>
      </w:r>
      <w:r>
        <w:rPr>
          <w:rFonts w:hint="eastAsia" w:cs="Times New Roman"/>
          <w:color w:val="auto"/>
          <w:sz w:val="21"/>
          <w:szCs w:val="22"/>
          <w:lang w:val="en-US" w:eastAsia="zh-CN" w:bidi="ar-SA"/>
        </w:rPr>
        <w:t>，</w:t>
      </w:r>
      <w:r>
        <w:rPr>
          <w:rFonts w:cs="Times New Roman"/>
          <w:color w:val="auto"/>
          <w:sz w:val="21"/>
          <w:szCs w:val="22"/>
          <w:lang w:val="en-US" w:eastAsia="zh-CN" w:bidi="ar-SA"/>
        </w:rPr>
        <w:t>从业人员人，营业收入为万元，资产总额为</w:t>
      </w:r>
      <w:r>
        <w:rPr>
          <w:rFonts w:cs="Times New Roman"/>
          <w:color w:val="auto"/>
          <w:sz w:val="21"/>
          <w:szCs w:val="22"/>
          <w:u w:val="single"/>
          <w:lang w:val="en-US" w:eastAsia="zh-CN" w:bidi="ar-SA"/>
        </w:rPr>
        <w:tab/>
      </w:r>
      <w:r>
        <w:rPr>
          <w:rFonts w:cs="Times New Roman"/>
          <w:color w:val="auto"/>
          <w:sz w:val="21"/>
          <w:szCs w:val="22"/>
          <w:lang w:val="en-US" w:eastAsia="zh-CN" w:bidi="ar-SA"/>
        </w:rPr>
        <w:t>万元</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cs="Times New Roman"/>
          <w:color w:val="auto"/>
          <w:sz w:val="21"/>
          <w:szCs w:val="22"/>
          <w:u w:val="single"/>
          <w:lang w:val="en-US" w:eastAsia="zh-CN" w:bidi="ar-SA"/>
        </w:rPr>
        <w:t>（中型企业、小型 企业、微型企业）</w:t>
      </w:r>
      <w:r>
        <w:rPr>
          <w:rFonts w:hint="eastAsia" w:cs="Times New Roman"/>
          <w:color w:val="auto"/>
          <w:sz w:val="21"/>
          <w:szCs w:val="22"/>
          <w:lang w:val="en-US" w:eastAsia="zh-CN" w:bidi="ar-SA"/>
        </w:rPr>
        <w:t>；</w:t>
      </w:r>
    </w:p>
    <w:p>
      <w:pPr>
        <w:pStyle w:val="41"/>
        <w:tabs>
          <w:tab w:val="left" w:pos="893"/>
          <w:tab w:val="left" w:pos="1176"/>
          <w:tab w:val="left" w:pos="3936"/>
        </w:tabs>
        <w:spacing w:beforeAutospacing="0" w:afterAutospacing="0" w:line="517" w:lineRule="exact"/>
        <w:rPr>
          <w:rFonts w:cs="Times New Roman"/>
          <w:color w:val="auto"/>
          <w:sz w:val="21"/>
          <w:szCs w:val="22"/>
          <w:lang w:val="en-US" w:eastAsia="zh-CN" w:bidi="ar-SA"/>
        </w:rPr>
      </w:pPr>
      <w:r>
        <w:rPr>
          <w:rFonts w:cs="Times New Roman"/>
          <w:color w:val="auto"/>
          <w:sz w:val="21"/>
          <w:szCs w:val="22"/>
          <w:lang w:val="en-US" w:eastAsia="zh-CN" w:bidi="ar-SA"/>
        </w:rPr>
        <w:t>……</w:t>
      </w:r>
    </w:p>
    <w:p>
      <w:pPr>
        <w:pStyle w:val="41"/>
        <w:tabs>
          <w:tab w:val="left" w:pos="893"/>
          <w:tab w:val="left" w:pos="1176"/>
          <w:tab w:val="left" w:pos="3936"/>
        </w:tabs>
        <w:spacing w:beforeAutospacing="0" w:afterAutospacing="0" w:line="517" w:lineRule="exact"/>
        <w:rPr>
          <w:rFonts w:cs="Times New Roman"/>
          <w:color w:val="auto"/>
          <w:sz w:val="21"/>
          <w:szCs w:val="22"/>
          <w:lang w:val="en-US" w:eastAsia="zh-CN" w:bidi="ar-SA"/>
        </w:rPr>
      </w:pPr>
      <w:r>
        <w:rPr>
          <w:rFonts w:cs="Times New Roman"/>
          <w:color w:val="auto"/>
          <w:sz w:val="21"/>
          <w:szCs w:val="22"/>
          <w:lang w:val="en-US" w:eastAsia="zh-CN" w:bidi="ar-SA"/>
        </w:rPr>
        <w:t>以上企业，不属于大企业的分支机构，不存在控股股东为大企业的情形，也不存在与大企业的负责人为同一人的情形。</w:t>
      </w:r>
    </w:p>
    <w:p>
      <w:pPr>
        <w:pStyle w:val="41"/>
        <w:tabs>
          <w:tab w:val="left" w:pos="893"/>
          <w:tab w:val="left" w:pos="1176"/>
          <w:tab w:val="left" w:pos="3936"/>
        </w:tabs>
        <w:spacing w:beforeAutospacing="0" w:afterAutospacing="0" w:line="517" w:lineRule="exact"/>
        <w:rPr>
          <w:rFonts w:cs="Times New Roman"/>
          <w:color w:val="auto"/>
          <w:sz w:val="21"/>
          <w:szCs w:val="22"/>
          <w:lang w:val="en-US" w:eastAsia="zh-CN" w:bidi="ar-SA"/>
        </w:rPr>
      </w:pPr>
      <w:r>
        <w:rPr>
          <w:rFonts w:cs="Times New Roman"/>
          <w:color w:val="auto"/>
          <w:sz w:val="21"/>
          <w:szCs w:val="22"/>
          <w:lang w:val="en-US" w:eastAsia="zh-CN" w:bidi="ar-SA"/>
        </w:rPr>
        <w:t>本企业对上述声明内容的真实性负责。如有虚假，将依法承担相应责任。</w:t>
      </w:r>
    </w:p>
    <w:p>
      <w:pPr>
        <w:pStyle w:val="41"/>
        <w:spacing w:beforeAutospacing="0" w:afterAutospacing="0" w:line="542" w:lineRule="exact"/>
        <w:ind w:left="3700" w:firstLine="100"/>
        <w:jc w:val="left"/>
        <w:rPr>
          <w:rFonts w:cs="Times New Roman"/>
          <w:color w:val="auto"/>
          <w:sz w:val="21"/>
          <w:szCs w:val="22"/>
          <w:lang w:val="en-US" w:eastAsia="zh-CN" w:bidi="ar-SA"/>
        </w:rPr>
      </w:pPr>
      <w:r>
        <w:rPr>
          <w:rFonts w:cs="Times New Roman"/>
          <w:color w:val="auto"/>
          <w:sz w:val="21"/>
          <w:szCs w:val="22"/>
          <w:lang w:val="en-US" w:eastAsia="zh-CN" w:bidi="ar-SA"/>
        </w:rPr>
        <w:t>企业名称（盖章）</w:t>
      </w:r>
      <w:r>
        <w:rPr>
          <w:rFonts w:hint="eastAsia" w:cs="Times New Roman"/>
          <w:color w:val="auto"/>
          <w:sz w:val="21"/>
          <w:szCs w:val="22"/>
          <w:lang w:val="en-US" w:eastAsia="zh-CN" w:bidi="ar-SA"/>
        </w:rPr>
        <w:t>：</w:t>
      </w:r>
    </w:p>
    <w:p>
      <w:pPr>
        <w:pStyle w:val="41"/>
        <w:spacing w:beforeAutospacing="0" w:afterAutospacing="0" w:line="542" w:lineRule="exact"/>
        <w:ind w:left="3700" w:firstLine="100"/>
        <w:jc w:val="left"/>
        <w:rPr>
          <w:rFonts w:cs="Times New Roman"/>
          <w:color w:val="auto"/>
          <w:sz w:val="21"/>
          <w:szCs w:val="22"/>
          <w:lang w:val="en-US" w:eastAsia="zh-CN" w:bidi="ar-SA"/>
        </w:rPr>
      </w:pPr>
      <w:r>
        <w:rPr>
          <w:rFonts w:cs="Times New Roman"/>
          <w:color w:val="auto"/>
          <w:sz w:val="21"/>
          <w:szCs w:val="22"/>
          <w:lang w:val="en-US" w:eastAsia="zh-CN" w:bidi="ar-SA"/>
        </w:rPr>
        <w:t>日期</w:t>
      </w:r>
      <w:r>
        <w:rPr>
          <w:rFonts w:hint="eastAsia" w:cs="Times New Roman"/>
          <w:color w:val="auto"/>
          <w:sz w:val="21"/>
          <w:szCs w:val="22"/>
          <w:lang w:val="en-US" w:eastAsia="zh-CN" w:bidi="ar-SA"/>
        </w:rPr>
        <w:t>：</w:t>
      </w:r>
    </w:p>
    <w:p>
      <w:pPr>
        <w:pStyle w:val="42"/>
        <w:tabs>
          <w:tab w:val="left" w:pos="906"/>
        </w:tabs>
        <w:ind w:firstLine="0"/>
        <w:jc w:val="left"/>
        <w:rPr>
          <w:lang w:val="en-US"/>
        </w:rPr>
      </w:pPr>
      <w:r>
        <w:tab/>
      </w:r>
    </w:p>
    <w:p>
      <w:pPr>
        <w:spacing w:beforeAutospacing="0" w:afterAutospacing="0" w:line="360" w:lineRule="auto"/>
        <w:ind w:firstLine="320" w:firstLineChars="200"/>
        <w:jc w:val="right"/>
        <w:rPr>
          <w:rFonts w:ascii="宋体" w:hAnsi="宋体"/>
        </w:rPr>
      </w:pPr>
      <w:r>
        <w:rPr>
          <w:rFonts w:hint="eastAsia"/>
          <w:sz w:val="16"/>
          <w:szCs w:val="16"/>
          <w:vertAlign w:val="superscript"/>
        </w:rPr>
        <w:t>1</w:t>
      </w:r>
      <w:r>
        <w:rPr>
          <w:sz w:val="16"/>
          <w:szCs w:val="16"/>
        </w:rPr>
        <w:t>从业人员、营业收入、资产总额填报上一年度数据，无上一年度数据的新成立企业可不填报</w:t>
      </w:r>
      <w:r>
        <w:rPr>
          <w:rFonts w:hint="eastAsia"/>
          <w:sz w:val="16"/>
          <w:szCs w:val="16"/>
        </w:rPr>
        <w:t>。</w:t>
      </w:r>
    </w:p>
    <w:p>
      <w:pPr>
        <w:spacing w:beforeAutospacing="0" w:afterAutospacing="0" w:line="360" w:lineRule="auto"/>
        <w:ind w:firstLine="420" w:firstLineChars="200"/>
        <w:rPr>
          <w:rFonts w:ascii="宋体" w:hAnsi="宋体"/>
        </w:rPr>
      </w:pPr>
    </w:p>
    <w:p/>
    <w:p/>
    <w:p/>
    <w:p/>
    <w:p/>
    <w:p>
      <w:r>
        <w:rPr>
          <w:rFonts w:hint="eastAsia"/>
        </w:rPr>
        <w:t>说明：</w:t>
      </w:r>
    </w:p>
    <w:p>
      <w:r>
        <w:rPr>
          <w:rFonts w:hint="eastAsia"/>
        </w:rPr>
        <w:t>1.企业名称（盖章）即投标供应商（盖章）。</w:t>
      </w:r>
    </w:p>
    <w:p>
      <w:pPr>
        <w:rPr>
          <w:rFonts w:ascii="宋体" w:hAnsi="宋体"/>
          <w:b/>
          <w:bCs/>
          <w:kern w:val="0"/>
          <w:sz w:val="28"/>
          <w:szCs w:val="24"/>
        </w:rPr>
      </w:pPr>
      <w:r>
        <w:rPr>
          <w:rFonts w:hint="eastAsia" w:ascii="宋体" w:hAnsi="宋体"/>
          <w:b/>
          <w:bCs/>
          <w:kern w:val="0"/>
          <w:sz w:val="28"/>
          <w:szCs w:val="24"/>
        </w:rPr>
        <w:br w:type="page"/>
      </w:r>
    </w:p>
    <w:p>
      <w:pPr>
        <w:pStyle w:val="6"/>
        <w:keepNext w:val="0"/>
        <w:keepLines w:val="0"/>
        <w:widowControl/>
        <w:spacing w:before="100" w:beforeAutospacing="1" w:after="100" w:afterAutospacing="1" w:line="240" w:lineRule="auto"/>
        <w:jc w:val="center"/>
        <w:rPr>
          <w:rFonts w:ascii="宋体" w:hAnsi="宋体" w:eastAsia="宋体"/>
          <w:kern w:val="0"/>
          <w:szCs w:val="24"/>
        </w:rPr>
      </w:pPr>
      <w:r>
        <w:rPr>
          <w:rFonts w:hint="eastAsia" w:ascii="宋体" w:hAnsi="宋体" w:eastAsia="宋体"/>
          <w:kern w:val="0"/>
          <w:szCs w:val="24"/>
        </w:rPr>
        <w:t>（二）监狱企业证明文件</w:t>
      </w:r>
    </w:p>
    <w:p>
      <w:pPr>
        <w:pStyle w:val="2"/>
        <w:ind w:left="2678" w:leftChars="0"/>
      </w:pPr>
    </w:p>
    <w:p>
      <w:pPr>
        <w:spacing w:beforeAutospacing="0" w:afterAutospacing="0" w:line="360" w:lineRule="auto"/>
        <w:jc w:val="center"/>
        <w:rPr>
          <w:rFonts w:ascii="宋体" w:hAnsi="宋体"/>
        </w:rPr>
      </w:pPr>
      <w:r>
        <w:rPr>
          <w:rFonts w:hint="eastAsia" w:ascii="宋体" w:hAnsi="宋体"/>
          <w:b/>
          <w:sz w:val="28"/>
          <w:szCs w:val="28"/>
        </w:rPr>
        <w:t>（货物非监狱企业制造，不需提供）</w:t>
      </w:r>
    </w:p>
    <w:p>
      <w:pPr>
        <w:spacing w:beforeAutospacing="0" w:afterAutospacing="0" w:line="360" w:lineRule="auto"/>
        <w:ind w:firstLine="420" w:firstLineChars="200"/>
        <w:rPr>
          <w:rFonts w:ascii="宋体" w:hAnsi="宋体"/>
        </w:rPr>
      </w:pPr>
      <w:r>
        <w:rPr>
          <w:rFonts w:hint="eastAsia" w:ascii="宋体" w:hAnsi="宋体"/>
        </w:rPr>
        <w:t>备注：</w:t>
      </w:r>
      <w:r>
        <w:rPr>
          <w:rFonts w:hint="eastAsia" w:ascii="宋体" w:hAnsi="宋体"/>
          <w:b/>
        </w:rPr>
        <w:t>按招标文件要求提供加盖声明单位公章的省级以上监狱管理局、戒毒管理局（含新疆建设生产兵团）出具的属于监狱企业制造货物的证明文件，不再列入《中小企业声明函》，不重复享受政策。</w:t>
      </w:r>
    </w:p>
    <w:p>
      <w:pPr>
        <w:spacing w:beforeAutospacing="0" w:afterAutospacing="0" w:line="360" w:lineRule="auto"/>
        <w:ind w:firstLine="420" w:firstLineChars="200"/>
        <w:rPr>
          <w:rFonts w:ascii="宋体" w:hAnsi="宋体"/>
        </w:rPr>
      </w:pPr>
    </w:p>
    <w:p>
      <w:pPr>
        <w:spacing w:beforeAutospacing="0" w:afterAutospacing="0" w:line="360" w:lineRule="auto"/>
        <w:jc w:val="center"/>
        <w:rPr>
          <w:rFonts w:ascii="宋体" w:hAnsi="宋体"/>
        </w:rPr>
      </w:pPr>
      <w:r>
        <w:rPr>
          <w:rFonts w:hint="eastAsia" w:ascii="宋体" w:hAnsi="宋体"/>
        </w:rPr>
        <w:t>附表2  监狱企业货物投标明细表（人民币单位：元）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68" w:type="dxa"/>
            <w:vAlign w:val="center"/>
          </w:tcPr>
          <w:p>
            <w:pPr>
              <w:pStyle w:val="40"/>
              <w:jc w:val="center"/>
              <w:rPr>
                <w:rFonts w:ascii="宋体" w:hAnsi="宋体"/>
                <w:sz w:val="21"/>
                <w:szCs w:val="21"/>
              </w:rPr>
            </w:pPr>
            <w:r>
              <w:rPr>
                <w:rFonts w:hint="eastAsia" w:ascii="宋体" w:hAnsi="宋体"/>
                <w:sz w:val="21"/>
                <w:szCs w:val="21"/>
              </w:rPr>
              <w:t>序号</w:t>
            </w:r>
          </w:p>
        </w:tc>
        <w:tc>
          <w:tcPr>
            <w:tcW w:w="1106" w:type="dxa"/>
            <w:vAlign w:val="center"/>
          </w:tcPr>
          <w:p>
            <w:pPr>
              <w:pStyle w:val="40"/>
              <w:jc w:val="center"/>
              <w:rPr>
                <w:rFonts w:ascii="宋体" w:hAnsi="宋体"/>
                <w:sz w:val="21"/>
                <w:szCs w:val="21"/>
              </w:rPr>
            </w:pPr>
            <w:r>
              <w:rPr>
                <w:rFonts w:hint="eastAsia" w:ascii="宋体" w:hAnsi="宋体"/>
                <w:sz w:val="24"/>
                <w:szCs w:val="24"/>
              </w:rPr>
              <w:t>货物</w:t>
            </w:r>
            <w:r>
              <w:rPr>
                <w:rFonts w:ascii="宋体" w:hAnsi="宋体"/>
                <w:sz w:val="24"/>
                <w:szCs w:val="24"/>
              </w:rPr>
              <w:t>名称</w:t>
            </w:r>
          </w:p>
        </w:tc>
        <w:tc>
          <w:tcPr>
            <w:tcW w:w="1069" w:type="dxa"/>
            <w:vAlign w:val="center"/>
          </w:tcPr>
          <w:p>
            <w:pPr>
              <w:pStyle w:val="40"/>
              <w:jc w:val="center"/>
              <w:rPr>
                <w:rFonts w:ascii="宋体" w:hAnsi="宋体"/>
                <w:sz w:val="21"/>
                <w:szCs w:val="21"/>
              </w:rPr>
            </w:pPr>
            <w:r>
              <w:rPr>
                <w:rFonts w:hint="eastAsia" w:ascii="宋体" w:hAnsi="宋体"/>
                <w:sz w:val="21"/>
                <w:szCs w:val="21"/>
              </w:rPr>
              <w:t>数量/单位</w:t>
            </w:r>
          </w:p>
        </w:tc>
        <w:tc>
          <w:tcPr>
            <w:tcW w:w="994" w:type="dxa"/>
            <w:vAlign w:val="center"/>
          </w:tcPr>
          <w:p>
            <w:pPr>
              <w:pStyle w:val="40"/>
              <w:jc w:val="center"/>
              <w:rPr>
                <w:rFonts w:ascii="宋体" w:hAnsi="宋体"/>
                <w:sz w:val="21"/>
                <w:szCs w:val="21"/>
              </w:rPr>
            </w:pPr>
            <w:r>
              <w:rPr>
                <w:rFonts w:hint="eastAsia" w:ascii="宋体" w:hAnsi="宋体"/>
                <w:sz w:val="21"/>
                <w:szCs w:val="21"/>
              </w:rPr>
              <w:t>单价</w:t>
            </w:r>
          </w:p>
        </w:tc>
        <w:tc>
          <w:tcPr>
            <w:tcW w:w="975" w:type="dxa"/>
            <w:vAlign w:val="center"/>
          </w:tcPr>
          <w:p>
            <w:pPr>
              <w:pStyle w:val="40"/>
              <w:jc w:val="center"/>
              <w:rPr>
                <w:rFonts w:ascii="宋体" w:hAnsi="宋体"/>
                <w:sz w:val="21"/>
                <w:szCs w:val="21"/>
              </w:rPr>
            </w:pPr>
            <w:r>
              <w:rPr>
                <w:rFonts w:hint="eastAsia" w:ascii="宋体" w:hAnsi="宋体"/>
                <w:sz w:val="21"/>
                <w:szCs w:val="21"/>
              </w:rPr>
              <w:t>合价</w:t>
            </w:r>
          </w:p>
        </w:tc>
        <w:tc>
          <w:tcPr>
            <w:tcW w:w="918" w:type="dxa"/>
            <w:vAlign w:val="center"/>
          </w:tcPr>
          <w:p>
            <w:pPr>
              <w:pStyle w:val="40"/>
              <w:jc w:val="center"/>
              <w:rPr>
                <w:rFonts w:ascii="宋体" w:hAnsi="宋体"/>
                <w:sz w:val="21"/>
                <w:szCs w:val="21"/>
              </w:rPr>
            </w:pPr>
            <w:r>
              <w:rPr>
                <w:rFonts w:hint="eastAsia" w:ascii="宋体" w:hAnsi="宋体"/>
                <w:sz w:val="21"/>
                <w:szCs w:val="21"/>
              </w:rPr>
              <w:t>价格扣除比例</w:t>
            </w:r>
          </w:p>
        </w:tc>
        <w:tc>
          <w:tcPr>
            <w:tcW w:w="900" w:type="dxa"/>
            <w:vAlign w:val="center"/>
          </w:tcPr>
          <w:p>
            <w:pPr>
              <w:pStyle w:val="40"/>
              <w:jc w:val="center"/>
              <w:rPr>
                <w:rFonts w:ascii="宋体" w:hAnsi="宋体"/>
                <w:sz w:val="21"/>
                <w:szCs w:val="21"/>
              </w:rPr>
            </w:pPr>
            <w:r>
              <w:rPr>
                <w:rFonts w:hint="eastAsia" w:ascii="宋体" w:hAnsi="宋体"/>
                <w:sz w:val="21"/>
                <w:szCs w:val="21"/>
              </w:rPr>
              <w:t>扣除价格</w:t>
            </w:r>
          </w:p>
        </w:tc>
        <w:tc>
          <w:tcPr>
            <w:tcW w:w="2269" w:type="dxa"/>
            <w:vAlign w:val="center"/>
          </w:tcPr>
          <w:p>
            <w:pPr>
              <w:pStyle w:val="40"/>
              <w:jc w:val="center"/>
              <w:rPr>
                <w:rFonts w:ascii="宋体" w:hAnsi="宋体"/>
                <w:sz w:val="21"/>
                <w:szCs w:val="21"/>
              </w:rPr>
            </w:pPr>
            <w:r>
              <w:rPr>
                <w:rFonts w:hint="eastAsia" w:ascii="宋体" w:hAnsi="宋体"/>
                <w:sz w:val="21"/>
                <w:szCs w:val="21"/>
              </w:rPr>
              <w:t>制造商（填写制造商名称）</w:t>
            </w:r>
          </w:p>
        </w:tc>
        <w:tc>
          <w:tcPr>
            <w:tcW w:w="881" w:type="dxa"/>
            <w:vAlign w:val="center"/>
          </w:tcPr>
          <w:p>
            <w:pPr>
              <w:pStyle w:val="40"/>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40"/>
              <w:rPr>
                <w:rFonts w:ascii="宋体" w:hAnsi="宋体"/>
                <w:sz w:val="21"/>
                <w:szCs w:val="21"/>
              </w:rPr>
            </w:pPr>
            <w:r>
              <w:rPr>
                <w:rFonts w:hint="eastAsia" w:ascii="宋体" w:hAnsi="宋体"/>
                <w:sz w:val="21"/>
                <w:szCs w:val="21"/>
              </w:rPr>
              <w:t>1</w:t>
            </w:r>
          </w:p>
        </w:tc>
        <w:tc>
          <w:tcPr>
            <w:tcW w:w="1106" w:type="dxa"/>
          </w:tcPr>
          <w:p>
            <w:pPr>
              <w:pStyle w:val="40"/>
              <w:rPr>
                <w:rFonts w:ascii="宋体" w:hAnsi="宋体"/>
                <w:sz w:val="21"/>
                <w:szCs w:val="21"/>
              </w:rPr>
            </w:pPr>
          </w:p>
        </w:tc>
        <w:tc>
          <w:tcPr>
            <w:tcW w:w="1069" w:type="dxa"/>
          </w:tcPr>
          <w:p>
            <w:pPr>
              <w:pStyle w:val="40"/>
              <w:rPr>
                <w:rFonts w:ascii="宋体" w:hAnsi="宋体"/>
                <w:sz w:val="21"/>
                <w:szCs w:val="21"/>
              </w:rPr>
            </w:pPr>
          </w:p>
        </w:tc>
        <w:tc>
          <w:tcPr>
            <w:tcW w:w="994" w:type="dxa"/>
          </w:tcPr>
          <w:p>
            <w:pPr>
              <w:pStyle w:val="40"/>
              <w:rPr>
                <w:rFonts w:ascii="宋体" w:hAnsi="宋体"/>
                <w:sz w:val="21"/>
                <w:szCs w:val="21"/>
              </w:rPr>
            </w:pPr>
          </w:p>
        </w:tc>
        <w:tc>
          <w:tcPr>
            <w:tcW w:w="975" w:type="dxa"/>
          </w:tcPr>
          <w:p>
            <w:pPr>
              <w:pStyle w:val="40"/>
              <w:rPr>
                <w:rFonts w:ascii="宋体" w:hAnsi="宋体"/>
                <w:sz w:val="21"/>
                <w:szCs w:val="21"/>
              </w:rPr>
            </w:pPr>
          </w:p>
        </w:tc>
        <w:tc>
          <w:tcPr>
            <w:tcW w:w="918" w:type="dxa"/>
          </w:tcPr>
          <w:p>
            <w:pPr>
              <w:pStyle w:val="40"/>
              <w:rPr>
                <w:rFonts w:ascii="宋体" w:hAnsi="宋体"/>
                <w:sz w:val="21"/>
                <w:szCs w:val="21"/>
              </w:rPr>
            </w:pPr>
          </w:p>
        </w:tc>
        <w:tc>
          <w:tcPr>
            <w:tcW w:w="900" w:type="dxa"/>
          </w:tcPr>
          <w:p>
            <w:pPr>
              <w:pStyle w:val="40"/>
              <w:rPr>
                <w:rFonts w:ascii="宋体" w:hAnsi="宋体"/>
                <w:sz w:val="21"/>
                <w:szCs w:val="21"/>
              </w:rPr>
            </w:pPr>
          </w:p>
        </w:tc>
        <w:tc>
          <w:tcPr>
            <w:tcW w:w="2269" w:type="dxa"/>
          </w:tcPr>
          <w:p>
            <w:pPr>
              <w:pStyle w:val="40"/>
              <w:rPr>
                <w:rFonts w:ascii="宋体" w:hAnsi="宋体"/>
                <w:sz w:val="21"/>
                <w:szCs w:val="21"/>
              </w:rPr>
            </w:pPr>
          </w:p>
        </w:tc>
        <w:tc>
          <w:tcPr>
            <w:tcW w:w="881" w:type="dxa"/>
          </w:tcPr>
          <w:p>
            <w:pPr>
              <w:pStyle w:val="4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40"/>
              <w:rPr>
                <w:rFonts w:ascii="宋体" w:hAnsi="宋体"/>
                <w:sz w:val="21"/>
                <w:szCs w:val="21"/>
              </w:rPr>
            </w:pPr>
            <w:r>
              <w:rPr>
                <w:rFonts w:hint="eastAsia" w:ascii="宋体" w:hAnsi="宋体"/>
                <w:sz w:val="21"/>
                <w:szCs w:val="21"/>
              </w:rPr>
              <w:t>2</w:t>
            </w:r>
          </w:p>
        </w:tc>
        <w:tc>
          <w:tcPr>
            <w:tcW w:w="1106" w:type="dxa"/>
          </w:tcPr>
          <w:p>
            <w:pPr>
              <w:pStyle w:val="40"/>
              <w:rPr>
                <w:rFonts w:ascii="宋体" w:hAnsi="宋体"/>
                <w:sz w:val="21"/>
                <w:szCs w:val="21"/>
              </w:rPr>
            </w:pPr>
          </w:p>
        </w:tc>
        <w:tc>
          <w:tcPr>
            <w:tcW w:w="1069" w:type="dxa"/>
          </w:tcPr>
          <w:p>
            <w:pPr>
              <w:pStyle w:val="40"/>
              <w:rPr>
                <w:rFonts w:ascii="宋体" w:hAnsi="宋体"/>
                <w:sz w:val="21"/>
                <w:szCs w:val="21"/>
              </w:rPr>
            </w:pPr>
          </w:p>
        </w:tc>
        <w:tc>
          <w:tcPr>
            <w:tcW w:w="994" w:type="dxa"/>
          </w:tcPr>
          <w:p>
            <w:pPr>
              <w:pStyle w:val="40"/>
              <w:rPr>
                <w:rFonts w:ascii="宋体" w:hAnsi="宋体"/>
                <w:sz w:val="21"/>
                <w:szCs w:val="21"/>
              </w:rPr>
            </w:pPr>
          </w:p>
        </w:tc>
        <w:tc>
          <w:tcPr>
            <w:tcW w:w="975" w:type="dxa"/>
          </w:tcPr>
          <w:p>
            <w:pPr>
              <w:pStyle w:val="40"/>
              <w:rPr>
                <w:rFonts w:ascii="宋体" w:hAnsi="宋体"/>
                <w:sz w:val="21"/>
                <w:szCs w:val="21"/>
              </w:rPr>
            </w:pPr>
          </w:p>
        </w:tc>
        <w:tc>
          <w:tcPr>
            <w:tcW w:w="918" w:type="dxa"/>
          </w:tcPr>
          <w:p>
            <w:pPr>
              <w:pStyle w:val="40"/>
              <w:rPr>
                <w:rFonts w:ascii="宋体" w:hAnsi="宋体"/>
                <w:sz w:val="21"/>
                <w:szCs w:val="21"/>
              </w:rPr>
            </w:pPr>
          </w:p>
        </w:tc>
        <w:tc>
          <w:tcPr>
            <w:tcW w:w="900" w:type="dxa"/>
          </w:tcPr>
          <w:p>
            <w:pPr>
              <w:pStyle w:val="40"/>
              <w:rPr>
                <w:rFonts w:ascii="宋体" w:hAnsi="宋体"/>
                <w:sz w:val="21"/>
                <w:szCs w:val="21"/>
              </w:rPr>
            </w:pPr>
          </w:p>
        </w:tc>
        <w:tc>
          <w:tcPr>
            <w:tcW w:w="2269" w:type="dxa"/>
          </w:tcPr>
          <w:p>
            <w:pPr>
              <w:pStyle w:val="40"/>
              <w:rPr>
                <w:rFonts w:ascii="宋体" w:hAnsi="宋体"/>
                <w:sz w:val="21"/>
                <w:szCs w:val="21"/>
              </w:rPr>
            </w:pPr>
          </w:p>
        </w:tc>
        <w:tc>
          <w:tcPr>
            <w:tcW w:w="881" w:type="dxa"/>
          </w:tcPr>
          <w:p>
            <w:pPr>
              <w:pStyle w:val="4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40"/>
              <w:rPr>
                <w:rFonts w:ascii="宋体" w:hAnsi="宋体"/>
                <w:sz w:val="21"/>
                <w:szCs w:val="21"/>
              </w:rPr>
            </w:pPr>
            <w:r>
              <w:rPr>
                <w:rFonts w:hint="eastAsia" w:ascii="宋体" w:hAnsi="宋体"/>
                <w:sz w:val="21"/>
                <w:szCs w:val="21"/>
              </w:rPr>
              <w:t>3</w:t>
            </w:r>
          </w:p>
        </w:tc>
        <w:tc>
          <w:tcPr>
            <w:tcW w:w="1106" w:type="dxa"/>
          </w:tcPr>
          <w:p>
            <w:pPr>
              <w:pStyle w:val="40"/>
              <w:rPr>
                <w:rFonts w:ascii="宋体" w:hAnsi="宋体"/>
                <w:sz w:val="21"/>
                <w:szCs w:val="21"/>
              </w:rPr>
            </w:pPr>
          </w:p>
        </w:tc>
        <w:tc>
          <w:tcPr>
            <w:tcW w:w="1069" w:type="dxa"/>
          </w:tcPr>
          <w:p>
            <w:pPr>
              <w:pStyle w:val="40"/>
              <w:rPr>
                <w:rFonts w:ascii="宋体" w:hAnsi="宋体"/>
                <w:sz w:val="21"/>
                <w:szCs w:val="21"/>
              </w:rPr>
            </w:pPr>
          </w:p>
        </w:tc>
        <w:tc>
          <w:tcPr>
            <w:tcW w:w="994" w:type="dxa"/>
          </w:tcPr>
          <w:p>
            <w:pPr>
              <w:pStyle w:val="40"/>
              <w:rPr>
                <w:rFonts w:ascii="宋体" w:hAnsi="宋体"/>
                <w:sz w:val="21"/>
                <w:szCs w:val="21"/>
              </w:rPr>
            </w:pPr>
          </w:p>
        </w:tc>
        <w:tc>
          <w:tcPr>
            <w:tcW w:w="975" w:type="dxa"/>
          </w:tcPr>
          <w:p>
            <w:pPr>
              <w:pStyle w:val="40"/>
              <w:rPr>
                <w:rFonts w:ascii="宋体" w:hAnsi="宋体"/>
                <w:sz w:val="21"/>
                <w:szCs w:val="21"/>
              </w:rPr>
            </w:pPr>
          </w:p>
        </w:tc>
        <w:tc>
          <w:tcPr>
            <w:tcW w:w="918" w:type="dxa"/>
          </w:tcPr>
          <w:p>
            <w:pPr>
              <w:pStyle w:val="40"/>
              <w:rPr>
                <w:rFonts w:ascii="宋体" w:hAnsi="宋体"/>
                <w:sz w:val="21"/>
                <w:szCs w:val="21"/>
              </w:rPr>
            </w:pPr>
          </w:p>
        </w:tc>
        <w:tc>
          <w:tcPr>
            <w:tcW w:w="900" w:type="dxa"/>
          </w:tcPr>
          <w:p>
            <w:pPr>
              <w:pStyle w:val="40"/>
              <w:rPr>
                <w:rFonts w:ascii="宋体" w:hAnsi="宋体"/>
                <w:sz w:val="21"/>
                <w:szCs w:val="21"/>
              </w:rPr>
            </w:pPr>
          </w:p>
        </w:tc>
        <w:tc>
          <w:tcPr>
            <w:tcW w:w="2269" w:type="dxa"/>
          </w:tcPr>
          <w:p>
            <w:pPr>
              <w:pStyle w:val="40"/>
              <w:rPr>
                <w:rFonts w:ascii="宋体" w:hAnsi="宋体"/>
                <w:sz w:val="21"/>
                <w:szCs w:val="21"/>
              </w:rPr>
            </w:pPr>
          </w:p>
        </w:tc>
        <w:tc>
          <w:tcPr>
            <w:tcW w:w="881" w:type="dxa"/>
          </w:tcPr>
          <w:p>
            <w:pPr>
              <w:pStyle w:val="4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40"/>
              <w:rPr>
                <w:rFonts w:ascii="宋体" w:hAnsi="宋体"/>
                <w:sz w:val="21"/>
                <w:szCs w:val="21"/>
              </w:rPr>
            </w:pPr>
            <w:r>
              <w:rPr>
                <w:rFonts w:hint="eastAsia" w:ascii="宋体" w:hAnsi="宋体" w:cs="宋体"/>
                <w:sz w:val="21"/>
                <w:szCs w:val="21"/>
              </w:rPr>
              <w:t>···</w:t>
            </w:r>
          </w:p>
        </w:tc>
        <w:tc>
          <w:tcPr>
            <w:tcW w:w="1106" w:type="dxa"/>
          </w:tcPr>
          <w:p>
            <w:pPr>
              <w:pStyle w:val="40"/>
              <w:rPr>
                <w:rFonts w:ascii="宋体" w:hAnsi="宋体"/>
                <w:sz w:val="21"/>
                <w:szCs w:val="21"/>
              </w:rPr>
            </w:pPr>
          </w:p>
        </w:tc>
        <w:tc>
          <w:tcPr>
            <w:tcW w:w="1069" w:type="dxa"/>
          </w:tcPr>
          <w:p>
            <w:pPr>
              <w:pStyle w:val="40"/>
              <w:rPr>
                <w:rFonts w:ascii="宋体" w:hAnsi="宋体"/>
                <w:sz w:val="21"/>
                <w:szCs w:val="21"/>
              </w:rPr>
            </w:pPr>
          </w:p>
        </w:tc>
        <w:tc>
          <w:tcPr>
            <w:tcW w:w="994" w:type="dxa"/>
          </w:tcPr>
          <w:p>
            <w:pPr>
              <w:pStyle w:val="40"/>
              <w:rPr>
                <w:rFonts w:ascii="宋体" w:hAnsi="宋体"/>
                <w:sz w:val="21"/>
                <w:szCs w:val="21"/>
              </w:rPr>
            </w:pPr>
          </w:p>
        </w:tc>
        <w:tc>
          <w:tcPr>
            <w:tcW w:w="975" w:type="dxa"/>
          </w:tcPr>
          <w:p>
            <w:pPr>
              <w:pStyle w:val="40"/>
              <w:rPr>
                <w:rFonts w:ascii="宋体" w:hAnsi="宋体"/>
                <w:sz w:val="21"/>
                <w:szCs w:val="21"/>
              </w:rPr>
            </w:pPr>
          </w:p>
        </w:tc>
        <w:tc>
          <w:tcPr>
            <w:tcW w:w="918" w:type="dxa"/>
          </w:tcPr>
          <w:p>
            <w:pPr>
              <w:pStyle w:val="40"/>
              <w:rPr>
                <w:rFonts w:ascii="宋体" w:hAnsi="宋体"/>
                <w:sz w:val="21"/>
                <w:szCs w:val="21"/>
              </w:rPr>
            </w:pPr>
          </w:p>
        </w:tc>
        <w:tc>
          <w:tcPr>
            <w:tcW w:w="900" w:type="dxa"/>
          </w:tcPr>
          <w:p>
            <w:pPr>
              <w:pStyle w:val="40"/>
              <w:rPr>
                <w:rFonts w:ascii="宋体" w:hAnsi="宋体"/>
                <w:sz w:val="21"/>
                <w:szCs w:val="21"/>
              </w:rPr>
            </w:pPr>
          </w:p>
        </w:tc>
        <w:tc>
          <w:tcPr>
            <w:tcW w:w="2269" w:type="dxa"/>
          </w:tcPr>
          <w:p>
            <w:pPr>
              <w:pStyle w:val="40"/>
              <w:rPr>
                <w:rFonts w:ascii="宋体" w:hAnsi="宋体"/>
                <w:sz w:val="21"/>
                <w:szCs w:val="21"/>
              </w:rPr>
            </w:pPr>
          </w:p>
        </w:tc>
        <w:tc>
          <w:tcPr>
            <w:tcW w:w="881" w:type="dxa"/>
          </w:tcPr>
          <w:p>
            <w:pPr>
              <w:pStyle w:val="4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gridSpan w:val="2"/>
          </w:tcPr>
          <w:p>
            <w:pPr>
              <w:pStyle w:val="40"/>
              <w:rPr>
                <w:rFonts w:ascii="宋体" w:hAnsi="宋体"/>
                <w:sz w:val="21"/>
                <w:szCs w:val="21"/>
              </w:rPr>
            </w:pPr>
            <w:r>
              <w:rPr>
                <w:rFonts w:hint="eastAsia" w:ascii="宋体" w:hAnsi="宋体"/>
                <w:sz w:val="21"/>
                <w:szCs w:val="21"/>
              </w:rPr>
              <w:t>合计</w:t>
            </w:r>
          </w:p>
        </w:tc>
        <w:tc>
          <w:tcPr>
            <w:tcW w:w="1069" w:type="dxa"/>
          </w:tcPr>
          <w:p>
            <w:pPr>
              <w:pStyle w:val="40"/>
              <w:rPr>
                <w:rFonts w:ascii="宋体" w:hAnsi="宋体"/>
                <w:sz w:val="21"/>
                <w:szCs w:val="21"/>
              </w:rPr>
            </w:pPr>
            <w:r>
              <w:rPr>
                <w:rFonts w:hint="eastAsia" w:ascii="宋体" w:hAnsi="宋体" w:cs="宋体"/>
                <w:sz w:val="21"/>
                <w:szCs w:val="21"/>
              </w:rPr>
              <w:t>/</w:t>
            </w:r>
          </w:p>
        </w:tc>
        <w:tc>
          <w:tcPr>
            <w:tcW w:w="994" w:type="dxa"/>
          </w:tcPr>
          <w:p>
            <w:pPr>
              <w:pStyle w:val="40"/>
              <w:rPr>
                <w:rFonts w:ascii="宋体" w:hAnsi="宋体"/>
                <w:sz w:val="21"/>
                <w:szCs w:val="21"/>
              </w:rPr>
            </w:pPr>
            <w:r>
              <w:rPr>
                <w:rFonts w:hint="eastAsia" w:ascii="宋体" w:hAnsi="宋体" w:cs="宋体"/>
                <w:sz w:val="21"/>
                <w:szCs w:val="21"/>
              </w:rPr>
              <w:t>/</w:t>
            </w:r>
          </w:p>
        </w:tc>
        <w:tc>
          <w:tcPr>
            <w:tcW w:w="975" w:type="dxa"/>
          </w:tcPr>
          <w:p>
            <w:pPr>
              <w:pStyle w:val="40"/>
              <w:rPr>
                <w:rFonts w:ascii="宋体" w:hAnsi="宋体"/>
                <w:sz w:val="21"/>
                <w:szCs w:val="21"/>
              </w:rPr>
            </w:pPr>
          </w:p>
        </w:tc>
        <w:tc>
          <w:tcPr>
            <w:tcW w:w="918" w:type="dxa"/>
          </w:tcPr>
          <w:p>
            <w:pPr>
              <w:pStyle w:val="40"/>
              <w:rPr>
                <w:rFonts w:ascii="宋体" w:hAnsi="宋体"/>
                <w:sz w:val="21"/>
                <w:szCs w:val="21"/>
              </w:rPr>
            </w:pPr>
            <w:r>
              <w:rPr>
                <w:rFonts w:hint="eastAsia" w:ascii="宋体" w:hAnsi="宋体" w:cs="宋体"/>
                <w:sz w:val="21"/>
                <w:szCs w:val="21"/>
              </w:rPr>
              <w:t>/</w:t>
            </w:r>
          </w:p>
        </w:tc>
        <w:tc>
          <w:tcPr>
            <w:tcW w:w="900" w:type="dxa"/>
          </w:tcPr>
          <w:p>
            <w:pPr>
              <w:pStyle w:val="40"/>
              <w:rPr>
                <w:rFonts w:ascii="宋体" w:hAnsi="宋体"/>
                <w:sz w:val="21"/>
                <w:szCs w:val="21"/>
              </w:rPr>
            </w:pPr>
          </w:p>
        </w:tc>
        <w:tc>
          <w:tcPr>
            <w:tcW w:w="2269" w:type="dxa"/>
          </w:tcPr>
          <w:p>
            <w:pPr>
              <w:pStyle w:val="40"/>
              <w:rPr>
                <w:rFonts w:ascii="宋体" w:hAnsi="宋体"/>
                <w:sz w:val="21"/>
                <w:szCs w:val="21"/>
              </w:rPr>
            </w:pPr>
            <w:r>
              <w:rPr>
                <w:rFonts w:hint="eastAsia" w:ascii="宋体" w:hAnsi="宋体" w:cs="宋体"/>
                <w:sz w:val="21"/>
                <w:szCs w:val="21"/>
              </w:rPr>
              <w:t>/</w:t>
            </w:r>
          </w:p>
        </w:tc>
        <w:tc>
          <w:tcPr>
            <w:tcW w:w="881" w:type="dxa"/>
          </w:tcPr>
          <w:p>
            <w:pPr>
              <w:pStyle w:val="40"/>
              <w:rPr>
                <w:rFonts w:ascii="宋体" w:hAnsi="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9"/>
          </w:tcPr>
          <w:p>
            <w:pPr>
              <w:pStyle w:val="40"/>
              <w:rPr>
                <w:rFonts w:ascii="宋体" w:hAnsi="宋体"/>
                <w:sz w:val="21"/>
                <w:szCs w:val="21"/>
              </w:rPr>
            </w:pPr>
            <w:r>
              <w:rPr>
                <w:rFonts w:hint="eastAsia" w:ascii="宋体" w:hAnsi="宋体" w:cs="Arial"/>
                <w:kern w:val="0"/>
                <w:sz w:val="21"/>
                <w:szCs w:val="21"/>
              </w:rPr>
              <w:t>以上本单位投标文件中提供的货物为监狱企业制造，如有虚假，我单位承担由此产生的一切后果。</w:t>
            </w:r>
          </w:p>
        </w:tc>
      </w:tr>
    </w:tbl>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备注：</w:t>
      </w:r>
    </w:p>
    <w:p>
      <w:pPr>
        <w:spacing w:beforeAutospacing="0" w:afterAutospacing="0" w:line="360" w:lineRule="auto"/>
        <w:ind w:firstLine="422" w:firstLineChars="200"/>
        <w:rPr>
          <w:rFonts w:ascii="宋体" w:hAnsi="宋体"/>
          <w:b/>
        </w:rPr>
      </w:pPr>
      <w:r>
        <w:rPr>
          <w:rFonts w:hint="eastAsia" w:ascii="宋体" w:hAnsi="宋体"/>
          <w:b/>
        </w:rPr>
        <w:t>1.表中所列产品应为投标供应商满足本招标文件要求的货物为监狱企业制造；</w:t>
      </w:r>
    </w:p>
    <w:p>
      <w:pPr>
        <w:spacing w:beforeAutospacing="0" w:afterAutospacing="0" w:line="360" w:lineRule="auto"/>
        <w:ind w:firstLine="422" w:firstLineChars="200"/>
        <w:rPr>
          <w:rFonts w:ascii="宋体" w:hAnsi="宋体"/>
          <w:b/>
        </w:rPr>
      </w:pPr>
      <w:r>
        <w:rPr>
          <w:rFonts w:hint="eastAsia" w:ascii="宋体" w:hAnsi="宋体"/>
          <w:b/>
        </w:rPr>
        <w:t>2.投标供应商提供的“监狱企业证明材料”与事实不符的，按照《中华人民共和国政府采购法》第七十七条第一款的规定追究法律责任；</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供应商</w:t>
      </w:r>
      <w:r>
        <w:rPr>
          <w:rFonts w:ascii="宋体" w:hAnsi="宋体"/>
        </w:rPr>
        <w:t>名称（盖单位公章）：</w:t>
      </w:r>
    </w:p>
    <w:p>
      <w:pPr>
        <w:spacing w:beforeAutospacing="0" w:afterAutospacing="0" w:line="360" w:lineRule="auto"/>
        <w:ind w:firstLine="420" w:firstLineChars="200"/>
        <w:rPr>
          <w:rFonts w:ascii="宋体" w:hAnsi="宋体"/>
        </w:rPr>
      </w:pPr>
      <w:r>
        <w:rPr>
          <w:rFonts w:ascii="宋体" w:hAnsi="宋体"/>
        </w:rPr>
        <w:t>日 期：</w:t>
      </w:r>
    </w:p>
    <w:p>
      <w:pPr>
        <w:widowControl/>
        <w:shd w:val="clear" w:color="auto" w:fill="FFFFFF"/>
        <w:spacing w:before="300" w:beforeAutospacing="0" w:after="225" w:afterAutospacing="0" w:line="360" w:lineRule="atLeast"/>
        <w:jc w:val="center"/>
        <w:rPr>
          <w:b/>
          <w:bCs/>
          <w:sz w:val="32"/>
          <w:szCs w:val="32"/>
        </w:rPr>
      </w:pPr>
    </w:p>
    <w:p>
      <w:pPr>
        <w:widowControl/>
        <w:shd w:val="clear" w:color="auto" w:fill="FFFFFF"/>
        <w:spacing w:before="300" w:beforeAutospacing="0" w:after="225" w:afterAutospacing="0" w:line="360" w:lineRule="atLeast"/>
        <w:jc w:val="center"/>
        <w:rPr>
          <w:b/>
          <w:bCs/>
          <w:sz w:val="32"/>
          <w:szCs w:val="32"/>
        </w:rPr>
      </w:pPr>
    </w:p>
    <w:p>
      <w:pPr>
        <w:pStyle w:val="6"/>
        <w:keepNext w:val="0"/>
        <w:keepLines w:val="0"/>
        <w:widowControl/>
        <w:spacing w:before="100" w:beforeAutospacing="1" w:after="100" w:afterAutospacing="1" w:line="240" w:lineRule="auto"/>
        <w:ind w:left="2678"/>
        <w:rPr>
          <w:rFonts w:ascii="宋体" w:hAnsi="宋体" w:eastAsia="宋体"/>
          <w:kern w:val="0"/>
          <w:szCs w:val="24"/>
        </w:rPr>
      </w:pPr>
      <w:r>
        <w:rPr>
          <w:rFonts w:hint="eastAsia"/>
        </w:rPr>
        <w:br w:type="page"/>
      </w:r>
      <w:r>
        <w:rPr>
          <w:rFonts w:hint="eastAsia"/>
        </w:rPr>
        <w:t>（三）</w:t>
      </w:r>
      <w:r>
        <w:rPr>
          <w:rFonts w:hint="eastAsia" w:ascii="宋体" w:hAnsi="宋体" w:eastAsia="宋体"/>
          <w:kern w:val="0"/>
          <w:szCs w:val="24"/>
        </w:rPr>
        <w:t>残疾人福利性单位声明函</w:t>
      </w:r>
    </w:p>
    <w:p>
      <w:pPr>
        <w:jc w:val="center"/>
      </w:pPr>
      <w:r>
        <w:rPr>
          <w:rFonts w:hint="eastAsia" w:ascii="宋体" w:hAnsi="宋体"/>
          <w:b/>
          <w:sz w:val="28"/>
          <w:szCs w:val="28"/>
        </w:rPr>
        <w:t>（货物非残疾人福利性单位制造，不需提供）</w:t>
      </w:r>
    </w:p>
    <w:p>
      <w:pPr>
        <w:spacing w:beforeAutospacing="0" w:afterAutospacing="0" w:line="360" w:lineRule="auto"/>
        <w:ind w:firstLine="420" w:firstLineChars="200"/>
        <w:rPr>
          <w:rFonts w:ascii="宋体" w:hAnsi="宋体"/>
        </w:rPr>
      </w:pPr>
      <w:r>
        <w:rPr>
          <w:rFonts w:ascii="宋体" w:hAnsi="宋体"/>
        </w:rPr>
        <w:t>本</w:t>
      </w:r>
      <w:r>
        <w:rPr>
          <w:rFonts w:hint="eastAsia" w:ascii="宋体" w:hAnsi="宋体"/>
        </w:rPr>
        <w:t>单位</w:t>
      </w:r>
      <w:r>
        <w:rPr>
          <w:rFonts w:ascii="宋体" w:hAnsi="宋体"/>
        </w:rPr>
        <w:t>郑重声明，根据</w:t>
      </w:r>
      <w:r>
        <w:rPr>
          <w:rFonts w:hint="eastAsia" w:ascii="宋体" w:hAnsi="宋体"/>
        </w:rPr>
        <w:t>《中国残疾人联合会关于促进残疾人就业政府采购政策的通知》（财库【2017】141号）</w:t>
      </w:r>
      <w:r>
        <w:rPr>
          <w:rFonts w:ascii="宋体" w:hAnsi="宋体"/>
        </w:rPr>
        <w:t>的规定，本</w:t>
      </w:r>
      <w:r>
        <w:rPr>
          <w:rFonts w:hint="eastAsia" w:ascii="宋体" w:hAnsi="宋体"/>
        </w:rPr>
        <w:t>单位</w:t>
      </w:r>
      <w:r>
        <w:rPr>
          <w:rFonts w:ascii="宋体" w:hAnsi="宋体"/>
        </w:rPr>
        <w:t>参加</w:t>
      </w:r>
      <w:r>
        <w:rPr>
          <w:rFonts w:hint="eastAsia" w:ascii="宋体" w:hAnsi="宋体"/>
          <w:u w:val="single"/>
        </w:rPr>
        <w:t xml:space="preserve">   （采购人全称 ）  </w:t>
      </w:r>
      <w:r>
        <w:rPr>
          <w:rFonts w:ascii="宋体" w:hAnsi="宋体"/>
        </w:rPr>
        <w:t>的</w:t>
      </w:r>
      <w:r>
        <w:rPr>
          <w:rFonts w:hint="eastAsia" w:ascii="宋体" w:hAnsi="宋体"/>
          <w:u w:val="single"/>
        </w:rPr>
        <w:t xml:space="preserve">   （项目名称）  </w:t>
      </w:r>
      <w:r>
        <w:rPr>
          <w:rFonts w:ascii="宋体" w:hAnsi="宋体"/>
        </w:rPr>
        <w:t>项目采购活动</w:t>
      </w:r>
      <w:r>
        <w:rPr>
          <w:rFonts w:hint="eastAsia" w:ascii="宋体" w:hAnsi="宋体"/>
          <w:u w:val="single"/>
        </w:rPr>
        <w:t xml:space="preserve"> （项目编号）    </w:t>
      </w:r>
      <w:r>
        <w:rPr>
          <w:rFonts w:hint="eastAsia" w:ascii="宋体" w:hAnsi="宋体"/>
        </w:rPr>
        <w:t>提供</w:t>
      </w:r>
      <w:r>
        <w:rPr>
          <w:rFonts w:hint="eastAsia" w:ascii="宋体" w:hAnsi="宋体"/>
          <w:kern w:val="0"/>
          <w:szCs w:val="24"/>
        </w:rPr>
        <w:t>残疾人福利性单位</w:t>
      </w:r>
      <w:r>
        <w:rPr>
          <w:rFonts w:hint="eastAsia" w:ascii="宋体" w:hAnsi="宋体"/>
        </w:rPr>
        <w:t>制造的以下货物。</w:t>
      </w:r>
    </w:p>
    <w:p>
      <w:pPr>
        <w:spacing w:beforeAutospacing="0" w:afterAutospacing="0" w:line="360" w:lineRule="auto"/>
        <w:ind w:firstLine="420" w:firstLineChars="200"/>
        <w:rPr>
          <w:rFonts w:ascii="宋体" w:hAnsi="宋体"/>
        </w:rPr>
      </w:pPr>
      <w:r>
        <w:rPr>
          <w:rFonts w:ascii="宋体" w:hAnsi="宋体"/>
        </w:rPr>
        <w:t>本</w:t>
      </w:r>
      <w:r>
        <w:rPr>
          <w:rFonts w:hint="eastAsia" w:ascii="宋体" w:hAnsi="宋体"/>
        </w:rPr>
        <w:t>单位</w:t>
      </w:r>
      <w:r>
        <w:rPr>
          <w:rFonts w:ascii="宋体" w:hAnsi="宋体"/>
        </w:rPr>
        <w:t xml:space="preserve">对上述声明的真实性负责。如有虚假，将依法承担相应责任。  </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声明人</w:t>
      </w:r>
      <w:r>
        <w:rPr>
          <w:rFonts w:ascii="宋体" w:hAnsi="宋体"/>
        </w:rPr>
        <w:t>名称（盖单位公章）：</w:t>
      </w:r>
    </w:p>
    <w:p>
      <w:pPr>
        <w:spacing w:beforeAutospacing="0" w:afterAutospacing="0" w:line="360" w:lineRule="auto"/>
        <w:ind w:firstLine="420" w:firstLineChars="200"/>
        <w:rPr>
          <w:rFonts w:ascii="宋体" w:hAnsi="宋体"/>
        </w:rPr>
      </w:pPr>
      <w:r>
        <w:rPr>
          <w:rFonts w:ascii="宋体" w:hAnsi="宋体"/>
        </w:rPr>
        <w:t>日 期：</w:t>
      </w:r>
    </w:p>
    <w:p>
      <w:pPr>
        <w:spacing w:beforeAutospacing="0" w:afterAutospacing="0" w:line="360" w:lineRule="auto"/>
        <w:ind w:firstLine="420" w:firstLineChars="200"/>
        <w:rPr>
          <w:rFonts w:ascii="宋体" w:hAnsi="宋体"/>
        </w:rPr>
      </w:pPr>
    </w:p>
    <w:p>
      <w:pPr>
        <w:spacing w:beforeAutospacing="0" w:afterAutospacing="0" w:line="360" w:lineRule="auto"/>
        <w:jc w:val="center"/>
        <w:rPr>
          <w:rFonts w:ascii="宋体" w:hAnsi="宋体"/>
        </w:rPr>
      </w:pPr>
      <w:r>
        <w:rPr>
          <w:rFonts w:hint="eastAsia" w:ascii="宋体" w:hAnsi="宋体"/>
        </w:rPr>
        <w:t>附表3    残疾人福利性单位产品投标明细表（人民币单位：元）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8" w:type="dxa"/>
            <w:vAlign w:val="center"/>
          </w:tcPr>
          <w:p>
            <w:pPr>
              <w:pStyle w:val="40"/>
              <w:jc w:val="center"/>
            </w:pPr>
            <w:r>
              <w:rPr>
                <w:rFonts w:hint="eastAsia"/>
              </w:rPr>
              <w:t>序号</w:t>
            </w:r>
          </w:p>
        </w:tc>
        <w:tc>
          <w:tcPr>
            <w:tcW w:w="1106" w:type="dxa"/>
            <w:vAlign w:val="center"/>
          </w:tcPr>
          <w:p>
            <w:pPr>
              <w:pStyle w:val="40"/>
              <w:jc w:val="center"/>
            </w:pPr>
            <w:r>
              <w:rPr>
                <w:rFonts w:hint="eastAsia" w:ascii="宋体" w:hAnsi="宋体"/>
                <w:sz w:val="24"/>
                <w:szCs w:val="24"/>
              </w:rPr>
              <w:t>货物</w:t>
            </w:r>
            <w:r>
              <w:rPr>
                <w:rFonts w:ascii="宋体" w:hAnsi="宋体"/>
                <w:sz w:val="24"/>
                <w:szCs w:val="24"/>
              </w:rPr>
              <w:t>名称</w:t>
            </w:r>
          </w:p>
        </w:tc>
        <w:tc>
          <w:tcPr>
            <w:tcW w:w="1069" w:type="dxa"/>
            <w:vAlign w:val="center"/>
          </w:tcPr>
          <w:p>
            <w:pPr>
              <w:pStyle w:val="40"/>
              <w:jc w:val="center"/>
            </w:pPr>
            <w:r>
              <w:rPr>
                <w:rFonts w:hint="eastAsia"/>
              </w:rPr>
              <w:t>数量/单位</w:t>
            </w:r>
          </w:p>
        </w:tc>
        <w:tc>
          <w:tcPr>
            <w:tcW w:w="994" w:type="dxa"/>
            <w:vAlign w:val="center"/>
          </w:tcPr>
          <w:p>
            <w:pPr>
              <w:pStyle w:val="40"/>
              <w:jc w:val="center"/>
            </w:pPr>
            <w:r>
              <w:rPr>
                <w:rFonts w:hint="eastAsia"/>
              </w:rPr>
              <w:t>单价</w:t>
            </w:r>
          </w:p>
        </w:tc>
        <w:tc>
          <w:tcPr>
            <w:tcW w:w="975" w:type="dxa"/>
            <w:vAlign w:val="center"/>
          </w:tcPr>
          <w:p>
            <w:pPr>
              <w:pStyle w:val="40"/>
              <w:jc w:val="center"/>
            </w:pPr>
            <w:r>
              <w:rPr>
                <w:rFonts w:hint="eastAsia"/>
              </w:rPr>
              <w:t>合价</w:t>
            </w:r>
          </w:p>
        </w:tc>
        <w:tc>
          <w:tcPr>
            <w:tcW w:w="918" w:type="dxa"/>
            <w:vAlign w:val="center"/>
          </w:tcPr>
          <w:p>
            <w:pPr>
              <w:pStyle w:val="40"/>
              <w:jc w:val="center"/>
            </w:pPr>
            <w:r>
              <w:rPr>
                <w:rFonts w:hint="eastAsia"/>
              </w:rPr>
              <w:t>价格扣除比例</w:t>
            </w:r>
          </w:p>
        </w:tc>
        <w:tc>
          <w:tcPr>
            <w:tcW w:w="900" w:type="dxa"/>
            <w:vAlign w:val="center"/>
          </w:tcPr>
          <w:p>
            <w:pPr>
              <w:pStyle w:val="40"/>
              <w:jc w:val="center"/>
            </w:pPr>
            <w:r>
              <w:rPr>
                <w:rFonts w:hint="eastAsia"/>
              </w:rPr>
              <w:t>扣除价格</w:t>
            </w:r>
          </w:p>
        </w:tc>
        <w:tc>
          <w:tcPr>
            <w:tcW w:w="2269" w:type="dxa"/>
            <w:vAlign w:val="center"/>
          </w:tcPr>
          <w:p>
            <w:pPr>
              <w:pStyle w:val="40"/>
              <w:jc w:val="center"/>
            </w:pPr>
            <w:r>
              <w:rPr>
                <w:rFonts w:hint="eastAsia"/>
              </w:rPr>
              <w:t>制造商（填写制造商名称）</w:t>
            </w:r>
          </w:p>
        </w:tc>
        <w:tc>
          <w:tcPr>
            <w:tcW w:w="881" w:type="dxa"/>
            <w:vAlign w:val="center"/>
          </w:tcPr>
          <w:p>
            <w:pPr>
              <w:pStyle w:val="4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40"/>
            </w:pPr>
            <w:r>
              <w:rPr>
                <w:rFonts w:hint="eastAsia"/>
              </w:rPr>
              <w:t>1</w:t>
            </w:r>
          </w:p>
        </w:tc>
        <w:tc>
          <w:tcPr>
            <w:tcW w:w="1106" w:type="dxa"/>
          </w:tcPr>
          <w:p>
            <w:pPr>
              <w:pStyle w:val="40"/>
            </w:pPr>
          </w:p>
        </w:tc>
        <w:tc>
          <w:tcPr>
            <w:tcW w:w="1069" w:type="dxa"/>
          </w:tcPr>
          <w:p>
            <w:pPr>
              <w:pStyle w:val="40"/>
            </w:pPr>
          </w:p>
        </w:tc>
        <w:tc>
          <w:tcPr>
            <w:tcW w:w="994" w:type="dxa"/>
          </w:tcPr>
          <w:p>
            <w:pPr>
              <w:pStyle w:val="40"/>
            </w:pPr>
          </w:p>
        </w:tc>
        <w:tc>
          <w:tcPr>
            <w:tcW w:w="975" w:type="dxa"/>
          </w:tcPr>
          <w:p>
            <w:pPr>
              <w:pStyle w:val="40"/>
            </w:pPr>
          </w:p>
        </w:tc>
        <w:tc>
          <w:tcPr>
            <w:tcW w:w="918" w:type="dxa"/>
          </w:tcPr>
          <w:p>
            <w:pPr>
              <w:pStyle w:val="40"/>
            </w:pPr>
          </w:p>
        </w:tc>
        <w:tc>
          <w:tcPr>
            <w:tcW w:w="900" w:type="dxa"/>
          </w:tcPr>
          <w:p>
            <w:pPr>
              <w:pStyle w:val="40"/>
            </w:pPr>
          </w:p>
        </w:tc>
        <w:tc>
          <w:tcPr>
            <w:tcW w:w="2269" w:type="dxa"/>
          </w:tcPr>
          <w:p>
            <w:pPr>
              <w:pStyle w:val="40"/>
            </w:pPr>
          </w:p>
        </w:tc>
        <w:tc>
          <w:tcPr>
            <w:tcW w:w="881" w:type="dxa"/>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40"/>
            </w:pPr>
            <w:r>
              <w:rPr>
                <w:rFonts w:hint="eastAsia"/>
              </w:rPr>
              <w:t>2</w:t>
            </w:r>
          </w:p>
        </w:tc>
        <w:tc>
          <w:tcPr>
            <w:tcW w:w="1106" w:type="dxa"/>
          </w:tcPr>
          <w:p>
            <w:pPr>
              <w:pStyle w:val="40"/>
            </w:pPr>
          </w:p>
        </w:tc>
        <w:tc>
          <w:tcPr>
            <w:tcW w:w="1069" w:type="dxa"/>
          </w:tcPr>
          <w:p>
            <w:pPr>
              <w:pStyle w:val="40"/>
            </w:pPr>
          </w:p>
        </w:tc>
        <w:tc>
          <w:tcPr>
            <w:tcW w:w="994" w:type="dxa"/>
          </w:tcPr>
          <w:p>
            <w:pPr>
              <w:pStyle w:val="40"/>
            </w:pPr>
          </w:p>
        </w:tc>
        <w:tc>
          <w:tcPr>
            <w:tcW w:w="975" w:type="dxa"/>
          </w:tcPr>
          <w:p>
            <w:pPr>
              <w:pStyle w:val="40"/>
            </w:pPr>
          </w:p>
        </w:tc>
        <w:tc>
          <w:tcPr>
            <w:tcW w:w="918" w:type="dxa"/>
          </w:tcPr>
          <w:p>
            <w:pPr>
              <w:pStyle w:val="40"/>
            </w:pPr>
          </w:p>
        </w:tc>
        <w:tc>
          <w:tcPr>
            <w:tcW w:w="900" w:type="dxa"/>
          </w:tcPr>
          <w:p>
            <w:pPr>
              <w:pStyle w:val="40"/>
            </w:pPr>
          </w:p>
        </w:tc>
        <w:tc>
          <w:tcPr>
            <w:tcW w:w="2269" w:type="dxa"/>
          </w:tcPr>
          <w:p>
            <w:pPr>
              <w:pStyle w:val="40"/>
            </w:pPr>
          </w:p>
        </w:tc>
        <w:tc>
          <w:tcPr>
            <w:tcW w:w="881" w:type="dxa"/>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40"/>
            </w:pPr>
            <w:r>
              <w:rPr>
                <w:rFonts w:hint="eastAsia"/>
              </w:rPr>
              <w:t>3</w:t>
            </w:r>
          </w:p>
        </w:tc>
        <w:tc>
          <w:tcPr>
            <w:tcW w:w="1106" w:type="dxa"/>
          </w:tcPr>
          <w:p>
            <w:pPr>
              <w:pStyle w:val="40"/>
            </w:pPr>
          </w:p>
        </w:tc>
        <w:tc>
          <w:tcPr>
            <w:tcW w:w="1069" w:type="dxa"/>
          </w:tcPr>
          <w:p>
            <w:pPr>
              <w:pStyle w:val="40"/>
            </w:pPr>
          </w:p>
        </w:tc>
        <w:tc>
          <w:tcPr>
            <w:tcW w:w="994" w:type="dxa"/>
          </w:tcPr>
          <w:p>
            <w:pPr>
              <w:pStyle w:val="40"/>
            </w:pPr>
          </w:p>
        </w:tc>
        <w:tc>
          <w:tcPr>
            <w:tcW w:w="975" w:type="dxa"/>
          </w:tcPr>
          <w:p>
            <w:pPr>
              <w:pStyle w:val="40"/>
            </w:pPr>
          </w:p>
        </w:tc>
        <w:tc>
          <w:tcPr>
            <w:tcW w:w="918" w:type="dxa"/>
          </w:tcPr>
          <w:p>
            <w:pPr>
              <w:pStyle w:val="40"/>
            </w:pPr>
          </w:p>
        </w:tc>
        <w:tc>
          <w:tcPr>
            <w:tcW w:w="900" w:type="dxa"/>
          </w:tcPr>
          <w:p>
            <w:pPr>
              <w:pStyle w:val="40"/>
            </w:pPr>
          </w:p>
        </w:tc>
        <w:tc>
          <w:tcPr>
            <w:tcW w:w="2269" w:type="dxa"/>
          </w:tcPr>
          <w:p>
            <w:pPr>
              <w:pStyle w:val="40"/>
            </w:pPr>
          </w:p>
        </w:tc>
        <w:tc>
          <w:tcPr>
            <w:tcW w:w="881" w:type="dxa"/>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40"/>
            </w:pPr>
            <w:r>
              <w:rPr>
                <w:rFonts w:hint="eastAsia" w:ascii="宋体" w:hAnsi="宋体" w:cs="宋体"/>
              </w:rPr>
              <w:t>···</w:t>
            </w:r>
          </w:p>
        </w:tc>
        <w:tc>
          <w:tcPr>
            <w:tcW w:w="1106" w:type="dxa"/>
          </w:tcPr>
          <w:p>
            <w:pPr>
              <w:pStyle w:val="40"/>
            </w:pPr>
          </w:p>
        </w:tc>
        <w:tc>
          <w:tcPr>
            <w:tcW w:w="1069" w:type="dxa"/>
          </w:tcPr>
          <w:p>
            <w:pPr>
              <w:pStyle w:val="40"/>
            </w:pPr>
          </w:p>
        </w:tc>
        <w:tc>
          <w:tcPr>
            <w:tcW w:w="994" w:type="dxa"/>
          </w:tcPr>
          <w:p>
            <w:pPr>
              <w:pStyle w:val="40"/>
            </w:pPr>
          </w:p>
        </w:tc>
        <w:tc>
          <w:tcPr>
            <w:tcW w:w="975" w:type="dxa"/>
          </w:tcPr>
          <w:p>
            <w:pPr>
              <w:pStyle w:val="40"/>
            </w:pPr>
          </w:p>
        </w:tc>
        <w:tc>
          <w:tcPr>
            <w:tcW w:w="918" w:type="dxa"/>
          </w:tcPr>
          <w:p>
            <w:pPr>
              <w:pStyle w:val="40"/>
            </w:pPr>
          </w:p>
        </w:tc>
        <w:tc>
          <w:tcPr>
            <w:tcW w:w="900" w:type="dxa"/>
          </w:tcPr>
          <w:p>
            <w:pPr>
              <w:pStyle w:val="40"/>
            </w:pPr>
          </w:p>
        </w:tc>
        <w:tc>
          <w:tcPr>
            <w:tcW w:w="2269" w:type="dxa"/>
          </w:tcPr>
          <w:p>
            <w:pPr>
              <w:pStyle w:val="40"/>
            </w:pPr>
          </w:p>
        </w:tc>
        <w:tc>
          <w:tcPr>
            <w:tcW w:w="881" w:type="dxa"/>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gridSpan w:val="2"/>
          </w:tcPr>
          <w:p>
            <w:pPr>
              <w:pStyle w:val="40"/>
            </w:pPr>
            <w:r>
              <w:rPr>
                <w:rFonts w:hint="eastAsia"/>
              </w:rPr>
              <w:t>合计</w:t>
            </w:r>
          </w:p>
        </w:tc>
        <w:tc>
          <w:tcPr>
            <w:tcW w:w="1069" w:type="dxa"/>
          </w:tcPr>
          <w:p>
            <w:pPr>
              <w:pStyle w:val="40"/>
            </w:pPr>
            <w:r>
              <w:rPr>
                <w:rFonts w:hint="eastAsia" w:ascii="宋体" w:hAnsi="宋体" w:cs="宋体"/>
              </w:rPr>
              <w:t>/</w:t>
            </w:r>
          </w:p>
        </w:tc>
        <w:tc>
          <w:tcPr>
            <w:tcW w:w="994" w:type="dxa"/>
          </w:tcPr>
          <w:p>
            <w:pPr>
              <w:pStyle w:val="40"/>
            </w:pPr>
            <w:r>
              <w:rPr>
                <w:rFonts w:hint="eastAsia" w:ascii="宋体" w:hAnsi="宋体" w:cs="宋体"/>
              </w:rPr>
              <w:t>/</w:t>
            </w:r>
          </w:p>
        </w:tc>
        <w:tc>
          <w:tcPr>
            <w:tcW w:w="975" w:type="dxa"/>
          </w:tcPr>
          <w:p>
            <w:pPr>
              <w:pStyle w:val="40"/>
            </w:pPr>
          </w:p>
        </w:tc>
        <w:tc>
          <w:tcPr>
            <w:tcW w:w="918" w:type="dxa"/>
          </w:tcPr>
          <w:p>
            <w:pPr>
              <w:pStyle w:val="40"/>
            </w:pPr>
            <w:r>
              <w:rPr>
                <w:rFonts w:hint="eastAsia" w:ascii="宋体" w:hAnsi="宋体" w:cs="宋体"/>
              </w:rPr>
              <w:t>/</w:t>
            </w:r>
          </w:p>
        </w:tc>
        <w:tc>
          <w:tcPr>
            <w:tcW w:w="900" w:type="dxa"/>
          </w:tcPr>
          <w:p>
            <w:pPr>
              <w:pStyle w:val="40"/>
            </w:pPr>
          </w:p>
        </w:tc>
        <w:tc>
          <w:tcPr>
            <w:tcW w:w="2269" w:type="dxa"/>
          </w:tcPr>
          <w:p>
            <w:pPr>
              <w:pStyle w:val="40"/>
            </w:pPr>
            <w:r>
              <w:rPr>
                <w:rFonts w:hint="eastAsia" w:ascii="宋体" w:hAnsi="宋体" w:cs="宋体"/>
              </w:rPr>
              <w:t>/</w:t>
            </w:r>
          </w:p>
        </w:tc>
        <w:tc>
          <w:tcPr>
            <w:tcW w:w="881" w:type="dxa"/>
          </w:tcPr>
          <w:p>
            <w:pPr>
              <w:pStyle w:val="40"/>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9"/>
          </w:tcPr>
          <w:p>
            <w:pPr>
              <w:pStyle w:val="40"/>
              <w:rPr>
                <w:rFonts w:ascii="Arial" w:hAnsi="Arial" w:cs="Arial"/>
                <w:kern w:val="0"/>
                <w:shd w:val="clear" w:color="auto" w:fill="FFFFFF"/>
              </w:rPr>
            </w:pPr>
            <w:r>
              <w:rPr>
                <w:rFonts w:hint="eastAsia" w:ascii="宋体" w:hAnsi="宋体" w:cs="Arial"/>
                <w:kern w:val="0"/>
                <w:sz w:val="21"/>
                <w:szCs w:val="21"/>
              </w:rPr>
              <w:t>以上本单位投标文件中提供的货物为</w:t>
            </w:r>
            <w:r>
              <w:rPr>
                <w:rFonts w:hint="eastAsia" w:ascii="宋体" w:hAnsi="宋体"/>
                <w:kern w:val="0"/>
                <w:szCs w:val="24"/>
              </w:rPr>
              <w:t>残疾人福利性单位</w:t>
            </w:r>
            <w:r>
              <w:rPr>
                <w:rFonts w:hint="eastAsia" w:ascii="宋体" w:hAnsi="宋体" w:cs="Arial"/>
                <w:kern w:val="0"/>
                <w:sz w:val="21"/>
                <w:szCs w:val="21"/>
              </w:rPr>
              <w:t>制造，如有虚假，我单位承担由此产生的一切后果。</w:t>
            </w:r>
          </w:p>
        </w:tc>
      </w:tr>
    </w:tbl>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备注：</w:t>
      </w:r>
    </w:p>
    <w:p>
      <w:pPr>
        <w:spacing w:beforeAutospacing="0" w:afterAutospacing="0" w:line="360" w:lineRule="auto"/>
        <w:ind w:firstLine="422" w:firstLineChars="200"/>
        <w:rPr>
          <w:rFonts w:ascii="宋体" w:hAnsi="宋体"/>
          <w:b/>
        </w:rPr>
      </w:pPr>
      <w:r>
        <w:rPr>
          <w:rFonts w:hint="eastAsia" w:ascii="宋体" w:hAnsi="宋体"/>
          <w:b/>
        </w:rPr>
        <w:t>1.表中所列货物应为投标供应商满足本招标文件要求的</w:t>
      </w:r>
      <w:r>
        <w:rPr>
          <w:rFonts w:hint="eastAsia" w:ascii="宋体" w:hAnsi="宋体"/>
          <w:kern w:val="0"/>
          <w:szCs w:val="24"/>
        </w:rPr>
        <w:t>残疾人福利性单位</w:t>
      </w:r>
      <w:r>
        <w:rPr>
          <w:rFonts w:hint="eastAsia" w:ascii="宋体" w:hAnsi="宋体" w:cs="Arial"/>
          <w:kern w:val="0"/>
          <w:szCs w:val="21"/>
        </w:rPr>
        <w:t>制造</w:t>
      </w:r>
      <w:r>
        <w:rPr>
          <w:rFonts w:hint="eastAsia" w:ascii="宋体" w:hAnsi="宋体"/>
          <w:b/>
        </w:rPr>
        <w:t>；</w:t>
      </w:r>
    </w:p>
    <w:p>
      <w:pPr>
        <w:spacing w:beforeAutospacing="0" w:afterAutospacing="0" w:line="360" w:lineRule="auto"/>
        <w:ind w:firstLine="422" w:firstLineChars="200"/>
        <w:rPr>
          <w:rFonts w:ascii="宋体" w:hAnsi="宋体"/>
          <w:b/>
        </w:rPr>
      </w:pPr>
      <w:r>
        <w:rPr>
          <w:rFonts w:hint="eastAsia" w:ascii="宋体" w:hAnsi="宋体"/>
          <w:b/>
        </w:rPr>
        <w:t>2.投标供应商提供的《残疾人福利性单位声明函》与事实不符的，按照《中华人民共和国政府采购法》第七十七条第一款的规定追究法律责任；</w:t>
      </w:r>
    </w:p>
    <w:p>
      <w:pPr>
        <w:spacing w:beforeAutospacing="0" w:afterAutospacing="0" w:line="360" w:lineRule="auto"/>
        <w:ind w:firstLine="420" w:firstLineChars="200"/>
        <w:rPr>
          <w:rFonts w:ascii="宋体" w:hAnsi="宋体"/>
        </w:rPr>
      </w:pPr>
    </w:p>
    <w:p>
      <w:pPr>
        <w:spacing w:beforeAutospacing="0" w:afterAutospacing="0" w:line="360" w:lineRule="auto"/>
        <w:ind w:firstLine="420" w:firstLineChars="200"/>
        <w:rPr>
          <w:rFonts w:ascii="宋体" w:hAnsi="宋体"/>
        </w:rPr>
      </w:pPr>
      <w:r>
        <w:rPr>
          <w:rFonts w:hint="eastAsia" w:ascii="宋体" w:hAnsi="宋体"/>
        </w:rPr>
        <w:t>供应商</w:t>
      </w:r>
      <w:r>
        <w:rPr>
          <w:rFonts w:ascii="宋体" w:hAnsi="宋体"/>
        </w:rPr>
        <w:t>名称（盖单位公章）：</w:t>
      </w:r>
    </w:p>
    <w:p>
      <w:pPr>
        <w:spacing w:beforeAutospacing="0" w:afterAutospacing="0" w:line="360" w:lineRule="auto"/>
        <w:ind w:firstLine="420" w:firstLineChars="200"/>
        <w:rPr>
          <w:rFonts w:ascii="宋体" w:hAnsi="宋体"/>
        </w:rPr>
      </w:pPr>
      <w:r>
        <w:rPr>
          <w:rFonts w:ascii="宋体" w:hAnsi="宋体"/>
        </w:rPr>
        <w:t>日 期：</w:t>
      </w:r>
    </w:p>
    <w:p>
      <w:pPr>
        <w:pStyle w:val="2"/>
        <w:ind w:left="1260"/>
      </w:pPr>
      <w:r>
        <w:br w:type="page"/>
      </w:r>
    </w:p>
    <w:p>
      <w:pPr>
        <w:pStyle w:val="5"/>
        <w:spacing w:beforeAutospacing="0" w:afterAutospacing="0" w:line="500" w:lineRule="exact"/>
        <w:jc w:val="left"/>
        <w:rPr>
          <w:sz w:val="30"/>
          <w:szCs w:val="30"/>
        </w:rPr>
      </w:pPr>
      <w:r>
        <w:rPr>
          <w:rFonts w:hint="eastAsia"/>
          <w:sz w:val="30"/>
          <w:szCs w:val="30"/>
        </w:rPr>
        <w:t>十、资格证明文件</w:t>
      </w:r>
    </w:p>
    <w:p>
      <w:pPr>
        <w:spacing w:beforeAutospacing="0" w:afterAutospacing="0" w:line="360" w:lineRule="auto"/>
        <w:ind w:firstLine="420" w:firstLineChars="200"/>
        <w:rPr>
          <w:rFonts w:ascii="宋体" w:hAnsi="宋体"/>
        </w:rPr>
      </w:pPr>
      <w:r>
        <w:rPr>
          <w:rFonts w:hint="eastAsia" w:ascii="宋体" w:hAnsi="宋体"/>
        </w:rPr>
        <w:t>供应商按招标公告及供应商须知前附表要求提供证明材料，包括营业执照（副本）扫描件、资质证书（副本）扫描件等。</w:t>
      </w:r>
    </w:p>
    <w:p>
      <w:pPr>
        <w:pStyle w:val="2"/>
        <w:ind w:left="1260"/>
      </w:pPr>
      <w:r>
        <w:br w:type="page"/>
      </w:r>
    </w:p>
    <w:p>
      <w:pPr>
        <w:pStyle w:val="5"/>
        <w:spacing w:beforeAutospacing="0" w:afterAutospacing="0" w:line="500" w:lineRule="exact"/>
        <w:jc w:val="left"/>
        <w:rPr>
          <w:sz w:val="30"/>
          <w:szCs w:val="30"/>
        </w:rPr>
      </w:pPr>
      <w:r>
        <w:rPr>
          <w:rFonts w:hint="eastAsia"/>
          <w:sz w:val="30"/>
          <w:szCs w:val="30"/>
        </w:rPr>
        <w:t>十</w:t>
      </w:r>
      <w:r>
        <w:rPr>
          <w:rFonts w:hint="eastAsia"/>
          <w:sz w:val="30"/>
          <w:szCs w:val="30"/>
          <w:lang w:val="en-US" w:eastAsia="zh-CN"/>
        </w:rPr>
        <w:t>一</w:t>
      </w:r>
      <w:r>
        <w:rPr>
          <w:rFonts w:hint="eastAsia"/>
          <w:sz w:val="30"/>
          <w:szCs w:val="30"/>
        </w:rPr>
        <w:t>、其他证明材料</w:t>
      </w:r>
    </w:p>
    <w:p>
      <w:pPr>
        <w:spacing w:beforeAutospacing="0" w:afterAutospacing="0" w:line="360" w:lineRule="auto"/>
        <w:rPr>
          <w:rFonts w:ascii="宋体" w:hAnsi="宋体"/>
        </w:rPr>
      </w:pPr>
      <w:r>
        <w:rPr>
          <w:rFonts w:hint="eastAsia" w:ascii="宋体" w:hAnsi="宋体"/>
        </w:rPr>
        <w:t>供应商按招标文件《采购需求》及评标办法及评分规则要求提供证明材料。</w:t>
      </w:r>
    </w:p>
    <w:p>
      <w:pPr>
        <w:widowControl/>
        <w:jc w:val="left"/>
      </w:pPr>
    </w:p>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2"/>
                          </w:pPr>
                          <w:r>
                            <w:fldChar w:fldCharType="begin"/>
                          </w:r>
                          <w:r>
                            <w:instrText xml:space="preserve"> PAGE  \* MERGEFORMAT </w:instrText>
                          </w:r>
                          <w:r>
                            <w:fldChar w:fldCharType="separate"/>
                          </w:r>
                          <w:r>
                            <w:t>31</w:t>
                          </w:r>
                          <w: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ZsYiewAQAAdgMAAA4AAABkcnMvZTJvRG9jLnhtbK1TTYvbMBC9&#10;F/ofhO6NnRSW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J/5MxLRw1/Gmt6nnBdb+6y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GbGIn&#10;sAEAAHYDAAAOAAAAAAAAAAEAIAAAACIBAABkcnMvZTJvRG9jLnhtbFBLBQYAAAAABgAGAFkBAABE&#10;BQAAAAA=&#10;">
              <v:fill on="f" focussize="0,0"/>
              <v:stroke on="f"/>
              <v:imagedata o:title=""/>
              <o:lock v:ext="edit" aspectratio="f"/>
              <v:textbox inset="0mm,0mm,0mm,0mm">
                <w:txbxContent>
                  <w:p>
                    <w:pPr>
                      <w:pStyle w:val="12"/>
                    </w:pPr>
                    <w:r>
                      <w:fldChar w:fldCharType="begin"/>
                    </w:r>
                    <w:r>
                      <w:instrText xml:space="preserve"> PAGE  \* MERGEFORMAT </w:instrText>
                    </w:r>
                    <w:r>
                      <w:fldChar w:fldCharType="separate"/>
                    </w:r>
                    <w:r>
                      <w:t>31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20D84"/>
    <w:multiLevelType w:val="singleLevel"/>
    <w:tmpl w:val="30E20D84"/>
    <w:lvl w:ilvl="0" w:tentative="0">
      <w:start w:val="1"/>
      <w:numFmt w:val="chineseCountingThousand"/>
      <w:lvlText w:val="(%1)"/>
      <w:lvlJc w:val="left"/>
      <w:pPr>
        <w:tabs>
          <w:tab w:val="left" w:pos="915"/>
        </w:tabs>
        <w:ind w:left="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81240"/>
    <w:rsid w:val="00086B71"/>
    <w:rsid w:val="000945B3"/>
    <w:rsid w:val="00097303"/>
    <w:rsid w:val="000A23D6"/>
    <w:rsid w:val="000A3191"/>
    <w:rsid w:val="000B5110"/>
    <w:rsid w:val="000C03E9"/>
    <w:rsid w:val="000D198B"/>
    <w:rsid w:val="000E6F3F"/>
    <w:rsid w:val="000F255B"/>
    <w:rsid w:val="000F7671"/>
    <w:rsid w:val="00107DEA"/>
    <w:rsid w:val="00182C65"/>
    <w:rsid w:val="00194CD8"/>
    <w:rsid w:val="001A032A"/>
    <w:rsid w:val="001A2C06"/>
    <w:rsid w:val="001A4408"/>
    <w:rsid w:val="001A7127"/>
    <w:rsid w:val="001B3190"/>
    <w:rsid w:val="001C423D"/>
    <w:rsid w:val="001C594C"/>
    <w:rsid w:val="001E78CC"/>
    <w:rsid w:val="001F34FC"/>
    <w:rsid w:val="00204F52"/>
    <w:rsid w:val="002214A0"/>
    <w:rsid w:val="00226602"/>
    <w:rsid w:val="00234C96"/>
    <w:rsid w:val="00262425"/>
    <w:rsid w:val="00263235"/>
    <w:rsid w:val="00266F35"/>
    <w:rsid w:val="00277946"/>
    <w:rsid w:val="002814F7"/>
    <w:rsid w:val="002902C4"/>
    <w:rsid w:val="002B1980"/>
    <w:rsid w:val="002F259F"/>
    <w:rsid w:val="0030244C"/>
    <w:rsid w:val="003456B4"/>
    <w:rsid w:val="00347DCB"/>
    <w:rsid w:val="003500FE"/>
    <w:rsid w:val="0035465E"/>
    <w:rsid w:val="003754EC"/>
    <w:rsid w:val="003764A5"/>
    <w:rsid w:val="00383B0B"/>
    <w:rsid w:val="00383C6E"/>
    <w:rsid w:val="00383F5E"/>
    <w:rsid w:val="003C2443"/>
    <w:rsid w:val="003C5C38"/>
    <w:rsid w:val="003C7267"/>
    <w:rsid w:val="003D573F"/>
    <w:rsid w:val="003E3F4F"/>
    <w:rsid w:val="003F672A"/>
    <w:rsid w:val="003F71F5"/>
    <w:rsid w:val="0042348B"/>
    <w:rsid w:val="00425002"/>
    <w:rsid w:val="00426603"/>
    <w:rsid w:val="00442E5C"/>
    <w:rsid w:val="00445250"/>
    <w:rsid w:val="00455798"/>
    <w:rsid w:val="00481611"/>
    <w:rsid w:val="00494B2C"/>
    <w:rsid w:val="004A3C8D"/>
    <w:rsid w:val="004A5BC3"/>
    <w:rsid w:val="004C1E7D"/>
    <w:rsid w:val="00514956"/>
    <w:rsid w:val="00517EDF"/>
    <w:rsid w:val="005278BA"/>
    <w:rsid w:val="00531BDA"/>
    <w:rsid w:val="0056455E"/>
    <w:rsid w:val="005C0178"/>
    <w:rsid w:val="005C0993"/>
    <w:rsid w:val="005D14CE"/>
    <w:rsid w:val="005E5586"/>
    <w:rsid w:val="00607B32"/>
    <w:rsid w:val="00616AB8"/>
    <w:rsid w:val="006177BB"/>
    <w:rsid w:val="006300E5"/>
    <w:rsid w:val="0064640F"/>
    <w:rsid w:val="0067461B"/>
    <w:rsid w:val="00695DE7"/>
    <w:rsid w:val="006C213C"/>
    <w:rsid w:val="006C52C9"/>
    <w:rsid w:val="006E4DFA"/>
    <w:rsid w:val="006F09A5"/>
    <w:rsid w:val="007117C9"/>
    <w:rsid w:val="00720207"/>
    <w:rsid w:val="00724055"/>
    <w:rsid w:val="007265D8"/>
    <w:rsid w:val="00732817"/>
    <w:rsid w:val="00743F6B"/>
    <w:rsid w:val="0076589F"/>
    <w:rsid w:val="00787CB9"/>
    <w:rsid w:val="00791F38"/>
    <w:rsid w:val="007961F8"/>
    <w:rsid w:val="00796E84"/>
    <w:rsid w:val="007B029C"/>
    <w:rsid w:val="007B2238"/>
    <w:rsid w:val="007C5C7A"/>
    <w:rsid w:val="007D2261"/>
    <w:rsid w:val="007D7001"/>
    <w:rsid w:val="007E6B49"/>
    <w:rsid w:val="007E785B"/>
    <w:rsid w:val="007F6D69"/>
    <w:rsid w:val="008245D9"/>
    <w:rsid w:val="0084095C"/>
    <w:rsid w:val="008456F3"/>
    <w:rsid w:val="00845803"/>
    <w:rsid w:val="00846655"/>
    <w:rsid w:val="00855C97"/>
    <w:rsid w:val="00864B08"/>
    <w:rsid w:val="00866D07"/>
    <w:rsid w:val="00890234"/>
    <w:rsid w:val="00897E45"/>
    <w:rsid w:val="008A26DF"/>
    <w:rsid w:val="008B1BB3"/>
    <w:rsid w:val="008B487B"/>
    <w:rsid w:val="008F757D"/>
    <w:rsid w:val="008F77D8"/>
    <w:rsid w:val="00901C86"/>
    <w:rsid w:val="009042D1"/>
    <w:rsid w:val="009060F6"/>
    <w:rsid w:val="00942963"/>
    <w:rsid w:val="009435CD"/>
    <w:rsid w:val="00983D33"/>
    <w:rsid w:val="00987B05"/>
    <w:rsid w:val="009977E0"/>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14331"/>
    <w:rsid w:val="00B46FE3"/>
    <w:rsid w:val="00B67713"/>
    <w:rsid w:val="00B90B97"/>
    <w:rsid w:val="00BA7A6B"/>
    <w:rsid w:val="00BB271C"/>
    <w:rsid w:val="00BB69F2"/>
    <w:rsid w:val="00BC0459"/>
    <w:rsid w:val="00BC14BB"/>
    <w:rsid w:val="00BC5908"/>
    <w:rsid w:val="00BE6A4D"/>
    <w:rsid w:val="00BE7D99"/>
    <w:rsid w:val="00BF688E"/>
    <w:rsid w:val="00BF73D5"/>
    <w:rsid w:val="00C31AD4"/>
    <w:rsid w:val="00C44805"/>
    <w:rsid w:val="00C55C8B"/>
    <w:rsid w:val="00C62AA4"/>
    <w:rsid w:val="00C64130"/>
    <w:rsid w:val="00C722CE"/>
    <w:rsid w:val="00C75497"/>
    <w:rsid w:val="00C81828"/>
    <w:rsid w:val="00C852B0"/>
    <w:rsid w:val="00C95699"/>
    <w:rsid w:val="00CC1B3C"/>
    <w:rsid w:val="00CC3424"/>
    <w:rsid w:val="00CD6063"/>
    <w:rsid w:val="00CE64FA"/>
    <w:rsid w:val="00D053DD"/>
    <w:rsid w:val="00D13819"/>
    <w:rsid w:val="00D172D8"/>
    <w:rsid w:val="00D5151F"/>
    <w:rsid w:val="00D877B1"/>
    <w:rsid w:val="00DE3989"/>
    <w:rsid w:val="00DF0180"/>
    <w:rsid w:val="00DF4086"/>
    <w:rsid w:val="00DF6C66"/>
    <w:rsid w:val="00DF6EDF"/>
    <w:rsid w:val="00E03145"/>
    <w:rsid w:val="00E052C4"/>
    <w:rsid w:val="00E20C22"/>
    <w:rsid w:val="00E32EF7"/>
    <w:rsid w:val="00E37C19"/>
    <w:rsid w:val="00E43D2A"/>
    <w:rsid w:val="00E44BA4"/>
    <w:rsid w:val="00E8770A"/>
    <w:rsid w:val="00EA404E"/>
    <w:rsid w:val="00EA4B4C"/>
    <w:rsid w:val="00EC365A"/>
    <w:rsid w:val="00ED36D8"/>
    <w:rsid w:val="00EF1C88"/>
    <w:rsid w:val="00F06A5C"/>
    <w:rsid w:val="00F11671"/>
    <w:rsid w:val="00F12342"/>
    <w:rsid w:val="00F300D4"/>
    <w:rsid w:val="00F6516C"/>
    <w:rsid w:val="00F66EAA"/>
    <w:rsid w:val="00F7313D"/>
    <w:rsid w:val="00F81CF4"/>
    <w:rsid w:val="00F84529"/>
    <w:rsid w:val="00F85CAA"/>
    <w:rsid w:val="00F905EF"/>
    <w:rsid w:val="00F90AF9"/>
    <w:rsid w:val="00FB1EF9"/>
    <w:rsid w:val="00FC5433"/>
    <w:rsid w:val="00FF200B"/>
    <w:rsid w:val="00FF4408"/>
    <w:rsid w:val="0154788E"/>
    <w:rsid w:val="015B4ED6"/>
    <w:rsid w:val="01AD40C1"/>
    <w:rsid w:val="01FB4AEA"/>
    <w:rsid w:val="02347263"/>
    <w:rsid w:val="02CE688C"/>
    <w:rsid w:val="03333CE8"/>
    <w:rsid w:val="03BD3D35"/>
    <w:rsid w:val="03E54D09"/>
    <w:rsid w:val="04C37F09"/>
    <w:rsid w:val="04CD1BCB"/>
    <w:rsid w:val="05BF7399"/>
    <w:rsid w:val="05E90B92"/>
    <w:rsid w:val="077139C8"/>
    <w:rsid w:val="079970C8"/>
    <w:rsid w:val="079C10B5"/>
    <w:rsid w:val="08086930"/>
    <w:rsid w:val="08142C41"/>
    <w:rsid w:val="0875682F"/>
    <w:rsid w:val="08A232E4"/>
    <w:rsid w:val="08C56E82"/>
    <w:rsid w:val="09102C3B"/>
    <w:rsid w:val="094C0857"/>
    <w:rsid w:val="09C45DD3"/>
    <w:rsid w:val="09F608D1"/>
    <w:rsid w:val="0A70708C"/>
    <w:rsid w:val="0AC477B5"/>
    <w:rsid w:val="0B0B0B75"/>
    <w:rsid w:val="0B172F8E"/>
    <w:rsid w:val="0B9143FD"/>
    <w:rsid w:val="0C66691B"/>
    <w:rsid w:val="0C8860B0"/>
    <w:rsid w:val="0CC006E2"/>
    <w:rsid w:val="0CF60BFA"/>
    <w:rsid w:val="0E4A763D"/>
    <w:rsid w:val="0E8D0E12"/>
    <w:rsid w:val="0F053FD7"/>
    <w:rsid w:val="0F0E2EB6"/>
    <w:rsid w:val="0F9B420F"/>
    <w:rsid w:val="0FDD0E8D"/>
    <w:rsid w:val="106E535E"/>
    <w:rsid w:val="1150511E"/>
    <w:rsid w:val="11C01723"/>
    <w:rsid w:val="148B26F0"/>
    <w:rsid w:val="14B04B54"/>
    <w:rsid w:val="15EF109A"/>
    <w:rsid w:val="16125616"/>
    <w:rsid w:val="16932C54"/>
    <w:rsid w:val="16C529CE"/>
    <w:rsid w:val="16F81949"/>
    <w:rsid w:val="17084BFA"/>
    <w:rsid w:val="17686555"/>
    <w:rsid w:val="17821581"/>
    <w:rsid w:val="178F1A39"/>
    <w:rsid w:val="18574943"/>
    <w:rsid w:val="185B79B1"/>
    <w:rsid w:val="189024E9"/>
    <w:rsid w:val="199D182F"/>
    <w:rsid w:val="1A131B70"/>
    <w:rsid w:val="1A1F35FC"/>
    <w:rsid w:val="1A3927B1"/>
    <w:rsid w:val="1A43042A"/>
    <w:rsid w:val="1B6C3A19"/>
    <w:rsid w:val="1BD25BEE"/>
    <w:rsid w:val="1BE707CE"/>
    <w:rsid w:val="1C040448"/>
    <w:rsid w:val="1D7A7B0F"/>
    <w:rsid w:val="1D8E54B6"/>
    <w:rsid w:val="1E0D0FBE"/>
    <w:rsid w:val="1E6858C6"/>
    <w:rsid w:val="1F300B0F"/>
    <w:rsid w:val="1F326221"/>
    <w:rsid w:val="1FE40979"/>
    <w:rsid w:val="1FEB2CEC"/>
    <w:rsid w:val="1FF30EC9"/>
    <w:rsid w:val="21523A67"/>
    <w:rsid w:val="21527F1C"/>
    <w:rsid w:val="22BD2102"/>
    <w:rsid w:val="234B316F"/>
    <w:rsid w:val="23744D47"/>
    <w:rsid w:val="23E00E2D"/>
    <w:rsid w:val="24B24AB7"/>
    <w:rsid w:val="25472489"/>
    <w:rsid w:val="256C4AEF"/>
    <w:rsid w:val="26284737"/>
    <w:rsid w:val="26645DC2"/>
    <w:rsid w:val="269A2444"/>
    <w:rsid w:val="271525EF"/>
    <w:rsid w:val="272E77A0"/>
    <w:rsid w:val="273E3590"/>
    <w:rsid w:val="27782106"/>
    <w:rsid w:val="27BD3A55"/>
    <w:rsid w:val="27E15995"/>
    <w:rsid w:val="28375750"/>
    <w:rsid w:val="291E1E5D"/>
    <w:rsid w:val="29555E7E"/>
    <w:rsid w:val="29877EA4"/>
    <w:rsid w:val="2A5869A0"/>
    <w:rsid w:val="2A5A214A"/>
    <w:rsid w:val="2A6A5A37"/>
    <w:rsid w:val="2ABC7762"/>
    <w:rsid w:val="2B367DA6"/>
    <w:rsid w:val="2BA665A8"/>
    <w:rsid w:val="2BD31A99"/>
    <w:rsid w:val="2C0322D0"/>
    <w:rsid w:val="2C3342E6"/>
    <w:rsid w:val="2C4478DE"/>
    <w:rsid w:val="2C531E8C"/>
    <w:rsid w:val="2C751002"/>
    <w:rsid w:val="2D094FD0"/>
    <w:rsid w:val="2F2A2D4D"/>
    <w:rsid w:val="2F973AA4"/>
    <w:rsid w:val="2FA412F9"/>
    <w:rsid w:val="3028757C"/>
    <w:rsid w:val="319C59AA"/>
    <w:rsid w:val="31A876A2"/>
    <w:rsid w:val="31D01EB0"/>
    <w:rsid w:val="32F0099A"/>
    <w:rsid w:val="33311DB3"/>
    <w:rsid w:val="33DA251E"/>
    <w:rsid w:val="33E7483B"/>
    <w:rsid w:val="34697BAD"/>
    <w:rsid w:val="35354993"/>
    <w:rsid w:val="35796F80"/>
    <w:rsid w:val="3584704E"/>
    <w:rsid w:val="35CF35CA"/>
    <w:rsid w:val="360C37F8"/>
    <w:rsid w:val="36323C57"/>
    <w:rsid w:val="36484649"/>
    <w:rsid w:val="37020520"/>
    <w:rsid w:val="37125B5E"/>
    <w:rsid w:val="385F0BCE"/>
    <w:rsid w:val="388A235A"/>
    <w:rsid w:val="38DC383C"/>
    <w:rsid w:val="39737B98"/>
    <w:rsid w:val="3ABC275E"/>
    <w:rsid w:val="3B106A7B"/>
    <w:rsid w:val="3B19797F"/>
    <w:rsid w:val="3B6D4A02"/>
    <w:rsid w:val="3DB27D86"/>
    <w:rsid w:val="3F6734D7"/>
    <w:rsid w:val="400A237E"/>
    <w:rsid w:val="401D36A4"/>
    <w:rsid w:val="402B55A8"/>
    <w:rsid w:val="415C1ACF"/>
    <w:rsid w:val="419D5A66"/>
    <w:rsid w:val="41A01FC6"/>
    <w:rsid w:val="41EE3D76"/>
    <w:rsid w:val="42207741"/>
    <w:rsid w:val="42437576"/>
    <w:rsid w:val="435A3C9F"/>
    <w:rsid w:val="43BB3027"/>
    <w:rsid w:val="43FE596F"/>
    <w:rsid w:val="44482B18"/>
    <w:rsid w:val="4616643F"/>
    <w:rsid w:val="467D6FC1"/>
    <w:rsid w:val="47423C96"/>
    <w:rsid w:val="479A72AE"/>
    <w:rsid w:val="47F868D0"/>
    <w:rsid w:val="48552A95"/>
    <w:rsid w:val="49530196"/>
    <w:rsid w:val="496B01E0"/>
    <w:rsid w:val="4A214D31"/>
    <w:rsid w:val="4A925339"/>
    <w:rsid w:val="4B3A63B8"/>
    <w:rsid w:val="4B580589"/>
    <w:rsid w:val="4BB1287E"/>
    <w:rsid w:val="4BF56BDD"/>
    <w:rsid w:val="4C6060CB"/>
    <w:rsid w:val="4D5441C1"/>
    <w:rsid w:val="4E444299"/>
    <w:rsid w:val="4E9527DF"/>
    <w:rsid w:val="4ECA2C32"/>
    <w:rsid w:val="4F096CDF"/>
    <w:rsid w:val="50A674DD"/>
    <w:rsid w:val="51D13A27"/>
    <w:rsid w:val="52157E66"/>
    <w:rsid w:val="52370C09"/>
    <w:rsid w:val="525B06C9"/>
    <w:rsid w:val="526A7882"/>
    <w:rsid w:val="52AD14F7"/>
    <w:rsid w:val="53D244DB"/>
    <w:rsid w:val="53D80D9B"/>
    <w:rsid w:val="557C1AF7"/>
    <w:rsid w:val="55AB3A95"/>
    <w:rsid w:val="567535C9"/>
    <w:rsid w:val="56F269C8"/>
    <w:rsid w:val="578D6167"/>
    <w:rsid w:val="58190FD5"/>
    <w:rsid w:val="58311061"/>
    <w:rsid w:val="58B70261"/>
    <w:rsid w:val="59AD0005"/>
    <w:rsid w:val="5AA438C6"/>
    <w:rsid w:val="5AA83C68"/>
    <w:rsid w:val="5AB973C8"/>
    <w:rsid w:val="5AC36DF4"/>
    <w:rsid w:val="5AE23E21"/>
    <w:rsid w:val="5B225A35"/>
    <w:rsid w:val="5B654F8E"/>
    <w:rsid w:val="5BDE39E3"/>
    <w:rsid w:val="5BEA2F4C"/>
    <w:rsid w:val="5CD06C40"/>
    <w:rsid w:val="5CD322A6"/>
    <w:rsid w:val="5CF15961"/>
    <w:rsid w:val="5D7E4575"/>
    <w:rsid w:val="5D7E7CF3"/>
    <w:rsid w:val="5DA54E35"/>
    <w:rsid w:val="5DB85BE7"/>
    <w:rsid w:val="5E87179F"/>
    <w:rsid w:val="5E9C001F"/>
    <w:rsid w:val="5EE0046E"/>
    <w:rsid w:val="5EF7655F"/>
    <w:rsid w:val="5FC41AFF"/>
    <w:rsid w:val="60201BE5"/>
    <w:rsid w:val="61112140"/>
    <w:rsid w:val="61FC2AC2"/>
    <w:rsid w:val="6236702C"/>
    <w:rsid w:val="62566E95"/>
    <w:rsid w:val="626E28CF"/>
    <w:rsid w:val="628B61ED"/>
    <w:rsid w:val="640F0C6A"/>
    <w:rsid w:val="642312E6"/>
    <w:rsid w:val="644A7C2C"/>
    <w:rsid w:val="646A7B30"/>
    <w:rsid w:val="651560CC"/>
    <w:rsid w:val="652C540A"/>
    <w:rsid w:val="65C9438A"/>
    <w:rsid w:val="663019A7"/>
    <w:rsid w:val="666450C8"/>
    <w:rsid w:val="66EC4200"/>
    <w:rsid w:val="672F0772"/>
    <w:rsid w:val="676E4A62"/>
    <w:rsid w:val="68180423"/>
    <w:rsid w:val="68472F1A"/>
    <w:rsid w:val="6989378C"/>
    <w:rsid w:val="69AA3E2C"/>
    <w:rsid w:val="6A7E7DD0"/>
    <w:rsid w:val="6AD05083"/>
    <w:rsid w:val="6AFE3B65"/>
    <w:rsid w:val="6B8F5D24"/>
    <w:rsid w:val="6BF12332"/>
    <w:rsid w:val="6C8F1157"/>
    <w:rsid w:val="6C9D5BD5"/>
    <w:rsid w:val="6CFE33CF"/>
    <w:rsid w:val="6D914BEF"/>
    <w:rsid w:val="6E4113F5"/>
    <w:rsid w:val="70335BE5"/>
    <w:rsid w:val="715A164F"/>
    <w:rsid w:val="7172111B"/>
    <w:rsid w:val="71FC5DCD"/>
    <w:rsid w:val="728E1843"/>
    <w:rsid w:val="72A1642E"/>
    <w:rsid w:val="734E6DC6"/>
    <w:rsid w:val="75037DF2"/>
    <w:rsid w:val="75D23A35"/>
    <w:rsid w:val="765C7958"/>
    <w:rsid w:val="76605E1D"/>
    <w:rsid w:val="767D6F6B"/>
    <w:rsid w:val="77575032"/>
    <w:rsid w:val="77973A7E"/>
    <w:rsid w:val="77FD3CAE"/>
    <w:rsid w:val="78894E2D"/>
    <w:rsid w:val="78BA37A1"/>
    <w:rsid w:val="78E514D5"/>
    <w:rsid w:val="79C334D9"/>
    <w:rsid w:val="7A337E8F"/>
    <w:rsid w:val="7A9D64D7"/>
    <w:rsid w:val="7AC41F0E"/>
    <w:rsid w:val="7B380C78"/>
    <w:rsid w:val="7C154DAB"/>
    <w:rsid w:val="7C576E74"/>
    <w:rsid w:val="7C5A4544"/>
    <w:rsid w:val="7C974F18"/>
    <w:rsid w:val="7DB60C46"/>
    <w:rsid w:val="7E2D3F14"/>
    <w:rsid w:val="7E714ED6"/>
    <w:rsid w:val="7E7F0C48"/>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rPr>
  </w:style>
  <w:style w:type="paragraph" w:styleId="3">
    <w:name w:val="heading 1"/>
    <w:basedOn w:val="1"/>
    <w:next w:val="1"/>
    <w:qFormat/>
    <w:uiPriority w:val="0"/>
    <w:pPr>
      <w:keepNext/>
      <w:keepLines/>
      <w:spacing w:before="340" w:beforeAutospacing="0" w:after="330" w:afterAutospacing="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Autospacing="0" w:after="260" w:afterAutospacing="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beforeAutospacing="0" w:after="290" w:afterAutospacing="0" w:line="372"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beforeAutospacing="0" w:after="120" w:afterAutospacing="0"/>
    </w:pPr>
    <w:rPr>
      <w:rFonts w:ascii="Times New Roman" w:hAnsi="Times New Roman"/>
      <w:szCs w:val="20"/>
      <w:lang w:val="zh-CN"/>
    </w:rPr>
  </w:style>
  <w:style w:type="paragraph" w:styleId="9">
    <w:name w:val="Body Text Indent"/>
    <w:basedOn w:val="1"/>
    <w:link w:val="65"/>
    <w:qFormat/>
    <w:uiPriority w:val="0"/>
    <w:pPr>
      <w:spacing w:beforeAutospacing="0" w:after="120" w:afterAutospacing="0"/>
      <w:ind w:left="420" w:leftChars="200"/>
    </w:pPr>
  </w:style>
  <w:style w:type="paragraph" w:styleId="10">
    <w:name w:val="Plain Text"/>
    <w:basedOn w:val="1"/>
    <w:qFormat/>
    <w:uiPriority w:val="0"/>
    <w:rPr>
      <w:rFonts w:ascii="宋体" w:hAnsi="Courier New"/>
      <w:szCs w:val="20"/>
    </w:rPr>
  </w:style>
  <w:style w:type="paragraph" w:styleId="11">
    <w:name w:val="Balloon Text"/>
    <w:basedOn w:val="1"/>
    <w:link w:val="61"/>
    <w:qFormat/>
    <w:uiPriority w:val="0"/>
    <w:rPr>
      <w:sz w:val="18"/>
      <w:szCs w:val="18"/>
    </w:rPr>
  </w:style>
  <w:style w:type="paragraph" w:styleId="12">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6">
    <w:name w:val="annotation subject"/>
    <w:basedOn w:val="7"/>
    <w:next w:val="7"/>
    <w:link w:val="60"/>
    <w:qFormat/>
    <w:uiPriority w:val="0"/>
    <w:rPr>
      <w:b/>
      <w:bCs/>
    </w:rPr>
  </w:style>
  <w:style w:type="paragraph" w:styleId="17">
    <w:name w:val="Body Text First Indent"/>
    <w:basedOn w:val="8"/>
    <w:link w:val="82"/>
    <w:unhideWhenUsed/>
    <w:qFormat/>
    <w:uiPriority w:val="99"/>
    <w:pPr>
      <w:ind w:firstLine="420" w:firstLineChars="100"/>
    </w:pPr>
    <w:rPr>
      <w:szCs w:val="24"/>
      <w:lang w:val="en-US"/>
    </w:rPr>
  </w:style>
  <w:style w:type="paragraph" w:styleId="18">
    <w:name w:val="Body Text First Indent 2"/>
    <w:basedOn w:val="9"/>
    <w:link w:val="66"/>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99"/>
    <w:rPr>
      <w:rFonts w:hint="eastAsia" w:ascii="微软雅黑" w:hAnsi="微软雅黑" w:eastAsia="微软雅黑" w:cs="微软雅黑"/>
      <w:color w:val="02396F"/>
      <w:u w:val="single"/>
    </w:rPr>
  </w:style>
  <w:style w:type="character" w:styleId="25">
    <w:name w:val="Emphasis"/>
    <w:basedOn w:val="21"/>
    <w:qFormat/>
    <w:uiPriority w:val="0"/>
  </w:style>
  <w:style w:type="character" w:styleId="26">
    <w:name w:val="HTML Definition"/>
    <w:basedOn w:val="21"/>
    <w:qFormat/>
    <w:uiPriority w:val="0"/>
  </w:style>
  <w:style w:type="character" w:styleId="27">
    <w:name w:val="HTML Variable"/>
    <w:basedOn w:val="21"/>
    <w:qFormat/>
    <w:uiPriority w:val="0"/>
  </w:style>
  <w:style w:type="character" w:styleId="28">
    <w:name w:val="Hyperlink"/>
    <w:basedOn w:val="21"/>
    <w:qFormat/>
    <w:uiPriority w:val="99"/>
    <w:rPr>
      <w:rFonts w:hint="eastAsia" w:ascii="微软雅黑" w:hAnsi="微软雅黑" w:eastAsia="微软雅黑" w:cs="微软雅黑"/>
      <w:color w:val="02396F"/>
      <w:u w:val="single"/>
    </w:rPr>
  </w:style>
  <w:style w:type="character" w:styleId="29">
    <w:name w:val="HTML Code"/>
    <w:basedOn w:val="21"/>
    <w:qFormat/>
    <w:uiPriority w:val="0"/>
    <w:rPr>
      <w:rFonts w:hint="default" w:ascii="serif" w:hAnsi="serif" w:eastAsia="serif" w:cs="serif"/>
      <w:sz w:val="21"/>
      <w:szCs w:val="21"/>
    </w:rPr>
  </w:style>
  <w:style w:type="character" w:styleId="30">
    <w:name w:val="annotation reference"/>
    <w:qFormat/>
    <w:uiPriority w:val="99"/>
    <w:rPr>
      <w:sz w:val="21"/>
      <w:szCs w:val="21"/>
    </w:rPr>
  </w:style>
  <w:style w:type="character" w:styleId="31">
    <w:name w:val="HTML Cite"/>
    <w:basedOn w:val="21"/>
    <w:qFormat/>
    <w:uiPriority w:val="0"/>
  </w:style>
  <w:style w:type="character" w:styleId="32">
    <w:name w:val="HTML Keyboard"/>
    <w:basedOn w:val="21"/>
    <w:qFormat/>
    <w:uiPriority w:val="0"/>
    <w:rPr>
      <w:rFonts w:hint="default" w:ascii="serif" w:hAnsi="serif" w:eastAsia="serif" w:cs="serif"/>
      <w:sz w:val="21"/>
      <w:szCs w:val="21"/>
    </w:rPr>
  </w:style>
  <w:style w:type="character" w:styleId="33">
    <w:name w:val="HTML Sample"/>
    <w:basedOn w:val="21"/>
    <w:qFormat/>
    <w:uiPriority w:val="0"/>
    <w:rPr>
      <w:rFonts w:ascii="serif" w:hAnsi="serif" w:eastAsia="serif" w:cs="serif"/>
      <w:sz w:val="21"/>
      <w:szCs w:val="21"/>
    </w:rPr>
  </w:style>
  <w:style w:type="paragraph" w:customStyle="1" w:styleId="34">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Theme="minorEastAsia" w:cstheme="minorBidi"/>
      <w:sz w:val="24"/>
      <w:szCs w:val="24"/>
    </w:rPr>
  </w:style>
  <w:style w:type="paragraph" w:customStyle="1" w:styleId="38">
    <w:name w:val="Normal_1"/>
    <w:qFormat/>
    <w:uiPriority w:val="0"/>
    <w:rPr>
      <w:rFonts w:eastAsia="Times New Roman" w:asciiTheme="minorHAnsi" w:hAnsiTheme="minorHAnsi" w:cstheme="minorBidi"/>
      <w:sz w:val="24"/>
      <w:szCs w:val="24"/>
    </w:rPr>
  </w:style>
  <w:style w:type="paragraph" w:customStyle="1" w:styleId="39">
    <w:name w:val="正文_0_0"/>
    <w:qFormat/>
    <w:uiPriority w:val="0"/>
    <w:pPr>
      <w:widowControl w:val="0"/>
      <w:jc w:val="both"/>
    </w:pPr>
    <w:rPr>
      <w:rFonts w:asciiTheme="minorHAnsi" w:hAnsiTheme="minorHAnsi" w:eastAsiaTheme="minorEastAsia" w:cstheme="minorBidi"/>
      <w:kern w:val="2"/>
      <w:sz w:val="21"/>
    </w:rPr>
  </w:style>
  <w:style w:type="paragraph" w:styleId="40">
    <w:name w:val="No Spacing"/>
    <w:qFormat/>
    <w:uiPriority w:val="0"/>
    <w:rPr>
      <w:rFonts w:ascii="Calibri" w:hAnsi="Calibri" w:eastAsiaTheme="minorEastAsia" w:cstheme="minorBidi"/>
      <w:kern w:val="2"/>
      <w:sz w:val="22"/>
    </w:rPr>
  </w:style>
  <w:style w:type="paragraph" w:customStyle="1" w:styleId="41">
    <w:name w:val="Body text|1"/>
    <w:basedOn w:val="1"/>
    <w:qFormat/>
    <w:uiPriority w:val="0"/>
    <w:pPr>
      <w:spacing w:beforeAutospacing="0" w:afterAutospacing="0"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1"/>
    <w:qFormat/>
    <w:uiPriority w:val="0"/>
    <w:rPr>
      <w:color w:val="333333"/>
      <w:sz w:val="9"/>
      <w:szCs w:val="9"/>
    </w:rPr>
  </w:style>
  <w:style w:type="character" w:customStyle="1" w:styleId="44">
    <w:name w:val="gjfg"/>
    <w:basedOn w:val="21"/>
    <w:qFormat/>
    <w:uiPriority w:val="0"/>
  </w:style>
  <w:style w:type="character" w:customStyle="1" w:styleId="45">
    <w:name w:val="redfilefwwh"/>
    <w:basedOn w:val="21"/>
    <w:qFormat/>
    <w:uiPriority w:val="0"/>
    <w:rPr>
      <w:color w:val="BA2636"/>
      <w:sz w:val="9"/>
      <w:szCs w:val="9"/>
    </w:rPr>
  </w:style>
  <w:style w:type="character" w:customStyle="1" w:styleId="46">
    <w:name w:val="prev2"/>
    <w:basedOn w:val="21"/>
    <w:qFormat/>
    <w:uiPriority w:val="0"/>
    <w:rPr>
      <w:rFonts w:ascii="微软雅黑" w:hAnsi="微软雅黑" w:eastAsia="微软雅黑" w:cs="微软雅黑"/>
      <w:sz w:val="10"/>
      <w:szCs w:val="10"/>
    </w:rPr>
  </w:style>
  <w:style w:type="character" w:customStyle="1" w:styleId="47">
    <w:name w:val="redfilenumber"/>
    <w:basedOn w:val="21"/>
    <w:qFormat/>
    <w:uiPriority w:val="0"/>
    <w:rPr>
      <w:color w:val="BA2636"/>
      <w:sz w:val="9"/>
      <w:szCs w:val="9"/>
    </w:rPr>
  </w:style>
  <w:style w:type="character" w:customStyle="1" w:styleId="48">
    <w:name w:val="displayarti"/>
    <w:basedOn w:val="21"/>
    <w:qFormat/>
    <w:uiPriority w:val="0"/>
    <w:rPr>
      <w:color w:val="FFFFFF"/>
      <w:shd w:val="clear" w:color="auto" w:fill="A00000"/>
    </w:rPr>
  </w:style>
  <w:style w:type="character" w:customStyle="1" w:styleId="49">
    <w:name w:val="cfdate"/>
    <w:basedOn w:val="21"/>
    <w:qFormat/>
    <w:uiPriority w:val="0"/>
    <w:rPr>
      <w:color w:val="333333"/>
      <w:sz w:val="9"/>
      <w:szCs w:val="9"/>
    </w:rPr>
  </w:style>
  <w:style w:type="character" w:customStyle="1" w:styleId="50">
    <w:name w:val="next2"/>
    <w:basedOn w:val="21"/>
    <w:qFormat/>
    <w:uiPriority w:val="0"/>
    <w:rPr>
      <w:rFonts w:hint="eastAsia" w:ascii="微软雅黑" w:hAnsi="微软雅黑" w:eastAsia="微软雅黑" w:cs="微软雅黑"/>
      <w:sz w:val="10"/>
      <w:szCs w:val="10"/>
    </w:rPr>
  </w:style>
  <w:style w:type="character" w:customStyle="1" w:styleId="51">
    <w:name w:val="next3"/>
    <w:basedOn w:val="21"/>
    <w:qFormat/>
    <w:uiPriority w:val="0"/>
    <w:rPr>
      <w:color w:val="888888"/>
    </w:rPr>
  </w:style>
  <w:style w:type="character" w:customStyle="1" w:styleId="52">
    <w:name w:val="prev"/>
    <w:basedOn w:val="21"/>
    <w:qFormat/>
    <w:uiPriority w:val="0"/>
    <w:rPr>
      <w:rFonts w:ascii="微软雅黑" w:hAnsi="微软雅黑" w:eastAsia="微软雅黑" w:cs="微软雅黑"/>
      <w:sz w:val="10"/>
      <w:szCs w:val="10"/>
    </w:rPr>
  </w:style>
  <w:style w:type="character" w:customStyle="1" w:styleId="53">
    <w:name w:val="prev1"/>
    <w:basedOn w:val="21"/>
    <w:qFormat/>
    <w:uiPriority w:val="0"/>
    <w:rPr>
      <w:color w:val="888888"/>
    </w:rPr>
  </w:style>
  <w:style w:type="character" w:customStyle="1" w:styleId="54">
    <w:name w:val="next"/>
    <w:basedOn w:val="21"/>
    <w:qFormat/>
    <w:uiPriority w:val="0"/>
    <w:rPr>
      <w:color w:val="888888"/>
    </w:rPr>
  </w:style>
  <w:style w:type="character" w:customStyle="1" w:styleId="55">
    <w:name w:val="next1"/>
    <w:basedOn w:val="21"/>
    <w:qFormat/>
    <w:uiPriority w:val="0"/>
    <w:rPr>
      <w:rFonts w:hint="eastAsia" w:ascii="微软雅黑" w:hAnsi="微软雅黑" w:eastAsia="微软雅黑" w:cs="微软雅黑"/>
      <w:sz w:val="10"/>
      <w:szCs w:val="10"/>
    </w:rPr>
  </w:style>
  <w:style w:type="character" w:customStyle="1" w:styleId="56">
    <w:name w:val="prev3"/>
    <w:basedOn w:val="21"/>
    <w:qFormat/>
    <w:uiPriority w:val="0"/>
    <w:rPr>
      <w:color w:val="888888"/>
    </w:rPr>
  </w:style>
  <w:style w:type="character" w:customStyle="1" w:styleId="57">
    <w:name w:val="fontborder"/>
    <w:basedOn w:val="21"/>
    <w:qFormat/>
    <w:uiPriority w:val="0"/>
    <w:rPr>
      <w:bdr w:val="single" w:color="000000" w:sz="2" w:space="0"/>
    </w:rPr>
  </w:style>
  <w:style w:type="character" w:customStyle="1" w:styleId="58">
    <w:name w:val="fontstrikethrough"/>
    <w:basedOn w:val="21"/>
    <w:qFormat/>
    <w:uiPriority w:val="0"/>
    <w:rPr>
      <w:strike/>
    </w:rPr>
  </w:style>
  <w:style w:type="character" w:customStyle="1" w:styleId="59">
    <w:name w:val="批注文字 字符"/>
    <w:basedOn w:val="21"/>
    <w:link w:val="7"/>
    <w:qFormat/>
    <w:uiPriority w:val="99"/>
    <w:rPr>
      <w:rFonts w:ascii="Calibri" w:hAnsi="Calibri"/>
      <w:kern w:val="2"/>
      <w:sz w:val="21"/>
      <w:szCs w:val="22"/>
    </w:rPr>
  </w:style>
  <w:style w:type="character" w:customStyle="1" w:styleId="60">
    <w:name w:val="批注主题 字符"/>
    <w:basedOn w:val="59"/>
    <w:link w:val="16"/>
    <w:qFormat/>
    <w:uiPriority w:val="0"/>
    <w:rPr>
      <w:rFonts w:ascii="Calibri" w:hAnsi="Calibri"/>
      <w:b/>
      <w:bCs/>
      <w:kern w:val="2"/>
      <w:sz w:val="21"/>
      <w:szCs w:val="22"/>
    </w:rPr>
  </w:style>
  <w:style w:type="character" w:customStyle="1" w:styleId="61">
    <w:name w:val="批注框文本 字符"/>
    <w:basedOn w:val="21"/>
    <w:link w:val="11"/>
    <w:qFormat/>
    <w:uiPriority w:val="0"/>
    <w:rPr>
      <w:rFonts w:ascii="Calibri" w:hAnsi="Calibri"/>
      <w:kern w:val="2"/>
      <w:sz w:val="18"/>
      <w:szCs w:val="18"/>
    </w:rPr>
  </w:style>
  <w:style w:type="character" w:customStyle="1" w:styleId="62">
    <w:name w:val="正文文本 Char"/>
    <w:basedOn w:val="21"/>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unhideWhenUsed/>
    <w:qFormat/>
    <w:uiPriority w:val="99"/>
    <w:rPr>
      <w:rFonts w:ascii="Calibri" w:hAnsi="Calibri" w:eastAsiaTheme="minorEastAsia" w:cstheme="minorBidi"/>
      <w:kern w:val="2"/>
      <w:sz w:val="21"/>
      <w:szCs w:val="22"/>
    </w:rPr>
  </w:style>
  <w:style w:type="character" w:customStyle="1" w:styleId="65">
    <w:name w:val="正文文本缩进 字符"/>
    <w:basedOn w:val="21"/>
    <w:link w:val="9"/>
    <w:qFormat/>
    <w:uiPriority w:val="0"/>
    <w:rPr>
      <w:rFonts w:ascii="Calibri" w:hAnsi="Calibri"/>
      <w:kern w:val="2"/>
      <w:sz w:val="21"/>
      <w:szCs w:val="22"/>
    </w:rPr>
  </w:style>
  <w:style w:type="character" w:customStyle="1" w:styleId="66">
    <w:name w:val="正文文本首行缩进 2 字符"/>
    <w:basedOn w:val="65"/>
    <w:link w:val="18"/>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文本首行缩进 字符"/>
    <w:basedOn w:val="63"/>
    <w:link w:val="17"/>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1"/>
    <w:qFormat/>
    <w:uiPriority w:val="0"/>
    <w:rPr>
      <w:rFonts w:hint="eastAsia" w:ascii="宋体" w:hAnsi="宋体" w:eastAsia="宋体" w:cs="宋体"/>
      <w:color w:val="000000"/>
      <w:sz w:val="18"/>
      <w:szCs w:val="18"/>
      <w:u w:val="none"/>
    </w:rPr>
  </w:style>
  <w:style w:type="character" w:customStyle="1" w:styleId="87">
    <w:name w:val="font31"/>
    <w:basedOn w:val="21"/>
    <w:qFormat/>
    <w:uiPriority w:val="0"/>
    <w:rPr>
      <w:rFonts w:hint="eastAsia" w:ascii="宋体" w:hAnsi="宋体" w:eastAsia="宋体" w:cs="宋体"/>
      <w:color w:val="000000"/>
      <w:sz w:val="18"/>
      <w:szCs w:val="18"/>
      <w:u w:val="none"/>
    </w:rPr>
  </w:style>
  <w:style w:type="character" w:customStyle="1" w:styleId="88">
    <w:name w:val="font11"/>
    <w:basedOn w:val="21"/>
    <w:qFormat/>
    <w:uiPriority w:val="0"/>
    <w:rPr>
      <w:rFonts w:hint="eastAsia" w:ascii="宋体" w:hAnsi="宋体" w:eastAsia="宋体" w:cs="宋体"/>
      <w:color w:val="000000"/>
      <w:sz w:val="18"/>
      <w:szCs w:val="18"/>
      <w:u w:val="none"/>
    </w:rPr>
  </w:style>
  <w:style w:type="paragraph" w:customStyle="1" w:styleId="89">
    <w:name w:val="Revision"/>
    <w:semiHidden/>
    <w:qFormat/>
    <w:uiPriority w:val="99"/>
    <w:rPr>
      <w:rFonts w:ascii="Calibri" w:hAnsi="Calibri" w:eastAsiaTheme="minorEastAsia" w:cstheme="minorBidi"/>
      <w:kern w:val="2"/>
      <w:sz w:val="21"/>
      <w:szCs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5319</Words>
  <Characters>30320</Characters>
  <Lines>252</Lines>
  <Paragraphs>71</Paragraphs>
  <TotalTime>2</TotalTime>
  <ScaleCrop>false</ScaleCrop>
  <LinksUpToDate>false</LinksUpToDate>
  <CharactersWithSpaces>35568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dcterms:modified xsi:type="dcterms:W3CDTF">2022-11-16T02:05:29Z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8D4727B269D1438E9AA5395D2F9553EE</vt:lpwstr>
  </property>
</Properties>
</file>