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Times New Roman" w:eastAsia="宋体" w:cs="@仿宋_GB2312"/>
          <w:b/>
          <w:sz w:val="28"/>
          <w:szCs w:val="20"/>
          <w:highlight w:val="none"/>
        </w:rPr>
      </w:pPr>
      <w:bookmarkStart w:id="0" w:name="_Toc10891"/>
      <w:r>
        <w:rPr>
          <w:rFonts w:hint="eastAsia" w:ascii="宋体" w:hAnsi="Times New Roman" w:eastAsia="宋体" w:cs="@仿宋_GB2312"/>
          <w:b/>
          <w:sz w:val="28"/>
          <w:szCs w:val="20"/>
          <w:highlight w:val="none"/>
        </w:rPr>
        <w:t>第三章  采购需求</w:t>
      </w:r>
      <w:bookmarkEnd w:id="0"/>
    </w:p>
    <w:p>
      <w:pPr>
        <w:spacing w:line="360" w:lineRule="auto"/>
        <w:rPr>
          <w:rFonts w:ascii="宋体" w:hAnsi="Times New Roman" w:eastAsia="宋体" w:cs="@仿宋_GB2312"/>
          <w:b/>
          <w:sz w:val="24"/>
          <w:szCs w:val="20"/>
          <w:highlight w:val="none"/>
        </w:rPr>
      </w:pPr>
      <w:r>
        <w:rPr>
          <w:rFonts w:hint="eastAsia" w:ascii="宋体" w:hAnsi="Times New Roman" w:eastAsia="宋体" w:cs="@仿宋_GB2312"/>
          <w:b/>
          <w:sz w:val="24"/>
          <w:szCs w:val="20"/>
          <w:highlight w:val="none"/>
        </w:rPr>
        <w:t>前注：</w:t>
      </w:r>
    </w:p>
    <w:p>
      <w:pPr>
        <w:spacing w:line="360" w:lineRule="auto"/>
        <w:ind w:firstLine="435"/>
        <w:rPr>
          <w:rFonts w:ascii="宋体" w:hAnsi="Times New Roman" w:eastAsia="宋体" w:cs="@仿宋_GB2312"/>
          <w:sz w:val="24"/>
          <w:szCs w:val="18"/>
          <w:highlight w:val="none"/>
        </w:rPr>
      </w:pPr>
      <w:r>
        <w:rPr>
          <w:rFonts w:hint="eastAsia" w:ascii="宋体" w:hAnsi="Times New Roman" w:eastAsia="宋体" w:cs="@仿宋_GB2312"/>
          <w:sz w:val="24"/>
          <w:szCs w:val="20"/>
          <w:highlight w:val="none"/>
        </w:rPr>
        <w:t>1.</w:t>
      </w:r>
      <w:r>
        <w:rPr>
          <w:rFonts w:ascii="宋体" w:hAnsi="Times New Roman" w:eastAsia="宋体" w:cs="@仿宋_GB2312"/>
          <w:sz w:val="24"/>
          <w:szCs w:val="18"/>
          <w:highlight w:val="none"/>
        </w:rPr>
        <w:t>根据《</w:t>
      </w:r>
      <w:r>
        <w:rPr>
          <w:rFonts w:hint="eastAsia" w:ascii="宋体" w:hAnsi="Times New Roman" w:eastAsia="宋体" w:cs="@仿宋_GB2312"/>
          <w:sz w:val="24"/>
          <w:szCs w:val="18"/>
          <w:highlight w:val="none"/>
        </w:rPr>
        <w:t>政府采购进口产品管理办法</w:t>
      </w:r>
      <w:r>
        <w:rPr>
          <w:rFonts w:ascii="宋体" w:hAnsi="Times New Roman" w:eastAsia="宋体" w:cs="@仿宋_GB2312"/>
          <w:sz w:val="24"/>
          <w:szCs w:val="18"/>
          <w:highlight w:val="none"/>
        </w:rPr>
        <w:t>》及政府采购管理部门的相关规定，下列采购需求中</w:t>
      </w:r>
      <w:r>
        <w:rPr>
          <w:rFonts w:hint="eastAsia" w:ascii="宋体" w:hAnsi="Times New Roman" w:eastAsia="宋体" w:cs="@仿宋_GB2312"/>
          <w:sz w:val="24"/>
          <w:szCs w:val="18"/>
          <w:highlight w:val="none"/>
        </w:rPr>
        <w:t>标注进口产品的货物均</w:t>
      </w:r>
      <w:r>
        <w:rPr>
          <w:rFonts w:ascii="宋体" w:hAnsi="Times New Roman" w:eastAsia="宋体" w:cs="@仿宋_GB2312"/>
          <w:sz w:val="24"/>
          <w:szCs w:val="18"/>
          <w:highlight w:val="none"/>
        </w:rPr>
        <w:t>已履行相关论证手续，经核准采购进口</w:t>
      </w:r>
      <w:r>
        <w:rPr>
          <w:rFonts w:hint="eastAsia" w:ascii="宋体" w:hAnsi="Times New Roman" w:eastAsia="宋体" w:cs="@仿宋_GB2312"/>
          <w:sz w:val="24"/>
          <w:szCs w:val="18"/>
          <w:highlight w:val="none"/>
        </w:rPr>
        <w:t>产品</w:t>
      </w:r>
      <w:r>
        <w:rPr>
          <w:rFonts w:ascii="宋体" w:hAnsi="Times New Roman" w:eastAsia="宋体" w:cs="@仿宋_GB2312"/>
          <w:sz w:val="24"/>
          <w:szCs w:val="18"/>
          <w:highlight w:val="none"/>
        </w:rPr>
        <w:t>，但不限制满足招标文件要求的国内产品参与竞争</w:t>
      </w:r>
      <w:r>
        <w:rPr>
          <w:rFonts w:hint="eastAsia" w:ascii="宋体" w:hAnsi="Times New Roman" w:eastAsia="宋体" w:cs="@仿宋_GB2312"/>
          <w:sz w:val="24"/>
          <w:szCs w:val="18"/>
          <w:highlight w:val="none"/>
        </w:rPr>
        <w:t>。未标注进口产品的货物均</w:t>
      </w:r>
      <w:r>
        <w:rPr>
          <w:rFonts w:ascii="宋体" w:hAnsi="Times New Roman" w:eastAsia="宋体" w:cs="@仿宋_GB2312"/>
          <w:sz w:val="24"/>
          <w:szCs w:val="18"/>
          <w:highlight w:val="none"/>
        </w:rPr>
        <w:t>为拒绝采购进口产品</w:t>
      </w:r>
      <w:r>
        <w:rPr>
          <w:rFonts w:hint="eastAsia" w:ascii="宋体" w:hAnsi="Times New Roman" w:eastAsia="宋体" w:cs="@仿宋_GB2312"/>
          <w:sz w:val="24"/>
          <w:szCs w:val="18"/>
          <w:highlight w:val="none"/>
        </w:rPr>
        <w:t>。</w:t>
      </w:r>
    </w:p>
    <w:p>
      <w:pPr>
        <w:spacing w:line="360" w:lineRule="auto"/>
        <w:ind w:firstLine="435"/>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2.</w:t>
      </w:r>
      <w:r>
        <w:rPr>
          <w:rFonts w:ascii="宋体" w:hAnsi="Times New Roman" w:eastAsia="宋体" w:cs="宋体"/>
          <w:sz w:val="24"/>
          <w:szCs w:val="24"/>
          <w:highlight w:val="none"/>
        </w:rPr>
        <w:t>政府采购政策（包括但不限于下列具体政策要求</w:t>
      </w:r>
      <w:r>
        <w:rPr>
          <w:rFonts w:hint="eastAsia" w:ascii="宋体" w:hAnsi="Times New Roman" w:eastAsia="宋体" w:cs="宋体"/>
          <w:sz w:val="24"/>
          <w:szCs w:val="24"/>
          <w:highlight w:val="none"/>
        </w:rPr>
        <w:t>）</w:t>
      </w:r>
      <w:r>
        <w:rPr>
          <w:rFonts w:hint="eastAsia" w:ascii="宋体" w:hAnsi="Times New Roman" w:eastAsia="宋体" w:cs="@仿宋_GB2312"/>
          <w:sz w:val="24"/>
          <w:szCs w:val="18"/>
          <w:highlight w:val="none"/>
        </w:rPr>
        <w:t>：</w:t>
      </w:r>
    </w:p>
    <w:p>
      <w:pPr>
        <w:spacing w:line="360" w:lineRule="auto"/>
        <w:ind w:firstLine="435"/>
        <w:rPr>
          <w:rFonts w:ascii="宋体" w:hAnsi="Times New Roman" w:eastAsia="宋体" w:cs="宋体"/>
          <w:sz w:val="24"/>
          <w:szCs w:val="24"/>
          <w:highlight w:val="none"/>
        </w:rPr>
      </w:pPr>
      <w:r>
        <w:rPr>
          <w:rFonts w:hint="eastAsia" w:ascii="宋体" w:hAnsi="Times New Roman"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宋体" w:hAnsi="Times New Roman" w:eastAsia="宋体" w:cs="宋体"/>
          <w:sz w:val="24"/>
          <w:szCs w:val="24"/>
          <w:highlight w:val="none"/>
        </w:rPr>
      </w:pPr>
      <w:r>
        <w:rPr>
          <w:rFonts w:hint="eastAsia" w:ascii="宋体" w:hAnsi="Times New Roman"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3.</w:t>
      </w:r>
      <w:r>
        <w:rPr>
          <w:rFonts w:ascii="宋体" w:hAnsi="Times New Roman" w:eastAsia="宋体" w:cs="@仿宋_GB2312"/>
          <w:sz w:val="24"/>
          <w:szCs w:val="18"/>
          <w:highlight w:val="none"/>
        </w:rPr>
        <w:t>下列采购需求中：标注▲的产品</w:t>
      </w:r>
      <w:r>
        <w:rPr>
          <w:rFonts w:hint="eastAsia" w:ascii="宋体" w:hAnsi="Times New Roman" w:eastAsia="宋体" w:cs="@仿宋_GB2312"/>
          <w:sz w:val="24"/>
          <w:szCs w:val="18"/>
          <w:highlight w:val="none"/>
        </w:rPr>
        <w:t>（核心产品）</w:t>
      </w:r>
      <w:r>
        <w:rPr>
          <w:rFonts w:ascii="宋体" w:hAnsi="Times New Roman" w:eastAsia="宋体" w:cs="@仿宋_GB2312"/>
          <w:sz w:val="24"/>
          <w:szCs w:val="18"/>
          <w:highlight w:val="none"/>
        </w:rPr>
        <w:t>，投标</w:t>
      </w:r>
      <w:r>
        <w:rPr>
          <w:rFonts w:hint="eastAsia" w:ascii="宋体" w:hAnsi="Times New Roman" w:eastAsia="宋体" w:cs="@仿宋_GB2312"/>
          <w:sz w:val="24"/>
          <w:szCs w:val="18"/>
          <w:highlight w:val="none"/>
        </w:rPr>
        <w:t>人</w:t>
      </w:r>
      <w:r>
        <w:rPr>
          <w:rFonts w:ascii="宋体" w:hAnsi="Times New Roman" w:eastAsia="宋体" w:cs="@仿宋_GB2312"/>
          <w:sz w:val="24"/>
          <w:szCs w:val="18"/>
          <w:highlight w:val="none"/>
        </w:rPr>
        <w:t>在投标文件《主要</w:t>
      </w:r>
      <w:r>
        <w:rPr>
          <w:rFonts w:hint="eastAsia" w:ascii="宋体" w:hAnsi="Times New Roman" w:eastAsia="宋体" w:cs="@仿宋_GB2312"/>
          <w:sz w:val="24"/>
          <w:szCs w:val="18"/>
          <w:highlight w:val="none"/>
        </w:rPr>
        <w:t>中标</w:t>
      </w:r>
      <w:r>
        <w:rPr>
          <w:rFonts w:ascii="宋体" w:hAnsi="Times New Roman" w:eastAsia="宋体" w:cs="@仿宋_GB2312"/>
          <w:sz w:val="24"/>
          <w:szCs w:val="18"/>
          <w:highlight w:val="none"/>
        </w:rPr>
        <w:t>标的承诺函》中填写名称、</w:t>
      </w:r>
      <w:r>
        <w:rPr>
          <w:rFonts w:hint="eastAsia" w:ascii="宋体" w:hAnsi="Times New Roman" w:eastAsia="宋体" w:cs="@仿宋_GB2312"/>
          <w:sz w:val="24"/>
          <w:szCs w:val="18"/>
          <w:highlight w:val="none"/>
        </w:rPr>
        <w:t>品牌、</w:t>
      </w:r>
      <w:r>
        <w:rPr>
          <w:rFonts w:ascii="宋体" w:hAnsi="Times New Roman" w:eastAsia="宋体" w:cs="@仿宋_GB2312"/>
          <w:sz w:val="24"/>
          <w:szCs w:val="18"/>
          <w:highlight w:val="none"/>
        </w:rPr>
        <w:t>规格、型号、数量、单价等信息</w:t>
      </w:r>
      <w:r>
        <w:rPr>
          <w:rFonts w:hint="eastAsia" w:ascii="宋体" w:hAnsi="Times New Roman" w:eastAsia="宋体" w:cs="@仿宋_GB2312"/>
          <w:sz w:val="24"/>
          <w:szCs w:val="18"/>
          <w:highlight w:val="none"/>
        </w:rPr>
        <w:t>。</w:t>
      </w:r>
    </w:p>
    <w:p>
      <w:pPr>
        <w:spacing w:line="360" w:lineRule="auto"/>
        <w:ind w:firstLine="437"/>
        <w:outlineLvl w:val="1"/>
        <w:rPr>
          <w:rFonts w:ascii="宋体" w:hAnsi="Times New Roman" w:eastAsia="宋体" w:cs="@仿宋_GB2312"/>
          <w:b/>
          <w:sz w:val="24"/>
          <w:szCs w:val="18"/>
          <w:highlight w:val="none"/>
        </w:rPr>
      </w:pPr>
      <w:bookmarkStart w:id="1" w:name="_Toc32151"/>
      <w:bookmarkStart w:id="2" w:name="_Toc2554"/>
      <w:r>
        <w:rPr>
          <w:rFonts w:hint="eastAsia" w:ascii="宋体" w:hAnsi="Times New Roman" w:eastAsia="宋体" w:cs="@仿宋_GB2312"/>
          <w:b/>
          <w:sz w:val="24"/>
          <w:szCs w:val="18"/>
          <w:highlight w:val="none"/>
        </w:rPr>
        <w:t>一、采购需求前附表</w:t>
      </w:r>
      <w:bookmarkEnd w:id="1"/>
      <w:bookmarkEnd w:id="2"/>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widowControl w:val="0"/>
              <w:pBdr>
                <w:bottom w:val="none" w:color="auto" w:sz="0" w:space="0"/>
              </w:pBdr>
              <w:adjustRightInd/>
              <w:snapToGrid/>
              <w:spacing w:line="240" w:lineRule="auto"/>
              <w:jc w:val="center"/>
              <w:textAlignment w:val="auto"/>
              <w:rPr>
                <w:rFonts w:ascii="宋体" w:hAnsi="Times New Roman" w:eastAsia="宋体" w:cs="@仿宋_GB2312"/>
                <w:b/>
                <w:kern w:val="2"/>
                <w:sz w:val="24"/>
                <w:szCs w:val="20"/>
                <w:highlight w:val="none"/>
                <w:lang w:val="en-US" w:eastAsia="zh-CN" w:bidi="ar-SA"/>
              </w:rPr>
            </w:pPr>
            <w:r>
              <w:rPr>
                <w:rFonts w:hint="eastAsia" w:ascii="宋体" w:hAnsi="Times New Roman" w:eastAsia="宋体" w:cs="@仿宋_GB2312"/>
                <w:b/>
                <w:kern w:val="2"/>
                <w:sz w:val="24"/>
                <w:szCs w:val="20"/>
                <w:highlight w:val="none"/>
                <w:lang w:val="en-US" w:eastAsia="zh-CN" w:bidi="ar-SA"/>
              </w:rPr>
              <w:t>序号</w:t>
            </w:r>
          </w:p>
        </w:tc>
        <w:tc>
          <w:tcPr>
            <w:tcW w:w="1192" w:type="pct"/>
            <w:vAlign w:val="center"/>
          </w:tcPr>
          <w:p>
            <w:pPr>
              <w:widowControl w:val="0"/>
              <w:spacing w:before="0" w:beforeAutospacing="0" w:after="0" w:afterAutospacing="0" w:line="360" w:lineRule="auto"/>
              <w:jc w:val="center"/>
              <w:rPr>
                <w:rFonts w:ascii="宋体" w:hAnsi="Times New Roman" w:eastAsia="宋体" w:cs="@仿宋_GB2312"/>
                <w:b/>
                <w:bCs w:val="0"/>
                <w:kern w:val="0"/>
                <w:sz w:val="24"/>
                <w:szCs w:val="28"/>
                <w:highlight w:val="none"/>
                <w:lang w:val="en-US" w:eastAsia="zh-CN" w:bidi="ar-SA"/>
              </w:rPr>
            </w:pPr>
            <w:r>
              <w:rPr>
                <w:rFonts w:hint="eastAsia" w:ascii="宋体" w:hAnsi="Times New Roman" w:eastAsia="宋体" w:cs="@仿宋_GB2312"/>
                <w:b/>
                <w:bCs w:val="0"/>
                <w:kern w:val="0"/>
                <w:sz w:val="24"/>
                <w:szCs w:val="28"/>
                <w:highlight w:val="none"/>
                <w:lang w:val="en-US" w:eastAsia="zh-CN" w:bidi="ar-SA"/>
              </w:rPr>
              <w:t>条款名称</w:t>
            </w:r>
          </w:p>
        </w:tc>
        <w:tc>
          <w:tcPr>
            <w:tcW w:w="3217" w:type="pct"/>
            <w:vAlign w:val="center"/>
          </w:tcPr>
          <w:p>
            <w:pPr>
              <w:widowControl w:val="0"/>
              <w:spacing w:before="0" w:beforeAutospacing="0" w:after="0" w:afterAutospacing="0" w:line="360" w:lineRule="auto"/>
              <w:jc w:val="center"/>
              <w:rPr>
                <w:rFonts w:ascii="宋体" w:hAnsi="Times New Roman" w:eastAsia="宋体" w:cs="@仿宋_GB2312"/>
                <w:b/>
                <w:bCs w:val="0"/>
                <w:kern w:val="0"/>
                <w:sz w:val="24"/>
                <w:szCs w:val="28"/>
                <w:highlight w:val="none"/>
                <w:lang w:val="en-US" w:eastAsia="zh-CN" w:bidi="ar-SA"/>
              </w:rPr>
            </w:pPr>
            <w:r>
              <w:rPr>
                <w:rFonts w:hint="eastAsia" w:ascii="宋体" w:hAnsi="Times New Roman" w:eastAsia="宋体" w:cs="@仿宋_GB2312"/>
                <w:b/>
                <w:bCs w:val="0"/>
                <w:kern w:val="0"/>
                <w:sz w:val="24"/>
                <w:szCs w:val="28"/>
                <w:highlight w:val="none"/>
                <w:lang w:val="en-US" w:eastAsia="zh-CN" w:bidi="ar-SA"/>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widowControl w:val="0"/>
              <w:pBdr>
                <w:bottom w:val="none" w:color="auto" w:sz="0" w:space="0"/>
              </w:pBdr>
              <w:adjustRightInd/>
              <w:snapToGrid/>
              <w:spacing w:line="240" w:lineRule="auto"/>
              <w:jc w:val="center"/>
              <w:textAlignment w:val="auto"/>
              <w:rPr>
                <w:rFonts w:ascii="宋体" w:hAnsi="Times New Roman" w:eastAsia="宋体" w:cs="@仿宋_GB2312"/>
                <w:bCs/>
                <w:kern w:val="2"/>
                <w:sz w:val="24"/>
                <w:szCs w:val="20"/>
                <w:highlight w:val="none"/>
                <w:lang w:val="en-US" w:eastAsia="zh-CN" w:bidi="ar-SA"/>
              </w:rPr>
            </w:pPr>
            <w:r>
              <w:rPr>
                <w:rFonts w:hint="eastAsia" w:ascii="宋体" w:hAnsi="Times New Roman" w:eastAsia="宋体" w:cs="@仿宋_GB2312"/>
                <w:bCs/>
                <w:kern w:val="2"/>
                <w:sz w:val="24"/>
                <w:szCs w:val="20"/>
                <w:highlight w:val="none"/>
                <w:lang w:val="en-US" w:eastAsia="zh-CN" w:bidi="ar-SA"/>
              </w:rPr>
              <w:t>1</w:t>
            </w:r>
          </w:p>
        </w:tc>
        <w:tc>
          <w:tcPr>
            <w:tcW w:w="1192" w:type="pct"/>
            <w:vAlign w:val="center"/>
          </w:tcPr>
          <w:p>
            <w:pPr>
              <w:widowControl w:val="0"/>
              <w:spacing w:before="0" w:beforeAutospacing="0" w:after="0" w:afterAutospacing="0" w:line="360" w:lineRule="auto"/>
              <w:jc w:val="center"/>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付款方式</w:t>
            </w:r>
          </w:p>
        </w:tc>
        <w:tc>
          <w:tcPr>
            <w:tcW w:w="3217" w:type="pct"/>
            <w:vAlign w:val="center"/>
          </w:tcPr>
          <w:p>
            <w:pPr>
              <w:widowControl w:val="0"/>
              <w:spacing w:before="0" w:beforeAutospacing="0" w:after="0" w:afterAutospacing="0" w:line="360" w:lineRule="auto"/>
              <w:jc w:val="both"/>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经采购人验收合格后，一次性付清合同价款。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widowControl w:val="0"/>
              <w:pBdr>
                <w:bottom w:val="none" w:color="auto" w:sz="0" w:space="0"/>
              </w:pBdr>
              <w:adjustRightInd/>
              <w:snapToGrid/>
              <w:spacing w:line="240" w:lineRule="auto"/>
              <w:jc w:val="center"/>
              <w:textAlignment w:val="auto"/>
              <w:rPr>
                <w:rFonts w:ascii="宋体" w:hAnsi="Times New Roman" w:eastAsia="宋体" w:cs="@仿宋_GB2312"/>
                <w:bCs/>
                <w:kern w:val="2"/>
                <w:sz w:val="24"/>
                <w:szCs w:val="20"/>
                <w:highlight w:val="none"/>
                <w:lang w:val="en-US" w:eastAsia="zh-CN" w:bidi="ar-SA"/>
              </w:rPr>
            </w:pPr>
            <w:r>
              <w:rPr>
                <w:rFonts w:hint="eastAsia" w:ascii="宋体" w:hAnsi="Times New Roman" w:eastAsia="宋体" w:cs="@仿宋_GB2312"/>
                <w:bCs/>
                <w:kern w:val="2"/>
                <w:sz w:val="24"/>
                <w:szCs w:val="20"/>
                <w:highlight w:val="none"/>
                <w:lang w:val="en-US" w:eastAsia="zh-CN" w:bidi="ar-SA"/>
              </w:rPr>
              <w:t>2</w:t>
            </w:r>
          </w:p>
        </w:tc>
        <w:tc>
          <w:tcPr>
            <w:tcW w:w="1192" w:type="pct"/>
            <w:vAlign w:val="center"/>
          </w:tcPr>
          <w:p>
            <w:pPr>
              <w:widowControl w:val="0"/>
              <w:spacing w:before="0" w:beforeAutospacing="0" w:after="0" w:afterAutospacing="0" w:line="360" w:lineRule="auto"/>
              <w:jc w:val="center"/>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供货及安装地点</w:t>
            </w:r>
          </w:p>
        </w:tc>
        <w:tc>
          <w:tcPr>
            <w:tcW w:w="3217" w:type="pct"/>
            <w:vAlign w:val="center"/>
          </w:tcPr>
          <w:p>
            <w:pPr>
              <w:widowControl w:val="0"/>
              <w:spacing w:before="0" w:beforeAutospacing="0" w:after="0" w:afterAutospacing="0" w:line="360" w:lineRule="auto"/>
              <w:jc w:val="both"/>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皖南医学院滨江校区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widowControl w:val="0"/>
              <w:pBdr>
                <w:bottom w:val="none" w:color="auto" w:sz="0" w:space="0"/>
              </w:pBdr>
              <w:adjustRightInd/>
              <w:snapToGrid/>
              <w:spacing w:line="240" w:lineRule="auto"/>
              <w:jc w:val="center"/>
              <w:textAlignment w:val="auto"/>
              <w:rPr>
                <w:rFonts w:ascii="宋体" w:hAnsi="Times New Roman" w:eastAsia="宋体" w:cs="@仿宋_GB2312"/>
                <w:bCs/>
                <w:kern w:val="2"/>
                <w:sz w:val="24"/>
                <w:szCs w:val="20"/>
                <w:highlight w:val="none"/>
                <w:lang w:val="en-US" w:eastAsia="zh-CN" w:bidi="ar-SA"/>
              </w:rPr>
            </w:pPr>
            <w:r>
              <w:rPr>
                <w:rFonts w:hint="eastAsia" w:ascii="宋体" w:hAnsi="Times New Roman" w:eastAsia="宋体" w:cs="@仿宋_GB2312"/>
                <w:bCs/>
                <w:kern w:val="2"/>
                <w:sz w:val="24"/>
                <w:szCs w:val="20"/>
                <w:highlight w:val="none"/>
                <w:lang w:val="en-US" w:eastAsia="zh-CN" w:bidi="ar-SA"/>
              </w:rPr>
              <w:t>3</w:t>
            </w:r>
          </w:p>
        </w:tc>
        <w:tc>
          <w:tcPr>
            <w:tcW w:w="1192" w:type="pct"/>
            <w:vAlign w:val="center"/>
          </w:tcPr>
          <w:p>
            <w:pPr>
              <w:widowControl w:val="0"/>
              <w:spacing w:before="0" w:beforeAutospacing="0" w:after="0" w:afterAutospacing="0" w:line="360" w:lineRule="auto"/>
              <w:jc w:val="center"/>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供货及安装期限</w:t>
            </w:r>
          </w:p>
        </w:tc>
        <w:tc>
          <w:tcPr>
            <w:tcW w:w="3217" w:type="pct"/>
            <w:vAlign w:val="center"/>
          </w:tcPr>
          <w:p>
            <w:pPr>
              <w:widowControl w:val="0"/>
              <w:spacing w:before="0" w:beforeAutospacing="0" w:after="0" w:afterAutospacing="0" w:line="360" w:lineRule="auto"/>
              <w:jc w:val="both"/>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合同生效后90个</w:t>
            </w:r>
            <w:r>
              <w:rPr>
                <w:rFonts w:hint="default" w:ascii="宋体" w:hAnsi="Times New Roman" w:eastAsia="宋体" w:cs="@仿宋_GB2312"/>
                <w:b w:val="0"/>
                <w:bCs/>
                <w:kern w:val="0"/>
                <w:sz w:val="24"/>
                <w:szCs w:val="28"/>
                <w:highlight w:val="none"/>
                <w:lang w:val="en-US" w:eastAsia="zh-CN" w:bidi="ar-SA"/>
              </w:rPr>
              <w:t>日历天</w:t>
            </w:r>
            <w:r>
              <w:rPr>
                <w:rFonts w:hint="eastAsia" w:ascii="宋体" w:hAnsi="Times New Roman" w:eastAsia="宋体" w:cs="@仿宋_GB2312"/>
                <w:b w:val="0"/>
                <w:bCs/>
                <w:kern w:val="0"/>
                <w:sz w:val="24"/>
                <w:szCs w:val="28"/>
                <w:highlight w:val="none"/>
                <w:lang w:val="en-US" w:eastAsia="zh-CN" w:bidi="ar-SA"/>
              </w:rPr>
              <w:t>内完成供货及更换安装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widowControl w:val="0"/>
              <w:pBdr>
                <w:bottom w:val="none" w:color="auto" w:sz="0" w:space="0"/>
              </w:pBdr>
              <w:adjustRightInd/>
              <w:snapToGrid/>
              <w:spacing w:line="240" w:lineRule="auto"/>
              <w:jc w:val="center"/>
              <w:textAlignment w:val="auto"/>
              <w:rPr>
                <w:rFonts w:ascii="宋体" w:hAnsi="Times New Roman" w:eastAsia="宋体" w:cs="@仿宋_GB2312"/>
                <w:bCs/>
                <w:kern w:val="2"/>
                <w:sz w:val="24"/>
                <w:szCs w:val="20"/>
                <w:highlight w:val="none"/>
                <w:lang w:val="en-US" w:eastAsia="zh-CN" w:bidi="ar-SA"/>
              </w:rPr>
            </w:pPr>
            <w:r>
              <w:rPr>
                <w:rFonts w:hint="eastAsia" w:ascii="宋体" w:hAnsi="Times New Roman" w:eastAsia="宋体" w:cs="@仿宋_GB2312"/>
                <w:bCs/>
                <w:kern w:val="2"/>
                <w:sz w:val="24"/>
                <w:szCs w:val="20"/>
                <w:highlight w:val="none"/>
                <w:lang w:val="en-US" w:eastAsia="zh-CN" w:bidi="ar-SA"/>
              </w:rPr>
              <w:t>4</w:t>
            </w:r>
          </w:p>
        </w:tc>
        <w:tc>
          <w:tcPr>
            <w:tcW w:w="1192" w:type="pct"/>
            <w:vAlign w:val="center"/>
          </w:tcPr>
          <w:p>
            <w:pPr>
              <w:widowControl w:val="0"/>
              <w:spacing w:before="0" w:beforeAutospacing="0" w:after="0" w:afterAutospacing="0" w:line="360" w:lineRule="auto"/>
              <w:jc w:val="center"/>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免费质保期</w:t>
            </w:r>
          </w:p>
        </w:tc>
        <w:tc>
          <w:tcPr>
            <w:tcW w:w="3217" w:type="pct"/>
            <w:vAlign w:val="center"/>
          </w:tcPr>
          <w:p>
            <w:pPr>
              <w:widowControl w:val="0"/>
              <w:spacing w:before="0" w:beforeAutospacing="0" w:after="0" w:afterAutospacing="0" w:line="360" w:lineRule="auto"/>
              <w:jc w:val="both"/>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验收合格之日起2年</w:t>
            </w:r>
          </w:p>
        </w:tc>
      </w:tr>
    </w:tbl>
    <w:p>
      <w:pPr>
        <w:spacing w:line="360" w:lineRule="auto"/>
        <w:ind w:firstLine="437"/>
        <w:outlineLvl w:val="1"/>
        <w:rPr>
          <w:rFonts w:ascii="宋体" w:hAnsi="Times New Roman" w:eastAsia="宋体" w:cs="@仿宋_GB2312"/>
          <w:b/>
          <w:bCs/>
          <w:sz w:val="24"/>
          <w:szCs w:val="18"/>
          <w:highlight w:val="none"/>
        </w:rPr>
      </w:pPr>
      <w:bookmarkStart w:id="3" w:name="_Toc5944"/>
      <w:bookmarkStart w:id="4" w:name="_Toc7671"/>
      <w:r>
        <w:rPr>
          <w:rFonts w:hint="eastAsia" w:ascii="宋体" w:hAnsi="Times New Roman" w:eastAsia="宋体" w:cs="@仿宋_GB2312"/>
          <w:b/>
          <w:bCs/>
          <w:sz w:val="24"/>
          <w:szCs w:val="18"/>
          <w:highlight w:val="none"/>
        </w:rPr>
        <w:t>二、项目概况</w:t>
      </w:r>
    </w:p>
    <w:p>
      <w:pPr>
        <w:spacing w:line="360" w:lineRule="auto"/>
        <w:ind w:firstLine="435"/>
        <w:rPr>
          <w:rFonts w:ascii="宋体" w:hAnsi="Times New Roman" w:eastAsia="宋体" w:cs="@仿宋_GB2312"/>
          <w:b/>
          <w:bCs/>
          <w:sz w:val="24"/>
          <w:szCs w:val="18"/>
          <w:highlight w:val="none"/>
        </w:rPr>
      </w:pPr>
      <w:r>
        <w:rPr>
          <w:rFonts w:hint="eastAsia" w:ascii="宋体" w:hAnsi="Times New Roman" w:eastAsia="宋体" w:cs="宋体"/>
          <w:sz w:val="24"/>
          <w:szCs w:val="24"/>
          <w:highlight w:val="none"/>
        </w:rPr>
        <w:t>皖南医学院滨江校区中心电房、4号电房和6号电房总计四台老式变压器进行更换。其中更换中心电房变压器两台，变压器容量分别为500KVA和630KVA；4号电房变压器一台，容量为500KVA；6号电房（图书信息大楼地下室）电房变压器一台，容量为800KVA；采购以上的变压器设备包含现有老旧变压器拆除；新采购变压器的到货安装后续调试施工等所有内容。</w:t>
      </w:r>
    </w:p>
    <w:p>
      <w:pPr>
        <w:rPr>
          <w:rFonts w:ascii="宋体" w:hAnsi="Times New Roman" w:eastAsia="宋体" w:cs="@仿宋_GB2312"/>
          <w:b/>
          <w:bCs/>
          <w:sz w:val="24"/>
          <w:szCs w:val="18"/>
          <w:highlight w:val="none"/>
        </w:rPr>
      </w:pPr>
      <w:r>
        <w:rPr>
          <w:rFonts w:ascii="宋体" w:hAnsi="Times New Roman" w:eastAsia="宋体" w:cs="@仿宋_GB2312"/>
          <w:b/>
          <w:bCs/>
          <w:sz w:val="24"/>
          <w:szCs w:val="18"/>
          <w:highlight w:val="none"/>
        </w:rPr>
        <w:br w:type="page"/>
      </w:r>
    </w:p>
    <w:p>
      <w:pPr>
        <w:numPr>
          <w:ilvl w:val="0"/>
          <w:numId w:val="1"/>
        </w:numPr>
        <w:kinsoku w:val="0"/>
        <w:autoSpaceDE w:val="0"/>
        <w:autoSpaceDN w:val="0"/>
        <w:adjustRightInd w:val="0"/>
        <w:snapToGrid w:val="0"/>
        <w:spacing w:before="170" w:line="223" w:lineRule="auto"/>
        <w:ind w:left="0" w:firstLine="0"/>
        <w:jc w:val="left"/>
        <w:textAlignment w:val="baseline"/>
        <w:outlineLvl w:val="1"/>
        <w:rPr>
          <w:rFonts w:ascii="宋体" w:hAnsi="Times New Roman" w:eastAsia="宋体" w:cs="@仿宋_GB2312"/>
          <w:b/>
          <w:sz w:val="24"/>
          <w:szCs w:val="18"/>
          <w:highlight w:val="none"/>
        </w:rPr>
      </w:pPr>
      <w:r>
        <w:rPr>
          <w:rFonts w:hint="eastAsia" w:ascii="宋体" w:hAnsi="Times New Roman" w:eastAsia="宋体" w:cs="@仿宋_GB2312"/>
          <w:b/>
          <w:sz w:val="24"/>
          <w:szCs w:val="18"/>
          <w:highlight w:val="none"/>
        </w:rPr>
        <w:t>采购需求</w:t>
      </w:r>
    </w:p>
    <w:p>
      <w:pPr>
        <w:widowControl w:val="0"/>
        <w:spacing w:line="500" w:lineRule="exact"/>
        <w:ind w:left="0" w:firstLine="482" w:firstLineChars="200"/>
        <w:jc w:val="both"/>
        <w:rPr>
          <w:rFonts w:ascii="宋体" w:hAnsi="Times New Roman" w:eastAsia="宋体" w:cs="宋体"/>
          <w:b/>
          <w:bCs/>
          <w:kern w:val="2"/>
          <w:sz w:val="24"/>
          <w:szCs w:val="24"/>
          <w:highlight w:val="none"/>
          <w:lang w:val="en-US" w:eastAsia="zh-CN" w:bidi="ar-SA"/>
        </w:rPr>
      </w:pPr>
      <w:r>
        <w:rPr>
          <w:rFonts w:hint="eastAsia" w:ascii="宋体" w:hAnsi="Times New Roman" w:eastAsia="宋体" w:cs="宋体"/>
          <w:b/>
          <w:bCs/>
          <w:kern w:val="2"/>
          <w:sz w:val="24"/>
          <w:szCs w:val="24"/>
          <w:highlight w:val="none"/>
          <w:lang w:val="en-US" w:eastAsia="zh-CN" w:bidi="ar-SA"/>
        </w:rPr>
        <w:t>（一）货物需求说明</w:t>
      </w:r>
    </w:p>
    <w:tbl>
      <w:tblPr>
        <w:tblStyle w:val="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935"/>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pPr>
              <w:widowControl w:val="0"/>
              <w:spacing w:line="500" w:lineRule="exact"/>
              <w:ind w:left="0" w:firstLine="0" w:firstLineChars="0"/>
              <w:jc w:val="center"/>
              <w:rPr>
                <w:rFonts w:ascii="宋体" w:hAnsi="Times New Roman" w:eastAsia="宋体" w:cs="宋体"/>
                <w:kern w:val="2"/>
                <w:sz w:val="24"/>
                <w:szCs w:val="24"/>
                <w:highlight w:val="none"/>
                <w:lang w:val="en-US" w:eastAsia="zh-CN" w:bidi="ar-SA"/>
              </w:rPr>
            </w:pPr>
            <w:r>
              <w:rPr>
                <w:rFonts w:hint="eastAsia" w:ascii="宋体" w:hAnsi="Times New Roman" w:eastAsia="宋体" w:cs="宋体"/>
                <w:kern w:val="2"/>
                <w:sz w:val="24"/>
                <w:szCs w:val="24"/>
                <w:highlight w:val="none"/>
                <w:lang w:val="en-US" w:eastAsia="zh-CN" w:bidi="ar-SA"/>
              </w:rPr>
              <w:t>需求内容类别</w:t>
            </w:r>
          </w:p>
        </w:tc>
        <w:tc>
          <w:tcPr>
            <w:tcW w:w="1935" w:type="dxa"/>
          </w:tcPr>
          <w:p>
            <w:pPr>
              <w:widowControl w:val="0"/>
              <w:spacing w:line="500" w:lineRule="exact"/>
              <w:ind w:left="0" w:firstLine="0" w:firstLineChars="0"/>
              <w:jc w:val="center"/>
              <w:rPr>
                <w:rFonts w:ascii="宋体" w:hAnsi="Times New Roman" w:eastAsia="宋体" w:cs="宋体"/>
                <w:kern w:val="2"/>
                <w:sz w:val="24"/>
                <w:szCs w:val="24"/>
                <w:highlight w:val="none"/>
                <w:lang w:val="en-US" w:eastAsia="zh-CN" w:bidi="ar-SA"/>
              </w:rPr>
            </w:pPr>
            <w:r>
              <w:rPr>
                <w:rFonts w:hint="eastAsia" w:ascii="宋体" w:hAnsi="Times New Roman" w:eastAsia="宋体" w:cs="宋体"/>
                <w:kern w:val="2"/>
                <w:sz w:val="24"/>
                <w:szCs w:val="24"/>
                <w:highlight w:val="none"/>
                <w:lang w:val="en-US" w:eastAsia="zh-CN" w:bidi="ar-SA"/>
              </w:rPr>
              <w:t>标识符号</w:t>
            </w:r>
          </w:p>
        </w:tc>
        <w:tc>
          <w:tcPr>
            <w:tcW w:w="4713" w:type="dxa"/>
          </w:tcPr>
          <w:p>
            <w:pPr>
              <w:widowControl w:val="0"/>
              <w:spacing w:line="500" w:lineRule="exact"/>
              <w:ind w:left="420" w:firstLine="480" w:firstLineChars="200"/>
              <w:jc w:val="center"/>
              <w:rPr>
                <w:rFonts w:ascii="宋体" w:hAnsi="Times New Roman" w:eastAsia="宋体" w:cs="宋体"/>
                <w:kern w:val="2"/>
                <w:sz w:val="24"/>
                <w:szCs w:val="24"/>
                <w:highlight w:val="none"/>
                <w:lang w:val="en-US" w:eastAsia="zh-CN" w:bidi="ar-SA"/>
              </w:rPr>
            </w:pPr>
            <w:r>
              <w:rPr>
                <w:rFonts w:hint="eastAsia" w:ascii="宋体" w:hAnsi="Times New Roman" w:eastAsia="宋体" w:cs="宋体"/>
                <w:kern w:val="2"/>
                <w:sz w:val="24"/>
                <w:szCs w:val="24"/>
                <w:highlight w:val="none"/>
                <w:lang w:val="en-US" w:eastAsia="zh-CN" w:bidi="ar-SA"/>
              </w:rPr>
              <w:t>投标要求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pPr>
              <w:widowControl w:val="0"/>
              <w:spacing w:line="500" w:lineRule="exact"/>
              <w:ind w:left="0" w:firstLine="0" w:firstLineChars="0"/>
              <w:jc w:val="center"/>
              <w:rPr>
                <w:rFonts w:ascii="宋体" w:hAnsi="Times New Roman" w:eastAsia="宋体" w:cs="宋体"/>
                <w:kern w:val="2"/>
                <w:sz w:val="24"/>
                <w:szCs w:val="24"/>
                <w:highlight w:val="none"/>
                <w:lang w:val="en-US" w:eastAsia="zh-CN" w:bidi="ar-SA"/>
              </w:rPr>
            </w:pPr>
            <w:r>
              <w:rPr>
                <w:rFonts w:hint="eastAsia" w:ascii="宋体" w:hAnsi="Times New Roman" w:eastAsia="宋体" w:cs="宋体"/>
                <w:kern w:val="2"/>
                <w:sz w:val="24"/>
                <w:szCs w:val="24"/>
                <w:highlight w:val="none"/>
                <w:lang w:val="en-US" w:eastAsia="zh-CN" w:bidi="ar-SA"/>
              </w:rPr>
              <w:t>技术要求</w:t>
            </w:r>
          </w:p>
        </w:tc>
        <w:tc>
          <w:tcPr>
            <w:tcW w:w="1935" w:type="dxa"/>
          </w:tcPr>
          <w:p>
            <w:pPr>
              <w:widowControl w:val="0"/>
              <w:spacing w:line="500" w:lineRule="exact"/>
              <w:ind w:left="0" w:firstLine="0" w:firstLineChars="0"/>
              <w:jc w:val="center"/>
              <w:rPr>
                <w:rFonts w:ascii="宋体" w:hAnsi="Times New Roman" w:eastAsia="宋体" w:cs="宋体"/>
                <w:kern w:val="2"/>
                <w:sz w:val="24"/>
                <w:szCs w:val="24"/>
                <w:highlight w:val="none"/>
                <w:lang w:val="en-US" w:eastAsia="zh-CN" w:bidi="ar-SA"/>
              </w:rPr>
            </w:pPr>
            <w:r>
              <w:rPr>
                <w:rFonts w:hint="eastAsia" w:ascii="宋体" w:hAnsi="Times New Roman" w:eastAsia="宋体" w:cs="宋体"/>
                <w:kern w:val="2"/>
                <w:sz w:val="24"/>
                <w:szCs w:val="24"/>
                <w:highlight w:val="none"/>
                <w:lang w:val="en-US" w:eastAsia="zh-CN" w:bidi="ar-SA"/>
              </w:rPr>
              <w:t>无</w:t>
            </w:r>
          </w:p>
        </w:tc>
        <w:tc>
          <w:tcPr>
            <w:tcW w:w="4713" w:type="dxa"/>
          </w:tcPr>
          <w:p>
            <w:pPr>
              <w:widowControl w:val="0"/>
              <w:spacing w:line="500" w:lineRule="exact"/>
              <w:ind w:left="0" w:firstLine="0" w:firstLineChars="0"/>
              <w:jc w:val="left"/>
              <w:rPr>
                <w:rFonts w:ascii="宋体" w:hAnsi="Times New Roman" w:eastAsia="宋体" w:cs="宋体"/>
                <w:kern w:val="2"/>
                <w:sz w:val="24"/>
                <w:szCs w:val="24"/>
                <w:highlight w:val="none"/>
                <w:lang w:val="en-US" w:eastAsia="zh-CN" w:bidi="ar-SA"/>
              </w:rPr>
            </w:pPr>
            <w:r>
              <w:rPr>
                <w:rFonts w:hint="eastAsia" w:ascii="宋体" w:hAnsi="Times New Roman" w:eastAsia="宋体" w:cs="宋体"/>
                <w:kern w:val="2"/>
                <w:sz w:val="24"/>
                <w:szCs w:val="24"/>
                <w:highlight w:val="none"/>
                <w:lang w:val="en-US" w:eastAsia="zh-CN" w:bidi="ar-SA"/>
              </w:rPr>
              <w:t>最大允许偏离</w:t>
            </w:r>
            <w:r>
              <w:rPr>
                <w:rFonts w:hint="eastAsia" w:ascii="宋体" w:hAnsi="Times New Roman" w:eastAsia="宋体" w:cs="宋体"/>
                <w:kern w:val="2"/>
                <w:sz w:val="24"/>
                <w:szCs w:val="24"/>
                <w:highlight w:val="none"/>
                <w:u w:val="single"/>
                <w:lang w:val="en-US" w:eastAsia="zh-CN" w:bidi="ar-SA"/>
              </w:rPr>
              <w:t>1</w:t>
            </w:r>
            <w:r>
              <w:rPr>
                <w:rFonts w:hint="eastAsia" w:ascii="宋体" w:hAnsi="Times New Roman" w:eastAsia="宋体" w:cs="宋体"/>
                <w:kern w:val="2"/>
                <w:sz w:val="24"/>
                <w:szCs w:val="24"/>
                <w:highlight w:val="none"/>
                <w:lang w:val="en-US" w:eastAsia="zh-CN" w:bidi="ar-SA"/>
              </w:rPr>
              <w:t>项，超过最大允许偏离项数的，投标无效。</w:t>
            </w:r>
          </w:p>
        </w:tc>
      </w:tr>
    </w:tbl>
    <w:p>
      <w:pPr>
        <w:widowControl w:val="0"/>
        <w:ind w:left="0" w:firstLine="482" w:firstLineChars="200"/>
        <w:jc w:val="both"/>
        <w:rPr>
          <w:rFonts w:ascii="宋体" w:hAnsi="Times New Roman" w:eastAsia="宋体" w:cs="宋体"/>
          <w:b/>
          <w:bCs/>
          <w:kern w:val="2"/>
          <w:sz w:val="24"/>
          <w:szCs w:val="24"/>
          <w:highlight w:val="none"/>
          <w:lang w:val="en-US" w:eastAsia="zh-CN" w:bidi="ar-SA"/>
        </w:rPr>
      </w:pPr>
    </w:p>
    <w:p>
      <w:pPr>
        <w:widowControl w:val="0"/>
        <w:ind w:left="0" w:firstLine="482" w:firstLineChars="200"/>
        <w:jc w:val="both"/>
        <w:rPr>
          <w:rFonts w:ascii="宋体" w:hAnsi="Times New Roman" w:eastAsia="宋体" w:cs="宋体"/>
          <w:b/>
          <w:bCs/>
          <w:kern w:val="2"/>
          <w:sz w:val="24"/>
          <w:szCs w:val="24"/>
          <w:highlight w:val="none"/>
          <w:lang w:val="en-US" w:eastAsia="zh-CN" w:bidi="ar-SA"/>
        </w:rPr>
      </w:pPr>
      <w:r>
        <w:rPr>
          <w:rFonts w:hint="eastAsia" w:ascii="宋体" w:hAnsi="Times New Roman" w:eastAsia="宋体" w:cs="宋体"/>
          <w:b/>
          <w:bCs/>
          <w:kern w:val="2"/>
          <w:sz w:val="24"/>
          <w:szCs w:val="24"/>
          <w:highlight w:val="none"/>
          <w:lang w:val="en-US" w:eastAsia="zh-CN" w:bidi="ar-SA"/>
        </w:rPr>
        <w:t>（二）货物需求清单</w:t>
      </w:r>
    </w:p>
    <w:tbl>
      <w:tblPr>
        <w:tblStyle w:val="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420"/>
        <w:gridCol w:w="3493"/>
        <w:gridCol w:w="982"/>
        <w:gridCol w:w="751"/>
        <w:gridCol w:w="943"/>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4" w:type="pct"/>
            <w:vAlign w:val="center"/>
          </w:tcPr>
          <w:p>
            <w:pPr>
              <w:kinsoku w:val="0"/>
              <w:autoSpaceDE w:val="0"/>
              <w:autoSpaceDN w:val="0"/>
              <w:adjustRightInd w:val="0"/>
              <w:snapToGrid w:val="0"/>
              <w:spacing w:before="170" w:line="223" w:lineRule="auto"/>
              <w:jc w:val="center"/>
              <w:textAlignment w:val="baseline"/>
              <w:outlineLvl w:val="0"/>
              <w:rPr>
                <w:rFonts w:ascii="宋体" w:hAnsi="Times New Roman" w:eastAsia="宋体" w:cs="@仿宋_GB2312"/>
                <w:b/>
                <w:bCs/>
                <w:sz w:val="24"/>
                <w:szCs w:val="18"/>
                <w:highlight w:val="none"/>
              </w:rPr>
            </w:pPr>
            <w:r>
              <w:rPr>
                <w:rFonts w:hint="eastAsia" w:ascii="宋体" w:hAnsi="Times New Roman" w:eastAsia="宋体" w:cs="@仿宋_GB2312"/>
                <w:b/>
                <w:bCs/>
                <w:sz w:val="24"/>
                <w:szCs w:val="18"/>
                <w:highlight w:val="none"/>
              </w:rPr>
              <w:t>序号</w:t>
            </w:r>
          </w:p>
        </w:tc>
        <w:tc>
          <w:tcPr>
            <w:tcW w:w="833" w:type="pct"/>
            <w:vAlign w:val="center"/>
          </w:tcPr>
          <w:p>
            <w:pPr>
              <w:kinsoku w:val="0"/>
              <w:autoSpaceDE w:val="0"/>
              <w:autoSpaceDN w:val="0"/>
              <w:adjustRightInd w:val="0"/>
              <w:snapToGrid w:val="0"/>
              <w:spacing w:before="170" w:line="223" w:lineRule="auto"/>
              <w:jc w:val="center"/>
              <w:textAlignment w:val="baseline"/>
              <w:outlineLvl w:val="0"/>
              <w:rPr>
                <w:rFonts w:ascii="宋体" w:hAnsi="Times New Roman" w:eastAsia="宋体" w:cs="@仿宋_GB2312"/>
                <w:b/>
                <w:bCs/>
                <w:sz w:val="24"/>
                <w:szCs w:val="18"/>
                <w:highlight w:val="none"/>
              </w:rPr>
            </w:pPr>
            <w:r>
              <w:rPr>
                <w:rFonts w:hint="eastAsia" w:ascii="宋体" w:hAnsi="Times New Roman" w:eastAsia="宋体" w:cs="@仿宋_GB2312"/>
                <w:b/>
                <w:bCs/>
                <w:sz w:val="24"/>
                <w:szCs w:val="18"/>
                <w:highlight w:val="none"/>
              </w:rPr>
              <w:t>货物名称</w:t>
            </w:r>
          </w:p>
        </w:tc>
        <w:tc>
          <w:tcPr>
            <w:tcW w:w="2050" w:type="pct"/>
            <w:vAlign w:val="center"/>
          </w:tcPr>
          <w:p>
            <w:pPr>
              <w:kinsoku w:val="0"/>
              <w:autoSpaceDE w:val="0"/>
              <w:autoSpaceDN w:val="0"/>
              <w:adjustRightInd w:val="0"/>
              <w:snapToGrid w:val="0"/>
              <w:spacing w:before="170" w:line="223" w:lineRule="auto"/>
              <w:jc w:val="center"/>
              <w:textAlignment w:val="baseline"/>
              <w:outlineLvl w:val="0"/>
              <w:rPr>
                <w:rFonts w:ascii="宋体" w:hAnsi="Times New Roman" w:eastAsia="宋体" w:cs="@仿宋_GB2312"/>
                <w:b/>
                <w:bCs/>
                <w:sz w:val="24"/>
                <w:szCs w:val="18"/>
                <w:highlight w:val="none"/>
              </w:rPr>
            </w:pPr>
            <w:r>
              <w:rPr>
                <w:rFonts w:hint="eastAsia" w:ascii="宋体" w:hAnsi="Times New Roman" w:eastAsia="宋体" w:cs="@仿宋_GB2312"/>
                <w:b/>
                <w:bCs/>
                <w:sz w:val="24"/>
                <w:szCs w:val="18"/>
                <w:highlight w:val="none"/>
              </w:rPr>
              <w:t>技术参数及要求（部分）</w:t>
            </w:r>
          </w:p>
        </w:tc>
        <w:tc>
          <w:tcPr>
            <w:tcW w:w="577" w:type="pct"/>
            <w:vAlign w:val="center"/>
          </w:tcPr>
          <w:p>
            <w:pPr>
              <w:kinsoku w:val="0"/>
              <w:autoSpaceDE w:val="0"/>
              <w:autoSpaceDN w:val="0"/>
              <w:adjustRightInd w:val="0"/>
              <w:snapToGrid w:val="0"/>
              <w:spacing w:before="170" w:line="223" w:lineRule="auto"/>
              <w:jc w:val="center"/>
              <w:textAlignment w:val="baseline"/>
              <w:outlineLvl w:val="0"/>
              <w:rPr>
                <w:rFonts w:ascii="宋体" w:hAnsi="Times New Roman" w:eastAsia="宋体" w:cs="@仿宋_GB2312"/>
                <w:b/>
                <w:bCs/>
                <w:sz w:val="24"/>
                <w:szCs w:val="18"/>
                <w:highlight w:val="none"/>
              </w:rPr>
            </w:pPr>
            <w:r>
              <w:rPr>
                <w:rFonts w:hint="eastAsia" w:ascii="宋体" w:hAnsi="Times New Roman" w:eastAsia="宋体" w:cs="@仿宋_GB2312"/>
                <w:b/>
                <w:bCs/>
                <w:sz w:val="24"/>
                <w:szCs w:val="18"/>
                <w:highlight w:val="none"/>
              </w:rPr>
              <w:t>数量</w:t>
            </w:r>
          </w:p>
          <w:p>
            <w:pPr>
              <w:kinsoku w:val="0"/>
              <w:autoSpaceDE w:val="0"/>
              <w:autoSpaceDN w:val="0"/>
              <w:adjustRightInd w:val="0"/>
              <w:snapToGrid w:val="0"/>
              <w:spacing w:before="170" w:line="223" w:lineRule="auto"/>
              <w:jc w:val="center"/>
              <w:textAlignment w:val="baseline"/>
              <w:outlineLvl w:val="0"/>
              <w:rPr>
                <w:rFonts w:ascii="宋体" w:hAnsi="Times New Roman" w:eastAsia="宋体" w:cs="@仿宋_GB2312"/>
                <w:b/>
                <w:bCs/>
                <w:sz w:val="24"/>
                <w:szCs w:val="18"/>
                <w:highlight w:val="none"/>
              </w:rPr>
            </w:pPr>
            <w:r>
              <w:rPr>
                <w:rFonts w:hint="eastAsia" w:ascii="宋体" w:hAnsi="Times New Roman" w:eastAsia="宋体" w:cs="@仿宋_GB2312"/>
                <w:b/>
                <w:bCs/>
                <w:sz w:val="24"/>
                <w:szCs w:val="18"/>
                <w:highlight w:val="none"/>
              </w:rPr>
              <w:t>（单位）</w:t>
            </w:r>
          </w:p>
        </w:tc>
        <w:tc>
          <w:tcPr>
            <w:tcW w:w="441" w:type="pct"/>
            <w:vAlign w:val="center"/>
          </w:tcPr>
          <w:p>
            <w:pPr>
              <w:kinsoku w:val="0"/>
              <w:autoSpaceDE w:val="0"/>
              <w:autoSpaceDN w:val="0"/>
              <w:adjustRightInd w:val="0"/>
              <w:snapToGrid w:val="0"/>
              <w:spacing w:before="170" w:line="223" w:lineRule="auto"/>
              <w:jc w:val="center"/>
              <w:textAlignment w:val="baseline"/>
              <w:outlineLvl w:val="0"/>
              <w:rPr>
                <w:rFonts w:ascii="宋体" w:hAnsi="Times New Roman" w:eastAsia="宋体" w:cs="@仿宋_GB2312"/>
                <w:b/>
                <w:bCs/>
                <w:sz w:val="24"/>
                <w:szCs w:val="18"/>
                <w:highlight w:val="none"/>
              </w:rPr>
            </w:pPr>
            <w:r>
              <w:rPr>
                <w:rFonts w:hint="eastAsia" w:ascii="宋体" w:hAnsi="Times New Roman" w:eastAsia="宋体" w:cs="@仿宋_GB2312"/>
                <w:b/>
                <w:bCs/>
                <w:sz w:val="24"/>
                <w:szCs w:val="18"/>
                <w:highlight w:val="none"/>
              </w:rPr>
              <w:t>所属</w:t>
            </w:r>
          </w:p>
          <w:p>
            <w:pPr>
              <w:kinsoku w:val="0"/>
              <w:autoSpaceDE w:val="0"/>
              <w:autoSpaceDN w:val="0"/>
              <w:adjustRightInd w:val="0"/>
              <w:snapToGrid w:val="0"/>
              <w:spacing w:before="170" w:line="223" w:lineRule="auto"/>
              <w:jc w:val="center"/>
              <w:textAlignment w:val="baseline"/>
              <w:outlineLvl w:val="0"/>
              <w:rPr>
                <w:rFonts w:ascii="宋体" w:hAnsi="Times New Roman" w:eastAsia="宋体" w:cs="@仿宋_GB2312"/>
                <w:b/>
                <w:bCs/>
                <w:sz w:val="24"/>
                <w:szCs w:val="18"/>
                <w:highlight w:val="none"/>
              </w:rPr>
            </w:pPr>
            <w:r>
              <w:rPr>
                <w:rFonts w:hint="eastAsia" w:ascii="宋体" w:hAnsi="Times New Roman" w:eastAsia="宋体" w:cs="@仿宋_GB2312"/>
                <w:b/>
                <w:bCs/>
                <w:sz w:val="24"/>
                <w:szCs w:val="18"/>
                <w:highlight w:val="none"/>
              </w:rPr>
              <w:t>行业</w:t>
            </w:r>
          </w:p>
        </w:tc>
        <w:tc>
          <w:tcPr>
            <w:tcW w:w="554" w:type="pct"/>
            <w:vAlign w:val="center"/>
          </w:tcPr>
          <w:p>
            <w:pPr>
              <w:kinsoku w:val="0"/>
              <w:autoSpaceDE w:val="0"/>
              <w:autoSpaceDN w:val="0"/>
              <w:adjustRightInd w:val="0"/>
              <w:snapToGrid w:val="0"/>
              <w:spacing w:before="170" w:line="223" w:lineRule="auto"/>
              <w:jc w:val="center"/>
              <w:textAlignment w:val="baseline"/>
              <w:outlineLvl w:val="0"/>
              <w:rPr>
                <w:rFonts w:ascii="宋体" w:hAnsi="Times New Roman" w:eastAsia="宋体" w:cs="@仿宋_GB2312"/>
                <w:b/>
                <w:bCs/>
                <w:sz w:val="24"/>
                <w:szCs w:val="18"/>
                <w:highlight w:val="none"/>
              </w:rPr>
            </w:pPr>
            <w:r>
              <w:rPr>
                <w:rFonts w:hint="eastAsia" w:ascii="宋体" w:hAnsi="Times New Roman" w:eastAsia="宋体" w:cs="@仿宋_GB2312"/>
                <w:b/>
                <w:bCs/>
                <w:sz w:val="24"/>
                <w:szCs w:val="18"/>
                <w:highlight w:val="none"/>
              </w:rPr>
              <w:t>是否为核心产品</w:t>
            </w:r>
          </w:p>
        </w:tc>
        <w:tc>
          <w:tcPr>
            <w:tcW w:w="277" w:type="pct"/>
            <w:vAlign w:val="center"/>
          </w:tcPr>
          <w:p>
            <w:pPr>
              <w:kinsoku w:val="0"/>
              <w:autoSpaceDE w:val="0"/>
              <w:autoSpaceDN w:val="0"/>
              <w:adjustRightInd w:val="0"/>
              <w:snapToGrid w:val="0"/>
              <w:spacing w:before="170" w:line="223" w:lineRule="auto"/>
              <w:jc w:val="center"/>
              <w:textAlignment w:val="baseline"/>
              <w:outlineLvl w:val="0"/>
              <w:rPr>
                <w:rFonts w:ascii="宋体" w:hAnsi="Times New Roman" w:eastAsia="宋体" w:cs="@仿宋_GB2312"/>
                <w:b/>
                <w:bCs/>
                <w:sz w:val="24"/>
                <w:szCs w:val="18"/>
                <w:highlight w:val="none"/>
              </w:rPr>
            </w:pPr>
            <w:r>
              <w:rPr>
                <w:rFonts w:hint="eastAsia" w:ascii="宋体" w:hAnsi="Times New Roman" w:eastAsia="宋体" w:cs="@仿宋_GB2312"/>
                <w:b/>
                <w:bCs/>
                <w:sz w:val="24"/>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4" w:type="pct"/>
            <w:vAlign w:val="center"/>
          </w:tcPr>
          <w:p>
            <w:pPr>
              <w:spacing w:line="360" w:lineRule="auto"/>
              <w:jc w:val="center"/>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1</w:t>
            </w:r>
          </w:p>
        </w:tc>
        <w:tc>
          <w:tcPr>
            <w:tcW w:w="833" w:type="pct"/>
            <w:vAlign w:val="center"/>
          </w:tcPr>
          <w:p>
            <w:pPr>
              <w:kinsoku w:val="0"/>
              <w:autoSpaceDE w:val="0"/>
              <w:autoSpaceDN w:val="0"/>
              <w:adjustRightInd w:val="0"/>
              <w:snapToGrid w:val="0"/>
              <w:spacing w:before="78" w:line="247" w:lineRule="auto"/>
              <w:ind w:left="164" w:right="135" w:hanging="18"/>
              <w:jc w:val="center"/>
              <w:textAlignment w:val="baseline"/>
              <w:rPr>
                <w:rFonts w:ascii="宋体" w:hAnsi="Times New Roman" w:eastAsia="宋体" w:cs="@仿宋_GB2312"/>
                <w:bCs/>
                <w:sz w:val="24"/>
                <w:szCs w:val="18"/>
                <w:highlight w:val="none"/>
              </w:rPr>
            </w:pPr>
            <w:r>
              <w:rPr>
                <w:rFonts w:hint="eastAsia" w:ascii="宋体" w:hAnsi="Times New Roman" w:eastAsia="宋体" w:cs="仿宋"/>
                <w:snapToGrid w:val="0"/>
                <w:kern w:val="0"/>
                <w:szCs w:val="21"/>
                <w:highlight w:val="none"/>
              </w:rPr>
              <w:t>干式变压器SCB14-500/10</w:t>
            </w:r>
          </w:p>
        </w:tc>
        <w:tc>
          <w:tcPr>
            <w:tcW w:w="2050" w:type="pct"/>
            <w:vMerge w:val="restart"/>
          </w:tcPr>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 xml:space="preserve">1、相数：三相  </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2、频率：50Hz</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3、调压方式：无载调压</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4、电压组合：详</w:t>
            </w:r>
            <w:r>
              <w:rPr>
                <w:rFonts w:hint="eastAsia" w:ascii="宋体" w:hAnsi="Times New Roman" w:eastAsia="宋体" w:cs="宋体"/>
                <w:color w:val="auto"/>
                <w:szCs w:val="21"/>
                <w:highlight w:val="none"/>
              </w:rPr>
              <w:t>见</w:t>
            </w:r>
            <w:r>
              <w:rPr>
                <w:rFonts w:hint="eastAsia" w:ascii="宋体" w:hAnsi="Times New Roman" w:eastAsia="宋体" w:cs="Times New Roman"/>
                <w:b/>
                <w:bCs/>
                <w:color w:val="auto"/>
                <w:sz w:val="24"/>
                <w:szCs w:val="24"/>
                <w:highlight w:val="none"/>
              </w:rPr>
              <w:t>4.1</w:t>
            </w:r>
            <w:r>
              <w:rPr>
                <w:rFonts w:hint="eastAsia" w:ascii="宋体" w:hAnsi="Times New Roman" w:eastAsia="宋体" w:cs="宋体"/>
                <w:color w:val="auto"/>
                <w:szCs w:val="21"/>
                <w:highlight w:val="none"/>
              </w:rPr>
              <w:t>表</w:t>
            </w:r>
            <w:r>
              <w:rPr>
                <w:rFonts w:hint="eastAsia" w:ascii="宋体" w:hAnsi="Times New Roman" w:eastAsia="宋体" w:cs="宋体"/>
                <w:color w:val="000000"/>
                <w:szCs w:val="21"/>
                <w:highlight w:val="none"/>
              </w:rPr>
              <w:t>2</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5、安装场所：户内</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6、绝缘水平：10kV 短时工频耐压有效值 35kV 冲击耐压75kV</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0.4kV 短时工频耐压有效值 3kV</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 xml:space="preserve">7、接线组别：Dyn11  </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8、防护等级:≥IP20</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9、绝缘耐热等级：H级</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10、正常使用寿命:达到30年及以上</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11、最高温升：125K</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12、冷却方式：AF</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13、线圈的电气和机械强度高，预加电压与局部放电试验电压下，且在规定持续时间下的局部放电量应小于等于10 pC。</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14、线圈的散热、防潮和阻燃性能好，无开裂现象。</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 xml:space="preserve">15、高、低压线圈采用铜线或铜带箔绕制，其材质为优质(无氧)铜质材料。成品效果优异，电抗相同,线圈间安匝平衡,变压器抗短路能力强,运行可靠性高。         </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16、高、低压线圈内部采用自动氩气保护焊接，焊接可靠，电阻小。</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17、铁芯材料采用的是低损耗的高导磁优质晶粒取向冷轧钢片，成品损耗低，噪音小。</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18、变压器防尘、污秽能力强，采用环氧树脂及固化剂，遇到火源时不产生有害气体。</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19、为保证变压器金属结构件表面涂覆层的牢固，所有板材及型材均采用钢板预处理线进行表面预处理，油漆附着力强，漆层均匀，美观耐腐蚀。</w:t>
            </w:r>
          </w:p>
          <w:p>
            <w:pPr>
              <w:autoSpaceDN w:val="0"/>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20、变压器装设智能式温控器, 装置应有高温时自动开启风扇（超高温自动跳闸）及高压保护控制，智能式温控器的安装应能方便于检修和更换。</w:t>
            </w:r>
          </w:p>
          <w:p>
            <w:pPr>
              <w:autoSpaceDN w:val="0"/>
              <w:rPr>
                <w:rFonts w:ascii="宋体" w:hAnsi="Times New Roman" w:eastAsia="宋体" w:cs="宋体"/>
                <w:color w:val="000000"/>
                <w:sz w:val="20"/>
                <w:szCs w:val="21"/>
                <w:highlight w:val="none"/>
                <w:shd w:val="clear" w:color="auto" w:fill="FFFF00"/>
              </w:rPr>
            </w:pPr>
            <w:r>
              <w:rPr>
                <w:rFonts w:hint="eastAsia" w:ascii="宋体" w:hAnsi="Times New Roman" w:eastAsia="宋体" w:cs="宋体"/>
                <w:color w:val="000000"/>
                <w:szCs w:val="21"/>
                <w:highlight w:val="none"/>
              </w:rPr>
              <w:t>21、变压器外壳采用铝合金材质，外壳框架有足够的刚度和强度能承受所安装元件及短路所产生的动能，防护等级不低于IP20。外壳壳体设置有足够的通风孔,保证变压器正常运行不降容。</w:t>
            </w:r>
          </w:p>
        </w:tc>
        <w:tc>
          <w:tcPr>
            <w:tcW w:w="577" w:type="pct"/>
            <w:vAlign w:val="center"/>
          </w:tcPr>
          <w:p>
            <w:pPr>
              <w:spacing w:line="360" w:lineRule="auto"/>
              <w:jc w:val="center"/>
              <w:rPr>
                <w:rFonts w:ascii="宋体" w:hAnsi="Times New Roman" w:eastAsia="宋体" w:cs="@仿宋_GB2312"/>
                <w:bCs/>
                <w:sz w:val="24"/>
                <w:szCs w:val="18"/>
                <w:highlight w:val="none"/>
              </w:rPr>
            </w:pPr>
            <w:r>
              <w:rPr>
                <w:rFonts w:hint="eastAsia" w:ascii="宋体" w:hAnsi="Times New Roman" w:eastAsia="宋体" w:cs="@仿宋_GB2312"/>
                <w:bCs/>
                <w:sz w:val="24"/>
                <w:szCs w:val="18"/>
                <w:highlight w:val="none"/>
              </w:rPr>
              <w:t>2台</w:t>
            </w:r>
          </w:p>
        </w:tc>
        <w:tc>
          <w:tcPr>
            <w:tcW w:w="441" w:type="pct"/>
            <w:vAlign w:val="center"/>
          </w:tcPr>
          <w:p>
            <w:pPr>
              <w:spacing w:line="360" w:lineRule="auto"/>
              <w:jc w:val="center"/>
              <w:rPr>
                <w:rFonts w:ascii="宋体" w:hAnsi="Times New Roman" w:eastAsia="宋体" w:cs="@仿宋_GB2312"/>
                <w:bCs/>
                <w:sz w:val="24"/>
                <w:szCs w:val="18"/>
                <w:highlight w:val="none"/>
              </w:rPr>
            </w:pPr>
            <w:r>
              <w:rPr>
                <w:rFonts w:hint="eastAsia" w:ascii="宋体" w:hAnsi="Times New Roman" w:eastAsia="宋体" w:cs="@仿宋_GB2312"/>
                <w:bCs/>
                <w:sz w:val="24"/>
                <w:szCs w:val="18"/>
                <w:highlight w:val="none"/>
              </w:rPr>
              <w:t>工业</w:t>
            </w:r>
          </w:p>
        </w:tc>
        <w:tc>
          <w:tcPr>
            <w:tcW w:w="554" w:type="pct"/>
            <w:vAlign w:val="center"/>
          </w:tcPr>
          <w:p>
            <w:pPr>
              <w:spacing w:line="360" w:lineRule="auto"/>
              <w:jc w:val="center"/>
              <w:rPr>
                <w:rFonts w:ascii="宋体" w:hAnsi="Times New Roman" w:eastAsia="宋体" w:cs="@仿宋_GB2312"/>
                <w:bCs/>
                <w:sz w:val="24"/>
                <w:szCs w:val="18"/>
                <w:highlight w:val="none"/>
              </w:rPr>
            </w:pPr>
            <w:r>
              <w:rPr>
                <w:rFonts w:hint="eastAsia" w:ascii="宋体" w:hAnsi="Times New Roman" w:eastAsia="宋体" w:cs="@仿宋_GB2312"/>
                <w:bCs/>
                <w:sz w:val="24"/>
                <w:szCs w:val="18"/>
                <w:highlight w:val="none"/>
              </w:rPr>
              <w:t>否</w:t>
            </w:r>
          </w:p>
        </w:tc>
        <w:tc>
          <w:tcPr>
            <w:tcW w:w="277" w:type="pct"/>
            <w:vAlign w:val="center"/>
          </w:tcPr>
          <w:p>
            <w:pPr>
              <w:spacing w:line="360" w:lineRule="auto"/>
              <w:jc w:val="center"/>
              <w:rPr>
                <w:rFonts w:ascii="宋体" w:hAnsi="Times New Roman" w:eastAsia="宋体" w:cs="@仿宋_GB2312"/>
                <w:bCs/>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pPr>
              <w:spacing w:line="360" w:lineRule="auto"/>
              <w:jc w:val="center"/>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2</w:t>
            </w:r>
          </w:p>
        </w:tc>
        <w:tc>
          <w:tcPr>
            <w:tcW w:w="833" w:type="pct"/>
            <w:vAlign w:val="center"/>
          </w:tcPr>
          <w:p>
            <w:pPr>
              <w:kinsoku w:val="0"/>
              <w:autoSpaceDE w:val="0"/>
              <w:autoSpaceDN w:val="0"/>
              <w:adjustRightInd w:val="0"/>
              <w:snapToGrid w:val="0"/>
              <w:spacing w:before="58" w:line="264" w:lineRule="auto"/>
              <w:ind w:left="367" w:right="147" w:hanging="209"/>
              <w:jc w:val="center"/>
              <w:textAlignment w:val="baseline"/>
              <w:rPr>
                <w:rFonts w:ascii="宋体" w:hAnsi="Times New Roman" w:eastAsia="宋体" w:cs="@仿宋_GB2312"/>
                <w:bCs/>
                <w:sz w:val="24"/>
                <w:szCs w:val="18"/>
                <w:highlight w:val="none"/>
              </w:rPr>
            </w:pPr>
            <w:r>
              <w:rPr>
                <w:rFonts w:hint="eastAsia" w:ascii="宋体" w:hAnsi="Times New Roman" w:eastAsia="宋体" w:cs="仿宋"/>
                <w:snapToGrid w:val="0"/>
                <w:kern w:val="0"/>
                <w:szCs w:val="21"/>
                <w:highlight w:val="none"/>
              </w:rPr>
              <w:t>干式变压器SCB14-630/10</w:t>
            </w:r>
          </w:p>
        </w:tc>
        <w:tc>
          <w:tcPr>
            <w:tcW w:w="2050" w:type="pct"/>
            <w:vMerge w:val="continue"/>
          </w:tcPr>
          <w:p>
            <w:pPr>
              <w:rPr>
                <w:rFonts w:ascii="@仿宋_GB2312" w:hAnsi="Times New Roman" w:eastAsia="@仿宋_GB2312" w:cs="@仿宋_GB2312"/>
                <w:szCs w:val="20"/>
                <w:highlight w:val="none"/>
              </w:rPr>
            </w:pPr>
          </w:p>
        </w:tc>
        <w:tc>
          <w:tcPr>
            <w:tcW w:w="577" w:type="pct"/>
            <w:vAlign w:val="center"/>
          </w:tcPr>
          <w:p>
            <w:pPr>
              <w:spacing w:line="360" w:lineRule="auto"/>
              <w:jc w:val="center"/>
              <w:rPr>
                <w:rFonts w:ascii="宋体" w:hAnsi="Times New Roman" w:eastAsia="宋体" w:cs="@仿宋_GB2312"/>
                <w:bCs/>
                <w:sz w:val="24"/>
                <w:szCs w:val="18"/>
                <w:highlight w:val="none"/>
              </w:rPr>
            </w:pPr>
            <w:r>
              <w:rPr>
                <w:rFonts w:hint="eastAsia" w:ascii="宋体" w:hAnsi="Times New Roman" w:eastAsia="宋体" w:cs="@仿宋_GB2312"/>
                <w:bCs/>
                <w:sz w:val="24"/>
                <w:szCs w:val="18"/>
                <w:highlight w:val="none"/>
              </w:rPr>
              <w:t>1台</w:t>
            </w:r>
          </w:p>
        </w:tc>
        <w:tc>
          <w:tcPr>
            <w:tcW w:w="441" w:type="pct"/>
            <w:vAlign w:val="center"/>
          </w:tcPr>
          <w:p>
            <w:pPr>
              <w:spacing w:line="360" w:lineRule="auto"/>
              <w:jc w:val="center"/>
              <w:rPr>
                <w:rFonts w:ascii="宋体" w:hAnsi="Times New Roman" w:eastAsia="宋体" w:cs="@仿宋_GB2312"/>
                <w:bCs/>
                <w:sz w:val="24"/>
                <w:szCs w:val="18"/>
                <w:highlight w:val="none"/>
              </w:rPr>
            </w:pPr>
            <w:r>
              <w:rPr>
                <w:rFonts w:hint="eastAsia" w:ascii="宋体" w:hAnsi="Times New Roman" w:eastAsia="宋体" w:cs="@仿宋_GB2312"/>
                <w:bCs/>
                <w:sz w:val="24"/>
                <w:szCs w:val="18"/>
                <w:highlight w:val="none"/>
              </w:rPr>
              <w:t>工业</w:t>
            </w:r>
          </w:p>
        </w:tc>
        <w:tc>
          <w:tcPr>
            <w:tcW w:w="554" w:type="pct"/>
            <w:vAlign w:val="center"/>
          </w:tcPr>
          <w:p>
            <w:pPr>
              <w:spacing w:line="360" w:lineRule="auto"/>
              <w:jc w:val="center"/>
              <w:rPr>
                <w:rFonts w:ascii="宋体" w:hAnsi="Times New Roman" w:eastAsia="宋体" w:cs="@仿宋_GB2312"/>
                <w:bCs/>
                <w:sz w:val="24"/>
                <w:szCs w:val="18"/>
                <w:highlight w:val="none"/>
              </w:rPr>
            </w:pPr>
            <w:r>
              <w:rPr>
                <w:rFonts w:hint="eastAsia" w:ascii="宋体" w:hAnsi="Times New Roman" w:eastAsia="宋体" w:cs="@仿宋_GB2312"/>
                <w:bCs/>
                <w:sz w:val="24"/>
                <w:szCs w:val="18"/>
                <w:highlight w:val="none"/>
              </w:rPr>
              <w:t>否</w:t>
            </w:r>
          </w:p>
        </w:tc>
        <w:tc>
          <w:tcPr>
            <w:tcW w:w="277" w:type="pct"/>
            <w:vAlign w:val="center"/>
          </w:tcPr>
          <w:p>
            <w:pPr>
              <w:spacing w:line="360" w:lineRule="auto"/>
              <w:jc w:val="center"/>
              <w:rPr>
                <w:rFonts w:ascii="宋体" w:hAnsi="Times New Roman" w:eastAsia="宋体" w:cs="@仿宋_GB2312"/>
                <w:bCs/>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vAlign w:val="center"/>
          </w:tcPr>
          <w:p>
            <w:pPr>
              <w:spacing w:line="360" w:lineRule="auto"/>
              <w:jc w:val="center"/>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3</w:t>
            </w:r>
          </w:p>
        </w:tc>
        <w:tc>
          <w:tcPr>
            <w:tcW w:w="833" w:type="pct"/>
            <w:vAlign w:val="center"/>
          </w:tcPr>
          <w:p>
            <w:pPr>
              <w:kinsoku w:val="0"/>
              <w:autoSpaceDE w:val="0"/>
              <w:autoSpaceDN w:val="0"/>
              <w:adjustRightInd w:val="0"/>
              <w:snapToGrid w:val="0"/>
              <w:spacing w:before="58" w:line="266" w:lineRule="auto"/>
              <w:ind w:left="372" w:right="147" w:hanging="213"/>
              <w:jc w:val="center"/>
              <w:textAlignment w:val="baseline"/>
              <w:rPr>
                <w:rFonts w:ascii="宋体" w:hAnsi="Times New Roman" w:eastAsia="宋体" w:cs="@仿宋_GB2312"/>
                <w:bCs/>
                <w:sz w:val="24"/>
                <w:szCs w:val="18"/>
                <w:highlight w:val="none"/>
              </w:rPr>
            </w:pPr>
            <w:r>
              <w:rPr>
                <w:rFonts w:ascii="宋体" w:hAnsi="Times New Roman" w:eastAsia="宋体" w:cs="@仿宋_GB2312"/>
                <w:szCs w:val="21"/>
                <w:highlight w:val="none"/>
              </w:rPr>
              <w:t>▲</w:t>
            </w:r>
            <w:r>
              <w:rPr>
                <w:rFonts w:hint="eastAsia" w:ascii="宋体" w:hAnsi="Times New Roman" w:eastAsia="宋体" w:cs="仿宋"/>
                <w:snapToGrid w:val="0"/>
                <w:kern w:val="0"/>
                <w:szCs w:val="21"/>
                <w:highlight w:val="none"/>
              </w:rPr>
              <w:t>干式变压器SCB14-800/10</w:t>
            </w:r>
          </w:p>
        </w:tc>
        <w:tc>
          <w:tcPr>
            <w:tcW w:w="2050" w:type="pct"/>
            <w:vMerge w:val="continue"/>
          </w:tcPr>
          <w:p>
            <w:pPr>
              <w:rPr>
                <w:rFonts w:ascii="@仿宋_GB2312" w:hAnsi="Times New Roman" w:eastAsia="@仿宋_GB2312" w:cs="@仿宋_GB2312"/>
                <w:szCs w:val="20"/>
                <w:highlight w:val="none"/>
              </w:rPr>
            </w:pPr>
          </w:p>
        </w:tc>
        <w:tc>
          <w:tcPr>
            <w:tcW w:w="577" w:type="pct"/>
            <w:vAlign w:val="center"/>
          </w:tcPr>
          <w:p>
            <w:pPr>
              <w:spacing w:line="360" w:lineRule="auto"/>
              <w:jc w:val="center"/>
              <w:rPr>
                <w:rFonts w:ascii="宋体" w:hAnsi="Times New Roman" w:eastAsia="宋体" w:cs="@仿宋_GB2312"/>
                <w:bCs/>
                <w:sz w:val="24"/>
                <w:szCs w:val="18"/>
                <w:highlight w:val="none"/>
              </w:rPr>
            </w:pPr>
            <w:r>
              <w:rPr>
                <w:rFonts w:hint="eastAsia" w:ascii="宋体" w:hAnsi="Times New Roman" w:eastAsia="宋体" w:cs="@仿宋_GB2312"/>
                <w:bCs/>
                <w:sz w:val="24"/>
                <w:szCs w:val="18"/>
                <w:highlight w:val="none"/>
              </w:rPr>
              <w:t>1台</w:t>
            </w:r>
          </w:p>
        </w:tc>
        <w:tc>
          <w:tcPr>
            <w:tcW w:w="441" w:type="pct"/>
            <w:vAlign w:val="center"/>
          </w:tcPr>
          <w:p>
            <w:pPr>
              <w:spacing w:line="360" w:lineRule="auto"/>
              <w:jc w:val="center"/>
              <w:rPr>
                <w:rFonts w:ascii="宋体" w:hAnsi="Times New Roman" w:eastAsia="宋体" w:cs="@仿宋_GB2312"/>
                <w:bCs/>
                <w:sz w:val="24"/>
                <w:szCs w:val="18"/>
                <w:highlight w:val="none"/>
              </w:rPr>
            </w:pPr>
            <w:r>
              <w:rPr>
                <w:rFonts w:hint="eastAsia" w:ascii="宋体" w:hAnsi="Times New Roman" w:eastAsia="宋体" w:cs="@仿宋_GB2312"/>
                <w:bCs/>
                <w:sz w:val="24"/>
                <w:szCs w:val="18"/>
                <w:highlight w:val="none"/>
              </w:rPr>
              <w:t>工业</w:t>
            </w:r>
          </w:p>
        </w:tc>
        <w:tc>
          <w:tcPr>
            <w:tcW w:w="554" w:type="pct"/>
            <w:vAlign w:val="center"/>
          </w:tcPr>
          <w:p>
            <w:pPr>
              <w:spacing w:line="360" w:lineRule="auto"/>
              <w:jc w:val="center"/>
              <w:rPr>
                <w:rFonts w:ascii="宋体" w:hAnsi="Times New Roman" w:eastAsia="宋体" w:cs="@仿宋_GB2312"/>
                <w:bCs/>
                <w:sz w:val="24"/>
                <w:szCs w:val="18"/>
                <w:highlight w:val="none"/>
              </w:rPr>
            </w:pPr>
            <w:r>
              <w:rPr>
                <w:rFonts w:hint="eastAsia" w:ascii="宋体" w:hAnsi="Times New Roman" w:eastAsia="宋体" w:cs="@仿宋_GB2312"/>
                <w:b/>
                <w:sz w:val="24"/>
                <w:szCs w:val="18"/>
                <w:highlight w:val="none"/>
              </w:rPr>
              <w:t>是</w:t>
            </w:r>
          </w:p>
        </w:tc>
        <w:tc>
          <w:tcPr>
            <w:tcW w:w="277" w:type="pct"/>
            <w:vAlign w:val="center"/>
          </w:tcPr>
          <w:p>
            <w:pPr>
              <w:spacing w:line="360" w:lineRule="auto"/>
              <w:jc w:val="center"/>
              <w:rPr>
                <w:rFonts w:ascii="宋体" w:hAnsi="Times New Roman" w:eastAsia="宋体" w:cs="@仿宋_GB2312"/>
                <w:bCs/>
                <w:sz w:val="24"/>
                <w:szCs w:val="18"/>
                <w:highlight w:val="none"/>
              </w:rPr>
            </w:pPr>
          </w:p>
        </w:tc>
      </w:tr>
    </w:tbl>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Cs w:val="21"/>
          <w:highlight w:val="none"/>
        </w:rPr>
      </w:pPr>
    </w:p>
    <w:p>
      <w:pPr>
        <w:rPr>
          <w:rFonts w:ascii="宋体" w:hAnsi="Times New Roman" w:eastAsia="宋体" w:cs="@仿宋_GB2312"/>
          <w:b/>
          <w:bCs/>
          <w:sz w:val="24"/>
          <w:szCs w:val="18"/>
          <w:highlight w:val="none"/>
        </w:rPr>
      </w:pPr>
      <w:r>
        <w:rPr>
          <w:rFonts w:ascii="宋体" w:hAnsi="Times New Roman" w:eastAsia="宋体" w:cs="@仿宋_GB2312"/>
          <w:b/>
          <w:bCs/>
          <w:sz w:val="24"/>
          <w:szCs w:val="18"/>
          <w:highlight w:val="none"/>
        </w:rPr>
        <w:br w:type="page"/>
      </w:r>
    </w:p>
    <w:bookmarkEnd w:id="3"/>
    <w:bookmarkEnd w:id="4"/>
    <w:p>
      <w:pPr>
        <w:keepNext/>
        <w:keepLines/>
        <w:widowControl w:val="0"/>
        <w:autoSpaceDN w:val="0"/>
        <w:spacing w:before="240" w:line="360" w:lineRule="auto"/>
        <w:ind w:firstLine="482" w:firstLineChars="200"/>
        <w:outlineLvl w:val="1"/>
        <w:rPr>
          <w:rFonts w:ascii="宋体" w:hAnsi="Times New Roman" w:eastAsia="宋体" w:cs="@仿宋_GB2312"/>
          <w:b/>
          <w:bCs/>
          <w:sz w:val="24"/>
          <w:szCs w:val="18"/>
          <w:highlight w:val="none"/>
        </w:rPr>
      </w:pPr>
      <w:bookmarkStart w:id="5" w:name="_Toc275338596"/>
      <w:bookmarkStart w:id="6" w:name="_Toc7127"/>
      <w:bookmarkStart w:id="7" w:name="_Toc4843"/>
      <w:bookmarkStart w:id="8" w:name="_Toc7421"/>
      <w:r>
        <w:rPr>
          <w:rFonts w:ascii="宋体" w:hAnsi="Times New Roman" w:eastAsia="宋体" w:cs="@仿宋_GB2312"/>
          <w:b/>
          <w:bCs/>
          <w:sz w:val="24"/>
          <w:szCs w:val="18"/>
          <w:highlight w:val="none"/>
        </w:rPr>
        <w:t>四、标准技术参数表</w:t>
      </w:r>
      <w:bookmarkEnd w:id="5"/>
      <w:bookmarkEnd w:id="6"/>
    </w:p>
    <w:p>
      <w:pPr>
        <w:topLinePunct/>
        <w:autoSpaceDN w:val="0"/>
        <w:spacing w:line="372" w:lineRule="auto"/>
        <w:ind w:left="210" w:firstLine="241" w:firstLineChars="100"/>
        <w:rPr>
          <w:rFonts w:ascii="宋体" w:hAnsi="Times New Roman" w:eastAsia="宋体" w:cs="Times New Roman"/>
          <w:b/>
          <w:bCs/>
          <w:sz w:val="24"/>
          <w:szCs w:val="24"/>
          <w:highlight w:val="none"/>
        </w:rPr>
      </w:pPr>
      <w:r>
        <w:rPr>
          <w:rFonts w:hint="eastAsia" w:ascii="宋体" w:hAnsi="Times New Roman" w:eastAsia="宋体" w:cs="Times New Roman"/>
          <w:b/>
          <w:bCs/>
          <w:sz w:val="24"/>
          <w:szCs w:val="24"/>
          <w:highlight w:val="none"/>
        </w:rPr>
        <w:t>4.1．使用环境</w:t>
      </w:r>
    </w:p>
    <w:p>
      <w:pPr>
        <w:topLinePunct/>
        <w:autoSpaceDN w:val="0"/>
        <w:spacing w:before="160" w:after="60"/>
        <w:jc w:val="center"/>
        <w:rPr>
          <w:rFonts w:ascii="Times New Roman" w:hAnsi="Times New Roman" w:eastAsia="黑体" w:cs="Times New Roman"/>
          <w:szCs w:val="21"/>
          <w:highlight w:val="none"/>
        </w:rPr>
      </w:pPr>
      <w:r>
        <w:rPr>
          <w:rFonts w:hint="eastAsia" w:ascii="Times New Roman" w:hAnsi="Times New Roman" w:eastAsia="黑体" w:cs="Times New Roman"/>
          <w:szCs w:val="21"/>
          <w:highlight w:val="none"/>
        </w:rPr>
        <w:t>表</w:t>
      </w:r>
      <w:r>
        <w:rPr>
          <w:rFonts w:ascii="Times New Roman" w:hAnsi="Times New Roman" w:eastAsia="黑体" w:cs="Times New Roman"/>
          <w:szCs w:val="21"/>
          <w:highlight w:val="none"/>
        </w:rPr>
        <w:t xml:space="preserve">1 </w:t>
      </w:r>
      <w:r>
        <w:rPr>
          <w:rFonts w:hint="eastAsia" w:ascii="Times New Roman" w:hAnsi="Times New Roman" w:eastAsia="黑体" w:cs="Times New Roman"/>
          <w:szCs w:val="21"/>
          <w:highlight w:val="none"/>
        </w:rPr>
        <w:t>使用条件参数表</w:t>
      </w:r>
    </w:p>
    <w:tbl>
      <w:tblPr>
        <w:tblStyle w:val="2"/>
        <w:tblpPr w:leftFromText="180" w:rightFromText="180" w:vertAnchor="text" w:horzAnchor="page" w:tblpX="1760" w:tblpY="418"/>
        <w:tblOverlap w:val="never"/>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13"/>
        <w:gridCol w:w="1329"/>
        <w:gridCol w:w="65"/>
        <w:gridCol w:w="2160"/>
        <w:gridCol w:w="1316"/>
        <w:gridCol w:w="252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c>
          <w:tcPr>
            <w:tcW w:w="1085" w:type="dxa"/>
            <w:tcBorders>
              <w:top w:val="single" w:color="auto" w:sz="8"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序号</w:t>
            </w:r>
          </w:p>
        </w:tc>
        <w:tc>
          <w:tcPr>
            <w:tcW w:w="3806" w:type="dxa"/>
            <w:gridSpan w:val="3"/>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名称</w:t>
            </w:r>
          </w:p>
        </w:tc>
        <w:tc>
          <w:tcPr>
            <w:tcW w:w="1409"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单位</w:t>
            </w:r>
          </w:p>
        </w:tc>
        <w:tc>
          <w:tcPr>
            <w:tcW w:w="2700" w:type="dxa"/>
            <w:tcBorders>
              <w:top w:val="single" w:color="auto" w:sz="8"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额定电压</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kV</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最高运行电压</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kV</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12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额定频率</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Hz</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50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污秽等级</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hint="eastAsia" w:ascii="宋体" w:hAnsi="Times New Roman" w:eastAsia="宋体" w:cs="Times New Roman"/>
                <w:sz w:val="20"/>
                <w:szCs w:val="20"/>
                <w:highlight w:val="none"/>
              </w:rPr>
              <w:t>Ⅲ</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restart"/>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5</w:t>
            </w:r>
          </w:p>
        </w:tc>
        <w:tc>
          <w:tcPr>
            <w:tcW w:w="1493" w:type="dxa"/>
            <w:gridSpan w:val="2"/>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环境温度</w:t>
            </w: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最高日温度</w:t>
            </w:r>
          </w:p>
        </w:tc>
        <w:tc>
          <w:tcPr>
            <w:tcW w:w="1409" w:type="dxa"/>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40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1493"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最低日温度</w:t>
            </w:r>
          </w:p>
        </w:tc>
        <w:tc>
          <w:tcPr>
            <w:tcW w:w="1409" w:type="dxa"/>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hint="eastAsia" w:ascii="Times New Roman" w:hAnsi="Times New Roman" w:eastAsia="宋体" w:cs="Times New Roman"/>
                <w:snapToGrid w:val="0"/>
                <w:kern w:val="0"/>
                <w:sz w:val="18"/>
                <w:szCs w:val="18"/>
                <w:highlight w:val="none"/>
              </w:rPr>
              <w:t>－</w:t>
            </w:r>
            <w:r>
              <w:rPr>
                <w:rFonts w:ascii="Times New Roman" w:hAnsi="Times New Roman" w:eastAsia="宋体" w:cs="Times New Roman"/>
                <w:snapToGrid w:val="0"/>
                <w:kern w:val="0"/>
                <w:sz w:val="18"/>
                <w:szCs w:val="18"/>
                <w:highlight w:val="none"/>
              </w:rPr>
              <w:t>25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1493"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最大日温差</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k</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25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1493"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最热月平均温度</w:t>
            </w:r>
          </w:p>
        </w:tc>
        <w:tc>
          <w:tcPr>
            <w:tcW w:w="1409" w:type="dxa"/>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napToGrid w:val="0"/>
                <w:kern w:val="0"/>
                <w:sz w:val="18"/>
                <w:szCs w:val="18"/>
                <w:highlight w:val="none"/>
              </w:rPr>
            </w:pPr>
            <w:r>
              <w:rPr>
                <w:rFonts w:ascii="Times New Roman" w:hAnsi="Times New Roman" w:eastAsia="宋体" w:cs="Times New Roman"/>
                <w:snapToGrid w:val="0"/>
                <w:kern w:val="0"/>
                <w:sz w:val="18"/>
                <w:szCs w:val="18"/>
                <w:highlight w:val="none"/>
              </w:rPr>
              <w:t>+30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1493"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最高年平均温度</w:t>
            </w:r>
          </w:p>
        </w:tc>
        <w:tc>
          <w:tcPr>
            <w:tcW w:w="1409" w:type="dxa"/>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napToGrid w:val="0"/>
                <w:kern w:val="0"/>
                <w:sz w:val="18"/>
                <w:szCs w:val="18"/>
                <w:highlight w:val="none"/>
              </w:rPr>
            </w:pPr>
            <w:r>
              <w:rPr>
                <w:rFonts w:ascii="Times New Roman" w:hAnsi="Times New Roman" w:eastAsia="宋体" w:cs="Times New Roman"/>
                <w:snapToGrid w:val="0"/>
                <w:kern w:val="0"/>
                <w:sz w:val="18"/>
                <w:szCs w:val="18"/>
                <w:highlight w:val="none"/>
              </w:rPr>
              <w:t>+20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restart"/>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b/>
                <w:bCs/>
                <w:sz w:val="18"/>
                <w:szCs w:val="18"/>
                <w:highlight w:val="none"/>
              </w:rPr>
            </w:pPr>
            <w:r>
              <w:rPr>
                <w:rFonts w:ascii="Times New Roman" w:hAnsi="Times New Roman" w:eastAsia="宋体" w:cs="Times New Roman"/>
                <w:sz w:val="18"/>
                <w:szCs w:val="18"/>
                <w:highlight w:val="none"/>
              </w:rPr>
              <w:t>6</w:t>
            </w:r>
          </w:p>
        </w:tc>
        <w:tc>
          <w:tcPr>
            <w:tcW w:w="1493" w:type="dxa"/>
            <w:gridSpan w:val="2"/>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湿度</w:t>
            </w: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日相对湿度平均值</w:t>
            </w:r>
          </w:p>
        </w:tc>
        <w:tc>
          <w:tcPr>
            <w:tcW w:w="1409" w:type="dxa"/>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b/>
                <w:bCs/>
                <w:sz w:val="18"/>
                <w:szCs w:val="18"/>
                <w:highlight w:val="none"/>
              </w:rPr>
            </w:pPr>
            <w:r>
              <w:rPr>
                <w:rFonts w:ascii="Times New Roman" w:hAnsi="Times New Roman" w:eastAsia="宋体" w:cs="Times New Roman"/>
                <w:sz w:val="18"/>
                <w:szCs w:val="18"/>
                <w:highlight w:val="none"/>
              </w:rPr>
              <w:t>%</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Cs w:val="21"/>
                <w:highlight w:val="none"/>
              </w:rPr>
              <w:t>95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1493"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月相对湿度平均值</w:t>
            </w:r>
          </w:p>
        </w:tc>
        <w:tc>
          <w:tcPr>
            <w:tcW w:w="1409" w:type="dxa"/>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Cs w:val="21"/>
                <w:highlight w:val="none"/>
              </w:rPr>
              <w:t>90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7</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海拔</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napToGrid w:val="0"/>
                <w:kern w:val="0"/>
                <w:sz w:val="18"/>
                <w:szCs w:val="18"/>
                <w:highlight w:val="none"/>
              </w:rPr>
              <w:t>1000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8</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太阳辐射强度</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w:t>
            </w: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cm</w:t>
            </w:r>
            <w:r>
              <w:rPr>
                <w:rFonts w:ascii="Times New Roman" w:hAnsi="Times New Roman" w:eastAsia="宋体" w:cs="Times New Roman"/>
                <w:sz w:val="18"/>
                <w:szCs w:val="18"/>
                <w:highlight w:val="none"/>
                <w:vertAlign w:val="superscript"/>
              </w:rPr>
              <w:t>2</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0.1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9</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最大覆冰厚度</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mm</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20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10</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ind w:firstLine="210"/>
              <w:jc w:val="center"/>
              <w:rPr>
                <w:rFonts w:ascii="Times New Roman" w:hAnsi="Times New Roman" w:eastAsia="宋体" w:cs="Times New Roman"/>
                <w:szCs w:val="21"/>
                <w:highlight w:val="none"/>
              </w:rPr>
            </w:pPr>
            <w:r>
              <w:rPr>
                <w:rFonts w:hint="eastAsia" w:ascii="Times New Roman" w:hAnsi="Times New Roman" w:eastAsia="宋体" w:cs="Times New Roman"/>
                <w:sz w:val="18"/>
                <w:szCs w:val="18"/>
                <w:highlight w:val="none"/>
              </w:rPr>
              <w:t>离地面高</w:t>
            </w:r>
            <w:r>
              <w:rPr>
                <w:rFonts w:ascii="Times New Roman" w:hAnsi="Times New Roman" w:eastAsia="宋体" w:cs="Times New Roman"/>
                <w:sz w:val="18"/>
                <w:szCs w:val="18"/>
                <w:highlight w:val="none"/>
              </w:rPr>
              <w:t>10m</w:t>
            </w:r>
            <w:r>
              <w:rPr>
                <w:rFonts w:hint="eastAsia" w:ascii="Times New Roman" w:hAnsi="Times New Roman" w:eastAsia="宋体" w:cs="Times New Roman"/>
                <w:sz w:val="18"/>
                <w:szCs w:val="18"/>
                <w:highlight w:val="none"/>
              </w:rPr>
              <w:t>处，维持</w:t>
            </w:r>
            <w:r>
              <w:rPr>
                <w:rFonts w:ascii="Times New Roman" w:hAnsi="Times New Roman" w:eastAsia="宋体" w:cs="Times New Roman"/>
                <w:sz w:val="18"/>
                <w:szCs w:val="18"/>
                <w:highlight w:val="none"/>
              </w:rPr>
              <w:t>10min</w:t>
            </w:r>
            <w:r>
              <w:rPr>
                <w:rFonts w:hint="eastAsia" w:ascii="Times New Roman" w:hAnsi="Times New Roman" w:eastAsia="宋体" w:cs="Times New Roman"/>
                <w:sz w:val="18"/>
                <w:szCs w:val="18"/>
                <w:highlight w:val="none"/>
              </w:rPr>
              <w:t>的平均最大风速</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m/s</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35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restart"/>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11</w:t>
            </w:r>
          </w:p>
        </w:tc>
        <w:tc>
          <w:tcPr>
            <w:tcW w:w="1423" w:type="dxa"/>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Cs w:val="21"/>
                <w:highlight w:val="none"/>
              </w:rPr>
            </w:pPr>
            <w:r>
              <w:rPr>
                <w:rFonts w:hint="eastAsia" w:ascii="Times New Roman" w:hAnsi="Times New Roman" w:eastAsia="宋体" w:cs="Times New Roman"/>
                <w:sz w:val="18"/>
                <w:szCs w:val="18"/>
                <w:highlight w:val="none"/>
              </w:rPr>
              <w:t>耐受地震能力</w:t>
            </w:r>
          </w:p>
        </w:tc>
        <w:tc>
          <w:tcPr>
            <w:tcW w:w="2383" w:type="dxa"/>
            <w:gridSpan w:val="2"/>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Cs w:val="21"/>
                <w:highlight w:val="none"/>
              </w:rPr>
            </w:pPr>
            <w:r>
              <w:rPr>
                <w:rFonts w:hint="eastAsia" w:ascii="Times New Roman" w:hAnsi="Times New Roman" w:eastAsia="宋体" w:cs="Times New Roman"/>
                <w:sz w:val="18"/>
                <w:szCs w:val="18"/>
                <w:highlight w:val="none"/>
              </w:rPr>
              <w:t>地面水平加速度</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m/s</w:t>
            </w:r>
            <w:r>
              <w:rPr>
                <w:rFonts w:ascii="Times New Roman" w:hAnsi="Times New Roman" w:eastAsia="宋体" w:cs="Times New Roman"/>
                <w:sz w:val="18"/>
                <w:szCs w:val="18"/>
                <w:highlight w:val="none"/>
                <w:vertAlign w:val="superscript"/>
              </w:rPr>
              <w:t>2</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1423" w:type="dxa"/>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cs="@仿宋_GB2312"/>
                <w:szCs w:val="20"/>
                <w:highlight w:val="none"/>
              </w:rPr>
            </w:pPr>
          </w:p>
        </w:tc>
        <w:tc>
          <w:tcPr>
            <w:tcW w:w="2383" w:type="dxa"/>
            <w:gridSpan w:val="2"/>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正弦共振三个周期安全系数</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宋体" w:hAnsi="Times New Roman" w:eastAsia="宋体" w:cs="Times New Roman"/>
                <w:szCs w:val="21"/>
                <w:highlight w:val="none"/>
              </w:rPr>
            </w:pP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napToGrid w:val="0"/>
                <w:kern w:val="0"/>
                <w:sz w:val="18"/>
                <w:szCs w:val="18"/>
                <w:highlight w:val="none"/>
              </w:rPr>
            </w:pPr>
            <w:r>
              <w:rPr>
                <w:rFonts w:hint="eastAsia" w:ascii="Times New Roman" w:hAnsi="Times New Roman" w:eastAsia="宋体" w:cs="Times New Roman"/>
                <w:snapToGrid w:val="0"/>
                <w:kern w:val="0"/>
                <w:sz w:val="18"/>
                <w:szCs w:val="18"/>
                <w:highlight w:val="none"/>
              </w:rPr>
              <w:t>≥</w:t>
            </w:r>
            <w:r>
              <w:rPr>
                <w:rFonts w:ascii="Times New Roman" w:hAnsi="Times New Roman" w:eastAsia="宋体" w:cs="Times New Roman"/>
                <w:snapToGrid w:val="0"/>
                <w:kern w:val="0"/>
                <w:sz w:val="18"/>
                <w:szCs w:val="18"/>
                <w:highlight w:val="none"/>
              </w:rPr>
              <w:t>1.67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8"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12</w:t>
            </w:r>
          </w:p>
        </w:tc>
        <w:tc>
          <w:tcPr>
            <w:tcW w:w="3806" w:type="dxa"/>
            <w:gridSpan w:val="3"/>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before="40" w:after="40"/>
              <w:ind w:firstLine="210"/>
              <w:jc w:val="center"/>
              <w:rPr>
                <w:rFonts w:ascii="Times New Roman" w:hAnsi="Times New Roman" w:eastAsia="宋体" w:cs="Times New Roman"/>
                <w:szCs w:val="21"/>
                <w:highlight w:val="none"/>
              </w:rPr>
            </w:pPr>
            <w:r>
              <w:rPr>
                <w:rFonts w:hint="eastAsia" w:ascii="Times New Roman" w:hAnsi="Times New Roman" w:eastAsia="宋体" w:cs="Times New Roman"/>
                <w:sz w:val="18"/>
                <w:szCs w:val="18"/>
                <w:highlight w:val="none"/>
              </w:rPr>
              <w:t>安装场所（户内）</w:t>
            </w:r>
          </w:p>
        </w:tc>
        <w:tc>
          <w:tcPr>
            <w:tcW w:w="1409" w:type="dxa"/>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p>
        </w:tc>
        <w:tc>
          <w:tcPr>
            <w:tcW w:w="2700" w:type="dxa"/>
            <w:tcBorders>
              <w:top w:val="single" w:color="auto" w:sz="4" w:space="0"/>
              <w:left w:val="single" w:color="auto" w:sz="4" w:space="0"/>
              <w:bottom w:val="single" w:color="auto" w:sz="8"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napToGrid w:val="0"/>
                <w:kern w:val="0"/>
                <w:sz w:val="18"/>
                <w:szCs w:val="18"/>
                <w:highlight w:val="none"/>
              </w:rPr>
              <w:t>户内</w:t>
            </w:r>
          </w:p>
        </w:tc>
      </w:tr>
    </w:tbl>
    <w:p>
      <w:pPr>
        <w:autoSpaceDN w:val="0"/>
        <w:spacing w:line="480" w:lineRule="auto"/>
        <w:rPr>
          <w:rFonts w:ascii="宋体" w:hAnsi="Times New Roman" w:eastAsia="宋体" w:cs="宋体"/>
          <w:b/>
          <w:sz w:val="22"/>
          <w:szCs w:val="22"/>
          <w:highlight w:val="none"/>
        </w:rPr>
      </w:pPr>
    </w:p>
    <w:p>
      <w:pPr>
        <w:autoSpaceDN w:val="0"/>
        <w:rPr>
          <w:rFonts w:ascii="Times New Roman" w:hAnsi="Times New Roman" w:eastAsia="宋体" w:cs="Times New Roman"/>
          <w:szCs w:val="21"/>
          <w:highlight w:val="none"/>
        </w:rPr>
      </w:pPr>
    </w:p>
    <w:p>
      <w:pPr>
        <w:autoSpaceDN w:val="0"/>
        <w:ind w:firstLine="420"/>
        <w:jc w:val="center"/>
        <w:rPr>
          <w:rFonts w:ascii="黑体" w:hAnsi="Times New Roman" w:eastAsia="黑体" w:cs="Times New Roman"/>
          <w:snapToGrid w:val="0"/>
          <w:kern w:val="0"/>
          <w:szCs w:val="21"/>
          <w:highlight w:val="none"/>
        </w:rPr>
      </w:pPr>
      <w:r>
        <w:rPr>
          <w:rFonts w:hint="eastAsia" w:ascii="黑体" w:hAnsi="Times New Roman" w:eastAsia="黑体" w:cs="Times New Roman"/>
          <w:snapToGrid w:val="0"/>
          <w:kern w:val="0"/>
          <w:szCs w:val="21"/>
          <w:highlight w:val="none"/>
        </w:rPr>
        <w:t>表2 技术参数和性能表</w:t>
      </w:r>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739"/>
        <w:gridCol w:w="3456"/>
        <w:gridCol w:w="1027"/>
        <w:gridCol w:w="280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blHeade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序号</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ind w:left="1260" w:leftChars="600" w:right="1260" w:rightChars="600"/>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名称</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单位</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标准参数值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3"/>
          <w:wAfter w:w="7284" w:type="dxa"/>
          <w:cantSpli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变压器型号</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铁心材质</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冷轧取向硅钢片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线圈结构</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环氧浇注式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高压额定电压</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低压额定电压</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6</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联结组别</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7</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额定频率</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Hz</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50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8</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额定容量</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kVA</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9</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相数</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10</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调压方式</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无励磁</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调压位置</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高压侧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12</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调压范围</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±2×2.5%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13</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冷却方式</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AF</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14</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绝缘耐热等级</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H级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15</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局部放电水平</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pC</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 w:val="18"/>
                <w:szCs w:val="18"/>
                <w:highlight w:val="none"/>
              </w:rPr>
            </w:pPr>
            <w:r>
              <w:rPr>
                <w:rFonts w:hint="eastAsia" w:ascii="宋体" w:hAnsi="Times New Roman" w:eastAsia="宋体" w:cs="宋体"/>
                <w:sz w:val="18"/>
                <w:szCs w:val="18"/>
                <w:highlight w:val="none"/>
              </w:rPr>
              <w:t>≤10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3"/>
          <w:wAfter w:w="7284" w:type="dxa"/>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hint="eastAsia" w:ascii="Times New Roman" w:hAnsi="Times New Roman" w:eastAsia="宋体" w:cs="Times New Roman"/>
                <w:b/>
                <w:bCs/>
                <w:szCs w:val="21"/>
                <w:highlight w:val="none"/>
              </w:rPr>
              <w:t>二</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高压绕组雷电全波冲击电压（峰值）</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pacing w:before="48" w:after="48"/>
              <w:jc w:val="center"/>
              <w:rPr>
                <w:rFonts w:ascii="宋体" w:hAnsi="Times New Roman" w:eastAsia="宋体" w:cs="宋体"/>
                <w:color w:val="000000"/>
                <w:szCs w:val="21"/>
                <w:highlight w:val="none"/>
              </w:rPr>
            </w:pPr>
            <w:r>
              <w:rPr>
                <w:rFonts w:hint="eastAsia" w:ascii="宋体" w:hAnsi="Times New Roman" w:eastAsia="宋体" w:cs="宋体"/>
                <w:color w:val="000000"/>
                <w:szCs w:val="21"/>
                <w:highlight w:val="none"/>
              </w:rPr>
              <w:t>10kV 短时工频耐压有效值 35kV 冲击耐压75kV</w:t>
            </w:r>
          </w:p>
          <w:p>
            <w:pPr>
              <w:autoSpaceDN w:val="0"/>
              <w:spacing w:before="48" w:after="48" w:line="500" w:lineRule="exact"/>
              <w:ind w:left="0"/>
              <w:jc w:val="center"/>
              <w:rPr>
                <w:rFonts w:hint="eastAsia" w:ascii="宋体" w:hAnsi="Times New Roman" w:eastAsia="宋体" w:cs="宋体"/>
                <w:sz w:val="21"/>
                <w:szCs w:val="21"/>
                <w:highlight w:val="none"/>
              </w:rPr>
            </w:pPr>
            <w:r>
              <w:rPr>
                <w:rFonts w:hint="eastAsia" w:ascii="宋体" w:hAnsi="Times New Roman" w:eastAsia="宋体" w:cs="宋体"/>
                <w:szCs w:val="20"/>
                <w:highlight w:val="none"/>
                <w:lang w:val="en-US" w:eastAsia="zh-CN" w:bidi="ar-SA"/>
              </w:rPr>
              <w:t xml:space="preserve">0.4kV </w:t>
            </w:r>
            <w:r>
              <w:rPr>
                <w:rFonts w:hint="eastAsia" w:ascii="宋体" w:hAnsi="Times New Roman" w:eastAsia="宋体" w:cs="宋体"/>
                <w:szCs w:val="20"/>
                <w:highlight w:val="none"/>
                <w:lang w:bidi="ar-SA"/>
              </w:rPr>
              <w:t xml:space="preserve">短时工频耐压有效值 </w:t>
            </w:r>
            <w:r>
              <w:rPr>
                <w:rFonts w:hint="eastAsia" w:ascii="宋体" w:hAnsi="Times New Roman" w:eastAsia="宋体" w:cs="宋体"/>
                <w:szCs w:val="20"/>
                <w:highlight w:val="none"/>
                <w:lang w:val="en-US" w:eastAsia="zh-CN" w:bidi="ar-SA"/>
              </w:rPr>
              <w:t>3</w:t>
            </w:r>
            <w:r>
              <w:rPr>
                <w:rFonts w:hint="eastAsia" w:ascii="宋体" w:hAnsi="Times New Roman" w:eastAsia="宋体" w:cs="宋体"/>
                <w:szCs w:val="20"/>
                <w:highlight w:val="none"/>
                <w:lang w:bidi="ar-SA"/>
              </w:rPr>
              <w:t>kV</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高压绕组额定短时工频耐受电压（有效值）</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pacing w:before="48" w:after="48"/>
              <w:jc w:val="center"/>
              <w:rPr>
                <w:rFonts w:ascii="宋体" w:hAnsi="Times New Roman" w:eastAsia="宋体" w:cs="宋体"/>
                <w:color w:val="000000"/>
                <w:sz w:val="21"/>
                <w:szCs w:val="21"/>
                <w:highlight w:val="none"/>
              </w:rPr>
            </w:pPr>
            <w:r>
              <w:rPr>
                <w:rFonts w:ascii="@仿宋_GB2312" w:hAnsi="Times New Roman" w:eastAsia="@仿宋_GB2312" w:cs="@仿宋_GB2312"/>
                <w:sz w:val="21"/>
                <w:szCs w:val="21"/>
                <w:highlight w:val="none"/>
              </w:rPr>
              <w:t>同上</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低压绕组额定短时工频耐受电压（有效值）</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w:t>
            </w:r>
          </w:p>
        </w:tc>
        <w:tc>
          <w:tcPr>
            <w:tcW w:w="2801" w:type="dxa"/>
            <w:tcBorders>
              <w:top w:val="single" w:color="auto" w:sz="8" w:space="0"/>
              <w:left w:val="single" w:color="auto" w:sz="8" w:space="0"/>
              <w:bottom w:val="single" w:color="auto" w:sz="8" w:space="0"/>
              <w:right w:val="single" w:color="auto" w:sz="8" w:space="0"/>
            </w:tcBorders>
            <w:noWrap/>
            <w:vAlign w:val="center"/>
          </w:tcPr>
          <w:p>
            <w:pPr>
              <w:widowControl w:val="0"/>
              <w:autoSpaceDN w:val="0"/>
              <w:spacing w:before="48" w:after="48"/>
              <w:jc w:val="center"/>
              <w:rPr>
                <w:rFonts w:ascii="宋体" w:hAnsi="Times New Roman" w:eastAsia="宋体" w:cs="宋体"/>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同上</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3"/>
          <w:wAfter w:w="7284" w:type="dxa"/>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额定电流下的绕组平均温升</w:t>
            </w:r>
            <w:r>
              <w:rPr>
                <w:rFonts w:ascii="Times New Roman" w:hAnsi="Times New Roman" w:eastAsia="宋体" w:cs="Times New Roman"/>
                <w:szCs w:val="21"/>
                <w:highlight w:val="none"/>
              </w:rPr>
              <w:t>(F)</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w:t>
            </w:r>
          </w:p>
        </w:tc>
        <w:tc>
          <w:tcPr>
            <w:tcW w:w="2801" w:type="dxa"/>
            <w:tcBorders>
              <w:top w:val="single" w:color="auto" w:sz="8" w:space="0"/>
              <w:left w:val="single" w:color="auto" w:sz="8" w:space="0"/>
              <w:bottom w:val="single" w:color="auto" w:sz="8" w:space="0"/>
              <w:right w:val="single" w:color="auto" w:sz="8" w:space="0"/>
            </w:tcBorders>
            <w:noWrap/>
            <w:vAlign w:val="center"/>
          </w:tcPr>
          <w:p>
            <w:pPr>
              <w:widowControl w:val="0"/>
              <w:autoSpaceDN w:val="0"/>
              <w:spacing w:before="48" w:after="48"/>
              <w:jc w:val="center"/>
              <w:rPr>
                <w:rFonts w:ascii="宋体" w:hAnsi="Times New Roman" w:eastAsia="宋体" w:cs="宋体"/>
                <w:kern w:val="2"/>
                <w:sz w:val="21"/>
                <w:szCs w:val="21"/>
                <w:highlight w:val="none"/>
                <w:lang w:val="en-US" w:eastAsia="zh-CN" w:bidi="ar-SA"/>
              </w:rPr>
            </w:pPr>
            <w:r>
              <w:rPr>
                <w:rFonts w:hint="eastAsia" w:ascii="宋体" w:hAnsi="Times New Roman" w:eastAsia="宋体" w:cs="宋体"/>
                <w:kern w:val="2"/>
                <w:sz w:val="21"/>
                <w:szCs w:val="21"/>
                <w:highlight w:val="none"/>
                <w:lang w:val="en-US" w:eastAsia="zh-CN" w:bidi="ar-SA"/>
              </w:rPr>
              <w:t>100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3"/>
          <w:wAfter w:w="7284" w:type="dxa"/>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四</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额定频率额定电压时空载损耗</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w:t>
            </w:r>
          </w:p>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hAnsi="Times New Roman" w:eastAsia="宋体" w:cs="宋体"/>
                <w:szCs w:val="21"/>
                <w:highlight w:val="none"/>
              </w:rPr>
            </w:pPr>
            <w:r>
              <w:rPr>
                <w:rFonts w:hint="eastAsia" w:ascii="宋体" w:hAnsi="Times New Roman"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3"/>
          <w:wAfter w:w="7284" w:type="dxa"/>
          <w:trHeight w:val="357"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额定电流下主分接负载损耗</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w:t>
            </w:r>
          </w:p>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(120</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hAnsi="Times New Roman" w:eastAsia="宋体" w:cs="宋体"/>
                <w:szCs w:val="21"/>
                <w:highlight w:val="none"/>
              </w:rPr>
            </w:pPr>
            <w:r>
              <w:rPr>
                <w:rFonts w:hint="eastAsia" w:ascii="宋体" w:hAnsi="Times New Roman"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短路阻抗</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hAnsi="Times New Roman" w:eastAsia="宋体" w:cs="宋体"/>
                <w:szCs w:val="21"/>
                <w:highlight w:val="none"/>
              </w:rPr>
            </w:pPr>
            <w:r>
              <w:rPr>
                <w:rFonts w:hint="eastAsia" w:ascii="宋体" w:hAnsi="Times New Roman"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六</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hAnsi="Times New Roman"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外壳防护等级</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hAnsi="Times New Roman" w:eastAsia="宋体" w:cs="宋体"/>
                <w:szCs w:val="21"/>
                <w:highlight w:val="none"/>
              </w:rPr>
            </w:pPr>
            <w:r>
              <w:rPr>
                <w:rFonts w:hint="eastAsia" w:ascii="宋体" w:hAnsi="Times New Roman" w:eastAsia="宋体" w:cs="宋体"/>
                <w:szCs w:val="21"/>
                <w:highlight w:val="none"/>
              </w:rPr>
              <w:t>≥IP20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外壳材质</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hAnsi="Times New Roman" w:eastAsia="宋体" w:cs="宋体"/>
                <w:szCs w:val="21"/>
                <w:highlight w:val="none"/>
              </w:rPr>
            </w:pPr>
            <w:r>
              <w:rPr>
                <w:rFonts w:hint="eastAsia" w:ascii="宋体" w:hAnsi="Times New Roman" w:eastAsia="宋体" w:cs="宋体"/>
                <w:szCs w:val="21"/>
                <w:highlight w:val="none"/>
              </w:rPr>
              <w:t>铝合金</w:t>
            </w:r>
          </w:p>
        </w:tc>
      </w:tr>
    </w:tbl>
    <w:p>
      <w:pPr>
        <w:autoSpaceDN w:val="0"/>
        <w:ind w:firstLine="420"/>
        <w:jc w:val="center"/>
        <w:rPr>
          <w:rFonts w:ascii="黑体" w:hAnsi="Times New Roman" w:eastAsia="黑体" w:cs="Times New Roman"/>
          <w:snapToGrid w:val="0"/>
          <w:kern w:val="0"/>
          <w:szCs w:val="21"/>
          <w:highlight w:val="none"/>
        </w:rPr>
      </w:pPr>
    </w:p>
    <w:p>
      <w:pPr>
        <w:autoSpaceDN w:val="0"/>
        <w:rPr>
          <w:rFonts w:ascii="黑体" w:hAnsi="Times New Roman" w:eastAsia="黑体" w:cs="Times New Roman"/>
          <w:snapToGrid w:val="0"/>
          <w:kern w:val="0"/>
          <w:szCs w:val="21"/>
          <w:highlight w:val="none"/>
        </w:rPr>
      </w:pPr>
    </w:p>
    <w:p>
      <w:pPr>
        <w:autoSpaceDN w:val="0"/>
        <w:ind w:firstLine="420"/>
        <w:jc w:val="center"/>
        <w:rPr>
          <w:rFonts w:ascii="黑体" w:hAnsi="Times New Roman" w:eastAsia="黑体" w:cs="Times New Roman"/>
          <w:snapToGrid w:val="0"/>
          <w:kern w:val="0"/>
          <w:szCs w:val="21"/>
          <w:highlight w:val="none"/>
        </w:rPr>
      </w:pPr>
    </w:p>
    <w:p>
      <w:pPr>
        <w:autoSpaceDN w:val="0"/>
        <w:ind w:firstLine="420"/>
        <w:jc w:val="center"/>
        <w:rPr>
          <w:rFonts w:ascii="黑体" w:hAnsi="Times New Roman" w:eastAsia="黑体" w:cs="Times New Roman"/>
          <w:snapToGrid w:val="0"/>
          <w:kern w:val="0"/>
          <w:szCs w:val="21"/>
          <w:highlight w:val="none"/>
        </w:rPr>
      </w:pPr>
      <w:r>
        <w:rPr>
          <w:rFonts w:hint="eastAsia" w:ascii="黑体" w:hAnsi="Times New Roman" w:eastAsia="黑体" w:cs="Times New Roman"/>
          <w:snapToGrid w:val="0"/>
          <w:kern w:val="0"/>
          <w:szCs w:val="21"/>
          <w:highlight w:val="none"/>
        </w:rPr>
        <w:t>表3 干式三相双绕组无励磁调压电力变压器参数表</w:t>
      </w:r>
    </w:p>
    <w:tbl>
      <w:tblPr>
        <w:tblStyle w:val="2"/>
        <w:tblW w:w="922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96"/>
        <w:gridCol w:w="1342"/>
        <w:gridCol w:w="736"/>
        <w:gridCol w:w="1099"/>
        <w:gridCol w:w="782"/>
        <w:gridCol w:w="960"/>
        <w:gridCol w:w="1106"/>
        <w:gridCol w:w="1107"/>
        <w:gridCol w:w="119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896" w:type="dxa"/>
            <w:tcBorders>
              <w:top w:val="single" w:color="auto" w:sz="8" w:space="0"/>
              <w:left w:val="single" w:color="auto" w:sz="8"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型号</w:t>
            </w:r>
          </w:p>
        </w:tc>
        <w:tc>
          <w:tcPr>
            <w:tcW w:w="1342"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额定容量</w:t>
            </w:r>
          </w:p>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kVA</w:t>
            </w:r>
          </w:p>
        </w:tc>
        <w:tc>
          <w:tcPr>
            <w:tcW w:w="736"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高压</w:t>
            </w:r>
          </w:p>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kV</w:t>
            </w:r>
          </w:p>
        </w:tc>
        <w:tc>
          <w:tcPr>
            <w:tcW w:w="1099"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高压分接范围％</w:t>
            </w:r>
          </w:p>
        </w:tc>
        <w:tc>
          <w:tcPr>
            <w:tcW w:w="782"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低压</w:t>
            </w:r>
          </w:p>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kV</w:t>
            </w:r>
          </w:p>
        </w:tc>
        <w:tc>
          <w:tcPr>
            <w:tcW w:w="960"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联结组标号</w:t>
            </w:r>
          </w:p>
        </w:tc>
        <w:tc>
          <w:tcPr>
            <w:tcW w:w="1106"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空载损耗W</w:t>
            </w:r>
          </w:p>
        </w:tc>
        <w:tc>
          <w:tcPr>
            <w:tcW w:w="1107"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负载损耗W（120℃）</w:t>
            </w:r>
          </w:p>
        </w:tc>
        <w:tc>
          <w:tcPr>
            <w:tcW w:w="1198" w:type="dxa"/>
            <w:tcBorders>
              <w:top w:val="single" w:color="auto" w:sz="8" w:space="0"/>
              <w:left w:val="single" w:color="auto" w:sz="4" w:space="0"/>
              <w:bottom w:val="single" w:color="auto" w:sz="4" w:space="0"/>
              <w:right w:val="single" w:color="auto" w:sz="8" w:space="0"/>
            </w:tcBorders>
            <w:noWrap/>
            <w:vAlign w:val="center"/>
          </w:tcPr>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短路阻抗</w:t>
            </w:r>
          </w:p>
          <w:p>
            <w:pPr>
              <w:topLinePunct/>
              <w:autoSpaceDN w:val="0"/>
              <w:snapToGrid w:val="0"/>
              <w:spacing w:line="260" w:lineRule="exact"/>
              <w:jc w:val="center"/>
              <w:rPr>
                <w:rFonts w:ascii="宋体" w:hAnsi="Times New Roman" w:eastAsia="宋体" w:cs="Times New Roman"/>
                <w:b/>
                <w:bCs/>
                <w:color w:val="000000"/>
                <w:kern w:val="21"/>
                <w:sz w:val="20"/>
                <w:szCs w:val="20"/>
                <w:highlight w:val="none"/>
              </w:rPr>
            </w:pPr>
            <w:r>
              <w:rPr>
                <w:rFonts w:hint="eastAsia" w:ascii="宋体" w:hAnsi="Times New Roman" w:eastAsia="宋体" w:cs="Times New Roman"/>
                <w:b/>
                <w:bCs/>
                <w:color w:val="000000"/>
                <w:kern w:val="21"/>
                <w:sz w:val="20"/>
                <w:szCs w:val="20"/>
                <w:highlight w: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96"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SCB14</w:t>
            </w:r>
          </w:p>
        </w:tc>
        <w:tc>
          <w:tcPr>
            <w:tcW w:w="1342"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500</w:t>
            </w:r>
          </w:p>
        </w:tc>
        <w:tc>
          <w:tcPr>
            <w:tcW w:w="736" w:type="dxa"/>
            <w:vMerge w:val="restart"/>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line="260" w:lineRule="exact"/>
              <w:ind w:firstLine="200" w:firstLineChars="100"/>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10</w:t>
            </w:r>
          </w:p>
        </w:tc>
        <w:tc>
          <w:tcPr>
            <w:tcW w:w="1099" w:type="dxa"/>
            <w:vMerge w:val="restart"/>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±2×2.5</w:t>
            </w:r>
          </w:p>
        </w:tc>
        <w:tc>
          <w:tcPr>
            <w:tcW w:w="782" w:type="dxa"/>
            <w:vMerge w:val="restart"/>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0.4</w:t>
            </w:r>
          </w:p>
        </w:tc>
        <w:tc>
          <w:tcPr>
            <w:tcW w:w="960" w:type="dxa"/>
            <w:vMerge w:val="restart"/>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Dyn11</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260" w:lineRule="exact"/>
              <w:jc w:val="center"/>
              <w:textAlignment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sz w:val="20"/>
                <w:szCs w:val="20"/>
                <w:highlight w:val="none"/>
              </w:rPr>
              <w:t>790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260" w:lineRule="exact"/>
              <w:jc w:val="center"/>
              <w:textAlignment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sz w:val="20"/>
                <w:szCs w:val="20"/>
                <w:highlight w:val="none"/>
              </w:rPr>
              <w:t>4390</w:t>
            </w:r>
          </w:p>
        </w:tc>
        <w:tc>
          <w:tcPr>
            <w:tcW w:w="1198"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line="260" w:lineRule="exact"/>
              <w:jc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4.0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96"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SCB14</w:t>
            </w:r>
          </w:p>
        </w:tc>
        <w:tc>
          <w:tcPr>
            <w:tcW w:w="1342"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630</w:t>
            </w:r>
          </w:p>
        </w:tc>
        <w:tc>
          <w:tcPr>
            <w:tcW w:w="736" w:type="dxa"/>
            <w:vMerge w:val="continue"/>
            <w:tcBorders>
              <w:top w:val="single" w:color="auto" w:sz="4" w:space="0"/>
              <w:left w:val="single" w:color="auto" w:sz="4" w:space="0"/>
              <w:bottom w:val="single" w:color="auto" w:sz="8" w:space="0"/>
              <w:right w:val="single" w:color="auto" w:sz="4" w:space="0"/>
            </w:tcBorders>
            <w:noWrap/>
            <w:vAlign w:val="center"/>
          </w:tcPr>
          <w:p>
            <w:pPr>
              <w:rPr>
                <w:rFonts w:ascii="@仿宋_GB2312" w:hAnsi="Times New Roman" w:eastAsia="@仿宋_GB2312" w:cs="@仿宋_GB2312"/>
                <w:szCs w:val="20"/>
                <w:highlight w:val="none"/>
              </w:rPr>
            </w:pPr>
          </w:p>
        </w:tc>
        <w:tc>
          <w:tcPr>
            <w:tcW w:w="1099" w:type="dxa"/>
            <w:vMerge w:val="continue"/>
            <w:tcBorders>
              <w:top w:val="single" w:color="auto" w:sz="4" w:space="0"/>
              <w:left w:val="single" w:color="auto" w:sz="4" w:space="0"/>
              <w:bottom w:val="single" w:color="auto" w:sz="8" w:space="0"/>
              <w:right w:val="single" w:color="auto" w:sz="4" w:space="0"/>
            </w:tcBorders>
            <w:noWrap/>
            <w:vAlign w:val="center"/>
          </w:tcPr>
          <w:p>
            <w:pPr>
              <w:rPr>
                <w:rFonts w:ascii="@仿宋_GB2312" w:hAnsi="Times New Roman" w:eastAsia="@仿宋_GB2312" w:cs="@仿宋_GB2312"/>
                <w:szCs w:val="20"/>
                <w:highlight w:val="none"/>
              </w:rPr>
            </w:pPr>
          </w:p>
        </w:tc>
        <w:tc>
          <w:tcPr>
            <w:tcW w:w="782" w:type="dxa"/>
            <w:vMerge w:val="continue"/>
            <w:tcBorders>
              <w:top w:val="single" w:color="auto" w:sz="4" w:space="0"/>
              <w:left w:val="single" w:color="auto" w:sz="4" w:space="0"/>
              <w:bottom w:val="single" w:color="auto" w:sz="8" w:space="0"/>
              <w:right w:val="single" w:color="auto" w:sz="4" w:space="0"/>
            </w:tcBorders>
            <w:noWrap/>
            <w:vAlign w:val="center"/>
          </w:tcPr>
          <w:p>
            <w:pPr>
              <w:rPr>
                <w:rFonts w:ascii="@仿宋_GB2312" w:hAnsi="Times New Roman" w:eastAsia="@仿宋_GB2312" w:cs="@仿宋_GB2312"/>
                <w:szCs w:val="20"/>
                <w:highlight w:val="none"/>
              </w:rPr>
            </w:pPr>
          </w:p>
        </w:tc>
        <w:tc>
          <w:tcPr>
            <w:tcW w:w="960" w:type="dxa"/>
            <w:vMerge w:val="continue"/>
            <w:tcBorders>
              <w:top w:val="single" w:color="auto" w:sz="4" w:space="0"/>
              <w:left w:val="single" w:color="auto" w:sz="4" w:space="0"/>
              <w:bottom w:val="single" w:color="auto" w:sz="8" w:space="0"/>
              <w:right w:val="single" w:color="auto" w:sz="4" w:space="0"/>
            </w:tcBorders>
            <w:noWrap/>
            <w:vAlign w:val="center"/>
          </w:tcPr>
          <w:p>
            <w:pPr>
              <w:rPr>
                <w:rFonts w:ascii="@仿宋_GB2312" w:hAnsi="Times New Roman" w:eastAsia="@仿宋_GB2312" w:cs="@仿宋_GB2312"/>
                <w:szCs w:val="20"/>
                <w:highlight w:val="none"/>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260" w:lineRule="exact"/>
              <w:jc w:val="center"/>
              <w:textAlignment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sz w:val="20"/>
                <w:szCs w:val="20"/>
                <w:highlight w:val="none"/>
              </w:rPr>
              <w:t>885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260" w:lineRule="exact"/>
              <w:jc w:val="center"/>
              <w:textAlignment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sz w:val="20"/>
                <w:szCs w:val="20"/>
                <w:highlight w:val="none"/>
              </w:rPr>
              <w:t>5365</w:t>
            </w:r>
          </w:p>
        </w:tc>
        <w:tc>
          <w:tcPr>
            <w:tcW w:w="1198" w:type="dxa"/>
            <w:vMerge w:val="restart"/>
            <w:tcBorders>
              <w:top w:val="single" w:color="auto" w:sz="4" w:space="0"/>
              <w:left w:val="single" w:color="auto" w:sz="4" w:space="0"/>
              <w:bottom w:val="single" w:color="auto" w:sz="8" w:space="0"/>
              <w:right w:val="single" w:color="auto" w:sz="8" w:space="0"/>
            </w:tcBorders>
            <w:noWrap/>
            <w:vAlign w:val="center"/>
          </w:tcPr>
          <w:p>
            <w:pPr>
              <w:topLinePunct/>
              <w:autoSpaceDN w:val="0"/>
              <w:snapToGrid w:val="0"/>
              <w:spacing w:line="260" w:lineRule="exact"/>
              <w:jc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6.0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96" w:type="dxa"/>
            <w:tcBorders>
              <w:top w:val="single" w:color="auto" w:sz="4" w:space="0"/>
              <w:left w:val="single" w:color="auto" w:sz="8" w:space="0"/>
              <w:bottom w:val="single" w:color="auto" w:sz="8"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SCB14</w:t>
            </w:r>
          </w:p>
        </w:tc>
        <w:tc>
          <w:tcPr>
            <w:tcW w:w="1342" w:type="dxa"/>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line="260" w:lineRule="exact"/>
              <w:jc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kern w:val="21"/>
                <w:sz w:val="20"/>
                <w:szCs w:val="20"/>
                <w:highlight w:val="none"/>
              </w:rPr>
              <w:t>800</w:t>
            </w:r>
          </w:p>
        </w:tc>
        <w:tc>
          <w:tcPr>
            <w:tcW w:w="736" w:type="dxa"/>
            <w:vMerge w:val="continue"/>
            <w:tcBorders>
              <w:top w:val="single" w:color="auto" w:sz="4" w:space="0"/>
              <w:left w:val="single" w:color="auto" w:sz="4" w:space="0"/>
              <w:bottom w:val="single" w:color="auto" w:sz="8" w:space="0"/>
              <w:right w:val="single" w:color="auto" w:sz="4" w:space="0"/>
            </w:tcBorders>
            <w:noWrap/>
            <w:vAlign w:val="center"/>
          </w:tcPr>
          <w:p>
            <w:pPr>
              <w:rPr>
                <w:rFonts w:ascii="@仿宋_GB2312" w:hAnsi="Times New Roman" w:eastAsia="@仿宋_GB2312" w:cs="@仿宋_GB2312"/>
                <w:szCs w:val="20"/>
                <w:highlight w:val="none"/>
              </w:rPr>
            </w:pPr>
          </w:p>
        </w:tc>
        <w:tc>
          <w:tcPr>
            <w:tcW w:w="1099" w:type="dxa"/>
            <w:vMerge w:val="continue"/>
            <w:tcBorders>
              <w:top w:val="single" w:color="auto" w:sz="4" w:space="0"/>
              <w:left w:val="single" w:color="auto" w:sz="4" w:space="0"/>
              <w:bottom w:val="single" w:color="auto" w:sz="8" w:space="0"/>
              <w:right w:val="single" w:color="auto" w:sz="4" w:space="0"/>
            </w:tcBorders>
            <w:noWrap/>
            <w:vAlign w:val="center"/>
          </w:tcPr>
          <w:p>
            <w:pPr>
              <w:rPr>
                <w:rFonts w:ascii="@仿宋_GB2312" w:hAnsi="Times New Roman" w:eastAsia="@仿宋_GB2312" w:cs="@仿宋_GB2312"/>
                <w:szCs w:val="20"/>
                <w:highlight w:val="none"/>
              </w:rPr>
            </w:pPr>
          </w:p>
        </w:tc>
        <w:tc>
          <w:tcPr>
            <w:tcW w:w="782" w:type="dxa"/>
            <w:vMerge w:val="continue"/>
            <w:tcBorders>
              <w:top w:val="single" w:color="auto" w:sz="4" w:space="0"/>
              <w:left w:val="single" w:color="auto" w:sz="4" w:space="0"/>
              <w:bottom w:val="single" w:color="auto" w:sz="8" w:space="0"/>
              <w:right w:val="single" w:color="auto" w:sz="4" w:space="0"/>
            </w:tcBorders>
            <w:noWrap/>
            <w:vAlign w:val="center"/>
          </w:tcPr>
          <w:p>
            <w:pPr>
              <w:rPr>
                <w:rFonts w:ascii="@仿宋_GB2312" w:hAnsi="Times New Roman" w:eastAsia="@仿宋_GB2312" w:cs="@仿宋_GB2312"/>
                <w:szCs w:val="20"/>
                <w:highlight w:val="none"/>
              </w:rPr>
            </w:pPr>
          </w:p>
        </w:tc>
        <w:tc>
          <w:tcPr>
            <w:tcW w:w="960" w:type="dxa"/>
            <w:vMerge w:val="continue"/>
            <w:tcBorders>
              <w:top w:val="single" w:color="auto" w:sz="4" w:space="0"/>
              <w:left w:val="single" w:color="auto" w:sz="4" w:space="0"/>
              <w:bottom w:val="single" w:color="auto" w:sz="8" w:space="0"/>
              <w:right w:val="single" w:color="auto" w:sz="4" w:space="0"/>
            </w:tcBorders>
            <w:noWrap/>
            <w:vAlign w:val="center"/>
          </w:tcPr>
          <w:p>
            <w:pPr>
              <w:rPr>
                <w:rFonts w:ascii="@仿宋_GB2312" w:hAnsi="Times New Roman" w:eastAsia="@仿宋_GB2312" w:cs="@仿宋_GB2312"/>
                <w:szCs w:val="20"/>
                <w:highlight w:val="none"/>
              </w:rPr>
            </w:pPr>
          </w:p>
        </w:tc>
        <w:tc>
          <w:tcPr>
            <w:tcW w:w="1106" w:type="dxa"/>
            <w:tcBorders>
              <w:top w:val="single" w:color="auto" w:sz="4" w:space="0"/>
              <w:left w:val="single" w:color="auto" w:sz="4" w:space="0"/>
              <w:bottom w:val="single" w:color="auto" w:sz="8" w:space="0"/>
              <w:right w:val="single" w:color="auto" w:sz="4" w:space="0"/>
            </w:tcBorders>
            <w:noWrap/>
            <w:vAlign w:val="center"/>
          </w:tcPr>
          <w:p>
            <w:pPr>
              <w:widowControl/>
              <w:autoSpaceDN w:val="0"/>
              <w:spacing w:line="260" w:lineRule="exact"/>
              <w:jc w:val="center"/>
              <w:textAlignment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sz w:val="20"/>
                <w:szCs w:val="20"/>
                <w:highlight w:val="none"/>
              </w:rPr>
              <w:t>1035</w:t>
            </w:r>
          </w:p>
        </w:tc>
        <w:tc>
          <w:tcPr>
            <w:tcW w:w="1107" w:type="dxa"/>
            <w:tcBorders>
              <w:top w:val="single" w:color="auto" w:sz="4" w:space="0"/>
              <w:left w:val="single" w:color="auto" w:sz="4" w:space="0"/>
              <w:bottom w:val="single" w:color="auto" w:sz="8" w:space="0"/>
              <w:right w:val="single" w:color="auto" w:sz="4" w:space="0"/>
            </w:tcBorders>
            <w:noWrap/>
            <w:vAlign w:val="center"/>
          </w:tcPr>
          <w:p>
            <w:pPr>
              <w:widowControl/>
              <w:autoSpaceDN w:val="0"/>
              <w:spacing w:line="260" w:lineRule="exact"/>
              <w:jc w:val="center"/>
              <w:textAlignment w:val="center"/>
              <w:rPr>
                <w:rFonts w:ascii="宋体" w:hAnsi="Times New Roman" w:eastAsia="宋体" w:cs="Times New Roman"/>
                <w:color w:val="000000"/>
                <w:kern w:val="21"/>
                <w:sz w:val="20"/>
                <w:szCs w:val="20"/>
                <w:highlight w:val="none"/>
              </w:rPr>
            </w:pPr>
            <w:r>
              <w:rPr>
                <w:rFonts w:hint="eastAsia" w:ascii="宋体" w:hAnsi="Times New Roman" w:eastAsia="宋体" w:cs="Times New Roman"/>
                <w:color w:val="000000"/>
                <w:sz w:val="20"/>
                <w:szCs w:val="20"/>
                <w:highlight w:val="none"/>
              </w:rPr>
              <w:t>6265</w:t>
            </w:r>
          </w:p>
        </w:tc>
        <w:tc>
          <w:tcPr>
            <w:tcW w:w="1198" w:type="dxa"/>
            <w:vMerge w:val="continue"/>
            <w:tcBorders>
              <w:top w:val="single" w:color="auto" w:sz="4" w:space="0"/>
              <w:left w:val="single" w:color="auto" w:sz="4" w:space="0"/>
              <w:bottom w:val="single" w:color="auto" w:sz="8" w:space="0"/>
              <w:right w:val="single" w:color="auto" w:sz="8" w:space="0"/>
            </w:tcBorders>
            <w:noWrap/>
            <w:vAlign w:val="center"/>
          </w:tcPr>
          <w:p>
            <w:pPr>
              <w:rPr>
                <w:rFonts w:ascii="@仿宋_GB2312" w:hAnsi="Times New Roman" w:eastAsia="@仿宋_GB2312" w:cs="@仿宋_GB2312"/>
                <w:szCs w:val="20"/>
                <w:highlight w:val="none"/>
              </w:rPr>
            </w:pPr>
          </w:p>
        </w:tc>
      </w:tr>
    </w:tbl>
    <w:p>
      <w:pPr>
        <w:widowControl/>
        <w:topLinePunct/>
        <w:autoSpaceDN w:val="0"/>
        <w:spacing w:line="372" w:lineRule="auto"/>
        <w:ind w:left="210"/>
        <w:jc w:val="left"/>
        <w:rPr>
          <w:rFonts w:ascii="宋体" w:hAnsi="Times New Roman" w:eastAsia="宋体" w:cs="宋体"/>
          <w:b/>
          <w:sz w:val="22"/>
          <w:szCs w:val="22"/>
          <w:highlight w:val="none"/>
        </w:rPr>
      </w:pPr>
      <w:r>
        <w:rPr>
          <w:rFonts w:hint="eastAsia" w:ascii="宋体" w:hAnsi="Times New Roman" w:eastAsia="宋体" w:cs="宋体"/>
          <w:b/>
          <w:sz w:val="22"/>
          <w:szCs w:val="22"/>
          <w:highlight w:val="none"/>
        </w:rPr>
        <w:t>变压器空载和负载损耗单项超过表2，将被视为实质性不符合招标文件要求。</w:t>
      </w:r>
    </w:p>
    <w:p>
      <w:pPr>
        <w:widowControl/>
        <w:topLinePunct/>
        <w:autoSpaceDN w:val="0"/>
        <w:spacing w:line="372" w:lineRule="auto"/>
        <w:ind w:left="210"/>
        <w:jc w:val="left"/>
        <w:outlineLvl w:val="1"/>
        <w:rPr>
          <w:rFonts w:ascii="宋体" w:hAnsi="Times New Roman" w:eastAsia="宋体" w:cs="Times New Roman"/>
          <w:b/>
          <w:bCs/>
          <w:sz w:val="24"/>
          <w:szCs w:val="24"/>
          <w:highlight w:val="none"/>
        </w:rPr>
      </w:pPr>
      <w:r>
        <w:rPr>
          <w:rFonts w:hint="eastAsia" w:ascii="宋体" w:hAnsi="Times New Roman" w:eastAsia="宋体" w:cs="Times New Roman"/>
          <w:b/>
          <w:bCs/>
          <w:sz w:val="24"/>
          <w:szCs w:val="24"/>
          <w:highlight w:val="none"/>
        </w:rPr>
        <w:t>五、执行标准</w:t>
      </w:r>
    </w:p>
    <w:p>
      <w:pPr>
        <w:autoSpaceDN w:val="0"/>
        <w:snapToGrid w:val="0"/>
        <w:spacing w:line="460" w:lineRule="exact"/>
        <w:ind w:firstLine="308" w:firstLineChars="147"/>
        <w:rPr>
          <w:rFonts w:ascii="宋体" w:hAnsi="Times New Roman" w:eastAsia="宋体" w:cs="Times New Roman"/>
          <w:sz w:val="24"/>
          <w:szCs w:val="24"/>
          <w:highlight w:val="none"/>
        </w:rPr>
      </w:pPr>
      <w:r>
        <w:rPr>
          <w:rFonts w:hint="eastAsia" w:ascii="宋体" w:hAnsi="Times New Roman" w:eastAsia="宋体" w:cs="Times New Roman"/>
          <w:szCs w:val="21"/>
          <w:highlight w:val="none"/>
        </w:rPr>
        <w:t>须执行现行国家标准和行业标准如下。标准修订或版本有矛盾时，按现行要求的最高标准执行。</w:t>
      </w:r>
    </w:p>
    <w:p>
      <w:pPr>
        <w:topLinePunct/>
        <w:autoSpaceDN w:val="0"/>
        <w:spacing w:line="372" w:lineRule="auto"/>
        <w:ind w:firstLine="420" w:firstLineChars="200"/>
        <w:rPr>
          <w:rFonts w:ascii="Times New Roman" w:hAnsi="Times New Roman" w:eastAsia="宋体" w:cs="Times New Roman"/>
          <w:snapToGrid w:val="0"/>
          <w:szCs w:val="21"/>
          <w:highlight w:val="none"/>
        </w:rPr>
      </w:pPr>
    </w:p>
    <w:p>
      <w:pPr>
        <w:topLinePunct/>
        <w:autoSpaceDN w:val="0"/>
        <w:spacing w:line="372" w:lineRule="auto"/>
        <w:ind w:firstLine="420" w:firstLineChars="20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GB1094.1</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1</w:t>
      </w:r>
      <w:r>
        <w:rPr>
          <w:rFonts w:hint="eastAsia" w:ascii="Times New Roman" w:hAnsi="Times New Roman" w:eastAsia="宋体" w:cs="Times New Roman"/>
          <w:snapToGrid w:val="0"/>
          <w:szCs w:val="21"/>
          <w:highlight w:val="none"/>
        </w:rPr>
        <w:t>部分总则</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GB1094.2</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2</w:t>
      </w:r>
      <w:r>
        <w:rPr>
          <w:rFonts w:hint="eastAsia" w:ascii="Times New Roman" w:hAnsi="Times New Roman" w:eastAsia="宋体" w:cs="Times New Roman"/>
          <w:snapToGrid w:val="0"/>
          <w:szCs w:val="21"/>
          <w:highlight w:val="none"/>
        </w:rPr>
        <w:t>部分温升</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GB1094.3</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3</w:t>
      </w:r>
      <w:r>
        <w:rPr>
          <w:rFonts w:hint="eastAsia" w:ascii="Times New Roman" w:hAnsi="Times New Roman" w:eastAsia="宋体" w:cs="Times New Roman"/>
          <w:snapToGrid w:val="0"/>
          <w:szCs w:val="21"/>
          <w:highlight w:val="none"/>
        </w:rPr>
        <w:t>部分绝缘水平、绝缘试验和外绝缘空气间隙</w:t>
      </w:r>
      <w:r>
        <w:rPr>
          <w:rFonts w:ascii="Times New Roman" w:hAnsi="Times New Roman" w:eastAsia="宋体" w:cs="Times New Roman"/>
          <w:snapToGrid w:val="0"/>
          <w:szCs w:val="21"/>
          <w:highlight w:val="none"/>
        </w:rPr>
        <w:tab/>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GB/T1094.4</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4</w:t>
      </w:r>
      <w:r>
        <w:rPr>
          <w:rFonts w:hint="eastAsia" w:ascii="Times New Roman" w:hAnsi="Times New Roman" w:eastAsia="宋体" w:cs="Times New Roman"/>
          <w:snapToGrid w:val="0"/>
          <w:szCs w:val="21"/>
          <w:highlight w:val="none"/>
        </w:rPr>
        <w:t>部分电力变压器和电抗器雷电冲击波和操作冲击波试验导则</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GB1094.5</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5</w:t>
      </w:r>
      <w:r>
        <w:rPr>
          <w:rFonts w:hint="eastAsia" w:ascii="Times New Roman" w:hAnsi="Times New Roman" w:eastAsia="宋体" w:cs="Times New Roman"/>
          <w:snapToGrid w:val="0"/>
          <w:szCs w:val="21"/>
          <w:highlight w:val="none"/>
        </w:rPr>
        <w:t>部分承受短路的能力</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GB/T1094.10</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10</w:t>
      </w:r>
      <w:r>
        <w:rPr>
          <w:rFonts w:hint="eastAsia" w:ascii="Times New Roman" w:hAnsi="Times New Roman" w:eastAsia="宋体" w:cs="Times New Roman"/>
          <w:snapToGrid w:val="0"/>
          <w:szCs w:val="21"/>
          <w:highlight w:val="none"/>
        </w:rPr>
        <w:t>部分声级测定</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 1094.12</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12</w:t>
      </w:r>
      <w:r>
        <w:rPr>
          <w:rFonts w:hint="eastAsia" w:ascii="Times New Roman" w:hAnsi="Times New Roman" w:eastAsia="宋体" w:cs="Times New Roman"/>
          <w:snapToGrid w:val="0"/>
          <w:szCs w:val="21"/>
          <w:highlight w:val="none"/>
        </w:rPr>
        <w:t>部分：干式电力变压器负载导则</w:t>
      </w:r>
    </w:p>
    <w:p>
      <w:pPr>
        <w:topLinePunct/>
        <w:autoSpaceDN w:val="0"/>
        <w:spacing w:line="372" w:lineRule="auto"/>
        <w:ind w:firstLine="420" w:firstLineChars="20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 6450</w:t>
      </w:r>
      <w:r>
        <w:rPr>
          <w:rFonts w:hint="eastAsia" w:ascii="Times New Roman" w:hAnsi="Times New Roman" w:eastAsia="宋体" w:cs="Times New Roman"/>
          <w:snapToGrid w:val="0"/>
          <w:szCs w:val="21"/>
          <w:highlight w:val="none"/>
        </w:rPr>
        <w:t>干式电力变压器</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 4208</w:t>
      </w:r>
      <w:r>
        <w:rPr>
          <w:rFonts w:hint="eastAsia" w:ascii="Times New Roman" w:hAnsi="Times New Roman" w:eastAsia="宋体" w:cs="Times New Roman"/>
          <w:snapToGrid w:val="0"/>
          <w:szCs w:val="21"/>
          <w:highlight w:val="none"/>
        </w:rPr>
        <w:t>外壳防护等级</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GB2900.15</w:t>
      </w:r>
      <w:r>
        <w:rPr>
          <w:rFonts w:hint="eastAsia" w:ascii="Times New Roman" w:hAnsi="Times New Roman" w:eastAsia="宋体" w:cs="Times New Roman"/>
          <w:snapToGrid w:val="0"/>
          <w:szCs w:val="21"/>
          <w:highlight w:val="none"/>
        </w:rPr>
        <w:t>电工术语变压器互感器调压器电抗器</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GB/T7354</w:t>
      </w:r>
      <w:r>
        <w:rPr>
          <w:rFonts w:hint="eastAsia" w:ascii="Times New Roman" w:hAnsi="Times New Roman" w:eastAsia="宋体" w:cs="Times New Roman"/>
          <w:snapToGrid w:val="0"/>
          <w:szCs w:val="21"/>
          <w:highlight w:val="none"/>
        </w:rPr>
        <w:t>局部放电测量</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GB/T5582</w:t>
      </w:r>
      <w:r>
        <w:rPr>
          <w:rFonts w:hint="eastAsia" w:ascii="Times New Roman" w:hAnsi="Times New Roman" w:eastAsia="宋体" w:cs="Times New Roman"/>
          <w:snapToGrid w:val="0"/>
          <w:szCs w:val="21"/>
          <w:highlight w:val="none"/>
        </w:rPr>
        <w:t>高压电力设备外绝缘污秽等级</w:t>
      </w:r>
    </w:p>
    <w:p>
      <w:pPr>
        <w:topLinePunct/>
        <w:autoSpaceDN w:val="0"/>
        <w:spacing w:line="372" w:lineRule="auto"/>
        <w:ind w:firstLine="420" w:firstLineChars="20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GB/T10228</w:t>
      </w:r>
      <w:r>
        <w:rPr>
          <w:rFonts w:hint="eastAsia" w:ascii="Times New Roman" w:hAnsi="Times New Roman" w:eastAsia="宋体" w:cs="Times New Roman"/>
          <w:snapToGrid w:val="0"/>
          <w:szCs w:val="21"/>
          <w:highlight w:val="none"/>
        </w:rPr>
        <w:t>干式变压器技术参数和要求</w:t>
      </w:r>
    </w:p>
    <w:p>
      <w:pPr>
        <w:topLinePunct/>
        <w:autoSpaceDN w:val="0"/>
        <w:spacing w:line="372" w:lineRule="auto"/>
        <w:ind w:firstLine="420" w:firstLineChars="20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 20052</w:t>
      </w:r>
      <w:r>
        <w:rPr>
          <w:rFonts w:hint="eastAsia" w:ascii="Times New Roman" w:hAnsi="Times New Roman" w:eastAsia="宋体" w:cs="Times New Roman"/>
          <w:snapToGrid w:val="0"/>
          <w:szCs w:val="21"/>
          <w:highlight w:val="none"/>
        </w:rPr>
        <w:t>电力变压器能效限定值及能效等级</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JB/T3837</w:t>
      </w:r>
      <w:r>
        <w:rPr>
          <w:rFonts w:hint="eastAsia" w:ascii="Times New Roman" w:hAnsi="Times New Roman" w:eastAsia="宋体" w:cs="Times New Roman"/>
          <w:snapToGrid w:val="0"/>
          <w:szCs w:val="21"/>
          <w:highlight w:val="none"/>
        </w:rPr>
        <w:t>变压器类产品型号编制方法</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DL/T596</w:t>
      </w:r>
      <w:r>
        <w:rPr>
          <w:rFonts w:hint="eastAsia" w:ascii="Times New Roman" w:hAnsi="Times New Roman" w:eastAsia="宋体" w:cs="Times New Roman"/>
          <w:snapToGrid w:val="0"/>
          <w:szCs w:val="21"/>
          <w:highlight w:val="none"/>
        </w:rPr>
        <w:t>电力设备预防性试验规程</w:t>
      </w:r>
    </w:p>
    <w:p>
      <w:pPr>
        <w:topLinePunct/>
        <w:autoSpaceDN w:val="0"/>
        <w:spacing w:line="372" w:lineRule="auto"/>
        <w:ind w:firstLine="420"/>
        <w:rPr>
          <w:rFonts w:ascii="宋体" w:hAnsi="Times New Roman" w:eastAsia="宋体" w:cs="@仿宋_GB2312"/>
          <w:b/>
          <w:bCs/>
          <w:sz w:val="24"/>
          <w:szCs w:val="18"/>
          <w:highlight w:val="none"/>
        </w:rPr>
      </w:pPr>
      <w:r>
        <w:rPr>
          <w:rFonts w:ascii="Times New Roman" w:hAnsi="Times New Roman" w:eastAsia="宋体" w:cs="Times New Roman"/>
          <w:snapToGrid w:val="0"/>
          <w:szCs w:val="21"/>
          <w:highlight w:val="none"/>
        </w:rPr>
        <w:t>DL/T572</w:t>
      </w:r>
      <w:r>
        <w:rPr>
          <w:rFonts w:hint="eastAsia" w:ascii="Times New Roman" w:hAnsi="Times New Roman" w:eastAsia="宋体" w:cs="Times New Roman"/>
          <w:snapToGrid w:val="0"/>
          <w:szCs w:val="21"/>
          <w:highlight w:val="none"/>
        </w:rPr>
        <w:t>电力变压器运行规程</w:t>
      </w:r>
    </w:p>
    <w:p>
      <w:pPr>
        <w:spacing w:line="360" w:lineRule="auto"/>
        <w:ind w:firstLine="437"/>
        <w:outlineLvl w:val="1"/>
        <w:rPr>
          <w:rFonts w:ascii="宋体" w:hAnsi="Times New Roman" w:eastAsia="宋体" w:cs="@仿宋_GB2312"/>
          <w:b/>
          <w:bCs/>
          <w:sz w:val="24"/>
          <w:szCs w:val="18"/>
          <w:highlight w:val="none"/>
        </w:rPr>
      </w:pPr>
      <w:r>
        <w:rPr>
          <w:rFonts w:hint="eastAsia" w:ascii="宋体" w:hAnsi="Times New Roman" w:eastAsia="宋体" w:cs="@仿宋_GB2312"/>
          <w:b/>
          <w:bCs/>
          <w:sz w:val="24"/>
          <w:szCs w:val="18"/>
          <w:highlight w:val="none"/>
        </w:rPr>
        <w:t>六、其他技术要求</w:t>
      </w:r>
    </w:p>
    <w:p>
      <w:pPr>
        <w:spacing w:line="360" w:lineRule="auto"/>
        <w:ind w:firstLine="437"/>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1、绝缘耐热等级H级，冷却方式AF。</w:t>
      </w:r>
    </w:p>
    <w:p>
      <w:pPr>
        <w:spacing w:line="360" w:lineRule="auto"/>
        <w:ind w:firstLine="437"/>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2、变压器线圈为全铜材质。</w:t>
      </w:r>
    </w:p>
    <w:p>
      <w:pPr>
        <w:spacing w:line="360" w:lineRule="auto"/>
        <w:ind w:firstLine="437"/>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3、所有供电设备执行国家、相关机构、部门的标准，通过ISO-9001系列质量体系认证，通过国家质量认证中心3C强制认证，持有国家相关部门认可的生产许可证。</w:t>
      </w:r>
    </w:p>
    <w:p>
      <w:pPr>
        <w:spacing w:line="360" w:lineRule="auto"/>
        <w:ind w:firstLine="437"/>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4、变压器装设智能式温控器, 装置应有高温时自动开启风扇，智能式温控器的安装应能方便于检修和更换。</w:t>
      </w:r>
    </w:p>
    <w:p>
      <w:pPr>
        <w:spacing w:line="360" w:lineRule="auto"/>
        <w:ind w:firstLine="437"/>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5、变压器外壳采用铝合金材质，外壳框架有足够的刚度和强度能承受所安装元件及短路所产生的动能，防护等级不低于IP20。外壳壳体设置有足够的通风孔,保证变压器正常运行不降容。</w:t>
      </w:r>
    </w:p>
    <w:p>
      <w:pPr>
        <w:spacing w:line="360" w:lineRule="auto"/>
        <w:ind w:firstLine="437"/>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6、各型号变压器按照国家标准和行业标准规定的项目、方法进行试验，且各项试验结果应符合GB1094及GB20052的标准要求，并出具证明书。</w:t>
      </w:r>
    </w:p>
    <w:p>
      <w:pPr>
        <w:spacing w:line="360" w:lineRule="auto"/>
        <w:ind w:firstLine="437"/>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7、</w:t>
      </w:r>
      <w:r>
        <w:rPr>
          <w:rFonts w:hint="eastAsia" w:ascii="宋体" w:hAnsi="Times New Roman" w:eastAsia="宋体" w:cs="@仿宋_GB2312"/>
          <w:b/>
          <w:bCs/>
          <w:sz w:val="24"/>
          <w:szCs w:val="18"/>
          <w:highlight w:val="none"/>
        </w:rPr>
        <w:t>投标单位所投产品应标明品牌，认真理解附表技术要求，对应附表的内容，填写所投产品的技术要求</w:t>
      </w:r>
      <w:r>
        <w:rPr>
          <w:rFonts w:hint="eastAsia" w:ascii="宋体" w:hAnsi="Times New Roman" w:eastAsia="宋体" w:cs="@仿宋_GB2312"/>
          <w:sz w:val="24"/>
          <w:szCs w:val="18"/>
          <w:highlight w:val="none"/>
        </w:rPr>
        <w:t>。</w:t>
      </w:r>
    </w:p>
    <w:p>
      <w:pPr>
        <w:spacing w:line="360" w:lineRule="auto"/>
        <w:ind w:firstLine="437"/>
        <w:rPr>
          <w:rFonts w:ascii="宋体" w:hAnsi="Times New Roman" w:eastAsia="宋体" w:cs="@仿宋_GB2312"/>
          <w:b/>
          <w:bCs/>
          <w:sz w:val="24"/>
          <w:szCs w:val="18"/>
          <w:highlight w:val="none"/>
        </w:rPr>
      </w:pPr>
      <w:r>
        <w:rPr>
          <w:rFonts w:hint="eastAsia" w:ascii="宋体" w:hAnsi="Times New Roman" w:eastAsia="宋体" w:cs="@仿宋_GB2312"/>
          <w:sz w:val="24"/>
          <w:szCs w:val="18"/>
          <w:highlight w:val="none"/>
        </w:rPr>
        <w:t>8、售后质保期服务响应时间不超过20分钟。</w:t>
      </w:r>
    </w:p>
    <w:p>
      <w:pPr>
        <w:spacing w:line="360" w:lineRule="auto"/>
        <w:ind w:firstLine="437"/>
        <w:outlineLvl w:val="1"/>
        <w:rPr>
          <w:rFonts w:ascii="宋体" w:hAnsi="Times New Roman" w:eastAsia="宋体" w:cs="@仿宋_GB2312"/>
          <w:b/>
          <w:bCs/>
          <w:sz w:val="24"/>
          <w:szCs w:val="18"/>
          <w:highlight w:val="none"/>
        </w:rPr>
      </w:pPr>
      <w:r>
        <w:rPr>
          <w:rFonts w:hint="eastAsia" w:ascii="宋体" w:hAnsi="Times New Roman" w:eastAsia="宋体" w:cs="@仿宋_GB2312"/>
          <w:b/>
          <w:bCs/>
          <w:sz w:val="24"/>
          <w:szCs w:val="18"/>
          <w:highlight w:val="none"/>
        </w:rPr>
        <w:t>七、报价要求</w:t>
      </w:r>
      <w:bookmarkEnd w:id="7"/>
      <w:bookmarkEnd w:id="8"/>
    </w:p>
    <w:p>
      <w:pPr>
        <w:spacing w:line="360" w:lineRule="auto"/>
        <w:ind w:firstLine="437"/>
        <w:rPr>
          <w:rFonts w:ascii="宋体" w:hAnsi="Times New Roman" w:eastAsia="宋体" w:cs="@仿宋_GB2312"/>
          <w:sz w:val="24"/>
          <w:szCs w:val="20"/>
          <w:highlight w:val="none"/>
        </w:rPr>
      </w:pPr>
      <w:r>
        <w:rPr>
          <w:rFonts w:hint="eastAsia" w:ascii="宋体" w:hAnsi="Times New Roman" w:eastAsia="宋体" w:cs="@仿宋_GB2312"/>
          <w:bCs/>
          <w:sz w:val="24"/>
          <w:szCs w:val="18"/>
          <w:highlight w:val="none"/>
        </w:rPr>
        <w:t>供应商须根据采购需求，报出总价。报价为完成本次项目的全费用价格，包含不限于变压器线圈为全铜，含风机、温控、铝合金外壳，配套母线改接拆装、运费、税金等，完成本次项目所发生的一切费用。</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5606"/>
    <w:multiLevelType w:val="singleLevel"/>
    <w:tmpl w:val="04E55606"/>
    <w:lvl w:ilvl="0" w:tentative="0">
      <w:start w:val="3"/>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TI1NmIzYmI4OTM5MGM0ODQzN2E2MzFiNjM2MDkifQ=="/>
  </w:docVars>
  <w:rsids>
    <w:rsidRoot w:val="71BE4781"/>
    <w:rsid w:val="249D459E"/>
    <w:rsid w:val="71BE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2024-04-29T10:31:00Z</dcterms:created>
  <dc:creator>许佳佳</dc:creator>
  <cp:lastModifiedBy>许佳佳</cp:lastModifiedBy>
  <dcterms:modified xsi:type="dcterms:W3CDTF">2024-04-29T10:32:39Z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AF429DFDF7BB47D09CBCAA8266144D92_11</vt:lpwstr>
  </property>
</Properties>
</file>