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20" w:lineRule="exact"/>
        <w:ind w:right="267" w:rightChars="127"/>
        <w:jc w:val="center"/>
        <w:rPr>
          <w:rFonts w:ascii="宋体" w:hAnsi="宋体" w:eastAsia="宋体"/>
          <w:b/>
          <w:bCs/>
          <w:sz w:val="52"/>
          <w:szCs w:val="52"/>
          <w:highlight w:val="none"/>
        </w:rPr>
      </w:pPr>
      <w:bookmarkStart w:id="0" w:name="_Hlk9544796"/>
    </w:p>
    <w:p>
      <w:pPr>
        <w:tabs>
          <w:tab w:val="left" w:pos="315"/>
          <w:tab w:val="left" w:pos="8820"/>
        </w:tabs>
        <w:spacing w:before="156" w:beforeLines="50" w:after="156" w:afterLines="50"/>
        <w:ind w:right="265" w:rightChars="126"/>
        <w:jc w:val="center"/>
        <w:rPr>
          <w:rFonts w:hint="eastAsia" w:ascii="方正小标宋_GBK" w:hAnsi="方正小标宋_GBK" w:eastAsia="方正小标宋_GBK" w:cs="方正小标宋_GBK"/>
          <w:sz w:val="52"/>
          <w:szCs w:val="52"/>
          <w:highlight w:val="none"/>
        </w:rPr>
      </w:pPr>
      <w:r>
        <w:rPr>
          <w:rFonts w:hint="eastAsia" w:ascii="方正小标宋_GBK" w:hAnsi="方正小标宋_GBK" w:eastAsia="方正小标宋_GBK" w:cs="方正小标宋_GBK"/>
          <w:sz w:val="52"/>
          <w:szCs w:val="52"/>
          <w:highlight w:val="none"/>
        </w:rPr>
        <w:t>安徽省省属高校政府采购</w:t>
      </w:r>
    </w:p>
    <w:p>
      <w:pPr>
        <w:tabs>
          <w:tab w:val="left" w:pos="315"/>
          <w:tab w:val="left" w:pos="8820"/>
        </w:tabs>
        <w:spacing w:before="156" w:beforeLines="50" w:after="156" w:afterLines="50"/>
        <w:ind w:right="265" w:rightChars="126"/>
        <w:jc w:val="center"/>
        <w:rPr>
          <w:rFonts w:hint="eastAsia" w:ascii="方正小标宋_GBK" w:hAnsi="方正小标宋_GBK" w:eastAsia="方正小标宋_GBK" w:cs="方正小标宋_GBK"/>
          <w:sz w:val="52"/>
          <w:szCs w:val="52"/>
          <w:highlight w:val="none"/>
        </w:rPr>
      </w:pPr>
      <w:r>
        <w:rPr>
          <w:rFonts w:hint="eastAsia" w:ascii="方正小标宋_GBK" w:hAnsi="方正小标宋_GBK" w:eastAsia="方正小标宋_GBK" w:cs="方正小标宋_GBK"/>
          <w:sz w:val="52"/>
          <w:szCs w:val="52"/>
          <w:highlight w:val="none"/>
        </w:rPr>
        <w:t>科研仪器设备类采购项目</w:t>
      </w:r>
    </w:p>
    <w:p>
      <w:pPr>
        <w:tabs>
          <w:tab w:val="left" w:pos="315"/>
          <w:tab w:val="left" w:pos="8820"/>
        </w:tabs>
        <w:spacing w:before="156" w:beforeLines="50" w:after="156" w:afterLines="50"/>
        <w:ind w:right="265" w:rightChars="126"/>
        <w:jc w:val="center"/>
        <w:rPr>
          <w:rFonts w:hint="eastAsia" w:ascii="方正小标宋_GBK" w:hAnsi="方正小标宋_GBK" w:eastAsia="方正小标宋_GBK" w:cs="方正小标宋_GBK"/>
          <w:sz w:val="52"/>
          <w:szCs w:val="52"/>
          <w:highlight w:val="none"/>
        </w:rPr>
      </w:pPr>
      <w:r>
        <w:rPr>
          <w:rFonts w:hint="eastAsia" w:ascii="方正小标宋_GBK" w:hAnsi="方正小标宋_GBK" w:eastAsia="方正小标宋_GBK" w:cs="方正小标宋_GBK"/>
          <w:sz w:val="52"/>
          <w:szCs w:val="52"/>
          <w:highlight w:val="none"/>
        </w:rPr>
        <w:t>公开招标文件</w:t>
      </w:r>
    </w:p>
    <w:p>
      <w:pPr>
        <w:pStyle w:val="2"/>
        <w:ind w:left="0" w:firstLine="0" w:firstLineChars="0"/>
        <w:jc w:val="center"/>
        <w:rPr>
          <w:rFonts w:hint="eastAsia" w:ascii="方正仿宋_GBK" w:hAnsi="方正仿宋_GBK" w:eastAsia="方正仿宋_GBK" w:cs="方正仿宋_GBK"/>
          <w:b/>
          <w:bCs/>
          <w:sz w:val="36"/>
          <w:szCs w:val="36"/>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p>
    <w:bookmarkEnd w:id="0"/>
    <w:p>
      <w:pPr>
        <w:tabs>
          <w:tab w:val="left" w:pos="315"/>
          <w:tab w:val="left" w:pos="8820"/>
        </w:tabs>
        <w:spacing w:before="312" w:beforeLines="100" w:after="156" w:afterLines="50" w:line="360" w:lineRule="auto"/>
        <w:ind w:right="267" w:rightChars="127"/>
        <w:jc w:val="center"/>
        <w:rPr>
          <w:rFonts w:ascii="宋体" w:hAnsi="宋体" w:eastAsia="宋体"/>
          <w:b/>
          <w:bCs/>
          <w:sz w:val="44"/>
          <w:szCs w:val="44"/>
          <w:highlight w:val="none"/>
        </w:rPr>
      </w:pPr>
    </w:p>
    <w:p>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pPr>
        <w:pStyle w:val="2"/>
        <w:rPr>
          <w:highlight w:val="none"/>
        </w:rPr>
      </w:pPr>
    </w:p>
    <w:p>
      <w:pPr>
        <w:tabs>
          <w:tab w:val="left" w:pos="2410"/>
        </w:tabs>
        <w:autoSpaceDE w:val="0"/>
        <w:autoSpaceDN w:val="0"/>
        <w:adjustRightInd w:val="0"/>
        <w:snapToGrid w:val="0"/>
        <w:spacing w:line="360" w:lineRule="auto"/>
        <w:ind w:firstLine="723" w:firstLineChars="200"/>
        <w:jc w:val="left"/>
        <w:rPr>
          <w:rFonts w:ascii="宋体" w:hAnsi="宋体" w:eastAsia="宋体"/>
          <w:b/>
          <w:spacing w:val="20"/>
          <w:kern w:val="0"/>
          <w:sz w:val="32"/>
          <w:szCs w:val="32"/>
          <w:highlight w:val="none"/>
          <w:u w:val="none"/>
        </w:rPr>
      </w:pPr>
      <w:r>
        <w:rPr>
          <w:rFonts w:hint="eastAsia" w:ascii="宋体" w:hAnsi="宋体" w:eastAsia="宋体"/>
          <w:b/>
          <w:spacing w:val="20"/>
          <w:kern w:val="0"/>
          <w:sz w:val="32"/>
          <w:szCs w:val="32"/>
          <w:highlight w:val="none"/>
          <w:u w:val="none"/>
        </w:rPr>
        <w:t>项目名称：</w:t>
      </w:r>
      <w:r>
        <w:rPr>
          <w:rFonts w:hint="eastAsia" w:ascii="宋体" w:hAnsi="宋体" w:eastAsia="宋体"/>
          <w:b/>
          <w:spacing w:val="20"/>
          <w:kern w:val="0"/>
          <w:sz w:val="32"/>
          <w:szCs w:val="32"/>
          <w:highlight w:val="none"/>
          <w:u w:val="none"/>
          <w:lang w:eastAsia="zh-CN"/>
        </w:rPr>
        <w:t>皖南医学院活性生物大分子研究安徽省重点实验室</w:t>
      </w:r>
      <w:r>
        <w:rPr>
          <w:rFonts w:hint="eastAsia" w:ascii="宋体" w:hAnsi="宋体" w:eastAsia="宋体"/>
          <w:b/>
          <w:spacing w:val="20"/>
          <w:kern w:val="0"/>
          <w:sz w:val="32"/>
          <w:szCs w:val="32"/>
          <w:highlight w:val="none"/>
          <w:u w:val="none"/>
        </w:rPr>
        <w:t xml:space="preserve"> </w:t>
      </w:r>
    </w:p>
    <w:p>
      <w:pPr>
        <w:tabs>
          <w:tab w:val="left" w:pos="2410"/>
        </w:tabs>
        <w:autoSpaceDE w:val="0"/>
        <w:autoSpaceDN w:val="0"/>
        <w:adjustRightInd w:val="0"/>
        <w:snapToGrid w:val="0"/>
        <w:spacing w:line="360" w:lineRule="auto"/>
        <w:ind w:firstLine="723" w:firstLineChars="200"/>
        <w:jc w:val="left"/>
        <w:rPr>
          <w:rFonts w:hint="eastAsia" w:ascii="宋体" w:hAnsi="宋体" w:eastAsia="宋体"/>
          <w:b/>
          <w:spacing w:val="20"/>
          <w:kern w:val="0"/>
          <w:sz w:val="32"/>
          <w:szCs w:val="32"/>
          <w:highlight w:val="none"/>
          <w:u w:val="none"/>
        </w:rPr>
      </w:pPr>
      <w:r>
        <w:rPr>
          <w:rFonts w:hint="eastAsia" w:ascii="宋体" w:hAnsi="宋体" w:eastAsia="宋体"/>
          <w:b/>
          <w:spacing w:val="20"/>
          <w:kern w:val="0"/>
          <w:sz w:val="32"/>
          <w:szCs w:val="32"/>
          <w:highlight w:val="none"/>
          <w:u w:val="none"/>
        </w:rPr>
        <w:t>项目编号：</w:t>
      </w:r>
      <w:r>
        <w:rPr>
          <w:rFonts w:hint="eastAsia" w:ascii="宋体" w:hAnsi="宋体" w:eastAsia="宋体"/>
          <w:b/>
          <w:spacing w:val="20"/>
          <w:kern w:val="0"/>
          <w:sz w:val="32"/>
          <w:szCs w:val="32"/>
          <w:highlight w:val="none"/>
          <w:u w:val="none"/>
          <w:lang w:val="en-US" w:eastAsia="zh-CN"/>
        </w:rPr>
        <w:t>FSKY34000120242274号001</w:t>
      </w:r>
      <w:r>
        <w:rPr>
          <w:rFonts w:hint="eastAsia" w:ascii="宋体" w:hAnsi="宋体" w:eastAsia="宋体"/>
          <w:b/>
          <w:spacing w:val="20"/>
          <w:kern w:val="0"/>
          <w:sz w:val="32"/>
          <w:szCs w:val="32"/>
          <w:highlight w:val="none"/>
          <w:u w:val="none"/>
        </w:rPr>
        <w:t xml:space="preserve">                   </w:t>
      </w:r>
    </w:p>
    <w:p>
      <w:pPr>
        <w:tabs>
          <w:tab w:val="left" w:pos="2410"/>
        </w:tabs>
        <w:autoSpaceDE w:val="0"/>
        <w:autoSpaceDN w:val="0"/>
        <w:adjustRightInd w:val="0"/>
        <w:snapToGrid w:val="0"/>
        <w:spacing w:line="360" w:lineRule="auto"/>
        <w:ind w:firstLine="723" w:firstLineChars="200"/>
        <w:jc w:val="left"/>
        <w:rPr>
          <w:rFonts w:ascii="宋体" w:hAnsi="宋体" w:eastAsia="宋体"/>
          <w:b/>
          <w:spacing w:val="20"/>
          <w:kern w:val="0"/>
          <w:sz w:val="32"/>
          <w:szCs w:val="32"/>
          <w:highlight w:val="none"/>
          <w:u w:val="none"/>
        </w:rPr>
      </w:pPr>
      <w:r>
        <w:rPr>
          <w:rFonts w:hint="eastAsia" w:ascii="宋体" w:hAnsi="宋体" w:eastAsia="宋体"/>
          <w:b/>
          <w:spacing w:val="20"/>
          <w:kern w:val="0"/>
          <w:sz w:val="32"/>
          <w:szCs w:val="32"/>
          <w:highlight w:val="none"/>
          <w:u w:val="none"/>
        </w:rPr>
        <w:t>采 购 人：</w:t>
      </w:r>
      <w:r>
        <w:rPr>
          <w:rFonts w:hint="eastAsia" w:ascii="宋体" w:hAnsi="宋体" w:eastAsia="宋体"/>
          <w:b/>
          <w:spacing w:val="20"/>
          <w:kern w:val="0"/>
          <w:sz w:val="32"/>
          <w:szCs w:val="32"/>
          <w:highlight w:val="none"/>
          <w:u w:val="none"/>
          <w:lang w:val="en-US" w:eastAsia="zh-CN"/>
        </w:rPr>
        <w:t xml:space="preserve">皖南医学院      </w:t>
      </w:r>
      <w:r>
        <w:rPr>
          <w:rFonts w:ascii="宋体" w:hAnsi="宋体" w:eastAsia="宋体"/>
          <w:b/>
          <w:spacing w:val="20"/>
          <w:kern w:val="0"/>
          <w:sz w:val="32"/>
          <w:szCs w:val="32"/>
          <w:highlight w:val="none"/>
          <w:u w:val="none"/>
        </w:rPr>
        <w:t xml:space="preserve">  </w:t>
      </w:r>
    </w:p>
    <w:p>
      <w:pPr>
        <w:tabs>
          <w:tab w:val="left" w:pos="2410"/>
        </w:tabs>
        <w:autoSpaceDE w:val="0"/>
        <w:autoSpaceDN w:val="0"/>
        <w:adjustRightInd w:val="0"/>
        <w:snapToGrid w:val="0"/>
        <w:spacing w:line="360" w:lineRule="auto"/>
        <w:ind w:firstLine="723" w:firstLineChars="200"/>
        <w:jc w:val="left"/>
        <w:rPr>
          <w:rFonts w:ascii="宋体" w:hAnsi="宋体" w:eastAsia="宋体"/>
          <w:b/>
          <w:spacing w:val="20"/>
          <w:kern w:val="0"/>
          <w:sz w:val="32"/>
          <w:szCs w:val="32"/>
          <w:highlight w:val="none"/>
          <w:u w:val="none"/>
        </w:rPr>
      </w:pPr>
      <w:r>
        <w:rPr>
          <w:rFonts w:hint="eastAsia" w:ascii="宋体" w:hAnsi="宋体" w:eastAsia="宋体"/>
          <w:b/>
          <w:spacing w:val="20"/>
          <w:kern w:val="0"/>
          <w:sz w:val="32"/>
          <w:szCs w:val="32"/>
          <w:highlight w:val="none"/>
          <w:u w:val="none"/>
        </w:rPr>
        <w:t>采购代理机构：</w:t>
      </w:r>
      <w:r>
        <w:rPr>
          <w:rFonts w:hint="eastAsia" w:ascii="宋体" w:hAnsi="宋体" w:eastAsia="宋体"/>
          <w:b/>
          <w:spacing w:val="20"/>
          <w:kern w:val="0"/>
          <w:sz w:val="32"/>
          <w:szCs w:val="32"/>
          <w:highlight w:val="none"/>
          <w:u w:val="none"/>
          <w:lang w:val="en-US" w:eastAsia="zh-CN"/>
        </w:rPr>
        <w:t xml:space="preserve">安徽安兆工程技术咨询服务有限公司          </w:t>
      </w:r>
      <w:r>
        <w:rPr>
          <w:rFonts w:ascii="宋体" w:hAnsi="宋体" w:eastAsia="宋体"/>
          <w:b/>
          <w:spacing w:val="20"/>
          <w:kern w:val="0"/>
          <w:sz w:val="32"/>
          <w:szCs w:val="32"/>
          <w:highlight w:val="none"/>
          <w:u w:val="none"/>
        </w:rPr>
        <w:t xml:space="preserve"> </w:t>
      </w:r>
    </w:p>
    <w:p>
      <w:pPr>
        <w:tabs>
          <w:tab w:val="left" w:pos="315"/>
          <w:tab w:val="left" w:pos="8820"/>
        </w:tabs>
        <w:spacing w:before="312" w:beforeLines="100" w:after="156" w:afterLines="50" w:line="500" w:lineRule="exact"/>
        <w:ind w:right="267" w:rightChars="127"/>
        <w:jc w:val="center"/>
        <w:rPr>
          <w:rFonts w:hint="eastAsia" w:ascii="宋体" w:hAnsi="宋体" w:eastAsia="宋体"/>
          <w:b/>
          <w:sz w:val="32"/>
          <w:szCs w:val="32"/>
          <w:highlight w:val="none"/>
          <w:u w:val="none"/>
        </w:rPr>
      </w:pPr>
    </w:p>
    <w:p>
      <w:pPr>
        <w:tabs>
          <w:tab w:val="left" w:pos="315"/>
          <w:tab w:val="left" w:pos="8820"/>
        </w:tabs>
        <w:spacing w:before="312" w:beforeLines="100" w:after="156" w:afterLines="50" w:line="500" w:lineRule="exact"/>
        <w:ind w:right="267" w:rightChars="127"/>
        <w:jc w:val="center"/>
        <w:rPr>
          <w:rFonts w:ascii="宋体" w:hAnsi="宋体" w:eastAsia="宋体"/>
          <w:b/>
          <w:sz w:val="32"/>
          <w:szCs w:val="32"/>
          <w:highlight w:val="none"/>
          <w:u w:val="none"/>
        </w:rPr>
        <w:sectPr>
          <w:headerReference r:id="rId3" w:type="default"/>
          <w:footerReference r:id="rId4" w:type="default"/>
          <w:footerReference r:id="rId5" w:type="even"/>
          <w:pgSz w:w="11906" w:h="16838"/>
          <w:pgMar w:top="1417" w:right="1417" w:bottom="1417" w:left="1417" w:header="851" w:footer="992" w:gutter="0"/>
          <w:pgNumType w:fmt="decimal"/>
          <w:cols w:space="720" w:num="1"/>
          <w:docGrid w:type="lines" w:linePitch="312" w:charSpace="0"/>
        </w:sectPr>
      </w:pPr>
      <w:r>
        <w:rPr>
          <w:rFonts w:hint="eastAsia" w:ascii="宋体" w:hAnsi="宋体" w:eastAsia="宋体"/>
          <w:b/>
          <w:sz w:val="32"/>
          <w:szCs w:val="32"/>
          <w:highlight w:val="none"/>
          <w:u w:val="none"/>
        </w:rPr>
        <w:t xml:space="preserve"> </w:t>
      </w:r>
      <w:r>
        <w:rPr>
          <w:rFonts w:hint="eastAsia" w:ascii="宋体" w:hAnsi="宋体" w:eastAsia="宋体"/>
          <w:b/>
          <w:sz w:val="32"/>
          <w:szCs w:val="32"/>
          <w:highlight w:val="none"/>
          <w:u w:val="none"/>
          <w:lang w:val="en-US" w:eastAsia="zh-CN"/>
        </w:rPr>
        <w:t>2024</w:t>
      </w:r>
      <w:r>
        <w:rPr>
          <w:rFonts w:hint="eastAsia" w:ascii="宋体" w:hAnsi="宋体" w:eastAsia="宋体"/>
          <w:b/>
          <w:sz w:val="32"/>
          <w:szCs w:val="32"/>
          <w:highlight w:val="none"/>
          <w:u w:val="none"/>
        </w:rPr>
        <w:t xml:space="preserve"> 年 </w:t>
      </w:r>
      <w:r>
        <w:rPr>
          <w:rFonts w:hint="eastAsia" w:ascii="宋体" w:hAnsi="宋体" w:eastAsia="宋体"/>
          <w:b/>
          <w:sz w:val="32"/>
          <w:szCs w:val="32"/>
          <w:highlight w:val="none"/>
          <w:u w:val="none"/>
          <w:lang w:val="en-US" w:eastAsia="zh-CN"/>
        </w:rPr>
        <w:t>4</w:t>
      </w:r>
      <w:r>
        <w:rPr>
          <w:rFonts w:hint="eastAsia" w:ascii="宋体" w:hAnsi="宋体" w:eastAsia="宋体"/>
          <w:b/>
          <w:sz w:val="32"/>
          <w:szCs w:val="32"/>
          <w:highlight w:val="none"/>
          <w:u w:val="none"/>
        </w:rPr>
        <w:t xml:space="preserve"> 月</w:t>
      </w:r>
    </w:p>
    <w:p>
      <w:pPr>
        <w:pStyle w:val="19"/>
        <w:keepNext w:val="0"/>
        <w:keepLines w:val="0"/>
        <w:pageBreakBefore w:val="0"/>
        <w:tabs>
          <w:tab w:val="right" w:leader="dot" w:pos="8400"/>
        </w:tabs>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目</w:t>
      </w:r>
      <w:r>
        <w:rPr>
          <w:rFonts w:hint="eastAsia" w:ascii="方正小标宋_GBK" w:hAnsi="方正小标宋_GBK" w:eastAsia="方正小标宋_GBK" w:cs="方正小标宋_GBK"/>
          <w:sz w:val="44"/>
          <w:szCs w:val="44"/>
          <w:highlight w:val="none"/>
          <w:lang w:val="en-US" w:eastAsia="zh-CN"/>
        </w:rPr>
        <w:t xml:space="preserve">  </w:t>
      </w:r>
      <w:r>
        <w:rPr>
          <w:rFonts w:hint="eastAsia" w:ascii="方正小标宋_GBK" w:hAnsi="方正小标宋_GBK" w:eastAsia="方正小标宋_GBK" w:cs="方正小标宋_GBK"/>
          <w:sz w:val="44"/>
          <w:szCs w:val="44"/>
          <w:highlight w:val="none"/>
          <w:lang w:eastAsia="zh-CN"/>
        </w:rPr>
        <w:t>录</w:t>
      </w:r>
    </w:p>
    <w:p>
      <w:pPr>
        <w:pStyle w:val="19"/>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_Toc15050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第一章  招标公告</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_Toc15050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9"/>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_Toc23825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rPr>
        <w:t>第二章  投标人须知</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_Toc23825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5</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9"/>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_Toc3969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rPr>
        <w:t>第三章  采购需求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_Toc3969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30</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9"/>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_Toc22164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rPr>
        <w:t>第四章  评标方法和标准</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_Toc22164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33</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9"/>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_Toc15677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rPr>
        <w:t>第五章  采购合同</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_Toc15677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37</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9"/>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_Toc12029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rPr>
        <w:t>第六章  投标文件格式</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_Toc12029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49</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9"/>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_Toc17857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政府采购供应商质疑函范本</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_Toc17857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71</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9"/>
        <w:tabs>
          <w:tab w:val="right" w:leader="dot" w:pos="8400"/>
        </w:tabs>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_Toc30606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大中小微型企业划分标准</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_Toc30606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73</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before="10"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8"/>
          <w:szCs w:val="28"/>
          <w:highlight w:val="none"/>
        </w:rPr>
        <w:fldChar w:fldCharType="end"/>
      </w:r>
    </w:p>
    <w:p>
      <w:pPr>
        <w:pStyle w:val="4"/>
        <w:bidi w:val="0"/>
        <w:rPr>
          <w:rFonts w:hint="eastAsia"/>
          <w:highlight w:val="none"/>
        </w:rPr>
        <w:sectPr>
          <w:headerReference r:id="rId6" w:type="default"/>
          <w:footerReference r:id="rId7" w:type="default"/>
          <w:pgSz w:w="11906" w:h="16838"/>
          <w:pgMar w:top="1440" w:right="1706" w:bottom="1440" w:left="1800" w:header="851" w:footer="992" w:gutter="0"/>
          <w:pgNumType w:fmt="decimal"/>
          <w:cols w:space="720" w:num="1"/>
          <w:docGrid w:type="lines" w:linePitch="312" w:charSpace="0"/>
        </w:sectPr>
      </w:pPr>
      <w:bookmarkStart w:id="1" w:name="_Toc1692988875"/>
      <w:bookmarkStart w:id="2" w:name="_Toc15050"/>
      <w:bookmarkStart w:id="3" w:name="_Toc1225487732"/>
      <w:bookmarkStart w:id="4" w:name="_Toc1083721900"/>
      <w:bookmarkStart w:id="5" w:name="_Toc1155812770"/>
      <w:bookmarkStart w:id="6" w:name="_Toc1283162393_WPSOffice_Level1"/>
    </w:p>
    <w:p>
      <w:pPr>
        <w:pStyle w:val="4"/>
        <w:bidi w:val="0"/>
        <w:rPr>
          <w:rFonts w:hint="eastAsia"/>
          <w:highlight w:val="none"/>
        </w:rPr>
      </w:pPr>
      <w:r>
        <w:rPr>
          <w:rFonts w:hint="eastAsia"/>
          <w:highlight w:val="none"/>
        </w:rPr>
        <w:t>第一章  招标公告</w:t>
      </w:r>
      <w:bookmarkEnd w:id="1"/>
      <w:bookmarkEnd w:id="2"/>
      <w:bookmarkEnd w:id="3"/>
      <w:bookmarkEnd w:id="4"/>
      <w:bookmarkEnd w:id="5"/>
      <w:bookmarkEnd w:id="6"/>
    </w:p>
    <w:p>
      <w:pPr>
        <w:rPr>
          <w:rFonts w:hint="eastAsia" w:ascii="宋体" w:hAnsi="宋体" w:eastAsia="宋体" w:cs="宋体"/>
          <w:highlight w:val="none"/>
        </w:rPr>
      </w:pPr>
    </w:p>
    <w:p>
      <w:pPr>
        <w:pBdr>
          <w:top w:val="single" w:color="auto" w:sz="4" w:space="1"/>
          <w:left w:val="single" w:color="auto" w:sz="4" w:space="4"/>
          <w:bottom w:val="single" w:color="auto" w:sz="4" w:space="1"/>
          <w:right w:val="single" w:color="auto" w:sz="4" w:space="4"/>
        </w:pBd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皖南医学院活性生物大分子研究安徽省重点实验室</w:t>
      </w:r>
      <w:r>
        <w:rPr>
          <w:rFonts w:hint="eastAsia" w:ascii="宋体" w:hAnsi="宋体" w:eastAsia="宋体" w:cs="宋体"/>
          <w:sz w:val="24"/>
          <w:szCs w:val="24"/>
          <w:highlight w:val="none"/>
        </w:rPr>
        <w:t>采购项目的潜在投标人应在</w:t>
      </w:r>
      <w:r>
        <w:rPr>
          <w:rFonts w:hint="eastAsia" w:ascii="宋体" w:hAnsi="宋体" w:eastAsia="宋体" w:cs="宋体"/>
          <w:sz w:val="24"/>
          <w:szCs w:val="24"/>
          <w:highlight w:val="none"/>
          <w:u w:val="single"/>
        </w:rPr>
        <w:t xml:space="preserve"> “徽采云”电子交易系统</w:t>
      </w:r>
      <w:r>
        <w:rPr>
          <w:rFonts w:hint="eastAsia" w:ascii="宋体" w:hAnsi="宋体" w:eastAsia="宋体" w:cs="宋体"/>
          <w:sz w:val="24"/>
          <w:szCs w:val="24"/>
          <w:highlight w:val="none"/>
        </w:rPr>
        <w:t>获取采购文件，并于</w:t>
      </w:r>
      <w:r>
        <w:rPr>
          <w:rFonts w:hint="eastAsia" w:ascii="宋体" w:hAnsi="宋体" w:eastAsia="宋体" w:cs="宋体"/>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lang w:val="en-US" w:eastAsia="zh-CN"/>
        </w:rPr>
        <w:t>16</w:t>
      </w:r>
      <w:r>
        <w:rPr>
          <w:rFonts w:hint="eastAsia" w:ascii="宋体" w:hAnsi="宋体" w:eastAsia="宋体" w:cs="宋体"/>
          <w:bCs/>
          <w:sz w:val="24"/>
          <w:szCs w:val="24"/>
          <w:highlight w:val="none"/>
        </w:rPr>
        <w:t>日</w:t>
      </w:r>
      <w:r>
        <w:rPr>
          <w:rFonts w:hint="eastAsia" w:ascii="宋体" w:hAnsi="宋体" w:eastAsia="宋体" w:cs="宋体"/>
          <w:bCs/>
          <w:sz w:val="24"/>
          <w:szCs w:val="24"/>
          <w:highlight w:val="none"/>
          <w:u w:val="single"/>
          <w:lang w:val="en-US" w:eastAsia="zh-CN"/>
        </w:rPr>
        <w:t>09</w:t>
      </w:r>
      <w:r>
        <w:rPr>
          <w:rFonts w:hint="eastAsia" w:ascii="宋体" w:hAnsi="宋体" w:eastAsia="宋体" w:cs="宋体"/>
          <w:bCs/>
          <w:sz w:val="24"/>
          <w:szCs w:val="24"/>
          <w:highlight w:val="none"/>
        </w:rPr>
        <w:t>点</w:t>
      </w:r>
      <w:r>
        <w:rPr>
          <w:rFonts w:hint="eastAsia" w:ascii="宋体" w:hAnsi="宋体" w:eastAsia="宋体" w:cs="宋体"/>
          <w:bCs/>
          <w:sz w:val="24"/>
          <w:szCs w:val="24"/>
          <w:highlight w:val="none"/>
          <w:u w:val="single"/>
          <w:lang w:val="en-US" w:eastAsia="zh-CN"/>
        </w:rPr>
        <w:t>30</w:t>
      </w:r>
      <w:r>
        <w:rPr>
          <w:rFonts w:hint="eastAsia" w:ascii="宋体" w:hAnsi="宋体" w:eastAsia="宋体" w:cs="宋体"/>
          <w:bCs/>
          <w:sz w:val="24"/>
          <w:szCs w:val="24"/>
          <w:highlight w:val="none"/>
        </w:rPr>
        <w:t>分（北京时间）前提交投标文件</w:t>
      </w:r>
      <w:r>
        <w:rPr>
          <w:rFonts w:hint="eastAsia" w:ascii="宋体" w:hAnsi="宋体" w:eastAsia="宋体" w:cs="宋体"/>
          <w:sz w:val="24"/>
          <w:szCs w:val="24"/>
          <w:highlight w:val="none"/>
        </w:rPr>
        <w:t>。</w:t>
      </w:r>
    </w:p>
    <w:p>
      <w:pPr>
        <w:pStyle w:val="5"/>
        <w:bidi w:val="0"/>
        <w:rPr>
          <w:rFonts w:hint="eastAsia"/>
          <w:highlight w:val="none"/>
        </w:rPr>
      </w:pPr>
      <w:bookmarkStart w:id="7" w:name="_Toc28359089"/>
      <w:bookmarkStart w:id="8" w:name="_Toc1783452780_WPSOffice_Level2"/>
      <w:bookmarkStart w:id="9" w:name="_Toc1204273205"/>
      <w:bookmarkStart w:id="10" w:name="_Toc28359012"/>
      <w:bookmarkStart w:id="11" w:name="_Toc1165059286"/>
      <w:bookmarkStart w:id="12" w:name="_Toc1922292950"/>
      <w:bookmarkStart w:id="13" w:name="_Toc35393629"/>
      <w:bookmarkStart w:id="14" w:name="_Toc1776820675"/>
      <w:bookmarkStart w:id="15" w:name="_Toc1395619686"/>
      <w:bookmarkStart w:id="16" w:name="_Toc569108377"/>
      <w:bookmarkStart w:id="17" w:name="_Toc35393798"/>
      <w:bookmarkStart w:id="18" w:name="_Toc135507872"/>
      <w:r>
        <w:rPr>
          <w:rFonts w:hint="eastAsia"/>
          <w:highlight w:val="none"/>
        </w:rPr>
        <w:t>一、项目基本情况</w:t>
      </w:r>
      <w:bookmarkEnd w:id="7"/>
      <w:bookmarkEnd w:id="8"/>
      <w:bookmarkEnd w:id="9"/>
      <w:bookmarkEnd w:id="10"/>
      <w:bookmarkEnd w:id="11"/>
      <w:bookmarkEnd w:id="12"/>
      <w:bookmarkEnd w:id="13"/>
      <w:bookmarkEnd w:id="14"/>
      <w:bookmarkEnd w:id="15"/>
      <w:bookmarkEnd w:id="16"/>
      <w:bookmarkEnd w:id="17"/>
      <w:bookmarkEnd w:id="18"/>
    </w:p>
    <w:p>
      <w:pPr>
        <w:snapToGrid w:val="0"/>
        <w:spacing w:line="50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FSKY34000120242274号001</w:t>
      </w:r>
      <w:r>
        <w:rPr>
          <w:rFonts w:hint="eastAsia" w:ascii="宋体" w:hAnsi="宋体" w:eastAsia="宋体" w:cs="宋体"/>
          <w:sz w:val="24"/>
          <w:szCs w:val="24"/>
          <w:highlight w:val="none"/>
          <w:u w:val="single"/>
        </w:rPr>
        <w:t xml:space="preserve">      </w:t>
      </w:r>
    </w:p>
    <w:p>
      <w:pPr>
        <w:snapToGrid w:val="0"/>
        <w:spacing w:line="50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none"/>
          <w:lang w:eastAsia="zh-CN"/>
        </w:rPr>
        <w:t>皖南医学院活性生物大分子研究安徽省重点实验室</w:t>
      </w:r>
      <w:r>
        <w:rPr>
          <w:rFonts w:hint="eastAsia" w:ascii="宋体" w:hAnsi="宋体" w:eastAsia="宋体" w:cs="宋体"/>
          <w:sz w:val="24"/>
          <w:szCs w:val="24"/>
          <w:highlight w:val="none"/>
          <w:u w:val="none"/>
        </w:rPr>
        <w:t xml:space="preserve"> </w:t>
      </w:r>
    </w:p>
    <w:p>
      <w:pPr>
        <w:snapToGrid w:val="0"/>
        <w:spacing w:line="500" w:lineRule="exact"/>
        <w:ind w:firstLine="480" w:firstLineChars="200"/>
        <w:jc w:val="left"/>
        <w:rPr>
          <w:rFonts w:ascii="宋体" w:hAnsi="宋体" w:eastAsia="宋体" w:cs="宋体"/>
          <w:sz w:val="24"/>
          <w:szCs w:val="24"/>
          <w:highlight w:val="none"/>
          <w:u w:val="none"/>
        </w:rPr>
      </w:pPr>
      <w:r>
        <w:rPr>
          <w:rFonts w:hint="eastAsia" w:ascii="宋体" w:hAnsi="宋体" w:eastAsia="宋体" w:cs="宋体"/>
          <w:sz w:val="24"/>
          <w:szCs w:val="24"/>
          <w:highlight w:val="none"/>
          <w:u w:val="none"/>
        </w:rPr>
        <w:t>预算金额：</w:t>
      </w:r>
      <w:r>
        <w:rPr>
          <w:rFonts w:hint="eastAsia" w:ascii="宋体" w:hAnsi="宋体" w:eastAsia="宋体" w:cs="宋体"/>
          <w:sz w:val="24"/>
          <w:szCs w:val="24"/>
          <w:highlight w:val="none"/>
          <w:u w:val="none"/>
          <w:lang w:val="en-US" w:eastAsia="zh-CN"/>
        </w:rPr>
        <w:t>60万元</w:t>
      </w:r>
      <w:r>
        <w:rPr>
          <w:rFonts w:hint="eastAsia" w:ascii="宋体" w:hAnsi="宋体" w:eastAsia="宋体" w:cs="宋体"/>
          <w:sz w:val="24"/>
          <w:szCs w:val="24"/>
          <w:highlight w:val="none"/>
          <w:u w:val="none"/>
        </w:rPr>
        <w:t xml:space="preserve"> </w:t>
      </w:r>
    </w:p>
    <w:p>
      <w:pPr>
        <w:snapToGrid w:val="0"/>
        <w:spacing w:line="50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最高限价：</w:t>
      </w:r>
      <w:r>
        <w:rPr>
          <w:rFonts w:hint="eastAsia" w:ascii="宋体" w:hAnsi="宋体" w:eastAsia="宋体" w:cs="宋体"/>
          <w:sz w:val="24"/>
          <w:szCs w:val="24"/>
          <w:highlight w:val="none"/>
          <w:u w:val="none"/>
          <w:lang w:val="en-US" w:eastAsia="zh-CN"/>
        </w:rPr>
        <w:t>60万元</w:t>
      </w:r>
    </w:p>
    <w:p>
      <w:pPr>
        <w:snapToGrid w:val="0"/>
        <w:spacing w:line="500" w:lineRule="exact"/>
        <w:ind w:firstLine="480" w:firstLineChars="200"/>
        <w:jc w:val="left"/>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rPr>
        <w:t>采购需求：</w:t>
      </w:r>
      <w:r>
        <w:rPr>
          <w:rFonts w:hint="eastAsia" w:ascii="宋体" w:hAnsi="宋体" w:eastAsia="宋体" w:cs="宋体"/>
          <w:sz w:val="24"/>
          <w:szCs w:val="24"/>
          <w:highlight w:val="none"/>
          <w:u w:val="none"/>
          <w:lang w:eastAsia="zh-CN"/>
        </w:rPr>
        <w:t>皖南医学院活性生物大分子研究安徽省重点实验室</w:t>
      </w:r>
      <w:r>
        <w:rPr>
          <w:rFonts w:hint="eastAsia" w:ascii="宋体" w:hAnsi="宋体" w:eastAsia="宋体" w:cs="宋体"/>
          <w:sz w:val="24"/>
          <w:szCs w:val="24"/>
          <w:highlight w:val="none"/>
          <w:u w:val="none"/>
          <w:lang w:val="en-US" w:eastAsia="zh-CN"/>
        </w:rPr>
        <w:t>建设所需设备，详见采购文件</w:t>
      </w:r>
      <w:r>
        <w:rPr>
          <w:rFonts w:hint="eastAsia" w:ascii="宋体" w:hAnsi="宋体" w:eastAsia="宋体" w:cs="宋体"/>
          <w:sz w:val="24"/>
          <w:szCs w:val="24"/>
          <w:highlight w:val="none"/>
          <w:u w:val="none"/>
          <w:lang w:eastAsia="zh-CN"/>
        </w:rPr>
        <w:t>。</w:t>
      </w:r>
    </w:p>
    <w:p>
      <w:pPr>
        <w:snapToGrid w:val="0"/>
        <w:spacing w:line="500" w:lineRule="exact"/>
        <w:ind w:firstLine="480" w:firstLineChars="200"/>
        <w:jc w:val="left"/>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合同履行期限：合同生效后进口设备90天内完成供货及安装，国产设备30天内完成供货及安装。</w:t>
      </w:r>
      <w:r>
        <w:rPr>
          <w:rFonts w:hint="eastAsia" w:ascii="宋体" w:hAnsi="宋体" w:eastAsia="宋体" w:cs="宋体"/>
          <w:sz w:val="24"/>
          <w:szCs w:val="24"/>
          <w:highlight w:val="none"/>
          <w:u w:val="none"/>
          <w:lang w:val="en-US" w:eastAsia="zh-CN"/>
        </w:rPr>
        <w:t>质保期详见采购文件。</w:t>
      </w:r>
    </w:p>
    <w:p>
      <w:pPr>
        <w:snapToGrid w:val="0"/>
        <w:spacing w:line="50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本项目是否接受联合体投标： </w:t>
      </w:r>
      <w:r>
        <w:rPr>
          <w:rFonts w:hint="eastAsia" w:ascii="宋体" w:hAnsi="宋体" w:eastAsia="宋体" w:cs="宋体"/>
          <w:sz w:val="24"/>
          <w:szCs w:val="24"/>
          <w:highlight w:val="none"/>
          <w:u w:val="none"/>
          <w:lang w:val="en-US" w:eastAsia="zh-CN"/>
        </w:rPr>
        <w:t>否</w:t>
      </w:r>
      <w:r>
        <w:rPr>
          <w:rFonts w:hint="eastAsia" w:ascii="宋体" w:hAnsi="宋体" w:eastAsia="宋体" w:cs="宋体"/>
          <w:sz w:val="24"/>
          <w:szCs w:val="24"/>
          <w:highlight w:val="none"/>
          <w:u w:val="none"/>
        </w:rPr>
        <w:t xml:space="preserve">  </w:t>
      </w:r>
    </w:p>
    <w:p>
      <w:pPr>
        <w:pStyle w:val="5"/>
        <w:bidi w:val="0"/>
        <w:rPr>
          <w:rFonts w:hint="eastAsia"/>
          <w:highlight w:val="none"/>
        </w:rPr>
      </w:pPr>
      <w:bookmarkStart w:id="19" w:name="_Toc544713817"/>
      <w:bookmarkStart w:id="20" w:name="_Toc670653741"/>
      <w:bookmarkStart w:id="21" w:name="_Toc2002589627"/>
      <w:bookmarkStart w:id="22" w:name="_Toc1281241929"/>
      <w:bookmarkStart w:id="23" w:name="_Toc540995965"/>
      <w:bookmarkStart w:id="24" w:name="_Toc131518209_WPSOffice_Level2"/>
      <w:bookmarkStart w:id="25" w:name="_Toc1633074838"/>
      <w:bookmarkStart w:id="26" w:name="_Toc471027993"/>
      <w:bookmarkStart w:id="27" w:name="_Toc28359090"/>
      <w:bookmarkStart w:id="28" w:name="_Toc35393630"/>
      <w:bookmarkStart w:id="29" w:name="_Toc28359013"/>
      <w:bookmarkStart w:id="30" w:name="_Toc35393799"/>
      <w:r>
        <w:rPr>
          <w:rFonts w:hint="eastAsia"/>
          <w:highlight w:val="none"/>
        </w:rPr>
        <w:t>二、投标人的资格要求</w:t>
      </w:r>
      <w:bookmarkEnd w:id="19"/>
      <w:bookmarkEnd w:id="20"/>
      <w:bookmarkEnd w:id="21"/>
      <w:bookmarkEnd w:id="22"/>
      <w:bookmarkEnd w:id="23"/>
      <w:bookmarkEnd w:id="24"/>
      <w:bookmarkEnd w:id="25"/>
      <w:bookmarkEnd w:id="26"/>
      <w:bookmarkEnd w:id="27"/>
      <w:bookmarkEnd w:id="28"/>
      <w:bookmarkEnd w:id="29"/>
      <w:bookmarkEnd w:id="30"/>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pPr>
        <w:snapToGrid w:val="0"/>
        <w:spacing w:line="500" w:lineRule="exact"/>
        <w:ind w:firstLine="480" w:firstLineChars="200"/>
        <w:jc w:val="left"/>
        <w:rPr>
          <w:rFonts w:hint="eastAsia" w:ascii="宋体" w:hAnsi="宋体" w:eastAsia="宋体" w:cs="宋体"/>
          <w:i/>
          <w:iCs/>
          <w:sz w:val="24"/>
          <w:szCs w:val="24"/>
          <w:highlight w:val="none"/>
        </w:rPr>
      </w:pPr>
      <w:bookmarkStart w:id="31" w:name="_Toc28359091"/>
      <w:bookmarkStart w:id="32" w:name="_Toc28359014"/>
      <w:r>
        <w:rPr>
          <w:rFonts w:hint="eastAsia"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napToGrid w:val="0"/>
        <w:spacing w:line="50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none"/>
        </w:rPr>
        <w:t>无</w:t>
      </w:r>
      <w:r>
        <w:rPr>
          <w:rFonts w:hint="eastAsia" w:ascii="宋体" w:hAnsi="宋体" w:eastAsia="宋体" w:cs="宋体"/>
          <w:sz w:val="24"/>
          <w:szCs w:val="24"/>
          <w:highlight w:val="none"/>
        </w:rPr>
        <w:t>（预算200万元以下，不适宜专门面向中小企业预留采购份额项目</w:t>
      </w:r>
      <w:r>
        <w:rPr>
          <w:rFonts w:hint="eastAsia" w:ascii="宋体" w:hAnsi="宋体" w:eastAsia="宋体" w:cs="宋体"/>
          <w:sz w:val="24"/>
          <w:szCs w:val="24"/>
          <w:highlight w:val="none"/>
          <w:lang w:eastAsia="zh-CN"/>
        </w:rPr>
        <w:t>）</w:t>
      </w:r>
    </w:p>
    <w:p>
      <w:pPr>
        <w:snapToGrid w:val="0"/>
        <w:spacing w:line="50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本项目符合财政部、工业和信息化部制定的《政府采购促进中小企业发展管理办法》第六条第</w:t>
      </w:r>
      <w:r>
        <w:rPr>
          <w:rFonts w:hint="eastAsia" w:ascii="宋体" w:hAnsi="宋体" w:eastAsia="宋体" w:cs="宋体"/>
          <w:sz w:val="24"/>
          <w:szCs w:val="24"/>
          <w:highlight w:val="none"/>
          <w:u w:val="none"/>
          <w:lang w:val="en-US" w:eastAsia="zh-CN"/>
        </w:rPr>
        <w:t>三</w:t>
      </w:r>
      <w:r>
        <w:rPr>
          <w:rFonts w:hint="eastAsia" w:ascii="宋体" w:hAnsi="宋体" w:eastAsia="宋体" w:cs="宋体"/>
          <w:sz w:val="24"/>
          <w:szCs w:val="24"/>
          <w:highlight w:val="none"/>
        </w:rPr>
        <w:t>款之规定，为非专门面向中小企业采购项目。</w:t>
      </w:r>
    </w:p>
    <w:p>
      <w:pPr>
        <w:snapToGrid w:val="0"/>
        <w:spacing w:line="50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具体原因如下：</w:t>
      </w:r>
      <w:r>
        <w:rPr>
          <w:rFonts w:hint="eastAsia" w:ascii="宋体" w:hAnsi="宋体" w:eastAsia="宋体" w:cs="宋体"/>
          <w:sz w:val="24"/>
          <w:szCs w:val="24"/>
          <w:highlight w:val="none"/>
          <w:u w:val="none"/>
        </w:rPr>
        <w:t>按照本办法规定预留采购份额无法确保充分供应、充分竞争，或者存在可能影响政府采购目标实现的情形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如对此项内容有疑问，可通过书面方式进行质疑。</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pPr>
        <w:snapToGrid w:val="0"/>
        <w:spacing w:line="500" w:lineRule="exact"/>
        <w:ind w:firstLine="480" w:firstLineChars="20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投标人不得存在以下不良信用记录情形之一：</w:t>
      </w:r>
    </w:p>
    <w:p>
      <w:pPr>
        <w:snapToGrid w:val="0"/>
        <w:spacing w:line="500" w:lineRule="exact"/>
        <w:ind w:firstLine="480" w:firstLineChars="20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①投标人被人民法院列入失信被执行人名单的；</w:t>
      </w:r>
    </w:p>
    <w:p>
      <w:pPr>
        <w:snapToGrid w:val="0"/>
        <w:spacing w:line="500" w:lineRule="exact"/>
        <w:ind w:firstLine="480" w:firstLineChars="20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②投标人被税务部门列入重大税收违法案件当事人名单的；</w:t>
      </w:r>
    </w:p>
    <w:p>
      <w:pPr>
        <w:snapToGrid w:val="0"/>
        <w:spacing w:line="500" w:lineRule="exact"/>
        <w:ind w:firstLine="480" w:firstLineChars="20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③投标人被政府采购监管部门列入政府采购严重违法失信行为记录名单的；</w:t>
      </w:r>
    </w:p>
    <w:p>
      <w:pPr>
        <w:snapToGrid w:val="0"/>
        <w:spacing w:line="500" w:lineRule="exact"/>
        <w:ind w:firstLine="480" w:firstLineChars="20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④被工商行政管理部门列入企业经营异常名录的。</w:t>
      </w:r>
    </w:p>
    <w:p>
      <w:pPr>
        <w:pStyle w:val="5"/>
        <w:bidi w:val="0"/>
        <w:rPr>
          <w:rFonts w:hint="eastAsia"/>
          <w:highlight w:val="none"/>
        </w:rPr>
      </w:pPr>
      <w:bookmarkStart w:id="33" w:name="_Toc35393800"/>
      <w:bookmarkStart w:id="34" w:name="_Toc2098810214"/>
      <w:bookmarkStart w:id="35" w:name="_Toc2078781203_WPSOffice_Level2"/>
      <w:bookmarkStart w:id="36" w:name="_Toc424170567"/>
      <w:bookmarkStart w:id="37" w:name="_Toc687308696"/>
      <w:bookmarkStart w:id="38" w:name="_Toc149756534"/>
      <w:bookmarkStart w:id="39" w:name="_Toc495084956"/>
      <w:bookmarkStart w:id="40" w:name="_Toc35393631"/>
      <w:bookmarkStart w:id="41" w:name="_Toc21166912"/>
      <w:bookmarkStart w:id="42" w:name="_Toc315957323"/>
      <w:r>
        <w:rPr>
          <w:rFonts w:hint="eastAsia"/>
          <w:highlight w:val="none"/>
        </w:rPr>
        <w:t>三、获取招标文件</w:t>
      </w:r>
      <w:bookmarkEnd w:id="31"/>
      <w:bookmarkEnd w:id="32"/>
      <w:bookmarkEnd w:id="33"/>
      <w:bookmarkEnd w:id="34"/>
      <w:bookmarkEnd w:id="35"/>
      <w:bookmarkEnd w:id="36"/>
      <w:bookmarkEnd w:id="37"/>
      <w:bookmarkEnd w:id="38"/>
      <w:bookmarkEnd w:id="39"/>
      <w:bookmarkEnd w:id="40"/>
      <w:bookmarkEnd w:id="41"/>
      <w:bookmarkEnd w:id="42"/>
    </w:p>
    <w:p>
      <w:pPr>
        <w:snapToGrid w:val="0"/>
        <w:spacing w:line="500" w:lineRule="exact"/>
        <w:ind w:firstLine="480" w:firstLineChars="200"/>
        <w:jc w:val="left"/>
        <w:rPr>
          <w:rFonts w:hint="eastAsia" w:ascii="宋体" w:hAnsi="宋体" w:eastAsia="宋体" w:cs="宋体"/>
          <w:sz w:val="24"/>
          <w:szCs w:val="24"/>
          <w:highlight w:val="none"/>
        </w:rPr>
      </w:pPr>
      <w:bookmarkStart w:id="43" w:name="_Toc35393632"/>
      <w:bookmarkStart w:id="44" w:name="_Toc35393801"/>
      <w:bookmarkStart w:id="45" w:name="_Toc28359092"/>
      <w:bookmarkStart w:id="46" w:name="_Toc28359015"/>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04</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22</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19:00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16</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09:30</w:t>
      </w:r>
      <w:r>
        <w:rPr>
          <w:rFonts w:hint="eastAsia" w:ascii="宋体" w:hAnsi="宋体" w:eastAsia="宋体" w:cs="宋体"/>
          <w:kern w:val="0"/>
          <w:sz w:val="24"/>
          <w:szCs w:val="24"/>
          <w:highlight w:val="none"/>
          <w:shd w:val="clear" w:color="auto" w:fill="FFFFFF"/>
        </w:rPr>
        <w:t>，</w:t>
      </w:r>
      <w:r>
        <w:rPr>
          <w:rFonts w:hint="eastAsia" w:ascii="宋体" w:hAnsi="宋体" w:eastAsia="宋体" w:cs="宋体"/>
          <w:sz w:val="24"/>
          <w:szCs w:val="24"/>
          <w:highlight w:val="none"/>
        </w:rPr>
        <w:t>每天上午</w:t>
      </w:r>
      <w:r>
        <w:rPr>
          <w:rFonts w:hint="eastAsia" w:ascii="宋体" w:hAnsi="宋体" w:eastAsia="宋体" w:cs="宋体"/>
          <w:sz w:val="24"/>
          <w:szCs w:val="24"/>
          <w:highlight w:val="none"/>
          <w:u w:val="single"/>
        </w:rPr>
        <w:t>00:00到12:00，下午12:00到23:59</w:t>
      </w:r>
      <w:r>
        <w:rPr>
          <w:rFonts w:hint="eastAsia" w:ascii="宋体" w:hAnsi="宋体" w:eastAsia="宋体" w:cs="宋体"/>
          <w:sz w:val="24"/>
          <w:szCs w:val="24"/>
          <w:highlight w:val="none"/>
        </w:rPr>
        <w:t>（北京时间，法定节假日除外）；</w:t>
      </w:r>
    </w:p>
    <w:p>
      <w:pPr>
        <w:snapToGrid w:val="0"/>
        <w:spacing w:line="50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none"/>
        </w:rPr>
        <w:t>在获取时间内登录“徽采云”电子交易系统下载。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徽采学院</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电子交易系统学习专题</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供应商</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操作手册”</w:t>
      </w:r>
      <w:r>
        <w:rPr>
          <w:rFonts w:hint="eastAsia" w:ascii="宋体" w:hAnsi="宋体" w:eastAsia="宋体" w:cs="宋体"/>
          <w:sz w:val="24"/>
          <w:szCs w:val="24"/>
          <w:highlight w:val="none"/>
        </w:rPr>
        <w:t>。</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售价：本项目免收招标文件费用。</w:t>
      </w:r>
    </w:p>
    <w:p>
      <w:pPr>
        <w:pStyle w:val="5"/>
        <w:bidi w:val="0"/>
        <w:rPr>
          <w:rFonts w:hint="eastAsia"/>
          <w:highlight w:val="none"/>
        </w:rPr>
      </w:pPr>
      <w:bookmarkStart w:id="47" w:name="_Toc379666689"/>
      <w:bookmarkStart w:id="48" w:name="_Toc1239287096"/>
      <w:bookmarkStart w:id="49" w:name="_Toc1042496751"/>
      <w:bookmarkStart w:id="50" w:name="_Toc955603050"/>
      <w:bookmarkStart w:id="51" w:name="_Toc933383063_WPSOffice_Level2"/>
      <w:bookmarkStart w:id="52" w:name="_Toc1457348106"/>
      <w:bookmarkStart w:id="53" w:name="_Toc881543363"/>
      <w:bookmarkStart w:id="54" w:name="_Toc834205356"/>
      <w:r>
        <w:rPr>
          <w:rFonts w:hint="eastAsia"/>
          <w:highlight w:val="none"/>
        </w:rPr>
        <w:t>四、</w:t>
      </w:r>
      <w:bookmarkEnd w:id="43"/>
      <w:bookmarkEnd w:id="44"/>
      <w:bookmarkEnd w:id="45"/>
      <w:bookmarkEnd w:id="46"/>
      <w:r>
        <w:rPr>
          <w:rFonts w:hint="eastAsia"/>
          <w:highlight w:val="none"/>
        </w:rPr>
        <w:t>提交投标文件截止时间、开标时间和地点</w:t>
      </w:r>
      <w:bookmarkEnd w:id="47"/>
      <w:bookmarkEnd w:id="48"/>
      <w:bookmarkEnd w:id="49"/>
      <w:bookmarkEnd w:id="50"/>
      <w:bookmarkEnd w:id="51"/>
      <w:bookmarkEnd w:id="52"/>
      <w:bookmarkEnd w:id="53"/>
      <w:bookmarkEnd w:id="54"/>
    </w:p>
    <w:p>
      <w:pPr>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16</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rPr>
        <w:t>点</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rPr>
        <w:t>分</w:t>
      </w:r>
      <w:r>
        <w:rPr>
          <w:rFonts w:hint="eastAsia" w:ascii="宋体" w:hAnsi="宋体" w:eastAsia="宋体" w:cs="宋体"/>
          <w:bCs/>
          <w:sz w:val="24"/>
          <w:szCs w:val="24"/>
          <w:highlight w:val="none"/>
        </w:rPr>
        <w:t>（北京时间）</w:t>
      </w:r>
      <w:bookmarkStart w:id="55" w:name="_Toc35393802"/>
      <w:bookmarkStart w:id="56" w:name="_Toc28359016"/>
      <w:bookmarkStart w:id="57" w:name="_Toc35393633"/>
      <w:bookmarkStart w:id="58" w:name="_Toc28359093"/>
    </w:p>
    <w:p>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地点：在提交截止时间前将加密的电子投标文件上传至电子交易系统，逾期提交的，电子交易系统将拒收。投标文件制作、加密及提交要求详见“安徽省政府采购网- 徽采学院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电子交易系统学习专题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操作手册”。</w:t>
      </w:r>
    </w:p>
    <w:bookmarkEnd w:id="55"/>
    <w:bookmarkEnd w:id="56"/>
    <w:bookmarkEnd w:id="57"/>
    <w:bookmarkEnd w:id="58"/>
    <w:p>
      <w:pPr>
        <w:pStyle w:val="5"/>
        <w:bidi w:val="0"/>
        <w:rPr>
          <w:rFonts w:hint="eastAsia"/>
          <w:highlight w:val="none"/>
        </w:rPr>
      </w:pPr>
      <w:bookmarkStart w:id="59" w:name="_Toc1981400671"/>
      <w:bookmarkStart w:id="60" w:name="_Toc865112065"/>
      <w:bookmarkStart w:id="61" w:name="_Toc28359094"/>
      <w:bookmarkStart w:id="62" w:name="_Toc1823627992"/>
      <w:bookmarkStart w:id="63" w:name="_Toc290533869_WPSOffice_Level2"/>
      <w:bookmarkStart w:id="64" w:name="_Toc1529577353"/>
      <w:bookmarkStart w:id="65" w:name="_Toc35393803"/>
      <w:bookmarkStart w:id="66" w:name="_Toc263453808"/>
      <w:bookmarkStart w:id="67" w:name="_Toc28359017"/>
      <w:bookmarkStart w:id="68" w:name="_Toc78767524"/>
      <w:bookmarkStart w:id="69" w:name="_Toc35393634"/>
      <w:bookmarkStart w:id="70" w:name="_Toc1279197389"/>
      <w:r>
        <w:rPr>
          <w:rFonts w:hint="eastAsia"/>
          <w:highlight w:val="none"/>
        </w:rPr>
        <w:t>五、公告期限</w:t>
      </w:r>
      <w:bookmarkEnd w:id="59"/>
      <w:bookmarkEnd w:id="60"/>
      <w:bookmarkEnd w:id="61"/>
      <w:bookmarkEnd w:id="62"/>
      <w:bookmarkEnd w:id="63"/>
      <w:bookmarkEnd w:id="64"/>
      <w:bookmarkEnd w:id="65"/>
      <w:bookmarkEnd w:id="66"/>
      <w:bookmarkEnd w:id="67"/>
      <w:bookmarkEnd w:id="68"/>
      <w:bookmarkEnd w:id="69"/>
      <w:bookmarkEnd w:id="70"/>
    </w:p>
    <w:p>
      <w:pPr>
        <w:snapToGrid w:val="0"/>
        <w:spacing w:line="500" w:lineRule="exact"/>
        <w:ind w:firstLine="480" w:firstLineChars="200"/>
        <w:jc w:val="left"/>
        <w:rPr>
          <w:rFonts w:hint="eastAsia" w:ascii="仿宋" w:hAnsi="仿宋" w:eastAsia="仿宋" w:cs="仿宋"/>
          <w:kern w:val="0"/>
          <w:sz w:val="28"/>
          <w:szCs w:val="28"/>
          <w:highlight w:val="none"/>
        </w:rPr>
      </w:pPr>
      <w:r>
        <w:rPr>
          <w:rFonts w:hint="eastAsia" w:ascii="宋体" w:hAnsi="宋体" w:eastAsia="宋体" w:cs="宋体"/>
          <w:kern w:val="0"/>
          <w:sz w:val="24"/>
          <w:szCs w:val="24"/>
          <w:highlight w:val="none"/>
        </w:rPr>
        <w:t>自本公告发布之日起5个工作日。</w:t>
      </w:r>
    </w:p>
    <w:p>
      <w:pPr>
        <w:pStyle w:val="5"/>
        <w:bidi w:val="0"/>
        <w:rPr>
          <w:rFonts w:hint="eastAsia"/>
          <w:highlight w:val="none"/>
        </w:rPr>
      </w:pPr>
      <w:bookmarkStart w:id="71" w:name="_Toc987752557_WPSOffice_Level2"/>
      <w:bookmarkStart w:id="72" w:name="_Toc1061654346"/>
      <w:bookmarkStart w:id="73" w:name="_Toc35393804"/>
      <w:bookmarkStart w:id="74" w:name="_Toc285015350"/>
      <w:bookmarkStart w:id="75" w:name="_Toc2025603942"/>
      <w:bookmarkStart w:id="76" w:name="_Toc590050408"/>
      <w:bookmarkStart w:id="77" w:name="_Toc983754329"/>
      <w:bookmarkStart w:id="78" w:name="_Toc1795019204"/>
      <w:bookmarkStart w:id="79" w:name="_Toc754360409"/>
      <w:bookmarkStart w:id="80" w:name="_Toc35393635"/>
      <w:r>
        <w:rPr>
          <w:rFonts w:hint="eastAsia"/>
          <w:highlight w:val="none"/>
        </w:rPr>
        <w:t>六、其他补充事宜</w:t>
      </w:r>
      <w:bookmarkEnd w:id="71"/>
      <w:bookmarkEnd w:id="72"/>
      <w:bookmarkEnd w:id="73"/>
      <w:bookmarkEnd w:id="74"/>
      <w:bookmarkEnd w:id="75"/>
      <w:bookmarkEnd w:id="76"/>
      <w:bookmarkEnd w:id="77"/>
      <w:bookmarkEnd w:id="78"/>
      <w:bookmarkEnd w:id="79"/>
      <w:bookmarkEnd w:id="80"/>
    </w:p>
    <w:p>
      <w:pPr>
        <w:snapToGrid w:val="0"/>
        <w:spacing w:line="500" w:lineRule="exact"/>
        <w:ind w:firstLine="480" w:firstLineChars="200"/>
        <w:jc w:val="left"/>
        <w:rPr>
          <w:rFonts w:hint="eastAsia" w:ascii="宋体" w:hAnsi="宋体" w:eastAsia="宋体" w:cs="宋体"/>
          <w:sz w:val="24"/>
          <w:szCs w:val="24"/>
          <w:highlight w:val="none"/>
        </w:rPr>
      </w:pPr>
      <w:bookmarkStart w:id="81" w:name="_Toc35393805"/>
      <w:bookmarkStart w:id="82" w:name="_Toc28359095"/>
      <w:bookmarkStart w:id="83" w:name="_Toc28359018"/>
      <w:bookmarkStart w:id="84" w:name="_Toc35393636"/>
      <w:r>
        <w:rPr>
          <w:rFonts w:hint="eastAsia" w:ascii="宋体" w:hAnsi="宋体" w:eastAsia="宋体" w:cs="宋体"/>
          <w:sz w:val="24"/>
          <w:szCs w:val="24"/>
          <w:highlight w:val="none"/>
        </w:rPr>
        <w:t>1.本项目落实节能环保、中小微型企业扶持等相关政府采购政策。</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2.本次招标公告同时在安徽省政府采购网上发布。</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w:t>
      </w:r>
      <w:r>
        <w:rPr>
          <w:rFonts w:hint="eastAsia" w:ascii="宋体" w:hAnsi="宋体" w:eastAsia="宋体" w:cs="宋体"/>
          <w:sz w:val="24"/>
          <w:szCs w:val="24"/>
          <w:highlight w:val="none"/>
          <w:lang w:val="en-US" w:eastAsia="zh-CN"/>
        </w:rPr>
        <w:t>65707329</w:t>
      </w:r>
      <w:r>
        <w:rPr>
          <w:rFonts w:hint="eastAsia" w:ascii="宋体" w:hAnsi="宋体" w:eastAsia="宋体" w:cs="宋体"/>
          <w:sz w:val="24"/>
          <w:szCs w:val="24"/>
          <w:highlight w:val="none"/>
        </w:rPr>
        <w:t>。</w:t>
      </w:r>
    </w:p>
    <w:p>
      <w:pPr>
        <w:pStyle w:val="5"/>
        <w:bidi w:val="0"/>
        <w:rPr>
          <w:rFonts w:hint="eastAsia"/>
          <w:highlight w:val="none"/>
        </w:rPr>
      </w:pPr>
      <w:bookmarkStart w:id="85" w:name="_Toc1242662400"/>
      <w:bookmarkStart w:id="86" w:name="_Toc1350991711_WPSOffice_Level2"/>
      <w:bookmarkStart w:id="87" w:name="_Toc521966848"/>
      <w:bookmarkStart w:id="88" w:name="_Toc615977518"/>
      <w:bookmarkStart w:id="89" w:name="_Toc1323972513"/>
      <w:bookmarkStart w:id="90" w:name="_Toc770053376"/>
      <w:bookmarkStart w:id="91" w:name="_Toc764658765"/>
      <w:bookmarkStart w:id="92" w:name="_Toc362839704"/>
      <w:r>
        <w:rPr>
          <w:rFonts w:hint="eastAsia"/>
          <w:highlight w:val="none"/>
        </w:rPr>
        <w:t>七、凡对本次采购提出询问，请按以下方式联系</w:t>
      </w:r>
      <w:bookmarkEnd w:id="81"/>
      <w:bookmarkEnd w:id="82"/>
      <w:bookmarkEnd w:id="83"/>
      <w:bookmarkEnd w:id="84"/>
      <w:bookmarkEnd w:id="85"/>
      <w:bookmarkEnd w:id="86"/>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 w:val="24"/>
          <w:szCs w:val="24"/>
          <w:highlight w:val="none"/>
        </w:rPr>
      </w:pPr>
      <w:bookmarkStart w:id="93" w:name="_Toc28359019"/>
      <w:bookmarkStart w:id="94" w:name="_Toc35393637"/>
      <w:bookmarkStart w:id="95" w:name="_Toc28359096"/>
      <w:bookmarkStart w:id="96" w:name="_Toc35393806"/>
      <w:r>
        <w:rPr>
          <w:rFonts w:hint="eastAsia" w:ascii="宋体" w:hAnsi="宋体" w:eastAsia="宋体" w:cs="宋体"/>
          <w:sz w:val="24"/>
          <w:szCs w:val="24"/>
          <w:highlight w:val="none"/>
        </w:rPr>
        <w:t>1.采购人信息</w:t>
      </w:r>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名    称：</w:t>
      </w:r>
      <w:r>
        <w:rPr>
          <w:rFonts w:hint="eastAsia" w:ascii="宋体" w:hAnsi="宋体" w:eastAsia="宋体" w:cs="宋体"/>
          <w:sz w:val="24"/>
          <w:szCs w:val="24"/>
          <w:highlight w:val="none"/>
          <w:u w:val="none"/>
          <w:lang w:val="en-US" w:eastAsia="zh-CN"/>
        </w:rPr>
        <w:t xml:space="preserve">皖南医学院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    址：芜湖市弋江区文昌西路22号</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联系方式：0553-3932052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 w:val="24"/>
          <w:szCs w:val="24"/>
          <w:highlight w:val="none"/>
          <w:u w:val="none"/>
        </w:rPr>
      </w:pPr>
      <w:bookmarkStart w:id="97" w:name="_Toc35393638"/>
      <w:bookmarkStart w:id="98" w:name="_Toc28359020"/>
      <w:bookmarkStart w:id="99" w:name="_Toc28359097"/>
      <w:bookmarkStart w:id="100" w:name="_Toc35393807"/>
      <w:r>
        <w:rPr>
          <w:rFonts w:hint="eastAsia" w:ascii="宋体" w:hAnsi="宋体" w:eastAsia="宋体" w:cs="宋体"/>
          <w:sz w:val="24"/>
          <w:szCs w:val="24"/>
          <w:highlight w:val="none"/>
          <w:u w:val="none"/>
        </w:rPr>
        <w:t>2.采购代理机构信息</w:t>
      </w:r>
      <w:bookmarkEnd w:id="97"/>
      <w:bookmarkEnd w:id="98"/>
      <w:bookmarkEnd w:id="99"/>
      <w:bookmarkEnd w:id="100"/>
      <w:r>
        <w:rPr>
          <w:rFonts w:hint="eastAsia" w:ascii="宋体" w:hAnsi="宋体" w:eastAsia="宋体" w:cs="宋体"/>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名    称：</w:t>
      </w:r>
      <w:r>
        <w:rPr>
          <w:rFonts w:hint="eastAsia" w:ascii="宋体" w:hAnsi="宋体" w:eastAsia="宋体" w:cs="宋体"/>
          <w:sz w:val="24"/>
          <w:szCs w:val="24"/>
          <w:highlight w:val="none"/>
          <w:u w:val="none"/>
          <w:lang w:val="en-US" w:eastAsia="zh-CN"/>
        </w:rPr>
        <w:t xml:space="preserve">安徽安兆工程技术咨询服务有限公司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　　址：合肥市包河区云谷路2588号</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联系方式：</w:t>
      </w:r>
      <w:r>
        <w:rPr>
          <w:rFonts w:hint="eastAsia" w:ascii="宋体" w:hAnsi="宋体" w:eastAsia="宋体" w:cs="宋体"/>
          <w:sz w:val="24"/>
          <w:szCs w:val="24"/>
          <w:highlight w:val="none"/>
          <w:u w:val="none"/>
          <w:lang w:val="en-US" w:eastAsia="zh-CN"/>
        </w:rPr>
        <w:t>0551-65707329</w:t>
      </w:r>
      <w:r>
        <w:rPr>
          <w:rFonts w:hint="eastAsia" w:ascii="宋体" w:hAnsi="宋体" w:eastAsia="宋体" w:cs="宋体"/>
          <w:sz w:val="24"/>
          <w:szCs w:val="24"/>
          <w:highlight w:val="none"/>
          <w:u w:val="none"/>
        </w:rPr>
        <w:t>　</w:t>
      </w:r>
      <w:bookmarkStart w:id="101" w:name="_Toc35393639"/>
      <w:bookmarkStart w:id="102" w:name="_Toc28359021"/>
      <w:bookmarkStart w:id="103" w:name="_Toc35393808"/>
      <w:bookmarkStart w:id="104" w:name="_Toc28359098"/>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3.政府采购监督管理部门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政府采购监督管理部门：安徽省财政厅</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  址：合肥市阜南西路 238 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  话：0551-68150309</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val="en-US" w:eastAsia="zh-CN"/>
        </w:rPr>
        <w:t>4</w:t>
      </w:r>
      <w:r>
        <w:rPr>
          <w:rFonts w:hint="eastAsia" w:ascii="宋体" w:hAnsi="宋体" w:eastAsia="宋体" w:cs="宋体"/>
          <w:sz w:val="24"/>
          <w:szCs w:val="24"/>
          <w:highlight w:val="none"/>
          <w:u w:val="none"/>
        </w:rPr>
        <w:t>.项目联系方式</w:t>
      </w:r>
      <w:bookmarkEnd w:id="101"/>
      <w:bookmarkEnd w:id="102"/>
      <w:bookmarkEnd w:id="103"/>
      <w:bookmarkEnd w:id="104"/>
    </w:p>
    <w:p>
      <w:pPr>
        <w:pStyle w:val="13"/>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hAnsi="宋体" w:cs="宋体"/>
          <w:sz w:val="24"/>
          <w:szCs w:val="24"/>
          <w:highlight w:val="none"/>
          <w:u w:val="none"/>
        </w:rPr>
      </w:pPr>
      <w:r>
        <w:rPr>
          <w:rFonts w:hint="eastAsia" w:hAnsi="宋体" w:cs="宋体"/>
          <w:sz w:val="24"/>
          <w:szCs w:val="24"/>
          <w:highlight w:val="none"/>
          <w:u w:val="none"/>
        </w:rPr>
        <w:t>项目联系人：</w:t>
      </w:r>
      <w:r>
        <w:rPr>
          <w:rFonts w:hint="eastAsia" w:hAnsi="宋体" w:cs="宋体"/>
          <w:sz w:val="24"/>
          <w:szCs w:val="24"/>
          <w:highlight w:val="none"/>
          <w:u w:val="none"/>
          <w:lang w:val="en-US" w:eastAsia="zh-CN"/>
        </w:rPr>
        <w:t xml:space="preserve">朱工     </w:t>
      </w:r>
    </w:p>
    <w:p>
      <w:pPr>
        <w:snapToGrid w:val="0"/>
        <w:spacing w:line="50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　　 话：</w:t>
      </w:r>
      <w:r>
        <w:rPr>
          <w:rFonts w:hint="eastAsia" w:ascii="宋体" w:hAnsi="宋体" w:eastAsia="宋体" w:cs="宋体"/>
          <w:sz w:val="24"/>
          <w:szCs w:val="24"/>
          <w:highlight w:val="none"/>
          <w:u w:val="none"/>
          <w:lang w:val="en-US" w:eastAsia="zh-CN"/>
        </w:rPr>
        <w:t>0551-65707329</w:t>
      </w:r>
      <w:r>
        <w:rPr>
          <w:rFonts w:hint="eastAsia" w:ascii="宋体" w:hAnsi="宋体" w:eastAsia="宋体" w:cs="宋体"/>
          <w:sz w:val="24"/>
          <w:szCs w:val="24"/>
          <w:highlight w:val="none"/>
          <w:u w:val="none"/>
        </w:rPr>
        <w:t>　　</w:t>
      </w:r>
    </w:p>
    <w:p>
      <w:pPr>
        <w:pStyle w:val="4"/>
        <w:bidi w:val="0"/>
        <w:rPr>
          <w:rFonts w:hint="eastAsia" w:ascii="方正小标宋_GBK" w:hAnsi="方正小标宋_GBK" w:eastAsia="方正小标宋_GBK" w:cs="方正小标宋_GBK"/>
          <w:kern w:val="44"/>
          <w:sz w:val="44"/>
          <w:szCs w:val="44"/>
          <w:highlight w:val="none"/>
        </w:rPr>
      </w:pPr>
      <w:r>
        <w:rPr>
          <w:rFonts w:hint="eastAsia" w:ascii="宋体" w:hAnsi="宋体" w:eastAsia="宋体"/>
          <w:b/>
          <w:sz w:val="28"/>
          <w:highlight w:val="none"/>
        </w:rPr>
        <w:br w:type="page"/>
      </w:r>
      <w:bookmarkStart w:id="105" w:name="_Toc148819572"/>
      <w:bookmarkStart w:id="106" w:name="_Toc23825"/>
      <w:bookmarkStart w:id="107" w:name="_Toc361610038"/>
      <w:bookmarkStart w:id="108" w:name="_Toc880539319"/>
      <w:bookmarkStart w:id="109" w:name="_Toc925612085"/>
      <w:bookmarkStart w:id="110" w:name="_Toc1281609879"/>
      <w:bookmarkStart w:id="111" w:name="_Toc1384640771"/>
      <w:bookmarkStart w:id="112" w:name="_Toc560279100"/>
      <w:bookmarkStart w:id="113" w:name="_Toc1241250168_WPSOffice_Level1"/>
      <w:r>
        <w:rPr>
          <w:rFonts w:hint="eastAsia" w:ascii="方正小标宋_GBK" w:hAnsi="方正小标宋_GBK" w:eastAsia="方正小标宋_GBK" w:cs="方正小标宋_GBK"/>
          <w:kern w:val="44"/>
          <w:sz w:val="44"/>
          <w:szCs w:val="44"/>
          <w:highlight w:val="none"/>
        </w:rPr>
        <w:t>第二章  投标人须知</w:t>
      </w:r>
      <w:bookmarkEnd w:id="105"/>
      <w:bookmarkEnd w:id="106"/>
      <w:bookmarkEnd w:id="107"/>
      <w:bookmarkEnd w:id="108"/>
      <w:bookmarkEnd w:id="109"/>
      <w:bookmarkEnd w:id="110"/>
      <w:bookmarkEnd w:id="111"/>
      <w:bookmarkEnd w:id="112"/>
      <w:bookmarkEnd w:id="113"/>
    </w:p>
    <w:p>
      <w:pPr>
        <w:pStyle w:val="5"/>
        <w:bidi w:val="0"/>
        <w:jc w:val="center"/>
        <w:rPr>
          <w:highlight w:val="none"/>
        </w:rPr>
      </w:pPr>
      <w:bookmarkStart w:id="114" w:name="_Toc269609099"/>
      <w:bookmarkStart w:id="115" w:name="_Toc1304244860"/>
      <w:bookmarkStart w:id="116" w:name="_Toc549416062"/>
      <w:bookmarkStart w:id="117" w:name="_Toc1115132404"/>
      <w:bookmarkStart w:id="118" w:name="_Toc883540918"/>
      <w:bookmarkStart w:id="119" w:name="_Toc485746295"/>
      <w:bookmarkStart w:id="120" w:name="_Toc1213758619"/>
      <w:bookmarkStart w:id="121" w:name="_Toc1500061815_WPSOffice_Level2"/>
      <w:r>
        <w:rPr>
          <w:rFonts w:hint="eastAsia"/>
          <w:highlight w:val="none"/>
        </w:rPr>
        <w:t>一、投标人</w:t>
      </w:r>
      <w:r>
        <w:rPr>
          <w:highlight w:val="none"/>
        </w:rPr>
        <w:t>须知前附表</w:t>
      </w:r>
      <w:bookmarkEnd w:id="114"/>
      <w:bookmarkEnd w:id="115"/>
      <w:bookmarkEnd w:id="116"/>
      <w:bookmarkEnd w:id="117"/>
      <w:bookmarkEnd w:id="118"/>
      <w:bookmarkEnd w:id="119"/>
      <w:bookmarkEnd w:id="120"/>
      <w:bookmarkEnd w:id="121"/>
    </w:p>
    <w:p>
      <w:pPr>
        <w:spacing w:line="360" w:lineRule="auto"/>
        <w:ind w:firstLine="435"/>
        <w:jc w:val="left"/>
        <w:rPr>
          <w:rFonts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126"/>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1041" w:type="dxa"/>
            <w:noWrap w:val="0"/>
            <w:vAlign w:val="center"/>
          </w:tcPr>
          <w:p>
            <w:pPr>
              <w:pStyle w:val="36"/>
              <w:widowControl w:val="0"/>
              <w:spacing w:before="0" w:beforeAutospacing="0" w:after="0" w:afterAutospacing="0"/>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条款号</w:t>
            </w:r>
          </w:p>
        </w:tc>
        <w:tc>
          <w:tcPr>
            <w:tcW w:w="2126" w:type="dxa"/>
            <w:noWrap w:val="0"/>
            <w:vAlign w:val="center"/>
          </w:tcPr>
          <w:p>
            <w:pPr>
              <w:pStyle w:val="36"/>
              <w:widowControl w:val="0"/>
              <w:spacing w:before="0" w:beforeAutospacing="0" w:after="0" w:afterAutospacing="0"/>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条款名称</w:t>
            </w:r>
          </w:p>
        </w:tc>
        <w:tc>
          <w:tcPr>
            <w:tcW w:w="5328" w:type="dxa"/>
            <w:noWrap w:val="0"/>
            <w:vAlign w:val="center"/>
          </w:tcPr>
          <w:p>
            <w:pPr>
              <w:pStyle w:val="36"/>
              <w:widowControl w:val="0"/>
              <w:spacing w:before="0" w:beforeAutospacing="0" w:after="0" w:afterAutospacing="0"/>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left" w:pos="0"/>
                <w:tab w:val="clear" w:pos="4153"/>
                <w:tab w:val="clear" w:pos="8306"/>
              </w:tabs>
              <w:adjustRightInd/>
              <w:spacing w:line="40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3.1</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采购人</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bCs w:val="0"/>
                <w:kern w:val="2"/>
                <w:sz w:val="24"/>
                <w:szCs w:val="20"/>
                <w:highlight w:val="none"/>
              </w:rPr>
            </w:pPr>
            <w:r>
              <w:rPr>
                <w:rFonts w:hint="eastAsia" w:ascii="宋体" w:hAnsi="宋体" w:eastAsia="宋体" w:cs="宋体"/>
                <w:sz w:val="24"/>
                <w:szCs w:val="24"/>
                <w:highlight w:val="none"/>
                <w:u w:val="none"/>
                <w:lang w:val="en-US" w:eastAsia="zh-CN"/>
              </w:rPr>
              <w:t xml:space="preserve">皖南医学院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3.2</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采购代理机构</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bCs w:val="0"/>
                <w:sz w:val="24"/>
                <w:szCs w:val="18"/>
                <w:highlight w:val="none"/>
              </w:rPr>
            </w:pPr>
            <w:r>
              <w:rPr>
                <w:rFonts w:hint="eastAsia" w:ascii="宋体" w:hAnsi="宋体" w:eastAsia="宋体" w:cs="宋体"/>
                <w:sz w:val="24"/>
                <w:szCs w:val="24"/>
                <w:highlight w:val="none"/>
                <w:u w:val="none"/>
                <w:lang w:val="en-US" w:eastAsia="zh-CN"/>
              </w:rPr>
              <w:t>安徽安兆工程技术咨询服务有限公司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sz w:val="24"/>
                <w:szCs w:val="24"/>
                <w:highlight w:val="none"/>
              </w:rPr>
              <w:t>3.3</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政府采购监督管理部门</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bCs w:val="0"/>
                <w:sz w:val="24"/>
                <w:highlight w:val="none"/>
                <w:u w:val="none"/>
              </w:rPr>
            </w:pPr>
            <w:r>
              <w:rPr>
                <w:rFonts w:hint="eastAsia" w:ascii="宋体" w:hAnsi="宋体" w:eastAsia="宋体" w:cs="宋体"/>
                <w:b/>
                <w:bCs/>
                <w:sz w:val="24"/>
                <w:szCs w:val="24"/>
                <w:highlight w:val="none"/>
                <w:u w:val="none"/>
                <w:lang w:val="en-US" w:eastAsia="zh-CN"/>
              </w:rPr>
              <w:t xml:space="preserve">安徽省财政厅    </w:t>
            </w:r>
            <w:r>
              <w:rPr>
                <w:rFonts w:hint="eastAsia" w:ascii="宋体" w:hAnsi="宋体" w:eastAsia="宋体" w:cs="宋体"/>
                <w:b w:val="0"/>
                <w:bCs w:val="0"/>
                <w:sz w:val="24"/>
                <w:szCs w:val="18"/>
                <w:highlight w:val="none"/>
                <w:u w:val="none"/>
                <w:lang w:val="en-US" w:eastAsia="zh-CN"/>
              </w:rPr>
              <w:t xml:space="preserve">              </w:t>
            </w:r>
            <w:r>
              <w:rPr>
                <w:rFonts w:hint="eastAsia" w:ascii="宋体" w:hAnsi="宋体" w:eastAsia="宋体" w:cs="宋体"/>
                <w:b w:val="0"/>
                <w:bCs w:val="0"/>
                <w:sz w:val="24"/>
                <w:szCs w:val="18"/>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3.4.4</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是否允许采购进口产品</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bCs w:val="0"/>
                <w:sz w:val="24"/>
                <w:szCs w:val="18"/>
                <w:highlight w:val="none"/>
                <w:u w:val="none"/>
              </w:rPr>
            </w:pPr>
            <w:r>
              <w:rPr>
                <w:rFonts w:hint="eastAsia" w:ascii="宋体" w:hAnsi="宋体" w:eastAsia="宋体" w:cs="宋体"/>
                <w:b w:val="0"/>
                <w:sz w:val="24"/>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3.4.5</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sz w:val="24"/>
                <w:highlight w:val="none"/>
              </w:rPr>
            </w:pPr>
            <w:r>
              <w:rPr>
                <w:rFonts w:hint="eastAsia" w:ascii="宋体" w:hAnsi="宋体" w:eastAsia="宋体" w:cs="宋体"/>
                <w:b w:val="0"/>
                <w:sz w:val="24"/>
                <w:highlight w:val="none"/>
              </w:rPr>
              <w:t>是否为专门面向中小企业采购</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bCs w:val="0"/>
                <w:sz w:val="24"/>
                <w:szCs w:val="18"/>
                <w:highlight w:val="none"/>
              </w:rPr>
            </w:pPr>
            <w:r>
              <w:rPr>
                <w:rFonts w:hint="eastAsia" w:ascii="宋体" w:hAnsi="宋体" w:eastAsia="宋体" w:cs="宋体"/>
                <w:b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left" w:pos="0"/>
                <w:tab w:val="clear" w:pos="4153"/>
                <w:tab w:val="clear" w:pos="8306"/>
              </w:tabs>
              <w:adjustRightInd/>
              <w:spacing w:line="40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3.5</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sz w:val="24"/>
                <w:highlight w:val="none"/>
              </w:rPr>
            </w:pPr>
            <w:r>
              <w:rPr>
                <w:rFonts w:hint="eastAsia" w:ascii="宋体" w:hAnsi="宋体" w:eastAsia="宋体" w:cs="宋体"/>
                <w:b w:val="0"/>
                <w:sz w:val="24"/>
                <w:highlight w:val="none"/>
              </w:rPr>
              <w:t>是否允许联合体参加投标</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left" w:pos="0"/>
                <w:tab w:val="clear" w:pos="4153"/>
                <w:tab w:val="clear" w:pos="8306"/>
              </w:tabs>
              <w:adjustRightInd/>
              <w:spacing w:line="40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4.3</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sz w:val="24"/>
                <w:highlight w:val="none"/>
              </w:rPr>
            </w:pPr>
            <w:r>
              <w:rPr>
                <w:rFonts w:hint="eastAsia" w:ascii="宋体" w:hAnsi="宋体" w:eastAsia="宋体" w:cs="宋体"/>
                <w:b w:val="0"/>
                <w:sz w:val="24"/>
                <w:highlight w:val="none"/>
              </w:rPr>
              <w:t>资金来源</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sz w:val="24"/>
                <w:highlight w:val="none"/>
                <w:lang w:val="en-US" w:eastAsia="zh-CN"/>
              </w:rPr>
            </w:pPr>
            <w:r>
              <w:rPr>
                <w:rFonts w:hint="eastAsia" w:ascii="宋体" w:hAnsi="宋体" w:eastAsia="宋体" w:cs="宋体"/>
                <w:b w:val="0"/>
                <w:sz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7.3</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sz w:val="24"/>
                <w:highlight w:val="none"/>
              </w:rPr>
            </w:pPr>
            <w:r>
              <w:rPr>
                <w:rFonts w:hint="eastAsia" w:ascii="宋体" w:hAnsi="宋体" w:eastAsia="宋体" w:cs="宋体"/>
                <w:b w:val="0"/>
                <w:sz w:val="24"/>
                <w:highlight w:val="none"/>
              </w:rPr>
              <w:t>现场考察</w:t>
            </w:r>
          </w:p>
        </w:tc>
        <w:tc>
          <w:tcPr>
            <w:tcW w:w="5328" w:type="dxa"/>
            <w:noWrap w:val="0"/>
            <w:vAlign w:val="center"/>
          </w:tcPr>
          <w:p>
            <w:pPr>
              <w:spacing w:line="500" w:lineRule="exact"/>
              <w:rPr>
                <w:rFonts w:hint="eastAsia" w:ascii="宋体" w:hAnsi="宋体" w:eastAsia="宋体" w:cs="宋体"/>
                <w:b/>
                <w:sz w:val="24"/>
                <w:highlight w:val="none"/>
              </w:rPr>
            </w:pPr>
            <w:r>
              <w:rPr>
                <w:rFonts w:hint="eastAsia" w:ascii="宋体" w:hAnsi="宋体" w:eastAsia="宋体" w:cs="宋体"/>
                <w:sz w:val="24"/>
                <w:highlight w:val="none"/>
              </w:rPr>
              <w:t>不组织，投标人</w:t>
            </w:r>
            <w:r>
              <w:rPr>
                <w:rFonts w:hint="eastAsia" w:ascii="宋体" w:hAnsi="宋体" w:eastAsia="宋体" w:cs="宋体"/>
                <w:bCs/>
                <w:sz w:val="24"/>
                <w:highlight w:val="none"/>
              </w:rPr>
              <w:t>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highlight w:val="none"/>
              </w:rPr>
            </w:pPr>
            <w:r>
              <w:rPr>
                <w:rFonts w:hint="eastAsia" w:ascii="宋体" w:hAnsi="宋体" w:eastAsia="宋体" w:cs="宋体"/>
                <w:bCs/>
                <w:kern w:val="2"/>
                <w:highlight w:val="none"/>
              </w:rPr>
              <w:t>8.1</w:t>
            </w:r>
          </w:p>
        </w:tc>
        <w:tc>
          <w:tcPr>
            <w:tcW w:w="2126" w:type="dxa"/>
            <w:noWrap w:val="0"/>
            <w:vAlign w:val="center"/>
          </w:tcPr>
          <w:p>
            <w:pPr>
              <w:pStyle w:val="36"/>
              <w:widowControl w:val="0"/>
              <w:spacing w:before="0" w:beforeAutospacing="0" w:after="0" w:afterAutospacing="0"/>
              <w:rPr>
                <w:rFonts w:hint="eastAsia" w:ascii="宋体" w:hAnsi="宋体" w:eastAsia="宋体" w:cs="宋体"/>
                <w:b w:val="0"/>
                <w:sz w:val="24"/>
                <w:highlight w:val="none"/>
              </w:rPr>
            </w:pPr>
            <w:r>
              <w:rPr>
                <w:rFonts w:hint="eastAsia" w:ascii="宋体" w:hAnsi="宋体" w:eastAsia="宋体" w:cs="宋体"/>
                <w:b w:val="0"/>
                <w:bCs w:val="0"/>
                <w:sz w:val="24"/>
                <w:highlight w:val="none"/>
              </w:rPr>
              <w:t>询问方式及截止时间</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sz w:val="24"/>
                <w:highlight w:val="none"/>
              </w:rPr>
              <w:t>询问方式：网上提问形式</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sz w:val="24"/>
                <w:highlight w:val="none"/>
              </w:rPr>
              <w:t>询问截止时间：</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Cs w:val="0"/>
                <w:sz w:val="24"/>
                <w:highlight w:val="none"/>
              </w:rPr>
            </w:pPr>
            <w:r>
              <w:rPr>
                <w:rFonts w:hint="eastAsia" w:ascii="宋体" w:hAnsi="宋体" w:eastAsia="宋体" w:cs="宋体"/>
                <w:b w:val="0"/>
                <w:sz w:val="24"/>
                <w:highlight w:val="none"/>
                <w:u w:val="single"/>
                <w:lang w:val="en-US" w:eastAsia="zh-CN"/>
              </w:rPr>
              <w:t>2024</w:t>
            </w:r>
            <w:r>
              <w:rPr>
                <w:rFonts w:hint="eastAsia" w:ascii="宋体" w:hAnsi="宋体" w:eastAsia="宋体" w:cs="宋体"/>
                <w:b w:val="0"/>
                <w:sz w:val="24"/>
                <w:highlight w:val="none"/>
              </w:rPr>
              <w:t>年</w:t>
            </w:r>
            <w:r>
              <w:rPr>
                <w:rFonts w:hint="eastAsia" w:ascii="宋体" w:hAnsi="宋体" w:eastAsia="宋体" w:cs="宋体"/>
                <w:b w:val="0"/>
                <w:sz w:val="24"/>
                <w:highlight w:val="none"/>
                <w:u w:val="single"/>
                <w:lang w:val="en-US" w:eastAsia="zh-CN"/>
              </w:rPr>
              <w:t>04</w:t>
            </w:r>
            <w:r>
              <w:rPr>
                <w:rFonts w:hint="eastAsia" w:ascii="宋体" w:hAnsi="宋体" w:eastAsia="宋体" w:cs="宋体"/>
                <w:b w:val="0"/>
                <w:sz w:val="24"/>
                <w:highlight w:val="none"/>
              </w:rPr>
              <w:t>月</w:t>
            </w:r>
            <w:r>
              <w:rPr>
                <w:rFonts w:hint="eastAsia" w:ascii="宋体" w:hAnsi="宋体" w:eastAsia="宋体" w:cs="宋体"/>
                <w:b w:val="0"/>
                <w:sz w:val="24"/>
                <w:highlight w:val="none"/>
                <w:u w:val="single"/>
                <w:lang w:val="en-US" w:eastAsia="zh-CN"/>
              </w:rPr>
              <w:t>26</w:t>
            </w:r>
            <w:r>
              <w:rPr>
                <w:rFonts w:hint="eastAsia" w:ascii="宋体" w:hAnsi="宋体" w:eastAsia="宋体" w:cs="宋体"/>
                <w:b w:val="0"/>
                <w:sz w:val="24"/>
                <w:highlight w:val="none"/>
              </w:rPr>
              <w:t>日</w:t>
            </w:r>
            <w:r>
              <w:rPr>
                <w:rFonts w:hint="eastAsia" w:ascii="宋体" w:hAnsi="宋体" w:eastAsia="宋体" w:cs="宋体"/>
                <w:b w:val="0"/>
                <w:sz w:val="24"/>
                <w:highlight w:val="none"/>
                <w:u w:val="single"/>
                <w:lang w:val="en-US" w:eastAsia="zh-CN"/>
              </w:rPr>
              <w:t>17</w:t>
            </w:r>
            <w:r>
              <w:rPr>
                <w:rFonts w:hint="eastAsia" w:ascii="宋体" w:hAnsi="宋体" w:eastAsia="宋体" w:cs="宋体"/>
                <w:b w:val="0"/>
                <w:sz w:val="24"/>
                <w:highlight w:val="none"/>
              </w:rPr>
              <w:t>时</w:t>
            </w:r>
            <w:r>
              <w:rPr>
                <w:rFonts w:hint="eastAsia" w:ascii="宋体" w:hAnsi="宋体" w:eastAsia="宋体" w:cs="宋体"/>
                <w:b w:val="0"/>
                <w:sz w:val="24"/>
                <w:highlight w:val="none"/>
                <w:u w:val="single"/>
                <w:lang w:val="en-US" w:eastAsia="zh-CN"/>
              </w:rPr>
              <w:t>00</w:t>
            </w:r>
            <w:r>
              <w:rPr>
                <w:rFonts w:hint="eastAsia" w:ascii="宋体" w:hAnsi="宋体" w:eastAsia="宋体" w:cs="宋体"/>
                <w:b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9.1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包别划分</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sz w:val="24"/>
                <w:highlight w:val="none"/>
              </w:rPr>
              <w:t>不分包</w:t>
            </w:r>
            <w:r>
              <w:rPr>
                <w:rFonts w:hint="eastAsia" w:ascii="宋体" w:hAnsi="宋体" w:eastAsia="宋体" w:cs="宋体"/>
                <w:b w:val="0"/>
                <w:bCs w:val="0"/>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13.1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投标保证金</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highlight w:val="none"/>
              </w:rPr>
            </w:pPr>
            <w:r>
              <w:rPr>
                <w:rFonts w:hint="eastAsia" w:ascii="宋体" w:hAnsi="宋体" w:eastAsia="宋体" w:cs="宋体"/>
                <w:bCs/>
                <w:sz w:val="24"/>
                <w:szCs w:val="28"/>
                <w:highlight w:val="none"/>
              </w:rPr>
              <w:t>本项目免收投标保证金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14.1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投标有效期</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sz w:val="24"/>
                <w:highlight w:val="none"/>
                <w:u w:val="single"/>
              </w:rPr>
              <w:t xml:space="preserve"> </w:t>
            </w:r>
            <w:r>
              <w:rPr>
                <w:rFonts w:hint="eastAsia" w:ascii="宋体" w:hAnsi="宋体" w:eastAsia="宋体" w:cs="宋体"/>
                <w:b w:val="0"/>
                <w:sz w:val="24"/>
                <w:highlight w:val="none"/>
                <w:u w:val="single"/>
                <w:lang w:val="en-US" w:eastAsia="zh-CN"/>
              </w:rPr>
              <w:t>90</w:t>
            </w:r>
            <w:r>
              <w:rPr>
                <w:rFonts w:hint="eastAsia" w:ascii="宋体" w:hAnsi="宋体" w:eastAsia="宋体" w:cs="宋体"/>
                <w:b w:val="0"/>
                <w:sz w:val="24"/>
                <w:highlight w:val="none"/>
                <w:u w:val="single"/>
              </w:rPr>
              <w:t xml:space="preserve">  </w:t>
            </w:r>
            <w:r>
              <w:rPr>
                <w:rFonts w:hint="eastAsia" w:ascii="宋体" w:hAnsi="宋体" w:eastAsia="宋体" w:cs="宋体"/>
                <w:b w:val="0"/>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highlight w:val="none"/>
              </w:rPr>
            </w:pPr>
            <w:r>
              <w:rPr>
                <w:rFonts w:hint="eastAsia" w:ascii="宋体" w:hAnsi="宋体" w:eastAsia="宋体" w:cs="宋体"/>
                <w:bCs/>
                <w:kern w:val="2"/>
                <w:sz w:val="24"/>
                <w:szCs w:val="20"/>
                <w:highlight w:val="none"/>
                <w:lang w:val="en-US" w:eastAsia="zh-CN" w:bidi="ar-SA"/>
              </w:rPr>
              <w:t>15.1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投标文件要求（B电子招投标）</w:t>
            </w:r>
          </w:p>
        </w:tc>
        <w:tc>
          <w:tcPr>
            <w:tcW w:w="5328"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1.加密的电子投标文件</w:t>
            </w:r>
            <w:r>
              <w:rPr>
                <w:rFonts w:hint="eastAsia" w:ascii="宋体" w:hAnsi="宋体" w:eastAsia="宋体" w:cs="宋体"/>
                <w:bCs/>
                <w:kern w:val="0"/>
                <w:sz w:val="24"/>
                <w:szCs w:val="24"/>
                <w:highlight w:val="none"/>
              </w:rPr>
              <w:t>：</w:t>
            </w:r>
          </w:p>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使用电子交易系统“投标文件制作工具”制作生成的加密电子投标文件</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u w:val="single"/>
              </w:rPr>
              <w:t xml:space="preserve">*.jmbs </w:t>
            </w:r>
            <w:r>
              <w:rPr>
                <w:rFonts w:hint="eastAsia" w:ascii="宋体" w:hAnsi="宋体" w:eastAsia="宋体" w:cs="宋体"/>
                <w:bCs/>
                <w:kern w:val="0"/>
                <w:sz w:val="24"/>
                <w:szCs w:val="24"/>
                <w:highlight w:val="none"/>
              </w:rPr>
              <w:t>格式</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，应在投标文件提交截止时间前通过电子交易系统上传。</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2.未加密的电子投标文件</w:t>
            </w:r>
            <w:r>
              <w:rPr>
                <w:rFonts w:hint="eastAsia" w:ascii="宋体" w:hAnsi="宋体" w:eastAsia="宋体" w:cs="宋体"/>
                <w:bCs/>
                <w:kern w:val="0"/>
                <w:sz w:val="24"/>
                <w:szCs w:val="24"/>
                <w:highlight w:val="none"/>
              </w:rPr>
              <w:t>：</w:t>
            </w:r>
          </w:p>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bCs/>
                <w:kern w:val="0"/>
                <w:sz w:val="24"/>
                <w:szCs w:val="24"/>
                <w:highlight w:val="none"/>
              </w:rPr>
              <w:t>生成加密电子投标文件时同时生成未加密的电子投标文件。未加密电子投标文件是否提交由投标人自行决定。如提交，可</w:t>
            </w:r>
            <w:r>
              <w:rPr>
                <w:rFonts w:hint="eastAsia" w:ascii="宋体" w:hAnsi="宋体" w:eastAsia="宋体" w:cs="宋体"/>
                <w:kern w:val="0"/>
                <w:sz w:val="24"/>
                <w:szCs w:val="24"/>
                <w:highlight w:val="none"/>
                <w:lang w:bidi="ar"/>
              </w:rPr>
              <w:t>通过压缩包设置密码的形式在投标文件提交截止时间前发送至项目联系邮箱（邮箱信息详见中标公告或</w:t>
            </w:r>
            <w:r>
              <w:rPr>
                <w:rFonts w:hint="eastAsia" w:ascii="宋体" w:hAnsi="宋体" w:eastAsia="宋体" w:cs="宋体"/>
                <w:b/>
                <w:bCs/>
                <w:kern w:val="0"/>
                <w:sz w:val="24"/>
                <w:szCs w:val="24"/>
                <w:highlight w:val="none"/>
                <w:lang w:bidi="ar"/>
              </w:rPr>
              <w:t>投标人须知前附表</w:t>
            </w:r>
            <w:r>
              <w:rPr>
                <w:rFonts w:hint="eastAsia" w:ascii="宋体" w:hAnsi="宋体" w:eastAsia="宋体" w:cs="宋体"/>
                <w:kern w:val="0"/>
                <w:sz w:val="24"/>
                <w:szCs w:val="24"/>
                <w:highlight w:val="none"/>
                <w:lang w:bidi="ar"/>
              </w:rPr>
              <w:t>）。</w:t>
            </w:r>
          </w:p>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lang w:bidi="ar"/>
              </w:rPr>
              <w:t xml:space="preserve">若因解密不成功确须使用到该未加密电子投标文件，项目负责人将主动联系投标人获取“加密压缩包”的密码，解密压缩包后导入未加密电子投标文件继续开启。 </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3.纸质投标文件</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8"/>
                <w:highlight w:val="none"/>
              </w:rPr>
              <w:t>加盖单位印章）：</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sz w:val="24"/>
                <w:highlight w:val="none"/>
              </w:rPr>
            </w:pPr>
            <w:r>
              <w:rPr>
                <w:rFonts w:hint="eastAsia" w:ascii="宋体" w:hAnsi="宋体" w:eastAsia="宋体" w:cs="宋体"/>
                <w:b w:val="0"/>
                <w:bCs w:val="0"/>
                <w:sz w:val="24"/>
                <w:szCs w:val="24"/>
                <w:highlight w:val="none"/>
                <w:lang w:bidi="ar"/>
              </w:rPr>
              <w:t>中标人在领取中标通知书时，按采购人要求提交纸质投标文件。纸质投标文件为加密电子投标文件的打印版。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kern w:val="2"/>
                <w:sz w:val="24"/>
                <w:szCs w:val="24"/>
                <w:highlight w:val="none"/>
                <w:lang w:val="en-US" w:eastAsia="zh-CN" w:bidi="ar-SA"/>
              </w:rPr>
              <w:t>15.3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开标现场提交的其他材料要求</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u w:val="single"/>
              </w:rPr>
            </w:pPr>
            <w:r>
              <w:rPr>
                <w:rFonts w:hint="eastAsia" w:ascii="宋体" w:hAnsi="宋体" w:eastAsia="宋体" w:cs="宋体"/>
                <w:b w:val="0"/>
                <w:bCs w:val="0"/>
                <w:sz w:val="24"/>
                <w:szCs w:val="24"/>
                <w:highlight w:val="none"/>
                <w:u w:val="single"/>
                <w:lang w:val="en-US" w:eastAsia="zh-CN"/>
              </w:rPr>
              <w:t>无</w:t>
            </w:r>
            <w:r>
              <w:rPr>
                <w:rFonts w:hint="eastAsia" w:ascii="宋体" w:hAnsi="宋体" w:eastAsia="宋体" w:cs="宋体"/>
                <w:b w:val="0"/>
                <w:bCs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16.1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投标截止时间</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及地点</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17.2</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（B电子招投标）加密电子投标文件解密时间</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投标文件提交截止时间后</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u w:val="single"/>
                <w:lang w:val="en-US" w:eastAsia="zh-CN"/>
              </w:rPr>
              <w:t>60</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vMerge w:val="restart"/>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18.1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开标时间</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vMerge w:val="continue"/>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开标地点</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19.1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资格审查</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sz w:val="24"/>
                <w:szCs w:val="24"/>
                <w:highlight w:val="none"/>
              </w:rPr>
            </w:pPr>
            <w:r>
              <w:rPr>
                <w:rFonts w:hint="eastAsia" w:ascii="宋体" w:hAnsi="宋体" w:eastAsia="宋体" w:cs="宋体"/>
                <w:b w:val="0"/>
                <w:bCs w:val="0"/>
                <w:sz w:val="24"/>
                <w:szCs w:val="24"/>
                <w:highlight w:val="none"/>
              </w:rPr>
              <w:t>采购人审查或采购人出具委托函委托采购代理机构进行审查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20.3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核心产品</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22.2</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评标方法</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22.3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报价扣除</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bCs w:val="0"/>
                <w:iCs/>
                <w:sz w:val="24"/>
                <w:szCs w:val="24"/>
                <w:highlight w:val="none"/>
              </w:rPr>
              <w:t>（适用于非专门面向中小企业采购项目）</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1.小型和微型企业价格扣除：</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10</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2.监狱企业价格扣除：同小型和微型企业。</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3.残疾人福利性单位价格扣除：同小型和微型企业。</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4.符合条件的联合体价格扣除：</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w:t>
            </w:r>
            <w:r>
              <w:rPr>
                <w:rFonts w:hint="eastAsia" w:ascii="宋体" w:hAnsi="宋体" w:eastAsia="宋体" w:cs="宋体"/>
                <w:iCs/>
                <w:sz w:val="24"/>
                <w:szCs w:val="24"/>
                <w:highlight w:val="none"/>
              </w:rPr>
              <w:t>（接受大中型企业与小微企业组成联合体的项目适用）</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bCs w:val="0"/>
                <w:kern w:val="2"/>
                <w:sz w:val="24"/>
                <w:szCs w:val="24"/>
                <w:highlight w:val="none"/>
              </w:rPr>
              <w:t>5.符合条件的向小微企业分包的大中型企业价格扣除：</w:t>
            </w:r>
            <w:r>
              <w:rPr>
                <w:rFonts w:hint="eastAsia" w:ascii="宋体" w:hAnsi="宋体" w:eastAsia="宋体" w:cs="宋体"/>
                <w:b w:val="0"/>
                <w:bCs w:val="0"/>
                <w:kern w:val="2"/>
                <w:sz w:val="24"/>
                <w:szCs w:val="24"/>
                <w:highlight w:val="none"/>
                <w:u w:val="single"/>
              </w:rPr>
              <w:t xml:space="preserve"> </w:t>
            </w:r>
            <w:r>
              <w:rPr>
                <w:rFonts w:hint="eastAsia" w:ascii="宋体" w:hAnsi="宋体" w:eastAsia="宋体" w:cs="宋体"/>
                <w:b w:val="0"/>
                <w:bCs w:val="0"/>
                <w:kern w:val="2"/>
                <w:sz w:val="24"/>
                <w:szCs w:val="24"/>
                <w:highlight w:val="none"/>
                <w:u w:val="single"/>
                <w:lang w:val="en-US" w:eastAsia="zh-CN"/>
              </w:rPr>
              <w:t>/</w:t>
            </w:r>
            <w:r>
              <w:rPr>
                <w:rFonts w:hint="eastAsia" w:ascii="宋体" w:hAnsi="宋体" w:eastAsia="宋体" w:cs="宋体"/>
                <w:b w:val="0"/>
                <w:bCs w:val="0"/>
                <w:kern w:val="2"/>
                <w:sz w:val="24"/>
                <w:szCs w:val="24"/>
                <w:highlight w:val="none"/>
                <w:u w:val="single"/>
              </w:rPr>
              <w:t xml:space="preserve"> </w:t>
            </w:r>
            <w:r>
              <w:rPr>
                <w:rFonts w:hint="eastAsia" w:ascii="宋体" w:hAnsi="宋体" w:eastAsia="宋体" w:cs="宋体"/>
                <w:b w:val="0"/>
                <w:bCs w:val="0"/>
                <w:kern w:val="2"/>
                <w:sz w:val="24"/>
                <w:szCs w:val="24"/>
                <w:highlight w:val="none"/>
              </w:rPr>
              <w:t>%。</w:t>
            </w:r>
            <w:r>
              <w:rPr>
                <w:rFonts w:hint="eastAsia" w:ascii="宋体" w:hAnsi="宋体" w:eastAsia="宋体" w:cs="宋体"/>
                <w:b w:val="0"/>
                <w:bCs w:val="0"/>
                <w:iCs/>
                <w:kern w:val="2"/>
                <w:sz w:val="24"/>
                <w:szCs w:val="24"/>
                <w:highlight w:val="none"/>
              </w:rPr>
              <w:t>（允许大中型企业向小微企业分包的项目适用）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22.4</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节能、环境标志</w:t>
            </w:r>
          </w:p>
          <w:p>
            <w:pPr>
              <w:pStyle w:val="36"/>
              <w:widowControl w:val="0"/>
              <w:spacing w:before="0" w:beforeAutospacing="0" w:after="0" w:afterAutospacing="0" w:line="360" w:lineRule="auto"/>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产品采购</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强制采购节能产品，必须符合招标文件要求及相关规定；</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其他符合招标文件要求的，给予优先采购。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26.1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评标委员会推荐中标候选人的</w:t>
            </w:r>
          </w:p>
          <w:p>
            <w:pPr>
              <w:pStyle w:val="36"/>
              <w:widowControl w:val="0"/>
              <w:spacing w:before="0" w:beforeAutospacing="0" w:after="0" w:afterAutospacing="0" w:line="360" w:lineRule="auto"/>
              <w:rPr>
                <w:rFonts w:hint="eastAsia" w:ascii="宋体" w:hAnsi="宋体" w:eastAsia="宋体" w:cs="宋体"/>
                <w:b w:val="0"/>
                <w:bCs w:val="0"/>
                <w:iCs/>
                <w:sz w:val="24"/>
                <w:szCs w:val="24"/>
                <w:highlight w:val="none"/>
              </w:rPr>
            </w:pPr>
            <w:r>
              <w:rPr>
                <w:rFonts w:hint="eastAsia" w:ascii="宋体" w:hAnsi="宋体" w:eastAsia="宋体" w:cs="宋体"/>
                <w:b w:val="0"/>
                <w:sz w:val="24"/>
                <w:szCs w:val="24"/>
                <w:highlight w:val="none"/>
              </w:rPr>
              <w:t>数量</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sz w:val="24"/>
                <w:szCs w:val="24"/>
                <w:highlight w:val="none"/>
                <w:u w:val="single"/>
              </w:rPr>
              <w:t>1-3家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26.2</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bCs w:val="0"/>
                <w:iCs/>
                <w:sz w:val="24"/>
                <w:szCs w:val="24"/>
                <w:highlight w:val="none"/>
              </w:rPr>
            </w:pPr>
            <w:r>
              <w:rPr>
                <w:rFonts w:hint="eastAsia" w:ascii="宋体" w:hAnsi="宋体" w:eastAsia="宋体" w:cs="宋体"/>
                <w:b w:val="0"/>
                <w:sz w:val="24"/>
                <w:szCs w:val="24"/>
                <w:highlight w:val="none"/>
              </w:rPr>
              <w:t>确定中标人</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sz w:val="24"/>
                <w:szCs w:val="24"/>
                <w:highlight w:val="none"/>
              </w:rPr>
              <w:t>采购人委托评标委员会确定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left" w:pos="0"/>
                <w:tab w:val="clear" w:pos="4153"/>
                <w:tab w:val="clear" w:pos="8306"/>
              </w:tabs>
              <w:adjustRightInd/>
              <w:spacing w:line="400" w:lineRule="exact"/>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28.3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随中标结果公告同时公告的中标人的投标文件</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其他内容</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1.中小企业声明函或残疾人福利性单位声明函或监狱企业证明（如有）</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sz w:val="24"/>
                <w:szCs w:val="24"/>
                <w:highlight w:val="none"/>
              </w:rPr>
              <w:t>2.招标文件中规定进行公示的其他内容。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30.1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告知招标结果的</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形式</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bCs w:val="0"/>
                <w:sz w:val="24"/>
                <w:szCs w:val="24"/>
                <w:highlight w:val="none"/>
              </w:rPr>
              <w:t xml:space="preserve">投标人自行上网查看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31.1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履约保证金</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rPr>
              <w:t>1.金额：合同价的</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u w:val="single"/>
                <w:lang w:val="en-US" w:eastAsia="zh-CN"/>
              </w:rPr>
              <w:t>2</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2.支付方式：</w:t>
            </w: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 xml:space="preserve">转账/电汇 </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 xml:space="preserve">支票 </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 xml:space="preserve">汇票 </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 xml:space="preserve">本票 </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保函</w:t>
            </w: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4"/>
                <w:szCs w:val="24"/>
                <w:highlight w:val="none"/>
                <w:u w:val="single"/>
              </w:rPr>
            </w:pP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）如采用金融机构出具的保函（银行保函），应为银行出具的见索即付无条件保函。</w:t>
            </w: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）如采用担保机构出具的保函（担保机构担保），应为经安徽省地方金融监督管理局审查批准，依法取得融资担保业务经营许可证的融资担保机构出具的无条件保函。</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3.收取单位：</w:t>
            </w:r>
            <w:r>
              <w:rPr>
                <w:rFonts w:hint="eastAsia" w:ascii="宋体" w:hAnsi="宋体" w:eastAsia="宋体"/>
                <w:bCs/>
                <w:color w:val="auto"/>
                <w:kern w:val="0"/>
                <w:sz w:val="24"/>
                <w:szCs w:val="28"/>
                <w:highlight w:val="none"/>
                <w:u w:val="single"/>
                <w:lang w:val="en-US" w:eastAsia="zh-CN"/>
              </w:rPr>
              <w:t>皖南医学院</w:t>
            </w:r>
            <w:r>
              <w:rPr>
                <w:rFonts w:hint="eastAsia" w:ascii="宋体" w:hAnsi="宋体" w:eastAsia="宋体" w:cs="宋体"/>
                <w:b w:val="0"/>
                <w:sz w:val="24"/>
                <w:szCs w:val="24"/>
                <w:highlight w:val="none"/>
                <w:u w:val="single"/>
              </w:rPr>
              <w:t xml:space="preserve">            </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4.缴纳时间：</w:t>
            </w:r>
            <w:r>
              <w:rPr>
                <w:rFonts w:hint="eastAsia" w:ascii="宋体" w:hAnsi="宋体" w:eastAsia="宋体" w:cs="宋体"/>
                <w:b w:val="0"/>
                <w:sz w:val="24"/>
                <w:szCs w:val="24"/>
                <w:highlight w:val="none"/>
                <w:u w:val="single"/>
              </w:rPr>
              <w:t xml:space="preserve">合同协议书签署前7个日历天内或中标通知书发出之日起7个工作日内 </w:t>
            </w: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5.退还时间：</w:t>
            </w:r>
            <w:r>
              <w:rPr>
                <w:rFonts w:hint="eastAsia" w:ascii="宋体" w:hAnsi="宋体" w:eastAsia="宋体" w:cs="宋体"/>
                <w:b w:val="0"/>
                <w:bCs/>
                <w:sz w:val="24"/>
                <w:szCs w:val="24"/>
                <w:highlight w:val="none"/>
                <w:u w:val="single"/>
              </w:rPr>
              <w:t>在合同生效之日起至项目验收合格前一直有效，验收合格后采购人将履约保证金款项退还给供应商或者解除履约担保</w:t>
            </w:r>
            <w:r>
              <w:rPr>
                <w:rFonts w:hint="eastAsia" w:ascii="宋体" w:hAnsi="宋体" w:eastAsia="宋体" w:cs="宋体"/>
                <w:b w:val="0"/>
                <w:bCs/>
                <w:sz w:val="24"/>
                <w:szCs w:val="24"/>
                <w:highlight w:val="none"/>
                <w:u w:val="single"/>
                <w:lang w:eastAsia="zh-CN"/>
              </w:rPr>
              <w:t>。</w:t>
            </w:r>
          </w:p>
          <w:p>
            <w:pPr>
              <w:pStyle w:val="3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bCs w:val="0"/>
                <w:kern w:val="0"/>
                <w:sz w:val="24"/>
                <w:szCs w:val="24"/>
                <w:highlight w:val="none"/>
              </w:rPr>
            </w:pPr>
            <w:r>
              <w:rPr>
                <w:rFonts w:hint="eastAsia" w:ascii="宋体" w:hAnsi="宋体" w:eastAsia="宋体" w:cs="宋体"/>
                <w:bCs w:val="0"/>
                <w:kern w:val="0"/>
                <w:sz w:val="24"/>
                <w:szCs w:val="24"/>
                <w:highlight w:val="none"/>
              </w:rPr>
              <w:t xml:space="preserve">注意事项： </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kern w:val="0"/>
                <w:sz w:val="24"/>
                <w:szCs w:val="24"/>
                <w:highlight w:val="none"/>
              </w:rPr>
            </w:pPr>
            <w:r>
              <w:rPr>
                <w:rFonts w:hint="eastAsia" w:ascii="宋体" w:hAnsi="宋体" w:eastAsia="宋体" w:cs="宋体"/>
                <w:bCs/>
                <w:kern w:val="0"/>
                <w:sz w:val="24"/>
                <w:szCs w:val="24"/>
                <w:highlight w:val="none"/>
              </w:rPr>
              <w:t>（</w:t>
            </w:r>
            <w:r>
              <w:rPr>
                <w:rFonts w:hint="eastAsia" w:ascii="宋体" w:hAnsi="宋体" w:eastAsia="宋体" w:cs="宋体"/>
                <w:b/>
                <w:bCs/>
                <w:kern w:val="0"/>
                <w:sz w:val="24"/>
                <w:szCs w:val="24"/>
                <w:highlight w:val="none"/>
              </w:rPr>
              <w:t xml:space="preserve">1）采用银行保函（或担保机构担保或保证保险）形式提交投标保证金的，必须具有明确有效的查询途径（二维码；或网址链接及查询方式），否则该银行保函（或担保机构担保或保证保险）不予认可。以上各类机构出具的以担保函、保证保险承担责任的方式均须满足无条件见索即付条件。 </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bookmarkStart w:id="122" w:name="EBb12f0bd4505244a9acdf6eb54e1b0cd4"/>
            <w:r>
              <w:rPr>
                <w:rFonts w:hint="eastAsia" w:ascii="宋体" w:hAnsi="宋体" w:eastAsia="宋体" w:cs="宋体"/>
                <w:b/>
                <w:bCs/>
                <w:kern w:val="0"/>
                <w:sz w:val="24"/>
                <w:szCs w:val="24"/>
                <w:highlight w:val="none"/>
              </w:rPr>
              <w:t>若中标人在规定时限内未提交保证金的，招标人将书面通知中标人，书面通知后5日内不能办理的，招标人将有权提请政府采购主管部门，取消其中标资格。</w:t>
            </w:r>
            <w:bookmarkEnd w:id="122"/>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中标人提交银行履约保函、担保机构担保书、保证保险等的担保期限不得少于中标项目的合同期限。担保期限到期但中标项目尚未履约完毕的，中标人应当进行续保或者补缴履约保证金。中标人应当续保或者补缴履约保证金而没有续保或者补缴履约保证金的，招标人可以暂停支付中标人同等金额的合同价款。</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（4）以担保函、保证保险形式缴纳履约保证金的，受益人和收取单位须为采购人。</w:t>
            </w:r>
          </w:p>
          <w:p>
            <w:pPr>
              <w:pStyle w:val="2"/>
              <w:ind w:left="0" w:firstLine="0" w:firstLineChars="0"/>
              <w:rPr>
                <w:rFonts w:hint="eastAsia" w:eastAsia="宋体"/>
                <w:highlight w:val="none"/>
                <w:lang w:eastAsia="zh-CN"/>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lang w:eastAsia="zh-CN"/>
              </w:rPr>
              <w:t>）验收合格后采购人应将履约保证金款项退还给供应商或者解除履约担保，非供应商自身原因，逾期退还履约保证金的，除退还本金外，采购人还应对超期占用资金按照同期人民银行LPR支付逾期利息。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33.1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中标服务费</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rPr>
              <w:t>按下列标准收取：</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u w:val="single"/>
              </w:rPr>
              <w:t xml:space="preserve">（1）若成交价在100-500万元内：代理费=100万元×1.125%+（成交价-100万元）×0.825%；（2）若成交价低于100万，则代理费=成交价×1.5%。                 </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2.支付方式：转账/电汇</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3.收取单位：</w:t>
            </w:r>
            <w:r>
              <w:rPr>
                <w:rFonts w:hint="eastAsia" w:ascii="宋体" w:hAnsi="宋体" w:eastAsia="宋体" w:cs="宋体"/>
                <w:b w:val="0"/>
                <w:sz w:val="24"/>
                <w:szCs w:val="24"/>
                <w:highlight w:val="none"/>
                <w:u w:val="single"/>
                <w:lang w:val="en-US" w:eastAsia="zh-CN"/>
              </w:rPr>
              <w:t>安徽安兆工程技术咨询服务有限公司</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4.缴纳时间：领取中标通知书前</w:t>
            </w:r>
            <w:r>
              <w:rPr>
                <w:rFonts w:hint="eastAsia" w:ascii="宋体" w:hAnsi="宋体" w:eastAsia="宋体" w:cs="宋体"/>
                <w:b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36.2</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法定质疑期</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1.对招标文件的质疑：获取招标文件或招标文件公告期限届满之日起7个工作日内；</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2.对开标过程和开标记录的疑义：开标现场提出询问；</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3.对中标结果的质疑：中标结果公告期限届满之日起7个工作日内。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36.3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质疑函提交方式、接收部门、联系电话和通讯地址</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提交方式：书面形式</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bCs w:val="0"/>
                <w:sz w:val="24"/>
                <w:szCs w:val="24"/>
                <w:highlight w:val="none"/>
                <w:u w:val="single"/>
              </w:rPr>
            </w:pPr>
            <w:r>
              <w:rPr>
                <w:rFonts w:hint="eastAsia" w:ascii="宋体" w:hAnsi="宋体" w:eastAsia="宋体" w:cs="宋体"/>
                <w:b w:val="0"/>
                <w:sz w:val="24"/>
                <w:szCs w:val="24"/>
                <w:highlight w:val="none"/>
              </w:rPr>
              <w:t>接收部门：</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sz w:val="24"/>
                <w:szCs w:val="24"/>
                <w:highlight w:val="none"/>
                <w:u w:val="single"/>
                <w:lang w:val="en-US" w:eastAsia="zh-CN"/>
              </w:rPr>
              <w:t xml:space="preserve">安徽安兆工程技术咨询服务有限公司          </w:t>
            </w:r>
            <w:r>
              <w:rPr>
                <w:rFonts w:hint="eastAsia" w:ascii="宋体" w:hAnsi="宋体" w:eastAsia="宋体" w:cs="宋体"/>
                <w:b w:val="0"/>
                <w:bCs w:val="0"/>
                <w:sz w:val="24"/>
                <w:szCs w:val="24"/>
                <w:highlight w:val="none"/>
                <w:u w:val="single"/>
              </w:rPr>
              <w:t xml:space="preserve"> </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bCs w:val="0"/>
                <w:sz w:val="24"/>
                <w:szCs w:val="24"/>
                <w:highlight w:val="none"/>
                <w:u w:val="single"/>
              </w:rPr>
            </w:pPr>
            <w:r>
              <w:rPr>
                <w:rFonts w:hint="eastAsia" w:ascii="宋体" w:hAnsi="宋体" w:eastAsia="宋体" w:cs="宋体"/>
                <w:b w:val="0"/>
                <w:sz w:val="24"/>
                <w:szCs w:val="24"/>
                <w:highlight w:val="none"/>
              </w:rPr>
              <w:t>联系电话：</w:t>
            </w:r>
            <w:r>
              <w:rPr>
                <w:rFonts w:hint="eastAsia" w:ascii="宋体" w:hAnsi="宋体" w:eastAsia="宋体" w:cs="宋体"/>
                <w:b w:val="0"/>
                <w:sz w:val="24"/>
                <w:szCs w:val="24"/>
                <w:highlight w:val="none"/>
                <w:lang w:val="en-US" w:eastAsia="zh-CN"/>
              </w:rPr>
              <w:t>0551-65707329</w:t>
            </w:r>
            <w:r>
              <w:rPr>
                <w:rFonts w:hint="eastAsia" w:ascii="宋体" w:hAnsi="宋体" w:eastAsia="宋体" w:cs="宋体"/>
                <w:b w:val="0"/>
                <w:bCs w:val="0"/>
                <w:sz w:val="24"/>
                <w:szCs w:val="24"/>
                <w:highlight w:val="none"/>
                <w:u w:val="single"/>
              </w:rPr>
              <w:t xml:space="preserve">              </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default"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rPr>
              <w:t>电子邮箱：</w:t>
            </w:r>
            <w:r>
              <w:rPr>
                <w:rFonts w:hint="eastAsia" w:ascii="宋体" w:hAnsi="宋体" w:eastAsia="宋体" w:cs="宋体"/>
                <w:b w:val="0"/>
                <w:sz w:val="24"/>
                <w:szCs w:val="24"/>
                <w:highlight w:val="none"/>
                <w:lang w:val="en-US" w:eastAsia="zh-CN"/>
              </w:rPr>
              <w:t>ahaz7329@163.com</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通讯地址：合肥市包河区云谷路2588号</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sz w:val="24"/>
                <w:szCs w:val="24"/>
                <w:highlight w:val="none"/>
                <w:u w:val="single"/>
              </w:rPr>
              <w:t xml:space="preserve"> </w:t>
            </w:r>
            <w:r>
              <w:rPr>
                <w:rFonts w:hint="eastAsia" w:ascii="宋体" w:hAnsi="宋体" w:eastAsia="宋体" w:cs="宋体"/>
                <w:b w:val="0"/>
                <w:bCs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37</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其他内容</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37.1</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关于联合体参加投标的相关约定</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（如有）</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1.联合体参加投标的，招标文件获取手续由联合体中任一成员单位办理均可。</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2.联合体参加投标的须提供联合体协议（见投标文件格式），相关证明材料由投标人根据联合体协议分工情况及招标文件要求提供。</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3.联合体各成员单位均须提供营业执照（或事业单位法人登记证书）和投标有效性声明。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37.2</w:t>
            </w:r>
          </w:p>
        </w:tc>
        <w:tc>
          <w:tcPr>
            <w:tcW w:w="2126" w:type="dxa"/>
            <w:noWrap w:val="0"/>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Cs/>
                <w:kern w:val="0"/>
                <w:sz w:val="24"/>
                <w:szCs w:val="24"/>
                <w:highlight w:val="none"/>
              </w:rPr>
              <w:t>是否允许大中型企业向小微企业分包</w:t>
            </w:r>
            <w:r>
              <w:rPr>
                <w:rFonts w:hint="eastAsia" w:ascii="宋体" w:hAnsi="宋体" w:eastAsia="宋体" w:cs="宋体"/>
                <w:iCs/>
                <w:sz w:val="24"/>
                <w:szCs w:val="24"/>
                <w:highlight w:val="none"/>
              </w:rPr>
              <w:t>（非专门面向中小企业采购项目及要求获得采购合同的投标人将采购项目中的一定比例分包给中小企业的项目适用）</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bCs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37.3</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社保证明材料</w:t>
            </w:r>
          </w:p>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iCs/>
                <w:sz w:val="24"/>
                <w:szCs w:val="24"/>
                <w:highlight w:val="none"/>
              </w:rPr>
              <w:t>（如有）</w:t>
            </w:r>
          </w:p>
        </w:tc>
        <w:tc>
          <w:tcPr>
            <w:tcW w:w="5328" w:type="dxa"/>
            <w:noWrap w:val="0"/>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本项目招标文件中要求提供的社保证明材料为下述形式之一：</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1.社保局官方网站查询的缴费记录截图；</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2.社保局的书面证明材料；</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3.经投标人委托的第三方人力资源服务机构或与投标人有直接隶属关系的机构可以代缴社保，但须提供有关证明材料并经评标委员会确认。</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4.参与投标的院校，社保证明可以用以下任意一种：</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（1）加盖投标人公章的教师证（须为本单位人员）；</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（2）医保证明材料。</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5.其他经评标委员会认可的证明材料。</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tabs>
                <w:tab w:val="left" w:pos="0"/>
              </w:tabs>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37.4</w:t>
            </w:r>
          </w:p>
        </w:tc>
        <w:tc>
          <w:tcPr>
            <w:tcW w:w="2126" w:type="dxa"/>
            <w:noWrap w:val="0"/>
            <w:vAlign w:val="center"/>
          </w:tcPr>
          <w:p>
            <w:pPr>
              <w:pStyle w:val="36"/>
              <w:widowControl w:val="0"/>
              <w:spacing w:before="0" w:beforeAutospacing="0" w:after="0" w:afterAutospacing="0" w:line="360" w:lineRule="auto"/>
              <w:jc w:val="left"/>
              <w:rPr>
                <w:rFonts w:hint="eastAsia" w:ascii="宋体" w:hAnsi="宋体" w:eastAsia="宋体" w:cs="宋体"/>
                <w:b w:val="0"/>
                <w:iCs/>
                <w:sz w:val="24"/>
                <w:szCs w:val="24"/>
                <w:highlight w:val="none"/>
              </w:rPr>
            </w:pPr>
            <w:r>
              <w:rPr>
                <w:rFonts w:hint="eastAsia" w:ascii="宋体" w:hAnsi="宋体" w:eastAsia="宋体" w:cs="宋体"/>
                <w:b w:val="0"/>
                <w:sz w:val="24"/>
                <w:szCs w:val="24"/>
                <w:highlight w:val="none"/>
              </w:rPr>
              <w:t>本项目提供除招标文件以外的其他资料</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无 </w:t>
            </w:r>
          </w:p>
          <w:p>
            <w:pPr>
              <w:keepNext w:val="0"/>
              <w:keepLines w:val="0"/>
              <w:pageBreakBefore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获取方式：同招标文件获取方式。</w:t>
            </w:r>
            <w:r>
              <w:rPr>
                <w:rFonts w:hint="eastAsia" w:ascii="宋体" w:hAnsi="宋体" w:eastAsia="宋体" w:cs="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37.5</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重要提示</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1.中标人应在规定期限内领取《中标通知书》，若中标人未在规定期限内领取《中标通知书》，采购人有权取消中标人中标资格，并将相关违约行为报送监管部门，实施信用惩戒；</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2.中标人应在规定期限内提交履约担保并与采购人签订合同，若中标人未能在规定期限内提交履约担保或签订合同，采购人有权取消中标人中标资格，并将相关违约行为报送监管部门，实施信用惩戒；</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3.合同签订后，中标人存在规定时间内不组织人员进场开工，不履行供货、安装或服务义务等情况，采购人有权解除合同，并追究违约责任，同时将相关违约行为报送监管部门，记不良行为记录，实施信用惩戒；</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中标人中标后被监管部门查实存在违法行为，不满足中标条件的或经查实不具备供应商参加政府采购活动应当具备的法定条件，或要求的特殊资格的，由采购人取消中标资格或有权解除合同（并做好项目后续工作），并追究其法律责任。</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5.中标人在中标项目发生投诉、信访举报案件、履约存在争议时，拒绝协助配合执法部门调查案件的，采购人可以取消其中标资格或解除合同，并追究其违约责任。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37.6</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解释权</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1.构成本招标文件的各个组成文件应互为解释，互为说明；</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2.同一组成文件中就同一事项的规定或约定不一致的，除招标文件另有规定外，以编排顺序在后者为准；</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3.如有不明确或不一致，构成合同文件组成内容的，以合同文件约定内容为准，且以专用合同条款约定的合同文件优先顺序解释；</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4.除招标文件中有特别规定外，仅适用于招标投标阶段的规定，按投标邀请、投标人须知、评标方法和标准、投标文件格式的先后顺序解释；</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5.按本款前述规定仍不能形成结论的，由采购人负责解释。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41" w:type="dxa"/>
            <w:noWrap w:val="0"/>
            <w:vAlign w:val="center"/>
          </w:tcPr>
          <w:p>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37.7</w:t>
            </w:r>
          </w:p>
        </w:tc>
        <w:tc>
          <w:tcPr>
            <w:tcW w:w="2126" w:type="dxa"/>
            <w:noWrap w:val="0"/>
            <w:vAlign w:val="center"/>
          </w:tcPr>
          <w:p>
            <w:pPr>
              <w:pStyle w:val="36"/>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其他补充说明</w:t>
            </w:r>
          </w:p>
        </w:tc>
        <w:tc>
          <w:tcPr>
            <w:tcW w:w="532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“政采贷”融资指引：有融资需求的供应商在取得政府采购中标或成交通知书后，可访问安徽省政府采购网“政采贷”栏目，查看和联系第三方平台或者金融机构，商洽融资事项，确定融资意向。</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供应商签署政府采购中标（成交）合同后，登录“徽采云”金融服务模块，选择意向产品进行申请，并填写相关信息，“徽采云”金融服务模块将供应商融资申请信息推送第三方平台、意向金融机构。</w:t>
            </w:r>
          </w:p>
        </w:tc>
      </w:tr>
    </w:tbl>
    <w:p>
      <w:pPr>
        <w:spacing w:line="360" w:lineRule="auto"/>
        <w:jc w:val="center"/>
        <w:outlineLvl w:val="2"/>
        <w:rPr>
          <w:rFonts w:ascii="宋体" w:hAnsi="宋体" w:eastAsia="宋体"/>
          <w:b/>
          <w:sz w:val="28"/>
          <w:szCs w:val="28"/>
          <w:highlight w:val="none"/>
        </w:rPr>
      </w:pPr>
      <w:r>
        <w:rPr>
          <w:rFonts w:ascii="宋体" w:hAnsi="宋体" w:eastAsia="宋体"/>
          <w:b/>
          <w:sz w:val="28"/>
          <w:highlight w:val="none"/>
        </w:rPr>
        <w:br w:type="page"/>
      </w:r>
      <w:bookmarkStart w:id="123" w:name="_Toc778947254"/>
      <w:bookmarkStart w:id="124" w:name="_Toc1640190736_WPSOffice_Level2"/>
      <w:bookmarkStart w:id="125" w:name="_Toc1456660085"/>
      <w:bookmarkStart w:id="126" w:name="_Toc345988107"/>
      <w:bookmarkStart w:id="127" w:name="_Toc1513591499"/>
      <w:bookmarkStart w:id="128" w:name="_Toc355815075"/>
      <w:bookmarkStart w:id="129" w:name="_Toc1929356783"/>
      <w:bookmarkStart w:id="130" w:name="_Toc872485092"/>
      <w:r>
        <w:rPr>
          <w:rStyle w:val="33"/>
          <w:rFonts w:hint="eastAsia"/>
          <w:highlight w:val="none"/>
        </w:rPr>
        <w:t>二、投标人</w:t>
      </w:r>
      <w:r>
        <w:rPr>
          <w:rStyle w:val="33"/>
          <w:highlight w:val="none"/>
        </w:rPr>
        <w:t>须知</w:t>
      </w:r>
      <w:r>
        <w:rPr>
          <w:rStyle w:val="33"/>
          <w:rFonts w:hint="eastAsia"/>
          <w:highlight w:val="none"/>
        </w:rPr>
        <w:t>正文</w:t>
      </w:r>
      <w:bookmarkEnd w:id="123"/>
      <w:bookmarkEnd w:id="124"/>
      <w:bookmarkEnd w:id="125"/>
      <w:bookmarkEnd w:id="126"/>
      <w:bookmarkEnd w:id="127"/>
      <w:bookmarkEnd w:id="128"/>
      <w:bookmarkEnd w:id="129"/>
      <w:bookmarkEnd w:id="130"/>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1.适用范围</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1.1本招标文件仅适用于本次公开招标所述的安徽省省属高校科研仪器设备类项目采购。安徽省省属中专学校可参照使用。</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2.定义</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2.1货物：是指各种形态和种类的物品，包括原材料、燃料、设备、产品等。</w:t>
      </w:r>
    </w:p>
    <w:p>
      <w:pPr>
        <w:pStyle w:val="2"/>
        <w:ind w:firstLine="0" w:firstLineChars="0"/>
        <w:rPr>
          <w:rFonts w:hint="eastAsia" w:ascii="宋体" w:hAnsi="宋体" w:eastAsia="宋体" w:cs="宋体"/>
          <w:sz w:val="24"/>
          <w:highlight w:val="none"/>
        </w:rPr>
      </w:pPr>
      <w:r>
        <w:rPr>
          <w:rFonts w:hint="eastAsia" w:ascii="宋体" w:hAnsi="宋体" w:eastAsia="宋体" w:cs="宋体"/>
          <w:sz w:val="24"/>
          <w:highlight w:val="none"/>
        </w:rPr>
        <w:t>科研仪器设备：是指采购用于科研活动的设备。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2.2时限（年份、月份等）计算：系指从开标之日向前追溯X年/月（“X”为“一”及以后整数）起算。</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2.3业绩：业绩系指符合本招标文件规定的与最终用户签订的合同或招标文件要求的相关证明。投标人与其关联公司（如母公司、控股公司、分公司、子公司、同一法定代表人的公司等）之间签订的合同，均不予认可。</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除非本招标文件中另有规定，否则业绩均为已供货（安装）完毕的业绩，业绩时间均以合同签订之日为追溯节点。</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3.采购人、采购代理机构及投标人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3.1采购人：是指依法开展政府采购活动的国家机关、事业单位、团体组织。本项目的采购人见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3.2采购代理机构：是指从事采购代理业务的社会中介机构。本项目的采购代理机构见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3.3政府采购监督管理部门：各级人民政府指定的有关部门依法履行与政府采购活动有关的监督管理职责。本项目的政府采购监督管理部门见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投标人：是指向采购人提供货物、工程或者服务的法人、非法人组织或者自然人。分支机构不得参加政府采购活动，但银行、保险、石油石化、电力、电信等特殊行业除外。本项目的投标人及其投标货物须满足以下条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3.4.1在中华人民共和国境内注册，能够独立承担民事责任，有生产或供应能力的本国投标人。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3.4.2具备《中华人民共和国政府采购法》第二十二条关于投标人条件的规定，遵守本项目采购人本级和上级财政部门政府采购的有关规定。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3.4.3以采购代理机构认可的方式获得了本项目的招标文件。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3.4.4若</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中写明允许采购进口产品，投标人应保证所投产品可履行合法报通关手续进入中国关境内。</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ascii="宋体" w:hAnsi="宋体" w:eastAsia="宋体" w:cs="宋体"/>
          <w:b/>
          <w:bCs/>
          <w:sz w:val="24"/>
          <w:highlight w:val="none"/>
        </w:rPr>
        <w:t>投标人须知前附</w:t>
      </w:r>
      <w:r>
        <w:rPr>
          <w:rFonts w:hint="eastAsia" w:ascii="宋体" w:hAnsi="宋体" w:eastAsia="宋体" w:cs="宋体"/>
          <w:sz w:val="24"/>
          <w:highlight w:val="none"/>
          <w:u w:val="single"/>
        </w:rPr>
        <w:t>表</w:t>
      </w:r>
      <w:r>
        <w:rPr>
          <w:rFonts w:hint="eastAsia" w:ascii="宋体" w:hAnsi="宋体" w:eastAsia="宋体" w:cs="宋体"/>
          <w:sz w:val="24"/>
          <w:highlight w:val="none"/>
        </w:rPr>
        <w:t>中未写明允许采购进口产品，如投标人所投产品为进口产品，其投标将被认定为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3.4.5若</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中写明专门面向中小企业采购的，如投标人提供的货物非中小企业制造的，其投标将被认定为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3.5若</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中允许联合体投标，对联合体规定如下：</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3.5.1两个以上投标人可以组成一个投标联合体，以一个投标人的身份投标。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3.5.2联合体各方均应符合《中华人民共和国政府采购法》第二十二条规定的条件。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3.5.3采购人根据采购项目对投标人的特殊要求，联合体中至少应当有一方符合相关规定。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3.5.4联合体各方应签订联合体协议，明确约定联合体各方承担的工作和相应的责任，并将联合体协议作为投标文件的一部分提交。</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3.5.5大中型企业、其他自然人、法人或者非法人组织与小型、微型企业组成联合体共同参加投标，联合体协议中应写明小型、微型企业的协议合同金额占到联合体协议投标总金额的比例。</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3.5.6联合体中有同类资质的投标人按照联合体分工承担相同工作的，应当按照资质等级较低的投标人确定资质等级。</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3.5.7以联合体形式参加政府采购活动的，联合体各方不得再单独参加或者与其他投标人另外组成联合体参加本项目投标，否则相关投标将被认定为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3.5.8对联合体投标的其他资格要求见投标人资格。</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3.6单位负责人为同一人或者存在直接控股、管理关系的不同投标人，不得参加同一合同项下的政府采购活动。否则其投标将被认定为</w:t>
      </w:r>
      <w:r>
        <w:rPr>
          <w:rFonts w:hint="eastAsia" w:ascii="宋体" w:hAnsi="宋体" w:eastAsia="宋体" w:cs="宋体"/>
          <w:b/>
          <w:bCs/>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3.7为本项目提供过整体设计、规范编制或者项目管理、监理、检测等服务的投标人，不得再参加本项目上述服务以外的其他采购活动。</w:t>
      </w:r>
      <w:bookmarkStart w:id="131" w:name="_Hlk13431092"/>
      <w:r>
        <w:rPr>
          <w:rFonts w:hint="eastAsia" w:ascii="宋体" w:hAnsi="宋体" w:eastAsia="宋体" w:cs="宋体"/>
          <w:sz w:val="24"/>
          <w:highlight w:val="none"/>
        </w:rPr>
        <w:t>否则其投标将被认定为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bookmarkEnd w:id="131"/>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4.资金来源</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4.1本项目的采购人已获得足以支付本次招标后所签订的合同项下的资金。</w:t>
      </w:r>
    </w:p>
    <w:p>
      <w:pPr>
        <w:spacing w:line="360" w:lineRule="auto"/>
        <w:ind w:firstLine="435"/>
        <w:rPr>
          <w:rFonts w:hint="eastAsia" w:ascii="宋体" w:hAnsi="宋体" w:eastAsia="宋体" w:cs="宋体"/>
          <w:sz w:val="24"/>
          <w:highlight w:val="none"/>
        </w:rPr>
      </w:pPr>
      <w:bookmarkStart w:id="132" w:name="_Hlk11702998"/>
      <w:r>
        <w:rPr>
          <w:rFonts w:hint="eastAsia" w:ascii="宋体" w:hAnsi="宋体" w:eastAsia="宋体" w:cs="宋体"/>
          <w:sz w:val="24"/>
          <w:highlight w:val="none"/>
        </w:rPr>
        <w:t>4.2项目预算金额和分项（或分包）最高限价见招标公告。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4.3资金来源：详见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bookmarkEnd w:id="132"/>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5.投标费用</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不论投标的结果如何，投标人应承担所有与准备和参加投标有关的费用。</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6.适用法律</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7.招标文件构成</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7.1招标文件包括下列内容：</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第一章  投标邀请（招标公告）</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第二章  投标人须知</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第三章  采购需求</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第四章  评标方法和标准</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第五章  采购合同</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第六章  投标文件格式</w:t>
      </w:r>
    </w:p>
    <w:p>
      <w:pPr>
        <w:spacing w:line="360" w:lineRule="auto"/>
        <w:ind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附件1  政府采购供应商质疑函范本</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szCs w:val="24"/>
          <w:highlight w:val="none"/>
        </w:rPr>
        <w:t>附件2  大中小微型企业划分标准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7.2招标文件中有不一致的，有澄清的部分以最终的澄清更正内容为准。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7.3现场考察及相关事项见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7.4原则上采购人、采购代理机构不要求投标人提供样品。除仅凭书面方式不能准确描述采购需求，或者需要对样品进行主观判断以确认是否满足采购需求等特殊情况除外。</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如需提供样品，对样品相关要求见采购需求，对样品的评审方法及评审标准见招标文件第四章。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7.5投标人应认真阅读招标文件所有的事项、格式、条款和技术规范等。</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8.招标文件的澄清与修改</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8.1投标人如对招标文件内容有疑问，应按</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中规定的方式和时间</w:t>
      </w:r>
      <w:r>
        <w:rPr>
          <w:rFonts w:hint="eastAsia" w:ascii="宋体" w:hAnsi="宋体" w:eastAsia="宋体" w:cs="宋体"/>
          <w:sz w:val="24"/>
          <w:szCs w:val="24"/>
          <w:highlight w:val="none"/>
        </w:rPr>
        <w:t>提交给</w:t>
      </w:r>
      <w:r>
        <w:rPr>
          <w:rFonts w:hint="eastAsia" w:ascii="宋体" w:hAnsi="宋体" w:eastAsia="宋体" w:cs="宋体"/>
          <w:sz w:val="24"/>
          <w:highlight w:val="none"/>
        </w:rPr>
        <w:t>采购人或采购代理机构。采购人对需要做出澄清的问题，以澄清和修改通知的方式予以答复。</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8.2采购人可主动或在解答投标人提出的问题时对招标文件进行澄清或者修改。采购代理机构将在</w:t>
      </w:r>
      <w:r>
        <w:rPr>
          <w:rFonts w:hint="eastAsia" w:ascii="宋体" w:hAnsi="宋体" w:eastAsia="宋体" w:cs="宋体"/>
          <w:sz w:val="24"/>
          <w:szCs w:val="18"/>
          <w:highlight w:val="none"/>
        </w:rPr>
        <w:t>安徽省政府采购网</w:t>
      </w:r>
      <w:r>
        <w:rPr>
          <w:rFonts w:hint="eastAsia" w:ascii="宋体" w:hAnsi="宋体" w:eastAsia="宋体" w:cs="宋体"/>
          <w:sz w:val="24"/>
          <w:highlight w:val="none"/>
        </w:rPr>
        <w:t>以更正公告的方式澄清或者修改招标文件，更正公告的内容作为招标文件的组成部分，对投标人起约束作用。投标人应主动上网查询。采购代理机构不承担投标人未及时关注相关信息引发的相关责任。</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8.3任何人或任何组织向投标人提供的任何书面或口头资料，未经采购代理机构在网上发布或书面通知，均作无效处理，不得作为招标文件的组成部分。采购代理机构对投标人由此而做出的推论、理解和结论概不负责。</w:t>
      </w:r>
    </w:p>
    <w:p>
      <w:pPr>
        <w:spacing w:line="360" w:lineRule="auto"/>
        <w:ind w:firstLine="435"/>
        <w:jc w:val="left"/>
        <w:rPr>
          <w:rFonts w:hint="eastAsia" w:ascii="宋体" w:hAnsi="宋体" w:eastAsia="宋体" w:cs="宋体"/>
          <w:iCs/>
          <w:sz w:val="24"/>
          <w:highlight w:val="none"/>
        </w:rPr>
      </w:pPr>
      <w:r>
        <w:rPr>
          <w:rFonts w:hint="eastAsia" w:ascii="宋体" w:hAnsi="宋体" w:eastAsia="宋体" w:cs="宋体"/>
          <w:sz w:val="24"/>
          <w:highlight w:val="none"/>
        </w:rPr>
        <w:t>8.4对于没有提出询问又参与了本项目投标的投标人将被视为完全认同本招标文件（含更正公告的内容）</w:t>
      </w:r>
      <w:r>
        <w:rPr>
          <w:rFonts w:hint="eastAsia" w:ascii="宋体" w:hAnsi="宋体" w:eastAsia="宋体" w:cs="宋体"/>
          <w:i/>
          <w:sz w:val="24"/>
          <w:highlight w:val="none"/>
        </w:rPr>
        <w:t>。</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9.投标范围及投标文件中标准和计量单位的使用</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9.1项目有分包的，除</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另有规定外，投标人可参与其中某一个或多个分包的投标，中标包数详见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9.2投标人应当对所投分包招标文件中“采购需求”所列的所有内容进行投标，如仅响应所投包别中的部分内容，其所投包别的投标将被认定为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bookmarkStart w:id="133" w:name="_Hlk16458980"/>
      <w:r>
        <w:rPr>
          <w:rFonts w:hint="eastAsia" w:ascii="宋体" w:hAnsi="宋体" w:eastAsia="宋体" w:cs="宋体"/>
          <w:sz w:val="24"/>
          <w:highlight w:val="none"/>
        </w:rPr>
        <w:t>9.3无论招标文件中是否要求，投标人所投货物及伴随的服务和工程均应符合国家强制性标准。</w:t>
      </w:r>
    </w:p>
    <w:bookmarkEnd w:id="133"/>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9.4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9.5除招标文件中有特殊要求外，投标文件中所使用的计量单位，应采用中华人民共和国法定计量单位。</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10.投标文件构成</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10.1投标人应完整地按招标文件提供的投标文件格式及要求编写投标文件，具体内容详见本项目第六章投标文件格式的相关内容。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10.2上述文件应按照招标文件规定的格式填写、签署和盖章。</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11.证明投标标的的合格性和符合招标文件规定的技术文件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11.1投标人应提交证明文件，证明其投标内容符合招标文件规定。该证明文件是投标文件的一部分。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11.2上款所述的证明文件，可以是文字资料、图纸和数据</w:t>
      </w:r>
      <w:bookmarkStart w:id="134" w:name="_Hlk11703583"/>
      <w:r>
        <w:rPr>
          <w:rFonts w:hint="eastAsia" w:ascii="宋体" w:hAnsi="宋体" w:eastAsia="宋体" w:cs="宋体"/>
          <w:sz w:val="24"/>
          <w:highlight w:val="none"/>
        </w:rPr>
        <w:t>，它包括：</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11.2.1货物（科研仪器设备）主要技术指标和性能的详细说明；</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11.2.2货物（科研仪器设备）从甲方开始使用至招标文件规定的保质期内正常、连续地使用所必须的备件和专用工具清单，包括备件和专用工具的货源及现行价格；</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11.2.3对照招标文件技术规格，逐条说明所提供货物（科研仪器设备）及伴随的工程和服务已对招标文件的技术规格做出了实质性的响应，或申明与技术规格条文的偏差和例外。</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11.3投标人应注意采购人在采购需求中提供的工艺、材料和设备的参考品牌型号或分类号仅起到说明作用，并没有任何限制性。投标人在投标文件中可以选用替代品牌型号或分类号，但这些替代要实质上相当于技术规格的要求，是否满足要求，由评标委员会来评判。</w:t>
      </w:r>
    </w:p>
    <w:bookmarkEnd w:id="134"/>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11.4本条所指证明文件不包括对招标文件相关部分的文字、图标的复制。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11.5为保证公平公正，除非另有规定或说明，投标人对同一项目投标时，不得同时提供备选投标方案。</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12.投标报价</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12.1投标人的报价应当包括满足本次招标全部采购需求所应提供的货物（科研仪器设备），以及伴随的服务和工程。所有投标均应以人民币报价。投标人的投标报价应遵守《中华人民共和国价格法》。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12.2投标人报价超过招标文件规定的预算金额或者分项、分包最高限价，其投标将被认定为</w:t>
      </w:r>
      <w:r>
        <w:rPr>
          <w:rFonts w:hint="eastAsia" w:ascii="宋体" w:hAnsi="宋体" w:eastAsia="宋体" w:cs="宋体"/>
          <w:b/>
          <w:bCs/>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12.3投标人应在投标分项报价表上标明投标货物（科研仪器设备）及相关服务的价格（如适用）和总价。未标明的</w:t>
      </w:r>
      <w:r>
        <w:rPr>
          <w:rFonts w:hint="eastAsia" w:ascii="宋体" w:hAnsi="宋体" w:eastAsia="宋体" w:cs="宋体"/>
          <w:sz w:val="24"/>
          <w:highlight w:val="none"/>
          <w:lang w:eastAsia="zh-CN"/>
        </w:rPr>
        <w:t>（</w:t>
      </w:r>
      <w:r>
        <w:rPr>
          <w:rFonts w:hint="eastAsia" w:ascii="宋体" w:hAnsi="宋体" w:eastAsia="宋体"/>
          <w:color w:val="auto"/>
          <w:sz w:val="24"/>
          <w:highlight w:val="none"/>
        </w:rPr>
        <w:t>如有漏项或缺项</w:t>
      </w:r>
      <w:r>
        <w:rPr>
          <w:rFonts w:hint="eastAsia" w:ascii="宋体" w:hAnsi="宋体" w:eastAsia="宋体" w:cs="宋体"/>
          <w:sz w:val="24"/>
          <w:highlight w:val="none"/>
          <w:lang w:eastAsia="zh-CN"/>
        </w:rPr>
        <w:t>）</w:t>
      </w:r>
      <w:r>
        <w:rPr>
          <w:rFonts w:hint="eastAsia" w:ascii="宋体" w:hAnsi="宋体" w:eastAsia="宋体" w:cs="宋体"/>
          <w:sz w:val="24"/>
          <w:highlight w:val="none"/>
        </w:rPr>
        <w:t>视同包含在投标报价中。</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12.4投标报价在合同履行过程中是固定不变的，不得以任何理由予以变更。任何包含价格调整要求的投标，其投标将被认定为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12.6采购人不接受具有附加条件的报价。</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13.投标保证金</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13.1本项目免收投标保证金。</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14.投标有效期</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14.1投标有效期为从投标截止之日算起的日历天数，投标有效期详见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14.2在投标有效期内，投标人的投标保持有效，投标人不得要求撤销或修改其投标文件。投标有效期不满足要求的投标，其投标将被认定为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14.3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
          <w:sz w:val="24"/>
          <w:highlight w:val="none"/>
        </w:rPr>
        <w:t>15.投标文件的制作</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bCs/>
          <w:sz w:val="24"/>
          <w:highlight w:val="none"/>
        </w:rPr>
        <w:t>（A非电子招标投标）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15.1投标文件要求</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投标文件的要求详见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15.1.1投标人应按照招标文件的要求编制投标文件，并在封面上注明“正本”和“副本”字样。投标文件的正本与副本如有不一致之处，以正本为准。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15.1.2投标文件应按招标文件要求签字、盖章，热敏纸无效。</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15.1.3联合体参加投标的，除联合体协议及招标文件规定须联合体各成员单位各自盖章的证明材料外，投标文件由联合体牵头人按招标文件规定盖章，由联合体授权委托人签字。</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15.1.4采购人保留要求中标人提供其投标文件电子版的权利。</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15.2投标文件的封装和标记</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15.2.1投标文件应装订成册并封装，并在密封袋上标注项目名称、项目编号、投标人名称及包别。</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15.2.2建议投标人将正本单独封装，全部副本一起封装。</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15.2.3如果未按规定封装或加写标记，采购人（采购代理机构）将不承担投标文件错放或提前开封的责任，并可能导致投标无效。</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15.3开标现场提交的其他材料要求详见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（B 电子招标投标）</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15.1本项目要求提供的投标文件要求详见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。投标文件的制作应满足以下规定：</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加密的电子投标文件由投标人使用电子交易系统提供的“投标文件制作工具”制作生成。“投标文件制作工具”可以通过电子交易系统中下载。投标人应当在互联网络通畅状态下启用最新版投标文件制作工具制作投标文件。</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2）在第六章“投标文件格式”中要求加盖投标人公章处，加密的电子投标文件应加盖投标人电子签章或公章；联合体参加投标的，除联合协议及招标文件规定须联合体各成员单位各自盖章的证明材料外，投标文件由联合体牵头人按上述规定加盖联合体牵头人单位电子签章或公章。</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（3）投标文件制作完成后，采用数字证书加密的，加密时投标文件的所有内容均只能使用同一把数字证书进行加密，否则引起的解密失败责任由投标人自行承担。</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15.2因投标人自身原因而导致加密的电子投标文件无法导入电子交易系统电子开标、评标系统的，将按照未加密的电子投标文件进行开启和评审，投标人自行承担由此导致的全部责任。</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15.3开标现场提交的其他材料要求详见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sz w:val="24"/>
          <w:highlight w:val="none"/>
        </w:rPr>
        <w:t>16.</w:t>
      </w:r>
      <w:r>
        <w:rPr>
          <w:rFonts w:hint="eastAsia" w:ascii="宋体" w:hAnsi="宋体" w:eastAsia="宋体" w:cs="宋体"/>
          <w:highlight w:val="none"/>
        </w:rPr>
        <w:t xml:space="preserve"> </w:t>
      </w:r>
      <w:r>
        <w:rPr>
          <w:rFonts w:hint="eastAsia" w:ascii="宋体" w:hAnsi="宋体" w:eastAsia="宋体" w:cs="宋体"/>
          <w:b/>
          <w:sz w:val="24"/>
          <w:highlight w:val="none"/>
        </w:rPr>
        <w:t>投标截止及投标文件的提交</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Cs/>
          <w:sz w:val="24"/>
          <w:highlight w:val="none"/>
        </w:rPr>
        <w:t>（A非电子招投标）</w:t>
      </w:r>
      <w:r>
        <w:rPr>
          <w:rFonts w:hint="eastAsia" w:ascii="宋体" w:hAnsi="宋体" w:eastAsia="宋体" w:cs="宋体"/>
          <w:b/>
          <w:sz w:val="24"/>
          <w:highlight w:val="none"/>
        </w:rPr>
        <w:t xml:space="preserve"> </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16.1投标人应在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中规定的投标文件提交截止时间前，将投标文件密封送达</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中规定的投标文件提交地点。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16.2在投标文件提交截止时间之后送达的投标文件，采购代理机构将拒绝接收。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16.3采购人和采购代理机构延迟投标文件提交截止时间的，采购人、采购代理机构和投标人受投标文件提交截止时间制约的所有权利和义务均应延长至新的截止时间。</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（B电子招投标）</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16.1投标人应在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中规定的投标文件提交截止时间前，在网上提交加密电子投标文件，同时自行决定是否提交未加密的电子投标文件。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16.2在投标文件提交截止时间之后上传的加密电子投标文件、提交的未加密电子投标文件，采购代理机构将拒绝接收。</w:t>
      </w:r>
    </w:p>
    <w:p>
      <w:pPr>
        <w:pStyle w:val="2"/>
        <w:ind w:left="0" w:firstLine="480"/>
        <w:rPr>
          <w:rFonts w:hint="eastAsia" w:ascii="宋体" w:hAnsi="宋体" w:eastAsia="宋体" w:cs="宋体"/>
          <w:highlight w:val="none"/>
        </w:rPr>
      </w:pPr>
      <w:r>
        <w:rPr>
          <w:rFonts w:hint="eastAsia" w:ascii="宋体" w:hAnsi="宋体" w:eastAsia="宋体" w:cs="宋体"/>
          <w:sz w:val="24"/>
          <w:highlight w:val="none"/>
        </w:rPr>
        <w:t>16.3投标文件提交截止时间前未完成投标文件传输的，视为撤回投标文件。</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16.4采购人和采购代理机构延迟投标文件提交截止时间的，采购人、采购代理机构和投标人受投标文件提交截止时间制约的所有权利和义务均应延长至新的截止时间。</w:t>
      </w:r>
    </w:p>
    <w:p>
      <w:pPr>
        <w:spacing w:line="360" w:lineRule="auto"/>
        <w:ind w:firstLine="437"/>
        <w:jc w:val="left"/>
        <w:outlineLvl w:val="3"/>
        <w:rPr>
          <w:rFonts w:hint="eastAsia" w:ascii="宋体" w:hAnsi="宋体" w:eastAsia="宋体" w:cs="宋体"/>
          <w:b/>
          <w:sz w:val="24"/>
          <w:highlight w:val="none"/>
        </w:rPr>
      </w:pPr>
      <w:r>
        <w:rPr>
          <w:rFonts w:hint="eastAsia" w:ascii="宋体" w:hAnsi="宋体" w:eastAsia="宋体" w:cs="宋体"/>
          <w:sz w:val="24"/>
          <w:highlight w:val="none"/>
        </w:rPr>
        <w:t>17</w:t>
      </w:r>
      <w:r>
        <w:rPr>
          <w:rFonts w:hint="eastAsia" w:ascii="宋体" w:hAnsi="宋体" w:eastAsia="宋体" w:cs="宋体"/>
          <w:b/>
          <w:sz w:val="24"/>
          <w:highlight w:val="none"/>
        </w:rPr>
        <w:t>.投标文件的修改与撤回</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（A非电子招投标）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17.1投标人在投标截止时间前，可以对所提交的投标文件进行补充、修改或者撤回，并书面通知采购代理机构。</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17.2补充、修改的内容应当按照招标文件要求签署、盖章、密封后，作为投标文件的组成部分。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17.3在投标文件提交截止时间之后，投标人不得对其投标文件做任何修改。但属于评标委员会在评标中发现的计算错误并进行核实的修改不在此列。</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（B电子招投标）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17.1投标人在投标截止时间前，可以对所提交的投标文件进行补充、修改或者撤回。</w:t>
      </w:r>
    </w:p>
    <w:p>
      <w:pPr>
        <w:spacing w:line="360" w:lineRule="auto"/>
        <w:ind w:firstLine="435"/>
        <w:rPr>
          <w:rFonts w:hint="eastAsia" w:ascii="宋体" w:hAnsi="宋体" w:eastAsia="宋体" w:cs="宋体"/>
          <w:highlight w:val="none"/>
        </w:rPr>
      </w:pPr>
      <w:r>
        <w:rPr>
          <w:rFonts w:hint="eastAsia" w:ascii="宋体" w:hAnsi="宋体" w:eastAsia="宋体" w:cs="宋体"/>
          <w:sz w:val="24"/>
          <w:highlight w:val="none"/>
        </w:rPr>
        <w:t>17.2在投标文件提交截止时间之后，投标人不得对其投标文件做任何修改。但属于评标委员会在评标中发现的计算错误并进行核实的修改不在此列。</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18.开标</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（A非电子招投标）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18.1开标将在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规定的时间和地点进行。</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18.2开标时，投标人或者其推选的代表应检查投标文件的密封情况，经确认无误后，由采购人或采购代理机构工作人员当众拆封，宣布投标人名称、投标价格、书面修改和撤回投标的通知，以及招标文件规定的需要宣布的其他内容。只有在开标时唱出的优惠，评标时才予以考虑。</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18.3开标过程由采购人或者采购代理机构负责记录，并由参加开标的各投标人代表和相关工作人员签字确认。</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18.4投标人代表对开标过程和开标记录有疑义，以及认为采购人、采购代理机构相关工作人员有需要回避的情形的，应当场提出询问或者回避申请。</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sz w:val="24"/>
          <w:highlight w:val="none"/>
        </w:rPr>
        <w:t>18.5投标人应参加开标，投标人未参加开标的，视同认可开标结果。</w:t>
      </w:r>
    </w:p>
    <w:p>
      <w:pPr>
        <w:spacing w:line="360" w:lineRule="auto"/>
        <w:ind w:firstLine="435"/>
        <w:jc w:val="left"/>
        <w:rPr>
          <w:rFonts w:hint="eastAsia" w:ascii="宋体" w:hAnsi="宋体" w:eastAsia="宋体" w:cs="宋体"/>
          <w:sz w:val="24"/>
          <w:highlight w:val="none"/>
        </w:rPr>
      </w:pPr>
      <w:r>
        <w:rPr>
          <w:rFonts w:hint="eastAsia" w:ascii="宋体" w:hAnsi="宋体" w:eastAsia="宋体" w:cs="宋体"/>
          <w:bCs/>
          <w:sz w:val="24"/>
          <w:highlight w:val="none"/>
        </w:rPr>
        <w:t>（B电子招投标）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18.1采购人和采购代理机构将按</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中规定的开标时间和地点组织公开开标。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18.2开标时，各投标人应在规定时间前（以电子交易系统解密倒计时为准）对本单位的投标文件进行解密。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18.3解密完成后，采购代理机构工作人员在监督下通过网上开标系统公布开标结果，公布内容包括投标人名称、投标价格及招标文件规定的内容。</w:t>
      </w:r>
    </w:p>
    <w:p>
      <w:pPr>
        <w:spacing w:line="360" w:lineRule="auto"/>
        <w:ind w:firstLine="437"/>
        <w:outlineLvl w:val="3"/>
        <w:rPr>
          <w:rFonts w:hint="eastAsia" w:ascii="宋体" w:hAnsi="宋体" w:eastAsia="宋体" w:cs="宋体"/>
          <w:sz w:val="24"/>
          <w:highlight w:val="none"/>
        </w:rPr>
      </w:pPr>
      <w:r>
        <w:rPr>
          <w:rFonts w:hint="eastAsia" w:ascii="宋体" w:hAnsi="宋体" w:eastAsia="宋体" w:cs="宋体"/>
          <w:sz w:val="24"/>
          <w:highlight w:val="none"/>
        </w:rPr>
        <w:t>18.4投标人代表可登录开标大厅，查看相关信息。投标人对开标过程和开标记录有疑义，以及认为采购人、采购代理机构相关工作人员有需要回避的情形的，应当场提出询问或者回避申请。</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19.资格审查及组建评标委员会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19.1采购人或采购代理机构依据法律法规和招标文件中规定的内容，对投标人资格进行审查，未通过资格审查的投标人不进入评标。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19.2采购人或采购代理机构将在投标截止时间后至</w:t>
      </w:r>
      <w:bookmarkStart w:id="135" w:name="_Hlk11535240"/>
      <w:r>
        <w:rPr>
          <w:rFonts w:hint="eastAsia" w:ascii="宋体" w:hAnsi="宋体" w:eastAsia="宋体" w:cs="宋体"/>
          <w:sz w:val="24"/>
          <w:highlight w:val="none"/>
        </w:rPr>
        <w:t>评审结束</w:t>
      </w:r>
      <w:bookmarkEnd w:id="135"/>
      <w:r>
        <w:rPr>
          <w:rFonts w:hint="eastAsia" w:ascii="宋体" w:hAnsi="宋体" w:eastAsia="宋体" w:cs="宋体"/>
          <w:sz w:val="24"/>
          <w:highlight w:val="none"/>
        </w:rPr>
        <w:t>前查询投标人的信用记录。投标人存在不良信用记录的，其投标将被认定为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highlight w:val="none"/>
        </w:rPr>
        <w:t>19.2.1不良信用记录是指：</w:t>
      </w:r>
      <w:bookmarkStart w:id="136" w:name="_Hlk24663244"/>
      <w:r>
        <w:rPr>
          <w:rFonts w:hint="eastAsia" w:ascii="宋体" w:hAnsi="宋体" w:eastAsia="宋体" w:cs="宋体"/>
          <w:sz w:val="24"/>
          <w:szCs w:val="18"/>
          <w:highlight w:val="none"/>
        </w:rPr>
        <w:t>（1）投标人被人民法院列入失信被执行人名单；（3）投标人被税务部门列入重大税收违法案件当事人名单；（3）投标人被政府采购监管部门列入政府采购严重违法失信行为记录名单。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以联合体形式参加投标的，联合体任何成员存在以上不良信用记录的，联合体投标将被认定为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19.2.2信用信息查询渠道：中国执行信息公开网（http://zxgk.court.gov.cn/shixin/）、“信用中国”网站（www.creditchina.gov.cn）、国家企业信用信息公示系统（www.gsxt.gov.cn）、中国政府采购网（www.ccgp.gov.cn）。</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19.2.3信用信息记录方式：采购人或采购代理机构工作人员将查询网页打印、签字并存档备查。投标人不良信用记录以采购人或采购代理机构查询结果为准。</w:t>
      </w:r>
    </w:p>
    <w:p>
      <w:pPr>
        <w:spacing w:line="360" w:lineRule="auto"/>
        <w:ind w:firstLine="435"/>
        <w:rPr>
          <w:rFonts w:hint="eastAsia" w:ascii="宋体" w:hAnsi="宋体" w:eastAsia="宋体" w:cs="宋体"/>
          <w:sz w:val="24"/>
          <w:highlight w:val="none"/>
        </w:rPr>
      </w:pPr>
      <w:bookmarkStart w:id="137" w:name="_Hlk24663338"/>
      <w:r>
        <w:rPr>
          <w:rFonts w:hint="eastAsia" w:ascii="宋体" w:hAnsi="宋体" w:eastAsia="宋体" w:cs="宋体"/>
          <w:sz w:val="24"/>
          <w:highlight w:val="none"/>
        </w:rPr>
        <w:t>在本招标文件规定的查询时间之外，网站信息发生的任何变更均不作为资格审查依据。</w:t>
      </w:r>
    </w:p>
    <w:bookmarkEnd w:id="137"/>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投标人自行提供的与网站信息不一致的其他证明材料亦不作为资格审查依据。</w:t>
      </w:r>
    </w:p>
    <w:bookmarkEnd w:id="136"/>
    <w:p>
      <w:pPr>
        <w:spacing w:line="360" w:lineRule="auto"/>
        <w:ind w:firstLine="435"/>
        <w:rPr>
          <w:rFonts w:hint="eastAsia" w:ascii="宋体" w:hAnsi="宋体" w:eastAsia="宋体" w:cs="宋体"/>
          <w:b/>
          <w:sz w:val="24"/>
          <w:highlight w:val="none"/>
        </w:rPr>
      </w:pPr>
      <w:r>
        <w:rPr>
          <w:rFonts w:hint="eastAsia" w:ascii="宋体" w:hAnsi="宋体" w:eastAsia="宋体" w:cs="宋体"/>
          <w:sz w:val="24"/>
          <w:highlight w:val="none"/>
        </w:rPr>
        <w:t>19.3按照《中华人民共和国政府采购法》《中华人民共和国政府采购法实施条例》及本项目本级和上级财政部门、政府采购监督管理部门的有关规定依法组建的评标委员会，负责本项目评标工作。省属高校科研仪器设备采购，可在政府采购评审专家库外自行选择评审专家。自行选择的评审专家与投标人有利害关系的，应严格执行回避有关规定。评审活动完成后，采购人或采购代理机构应在评审专家名单中对自行选定的评审专家进行标注，并随同中标、成交结果一并公告。</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20.投标文件符合性审查与澄清</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20.1符合性审查是指依据招标文件的规定，从投标文件的有效性和完整性对招标文件的响应程度进行审查，以确定是否对招标文件的实质性要求做出响应。</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20.2如一个分包内只有一种产品，不同投标人所投产品为同一品牌的，按如下方式处理：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20.3如一个分包内包含多种产品的，采购人或采购代理机构将在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中载明核心产品。核心产品超过一种产品的，核心产品中只要有一种产品为相同品牌，即认定为核心产品为相同品牌。多家投标人提供的核心产品品牌相同的，按第20.2款规定处理。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20.4投标文件的澄清</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hint="eastAsia" w:ascii="宋体" w:hAnsi="宋体" w:eastAsia="宋体" w:cs="宋体"/>
          <w:bCs/>
          <w:sz w:val="24"/>
          <w:highlight w:val="none"/>
        </w:rPr>
      </w:pPr>
      <w:r>
        <w:rPr>
          <w:rFonts w:hint="eastAsia" w:ascii="宋体" w:hAnsi="宋体" w:eastAsia="宋体" w:cs="宋体"/>
          <w:bCs/>
          <w:sz w:val="24"/>
          <w:highlight w:val="none"/>
        </w:rPr>
        <w:t>（A非电子招投标）</w:t>
      </w:r>
    </w:p>
    <w:p>
      <w:pPr>
        <w:spacing w:line="360" w:lineRule="auto"/>
        <w:ind w:firstLine="435"/>
        <w:rPr>
          <w:rFonts w:hint="eastAsia" w:ascii="宋体" w:hAnsi="宋体" w:eastAsia="宋体" w:cs="宋体"/>
          <w:sz w:val="24"/>
          <w:highlight w:val="none"/>
        </w:rPr>
      </w:pPr>
      <w:r>
        <w:rPr>
          <w:rFonts w:hint="eastAsia" w:ascii="宋体" w:hAnsi="宋体" w:eastAsia="宋体" w:cs="宋体"/>
          <w:b/>
          <w:bCs/>
          <w:sz w:val="24"/>
          <w:highlight w:val="none"/>
        </w:rPr>
        <w:t>如有询标，授权代表（或法定代表人）携带本人有效身份证明原件参加询标。因授权代表联系不上、未到开标现场等情形而无法接受评审委员会询标的，投标人自行承担相关风险。</w:t>
      </w:r>
    </w:p>
    <w:p>
      <w:pPr>
        <w:pStyle w:val="2"/>
        <w:ind w:left="0" w:firstLine="480"/>
        <w:rPr>
          <w:rFonts w:hint="eastAsia" w:ascii="宋体" w:hAnsi="宋体" w:eastAsia="宋体" w:cs="宋体"/>
          <w:bCs/>
          <w:sz w:val="24"/>
          <w:highlight w:val="none"/>
        </w:rPr>
      </w:pPr>
      <w:r>
        <w:rPr>
          <w:rFonts w:hint="eastAsia" w:ascii="宋体" w:hAnsi="宋体" w:eastAsia="宋体" w:cs="宋体"/>
          <w:bCs/>
          <w:sz w:val="24"/>
          <w:highlight w:val="none"/>
        </w:rPr>
        <w:t>（B非电子招投标）</w:t>
      </w:r>
    </w:p>
    <w:p>
      <w:pPr>
        <w:spacing w:line="360" w:lineRule="auto"/>
        <w:ind w:firstLine="435"/>
        <w:rPr>
          <w:rFonts w:hint="eastAsia" w:ascii="宋体" w:hAnsi="宋体" w:eastAsia="宋体" w:cs="宋体"/>
          <w:b/>
          <w:sz w:val="24"/>
          <w:highlight w:val="none"/>
        </w:rPr>
      </w:pPr>
      <w:r>
        <w:rPr>
          <w:rFonts w:hint="eastAsia" w:ascii="宋体" w:hAnsi="宋体" w:eastAsia="宋体" w:cs="宋体"/>
          <w:b/>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cs="宋体"/>
          <w:b/>
          <w:bCs/>
          <w:sz w:val="24"/>
          <w:highlight w:val="none"/>
        </w:rPr>
        <w:t>、没有及时登录系统等情形</w:t>
      </w:r>
      <w:r>
        <w:rPr>
          <w:rFonts w:hint="eastAsia" w:ascii="宋体" w:hAnsi="宋体" w:eastAsia="宋体" w:cs="宋体"/>
          <w:b/>
          <w:sz w:val="24"/>
          <w:highlight w:val="none"/>
        </w:rPr>
        <w:t>而无法接受评标委员会询标的，投标人自行承担相关风险。</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20.4.2投标人的澄清、说明或补正将作为投标文件的一部分。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20.4.3评标委员会对投标人提交的澄清、说明或补正有疑问的，可以要求投标人进一步澄清、说明或补正，直至满足评标委员会的要求。</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20.5投标文件报价出现前后不一致的，按照下列规定修正：</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（1）投标文件中开标一览表内容与投标文件中相应内容不一致的，以开标一览表为准；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（3）单价金额小数点或者百分比有明显错位的，以开标一览表的总价为准，并修改单价；</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（4）总价金额与按单价汇总金额不一致的，以单价金额计算结果为准。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同时出现两种以上不一致的，按照前款规定的顺序修正。修正后的报价按照第20.4条的规定经投标人确认后产生约束力，投标人不确认的，其投标将被认定为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b/>
          <w:sz w:val="24"/>
          <w:highlight w:val="none"/>
        </w:rPr>
      </w:pPr>
      <w:r>
        <w:rPr>
          <w:rFonts w:hint="eastAsia" w:ascii="宋体" w:hAnsi="宋体" w:eastAsia="宋体" w:cs="宋体"/>
          <w:sz w:val="24"/>
          <w:highlight w:val="none"/>
        </w:rPr>
        <w:t>对不同文字文本投标文件的解释发生异议的，以中文文本为准。</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21.投标无效</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评标委员会决定投标的响应性只根据招标文件要求和投标文件内容。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无论何种原因，即使投标人投标时携带了证书材料的原件，但投标文件中未提供与之内容完全一致的证明材料的，评标委员会视同其未提供。</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21.2如发现下列情况之一的，其投标将被认定为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（1）投标文件未按照招标文件规定要求签署、盖章的；</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（2）不具备招标文件中规定的资格要求的；</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（3）报价超过招标文件中规定的预算金额或者最高限价的；</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（4）投标文件不满足招标文件全部实质性要求的；</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（5）投标文件含有采购人不能接受的附加条件的；</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szCs w:val="24"/>
          <w:highlight w:val="none"/>
        </w:rPr>
        <w:t>（6）法律、法规和招标文件规定的其他无效情形。</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22.比较与评价</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22.1经符合性审查合格的投标文件，评标委员会将根据招标文件确定的评标方法和标准，对其投标文件作进一步的比较与评价。</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22.2评标严格按照招标文件的要求和条件进行。根据实际情况，在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中规定采用下列一种评标方法，详细评标方法和标准见招标文件第四章：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（1）最低评标价法，是指投标文件满足招标文件全部实质性要求，且投标报价最低的投标人为中标候选人的评标方法。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（2）综合评分法，是指投标文件满足招标文件全部实质性要求，且按照评审因素的量化指标评审得分最高的投标人为中标候选人的评标方法。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22.3</w:t>
      </w:r>
      <w:bookmarkStart w:id="138" w:name="_Hlk60581117"/>
      <w:r>
        <w:rPr>
          <w:rFonts w:hint="eastAsia" w:ascii="宋体" w:hAnsi="宋体" w:eastAsia="宋体" w:cs="宋体"/>
          <w:sz w:val="24"/>
          <w:highlight w:val="none"/>
        </w:rPr>
        <w:t>根据《政府采购促进中小企业发展管理办法》（财库〔2020〕46号）、《财政部 司法部关于政府采购支持监狱企业发展有关问题的通知》（财库〔2014〕68号）、《三部门联合发布关于促进残疾人就业政府采购政策的通知》（财库〔2017〕141号）和</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"https://cgzx.ahu.edu.cn/sfw_cms/e?page=cms.detail&amp;cid=4353&amp;nextcid=567&amp;aid=13549" \o "《安徽省财政厅关于进一步优化政府采购营商环境的通知》（皖财购[2022]556号）" \t "_blank"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《安徽省财政厅关于进一步优化政府采购营商环境的通知》（皖财购〔2022〕556号）</w:t>
      </w:r>
      <w:r>
        <w:rPr>
          <w:rFonts w:hint="eastAsia" w:ascii="宋体" w:hAnsi="宋体" w:eastAsia="宋体" w:cs="宋体"/>
          <w:sz w:val="24"/>
          <w:highlight w:val="none"/>
        </w:rPr>
        <w:fldChar w:fldCharType="end"/>
      </w:r>
      <w:r>
        <w:rPr>
          <w:rFonts w:hint="eastAsia" w:ascii="宋体" w:hAnsi="宋体" w:eastAsia="宋体" w:cs="宋体"/>
          <w:sz w:val="24"/>
          <w:highlight w:val="none"/>
        </w:rPr>
        <w:t>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中规定的标准扣除后的价格参与评审。对于同时属于小微企业、监狱企业或残疾人福利性单位的，不重复进行投标报价扣除。</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中规定的标准扣除后的价格参与评审。组成联合体或者接受分包的小微企业与联合体内其他企业、分包企业之间存在直接控股、管理关系的，不享受价格扣除优惠政策。</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以联合体形式参加政府采购活动，联合体各方均为中小企业的，联合体视同中小企业。其中，联合体各方均为小微企业的，联合体视同小微企业。</w:t>
      </w:r>
      <w:bookmarkEnd w:id="138"/>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22.4按照</w:t>
      </w:r>
      <w:r>
        <w:rPr>
          <w:rFonts w:hint="eastAsia" w:ascii="宋体" w:hAnsi="宋体" w:eastAsia="宋体" w:cs="宋体"/>
          <w:sz w:val="24"/>
          <w:highlight w:val="none"/>
          <w:lang w:eastAsia="zh-CN"/>
        </w:rPr>
        <w:t>〈</w:t>
      </w:r>
      <w:r>
        <w:rPr>
          <w:rFonts w:hint="eastAsia" w:ascii="宋体" w:hAnsi="宋体" w:eastAsia="宋体" w:cs="宋体"/>
          <w:sz w:val="24"/>
          <w:highlight w:val="none"/>
        </w:rPr>
        <w:t>财政部 国家发展改革委关于印发《节能产品政府采购实施意见》的通知</w:t>
      </w:r>
      <w:r>
        <w:rPr>
          <w:rFonts w:hint="eastAsia" w:ascii="宋体" w:hAnsi="宋体" w:eastAsia="宋体" w:cs="宋体"/>
          <w:sz w:val="24"/>
          <w:highlight w:val="none"/>
          <w:lang w:eastAsia="zh-CN"/>
        </w:rPr>
        <w:t>〉</w:t>
      </w:r>
      <w:r>
        <w:rPr>
          <w:rFonts w:hint="eastAsia" w:ascii="宋体" w:hAnsi="宋体" w:eastAsia="宋体" w:cs="宋体"/>
          <w:sz w:val="24"/>
          <w:highlight w:val="none"/>
        </w:rPr>
        <w:t>（财库〔2004〕185号）、《关于环境标志产品政府采购实施的意见》（财库〔2006〕90号）、《国务院办公厅关于建立政府强制采购节能产品制度的通知》（国办发〔2007〕51号）、《财政部 发展改革委 生态环境部 市场监管总局关于调整优化节能产品 环境标志产品政府采购执行机制的通知》（财库〔2019〕9号）、《关于印发环境标志产品政府采购品目清单的通知》（财库[2019]18号）、《关于印发节能产品政府采购品目清单的通知》（财库[2019]19号）等规定，对满足节能、环保条件并提供了相关证明材料的产品，进行优先采购。</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23.废标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出现下列情形之一，将导致项目废标：</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（1）符合专业条件的投标人或者对招标文件做实质性响应的投标人不足规定数量的；</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（2）出现影响采购公正的违法、违规行为的；</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（3）投标人的报价均超过了采购预算，采购人不能支付的；</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（4）因重大变故，采购任务取消的。</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24.保密要求</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24.1评标将在严格保密的情况下进行。</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24.2有关人员应当遵守评标工作纪律，不得泄露评标文件、评标情况和评标中获悉的国家秘密、商业秘密。</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25.中标候选人的确定原则及标准</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25.1评标委员会依据本项目招标文件所约定的评标方法，对实质上响应招标文件的投标人按下列方法进行排序，确定中标候选人：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则所投产品为节能产品、环境标志产品、不发达地区或少数民族地区产品者优先；若报价相同且所投产品同为节能产品、环境标志产品、不发达地区或少数民族地区产品的，则采取评标委员会抽签方式确定中标候选顺序。</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抽签方式确定中标候选顺序。</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26.确定中标候选人和中标人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26.1评标委员会将根据评标标准，按</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中规定数量推荐中标候选人。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26.2按</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中规定，由评标委员会或采购人确定中标人。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26.3因重大变故采购任务取消时，采购人有权拒绝任何投标人中标，且对受影响的投标人不承担任何责任。</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27.编写评标报告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28.中标结果公告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28.1除</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规定由评标委员会直接确定中标人外，在评标结束后2个工作日内，采购代理机构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28.2自中标人确定之日起2个工作日内，采购代理机构将在安徽省政府采购网（www.ccgp-anhui.gov.cn）上发布中标结果公告。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28.3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中约定进行公告的内容。中标公告期限为1个工作日。</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29.中标通知书</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29.1采购代理机构发布中标公告</w:t>
      </w:r>
      <w:r>
        <w:rPr>
          <w:rFonts w:hint="eastAsia" w:ascii="宋体" w:hAnsi="宋体" w:eastAsia="宋体" w:cs="宋体"/>
          <w:iCs/>
          <w:sz w:val="24"/>
          <w:highlight w:val="none"/>
        </w:rPr>
        <w:t>的</w:t>
      </w:r>
      <w:r>
        <w:rPr>
          <w:rFonts w:hint="eastAsia" w:ascii="宋体" w:hAnsi="宋体" w:eastAsia="宋体" w:cs="宋体"/>
          <w:sz w:val="24"/>
          <w:highlight w:val="none"/>
        </w:rPr>
        <w:t>同时向中标人发出中标通知书。</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29.2中标通知书对采购人和中标人具有同等法律效力。中标通知书发出以后，采购人改变中标结果或者中标人放弃中标，应当承担相应的法律责任。</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29.3中标通知书是合同的组成部分。</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30.告知招标结果</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30.1在公告中标结果的同时，采购代理机构同时以</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规定的形式告知未通过资格审查的投标人未通过的原因；采用综合评分法评审的，还将告知未中标人本人的评审得分和排序。</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31.履约保证金</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31.1中标人应按照</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规定缴纳履约保证金。</w:t>
      </w:r>
    </w:p>
    <w:p>
      <w:pPr>
        <w:spacing w:line="360" w:lineRule="auto"/>
        <w:ind w:firstLine="435"/>
        <w:rPr>
          <w:rFonts w:hint="eastAsia" w:ascii="宋体" w:hAnsi="宋体" w:eastAsia="宋体" w:cs="宋体"/>
          <w:b/>
          <w:sz w:val="24"/>
          <w:highlight w:val="none"/>
        </w:rPr>
      </w:pPr>
      <w:r>
        <w:rPr>
          <w:rFonts w:hint="eastAsia" w:ascii="宋体" w:hAnsi="宋体" w:eastAsia="宋体" w:cs="宋体"/>
          <w:sz w:val="24"/>
          <w:highlight w:val="none"/>
        </w:rPr>
        <w:t>31.2如果中标人没有按照上述履约保证金的规定执行，将视为放弃中标资格。在此情况下，采购人可确定下一中标候选人为中标人，也可以重新开展采购活动。</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32.签订合同</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32.1采购人与中标人应当自发出中标通知书之日起7个工作日内签订合同。</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32.2招标文件、中标人的投标文件及其澄清文件等，均为签订合同的依据。</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32.3中标人拒绝与采购人签订合同的，采购人可以按照评审报告推荐的中标候选人名单排序，确定下一中标候选人为中标人，也可以重新开展政府采购活动。</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32.4当出现法规规定的中标无效或中标结果无效情形时，采购人可依法与排名下一位的中标候选人另行签订合同，或依法重新开展采购活动。</w:t>
      </w:r>
    </w:p>
    <w:p>
      <w:pPr>
        <w:spacing w:line="360" w:lineRule="auto"/>
        <w:ind w:firstLine="435"/>
        <w:rPr>
          <w:rFonts w:hint="eastAsia" w:ascii="宋体" w:hAnsi="宋体" w:eastAsia="宋体" w:cs="宋体"/>
          <w:sz w:val="24"/>
          <w:highlight w:val="none"/>
        </w:rPr>
      </w:pPr>
      <w:r>
        <w:rPr>
          <w:rFonts w:hint="eastAsia" w:ascii="宋体" w:hAnsi="宋体" w:eastAsia="宋体" w:cs="宋体"/>
          <w:b/>
          <w:bCs/>
          <w:sz w:val="24"/>
          <w:highlight w:val="none"/>
        </w:rPr>
        <w:t>32.5</w:t>
      </w:r>
      <w:r>
        <w:rPr>
          <w:rFonts w:hint="eastAsia" w:ascii="宋体" w:hAnsi="宋体" w:eastAsia="宋体" w:cs="宋体"/>
          <w:sz w:val="24"/>
          <w:highlight w:val="none"/>
        </w:rPr>
        <w:t>依据《政府采购促进中小企业发展管理办法》（财库〔2020〕46号）规定享受扶持政策获得政府采购合同的，小微企业不得将合同分包给大中型企业，中型企业不得将合同分包给大型企业。</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33.中标服务费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33.1本项目中标服务费的收取按</w:t>
      </w:r>
      <w:r>
        <w:rPr>
          <w:rFonts w:hint="eastAsia" w:ascii="宋体" w:hAnsi="宋体" w:eastAsia="宋体" w:cs="宋体"/>
          <w:b/>
          <w:bCs/>
          <w:sz w:val="24"/>
          <w:highlight w:val="none"/>
        </w:rPr>
        <w:t>投标人须知前附表的</w:t>
      </w:r>
      <w:r>
        <w:rPr>
          <w:rFonts w:hint="eastAsia" w:ascii="宋体" w:hAnsi="宋体" w:eastAsia="宋体" w:cs="宋体"/>
          <w:sz w:val="24"/>
          <w:highlight w:val="none"/>
        </w:rPr>
        <w:t>规定执行。</w:t>
      </w:r>
    </w:p>
    <w:p>
      <w:pPr>
        <w:spacing w:line="360" w:lineRule="auto"/>
        <w:ind w:firstLine="437"/>
        <w:outlineLvl w:val="3"/>
        <w:rPr>
          <w:rFonts w:hint="eastAsia" w:ascii="宋体" w:hAnsi="宋体" w:eastAsia="宋体" w:cs="宋体"/>
          <w:b/>
          <w:sz w:val="24"/>
          <w:highlight w:val="none"/>
        </w:rPr>
      </w:pPr>
      <w:bookmarkStart w:id="139" w:name="_Toc518923100"/>
      <w:bookmarkStart w:id="140" w:name="_Toc2583661"/>
      <w:r>
        <w:rPr>
          <w:rFonts w:hint="eastAsia" w:ascii="宋体" w:hAnsi="宋体" w:eastAsia="宋体" w:cs="宋体"/>
          <w:b/>
          <w:sz w:val="24"/>
          <w:highlight w:val="none"/>
        </w:rPr>
        <w:t>34.廉洁自律规定</w:t>
      </w:r>
      <w:bookmarkEnd w:id="139"/>
      <w:bookmarkEnd w:id="140"/>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34.1采购代理机构工作人员不得以不正当手段获取政府采购代理业务，不得与采购人、投标人恶意串通。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34.2采购代理机构工作人员不得接受采购人或者投标人组织的宴请、旅游、娱乐，不得收受礼品、现金、有价证券等，不得向采购人或者投标人报销应当由个人承担的费用。</w:t>
      </w:r>
    </w:p>
    <w:p>
      <w:pPr>
        <w:spacing w:line="360" w:lineRule="auto"/>
        <w:ind w:firstLine="437"/>
        <w:outlineLvl w:val="3"/>
        <w:rPr>
          <w:rFonts w:hint="eastAsia" w:ascii="宋体" w:hAnsi="宋体" w:eastAsia="宋体" w:cs="宋体"/>
          <w:b/>
          <w:sz w:val="24"/>
          <w:highlight w:val="none"/>
        </w:rPr>
      </w:pPr>
      <w:bookmarkStart w:id="141" w:name="_Toc2583662"/>
      <w:bookmarkStart w:id="142" w:name="_Toc518923101"/>
      <w:r>
        <w:rPr>
          <w:rFonts w:hint="eastAsia" w:ascii="宋体" w:hAnsi="宋体" w:eastAsia="宋体" w:cs="宋体"/>
          <w:b/>
          <w:sz w:val="24"/>
          <w:highlight w:val="none"/>
        </w:rPr>
        <w:t>35.人员回避</w:t>
      </w:r>
      <w:bookmarkEnd w:id="141"/>
      <w:bookmarkEnd w:id="142"/>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投标人认为采购人员及其相关人员有法律法规所列与其他投标人有利害关系的，可以向采购人或采购代理机构书面提出回避申请，并说明理由。</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36.质疑的提出与接收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36.2质疑供应商应按照财政部制定的《政府采购供应商质疑函范本》格式（详见招标文件附件）和《政府采购质疑和投诉办法》的要求，在</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规定的法定质疑期内以书面形式提出质疑，超出法定质疑期提交的质疑将被拒绝。针对同一采购程序环节的质疑应一次性提出。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36.3采购代理机构质疑函接收部门、联系电话和通讯地址，见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spacing w:line="360" w:lineRule="auto"/>
        <w:ind w:firstLine="437"/>
        <w:outlineLvl w:val="3"/>
        <w:rPr>
          <w:rFonts w:hint="eastAsia" w:ascii="宋体" w:hAnsi="宋体" w:eastAsia="宋体" w:cs="宋体"/>
          <w:b/>
          <w:sz w:val="24"/>
          <w:highlight w:val="none"/>
        </w:rPr>
      </w:pPr>
      <w:r>
        <w:rPr>
          <w:rFonts w:hint="eastAsia" w:ascii="宋体" w:hAnsi="宋体" w:eastAsia="宋体" w:cs="宋体"/>
          <w:b/>
          <w:sz w:val="24"/>
          <w:highlight w:val="none"/>
        </w:rPr>
        <w:t>37.需要补充的其他内容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需要补充的其他内容，见</w:t>
      </w:r>
      <w:r>
        <w:rPr>
          <w:rFonts w:hint="eastAsia" w:ascii="宋体" w:hAnsi="宋体" w:eastAsia="宋体" w:cs="宋体"/>
          <w:b/>
          <w:bCs/>
          <w:sz w:val="24"/>
          <w:highlight w:val="none"/>
        </w:rPr>
        <w:t>投标人须知前附表</w:t>
      </w:r>
      <w:r>
        <w:rPr>
          <w:rFonts w:hint="eastAsia" w:ascii="宋体" w:hAnsi="宋体" w:eastAsia="宋体" w:cs="宋体"/>
          <w:sz w:val="24"/>
          <w:highlight w:val="none"/>
        </w:rPr>
        <w:t>。</w:t>
      </w:r>
    </w:p>
    <w:p>
      <w:pPr>
        <w:pStyle w:val="2"/>
        <w:ind w:firstLine="480"/>
        <w:rPr>
          <w:rFonts w:hint="eastAsia" w:ascii="宋体" w:hAnsi="宋体" w:eastAsia="宋体"/>
          <w:sz w:val="24"/>
          <w:highlight w:val="none"/>
        </w:rPr>
      </w:pPr>
    </w:p>
    <w:p>
      <w:pPr>
        <w:widowControl/>
        <w:jc w:val="left"/>
        <w:rPr>
          <w:rFonts w:hint="eastAsia" w:ascii="宋体" w:hAnsi="宋体" w:eastAsia="宋体"/>
          <w:sz w:val="24"/>
          <w:highlight w:val="none"/>
        </w:rPr>
      </w:pPr>
      <w:r>
        <w:rPr>
          <w:rFonts w:hint="eastAsia" w:ascii="宋体" w:hAnsi="宋体" w:eastAsia="宋体"/>
          <w:sz w:val="24"/>
          <w:highlight w:val="none"/>
        </w:rPr>
        <w:br w:type="page"/>
      </w:r>
    </w:p>
    <w:p>
      <w:pPr>
        <w:pStyle w:val="5"/>
        <w:bidi w:val="0"/>
        <w:jc w:val="center"/>
        <w:rPr>
          <w:rFonts w:hint="eastAsia"/>
          <w:highlight w:val="none"/>
        </w:rPr>
      </w:pPr>
      <w:bookmarkStart w:id="143" w:name="_Toc27866461"/>
      <w:bookmarkStart w:id="144" w:name="_Toc1891953086"/>
      <w:bookmarkStart w:id="145" w:name="_Toc946810653"/>
      <w:bookmarkStart w:id="146" w:name="_Toc703926946_WPSOffice_Level2"/>
      <w:bookmarkStart w:id="147" w:name="_Toc178090216"/>
      <w:bookmarkStart w:id="148" w:name="_Toc947433833"/>
      <w:bookmarkStart w:id="149" w:name="_Toc731250774"/>
      <w:bookmarkStart w:id="150" w:name="_Toc2103184424"/>
      <w:r>
        <w:rPr>
          <w:rFonts w:hint="eastAsia"/>
          <w:highlight w:val="none"/>
        </w:rPr>
        <w:t>附   电子交易系统操作指南</w:t>
      </w:r>
      <w:bookmarkEnd w:id="143"/>
      <w:bookmarkEnd w:id="144"/>
      <w:bookmarkEnd w:id="145"/>
      <w:bookmarkEnd w:id="146"/>
      <w:bookmarkEnd w:id="147"/>
      <w:bookmarkEnd w:id="148"/>
      <w:bookmarkEnd w:id="149"/>
      <w:bookmarkEnd w:id="150"/>
    </w:p>
    <w:p>
      <w:pPr>
        <w:numPr>
          <w:ilvl w:val="0"/>
          <w:numId w:val="0"/>
        </w:num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电子招投标：本项目以数据电文形式，依托“徽采云”电子交易系统进行招投标活动；</w:t>
      </w:r>
    </w:p>
    <w:p>
      <w:pPr>
        <w:wordWrap w:val="0"/>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投标准备：注册账号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详情参见“徽采云”平台供应商注册与配置手册 “第2章入驻操作流程”（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招标文件的获取：使用 CA 登录“徽采云”电子交易系统；进入“项目采购”应用，在获取采购文件菜单中选择项目，获取招标文件；</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投标文件的制作：在“徽采云投标客户端”中完成“填写基本信息”、 “制作和导入投标（响应）文件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标书关联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标书检查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电子签名”、 “生成电子标书”等操作；</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投标文件的上传：使用CA登录“徽采云”电子交易系统；进入“项目采购”应用，在投标文件上传菜单中选择项目，上传加密的投标文件（*.jmbs）；</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投标文件的解密：投标人按照系统提示和招标文件规定，在规定时间内完成在线解密；</w:t>
      </w:r>
    </w:p>
    <w:p>
      <w:pPr>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“徽采云”电子交易系统具体操作指南：详见安徽省政府采购网-徽采学院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电子交易系统学习专题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操作手册。</w:t>
      </w:r>
    </w:p>
    <w:p>
      <w:pPr>
        <w:snapToGrid w:val="0"/>
        <w:spacing w:line="500" w:lineRule="exact"/>
        <w:ind w:firstLine="480" w:firstLineChars="200"/>
        <w:jc w:val="left"/>
        <w:rPr>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CA问题联系电话：安徽CA 400-880-4959 ；翔晟CA 0551-68105136。</w:t>
      </w:r>
    </w:p>
    <w:p>
      <w:pPr>
        <w:pStyle w:val="4"/>
        <w:bidi w:val="0"/>
        <w:rPr>
          <w:rFonts w:hint="eastAsia" w:ascii="方正小标宋_GBK" w:hAnsi="方正小标宋_GBK" w:eastAsia="方正小标宋_GBK" w:cs="方正小标宋_GBK"/>
          <w:kern w:val="44"/>
          <w:sz w:val="44"/>
          <w:szCs w:val="44"/>
          <w:highlight w:val="none"/>
        </w:rPr>
      </w:pPr>
      <w:r>
        <w:rPr>
          <w:rFonts w:hint="eastAsia" w:ascii="宋体" w:hAnsi="宋体" w:eastAsia="宋体"/>
          <w:sz w:val="24"/>
          <w:highlight w:val="none"/>
        </w:rPr>
        <w:br w:type="page"/>
      </w:r>
      <w:bookmarkStart w:id="151" w:name="_Toc1408663617_WPSOffice_Level1"/>
      <w:bookmarkStart w:id="152" w:name="_Toc1919576966"/>
      <w:bookmarkStart w:id="153" w:name="_Toc2039865327"/>
      <w:bookmarkStart w:id="154" w:name="_Toc1127235811"/>
      <w:bookmarkStart w:id="155" w:name="_Toc3969"/>
      <w:bookmarkStart w:id="156" w:name="_Toc1695149163"/>
      <w:bookmarkStart w:id="157" w:name="_Toc1698162705"/>
      <w:bookmarkStart w:id="158" w:name="_Toc1932310260"/>
      <w:bookmarkStart w:id="159" w:name="_Toc998780686"/>
      <w:r>
        <w:rPr>
          <w:rFonts w:hint="eastAsia" w:ascii="方正小标宋_GBK" w:hAnsi="方正小标宋_GBK" w:eastAsia="方正小标宋_GBK" w:cs="方正小标宋_GBK"/>
          <w:kern w:val="44"/>
          <w:sz w:val="44"/>
          <w:szCs w:val="44"/>
          <w:highlight w:val="none"/>
        </w:rPr>
        <w:t>第三章  采购需求</w:t>
      </w:r>
      <w:bookmarkEnd w:id="151"/>
      <w:bookmarkEnd w:id="152"/>
      <w:bookmarkEnd w:id="153"/>
      <w:bookmarkEnd w:id="154"/>
      <w:bookmarkEnd w:id="155"/>
      <w:bookmarkEnd w:id="156"/>
      <w:bookmarkEnd w:id="157"/>
      <w:bookmarkEnd w:id="158"/>
      <w:bookmarkEnd w:id="159"/>
    </w:p>
    <w:p>
      <w:pPr>
        <w:spacing w:line="360" w:lineRule="auto"/>
        <w:ind w:firstLine="435"/>
        <w:rPr>
          <w:rFonts w:hint="eastAsia" w:ascii="宋体" w:hAnsi="宋体" w:eastAsia="宋体" w:cs="宋体"/>
          <w:sz w:val="24"/>
          <w:szCs w:val="18"/>
          <w:highlight w:val="none"/>
        </w:rPr>
      </w:pPr>
      <w:bookmarkStart w:id="160" w:name="_Hlk16461016"/>
      <w:r>
        <w:rPr>
          <w:rFonts w:hint="eastAsia" w:ascii="宋体" w:hAnsi="宋体" w:eastAsia="宋体" w:cs="宋体"/>
          <w:sz w:val="24"/>
          <w:szCs w:val="20"/>
          <w:highlight w:val="none"/>
        </w:rPr>
        <w:t>1.</w:t>
      </w:r>
      <w:r>
        <w:rPr>
          <w:rFonts w:hint="eastAsia" w:ascii="宋体" w:hAnsi="宋体" w:eastAsia="宋体" w:cs="宋体"/>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pPr>
        <w:spacing w:line="360" w:lineRule="auto"/>
        <w:ind w:firstLine="435"/>
        <w:rPr>
          <w:rFonts w:ascii="宋体" w:hAnsi="宋体" w:eastAsia="宋体" w:cs="@仿宋_GB2312"/>
          <w:sz w:val="24"/>
          <w:szCs w:val="18"/>
          <w:highlight w:val="none"/>
        </w:rPr>
      </w:pPr>
      <w:r>
        <w:rPr>
          <w:rFonts w:hint="eastAsia" w:ascii="宋体" w:hAnsi="宋体" w:eastAsia="宋体" w:cs="@仿宋_GB2312"/>
          <w:sz w:val="24"/>
          <w:szCs w:val="18"/>
          <w:highlight w:val="none"/>
        </w:rPr>
        <w:t>2.下列采购需求中：</w:t>
      </w:r>
    </w:p>
    <w:p>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cs="@仿宋_GB2312"/>
          <w:sz w:val="24"/>
          <w:szCs w:val="18"/>
          <w:highlight w:val="none"/>
        </w:rPr>
      </w:pPr>
      <w:r>
        <w:rPr>
          <w:rFonts w:hint="eastAsia" w:ascii="宋体" w:hAnsi="宋体" w:eastAsia="宋体" w:cs="@仿宋_GB2312"/>
          <w:sz w:val="24"/>
          <w:szCs w:val="18"/>
          <w:highlight w:val="none"/>
        </w:rPr>
        <w:t>3.</w:t>
      </w:r>
      <w:r>
        <w:rPr>
          <w:rFonts w:ascii="宋体" w:hAnsi="宋体" w:eastAsia="宋体" w:cs="@仿宋_GB2312"/>
          <w:sz w:val="24"/>
          <w:szCs w:val="18"/>
          <w:highlight w:val="none"/>
        </w:rPr>
        <w:t>下列采购需求中：标注▲的产品</w:t>
      </w:r>
      <w:r>
        <w:rPr>
          <w:rFonts w:hint="eastAsia" w:ascii="宋体" w:hAnsi="宋体" w:eastAsia="宋体" w:cs="@仿宋_GB2312"/>
          <w:sz w:val="24"/>
          <w:szCs w:val="18"/>
          <w:highlight w:val="none"/>
        </w:rPr>
        <w:t>（核心产品）</w:t>
      </w:r>
      <w:r>
        <w:rPr>
          <w:rFonts w:ascii="宋体" w:hAnsi="宋体" w:eastAsia="宋体" w:cs="@仿宋_GB2312"/>
          <w:sz w:val="24"/>
          <w:szCs w:val="18"/>
          <w:highlight w:val="none"/>
        </w:rPr>
        <w:t>，投标</w:t>
      </w:r>
      <w:r>
        <w:rPr>
          <w:rFonts w:hint="eastAsia" w:ascii="宋体" w:hAnsi="宋体" w:eastAsia="宋体" w:cs="@仿宋_GB2312"/>
          <w:sz w:val="24"/>
          <w:szCs w:val="18"/>
          <w:highlight w:val="none"/>
        </w:rPr>
        <w:t>人</w:t>
      </w:r>
      <w:r>
        <w:rPr>
          <w:rFonts w:ascii="宋体" w:hAnsi="宋体" w:eastAsia="宋体" w:cs="@仿宋_GB2312"/>
          <w:sz w:val="24"/>
          <w:szCs w:val="18"/>
          <w:highlight w:val="none"/>
        </w:rPr>
        <w:t>在投标文件《主要</w:t>
      </w:r>
      <w:r>
        <w:rPr>
          <w:rFonts w:hint="eastAsia" w:ascii="宋体" w:hAnsi="宋体" w:eastAsia="宋体" w:cs="@仿宋_GB2312"/>
          <w:sz w:val="24"/>
          <w:szCs w:val="18"/>
          <w:highlight w:val="none"/>
        </w:rPr>
        <w:t>中标</w:t>
      </w:r>
      <w:r>
        <w:rPr>
          <w:rFonts w:ascii="宋体" w:hAnsi="宋体" w:eastAsia="宋体" w:cs="@仿宋_GB2312"/>
          <w:sz w:val="24"/>
          <w:szCs w:val="18"/>
          <w:highlight w:val="none"/>
        </w:rPr>
        <w:t>标的承诺函》中填写名称、</w:t>
      </w:r>
      <w:r>
        <w:rPr>
          <w:rFonts w:hint="eastAsia" w:ascii="宋体" w:hAnsi="宋体" w:eastAsia="宋体" w:cs="@仿宋_GB2312"/>
          <w:sz w:val="24"/>
          <w:szCs w:val="18"/>
          <w:highlight w:val="none"/>
        </w:rPr>
        <w:t>品牌、</w:t>
      </w:r>
      <w:r>
        <w:rPr>
          <w:rFonts w:ascii="宋体" w:hAnsi="宋体" w:eastAsia="宋体" w:cs="@仿宋_GB2312"/>
          <w:sz w:val="24"/>
          <w:szCs w:val="18"/>
          <w:highlight w:val="none"/>
        </w:rPr>
        <w:t>规格、型号、数量、单价等信息</w:t>
      </w:r>
      <w:r>
        <w:rPr>
          <w:rFonts w:hint="eastAsia" w:ascii="宋体" w:hAnsi="宋体" w:eastAsia="宋体" w:cs="@仿宋_GB2312"/>
          <w:sz w:val="24"/>
          <w:szCs w:val="18"/>
          <w:highlight w:val="none"/>
        </w:rPr>
        <w:t>。</w:t>
      </w:r>
    </w:p>
    <w:p>
      <w:pPr>
        <w:keepNext/>
        <w:keepLines/>
        <w:widowControl w:val="0"/>
        <w:bidi w:val="0"/>
        <w:spacing w:before="240" w:line="360" w:lineRule="auto"/>
        <w:ind w:firstLine="560" w:firstLineChars="200"/>
        <w:jc w:val="left"/>
        <w:outlineLvl w:val="1"/>
        <w:rPr>
          <w:rFonts w:ascii="Arial" w:hAnsi="Arial" w:eastAsia="方正黑体_GBK" w:cs="Arial"/>
          <w:bCs/>
          <w:kern w:val="2"/>
          <w:sz w:val="28"/>
          <w:szCs w:val="32"/>
          <w:highlight w:val="none"/>
          <w:lang w:val="en-US" w:eastAsia="zh-CN" w:bidi="ar-SA"/>
        </w:rPr>
      </w:pPr>
      <w:bookmarkStart w:id="161" w:name="_Toc1452677390"/>
      <w:bookmarkStart w:id="162" w:name="_Toc1437377518_WPSOffice_Level2"/>
      <w:bookmarkStart w:id="163" w:name="_Toc2025078090"/>
      <w:bookmarkStart w:id="164" w:name="_Toc337877615"/>
      <w:bookmarkStart w:id="165" w:name="_Toc292361325"/>
      <w:bookmarkStart w:id="166" w:name="_Toc1899401549"/>
      <w:bookmarkStart w:id="167" w:name="_Toc1064185329"/>
      <w:bookmarkStart w:id="168" w:name="_Toc382548620"/>
      <w:r>
        <w:rPr>
          <w:rFonts w:hint="eastAsia" w:ascii="Arial" w:hAnsi="Arial" w:eastAsia="方正黑体_GBK" w:cs="Arial"/>
          <w:bCs/>
          <w:kern w:val="2"/>
          <w:sz w:val="28"/>
          <w:szCs w:val="32"/>
          <w:highlight w:val="none"/>
          <w:lang w:val="en-US" w:eastAsia="zh-CN" w:bidi="ar-SA"/>
        </w:rPr>
        <w:t>一、采购需求前附表</w:t>
      </w:r>
      <w:bookmarkEnd w:id="161"/>
      <w:bookmarkEnd w:id="162"/>
      <w:bookmarkEnd w:id="163"/>
      <w:bookmarkEnd w:id="164"/>
      <w:bookmarkEnd w:id="165"/>
      <w:bookmarkEnd w:id="166"/>
      <w:bookmarkEnd w:id="167"/>
      <w:bookmarkEnd w:id="168"/>
    </w:p>
    <w:tbl>
      <w:tblPr>
        <w:tblStyle w:val="2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
                <w:kern w:val="2"/>
                <w:sz w:val="24"/>
                <w:szCs w:val="20"/>
                <w:highlight w:val="none"/>
                <w:lang w:val="en-US" w:eastAsia="zh-CN" w:bidi="ar-SA"/>
              </w:rPr>
            </w:pPr>
            <w:r>
              <w:rPr>
                <w:rFonts w:hint="eastAsia" w:ascii="宋体" w:hAnsi="宋体" w:eastAsia="宋体" w:cs="宋体"/>
                <w:b/>
                <w:kern w:val="2"/>
                <w:sz w:val="24"/>
                <w:szCs w:val="20"/>
                <w:highlight w:val="none"/>
                <w:lang w:val="en-US" w:eastAsia="zh-CN" w:bidi="ar-SA"/>
              </w:rPr>
              <w:t>序号</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bCs w:val="0"/>
                <w:kern w:val="0"/>
                <w:sz w:val="24"/>
                <w:szCs w:val="28"/>
                <w:highlight w:val="none"/>
                <w:lang w:val="en-US" w:eastAsia="zh-CN" w:bidi="ar-SA"/>
              </w:rPr>
            </w:pPr>
            <w:r>
              <w:rPr>
                <w:rFonts w:hint="eastAsia" w:ascii="宋体" w:hAnsi="宋体" w:eastAsia="宋体" w:cs="宋体"/>
                <w:b/>
                <w:bCs w:val="0"/>
                <w:kern w:val="0"/>
                <w:sz w:val="24"/>
                <w:szCs w:val="28"/>
                <w:highlight w:val="none"/>
                <w:lang w:val="en-US" w:eastAsia="zh-CN" w:bidi="ar-SA"/>
              </w:rPr>
              <w:t>条款名称</w:t>
            </w:r>
          </w:p>
        </w:tc>
        <w:tc>
          <w:tcPr>
            <w:tcW w:w="5544" w:type="dxa"/>
            <w:noWrap w:val="0"/>
            <w:vAlign w:val="center"/>
          </w:tcPr>
          <w:p>
            <w:pPr>
              <w:widowControl w:val="0"/>
              <w:spacing w:before="0" w:beforeAutospacing="0" w:after="0" w:afterAutospacing="0" w:line="360" w:lineRule="auto"/>
              <w:jc w:val="center"/>
              <w:rPr>
                <w:rFonts w:hint="eastAsia" w:ascii="宋体" w:hAnsi="宋体" w:eastAsia="宋体" w:cs="宋体"/>
                <w:b/>
                <w:bCs w:val="0"/>
                <w:kern w:val="0"/>
                <w:sz w:val="24"/>
                <w:szCs w:val="28"/>
                <w:highlight w:val="none"/>
                <w:lang w:val="en-US" w:eastAsia="zh-CN" w:bidi="ar-SA"/>
              </w:rPr>
            </w:pPr>
            <w:r>
              <w:rPr>
                <w:rFonts w:hint="eastAsia" w:ascii="宋体" w:hAnsi="宋体" w:eastAsia="宋体" w:cs="宋体"/>
                <w:b/>
                <w:bCs w:val="0"/>
                <w:kern w:val="0"/>
                <w:sz w:val="24"/>
                <w:szCs w:val="28"/>
                <w:highlight w:val="none"/>
                <w:lang w:val="en-US" w:eastAsia="zh-CN" w:bidi="ar-SA"/>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1</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付款方式</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合同签订生效并具备实施条件后5个工作日内支付合同价款的40%作为预付款（中标供应商须提交银行、保险公司、担保公司等金融机构出具的预付款保函或其他担保措施，以上各类机构出具的以担保函、保证保险承担责任的方式均须满足无条件见索即付条件），项目供货安装完成验收合格后一次性支付剩余合同价款，同时退还预付款保函。</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注：在签订合同时，中标供应商书面明确表示无需预付款，即中标供应商无需提供预付款担保，按皖财购〔2022〕556号规定，采购人可不再支付预付款，供货安装完成验收合格后一次性付清合同价款。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2</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供货及安装地点</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皖南医学院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3</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供货及安装期限</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 xml:space="preserve">合同生效后进口设备90天内完成供货及安装，国产设备30天内完成供货及安装。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4</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免费质保期</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验收合格后3年，采购需求清单另有规定按采购需求清单执行。</w:t>
            </w:r>
          </w:p>
        </w:tc>
      </w:tr>
    </w:tbl>
    <w:p>
      <w:pPr>
        <w:keepNext/>
        <w:keepLines/>
        <w:widowControl w:val="0"/>
        <w:bidi w:val="0"/>
        <w:spacing w:before="240" w:line="360" w:lineRule="auto"/>
        <w:ind w:firstLine="560" w:firstLineChars="200"/>
        <w:jc w:val="left"/>
        <w:outlineLvl w:val="1"/>
        <w:rPr>
          <w:rFonts w:hint="eastAsia" w:ascii="Arial" w:hAnsi="Arial" w:eastAsia="方正黑体_GBK" w:cs="Arial"/>
          <w:bCs/>
          <w:kern w:val="2"/>
          <w:sz w:val="28"/>
          <w:szCs w:val="32"/>
          <w:highlight w:val="none"/>
          <w:lang w:val="en-US" w:eastAsia="zh-CN" w:bidi="ar-SA"/>
        </w:rPr>
      </w:pPr>
      <w:bookmarkStart w:id="169" w:name="_Toc626387511"/>
      <w:bookmarkStart w:id="170" w:name="_Toc1715351726"/>
      <w:bookmarkStart w:id="171" w:name="_Toc58935147"/>
      <w:bookmarkStart w:id="172" w:name="_Toc1191965283_WPSOffice_Level2"/>
      <w:bookmarkStart w:id="173" w:name="_Toc369119811"/>
      <w:bookmarkStart w:id="174" w:name="_Toc302804901"/>
      <w:bookmarkStart w:id="175" w:name="_Toc717369146"/>
      <w:bookmarkStart w:id="176" w:name="_Toc1693477008"/>
      <w:r>
        <w:rPr>
          <w:rFonts w:hint="eastAsia" w:ascii="Arial" w:hAnsi="Arial" w:eastAsia="方正黑体_GBK" w:cs="Arial"/>
          <w:bCs/>
          <w:kern w:val="2"/>
          <w:sz w:val="28"/>
          <w:szCs w:val="32"/>
          <w:highlight w:val="none"/>
          <w:lang w:val="en-US" w:eastAsia="zh-CN" w:bidi="ar-SA"/>
        </w:rPr>
        <w:t>二、货物需求</w:t>
      </w:r>
      <w:bookmarkEnd w:id="169"/>
      <w:bookmarkEnd w:id="170"/>
      <w:bookmarkEnd w:id="171"/>
      <w:bookmarkEnd w:id="172"/>
      <w:bookmarkEnd w:id="173"/>
      <w:bookmarkEnd w:id="174"/>
      <w:bookmarkEnd w:id="175"/>
      <w:bookmarkEnd w:id="176"/>
    </w:p>
    <w:p>
      <w:pPr>
        <w:widowControl w:val="0"/>
        <w:spacing w:line="500" w:lineRule="exact"/>
        <w:ind w:left="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（一）货物需求说明</w:t>
      </w:r>
    </w:p>
    <w:tbl>
      <w:tblPr>
        <w:tblStyle w:val="25"/>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935"/>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需求内容类别</w:t>
            </w:r>
          </w:p>
        </w:tc>
        <w:tc>
          <w:tcPr>
            <w:tcW w:w="1935"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标识符号</w:t>
            </w:r>
          </w:p>
        </w:tc>
        <w:tc>
          <w:tcPr>
            <w:tcW w:w="4713" w:type="dxa"/>
            <w:noWrap w:val="0"/>
            <w:vAlign w:val="top"/>
          </w:tcPr>
          <w:p>
            <w:pPr>
              <w:widowControl w:val="0"/>
              <w:spacing w:line="500" w:lineRule="exact"/>
              <w:ind w:left="420" w:firstLine="480" w:firstLineChars="20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实质性要求</w:t>
            </w:r>
          </w:p>
        </w:tc>
        <w:tc>
          <w:tcPr>
            <w:tcW w:w="1935" w:type="dxa"/>
            <w:noWrap w:val="0"/>
            <w:vAlign w:val="top"/>
          </w:tcPr>
          <w:p>
            <w:pPr>
              <w:widowControl w:val="0"/>
              <w:spacing w:line="500" w:lineRule="exact"/>
              <w:ind w:left="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4713" w:type="dxa"/>
            <w:noWrap w:val="0"/>
            <w:vAlign w:val="top"/>
          </w:tcPr>
          <w:p>
            <w:pPr>
              <w:widowControl w:val="0"/>
              <w:spacing w:line="500" w:lineRule="exact"/>
              <w:ind w:left="0" w:firstLine="0" w:firstLineChars="0"/>
              <w:jc w:val="left"/>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必须全部满足或正偏离，有1项不满足或负偏离的，</w:t>
            </w:r>
            <w:r>
              <w:rPr>
                <w:rFonts w:hint="eastAsia" w:ascii="宋体" w:hAnsi="宋体" w:eastAsia="宋体" w:cs="宋体"/>
                <w:b/>
                <w:bCs/>
                <w:kern w:val="2"/>
                <w:sz w:val="24"/>
                <w:szCs w:val="24"/>
                <w:highlight w:val="none"/>
                <w:lang w:val="en-US" w:eastAsia="zh-CN" w:bidi="ar-SA"/>
              </w:rPr>
              <w:t>投标无效</w:t>
            </w:r>
            <w:r>
              <w:rPr>
                <w:rFonts w:hint="eastAsia" w:ascii="宋体" w:hAnsi="宋体" w:eastAsia="宋体" w:cs="宋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其他要求</w:t>
            </w:r>
          </w:p>
        </w:tc>
        <w:tc>
          <w:tcPr>
            <w:tcW w:w="1935"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w:t>
            </w:r>
          </w:p>
        </w:tc>
        <w:tc>
          <w:tcPr>
            <w:tcW w:w="4713" w:type="dxa"/>
            <w:noWrap w:val="0"/>
            <w:vAlign w:val="top"/>
          </w:tcPr>
          <w:p>
            <w:pPr>
              <w:widowControl w:val="0"/>
              <w:spacing w:line="500" w:lineRule="exact"/>
              <w:ind w:left="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最大允许偏离</w:t>
            </w:r>
            <w:r>
              <w:rPr>
                <w:rFonts w:hint="eastAsia" w:ascii="宋体" w:hAnsi="宋体" w:eastAsia="宋体" w:cs="宋体"/>
                <w:b/>
                <w:bCs/>
                <w:kern w:val="2"/>
                <w:sz w:val="24"/>
                <w:szCs w:val="24"/>
                <w:highlight w:val="none"/>
                <w:u w:val="single"/>
                <w:lang w:val="en-US" w:eastAsia="zh-CN" w:bidi="ar-SA"/>
              </w:rPr>
              <w:t>1</w:t>
            </w:r>
            <w:r>
              <w:rPr>
                <w:rFonts w:hint="eastAsia" w:ascii="宋体" w:hAnsi="宋体" w:eastAsia="宋体" w:cs="宋体"/>
                <w:kern w:val="2"/>
                <w:sz w:val="24"/>
                <w:szCs w:val="24"/>
                <w:highlight w:val="none"/>
                <w:lang w:val="en-US" w:eastAsia="zh-CN" w:bidi="ar-SA"/>
              </w:rPr>
              <w:t>项，超过最大允许偏离项数的，</w:t>
            </w:r>
            <w:r>
              <w:rPr>
                <w:rFonts w:hint="eastAsia" w:ascii="宋体" w:hAnsi="宋体" w:eastAsia="宋体" w:cs="宋体"/>
                <w:b/>
                <w:bCs/>
                <w:kern w:val="2"/>
                <w:sz w:val="24"/>
                <w:szCs w:val="24"/>
                <w:highlight w:val="none"/>
                <w:lang w:val="en-US" w:eastAsia="zh-CN" w:bidi="ar-SA"/>
              </w:rPr>
              <w:t>投标无效</w:t>
            </w:r>
            <w:r>
              <w:rPr>
                <w:rFonts w:hint="eastAsia" w:ascii="宋体" w:hAnsi="宋体" w:eastAsia="宋体" w:cs="宋体"/>
                <w:kern w:val="2"/>
                <w:sz w:val="24"/>
                <w:szCs w:val="24"/>
                <w:highlight w:val="none"/>
                <w:lang w:val="en-US" w:eastAsia="zh-CN" w:bidi="ar-SA"/>
              </w:rPr>
              <w:t>。</w:t>
            </w:r>
          </w:p>
        </w:tc>
      </w:tr>
    </w:tbl>
    <w:p>
      <w:pPr>
        <w:pStyle w:val="2"/>
        <w:ind w:left="0" w:leftChars="0" w:firstLine="0" w:firstLineChars="0"/>
        <w:rPr>
          <w:highlight w:val="none"/>
        </w:rPr>
        <w:sectPr>
          <w:footerReference r:id="rId8" w:type="default"/>
          <w:pgSz w:w="11906" w:h="16838" w:orient="landscape"/>
          <w:pgMar w:top="1440" w:right="1800" w:bottom="1440" w:left="1800" w:header="851" w:footer="992" w:gutter="0"/>
          <w:pgNumType w:fmt="decimal" w:start="1"/>
          <w:cols w:space="720" w:num="1"/>
          <w:docGrid w:type="lines" w:linePitch="312" w:charSpace="0"/>
        </w:sectPr>
      </w:pPr>
    </w:p>
    <w:p>
      <w:pPr>
        <w:widowControl w:val="0"/>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（二）货物需求清单</w:t>
      </w:r>
    </w:p>
    <w:bookmarkEnd w:id="160"/>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160"/>
        <w:gridCol w:w="8231"/>
        <w:gridCol w:w="737"/>
        <w:gridCol w:w="715"/>
        <w:gridCol w:w="1012"/>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18"/>
                <w:highlight w:val="none"/>
              </w:rPr>
              <w:t>序号</w:t>
            </w:r>
          </w:p>
        </w:tc>
        <w:tc>
          <w:tcPr>
            <w:tcW w:w="409" w:type="pct"/>
            <w:noWrap w:val="0"/>
            <w:vAlign w:val="center"/>
          </w:tcPr>
          <w:p>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18"/>
                <w:highlight w:val="none"/>
              </w:rPr>
              <w:t>货物名称</w:t>
            </w:r>
          </w:p>
        </w:tc>
        <w:tc>
          <w:tcPr>
            <w:tcW w:w="2903" w:type="pct"/>
            <w:noWrap w:val="0"/>
            <w:vAlign w:val="center"/>
          </w:tcPr>
          <w:p>
            <w:pPr>
              <w:spacing w:line="360" w:lineRule="auto"/>
              <w:jc w:val="center"/>
              <w:rPr>
                <w:rFonts w:ascii="宋体" w:hAnsi="宋体" w:eastAsia="宋体" w:cs="Times New Roman"/>
                <w:b/>
                <w:bCs/>
                <w:sz w:val="24"/>
                <w:szCs w:val="18"/>
                <w:highlight w:val="none"/>
              </w:rPr>
            </w:pPr>
            <w:r>
              <w:rPr>
                <w:rFonts w:hint="eastAsia" w:ascii="宋体" w:hAnsi="宋体" w:eastAsia="宋体" w:cs="Times New Roman"/>
                <w:b/>
                <w:bCs/>
                <w:sz w:val="24"/>
                <w:szCs w:val="18"/>
                <w:highlight w:val="none"/>
              </w:rPr>
              <w:t>技术参数及</w:t>
            </w:r>
          </w:p>
          <w:p>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18"/>
                <w:highlight w:val="none"/>
              </w:rPr>
              <w:t>要求</w:t>
            </w:r>
          </w:p>
        </w:tc>
        <w:tc>
          <w:tcPr>
            <w:tcW w:w="260" w:type="pct"/>
            <w:noWrap w:val="0"/>
            <w:vAlign w:val="center"/>
          </w:tcPr>
          <w:p>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18"/>
                <w:highlight w:val="none"/>
              </w:rPr>
              <w:t>数量</w:t>
            </w:r>
          </w:p>
        </w:tc>
        <w:tc>
          <w:tcPr>
            <w:tcW w:w="252" w:type="pct"/>
            <w:noWrap w:val="0"/>
            <w:vAlign w:val="center"/>
          </w:tcPr>
          <w:p>
            <w:pPr>
              <w:spacing w:line="360" w:lineRule="auto"/>
              <w:jc w:val="center"/>
              <w:rPr>
                <w:rFonts w:hint="eastAsia" w:ascii="宋体" w:hAnsi="宋体" w:eastAsia="宋体" w:cs="Times New Roman"/>
                <w:b/>
                <w:bCs/>
                <w:sz w:val="24"/>
                <w:szCs w:val="18"/>
                <w:highlight w:val="none"/>
              </w:rPr>
            </w:pPr>
            <w:r>
              <w:rPr>
                <w:rFonts w:hint="eastAsia" w:ascii="宋体" w:hAnsi="宋体" w:eastAsia="宋体" w:cs="Times New Roman"/>
                <w:b/>
                <w:bCs/>
                <w:sz w:val="24"/>
                <w:szCs w:val="18"/>
                <w:highlight w:val="none"/>
              </w:rPr>
              <w:t>单位</w:t>
            </w:r>
          </w:p>
        </w:tc>
        <w:tc>
          <w:tcPr>
            <w:tcW w:w="357" w:type="pct"/>
            <w:noWrap w:val="0"/>
            <w:vAlign w:val="center"/>
          </w:tcPr>
          <w:p>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18"/>
                <w:highlight w:val="none"/>
              </w:rPr>
              <w:t>所属行业</w:t>
            </w:r>
          </w:p>
        </w:tc>
        <w:tc>
          <w:tcPr>
            <w:tcW w:w="541" w:type="pct"/>
            <w:noWrap w:val="0"/>
            <w:vAlign w:val="center"/>
          </w:tcPr>
          <w:p>
            <w:pPr>
              <w:spacing w:line="360" w:lineRule="auto"/>
              <w:jc w:val="center"/>
              <w:rPr>
                <w:rFonts w:hint="eastAsia" w:ascii="宋体" w:hAnsi="宋体" w:eastAsia="宋体" w:cs="Times New Roman"/>
                <w:b/>
                <w:bCs/>
                <w:sz w:val="24"/>
                <w:szCs w:val="24"/>
                <w:highlight w:val="none"/>
              </w:rPr>
            </w:pPr>
            <w:r>
              <w:rPr>
                <w:rFonts w:hint="eastAsia" w:ascii="宋体" w:hAnsi="宋体" w:eastAsia="宋体" w:cs="Times New Roman"/>
                <w:b/>
                <w:bCs/>
                <w:sz w:val="24"/>
                <w:szCs w:val="18"/>
                <w:highlight w:val="none"/>
              </w:rPr>
              <w:t>备注（进口或强制节能）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9" w:type="pct"/>
            <w:noWrap w:val="0"/>
            <w:vAlign w:val="center"/>
          </w:tcPr>
          <w:p>
            <w:pPr>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灭菌器</w:t>
            </w:r>
          </w:p>
        </w:tc>
        <w:tc>
          <w:tcPr>
            <w:tcW w:w="2903" w:type="pct"/>
            <w:noWrap w:val="0"/>
            <w:vAlign w:val="center"/>
          </w:tcPr>
          <w:p>
            <w:pPr>
              <w:widowControl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用途：专用于实验动物行业对动物饲料、饮用水、笼盒、衣物及其他饲养用品的灭菌处理。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容积：≥1300L；外形尺寸：宽≤1610mm，深≤1850mm，高≤2020mm。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主体结构：环形加强筋结构，内腔强度和稳定性更高；内壳为316L不锈钢，夹套、门板、门档条均采用304不锈钢材质，主体设计寿命≥10年（20000次灭菌循环）。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采用环形加强筋结构，全自动焊接机器人焊接（以保证焊缝质量），提供主体焊接照片。所生产柜体为自主焊接，不可委托第三方焊接加工（以保证焊缝质量）。</w:t>
            </w:r>
          </w:p>
          <w:p>
            <w:pPr>
              <w:widowControl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 密封门：电机齿轮链条驱动门板上下移动，侧开门式开启柜门。双门通道型、机动门、带有安全联锁装置、双门互锁以保证灭菌器前后区域的有效隔离。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门密封圈：高抗撕圆形硅胶条，装于主体密封槽内，与压缩气连接管路为金属固定管路，提供密封胶圈、压缩气管路照片证明。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设计压力：≥0.3Mpa，设计温度：≥144℃，夹层耐压试验压力≥0.5Mpa，提供制造商公开发布的资料或检测机构出具的检测报告加盖供应商公章。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控制系统：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8.1. 可编程逻辑控制器：运行过程中的数据通过打印机打印，预留电脑远程监控接口。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8.2. 触摸屏：彩色触摸屏人机操作界面，灭菌程序的压力、温度、时间等参数可根据需要自行设定。</w:t>
            </w:r>
          </w:p>
          <w:p>
            <w:pPr>
              <w:widowControl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 管理员、工艺员、操作员三级权限管理，保障设备正常运行。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程序选择：设备应有121℃饲料灭菌、121℃塑料物品灭菌、134℃金属物品灭菌、134℃织物灭菌、121℃开口容器液体灭菌、121℃固体废弃物灭菌、134℃垫料灭菌、134℃塑料物品灭菌、121℃快速液体程序、BD测试、真空测试、自定义程序。整个过程自动控制、有低温、高温报警和误操作保护提示，提供程序选择及运行界面照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设备保温要求：岩棉，厚度≥60mm；其表层温度不得高于45℃。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气动阀门：典型无故障开关次数≥400万次。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隔离密封墙：设备的后端应自带密封结构，以保证设备前后区域严格的隔离密封，提供设备密封结构的照片和密封性能测试报告扫描件并加盖供应商公章。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抽空装置：单级直连式水环真空泵，真空泵安装在设备的侧面，与主体保持一定的间距，此外，未避免水压不稳，应配置缓冲水箱，泵可以从缓冲水箱吸水，避免水压不稳造成的影响，提供图片。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 冷凝换热装置：板式换热器，换热效率≥95%，使用寿命长。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压缩气压力检测装置：压缩气压力检测装置，若气源低于0.4MPA，自动报警并退出程序。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 设备具有第三方机构灭菌效果检测报告，提供所投产品系列（或型号）的经CMA认证检测出具的检测报告扫描件并加盖供应商公章。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18. </w:t>
            </w:r>
            <w:r>
              <w:rPr>
                <w:rFonts w:hint="eastAsia" w:ascii="Calibri" w:hAnsi="Calibri" w:eastAsia="宋体" w:cs="Times New Roman"/>
                <w:kern w:val="2"/>
                <w:sz w:val="21"/>
                <w:szCs w:val="24"/>
                <w:highlight w:val="none"/>
                <w:lang w:val="en-US" w:eastAsia="zh-CN" w:bidi="ar-SA"/>
              </w:rPr>
              <w:t>提供拟投产品生产厂家有效的</w:t>
            </w:r>
            <w:r>
              <w:rPr>
                <w:rFonts w:hint="eastAsia" w:ascii="宋体" w:hAnsi="宋体" w:eastAsia="宋体" w:cs="宋体"/>
                <w:i w:val="0"/>
                <w:iCs w:val="0"/>
                <w:color w:val="000000"/>
                <w:kern w:val="0"/>
                <w:sz w:val="21"/>
                <w:szCs w:val="21"/>
                <w:highlight w:val="none"/>
                <w:u w:val="none"/>
                <w:lang w:val="en-US" w:eastAsia="zh-CN" w:bidi="ar"/>
              </w:rPr>
              <w:t>《中华人民共和国特种设备生产许可证》（压力容器）的复印件（或扫描件）。</w:t>
            </w:r>
          </w:p>
          <w:p>
            <w:pPr>
              <w:widowControl w:val="0"/>
              <w:jc w:val="left"/>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19. 售后要求：常驻售后服务人员不得少于1名，提供当地售后工程师名单及联系方式，售后服务人员在接到电话后，2小时响应，24小时内到位，重大紧急情况12小时内应到位</w:t>
            </w:r>
            <w:r>
              <w:rPr>
                <w:rFonts w:hint="eastAsia" w:ascii="宋体" w:hAnsi="宋体" w:eastAsia="宋体" w:cs="宋体"/>
                <w:i w:val="0"/>
                <w:iCs w:val="0"/>
                <w:color w:val="000000"/>
                <w:kern w:val="0"/>
                <w:sz w:val="21"/>
                <w:szCs w:val="21"/>
                <w:highlight w:val="none"/>
                <w:u w:val="none"/>
                <w:lang w:val="en-US" w:eastAsia="zh-CN" w:bidi="ar"/>
              </w:rPr>
              <w:t>，及时排除故障，保障动物房安全运行。</w:t>
            </w:r>
          </w:p>
          <w:p>
            <w:pPr>
              <w:widowControl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 空压机、软水机各1台，另配套供气及排水管道等正常运行时所需的必配件，保证货到即可安装运行，并保障设备运行使用情况良好。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 配置要求：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21.1. 灭菌器主机1台。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21.2. 消毒车1台。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21.3. 搬运车2台。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21.4. 空压机1台。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21.5. 软水机1台。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 其他要求：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22.1. 供应商在安装新设备前，应派专人确定好设备吊装位置和转运通道，负责拆除转运通道墙体和玻璃并恢复原状，拆除原先已有的整套灭菌器并搬离实验室放置指定地点。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22.2. 投标文件中提供针对本项目产品的售后服务书（格式自拟）加盖供应商公章。</w:t>
            </w:r>
          </w:p>
          <w:p>
            <w:pPr>
              <w:widowControl w:val="0"/>
              <w:jc w:val="left"/>
              <w:rPr>
                <w:rFonts w:hint="eastAsia" w:ascii="Calibri" w:hAnsi="Calibri" w:eastAsia="宋体" w:cs="Times New Roman"/>
                <w:kern w:val="2"/>
                <w:sz w:val="21"/>
                <w:szCs w:val="24"/>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22.3. 中标后签订合同前业主方可要求中标人提供所投品牌型号的设备进行技术指标及性能验证，并提供相关佐证材料原件。如所供货物与响应文件有出入，所有责任将由供应商自行负责。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22.4. 标注“★”的参数为核心指标，提供制造商公开发布的资料（如网站截图、产品彩页扫描件或技术白皮书等）或检测机构出具的检测报告（如参数中已有明确要求，以要求的为准）供验证，且作为验收时的标准。</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09" w:type="pct"/>
            <w:noWrap w:val="0"/>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冷冻组织研磨仪</w:t>
            </w:r>
          </w:p>
        </w:tc>
        <w:tc>
          <w:tcPr>
            <w:tcW w:w="2903" w:type="pct"/>
            <w:noWrap w:val="0"/>
            <w:vAlign w:val="center"/>
          </w:tcPr>
          <w:p>
            <w:pPr>
              <w:widowControl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1、用于生物样品的样品前处理，大批量自动化的快速抽提基因组，15秒内最大处理量同时可以处理24个样品。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2、可同时处理24个2ml研磨管，和12个5ml研磨管，6个（7-15）ml研磨管，2</w:t>
            </w:r>
            <w:r>
              <w:rPr>
                <w:rFonts w:hint="default"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25ml， 2</w:t>
            </w:r>
            <w:r>
              <w:rPr>
                <w:rFonts w:hint="default"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50ml（钢罐），可以任意定做各种规格研磨管或钢罐。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3、液晶屏显示，可以方便直观的操作，可升级成触摸屏显示操作。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★4、工作方式：垂直上下研磨珠运动方式，保证样品处理的最大化和瞬间的粉碎效果。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5、最大进料尺寸：无要求，根据适配器调节，最终出料粒度：约5µm。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6、不锈钢腔体圆角和斜坡底座一体成型设计，研磨腔内不锈钢板须为压模成型，进一步保证腔体不变形，且易于清洁，且有降音装置。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7、研磨平台数（可接纳研磨罐数） &gt;2。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8、带自动中心定位的紧固装置：是。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9、均质速度：0—70 HZ/秒，工作时间 ：0秒-9999秒，用户可自行设定。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★10、在减震技术上采用“双层减震结构”技术，确保在高速研磨工作时，仪器处于一个稳定状态，不会对于外部仪器产生干扰及保证整体环境的安全性。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★11、固定研磨管部分，采用“简便式试管压紧”技术，降低破管的风险，再配以可靠的压紧技术对于高强度的研磨工作，能保证研磨管的完整度高于99.995%。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12、研磨球材料：合金钢、铬钢、氧化锆、碳化钨、石英砂。研磨球直径： 0.1—30mm。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13、加速：在2秒内达到最大速度。减速：在2秒内达到最低速度。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采用“多种物质粉碎提取”和“快速研磨功能的细胞粉碎装置”技术，对于将任何来源（包括土壤、植物和动物的组织/器官、细菌、酵母、真菌、孢子、古生物标本等）样本进行研磨粉碎。进而可以对的原始DNA、RNA和蛋白质进行提取和纯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15、噪音等级：&lt;55db。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16、研磨方式：湿磨，干磨，低温研磨都可。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17、可随意更换适配器，有十四种适配器可供选配，可接受任意规格定制。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18、配套离心管开盖工具，可以快速的协助工作人员打开离心管，避免污染。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19、具有升级成超低温液氮冷冻或空气制冷机制冷的能力。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20、配置要求：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20.1、主机 一台。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20.2、2ml适配器1套、2ml制冷适配器1套。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20.3、5号不锈钢研磨珠一瓶、3号不锈钢研磨珠一瓶。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20.4、2ml研磨管一袋。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20.5、离心管开盖工具一个。</w:t>
            </w:r>
          </w:p>
          <w:p>
            <w:pPr>
              <w:widowControl w:val="0"/>
              <w:jc w:val="left"/>
              <w:rPr>
                <w:rFonts w:hint="eastAsia" w:ascii="Calibri" w:hAnsi="Calibri" w:eastAsia="宋体" w:cs="Times New Roman"/>
                <w:kern w:val="2"/>
                <w:sz w:val="21"/>
                <w:szCs w:val="24"/>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21、标注“★”的参数为核心指标，提供制造商公开发布的资料（如网站截图、产品彩页扫描件或技术白皮书等）或检测机构出具的检测报告（如参数中已有明确要求，以要求的为准），且作为验收时的标准。</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09" w:type="pct"/>
            <w:noWrap w:val="0"/>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数显钟摆脱色摇床</w:t>
            </w:r>
          </w:p>
        </w:tc>
        <w:tc>
          <w:tcPr>
            <w:tcW w:w="2903"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1、转速范围：0-100 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2、摇摆模式摆动角度：20°。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3、停平功能：有。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4、定时功能：0-999h59min。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5、数码显示：时间 转速数码显示。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6、最大载重：约2.5kg。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7、电机参数：步进电机。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8、控制方式：程序控制芯片。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9、托盘尺寸：约317×245mm。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10、蜂鸣提示：有。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11、功率：约20W。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12、控制器尺寸：约35mm。</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2</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数显水平脱色摇床</w:t>
            </w:r>
          </w:p>
        </w:tc>
        <w:tc>
          <w:tcPr>
            <w:tcW w:w="2903"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1、转速范围：0-200 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2、平面模式回转半径：约10mm。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3、停平功能：有。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4、定时功能：0-999h59min。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5、数码显示：时间 转速数码显示。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6、最大载重：约2.5kg。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7、电机参数：步进电机。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8、控制方式：程序控制芯片。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9、托盘尺寸：约317×245mm。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10、蜂鸣提示：有。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11、功率：约20W。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12、控制器尺寸：约35mm。</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3</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4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pH智能酸度计</w:t>
            </w:r>
          </w:p>
        </w:tc>
        <w:tc>
          <w:tcPr>
            <w:tcW w:w="2903"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1、PH测量范围：0.00-14.00。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2、PH分辨率：≤0.01。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3、PH精度： ≤0.01。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4、mV测量范围：≤±1500.0mV。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5、mV分辨率：≤±0.1mV。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6、mV精度：≤±0.4mV。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7、温度范围：-5.0～105.0℃。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8、分辨率：≤0.1℃。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9、精度：≤0.2℃。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10、轻便型，易于操作。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11、自动1键校准及电极检测。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12、16种标定液自动识别记忆。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13、自动三点校准。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14、大LCD显示pH/温度/标准点。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15、配置三合一电极。</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409" w:type="pct"/>
            <w:noWrap w:val="0"/>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掌上离心机</w:t>
            </w:r>
          </w:p>
        </w:tc>
        <w:tc>
          <w:tcPr>
            <w:tcW w:w="2903"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1、复合一体转子，0.1mL、0.2mL 8 联管，0.5mL、1.5mL，2mL EP 管可同时离心。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2、转速：5000rpm，离心力：约1700g，防打滑空转。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3、开盖急停与缓停两种停止模式可选，满足不同使用场景需求。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4、无刷电机，寿命长。</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409" w:type="pct"/>
            <w:noWrap w:val="0"/>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掌上离心机（PCR反应专用型）</w:t>
            </w:r>
          </w:p>
        </w:tc>
        <w:tc>
          <w:tcPr>
            <w:tcW w:w="2903"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1、容量：2片96孔PCR板。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2、最大相对离心力：550g。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3、电机：直流无刷。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4、转子：垂直固定。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5、转速：2200Rpm。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6、噪音：≤55dB。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7、降速时间：≤10S(2200-0Rpm)。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8、加速时间：≤10S(0-2200Rpm)。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9、功率：约45W。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10、开盖停机：支持。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11、停机按钮：自复位。</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8</w:t>
            </w:r>
          </w:p>
        </w:tc>
        <w:tc>
          <w:tcPr>
            <w:tcW w:w="409"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移液器</w:t>
            </w:r>
          </w:p>
        </w:tc>
        <w:tc>
          <w:tcPr>
            <w:tcW w:w="2903" w:type="pct"/>
            <w:noWrap w:val="0"/>
            <w:vAlign w:val="center"/>
          </w:tcPr>
          <w:p>
            <w:pPr>
              <w:widowControl/>
              <w:adjustRightInd w:val="0"/>
              <w:snapToGrid w:val="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1、量程要求：0.1-2.5ul、0.5-10ul、2-20ul、10-100ul、20-200ul等各1支，100-1000ul，3支。共计8支为1套。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2、三点校正，可根据按钮颜色选择适配标准吸嘴。</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★3、可整支高温高压灭菌和紫外线灭菌，坚固耐用，耐高温抗腐蚀，操作更安全。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4、伸缩式弹性吸嘴设计，确保吸头装配的气密性和移液均一性。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★5、具有密度调节窗口，适用于甘油、氯化铯等不同密度的液体，通用性更广泛。</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★6、四位数体积显示，可精确至小数点后两位数字，操作时显示屏正对操作者。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7、卓越人体工程学设计，重量小于80g。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bCs/>
                <w:color w:val="000000"/>
                <w:kern w:val="0"/>
                <w:sz w:val="21"/>
                <w:szCs w:val="21"/>
                <w:highlight w:val="none"/>
                <w:lang w:bidi="ar"/>
              </w:rPr>
              <w:t>★9、</w:t>
            </w:r>
            <w:r>
              <w:rPr>
                <w:rFonts w:hint="eastAsia" w:ascii="宋体" w:hAnsi="宋体" w:eastAsia="宋体" w:cs="宋体"/>
                <w:b/>
                <w:bCs/>
                <w:color w:val="000000"/>
                <w:kern w:val="0"/>
                <w:sz w:val="21"/>
                <w:szCs w:val="21"/>
                <w:highlight w:val="none"/>
                <w:lang w:val="en-US" w:eastAsia="zh-CN" w:bidi="ar"/>
              </w:rPr>
              <w:t>如为</w:t>
            </w:r>
            <w:r>
              <w:rPr>
                <w:rFonts w:hint="eastAsia" w:ascii="宋体" w:hAnsi="宋体" w:eastAsia="宋体" w:cs="宋体"/>
                <w:b/>
                <w:bCs/>
                <w:color w:val="000000"/>
                <w:kern w:val="0"/>
                <w:sz w:val="21"/>
                <w:szCs w:val="21"/>
                <w:highlight w:val="none"/>
                <w:lang w:bidi="ar"/>
              </w:rPr>
              <w:t>原装进口产品，</w:t>
            </w:r>
            <w:r>
              <w:rPr>
                <w:rFonts w:hint="eastAsia" w:ascii="宋体" w:hAnsi="宋体" w:eastAsia="宋体" w:cs="宋体"/>
                <w:b/>
                <w:bCs/>
                <w:color w:val="000000"/>
                <w:kern w:val="0"/>
                <w:sz w:val="21"/>
                <w:szCs w:val="21"/>
                <w:highlight w:val="none"/>
                <w:lang w:val="en-US" w:eastAsia="zh-CN" w:bidi="ar"/>
              </w:rPr>
              <w:t>须</w:t>
            </w:r>
            <w:r>
              <w:rPr>
                <w:rFonts w:hint="eastAsia" w:ascii="宋体" w:hAnsi="宋体" w:eastAsia="宋体" w:cs="宋体"/>
                <w:b/>
                <w:bCs/>
                <w:color w:val="000000"/>
                <w:kern w:val="0"/>
                <w:sz w:val="21"/>
                <w:szCs w:val="21"/>
                <w:highlight w:val="none"/>
                <w:lang w:bidi="ar"/>
              </w:rPr>
              <w:t>提供生产厂家（或国内代理商）针对本项目出具的授权和售后服务承诺扫描件。</w:t>
            </w:r>
          </w:p>
        </w:tc>
        <w:tc>
          <w:tcPr>
            <w:tcW w:w="260"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w:t>
            </w:r>
          </w:p>
        </w:tc>
        <w:tc>
          <w:tcPr>
            <w:tcW w:w="252"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套</w:t>
            </w:r>
          </w:p>
        </w:tc>
        <w:tc>
          <w:tcPr>
            <w:tcW w:w="3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9</w:t>
            </w:r>
          </w:p>
        </w:tc>
        <w:tc>
          <w:tcPr>
            <w:tcW w:w="409"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水平电泳槽</w:t>
            </w:r>
          </w:p>
        </w:tc>
        <w:tc>
          <w:tcPr>
            <w:tcW w:w="2903" w:type="pct"/>
            <w:noWrap w:val="0"/>
            <w:vAlign w:val="center"/>
          </w:tcPr>
          <w:p>
            <w:pPr>
              <w:widowControl/>
              <w:numPr>
                <w:ilvl w:val="0"/>
                <w:numId w:val="0"/>
              </w:numPr>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QuickSnap* 电极拆卸方便，简化清洁工作。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2、底座侧面的箭头指示运行方向，可确保正确的凝胶方向。</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3、彩色编码且带标记的电极和带标记的底座确保盖子可以正确安装在底座上</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基部拉环设计，可轻松移除盖子，从而减少缓冲液溢出量，还可防止盖位置不正确。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4、反向兼容设计确保这些电泳槽兼容较早型号的配件。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5、透明塑料结构，确保实时便捷地查看实验进程。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6、具有荧光标尺的紫外透明凝胶托盘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7、铺制门可方便的在凝胶槽内直接铺制，或者用于无胶条式灌制的可选制胶盘。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8、可满足一切需求的电泳梳（高度固定的嵌入式梳、可调节高度的电泳梳和制备电泳梳）。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9、电泳槽尺寸（宽 x 长 x 高）：9.2 x 25.5 x 5.6 厘米。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10、凝胶托盘尺寸 (OD)（宽 x 长）：7 x 7 厘米     7 x 10 厘米。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11、是否兼容 ReadyAgarose™ 凝胶：是，8 孔、12 孔、2 x 8 孔。</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12、样本通量：8–30。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13、基本缓冲液需要量：270 ml。</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14、缓冲液再循环：否。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15、溴酚蓝迁移：4.5 cm/hr（75 V 下）。</w:t>
            </w:r>
          </w:p>
          <w:p>
            <w:pPr>
              <w:widowControl/>
              <w:numPr>
                <w:ilvl w:val="0"/>
                <w:numId w:val="0"/>
              </w:numPr>
              <w:ind w:left="0" w:leftChars="0" w:firstLine="0" w:firstLineChar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bidi="ar"/>
              </w:rPr>
              <w:t>★16、</w:t>
            </w:r>
            <w:r>
              <w:rPr>
                <w:rFonts w:hint="eastAsia" w:ascii="宋体" w:hAnsi="宋体" w:eastAsia="宋体" w:cs="宋体"/>
                <w:b/>
                <w:bCs/>
                <w:color w:val="000000"/>
                <w:kern w:val="0"/>
                <w:sz w:val="21"/>
                <w:szCs w:val="21"/>
                <w:highlight w:val="none"/>
                <w:lang w:val="en-US" w:eastAsia="zh-CN" w:bidi="ar"/>
              </w:rPr>
              <w:t>如为</w:t>
            </w:r>
            <w:r>
              <w:rPr>
                <w:rFonts w:hint="eastAsia" w:ascii="宋体" w:hAnsi="宋体" w:eastAsia="宋体" w:cs="宋体"/>
                <w:b/>
                <w:bCs/>
                <w:color w:val="000000"/>
                <w:kern w:val="0"/>
                <w:sz w:val="21"/>
                <w:szCs w:val="21"/>
                <w:highlight w:val="none"/>
                <w:lang w:bidi="ar"/>
              </w:rPr>
              <w:t>原装进口产品，须提供生产厂家（或国内代理商）针对本项目出具的授权和售后服务承诺扫描件。</w:t>
            </w:r>
          </w:p>
        </w:tc>
        <w:tc>
          <w:tcPr>
            <w:tcW w:w="260"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w:t>
            </w:r>
          </w:p>
        </w:tc>
        <w:tc>
          <w:tcPr>
            <w:tcW w:w="252"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套</w:t>
            </w:r>
          </w:p>
        </w:tc>
        <w:tc>
          <w:tcPr>
            <w:tcW w:w="3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10</w:t>
            </w:r>
          </w:p>
        </w:tc>
        <w:tc>
          <w:tcPr>
            <w:tcW w:w="409"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摇床</w:t>
            </w:r>
          </w:p>
        </w:tc>
        <w:tc>
          <w:tcPr>
            <w:tcW w:w="2903" w:type="pct"/>
            <w:noWrap w:val="0"/>
            <w:vAlign w:val="center"/>
          </w:tcPr>
          <w:p>
            <w:pPr>
              <w:widowControl/>
              <w:adjustRightInd w:val="0"/>
              <w:snapToGrid w:val="0"/>
              <w:jc w:val="left"/>
              <w:textAlignment w:val="center"/>
              <w:rPr>
                <w:rFonts w:hint="eastAsia" w:ascii="宋体" w:hAnsi="宋体" w:eastAsia="宋体" w:cs="宋体"/>
                <w:sz w:val="21"/>
                <w:szCs w:val="21"/>
                <w:highlight w:val="none"/>
                <w:lang w:bidi="ar"/>
              </w:rPr>
            </w:pPr>
            <w:r>
              <w:rPr>
                <w:rFonts w:hint="eastAsia" w:ascii="宋体" w:hAnsi="宋体" w:eastAsia="宋体" w:cs="宋体"/>
                <w:color w:val="000000"/>
                <w:sz w:val="21"/>
                <w:szCs w:val="21"/>
                <w:highlight w:val="none"/>
                <w:lang w:bidi="ar"/>
              </w:rPr>
              <w:t>性能概述：</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1、侧开门设计，方便置于试验台上操作。</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 xml:space="preserve">2、三维一体的偏三轮驱动，运转平滑、稳定、耐久、可靠 。                  </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3、静音风扇设计和强制对流方式，确保了良好的恒温效果。</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4、具有超温报警功能及异常情况自动断电功能。</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5、具有断电恢复功能，避免因停电、死机而造成的数据丢失问题。</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6、中空钢化玻璃门，方便随时在不开门情况下在各个角度观察箱体内部情况。</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7、流线型外观，美观大方；内衬采用圆弧角（R角）镜面不锈钢设计，便于清洁，不容易滋生细菌、防腐蚀；外壳采用静电喷塑。</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8、配备滤波器磁环，减少外界和自身对机器稳定性的干扰。</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独特性能：</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1、LCD触摸屏，设定温度、转速、时间和实测温度、转速、剩余时间在同一界面显示，不用相互切换界面，观察更直观；操作界面加密锁定功能，杜绝重复操作和人为误操作；可自由设定摇板正转或反转。</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2、拥有数据记录功能，每分钟记录一次数据，可记录近三个月的数据，并且可显示温度、速度曲线，方便数据的分析。</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3、配备高质伺服电机，控制速度精确，高速性能好，稳定性强。</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4、夹具为一次成型塑胶夹具，方便单手取放样品瓶。</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技术指标：</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1、空载振荡频率：10-300rpm。</w:t>
            </w:r>
          </w:p>
          <w:p>
            <w:pPr>
              <w:widowControl/>
              <w:adjustRightInd w:val="0"/>
              <w:snapToGrid w:val="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bidi="ar"/>
              </w:rPr>
              <w:t>2、振荡频率精度：±1rpm。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3、摇板振幅：Ф26mm。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4、温控范围：室温+5～60℃。</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5、温度调节精度：±0.1℃。</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6、温度均匀度：±1℃ (at37℃)。</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7、箱体内部：R角（圆弧角）。</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8、显示方式：LCD（触摸屏）。</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9、对流方式：强制对流。</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10、控制方式：P．I．D微电脑智能控制。</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11、最大容量（不锈钢夹具）：250ml×12 或500ml×9或1000ml×4。</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12、最大容量（塑胶夹具）：250ml×12 或500ml×9或1000ml×4。</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13、定时范围：0-999.9小时。</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14、摇板尺寸（长×宽）：344mm×307mm。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15、外型尺寸（长×宽×高）：650mm×480mm×620mm。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16、空载重量（约）：64kg。</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17、噪　　音：低于55dB。</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18、夹具板到顶部距离：342mm。</w:t>
            </w:r>
          </w:p>
        </w:tc>
        <w:tc>
          <w:tcPr>
            <w:tcW w:w="260"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w:t>
            </w:r>
          </w:p>
        </w:tc>
        <w:tc>
          <w:tcPr>
            <w:tcW w:w="252"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台</w:t>
            </w:r>
          </w:p>
        </w:tc>
        <w:tc>
          <w:tcPr>
            <w:tcW w:w="3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11</w:t>
            </w:r>
          </w:p>
        </w:tc>
        <w:tc>
          <w:tcPr>
            <w:tcW w:w="409"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电动移液器</w:t>
            </w:r>
          </w:p>
        </w:tc>
        <w:tc>
          <w:tcPr>
            <w:tcW w:w="2903" w:type="pct"/>
            <w:noWrap w:val="0"/>
            <w:vAlign w:val="center"/>
          </w:tcPr>
          <w:p>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自动识别 Combitip advanced 分液管，显示屏直接显示相应分液体积和步数，无需换算。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2.显示屏显示分液步数，具有计步器功能，即使受干扰，分液操作也不会出错。</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3.可单手脱卸及安装分液管（当使用 Combitip rack 盒时），手不接触分液管，防止污染。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4.分液范围广（1 μL-10 mL），一次吸液最高100次分液。</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5.可单手转动选项盘选择分液体积，每个分液管可设定20种不同体积。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6.运动传感器：未使用时自动关闭，使用时自动开启，节约电能。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7.手指挂钩舒适地支撑手部，确保长时间舒适的分液操作。</w:t>
            </w:r>
          </w:p>
          <w:p>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★8、</w:t>
            </w:r>
            <w:r>
              <w:rPr>
                <w:rFonts w:hint="eastAsia" w:ascii="宋体" w:hAnsi="宋体" w:eastAsia="宋体" w:cs="宋体"/>
                <w:b/>
                <w:bCs/>
                <w:color w:val="000000"/>
                <w:kern w:val="0"/>
                <w:sz w:val="21"/>
                <w:szCs w:val="21"/>
                <w:highlight w:val="none"/>
                <w:lang w:val="en-US" w:eastAsia="zh-CN" w:bidi="ar"/>
              </w:rPr>
              <w:t>如为</w:t>
            </w:r>
            <w:r>
              <w:rPr>
                <w:rFonts w:hint="eastAsia" w:ascii="宋体" w:hAnsi="宋体" w:eastAsia="宋体" w:cs="宋体"/>
                <w:b/>
                <w:bCs/>
                <w:color w:val="000000"/>
                <w:kern w:val="0"/>
                <w:sz w:val="21"/>
                <w:szCs w:val="21"/>
                <w:highlight w:val="none"/>
                <w:lang w:bidi="ar"/>
              </w:rPr>
              <w:t>原装进口产品，须提供生产厂家（或国内代理商）针对本项目出具的授权和售后服务承诺扫描件。</w:t>
            </w:r>
          </w:p>
        </w:tc>
        <w:tc>
          <w:tcPr>
            <w:tcW w:w="260"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w:t>
            </w:r>
          </w:p>
        </w:tc>
        <w:tc>
          <w:tcPr>
            <w:tcW w:w="252"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台</w:t>
            </w:r>
          </w:p>
        </w:tc>
        <w:tc>
          <w:tcPr>
            <w:tcW w:w="3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
              </w:rPr>
              <w:t>进口</w:t>
            </w:r>
          </w:p>
        </w:tc>
      </w:tr>
    </w:tbl>
    <w:p>
      <w:pPr>
        <w:pStyle w:val="4"/>
        <w:bidi w:val="0"/>
        <w:rPr>
          <w:rFonts w:ascii="宋体" w:hAnsi="宋体" w:eastAsia="宋体"/>
          <w:sz w:val="24"/>
          <w:highlight w:val="none"/>
        </w:rPr>
        <w:sectPr>
          <w:footerReference r:id="rId9" w:type="default"/>
          <w:pgSz w:w="16838" w:h="11906" w:orient="landscape"/>
          <w:pgMar w:top="1800" w:right="1440" w:bottom="1706" w:left="1440" w:header="851" w:footer="992" w:gutter="0"/>
          <w:pgNumType w:fmt="decimal"/>
          <w:cols w:space="720" w:num="1"/>
          <w:docGrid w:type="lines" w:linePitch="312" w:charSpace="0"/>
        </w:sectPr>
      </w:pPr>
    </w:p>
    <w:p>
      <w:pPr>
        <w:pStyle w:val="4"/>
        <w:bidi w:val="0"/>
        <w:rPr>
          <w:rFonts w:hint="eastAsia" w:ascii="方正小标宋_GBK" w:hAnsi="方正小标宋_GBK" w:eastAsia="方正小标宋_GBK" w:cs="方正小标宋_GBK"/>
          <w:kern w:val="44"/>
          <w:sz w:val="44"/>
          <w:szCs w:val="44"/>
          <w:highlight w:val="none"/>
          <w:lang w:eastAsia="zh-CN"/>
        </w:rPr>
      </w:pPr>
      <w:bookmarkStart w:id="177" w:name="_Toc1863667637"/>
      <w:bookmarkStart w:id="178" w:name="_Toc1520299537"/>
      <w:bookmarkStart w:id="179" w:name="_Toc13306"/>
      <w:bookmarkStart w:id="180" w:name="_Toc396520705"/>
      <w:bookmarkStart w:id="181" w:name="_Toc822183780"/>
      <w:bookmarkStart w:id="182" w:name="_Toc891200515_WPSOffice_Level1"/>
      <w:bookmarkStart w:id="183" w:name="_Toc22164"/>
      <w:bookmarkStart w:id="184" w:name="_Toc1094011881"/>
      <w:bookmarkStart w:id="185" w:name="_Toc927467893"/>
      <w:bookmarkStart w:id="186" w:name="_Toc1674471374"/>
      <w:bookmarkStart w:id="187" w:name="_Toc3581"/>
      <w:r>
        <w:rPr>
          <w:rFonts w:hint="eastAsia" w:ascii="方正小标宋_GBK" w:hAnsi="方正小标宋_GBK" w:eastAsia="方正小标宋_GBK" w:cs="方正小标宋_GBK"/>
          <w:kern w:val="44"/>
          <w:sz w:val="44"/>
          <w:szCs w:val="44"/>
          <w:highlight w:val="none"/>
        </w:rPr>
        <w:t>第四章  评标方法和标准</w:t>
      </w:r>
      <w:bookmarkEnd w:id="177"/>
      <w:bookmarkEnd w:id="178"/>
      <w:bookmarkEnd w:id="179"/>
      <w:bookmarkEnd w:id="180"/>
      <w:bookmarkEnd w:id="181"/>
      <w:bookmarkEnd w:id="182"/>
      <w:bookmarkEnd w:id="183"/>
      <w:bookmarkEnd w:id="184"/>
      <w:bookmarkEnd w:id="185"/>
      <w:bookmarkEnd w:id="186"/>
      <w:bookmarkStart w:id="188" w:name="_Toc2125617182_WPSOffice_Level1"/>
    </w:p>
    <w:p>
      <w:pPr>
        <w:rPr>
          <w:rFonts w:hint="eastAsia"/>
          <w:highlight w:val="none"/>
          <w:lang w:eastAsia="zh-CN"/>
        </w:rPr>
      </w:pPr>
    </w:p>
    <w:bookmarkEnd w:id="187"/>
    <w:bookmarkEnd w:id="188"/>
    <w:p>
      <w:pPr>
        <w:keepNext/>
        <w:keepLines/>
        <w:widowControl w:val="0"/>
        <w:bidi w:val="0"/>
        <w:spacing w:line="360" w:lineRule="auto"/>
        <w:jc w:val="center"/>
        <w:outlineLvl w:val="0"/>
        <w:rPr>
          <w:rFonts w:hint="eastAsia" w:ascii="方正小标宋_GBK" w:hAnsi="方正小标宋_GBK" w:eastAsia="方正小标宋_GBK" w:cs="方正小标宋_GBK"/>
          <w:bCs/>
          <w:kern w:val="44"/>
          <w:sz w:val="36"/>
          <w:szCs w:val="36"/>
          <w:highlight w:val="none"/>
          <w:lang w:val="en-US" w:eastAsia="zh-CN" w:bidi="ar-SA"/>
        </w:rPr>
      </w:pPr>
      <w:bookmarkStart w:id="189" w:name="_Toc591050611_WPSOffice_Level1"/>
      <w:r>
        <w:rPr>
          <w:rFonts w:hint="eastAsia" w:ascii="方正小标宋_GBK" w:hAnsi="方正小标宋_GBK" w:eastAsia="方正小标宋_GBK" w:cs="方正小标宋_GBK"/>
          <w:bCs/>
          <w:kern w:val="44"/>
          <w:sz w:val="36"/>
          <w:szCs w:val="36"/>
          <w:highlight w:val="none"/>
          <w:lang w:val="en-US" w:eastAsia="zh-CN" w:bidi="ar-SA"/>
        </w:rPr>
        <w:t>（最低评标价法）</w:t>
      </w:r>
      <w:bookmarkEnd w:id="189"/>
    </w:p>
    <w:p>
      <w:pPr>
        <w:keepNext/>
        <w:keepLines/>
        <w:widowControl w:val="0"/>
        <w:bidi w:val="0"/>
        <w:spacing w:before="240" w:line="360" w:lineRule="auto"/>
        <w:ind w:firstLine="560" w:firstLineChars="200"/>
        <w:jc w:val="left"/>
        <w:outlineLvl w:val="1"/>
        <w:rPr>
          <w:rFonts w:ascii="Arial" w:hAnsi="Arial" w:eastAsia="方正黑体_GBK" w:cs="Arial"/>
          <w:bCs/>
          <w:kern w:val="2"/>
          <w:sz w:val="28"/>
          <w:szCs w:val="32"/>
          <w:highlight w:val="none"/>
          <w:lang w:val="en-US" w:eastAsia="zh-CN" w:bidi="ar-SA"/>
        </w:rPr>
      </w:pPr>
      <w:bookmarkStart w:id="190" w:name="_Toc949579729"/>
      <w:bookmarkStart w:id="191" w:name="_Toc412310899"/>
      <w:bookmarkStart w:id="192" w:name="_Toc396297693"/>
      <w:bookmarkStart w:id="193" w:name="_Toc227089277"/>
      <w:bookmarkStart w:id="194" w:name="_Toc2121967227"/>
      <w:bookmarkStart w:id="195" w:name="_Toc981037425"/>
      <w:bookmarkStart w:id="196" w:name="_Toc423975703"/>
      <w:bookmarkStart w:id="197" w:name="_Toc62784516_WPSOffice_Level1"/>
      <w:r>
        <w:rPr>
          <w:rFonts w:ascii="Arial" w:hAnsi="Arial" w:eastAsia="方正黑体_GBK" w:cs="Arial"/>
          <w:bCs/>
          <w:kern w:val="2"/>
          <w:sz w:val="28"/>
          <w:szCs w:val="32"/>
          <w:highlight w:val="none"/>
          <w:lang w:val="en-US" w:eastAsia="zh-CN" w:bidi="ar-SA"/>
        </w:rPr>
        <w:t>一、总则</w:t>
      </w:r>
      <w:bookmarkEnd w:id="190"/>
      <w:bookmarkEnd w:id="191"/>
      <w:bookmarkEnd w:id="192"/>
      <w:bookmarkEnd w:id="193"/>
      <w:bookmarkEnd w:id="194"/>
      <w:bookmarkEnd w:id="195"/>
      <w:bookmarkEnd w:id="196"/>
      <w:bookmarkEnd w:id="197"/>
    </w:p>
    <w:p>
      <w:pPr>
        <w:spacing w:line="360" w:lineRule="auto"/>
        <w:ind w:firstLine="435"/>
        <w:rPr>
          <w:rFonts w:ascii="Arial" w:hAnsi="Arial" w:eastAsia="宋体" w:cs="Arial"/>
          <w:sz w:val="24"/>
          <w:highlight w:val="none"/>
        </w:rPr>
      </w:pPr>
      <w:r>
        <w:rPr>
          <w:rFonts w:ascii="Arial" w:hAnsi="Arial" w:eastAsia="宋体" w:cs="Arial"/>
          <w:sz w:val="24"/>
          <w:highlight w:val="none"/>
        </w:rPr>
        <w:t>本项目将按照招标文件第二章 投标人须知的相关要求及本章的规定评标。</w:t>
      </w:r>
    </w:p>
    <w:p>
      <w:pPr>
        <w:keepNext/>
        <w:keepLines/>
        <w:widowControl w:val="0"/>
        <w:bidi w:val="0"/>
        <w:spacing w:before="240" w:line="360" w:lineRule="auto"/>
        <w:ind w:firstLine="560" w:firstLineChars="200"/>
        <w:jc w:val="left"/>
        <w:outlineLvl w:val="1"/>
        <w:rPr>
          <w:rFonts w:ascii="Arial" w:hAnsi="Arial" w:eastAsia="方正黑体_GBK" w:cs="Arial"/>
          <w:bCs/>
          <w:kern w:val="2"/>
          <w:sz w:val="28"/>
          <w:szCs w:val="32"/>
          <w:highlight w:val="none"/>
          <w:lang w:val="en-US" w:eastAsia="zh-CN" w:bidi="ar-SA"/>
        </w:rPr>
      </w:pPr>
      <w:bookmarkStart w:id="198" w:name="_Toc2143275472"/>
      <w:bookmarkStart w:id="199" w:name="_Toc562381689"/>
      <w:bookmarkStart w:id="200" w:name="_Toc2112366032_WPSOffice_Level1"/>
      <w:bookmarkStart w:id="201" w:name="_Toc906988879"/>
      <w:bookmarkStart w:id="202" w:name="_Toc844668779"/>
      <w:bookmarkStart w:id="203" w:name="_Toc1170598153"/>
      <w:bookmarkStart w:id="204" w:name="_Toc1850295446"/>
      <w:bookmarkStart w:id="205" w:name="_Toc1639359607"/>
      <w:r>
        <w:rPr>
          <w:rFonts w:ascii="Arial" w:hAnsi="Arial" w:eastAsia="方正黑体_GBK" w:cs="Arial"/>
          <w:bCs/>
          <w:kern w:val="2"/>
          <w:sz w:val="28"/>
          <w:szCs w:val="32"/>
          <w:highlight w:val="none"/>
          <w:lang w:val="en-US" w:eastAsia="zh-CN" w:bidi="ar-SA"/>
        </w:rPr>
        <w:t>二、评标方法</w:t>
      </w:r>
      <w:bookmarkEnd w:id="198"/>
      <w:bookmarkEnd w:id="199"/>
      <w:bookmarkEnd w:id="200"/>
      <w:bookmarkEnd w:id="201"/>
      <w:bookmarkEnd w:id="202"/>
      <w:bookmarkEnd w:id="203"/>
      <w:bookmarkEnd w:id="204"/>
      <w:bookmarkEnd w:id="205"/>
    </w:p>
    <w:p>
      <w:pPr>
        <w:spacing w:line="360" w:lineRule="auto"/>
        <w:ind w:firstLine="435"/>
        <w:rPr>
          <w:rFonts w:hint="eastAsia" w:ascii="宋体" w:hAnsi="宋体" w:eastAsia="宋体" w:cs="宋体"/>
          <w:sz w:val="24"/>
          <w:highlight w:val="none"/>
        </w:rPr>
      </w:pPr>
      <w:bookmarkStart w:id="206" w:name="_Toc846824740_WPSOffice_Level2"/>
      <w:r>
        <w:rPr>
          <w:rFonts w:hint="eastAsia" w:ascii="宋体" w:hAnsi="宋体" w:eastAsia="宋体" w:cs="宋体"/>
          <w:sz w:val="24"/>
          <w:highlight w:val="none"/>
        </w:rPr>
        <w:t>2.1资格审查</w:t>
      </w:r>
      <w:bookmarkEnd w:id="206"/>
    </w:p>
    <w:p>
      <w:pPr>
        <w:spacing w:line="360" w:lineRule="auto"/>
        <w:ind w:firstLine="435"/>
        <w:rPr>
          <w:rFonts w:ascii="Arial" w:hAnsi="Arial" w:eastAsia="宋体" w:cs="Arial"/>
          <w:sz w:val="24"/>
          <w:highlight w:val="none"/>
        </w:rPr>
      </w:pPr>
      <w:r>
        <w:rPr>
          <w:rFonts w:ascii="Arial" w:hAnsi="Arial" w:eastAsia="宋体" w:cs="Arial"/>
          <w:sz w:val="24"/>
          <w:highlight w:val="none"/>
        </w:rPr>
        <w:t>依据政府采购相关法律法规规定</w:t>
      </w:r>
      <w:r>
        <w:rPr>
          <w:rFonts w:hint="eastAsia" w:ascii="Arial" w:hAnsi="Arial" w:eastAsia="宋体" w:cs="Arial"/>
          <w:sz w:val="24"/>
          <w:highlight w:val="none"/>
          <w:lang w:eastAsia="zh-CN"/>
        </w:rPr>
        <w:t>，</w:t>
      </w:r>
      <w:r>
        <w:rPr>
          <w:rFonts w:ascii="Arial" w:hAnsi="Arial" w:eastAsia="宋体" w:cs="Arial"/>
          <w:sz w:val="24"/>
          <w:highlight w:val="none"/>
        </w:rPr>
        <w:t>由采购人或采购代理机构对投标人进行资格审查。资格审查表如下：</w:t>
      </w: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11"/>
        <w:gridCol w:w="2126"/>
        <w:gridCol w:w="458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9288"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11"/>
              <w:jc w:val="center"/>
              <w:textAlignment w:val="auto"/>
              <w:rPr>
                <w:rFonts w:ascii="宋体" w:hAnsi="宋体" w:eastAsia="宋体"/>
                <w:sz w:val="24"/>
                <w:highlight w:val="none"/>
              </w:rPr>
            </w:pPr>
            <w:bookmarkStart w:id="207" w:name="_Hlk60581573"/>
            <w:r>
              <w:rPr>
                <w:rFonts w:hint="eastAsia" w:ascii="宋体" w:hAnsi="宋体" w:eastAsia="宋体"/>
                <w:b/>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blHeader/>
          <w:jc w:val="center"/>
        </w:trPr>
        <w:tc>
          <w:tcPr>
            <w:tcW w:w="76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jc w:val="center"/>
              <w:textAlignment w:val="auto"/>
              <w:rPr>
                <w:rFonts w:ascii="宋体" w:hAnsi="宋体" w:eastAsia="宋体"/>
                <w:b/>
                <w:bCs/>
                <w:sz w:val="24"/>
                <w:highlight w:val="none"/>
              </w:rPr>
            </w:pPr>
            <w:r>
              <w:rPr>
                <w:rFonts w:hint="eastAsia" w:ascii="宋体" w:hAnsi="宋体" w:eastAsia="宋体"/>
                <w:b/>
                <w:bCs/>
                <w:sz w:val="24"/>
                <w:highlight w:val="none"/>
              </w:rPr>
              <w:t>序号</w:t>
            </w:r>
          </w:p>
        </w:tc>
        <w:tc>
          <w:tcPr>
            <w:tcW w:w="1811" w:type="dxa"/>
            <w:tcBorders>
              <w:bottom w:val="single" w:color="auto" w:sz="4" w:space="0"/>
            </w:tcBorders>
            <w:noWrap w:val="0"/>
            <w:vAlign w:val="center"/>
          </w:tcPr>
          <w:p>
            <w:pPr>
              <w:pStyle w:val="35"/>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val="0"/>
              <w:spacing w:before="157" w:beforeLines="50" w:line="360" w:lineRule="auto"/>
              <w:ind w:right="0"/>
              <w:jc w:val="center"/>
              <w:textAlignment w:val="auto"/>
              <w:rPr>
                <w:rFonts w:ascii="宋体" w:hAnsi="宋体" w:eastAsia="宋体"/>
                <w:b/>
                <w:bCs/>
                <w:kern w:val="2"/>
                <w:szCs w:val="24"/>
                <w:highlight w:val="none"/>
              </w:rPr>
            </w:pPr>
            <w:r>
              <w:rPr>
                <w:rFonts w:hint="eastAsia" w:ascii="宋体" w:hAnsi="宋体" w:eastAsia="宋体"/>
                <w:b/>
                <w:bCs/>
                <w:kern w:val="2"/>
                <w:szCs w:val="24"/>
                <w:highlight w:val="none"/>
              </w:rPr>
              <w:t>评审指标</w:t>
            </w:r>
          </w:p>
        </w:tc>
        <w:tc>
          <w:tcPr>
            <w:tcW w:w="212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jc w:val="center"/>
              <w:textAlignment w:val="auto"/>
              <w:rPr>
                <w:rFonts w:ascii="宋体" w:hAnsi="宋体" w:eastAsia="宋体"/>
                <w:b/>
                <w:bCs/>
                <w:sz w:val="24"/>
                <w:highlight w:val="none"/>
              </w:rPr>
            </w:pPr>
            <w:r>
              <w:rPr>
                <w:rFonts w:hint="eastAsia" w:ascii="宋体" w:hAnsi="宋体" w:eastAsia="宋体"/>
                <w:b/>
                <w:bCs/>
                <w:sz w:val="24"/>
                <w:highlight w:val="none"/>
              </w:rPr>
              <w:t>评审标准</w:t>
            </w:r>
          </w:p>
        </w:tc>
        <w:tc>
          <w:tcPr>
            <w:tcW w:w="45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jc w:val="center"/>
              <w:textAlignment w:val="auto"/>
              <w:rPr>
                <w:rFonts w:ascii="宋体" w:hAnsi="宋体" w:eastAsia="宋体"/>
                <w:b/>
                <w:bCs/>
                <w:sz w:val="24"/>
                <w:highlight w:val="none"/>
              </w:rPr>
            </w:pPr>
            <w:r>
              <w:rPr>
                <w:rFonts w:hint="eastAsia" w:ascii="宋体" w:hAnsi="宋体" w:eastAsia="宋体"/>
                <w:b/>
                <w:bCs/>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888" w:hRule="atLeast"/>
          <w:jc w:val="center"/>
        </w:trPr>
        <w:tc>
          <w:tcPr>
            <w:tcW w:w="760" w:type="dxa"/>
            <w:noWrap w:val="0"/>
            <w:vAlign w:val="center"/>
          </w:tcPr>
          <w:p>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1</w:t>
            </w:r>
          </w:p>
        </w:tc>
        <w:tc>
          <w:tcPr>
            <w:tcW w:w="1811" w:type="dxa"/>
            <w:noWrap w:val="0"/>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 xml:space="preserve">营业执照 </w:t>
            </w:r>
          </w:p>
        </w:tc>
        <w:tc>
          <w:tcPr>
            <w:tcW w:w="2126" w:type="dxa"/>
            <w:tcBorders>
              <w:bottom w:val="single" w:color="auto" w:sz="4" w:space="0"/>
            </w:tcBorders>
            <w:noWrap w:val="0"/>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 xml:space="preserve">合法有效 </w:t>
            </w:r>
          </w:p>
        </w:tc>
        <w:tc>
          <w:tcPr>
            <w:tcW w:w="4580" w:type="dxa"/>
            <w:noWrap w:val="0"/>
            <w:vAlign w:val="center"/>
          </w:tcPr>
          <w:p>
            <w:pPr>
              <w:spacing w:line="360" w:lineRule="auto"/>
              <w:jc w:val="left"/>
              <w:rPr>
                <w:rFonts w:ascii="宋体" w:hAnsi="宋体" w:eastAsia="宋体"/>
                <w:sz w:val="24"/>
                <w:highlight w:val="none"/>
              </w:rPr>
            </w:pPr>
            <w:r>
              <w:rPr>
                <w:rFonts w:hint="eastAsia" w:ascii="宋体" w:hAnsi="宋体" w:eastAsia="宋体"/>
                <w:sz w:val="24"/>
                <w:highlight w:val="none"/>
              </w:rPr>
              <w:t>提供合法有效的投标人营业执照（或事业单位法人登记证书），应完整的体现出营业执照（或事业单位法人登记证书）的全部内容。联合体投标的联合体各方均须提供。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60" w:type="dxa"/>
            <w:tcBorders>
              <w:bottom w:val="single" w:color="auto" w:sz="4" w:space="0"/>
            </w:tcBorders>
            <w:noWrap w:val="0"/>
            <w:vAlign w:val="center"/>
          </w:tcPr>
          <w:p>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2</w:t>
            </w:r>
          </w:p>
        </w:tc>
        <w:tc>
          <w:tcPr>
            <w:tcW w:w="1811" w:type="dxa"/>
            <w:tcBorders>
              <w:bottom w:val="single" w:color="auto" w:sz="4" w:space="0"/>
            </w:tcBorders>
            <w:noWrap w:val="0"/>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不良信用记录查询</w:t>
            </w:r>
          </w:p>
        </w:tc>
        <w:tc>
          <w:tcPr>
            <w:tcW w:w="2126" w:type="dxa"/>
            <w:tcBorders>
              <w:bottom w:val="single" w:color="auto" w:sz="4" w:space="0"/>
            </w:tcBorders>
            <w:noWrap w:val="0"/>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投标人不得存在投标人</w:t>
            </w:r>
            <w:r>
              <w:rPr>
                <w:rFonts w:hint="eastAsia" w:ascii="宋体" w:hAnsi="宋体" w:eastAsia="宋体"/>
                <w:sz w:val="24"/>
                <w:highlight w:val="none"/>
              </w:rPr>
              <w:t>须知正文第1</w:t>
            </w:r>
            <w:r>
              <w:rPr>
                <w:rFonts w:ascii="宋体" w:hAnsi="宋体" w:eastAsia="宋体"/>
                <w:sz w:val="24"/>
                <w:highlight w:val="none"/>
              </w:rPr>
              <w:t>9.2.1</w:t>
            </w:r>
            <w:r>
              <w:rPr>
                <w:rFonts w:hint="eastAsia" w:ascii="宋体" w:hAnsi="宋体" w:eastAsia="宋体"/>
                <w:sz w:val="24"/>
                <w:highlight w:val="none"/>
              </w:rPr>
              <w:t>条</w:t>
            </w:r>
            <w:r>
              <w:rPr>
                <w:rFonts w:hint="eastAsia" w:ascii="宋体" w:hAnsi="宋体" w:eastAsia="宋体"/>
                <w:sz w:val="24"/>
                <w:szCs w:val="28"/>
                <w:highlight w:val="none"/>
              </w:rPr>
              <w:t>中的</w:t>
            </w:r>
            <w:r>
              <w:rPr>
                <w:rFonts w:hint="eastAsia" w:ascii="宋体" w:hAnsi="宋体" w:eastAsia="宋体"/>
                <w:sz w:val="24"/>
                <w:szCs w:val="18"/>
                <w:highlight w:val="none"/>
              </w:rPr>
              <w:t>不良信用记录情形</w:t>
            </w:r>
          </w:p>
        </w:tc>
        <w:tc>
          <w:tcPr>
            <w:tcW w:w="4580" w:type="dxa"/>
            <w:tcBorders>
              <w:bottom w:val="single" w:color="auto" w:sz="4" w:space="0"/>
            </w:tcBorders>
            <w:noWrap w:val="0"/>
            <w:vAlign w:val="center"/>
          </w:tcPr>
          <w:p>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详见投标人须知正文第1</w:t>
            </w:r>
            <w:r>
              <w:rPr>
                <w:rFonts w:ascii="宋体" w:hAnsi="宋体" w:eastAsia="宋体"/>
                <w:sz w:val="24"/>
                <w:highlight w:val="none"/>
              </w:rPr>
              <w:t>9.2</w:t>
            </w:r>
            <w:r>
              <w:rPr>
                <w:rFonts w:hint="eastAsia" w:ascii="宋体" w:hAnsi="宋体" w:eastAsia="宋体"/>
                <w:sz w:val="24"/>
                <w:highlight w:val="none"/>
              </w:rPr>
              <w:t>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60" w:type="dxa"/>
            <w:tcBorders>
              <w:bottom w:val="single" w:color="auto" w:sz="4" w:space="0"/>
            </w:tcBorders>
            <w:noWrap w:val="0"/>
            <w:vAlign w:val="center"/>
          </w:tcPr>
          <w:p>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3</w:t>
            </w:r>
          </w:p>
        </w:tc>
        <w:tc>
          <w:tcPr>
            <w:tcW w:w="1811" w:type="dxa"/>
            <w:tcBorders>
              <w:bottom w:val="single" w:color="auto" w:sz="4" w:space="0"/>
            </w:tcBorders>
            <w:noWrap w:val="0"/>
            <w:vAlign w:val="center"/>
          </w:tcPr>
          <w:p>
            <w:pPr>
              <w:spacing w:after="50" w:line="360" w:lineRule="auto"/>
              <w:ind w:right="-10"/>
              <w:jc w:val="center"/>
              <w:rPr>
                <w:rFonts w:hint="eastAsia" w:ascii="宋体" w:hAnsi="宋体" w:eastAsia="宋体"/>
                <w:sz w:val="24"/>
                <w:szCs w:val="18"/>
                <w:highlight w:val="none"/>
              </w:rPr>
            </w:pPr>
            <w:r>
              <w:rPr>
                <w:rFonts w:hint="eastAsia" w:ascii="宋体" w:hAnsi="宋体" w:eastAsia="宋体"/>
                <w:sz w:val="24"/>
                <w:szCs w:val="28"/>
                <w:highlight w:val="none"/>
              </w:rPr>
              <w:t>投标有效性声明</w:t>
            </w:r>
          </w:p>
        </w:tc>
        <w:tc>
          <w:tcPr>
            <w:tcW w:w="2126" w:type="dxa"/>
            <w:tcBorders>
              <w:bottom w:val="single" w:color="auto" w:sz="4" w:space="0"/>
            </w:tcBorders>
            <w:noWrap w:val="0"/>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格式、填写要求符合招标文件规定并加盖投标人公章</w:t>
            </w:r>
          </w:p>
        </w:tc>
        <w:tc>
          <w:tcPr>
            <w:tcW w:w="4580" w:type="dxa"/>
            <w:tcBorders>
              <w:bottom w:val="single" w:color="auto" w:sz="4" w:space="0"/>
            </w:tcBorders>
            <w:noWrap w:val="0"/>
            <w:vAlign w:val="center"/>
          </w:tcPr>
          <w:p>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详见第六章投标文件格式三</w:t>
            </w:r>
          </w:p>
        </w:tc>
      </w:tr>
      <w:bookmarkEnd w:id="207"/>
    </w:tbl>
    <w:p>
      <w:pPr>
        <w:spacing w:line="360" w:lineRule="auto"/>
        <w:rPr>
          <w:rFonts w:ascii="Arial" w:hAnsi="Arial" w:eastAsia="宋体" w:cs="Arial"/>
          <w:sz w:val="24"/>
          <w:highlight w:val="none"/>
        </w:rPr>
      </w:pPr>
      <w:bookmarkStart w:id="208" w:name="_Hlk16461707"/>
      <w:r>
        <w:rPr>
          <w:rFonts w:ascii="Arial" w:hAnsi="Arial" w:eastAsia="宋体" w:cs="Arial"/>
          <w:b/>
          <w:bCs/>
          <w:sz w:val="24"/>
          <w:highlight w:val="none"/>
        </w:rPr>
        <w:t>资格审查指标通过标准：</w:t>
      </w:r>
      <w:r>
        <w:rPr>
          <w:rFonts w:ascii="Arial" w:hAnsi="Arial" w:eastAsia="宋体" w:cs="Arial"/>
          <w:sz w:val="24"/>
          <w:highlight w:val="none"/>
        </w:rPr>
        <w:t>投标人必须通过资格审查表中的全部评审指标。</w:t>
      </w:r>
    </w:p>
    <w:bookmarkEnd w:id="208"/>
    <w:p>
      <w:pPr>
        <w:spacing w:line="360" w:lineRule="auto"/>
        <w:ind w:firstLine="435"/>
        <w:rPr>
          <w:rFonts w:ascii="Arial" w:hAnsi="Arial" w:eastAsia="宋体" w:cs="Arial"/>
          <w:sz w:val="24"/>
          <w:highlight w:val="none"/>
        </w:rPr>
      </w:pPr>
      <w:bookmarkStart w:id="209" w:name="_Toc1312950278_WPSOffice_Level2"/>
      <w:r>
        <w:rPr>
          <w:rFonts w:ascii="Arial" w:hAnsi="Arial" w:eastAsia="宋体" w:cs="Arial"/>
          <w:sz w:val="24"/>
          <w:highlight w:val="none"/>
        </w:rPr>
        <w:t>2.2符合性审查</w:t>
      </w:r>
      <w:bookmarkEnd w:id="209"/>
    </w:p>
    <w:p>
      <w:pPr>
        <w:spacing w:line="360" w:lineRule="auto"/>
        <w:ind w:firstLine="435"/>
        <w:rPr>
          <w:rFonts w:ascii="Arial" w:hAnsi="Arial" w:eastAsia="宋体" w:cs="Arial"/>
          <w:sz w:val="24"/>
          <w:highlight w:val="none"/>
        </w:rPr>
      </w:pPr>
      <w:r>
        <w:rPr>
          <w:rFonts w:ascii="Arial" w:hAnsi="Arial" w:eastAsia="宋体" w:cs="Arial"/>
          <w:sz w:val="24"/>
          <w:highlight w:val="none"/>
        </w:rPr>
        <w:t>评标委员会对通过资格审查的投标人的投标文件进行符合性审查，以确定其是否满足招标文件的实质性要求。符合性审查表如下：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872"/>
        <w:gridCol w:w="3539"/>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jc w:val="center"/>
        </w:trPr>
        <w:tc>
          <w:tcPr>
            <w:tcW w:w="0" w:type="auto"/>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
              <w:jc w:val="center"/>
              <w:textAlignment w:val="auto"/>
              <w:rPr>
                <w:rFonts w:ascii="Arial" w:hAnsi="Arial" w:eastAsia="宋体" w:cs="Arial"/>
                <w:b w:val="0"/>
                <w:bCs w:val="0"/>
                <w:sz w:val="24"/>
                <w:highlight w:val="none"/>
              </w:rPr>
            </w:pPr>
            <w:r>
              <w:rPr>
                <w:rFonts w:ascii="Arial" w:hAnsi="Arial" w:eastAsia="宋体" w:cs="Arial"/>
                <w:b/>
                <w:bCs/>
                <w:sz w:val="24"/>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blHeader/>
          <w:jc w:val="center"/>
        </w:trPr>
        <w:tc>
          <w:tcPr>
            <w:tcW w:w="0" w:type="auto"/>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0"/>
              <w:jc w:val="center"/>
              <w:textAlignment w:val="auto"/>
              <w:rPr>
                <w:rFonts w:hint="eastAsia" w:ascii="宋体" w:hAnsi="宋体" w:eastAsia="宋体"/>
                <w:b/>
                <w:bCs/>
                <w:sz w:val="24"/>
                <w:highlight w:val="none"/>
              </w:rPr>
            </w:pPr>
            <w:r>
              <w:rPr>
                <w:rFonts w:hint="eastAsia" w:ascii="宋体" w:hAnsi="宋体" w:eastAsia="宋体"/>
                <w:b/>
                <w:bCs/>
                <w:sz w:val="24"/>
                <w:highlight w:val="none"/>
              </w:rPr>
              <w:t>序号</w:t>
            </w:r>
          </w:p>
        </w:tc>
        <w:tc>
          <w:tcPr>
            <w:tcW w:w="0" w:type="auto"/>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0"/>
              <w:jc w:val="center"/>
              <w:textAlignment w:val="auto"/>
              <w:rPr>
                <w:rFonts w:hint="eastAsia" w:ascii="宋体" w:hAnsi="宋体" w:eastAsia="宋体"/>
                <w:b/>
                <w:bCs/>
                <w:sz w:val="24"/>
                <w:highlight w:val="none"/>
              </w:rPr>
            </w:pPr>
            <w:r>
              <w:rPr>
                <w:rFonts w:hint="eastAsia" w:ascii="宋体" w:hAnsi="宋体" w:eastAsia="宋体"/>
                <w:b/>
                <w:bCs/>
                <w:sz w:val="24"/>
                <w:highlight w:val="none"/>
              </w:rPr>
              <w:t>评审指标</w:t>
            </w:r>
          </w:p>
        </w:tc>
        <w:tc>
          <w:tcPr>
            <w:tcW w:w="0" w:type="auto"/>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0"/>
              <w:jc w:val="center"/>
              <w:textAlignment w:val="auto"/>
              <w:rPr>
                <w:rFonts w:hint="eastAsia" w:ascii="宋体" w:hAnsi="宋体" w:eastAsia="宋体"/>
                <w:b/>
                <w:bCs/>
                <w:sz w:val="24"/>
                <w:highlight w:val="none"/>
              </w:rPr>
            </w:pPr>
            <w:r>
              <w:rPr>
                <w:rFonts w:hint="eastAsia" w:ascii="宋体" w:hAnsi="宋体" w:eastAsia="宋体"/>
                <w:b/>
                <w:bCs/>
                <w:sz w:val="24"/>
                <w:highlight w:val="none"/>
              </w:rPr>
              <w:t>评审标准</w:t>
            </w:r>
          </w:p>
        </w:tc>
        <w:tc>
          <w:tcPr>
            <w:tcW w:w="0" w:type="auto"/>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0"/>
              <w:jc w:val="center"/>
              <w:textAlignment w:val="auto"/>
              <w:rPr>
                <w:rFonts w:hint="eastAsia" w:ascii="宋体" w:hAnsi="宋体" w:eastAsia="宋体"/>
                <w:b/>
                <w:bCs/>
                <w:sz w:val="24"/>
                <w:highlight w:val="none"/>
              </w:rPr>
            </w:pPr>
            <w:r>
              <w:rPr>
                <w:rFonts w:hint="eastAsia" w:ascii="宋体" w:hAnsi="宋体" w:eastAsia="宋体"/>
                <w:b/>
                <w:bCs/>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jc w:val="center"/>
              <w:rPr>
                <w:rFonts w:ascii="Arial" w:hAnsi="Arial" w:eastAsia="宋体" w:cs="Arial"/>
                <w:sz w:val="24"/>
                <w:highlight w:val="none"/>
              </w:rPr>
            </w:pPr>
            <w:r>
              <w:rPr>
                <w:rFonts w:ascii="Arial" w:hAnsi="Arial" w:eastAsia="宋体" w:cs="Arial"/>
                <w:sz w:val="24"/>
                <w:highlight w:val="none"/>
              </w:rPr>
              <w:t>1</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highlight w:val="none"/>
              </w:rPr>
              <w:t>开标一览表</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格式、填写要求符合招标文件规定并加盖投标人公章</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详见第六章投标文件格式一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jc w:val="center"/>
              <w:rPr>
                <w:rFonts w:ascii="Arial" w:hAnsi="Arial" w:eastAsia="宋体" w:cs="Arial"/>
                <w:sz w:val="24"/>
                <w:highlight w:val="none"/>
              </w:rPr>
            </w:pPr>
            <w:r>
              <w:rPr>
                <w:rFonts w:ascii="Arial" w:hAnsi="Arial" w:eastAsia="宋体" w:cs="Arial"/>
                <w:sz w:val="24"/>
                <w:highlight w:val="none"/>
              </w:rPr>
              <w:t>2</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投标函</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格式、填写要求符合招标文件规定并加盖投标人公章</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详见第六章投标文件格式二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jc w:val="center"/>
              <w:rPr>
                <w:rFonts w:ascii="Arial" w:hAnsi="Arial" w:eastAsia="宋体" w:cs="Arial"/>
                <w:sz w:val="24"/>
                <w:highlight w:val="none"/>
              </w:rPr>
            </w:pPr>
            <w:r>
              <w:rPr>
                <w:rFonts w:ascii="Arial" w:hAnsi="Arial" w:eastAsia="宋体" w:cs="Arial"/>
                <w:sz w:val="24"/>
                <w:highlight w:val="none"/>
              </w:rPr>
              <w:t>3</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授权书</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格式、填写要求符合招标文件规定并加盖投标人公章</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法定代表人参加投标的无需此件，提供身份证明即可。详见第六章投标文件格式四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jc w:val="center"/>
              <w:rPr>
                <w:rFonts w:ascii="Arial" w:hAnsi="Arial" w:eastAsia="宋体" w:cs="Arial"/>
                <w:sz w:val="24"/>
                <w:highlight w:val="none"/>
              </w:rPr>
            </w:pPr>
            <w:r>
              <w:rPr>
                <w:rFonts w:ascii="Arial" w:hAnsi="Arial" w:eastAsia="宋体" w:cs="Arial"/>
                <w:sz w:val="24"/>
                <w:highlight w:val="none"/>
              </w:rPr>
              <w:t>4</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投标报价</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符合</w:t>
            </w:r>
            <w:r>
              <w:rPr>
                <w:rFonts w:ascii="Arial" w:hAnsi="Arial" w:eastAsia="宋体" w:cs="Arial"/>
                <w:sz w:val="24"/>
                <w:highlight w:val="none"/>
              </w:rPr>
              <w:t>招标文件投标人须知正文第12条要求</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详见第六章投标文件格式五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Arial" w:hAnsi="Arial" w:eastAsia="宋体" w:cs="Arial"/>
                <w:sz w:val="24"/>
                <w:highlight w:val="none"/>
              </w:rPr>
            </w:pPr>
            <w:r>
              <w:rPr>
                <w:rFonts w:hint="eastAsia" w:ascii="Arial" w:hAnsi="Arial" w:eastAsia="宋体" w:cs="Arial"/>
                <w:sz w:val="24"/>
                <w:highlight w:val="none"/>
              </w:rPr>
              <w:t>5</w:t>
            </w:r>
          </w:p>
        </w:tc>
        <w:tc>
          <w:tcPr>
            <w:tcW w:w="0" w:type="auto"/>
            <w:noWrap w:val="0"/>
            <w:vAlign w:val="center"/>
          </w:tcPr>
          <w:p>
            <w:pPr>
              <w:jc w:val="center"/>
              <w:rPr>
                <w:rFonts w:ascii="Arial" w:hAnsi="Arial" w:eastAsia="宋体" w:cs="Arial"/>
                <w:sz w:val="24"/>
                <w:highlight w:val="none"/>
              </w:rPr>
            </w:pPr>
            <w:r>
              <w:rPr>
                <w:rFonts w:hint="eastAsia" w:ascii="Arial" w:hAnsi="Arial" w:eastAsia="宋体" w:cs="Arial"/>
                <w:sz w:val="24"/>
                <w:highlight w:val="none"/>
              </w:rPr>
              <w:t>招标文件获取情况</w:t>
            </w:r>
          </w:p>
        </w:tc>
        <w:tc>
          <w:tcPr>
            <w:tcW w:w="0" w:type="auto"/>
            <w:noWrap w:val="0"/>
            <w:vAlign w:val="center"/>
          </w:tcPr>
          <w:p>
            <w:pPr>
              <w:jc w:val="left"/>
              <w:rPr>
                <w:rFonts w:ascii="Arial" w:hAnsi="Arial" w:eastAsia="宋体" w:cs="Arial"/>
                <w:sz w:val="24"/>
                <w:highlight w:val="none"/>
              </w:rPr>
            </w:pPr>
            <w:r>
              <w:rPr>
                <w:rFonts w:hint="eastAsia" w:ascii="Arial" w:hAnsi="Arial" w:eastAsia="宋体" w:cs="Arial"/>
                <w:sz w:val="24"/>
                <w:highlight w:val="none"/>
              </w:rPr>
              <w:t>在招标文件获取截止时间前完成招标文件获取</w:t>
            </w:r>
          </w:p>
        </w:tc>
        <w:tc>
          <w:tcPr>
            <w:tcW w:w="0" w:type="auto"/>
            <w:noWrap w:val="0"/>
            <w:vAlign w:val="center"/>
          </w:tcPr>
          <w:p>
            <w:pPr>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jc w:val="center"/>
              <w:rPr>
                <w:rFonts w:hint="eastAsia" w:ascii="Arial" w:hAnsi="Arial" w:eastAsia="宋体" w:cs="Arial"/>
                <w:sz w:val="24"/>
                <w:highlight w:val="none"/>
                <w:lang w:val="en-US" w:eastAsia="zh-CN"/>
              </w:rPr>
            </w:pPr>
            <w:r>
              <w:rPr>
                <w:rFonts w:hint="eastAsia" w:ascii="Arial" w:hAnsi="Arial" w:eastAsia="宋体" w:cs="Arial"/>
                <w:sz w:val="24"/>
                <w:highlight w:val="none"/>
                <w:lang w:val="en-US" w:eastAsia="zh-CN"/>
              </w:rPr>
              <w:t>5</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进口产品（如有）</w:t>
            </w:r>
          </w:p>
        </w:tc>
        <w:tc>
          <w:tcPr>
            <w:tcW w:w="0" w:type="auto"/>
            <w:noWrap w:val="0"/>
            <w:vAlign w:val="center"/>
          </w:tcPr>
          <w:p>
            <w:pPr>
              <w:spacing w:after="50"/>
              <w:ind w:right="-10"/>
              <w:jc w:val="left"/>
              <w:rPr>
                <w:rFonts w:ascii="Arial" w:hAnsi="Arial" w:eastAsia="宋体" w:cs="Arial"/>
                <w:sz w:val="24"/>
                <w:szCs w:val="28"/>
                <w:highlight w:val="none"/>
              </w:rPr>
            </w:pPr>
            <w:r>
              <w:rPr>
                <w:rFonts w:hint="eastAsia" w:ascii="Arial" w:hAnsi="Arial" w:eastAsia="宋体" w:cs="Arial"/>
                <w:sz w:val="24"/>
                <w:szCs w:val="28"/>
                <w:highlight w:val="none"/>
              </w:rPr>
              <w:t>符合招标文件及相关规定对于进口产品的要求</w:t>
            </w:r>
          </w:p>
        </w:tc>
        <w:tc>
          <w:tcPr>
            <w:tcW w:w="0" w:type="auto"/>
            <w:noWrap w:val="0"/>
            <w:vAlign w:val="center"/>
          </w:tcPr>
          <w:p>
            <w:pPr>
              <w:adjustRightInd w:val="0"/>
              <w:snapToGrid w:val="0"/>
              <w:ind w:right="-10"/>
              <w:jc w:val="left"/>
              <w:rPr>
                <w:rFonts w:ascii="Arial" w:hAnsi="Arial" w:eastAsia="宋体" w:cs="Arial"/>
                <w:sz w:val="24"/>
                <w:highlight w:val="none"/>
              </w:rPr>
            </w:pPr>
            <w:r>
              <w:rPr>
                <w:rFonts w:hint="eastAsia" w:ascii="Arial" w:hAnsi="Arial" w:eastAsia="宋体" w:cs="Arial"/>
                <w:sz w:val="24"/>
                <w:highlight w:val="none"/>
              </w:rPr>
              <w:t>未标注进口产品的货物均为拒绝采购进口产品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rightChars="0"/>
              <w:jc w:val="center"/>
              <w:rPr>
                <w:rFonts w:ascii="Arial" w:hAnsi="Arial" w:eastAsia="宋体" w:cs="Arial"/>
                <w:kern w:val="2"/>
                <w:sz w:val="24"/>
                <w:highlight w:val="none"/>
                <w:lang w:val="en-US" w:eastAsia="zh-CN" w:bidi="ar-SA"/>
              </w:rPr>
            </w:pPr>
            <w:r>
              <w:rPr>
                <w:rFonts w:hint="eastAsia" w:ascii="Arial" w:hAnsi="Arial" w:eastAsia="宋体" w:cs="Arial"/>
                <w:sz w:val="24"/>
                <w:highlight w:val="none"/>
              </w:rPr>
              <w:t>7</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进口产品针对本项目的厂家授权书或提供书面承诺书</w:t>
            </w:r>
          </w:p>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（如为进口产品）</w:t>
            </w:r>
          </w:p>
        </w:tc>
        <w:tc>
          <w:tcPr>
            <w:tcW w:w="0" w:type="auto"/>
            <w:noWrap w:val="0"/>
            <w:vAlign w:val="center"/>
          </w:tcPr>
          <w:p>
            <w:pPr>
              <w:spacing w:after="50"/>
              <w:ind w:right="-10"/>
              <w:jc w:val="left"/>
              <w:rPr>
                <w:rFonts w:ascii="Arial" w:hAnsi="Arial" w:eastAsia="宋体" w:cs="Arial"/>
                <w:sz w:val="24"/>
                <w:szCs w:val="28"/>
                <w:highlight w:val="none"/>
              </w:rPr>
            </w:pPr>
            <w:r>
              <w:rPr>
                <w:rFonts w:hint="eastAsia" w:ascii="Arial" w:hAnsi="Arial" w:eastAsia="宋体" w:cs="Arial"/>
                <w:sz w:val="24"/>
                <w:szCs w:val="28"/>
                <w:highlight w:val="none"/>
              </w:rPr>
              <w:t>投标人若为代理商，则须提供生产厂家（或国内代理商）针对本项目出具的授权和售后服务承诺扫描件。</w:t>
            </w:r>
          </w:p>
        </w:tc>
        <w:tc>
          <w:tcPr>
            <w:tcW w:w="0" w:type="auto"/>
            <w:noWrap w:val="0"/>
            <w:vAlign w:val="center"/>
          </w:tcPr>
          <w:p>
            <w:pPr>
              <w:adjustRightInd w:val="0"/>
              <w:snapToGrid w:val="0"/>
              <w:ind w:right="-10"/>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rightChars="0"/>
              <w:jc w:val="center"/>
              <w:rPr>
                <w:rFonts w:ascii="Arial" w:hAnsi="Arial" w:eastAsia="宋体" w:cs="Arial"/>
                <w:kern w:val="2"/>
                <w:sz w:val="24"/>
                <w:highlight w:val="none"/>
                <w:lang w:val="en-US" w:eastAsia="zh-CN" w:bidi="ar-SA"/>
              </w:rPr>
            </w:pPr>
            <w:r>
              <w:rPr>
                <w:rFonts w:hint="eastAsia" w:ascii="Arial" w:hAnsi="Arial" w:eastAsia="宋体" w:cs="Arial"/>
                <w:sz w:val="24"/>
                <w:highlight w:val="none"/>
                <w:lang w:val="en-US" w:eastAsia="zh-CN"/>
              </w:rPr>
              <w:t>8</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商务响应情况</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符合招标文件采购需求中对付款方式、供货及安装期限、供货及安装地点、免费质保期</w:t>
            </w:r>
            <w:r>
              <w:rPr>
                <w:rFonts w:hint="eastAsia" w:ascii="Arial" w:hAnsi="Arial" w:eastAsia="宋体" w:cs="Arial"/>
                <w:sz w:val="24"/>
                <w:szCs w:val="28"/>
                <w:highlight w:val="none"/>
              </w:rPr>
              <w:t>的</w:t>
            </w:r>
            <w:r>
              <w:rPr>
                <w:rFonts w:ascii="Arial" w:hAnsi="Arial" w:eastAsia="宋体" w:cs="Arial"/>
                <w:sz w:val="24"/>
                <w:szCs w:val="28"/>
                <w:highlight w:val="none"/>
              </w:rPr>
              <w:t>要求。</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详见第六章投标文件格式六（6.1商务响应表）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rightChars="0"/>
              <w:jc w:val="center"/>
              <w:rPr>
                <w:rFonts w:ascii="Arial" w:hAnsi="Arial" w:eastAsia="宋体" w:cs="Arial"/>
                <w:kern w:val="2"/>
                <w:sz w:val="24"/>
                <w:highlight w:val="none"/>
                <w:lang w:val="en-US" w:eastAsia="zh-CN" w:bidi="ar-SA"/>
              </w:rPr>
            </w:pPr>
            <w:r>
              <w:rPr>
                <w:rFonts w:hint="eastAsia" w:ascii="Arial" w:hAnsi="Arial" w:eastAsia="宋体" w:cs="Arial"/>
                <w:sz w:val="24"/>
                <w:highlight w:val="none"/>
              </w:rPr>
              <w:t>9</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技术响应情况</w:t>
            </w:r>
          </w:p>
        </w:tc>
        <w:tc>
          <w:tcPr>
            <w:tcW w:w="0" w:type="auto"/>
            <w:noWrap w:val="0"/>
            <w:vAlign w:val="center"/>
          </w:tcPr>
          <w:p>
            <w:pPr>
              <w:spacing w:after="50"/>
              <w:ind w:right="-10"/>
              <w:jc w:val="left"/>
              <w:rPr>
                <w:rFonts w:ascii="Arial" w:hAnsi="Arial" w:eastAsia="宋体" w:cs="Arial"/>
                <w:sz w:val="24"/>
                <w:szCs w:val="28"/>
                <w:highlight w:val="none"/>
              </w:rPr>
            </w:pPr>
            <w:r>
              <w:rPr>
                <w:rFonts w:hint="eastAsia" w:ascii="宋体" w:hAnsi="宋体" w:eastAsia="宋体"/>
                <w:sz w:val="24"/>
                <w:szCs w:val="28"/>
                <w:highlight w:val="none"/>
              </w:rPr>
              <w:t>不存在招标文件采购需求“（一）货物需求说明”中投标无效的情形</w:t>
            </w:r>
          </w:p>
        </w:tc>
        <w:tc>
          <w:tcPr>
            <w:tcW w:w="0" w:type="auto"/>
            <w:noWrap w:val="0"/>
            <w:vAlign w:val="center"/>
          </w:tcPr>
          <w:p>
            <w:pPr>
              <w:adjustRightInd w:val="0"/>
              <w:snapToGrid w:val="0"/>
              <w:ind w:right="-10"/>
              <w:jc w:val="left"/>
              <w:rPr>
                <w:rFonts w:ascii="Arial" w:hAnsi="Arial" w:eastAsia="宋体" w:cs="Arial"/>
                <w:sz w:val="24"/>
                <w:highlight w:val="none"/>
              </w:rPr>
            </w:pPr>
            <w:r>
              <w:rPr>
                <w:rFonts w:ascii="Arial" w:hAnsi="Arial" w:eastAsia="宋体" w:cs="Arial"/>
                <w:sz w:val="24"/>
                <w:highlight w:val="none"/>
              </w:rPr>
              <w:t>详见第六章投标文件格式六（6.2技术响应表、6.3货物说明一览表）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0" w:type="auto"/>
            <w:noWrap w:val="0"/>
            <w:vAlign w:val="center"/>
          </w:tcPr>
          <w:p>
            <w:pPr>
              <w:adjustRightInd w:val="0"/>
              <w:snapToGrid w:val="0"/>
              <w:ind w:right="-10" w:rightChars="0"/>
              <w:jc w:val="center"/>
              <w:rPr>
                <w:rFonts w:hint="eastAsia" w:ascii="Arial" w:hAnsi="Arial" w:eastAsia="宋体" w:cs="Arial"/>
                <w:kern w:val="2"/>
                <w:sz w:val="24"/>
                <w:highlight w:val="none"/>
                <w:lang w:val="en-US" w:eastAsia="zh-CN" w:bidi="ar-SA"/>
              </w:rPr>
            </w:pPr>
            <w:r>
              <w:rPr>
                <w:rFonts w:hint="eastAsia" w:ascii="Arial" w:hAnsi="Arial" w:eastAsia="宋体" w:cs="Arial"/>
                <w:sz w:val="24"/>
                <w:highlight w:val="none"/>
              </w:rPr>
              <w:t>10</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投标文件规范性</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投标文件数量、签署、盖章符合招标文件要求；无严重的编排混乱、内容不全或字迹模糊辨认不清情况。</w:t>
            </w:r>
          </w:p>
        </w:tc>
        <w:tc>
          <w:tcPr>
            <w:tcW w:w="0" w:type="auto"/>
            <w:noWrap w:val="0"/>
            <w:vAlign w:val="center"/>
          </w:tcPr>
          <w:p>
            <w:pPr>
              <w:adjustRightInd w:val="0"/>
              <w:snapToGrid w:val="0"/>
              <w:ind w:right="-10"/>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ind w:right="-10" w:rightChars="0"/>
              <w:jc w:val="center"/>
              <w:rPr>
                <w:rFonts w:hint="eastAsia" w:ascii="Arial" w:hAnsi="Arial" w:eastAsia="宋体" w:cs="Arial"/>
                <w:kern w:val="2"/>
                <w:sz w:val="24"/>
                <w:highlight w:val="none"/>
                <w:lang w:val="en-US" w:eastAsia="zh-CN" w:bidi="ar-SA"/>
              </w:rPr>
            </w:pPr>
            <w:r>
              <w:rPr>
                <w:rFonts w:hint="eastAsia" w:ascii="Arial" w:hAnsi="Arial" w:eastAsia="宋体" w:cs="Arial"/>
                <w:sz w:val="24"/>
                <w:highlight w:val="none"/>
              </w:rPr>
              <w:t>11</w:t>
            </w:r>
          </w:p>
        </w:tc>
        <w:tc>
          <w:tcPr>
            <w:tcW w:w="0" w:type="auto"/>
            <w:noWrap w:val="0"/>
            <w:vAlign w:val="center"/>
          </w:tcPr>
          <w:p>
            <w:pPr>
              <w:spacing w:after="50"/>
              <w:ind w:right="-10"/>
              <w:jc w:val="center"/>
              <w:rPr>
                <w:rFonts w:ascii="Arial" w:hAnsi="Arial" w:eastAsia="宋体" w:cs="Arial"/>
                <w:sz w:val="24"/>
                <w:szCs w:val="28"/>
                <w:highlight w:val="none"/>
              </w:rPr>
            </w:pPr>
            <w:r>
              <w:rPr>
                <w:rFonts w:ascii="Arial" w:hAnsi="Arial" w:eastAsia="宋体" w:cs="Arial"/>
                <w:sz w:val="24"/>
                <w:szCs w:val="28"/>
                <w:highlight w:val="none"/>
              </w:rPr>
              <w:t>其他</w:t>
            </w:r>
            <w:r>
              <w:rPr>
                <w:rFonts w:hint="eastAsia" w:ascii="Arial" w:hAnsi="Arial" w:eastAsia="宋体" w:cs="Arial"/>
                <w:sz w:val="24"/>
                <w:szCs w:val="28"/>
                <w:highlight w:val="none"/>
              </w:rPr>
              <w:t>实质性</w:t>
            </w:r>
            <w:r>
              <w:rPr>
                <w:rFonts w:ascii="Arial" w:hAnsi="Arial" w:eastAsia="宋体" w:cs="Arial"/>
                <w:sz w:val="24"/>
                <w:szCs w:val="28"/>
                <w:highlight w:val="none"/>
              </w:rPr>
              <w:t>要求</w:t>
            </w:r>
          </w:p>
        </w:tc>
        <w:tc>
          <w:tcPr>
            <w:tcW w:w="0" w:type="auto"/>
            <w:noWrap w:val="0"/>
            <w:vAlign w:val="center"/>
          </w:tcPr>
          <w:p>
            <w:pPr>
              <w:spacing w:after="50"/>
              <w:ind w:right="-10"/>
              <w:jc w:val="left"/>
              <w:rPr>
                <w:rFonts w:ascii="Arial" w:hAnsi="Arial" w:eastAsia="宋体" w:cs="Arial"/>
                <w:sz w:val="24"/>
                <w:szCs w:val="28"/>
                <w:highlight w:val="none"/>
              </w:rPr>
            </w:pPr>
            <w:r>
              <w:rPr>
                <w:rFonts w:ascii="Arial" w:hAnsi="Arial" w:eastAsia="宋体" w:cs="Arial"/>
                <w:sz w:val="24"/>
                <w:szCs w:val="28"/>
                <w:highlight w:val="none"/>
              </w:rPr>
              <w:t>符合法律、行政法规规定的其他条件或招标文件列明的其他</w:t>
            </w:r>
            <w:r>
              <w:rPr>
                <w:rFonts w:hint="eastAsia" w:ascii="Arial" w:hAnsi="Arial" w:eastAsia="宋体" w:cs="Arial"/>
                <w:sz w:val="24"/>
                <w:szCs w:val="28"/>
                <w:highlight w:val="none"/>
              </w:rPr>
              <w:t>实质性</w:t>
            </w:r>
            <w:r>
              <w:rPr>
                <w:rFonts w:ascii="Arial" w:hAnsi="Arial" w:eastAsia="宋体" w:cs="Arial"/>
                <w:sz w:val="24"/>
                <w:szCs w:val="28"/>
                <w:highlight w:val="none"/>
              </w:rPr>
              <w:t>要求</w:t>
            </w:r>
          </w:p>
        </w:tc>
        <w:tc>
          <w:tcPr>
            <w:tcW w:w="0" w:type="auto"/>
            <w:noWrap w:val="0"/>
            <w:vAlign w:val="center"/>
          </w:tcPr>
          <w:p>
            <w:pPr>
              <w:adjustRightInd w:val="0"/>
              <w:snapToGrid w:val="0"/>
              <w:ind w:right="-10"/>
              <w:jc w:val="center"/>
              <w:rPr>
                <w:rFonts w:ascii="Arial" w:hAnsi="Arial" w:eastAsia="宋体" w:cs="Arial"/>
                <w:sz w:val="24"/>
                <w:highlight w:val="none"/>
              </w:rPr>
            </w:pPr>
          </w:p>
        </w:tc>
      </w:tr>
    </w:tbl>
    <w:p>
      <w:pPr>
        <w:spacing w:line="360" w:lineRule="auto"/>
        <w:ind w:firstLine="435"/>
        <w:rPr>
          <w:rFonts w:ascii="Arial" w:hAnsi="Arial" w:eastAsia="宋体" w:cs="Arial"/>
          <w:sz w:val="24"/>
          <w:highlight w:val="none"/>
        </w:rPr>
      </w:pPr>
      <w:r>
        <w:rPr>
          <w:rFonts w:ascii="Arial" w:hAnsi="Arial" w:eastAsia="宋体" w:cs="Arial"/>
          <w:b/>
          <w:bCs/>
          <w:sz w:val="24"/>
          <w:highlight w:val="none"/>
        </w:rPr>
        <w:t>符合性审查指标通过标准：</w:t>
      </w:r>
      <w:r>
        <w:rPr>
          <w:rFonts w:ascii="Arial" w:hAnsi="Arial" w:eastAsia="宋体" w:cs="Arial"/>
          <w:sz w:val="24"/>
          <w:highlight w:val="none"/>
        </w:rPr>
        <w:t>投标人必须通过符合性审查表中的全部评审指标。</w:t>
      </w:r>
    </w:p>
    <w:p>
      <w:pPr>
        <w:pStyle w:val="4"/>
        <w:bidi w:val="0"/>
        <w:rPr>
          <w:rFonts w:hint="eastAsia" w:ascii="方正小标宋_GBK" w:hAnsi="方正小标宋_GBK" w:eastAsia="方正小标宋_GBK" w:cs="方正小标宋_GBK"/>
          <w:kern w:val="44"/>
          <w:sz w:val="44"/>
          <w:szCs w:val="44"/>
          <w:highlight w:val="none"/>
        </w:rPr>
      </w:pPr>
      <w:r>
        <w:rPr>
          <w:rFonts w:ascii="Arial" w:hAnsi="Arial" w:eastAsia="宋体" w:cs="Arial"/>
          <w:sz w:val="24"/>
          <w:highlight w:val="none"/>
        </w:rPr>
        <w:br w:type="page"/>
      </w:r>
      <w:bookmarkStart w:id="210" w:name="_Toc24277"/>
      <w:bookmarkStart w:id="211" w:name="_Toc15677"/>
      <w:bookmarkStart w:id="212" w:name="_Toc1857429570"/>
      <w:bookmarkStart w:id="213" w:name="_Toc1723962522"/>
      <w:bookmarkStart w:id="214" w:name="_Toc7286"/>
      <w:bookmarkStart w:id="215" w:name="_Toc251131349"/>
      <w:bookmarkStart w:id="216" w:name="_Toc979516333"/>
      <w:bookmarkStart w:id="217" w:name="_Toc929607245"/>
      <w:bookmarkStart w:id="218" w:name="_Toc76696352"/>
      <w:bookmarkStart w:id="219" w:name="_Toc1517113735_WPSOffice_Level1"/>
      <w:bookmarkStart w:id="220" w:name="_Toc1409546858"/>
      <w:r>
        <w:rPr>
          <w:rFonts w:hint="eastAsia" w:ascii="方正小标宋_GBK" w:hAnsi="方正小标宋_GBK" w:eastAsia="方正小标宋_GBK" w:cs="方正小标宋_GBK"/>
          <w:kern w:val="44"/>
          <w:sz w:val="44"/>
          <w:szCs w:val="44"/>
          <w:highlight w:val="none"/>
        </w:rPr>
        <w:t>第五章  采购合同</w:t>
      </w:r>
      <w:bookmarkEnd w:id="210"/>
      <w:bookmarkEnd w:id="211"/>
      <w:bookmarkEnd w:id="212"/>
      <w:bookmarkEnd w:id="213"/>
      <w:bookmarkEnd w:id="214"/>
      <w:bookmarkEnd w:id="215"/>
      <w:bookmarkEnd w:id="216"/>
      <w:bookmarkEnd w:id="217"/>
      <w:bookmarkEnd w:id="218"/>
      <w:bookmarkEnd w:id="219"/>
      <w:bookmarkEnd w:id="220"/>
    </w:p>
    <w:p>
      <w:pPr>
        <w:spacing w:line="480" w:lineRule="auto"/>
        <w:jc w:val="center"/>
        <w:rPr>
          <w:rFonts w:ascii="Arial" w:hAnsi="Arial" w:eastAsia="宋体" w:cs="Arial"/>
          <w:b/>
          <w:sz w:val="24"/>
          <w:szCs w:val="24"/>
          <w:highlight w:val="none"/>
        </w:rPr>
      </w:pPr>
      <w:bookmarkStart w:id="221" w:name="_Hlk11711914"/>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pStyle w:val="5"/>
        <w:keepNext/>
        <w:keepLines/>
        <w:pageBreakBefore w:val="0"/>
        <w:widowControl w:val="0"/>
        <w:kinsoku/>
        <w:wordWrap/>
        <w:overflowPunct/>
        <w:topLinePunct w:val="0"/>
        <w:autoSpaceDE/>
        <w:autoSpaceDN/>
        <w:bidi w:val="0"/>
        <w:adjustRightInd/>
        <w:snapToGrid/>
        <w:ind w:firstLine="0" w:firstLineChars="0"/>
        <w:jc w:val="center"/>
        <w:textAlignment w:val="auto"/>
        <w:rPr>
          <w:rFonts w:ascii="Arial" w:hAnsi="Arial" w:cs="Arial"/>
          <w:highlight w:val="none"/>
        </w:rPr>
      </w:pPr>
      <w:bookmarkStart w:id="222" w:name="_Toc928743268"/>
      <w:bookmarkStart w:id="223" w:name="_Toc2140690750"/>
      <w:bookmarkStart w:id="224" w:name="_Toc53338942"/>
      <w:bookmarkStart w:id="225" w:name="_Toc1525248615"/>
      <w:bookmarkStart w:id="226" w:name="_Toc1218113909_WPSOffice_Level2"/>
      <w:bookmarkStart w:id="227" w:name="_Toc1669447616"/>
      <w:bookmarkStart w:id="228" w:name="_Toc1443007801"/>
      <w:bookmarkStart w:id="229" w:name="_Toc113513233"/>
      <w:r>
        <w:rPr>
          <w:rFonts w:ascii="Arial" w:hAnsi="Arial" w:cs="Arial"/>
          <w:highlight w:val="none"/>
        </w:rPr>
        <w:t>第一部分 合同书</w:t>
      </w:r>
      <w:bookmarkEnd w:id="222"/>
      <w:bookmarkEnd w:id="223"/>
      <w:bookmarkEnd w:id="224"/>
      <w:bookmarkEnd w:id="225"/>
      <w:bookmarkEnd w:id="226"/>
      <w:bookmarkEnd w:id="227"/>
      <w:bookmarkEnd w:id="228"/>
      <w:bookmarkEnd w:id="229"/>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before="120" w:line="480" w:lineRule="auto"/>
        <w:ind w:left="960"/>
        <w:rPr>
          <w:rFonts w:hint="eastAsia" w:ascii="Arial" w:hAnsi="Arial" w:eastAsia="宋体" w:cs="Arial"/>
          <w:sz w:val="24"/>
          <w:szCs w:val="24"/>
          <w:highlight w:val="none"/>
          <w:lang w:eastAsia="zh-CN"/>
        </w:rPr>
      </w:pPr>
      <w:r>
        <w:rPr>
          <w:rFonts w:ascii="Arial" w:hAnsi="Arial" w:eastAsia="宋体" w:cs="Arial"/>
          <w:sz w:val="24"/>
          <w:szCs w:val="24"/>
          <w:highlight w:val="none"/>
        </w:rPr>
        <w:t>项目名称：</w:t>
      </w:r>
      <w:r>
        <w:rPr>
          <w:rFonts w:hint="eastAsia" w:ascii="Arial" w:hAnsi="Arial" w:eastAsia="宋体" w:cs="Arial"/>
          <w:sz w:val="24"/>
          <w:szCs w:val="24"/>
          <w:highlight w:val="none"/>
          <w:lang w:eastAsia="zh-CN"/>
        </w:rPr>
        <w:t>皖南医学院活性生物大分子研究安徽省重点实验室</w:t>
      </w:r>
    </w:p>
    <w:p>
      <w:pPr>
        <w:spacing w:before="120" w:line="480" w:lineRule="auto"/>
        <w:ind w:left="960"/>
        <w:rPr>
          <w:rFonts w:hint="eastAsia" w:ascii="Arial" w:hAnsi="Arial" w:eastAsia="宋体" w:cs="Arial"/>
          <w:i/>
          <w:iCs/>
          <w:sz w:val="24"/>
          <w:szCs w:val="24"/>
          <w:highlight w:val="none"/>
          <w:u w:val="single"/>
        </w:rPr>
      </w:pPr>
      <w:r>
        <w:rPr>
          <w:rFonts w:ascii="Arial" w:hAnsi="Arial" w:eastAsia="宋体" w:cs="Arial"/>
          <w:sz w:val="24"/>
          <w:szCs w:val="24"/>
          <w:highlight w:val="none"/>
        </w:rPr>
        <w:t>项目编号：</w:t>
      </w:r>
      <w:r>
        <w:rPr>
          <w:rFonts w:hint="eastAsia" w:ascii="Arial" w:hAnsi="Arial" w:eastAsia="宋体" w:cs="Arial"/>
          <w:i w:val="0"/>
          <w:iCs w:val="0"/>
          <w:sz w:val="24"/>
          <w:szCs w:val="24"/>
          <w:highlight w:val="none"/>
          <w:u w:val="single"/>
          <w:lang w:eastAsia="zh-CN"/>
        </w:rPr>
        <w:t>FSKY34000120242274号001</w:t>
      </w:r>
      <w:r>
        <w:rPr>
          <w:rFonts w:hint="eastAsia" w:ascii="Arial" w:hAnsi="Arial" w:eastAsia="宋体" w:cs="Arial"/>
          <w:i w:val="0"/>
          <w:iCs w:val="0"/>
          <w:sz w:val="24"/>
          <w:szCs w:val="24"/>
          <w:highlight w:val="none"/>
          <w:u w:val="single"/>
        </w:rPr>
        <w:t xml:space="preserve">  </w:t>
      </w:r>
      <w:r>
        <w:rPr>
          <w:rFonts w:hint="eastAsia" w:ascii="Arial" w:hAnsi="Arial" w:eastAsia="宋体" w:cs="Arial"/>
          <w:i/>
          <w:iCs/>
          <w:sz w:val="24"/>
          <w:szCs w:val="24"/>
          <w:highlight w:val="none"/>
          <w:u w:val="single"/>
        </w:rPr>
        <w:t xml:space="preserve"> </w:t>
      </w:r>
    </w:p>
    <w:p>
      <w:pPr>
        <w:spacing w:before="120" w:line="480" w:lineRule="auto"/>
        <w:ind w:left="960"/>
        <w:rPr>
          <w:rFonts w:ascii="Arial" w:hAnsi="Arial" w:eastAsia="宋体" w:cs="Arial"/>
          <w:sz w:val="24"/>
          <w:szCs w:val="24"/>
          <w:highlight w:val="none"/>
          <w:u w:val="single"/>
        </w:rPr>
      </w:pPr>
      <w:r>
        <w:rPr>
          <w:rFonts w:ascii="Arial" w:hAnsi="Arial" w:eastAsia="宋体" w:cs="Arial"/>
          <w:sz w:val="24"/>
          <w:szCs w:val="24"/>
          <w:highlight w:val="none"/>
        </w:rPr>
        <w:t>甲方（采购人）：</w:t>
      </w:r>
      <w:r>
        <w:rPr>
          <w:rFonts w:ascii="Arial" w:hAnsi="Arial" w:eastAsia="宋体" w:cs="Arial"/>
          <w:sz w:val="24"/>
          <w:szCs w:val="24"/>
          <w:highlight w:val="none"/>
          <w:u w:val="single"/>
        </w:rPr>
        <w:t xml:space="preserve"> </w:t>
      </w:r>
      <w:r>
        <w:rPr>
          <w:rFonts w:hint="eastAsia" w:ascii="Arial" w:hAnsi="Arial" w:eastAsia="宋体" w:cs="Arial"/>
          <w:sz w:val="24"/>
          <w:szCs w:val="24"/>
          <w:highlight w:val="none"/>
          <w:u w:val="single"/>
        </w:rPr>
        <w:t xml:space="preserve">皖南医学院    </w:t>
      </w:r>
      <w:r>
        <w:rPr>
          <w:rFonts w:ascii="Arial" w:hAnsi="Arial" w:eastAsia="宋体" w:cs="Arial"/>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before="120" w:line="480" w:lineRule="auto"/>
        <w:ind w:left="958"/>
        <w:textAlignment w:val="auto"/>
        <w:rPr>
          <w:rFonts w:ascii="Arial" w:hAnsi="Arial" w:eastAsia="宋体" w:cs="Arial"/>
          <w:sz w:val="24"/>
          <w:szCs w:val="24"/>
          <w:highlight w:val="none"/>
          <w:u w:val="single"/>
        </w:rPr>
      </w:pPr>
      <w:r>
        <w:rPr>
          <w:rFonts w:ascii="Arial" w:hAnsi="Arial" w:eastAsia="宋体" w:cs="Arial"/>
          <w:sz w:val="24"/>
          <w:szCs w:val="24"/>
          <w:highlight w:val="none"/>
          <w:u w:val="none"/>
        </w:rPr>
        <w:t>乙方（中标人）</w:t>
      </w:r>
      <w:r>
        <w:rPr>
          <w:rFonts w:hint="eastAsia" w:ascii="Arial" w:hAnsi="Arial" w:eastAsia="宋体" w:cs="Arial"/>
          <w:sz w:val="24"/>
          <w:szCs w:val="24"/>
          <w:highlight w:val="none"/>
          <w:u w:val="none"/>
          <w:lang w:eastAsia="zh-CN"/>
        </w:rPr>
        <w:t>：</w:t>
      </w:r>
      <w:r>
        <w:rPr>
          <w:rFonts w:hint="eastAsia" w:ascii="Arial" w:hAnsi="Arial" w:eastAsia="宋体" w:cs="Arial"/>
          <w:sz w:val="24"/>
          <w:szCs w:val="24"/>
          <w:highlight w:val="none"/>
          <w:u w:val="none"/>
          <w:lang w:val="en-US" w:eastAsia="zh-CN"/>
        </w:rPr>
        <w:t xml:space="preserve"> </w:t>
      </w:r>
      <w:r>
        <w:rPr>
          <w:rFonts w:hint="eastAsia" w:ascii="Arial" w:hAnsi="Arial" w:eastAsia="宋体" w:cs="Arial"/>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i/>
          <w:iCs/>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ascii="Arial" w:hAnsi="Arial" w:eastAsia="宋体" w:cs="Arial"/>
          <w:sz w:val="24"/>
          <w:szCs w:val="24"/>
          <w:highlight w:val="none"/>
          <w:u w:val="single"/>
        </w:rPr>
        <w:t xml:space="preserve">                </w:t>
      </w:r>
    </w:p>
    <w:p>
      <w:pPr>
        <w:spacing w:before="120" w:line="480" w:lineRule="auto"/>
        <w:ind w:firstLine="960" w:firstLineChars="400"/>
        <w:rPr>
          <w:rFonts w:ascii="Arial" w:hAnsi="Arial" w:eastAsia="宋体" w:cs="Arial"/>
          <w:sz w:val="24"/>
          <w:szCs w:val="24"/>
          <w:highlight w:val="none"/>
          <w:u w:val="single"/>
        </w:rPr>
      </w:pPr>
      <w:r>
        <w:rPr>
          <w:rFonts w:ascii="Arial" w:hAnsi="Arial" w:eastAsia="宋体" w:cs="Arial"/>
          <w:sz w:val="24"/>
          <w:szCs w:val="24"/>
          <w:highlight w:val="none"/>
        </w:rPr>
        <w:t>签订地：</w:t>
      </w:r>
      <w:r>
        <w:rPr>
          <w:rFonts w:ascii="Arial" w:hAnsi="Arial" w:eastAsia="宋体" w:cs="Arial"/>
          <w:sz w:val="24"/>
          <w:szCs w:val="24"/>
          <w:highlight w:val="none"/>
          <w:u w:val="single"/>
        </w:rPr>
        <w:t xml:space="preserve">                                     </w:t>
      </w:r>
    </w:p>
    <w:p>
      <w:pPr>
        <w:widowControl/>
        <w:jc w:val="left"/>
        <w:rPr>
          <w:rFonts w:ascii="Arial" w:hAnsi="Arial" w:eastAsia="宋体" w:cs="Arial"/>
          <w:sz w:val="24"/>
          <w:szCs w:val="24"/>
          <w:highlight w:val="none"/>
        </w:rPr>
      </w:pPr>
      <w:r>
        <w:rPr>
          <w:rFonts w:ascii="Arial" w:hAnsi="Arial" w:eastAsia="宋体" w:cs="Arial"/>
          <w:sz w:val="24"/>
          <w:szCs w:val="24"/>
          <w:highlight w:val="none"/>
        </w:rPr>
        <w:br w:type="page"/>
      </w:r>
    </w:p>
    <w:p>
      <w:pPr>
        <w:spacing w:line="360" w:lineRule="auto"/>
        <w:ind w:firstLine="480" w:firstLineChars="200"/>
        <w:rPr>
          <w:rFonts w:hint="eastAsia" w:ascii="宋体" w:hAnsi="宋体" w:eastAsia="宋体" w:cs="宋体"/>
          <w:sz w:val="24"/>
          <w:highlight w:val="none"/>
        </w:rPr>
      </w:pPr>
      <w:r>
        <w:rPr>
          <w:rFonts w:hint="eastAsia" w:ascii="Arial" w:hAnsi="Arial" w:eastAsia="宋体" w:cs="Arial"/>
          <w:sz w:val="24"/>
          <w:szCs w:val="24"/>
          <w:highlight w:val="none"/>
        </w:rPr>
        <w:t>皖南医学院</w:t>
      </w:r>
      <w:r>
        <w:rPr>
          <w:rFonts w:hint="eastAsia" w:ascii="宋体" w:hAnsi="宋体" w:eastAsia="宋体" w:cs="宋体"/>
          <w:sz w:val="24"/>
          <w:highlight w:val="none"/>
        </w:rPr>
        <w:t>（</w:t>
      </w:r>
      <w:r>
        <w:rPr>
          <w:rFonts w:hint="eastAsia" w:ascii="宋体" w:hAnsi="宋体" w:eastAsia="宋体" w:cs="宋体"/>
          <w:sz w:val="24"/>
          <w:szCs w:val="24"/>
          <w:highlight w:val="none"/>
          <w:lang w:val="zh-CN"/>
        </w:rPr>
        <w:t>以下简称：甲方</w:t>
      </w:r>
      <w:r>
        <w:rPr>
          <w:rFonts w:hint="eastAsia" w:ascii="宋体" w:hAnsi="宋体" w:eastAsia="宋体" w:cs="宋体"/>
          <w:sz w:val="24"/>
          <w:highlight w:val="none"/>
        </w:rPr>
        <w:t>）通过</w:t>
      </w:r>
      <w:r>
        <w:rPr>
          <w:rFonts w:hint="eastAsia" w:ascii="宋体" w:hAnsi="宋体" w:eastAsia="宋体" w:cs="宋体"/>
          <w:sz w:val="24"/>
          <w:highlight w:val="none"/>
          <w:u w:val="single"/>
          <w:lang w:val="en-US" w:eastAsia="zh-CN"/>
        </w:rPr>
        <w:t>安徽安兆工程技术咨询服务有限公司</w:t>
      </w:r>
      <w:r>
        <w:rPr>
          <w:rFonts w:hint="eastAsia" w:ascii="宋体" w:hAnsi="宋体" w:eastAsia="宋体" w:cs="宋体"/>
          <w:sz w:val="24"/>
          <w:highlight w:val="none"/>
        </w:rPr>
        <w:t>组织的</w:t>
      </w:r>
      <w:r>
        <w:rPr>
          <w:rFonts w:hint="eastAsia" w:ascii="宋体" w:hAnsi="宋体" w:eastAsia="宋体" w:cs="宋体"/>
          <w:sz w:val="24"/>
          <w:highlight w:val="none"/>
          <w:u w:val="single"/>
        </w:rPr>
        <w:t>公开招标</w:t>
      </w:r>
      <w:r>
        <w:rPr>
          <w:rFonts w:hint="eastAsia" w:ascii="宋体" w:hAnsi="宋体" w:eastAsia="宋体" w:cs="宋体"/>
          <w:sz w:val="24"/>
          <w:highlight w:val="none"/>
        </w:rPr>
        <w:t>方式采购活动，经</w:t>
      </w:r>
      <w:r>
        <w:rPr>
          <w:rFonts w:hint="eastAsia" w:ascii="宋体" w:hAnsi="宋体" w:eastAsia="宋体" w:cs="宋体"/>
          <w:sz w:val="24"/>
          <w:highlight w:val="none"/>
          <w:u w:val="single"/>
        </w:rPr>
        <w:t>评标委员会</w:t>
      </w:r>
      <w:r>
        <w:rPr>
          <w:rFonts w:hint="eastAsia" w:ascii="宋体" w:hAnsi="宋体" w:eastAsia="宋体" w:cs="宋体"/>
          <w:sz w:val="24"/>
          <w:highlight w:val="none"/>
        </w:rPr>
        <w:t>评定，</w:t>
      </w:r>
      <w:r>
        <w:rPr>
          <w:rFonts w:hint="eastAsia" w:ascii="宋体" w:hAnsi="宋体" w:eastAsia="宋体" w:cs="宋体"/>
          <w:i/>
          <w:iCs/>
          <w:sz w:val="24"/>
          <w:szCs w:val="24"/>
          <w:highlight w:val="none"/>
          <w:u w:val="single"/>
        </w:rPr>
        <w:t>（中标人名称）</w:t>
      </w:r>
      <w:r>
        <w:rPr>
          <w:rFonts w:hint="eastAsia" w:ascii="宋体" w:hAnsi="宋体" w:eastAsia="宋体" w:cs="宋体"/>
          <w:sz w:val="24"/>
          <w:highlight w:val="none"/>
        </w:rPr>
        <w:t>（</w:t>
      </w:r>
      <w:r>
        <w:rPr>
          <w:rFonts w:hint="eastAsia" w:ascii="宋体" w:hAnsi="宋体" w:eastAsia="宋体" w:cs="宋体"/>
          <w:sz w:val="24"/>
          <w:szCs w:val="24"/>
          <w:highlight w:val="none"/>
          <w:lang w:val="zh-CN"/>
        </w:rPr>
        <w:t>以下简称：乙方</w:t>
      </w:r>
      <w:r>
        <w:rPr>
          <w:rFonts w:hint="eastAsia" w:ascii="宋体" w:hAnsi="宋体" w:eastAsia="宋体" w:cs="宋体"/>
          <w:sz w:val="24"/>
          <w:highlight w:val="none"/>
        </w:rPr>
        <w:t>）为本项目中标人，现</w:t>
      </w:r>
      <w:r>
        <w:rPr>
          <w:rFonts w:hint="eastAsia" w:ascii="宋体" w:hAnsi="宋体" w:eastAsia="宋体" w:cs="宋体"/>
          <w:sz w:val="24"/>
          <w:szCs w:val="24"/>
          <w:highlight w:val="none"/>
        </w:rPr>
        <w:t>按照采购文件确定的事项签订本合同。</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hint="eastAsia" w:ascii="宋体" w:hAnsi="宋体" w:eastAsia="宋体" w:cs="宋体"/>
          <w:b/>
          <w:bCs/>
          <w:sz w:val="24"/>
          <w:szCs w:val="24"/>
          <w:highlight w:val="none"/>
          <w:lang w:val="zh-CN"/>
        </w:rPr>
      </w:pPr>
      <w:bookmarkStart w:id="230" w:name="_Toc24059"/>
      <w:bookmarkStart w:id="231" w:name="_Toc2232"/>
      <w:bookmarkStart w:id="232" w:name="_Toc3029"/>
      <w:r>
        <w:rPr>
          <w:rFonts w:hint="eastAsia" w:ascii="宋体" w:hAnsi="宋体" w:eastAsia="宋体" w:cs="宋体"/>
          <w:b/>
          <w:bCs/>
          <w:sz w:val="24"/>
          <w:szCs w:val="24"/>
          <w:highlight w:val="none"/>
          <w:lang w:val="zh-CN"/>
        </w:rPr>
        <w:t>1.1 合同组成部分</w:t>
      </w:r>
      <w:bookmarkEnd w:id="230"/>
      <w:bookmarkEnd w:id="231"/>
      <w:bookmarkEnd w:id="232"/>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1.1.1本合同及其补充合同、变更协议；</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1.1.2中标通知书；</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1.1.3投标文件（含澄清或者说明文件）；</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1.1.4招标文件（含澄清或者修改文件）；</w:t>
      </w:r>
    </w:p>
    <w:p>
      <w:pPr>
        <w:spacing w:line="360" w:lineRule="auto"/>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1.1.5其他相关采购文件。</w:t>
      </w:r>
    </w:p>
    <w:p>
      <w:pPr>
        <w:spacing w:line="360" w:lineRule="auto"/>
        <w:ind w:firstLine="437"/>
        <w:outlineLvl w:val="3"/>
        <w:rPr>
          <w:rFonts w:hint="eastAsia" w:ascii="宋体" w:hAnsi="宋体" w:eastAsia="宋体" w:cs="宋体"/>
          <w:b/>
          <w:bCs/>
          <w:sz w:val="24"/>
          <w:szCs w:val="24"/>
          <w:highlight w:val="none"/>
          <w:lang w:val="zh-CN"/>
        </w:rPr>
      </w:pPr>
      <w:bookmarkStart w:id="233" w:name="_Toc24300"/>
      <w:bookmarkStart w:id="234" w:name="_Toc21295"/>
      <w:bookmarkStart w:id="235" w:name="_Toc27126"/>
      <w:r>
        <w:rPr>
          <w:rFonts w:hint="eastAsia" w:ascii="宋体" w:hAnsi="宋体" w:eastAsia="宋体" w:cs="宋体"/>
          <w:b/>
          <w:bCs/>
          <w:sz w:val="24"/>
          <w:szCs w:val="24"/>
          <w:highlight w:val="none"/>
          <w:lang w:val="zh-CN"/>
        </w:rPr>
        <w:t>1.2 货物</w:t>
      </w:r>
      <w:bookmarkEnd w:id="233"/>
      <w:bookmarkEnd w:id="234"/>
      <w:bookmarkEnd w:id="235"/>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28"/>
        <w:gridCol w:w="1140"/>
        <w:gridCol w:w="1024"/>
        <w:gridCol w:w="1130"/>
        <w:gridCol w:w="1126"/>
        <w:gridCol w:w="112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top"/>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序号</w:t>
            </w:r>
          </w:p>
        </w:tc>
        <w:tc>
          <w:tcPr>
            <w:tcW w:w="712" w:type="pct"/>
            <w:noWrap w:val="0"/>
            <w:vAlign w:val="center"/>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货物名称</w:t>
            </w:r>
          </w:p>
        </w:tc>
        <w:tc>
          <w:tcPr>
            <w:tcW w:w="661" w:type="pct"/>
            <w:noWrap w:val="0"/>
            <w:vAlign w:val="center"/>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规格型号</w:t>
            </w:r>
          </w:p>
        </w:tc>
        <w:tc>
          <w:tcPr>
            <w:tcW w:w="594" w:type="pct"/>
            <w:noWrap w:val="0"/>
            <w:vAlign w:val="center"/>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单位</w:t>
            </w:r>
          </w:p>
        </w:tc>
        <w:tc>
          <w:tcPr>
            <w:tcW w:w="655" w:type="pct"/>
            <w:noWrap w:val="0"/>
            <w:vAlign w:val="center"/>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数量</w:t>
            </w:r>
          </w:p>
        </w:tc>
        <w:tc>
          <w:tcPr>
            <w:tcW w:w="653" w:type="pct"/>
            <w:noWrap w:val="0"/>
            <w:vAlign w:val="top"/>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单价</w:t>
            </w:r>
          </w:p>
        </w:tc>
        <w:tc>
          <w:tcPr>
            <w:tcW w:w="653" w:type="pct"/>
            <w:noWrap w:val="0"/>
            <w:vAlign w:val="top"/>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小计</w:t>
            </w:r>
          </w:p>
        </w:tc>
        <w:tc>
          <w:tcPr>
            <w:tcW w:w="653" w:type="pct"/>
            <w:noWrap w:val="0"/>
            <w:vAlign w:val="center"/>
          </w:tcPr>
          <w:p>
            <w:pPr>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top"/>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712" w:type="pct"/>
            <w:noWrap w:val="0"/>
            <w:vAlign w:val="center"/>
          </w:tcPr>
          <w:p>
            <w:pPr>
              <w:jc w:val="center"/>
              <w:rPr>
                <w:rFonts w:hint="eastAsia" w:ascii="宋体" w:hAnsi="宋体" w:eastAsia="宋体" w:cs="宋体"/>
                <w:sz w:val="24"/>
                <w:szCs w:val="24"/>
                <w:highlight w:val="none"/>
                <w:lang w:val="zh-CN"/>
              </w:rPr>
            </w:pPr>
          </w:p>
        </w:tc>
        <w:tc>
          <w:tcPr>
            <w:tcW w:w="661" w:type="pct"/>
            <w:noWrap w:val="0"/>
            <w:vAlign w:val="center"/>
          </w:tcPr>
          <w:p>
            <w:pPr>
              <w:jc w:val="center"/>
              <w:rPr>
                <w:rFonts w:hint="eastAsia" w:ascii="宋体" w:hAnsi="宋体" w:eastAsia="宋体" w:cs="宋体"/>
                <w:sz w:val="24"/>
                <w:szCs w:val="24"/>
                <w:highlight w:val="none"/>
                <w:lang w:val="zh-CN"/>
              </w:rPr>
            </w:pPr>
          </w:p>
        </w:tc>
        <w:tc>
          <w:tcPr>
            <w:tcW w:w="594" w:type="pct"/>
            <w:noWrap w:val="0"/>
            <w:vAlign w:val="center"/>
          </w:tcPr>
          <w:p>
            <w:pPr>
              <w:jc w:val="center"/>
              <w:rPr>
                <w:rFonts w:hint="eastAsia" w:ascii="宋体" w:hAnsi="宋体" w:eastAsia="宋体" w:cs="宋体"/>
                <w:sz w:val="24"/>
                <w:szCs w:val="24"/>
                <w:highlight w:val="none"/>
                <w:lang w:val="zh-CN"/>
              </w:rPr>
            </w:pPr>
          </w:p>
        </w:tc>
        <w:tc>
          <w:tcPr>
            <w:tcW w:w="655" w:type="pct"/>
            <w:noWrap w:val="0"/>
            <w:vAlign w:val="center"/>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center"/>
          </w:tcPr>
          <w:p>
            <w:pPr>
              <w:jc w:val="center"/>
              <w:rPr>
                <w:rFonts w:hint="eastAsia" w:ascii="宋体" w:hAnsi="宋体" w:eastAsia="宋体" w:cs="宋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top"/>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tc>
        <w:tc>
          <w:tcPr>
            <w:tcW w:w="712" w:type="pct"/>
            <w:noWrap w:val="0"/>
            <w:vAlign w:val="center"/>
          </w:tcPr>
          <w:p>
            <w:pPr>
              <w:jc w:val="center"/>
              <w:rPr>
                <w:rFonts w:hint="eastAsia" w:ascii="宋体" w:hAnsi="宋体" w:eastAsia="宋体" w:cs="宋体"/>
                <w:sz w:val="24"/>
                <w:szCs w:val="24"/>
                <w:highlight w:val="none"/>
                <w:lang w:val="zh-CN"/>
              </w:rPr>
            </w:pPr>
          </w:p>
        </w:tc>
        <w:tc>
          <w:tcPr>
            <w:tcW w:w="661" w:type="pct"/>
            <w:noWrap w:val="0"/>
            <w:vAlign w:val="center"/>
          </w:tcPr>
          <w:p>
            <w:pPr>
              <w:jc w:val="center"/>
              <w:rPr>
                <w:rFonts w:hint="eastAsia" w:ascii="宋体" w:hAnsi="宋体" w:eastAsia="宋体" w:cs="宋体"/>
                <w:sz w:val="24"/>
                <w:szCs w:val="24"/>
                <w:highlight w:val="none"/>
                <w:lang w:val="zh-CN"/>
              </w:rPr>
            </w:pPr>
          </w:p>
        </w:tc>
        <w:tc>
          <w:tcPr>
            <w:tcW w:w="594" w:type="pct"/>
            <w:noWrap w:val="0"/>
            <w:vAlign w:val="center"/>
          </w:tcPr>
          <w:p>
            <w:pPr>
              <w:jc w:val="center"/>
              <w:rPr>
                <w:rFonts w:hint="eastAsia" w:ascii="宋体" w:hAnsi="宋体" w:eastAsia="宋体" w:cs="宋体"/>
                <w:sz w:val="24"/>
                <w:szCs w:val="24"/>
                <w:highlight w:val="none"/>
                <w:lang w:val="zh-CN"/>
              </w:rPr>
            </w:pPr>
          </w:p>
        </w:tc>
        <w:tc>
          <w:tcPr>
            <w:tcW w:w="655" w:type="pct"/>
            <w:noWrap w:val="0"/>
            <w:vAlign w:val="center"/>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center"/>
          </w:tcPr>
          <w:p>
            <w:pPr>
              <w:jc w:val="center"/>
              <w:rPr>
                <w:rFonts w:hint="eastAsia" w:ascii="宋体" w:hAnsi="宋体" w:eastAsia="宋体" w:cs="宋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top"/>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p>
        </w:tc>
        <w:tc>
          <w:tcPr>
            <w:tcW w:w="712" w:type="pct"/>
            <w:noWrap w:val="0"/>
            <w:vAlign w:val="center"/>
          </w:tcPr>
          <w:p>
            <w:pPr>
              <w:jc w:val="center"/>
              <w:rPr>
                <w:rFonts w:hint="eastAsia" w:ascii="宋体" w:hAnsi="宋体" w:eastAsia="宋体" w:cs="宋体"/>
                <w:sz w:val="24"/>
                <w:szCs w:val="24"/>
                <w:highlight w:val="none"/>
                <w:lang w:val="zh-CN"/>
              </w:rPr>
            </w:pPr>
          </w:p>
        </w:tc>
        <w:tc>
          <w:tcPr>
            <w:tcW w:w="661" w:type="pct"/>
            <w:noWrap w:val="0"/>
            <w:vAlign w:val="center"/>
          </w:tcPr>
          <w:p>
            <w:pPr>
              <w:jc w:val="center"/>
              <w:rPr>
                <w:rFonts w:hint="eastAsia" w:ascii="宋体" w:hAnsi="宋体" w:eastAsia="宋体" w:cs="宋体"/>
                <w:sz w:val="24"/>
                <w:szCs w:val="24"/>
                <w:highlight w:val="none"/>
                <w:lang w:val="zh-CN"/>
              </w:rPr>
            </w:pPr>
          </w:p>
        </w:tc>
        <w:tc>
          <w:tcPr>
            <w:tcW w:w="594" w:type="pct"/>
            <w:noWrap w:val="0"/>
            <w:vAlign w:val="center"/>
          </w:tcPr>
          <w:p>
            <w:pPr>
              <w:jc w:val="center"/>
              <w:rPr>
                <w:rFonts w:hint="eastAsia" w:ascii="宋体" w:hAnsi="宋体" w:eastAsia="宋体" w:cs="宋体"/>
                <w:sz w:val="24"/>
                <w:szCs w:val="24"/>
                <w:highlight w:val="none"/>
                <w:lang w:val="zh-CN"/>
              </w:rPr>
            </w:pPr>
          </w:p>
        </w:tc>
        <w:tc>
          <w:tcPr>
            <w:tcW w:w="655" w:type="pct"/>
            <w:noWrap w:val="0"/>
            <w:vAlign w:val="center"/>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center"/>
          </w:tcPr>
          <w:p>
            <w:pPr>
              <w:jc w:val="center"/>
              <w:rPr>
                <w:rFonts w:hint="eastAsia" w:ascii="宋体" w:hAnsi="宋体" w:eastAsia="宋体" w:cs="宋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top"/>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p>
        </w:tc>
        <w:tc>
          <w:tcPr>
            <w:tcW w:w="712" w:type="pct"/>
            <w:noWrap w:val="0"/>
            <w:vAlign w:val="center"/>
          </w:tcPr>
          <w:p>
            <w:pPr>
              <w:jc w:val="center"/>
              <w:rPr>
                <w:rFonts w:hint="eastAsia" w:ascii="宋体" w:hAnsi="宋体" w:eastAsia="宋体" w:cs="宋体"/>
                <w:sz w:val="24"/>
                <w:szCs w:val="24"/>
                <w:highlight w:val="none"/>
                <w:lang w:val="zh-CN"/>
              </w:rPr>
            </w:pPr>
          </w:p>
        </w:tc>
        <w:tc>
          <w:tcPr>
            <w:tcW w:w="661" w:type="pct"/>
            <w:noWrap w:val="0"/>
            <w:vAlign w:val="center"/>
          </w:tcPr>
          <w:p>
            <w:pPr>
              <w:jc w:val="center"/>
              <w:rPr>
                <w:rFonts w:hint="eastAsia" w:ascii="宋体" w:hAnsi="宋体" w:eastAsia="宋体" w:cs="宋体"/>
                <w:sz w:val="24"/>
                <w:szCs w:val="24"/>
                <w:highlight w:val="none"/>
                <w:lang w:val="zh-CN"/>
              </w:rPr>
            </w:pPr>
          </w:p>
        </w:tc>
        <w:tc>
          <w:tcPr>
            <w:tcW w:w="594" w:type="pct"/>
            <w:noWrap w:val="0"/>
            <w:vAlign w:val="center"/>
          </w:tcPr>
          <w:p>
            <w:pPr>
              <w:jc w:val="center"/>
              <w:rPr>
                <w:rFonts w:hint="eastAsia" w:ascii="宋体" w:hAnsi="宋体" w:eastAsia="宋体" w:cs="宋体"/>
                <w:sz w:val="24"/>
                <w:szCs w:val="24"/>
                <w:highlight w:val="none"/>
                <w:lang w:val="zh-CN"/>
              </w:rPr>
            </w:pPr>
          </w:p>
        </w:tc>
        <w:tc>
          <w:tcPr>
            <w:tcW w:w="655" w:type="pct"/>
            <w:noWrap w:val="0"/>
            <w:vAlign w:val="center"/>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top"/>
          </w:tcPr>
          <w:p>
            <w:pPr>
              <w:jc w:val="center"/>
              <w:rPr>
                <w:rFonts w:hint="eastAsia" w:ascii="宋体" w:hAnsi="宋体" w:eastAsia="宋体" w:cs="宋体"/>
                <w:sz w:val="24"/>
                <w:szCs w:val="24"/>
                <w:highlight w:val="none"/>
                <w:lang w:val="zh-CN"/>
              </w:rPr>
            </w:pPr>
          </w:p>
        </w:tc>
        <w:tc>
          <w:tcPr>
            <w:tcW w:w="653" w:type="pct"/>
            <w:noWrap w:val="0"/>
            <w:vAlign w:val="center"/>
          </w:tcPr>
          <w:p>
            <w:pPr>
              <w:jc w:val="center"/>
              <w:rPr>
                <w:rFonts w:hint="eastAsia" w:ascii="宋体" w:hAnsi="宋体" w:eastAsia="宋体" w:cs="宋体"/>
                <w:sz w:val="24"/>
                <w:szCs w:val="24"/>
                <w:highlight w:val="none"/>
                <w:lang w:val="zh-CN"/>
              </w:rPr>
            </w:pPr>
          </w:p>
        </w:tc>
      </w:tr>
    </w:tbl>
    <w:p>
      <w:pPr>
        <w:spacing w:line="360" w:lineRule="auto"/>
        <w:ind w:firstLine="437"/>
        <w:outlineLvl w:val="3"/>
        <w:rPr>
          <w:rFonts w:hint="eastAsia" w:ascii="宋体" w:hAnsi="宋体" w:eastAsia="宋体" w:cs="宋体"/>
          <w:b/>
          <w:bCs/>
          <w:sz w:val="24"/>
          <w:szCs w:val="24"/>
          <w:highlight w:val="none"/>
          <w:lang w:val="zh-CN"/>
        </w:rPr>
      </w:pPr>
      <w:bookmarkStart w:id="236" w:name="_Toc21551"/>
      <w:bookmarkStart w:id="237" w:name="_Toc23292"/>
      <w:bookmarkStart w:id="238" w:name="_Toc21631"/>
      <w:r>
        <w:rPr>
          <w:rFonts w:hint="eastAsia" w:ascii="宋体" w:hAnsi="宋体" w:eastAsia="宋体" w:cs="宋体"/>
          <w:b/>
          <w:bCs/>
          <w:sz w:val="24"/>
          <w:szCs w:val="24"/>
          <w:highlight w:val="none"/>
          <w:lang w:val="zh-CN"/>
        </w:rPr>
        <w:t>1.3 价款</w:t>
      </w:r>
      <w:bookmarkEnd w:id="236"/>
      <w:bookmarkEnd w:id="237"/>
      <w:bookmarkEnd w:id="238"/>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auto"/>
        <w:ind w:firstLine="437"/>
        <w:outlineLvl w:val="3"/>
        <w:rPr>
          <w:rFonts w:hint="eastAsia" w:ascii="宋体" w:hAnsi="宋体" w:eastAsia="宋体" w:cs="宋体"/>
          <w:b/>
          <w:bCs/>
          <w:sz w:val="24"/>
          <w:szCs w:val="24"/>
          <w:highlight w:val="none"/>
          <w:lang w:val="zh-CN"/>
        </w:rPr>
      </w:pPr>
      <w:bookmarkStart w:id="239" w:name="_Toc10340"/>
      <w:bookmarkStart w:id="240" w:name="_Toc1814"/>
      <w:bookmarkStart w:id="241" w:name="_Toc22618"/>
      <w:r>
        <w:rPr>
          <w:rFonts w:hint="eastAsia" w:ascii="宋体" w:hAnsi="宋体" w:eastAsia="宋体" w:cs="宋体"/>
          <w:b/>
          <w:bCs/>
          <w:sz w:val="24"/>
          <w:szCs w:val="24"/>
          <w:highlight w:val="none"/>
          <w:lang w:val="zh-CN"/>
        </w:rPr>
        <w:t>1.4 付款方式和发票开具方式</w:t>
      </w:r>
      <w:bookmarkEnd w:id="239"/>
      <w:bookmarkEnd w:id="240"/>
      <w:bookmarkEnd w:id="241"/>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1.4.1付款方式：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1.4.2发票开具方式：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bCs/>
          <w:sz w:val="24"/>
          <w:szCs w:val="24"/>
          <w:highlight w:val="none"/>
          <w:lang w:val="zh-CN"/>
        </w:rPr>
      </w:pPr>
      <w:bookmarkStart w:id="242" w:name="_Toc32071"/>
      <w:bookmarkStart w:id="243" w:name="_Toc2846"/>
      <w:bookmarkStart w:id="244" w:name="_Toc19304"/>
      <w:r>
        <w:rPr>
          <w:rFonts w:hint="eastAsia" w:ascii="宋体" w:hAnsi="宋体" w:eastAsia="宋体" w:cs="宋体"/>
          <w:b/>
          <w:bCs/>
          <w:sz w:val="24"/>
          <w:szCs w:val="24"/>
          <w:highlight w:val="none"/>
          <w:lang w:val="zh-CN"/>
        </w:rPr>
        <w:t>1.5 货物交付期限、地点和方式</w:t>
      </w:r>
      <w:bookmarkEnd w:id="242"/>
      <w:bookmarkEnd w:id="243"/>
      <w:bookmarkEnd w:id="244"/>
    </w:p>
    <w:p>
      <w:pPr>
        <w:spacing w:line="360" w:lineRule="auto"/>
        <w:ind w:firstLine="435"/>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1.5.1交付期限：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1.5.2交付地点：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1.5.3交付方式：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bCs/>
          <w:sz w:val="24"/>
          <w:szCs w:val="24"/>
          <w:highlight w:val="none"/>
          <w:lang w:val="zh-CN"/>
        </w:rPr>
      </w:pPr>
      <w:bookmarkStart w:id="245" w:name="_Toc27250"/>
      <w:bookmarkStart w:id="246" w:name="_Toc19554"/>
      <w:bookmarkStart w:id="247" w:name="_Toc21423"/>
      <w:r>
        <w:rPr>
          <w:rFonts w:hint="eastAsia" w:ascii="宋体" w:hAnsi="宋体" w:eastAsia="宋体" w:cs="宋体"/>
          <w:b/>
          <w:bCs/>
          <w:sz w:val="24"/>
          <w:szCs w:val="24"/>
          <w:highlight w:val="none"/>
          <w:lang w:val="zh-CN"/>
        </w:rPr>
        <w:t>1.6 违约责任</w:t>
      </w:r>
      <w:bookmarkEnd w:id="245"/>
      <w:bookmarkEnd w:id="246"/>
      <w:bookmarkEnd w:id="247"/>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1.6.1除不可抗力外，如果乙方没有按照本合同约定的期限、地点和方式交付货物或交付的货物验收不合格，那么甲方可要求乙方支付违约金，违约金按每迟延交付货物一日的应交付而未交付货物价格的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%；迟延交付货物的违约金计算数额达到前述最高限额之日起，甲方有权在要求乙方支付违约金的同时，书面通知乙方解除本合同；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%；迟延付款的违约金计算数额达到前述最高限额之日起，乙方有权在要求甲方支付违约金的同时，书面通知甲方解除本合同；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1.6.6如果出现政府采购监督管理部门在处理投诉事项期间，书面通知甲方暂停采购活动的情形，或者询问或质疑事项可能影响中标结果的，或因政府政策调整等原因，导致甲方中止履行合同的情形，均不视为甲方违约。</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1.6.7若乙方在质量保修期内未能完成本合同约定的保修责任，甲方将追究其违约责任，并要求乙方承担因违约给甲方造成的经济损失等。</w:t>
      </w:r>
    </w:p>
    <w:p>
      <w:pPr>
        <w:spacing w:line="360" w:lineRule="auto"/>
        <w:ind w:firstLine="435"/>
        <w:outlineLvl w:val="3"/>
        <w:rPr>
          <w:rFonts w:hint="eastAsia" w:ascii="宋体" w:hAnsi="宋体" w:eastAsia="宋体" w:cs="宋体"/>
          <w:b/>
          <w:bCs/>
          <w:sz w:val="24"/>
          <w:highlight w:val="none"/>
        </w:rPr>
      </w:pPr>
      <w:r>
        <w:rPr>
          <w:rFonts w:hint="eastAsia" w:ascii="宋体" w:hAnsi="宋体" w:eastAsia="宋体" w:cs="宋体"/>
          <w:b/>
          <w:bCs/>
          <w:sz w:val="24"/>
          <w:szCs w:val="24"/>
          <w:highlight w:val="none"/>
        </w:rPr>
        <w:t xml:space="preserve">1.7 </w:t>
      </w:r>
      <w:r>
        <w:rPr>
          <w:rFonts w:hint="eastAsia" w:ascii="宋体" w:hAnsi="宋体" w:eastAsia="宋体" w:cs="宋体"/>
          <w:b/>
          <w:bCs/>
          <w:sz w:val="24"/>
          <w:highlight w:val="none"/>
        </w:rPr>
        <w:t>安装调试与培训</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szCs w:val="24"/>
          <w:highlight w:val="none"/>
        </w:rPr>
        <w:t>1.7.1</w:t>
      </w:r>
      <w:r>
        <w:rPr>
          <w:rFonts w:hint="eastAsia" w:ascii="宋体" w:hAnsi="宋体" w:eastAsia="宋体" w:cs="宋体"/>
          <w:sz w:val="24"/>
          <w:highlight w:val="none"/>
        </w:rPr>
        <w:t>供应商应提供设备安装，故障排除/调试和设备测试服务。</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① 为方便采购人设备的正常接收及顺利开展安装前期准备工作，供应商须配合用户提供安装条件，电气要求等。</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②仪器到达用户使用现场后，由供应商派出工程师与用户共同开箱清点验收后负责安装、调试，相关费用含在本次投标报价中。</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③设备到达用户所在地后</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在接到用户通知后1周内执行安装调试直至达到验收指标。</w:t>
      </w:r>
    </w:p>
    <w:p>
      <w:pPr>
        <w:spacing w:line="360" w:lineRule="auto"/>
        <w:ind w:firstLine="437"/>
        <w:outlineLvl w:val="9"/>
        <w:rPr>
          <w:rFonts w:hint="eastAsia" w:ascii="宋体" w:hAnsi="宋体" w:eastAsia="宋体" w:cs="宋体"/>
          <w:sz w:val="24"/>
          <w:highlight w:val="none"/>
        </w:rPr>
      </w:pPr>
      <w:r>
        <w:rPr>
          <w:rFonts w:hint="eastAsia" w:ascii="宋体" w:hAnsi="宋体" w:eastAsia="宋体" w:cs="宋体"/>
          <w:sz w:val="24"/>
          <w:szCs w:val="24"/>
          <w:highlight w:val="none"/>
        </w:rPr>
        <w:t>1.7.2</w:t>
      </w:r>
      <w:r>
        <w:rPr>
          <w:rFonts w:hint="eastAsia" w:ascii="宋体" w:hAnsi="宋体" w:eastAsia="宋体" w:cs="宋体"/>
          <w:sz w:val="24"/>
          <w:highlight w:val="none"/>
        </w:rPr>
        <w:t>供应商应提供技术培训，具体为：</w:t>
      </w:r>
    </w:p>
    <w:p>
      <w:pPr>
        <w:spacing w:line="360" w:lineRule="auto"/>
        <w:ind w:firstLine="437"/>
        <w:outlineLvl w:val="9"/>
        <w:rPr>
          <w:rFonts w:hint="eastAsia" w:ascii="宋体" w:hAnsi="宋体" w:eastAsia="宋体" w:cs="宋体"/>
          <w:sz w:val="24"/>
          <w:highlight w:val="none"/>
        </w:rPr>
      </w:pPr>
      <w:r>
        <w:rPr>
          <w:rFonts w:hint="eastAsia" w:ascii="宋体" w:hAnsi="宋体" w:eastAsia="宋体" w:cs="宋体"/>
          <w:sz w:val="24"/>
          <w:highlight w:val="none"/>
        </w:rPr>
        <w:t>①要求供应商提供用户现场培训及培训资料。</w:t>
      </w:r>
    </w:p>
    <w:p>
      <w:pPr>
        <w:spacing w:line="360" w:lineRule="auto"/>
        <w:ind w:firstLine="437"/>
        <w:outlineLvl w:val="9"/>
        <w:rPr>
          <w:rFonts w:hint="eastAsia" w:ascii="宋体" w:hAnsi="宋体" w:eastAsia="宋体" w:cs="宋体"/>
          <w:sz w:val="24"/>
          <w:highlight w:val="none"/>
        </w:rPr>
      </w:pPr>
      <w:r>
        <w:rPr>
          <w:rFonts w:hint="eastAsia" w:ascii="宋体" w:hAnsi="宋体" w:eastAsia="宋体" w:cs="宋体"/>
          <w:sz w:val="24"/>
          <w:highlight w:val="none"/>
        </w:rPr>
        <w:t>②培训人员1-</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名。</w:t>
      </w:r>
    </w:p>
    <w:p>
      <w:pPr>
        <w:spacing w:line="360" w:lineRule="auto"/>
        <w:ind w:firstLine="437"/>
        <w:outlineLvl w:val="9"/>
        <w:rPr>
          <w:rFonts w:hint="eastAsia" w:ascii="宋体" w:hAnsi="宋体" w:eastAsia="宋体" w:cs="宋体"/>
          <w:sz w:val="24"/>
          <w:highlight w:val="none"/>
        </w:rPr>
      </w:pPr>
      <w:r>
        <w:rPr>
          <w:rFonts w:hint="eastAsia" w:ascii="宋体" w:hAnsi="宋体" w:eastAsia="宋体" w:cs="宋体"/>
          <w:sz w:val="24"/>
          <w:highlight w:val="none"/>
        </w:rPr>
        <w:t>③根据用户实际需求，双方协商时间，可根据采购人需要在供应商公司进行不少于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次的为期一周培训 。</w:t>
      </w:r>
    </w:p>
    <w:p>
      <w:pPr>
        <w:spacing w:line="360" w:lineRule="auto"/>
        <w:ind w:firstLine="437"/>
        <w:outlineLvl w:val="9"/>
        <w:rPr>
          <w:rFonts w:hint="eastAsia" w:ascii="宋体" w:hAnsi="宋体" w:eastAsia="宋体" w:cs="宋体"/>
          <w:sz w:val="24"/>
          <w:highlight w:val="none"/>
        </w:rPr>
      </w:pPr>
      <w:r>
        <w:rPr>
          <w:rFonts w:hint="eastAsia" w:ascii="宋体" w:hAnsi="宋体" w:eastAsia="宋体" w:cs="宋体"/>
          <w:sz w:val="24"/>
          <w:highlight w:val="none"/>
        </w:rPr>
        <w:t>④培训内容包括但不限于仪器的技术原理、操作、工艺、数据处理、基本维护等。</w:t>
      </w:r>
    </w:p>
    <w:p>
      <w:pPr>
        <w:spacing w:line="360" w:lineRule="auto"/>
        <w:ind w:firstLine="437"/>
        <w:outlineLvl w:val="3"/>
        <w:rPr>
          <w:rFonts w:hint="eastAsia" w:ascii="宋体" w:hAnsi="宋体" w:eastAsia="宋体" w:cs="宋体"/>
          <w:b/>
          <w:bCs/>
          <w:sz w:val="24"/>
          <w:highlight w:val="none"/>
          <w:lang w:val="zh-CN"/>
        </w:rPr>
      </w:pPr>
      <w:r>
        <w:rPr>
          <w:rFonts w:hint="eastAsia" w:ascii="宋体" w:hAnsi="宋体" w:eastAsia="宋体" w:cs="宋体"/>
          <w:b/>
          <w:bCs/>
          <w:sz w:val="24"/>
          <w:szCs w:val="24"/>
          <w:highlight w:val="none"/>
        </w:rPr>
        <w:t>1.8</w:t>
      </w:r>
      <w:r>
        <w:rPr>
          <w:rFonts w:hint="eastAsia" w:ascii="宋体" w:hAnsi="宋体" w:eastAsia="宋体" w:cs="宋体"/>
          <w:b/>
          <w:bCs/>
          <w:sz w:val="24"/>
          <w:highlight w:val="none"/>
          <w:lang w:val="zh-CN"/>
        </w:rPr>
        <w:t>验收要求</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（一）质量标准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（二）验收组织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甲方负责组织验收工作，大型或者复杂的政府采购项目，必须邀请国家认可的质量检测机构参加验收工作。</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（三）验收程序</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1.成立验收小组，验收人员应由甲方代表和技术专家组成。</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2.验收前要编制验收表格。</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3.验收时双方要按照验收表格逐项验收。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4.验收方出具验收报告。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5.复杂设备的验收还要包括出厂检验、到货检验、安装和调试、最终验收、培训等伴随服务的验收。</w:t>
      </w:r>
    </w:p>
    <w:p>
      <w:pPr>
        <w:spacing w:line="360" w:lineRule="auto"/>
        <w:ind w:firstLine="437"/>
        <w:outlineLvl w:val="3"/>
        <w:rPr>
          <w:rFonts w:hint="eastAsia" w:ascii="宋体" w:hAnsi="宋体" w:eastAsia="宋体" w:cs="宋体"/>
          <w:b/>
          <w:bCs/>
          <w:sz w:val="24"/>
          <w:highlight w:val="none"/>
          <w:lang w:val="zh-CN"/>
        </w:rPr>
      </w:pPr>
      <w:r>
        <w:rPr>
          <w:rFonts w:hint="eastAsia" w:ascii="宋体" w:hAnsi="宋体" w:eastAsia="宋体" w:cs="宋体"/>
          <w:b/>
          <w:bCs/>
          <w:sz w:val="24"/>
          <w:szCs w:val="24"/>
          <w:highlight w:val="none"/>
        </w:rPr>
        <w:t>1.9</w:t>
      </w:r>
      <w:r>
        <w:rPr>
          <w:rFonts w:hint="eastAsia" w:ascii="宋体" w:hAnsi="宋体" w:eastAsia="宋体" w:cs="宋体"/>
          <w:b/>
          <w:bCs/>
          <w:sz w:val="24"/>
          <w:highlight w:val="none"/>
          <w:lang w:val="zh-CN"/>
        </w:rPr>
        <w:t>售后服务</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（一）乙方对合同货物的质量保修期为自验收合格之日起</w:t>
      </w:r>
      <w:r>
        <w:rPr>
          <w:rFonts w:hint="eastAsia" w:ascii="宋体" w:hAnsi="宋体" w:eastAsia="宋体" w:cs="宋体"/>
          <w:sz w:val="24"/>
          <w:highlight w:val="none"/>
          <w:u w:val="single"/>
        </w:rPr>
        <w:t xml:space="preserve">     年</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（二）乙方在合同货物的质量保修期内，免费为甲方提供合同货物的技术指导和维修服务的时间是：每周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小时（工作时间）。</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（三）乙方保证在合同货物出现故障和缺陷时，或接到甲方提出的技术服务要求后4小时内予以答复，如甲方有要求或必要时，乙方应在接到甲方通知后8  小时内派员至甲方免费维修和提供现场指导。</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（四）如乙方在接到甲方维修通知后8小时仍不能修复有关货物，乙方应提供与该货物同一型号的备用货物。</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五）如乙方在接到甲方提出的技术服务要求或维修通知后24小时内没有响应、拒绝或没有派员到达甲方提供技术服务、修理或退换货物，甲方有权委托第三方对合同货物进行维修或提供技术服务，因此产生的相关费用由乙方承担。</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（六）在合同货物保修期届满后，如果因合同货物硬件或软件的固有缺陷和瑕疵出现紧急故障和事故，乙方应在接到甲方通知之后 24 小时内到达现场。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（七）若乙方在质量保修期内未能完成本合同约定的保修责任，甲方将追究其违约责任，并要求乙方承担因违约给甲方造成的经济损失等。</w:t>
      </w:r>
    </w:p>
    <w:p>
      <w:pPr>
        <w:spacing w:line="360" w:lineRule="auto"/>
        <w:ind w:firstLine="435"/>
        <w:outlineLvl w:val="3"/>
        <w:rPr>
          <w:rFonts w:hint="eastAsia" w:ascii="宋体" w:hAnsi="宋体" w:eastAsia="宋体" w:cs="宋体"/>
          <w:b/>
          <w:bCs/>
          <w:sz w:val="24"/>
          <w:highlight w:val="none"/>
          <w:lang w:val="zh-CN"/>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highlight w:val="none"/>
          <w:lang w:val="zh-CN"/>
        </w:rPr>
        <w:t>履约保证金</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本项目履约保证金为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w:t>
      </w:r>
      <w:r>
        <w:rPr>
          <w:rFonts w:hint="eastAsia" w:ascii="宋体" w:hAnsi="宋体" w:eastAsia="宋体" w:cs="宋体"/>
          <w:sz w:val="24"/>
          <w:highlight w:val="none"/>
          <w:lang w:eastAsia="zh-CN"/>
        </w:rPr>
        <w:t>（</w:t>
      </w:r>
      <w:r>
        <w:rPr>
          <w:rFonts w:hint="eastAsia" w:ascii="宋体" w:hAnsi="宋体" w:eastAsia="宋体" w:cs="宋体"/>
          <w:sz w:val="24"/>
          <w:highlight w:val="none"/>
        </w:rPr>
        <w:t>人民币大写：     元</w:t>
      </w:r>
      <w:r>
        <w:rPr>
          <w:rFonts w:hint="eastAsia" w:ascii="宋体" w:hAnsi="宋体" w:eastAsia="宋体" w:cs="宋体"/>
          <w:sz w:val="24"/>
          <w:highlight w:val="none"/>
          <w:lang w:eastAsia="zh-CN"/>
        </w:rPr>
        <w:t>）</w:t>
      </w:r>
      <w:r>
        <w:rPr>
          <w:rFonts w:hint="eastAsia" w:ascii="宋体" w:hAnsi="宋体" w:eastAsia="宋体" w:cs="宋体"/>
          <w:sz w:val="24"/>
          <w:highlight w:val="none"/>
        </w:rPr>
        <w:t>或有效保函，收受人为采购人 ，合同期满乙方无违约的情形下无息退还。如乙方未能按期履行合同，甲方可从履约保证金（保函）中获得经济上的赔偿。</w:t>
      </w:r>
    </w:p>
    <w:p>
      <w:pPr>
        <w:spacing w:line="360" w:lineRule="auto"/>
        <w:ind w:firstLine="435"/>
        <w:outlineLvl w:val="3"/>
        <w:rPr>
          <w:rFonts w:hint="eastAsia" w:ascii="宋体" w:hAnsi="宋体" w:eastAsia="宋体" w:cs="宋体"/>
          <w:b/>
          <w:bCs/>
          <w:sz w:val="24"/>
          <w:highlight w:val="none"/>
          <w:lang w:val="zh-CN"/>
        </w:rPr>
      </w:pPr>
      <w:bookmarkStart w:id="248" w:name="_Toc28375"/>
      <w:bookmarkStart w:id="249" w:name="_Toc16021"/>
      <w:bookmarkStart w:id="250" w:name="_Toc15583"/>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 xml:space="preserve"> </w:t>
      </w:r>
      <w:r>
        <w:rPr>
          <w:rFonts w:hint="eastAsia" w:ascii="宋体" w:hAnsi="宋体" w:eastAsia="宋体" w:cs="宋体"/>
          <w:b/>
          <w:bCs/>
          <w:sz w:val="24"/>
          <w:highlight w:val="none"/>
          <w:lang w:val="zh-CN"/>
        </w:rPr>
        <w:t>合同争议的解决</w:t>
      </w:r>
      <w:bookmarkEnd w:id="248"/>
      <w:bookmarkEnd w:id="249"/>
      <w:bookmarkEnd w:id="250"/>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highlight w:val="none"/>
        </w:rPr>
        <w:t>本合同履行过程中发生的任何争议，双方</w:t>
      </w:r>
      <w:r>
        <w:rPr>
          <w:rFonts w:hint="eastAsia" w:ascii="宋体" w:hAnsi="宋体" w:eastAsia="宋体" w:cs="宋体"/>
          <w:sz w:val="24"/>
          <w:szCs w:val="24"/>
          <w:highlight w:val="none"/>
        </w:rPr>
        <w:t>当事人均可通过和解或者调解解决；不愿和解、调解或者和解、调解不成的，可以选择下列第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种方式解决：</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.1将争议提交</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仲裁委员会依申请仲裁时其现行有效的仲裁规则裁决；</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1.2向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人民法院起诉。</w:t>
      </w:r>
    </w:p>
    <w:p>
      <w:pPr>
        <w:spacing w:line="360" w:lineRule="auto"/>
        <w:ind w:firstLine="437"/>
        <w:outlineLvl w:val="3"/>
        <w:rPr>
          <w:rFonts w:hint="eastAsia" w:ascii="宋体" w:hAnsi="宋体" w:eastAsia="宋体" w:cs="宋体"/>
          <w:b/>
          <w:bCs/>
          <w:sz w:val="24"/>
          <w:szCs w:val="24"/>
          <w:highlight w:val="none"/>
          <w:lang w:val="zh-CN"/>
        </w:rPr>
      </w:pPr>
      <w:bookmarkStart w:id="251" w:name="_Toc7245"/>
      <w:bookmarkStart w:id="252" w:name="_Toc11173"/>
      <w:bookmarkStart w:id="253" w:name="_Toc15322"/>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val="zh-CN"/>
        </w:rPr>
        <w:t>2 合同生效</w:t>
      </w:r>
      <w:bookmarkEnd w:id="251"/>
      <w:bookmarkEnd w:id="252"/>
      <w:bookmarkEnd w:id="253"/>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本合同一式 </w:t>
      </w:r>
      <w:r>
        <w:rPr>
          <w:rFonts w:hint="eastAsia" w:ascii="宋体" w:hAnsi="宋体" w:eastAsia="宋体" w:cs="宋体"/>
          <w:sz w:val="24"/>
          <w:szCs w:val="24"/>
          <w:highlight w:val="none"/>
          <w:u w:val="single"/>
        </w:rPr>
        <w:t xml:space="preserve">陆 </w:t>
      </w:r>
      <w:r>
        <w:rPr>
          <w:rFonts w:hint="eastAsia" w:ascii="宋体" w:hAnsi="宋体" w:eastAsia="宋体" w:cs="宋体"/>
          <w:sz w:val="24"/>
          <w:szCs w:val="24"/>
          <w:highlight w:val="none"/>
        </w:rPr>
        <w:t>份，自甲乙双方及见证方签字盖章时生效。</w:t>
      </w:r>
    </w:p>
    <w:p>
      <w:pPr>
        <w:pStyle w:val="2"/>
        <w:ind w:firstLine="640"/>
        <w:rPr>
          <w:rFonts w:hint="eastAsia" w:ascii="宋体" w:hAnsi="宋体" w:eastAsia="宋体" w:cs="宋体"/>
          <w:highlight w:val="none"/>
        </w:rPr>
      </w:pPr>
    </w:p>
    <w:p>
      <w:pPr>
        <w:pStyle w:val="2"/>
        <w:ind w:firstLine="640"/>
        <w:rPr>
          <w:rFonts w:hint="eastAsia" w:ascii="宋体" w:hAnsi="宋体" w:eastAsia="宋体" w:cs="宋体"/>
          <w:highlight w:val="none"/>
        </w:rPr>
      </w:pPr>
    </w:p>
    <w:p>
      <w:pPr>
        <w:autoSpaceDE w:val="0"/>
        <w:autoSpaceDN w:val="0"/>
        <w:adjustRightInd w:val="0"/>
        <w:spacing w:line="560" w:lineRule="exact"/>
        <w:rPr>
          <w:rFonts w:hint="eastAsia" w:ascii="宋体" w:hAnsi="宋体" w:eastAsia="宋体" w:cs="宋体"/>
          <w:bCs/>
          <w:sz w:val="24"/>
          <w:highlight w:val="none"/>
          <w:lang w:val="zh-CN"/>
        </w:rPr>
      </w:pPr>
      <w:bookmarkStart w:id="254" w:name="_Toc331685783"/>
      <w:r>
        <w:rPr>
          <w:rFonts w:hint="eastAsia" w:ascii="宋体" w:hAnsi="宋体" w:eastAsia="宋体" w:cs="宋体"/>
          <w:bCs/>
          <w:sz w:val="24"/>
          <w:highlight w:val="none"/>
          <w:lang w:val="zh-CN"/>
        </w:rPr>
        <w:t>甲    方：</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zh-CN"/>
        </w:rPr>
        <w:t xml:space="preserve">（单位盖章）   </w:t>
      </w: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rPr>
        <w:t xml:space="preserve">     </w:t>
      </w:r>
      <w:r>
        <w:rPr>
          <w:rFonts w:hint="eastAsia" w:ascii="宋体" w:hAnsi="宋体" w:eastAsia="宋体" w:cs="宋体"/>
          <w:bCs/>
          <w:sz w:val="24"/>
          <w:highlight w:val="none"/>
          <w:lang w:val="zh-CN"/>
        </w:rPr>
        <w:t xml:space="preserve"> 乙方：</w:t>
      </w:r>
      <w:r>
        <w:rPr>
          <w:rFonts w:hint="eastAsia" w:ascii="宋体" w:hAnsi="宋体" w:eastAsia="宋体" w:cs="宋体"/>
          <w:bCs/>
          <w:sz w:val="24"/>
          <w:highlight w:val="none"/>
          <w:u w:val="single"/>
          <w:lang w:val="zh-CN"/>
        </w:rPr>
        <w:t xml:space="preserve">    （单位盖章）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                               法定代表人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或授权代表（签字）：                      或授权代表（签字）：</w:t>
      </w:r>
    </w:p>
    <w:p>
      <w:pPr>
        <w:widowControl/>
        <w:spacing w:line="560" w:lineRule="exact"/>
        <w:jc w:val="left"/>
        <w:rPr>
          <w:rFonts w:hint="eastAsia" w:ascii="宋体" w:hAnsi="宋体" w:eastAsia="宋体" w:cs="宋体"/>
          <w:bCs/>
          <w:sz w:val="24"/>
          <w:highlight w:val="none"/>
        </w:rPr>
      </w:pPr>
      <w:r>
        <w:rPr>
          <w:rFonts w:hint="eastAsia" w:ascii="宋体" w:hAnsi="宋体" w:eastAsia="宋体" w:cs="宋体"/>
          <w:bCs/>
          <w:sz w:val="24"/>
          <w:highlight w:val="none"/>
        </w:rPr>
        <w:t>时间：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月</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日               时间：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月</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日</w:t>
      </w:r>
    </w:p>
    <w:p>
      <w:pPr>
        <w:widowControl/>
        <w:jc w:val="left"/>
        <w:rPr>
          <w:rFonts w:hint="eastAsia" w:ascii="宋体" w:hAnsi="宋体" w:eastAsia="宋体" w:cs="宋体"/>
          <w:b/>
          <w:sz w:val="24"/>
          <w:highlight w:val="none"/>
        </w:rPr>
      </w:pPr>
    </w:p>
    <w:p>
      <w:pPr>
        <w:autoSpaceDE w:val="0"/>
        <w:autoSpaceDN w:val="0"/>
        <w:adjustRightInd w:val="0"/>
        <w:spacing w:line="560" w:lineRule="exact"/>
        <w:rPr>
          <w:rFonts w:hint="eastAsia" w:ascii="宋体" w:hAnsi="宋体" w:eastAsia="宋体" w:cs="宋体"/>
          <w:bCs/>
          <w:sz w:val="24"/>
          <w:szCs w:val="22"/>
          <w:highlight w:val="none"/>
        </w:rPr>
      </w:pPr>
      <w:r>
        <w:rPr>
          <w:rFonts w:hint="eastAsia" w:ascii="宋体" w:hAnsi="宋体" w:eastAsia="宋体" w:cs="宋体"/>
          <w:bCs/>
          <w:sz w:val="24"/>
          <w:szCs w:val="22"/>
          <w:highlight w:val="none"/>
        </w:rPr>
        <w:t>见证方：采购代理机构（单位盖章）</w:t>
      </w:r>
    </w:p>
    <w:p>
      <w:pPr>
        <w:autoSpaceDE w:val="0"/>
        <w:autoSpaceDN w:val="0"/>
        <w:adjustRightInd w:val="0"/>
        <w:spacing w:line="560" w:lineRule="exact"/>
        <w:rPr>
          <w:rFonts w:hint="eastAsia" w:ascii="宋体" w:hAnsi="宋体" w:eastAsia="宋体" w:cs="宋体"/>
          <w:bCs/>
          <w:sz w:val="24"/>
          <w:szCs w:val="22"/>
          <w:highlight w:val="none"/>
        </w:rPr>
      </w:pPr>
      <w:r>
        <w:rPr>
          <w:rFonts w:hint="eastAsia" w:ascii="宋体" w:hAnsi="宋体" w:eastAsia="宋体" w:cs="宋体"/>
          <w:bCs/>
          <w:sz w:val="24"/>
          <w:szCs w:val="22"/>
          <w:highlight w:val="none"/>
        </w:rPr>
        <w:t>法定代表人</w:t>
      </w:r>
    </w:p>
    <w:p>
      <w:pPr>
        <w:autoSpaceDE w:val="0"/>
        <w:autoSpaceDN w:val="0"/>
        <w:adjustRightInd w:val="0"/>
        <w:spacing w:line="560" w:lineRule="exact"/>
        <w:rPr>
          <w:rFonts w:hint="eastAsia" w:ascii="宋体" w:hAnsi="宋体" w:eastAsia="宋体" w:cs="宋体"/>
          <w:bCs/>
          <w:sz w:val="24"/>
          <w:szCs w:val="22"/>
          <w:highlight w:val="none"/>
        </w:rPr>
      </w:pPr>
      <w:r>
        <w:rPr>
          <w:rFonts w:hint="eastAsia" w:ascii="宋体" w:hAnsi="宋体" w:eastAsia="宋体" w:cs="宋体"/>
          <w:bCs/>
          <w:sz w:val="24"/>
          <w:szCs w:val="22"/>
          <w:highlight w:val="none"/>
        </w:rPr>
        <w:t>或授权代表（签字）：</w:t>
      </w:r>
    </w:p>
    <w:p>
      <w:pPr>
        <w:widowControl/>
        <w:spacing w:line="560" w:lineRule="exact"/>
        <w:jc w:val="center"/>
        <w:outlineLvl w:val="9"/>
        <w:rPr>
          <w:rFonts w:hint="eastAsia" w:ascii="宋体" w:hAnsi="宋体" w:eastAsia="宋体" w:cs="宋体"/>
          <w:bCs/>
          <w:sz w:val="24"/>
          <w:szCs w:val="22"/>
          <w:highlight w:val="none"/>
          <w:lang w:val="zh-CN"/>
        </w:rPr>
      </w:pPr>
      <w:r>
        <w:rPr>
          <w:rFonts w:hint="eastAsia" w:ascii="宋体" w:hAnsi="宋体" w:eastAsia="宋体" w:cs="宋体"/>
          <w:bCs/>
          <w:sz w:val="24"/>
          <w:szCs w:val="22"/>
          <w:highlight w:val="none"/>
          <w:lang w:val="zh-CN"/>
        </w:rPr>
        <w:t>时间：</w:t>
      </w:r>
      <w:r>
        <w:rPr>
          <w:rFonts w:hint="eastAsia" w:ascii="宋体" w:hAnsi="宋体" w:eastAsia="宋体" w:cs="宋体"/>
          <w:bCs/>
          <w:sz w:val="24"/>
          <w:szCs w:val="22"/>
          <w:highlight w:val="none"/>
          <w:u w:val="single"/>
          <w:lang w:val="zh-CN"/>
        </w:rPr>
        <w:t xml:space="preserve">     </w:t>
      </w:r>
      <w:r>
        <w:rPr>
          <w:rFonts w:hint="eastAsia" w:ascii="宋体" w:hAnsi="宋体" w:eastAsia="宋体" w:cs="宋体"/>
          <w:bCs/>
          <w:sz w:val="24"/>
          <w:szCs w:val="22"/>
          <w:highlight w:val="none"/>
          <w:lang w:val="zh-CN"/>
        </w:rPr>
        <w:t xml:space="preserve"> 年 </w:t>
      </w:r>
      <w:r>
        <w:rPr>
          <w:rFonts w:hint="eastAsia" w:ascii="宋体" w:hAnsi="宋体" w:eastAsia="宋体" w:cs="宋体"/>
          <w:bCs/>
          <w:sz w:val="24"/>
          <w:szCs w:val="22"/>
          <w:highlight w:val="none"/>
          <w:u w:val="single"/>
          <w:lang w:val="zh-CN"/>
        </w:rPr>
        <w:t xml:space="preserve">   </w:t>
      </w:r>
      <w:r>
        <w:rPr>
          <w:rFonts w:hint="eastAsia" w:ascii="宋体" w:hAnsi="宋体" w:eastAsia="宋体" w:cs="宋体"/>
          <w:bCs/>
          <w:sz w:val="24"/>
          <w:szCs w:val="22"/>
          <w:highlight w:val="none"/>
          <w:lang w:val="zh-CN"/>
        </w:rPr>
        <w:t xml:space="preserve">月 </w:t>
      </w:r>
      <w:r>
        <w:rPr>
          <w:rFonts w:hint="eastAsia" w:ascii="宋体" w:hAnsi="宋体" w:eastAsia="宋体" w:cs="宋体"/>
          <w:bCs/>
          <w:sz w:val="24"/>
          <w:szCs w:val="22"/>
          <w:highlight w:val="none"/>
          <w:u w:val="single"/>
          <w:lang w:val="zh-CN"/>
        </w:rPr>
        <w:t xml:space="preserve">   </w:t>
      </w:r>
      <w:r>
        <w:rPr>
          <w:rFonts w:hint="eastAsia" w:ascii="宋体" w:hAnsi="宋体" w:eastAsia="宋体" w:cs="宋体"/>
          <w:bCs/>
          <w:sz w:val="24"/>
          <w:szCs w:val="22"/>
          <w:highlight w:val="none"/>
          <w:lang w:val="zh-CN"/>
        </w:rPr>
        <w:t>日</w:t>
      </w:r>
    </w:p>
    <w:p>
      <w:pPr>
        <w:widowControl/>
        <w:spacing w:line="560" w:lineRule="exact"/>
        <w:jc w:val="center"/>
        <w:outlineLvl w:val="2"/>
        <w:rPr>
          <w:rFonts w:hint="eastAsia" w:ascii="方正黑体_GBK" w:hAnsi="方正黑体_GBK" w:eastAsia="方正黑体_GBK" w:cs="方正黑体_GBK"/>
          <w:sz w:val="28"/>
          <w:szCs w:val="28"/>
          <w:highlight w:val="none"/>
        </w:rPr>
      </w:pPr>
      <w:r>
        <w:rPr>
          <w:rFonts w:hint="eastAsia" w:ascii="宋体" w:hAnsi="宋体" w:eastAsia="宋体" w:cs="宋体"/>
          <w:bCs/>
          <w:sz w:val="24"/>
          <w:szCs w:val="22"/>
          <w:highlight w:val="none"/>
          <w:lang w:val="zh-CN"/>
        </w:rPr>
        <w:br w:type="page"/>
      </w:r>
      <w:bookmarkStart w:id="255" w:name="_Toc408927212"/>
      <w:bookmarkStart w:id="256" w:name="_Toc1348235043"/>
      <w:bookmarkStart w:id="257" w:name="_Toc2007005696"/>
      <w:bookmarkStart w:id="258" w:name="_Toc652792480_WPSOffice_Level2"/>
      <w:bookmarkStart w:id="259" w:name="_Toc1298177432"/>
      <w:bookmarkStart w:id="260" w:name="_Toc2009772364"/>
      <w:bookmarkStart w:id="261" w:name="_Toc1100877385"/>
      <w:bookmarkStart w:id="262" w:name="_Toc162969736"/>
      <w:r>
        <w:rPr>
          <w:rFonts w:hint="eastAsia" w:ascii="方正黑体_GBK" w:hAnsi="方正黑体_GBK" w:eastAsia="方正黑体_GBK" w:cs="方正黑体_GBK"/>
          <w:sz w:val="28"/>
          <w:szCs w:val="28"/>
          <w:highlight w:val="none"/>
        </w:rPr>
        <w:t>第二部分 合同一般条款</w:t>
      </w:r>
      <w:bookmarkEnd w:id="254"/>
      <w:bookmarkEnd w:id="255"/>
      <w:bookmarkEnd w:id="256"/>
      <w:bookmarkEnd w:id="257"/>
      <w:bookmarkEnd w:id="258"/>
      <w:bookmarkEnd w:id="259"/>
      <w:bookmarkEnd w:id="260"/>
      <w:bookmarkEnd w:id="261"/>
      <w:bookmarkEnd w:id="262"/>
    </w:p>
    <w:p>
      <w:pPr>
        <w:spacing w:line="360" w:lineRule="auto"/>
        <w:ind w:firstLine="437"/>
        <w:outlineLvl w:val="3"/>
        <w:rPr>
          <w:rFonts w:hint="eastAsia" w:ascii="宋体" w:hAnsi="宋体" w:eastAsia="宋体" w:cs="宋体"/>
          <w:b/>
          <w:bCs/>
          <w:sz w:val="24"/>
          <w:szCs w:val="24"/>
          <w:highlight w:val="none"/>
          <w:lang w:val="zh-CN"/>
        </w:rPr>
      </w:pPr>
      <w:bookmarkStart w:id="263" w:name="_Ref467379214"/>
      <w:bookmarkStart w:id="264" w:name="_Toc279701240"/>
      <w:bookmarkStart w:id="265" w:name="_Toc487900349"/>
      <w:bookmarkStart w:id="266" w:name="_Ref467379094"/>
      <w:bookmarkStart w:id="267" w:name="_Toc259093669"/>
      <w:bookmarkStart w:id="268" w:name="_Toc28763"/>
      <w:bookmarkStart w:id="269" w:name="_Ref467378463"/>
      <w:bookmarkStart w:id="270" w:name="_Toc16917"/>
      <w:bookmarkStart w:id="271" w:name="_Toc19614"/>
      <w:bookmarkStart w:id="272" w:name="_Ref467379205"/>
      <w:bookmarkStart w:id="273" w:name="_Ref467379109"/>
      <w:bookmarkStart w:id="274" w:name="_Ref467378404"/>
      <w:bookmarkStart w:id="275" w:name="_Ref467379195"/>
      <w:bookmarkStart w:id="276" w:name="_Ref467378499"/>
      <w:bookmarkStart w:id="277" w:name="_Ref467379225"/>
      <w:bookmarkStart w:id="278" w:name="_Ref467379101"/>
      <w:r>
        <w:rPr>
          <w:rFonts w:hint="eastAsia" w:ascii="宋体" w:hAnsi="宋体" w:eastAsia="宋体" w:cs="宋体"/>
          <w:b/>
          <w:bCs/>
          <w:sz w:val="24"/>
          <w:szCs w:val="24"/>
          <w:highlight w:val="none"/>
          <w:lang w:val="zh-CN"/>
        </w:rPr>
        <w:t>2.1 定义</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本合同中的下列词语应按以下内容进行解释：</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2.1.1“合同”系指采购人和中标人签订的载明双方当事人所达成的协议，并包括所有的附件、附录和构成合同的其他文件。</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2.1.2“合同价”系指根据合同约定，中标人在完全履行合同义务后，采购人应支付给中标人的价格。</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2.1.3“货物”系指中标人根据合同约定应向采购人交付的一切各种形态和种类的物品，包括原材料、燃料、设备、机械、仪表、备件、计算机软件、产品等，并包括工具、手册等其他相关资料。</w:t>
      </w:r>
    </w:p>
    <w:p>
      <w:pPr>
        <w:spacing w:line="360" w:lineRule="auto"/>
        <w:ind w:firstLine="435"/>
        <w:rPr>
          <w:rFonts w:hint="eastAsia" w:ascii="宋体" w:hAnsi="宋体" w:eastAsia="宋体" w:cs="宋体"/>
          <w:sz w:val="24"/>
          <w:szCs w:val="24"/>
          <w:highlight w:val="none"/>
        </w:rPr>
      </w:pPr>
      <w:bookmarkStart w:id="279" w:name="_Ref467378840"/>
      <w:r>
        <w:rPr>
          <w:rFonts w:hint="eastAsia" w:ascii="宋体" w:hAnsi="宋体" w:eastAsia="宋体" w:cs="宋体"/>
          <w:sz w:val="24"/>
          <w:szCs w:val="24"/>
          <w:highlight w:val="none"/>
        </w:rPr>
        <w:t>2.1.4“甲方”系指与中标人签署合同的采购人</w:t>
      </w:r>
      <w:bookmarkEnd w:id="279"/>
      <w:r>
        <w:rPr>
          <w:rFonts w:hint="eastAsia" w:ascii="宋体" w:hAnsi="宋体" w:eastAsia="宋体" w:cs="宋体"/>
          <w:sz w:val="24"/>
          <w:szCs w:val="24"/>
          <w:highlight w:val="none"/>
        </w:rPr>
        <w:t>；采购人委托采购代理机构代表其与乙方签订合同的，采购人的授权委托书作为合同附件。</w:t>
      </w:r>
    </w:p>
    <w:p>
      <w:pPr>
        <w:spacing w:line="360" w:lineRule="auto"/>
        <w:ind w:firstLine="435"/>
        <w:rPr>
          <w:rFonts w:hint="eastAsia" w:ascii="宋体" w:hAnsi="宋体" w:eastAsia="宋体" w:cs="宋体"/>
          <w:sz w:val="24"/>
          <w:szCs w:val="24"/>
          <w:highlight w:val="none"/>
        </w:rPr>
      </w:pPr>
      <w:bookmarkStart w:id="280" w:name="_Ref467379400"/>
      <w:r>
        <w:rPr>
          <w:rFonts w:hint="eastAsia" w:ascii="宋体" w:hAnsi="宋体" w:eastAsia="宋体" w:cs="宋体"/>
          <w:sz w:val="24"/>
          <w:szCs w:val="24"/>
          <w:highlight w:val="none"/>
        </w:rPr>
        <w:t>2.1.5“乙方”系指根据合同约定交付货物的中标人</w:t>
      </w:r>
      <w:bookmarkEnd w:id="280"/>
      <w:r>
        <w:rPr>
          <w:rFonts w:hint="eastAsia" w:ascii="宋体" w:hAnsi="宋体" w:eastAsia="宋体" w:cs="宋体"/>
          <w:sz w:val="24"/>
          <w:szCs w:val="24"/>
          <w:highlight w:val="none"/>
        </w:rPr>
        <w:t>；两个以上的自然人、法人或者其他组织组成一个联合体，以一个投标人的身份共同参加政府采购的，联合体各方均应为乙方或者与乙方相同地位的合同当事人，并就合同约定的事项对甲方承担连带责任。</w:t>
      </w:r>
    </w:p>
    <w:p>
      <w:pPr>
        <w:spacing w:line="360" w:lineRule="auto"/>
        <w:ind w:firstLine="435"/>
        <w:rPr>
          <w:rFonts w:hint="eastAsia" w:ascii="宋体" w:hAnsi="宋体" w:eastAsia="宋体" w:cs="宋体"/>
          <w:sz w:val="24"/>
          <w:szCs w:val="24"/>
          <w:highlight w:val="none"/>
        </w:rPr>
      </w:pPr>
      <w:bookmarkStart w:id="281" w:name="_Ref467379436"/>
      <w:r>
        <w:rPr>
          <w:rFonts w:hint="eastAsia" w:ascii="宋体" w:hAnsi="宋体" w:eastAsia="宋体" w:cs="宋体"/>
          <w:sz w:val="24"/>
          <w:szCs w:val="24"/>
          <w:highlight w:val="none"/>
        </w:rPr>
        <w:t>2.1.6“现场”系指合同约定货物将要运至或者安装的地点。</w:t>
      </w:r>
      <w:bookmarkEnd w:id="281"/>
    </w:p>
    <w:p>
      <w:pPr>
        <w:spacing w:line="360" w:lineRule="auto"/>
        <w:ind w:firstLine="437"/>
        <w:outlineLvl w:val="3"/>
        <w:rPr>
          <w:rFonts w:hint="eastAsia" w:ascii="宋体" w:hAnsi="宋体" w:eastAsia="宋体" w:cs="宋体"/>
          <w:b/>
          <w:bCs/>
          <w:sz w:val="24"/>
          <w:szCs w:val="24"/>
          <w:highlight w:val="none"/>
          <w:lang w:val="zh-CN"/>
        </w:rPr>
      </w:pPr>
      <w:bookmarkStart w:id="282" w:name="_Toc259093670"/>
      <w:bookmarkStart w:id="283" w:name="_Toc487900350"/>
      <w:bookmarkStart w:id="284" w:name="_Toc13336"/>
      <w:bookmarkStart w:id="285" w:name="_Toc32504"/>
      <w:bookmarkStart w:id="286" w:name="_Toc27635"/>
      <w:bookmarkStart w:id="287" w:name="_Toc279701241"/>
      <w:r>
        <w:rPr>
          <w:rFonts w:hint="eastAsia" w:ascii="宋体" w:hAnsi="宋体" w:eastAsia="宋体" w:cs="宋体"/>
          <w:b/>
          <w:bCs/>
          <w:sz w:val="24"/>
          <w:szCs w:val="24"/>
          <w:highlight w:val="none"/>
          <w:lang w:val="zh-CN"/>
        </w:rPr>
        <w:t>2.2 技术规范</w:t>
      </w:r>
      <w:bookmarkEnd w:id="282"/>
      <w:bookmarkEnd w:id="283"/>
      <w:bookmarkEnd w:id="284"/>
      <w:bookmarkEnd w:id="285"/>
      <w:bookmarkEnd w:id="286"/>
      <w:bookmarkEnd w:id="287"/>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货物所应遵守的技术规范应与采购文件规定的技术规范和技术规范附件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如果有的话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及其技术规范偏差表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如果被甲方接受的话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相一致；如果采购文件中没有技术规范的相应说明，那么应以国家有关部门最新颁布的相应标准和规范为准。</w:t>
      </w:r>
    </w:p>
    <w:p>
      <w:pPr>
        <w:spacing w:line="360" w:lineRule="auto"/>
        <w:ind w:firstLine="437"/>
        <w:outlineLvl w:val="3"/>
        <w:rPr>
          <w:rFonts w:hint="eastAsia" w:ascii="宋体" w:hAnsi="宋体" w:eastAsia="宋体" w:cs="宋体"/>
          <w:b/>
          <w:bCs/>
          <w:sz w:val="24"/>
          <w:szCs w:val="24"/>
          <w:highlight w:val="none"/>
          <w:lang w:val="zh-CN"/>
        </w:rPr>
      </w:pPr>
      <w:bookmarkStart w:id="288" w:name="_Toc259093671"/>
      <w:bookmarkStart w:id="289" w:name="_Toc279701242"/>
      <w:bookmarkStart w:id="290" w:name="_Toc31634"/>
      <w:bookmarkStart w:id="291" w:name="_Toc27853"/>
      <w:bookmarkStart w:id="292" w:name="_Toc487900351"/>
      <w:bookmarkStart w:id="293" w:name="_Toc9829"/>
      <w:r>
        <w:rPr>
          <w:rFonts w:hint="eastAsia" w:ascii="宋体" w:hAnsi="宋体" w:eastAsia="宋体" w:cs="宋体"/>
          <w:b/>
          <w:bCs/>
          <w:sz w:val="24"/>
          <w:szCs w:val="24"/>
          <w:highlight w:val="none"/>
          <w:lang w:val="zh-CN"/>
        </w:rPr>
        <w:t>2.3 知识产权</w:t>
      </w:r>
      <w:bookmarkEnd w:id="288"/>
      <w:bookmarkEnd w:id="289"/>
      <w:bookmarkEnd w:id="290"/>
      <w:bookmarkEnd w:id="291"/>
      <w:bookmarkEnd w:id="292"/>
      <w:bookmarkEnd w:id="293"/>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2.3.2具有知识产权的计算机软件等货物的知识产权归属，详见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sz w:val="24"/>
          <w:szCs w:val="24"/>
          <w:highlight w:val="none"/>
        </w:rPr>
      </w:pPr>
      <w:bookmarkStart w:id="294" w:name="_Toc11932"/>
      <w:bookmarkStart w:id="295" w:name="_Toc4194"/>
      <w:bookmarkStart w:id="296" w:name="_Toc29149"/>
      <w:r>
        <w:rPr>
          <w:rFonts w:hint="eastAsia" w:ascii="宋体" w:hAnsi="宋体" w:eastAsia="宋体" w:cs="宋体"/>
          <w:b/>
          <w:bCs/>
          <w:sz w:val="24"/>
          <w:szCs w:val="24"/>
          <w:highlight w:val="none"/>
          <w:lang w:val="zh-CN"/>
        </w:rPr>
        <w:t>2.4 包装和装运</w:t>
      </w:r>
      <w:bookmarkEnd w:id="294"/>
      <w:bookmarkEnd w:id="295"/>
      <w:bookmarkEnd w:id="296"/>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2.4.1除</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另有约定外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乙方交付的全部货物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2.4.2装运货物的要求和通知，详见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bCs/>
          <w:sz w:val="24"/>
          <w:szCs w:val="24"/>
          <w:highlight w:val="none"/>
          <w:lang w:val="zh-CN"/>
        </w:rPr>
      </w:pPr>
      <w:bookmarkStart w:id="297" w:name="_Toc259093674"/>
      <w:bookmarkStart w:id="298" w:name="_Toc279701245"/>
      <w:bookmarkStart w:id="299" w:name="_Toc487900354"/>
      <w:bookmarkStart w:id="300" w:name="_Ref467378541"/>
      <w:bookmarkStart w:id="301" w:name="_Ref467379536"/>
      <w:bookmarkStart w:id="302" w:name="_Ref467379542"/>
      <w:bookmarkStart w:id="303" w:name="_Ref467378591"/>
      <w:bookmarkStart w:id="304" w:name="_Ref467379527"/>
      <w:bookmarkStart w:id="305" w:name="_Toc30272"/>
      <w:bookmarkStart w:id="306" w:name="_Toc19074"/>
      <w:bookmarkStart w:id="307" w:name="_Toc26182"/>
      <w:r>
        <w:rPr>
          <w:rFonts w:hint="eastAsia" w:ascii="宋体" w:hAnsi="宋体" w:eastAsia="宋体" w:cs="宋体"/>
          <w:b/>
          <w:bCs/>
          <w:sz w:val="24"/>
          <w:szCs w:val="24"/>
          <w:highlight w:val="none"/>
          <w:lang w:val="zh-CN"/>
        </w:rPr>
        <w:t>2.</w:t>
      </w:r>
      <w:bookmarkEnd w:id="297"/>
      <w:bookmarkEnd w:id="298"/>
      <w:bookmarkEnd w:id="299"/>
      <w:bookmarkEnd w:id="300"/>
      <w:bookmarkEnd w:id="301"/>
      <w:bookmarkEnd w:id="302"/>
      <w:bookmarkEnd w:id="303"/>
      <w:bookmarkEnd w:id="304"/>
      <w:r>
        <w:rPr>
          <w:rFonts w:hint="eastAsia" w:ascii="宋体" w:hAnsi="宋体" w:eastAsia="宋体" w:cs="宋体"/>
          <w:b/>
          <w:bCs/>
          <w:sz w:val="24"/>
          <w:szCs w:val="24"/>
          <w:highlight w:val="none"/>
          <w:lang w:val="zh-CN"/>
        </w:rPr>
        <w:t>5 履约检查和问题反馈</w:t>
      </w:r>
      <w:bookmarkEnd w:id="305"/>
      <w:bookmarkEnd w:id="306"/>
      <w:bookmarkEnd w:id="307"/>
    </w:p>
    <w:p>
      <w:pPr>
        <w:spacing w:line="360" w:lineRule="auto"/>
        <w:ind w:firstLine="435"/>
        <w:rPr>
          <w:rFonts w:hint="eastAsia" w:ascii="宋体" w:hAnsi="宋体" w:eastAsia="宋体" w:cs="宋体"/>
          <w:sz w:val="24"/>
          <w:szCs w:val="24"/>
          <w:highlight w:val="none"/>
        </w:rPr>
      </w:pPr>
      <w:bookmarkStart w:id="308" w:name="_Ref467379657"/>
      <w:r>
        <w:rPr>
          <w:rFonts w:hint="eastAsia" w:ascii="宋体" w:hAnsi="宋体" w:eastAsia="宋体" w:cs="宋体"/>
          <w:sz w:val="24"/>
          <w:szCs w:val="24"/>
          <w:highlight w:val="none"/>
        </w:rPr>
        <w:t>2.5.1</w:t>
      </w:r>
      <w:bookmarkEnd w:id="308"/>
      <w:bookmarkStart w:id="309" w:name="_Toc186431854"/>
      <w:bookmarkStart w:id="310" w:name="_Ref467379807"/>
      <w:bookmarkStart w:id="311" w:name="_Toc259093676"/>
      <w:bookmarkStart w:id="312" w:name="_Toc487900357"/>
      <w:bookmarkStart w:id="313" w:name="_Ref467379793"/>
      <w:bookmarkStart w:id="314" w:name="_Toc279701247"/>
      <w:r>
        <w:rPr>
          <w:rFonts w:hint="eastAsia" w:ascii="宋体" w:hAnsi="宋体" w:eastAsia="宋体" w:cs="宋体"/>
          <w:sz w:val="24"/>
          <w:szCs w:val="24"/>
          <w:highlight w:val="none"/>
        </w:rPr>
        <w:t>甲方有权在其认为必要时，对乙方是否能够按照合同约定交付货物进行履约检查，以确保乙方所交付的货物能够依约满足甲方项目需求，但不得因履约检查妨碍乙方的正常工作，乙方应予积极配合；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2.5.2合同履行期间，甲方有权将履行过程中出现的问题反馈给乙方，双方当事人应以书面形式约定需要完善和改进的内容</w:t>
      </w:r>
      <w:bookmarkEnd w:id="309"/>
      <w:bookmarkStart w:id="315" w:name="_Toc186431855"/>
      <w:r>
        <w:rPr>
          <w:rFonts w:hint="eastAsia" w:ascii="宋体" w:hAnsi="宋体" w:eastAsia="宋体" w:cs="宋体"/>
          <w:sz w:val="24"/>
          <w:szCs w:val="24"/>
          <w:highlight w:val="none"/>
        </w:rPr>
        <w:t>。</w:t>
      </w:r>
    </w:p>
    <w:bookmarkEnd w:id="315"/>
    <w:p>
      <w:pPr>
        <w:spacing w:line="360" w:lineRule="auto"/>
        <w:ind w:firstLine="437"/>
        <w:outlineLvl w:val="3"/>
        <w:rPr>
          <w:rFonts w:hint="eastAsia" w:ascii="宋体" w:hAnsi="宋体" w:eastAsia="宋体" w:cs="宋体"/>
          <w:b/>
          <w:bCs/>
          <w:sz w:val="24"/>
          <w:szCs w:val="24"/>
          <w:highlight w:val="none"/>
          <w:lang w:val="zh-CN"/>
        </w:rPr>
      </w:pPr>
      <w:bookmarkStart w:id="316" w:name="_Toc28451"/>
      <w:bookmarkStart w:id="317" w:name="_Toc7836"/>
      <w:bookmarkStart w:id="318" w:name="_Toc19219"/>
      <w:r>
        <w:rPr>
          <w:rFonts w:hint="eastAsia" w:ascii="宋体" w:hAnsi="宋体" w:eastAsia="宋体" w:cs="宋体"/>
          <w:b/>
          <w:bCs/>
          <w:sz w:val="24"/>
          <w:szCs w:val="24"/>
          <w:highlight w:val="none"/>
          <w:lang w:val="zh-CN"/>
        </w:rPr>
        <w:t>2.6 结算方式和付款条件</w:t>
      </w:r>
      <w:bookmarkEnd w:id="310"/>
      <w:bookmarkEnd w:id="311"/>
      <w:bookmarkEnd w:id="312"/>
      <w:bookmarkEnd w:id="313"/>
      <w:bookmarkEnd w:id="314"/>
      <w:bookmarkEnd w:id="316"/>
      <w:bookmarkEnd w:id="317"/>
      <w:bookmarkEnd w:id="318"/>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bCs/>
          <w:sz w:val="24"/>
          <w:szCs w:val="24"/>
          <w:highlight w:val="none"/>
          <w:lang w:val="zh-CN"/>
        </w:rPr>
      </w:pPr>
      <w:bookmarkStart w:id="319" w:name="_Ref467379852"/>
      <w:bookmarkStart w:id="320" w:name="_Toc487900358"/>
      <w:bookmarkStart w:id="321" w:name="_Ref467379923"/>
      <w:bookmarkStart w:id="322" w:name="_Toc259093677"/>
      <w:bookmarkStart w:id="323" w:name="_Toc279701248"/>
      <w:bookmarkStart w:id="324" w:name="_Ref467379863"/>
      <w:bookmarkStart w:id="325" w:name="_Toc3225"/>
      <w:bookmarkStart w:id="326" w:name="_Toc774"/>
      <w:bookmarkStart w:id="327" w:name="_Toc16110"/>
      <w:r>
        <w:rPr>
          <w:rFonts w:hint="eastAsia" w:ascii="宋体" w:hAnsi="宋体" w:eastAsia="宋体" w:cs="宋体"/>
          <w:b/>
          <w:bCs/>
          <w:sz w:val="24"/>
          <w:szCs w:val="24"/>
          <w:highlight w:val="none"/>
          <w:lang w:val="zh-CN"/>
        </w:rPr>
        <w:t>2.7 技术资料</w:t>
      </w:r>
      <w:bookmarkEnd w:id="319"/>
      <w:bookmarkEnd w:id="320"/>
      <w:bookmarkEnd w:id="321"/>
      <w:bookmarkEnd w:id="322"/>
      <w:bookmarkEnd w:id="323"/>
      <w:bookmarkEnd w:id="324"/>
      <w:r>
        <w:rPr>
          <w:rFonts w:hint="eastAsia" w:ascii="宋体" w:hAnsi="宋体" w:eastAsia="宋体" w:cs="宋体"/>
          <w:b/>
          <w:bCs/>
          <w:sz w:val="24"/>
          <w:szCs w:val="24"/>
          <w:highlight w:val="none"/>
          <w:lang w:val="zh-CN"/>
        </w:rPr>
        <w:t>和保密义务</w:t>
      </w:r>
      <w:bookmarkEnd w:id="325"/>
      <w:bookmarkEnd w:id="326"/>
      <w:bookmarkEnd w:id="327"/>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2.7.1乙方有权依据合同约定和项目需要，向甲方了解有关情况，调阅有关资料等，甲方应予积极配合；</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2.7.2乙方有义务妥善保管和保护由甲方提供的前款信息和资料等；</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hint="eastAsia" w:ascii="宋体" w:hAnsi="宋体" w:eastAsia="宋体" w:cs="宋体"/>
          <w:b/>
          <w:bCs/>
          <w:sz w:val="24"/>
          <w:szCs w:val="24"/>
          <w:highlight w:val="none"/>
          <w:lang w:val="zh-CN"/>
        </w:rPr>
      </w:pPr>
      <w:bookmarkStart w:id="328" w:name="_Toc7860"/>
      <w:r>
        <w:rPr>
          <w:rFonts w:hint="eastAsia" w:ascii="宋体" w:hAnsi="宋体" w:eastAsia="宋体" w:cs="宋体"/>
          <w:b/>
          <w:bCs/>
          <w:sz w:val="24"/>
          <w:szCs w:val="24"/>
          <w:highlight w:val="none"/>
          <w:lang w:val="zh-CN"/>
        </w:rPr>
        <w:t>2.8 质量保证</w:t>
      </w:r>
      <w:bookmarkEnd w:id="328"/>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2.8.1乙方应建立和完善履行合同的内部质量保证体系，并提供相关内部规章制度给甲方，以便甲方进行监督检查；</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hint="eastAsia" w:ascii="宋体" w:hAnsi="宋体" w:eastAsia="宋体" w:cs="宋体"/>
          <w:b/>
          <w:bCs/>
          <w:sz w:val="24"/>
          <w:szCs w:val="24"/>
          <w:highlight w:val="none"/>
          <w:lang w:val="zh-CN"/>
        </w:rPr>
      </w:pPr>
      <w:bookmarkStart w:id="329" w:name="_Toc17244"/>
      <w:bookmarkStart w:id="330" w:name="_Toc487900362"/>
      <w:bookmarkStart w:id="331" w:name="_Toc279701252"/>
      <w:bookmarkStart w:id="332" w:name="_Toc259093681"/>
      <w:r>
        <w:rPr>
          <w:rFonts w:hint="eastAsia" w:ascii="宋体" w:hAnsi="宋体" w:eastAsia="宋体" w:cs="宋体"/>
          <w:b/>
          <w:bCs/>
          <w:sz w:val="24"/>
          <w:szCs w:val="24"/>
          <w:highlight w:val="none"/>
          <w:lang w:val="zh-CN"/>
        </w:rPr>
        <w:t>2.9 货物的风险负担</w:t>
      </w:r>
      <w:bookmarkEnd w:id="329"/>
    </w:p>
    <w:p>
      <w:pPr>
        <w:spacing w:line="360" w:lineRule="auto"/>
        <w:ind w:firstLine="435"/>
        <w:rPr>
          <w:rFonts w:hint="eastAsia" w:ascii="宋体" w:hAnsi="宋体" w:eastAsia="宋体" w:cs="宋体"/>
          <w:b/>
          <w:sz w:val="24"/>
          <w:szCs w:val="24"/>
          <w:highlight w:val="none"/>
        </w:rPr>
      </w:pPr>
      <w:r>
        <w:rPr>
          <w:rFonts w:hint="eastAsia" w:ascii="宋体" w:hAnsi="宋体" w:eastAsia="宋体" w:cs="宋体"/>
          <w:sz w:val="24"/>
          <w:szCs w:val="24"/>
          <w:highlight w:val="none"/>
        </w:rPr>
        <w:t>货物在通过验收并交付前，货物毁损、灭失的风险由乙方负担详见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37"/>
        <w:outlineLvl w:val="3"/>
        <w:rPr>
          <w:rFonts w:hint="eastAsia" w:ascii="宋体" w:hAnsi="宋体" w:eastAsia="宋体" w:cs="宋体"/>
          <w:b/>
          <w:bCs/>
          <w:sz w:val="24"/>
          <w:szCs w:val="24"/>
          <w:highlight w:val="none"/>
          <w:lang w:val="zh-CN"/>
        </w:rPr>
      </w:pPr>
      <w:bookmarkStart w:id="333" w:name="_Toc14055"/>
      <w:r>
        <w:rPr>
          <w:rFonts w:hint="eastAsia" w:ascii="宋体" w:hAnsi="宋体" w:eastAsia="宋体" w:cs="宋体"/>
          <w:b/>
          <w:bCs/>
          <w:sz w:val="24"/>
          <w:szCs w:val="24"/>
          <w:highlight w:val="none"/>
          <w:lang w:val="zh-CN"/>
        </w:rPr>
        <w:t>2.10 延迟交货</w:t>
      </w:r>
      <w:bookmarkEnd w:id="330"/>
      <w:bookmarkEnd w:id="331"/>
      <w:bookmarkEnd w:id="332"/>
      <w:bookmarkEnd w:id="333"/>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否则视为不延期。</w:t>
      </w:r>
    </w:p>
    <w:p>
      <w:pPr>
        <w:spacing w:line="360" w:lineRule="auto"/>
        <w:ind w:firstLine="437"/>
        <w:outlineLvl w:val="3"/>
        <w:rPr>
          <w:rFonts w:hint="eastAsia" w:ascii="宋体" w:hAnsi="宋体" w:eastAsia="宋体" w:cs="宋体"/>
          <w:b/>
          <w:bCs/>
          <w:sz w:val="24"/>
          <w:szCs w:val="24"/>
          <w:highlight w:val="none"/>
          <w:lang w:val="zh-CN"/>
        </w:rPr>
      </w:pPr>
      <w:bookmarkStart w:id="334" w:name="_Toc7502"/>
      <w:bookmarkStart w:id="335" w:name="_Toc259093683"/>
      <w:bookmarkStart w:id="336" w:name="_Ref467378121"/>
      <w:bookmarkStart w:id="337" w:name="_Toc487900364"/>
      <w:bookmarkStart w:id="338" w:name="_Toc279701254"/>
      <w:r>
        <w:rPr>
          <w:rFonts w:hint="eastAsia" w:ascii="宋体" w:hAnsi="宋体" w:eastAsia="宋体" w:cs="宋体"/>
          <w:b/>
          <w:bCs/>
          <w:sz w:val="24"/>
          <w:szCs w:val="24"/>
          <w:highlight w:val="none"/>
          <w:lang w:val="zh-CN"/>
        </w:rPr>
        <w:t>2.11 合同变更</w:t>
      </w:r>
      <w:bookmarkEnd w:id="334"/>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2.11.1双方当事人协商一致，可以签订书面补充合同的形式变更合同，但不得违背采购文件确定的事项；</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2.11.2合同继续履行将损害国家利益和社会公共利益的，双方当事人应当以书面形式变更合同。有过错的一方应当承担赔偿责任，双方当事人都有过错的，各自承担相应的责任。</w:t>
      </w:r>
      <w:bookmarkStart w:id="339" w:name="_Toc279701259"/>
      <w:bookmarkStart w:id="340" w:name="_Toc487900369"/>
      <w:bookmarkStart w:id="341" w:name="_Toc259093688"/>
    </w:p>
    <w:p>
      <w:pPr>
        <w:spacing w:line="360" w:lineRule="auto"/>
        <w:ind w:firstLine="437"/>
        <w:outlineLvl w:val="3"/>
        <w:rPr>
          <w:rFonts w:hint="eastAsia" w:ascii="宋体" w:hAnsi="宋体" w:eastAsia="宋体" w:cs="宋体"/>
          <w:b/>
          <w:bCs/>
          <w:sz w:val="24"/>
          <w:szCs w:val="24"/>
          <w:highlight w:val="none"/>
          <w:lang w:val="zh-CN"/>
        </w:rPr>
      </w:pPr>
      <w:bookmarkStart w:id="342" w:name="_Toc22955"/>
      <w:bookmarkStart w:id="343" w:name="_Toc15237"/>
      <w:bookmarkStart w:id="344" w:name="_Toc10366"/>
      <w:r>
        <w:rPr>
          <w:rFonts w:hint="eastAsia" w:ascii="宋体" w:hAnsi="宋体" w:eastAsia="宋体" w:cs="宋体"/>
          <w:b/>
          <w:bCs/>
          <w:sz w:val="24"/>
          <w:szCs w:val="24"/>
          <w:highlight w:val="none"/>
          <w:lang w:val="zh-CN"/>
        </w:rPr>
        <w:t>2.12 合同转让</w:t>
      </w:r>
      <w:bookmarkEnd w:id="339"/>
      <w:bookmarkEnd w:id="340"/>
      <w:bookmarkEnd w:id="341"/>
      <w:r>
        <w:rPr>
          <w:rFonts w:hint="eastAsia" w:ascii="宋体" w:hAnsi="宋体" w:eastAsia="宋体" w:cs="宋体"/>
          <w:b/>
          <w:bCs/>
          <w:sz w:val="24"/>
          <w:szCs w:val="24"/>
          <w:highlight w:val="none"/>
          <w:lang w:val="zh-CN"/>
        </w:rPr>
        <w:t>和分包</w:t>
      </w:r>
      <w:bookmarkEnd w:id="342"/>
      <w:bookmarkEnd w:id="343"/>
      <w:bookmarkEnd w:id="344"/>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hint="eastAsia" w:ascii="宋体" w:hAnsi="宋体" w:eastAsia="宋体" w:cs="宋体"/>
          <w:b/>
          <w:bCs/>
          <w:sz w:val="24"/>
          <w:szCs w:val="24"/>
          <w:highlight w:val="none"/>
          <w:lang w:val="zh-CN"/>
        </w:rPr>
      </w:pPr>
      <w:bookmarkStart w:id="345" w:name="_Toc16508"/>
      <w:bookmarkStart w:id="346" w:name="_Toc14066"/>
      <w:bookmarkStart w:id="347" w:name="_Toc13566"/>
      <w:r>
        <w:rPr>
          <w:rFonts w:hint="eastAsia" w:ascii="宋体" w:hAnsi="宋体" w:eastAsia="宋体" w:cs="宋体"/>
          <w:b/>
          <w:bCs/>
          <w:sz w:val="24"/>
          <w:szCs w:val="24"/>
          <w:highlight w:val="none"/>
          <w:lang w:val="zh-CN"/>
        </w:rPr>
        <w:t>2.13 不可抗力</w:t>
      </w:r>
      <w:bookmarkEnd w:id="345"/>
      <w:bookmarkEnd w:id="346"/>
      <w:bookmarkEnd w:id="347"/>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2.13.1如果任何一方遭遇法律规定的不可抗力，致使合同履行受阻时，履行合同的期限应予延长，延长的期限应相当于不可抗力所影响的时间；</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2.13.2因不可抗力致使不能实现合同目的的，当事人可以解除合同；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2.13.3因不可抗力致使合同有变更必要的，双方当事人应在</w:t>
      </w:r>
      <w:r>
        <w:rPr>
          <w:rFonts w:hint="eastAsia" w:ascii="宋体" w:hAnsi="宋体" w:eastAsia="宋体" w:cs="宋体"/>
          <w:b/>
          <w:bCs/>
          <w:i/>
          <w:sz w:val="24"/>
          <w:szCs w:val="24"/>
          <w:highlight w:val="none"/>
          <w:u w:val="single"/>
        </w:rPr>
        <w:t>合同专用条款</w:t>
      </w:r>
      <w:r>
        <w:rPr>
          <w:rFonts w:hint="eastAsia" w:ascii="宋体" w:hAnsi="宋体" w:eastAsia="宋体" w:cs="宋体"/>
          <w:sz w:val="24"/>
          <w:szCs w:val="24"/>
          <w:highlight w:val="none"/>
        </w:rPr>
        <w:t>约定时间内以书面形式变更合同；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2.13.4受不可抗力影响的一方在不可抗力发生后，应在</w:t>
      </w:r>
      <w:r>
        <w:rPr>
          <w:rFonts w:hint="eastAsia" w:ascii="宋体" w:hAnsi="宋体" w:eastAsia="宋体" w:cs="宋体"/>
          <w:b/>
          <w:bCs/>
          <w:i/>
          <w:sz w:val="24"/>
          <w:szCs w:val="24"/>
          <w:highlight w:val="none"/>
          <w:u w:val="single"/>
        </w:rPr>
        <w:t>合同专用条款</w:t>
      </w:r>
      <w:r>
        <w:rPr>
          <w:rFonts w:hint="eastAsia" w:ascii="宋体" w:hAnsi="宋体" w:eastAsia="宋体" w:cs="宋体"/>
          <w:sz w:val="24"/>
          <w:szCs w:val="24"/>
          <w:highlight w:val="none"/>
        </w:rPr>
        <w:t>约定时间内以书面形式通知对方当事人，并在</w:t>
      </w:r>
      <w:r>
        <w:rPr>
          <w:rFonts w:hint="eastAsia" w:ascii="宋体" w:hAnsi="宋体" w:eastAsia="宋体" w:cs="宋体"/>
          <w:b/>
          <w:bCs/>
          <w:i/>
          <w:sz w:val="24"/>
          <w:szCs w:val="24"/>
          <w:highlight w:val="none"/>
          <w:u w:val="single"/>
        </w:rPr>
        <w:t>合同专用条款</w:t>
      </w:r>
      <w:r>
        <w:rPr>
          <w:rFonts w:hint="eastAsia" w:ascii="宋体" w:hAnsi="宋体" w:eastAsia="宋体" w:cs="宋体"/>
          <w:sz w:val="24"/>
          <w:szCs w:val="24"/>
          <w:highlight w:val="none"/>
        </w:rPr>
        <w:t>约定时间内，将有关部门出具的证明文件送达对方当事人。</w:t>
      </w:r>
    </w:p>
    <w:p>
      <w:pPr>
        <w:spacing w:line="360" w:lineRule="auto"/>
        <w:ind w:firstLine="437"/>
        <w:outlineLvl w:val="3"/>
        <w:rPr>
          <w:rFonts w:hint="eastAsia" w:ascii="宋体" w:hAnsi="宋体" w:eastAsia="宋体" w:cs="宋体"/>
          <w:b/>
          <w:bCs/>
          <w:sz w:val="24"/>
          <w:szCs w:val="24"/>
          <w:highlight w:val="none"/>
          <w:lang w:val="zh-CN"/>
        </w:rPr>
      </w:pPr>
      <w:bookmarkStart w:id="348" w:name="_Toc259093684"/>
      <w:bookmarkStart w:id="349" w:name="_Toc689"/>
      <w:bookmarkStart w:id="350" w:name="_Toc487900365"/>
      <w:bookmarkStart w:id="351" w:name="_Toc30676"/>
      <w:bookmarkStart w:id="352" w:name="_Toc279701255"/>
      <w:bookmarkStart w:id="353" w:name="_Toc6969"/>
      <w:r>
        <w:rPr>
          <w:rFonts w:hint="eastAsia" w:ascii="宋体" w:hAnsi="宋体" w:eastAsia="宋体" w:cs="宋体"/>
          <w:b/>
          <w:bCs/>
          <w:sz w:val="24"/>
          <w:szCs w:val="24"/>
          <w:highlight w:val="none"/>
          <w:lang w:val="zh-CN"/>
        </w:rPr>
        <w:t>2.14 税费</w:t>
      </w:r>
      <w:bookmarkEnd w:id="348"/>
      <w:bookmarkEnd w:id="349"/>
      <w:bookmarkEnd w:id="350"/>
      <w:bookmarkEnd w:id="351"/>
      <w:bookmarkEnd w:id="352"/>
      <w:bookmarkEnd w:id="353"/>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与合同有关的一切税费，均按照中华人民共和国法律的相关规定缴纳。</w:t>
      </w:r>
    </w:p>
    <w:p>
      <w:pPr>
        <w:spacing w:line="360" w:lineRule="auto"/>
        <w:ind w:firstLine="437"/>
        <w:outlineLvl w:val="3"/>
        <w:rPr>
          <w:rFonts w:hint="eastAsia" w:ascii="宋体" w:hAnsi="宋体" w:eastAsia="宋体" w:cs="宋体"/>
          <w:b/>
          <w:bCs/>
          <w:sz w:val="24"/>
          <w:szCs w:val="24"/>
          <w:highlight w:val="none"/>
          <w:lang w:val="zh-CN"/>
        </w:rPr>
      </w:pPr>
      <w:bookmarkStart w:id="354" w:name="_Toc279701258"/>
      <w:bookmarkStart w:id="355" w:name="_Toc16959"/>
      <w:bookmarkStart w:id="356" w:name="_Toc8298"/>
      <w:bookmarkStart w:id="357" w:name="_Toc487900368"/>
      <w:bookmarkStart w:id="358" w:name="_Toc7102"/>
      <w:bookmarkStart w:id="359" w:name="_Toc259093687"/>
      <w:r>
        <w:rPr>
          <w:rFonts w:hint="eastAsia" w:ascii="宋体" w:hAnsi="宋体" w:eastAsia="宋体" w:cs="宋体"/>
          <w:b/>
          <w:bCs/>
          <w:sz w:val="24"/>
          <w:szCs w:val="24"/>
          <w:highlight w:val="none"/>
          <w:lang w:val="zh-CN"/>
        </w:rPr>
        <w:t>2.15 乙方破产</w:t>
      </w:r>
      <w:bookmarkEnd w:id="354"/>
      <w:bookmarkEnd w:id="355"/>
      <w:bookmarkEnd w:id="356"/>
      <w:bookmarkEnd w:id="357"/>
      <w:bookmarkEnd w:id="358"/>
      <w:bookmarkEnd w:id="359"/>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hint="eastAsia" w:ascii="宋体" w:hAnsi="宋体" w:eastAsia="宋体" w:cs="宋体"/>
          <w:b/>
          <w:sz w:val="24"/>
          <w:szCs w:val="24"/>
          <w:highlight w:val="none"/>
        </w:rPr>
      </w:pPr>
      <w:bookmarkStart w:id="360" w:name="_Toc15387"/>
      <w:bookmarkStart w:id="361" w:name="_Toc29333"/>
      <w:bookmarkStart w:id="362" w:name="_Toc6134"/>
      <w:r>
        <w:rPr>
          <w:rFonts w:hint="eastAsia" w:ascii="宋体" w:hAnsi="宋体" w:eastAsia="宋体" w:cs="宋体"/>
          <w:b/>
          <w:bCs/>
          <w:sz w:val="24"/>
          <w:szCs w:val="24"/>
          <w:highlight w:val="none"/>
          <w:lang w:val="zh-CN"/>
        </w:rPr>
        <w:t>2.16 合同中止、终止</w:t>
      </w:r>
      <w:bookmarkEnd w:id="360"/>
      <w:bookmarkEnd w:id="361"/>
      <w:bookmarkEnd w:id="362"/>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2.16.1双方当事人不得擅自中止或者终止合同；</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hint="eastAsia" w:ascii="宋体" w:hAnsi="宋体" w:eastAsia="宋体" w:cs="宋体"/>
          <w:b/>
          <w:bCs/>
          <w:sz w:val="24"/>
          <w:szCs w:val="24"/>
          <w:highlight w:val="none"/>
          <w:lang w:val="zh-CN"/>
        </w:rPr>
      </w:pPr>
      <w:bookmarkStart w:id="363" w:name="_Toc6596"/>
      <w:bookmarkStart w:id="364" w:name="_Toc1125"/>
      <w:bookmarkStart w:id="365" w:name="_Toc14563"/>
      <w:r>
        <w:rPr>
          <w:rFonts w:hint="eastAsia" w:ascii="宋体" w:hAnsi="宋体" w:eastAsia="宋体" w:cs="宋体"/>
          <w:b/>
          <w:bCs/>
          <w:sz w:val="24"/>
          <w:szCs w:val="24"/>
          <w:highlight w:val="none"/>
          <w:lang w:val="zh-CN"/>
        </w:rPr>
        <w:t>2.17 检验和验收</w:t>
      </w:r>
      <w:bookmarkEnd w:id="363"/>
      <w:bookmarkEnd w:id="364"/>
      <w:bookmarkEnd w:id="365"/>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2.17.1货物交付前，乙方应对货物的质量、数量等方面进行详细、全面的检验，并向甲方出具证明货物符合合同约定的文件；货物交付时，乙方在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约定时间内组织验收，并可依法邀请相关方参加，验收应出具验收书。</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2.17.3检验和验收标准、程序等具体内容以及前述验收书的效力详见</w:t>
      </w:r>
      <w:r>
        <w:rPr>
          <w:rFonts w:hint="eastAsia" w:ascii="宋体" w:hAnsi="宋体" w:eastAsia="宋体" w:cs="宋体"/>
          <w:b/>
          <w:i/>
          <w:sz w:val="24"/>
          <w:szCs w:val="24"/>
          <w:highlight w:val="none"/>
          <w:u w:val="single"/>
        </w:rPr>
        <w:t>合同专用条款</w:t>
      </w:r>
      <w:r>
        <w:rPr>
          <w:rFonts w:hint="eastAsia" w:ascii="宋体" w:hAnsi="宋体" w:eastAsia="宋体" w:cs="宋体"/>
          <w:i/>
          <w:sz w:val="24"/>
          <w:szCs w:val="24"/>
          <w:highlight w:val="none"/>
        </w:rPr>
        <w:t>。</w:t>
      </w:r>
    </w:p>
    <w:bookmarkEnd w:id="335"/>
    <w:bookmarkEnd w:id="336"/>
    <w:bookmarkEnd w:id="337"/>
    <w:bookmarkEnd w:id="338"/>
    <w:p>
      <w:pPr>
        <w:spacing w:line="360" w:lineRule="auto"/>
        <w:ind w:firstLine="437"/>
        <w:outlineLvl w:val="3"/>
        <w:rPr>
          <w:rFonts w:hint="eastAsia" w:ascii="宋体" w:hAnsi="宋体" w:eastAsia="宋体" w:cs="宋体"/>
          <w:b/>
          <w:sz w:val="24"/>
          <w:szCs w:val="24"/>
          <w:highlight w:val="none"/>
        </w:rPr>
      </w:pPr>
      <w:bookmarkStart w:id="366" w:name="_Toc259093691"/>
      <w:bookmarkStart w:id="367" w:name="_Toc279701262"/>
      <w:bookmarkStart w:id="368" w:name="_Toc4355"/>
      <w:bookmarkStart w:id="369" w:name="_Toc18540"/>
      <w:bookmarkStart w:id="370" w:name="_Toc30599"/>
      <w:bookmarkStart w:id="371" w:name="_Toc487900372"/>
      <w:r>
        <w:rPr>
          <w:rFonts w:hint="eastAsia" w:ascii="宋体" w:hAnsi="宋体" w:eastAsia="宋体" w:cs="宋体"/>
          <w:b/>
          <w:bCs/>
          <w:sz w:val="24"/>
          <w:szCs w:val="24"/>
          <w:highlight w:val="none"/>
          <w:lang w:val="zh-CN"/>
        </w:rPr>
        <w:t>2.18 计量单位</w:t>
      </w:r>
      <w:bookmarkEnd w:id="366"/>
      <w:bookmarkEnd w:id="367"/>
      <w:bookmarkEnd w:id="368"/>
      <w:bookmarkEnd w:id="369"/>
      <w:bookmarkEnd w:id="370"/>
      <w:bookmarkEnd w:id="371"/>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除技术规范中另有规定外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合同的计量单位均使用国家法定计量单位。</w:t>
      </w:r>
    </w:p>
    <w:p>
      <w:pPr>
        <w:spacing w:line="360" w:lineRule="auto"/>
        <w:ind w:firstLine="437"/>
        <w:outlineLvl w:val="3"/>
        <w:rPr>
          <w:rFonts w:hint="eastAsia" w:ascii="宋体" w:hAnsi="宋体" w:eastAsia="宋体" w:cs="宋体"/>
          <w:b/>
          <w:bCs/>
          <w:sz w:val="24"/>
          <w:szCs w:val="24"/>
          <w:highlight w:val="none"/>
        </w:rPr>
      </w:pPr>
      <w:bookmarkStart w:id="372" w:name="_Toc487900373"/>
      <w:bookmarkStart w:id="373" w:name="_Toc12773"/>
      <w:bookmarkStart w:id="374" w:name="_Toc10330"/>
      <w:bookmarkStart w:id="375" w:name="_Toc279701263"/>
      <w:bookmarkStart w:id="376" w:name="_Toc18567"/>
      <w:bookmarkStart w:id="377" w:name="_Toc259093692"/>
      <w:r>
        <w:rPr>
          <w:rFonts w:hint="eastAsia" w:ascii="宋体" w:hAnsi="宋体" w:eastAsia="宋体" w:cs="宋体"/>
          <w:b/>
          <w:bCs/>
          <w:sz w:val="24"/>
          <w:szCs w:val="24"/>
          <w:highlight w:val="none"/>
        </w:rPr>
        <w:t xml:space="preserve">2.19 </w:t>
      </w:r>
      <w:r>
        <w:rPr>
          <w:rFonts w:hint="eastAsia" w:ascii="宋体" w:hAnsi="宋体" w:eastAsia="宋体" w:cs="宋体"/>
          <w:b/>
          <w:bCs/>
          <w:sz w:val="24"/>
          <w:szCs w:val="24"/>
          <w:highlight w:val="none"/>
          <w:lang w:val="zh-CN"/>
        </w:rPr>
        <w:t>合同使用的文字和适用的法律</w:t>
      </w:r>
      <w:bookmarkEnd w:id="372"/>
      <w:bookmarkEnd w:id="373"/>
      <w:bookmarkEnd w:id="374"/>
      <w:bookmarkEnd w:id="375"/>
      <w:bookmarkEnd w:id="376"/>
      <w:bookmarkEnd w:id="377"/>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2.19.1合同使用汉语书就、变更和解释；</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2.19.2合同适用中华人民共和国法律。</w:t>
      </w:r>
    </w:p>
    <w:p>
      <w:pPr>
        <w:spacing w:line="360" w:lineRule="auto"/>
        <w:ind w:firstLine="437"/>
        <w:outlineLvl w:val="3"/>
        <w:rPr>
          <w:rFonts w:hint="eastAsia" w:ascii="宋体" w:hAnsi="宋体" w:eastAsia="宋体" w:cs="宋体"/>
          <w:b/>
          <w:sz w:val="24"/>
          <w:szCs w:val="24"/>
          <w:highlight w:val="none"/>
        </w:rPr>
      </w:pPr>
      <w:bookmarkStart w:id="378" w:name="_Toc16673"/>
      <w:bookmarkStart w:id="379" w:name="_Toc279701264"/>
      <w:bookmarkStart w:id="380" w:name="_Toc12004"/>
      <w:bookmarkStart w:id="381" w:name="_Toc3148"/>
      <w:bookmarkStart w:id="382" w:name="_Toc259093693"/>
      <w:bookmarkStart w:id="383" w:name="_Toc487900374"/>
      <w:r>
        <w:rPr>
          <w:rFonts w:hint="eastAsia" w:ascii="宋体" w:hAnsi="宋体" w:eastAsia="宋体" w:cs="宋体"/>
          <w:b/>
          <w:bCs/>
          <w:sz w:val="24"/>
          <w:szCs w:val="24"/>
          <w:highlight w:val="none"/>
          <w:lang w:val="zh-CN"/>
        </w:rPr>
        <w:t>2.20 履约保证金</w:t>
      </w:r>
      <w:bookmarkEnd w:id="378"/>
      <w:bookmarkEnd w:id="379"/>
      <w:bookmarkEnd w:id="380"/>
      <w:bookmarkEnd w:id="381"/>
      <w:bookmarkEnd w:id="382"/>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2.20.1采购文件要求乙方提交履约保证金的，乙方应按</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约定的方式，以支票、汇票、本票或者金融机构、担保机构出具的保函等非现金形式，提交不超过合同价2.5%的履约保证金；</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2.20.2履约保证金在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约定期间内或者货物质量保证期内不予退还或者应完全有效，前述约定期间届满或者货物质量保证期届满之日起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个工作日内，在乙方无违约的情形下，甲方应将履约保证金无息退还乙方；</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83"/>
    <w:p>
      <w:pPr>
        <w:spacing w:line="360" w:lineRule="auto"/>
        <w:ind w:firstLine="437"/>
        <w:outlineLvl w:val="3"/>
        <w:rPr>
          <w:rFonts w:hint="eastAsia" w:ascii="宋体" w:hAnsi="宋体" w:eastAsia="宋体" w:cs="宋体"/>
          <w:b/>
          <w:sz w:val="24"/>
          <w:szCs w:val="24"/>
          <w:highlight w:val="none"/>
        </w:rPr>
      </w:pPr>
      <w:bookmarkStart w:id="384" w:name="_Toc14001"/>
      <w:bookmarkStart w:id="385" w:name="_Toc6885"/>
      <w:bookmarkStart w:id="386" w:name="_Toc19890"/>
      <w:r>
        <w:rPr>
          <w:rFonts w:hint="eastAsia" w:ascii="宋体" w:hAnsi="宋体" w:eastAsia="宋体" w:cs="宋体"/>
          <w:b/>
          <w:bCs/>
          <w:sz w:val="24"/>
          <w:szCs w:val="24"/>
          <w:highlight w:val="none"/>
          <w:lang w:val="zh-CN"/>
        </w:rPr>
        <w:t>2.21 合同份数</w:t>
      </w:r>
      <w:bookmarkEnd w:id="384"/>
      <w:bookmarkEnd w:id="385"/>
      <w:bookmarkEnd w:id="386"/>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合同份数按</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规定，每份均具有同等法律效力。</w:t>
      </w:r>
    </w:p>
    <w:p>
      <w:pPr>
        <w:pStyle w:val="5"/>
        <w:keepNext/>
        <w:keepLines/>
        <w:pageBreakBefore w:val="0"/>
        <w:widowControl w:val="0"/>
        <w:kinsoku/>
        <w:wordWrap/>
        <w:overflowPunct/>
        <w:topLinePunct w:val="0"/>
        <w:autoSpaceDE/>
        <w:autoSpaceDN/>
        <w:bidi w:val="0"/>
        <w:adjustRightInd/>
        <w:snapToGrid/>
        <w:ind w:firstLine="0" w:firstLineChars="0"/>
        <w:jc w:val="center"/>
        <w:textAlignment w:val="auto"/>
        <w:rPr>
          <w:rFonts w:ascii="Arial" w:hAnsi="Arial" w:eastAsia="方正黑体_GBK" w:cs="Arial"/>
          <w:bCs/>
          <w:kern w:val="2"/>
          <w:sz w:val="28"/>
          <w:szCs w:val="32"/>
          <w:highlight w:val="none"/>
          <w:lang w:val="en-US" w:eastAsia="zh-CN" w:bidi="ar-SA"/>
        </w:rPr>
      </w:pPr>
      <w:r>
        <w:rPr>
          <w:rFonts w:ascii="Arial" w:hAnsi="Arial" w:eastAsia="宋体" w:cs="Arial"/>
          <w:sz w:val="24"/>
          <w:szCs w:val="24"/>
          <w:highlight w:val="none"/>
        </w:rPr>
        <w:br w:type="page"/>
      </w:r>
      <w:bookmarkStart w:id="387" w:name="_Toc585823795"/>
      <w:bookmarkStart w:id="388" w:name="_Toc754529987"/>
      <w:bookmarkStart w:id="389" w:name="_Toc331685784"/>
      <w:bookmarkStart w:id="390" w:name="_Toc338946912"/>
      <w:bookmarkStart w:id="391" w:name="_Toc1307132701_WPSOffice_Level2"/>
      <w:bookmarkStart w:id="392" w:name="_Toc372795329"/>
      <w:bookmarkStart w:id="393" w:name="_Toc2093121350"/>
      <w:bookmarkStart w:id="394" w:name="_Toc1953682895"/>
      <w:bookmarkStart w:id="395" w:name="_Toc1213189241"/>
      <w:r>
        <w:rPr>
          <w:rFonts w:ascii="Arial" w:hAnsi="Arial" w:eastAsia="方正黑体_GBK" w:cs="Arial"/>
          <w:bCs/>
          <w:kern w:val="2"/>
          <w:sz w:val="28"/>
          <w:szCs w:val="32"/>
          <w:highlight w:val="none"/>
          <w:lang w:val="en-US" w:eastAsia="zh-CN" w:bidi="ar-SA"/>
        </w:rPr>
        <w:t>第三部分 合同</w:t>
      </w:r>
      <w:r>
        <w:rPr>
          <w:rFonts w:ascii="Arial" w:hAnsi="Arial" w:cs="Arial"/>
          <w:highlight w:val="none"/>
          <w:lang w:val="en-US" w:eastAsia="zh-CN"/>
        </w:rPr>
        <w:t>专用</w:t>
      </w:r>
      <w:r>
        <w:rPr>
          <w:rFonts w:ascii="Arial" w:hAnsi="Arial" w:eastAsia="方正黑体_GBK" w:cs="Arial"/>
          <w:bCs/>
          <w:kern w:val="2"/>
          <w:sz w:val="28"/>
          <w:szCs w:val="32"/>
          <w:highlight w:val="none"/>
          <w:lang w:val="en-US" w:eastAsia="zh-CN" w:bidi="ar-SA"/>
        </w:rPr>
        <w:t>条款</w:t>
      </w:r>
      <w:bookmarkEnd w:id="387"/>
      <w:bookmarkEnd w:id="388"/>
      <w:bookmarkEnd w:id="389"/>
      <w:bookmarkEnd w:id="390"/>
      <w:bookmarkEnd w:id="391"/>
      <w:bookmarkEnd w:id="392"/>
      <w:bookmarkEnd w:id="393"/>
      <w:bookmarkEnd w:id="394"/>
      <w:bookmarkEnd w:id="395"/>
    </w:p>
    <w:p>
      <w:pPr>
        <w:spacing w:line="360" w:lineRule="auto"/>
        <w:ind w:firstLine="435"/>
        <w:rPr>
          <w:highlight w:val="none"/>
        </w:rPr>
      </w:pPr>
      <w:r>
        <w:rPr>
          <w:rFonts w:ascii="Arial" w:hAnsi="Arial" w:eastAsia="宋体" w:cs="Arial"/>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07"/>
        <w:gridCol w:w="73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31" w:hRule="atLeast"/>
          <w:jc w:val="center"/>
        </w:trPr>
        <w:tc>
          <w:tcPr>
            <w:tcW w:w="1007" w:type="dxa"/>
            <w:tcBorders>
              <w:left w:val="single" w:color="auto" w:sz="4" w:space="0"/>
            </w:tcBorders>
            <w:noWrap w:val="0"/>
            <w:vAlign w:val="center"/>
          </w:tcPr>
          <w:p>
            <w:pPr>
              <w:jc w:val="center"/>
              <w:rPr>
                <w:rFonts w:ascii="Arial" w:hAnsi="Arial" w:eastAsia="宋体" w:cs="Arial"/>
                <w:b/>
                <w:sz w:val="24"/>
                <w:szCs w:val="24"/>
                <w:highlight w:val="none"/>
              </w:rPr>
            </w:pPr>
            <w:r>
              <w:rPr>
                <w:rFonts w:ascii="Arial" w:hAnsi="Arial" w:eastAsia="宋体" w:cs="Arial"/>
                <w:b/>
                <w:sz w:val="24"/>
                <w:szCs w:val="24"/>
                <w:highlight w:val="none"/>
              </w:rPr>
              <w:t>条款号</w:t>
            </w:r>
          </w:p>
        </w:tc>
        <w:tc>
          <w:tcPr>
            <w:tcW w:w="7355" w:type="dxa"/>
            <w:noWrap w:val="0"/>
            <w:vAlign w:val="center"/>
          </w:tcPr>
          <w:p>
            <w:pPr>
              <w:jc w:val="center"/>
              <w:rPr>
                <w:rFonts w:ascii="Arial" w:hAnsi="Arial" w:eastAsia="宋体" w:cs="Arial"/>
                <w:b/>
                <w:sz w:val="24"/>
                <w:szCs w:val="24"/>
                <w:highlight w:val="none"/>
              </w:rPr>
            </w:pPr>
            <w:r>
              <w:rPr>
                <w:rFonts w:ascii="Arial" w:hAnsi="Arial" w:eastAsia="宋体" w:cs="Arial"/>
                <w:b/>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2.3.2</w:t>
            </w:r>
          </w:p>
        </w:tc>
        <w:tc>
          <w:tcPr>
            <w:tcW w:w="7355" w:type="dxa"/>
            <w:noWrap w:val="0"/>
            <w:vAlign w:val="center"/>
          </w:tcPr>
          <w:p>
            <w:pPr>
              <w:spacing w:line="560" w:lineRule="exact"/>
              <w:rPr>
                <w:rFonts w:ascii="Arial" w:hAnsi="Arial" w:eastAsia="宋体" w:cs="Arial"/>
                <w:kern w:val="2"/>
                <w:sz w:val="24"/>
                <w:szCs w:val="24"/>
                <w:highlight w:val="none"/>
                <w:lang w:val="en-US" w:eastAsia="zh-CN" w:bidi="ar-SA"/>
              </w:rPr>
            </w:pPr>
            <w:r>
              <w:rPr>
                <w:rFonts w:hint="eastAsia" w:ascii="Arial" w:hAnsi="Arial" w:eastAsia="宋体" w:cs="Arial"/>
                <w:sz w:val="24"/>
                <w:szCs w:val="24"/>
                <w:highlight w:val="none"/>
                <w:lang w:val="en-US" w:eastAsia="zh-CN"/>
              </w:rPr>
              <w:t>如有，</w:t>
            </w:r>
            <w:r>
              <w:rPr>
                <w:rFonts w:hint="eastAsia" w:ascii="Arial" w:hAnsi="Arial" w:eastAsia="宋体" w:cs="Arial"/>
                <w:sz w:val="24"/>
                <w:szCs w:val="24"/>
                <w:highlight w:val="none"/>
              </w:rPr>
              <w:t>知识产权归甲方所有</w:t>
            </w:r>
            <w:r>
              <w:rPr>
                <w:rFonts w:hint="eastAsia" w:ascii="Arial" w:hAnsi="Arial" w:eastAsia="宋体" w:cs="Arial"/>
                <w:sz w:val="24"/>
                <w:szCs w:val="24"/>
                <w:highlight w:val="none"/>
                <w:lang w:eastAsia="zh-CN"/>
              </w:rPr>
              <w:t>。</w:t>
            </w:r>
            <w:r>
              <w:rPr>
                <w:rFonts w:hint="eastAsia" w:ascii="Arial" w:hAnsi="Arial" w:eastAsia="宋体" w:cs="Arial"/>
                <w:sz w:val="24"/>
                <w:szCs w:val="24"/>
                <w:highlight w:val="none"/>
              </w:rPr>
              <w:t>在未得到甲方同意的情况下，乙方不得向第三方提供，否则，由此发生的损失和法律责任由乙方承担。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2.4.2</w:t>
            </w:r>
          </w:p>
        </w:tc>
        <w:tc>
          <w:tcPr>
            <w:tcW w:w="7355" w:type="dxa"/>
            <w:noWrap w:val="0"/>
            <w:vAlign w:val="center"/>
          </w:tcPr>
          <w:p>
            <w:pPr>
              <w:spacing w:line="560" w:lineRule="exact"/>
              <w:rPr>
                <w:rFonts w:hint="eastAsia" w:ascii="Arial" w:hAnsi="Arial" w:eastAsia="宋体" w:cs="Arial"/>
                <w:kern w:val="2"/>
                <w:sz w:val="24"/>
                <w:szCs w:val="24"/>
                <w:highlight w:val="none"/>
                <w:lang w:val="en-US" w:eastAsia="zh-CN" w:bidi="ar-SA"/>
              </w:rPr>
            </w:pPr>
            <w:r>
              <w:rPr>
                <w:rFonts w:hint="eastAsia" w:ascii="Arial" w:hAnsi="Arial" w:eastAsia="宋体" w:cs="Arial"/>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zh-CN"/>
              </w:rPr>
              <w:t>2.6</w:t>
            </w:r>
          </w:p>
        </w:tc>
        <w:tc>
          <w:tcPr>
            <w:tcW w:w="7355" w:type="dxa"/>
            <w:noWrap w:val="0"/>
            <w:vAlign w:val="center"/>
          </w:tcPr>
          <w:p>
            <w:pPr>
              <w:spacing w:line="560" w:lineRule="exact"/>
              <w:rPr>
                <w:rFonts w:ascii="Arial" w:hAnsi="Arial" w:eastAsia="宋体" w:cs="Arial"/>
                <w:kern w:val="2"/>
                <w:sz w:val="24"/>
                <w:szCs w:val="24"/>
                <w:highlight w:val="none"/>
                <w:lang w:val="en-US" w:eastAsia="zh-CN" w:bidi="ar-SA"/>
              </w:rPr>
            </w:pPr>
            <w:r>
              <w:rPr>
                <w:rFonts w:hint="eastAsia" w:ascii="Arial" w:hAnsi="Arial" w:eastAsia="宋体" w:cs="Arial"/>
                <w:sz w:val="24"/>
                <w:szCs w:val="24"/>
                <w:highlight w:val="none"/>
              </w:rPr>
              <w:t>按采购文件中约定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zh-CN"/>
              </w:rPr>
              <w:t>2.9</w:t>
            </w:r>
          </w:p>
        </w:tc>
        <w:tc>
          <w:tcPr>
            <w:tcW w:w="7355" w:type="dxa"/>
            <w:noWrap w:val="0"/>
            <w:vAlign w:val="center"/>
          </w:tcPr>
          <w:p>
            <w:pPr>
              <w:spacing w:line="560" w:lineRule="exact"/>
              <w:rPr>
                <w:rFonts w:hint="eastAsia" w:ascii="Arial" w:hAnsi="Arial" w:eastAsia="宋体" w:cs="Arial"/>
                <w:kern w:val="2"/>
                <w:sz w:val="24"/>
                <w:szCs w:val="24"/>
                <w:highlight w:val="none"/>
                <w:lang w:val="en-US" w:eastAsia="zh-CN" w:bidi="ar-SA"/>
              </w:rPr>
            </w:pPr>
            <w:r>
              <w:rPr>
                <w:rFonts w:hint="eastAsia" w:ascii="宋体" w:hAnsi="宋体" w:eastAsia="宋体" w:cs="宋体"/>
                <w:sz w:val="24"/>
                <w:szCs w:val="24"/>
                <w:highlight w:val="none"/>
              </w:rPr>
              <w:t>由乙方负担</w:t>
            </w:r>
            <w:r>
              <w:rPr>
                <w:rFonts w:hint="eastAsia" w:ascii="宋体" w:hAnsi="宋体" w:eastAsia="宋体" w:cs="宋体"/>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2.13.3</w:t>
            </w:r>
          </w:p>
        </w:tc>
        <w:tc>
          <w:tcPr>
            <w:tcW w:w="7355" w:type="dxa"/>
            <w:noWrap w:val="0"/>
            <w:vAlign w:val="center"/>
          </w:tcPr>
          <w:p>
            <w:pPr>
              <w:spacing w:line="560" w:lineRule="exact"/>
              <w:rPr>
                <w:rFonts w:hint="default" w:ascii="Arial" w:hAnsi="Arial" w:eastAsia="宋体" w:cs="Arial"/>
                <w:kern w:val="2"/>
                <w:sz w:val="24"/>
                <w:szCs w:val="24"/>
                <w:highlight w:val="none"/>
                <w:u w:val="single"/>
                <w:lang w:val="en-US" w:eastAsia="zh-CN" w:bidi="ar-SA"/>
              </w:rPr>
            </w:pPr>
            <w:r>
              <w:rPr>
                <w:rFonts w:hint="eastAsia" w:ascii="Arial" w:hAnsi="Arial" w:eastAsia="宋体" w:cs="Arial"/>
                <w:sz w:val="24"/>
                <w:szCs w:val="24"/>
                <w:highlight w:val="none"/>
                <w:u w:val="single"/>
                <w:lang w:val="en-US" w:eastAsia="zh-CN"/>
              </w:rPr>
              <w:t>5日内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2.13.4</w:t>
            </w:r>
          </w:p>
        </w:tc>
        <w:tc>
          <w:tcPr>
            <w:tcW w:w="7355" w:type="dxa"/>
            <w:noWrap w:val="0"/>
            <w:vAlign w:val="center"/>
          </w:tcPr>
          <w:p>
            <w:pPr>
              <w:spacing w:line="560" w:lineRule="exact"/>
              <w:rPr>
                <w:rFonts w:hint="eastAsia" w:ascii="Arial" w:hAnsi="Arial" w:eastAsia="宋体" w:cs="Arial"/>
                <w:kern w:val="2"/>
                <w:sz w:val="24"/>
                <w:szCs w:val="24"/>
                <w:highlight w:val="none"/>
                <w:lang w:val="en-US" w:eastAsia="zh-CN" w:bidi="ar-SA"/>
              </w:rPr>
            </w:pPr>
            <w:r>
              <w:rPr>
                <w:rFonts w:hint="eastAsia" w:ascii="Arial" w:hAnsi="Arial" w:eastAsia="宋体" w:cs="Arial"/>
                <w:sz w:val="24"/>
                <w:szCs w:val="24"/>
                <w:highlight w:val="none"/>
                <w:u w:val="single"/>
                <w:lang w:val="en-US" w:eastAsia="zh-CN"/>
              </w:rPr>
              <w:t>5日内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2.17.1</w:t>
            </w:r>
          </w:p>
        </w:tc>
        <w:tc>
          <w:tcPr>
            <w:tcW w:w="7355" w:type="dxa"/>
            <w:noWrap w:val="0"/>
            <w:vAlign w:val="center"/>
          </w:tcPr>
          <w:p>
            <w:pPr>
              <w:spacing w:line="560" w:lineRule="exact"/>
              <w:rPr>
                <w:rFonts w:ascii="Arial" w:hAnsi="Arial" w:eastAsia="宋体" w:cs="Arial"/>
                <w:kern w:val="2"/>
                <w:sz w:val="24"/>
                <w:szCs w:val="24"/>
                <w:highlight w:val="none"/>
                <w:u w:val="single"/>
                <w:lang w:val="en-US" w:eastAsia="zh-CN" w:bidi="ar-SA"/>
              </w:rPr>
            </w:pPr>
            <w:r>
              <w:rPr>
                <w:rFonts w:hint="eastAsia" w:ascii="Arial" w:hAnsi="Arial" w:eastAsia="宋体" w:cs="Arial"/>
                <w:sz w:val="24"/>
                <w:szCs w:val="24"/>
                <w:highlight w:val="none"/>
                <w:u w:val="single"/>
                <w:lang w:val="en-US" w:eastAsia="zh-CN"/>
              </w:rPr>
              <w:t>5日内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2.17.3</w:t>
            </w:r>
          </w:p>
        </w:tc>
        <w:tc>
          <w:tcPr>
            <w:tcW w:w="7355" w:type="dxa"/>
            <w:noWrap w:val="0"/>
            <w:vAlign w:val="center"/>
          </w:tcPr>
          <w:p>
            <w:pPr>
              <w:spacing w:line="560" w:lineRule="exact"/>
              <w:rPr>
                <w:rFonts w:ascii="Arial" w:hAnsi="Arial" w:eastAsia="宋体" w:cs="Arial"/>
                <w:kern w:val="2"/>
                <w:sz w:val="24"/>
                <w:szCs w:val="24"/>
                <w:highlight w:val="none"/>
                <w:lang w:val="en-US" w:eastAsia="zh-CN" w:bidi="ar-SA"/>
              </w:rPr>
            </w:pPr>
            <w:r>
              <w:rPr>
                <w:rFonts w:hint="eastAsia" w:ascii="Arial" w:hAnsi="Arial" w:eastAsia="宋体" w:cs="Arial"/>
                <w:sz w:val="24"/>
                <w:szCs w:val="24"/>
                <w:highlight w:val="none"/>
              </w:rPr>
              <w:t>按采购文件中约定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zh-CN"/>
              </w:rPr>
              <w:t>2.20</w:t>
            </w:r>
          </w:p>
        </w:tc>
        <w:tc>
          <w:tcPr>
            <w:tcW w:w="7355" w:type="dxa"/>
            <w:noWrap w:val="0"/>
            <w:vAlign w:val="center"/>
          </w:tcPr>
          <w:p>
            <w:pPr>
              <w:spacing w:line="560" w:lineRule="exact"/>
              <w:rPr>
                <w:rFonts w:ascii="Arial" w:hAnsi="Arial" w:eastAsia="宋体" w:cs="Arial"/>
                <w:kern w:val="2"/>
                <w:sz w:val="24"/>
                <w:szCs w:val="24"/>
                <w:highlight w:val="none"/>
                <w:lang w:val="en-US" w:eastAsia="zh-CN" w:bidi="ar-SA"/>
              </w:rPr>
            </w:pPr>
            <w:r>
              <w:rPr>
                <w:rFonts w:hint="eastAsia" w:ascii="Arial" w:hAnsi="Arial" w:eastAsia="宋体" w:cs="Arial"/>
                <w:sz w:val="24"/>
                <w:szCs w:val="24"/>
                <w:highlight w:val="none"/>
              </w:rPr>
              <w:t>按采购文件中约定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left w:val="single" w:color="auto" w:sz="4" w:space="0"/>
            </w:tcBorders>
            <w:noWrap w:val="0"/>
            <w:vAlign w:val="center"/>
          </w:tcPr>
          <w:p>
            <w:pPr>
              <w:spacing w:line="560" w:lineRule="exac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zh-CN"/>
              </w:rPr>
              <w:t>2.21</w:t>
            </w:r>
          </w:p>
        </w:tc>
        <w:tc>
          <w:tcPr>
            <w:tcW w:w="7355" w:type="dxa"/>
            <w:noWrap w:val="0"/>
            <w:vAlign w:val="center"/>
          </w:tcPr>
          <w:p>
            <w:pPr>
              <w:spacing w:line="560" w:lineRule="exact"/>
              <w:rPr>
                <w:rFonts w:hint="default" w:ascii="Arial" w:hAnsi="Arial" w:eastAsia="宋体" w:cs="Arial"/>
                <w:kern w:val="2"/>
                <w:sz w:val="24"/>
                <w:szCs w:val="24"/>
                <w:highlight w:val="none"/>
                <w:lang w:val="en-US" w:eastAsia="zh-CN" w:bidi="ar-SA"/>
              </w:rPr>
            </w:pPr>
            <w:r>
              <w:rPr>
                <w:rFonts w:hint="eastAsia" w:ascii="Arial" w:hAnsi="Arial" w:eastAsia="宋体" w:cs="Arial"/>
                <w:sz w:val="24"/>
                <w:szCs w:val="24"/>
                <w:highlight w:val="none"/>
                <w:lang w:val="en-US" w:eastAsia="zh-CN"/>
              </w:rPr>
              <w:t>见合同书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ascii="Arial" w:hAnsi="Arial" w:eastAsia="宋体" w:cs="Arial"/>
                <w:sz w:val="24"/>
                <w:szCs w:val="24"/>
                <w:highlight w:val="none"/>
              </w:rPr>
            </w:pPr>
          </w:p>
        </w:tc>
        <w:tc>
          <w:tcPr>
            <w:tcW w:w="73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ascii="Arial" w:hAnsi="Arial" w:eastAsia="宋体" w:cs="Arial"/>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7"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ascii="Arial" w:hAnsi="Arial" w:eastAsia="宋体" w:cs="Arial"/>
                <w:sz w:val="24"/>
                <w:szCs w:val="24"/>
                <w:highlight w:val="none"/>
              </w:rPr>
            </w:pPr>
          </w:p>
        </w:tc>
        <w:tc>
          <w:tcPr>
            <w:tcW w:w="73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ascii="Arial" w:hAnsi="Arial" w:eastAsia="宋体" w:cs="Arial"/>
                <w:sz w:val="24"/>
                <w:szCs w:val="24"/>
                <w:highlight w:val="none"/>
              </w:rPr>
            </w:pPr>
          </w:p>
        </w:tc>
      </w:tr>
      <w:bookmarkEnd w:id="221"/>
    </w:tbl>
    <w:p>
      <w:pPr>
        <w:pStyle w:val="4"/>
        <w:bidi w:val="0"/>
        <w:rPr>
          <w:rFonts w:hint="eastAsia" w:ascii="方正小标宋_GBK" w:hAnsi="方正小标宋_GBK" w:eastAsia="方正小标宋_GBK" w:cs="方正小标宋_GBK"/>
          <w:kern w:val="44"/>
          <w:sz w:val="44"/>
          <w:szCs w:val="44"/>
          <w:highlight w:val="none"/>
        </w:rPr>
      </w:pPr>
      <w:r>
        <w:rPr>
          <w:rFonts w:ascii="Arial" w:hAnsi="Arial" w:eastAsia="宋体" w:cs="Arial"/>
          <w:sz w:val="24"/>
          <w:highlight w:val="none"/>
        </w:rPr>
        <w:br w:type="page"/>
      </w:r>
      <w:bookmarkStart w:id="396" w:name="_Toc1665239704"/>
      <w:bookmarkStart w:id="397" w:name="_Toc10441"/>
      <w:bookmarkStart w:id="398" w:name="_Toc12029"/>
      <w:bookmarkStart w:id="399" w:name="_Toc2060960840"/>
      <w:bookmarkStart w:id="400" w:name="_Toc139654251"/>
      <w:bookmarkStart w:id="401" w:name="_Toc2081002206"/>
      <w:bookmarkStart w:id="402" w:name="_Toc161455057"/>
      <w:bookmarkStart w:id="403" w:name="_Toc550375791"/>
      <w:bookmarkStart w:id="404" w:name="_Toc1349632118_WPSOffice_Level1"/>
      <w:bookmarkStart w:id="405" w:name="_Toc19318"/>
      <w:bookmarkStart w:id="406" w:name="_Toc692305141"/>
      <w:r>
        <w:rPr>
          <w:rFonts w:hint="eastAsia" w:ascii="方正小标宋_GBK" w:hAnsi="方正小标宋_GBK" w:eastAsia="方正小标宋_GBK" w:cs="方正小标宋_GBK"/>
          <w:kern w:val="44"/>
          <w:sz w:val="44"/>
          <w:szCs w:val="44"/>
          <w:highlight w:val="none"/>
        </w:rPr>
        <w:t>第六章  投标文件格式</w:t>
      </w:r>
      <w:bookmarkEnd w:id="396"/>
      <w:bookmarkEnd w:id="397"/>
      <w:bookmarkEnd w:id="398"/>
      <w:bookmarkEnd w:id="399"/>
      <w:bookmarkEnd w:id="400"/>
      <w:bookmarkEnd w:id="401"/>
      <w:bookmarkEnd w:id="402"/>
      <w:bookmarkEnd w:id="403"/>
      <w:bookmarkEnd w:id="404"/>
      <w:bookmarkEnd w:id="405"/>
      <w:bookmarkEnd w:id="406"/>
    </w:p>
    <w:p>
      <w:pPr>
        <w:spacing w:line="500" w:lineRule="exact"/>
        <w:jc w:val="center"/>
        <w:rPr>
          <w:rFonts w:hint="eastAsia" w:ascii="Arial" w:hAnsi="Arial" w:eastAsia="宋体" w:cs="Arial"/>
          <w:b/>
          <w:sz w:val="32"/>
          <w:highlight w:val="none"/>
          <w:lang w:eastAsia="zh-CN"/>
        </w:rPr>
      </w:pPr>
      <w:r>
        <w:rPr>
          <w:rFonts w:hint="eastAsia" w:ascii="Arial" w:hAnsi="Arial" w:eastAsia="宋体" w:cs="Arial"/>
          <w:b/>
          <w:sz w:val="32"/>
          <w:highlight w:val="none"/>
          <w:lang w:val="en-US" w:eastAsia="zh-CN"/>
        </w:rPr>
        <w:t xml:space="preserve"> </w:t>
      </w:r>
    </w:p>
    <w:p>
      <w:pPr>
        <w:spacing w:line="500" w:lineRule="exact"/>
        <w:jc w:val="center"/>
        <w:rPr>
          <w:rFonts w:hint="eastAsia" w:ascii="Arial" w:hAnsi="Arial" w:eastAsia="宋体" w:cs="Arial"/>
          <w:b/>
          <w:i w:val="0"/>
          <w:iCs w:val="0"/>
          <w:sz w:val="32"/>
          <w:highlight w:val="none"/>
          <w:lang w:eastAsia="zh-CN"/>
        </w:rPr>
      </w:pPr>
      <w:bookmarkStart w:id="407" w:name="_Toc93032116_WPSOffice_Level1"/>
      <w:r>
        <w:rPr>
          <w:rFonts w:hint="eastAsia" w:ascii="Arial" w:hAnsi="Arial" w:eastAsia="宋体" w:cs="Arial"/>
          <w:b/>
          <w:i w:val="0"/>
          <w:iCs w:val="0"/>
          <w:sz w:val="32"/>
          <w:highlight w:val="none"/>
          <w:lang w:eastAsia="zh-CN"/>
        </w:rPr>
        <w:t>皖南医学院活性生物大分子研究安徽省重点实验室</w:t>
      </w:r>
    </w:p>
    <w:p>
      <w:pPr>
        <w:spacing w:line="500" w:lineRule="exact"/>
        <w:jc w:val="center"/>
        <w:rPr>
          <w:rFonts w:ascii="Arial" w:hAnsi="Arial" w:eastAsia="宋体" w:cs="Arial"/>
          <w:b/>
          <w:i/>
          <w:iCs/>
          <w:sz w:val="32"/>
          <w:highlight w:val="none"/>
        </w:rPr>
      </w:pPr>
      <w:r>
        <w:rPr>
          <w:rFonts w:ascii="Arial" w:hAnsi="Arial" w:eastAsia="宋体" w:cs="Arial"/>
          <w:b/>
          <w:i/>
          <w:iCs/>
          <w:sz w:val="32"/>
          <w:highlight w:val="none"/>
        </w:rPr>
        <w:t>（</w:t>
      </w:r>
      <w:r>
        <w:rPr>
          <w:rFonts w:hint="eastAsia" w:ascii="Arial" w:hAnsi="Arial" w:eastAsia="宋体" w:cs="Arial"/>
          <w:b/>
          <w:i w:val="0"/>
          <w:iCs w:val="0"/>
          <w:sz w:val="32"/>
          <w:highlight w:val="none"/>
          <w:lang w:eastAsia="zh-CN"/>
        </w:rPr>
        <w:t>FSKY34000120242274号001</w:t>
      </w:r>
      <w:r>
        <w:rPr>
          <w:rFonts w:ascii="Arial" w:hAnsi="Arial" w:eastAsia="宋体" w:cs="Arial"/>
          <w:b/>
          <w:i/>
          <w:iCs/>
          <w:sz w:val="32"/>
          <w:highlight w:val="none"/>
        </w:rPr>
        <w:t>）</w:t>
      </w:r>
      <w:bookmarkEnd w:id="407"/>
    </w:p>
    <w:p>
      <w:pPr>
        <w:spacing w:line="900" w:lineRule="exact"/>
        <w:jc w:val="center"/>
        <w:rPr>
          <w:rFonts w:ascii="Arial" w:hAnsi="Arial" w:eastAsia="宋体" w:cs="Arial"/>
          <w:b/>
          <w:sz w:val="72"/>
          <w:highlight w:val="none"/>
        </w:rPr>
      </w:pPr>
    </w:p>
    <w:p>
      <w:pPr>
        <w:spacing w:line="900" w:lineRule="exact"/>
        <w:jc w:val="center"/>
        <w:rPr>
          <w:rFonts w:ascii="Arial" w:hAnsi="Arial" w:eastAsia="宋体" w:cs="Arial"/>
          <w:b/>
          <w:sz w:val="72"/>
          <w:highlight w:val="none"/>
        </w:rPr>
      </w:pPr>
      <w:bookmarkStart w:id="408" w:name="_Toc1640165987_WPSOffice_Level2"/>
      <w:r>
        <w:rPr>
          <w:rFonts w:ascii="Arial" w:hAnsi="Arial" w:eastAsia="宋体" w:cs="Arial"/>
          <w:b/>
          <w:sz w:val="72"/>
          <w:highlight w:val="none"/>
        </w:rPr>
        <w:t>投</w:t>
      </w:r>
      <w:bookmarkEnd w:id="408"/>
    </w:p>
    <w:p>
      <w:pPr>
        <w:spacing w:line="900" w:lineRule="exact"/>
        <w:jc w:val="center"/>
        <w:rPr>
          <w:rFonts w:ascii="Arial" w:hAnsi="Arial" w:eastAsia="宋体" w:cs="Arial"/>
          <w:b/>
          <w:sz w:val="72"/>
          <w:highlight w:val="none"/>
        </w:rPr>
      </w:pPr>
    </w:p>
    <w:p>
      <w:pPr>
        <w:spacing w:line="900" w:lineRule="exact"/>
        <w:jc w:val="center"/>
        <w:rPr>
          <w:rFonts w:ascii="Arial" w:hAnsi="Arial" w:eastAsia="宋体" w:cs="Arial"/>
          <w:b/>
          <w:sz w:val="72"/>
          <w:highlight w:val="none"/>
        </w:rPr>
      </w:pPr>
      <w:bookmarkStart w:id="409" w:name="_Toc1571842593_WPSOffice_Level2"/>
      <w:r>
        <w:rPr>
          <w:rFonts w:ascii="Arial" w:hAnsi="Arial" w:eastAsia="宋体" w:cs="Arial"/>
          <w:b/>
          <w:sz w:val="72"/>
          <w:highlight w:val="none"/>
        </w:rPr>
        <w:t>标</w:t>
      </w:r>
      <w:bookmarkEnd w:id="409"/>
    </w:p>
    <w:p>
      <w:pPr>
        <w:spacing w:line="900" w:lineRule="exact"/>
        <w:jc w:val="center"/>
        <w:rPr>
          <w:rFonts w:ascii="Arial" w:hAnsi="Arial" w:eastAsia="宋体" w:cs="Arial"/>
          <w:b/>
          <w:sz w:val="72"/>
          <w:highlight w:val="none"/>
        </w:rPr>
      </w:pPr>
    </w:p>
    <w:p>
      <w:pPr>
        <w:spacing w:line="900" w:lineRule="exact"/>
        <w:jc w:val="center"/>
        <w:rPr>
          <w:rFonts w:ascii="Arial" w:hAnsi="Arial" w:eastAsia="宋体" w:cs="Arial"/>
          <w:b/>
          <w:sz w:val="72"/>
          <w:highlight w:val="none"/>
        </w:rPr>
      </w:pPr>
      <w:bookmarkStart w:id="410" w:name="_Toc1444023827_WPSOffice_Level2"/>
      <w:r>
        <w:rPr>
          <w:rFonts w:ascii="Arial" w:hAnsi="Arial" w:eastAsia="宋体" w:cs="Arial"/>
          <w:b/>
          <w:sz w:val="72"/>
          <w:highlight w:val="none"/>
        </w:rPr>
        <w:t>文</w:t>
      </w:r>
      <w:bookmarkEnd w:id="410"/>
    </w:p>
    <w:p>
      <w:pPr>
        <w:spacing w:line="900" w:lineRule="exact"/>
        <w:jc w:val="center"/>
        <w:rPr>
          <w:rFonts w:ascii="Arial" w:hAnsi="Arial" w:eastAsia="宋体" w:cs="Arial"/>
          <w:b/>
          <w:sz w:val="72"/>
          <w:highlight w:val="none"/>
        </w:rPr>
      </w:pPr>
    </w:p>
    <w:p>
      <w:pPr>
        <w:jc w:val="center"/>
        <w:rPr>
          <w:rFonts w:ascii="Arial" w:hAnsi="Arial" w:eastAsia="宋体" w:cs="Arial"/>
          <w:b/>
          <w:sz w:val="72"/>
          <w:highlight w:val="none"/>
        </w:rPr>
      </w:pPr>
      <w:bookmarkStart w:id="411" w:name="_Toc733932507_WPSOffice_Level2"/>
      <w:r>
        <w:rPr>
          <w:rFonts w:ascii="Arial" w:hAnsi="Arial" w:eastAsia="宋体" w:cs="Arial"/>
          <w:b/>
          <w:sz w:val="72"/>
          <w:highlight w:val="none"/>
        </w:rPr>
        <w:t>件</w:t>
      </w:r>
      <w:bookmarkEnd w:id="411"/>
    </w:p>
    <w:p>
      <w:pPr>
        <w:spacing w:after="156" w:afterLines="50" w:line="500" w:lineRule="exact"/>
        <w:jc w:val="center"/>
        <w:rPr>
          <w:rFonts w:hint="eastAsia" w:ascii="Arial" w:hAnsi="Arial" w:eastAsia="宋体" w:cs="Arial"/>
          <w:b/>
          <w:sz w:val="28"/>
          <w:szCs w:val="28"/>
          <w:highlight w:val="none"/>
          <w:lang w:eastAsia="zh-CN"/>
        </w:rPr>
      </w:pPr>
      <w:r>
        <w:rPr>
          <w:rFonts w:hint="eastAsia" w:ascii="Arial" w:hAnsi="Arial" w:eastAsia="宋体" w:cs="Arial"/>
          <w:b/>
          <w:sz w:val="32"/>
          <w:szCs w:val="32"/>
          <w:highlight w:val="none"/>
          <w:lang w:val="en-US" w:eastAsia="zh-CN"/>
        </w:rPr>
        <w:t xml:space="preserve"> </w:t>
      </w:r>
    </w:p>
    <w:p>
      <w:pPr>
        <w:spacing w:after="156" w:afterLines="50" w:line="500" w:lineRule="exact"/>
        <w:jc w:val="center"/>
        <w:rPr>
          <w:rFonts w:ascii="Arial" w:hAnsi="Arial" w:eastAsia="宋体" w:cs="Arial"/>
          <w:b/>
          <w:sz w:val="72"/>
          <w:highlight w:val="none"/>
        </w:rPr>
      </w:pPr>
    </w:p>
    <w:p>
      <w:pPr>
        <w:spacing w:after="156" w:afterLines="50" w:line="500" w:lineRule="exact"/>
        <w:jc w:val="center"/>
        <w:rPr>
          <w:rFonts w:ascii="Arial" w:hAnsi="Arial" w:eastAsia="宋体" w:cs="Arial"/>
          <w:b/>
          <w:sz w:val="32"/>
          <w:highlight w:val="none"/>
          <w:u w:val="single"/>
        </w:rPr>
      </w:pPr>
      <w:bookmarkStart w:id="412" w:name="_Toc936730915_WPSOffice_Level1"/>
      <w:r>
        <w:rPr>
          <w:rFonts w:ascii="Arial" w:hAnsi="Arial" w:eastAsia="宋体" w:cs="Arial"/>
          <w:b/>
          <w:sz w:val="32"/>
          <w:highlight w:val="none"/>
        </w:rPr>
        <w:t>投标人：</w:t>
      </w:r>
      <w:r>
        <w:rPr>
          <w:rFonts w:ascii="Arial" w:hAnsi="Arial" w:eastAsia="宋体" w:cs="Arial"/>
          <w:b/>
          <w:sz w:val="32"/>
          <w:highlight w:val="none"/>
          <w:u w:val="single"/>
        </w:rPr>
        <w:t xml:space="preserve">               </w:t>
      </w:r>
      <w:r>
        <w:rPr>
          <w:rFonts w:ascii="Arial" w:hAnsi="Arial" w:eastAsia="宋体" w:cs="Arial"/>
          <w:b/>
          <w:sz w:val="32"/>
          <w:highlight w:val="none"/>
        </w:rPr>
        <w:t>（</w:t>
      </w:r>
      <w:r>
        <w:rPr>
          <w:rFonts w:hint="eastAsia" w:ascii="Arial" w:hAnsi="Arial" w:eastAsia="宋体" w:cs="Arial"/>
          <w:b/>
          <w:sz w:val="32"/>
          <w:highlight w:val="none"/>
        </w:rPr>
        <w:t>盖单位章</w:t>
      </w:r>
      <w:r>
        <w:rPr>
          <w:rFonts w:ascii="Arial" w:hAnsi="Arial" w:eastAsia="宋体" w:cs="Arial"/>
          <w:b/>
          <w:sz w:val="32"/>
          <w:highlight w:val="none"/>
        </w:rPr>
        <w:t>）</w:t>
      </w:r>
      <w:bookmarkEnd w:id="412"/>
    </w:p>
    <w:p>
      <w:pPr>
        <w:spacing w:after="156" w:afterLines="50" w:line="500" w:lineRule="exact"/>
        <w:jc w:val="center"/>
        <w:rPr>
          <w:rFonts w:ascii="Arial" w:hAnsi="Arial" w:eastAsia="宋体" w:cs="Arial"/>
          <w:b/>
          <w:sz w:val="32"/>
          <w:highlight w:val="none"/>
        </w:rPr>
      </w:pPr>
      <w:r>
        <w:rPr>
          <w:rFonts w:ascii="Arial" w:hAnsi="Arial" w:eastAsia="宋体" w:cs="Arial"/>
          <w:b/>
          <w:sz w:val="32"/>
          <w:highlight w:val="none"/>
          <w:u w:val="single"/>
        </w:rPr>
        <w:t xml:space="preserve">  </w:t>
      </w:r>
      <w:r>
        <w:rPr>
          <w:rFonts w:hint="eastAsia" w:ascii="Arial" w:hAnsi="Arial" w:eastAsia="宋体" w:cs="Arial"/>
          <w:b/>
          <w:sz w:val="32"/>
          <w:highlight w:val="none"/>
          <w:u w:val="single"/>
        </w:rPr>
        <w:t xml:space="preserve"> </w:t>
      </w:r>
      <w:r>
        <w:rPr>
          <w:rFonts w:ascii="Arial" w:hAnsi="Arial" w:eastAsia="宋体" w:cs="Arial"/>
          <w:b/>
          <w:sz w:val="32"/>
          <w:highlight w:val="none"/>
          <w:u w:val="single"/>
        </w:rPr>
        <w:t xml:space="preserve"> </w:t>
      </w:r>
      <w:bookmarkStart w:id="413" w:name="_Toc1437859454_WPSOffice_Level1"/>
      <w:r>
        <w:rPr>
          <w:rFonts w:ascii="Arial" w:hAnsi="Arial" w:eastAsia="宋体" w:cs="Arial"/>
          <w:b/>
          <w:sz w:val="32"/>
          <w:highlight w:val="none"/>
        </w:rPr>
        <w:t>年</w:t>
      </w:r>
      <w:r>
        <w:rPr>
          <w:rFonts w:ascii="Arial" w:hAnsi="Arial" w:eastAsia="宋体" w:cs="Arial"/>
          <w:b/>
          <w:sz w:val="32"/>
          <w:highlight w:val="none"/>
          <w:u w:val="single"/>
        </w:rPr>
        <w:t xml:space="preserve"> </w:t>
      </w:r>
      <w:r>
        <w:rPr>
          <w:rFonts w:hint="eastAsia" w:ascii="Arial" w:hAnsi="Arial" w:eastAsia="宋体" w:cs="Arial"/>
          <w:b/>
          <w:sz w:val="32"/>
          <w:highlight w:val="none"/>
          <w:u w:val="single"/>
        </w:rPr>
        <w:t xml:space="preserve">  </w:t>
      </w:r>
      <w:r>
        <w:rPr>
          <w:rFonts w:ascii="Arial" w:hAnsi="Arial" w:eastAsia="宋体" w:cs="Arial"/>
          <w:b/>
          <w:sz w:val="32"/>
          <w:highlight w:val="none"/>
          <w:u w:val="single"/>
        </w:rPr>
        <w:t xml:space="preserve"> </w:t>
      </w:r>
      <w:r>
        <w:rPr>
          <w:rFonts w:ascii="Arial" w:hAnsi="Arial" w:eastAsia="宋体" w:cs="Arial"/>
          <w:b/>
          <w:sz w:val="32"/>
          <w:highlight w:val="none"/>
        </w:rPr>
        <w:t>月</w:t>
      </w:r>
      <w:r>
        <w:rPr>
          <w:rFonts w:ascii="Arial" w:hAnsi="Arial" w:eastAsia="宋体" w:cs="Arial"/>
          <w:b/>
          <w:sz w:val="32"/>
          <w:highlight w:val="none"/>
          <w:u w:val="single"/>
        </w:rPr>
        <w:t xml:space="preserve">  </w:t>
      </w:r>
      <w:r>
        <w:rPr>
          <w:rFonts w:hint="eastAsia" w:ascii="Arial" w:hAnsi="Arial" w:eastAsia="宋体" w:cs="Arial"/>
          <w:b/>
          <w:sz w:val="32"/>
          <w:highlight w:val="none"/>
          <w:u w:val="single"/>
        </w:rPr>
        <w:t xml:space="preserve">  </w:t>
      </w:r>
      <w:r>
        <w:rPr>
          <w:rFonts w:ascii="Arial" w:hAnsi="Arial" w:eastAsia="宋体" w:cs="Arial"/>
          <w:b/>
          <w:sz w:val="32"/>
          <w:highlight w:val="none"/>
        </w:rPr>
        <w:t>日</w:t>
      </w:r>
      <w:bookmarkEnd w:id="413"/>
    </w:p>
    <w:p>
      <w:pPr>
        <w:widowControl/>
        <w:jc w:val="left"/>
        <w:rPr>
          <w:rFonts w:ascii="Arial" w:hAnsi="Arial" w:eastAsia="宋体" w:cs="Arial"/>
          <w:b/>
          <w:sz w:val="28"/>
          <w:highlight w:val="none"/>
        </w:rPr>
      </w:pPr>
      <w:r>
        <w:rPr>
          <w:rFonts w:ascii="Arial" w:hAnsi="Arial" w:eastAsia="宋体" w:cs="Arial"/>
          <w:b/>
          <w:sz w:val="28"/>
          <w:highlight w:val="none"/>
        </w:rPr>
        <w:br w:type="page"/>
      </w:r>
    </w:p>
    <w:p>
      <w:pPr>
        <w:pStyle w:val="5"/>
        <w:keepNext/>
        <w:keepLines/>
        <w:pageBreakBefore w:val="0"/>
        <w:widowControl w:val="0"/>
        <w:kinsoku/>
        <w:wordWrap/>
        <w:overflowPunct/>
        <w:topLinePunct w:val="0"/>
        <w:autoSpaceDE/>
        <w:autoSpaceDN/>
        <w:bidi w:val="0"/>
        <w:adjustRightInd/>
        <w:snapToGrid/>
        <w:ind w:firstLine="0" w:firstLineChars="0"/>
        <w:jc w:val="center"/>
        <w:textAlignment w:val="auto"/>
        <w:rPr>
          <w:highlight w:val="none"/>
        </w:rPr>
      </w:pPr>
      <w:bookmarkStart w:id="590" w:name="_GoBack"/>
      <w:bookmarkEnd w:id="590"/>
      <w:bookmarkStart w:id="414" w:name="_Toc226105538"/>
      <w:bookmarkStart w:id="415" w:name="_Toc1144062693"/>
      <w:bookmarkStart w:id="416" w:name="_Toc1184190970"/>
      <w:bookmarkStart w:id="417" w:name="_Toc1706414009"/>
      <w:bookmarkStart w:id="418" w:name="_Toc1650063768"/>
      <w:bookmarkStart w:id="419" w:name="_Toc185600729_WPSOffice_Level2"/>
      <w:bookmarkStart w:id="420" w:name="_Toc1347367116"/>
      <w:bookmarkStart w:id="421" w:name="_Toc1610363053"/>
      <w:r>
        <w:rPr>
          <w:highlight w:val="none"/>
        </w:rPr>
        <w:t>投标文件资料清单</w:t>
      </w:r>
      <w:bookmarkEnd w:id="414"/>
      <w:bookmarkEnd w:id="415"/>
      <w:bookmarkEnd w:id="416"/>
      <w:bookmarkEnd w:id="417"/>
      <w:bookmarkEnd w:id="418"/>
      <w:bookmarkEnd w:id="419"/>
      <w:bookmarkEnd w:id="420"/>
      <w:bookmarkEnd w:id="421"/>
    </w:p>
    <w:tbl>
      <w:tblPr>
        <w:tblStyle w:val="25"/>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6064"/>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spacing w:line="0" w:lineRule="atLeast"/>
              <w:jc w:val="center"/>
              <w:rPr>
                <w:rFonts w:ascii="Arial" w:hAnsi="Arial" w:eastAsia="宋体" w:cs="Arial"/>
                <w:sz w:val="24"/>
                <w:highlight w:val="none"/>
              </w:rPr>
            </w:pPr>
            <w:r>
              <w:rPr>
                <w:rFonts w:ascii="Arial" w:hAnsi="Arial" w:eastAsia="宋体" w:cs="Arial"/>
                <w:sz w:val="24"/>
                <w:highlight w:val="none"/>
              </w:rPr>
              <w:t>序号</w:t>
            </w:r>
          </w:p>
        </w:tc>
        <w:tc>
          <w:tcPr>
            <w:tcW w:w="6064" w:type="dxa"/>
            <w:noWrap w:val="0"/>
            <w:vAlign w:val="center"/>
          </w:tcPr>
          <w:p>
            <w:pPr>
              <w:spacing w:line="0" w:lineRule="atLeast"/>
              <w:jc w:val="center"/>
              <w:rPr>
                <w:rFonts w:ascii="Arial" w:hAnsi="Arial" w:eastAsia="宋体" w:cs="Arial"/>
                <w:sz w:val="24"/>
                <w:highlight w:val="none"/>
              </w:rPr>
            </w:pPr>
            <w:r>
              <w:rPr>
                <w:rFonts w:ascii="Arial" w:hAnsi="Arial" w:eastAsia="宋体" w:cs="Arial"/>
                <w:sz w:val="24"/>
                <w:highlight w:val="none"/>
              </w:rPr>
              <w:t>资料名称</w:t>
            </w:r>
          </w:p>
        </w:tc>
        <w:tc>
          <w:tcPr>
            <w:tcW w:w="1335" w:type="dxa"/>
            <w:noWrap w:val="0"/>
            <w:vAlign w:val="center"/>
          </w:tcPr>
          <w:p>
            <w:pPr>
              <w:spacing w:line="0" w:lineRule="atLeast"/>
              <w:jc w:val="center"/>
              <w:rPr>
                <w:rFonts w:ascii="Arial" w:hAnsi="Arial" w:eastAsia="宋体" w:cs="Arial"/>
                <w:sz w:val="24"/>
                <w:highlight w:val="none"/>
              </w:rPr>
            </w:pPr>
            <w:r>
              <w:rPr>
                <w:rFonts w:ascii="Arial" w:hAnsi="Arial" w:eastAsia="宋体" w:cs="Arial"/>
                <w:sz w:val="24"/>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u w:val="single"/>
              </w:rPr>
            </w:pPr>
            <w:r>
              <w:rPr>
                <w:rFonts w:ascii="Arial" w:hAnsi="Arial" w:eastAsia="宋体" w:cs="Arial"/>
                <w:bCs/>
                <w:sz w:val="24"/>
                <w:highlight w:val="none"/>
              </w:rPr>
              <w:t>开标一览表</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bCs/>
                <w:sz w:val="24"/>
                <w:highlight w:val="none"/>
              </w:rPr>
            </w:pPr>
            <w:r>
              <w:rPr>
                <w:rFonts w:hint="eastAsia" w:ascii="Arial" w:hAnsi="Arial" w:eastAsia="宋体" w:cs="Arial"/>
                <w:bCs/>
                <w:sz w:val="24"/>
                <w:highlight w:val="none"/>
              </w:rPr>
              <w:t>投标函</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hint="eastAsia" w:ascii="Arial" w:hAnsi="Arial" w:eastAsia="宋体" w:cs="Arial"/>
                <w:bCs/>
                <w:sz w:val="24"/>
                <w:highlight w:val="none"/>
              </w:rPr>
            </w:pPr>
            <w:r>
              <w:rPr>
                <w:rFonts w:hint="eastAsia" w:ascii="Arial" w:hAnsi="Arial" w:eastAsia="宋体" w:cs="Arial"/>
                <w:sz w:val="24"/>
                <w:highlight w:val="none"/>
              </w:rPr>
              <w:t>投标有效性声明</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bCs/>
                <w:sz w:val="24"/>
                <w:szCs w:val="24"/>
                <w:highlight w:val="none"/>
              </w:rPr>
            </w:pPr>
          </w:p>
        </w:tc>
        <w:tc>
          <w:tcPr>
            <w:tcW w:w="6064" w:type="dxa"/>
            <w:noWrap w:val="0"/>
            <w:vAlign w:val="center"/>
          </w:tcPr>
          <w:p>
            <w:pPr>
              <w:spacing w:line="0" w:lineRule="atLeast"/>
              <w:rPr>
                <w:rFonts w:ascii="Arial" w:hAnsi="Arial" w:eastAsia="宋体" w:cs="Arial"/>
                <w:bCs/>
                <w:sz w:val="24"/>
                <w:highlight w:val="none"/>
              </w:rPr>
            </w:pPr>
            <w:r>
              <w:rPr>
                <w:rFonts w:hint="eastAsia" w:ascii="Arial" w:hAnsi="Arial" w:eastAsia="宋体" w:cs="Arial"/>
                <w:bCs/>
                <w:sz w:val="24"/>
                <w:highlight w:val="none"/>
              </w:rPr>
              <w:t>授权书</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bCs/>
                <w:sz w:val="24"/>
                <w:highlight w:val="none"/>
              </w:rPr>
            </w:pPr>
            <w:r>
              <w:rPr>
                <w:rFonts w:hint="eastAsia" w:ascii="Arial" w:hAnsi="Arial" w:eastAsia="宋体" w:cs="Arial"/>
                <w:bCs/>
                <w:sz w:val="24"/>
                <w:highlight w:val="none"/>
              </w:rPr>
              <w:t>投标分项报价表</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pStyle w:val="37"/>
              <w:spacing w:line="0" w:lineRule="atLeast"/>
              <w:rPr>
                <w:bCs/>
                <w:highlight w:val="none"/>
              </w:rPr>
            </w:pPr>
            <w:r>
              <w:rPr>
                <w:rFonts w:hint="eastAsia"/>
                <w:bCs/>
                <w:highlight w:val="none"/>
              </w:rPr>
              <w:t>投标响应表</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bCs/>
                <w:sz w:val="24"/>
                <w:highlight w:val="none"/>
              </w:rPr>
            </w:pPr>
            <w:r>
              <w:rPr>
                <w:rFonts w:hint="eastAsia" w:ascii="Arial" w:hAnsi="Arial" w:eastAsia="宋体" w:cs="Arial"/>
                <w:sz w:val="24"/>
                <w:highlight w:val="none"/>
              </w:rPr>
              <w:t>供货安装（调试）方案</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售后服务与维保方案</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投标业绩承诺函</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联合体协议</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主要中标标的承诺函</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中小</w:t>
            </w:r>
            <w:r>
              <w:rPr>
                <w:rFonts w:ascii="Arial" w:hAnsi="Arial" w:eastAsia="宋体" w:cs="Arial"/>
                <w:sz w:val="24"/>
                <w:highlight w:val="none"/>
              </w:rPr>
              <w:t>企业声明函</w:t>
            </w:r>
            <w:r>
              <w:rPr>
                <w:rFonts w:hint="eastAsia" w:ascii="Arial" w:hAnsi="Arial" w:eastAsia="宋体" w:cs="Arial"/>
                <w:sz w:val="24"/>
                <w:highlight w:val="none"/>
              </w:rPr>
              <w:t>、残疾人福利性单位声明函及监狱企业证明</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szCs w:val="22"/>
                <w:highlight w:val="none"/>
              </w:rPr>
              <w:t>所投各产品属于政府采购节能产品、环境标志产品实施品目范围的证明文件</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生产厂商授权（非进口产品无需提供）</w:t>
            </w:r>
          </w:p>
        </w:tc>
        <w:tc>
          <w:tcPr>
            <w:tcW w:w="1335" w:type="dxa"/>
            <w:noWrap w:val="0"/>
            <w:vAlign w:val="center"/>
          </w:tcPr>
          <w:p>
            <w:pPr>
              <w:spacing w:line="0" w:lineRule="atLeast"/>
              <w:jc w:val="center"/>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noWrap w:val="0"/>
            <w:vAlign w:val="center"/>
          </w:tcPr>
          <w:p>
            <w:pPr>
              <w:numPr>
                <w:ilvl w:val="0"/>
                <w:numId w:val="1"/>
              </w:numPr>
              <w:spacing w:line="0" w:lineRule="atLeast"/>
              <w:jc w:val="center"/>
              <w:rPr>
                <w:rFonts w:ascii="Arial" w:hAnsi="Arial" w:eastAsia="宋体" w:cs="Arial"/>
                <w:sz w:val="24"/>
                <w:szCs w:val="24"/>
                <w:highlight w:val="none"/>
              </w:rPr>
            </w:pPr>
          </w:p>
        </w:tc>
        <w:tc>
          <w:tcPr>
            <w:tcW w:w="6064" w:type="dxa"/>
            <w:noWrap w:val="0"/>
            <w:vAlign w:val="center"/>
          </w:tcPr>
          <w:p>
            <w:pPr>
              <w:spacing w:line="0" w:lineRule="atLeast"/>
              <w:rPr>
                <w:rFonts w:ascii="Arial" w:hAnsi="Arial" w:eastAsia="宋体" w:cs="Arial"/>
                <w:sz w:val="24"/>
                <w:highlight w:val="none"/>
              </w:rPr>
            </w:pPr>
            <w:r>
              <w:rPr>
                <w:rFonts w:hint="eastAsia" w:ascii="Arial" w:hAnsi="Arial" w:eastAsia="宋体" w:cs="Arial"/>
                <w:sz w:val="24"/>
                <w:highlight w:val="none"/>
              </w:rPr>
              <w:t>其他相关证明材料</w:t>
            </w:r>
          </w:p>
        </w:tc>
        <w:tc>
          <w:tcPr>
            <w:tcW w:w="1335" w:type="dxa"/>
            <w:noWrap w:val="0"/>
            <w:vAlign w:val="center"/>
          </w:tcPr>
          <w:p>
            <w:pPr>
              <w:spacing w:line="0" w:lineRule="atLeast"/>
              <w:jc w:val="center"/>
              <w:rPr>
                <w:rFonts w:ascii="Arial" w:hAnsi="Arial" w:eastAsia="宋体" w:cs="Arial"/>
                <w:sz w:val="24"/>
                <w:highlight w:val="none"/>
              </w:rPr>
            </w:pPr>
          </w:p>
        </w:tc>
      </w:tr>
    </w:tbl>
    <w:p>
      <w:pPr>
        <w:widowControl/>
        <w:jc w:val="left"/>
        <w:rPr>
          <w:rFonts w:ascii="Arial" w:hAnsi="Arial" w:eastAsia="宋体" w:cs="Arial"/>
          <w:sz w:val="24"/>
          <w:highlight w:val="none"/>
        </w:rPr>
      </w:pPr>
    </w:p>
    <w:p>
      <w:pPr>
        <w:spacing w:line="360" w:lineRule="auto"/>
        <w:jc w:val="center"/>
        <w:outlineLvl w:val="1"/>
        <w:rPr>
          <w:rFonts w:hint="eastAsia" w:ascii="方正黑体_GBK" w:hAnsi="方正黑体_GBK" w:eastAsia="方正黑体_GBK" w:cs="方正黑体_GBK"/>
          <w:sz w:val="28"/>
          <w:szCs w:val="28"/>
          <w:highlight w:val="none"/>
        </w:rPr>
      </w:pPr>
      <w:r>
        <w:rPr>
          <w:rFonts w:ascii="Arial" w:hAnsi="Arial" w:eastAsia="宋体" w:cs="Arial"/>
          <w:b/>
          <w:sz w:val="24"/>
          <w:highlight w:val="none"/>
        </w:rPr>
        <w:br w:type="page"/>
      </w:r>
      <w:bookmarkStart w:id="422" w:name="_Toc1537370675"/>
      <w:bookmarkStart w:id="423" w:name="_Toc226624785_WPSOffice_Level1"/>
      <w:bookmarkStart w:id="424" w:name="_Toc1883808287"/>
      <w:bookmarkStart w:id="425" w:name="_Toc1757072021"/>
      <w:bookmarkStart w:id="426" w:name="_Toc1445748490"/>
      <w:bookmarkStart w:id="427" w:name="_Toc1653595304"/>
      <w:bookmarkStart w:id="428" w:name="_Toc1152243148"/>
      <w:bookmarkStart w:id="429" w:name="_Toc1917418960"/>
      <w:r>
        <w:rPr>
          <w:rFonts w:hint="eastAsia" w:ascii="方正黑体_GBK" w:hAnsi="方正黑体_GBK" w:eastAsia="方正黑体_GBK" w:cs="方正黑体_GBK"/>
          <w:sz w:val="28"/>
          <w:szCs w:val="28"/>
          <w:highlight w:val="none"/>
        </w:rPr>
        <w:t>一、开标一览表</w:t>
      </w:r>
      <w:bookmarkEnd w:id="422"/>
      <w:bookmarkEnd w:id="423"/>
      <w:bookmarkEnd w:id="424"/>
      <w:bookmarkEnd w:id="425"/>
      <w:bookmarkEnd w:id="426"/>
      <w:bookmarkEnd w:id="427"/>
      <w:bookmarkEnd w:id="428"/>
      <w:bookmarkEnd w:id="429"/>
    </w:p>
    <w:tbl>
      <w:tblPr>
        <w:tblStyle w:val="25"/>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ascii="Arial" w:hAnsi="Arial" w:eastAsia="宋体" w:cs="Arial"/>
                <w:b/>
                <w:sz w:val="24"/>
                <w:highlight w:val="none"/>
              </w:rPr>
            </w:pPr>
            <w:r>
              <w:rPr>
                <w:rFonts w:ascii="Arial" w:hAnsi="Arial" w:eastAsia="宋体" w:cs="Arial"/>
                <w:b/>
                <w:sz w:val="24"/>
                <w:highlight w:val="none"/>
              </w:rPr>
              <w:t>项目名称</w:t>
            </w:r>
          </w:p>
        </w:tc>
        <w:tc>
          <w:tcPr>
            <w:tcW w:w="6283" w:type="dxa"/>
            <w:tcBorders>
              <w:top w:val="single" w:color="auto" w:sz="4" w:space="0"/>
              <w:bottom w:val="single" w:color="auto" w:sz="4" w:space="0"/>
              <w:right w:val="single" w:color="auto" w:sz="4" w:space="0"/>
            </w:tcBorders>
            <w:noWrap w:val="0"/>
            <w:vAlign w:val="center"/>
          </w:tcPr>
          <w:p>
            <w:pPr>
              <w:spacing w:line="360" w:lineRule="exact"/>
              <w:rPr>
                <w:rFonts w:ascii="Arial" w:hAnsi="Arial" w:eastAsia="宋体" w:cs="Arial"/>
                <w:bCs/>
                <w:sz w:val="24"/>
                <w:highlight w:val="none"/>
              </w:rPr>
            </w:pPr>
            <w:r>
              <w:rPr>
                <w:rFonts w:hint="eastAsia" w:ascii="Arial" w:hAnsi="Arial" w:eastAsia="宋体" w:cs="Arial"/>
                <w:bCs/>
                <w:sz w:val="24"/>
                <w:highlight w:val="none"/>
                <w:u w:val="single"/>
              </w:rPr>
              <w:t xml:space="preserve">                     </w:t>
            </w:r>
            <w:r>
              <w:rPr>
                <w:rFonts w:hint="eastAsia" w:ascii="Arial" w:hAnsi="Arial" w:eastAsia="宋体" w:cs="Arial"/>
                <w:bCs/>
                <w:sz w:val="24"/>
                <w:highlight w:val="none"/>
              </w:rPr>
              <w:t xml:space="preserve"> （</w:t>
            </w:r>
            <w:r>
              <w:rPr>
                <w:rFonts w:hint="eastAsia" w:ascii="Arial" w:hAnsi="Arial" w:eastAsia="宋体" w:cs="Arial"/>
                <w:bCs/>
                <w:i/>
                <w:sz w:val="24"/>
                <w:highlight w:val="none"/>
              </w:rPr>
              <w:t>项目名称</w:t>
            </w:r>
            <w:r>
              <w:rPr>
                <w:rFonts w:hint="eastAsia" w:ascii="Arial" w:hAnsi="Arial" w:eastAsia="宋体" w:cs="Arial"/>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pPr>
              <w:spacing w:line="360" w:lineRule="exact"/>
              <w:jc w:val="center"/>
              <w:rPr>
                <w:rFonts w:ascii="Arial" w:hAnsi="Arial" w:eastAsia="宋体" w:cs="Arial"/>
                <w:b/>
                <w:sz w:val="24"/>
                <w:highlight w:val="none"/>
              </w:rPr>
            </w:pPr>
            <w:r>
              <w:rPr>
                <w:rFonts w:ascii="Arial" w:hAnsi="Arial" w:eastAsia="宋体" w:cs="Arial"/>
                <w:b/>
                <w:sz w:val="24"/>
                <w:highlight w:val="none"/>
              </w:rPr>
              <w:t>投标人全称</w:t>
            </w:r>
          </w:p>
        </w:tc>
        <w:tc>
          <w:tcPr>
            <w:tcW w:w="6283" w:type="dxa"/>
            <w:tcBorders>
              <w:top w:val="nil"/>
            </w:tcBorders>
            <w:noWrap w:val="0"/>
            <w:vAlign w:val="center"/>
          </w:tcPr>
          <w:p>
            <w:pPr>
              <w:spacing w:line="360" w:lineRule="auto"/>
              <w:rPr>
                <w:rFonts w:ascii="Arial" w:hAnsi="Arial" w:eastAsia="宋体" w:cs="Arial"/>
                <w:sz w:val="24"/>
                <w:highlight w:val="none"/>
              </w:rPr>
            </w:pPr>
            <w:r>
              <w:rPr>
                <w:rFonts w:hint="eastAsia" w:ascii="Arial" w:hAnsi="Arial" w:eastAsia="宋体" w:cs="Arial"/>
                <w:sz w:val="24"/>
                <w:highlight w:val="none"/>
                <w:u w:val="single"/>
              </w:rPr>
              <w:t xml:space="preserve">                      </w:t>
            </w:r>
            <w:r>
              <w:rPr>
                <w:rFonts w:hint="eastAsia" w:ascii="Arial" w:hAnsi="Arial" w:eastAsia="宋体" w:cs="Arial"/>
                <w:sz w:val="24"/>
                <w:highlight w:val="none"/>
              </w:rPr>
              <w:t>（</w:t>
            </w:r>
            <w:r>
              <w:rPr>
                <w:rFonts w:hint="eastAsia" w:ascii="Arial" w:hAnsi="Arial" w:eastAsia="宋体" w:cs="Arial"/>
                <w:i/>
                <w:sz w:val="24"/>
                <w:highlight w:val="none"/>
              </w:rPr>
              <w:t>投标人全称</w:t>
            </w:r>
            <w:r>
              <w:rPr>
                <w:rFonts w:hint="eastAsia" w:ascii="Arial" w:hAnsi="Arial" w:eastAsia="宋体" w:cs="Arial"/>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pPr>
              <w:spacing w:line="360" w:lineRule="exact"/>
              <w:jc w:val="center"/>
              <w:rPr>
                <w:rFonts w:ascii="Arial" w:hAnsi="Arial" w:eastAsia="宋体" w:cs="Arial"/>
                <w:b/>
                <w:sz w:val="24"/>
                <w:highlight w:val="none"/>
              </w:rPr>
            </w:pPr>
            <w:r>
              <w:rPr>
                <w:rFonts w:ascii="Arial" w:hAnsi="Arial" w:eastAsia="宋体" w:cs="Arial"/>
                <w:b/>
                <w:sz w:val="24"/>
                <w:highlight w:val="none"/>
              </w:rPr>
              <w:t>投标范围</w:t>
            </w:r>
          </w:p>
        </w:tc>
        <w:tc>
          <w:tcPr>
            <w:tcW w:w="6283" w:type="dxa"/>
            <w:tcBorders>
              <w:top w:val="nil"/>
            </w:tcBorders>
            <w:noWrap w:val="0"/>
            <w:vAlign w:val="center"/>
          </w:tcPr>
          <w:p>
            <w:pPr>
              <w:widowControl/>
              <w:spacing w:line="360" w:lineRule="exact"/>
              <w:rPr>
                <w:rFonts w:ascii="Arial" w:hAnsi="Arial" w:eastAsia="宋体" w:cs="Arial"/>
                <w:sz w:val="24"/>
                <w:highlight w:val="none"/>
              </w:rPr>
            </w:pPr>
            <w:r>
              <w:rPr>
                <w:rFonts w:ascii="Arial" w:hAnsi="Arial" w:eastAsia="宋体" w:cs="Arial"/>
                <w:sz w:val="24"/>
                <w:szCs w:val="28"/>
                <w:highlight w:val="none"/>
              </w:rPr>
              <w:t>全部/第</w:t>
            </w:r>
            <w:r>
              <w:rPr>
                <w:rFonts w:ascii="Arial" w:hAnsi="Arial" w:eastAsia="宋体" w:cs="Arial"/>
                <w:sz w:val="24"/>
                <w:szCs w:val="28"/>
                <w:highlight w:val="none"/>
                <w:u w:val="single"/>
              </w:rPr>
              <w:t xml:space="preserve">   </w:t>
            </w:r>
            <w:r>
              <w:rPr>
                <w:rFonts w:ascii="Arial" w:hAnsi="Arial" w:eastAsia="宋体" w:cs="Arial"/>
                <w:sz w:val="24"/>
                <w:szCs w:val="28"/>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noWrap w:val="0"/>
            <w:vAlign w:val="center"/>
          </w:tcPr>
          <w:p>
            <w:pPr>
              <w:spacing w:line="360" w:lineRule="exact"/>
              <w:jc w:val="center"/>
              <w:rPr>
                <w:rFonts w:ascii="Arial" w:hAnsi="Arial" w:eastAsia="宋体" w:cs="Arial"/>
                <w:b/>
                <w:sz w:val="24"/>
                <w:highlight w:val="none"/>
              </w:rPr>
            </w:pPr>
            <w:r>
              <w:rPr>
                <w:rFonts w:ascii="Arial" w:hAnsi="Arial" w:eastAsia="宋体" w:cs="Arial"/>
                <w:b/>
                <w:sz w:val="24"/>
                <w:highlight w:val="none"/>
              </w:rPr>
              <w:t>投标报价</w:t>
            </w:r>
          </w:p>
        </w:tc>
        <w:tc>
          <w:tcPr>
            <w:tcW w:w="6283" w:type="dxa"/>
            <w:tcBorders>
              <w:top w:val="nil"/>
            </w:tcBorders>
            <w:noWrap w:val="0"/>
            <w:vAlign w:val="center"/>
          </w:tcPr>
          <w:p>
            <w:pPr>
              <w:spacing w:line="276" w:lineRule="auto"/>
              <w:ind w:firstLine="120" w:firstLineChars="50"/>
              <w:rPr>
                <w:rFonts w:ascii="Arial" w:hAnsi="Arial" w:eastAsia="宋体" w:cs="Arial"/>
                <w:bCs/>
                <w:sz w:val="24"/>
                <w:highlight w:val="none"/>
              </w:rPr>
            </w:pPr>
          </w:p>
          <w:p>
            <w:pPr>
              <w:spacing w:line="276" w:lineRule="auto"/>
              <w:ind w:firstLine="120" w:firstLineChars="50"/>
              <w:rPr>
                <w:rFonts w:hint="eastAsia"/>
                <w:highlight w:val="none"/>
              </w:rPr>
            </w:pPr>
            <w:r>
              <w:rPr>
                <w:rFonts w:ascii="Arial" w:hAnsi="Arial" w:eastAsia="宋体" w:cs="Arial"/>
                <w:bCs/>
                <w:sz w:val="24"/>
                <w:highlight w:val="none"/>
              </w:rPr>
              <w:t>大写：</w:t>
            </w:r>
            <w:r>
              <w:rPr>
                <w:rFonts w:hint="eastAsia" w:ascii="Arial" w:hAnsi="Arial" w:eastAsia="宋体" w:cs="Arial"/>
                <w:bCs/>
                <w:sz w:val="24"/>
                <w:highlight w:val="none"/>
                <w:u w:val="single"/>
              </w:rPr>
              <w:t xml:space="preserve">                     </w:t>
            </w:r>
          </w:p>
          <w:p>
            <w:pPr>
              <w:spacing w:line="480" w:lineRule="auto"/>
              <w:jc w:val="center"/>
              <w:rPr>
                <w:rFonts w:ascii="Arial" w:hAnsi="Arial" w:eastAsia="宋体" w:cs="Arial"/>
                <w:bCs/>
                <w:sz w:val="24"/>
                <w:highlight w:val="none"/>
              </w:rPr>
            </w:pPr>
            <w:r>
              <w:rPr>
                <w:rFonts w:hint="eastAsia" w:ascii="Arial" w:hAnsi="Arial" w:eastAsia="宋体" w:cs="Arial"/>
                <w:bCs/>
                <w:sz w:val="24"/>
                <w:highlight w:val="none"/>
              </w:rPr>
              <w:t>小写：</w:t>
            </w:r>
            <w:r>
              <w:rPr>
                <w:rFonts w:hint="eastAsia" w:ascii="Arial" w:hAnsi="Arial" w:eastAsia="宋体" w:cs="Arial"/>
                <w:bCs/>
                <w:sz w:val="24"/>
                <w:highlight w:val="none"/>
                <w:u w:val="single"/>
              </w:rPr>
              <w:t xml:space="preserve">                     </w:t>
            </w:r>
            <w:r>
              <w:rPr>
                <w:rFonts w:ascii="Arial" w:hAnsi="Arial" w:eastAsia="宋体" w:cs="Arial"/>
                <w:bCs/>
                <w:i/>
                <w:sz w:val="24"/>
                <w:highlight w:val="none"/>
              </w:rPr>
              <w:t>（精确到小数点后两位）</w:t>
            </w:r>
          </w:p>
          <w:p>
            <w:pPr>
              <w:spacing w:line="360" w:lineRule="auto"/>
              <w:ind w:right="-670"/>
              <w:rPr>
                <w:rFonts w:ascii="Arial" w:hAnsi="Arial" w:eastAsia="宋体" w:cs="Arial"/>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2" w:hRule="atLeast"/>
          <w:jc w:val="center"/>
        </w:trPr>
        <w:tc>
          <w:tcPr>
            <w:tcW w:w="2304" w:type="dxa"/>
            <w:tcBorders>
              <w:top w:val="nil"/>
            </w:tcBorders>
            <w:noWrap w:val="0"/>
            <w:vAlign w:val="center"/>
          </w:tcPr>
          <w:p>
            <w:pPr>
              <w:spacing w:line="360" w:lineRule="auto"/>
              <w:jc w:val="center"/>
              <w:rPr>
                <w:rFonts w:ascii="Arial" w:hAnsi="Arial" w:eastAsia="宋体" w:cs="Arial"/>
                <w:b/>
                <w:sz w:val="24"/>
                <w:highlight w:val="none"/>
              </w:rPr>
            </w:pPr>
            <w:r>
              <w:rPr>
                <w:rFonts w:ascii="Arial" w:hAnsi="Arial" w:eastAsia="宋体" w:cs="Arial"/>
                <w:b/>
                <w:sz w:val="24"/>
                <w:highlight w:val="none"/>
              </w:rPr>
              <w:t>其他</w:t>
            </w:r>
          </w:p>
        </w:tc>
        <w:tc>
          <w:tcPr>
            <w:tcW w:w="6283" w:type="dxa"/>
            <w:tcBorders>
              <w:top w:val="nil"/>
            </w:tcBorders>
            <w:noWrap w:val="0"/>
            <w:vAlign w:val="center"/>
          </w:tcPr>
          <w:p>
            <w:pPr>
              <w:spacing w:line="360" w:lineRule="auto"/>
              <w:jc w:val="left"/>
              <w:rPr>
                <w:rFonts w:ascii="Arial" w:hAnsi="Arial" w:eastAsia="宋体" w:cs="Arial"/>
                <w:sz w:val="24"/>
                <w:szCs w:val="28"/>
                <w:highlight w:val="none"/>
              </w:rPr>
            </w:pPr>
          </w:p>
        </w:tc>
      </w:tr>
    </w:tbl>
    <w:p>
      <w:pPr>
        <w:spacing w:line="360" w:lineRule="auto"/>
        <w:jc w:val="right"/>
        <w:rPr>
          <w:rFonts w:ascii="Arial" w:hAnsi="Arial" w:eastAsia="宋体" w:cs="Arial"/>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spacing w:line="360" w:lineRule="auto"/>
        <w:jc w:val="right"/>
        <w:rPr>
          <w:rFonts w:ascii="Arial" w:hAnsi="Arial" w:eastAsia="宋体" w:cs="Arial"/>
          <w:sz w:val="24"/>
          <w:highlight w:val="non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ascii="Arial" w:hAnsi="Arial" w:eastAsia="宋体" w:cs="Arial"/>
          <w:sz w:val="24"/>
          <w:highlight w:val="none"/>
        </w:rPr>
        <w:t xml:space="preserve">                                         </w:t>
      </w:r>
    </w:p>
    <w:p>
      <w:pPr>
        <w:spacing w:line="360" w:lineRule="auto"/>
        <w:rPr>
          <w:rFonts w:ascii="Arial" w:hAnsi="Arial" w:eastAsia="宋体" w:cs="Arial"/>
          <w:b/>
          <w:sz w:val="24"/>
          <w:highlight w:val="none"/>
        </w:rPr>
      </w:pPr>
      <w:r>
        <w:rPr>
          <w:rFonts w:ascii="Arial" w:hAnsi="Arial" w:eastAsia="宋体" w:cs="Arial"/>
          <w:b/>
          <w:sz w:val="24"/>
          <w:highlight w:val="none"/>
        </w:rPr>
        <w:t>备注：</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1.此表用于开标唱标之用。</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2.表中投标报价即为优惠后报价，并作为评审及定标依据。任何有选择或有条件的投标报价，或者表中某一包别填写多个报价，均为无效报价。</w:t>
      </w:r>
    </w:p>
    <w:p>
      <w:pPr>
        <w:spacing w:line="360" w:lineRule="auto"/>
        <w:ind w:firstLine="435"/>
        <w:rPr>
          <w:rFonts w:hint="eastAsia" w:ascii="宋体" w:hAnsi="宋体" w:eastAsia="宋体" w:cs="宋体"/>
          <w:highlight w:val="none"/>
        </w:rPr>
      </w:pPr>
      <w:r>
        <w:rPr>
          <w:rFonts w:hint="eastAsia" w:ascii="宋体" w:hAnsi="宋体" w:eastAsia="宋体" w:cs="宋体"/>
          <w:sz w:val="24"/>
          <w:highlight w:val="none"/>
        </w:rPr>
        <w:t>3.投标报价精确到小数点后两位。</w:t>
      </w:r>
    </w:p>
    <w:p>
      <w:pPr>
        <w:pStyle w:val="5"/>
        <w:bidi w:val="0"/>
        <w:jc w:val="center"/>
        <w:rPr>
          <w:rFonts w:ascii="Arial" w:hAnsi="Arial" w:eastAsia="方正黑体_GBK" w:cs="Arial"/>
          <w:bCs/>
          <w:kern w:val="2"/>
          <w:sz w:val="28"/>
          <w:szCs w:val="32"/>
          <w:highlight w:val="none"/>
          <w:lang w:val="en-US" w:eastAsia="zh-CN" w:bidi="ar-SA"/>
        </w:rPr>
      </w:pPr>
      <w:r>
        <w:rPr>
          <w:rFonts w:ascii="Arial" w:hAnsi="Arial" w:eastAsia="宋体" w:cs="Arial"/>
          <w:sz w:val="24"/>
          <w:highlight w:val="none"/>
        </w:rPr>
        <w:br w:type="page"/>
      </w:r>
      <w:bookmarkStart w:id="430" w:name="_Toc1069289962"/>
      <w:bookmarkStart w:id="431" w:name="_Toc482341089_WPSOffice_Level1"/>
      <w:bookmarkStart w:id="432" w:name="_Toc1775863523"/>
      <w:bookmarkStart w:id="433" w:name="_Toc1832643127"/>
      <w:bookmarkStart w:id="434" w:name="_Toc1776027041"/>
      <w:r>
        <w:rPr>
          <w:rFonts w:ascii="Arial" w:hAnsi="Arial" w:eastAsia="方正黑体_GBK" w:cs="Arial"/>
          <w:bCs/>
          <w:kern w:val="2"/>
          <w:sz w:val="28"/>
          <w:szCs w:val="32"/>
          <w:highlight w:val="none"/>
          <w:lang w:val="en-US" w:eastAsia="zh-CN" w:bidi="ar-SA"/>
        </w:rPr>
        <w:t>二、投标函</w:t>
      </w:r>
      <w:bookmarkEnd w:id="430"/>
      <w:bookmarkEnd w:id="431"/>
      <w:bookmarkEnd w:id="432"/>
      <w:bookmarkEnd w:id="433"/>
      <w:bookmarkEnd w:id="434"/>
    </w:p>
    <w:p>
      <w:pPr>
        <w:spacing w:line="360" w:lineRule="auto"/>
        <w:jc w:val="lef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致：</w:t>
      </w:r>
      <w:r>
        <w:rPr>
          <w:rFonts w:hint="eastAsia" w:ascii="宋体" w:hAnsi="宋体" w:eastAsia="宋体" w:cs="宋体"/>
          <w:b/>
          <w:sz w:val="24"/>
          <w:szCs w:val="24"/>
          <w:highlight w:val="none"/>
          <w:u w:val="single"/>
          <w:lang w:val="en-US" w:eastAsia="zh-CN"/>
        </w:rPr>
        <w:t xml:space="preserve">皖南医学院             </w:t>
      </w:r>
      <w:r>
        <w:rPr>
          <w:rFonts w:hint="eastAsia" w:ascii="宋体" w:hAnsi="宋体" w:eastAsia="宋体" w:cs="宋体"/>
          <w:b/>
          <w:sz w:val="24"/>
          <w:szCs w:val="24"/>
          <w:highlight w:val="none"/>
          <w:lang w:val="en-US" w:eastAsia="zh-CN"/>
        </w:rPr>
        <w:t xml:space="preserve"> </w:t>
      </w:r>
    </w:p>
    <w:p>
      <w:pPr>
        <w:spacing w:line="360" w:lineRule="auto"/>
        <w:ind w:firstLine="482" w:firstLineChars="200"/>
        <w:jc w:val="left"/>
        <w:rPr>
          <w:rFonts w:hint="eastAsia" w:ascii="宋体" w:hAnsi="宋体" w:eastAsia="宋体"/>
          <w:sz w:val="24"/>
          <w:highlight w:val="none"/>
        </w:rPr>
      </w:pPr>
      <w:r>
        <w:rPr>
          <w:rFonts w:hint="eastAsia" w:ascii="宋体" w:hAnsi="宋体" w:eastAsia="宋体" w:cs="宋体"/>
          <w:b/>
          <w:sz w:val="24"/>
          <w:szCs w:val="24"/>
          <w:highlight w:val="none"/>
          <w:u w:val="single"/>
          <w:lang w:val="en-US" w:eastAsia="zh-CN"/>
        </w:rPr>
        <w:t xml:space="preserve">安徽安兆工程技术咨询服务有限公司 </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根据贵方的招标公告和投标邀请，我方兹宣布同意如下：</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1.按招标文件规定提供交付的货物（包括安装调试等工作）的最终投标报价见开标一览表，如我方中标，我方承诺愿意按招标文件规定缴纳履约保证金和中标服务费。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2.我方根据招标文件的规定，严格履行合同的责任和义务</w:t>
      </w:r>
      <w:r>
        <w:rPr>
          <w:rFonts w:hint="eastAsia" w:ascii="宋体" w:hAnsi="宋体" w:eastAsia="宋体" w:cs="宋体"/>
          <w:sz w:val="24"/>
          <w:highlight w:val="none"/>
          <w:lang w:eastAsia="zh-CN"/>
        </w:rPr>
        <w:t>，</w:t>
      </w:r>
      <w:r>
        <w:rPr>
          <w:rFonts w:hint="eastAsia" w:ascii="宋体" w:hAnsi="宋体" w:eastAsia="宋体" w:cs="宋体"/>
          <w:sz w:val="24"/>
          <w:highlight w:val="none"/>
        </w:rPr>
        <w:t>并保证于甲方要求的日期内完成供货、安装及服务，并通过甲方验收。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3.我方承诺报价低于同类货物和服务的市场平均价格。</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5.我方同意从招标文件规定的开标日期起遵循本招标文件，并在招标文件规定的投标有效期之前均具有约束力。</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35"/>
        <w:rPr>
          <w:rFonts w:ascii="Arial" w:hAnsi="Arial" w:eastAsia="宋体" w:cs="Arial"/>
          <w:sz w:val="24"/>
          <w:highlight w:val="none"/>
        </w:rPr>
      </w:pPr>
      <w:r>
        <w:rPr>
          <w:rFonts w:hint="eastAsia" w:ascii="宋体" w:hAnsi="宋体" w:eastAsia="宋体" w:cs="宋体"/>
          <w:sz w:val="24"/>
          <w:highlight w:val="none"/>
        </w:rPr>
        <w:t>7.我方完全理解贵方不一定接受最低报价的投标。</w:t>
      </w:r>
    </w:p>
    <w:p>
      <w:pPr>
        <w:spacing w:line="360" w:lineRule="auto"/>
        <w:ind w:firstLine="435"/>
        <w:rPr>
          <w:rFonts w:ascii="Arial" w:hAnsi="Arial" w:eastAsia="宋体" w:cs="Arial"/>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spacing w:line="360" w:lineRule="auto"/>
        <w:ind w:firstLine="435"/>
        <w:jc w:val="right"/>
        <w:rPr>
          <w:rFonts w:ascii="Arial" w:hAnsi="Arial" w:eastAsia="宋体" w:cs="Arial"/>
          <w:sz w:val="24"/>
          <w:highlight w:val="none"/>
        </w:rPr>
        <w:sectPr>
          <w:pgSz w:w="11906" w:h="16838"/>
          <w:pgMar w:top="1440" w:right="1706" w:bottom="1440" w:left="1800" w:header="851" w:footer="992" w:gutter="0"/>
          <w:pgNumType w:fmt="decimal"/>
          <w:cols w:space="720" w:num="1"/>
          <w:docGrid w:type="lines" w:linePitch="312" w:charSpace="0"/>
        </w:sect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ascii="Arial" w:hAnsi="Arial" w:eastAsia="宋体" w:cs="Arial"/>
          <w:sz w:val="24"/>
          <w:highlight w:val="none"/>
        </w:rPr>
        <w:t xml:space="preserve"> </w:t>
      </w:r>
    </w:p>
    <w:p>
      <w:pPr>
        <w:pStyle w:val="5"/>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Arial" w:hAnsi="Arial" w:cs="Arial"/>
          <w:highlight w:val="none"/>
        </w:rPr>
      </w:pPr>
      <w:bookmarkStart w:id="435" w:name="_Toc1246705888_WPSOffice_Level1"/>
      <w:bookmarkStart w:id="436" w:name="_Toc157411124"/>
      <w:bookmarkStart w:id="437" w:name="_Toc1577019482"/>
      <w:bookmarkStart w:id="438" w:name="_Toc773399720"/>
      <w:bookmarkStart w:id="439" w:name="_Toc954550047"/>
      <w:bookmarkStart w:id="440" w:name="_Toc1319698842"/>
      <w:bookmarkStart w:id="441" w:name="_Toc795213915"/>
      <w:bookmarkStart w:id="442" w:name="_Toc1251325361"/>
      <w:r>
        <w:rPr>
          <w:rFonts w:ascii="Arial" w:hAnsi="Arial" w:cs="Arial"/>
          <w:highlight w:val="none"/>
        </w:rPr>
        <w:t>三、</w:t>
      </w:r>
      <w:r>
        <w:rPr>
          <w:rFonts w:hint="eastAsia" w:ascii="Arial" w:hAnsi="Arial" w:cs="Arial"/>
          <w:highlight w:val="none"/>
        </w:rPr>
        <w:t>投标有效性声明</w:t>
      </w:r>
      <w:bookmarkEnd w:id="435"/>
      <w:bookmarkEnd w:id="436"/>
      <w:bookmarkEnd w:id="437"/>
      <w:bookmarkEnd w:id="438"/>
      <w:bookmarkEnd w:id="439"/>
      <w:bookmarkEnd w:id="440"/>
      <w:bookmarkEnd w:id="441"/>
      <w:bookmarkEnd w:id="442"/>
    </w:p>
    <w:p>
      <w:pPr>
        <w:spacing w:line="360" w:lineRule="auto"/>
        <w:jc w:val="center"/>
        <w:rPr>
          <w:rFonts w:ascii="Arial" w:hAnsi="Arial" w:eastAsia="宋体" w:cs="Arial"/>
          <w:iCs/>
          <w:sz w:val="24"/>
          <w:highlight w:val="none"/>
        </w:rPr>
      </w:pPr>
      <w:bookmarkStart w:id="443" w:name="_Toc114238376_WPSOffice_Level2"/>
      <w:r>
        <w:rPr>
          <w:rFonts w:hint="eastAsia" w:ascii="Arial" w:hAnsi="Arial" w:eastAsia="宋体" w:cs="Arial"/>
          <w:iCs/>
          <w:sz w:val="24"/>
          <w:highlight w:val="none"/>
          <w:lang w:eastAsia="zh-CN"/>
        </w:rPr>
        <w:t>（</w:t>
      </w:r>
      <w:r>
        <w:rPr>
          <w:rFonts w:ascii="Arial" w:hAnsi="Arial" w:eastAsia="宋体" w:cs="Arial"/>
          <w:iCs/>
          <w:sz w:val="24"/>
          <w:highlight w:val="none"/>
        </w:rPr>
        <w:t>联合体参加投标的，联合体各方均须</w:t>
      </w:r>
      <w:r>
        <w:rPr>
          <w:rFonts w:hint="eastAsia" w:ascii="Arial" w:hAnsi="Arial" w:eastAsia="宋体" w:cs="Arial"/>
          <w:iCs/>
          <w:sz w:val="24"/>
          <w:highlight w:val="none"/>
        </w:rPr>
        <w:t>分别</w:t>
      </w:r>
      <w:r>
        <w:rPr>
          <w:rFonts w:ascii="Arial" w:hAnsi="Arial" w:eastAsia="宋体" w:cs="Arial"/>
          <w:iCs/>
          <w:sz w:val="24"/>
          <w:highlight w:val="none"/>
        </w:rPr>
        <w:t>提供）</w:t>
      </w:r>
      <w:bookmarkEnd w:id="443"/>
    </w:p>
    <w:p>
      <w:pPr>
        <w:spacing w:line="360" w:lineRule="auto"/>
        <w:jc w:val="lef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致：</w:t>
      </w:r>
      <w:r>
        <w:rPr>
          <w:rFonts w:hint="eastAsia" w:ascii="宋体" w:hAnsi="宋体" w:eastAsia="宋体" w:cs="宋体"/>
          <w:b/>
          <w:sz w:val="24"/>
          <w:szCs w:val="24"/>
          <w:highlight w:val="none"/>
          <w:u w:val="single"/>
          <w:lang w:val="en-US" w:eastAsia="zh-CN"/>
        </w:rPr>
        <w:t xml:space="preserve">皖南医学院             </w:t>
      </w:r>
      <w:r>
        <w:rPr>
          <w:rFonts w:hint="eastAsia" w:ascii="宋体" w:hAnsi="宋体" w:eastAsia="宋体" w:cs="宋体"/>
          <w:b/>
          <w:sz w:val="24"/>
          <w:szCs w:val="24"/>
          <w:highlight w:val="none"/>
          <w:lang w:val="en-US" w:eastAsia="zh-CN"/>
        </w:rPr>
        <w:t xml:space="preserve"> </w:t>
      </w:r>
    </w:p>
    <w:p>
      <w:pPr>
        <w:spacing w:line="360" w:lineRule="auto"/>
        <w:ind w:firstLine="482" w:firstLineChars="200"/>
        <w:jc w:val="left"/>
        <w:rPr>
          <w:rFonts w:hint="eastAsia" w:ascii="宋体" w:hAnsi="宋体" w:eastAsia="宋体"/>
          <w:sz w:val="24"/>
          <w:highlight w:val="none"/>
        </w:rPr>
      </w:pPr>
      <w:r>
        <w:rPr>
          <w:rFonts w:hint="eastAsia" w:ascii="宋体" w:hAnsi="宋体" w:eastAsia="宋体" w:cs="宋体"/>
          <w:b/>
          <w:sz w:val="24"/>
          <w:szCs w:val="24"/>
          <w:highlight w:val="none"/>
          <w:u w:val="single"/>
          <w:lang w:val="en-US" w:eastAsia="zh-CN"/>
        </w:rPr>
        <w:t xml:space="preserve">安徽安兆工程技术咨询服务有限公司 </w:t>
      </w:r>
    </w:p>
    <w:p>
      <w:pPr>
        <w:spacing w:line="360" w:lineRule="auto"/>
        <w:ind w:firstLine="480" w:firstLineChars="200"/>
        <w:jc w:val="left"/>
        <w:rPr>
          <w:rFonts w:hint="eastAsia" w:ascii="Arial" w:hAnsi="Arial" w:eastAsia="宋体" w:cs="Arial"/>
          <w:sz w:val="24"/>
          <w:highlight w:val="none"/>
        </w:rPr>
      </w:pPr>
      <w:r>
        <w:rPr>
          <w:rFonts w:hint="eastAsia" w:ascii="Arial" w:hAnsi="Arial" w:eastAsia="宋体" w:cs="Arial"/>
          <w:sz w:val="24"/>
          <w:highlight w:val="none"/>
        </w:rPr>
        <w:t>我单位参加本项目投标活动，郑重声明如下：</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1.我单位符合</w:t>
      </w:r>
      <w:r>
        <w:rPr>
          <w:rFonts w:hint="eastAsia" w:ascii="宋体" w:hAnsi="宋体" w:eastAsia="宋体" w:cs="宋体"/>
          <w:sz w:val="24"/>
          <w:szCs w:val="24"/>
          <w:highlight w:val="none"/>
        </w:rPr>
        <w:t>《中</w:t>
      </w:r>
      <w:r>
        <w:rPr>
          <w:rFonts w:hint="eastAsia" w:ascii="宋体" w:hAnsi="宋体" w:eastAsia="宋体" w:cs="宋体"/>
          <w:sz w:val="24"/>
          <w:highlight w:val="none"/>
        </w:rPr>
        <w:t>华人民共和国政府采购法》第二十二条规定：</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（2）具有良好的商业信誉和健全的财务会计制度；</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（6）法律、行政法规规定的其他条件。</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2.我单位不是为本项目提供过整体设计、规范编制或者项目管理、监理、检测等服务的供应商。</w:t>
      </w:r>
    </w:p>
    <w:p>
      <w:pPr>
        <w:spacing w:line="360" w:lineRule="auto"/>
        <w:ind w:firstLine="435"/>
        <w:rPr>
          <w:rFonts w:hint="eastAsia" w:ascii="宋体" w:hAnsi="宋体" w:eastAsia="宋体" w:cs="宋体"/>
          <w:sz w:val="24"/>
          <w:highlight w:val="none"/>
        </w:rPr>
      </w:pPr>
      <w:bookmarkStart w:id="444" w:name="_Hlk60605374"/>
      <w:r>
        <w:rPr>
          <w:rFonts w:hint="eastAsia" w:ascii="宋体" w:hAnsi="宋体" w:eastAsia="宋体" w:cs="宋体"/>
          <w:sz w:val="24"/>
          <w:highlight w:val="none"/>
        </w:rPr>
        <w:t>3.我单位直接控股及管理关系如下表：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549"/>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05"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单位名称（全称）</w:t>
            </w:r>
          </w:p>
        </w:tc>
        <w:tc>
          <w:tcPr>
            <w:tcW w:w="6247" w:type="dxa"/>
            <w:gridSpan w:val="2"/>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05" w:type="dxa"/>
            <w:vMerge w:val="restart"/>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p>
        </w:tc>
        <w:tc>
          <w:tcPr>
            <w:tcW w:w="1549"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4698"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05" w:type="dxa"/>
            <w:vMerge w:val="continue"/>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p>
        </w:tc>
        <w:tc>
          <w:tcPr>
            <w:tcW w:w="1549"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p>
        </w:tc>
        <w:tc>
          <w:tcPr>
            <w:tcW w:w="4698"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205"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股东/投资关系（按出资比例从高到低列明所有股东及投资人）</w:t>
            </w:r>
          </w:p>
        </w:tc>
        <w:tc>
          <w:tcPr>
            <w:tcW w:w="6247" w:type="dxa"/>
            <w:gridSpan w:val="2"/>
            <w:noWrap w:val="0"/>
            <w:vAlign w:val="center"/>
          </w:tcPr>
          <w:p>
            <w:pPr>
              <w:adjustRightInd w:val="0"/>
              <w:snapToGrid w:val="0"/>
              <w:spacing w:before="31" w:beforeLines="10" w:after="31" w:afterLines="10" w:line="0" w:lineRule="atLeas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股东（投资人）全称：</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出资比例：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p>
            <w:pPr>
              <w:adjustRightInd w:val="0"/>
              <w:snapToGrid w:val="0"/>
              <w:spacing w:before="31" w:beforeLines="10" w:after="31" w:afterLines="10" w:line="0" w:lineRule="atLeas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股东（投资人）全称：</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出资比例：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p>
            <w:pPr>
              <w:pStyle w:val="24"/>
              <w:ind w:firstLine="0" w:firstLineChars="0"/>
              <w:rPr>
                <w:rFonts w:hint="eastAsia" w:ascii="宋体" w:hAnsi="宋体" w:eastAsia="宋体" w:cs="宋体"/>
                <w:bCs/>
                <w:sz w:val="24"/>
                <w:highlight w:val="none"/>
              </w:rPr>
            </w:pPr>
            <w:r>
              <w:rPr>
                <w:rFonts w:hint="eastAsia" w:ascii="宋体" w:hAnsi="宋体" w:eastAsia="宋体" w:cs="宋体"/>
                <w:bCs/>
                <w:sz w:val="24"/>
                <w:highlight w:val="none"/>
                <w:lang w:val="en-US"/>
              </w:rPr>
              <w:t>股东（投资人）全称：</w:t>
            </w:r>
            <w:r>
              <w:rPr>
                <w:rFonts w:hint="eastAsia" w:ascii="宋体" w:hAnsi="宋体" w:eastAsia="宋体" w:cs="宋体"/>
                <w:bCs/>
                <w:sz w:val="24"/>
                <w:highlight w:val="none"/>
                <w:u w:val="single"/>
                <w:lang w:val="en-US"/>
              </w:rPr>
              <w:t xml:space="preserve">         </w:t>
            </w:r>
            <w:r>
              <w:rPr>
                <w:rFonts w:hint="eastAsia" w:ascii="宋体" w:hAnsi="宋体" w:eastAsia="宋体" w:cs="宋体"/>
                <w:bCs/>
                <w:sz w:val="24"/>
                <w:highlight w:val="none"/>
                <w:u w:val="single"/>
              </w:rPr>
              <w:t>，</w:t>
            </w:r>
            <w:r>
              <w:rPr>
                <w:rFonts w:hint="eastAsia" w:ascii="宋体" w:hAnsi="宋体" w:eastAsia="宋体" w:cs="宋体"/>
                <w:bCs/>
                <w:sz w:val="24"/>
                <w:highlight w:val="none"/>
              </w:rPr>
              <w:t>出资比例：</w:t>
            </w:r>
            <w:r>
              <w:rPr>
                <w:rFonts w:hint="eastAsia" w:ascii="宋体" w:hAnsi="宋体" w:eastAsia="宋体" w:cs="宋体"/>
                <w:bCs/>
                <w:sz w:val="24"/>
                <w:highlight w:val="none"/>
                <w:u w:val="single"/>
                <w:lang w:val="en-US"/>
              </w:rPr>
              <w:t xml:space="preserve">     %</w:t>
            </w:r>
            <w:r>
              <w:rPr>
                <w:rFonts w:hint="eastAsia" w:ascii="宋体" w:hAnsi="宋体" w:eastAsia="宋体" w:cs="宋体"/>
                <w:bCs/>
                <w:sz w:val="24"/>
                <w:highlight w:val="none"/>
              </w:rPr>
              <w:t>，</w:t>
            </w:r>
          </w:p>
          <w:p>
            <w:pPr>
              <w:pStyle w:val="24"/>
              <w:ind w:firstLine="0" w:firstLineChars="0"/>
              <w:rPr>
                <w:rFonts w:hint="eastAsia" w:ascii="宋体" w:hAnsi="宋体" w:eastAsia="宋体" w:cs="宋体"/>
                <w:bCs/>
                <w:sz w:val="24"/>
                <w:highlight w:val="none"/>
                <w:u w:val="single"/>
              </w:rPr>
            </w:pPr>
            <w:r>
              <w:rPr>
                <w:rFonts w:hint="eastAsia" w:ascii="宋体" w:hAnsi="宋体" w:eastAsia="宋体" w:cs="宋体"/>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05" w:type="dxa"/>
            <w:vMerge w:val="restart"/>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直接管理关系</w:t>
            </w:r>
          </w:p>
        </w:tc>
        <w:tc>
          <w:tcPr>
            <w:tcW w:w="1549"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管理关系单位</w:t>
            </w:r>
          </w:p>
        </w:tc>
        <w:tc>
          <w:tcPr>
            <w:tcW w:w="4698"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管理单位全称：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管理单位全称：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24"/>
              <w:ind w:firstLine="0" w:firstLineChars="0"/>
              <w:rPr>
                <w:highlight w:val="none"/>
                <w:lang w:val="en-US"/>
              </w:rPr>
            </w:pPr>
            <w:r>
              <w:rPr>
                <w:rFonts w:hint="eastAsia" w:ascii="宋体" w:hAnsi="宋体" w:eastAsia="宋体" w:cs="宋体"/>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05" w:type="dxa"/>
            <w:vMerge w:val="continue"/>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p>
        </w:tc>
        <w:tc>
          <w:tcPr>
            <w:tcW w:w="1549"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被管理关系单位</w:t>
            </w:r>
          </w:p>
        </w:tc>
        <w:tc>
          <w:tcPr>
            <w:tcW w:w="4698" w:type="dxa"/>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被管理单位全称：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被管理单位全称：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adjustRightInd w:val="0"/>
              <w:snapToGrid w:val="0"/>
              <w:spacing w:before="31" w:beforeLines="10" w:after="31" w:afterLines="10" w:line="0" w:lineRule="atLeast"/>
              <w:rPr>
                <w:rFonts w:ascii="宋体" w:hAnsi="宋体" w:eastAsia="宋体" w:cs="宋体"/>
                <w:sz w:val="24"/>
                <w:szCs w:val="24"/>
                <w:highlight w:val="none"/>
              </w:rPr>
            </w:pPr>
            <w:r>
              <w:rPr>
                <w:rFonts w:hint="eastAsia" w:ascii="宋体" w:hAnsi="宋体" w:eastAsia="宋体" w:cs="宋体"/>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52" w:type="dxa"/>
            <w:gridSpan w:val="3"/>
            <w:noWrap w:val="0"/>
            <w:vAlign w:val="center"/>
          </w:tcPr>
          <w:p>
            <w:pPr>
              <w:adjustRightInd w:val="0"/>
              <w:snapToGrid w:val="0"/>
              <w:spacing w:before="31" w:beforeLines="10" w:after="31" w:afterLines="1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bl>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注：（1）控股股东/投资人是指出资比例在50%以上，或者出资比例不足50%，但享有公司股东会/董事会控制权的投资方（含单位或者个人）。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（2）管理关系单位是指与不具有出资持股关系的其他单位之间存在管理与被管理关系的单位。</w:t>
      </w:r>
    </w:p>
    <w:p>
      <w:pPr>
        <w:pStyle w:val="24"/>
        <w:ind w:firstLineChars="200"/>
        <w:rPr>
          <w:rFonts w:hint="eastAsia" w:ascii="宋体" w:hAnsi="宋体" w:eastAsia="宋体" w:cs="宋体"/>
          <w:szCs w:val="21"/>
          <w:highlight w:val="none"/>
          <w:lang w:val="en-US"/>
        </w:rPr>
      </w:pPr>
      <w:r>
        <w:rPr>
          <w:rFonts w:hint="eastAsia" w:ascii="宋体" w:hAnsi="宋体" w:eastAsia="宋体" w:cs="宋体"/>
          <w:szCs w:val="21"/>
          <w:highlight w:val="none"/>
          <w:lang w:val="en-US"/>
        </w:rPr>
        <w:t>（3）</w:t>
      </w:r>
      <w:r>
        <w:rPr>
          <w:rFonts w:hint="eastAsia" w:ascii="宋体" w:hAnsi="宋体" w:eastAsia="宋体" w:cs="宋体"/>
          <w:szCs w:val="21"/>
          <w:highlight w:val="none"/>
        </w:rPr>
        <w:t>如未有相关情况，请在相应栏填写“无”。</w:t>
      </w:r>
    </w:p>
    <w:p>
      <w:pPr>
        <w:pStyle w:val="24"/>
        <w:ind w:firstLine="210"/>
        <w:rPr>
          <w:highlight w:val="none"/>
          <w:lang w:val="en-US"/>
        </w:rPr>
      </w:pPr>
    </w:p>
    <w:bookmarkEnd w:id="444"/>
    <w:p>
      <w:pPr>
        <w:spacing w:line="360" w:lineRule="auto"/>
        <w:ind w:firstLine="435"/>
        <w:rPr>
          <w:rFonts w:ascii="宋体" w:hAnsi="宋体" w:eastAsia="宋体"/>
          <w:sz w:val="24"/>
          <w:highlight w:val="none"/>
        </w:rPr>
      </w:pPr>
      <w:r>
        <w:rPr>
          <w:rFonts w:hint="eastAsia" w:ascii="宋体" w:hAnsi="宋体" w:eastAsia="宋体"/>
          <w:sz w:val="24"/>
          <w:highlight w:val="none"/>
        </w:rPr>
        <w:t>本单位对上述声明的真实性负责。如有虚假，将依法承担相应责任。</w:t>
      </w:r>
    </w:p>
    <w:p>
      <w:pPr>
        <w:spacing w:line="360" w:lineRule="auto"/>
        <w:jc w:val="right"/>
        <w:rPr>
          <w:rFonts w:ascii="Arial" w:hAnsi="Arial" w:eastAsia="宋体" w:cs="Arial"/>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spacing w:line="360" w:lineRule="auto"/>
        <w:ind w:firstLine="4800" w:firstLineChars="2000"/>
        <w:jc w:val="right"/>
        <w:rPr>
          <w:rFonts w:ascii="Arial" w:hAnsi="Arial" w:eastAsia="宋体" w:cs="Arial"/>
          <w:sz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hint="eastAsia" w:ascii="宋体" w:hAnsi="宋体" w:eastAsia="宋体"/>
          <w:sz w:val="24"/>
          <w:highlight w:val="none"/>
          <w:u w:val="single"/>
        </w:rPr>
        <w:t xml:space="preserve">          </w:t>
      </w:r>
    </w:p>
    <w:p>
      <w:pPr>
        <w:spacing w:line="360" w:lineRule="auto"/>
        <w:jc w:val="center"/>
        <w:outlineLvl w:val="1"/>
        <w:rPr>
          <w:rFonts w:hint="eastAsia" w:ascii="方正黑体_GBK" w:hAnsi="方正黑体_GBK" w:eastAsia="方正黑体_GBK" w:cs="方正黑体_GBK"/>
          <w:sz w:val="28"/>
          <w:szCs w:val="28"/>
          <w:highlight w:val="none"/>
        </w:rPr>
      </w:pPr>
      <w:r>
        <w:rPr>
          <w:rFonts w:ascii="Arial" w:hAnsi="Arial" w:eastAsia="宋体" w:cs="Arial"/>
          <w:sz w:val="24"/>
          <w:highlight w:val="none"/>
          <w:u w:val="single"/>
        </w:rPr>
        <w:br w:type="page"/>
      </w:r>
      <w:bookmarkStart w:id="445" w:name="_Toc667152610"/>
      <w:bookmarkStart w:id="446" w:name="_Toc1693239113"/>
      <w:bookmarkStart w:id="447" w:name="_Toc364942754"/>
      <w:bookmarkStart w:id="448" w:name="_Toc2006517902_WPSOffice_Level1"/>
      <w:bookmarkStart w:id="449" w:name="_Toc2008398668"/>
      <w:bookmarkStart w:id="450" w:name="_Toc1424873071"/>
      <w:bookmarkStart w:id="451" w:name="_Toc1403010150"/>
      <w:bookmarkStart w:id="452" w:name="_Toc1300854469"/>
      <w:r>
        <w:rPr>
          <w:rFonts w:hint="eastAsia" w:ascii="方正黑体_GBK" w:hAnsi="方正黑体_GBK" w:eastAsia="方正黑体_GBK" w:cs="方正黑体_GBK"/>
          <w:sz w:val="28"/>
          <w:szCs w:val="28"/>
          <w:highlight w:val="none"/>
        </w:rPr>
        <w:t>四、授权书</w:t>
      </w:r>
      <w:bookmarkEnd w:id="445"/>
      <w:bookmarkEnd w:id="446"/>
      <w:bookmarkEnd w:id="447"/>
      <w:bookmarkEnd w:id="448"/>
      <w:bookmarkEnd w:id="449"/>
      <w:bookmarkEnd w:id="450"/>
      <w:bookmarkEnd w:id="451"/>
      <w:bookmarkEnd w:id="452"/>
    </w:p>
    <w:p>
      <w:pPr>
        <w:pStyle w:val="13"/>
        <w:snapToGrid w:val="0"/>
        <w:spacing w:line="360" w:lineRule="auto"/>
        <w:ind w:firstLine="480" w:firstLineChars="200"/>
        <w:jc w:val="left"/>
        <w:rPr>
          <w:rFonts w:ascii="Arial" w:hAnsi="Arial" w:cs="Arial"/>
          <w:sz w:val="24"/>
          <w:szCs w:val="28"/>
          <w:highlight w:val="none"/>
        </w:rPr>
      </w:pPr>
    </w:p>
    <w:p>
      <w:pPr>
        <w:spacing w:line="360" w:lineRule="auto"/>
        <w:ind w:firstLine="435"/>
        <w:rPr>
          <w:rFonts w:ascii="Arial" w:hAnsi="Arial" w:eastAsia="宋体" w:cs="Arial"/>
          <w:sz w:val="24"/>
          <w:szCs w:val="28"/>
          <w:highlight w:val="none"/>
        </w:rPr>
      </w:pPr>
      <w:r>
        <w:rPr>
          <w:rFonts w:ascii="Arial" w:hAnsi="Arial" w:eastAsia="宋体" w:cs="Arial"/>
          <w:sz w:val="24"/>
          <w:szCs w:val="28"/>
          <w:highlight w:val="none"/>
        </w:rPr>
        <w:t>本</w:t>
      </w:r>
      <w:r>
        <w:rPr>
          <w:rFonts w:ascii="Arial" w:hAnsi="Arial" w:eastAsia="宋体" w:cs="Arial"/>
          <w:sz w:val="24"/>
          <w:highlight w:val="none"/>
        </w:rPr>
        <w:t>授权</w:t>
      </w:r>
      <w:r>
        <w:rPr>
          <w:rFonts w:ascii="Arial" w:hAnsi="Arial" w:eastAsia="宋体" w:cs="Arial"/>
          <w:sz w:val="24"/>
          <w:szCs w:val="28"/>
          <w:highlight w:val="none"/>
        </w:rPr>
        <w:t>书声明：</w:t>
      </w:r>
      <w:r>
        <w:rPr>
          <w:rFonts w:ascii="Arial" w:hAnsi="Arial" w:eastAsia="宋体" w:cs="Arial"/>
          <w:sz w:val="24"/>
          <w:szCs w:val="28"/>
          <w:highlight w:val="none"/>
          <w:u w:val="single"/>
        </w:rPr>
        <w:t xml:space="preserve">           </w:t>
      </w:r>
      <w:r>
        <w:rPr>
          <w:rFonts w:ascii="Arial" w:hAnsi="Arial" w:eastAsia="宋体" w:cs="Arial"/>
          <w:sz w:val="24"/>
          <w:szCs w:val="28"/>
          <w:highlight w:val="none"/>
        </w:rPr>
        <w:t>（</w:t>
      </w:r>
      <w:r>
        <w:rPr>
          <w:rFonts w:ascii="Arial" w:hAnsi="Arial" w:eastAsia="宋体" w:cs="Arial"/>
          <w:i/>
          <w:sz w:val="24"/>
          <w:szCs w:val="28"/>
          <w:highlight w:val="none"/>
        </w:rPr>
        <w:t>投标人名称</w:t>
      </w:r>
      <w:r>
        <w:rPr>
          <w:rFonts w:ascii="Arial" w:hAnsi="Arial" w:eastAsia="宋体" w:cs="Arial"/>
          <w:sz w:val="24"/>
          <w:szCs w:val="28"/>
          <w:highlight w:val="none"/>
        </w:rPr>
        <w:t>）授权</w:t>
      </w:r>
      <w:r>
        <w:rPr>
          <w:rFonts w:ascii="Arial" w:hAnsi="Arial" w:eastAsia="宋体" w:cs="Arial"/>
          <w:sz w:val="24"/>
          <w:szCs w:val="28"/>
          <w:highlight w:val="none"/>
          <w:u w:val="single"/>
        </w:rPr>
        <w:t xml:space="preserve">       </w:t>
      </w:r>
      <w:r>
        <w:rPr>
          <w:rFonts w:ascii="Arial" w:hAnsi="Arial" w:eastAsia="宋体" w:cs="Arial"/>
          <w:sz w:val="24"/>
          <w:szCs w:val="28"/>
          <w:highlight w:val="none"/>
        </w:rPr>
        <w:t>（</w:t>
      </w:r>
      <w:r>
        <w:rPr>
          <w:rFonts w:ascii="Arial" w:hAnsi="Arial" w:eastAsia="宋体" w:cs="Arial"/>
          <w:i/>
          <w:sz w:val="24"/>
          <w:szCs w:val="28"/>
          <w:highlight w:val="none"/>
        </w:rPr>
        <w:t>投标人授权代表姓名、职务</w:t>
      </w:r>
      <w:r>
        <w:rPr>
          <w:rFonts w:ascii="Arial" w:hAnsi="Arial" w:eastAsia="宋体" w:cs="Arial"/>
          <w:sz w:val="24"/>
          <w:szCs w:val="28"/>
          <w:highlight w:val="none"/>
        </w:rPr>
        <w:t>）代表我方参加本项目</w:t>
      </w:r>
      <w:r>
        <w:rPr>
          <w:rFonts w:ascii="Arial" w:hAnsi="Arial" w:eastAsia="宋体" w:cs="Arial"/>
          <w:bCs/>
          <w:sz w:val="24"/>
          <w:szCs w:val="28"/>
          <w:highlight w:val="none"/>
        </w:rPr>
        <w:t>采购活动</w:t>
      </w:r>
      <w:r>
        <w:rPr>
          <w:rFonts w:ascii="Arial" w:hAnsi="Arial" w:eastAsia="宋体" w:cs="Arial"/>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ascii="Arial" w:hAnsi="Arial" w:eastAsia="宋体" w:cs="Arial"/>
          <w:sz w:val="24"/>
          <w:szCs w:val="28"/>
          <w:highlight w:val="none"/>
        </w:rPr>
      </w:pPr>
      <w:r>
        <w:rPr>
          <w:rFonts w:ascii="Arial" w:hAnsi="Arial" w:eastAsia="宋体" w:cs="Arial"/>
          <w:sz w:val="24"/>
          <w:szCs w:val="28"/>
          <w:highlight w:val="none"/>
        </w:rPr>
        <w:t>本授权书自出具之日起生效。</w:t>
      </w:r>
    </w:p>
    <w:p>
      <w:pPr>
        <w:spacing w:line="360" w:lineRule="auto"/>
        <w:ind w:firstLine="435"/>
        <w:rPr>
          <w:rFonts w:ascii="Arial" w:hAnsi="Arial" w:eastAsia="宋体" w:cs="Arial"/>
          <w:sz w:val="24"/>
          <w:highlight w:val="none"/>
        </w:rPr>
      </w:pPr>
      <w:r>
        <w:rPr>
          <w:rFonts w:ascii="Arial" w:hAnsi="Arial" w:eastAsia="宋体" w:cs="Arial"/>
          <w:sz w:val="24"/>
          <w:szCs w:val="28"/>
          <w:highlight w:val="none"/>
        </w:rPr>
        <w:t>授权</w:t>
      </w:r>
      <w:r>
        <w:rPr>
          <w:rFonts w:ascii="Arial" w:hAnsi="Arial" w:eastAsia="宋体" w:cs="Arial"/>
          <w:sz w:val="24"/>
          <w:highlight w:val="none"/>
        </w:rPr>
        <w:t>代表身份证明：</w:t>
      </w:r>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szCs w:val="28"/>
          <w:highlight w:val="none"/>
          <w:u w:val="single"/>
        </w:rPr>
      </w:pPr>
      <w:r>
        <w:rPr>
          <w:rFonts w:ascii="Arial" w:hAnsi="Arial" w:eastAsia="宋体" w:cs="Arial"/>
          <w:sz w:val="24"/>
          <w:szCs w:val="28"/>
          <w:highlight w:val="none"/>
        </w:rPr>
        <w:t>授权代表联系方式：</w:t>
      </w:r>
      <w:r>
        <w:rPr>
          <w:rFonts w:ascii="Arial" w:hAnsi="Arial" w:eastAsia="宋体" w:cs="Arial"/>
          <w:sz w:val="24"/>
          <w:szCs w:val="28"/>
          <w:highlight w:val="none"/>
          <w:u w:val="single"/>
        </w:rPr>
        <w:t xml:space="preserve">          </w:t>
      </w:r>
      <w:r>
        <w:rPr>
          <w:rFonts w:ascii="Arial" w:hAnsi="Arial" w:eastAsia="宋体" w:cs="Arial"/>
          <w:sz w:val="24"/>
          <w:szCs w:val="28"/>
          <w:highlight w:val="none"/>
        </w:rPr>
        <w:t>（填写手机号码）</w:t>
      </w:r>
    </w:p>
    <w:p>
      <w:pPr>
        <w:spacing w:line="360" w:lineRule="auto"/>
        <w:ind w:firstLine="435"/>
        <w:rPr>
          <w:rFonts w:ascii="Arial" w:hAnsi="Arial" w:eastAsia="宋体" w:cs="Arial"/>
          <w:sz w:val="24"/>
          <w:szCs w:val="28"/>
          <w:highlight w:val="none"/>
        </w:rPr>
      </w:pPr>
    </w:p>
    <w:p>
      <w:pPr>
        <w:spacing w:line="360" w:lineRule="auto"/>
        <w:ind w:firstLine="435"/>
        <w:rPr>
          <w:rFonts w:ascii="Arial" w:hAnsi="Arial" w:eastAsia="宋体" w:cs="Arial"/>
          <w:sz w:val="24"/>
          <w:szCs w:val="28"/>
          <w:highlight w:val="none"/>
        </w:rPr>
      </w:pPr>
      <w:r>
        <w:rPr>
          <w:rFonts w:ascii="Arial" w:hAnsi="Arial" w:eastAsia="宋体" w:cs="Arial"/>
          <w:sz w:val="24"/>
          <w:highlight w:val="none"/>
        </w:rPr>
        <w:t>特此</w:t>
      </w:r>
      <w:r>
        <w:rPr>
          <w:rFonts w:ascii="Arial" w:hAnsi="Arial" w:eastAsia="宋体" w:cs="Arial"/>
          <w:sz w:val="24"/>
          <w:szCs w:val="28"/>
          <w:highlight w:val="none"/>
        </w:rPr>
        <w:t>声明。</w:t>
      </w:r>
    </w:p>
    <w:p>
      <w:pPr>
        <w:spacing w:line="360" w:lineRule="auto"/>
        <w:rPr>
          <w:rFonts w:ascii="Arial" w:hAnsi="Arial" w:eastAsia="宋体" w:cs="Arial"/>
          <w:sz w:val="24"/>
          <w:szCs w:val="28"/>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spacing w:line="360" w:lineRule="auto"/>
        <w:ind w:firstLine="435"/>
        <w:jc w:val="right"/>
        <w:rPr>
          <w:rFonts w:ascii="Arial" w:hAnsi="Arial" w:eastAsia="宋体" w:cs="Arial"/>
          <w:sz w:val="24"/>
          <w:szCs w:val="28"/>
          <w:highlight w:val="non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hint="eastAsia" w:ascii="宋体" w:hAnsi="宋体" w:eastAsia="宋体"/>
          <w:sz w:val="24"/>
          <w:highlight w:val="none"/>
          <w:u w:val="single"/>
        </w:rPr>
        <w:t xml:space="preserve">  </w:t>
      </w:r>
      <w:r>
        <w:rPr>
          <w:rFonts w:ascii="Arial" w:hAnsi="Arial" w:eastAsia="宋体" w:cs="Arial"/>
          <w:b/>
          <w:bCs/>
          <w:sz w:val="24"/>
          <w:szCs w:val="28"/>
          <w:highlight w:val="none"/>
          <w:u w:val="single"/>
        </w:rPr>
        <w:t xml:space="preserve">                    </w:t>
      </w:r>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highlight w:val="none"/>
        </w:rPr>
      </w:pPr>
    </w:p>
    <w:p>
      <w:pPr>
        <w:spacing w:line="360" w:lineRule="auto"/>
        <w:rPr>
          <w:rFonts w:ascii="Arial" w:hAnsi="Arial" w:eastAsia="宋体" w:cs="Arial"/>
          <w:sz w:val="24"/>
          <w:highlight w:val="none"/>
        </w:rPr>
      </w:pPr>
      <w:r>
        <w:rPr>
          <w:rFonts w:ascii="Arial" w:hAnsi="Arial" w:eastAsia="宋体" w:cs="Arial"/>
          <w:sz w:val="24"/>
          <w:highlight w:val="none"/>
        </w:rPr>
        <w:t>注：</w:t>
      </w:r>
    </w:p>
    <w:p>
      <w:pPr>
        <w:spacing w:line="360" w:lineRule="auto"/>
        <w:ind w:firstLine="435"/>
        <w:rPr>
          <w:rFonts w:ascii="Arial" w:hAnsi="Arial" w:eastAsia="宋体" w:cs="Arial"/>
          <w:sz w:val="24"/>
          <w:highlight w:val="none"/>
        </w:rPr>
      </w:pPr>
      <w:bookmarkStart w:id="453" w:name="_Toc2021104725_WPSOffice_Level2"/>
      <w:r>
        <w:rPr>
          <w:rFonts w:ascii="Arial" w:hAnsi="Arial" w:eastAsia="宋体" w:cs="Arial"/>
          <w:sz w:val="24"/>
          <w:highlight w:val="none"/>
        </w:rPr>
        <w:t>1.本项目只允许有唯一的投标人授权代表，提供身份证明；</w:t>
      </w:r>
      <w:bookmarkEnd w:id="453"/>
    </w:p>
    <w:p>
      <w:pPr>
        <w:spacing w:line="360" w:lineRule="auto"/>
        <w:ind w:firstLine="435"/>
        <w:rPr>
          <w:rFonts w:ascii="Arial" w:hAnsi="Arial" w:eastAsia="宋体" w:cs="Arial"/>
          <w:sz w:val="24"/>
          <w:highlight w:val="none"/>
        </w:rPr>
      </w:pPr>
      <w:bookmarkStart w:id="454" w:name="_Toc705288987_WPSOffice_Level2"/>
      <w:r>
        <w:rPr>
          <w:rFonts w:ascii="Arial" w:hAnsi="Arial" w:eastAsia="宋体" w:cs="Arial"/>
          <w:sz w:val="24"/>
          <w:highlight w:val="none"/>
        </w:rPr>
        <w:t>2.法定代表人参加投标的无需提供授权书，提供身份证明。</w:t>
      </w:r>
      <w:bookmarkEnd w:id="454"/>
    </w:p>
    <w:p>
      <w:pPr>
        <w:keepNext w:val="0"/>
        <w:keepLines w:val="0"/>
        <w:pageBreakBefore w:val="0"/>
        <w:widowControl/>
        <w:kinsoku/>
        <w:wordWrap/>
        <w:overflowPunct/>
        <w:topLinePunct w:val="0"/>
        <w:autoSpaceDE/>
        <w:autoSpaceDN/>
        <w:bidi w:val="0"/>
        <w:adjustRightInd/>
        <w:snapToGrid/>
        <w:jc w:val="center"/>
        <w:textAlignment w:val="auto"/>
        <w:outlineLvl w:val="1"/>
        <w:rPr>
          <w:rFonts w:ascii="Arial" w:hAnsi="Arial" w:cs="Arial"/>
          <w:sz w:val="28"/>
          <w:szCs w:val="28"/>
          <w:highlight w:val="none"/>
        </w:rPr>
      </w:pPr>
      <w:r>
        <w:rPr>
          <w:rFonts w:ascii="Arial" w:hAnsi="Arial" w:eastAsia="宋体" w:cs="Arial"/>
          <w:sz w:val="24"/>
          <w:highlight w:val="none"/>
        </w:rPr>
        <w:br w:type="page"/>
      </w:r>
      <w:bookmarkStart w:id="455" w:name="_Toc280242114"/>
      <w:bookmarkStart w:id="456" w:name="_Toc1797030436"/>
      <w:bookmarkStart w:id="457" w:name="_Toc180244435"/>
      <w:bookmarkStart w:id="458" w:name="_Toc281038456"/>
      <w:bookmarkStart w:id="459" w:name="_Toc787353585"/>
      <w:bookmarkStart w:id="460" w:name="_Toc1727353608"/>
      <w:bookmarkStart w:id="461" w:name="_Toc2069302419_WPSOffice_Level1"/>
      <w:bookmarkStart w:id="462" w:name="_Toc1219046497"/>
      <w:r>
        <w:rPr>
          <w:rStyle w:val="33"/>
          <w:sz w:val="28"/>
          <w:szCs w:val="28"/>
          <w:highlight w:val="none"/>
        </w:rPr>
        <w:t>五、投标分项报价表</w:t>
      </w:r>
      <w:bookmarkEnd w:id="455"/>
      <w:bookmarkEnd w:id="456"/>
      <w:bookmarkEnd w:id="457"/>
      <w:bookmarkEnd w:id="458"/>
      <w:bookmarkEnd w:id="459"/>
      <w:bookmarkEnd w:id="460"/>
      <w:bookmarkEnd w:id="461"/>
      <w:bookmarkEnd w:id="462"/>
    </w:p>
    <w:p>
      <w:pPr>
        <w:spacing w:line="360" w:lineRule="auto"/>
        <w:ind w:firstLine="435"/>
        <w:rPr>
          <w:rFonts w:ascii="Arial" w:hAnsi="Arial" w:eastAsia="宋体" w:cs="Arial"/>
          <w:b/>
          <w:sz w:val="24"/>
          <w:highlight w:val="none"/>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5"/>
        <w:gridCol w:w="1317"/>
        <w:gridCol w:w="1317"/>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noWrap w:val="0"/>
            <w:vAlign w:val="center"/>
          </w:tcPr>
          <w:p>
            <w:pPr>
              <w:pStyle w:val="36"/>
              <w:widowControl w:val="0"/>
              <w:spacing w:before="0" w:beforeAutospacing="0" w:after="0" w:afterAutospacing="0"/>
              <w:rPr>
                <w:rFonts w:hint="eastAsia" w:ascii="宋体" w:hAnsi="宋体" w:eastAsia="宋体" w:cs="宋体"/>
                <w:bCs w:val="0"/>
                <w:kern w:val="2"/>
                <w:sz w:val="21"/>
                <w:szCs w:val="21"/>
                <w:highlight w:val="none"/>
              </w:rPr>
            </w:pPr>
            <w:r>
              <w:rPr>
                <w:rFonts w:hint="eastAsia" w:ascii="宋体" w:hAnsi="宋体" w:eastAsia="宋体" w:cs="宋体"/>
                <w:bCs w:val="0"/>
                <w:kern w:val="2"/>
                <w:sz w:val="21"/>
                <w:szCs w:val="21"/>
                <w:highlight w:val="none"/>
              </w:rPr>
              <w:t>序号</w:t>
            </w:r>
          </w:p>
        </w:tc>
        <w:tc>
          <w:tcPr>
            <w:tcW w:w="1325"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货物名称</w:t>
            </w:r>
          </w:p>
        </w:tc>
        <w:tc>
          <w:tcPr>
            <w:tcW w:w="1317"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品牌、型</w:t>
            </w:r>
          </w:p>
          <w:p>
            <w:pPr>
              <w:jc w:val="center"/>
              <w:rPr>
                <w:rFonts w:hint="eastAsia" w:ascii="宋体" w:hAnsi="宋体" w:eastAsia="宋体" w:cs="宋体"/>
                <w:b/>
                <w:szCs w:val="21"/>
                <w:highlight w:val="none"/>
              </w:rPr>
            </w:pPr>
            <w:r>
              <w:rPr>
                <w:rFonts w:hint="eastAsia" w:ascii="宋体" w:hAnsi="宋体" w:eastAsia="宋体" w:cs="宋体"/>
                <w:b/>
                <w:szCs w:val="21"/>
                <w:highlight w:val="none"/>
              </w:rPr>
              <w:t>号规格</w:t>
            </w:r>
          </w:p>
        </w:tc>
        <w:tc>
          <w:tcPr>
            <w:tcW w:w="1317"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原产地及</w:t>
            </w:r>
          </w:p>
          <w:p>
            <w:pPr>
              <w:jc w:val="center"/>
              <w:rPr>
                <w:rFonts w:hint="eastAsia" w:ascii="宋体" w:hAnsi="宋体" w:eastAsia="宋体" w:cs="宋体"/>
                <w:b/>
                <w:szCs w:val="21"/>
                <w:highlight w:val="none"/>
              </w:rPr>
            </w:pPr>
            <w:r>
              <w:rPr>
                <w:rFonts w:hint="eastAsia" w:ascii="宋体" w:hAnsi="宋体" w:eastAsia="宋体" w:cs="宋体"/>
                <w:b/>
                <w:szCs w:val="21"/>
                <w:highlight w:val="none"/>
              </w:rPr>
              <w:t>生产厂商</w:t>
            </w:r>
          </w:p>
        </w:tc>
        <w:tc>
          <w:tcPr>
            <w:tcW w:w="672"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单位</w:t>
            </w:r>
          </w:p>
        </w:tc>
        <w:tc>
          <w:tcPr>
            <w:tcW w:w="672"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数量</w:t>
            </w:r>
          </w:p>
        </w:tc>
        <w:tc>
          <w:tcPr>
            <w:tcW w:w="939"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单价</w:t>
            </w:r>
          </w:p>
          <w:p>
            <w:pPr>
              <w:jc w:val="center"/>
              <w:rPr>
                <w:rFonts w:hint="eastAsia" w:ascii="宋体" w:hAnsi="宋体" w:eastAsia="宋体" w:cs="宋体"/>
                <w:b/>
                <w:szCs w:val="21"/>
                <w:highlight w:val="none"/>
              </w:rPr>
            </w:pPr>
            <w:r>
              <w:rPr>
                <w:rFonts w:hint="eastAsia" w:ascii="宋体" w:hAnsi="宋体" w:eastAsia="宋体" w:cs="宋体"/>
                <w:b/>
                <w:szCs w:val="21"/>
                <w:highlight w:val="none"/>
              </w:rPr>
              <w:t>（元）</w:t>
            </w:r>
          </w:p>
        </w:tc>
        <w:tc>
          <w:tcPr>
            <w:tcW w:w="939"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小计</w:t>
            </w:r>
          </w:p>
          <w:p>
            <w:pPr>
              <w:jc w:val="center"/>
              <w:rPr>
                <w:rFonts w:hint="eastAsia" w:ascii="宋体" w:hAnsi="宋体" w:eastAsia="宋体" w:cs="宋体"/>
                <w:b/>
                <w:szCs w:val="21"/>
                <w:highlight w:val="none"/>
              </w:rPr>
            </w:pPr>
            <w:r>
              <w:rPr>
                <w:rFonts w:hint="eastAsia" w:ascii="宋体" w:hAnsi="宋体" w:eastAsia="宋体" w:cs="宋体"/>
                <w:b/>
                <w:szCs w:val="21"/>
                <w:highlight w:val="none"/>
              </w:rPr>
              <w:t>（元）</w:t>
            </w:r>
          </w:p>
        </w:tc>
        <w:tc>
          <w:tcPr>
            <w:tcW w:w="670"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325"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p>
        </w:tc>
        <w:tc>
          <w:tcPr>
            <w:tcW w:w="1325" w:type="dxa"/>
            <w:noWrap w:val="0"/>
            <w:vAlign w:val="center"/>
          </w:tcPr>
          <w:p>
            <w:pPr>
              <w:pStyle w:val="37"/>
              <w:rPr>
                <w:rFonts w:hint="eastAsia" w:ascii="宋体" w:hAnsi="宋体" w:eastAsia="宋体" w:cs="宋体"/>
                <w:highlight w:val="none"/>
              </w:rPr>
            </w:pP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p>
        </w:tc>
        <w:tc>
          <w:tcPr>
            <w:tcW w:w="1325" w:type="dxa"/>
            <w:noWrap w:val="0"/>
            <w:vAlign w:val="top"/>
          </w:tcPr>
          <w:p>
            <w:pPr>
              <w:rPr>
                <w:rFonts w:hint="eastAsia" w:ascii="宋体" w:hAnsi="宋体" w:eastAsia="宋体" w:cs="宋体"/>
                <w:sz w:val="24"/>
                <w:highlight w:val="none"/>
              </w:rPr>
            </w:pPr>
            <w:r>
              <w:rPr>
                <w:rFonts w:hint="eastAsia" w:ascii="宋体" w:hAnsi="宋体" w:eastAsia="宋体" w:cs="宋体"/>
                <w:sz w:val="24"/>
                <w:highlight w:val="none"/>
              </w:rPr>
              <w:t>…</w:t>
            </w: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p>
        </w:tc>
        <w:tc>
          <w:tcPr>
            <w:tcW w:w="1325" w:type="dxa"/>
            <w:noWrap w:val="0"/>
            <w:vAlign w:val="top"/>
          </w:tcPr>
          <w:p>
            <w:pPr>
              <w:pStyle w:val="37"/>
              <w:rPr>
                <w:rFonts w:hint="eastAsia" w:ascii="宋体" w:hAnsi="宋体" w:eastAsia="宋体" w:cs="宋体"/>
                <w:highlight w:val="none"/>
              </w:rPr>
            </w:pPr>
            <w:r>
              <w:rPr>
                <w:rFonts w:hint="eastAsia" w:ascii="宋体" w:hAnsi="宋体" w:eastAsia="宋体" w:cs="宋体"/>
                <w:highlight w:val="none"/>
              </w:rPr>
              <w:t>…</w:t>
            </w: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noWrap w:val="0"/>
            <w:vAlign w:val="top"/>
          </w:tcPr>
          <w:p>
            <w:pPr>
              <w:jc w:val="center"/>
              <w:rPr>
                <w:rFonts w:hint="eastAsia" w:ascii="宋体" w:hAnsi="宋体" w:eastAsia="宋体" w:cs="宋体"/>
                <w:sz w:val="24"/>
                <w:highlight w:val="none"/>
              </w:rPr>
            </w:pPr>
          </w:p>
        </w:tc>
        <w:tc>
          <w:tcPr>
            <w:tcW w:w="1325" w:type="dxa"/>
            <w:noWrap w:val="0"/>
            <w:vAlign w:val="top"/>
          </w:tcPr>
          <w:p>
            <w:pPr>
              <w:rPr>
                <w:rFonts w:hint="eastAsia" w:ascii="宋体" w:hAnsi="宋体" w:eastAsia="宋体" w:cs="宋体"/>
                <w:sz w:val="24"/>
                <w:highlight w:val="none"/>
              </w:rPr>
            </w:pPr>
            <w:r>
              <w:rPr>
                <w:rFonts w:hint="eastAsia" w:ascii="宋体" w:hAnsi="宋体" w:eastAsia="宋体" w:cs="宋体"/>
                <w:sz w:val="24"/>
                <w:highlight w:val="none"/>
              </w:rPr>
              <w:t>…</w:t>
            </w: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6" w:type="dxa"/>
            <w:gridSpan w:val="2"/>
            <w:noWrap w:val="0"/>
            <w:vAlign w:val="center"/>
          </w:tcPr>
          <w:p>
            <w:pPr>
              <w:pStyle w:val="37"/>
              <w:jc w:val="center"/>
              <w:rPr>
                <w:rFonts w:hint="eastAsia" w:ascii="宋体" w:hAnsi="宋体" w:eastAsia="宋体" w:cs="宋体"/>
                <w:highlight w:val="none"/>
              </w:rPr>
            </w:pPr>
            <w:r>
              <w:rPr>
                <w:rFonts w:hint="eastAsia" w:ascii="宋体" w:hAnsi="宋体" w:eastAsia="宋体" w:cs="宋体"/>
                <w:highlight w:val="none"/>
              </w:rPr>
              <w:t>合计（元）</w:t>
            </w:r>
          </w:p>
        </w:tc>
        <w:tc>
          <w:tcPr>
            <w:tcW w:w="1317" w:type="dxa"/>
            <w:noWrap w:val="0"/>
            <w:vAlign w:val="top"/>
          </w:tcPr>
          <w:p>
            <w:pPr>
              <w:rPr>
                <w:rFonts w:hint="eastAsia" w:ascii="宋体" w:hAnsi="宋体" w:eastAsia="宋体" w:cs="宋体"/>
                <w:sz w:val="24"/>
                <w:highlight w:val="none"/>
              </w:rPr>
            </w:pPr>
          </w:p>
        </w:tc>
        <w:tc>
          <w:tcPr>
            <w:tcW w:w="1317"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672"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939" w:type="dxa"/>
            <w:noWrap w:val="0"/>
            <w:vAlign w:val="top"/>
          </w:tcPr>
          <w:p>
            <w:pPr>
              <w:rPr>
                <w:rFonts w:hint="eastAsia" w:ascii="宋体" w:hAnsi="宋体" w:eastAsia="宋体" w:cs="宋体"/>
                <w:sz w:val="24"/>
                <w:highlight w:val="none"/>
              </w:rPr>
            </w:pPr>
          </w:p>
        </w:tc>
        <w:tc>
          <w:tcPr>
            <w:tcW w:w="670" w:type="dxa"/>
            <w:noWrap w:val="0"/>
            <w:vAlign w:val="top"/>
          </w:tcPr>
          <w:p>
            <w:pPr>
              <w:rPr>
                <w:rFonts w:hint="eastAsia" w:ascii="宋体" w:hAnsi="宋体" w:eastAsia="宋体" w:cs="宋体"/>
                <w:sz w:val="24"/>
                <w:highlight w:val="none"/>
              </w:rPr>
            </w:pPr>
          </w:p>
        </w:tc>
      </w:tr>
    </w:tbl>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adjustRightInd w:val="0"/>
        <w:snapToGrid w:val="0"/>
        <w:spacing w:line="360" w:lineRule="auto"/>
        <w:jc w:val="right"/>
        <w:rPr>
          <w:rFonts w:ascii="Arial" w:hAnsi="Arial" w:eastAsia="宋体" w:cs="Arial"/>
          <w:b/>
          <w:bCs/>
          <w:sz w:val="24"/>
          <w:szCs w:val="28"/>
          <w:highlight w:val="non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hint="eastAsia" w:ascii="宋体" w:hAnsi="宋体" w:eastAsia="宋体"/>
          <w:sz w:val="24"/>
          <w:highlight w:val="none"/>
          <w:u w:val="single"/>
        </w:rPr>
        <w:t xml:space="preserve">  </w:t>
      </w:r>
    </w:p>
    <w:p>
      <w:pPr>
        <w:adjustRightInd w:val="0"/>
        <w:snapToGrid w:val="0"/>
        <w:spacing w:line="360" w:lineRule="auto"/>
        <w:rPr>
          <w:rFonts w:ascii="Arial" w:hAnsi="Arial" w:eastAsia="宋体" w:cs="Arial"/>
          <w:b/>
          <w:bCs/>
          <w:szCs w:val="21"/>
          <w:highlight w:val="none"/>
        </w:rPr>
      </w:pPr>
      <w:r>
        <w:rPr>
          <w:rFonts w:ascii="Arial" w:hAnsi="Arial" w:eastAsia="宋体" w:cs="Arial"/>
          <w:b/>
          <w:bCs/>
          <w:szCs w:val="21"/>
          <w:highlight w:val="none"/>
        </w:rPr>
        <w:t>备注：</w:t>
      </w:r>
    </w:p>
    <w:p>
      <w:pPr>
        <w:spacing w:line="360" w:lineRule="auto"/>
        <w:ind w:firstLine="435"/>
        <w:rPr>
          <w:rFonts w:hint="eastAsia" w:ascii="宋体" w:hAnsi="宋体" w:eastAsia="宋体" w:cs="宋体"/>
          <w:szCs w:val="21"/>
          <w:highlight w:val="none"/>
        </w:rPr>
      </w:pPr>
      <w:r>
        <w:rPr>
          <w:rFonts w:hint="eastAsia" w:ascii="宋体" w:hAnsi="宋体" w:eastAsia="宋体" w:cs="宋体"/>
          <w:szCs w:val="21"/>
          <w:highlight w:val="none"/>
        </w:rPr>
        <w:t>1.表中所列货物为对应本项目需求的全部货物及所需附件购置费、包装费、运输费、人工费、保险费、安装调试费、各种税费、资料费、售后服务费及完成项目应有的全部费用。未标明的（如有漏项或缺项），投标人承担全部责任。</w:t>
      </w:r>
    </w:p>
    <w:p>
      <w:pPr>
        <w:spacing w:line="360" w:lineRule="auto"/>
        <w:ind w:firstLine="435"/>
        <w:rPr>
          <w:rFonts w:ascii="Arial" w:hAnsi="Arial" w:eastAsia="宋体" w:cs="Arial"/>
          <w:szCs w:val="21"/>
          <w:highlight w:val="none"/>
        </w:rPr>
        <w:sectPr>
          <w:pgSz w:w="11906" w:h="16838"/>
          <w:pgMar w:top="1440" w:right="1706" w:bottom="1440" w:left="1800" w:header="851" w:footer="992" w:gutter="0"/>
          <w:pgNumType w:fmt="decimal"/>
          <w:cols w:space="720" w:num="1"/>
          <w:docGrid w:type="lines" w:linePitch="312" w:charSpace="0"/>
        </w:sectPr>
      </w:pPr>
      <w:r>
        <w:rPr>
          <w:rFonts w:hint="eastAsia" w:ascii="宋体" w:hAnsi="宋体" w:eastAsia="宋体" w:cs="宋体"/>
          <w:szCs w:val="21"/>
          <w:highlight w:val="none"/>
        </w:rPr>
        <w:t>2.表中须明确列出所投产品的货物名称、品牌、型号规格、原产地及生产厂商，否则可能导致</w:t>
      </w:r>
      <w:r>
        <w:rPr>
          <w:rFonts w:hint="eastAsia" w:ascii="宋体" w:hAnsi="宋体" w:eastAsia="宋体" w:cs="宋体"/>
          <w:b/>
          <w:bCs/>
          <w:szCs w:val="21"/>
          <w:highlight w:val="none"/>
        </w:rPr>
        <w:t>投标无效</w:t>
      </w:r>
      <w:r>
        <w:rPr>
          <w:rFonts w:ascii="Arial" w:hAnsi="Arial" w:eastAsia="宋体" w:cs="Arial"/>
          <w:szCs w:val="21"/>
          <w:highlight w:val="none"/>
        </w:rPr>
        <w:t>。</w:t>
      </w:r>
    </w:p>
    <w:p>
      <w:pPr>
        <w:pStyle w:val="5"/>
        <w:keepNext/>
        <w:keepLines/>
        <w:pageBreakBefore w:val="0"/>
        <w:widowControl w:val="0"/>
        <w:kinsoku/>
        <w:wordWrap/>
        <w:overflowPunct/>
        <w:topLinePunct w:val="0"/>
        <w:autoSpaceDE/>
        <w:autoSpaceDN/>
        <w:bidi w:val="0"/>
        <w:adjustRightInd/>
        <w:snapToGrid/>
        <w:ind w:firstLine="0" w:firstLineChars="0"/>
        <w:jc w:val="center"/>
        <w:textAlignment w:val="auto"/>
        <w:rPr>
          <w:rFonts w:ascii="Arial" w:hAnsi="Arial" w:cs="Arial"/>
          <w:highlight w:val="none"/>
        </w:rPr>
      </w:pPr>
      <w:bookmarkStart w:id="463" w:name="_Toc581581691"/>
      <w:bookmarkStart w:id="464" w:name="_Toc1836093410"/>
      <w:bookmarkStart w:id="465" w:name="_Toc116844530"/>
      <w:bookmarkStart w:id="466" w:name="_Toc214711945"/>
      <w:bookmarkStart w:id="467" w:name="_Toc105078373"/>
      <w:bookmarkStart w:id="468" w:name="_Toc1607605076"/>
      <w:bookmarkStart w:id="469" w:name="_Toc1985987110_WPSOffice_Level1"/>
      <w:bookmarkStart w:id="470" w:name="_Toc1567282684"/>
      <w:r>
        <w:rPr>
          <w:rFonts w:ascii="Arial" w:hAnsi="Arial" w:cs="Arial"/>
          <w:highlight w:val="none"/>
        </w:rPr>
        <w:t>六、投标响应表</w:t>
      </w:r>
      <w:bookmarkEnd w:id="463"/>
      <w:bookmarkEnd w:id="464"/>
      <w:bookmarkEnd w:id="465"/>
      <w:bookmarkEnd w:id="466"/>
      <w:bookmarkEnd w:id="467"/>
      <w:bookmarkEnd w:id="468"/>
      <w:bookmarkEnd w:id="469"/>
      <w:bookmarkEnd w:id="470"/>
    </w:p>
    <w:p>
      <w:pPr>
        <w:spacing w:line="360" w:lineRule="auto"/>
        <w:ind w:firstLine="435"/>
        <w:rPr>
          <w:rFonts w:hint="eastAsia" w:ascii="宋体" w:hAnsi="宋体" w:eastAsia="宋体" w:cs="宋体"/>
          <w:b/>
          <w:sz w:val="24"/>
          <w:highlight w:val="none"/>
        </w:rPr>
      </w:pPr>
      <w:bookmarkStart w:id="471" w:name="_Toc1552113727_WPSOffice_Level2"/>
      <w:r>
        <w:rPr>
          <w:rFonts w:hint="eastAsia" w:ascii="宋体" w:hAnsi="宋体" w:eastAsia="宋体" w:cs="宋体"/>
          <w:b/>
          <w:sz w:val="24"/>
          <w:highlight w:val="none"/>
        </w:rPr>
        <w:t>6.1商务响应表</w:t>
      </w:r>
      <w:bookmarkEnd w:id="471"/>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89"/>
        <w:gridCol w:w="3424"/>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989" w:type="dxa"/>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bCs/>
                <w:sz w:val="24"/>
                <w:szCs w:val="24"/>
                <w:highlight w:val="none"/>
              </w:rPr>
              <w:t>商务条款</w:t>
            </w:r>
          </w:p>
        </w:tc>
        <w:tc>
          <w:tcPr>
            <w:tcW w:w="3424" w:type="dxa"/>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sz w:val="24"/>
                <w:highlight w:val="none"/>
              </w:rPr>
              <w:t>招标文件要求</w:t>
            </w:r>
          </w:p>
        </w:tc>
        <w:tc>
          <w:tcPr>
            <w:tcW w:w="2575" w:type="dxa"/>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sz w:val="24"/>
                <w:highlight w:val="none"/>
              </w:rPr>
              <w:t>投标人承诺</w:t>
            </w:r>
          </w:p>
        </w:tc>
        <w:tc>
          <w:tcPr>
            <w:tcW w:w="810" w:type="dxa"/>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8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3424" w:type="dxa"/>
            <w:noWrap w:val="0"/>
            <w:vAlign w:val="center"/>
          </w:tcPr>
          <w:p>
            <w:pPr>
              <w:widowControl w:val="0"/>
              <w:spacing w:before="0" w:beforeAutospacing="0" w:after="0" w:afterAutospacing="0" w:line="360" w:lineRule="auto"/>
              <w:jc w:val="left"/>
              <w:rPr>
                <w:rFonts w:hint="eastAsia" w:ascii="宋体" w:hAnsi="宋体" w:eastAsia="宋体" w:cs="宋体"/>
                <w:sz w:val="24"/>
                <w:highlight w:val="none"/>
              </w:rPr>
            </w:pPr>
            <w:r>
              <w:rPr>
                <w:rFonts w:hint="eastAsia" w:ascii="宋体" w:hAnsi="宋体" w:eastAsia="宋体" w:cs="宋体"/>
                <w:b w:val="0"/>
                <w:bCs/>
                <w:kern w:val="0"/>
                <w:sz w:val="24"/>
                <w:szCs w:val="28"/>
                <w:highlight w:val="none"/>
                <w:u w:val="none"/>
                <w:lang w:val="en-US" w:eastAsia="zh-CN" w:bidi="ar-SA"/>
              </w:rPr>
              <w:t>合同签订生效并具备实施条件后5个工作日内支付合同价款的40%作为预付款（中标人须提交银行、保险公司、担保公司等金融机构出具的预付款保函或其他担保措施，以上各类机构出具的以担保函、保证保险承担责任的方式均须满足无条件见索即付条件），项目供货安装完成验收合格后一次性支付剩余合同价款，同时退还预付款保函。</w:t>
            </w:r>
          </w:p>
        </w:tc>
        <w:tc>
          <w:tcPr>
            <w:tcW w:w="2575" w:type="dxa"/>
            <w:noWrap w:val="0"/>
            <w:vAlign w:val="center"/>
          </w:tcPr>
          <w:p>
            <w:pPr>
              <w:jc w:val="center"/>
              <w:rPr>
                <w:rFonts w:hint="eastAsia" w:ascii="宋体" w:hAnsi="宋体" w:eastAsia="宋体" w:cs="宋体"/>
                <w:sz w:val="24"/>
                <w:highlight w:val="none"/>
              </w:rPr>
            </w:pPr>
          </w:p>
        </w:tc>
        <w:tc>
          <w:tcPr>
            <w:tcW w:w="810"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8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供货及安装地点</w:t>
            </w:r>
          </w:p>
        </w:tc>
        <w:tc>
          <w:tcPr>
            <w:tcW w:w="3424" w:type="dxa"/>
            <w:noWrap w:val="0"/>
            <w:vAlign w:val="center"/>
          </w:tcPr>
          <w:p>
            <w:pPr>
              <w:widowControl w:val="0"/>
              <w:spacing w:before="0" w:beforeAutospacing="0" w:after="0" w:afterAutospacing="0" w:line="360" w:lineRule="auto"/>
              <w:jc w:val="left"/>
              <w:rPr>
                <w:rFonts w:hint="eastAsia" w:ascii="宋体" w:hAnsi="宋体" w:eastAsia="宋体" w:cs="宋体"/>
                <w:sz w:val="24"/>
                <w:highlight w:val="none"/>
              </w:rPr>
            </w:pPr>
            <w:r>
              <w:rPr>
                <w:rFonts w:hint="eastAsia" w:ascii="宋体" w:hAnsi="宋体" w:eastAsia="宋体" w:cs="宋体"/>
                <w:b w:val="0"/>
                <w:bCs/>
                <w:kern w:val="0"/>
                <w:sz w:val="24"/>
                <w:szCs w:val="28"/>
                <w:highlight w:val="none"/>
                <w:u w:val="none"/>
                <w:lang w:val="en-US" w:eastAsia="zh-CN" w:bidi="ar-SA"/>
              </w:rPr>
              <w:t>皖南医学院</w:t>
            </w:r>
          </w:p>
        </w:tc>
        <w:tc>
          <w:tcPr>
            <w:tcW w:w="2575" w:type="dxa"/>
            <w:noWrap w:val="0"/>
            <w:vAlign w:val="center"/>
          </w:tcPr>
          <w:p>
            <w:pPr>
              <w:jc w:val="center"/>
              <w:rPr>
                <w:rFonts w:hint="eastAsia" w:ascii="宋体" w:hAnsi="宋体" w:eastAsia="宋体" w:cs="宋体"/>
                <w:sz w:val="24"/>
                <w:highlight w:val="none"/>
              </w:rPr>
            </w:pPr>
          </w:p>
        </w:tc>
        <w:tc>
          <w:tcPr>
            <w:tcW w:w="810"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8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供货及安装期限</w:t>
            </w:r>
          </w:p>
        </w:tc>
        <w:tc>
          <w:tcPr>
            <w:tcW w:w="3424" w:type="dxa"/>
            <w:noWrap w:val="0"/>
            <w:vAlign w:val="center"/>
          </w:tcPr>
          <w:p>
            <w:pPr>
              <w:widowControl w:val="0"/>
              <w:spacing w:before="0" w:beforeAutospacing="0" w:after="0" w:afterAutospacing="0" w:line="360" w:lineRule="auto"/>
              <w:jc w:val="left"/>
              <w:rPr>
                <w:rFonts w:hint="eastAsia" w:ascii="宋体" w:hAnsi="宋体" w:eastAsia="宋体" w:cs="宋体"/>
                <w:sz w:val="24"/>
                <w:highlight w:val="none"/>
              </w:rPr>
            </w:pPr>
            <w:r>
              <w:rPr>
                <w:rFonts w:hint="eastAsia" w:ascii="宋体" w:hAnsi="宋体" w:eastAsia="宋体" w:cs="宋体"/>
                <w:b w:val="0"/>
                <w:bCs/>
                <w:kern w:val="0"/>
                <w:sz w:val="24"/>
                <w:szCs w:val="28"/>
                <w:highlight w:val="none"/>
                <w:u w:val="none"/>
                <w:lang w:val="en-US" w:eastAsia="zh-CN" w:bidi="ar-SA"/>
              </w:rPr>
              <w:t xml:space="preserve">合同生效后进口设备90天内完成供货及安装，国产设备30天内完成供货及安装。                      </w:t>
            </w:r>
          </w:p>
        </w:tc>
        <w:tc>
          <w:tcPr>
            <w:tcW w:w="2575" w:type="dxa"/>
            <w:noWrap w:val="0"/>
            <w:vAlign w:val="center"/>
          </w:tcPr>
          <w:p>
            <w:pPr>
              <w:pStyle w:val="37"/>
              <w:jc w:val="center"/>
              <w:rPr>
                <w:rFonts w:hint="eastAsia" w:ascii="宋体" w:hAnsi="宋体" w:eastAsia="宋体" w:cs="宋体"/>
                <w:highlight w:val="none"/>
              </w:rPr>
            </w:pPr>
          </w:p>
        </w:tc>
        <w:tc>
          <w:tcPr>
            <w:tcW w:w="810"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98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免费质保期</w:t>
            </w:r>
          </w:p>
        </w:tc>
        <w:tc>
          <w:tcPr>
            <w:tcW w:w="3424" w:type="dxa"/>
            <w:noWrap w:val="0"/>
            <w:vAlign w:val="center"/>
          </w:tcPr>
          <w:p>
            <w:pPr>
              <w:widowControl w:val="0"/>
              <w:spacing w:before="0" w:beforeAutospacing="0" w:after="0" w:afterAutospacing="0" w:line="360" w:lineRule="auto"/>
              <w:jc w:val="left"/>
              <w:rPr>
                <w:rFonts w:hint="eastAsia" w:ascii="宋体" w:hAnsi="宋体" w:eastAsia="宋体" w:cs="宋体"/>
                <w:sz w:val="24"/>
                <w:highlight w:val="none"/>
              </w:rPr>
            </w:pPr>
            <w:r>
              <w:rPr>
                <w:rFonts w:hint="eastAsia" w:ascii="宋体" w:hAnsi="宋体" w:eastAsia="宋体" w:cs="宋体"/>
                <w:b w:val="0"/>
                <w:bCs/>
                <w:kern w:val="0"/>
                <w:sz w:val="24"/>
                <w:szCs w:val="28"/>
                <w:highlight w:val="none"/>
                <w:u w:val="none"/>
                <w:lang w:val="en-US" w:eastAsia="zh-CN" w:bidi="ar-SA"/>
              </w:rPr>
              <w:t>验收合格后3年，采购需求清单另有规定按采购需求清单执行。</w:t>
            </w:r>
          </w:p>
        </w:tc>
        <w:tc>
          <w:tcPr>
            <w:tcW w:w="2575" w:type="dxa"/>
            <w:noWrap w:val="0"/>
            <w:vAlign w:val="center"/>
          </w:tcPr>
          <w:p>
            <w:pPr>
              <w:jc w:val="center"/>
              <w:rPr>
                <w:rFonts w:hint="eastAsia" w:ascii="宋体" w:hAnsi="宋体" w:eastAsia="宋体" w:cs="宋体"/>
                <w:sz w:val="24"/>
                <w:highlight w:val="none"/>
              </w:rPr>
            </w:pPr>
          </w:p>
        </w:tc>
        <w:tc>
          <w:tcPr>
            <w:tcW w:w="810" w:type="dxa"/>
            <w:noWrap w:val="0"/>
            <w:vAlign w:val="center"/>
          </w:tcPr>
          <w:p>
            <w:pPr>
              <w:jc w:val="center"/>
              <w:rPr>
                <w:rFonts w:hint="eastAsia" w:ascii="宋体" w:hAnsi="宋体" w:eastAsia="宋体" w:cs="宋体"/>
                <w:sz w:val="24"/>
                <w:highlight w:val="none"/>
              </w:rPr>
            </w:pPr>
          </w:p>
        </w:tc>
      </w:tr>
    </w:tbl>
    <w:p>
      <w:pPr>
        <w:widowControl w:val="0"/>
        <w:spacing w:line="360" w:lineRule="auto"/>
        <w:jc w:val="both"/>
        <w:rPr>
          <w:rFonts w:hint="eastAsia" w:ascii="宋体" w:hAnsi="宋体" w:eastAsia="宋体" w:cs="宋体"/>
          <w:b w:val="0"/>
          <w:kern w:val="2"/>
          <w:sz w:val="24"/>
          <w:highlight w:val="none"/>
          <w:lang w:val="en-US" w:eastAsia="zh-CN" w:bidi="ar-SA"/>
        </w:rPr>
      </w:pPr>
      <w:bookmarkStart w:id="472" w:name="_Toc1234769049_WPSOffice_Level2"/>
      <w:r>
        <w:rPr>
          <w:rFonts w:hint="eastAsia" w:ascii="宋体" w:hAnsi="宋体" w:eastAsia="宋体" w:cs="宋体"/>
          <w:b/>
          <w:bCs/>
          <w:kern w:val="2"/>
          <w:sz w:val="24"/>
          <w:highlight w:val="none"/>
          <w:lang w:val="en-US" w:eastAsia="zh-CN" w:bidi="ar-SA"/>
        </w:rPr>
        <w:t>投标人公章</w:t>
      </w:r>
      <w:r>
        <w:rPr>
          <w:rFonts w:hint="eastAsia" w:ascii="宋体" w:hAnsi="宋体" w:eastAsia="宋体" w:cs="宋体"/>
          <w:b w:val="0"/>
          <w:kern w:val="2"/>
          <w:sz w:val="24"/>
          <w:highlight w:val="none"/>
          <w:lang w:val="en-US" w:eastAsia="zh-CN" w:bidi="ar-SA"/>
        </w:rPr>
        <w:t>：</w:t>
      </w:r>
    </w:p>
    <w:p>
      <w:pPr>
        <w:spacing w:line="360" w:lineRule="auto"/>
        <w:ind w:firstLine="435"/>
        <w:rPr>
          <w:rFonts w:hint="eastAsia" w:ascii="宋体" w:hAnsi="宋体" w:eastAsia="宋体" w:cs="宋体"/>
          <w:b/>
          <w:sz w:val="24"/>
          <w:highlight w:val="none"/>
        </w:rPr>
        <w:sectPr>
          <w:pgSz w:w="11906" w:h="16838"/>
          <w:pgMar w:top="1440" w:right="1706" w:bottom="1440" w:left="1800" w:header="851" w:footer="992" w:gutter="0"/>
          <w:pgNumType w:fmt="decimal"/>
          <w:cols w:space="720" w:num="1"/>
          <w:docGrid w:type="lines" w:linePitch="312" w:charSpace="0"/>
        </w:sect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6.2技术响应表</w:t>
      </w:r>
      <w:bookmarkEnd w:id="472"/>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289"/>
        <w:gridCol w:w="5917"/>
        <w:gridCol w:w="4806"/>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257" w:type="pct"/>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55" w:type="pct"/>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bCs/>
                <w:sz w:val="24"/>
                <w:szCs w:val="24"/>
                <w:highlight w:val="none"/>
              </w:rPr>
              <w:t>货物名称</w:t>
            </w:r>
          </w:p>
        </w:tc>
        <w:tc>
          <w:tcPr>
            <w:tcW w:w="2088" w:type="pct"/>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sz w:val="24"/>
                <w:highlight w:val="none"/>
              </w:rPr>
              <w:t>招标文件规定的技术参数要求</w:t>
            </w:r>
          </w:p>
        </w:tc>
        <w:tc>
          <w:tcPr>
            <w:tcW w:w="1696" w:type="pct"/>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sz w:val="24"/>
                <w:highlight w:val="none"/>
              </w:rPr>
              <w:t>所投产品的品牌、型号及技术参数</w:t>
            </w:r>
          </w:p>
        </w:tc>
        <w:tc>
          <w:tcPr>
            <w:tcW w:w="502" w:type="pct"/>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55" w:type="pct"/>
            <w:noWrap w:val="0"/>
            <w:vAlign w:val="center"/>
          </w:tcPr>
          <w:p>
            <w:pPr>
              <w:spacing w:line="36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灭菌器</w:t>
            </w:r>
          </w:p>
        </w:tc>
        <w:tc>
          <w:tcPr>
            <w:tcW w:w="2088" w:type="pct"/>
            <w:noWrap w:val="0"/>
            <w:vAlign w:val="center"/>
          </w:tcPr>
          <w:p>
            <w:pPr>
              <w:pStyle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用途：专用于实验动物行业对动物饲料、饮用水、笼盒、衣物及其他饲养用品的灭菌处理。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容积：≥1300L；外形尺寸：宽≤1610mm，深≤1850mm，高≤2020mm。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主体结构：环形加强筋结构，内腔强度和稳定性更高；内壳为316L不锈钢，夹套、门板、门档条均采用304不锈钢材质，主体设计寿命≥10年（20000次灭菌循环）。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采用环形加强筋结构，全自动焊接机器人焊接（以保证焊缝质量），提供主体焊接照片。所生产柜体为自主焊接，不可委托第三方焊接加工（以保证焊缝质量）。</w:t>
            </w:r>
          </w:p>
          <w:p>
            <w:pPr>
              <w:pStyle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 密封门：电机齿轮链条驱动门板上下移动，侧开门式开启柜门。双门通道型、机动门、带有安全联锁装置、双门互锁以保证灭菌器前后区域的有效隔离。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门密封圈：高抗撕圆形硅胶条，装于主体密封槽内，与压缩气连接管路为金属固定管路，提供密封胶圈、压缩气管路照片证明。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设计压力：≥0.3Mpa，设计温度：≥144℃，夹层耐压试验压力≥0.5Mpa，提供制造商公开发布的资料或检测机构出具的检测报告加盖供应商公章。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控制系统：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8.1. 可编程逻辑控制器：运行过程中的数据通过打印机打印，预留电脑远程监控接口。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8.2. 触摸屏：彩色触摸屏人机操作界面，灭菌程序的压力、温度、时间等参数可根据需要自行设定。</w:t>
            </w:r>
          </w:p>
          <w:p>
            <w:pPr>
              <w:pStyle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 管理员、工艺员、操作员三级权限管理，保障设备正常运行。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程序选择：设备应有121℃饲料灭菌、121℃塑料物品灭菌、134℃金属物品灭菌、134℃织物灭菌、121℃开口容器液体灭菌、121℃固体废弃物灭菌、134℃垫料灭菌、134℃塑料物品灭菌、121℃快速液体程序、BD测试、真空测试、自定义程序。整个过程自动控制、有低温、高温报警和误操作保护提示，提供程序选择及运行界面照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设备保温要求：岩棉，厚度≥60mm；其表层温度不得高于45℃。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气动阀门：典型无故障开关次数≥400万次。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隔离密封墙：设备的后端应自带密封结构，以保证设备前后区域严格的隔离密封，提供设备密封结构的照片和密封性能测试报告扫描件并加盖供应商公章。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抽空装置：单级直连式水环真空泵，真空泵安装在设备的侧面，与主体保持一定的间距，此外，未避免水压不稳，应配置缓冲水箱，泵可以从缓冲水箱吸水，避免水压不稳造成的影响，提供图片。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 冷凝换热装置：板式换热器，换热效率≥95%，使用寿命长。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压缩气压力检测装置：压缩气压力检测装置，若气源低于0.4MPA，自动报警并退出程序。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 设备具有第三方机构灭菌效果检测报告，提供所投产品系列（或型号）的经CMA认证检测出具的检测报告扫描件并加盖供应商公章。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18. </w:t>
            </w:r>
            <w:r>
              <w:rPr>
                <w:rFonts w:hint="eastAsia" w:ascii="宋体" w:hAnsi="宋体" w:eastAsia="宋体" w:cs="宋体"/>
                <w:highlight w:val="none"/>
                <w:lang w:val="en-US" w:eastAsia="zh-CN"/>
              </w:rPr>
              <w:t>提供拟投产品生产厂家有效的</w:t>
            </w:r>
            <w:r>
              <w:rPr>
                <w:rFonts w:hint="eastAsia" w:ascii="宋体" w:hAnsi="宋体" w:eastAsia="宋体" w:cs="宋体"/>
                <w:i w:val="0"/>
                <w:iCs w:val="0"/>
                <w:color w:val="000000"/>
                <w:kern w:val="0"/>
                <w:sz w:val="21"/>
                <w:szCs w:val="21"/>
                <w:highlight w:val="none"/>
                <w:u w:val="none"/>
                <w:lang w:val="en-US" w:eastAsia="zh-CN" w:bidi="ar"/>
              </w:rPr>
              <w:t>《中华人民共和国特种设备生产许可证》（压力容器）的复印件（或扫描件）。</w:t>
            </w:r>
          </w:p>
          <w:p>
            <w:pPr>
              <w:pStyle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19. 售后要求：常驻售后服务人员不得少于1名，提供当地售后工程师名单及联系方式，售后服务人员在接到电话后，2小时响应，24小时内到位，重大紧急情况12小时内应到位</w:t>
            </w:r>
            <w:r>
              <w:rPr>
                <w:rFonts w:hint="eastAsia" w:ascii="宋体" w:hAnsi="宋体" w:eastAsia="宋体" w:cs="宋体"/>
                <w:i w:val="0"/>
                <w:iCs w:val="0"/>
                <w:color w:val="000000"/>
                <w:kern w:val="0"/>
                <w:sz w:val="21"/>
                <w:szCs w:val="21"/>
                <w:highlight w:val="none"/>
                <w:u w:val="none"/>
                <w:lang w:val="en-US" w:eastAsia="zh-CN" w:bidi="ar"/>
              </w:rPr>
              <w:t>，及时排除故障，保障动物房安全运行。</w:t>
            </w:r>
          </w:p>
          <w:p>
            <w:pPr>
              <w:pStyle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 空压机、软水机各1台，另配套供气及排水管道等正常运行时所需的必配件，保证货到即可安装运行，并保障设备运行使用情况良好。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 配置要求：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21.1. 灭菌器主机1台。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21.2. 消毒车1台。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21.3. 搬运车2台。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21.4. 空压机1台。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21.5. 软水机1台。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 其他要求：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22.1. 供应商在安装新设备前，应派专人确定好设备吊装位置和转运通道，负责拆除转运通道墙体和玻璃并恢复原状，拆除原先已有的整套灭菌器并搬离实验室放置指定地点。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22.2. 投标文件中提供针对本项目产品的售后服务书（格式自拟）加盖供应商公章。</w:t>
            </w:r>
          </w:p>
          <w:p>
            <w:pPr>
              <w:pStyle w:val="9"/>
              <w:rPr>
                <w:rFonts w:hint="eastAsia" w:ascii="宋体" w:hAnsi="宋体" w:eastAsia="宋体" w:cs="宋体"/>
                <w:kern w:val="2"/>
                <w:sz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22.3. 中标后签订合同前业主方可要求中标人提供所投品牌型号的设备进行技术指标及性能验证，并提供相关佐证材料原件。如所供货物与响应文件有出入，所有责任将由供应商自行负责。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22.4. 标注“★”的参数为核心指标，提供制造商公开发布的资料（如网站截图、产品彩页扫描件或技术白皮书等）或检测机构出具的检测报告（如参数中已有明确要求，以要求的为准）供验证，且作为验收时的标准。</w:t>
            </w:r>
          </w:p>
        </w:tc>
        <w:tc>
          <w:tcPr>
            <w:tcW w:w="1696" w:type="pct"/>
            <w:noWrap w:val="0"/>
            <w:vAlign w:val="top"/>
          </w:tcPr>
          <w:p>
            <w:pPr>
              <w:bidi w:val="0"/>
              <w:rPr>
                <w:rFonts w:hint="eastAsia" w:ascii="宋体" w:hAnsi="宋体" w:eastAsia="宋体" w:cs="宋体"/>
                <w:kern w:val="2"/>
                <w:sz w:val="20"/>
                <w:szCs w:val="20"/>
                <w:highlight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55" w:type="pct"/>
            <w:noWrap w:val="0"/>
            <w:vAlign w:val="center"/>
          </w:tcPr>
          <w:p>
            <w:pPr>
              <w:spacing w:line="36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冷冻组织研磨仪</w:t>
            </w:r>
          </w:p>
        </w:tc>
        <w:tc>
          <w:tcPr>
            <w:tcW w:w="2088" w:type="pct"/>
            <w:noWrap w:val="0"/>
            <w:vAlign w:val="center"/>
          </w:tcPr>
          <w:p>
            <w:pPr>
              <w:pStyle w:val="9"/>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1、用于生物样品的样品前处理，大批量自动化的快速抽提基因组，15秒内最大处理量同时可以处理24个样品。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2、可同时处理24个2ml研磨管，和12个5ml研磨管，6个（7-15）ml研磨管，2×25ml， 2×50ml（钢罐），可以任意定做各种规格研磨管或钢罐。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3、液晶屏显示，可以方便直观的操作，可升级成触摸屏显示操作。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★4、工作方式：垂直上下研磨珠运动方式，保证样品处理的最大化和瞬间的粉碎效果。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5、最大进料尺寸：无要求，根据适配器调节，最终出料粒度：约5µm。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6、不锈钢腔体圆角和斜坡底座一体成型设计，研磨腔内不锈钢板须为压模成型，进一步保证腔体不变形，且易于清洁，且有降音装置。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7、研磨平台数（可接纳研磨罐数） &gt;2。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8、带自动中心定位的紧固装置：是。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9、均质速度：0—70 HZ/秒，工作时间 ：0秒-9999秒，用户可自行设定。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★10、在减震技术上采用“双层减震结构”技术，确保在高速研磨工作时，仪器处于一个稳定状态，不会对于外部仪器产生干扰及保证整体环境的安全性。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★11、固定研磨管部分，采用“简便式试管压紧”技术，降低破管的风险，再配以可靠的压紧技术对于高强度的研磨工作，能保证研磨管的完整度高于99.995%。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12、研磨球材料：合金钢、铬钢、氧化锆、碳化钨、石英砂。研磨球直径： 0.1—30mm。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13、加速：在2秒内达到最大速度。减速：在2秒内达到最低速度。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采用“多种物质粉碎提取”和“快速研磨功能的细胞粉碎装置”技术，对于将任何来源（包括土壤、植物和动物的组织/器官、细菌、酵母、真菌、孢子、古生物标本等）样本进行研磨粉碎。进而可以对的原始DNA、RNA和蛋白质进行提取和纯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15、噪音等级：&lt;55db。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16、研磨方式：湿磨，干磨，低温研磨都可。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17、可随意更换适配器，有十四种适配器可供选配，可接受任意规格定制。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18、配套离心管开盖工具，可以快速的协助工作人员打开离心管，避免污染。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19、具有升级成超低温液氮冷冻或空气制冷机制冷的能力。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20、配置要求：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20.1、主机 一台。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20.2、2ml适配器1套、2ml制冷适配器1套。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20.3、5号不锈钢研磨珠一瓶、3号不锈钢研磨珠一瓶。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20.4、2ml研磨管一袋。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20.5、离心管开盖工具一个。</w:t>
            </w:r>
          </w:p>
          <w:p>
            <w:pPr>
              <w:pStyle w:val="9"/>
              <w:rPr>
                <w:rFonts w:hint="eastAsia" w:ascii="宋体" w:hAnsi="宋体" w:eastAsia="宋体" w:cs="宋体"/>
                <w:kern w:val="2"/>
                <w:sz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21、标注“★”的参数为核心指标，提供制造商公开发布的资料（如网站截图、产品彩页扫描件或技术白皮书等）或检测机构出具的检测报告（如参数中已有明确要求，以要求的为准），且作为验收时的标准。</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55" w:type="pct"/>
            <w:noWrap w:val="0"/>
            <w:vAlign w:val="center"/>
          </w:tcPr>
          <w:p>
            <w:pPr>
              <w:spacing w:line="36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数显钟摆脱色摇床</w:t>
            </w:r>
          </w:p>
        </w:tc>
        <w:tc>
          <w:tcPr>
            <w:tcW w:w="2088"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1、转速范围：0-100 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2、摇摆模式摆动角度：20°。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3、停平功能：有。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4、定时功能：0-999h59min。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5、数码显示：时间 转速数码显示。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6、最大载重：约2.5kg。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7、电机参数：步进电机。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8、控制方式：程序控制芯片。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9、托盘尺寸：约317×245mm。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10、蜂鸣提示：有。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11、功率：约20W。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12、控制器尺寸：约35mm。</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5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数显水平脱色摇床</w:t>
            </w:r>
          </w:p>
        </w:tc>
        <w:tc>
          <w:tcPr>
            <w:tcW w:w="2088"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1、转速范围：0-200 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2、平面模式回转半径：约10mm。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3、停平功能：有。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4、定时功能：0-999h59min。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5、数码显示：时间 转速数码显示。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6、最大载重：约2.5kg。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7、电机参数：步进电机。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8、控制方式：程序控制芯片。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9、托盘尺寸：约317×245mm。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10、蜂鸣提示：有。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11、功率：约20W。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12、控制器尺寸：约35mm。</w:t>
            </w:r>
          </w:p>
        </w:tc>
        <w:tc>
          <w:tcPr>
            <w:tcW w:w="1696" w:type="pct"/>
            <w:noWrap w:val="0"/>
            <w:vAlign w:val="top"/>
          </w:tcPr>
          <w:p>
            <w:pPr>
              <w:rPr>
                <w:rFonts w:hint="eastAsia" w:ascii="宋体" w:hAnsi="宋体" w:eastAsia="宋体" w:cs="宋体"/>
                <w:kern w:val="2"/>
                <w:sz w:val="20"/>
                <w:szCs w:val="13"/>
                <w:highlight w:val="none"/>
                <w:vertAlign w:val="baseli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45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pH智能酸度计</w:t>
            </w:r>
          </w:p>
        </w:tc>
        <w:tc>
          <w:tcPr>
            <w:tcW w:w="2088"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1、PH测量范围：0.00-14.00。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2、PH分辨率：≤0.01。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3、PH精度： ≤0.01。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4、mV测量范围：≤±1500.0mV。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5、mV分辨率：≤±0.1mV。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6、mV精度：≤±0.4mV。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7、温度范围：-5.0～105.0℃。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8、分辨率：≤0.1℃。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9、精度：≤0.2℃。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10、轻便型，易于操作。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11、自动1键校准及电极检测。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12、16种标定液自动识别记忆。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13、自动三点校准。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14、大LCD显示pH/温度/标准点。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15、配置三合一电极。</w:t>
            </w:r>
          </w:p>
        </w:tc>
        <w:tc>
          <w:tcPr>
            <w:tcW w:w="1696" w:type="pct"/>
            <w:noWrap w:val="0"/>
            <w:vAlign w:val="top"/>
          </w:tcPr>
          <w:p>
            <w:pPr>
              <w:bidi w:val="0"/>
              <w:rPr>
                <w:rFonts w:hint="eastAsia" w:ascii="宋体" w:hAnsi="宋体" w:eastAsia="宋体" w:cs="宋体"/>
                <w:color w:val="000000"/>
                <w:kern w:val="2"/>
                <w:sz w:val="20"/>
                <w:szCs w:val="20"/>
                <w:highlight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455" w:type="pct"/>
            <w:noWrap w:val="0"/>
            <w:vAlign w:val="center"/>
          </w:tcPr>
          <w:p>
            <w:pPr>
              <w:spacing w:line="36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掌上离心机</w:t>
            </w:r>
          </w:p>
        </w:tc>
        <w:tc>
          <w:tcPr>
            <w:tcW w:w="2088"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1、复合一体转子，0.1mL、0.2mL 8 联管，0.5mL、1.5mL，2mL EP 管可同时离心。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2、转速：5000rpm，离心力：约1700g，防打滑空转。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3、开盖急停与缓停两种停止模式可选，满足不同使用场景需求。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4、无刷电机，寿命长。</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455" w:type="pct"/>
            <w:noWrap w:val="0"/>
            <w:vAlign w:val="center"/>
          </w:tcPr>
          <w:p>
            <w:pPr>
              <w:spacing w:line="36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掌上离心机（PCR反应专用型）</w:t>
            </w:r>
          </w:p>
        </w:tc>
        <w:tc>
          <w:tcPr>
            <w:tcW w:w="2088"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1、容量：2片96孔PCR板。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2、最大相对离心力：550g。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3、电机：直流无刷。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4、转子：垂直固定。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5、转速：2200Rpm。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6、噪音：≤55dB。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7、降速时间：≤10S(2200-0Rpm)。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8、加速时间：≤10S(0-2200Rpm)。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9、功率：约45W。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10、开盖停机：支持。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11、停机按钮：自复位。</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8</w:t>
            </w:r>
          </w:p>
        </w:tc>
        <w:tc>
          <w:tcPr>
            <w:tcW w:w="45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移液器</w:t>
            </w:r>
          </w:p>
        </w:tc>
        <w:tc>
          <w:tcPr>
            <w:tcW w:w="2088" w:type="pct"/>
            <w:noWrap w:val="0"/>
            <w:vAlign w:val="center"/>
          </w:tcPr>
          <w:p>
            <w:pPr>
              <w:widowControl/>
              <w:adjustRightInd w:val="0"/>
              <w:snapToGrid w:val="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1、量程要求：0.1-2.5ul、0.5-10ul、2-20ul、10-100ul、20-200ul等各1支，100-1000ul，3支。共计8支为1套。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2、三点校正，可根据按钮颜色选择适配标准吸嘴。</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★3、可整支高温高压灭菌和紫外线灭菌，坚固耐用，耐高温抗腐蚀，操作更安全。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4、伸缩式弹性吸嘴设计，确保吸头装配的气密性和移液均一性。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★5、具有密度调节窗口，适用于甘油、氯化铯等不同密度的液体，通用性更广泛。</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★6、四位数体积显示，可精确至小数点后两位数字，操作时显示屏正对操作者。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7、卓越人体工程学设计，重量小于80g。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bCs/>
                <w:color w:val="000000"/>
                <w:kern w:val="0"/>
                <w:sz w:val="21"/>
                <w:szCs w:val="21"/>
                <w:highlight w:val="none"/>
                <w:lang w:bidi="ar"/>
              </w:rPr>
              <w:t>★9、</w:t>
            </w:r>
            <w:r>
              <w:rPr>
                <w:rFonts w:hint="eastAsia" w:ascii="宋体" w:hAnsi="宋体" w:eastAsia="宋体" w:cs="宋体"/>
                <w:b/>
                <w:bCs/>
                <w:color w:val="000000"/>
                <w:kern w:val="0"/>
                <w:sz w:val="21"/>
                <w:szCs w:val="21"/>
                <w:highlight w:val="none"/>
                <w:lang w:val="en-US" w:eastAsia="zh-CN" w:bidi="ar"/>
              </w:rPr>
              <w:t>如为</w:t>
            </w:r>
            <w:r>
              <w:rPr>
                <w:rFonts w:hint="eastAsia" w:ascii="宋体" w:hAnsi="宋体" w:eastAsia="宋体" w:cs="宋体"/>
                <w:b/>
                <w:bCs/>
                <w:color w:val="000000"/>
                <w:kern w:val="0"/>
                <w:sz w:val="21"/>
                <w:szCs w:val="21"/>
                <w:highlight w:val="none"/>
                <w:lang w:bidi="ar"/>
              </w:rPr>
              <w:t>原装进口产品，</w:t>
            </w:r>
            <w:r>
              <w:rPr>
                <w:rFonts w:hint="eastAsia" w:ascii="宋体" w:hAnsi="宋体" w:eastAsia="宋体" w:cs="宋体"/>
                <w:b/>
                <w:bCs/>
                <w:color w:val="000000"/>
                <w:kern w:val="0"/>
                <w:sz w:val="21"/>
                <w:szCs w:val="21"/>
                <w:highlight w:val="none"/>
                <w:lang w:val="en-US" w:eastAsia="zh-CN" w:bidi="ar"/>
              </w:rPr>
              <w:t>须</w:t>
            </w:r>
            <w:r>
              <w:rPr>
                <w:rFonts w:hint="eastAsia" w:ascii="宋体" w:hAnsi="宋体" w:eastAsia="宋体" w:cs="宋体"/>
                <w:b/>
                <w:bCs/>
                <w:color w:val="000000"/>
                <w:kern w:val="0"/>
                <w:sz w:val="21"/>
                <w:szCs w:val="21"/>
                <w:highlight w:val="none"/>
                <w:lang w:bidi="ar"/>
              </w:rPr>
              <w:t>提供生产厂家（或国内代理商）针对本项目出具的授权和售后服务承诺扫描件。</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9</w:t>
            </w:r>
          </w:p>
        </w:tc>
        <w:tc>
          <w:tcPr>
            <w:tcW w:w="45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水平电泳槽</w:t>
            </w:r>
          </w:p>
        </w:tc>
        <w:tc>
          <w:tcPr>
            <w:tcW w:w="2088" w:type="pct"/>
            <w:noWrap w:val="0"/>
            <w:vAlign w:val="center"/>
          </w:tcPr>
          <w:p>
            <w:pPr>
              <w:widowControl/>
              <w:numPr>
                <w:ilvl w:val="0"/>
                <w:numId w:val="0"/>
              </w:numPr>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QuickSnap* 电极拆卸方便，简化清洁工作。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2、底座侧面的箭头指示运行方向，可确保正确的凝胶方向。</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3、彩色编码且带标记的电极和带标记的底座确保盖子可以正确安装在底座上</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基部拉环设计，可轻松移除盖子，从而减少缓冲液溢出量，还可防止盖位置不正确。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4、反向兼容设计确保这些电泳槽兼容较早型号的配件。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5、透明塑料结构，确保实时便捷地查看实验进程。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6、具有荧光标尺的紫外透明凝胶托盘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7、铺制门可方便的在凝胶槽内直接铺制，或者用于无胶条式灌制的可选制胶盘。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8、可满足一切需求的电泳梳（高度固定的嵌入式梳、可调节高度的电泳梳和制备电泳梳）。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9、电泳槽尺寸（宽 x 长 x 高）：9.2 x 25.5 x 5.6 厘米。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10、凝胶托盘尺寸 (OD)（宽 x 长）：7 x 7 厘米     7 x 10 厘米。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11、是否兼容 ReadyAgarose™ 凝胶：是，8 孔、12 孔、2 x 8 孔。</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12、样本通量：8–30。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13、基本缓冲液需要量：270 ml。</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14、缓冲液再循环：否。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15、溴酚蓝迁移：4.5 cm/hr（75 V 下）。</w:t>
            </w:r>
          </w:p>
          <w:p>
            <w:pPr>
              <w:widowControl/>
              <w:numPr>
                <w:ilvl w:val="0"/>
                <w:numId w:val="0"/>
              </w:numPr>
              <w:ind w:left="0" w:leftChars="0" w:firstLine="0" w:firstLineChar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bidi="ar"/>
              </w:rPr>
              <w:t>★16、</w:t>
            </w:r>
            <w:r>
              <w:rPr>
                <w:rFonts w:hint="eastAsia" w:ascii="宋体" w:hAnsi="宋体" w:eastAsia="宋体" w:cs="宋体"/>
                <w:b/>
                <w:bCs/>
                <w:color w:val="000000"/>
                <w:kern w:val="0"/>
                <w:sz w:val="21"/>
                <w:szCs w:val="21"/>
                <w:highlight w:val="none"/>
                <w:lang w:val="en-US" w:eastAsia="zh-CN" w:bidi="ar"/>
              </w:rPr>
              <w:t>如为</w:t>
            </w:r>
            <w:r>
              <w:rPr>
                <w:rFonts w:hint="eastAsia" w:ascii="宋体" w:hAnsi="宋体" w:eastAsia="宋体" w:cs="宋体"/>
                <w:b/>
                <w:bCs/>
                <w:color w:val="000000"/>
                <w:kern w:val="0"/>
                <w:sz w:val="21"/>
                <w:szCs w:val="21"/>
                <w:highlight w:val="none"/>
                <w:lang w:bidi="ar"/>
              </w:rPr>
              <w:t>原装进口产品，须提供生产厂家（或国内代理商）针对本项目出具的授权和售后服务承诺扫描件。</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10</w:t>
            </w:r>
          </w:p>
        </w:tc>
        <w:tc>
          <w:tcPr>
            <w:tcW w:w="45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摇床</w:t>
            </w:r>
          </w:p>
        </w:tc>
        <w:tc>
          <w:tcPr>
            <w:tcW w:w="2088" w:type="pct"/>
            <w:noWrap w:val="0"/>
            <w:vAlign w:val="center"/>
          </w:tcPr>
          <w:p>
            <w:pPr>
              <w:widowControl/>
              <w:adjustRightInd w:val="0"/>
              <w:snapToGrid w:val="0"/>
              <w:jc w:val="left"/>
              <w:textAlignment w:val="center"/>
              <w:rPr>
                <w:rFonts w:hint="eastAsia" w:ascii="宋体" w:hAnsi="宋体" w:eastAsia="宋体" w:cs="宋体"/>
                <w:sz w:val="21"/>
                <w:szCs w:val="21"/>
                <w:highlight w:val="none"/>
                <w:lang w:bidi="ar"/>
              </w:rPr>
            </w:pPr>
            <w:r>
              <w:rPr>
                <w:rFonts w:hint="eastAsia" w:ascii="宋体" w:hAnsi="宋体" w:eastAsia="宋体" w:cs="宋体"/>
                <w:color w:val="000000"/>
                <w:sz w:val="21"/>
                <w:szCs w:val="21"/>
                <w:highlight w:val="none"/>
                <w:lang w:bidi="ar"/>
              </w:rPr>
              <w:t>性能概述：</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1、侧开门设计，方便置于试验台上操作。</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 xml:space="preserve">2、三维一体的偏三轮驱动，运转平滑、稳定、耐久、可靠 。                  </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3、静音风扇设计和强制对流方式，确保了良好的恒温效果。</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4、具有超温报警功能及异常情况自动断电功能。</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5、具有断电恢复功能，避免因停电、死机而造成的数据丢失问题。</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6、中空钢化玻璃门，方便随时在不开门情况下在各个角度观察箱体内部情况。</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7、流线型外观，美观大方；内衬采用圆弧角（R角）镜面不锈钢设计，便于清洁，不容易滋生细菌、防腐蚀；外壳采用静电喷塑。</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8、配备滤波器磁环，减少外界和自身对机器稳定性的干扰。</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独特性能：</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1、LCD触摸屏，设定温度、转速、时间和实测温度、转速、剩余时间在同一界面显示，不用相互切换界面，观察更直观；操作界面加密锁定功能，杜绝重复操作和人为误操作；可自由设定摇板正转或反转。</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2、拥有数据记录功能，每分钟记录一次数据，可记录近三个月的数据，并且可显示温度、速度曲线，方便数据的分析。</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3、配备高质伺服电机，控制速度精确，高速性能好，稳定性强。</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4、夹具为一次成型塑胶夹具，方便单手取放样品瓶。</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技术指标：</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1、空载振荡频率：10-300rpm。</w:t>
            </w:r>
          </w:p>
          <w:p>
            <w:pPr>
              <w:widowControl/>
              <w:adjustRightInd w:val="0"/>
              <w:snapToGrid w:val="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bidi="ar"/>
              </w:rPr>
              <w:t>2、振荡频率精度：±1rpm。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3、摇板振幅：Ф26mm。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4、温控范围：室温+5～60℃。</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5、温度调节精度：±0.1℃。</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6、温度均匀度：±1℃ (at37℃)。</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7、箱体内部：R角（圆弧角）。</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8、显示方式：LCD（触摸屏）。</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9、对流方式：强制对流。</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10、控制方式：P．I．D微电脑智能控制。</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11、最大容量（不锈钢夹具）：250ml×12 或500ml×9或1000ml×4。</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12、最大容量（塑胶夹具）：250ml×12 或500ml×9或1000ml×4。</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13、定时范围：0-999.9小时。</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14、摇板尺寸（长×宽）：344mm×307mm。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15、外型尺寸（长×宽×高）：650mm×480mm×620mm。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16、空载重量（约）：64kg。</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17、噪　　音：低于55dB。</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18、夹具板到顶部距离：342mm。</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11</w:t>
            </w:r>
          </w:p>
        </w:tc>
        <w:tc>
          <w:tcPr>
            <w:tcW w:w="45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电动移液器</w:t>
            </w:r>
          </w:p>
        </w:tc>
        <w:tc>
          <w:tcPr>
            <w:tcW w:w="2088" w:type="pct"/>
            <w:noWrap w:val="0"/>
            <w:vAlign w:val="center"/>
          </w:tcPr>
          <w:p>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自动识别 Combitip advanced 分液管，显示屏直接显示相应分液体积和步数，无需换算。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2.显示屏显示分液步数，具有计步器功能，即使受干扰，分液操作也不会出错。</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3.可单手脱卸及安装分液管（当使用 Combitip rack 盒时），手不接触分液管，防止污染。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4.分液范围广（1 μL-10 mL），一次吸液最高100次分液。</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5.可单手转动选项盘选择分液体积，每个分液管可设定20种不同体积。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6.运动传感器：未使用时自动关闭，使用时自动开启，节约电能。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7.手指挂钩舒适地支撑手部，确保长时间舒适的分液操作。</w:t>
            </w:r>
          </w:p>
          <w:p>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★8、</w:t>
            </w:r>
            <w:r>
              <w:rPr>
                <w:rFonts w:hint="eastAsia" w:ascii="宋体" w:hAnsi="宋体" w:eastAsia="宋体" w:cs="宋体"/>
                <w:b/>
                <w:bCs/>
                <w:color w:val="000000"/>
                <w:kern w:val="0"/>
                <w:sz w:val="21"/>
                <w:szCs w:val="21"/>
                <w:highlight w:val="none"/>
                <w:lang w:val="en-US" w:eastAsia="zh-CN" w:bidi="ar"/>
              </w:rPr>
              <w:t>如为</w:t>
            </w:r>
            <w:r>
              <w:rPr>
                <w:rFonts w:hint="eastAsia" w:ascii="宋体" w:hAnsi="宋体" w:eastAsia="宋体" w:cs="宋体"/>
                <w:b/>
                <w:bCs/>
                <w:color w:val="000000"/>
                <w:kern w:val="0"/>
                <w:sz w:val="21"/>
                <w:szCs w:val="21"/>
                <w:highlight w:val="none"/>
                <w:lang w:bidi="ar"/>
              </w:rPr>
              <w:t>原装进口产品，须提供生产厂家（或国内代理商）针对本项目出具的授权和售后服务承诺扫描件。</w:t>
            </w:r>
          </w:p>
        </w:tc>
        <w:tc>
          <w:tcPr>
            <w:tcW w:w="1696" w:type="pct"/>
            <w:noWrap w:val="0"/>
            <w:vAlign w:val="top"/>
          </w:tcPr>
          <w:p>
            <w:pPr>
              <w:rPr>
                <w:rFonts w:hint="eastAsia" w:ascii="宋体" w:hAnsi="宋体" w:eastAsia="宋体" w:cs="宋体"/>
                <w:i w:val="0"/>
                <w:iCs w:val="0"/>
                <w:color w:val="000000"/>
                <w:kern w:val="2"/>
                <w:sz w:val="22"/>
                <w:szCs w:val="22"/>
                <w:highlight w:val="none"/>
                <w:u w:val="none"/>
                <w:lang w:val="en-US" w:eastAsia="zh-CN" w:bidi="ar-SA"/>
              </w:rPr>
            </w:pPr>
          </w:p>
        </w:tc>
        <w:tc>
          <w:tcPr>
            <w:tcW w:w="502" w:type="pct"/>
            <w:noWrap w:val="0"/>
            <w:vAlign w:val="center"/>
          </w:tcPr>
          <w:p>
            <w:pPr>
              <w:jc w:val="center"/>
              <w:rPr>
                <w:rFonts w:hint="eastAsia" w:ascii="宋体" w:hAnsi="宋体" w:eastAsia="宋体" w:cs="宋体"/>
                <w:sz w:val="24"/>
                <w:highlight w:val="none"/>
              </w:rPr>
            </w:pPr>
          </w:p>
        </w:tc>
      </w:tr>
    </w:tbl>
    <w:p>
      <w:pPr>
        <w:spacing w:line="360" w:lineRule="auto"/>
        <w:ind w:firstLine="435"/>
        <w:rPr>
          <w:rFonts w:hint="eastAsia" w:ascii="宋体" w:hAnsi="宋体" w:eastAsia="宋体" w:cs="宋体"/>
          <w:b/>
          <w:sz w:val="24"/>
          <w:highlight w:val="none"/>
        </w:rPr>
      </w:pPr>
    </w:p>
    <w:p>
      <w:pPr>
        <w:widowControl w:val="0"/>
        <w:spacing w:line="360" w:lineRule="auto"/>
        <w:jc w:val="both"/>
        <w:rPr>
          <w:rFonts w:hint="eastAsia" w:ascii="宋体" w:hAnsi="宋体" w:eastAsia="宋体" w:cs="宋体"/>
          <w:b w:val="0"/>
          <w:kern w:val="2"/>
          <w:sz w:val="24"/>
          <w:highlight w:val="none"/>
          <w:lang w:val="en-US" w:eastAsia="zh-CN" w:bidi="ar-SA"/>
        </w:rPr>
      </w:pPr>
      <w:bookmarkStart w:id="473" w:name="_Toc729703977_WPSOffice_Level2"/>
      <w:r>
        <w:rPr>
          <w:rFonts w:hint="eastAsia" w:ascii="宋体" w:hAnsi="宋体" w:eastAsia="宋体" w:cs="宋体"/>
          <w:b/>
          <w:bCs/>
          <w:kern w:val="2"/>
          <w:sz w:val="24"/>
          <w:highlight w:val="none"/>
          <w:lang w:val="en-US" w:eastAsia="zh-CN" w:bidi="ar-SA"/>
        </w:rPr>
        <w:t>投标人公章</w:t>
      </w:r>
      <w:r>
        <w:rPr>
          <w:rFonts w:hint="eastAsia" w:ascii="宋体" w:hAnsi="宋体" w:eastAsia="宋体" w:cs="宋体"/>
          <w:b w:val="0"/>
          <w:kern w:val="2"/>
          <w:sz w:val="24"/>
          <w:highlight w:val="none"/>
          <w:lang w:val="en-US" w:eastAsia="zh-CN" w:bidi="ar-SA"/>
        </w:rPr>
        <w:t>：</w:t>
      </w:r>
    </w:p>
    <w:p>
      <w:pPr>
        <w:spacing w:line="360" w:lineRule="auto"/>
        <w:ind w:firstLine="435"/>
        <w:rPr>
          <w:rFonts w:hint="eastAsia" w:ascii="宋体" w:hAnsi="宋体" w:eastAsia="宋体" w:cs="宋体"/>
          <w:b/>
          <w:sz w:val="24"/>
          <w:highlight w:val="none"/>
        </w:rPr>
        <w:sectPr>
          <w:pgSz w:w="16838" w:h="11906" w:orient="landscape"/>
          <w:pgMar w:top="1800" w:right="1440" w:bottom="1706" w:left="1440" w:header="851" w:footer="992" w:gutter="0"/>
          <w:pgNumType w:fmt="decimal"/>
          <w:cols w:space="720" w:num="1"/>
          <w:docGrid w:type="lines" w:linePitch="312" w:charSpace="0"/>
        </w:sect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6.3货物说明一览表</w:t>
      </w:r>
      <w:bookmarkEnd w:id="473"/>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20" w:type="dxa"/>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bCs/>
                <w:sz w:val="24"/>
                <w:szCs w:val="24"/>
                <w:highlight w:val="none"/>
              </w:rPr>
              <w:t>货物名称</w:t>
            </w:r>
          </w:p>
        </w:tc>
        <w:tc>
          <w:tcPr>
            <w:tcW w:w="1420" w:type="dxa"/>
            <w:noWrap w:val="0"/>
            <w:vAlign w:val="center"/>
          </w:tcPr>
          <w:p>
            <w:pPr>
              <w:pStyle w:val="13"/>
              <w:jc w:val="center"/>
              <w:rPr>
                <w:rFonts w:hint="eastAsia" w:ascii="宋体" w:hAnsi="宋体" w:eastAsia="宋体" w:cs="宋体"/>
                <w:b/>
                <w:sz w:val="24"/>
                <w:highlight w:val="none"/>
              </w:rPr>
            </w:pPr>
          </w:p>
        </w:tc>
        <w:tc>
          <w:tcPr>
            <w:tcW w:w="1421" w:type="dxa"/>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bCs/>
                <w:sz w:val="24"/>
                <w:szCs w:val="24"/>
                <w:highlight w:val="none"/>
              </w:rPr>
              <w:t>品牌型号</w:t>
            </w:r>
          </w:p>
        </w:tc>
        <w:tc>
          <w:tcPr>
            <w:tcW w:w="1420" w:type="dxa"/>
            <w:noWrap w:val="0"/>
            <w:vAlign w:val="center"/>
          </w:tcPr>
          <w:p>
            <w:pPr>
              <w:pStyle w:val="13"/>
              <w:jc w:val="center"/>
              <w:rPr>
                <w:rFonts w:hint="eastAsia" w:ascii="宋体" w:hAnsi="宋体" w:eastAsia="宋体" w:cs="宋体"/>
                <w:b/>
                <w:sz w:val="24"/>
                <w:highlight w:val="none"/>
              </w:rPr>
            </w:pPr>
          </w:p>
        </w:tc>
        <w:tc>
          <w:tcPr>
            <w:tcW w:w="1420" w:type="dxa"/>
            <w:noWrap w:val="0"/>
            <w:vAlign w:val="center"/>
          </w:tcPr>
          <w:p>
            <w:pPr>
              <w:pStyle w:val="13"/>
              <w:jc w:val="center"/>
              <w:rPr>
                <w:rFonts w:hint="eastAsia" w:ascii="宋体" w:hAnsi="宋体" w:eastAsia="宋体" w:cs="宋体"/>
                <w:b/>
                <w:sz w:val="24"/>
                <w:highlight w:val="none"/>
              </w:rPr>
            </w:pPr>
            <w:r>
              <w:rPr>
                <w:rFonts w:hint="eastAsia" w:ascii="宋体" w:hAnsi="宋体" w:eastAsia="宋体" w:cs="宋体"/>
                <w:b/>
                <w:bCs/>
                <w:sz w:val="24"/>
                <w:szCs w:val="24"/>
                <w:highlight w:val="none"/>
              </w:rPr>
              <w:t>数量</w:t>
            </w:r>
          </w:p>
        </w:tc>
        <w:tc>
          <w:tcPr>
            <w:tcW w:w="1421" w:type="dxa"/>
            <w:noWrap w:val="0"/>
            <w:vAlign w:val="center"/>
          </w:tcPr>
          <w:p>
            <w:pPr>
              <w:pStyle w:val="13"/>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8522" w:type="dxa"/>
            <w:gridSpan w:val="6"/>
            <w:noWrap w:val="0"/>
            <w:vAlign w:val="top"/>
          </w:tcPr>
          <w:p>
            <w:pPr>
              <w:rPr>
                <w:rFonts w:hint="eastAsia" w:ascii="宋体" w:hAnsi="宋体" w:eastAsia="宋体" w:cs="宋体"/>
                <w:sz w:val="24"/>
                <w:highlight w:val="none"/>
              </w:rPr>
            </w:pPr>
            <w:r>
              <w:rPr>
                <w:rFonts w:hint="eastAsia" w:ascii="宋体" w:hAnsi="宋体" w:eastAsia="宋体" w:cs="宋体"/>
                <w:sz w:val="24"/>
                <w:highlight w:val="none"/>
              </w:rPr>
              <w:t>所投产品的技术参数及性能说明：</w:t>
            </w:r>
          </w:p>
        </w:tc>
      </w:tr>
    </w:tbl>
    <w:p>
      <w:pPr>
        <w:pStyle w:val="14"/>
        <w:spacing w:line="360" w:lineRule="auto"/>
        <w:rPr>
          <w:rFonts w:hint="eastAsia" w:ascii="宋体" w:hAnsi="宋体" w:eastAsia="宋体" w:cs="宋体"/>
          <w:b w:val="0"/>
          <w:sz w:val="24"/>
          <w:highlight w:val="none"/>
        </w:rPr>
      </w:pPr>
      <w:r>
        <w:rPr>
          <w:rFonts w:hint="eastAsia" w:ascii="宋体" w:hAnsi="宋体" w:eastAsia="宋体" w:cs="宋体"/>
          <w:bCs/>
          <w:sz w:val="24"/>
          <w:highlight w:val="none"/>
        </w:rPr>
        <w:t>投标人公章</w:t>
      </w:r>
      <w:r>
        <w:rPr>
          <w:rFonts w:hint="eastAsia" w:ascii="宋体" w:hAnsi="宋体" w:eastAsia="宋体" w:cs="宋体"/>
          <w:b w:val="0"/>
          <w:sz w:val="24"/>
          <w:highlight w:val="none"/>
        </w:rPr>
        <w:t>：</w:t>
      </w:r>
    </w:p>
    <w:p>
      <w:pPr>
        <w:pStyle w:val="14"/>
        <w:spacing w:line="360" w:lineRule="auto"/>
        <w:jc w:val="left"/>
        <w:outlineLvl w:val="9"/>
        <w:rPr>
          <w:rFonts w:hint="eastAsia" w:ascii="宋体" w:hAnsi="宋体" w:eastAsia="宋体" w:cs="宋体"/>
          <w:b/>
          <w:bCs w:val="0"/>
          <w:sz w:val="21"/>
          <w:szCs w:val="21"/>
          <w:highlight w:val="none"/>
        </w:rPr>
      </w:pPr>
    </w:p>
    <w:p>
      <w:pPr>
        <w:pStyle w:val="14"/>
        <w:spacing w:line="360" w:lineRule="auto"/>
        <w:jc w:val="center"/>
        <w:outlineLvl w:val="1"/>
        <w:rPr>
          <w:rFonts w:ascii="Arial" w:hAnsi="Arial" w:eastAsia="方正黑体_GBK" w:cs="Arial"/>
          <w:b w:val="0"/>
          <w:bCs/>
          <w:kern w:val="2"/>
          <w:sz w:val="28"/>
          <w:szCs w:val="32"/>
          <w:highlight w:val="none"/>
          <w:lang w:val="en-US" w:eastAsia="zh-CN" w:bidi="ar-SA"/>
        </w:rPr>
      </w:pPr>
      <w:bookmarkStart w:id="474" w:name="_Toc1527156136"/>
      <w:bookmarkStart w:id="475" w:name="_Toc1684543012"/>
      <w:bookmarkStart w:id="476" w:name="_Toc1530247262_WPSOffice_Level1"/>
      <w:bookmarkStart w:id="477" w:name="_Toc682948174"/>
      <w:bookmarkStart w:id="478" w:name="_Toc1804539760"/>
      <w:bookmarkStart w:id="479" w:name="_Toc1666463958"/>
      <w:bookmarkStart w:id="480" w:name="_Toc1320545805"/>
      <w:bookmarkStart w:id="481" w:name="_Toc1906439706"/>
      <w:r>
        <w:rPr>
          <w:rFonts w:ascii="Arial" w:hAnsi="Arial" w:eastAsia="方正黑体_GBK" w:cs="Arial"/>
          <w:b w:val="0"/>
          <w:bCs/>
          <w:kern w:val="2"/>
          <w:sz w:val="28"/>
          <w:szCs w:val="32"/>
          <w:highlight w:val="none"/>
          <w:lang w:val="en-US" w:eastAsia="zh-CN" w:bidi="ar-SA"/>
        </w:rPr>
        <w:br w:type="page"/>
      </w:r>
      <w:r>
        <w:rPr>
          <w:rFonts w:ascii="Arial" w:hAnsi="Arial" w:eastAsia="方正黑体_GBK" w:cs="Arial"/>
          <w:b w:val="0"/>
          <w:bCs/>
          <w:kern w:val="2"/>
          <w:sz w:val="28"/>
          <w:szCs w:val="32"/>
          <w:highlight w:val="none"/>
          <w:lang w:val="en-US" w:eastAsia="zh-CN" w:bidi="ar-SA"/>
        </w:rPr>
        <w:t>七、供货安装（调试）方案</w:t>
      </w:r>
      <w:bookmarkEnd w:id="474"/>
      <w:bookmarkEnd w:id="475"/>
      <w:bookmarkEnd w:id="476"/>
      <w:bookmarkEnd w:id="477"/>
      <w:bookmarkEnd w:id="478"/>
      <w:bookmarkEnd w:id="479"/>
      <w:bookmarkEnd w:id="480"/>
      <w:bookmarkEnd w:id="481"/>
    </w:p>
    <w:p>
      <w:pPr>
        <w:spacing w:line="360" w:lineRule="auto"/>
        <w:jc w:val="center"/>
        <w:rPr>
          <w:rFonts w:ascii="Arial" w:hAnsi="Arial" w:eastAsia="宋体" w:cs="Arial"/>
          <w:iCs/>
          <w:sz w:val="24"/>
          <w:highlight w:val="none"/>
        </w:rPr>
      </w:pPr>
      <w:bookmarkStart w:id="482" w:name="_Toc1344586338_WPSOffice_Level2"/>
      <w:r>
        <w:rPr>
          <w:rFonts w:hint="eastAsia" w:ascii="Arial" w:hAnsi="Arial" w:eastAsia="宋体" w:cs="Arial"/>
          <w:iCs/>
          <w:sz w:val="24"/>
          <w:highlight w:val="none"/>
          <w:lang w:eastAsia="zh-CN"/>
        </w:rPr>
        <w:t>（</w:t>
      </w:r>
      <w:r>
        <w:rPr>
          <w:rFonts w:ascii="Arial" w:hAnsi="Arial" w:eastAsia="宋体" w:cs="Arial"/>
          <w:iCs/>
          <w:sz w:val="24"/>
          <w:highlight w:val="none"/>
        </w:rPr>
        <w:t>投标人可自行制作格式</w:t>
      </w:r>
      <w:r>
        <w:rPr>
          <w:rFonts w:hint="eastAsia" w:ascii="Arial" w:hAnsi="Arial" w:eastAsia="宋体" w:cs="Arial"/>
          <w:iCs/>
          <w:sz w:val="24"/>
          <w:highlight w:val="none"/>
          <w:lang w:eastAsia="zh-CN"/>
        </w:rPr>
        <w:t>）</w:t>
      </w:r>
      <w:bookmarkEnd w:id="482"/>
    </w:p>
    <w:p>
      <w:pPr>
        <w:widowControl/>
        <w:jc w:val="left"/>
        <w:rPr>
          <w:rFonts w:ascii="Arial" w:hAnsi="Arial" w:eastAsia="宋体" w:cs="Arial"/>
          <w:sz w:val="24"/>
          <w:highlight w:val="none"/>
        </w:rPr>
        <w:sectPr>
          <w:pgSz w:w="11906" w:h="16838"/>
          <w:pgMar w:top="1440" w:right="1706" w:bottom="1440" w:left="1800" w:header="851" w:footer="992" w:gutter="0"/>
          <w:pgNumType w:fmt="decimal"/>
          <w:cols w:space="720" w:num="1"/>
          <w:docGrid w:type="lines" w:linePitch="312" w:charSpace="0"/>
        </w:sectPr>
      </w:pPr>
    </w:p>
    <w:p>
      <w:pPr>
        <w:pStyle w:val="5"/>
        <w:keepNext/>
        <w:keepLines/>
        <w:pageBreakBefore w:val="0"/>
        <w:widowControl w:val="0"/>
        <w:kinsoku/>
        <w:wordWrap/>
        <w:overflowPunct/>
        <w:topLinePunct w:val="0"/>
        <w:autoSpaceDE/>
        <w:autoSpaceDN/>
        <w:bidi w:val="0"/>
        <w:adjustRightInd/>
        <w:snapToGrid/>
        <w:ind w:firstLine="0" w:firstLineChars="0"/>
        <w:jc w:val="center"/>
        <w:textAlignment w:val="auto"/>
        <w:rPr>
          <w:rFonts w:ascii="Arial" w:hAnsi="Arial" w:cs="Arial"/>
          <w:highlight w:val="none"/>
        </w:rPr>
      </w:pPr>
      <w:bookmarkStart w:id="483" w:name="_Toc359009638"/>
      <w:bookmarkStart w:id="484" w:name="_Toc1444565992"/>
      <w:bookmarkStart w:id="485" w:name="_Toc2066550975"/>
      <w:bookmarkStart w:id="486" w:name="_Toc465259786"/>
      <w:bookmarkStart w:id="487" w:name="_Toc563624289"/>
      <w:bookmarkStart w:id="488" w:name="_Toc1146150522"/>
      <w:bookmarkStart w:id="489" w:name="_Toc1382426653_WPSOffice_Level1"/>
      <w:bookmarkStart w:id="490" w:name="_Toc1973406906"/>
      <w:r>
        <w:rPr>
          <w:rFonts w:ascii="Arial" w:hAnsi="Arial" w:cs="Arial"/>
          <w:highlight w:val="none"/>
        </w:rPr>
        <w:t>八、售后服务与维保方案</w:t>
      </w:r>
      <w:bookmarkEnd w:id="483"/>
      <w:bookmarkEnd w:id="484"/>
      <w:bookmarkEnd w:id="485"/>
      <w:bookmarkEnd w:id="486"/>
      <w:bookmarkEnd w:id="487"/>
      <w:bookmarkEnd w:id="488"/>
      <w:bookmarkEnd w:id="489"/>
      <w:bookmarkEnd w:id="490"/>
    </w:p>
    <w:p>
      <w:pPr>
        <w:spacing w:line="360" w:lineRule="auto"/>
        <w:jc w:val="center"/>
        <w:rPr>
          <w:rFonts w:ascii="Arial" w:hAnsi="Arial" w:eastAsia="宋体" w:cs="Arial"/>
          <w:iCs/>
          <w:sz w:val="24"/>
          <w:highlight w:val="none"/>
        </w:rPr>
      </w:pPr>
      <w:bookmarkStart w:id="491" w:name="_Toc899877349_WPSOffice_Level2"/>
      <w:r>
        <w:rPr>
          <w:rFonts w:hint="eastAsia" w:ascii="Arial" w:hAnsi="Arial" w:eastAsia="宋体" w:cs="Arial"/>
          <w:iCs/>
          <w:sz w:val="24"/>
          <w:highlight w:val="none"/>
          <w:lang w:eastAsia="zh-CN"/>
        </w:rPr>
        <w:t>（</w:t>
      </w:r>
      <w:r>
        <w:rPr>
          <w:rFonts w:ascii="Arial" w:hAnsi="Arial" w:eastAsia="宋体" w:cs="Arial"/>
          <w:iCs/>
          <w:sz w:val="24"/>
          <w:highlight w:val="none"/>
        </w:rPr>
        <w:t>投标人可自行制作格式</w:t>
      </w:r>
      <w:r>
        <w:rPr>
          <w:rFonts w:hint="eastAsia" w:ascii="Arial" w:hAnsi="Arial" w:eastAsia="宋体" w:cs="Arial"/>
          <w:iCs/>
          <w:sz w:val="24"/>
          <w:highlight w:val="none"/>
          <w:lang w:eastAsia="zh-CN"/>
        </w:rPr>
        <w:t>）</w:t>
      </w:r>
      <w:bookmarkEnd w:id="491"/>
    </w:p>
    <w:p>
      <w:pPr>
        <w:widowControl/>
        <w:jc w:val="center"/>
        <w:outlineLvl w:val="1"/>
        <w:rPr>
          <w:rFonts w:hint="eastAsia" w:ascii="方正黑体_GBK" w:hAnsi="方正黑体_GBK" w:eastAsia="方正黑体_GBK" w:cs="方正黑体_GBK"/>
          <w:sz w:val="28"/>
          <w:szCs w:val="28"/>
          <w:highlight w:val="none"/>
        </w:rPr>
      </w:pPr>
      <w:r>
        <w:rPr>
          <w:rFonts w:ascii="Arial" w:hAnsi="Arial" w:eastAsia="宋体" w:cs="Arial"/>
          <w:sz w:val="24"/>
          <w:highlight w:val="none"/>
        </w:rPr>
        <w:br w:type="page"/>
      </w:r>
      <w:bookmarkStart w:id="492" w:name="_Toc453268527"/>
      <w:bookmarkStart w:id="493" w:name="_Toc2142448472"/>
      <w:bookmarkStart w:id="494" w:name="_Toc868266259_WPSOffice_Level1"/>
      <w:bookmarkStart w:id="495" w:name="_Toc1643236037"/>
      <w:bookmarkStart w:id="496" w:name="_Toc9849445"/>
      <w:bookmarkStart w:id="497" w:name="_Toc1347740773"/>
      <w:bookmarkStart w:id="498" w:name="_Toc784093942"/>
      <w:bookmarkStart w:id="499" w:name="_Toc830689463"/>
      <w:r>
        <w:rPr>
          <w:rFonts w:hint="eastAsia" w:ascii="方正黑体_GBK" w:hAnsi="方正黑体_GBK" w:eastAsia="方正黑体_GBK" w:cs="方正黑体_GBK"/>
          <w:sz w:val="28"/>
          <w:szCs w:val="28"/>
          <w:highlight w:val="none"/>
        </w:rPr>
        <w:t>九、投标业绩承诺函</w:t>
      </w:r>
      <w:bookmarkEnd w:id="492"/>
      <w:bookmarkEnd w:id="493"/>
      <w:bookmarkEnd w:id="494"/>
      <w:bookmarkEnd w:id="495"/>
      <w:bookmarkEnd w:id="496"/>
      <w:bookmarkEnd w:id="497"/>
      <w:bookmarkEnd w:id="498"/>
      <w:bookmarkEnd w:id="499"/>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highlight w:val="none"/>
        </w:rPr>
      </w:pPr>
      <w:r>
        <w:rPr>
          <w:rFonts w:ascii="Arial" w:hAnsi="Arial" w:eastAsia="宋体" w:cs="Arial"/>
          <w:sz w:val="24"/>
          <w:highlight w:val="none"/>
        </w:rPr>
        <w:t>我单位同意中标公告中公示以下业绩并承诺：投标文件中所提供的业绩均</w:t>
      </w:r>
      <w:r>
        <w:rPr>
          <w:rFonts w:hint="eastAsia" w:ascii="Arial" w:hAnsi="Arial" w:eastAsia="宋体" w:cs="Arial"/>
          <w:sz w:val="24"/>
          <w:highlight w:val="none"/>
        </w:rPr>
        <w:t>合法</w:t>
      </w:r>
      <w:r>
        <w:rPr>
          <w:rFonts w:ascii="Arial" w:hAnsi="Arial" w:eastAsia="宋体" w:cs="Arial"/>
          <w:sz w:val="24"/>
          <w:highlight w:val="none"/>
        </w:rPr>
        <w:t>真实有效，若被发现存在任何虚假、隐瞒情况，我单位承担由此产生的一切后果。</w:t>
      </w:r>
    </w:p>
    <w:p>
      <w:pPr>
        <w:spacing w:line="360" w:lineRule="auto"/>
        <w:ind w:firstLine="435"/>
        <w:rPr>
          <w:rFonts w:ascii="Arial" w:hAnsi="Arial" w:eastAsia="宋体" w:cs="Arial"/>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tabs>
          <w:tab w:val="left" w:pos="630"/>
        </w:tabs>
        <w:spacing w:line="360" w:lineRule="auto"/>
        <w:ind w:firstLine="4228" w:firstLineChars="1762"/>
        <w:jc w:val="right"/>
        <w:rPr>
          <w:rFonts w:ascii="Arial" w:hAnsi="Arial" w:eastAsia="宋体" w:cs="Arial"/>
          <w:sz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ascii="Arial" w:hAnsi="Arial" w:eastAsia="宋体" w:cs="Arial"/>
          <w:sz w:val="24"/>
          <w:highlight w:val="none"/>
          <w:u w:val="single"/>
        </w:rPr>
        <w:t xml:space="preserve">            </w:t>
      </w:r>
    </w:p>
    <w:p>
      <w:pPr>
        <w:tabs>
          <w:tab w:val="left" w:pos="630"/>
        </w:tabs>
        <w:spacing w:line="360" w:lineRule="auto"/>
        <w:ind w:firstLine="3700" w:firstLineChars="1762"/>
        <w:rPr>
          <w:rFonts w:ascii="Arial" w:hAnsi="Arial" w:eastAsia="宋体" w:cs="Arial"/>
          <w:highlight w:val="none"/>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10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2528"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供货范围</w:t>
            </w:r>
          </w:p>
        </w:tc>
        <w:tc>
          <w:tcPr>
            <w:tcW w:w="948"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06" w:type="dxa"/>
            <w:noWrap w:val="0"/>
            <w:vAlign w:val="center"/>
          </w:tcPr>
          <w:p>
            <w:pPr>
              <w:spacing w:line="360" w:lineRule="auto"/>
              <w:rPr>
                <w:rFonts w:hint="eastAsia" w:ascii="宋体" w:hAnsi="宋体" w:eastAsia="宋体" w:cs="宋体"/>
                <w:sz w:val="24"/>
                <w:szCs w:val="24"/>
                <w:highlight w:val="none"/>
              </w:rPr>
            </w:pPr>
          </w:p>
        </w:tc>
        <w:tc>
          <w:tcPr>
            <w:tcW w:w="2528" w:type="dxa"/>
            <w:noWrap w:val="0"/>
            <w:vAlign w:val="center"/>
          </w:tcPr>
          <w:p>
            <w:pPr>
              <w:spacing w:line="360" w:lineRule="auto"/>
              <w:rPr>
                <w:rFonts w:hint="eastAsia" w:ascii="宋体" w:hAnsi="宋体" w:eastAsia="宋体" w:cs="宋体"/>
                <w:sz w:val="24"/>
                <w:szCs w:val="24"/>
                <w:highlight w:val="none"/>
              </w:rPr>
            </w:pPr>
          </w:p>
        </w:tc>
        <w:tc>
          <w:tcPr>
            <w:tcW w:w="948" w:type="dxa"/>
            <w:noWrap w:val="0"/>
            <w:vAlign w:val="center"/>
          </w:tcPr>
          <w:p>
            <w:pPr>
              <w:spacing w:line="360" w:lineRule="auto"/>
              <w:rPr>
                <w:rFonts w:hint="eastAsia" w:ascii="宋体" w:hAnsi="宋体" w:eastAsia="宋体" w:cs="宋体"/>
                <w:sz w:val="24"/>
                <w:szCs w:val="24"/>
                <w:highlight w:val="none"/>
              </w:rPr>
            </w:pPr>
          </w:p>
        </w:tc>
      </w:tr>
    </w:tbl>
    <w:p>
      <w:pPr>
        <w:adjustRightInd w:val="0"/>
        <w:snapToGrid w:val="0"/>
        <w:spacing w:line="360" w:lineRule="auto"/>
        <w:rPr>
          <w:rFonts w:ascii="Arial" w:hAnsi="Arial" w:eastAsia="宋体" w:cs="Arial"/>
          <w:b/>
          <w:bCs/>
          <w:sz w:val="24"/>
          <w:szCs w:val="28"/>
          <w:highlight w:val="none"/>
        </w:rPr>
      </w:pPr>
    </w:p>
    <w:p>
      <w:pPr>
        <w:adjustRightInd w:val="0"/>
        <w:snapToGrid w:val="0"/>
        <w:spacing w:line="360" w:lineRule="auto"/>
        <w:rPr>
          <w:rFonts w:ascii="Arial" w:hAnsi="Arial" w:eastAsia="宋体" w:cs="Arial"/>
          <w:b/>
          <w:bCs/>
          <w:szCs w:val="21"/>
          <w:highlight w:val="none"/>
        </w:rPr>
      </w:pPr>
      <w:r>
        <w:rPr>
          <w:rFonts w:ascii="Arial" w:hAnsi="Arial" w:eastAsia="宋体" w:cs="Arial"/>
          <w:b/>
          <w:bCs/>
          <w:szCs w:val="21"/>
          <w:highlight w:val="none"/>
        </w:rPr>
        <w:t>备注：</w:t>
      </w:r>
    </w:p>
    <w:p>
      <w:pPr>
        <w:spacing w:line="360" w:lineRule="auto"/>
        <w:ind w:firstLine="435"/>
        <w:rPr>
          <w:rFonts w:hint="eastAsia" w:ascii="宋体" w:hAnsi="宋体" w:eastAsia="宋体" w:cs="宋体"/>
          <w:szCs w:val="21"/>
          <w:highlight w:val="none"/>
        </w:rPr>
      </w:pPr>
      <w:r>
        <w:rPr>
          <w:rFonts w:hint="eastAsia" w:ascii="宋体" w:hAnsi="宋体" w:eastAsia="宋体" w:cs="宋体"/>
          <w:szCs w:val="21"/>
          <w:highlight w:val="none"/>
        </w:rPr>
        <w:t>1.表中所列业绩应为投标人满足招标文件要求的业绩；</w:t>
      </w:r>
    </w:p>
    <w:p>
      <w:pPr>
        <w:spacing w:line="360" w:lineRule="auto"/>
        <w:ind w:firstLine="435"/>
        <w:rPr>
          <w:rFonts w:hint="eastAsia" w:ascii="宋体" w:hAnsi="宋体" w:eastAsia="宋体" w:cs="宋体"/>
          <w:szCs w:val="21"/>
          <w:highlight w:val="none"/>
        </w:rPr>
      </w:pPr>
      <w:r>
        <w:rPr>
          <w:rFonts w:hint="eastAsia" w:ascii="宋体" w:hAnsi="宋体" w:eastAsia="宋体" w:cs="宋体"/>
          <w:szCs w:val="21"/>
          <w:highlight w:val="none"/>
        </w:rPr>
        <w:t>2.中标人提供的以上业绩情况，如招标文件《投标人须知前附表》有约定的，将按约定随评审结果公告。</w:t>
      </w:r>
    </w:p>
    <w:p>
      <w:pPr>
        <w:widowControl/>
        <w:jc w:val="center"/>
        <w:outlineLvl w:val="1"/>
        <w:rPr>
          <w:rFonts w:ascii="Arial" w:hAnsi="Arial" w:eastAsia="方正黑体_GBK" w:cs="Arial"/>
          <w:bCs/>
          <w:kern w:val="2"/>
          <w:sz w:val="28"/>
          <w:szCs w:val="32"/>
          <w:highlight w:val="none"/>
          <w:lang w:val="en-US" w:eastAsia="zh-CN" w:bidi="ar-SA"/>
        </w:rPr>
      </w:pPr>
      <w:r>
        <w:rPr>
          <w:rFonts w:ascii="Arial" w:hAnsi="Arial" w:eastAsia="宋体" w:cs="Arial"/>
          <w:sz w:val="24"/>
          <w:highlight w:val="none"/>
        </w:rPr>
        <w:br w:type="page"/>
      </w:r>
      <w:bookmarkStart w:id="500" w:name="_Toc453056914_WPSOffice_Level1"/>
      <w:bookmarkStart w:id="501" w:name="_Toc529009434"/>
      <w:bookmarkStart w:id="502" w:name="_Toc444592396"/>
      <w:bookmarkStart w:id="503" w:name="_Toc97338464"/>
      <w:bookmarkStart w:id="504" w:name="_Toc19895817"/>
      <w:bookmarkStart w:id="505" w:name="_Toc1044558213"/>
      <w:bookmarkStart w:id="506" w:name="_Toc1675975709"/>
      <w:bookmarkStart w:id="507" w:name="_Toc1842512653"/>
      <w:r>
        <w:rPr>
          <w:rFonts w:ascii="Arial" w:hAnsi="Arial" w:eastAsia="方正黑体_GBK" w:cs="Arial"/>
          <w:bCs/>
          <w:kern w:val="2"/>
          <w:sz w:val="28"/>
          <w:szCs w:val="32"/>
          <w:highlight w:val="none"/>
          <w:lang w:val="en-US" w:eastAsia="zh-CN" w:bidi="ar-SA"/>
        </w:rPr>
        <w:t>十、联合体协议</w:t>
      </w:r>
      <w:bookmarkEnd w:id="500"/>
      <w:bookmarkEnd w:id="501"/>
      <w:bookmarkEnd w:id="502"/>
      <w:bookmarkEnd w:id="503"/>
      <w:bookmarkEnd w:id="504"/>
      <w:bookmarkEnd w:id="505"/>
      <w:bookmarkEnd w:id="506"/>
      <w:bookmarkEnd w:id="507"/>
    </w:p>
    <w:p>
      <w:pPr>
        <w:pStyle w:val="23"/>
        <w:spacing w:line="360" w:lineRule="auto"/>
        <w:rPr>
          <w:rFonts w:hint="eastAsia" w:ascii="宋体" w:hAnsi="宋体" w:eastAsia="宋体" w:cs="宋体"/>
          <w:b w:val="0"/>
          <w:sz w:val="24"/>
          <w:highlight w:val="none"/>
        </w:rPr>
      </w:pPr>
      <w:bookmarkStart w:id="508" w:name="_Toc1552669830_WPSOffice_Level2"/>
      <w:r>
        <w:rPr>
          <w:rFonts w:hint="eastAsia" w:ascii="宋体" w:hAnsi="宋体" w:eastAsia="宋体" w:cs="宋体"/>
          <w:b w:val="0"/>
          <w:sz w:val="24"/>
          <w:highlight w:val="none"/>
        </w:rPr>
        <w:t>（不允许联合体投标或未组成联合体投标，不需此件）</w:t>
      </w:r>
      <w:bookmarkEnd w:id="508"/>
    </w:p>
    <w:p>
      <w:pPr>
        <w:spacing w:line="360" w:lineRule="auto"/>
        <w:ind w:firstLine="435"/>
        <w:rPr>
          <w:rFonts w:hint="eastAsia" w:ascii="宋体" w:hAnsi="宋体" w:eastAsia="宋体" w:cs="宋体"/>
          <w:sz w:val="24"/>
          <w:highlight w:val="none"/>
        </w:rPr>
      </w:pP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联合体成员一名称：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联合体成员二名称：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上述各成员单位经过友好协商，自愿组成联合体，共同参加本项目的投标，现就联合体投标事宜订立如下协议：</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i/>
          <w:sz w:val="24"/>
          <w:highlight w:val="none"/>
        </w:rPr>
        <w:t>某成员单位名称</w:t>
      </w:r>
      <w:r>
        <w:rPr>
          <w:rFonts w:hint="eastAsia" w:ascii="宋体" w:hAnsi="宋体" w:eastAsia="宋体" w:cs="宋体"/>
          <w:sz w:val="24"/>
          <w:highlight w:val="none"/>
        </w:rPr>
        <w:t>）为联合体牵头人。</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3.联合体各成员单位内部的职责分工及各方负责内容的合同金额占总合同金额的百分比如下：</w:t>
      </w: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联合体成员一名称：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，承担</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工作，负责内容的合同金额占总合同金额的百分比：</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联合体成员二名称：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，承担</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工作，负责内容的合同金额占总合同金额的百分比：</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u w:val="single"/>
        </w:rPr>
      </w:pPr>
      <w:r>
        <w:rPr>
          <w:rFonts w:hint="eastAsia" w:ascii="宋体" w:hAnsi="宋体" w:eastAsia="宋体" w:cs="宋体"/>
          <w:sz w:val="24"/>
          <w:highlight w:val="none"/>
        </w:rPr>
        <w:t>…………</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4．投标工作和联合体在中标后项目实施过程中的有关费用按各自承担的工作量分摊。</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5．联合体中标后，本联合体协议是合同的附件，对联合体各成员单位有合同约束力。</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6．本协议书自签署之日起生效，联合体未中标或者合同履行完毕后自动失效。</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联合体成员一：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联合体成员二：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w:t>
      </w:r>
    </w:p>
    <w:p>
      <w:pPr>
        <w:pStyle w:val="23"/>
        <w:spacing w:line="360" w:lineRule="auto"/>
        <w:rPr>
          <w:rFonts w:hint="eastAsia" w:ascii="宋体" w:hAnsi="宋体" w:eastAsia="宋体" w:cs="宋体"/>
          <w:sz w:val="24"/>
          <w:highlight w:val="none"/>
        </w:rPr>
      </w:pPr>
    </w:p>
    <w:p>
      <w:pPr>
        <w:spacing w:line="360" w:lineRule="auto"/>
        <w:ind w:right="480" w:firstLine="4680" w:firstLineChars="1950"/>
        <w:rPr>
          <w:rFonts w:ascii="Arial" w:hAnsi="Arial" w:eastAsia="宋体" w:cs="Arial"/>
          <w:sz w:val="24"/>
          <w:highlight w:val="none"/>
        </w:rPr>
        <w:sectPr>
          <w:pgSz w:w="11906" w:h="16838"/>
          <w:pgMar w:top="1440" w:right="1706" w:bottom="1440" w:left="1800" w:header="851" w:footer="992" w:gutter="0"/>
          <w:pgNumType w:fmt="decimal"/>
          <w:cols w:space="720" w:num="1"/>
          <w:docGrid w:type="lines" w:linePitch="312" w:charSpace="0"/>
        </w:sectPr>
      </w:pPr>
      <w:r>
        <w:rPr>
          <w:rFonts w:hint="eastAsia" w:ascii="宋体" w:hAnsi="宋体" w:eastAsia="宋体" w:cs="宋体"/>
          <w:sz w:val="24"/>
          <w:highlight w:val="none"/>
        </w:rPr>
        <w:t>签订日期</w:t>
      </w:r>
      <w:r>
        <w:rPr>
          <w:rFonts w:hint="eastAsia" w:ascii="宋体" w:hAnsi="宋体" w:eastAsia="宋体" w:cs="宋体"/>
          <w:sz w:val="24"/>
          <w:highlight w:val="none"/>
          <w:lang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5"/>
        <w:keepNext/>
        <w:keepLines/>
        <w:pageBreakBefore w:val="0"/>
        <w:widowControl w:val="0"/>
        <w:kinsoku/>
        <w:wordWrap/>
        <w:overflowPunct/>
        <w:topLinePunct w:val="0"/>
        <w:autoSpaceDE/>
        <w:autoSpaceDN/>
        <w:bidi w:val="0"/>
        <w:adjustRightInd/>
        <w:snapToGrid/>
        <w:ind w:firstLine="0" w:firstLineChars="0"/>
        <w:jc w:val="center"/>
        <w:textAlignment w:val="auto"/>
        <w:outlineLvl w:val="1"/>
        <w:rPr>
          <w:rFonts w:ascii="Arial" w:hAnsi="Arial" w:cs="Arial"/>
          <w:highlight w:val="none"/>
        </w:rPr>
      </w:pPr>
      <w:bookmarkStart w:id="509" w:name="_Toc27915312_WPSOffice_Level1"/>
      <w:bookmarkStart w:id="510" w:name="_Toc1679018405"/>
      <w:bookmarkStart w:id="511" w:name="_Toc1743650410"/>
      <w:bookmarkStart w:id="512" w:name="_Toc1200677206"/>
      <w:bookmarkStart w:id="513" w:name="_Toc180623263"/>
      <w:bookmarkStart w:id="514" w:name="_Toc2026689841"/>
      <w:bookmarkStart w:id="515" w:name="_Toc1049370585"/>
      <w:bookmarkStart w:id="516" w:name="_Toc1130168119"/>
      <w:bookmarkStart w:id="517" w:name="_Hlk11531103"/>
      <w:r>
        <w:rPr>
          <w:rFonts w:ascii="Arial" w:hAnsi="Arial" w:cs="Arial"/>
          <w:highlight w:val="none"/>
        </w:rPr>
        <w:t>十一、主要中标标的承诺函</w:t>
      </w:r>
      <w:bookmarkEnd w:id="509"/>
      <w:bookmarkEnd w:id="510"/>
      <w:bookmarkEnd w:id="511"/>
      <w:bookmarkEnd w:id="512"/>
      <w:bookmarkEnd w:id="513"/>
      <w:bookmarkEnd w:id="514"/>
      <w:bookmarkEnd w:id="515"/>
      <w:bookmarkEnd w:id="516"/>
    </w:p>
    <w:p>
      <w:pPr>
        <w:spacing w:line="360" w:lineRule="auto"/>
        <w:ind w:firstLine="435"/>
        <w:rPr>
          <w:rFonts w:ascii="Arial" w:hAnsi="Arial" w:eastAsia="宋体" w:cs="Arial"/>
          <w:sz w:val="24"/>
          <w:szCs w:val="24"/>
          <w:highlight w:val="none"/>
        </w:rPr>
      </w:pP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我单位</w:t>
      </w:r>
      <w:r>
        <w:rPr>
          <w:rFonts w:ascii="Arial" w:hAnsi="Arial" w:eastAsia="宋体" w:cs="Arial"/>
          <w:sz w:val="24"/>
          <w:highlight w:val="none"/>
        </w:rPr>
        <w:t>同意中标</w:t>
      </w:r>
      <w:r>
        <w:rPr>
          <w:rFonts w:ascii="Arial" w:hAnsi="Arial" w:eastAsia="宋体" w:cs="Arial"/>
          <w:sz w:val="24"/>
          <w:szCs w:val="24"/>
          <w:highlight w:val="none"/>
        </w:rPr>
        <w:t>公告中公示以下主要中标标的并承诺：投标文件中所提供的主要中标标的均</w:t>
      </w:r>
      <w:r>
        <w:rPr>
          <w:rFonts w:hint="eastAsia" w:ascii="Arial" w:hAnsi="Arial" w:eastAsia="宋体" w:cs="Arial"/>
          <w:sz w:val="24"/>
          <w:szCs w:val="24"/>
          <w:highlight w:val="none"/>
        </w:rPr>
        <w:t>合法、</w:t>
      </w:r>
      <w:r>
        <w:rPr>
          <w:rFonts w:ascii="Arial" w:hAnsi="Arial" w:eastAsia="宋体" w:cs="Arial"/>
          <w:sz w:val="24"/>
          <w:szCs w:val="24"/>
          <w:highlight w:val="none"/>
        </w:rPr>
        <w:t>真实有效。若被发现存在任何虚假、隐瞒情况，我单位承担由此产生的一切后果。</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03"/>
        <w:gridCol w:w="2633"/>
        <w:gridCol w:w="1560"/>
        <w:gridCol w:w="149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8"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03"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2633"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品牌及规格型号</w:t>
            </w:r>
          </w:p>
        </w:tc>
        <w:tc>
          <w:tcPr>
            <w:tcW w:w="1560"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490"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828"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03"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▲冷冻组织研磨仪</w:t>
            </w:r>
          </w:p>
        </w:tc>
        <w:tc>
          <w:tcPr>
            <w:tcW w:w="2633" w:type="dxa"/>
            <w:noWrap w:val="0"/>
            <w:vAlign w:val="center"/>
          </w:tcPr>
          <w:p>
            <w:pPr>
              <w:spacing w:line="360" w:lineRule="auto"/>
              <w:rPr>
                <w:rFonts w:hint="eastAsia" w:ascii="宋体" w:hAnsi="宋体" w:eastAsia="宋体" w:cs="宋体"/>
                <w:sz w:val="24"/>
                <w:szCs w:val="24"/>
                <w:highlight w:val="none"/>
              </w:rPr>
            </w:pPr>
          </w:p>
        </w:tc>
        <w:tc>
          <w:tcPr>
            <w:tcW w:w="1560" w:type="dxa"/>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490" w:type="dxa"/>
            <w:noWrap w:val="0"/>
            <w:vAlign w:val="center"/>
          </w:tcPr>
          <w:p>
            <w:pPr>
              <w:spacing w:line="360" w:lineRule="auto"/>
              <w:rPr>
                <w:rFonts w:hint="eastAsia" w:ascii="宋体" w:hAnsi="宋体" w:eastAsia="宋体" w:cs="宋体"/>
                <w:sz w:val="24"/>
                <w:szCs w:val="24"/>
                <w:highlight w:val="none"/>
              </w:rPr>
            </w:pPr>
          </w:p>
        </w:tc>
        <w:tc>
          <w:tcPr>
            <w:tcW w:w="828" w:type="dxa"/>
            <w:noWrap w:val="0"/>
            <w:vAlign w:val="center"/>
          </w:tcPr>
          <w:p>
            <w:pPr>
              <w:spacing w:line="360" w:lineRule="auto"/>
              <w:rPr>
                <w:rFonts w:hint="eastAsia" w:ascii="宋体" w:hAnsi="宋体" w:eastAsia="宋体" w:cs="宋体"/>
                <w:sz w:val="24"/>
                <w:szCs w:val="24"/>
                <w:highlight w:val="none"/>
              </w:rPr>
            </w:pPr>
          </w:p>
        </w:tc>
      </w:tr>
    </w:tbl>
    <w:p>
      <w:pPr>
        <w:spacing w:line="360" w:lineRule="auto"/>
        <w:ind w:firstLine="4245" w:firstLineChars="1762"/>
        <w:rPr>
          <w:rFonts w:ascii="Arial" w:hAnsi="Arial" w:eastAsia="宋体" w:cs="Arial"/>
          <w:b/>
          <w:sz w:val="24"/>
          <w:highlight w:val="none"/>
        </w:rPr>
      </w:pPr>
    </w:p>
    <w:p>
      <w:pPr>
        <w:spacing w:line="360" w:lineRule="auto"/>
        <w:jc w:val="right"/>
        <w:rPr>
          <w:rFonts w:ascii="Arial" w:hAnsi="Arial" w:eastAsia="宋体" w:cs="Arial"/>
          <w:sz w:val="24"/>
          <w:highlight w:val="none"/>
        </w:rPr>
      </w:pPr>
      <w:r>
        <w:rPr>
          <w:rFonts w:ascii="Arial" w:hAnsi="Arial" w:eastAsia="宋体" w:cs="Arial"/>
          <w:sz w:val="24"/>
          <w:highlight w:val="none"/>
        </w:rPr>
        <w:t>投标人：</w:t>
      </w:r>
      <w:r>
        <w:rPr>
          <w:rFonts w:hint="eastAsia" w:ascii="Arial" w:hAnsi="Arial" w:eastAsia="宋体" w:cs="Arial"/>
          <w:sz w:val="24"/>
          <w:highlight w:val="none"/>
          <w:u w:val="single"/>
        </w:rPr>
        <w:t xml:space="preserve">         </w:t>
      </w:r>
      <w:r>
        <w:rPr>
          <w:rFonts w:hint="eastAsia" w:ascii="Arial" w:hAnsi="Arial" w:eastAsia="宋体" w:cs="Arial"/>
          <w:sz w:val="24"/>
          <w:highlight w:val="none"/>
        </w:rPr>
        <w:t>（盖单位章）</w:t>
      </w:r>
      <w:r>
        <w:rPr>
          <w:rFonts w:ascii="Arial" w:hAnsi="Arial" w:eastAsia="宋体" w:cs="Arial"/>
          <w:sz w:val="24"/>
          <w:highlight w:val="none"/>
        </w:rPr>
        <w:t xml:space="preserve">  </w:t>
      </w:r>
    </w:p>
    <w:p>
      <w:pPr>
        <w:tabs>
          <w:tab w:val="left" w:pos="630"/>
        </w:tabs>
        <w:spacing w:line="360" w:lineRule="auto"/>
        <w:ind w:firstLine="4228" w:firstLineChars="1762"/>
        <w:jc w:val="right"/>
        <w:rPr>
          <w:rFonts w:ascii="Arial" w:hAnsi="Arial" w:eastAsia="宋体" w:cs="Arial"/>
          <w:sz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日</w:t>
      </w:r>
      <w:r>
        <w:rPr>
          <w:rFonts w:ascii="Arial" w:hAnsi="Arial" w:eastAsia="宋体" w:cs="Arial"/>
          <w:sz w:val="24"/>
          <w:highlight w:val="none"/>
          <w:u w:val="single"/>
        </w:rPr>
        <w:t xml:space="preserve">             </w:t>
      </w:r>
    </w:p>
    <w:p>
      <w:pPr>
        <w:adjustRightInd w:val="0"/>
        <w:snapToGrid w:val="0"/>
        <w:spacing w:line="360" w:lineRule="auto"/>
        <w:rPr>
          <w:rFonts w:ascii="Arial" w:hAnsi="Arial" w:eastAsia="宋体" w:cs="Arial"/>
          <w:b/>
          <w:bCs/>
          <w:sz w:val="24"/>
          <w:szCs w:val="24"/>
          <w:highlight w:val="none"/>
        </w:rPr>
      </w:pPr>
    </w:p>
    <w:p>
      <w:pPr>
        <w:adjustRightInd w:val="0"/>
        <w:snapToGrid w:val="0"/>
        <w:spacing w:line="360" w:lineRule="auto"/>
        <w:rPr>
          <w:rFonts w:ascii="Arial" w:hAnsi="Arial" w:eastAsia="宋体" w:cs="Arial"/>
          <w:b/>
          <w:bCs/>
          <w:szCs w:val="21"/>
          <w:highlight w:val="none"/>
        </w:rPr>
      </w:pPr>
      <w:r>
        <w:rPr>
          <w:rFonts w:ascii="Arial" w:hAnsi="Arial" w:eastAsia="宋体" w:cs="Arial"/>
          <w:b/>
          <w:bCs/>
          <w:szCs w:val="21"/>
          <w:highlight w:val="none"/>
        </w:rPr>
        <w:t>备注：</w:t>
      </w:r>
    </w:p>
    <w:p>
      <w:pPr>
        <w:spacing w:line="360" w:lineRule="auto"/>
        <w:ind w:firstLine="435"/>
        <w:rPr>
          <w:rFonts w:hint="eastAsia" w:ascii="宋体" w:hAnsi="宋体" w:eastAsia="宋体" w:cs="宋体"/>
          <w:bCs/>
          <w:szCs w:val="21"/>
          <w:highlight w:val="none"/>
        </w:rPr>
      </w:pPr>
      <w:r>
        <w:rPr>
          <w:rFonts w:hint="eastAsia" w:ascii="宋体" w:hAnsi="宋体" w:eastAsia="宋体" w:cs="宋体"/>
          <w:bCs/>
          <w:szCs w:val="21"/>
          <w:highlight w:val="none"/>
        </w:rPr>
        <w:t>1.</w:t>
      </w:r>
      <w:r>
        <w:rPr>
          <w:rFonts w:hint="eastAsia" w:ascii="宋体" w:hAnsi="宋体" w:eastAsia="宋体" w:cs="宋体"/>
          <w:szCs w:val="21"/>
          <w:highlight w:val="none"/>
        </w:rPr>
        <w:t>表中所列内容为满足本项目要求的</w:t>
      </w:r>
      <w:r>
        <w:rPr>
          <w:rFonts w:hint="eastAsia" w:ascii="宋体" w:hAnsi="宋体" w:eastAsia="宋体" w:cs="宋体"/>
          <w:bCs/>
          <w:szCs w:val="21"/>
          <w:highlight w:val="none"/>
        </w:rPr>
        <w:t>主要中标标的；</w:t>
      </w:r>
    </w:p>
    <w:p>
      <w:pPr>
        <w:spacing w:line="360" w:lineRule="auto"/>
        <w:ind w:firstLine="435"/>
        <w:rPr>
          <w:rFonts w:hint="eastAsia" w:ascii="宋体" w:hAnsi="宋体" w:eastAsia="宋体" w:cs="宋体"/>
          <w:szCs w:val="21"/>
          <w:highlight w:val="none"/>
        </w:rPr>
      </w:pPr>
      <w:r>
        <w:rPr>
          <w:rFonts w:hint="eastAsia" w:ascii="宋体" w:hAnsi="宋体" w:eastAsia="宋体" w:cs="宋体"/>
          <w:bCs/>
          <w:szCs w:val="21"/>
          <w:highlight w:val="none"/>
        </w:rPr>
        <w:t>2.</w:t>
      </w:r>
      <w:r>
        <w:rPr>
          <w:rFonts w:hint="eastAsia" w:ascii="宋体" w:hAnsi="宋体" w:eastAsia="宋体" w:cs="宋体"/>
          <w:szCs w:val="21"/>
          <w:highlight w:val="none"/>
        </w:rPr>
        <w:t>中标人提供的以上承诺情况（含货物名称、品牌、规格、型号、数量、单价），将按约定随中标结果公告同时公告。</w:t>
      </w:r>
    </w:p>
    <w:p>
      <w:pPr>
        <w:spacing w:line="360" w:lineRule="auto"/>
        <w:ind w:firstLine="435"/>
        <w:rPr>
          <w:rFonts w:hint="eastAsia" w:ascii="宋体" w:hAnsi="宋体" w:eastAsia="宋体" w:cs="宋体"/>
          <w:bCs/>
          <w:szCs w:val="21"/>
          <w:highlight w:val="none"/>
        </w:rPr>
      </w:pPr>
      <w:r>
        <w:rPr>
          <w:rFonts w:hint="eastAsia" w:ascii="宋体" w:hAnsi="宋体" w:eastAsia="宋体" w:cs="宋体"/>
          <w:szCs w:val="21"/>
          <w:highlight w:val="none"/>
        </w:rPr>
        <w:t>3.</w:t>
      </w:r>
      <w:r>
        <w:rPr>
          <w:rFonts w:hint="eastAsia" w:ascii="宋体" w:hAnsi="宋体" w:eastAsia="宋体" w:cs="宋体"/>
          <w:bCs/>
          <w:szCs w:val="21"/>
          <w:highlight w:val="none"/>
        </w:rPr>
        <w:t>本页</w:t>
      </w:r>
      <w:r>
        <w:rPr>
          <w:rFonts w:hint="eastAsia" w:ascii="宋体" w:hAnsi="宋体" w:eastAsia="宋体" w:cs="宋体"/>
          <w:szCs w:val="21"/>
          <w:highlight w:val="none"/>
        </w:rPr>
        <w:t>《主要中标标的承诺函》</w:t>
      </w:r>
      <w:r>
        <w:rPr>
          <w:rFonts w:hint="eastAsia" w:ascii="宋体" w:hAnsi="宋体" w:eastAsia="宋体" w:cs="宋体"/>
          <w:bCs/>
          <w:szCs w:val="21"/>
          <w:highlight w:val="none"/>
        </w:rPr>
        <w:t>由投标人准确填写。</w:t>
      </w:r>
    </w:p>
    <w:bookmarkEnd w:id="517"/>
    <w:p>
      <w:pPr>
        <w:widowControl/>
        <w:jc w:val="center"/>
        <w:outlineLvl w:val="1"/>
        <w:rPr>
          <w:rFonts w:ascii="Arial" w:hAnsi="Arial" w:eastAsia="方正黑体_GBK" w:cs="Arial"/>
          <w:bCs/>
          <w:kern w:val="2"/>
          <w:sz w:val="28"/>
          <w:szCs w:val="32"/>
          <w:highlight w:val="none"/>
          <w:lang w:val="en-US" w:eastAsia="zh-CN" w:bidi="ar-SA"/>
        </w:rPr>
      </w:pPr>
      <w:r>
        <w:rPr>
          <w:rFonts w:hint="eastAsia" w:ascii="宋体" w:hAnsi="宋体" w:eastAsia="宋体" w:cs="宋体"/>
          <w:szCs w:val="21"/>
          <w:highlight w:val="none"/>
        </w:rPr>
        <w:br w:type="page"/>
      </w:r>
      <w:bookmarkStart w:id="518" w:name="_Toc1802689033_WPSOffice_Level1"/>
      <w:r>
        <w:rPr>
          <w:rFonts w:hint="eastAsia" w:ascii="Arial" w:hAnsi="Arial" w:eastAsia="方正黑体_GBK" w:cs="Arial"/>
          <w:bCs/>
          <w:kern w:val="2"/>
          <w:sz w:val="28"/>
          <w:szCs w:val="32"/>
          <w:highlight w:val="none"/>
          <w:lang w:val="en-US" w:eastAsia="zh-CN" w:bidi="ar-SA"/>
        </w:rPr>
        <w:t>十二、中小企业声明函</w:t>
      </w:r>
      <w:bookmarkEnd w:id="518"/>
    </w:p>
    <w:p>
      <w:pPr>
        <w:spacing w:line="360" w:lineRule="auto"/>
        <w:jc w:val="center"/>
        <w:rPr>
          <w:rFonts w:hint="eastAsia" w:ascii="宋体" w:hAnsi="宋体" w:eastAsia="宋体" w:cs="宋体"/>
          <w:iCs/>
          <w:sz w:val="24"/>
          <w:szCs w:val="24"/>
          <w:highlight w:val="none"/>
          <w:lang w:val="zh-CN"/>
        </w:rPr>
      </w:pPr>
      <w:bookmarkStart w:id="519" w:name="_Toc2136759865_WPSOffice_Level2"/>
      <w:r>
        <w:rPr>
          <w:rFonts w:hint="eastAsia" w:ascii="宋体" w:hAnsi="宋体" w:eastAsia="宋体" w:cs="宋体"/>
          <w:iCs/>
          <w:sz w:val="24"/>
          <w:szCs w:val="24"/>
          <w:highlight w:val="none"/>
          <w:lang w:val="zh-CN"/>
        </w:rPr>
        <w:t>（非中小企业投标，不需此件）</w:t>
      </w:r>
      <w:bookmarkEnd w:id="519"/>
    </w:p>
    <w:p>
      <w:pPr>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（采购单位全称）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lang w:val="zh-CN"/>
        </w:rPr>
        <w:t xml:space="preserve">采购活动，提供的货物全部由符合政策要求的中小企业制造。相关企业（含联合体中的中小企业、签订分包意向协议的中小企业）的具体情况如下： </w:t>
      </w:r>
    </w:p>
    <w:p>
      <w:pPr>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（标的名称），属于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（采购文件中明确的所属行业）行业；承接企业为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（企业名称），从业人员</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人，营业收入为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万元，资产总额为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 xml:space="preserve">（中型企业、小型企业、微型企业选择其一填入）； </w:t>
      </w:r>
    </w:p>
    <w:p>
      <w:pPr>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（标的名称），属于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（采购文件中明确的所属行业）行业；承接企业为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（企业名称），从业人员</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人，营业收入为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万元，资产总额为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 xml:space="preserve">（中型企业、小型企业、微型企业选择其一填入）； </w:t>
      </w:r>
    </w:p>
    <w:p>
      <w:pPr>
        <w:spacing w:line="560" w:lineRule="exact"/>
        <w:ind w:firstLine="435"/>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p>
    <w:p>
      <w:pPr>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以上企业，不属于大企业的分支机构，不存在控股股东为大企业的情形，也不存在与大企业的负责人为同一人的情形。</w:t>
      </w:r>
    </w:p>
    <w:p>
      <w:pPr>
        <w:spacing w:line="56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本企业对上述声明内容的真实性负责。如有虚假，将依法承担相应责任。 </w:t>
      </w:r>
    </w:p>
    <w:p>
      <w:pPr>
        <w:spacing w:line="560" w:lineRule="exact"/>
        <w:ind w:firstLine="435"/>
        <w:rPr>
          <w:rFonts w:hint="eastAsia" w:ascii="宋体" w:hAnsi="宋体" w:eastAsia="宋体" w:cs="宋体"/>
          <w:sz w:val="24"/>
          <w:szCs w:val="24"/>
          <w:highlight w:val="none"/>
        </w:rPr>
      </w:pPr>
    </w:p>
    <w:p>
      <w:pPr>
        <w:spacing w:line="360" w:lineRule="auto"/>
        <w:ind w:firstLine="4080" w:firstLineChars="1700"/>
        <w:rPr>
          <w:rFonts w:hint="eastAsia" w:ascii="宋体" w:hAnsi="宋体" w:eastAsia="宋体" w:cs="宋体"/>
          <w:sz w:val="24"/>
          <w:highlight w:val="none"/>
          <w:u w:val="single"/>
        </w:rPr>
      </w:pPr>
      <w:r>
        <w:rPr>
          <w:rFonts w:hint="eastAsia" w:ascii="宋体" w:hAnsi="宋体" w:eastAsia="宋体" w:cs="宋体"/>
          <w:sz w:val="24"/>
          <w:highlight w:val="none"/>
        </w:rPr>
        <w:t>投标人：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tabs>
          <w:tab w:val="left" w:pos="4620"/>
        </w:tabs>
        <w:spacing w:line="360" w:lineRule="auto"/>
        <w:ind w:firstLine="4252" w:firstLineChars="1772"/>
        <w:rPr>
          <w:rFonts w:hint="eastAsia" w:ascii="宋体" w:hAnsi="宋体" w:eastAsia="宋体" w:cs="宋体"/>
          <w:sz w:val="24"/>
          <w:szCs w:val="24"/>
          <w:highlight w:val="none"/>
          <w:u w:val="singl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szCs w:val="24"/>
          <w:highlight w:val="none"/>
          <w:u w:val="single"/>
        </w:rPr>
        <w:t xml:space="preserve">             </w:t>
      </w:r>
    </w:p>
    <w:p>
      <w:pPr>
        <w:tabs>
          <w:tab w:val="left" w:pos="4620"/>
        </w:tabs>
        <w:spacing w:line="360" w:lineRule="auto"/>
        <w:jc w:val="left"/>
        <w:rPr>
          <w:rFonts w:hint="eastAsia" w:ascii="宋体" w:hAnsi="宋体" w:eastAsia="宋体" w:cs="宋体"/>
          <w:b/>
          <w:bCs/>
          <w:szCs w:val="24"/>
          <w:highlight w:val="none"/>
        </w:rPr>
      </w:pPr>
      <w:r>
        <w:rPr>
          <w:rFonts w:hint="eastAsia" w:ascii="宋体" w:hAnsi="宋体" w:eastAsia="宋体" w:cs="宋体"/>
          <w:b/>
          <w:bCs/>
          <w:szCs w:val="24"/>
          <w:highlight w:val="none"/>
        </w:rPr>
        <w:t>备注：</w:t>
      </w:r>
    </w:p>
    <w:p>
      <w:pPr>
        <w:tabs>
          <w:tab w:val="left" w:pos="4620"/>
        </w:tabs>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1.从业人员、营业收入、资产总额填报上一年数据，无上一年数据的新成立企业可不填报。</w:t>
      </w:r>
    </w:p>
    <w:p>
      <w:pPr>
        <w:widowControl/>
        <w:jc w:val="left"/>
        <w:rPr>
          <w:rFonts w:hint="eastAsia" w:ascii="宋体" w:hAnsi="宋体" w:eastAsia="宋体" w:cs="宋体"/>
          <w:highlight w:val="none"/>
        </w:rPr>
      </w:pPr>
      <w:r>
        <w:rPr>
          <w:rFonts w:hint="eastAsia" w:ascii="宋体" w:hAnsi="宋体" w:eastAsia="宋体" w:cs="宋体"/>
          <w:color w:val="000000"/>
          <w:kern w:val="0"/>
          <w:szCs w:val="21"/>
          <w:highlight w:val="none"/>
          <w:lang w:bidi="ar"/>
        </w:rPr>
        <w:t xml:space="preserve">2.企业划型标准按照《中小企业划型标准规定》（工信部联企业〔2011〕300 号）执行（具体划分标准详见招标文件附件3“大中小微型企业划分标准”）。 </w:t>
      </w:r>
    </w:p>
    <w:p>
      <w:pPr>
        <w:widowControl/>
        <w:jc w:val="left"/>
        <w:rPr>
          <w:rFonts w:hint="eastAsia" w:ascii="宋体" w:hAnsi="宋体" w:eastAsia="宋体" w:cs="宋体"/>
          <w:highlight w:val="none"/>
        </w:rPr>
      </w:pPr>
      <w:r>
        <w:rPr>
          <w:rFonts w:hint="eastAsia" w:ascii="宋体" w:hAnsi="宋体" w:eastAsia="宋体" w:cs="宋体"/>
          <w:color w:val="000000"/>
          <w:kern w:val="0"/>
          <w:szCs w:val="21"/>
          <w:highlight w:val="none"/>
          <w:lang w:bidi="ar"/>
        </w:rPr>
        <w:t xml:space="preserve">3.如投标人提供的《中小企业声明函》内容不实，属于“隐瞒真实情况，提供虚假资料”情 </w:t>
      </w:r>
    </w:p>
    <w:p>
      <w:pPr>
        <w:widowControl/>
        <w:jc w:val="left"/>
        <w:rPr>
          <w:rFonts w:hint="eastAsia" w:ascii="宋体" w:hAnsi="宋体" w:eastAsia="宋体" w:cs="宋体"/>
          <w:highlight w:val="none"/>
        </w:rPr>
      </w:pPr>
      <w:r>
        <w:rPr>
          <w:rFonts w:hint="eastAsia" w:ascii="宋体" w:hAnsi="宋体" w:eastAsia="宋体" w:cs="宋体"/>
          <w:color w:val="000000"/>
          <w:kern w:val="0"/>
          <w:szCs w:val="21"/>
          <w:highlight w:val="none"/>
          <w:lang w:bidi="ar"/>
        </w:rPr>
        <w:t>形的，将依照有关规定追究相应责任。</w:t>
      </w:r>
    </w:p>
    <w:p>
      <w:pPr>
        <w:jc w:val="center"/>
        <w:outlineLvl w:val="1"/>
        <w:rPr>
          <w:rFonts w:hint="eastAsia" w:ascii="Arial" w:hAnsi="Arial" w:eastAsia="方正黑体_GBK" w:cs="Arial"/>
          <w:bCs/>
          <w:kern w:val="2"/>
          <w:sz w:val="28"/>
          <w:szCs w:val="32"/>
          <w:highlight w:val="none"/>
          <w:lang w:val="en-US" w:eastAsia="zh-CN" w:bidi="ar-SA"/>
        </w:rPr>
      </w:pPr>
      <w:r>
        <w:rPr>
          <w:rFonts w:ascii="Arial" w:hAnsi="Arial" w:eastAsia="宋体" w:cs="Arial"/>
          <w:b/>
          <w:sz w:val="24"/>
          <w:highlight w:val="none"/>
        </w:rPr>
        <w:br w:type="page"/>
      </w:r>
      <w:bookmarkStart w:id="520" w:name="_Toc72742218"/>
      <w:bookmarkStart w:id="521" w:name="_Toc120947428_WPSOffice_Level1"/>
      <w:bookmarkStart w:id="522" w:name="_Toc264573924"/>
      <w:bookmarkStart w:id="523" w:name="_Toc235141663"/>
      <w:bookmarkStart w:id="524" w:name="_Toc1609636718"/>
      <w:bookmarkStart w:id="525" w:name="_Toc1124981849"/>
      <w:bookmarkStart w:id="526" w:name="_Toc150201793"/>
      <w:bookmarkStart w:id="527" w:name="_Toc45168451"/>
      <w:r>
        <w:rPr>
          <w:rFonts w:hint="eastAsia" w:ascii="Arial" w:hAnsi="Arial" w:eastAsia="方正黑体_GBK" w:cs="Arial"/>
          <w:bCs/>
          <w:kern w:val="2"/>
          <w:sz w:val="28"/>
          <w:szCs w:val="32"/>
          <w:highlight w:val="none"/>
          <w:lang w:val="en-US" w:eastAsia="zh-CN" w:bidi="ar-SA"/>
        </w:rPr>
        <w:t>十三、残疾人福利性单位声明函</w:t>
      </w:r>
      <w:bookmarkEnd w:id="520"/>
      <w:bookmarkEnd w:id="521"/>
      <w:bookmarkEnd w:id="522"/>
      <w:bookmarkEnd w:id="523"/>
      <w:bookmarkEnd w:id="524"/>
      <w:bookmarkEnd w:id="525"/>
      <w:bookmarkEnd w:id="526"/>
      <w:bookmarkEnd w:id="527"/>
    </w:p>
    <w:p>
      <w:pPr>
        <w:pStyle w:val="14"/>
        <w:spacing w:line="360" w:lineRule="auto"/>
        <w:jc w:val="center"/>
        <w:rPr>
          <w:b w:val="0"/>
          <w:iCs/>
          <w:sz w:val="24"/>
          <w:szCs w:val="24"/>
          <w:highlight w:val="none"/>
        </w:rPr>
      </w:pPr>
      <w:bookmarkStart w:id="528" w:name="_Toc1295371372_WPSOffice_Level2"/>
      <w:r>
        <w:rPr>
          <w:b w:val="0"/>
          <w:iCs/>
          <w:sz w:val="24"/>
          <w:szCs w:val="24"/>
          <w:highlight w:val="none"/>
        </w:rPr>
        <w:t>（非残疾人福利性单位投标，不需此件）</w:t>
      </w:r>
      <w:bookmarkEnd w:id="528"/>
    </w:p>
    <w:p>
      <w:pPr>
        <w:spacing w:line="360" w:lineRule="auto"/>
        <w:ind w:firstLine="435"/>
        <w:rPr>
          <w:rFonts w:ascii="Arial" w:hAnsi="Arial" w:eastAsia="宋体" w:cs="Arial"/>
          <w:spacing w:val="6"/>
          <w:sz w:val="24"/>
          <w:szCs w:val="24"/>
          <w:highlight w:val="none"/>
        </w:rPr>
      </w:pPr>
    </w:p>
    <w:p>
      <w:pPr>
        <w:spacing w:line="360" w:lineRule="auto"/>
        <w:ind w:firstLine="435"/>
        <w:rPr>
          <w:rFonts w:ascii="宋体" w:hAnsi="宋体" w:eastAsia="宋体"/>
          <w:spacing w:val="6"/>
          <w:sz w:val="24"/>
          <w:szCs w:val="24"/>
          <w:highlight w:val="none"/>
        </w:rPr>
      </w:pPr>
      <w:r>
        <w:rPr>
          <w:rFonts w:hint="eastAsia" w:ascii="宋体" w:hAnsi="宋体" w:eastAsia="宋体"/>
          <w:spacing w:val="6"/>
          <w:sz w:val="24"/>
          <w:szCs w:val="24"/>
          <w:highlight w:val="none"/>
        </w:rPr>
        <w:t>本单位</w:t>
      </w:r>
      <w:r>
        <w:rPr>
          <w:rFonts w:hint="eastAsia" w:ascii="宋体" w:hAnsi="宋体" w:eastAsia="宋体"/>
          <w:sz w:val="24"/>
          <w:highlight w:val="none"/>
        </w:rPr>
        <w:t>郑重</w:t>
      </w:r>
      <w:r>
        <w:rPr>
          <w:rFonts w:hint="eastAsia" w:ascii="宋体" w:hAnsi="宋体" w:eastAsia="宋体"/>
          <w:spacing w:val="6"/>
          <w:sz w:val="24"/>
          <w:szCs w:val="24"/>
          <w:highlight w:val="none"/>
        </w:rPr>
        <w:t>声明，根据《财政部 民政部 中国残疾人联合会关于促进残疾人就业政府采购政策的通知》（财库</w:t>
      </w:r>
      <w:r>
        <w:rPr>
          <w:rFonts w:hint="eastAsia" w:ascii="宋体" w:hAnsi="宋体" w:eastAsia="宋体"/>
          <w:sz w:val="24"/>
          <w:szCs w:val="24"/>
          <w:highlight w:val="none"/>
        </w:rPr>
        <w:t>〔2017〕141</w:t>
      </w:r>
      <w:r>
        <w:rPr>
          <w:rFonts w:hint="eastAsia" w:ascii="宋体" w:hAnsi="宋体" w:eastAsia="宋体"/>
          <w:spacing w:val="6"/>
          <w:sz w:val="24"/>
          <w:szCs w:val="24"/>
          <w:highlight w:val="none"/>
        </w:rPr>
        <w:t>号）的规定，本单位为</w:t>
      </w:r>
      <w:r>
        <w:rPr>
          <w:rFonts w:hint="eastAsia" w:ascii="宋体" w:hAnsi="宋体" w:eastAsia="宋体"/>
          <w:sz w:val="24"/>
          <w:szCs w:val="24"/>
          <w:highlight w:val="none"/>
        </w:rPr>
        <w:t>符合</w:t>
      </w:r>
      <w:r>
        <w:rPr>
          <w:rFonts w:hint="eastAsia" w:ascii="宋体" w:hAnsi="宋体" w:eastAsia="宋体"/>
          <w:spacing w:val="6"/>
          <w:sz w:val="24"/>
          <w:szCs w:val="24"/>
          <w:highlight w:val="none"/>
        </w:rPr>
        <w:t>条件的残疾人福利性单位，且本单位参加</w:t>
      </w:r>
      <w:r>
        <w:rPr>
          <w:rFonts w:hint="eastAsia" w:ascii="宋体" w:hAnsi="宋体" w:eastAsia="宋体"/>
          <w:spacing w:val="6"/>
          <w:sz w:val="24"/>
          <w:szCs w:val="24"/>
          <w:highlight w:val="none"/>
          <w:u w:val="single"/>
        </w:rPr>
        <w:t xml:space="preserve">     </w:t>
      </w:r>
      <w:r>
        <w:rPr>
          <w:rFonts w:hint="eastAsia" w:ascii="宋体" w:hAnsi="宋体" w:eastAsia="宋体"/>
          <w:sz w:val="24"/>
          <w:szCs w:val="24"/>
          <w:highlight w:val="none"/>
          <w:lang w:val="zh-CN"/>
        </w:rPr>
        <w:t>（采购单位全称）</w:t>
      </w:r>
      <w:r>
        <w:rPr>
          <w:rFonts w:hint="eastAsia" w:ascii="宋体" w:hAnsi="宋体" w:eastAsia="宋体"/>
          <w:sz w:val="24"/>
          <w:szCs w:val="24"/>
          <w:highlight w:val="none"/>
        </w:rPr>
        <w:t xml:space="preserve"> </w:t>
      </w:r>
      <w:r>
        <w:rPr>
          <w:rFonts w:hint="eastAsia" w:ascii="宋体" w:hAnsi="宋体" w:eastAsia="宋体"/>
          <w:sz w:val="24"/>
          <w:szCs w:val="24"/>
          <w:highlight w:val="none"/>
          <w:lang w:val="zh-CN"/>
        </w:rPr>
        <w:t>的</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lang w:val="zh-CN"/>
        </w:rPr>
        <w:t>（项目名称）</w:t>
      </w:r>
      <w:r>
        <w:rPr>
          <w:rFonts w:hint="eastAsia" w:ascii="宋体" w:hAnsi="宋体" w:eastAsia="宋体"/>
          <w:spacing w:val="6"/>
          <w:sz w:val="24"/>
          <w:szCs w:val="24"/>
          <w:highlight w:val="none"/>
        </w:rPr>
        <w:t>采购活动提供本单位制造的货物，或者提供其他残疾人福利性单位制造的货物（不包括使用非残疾人福利性单位注册商标的货物）。</w:t>
      </w:r>
    </w:p>
    <w:p>
      <w:pPr>
        <w:spacing w:line="360" w:lineRule="auto"/>
        <w:ind w:firstLine="435"/>
        <w:rPr>
          <w:rFonts w:ascii="宋体" w:hAnsi="宋体" w:eastAsia="宋体"/>
          <w:spacing w:val="6"/>
          <w:sz w:val="24"/>
          <w:szCs w:val="24"/>
          <w:highlight w:val="none"/>
        </w:rPr>
      </w:pPr>
      <w:r>
        <w:rPr>
          <w:rFonts w:hint="eastAsia" w:ascii="宋体" w:hAnsi="宋体" w:eastAsia="宋体"/>
          <w:spacing w:val="6"/>
          <w:sz w:val="24"/>
          <w:szCs w:val="24"/>
          <w:highlight w:val="none"/>
        </w:rPr>
        <w:t>本单位对上述声明的真实性负责。如有虚假，将依法承担相应责任。</w:t>
      </w:r>
    </w:p>
    <w:p>
      <w:pPr>
        <w:spacing w:line="360" w:lineRule="auto"/>
        <w:ind w:firstLine="4228" w:firstLineChars="1762"/>
        <w:rPr>
          <w:rFonts w:ascii="宋体" w:hAnsi="宋体" w:eastAsia="宋体"/>
          <w:sz w:val="24"/>
          <w:szCs w:val="24"/>
          <w:highlight w:val="none"/>
        </w:rPr>
      </w:pPr>
    </w:p>
    <w:p>
      <w:pPr>
        <w:spacing w:line="360" w:lineRule="auto"/>
        <w:ind w:firstLine="4228" w:firstLineChars="1762"/>
        <w:rPr>
          <w:rFonts w:ascii="宋体" w:hAnsi="宋体" w:eastAsia="宋体"/>
          <w:sz w:val="24"/>
          <w:szCs w:val="24"/>
          <w:highlight w:val="none"/>
        </w:rPr>
      </w:pPr>
    </w:p>
    <w:p>
      <w:pPr>
        <w:spacing w:line="360" w:lineRule="auto"/>
        <w:ind w:firstLine="4228" w:firstLineChars="1762"/>
        <w:rPr>
          <w:rFonts w:hint="eastAsia" w:ascii="宋体" w:hAnsi="宋体" w:eastAsia="宋体"/>
          <w:sz w:val="24"/>
          <w:highlight w:val="none"/>
          <w:u w:val="single"/>
        </w:rPr>
      </w:pPr>
      <w:r>
        <w:rPr>
          <w:rFonts w:hint="eastAsia" w:ascii="宋体" w:hAnsi="宋体" w:eastAsia="宋体"/>
          <w:sz w:val="24"/>
          <w:highlight w:val="none"/>
        </w:rPr>
        <w:t>投标人：</w:t>
      </w:r>
      <w:r>
        <w:rPr>
          <w:rFonts w:hint="eastAsia" w:ascii="宋体" w:hAnsi="宋体" w:eastAsia="宋体"/>
          <w:sz w:val="24"/>
          <w:highlight w:val="none"/>
          <w:u w:val="single"/>
        </w:rPr>
        <w:t xml:space="preserve">              </w:t>
      </w:r>
      <w:r>
        <w:rPr>
          <w:rFonts w:hint="eastAsia" w:ascii="宋体" w:hAnsi="宋体" w:eastAsia="宋体"/>
          <w:sz w:val="24"/>
          <w:highlight w:val="none"/>
        </w:rPr>
        <w:t>（盖单位章）</w:t>
      </w:r>
    </w:p>
    <w:p>
      <w:pPr>
        <w:tabs>
          <w:tab w:val="left" w:pos="4620"/>
        </w:tabs>
        <w:spacing w:line="360" w:lineRule="auto"/>
        <w:ind w:firstLine="4252" w:firstLineChars="1772"/>
        <w:rPr>
          <w:rFonts w:ascii="宋体" w:hAnsi="宋体" w:eastAsia="宋体"/>
          <w:sz w:val="24"/>
          <w:szCs w:val="24"/>
          <w:highlight w:val="none"/>
          <w:u w:val="singl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r>
        <w:rPr>
          <w:rFonts w:hint="eastAsia" w:ascii="宋体" w:hAnsi="宋体" w:eastAsia="宋体"/>
          <w:sz w:val="24"/>
          <w:highlight w:val="none"/>
        </w:rPr>
        <w:t>年</w:t>
      </w:r>
      <w:r>
        <w:rPr>
          <w:rFonts w:hint="eastAsia" w:ascii="宋体" w:hAnsi="宋体" w:eastAsia="宋体"/>
          <w:sz w:val="24"/>
          <w:highlight w:val="none"/>
          <w:u w:val="single"/>
        </w:rPr>
        <w:t xml:space="preserve">   </w:t>
      </w:r>
      <w:r>
        <w:rPr>
          <w:rFonts w:hint="eastAsia" w:ascii="宋体" w:hAnsi="宋体" w:eastAsia="宋体"/>
          <w:sz w:val="24"/>
          <w:highlight w:val="none"/>
        </w:rPr>
        <w:t>月</w:t>
      </w:r>
      <w:r>
        <w:rPr>
          <w:rFonts w:hint="eastAsia" w:ascii="宋体" w:hAnsi="宋体" w:eastAsia="宋体"/>
          <w:sz w:val="24"/>
          <w:highlight w:val="none"/>
          <w:u w:val="single"/>
        </w:rPr>
        <w:t xml:space="preserve">   </w:t>
      </w:r>
      <w:r>
        <w:rPr>
          <w:rFonts w:hint="eastAsia" w:ascii="宋体" w:hAnsi="宋体" w:eastAsia="宋体"/>
          <w:sz w:val="24"/>
          <w:highlight w:val="none"/>
        </w:rPr>
        <w:t>日</w:t>
      </w:r>
      <w:r>
        <w:rPr>
          <w:rFonts w:ascii="宋体" w:hAnsi="宋体" w:eastAsia="宋体"/>
          <w:sz w:val="24"/>
          <w:szCs w:val="24"/>
          <w:highlight w:val="none"/>
          <w:u w:val="single"/>
        </w:rPr>
        <w:t xml:space="preserve">            </w:t>
      </w:r>
    </w:p>
    <w:p>
      <w:pPr>
        <w:jc w:val="center"/>
        <w:outlineLvl w:val="1"/>
        <w:rPr>
          <w:rFonts w:hint="eastAsia" w:ascii="Arial" w:hAnsi="Arial" w:eastAsia="方正黑体_GBK" w:cs="Arial"/>
          <w:bCs/>
          <w:kern w:val="2"/>
          <w:sz w:val="28"/>
          <w:szCs w:val="32"/>
          <w:highlight w:val="none"/>
          <w:lang w:val="en-US" w:eastAsia="zh-CN" w:bidi="ar-SA"/>
        </w:rPr>
      </w:pPr>
      <w:r>
        <w:rPr>
          <w:rFonts w:ascii="Arial" w:hAnsi="Arial" w:eastAsia="宋体" w:cs="Arial"/>
          <w:b/>
          <w:sz w:val="24"/>
          <w:highlight w:val="none"/>
        </w:rPr>
        <w:br w:type="page"/>
      </w:r>
      <w:bookmarkStart w:id="529" w:name="_Toc1476555902"/>
      <w:bookmarkStart w:id="530" w:name="_Toc53039241"/>
      <w:bookmarkStart w:id="531" w:name="_Toc50844081"/>
      <w:bookmarkStart w:id="532" w:name="_Toc1991992046"/>
      <w:bookmarkStart w:id="533" w:name="_Toc472458857"/>
      <w:bookmarkStart w:id="534" w:name="_Toc874997541"/>
      <w:bookmarkStart w:id="535" w:name="_Toc1420445147"/>
      <w:bookmarkStart w:id="536" w:name="_Toc1561118810_WPSOffice_Level1"/>
      <w:r>
        <w:rPr>
          <w:rFonts w:hint="eastAsia" w:ascii="Arial" w:hAnsi="Arial" w:eastAsia="方正黑体_GBK" w:cs="Arial"/>
          <w:bCs/>
          <w:kern w:val="2"/>
          <w:sz w:val="28"/>
          <w:szCs w:val="32"/>
          <w:highlight w:val="none"/>
          <w:lang w:val="en-US" w:eastAsia="zh-CN" w:bidi="ar-SA"/>
        </w:rPr>
        <w:t>十四、监狱企业证明</w:t>
      </w:r>
      <w:bookmarkEnd w:id="529"/>
      <w:bookmarkEnd w:id="530"/>
      <w:bookmarkEnd w:id="531"/>
      <w:bookmarkEnd w:id="532"/>
      <w:bookmarkEnd w:id="533"/>
      <w:bookmarkEnd w:id="534"/>
      <w:bookmarkEnd w:id="535"/>
      <w:bookmarkEnd w:id="536"/>
    </w:p>
    <w:p>
      <w:pPr>
        <w:rPr>
          <w:rFonts w:ascii="Arial" w:hAnsi="Arial" w:eastAsia="宋体" w:cs="Arial"/>
          <w:b/>
          <w:sz w:val="24"/>
          <w:highlight w:val="none"/>
        </w:rPr>
      </w:pPr>
    </w:p>
    <w:p>
      <w:pPr>
        <w:rPr>
          <w:highlight w:val="none"/>
        </w:rPr>
      </w:pPr>
    </w:p>
    <w:p>
      <w:pPr>
        <w:tabs>
          <w:tab w:val="left" w:pos="4620"/>
        </w:tabs>
        <w:spacing w:line="360" w:lineRule="auto"/>
        <w:ind w:firstLine="420" w:firstLineChars="200"/>
        <w:jc w:val="left"/>
        <w:rPr>
          <w:rFonts w:hint="eastAsia" w:ascii="宋体" w:hAnsi="宋体" w:eastAsia="宋体"/>
          <w:szCs w:val="24"/>
          <w:highlight w:val="none"/>
        </w:rPr>
      </w:pPr>
      <w:r>
        <w:rPr>
          <w:rFonts w:hint="eastAsia" w:ascii="宋体" w:hAnsi="宋体" w:eastAsia="宋体"/>
          <w:szCs w:val="24"/>
          <w:highlight w:val="none"/>
        </w:rPr>
        <w:t>注：提供省级以上监狱管理局、戒毒管理局（含新疆生产建设兵团）出具的属于监狱企业的证明文件。</w:t>
      </w:r>
    </w:p>
    <w:p>
      <w:pPr>
        <w:rPr>
          <w:rFonts w:ascii="Arial" w:hAnsi="Arial" w:eastAsia="宋体" w:cs="Arial"/>
          <w:b/>
          <w:color w:val="FF0000"/>
          <w:sz w:val="24"/>
          <w:highlight w:val="none"/>
        </w:rPr>
        <w:sectPr>
          <w:pgSz w:w="11906" w:h="16838"/>
          <w:pgMar w:top="1440" w:right="1706" w:bottom="1440" w:left="1800" w:header="851" w:footer="992" w:gutter="0"/>
          <w:pgNumType w:fmt="decimal"/>
          <w:cols w:space="720" w:num="1"/>
          <w:docGrid w:type="lines" w:linePitch="312" w:charSpace="0"/>
        </w:sectPr>
      </w:pPr>
    </w:p>
    <w:p>
      <w:pPr>
        <w:pStyle w:val="5"/>
        <w:keepNext/>
        <w:keepLines/>
        <w:pageBreakBefore w:val="0"/>
        <w:widowControl w:val="0"/>
        <w:kinsoku/>
        <w:wordWrap/>
        <w:overflowPunct/>
        <w:topLinePunct w:val="0"/>
        <w:autoSpaceDE/>
        <w:autoSpaceDN/>
        <w:bidi w:val="0"/>
        <w:adjustRightInd/>
        <w:snapToGrid/>
        <w:ind w:firstLine="0" w:firstLineChars="0"/>
        <w:jc w:val="center"/>
        <w:textAlignment w:val="auto"/>
        <w:rPr>
          <w:rFonts w:ascii="Arial" w:hAnsi="Arial" w:cs="Arial"/>
          <w:highlight w:val="none"/>
          <w:lang w:val="en-US" w:eastAsia="zh-CN"/>
        </w:rPr>
      </w:pPr>
      <w:bookmarkStart w:id="537" w:name="_Toc1564971255_WPSOffice_Level1"/>
      <w:bookmarkStart w:id="538" w:name="_Toc826016846"/>
      <w:bookmarkStart w:id="539" w:name="_Toc2048151271"/>
      <w:bookmarkStart w:id="540" w:name="_Toc1378767422"/>
      <w:bookmarkStart w:id="541" w:name="_Toc327417536"/>
      <w:bookmarkStart w:id="542" w:name="_Toc677833634"/>
      <w:bookmarkStart w:id="543" w:name="_Toc658770568"/>
      <w:bookmarkStart w:id="544" w:name="_Toc2100200229"/>
      <w:r>
        <w:rPr>
          <w:rFonts w:hint="eastAsia" w:ascii="Arial" w:hAnsi="Arial" w:cs="Arial"/>
          <w:highlight w:val="none"/>
          <w:lang w:val="en-US" w:eastAsia="zh-CN"/>
        </w:rPr>
        <w:t>十五、</w:t>
      </w:r>
      <w:r>
        <w:rPr>
          <w:rFonts w:ascii="Arial" w:hAnsi="Arial" w:cs="Arial"/>
          <w:highlight w:val="none"/>
          <w:lang w:val="en-US" w:eastAsia="zh-CN"/>
        </w:rPr>
        <w:t>所投各产品属于政府采购节能产品、环境标志产品清单的证明文件</w:t>
      </w:r>
      <w:bookmarkEnd w:id="537"/>
      <w:bookmarkEnd w:id="538"/>
      <w:bookmarkEnd w:id="539"/>
      <w:bookmarkEnd w:id="540"/>
      <w:bookmarkEnd w:id="541"/>
      <w:bookmarkEnd w:id="542"/>
      <w:bookmarkEnd w:id="543"/>
      <w:bookmarkEnd w:id="544"/>
    </w:p>
    <w:p>
      <w:pPr>
        <w:spacing w:line="0" w:lineRule="atLeast"/>
        <w:jc w:val="center"/>
        <w:rPr>
          <w:rFonts w:ascii="Arial" w:hAnsi="Arial" w:eastAsia="宋体" w:cs="Arial"/>
          <w:sz w:val="24"/>
          <w:szCs w:val="28"/>
          <w:highlight w:val="none"/>
        </w:rPr>
      </w:pPr>
      <w:bookmarkStart w:id="545" w:name="_Toc2029303880_WPSOffice_Level2"/>
      <w:r>
        <w:rPr>
          <w:rFonts w:ascii="Arial" w:hAnsi="Arial" w:eastAsia="宋体" w:cs="Arial"/>
          <w:sz w:val="24"/>
          <w:szCs w:val="28"/>
          <w:highlight w:val="none"/>
        </w:rPr>
        <w:t>（非节能、环保产品，不需此件）</w:t>
      </w:r>
      <w:bookmarkEnd w:id="545"/>
    </w:p>
    <w:p>
      <w:pPr>
        <w:spacing w:line="0" w:lineRule="atLeast"/>
        <w:rPr>
          <w:rFonts w:ascii="Arial" w:hAnsi="Arial" w:eastAsia="宋体" w:cs="Arial"/>
          <w:sz w:val="24"/>
          <w:highlight w:val="none"/>
        </w:rPr>
      </w:pPr>
    </w:p>
    <w:p>
      <w:pPr>
        <w:snapToGrid w:val="0"/>
        <w:spacing w:line="0" w:lineRule="atLeast"/>
        <w:rPr>
          <w:rFonts w:hint="eastAsia" w:ascii="宋体" w:hAnsi="宋体" w:eastAsia="宋体" w:cs="宋体"/>
          <w:sz w:val="24"/>
          <w:szCs w:val="24"/>
          <w:highlight w:val="none"/>
        </w:rPr>
      </w:pPr>
      <w:bookmarkStart w:id="546" w:name="_Toc338055922_WPSOffice_Level2"/>
      <w:r>
        <w:rPr>
          <w:rFonts w:hint="eastAsia" w:ascii="宋体" w:hAnsi="宋体" w:eastAsia="宋体" w:cs="宋体"/>
          <w:sz w:val="24"/>
          <w:szCs w:val="24"/>
          <w:highlight w:val="none"/>
        </w:rPr>
        <w:t>附件1.</w:t>
      </w:r>
      <w:bookmarkEnd w:id="546"/>
    </w:p>
    <w:p>
      <w:pPr>
        <w:snapToGrid w:val="0"/>
        <w:spacing w:line="0" w:lineRule="atLeast"/>
        <w:jc w:val="center"/>
        <w:rPr>
          <w:rFonts w:hint="eastAsia" w:ascii="Arial" w:hAnsi="Arial" w:eastAsia="宋体" w:cs="Arial"/>
          <w:sz w:val="24"/>
          <w:szCs w:val="24"/>
          <w:highlight w:val="none"/>
          <w:lang w:eastAsia="zh-CN"/>
        </w:rPr>
      </w:pPr>
      <w:bookmarkStart w:id="547" w:name="_Toc354218522_WPSOffice_Level2"/>
      <w:r>
        <w:rPr>
          <w:rFonts w:ascii="Arial" w:hAnsi="Arial" w:eastAsia="宋体" w:cs="Arial"/>
          <w:sz w:val="24"/>
          <w:szCs w:val="24"/>
          <w:highlight w:val="none"/>
        </w:rPr>
        <w:t>节能产品证明材料</w:t>
      </w:r>
      <w:bookmarkEnd w:id="547"/>
    </w:p>
    <w:p>
      <w:pPr>
        <w:pStyle w:val="2"/>
        <w:rPr>
          <w:rFonts w:hint="eastAsia"/>
          <w:highlight w:val="none"/>
          <w:lang w:eastAsia="zh-CN"/>
        </w:rPr>
      </w:pPr>
    </w:p>
    <w:p>
      <w:pPr>
        <w:pStyle w:val="2"/>
        <w:rPr>
          <w:rFonts w:hint="eastAsia"/>
          <w:highlight w:val="none"/>
          <w:lang w:eastAsia="zh-CN"/>
        </w:rPr>
      </w:pPr>
    </w:p>
    <w:tbl>
      <w:tblPr>
        <w:tblStyle w:val="2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907"/>
        <w:gridCol w:w="1968"/>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80" w:type="dxa"/>
            <w:gridSpan w:val="4"/>
            <w:noWrap w:val="0"/>
            <w:vAlign w:val="center"/>
          </w:tcPr>
          <w:p>
            <w:pPr>
              <w:snapToGrid w:val="0"/>
              <w:spacing w:line="0" w:lineRule="atLeast"/>
              <w:jc w:val="center"/>
              <w:rPr>
                <w:rFonts w:ascii="Arial" w:hAnsi="Arial" w:eastAsia="宋体" w:cs="Arial"/>
                <w:sz w:val="24"/>
                <w:szCs w:val="24"/>
                <w:highlight w:val="none"/>
              </w:rPr>
            </w:pPr>
            <w:r>
              <w:rPr>
                <w:rFonts w:ascii="Arial" w:hAnsi="Arial" w:eastAsia="宋体" w:cs="Arial"/>
                <w:sz w:val="24"/>
                <w:szCs w:val="24"/>
                <w:highlight w:val="none"/>
              </w:rPr>
              <w:t>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45"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产品名称</w:t>
            </w:r>
          </w:p>
        </w:tc>
        <w:tc>
          <w:tcPr>
            <w:tcW w:w="1907"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品牌</w:t>
            </w:r>
          </w:p>
        </w:tc>
        <w:tc>
          <w:tcPr>
            <w:tcW w:w="1968"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产品型号</w:t>
            </w:r>
          </w:p>
        </w:tc>
        <w:tc>
          <w:tcPr>
            <w:tcW w:w="3160" w:type="dxa"/>
            <w:noWrap w:val="0"/>
            <w:vAlign w:val="center"/>
          </w:tcPr>
          <w:p>
            <w:pPr>
              <w:snapToGrid w:val="0"/>
              <w:spacing w:line="0" w:lineRule="atLeast"/>
              <w:jc w:val="center"/>
              <w:rPr>
                <w:rFonts w:ascii="Arial" w:hAnsi="Arial" w:eastAsia="宋体" w:cs="Arial"/>
                <w:bCs/>
                <w:sz w:val="24"/>
                <w:szCs w:val="24"/>
                <w:highlight w:val="none"/>
              </w:rPr>
            </w:pPr>
            <w:r>
              <w:rPr>
                <w:rFonts w:hint="eastAsia" w:ascii="Arial" w:hAnsi="Arial" w:eastAsia="宋体" w:cs="Arial"/>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r>
              <w:rPr>
                <w:rFonts w:hint="eastAsia" w:ascii="Arial" w:hAnsi="Arial" w:eastAsia="宋体" w:cs="Arial"/>
                <w:sz w:val="24"/>
                <w:szCs w:val="24"/>
                <w:highlight w:val="none"/>
                <w:lang w:eastAsia="zh-CN"/>
              </w:rPr>
              <w:t>……</w:t>
            </w: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80" w:type="dxa"/>
            <w:gridSpan w:val="4"/>
            <w:noWrap w:val="0"/>
            <w:vAlign w:val="center"/>
          </w:tcPr>
          <w:p>
            <w:pPr>
              <w:snapToGrid w:val="0"/>
              <w:spacing w:line="0" w:lineRule="atLeast"/>
              <w:jc w:val="center"/>
              <w:rPr>
                <w:rFonts w:ascii="Arial" w:hAnsi="Arial" w:eastAsia="宋体" w:cs="Arial"/>
                <w:sz w:val="24"/>
                <w:szCs w:val="24"/>
                <w:highlight w:val="none"/>
              </w:rPr>
            </w:pPr>
            <w:r>
              <w:rPr>
                <w:rFonts w:ascii="Arial" w:hAnsi="Arial" w:eastAsia="宋体" w:cs="Arial"/>
                <w:sz w:val="24"/>
                <w:szCs w:val="24"/>
                <w:highlight w:val="none"/>
              </w:rPr>
              <w:t>优先节能产品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45"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产品名称</w:t>
            </w:r>
          </w:p>
        </w:tc>
        <w:tc>
          <w:tcPr>
            <w:tcW w:w="1907"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品牌</w:t>
            </w:r>
          </w:p>
        </w:tc>
        <w:tc>
          <w:tcPr>
            <w:tcW w:w="1968"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产品型号</w:t>
            </w:r>
          </w:p>
        </w:tc>
        <w:tc>
          <w:tcPr>
            <w:tcW w:w="3160" w:type="dxa"/>
            <w:noWrap w:val="0"/>
            <w:vAlign w:val="center"/>
          </w:tcPr>
          <w:p>
            <w:pPr>
              <w:snapToGrid w:val="0"/>
              <w:spacing w:line="0" w:lineRule="atLeast"/>
              <w:jc w:val="center"/>
              <w:rPr>
                <w:rFonts w:ascii="Arial" w:hAnsi="Arial" w:eastAsia="宋体" w:cs="Arial"/>
                <w:bCs/>
                <w:sz w:val="24"/>
                <w:szCs w:val="24"/>
                <w:highlight w:val="none"/>
              </w:rPr>
            </w:pPr>
            <w:r>
              <w:rPr>
                <w:rFonts w:hint="eastAsia" w:ascii="Arial" w:hAnsi="Arial" w:eastAsia="宋体" w:cs="Arial"/>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45" w:type="dxa"/>
            <w:noWrap w:val="0"/>
            <w:vAlign w:val="center"/>
          </w:tcPr>
          <w:p>
            <w:pPr>
              <w:snapToGrid w:val="0"/>
              <w:spacing w:line="0" w:lineRule="atLeast"/>
              <w:jc w:val="center"/>
              <w:rPr>
                <w:rFonts w:ascii="Arial" w:hAnsi="Arial" w:eastAsia="宋体" w:cs="Arial"/>
                <w:sz w:val="24"/>
                <w:szCs w:val="24"/>
                <w:highlight w:val="none"/>
              </w:rPr>
            </w:pPr>
            <w:r>
              <w:rPr>
                <w:rFonts w:hint="eastAsia" w:ascii="Arial" w:hAnsi="Arial" w:eastAsia="宋体" w:cs="Arial"/>
                <w:sz w:val="24"/>
                <w:szCs w:val="24"/>
                <w:highlight w:val="none"/>
                <w:lang w:eastAsia="zh-CN"/>
              </w:rPr>
              <w:t>……</w:t>
            </w:r>
          </w:p>
        </w:tc>
        <w:tc>
          <w:tcPr>
            <w:tcW w:w="1907" w:type="dxa"/>
            <w:noWrap w:val="0"/>
            <w:vAlign w:val="center"/>
          </w:tcPr>
          <w:p>
            <w:pPr>
              <w:snapToGrid w:val="0"/>
              <w:spacing w:line="0" w:lineRule="atLeast"/>
              <w:jc w:val="center"/>
              <w:rPr>
                <w:rFonts w:ascii="Arial" w:hAnsi="Arial" w:eastAsia="宋体" w:cs="Arial"/>
                <w:sz w:val="24"/>
                <w:szCs w:val="24"/>
                <w:highlight w:val="none"/>
              </w:rPr>
            </w:pPr>
          </w:p>
        </w:tc>
        <w:tc>
          <w:tcPr>
            <w:tcW w:w="1968" w:type="dxa"/>
            <w:noWrap w:val="0"/>
            <w:vAlign w:val="center"/>
          </w:tcPr>
          <w:p>
            <w:pPr>
              <w:snapToGrid w:val="0"/>
              <w:spacing w:line="0" w:lineRule="atLeast"/>
              <w:jc w:val="center"/>
              <w:rPr>
                <w:rFonts w:ascii="Arial" w:hAnsi="Arial" w:eastAsia="宋体" w:cs="Arial"/>
                <w:sz w:val="24"/>
                <w:szCs w:val="24"/>
                <w:highlight w:val="none"/>
              </w:rPr>
            </w:pPr>
          </w:p>
        </w:tc>
        <w:tc>
          <w:tcPr>
            <w:tcW w:w="3160" w:type="dxa"/>
            <w:noWrap w:val="0"/>
            <w:vAlign w:val="center"/>
          </w:tcPr>
          <w:p>
            <w:pPr>
              <w:snapToGrid w:val="0"/>
              <w:spacing w:line="0" w:lineRule="atLeast"/>
              <w:jc w:val="center"/>
              <w:rPr>
                <w:rFonts w:ascii="Arial" w:hAnsi="Arial" w:eastAsia="宋体" w:cs="Arial"/>
                <w:sz w:val="24"/>
                <w:szCs w:val="24"/>
                <w:highlight w:val="none"/>
              </w:rPr>
            </w:pPr>
          </w:p>
        </w:tc>
      </w:tr>
    </w:tbl>
    <w:p>
      <w:pPr>
        <w:snapToGrid w:val="0"/>
        <w:spacing w:line="0" w:lineRule="atLeast"/>
        <w:rPr>
          <w:rFonts w:ascii="Arial" w:hAnsi="Arial" w:eastAsia="宋体" w:cs="Arial"/>
          <w:sz w:val="24"/>
          <w:szCs w:val="24"/>
          <w:highlight w:val="none"/>
        </w:rPr>
      </w:pPr>
    </w:p>
    <w:p>
      <w:pPr>
        <w:snapToGrid w:val="0"/>
        <w:spacing w:line="0" w:lineRule="atLeast"/>
        <w:rPr>
          <w:rFonts w:ascii="Arial" w:hAnsi="Arial" w:eastAsia="宋体" w:cs="Arial"/>
          <w:szCs w:val="21"/>
          <w:highlight w:val="none"/>
        </w:rPr>
      </w:pPr>
      <w:r>
        <w:rPr>
          <w:rFonts w:ascii="Arial" w:hAnsi="Arial" w:eastAsia="宋体" w:cs="Arial"/>
          <w:szCs w:val="21"/>
          <w:highlight w:val="none"/>
        </w:rPr>
        <w:t>注：所投产品属于节能产品的，投标文件中须提供市场监管总局发布的《参与实施政府采购节能产品认证机构名录》中的认证机构出具的、处于有效期之内的节能产品认证证书，否则评审时不予认可。</w:t>
      </w:r>
    </w:p>
    <w:p>
      <w:pPr>
        <w:snapToGrid w:val="0"/>
        <w:spacing w:line="0" w:lineRule="atLeast"/>
        <w:rPr>
          <w:rFonts w:ascii="Arial" w:hAnsi="Arial" w:eastAsia="宋体" w:cs="Arial"/>
          <w:sz w:val="24"/>
          <w:szCs w:val="24"/>
          <w:highlight w:val="none"/>
        </w:rPr>
      </w:pPr>
    </w:p>
    <w:p>
      <w:pPr>
        <w:snapToGrid w:val="0"/>
        <w:spacing w:line="0" w:lineRule="atLeast"/>
        <w:rPr>
          <w:rFonts w:ascii="Arial" w:hAnsi="Arial" w:eastAsia="宋体" w:cs="Arial"/>
          <w:sz w:val="24"/>
          <w:szCs w:val="24"/>
          <w:highlight w:val="none"/>
        </w:rPr>
      </w:pPr>
    </w:p>
    <w:p>
      <w:pPr>
        <w:rPr>
          <w:rFonts w:hint="eastAsia" w:ascii="宋体" w:hAnsi="宋体" w:eastAsia="宋体" w:cs="宋体"/>
          <w:sz w:val="24"/>
          <w:szCs w:val="24"/>
          <w:highlight w:val="none"/>
        </w:rPr>
      </w:pPr>
      <w:r>
        <w:rPr>
          <w:rFonts w:ascii="Arial" w:hAnsi="Arial" w:eastAsia="宋体" w:cs="Arial"/>
          <w:sz w:val="24"/>
          <w:szCs w:val="24"/>
          <w:highlight w:val="none"/>
        </w:rPr>
        <w:br w:type="page"/>
      </w:r>
      <w:bookmarkStart w:id="548" w:name="_Toc1319679686_WPSOffice_Level2"/>
      <w:r>
        <w:rPr>
          <w:rFonts w:hint="eastAsia" w:ascii="宋体" w:hAnsi="宋体" w:eastAsia="宋体" w:cs="宋体"/>
          <w:sz w:val="24"/>
          <w:szCs w:val="24"/>
          <w:highlight w:val="none"/>
        </w:rPr>
        <w:t>附件2.</w:t>
      </w:r>
      <w:bookmarkEnd w:id="548"/>
      <w:r>
        <w:rPr>
          <w:rFonts w:hint="eastAsia" w:ascii="宋体" w:hAnsi="宋体" w:eastAsia="宋体" w:cs="宋体"/>
          <w:sz w:val="24"/>
          <w:szCs w:val="24"/>
          <w:highlight w:val="none"/>
        </w:rPr>
        <w:t xml:space="preserve">  </w:t>
      </w:r>
    </w:p>
    <w:p>
      <w:pPr>
        <w:snapToGrid w:val="0"/>
        <w:spacing w:line="0" w:lineRule="atLeast"/>
        <w:jc w:val="center"/>
        <w:rPr>
          <w:rFonts w:hint="eastAsia" w:ascii="Arial" w:hAnsi="Arial" w:eastAsia="宋体" w:cs="Arial"/>
          <w:sz w:val="24"/>
          <w:szCs w:val="24"/>
          <w:highlight w:val="none"/>
          <w:lang w:eastAsia="zh-CN"/>
        </w:rPr>
      </w:pPr>
      <w:bookmarkStart w:id="549" w:name="_Toc523656652_WPSOffice_Level2"/>
      <w:r>
        <w:rPr>
          <w:rFonts w:ascii="Arial" w:hAnsi="Arial" w:eastAsia="宋体" w:cs="Arial"/>
          <w:sz w:val="24"/>
          <w:szCs w:val="24"/>
          <w:highlight w:val="none"/>
        </w:rPr>
        <w:t>环境标志产品证明材料</w:t>
      </w:r>
      <w:bookmarkEnd w:id="549"/>
    </w:p>
    <w:p>
      <w:pPr>
        <w:pStyle w:val="2"/>
        <w:rPr>
          <w:rFonts w:hint="eastAsia"/>
          <w:highlight w:val="none"/>
          <w:lang w:eastAsia="zh-CN"/>
        </w:rPr>
      </w:pPr>
    </w:p>
    <w:p>
      <w:pPr>
        <w:pStyle w:val="2"/>
        <w:rPr>
          <w:rFonts w:hint="eastAsia"/>
          <w:highlight w:val="none"/>
          <w:lang w:eastAsia="zh-CN"/>
        </w:rPr>
      </w:pPr>
    </w:p>
    <w:tbl>
      <w:tblPr>
        <w:tblStyle w:val="2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253"/>
        <w:gridCol w:w="2861"/>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826"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产品名称</w:t>
            </w:r>
          </w:p>
        </w:tc>
        <w:tc>
          <w:tcPr>
            <w:tcW w:w="2253"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品牌</w:t>
            </w:r>
          </w:p>
        </w:tc>
        <w:tc>
          <w:tcPr>
            <w:tcW w:w="2861" w:type="dxa"/>
            <w:noWrap w:val="0"/>
            <w:vAlign w:val="center"/>
          </w:tcPr>
          <w:p>
            <w:pPr>
              <w:snapToGrid w:val="0"/>
              <w:spacing w:line="0" w:lineRule="atLeast"/>
              <w:jc w:val="center"/>
              <w:rPr>
                <w:rFonts w:ascii="Arial" w:hAnsi="Arial" w:eastAsia="宋体" w:cs="Arial"/>
                <w:bCs/>
                <w:sz w:val="24"/>
                <w:szCs w:val="24"/>
                <w:highlight w:val="none"/>
              </w:rPr>
            </w:pPr>
            <w:r>
              <w:rPr>
                <w:rFonts w:ascii="Arial" w:hAnsi="Arial" w:eastAsia="宋体" w:cs="Arial"/>
                <w:bCs/>
                <w:sz w:val="24"/>
                <w:szCs w:val="24"/>
                <w:highlight w:val="none"/>
              </w:rPr>
              <w:t>产品型号</w:t>
            </w:r>
          </w:p>
        </w:tc>
        <w:tc>
          <w:tcPr>
            <w:tcW w:w="1578" w:type="dxa"/>
            <w:noWrap w:val="0"/>
            <w:vAlign w:val="center"/>
          </w:tcPr>
          <w:p>
            <w:pPr>
              <w:snapToGrid w:val="0"/>
              <w:spacing w:line="0" w:lineRule="atLeast"/>
              <w:jc w:val="center"/>
              <w:rPr>
                <w:rFonts w:ascii="Arial" w:hAnsi="Arial" w:eastAsia="宋体" w:cs="Arial"/>
                <w:bCs/>
                <w:sz w:val="24"/>
                <w:szCs w:val="24"/>
                <w:highlight w:val="none"/>
              </w:rPr>
            </w:pPr>
            <w:r>
              <w:rPr>
                <w:rFonts w:hint="eastAsia" w:ascii="Arial" w:hAnsi="Arial" w:eastAsia="宋体" w:cs="Arial"/>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26" w:type="dxa"/>
            <w:noWrap w:val="0"/>
            <w:vAlign w:val="center"/>
          </w:tcPr>
          <w:p>
            <w:pPr>
              <w:snapToGrid w:val="0"/>
              <w:spacing w:line="0" w:lineRule="atLeast"/>
              <w:jc w:val="center"/>
              <w:rPr>
                <w:rFonts w:ascii="Arial" w:hAnsi="Arial" w:eastAsia="宋体" w:cs="Arial"/>
                <w:sz w:val="24"/>
                <w:szCs w:val="24"/>
                <w:highlight w:val="none"/>
              </w:rPr>
            </w:pPr>
          </w:p>
        </w:tc>
        <w:tc>
          <w:tcPr>
            <w:tcW w:w="2253" w:type="dxa"/>
            <w:noWrap w:val="0"/>
            <w:vAlign w:val="center"/>
          </w:tcPr>
          <w:p>
            <w:pPr>
              <w:snapToGrid w:val="0"/>
              <w:spacing w:line="0" w:lineRule="atLeast"/>
              <w:jc w:val="center"/>
              <w:rPr>
                <w:rFonts w:ascii="Arial" w:hAnsi="Arial" w:eastAsia="宋体" w:cs="Arial"/>
                <w:sz w:val="24"/>
                <w:szCs w:val="24"/>
                <w:highlight w:val="none"/>
              </w:rPr>
            </w:pPr>
          </w:p>
        </w:tc>
        <w:tc>
          <w:tcPr>
            <w:tcW w:w="2861" w:type="dxa"/>
            <w:noWrap w:val="0"/>
            <w:vAlign w:val="center"/>
          </w:tcPr>
          <w:p>
            <w:pPr>
              <w:snapToGrid w:val="0"/>
              <w:spacing w:line="0" w:lineRule="atLeast"/>
              <w:jc w:val="center"/>
              <w:rPr>
                <w:rFonts w:ascii="Arial" w:hAnsi="Arial" w:eastAsia="宋体" w:cs="Arial"/>
                <w:sz w:val="24"/>
                <w:szCs w:val="24"/>
                <w:highlight w:val="none"/>
              </w:rPr>
            </w:pPr>
          </w:p>
        </w:tc>
        <w:tc>
          <w:tcPr>
            <w:tcW w:w="1578"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26" w:type="dxa"/>
            <w:noWrap w:val="0"/>
            <w:vAlign w:val="center"/>
          </w:tcPr>
          <w:p>
            <w:pPr>
              <w:snapToGrid w:val="0"/>
              <w:spacing w:line="0" w:lineRule="atLeast"/>
              <w:jc w:val="center"/>
              <w:rPr>
                <w:rFonts w:ascii="Arial" w:hAnsi="Arial" w:eastAsia="宋体" w:cs="Arial"/>
                <w:sz w:val="24"/>
                <w:szCs w:val="24"/>
                <w:highlight w:val="none"/>
              </w:rPr>
            </w:pPr>
          </w:p>
        </w:tc>
        <w:tc>
          <w:tcPr>
            <w:tcW w:w="2253" w:type="dxa"/>
            <w:noWrap w:val="0"/>
            <w:vAlign w:val="center"/>
          </w:tcPr>
          <w:p>
            <w:pPr>
              <w:snapToGrid w:val="0"/>
              <w:spacing w:line="0" w:lineRule="atLeast"/>
              <w:jc w:val="center"/>
              <w:rPr>
                <w:rFonts w:ascii="Arial" w:hAnsi="Arial" w:eastAsia="宋体" w:cs="Arial"/>
                <w:sz w:val="24"/>
                <w:szCs w:val="24"/>
                <w:highlight w:val="none"/>
              </w:rPr>
            </w:pPr>
          </w:p>
        </w:tc>
        <w:tc>
          <w:tcPr>
            <w:tcW w:w="2861" w:type="dxa"/>
            <w:noWrap w:val="0"/>
            <w:vAlign w:val="center"/>
          </w:tcPr>
          <w:p>
            <w:pPr>
              <w:snapToGrid w:val="0"/>
              <w:spacing w:line="0" w:lineRule="atLeast"/>
              <w:jc w:val="center"/>
              <w:rPr>
                <w:rFonts w:ascii="Arial" w:hAnsi="Arial" w:eastAsia="宋体" w:cs="Arial"/>
                <w:sz w:val="24"/>
                <w:szCs w:val="24"/>
                <w:highlight w:val="none"/>
              </w:rPr>
            </w:pPr>
          </w:p>
        </w:tc>
        <w:tc>
          <w:tcPr>
            <w:tcW w:w="1578"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26" w:type="dxa"/>
            <w:noWrap w:val="0"/>
            <w:vAlign w:val="center"/>
          </w:tcPr>
          <w:p>
            <w:pPr>
              <w:snapToGrid w:val="0"/>
              <w:spacing w:line="0" w:lineRule="atLeast"/>
              <w:jc w:val="center"/>
              <w:rPr>
                <w:rFonts w:ascii="Arial" w:hAnsi="Arial" w:eastAsia="宋体" w:cs="Arial"/>
                <w:sz w:val="24"/>
                <w:szCs w:val="24"/>
                <w:highlight w:val="none"/>
              </w:rPr>
            </w:pPr>
          </w:p>
        </w:tc>
        <w:tc>
          <w:tcPr>
            <w:tcW w:w="2253" w:type="dxa"/>
            <w:noWrap w:val="0"/>
            <w:vAlign w:val="center"/>
          </w:tcPr>
          <w:p>
            <w:pPr>
              <w:snapToGrid w:val="0"/>
              <w:spacing w:line="0" w:lineRule="atLeast"/>
              <w:jc w:val="center"/>
              <w:rPr>
                <w:rFonts w:ascii="Arial" w:hAnsi="Arial" w:eastAsia="宋体" w:cs="Arial"/>
                <w:sz w:val="24"/>
                <w:szCs w:val="24"/>
                <w:highlight w:val="none"/>
              </w:rPr>
            </w:pPr>
          </w:p>
        </w:tc>
        <w:tc>
          <w:tcPr>
            <w:tcW w:w="2861" w:type="dxa"/>
            <w:noWrap w:val="0"/>
            <w:vAlign w:val="center"/>
          </w:tcPr>
          <w:p>
            <w:pPr>
              <w:snapToGrid w:val="0"/>
              <w:spacing w:line="0" w:lineRule="atLeast"/>
              <w:jc w:val="center"/>
              <w:rPr>
                <w:rFonts w:ascii="Arial" w:hAnsi="Arial" w:eastAsia="宋体" w:cs="Arial"/>
                <w:sz w:val="24"/>
                <w:szCs w:val="24"/>
                <w:highlight w:val="none"/>
              </w:rPr>
            </w:pPr>
          </w:p>
        </w:tc>
        <w:tc>
          <w:tcPr>
            <w:tcW w:w="1578" w:type="dxa"/>
            <w:noWrap w:val="0"/>
            <w:vAlign w:val="center"/>
          </w:tcPr>
          <w:p>
            <w:pPr>
              <w:snapToGrid w:val="0"/>
              <w:spacing w:line="0" w:lineRule="atLeast"/>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826" w:type="dxa"/>
            <w:noWrap w:val="0"/>
            <w:vAlign w:val="center"/>
          </w:tcPr>
          <w:p>
            <w:pPr>
              <w:snapToGrid w:val="0"/>
              <w:spacing w:line="0" w:lineRule="atLeast"/>
              <w:jc w:val="center"/>
              <w:rPr>
                <w:rFonts w:ascii="Arial" w:hAnsi="Arial" w:eastAsia="宋体" w:cs="Arial"/>
                <w:sz w:val="24"/>
                <w:szCs w:val="24"/>
                <w:highlight w:val="none"/>
              </w:rPr>
            </w:pPr>
            <w:r>
              <w:rPr>
                <w:rFonts w:hint="eastAsia" w:ascii="Arial" w:hAnsi="Arial" w:eastAsia="宋体" w:cs="Arial"/>
                <w:sz w:val="24"/>
                <w:szCs w:val="24"/>
                <w:highlight w:val="none"/>
                <w:lang w:eastAsia="zh-CN"/>
              </w:rPr>
              <w:t>……</w:t>
            </w:r>
          </w:p>
        </w:tc>
        <w:tc>
          <w:tcPr>
            <w:tcW w:w="2253" w:type="dxa"/>
            <w:noWrap w:val="0"/>
            <w:vAlign w:val="center"/>
          </w:tcPr>
          <w:p>
            <w:pPr>
              <w:snapToGrid w:val="0"/>
              <w:spacing w:line="0" w:lineRule="atLeast"/>
              <w:jc w:val="center"/>
              <w:rPr>
                <w:rFonts w:ascii="Arial" w:hAnsi="Arial" w:eastAsia="宋体" w:cs="Arial"/>
                <w:sz w:val="24"/>
                <w:szCs w:val="24"/>
                <w:highlight w:val="none"/>
              </w:rPr>
            </w:pPr>
          </w:p>
        </w:tc>
        <w:tc>
          <w:tcPr>
            <w:tcW w:w="2861" w:type="dxa"/>
            <w:noWrap w:val="0"/>
            <w:vAlign w:val="center"/>
          </w:tcPr>
          <w:p>
            <w:pPr>
              <w:snapToGrid w:val="0"/>
              <w:spacing w:line="0" w:lineRule="atLeast"/>
              <w:jc w:val="center"/>
              <w:rPr>
                <w:rFonts w:ascii="Arial" w:hAnsi="Arial" w:eastAsia="宋体" w:cs="Arial"/>
                <w:sz w:val="24"/>
                <w:szCs w:val="24"/>
                <w:highlight w:val="none"/>
              </w:rPr>
            </w:pPr>
          </w:p>
        </w:tc>
        <w:tc>
          <w:tcPr>
            <w:tcW w:w="1578" w:type="dxa"/>
            <w:noWrap w:val="0"/>
            <w:vAlign w:val="center"/>
          </w:tcPr>
          <w:p>
            <w:pPr>
              <w:snapToGrid w:val="0"/>
              <w:spacing w:line="0" w:lineRule="atLeast"/>
              <w:jc w:val="center"/>
              <w:rPr>
                <w:rFonts w:ascii="Arial" w:hAnsi="Arial" w:eastAsia="宋体" w:cs="Arial"/>
                <w:sz w:val="24"/>
                <w:szCs w:val="24"/>
                <w:highlight w:val="none"/>
              </w:rPr>
            </w:pPr>
          </w:p>
        </w:tc>
      </w:tr>
    </w:tbl>
    <w:p>
      <w:pPr>
        <w:snapToGrid w:val="0"/>
        <w:spacing w:line="0" w:lineRule="atLeast"/>
        <w:rPr>
          <w:rFonts w:ascii="Arial" w:hAnsi="Arial" w:eastAsia="宋体" w:cs="Arial"/>
          <w:sz w:val="24"/>
          <w:szCs w:val="24"/>
          <w:highlight w:val="none"/>
        </w:rPr>
      </w:pPr>
    </w:p>
    <w:p>
      <w:pPr>
        <w:snapToGrid w:val="0"/>
        <w:spacing w:line="0" w:lineRule="atLeast"/>
        <w:rPr>
          <w:rFonts w:ascii="Arial" w:hAnsi="Arial" w:eastAsia="宋体" w:cs="Arial"/>
          <w:szCs w:val="21"/>
          <w:highlight w:val="none"/>
        </w:rPr>
      </w:pPr>
      <w:r>
        <w:rPr>
          <w:rFonts w:ascii="Arial" w:hAnsi="Arial" w:eastAsia="宋体" w:cs="Arial"/>
          <w:szCs w:val="21"/>
          <w:highlight w:val="none"/>
        </w:rPr>
        <w:t>注：所投产品属于环境标志产品的，投标文件中须提供市场监管总局发布的《参与实施政府采购环境标志产品认证机构名录》中的认证机构出具的、处于有效期之内的环境标志产品认证证书，否则评审时不予认可。</w:t>
      </w:r>
    </w:p>
    <w:p>
      <w:pPr>
        <w:tabs>
          <w:tab w:val="left" w:pos="4620"/>
        </w:tabs>
        <w:spacing w:line="0" w:lineRule="atLeast"/>
        <w:jc w:val="left"/>
        <w:rPr>
          <w:rFonts w:ascii="Arial" w:hAnsi="Arial" w:eastAsia="宋体" w:cs="Arial"/>
          <w:sz w:val="24"/>
          <w:highlight w:val="none"/>
        </w:rPr>
      </w:pPr>
    </w:p>
    <w:p>
      <w:pPr>
        <w:spacing w:line="360" w:lineRule="auto"/>
        <w:ind w:firstLine="435"/>
        <w:rPr>
          <w:rFonts w:ascii="Arial" w:hAnsi="Arial" w:eastAsia="宋体" w:cs="Arial"/>
          <w:sz w:val="24"/>
          <w:szCs w:val="24"/>
          <w:highlight w:val="none"/>
        </w:rPr>
      </w:pPr>
    </w:p>
    <w:p>
      <w:pPr>
        <w:widowControl/>
        <w:jc w:val="center"/>
        <w:rPr>
          <w:rFonts w:hint="eastAsia" w:ascii="方正黑体_GBK" w:hAnsi="方正黑体_GBK" w:eastAsia="方正黑体_GBK" w:cs="方正黑体_GBK"/>
          <w:sz w:val="28"/>
          <w:szCs w:val="28"/>
          <w:highlight w:val="none"/>
        </w:rPr>
      </w:pPr>
      <w:r>
        <w:rPr>
          <w:rFonts w:ascii="Arial" w:hAnsi="Arial" w:eastAsia="宋体" w:cs="Arial"/>
          <w:b/>
          <w:sz w:val="24"/>
          <w:highlight w:val="none"/>
        </w:rPr>
        <w:br w:type="page"/>
      </w:r>
      <w:bookmarkStart w:id="550" w:name="_Toc675660906"/>
      <w:bookmarkStart w:id="551" w:name="_Toc27796235"/>
      <w:bookmarkStart w:id="552" w:name="_Toc580843307_WPSOffice_Level1"/>
      <w:bookmarkStart w:id="553" w:name="_Toc1977478711"/>
      <w:bookmarkStart w:id="554" w:name="_Toc1947514333"/>
      <w:bookmarkStart w:id="555" w:name="_Toc156955603"/>
      <w:bookmarkStart w:id="556" w:name="_Toc617690283"/>
      <w:bookmarkStart w:id="557" w:name="_Toc1136927547"/>
      <w:r>
        <w:rPr>
          <w:rFonts w:hint="eastAsia" w:ascii="方正黑体_GBK" w:hAnsi="方正黑体_GBK" w:eastAsia="方正黑体_GBK" w:cs="方正黑体_GBK"/>
          <w:sz w:val="28"/>
          <w:szCs w:val="28"/>
          <w:highlight w:val="none"/>
        </w:rPr>
        <w:t>十六、生产厂商授权（非进口产品无需提供）</w:t>
      </w:r>
      <w:bookmarkEnd w:id="550"/>
      <w:bookmarkEnd w:id="551"/>
      <w:bookmarkEnd w:id="552"/>
      <w:bookmarkEnd w:id="553"/>
      <w:bookmarkEnd w:id="554"/>
      <w:bookmarkEnd w:id="555"/>
      <w:bookmarkEnd w:id="556"/>
      <w:bookmarkEnd w:id="557"/>
    </w:p>
    <w:p>
      <w:pPr>
        <w:rPr>
          <w:highlight w:val="none"/>
        </w:rPr>
      </w:pPr>
    </w:p>
    <w:p>
      <w:pPr>
        <w:spacing w:line="360" w:lineRule="auto"/>
        <w:jc w:val="center"/>
        <w:rPr>
          <w:rFonts w:eastAsia="宋体"/>
          <w:sz w:val="24"/>
          <w:highlight w:val="none"/>
        </w:rPr>
      </w:pPr>
      <w:bookmarkStart w:id="558" w:name="_Toc1802020775_WPSOffice_Level2"/>
      <w:r>
        <w:rPr>
          <w:rFonts w:eastAsia="宋体"/>
          <w:sz w:val="24"/>
          <w:highlight w:val="none"/>
        </w:rPr>
        <w:t>（如允许标后提供授权，或为自制产品，或不允许代理商/销售商投标，不需此件）</w:t>
      </w:r>
      <w:bookmarkEnd w:id="558"/>
    </w:p>
    <w:p>
      <w:pPr>
        <w:pStyle w:val="14"/>
        <w:spacing w:line="360" w:lineRule="auto"/>
        <w:rPr>
          <w:b w:val="0"/>
          <w:sz w:val="24"/>
          <w:highlight w:val="none"/>
        </w:rPr>
      </w:pPr>
    </w:p>
    <w:p>
      <w:pPr>
        <w:pStyle w:val="14"/>
        <w:spacing w:line="360" w:lineRule="auto"/>
        <w:rPr>
          <w:rFonts w:hint="eastAsia"/>
          <w:b w:val="0"/>
          <w:sz w:val="24"/>
          <w:highlight w:val="none"/>
        </w:rPr>
      </w:pPr>
      <w:r>
        <w:rPr>
          <w:b w:val="0"/>
          <w:sz w:val="24"/>
          <w:highlight w:val="none"/>
        </w:rPr>
        <w:t>致：</w:t>
      </w:r>
      <w:r>
        <w:rPr>
          <w:rFonts w:hint="eastAsia"/>
          <w:b w:val="0"/>
          <w:sz w:val="24"/>
          <w:highlight w:val="none"/>
        </w:rPr>
        <w:t>某采购单位</w:t>
      </w:r>
    </w:p>
    <w:p>
      <w:pPr>
        <w:rPr>
          <w:highlight w:val="none"/>
        </w:rPr>
      </w:pPr>
    </w:p>
    <w:p>
      <w:pPr>
        <w:pStyle w:val="14"/>
        <w:spacing w:line="360" w:lineRule="auto"/>
        <w:ind w:firstLine="480" w:firstLineChars="200"/>
        <w:rPr>
          <w:b w:val="0"/>
          <w:sz w:val="24"/>
          <w:highlight w:val="none"/>
        </w:rPr>
      </w:pPr>
      <w:r>
        <w:rPr>
          <w:b w:val="0"/>
          <w:sz w:val="24"/>
          <w:highlight w:val="none"/>
        </w:rPr>
        <w:t>采购代理机构</w:t>
      </w:r>
    </w:p>
    <w:p>
      <w:pPr>
        <w:spacing w:line="360" w:lineRule="auto"/>
        <w:ind w:firstLine="567"/>
        <w:rPr>
          <w:rFonts w:eastAsia="宋体"/>
          <w:sz w:val="24"/>
          <w:highlight w:val="none"/>
        </w:rPr>
      </w:pPr>
      <w:r>
        <w:rPr>
          <w:rFonts w:eastAsia="宋体"/>
          <w:sz w:val="24"/>
          <w:highlight w:val="none"/>
          <w:u w:val="single"/>
        </w:rPr>
        <w:t xml:space="preserve">               </w:t>
      </w:r>
      <w:r>
        <w:rPr>
          <w:rFonts w:eastAsia="宋体"/>
          <w:sz w:val="24"/>
          <w:highlight w:val="none"/>
        </w:rPr>
        <w:t>（生产厂商名称）是根据</w:t>
      </w:r>
      <w:r>
        <w:rPr>
          <w:rFonts w:eastAsia="宋体"/>
          <w:sz w:val="24"/>
          <w:highlight w:val="none"/>
          <w:u w:val="single"/>
        </w:rPr>
        <w:t xml:space="preserve">            </w:t>
      </w:r>
      <w:r>
        <w:rPr>
          <w:rFonts w:eastAsia="宋体"/>
          <w:sz w:val="24"/>
          <w:highlight w:val="none"/>
        </w:rPr>
        <w:t>依法正式成立的，主营业地点在</w:t>
      </w:r>
      <w:r>
        <w:rPr>
          <w:rFonts w:eastAsia="宋体"/>
          <w:sz w:val="24"/>
          <w:highlight w:val="none"/>
          <w:u w:val="single"/>
        </w:rPr>
        <w:t xml:space="preserve">              </w:t>
      </w:r>
      <w:r>
        <w:rPr>
          <w:rFonts w:eastAsia="宋体"/>
          <w:sz w:val="24"/>
          <w:highlight w:val="none"/>
        </w:rPr>
        <w:t xml:space="preserve"> （生产厂商地址）。</w:t>
      </w:r>
      <w:r>
        <w:rPr>
          <w:rFonts w:eastAsia="宋体"/>
          <w:sz w:val="24"/>
          <w:highlight w:val="none"/>
          <w:u w:val="single"/>
        </w:rPr>
        <w:t xml:space="preserve">             </w:t>
      </w:r>
      <w:r>
        <w:rPr>
          <w:rFonts w:eastAsia="宋体"/>
          <w:sz w:val="24"/>
          <w:highlight w:val="none"/>
        </w:rPr>
        <w:t>公司是我公司正式授权经营我公司</w:t>
      </w:r>
      <w:r>
        <w:rPr>
          <w:rFonts w:eastAsia="宋体"/>
          <w:sz w:val="24"/>
          <w:highlight w:val="none"/>
          <w:u w:val="single"/>
        </w:rPr>
        <w:t xml:space="preserve">            </w:t>
      </w:r>
      <w:r>
        <w:rPr>
          <w:rFonts w:eastAsia="宋体"/>
          <w:sz w:val="24"/>
          <w:highlight w:val="none"/>
        </w:rPr>
        <w:t>（产品名称）的商家，它有权提供</w:t>
      </w:r>
      <w:r>
        <w:rPr>
          <w:rFonts w:hint="eastAsia" w:eastAsia="宋体"/>
          <w:sz w:val="24"/>
          <w:highlight w:val="none"/>
          <w:u w:val="single"/>
        </w:rPr>
        <w:t>采购人</w:t>
      </w:r>
      <w:r>
        <w:rPr>
          <w:rFonts w:hint="eastAsia" w:eastAsia="宋体"/>
          <w:sz w:val="24"/>
          <w:highlight w:val="none"/>
        </w:rPr>
        <w:t>的</w:t>
      </w:r>
      <w:r>
        <w:rPr>
          <w:rFonts w:hint="eastAsia" w:eastAsia="宋体"/>
          <w:sz w:val="24"/>
          <w:szCs w:val="22"/>
          <w:highlight w:val="none"/>
          <w:u w:val="single"/>
        </w:rPr>
        <w:t xml:space="preserve"> 某项目（某编号）</w:t>
      </w:r>
      <w:r>
        <w:rPr>
          <w:rFonts w:eastAsia="宋体"/>
          <w:sz w:val="24"/>
          <w:highlight w:val="none"/>
        </w:rPr>
        <w:t>所需的由我公司生产或制造的货物。</w:t>
      </w:r>
    </w:p>
    <w:p>
      <w:pPr>
        <w:spacing w:line="360" w:lineRule="auto"/>
        <w:ind w:firstLine="426"/>
        <w:rPr>
          <w:rFonts w:eastAsia="宋体"/>
          <w:sz w:val="24"/>
          <w:highlight w:val="none"/>
        </w:rPr>
      </w:pPr>
      <w:r>
        <w:rPr>
          <w:rFonts w:eastAsia="宋体"/>
          <w:sz w:val="24"/>
          <w:highlight w:val="none"/>
        </w:rPr>
        <w:t>我公司保证与投标人共同承担该项目的相关法律责任及义务。</w:t>
      </w:r>
    </w:p>
    <w:p>
      <w:pPr>
        <w:spacing w:line="360" w:lineRule="auto"/>
        <w:ind w:firstLine="426"/>
        <w:rPr>
          <w:rFonts w:eastAsia="宋体"/>
          <w:sz w:val="24"/>
          <w:highlight w:val="none"/>
          <w:u w:val="single"/>
        </w:rPr>
      </w:pPr>
      <w:r>
        <w:rPr>
          <w:rFonts w:eastAsia="宋体"/>
          <w:sz w:val="24"/>
          <w:highlight w:val="none"/>
        </w:rPr>
        <w:t>贸易公司名称：</w:t>
      </w:r>
      <w:r>
        <w:rPr>
          <w:rFonts w:eastAsia="宋体"/>
          <w:sz w:val="24"/>
          <w:highlight w:val="none"/>
          <w:u w:val="single"/>
        </w:rPr>
        <w:t xml:space="preserve">                              </w:t>
      </w:r>
    </w:p>
    <w:p>
      <w:pPr>
        <w:spacing w:line="360" w:lineRule="auto"/>
        <w:ind w:firstLine="426"/>
        <w:rPr>
          <w:rFonts w:eastAsia="宋体"/>
          <w:sz w:val="24"/>
          <w:highlight w:val="none"/>
          <w:u w:val="single"/>
        </w:rPr>
      </w:pPr>
      <w:r>
        <w:rPr>
          <w:rFonts w:eastAsia="宋体"/>
          <w:sz w:val="24"/>
          <w:highlight w:val="none"/>
        </w:rPr>
        <w:t>出具授权书的生产厂商名称：</w:t>
      </w:r>
      <w:r>
        <w:rPr>
          <w:rFonts w:eastAsia="宋体"/>
          <w:sz w:val="24"/>
          <w:highlight w:val="none"/>
          <w:u w:val="single"/>
        </w:rPr>
        <w:t xml:space="preserve">                                 </w:t>
      </w:r>
    </w:p>
    <w:p>
      <w:pPr>
        <w:spacing w:line="360" w:lineRule="auto"/>
        <w:ind w:firstLine="426"/>
        <w:rPr>
          <w:rFonts w:eastAsia="宋体"/>
          <w:sz w:val="24"/>
          <w:highlight w:val="none"/>
        </w:rPr>
      </w:pPr>
      <w:r>
        <w:rPr>
          <w:rFonts w:eastAsia="宋体"/>
          <w:sz w:val="24"/>
          <w:highlight w:val="none"/>
        </w:rPr>
        <w:t>授权人公章：</w:t>
      </w:r>
      <w:r>
        <w:rPr>
          <w:rFonts w:eastAsia="宋体"/>
          <w:sz w:val="24"/>
          <w:highlight w:val="none"/>
          <w:u w:val="single"/>
        </w:rPr>
        <w:t xml:space="preserve">                    </w:t>
      </w:r>
    </w:p>
    <w:p>
      <w:pPr>
        <w:spacing w:line="360" w:lineRule="auto"/>
        <w:ind w:firstLine="426"/>
        <w:rPr>
          <w:rFonts w:eastAsia="宋体"/>
          <w:sz w:val="24"/>
          <w:highlight w:val="none"/>
          <w:u w:val="single"/>
        </w:rPr>
      </w:pPr>
      <w:r>
        <w:rPr>
          <w:rFonts w:eastAsia="宋体"/>
          <w:sz w:val="24"/>
          <w:highlight w:val="none"/>
        </w:rPr>
        <w:t>日      期：</w:t>
      </w:r>
      <w:r>
        <w:rPr>
          <w:rFonts w:eastAsia="宋体"/>
          <w:sz w:val="24"/>
          <w:highlight w:val="none"/>
          <w:u w:val="single"/>
        </w:rPr>
        <w:t xml:space="preserve">                    </w:t>
      </w:r>
    </w:p>
    <w:p>
      <w:pPr>
        <w:rPr>
          <w:rFonts w:eastAsia="宋体"/>
          <w:sz w:val="24"/>
          <w:highlight w:val="none"/>
        </w:rPr>
      </w:pPr>
    </w:p>
    <w:p>
      <w:pPr>
        <w:rPr>
          <w:highlight w:val="none"/>
        </w:rPr>
      </w:pPr>
    </w:p>
    <w:p>
      <w:pPr>
        <w:rPr>
          <w:highlight w:val="none"/>
        </w:rPr>
      </w:pPr>
    </w:p>
    <w:p>
      <w:pPr>
        <w:jc w:val="center"/>
        <w:rPr>
          <w:rFonts w:ascii="Arial" w:hAnsi="Arial" w:eastAsia="方正黑体_GBK" w:cs="Arial"/>
          <w:bCs/>
          <w:kern w:val="2"/>
          <w:sz w:val="28"/>
          <w:szCs w:val="32"/>
          <w:highlight w:val="none"/>
          <w:lang w:val="en-US" w:eastAsia="zh-CN" w:bidi="ar-SA"/>
        </w:rPr>
      </w:pPr>
      <w:r>
        <w:rPr>
          <w:rFonts w:ascii="Arial" w:hAnsi="Arial" w:eastAsia="宋体" w:cs="Arial"/>
          <w:b/>
          <w:sz w:val="24"/>
          <w:highlight w:val="none"/>
        </w:rPr>
        <w:br w:type="page"/>
      </w:r>
      <w:bookmarkStart w:id="559" w:name="_Toc1770362540_WPSOffice_Level1"/>
      <w:r>
        <w:rPr>
          <w:rFonts w:hint="eastAsia" w:ascii="Arial" w:hAnsi="Arial" w:eastAsia="方正黑体_GBK" w:cs="Arial"/>
          <w:bCs/>
          <w:kern w:val="2"/>
          <w:sz w:val="28"/>
          <w:szCs w:val="32"/>
          <w:highlight w:val="none"/>
          <w:lang w:val="en-US" w:eastAsia="zh-CN" w:bidi="ar-SA"/>
        </w:rPr>
        <w:t>十七、</w:t>
      </w:r>
      <w:r>
        <w:rPr>
          <w:rFonts w:ascii="Arial" w:hAnsi="Arial" w:eastAsia="方正黑体_GBK" w:cs="Arial"/>
          <w:bCs/>
          <w:kern w:val="2"/>
          <w:sz w:val="28"/>
          <w:szCs w:val="32"/>
          <w:highlight w:val="none"/>
          <w:lang w:val="en-US" w:eastAsia="zh-CN" w:bidi="ar-SA"/>
        </w:rPr>
        <w:t>其他相关证明材料</w:t>
      </w:r>
      <w:bookmarkEnd w:id="559"/>
    </w:p>
    <w:p>
      <w:pPr>
        <w:spacing w:line="360" w:lineRule="auto"/>
        <w:ind w:firstLine="435"/>
        <w:rPr>
          <w:rFonts w:ascii="Arial" w:hAnsi="Arial" w:eastAsia="宋体" w:cs="Arial"/>
          <w:sz w:val="24"/>
          <w:highlight w:val="none"/>
        </w:rPr>
      </w:pPr>
    </w:p>
    <w:p>
      <w:pPr>
        <w:spacing w:line="360" w:lineRule="auto"/>
        <w:ind w:firstLine="435"/>
        <w:rPr>
          <w:rFonts w:ascii="Arial" w:hAnsi="Arial" w:eastAsia="宋体" w:cs="Arial"/>
          <w:sz w:val="24"/>
          <w:highlight w:val="none"/>
        </w:rPr>
      </w:pPr>
      <w:r>
        <w:rPr>
          <w:rFonts w:ascii="Arial" w:hAnsi="Arial" w:eastAsia="宋体" w:cs="Arial"/>
          <w:sz w:val="24"/>
          <w:highlight w:val="none"/>
        </w:rPr>
        <w:t>提供符合招标公告、采购需求及评标方法和标准规定的相关证明文件。</w:t>
      </w:r>
    </w:p>
    <w:p>
      <w:pPr>
        <w:spacing w:line="360" w:lineRule="auto"/>
        <w:ind w:firstLine="480" w:firstLineChars="200"/>
        <w:rPr>
          <w:rFonts w:ascii="Arial" w:hAnsi="Arial" w:eastAsia="宋体" w:cs="Arial"/>
          <w:sz w:val="24"/>
          <w:highlight w:val="none"/>
        </w:rPr>
      </w:pPr>
    </w:p>
    <w:p>
      <w:pPr>
        <w:spacing w:line="360" w:lineRule="auto"/>
        <w:ind w:firstLine="435"/>
        <w:rPr>
          <w:rFonts w:ascii="Arial" w:hAnsi="Arial" w:eastAsia="宋体" w:cs="Arial"/>
          <w:sz w:val="24"/>
          <w:highlight w:val="none"/>
        </w:rPr>
      </w:pPr>
      <w:r>
        <w:rPr>
          <w:rFonts w:ascii="Arial" w:hAnsi="Arial" w:eastAsia="宋体" w:cs="Arial"/>
          <w:b/>
          <w:sz w:val="24"/>
          <w:highlight w:val="none"/>
        </w:rPr>
        <w:t>特别提示：</w:t>
      </w:r>
      <w:r>
        <w:rPr>
          <w:rFonts w:ascii="Arial" w:hAnsi="Arial" w:eastAsia="宋体" w:cs="Arial"/>
          <w:sz w:val="24"/>
          <w:highlight w:val="none"/>
        </w:rPr>
        <w:t>如营业执照、产品彩页、证书、检测报告、产品图片等。</w:t>
      </w:r>
    </w:p>
    <w:p>
      <w:pPr>
        <w:pStyle w:val="4"/>
        <w:bidi w:val="0"/>
        <w:jc w:val="left"/>
        <w:rPr>
          <w:rStyle w:val="32"/>
          <w:rFonts w:hint="eastAsia" w:ascii="宋体" w:hAnsi="宋体" w:eastAsia="宋体" w:cs="宋体"/>
          <w:bCs/>
          <w:sz w:val="32"/>
          <w:szCs w:val="32"/>
          <w:highlight w:val="none"/>
        </w:rPr>
      </w:pPr>
      <w:bookmarkStart w:id="560" w:name="_Toc15624"/>
      <w:r>
        <w:rPr>
          <w:rFonts w:hint="eastAsia" w:ascii="华文中宋" w:hAnsi="华文中宋" w:eastAsia="华文中宋" w:cs="Times New Roman"/>
          <w:b/>
          <w:bCs w:val="0"/>
          <w:kern w:val="44"/>
          <w:sz w:val="44"/>
          <w:szCs w:val="44"/>
          <w:highlight w:val="none"/>
        </w:rPr>
        <w:br w:type="page"/>
      </w:r>
      <w:bookmarkEnd w:id="560"/>
      <w:bookmarkStart w:id="561" w:name="_Toc7008"/>
      <w:bookmarkStart w:id="562" w:name="_Toc8920"/>
      <w:bookmarkStart w:id="563" w:name="_Toc20917"/>
      <w:r>
        <w:rPr>
          <w:rStyle w:val="32"/>
          <w:rFonts w:hint="eastAsia" w:ascii="宋体" w:hAnsi="宋体" w:eastAsia="宋体" w:cs="宋体"/>
          <w:bCs/>
          <w:sz w:val="28"/>
          <w:szCs w:val="28"/>
          <w:highlight w:val="none"/>
        </w:rPr>
        <w:t>附件1</w:t>
      </w:r>
      <w:bookmarkEnd w:id="561"/>
      <w:bookmarkStart w:id="564" w:name="_Toc111974388"/>
      <w:bookmarkStart w:id="565" w:name="_Toc988313226"/>
      <w:bookmarkStart w:id="566" w:name="_Toc561877544"/>
      <w:bookmarkStart w:id="567" w:name="_Toc1503521471"/>
      <w:bookmarkStart w:id="568" w:name="_Toc1768917227"/>
      <w:bookmarkStart w:id="569" w:name="_Toc775263758"/>
      <w:bookmarkStart w:id="570" w:name="_Toc695081683_WPSOffice_Level1"/>
      <w:bookmarkStart w:id="571" w:name="_Toc626915442"/>
    </w:p>
    <w:p>
      <w:pPr>
        <w:pStyle w:val="4"/>
        <w:bidi w:val="0"/>
        <w:jc w:val="center"/>
        <w:rPr>
          <w:rFonts w:hint="eastAsia"/>
          <w:sz w:val="32"/>
          <w:szCs w:val="32"/>
          <w:highlight w:val="none"/>
        </w:rPr>
      </w:pPr>
      <w:bookmarkStart w:id="572" w:name="_Toc17857"/>
      <w:r>
        <w:rPr>
          <w:rFonts w:hint="eastAsia"/>
          <w:sz w:val="32"/>
          <w:szCs w:val="32"/>
          <w:highlight w:val="none"/>
        </w:rPr>
        <w:t>政府采购供应商质疑函范本</w:t>
      </w:r>
      <w:bookmarkEnd w:id="562"/>
      <w:bookmarkEnd w:id="563"/>
      <w:bookmarkEnd w:id="564"/>
      <w:bookmarkEnd w:id="565"/>
      <w:bookmarkEnd w:id="566"/>
      <w:bookmarkEnd w:id="567"/>
      <w:bookmarkEnd w:id="568"/>
      <w:bookmarkEnd w:id="569"/>
      <w:bookmarkEnd w:id="570"/>
      <w:bookmarkEnd w:id="571"/>
      <w:bookmarkEnd w:id="572"/>
    </w:p>
    <w:p>
      <w:pPr>
        <w:jc w:val="center"/>
        <w:rPr>
          <w:rFonts w:hint="eastAsia" w:ascii="宋体" w:hAnsi="宋体" w:eastAsia="宋体" w:cs="宋体"/>
          <w:b w:val="0"/>
          <w:bCs w:val="0"/>
          <w:sz w:val="30"/>
          <w:szCs w:val="30"/>
          <w:highlight w:val="none"/>
        </w:rPr>
      </w:pPr>
      <w:bookmarkStart w:id="573" w:name="_Toc1661055029_WPSOffice_Level1"/>
      <w:r>
        <w:rPr>
          <w:rFonts w:hint="eastAsia" w:ascii="宋体" w:hAnsi="宋体" w:eastAsia="宋体" w:cs="宋体"/>
          <w:b w:val="0"/>
          <w:bCs w:val="0"/>
          <w:sz w:val="30"/>
          <w:szCs w:val="30"/>
          <w:highlight w:val="none"/>
        </w:rPr>
        <w:t>质疑函范本</w:t>
      </w:r>
      <w:bookmarkEnd w:id="573"/>
    </w:p>
    <w:p>
      <w:pPr>
        <w:adjustRightInd w:val="0"/>
        <w:snapToGrid w:val="0"/>
        <w:spacing w:before="312" w:beforeLines="100" w:line="520" w:lineRule="exact"/>
        <w:rPr>
          <w:rFonts w:hint="eastAsia" w:ascii="宋体" w:hAnsi="宋体" w:eastAsia="宋体" w:cs="宋体"/>
          <w:b/>
          <w:bCs/>
          <w:sz w:val="24"/>
          <w:szCs w:val="24"/>
          <w:highlight w:val="none"/>
        </w:rPr>
      </w:pPr>
      <w:bookmarkStart w:id="574" w:name="_Toc1643983618_WPSOffice_Level1"/>
      <w:r>
        <w:rPr>
          <w:rFonts w:hint="eastAsia" w:ascii="宋体" w:hAnsi="宋体" w:eastAsia="宋体" w:cs="宋体"/>
          <w:b/>
          <w:bCs/>
          <w:sz w:val="24"/>
          <w:szCs w:val="24"/>
          <w:highlight w:val="none"/>
        </w:rPr>
        <w:t>一、质疑供应商基本信息</w:t>
      </w:r>
      <w:bookmarkEnd w:id="574"/>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b/>
          <w:bCs/>
          <w:sz w:val="24"/>
          <w:szCs w:val="24"/>
          <w:highlight w:val="none"/>
        </w:rPr>
      </w:pPr>
      <w:bookmarkStart w:id="575" w:name="_Toc1400370671_WPSOffice_Level1"/>
      <w:r>
        <w:rPr>
          <w:rFonts w:hint="eastAsia" w:ascii="宋体" w:hAnsi="宋体" w:eastAsia="宋体" w:cs="宋体"/>
          <w:b/>
          <w:bCs/>
          <w:sz w:val="24"/>
          <w:szCs w:val="24"/>
          <w:highlight w:val="none"/>
        </w:rPr>
        <w:t>二、质疑项目基本情况</w:t>
      </w:r>
      <w:bookmarkEnd w:id="575"/>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b/>
          <w:bCs/>
          <w:sz w:val="24"/>
          <w:szCs w:val="24"/>
          <w:highlight w:val="none"/>
        </w:rPr>
      </w:pPr>
      <w:bookmarkStart w:id="576" w:name="_Toc1582873800_WPSOffice_Level1"/>
      <w:r>
        <w:rPr>
          <w:rFonts w:hint="eastAsia" w:ascii="宋体" w:hAnsi="宋体" w:eastAsia="宋体" w:cs="宋体"/>
          <w:b/>
          <w:bCs/>
          <w:sz w:val="24"/>
          <w:szCs w:val="24"/>
          <w:highlight w:val="none"/>
        </w:rPr>
        <w:t>三、质疑事项具体内容</w:t>
      </w:r>
      <w:bookmarkEnd w:id="576"/>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pPr>
        <w:adjustRightInd w:val="0"/>
        <w:snapToGrid w:val="0"/>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adjustRightInd w:val="0"/>
        <w:snapToGrid w:val="0"/>
        <w:spacing w:line="520" w:lineRule="exact"/>
        <w:rPr>
          <w:rFonts w:hint="eastAsia" w:ascii="宋体" w:hAnsi="宋体" w:eastAsia="宋体" w:cs="宋体"/>
          <w:b/>
          <w:bCs/>
          <w:sz w:val="24"/>
          <w:szCs w:val="24"/>
          <w:highlight w:val="none"/>
        </w:rPr>
      </w:pPr>
      <w:bookmarkStart w:id="577" w:name="_Toc1482487080_WPSOffice_Level1"/>
      <w:r>
        <w:rPr>
          <w:rFonts w:hint="eastAsia" w:ascii="宋体" w:hAnsi="宋体" w:eastAsia="宋体" w:cs="宋体"/>
          <w:b/>
          <w:bCs/>
          <w:sz w:val="24"/>
          <w:szCs w:val="24"/>
          <w:highlight w:val="none"/>
        </w:rPr>
        <w:t>四、与质疑事项相关的质疑请求</w:t>
      </w:r>
      <w:bookmarkEnd w:id="577"/>
    </w:p>
    <w:p>
      <w:pPr>
        <w:adjustRightInd w:val="0"/>
        <w:snapToGrid w:val="0"/>
        <w:spacing w:line="520" w:lineRule="exact"/>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pPr>
        <w:spacing w:line="520" w:lineRule="exact"/>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公章：                      </w:t>
      </w:r>
    </w:p>
    <w:p>
      <w:pPr>
        <w:spacing w:line="520" w:lineRule="exact"/>
        <w:ind w:firstLine="5040" w:firstLineChars="2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pPr>
        <w:rPr>
          <w:rFonts w:hint="eastAsia" w:ascii="宋体" w:hAnsi="宋体" w:eastAsia="宋体" w:cs="宋体"/>
          <w:b/>
          <w:sz w:val="24"/>
          <w:szCs w:val="24"/>
          <w:highlight w:val="none"/>
        </w:rPr>
      </w:pPr>
    </w:p>
    <w:p>
      <w:pPr>
        <w:rPr>
          <w:rFonts w:hint="eastAsia" w:ascii="宋体" w:hAnsi="宋体" w:eastAsia="宋体" w:cs="宋体"/>
          <w:b/>
          <w:sz w:val="28"/>
          <w:szCs w:val="32"/>
          <w:highlight w:val="none"/>
        </w:rPr>
      </w:pPr>
      <w:r>
        <w:rPr>
          <w:rFonts w:hint="eastAsia" w:ascii="宋体" w:hAnsi="宋体" w:eastAsia="宋体" w:cs="宋体"/>
          <w:b/>
          <w:sz w:val="24"/>
          <w:szCs w:val="24"/>
          <w:highlight w:val="none"/>
        </w:rPr>
        <w:t>质疑函制作说明：</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jc w:val="left"/>
        <w:rPr>
          <w:rStyle w:val="32"/>
          <w:rFonts w:hint="eastAsia" w:ascii="宋体" w:hAnsi="宋体" w:eastAsia="宋体" w:cs="宋体"/>
          <w:sz w:val="28"/>
          <w:szCs w:val="28"/>
          <w:highlight w:val="none"/>
        </w:rPr>
      </w:pPr>
      <w:r>
        <w:rPr>
          <w:rFonts w:ascii="宋体" w:hAnsi="宋体" w:eastAsia="宋体"/>
          <w:sz w:val="24"/>
          <w:highlight w:val="none"/>
        </w:rPr>
        <w:br w:type="page"/>
      </w:r>
      <w:bookmarkStart w:id="578" w:name="_Toc6835"/>
      <w:bookmarkStart w:id="579" w:name="_Toc30029"/>
      <w:bookmarkStart w:id="580" w:name="_Toc24457"/>
      <w:r>
        <w:rPr>
          <w:rStyle w:val="32"/>
          <w:rFonts w:hint="eastAsia" w:ascii="宋体" w:hAnsi="宋体" w:eastAsia="宋体" w:cs="宋体"/>
          <w:sz w:val="28"/>
          <w:szCs w:val="28"/>
          <w:highlight w:val="none"/>
        </w:rPr>
        <w:t>附件2</w:t>
      </w:r>
      <w:bookmarkStart w:id="581" w:name="_Toc1853304295"/>
      <w:bookmarkStart w:id="582" w:name="_Toc1195136658"/>
      <w:bookmarkStart w:id="583" w:name="_Toc2005154934"/>
      <w:bookmarkStart w:id="584" w:name="_Toc805000750_WPSOffice_Level1"/>
      <w:bookmarkStart w:id="585" w:name="_Toc2020894544"/>
      <w:bookmarkStart w:id="586" w:name="_Toc691218503"/>
      <w:bookmarkStart w:id="587" w:name="_Toc707812694"/>
      <w:bookmarkStart w:id="588" w:name="_Toc1714987480"/>
    </w:p>
    <w:bookmarkEnd w:id="578"/>
    <w:p>
      <w:pPr>
        <w:jc w:val="center"/>
        <w:rPr>
          <w:rStyle w:val="32"/>
          <w:rFonts w:hint="eastAsia"/>
          <w:sz w:val="32"/>
          <w:szCs w:val="32"/>
          <w:highlight w:val="none"/>
        </w:rPr>
      </w:pPr>
      <w:bookmarkStart w:id="589" w:name="_Toc30606"/>
      <w:r>
        <w:rPr>
          <w:rStyle w:val="32"/>
          <w:rFonts w:hint="eastAsia"/>
          <w:sz w:val="32"/>
          <w:szCs w:val="32"/>
          <w:highlight w:val="none"/>
        </w:rPr>
        <w:t>大中小微型企业划分标准</w:t>
      </w:r>
      <w:bookmarkEnd w:id="579"/>
      <w:bookmarkEnd w:id="580"/>
      <w:bookmarkEnd w:id="581"/>
      <w:bookmarkEnd w:id="582"/>
      <w:bookmarkEnd w:id="583"/>
      <w:bookmarkEnd w:id="584"/>
      <w:bookmarkEnd w:id="585"/>
      <w:bookmarkEnd w:id="586"/>
      <w:bookmarkEnd w:id="587"/>
      <w:bookmarkEnd w:id="588"/>
    </w:p>
    <w:bookmarkEnd w:id="589"/>
    <w:p>
      <w:pPr>
        <w:pStyle w:val="2"/>
        <w:ind w:firstLine="640"/>
        <w:rPr>
          <w:rFonts w:hint="eastAsia"/>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04"/>
        <w:gridCol w:w="1097"/>
        <w:gridCol w:w="1295"/>
        <w:gridCol w:w="1561"/>
        <w:gridCol w:w="138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行业名称</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指标名称</w:t>
            </w:r>
          </w:p>
        </w:tc>
        <w:tc>
          <w:tcPr>
            <w:tcW w:w="10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计量单位</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大型</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中型</w:t>
            </w:r>
          </w:p>
        </w:tc>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小型</w:t>
            </w:r>
          </w:p>
        </w:tc>
        <w:tc>
          <w:tcPr>
            <w:tcW w:w="9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农、林、牧、渔业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Y≥20000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500≤Y&lt;20000</w:t>
            </w:r>
          </w:p>
        </w:tc>
        <w:tc>
          <w:tcPr>
            <w:tcW w:w="1389" w:type="dxa"/>
            <w:noWrap w:val="0"/>
            <w:vAlign w:val="center"/>
          </w:tcPr>
          <w:p>
            <w:pPr>
              <w:widowControl/>
              <w:spacing w:after="113" w:line="180" w:lineRule="atLeast"/>
              <w:rPr>
                <w:rFonts w:hint="eastAsia" w:ascii="宋体" w:hAnsi="宋体" w:eastAsia="宋体" w:cs="宋体"/>
                <w:sz w:val="18"/>
                <w:szCs w:val="18"/>
                <w:highlight w:val="none"/>
              </w:rPr>
            </w:pPr>
            <w:r>
              <w:rPr>
                <w:rFonts w:hint="eastAsia" w:ascii="宋体" w:hAnsi="宋体" w:eastAsia="宋体" w:cs="宋体"/>
                <w:sz w:val="18"/>
                <w:szCs w:val="18"/>
                <w:highlight w:val="none"/>
              </w:rPr>
              <w:t>50≤Y&lt;500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pStyle w:val="4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工业★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300≤X&lt;1000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20≤X&lt;300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pStyle w:val="40"/>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Y≥40000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2000≤Y&lt;40000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300≤Y&lt;2000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pStyle w:val="4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建筑业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Y≥80000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6000≤Y&lt;80000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300≤Y&lt;6000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pStyle w:val="40"/>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资产总额</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Z)</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Z≥80000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5000≤Z&lt;80000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300≤Z&lt;5000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pStyle w:val="4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批发业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20≤X&lt;200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5≤X&lt;20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pStyle w:val="40"/>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Y≥40000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5000≤Y&lt;40000</w:t>
            </w:r>
          </w:p>
        </w:tc>
        <w:tc>
          <w:tcPr>
            <w:tcW w:w="1389" w:type="dxa"/>
            <w:noWrap w:val="0"/>
            <w:vAlign w:val="center"/>
          </w:tcPr>
          <w:p>
            <w:pPr>
              <w:widowControl/>
              <w:spacing w:after="113" w:line="180" w:lineRule="atLeast"/>
              <w:rPr>
                <w:rFonts w:hint="eastAsia" w:ascii="宋体" w:hAnsi="宋体" w:eastAsia="宋体" w:cs="宋体"/>
                <w:sz w:val="18"/>
                <w:szCs w:val="18"/>
                <w:highlight w:val="none"/>
              </w:rPr>
            </w:pPr>
            <w:r>
              <w:rPr>
                <w:rFonts w:hint="eastAsia" w:ascii="宋体" w:hAnsi="宋体" w:eastAsia="宋体" w:cs="宋体"/>
                <w:sz w:val="18"/>
                <w:szCs w:val="18"/>
                <w:highlight w:val="none"/>
              </w:rPr>
              <w:t>1000≤Y&lt;5000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pStyle w:val="4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零售业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10≤X&lt;50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pStyle w:val="40"/>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Y≥20000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500≤Y&lt;20000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100≤Y&lt;500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交通运输业★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300≤X&lt;1000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20≤X&lt;300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Y≥30000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3000≤Y&lt;30000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200≤Y&lt;3000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仓储业★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100≤X&lt;200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Y≥30000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1000≤Y&lt;30000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100≤Y&lt;1000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邮政业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300≤X&lt;1000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20≤X&lt;300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Y≥30000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2000≤Y&lt;30000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100≤Y&lt;2000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住宿业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2000≤Y&lt;10000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100≤Y&lt;2000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餐饮业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2000≤Y&lt;10000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100≤Y&lt;2000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信息传输业★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X≥2000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100≤X&lt;2000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1000≤Y&lt;100000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100≤Y&lt;1000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软件和信息技术服务业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Y≥10000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1000≤Y&lt;10000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50≤Y&lt;1000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房地产开发经营</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Y≥200000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1000≤Y&lt;200000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100≤Y&lt;1000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资产总额</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Z)</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Z≥10000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5000≤Z&lt;10000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2000≤Z&lt;5000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物业管理</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X≥1000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300≤X&lt;1000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营业收入</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Y)</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Y≥5000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1000≤Y&lt;5000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500≤Y&lt;1000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租赁和商务服务业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pPr>
              <w:widowControl/>
              <w:spacing w:after="113" w:line="180" w:lineRule="atLeast"/>
              <w:jc w:val="center"/>
              <w:rPr>
                <w:rFonts w:hint="eastAsia" w:ascii="宋体" w:hAnsi="宋体" w:eastAsia="宋体" w:cs="宋体"/>
                <w:sz w:val="18"/>
                <w:szCs w:val="18"/>
                <w:highlight w:val="none"/>
              </w:rPr>
            </w:pP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资产总额</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Z)</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万元</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Z≥120000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8000≤Z&lt;120000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100≤Z&lt;8000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其他未列明行业★</w:t>
            </w:r>
          </w:p>
        </w:tc>
        <w:tc>
          <w:tcPr>
            <w:tcW w:w="1104"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从业人员</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X)</w:t>
            </w:r>
          </w:p>
        </w:tc>
        <w:tc>
          <w:tcPr>
            <w:tcW w:w="1097"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29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X≥300</w:t>
            </w:r>
          </w:p>
        </w:tc>
        <w:tc>
          <w:tcPr>
            <w:tcW w:w="1561"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100≤X&lt;300</w:t>
            </w:r>
          </w:p>
        </w:tc>
        <w:tc>
          <w:tcPr>
            <w:tcW w:w="1389"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10≤X&lt;100</w:t>
            </w:r>
          </w:p>
        </w:tc>
        <w:tc>
          <w:tcPr>
            <w:tcW w:w="965" w:type="dxa"/>
            <w:noWrap w:val="0"/>
            <w:vAlign w:val="center"/>
          </w:tcPr>
          <w:p>
            <w:pPr>
              <w:widowControl/>
              <w:spacing w:after="113" w:line="18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X&lt;10</w:t>
            </w:r>
          </w:p>
        </w:tc>
      </w:tr>
    </w:tbl>
    <w:p>
      <w:pPr>
        <w:pStyle w:val="40"/>
        <w:spacing w:line="520" w:lineRule="exact"/>
        <w:rPr>
          <w:rFonts w:hint="eastAsia" w:ascii="宋体" w:hAnsi="宋体" w:cs="宋体"/>
          <w:sz w:val="24"/>
          <w:szCs w:val="24"/>
          <w:highlight w:val="none"/>
        </w:rPr>
      </w:pPr>
      <w:r>
        <w:rPr>
          <w:rFonts w:hint="eastAsia" w:ascii="宋体" w:hAnsi="宋体" w:cs="宋体"/>
          <w:b/>
          <w:sz w:val="24"/>
          <w:szCs w:val="24"/>
          <w:highlight w:val="none"/>
        </w:rPr>
        <w:t>中小企业划分标准的说明</w:t>
      </w:r>
      <w:r>
        <w:rPr>
          <w:rFonts w:hint="eastAsia" w:ascii="宋体" w:hAnsi="宋体" w:cs="宋体"/>
          <w:sz w:val="24"/>
          <w:szCs w:val="24"/>
          <w:highlight w:val="none"/>
        </w:rPr>
        <w:t>：</w:t>
      </w:r>
    </w:p>
    <w:p>
      <w:pPr>
        <w:pStyle w:val="4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1、大型、中型和小型企业须同时满足所列指标的下限，否则下划一档；微型企业只须满足所列指标中的一项即可。</w:t>
      </w:r>
    </w:p>
    <w:p>
      <w:pPr>
        <w:pStyle w:val="4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sz w:val="24"/>
          <w:szCs w:val="24"/>
          <w:highlight w:val="none"/>
          <w:lang w:eastAsia="zh-CN"/>
        </w:rPr>
        <w:t>；</w:t>
      </w:r>
      <w:r>
        <w:rPr>
          <w:rFonts w:hint="eastAsia" w:ascii="宋体" w:hAnsi="宋体" w:cs="宋体"/>
          <w:sz w:val="24"/>
          <w:szCs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
        <w:spacing w:line="520" w:lineRule="exact"/>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3、企业划分指标以现行统计制度为准。</w:t>
      </w:r>
    </w:p>
    <w:p>
      <w:pPr>
        <w:pStyle w:val="2"/>
        <w:spacing w:line="520" w:lineRule="exact"/>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（1）从业人员，是指期末从业人员数，没有期末从业人员数的，采用全年平均人员数代替。</w:t>
      </w:r>
    </w:p>
    <w:p>
      <w:pPr>
        <w:pStyle w:val="2"/>
        <w:spacing w:line="520" w:lineRule="exact"/>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2"/>
        <w:spacing w:line="520" w:lineRule="exact"/>
        <w:ind w:left="0" w:firstLine="480"/>
        <w:rPr>
          <w:rFonts w:hint="eastAsia"/>
          <w:highlight w:val="none"/>
        </w:rPr>
      </w:pPr>
      <w:r>
        <w:rPr>
          <w:rFonts w:hint="eastAsia" w:ascii="宋体" w:hAnsi="宋体" w:eastAsia="宋体" w:cs="宋体"/>
          <w:sz w:val="24"/>
          <w:szCs w:val="24"/>
          <w:highlight w:val="none"/>
        </w:rPr>
        <w:t>（3）资产总额，采用资产总计代替。</w:t>
      </w:r>
    </w:p>
    <w:p>
      <w:pPr>
        <w:pStyle w:val="2"/>
        <w:ind w:firstLine="640"/>
        <w:rPr>
          <w:highlight w:val="none"/>
        </w:rPr>
      </w:pPr>
    </w:p>
    <w:p>
      <w:pPr>
        <w:jc w:val="left"/>
        <w:rPr>
          <w:highlight w:val="none"/>
        </w:rPr>
      </w:pPr>
    </w:p>
    <w:sectPr>
      <w:pgSz w:w="11906" w:h="16838"/>
      <w:pgMar w:top="1440" w:right="1706"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36CE23-883B-4863-BAB6-83AE6AD119A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D3B6884-A2FD-453B-8F22-60FDF199005A}"/>
  </w:font>
  <w:font w:name="@仿宋_GB2312">
    <w:panose1 w:val="02010609030101010101"/>
    <w:charset w:val="86"/>
    <w:family w:val="modern"/>
    <w:pitch w:val="default"/>
    <w:sig w:usb0="00000001" w:usb1="080E0000" w:usb2="00000000" w:usb3="00000000" w:csb0="00040000" w:csb1="00000000"/>
    <w:embedRegular r:id="rId3" w:fontKey="{1743900F-D989-41EA-87B0-B8047CE4016A}"/>
  </w:font>
  <w:font w:name="方正小标宋_GBK">
    <w:panose1 w:val="02000000000000000000"/>
    <w:charset w:val="86"/>
    <w:family w:val="script"/>
    <w:pitch w:val="default"/>
    <w:sig w:usb0="A00002BF" w:usb1="38CF7CFA" w:usb2="00082016" w:usb3="00000000" w:csb0="00040001" w:csb1="00000000"/>
    <w:embedRegular r:id="rId4" w:fontKey="{4CD3C0DD-DF91-44B3-AB4C-4D32E1BEB781}"/>
  </w:font>
  <w:font w:name="方正黑体_GBK">
    <w:altName w:val="微软雅黑"/>
    <w:panose1 w:val="02000000000000000000"/>
    <w:charset w:val="86"/>
    <w:family w:val="script"/>
    <w:pitch w:val="default"/>
    <w:sig w:usb0="00000000" w:usb1="00000000" w:usb2="00000000" w:usb3="00000000" w:csb0="00040000" w:csb1="00000000"/>
    <w:embedRegular r:id="rId5" w:fontKey="{5FE916FB-2672-4716-8EA5-D792B8800BF3}"/>
  </w:font>
  <w:font w:name="楷体_GB2312">
    <w:altName w:val="楷体"/>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embedRegular r:id="rId6" w:fontKey="{D60C69E5-9015-473A-8848-48674C8FE93C}"/>
  </w:font>
  <w:font w:name="仿宋">
    <w:panose1 w:val="02010609060101010101"/>
    <w:charset w:val="86"/>
    <w:family w:val="modern"/>
    <w:pitch w:val="default"/>
    <w:sig w:usb0="800002BF" w:usb1="38CF7CFA" w:usb2="00000016" w:usb3="00000000" w:csb0="00040001" w:csb1="00000000"/>
    <w:embedRegular r:id="rId7" w:fontKey="{24FC3C57-E953-4AF6-B7C9-0B9E70689ADD}"/>
  </w:font>
  <w:font w:name="华文中宋">
    <w:panose1 w:val="02010600040101010101"/>
    <w:charset w:val="86"/>
    <w:family w:val="auto"/>
    <w:pitch w:val="default"/>
    <w:sig w:usb0="00000287" w:usb1="080F0000" w:usb2="00000000" w:usb3="00000000" w:csb0="0004009F" w:csb1="DFD70000"/>
    <w:embedRegular r:id="rId8" w:fontKey="{78C22558-0F38-4B8A-9F4E-4FA04DA0ACE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rPr>
        <w:rFonts w:ascii="宋体" w:hAnsi="宋体" w:eastAsia="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ByU85gEA&#10;AMkDAAAOAAAAAAAAAAEAIAAAACIBAABkcnMvZTJvRG9jLnhtbFBLBQYAAAAABgAGAFkBAAB6BQAA&#10;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vaAZ5gEA&#10;AMgDAAAOAAAAAAAAAAEAIAAAACIBAABkcnMvZTJvRG9jLnhtbFBLBQYAAAAABgAGAFkBAAB6BQAA&#10;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624F6"/>
    <w:multiLevelType w:val="multilevel"/>
    <w:tmpl w:val="1DE624F6"/>
    <w:lvl w:ilvl="0" w:tentative="0">
      <w:start w:val="1"/>
      <w:numFmt w:val="chineseCountingThousand"/>
      <w:suff w:val="nothing"/>
      <w:lvlText w:val="%1"/>
      <w:lvlJc w:val="left"/>
      <w:pPr>
        <w:ind w:left="420" w:hanging="420"/>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TI1NmIzYmI4OTM5MGM0ODQzN2E2MzFiNjM2MDkifQ=="/>
  </w:docVars>
  <w:rsids>
    <w:rsidRoot w:val="00172A27"/>
    <w:rsid w:val="00025C85"/>
    <w:rsid w:val="00031BFB"/>
    <w:rsid w:val="0004736E"/>
    <w:rsid w:val="00064CE0"/>
    <w:rsid w:val="00077F11"/>
    <w:rsid w:val="0008670B"/>
    <w:rsid w:val="00096E05"/>
    <w:rsid w:val="00097323"/>
    <w:rsid w:val="000B5CD2"/>
    <w:rsid w:val="000C176B"/>
    <w:rsid w:val="000C4957"/>
    <w:rsid w:val="000D05B4"/>
    <w:rsid w:val="000D4DA9"/>
    <w:rsid w:val="001110A0"/>
    <w:rsid w:val="0012206D"/>
    <w:rsid w:val="00142A10"/>
    <w:rsid w:val="001438A7"/>
    <w:rsid w:val="001637D6"/>
    <w:rsid w:val="001A0E6A"/>
    <w:rsid w:val="001A4253"/>
    <w:rsid w:val="001A6544"/>
    <w:rsid w:val="001B3DE0"/>
    <w:rsid w:val="001B48FD"/>
    <w:rsid w:val="001C30EE"/>
    <w:rsid w:val="001C5A92"/>
    <w:rsid w:val="001D4046"/>
    <w:rsid w:val="001F437D"/>
    <w:rsid w:val="001F7DA0"/>
    <w:rsid w:val="00215B30"/>
    <w:rsid w:val="0023676B"/>
    <w:rsid w:val="00240A64"/>
    <w:rsid w:val="002845EB"/>
    <w:rsid w:val="002907EC"/>
    <w:rsid w:val="002A6C72"/>
    <w:rsid w:val="002B48EF"/>
    <w:rsid w:val="002E342A"/>
    <w:rsid w:val="002F126D"/>
    <w:rsid w:val="00313301"/>
    <w:rsid w:val="00340C4D"/>
    <w:rsid w:val="003569CB"/>
    <w:rsid w:val="00367DA2"/>
    <w:rsid w:val="003956C5"/>
    <w:rsid w:val="003A3B23"/>
    <w:rsid w:val="003A4B42"/>
    <w:rsid w:val="003A70A6"/>
    <w:rsid w:val="003F0C9A"/>
    <w:rsid w:val="003F4DA6"/>
    <w:rsid w:val="00424640"/>
    <w:rsid w:val="00427795"/>
    <w:rsid w:val="00443B65"/>
    <w:rsid w:val="00463349"/>
    <w:rsid w:val="00466C32"/>
    <w:rsid w:val="00480910"/>
    <w:rsid w:val="00484EEA"/>
    <w:rsid w:val="004A27FA"/>
    <w:rsid w:val="004A7B3D"/>
    <w:rsid w:val="004B375B"/>
    <w:rsid w:val="004C7371"/>
    <w:rsid w:val="004F37C1"/>
    <w:rsid w:val="005019EB"/>
    <w:rsid w:val="00501A60"/>
    <w:rsid w:val="00505FBC"/>
    <w:rsid w:val="0051332A"/>
    <w:rsid w:val="005142C9"/>
    <w:rsid w:val="00522060"/>
    <w:rsid w:val="0053415A"/>
    <w:rsid w:val="0053645E"/>
    <w:rsid w:val="00536814"/>
    <w:rsid w:val="00540936"/>
    <w:rsid w:val="005559BF"/>
    <w:rsid w:val="0056110B"/>
    <w:rsid w:val="00561D58"/>
    <w:rsid w:val="005B192E"/>
    <w:rsid w:val="005C3369"/>
    <w:rsid w:val="005C34B5"/>
    <w:rsid w:val="005E512D"/>
    <w:rsid w:val="005F2757"/>
    <w:rsid w:val="00620616"/>
    <w:rsid w:val="00623E4A"/>
    <w:rsid w:val="0063015B"/>
    <w:rsid w:val="00630644"/>
    <w:rsid w:val="00646DB0"/>
    <w:rsid w:val="00651BBF"/>
    <w:rsid w:val="0067293B"/>
    <w:rsid w:val="00675D37"/>
    <w:rsid w:val="00691664"/>
    <w:rsid w:val="006A133C"/>
    <w:rsid w:val="006D0C4F"/>
    <w:rsid w:val="006D576E"/>
    <w:rsid w:val="006D71E0"/>
    <w:rsid w:val="006E0C3B"/>
    <w:rsid w:val="006E21B6"/>
    <w:rsid w:val="006E2AE1"/>
    <w:rsid w:val="006E7C6E"/>
    <w:rsid w:val="006F3286"/>
    <w:rsid w:val="00724907"/>
    <w:rsid w:val="007401AB"/>
    <w:rsid w:val="00743F7E"/>
    <w:rsid w:val="00750181"/>
    <w:rsid w:val="00752DA2"/>
    <w:rsid w:val="00752FDD"/>
    <w:rsid w:val="00756203"/>
    <w:rsid w:val="0075707D"/>
    <w:rsid w:val="00760E5E"/>
    <w:rsid w:val="007941D0"/>
    <w:rsid w:val="00801808"/>
    <w:rsid w:val="00834E88"/>
    <w:rsid w:val="008379CA"/>
    <w:rsid w:val="00856453"/>
    <w:rsid w:val="00860D56"/>
    <w:rsid w:val="008837E7"/>
    <w:rsid w:val="00893A79"/>
    <w:rsid w:val="008C16F3"/>
    <w:rsid w:val="008C3406"/>
    <w:rsid w:val="008C40A7"/>
    <w:rsid w:val="00915BA4"/>
    <w:rsid w:val="009637D9"/>
    <w:rsid w:val="00965366"/>
    <w:rsid w:val="009766E5"/>
    <w:rsid w:val="00995FC3"/>
    <w:rsid w:val="009C0064"/>
    <w:rsid w:val="009C200E"/>
    <w:rsid w:val="00A32B37"/>
    <w:rsid w:val="00A54144"/>
    <w:rsid w:val="00A54613"/>
    <w:rsid w:val="00A64246"/>
    <w:rsid w:val="00A65241"/>
    <w:rsid w:val="00A93D7F"/>
    <w:rsid w:val="00AA65EE"/>
    <w:rsid w:val="00AC329B"/>
    <w:rsid w:val="00AC47BD"/>
    <w:rsid w:val="00AF01AB"/>
    <w:rsid w:val="00AF1130"/>
    <w:rsid w:val="00AF2FB3"/>
    <w:rsid w:val="00AF3B10"/>
    <w:rsid w:val="00B13070"/>
    <w:rsid w:val="00B13A5F"/>
    <w:rsid w:val="00B21138"/>
    <w:rsid w:val="00B434A6"/>
    <w:rsid w:val="00B522DB"/>
    <w:rsid w:val="00B530CD"/>
    <w:rsid w:val="00B54671"/>
    <w:rsid w:val="00B54E85"/>
    <w:rsid w:val="00B6525C"/>
    <w:rsid w:val="00B72EEA"/>
    <w:rsid w:val="00B87C0A"/>
    <w:rsid w:val="00B93F4B"/>
    <w:rsid w:val="00BA317D"/>
    <w:rsid w:val="00BB4654"/>
    <w:rsid w:val="00BD387C"/>
    <w:rsid w:val="00BD538A"/>
    <w:rsid w:val="00BD5FA6"/>
    <w:rsid w:val="00BE7DD9"/>
    <w:rsid w:val="00BF165B"/>
    <w:rsid w:val="00BF5F21"/>
    <w:rsid w:val="00C05453"/>
    <w:rsid w:val="00C05B8F"/>
    <w:rsid w:val="00C23F85"/>
    <w:rsid w:val="00C30341"/>
    <w:rsid w:val="00C35FA5"/>
    <w:rsid w:val="00C57FB4"/>
    <w:rsid w:val="00C62175"/>
    <w:rsid w:val="00C75478"/>
    <w:rsid w:val="00C96BCC"/>
    <w:rsid w:val="00CA2FE8"/>
    <w:rsid w:val="00CB0C92"/>
    <w:rsid w:val="00CC0A68"/>
    <w:rsid w:val="00CC67EE"/>
    <w:rsid w:val="00CD35E9"/>
    <w:rsid w:val="00CE4D0A"/>
    <w:rsid w:val="00CE5647"/>
    <w:rsid w:val="00CF2EB7"/>
    <w:rsid w:val="00CF6A22"/>
    <w:rsid w:val="00D0385B"/>
    <w:rsid w:val="00D14F79"/>
    <w:rsid w:val="00D22EC1"/>
    <w:rsid w:val="00D8690C"/>
    <w:rsid w:val="00DA37F7"/>
    <w:rsid w:val="00DC01BF"/>
    <w:rsid w:val="00DF32F0"/>
    <w:rsid w:val="00E2319C"/>
    <w:rsid w:val="00E47E7C"/>
    <w:rsid w:val="00E5538B"/>
    <w:rsid w:val="00E72360"/>
    <w:rsid w:val="00E80C77"/>
    <w:rsid w:val="00E935E9"/>
    <w:rsid w:val="00E96075"/>
    <w:rsid w:val="00EA2C91"/>
    <w:rsid w:val="00EB711E"/>
    <w:rsid w:val="00EC3033"/>
    <w:rsid w:val="00ED2455"/>
    <w:rsid w:val="00EF6ACC"/>
    <w:rsid w:val="00F05C50"/>
    <w:rsid w:val="00F175E3"/>
    <w:rsid w:val="00F42529"/>
    <w:rsid w:val="00F46D78"/>
    <w:rsid w:val="00F5595C"/>
    <w:rsid w:val="00F71A22"/>
    <w:rsid w:val="00F7554A"/>
    <w:rsid w:val="00F7669A"/>
    <w:rsid w:val="00F8687E"/>
    <w:rsid w:val="00F973F5"/>
    <w:rsid w:val="00FA6038"/>
    <w:rsid w:val="011533D3"/>
    <w:rsid w:val="01625F9F"/>
    <w:rsid w:val="01D94415"/>
    <w:rsid w:val="026E5982"/>
    <w:rsid w:val="02D51985"/>
    <w:rsid w:val="02EB3B34"/>
    <w:rsid w:val="02F7536E"/>
    <w:rsid w:val="0313297B"/>
    <w:rsid w:val="035E2A3E"/>
    <w:rsid w:val="03B31109"/>
    <w:rsid w:val="03D36760"/>
    <w:rsid w:val="04455AD9"/>
    <w:rsid w:val="046F057D"/>
    <w:rsid w:val="04881B00"/>
    <w:rsid w:val="04C13989"/>
    <w:rsid w:val="04FE3CBD"/>
    <w:rsid w:val="04FE4606"/>
    <w:rsid w:val="051A01A7"/>
    <w:rsid w:val="05707F36"/>
    <w:rsid w:val="057F2AC0"/>
    <w:rsid w:val="05923B89"/>
    <w:rsid w:val="05E35235"/>
    <w:rsid w:val="0629097B"/>
    <w:rsid w:val="065B3BFA"/>
    <w:rsid w:val="06685412"/>
    <w:rsid w:val="068648A1"/>
    <w:rsid w:val="06EC6D6C"/>
    <w:rsid w:val="074F4328"/>
    <w:rsid w:val="078017DE"/>
    <w:rsid w:val="08651B9C"/>
    <w:rsid w:val="088A5513"/>
    <w:rsid w:val="090515DA"/>
    <w:rsid w:val="09534F32"/>
    <w:rsid w:val="0959280F"/>
    <w:rsid w:val="09A91622"/>
    <w:rsid w:val="0A2C5B6E"/>
    <w:rsid w:val="0A30147D"/>
    <w:rsid w:val="0A341E0E"/>
    <w:rsid w:val="0A42592B"/>
    <w:rsid w:val="0A8B6D96"/>
    <w:rsid w:val="0A9336F3"/>
    <w:rsid w:val="0AAA770C"/>
    <w:rsid w:val="0BAC30AB"/>
    <w:rsid w:val="0C035C03"/>
    <w:rsid w:val="0C2E16E6"/>
    <w:rsid w:val="0C532AB2"/>
    <w:rsid w:val="0CBD16F5"/>
    <w:rsid w:val="0CCD3F0E"/>
    <w:rsid w:val="0DE73E5E"/>
    <w:rsid w:val="0E314720"/>
    <w:rsid w:val="0E3E0FEA"/>
    <w:rsid w:val="0F0E7940"/>
    <w:rsid w:val="0F4475F4"/>
    <w:rsid w:val="0F6105DB"/>
    <w:rsid w:val="0F8A728A"/>
    <w:rsid w:val="10160A6E"/>
    <w:rsid w:val="109F7F16"/>
    <w:rsid w:val="10A52432"/>
    <w:rsid w:val="10C53C9A"/>
    <w:rsid w:val="11003973"/>
    <w:rsid w:val="11285A31"/>
    <w:rsid w:val="114762E6"/>
    <w:rsid w:val="11566508"/>
    <w:rsid w:val="118F71A7"/>
    <w:rsid w:val="11A02C31"/>
    <w:rsid w:val="12444BEB"/>
    <w:rsid w:val="12B32FBA"/>
    <w:rsid w:val="12F02C74"/>
    <w:rsid w:val="12FE59B8"/>
    <w:rsid w:val="131320DA"/>
    <w:rsid w:val="132D70D6"/>
    <w:rsid w:val="139A267A"/>
    <w:rsid w:val="13A26D76"/>
    <w:rsid w:val="13A55747"/>
    <w:rsid w:val="13B42158"/>
    <w:rsid w:val="13E338AE"/>
    <w:rsid w:val="13E545D6"/>
    <w:rsid w:val="145B3A97"/>
    <w:rsid w:val="14A25F16"/>
    <w:rsid w:val="14A90EBB"/>
    <w:rsid w:val="14B66F07"/>
    <w:rsid w:val="14D709D0"/>
    <w:rsid w:val="14F11F32"/>
    <w:rsid w:val="15345CDC"/>
    <w:rsid w:val="15786FC5"/>
    <w:rsid w:val="16A24CDB"/>
    <w:rsid w:val="17802C1E"/>
    <w:rsid w:val="17CB578D"/>
    <w:rsid w:val="183A3804"/>
    <w:rsid w:val="184D326B"/>
    <w:rsid w:val="188C6BDF"/>
    <w:rsid w:val="18F86F87"/>
    <w:rsid w:val="19097221"/>
    <w:rsid w:val="192B2C59"/>
    <w:rsid w:val="1A11287F"/>
    <w:rsid w:val="1A7806FD"/>
    <w:rsid w:val="1A96572E"/>
    <w:rsid w:val="1AC57C63"/>
    <w:rsid w:val="1AC94917"/>
    <w:rsid w:val="1B612DA1"/>
    <w:rsid w:val="1B6D668B"/>
    <w:rsid w:val="1BC0122A"/>
    <w:rsid w:val="1C360972"/>
    <w:rsid w:val="1C594AE1"/>
    <w:rsid w:val="1C694E5E"/>
    <w:rsid w:val="1C7C20CC"/>
    <w:rsid w:val="1CA16557"/>
    <w:rsid w:val="1CC81239"/>
    <w:rsid w:val="1D014DB0"/>
    <w:rsid w:val="1D7A676B"/>
    <w:rsid w:val="1D9D6017"/>
    <w:rsid w:val="1DBFEF25"/>
    <w:rsid w:val="1DC44225"/>
    <w:rsid w:val="1DCC7F6A"/>
    <w:rsid w:val="1DFD6F08"/>
    <w:rsid w:val="1ECC406A"/>
    <w:rsid w:val="1F1141E3"/>
    <w:rsid w:val="1F3628D9"/>
    <w:rsid w:val="1F7FB2C8"/>
    <w:rsid w:val="1FAB80D9"/>
    <w:rsid w:val="1FD35646"/>
    <w:rsid w:val="1FE10D15"/>
    <w:rsid w:val="1FF61E9A"/>
    <w:rsid w:val="20597AA5"/>
    <w:rsid w:val="20B50894"/>
    <w:rsid w:val="21357562"/>
    <w:rsid w:val="21477726"/>
    <w:rsid w:val="21577823"/>
    <w:rsid w:val="216C4E14"/>
    <w:rsid w:val="21C734F7"/>
    <w:rsid w:val="21D42471"/>
    <w:rsid w:val="221635E7"/>
    <w:rsid w:val="223B12B8"/>
    <w:rsid w:val="22BB723B"/>
    <w:rsid w:val="22E84C54"/>
    <w:rsid w:val="230C030B"/>
    <w:rsid w:val="237F04BF"/>
    <w:rsid w:val="239613D2"/>
    <w:rsid w:val="23F07684"/>
    <w:rsid w:val="24344866"/>
    <w:rsid w:val="24376C08"/>
    <w:rsid w:val="24585BAE"/>
    <w:rsid w:val="246E7F53"/>
    <w:rsid w:val="24D93C10"/>
    <w:rsid w:val="250848CE"/>
    <w:rsid w:val="25666FD3"/>
    <w:rsid w:val="25D6079F"/>
    <w:rsid w:val="25EE23E6"/>
    <w:rsid w:val="2637753E"/>
    <w:rsid w:val="26A86D7E"/>
    <w:rsid w:val="26C80E50"/>
    <w:rsid w:val="26EA788C"/>
    <w:rsid w:val="27EA6838"/>
    <w:rsid w:val="280068CA"/>
    <w:rsid w:val="281A6373"/>
    <w:rsid w:val="284A1528"/>
    <w:rsid w:val="28547D19"/>
    <w:rsid w:val="28EC5A7D"/>
    <w:rsid w:val="29333EC4"/>
    <w:rsid w:val="29AD3C9D"/>
    <w:rsid w:val="2A261BC1"/>
    <w:rsid w:val="2A4E3584"/>
    <w:rsid w:val="2A732FB5"/>
    <w:rsid w:val="2A930168"/>
    <w:rsid w:val="2B491F3E"/>
    <w:rsid w:val="2B6D169A"/>
    <w:rsid w:val="2BEC56F0"/>
    <w:rsid w:val="2C0D253D"/>
    <w:rsid w:val="2C6D0CAB"/>
    <w:rsid w:val="2C78567B"/>
    <w:rsid w:val="2C821B92"/>
    <w:rsid w:val="2CA62D0A"/>
    <w:rsid w:val="2CBDFEAF"/>
    <w:rsid w:val="2CBF5B79"/>
    <w:rsid w:val="2CE9517C"/>
    <w:rsid w:val="2CFC2D64"/>
    <w:rsid w:val="2D3C075D"/>
    <w:rsid w:val="2D892E2D"/>
    <w:rsid w:val="2D9F2369"/>
    <w:rsid w:val="2DAD2E96"/>
    <w:rsid w:val="2E445076"/>
    <w:rsid w:val="2E583D16"/>
    <w:rsid w:val="2E807071"/>
    <w:rsid w:val="2EDD459B"/>
    <w:rsid w:val="2F61403F"/>
    <w:rsid w:val="2F6F27F3"/>
    <w:rsid w:val="2F731EE4"/>
    <w:rsid w:val="3064318F"/>
    <w:rsid w:val="30717C09"/>
    <w:rsid w:val="30876F3C"/>
    <w:rsid w:val="30B87725"/>
    <w:rsid w:val="30D261D7"/>
    <w:rsid w:val="30FC2D18"/>
    <w:rsid w:val="311A5640"/>
    <w:rsid w:val="31A240F4"/>
    <w:rsid w:val="31D237D1"/>
    <w:rsid w:val="32347FFB"/>
    <w:rsid w:val="32796640"/>
    <w:rsid w:val="32CA68E5"/>
    <w:rsid w:val="333D579D"/>
    <w:rsid w:val="334A2ABA"/>
    <w:rsid w:val="337E4009"/>
    <w:rsid w:val="33AF314A"/>
    <w:rsid w:val="33BC1065"/>
    <w:rsid w:val="33CA7E69"/>
    <w:rsid w:val="34317328"/>
    <w:rsid w:val="345D5AA8"/>
    <w:rsid w:val="34D67ABD"/>
    <w:rsid w:val="34F160E8"/>
    <w:rsid w:val="3572234E"/>
    <w:rsid w:val="35B05222"/>
    <w:rsid w:val="360C0799"/>
    <w:rsid w:val="369154CF"/>
    <w:rsid w:val="36B54AD0"/>
    <w:rsid w:val="36E63284"/>
    <w:rsid w:val="37342E1F"/>
    <w:rsid w:val="3784633D"/>
    <w:rsid w:val="38061D32"/>
    <w:rsid w:val="380B5028"/>
    <w:rsid w:val="38145D11"/>
    <w:rsid w:val="384300DA"/>
    <w:rsid w:val="384A2968"/>
    <w:rsid w:val="391D6D4C"/>
    <w:rsid w:val="397B3CC4"/>
    <w:rsid w:val="39C82DD9"/>
    <w:rsid w:val="3A22476C"/>
    <w:rsid w:val="3A7F437D"/>
    <w:rsid w:val="3ACA6B4D"/>
    <w:rsid w:val="3B184EC9"/>
    <w:rsid w:val="3B7B26FA"/>
    <w:rsid w:val="3BD41BB4"/>
    <w:rsid w:val="3BD8630F"/>
    <w:rsid w:val="3BFD449E"/>
    <w:rsid w:val="3C2D1349"/>
    <w:rsid w:val="3C4B6A7A"/>
    <w:rsid w:val="3C652258"/>
    <w:rsid w:val="3CFB2C9B"/>
    <w:rsid w:val="3D996023"/>
    <w:rsid w:val="3DA16CAC"/>
    <w:rsid w:val="3DB96DDC"/>
    <w:rsid w:val="3DD41AB0"/>
    <w:rsid w:val="3DFD50A2"/>
    <w:rsid w:val="3DFE04CE"/>
    <w:rsid w:val="3E2C300D"/>
    <w:rsid w:val="3E75020E"/>
    <w:rsid w:val="3E810519"/>
    <w:rsid w:val="3E9D7E49"/>
    <w:rsid w:val="3ED957C1"/>
    <w:rsid w:val="3F7334D8"/>
    <w:rsid w:val="3F973978"/>
    <w:rsid w:val="3FC802F1"/>
    <w:rsid w:val="3FC83D82"/>
    <w:rsid w:val="3FDB691B"/>
    <w:rsid w:val="3FE6171A"/>
    <w:rsid w:val="3FF22CF9"/>
    <w:rsid w:val="40254E3C"/>
    <w:rsid w:val="410A18DF"/>
    <w:rsid w:val="41A331B3"/>
    <w:rsid w:val="41A75102"/>
    <w:rsid w:val="41A97AC3"/>
    <w:rsid w:val="41BE4262"/>
    <w:rsid w:val="42DC3327"/>
    <w:rsid w:val="43127EEB"/>
    <w:rsid w:val="43236033"/>
    <w:rsid w:val="433504EC"/>
    <w:rsid w:val="4391558B"/>
    <w:rsid w:val="446D1F78"/>
    <w:rsid w:val="4479071A"/>
    <w:rsid w:val="448154AC"/>
    <w:rsid w:val="44DF653F"/>
    <w:rsid w:val="44E328F5"/>
    <w:rsid w:val="451C65F1"/>
    <w:rsid w:val="45AC7FA8"/>
    <w:rsid w:val="45D15EED"/>
    <w:rsid w:val="45DE45FD"/>
    <w:rsid w:val="46884147"/>
    <w:rsid w:val="468A6B92"/>
    <w:rsid w:val="46922BF7"/>
    <w:rsid w:val="46CA4BB0"/>
    <w:rsid w:val="46DDEAE8"/>
    <w:rsid w:val="46FC0AE6"/>
    <w:rsid w:val="46FF32EA"/>
    <w:rsid w:val="47117A98"/>
    <w:rsid w:val="471B4EA0"/>
    <w:rsid w:val="476E6725"/>
    <w:rsid w:val="478479C6"/>
    <w:rsid w:val="47EF0487"/>
    <w:rsid w:val="486F5ECE"/>
    <w:rsid w:val="488F3C2B"/>
    <w:rsid w:val="491F7FD9"/>
    <w:rsid w:val="49EC0F55"/>
    <w:rsid w:val="49F41A72"/>
    <w:rsid w:val="4A061AFF"/>
    <w:rsid w:val="4A3B442F"/>
    <w:rsid w:val="4A474F52"/>
    <w:rsid w:val="4A4D0F83"/>
    <w:rsid w:val="4A4F0096"/>
    <w:rsid w:val="4A6F36C2"/>
    <w:rsid w:val="4A7E09AB"/>
    <w:rsid w:val="4A930919"/>
    <w:rsid w:val="4ABB0971"/>
    <w:rsid w:val="4AEE0E82"/>
    <w:rsid w:val="4B7301C6"/>
    <w:rsid w:val="4BA52465"/>
    <w:rsid w:val="4BA91D45"/>
    <w:rsid w:val="4BD158A5"/>
    <w:rsid w:val="4BDA06EE"/>
    <w:rsid w:val="4C0F1AB3"/>
    <w:rsid w:val="4C426EAB"/>
    <w:rsid w:val="4C6F1D6F"/>
    <w:rsid w:val="4C757CBC"/>
    <w:rsid w:val="4C840E1A"/>
    <w:rsid w:val="4C8E28E3"/>
    <w:rsid w:val="4D244F88"/>
    <w:rsid w:val="4EB621B3"/>
    <w:rsid w:val="4EE43598"/>
    <w:rsid w:val="4EF9611F"/>
    <w:rsid w:val="4EFE0E6F"/>
    <w:rsid w:val="4F297744"/>
    <w:rsid w:val="4F637D4D"/>
    <w:rsid w:val="4F691C49"/>
    <w:rsid w:val="4FB94ED8"/>
    <w:rsid w:val="4FD173C7"/>
    <w:rsid w:val="4FF5BC8D"/>
    <w:rsid w:val="50226E86"/>
    <w:rsid w:val="504923A2"/>
    <w:rsid w:val="508558A6"/>
    <w:rsid w:val="50B9375A"/>
    <w:rsid w:val="50F429B8"/>
    <w:rsid w:val="50F471DE"/>
    <w:rsid w:val="5112678F"/>
    <w:rsid w:val="5117434D"/>
    <w:rsid w:val="51384450"/>
    <w:rsid w:val="51A95A08"/>
    <w:rsid w:val="51CB03DA"/>
    <w:rsid w:val="521D6D1B"/>
    <w:rsid w:val="5296454D"/>
    <w:rsid w:val="52AC6A59"/>
    <w:rsid w:val="542A026B"/>
    <w:rsid w:val="54A87E61"/>
    <w:rsid w:val="54F32D79"/>
    <w:rsid w:val="553616D8"/>
    <w:rsid w:val="55432CF1"/>
    <w:rsid w:val="55AB3589"/>
    <w:rsid w:val="56126F90"/>
    <w:rsid w:val="5643062C"/>
    <w:rsid w:val="56483B69"/>
    <w:rsid w:val="56A81F3E"/>
    <w:rsid w:val="56C24271"/>
    <w:rsid w:val="56D0377C"/>
    <w:rsid w:val="56EB528A"/>
    <w:rsid w:val="57085BEB"/>
    <w:rsid w:val="573E34B0"/>
    <w:rsid w:val="576912E5"/>
    <w:rsid w:val="57CF53E0"/>
    <w:rsid w:val="57E427B4"/>
    <w:rsid w:val="5800799B"/>
    <w:rsid w:val="584B18E3"/>
    <w:rsid w:val="587E693B"/>
    <w:rsid w:val="58920462"/>
    <w:rsid w:val="58B06210"/>
    <w:rsid w:val="59421EFC"/>
    <w:rsid w:val="59444101"/>
    <w:rsid w:val="598D54DF"/>
    <w:rsid w:val="59981F62"/>
    <w:rsid w:val="59B15A33"/>
    <w:rsid w:val="59E30AC0"/>
    <w:rsid w:val="59F2451C"/>
    <w:rsid w:val="5A1E7159"/>
    <w:rsid w:val="5AF07770"/>
    <w:rsid w:val="5B4B193D"/>
    <w:rsid w:val="5C183C23"/>
    <w:rsid w:val="5C753119"/>
    <w:rsid w:val="5C9D7613"/>
    <w:rsid w:val="5CC76BFA"/>
    <w:rsid w:val="5D6972B8"/>
    <w:rsid w:val="5D767D2E"/>
    <w:rsid w:val="5E1B5CE1"/>
    <w:rsid w:val="5E477D88"/>
    <w:rsid w:val="5E797F0A"/>
    <w:rsid w:val="5F387044"/>
    <w:rsid w:val="5F473A13"/>
    <w:rsid w:val="5F9C066D"/>
    <w:rsid w:val="5FA97EF3"/>
    <w:rsid w:val="5FBC2100"/>
    <w:rsid w:val="60064219"/>
    <w:rsid w:val="60720D19"/>
    <w:rsid w:val="60790CD5"/>
    <w:rsid w:val="60855954"/>
    <w:rsid w:val="608F3679"/>
    <w:rsid w:val="60DA7ACA"/>
    <w:rsid w:val="60EE0200"/>
    <w:rsid w:val="611C2A0D"/>
    <w:rsid w:val="61400BC8"/>
    <w:rsid w:val="615E2F40"/>
    <w:rsid w:val="615F122B"/>
    <w:rsid w:val="61BD3787"/>
    <w:rsid w:val="61BFFBB5"/>
    <w:rsid w:val="61EA4375"/>
    <w:rsid w:val="61EF3D39"/>
    <w:rsid w:val="62CE11A9"/>
    <w:rsid w:val="635B1617"/>
    <w:rsid w:val="637F542B"/>
    <w:rsid w:val="64011C9A"/>
    <w:rsid w:val="6447446D"/>
    <w:rsid w:val="64556721"/>
    <w:rsid w:val="64831537"/>
    <w:rsid w:val="648D1C00"/>
    <w:rsid w:val="654936F8"/>
    <w:rsid w:val="65963624"/>
    <w:rsid w:val="65A17A0B"/>
    <w:rsid w:val="65DF78A3"/>
    <w:rsid w:val="66D04BBC"/>
    <w:rsid w:val="6733328F"/>
    <w:rsid w:val="67644C9C"/>
    <w:rsid w:val="67DD5376"/>
    <w:rsid w:val="68834C51"/>
    <w:rsid w:val="68B75F88"/>
    <w:rsid w:val="6933088C"/>
    <w:rsid w:val="696465FE"/>
    <w:rsid w:val="697743DD"/>
    <w:rsid w:val="699B2AD1"/>
    <w:rsid w:val="69BBBF6F"/>
    <w:rsid w:val="6A971908"/>
    <w:rsid w:val="6B4B2318"/>
    <w:rsid w:val="6B593D2B"/>
    <w:rsid w:val="6BB72075"/>
    <w:rsid w:val="6BB960D5"/>
    <w:rsid w:val="6C084DC9"/>
    <w:rsid w:val="6C09284A"/>
    <w:rsid w:val="6C375918"/>
    <w:rsid w:val="6C6A0E2D"/>
    <w:rsid w:val="6C7147F8"/>
    <w:rsid w:val="6C815B69"/>
    <w:rsid w:val="6CC4275D"/>
    <w:rsid w:val="6CD74FCF"/>
    <w:rsid w:val="6CFE1E5E"/>
    <w:rsid w:val="6D0921C2"/>
    <w:rsid w:val="6D1056EB"/>
    <w:rsid w:val="6D325918"/>
    <w:rsid w:val="6D7B67A8"/>
    <w:rsid w:val="6D9024E7"/>
    <w:rsid w:val="6DFA1F24"/>
    <w:rsid w:val="6E503A09"/>
    <w:rsid w:val="6E6E781C"/>
    <w:rsid w:val="6EAC089F"/>
    <w:rsid w:val="6EBD086B"/>
    <w:rsid w:val="6EE76A48"/>
    <w:rsid w:val="6F185ED8"/>
    <w:rsid w:val="6F4CEA14"/>
    <w:rsid w:val="6F500384"/>
    <w:rsid w:val="6F7402E8"/>
    <w:rsid w:val="6FE12A87"/>
    <w:rsid w:val="6FE75FF5"/>
    <w:rsid w:val="70CA1D71"/>
    <w:rsid w:val="70EA4EE6"/>
    <w:rsid w:val="713060AF"/>
    <w:rsid w:val="71B443AE"/>
    <w:rsid w:val="71D67E52"/>
    <w:rsid w:val="72026957"/>
    <w:rsid w:val="7233640D"/>
    <w:rsid w:val="72545C04"/>
    <w:rsid w:val="75024B07"/>
    <w:rsid w:val="750F184C"/>
    <w:rsid w:val="751E2DB2"/>
    <w:rsid w:val="75C4732A"/>
    <w:rsid w:val="76965D68"/>
    <w:rsid w:val="76A87ADD"/>
    <w:rsid w:val="774E1596"/>
    <w:rsid w:val="777F037E"/>
    <w:rsid w:val="77A6B43A"/>
    <w:rsid w:val="77CE16F1"/>
    <w:rsid w:val="77EA08B9"/>
    <w:rsid w:val="78035070"/>
    <w:rsid w:val="781D2278"/>
    <w:rsid w:val="782542D8"/>
    <w:rsid w:val="7861768C"/>
    <w:rsid w:val="78F33891"/>
    <w:rsid w:val="7907369D"/>
    <w:rsid w:val="79287455"/>
    <w:rsid w:val="7995217E"/>
    <w:rsid w:val="79F458A4"/>
    <w:rsid w:val="7A1B2248"/>
    <w:rsid w:val="7A440982"/>
    <w:rsid w:val="7A5470ED"/>
    <w:rsid w:val="7A5B5F52"/>
    <w:rsid w:val="7A604410"/>
    <w:rsid w:val="7A6470C6"/>
    <w:rsid w:val="7A70182E"/>
    <w:rsid w:val="7A70361C"/>
    <w:rsid w:val="7ACF734C"/>
    <w:rsid w:val="7AEE929B"/>
    <w:rsid w:val="7AFBEE3D"/>
    <w:rsid w:val="7AFF5D59"/>
    <w:rsid w:val="7B75717F"/>
    <w:rsid w:val="7B8E3B9F"/>
    <w:rsid w:val="7BA26400"/>
    <w:rsid w:val="7BAA5BEE"/>
    <w:rsid w:val="7BF07A2B"/>
    <w:rsid w:val="7BF604ED"/>
    <w:rsid w:val="7C3254AE"/>
    <w:rsid w:val="7C3D0B31"/>
    <w:rsid w:val="7D925D0F"/>
    <w:rsid w:val="7D9F2B56"/>
    <w:rsid w:val="7DAD7077"/>
    <w:rsid w:val="7DEF0186"/>
    <w:rsid w:val="7DFA6D86"/>
    <w:rsid w:val="7DFFADB2"/>
    <w:rsid w:val="7E021846"/>
    <w:rsid w:val="7E6F79AE"/>
    <w:rsid w:val="7E8B2CC0"/>
    <w:rsid w:val="7EF41063"/>
    <w:rsid w:val="7F793B43"/>
    <w:rsid w:val="7F892C7F"/>
    <w:rsid w:val="7FCA359A"/>
    <w:rsid w:val="7FD0299B"/>
    <w:rsid w:val="7FE3043E"/>
    <w:rsid w:val="8F7BF6C0"/>
    <w:rsid w:val="A7553D12"/>
    <w:rsid w:val="B7FFA2C8"/>
    <w:rsid w:val="B8F89F07"/>
    <w:rsid w:val="BFB7E57B"/>
    <w:rsid w:val="CE7E610B"/>
    <w:rsid w:val="D4D3443B"/>
    <w:rsid w:val="D6FF5DFC"/>
    <w:rsid w:val="DFEBCBCF"/>
    <w:rsid w:val="E7FF4585"/>
    <w:rsid w:val="EA379907"/>
    <w:rsid w:val="EFFF691F"/>
    <w:rsid w:val="F7FBAEEA"/>
    <w:rsid w:val="F9FF0305"/>
    <w:rsid w:val="FAB3B0C2"/>
    <w:rsid w:val="FAD9A6E3"/>
    <w:rsid w:val="FC5DF2D1"/>
    <w:rsid w:val="FDAFCFAF"/>
    <w:rsid w:val="FE7D0A85"/>
    <w:rsid w:val="FE8F4D21"/>
    <w:rsid w:val="FF749617"/>
    <w:rsid w:val="FF7F4348"/>
    <w:rsid w:val="FF9C2DA3"/>
    <w:rsid w:val="FFBB5905"/>
    <w:rsid w:val="FFEC4AB8"/>
    <w:rsid w:val="FFEFC7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1"/>
    <w:basedOn w:val="1"/>
    <w:next w:val="1"/>
    <w:link w:val="32"/>
    <w:autoRedefine/>
    <w:qFormat/>
    <w:uiPriority w:val="9"/>
    <w:pPr>
      <w:keepNext/>
      <w:keepLines/>
      <w:spacing w:line="360" w:lineRule="auto"/>
      <w:jc w:val="center"/>
      <w:outlineLvl w:val="0"/>
    </w:pPr>
    <w:rPr>
      <w:rFonts w:eastAsia="方正小标宋_GBK"/>
      <w:bCs/>
      <w:kern w:val="44"/>
      <w:sz w:val="44"/>
      <w:szCs w:val="44"/>
    </w:rPr>
  </w:style>
  <w:style w:type="paragraph" w:styleId="5">
    <w:name w:val="heading 2"/>
    <w:basedOn w:val="1"/>
    <w:next w:val="1"/>
    <w:link w:val="33"/>
    <w:autoRedefine/>
    <w:qFormat/>
    <w:uiPriority w:val="0"/>
    <w:pPr>
      <w:keepNext/>
      <w:keepLines/>
      <w:spacing w:before="240" w:line="360" w:lineRule="auto"/>
      <w:ind w:firstLine="640" w:firstLineChars="200"/>
      <w:jc w:val="left"/>
      <w:outlineLvl w:val="1"/>
    </w:pPr>
    <w:rPr>
      <w:rFonts w:ascii="Arial" w:hAnsi="Arial" w:eastAsia="方正黑体_GBK" w:cs="Arial"/>
      <w:bCs/>
      <w:sz w:val="28"/>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unhideWhenUsed/>
    <w:qFormat/>
    <w:uiPriority w:val="0"/>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left="420" w:firstLine="420" w:firstLineChars="200"/>
    </w:pPr>
    <w:rPr>
      <w:rFonts w:ascii="Times New Roman" w:cs="Times New Roman"/>
    </w:rPr>
  </w:style>
  <w:style w:type="paragraph" w:styleId="3">
    <w:name w:val="Body Text Indent"/>
    <w:basedOn w:val="1"/>
    <w:autoRedefine/>
    <w:unhideWhenUsed/>
    <w:qFormat/>
    <w:uiPriority w:val="99"/>
    <w:pPr>
      <w:ind w:firstLine="645"/>
    </w:pPr>
    <w:rPr>
      <w:rFonts w:ascii="楷体_GB2312" w:eastAsia="楷体_GB2312"/>
      <w:sz w:val="32"/>
      <w:szCs w:val="20"/>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toa heading"/>
    <w:basedOn w:val="1"/>
    <w:next w:val="1"/>
    <w:autoRedefine/>
    <w:qFormat/>
    <w:uiPriority w:val="0"/>
    <w:rPr>
      <w:rFonts w:ascii="Arial" w:hAnsi="Arial" w:cs="Arial"/>
      <w:sz w:val="24"/>
      <w:szCs w:val="24"/>
    </w:r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pPr>
      <w:spacing w:after="120"/>
    </w:pPr>
    <w:rPr>
      <w:rFonts w:ascii="@微软简标宋" w:hAnsi="@微软简标宋" w:eastAsia="@微软简标宋" w:cs="@微软简标宋"/>
      <w:szCs w:val="24"/>
      <w:lang w:val="zh-CN"/>
    </w:rPr>
  </w:style>
  <w:style w:type="paragraph" w:styleId="11">
    <w:name w:val="index 4"/>
    <w:basedOn w:val="1"/>
    <w:next w:val="1"/>
    <w:autoRedefine/>
    <w:qFormat/>
    <w:uiPriority w:val="99"/>
    <w:pPr>
      <w:ind w:left="600" w:leftChars="600"/>
    </w:pPr>
    <w:rPr>
      <w:szCs w:val="24"/>
    </w:rPr>
  </w:style>
  <w:style w:type="paragraph" w:styleId="12">
    <w:name w:val="toc 3"/>
    <w:basedOn w:val="1"/>
    <w:next w:val="1"/>
    <w:autoRedefine/>
    <w:unhideWhenUsed/>
    <w:qFormat/>
    <w:uiPriority w:val="39"/>
    <w:pPr>
      <w:ind w:left="840" w:leftChars="400"/>
    </w:pPr>
  </w:style>
  <w:style w:type="paragraph" w:styleId="13">
    <w:name w:val="Plain Text"/>
    <w:basedOn w:val="1"/>
    <w:autoRedefine/>
    <w:unhideWhenUsed/>
    <w:qFormat/>
    <w:uiPriority w:val="99"/>
    <w:rPr>
      <w:rFonts w:ascii="宋体" w:hAnsi="Courier New" w:eastAsia="宋体" w:cs="黑体"/>
      <w:szCs w:val="22"/>
    </w:rPr>
  </w:style>
  <w:style w:type="paragraph" w:styleId="14">
    <w:name w:val="Date"/>
    <w:basedOn w:val="1"/>
    <w:next w:val="1"/>
    <w:autoRedefine/>
    <w:unhideWhenUsed/>
    <w:qFormat/>
    <w:uiPriority w:val="99"/>
    <w:rPr>
      <w:rFonts w:ascii="Arial" w:hAnsi="Arial" w:eastAsia="宋体" w:cs="Arial"/>
      <w:b/>
      <w:sz w:val="28"/>
    </w:rPr>
  </w:style>
  <w:style w:type="paragraph" w:styleId="15">
    <w:name w:val="Balloon Text"/>
    <w:basedOn w:val="1"/>
    <w:link w:val="34"/>
    <w:autoRedefine/>
    <w:unhideWhenUsed/>
    <w:qFormat/>
    <w:uiPriority w:val="99"/>
    <w:rPr>
      <w:sz w:val="18"/>
      <w:szCs w:val="18"/>
    </w:rPr>
  </w:style>
  <w:style w:type="paragraph" w:styleId="16">
    <w:name w:val="footer"/>
    <w:basedOn w:val="1"/>
    <w:autoRedefine/>
    <w:unhideWhenUsed/>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99"/>
    <w:pPr>
      <w:snapToGrid w:val="0"/>
    </w:pPr>
    <w:rPr>
      <w:rFonts w:ascii="Arial" w:hAnsi="Arial" w:cs="Arial"/>
    </w:rPr>
  </w:style>
  <w:style w:type="paragraph" w:styleId="1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rPr>
      <w:rFonts w:eastAsia="方正黑体_GBK"/>
      <w:sz w:val="20"/>
    </w:rPr>
  </w:style>
  <w:style w:type="paragraph" w:styleId="20">
    <w:name w:val="footnote text"/>
    <w:basedOn w:val="1"/>
    <w:autoRedefine/>
    <w:unhideWhenUsed/>
    <w:qFormat/>
    <w:uiPriority w:val="0"/>
    <w:pPr>
      <w:snapToGrid w:val="0"/>
      <w:jc w:val="left"/>
    </w:pPr>
    <w:rPr>
      <w:rFonts w:ascii="Times New Roman" w:hAnsi="Times New Roman" w:eastAsia="宋体" w:cs="Times New Roman"/>
      <w:sz w:val="18"/>
      <w:szCs w:val="18"/>
      <w:lang w:val="zh-CN" w:eastAsia="zh-CN"/>
    </w:rPr>
  </w:style>
  <w:style w:type="paragraph" w:styleId="21">
    <w:name w:val="toc 2"/>
    <w:basedOn w:val="1"/>
    <w:next w:val="1"/>
    <w:autoRedefine/>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22">
    <w:name w:val="Normal (Web)"/>
    <w:basedOn w:val="1"/>
    <w:autoRedefine/>
    <w:qFormat/>
    <w:uiPriority w:val="0"/>
    <w:pPr>
      <w:spacing w:beforeAutospacing="1" w:afterAutospacing="1"/>
      <w:jc w:val="left"/>
    </w:pPr>
    <w:rPr>
      <w:kern w:val="0"/>
      <w:sz w:val="24"/>
    </w:rPr>
  </w:style>
  <w:style w:type="paragraph" w:styleId="23">
    <w:name w:val="index 1"/>
    <w:basedOn w:val="1"/>
    <w:next w:val="1"/>
    <w:autoRedefine/>
    <w:unhideWhenUsed/>
    <w:qFormat/>
    <w:uiPriority w:val="99"/>
    <w:pPr>
      <w:jc w:val="center"/>
    </w:pPr>
    <w:rPr>
      <w:rFonts w:ascii="Arial" w:hAnsi="Arial" w:eastAsia="Arial" w:cs="Arial"/>
      <w:b/>
      <w:bCs/>
      <w:sz w:val="28"/>
    </w:rPr>
  </w:style>
  <w:style w:type="paragraph" w:styleId="24">
    <w:name w:val="Body Text First Indent"/>
    <w:basedOn w:val="10"/>
    <w:autoRedefine/>
    <w:unhideWhenUsed/>
    <w:qFormat/>
    <w:uiPriority w:val="99"/>
    <w:pPr>
      <w:ind w:firstLine="420" w:firstLineChars="100"/>
    </w:pPr>
  </w:style>
  <w:style w:type="table" w:styleId="26">
    <w:name w:val="Table Grid"/>
    <w:basedOn w:val="25"/>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Hyperlink"/>
    <w:autoRedefine/>
    <w:unhideWhenUsed/>
    <w:qFormat/>
    <w:uiPriority w:val="99"/>
    <w:rPr>
      <w:color w:val="0000FF"/>
      <w:u w:val="single"/>
    </w:rPr>
  </w:style>
  <w:style w:type="character" w:styleId="30">
    <w:name w:val="footnote reference"/>
    <w:autoRedefine/>
    <w:unhideWhenUsed/>
    <w:qFormat/>
    <w:uiPriority w:val="0"/>
    <w:rPr>
      <w:vertAlign w:val="superscript"/>
    </w:rPr>
  </w:style>
  <w:style w:type="character" w:styleId="31">
    <w:name w:val="HTML Sample"/>
    <w:basedOn w:val="27"/>
    <w:autoRedefine/>
    <w:unhideWhenUsed/>
    <w:qFormat/>
    <w:uiPriority w:val="99"/>
    <w:rPr>
      <w:rFonts w:ascii="Courier New" w:hAnsi="Courier New"/>
    </w:rPr>
  </w:style>
  <w:style w:type="character" w:customStyle="1" w:styleId="32">
    <w:name w:val="标题 1 Char"/>
    <w:link w:val="4"/>
    <w:autoRedefine/>
    <w:qFormat/>
    <w:uiPriority w:val="9"/>
    <w:rPr>
      <w:rFonts w:eastAsia="方正小标宋_GBK"/>
      <w:bCs/>
      <w:kern w:val="44"/>
      <w:sz w:val="44"/>
      <w:szCs w:val="44"/>
    </w:rPr>
  </w:style>
  <w:style w:type="character" w:customStyle="1" w:styleId="33">
    <w:name w:val="标题 2 字符"/>
    <w:link w:val="5"/>
    <w:autoRedefine/>
    <w:qFormat/>
    <w:uiPriority w:val="0"/>
    <w:rPr>
      <w:rFonts w:ascii="Arial" w:hAnsi="Arial" w:eastAsia="方正黑体_GBK" w:cs="Arial"/>
      <w:bCs/>
      <w:sz w:val="28"/>
      <w:szCs w:val="32"/>
    </w:rPr>
  </w:style>
  <w:style w:type="character" w:customStyle="1" w:styleId="34">
    <w:name w:val="批注框文本 字符"/>
    <w:link w:val="15"/>
    <w:autoRedefine/>
    <w:semiHidden/>
    <w:qFormat/>
    <w:uiPriority w:val="99"/>
    <w:rPr>
      <w:rFonts w:ascii="@仿宋_GB2312" w:hAnsi="@仿宋_GB2312" w:eastAsia="@仿宋_GB2312" w:cs="@仿宋_GB2312"/>
      <w:kern w:val="2"/>
      <w:sz w:val="18"/>
      <w:szCs w:val="18"/>
    </w:rPr>
  </w:style>
  <w:style w:type="paragraph" w:customStyle="1" w:styleId="35">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6">
    <w:name w:val="xl31"/>
    <w:basedOn w:val="1"/>
    <w:qFormat/>
    <w:uiPriority w:val="0"/>
    <w:pPr>
      <w:widowControl/>
      <w:spacing w:before="100" w:beforeAutospacing="1" w:after="100" w:afterAutospacing="1"/>
      <w:jc w:val="center"/>
    </w:pPr>
    <w:rPr>
      <w:b/>
      <w:bCs/>
      <w:kern w:val="0"/>
      <w:sz w:val="28"/>
      <w:szCs w:val="28"/>
    </w:rPr>
  </w:style>
  <w:style w:type="paragraph" w:customStyle="1" w:styleId="37">
    <w:name w:val="Char Char Char Char Char Char Char1 Char"/>
    <w:basedOn w:val="1"/>
    <w:uiPriority w:val="0"/>
    <w:rPr>
      <w:rFonts w:ascii="Arial" w:hAnsi="Arial" w:eastAsia="宋体" w:cs="Arial"/>
      <w:sz w:val="24"/>
    </w:rPr>
  </w:style>
  <w:style w:type="paragraph" w:customStyle="1" w:styleId="38">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9">
    <w:name w:val="纯文本1"/>
    <w:basedOn w:val="1"/>
    <w:autoRedefine/>
    <w:qFormat/>
    <w:uiPriority w:val="0"/>
    <w:rPr>
      <w:rFonts w:ascii="Arial" w:hAnsi="Arial" w:eastAsia="Arial" w:cs="Times New Roman"/>
    </w:rPr>
  </w:style>
  <w:style w:type="paragraph" w:customStyle="1" w:styleId="40">
    <w:name w:val="正文_0_0"/>
    <w:qFormat/>
    <w:uiPriority w:val="0"/>
    <w:pPr>
      <w:widowControl w:val="0"/>
      <w:jc w:val="both"/>
    </w:pPr>
    <w:rPr>
      <w:rFonts w:ascii="Times New Roman" w:hAnsi="Times New Roman" w:eastAsia="宋体" w:cs="Times New Roman"/>
      <w:kern w:val="2"/>
      <w:sz w:val="21"/>
      <w:lang w:val="en-US" w:eastAsia="zh-CN" w:bidi="ar-SA"/>
    </w:rPr>
  </w:style>
  <w:style w:type="table" w:customStyle="1" w:styleId="41">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WPSOffice手动目录 1"/>
    <w:uiPriority w:val="0"/>
    <w:pPr>
      <w:ind w:leftChars="0"/>
    </w:pPr>
    <w:rPr>
      <w:rFonts w:ascii="Times New Roman" w:hAnsi="Times New Roman" w:eastAsia="宋体" w:cs="Times New Roman"/>
      <w:sz w:val="20"/>
      <w:szCs w:val="20"/>
    </w:rPr>
  </w:style>
  <w:style w:type="paragraph" w:customStyle="1" w:styleId="43">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36488</Words>
  <Characters>38564</Characters>
  <Lines>320</Lines>
  <Paragraphs>90</Paragraphs>
  <TotalTime>30</TotalTime>
  <ScaleCrop>false</ScaleCrop>
  <LinksUpToDate>false</LinksUpToDate>
  <CharactersWithSpaces>42652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2009-01-01T16:45:00Z</dcterms:created>
  <dc:creator>Administrator</dc:creator>
  <cp:lastModifiedBy>许佳佳</cp:lastModifiedBy>
  <cp:lastPrinted>2024-03-29T01:52:00Z</cp:lastPrinted>
  <dcterms:modified xsi:type="dcterms:W3CDTF">2024-04-22T10:22:35Z</dcterms:modified>
  <dc:title>政府采购示范文本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0BEBD4397A7346E1AB59458F03F5D873_13</vt:lpwstr>
  </property>
</Properties>
</file>