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2022089</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1号实验楼实验室改造工程项目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10</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19"/>
      </w:pPr>
      <w:r>
        <w:rPr>
          <w:rFonts w:hint="eastAsia"/>
        </w:rPr>
        <w:t>目  录</w:t>
      </w:r>
    </w:p>
    <w:p>
      <w:pPr>
        <w:pStyle w:val="19"/>
      </w:pPr>
    </w:p>
    <w:p>
      <w:pPr>
        <w:pStyle w:val="19"/>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0"/>
          <w:rFonts w:hint="eastAsia"/>
        </w:rPr>
        <w:t>第一章</w:t>
      </w:r>
      <w:r>
        <w:rPr>
          <w:rStyle w:val="30"/>
        </w:rPr>
        <w:t xml:space="preserve">  </w:t>
      </w:r>
      <w:r>
        <w:rPr>
          <w:rStyle w:val="30"/>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"_Toc49763000" </w:instrText>
      </w:r>
      <w:r>
        <w:fldChar w:fldCharType="separate"/>
      </w:r>
      <w:r>
        <w:rPr>
          <w:rStyle w:val="30"/>
          <w:rFonts w:hint="eastAsia"/>
        </w:rPr>
        <w:t>第二章</w:t>
      </w:r>
      <w:r>
        <w:rPr>
          <w:rStyle w:val="30"/>
        </w:rPr>
        <w:t xml:space="preserve">  </w:t>
      </w:r>
      <w:r>
        <w:rPr>
          <w:rStyle w:val="30"/>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"_Toc49763001" </w:instrText>
      </w:r>
      <w:r>
        <w:fldChar w:fldCharType="separate"/>
      </w:r>
      <w:r>
        <w:rPr>
          <w:rStyle w:val="30"/>
          <w:rFonts w:hint="eastAsia"/>
        </w:rPr>
        <w:t>第三章</w:t>
      </w:r>
      <w:r>
        <w:rPr>
          <w:rStyle w:val="30"/>
        </w:rPr>
        <w:t xml:space="preserve">  </w:t>
      </w:r>
      <w:r>
        <w:rPr>
          <w:rStyle w:val="30"/>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"_Toc49763002" </w:instrText>
      </w:r>
      <w:r>
        <w:fldChar w:fldCharType="separate"/>
      </w:r>
      <w:r>
        <w:rPr>
          <w:rStyle w:val="30"/>
          <w:rFonts w:hint="eastAsia"/>
        </w:rPr>
        <w:t>第四章</w:t>
      </w:r>
      <w:r>
        <w:rPr>
          <w:rStyle w:val="30"/>
        </w:rPr>
        <w:t xml:space="preserve">  </w:t>
      </w:r>
      <w:r>
        <w:rPr>
          <w:rStyle w:val="30"/>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"_Toc49763003" </w:instrText>
      </w:r>
      <w:r>
        <w:fldChar w:fldCharType="separate"/>
      </w:r>
      <w:r>
        <w:rPr>
          <w:rStyle w:val="30"/>
          <w:rFonts w:hint="eastAsia"/>
        </w:rPr>
        <w:t>第五章</w:t>
      </w:r>
      <w:r>
        <w:rPr>
          <w:rStyle w:val="30"/>
        </w:rPr>
        <w:t xml:space="preserve">  </w:t>
      </w:r>
      <w:r>
        <w:rPr>
          <w:rStyle w:val="30"/>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"_Toc49763004" </w:instrText>
      </w:r>
      <w:r>
        <w:fldChar w:fldCharType="separate"/>
      </w:r>
      <w:r>
        <w:rPr>
          <w:rStyle w:val="30"/>
          <w:rFonts w:hint="eastAsia"/>
        </w:rPr>
        <w:t>第六章</w:t>
      </w:r>
      <w:r>
        <w:rPr>
          <w:rStyle w:val="30"/>
        </w:rPr>
        <w:t xml:space="preserve">  </w:t>
      </w:r>
      <w:r>
        <w:rPr>
          <w:rStyle w:val="30"/>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"_Toc49763005" </w:instrText>
      </w:r>
      <w:r>
        <w:fldChar w:fldCharType="separate"/>
      </w:r>
      <w:r>
        <w:rPr>
          <w:rStyle w:val="30"/>
          <w:rFonts w:hint="eastAsia"/>
        </w:rPr>
        <w:t>第七章</w:t>
      </w:r>
      <w:r>
        <w:rPr>
          <w:rStyle w:val="30"/>
        </w:rPr>
        <w:t xml:space="preserve">  </w:t>
      </w:r>
      <w:r>
        <w:rPr>
          <w:rStyle w:val="30"/>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我校</w:t>
      </w:r>
      <w:r>
        <w:rPr>
          <w:rFonts w:hint="eastAsia" w:ascii="仿宋_GB2312" w:eastAsia="仿宋_GB2312" w:cs="宋体"/>
          <w:sz w:val="28"/>
          <w:szCs w:val="28"/>
          <w:lang w:val="en-US" w:eastAsia="zh-CN"/>
        </w:rPr>
        <w:t>皖南医学院1号实验楼实验室改造工程项目</w:t>
      </w:r>
      <w:r>
        <w:rPr>
          <w:rFonts w:hint="default" w:ascii="仿宋_GB2312" w:eastAsia="仿宋_GB2312" w:cs="宋体"/>
          <w:sz w:val="28"/>
          <w:szCs w:val="28"/>
          <w:lang w:val="en-US" w:eastAsia="zh-CN"/>
        </w:rPr>
        <w:t>采取磋商的方式进行采购，现邀请符合资质条件的供应商参加投标和磋商。具体情况如下：</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一、项目概况：</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en-US" w:eastAsia="zh-CN"/>
        </w:rPr>
      </w:pPr>
      <w:r>
        <w:rPr>
          <w:rFonts w:hint="default" w:ascii="仿宋_GB2312" w:eastAsia="仿宋_GB2312" w:cs="宋体"/>
          <w:sz w:val="28"/>
          <w:szCs w:val="28"/>
          <w:lang w:val="en-US" w:eastAsia="zh-CN"/>
        </w:rPr>
        <w:t>（一）项目名称：</w:t>
      </w:r>
      <w:r>
        <w:rPr>
          <w:rFonts w:hint="eastAsia" w:ascii="仿宋_GB2312" w:eastAsia="仿宋_GB2312" w:cs="宋体"/>
          <w:sz w:val="28"/>
          <w:szCs w:val="28"/>
          <w:lang w:val="en-US" w:eastAsia="zh-CN"/>
        </w:rPr>
        <w:t>皖南医学院1号实验楼实验室改造工程项目</w:t>
      </w:r>
      <w:r>
        <w:rPr>
          <w:rFonts w:hint="default" w:ascii="仿宋_GB2312"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（二）项目编号：WYGZ</w:t>
      </w:r>
      <w:r>
        <w:rPr>
          <w:rFonts w:hint="eastAsia" w:ascii="仿宋_GB2312" w:eastAsia="仿宋_GB2312" w:cs="宋体"/>
          <w:sz w:val="28"/>
          <w:szCs w:val="28"/>
          <w:lang w:val="en-US" w:eastAsia="zh-CN"/>
        </w:rPr>
        <w:t>2022089</w:t>
      </w:r>
      <w:r>
        <w:rPr>
          <w:rFonts w:hint="default" w:ascii="仿宋_GB2312"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hAnsi="宋体" w:eastAsia="仿宋_GB2312" w:cs="宋体"/>
          <w:sz w:val="28"/>
          <w:szCs w:val="28"/>
          <w:lang w:val="en-US" w:eastAsia="zh-CN"/>
        </w:rPr>
      </w:pPr>
      <w:r>
        <w:rPr>
          <w:rFonts w:hint="default" w:ascii="仿宋_GB2312" w:eastAsia="仿宋_GB2312" w:cs="宋体"/>
          <w:sz w:val="28"/>
          <w:szCs w:val="28"/>
          <w:lang w:val="en-US" w:eastAsia="zh-CN"/>
        </w:rPr>
        <w:t>（三）</w:t>
      </w:r>
      <w:r>
        <w:rPr>
          <w:rFonts w:hint="default" w:ascii="仿宋_GB2312" w:hAnsi="宋体" w:eastAsia="仿宋_GB2312" w:cs="宋体"/>
          <w:sz w:val="28"/>
          <w:szCs w:val="28"/>
          <w:lang w:val="en-US" w:eastAsia="zh-CN"/>
        </w:rPr>
        <w:t>项目内容：</w:t>
      </w:r>
      <w:r>
        <w:rPr>
          <w:rFonts w:hint="eastAsia" w:ascii="仿宋_GB2312" w:hAnsi="宋体" w:eastAsia="仿宋_GB2312" w:cs="宋体"/>
          <w:sz w:val="28"/>
          <w:szCs w:val="28"/>
          <w:lang w:val="en-US" w:eastAsia="zh-CN"/>
        </w:rPr>
        <w:t>对我校1号实验楼实验室实验台进行改造，主要内容是实验台、电路改造、水路改造等。</w:t>
      </w:r>
      <w:r>
        <w:rPr>
          <w:rFonts w:hint="default" w:ascii="仿宋_GB2312" w:hAnsi="宋体" w:eastAsia="仿宋_GB2312" w:cs="宋体"/>
          <w:sz w:val="28"/>
          <w:szCs w:val="28"/>
          <w:lang w:val="en-US" w:eastAsia="zh-CN"/>
        </w:rPr>
        <w:t>详见项目需求</w:t>
      </w:r>
      <w:r>
        <w:rPr>
          <w:rFonts w:hint="eastAsia" w:ascii="仿宋_GB2312" w:hAnsi="宋体" w:eastAsia="仿宋_GB2312" w:cs="宋体"/>
          <w:sz w:val="28"/>
          <w:szCs w:val="28"/>
          <w:lang w:val="en-US" w:eastAsia="zh-CN"/>
        </w:rPr>
        <w:t>。</w:t>
      </w:r>
    </w:p>
    <w:p>
      <w:pPr>
        <w:pStyle w:val="23"/>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lang w:val="en-US"/>
        </w:rPr>
      </w:pPr>
      <w:r>
        <w:rPr>
          <w:rFonts w:hint="default" w:ascii="仿宋_GB2312" w:hAnsi="宋体" w:eastAsia="仿宋_GB2312" w:cs="宋体"/>
          <w:sz w:val="28"/>
          <w:szCs w:val="28"/>
          <w:lang w:val="en-US" w:eastAsia="zh-CN"/>
        </w:rPr>
        <w:t>（四）项目预算：</w:t>
      </w:r>
      <w:r>
        <w:rPr>
          <w:rFonts w:hint="eastAsia" w:ascii="仿宋_GB2312" w:hAnsi="宋体" w:eastAsia="仿宋_GB2312" w:cs="宋体"/>
          <w:sz w:val="28"/>
          <w:szCs w:val="28"/>
          <w:lang w:val="en-US" w:eastAsia="zh-CN"/>
        </w:rPr>
        <w:t>899</w:t>
      </w:r>
      <w:r>
        <w:rPr>
          <w:rFonts w:hint="eastAsia" w:ascii="仿宋_GB2312" w:eastAsia="仿宋_GB2312" w:cs="宋体"/>
          <w:sz w:val="28"/>
          <w:szCs w:val="28"/>
          <w:lang w:val="en-US" w:eastAsia="zh-CN"/>
        </w:rPr>
        <w:t>98.39元。</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二、投标资质：</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r>
        <w:rPr>
          <w:rFonts w:hint="default" w:ascii="仿宋_GB2312" w:hAnsi="宋体" w:eastAsia="仿宋_GB2312" w:cs="宋体"/>
          <w:kern w:val="0"/>
          <w:sz w:val="28"/>
          <w:szCs w:val="28"/>
          <w:lang w:val="en-US" w:eastAsia="zh-CN" w:bidi="ar-SA"/>
        </w:rPr>
        <w:t>供应商能够独立承担民事责任能力；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2.具有良好的商业信誉和健全的财务会计制度；</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3.具有履行合同所必需的设备和专业技术能力；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4.有依法缴纳税收和社会保障资金的良好记录；</w:t>
      </w:r>
    </w:p>
    <w:p>
      <w:pPr>
        <w:adjustRightInd w:val="0"/>
        <w:snapToGrid w:val="0"/>
        <w:spacing w:line="360" w:lineRule="auto"/>
        <w:ind w:firstLine="529" w:firstLineChars="189"/>
        <w:rPr>
          <w:rFonts w:hint="default"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5.三年内，在经营活动中没有重大违法记录；</w:t>
      </w:r>
    </w:p>
    <w:p>
      <w:pPr>
        <w:adjustRightInd w:val="0"/>
        <w:snapToGrid w:val="0"/>
        <w:spacing w:line="360" w:lineRule="auto"/>
        <w:ind w:firstLine="529" w:firstLineChars="189"/>
        <w:rPr>
          <w:rFonts w:hint="eastAsia" w:ascii="仿宋_GB2312" w:hAnsi="宋体" w:eastAsia="仿宋_GB2312" w:cs="宋体"/>
          <w:kern w:val="0"/>
          <w:sz w:val="28"/>
          <w:szCs w:val="28"/>
          <w:lang w:val="zh-CN" w:eastAsia="zh-CN" w:bidi="ar-SA"/>
        </w:rPr>
      </w:pPr>
      <w:r>
        <w:rPr>
          <w:rFonts w:hint="eastAsia" w:ascii="仿宋_GB2312" w:hAnsi="宋体" w:eastAsia="仿宋_GB2312" w:cs="宋体"/>
          <w:kern w:val="0"/>
          <w:sz w:val="28"/>
          <w:szCs w:val="28"/>
          <w:lang w:val="en-US" w:eastAsia="zh-CN" w:bidi="ar-SA"/>
        </w:rPr>
        <w:t>6.</w:t>
      </w:r>
      <w:r>
        <w:rPr>
          <w:rFonts w:hint="default" w:ascii="仿宋_GB2312" w:hAnsi="宋体" w:eastAsia="仿宋_GB2312" w:cs="宋体"/>
          <w:kern w:val="0"/>
          <w:sz w:val="28"/>
          <w:szCs w:val="28"/>
          <w:lang w:val="en-US" w:eastAsia="zh-CN" w:bidi="ar-SA"/>
        </w:rPr>
        <w:t>本项目不接受联合体投标。</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三、报名时间及方式：</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lang w:val="en-US" w:eastAsia="zh-CN"/>
        </w:rPr>
        <w:t>（一）</w:t>
      </w:r>
      <w:r>
        <w:rPr>
          <w:rFonts w:hint="default" w:ascii="仿宋_GB2312" w:eastAsia="仿宋_GB2312" w:cs="宋体"/>
          <w:sz w:val="28"/>
          <w:szCs w:val="28"/>
          <w:highlight w:val="none"/>
          <w:lang w:val="en-US" w:eastAsia="zh-CN"/>
        </w:rPr>
        <w:t>报名时间：202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10</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18</w:t>
      </w:r>
      <w:r>
        <w:rPr>
          <w:rFonts w:hint="default" w:ascii="仿宋_GB2312" w:eastAsia="仿宋_GB2312" w:cs="宋体"/>
          <w:sz w:val="28"/>
          <w:szCs w:val="28"/>
          <w:highlight w:val="none"/>
          <w:lang w:val="en-US" w:eastAsia="zh-CN"/>
        </w:rPr>
        <w:t>日-202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10</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25</w:t>
      </w:r>
      <w:r>
        <w:rPr>
          <w:rFonts w:hint="default" w:ascii="仿宋_GB2312" w:eastAsia="仿宋_GB2312" w:cs="宋体"/>
          <w:sz w:val="28"/>
          <w:szCs w:val="28"/>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仿宋_GB2312" w:hAnsi="宋体" w:eastAsia="仿宋_GB2312" w:cs="宋体"/>
          <w:kern w:val="0"/>
          <w:sz w:val="28"/>
          <w:szCs w:val="28"/>
          <w:highlight w:val="none"/>
          <w:lang w:val="zh-CN" w:eastAsia="zh-CN" w:bidi="ar-SA"/>
        </w:rPr>
      </w:pPr>
      <w:r>
        <w:rPr>
          <w:rFonts w:hint="eastAsia" w:ascii="仿宋_GB2312" w:eastAsia="仿宋_GB2312" w:cs="宋体"/>
          <w:sz w:val="28"/>
          <w:szCs w:val="28"/>
          <w:highlight w:val="none"/>
          <w:lang w:val="zh-CN"/>
        </w:rPr>
        <w:t>（二）</w:t>
      </w:r>
      <w:r>
        <w:rPr>
          <w:rFonts w:hint="eastAsia" w:ascii="仿宋_GB2312" w:hAnsi="宋体" w:eastAsia="仿宋_GB2312" w:cs="宋体"/>
          <w:kern w:val="0"/>
          <w:sz w:val="28"/>
          <w:szCs w:val="28"/>
          <w:highlight w:val="none"/>
          <w:lang w:val="zh-CN" w:eastAsia="zh-CN" w:bidi="ar-SA"/>
        </w:rPr>
        <w:t>报名方式：</w:t>
      </w:r>
      <w:r>
        <w:rPr>
          <w:rFonts w:hint="eastAsia" w:ascii="仿宋_GB2312" w:hAnsi="宋体" w:eastAsia="仿宋_GB2312" w:cs="宋体"/>
          <w:kern w:val="0"/>
          <w:sz w:val="28"/>
          <w:szCs w:val="28"/>
          <w:highlight w:val="none"/>
          <w:lang w:val="en-US" w:eastAsia="zh-CN" w:bidi="ar-SA"/>
        </w:rPr>
        <w:t>皖南医学院1号实验楼实验室改造工程项目</w:t>
      </w:r>
      <w:r>
        <w:rPr>
          <w:rFonts w:hint="default" w:ascii="仿宋_GB2312" w:hAnsi="宋体" w:eastAsia="仿宋_GB2312" w:cs="宋体"/>
          <w:kern w:val="0"/>
          <w:sz w:val="28"/>
          <w:szCs w:val="28"/>
          <w:highlight w:val="none"/>
          <w:lang w:val="en-US" w:eastAsia="zh-CN" w:bidi="ar-SA"/>
        </w:rPr>
        <w:t>（项目编号：WYGZ</w:t>
      </w:r>
      <w:r>
        <w:rPr>
          <w:rFonts w:hint="eastAsia" w:ascii="仿宋_GB2312" w:hAnsi="宋体" w:eastAsia="仿宋_GB2312" w:cs="宋体"/>
          <w:kern w:val="0"/>
          <w:sz w:val="28"/>
          <w:szCs w:val="28"/>
          <w:highlight w:val="none"/>
          <w:lang w:val="en-US" w:eastAsia="zh-CN" w:bidi="ar-SA"/>
        </w:rPr>
        <w:t>2022089</w:t>
      </w:r>
      <w:r>
        <w:rPr>
          <w:rFonts w:hint="default" w:ascii="仿宋_GB2312" w:hAnsi="宋体" w:eastAsia="仿宋_GB2312" w:cs="宋体"/>
          <w:kern w:val="0"/>
          <w:sz w:val="28"/>
          <w:szCs w:val="28"/>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8"/>
          <w:szCs w:val="28"/>
          <w:highlight w:val="none"/>
          <w:lang w:val="en-US" w:eastAsia="zh-CN" w:bidi="ar-SA"/>
        </w:rPr>
        <w:t>报名</w:t>
      </w:r>
      <w:r>
        <w:rPr>
          <w:rFonts w:hint="eastAsia" w:ascii="仿宋_GB2312" w:hAnsi="宋体" w:eastAsia="仿宋_GB2312" w:cs="宋体"/>
          <w:kern w:val="0"/>
          <w:sz w:val="28"/>
          <w:szCs w:val="28"/>
          <w:highlight w:val="none"/>
          <w:lang w:val="zh-CN"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ascii="仿宋_GB2312" w:eastAsia="仿宋_GB2312" w:cs="宋体"/>
          <w:sz w:val="28"/>
          <w:szCs w:val="28"/>
          <w:highlight w:val="none"/>
          <w:lang w:val="zh-CN"/>
        </w:rPr>
      </w:pPr>
      <w:r>
        <w:rPr>
          <w:rFonts w:hint="eastAsia" w:ascii="仿宋_GB2312" w:eastAsia="仿宋_GB2312" w:cs="宋体"/>
          <w:sz w:val="28"/>
          <w:szCs w:val="28"/>
          <w:highlight w:val="none"/>
          <w:lang w:val="zh-CN"/>
        </w:rPr>
        <w:t>（三）招标文件获取：自行下载。</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四、响应文件份数：一式三份（正本一份，副本二份），每份响应文件须清楚表明“正本”或“副本”字样。</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五、响应文件递交：</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（一）响应文件递交截止时间：202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10</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31</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下午2</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（二）响应文件开启时间：202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10</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31</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下午2</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（三）地点：芜湖市弋江区文昌西路22号皖南医学院滨江校区图书信息楼东辅楼5楼5002室；</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（四）递交响应文件时间截止后，磋商小组与供应商磋商，请供应商法定代表人或其授权委托代表（提供授权委托书）出席。</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六、联系方式：</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（一）联系人：赵老师</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（二）联系电话：0553-3932052</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七、备注</w:t>
      </w:r>
    </w:p>
    <w:p>
      <w:pPr>
        <w:pStyle w:val="23"/>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lang w:val="en-US" w:eastAsia="zh-CN"/>
        </w:rPr>
      </w:pPr>
      <w:r>
        <w:rPr>
          <w:rFonts w:hint="default" w:ascii="仿宋_GB2312" w:eastAsia="仿宋_GB2312" w:cs="宋体"/>
          <w:sz w:val="28"/>
          <w:szCs w:val="28"/>
          <w:lang w:val="en-US" w:eastAsia="zh-CN"/>
        </w:rPr>
        <w:t>我校保留对报名合格单位进行进一步资格审核的权利。</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八、温馨提示</w:t>
      </w:r>
    </w:p>
    <w:p>
      <w:pPr>
        <w:pStyle w:val="23"/>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lang w:val="en-US" w:eastAsia="zh-CN"/>
        </w:rPr>
      </w:pPr>
      <w:r>
        <w:rPr>
          <w:rFonts w:hint="eastAsia" w:ascii="仿宋_GB2312" w:eastAsia="仿宋_GB2312" w:cs="宋体"/>
          <w:sz w:val="28"/>
          <w:szCs w:val="28"/>
          <w:lang w:val="en-US" w:eastAsia="zh-CN"/>
        </w:rPr>
        <w:t>因学校防控要求，校外人员进校需填写《校外人员入校申请表》（附件）。请各投标单位如实填写，并于2022年10月28日17</w:t>
      </w:r>
      <w:bookmarkStart w:id="153" w:name="_GoBack"/>
      <w:bookmarkEnd w:id="153"/>
      <w:r>
        <w:rPr>
          <w:rFonts w:hint="eastAsia" w:ascii="仿宋_GB2312" w:eastAsia="仿宋_GB2312" w:cs="宋体"/>
          <w:sz w:val="28"/>
          <w:szCs w:val="28"/>
          <w:lang w:val="en-US" w:eastAsia="zh-CN"/>
        </w:rPr>
        <w:t>：00前将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8"/>
          <w:szCs w:val="28"/>
          <w:lang w:val="en-US" w:eastAsia="zh-CN"/>
        </w:rPr>
        <w:t>传至470242012@qq.com。未按时提交《校外人员入校申请表》的，后果自负。</w:t>
      </w:r>
    </w:p>
    <w:p>
      <w:pPr>
        <w:pStyle w:val="23"/>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 </w:t>
      </w:r>
    </w:p>
    <w:p>
      <w:pPr>
        <w:pStyle w:val="23"/>
        <w:adjustRightInd w:val="0"/>
        <w:snapToGrid w:val="0"/>
        <w:spacing w:before="0" w:beforeAutospacing="0" w:after="0" w:afterAutospacing="0" w:line="360" w:lineRule="auto"/>
        <w:ind w:firstLine="560" w:firstLineChars="200"/>
        <w:jc w:val="right"/>
        <w:rPr>
          <w:rFonts w:hint="eastAsia" w:ascii="仿宋_GB2312" w:eastAsia="仿宋_GB2312" w:cs="宋体"/>
          <w:sz w:val="28"/>
          <w:szCs w:val="28"/>
          <w:lang w:val="zh-CN"/>
        </w:rPr>
      </w:pPr>
      <w:r>
        <w:rPr>
          <w:rFonts w:hint="default" w:ascii="仿宋_GB2312" w:eastAsia="仿宋_GB2312" w:cs="宋体"/>
          <w:sz w:val="28"/>
          <w:szCs w:val="28"/>
          <w:lang w:val="en-US" w:eastAsia="zh-CN"/>
        </w:rPr>
        <w:t>皖南医学院国有资产管理处</w:t>
      </w:r>
    </w:p>
    <w:p>
      <w:pPr>
        <w:pStyle w:val="23"/>
        <w:adjustRightInd w:val="0"/>
        <w:snapToGrid w:val="0"/>
        <w:spacing w:before="0" w:beforeAutospacing="0" w:after="0" w:afterAutospacing="0" w:line="360" w:lineRule="auto"/>
        <w:ind w:firstLine="560" w:firstLineChars="200"/>
        <w:jc w:val="right"/>
        <w:rPr>
          <w:rFonts w:hint="eastAsia" w:ascii="微软雅黑" w:hAnsi="微软雅黑" w:eastAsia="微软雅黑" w:cs="微软雅黑"/>
          <w:i w:val="0"/>
          <w:iCs w:val="0"/>
          <w:caps w:val="0"/>
          <w:color w:val="333333"/>
          <w:spacing w:val="0"/>
          <w:sz w:val="28"/>
          <w:szCs w:val="28"/>
          <w:highlight w:val="none"/>
        </w:rPr>
      </w:pPr>
      <w:r>
        <w:rPr>
          <w:rFonts w:hint="default" w:ascii="仿宋_GB2312" w:eastAsia="仿宋_GB2312" w:cs="宋体"/>
          <w:sz w:val="28"/>
          <w:szCs w:val="28"/>
          <w:highlight w:val="none"/>
          <w:lang w:val="en-US" w:eastAsia="zh-CN"/>
        </w:rPr>
        <w:t>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10</w:t>
      </w:r>
      <w:r>
        <w:rPr>
          <w:rFonts w:hint="default" w:ascii="仿宋_GB2312" w:eastAsia="仿宋_GB2312" w:cs="宋体"/>
          <w:sz w:val="28"/>
          <w:szCs w:val="28"/>
          <w:highlight w:val="none"/>
          <w:lang w:val="en-US" w:eastAsia="zh-CN"/>
        </w:rPr>
        <w:t>月</w:t>
      </w:r>
      <w:r>
        <w:rPr>
          <w:rFonts w:hint="eastAsia" w:ascii="仿宋_GB2312" w:eastAsia="仿宋_GB2312" w:cs="宋体"/>
          <w:sz w:val="28"/>
          <w:szCs w:val="28"/>
          <w:highlight w:val="none"/>
          <w:lang w:val="en-US" w:eastAsia="zh-CN"/>
        </w:rPr>
        <w:t>17</w:t>
      </w:r>
      <w:r>
        <w:rPr>
          <w:rFonts w:hint="default" w:ascii="仿宋_GB2312" w:eastAsia="仿宋_GB2312" w:cs="宋体"/>
          <w:sz w:val="28"/>
          <w:szCs w:val="28"/>
          <w:highlight w:val="none"/>
          <w:lang w:val="en-US" w:eastAsia="zh-CN"/>
        </w:rPr>
        <w:t>日</w:t>
      </w:r>
    </w:p>
    <w:p>
      <w:pPr>
        <w:jc w:val="right"/>
        <w:rPr>
          <w:rFonts w:ascii="仿宋_GB2312" w:eastAsia="仿宋_GB2312"/>
          <w:sz w:val="24"/>
          <w:szCs w:val="24"/>
        </w:rPr>
      </w:pPr>
    </w:p>
    <w:p>
      <w:pPr>
        <w:pStyle w:val="3"/>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t>第二章  磋商须知前附表</w:t>
      </w:r>
      <w:bookmarkEnd w:id="1"/>
    </w:p>
    <w:tbl>
      <w:tblPr>
        <w:tblStyle w:val="26"/>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w:t>
            </w:r>
            <w:r>
              <w:rPr>
                <w:rFonts w:hint="eastAsia" w:ascii="宋体" w:hAnsi="宋体" w:cs="宋体"/>
                <w:kern w:val="0"/>
                <w:sz w:val="21"/>
                <w:szCs w:val="21"/>
                <w:lang w:eastAsia="zh-CN"/>
              </w:rPr>
              <w:t>1号实验楼实验室改造工程项目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snapToGrid w:val="0"/>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rPr>
              <w:t>组织形式：</w:t>
            </w:r>
            <w:r>
              <w:rPr>
                <w:rFonts w:hint="eastAsia" w:ascii="宋体" w:hAnsi="宋体" w:cs="宋体"/>
                <w:kern w:val="0"/>
                <w:sz w:val="21"/>
                <w:szCs w:val="21"/>
                <w:lang w:val="en-US" w:eastAsia="zh-CN"/>
              </w:rPr>
              <w:t>集中</w:t>
            </w:r>
            <w:r>
              <w:rPr>
                <w:rFonts w:hint="eastAsia" w:ascii="宋体" w:hAnsi="宋体" w:cs="宋体"/>
                <w:kern w:val="0"/>
                <w:sz w:val="21"/>
                <w:szCs w:val="21"/>
              </w:rPr>
              <w:t>踏勘</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踏勘时间：</w:t>
            </w:r>
            <w:r>
              <w:rPr>
                <w:rFonts w:hint="eastAsia" w:ascii="宋体" w:hAnsi="宋体" w:cs="宋体"/>
                <w:kern w:val="0"/>
                <w:sz w:val="21"/>
                <w:szCs w:val="21"/>
                <w:highlight w:val="none"/>
                <w:lang w:val="en-US" w:eastAsia="zh-CN"/>
              </w:rPr>
              <w:t>2021年10月26日上午10点。</w:t>
            </w:r>
          </w:p>
          <w:p>
            <w:pPr>
              <w:pStyle w:val="25"/>
              <w:ind w:left="0" w:leftChars="0" w:firstLine="0" w:firstLineChars="0"/>
              <w:rPr>
                <w:rFonts w:hint="default" w:eastAsia="宋体"/>
                <w:lang w:val="en-US" w:eastAsia="zh-CN"/>
              </w:rPr>
            </w:pPr>
            <w:r>
              <w:rPr>
                <w:rFonts w:hint="eastAsia" w:ascii="宋体" w:hAnsi="宋体" w:cs="宋体"/>
                <w:kern w:val="0"/>
                <w:sz w:val="21"/>
                <w:szCs w:val="21"/>
              </w:rPr>
              <w:t>联系人：</w:t>
            </w:r>
            <w:r>
              <w:rPr>
                <w:rFonts w:hint="eastAsia" w:ascii="宋体" w:hAnsi="宋体" w:cs="宋体"/>
                <w:kern w:val="0"/>
                <w:sz w:val="21"/>
                <w:szCs w:val="21"/>
                <w:lang w:val="en-US" w:eastAsia="zh-CN"/>
              </w:rPr>
              <w:t>郑</w:t>
            </w:r>
            <w:r>
              <w:rPr>
                <w:rFonts w:hint="eastAsia" w:ascii="宋体" w:hAnsi="宋体" w:cs="宋体"/>
                <w:kern w:val="0"/>
                <w:sz w:val="21"/>
                <w:szCs w:val="21"/>
              </w:rPr>
              <w:t>老师，联系方式：0553-3932</w:t>
            </w:r>
            <w:r>
              <w:rPr>
                <w:rFonts w:hint="eastAsia" w:hAnsi="宋体" w:cs="宋体"/>
                <w:kern w:val="0"/>
                <w:sz w:val="21"/>
                <w:szCs w:val="21"/>
                <w:lang w:val="en-US" w:eastAsia="zh-CN"/>
              </w:rPr>
              <w:t>514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5"/>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16938519"/>
      <w:bookmarkStart w:id="5" w:name="_Toc20823275"/>
      <w:bookmarkStart w:id="6" w:name="_Toc120614214"/>
      <w:bookmarkStart w:id="7" w:name="_Toc513029203"/>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8"/>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8"/>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8"/>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8"/>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8"/>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38"/>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8"/>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8"/>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38"/>
        <w:snapToGrid w:val="0"/>
        <w:rPr>
          <w:rFonts w:hint="eastAsia" w:hAnsi="宋体" w:eastAsia="宋体"/>
          <w:sz w:val="24"/>
          <w:szCs w:val="24"/>
        </w:rPr>
      </w:pPr>
      <w:r>
        <w:rPr>
          <w:rFonts w:hint="eastAsia" w:hAnsi="宋体" w:eastAsia="宋体"/>
          <w:sz w:val="24"/>
          <w:szCs w:val="24"/>
        </w:rPr>
        <w:t>磋商文件有以下部分组成：</w:t>
      </w:r>
    </w:p>
    <w:p>
      <w:pPr>
        <w:pStyle w:val="38"/>
        <w:snapToGrid w:val="0"/>
        <w:rPr>
          <w:rFonts w:hint="eastAsia" w:hAnsi="宋体" w:eastAsia="宋体"/>
          <w:sz w:val="24"/>
          <w:szCs w:val="24"/>
        </w:rPr>
      </w:pPr>
      <w:r>
        <w:rPr>
          <w:rFonts w:hint="eastAsia" w:hAnsi="宋体" w:eastAsia="宋体"/>
          <w:sz w:val="24"/>
          <w:szCs w:val="24"/>
        </w:rPr>
        <w:t>（1）磋商公告</w:t>
      </w:r>
    </w:p>
    <w:p>
      <w:pPr>
        <w:pStyle w:val="38"/>
        <w:snapToGrid w:val="0"/>
        <w:rPr>
          <w:rFonts w:hint="eastAsia" w:hAnsi="宋体" w:eastAsia="宋体"/>
          <w:sz w:val="24"/>
          <w:szCs w:val="24"/>
        </w:rPr>
      </w:pPr>
      <w:r>
        <w:rPr>
          <w:rFonts w:hint="eastAsia" w:hAnsi="宋体" w:eastAsia="宋体"/>
          <w:sz w:val="24"/>
          <w:szCs w:val="24"/>
        </w:rPr>
        <w:t>（2）磋商须知前附表</w:t>
      </w:r>
    </w:p>
    <w:p>
      <w:pPr>
        <w:pStyle w:val="38"/>
        <w:snapToGrid w:val="0"/>
        <w:rPr>
          <w:rFonts w:hint="eastAsia" w:hAnsi="宋体" w:eastAsia="宋体"/>
          <w:sz w:val="24"/>
          <w:szCs w:val="24"/>
        </w:rPr>
      </w:pPr>
      <w:r>
        <w:rPr>
          <w:rFonts w:hint="eastAsia" w:hAnsi="宋体" w:eastAsia="宋体"/>
          <w:sz w:val="24"/>
          <w:szCs w:val="24"/>
        </w:rPr>
        <w:t>（3）磋商须知</w:t>
      </w:r>
    </w:p>
    <w:p>
      <w:pPr>
        <w:pStyle w:val="38"/>
        <w:snapToGrid w:val="0"/>
        <w:rPr>
          <w:rFonts w:hint="eastAsia" w:hAnsi="宋体" w:eastAsia="宋体"/>
          <w:sz w:val="24"/>
          <w:szCs w:val="24"/>
        </w:rPr>
      </w:pPr>
      <w:r>
        <w:rPr>
          <w:rFonts w:hint="eastAsia" w:hAnsi="宋体" w:eastAsia="宋体"/>
          <w:sz w:val="24"/>
          <w:szCs w:val="24"/>
        </w:rPr>
        <w:t>（4）合同主要条款</w:t>
      </w:r>
    </w:p>
    <w:p>
      <w:pPr>
        <w:pStyle w:val="38"/>
        <w:snapToGrid w:val="0"/>
        <w:rPr>
          <w:rFonts w:hint="eastAsia" w:hAnsi="宋体" w:eastAsia="宋体"/>
          <w:sz w:val="24"/>
          <w:szCs w:val="24"/>
        </w:rPr>
      </w:pPr>
      <w:r>
        <w:rPr>
          <w:rFonts w:hint="eastAsia" w:hAnsi="宋体" w:eastAsia="宋体"/>
          <w:sz w:val="24"/>
          <w:szCs w:val="24"/>
        </w:rPr>
        <w:t>（5）项目需求</w:t>
      </w:r>
    </w:p>
    <w:p>
      <w:pPr>
        <w:pStyle w:val="38"/>
        <w:snapToGrid w:val="0"/>
        <w:rPr>
          <w:rFonts w:hint="eastAsia" w:hAnsi="宋体" w:eastAsia="宋体"/>
          <w:sz w:val="24"/>
          <w:szCs w:val="24"/>
        </w:rPr>
      </w:pPr>
      <w:r>
        <w:rPr>
          <w:rFonts w:hint="eastAsia" w:hAnsi="宋体" w:eastAsia="宋体"/>
          <w:sz w:val="24"/>
          <w:szCs w:val="24"/>
        </w:rPr>
        <w:t>（6）评审标准</w:t>
      </w:r>
    </w:p>
    <w:p>
      <w:pPr>
        <w:pStyle w:val="38"/>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8"/>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8"/>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8"/>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8"/>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8"/>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8"/>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8"/>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8"/>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8"/>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8"/>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8"/>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8"/>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8"/>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8"/>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20823297"/>
      <w:bookmarkStart w:id="78" w:name="_Toc513029225"/>
      <w:bookmarkStart w:id="79" w:name="_Toc462564084"/>
      <w:bookmarkStart w:id="80" w:name="_Toc16938541"/>
      <w:r>
        <w:rPr>
          <w:rFonts w:hint="eastAsia" w:ascii="宋体" w:hAnsi="宋体" w:cs="宋体"/>
          <w:sz w:val="24"/>
          <w:szCs w:val="24"/>
        </w:rPr>
        <w:t>1.响应文件的密封和标记</w:t>
      </w:r>
      <w:bookmarkEnd w:id="77"/>
      <w:bookmarkEnd w:id="78"/>
      <w:bookmarkEnd w:id="79"/>
      <w:bookmarkEnd w:id="80"/>
    </w:p>
    <w:p>
      <w:pPr>
        <w:pStyle w:val="38"/>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8"/>
        <w:snapToGrid w:val="0"/>
        <w:rPr>
          <w:rFonts w:hint="eastAsia" w:hAnsi="宋体" w:eastAsia="宋体"/>
          <w:sz w:val="24"/>
          <w:szCs w:val="24"/>
        </w:rPr>
      </w:pPr>
      <w:r>
        <w:rPr>
          <w:rFonts w:hint="eastAsia" w:hAnsi="宋体" w:eastAsia="宋体"/>
          <w:sz w:val="24"/>
          <w:szCs w:val="24"/>
        </w:rPr>
        <w:t>（2）密封的响应文件应：</w:t>
      </w:r>
    </w:p>
    <w:p>
      <w:pPr>
        <w:pStyle w:val="38"/>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8"/>
        <w:snapToGrid w:val="0"/>
        <w:rPr>
          <w:rFonts w:hint="eastAsia" w:hAnsi="宋体" w:eastAsia="宋体"/>
          <w:sz w:val="24"/>
          <w:szCs w:val="24"/>
        </w:rPr>
      </w:pPr>
      <w:r>
        <w:rPr>
          <w:rFonts w:hint="eastAsia" w:hAnsi="宋体" w:eastAsia="宋体"/>
          <w:sz w:val="24"/>
          <w:szCs w:val="24"/>
        </w:rPr>
        <w:t>2）注明磋商项目名称、项目编号。</w:t>
      </w:r>
    </w:p>
    <w:p>
      <w:pPr>
        <w:pStyle w:val="38"/>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8"/>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8"/>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8"/>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8"/>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8"/>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38"/>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8"/>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8"/>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5"/>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5"/>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5"/>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5"/>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8"/>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5"/>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5"/>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8"/>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8"/>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38"/>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8"/>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8"/>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8"/>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3个工作日内缴纳履约保证金</w:t>
      </w:r>
      <w:r>
        <w:rPr>
          <w:rFonts w:hint="eastAsia" w:hAnsi="宋体" w:eastAsia="宋体"/>
          <w:sz w:val="24"/>
          <w:szCs w:val="24"/>
        </w:rPr>
        <w:t>。</w:t>
      </w:r>
    </w:p>
    <w:bookmarkEnd w:id="106"/>
    <w:p>
      <w:pPr>
        <w:pStyle w:val="38"/>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bCs/>
          <w:szCs w:val="28"/>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8"/>
        <w:snapToGrid w:val="0"/>
        <w:ind w:left="0" w:leftChars="0" w:right="280" w:rightChars="100" w:firstLine="0" w:firstLineChars="0"/>
        <w:rPr>
          <w:rFonts w:ascii="仿宋_GB2312" w:hAnsi="宋体" w:eastAsia="仿宋_GB2312"/>
          <w:bCs/>
          <w:szCs w:val="28"/>
        </w:rPr>
      </w:pPr>
    </w:p>
    <w:p>
      <w:pPr>
        <w:pStyle w:val="3"/>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spacing w:line="360" w:lineRule="auto"/>
        <w:jc w:val="center"/>
        <w:rPr>
          <w:rFonts w:ascii="黑体" w:hAnsi="黑体" w:eastAsia="黑体" w:cs="黑体"/>
          <w:b/>
          <w:spacing w:val="20"/>
          <w:kern w:val="0"/>
          <w:sz w:val="36"/>
          <w:szCs w:val="36"/>
        </w:rPr>
      </w:pPr>
      <w:r>
        <w:rPr>
          <w:rFonts w:hint="eastAsia" w:ascii="黑体" w:hAnsi="黑体" w:eastAsia="黑体" w:cs="黑体"/>
          <w:b/>
          <w:spacing w:val="-6"/>
          <w:kern w:val="0"/>
          <w:sz w:val="36"/>
          <w:szCs w:val="36"/>
        </w:rPr>
        <w:t>皖南医学院</w:t>
      </w:r>
      <w:r>
        <w:rPr>
          <w:rFonts w:hint="eastAsia" w:ascii="黑体" w:hAnsi="黑体" w:eastAsia="黑体" w:cs="黑体"/>
          <w:b/>
          <w:spacing w:val="-6"/>
          <w:kern w:val="0"/>
          <w:sz w:val="36"/>
          <w:szCs w:val="36"/>
          <w:u w:val="single"/>
        </w:rPr>
        <w:t xml:space="preserve">1号实验楼实验室实验台 </w:t>
      </w:r>
      <w:r>
        <w:rPr>
          <w:rFonts w:hint="eastAsia" w:ascii="黑体" w:hAnsi="黑体" w:eastAsia="黑体" w:cs="黑体"/>
          <w:b/>
          <w:spacing w:val="-6"/>
          <w:kern w:val="0"/>
          <w:sz w:val="36"/>
          <w:szCs w:val="36"/>
        </w:rPr>
        <w:t>工程</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施工合同</w:t>
      </w:r>
    </w:p>
    <w:p>
      <w:pPr>
        <w:spacing w:line="360" w:lineRule="auto"/>
        <w:rPr>
          <w:rFonts w:ascii="黑体" w:hAnsi="黑体" w:eastAsia="黑体" w:cs="Times New Roman"/>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建设单位（以下简称“甲方”）：皖南医学院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施工单位（以下简称“乙方”）：</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sz w:val="28"/>
          <w:szCs w:val="28"/>
        </w:rPr>
      </w:pPr>
      <w:r>
        <w:rPr>
          <w:rFonts w:asciiTheme="majorEastAsia" w:hAnsiTheme="majorEastAsia" w:eastAsiaTheme="majorEastAsia"/>
          <w:sz w:val="28"/>
          <w:szCs w:val="28"/>
        </w:rPr>
        <w:t>根据</w:t>
      </w:r>
      <w:r>
        <w:rPr>
          <w:rFonts w:hint="eastAsia" w:asciiTheme="majorEastAsia" w:hAnsiTheme="majorEastAsia" w:eastAsiaTheme="majorEastAsia"/>
          <w:sz w:val="28"/>
          <w:szCs w:val="28"/>
        </w:rPr>
        <w:t>我国合同、建筑相关</w:t>
      </w:r>
      <w:r>
        <w:rPr>
          <w:rFonts w:asciiTheme="majorEastAsia" w:hAnsiTheme="majorEastAsia" w:eastAsiaTheme="majorEastAsia"/>
          <w:sz w:val="28"/>
          <w:szCs w:val="28"/>
        </w:rPr>
        <w:t>法律规定，遵循平等、自愿、公平和诚实信用的原则，双方就</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u w:val="single"/>
          <w:lang w:val="en-US" w:eastAsia="zh-CN"/>
        </w:rPr>
        <w:t>1号实验楼实验室实验台</w:t>
      </w:r>
      <w:r>
        <w:rPr>
          <w:rFonts w:hint="eastAsia" w:cs="仿宋_GB2312" w:asciiTheme="majorEastAsia" w:hAnsiTheme="majorEastAsia" w:eastAsiaTheme="majorEastAsia"/>
          <w:sz w:val="28"/>
          <w:szCs w:val="28"/>
          <w:u w:val="single"/>
        </w:rPr>
        <w:t xml:space="preserve"> </w:t>
      </w:r>
      <w:r>
        <w:rPr>
          <w:rFonts w:asciiTheme="majorEastAsia" w:hAnsiTheme="majorEastAsia" w:eastAsiaTheme="majorEastAsia"/>
          <w:sz w:val="28"/>
          <w:szCs w:val="28"/>
        </w:rPr>
        <w:t>工程施工及有关事项协商一致</w:t>
      </w:r>
      <w:r>
        <w:rPr>
          <w:rFonts w:hint="eastAsia" w:asciiTheme="majorEastAsia" w:hAnsiTheme="majorEastAsia" w:eastAsiaTheme="majorEastAsia"/>
          <w:sz w:val="28"/>
          <w:szCs w:val="28"/>
        </w:rPr>
        <w:t>，</w:t>
      </w:r>
      <w:r>
        <w:rPr>
          <w:rFonts w:asciiTheme="majorEastAsia" w:hAnsiTheme="majorEastAsia" w:eastAsiaTheme="majorEastAsia"/>
          <w:sz w:val="28"/>
          <w:szCs w:val="28"/>
        </w:rPr>
        <w:t>共同</w:t>
      </w:r>
      <w:r>
        <w:rPr>
          <w:rFonts w:hint="eastAsia" w:asciiTheme="majorEastAsia" w:hAnsiTheme="majorEastAsia" w:eastAsiaTheme="majorEastAsia"/>
          <w:sz w:val="28"/>
          <w:szCs w:val="28"/>
        </w:rPr>
        <w:t>签订本合同</w:t>
      </w:r>
      <w:r>
        <w:rPr>
          <w:rFonts w:hint="eastAsia" w:ascii="宋体" w:hAnsi="宋体" w:eastAsia="宋体" w:cs="宋体"/>
          <w:sz w:val="28"/>
          <w:szCs w:val="28"/>
        </w:rPr>
        <w:t>。</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一、工程概况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1号实验楼实验室实验台工程</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滨江校区1号实验楼</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3.合同价：</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）,其中含暂列金额</w:t>
      </w:r>
      <w:r>
        <w:rPr>
          <w:rFonts w:hint="eastAsia" w:ascii="宋体" w:hAnsi="宋体" w:eastAsia="宋体" w:cs="宋体"/>
          <w:sz w:val="28"/>
          <w:szCs w:val="28"/>
          <w:u w:val="single"/>
        </w:rPr>
        <w:t xml:space="preserve"> 3916.41 </w:t>
      </w:r>
      <w:r>
        <w:rPr>
          <w:rFonts w:hint="eastAsia" w:ascii="宋体" w:hAnsi="宋体" w:eastAsia="宋体" w:cs="宋体"/>
          <w:sz w:val="28"/>
          <w:szCs w:val="28"/>
        </w:rPr>
        <w:t>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4.合同工期：工期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20</w:t>
      </w:r>
      <w:r>
        <w:rPr>
          <w:rFonts w:hint="eastAsia" w:ascii="宋体" w:hAnsi="宋体" w:eastAsia="宋体" w:cs="宋体"/>
          <w:sz w:val="28"/>
          <w:szCs w:val="28"/>
          <w:u w:val="single"/>
        </w:rPr>
        <w:t xml:space="preserve"> </w:t>
      </w:r>
      <w:r>
        <w:rPr>
          <w:rFonts w:hint="eastAsia" w:ascii="宋体" w:hAnsi="宋体" w:eastAsia="宋体" w:cs="宋体"/>
          <w:sz w:val="28"/>
          <w:szCs w:val="28"/>
        </w:rPr>
        <w:t>日历天，从甲方书面通知进场施工时间开始计算。因乙方原因推迟的按</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500</w:t>
      </w:r>
      <w:r>
        <w:rPr>
          <w:rFonts w:hint="eastAsia" w:ascii="宋体" w:hAnsi="宋体" w:eastAsia="宋体" w:cs="宋体"/>
          <w:sz w:val="28"/>
          <w:szCs w:val="28"/>
          <w:u w:val="single"/>
        </w:rPr>
        <w:t xml:space="preserve"> </w:t>
      </w:r>
      <w:r>
        <w:rPr>
          <w:rFonts w:hint="eastAsia" w:ascii="宋体" w:hAnsi="宋体" w:eastAsia="宋体" w:cs="宋体"/>
          <w:sz w:val="28"/>
          <w:szCs w:val="28"/>
        </w:rPr>
        <w:t>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二、合同文件构成</w:t>
      </w:r>
    </w:p>
    <w:p>
      <w:pPr>
        <w:spacing w:line="360" w:lineRule="auto"/>
        <w:ind w:firstLine="560" w:firstLineChars="200"/>
        <w:rPr>
          <w:rFonts w:asciiTheme="minorEastAsia" w:hAnsiTheme="minorEastAsia"/>
          <w:bCs/>
          <w:color w:val="000000"/>
          <w:sz w:val="28"/>
          <w:szCs w:val="28"/>
        </w:rPr>
      </w:pPr>
      <w:r>
        <w:rPr>
          <w:rFonts w:asciiTheme="minorEastAsia" w:hAnsiTheme="minorEastAsia"/>
          <w:bCs/>
          <w:color w:val="000000"/>
          <w:sz w:val="28"/>
          <w:szCs w:val="28"/>
        </w:rPr>
        <w:t>本</w:t>
      </w:r>
      <w:r>
        <w:rPr>
          <w:rFonts w:hint="eastAsia" w:asciiTheme="minorEastAsia" w:hAnsiTheme="minorEastAsia"/>
          <w:bCs/>
          <w:color w:val="000000"/>
          <w:sz w:val="28"/>
          <w:szCs w:val="28"/>
        </w:rPr>
        <w:t>合同</w:t>
      </w:r>
      <w:r>
        <w:rPr>
          <w:rFonts w:asciiTheme="minorEastAsia" w:hAnsiTheme="minorEastAsia"/>
          <w:bCs/>
          <w:color w:val="000000"/>
          <w:sz w:val="28"/>
          <w:szCs w:val="28"/>
        </w:rPr>
        <w:t>与下列文件一起构成合同文件：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1</w:t>
      </w:r>
      <w:r>
        <w:rPr>
          <w:rFonts w:hint="eastAsia" w:asciiTheme="minorEastAsia" w:hAnsiTheme="minorEastAsia"/>
          <w:color w:val="000000"/>
          <w:sz w:val="28"/>
          <w:szCs w:val="28"/>
        </w:rPr>
        <w:t>.</w:t>
      </w:r>
      <w:r>
        <w:rPr>
          <w:rFonts w:asciiTheme="minorEastAsia" w:hAnsiTheme="minorEastAsia"/>
          <w:color w:val="000000"/>
          <w:sz w:val="28"/>
          <w:szCs w:val="28"/>
        </w:rPr>
        <w:t>中标通知书（如果有）；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.采购文件</w:t>
      </w:r>
      <w:r>
        <w:rPr>
          <w:rFonts w:asciiTheme="minorEastAsia" w:hAnsiTheme="minorEastAsia"/>
          <w:color w:val="000000"/>
          <w:sz w:val="28"/>
          <w:szCs w:val="28"/>
        </w:rPr>
        <w:t xml:space="preserve">； </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w:t>
      </w:r>
      <w:r>
        <w:rPr>
          <w:rFonts w:asciiTheme="minorEastAsia" w:hAnsiTheme="minorEastAsia"/>
          <w:color w:val="000000"/>
          <w:sz w:val="28"/>
          <w:szCs w:val="28"/>
        </w:rPr>
        <w:t>投标</w:t>
      </w:r>
      <w:r>
        <w:rPr>
          <w:rFonts w:hint="eastAsia" w:asciiTheme="minorEastAsia" w:hAnsiTheme="minorEastAsia"/>
          <w:color w:val="000000"/>
          <w:sz w:val="28"/>
          <w:szCs w:val="28"/>
        </w:rPr>
        <w:t>文件</w:t>
      </w:r>
      <w:r>
        <w:rPr>
          <w:rFonts w:asciiTheme="minorEastAsia" w:hAnsiTheme="minorEastAsia"/>
          <w:color w:val="000000"/>
          <w:sz w:val="28"/>
          <w:szCs w:val="28"/>
        </w:rPr>
        <w:t>（如果有）；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图纸；</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5.</w:t>
      </w:r>
      <w:r>
        <w:rPr>
          <w:rFonts w:asciiTheme="minorEastAsia" w:hAnsiTheme="minorEastAsia"/>
          <w:color w:val="000000"/>
          <w:sz w:val="28"/>
          <w:szCs w:val="28"/>
        </w:rPr>
        <w:t>已标价工程量清单或预算书；</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6.</w:t>
      </w:r>
      <w:r>
        <w:rPr>
          <w:rFonts w:asciiTheme="minorEastAsia" w:hAnsiTheme="minorEastAsia"/>
          <w:color w:val="000000"/>
          <w:sz w:val="28"/>
          <w:szCs w:val="28"/>
        </w:rPr>
        <w:t>其他合同文件。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在合同订立及履行过程中形成的与合同有关的文件均构成合同文件组成部分。</w:t>
      </w:r>
    </w:p>
    <w:p>
      <w:pPr>
        <w:spacing w:line="360" w:lineRule="auto"/>
        <w:ind w:firstLine="560" w:firstLineChars="200"/>
        <w:rPr>
          <w:rFonts w:cs="宋体" w:asciiTheme="minorEastAsia" w:hAnsiTheme="minorEastAsia"/>
          <w:sz w:val="28"/>
          <w:szCs w:val="28"/>
        </w:rPr>
      </w:pPr>
      <w:r>
        <w:rPr>
          <w:rFonts w:asciiTheme="minorEastAsia" w:hAnsiTheme="minorEastAsia"/>
          <w:color w:val="000000"/>
          <w:sz w:val="28"/>
          <w:szCs w:val="28"/>
        </w:rPr>
        <w:t>上述各项合同文件包括合同当事人就该项合同文件所作出的补充和修改，属于同一类内容的文件，应以最新签署的为准。</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三、工程量结算方式和依据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1.本工程的计价依据是中标通知书、招标技术要求（图纸、工程量清单、工程控制价、隐蔽工程验收记录单、变更签证单）及建设单位书面通知等。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2.本合同履约保证金为</w:t>
      </w:r>
      <w:r>
        <w:rPr>
          <w:rFonts w:hint="eastAsia" w:ascii="宋体" w:hAnsi="宋体" w:eastAsia="宋体" w:cs="宋体"/>
          <w:sz w:val="28"/>
          <w:szCs w:val="28"/>
          <w:u w:val="single"/>
        </w:rPr>
        <w:t xml:space="preserve">    </w:t>
      </w:r>
      <w:r>
        <w:rPr>
          <w:rFonts w:hint="eastAsia" w:ascii="宋体" w:hAnsi="宋体" w:eastAsia="宋体" w:cs="宋体"/>
          <w:sz w:val="28"/>
          <w:szCs w:val="28"/>
        </w:rPr>
        <w:t>元。施工结束并经过验收合格后，凭相关凭证（汇款凭证、维修改造工程验收表等）无息退还。</w:t>
      </w:r>
    </w:p>
    <w:p>
      <w:pPr>
        <w:spacing w:line="360" w:lineRule="auto"/>
        <w:ind w:firstLine="560" w:firstLineChars="200"/>
        <w:rPr>
          <w:rFonts w:ascii="宋体" w:hAnsi="宋体"/>
          <w:sz w:val="28"/>
          <w:szCs w:val="21"/>
        </w:rPr>
      </w:pPr>
      <w:r>
        <w:rPr>
          <w:rFonts w:hint="eastAsia" w:ascii="宋体" w:hAnsi="宋体" w:eastAsia="宋体" w:cs="宋体"/>
          <w:sz w:val="28"/>
          <w:szCs w:val="28"/>
        </w:rPr>
        <w:t>3.</w:t>
      </w:r>
      <w:r>
        <w:rPr>
          <w:rFonts w:hint="eastAsia" w:ascii="宋体" w:hAnsi="宋体"/>
          <w:sz w:val="28"/>
          <w:szCs w:val="21"/>
        </w:rPr>
        <w:t>乙方须认真复核工程量清单，如发现工程量清单有漏量、漏项的，应在开工后14日内提出，在规定时间后任何以施工图不详、工程量清单有误等理由提出的索赔要求将不予受理，视为投标报价的优惠，即乙方完全理解并同意</w:t>
      </w:r>
      <w:r>
        <w:rPr>
          <w:rFonts w:hint="eastAsia" w:ascii="宋体" w:hAnsi="宋体"/>
          <w:sz w:val="28"/>
          <w:szCs w:val="28"/>
        </w:rPr>
        <w:t>施工</w:t>
      </w:r>
      <w:r>
        <w:rPr>
          <w:rFonts w:ascii="宋体" w:hAnsi="宋体"/>
          <w:sz w:val="28"/>
          <w:szCs w:val="28"/>
        </w:rPr>
        <w:t>图</w:t>
      </w:r>
      <w:r>
        <w:rPr>
          <w:rFonts w:hint="eastAsia" w:ascii="宋体" w:hAnsi="宋体"/>
          <w:sz w:val="28"/>
          <w:szCs w:val="28"/>
        </w:rPr>
        <w:t>纸</w:t>
      </w:r>
      <w:r>
        <w:rPr>
          <w:rFonts w:ascii="宋体" w:hAnsi="宋体"/>
          <w:sz w:val="28"/>
          <w:szCs w:val="28"/>
        </w:rPr>
        <w:t>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w:t>
      </w:r>
      <w:r>
        <w:rPr>
          <w:rFonts w:hint="eastAsia" w:ascii="宋体" w:hAnsi="宋体"/>
          <w:sz w:val="28"/>
          <w:szCs w:val="21"/>
        </w:rPr>
        <w:t>，施工时须按照</w:t>
      </w:r>
      <w:r>
        <w:rPr>
          <w:rFonts w:hint="eastAsia" w:ascii="宋体" w:hAnsi="宋体"/>
          <w:sz w:val="28"/>
          <w:szCs w:val="28"/>
        </w:rPr>
        <w:t>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（含技术要求）执行，</w:t>
      </w:r>
      <w:r>
        <w:rPr>
          <w:rFonts w:hint="eastAsia" w:ascii="宋体" w:hAnsi="宋体"/>
          <w:sz w:val="28"/>
          <w:szCs w:val="21"/>
        </w:rPr>
        <w:t>施工完成后，必须满足验收规范和使用功能的要求。</w:t>
      </w:r>
    </w:p>
    <w:p>
      <w:pPr>
        <w:spacing w:line="360" w:lineRule="auto"/>
        <w:ind w:firstLine="560" w:firstLineChars="200"/>
        <w:rPr>
          <w:rFonts w:ascii="宋体" w:hAnsi="宋体" w:eastAsia="宋体" w:cs="宋体"/>
          <w:sz w:val="28"/>
          <w:szCs w:val="28"/>
        </w:rPr>
      </w:pPr>
      <w:r>
        <w:rPr>
          <w:rFonts w:hint="eastAsia" w:ascii="宋体" w:hAnsi="宋体"/>
          <w:sz w:val="28"/>
          <w:szCs w:val="28"/>
        </w:rPr>
        <w:t>4.</w:t>
      </w:r>
      <w:r>
        <w:rPr>
          <w:rFonts w:ascii="宋体" w:hAnsi="宋体"/>
          <w:sz w:val="28"/>
          <w:szCs w:val="28"/>
        </w:rPr>
        <w:t>设计变更和</w:t>
      </w:r>
      <w:r>
        <w:rPr>
          <w:rFonts w:hint="eastAsia" w:ascii="宋体" w:hAnsi="宋体"/>
          <w:sz w:val="28"/>
          <w:szCs w:val="28"/>
        </w:rPr>
        <w:t>甲方</w:t>
      </w:r>
      <w:r>
        <w:rPr>
          <w:rFonts w:ascii="宋体" w:hAnsi="宋体"/>
          <w:sz w:val="28"/>
          <w:szCs w:val="28"/>
        </w:rPr>
        <w:t>提出的变更调</w:t>
      </w:r>
      <w:r>
        <w:rPr>
          <w:rFonts w:hint="eastAsia" w:ascii="宋体" w:hAnsi="宋体"/>
          <w:sz w:val="28"/>
          <w:szCs w:val="28"/>
        </w:rPr>
        <w:t>整</w:t>
      </w:r>
      <w:r>
        <w:rPr>
          <w:rFonts w:ascii="宋体" w:hAnsi="宋体"/>
          <w:sz w:val="28"/>
          <w:szCs w:val="28"/>
        </w:rPr>
        <w:t>部分，原则上参照投标文件中单价计算。</w:t>
      </w:r>
      <w:r>
        <w:rPr>
          <w:rFonts w:hint="eastAsia" w:ascii="宋体" w:hAnsi="宋体"/>
          <w:sz w:val="28"/>
          <w:szCs w:val="28"/>
        </w:rPr>
        <w:t>投标文件中没有相同类型的子目，结算时执行</w:t>
      </w:r>
      <w:r>
        <w:rPr>
          <w:rFonts w:hint="eastAsia" w:ascii="宋体" w:hAnsi="宋体"/>
          <w:spacing w:val="20"/>
          <w:sz w:val="28"/>
          <w:szCs w:val="28"/>
        </w:rPr>
        <w:t>2018版《安徽省建设工程工程量清单计价办法》、2018版《安徽省建设工程工程计价定额》及其配套的费用定额、《建设工程工程量清单计价规范》（GB50500-2013）</w:t>
      </w:r>
      <w:r>
        <w:rPr>
          <w:rFonts w:hint="eastAsia" w:ascii="宋体" w:hAnsi="宋体"/>
          <w:sz w:val="28"/>
          <w:szCs w:val="28"/>
        </w:rPr>
        <w:t>，相关优惠率同投标优惠率一致</w:t>
      </w:r>
      <w:r>
        <w:rPr>
          <w:rFonts w:ascii="宋体" w:hAnsi="宋体"/>
          <w:sz w:val="28"/>
          <w:szCs w:val="28"/>
        </w:rPr>
        <w:t>；投标文件中没有的主材参考《芜湖工程造价信息》当月信息价八折计算，信息价中没有的材料结合市场定价</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Times New Roman"/>
          <w:sz w:val="28"/>
          <w:szCs w:val="28"/>
        </w:rPr>
        <w:t>涉及合同价款变动的变更项目必须按《皖南医学院基建、修缮工程变更签证单》逐级签字盖章生效后方可施工，</w:t>
      </w:r>
      <w:r>
        <w:rPr>
          <w:rFonts w:hint="eastAsia" w:ascii="宋体" w:hAnsi="宋体"/>
          <w:sz w:val="28"/>
          <w:szCs w:val="28"/>
        </w:rPr>
        <w:t>否则，视为该项变更不涉及合同价款的变更，若发生费用由乙方自行承担。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5.所有合同款支付，乙方须提供正规发票。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四、付款及审计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1.本工程不支付进度款，工程完工后由甲方组织验收，验收合格后凭乙方提供的发票支付至合同价（不含暂列金额）的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70</w:t>
      </w:r>
      <w:r>
        <w:rPr>
          <w:rFonts w:hint="eastAsia" w:ascii="宋体" w:hAnsi="宋体" w:eastAsia="宋体" w:cs="宋体"/>
          <w:sz w:val="28"/>
          <w:szCs w:val="28"/>
          <w:u w:val="single"/>
        </w:rPr>
        <w:t xml:space="preserve">  </w:t>
      </w:r>
      <w:r>
        <w:rPr>
          <w:rFonts w:hint="eastAsia" w:ascii="宋体" w:hAnsi="宋体" w:eastAsia="宋体" w:cs="宋体"/>
          <w:sz w:val="28"/>
          <w:szCs w:val="28"/>
        </w:rPr>
        <w:t>%；审计完成，乙方先将金额为终审价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 xml:space="preserve"> </w:t>
      </w:r>
      <w:r>
        <w:rPr>
          <w:rFonts w:hint="eastAsia" w:ascii="宋体" w:hAnsi="宋体" w:eastAsia="宋体" w:cs="宋体"/>
          <w:sz w:val="28"/>
          <w:szCs w:val="28"/>
        </w:rPr>
        <w:t>%的质保金汇入甲方账户，甲方凭发票及质保金汇款凭证付至终审价的100%；</w:t>
      </w:r>
      <w:r>
        <w:rPr>
          <w:rFonts w:hint="eastAsia" w:ascii="宋体" w:hAnsi="宋体" w:eastAsia="宋体" w:cs="Times New Roman"/>
          <w:sz w:val="28"/>
          <w:szCs w:val="28"/>
        </w:rPr>
        <w:t>质保期满后无质量问题一次性无息退还质保金。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2.工程结算审核时，凡审增部分及审减率超过10%（不含10%）以上部分的审计服务费由乙方承担，在审核机构审核时直接扣除。费率参照皖价服[2007]86号文件规定的执行。</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五、质量保证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1.乙方必须严格按照施工图纸、工程量清单及有关规范施工，工程质量须达到</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标准，满足国家和地方现行规范要求。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涉及隐蔽工程内容的，乙方应在隐蔽工程覆盖、掩埋或拆除前通知甲方项目负责人会同审计处进行现场勘查、确认，</w:t>
      </w:r>
      <w:r>
        <w:rPr>
          <w:rFonts w:hint="eastAsia" w:ascii="宋体" w:hAnsi="宋体" w:eastAsia="宋体" w:cs="宋体"/>
          <w:sz w:val="28"/>
          <w:szCs w:val="28"/>
        </w:rPr>
        <w:t>并办理《隐蔽工程验收记录单》，未办理的隐蔽工程涉及的工程量不予认定</w:t>
      </w:r>
      <w:r>
        <w:rPr>
          <w:rFonts w:hint="eastAsia" w:ascii="宋体" w:hAnsi="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3.所有材料进场前需报甲方项目负责人确认，材料品牌范围及要求如下（</w:t>
      </w:r>
      <w:r>
        <w:rPr>
          <w:rFonts w:hint="eastAsia" w:ascii="宋体" w:hAnsi="宋体" w:eastAsia="宋体" w:cs="宋体"/>
          <w:sz w:val="28"/>
          <w:szCs w:val="28"/>
          <w:lang w:val="en-US" w:eastAsia="zh-CN"/>
        </w:rPr>
        <w:t>详</w:t>
      </w:r>
      <w:r>
        <w:rPr>
          <w:rFonts w:hint="eastAsia" w:ascii="宋体" w:hAnsi="宋体" w:eastAsia="宋体" w:cs="宋体"/>
          <w:sz w:val="28"/>
          <w:szCs w:val="28"/>
        </w:rPr>
        <w:t>见</w:t>
      </w:r>
      <w:r>
        <w:rPr>
          <w:rFonts w:hint="eastAsia" w:ascii="宋体" w:hAnsi="宋体" w:eastAsia="宋体" w:cs="宋体"/>
          <w:sz w:val="28"/>
          <w:szCs w:val="28"/>
          <w:lang w:val="en-US" w:eastAsia="zh-CN"/>
        </w:rPr>
        <w:t>技术要求</w:t>
      </w:r>
      <w:r>
        <w:rPr>
          <w:rFonts w:hint="eastAsia" w:ascii="宋体" w:hAnsi="宋体" w:eastAsia="宋体" w:cs="宋体"/>
          <w:sz w:val="28"/>
          <w:szCs w:val="28"/>
        </w:rPr>
        <w:t>）。</w:t>
      </w:r>
    </w:p>
    <w:tbl>
      <w:tblPr>
        <w:tblStyle w:val="2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86"/>
        <w:gridCol w:w="1980"/>
        <w:gridCol w:w="3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b/>
                <w:sz w:val="28"/>
                <w:szCs w:val="28"/>
              </w:rPr>
            </w:pPr>
            <w:r>
              <w:rPr>
                <w:rFonts w:hint="eastAsia" w:ascii="楷体" w:hAnsi="楷体" w:eastAsia="楷体"/>
                <w:b/>
                <w:sz w:val="28"/>
                <w:szCs w:val="28"/>
              </w:rPr>
              <w:t>序号</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b/>
                <w:sz w:val="28"/>
                <w:szCs w:val="28"/>
              </w:rPr>
            </w:pPr>
            <w:r>
              <w:rPr>
                <w:rFonts w:hint="eastAsia" w:ascii="楷体" w:hAnsi="楷体" w:eastAsia="楷体"/>
                <w:b/>
                <w:sz w:val="28"/>
                <w:szCs w:val="28"/>
              </w:rPr>
              <w:t>材料名称</w:t>
            </w:r>
          </w:p>
        </w:tc>
        <w:tc>
          <w:tcPr>
            <w:tcW w:w="198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b/>
                <w:sz w:val="28"/>
                <w:szCs w:val="28"/>
              </w:rPr>
            </w:pPr>
            <w:r>
              <w:rPr>
                <w:rFonts w:hint="eastAsia" w:ascii="楷体" w:hAnsi="楷体" w:eastAsia="楷体"/>
                <w:b/>
                <w:sz w:val="28"/>
                <w:szCs w:val="28"/>
              </w:rPr>
              <w:t>规格型号</w:t>
            </w:r>
          </w:p>
        </w:tc>
        <w:tc>
          <w:tcPr>
            <w:tcW w:w="356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b/>
                <w:sz w:val="28"/>
                <w:szCs w:val="28"/>
              </w:rPr>
            </w:pPr>
            <w:r>
              <w:rPr>
                <w:rFonts w:hint="eastAsia" w:ascii="楷体" w:hAnsi="楷体" w:eastAsia="楷体"/>
                <w:b/>
                <w:sz w:val="28"/>
                <w:szCs w:val="28"/>
              </w:rPr>
              <w:t>参考品牌</w:t>
            </w:r>
            <w:r>
              <w:rPr>
                <w:rFonts w:hint="eastAsia" w:ascii="楷体" w:hAnsi="楷体" w:eastAsia="楷体"/>
                <w:b/>
                <w:sz w:val="28"/>
                <w:szCs w:val="28"/>
                <w:lang w:eastAsia="zh-CN"/>
              </w:rPr>
              <w:t>（供货商）</w:t>
            </w:r>
            <w:r>
              <w:rPr>
                <w:rFonts w:hint="eastAsia" w:ascii="楷体" w:hAnsi="楷体" w:eastAsia="楷体"/>
                <w:b/>
                <w:sz w:val="28"/>
                <w:szCs w:val="28"/>
              </w:rPr>
              <w:t>范围</w:t>
            </w:r>
          </w:p>
        </w:tc>
        <w:tc>
          <w:tcPr>
            <w:tcW w:w="85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b/>
                <w:sz w:val="28"/>
                <w:szCs w:val="28"/>
              </w:rPr>
            </w:pPr>
            <w:r>
              <w:rPr>
                <w:rFonts w:hint="eastAsia" w:ascii="楷体" w:hAnsi="楷体" w:eastAsia="楷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198" w:firstLineChars="71"/>
              <w:textAlignment w:val="auto"/>
              <w:rPr>
                <w:rFonts w:ascii="楷体" w:hAnsi="楷体" w:eastAsia="楷体"/>
                <w:sz w:val="28"/>
                <w:szCs w:val="28"/>
              </w:rPr>
            </w:pPr>
            <w:r>
              <w:rPr>
                <w:rFonts w:hint="eastAsia" w:ascii="楷体" w:hAnsi="楷体" w:eastAsia="楷体"/>
                <w:sz w:val="28"/>
                <w:szCs w:val="28"/>
              </w:rPr>
              <w:t>1</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rPr>
              <w:t>电线、电缆</w:t>
            </w:r>
          </w:p>
        </w:tc>
        <w:tc>
          <w:tcPr>
            <w:tcW w:w="198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sz w:val="28"/>
                <w:szCs w:val="28"/>
              </w:rPr>
            </w:pPr>
            <w:r>
              <w:rPr>
                <w:rFonts w:hint="eastAsia" w:ascii="楷体" w:hAnsi="楷体" w:eastAsia="楷体"/>
                <w:sz w:val="28"/>
                <w:szCs w:val="28"/>
              </w:rPr>
              <w:t>按图纸清单要求</w:t>
            </w:r>
          </w:p>
        </w:tc>
        <w:tc>
          <w:tcPr>
            <w:tcW w:w="356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lang w:val="en-US" w:eastAsia="zh-CN"/>
              </w:rPr>
              <w:t>远东、宝胜、绿宝</w:t>
            </w:r>
          </w:p>
        </w:tc>
        <w:tc>
          <w:tcPr>
            <w:tcW w:w="850" w:type="dxa"/>
            <w:vAlign w:val="center"/>
          </w:tcPr>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198" w:firstLineChars="71"/>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2</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lang w:val="en-US" w:eastAsia="zh-CN"/>
              </w:rPr>
              <w:t>给</w:t>
            </w:r>
            <w:r>
              <w:rPr>
                <w:rFonts w:hint="eastAsia" w:ascii="楷体" w:hAnsi="楷体" w:eastAsia="楷体"/>
                <w:sz w:val="28"/>
                <w:szCs w:val="28"/>
              </w:rPr>
              <w:t>排水管</w:t>
            </w:r>
          </w:p>
        </w:tc>
        <w:tc>
          <w:tcPr>
            <w:tcW w:w="198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sz w:val="28"/>
                <w:szCs w:val="28"/>
              </w:rPr>
            </w:pPr>
            <w:r>
              <w:rPr>
                <w:rFonts w:hint="eastAsia" w:ascii="楷体" w:hAnsi="楷体" w:eastAsia="楷体"/>
                <w:sz w:val="28"/>
                <w:szCs w:val="28"/>
              </w:rPr>
              <w:t>按图纸清单要求</w:t>
            </w:r>
          </w:p>
        </w:tc>
        <w:tc>
          <w:tcPr>
            <w:tcW w:w="356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伟星、华亚、金德</w:t>
            </w:r>
          </w:p>
        </w:tc>
        <w:tc>
          <w:tcPr>
            <w:tcW w:w="850" w:type="dxa"/>
            <w:vAlign w:val="center"/>
          </w:tcPr>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198" w:firstLineChars="71"/>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3</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rPr>
              <w:t>开关、插座</w:t>
            </w:r>
          </w:p>
        </w:tc>
        <w:tc>
          <w:tcPr>
            <w:tcW w:w="198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sz w:val="28"/>
                <w:szCs w:val="28"/>
              </w:rPr>
            </w:pPr>
            <w:r>
              <w:rPr>
                <w:rFonts w:hint="eastAsia" w:ascii="楷体" w:hAnsi="楷体" w:eastAsia="楷体"/>
                <w:sz w:val="28"/>
                <w:szCs w:val="28"/>
              </w:rPr>
              <w:t>按图纸清单要求</w:t>
            </w:r>
          </w:p>
        </w:tc>
        <w:tc>
          <w:tcPr>
            <w:tcW w:w="356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sz w:val="28"/>
                <w:szCs w:val="28"/>
              </w:rPr>
            </w:pPr>
            <w:r>
              <w:rPr>
                <w:rFonts w:hint="eastAsia" w:ascii="楷体" w:hAnsi="楷体" w:eastAsia="楷体"/>
                <w:sz w:val="28"/>
                <w:szCs w:val="28"/>
              </w:rPr>
              <w:t>鸿雁、西门子、TCL</w:t>
            </w:r>
          </w:p>
        </w:tc>
        <w:tc>
          <w:tcPr>
            <w:tcW w:w="850" w:type="dxa"/>
            <w:vAlign w:val="center"/>
          </w:tcPr>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0" w:firstLineChars="0"/>
              <w:jc w:val="center"/>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4</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rPr>
              <w:t>实验台板</w:t>
            </w:r>
          </w:p>
        </w:tc>
        <w:tc>
          <w:tcPr>
            <w:tcW w:w="198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rPr>
              <w:t>按技术要求</w:t>
            </w:r>
          </w:p>
        </w:tc>
        <w:tc>
          <w:tcPr>
            <w:tcW w:w="356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 xml:space="preserve">Trespa </w:t>
            </w:r>
            <w:r>
              <w:rPr>
                <w:rFonts w:ascii="楷体" w:hAnsi="楷体" w:eastAsia="楷体"/>
                <w:sz w:val="28"/>
                <w:szCs w:val="28"/>
              </w:rPr>
              <w:t>TopLab</w:t>
            </w:r>
            <w:r>
              <w:rPr>
                <w:rFonts w:hint="default" w:ascii="楷体" w:hAnsi="楷体" w:eastAsia="楷体"/>
                <w:sz w:val="28"/>
                <w:szCs w:val="28"/>
              </w:rPr>
              <w:t>®PLUS</w:t>
            </w:r>
            <w:r>
              <w:rPr>
                <w:rFonts w:hint="eastAsia" w:ascii="楷体" w:hAnsi="楷体" w:eastAsia="楷体"/>
                <w:sz w:val="28"/>
                <w:szCs w:val="28"/>
                <w:lang w:eastAsia="zh-CN"/>
              </w:rPr>
              <w:t>（</w:t>
            </w:r>
            <w:r>
              <w:rPr>
                <w:rFonts w:hint="eastAsia" w:ascii="楷体" w:hAnsi="楷体" w:eastAsia="楷体"/>
                <w:sz w:val="28"/>
                <w:szCs w:val="28"/>
                <w:lang w:val="en-US" w:eastAsia="zh-CN"/>
              </w:rPr>
              <w:t>千思板</w:t>
            </w:r>
            <w:r>
              <w:rPr>
                <w:rFonts w:hint="eastAsia" w:ascii="楷体" w:hAnsi="楷体" w:eastAsia="楷体"/>
                <w:sz w:val="28"/>
                <w:szCs w:val="28"/>
                <w:lang w:eastAsia="zh-CN"/>
              </w:rPr>
              <w:t>）</w:t>
            </w:r>
          </w:p>
        </w:tc>
        <w:tc>
          <w:tcPr>
            <w:tcW w:w="850" w:type="dxa"/>
            <w:vAlign w:val="center"/>
          </w:tcPr>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p>
        </w:tc>
      </w:tr>
    </w:tbl>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备注：招标文件中规定品牌的材料，必须按招标文件要求采购使用，材料进场时必须报甲方现场负责人签字确认品牌及数量，没有签字确认的材料禁止使用、不支付相应材料的工程款。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4.本工程</w:t>
      </w:r>
      <w:r>
        <w:rPr>
          <w:rFonts w:hint="eastAsia" w:ascii="宋体" w:hAnsi="宋体" w:eastAsia="宋体" w:cs="Times New Roman"/>
          <w:sz w:val="28"/>
          <w:szCs w:val="28"/>
        </w:rPr>
        <w:t>质保期</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12</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个月，质保期自工程竣工验收合格之日起计算。</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六、安全管理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1.乙方必须严格按照《建设工程安全生产管理条例》等法律法规求，安全生产，文明施工。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乙方</w:t>
      </w:r>
      <w:r>
        <w:rPr>
          <w:rFonts w:ascii="宋体" w:hAnsi="宋体"/>
          <w:sz w:val="28"/>
          <w:szCs w:val="28"/>
        </w:rPr>
        <w:t>必须完善自身质量安全管理体系和文明施工措施，杜绝野蛮施工和安全事故发生。若发生质量或安全事故，由</w:t>
      </w:r>
      <w:r>
        <w:rPr>
          <w:rFonts w:hint="eastAsia" w:ascii="宋体" w:hAnsi="宋体"/>
          <w:sz w:val="28"/>
          <w:szCs w:val="28"/>
        </w:rPr>
        <w:t>乙方</w:t>
      </w:r>
      <w:r>
        <w:rPr>
          <w:rFonts w:ascii="宋体" w:hAnsi="宋体"/>
          <w:sz w:val="28"/>
          <w:szCs w:val="28"/>
        </w:rPr>
        <w:t>承担一切</w:t>
      </w:r>
      <w:r>
        <w:rPr>
          <w:rFonts w:hint="eastAsia" w:ascii="宋体" w:hAnsi="宋体"/>
          <w:sz w:val="28"/>
          <w:szCs w:val="28"/>
        </w:rPr>
        <w:t>责任</w:t>
      </w:r>
      <w:r>
        <w:rPr>
          <w:rFonts w:ascii="宋体" w:hAnsi="宋体"/>
          <w:sz w:val="28"/>
          <w:szCs w:val="28"/>
        </w:rPr>
        <w:t>，造成</w:t>
      </w:r>
      <w:r>
        <w:rPr>
          <w:rFonts w:hint="eastAsia" w:ascii="宋体" w:hAnsi="宋体"/>
          <w:sz w:val="28"/>
          <w:szCs w:val="28"/>
        </w:rPr>
        <w:t>甲方</w:t>
      </w:r>
      <w:r>
        <w:rPr>
          <w:rFonts w:ascii="宋体" w:hAnsi="宋体"/>
          <w:sz w:val="28"/>
          <w:szCs w:val="28"/>
        </w:rPr>
        <w:t>损失的按实赔偿，并承担相应法律责任。</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七、现场岗位管理与责任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1.甲方需指派专人和乙方联系，并告知联系人联系方式。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2.甲方有义务协调、配合乙方人员进行现场施工。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3.乙方项目经理或授权委托人</w:t>
      </w:r>
      <w:r>
        <w:rPr>
          <w:rFonts w:hint="eastAsia" w:ascii="宋体" w:hAnsi="宋体" w:eastAsia="宋体" w:cs="宋体"/>
          <w:sz w:val="28"/>
          <w:szCs w:val="28"/>
          <w:u w:val="single"/>
        </w:rPr>
        <w:t xml:space="preserve">    </w:t>
      </w:r>
      <w:r>
        <w:rPr>
          <w:rFonts w:hint="eastAsia" w:ascii="宋体" w:hAnsi="宋体" w:eastAsia="宋体" w:cs="宋体"/>
          <w:sz w:val="28"/>
          <w:szCs w:val="28"/>
        </w:rPr>
        <w:t>为现场负责人（联系方式：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），是甲方认可的现场负责人，该同志必须常驻现场，负责处理乙方施工过程中发生的一切事项；甲方指定后勤管理处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郑逸凡</w:t>
      </w:r>
      <w:r>
        <w:rPr>
          <w:rFonts w:hint="eastAsia" w:ascii="宋体" w:hAnsi="宋体" w:eastAsia="宋体" w:cs="宋体"/>
          <w:sz w:val="28"/>
          <w:szCs w:val="28"/>
          <w:u w:val="single"/>
        </w:rPr>
        <w:t xml:space="preserve">   </w:t>
      </w:r>
      <w:r>
        <w:rPr>
          <w:rFonts w:hint="eastAsia" w:ascii="宋体" w:hAnsi="宋体" w:eastAsia="宋体" w:cs="宋体"/>
          <w:sz w:val="28"/>
          <w:szCs w:val="28"/>
        </w:rPr>
        <w:t>（联系方式：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13965158012</w:t>
      </w:r>
      <w:r>
        <w:rPr>
          <w:rFonts w:hint="eastAsia" w:ascii="宋体" w:hAnsi="宋体" w:eastAsia="宋体" w:cs="宋体"/>
          <w:sz w:val="28"/>
          <w:szCs w:val="28"/>
        </w:rPr>
        <w:t>）为该项目的现场负责人，负责项目管理、结算办理及工程款支付等相关事宜。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5.在施工期间，乙方应每天清理施工现场，垃圾堆放有序并及时（每天）装袋运至校外。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6.施工用水用电装表计量，按照实际用量按实计费后缴纳至学校账户，无计量或没有缴纳水电费的按照工程结算终审价的千分之七在结算审计时予以扣除。</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八、工程验收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1.工程完工后及时报学校组织验收，验收合格后办理工程结算。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验收时乙方须提供详细的资料清单，验收合格后14日内提交两套工程竣工结算资料（结算书、招投标文件、中标通知书、施工合同、隐蔽工程验收记录单、变更签证单、材料品牌确认表、合格证、维修改造工程验收表、竣工图、水电费缴纳收据等），如延期提交，造成的一切后果（含经济损失）均由乙方自行承担，经甲方发函警告后7日内仍未提交的，将其录入学校黑名单库，3年内禁止参加学校任何招投标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5.对于重复出现三次及以上的问题，甲方将发函警告乙方，将其录入学校黑名单库，3年内禁止参加学校任何招投标活动。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九、其他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2.本合同未尽事宜，遵照合同、建筑等法律法规有关条文执行。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3.本协议壹式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捌</w:t>
      </w:r>
      <w:r>
        <w:rPr>
          <w:rFonts w:hint="eastAsia" w:ascii="宋体" w:hAnsi="宋体" w:eastAsia="宋体" w:cs="宋体"/>
          <w:sz w:val="28"/>
          <w:szCs w:val="28"/>
          <w:u w:val="single"/>
        </w:rPr>
        <w:t xml:space="preserve"> </w:t>
      </w:r>
      <w:r>
        <w:rPr>
          <w:rFonts w:hint="eastAsia" w:ascii="宋体" w:hAnsi="宋体" w:eastAsia="宋体" w:cs="宋体"/>
          <w:sz w:val="28"/>
          <w:szCs w:val="28"/>
        </w:rPr>
        <w:t>份，均具有同等法律效力，甲方执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陆</w:t>
      </w:r>
      <w:r>
        <w:rPr>
          <w:rFonts w:hint="eastAsia" w:ascii="宋体" w:hAnsi="宋体" w:eastAsia="宋体" w:cs="宋体"/>
          <w:sz w:val="28"/>
          <w:szCs w:val="28"/>
          <w:u w:val="single"/>
        </w:rPr>
        <w:t xml:space="preserve"> </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贰</w:t>
      </w:r>
      <w:r>
        <w:rPr>
          <w:rFonts w:hint="eastAsia" w:ascii="宋体" w:hAnsi="宋体" w:eastAsia="宋体" w:cs="宋体"/>
          <w:sz w:val="28"/>
          <w:szCs w:val="28"/>
          <w:u w:val="single"/>
        </w:rPr>
        <w:t xml:space="preserve"> </w:t>
      </w:r>
      <w:r>
        <w:rPr>
          <w:rFonts w:hint="eastAsia" w:ascii="宋体" w:hAnsi="宋体" w:eastAsia="宋体" w:cs="宋体"/>
          <w:sz w:val="28"/>
          <w:szCs w:val="28"/>
        </w:rPr>
        <w:t>份，甲、乙双方法定代表人或其委托代理人签字盖章后生效。</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十、合同订立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1.合同订立时间：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2.合同订立地点：皖南医学院滨江校区</w:t>
      </w:r>
    </w:p>
    <w:p>
      <w:pPr>
        <w:spacing w:line="360" w:lineRule="auto"/>
        <w:ind w:firstLine="560" w:firstLineChars="200"/>
        <w:rPr>
          <w:rFonts w:ascii="宋体" w:hAnsi="宋体" w:eastAsia="宋体" w:cs="宋体"/>
          <w:sz w:val="28"/>
          <w:szCs w:val="28"/>
        </w:rPr>
      </w:pPr>
    </w:p>
    <w:tbl>
      <w:tblPr>
        <w:tblStyle w:val="2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ascii="宋体" w:hAnsi="宋体" w:eastAsia="宋体" w:cs="宋体"/>
                <w:spacing w:val="-6"/>
                <w:sz w:val="28"/>
                <w:szCs w:val="28"/>
              </w:rPr>
            </w:pPr>
            <w:r>
              <w:rPr>
                <w:rFonts w:ascii="宋体" w:hAnsi="宋体" w:eastAsia="宋体" w:cs="宋体"/>
                <w:sz w:val="28"/>
                <w:szCs w:val="28"/>
              </w:rPr>
              <w:br w:type="page"/>
            </w:r>
            <w:r>
              <w:rPr>
                <w:rFonts w:hint="eastAsia" w:ascii="宋体" w:hAnsi="宋体" w:eastAsia="宋体" w:cs="宋体"/>
                <w:spacing w:val="-6"/>
                <w:sz w:val="28"/>
                <w:szCs w:val="28"/>
              </w:rPr>
              <w:t>甲方：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乙方：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地址：芜湖市弋江区文昌西路22号</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邮编：241002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电话：0553-3932598</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w:t>
            </w:r>
            <w:r>
              <w:rPr>
                <w:rFonts w:hint="eastAsia" w:ascii="宋体" w:hAnsi="宋体" w:eastAsia="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开户银行：中国建设银行芜湖市分行中山路支行</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帐号：34001672208050139762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w:t>
            </w:r>
          </w:p>
        </w:tc>
      </w:tr>
    </w:tbl>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pStyle w:val="20"/>
        <w:rPr>
          <w:rFonts w:hint="eastAsia"/>
        </w:rPr>
      </w:pPr>
    </w:p>
    <w:p>
      <w:pPr>
        <w:pStyle w:val="3"/>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keepNext w:val="0"/>
        <w:keepLines w:val="0"/>
        <w:pageBreakBefore w:val="0"/>
        <w:kinsoku/>
        <w:wordWrap/>
        <w:overflowPunct/>
        <w:topLinePunct w:val="0"/>
        <w:autoSpaceDE/>
        <w:autoSpaceDN/>
        <w:bidi w:val="0"/>
        <w:spacing w:line="400" w:lineRule="exact"/>
        <w:ind w:firstLine="560"/>
        <w:textAlignment w:val="auto"/>
        <w:rPr>
          <w:rFonts w:hint="eastAsia" w:ascii="楷体" w:hAnsi="楷体" w:eastAsia="楷体"/>
          <w:sz w:val="28"/>
          <w:szCs w:val="28"/>
          <w:lang w:eastAsia="zh-CN"/>
        </w:rPr>
      </w:pPr>
      <w:r>
        <w:rPr>
          <w:rFonts w:hint="eastAsia" w:ascii="楷体" w:hAnsi="楷体" w:eastAsia="楷体"/>
          <w:sz w:val="28"/>
          <w:szCs w:val="28"/>
        </w:rPr>
        <w:t>我校</w:t>
      </w:r>
      <w:r>
        <w:rPr>
          <w:rFonts w:hint="eastAsia" w:ascii="楷体" w:hAnsi="楷体" w:eastAsia="楷体"/>
          <w:sz w:val="28"/>
          <w:szCs w:val="28"/>
          <w:lang w:val="en-US" w:eastAsia="zh-CN"/>
        </w:rPr>
        <w:t>1号实验楼实验室实验台工程</w:t>
      </w:r>
      <w:r>
        <w:rPr>
          <w:rFonts w:hint="eastAsia" w:ascii="楷体" w:hAnsi="楷体" w:eastAsia="楷体"/>
          <w:color w:val="auto"/>
          <w:sz w:val="28"/>
          <w:szCs w:val="28"/>
        </w:rPr>
        <w:t>，</w:t>
      </w:r>
      <w:r>
        <w:rPr>
          <w:rFonts w:hint="eastAsia" w:ascii="楷体" w:hAnsi="楷体" w:eastAsia="楷体"/>
          <w:color w:val="auto"/>
          <w:sz w:val="28"/>
          <w:szCs w:val="28"/>
          <w:lang w:val="en-US" w:eastAsia="zh-CN"/>
        </w:rPr>
        <w:t>主要位于1号实验楼3楼及6楼，</w:t>
      </w:r>
      <w:r>
        <w:rPr>
          <w:rFonts w:hint="eastAsia" w:ascii="楷体" w:hAnsi="楷体" w:eastAsia="楷体"/>
          <w:color w:val="auto"/>
          <w:sz w:val="28"/>
          <w:szCs w:val="28"/>
        </w:rPr>
        <w:t>改造主</w:t>
      </w:r>
      <w:r>
        <w:rPr>
          <w:rFonts w:hint="eastAsia" w:ascii="楷体" w:hAnsi="楷体" w:eastAsia="楷体"/>
          <w:sz w:val="28"/>
          <w:szCs w:val="28"/>
        </w:rPr>
        <w:t>要内容是</w:t>
      </w:r>
      <w:r>
        <w:rPr>
          <w:rFonts w:hint="eastAsia" w:ascii="楷体" w:hAnsi="楷体" w:eastAsia="楷体"/>
          <w:sz w:val="28"/>
          <w:szCs w:val="28"/>
          <w:lang w:val="en-US" w:eastAsia="zh-CN"/>
        </w:rPr>
        <w:t>实验台、电路改造、水路改造</w:t>
      </w:r>
      <w:r>
        <w:rPr>
          <w:rFonts w:hint="eastAsia" w:ascii="楷体" w:hAnsi="楷体" w:eastAsia="楷体" w:cs="Arial Unicode MS"/>
          <w:sz w:val="28"/>
          <w:szCs w:val="28"/>
        </w:rPr>
        <w:t>等</w:t>
      </w:r>
      <w:r>
        <w:rPr>
          <w:rFonts w:ascii="楷体" w:hAnsi="楷体" w:eastAsia="楷体" w:cs="Arial Unicode MS"/>
          <w:bCs/>
          <w:sz w:val="28"/>
          <w:szCs w:val="28"/>
        </w:rPr>
        <w:t>。</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一、项目名称：</w:t>
      </w:r>
      <w:r>
        <w:rPr>
          <w:rFonts w:hint="eastAsia" w:ascii="楷体" w:hAnsi="楷体" w:eastAsia="楷体"/>
          <w:sz w:val="28"/>
          <w:szCs w:val="28"/>
          <w:lang w:val="en-US" w:eastAsia="zh-CN"/>
        </w:rPr>
        <w:t>皖南医学院1号实验楼实验室实验台工程</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二、改造主要工作内容及要求</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lang w:val="en-US" w:eastAsia="zh-CN"/>
        </w:rPr>
        <w:t>一</w:t>
      </w:r>
      <w:r>
        <w:rPr>
          <w:rFonts w:hint="eastAsia" w:ascii="楷体" w:hAnsi="楷体" w:eastAsia="楷体"/>
          <w:sz w:val="28"/>
          <w:szCs w:val="28"/>
        </w:rPr>
        <w:t>）</w:t>
      </w:r>
      <w:r>
        <w:rPr>
          <w:rFonts w:hint="eastAsia" w:ascii="楷体" w:hAnsi="楷体" w:eastAsia="楷体"/>
          <w:sz w:val="28"/>
          <w:szCs w:val="28"/>
          <w:lang w:eastAsia="zh-CN"/>
        </w:rPr>
        <w:t>中央台含试剂架及吊柜、边台及水槽</w:t>
      </w:r>
      <w:r>
        <w:rPr>
          <w:rFonts w:hint="eastAsia" w:ascii="楷体" w:hAnsi="楷体" w:eastAsia="楷体"/>
          <w:sz w:val="28"/>
          <w:szCs w:val="28"/>
        </w:rPr>
        <w:t>：</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lang w:val="en-US" w:eastAsia="zh-CN"/>
        </w:rPr>
        <w:t>1.</w:t>
      </w:r>
      <w:r>
        <w:rPr>
          <w:rFonts w:hint="eastAsia" w:ascii="楷体" w:hAnsi="楷体" w:eastAsia="楷体"/>
          <w:sz w:val="28"/>
          <w:szCs w:val="28"/>
        </w:rPr>
        <w:t>台面：千思板。厚度13mm，边缘双层加厚至26mm，圆角修边处理。要求耐强酸强碱、防火、防水、防腐蚀、耐刮、耐高温、耐磨、耐抗击、不变形、无毒、易清洁</w:t>
      </w:r>
      <w:r>
        <w:rPr>
          <w:rFonts w:hint="eastAsia" w:ascii="楷体" w:hAnsi="楷体" w:eastAsia="楷体"/>
          <w:sz w:val="28"/>
          <w:szCs w:val="28"/>
          <w:lang w:eastAsia="zh-CN"/>
        </w:rPr>
        <w:t>。要求</w:t>
      </w:r>
      <w:r>
        <w:rPr>
          <w:rFonts w:hint="eastAsia" w:ascii="楷体" w:hAnsi="楷体" w:eastAsia="楷体"/>
          <w:sz w:val="28"/>
          <w:szCs w:val="28"/>
        </w:rPr>
        <w:t>该板材是用木质纤维与酚醛树脂高温高压而成的；同时要求台面材质表面经过电子束固化 (EBC) 技术处理（丙烯酸甲酯）。</w:t>
      </w:r>
    </w:p>
    <w:p>
      <w:pPr>
        <w:keepNext w:val="0"/>
        <w:keepLines w:val="0"/>
        <w:pageBreakBefore w:val="0"/>
        <w:tabs>
          <w:tab w:val="left" w:pos="567"/>
        </w:tabs>
        <w:kinsoku/>
        <w:wordWrap/>
        <w:overflowPunct/>
        <w:topLinePunct w:val="0"/>
        <w:autoSpaceDE/>
        <w:autoSpaceDN/>
        <w:bidi w:val="0"/>
        <w:spacing w:line="400" w:lineRule="exact"/>
        <w:ind w:right="-1" w:firstLine="644" w:firstLineChars="230"/>
        <w:jc w:val="left"/>
        <w:textAlignment w:val="auto"/>
        <w:rPr>
          <w:rFonts w:ascii="楷体" w:hAnsi="楷体" w:eastAsia="楷体"/>
          <w:sz w:val="28"/>
          <w:szCs w:val="28"/>
        </w:rPr>
      </w:pPr>
      <w:r>
        <w:rPr>
          <w:rFonts w:hint="eastAsia" w:ascii="楷体" w:hAnsi="楷体" w:eastAsia="楷体"/>
          <w:sz w:val="28"/>
          <w:szCs w:val="28"/>
          <w:lang w:val="en-US" w:eastAsia="zh-CN"/>
        </w:rPr>
        <w:t>2.</w:t>
      </w:r>
      <w:r>
        <w:rPr>
          <w:rFonts w:ascii="楷体" w:hAnsi="楷体" w:eastAsia="楷体"/>
          <w:sz w:val="28"/>
          <w:szCs w:val="28"/>
        </w:rPr>
        <w:t>主框架:采用优质冷轧钢板60*40*</w:t>
      </w:r>
      <w:r>
        <w:rPr>
          <w:rFonts w:hint="eastAsia" w:ascii="楷体" w:hAnsi="楷体" w:eastAsia="楷体"/>
          <w:sz w:val="28"/>
          <w:szCs w:val="28"/>
        </w:rPr>
        <w:t>2.0</w:t>
      </w:r>
      <w:r>
        <w:rPr>
          <w:rFonts w:ascii="楷体" w:hAnsi="楷体" w:eastAsia="楷体"/>
          <w:sz w:val="28"/>
          <w:szCs w:val="28"/>
        </w:rPr>
        <w:t>mm方钢组成的C型骨架/O型骨架,模具冲压标准化连接件, 所有正面方钢管口必须用钢板满焊。钢材表面经酸洗、磷化、纯环氧树脂塑粉高温固化处理,具有耐腐蚀、防火、防潮等功能,要求台体稳定性强, 承重250kg/㎡以上之荷重功能</w:t>
      </w:r>
      <w:r>
        <w:rPr>
          <w:rFonts w:hint="eastAsia" w:ascii="楷体" w:hAnsi="楷体" w:eastAsia="楷体"/>
          <w:sz w:val="28"/>
          <w:szCs w:val="28"/>
        </w:rPr>
        <w:t>，附检测报告</w:t>
      </w:r>
      <w:r>
        <w:rPr>
          <w:rFonts w:ascii="楷体" w:hAnsi="楷体" w:eastAsia="楷体"/>
          <w:sz w:val="28"/>
          <w:szCs w:val="28"/>
        </w:rPr>
        <w:t>。</w:t>
      </w:r>
    </w:p>
    <w:p>
      <w:pPr>
        <w:keepNext w:val="0"/>
        <w:keepLines w:val="0"/>
        <w:pageBreakBefore w:val="0"/>
        <w:tabs>
          <w:tab w:val="left" w:pos="567"/>
        </w:tabs>
        <w:kinsoku/>
        <w:wordWrap/>
        <w:overflowPunct/>
        <w:topLinePunct w:val="0"/>
        <w:autoSpaceDE/>
        <w:autoSpaceDN/>
        <w:bidi w:val="0"/>
        <w:spacing w:line="400" w:lineRule="exact"/>
        <w:ind w:right="-1" w:firstLine="644" w:firstLineChars="230"/>
        <w:jc w:val="left"/>
        <w:textAlignment w:val="auto"/>
        <w:rPr>
          <w:rFonts w:ascii="楷体" w:hAnsi="楷体" w:eastAsia="楷体"/>
          <w:sz w:val="28"/>
          <w:szCs w:val="28"/>
        </w:rPr>
      </w:pPr>
      <w:r>
        <w:rPr>
          <w:rFonts w:ascii="楷体" w:hAnsi="楷体" w:eastAsia="楷体"/>
          <w:sz w:val="28"/>
          <w:szCs w:val="28"/>
        </w:rPr>
        <w:t>前后梁:采用优质冷轧钢板60*40*</w:t>
      </w:r>
      <w:r>
        <w:rPr>
          <w:rFonts w:hint="eastAsia" w:ascii="楷体" w:hAnsi="楷体" w:eastAsia="楷体"/>
          <w:sz w:val="28"/>
          <w:szCs w:val="28"/>
        </w:rPr>
        <w:t>2.0</w:t>
      </w:r>
      <w:r>
        <w:rPr>
          <w:rFonts w:ascii="楷体" w:hAnsi="楷体" w:eastAsia="楷体"/>
          <w:sz w:val="28"/>
          <w:szCs w:val="28"/>
        </w:rPr>
        <w:t>mm,表面喷涂纯环氧树脂塑粉高温固化处理,耐酸耐腐蚀.</w:t>
      </w:r>
    </w:p>
    <w:p>
      <w:pPr>
        <w:keepNext w:val="0"/>
        <w:keepLines w:val="0"/>
        <w:pageBreakBefore w:val="0"/>
        <w:tabs>
          <w:tab w:val="left" w:pos="567"/>
        </w:tabs>
        <w:kinsoku/>
        <w:wordWrap/>
        <w:overflowPunct/>
        <w:topLinePunct w:val="0"/>
        <w:autoSpaceDE/>
        <w:autoSpaceDN/>
        <w:bidi w:val="0"/>
        <w:spacing w:line="400" w:lineRule="exact"/>
        <w:ind w:right="-1" w:firstLine="644" w:firstLineChars="230"/>
        <w:jc w:val="left"/>
        <w:textAlignment w:val="auto"/>
        <w:rPr>
          <w:rFonts w:ascii="楷体" w:hAnsi="楷体" w:eastAsia="楷体"/>
          <w:sz w:val="28"/>
          <w:szCs w:val="28"/>
        </w:rPr>
      </w:pPr>
      <w:r>
        <w:rPr>
          <w:rFonts w:ascii="楷体" w:hAnsi="楷体" w:eastAsia="楷体"/>
          <w:sz w:val="28"/>
          <w:szCs w:val="28"/>
        </w:rPr>
        <w:t>底柜前托梁:采用优质冷轧钢板25*25*</w:t>
      </w:r>
      <w:r>
        <w:rPr>
          <w:rFonts w:hint="eastAsia" w:ascii="楷体" w:hAnsi="楷体" w:eastAsia="楷体"/>
          <w:sz w:val="28"/>
          <w:szCs w:val="28"/>
        </w:rPr>
        <w:t>2.0</w:t>
      </w:r>
      <w:r>
        <w:rPr>
          <w:rFonts w:ascii="楷体" w:hAnsi="楷体" w:eastAsia="楷体"/>
          <w:sz w:val="28"/>
          <w:szCs w:val="28"/>
        </w:rPr>
        <w:t>mm,表面喷涂纯环氧树脂塑粉高温固化处理,耐酸耐腐蚀.</w:t>
      </w:r>
    </w:p>
    <w:p>
      <w:pPr>
        <w:keepNext w:val="0"/>
        <w:keepLines w:val="0"/>
        <w:pageBreakBefore w:val="0"/>
        <w:tabs>
          <w:tab w:val="left" w:pos="567"/>
        </w:tabs>
        <w:kinsoku/>
        <w:wordWrap/>
        <w:overflowPunct/>
        <w:topLinePunct w:val="0"/>
        <w:autoSpaceDE/>
        <w:autoSpaceDN/>
        <w:bidi w:val="0"/>
        <w:spacing w:line="400" w:lineRule="exact"/>
        <w:ind w:right="-1" w:firstLine="644" w:firstLineChars="230"/>
        <w:jc w:val="left"/>
        <w:textAlignment w:val="auto"/>
        <w:rPr>
          <w:rFonts w:ascii="楷体" w:hAnsi="楷体" w:eastAsia="楷体"/>
          <w:sz w:val="28"/>
          <w:szCs w:val="28"/>
        </w:rPr>
      </w:pPr>
      <w:r>
        <w:rPr>
          <w:rFonts w:ascii="楷体" w:hAnsi="楷体" w:eastAsia="楷体"/>
          <w:sz w:val="28"/>
          <w:szCs w:val="28"/>
        </w:rPr>
        <w:t>钢材表面处理:冷轧钢板在制作完成后,在预处理中包括步骤:清洁剂、雾化剂喷涂;水冲洗;</w:t>
      </w:r>
    </w:p>
    <w:p>
      <w:pPr>
        <w:keepNext w:val="0"/>
        <w:keepLines w:val="0"/>
        <w:pageBreakBefore w:val="0"/>
        <w:tabs>
          <w:tab w:val="left" w:pos="567"/>
        </w:tabs>
        <w:kinsoku/>
        <w:wordWrap/>
        <w:overflowPunct/>
        <w:topLinePunct w:val="0"/>
        <w:autoSpaceDE/>
        <w:autoSpaceDN/>
        <w:bidi w:val="0"/>
        <w:spacing w:line="400" w:lineRule="exact"/>
        <w:ind w:right="-1" w:firstLine="644" w:firstLineChars="230"/>
        <w:jc w:val="left"/>
        <w:textAlignment w:val="auto"/>
        <w:rPr>
          <w:rFonts w:ascii="楷体" w:hAnsi="楷体" w:eastAsia="楷体"/>
          <w:sz w:val="28"/>
          <w:szCs w:val="28"/>
        </w:rPr>
      </w:pPr>
      <w:r>
        <w:rPr>
          <w:rFonts w:ascii="楷体" w:hAnsi="楷体" w:eastAsia="楷体"/>
          <w:sz w:val="28"/>
          <w:szCs w:val="28"/>
        </w:rPr>
        <w:t>钝化密封材料喷涂;预处理后的钢制品在干燥炉中干燥并冷却;冷却后的钢制品送到喷粉室中进行内外喷粉,其厚度最少为1.5mils;完成底层喷粉的钢制品马上送入高温恒温箱中进行研磨和化学处理,以适用于实验室环境使用</w:t>
      </w:r>
      <w:r>
        <w:rPr>
          <w:rFonts w:hint="eastAsia" w:ascii="楷体" w:hAnsi="楷体" w:eastAsia="楷体"/>
          <w:sz w:val="28"/>
          <w:szCs w:val="28"/>
        </w:rPr>
        <w:t>。</w:t>
      </w:r>
    </w:p>
    <w:p>
      <w:pPr>
        <w:keepNext w:val="0"/>
        <w:keepLines w:val="0"/>
        <w:pageBreakBefore w:val="0"/>
        <w:tabs>
          <w:tab w:val="left" w:pos="567"/>
        </w:tabs>
        <w:kinsoku/>
        <w:wordWrap/>
        <w:overflowPunct/>
        <w:topLinePunct w:val="0"/>
        <w:autoSpaceDE/>
        <w:autoSpaceDN/>
        <w:bidi w:val="0"/>
        <w:spacing w:line="400" w:lineRule="exact"/>
        <w:ind w:right="-1" w:firstLine="644" w:firstLineChars="230"/>
        <w:jc w:val="left"/>
        <w:textAlignment w:val="auto"/>
        <w:rPr>
          <w:rFonts w:ascii="楷体" w:hAnsi="楷体" w:eastAsia="楷体"/>
          <w:sz w:val="28"/>
          <w:szCs w:val="28"/>
        </w:rPr>
      </w:pPr>
      <w:r>
        <w:rPr>
          <w:rFonts w:hint="eastAsia" w:ascii="楷体" w:hAnsi="楷体" w:eastAsia="楷体"/>
          <w:sz w:val="28"/>
          <w:szCs w:val="28"/>
          <w:lang w:val="en-US" w:eastAsia="zh-CN"/>
        </w:rPr>
        <w:t>3.</w:t>
      </w:r>
      <w:r>
        <w:rPr>
          <w:rFonts w:ascii="楷体" w:hAnsi="楷体" w:eastAsia="楷体"/>
          <w:sz w:val="28"/>
          <w:szCs w:val="28"/>
        </w:rPr>
        <w:t>箱体：所有箱体板采用优质防潮E1级18mm厚的三聚氰胺板；门板采用优质防潮E1级18mm厚的三聚氰胺板；</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抽屉周边围板、底板采用优质防潮E1级18mm厚的三聚氰胺板；</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箱体后背板为优质防潮E1级12mm双面三聚氰胺板可拆卸便于维修的活动背板，便于使用过程中检修水、电、气等管道；</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层板采用优质防潮E1级18mm厚的三聚氰胺板;层板为活动的,可调节相对高度</w:t>
      </w:r>
      <w:r>
        <w:rPr>
          <w:rFonts w:hint="eastAsia" w:ascii="楷体" w:hAnsi="楷体" w:eastAsia="楷体"/>
          <w:sz w:val="28"/>
          <w:szCs w:val="28"/>
        </w:rPr>
        <w:t>；</w:t>
      </w:r>
      <w:r>
        <w:rPr>
          <w:rFonts w:ascii="楷体" w:hAnsi="楷体" w:eastAsia="楷体"/>
          <w:sz w:val="28"/>
          <w:szCs w:val="28"/>
        </w:rPr>
        <w:t>箱体主体结构稳固，承重性能好。</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hint="eastAsia" w:ascii="楷体" w:hAnsi="楷体" w:eastAsia="楷体"/>
          <w:sz w:val="28"/>
          <w:szCs w:val="28"/>
          <w:lang w:val="en-US" w:eastAsia="zh-CN"/>
        </w:rPr>
        <w:t>4.</w:t>
      </w:r>
      <w:r>
        <w:rPr>
          <w:rFonts w:hint="eastAsia" w:ascii="楷体" w:hAnsi="楷体" w:eastAsia="楷体"/>
          <w:sz w:val="28"/>
          <w:szCs w:val="28"/>
        </w:rPr>
        <w:t>其他配件</w:t>
      </w:r>
    </w:p>
    <w:p>
      <w:pPr>
        <w:keepNext w:val="0"/>
        <w:keepLines w:val="0"/>
        <w:pageBreakBefore w:val="0"/>
        <w:tabs>
          <w:tab w:val="left" w:pos="567"/>
        </w:tabs>
        <w:kinsoku/>
        <w:wordWrap/>
        <w:overflowPunct/>
        <w:topLinePunct w:val="0"/>
        <w:autoSpaceDE/>
        <w:autoSpaceDN/>
        <w:bidi w:val="0"/>
        <w:spacing w:line="400" w:lineRule="exact"/>
        <w:ind w:left="-70" w:leftChars="-25" w:right="-1" w:firstLine="700" w:firstLineChars="250"/>
        <w:jc w:val="left"/>
        <w:textAlignment w:val="auto"/>
        <w:rPr>
          <w:rFonts w:ascii="楷体" w:hAnsi="楷体" w:eastAsia="楷体"/>
          <w:sz w:val="28"/>
          <w:szCs w:val="28"/>
        </w:rPr>
      </w:pPr>
      <w:r>
        <w:rPr>
          <w:rFonts w:ascii="楷体" w:hAnsi="楷体" w:eastAsia="楷体"/>
          <w:sz w:val="28"/>
          <w:szCs w:val="28"/>
        </w:rPr>
        <w:t>封边条：台面板、门板、抽面板封边条厚度均为2mm。柜体及其它封边条厚度为1mm，所有板件均为光滑无毛刺全封边处理。热熔胶：应达到国家环保E1标准，封边胶封边后既防水又不易脱落，经久耐用，无有害气味。</w:t>
      </w:r>
    </w:p>
    <w:p>
      <w:pPr>
        <w:keepNext w:val="0"/>
        <w:keepLines w:val="0"/>
        <w:pageBreakBefore w:val="0"/>
        <w:widowControl/>
        <w:kinsoku/>
        <w:wordWrap/>
        <w:overflowPunct/>
        <w:topLinePunct w:val="0"/>
        <w:autoSpaceDE/>
        <w:autoSpaceDN/>
        <w:bidi w:val="0"/>
        <w:spacing w:line="400" w:lineRule="exact"/>
        <w:ind w:firstLine="548" w:firstLineChars="196"/>
        <w:jc w:val="left"/>
        <w:textAlignment w:val="auto"/>
        <w:rPr>
          <w:rFonts w:ascii="楷体" w:hAnsi="楷体" w:eastAsia="楷体"/>
          <w:sz w:val="28"/>
          <w:szCs w:val="28"/>
        </w:rPr>
      </w:pPr>
      <w:r>
        <w:rPr>
          <w:rFonts w:ascii="楷体" w:hAnsi="楷体" w:eastAsia="楷体"/>
          <w:sz w:val="28"/>
          <w:szCs w:val="28"/>
        </w:rPr>
        <w:t>铰链：采用合金铰链，开启110度。自闭式，与柜体面水平角度&lt;15度时，柜门即可自行关闭，弹性好，外形美观，使用过程中无噪音，可开关十万次，达到国际五金行业标准，使用寿命长。</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滑轨：采用双节自关轨，方便实验人员双手持物关闭抽屉，静音效果好，大抽屉采用优质三节承重轨道，开合平稳，承重力强；选用进口产品，达到国际五金行业标准。三节静音重型轨(宽度为45.7mm,厚度为12.7mm,壁厚1.2mm)，可承受45公斤的压力，模具成型，伸缩自如。</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拉手：</w:t>
      </w:r>
      <w:r>
        <w:rPr>
          <w:rFonts w:hint="eastAsia" w:ascii="楷体" w:hAnsi="楷体" w:eastAsia="楷体"/>
          <w:sz w:val="28"/>
          <w:szCs w:val="28"/>
          <w:lang w:val="en-US" w:eastAsia="zh-CN"/>
        </w:rPr>
        <w:t>采用</w:t>
      </w:r>
      <w:r>
        <w:rPr>
          <w:rFonts w:ascii="楷体" w:hAnsi="楷体" w:eastAsia="楷体"/>
          <w:sz w:val="28"/>
          <w:szCs w:val="28"/>
        </w:rPr>
        <w:t>铝合金扣手或不锈钢拉手,ABS封口，美观,可在多方位开启门及抽屉。</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锁：</w:t>
      </w:r>
      <w:r>
        <w:rPr>
          <w:rFonts w:hint="eastAsia" w:ascii="楷体" w:hAnsi="楷体" w:eastAsia="楷体"/>
          <w:sz w:val="28"/>
          <w:szCs w:val="28"/>
          <w:lang w:val="en-US" w:eastAsia="zh-CN"/>
        </w:rPr>
        <w:t>采用</w:t>
      </w:r>
      <w:r>
        <w:rPr>
          <w:rFonts w:ascii="楷体" w:hAnsi="楷体" w:eastAsia="楷体"/>
          <w:sz w:val="28"/>
          <w:szCs w:val="28"/>
        </w:rPr>
        <w:t>优质防撞断锁。</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金属连接件：金属膨胀预埋连接件。</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调节脚：专用ABS注塑，不锈钢螺杆，高度可调节，调节范围为30-50mm，防滑减震，承重、防潮、抑菌、耐腐蚀，可根据室内地坪适当调整柜体高度；外形美观，设计人性化。</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hint="eastAsia" w:ascii="楷体" w:hAnsi="楷体" w:eastAsia="楷体"/>
          <w:sz w:val="28"/>
          <w:szCs w:val="28"/>
          <w:lang w:val="en-US" w:eastAsia="zh-CN"/>
        </w:rPr>
        <w:t>5.</w:t>
      </w:r>
      <w:r>
        <w:rPr>
          <w:rFonts w:hint="eastAsia" w:ascii="楷体" w:hAnsi="楷体" w:eastAsia="楷体"/>
          <w:sz w:val="28"/>
          <w:szCs w:val="28"/>
        </w:rPr>
        <w:t>水槽台面、主框、箱体等全部同实验边台，</w:t>
      </w:r>
    </w:p>
    <w:p>
      <w:pPr>
        <w:keepNext w:val="0"/>
        <w:keepLines w:val="0"/>
        <w:pageBreakBefore w:val="0"/>
        <w:tabs>
          <w:tab w:val="left" w:pos="567"/>
        </w:tabs>
        <w:kinsoku/>
        <w:wordWrap/>
        <w:overflowPunct/>
        <w:topLinePunct w:val="0"/>
        <w:autoSpaceDE/>
        <w:autoSpaceDN/>
        <w:bidi w:val="0"/>
        <w:spacing w:line="400" w:lineRule="exact"/>
        <w:ind w:right="-1" w:firstLine="560"/>
        <w:textAlignment w:val="auto"/>
        <w:rPr>
          <w:rFonts w:ascii="楷体" w:hAnsi="楷体" w:eastAsia="楷体"/>
          <w:sz w:val="28"/>
          <w:szCs w:val="28"/>
        </w:rPr>
      </w:pPr>
      <w:r>
        <w:rPr>
          <w:rFonts w:ascii="楷体" w:hAnsi="楷体" w:eastAsia="楷体"/>
          <w:sz w:val="28"/>
          <w:szCs w:val="28"/>
        </w:rPr>
        <w:t>PP水槽（SAN-5101）：中央台水槽、边台水槽尺寸为（550×450×310）与实芯理化板台面一体化，台下托底式。pp水槽内壁光洁、耐酸碱、耐蚀、易清洁。下装PP材质防臭存水弯，具耐腐蚀、防堵塞功能沉淀式泻水弯头。下水过滤网为固定片式过滤网，不使用篮式可移动过滤网。</w:t>
      </w:r>
    </w:p>
    <w:p>
      <w:pPr>
        <w:keepNext w:val="0"/>
        <w:keepLines w:val="0"/>
        <w:pageBreakBefore w:val="0"/>
        <w:numPr>
          <w:ilvl w:val="0"/>
          <w:numId w:val="0"/>
        </w:numPr>
        <w:tabs>
          <w:tab w:val="left" w:pos="567"/>
        </w:tabs>
        <w:kinsoku/>
        <w:wordWrap/>
        <w:overflowPunct/>
        <w:topLinePunct w:val="0"/>
        <w:autoSpaceDE/>
        <w:autoSpaceDN/>
        <w:bidi w:val="0"/>
        <w:spacing w:line="400" w:lineRule="exact"/>
        <w:ind w:right="-1" w:rightChars="0" w:firstLine="560" w:firstLineChars="200"/>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6.</w:t>
      </w:r>
      <w:r>
        <w:rPr>
          <w:rFonts w:hint="eastAsia" w:ascii="楷体" w:hAnsi="楷体" w:eastAsia="楷体"/>
          <w:sz w:val="28"/>
          <w:szCs w:val="28"/>
        </w:rPr>
        <w:t xml:space="preserve">三口化验龙头选用实验室专用化验龙头，加厚铜质表面层经防腐烤漆处理，以防酸碱及防锈，其中上方一口可360度旋转，其开关阀门为精密陶瓷阀芯，出水口可拆卸清洗阻塞，具有缓压作用。  </w:t>
      </w:r>
      <w:r>
        <w:rPr>
          <w:rFonts w:hint="eastAsia" w:ascii="楷体" w:hAnsi="楷体" w:eastAsia="楷体"/>
          <w:sz w:val="28"/>
          <w:szCs w:val="28"/>
          <w:lang w:val="en-US" w:eastAsia="zh-CN"/>
        </w:rPr>
        <w:t xml:space="preserve">    </w:t>
      </w:r>
    </w:p>
    <w:p>
      <w:pPr>
        <w:keepNext w:val="0"/>
        <w:keepLines w:val="0"/>
        <w:pageBreakBefore w:val="0"/>
        <w:numPr>
          <w:ilvl w:val="0"/>
          <w:numId w:val="0"/>
        </w:numPr>
        <w:tabs>
          <w:tab w:val="left" w:pos="567"/>
        </w:tabs>
        <w:kinsoku/>
        <w:wordWrap/>
        <w:overflowPunct/>
        <w:topLinePunct w:val="0"/>
        <w:autoSpaceDE/>
        <w:autoSpaceDN/>
        <w:bidi w:val="0"/>
        <w:spacing w:line="400" w:lineRule="exact"/>
        <w:ind w:right="-1" w:rightChars="0" w:firstLine="560" w:firstLineChars="200"/>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7.洗眼器例图。</w:t>
      </w:r>
    </w:p>
    <w:p>
      <w:pPr>
        <w:keepNext w:val="0"/>
        <w:keepLines w:val="0"/>
        <w:pageBreakBefore w:val="0"/>
        <w:numPr>
          <w:ilvl w:val="0"/>
          <w:numId w:val="0"/>
        </w:numPr>
        <w:tabs>
          <w:tab w:val="left" w:pos="567"/>
        </w:tabs>
        <w:kinsoku/>
        <w:wordWrap/>
        <w:overflowPunct/>
        <w:topLinePunct w:val="0"/>
        <w:autoSpaceDE/>
        <w:autoSpaceDN/>
        <w:bidi w:val="0"/>
        <w:spacing w:line="400" w:lineRule="exact"/>
        <w:ind w:right="-1" w:rightChars="0" w:firstLine="480" w:firstLineChars="200"/>
        <w:textAlignment w:val="auto"/>
        <w:rPr>
          <w:rFonts w:hint="eastAsia" w:ascii="楷体" w:hAnsi="楷体" w:eastAsia="楷体"/>
          <w:b w:val="0"/>
          <w:bCs w:val="0"/>
          <w:sz w:val="28"/>
          <w:szCs w:val="28"/>
          <w:lang w:val="en-US" w:eastAsia="zh-CN"/>
        </w:rPr>
      </w:pPr>
      <w:r>
        <w:rPr>
          <w:rFonts w:ascii="宋体" w:hAnsi="宋体" w:eastAsia="宋体" w:cs="宋体"/>
          <w:sz w:val="24"/>
          <w:szCs w:val="24"/>
        </w:rPr>
        <w:drawing>
          <wp:anchor distT="0" distB="0" distL="114935" distR="114935" simplePos="0" relativeHeight="251661312" behindDoc="0" locked="0" layoutInCell="1" allowOverlap="1">
            <wp:simplePos x="0" y="0"/>
            <wp:positionH relativeFrom="column">
              <wp:posOffset>358775</wp:posOffset>
            </wp:positionH>
            <wp:positionV relativeFrom="paragraph">
              <wp:posOffset>43815</wp:posOffset>
            </wp:positionV>
            <wp:extent cx="2348865" cy="2353310"/>
            <wp:effectExtent l="0" t="0" r="0" b="0"/>
            <wp:wrapTopAndBottom/>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2348865" cy="2353310"/>
                    </a:xfrm>
                    <a:prstGeom prst="rect">
                      <a:avLst/>
                    </a:prstGeom>
                    <a:noFill/>
                    <a:ln w="9525">
                      <a:noFill/>
                    </a:ln>
                  </pic:spPr>
                </pic:pic>
              </a:graphicData>
            </a:graphic>
          </wp:anchor>
        </w:drawing>
      </w:r>
      <w:r>
        <w:rPr>
          <w:rFonts w:hint="eastAsia" w:ascii="楷体" w:hAnsi="楷体" w:eastAsia="楷体"/>
          <w:sz w:val="28"/>
          <w:szCs w:val="28"/>
          <w:lang w:val="en-US" w:eastAsia="zh-CN"/>
        </w:rPr>
        <w:t>安装前须提供样品或具体参数供使用部门确认，之后方可安装。如因施工单位擅自购买、安装导致需要更换，由此造成的损失由施工单位自行承担。</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lang w:eastAsia="zh-CN"/>
        </w:rPr>
        <w:t>三</w:t>
      </w:r>
      <w:r>
        <w:rPr>
          <w:rFonts w:hint="eastAsia" w:ascii="楷体" w:hAnsi="楷体" w:eastAsia="楷体"/>
          <w:sz w:val="28"/>
          <w:szCs w:val="28"/>
        </w:rPr>
        <w:t>、现场施工管理、付款及其他要求</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1.</w:t>
      </w:r>
      <w:r>
        <w:rPr>
          <w:rFonts w:hint="eastAsia" w:ascii="楷体" w:hAnsi="楷体" w:eastAsia="楷体"/>
          <w:sz w:val="28"/>
          <w:szCs w:val="28"/>
          <w:lang w:val="en-US" w:eastAsia="zh-CN"/>
        </w:rPr>
        <w:t>承包人结合项目的特点，依据图纸和清单综合报价，如发现项目清单中有漏量、漏项的，请在开工时提出，施工完成后，必须满足验收规范和使用部门功能要求。</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2.施工严格按照发包人提供的图纸进行，不确定尺寸等要及时与使用部门联系，得到后勤管理处工程项目负责人确认后方可施工。</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3.工程总报价含材料费（主材和辅材）、劳务费、搬运费（二次搬运及垂直运输费）、施工机械费、施工费或安装费、技术服务和售后服务费、综合管理费、利润和税金等一切费用。</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4.本工程工期为</w:t>
      </w:r>
      <w:r>
        <w:rPr>
          <w:rFonts w:hint="eastAsia" w:ascii="楷体" w:hAnsi="楷体" w:eastAsia="楷体"/>
          <w:sz w:val="28"/>
          <w:szCs w:val="28"/>
          <w:lang w:val="en-US" w:eastAsia="zh-CN"/>
        </w:rPr>
        <w:t>20</w:t>
      </w:r>
      <w:r>
        <w:rPr>
          <w:rFonts w:hint="eastAsia" w:ascii="楷体" w:hAnsi="楷体" w:eastAsia="楷体"/>
          <w:sz w:val="28"/>
          <w:szCs w:val="28"/>
        </w:rPr>
        <w:t>个日历天，承包人若不能按工期完成，每延期一天罚款</w:t>
      </w:r>
      <w:r>
        <w:rPr>
          <w:rFonts w:hint="eastAsia" w:ascii="楷体" w:hAnsi="楷体" w:eastAsia="楷体"/>
          <w:sz w:val="28"/>
          <w:szCs w:val="28"/>
          <w:lang w:val="en-US" w:eastAsia="zh-CN"/>
        </w:rPr>
        <w:t>5</w:t>
      </w:r>
      <w:r>
        <w:rPr>
          <w:rFonts w:hint="eastAsia" w:ascii="楷体" w:hAnsi="楷体" w:eastAsia="楷体"/>
          <w:sz w:val="28"/>
          <w:szCs w:val="28"/>
        </w:rPr>
        <w:t>00元（发包人原因除外，但需承包人书面提出，发包人现场负责人签字确认），依次类推，</w:t>
      </w:r>
      <w:r>
        <w:rPr>
          <w:rFonts w:hint="eastAsia" w:ascii="楷体" w:hAnsi="楷体" w:eastAsia="楷体"/>
          <w:sz w:val="28"/>
          <w:szCs w:val="28"/>
          <w:lang w:val="en-US" w:eastAsia="zh-CN"/>
        </w:rPr>
        <w:t>推迟10天完工则扣除全部履约保证金</w:t>
      </w:r>
      <w:r>
        <w:rPr>
          <w:rFonts w:hint="eastAsia" w:ascii="楷体" w:hAnsi="楷体" w:eastAsia="楷体"/>
          <w:sz w:val="28"/>
          <w:szCs w:val="28"/>
        </w:rPr>
        <w:t>。</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5.承包人必须完善自身质量安全管理体系和文明施工措施，杜绝野蛮施工和安全事故发生。承包人若发生质量或安全事故，均由承包人自行承担一切后果，造成发包人损失的按实赔偿，并承担相应法律责任。垃圾装袋外运，禁止高空抛物。</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6.工程完工后，保洁维修改造全部地点，</w:t>
      </w:r>
      <w:r>
        <w:rPr>
          <w:rFonts w:hint="eastAsia" w:ascii="楷体" w:hAnsi="楷体" w:eastAsia="楷体"/>
          <w:sz w:val="28"/>
          <w:szCs w:val="28"/>
          <w:lang w:eastAsia="zh-CN"/>
        </w:rPr>
        <w:t>包括且不限于</w:t>
      </w:r>
      <w:r>
        <w:rPr>
          <w:rFonts w:hint="eastAsia" w:ascii="楷体" w:hAnsi="楷体" w:eastAsia="楷体"/>
          <w:sz w:val="28"/>
          <w:szCs w:val="28"/>
        </w:rPr>
        <w:t>地面、墙面、门窗及玻璃上的油漆和灰尘，垃圾装袋下楼并外运，严禁使用电梯载运材料和建筑垃圾。</w:t>
      </w:r>
    </w:p>
    <w:p>
      <w:pPr>
        <w:keepNext w:val="0"/>
        <w:keepLines w:val="0"/>
        <w:pageBreakBefore w:val="0"/>
        <w:kinsoku/>
        <w:wordWrap/>
        <w:overflowPunct/>
        <w:topLinePunct w:val="0"/>
        <w:autoSpaceDE/>
        <w:autoSpaceDN/>
        <w:bidi w:val="0"/>
        <w:spacing w:line="400" w:lineRule="exact"/>
        <w:ind w:firstLine="560"/>
        <w:textAlignment w:val="auto"/>
        <w:rPr>
          <w:rFonts w:hint="default" w:ascii="楷体" w:hAnsi="楷体" w:eastAsia="楷体"/>
          <w:sz w:val="28"/>
          <w:szCs w:val="28"/>
          <w:lang w:val="en-US" w:eastAsia="zh-CN"/>
        </w:rPr>
      </w:pPr>
      <w:r>
        <w:rPr>
          <w:rFonts w:hint="eastAsia" w:ascii="楷体" w:hAnsi="楷体" w:eastAsia="楷体"/>
          <w:sz w:val="28"/>
          <w:szCs w:val="28"/>
        </w:rPr>
        <w:t>7.本项目不提供预付款，工程完工后由甲方组织验收，验收合格后甲方凭发票支付至</w:t>
      </w:r>
      <w:r>
        <w:rPr>
          <w:rFonts w:hint="eastAsia" w:ascii="楷体" w:hAnsi="楷体" w:eastAsia="楷体"/>
          <w:sz w:val="28"/>
          <w:szCs w:val="28"/>
          <w:lang w:eastAsia="zh-CN"/>
        </w:rPr>
        <w:t>合同价</w:t>
      </w:r>
      <w:r>
        <w:rPr>
          <w:rFonts w:hint="eastAsia" w:ascii="楷体" w:hAnsi="楷体" w:eastAsia="楷体"/>
          <w:sz w:val="28"/>
          <w:szCs w:val="28"/>
        </w:rPr>
        <w:t>（不含</w:t>
      </w:r>
      <w:r>
        <w:rPr>
          <w:rFonts w:hint="eastAsia" w:ascii="楷体" w:hAnsi="楷体" w:eastAsia="楷体"/>
          <w:sz w:val="28"/>
          <w:szCs w:val="28"/>
          <w:lang w:eastAsia="zh-CN"/>
        </w:rPr>
        <w:t>暂列</w:t>
      </w:r>
      <w:r>
        <w:rPr>
          <w:rFonts w:hint="eastAsia" w:ascii="楷体" w:hAnsi="楷体" w:eastAsia="楷体"/>
          <w:sz w:val="28"/>
          <w:szCs w:val="28"/>
        </w:rPr>
        <w:t>金）的70%；余款待审计完成，乙方</w:t>
      </w:r>
      <w:r>
        <w:rPr>
          <w:rFonts w:hint="eastAsia" w:ascii="楷体" w:hAnsi="楷体" w:eastAsia="楷体"/>
          <w:sz w:val="28"/>
          <w:szCs w:val="28"/>
          <w:lang w:eastAsia="zh-CN"/>
        </w:rPr>
        <w:t>将金额为</w:t>
      </w:r>
      <w:r>
        <w:rPr>
          <w:rFonts w:hint="eastAsia" w:ascii="楷体" w:hAnsi="楷体" w:eastAsia="楷体"/>
          <w:sz w:val="28"/>
          <w:szCs w:val="28"/>
        </w:rPr>
        <w:t>终审总造价</w:t>
      </w:r>
      <w:r>
        <w:rPr>
          <w:rFonts w:hint="eastAsia" w:ascii="楷体" w:hAnsi="楷体" w:eastAsia="楷体"/>
          <w:sz w:val="28"/>
          <w:szCs w:val="28"/>
          <w:lang w:val="en-US" w:eastAsia="zh-CN"/>
        </w:rPr>
        <w:t>3</w:t>
      </w:r>
      <w:r>
        <w:rPr>
          <w:rFonts w:hint="eastAsia" w:ascii="楷体" w:hAnsi="楷体" w:eastAsia="楷体"/>
          <w:sz w:val="28"/>
          <w:szCs w:val="28"/>
        </w:rPr>
        <w:t>％</w:t>
      </w:r>
      <w:r>
        <w:rPr>
          <w:rFonts w:hint="eastAsia" w:ascii="楷体" w:hAnsi="楷体" w:eastAsia="楷体"/>
          <w:sz w:val="28"/>
          <w:szCs w:val="28"/>
          <w:lang w:eastAsia="zh-CN"/>
        </w:rPr>
        <w:t>的</w:t>
      </w:r>
      <w:r>
        <w:rPr>
          <w:rFonts w:hint="eastAsia" w:ascii="楷体" w:hAnsi="楷体" w:eastAsia="楷体"/>
          <w:sz w:val="28"/>
          <w:szCs w:val="28"/>
        </w:rPr>
        <w:t>工程质保金汇入甲方账户</w:t>
      </w:r>
      <w:r>
        <w:rPr>
          <w:rFonts w:hint="eastAsia" w:ascii="楷体" w:hAnsi="楷体" w:eastAsia="楷体"/>
          <w:sz w:val="28"/>
          <w:szCs w:val="28"/>
          <w:lang w:val="en-US" w:eastAsia="zh-CN"/>
        </w:rPr>
        <w:t>后</w:t>
      </w:r>
      <w:r>
        <w:rPr>
          <w:rFonts w:hint="eastAsia" w:ascii="楷体" w:hAnsi="楷体" w:eastAsia="楷体"/>
          <w:sz w:val="28"/>
          <w:szCs w:val="28"/>
        </w:rPr>
        <w:t>，甲方将</w:t>
      </w:r>
      <w:r>
        <w:rPr>
          <w:rFonts w:hint="eastAsia" w:ascii="楷体" w:hAnsi="楷体" w:eastAsia="楷体"/>
          <w:sz w:val="28"/>
          <w:szCs w:val="28"/>
          <w:lang w:val="en-US" w:eastAsia="zh-CN"/>
        </w:rPr>
        <w:t>按终审价将剩余金额</w:t>
      </w:r>
      <w:r>
        <w:rPr>
          <w:rFonts w:hint="eastAsia" w:ascii="楷体" w:hAnsi="楷体" w:eastAsia="楷体"/>
          <w:sz w:val="28"/>
          <w:szCs w:val="28"/>
        </w:rPr>
        <w:t>一次性支付给乙方；质保</w:t>
      </w:r>
      <w:r>
        <w:rPr>
          <w:rFonts w:hint="eastAsia" w:ascii="楷体" w:hAnsi="楷体" w:eastAsia="楷体"/>
          <w:sz w:val="28"/>
          <w:szCs w:val="28"/>
          <w:lang w:val="en-US" w:eastAsia="zh-CN"/>
        </w:rPr>
        <w:t>期两</w:t>
      </w:r>
      <w:r>
        <w:rPr>
          <w:rFonts w:hint="eastAsia" w:ascii="楷体" w:hAnsi="楷体" w:eastAsia="楷体"/>
          <w:sz w:val="28"/>
          <w:szCs w:val="28"/>
        </w:rPr>
        <w:t>年期满无质量问题后</w:t>
      </w:r>
      <w:r>
        <w:rPr>
          <w:rFonts w:hint="eastAsia" w:ascii="楷体" w:hAnsi="楷体" w:eastAsia="楷体"/>
          <w:sz w:val="28"/>
          <w:szCs w:val="28"/>
          <w:lang w:eastAsia="zh-CN"/>
        </w:rPr>
        <w:t>，</w:t>
      </w:r>
      <w:r>
        <w:rPr>
          <w:rFonts w:hint="eastAsia" w:ascii="楷体" w:hAnsi="楷体" w:eastAsia="楷体"/>
          <w:sz w:val="28"/>
          <w:szCs w:val="28"/>
          <w:lang w:val="en-US" w:eastAsia="zh-CN"/>
        </w:rPr>
        <w:t>质保金</w:t>
      </w:r>
      <w:r>
        <w:rPr>
          <w:rFonts w:hint="eastAsia" w:ascii="楷体" w:hAnsi="楷体" w:eastAsia="楷体"/>
          <w:sz w:val="28"/>
          <w:szCs w:val="28"/>
        </w:rPr>
        <w:t>一次性</w:t>
      </w:r>
      <w:r>
        <w:rPr>
          <w:rFonts w:hint="eastAsia" w:ascii="楷体" w:hAnsi="楷体" w:eastAsia="楷体"/>
          <w:sz w:val="28"/>
          <w:szCs w:val="28"/>
          <w:lang w:val="en-US" w:eastAsia="zh-CN"/>
        </w:rPr>
        <w:t>退还</w:t>
      </w:r>
      <w:r>
        <w:rPr>
          <w:rFonts w:ascii="楷体" w:hAnsi="楷体" w:eastAsia="楷体"/>
          <w:sz w:val="28"/>
          <w:szCs w:val="28"/>
        </w:rPr>
        <w:t>（质保期</w:t>
      </w:r>
      <w:r>
        <w:rPr>
          <w:rFonts w:hint="eastAsia" w:ascii="楷体" w:hAnsi="楷体" w:eastAsia="楷体"/>
          <w:sz w:val="28"/>
          <w:szCs w:val="28"/>
        </w:rPr>
        <w:t>从</w:t>
      </w:r>
      <w:r>
        <w:rPr>
          <w:rFonts w:ascii="楷体" w:hAnsi="楷体" w:eastAsia="楷体"/>
          <w:sz w:val="28"/>
          <w:szCs w:val="28"/>
        </w:rPr>
        <w:t>验收合格日期</w:t>
      </w:r>
      <w:r>
        <w:rPr>
          <w:rFonts w:hint="eastAsia" w:ascii="楷体" w:hAnsi="楷体" w:eastAsia="楷体"/>
          <w:sz w:val="28"/>
          <w:szCs w:val="28"/>
        </w:rPr>
        <w:t>开始计算</w:t>
      </w:r>
      <w:r>
        <w:rPr>
          <w:rFonts w:ascii="楷体" w:hAnsi="楷体" w:eastAsia="楷体"/>
          <w:sz w:val="28"/>
          <w:szCs w:val="28"/>
        </w:rPr>
        <w:t>）</w:t>
      </w:r>
      <w:r>
        <w:rPr>
          <w:rFonts w:hint="eastAsia" w:ascii="楷体" w:hAnsi="楷体" w:eastAsia="楷体"/>
          <w:sz w:val="28"/>
          <w:szCs w:val="28"/>
        </w:rPr>
        <w:t>。</w:t>
      </w:r>
      <w:r>
        <w:rPr>
          <w:rFonts w:hint="eastAsia" w:ascii="楷体" w:hAnsi="楷体" w:eastAsia="楷体"/>
          <w:sz w:val="28"/>
          <w:szCs w:val="28"/>
          <w:lang w:val="en-US" w:eastAsia="zh-CN"/>
        </w:rPr>
        <w:t>如在质保期内出现1次质量问题，则质保期顺延一年；出现2次质量问题则质保期顺延两年，以此类推。</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对于多次重复出现的管理和质量问题，学校将视情况通报芜湖市工程质量监督部门和公共资源交易管理中心。</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8.承包人在验收合格后两周内提交竣工资料贰份(项目决算、水电等图纸、改造竣工平面图、产品使用清单和说明、设备合格证、合格的检测报告等所有竣工资料),逾期造成的经济损失和其他一切后果均有承包单位自行承担。</w:t>
      </w:r>
    </w:p>
    <w:p>
      <w:pPr>
        <w:keepNext w:val="0"/>
        <w:keepLines w:val="0"/>
        <w:pageBreakBefore w:val="0"/>
        <w:kinsoku/>
        <w:wordWrap/>
        <w:overflowPunct/>
        <w:topLinePunct w:val="0"/>
        <w:autoSpaceDE/>
        <w:autoSpaceDN/>
        <w:bidi w:val="0"/>
        <w:spacing w:line="400" w:lineRule="exact"/>
        <w:ind w:firstLine="560"/>
        <w:textAlignment w:val="auto"/>
        <w:rPr>
          <w:rFonts w:hint="eastAsia" w:ascii="楷体" w:hAnsi="楷体" w:eastAsia="楷体"/>
          <w:sz w:val="28"/>
          <w:szCs w:val="28"/>
        </w:rPr>
      </w:pPr>
      <w:r>
        <w:rPr>
          <w:rFonts w:hint="eastAsia" w:ascii="楷体" w:hAnsi="楷体" w:eastAsia="楷体"/>
          <w:sz w:val="28"/>
          <w:szCs w:val="28"/>
        </w:rPr>
        <w:t>9.计价规则：设计变更和发包人提出的变更调增调减部分，原则上参照投标文件中单价计算。</w:t>
      </w:r>
      <w:r>
        <w:rPr>
          <w:rFonts w:hint="eastAsia" w:ascii="楷体" w:hAnsi="楷体" w:eastAsia="楷体"/>
          <w:sz w:val="28"/>
          <w:szCs w:val="28"/>
          <w:lang w:eastAsia="zh-CN"/>
        </w:rPr>
        <w:t>若</w:t>
      </w:r>
      <w:r>
        <w:rPr>
          <w:rFonts w:hint="eastAsia" w:ascii="楷体" w:hAnsi="楷体" w:eastAsia="楷体"/>
          <w:sz w:val="28"/>
          <w:szCs w:val="28"/>
        </w:rPr>
        <w:t>投标文件中没有相同类型的子目，决算时执行2018版《安徽省建设工程工程量清单计价办法》、2018版《安徽省建设工程工程计价定额》及其配套的费用定额、《建设工程工程量清单计价规范》（GB50500-2013），相关优惠率同投标优惠率一致；投标文件中没有的主材参考《芜湖工程造价信息》当月信息价八折计算，信息价中没有的材料结合市场定价。</w:t>
      </w:r>
    </w:p>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r>
        <w:rPr>
          <w:rFonts w:hint="eastAsia" w:ascii="楷体" w:hAnsi="楷体" w:eastAsia="楷体"/>
          <w:sz w:val="28"/>
          <w:szCs w:val="28"/>
        </w:rPr>
        <w:t>10.工程主要材料规定品牌如下</w:t>
      </w:r>
    </w:p>
    <w:tbl>
      <w:tblPr>
        <w:tblStyle w:val="2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86"/>
        <w:gridCol w:w="1980"/>
        <w:gridCol w:w="3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b/>
                <w:sz w:val="28"/>
                <w:szCs w:val="28"/>
              </w:rPr>
            </w:pPr>
            <w:r>
              <w:rPr>
                <w:rFonts w:hint="eastAsia" w:ascii="楷体" w:hAnsi="楷体" w:eastAsia="楷体"/>
                <w:b/>
                <w:sz w:val="28"/>
                <w:szCs w:val="28"/>
              </w:rPr>
              <w:t>序号</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b/>
                <w:sz w:val="28"/>
                <w:szCs w:val="28"/>
              </w:rPr>
            </w:pPr>
            <w:r>
              <w:rPr>
                <w:rFonts w:hint="eastAsia" w:ascii="楷体" w:hAnsi="楷体" w:eastAsia="楷体"/>
                <w:b/>
                <w:sz w:val="28"/>
                <w:szCs w:val="28"/>
              </w:rPr>
              <w:t>材料名称</w:t>
            </w:r>
          </w:p>
        </w:tc>
        <w:tc>
          <w:tcPr>
            <w:tcW w:w="198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b/>
                <w:sz w:val="28"/>
                <w:szCs w:val="28"/>
              </w:rPr>
            </w:pPr>
            <w:r>
              <w:rPr>
                <w:rFonts w:hint="eastAsia" w:ascii="楷体" w:hAnsi="楷体" w:eastAsia="楷体"/>
                <w:b/>
                <w:sz w:val="28"/>
                <w:szCs w:val="28"/>
              </w:rPr>
              <w:t>规格型号</w:t>
            </w:r>
          </w:p>
        </w:tc>
        <w:tc>
          <w:tcPr>
            <w:tcW w:w="356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b/>
                <w:sz w:val="28"/>
                <w:szCs w:val="28"/>
              </w:rPr>
            </w:pPr>
            <w:r>
              <w:rPr>
                <w:rFonts w:hint="eastAsia" w:ascii="楷体" w:hAnsi="楷体" w:eastAsia="楷体"/>
                <w:b/>
                <w:sz w:val="28"/>
                <w:szCs w:val="28"/>
              </w:rPr>
              <w:t>参考品牌</w:t>
            </w:r>
            <w:r>
              <w:rPr>
                <w:rFonts w:hint="eastAsia" w:ascii="楷体" w:hAnsi="楷体" w:eastAsia="楷体"/>
                <w:b/>
                <w:sz w:val="28"/>
                <w:szCs w:val="28"/>
                <w:lang w:eastAsia="zh-CN"/>
              </w:rPr>
              <w:t>（供货商）</w:t>
            </w:r>
            <w:r>
              <w:rPr>
                <w:rFonts w:hint="eastAsia" w:ascii="楷体" w:hAnsi="楷体" w:eastAsia="楷体"/>
                <w:b/>
                <w:sz w:val="28"/>
                <w:szCs w:val="28"/>
              </w:rPr>
              <w:t>范围</w:t>
            </w:r>
          </w:p>
        </w:tc>
        <w:tc>
          <w:tcPr>
            <w:tcW w:w="85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b/>
                <w:sz w:val="28"/>
                <w:szCs w:val="28"/>
              </w:rPr>
            </w:pPr>
            <w:r>
              <w:rPr>
                <w:rFonts w:hint="eastAsia" w:ascii="楷体" w:hAnsi="楷体" w:eastAsia="楷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198" w:firstLineChars="71"/>
              <w:textAlignment w:val="auto"/>
              <w:rPr>
                <w:rFonts w:ascii="楷体" w:hAnsi="楷体" w:eastAsia="楷体"/>
                <w:sz w:val="28"/>
                <w:szCs w:val="28"/>
              </w:rPr>
            </w:pPr>
            <w:r>
              <w:rPr>
                <w:rFonts w:hint="eastAsia" w:ascii="楷体" w:hAnsi="楷体" w:eastAsia="楷体"/>
                <w:sz w:val="28"/>
                <w:szCs w:val="28"/>
              </w:rPr>
              <w:t>1</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rPr>
              <w:t>电线、电缆</w:t>
            </w:r>
          </w:p>
        </w:tc>
        <w:tc>
          <w:tcPr>
            <w:tcW w:w="198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sz w:val="28"/>
                <w:szCs w:val="28"/>
              </w:rPr>
            </w:pPr>
            <w:r>
              <w:rPr>
                <w:rFonts w:hint="eastAsia" w:ascii="楷体" w:hAnsi="楷体" w:eastAsia="楷体"/>
                <w:sz w:val="28"/>
                <w:szCs w:val="28"/>
              </w:rPr>
              <w:t>按图纸清单要求</w:t>
            </w:r>
          </w:p>
        </w:tc>
        <w:tc>
          <w:tcPr>
            <w:tcW w:w="356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lang w:val="en-US" w:eastAsia="zh-CN"/>
              </w:rPr>
              <w:t>远东、宝胜、绿宝</w:t>
            </w:r>
          </w:p>
        </w:tc>
        <w:tc>
          <w:tcPr>
            <w:tcW w:w="850" w:type="dxa"/>
            <w:vAlign w:val="center"/>
          </w:tcPr>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198" w:firstLineChars="71"/>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2</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lang w:val="en-US" w:eastAsia="zh-CN"/>
              </w:rPr>
              <w:t>给</w:t>
            </w:r>
            <w:r>
              <w:rPr>
                <w:rFonts w:hint="eastAsia" w:ascii="楷体" w:hAnsi="楷体" w:eastAsia="楷体"/>
                <w:sz w:val="28"/>
                <w:szCs w:val="28"/>
              </w:rPr>
              <w:t>排水管</w:t>
            </w:r>
          </w:p>
        </w:tc>
        <w:tc>
          <w:tcPr>
            <w:tcW w:w="198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sz w:val="28"/>
                <w:szCs w:val="28"/>
              </w:rPr>
            </w:pPr>
            <w:r>
              <w:rPr>
                <w:rFonts w:hint="eastAsia" w:ascii="楷体" w:hAnsi="楷体" w:eastAsia="楷体"/>
                <w:sz w:val="28"/>
                <w:szCs w:val="28"/>
              </w:rPr>
              <w:t>按图纸清单要求</w:t>
            </w:r>
          </w:p>
        </w:tc>
        <w:tc>
          <w:tcPr>
            <w:tcW w:w="356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伟星、华亚、金德</w:t>
            </w:r>
          </w:p>
        </w:tc>
        <w:tc>
          <w:tcPr>
            <w:tcW w:w="850" w:type="dxa"/>
            <w:vAlign w:val="center"/>
          </w:tcPr>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198" w:firstLineChars="71"/>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3</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rPr>
              <w:t>开关、插座</w:t>
            </w:r>
          </w:p>
        </w:tc>
        <w:tc>
          <w:tcPr>
            <w:tcW w:w="198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sz w:val="28"/>
                <w:szCs w:val="28"/>
              </w:rPr>
            </w:pPr>
            <w:r>
              <w:rPr>
                <w:rFonts w:hint="eastAsia" w:ascii="楷体" w:hAnsi="楷体" w:eastAsia="楷体"/>
                <w:sz w:val="28"/>
                <w:szCs w:val="28"/>
              </w:rPr>
              <w:t>按图纸清单要求</w:t>
            </w:r>
          </w:p>
        </w:tc>
        <w:tc>
          <w:tcPr>
            <w:tcW w:w="3560" w:type="dxa"/>
            <w:vAlign w:val="center"/>
          </w:tcPr>
          <w:p>
            <w:pPr>
              <w:keepNext w:val="0"/>
              <w:keepLines w:val="0"/>
              <w:pageBreakBefore w:val="0"/>
              <w:kinsoku/>
              <w:wordWrap/>
              <w:overflowPunct/>
              <w:topLinePunct w:val="0"/>
              <w:autoSpaceDE/>
              <w:autoSpaceDN/>
              <w:bidi w:val="0"/>
              <w:spacing w:line="400" w:lineRule="exact"/>
              <w:ind w:firstLine="0" w:firstLineChars="0"/>
              <w:jc w:val="left"/>
              <w:textAlignment w:val="auto"/>
              <w:rPr>
                <w:rFonts w:ascii="楷体" w:hAnsi="楷体" w:eastAsia="楷体"/>
                <w:sz w:val="28"/>
                <w:szCs w:val="28"/>
              </w:rPr>
            </w:pPr>
            <w:r>
              <w:rPr>
                <w:rFonts w:hint="eastAsia" w:ascii="楷体" w:hAnsi="楷体" w:eastAsia="楷体"/>
                <w:sz w:val="28"/>
                <w:szCs w:val="28"/>
              </w:rPr>
              <w:t>鸿雁、西门子、TCL</w:t>
            </w:r>
          </w:p>
        </w:tc>
        <w:tc>
          <w:tcPr>
            <w:tcW w:w="850" w:type="dxa"/>
            <w:vAlign w:val="center"/>
          </w:tcPr>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7" w:type="dxa"/>
            <w:vAlign w:val="center"/>
          </w:tcPr>
          <w:p>
            <w:pPr>
              <w:keepNext w:val="0"/>
              <w:keepLines w:val="0"/>
              <w:pageBreakBefore w:val="0"/>
              <w:kinsoku/>
              <w:wordWrap/>
              <w:overflowPunct/>
              <w:topLinePunct w:val="0"/>
              <w:autoSpaceDE/>
              <w:autoSpaceDN/>
              <w:bidi w:val="0"/>
              <w:spacing w:line="400" w:lineRule="exact"/>
              <w:ind w:firstLine="0" w:firstLineChars="0"/>
              <w:jc w:val="center"/>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4</w:t>
            </w:r>
          </w:p>
        </w:tc>
        <w:tc>
          <w:tcPr>
            <w:tcW w:w="1886"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rPr>
              <w:t>实验台板</w:t>
            </w:r>
          </w:p>
        </w:tc>
        <w:tc>
          <w:tcPr>
            <w:tcW w:w="198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楷体" w:hAnsi="楷体" w:eastAsia="楷体"/>
                <w:sz w:val="28"/>
                <w:szCs w:val="28"/>
              </w:rPr>
            </w:pPr>
            <w:r>
              <w:rPr>
                <w:rFonts w:hint="eastAsia" w:ascii="楷体" w:hAnsi="楷体" w:eastAsia="楷体"/>
                <w:sz w:val="28"/>
                <w:szCs w:val="28"/>
              </w:rPr>
              <w:t>按技术要求</w:t>
            </w:r>
          </w:p>
        </w:tc>
        <w:tc>
          <w:tcPr>
            <w:tcW w:w="3560" w:type="dxa"/>
            <w:vAlign w:val="center"/>
          </w:tcPr>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 xml:space="preserve">Trespa </w:t>
            </w:r>
            <w:r>
              <w:rPr>
                <w:rFonts w:ascii="楷体" w:hAnsi="楷体" w:eastAsia="楷体"/>
                <w:sz w:val="28"/>
                <w:szCs w:val="28"/>
              </w:rPr>
              <w:t>TopLab</w:t>
            </w:r>
            <w:r>
              <w:rPr>
                <w:rFonts w:hint="default" w:ascii="楷体" w:hAnsi="楷体" w:eastAsia="楷体"/>
                <w:sz w:val="28"/>
                <w:szCs w:val="28"/>
              </w:rPr>
              <w:t>®PLUS</w:t>
            </w:r>
            <w:r>
              <w:rPr>
                <w:rFonts w:hint="eastAsia" w:ascii="楷体" w:hAnsi="楷体" w:eastAsia="楷体"/>
                <w:sz w:val="28"/>
                <w:szCs w:val="28"/>
                <w:lang w:eastAsia="zh-CN"/>
              </w:rPr>
              <w:t>（</w:t>
            </w:r>
            <w:r>
              <w:rPr>
                <w:rFonts w:hint="eastAsia" w:ascii="楷体" w:hAnsi="楷体" w:eastAsia="楷体"/>
                <w:sz w:val="28"/>
                <w:szCs w:val="28"/>
                <w:lang w:val="en-US" w:eastAsia="zh-CN"/>
              </w:rPr>
              <w:t>千思板</w:t>
            </w:r>
            <w:r>
              <w:rPr>
                <w:rFonts w:hint="eastAsia" w:ascii="楷体" w:hAnsi="楷体" w:eastAsia="楷体"/>
                <w:sz w:val="28"/>
                <w:szCs w:val="28"/>
                <w:lang w:eastAsia="zh-CN"/>
              </w:rPr>
              <w:t>）</w:t>
            </w:r>
          </w:p>
        </w:tc>
        <w:tc>
          <w:tcPr>
            <w:tcW w:w="850" w:type="dxa"/>
            <w:vAlign w:val="center"/>
          </w:tcPr>
          <w:p>
            <w:pPr>
              <w:keepNext w:val="0"/>
              <w:keepLines w:val="0"/>
              <w:pageBreakBefore w:val="0"/>
              <w:kinsoku/>
              <w:wordWrap/>
              <w:overflowPunct/>
              <w:topLinePunct w:val="0"/>
              <w:autoSpaceDE/>
              <w:autoSpaceDN/>
              <w:bidi w:val="0"/>
              <w:spacing w:line="400" w:lineRule="exact"/>
              <w:ind w:firstLine="560"/>
              <w:textAlignment w:val="auto"/>
              <w:rPr>
                <w:rFonts w:ascii="楷体" w:hAnsi="楷体" w:eastAsia="楷体"/>
                <w:sz w:val="28"/>
                <w:szCs w:val="28"/>
              </w:rPr>
            </w:pPr>
          </w:p>
        </w:tc>
      </w:tr>
    </w:tbl>
    <w:p>
      <w:pPr>
        <w:keepNext w:val="0"/>
        <w:keepLines w:val="0"/>
        <w:pageBreakBefore w:val="0"/>
        <w:kinsoku/>
        <w:wordWrap/>
        <w:overflowPunct/>
        <w:topLinePunct w:val="0"/>
        <w:autoSpaceDE/>
        <w:autoSpaceDN/>
        <w:bidi w:val="0"/>
        <w:spacing w:line="400" w:lineRule="exact"/>
        <w:ind w:firstLine="560"/>
        <w:textAlignment w:val="auto"/>
        <w:rPr>
          <w:rFonts w:hint="eastAsia" w:ascii="楷体" w:hAnsi="楷体" w:eastAsia="楷体"/>
          <w:sz w:val="28"/>
          <w:szCs w:val="28"/>
          <w:lang w:eastAsia="zh-CN"/>
        </w:rPr>
      </w:pPr>
      <w:r>
        <w:rPr>
          <w:rFonts w:hint="eastAsia" w:ascii="楷体" w:hAnsi="楷体" w:eastAsia="楷体"/>
          <w:sz w:val="28"/>
          <w:szCs w:val="28"/>
        </w:rPr>
        <w:t>注：承包人采购的所有设备、材料进场时均要有合格证、检测报告等，水电材料需要提供3C认证，并符合国家规范要求</w:t>
      </w:r>
      <w:r>
        <w:rPr>
          <w:rFonts w:hint="eastAsia" w:ascii="楷体" w:hAnsi="楷体" w:eastAsia="楷体"/>
          <w:sz w:val="28"/>
          <w:szCs w:val="28"/>
          <w:lang w:eastAsia="zh-CN"/>
        </w:rPr>
        <w:t>。</w:t>
      </w:r>
    </w:p>
    <w:p>
      <w:pPr>
        <w:keepNext w:val="0"/>
        <w:keepLines w:val="0"/>
        <w:pageBreakBefore w:val="0"/>
        <w:kinsoku/>
        <w:wordWrap/>
        <w:overflowPunct/>
        <w:topLinePunct w:val="0"/>
        <w:autoSpaceDE/>
        <w:autoSpaceDN/>
        <w:bidi w:val="0"/>
        <w:spacing w:line="288" w:lineRule="auto"/>
        <w:ind w:firstLine="560"/>
        <w:textAlignment w:val="auto"/>
        <w:rPr>
          <w:rFonts w:ascii="楷体" w:hAnsi="楷体" w:eastAsia="楷体"/>
          <w:sz w:val="28"/>
          <w:szCs w:val="28"/>
        </w:rPr>
      </w:pPr>
    </w:p>
    <w:p>
      <w:pPr>
        <w:autoSpaceDN w:val="0"/>
        <w:rPr>
          <w:rFonts w:hint="eastAsia"/>
          <w:b/>
          <w:bCs/>
          <w:sz w:val="30"/>
          <w:szCs w:val="30"/>
        </w:rPr>
      </w:pPr>
    </w:p>
    <w:p>
      <w:pPr>
        <w:pStyle w:val="3"/>
        <w:snapToGrid w:val="0"/>
        <w:spacing w:before="0" w:after="0"/>
        <w:ind w:left="0" w:leftChars="0" w:firstLine="0" w:firstLineChars="0"/>
        <w:jc w:val="center"/>
        <w:rPr>
          <w:rFonts w:ascii="楷体" w:hAnsi="楷体" w:eastAsia="楷体"/>
          <w:szCs w:val="28"/>
        </w:rPr>
      </w:pPr>
      <w:bookmarkStart w:id="109"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adjustRightInd w:val="0"/>
        <w:snapToGrid w:val="0"/>
        <w:spacing w:line="460" w:lineRule="exact"/>
        <w:ind w:firstLine="560"/>
        <w:rPr>
          <w:rFonts w:ascii="楷体" w:hAnsi="楷体" w:eastAsia="楷体" w:cs="Times New Roman"/>
          <w:sz w:val="28"/>
          <w:szCs w:val="28"/>
        </w:rPr>
      </w:pPr>
      <w:bookmarkStart w:id="110" w:name="_Toc49763005"/>
      <w:r>
        <w:rPr>
          <w:rFonts w:hint="eastAsia" w:ascii="楷体" w:hAnsi="楷体" w:eastAsia="楷体"/>
          <w:sz w:val="28"/>
          <w:szCs w:val="28"/>
        </w:rPr>
        <w:t>一）</w:t>
      </w:r>
      <w:r>
        <w:rPr>
          <w:rFonts w:hint="eastAsia" w:ascii="楷体" w:hAnsi="楷体" w:eastAsia="楷体" w:cs="Times New Roman"/>
          <w:sz w:val="28"/>
          <w:szCs w:val="28"/>
        </w:rPr>
        <w:t>总则</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本次评标采用综合评分法，总分为100分，其中报价得分</w:t>
      </w:r>
      <w:r>
        <w:rPr>
          <w:rFonts w:hint="eastAsia" w:ascii="楷体" w:hAnsi="楷体" w:eastAsia="楷体" w:cs="Times New Roman"/>
          <w:spacing w:val="0"/>
          <w:sz w:val="28"/>
          <w:szCs w:val="28"/>
          <w:lang w:eastAsia="zh-CN"/>
        </w:rPr>
        <w:t>70</w:t>
      </w:r>
      <w:r>
        <w:rPr>
          <w:rFonts w:hint="eastAsia" w:ascii="楷体" w:hAnsi="楷体" w:eastAsia="楷体" w:cs="Times New Roman"/>
          <w:spacing w:val="0"/>
          <w:sz w:val="28"/>
          <w:szCs w:val="28"/>
        </w:rPr>
        <w:t>分、技术得分</w:t>
      </w:r>
      <w:r>
        <w:rPr>
          <w:rFonts w:hint="eastAsia" w:ascii="楷体" w:hAnsi="楷体" w:eastAsia="楷体"/>
          <w:spacing w:val="0"/>
          <w:sz w:val="28"/>
          <w:szCs w:val="28"/>
          <w:lang w:eastAsia="zh-CN"/>
        </w:rPr>
        <w:t>30</w:t>
      </w:r>
      <w:r>
        <w:rPr>
          <w:rFonts w:hint="eastAsia" w:ascii="楷体" w:hAnsi="楷体" w:eastAsia="楷体" w:cs="Times New Roman"/>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w:t>
      </w:r>
      <w:r>
        <w:rPr>
          <w:rFonts w:hint="eastAsia" w:ascii="楷体" w:hAnsi="楷体" w:eastAsia="楷体"/>
          <w:spacing w:val="0"/>
          <w:sz w:val="28"/>
          <w:szCs w:val="28"/>
        </w:rPr>
        <w:t>投标文件</w:t>
      </w:r>
      <w:r>
        <w:rPr>
          <w:rFonts w:hint="eastAsia" w:ascii="楷体" w:hAnsi="楷体" w:eastAsia="楷体" w:cs="Times New Roman"/>
          <w:spacing w:val="0"/>
          <w:sz w:val="28"/>
          <w:szCs w:val="28"/>
        </w:rPr>
        <w:t>不参与各项评分。</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投标人评标综合得分=报价得分+技术得分</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spacing w:val="0"/>
          <w:sz w:val="28"/>
          <w:szCs w:val="28"/>
        </w:rPr>
        <w:t>二）</w:t>
      </w:r>
      <w:r>
        <w:rPr>
          <w:rFonts w:hint="eastAsia" w:ascii="楷体" w:hAnsi="楷体" w:eastAsia="楷体" w:cs="Times New Roman"/>
          <w:spacing w:val="0"/>
          <w:sz w:val="28"/>
          <w:szCs w:val="28"/>
        </w:rPr>
        <w:t>评标内容及标准</w:t>
      </w:r>
    </w:p>
    <w:p>
      <w:pPr>
        <w:pStyle w:val="11"/>
        <w:adjustRightInd w:val="0"/>
        <w:snapToGrid w:val="0"/>
        <w:spacing w:line="460" w:lineRule="exact"/>
        <w:ind w:firstLine="560"/>
        <w:rPr>
          <w:rFonts w:ascii="楷体" w:hAnsi="楷体" w:eastAsia="楷体" w:cs="Times New Roman"/>
          <w:b/>
          <w:bCs/>
          <w:spacing w:val="0"/>
          <w:sz w:val="28"/>
          <w:szCs w:val="28"/>
        </w:rPr>
      </w:pPr>
      <w:r>
        <w:rPr>
          <w:rFonts w:hint="eastAsia" w:ascii="楷体" w:hAnsi="楷体" w:eastAsia="楷体" w:cs="Times New Roman"/>
          <w:b/>
          <w:bCs/>
          <w:spacing w:val="0"/>
          <w:sz w:val="28"/>
          <w:szCs w:val="28"/>
        </w:rPr>
        <w:t>1、报价得分占总分</w:t>
      </w:r>
      <w:r>
        <w:rPr>
          <w:rFonts w:hint="eastAsia" w:ascii="楷体" w:hAnsi="楷体" w:eastAsia="楷体" w:cs="Times New Roman"/>
          <w:b/>
          <w:bCs/>
          <w:spacing w:val="0"/>
          <w:sz w:val="28"/>
          <w:szCs w:val="28"/>
          <w:lang w:val="en-US" w:eastAsia="zh-CN"/>
        </w:rPr>
        <w:t>70</w:t>
      </w:r>
      <w:r>
        <w:rPr>
          <w:rFonts w:hint="eastAsia" w:ascii="楷体" w:hAnsi="楷体" w:eastAsia="楷体" w:cs="Times New Roman"/>
          <w:b/>
          <w:bCs/>
          <w:spacing w:val="0"/>
          <w:sz w:val="28"/>
          <w:szCs w:val="28"/>
        </w:rPr>
        <w:t>%,分值为</w:t>
      </w:r>
      <w:r>
        <w:rPr>
          <w:rFonts w:hint="eastAsia" w:ascii="楷体" w:hAnsi="楷体" w:eastAsia="楷体"/>
          <w:b/>
          <w:bCs/>
          <w:spacing w:val="0"/>
          <w:sz w:val="28"/>
          <w:szCs w:val="28"/>
          <w:lang w:val="en-US" w:eastAsia="zh-CN"/>
        </w:rPr>
        <w:t>70</w:t>
      </w:r>
      <w:r>
        <w:rPr>
          <w:rFonts w:hint="eastAsia" w:ascii="楷体" w:hAnsi="楷体" w:eastAsia="楷体" w:cs="Times New Roman"/>
          <w:b/>
          <w:bCs/>
          <w:spacing w:val="0"/>
          <w:sz w:val="28"/>
          <w:szCs w:val="28"/>
        </w:rPr>
        <w:t>分。</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有效投标单位为在10家以内（含）的，各投标单位报价平均值作为基准分；超过10家的，去掉</w:t>
      </w:r>
      <w:r>
        <w:rPr>
          <w:rFonts w:hint="eastAsia" w:ascii="楷体" w:hAnsi="楷体" w:eastAsia="楷体"/>
          <w:spacing w:val="0"/>
          <w:sz w:val="28"/>
          <w:szCs w:val="28"/>
        </w:rPr>
        <w:t>二</w:t>
      </w:r>
      <w:r>
        <w:rPr>
          <w:rFonts w:hint="eastAsia" w:ascii="楷体" w:hAnsi="楷体" w:eastAsia="楷体" w:cs="Times New Roman"/>
          <w:spacing w:val="0"/>
          <w:sz w:val="28"/>
          <w:szCs w:val="28"/>
        </w:rPr>
        <w:t>个最高报价和二个最低报价，其余各投标单位报价平均值作为基准分（</w:t>
      </w:r>
      <w:r>
        <w:rPr>
          <w:rFonts w:hint="eastAsia" w:ascii="楷体" w:hAnsi="楷体" w:eastAsia="楷体"/>
          <w:spacing w:val="0"/>
          <w:sz w:val="28"/>
          <w:szCs w:val="28"/>
          <w:lang w:val="en-US" w:eastAsia="zh-CN"/>
        </w:rPr>
        <w:t>7</w:t>
      </w:r>
      <w:r>
        <w:rPr>
          <w:rFonts w:hint="eastAsia" w:ascii="楷体" w:hAnsi="楷体" w:eastAsia="楷体"/>
          <w:spacing w:val="0"/>
          <w:sz w:val="28"/>
          <w:szCs w:val="28"/>
          <w:lang w:eastAsia="zh-CN"/>
        </w:rPr>
        <w:t>0</w:t>
      </w:r>
      <w:r>
        <w:rPr>
          <w:rFonts w:hint="eastAsia" w:ascii="楷体" w:hAnsi="楷体" w:eastAsia="楷体" w:cs="Times New Roman"/>
          <w:spacing w:val="0"/>
          <w:sz w:val="28"/>
          <w:szCs w:val="28"/>
        </w:rPr>
        <w:t>分）：</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报价得分＝基准分－|(投标人报价－平均报价）／平均报价|X 100 X B ;（报价得分保留2位小数）</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B取值方式为：</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1）当投标人报价高于平均报价时，B取值为1.0；</w:t>
      </w:r>
    </w:p>
    <w:p>
      <w:pPr>
        <w:pStyle w:val="11"/>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2）当投标人报价低于平均报价时，B取值为0.5。</w:t>
      </w:r>
    </w:p>
    <w:p>
      <w:pPr>
        <w:pStyle w:val="11"/>
        <w:adjustRightInd w:val="0"/>
        <w:snapToGrid w:val="0"/>
        <w:spacing w:line="460" w:lineRule="exact"/>
        <w:ind w:firstLine="560"/>
        <w:rPr>
          <w:rFonts w:ascii="楷体" w:hAnsi="楷体" w:eastAsia="楷体" w:cs="Times New Roman"/>
          <w:b/>
          <w:bCs/>
          <w:spacing w:val="0"/>
          <w:sz w:val="28"/>
          <w:szCs w:val="28"/>
        </w:rPr>
      </w:pPr>
      <w:r>
        <w:rPr>
          <w:rFonts w:hint="eastAsia" w:ascii="楷体" w:hAnsi="楷体" w:eastAsia="楷体" w:cs="Times New Roman"/>
          <w:b/>
          <w:bCs/>
          <w:spacing w:val="0"/>
          <w:sz w:val="28"/>
          <w:szCs w:val="28"/>
        </w:rPr>
        <w:t>2、技术得分</w:t>
      </w:r>
      <w:r>
        <w:rPr>
          <w:rFonts w:hint="eastAsia" w:ascii="楷体" w:hAnsi="楷体" w:eastAsia="楷体"/>
          <w:b/>
          <w:bCs/>
          <w:spacing w:val="0"/>
          <w:sz w:val="28"/>
          <w:szCs w:val="28"/>
          <w:lang w:eastAsia="zh-CN"/>
        </w:rPr>
        <w:t>30</w:t>
      </w:r>
      <w:r>
        <w:rPr>
          <w:rFonts w:hint="eastAsia" w:ascii="楷体" w:hAnsi="楷体" w:eastAsia="楷体" w:cs="Times New Roman"/>
          <w:b/>
          <w:bCs/>
          <w:spacing w:val="0"/>
          <w:sz w:val="28"/>
          <w:szCs w:val="28"/>
        </w:rPr>
        <w:t>分</w:t>
      </w:r>
    </w:p>
    <w:tbl>
      <w:tblPr>
        <w:tblStyle w:val="26"/>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932"/>
        <w:gridCol w:w="851"/>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序号</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560"/>
              <w:jc w:val="left"/>
              <w:rPr>
                <w:rFonts w:ascii="楷体" w:hAnsi="楷体" w:eastAsia="楷体" w:cs="Times New Roman"/>
                <w:sz w:val="28"/>
                <w:szCs w:val="28"/>
              </w:rPr>
            </w:pPr>
            <w:r>
              <w:rPr>
                <w:rFonts w:hint="eastAsia" w:ascii="楷体" w:hAnsi="楷体" w:eastAsia="楷体" w:cs="Times New Roman"/>
                <w:sz w:val="28"/>
                <w:szCs w:val="28"/>
              </w:rPr>
              <w:t>评审内容</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分值</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560"/>
              <w:jc w:val="left"/>
              <w:rPr>
                <w:rFonts w:ascii="楷体" w:hAnsi="楷体" w:eastAsia="楷体" w:cs="Times New Roman"/>
                <w:sz w:val="28"/>
                <w:szCs w:val="28"/>
              </w:rPr>
            </w:pPr>
            <w:r>
              <w:rPr>
                <w:rFonts w:hint="eastAsia" w:ascii="楷体" w:hAnsi="楷体" w:eastAsia="楷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1</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施工组织机构和人员组成</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hint="eastAsia" w:ascii="楷体" w:hAnsi="楷体" w:eastAsia="楷体" w:cs="Times New Roman"/>
                <w:sz w:val="28"/>
                <w:szCs w:val="28"/>
                <w:lang w:eastAsia="zh-CN"/>
              </w:rPr>
            </w:pPr>
            <w:r>
              <w:rPr>
                <w:rFonts w:hint="eastAsia" w:ascii="楷体" w:hAnsi="楷体" w:eastAsia="楷体"/>
                <w:sz w:val="28"/>
                <w:szCs w:val="28"/>
                <w:lang w:val="en-US" w:eastAsia="zh-CN"/>
              </w:rPr>
              <w:t>3</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组织机构齐全，人员配备合理得</w:t>
            </w:r>
            <w:r>
              <w:rPr>
                <w:rFonts w:hint="eastAsia" w:ascii="楷体" w:hAnsi="楷体" w:eastAsia="楷体"/>
                <w:sz w:val="28"/>
                <w:szCs w:val="28"/>
                <w:lang w:val="en-US" w:eastAsia="zh-CN"/>
              </w:rPr>
              <w:t>3</w:t>
            </w:r>
            <w:r>
              <w:rPr>
                <w:rFonts w:hint="eastAsia" w:ascii="楷体" w:hAnsi="楷体" w:eastAsia="楷体" w:cs="Times New Roman"/>
                <w:sz w:val="28"/>
                <w:szCs w:val="28"/>
              </w:rPr>
              <w:t>分，有缺陷的酌情减分。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2</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施工进度计划</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3</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总施工工期目标明确，关键节点明确，各分项工程施工顺序安排恰当、工序衔接合理，进度计划安排科学，得</w:t>
            </w:r>
            <w:r>
              <w:rPr>
                <w:rFonts w:hint="eastAsia" w:ascii="楷体" w:hAnsi="楷体" w:eastAsia="楷体" w:cs="Times New Roman"/>
                <w:sz w:val="28"/>
                <w:szCs w:val="28"/>
                <w:lang w:val="en-US" w:eastAsia="zh-CN"/>
              </w:rPr>
              <w:t>3</w:t>
            </w:r>
            <w:r>
              <w:rPr>
                <w:rFonts w:hint="eastAsia" w:ascii="楷体" w:hAnsi="楷体" w:eastAsia="楷体" w:cs="Times New Roman"/>
                <w:sz w:val="28"/>
                <w:szCs w:val="28"/>
              </w:rPr>
              <w:t>分。不足的酌情减分。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3</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施工质量保证体系</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hint="eastAsia" w:ascii="楷体" w:hAnsi="楷体" w:eastAsia="楷体" w:cs="Times New Roman"/>
                <w:sz w:val="28"/>
                <w:szCs w:val="28"/>
                <w:lang w:eastAsia="zh-CN"/>
              </w:rPr>
            </w:pPr>
            <w:r>
              <w:rPr>
                <w:rFonts w:hint="eastAsia" w:ascii="楷体" w:hAnsi="楷体" w:eastAsia="楷体"/>
                <w:sz w:val="28"/>
                <w:szCs w:val="28"/>
                <w:lang w:val="en-US" w:eastAsia="zh-CN"/>
              </w:rPr>
              <w:t>4</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质量管理体系完善，工程质量措施完善，按单位、分部和分项分解细化,具体明确，制度健全，能确保工程质量的，得</w:t>
            </w:r>
            <w:r>
              <w:rPr>
                <w:rFonts w:hint="eastAsia" w:ascii="楷体" w:hAnsi="楷体" w:eastAsia="楷体"/>
                <w:sz w:val="28"/>
                <w:szCs w:val="28"/>
                <w:lang w:val="en-US" w:eastAsia="zh-CN"/>
              </w:rPr>
              <w:t>4</w:t>
            </w:r>
            <w:r>
              <w:rPr>
                <w:rFonts w:hint="eastAsia" w:ascii="楷体" w:hAnsi="楷体" w:eastAsia="楷体" w:cs="Times New Roman"/>
                <w:sz w:val="28"/>
                <w:szCs w:val="28"/>
              </w:rPr>
              <w:t>分；存在缺陷或不足的，酌情减分；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4</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sz w:val="28"/>
                <w:szCs w:val="28"/>
              </w:rPr>
              <w:t>材料品牌保证</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hint="eastAsia" w:ascii="楷体" w:hAnsi="楷体" w:eastAsia="楷体" w:cs="Times New Roman"/>
                <w:sz w:val="28"/>
                <w:szCs w:val="28"/>
                <w:lang w:val="en-US" w:eastAsia="zh-CN"/>
              </w:rPr>
            </w:pPr>
            <w:r>
              <w:rPr>
                <w:rFonts w:hint="eastAsia" w:ascii="楷体" w:hAnsi="楷体" w:eastAsia="楷体"/>
                <w:sz w:val="28"/>
                <w:szCs w:val="28"/>
                <w:lang w:val="en-US" w:eastAsia="zh-CN"/>
              </w:rPr>
              <w:t>4</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hint="eastAsia" w:ascii="楷体" w:hAnsi="楷体" w:eastAsia="楷体" w:cs="Times New Roman"/>
                <w:sz w:val="28"/>
                <w:szCs w:val="28"/>
                <w:lang w:val="en-US" w:eastAsia="zh-CN"/>
              </w:rPr>
            </w:pPr>
            <w:r>
              <w:rPr>
                <w:rFonts w:hint="eastAsia" w:ascii="楷体" w:hAnsi="楷体" w:eastAsia="楷体"/>
                <w:sz w:val="28"/>
                <w:szCs w:val="28"/>
              </w:rPr>
              <w:t>投标文件中明确所有材料品牌及规格、且是技术要求中所列的品牌的，得</w:t>
            </w:r>
            <w:r>
              <w:rPr>
                <w:rFonts w:hint="eastAsia" w:ascii="楷体" w:hAnsi="楷体" w:eastAsia="楷体"/>
                <w:sz w:val="28"/>
                <w:szCs w:val="28"/>
                <w:lang w:val="en-US" w:eastAsia="zh-CN"/>
              </w:rPr>
              <w:t>4</w:t>
            </w:r>
            <w:r>
              <w:rPr>
                <w:rFonts w:hint="eastAsia" w:ascii="楷体" w:hAnsi="楷体" w:eastAsia="楷体"/>
                <w:sz w:val="28"/>
                <w:szCs w:val="28"/>
              </w:rPr>
              <w:t>分；所列品牌不全的，按列的数量酌情给分，给分标准为</w:t>
            </w:r>
            <w:r>
              <w:rPr>
                <w:rFonts w:hint="eastAsia" w:ascii="楷体" w:hAnsi="楷体" w:eastAsia="楷体"/>
                <w:sz w:val="28"/>
                <w:szCs w:val="28"/>
                <w:lang w:val="en-US" w:eastAsia="zh-CN"/>
              </w:rPr>
              <w:t>3</w:t>
            </w:r>
            <w:r>
              <w:rPr>
                <w:rFonts w:hint="eastAsia" w:ascii="楷体" w:hAnsi="楷体" w:eastAsia="楷体"/>
                <w:sz w:val="28"/>
                <w:szCs w:val="28"/>
              </w:rPr>
              <w:t>-1分；未列材料品牌或列出的品牌与招标文件要求均不相符得0分</w:t>
            </w:r>
            <w:r>
              <w:rPr>
                <w:rFonts w:hint="eastAsia" w:ascii="楷体" w:hAnsi="楷体" w:eastAsia="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5</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rPr>
                <w:rFonts w:ascii="楷体" w:hAnsi="楷体" w:eastAsia="楷体" w:cs="Times New Roman"/>
                <w:sz w:val="28"/>
                <w:szCs w:val="28"/>
              </w:rPr>
            </w:pPr>
            <w:r>
              <w:rPr>
                <w:rFonts w:hint="eastAsia" w:ascii="楷体" w:hAnsi="楷体" w:eastAsia="楷体" w:cs="Times New Roman"/>
                <w:sz w:val="28"/>
                <w:szCs w:val="28"/>
              </w:rPr>
              <w:t>业    绩</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9</w:t>
            </w:r>
          </w:p>
        </w:tc>
        <w:tc>
          <w:tcPr>
            <w:tcW w:w="5276" w:type="dxa"/>
            <w:tcBorders>
              <w:top w:val="single" w:color="auto" w:sz="4" w:space="0"/>
              <w:left w:val="single" w:color="auto" w:sz="4" w:space="0"/>
              <w:bottom w:val="single" w:color="auto" w:sz="4" w:space="0"/>
              <w:right w:val="single" w:color="auto" w:sz="4" w:space="0"/>
            </w:tcBorders>
            <w:vAlign w:val="center"/>
          </w:tcPr>
          <w:p>
            <w:pPr>
              <w:pStyle w:val="11"/>
              <w:snapToGrid w:val="0"/>
              <w:spacing w:line="460" w:lineRule="exact"/>
              <w:ind w:firstLine="0" w:firstLineChars="0"/>
              <w:jc w:val="left"/>
              <w:rPr>
                <w:rFonts w:ascii="楷体" w:hAnsi="楷体" w:eastAsia="楷体" w:cs="Times New Roman"/>
                <w:spacing w:val="0"/>
                <w:sz w:val="28"/>
                <w:szCs w:val="28"/>
              </w:rPr>
            </w:pPr>
            <w:r>
              <w:rPr>
                <w:rFonts w:hint="eastAsia" w:ascii="楷体" w:hAnsi="楷体" w:eastAsia="楷体" w:cs="Times New Roman"/>
                <w:spacing w:val="0"/>
                <w:sz w:val="28"/>
                <w:szCs w:val="28"/>
              </w:rPr>
              <w:t>投标单位自201</w:t>
            </w:r>
            <w:r>
              <w:rPr>
                <w:rFonts w:hint="eastAsia" w:ascii="楷体" w:hAnsi="楷体" w:eastAsia="楷体" w:cs="Times New Roman"/>
                <w:spacing w:val="0"/>
                <w:sz w:val="28"/>
                <w:szCs w:val="28"/>
                <w:lang w:val="en-US" w:eastAsia="zh-CN"/>
              </w:rPr>
              <w:t>9</w:t>
            </w:r>
            <w:r>
              <w:rPr>
                <w:rFonts w:hint="eastAsia" w:ascii="楷体" w:hAnsi="楷体" w:eastAsia="楷体" w:cs="Times New Roman"/>
                <w:spacing w:val="0"/>
                <w:sz w:val="28"/>
                <w:szCs w:val="28"/>
              </w:rPr>
              <w:t>年</w:t>
            </w:r>
            <w:r>
              <w:rPr>
                <w:rFonts w:hint="eastAsia" w:ascii="楷体" w:hAnsi="楷体" w:eastAsia="楷体" w:cs="Times New Roman"/>
                <w:spacing w:val="0"/>
                <w:sz w:val="28"/>
                <w:szCs w:val="28"/>
                <w:lang w:val="en-US" w:eastAsia="zh-CN"/>
              </w:rPr>
              <w:t>10</w:t>
            </w:r>
            <w:r>
              <w:rPr>
                <w:rFonts w:hint="eastAsia" w:ascii="楷体" w:hAnsi="楷体" w:eastAsia="楷体" w:cs="Times New Roman"/>
                <w:spacing w:val="0"/>
                <w:sz w:val="28"/>
                <w:szCs w:val="28"/>
              </w:rPr>
              <w:t>月1日至开标之日止承担</w:t>
            </w:r>
            <w:r>
              <w:rPr>
                <w:rFonts w:hint="eastAsia" w:ascii="楷体" w:hAnsi="楷体" w:eastAsia="楷体" w:cs="Times New Roman"/>
                <w:b/>
                <w:bCs/>
                <w:spacing w:val="0"/>
                <w:sz w:val="28"/>
                <w:szCs w:val="28"/>
                <w:lang w:eastAsia="zh-CN"/>
              </w:rPr>
              <w:t>实验室</w:t>
            </w:r>
            <w:r>
              <w:rPr>
                <w:rFonts w:hint="eastAsia" w:ascii="楷体" w:hAnsi="楷体" w:eastAsia="楷体" w:cs="Times New Roman"/>
                <w:spacing w:val="0"/>
                <w:sz w:val="28"/>
                <w:szCs w:val="28"/>
                <w:lang w:eastAsia="zh-CN"/>
              </w:rPr>
              <w:t>改造</w:t>
            </w:r>
            <w:r>
              <w:rPr>
                <w:rFonts w:hint="eastAsia" w:ascii="楷体" w:hAnsi="楷体" w:eastAsia="楷体" w:cs="Times New Roman"/>
                <w:spacing w:val="0"/>
                <w:sz w:val="28"/>
                <w:szCs w:val="28"/>
              </w:rPr>
              <w:t>工程的业绩，</w:t>
            </w:r>
            <w:r>
              <w:rPr>
                <w:rFonts w:hint="eastAsia" w:ascii="楷体" w:hAnsi="楷体" w:eastAsia="楷体" w:cs="Times New Roman"/>
                <w:spacing w:val="0"/>
                <w:sz w:val="28"/>
                <w:szCs w:val="28"/>
                <w:lang w:eastAsia="zh-CN"/>
              </w:rPr>
              <w:t>且合同价大于</w:t>
            </w:r>
            <w:r>
              <w:rPr>
                <w:rFonts w:hint="eastAsia" w:ascii="楷体" w:hAnsi="楷体" w:eastAsia="楷体" w:cs="Times New Roman"/>
                <w:spacing w:val="0"/>
                <w:sz w:val="28"/>
                <w:szCs w:val="28"/>
                <w:lang w:val="en-US" w:eastAsia="zh-CN"/>
              </w:rPr>
              <w:t>5万的，</w:t>
            </w:r>
            <w:r>
              <w:rPr>
                <w:rFonts w:hint="eastAsia" w:ascii="楷体" w:hAnsi="楷体" w:eastAsia="楷体" w:cs="Times New Roman"/>
                <w:spacing w:val="0"/>
                <w:sz w:val="28"/>
                <w:szCs w:val="28"/>
              </w:rPr>
              <w:t>每提供一项得</w:t>
            </w:r>
            <w:r>
              <w:rPr>
                <w:rFonts w:hint="eastAsia" w:ascii="楷体" w:hAnsi="楷体" w:eastAsia="楷体" w:cs="Times New Roman"/>
                <w:spacing w:val="0"/>
                <w:sz w:val="28"/>
                <w:szCs w:val="28"/>
                <w:lang w:val="en-US" w:eastAsia="zh-CN"/>
              </w:rPr>
              <w:t>3</w:t>
            </w:r>
            <w:r>
              <w:rPr>
                <w:rFonts w:hint="eastAsia" w:ascii="楷体" w:hAnsi="楷体" w:eastAsia="楷体" w:cs="Times New Roman"/>
                <w:spacing w:val="0"/>
                <w:sz w:val="28"/>
                <w:szCs w:val="28"/>
              </w:rPr>
              <w:t>分，最高得</w:t>
            </w:r>
            <w:r>
              <w:rPr>
                <w:rFonts w:hint="eastAsia" w:ascii="楷体" w:hAnsi="楷体" w:eastAsia="楷体" w:cs="Times New Roman"/>
                <w:spacing w:val="0"/>
                <w:sz w:val="28"/>
                <w:szCs w:val="28"/>
                <w:lang w:val="en-US" w:eastAsia="zh-CN"/>
              </w:rPr>
              <w:t>9</w:t>
            </w:r>
            <w:r>
              <w:rPr>
                <w:rFonts w:hint="eastAsia" w:ascii="楷体" w:hAnsi="楷体" w:eastAsia="楷体" w:cs="Times New Roman"/>
                <w:spacing w:val="0"/>
                <w:sz w:val="28"/>
                <w:szCs w:val="28"/>
              </w:rPr>
              <w:t>分。（认定业绩的依据为施工合同，合同的复印件装订在投标文件中，原件用档案袋密封在开标前随投标文件一起递交给监督人员，以供评委核对，未提供原件的业绩为不得分，业绩时间以合同上的时间为准。</w:t>
            </w:r>
            <w:r>
              <w:rPr>
                <w:rFonts w:hint="eastAsia" w:ascii="楷体" w:hAnsi="楷体" w:eastAsia="楷体" w:cs="Times New Roman"/>
                <w:spacing w:val="0"/>
                <w:sz w:val="28"/>
                <w:szCs w:val="28"/>
                <w:lang w:eastAsia="zh-CN"/>
              </w:rPr>
              <w:t>如</w:t>
            </w:r>
            <w:r>
              <w:rPr>
                <w:rFonts w:hint="eastAsia" w:ascii="楷体" w:hAnsi="楷体" w:eastAsia="楷体" w:cs="Times New Roman"/>
                <w:spacing w:val="0"/>
                <w:sz w:val="28"/>
                <w:szCs w:val="28"/>
              </w:rPr>
              <w:t>施工合同中不能反映</w:t>
            </w:r>
            <w:r>
              <w:rPr>
                <w:rFonts w:hint="eastAsia" w:ascii="楷体" w:hAnsi="楷体" w:eastAsia="楷体" w:cs="Times New Roman"/>
                <w:spacing w:val="0"/>
                <w:sz w:val="28"/>
                <w:szCs w:val="28"/>
                <w:lang w:eastAsia="zh-CN"/>
              </w:rPr>
              <w:t>该工程包含</w:t>
            </w:r>
            <w:r>
              <w:rPr>
                <w:rFonts w:hint="eastAsia" w:ascii="楷体" w:hAnsi="楷体" w:eastAsia="楷体" w:cs="Times New Roman"/>
                <w:b/>
                <w:bCs/>
                <w:spacing w:val="0"/>
                <w:sz w:val="28"/>
                <w:szCs w:val="28"/>
                <w:lang w:eastAsia="zh-CN"/>
              </w:rPr>
              <w:t>实验室</w:t>
            </w:r>
            <w:r>
              <w:rPr>
                <w:rFonts w:hint="eastAsia" w:ascii="楷体" w:hAnsi="楷体" w:eastAsia="楷体" w:cs="Times New Roman"/>
                <w:spacing w:val="0"/>
                <w:sz w:val="28"/>
                <w:szCs w:val="28"/>
                <w:lang w:eastAsia="zh-CN"/>
              </w:rPr>
              <w:t>施工，则</w:t>
            </w:r>
            <w:r>
              <w:rPr>
                <w:rFonts w:hint="eastAsia" w:ascii="楷体" w:hAnsi="楷体" w:eastAsia="楷体" w:cs="Times New Roman"/>
                <w:spacing w:val="0"/>
                <w:sz w:val="28"/>
                <w:szCs w:val="28"/>
              </w:rPr>
              <w:t>需提供建设单位证明，否则业绩无效</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6</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rPr>
                <w:rFonts w:ascii="楷体" w:hAnsi="楷体" w:eastAsia="楷体" w:cs="Times New Roman"/>
                <w:sz w:val="28"/>
                <w:szCs w:val="28"/>
              </w:rPr>
            </w:pPr>
            <w:r>
              <w:rPr>
                <w:rFonts w:hint="eastAsia" w:ascii="楷体" w:hAnsi="楷体" w:eastAsia="楷体" w:cs="Times New Roman"/>
                <w:sz w:val="28"/>
                <w:szCs w:val="28"/>
              </w:rPr>
              <w:t>售后承诺</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hint="eastAsia" w:ascii="楷体" w:hAnsi="楷体" w:eastAsia="楷体" w:cs="Times New Roman"/>
                <w:sz w:val="28"/>
                <w:szCs w:val="28"/>
                <w:lang w:eastAsia="zh-CN"/>
              </w:rPr>
            </w:pPr>
            <w:r>
              <w:rPr>
                <w:rFonts w:hint="eastAsia" w:ascii="楷体" w:hAnsi="楷体" w:eastAsia="楷体"/>
                <w:sz w:val="28"/>
                <w:szCs w:val="28"/>
                <w:lang w:val="en-US" w:eastAsia="zh-CN"/>
              </w:rPr>
              <w:t>3</w:t>
            </w:r>
          </w:p>
        </w:tc>
        <w:tc>
          <w:tcPr>
            <w:tcW w:w="5276" w:type="dxa"/>
            <w:tcBorders>
              <w:top w:val="single" w:color="auto" w:sz="4" w:space="0"/>
              <w:left w:val="single" w:color="auto" w:sz="4" w:space="0"/>
              <w:bottom w:val="single" w:color="auto" w:sz="4" w:space="0"/>
              <w:right w:val="single" w:color="auto" w:sz="4" w:space="0"/>
            </w:tcBorders>
            <w:vAlign w:val="center"/>
          </w:tcPr>
          <w:p>
            <w:pPr>
              <w:pStyle w:val="11"/>
              <w:snapToGrid w:val="0"/>
              <w:spacing w:line="460" w:lineRule="exact"/>
              <w:ind w:firstLine="0" w:firstLineChars="0"/>
              <w:jc w:val="left"/>
              <w:rPr>
                <w:rFonts w:ascii="楷体" w:hAnsi="楷体" w:eastAsia="楷体" w:cs="Times New Roman"/>
                <w:spacing w:val="0"/>
                <w:sz w:val="28"/>
                <w:szCs w:val="28"/>
              </w:rPr>
            </w:pPr>
            <w:r>
              <w:rPr>
                <w:rFonts w:hint="eastAsia" w:ascii="楷体" w:hAnsi="楷体" w:eastAsia="楷体" w:cs="Times New Roman"/>
                <w:spacing w:val="0"/>
                <w:sz w:val="28"/>
                <w:szCs w:val="28"/>
              </w:rPr>
              <w:t>包括保修年限，服务标准，人员配备，维修及保障措施等，根据投标单位承诺情况由评委给予0-</w:t>
            </w:r>
            <w:r>
              <w:rPr>
                <w:rFonts w:hint="eastAsia" w:ascii="楷体" w:hAnsi="楷体" w:eastAsia="楷体"/>
                <w:spacing w:val="0"/>
                <w:sz w:val="28"/>
                <w:szCs w:val="28"/>
                <w:lang w:val="en-US" w:eastAsia="zh-CN"/>
              </w:rPr>
              <w:t>3</w:t>
            </w:r>
            <w:r>
              <w:rPr>
                <w:rFonts w:hint="eastAsia" w:ascii="楷体" w:hAnsi="楷体" w:eastAsia="楷体" w:cs="Times New Roman"/>
                <w:spacing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7</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rPr>
                <w:rFonts w:ascii="楷体" w:hAnsi="楷体" w:eastAsia="楷体" w:cs="Times New Roman"/>
                <w:sz w:val="28"/>
                <w:szCs w:val="28"/>
              </w:rPr>
            </w:pPr>
            <w:r>
              <w:rPr>
                <w:rFonts w:hint="eastAsia" w:ascii="楷体" w:hAnsi="楷体" w:eastAsia="楷体" w:cs="Times New Roman"/>
                <w:sz w:val="28"/>
                <w:szCs w:val="28"/>
                <w:lang w:val="en-US" w:eastAsia="zh-CN"/>
              </w:rPr>
              <w:t>踏勘</w:t>
            </w:r>
            <w:r>
              <w:rPr>
                <w:rFonts w:hint="eastAsia" w:ascii="楷体" w:hAnsi="楷体" w:eastAsia="楷体" w:cs="Times New Roman"/>
                <w:sz w:val="28"/>
                <w:szCs w:val="28"/>
              </w:rPr>
              <w:t>现场</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hint="eastAsia" w:ascii="楷体" w:hAnsi="楷体" w:eastAsia="楷体"/>
                <w:sz w:val="28"/>
                <w:szCs w:val="28"/>
                <w:lang w:eastAsia="zh-CN"/>
              </w:rPr>
            </w:pPr>
            <w:r>
              <w:rPr>
                <w:rFonts w:hint="eastAsia" w:ascii="楷体" w:hAnsi="楷体" w:eastAsia="楷体"/>
                <w:sz w:val="28"/>
                <w:szCs w:val="28"/>
                <w:lang w:val="en-US" w:eastAsia="zh-CN"/>
              </w:rPr>
              <w:t>4</w:t>
            </w:r>
          </w:p>
        </w:tc>
        <w:tc>
          <w:tcPr>
            <w:tcW w:w="5276" w:type="dxa"/>
            <w:tcBorders>
              <w:top w:val="single" w:color="auto" w:sz="4" w:space="0"/>
              <w:left w:val="single" w:color="auto" w:sz="4" w:space="0"/>
              <w:bottom w:val="single" w:color="auto" w:sz="4" w:space="0"/>
              <w:right w:val="single" w:color="auto" w:sz="4" w:space="0"/>
            </w:tcBorders>
            <w:vAlign w:val="center"/>
          </w:tcPr>
          <w:p>
            <w:pPr>
              <w:pStyle w:val="11"/>
              <w:snapToGrid w:val="0"/>
              <w:spacing w:line="460" w:lineRule="exact"/>
              <w:ind w:firstLine="0" w:firstLineChars="0"/>
              <w:jc w:val="left"/>
              <w:rPr>
                <w:rFonts w:ascii="楷体" w:hAnsi="楷体" w:eastAsia="楷体" w:cs="Times New Roman"/>
                <w:spacing w:val="0"/>
                <w:sz w:val="28"/>
                <w:szCs w:val="28"/>
              </w:rPr>
            </w:pPr>
            <w:r>
              <w:rPr>
                <w:rFonts w:hint="eastAsia" w:ascii="楷体" w:hAnsi="楷体" w:eastAsia="楷体" w:cs="Times New Roman"/>
                <w:spacing w:val="0"/>
                <w:sz w:val="28"/>
                <w:szCs w:val="28"/>
              </w:rPr>
              <w:t>各投标单位按时</w:t>
            </w:r>
            <w:r>
              <w:rPr>
                <w:rFonts w:hint="eastAsia" w:ascii="楷体" w:hAnsi="楷体" w:eastAsia="楷体" w:cs="Times New Roman"/>
                <w:spacing w:val="0"/>
                <w:sz w:val="28"/>
                <w:szCs w:val="28"/>
                <w:lang w:val="en-US" w:eastAsia="zh-CN"/>
              </w:rPr>
              <w:t>踏勘</w:t>
            </w:r>
            <w:r>
              <w:rPr>
                <w:rFonts w:hint="eastAsia" w:ascii="楷体" w:hAnsi="楷体" w:eastAsia="楷体" w:cs="Times New Roman"/>
                <w:spacing w:val="0"/>
                <w:sz w:val="28"/>
                <w:szCs w:val="28"/>
              </w:rPr>
              <w:t>现场，参加现场</w:t>
            </w:r>
            <w:r>
              <w:rPr>
                <w:rFonts w:hint="eastAsia" w:ascii="楷体" w:hAnsi="楷体" w:eastAsia="楷体" w:cs="Times New Roman"/>
                <w:spacing w:val="0"/>
                <w:sz w:val="28"/>
                <w:szCs w:val="28"/>
                <w:lang w:val="en-US" w:eastAsia="zh-CN"/>
              </w:rPr>
              <w:t>踏勘者</w:t>
            </w:r>
            <w:r>
              <w:rPr>
                <w:rFonts w:hint="eastAsia" w:ascii="楷体" w:hAnsi="楷体" w:eastAsia="楷体" w:cs="Times New Roman"/>
                <w:spacing w:val="0"/>
                <w:sz w:val="28"/>
                <w:szCs w:val="28"/>
              </w:rPr>
              <w:t>得</w:t>
            </w:r>
            <w:r>
              <w:rPr>
                <w:rFonts w:hint="eastAsia" w:ascii="楷体" w:hAnsi="楷体" w:eastAsia="楷体" w:cs="Times New Roman"/>
                <w:spacing w:val="0"/>
                <w:sz w:val="28"/>
                <w:szCs w:val="28"/>
                <w:lang w:val="en-US" w:eastAsia="zh-CN"/>
              </w:rPr>
              <w:t>4</w:t>
            </w:r>
            <w:r>
              <w:rPr>
                <w:rFonts w:hint="eastAsia" w:ascii="楷体" w:hAnsi="楷体" w:eastAsia="楷体" w:cs="Times New Roman"/>
                <w:spacing w:val="0"/>
                <w:sz w:val="28"/>
                <w:szCs w:val="28"/>
              </w:rPr>
              <w:t>分，没有</w:t>
            </w:r>
            <w:r>
              <w:rPr>
                <w:rFonts w:hint="eastAsia" w:ascii="楷体" w:hAnsi="楷体" w:eastAsia="楷体" w:cs="Times New Roman"/>
                <w:spacing w:val="0"/>
                <w:sz w:val="28"/>
                <w:szCs w:val="28"/>
                <w:lang w:val="en-US" w:eastAsia="zh-CN"/>
              </w:rPr>
              <w:t>参加者</w:t>
            </w:r>
            <w:r>
              <w:rPr>
                <w:rFonts w:hint="eastAsia" w:ascii="楷体" w:hAnsi="楷体" w:eastAsia="楷体" w:cs="Times New Roman"/>
                <w:spacing w:val="0"/>
                <w:sz w:val="28"/>
                <w:szCs w:val="28"/>
              </w:rPr>
              <w:t>不得分，以</w:t>
            </w:r>
            <w:r>
              <w:rPr>
                <w:rFonts w:hint="eastAsia" w:ascii="楷体" w:hAnsi="楷体" w:eastAsia="楷体" w:cs="Times New Roman"/>
                <w:spacing w:val="0"/>
                <w:sz w:val="28"/>
                <w:szCs w:val="28"/>
                <w:lang w:val="en-US" w:eastAsia="zh-CN"/>
              </w:rPr>
              <w:t>踏勘现场签到表</w:t>
            </w:r>
            <w:r>
              <w:rPr>
                <w:rFonts w:hint="eastAsia" w:ascii="楷体" w:hAnsi="楷体" w:eastAsia="楷体" w:cs="Times New Roman"/>
                <w:spacing w:val="0"/>
                <w:sz w:val="28"/>
                <w:szCs w:val="28"/>
              </w:rPr>
              <w:t>为准。</w:t>
            </w:r>
          </w:p>
        </w:tc>
      </w:tr>
    </w:tbl>
    <w:p>
      <w:pPr>
        <w:adjustRightInd w:val="0"/>
        <w:snapToGrid w:val="0"/>
        <w:spacing w:line="460" w:lineRule="exact"/>
        <w:ind w:firstLine="560"/>
        <w:rPr>
          <w:rFonts w:ascii="楷体" w:hAnsi="楷体" w:eastAsia="楷体" w:cs="Times New Roman"/>
          <w:color w:val="FF0000"/>
          <w:sz w:val="28"/>
          <w:szCs w:val="28"/>
        </w:rPr>
      </w:pPr>
      <w:r>
        <w:rPr>
          <w:rFonts w:hint="eastAsia" w:ascii="楷体" w:hAnsi="楷体" w:eastAsia="楷体" w:cs="Times New Roman"/>
          <w:sz w:val="28"/>
          <w:szCs w:val="28"/>
        </w:rPr>
        <w:t>其他：</w:t>
      </w:r>
      <w:r>
        <w:rPr>
          <w:rFonts w:ascii="楷体" w:hAnsi="楷体" w:eastAsia="楷体" w:cs="Times New Roman"/>
          <w:sz w:val="28"/>
          <w:szCs w:val="28"/>
        </w:rPr>
        <w:t>如</w:t>
      </w:r>
      <w:r>
        <w:rPr>
          <w:rFonts w:hint="eastAsia" w:ascii="楷体" w:hAnsi="楷体" w:eastAsia="楷体" w:cs="Times New Roman"/>
          <w:sz w:val="28"/>
          <w:szCs w:val="28"/>
        </w:rPr>
        <w:t>第一</w:t>
      </w:r>
      <w:r>
        <w:rPr>
          <w:rFonts w:ascii="楷体" w:hAnsi="楷体" w:eastAsia="楷体" w:cs="Times New Roman"/>
          <w:sz w:val="28"/>
          <w:szCs w:val="28"/>
        </w:rPr>
        <w:t>中标人放弃中标</w:t>
      </w:r>
      <w:r>
        <w:rPr>
          <w:rFonts w:hint="eastAsia" w:ascii="楷体" w:hAnsi="楷体" w:eastAsia="楷体" w:cs="Times New Roman"/>
          <w:sz w:val="28"/>
          <w:szCs w:val="28"/>
        </w:rPr>
        <w:t>,</w:t>
      </w:r>
      <w:r>
        <w:rPr>
          <w:rFonts w:ascii="楷体" w:hAnsi="楷体" w:eastAsia="楷体" w:cs="Times New Roman"/>
          <w:sz w:val="28"/>
          <w:szCs w:val="28"/>
        </w:rPr>
        <w:t>或因不可抗力提出不能履行合同，或者招标文件规定应当提交履约保证金而在规定的期限内未能提交的，招标人可以</w:t>
      </w:r>
      <w:r>
        <w:rPr>
          <w:rFonts w:hint="eastAsia" w:ascii="楷体" w:hAnsi="楷体" w:eastAsia="楷体" w:cs="Times New Roman"/>
          <w:sz w:val="28"/>
          <w:szCs w:val="28"/>
        </w:rPr>
        <w:t>选择排名第二名中标人进行递补</w:t>
      </w:r>
      <w:r>
        <w:rPr>
          <w:rFonts w:ascii="楷体" w:hAnsi="楷体" w:eastAsia="楷体" w:cs="Times New Roman"/>
          <w:sz w:val="28"/>
          <w:szCs w:val="28"/>
        </w:rPr>
        <w:t>。</w:t>
      </w:r>
    </w:p>
    <w:p>
      <w:pPr>
        <w:ind w:firstLine="420"/>
      </w:pPr>
    </w:p>
    <w:p>
      <w:pPr>
        <w:rPr>
          <w:rFonts w:asciiTheme="minorEastAsia" w:hAnsiTheme="minorEastAsia" w:eastAsiaTheme="minorEastAsia"/>
        </w:rPr>
      </w:pPr>
    </w:p>
    <w:p>
      <w:pPr>
        <w:pStyle w:val="45"/>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955039"/>
      <w:bookmarkEnd w:id="112"/>
      <w:bookmarkStart w:id="113" w:name="_Hlt26671244"/>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6"/>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w:t>
            </w:r>
            <w:r>
              <w:rPr>
                <w:rFonts w:hint="eastAsia" w:cs="Times New Roman"/>
                <w:lang w:eastAsia="zh-CN"/>
              </w:rPr>
              <w:t>1号实验楼实验室改造工程项目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p>
          <w:p>
            <w:pPr>
              <w:pStyle w:val="25"/>
              <w:numPr>
                <w:ilvl w:val="0"/>
                <w:numId w:val="0"/>
              </w:numPr>
              <w:rPr>
                <w:rFonts w:hint="eastAsia"/>
                <w:lang w:val="en-US" w:eastAsia="zh-CN"/>
              </w:rPr>
            </w:pPr>
          </w:p>
          <w:p>
            <w:pPr>
              <w:pStyle w:val="25"/>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3828483"/>
      <w:bookmarkStart w:id="118" w:name="_Toc26554103"/>
      <w:bookmarkStart w:id="119" w:name="_Toc24878535"/>
      <w:bookmarkStart w:id="120" w:name="_Toc49090582"/>
      <w:bookmarkStart w:id="121" w:name="_Toc22356583"/>
      <w:bookmarkStart w:id="122" w:name="_Toc513029281"/>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6"/>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pacing w:val="-6"/>
        </w:rPr>
      </w:pPr>
      <w:r>
        <w:rPr>
          <w:rFonts w:hint="eastAsia" w:hAnsi="宋体"/>
          <w:spacing w:val="-6"/>
        </w:rPr>
        <w:t xml:space="preserve"> </w:t>
      </w:r>
    </w:p>
    <w:p>
      <w:pPr>
        <w:pStyle w:val="38"/>
        <w:ind w:firstLine="0" w:firstLineChars="0"/>
        <w:rPr>
          <w:rFonts w:hint="eastAsia" w:hAnsi="宋体" w:eastAsia="宋体"/>
          <w:sz w:val="24"/>
          <w:szCs w:val="24"/>
        </w:rPr>
      </w:pPr>
    </w:p>
    <w:bookmarkEnd w:id="124"/>
    <w:p>
      <w:pPr>
        <w:jc w:val="center"/>
        <w:rPr>
          <w:rStyle w:val="64"/>
          <w:rFonts w:ascii="华文中宋" w:hAnsi="华文中宋" w:eastAsia="华文中宋"/>
          <w:b w:val="0"/>
          <w:color w:val="auto"/>
          <w:sz w:val="28"/>
          <w:szCs w:val="28"/>
        </w:rPr>
      </w:pPr>
      <w:bookmarkStart w:id="125" w:name="_Toc26554095"/>
      <w:bookmarkStart w:id="126" w:name="_Toc513029276"/>
      <w:bookmarkStart w:id="127" w:name="_Toc49090577"/>
      <w:bookmarkStart w:id="128" w:name="_Toc120614283"/>
      <w:bookmarkStart w:id="129" w:name="_Toc23828478"/>
      <w:bookmarkStart w:id="130" w:name="_Toc460901585"/>
      <w:bookmarkStart w:id="131" w:name="_Toc22356580"/>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4"/>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2"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2"/>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3" w:name="OLE_LINK2"/>
      <w:bookmarkStart w:id="134" w:name="OLE_LINK3"/>
      <w:bookmarkStart w:id="135" w:name="OLE_LINK1"/>
      <w:r>
        <w:rPr>
          <w:rFonts w:hint="eastAsia" w:ascii="仿宋_GB2312" w:hAnsi="宋体" w:eastAsia="仿宋_GB2312" w:cs="宋体"/>
          <w:sz w:val="24"/>
          <w:szCs w:val="24"/>
        </w:rPr>
        <w:t>学校采购活动</w:t>
      </w:r>
      <w:bookmarkEnd w:id="133"/>
      <w:bookmarkEnd w:id="134"/>
      <w:bookmarkEnd w:id="135"/>
      <w:r>
        <w:rPr>
          <w:rFonts w:hint="eastAsia" w:ascii="仿宋_GB2312" w:hAnsi="宋体" w:eastAsia="仿宋_GB2312" w:cs="宋体"/>
          <w:sz w:val="24"/>
          <w:szCs w:val="24"/>
        </w:rPr>
        <w:t>质疑的提出和答复、投诉的提起和处理。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6" w:name="OLE_LINK8"/>
      <w:bookmarkStart w:id="137" w:name="OLE_LINK9"/>
      <w:bookmarkStart w:id="138" w:name="OLE_LINK5"/>
      <w:bookmarkStart w:id="139" w:name="OLE_LINK4"/>
      <w:bookmarkStart w:id="140" w:name="OLE_LINK6"/>
      <w:bookmarkStart w:id="141" w:name="OLE_LINK7"/>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6"/>
      <w:bookmarkEnd w:id="137"/>
      <w:bookmarkEnd w:id="138"/>
      <w:bookmarkEnd w:id="139"/>
      <w:bookmarkEnd w:id="140"/>
      <w:bookmarkEnd w:id="141"/>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2" w:name="OLE_LINK77"/>
      <w:bookmarkStart w:id="143" w:name="OLE_LINK76"/>
      <w:bookmarkStart w:id="144" w:name="OLE_LINK78"/>
      <w:r>
        <w:rPr>
          <w:rFonts w:hint="eastAsia" w:ascii="仿宋_GB2312" w:hAnsi="微软雅黑" w:eastAsia="仿宋_GB2312"/>
          <w:sz w:val="24"/>
          <w:szCs w:val="24"/>
        </w:rPr>
        <w:t>国资处、采购代理机构</w:t>
      </w:r>
      <w:bookmarkEnd w:id="142"/>
      <w:bookmarkEnd w:id="143"/>
      <w:bookmarkEnd w:id="144"/>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3"/>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第五章 </w:t>
      </w:r>
      <w:r>
        <w:rPr>
          <w:rStyle w:val="29"/>
          <w:rFonts w:hint="eastAsia" w:ascii="微软雅黑" w:hAnsi="微软雅黑" w:eastAsia="黑体"/>
          <w:sz w:val="30"/>
          <w:szCs w:val="30"/>
        </w:rPr>
        <w:t> </w:t>
      </w:r>
      <w:r>
        <w:rPr>
          <w:rStyle w:val="29"/>
          <w:rFonts w:hint="eastAsia" w:ascii="黑体" w:hAnsi="黑体" w:eastAsia="黑体"/>
          <w:sz w:val="30"/>
          <w:szCs w:val="30"/>
        </w:rPr>
        <w:t>投诉的处理</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5" w:name="OLE_LINK11"/>
      <w:bookmarkStart w:id="146" w:name="OLE_LINK13"/>
      <w:bookmarkStart w:id="147"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5"/>
      <w:bookmarkEnd w:id="146"/>
      <w:bookmarkEnd w:id="147"/>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8" w:name="OLE_LINK14"/>
      <w:bookmarkStart w:id="149" w:name="OLE_LINK15"/>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8"/>
    <w:bookmarkEnd w:id="149"/>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Style w:val="29"/>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第六章 </w:t>
      </w:r>
      <w:r>
        <w:rPr>
          <w:rStyle w:val="29"/>
          <w:rFonts w:hint="eastAsia" w:ascii="微软雅黑" w:hAnsi="微软雅黑" w:eastAsia="黑体"/>
          <w:sz w:val="30"/>
          <w:szCs w:val="30"/>
        </w:rPr>
        <w:t> </w:t>
      </w:r>
      <w:r>
        <w:rPr>
          <w:rStyle w:val="29"/>
          <w:rFonts w:hint="eastAsia" w:ascii="黑体" w:hAnsi="黑体" w:eastAsia="黑体"/>
          <w:sz w:val="30"/>
          <w:szCs w:val="30"/>
        </w:rPr>
        <w:t>法律责任</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9"/>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0" w:name="OLE_LINK16"/>
      <w:bookmarkStart w:id="151" w:name="OLE_LINK17"/>
      <w:bookmarkStart w:id="152" w:name="OLE_LINK18"/>
      <w:r>
        <w:rPr>
          <w:rFonts w:hint="eastAsia" w:ascii="仿宋_GB2312" w:hAnsi="宋体" w:eastAsia="仿宋_GB2312" w:cs="宋体"/>
          <w:sz w:val="24"/>
          <w:szCs w:val="24"/>
        </w:rPr>
        <w:t>规</w:t>
      </w:r>
      <w:bookmarkEnd w:id="150"/>
      <w:bookmarkEnd w:id="151"/>
      <w:bookmarkEnd w:id="152"/>
      <w:r>
        <w:rPr>
          <w:rFonts w:hint="eastAsia" w:ascii="仿宋_GB2312" w:hAnsi="宋体" w:eastAsia="仿宋_GB2312" w:cs="宋体"/>
          <w:sz w:val="24"/>
          <w:szCs w:val="24"/>
        </w:rPr>
        <w:t>追究其相应责任。</w:t>
      </w:r>
    </w:p>
    <w:p>
      <w:pPr>
        <w:pStyle w:val="23"/>
        <w:shd w:val="clear" w:color="auto" w:fill="FFFFFF"/>
        <w:adjustRightInd w:val="0"/>
        <w:snapToGrid w:val="0"/>
        <w:spacing w:before="0" w:beforeAutospacing="0" w:after="0" w:afterAutospacing="0" w:line="560" w:lineRule="exact"/>
        <w:ind w:firstLine="482" w:firstLineChars="200"/>
        <w:jc w:val="both"/>
        <w:rPr>
          <w:rStyle w:val="29"/>
          <w:rFonts w:ascii="仿宋_GB2312" w:hAnsi="微软雅黑" w:eastAsia="仿宋_GB2312"/>
          <w:sz w:val="24"/>
          <w:szCs w:val="24"/>
        </w:rPr>
      </w:pPr>
      <w:r>
        <w:rPr>
          <w:rStyle w:val="29"/>
          <w:rFonts w:hint="eastAsia" w:ascii="仿宋_GB2312" w:hAnsi="微软雅黑" w:eastAsia="仿宋_GB2312"/>
          <w:sz w:val="24"/>
          <w:szCs w:val="24"/>
        </w:rPr>
        <w:t>　</w:t>
      </w:r>
    </w:p>
    <w:p>
      <w:pPr>
        <w:pStyle w:val="23"/>
        <w:shd w:val="clear" w:color="auto" w:fill="FFFFFF"/>
        <w:adjustRightInd w:val="0"/>
        <w:snapToGrid w:val="0"/>
        <w:spacing w:before="0" w:beforeAutospacing="0" w:after="0" w:afterAutospacing="0" w:line="560" w:lineRule="exact"/>
        <w:jc w:val="center"/>
        <w:rPr>
          <w:rStyle w:val="29"/>
          <w:rFonts w:ascii="黑体" w:hAnsi="黑体" w:eastAsia="黑体"/>
          <w:sz w:val="24"/>
          <w:szCs w:val="24"/>
        </w:rPr>
      </w:pPr>
      <w:r>
        <w:rPr>
          <w:rStyle w:val="29"/>
          <w:rFonts w:hint="eastAsia" w:ascii="黑体" w:hAnsi="黑体" w:eastAsia="黑体"/>
          <w:sz w:val="24"/>
          <w:szCs w:val="24"/>
        </w:rPr>
        <w:t xml:space="preserve">第七章 </w:t>
      </w:r>
      <w:r>
        <w:rPr>
          <w:rStyle w:val="29"/>
          <w:rFonts w:hint="eastAsia" w:ascii="微软雅黑" w:hAnsi="微软雅黑" w:eastAsia="黑体"/>
          <w:sz w:val="24"/>
          <w:szCs w:val="24"/>
        </w:rPr>
        <w:t> </w:t>
      </w:r>
      <w:r>
        <w:rPr>
          <w:rStyle w:val="29"/>
          <w:rFonts w:hint="eastAsia" w:ascii="黑体" w:hAnsi="黑体" w:eastAsia="黑体"/>
          <w:sz w:val="24"/>
          <w:szCs w:val="24"/>
        </w:rPr>
        <w:t>附则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3"/>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4"/>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9"/>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A01301"/>
    <w:rsid w:val="03B66375"/>
    <w:rsid w:val="0432311F"/>
    <w:rsid w:val="04910E13"/>
    <w:rsid w:val="04E55E3A"/>
    <w:rsid w:val="055F6389"/>
    <w:rsid w:val="09296F01"/>
    <w:rsid w:val="092E1276"/>
    <w:rsid w:val="09564F15"/>
    <w:rsid w:val="09A84CAA"/>
    <w:rsid w:val="09AC2920"/>
    <w:rsid w:val="0A4546CD"/>
    <w:rsid w:val="0A9D2C05"/>
    <w:rsid w:val="0C5D773D"/>
    <w:rsid w:val="0D2E26C4"/>
    <w:rsid w:val="0D7754CF"/>
    <w:rsid w:val="0D7E2A6A"/>
    <w:rsid w:val="0DA16FB4"/>
    <w:rsid w:val="0DAD78C9"/>
    <w:rsid w:val="0E7E3960"/>
    <w:rsid w:val="0ECE2C8D"/>
    <w:rsid w:val="107556EE"/>
    <w:rsid w:val="10A328AC"/>
    <w:rsid w:val="11097CFF"/>
    <w:rsid w:val="11725165"/>
    <w:rsid w:val="11A93BAF"/>
    <w:rsid w:val="12A869B3"/>
    <w:rsid w:val="12DA0610"/>
    <w:rsid w:val="16192806"/>
    <w:rsid w:val="162C38CF"/>
    <w:rsid w:val="17252284"/>
    <w:rsid w:val="177B58CD"/>
    <w:rsid w:val="18020BC4"/>
    <w:rsid w:val="18B051AF"/>
    <w:rsid w:val="18E70052"/>
    <w:rsid w:val="19254BEF"/>
    <w:rsid w:val="19464AA9"/>
    <w:rsid w:val="19DC3498"/>
    <w:rsid w:val="1A07319C"/>
    <w:rsid w:val="1A33516B"/>
    <w:rsid w:val="1B4F4CC3"/>
    <w:rsid w:val="1B7570E3"/>
    <w:rsid w:val="1BA211E7"/>
    <w:rsid w:val="1C883A7E"/>
    <w:rsid w:val="1D1A4E10"/>
    <w:rsid w:val="1E2D6CC4"/>
    <w:rsid w:val="1F025BBE"/>
    <w:rsid w:val="1F946F19"/>
    <w:rsid w:val="1FD03D76"/>
    <w:rsid w:val="203877A5"/>
    <w:rsid w:val="20EB3EDD"/>
    <w:rsid w:val="214E2D29"/>
    <w:rsid w:val="21A428FD"/>
    <w:rsid w:val="228869AA"/>
    <w:rsid w:val="22C22324"/>
    <w:rsid w:val="22C569DD"/>
    <w:rsid w:val="23567244"/>
    <w:rsid w:val="236513B9"/>
    <w:rsid w:val="24EE3E19"/>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D31750C"/>
    <w:rsid w:val="2DE634B9"/>
    <w:rsid w:val="2E826240"/>
    <w:rsid w:val="2E8D0331"/>
    <w:rsid w:val="2EDF550D"/>
    <w:rsid w:val="30C91186"/>
    <w:rsid w:val="31495EDE"/>
    <w:rsid w:val="31921319"/>
    <w:rsid w:val="31BC6863"/>
    <w:rsid w:val="32FA2CBE"/>
    <w:rsid w:val="338B35BF"/>
    <w:rsid w:val="34092461"/>
    <w:rsid w:val="347D2298"/>
    <w:rsid w:val="34EF42C7"/>
    <w:rsid w:val="35941F30"/>
    <w:rsid w:val="35E04617"/>
    <w:rsid w:val="35EA3087"/>
    <w:rsid w:val="365657D0"/>
    <w:rsid w:val="36607CEC"/>
    <w:rsid w:val="36EF1694"/>
    <w:rsid w:val="388443D5"/>
    <w:rsid w:val="38FB3C73"/>
    <w:rsid w:val="390659FB"/>
    <w:rsid w:val="390D1E7C"/>
    <w:rsid w:val="3A014C0D"/>
    <w:rsid w:val="3A3D3FD1"/>
    <w:rsid w:val="3B6A356D"/>
    <w:rsid w:val="3B7F0DA7"/>
    <w:rsid w:val="3BAB4838"/>
    <w:rsid w:val="3BF1493F"/>
    <w:rsid w:val="3C474EBB"/>
    <w:rsid w:val="3E2E563A"/>
    <w:rsid w:val="3E547D6D"/>
    <w:rsid w:val="3EA52FF6"/>
    <w:rsid w:val="3EFC727D"/>
    <w:rsid w:val="3F2969DF"/>
    <w:rsid w:val="3F646DBC"/>
    <w:rsid w:val="43001B9C"/>
    <w:rsid w:val="44E0509A"/>
    <w:rsid w:val="450C5FC9"/>
    <w:rsid w:val="457774F2"/>
    <w:rsid w:val="45C94FEF"/>
    <w:rsid w:val="462D2409"/>
    <w:rsid w:val="463D2F25"/>
    <w:rsid w:val="47C1249E"/>
    <w:rsid w:val="47F53459"/>
    <w:rsid w:val="481B4427"/>
    <w:rsid w:val="485756B9"/>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34643D"/>
    <w:rsid w:val="52823DEE"/>
    <w:rsid w:val="52EC4B4A"/>
    <w:rsid w:val="53510242"/>
    <w:rsid w:val="54102DA0"/>
    <w:rsid w:val="54B565B4"/>
    <w:rsid w:val="5517751A"/>
    <w:rsid w:val="55D05E32"/>
    <w:rsid w:val="56194C24"/>
    <w:rsid w:val="56F05266"/>
    <w:rsid w:val="57350A15"/>
    <w:rsid w:val="575168F3"/>
    <w:rsid w:val="58732C56"/>
    <w:rsid w:val="594D5E25"/>
    <w:rsid w:val="59E14756"/>
    <w:rsid w:val="5A7E4E4D"/>
    <w:rsid w:val="5A876F07"/>
    <w:rsid w:val="5AB55191"/>
    <w:rsid w:val="5B3A2360"/>
    <w:rsid w:val="5BFB2CB6"/>
    <w:rsid w:val="5C957923"/>
    <w:rsid w:val="5CA42F27"/>
    <w:rsid w:val="5CD106AA"/>
    <w:rsid w:val="5CE11CAD"/>
    <w:rsid w:val="5D0F5ABF"/>
    <w:rsid w:val="5D741EDD"/>
    <w:rsid w:val="5DE021E2"/>
    <w:rsid w:val="5DFA5BF3"/>
    <w:rsid w:val="5E545B85"/>
    <w:rsid w:val="5E6C12B6"/>
    <w:rsid w:val="5F765DB0"/>
    <w:rsid w:val="614F743B"/>
    <w:rsid w:val="622A6C63"/>
    <w:rsid w:val="623D10A6"/>
    <w:rsid w:val="62EF21DB"/>
    <w:rsid w:val="631D68AE"/>
    <w:rsid w:val="632D6F40"/>
    <w:rsid w:val="63AF1D1A"/>
    <w:rsid w:val="63F510AA"/>
    <w:rsid w:val="648E32AE"/>
    <w:rsid w:val="64A06B15"/>
    <w:rsid w:val="64BC084D"/>
    <w:rsid w:val="64D252BD"/>
    <w:rsid w:val="65412DFD"/>
    <w:rsid w:val="657F52AC"/>
    <w:rsid w:val="65ED3907"/>
    <w:rsid w:val="663742F4"/>
    <w:rsid w:val="663A01C8"/>
    <w:rsid w:val="668B2466"/>
    <w:rsid w:val="66DB439B"/>
    <w:rsid w:val="66E003B2"/>
    <w:rsid w:val="6817729A"/>
    <w:rsid w:val="699E695C"/>
    <w:rsid w:val="69BF7E12"/>
    <w:rsid w:val="6A407083"/>
    <w:rsid w:val="6B5E1C10"/>
    <w:rsid w:val="6B9C09D1"/>
    <w:rsid w:val="6BC86475"/>
    <w:rsid w:val="6C0D40F8"/>
    <w:rsid w:val="6C2E4C0D"/>
    <w:rsid w:val="6D012A4C"/>
    <w:rsid w:val="6DA6798D"/>
    <w:rsid w:val="6DED4397"/>
    <w:rsid w:val="6F420D0F"/>
    <w:rsid w:val="701B5C41"/>
    <w:rsid w:val="71091718"/>
    <w:rsid w:val="71587B7E"/>
    <w:rsid w:val="7276222A"/>
    <w:rsid w:val="73197CE0"/>
    <w:rsid w:val="732A1BFA"/>
    <w:rsid w:val="73344FDD"/>
    <w:rsid w:val="73616E39"/>
    <w:rsid w:val="73C0694D"/>
    <w:rsid w:val="74A54B7B"/>
    <w:rsid w:val="751B270C"/>
    <w:rsid w:val="7532635D"/>
    <w:rsid w:val="768C17FB"/>
    <w:rsid w:val="77722493"/>
    <w:rsid w:val="77C93AFF"/>
    <w:rsid w:val="781529D2"/>
    <w:rsid w:val="79002FDD"/>
    <w:rsid w:val="790F7714"/>
    <w:rsid w:val="795F3BA3"/>
    <w:rsid w:val="7A2C2B5D"/>
    <w:rsid w:val="7A3C397B"/>
    <w:rsid w:val="7AE123AE"/>
    <w:rsid w:val="7C88056F"/>
    <w:rsid w:val="7CBB28FC"/>
    <w:rsid w:val="7CEB1854"/>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50"/>
    <w:qFormat/>
    <w:uiPriority w:val="9"/>
    <w:pPr>
      <w:keepNext/>
      <w:keepLines/>
      <w:spacing w:before="260" w:after="260" w:line="416" w:lineRule="auto"/>
      <w:outlineLvl w:val="2"/>
    </w:pPr>
    <w:rPr>
      <w:b/>
      <w:bCs/>
      <w:sz w:val="32"/>
      <w:szCs w:val="32"/>
    </w:rPr>
  </w:style>
  <w:style w:type="paragraph" w:styleId="6">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7">
    <w:name w:val="heading 5"/>
    <w:basedOn w:val="1"/>
    <w:next w:val="1"/>
    <w:link w:val="52"/>
    <w:qFormat/>
    <w:uiPriority w:val="9"/>
    <w:pPr>
      <w:keepNext/>
      <w:keepLines/>
      <w:spacing w:before="280" w:after="290" w:line="376" w:lineRule="auto"/>
      <w:outlineLvl w:val="4"/>
    </w:pPr>
    <w:rPr>
      <w:b/>
      <w:bCs/>
      <w:szCs w:val="28"/>
    </w:rPr>
  </w:style>
  <w:style w:type="paragraph" w:styleId="8">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54"/>
    <w:qFormat/>
    <w:uiPriority w:val="9"/>
    <w:pPr>
      <w:keepNext/>
      <w:keepLines/>
      <w:spacing w:before="240" w:after="64" w:line="320" w:lineRule="auto"/>
      <w:outlineLvl w:val="6"/>
    </w:pPr>
    <w:rPr>
      <w:b/>
      <w:bCs/>
      <w:sz w:val="24"/>
      <w:szCs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10">
    <w:name w:val="annotation text"/>
    <w:basedOn w:val="1"/>
    <w:qFormat/>
    <w:uiPriority w:val="0"/>
    <w:pPr>
      <w:jc w:val="left"/>
    </w:pPr>
    <w:rPr>
      <w:kern w:val="0"/>
      <w:sz w:val="21"/>
      <w:szCs w:val="21"/>
    </w:rPr>
  </w:style>
  <w:style w:type="paragraph" w:styleId="11">
    <w:name w:val="Body Text Indent"/>
    <w:basedOn w:val="1"/>
    <w:next w:val="12"/>
    <w:link w:val="47"/>
    <w:qFormat/>
    <w:uiPriority w:val="0"/>
    <w:pPr>
      <w:spacing w:line="200" w:lineRule="atLeast"/>
      <w:ind w:firstLine="301"/>
    </w:pPr>
    <w:rPr>
      <w:rFonts w:ascii="宋体" w:hAnsi="Courier New"/>
      <w:spacing w:val="-4"/>
      <w:kern w:val="0"/>
      <w:sz w:val="18"/>
    </w:rPr>
  </w:style>
  <w:style w:type="paragraph" w:styleId="12">
    <w:name w:val="envelope return"/>
    <w:basedOn w:val="1"/>
    <w:qFormat/>
    <w:uiPriority w:val="0"/>
    <w:pPr>
      <w:snapToGrid w:val="0"/>
    </w:pPr>
    <w:rPr>
      <w:rFonts w:ascii="Arial" w:hAnsi="Arial"/>
    </w:rPr>
  </w:style>
  <w:style w:type="paragraph" w:styleId="13">
    <w:name w:val="index 4"/>
    <w:basedOn w:val="1"/>
    <w:next w:val="1"/>
    <w:qFormat/>
    <w:uiPriority w:val="99"/>
    <w:pPr>
      <w:ind w:left="600" w:leftChars="600"/>
    </w:pPr>
    <w:rPr>
      <w:rFonts w:ascii="Calibri" w:hAnsi="Calibri"/>
      <w:szCs w:val="24"/>
    </w:rPr>
  </w:style>
  <w:style w:type="paragraph" w:styleId="14">
    <w:name w:val="Plain Text"/>
    <w:basedOn w:val="1"/>
    <w:link w:val="55"/>
    <w:qFormat/>
    <w:uiPriority w:val="0"/>
    <w:pPr>
      <w:spacing w:beforeLines="50" w:afterLines="50" w:line="400" w:lineRule="atLeast"/>
    </w:pPr>
    <w:rPr>
      <w:rFonts w:ascii="宋体" w:hAnsi="Courier New"/>
      <w:kern w:val="0"/>
      <w:sz w:val="24"/>
    </w:rPr>
  </w:style>
  <w:style w:type="paragraph" w:styleId="15">
    <w:name w:val="Date"/>
    <w:basedOn w:val="1"/>
    <w:next w:val="1"/>
    <w:link w:val="56"/>
    <w:unhideWhenUsed/>
    <w:qFormat/>
    <w:uiPriority w:val="99"/>
    <w:pPr>
      <w:ind w:left="100" w:leftChars="2500"/>
    </w:pPr>
  </w:style>
  <w:style w:type="paragraph" w:styleId="16">
    <w:name w:val="Balloon Text"/>
    <w:basedOn w:val="1"/>
    <w:link w:val="57"/>
    <w:unhideWhenUsed/>
    <w:qFormat/>
    <w:uiPriority w:val="99"/>
    <w:rPr>
      <w:sz w:val="18"/>
      <w:szCs w:val="18"/>
    </w:rPr>
  </w:style>
  <w:style w:type="paragraph" w:styleId="17">
    <w:name w:val="footer"/>
    <w:basedOn w:val="1"/>
    <w:link w:val="58"/>
    <w:unhideWhenUsed/>
    <w:qFormat/>
    <w:uiPriority w:val="99"/>
    <w:pPr>
      <w:tabs>
        <w:tab w:val="center" w:pos="4153"/>
        <w:tab w:val="right" w:pos="8306"/>
      </w:tabs>
      <w:snapToGrid w:val="0"/>
      <w:jc w:val="left"/>
    </w:pPr>
    <w:rPr>
      <w:sz w:val="18"/>
      <w:szCs w:val="18"/>
    </w:rPr>
  </w:style>
  <w:style w:type="paragraph" w:styleId="18">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0">
    <w:name w:val="List"/>
    <w:basedOn w:val="1"/>
    <w:qFormat/>
    <w:uiPriority w:val="0"/>
    <w:pPr>
      <w:ind w:left="420" w:hanging="420"/>
    </w:pPr>
  </w:style>
  <w:style w:type="paragraph" w:styleId="21">
    <w:name w:val="index 7"/>
    <w:basedOn w:val="1"/>
    <w:next w:val="1"/>
    <w:unhideWhenUsed/>
    <w:qFormat/>
    <w:uiPriority w:val="99"/>
    <w:pPr>
      <w:ind w:left="1200" w:leftChars="1200"/>
    </w:pPr>
  </w:style>
  <w:style w:type="paragraph" w:styleId="22">
    <w:name w:val="toc 2"/>
    <w:basedOn w:val="1"/>
    <w:next w:val="1"/>
    <w:unhideWhenUsed/>
    <w:qFormat/>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60"/>
    <w:qFormat/>
    <w:uiPriority w:val="10"/>
    <w:pPr>
      <w:spacing w:before="240" w:after="60"/>
      <w:jc w:val="center"/>
      <w:outlineLvl w:val="0"/>
    </w:pPr>
    <w:rPr>
      <w:rFonts w:ascii="Cambria" w:hAnsi="Cambria" w:cs="Times New Roman"/>
      <w:b/>
      <w:bCs/>
      <w:sz w:val="32"/>
      <w:szCs w:val="32"/>
    </w:rPr>
  </w:style>
  <w:style w:type="paragraph" w:styleId="25">
    <w:name w:val="Body Text First Indent 2"/>
    <w:basedOn w:val="11"/>
    <w:next w:val="20"/>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Hyperlink"/>
    <w:basedOn w:val="28"/>
    <w:unhideWhenUsed/>
    <w:qFormat/>
    <w:uiPriority w:val="99"/>
    <w:rPr>
      <w:color w:val="0000FF"/>
      <w:u w:val="single"/>
    </w:rPr>
  </w:style>
  <w:style w:type="paragraph" w:styleId="31">
    <w:name w:val="List Paragraph"/>
    <w:basedOn w:val="1"/>
    <w:link w:val="63"/>
    <w:qFormat/>
    <w:uiPriority w:val="0"/>
    <w:pPr>
      <w:ind w:firstLine="420" w:firstLineChars="200"/>
    </w:pPr>
    <w:rPr>
      <w:kern w:val="0"/>
    </w:rPr>
  </w:style>
  <w:style w:type="paragraph" w:customStyle="1" w:styleId="32">
    <w:name w:val="正文 第一章"/>
    <w:basedOn w:val="1"/>
    <w:next w:val="33"/>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3">
    <w:name w:val="正文 1.1"/>
    <w:basedOn w:val="1"/>
    <w:next w:val="34"/>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4">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5">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6">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标题 2 New"/>
    <w:basedOn w:val="42"/>
    <w:next w:val="42"/>
    <w:qFormat/>
    <w:uiPriority w:val="0"/>
    <w:pPr>
      <w:keepNext/>
      <w:keepLines/>
      <w:spacing w:before="260" w:after="260" w:line="413" w:lineRule="auto"/>
      <w:outlineLvl w:val="1"/>
    </w:pPr>
    <w:rPr>
      <w:rFonts w:ascii="Arial" w:hAnsi="Arial" w:eastAsia="黑体"/>
      <w:b/>
      <w:bCs/>
      <w:sz w:val="32"/>
      <w:szCs w:val="32"/>
    </w:rPr>
  </w:style>
  <w:style w:type="paragraph" w:customStyle="1" w:styleId="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Normal_0"/>
    <w:qFormat/>
    <w:uiPriority w:val="99"/>
    <w:rPr>
      <w:rFonts w:ascii="Calibri" w:hAnsi="Calibri" w:eastAsia="宋体" w:cs="Times New Roman"/>
      <w:sz w:val="24"/>
      <w:szCs w:val="24"/>
      <w:lang w:val="en-US" w:eastAsia="zh-CN" w:bidi="ar-SA"/>
    </w:rPr>
  </w:style>
  <w:style w:type="paragraph" w:customStyle="1" w:styleId="46">
    <w:name w:val="Default"/>
    <w:next w:val="22"/>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7">
    <w:name w:val="正文文本缩进 Char"/>
    <w:link w:val="11"/>
    <w:qFormat/>
    <w:locked/>
    <w:uiPriority w:val="0"/>
    <w:rPr>
      <w:rFonts w:ascii="宋体" w:hAnsi="Courier New" w:eastAsia="宋体"/>
      <w:spacing w:val="-4"/>
      <w:sz w:val="18"/>
    </w:rPr>
  </w:style>
  <w:style w:type="character" w:customStyle="1" w:styleId="48">
    <w:name w:val="标题 1 Char"/>
    <w:basedOn w:val="28"/>
    <w:link w:val="3"/>
    <w:qFormat/>
    <w:uiPriority w:val="0"/>
    <w:rPr>
      <w:rFonts w:ascii="宋体" w:hAnsi="Arial" w:eastAsia="黑体" w:cs="Times New Roman"/>
      <w:b/>
      <w:bCs/>
      <w:color w:val="000000"/>
      <w:kern w:val="44"/>
      <w:sz w:val="36"/>
      <w:szCs w:val="32"/>
    </w:rPr>
  </w:style>
  <w:style w:type="character" w:customStyle="1" w:styleId="49">
    <w:name w:val="标题 2 Char"/>
    <w:basedOn w:val="28"/>
    <w:link w:val="4"/>
    <w:semiHidden/>
    <w:qFormat/>
    <w:uiPriority w:val="9"/>
    <w:rPr>
      <w:rFonts w:ascii="Cambria" w:hAnsi="Cambria" w:eastAsia="宋体" w:cs="Times New Roman"/>
      <w:b/>
      <w:bCs/>
      <w:sz w:val="32"/>
      <w:szCs w:val="32"/>
    </w:rPr>
  </w:style>
  <w:style w:type="character" w:customStyle="1" w:styleId="50">
    <w:name w:val="标题 3 Char1"/>
    <w:basedOn w:val="28"/>
    <w:link w:val="5"/>
    <w:semiHidden/>
    <w:qFormat/>
    <w:uiPriority w:val="9"/>
    <w:rPr>
      <w:rFonts w:ascii="Times New Roman" w:hAnsi="Times New Roman" w:eastAsia="宋体" w:cs="Times New Roman"/>
      <w:b/>
      <w:bCs/>
      <w:sz w:val="32"/>
      <w:szCs w:val="32"/>
    </w:rPr>
  </w:style>
  <w:style w:type="character" w:customStyle="1" w:styleId="51">
    <w:name w:val="标题 4 Char"/>
    <w:basedOn w:val="28"/>
    <w:link w:val="6"/>
    <w:semiHidden/>
    <w:qFormat/>
    <w:uiPriority w:val="9"/>
    <w:rPr>
      <w:rFonts w:ascii="Cambria" w:hAnsi="Cambria" w:eastAsia="宋体" w:cs="Times New Roman"/>
      <w:b/>
      <w:bCs/>
      <w:sz w:val="28"/>
      <w:szCs w:val="28"/>
    </w:rPr>
  </w:style>
  <w:style w:type="character" w:customStyle="1" w:styleId="52">
    <w:name w:val="标题 5 Char"/>
    <w:basedOn w:val="28"/>
    <w:link w:val="7"/>
    <w:semiHidden/>
    <w:qFormat/>
    <w:uiPriority w:val="9"/>
    <w:rPr>
      <w:rFonts w:ascii="Times New Roman" w:hAnsi="Times New Roman" w:eastAsia="宋体" w:cs="Times New Roman"/>
      <w:b/>
      <w:bCs/>
      <w:sz w:val="28"/>
      <w:szCs w:val="28"/>
    </w:rPr>
  </w:style>
  <w:style w:type="character" w:customStyle="1" w:styleId="53">
    <w:name w:val="标题 6 Char"/>
    <w:basedOn w:val="28"/>
    <w:link w:val="8"/>
    <w:semiHidden/>
    <w:qFormat/>
    <w:uiPriority w:val="9"/>
    <w:rPr>
      <w:rFonts w:ascii="Cambria" w:hAnsi="Cambria" w:eastAsia="宋体" w:cs="Times New Roman"/>
      <w:b/>
      <w:bCs/>
      <w:sz w:val="24"/>
      <w:szCs w:val="24"/>
    </w:rPr>
  </w:style>
  <w:style w:type="character" w:customStyle="1" w:styleId="54">
    <w:name w:val="标题 7 Char"/>
    <w:basedOn w:val="28"/>
    <w:link w:val="9"/>
    <w:semiHidden/>
    <w:qFormat/>
    <w:uiPriority w:val="9"/>
    <w:rPr>
      <w:rFonts w:ascii="Times New Roman" w:hAnsi="Times New Roman" w:eastAsia="宋体" w:cs="Times New Roman"/>
      <w:b/>
      <w:bCs/>
      <w:sz w:val="24"/>
      <w:szCs w:val="24"/>
    </w:rPr>
  </w:style>
  <w:style w:type="character" w:customStyle="1" w:styleId="55">
    <w:name w:val="纯文本 Char1"/>
    <w:link w:val="14"/>
    <w:qFormat/>
    <w:uiPriority w:val="0"/>
    <w:rPr>
      <w:rFonts w:ascii="宋体" w:hAnsi="Courier New" w:eastAsia="宋体"/>
      <w:sz w:val="24"/>
    </w:rPr>
  </w:style>
  <w:style w:type="character" w:customStyle="1" w:styleId="56">
    <w:name w:val="日期 Char"/>
    <w:basedOn w:val="28"/>
    <w:link w:val="15"/>
    <w:semiHidden/>
    <w:qFormat/>
    <w:uiPriority w:val="99"/>
    <w:rPr>
      <w:rFonts w:ascii="Times New Roman" w:hAnsi="Times New Roman" w:eastAsia="宋体" w:cs="Times New Roman"/>
      <w:sz w:val="28"/>
      <w:szCs w:val="20"/>
    </w:rPr>
  </w:style>
  <w:style w:type="character" w:customStyle="1" w:styleId="57">
    <w:name w:val="批注框文本 Char"/>
    <w:basedOn w:val="28"/>
    <w:link w:val="16"/>
    <w:semiHidden/>
    <w:qFormat/>
    <w:uiPriority w:val="99"/>
    <w:rPr>
      <w:rFonts w:ascii="Times New Roman" w:hAnsi="Times New Roman" w:eastAsia="宋体" w:cs="Times New Roman"/>
      <w:sz w:val="18"/>
      <w:szCs w:val="18"/>
    </w:rPr>
  </w:style>
  <w:style w:type="character" w:customStyle="1" w:styleId="58">
    <w:name w:val="页脚 Char"/>
    <w:basedOn w:val="28"/>
    <w:link w:val="17"/>
    <w:qFormat/>
    <w:uiPriority w:val="99"/>
    <w:rPr>
      <w:rFonts w:ascii="Times New Roman" w:hAnsi="Times New Roman" w:eastAsia="宋体" w:cs="Times New Roman"/>
      <w:sz w:val="18"/>
      <w:szCs w:val="18"/>
    </w:rPr>
  </w:style>
  <w:style w:type="character" w:customStyle="1" w:styleId="59">
    <w:name w:val="页眉 Char"/>
    <w:basedOn w:val="28"/>
    <w:link w:val="18"/>
    <w:semiHidden/>
    <w:qFormat/>
    <w:uiPriority w:val="99"/>
    <w:rPr>
      <w:rFonts w:ascii="Times New Roman" w:hAnsi="Times New Roman" w:eastAsia="宋体" w:cs="Times New Roman"/>
      <w:sz w:val="18"/>
      <w:szCs w:val="18"/>
    </w:rPr>
  </w:style>
  <w:style w:type="character" w:customStyle="1" w:styleId="60">
    <w:name w:val="标题 Char"/>
    <w:basedOn w:val="28"/>
    <w:link w:val="24"/>
    <w:qFormat/>
    <w:uiPriority w:val="10"/>
    <w:rPr>
      <w:rFonts w:ascii="Cambria" w:hAnsi="Cambria" w:eastAsia="宋体" w:cs="Times New Roman"/>
      <w:b/>
      <w:bCs/>
      <w:sz w:val="32"/>
      <w:szCs w:val="32"/>
    </w:rPr>
  </w:style>
  <w:style w:type="character" w:customStyle="1" w:styleId="61">
    <w:name w:val="正文文本缩进 Char1"/>
    <w:basedOn w:val="28"/>
    <w:semiHidden/>
    <w:qFormat/>
    <w:uiPriority w:val="99"/>
    <w:rPr>
      <w:rFonts w:ascii="Times New Roman" w:hAnsi="Times New Roman" w:eastAsia="宋体" w:cs="Times New Roman"/>
      <w:sz w:val="28"/>
      <w:szCs w:val="20"/>
    </w:rPr>
  </w:style>
  <w:style w:type="character" w:customStyle="1" w:styleId="62">
    <w:name w:val="纯文本 Char"/>
    <w:basedOn w:val="28"/>
    <w:semiHidden/>
    <w:qFormat/>
    <w:uiPriority w:val="99"/>
    <w:rPr>
      <w:rFonts w:ascii="宋体" w:hAnsi="Courier New" w:eastAsia="宋体" w:cs="Courier New"/>
      <w:szCs w:val="21"/>
    </w:rPr>
  </w:style>
  <w:style w:type="character" w:customStyle="1" w:styleId="63">
    <w:name w:val="列出段落 Char"/>
    <w:link w:val="31"/>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 w:type="paragraph" w:customStyle="1" w:styleId="66">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7">
    <w:name w:val="_Style 13"/>
    <w:basedOn w:val="1"/>
    <w:next w:val="31"/>
    <w:qFormat/>
    <w:uiPriority w:val="99"/>
    <w:pPr>
      <w:ind w:firstLine="420" w:firstLineChars="200"/>
    </w:pPr>
  </w:style>
  <w:style w:type="paragraph" w:customStyle="1" w:styleId="68">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20418</Words>
  <Characters>21166</Characters>
  <Lines>158</Lines>
  <Paragraphs>44</Paragraphs>
  <TotalTime>1</TotalTime>
  <ScaleCrop>false</ScaleCrop>
  <LinksUpToDate>false</LinksUpToDate>
  <CharactersWithSpaces>24241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2022-10-17T08:04:07Z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EC2D55065EE9410B8AC07D03BAF4E20B</vt:lpwstr>
  </property>
</Properties>
</file>