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2024032</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sz w:val="52"/>
          <w:szCs w:val="52"/>
        </w:rPr>
      </w:pPr>
      <w:r>
        <w:rPr>
          <w:rFonts w:hint="eastAsia" w:ascii="华文中宋" w:hAnsi="华文中宋" w:eastAsia="华文中宋"/>
          <w:b/>
          <w:bCs/>
          <w:sz w:val="52"/>
          <w:szCs w:val="52"/>
          <w:lang w:eastAsia="zh-CN"/>
        </w:rPr>
        <w:t>信息安全服务项目</w:t>
      </w: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hint="eastAsia" w:ascii="仿宋_GB2312" w:hAnsi="仿宋_GB2312" w:eastAsia="仿宋_GB2312" w:cs="仿宋_GB2312"/>
          <w:b/>
          <w:sz w:val="36"/>
          <w:szCs w:val="36"/>
          <w:lang w:eastAsia="zh-CN"/>
        </w:rPr>
      </w:pPr>
      <w:r>
        <w:rPr>
          <w:rFonts w:hint="eastAsia" w:ascii="仿宋_GB2312" w:eastAsia="仿宋_GB2312"/>
          <w:b/>
          <w:sz w:val="36"/>
          <w:szCs w:val="36"/>
          <w:lang w:eastAsia="zh-CN"/>
        </w:rPr>
        <w:t>2024年</w:t>
      </w:r>
      <w:r>
        <w:rPr>
          <w:rFonts w:hint="eastAsia" w:ascii="仿宋_GB2312" w:eastAsia="仿宋_GB2312"/>
          <w:b/>
          <w:sz w:val="36"/>
          <w:szCs w:val="36"/>
          <w:lang w:val="en-US" w:eastAsia="zh-CN"/>
        </w:rPr>
        <w:t>4</w:t>
      </w:r>
      <w:r>
        <w:rPr>
          <w:rFonts w:hint="eastAsia" w:ascii="仿宋_GB2312" w:eastAsia="仿宋_GB2312"/>
          <w:b/>
          <w:sz w:val="36"/>
          <w:szCs w:val="36"/>
          <w:lang w:eastAsia="zh-CN"/>
        </w:rPr>
        <w:t>月</w:t>
      </w: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0"/>
      </w:pPr>
      <w:r>
        <w:rPr>
          <w:rFonts w:hint="eastAsia"/>
        </w:rPr>
        <w:t>目  录</w:t>
      </w:r>
    </w:p>
    <w:p>
      <w:pPr>
        <w:pStyle w:val="20"/>
      </w:pPr>
    </w:p>
    <w:p>
      <w:pPr>
        <w:pStyle w:val="20"/>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2"/>
          <w:rFonts w:hint="eastAsia"/>
        </w:rPr>
        <w:t>第一章</w:t>
      </w:r>
      <w:r>
        <w:rPr>
          <w:rStyle w:val="32"/>
        </w:rPr>
        <w:t xml:space="preserve">  </w:t>
      </w:r>
      <w:r>
        <w:rPr>
          <w:rStyle w:val="32"/>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"_Toc49763000" </w:instrText>
      </w:r>
      <w:r>
        <w:fldChar w:fldCharType="separate"/>
      </w:r>
      <w:r>
        <w:rPr>
          <w:rStyle w:val="32"/>
          <w:rFonts w:hint="eastAsia"/>
        </w:rPr>
        <w:t>第二章</w:t>
      </w:r>
      <w:r>
        <w:rPr>
          <w:rStyle w:val="32"/>
        </w:rPr>
        <w:t xml:space="preserve">  </w:t>
      </w:r>
      <w:r>
        <w:rPr>
          <w:rStyle w:val="32"/>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"_Toc49763001" </w:instrText>
      </w:r>
      <w:r>
        <w:fldChar w:fldCharType="separate"/>
      </w:r>
      <w:r>
        <w:rPr>
          <w:rStyle w:val="32"/>
          <w:rFonts w:hint="eastAsia"/>
        </w:rPr>
        <w:t>第三章</w:t>
      </w:r>
      <w:r>
        <w:rPr>
          <w:rStyle w:val="32"/>
        </w:rPr>
        <w:t xml:space="preserve">  </w:t>
      </w:r>
      <w:r>
        <w:rPr>
          <w:rStyle w:val="32"/>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"_Toc49763002" </w:instrText>
      </w:r>
      <w:r>
        <w:fldChar w:fldCharType="separate"/>
      </w:r>
      <w:r>
        <w:rPr>
          <w:rStyle w:val="32"/>
          <w:rFonts w:hint="eastAsia"/>
        </w:rPr>
        <w:t>第四章</w:t>
      </w:r>
      <w:r>
        <w:rPr>
          <w:rStyle w:val="32"/>
        </w:rPr>
        <w:t xml:space="preserve">  </w:t>
      </w:r>
      <w:r>
        <w:rPr>
          <w:rStyle w:val="32"/>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"_Toc49763003" </w:instrText>
      </w:r>
      <w:r>
        <w:fldChar w:fldCharType="separate"/>
      </w:r>
      <w:r>
        <w:rPr>
          <w:rStyle w:val="32"/>
          <w:rFonts w:hint="eastAsia"/>
        </w:rPr>
        <w:t>第五章</w:t>
      </w:r>
      <w:r>
        <w:rPr>
          <w:rStyle w:val="32"/>
        </w:rPr>
        <w:t xml:space="preserve">  </w:t>
      </w:r>
      <w:r>
        <w:rPr>
          <w:rStyle w:val="32"/>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"_Toc49763004" </w:instrText>
      </w:r>
      <w:r>
        <w:fldChar w:fldCharType="separate"/>
      </w:r>
      <w:r>
        <w:rPr>
          <w:rStyle w:val="32"/>
          <w:rFonts w:hint="eastAsia"/>
        </w:rPr>
        <w:t>第六章</w:t>
      </w:r>
      <w:r>
        <w:rPr>
          <w:rStyle w:val="32"/>
        </w:rPr>
        <w:t xml:space="preserve">  </w:t>
      </w:r>
      <w:r>
        <w:rPr>
          <w:rStyle w:val="32"/>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"_Toc49763005" </w:instrText>
      </w:r>
      <w:r>
        <w:fldChar w:fldCharType="separate"/>
      </w:r>
      <w:r>
        <w:rPr>
          <w:rStyle w:val="32"/>
          <w:rFonts w:hint="eastAsia"/>
        </w:rPr>
        <w:t>第七章</w:t>
      </w:r>
      <w:r>
        <w:rPr>
          <w:rStyle w:val="32"/>
        </w:rPr>
        <w:t xml:space="preserve">  </w:t>
      </w:r>
      <w:r>
        <w:rPr>
          <w:rStyle w:val="32"/>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2"/>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我校</w:t>
      </w:r>
      <w:r>
        <w:rPr>
          <w:rFonts w:hint="eastAsia" w:ascii="仿宋_GB2312" w:eastAsia="仿宋_GB2312" w:cs="宋体"/>
          <w:sz w:val="24"/>
          <w:szCs w:val="24"/>
          <w:lang w:eastAsia="zh-CN"/>
        </w:rPr>
        <w:t>皖南医学院信息安全服务项目</w:t>
      </w:r>
      <w:r>
        <w:rPr>
          <w:rFonts w:ascii="仿宋_GB2312" w:eastAsia="仿宋_GB2312" w:cs="宋体"/>
          <w:sz w:val="24"/>
          <w:szCs w:val="24"/>
        </w:rPr>
        <w:t>采取磋商的方式进行采购，现邀请符合资质条件的供应商参加投标和磋商。具体情况如下：</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一、项目概况：</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ascii="仿宋_GB2312" w:eastAsia="仿宋_GB2312" w:cs="宋体"/>
          <w:sz w:val="24"/>
          <w:szCs w:val="24"/>
        </w:rPr>
        <w:t>（一）项目名称：</w:t>
      </w:r>
      <w:r>
        <w:rPr>
          <w:rFonts w:hint="eastAsia" w:ascii="仿宋_GB2312" w:eastAsia="仿宋_GB2312" w:cs="宋体"/>
          <w:sz w:val="24"/>
          <w:szCs w:val="24"/>
          <w:lang w:eastAsia="zh-CN"/>
        </w:rPr>
        <w:t>皖南医学院信息安全服务项目</w:t>
      </w:r>
      <w:r>
        <w:rPr>
          <w:rFonts w:ascii="仿宋_GB2312" w:eastAsia="仿宋_GB2312" w:cs="宋体"/>
          <w:sz w:val="24"/>
          <w:szCs w:val="24"/>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（二）项目编号：</w:t>
      </w:r>
      <w:r>
        <w:rPr>
          <w:rFonts w:hint="eastAsia" w:ascii="仿宋_GB2312" w:eastAsia="仿宋_GB2312" w:cs="宋体"/>
          <w:sz w:val="24"/>
          <w:szCs w:val="24"/>
        </w:rPr>
        <w:t>WYGZ</w:t>
      </w:r>
      <w:r>
        <w:rPr>
          <w:rFonts w:hint="eastAsia" w:ascii="仿宋_GB2312" w:eastAsia="仿宋_GB2312" w:cs="宋体"/>
          <w:sz w:val="24"/>
          <w:szCs w:val="24"/>
          <w:lang w:eastAsia="zh-CN"/>
        </w:rPr>
        <w:t>2024032</w:t>
      </w:r>
      <w:r>
        <w:rPr>
          <w:rFonts w:ascii="仿宋_GB2312" w:eastAsia="仿宋_GB2312" w:cs="宋体"/>
          <w:sz w:val="24"/>
          <w:szCs w:val="24"/>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（三）项目内容：为我校信息系统提供一年期限的网络和信息安全漏洞扫描服务、等保测评安全整改、重点时期7*24安全服务等。</w:t>
      </w:r>
      <w:r>
        <w:rPr>
          <w:rFonts w:hint="eastAsia" w:ascii="仿宋_GB2312" w:eastAsia="仿宋_GB2312" w:cs="宋体"/>
          <w:sz w:val="24"/>
          <w:szCs w:val="24"/>
          <w:lang w:val="zh-CN"/>
        </w:rPr>
        <w:t>皖南医学院信息安全服务主要包括：日常巡检、安全基线配置核查、安全整改与加固、安全咨询、风险评估、漏洞扫描、数据备份与恢复、安全应急响应、安全培训、等保测评整改、驻场服务。</w:t>
      </w:r>
      <w:r>
        <w:rPr>
          <w:rFonts w:hint="eastAsia" w:ascii="仿宋_GB2312" w:eastAsia="仿宋_GB2312" w:cs="宋体"/>
          <w:sz w:val="24"/>
          <w:szCs w:val="24"/>
          <w:lang w:val="en-US" w:eastAsia="zh-CN"/>
        </w:rPr>
        <w:t>详见磋商文件。</w:t>
      </w:r>
    </w:p>
    <w:p>
      <w:pPr>
        <w:pStyle w:val="45"/>
        <w:autoSpaceDN w:val="0"/>
        <w:spacing w:line="360" w:lineRule="auto"/>
        <w:ind w:firstLine="480" w:firstLineChars="200"/>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（四）项目预算：30万元/年</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二、投标资质：</w:t>
      </w:r>
    </w:p>
    <w:p>
      <w:pPr>
        <w:adjustRightInd w:val="0"/>
        <w:snapToGrid w:val="0"/>
        <w:spacing w:line="360" w:lineRule="auto"/>
        <w:ind w:firstLine="453" w:firstLineChars="189"/>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供应商能够独立承担民事责任能力；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2.具有良好的商业信誉和健全的财务会计制度；</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3.具有履行合同所必需的设备和专业技术能力；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4.有依法缴纳税收和社会保障资金的良好记录；</w:t>
      </w:r>
    </w:p>
    <w:p>
      <w:pPr>
        <w:adjustRightInd w:val="0"/>
        <w:snapToGrid w:val="0"/>
        <w:spacing w:line="360" w:lineRule="auto"/>
        <w:ind w:firstLine="453" w:firstLineChars="189"/>
        <w:rPr>
          <w:rFonts w:ascii="仿宋_GB2312" w:hAnsi="宋体" w:eastAsia="仿宋_GB2312" w:cs="宋体"/>
          <w:b/>
          <w:bCs/>
          <w:kern w:val="0"/>
          <w:sz w:val="24"/>
          <w:szCs w:val="24"/>
        </w:rPr>
      </w:pPr>
      <w:r>
        <w:rPr>
          <w:rFonts w:ascii="仿宋_GB2312" w:hAnsi="宋体" w:eastAsia="仿宋_GB2312" w:cs="宋体"/>
          <w:kern w:val="0"/>
          <w:sz w:val="24"/>
          <w:szCs w:val="24"/>
        </w:rPr>
        <w:t>5.三年内，在经营活动中没有重大违法记录；</w:t>
      </w:r>
    </w:p>
    <w:p>
      <w:pPr>
        <w:adjustRightInd w:val="0"/>
        <w:snapToGrid w:val="0"/>
        <w:spacing w:line="360" w:lineRule="auto"/>
        <w:ind w:firstLine="453" w:firstLineChars="189"/>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en-US" w:eastAsia="zh-CN"/>
        </w:rPr>
        <w:t>6</w:t>
      </w:r>
      <w:r>
        <w:rPr>
          <w:rFonts w:ascii="仿宋_GB2312" w:hAnsi="宋体" w:eastAsia="仿宋_GB2312" w:cs="宋体"/>
          <w:kern w:val="0"/>
          <w:sz w:val="24"/>
          <w:szCs w:val="24"/>
        </w:rPr>
        <w:t>.本项目不接受联合体投标。</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w:t>
      </w:r>
      <w:r>
        <w:rPr>
          <w:rFonts w:hint="eastAsia" w:ascii="仿宋_GB2312" w:eastAsia="仿宋_GB2312" w:cs="宋体"/>
          <w:sz w:val="24"/>
          <w:szCs w:val="24"/>
          <w:lang w:eastAsia="zh-CN"/>
        </w:rPr>
        <w:t>申请</w:t>
      </w:r>
      <w:r>
        <w:rPr>
          <w:rFonts w:ascii="仿宋_GB2312" w:eastAsia="仿宋_GB2312" w:cs="宋体"/>
          <w:sz w:val="24"/>
          <w:szCs w:val="24"/>
        </w:rPr>
        <w:t>时间及方式：</w:t>
      </w:r>
    </w:p>
    <w:p>
      <w:pPr>
        <w:pStyle w:val="24"/>
        <w:adjustRightInd w:val="0"/>
        <w:snapToGrid w:val="0"/>
        <w:spacing w:before="0" w:beforeAutospacing="0" w:after="0" w:afterAutospacing="0" w:line="360" w:lineRule="auto"/>
        <w:ind w:firstLine="480" w:firstLineChars="200"/>
        <w:jc w:val="both"/>
        <w:rPr>
          <w:rFonts w:hint="eastAsia" w:ascii="仿宋_GB2312" w:hAnsi="宋体" w:eastAsia="仿宋_GB2312" w:cs="宋体"/>
          <w:kern w:val="0"/>
          <w:sz w:val="24"/>
          <w:szCs w:val="24"/>
          <w:lang w:val="zh-CN" w:eastAsia="zh-CN" w:bidi="ar-SA"/>
        </w:rPr>
      </w:pPr>
      <w:r>
        <w:rPr>
          <w:rFonts w:ascii="仿宋_GB2312" w:eastAsia="仿宋_GB2312" w:cs="宋体"/>
          <w:sz w:val="24"/>
          <w:szCs w:val="24"/>
        </w:rPr>
        <w:t>（一）</w:t>
      </w:r>
      <w:r>
        <w:rPr>
          <w:rFonts w:hint="eastAsia" w:ascii="仿宋_GB2312" w:eastAsia="仿宋_GB2312" w:cs="宋体"/>
          <w:sz w:val="24"/>
          <w:szCs w:val="24"/>
          <w:lang w:eastAsia="zh-CN"/>
        </w:rPr>
        <w:t>申请</w:t>
      </w:r>
      <w:r>
        <w:rPr>
          <w:rFonts w:ascii="仿宋_GB2312" w:eastAsia="仿宋_GB2312" w:cs="宋体"/>
          <w:sz w:val="24"/>
          <w:szCs w:val="24"/>
          <w:highlight w:val="none"/>
        </w:rPr>
        <w:t>时间：</w:t>
      </w:r>
      <w:r>
        <w:rPr>
          <w:rFonts w:hint="eastAsia" w:ascii="仿宋_GB2312" w:eastAsia="仿宋_GB2312" w:cs="宋体"/>
          <w:kern w:val="0"/>
          <w:sz w:val="24"/>
          <w:szCs w:val="24"/>
          <w:highlight w:val="none"/>
          <w:lang w:val="en-US" w:eastAsia="zh-CN" w:bidi="ar-SA"/>
        </w:rPr>
        <w:t>2024年4月9日</w:t>
      </w:r>
      <w:r>
        <w:rPr>
          <w:rFonts w:hint="eastAsia" w:ascii="仿宋_GB2312" w:hAnsi="宋体" w:eastAsia="仿宋_GB2312" w:cs="宋体"/>
          <w:kern w:val="0"/>
          <w:sz w:val="24"/>
          <w:szCs w:val="24"/>
          <w:highlight w:val="none"/>
          <w:lang w:val="en-US" w:eastAsia="zh-CN" w:bidi="ar-SA"/>
        </w:rPr>
        <w:t>-</w:t>
      </w:r>
      <w:r>
        <w:rPr>
          <w:rFonts w:hint="eastAsia" w:ascii="仿宋_GB2312" w:eastAsia="仿宋_GB2312" w:cs="宋体"/>
          <w:kern w:val="0"/>
          <w:sz w:val="24"/>
          <w:szCs w:val="24"/>
          <w:highlight w:val="none"/>
          <w:lang w:val="en-US" w:eastAsia="zh-CN" w:bidi="ar-SA"/>
        </w:rPr>
        <w:t>2024年4月16</w:t>
      </w:r>
      <w:r>
        <w:rPr>
          <w:rFonts w:hint="eastAsia" w:ascii="仿宋_GB2312" w:hAnsi="宋体" w:eastAsia="仿宋_GB2312" w:cs="宋体"/>
          <w:kern w:val="0"/>
          <w:sz w:val="24"/>
          <w:szCs w:val="24"/>
          <w:highlight w:val="none"/>
          <w:lang w:val="en-US" w:eastAsia="zh-CN" w:bidi="ar-SA"/>
        </w:rPr>
        <w:t>日下午5:00；</w:t>
      </w:r>
    </w:p>
    <w:p>
      <w:pPr>
        <w:widowControl/>
        <w:shd w:val="clear" w:color="auto" w:fill="FFFFFF"/>
        <w:spacing w:line="360" w:lineRule="auto"/>
        <w:ind w:firstLine="480" w:firstLineChars="200"/>
        <w:rPr>
          <w:rFonts w:ascii="仿宋_GB2312" w:hAnsi="宋体" w:eastAsia="仿宋_GB2312" w:cs="宋体"/>
          <w:kern w:val="0"/>
          <w:sz w:val="24"/>
          <w:szCs w:val="24"/>
          <w:lang w:val="zh-CN"/>
        </w:rPr>
      </w:pPr>
      <w:r>
        <w:rPr>
          <w:rFonts w:hint="eastAsia" w:ascii="仿宋_GB2312" w:eastAsia="仿宋_GB2312" w:cs="宋体"/>
          <w:sz w:val="24"/>
          <w:szCs w:val="24"/>
          <w:lang w:val="zh-CN"/>
        </w:rPr>
        <w:t>（二）</w:t>
      </w:r>
      <w:r>
        <w:rPr>
          <w:rFonts w:hint="eastAsia" w:ascii="仿宋_GB2312" w:hAnsi="宋体" w:eastAsia="仿宋_GB2312" w:cs="宋体"/>
          <w:kern w:val="0"/>
          <w:sz w:val="24"/>
          <w:szCs w:val="24"/>
          <w:lang w:val="zh-CN"/>
        </w:rPr>
        <w:t>申请方式：</w:t>
      </w:r>
      <w:r>
        <w:rPr>
          <w:rFonts w:hint="eastAsia" w:ascii="仿宋_GB2312" w:hAnsi="宋体" w:eastAsia="仿宋_GB2312" w:cs="宋体"/>
          <w:kern w:val="0"/>
          <w:sz w:val="24"/>
          <w:szCs w:val="24"/>
          <w:lang w:eastAsia="zh-CN"/>
        </w:rPr>
        <w:t>皖南医学院信息安全服务项目</w:t>
      </w:r>
      <w:r>
        <w:rPr>
          <w:rFonts w:ascii="仿宋_GB2312" w:hAnsi="宋体" w:eastAsia="仿宋_GB2312" w:cs="宋体"/>
          <w:kern w:val="0"/>
          <w:sz w:val="24"/>
          <w:szCs w:val="24"/>
        </w:rPr>
        <w:t>（项目编号：</w:t>
      </w:r>
      <w:r>
        <w:rPr>
          <w:rFonts w:hint="eastAsia" w:ascii="仿宋_GB2312" w:hAnsi="宋体" w:eastAsia="仿宋_GB2312" w:cs="宋体"/>
          <w:kern w:val="0"/>
          <w:sz w:val="24"/>
          <w:szCs w:val="24"/>
        </w:rPr>
        <w:t>WYGZ</w:t>
      </w:r>
      <w:r>
        <w:rPr>
          <w:rFonts w:hint="eastAsia" w:ascii="仿宋_GB2312" w:hAnsi="宋体" w:eastAsia="仿宋_GB2312" w:cs="宋体"/>
          <w:kern w:val="0"/>
          <w:sz w:val="24"/>
          <w:szCs w:val="24"/>
          <w:lang w:eastAsia="zh-CN"/>
        </w:rPr>
        <w:t>2024032</w:t>
      </w:r>
      <w:r>
        <w:rPr>
          <w:rFonts w:ascii="仿宋_GB2312" w:hAnsi="宋体" w:eastAsia="仿宋_GB2312" w:cs="宋体"/>
          <w:kern w:val="0"/>
          <w:sz w:val="24"/>
          <w:szCs w:val="24"/>
        </w:rPr>
        <w:t>）已在皖南医学院网上采购平台（http://wnmc.youzhicai.com/）发布，请潜在供应商在皖南医学院网上采购平台参与项目</w:t>
      </w:r>
      <w:r>
        <w:rPr>
          <w:rFonts w:hint="eastAsia" w:ascii="仿宋_GB2312" w:hAnsi="宋体" w:eastAsia="仿宋_GB2312" w:cs="宋体"/>
          <w:kern w:val="0"/>
          <w:sz w:val="24"/>
          <w:szCs w:val="24"/>
          <w:lang w:eastAsia="zh-CN"/>
        </w:rPr>
        <w:t>申请</w:t>
      </w:r>
      <w:r>
        <w:rPr>
          <w:rFonts w:hint="eastAsia" w:ascii="仿宋_GB2312" w:hAnsi="宋体" w:eastAsia="仿宋_GB2312" w:cs="宋体"/>
          <w:kern w:val="0"/>
          <w:sz w:val="24"/>
          <w:szCs w:val="24"/>
          <w:lang w:val="zh-CN"/>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hint="eastAsia" w:ascii="仿宋_GB2312" w:eastAsia="仿宋_GB2312" w:cs="宋体"/>
          <w:sz w:val="24"/>
          <w:szCs w:val="24"/>
          <w:lang w:val="zh-CN"/>
        </w:rPr>
        <w:t>（三）磋商文件获取：自行下载。</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四、响应文件份数：一式三份（正本一份，副本二份），每份响应文件须清楚表明“正本”或“副本”字样。</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五、响应文件递交：</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highlight w:val="none"/>
          <w:lang w:val="zh-CN"/>
        </w:rPr>
      </w:pPr>
      <w:r>
        <w:rPr>
          <w:rFonts w:ascii="仿宋_GB2312" w:eastAsia="仿宋_GB2312" w:cs="宋体"/>
          <w:sz w:val="24"/>
          <w:szCs w:val="24"/>
        </w:rPr>
        <w:t>（一）响应文件递交截止</w:t>
      </w:r>
      <w:r>
        <w:rPr>
          <w:rFonts w:ascii="仿宋_GB2312" w:eastAsia="仿宋_GB2312" w:cs="宋体"/>
          <w:sz w:val="24"/>
          <w:szCs w:val="24"/>
          <w:highlight w:val="none"/>
        </w:rPr>
        <w:t>时间：</w:t>
      </w:r>
      <w:r>
        <w:rPr>
          <w:rFonts w:hint="eastAsia" w:ascii="仿宋_GB2312" w:eastAsia="仿宋_GB2312" w:cs="宋体"/>
          <w:sz w:val="24"/>
          <w:szCs w:val="24"/>
          <w:highlight w:val="none"/>
          <w:lang w:eastAsia="zh-CN"/>
        </w:rPr>
        <w:t>2024年</w:t>
      </w:r>
      <w:r>
        <w:rPr>
          <w:rFonts w:hint="eastAsia" w:ascii="仿宋_GB2312" w:eastAsia="仿宋_GB2312" w:cs="宋体"/>
          <w:sz w:val="24"/>
          <w:szCs w:val="24"/>
          <w:highlight w:val="none"/>
          <w:lang w:val="en-US" w:eastAsia="zh-CN"/>
        </w:rPr>
        <w:t>4</w:t>
      </w:r>
      <w:r>
        <w:rPr>
          <w:rFonts w:hint="eastAsia" w:ascii="仿宋_GB2312" w:eastAsia="仿宋_GB2312" w:cs="宋体"/>
          <w:sz w:val="24"/>
          <w:szCs w:val="24"/>
          <w:highlight w:val="none"/>
          <w:lang w:eastAsia="zh-CN"/>
        </w:rPr>
        <w:t>月</w:t>
      </w:r>
      <w:r>
        <w:rPr>
          <w:rFonts w:hint="eastAsia" w:ascii="仿宋_GB2312" w:eastAsia="仿宋_GB2312" w:cs="宋体"/>
          <w:sz w:val="24"/>
          <w:szCs w:val="24"/>
          <w:highlight w:val="none"/>
          <w:lang w:val="en-US" w:eastAsia="zh-CN"/>
        </w:rPr>
        <w:t>25</w:t>
      </w:r>
      <w:r>
        <w:rPr>
          <w:rFonts w:ascii="仿宋_GB2312" w:eastAsia="仿宋_GB2312" w:cs="宋体"/>
          <w:sz w:val="24"/>
          <w:szCs w:val="24"/>
          <w:highlight w:val="none"/>
        </w:rPr>
        <w:t>日</w:t>
      </w:r>
      <w:r>
        <w:rPr>
          <w:rFonts w:hint="eastAsia" w:ascii="仿宋_GB2312" w:eastAsia="仿宋_GB2312" w:cs="宋体"/>
          <w:sz w:val="24"/>
          <w:szCs w:val="24"/>
          <w:highlight w:val="none"/>
          <w:lang w:eastAsia="zh-CN"/>
        </w:rPr>
        <w:t>上午</w:t>
      </w:r>
      <w:r>
        <w:rPr>
          <w:rFonts w:hint="eastAsia" w:ascii="仿宋_GB2312" w:eastAsia="仿宋_GB2312" w:cs="宋体"/>
          <w:sz w:val="24"/>
          <w:szCs w:val="24"/>
          <w:highlight w:val="none"/>
          <w:lang w:val="en-US" w:eastAsia="zh-CN"/>
        </w:rPr>
        <w:t>9</w:t>
      </w:r>
      <w:r>
        <w:rPr>
          <w:rFonts w:hint="eastAsia" w:ascii="仿宋_GB2312" w:eastAsia="仿宋_GB2312" w:cs="宋体"/>
          <w:sz w:val="24"/>
          <w:szCs w:val="24"/>
          <w:highlight w:val="none"/>
        </w:rPr>
        <w:t>：</w:t>
      </w:r>
      <w:r>
        <w:rPr>
          <w:rFonts w:hint="eastAsia" w:ascii="仿宋_GB2312" w:eastAsia="仿宋_GB2312" w:cs="宋体"/>
          <w:sz w:val="24"/>
          <w:szCs w:val="24"/>
          <w:highlight w:val="none"/>
          <w:lang w:val="en-US" w:eastAsia="zh-CN"/>
        </w:rPr>
        <w:t>00</w:t>
      </w:r>
      <w:r>
        <w:rPr>
          <w:rFonts w:ascii="仿宋_GB2312" w:eastAsia="仿宋_GB2312" w:cs="宋体"/>
          <w:sz w:val="24"/>
          <w:szCs w:val="24"/>
          <w:highlight w:val="none"/>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highlight w:val="none"/>
          <w:lang w:val="zh-CN"/>
        </w:rPr>
      </w:pPr>
      <w:r>
        <w:rPr>
          <w:rFonts w:ascii="仿宋_GB2312" w:eastAsia="仿宋_GB2312" w:cs="宋体"/>
          <w:sz w:val="24"/>
          <w:szCs w:val="24"/>
          <w:highlight w:val="none"/>
        </w:rPr>
        <w:t>（二）响应文件开启时间：</w:t>
      </w:r>
      <w:r>
        <w:rPr>
          <w:rFonts w:hint="eastAsia" w:ascii="仿宋_GB2312" w:eastAsia="仿宋_GB2312" w:cs="宋体"/>
          <w:sz w:val="24"/>
          <w:szCs w:val="24"/>
          <w:highlight w:val="none"/>
          <w:lang w:eastAsia="zh-CN"/>
        </w:rPr>
        <w:t>2024年</w:t>
      </w:r>
      <w:r>
        <w:rPr>
          <w:rFonts w:hint="eastAsia" w:ascii="仿宋_GB2312" w:eastAsia="仿宋_GB2312" w:cs="宋体"/>
          <w:sz w:val="24"/>
          <w:szCs w:val="24"/>
          <w:highlight w:val="none"/>
          <w:lang w:val="en-US" w:eastAsia="zh-CN"/>
        </w:rPr>
        <w:t>4</w:t>
      </w:r>
      <w:r>
        <w:rPr>
          <w:rFonts w:hint="eastAsia" w:ascii="仿宋_GB2312" w:eastAsia="仿宋_GB2312" w:cs="宋体"/>
          <w:sz w:val="24"/>
          <w:szCs w:val="24"/>
          <w:highlight w:val="none"/>
          <w:lang w:eastAsia="zh-CN"/>
        </w:rPr>
        <w:t>月</w:t>
      </w:r>
      <w:r>
        <w:rPr>
          <w:rFonts w:hint="eastAsia" w:ascii="仿宋_GB2312" w:eastAsia="仿宋_GB2312" w:cs="宋体"/>
          <w:sz w:val="24"/>
          <w:szCs w:val="24"/>
          <w:highlight w:val="none"/>
          <w:lang w:val="en-US" w:eastAsia="zh-CN"/>
        </w:rPr>
        <w:t>25</w:t>
      </w:r>
      <w:r>
        <w:rPr>
          <w:rFonts w:ascii="仿宋_GB2312" w:eastAsia="仿宋_GB2312" w:cs="宋体"/>
          <w:sz w:val="24"/>
          <w:szCs w:val="24"/>
          <w:highlight w:val="none"/>
        </w:rPr>
        <w:t>日</w:t>
      </w:r>
      <w:r>
        <w:rPr>
          <w:rFonts w:hint="eastAsia" w:ascii="仿宋_GB2312" w:eastAsia="仿宋_GB2312" w:cs="宋体"/>
          <w:sz w:val="24"/>
          <w:szCs w:val="24"/>
          <w:highlight w:val="none"/>
          <w:lang w:eastAsia="zh-CN"/>
        </w:rPr>
        <w:t>上午</w:t>
      </w:r>
      <w:r>
        <w:rPr>
          <w:rFonts w:hint="eastAsia" w:ascii="仿宋_GB2312" w:eastAsia="仿宋_GB2312" w:cs="宋体"/>
          <w:sz w:val="24"/>
          <w:szCs w:val="24"/>
          <w:highlight w:val="none"/>
          <w:lang w:val="en-US" w:eastAsia="zh-CN"/>
        </w:rPr>
        <w:t>9</w:t>
      </w:r>
      <w:r>
        <w:rPr>
          <w:rFonts w:hint="eastAsia" w:ascii="仿宋_GB2312" w:eastAsia="仿宋_GB2312" w:cs="宋体"/>
          <w:sz w:val="24"/>
          <w:szCs w:val="24"/>
          <w:highlight w:val="none"/>
        </w:rPr>
        <w:t>：</w:t>
      </w:r>
      <w:r>
        <w:rPr>
          <w:rFonts w:hint="eastAsia" w:ascii="仿宋_GB2312" w:eastAsia="仿宋_GB2312" w:cs="宋体"/>
          <w:sz w:val="24"/>
          <w:szCs w:val="24"/>
          <w:highlight w:val="none"/>
          <w:lang w:val="en-US" w:eastAsia="zh-CN"/>
        </w:rPr>
        <w:t>0</w:t>
      </w:r>
      <w:r>
        <w:rPr>
          <w:rFonts w:hint="eastAsia" w:ascii="仿宋_GB2312" w:eastAsia="仿宋_GB2312" w:cs="宋体"/>
          <w:sz w:val="24"/>
          <w:szCs w:val="24"/>
          <w:highlight w:val="none"/>
        </w:rPr>
        <w:t>0</w:t>
      </w:r>
      <w:r>
        <w:rPr>
          <w:rFonts w:ascii="仿宋_GB2312" w:eastAsia="仿宋_GB2312" w:cs="宋体"/>
          <w:sz w:val="24"/>
          <w:szCs w:val="24"/>
          <w:highlight w:val="none"/>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（三）地点：芜湖市弋江区文昌西路22号皖南医学院滨江校区图书信息楼东辅楼5楼5002室；</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（四）递交响应文件时间截止后，磋商小组与供应商磋商，请供应商法定代表人或其授权委托代表（提供授权委托书）出席。</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六、联系方式：</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（一）联系人：赵老师</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ascii="仿宋_GB2312" w:eastAsia="仿宋_GB2312" w:cs="宋体"/>
          <w:sz w:val="24"/>
          <w:szCs w:val="24"/>
        </w:rPr>
        <w:t>（二）联系电话：0553-3932052</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七、备注</w:t>
      </w:r>
    </w:p>
    <w:p>
      <w:pPr>
        <w:pStyle w:val="24"/>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ascii="仿宋_GB2312" w:eastAsia="仿宋_GB2312" w:cs="宋体"/>
          <w:sz w:val="24"/>
          <w:szCs w:val="24"/>
        </w:rPr>
        <w:t>我校保留对</w:t>
      </w:r>
      <w:r>
        <w:rPr>
          <w:rFonts w:hint="eastAsia" w:ascii="仿宋_GB2312" w:eastAsia="仿宋_GB2312" w:cs="宋体"/>
          <w:sz w:val="24"/>
          <w:szCs w:val="24"/>
          <w:lang w:eastAsia="zh-CN"/>
        </w:rPr>
        <w:t>申请</w:t>
      </w:r>
      <w:r>
        <w:rPr>
          <w:rFonts w:ascii="仿宋_GB2312" w:eastAsia="仿宋_GB2312" w:cs="宋体"/>
          <w:sz w:val="24"/>
          <w:szCs w:val="24"/>
        </w:rPr>
        <w:t>合格单位进行进一步资格审核的权利。</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hint="eastAsia" w:ascii="仿宋_GB2312" w:eastAsia="仿宋_GB2312" w:cs="宋体"/>
          <w:sz w:val="24"/>
          <w:szCs w:val="24"/>
        </w:rPr>
        <w:t>八、温馨提示</w:t>
      </w:r>
    </w:p>
    <w:p>
      <w:pPr>
        <w:pStyle w:val="24"/>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hint="eastAsia" w:ascii="仿宋_GB2312" w:eastAsia="仿宋_GB2312" w:cs="宋体"/>
          <w:sz w:val="24"/>
          <w:szCs w:val="24"/>
        </w:rPr>
        <w:t>因学校防控要求，校外人员进校需进行入校申请（扫二维码）。</w:t>
      </w:r>
    </w:p>
    <w:p>
      <w:pPr>
        <w:pStyle w:val="24"/>
        <w:adjustRightInd w:val="0"/>
        <w:snapToGrid w:val="0"/>
        <w:spacing w:before="0" w:beforeAutospacing="0" w:after="0" w:afterAutospacing="0" w:line="360" w:lineRule="auto"/>
        <w:ind w:firstLine="560" w:firstLineChars="200"/>
        <w:jc w:val="center"/>
        <w:rPr>
          <w:rFonts w:ascii="仿宋_GB2312" w:hAnsi="Times New Roman" w:eastAsia="仿宋_GB2312"/>
          <w:kern w:val="2"/>
          <w:sz w:val="28"/>
          <w:szCs w:val="28"/>
        </w:rPr>
      </w:pPr>
      <w:r>
        <w:rPr>
          <w:rFonts w:hint="eastAsia" w:ascii="仿宋_GB2312" w:hAnsi="Times New Roman" w:eastAsia="仿宋_GB2312"/>
          <w:kern w:val="2"/>
          <w:sz w:val="28"/>
          <w:szCs w:val="28"/>
        </w:rPr>
        <w:drawing>
          <wp:inline distT="0" distB="0" distL="114300" distR="114300">
            <wp:extent cx="1536065" cy="1544955"/>
            <wp:effectExtent l="0" t="0" r="6985" b="17145"/>
            <wp:docPr id="4" name="图片 1" descr="6F9E6558A3E3F1F3F15B00FD686CB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6F9E6558A3E3F1F3F15B00FD686CBED0"/>
                    <pic:cNvPicPr>
                      <a:picLocks noChangeAspect="1"/>
                    </pic:cNvPicPr>
                  </pic:nvPicPr>
                  <pic:blipFill>
                    <a:blip r:embed="rId6"/>
                    <a:srcRect r="671" b="15752"/>
                    <a:stretch>
                      <a:fillRect/>
                    </a:stretch>
                  </pic:blipFill>
                  <pic:spPr>
                    <a:xfrm>
                      <a:off x="0" y="0"/>
                      <a:ext cx="1536065" cy="1544955"/>
                    </a:xfrm>
                    <a:prstGeom prst="rect">
                      <a:avLst/>
                    </a:prstGeom>
                    <a:noFill/>
                    <a:ln>
                      <a:noFill/>
                    </a:ln>
                  </pic:spPr>
                </pic:pic>
              </a:graphicData>
            </a:graphic>
          </wp:inline>
        </w:drawing>
      </w:r>
    </w:p>
    <w:p>
      <w:pPr>
        <w:pStyle w:val="24"/>
        <w:adjustRightInd w:val="0"/>
        <w:snapToGrid w:val="0"/>
        <w:spacing w:before="0" w:beforeAutospacing="0" w:after="0" w:afterAutospacing="0" w:line="360" w:lineRule="auto"/>
        <w:ind w:firstLine="480" w:firstLineChars="200"/>
        <w:jc w:val="center"/>
        <w:rPr>
          <w:rFonts w:ascii="仿宋_GB2312" w:eastAsia="仿宋_GB2312" w:cs="宋体"/>
          <w:sz w:val="24"/>
          <w:szCs w:val="24"/>
        </w:rPr>
      </w:pPr>
      <w:r>
        <w:rPr>
          <w:rFonts w:hint="eastAsia" w:ascii="仿宋_GB2312" w:eastAsia="仿宋_GB2312" w:cs="宋体"/>
          <w:sz w:val="24"/>
          <w:szCs w:val="24"/>
        </w:rPr>
        <w:t>投标报备：各投标单位于</w:t>
      </w:r>
      <w:r>
        <w:rPr>
          <w:rFonts w:hint="eastAsia" w:ascii="仿宋_GB2312" w:eastAsia="仿宋_GB2312" w:cs="宋体"/>
          <w:sz w:val="24"/>
          <w:szCs w:val="24"/>
          <w:lang w:eastAsia="zh-CN"/>
        </w:rPr>
        <w:t>2024年</w:t>
      </w:r>
      <w:r>
        <w:rPr>
          <w:rFonts w:hint="eastAsia" w:ascii="仿宋_GB2312" w:eastAsia="仿宋_GB2312" w:cs="宋体"/>
          <w:sz w:val="24"/>
          <w:szCs w:val="24"/>
          <w:lang w:val="en-US" w:eastAsia="zh-CN"/>
        </w:rPr>
        <w:t>4</w:t>
      </w:r>
      <w:r>
        <w:rPr>
          <w:rFonts w:hint="eastAsia" w:ascii="仿宋_GB2312" w:eastAsia="仿宋_GB2312" w:cs="宋体"/>
          <w:sz w:val="24"/>
          <w:szCs w:val="24"/>
          <w:lang w:eastAsia="zh-CN"/>
        </w:rPr>
        <w:t>月</w:t>
      </w:r>
      <w:r>
        <w:rPr>
          <w:rFonts w:hint="eastAsia" w:ascii="仿宋_GB2312" w:eastAsia="仿宋_GB2312" w:cs="宋体"/>
          <w:sz w:val="24"/>
          <w:szCs w:val="24"/>
          <w:lang w:val="en-US" w:eastAsia="zh-CN"/>
        </w:rPr>
        <w:t>24</w:t>
      </w:r>
      <w:r>
        <w:rPr>
          <w:rFonts w:hint="eastAsia" w:ascii="仿宋_GB2312" w:eastAsia="仿宋_GB2312" w:cs="宋体"/>
          <w:sz w:val="24"/>
          <w:szCs w:val="24"/>
        </w:rPr>
        <w:t>日17：00前如实填写，未按时提交校外人员入校申请的，后果自负（受访人：王凌云 受访人电话：13505596369）。</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 </w:t>
      </w:r>
    </w:p>
    <w:p>
      <w:pPr>
        <w:pStyle w:val="24"/>
        <w:adjustRightInd w:val="0"/>
        <w:snapToGrid w:val="0"/>
        <w:spacing w:before="0" w:beforeAutospacing="0" w:after="0" w:afterAutospacing="0" w:line="360" w:lineRule="auto"/>
        <w:ind w:firstLine="480" w:firstLineChars="200"/>
        <w:jc w:val="right"/>
        <w:rPr>
          <w:rFonts w:ascii="仿宋_GB2312" w:eastAsia="仿宋_GB2312" w:cs="宋体"/>
          <w:sz w:val="24"/>
          <w:szCs w:val="24"/>
          <w:lang w:val="zh-CN"/>
        </w:rPr>
      </w:pPr>
      <w:r>
        <w:rPr>
          <w:rFonts w:ascii="仿宋_GB2312" w:eastAsia="仿宋_GB2312" w:cs="宋体"/>
          <w:sz w:val="24"/>
          <w:szCs w:val="24"/>
        </w:rPr>
        <w:t>皖南医学院国有资产管理处</w:t>
      </w:r>
    </w:p>
    <w:p>
      <w:pPr>
        <w:pStyle w:val="24"/>
        <w:adjustRightInd w:val="0"/>
        <w:snapToGrid w:val="0"/>
        <w:spacing w:before="0" w:beforeAutospacing="0" w:after="0" w:afterAutospacing="0" w:line="360" w:lineRule="auto"/>
        <w:ind w:firstLine="480" w:firstLineChars="200"/>
        <w:jc w:val="right"/>
        <w:rPr>
          <w:rFonts w:ascii="微软雅黑" w:hAnsi="微软雅黑" w:eastAsia="微软雅黑" w:cs="微软雅黑"/>
          <w:color w:val="333333"/>
          <w:sz w:val="21"/>
          <w:szCs w:val="21"/>
        </w:rPr>
      </w:pPr>
      <w:r>
        <w:rPr>
          <w:rFonts w:hint="eastAsia" w:ascii="仿宋_GB2312" w:eastAsia="仿宋_GB2312" w:cs="宋体"/>
          <w:sz w:val="24"/>
          <w:szCs w:val="24"/>
          <w:lang w:eastAsia="zh-CN"/>
        </w:rPr>
        <w:t>2024年</w:t>
      </w:r>
      <w:r>
        <w:rPr>
          <w:rFonts w:hint="eastAsia" w:ascii="仿宋_GB2312" w:eastAsia="仿宋_GB2312" w:cs="宋体"/>
          <w:sz w:val="24"/>
          <w:szCs w:val="24"/>
          <w:lang w:val="en-US" w:eastAsia="zh-CN"/>
        </w:rPr>
        <w:t>4</w:t>
      </w:r>
      <w:r>
        <w:rPr>
          <w:rFonts w:hint="eastAsia" w:ascii="仿宋_GB2312" w:eastAsia="仿宋_GB2312" w:cs="宋体"/>
          <w:sz w:val="24"/>
          <w:szCs w:val="24"/>
          <w:lang w:eastAsia="zh-CN"/>
        </w:rPr>
        <w:t>月</w:t>
      </w:r>
      <w:r>
        <w:rPr>
          <w:rFonts w:hint="eastAsia" w:ascii="仿宋_GB2312" w:eastAsia="仿宋_GB2312" w:cs="宋体"/>
          <w:sz w:val="24"/>
          <w:szCs w:val="24"/>
          <w:lang w:val="en-US" w:eastAsia="zh-CN"/>
        </w:rPr>
        <w:t>9</w:t>
      </w:r>
      <w:r>
        <w:rPr>
          <w:rFonts w:ascii="仿宋_GB2312" w:eastAsia="仿宋_GB2312" w:cs="宋体"/>
          <w:sz w:val="24"/>
          <w:szCs w:val="24"/>
        </w:rPr>
        <w:t>日</w:t>
      </w:r>
    </w:p>
    <w:p>
      <w:pPr>
        <w:jc w:val="right"/>
        <w:rPr>
          <w:rFonts w:ascii="仿宋_GB2312" w:eastAsia="仿宋_GB2312"/>
          <w:sz w:val="24"/>
          <w:szCs w:val="24"/>
        </w:rPr>
      </w:pPr>
    </w:p>
    <w:p>
      <w:pPr>
        <w:rPr>
          <w:rFonts w:ascii="华文中宋" w:hAnsi="华文中宋" w:eastAsia="华文中宋"/>
        </w:rPr>
      </w:pPr>
      <w:bookmarkStart w:id="1" w:name="_Toc49763000"/>
      <w:r>
        <w:rPr>
          <w:rFonts w:hint="eastAsia" w:ascii="华文中宋" w:hAnsi="华文中宋" w:eastAsia="华文中宋"/>
        </w:rPr>
        <w:br w:type="page"/>
      </w:r>
    </w:p>
    <w:p>
      <w:pPr>
        <w:pStyle w:val="2"/>
        <w:snapToGrid w:val="0"/>
        <w:spacing w:before="0" w:after="0"/>
        <w:ind w:left="0" w:firstLine="2168" w:firstLineChars="600"/>
        <w:jc w:val="both"/>
        <w:rPr>
          <w:rFonts w:ascii="华文中宋" w:hAnsi="华文中宋" w:eastAsia="华文中宋"/>
          <w:color w:val="auto"/>
        </w:rPr>
      </w:pPr>
      <w:r>
        <w:rPr>
          <w:rFonts w:hint="eastAsia" w:ascii="华文中宋" w:hAnsi="华文中宋" w:eastAsia="华文中宋"/>
          <w:color w:val="auto"/>
        </w:rPr>
        <w:t>第二章  磋商须知前附表</w:t>
      </w:r>
      <w:bookmarkEnd w:id="1"/>
    </w:p>
    <w:tbl>
      <w:tblPr>
        <w:tblStyle w:val="27"/>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b/>
                <w:kern w:val="0"/>
                <w:sz w:val="21"/>
                <w:szCs w:val="21"/>
              </w:rPr>
            </w:pPr>
            <w:r>
              <w:rPr>
                <w:rFonts w:hint="eastAsia" w:ascii="宋体" w:hAnsi="宋体" w:cs="宋体"/>
                <w:b/>
                <w:kern w:val="0"/>
                <w:sz w:val="21"/>
                <w:szCs w:val="21"/>
              </w:rPr>
              <w:t>条款号</w:t>
            </w:r>
          </w:p>
        </w:tc>
        <w:tc>
          <w:tcPr>
            <w:tcW w:w="2249"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条款名称</w:t>
            </w:r>
          </w:p>
        </w:tc>
        <w:tc>
          <w:tcPr>
            <w:tcW w:w="5866"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项目名称</w:t>
            </w:r>
          </w:p>
        </w:tc>
        <w:tc>
          <w:tcPr>
            <w:tcW w:w="5866" w:type="dxa"/>
            <w:vAlign w:val="center"/>
          </w:tcPr>
          <w:p>
            <w:pPr>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皖南医学院信息安全服务项目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2.2</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采购人</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2.3</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招标范围</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2.4</w:t>
            </w:r>
          </w:p>
        </w:tc>
        <w:tc>
          <w:tcPr>
            <w:tcW w:w="2249" w:type="dxa"/>
            <w:vAlign w:val="center"/>
          </w:tcPr>
          <w:p>
            <w:pPr>
              <w:widowControl/>
              <w:jc w:val="left"/>
              <w:rPr>
                <w:rFonts w:ascii="宋体" w:hAnsi="宋体" w:cs="宋体"/>
                <w:kern w:val="0"/>
                <w:sz w:val="21"/>
                <w:szCs w:val="21"/>
              </w:rPr>
            </w:pPr>
            <w:r>
              <w:rPr>
                <w:rFonts w:hint="eastAsia" w:ascii="宋体" w:hAnsi="宋体" w:cs="宋体"/>
                <w:kern w:val="0"/>
                <w:sz w:val="21"/>
                <w:szCs w:val="21"/>
              </w:rPr>
              <w:t>是否允许递交备选投标方案</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2.5</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签字或盖章要求</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2.6</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投标文件份数</w:t>
            </w:r>
          </w:p>
        </w:tc>
        <w:tc>
          <w:tcPr>
            <w:tcW w:w="5866" w:type="dxa"/>
            <w:vAlign w:val="center"/>
          </w:tcPr>
          <w:p>
            <w:pPr>
              <w:jc w:val="left"/>
              <w:rPr>
                <w:rFonts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2.7</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递交响应文件时间、地点</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2.8</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vAlign w:val="center"/>
          </w:tcPr>
          <w:p>
            <w:pPr>
              <w:jc w:val="left"/>
              <w:rPr>
                <w:rFonts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2.9</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合同履约担保</w:t>
            </w:r>
          </w:p>
        </w:tc>
        <w:tc>
          <w:tcPr>
            <w:tcW w:w="5866" w:type="dxa"/>
            <w:vAlign w:val="center"/>
          </w:tcPr>
          <w:p>
            <w:pPr>
              <w:pStyle w:val="26"/>
              <w:ind w:firstLine="0" w:firstLineChars="0"/>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2.10</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履约保证金交纳及退付</w:t>
            </w:r>
          </w:p>
        </w:tc>
        <w:tc>
          <w:tcPr>
            <w:tcW w:w="5866" w:type="dxa"/>
            <w:vAlign w:val="center"/>
          </w:tcPr>
          <w:p>
            <w:pPr>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磋商有效期</w:t>
            </w:r>
          </w:p>
        </w:tc>
        <w:tc>
          <w:tcPr>
            <w:tcW w:w="5866" w:type="dxa"/>
            <w:vAlign w:val="center"/>
          </w:tcPr>
          <w:p>
            <w:pPr>
              <w:spacing w:line="360" w:lineRule="exact"/>
              <w:jc w:val="left"/>
              <w:rPr>
                <w:rFonts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ascii="宋体" w:hAnsi="宋体" w:cs="宋体"/>
          <w:sz w:val="24"/>
          <w:szCs w:val="24"/>
        </w:rPr>
      </w:pPr>
      <w:bookmarkStart w:id="3" w:name="_Toc513029203"/>
      <w:bookmarkStart w:id="4" w:name="_Toc403987205"/>
      <w:bookmarkStart w:id="5" w:name="_Toc20823275"/>
      <w:bookmarkStart w:id="6" w:name="_Toc120614214"/>
      <w:bookmarkStart w:id="7" w:name="_Toc16938519"/>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ascii="宋体" w:hAnsi="宋体" w:cs="宋体"/>
          <w:sz w:val="24"/>
          <w:szCs w:val="24"/>
        </w:rPr>
      </w:pPr>
      <w:bookmarkStart w:id="8" w:name="_Hlt16619475"/>
      <w:bookmarkEnd w:id="8"/>
      <w:bookmarkStart w:id="9" w:name="_Toc20823276"/>
      <w:bookmarkStart w:id="10" w:name="_Toc16938520"/>
      <w:bookmarkStart w:id="11" w:name="_Toc513029204"/>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40"/>
        <w:snapToGrid w:val="0"/>
        <w:rPr>
          <w:rFonts w:hAnsi="宋体" w:eastAsia="宋体"/>
          <w:sz w:val="24"/>
          <w:szCs w:val="24"/>
        </w:rPr>
      </w:pPr>
      <w:r>
        <w:rPr>
          <w:rFonts w:hint="eastAsia" w:hAnsi="宋体" w:eastAsia="宋体"/>
          <w:sz w:val="24"/>
          <w:szCs w:val="24"/>
        </w:rPr>
        <w:t>1.本次采购采用磋商方式，本磋商文件仅适用于磋商公告中所述项目。</w:t>
      </w:r>
    </w:p>
    <w:p>
      <w:pPr>
        <w:pStyle w:val="40"/>
        <w:snapToGrid w:val="0"/>
        <w:rPr>
          <w:rFonts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ascii="宋体" w:hAnsi="宋体" w:cs="宋体"/>
          <w:sz w:val="24"/>
          <w:szCs w:val="24"/>
        </w:rPr>
      </w:pPr>
      <w:bookmarkStart w:id="12" w:name="_Toc16938521"/>
      <w:bookmarkStart w:id="13" w:name="_Toc513029205"/>
      <w:bookmarkStart w:id="14" w:name="_Toc20823277"/>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40"/>
        <w:snapToGrid w:val="0"/>
        <w:ind w:left="560" w:firstLine="0" w:firstLineChars="0"/>
        <w:rPr>
          <w:rFonts w:hAnsi="宋体" w:eastAsia="宋体"/>
          <w:sz w:val="24"/>
          <w:szCs w:val="24"/>
        </w:rPr>
      </w:pPr>
      <w:r>
        <w:rPr>
          <w:rFonts w:hint="eastAsia" w:hAnsi="宋体" w:eastAsia="宋体"/>
          <w:sz w:val="24"/>
          <w:szCs w:val="24"/>
        </w:rPr>
        <w:t>（1）满足磋商公告中供应商的资格条件的规定。</w:t>
      </w:r>
    </w:p>
    <w:p>
      <w:pPr>
        <w:pStyle w:val="40"/>
        <w:snapToGrid w:val="0"/>
        <w:rPr>
          <w:rFonts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ascii="宋体" w:hAnsi="宋体" w:cs="宋体"/>
          <w:sz w:val="24"/>
          <w:szCs w:val="24"/>
        </w:rPr>
      </w:pPr>
      <w:bookmarkStart w:id="15" w:name="_Toc16938522"/>
      <w:bookmarkStart w:id="16" w:name="_Toc20823278"/>
      <w:bookmarkStart w:id="17" w:name="_Toc513029206"/>
      <w:r>
        <w:rPr>
          <w:rFonts w:hint="eastAsia" w:ascii="宋体" w:hAnsi="宋体" w:cs="宋体"/>
          <w:sz w:val="24"/>
          <w:szCs w:val="24"/>
        </w:rPr>
        <w:t>4.适用法律</w:t>
      </w:r>
      <w:bookmarkEnd w:id="15"/>
      <w:bookmarkEnd w:id="16"/>
      <w:bookmarkEnd w:id="17"/>
    </w:p>
    <w:p>
      <w:pPr>
        <w:pStyle w:val="40"/>
        <w:snapToGrid w:val="0"/>
        <w:rPr>
          <w:rFonts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ascii="宋体" w:hAnsi="宋体" w:cs="宋体"/>
          <w:sz w:val="24"/>
          <w:szCs w:val="24"/>
        </w:rPr>
      </w:pPr>
      <w:bookmarkStart w:id="18" w:name="_Toc462564067"/>
      <w:bookmarkStart w:id="19" w:name="_Toc20823279"/>
      <w:bookmarkStart w:id="20" w:name="_Toc513029207"/>
      <w:bookmarkStart w:id="21" w:name="_Toc16938523"/>
      <w:r>
        <w:rPr>
          <w:rFonts w:hint="eastAsia" w:ascii="宋体" w:hAnsi="宋体" w:cs="宋体"/>
          <w:sz w:val="24"/>
          <w:szCs w:val="24"/>
        </w:rPr>
        <w:t>5.磋商费用</w:t>
      </w:r>
      <w:bookmarkEnd w:id="18"/>
      <w:bookmarkEnd w:id="19"/>
      <w:bookmarkEnd w:id="20"/>
      <w:bookmarkEnd w:id="21"/>
    </w:p>
    <w:p>
      <w:pPr>
        <w:pStyle w:val="40"/>
        <w:snapToGrid w:val="0"/>
        <w:rPr>
          <w:rFonts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40"/>
        <w:snapToGrid w:val="0"/>
        <w:rPr>
          <w:rFonts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6.磋商文件的约束力</w:t>
      </w:r>
    </w:p>
    <w:p>
      <w:pPr>
        <w:pStyle w:val="40"/>
        <w:snapToGrid w:val="0"/>
        <w:rPr>
          <w:rFonts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ascii="宋体" w:hAnsi="宋体" w:cs="宋体"/>
          <w:sz w:val="24"/>
          <w:szCs w:val="24"/>
        </w:rPr>
      </w:pPr>
      <w:bookmarkStart w:id="22" w:name="_Toc403987206"/>
      <w:bookmarkStart w:id="23" w:name="_Toc16938525"/>
      <w:bookmarkStart w:id="24" w:name="_Toc20823281"/>
      <w:bookmarkStart w:id="25" w:name="_Toc513029209"/>
      <w:bookmarkStart w:id="26" w:name="_Toc120614215"/>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ascii="宋体" w:hAnsi="宋体" w:cs="宋体"/>
          <w:sz w:val="24"/>
          <w:szCs w:val="24"/>
        </w:rPr>
      </w:pPr>
      <w:bookmarkStart w:id="27" w:name="_Toc20823282"/>
      <w:bookmarkStart w:id="28" w:name="_Toc16938526"/>
      <w:bookmarkStart w:id="29" w:name="_Toc513029210"/>
      <w:r>
        <w:rPr>
          <w:rFonts w:hint="eastAsia" w:ascii="宋体" w:hAnsi="宋体" w:cs="宋体"/>
          <w:sz w:val="24"/>
          <w:szCs w:val="24"/>
        </w:rPr>
        <w:t>1.磋商文件构成</w:t>
      </w:r>
      <w:bookmarkEnd w:id="27"/>
      <w:bookmarkEnd w:id="28"/>
      <w:bookmarkEnd w:id="29"/>
    </w:p>
    <w:p>
      <w:pPr>
        <w:pStyle w:val="40"/>
        <w:snapToGrid w:val="0"/>
        <w:rPr>
          <w:rFonts w:hAnsi="宋体" w:eastAsia="宋体"/>
          <w:sz w:val="24"/>
          <w:szCs w:val="24"/>
        </w:rPr>
      </w:pPr>
      <w:r>
        <w:rPr>
          <w:rFonts w:hint="eastAsia" w:hAnsi="宋体" w:eastAsia="宋体"/>
          <w:sz w:val="24"/>
          <w:szCs w:val="24"/>
        </w:rPr>
        <w:t>磋商文件有以下部分组成：</w:t>
      </w:r>
    </w:p>
    <w:p>
      <w:pPr>
        <w:pStyle w:val="40"/>
        <w:snapToGrid w:val="0"/>
        <w:rPr>
          <w:rFonts w:hAnsi="宋体" w:eastAsia="宋体"/>
          <w:sz w:val="24"/>
          <w:szCs w:val="24"/>
        </w:rPr>
      </w:pPr>
      <w:r>
        <w:rPr>
          <w:rFonts w:hint="eastAsia" w:hAnsi="宋体" w:eastAsia="宋体"/>
          <w:sz w:val="24"/>
          <w:szCs w:val="24"/>
        </w:rPr>
        <w:t>（1）磋商公告</w:t>
      </w:r>
    </w:p>
    <w:p>
      <w:pPr>
        <w:pStyle w:val="40"/>
        <w:snapToGrid w:val="0"/>
        <w:rPr>
          <w:rFonts w:hAnsi="宋体" w:eastAsia="宋体"/>
          <w:sz w:val="24"/>
          <w:szCs w:val="24"/>
        </w:rPr>
      </w:pPr>
      <w:r>
        <w:rPr>
          <w:rFonts w:hint="eastAsia" w:hAnsi="宋体" w:eastAsia="宋体"/>
          <w:sz w:val="24"/>
          <w:szCs w:val="24"/>
        </w:rPr>
        <w:t>（2）磋商须知前附表</w:t>
      </w:r>
    </w:p>
    <w:p>
      <w:pPr>
        <w:pStyle w:val="40"/>
        <w:snapToGrid w:val="0"/>
        <w:rPr>
          <w:rFonts w:hAnsi="宋体" w:eastAsia="宋体"/>
          <w:sz w:val="24"/>
          <w:szCs w:val="24"/>
        </w:rPr>
      </w:pPr>
      <w:r>
        <w:rPr>
          <w:rFonts w:hint="eastAsia" w:hAnsi="宋体" w:eastAsia="宋体"/>
          <w:sz w:val="24"/>
          <w:szCs w:val="24"/>
        </w:rPr>
        <w:t>（3）磋商须知</w:t>
      </w:r>
    </w:p>
    <w:p>
      <w:pPr>
        <w:pStyle w:val="40"/>
        <w:snapToGrid w:val="0"/>
        <w:rPr>
          <w:rFonts w:hAnsi="宋体" w:eastAsia="宋体"/>
          <w:sz w:val="24"/>
          <w:szCs w:val="24"/>
        </w:rPr>
      </w:pPr>
      <w:r>
        <w:rPr>
          <w:rFonts w:hint="eastAsia" w:hAnsi="宋体" w:eastAsia="宋体"/>
          <w:sz w:val="24"/>
          <w:szCs w:val="24"/>
        </w:rPr>
        <w:t>（4）合同主要条款</w:t>
      </w:r>
    </w:p>
    <w:p>
      <w:pPr>
        <w:pStyle w:val="40"/>
        <w:snapToGrid w:val="0"/>
        <w:rPr>
          <w:rFonts w:hAnsi="宋体" w:eastAsia="宋体"/>
          <w:sz w:val="24"/>
          <w:szCs w:val="24"/>
        </w:rPr>
      </w:pPr>
      <w:r>
        <w:rPr>
          <w:rFonts w:hint="eastAsia" w:hAnsi="宋体" w:eastAsia="宋体"/>
          <w:sz w:val="24"/>
          <w:szCs w:val="24"/>
        </w:rPr>
        <w:t>（5）项目需求</w:t>
      </w:r>
    </w:p>
    <w:p>
      <w:pPr>
        <w:pStyle w:val="40"/>
        <w:snapToGrid w:val="0"/>
        <w:rPr>
          <w:rFonts w:hAnsi="宋体" w:eastAsia="宋体"/>
          <w:sz w:val="24"/>
          <w:szCs w:val="24"/>
        </w:rPr>
      </w:pPr>
      <w:r>
        <w:rPr>
          <w:rFonts w:hint="eastAsia" w:hAnsi="宋体" w:eastAsia="宋体"/>
          <w:sz w:val="24"/>
          <w:szCs w:val="24"/>
        </w:rPr>
        <w:t>（6）评审标准</w:t>
      </w:r>
    </w:p>
    <w:p>
      <w:pPr>
        <w:pStyle w:val="40"/>
        <w:snapToGrid w:val="0"/>
        <w:rPr>
          <w:rFonts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ascii="宋体" w:hAnsi="宋体" w:cs="宋体"/>
          <w:sz w:val="24"/>
          <w:szCs w:val="24"/>
        </w:rPr>
      </w:pPr>
      <w:bookmarkStart w:id="30" w:name="_Toc20823283"/>
      <w:bookmarkStart w:id="31" w:name="_Toc16938527"/>
      <w:bookmarkStart w:id="32" w:name="_Toc462564070"/>
      <w:bookmarkStart w:id="33" w:name="_Toc513029211"/>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40"/>
        <w:snapToGrid w:val="0"/>
        <w:rPr>
          <w:rFonts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ascii="宋体" w:hAnsi="宋体" w:cs="宋体"/>
          <w:sz w:val="24"/>
          <w:szCs w:val="24"/>
        </w:rPr>
      </w:pPr>
      <w:bookmarkStart w:id="34" w:name="_Toc16938529"/>
      <w:bookmarkStart w:id="35" w:name="_Toc513029213"/>
      <w:bookmarkStart w:id="36" w:name="_Toc120614216"/>
      <w:bookmarkStart w:id="37" w:name="_Toc403987207"/>
      <w:bookmarkStart w:id="38" w:name="_Toc20823285"/>
      <w:bookmarkStart w:id="39" w:name="_Toc462564072"/>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ascii="宋体" w:hAnsi="宋体" w:cs="宋体"/>
          <w:sz w:val="24"/>
          <w:szCs w:val="24"/>
        </w:rPr>
      </w:pPr>
      <w:bookmarkStart w:id="41" w:name="_Toc20823286"/>
      <w:bookmarkStart w:id="42" w:name="_Toc16938530"/>
      <w:bookmarkStart w:id="43" w:name="_Toc462564073"/>
      <w:bookmarkStart w:id="44" w:name="_Toc513029214"/>
      <w:r>
        <w:rPr>
          <w:rFonts w:hint="eastAsia" w:ascii="宋体" w:hAnsi="宋体" w:cs="宋体"/>
          <w:sz w:val="24"/>
          <w:szCs w:val="24"/>
        </w:rPr>
        <w:t>3.响应文件的语言及度量衡单位</w:t>
      </w:r>
      <w:bookmarkEnd w:id="41"/>
      <w:bookmarkEnd w:id="42"/>
      <w:bookmarkEnd w:id="43"/>
      <w:bookmarkEnd w:id="44"/>
    </w:p>
    <w:p>
      <w:pPr>
        <w:pStyle w:val="40"/>
        <w:snapToGrid w:val="0"/>
        <w:rPr>
          <w:rFonts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40"/>
        <w:snapToGrid w:val="0"/>
        <w:rPr>
          <w:rFonts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ascii="宋体" w:hAnsi="宋体" w:cs="宋体"/>
          <w:sz w:val="24"/>
          <w:szCs w:val="24"/>
        </w:rPr>
      </w:pPr>
      <w:bookmarkStart w:id="45" w:name="_Toc513029215"/>
      <w:bookmarkStart w:id="46" w:name="_Toc20823287"/>
      <w:bookmarkStart w:id="47" w:name="_Toc16938531"/>
      <w:bookmarkStart w:id="48" w:name="_Toc462564074"/>
      <w:r>
        <w:rPr>
          <w:rFonts w:hint="eastAsia" w:ascii="宋体" w:hAnsi="宋体" w:cs="宋体"/>
          <w:sz w:val="24"/>
          <w:szCs w:val="24"/>
        </w:rPr>
        <w:t>4.响应文件构成</w:t>
      </w:r>
      <w:bookmarkEnd w:id="45"/>
      <w:bookmarkEnd w:id="46"/>
      <w:bookmarkEnd w:id="47"/>
      <w:bookmarkEnd w:id="48"/>
    </w:p>
    <w:p>
      <w:pPr>
        <w:pStyle w:val="40"/>
        <w:snapToGrid w:val="0"/>
        <w:rPr>
          <w:rFonts w:hAnsi="宋体" w:eastAsia="宋体"/>
          <w:sz w:val="24"/>
          <w:szCs w:val="24"/>
        </w:rPr>
      </w:pPr>
      <w:r>
        <w:rPr>
          <w:rFonts w:hint="eastAsia" w:hAnsi="宋体" w:eastAsia="宋体"/>
          <w:sz w:val="24"/>
          <w:szCs w:val="24"/>
        </w:rPr>
        <w:t>（1）供应商应该按照磋商文件的要求编写响应文件应。</w:t>
      </w:r>
    </w:p>
    <w:p>
      <w:pPr>
        <w:pStyle w:val="40"/>
        <w:snapToGrid w:val="0"/>
        <w:rPr>
          <w:rFonts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ascii="宋体" w:hAnsi="宋体" w:cs="宋体"/>
          <w:sz w:val="24"/>
          <w:szCs w:val="24"/>
        </w:rPr>
      </w:pPr>
      <w:bookmarkStart w:id="49" w:name="_Hlt26954838"/>
      <w:bookmarkEnd w:id="49"/>
      <w:bookmarkStart w:id="50" w:name="_Hlt26670360"/>
      <w:bookmarkEnd w:id="50"/>
      <w:bookmarkStart w:id="51" w:name="_Hlt26668975"/>
      <w:bookmarkEnd w:id="51"/>
      <w:bookmarkStart w:id="52" w:name="_Toc49090509"/>
      <w:bookmarkStart w:id="53" w:name="_Toc14577357"/>
      <w:bookmarkStart w:id="54" w:name="_Toc513029219"/>
      <w:bookmarkStart w:id="55" w:name="_Toc14577354"/>
      <w:bookmarkStart w:id="56" w:name="_Toc513029216"/>
      <w:bookmarkStart w:id="57" w:name="_Toc49090507"/>
      <w:r>
        <w:rPr>
          <w:rFonts w:hint="eastAsia" w:ascii="宋体" w:hAnsi="宋体" w:cs="宋体"/>
          <w:sz w:val="24"/>
          <w:szCs w:val="24"/>
        </w:rPr>
        <w:t>5.证明供应商资格及符合磋商文件规定的文件</w:t>
      </w:r>
      <w:bookmarkEnd w:id="52"/>
      <w:bookmarkEnd w:id="53"/>
      <w:bookmarkEnd w:id="54"/>
    </w:p>
    <w:p>
      <w:pPr>
        <w:pStyle w:val="40"/>
        <w:snapToGrid w:val="0"/>
        <w:rPr>
          <w:rFonts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40"/>
        <w:snapToGrid w:val="0"/>
        <w:rPr>
          <w:rFonts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40"/>
        <w:snapToGrid w:val="0"/>
        <w:rPr>
          <w:rFonts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40"/>
        <w:snapToGrid w:val="0"/>
        <w:ind w:firstLine="482"/>
        <w:rPr>
          <w:rFonts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（3）其它费用处理</w:t>
      </w:r>
    </w:p>
    <w:p>
      <w:pPr>
        <w:pStyle w:val="40"/>
        <w:snapToGrid w:val="0"/>
        <w:rPr>
          <w:rFonts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7.响应文件货币</w:t>
      </w:r>
    </w:p>
    <w:p>
      <w:pPr>
        <w:pStyle w:val="40"/>
        <w:snapToGrid w:val="0"/>
        <w:rPr>
          <w:rFonts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ascii="宋体" w:hAnsi="宋体" w:cs="宋体"/>
          <w:sz w:val="24"/>
          <w:szCs w:val="24"/>
        </w:rPr>
      </w:pPr>
      <w:bookmarkStart w:id="63" w:name="_Hlt26954848"/>
      <w:bookmarkEnd w:id="63"/>
      <w:bookmarkStart w:id="64" w:name="_Hlt26954739"/>
      <w:bookmarkEnd w:id="64"/>
      <w:bookmarkStart w:id="65" w:name="_Hlt26954852"/>
      <w:bookmarkEnd w:id="65"/>
      <w:bookmarkStart w:id="66" w:name="_Hlt26670482"/>
      <w:bookmarkEnd w:id="66"/>
      <w:bookmarkStart w:id="67" w:name="_Hlt26670486"/>
      <w:bookmarkEnd w:id="67"/>
      <w:bookmarkStart w:id="68" w:name="_Hlt26954731"/>
      <w:bookmarkEnd w:id="68"/>
      <w:bookmarkStart w:id="69" w:name="_Hlt26954846"/>
      <w:bookmarkEnd w:id="69"/>
      <w:bookmarkStart w:id="70" w:name="_Toc49090512"/>
      <w:bookmarkStart w:id="71" w:name="_Toc14577361"/>
      <w:r>
        <w:rPr>
          <w:rFonts w:hint="eastAsia" w:ascii="宋体" w:hAnsi="宋体" w:cs="宋体"/>
          <w:sz w:val="24"/>
          <w:szCs w:val="24"/>
        </w:rPr>
        <w:t>8.响应文件份数和签署</w:t>
      </w:r>
      <w:bookmarkEnd w:id="70"/>
      <w:bookmarkEnd w:id="71"/>
    </w:p>
    <w:p>
      <w:pPr>
        <w:pStyle w:val="40"/>
        <w:snapToGrid w:val="0"/>
        <w:rPr>
          <w:rFonts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40"/>
        <w:snapToGrid w:val="0"/>
        <w:rPr>
          <w:rFonts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40"/>
        <w:snapToGrid w:val="0"/>
        <w:rPr>
          <w:rFonts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ascii="宋体" w:hAnsi="宋体" w:cs="宋体"/>
          <w:sz w:val="24"/>
          <w:szCs w:val="24"/>
        </w:rPr>
      </w:pPr>
      <w:bookmarkStart w:id="72" w:name="_Toc120614217"/>
      <w:bookmarkStart w:id="73" w:name="_Toc16938540"/>
      <w:bookmarkStart w:id="74" w:name="_Toc403987208"/>
      <w:bookmarkStart w:id="75" w:name="_Toc513029224"/>
      <w:bookmarkStart w:id="76" w:name="_Toc20823296"/>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ascii="宋体" w:hAnsi="宋体" w:cs="宋体"/>
          <w:sz w:val="24"/>
          <w:szCs w:val="24"/>
        </w:rPr>
      </w:pPr>
      <w:bookmarkStart w:id="77" w:name="_Toc16938541"/>
      <w:bookmarkStart w:id="78" w:name="_Toc462564084"/>
      <w:bookmarkStart w:id="79" w:name="_Toc513029225"/>
      <w:bookmarkStart w:id="80" w:name="_Toc20823297"/>
      <w:r>
        <w:rPr>
          <w:rFonts w:hint="eastAsia" w:ascii="宋体" w:hAnsi="宋体" w:cs="宋体"/>
          <w:sz w:val="24"/>
          <w:szCs w:val="24"/>
        </w:rPr>
        <w:t>1.响应文件的密封和标记</w:t>
      </w:r>
      <w:bookmarkEnd w:id="77"/>
      <w:bookmarkEnd w:id="78"/>
      <w:bookmarkEnd w:id="79"/>
      <w:bookmarkEnd w:id="80"/>
    </w:p>
    <w:p>
      <w:pPr>
        <w:pStyle w:val="40"/>
        <w:snapToGrid w:val="0"/>
        <w:rPr>
          <w:rFonts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40"/>
        <w:snapToGrid w:val="0"/>
        <w:rPr>
          <w:rFonts w:hAnsi="宋体" w:eastAsia="宋体"/>
          <w:sz w:val="24"/>
          <w:szCs w:val="24"/>
        </w:rPr>
      </w:pPr>
      <w:r>
        <w:rPr>
          <w:rFonts w:hint="eastAsia" w:hAnsi="宋体" w:eastAsia="宋体"/>
          <w:sz w:val="24"/>
          <w:szCs w:val="24"/>
        </w:rPr>
        <w:t>（2）密封的响应文件应：</w:t>
      </w:r>
    </w:p>
    <w:p>
      <w:pPr>
        <w:pStyle w:val="40"/>
        <w:snapToGrid w:val="0"/>
        <w:rPr>
          <w:rFonts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40"/>
        <w:snapToGrid w:val="0"/>
        <w:rPr>
          <w:rFonts w:hAnsi="宋体" w:eastAsia="宋体"/>
          <w:sz w:val="24"/>
          <w:szCs w:val="24"/>
        </w:rPr>
      </w:pPr>
      <w:r>
        <w:rPr>
          <w:rFonts w:hint="eastAsia" w:hAnsi="宋体" w:eastAsia="宋体"/>
          <w:sz w:val="24"/>
          <w:szCs w:val="24"/>
        </w:rPr>
        <w:t>2）注明磋商项目名称、项目编号。</w:t>
      </w:r>
    </w:p>
    <w:p>
      <w:pPr>
        <w:pStyle w:val="40"/>
        <w:snapToGrid w:val="0"/>
        <w:rPr>
          <w:rFonts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ascii="宋体" w:hAnsi="宋体" w:cs="宋体"/>
          <w:sz w:val="24"/>
          <w:szCs w:val="24"/>
        </w:rPr>
      </w:pPr>
      <w:bookmarkStart w:id="81" w:name="_Toc16938542"/>
      <w:bookmarkStart w:id="82" w:name="_Toc20823298"/>
      <w:bookmarkStart w:id="83" w:name="_Toc513029226"/>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40"/>
        <w:snapToGrid w:val="0"/>
        <w:rPr>
          <w:rFonts w:hAnsi="宋体" w:eastAsia="宋体"/>
          <w:sz w:val="24"/>
          <w:szCs w:val="24"/>
        </w:rPr>
      </w:pPr>
      <w:r>
        <w:rPr>
          <w:rFonts w:hint="eastAsia" w:hAnsi="宋体" w:eastAsia="宋体"/>
          <w:sz w:val="24"/>
          <w:szCs w:val="24"/>
        </w:rPr>
        <w:t>（1）采购人收到响应文件的时间不得迟于磋商公告中规定的截止时间。</w:t>
      </w:r>
    </w:p>
    <w:p>
      <w:pPr>
        <w:pStyle w:val="40"/>
        <w:snapToGrid w:val="0"/>
        <w:rPr>
          <w:rFonts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1.磋商仪式</w:t>
      </w:r>
    </w:p>
    <w:p>
      <w:pPr>
        <w:pStyle w:val="40"/>
        <w:snapToGrid w:val="0"/>
        <w:rPr>
          <w:rFonts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40"/>
        <w:snapToGrid w:val="0"/>
        <w:rPr>
          <w:rFonts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40"/>
        <w:snapToGrid w:val="0"/>
        <w:rPr>
          <w:rFonts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ascii="宋体" w:hAnsi="宋体" w:cs="宋体"/>
          <w:sz w:val="24"/>
          <w:szCs w:val="24"/>
        </w:rPr>
      </w:pPr>
      <w:bookmarkStart w:id="84" w:name="_Toc16938547"/>
      <w:bookmarkStart w:id="85" w:name="_Toc20823303"/>
      <w:bookmarkStart w:id="86" w:name="_Toc513029231"/>
      <w:r>
        <w:rPr>
          <w:rFonts w:hint="eastAsia" w:ascii="宋体" w:hAnsi="宋体" w:cs="宋体"/>
          <w:sz w:val="24"/>
          <w:szCs w:val="24"/>
        </w:rPr>
        <w:t>2.磋商小组</w:t>
      </w:r>
    </w:p>
    <w:p>
      <w:pPr>
        <w:pStyle w:val="40"/>
        <w:snapToGrid w:val="0"/>
        <w:rPr>
          <w:rFonts w:hAnsi="宋体" w:eastAsia="宋体"/>
          <w:sz w:val="24"/>
          <w:szCs w:val="24"/>
        </w:rPr>
      </w:pPr>
      <w:r>
        <w:rPr>
          <w:rFonts w:hint="eastAsia" w:hAnsi="宋体" w:eastAsia="宋体"/>
          <w:sz w:val="24"/>
          <w:szCs w:val="24"/>
        </w:rPr>
        <w:t>（1）磋商仪式结束后，采购人将立即组织磋商小组进行磋商。</w:t>
      </w:r>
    </w:p>
    <w:p>
      <w:pPr>
        <w:pStyle w:val="40"/>
        <w:snapToGrid w:val="0"/>
        <w:rPr>
          <w:rFonts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ascii="宋体" w:hAnsi="宋体" w:cs="宋体"/>
          <w:sz w:val="24"/>
          <w:szCs w:val="24"/>
        </w:rPr>
      </w:pPr>
      <w:bookmarkStart w:id="87" w:name="_Toc20823304"/>
      <w:bookmarkStart w:id="88" w:name="_Toc513029232"/>
      <w:bookmarkStart w:id="89" w:name="_Toc16938548"/>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ascii="宋体" w:hAnsi="宋体" w:cs="宋体"/>
          <w:sz w:val="24"/>
          <w:szCs w:val="24"/>
        </w:rPr>
      </w:pPr>
      <w:bookmarkStart w:id="90" w:name="_Toc16938549"/>
      <w:bookmarkStart w:id="91" w:name="_Toc513029233"/>
      <w:bookmarkStart w:id="92" w:name="_Toc20823305"/>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6.响应无效和终止磋商活动条款</w:t>
      </w:r>
    </w:p>
    <w:p>
      <w:pPr>
        <w:pStyle w:val="40"/>
        <w:snapToGrid w:val="0"/>
        <w:rPr>
          <w:rFonts w:hAnsi="宋体" w:eastAsia="宋体"/>
          <w:sz w:val="24"/>
          <w:szCs w:val="24"/>
        </w:rPr>
      </w:pPr>
      <w:bookmarkStart w:id="93" w:name="_Toc20823307"/>
      <w:bookmarkStart w:id="94" w:name="_Toc513029235"/>
      <w:bookmarkStart w:id="95" w:name="_Toc16938551"/>
      <w:r>
        <w:rPr>
          <w:rFonts w:hint="eastAsia" w:hAnsi="宋体" w:eastAsia="宋体"/>
          <w:sz w:val="24"/>
          <w:szCs w:val="24"/>
        </w:rPr>
        <w:t>（1）响应无效条款</w:t>
      </w:r>
    </w:p>
    <w:p>
      <w:pPr>
        <w:pStyle w:val="37"/>
        <w:snapToGrid w:val="0"/>
        <w:ind w:firstLine="480" w:firstLineChars="200"/>
        <w:rPr>
          <w:rFonts w:hAnsi="宋体" w:eastAsia="宋体"/>
          <w:sz w:val="24"/>
          <w:szCs w:val="24"/>
        </w:rPr>
      </w:pPr>
      <w:r>
        <w:rPr>
          <w:rFonts w:hint="eastAsia" w:hAnsi="宋体" w:eastAsia="宋体"/>
          <w:sz w:val="24"/>
          <w:szCs w:val="24"/>
        </w:rPr>
        <w:t>1）未按照磋商文件规定要求密封、签署、盖章的；</w:t>
      </w:r>
    </w:p>
    <w:p>
      <w:pPr>
        <w:pStyle w:val="37"/>
        <w:snapToGrid w:val="0"/>
        <w:ind w:firstLine="480" w:firstLineChars="200"/>
        <w:rPr>
          <w:rFonts w:hAnsi="宋体" w:eastAsia="宋体"/>
          <w:sz w:val="24"/>
          <w:szCs w:val="24"/>
        </w:rPr>
      </w:pPr>
      <w:r>
        <w:rPr>
          <w:rFonts w:hint="eastAsia" w:hAnsi="宋体" w:eastAsia="宋体"/>
          <w:sz w:val="24"/>
          <w:szCs w:val="24"/>
        </w:rPr>
        <w:t>2）供应商不具备磋商文件中规定资格条件的；</w:t>
      </w:r>
    </w:p>
    <w:p>
      <w:pPr>
        <w:pStyle w:val="37"/>
        <w:snapToGrid w:val="0"/>
        <w:ind w:firstLine="480" w:firstLineChars="200"/>
        <w:rPr>
          <w:rFonts w:hAnsi="宋体" w:eastAsia="宋体"/>
          <w:sz w:val="24"/>
          <w:szCs w:val="24"/>
        </w:rPr>
      </w:pPr>
      <w:r>
        <w:rPr>
          <w:rFonts w:hint="eastAsia" w:hAnsi="宋体" w:eastAsia="宋体"/>
          <w:sz w:val="24"/>
          <w:szCs w:val="24"/>
        </w:rPr>
        <w:t>3）不符合法律、法规和磋商文件中规定的其他实质性要求的（本磋商文件中斜体且有下划线部分为实质性要求和条件）；</w:t>
      </w:r>
    </w:p>
    <w:p>
      <w:pPr>
        <w:pStyle w:val="37"/>
        <w:snapToGrid w:val="0"/>
        <w:ind w:firstLine="480" w:firstLineChars="200"/>
        <w:rPr>
          <w:rFonts w:hAnsi="宋体" w:eastAsia="宋体"/>
          <w:sz w:val="24"/>
          <w:szCs w:val="24"/>
        </w:rPr>
      </w:pPr>
      <w:r>
        <w:rPr>
          <w:rFonts w:hint="eastAsia" w:hAnsi="宋体" w:eastAsia="宋体"/>
          <w:sz w:val="24"/>
          <w:szCs w:val="24"/>
        </w:rPr>
        <w:t>4）其他法律、法规及本磋商文件规定的属响应无效的情形。</w:t>
      </w:r>
    </w:p>
    <w:p>
      <w:pPr>
        <w:pStyle w:val="40"/>
        <w:snapToGrid w:val="0"/>
        <w:rPr>
          <w:rFonts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7"/>
        <w:snapToGrid w:val="0"/>
        <w:ind w:firstLine="480" w:firstLineChars="200"/>
        <w:rPr>
          <w:rFonts w:hAnsi="宋体" w:eastAsia="宋体"/>
          <w:sz w:val="24"/>
          <w:szCs w:val="24"/>
        </w:rPr>
      </w:pPr>
      <w:r>
        <w:rPr>
          <w:rFonts w:hint="eastAsia" w:hAnsi="宋体" w:eastAsia="宋体"/>
          <w:sz w:val="24"/>
          <w:szCs w:val="24"/>
        </w:rPr>
        <w:t>（1）因情况变化，不再符合规定的磋商采购方式适用情形的；</w:t>
      </w:r>
    </w:p>
    <w:p>
      <w:pPr>
        <w:pStyle w:val="37"/>
        <w:snapToGrid w:val="0"/>
        <w:ind w:firstLine="480" w:firstLineChars="200"/>
        <w:rPr>
          <w:rFonts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40"/>
        <w:snapToGrid w:val="0"/>
        <w:rPr>
          <w:rFonts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40"/>
        <w:snapToGrid w:val="0"/>
        <w:rPr>
          <w:rFonts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ascii="宋体" w:hAnsi="宋体" w:cs="宋体"/>
          <w:sz w:val="24"/>
          <w:szCs w:val="24"/>
        </w:rPr>
      </w:pPr>
      <w:bookmarkStart w:id="98" w:name="_Toc120614220"/>
      <w:bookmarkStart w:id="99" w:name="_Toc403987211"/>
      <w:bookmarkStart w:id="100" w:name="_Toc20823308"/>
      <w:bookmarkStart w:id="101" w:name="_Toc513029236"/>
      <w:bookmarkStart w:id="102" w:name="_Toc16938552"/>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ascii="宋体" w:hAnsi="宋体" w:cs="宋体"/>
          <w:sz w:val="24"/>
          <w:szCs w:val="24"/>
        </w:rPr>
      </w:pPr>
      <w:bookmarkStart w:id="103" w:name="_Toc513029237"/>
      <w:bookmarkStart w:id="104" w:name="_Toc20823309"/>
      <w:bookmarkStart w:id="105" w:name="_Toc16938553"/>
      <w:r>
        <w:rPr>
          <w:rFonts w:hint="eastAsia" w:ascii="宋体" w:hAnsi="宋体" w:cs="宋体"/>
          <w:sz w:val="24"/>
          <w:szCs w:val="24"/>
        </w:rPr>
        <w:t>1.签订合同</w:t>
      </w:r>
    </w:p>
    <w:p>
      <w:pPr>
        <w:pStyle w:val="40"/>
        <w:snapToGrid w:val="0"/>
        <w:rPr>
          <w:rFonts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40"/>
        <w:snapToGrid w:val="0"/>
        <w:rPr>
          <w:rFonts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40"/>
        <w:snapToGrid w:val="0"/>
        <w:rPr>
          <w:rFonts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2.履约保证金</w:t>
      </w:r>
    </w:p>
    <w:p>
      <w:pPr>
        <w:pStyle w:val="40"/>
        <w:snapToGrid w:val="0"/>
        <w:rPr>
          <w:rFonts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rPr>
        <w:t>缴纳履约保证金。</w:t>
      </w:r>
    </w:p>
    <w:bookmarkEnd w:id="106"/>
    <w:p>
      <w:pPr>
        <w:pStyle w:val="40"/>
        <w:snapToGrid w:val="0"/>
        <w:rPr>
          <w:rFonts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1、联系部门：皖南医学院纪委办公室；</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2、联系电话：0553-3932226；</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3、通讯地址：芜湖市高校园区文昌西路22号皖南医学院纪委办公室。</w:t>
      </w:r>
    </w:p>
    <w:p>
      <w:pPr>
        <w:pStyle w:val="40"/>
        <w:snapToGrid w:val="0"/>
        <w:ind w:right="280" w:rightChars="100" w:firstLine="560"/>
        <w:rPr>
          <w:rFonts w:ascii="仿宋_GB2312" w:hAnsi="宋体" w:eastAsia="仿宋_GB2312"/>
          <w:bCs/>
          <w:szCs w:val="28"/>
        </w:rPr>
      </w:pPr>
    </w:p>
    <w:p>
      <w:pPr>
        <w:pStyle w:val="40"/>
        <w:snapToGrid w:val="0"/>
        <w:ind w:right="280" w:rightChars="100" w:firstLine="560"/>
        <w:rPr>
          <w:rFonts w:ascii="仿宋_GB2312" w:hAnsi="宋体" w:eastAsia="仿宋_GB2312"/>
          <w:bCs/>
          <w:szCs w:val="28"/>
        </w:rPr>
      </w:pPr>
    </w:p>
    <w:p>
      <w:bookmarkStart w:id="107" w:name="_Toc49763002"/>
      <w:r>
        <w:rPr>
          <w:rFonts w:hint="eastAsia" w:ascii="华文中宋" w:hAnsi="华文中宋" w:eastAsia="华文中宋"/>
        </w:rPr>
        <w:br w:type="page"/>
      </w:r>
    </w:p>
    <w:bookmarkEnd w:id="107"/>
    <w:p>
      <w:pPr>
        <w:pStyle w:val="9"/>
      </w:pPr>
    </w:p>
    <w:p>
      <w:pPr>
        <w:pStyle w:val="2"/>
        <w:numPr>
          <w:ilvl w:val="0"/>
          <w:numId w:val="2"/>
        </w:numPr>
        <w:snapToGrid w:val="0"/>
        <w:spacing w:before="0" w:after="0"/>
        <w:ind w:left="947" w:hanging="947"/>
        <w:jc w:val="center"/>
        <w:rPr>
          <w:rFonts w:ascii="华文中宋" w:hAnsi="华文中宋" w:eastAsia="华文中宋"/>
          <w:bCs w:val="0"/>
          <w:color w:val="auto"/>
        </w:rPr>
      </w:pPr>
      <w:bookmarkStart w:id="108" w:name="_Toc49763003"/>
      <w:r>
        <w:rPr>
          <w:rFonts w:hint="eastAsia" w:ascii="华文中宋" w:hAnsi="华文中宋" w:eastAsia="华文中宋"/>
          <w:bCs w:val="0"/>
          <w:color w:val="auto"/>
        </w:rPr>
        <w:t xml:space="preserve"> 项目需求</w:t>
      </w:r>
      <w:bookmarkEnd w:id="108"/>
    </w:p>
    <w:p>
      <w:pPr>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（1）技术要求</w:t>
      </w:r>
    </w:p>
    <w:p>
      <w:pPr>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提供三年期限的信息安全测评整改及漏扫，要求如下:</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1、提供设备巡检、审计类安全设备及应用访问日志安全巡检、防火墙安全巡检、网络设备安全巡检、主机防护安全巡检、系统运行安全巡检、防病毒安全巡检、数据备份巡检、物理机房巡检的日报告、周报告和月报告，输出《日常巡检报告》。</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2、提供基于基础运维服务建立学校操作系统、中间件、数据库等项目的安全基线。对学校现有网络、系统和新建、扩容的操作系统、中间件、数据库系统进行配置核查，输出核查报告并进行安全加固，并协助做配置安全分析规划，输出《基线核查报告》、《配置核查报告》。</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3、针对发现的不符合标准的信息安全脆弱点，进行策略安全整改加固，包括网络设备安全加固、系统加固、数据库加固、安全设备加固等，输出《皖南医学院信息系统安全加固报告》。</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4、系统的分析网络与信息系统所面临的威胁及存在的脆弱性，评估安全事件一旦发生可能造成的危害程度，提出有针对性的抵御威胁的防护对策和整改措施，并为防范和化解信息安全风险，或者将风险控制在可接受的水平，从而最大限度的保障网络和信息安全的同时也为后续的信息化建设提供科学依据，输出《风险评估过程记录文档》、《风险评估报告》。</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5、通过两种及以上漏洞扫描工具对需要检测的网络设备、安全设备、操作系统、Web 应用系统进行检测。每季度形成漏洞扫描报告，提出整改优化建议，帮助解决存在的安全隐患，达到信息系统相对安全稳定的运行状态:扫描频率为固定季度1次+重点保障时期随时响应。每年度按校方要求开展一次渗透测试，提供渗透测试报告；协助校方参与上级单位及属地网安部门开展的攻防演练活动，提供《攻防演练防守方总结报告》。</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6、制定应急响应措施，协助处理应急事件。服务期内，在学校发生需要应急响应的时候，提供安全应急响应服务，确保快速响应（非工作时间要求十分钟内线上响应，半小时内到达现场），避免影响扩散，输出《应急演练方案》、《应急预案》、《安全事件应急响应报告》。</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7、提供必须的服务技能培训，并对相关技术问题进行充分交流，以提高学校信息化部门工作人员技术水平，培训包括定期或不定期为学校进行信息安全培训服务，内容包括网络安全知识、解决安全故障的常用方法和手段等内容，输出《课程资料》、《培训记录表》、《培训反馈表》、《皖南医学院信息安全培训材料》。</w:t>
      </w:r>
    </w:p>
    <w:p>
      <w:pPr>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8、提供校方每年一人次以上网络安全专业资质为国家级或者教育系统网络安全相关技术培训认证。资质签发机构包含：中国信息安全测评中心、中国网络安全审查技术与认证中心、公安部信息安全等级保护评估中心、教育部教育管理信息中心。</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9、数据备份和数据恢复服务，协助学校建立完备的数据备份和恢复的综合规划，监控并落实备份规划的执行，并进行有效的测试和演练，确保数据备份的有效性，形成《数据备份恢复记录表》、《数据备份恢复报告》、《数据备份恢复预案》、《数据备份恢复演练方案》。</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10、资产分级管理，协助学校全面梳理网络环境内应用系统、网络资产、服务器资产、环境资产，从资产故障影响的范围及资产故障造成的损失两个维度对梳理出来的资产分级，对不同等级的资产进行相应级别的管理，输出《资产统计报告》。</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11、业务逻辑梳理，根据资产梳理及分级结果，梳理物理设备层（服务器、网络设备、网络安全设备、虚拟机、虚拟化集群、虚拟化平台等）、网络层（网络拓扑图）、应用层（数据库、中间件、业务系统）的完整链路，形成从终端访问业务系统服务器的完整路径，对学校业务进行全面完善的梳理。</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12、资产知识库，日常故障处置沉淀到资产知识库，记录故障处置过程，利用知识库的故障处置方案快速解决重复性故障，辅助培训项目人员及校方维护人员，从而降低重复故障的处置时间。</w:t>
      </w:r>
    </w:p>
    <w:p>
      <w:pPr>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13、根据校方要求结合网络安全运维工作实际需求，输出文档按校方要求频次提供。</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二、需配合学校完成当年度信息系统等级测评的整改工作，输出《等保测评整改报告》。</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三、服务工具:</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1、乙方需部署运维管理平台，提供运维统一门户，面向用户提供系统资产管理、运维事件跟踪、运维团队绩效评估、运维任务调度等管理工具，面向运维团队构建自动化平台，提供人员管理、工单管理、自动化管理、项目计划、项目执行分析报告等;平台需具备系统监测预警功能，支持用户业务系统接入集成、智能预警信息发布，预警信息监测、预警信息支持短信、邮件、飞书、钉钉、微信等多平台推送。系统需符合安全可靠信息系统设计要求，支持各类国产化平台部署，支持自定义发布部署流程，提供客户端、浏览器等多种访问方式。</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四、服务形式:</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1、驻点人员不少于1人，驻点工作时间参照甲方工作人员时间，每周不少于40小时。</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2、提供不少于四人的技术服务团队，服务团队技术结构合理，由乙方自配。</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3、包括以下工作内容: 运维资源协调;运维事件管理;运维沟通管理;运维知识库的建设;运维流程管理;运维工作整理和汇报;安全制度体系的建设和管控;组织和实施培训，负责学校信息系统的监控、日常巡检和故障应急处理，学校 IT 资产的管理，学校网络和系统的建设配合，各系统数据备份和恢复工作。</w:t>
      </w:r>
    </w:p>
    <w:p>
      <w:pPr>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（2）商务要求</w:t>
      </w:r>
    </w:p>
    <w:p>
      <w:pPr>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服务有效期为3年，期限为2024年6月30日-2027年6月30日，服务合同一年一签，经验收合格后，续签下一年合同。</w:t>
      </w:r>
    </w:p>
    <w:p>
      <w:pPr>
        <w:rPr>
          <w:rFonts w:hint="eastAsia" w:ascii="华文中宋" w:hAnsi="华文中宋" w:eastAsia="华文中宋"/>
          <w:b/>
          <w:kern w:val="0"/>
          <w:sz w:val="36"/>
          <w:szCs w:val="36"/>
        </w:rPr>
      </w:pPr>
      <w:r>
        <w:rPr>
          <w:rFonts w:hint="eastAsia" w:ascii="华文中宋" w:hAnsi="华文中宋" w:eastAsia="华文中宋"/>
          <w:b/>
          <w:kern w:val="0"/>
          <w:sz w:val="36"/>
          <w:szCs w:val="36"/>
        </w:rPr>
        <w:br w:type="page"/>
      </w:r>
    </w:p>
    <w:p>
      <w:pPr>
        <w:spacing w:line="0" w:lineRule="atLeast"/>
        <w:jc w:val="center"/>
        <w:rPr>
          <w:rFonts w:hint="eastAsia" w:ascii="华文中宋" w:hAnsi="华文中宋" w:eastAsia="华文中宋"/>
          <w:b/>
          <w:kern w:val="0"/>
          <w:sz w:val="36"/>
          <w:szCs w:val="36"/>
        </w:rPr>
      </w:pPr>
      <w:r>
        <w:rPr>
          <w:rFonts w:hint="eastAsia" w:ascii="华文中宋" w:hAnsi="华文中宋" w:eastAsia="华文中宋"/>
          <w:b/>
          <w:kern w:val="0"/>
          <w:sz w:val="36"/>
          <w:szCs w:val="36"/>
        </w:rPr>
        <w:t>第五章  合同主要条款</w:t>
      </w:r>
    </w:p>
    <w:p>
      <w:pPr>
        <w:ind w:right="-23"/>
        <w:rPr>
          <w:rFonts w:hint="eastAsia" w:eastAsia="仿宋_GB2312"/>
          <w:snapToGrid w:val="0"/>
          <w:sz w:val="30"/>
        </w:rPr>
      </w:pPr>
    </w:p>
    <w:p>
      <w:pPr>
        <w:ind w:right="-23" w:firstLine="300" w:firstLineChars="100"/>
        <w:rPr>
          <w:rFonts w:hint="eastAsia" w:eastAsia="仿宋_GB2312"/>
          <w:snapToGrid w:val="0"/>
          <w:sz w:val="30"/>
        </w:rPr>
      </w:pPr>
    </w:p>
    <w:p>
      <w:pPr>
        <w:keepNext w:val="0"/>
        <w:keepLines w:val="0"/>
        <w:pageBreakBefore w:val="0"/>
        <w:widowControl w:val="0"/>
        <w:kinsoku/>
        <w:wordWrap/>
        <w:overflowPunct/>
        <w:topLinePunct w:val="0"/>
        <w:autoSpaceDE/>
        <w:autoSpaceDN/>
        <w:bidi w:val="0"/>
        <w:adjustRightInd w:val="0"/>
        <w:snapToGrid w:val="0"/>
        <w:spacing w:line="480" w:lineRule="exact"/>
        <w:ind w:firstLine="1"/>
        <w:jc w:val="center"/>
        <w:textAlignment w:val="auto"/>
        <w:rPr>
          <w:rFonts w:hint="eastAsia" w:ascii="Arial" w:hAnsi="Arial"/>
          <w:sz w:val="24"/>
        </w:rPr>
      </w:pPr>
      <w:r>
        <w:rPr>
          <w:rFonts w:hint="eastAsia" w:ascii="宋体" w:hAnsi="宋体" w:eastAsia="宋体" w:cs="宋体"/>
          <w:b w:val="0"/>
          <w:bCs/>
          <w:sz w:val="36"/>
          <w:szCs w:val="36"/>
          <w:lang w:val="en-US" w:eastAsia="zh-CN"/>
        </w:rPr>
        <w:t>XXXXXXX项目采购合同（服务类）</w:t>
      </w:r>
    </w:p>
    <w:p>
      <w:pPr>
        <w:spacing w:line="480" w:lineRule="exact"/>
        <w:rPr>
          <w:rFonts w:hint="default" w:ascii="Arial" w:hAnsi="Arial" w:eastAsia="宋体"/>
          <w:sz w:val="24"/>
          <w:lang w:val="en-US" w:eastAsia="zh-CN"/>
        </w:rPr>
      </w:pPr>
      <w:r>
        <w:rPr>
          <w:rFonts w:hint="eastAsia" w:ascii="Arial" w:hAnsi="Arial"/>
          <w:sz w:val="24"/>
        </w:rPr>
        <w:t xml:space="preserve">                                     </w:t>
      </w:r>
      <w:r>
        <w:rPr>
          <w:rFonts w:hint="eastAsia" w:ascii="Arial" w:hAnsi="Arial"/>
          <w:sz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合同编号</w:t>
      </w:r>
      <w:r>
        <w:rPr>
          <w:rFonts w:hint="eastAsia" w:ascii="宋体" w:hAnsi="宋体" w:eastAsia="宋体" w:cs="宋体"/>
          <w:sz w:val="24"/>
          <w:szCs w:val="24"/>
          <w:lang w:val="en-US" w:eastAsia="zh-CN"/>
        </w:rPr>
        <w:t>WYGZ</w:t>
      </w:r>
      <w:r>
        <w:rPr>
          <w:rFonts w:hint="eastAsia" w:ascii="宋体" w:hAnsi="宋体" w:cs="宋体"/>
          <w:sz w:val="24"/>
          <w:szCs w:val="24"/>
          <w:lang w:val="en-US" w:eastAsia="zh-CN"/>
        </w:rPr>
        <w:t>2024032</w:t>
      </w:r>
      <w:r>
        <w:rPr>
          <w:rFonts w:hint="eastAsia" w:ascii="宋体" w:hAnsi="宋体" w:eastAsia="宋体" w:cs="宋体"/>
          <w:sz w:val="24"/>
          <w:szCs w:val="24"/>
          <w:lang w:val="en-US" w:eastAsia="zh-CN"/>
        </w:rPr>
        <w:t>-1</w:t>
      </w:r>
    </w:p>
    <w:p>
      <w:pPr>
        <w:pStyle w:val="26"/>
        <w:rPr>
          <w:rFonts w:hint="eastAsia"/>
        </w:rPr>
      </w:pPr>
    </w:p>
    <w:p>
      <w:pPr>
        <w:spacing w:line="480" w:lineRule="exact"/>
        <w:rPr>
          <w:rFonts w:ascii="仿宋" w:hAnsi="仿宋" w:eastAsia="仿宋"/>
          <w:sz w:val="28"/>
          <w:szCs w:val="28"/>
        </w:rPr>
      </w:pPr>
      <w:r>
        <w:rPr>
          <w:rFonts w:hint="eastAsia" w:ascii="仿宋" w:hAnsi="仿宋" w:eastAsia="仿宋"/>
          <w:sz w:val="28"/>
          <w:szCs w:val="28"/>
        </w:rPr>
        <w:t>买  方：皖南医学院                        电话：XXX-XXXXXX</w:t>
      </w:r>
    </w:p>
    <w:p>
      <w:pPr>
        <w:spacing w:line="480" w:lineRule="exact"/>
        <w:rPr>
          <w:rFonts w:hint="eastAsia" w:ascii="仿宋" w:hAnsi="仿宋" w:eastAsia="仿宋"/>
          <w:sz w:val="28"/>
          <w:szCs w:val="28"/>
        </w:rPr>
      </w:pPr>
      <w:r>
        <w:rPr>
          <w:rFonts w:hint="eastAsia" w:ascii="仿宋" w:hAnsi="仿宋" w:eastAsia="仿宋"/>
          <w:sz w:val="28"/>
          <w:szCs w:val="28"/>
        </w:rPr>
        <w:t>卖  方：XXXXXXXXXXXX                      电话：XXX-XXXXXX</w:t>
      </w:r>
    </w:p>
    <w:p>
      <w:pPr>
        <w:rPr>
          <w:rFonts w:hint="eastAsia" w:ascii="仿宋" w:hAnsi="仿宋" w:eastAsia="仿宋"/>
          <w:sz w:val="28"/>
          <w:szCs w:val="28"/>
        </w:rPr>
      </w:pPr>
      <w:r>
        <w:rPr>
          <w:rFonts w:hint="eastAsia" w:ascii="仿宋" w:hAnsi="仿宋" w:eastAsia="仿宋"/>
          <w:sz w:val="28"/>
          <w:szCs w:val="28"/>
        </w:rPr>
        <w:t xml:space="preserve">    </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买方通过</w:t>
      </w:r>
      <w:r>
        <w:rPr>
          <w:rFonts w:hint="eastAsia" w:ascii="仿宋" w:hAnsi="仿宋" w:eastAsia="仿宋" w:cs="仿宋"/>
          <w:sz w:val="28"/>
          <w:szCs w:val="28"/>
          <w:u w:val="single"/>
        </w:rPr>
        <w:t xml:space="preserve">        </w:t>
      </w:r>
      <w:r>
        <w:rPr>
          <w:rFonts w:hint="eastAsia" w:ascii="仿宋" w:hAnsi="仿宋" w:eastAsia="仿宋" w:cs="仿宋"/>
          <w:sz w:val="28"/>
          <w:szCs w:val="28"/>
        </w:rPr>
        <w:t>组织的</w:t>
      </w:r>
      <w:r>
        <w:rPr>
          <w:rFonts w:hint="eastAsia" w:ascii="仿宋" w:hAnsi="仿宋" w:eastAsia="仿宋" w:cs="仿宋"/>
          <w:sz w:val="28"/>
          <w:szCs w:val="28"/>
          <w:u w:val="single"/>
        </w:rPr>
        <w:t xml:space="preserve">          </w:t>
      </w:r>
      <w:r>
        <w:rPr>
          <w:rFonts w:hint="eastAsia" w:ascii="仿宋" w:hAnsi="仿宋" w:eastAsia="仿宋" w:cs="仿宋"/>
          <w:sz w:val="28"/>
          <w:szCs w:val="28"/>
        </w:rPr>
        <w:t>方式采购活动，经评审，决定将本项目采购合同授予卖方。为进一步明确双方的责任，确保合同的顺利履行，</w:t>
      </w:r>
      <w:r>
        <w:rPr>
          <w:rFonts w:hint="eastAsia" w:ascii="仿宋" w:hAnsi="仿宋" w:eastAsia="仿宋" w:cs="仿宋"/>
          <w:color w:val="000000"/>
          <w:sz w:val="28"/>
          <w:szCs w:val="28"/>
        </w:rPr>
        <w:t>根据《中华人民共和国政府采购法》、《中华人民共和国合同法》及有关法律规定，遵循平等、自愿、公平和诚实信用的原则，</w:t>
      </w:r>
      <w:r>
        <w:rPr>
          <w:rFonts w:hint="eastAsia" w:ascii="仿宋" w:hAnsi="仿宋" w:eastAsia="仿宋" w:cs="仿宋"/>
          <w:sz w:val="28"/>
          <w:szCs w:val="28"/>
        </w:rPr>
        <w:t>买卖双方</w:t>
      </w:r>
      <w:r>
        <w:rPr>
          <w:rFonts w:hint="eastAsia" w:ascii="仿宋" w:hAnsi="仿宋" w:eastAsia="仿宋" w:cs="仿宋"/>
          <w:color w:val="000000"/>
          <w:sz w:val="28"/>
          <w:szCs w:val="28"/>
        </w:rPr>
        <w:t>协商一致</w:t>
      </w:r>
      <w:r>
        <w:rPr>
          <w:rFonts w:hint="eastAsia" w:ascii="仿宋" w:hAnsi="仿宋" w:eastAsia="仿宋" w:cs="仿宋"/>
          <w:sz w:val="28"/>
          <w:szCs w:val="28"/>
        </w:rPr>
        <w:t>同意按如下条款签订本合同：</w:t>
      </w:r>
    </w:p>
    <w:p>
      <w:pPr>
        <w:pageBreakBefore w:val="0"/>
        <w:numPr>
          <w:ilvl w:val="0"/>
          <w:numId w:val="3"/>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服务名称及内容</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本合同采购服务名称和内容同采购文件规定。</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二、组成合同的文件</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组成本合同的文件包括：</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采购文件及答疑、更正公告;</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采购文件标准文本中的“合同条款”；</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中标或成交公告；</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卖方提交的投标文件及书面承诺函；</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双方另行签订的补充协议。</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val="0"/>
          <w:sz w:val="28"/>
          <w:szCs w:val="28"/>
        </w:rPr>
      </w:pPr>
      <w:r>
        <w:rPr>
          <w:rFonts w:hint="eastAsia" w:ascii="仿宋" w:hAnsi="仿宋" w:eastAsia="仿宋" w:cs="仿宋"/>
          <w:b/>
          <w:bCs w:val="0"/>
          <w:sz w:val="28"/>
          <w:szCs w:val="28"/>
        </w:rPr>
        <w:t>三、 本合同的总金额为￥</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rPr>
        <w:t>元(人民币大写：</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rPr>
        <w:t>)。</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四、服务期限</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b/>
          <w:sz w:val="28"/>
          <w:szCs w:val="28"/>
        </w:rPr>
      </w:pPr>
      <w:r>
        <w:rPr>
          <w:rFonts w:hint="eastAsia" w:ascii="仿宋" w:hAnsi="仿宋" w:eastAsia="仿宋" w:cs="仿宋"/>
          <w:sz w:val="28"/>
          <w:szCs w:val="28"/>
        </w:rPr>
        <w:t>卖方应于合同签字生效后开始计算的</w:t>
      </w:r>
      <w:r>
        <w:rPr>
          <w:rFonts w:hint="eastAsia" w:ascii="仿宋" w:hAnsi="仿宋" w:eastAsia="仿宋" w:cs="仿宋"/>
          <w:b/>
          <w:sz w:val="28"/>
          <w:szCs w:val="28"/>
          <w:u w:val="single"/>
        </w:rPr>
        <w:t xml:space="preserve">    </w:t>
      </w:r>
      <w:r>
        <w:rPr>
          <w:rFonts w:hint="eastAsia" w:ascii="仿宋" w:hAnsi="仿宋" w:eastAsia="仿宋" w:cs="仿宋"/>
          <w:sz w:val="28"/>
          <w:szCs w:val="28"/>
        </w:rPr>
        <w:t>日内完成合同规定的服务内容，由买方进行验收。</w:t>
      </w:r>
    </w:p>
    <w:p>
      <w:pPr>
        <w:pageBreakBefore w:val="0"/>
        <w:widowControl/>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五、验收要求</w:t>
      </w:r>
    </w:p>
    <w:p>
      <w:pPr>
        <w:pageBreakBefore w:val="0"/>
        <w:widowControl/>
        <w:kinsoku/>
        <w:wordWrap/>
        <w:overflowPunct/>
        <w:topLinePunct w:val="0"/>
        <w:autoSpaceDE/>
        <w:autoSpaceDN/>
        <w:bidi w:val="0"/>
        <w:spacing w:line="360" w:lineRule="auto"/>
        <w:ind w:left="0" w:leftChars="0" w:firstLine="281" w:firstLineChars="100"/>
        <w:textAlignment w:val="auto"/>
        <w:rPr>
          <w:rFonts w:hint="eastAsia" w:ascii="仿宋" w:hAnsi="仿宋" w:eastAsia="仿宋" w:cs="仿宋"/>
          <w:b/>
          <w:sz w:val="28"/>
          <w:szCs w:val="28"/>
        </w:rPr>
      </w:pPr>
      <w:r>
        <w:rPr>
          <w:rFonts w:hint="eastAsia" w:ascii="仿宋" w:hAnsi="仿宋" w:eastAsia="仿宋" w:cs="仿宋"/>
          <w:b/>
          <w:sz w:val="28"/>
          <w:szCs w:val="28"/>
        </w:rPr>
        <w:t>（一）质量标准</w:t>
      </w:r>
    </w:p>
    <w:p>
      <w:pPr>
        <w:pageBreakBefore w:val="0"/>
        <w:widowControl/>
        <w:kinsoku/>
        <w:wordWrap/>
        <w:overflowPunct/>
        <w:topLinePunct w:val="0"/>
        <w:autoSpaceDE/>
        <w:autoSpaceDN/>
        <w:bidi w:val="0"/>
        <w:spacing w:line="360" w:lineRule="auto"/>
        <w:ind w:left="0" w:leftChars="0" w:firstLine="560" w:firstLineChars="200"/>
        <w:jc w:val="both"/>
        <w:textAlignment w:val="auto"/>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卖方保证提供的服务质量应符合中华人民共和国相关标准及相应的技术规范、本次采购相关文件中的全部相关要求及卖方相关服务标准及相应的技术规范中之较高者。</w:t>
      </w:r>
    </w:p>
    <w:p>
      <w:pPr>
        <w:pageBreakBefore w:val="0"/>
        <w:widowControl/>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（二）验收组织</w:t>
      </w:r>
    </w:p>
    <w:p>
      <w:pPr>
        <w:pageBreakBefore w:val="0"/>
        <w:widowControl/>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333333"/>
          <w:sz w:val="28"/>
          <w:szCs w:val="28"/>
          <w:shd w:val="clear" w:color="auto" w:fill="FFFFFF"/>
        </w:rPr>
      </w:pPr>
      <w:r>
        <w:rPr>
          <w:rFonts w:hint="eastAsia" w:ascii="仿宋" w:hAnsi="仿宋" w:eastAsia="仿宋" w:cs="仿宋"/>
          <w:sz w:val="28"/>
          <w:szCs w:val="28"/>
        </w:rPr>
        <w:t xml:space="preserve">    买方负责组织验收工作，</w:t>
      </w:r>
      <w:r>
        <w:rPr>
          <w:rFonts w:hint="eastAsia" w:ascii="仿宋" w:hAnsi="仿宋" w:eastAsia="仿宋" w:cs="仿宋"/>
          <w:color w:val="333333"/>
          <w:sz w:val="28"/>
          <w:szCs w:val="28"/>
          <w:shd w:val="clear" w:color="auto" w:fill="FFFFFF"/>
        </w:rPr>
        <w:t>政府向社会公众提供的公共服务项目，验收时须邀请服务对象参与并出具意见，</w:t>
      </w:r>
      <w:r>
        <w:rPr>
          <w:rFonts w:hint="eastAsia" w:ascii="仿宋" w:hAnsi="仿宋" w:eastAsia="仿宋" w:cs="仿宋"/>
          <w:color w:val="333333"/>
          <w:sz w:val="28"/>
          <w:szCs w:val="28"/>
        </w:rPr>
        <w:t>验收结果于验收结束之日起5个工作日内向社会公告。</w:t>
      </w:r>
    </w:p>
    <w:p>
      <w:pPr>
        <w:pageBreakBefore w:val="0"/>
        <w:widowControl/>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kern w:val="0"/>
          <w:sz w:val="28"/>
          <w:szCs w:val="28"/>
        </w:rPr>
      </w:pPr>
      <w:r>
        <w:rPr>
          <w:rFonts w:hint="eastAsia" w:ascii="仿宋" w:hAnsi="仿宋" w:eastAsia="仿宋" w:cs="仿宋"/>
          <w:b/>
          <w:color w:val="333333"/>
          <w:sz w:val="28"/>
          <w:szCs w:val="28"/>
          <w:shd w:val="clear" w:color="auto" w:fill="FFFFFF"/>
        </w:rPr>
        <w:t>（三）</w:t>
      </w:r>
      <w:r>
        <w:rPr>
          <w:rFonts w:hint="eastAsia" w:ascii="仿宋" w:hAnsi="仿宋" w:eastAsia="仿宋" w:cs="仿宋"/>
          <w:b/>
          <w:kern w:val="0"/>
          <w:sz w:val="28"/>
          <w:szCs w:val="28"/>
        </w:rPr>
        <w:t>验收程序</w:t>
      </w:r>
    </w:p>
    <w:p>
      <w:pPr>
        <w:pageBreakBefore w:val="0"/>
        <w:widowControl/>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1、乙方应于合同签订之日起 </w:t>
      </w:r>
      <w:r>
        <w:rPr>
          <w:rFonts w:hint="eastAsia" w:ascii="仿宋" w:hAnsi="仿宋" w:eastAsia="仿宋" w:cs="仿宋"/>
          <w:sz w:val="28"/>
          <w:szCs w:val="28"/>
          <w:u w:val="single"/>
        </w:rPr>
        <w:t xml:space="preserve"> 一 </w:t>
      </w:r>
      <w:r>
        <w:rPr>
          <w:rFonts w:hint="eastAsia" w:ascii="仿宋" w:hAnsi="仿宋" w:eastAsia="仿宋" w:cs="仿宋"/>
          <w:sz w:val="28"/>
          <w:szCs w:val="28"/>
        </w:rPr>
        <w:t xml:space="preserve"> 年内完成合同约定的服务内容，由甲方进行验收。验收方式为：阶段性组织考核验收，考核合格后阶段性付款</w:t>
      </w:r>
      <w:r>
        <w:rPr>
          <w:rFonts w:hint="eastAsia" w:ascii="仿宋" w:hAnsi="仿宋" w:eastAsia="仿宋" w:cs="仿宋"/>
          <w:sz w:val="28"/>
          <w:szCs w:val="28"/>
          <w:lang w:eastAsia="zh-CN"/>
        </w:rPr>
        <w:t>。</w:t>
      </w:r>
      <w:r>
        <w:rPr>
          <w:rFonts w:hint="eastAsia" w:ascii="仿宋" w:hAnsi="仿宋" w:eastAsia="仿宋" w:cs="仿宋"/>
          <w:sz w:val="28"/>
          <w:szCs w:val="28"/>
        </w:rPr>
        <w:t>成立验收小组，验收人员应由买方代表和技术专家组成。</w:t>
      </w:r>
    </w:p>
    <w:p>
      <w:pPr>
        <w:pageBreakBefore w:val="0"/>
        <w:widowControl/>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2、验收前要编制验收表格。</w:t>
      </w:r>
    </w:p>
    <w:p>
      <w:pPr>
        <w:pageBreakBefore w:val="0"/>
        <w:widowControl/>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3、验收时双方要按照验收表格逐项验收。</w:t>
      </w:r>
    </w:p>
    <w:p>
      <w:pPr>
        <w:pageBreakBefore w:val="0"/>
        <w:widowControl/>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4、验收方出具验收报告。</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六、付款方式</w:t>
      </w:r>
    </w:p>
    <w:p>
      <w:pPr>
        <w:pageBreakBefore w:val="0"/>
        <w:widowControl/>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签订合同后甲方预付合同款的  30  %  （即  _______元），乙方履约六个月经甲方考核合格后，甲方于七 日内支付合同款  30  %（即  _______元）,乙方服务期限满经甲方考核合格后于七 日内支付  40  %（即  _______元）合同款。</w:t>
      </w:r>
    </w:p>
    <w:p>
      <w:pPr>
        <w:pStyle w:val="2"/>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七、售后服务</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（一）卖方对合同服务的质量保修期为验收证书签署之日起</w:t>
      </w:r>
      <w:r>
        <w:rPr>
          <w:rFonts w:hint="eastAsia" w:ascii="仿宋" w:hAnsi="仿宋" w:eastAsia="仿宋" w:cs="仿宋"/>
          <w:sz w:val="28"/>
          <w:szCs w:val="28"/>
          <w:u w:val="single"/>
        </w:rPr>
        <w:t xml:space="preserve">   </w:t>
      </w:r>
      <w:r>
        <w:rPr>
          <w:rFonts w:hint="eastAsia" w:ascii="仿宋" w:hAnsi="仿宋" w:eastAsia="仿宋" w:cs="仿宋"/>
          <w:sz w:val="28"/>
          <w:szCs w:val="28"/>
        </w:rPr>
        <w:t>个月。</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w:t>
      </w:r>
      <w:r>
        <w:rPr>
          <w:rFonts w:hint="eastAsia" w:ascii="仿宋" w:hAnsi="仿宋" w:eastAsia="仿宋" w:cs="仿宋"/>
          <w:sz w:val="28"/>
          <w:szCs w:val="28"/>
          <w:u w:val="single"/>
        </w:rPr>
        <w:t xml:space="preserve">     天</w:t>
      </w:r>
      <w:r>
        <w:rPr>
          <w:rFonts w:hint="eastAsia" w:ascii="仿宋" w:hAnsi="仿宋" w:eastAsia="仿宋" w:cs="仿宋"/>
          <w:sz w:val="28"/>
          <w:szCs w:val="28"/>
        </w:rPr>
        <w:t>内免费维修或更换有缺陷的部分。</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（三）如卖方在收到通知后在政府采购合同规定时间内，没有弥补缺陷，买方可采取必要的补救措施，但由此引发的风险和费用将由卖方承担。</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八、履约保证金</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本项目履约保证金为￥</w:t>
      </w:r>
      <w:r>
        <w:rPr>
          <w:rFonts w:hint="eastAsia" w:ascii="仿宋" w:hAnsi="仿宋" w:eastAsia="仿宋" w:cs="仿宋"/>
          <w:sz w:val="28"/>
          <w:szCs w:val="28"/>
          <w:u w:val="single"/>
        </w:rPr>
        <w:t xml:space="preserve">           </w:t>
      </w:r>
      <w:r>
        <w:rPr>
          <w:rFonts w:hint="eastAsia" w:ascii="仿宋" w:hAnsi="仿宋" w:eastAsia="仿宋" w:cs="仿宋"/>
          <w:sz w:val="28"/>
          <w:szCs w:val="28"/>
        </w:rPr>
        <w:t>元(人民币大写：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)，收受人为</w:t>
      </w:r>
      <w:r>
        <w:rPr>
          <w:rFonts w:hint="eastAsia" w:ascii="仿宋" w:hAnsi="仿宋" w:eastAsia="仿宋" w:cs="仿宋"/>
          <w:sz w:val="28"/>
          <w:szCs w:val="28"/>
          <w:u w:val="single"/>
        </w:rPr>
        <w:t xml:space="preserve">           </w:t>
      </w:r>
      <w:r>
        <w:rPr>
          <w:rFonts w:hint="eastAsia" w:ascii="仿宋" w:hAnsi="仿宋" w:eastAsia="仿宋" w:cs="仿宋"/>
          <w:sz w:val="28"/>
          <w:szCs w:val="28"/>
        </w:rPr>
        <w:t>，期限为验收合格后</w:t>
      </w:r>
      <w:r>
        <w:rPr>
          <w:rFonts w:hint="eastAsia" w:ascii="仿宋" w:hAnsi="仿宋" w:eastAsia="仿宋" w:cs="仿宋"/>
          <w:b/>
          <w:sz w:val="28"/>
          <w:szCs w:val="28"/>
          <w:u w:val="single"/>
        </w:rPr>
        <w:t xml:space="preserve">     </w:t>
      </w:r>
      <w:r>
        <w:rPr>
          <w:rFonts w:hint="eastAsia" w:ascii="仿宋" w:hAnsi="仿宋" w:eastAsia="仿宋" w:cs="仿宋"/>
          <w:sz w:val="28"/>
          <w:szCs w:val="28"/>
        </w:rPr>
        <w:t>。如卖方</w:t>
      </w:r>
      <w:r>
        <w:rPr>
          <w:rFonts w:hint="eastAsia" w:ascii="仿宋" w:hAnsi="仿宋" w:eastAsia="仿宋" w:cs="仿宋"/>
          <w:color w:val="000000"/>
          <w:sz w:val="28"/>
          <w:szCs w:val="28"/>
        </w:rPr>
        <w:t>未能按期履行合同，买方可从履约保证金中获得经济上的赔偿。</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九、违约责任</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（一）卖方服务期限超过合同约定服务期限。</w:t>
      </w:r>
      <w:r>
        <w:rPr>
          <w:rFonts w:hint="eastAsia" w:ascii="仿宋" w:hAnsi="仿宋" w:eastAsia="仿宋" w:cs="仿宋"/>
          <w:color w:val="000000"/>
          <w:sz w:val="28"/>
          <w:szCs w:val="28"/>
        </w:rPr>
        <w:t>如果卖方由于自身的原因未能按期履行完合同，买方可从履约保证金中获得经济上的赔偿。其标准为按每延期一周收取合同金额的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%，但误期赔偿费总额不得超过履约保证金总额。一周按7天计算，不足7天按一周计算。在此情况下，卖方不得要求买方退还其履约保证金。</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（二）卖方服务期限内未能履约。</w:t>
      </w:r>
      <w:r>
        <w:rPr>
          <w:rFonts w:hint="eastAsia" w:ascii="仿宋" w:hAnsi="仿宋" w:eastAsia="仿宋" w:cs="仿宋"/>
          <w:color w:val="000000"/>
          <w:sz w:val="28"/>
          <w:szCs w:val="28"/>
        </w:rPr>
        <w:t>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w:t>
      </w:r>
      <w:r>
        <w:rPr>
          <w:rFonts w:hint="eastAsia" w:ascii="仿宋" w:hAnsi="仿宋" w:eastAsia="仿宋" w:cs="仿宋"/>
          <w:sz w:val="28"/>
          <w:szCs w:val="28"/>
        </w:rPr>
        <w:t>卖方必须在买方规定的时间内提供符合质量标准的服务，由此造成的误期</w:t>
      </w:r>
      <w:r>
        <w:rPr>
          <w:rFonts w:hint="eastAsia" w:ascii="仿宋" w:hAnsi="仿宋" w:eastAsia="仿宋" w:cs="仿宋"/>
          <w:color w:val="000000"/>
          <w:sz w:val="28"/>
          <w:szCs w:val="28"/>
        </w:rPr>
        <w:t>赔偿费按照前款约定执行。如卖方在买方规定的时间内未能提供符合质量标准的服务，买方有权终止合同，没收履约保证金，</w:t>
      </w:r>
      <w:r>
        <w:rPr>
          <w:rFonts w:hint="eastAsia" w:ascii="仿宋" w:hAnsi="仿宋" w:eastAsia="仿宋" w:cs="仿宋"/>
          <w:sz w:val="28"/>
          <w:szCs w:val="28"/>
        </w:rPr>
        <w:t>提请政府采购监管部门将卖方列入不良行为记录名单，在一至三年内禁止参加政府采购活动。</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（三）卖方履约不符合约定的质量标准，卖方必须重新提供符合质量标准的服务，由此造成的误期</w:t>
      </w:r>
      <w:r>
        <w:rPr>
          <w:rFonts w:hint="eastAsia" w:ascii="仿宋" w:hAnsi="仿宋" w:eastAsia="仿宋" w:cs="仿宋"/>
          <w:color w:val="000000"/>
          <w:sz w:val="28"/>
          <w:szCs w:val="28"/>
        </w:rPr>
        <w:t>赔偿费按照前款约定执行。如卖方在买方规定的时间内未能提供符合质量标准的服务，买方有权终止合同，没收履约保证金，</w:t>
      </w:r>
      <w:r>
        <w:rPr>
          <w:rFonts w:hint="eastAsia" w:ascii="仿宋" w:hAnsi="仿宋" w:eastAsia="仿宋" w:cs="仿宋"/>
          <w:sz w:val="28"/>
          <w:szCs w:val="28"/>
        </w:rPr>
        <w:t>提请政府采购监管部门将卖方列入不良行为记录名单，在一至三年内禁止参加政府采购活动。</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卖方将合同转包、擅自变更、中止或者终止合同的，买方有权终止合同，没收履约保证金，并提请政府采购监管部门对卖方进行采购金额千分之五的罚款，列入不良行为记录名单，在一至三年内禁止参加政府采购活动。</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（五）买方未能按时组织验收，由财政部门责令限期改正，给予警告，对直接负责的主管人员和其他直接责任人员，由其行政主管部门给予处分，并予通报。</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（六）买方违反合同规定拒绝接收服务的，应当承担由此造成的损失。</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（七）验收合格后，买方未能按时提请付款，由财政部门责令限期改正，给予警告。</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bdr w:val="single" w:color="auto" w:sz="4" w:space="0"/>
        </w:rPr>
      </w:pPr>
      <w:r>
        <w:rPr>
          <w:rFonts w:hint="eastAsia" w:ascii="仿宋" w:hAnsi="仿宋" w:eastAsia="仿宋" w:cs="仿宋"/>
          <w:sz w:val="28"/>
          <w:szCs w:val="28"/>
        </w:rPr>
        <w:t>（八）买方擅自变更、中止或者终止合同，由财政部门责令限期改正，给予警告，对直接负责的主管人员和其他直接责任人员，由其行政主管部门给予处分，并予通报。</w:t>
      </w:r>
    </w:p>
    <w:p>
      <w:pPr>
        <w:pStyle w:val="5"/>
        <w:pageBreakBefore w:val="0"/>
        <w:kinsoku/>
        <w:wordWrap/>
        <w:overflowPunct/>
        <w:topLinePunct w:val="0"/>
        <w:autoSpaceDE/>
        <w:autoSpaceDN/>
        <w:bidi w:val="0"/>
        <w:spacing w:before="120" w:after="120" w:line="360" w:lineRule="auto"/>
        <w:ind w:left="0" w:leftChars="0" w:firstLine="0" w:firstLineChars="0"/>
        <w:textAlignment w:val="auto"/>
        <w:rPr>
          <w:rFonts w:hint="eastAsia" w:ascii="仿宋" w:hAnsi="仿宋" w:eastAsia="仿宋" w:cs="仿宋"/>
          <w:b/>
          <w:bCs/>
          <w:color w:val="000000"/>
          <w:sz w:val="28"/>
          <w:szCs w:val="28"/>
        </w:rPr>
      </w:pPr>
      <w:r>
        <w:rPr>
          <w:rFonts w:hint="eastAsia" w:ascii="仿宋" w:hAnsi="仿宋" w:eastAsia="仿宋" w:cs="仿宋"/>
          <w:b/>
          <w:bCs/>
          <w:sz w:val="28"/>
          <w:szCs w:val="28"/>
        </w:rPr>
        <w:t>十、合同</w:t>
      </w:r>
      <w:r>
        <w:rPr>
          <w:rFonts w:hint="eastAsia" w:ascii="仿宋" w:hAnsi="仿宋" w:eastAsia="仿宋" w:cs="仿宋"/>
          <w:b/>
          <w:bCs/>
          <w:color w:val="000000"/>
          <w:sz w:val="28"/>
          <w:szCs w:val="28"/>
        </w:rPr>
        <w:t>签订地点</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bCs/>
          <w:color w:val="000000"/>
          <w:sz w:val="28"/>
          <w:szCs w:val="28"/>
        </w:rPr>
        <w:t>本合同在</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签订。</w:t>
      </w:r>
    </w:p>
    <w:p>
      <w:pPr>
        <w:pStyle w:val="2"/>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color w:val="000000"/>
          <w:sz w:val="28"/>
          <w:szCs w:val="28"/>
        </w:rPr>
        <w:t>十一、</w:t>
      </w:r>
      <w:r>
        <w:rPr>
          <w:rFonts w:hint="eastAsia" w:ascii="仿宋" w:hAnsi="仿宋" w:eastAsia="仿宋" w:cs="仿宋"/>
          <w:b/>
          <w:bCs/>
          <w:sz w:val="28"/>
          <w:szCs w:val="28"/>
        </w:rPr>
        <w:t>合同的终止</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（一）本合同因下列原因而终止：</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1、</w:t>
      </w:r>
      <w:r>
        <w:rPr>
          <w:rFonts w:hint="eastAsia" w:ascii="仿宋" w:hAnsi="仿宋" w:eastAsia="仿宋" w:cs="仿宋"/>
          <w:sz w:val="28"/>
          <w:szCs w:val="28"/>
        </w:rPr>
        <w:t>本合同正常履行完毕；</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2、合同双方协议终止本合同的履行；</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3、不可抗力事件导致本合同无法履行或履行不必要；</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4、符合本合同约定的其他终止合同的条款。</w:t>
      </w:r>
    </w:p>
    <w:p>
      <w:pPr>
        <w:pageBreakBefore w:val="0"/>
        <w:kinsoku/>
        <w:wordWrap/>
        <w:overflowPunct/>
        <w:topLinePunct w:val="0"/>
        <w:autoSpaceDE/>
        <w:autoSpaceDN/>
        <w:bidi w:val="0"/>
        <w:adjustRightInd w:val="0"/>
        <w:snapToGrid w:val="0"/>
        <w:spacing w:line="360" w:lineRule="auto"/>
        <w:ind w:left="0" w:leftChars="0" w:firstLine="280" w:firstLineChars="100"/>
        <w:textAlignment w:val="auto"/>
        <w:rPr>
          <w:rFonts w:hint="eastAsia" w:ascii="仿宋" w:hAnsi="仿宋" w:eastAsia="仿宋" w:cs="仿宋"/>
          <w:bCs/>
          <w:color w:val="000000"/>
          <w:sz w:val="28"/>
          <w:szCs w:val="28"/>
        </w:rPr>
      </w:pPr>
      <w:r>
        <w:rPr>
          <w:rFonts w:hint="eastAsia" w:ascii="仿宋" w:hAnsi="仿宋" w:eastAsia="仿宋" w:cs="仿宋"/>
          <w:sz w:val="28"/>
          <w:szCs w:val="28"/>
        </w:rPr>
        <w:t>（二）对本合同终止有过错的一方应赔偿另一方因合同终止而受到的损失。对合同终止双方均无过错的，则各自承担所受到的损失。</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val="0"/>
          <w:sz w:val="28"/>
          <w:szCs w:val="28"/>
        </w:rPr>
      </w:pPr>
      <w:r>
        <w:rPr>
          <w:rFonts w:hint="eastAsia" w:ascii="仿宋" w:hAnsi="仿宋" w:eastAsia="仿宋" w:cs="仿宋"/>
          <w:b/>
          <w:bCs w:val="0"/>
          <w:color w:val="000000"/>
          <w:sz w:val="28"/>
          <w:szCs w:val="28"/>
        </w:rPr>
        <w:t>十二、</w:t>
      </w:r>
      <w:r>
        <w:rPr>
          <w:rFonts w:hint="eastAsia" w:ascii="仿宋" w:hAnsi="仿宋" w:eastAsia="仿宋" w:cs="仿宋"/>
          <w:b/>
          <w:bCs w:val="0"/>
          <w:sz w:val="28"/>
          <w:szCs w:val="28"/>
        </w:rPr>
        <w:t>其他</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（一）买卖双方必须严格按照采购文件、投标文件及有关承诺签订采购合同，不得擅自变更。合同执行期内，买卖双方均不得随意变更或解除合同。</w:t>
      </w:r>
    </w:p>
    <w:p>
      <w:pPr>
        <w:pageBreakBefore w:val="0"/>
        <w:widowControl/>
        <w:kinsoku/>
        <w:wordWrap/>
        <w:overflowPunct/>
        <w:topLinePunct w:val="0"/>
        <w:autoSpaceDE/>
        <w:autoSpaceDN/>
        <w:bidi w:val="0"/>
        <w:spacing w:line="360" w:lineRule="auto"/>
        <w:ind w:left="0" w:lef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（二）本合同执行期间，如遇不可抗力，致使合同无法履行时，买卖双方应按有关法律规定及时协商处理。</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b/>
          <w:bCs/>
          <w:color w:val="000000"/>
          <w:sz w:val="28"/>
          <w:szCs w:val="28"/>
        </w:rPr>
      </w:pPr>
      <w:r>
        <w:rPr>
          <w:rFonts w:hint="eastAsia" w:ascii="仿宋" w:hAnsi="仿宋" w:eastAsia="仿宋" w:cs="仿宋"/>
          <w:bCs/>
          <w:color w:val="000000"/>
          <w:sz w:val="28"/>
          <w:szCs w:val="28"/>
        </w:rPr>
        <w:t>（三）合同未尽事宜，</w:t>
      </w:r>
      <w:r>
        <w:rPr>
          <w:rFonts w:hint="eastAsia" w:ascii="仿宋" w:hAnsi="仿宋" w:eastAsia="仿宋" w:cs="仿宋"/>
          <w:sz w:val="28"/>
          <w:szCs w:val="28"/>
        </w:rPr>
        <w:t>买卖双方</w:t>
      </w:r>
      <w:r>
        <w:rPr>
          <w:rFonts w:hint="eastAsia" w:ascii="仿宋" w:hAnsi="仿宋" w:eastAsia="仿宋" w:cs="仿宋"/>
          <w:bCs/>
          <w:color w:val="000000"/>
          <w:sz w:val="28"/>
          <w:szCs w:val="28"/>
        </w:rPr>
        <w:t>另行签订补充协议，补充协议是合同的组成部分。</w:t>
      </w:r>
    </w:p>
    <w:p>
      <w:pPr>
        <w:pageBreakBefore w:val="0"/>
        <w:widowControl/>
        <w:kinsoku/>
        <w:wordWrap/>
        <w:overflowPunct/>
        <w:topLinePunct w:val="0"/>
        <w:autoSpaceDE/>
        <w:autoSpaceDN/>
        <w:bidi w:val="0"/>
        <w:spacing w:line="360" w:lineRule="auto"/>
        <w:ind w:left="0" w:leftChars="0" w:firstLine="560" w:firstLineChars="200"/>
        <w:jc w:val="left"/>
        <w:textAlignment w:val="auto"/>
        <w:rPr>
          <w:rFonts w:hint="eastAsia" w:ascii="仿宋" w:hAnsi="仿宋" w:eastAsia="仿宋" w:cs="仿宋"/>
          <w:b/>
          <w:sz w:val="28"/>
          <w:szCs w:val="28"/>
        </w:rPr>
      </w:pPr>
      <w:r>
        <w:rPr>
          <w:rFonts w:hint="eastAsia" w:ascii="仿宋" w:hAnsi="仿宋" w:eastAsia="仿宋" w:cs="仿宋"/>
          <w:kern w:val="0"/>
          <w:sz w:val="28"/>
          <w:szCs w:val="28"/>
        </w:rPr>
        <w:t>（四）本合同如发生纠纷，买卖双方应当及时协商解决，协商不成时，按以下第（ ②）项方式处理：①根据《中华人民共和国仲裁法》的规定向</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申请仲裁。②向</w:t>
      </w:r>
      <w:r>
        <w:rPr>
          <w:rFonts w:hint="eastAsia" w:ascii="仿宋" w:hAnsi="仿宋" w:eastAsia="仿宋" w:cs="仿宋"/>
          <w:kern w:val="0"/>
          <w:sz w:val="28"/>
          <w:szCs w:val="28"/>
          <w:u w:val="single"/>
        </w:rPr>
        <w:t xml:space="preserve"> 买方所在地  </w:t>
      </w:r>
      <w:r>
        <w:rPr>
          <w:rFonts w:hint="eastAsia" w:ascii="仿宋" w:hAnsi="仿宋" w:eastAsia="仿宋" w:cs="仿宋"/>
          <w:kern w:val="0"/>
          <w:sz w:val="28"/>
          <w:szCs w:val="28"/>
        </w:rPr>
        <w:t>人民法院起诉。</w:t>
      </w:r>
      <w:r>
        <w:rPr>
          <w:rFonts w:hint="eastAsia" w:ascii="仿宋" w:hAnsi="仿宋" w:eastAsia="仿宋" w:cs="仿宋"/>
          <w:b/>
          <w:sz w:val="28"/>
          <w:szCs w:val="28"/>
        </w:rPr>
        <w:t xml:space="preserve">   </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本合同一式陆份，自买卖双方法定代表人或委托代理人签字加盖单位公章后生效。</w:t>
      </w:r>
    </w:p>
    <w:p>
      <w:pPr>
        <w:pStyle w:val="26"/>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p>
    <w:p>
      <w:pPr>
        <w:pStyle w:val="21"/>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p>
    <w:p>
      <w:pPr>
        <w:pStyle w:val="21"/>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买    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卖    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单位盖章：                           单位盖章：</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法定代表人或委托代理人：             法定代表人或委托代理人：</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日    期：                           日    期:</w:t>
      </w:r>
    </w:p>
    <w:p>
      <w:pPr>
        <w:pStyle w:val="21"/>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right"/>
        <w:textAlignment w:val="auto"/>
        <w:rPr>
          <w:rFonts w:hint="eastAsia" w:ascii="仿宋_GB2312" w:hAnsi="仿宋_GB2312" w:eastAsia="仿宋_GB2312" w:cs="仿宋_GB2312"/>
          <w:sz w:val="32"/>
          <w:szCs w:val="32"/>
        </w:rPr>
      </w:pPr>
    </w:p>
    <w:p/>
    <w:p>
      <w:pPr>
        <w:pStyle w:val="2"/>
        <w:numPr>
          <w:ilvl w:val="0"/>
          <w:numId w:val="2"/>
        </w:numPr>
        <w:snapToGrid w:val="0"/>
        <w:spacing w:before="0" w:after="0"/>
        <w:ind w:left="947" w:leftChars="0" w:hanging="947" w:firstLineChars="0"/>
        <w:jc w:val="center"/>
        <w:rPr>
          <w:rFonts w:hint="eastAsia" w:ascii="华文中宋" w:hAnsi="华文中宋" w:eastAsia="华文中宋"/>
          <w:color w:val="auto"/>
        </w:rPr>
      </w:pPr>
      <w:bookmarkStart w:id="109" w:name="_Toc49763004"/>
      <w:r>
        <w:rPr>
          <w:rFonts w:hint="eastAsia" w:ascii="华文中宋" w:hAnsi="华文中宋" w:eastAsia="华文中宋"/>
          <w:color w:val="auto"/>
        </w:rPr>
        <w:t xml:space="preserve"> 评分办法和评分细则</w:t>
      </w:r>
      <w:bookmarkEnd w:id="109"/>
    </w:p>
    <w:p>
      <w:pPr>
        <w:adjustRightInd w:val="0"/>
        <w:snapToGrid w:val="0"/>
        <w:spacing w:line="400" w:lineRule="exact"/>
        <w:rPr>
          <w:rFonts w:ascii="Times New Roman" w:hAnsi="Times New Roman" w:eastAsia="宋体"/>
          <w:sz w:val="24"/>
          <w:szCs w:val="24"/>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6"/>
        <w:gridCol w:w="1826"/>
        <w:gridCol w:w="4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评标项目</w:t>
            </w:r>
          </w:p>
        </w:tc>
        <w:tc>
          <w:tcPr>
            <w:tcW w:w="1826" w:type="dxa"/>
            <w:noWrap w:val="0"/>
            <w:vAlign w:val="center"/>
          </w:tcPr>
          <w:p>
            <w:pPr>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评标分值</w:t>
            </w:r>
          </w:p>
        </w:tc>
        <w:tc>
          <w:tcPr>
            <w:tcW w:w="4870" w:type="dxa"/>
            <w:noWrap w:val="0"/>
            <w:vAlign w:val="center"/>
          </w:tcPr>
          <w:p>
            <w:pPr>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ascii="仿宋" w:hAnsi="仿宋" w:eastAsia="仿宋"/>
                <w:sz w:val="32"/>
                <w:szCs w:val="32"/>
              </w:rPr>
            </w:pPr>
            <w:r>
              <w:rPr>
                <w:rFonts w:hint="eastAsia" w:ascii="仿宋" w:hAnsi="仿宋" w:eastAsia="仿宋"/>
                <w:sz w:val="32"/>
                <w:szCs w:val="32"/>
              </w:rPr>
              <w:t>报价</w:t>
            </w:r>
          </w:p>
        </w:tc>
        <w:tc>
          <w:tcPr>
            <w:tcW w:w="1826" w:type="dxa"/>
            <w:noWrap w:val="0"/>
            <w:vAlign w:val="center"/>
          </w:tcPr>
          <w:p>
            <w:pPr>
              <w:spacing w:line="520" w:lineRule="exact"/>
              <w:jc w:val="center"/>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0</w:t>
            </w:r>
            <w:r>
              <w:rPr>
                <w:rFonts w:hint="eastAsia" w:ascii="仿宋" w:hAnsi="仿宋" w:eastAsia="仿宋"/>
                <w:sz w:val="32"/>
                <w:szCs w:val="32"/>
              </w:rPr>
              <w:t>分</w:t>
            </w:r>
          </w:p>
        </w:tc>
        <w:tc>
          <w:tcPr>
            <w:tcW w:w="4870" w:type="dxa"/>
            <w:noWrap w:val="0"/>
            <w:vAlign w:val="center"/>
          </w:tcPr>
          <w:p>
            <w:pPr>
              <w:jc w:val="left"/>
              <w:rPr>
                <w:rFonts w:ascii="宋体" w:hAnsi="宋体"/>
                <w:color w:val="000000"/>
              </w:rPr>
            </w:pPr>
            <w:r>
              <w:rPr>
                <w:rFonts w:hint="eastAsia" w:ascii="宋体" w:hAnsi="宋体"/>
                <w:color w:val="000000"/>
              </w:rPr>
              <w:t>采用低价优先法计算，即满足招标文件要求且投标价格最低的投标报价为评标基准价，其价格分为满分。其他投标人的价格分按照下列公式计算（小数点保留</w:t>
            </w:r>
            <w:r>
              <w:rPr>
                <w:rFonts w:hint="eastAsia" w:ascii="宋体" w:hAnsi="宋体"/>
                <w:color w:val="000000"/>
                <w:lang w:eastAsia="zh-CN"/>
              </w:rPr>
              <w:t>两</w:t>
            </w:r>
            <w:r>
              <w:rPr>
                <w:rFonts w:hint="eastAsia" w:ascii="宋体" w:hAnsi="宋体"/>
                <w:color w:val="000000"/>
              </w:rPr>
              <w:t>位）。</w:t>
            </w:r>
          </w:p>
          <w:p>
            <w:pPr>
              <w:jc w:val="both"/>
              <w:rPr>
                <w:rFonts w:ascii="宋体" w:hAnsi="宋体"/>
                <w:sz w:val="32"/>
                <w:szCs w:val="32"/>
              </w:rPr>
            </w:pPr>
            <w:r>
              <w:rPr>
                <w:rFonts w:hint="eastAsia" w:ascii="宋体" w:hAnsi="宋体"/>
                <w:color w:val="000000"/>
              </w:rPr>
              <w:t>投标报价得分=(评标基准价／投标报价)×30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ascii="仿宋" w:hAnsi="仿宋" w:eastAsia="仿宋"/>
                <w:sz w:val="32"/>
                <w:szCs w:val="32"/>
              </w:rPr>
            </w:pPr>
            <w:r>
              <w:rPr>
                <w:rFonts w:hint="eastAsia" w:ascii="仿宋" w:hAnsi="仿宋" w:eastAsia="仿宋"/>
                <w:sz w:val="32"/>
                <w:szCs w:val="32"/>
              </w:rPr>
              <w:t>资质</w:t>
            </w:r>
          </w:p>
        </w:tc>
        <w:tc>
          <w:tcPr>
            <w:tcW w:w="1826" w:type="dxa"/>
            <w:noWrap w:val="0"/>
            <w:vAlign w:val="center"/>
          </w:tcPr>
          <w:p>
            <w:pPr>
              <w:spacing w:line="520" w:lineRule="exact"/>
              <w:jc w:val="center"/>
              <w:rPr>
                <w:rFonts w:ascii="仿宋" w:hAnsi="仿宋" w:eastAsia="仿宋"/>
                <w:sz w:val="32"/>
                <w:szCs w:val="32"/>
              </w:rPr>
            </w:pPr>
            <w:r>
              <w:rPr>
                <w:rFonts w:hint="eastAsia" w:ascii="仿宋" w:hAnsi="仿宋" w:eastAsia="仿宋"/>
                <w:sz w:val="32"/>
                <w:szCs w:val="32"/>
              </w:rPr>
              <w:t>6分</w:t>
            </w:r>
          </w:p>
        </w:tc>
        <w:tc>
          <w:tcPr>
            <w:tcW w:w="4870" w:type="dxa"/>
            <w:noWrap w:val="0"/>
            <w:vAlign w:val="center"/>
          </w:tcPr>
          <w:p>
            <w:pPr>
              <w:jc w:val="left"/>
              <w:rPr>
                <w:rFonts w:ascii="宋体" w:hAnsi="宋体"/>
                <w:color w:val="000000"/>
              </w:rPr>
            </w:pPr>
            <w:r>
              <w:rPr>
                <w:rFonts w:hint="eastAsia" w:ascii="宋体" w:hAnsi="宋体"/>
                <w:color w:val="000000"/>
              </w:rPr>
              <w:t>投标人具有有效的经中国国家认证认可监督管理委员会认证机构颁发的以下证书，全部满足得6分，满足3-5项得3分，满足其中1-2项不得分。</w:t>
            </w:r>
          </w:p>
          <w:p>
            <w:pPr>
              <w:jc w:val="left"/>
              <w:rPr>
                <w:rFonts w:ascii="宋体" w:hAnsi="宋体"/>
                <w:color w:val="000000"/>
              </w:rPr>
            </w:pPr>
            <w:r>
              <w:rPr>
                <w:rFonts w:hint="eastAsia" w:ascii="宋体" w:hAnsi="宋体"/>
                <w:color w:val="000000"/>
              </w:rPr>
              <w:t>1、信息安全管理体系认证证书（27001）</w:t>
            </w:r>
          </w:p>
          <w:p>
            <w:pPr>
              <w:jc w:val="left"/>
              <w:rPr>
                <w:rFonts w:ascii="宋体" w:hAnsi="宋体"/>
                <w:color w:val="000000"/>
              </w:rPr>
            </w:pPr>
            <w:r>
              <w:rPr>
                <w:rFonts w:hint="eastAsia" w:ascii="宋体" w:hAnsi="宋体"/>
                <w:color w:val="000000"/>
              </w:rPr>
              <w:t>2、质量管理体系认证证书（ISO9001）</w:t>
            </w:r>
          </w:p>
          <w:p>
            <w:pPr>
              <w:jc w:val="left"/>
              <w:rPr>
                <w:rFonts w:ascii="宋体" w:hAnsi="宋体"/>
                <w:color w:val="000000"/>
              </w:rPr>
            </w:pPr>
            <w:r>
              <w:rPr>
                <w:rFonts w:hint="eastAsia" w:ascii="宋体" w:hAnsi="宋体"/>
                <w:color w:val="000000"/>
              </w:rPr>
              <w:t>3、信息系统安全运维服务资质CCRC（三级）</w:t>
            </w:r>
          </w:p>
          <w:p>
            <w:pPr>
              <w:jc w:val="left"/>
              <w:rPr>
                <w:rFonts w:ascii="宋体" w:hAnsi="宋体"/>
              </w:rPr>
            </w:pPr>
            <w:r>
              <w:rPr>
                <w:rFonts w:hint="eastAsia" w:ascii="宋体" w:hAnsi="宋体"/>
              </w:rPr>
              <w:t>4、信息安全应急处理资质证书CCRC（三级）</w:t>
            </w:r>
          </w:p>
          <w:p>
            <w:pPr>
              <w:jc w:val="left"/>
              <w:rPr>
                <w:rFonts w:ascii="宋体" w:hAnsi="宋体"/>
              </w:rPr>
            </w:pPr>
            <w:r>
              <w:rPr>
                <w:rFonts w:hint="eastAsia" w:ascii="宋体" w:hAnsi="宋体"/>
              </w:rPr>
              <w:t>5、信息安全风险评估服务资质CCRC（三级）</w:t>
            </w:r>
          </w:p>
          <w:p>
            <w:pPr>
              <w:jc w:val="left"/>
              <w:rPr>
                <w:rFonts w:ascii="宋体" w:hAnsi="宋体"/>
              </w:rPr>
            </w:pPr>
            <w:r>
              <w:rPr>
                <w:rFonts w:hint="eastAsia" w:ascii="宋体" w:hAnsi="宋体"/>
              </w:rPr>
              <w:t>6、信息技术服务标准符合性证书-贰级（ITSS）</w:t>
            </w:r>
          </w:p>
          <w:p>
            <w:pPr>
              <w:jc w:val="left"/>
              <w:rPr>
                <w:rFonts w:ascii="宋体" w:hAnsi="宋体"/>
                <w:sz w:val="32"/>
                <w:szCs w:val="32"/>
              </w:rPr>
            </w:pPr>
            <w:r>
              <w:rPr>
                <w:rFonts w:hint="eastAsia" w:ascii="宋体" w:hAnsi="宋体"/>
                <w:szCs w:val="28"/>
              </w:rPr>
              <w:t>（备注：响应文件须提供证书扫描件或相关证明材料，不提供不得分）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仿宋" w:hAnsi="仿宋" w:eastAsia="仿宋"/>
                <w:sz w:val="32"/>
                <w:szCs w:val="32"/>
              </w:rPr>
            </w:pPr>
            <w:r>
              <w:rPr>
                <w:rFonts w:hint="eastAsia" w:ascii="仿宋" w:hAnsi="仿宋" w:eastAsia="仿宋"/>
                <w:sz w:val="32"/>
                <w:szCs w:val="32"/>
              </w:rPr>
              <w:t>业绩</w:t>
            </w:r>
          </w:p>
        </w:tc>
        <w:tc>
          <w:tcPr>
            <w:tcW w:w="1826" w:type="dxa"/>
            <w:noWrap w:val="0"/>
            <w:vAlign w:val="center"/>
          </w:tcPr>
          <w:p>
            <w:pPr>
              <w:spacing w:line="520" w:lineRule="exact"/>
              <w:jc w:val="center"/>
              <w:rPr>
                <w:rFonts w:ascii="仿宋" w:hAnsi="仿宋" w:eastAsia="仿宋"/>
                <w:sz w:val="32"/>
                <w:szCs w:val="32"/>
              </w:rPr>
            </w:pPr>
            <w:r>
              <w:rPr>
                <w:rFonts w:hint="eastAsia" w:ascii="仿宋" w:hAnsi="仿宋" w:eastAsia="仿宋"/>
                <w:sz w:val="32"/>
                <w:szCs w:val="32"/>
              </w:rPr>
              <w:t>6分</w:t>
            </w:r>
          </w:p>
        </w:tc>
        <w:tc>
          <w:tcPr>
            <w:tcW w:w="4870" w:type="dxa"/>
            <w:noWrap w:val="0"/>
            <w:vAlign w:val="center"/>
          </w:tcPr>
          <w:p>
            <w:pPr>
              <w:jc w:val="left"/>
              <w:rPr>
                <w:rFonts w:ascii="宋体" w:hAnsi="宋体"/>
                <w:color w:val="000000"/>
              </w:rPr>
            </w:pPr>
            <w:r>
              <w:rPr>
                <w:rFonts w:hint="eastAsia" w:ascii="宋体" w:hAnsi="宋体"/>
                <w:color w:val="000000"/>
              </w:rPr>
              <w:t>投标人具有信息安全服务案例，每个案例得3分，满分6分，加满为止。</w:t>
            </w:r>
          </w:p>
          <w:p>
            <w:pPr>
              <w:jc w:val="left"/>
              <w:rPr>
                <w:rFonts w:ascii="宋体" w:hAnsi="宋体"/>
                <w:sz w:val="32"/>
                <w:szCs w:val="32"/>
              </w:rPr>
            </w:pPr>
            <w:r>
              <w:rPr>
                <w:rFonts w:hint="eastAsia" w:ascii="宋体" w:hAnsi="宋体"/>
                <w:color w:val="000000"/>
              </w:rPr>
              <w:t>（案例需提供合同复印件，复印件应能辨识买卖双方公章、签订时间，并加盖供应商公章；如业绩合同不能体现以上全部内容，可提供业绩合同甲方加盖公章的证明复印件或扫描件。否则，不得分。）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仿宋" w:hAnsi="仿宋" w:eastAsia="仿宋"/>
                <w:sz w:val="32"/>
                <w:szCs w:val="32"/>
              </w:rPr>
            </w:pPr>
            <w:r>
              <w:rPr>
                <w:rFonts w:hint="eastAsia" w:ascii="仿宋" w:hAnsi="仿宋" w:eastAsia="仿宋"/>
                <w:sz w:val="32"/>
                <w:szCs w:val="32"/>
              </w:rPr>
              <w:t>运维服务方案</w:t>
            </w:r>
          </w:p>
        </w:tc>
        <w:tc>
          <w:tcPr>
            <w:tcW w:w="1826" w:type="dxa"/>
            <w:noWrap w:val="0"/>
            <w:vAlign w:val="center"/>
          </w:tcPr>
          <w:p>
            <w:pPr>
              <w:spacing w:line="520" w:lineRule="exact"/>
              <w:jc w:val="center"/>
              <w:rPr>
                <w:rFonts w:ascii="仿宋" w:hAnsi="仿宋" w:eastAsia="仿宋"/>
                <w:sz w:val="32"/>
                <w:szCs w:val="32"/>
              </w:rPr>
            </w:pPr>
            <w:r>
              <w:rPr>
                <w:rFonts w:ascii="仿宋" w:hAnsi="仿宋" w:eastAsia="仿宋"/>
                <w:sz w:val="32"/>
                <w:szCs w:val="32"/>
              </w:rPr>
              <w:t>30</w:t>
            </w:r>
            <w:r>
              <w:rPr>
                <w:rFonts w:hint="eastAsia" w:ascii="仿宋" w:hAnsi="仿宋" w:eastAsia="仿宋"/>
                <w:sz w:val="32"/>
                <w:szCs w:val="32"/>
              </w:rPr>
              <w:t>分</w:t>
            </w:r>
          </w:p>
        </w:tc>
        <w:tc>
          <w:tcPr>
            <w:tcW w:w="4870" w:type="dxa"/>
            <w:noWrap w:val="0"/>
            <w:vAlign w:val="center"/>
          </w:tcPr>
          <w:p>
            <w:pPr>
              <w:jc w:val="left"/>
              <w:rPr>
                <w:rFonts w:ascii="宋体" w:hAnsi="宋体"/>
                <w:b/>
                <w:color w:val="000000"/>
              </w:rPr>
            </w:pPr>
            <w:r>
              <w:rPr>
                <w:rFonts w:hint="eastAsia" w:ascii="宋体" w:hAnsi="宋体"/>
                <w:b/>
                <w:color w:val="000000"/>
              </w:rPr>
              <w:t>一、整体设计方案（</w:t>
            </w:r>
            <w:r>
              <w:rPr>
                <w:rFonts w:ascii="宋体" w:hAnsi="宋体"/>
                <w:b/>
                <w:color w:val="000000"/>
              </w:rPr>
              <w:t>15</w:t>
            </w:r>
            <w:r>
              <w:rPr>
                <w:rFonts w:hint="eastAsia" w:ascii="宋体" w:hAnsi="宋体"/>
                <w:b/>
                <w:color w:val="000000"/>
              </w:rPr>
              <w:t>分）。</w:t>
            </w:r>
          </w:p>
          <w:p>
            <w:pPr>
              <w:jc w:val="left"/>
              <w:rPr>
                <w:rFonts w:ascii="宋体" w:hAnsi="宋体"/>
                <w:color w:val="000000"/>
              </w:rPr>
            </w:pPr>
            <w:r>
              <w:rPr>
                <w:rFonts w:hint="eastAsia" w:ascii="宋体" w:hAnsi="宋体"/>
                <w:color w:val="000000"/>
              </w:rPr>
              <w:t>1</w:t>
            </w:r>
            <w:r>
              <w:rPr>
                <w:rFonts w:ascii="宋体" w:hAnsi="宋体"/>
                <w:color w:val="000000"/>
              </w:rPr>
              <w:t>.</w:t>
            </w:r>
            <w:r>
              <w:rPr>
                <w:rFonts w:hint="eastAsia" w:ascii="宋体" w:hAnsi="宋体"/>
                <w:color w:val="000000"/>
              </w:rPr>
              <w:t>对招标文件要求充分理解，对项目现状和需求分析透彻，提出具有针对性的整体解决方案，方案整体架构科学合理，严格执行相应行业规范标准，得1</w:t>
            </w:r>
            <w:r>
              <w:rPr>
                <w:rFonts w:ascii="宋体" w:hAnsi="宋体"/>
                <w:color w:val="000000"/>
              </w:rPr>
              <w:t>5</w:t>
            </w:r>
            <w:r>
              <w:rPr>
                <w:rFonts w:hint="eastAsia" w:ascii="宋体" w:hAnsi="宋体"/>
                <w:color w:val="000000"/>
              </w:rPr>
              <w:t>分。</w:t>
            </w:r>
          </w:p>
          <w:p>
            <w:pPr>
              <w:jc w:val="left"/>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对招标文件要求充分理解，对项目现状和需求分析透彻，提出整体解决方案，方案整体架构具有可行性，符合相应行业标准规范，得</w:t>
            </w:r>
            <w:r>
              <w:rPr>
                <w:rFonts w:ascii="宋体" w:hAnsi="宋体"/>
                <w:color w:val="000000"/>
              </w:rPr>
              <w:t>10</w:t>
            </w:r>
            <w:r>
              <w:rPr>
                <w:rFonts w:hint="eastAsia" w:ascii="宋体" w:hAnsi="宋体"/>
                <w:color w:val="000000"/>
              </w:rPr>
              <w:t>分。</w:t>
            </w:r>
          </w:p>
          <w:p>
            <w:pPr>
              <w:jc w:val="left"/>
              <w:rPr>
                <w:rFonts w:ascii="宋体" w:hAnsi="宋体"/>
                <w:color w:val="000000"/>
              </w:rPr>
            </w:pPr>
            <w:r>
              <w:rPr>
                <w:rFonts w:hint="eastAsia" w:ascii="宋体" w:hAnsi="宋体"/>
                <w:color w:val="000000"/>
              </w:rPr>
              <w:t>3</w:t>
            </w:r>
            <w:r>
              <w:rPr>
                <w:rFonts w:ascii="宋体" w:hAnsi="宋体"/>
                <w:color w:val="000000"/>
              </w:rPr>
              <w:t>.</w:t>
            </w:r>
            <w:r>
              <w:rPr>
                <w:rFonts w:hint="eastAsia" w:ascii="宋体" w:hAnsi="宋体"/>
                <w:color w:val="000000"/>
              </w:rPr>
              <w:t>对招标文件要求充分理解，对项目现状和需求解读基本正确，提出整体解决方案，得</w:t>
            </w:r>
            <w:r>
              <w:rPr>
                <w:rFonts w:ascii="宋体" w:hAnsi="宋体"/>
                <w:color w:val="000000"/>
              </w:rPr>
              <w:t>5</w:t>
            </w:r>
            <w:r>
              <w:rPr>
                <w:rFonts w:hint="eastAsia" w:ascii="宋体" w:hAnsi="宋体"/>
                <w:color w:val="000000"/>
              </w:rPr>
              <w:t>分。</w:t>
            </w:r>
          </w:p>
          <w:p>
            <w:pPr>
              <w:jc w:val="left"/>
              <w:rPr>
                <w:rFonts w:hint="eastAsia" w:ascii="宋体" w:hAnsi="宋体"/>
                <w:color w:val="000000"/>
              </w:rPr>
            </w:pPr>
            <w:r>
              <w:rPr>
                <w:rFonts w:hint="eastAsia" w:ascii="宋体" w:hAnsi="宋体"/>
                <w:color w:val="000000"/>
              </w:rPr>
              <w:t>否则，不得分。</w:t>
            </w:r>
          </w:p>
          <w:p>
            <w:pPr>
              <w:jc w:val="left"/>
              <w:rPr>
                <w:rFonts w:ascii="宋体" w:hAnsi="宋体"/>
                <w:b/>
                <w:color w:val="000000"/>
              </w:rPr>
            </w:pPr>
            <w:r>
              <w:rPr>
                <w:rFonts w:hint="eastAsia" w:ascii="宋体" w:hAnsi="宋体"/>
                <w:b/>
                <w:color w:val="000000"/>
              </w:rPr>
              <w:t>二、安全运维服务管理体系（</w:t>
            </w:r>
            <w:r>
              <w:rPr>
                <w:rFonts w:ascii="宋体" w:hAnsi="宋体"/>
                <w:b/>
                <w:color w:val="000000"/>
              </w:rPr>
              <w:t>5</w:t>
            </w:r>
            <w:r>
              <w:rPr>
                <w:rFonts w:hint="eastAsia" w:ascii="宋体" w:hAnsi="宋体"/>
                <w:b/>
                <w:color w:val="000000"/>
              </w:rPr>
              <w:t>分）。</w:t>
            </w:r>
          </w:p>
          <w:p>
            <w:pPr>
              <w:jc w:val="left"/>
              <w:rPr>
                <w:rFonts w:ascii="宋体" w:hAnsi="宋体"/>
                <w:color w:val="000000"/>
              </w:rPr>
            </w:pPr>
            <w:r>
              <w:rPr>
                <w:rFonts w:hint="eastAsia" w:ascii="宋体" w:hAnsi="宋体"/>
                <w:color w:val="000000"/>
              </w:rPr>
              <w:t>1</w:t>
            </w:r>
            <w:r>
              <w:rPr>
                <w:rFonts w:ascii="宋体" w:hAnsi="宋体"/>
                <w:color w:val="000000"/>
              </w:rPr>
              <w:t>.</w:t>
            </w:r>
            <w:r>
              <w:rPr>
                <w:rFonts w:hint="eastAsia" w:ascii="宋体" w:hAnsi="宋体"/>
                <w:color w:val="000000"/>
              </w:rPr>
              <w:t>安全运维服务体系建设内容成熟度高，相关运维管理流程体系、管理规划、运维制度健全，且实施执行完成度高，得</w:t>
            </w:r>
            <w:r>
              <w:rPr>
                <w:rFonts w:ascii="宋体" w:hAnsi="宋体"/>
                <w:color w:val="000000"/>
              </w:rPr>
              <w:t>5</w:t>
            </w:r>
            <w:r>
              <w:rPr>
                <w:rFonts w:hint="eastAsia" w:ascii="宋体" w:hAnsi="宋体"/>
                <w:color w:val="000000"/>
              </w:rPr>
              <w:t>分。</w:t>
            </w:r>
          </w:p>
          <w:p>
            <w:pPr>
              <w:jc w:val="left"/>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安全运维服务体系建设科学合理，相关运维管理流程体系、管理规划、运维制度健全，具有可行性，得</w:t>
            </w:r>
            <w:r>
              <w:rPr>
                <w:rFonts w:ascii="宋体" w:hAnsi="宋体"/>
                <w:color w:val="000000"/>
              </w:rPr>
              <w:t>3</w:t>
            </w:r>
            <w:r>
              <w:rPr>
                <w:rFonts w:hint="eastAsia" w:ascii="宋体" w:hAnsi="宋体"/>
                <w:color w:val="000000"/>
              </w:rPr>
              <w:t>分。</w:t>
            </w:r>
          </w:p>
          <w:p>
            <w:pPr>
              <w:jc w:val="left"/>
              <w:rPr>
                <w:rFonts w:ascii="宋体" w:hAnsi="宋体"/>
                <w:color w:val="000000"/>
              </w:rPr>
            </w:pPr>
            <w:r>
              <w:rPr>
                <w:rFonts w:hint="eastAsia" w:ascii="宋体" w:hAnsi="宋体"/>
                <w:color w:val="000000"/>
              </w:rPr>
              <w:t>3</w:t>
            </w:r>
            <w:r>
              <w:rPr>
                <w:rFonts w:ascii="宋体" w:hAnsi="宋体"/>
                <w:color w:val="000000"/>
              </w:rPr>
              <w:t>.</w:t>
            </w:r>
            <w:r>
              <w:rPr>
                <w:rFonts w:hint="eastAsia" w:ascii="宋体" w:hAnsi="宋体"/>
                <w:color w:val="000000"/>
              </w:rPr>
              <w:t>具有安全运维服务体系，具有相关运维管理流程体系、管理规划、运维制度，得</w:t>
            </w:r>
            <w:r>
              <w:rPr>
                <w:rFonts w:ascii="宋体" w:hAnsi="宋体"/>
                <w:color w:val="000000"/>
              </w:rPr>
              <w:t>1</w:t>
            </w:r>
            <w:r>
              <w:rPr>
                <w:rFonts w:hint="eastAsia" w:ascii="宋体" w:hAnsi="宋体"/>
                <w:color w:val="000000"/>
              </w:rPr>
              <w:t>分。</w:t>
            </w:r>
          </w:p>
          <w:p>
            <w:pPr>
              <w:jc w:val="left"/>
              <w:rPr>
                <w:rFonts w:hint="eastAsia" w:ascii="宋体" w:hAnsi="宋体"/>
                <w:color w:val="000000"/>
              </w:rPr>
            </w:pPr>
            <w:r>
              <w:rPr>
                <w:rFonts w:hint="eastAsia" w:ascii="宋体" w:hAnsi="宋体"/>
                <w:color w:val="000000"/>
              </w:rPr>
              <w:t>否则，不得分。</w:t>
            </w:r>
          </w:p>
          <w:p>
            <w:pPr>
              <w:jc w:val="left"/>
              <w:rPr>
                <w:rFonts w:ascii="宋体" w:hAnsi="宋体"/>
                <w:b/>
                <w:color w:val="000000"/>
              </w:rPr>
            </w:pPr>
            <w:r>
              <w:rPr>
                <w:rFonts w:hint="eastAsia" w:ascii="宋体" w:hAnsi="宋体"/>
                <w:b/>
                <w:color w:val="000000"/>
              </w:rPr>
              <w:t>三、安全运行保障方案（</w:t>
            </w:r>
            <w:r>
              <w:rPr>
                <w:rFonts w:ascii="宋体" w:hAnsi="宋体"/>
                <w:b/>
                <w:color w:val="000000"/>
              </w:rPr>
              <w:t>5</w:t>
            </w:r>
            <w:r>
              <w:rPr>
                <w:rFonts w:hint="eastAsia" w:ascii="宋体" w:hAnsi="宋体"/>
                <w:b/>
                <w:color w:val="000000"/>
              </w:rPr>
              <w:t>分）。</w:t>
            </w:r>
          </w:p>
          <w:p>
            <w:pPr>
              <w:jc w:val="left"/>
              <w:rPr>
                <w:rFonts w:ascii="宋体" w:hAnsi="宋体"/>
              </w:rPr>
            </w:pPr>
            <w:r>
              <w:rPr>
                <w:rFonts w:ascii="宋体" w:hAnsi="宋体"/>
                <w:color w:val="000000"/>
              </w:rPr>
              <w:t>1.</w:t>
            </w:r>
            <w:r>
              <w:rPr>
                <w:rFonts w:hint="eastAsia" w:ascii="宋体" w:hAnsi="宋体"/>
                <w:color w:val="000000"/>
                <w:lang w:eastAsia="zh-Hans"/>
              </w:rPr>
              <w:t>安全</w:t>
            </w:r>
            <w:r>
              <w:rPr>
                <w:rFonts w:hint="eastAsia" w:ascii="宋体" w:hAnsi="宋体"/>
                <w:color w:val="000000"/>
              </w:rPr>
              <w:t>运行保障方案内容具有针对性，服务台建设、文档管理制度、各系统运维方案、巡检方案、故障响应方案、日常设备保养维护方案、备品备件服务、培训服务等符合招标文件要求，</w:t>
            </w:r>
            <w:r>
              <w:rPr>
                <w:rFonts w:hint="eastAsia" w:ascii="宋体" w:hAnsi="宋体"/>
              </w:rPr>
              <w:t>得5分。</w:t>
            </w:r>
          </w:p>
          <w:p>
            <w:pPr>
              <w:jc w:val="left"/>
              <w:rPr>
                <w:rFonts w:ascii="宋体" w:hAnsi="宋体"/>
              </w:rPr>
            </w:pPr>
            <w:r>
              <w:rPr>
                <w:rFonts w:hint="eastAsia" w:ascii="宋体" w:hAnsi="宋体"/>
              </w:rPr>
              <w:t>2．安全运行保障方案内容科学合理，服务台建设、文档管理制度、各系统运维方案、巡检方案、故障响应方案、日常设备保养维护方案、备品备件服务、培训服务等符合招标文件要求，得3分。</w:t>
            </w:r>
          </w:p>
          <w:p>
            <w:pPr>
              <w:jc w:val="left"/>
              <w:rPr>
                <w:rFonts w:ascii="宋体" w:hAnsi="宋体"/>
              </w:rPr>
            </w:pPr>
            <w:r>
              <w:rPr>
                <w:rFonts w:hint="eastAsia" w:ascii="宋体" w:hAnsi="宋体"/>
              </w:rPr>
              <w:t>3</w:t>
            </w:r>
            <w:r>
              <w:rPr>
                <w:rFonts w:ascii="宋体" w:hAnsi="宋体"/>
              </w:rPr>
              <w:t>.</w:t>
            </w:r>
            <w:r>
              <w:rPr>
                <w:rFonts w:hint="eastAsia" w:ascii="宋体" w:hAnsi="宋体"/>
              </w:rPr>
              <w:t>具有安全运行保障方案，服务台建设、文档管理制度、各系统运维方案、巡检方案、故障响应方案、日常设备保养维护方案、备品备件服务、培训服务等符合招标文件要求，得</w:t>
            </w:r>
            <w:r>
              <w:rPr>
                <w:rFonts w:ascii="宋体" w:hAnsi="宋体"/>
              </w:rPr>
              <w:t>1</w:t>
            </w:r>
            <w:r>
              <w:rPr>
                <w:rFonts w:hint="eastAsia" w:ascii="宋体" w:hAnsi="宋体"/>
              </w:rPr>
              <w:t>分。</w:t>
            </w:r>
          </w:p>
          <w:p>
            <w:pPr>
              <w:jc w:val="left"/>
              <w:rPr>
                <w:rFonts w:hint="eastAsia" w:ascii="宋体" w:hAnsi="宋体"/>
                <w:color w:val="000000"/>
              </w:rPr>
            </w:pPr>
            <w:r>
              <w:rPr>
                <w:rFonts w:hint="eastAsia" w:ascii="宋体" w:hAnsi="宋体"/>
              </w:rPr>
              <w:t>否则，不得分。</w:t>
            </w:r>
          </w:p>
          <w:p>
            <w:pPr>
              <w:jc w:val="left"/>
              <w:rPr>
                <w:rFonts w:ascii="宋体" w:hAnsi="宋体"/>
                <w:b/>
                <w:color w:val="000000"/>
              </w:rPr>
            </w:pPr>
            <w:r>
              <w:rPr>
                <w:rFonts w:hint="eastAsia" w:ascii="宋体" w:hAnsi="宋体"/>
                <w:b/>
                <w:color w:val="000000"/>
              </w:rPr>
              <w:t>四、</w:t>
            </w:r>
            <w:r>
              <w:rPr>
                <w:rFonts w:hint="eastAsia" w:ascii="宋体" w:hAnsi="宋体"/>
                <w:b/>
                <w:color w:val="000000"/>
                <w:lang w:eastAsia="zh-Hans"/>
              </w:rPr>
              <w:t>安全</w:t>
            </w:r>
            <w:r>
              <w:rPr>
                <w:rFonts w:hint="eastAsia" w:ascii="宋体" w:hAnsi="宋体"/>
                <w:b/>
                <w:color w:val="000000"/>
              </w:rPr>
              <w:t>运维服务计划（5分）</w:t>
            </w:r>
          </w:p>
          <w:p>
            <w:pPr>
              <w:jc w:val="left"/>
              <w:rPr>
                <w:rFonts w:ascii="宋体" w:hAnsi="宋体"/>
                <w:color w:val="000000"/>
              </w:rPr>
            </w:pPr>
            <w:r>
              <w:rPr>
                <w:rFonts w:hint="eastAsia" w:ascii="宋体" w:hAnsi="宋体"/>
                <w:color w:val="000000"/>
              </w:rPr>
              <w:t>1</w:t>
            </w:r>
            <w:r>
              <w:rPr>
                <w:rFonts w:ascii="宋体" w:hAnsi="宋体"/>
                <w:color w:val="000000"/>
              </w:rPr>
              <w:t>.</w:t>
            </w:r>
            <w:r>
              <w:rPr>
                <w:rFonts w:hint="eastAsia" w:ascii="宋体" w:hAnsi="宋体"/>
                <w:color w:val="000000"/>
              </w:rPr>
              <w:t>运维计划考虑周详，项目人员岗位、工作分配合理，服务计划安排有序，</w:t>
            </w:r>
            <w:r>
              <w:rPr>
                <w:rFonts w:hint="eastAsia" w:ascii="宋体" w:hAnsi="宋体"/>
              </w:rPr>
              <w:t>得</w:t>
            </w:r>
            <w:r>
              <w:rPr>
                <w:rFonts w:ascii="宋体" w:hAnsi="宋体"/>
              </w:rPr>
              <w:t>5</w:t>
            </w:r>
            <w:r>
              <w:rPr>
                <w:rFonts w:hint="eastAsia" w:ascii="宋体" w:hAnsi="宋体"/>
              </w:rPr>
              <w:t>分</w:t>
            </w:r>
            <w:r>
              <w:rPr>
                <w:rFonts w:hint="eastAsia" w:ascii="宋体" w:hAnsi="宋体"/>
                <w:color w:val="000000"/>
              </w:rPr>
              <w:t>。</w:t>
            </w:r>
          </w:p>
          <w:p>
            <w:pPr>
              <w:jc w:val="left"/>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具有运维计划，项目人员岗位、工作分配合理，服务计划安排有序，得</w:t>
            </w:r>
            <w:r>
              <w:rPr>
                <w:rFonts w:ascii="宋体" w:hAnsi="宋体"/>
                <w:color w:val="000000"/>
              </w:rPr>
              <w:t>3</w:t>
            </w:r>
            <w:r>
              <w:rPr>
                <w:rFonts w:hint="eastAsia" w:ascii="宋体" w:hAnsi="宋体"/>
                <w:color w:val="000000"/>
              </w:rPr>
              <w:t>分。</w:t>
            </w:r>
          </w:p>
          <w:p>
            <w:pPr>
              <w:jc w:val="left"/>
              <w:rPr>
                <w:rFonts w:ascii="宋体" w:hAnsi="宋体"/>
                <w:color w:val="000000"/>
              </w:rPr>
            </w:pPr>
            <w:r>
              <w:rPr>
                <w:rFonts w:ascii="宋体" w:hAnsi="宋体"/>
                <w:color w:val="000000"/>
              </w:rPr>
              <w:t>3.</w:t>
            </w:r>
            <w:r>
              <w:rPr>
                <w:rFonts w:hint="eastAsia" w:ascii="宋体" w:hAnsi="宋体"/>
                <w:color w:val="000000"/>
              </w:rPr>
              <w:t>具有运维计划，项目人员岗位、工作分配合理，得</w:t>
            </w:r>
            <w:r>
              <w:rPr>
                <w:rFonts w:ascii="宋体" w:hAnsi="宋体"/>
                <w:color w:val="000000"/>
              </w:rPr>
              <w:t>1</w:t>
            </w:r>
            <w:r>
              <w:rPr>
                <w:rFonts w:hint="eastAsia" w:ascii="宋体" w:hAnsi="宋体"/>
                <w:color w:val="000000"/>
              </w:rPr>
              <w:t>分。</w:t>
            </w:r>
          </w:p>
          <w:p>
            <w:pPr>
              <w:jc w:val="left"/>
              <w:rPr>
                <w:rFonts w:hint="eastAsia" w:ascii="宋体" w:hAnsi="宋体"/>
                <w:color w:val="000000"/>
                <w:highlight w:val="yellow"/>
              </w:rPr>
            </w:pPr>
            <w:r>
              <w:rPr>
                <w:rFonts w:hint="eastAsia" w:ascii="宋体" w:hAnsi="宋体"/>
                <w:color w:val="000000"/>
              </w:rPr>
              <w:t>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仿宋" w:hAnsi="仿宋" w:eastAsia="仿宋"/>
                <w:sz w:val="32"/>
                <w:szCs w:val="32"/>
              </w:rPr>
            </w:pPr>
            <w:r>
              <w:rPr>
                <w:rFonts w:hint="eastAsia" w:ascii="仿宋" w:hAnsi="仿宋" w:eastAsia="仿宋"/>
                <w:sz w:val="32"/>
                <w:szCs w:val="32"/>
              </w:rPr>
              <w:t>运维服务能力支撑</w:t>
            </w:r>
          </w:p>
        </w:tc>
        <w:tc>
          <w:tcPr>
            <w:tcW w:w="1826" w:type="dxa"/>
            <w:noWrap w:val="0"/>
            <w:vAlign w:val="center"/>
          </w:tcPr>
          <w:p>
            <w:pPr>
              <w:spacing w:line="520" w:lineRule="exact"/>
              <w:jc w:val="center"/>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4</w:t>
            </w:r>
            <w:r>
              <w:rPr>
                <w:rFonts w:hint="eastAsia" w:ascii="仿宋" w:hAnsi="仿宋" w:eastAsia="仿宋"/>
                <w:sz w:val="32"/>
                <w:szCs w:val="32"/>
              </w:rPr>
              <w:t>分</w:t>
            </w:r>
          </w:p>
        </w:tc>
        <w:tc>
          <w:tcPr>
            <w:tcW w:w="4870" w:type="dxa"/>
            <w:noWrap w:val="0"/>
            <w:vAlign w:val="center"/>
          </w:tcPr>
          <w:p>
            <w:pPr>
              <w:jc w:val="left"/>
              <w:rPr>
                <w:rFonts w:ascii="宋体" w:hAnsi="宋体"/>
                <w:b/>
                <w:color w:val="000000"/>
              </w:rPr>
            </w:pPr>
            <w:r>
              <w:rPr>
                <w:rFonts w:hint="eastAsia" w:ascii="宋体" w:hAnsi="宋体"/>
                <w:b/>
                <w:color w:val="000000"/>
              </w:rPr>
              <w:t>一、应急方案（</w:t>
            </w:r>
            <w:r>
              <w:rPr>
                <w:rFonts w:ascii="宋体" w:hAnsi="宋体"/>
                <w:b/>
                <w:color w:val="000000"/>
              </w:rPr>
              <w:t>7</w:t>
            </w:r>
            <w:r>
              <w:rPr>
                <w:rFonts w:hint="eastAsia" w:ascii="宋体" w:hAnsi="宋体"/>
                <w:b/>
                <w:color w:val="000000"/>
              </w:rPr>
              <w:t>分）</w:t>
            </w:r>
          </w:p>
          <w:p>
            <w:pPr>
              <w:jc w:val="left"/>
              <w:rPr>
                <w:rFonts w:hint="eastAsia" w:ascii="宋体" w:hAnsi="宋体"/>
              </w:rPr>
            </w:pPr>
            <w:r>
              <w:rPr>
                <w:rFonts w:hint="eastAsia" w:ascii="宋体" w:hAnsi="宋体"/>
              </w:rPr>
              <w:t>1</w:t>
            </w:r>
            <w:r>
              <w:rPr>
                <w:rFonts w:ascii="宋体" w:hAnsi="宋体"/>
              </w:rPr>
              <w:t>.</w:t>
            </w:r>
            <w:r>
              <w:rPr>
                <w:rFonts w:hint="eastAsia" w:ascii="宋体" w:hAnsi="宋体"/>
              </w:rPr>
              <w:t>应急方案制定科学合理，能够充分了解项目需求，熟悉核心机房设备、网络设备、线路、终端情况，应急流程科学合理，响应及时，并提供具有针对性的应急解决方案，得</w:t>
            </w:r>
            <w:r>
              <w:rPr>
                <w:rFonts w:ascii="宋体" w:hAnsi="宋体"/>
              </w:rPr>
              <w:t>7</w:t>
            </w:r>
            <w:r>
              <w:rPr>
                <w:rFonts w:hint="eastAsia" w:ascii="宋体" w:hAnsi="宋体"/>
              </w:rPr>
              <w:t>分。</w:t>
            </w:r>
          </w:p>
          <w:p>
            <w:pPr>
              <w:jc w:val="left"/>
              <w:rPr>
                <w:rFonts w:ascii="宋体" w:hAnsi="宋体"/>
              </w:rPr>
            </w:pPr>
            <w:r>
              <w:rPr>
                <w:rFonts w:ascii="宋体" w:hAnsi="宋体"/>
              </w:rPr>
              <w:t>2.</w:t>
            </w:r>
            <w:r>
              <w:rPr>
                <w:rFonts w:hint="eastAsia" w:ascii="宋体" w:hAnsi="宋体"/>
              </w:rPr>
              <w:t>能够充分了解项目需求，熟悉核心机房设备、网络设备、线路、终端情况，应急流程科学合理，响应及时，提供应急解决方案，得</w:t>
            </w:r>
            <w:r>
              <w:rPr>
                <w:rFonts w:ascii="宋体" w:hAnsi="宋体"/>
              </w:rPr>
              <w:t>4</w:t>
            </w:r>
            <w:r>
              <w:rPr>
                <w:rFonts w:hint="eastAsia" w:ascii="宋体" w:hAnsi="宋体"/>
              </w:rPr>
              <w:t>分。</w:t>
            </w:r>
          </w:p>
          <w:p>
            <w:pPr>
              <w:jc w:val="left"/>
              <w:rPr>
                <w:rFonts w:ascii="宋体" w:hAnsi="宋体"/>
              </w:rPr>
            </w:pPr>
            <w:r>
              <w:rPr>
                <w:rFonts w:hint="eastAsia" w:ascii="宋体" w:hAnsi="宋体"/>
              </w:rPr>
              <w:t>3</w:t>
            </w:r>
            <w:r>
              <w:rPr>
                <w:rFonts w:ascii="宋体" w:hAnsi="宋体"/>
              </w:rPr>
              <w:t>.</w:t>
            </w:r>
            <w:r>
              <w:rPr>
                <w:rFonts w:hint="eastAsia" w:ascii="宋体" w:hAnsi="宋体"/>
              </w:rPr>
              <w:t>基本了解项目需求，基本了解核心机房设备、网络设备、线路、终端情况，提供应急解决方案，得</w:t>
            </w:r>
            <w:r>
              <w:rPr>
                <w:rFonts w:ascii="宋体" w:hAnsi="宋体"/>
              </w:rPr>
              <w:t>1</w:t>
            </w:r>
            <w:r>
              <w:rPr>
                <w:rFonts w:hint="eastAsia" w:ascii="宋体" w:hAnsi="宋体"/>
              </w:rPr>
              <w:t>分。</w:t>
            </w:r>
          </w:p>
          <w:p>
            <w:pPr>
              <w:jc w:val="left"/>
              <w:rPr>
                <w:rFonts w:hint="eastAsia" w:ascii="宋体" w:hAnsi="宋体"/>
              </w:rPr>
            </w:pPr>
            <w:r>
              <w:rPr>
                <w:rFonts w:hint="eastAsia" w:ascii="宋体" w:hAnsi="宋体"/>
              </w:rPr>
              <w:t>否则，不得分。</w:t>
            </w:r>
          </w:p>
          <w:p>
            <w:pPr>
              <w:jc w:val="left"/>
              <w:rPr>
                <w:rFonts w:ascii="宋体" w:hAnsi="宋体"/>
                <w:b/>
              </w:rPr>
            </w:pPr>
            <w:r>
              <w:rPr>
                <w:rFonts w:hint="eastAsia" w:ascii="宋体" w:hAnsi="宋体"/>
                <w:b/>
              </w:rPr>
              <w:t>二、服务管理方案（</w:t>
            </w:r>
            <w:r>
              <w:rPr>
                <w:rFonts w:ascii="宋体" w:hAnsi="宋体"/>
                <w:b/>
              </w:rPr>
              <w:t>7</w:t>
            </w:r>
            <w:r>
              <w:rPr>
                <w:rFonts w:hint="eastAsia" w:ascii="宋体" w:hAnsi="宋体"/>
                <w:b/>
              </w:rPr>
              <w:t>分）</w:t>
            </w:r>
          </w:p>
          <w:p>
            <w:pPr>
              <w:jc w:val="left"/>
              <w:rPr>
                <w:rFonts w:ascii="宋体" w:hAnsi="宋体"/>
              </w:rPr>
            </w:pPr>
            <w:r>
              <w:rPr>
                <w:rFonts w:hint="eastAsia" w:ascii="宋体" w:hAnsi="宋体"/>
              </w:rPr>
              <w:t>1</w:t>
            </w:r>
            <w:r>
              <w:rPr>
                <w:rFonts w:ascii="宋体" w:hAnsi="宋体"/>
              </w:rPr>
              <w:t>.</w:t>
            </w:r>
            <w:r>
              <w:rPr>
                <w:rFonts w:hint="eastAsia" w:ascii="宋体" w:hAnsi="宋体"/>
              </w:rPr>
              <w:t>服务管理方案具有针对性，对服务质量水平承诺、用户评价、绩效考核等方面均有明确方案，且设置科学合理，得</w:t>
            </w:r>
            <w:r>
              <w:rPr>
                <w:rFonts w:ascii="宋体" w:hAnsi="宋体"/>
              </w:rPr>
              <w:t>7</w:t>
            </w:r>
            <w:r>
              <w:rPr>
                <w:rFonts w:hint="eastAsia" w:ascii="宋体" w:hAnsi="宋体"/>
              </w:rPr>
              <w:t>分。</w:t>
            </w:r>
          </w:p>
          <w:p>
            <w:pPr>
              <w:jc w:val="left"/>
              <w:rPr>
                <w:rFonts w:ascii="宋体" w:hAnsi="宋体"/>
              </w:rPr>
            </w:pPr>
            <w:r>
              <w:rPr>
                <w:rFonts w:hint="eastAsia" w:ascii="宋体" w:hAnsi="宋体"/>
              </w:rPr>
              <w:t>2</w:t>
            </w:r>
            <w:r>
              <w:rPr>
                <w:rFonts w:ascii="宋体" w:hAnsi="宋体"/>
              </w:rPr>
              <w:t>.</w:t>
            </w:r>
            <w:r>
              <w:rPr>
                <w:rFonts w:hint="eastAsia" w:ascii="宋体" w:hAnsi="宋体"/>
              </w:rPr>
              <w:t>服务管理方案科学合理，对服务质量水平承诺、用户评价、绩效考核等方面具有明确方案，且设置科学合理，得</w:t>
            </w:r>
            <w:r>
              <w:rPr>
                <w:rFonts w:ascii="宋体" w:hAnsi="宋体"/>
              </w:rPr>
              <w:t>4</w:t>
            </w:r>
            <w:r>
              <w:rPr>
                <w:rFonts w:hint="eastAsia" w:ascii="宋体" w:hAnsi="宋体"/>
              </w:rPr>
              <w:t>分。</w:t>
            </w:r>
          </w:p>
          <w:p>
            <w:pPr>
              <w:jc w:val="left"/>
              <w:rPr>
                <w:rFonts w:ascii="宋体" w:hAnsi="宋体"/>
              </w:rPr>
            </w:pPr>
            <w:r>
              <w:rPr>
                <w:rFonts w:hint="eastAsia" w:ascii="宋体" w:hAnsi="宋体"/>
              </w:rPr>
              <w:t>3</w:t>
            </w:r>
            <w:r>
              <w:rPr>
                <w:rFonts w:ascii="宋体" w:hAnsi="宋体"/>
              </w:rPr>
              <w:t>.</w:t>
            </w:r>
            <w:r>
              <w:rPr>
                <w:rFonts w:hint="eastAsia" w:ascii="宋体" w:hAnsi="宋体"/>
              </w:rPr>
              <w:t>具有服务管理方案，对服务质量水平承诺、用户评价、绩效考核等方面具有明确方案，得</w:t>
            </w:r>
            <w:r>
              <w:rPr>
                <w:rFonts w:ascii="宋体" w:hAnsi="宋体"/>
              </w:rPr>
              <w:t>1</w:t>
            </w:r>
            <w:r>
              <w:rPr>
                <w:rFonts w:hint="eastAsia" w:ascii="宋体" w:hAnsi="宋体"/>
              </w:rPr>
              <w:t>分。</w:t>
            </w:r>
          </w:p>
          <w:p>
            <w:pPr>
              <w:jc w:val="left"/>
              <w:rPr>
                <w:rFonts w:hint="eastAsia" w:ascii="宋体" w:hAnsi="宋体"/>
              </w:rPr>
            </w:pPr>
            <w:r>
              <w:rPr>
                <w:rFonts w:hint="eastAsia" w:ascii="宋体" w:hAnsi="宋体"/>
              </w:rPr>
              <w:t>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仿宋" w:hAnsi="仿宋" w:eastAsia="仿宋"/>
                <w:sz w:val="32"/>
                <w:szCs w:val="32"/>
              </w:rPr>
            </w:pPr>
            <w:r>
              <w:rPr>
                <w:rFonts w:hint="eastAsia" w:ascii="仿宋" w:hAnsi="仿宋" w:eastAsia="仿宋"/>
                <w:sz w:val="32"/>
                <w:szCs w:val="32"/>
              </w:rPr>
              <w:t>项目投入人员情况</w:t>
            </w:r>
          </w:p>
        </w:tc>
        <w:tc>
          <w:tcPr>
            <w:tcW w:w="1826" w:type="dxa"/>
            <w:noWrap w:val="0"/>
            <w:vAlign w:val="center"/>
          </w:tcPr>
          <w:p>
            <w:pPr>
              <w:spacing w:line="520" w:lineRule="exact"/>
              <w:jc w:val="center"/>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4</w:t>
            </w:r>
            <w:r>
              <w:rPr>
                <w:rFonts w:hint="eastAsia" w:ascii="仿宋" w:hAnsi="仿宋" w:eastAsia="仿宋"/>
                <w:sz w:val="32"/>
                <w:szCs w:val="32"/>
              </w:rPr>
              <w:t>分</w:t>
            </w:r>
          </w:p>
        </w:tc>
        <w:tc>
          <w:tcPr>
            <w:tcW w:w="4870" w:type="dxa"/>
            <w:noWrap w:val="0"/>
            <w:vAlign w:val="center"/>
          </w:tcPr>
          <w:p>
            <w:pPr>
              <w:jc w:val="left"/>
              <w:rPr>
                <w:rFonts w:ascii="宋体" w:hAnsi="宋体"/>
              </w:rPr>
            </w:pPr>
            <w:r>
              <w:rPr>
                <w:rFonts w:ascii="宋体" w:hAnsi="宋体"/>
              </w:rPr>
              <w:t>1.</w:t>
            </w:r>
            <w:r>
              <w:rPr>
                <w:rFonts w:hint="eastAsia" w:ascii="宋体" w:hAnsi="宋体"/>
              </w:rPr>
              <w:t>驻点运维人员具备网络安全资质证书得</w:t>
            </w:r>
            <w:r>
              <w:rPr>
                <w:rFonts w:ascii="宋体" w:hAnsi="宋体"/>
              </w:rPr>
              <w:t>2</w:t>
            </w:r>
            <w:r>
              <w:rPr>
                <w:rFonts w:hint="eastAsia" w:ascii="宋体" w:hAnsi="宋体"/>
              </w:rPr>
              <w:t>分，最高得2分。</w:t>
            </w:r>
          </w:p>
          <w:p>
            <w:pPr>
              <w:jc w:val="left"/>
              <w:rPr>
                <w:rFonts w:ascii="宋体" w:hAnsi="宋体"/>
              </w:rPr>
            </w:pPr>
            <w:r>
              <w:rPr>
                <w:rFonts w:ascii="宋体" w:hAnsi="宋体"/>
              </w:rPr>
              <w:t>2.</w:t>
            </w:r>
            <w:r>
              <w:rPr>
                <w:rFonts w:hint="eastAsia" w:ascii="宋体" w:hAnsi="宋体"/>
              </w:rPr>
              <w:t>项目管理和服务团队每增加一人得1分，最高得3分；管理和服务团队成员具备信息系统项目管理师或具备中国信息安全测评中心、中国网络安全审查技术与认证中心、公安部信息安全等级保护评估中心颁发的网络安全证书得1分，最高得2分；一人多证不重复得分。</w:t>
            </w:r>
          </w:p>
          <w:p>
            <w:pPr>
              <w:jc w:val="left"/>
              <w:rPr>
                <w:rFonts w:hint="eastAsia" w:ascii="宋体" w:hAnsi="宋体"/>
              </w:rPr>
            </w:pPr>
            <w:r>
              <w:rPr>
                <w:rFonts w:ascii="宋体" w:hAnsi="宋体"/>
              </w:rPr>
              <w:t>3.</w:t>
            </w:r>
            <w:r>
              <w:rPr>
                <w:rFonts w:hint="eastAsia" w:ascii="宋体" w:hAnsi="宋体"/>
              </w:rPr>
              <w:t>运维期间成立二线支撑团队每提供一人得1分，最高得4分；每提供一人中具备信息安全保障人员（应急服务方向）证书或ITSS IT服务项目经理证书得1分，最高得3分；一人多证不重复得分。</w:t>
            </w:r>
          </w:p>
        </w:tc>
      </w:tr>
    </w:tbl>
    <w:p>
      <w:pPr>
        <w:widowControl/>
        <w:adjustRightInd w:val="0"/>
        <w:snapToGrid w:val="0"/>
        <w:spacing w:line="360" w:lineRule="auto"/>
        <w:rPr>
          <w:rFonts w:ascii="宋体" w:hAnsi="宋体" w:cs="Calibri"/>
          <w:b/>
          <w:bCs/>
          <w:color w:val="000000"/>
          <w:kern w:val="0"/>
          <w:szCs w:val="21"/>
          <w:shd w:val="clear" w:color="auto" w:fill="FFFFFF"/>
        </w:rPr>
      </w:pPr>
      <w:bookmarkStart w:id="110" w:name="_Toc49763005"/>
    </w:p>
    <w:p>
      <w:pPr>
        <w:widowControl/>
        <w:adjustRightInd w:val="0"/>
        <w:snapToGrid w:val="0"/>
        <w:spacing w:line="360" w:lineRule="auto"/>
        <w:ind w:firstLine="562" w:firstLineChars="200"/>
        <w:rPr>
          <w:rFonts w:hint="eastAsia" w:ascii="宋体" w:hAnsi="宋体" w:eastAsia="宋体" w:cs="Calibri"/>
          <w:color w:val="333333"/>
          <w:kern w:val="0"/>
          <w:szCs w:val="21"/>
          <w:lang w:eastAsia="zh-CN"/>
        </w:rPr>
      </w:pPr>
      <w:r>
        <w:rPr>
          <w:rFonts w:hint="eastAsia" w:ascii="宋体" w:hAnsi="宋体" w:cs="Calibri"/>
          <w:b/>
          <w:bCs/>
          <w:color w:val="000000"/>
          <w:kern w:val="0"/>
          <w:szCs w:val="21"/>
          <w:shd w:val="clear" w:color="auto" w:fill="FFFFFF"/>
        </w:rPr>
        <w:t>高分优先原则。</w:t>
      </w:r>
      <w:r>
        <w:rPr>
          <w:rFonts w:hint="eastAsia" w:ascii="宋体" w:hAnsi="宋体" w:cs="Calibri"/>
          <w:color w:val="000000"/>
          <w:kern w:val="0"/>
          <w:szCs w:val="21"/>
          <w:shd w:val="clear" w:color="auto" w:fill="FFFFFF"/>
        </w:rPr>
        <w:t>衡量投标文件满足</w:t>
      </w:r>
      <w:r>
        <w:rPr>
          <w:rFonts w:hint="eastAsia" w:ascii="宋体" w:hAnsi="宋体" w:cs="Calibri"/>
          <w:color w:val="000000"/>
          <w:kern w:val="0"/>
          <w:szCs w:val="21"/>
          <w:shd w:val="clear" w:color="auto" w:fill="FFFFFF"/>
          <w:lang w:eastAsia="zh-CN"/>
        </w:rPr>
        <w:t>磋商文件</w:t>
      </w:r>
      <w:r>
        <w:rPr>
          <w:rFonts w:hint="eastAsia" w:ascii="宋体" w:hAnsi="宋体" w:cs="Calibri"/>
          <w:color w:val="000000"/>
          <w:kern w:val="0"/>
          <w:szCs w:val="21"/>
          <w:shd w:val="clear" w:color="auto" w:fill="FFFFFF"/>
        </w:rPr>
        <w:t>规定各项评审标准的程度，折算为综合得分分值，依据每个投标人的综合得分由高到低，依次确定排名顺序。</w:t>
      </w:r>
      <w:r>
        <w:rPr>
          <w:rFonts w:hint="eastAsia" w:ascii="宋体" w:hAnsi="宋体" w:cs="Calibri"/>
          <w:color w:val="000000"/>
          <w:kern w:val="0"/>
          <w:szCs w:val="21"/>
          <w:shd w:val="clear" w:color="auto" w:fill="FFFFFF"/>
          <w:lang w:eastAsia="zh-CN"/>
        </w:rPr>
        <w:t>若综合得分相同，则按报价分</w:t>
      </w:r>
      <w:r>
        <w:rPr>
          <w:rFonts w:hint="eastAsia" w:ascii="宋体" w:hAnsi="宋体" w:cs="Calibri"/>
          <w:color w:val="000000"/>
          <w:kern w:val="0"/>
          <w:szCs w:val="21"/>
          <w:shd w:val="clear" w:color="auto" w:fill="FFFFFF"/>
        </w:rPr>
        <w:t>由高到低依次确定排名顺序</w:t>
      </w:r>
      <w:r>
        <w:rPr>
          <w:rFonts w:hint="eastAsia" w:ascii="宋体" w:hAnsi="宋体" w:cs="Calibri"/>
          <w:color w:val="000000"/>
          <w:kern w:val="0"/>
          <w:szCs w:val="21"/>
          <w:shd w:val="clear" w:color="auto" w:fill="FFFFFF"/>
          <w:lang w:eastAsia="zh-CN"/>
        </w:rPr>
        <w:t>。</w:t>
      </w:r>
      <w:r>
        <w:rPr>
          <w:rFonts w:hint="eastAsia" w:ascii="宋体" w:hAnsi="宋体" w:cs="Calibri"/>
          <w:color w:val="000000"/>
          <w:kern w:val="0"/>
          <w:szCs w:val="21"/>
          <w:shd w:val="clear" w:color="auto" w:fill="FFFFFF"/>
        </w:rPr>
        <w:t>满分为100分（数值计算结果均保留两位小数，第三位四舍五入）</w:t>
      </w:r>
      <w:r>
        <w:rPr>
          <w:rFonts w:hint="eastAsia" w:ascii="宋体" w:hAnsi="宋体" w:cs="Calibri"/>
          <w:color w:val="000000"/>
          <w:kern w:val="0"/>
          <w:szCs w:val="21"/>
          <w:shd w:val="clear" w:color="auto" w:fill="FFFFFF"/>
          <w:lang w:eastAsia="zh-CN"/>
        </w:rPr>
        <w:t>。</w:t>
      </w:r>
    </w:p>
    <w:p>
      <w:pPr>
        <w:pStyle w:val="12"/>
        <w:adjustRightInd w:val="0"/>
        <w:snapToGrid w:val="0"/>
        <w:spacing w:line="460" w:lineRule="exact"/>
        <w:ind w:firstLine="560"/>
        <w:rPr>
          <w:rFonts w:ascii="仿宋_GB2312" w:hAnsi="楷体" w:eastAsia="仿宋_GB2312"/>
          <w:spacing w:val="0"/>
          <w:sz w:val="28"/>
          <w:szCs w:val="28"/>
        </w:rPr>
      </w:pPr>
    </w:p>
    <w:p>
      <w:pPr>
        <w:jc w:val="center"/>
        <w:rPr>
          <w:rFonts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1" w:name="_Toc403987220"/>
      <w:r>
        <w:rPr>
          <w:rFonts w:hint="eastAsia" w:ascii="华文中宋" w:hAnsi="华文中宋" w:eastAsia="华文中宋"/>
          <w:b/>
          <w:sz w:val="36"/>
          <w:szCs w:val="36"/>
        </w:rPr>
        <w:t>响应文件格式</w:t>
      </w:r>
      <w:bookmarkEnd w:id="110"/>
      <w:bookmarkEnd w:id="111"/>
    </w:p>
    <w:p>
      <w:pPr>
        <w:jc w:val="center"/>
        <w:rPr>
          <w:rFonts w:hAnsi="宋体"/>
          <w:b/>
          <w:sz w:val="72"/>
        </w:rPr>
      </w:pPr>
      <w:bookmarkStart w:id="112" w:name="_Hlt26955039"/>
      <w:bookmarkEnd w:id="112"/>
      <w:bookmarkStart w:id="113" w:name="_Hlt26671244"/>
      <w:bookmarkEnd w:id="113"/>
      <w:bookmarkStart w:id="114" w:name="_Toc26554094"/>
      <w:bookmarkStart w:id="115" w:name="_Toc120614282"/>
      <w:bookmarkStart w:id="116"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4"/>
    <w:bookmarkEnd w:id="115"/>
    <w:bookmarkEnd w:id="116"/>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rPr>
          <w:rFonts w:ascii="华文中宋" w:hAnsi="华文中宋" w:eastAsia="华文中宋"/>
          <w:b/>
          <w:spacing w:val="-6"/>
          <w:szCs w:val="28"/>
        </w:rPr>
      </w:pP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7"/>
        <w:tblW w:w="95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2"/>
        <w:gridCol w:w="63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2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63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1" w:hRule="atLeast"/>
          <w:jc w:val="center"/>
        </w:trPr>
        <w:tc>
          <w:tcPr>
            <w:tcW w:w="3262" w:type="dxa"/>
            <w:tcBorders>
              <w:top w:val="single" w:color="auto" w:sz="4" w:space="0"/>
              <w:left w:val="single" w:color="auto" w:sz="4" w:space="0"/>
              <w:right w:val="single" w:color="auto" w:sz="4" w:space="0"/>
            </w:tcBorders>
            <w:vAlign w:val="center"/>
          </w:tcPr>
          <w:p>
            <w:pPr>
              <w:jc w:val="center"/>
              <w:rPr>
                <w:rFonts w:hint="eastAsia" w:eastAsia="宋体"/>
                <w:bCs/>
                <w:sz w:val="24"/>
                <w:szCs w:val="24"/>
                <w:lang w:eastAsia="zh-CN"/>
              </w:rPr>
            </w:pPr>
            <w:r>
              <w:rPr>
                <w:rFonts w:hint="eastAsia"/>
                <w:lang w:eastAsia="zh-CN"/>
              </w:rPr>
              <w:t>皖南医学院信息安全服务项目</w:t>
            </w:r>
          </w:p>
        </w:tc>
        <w:tc>
          <w:tcPr>
            <w:tcW w:w="6329" w:type="dxa"/>
            <w:tcBorders>
              <w:top w:val="single" w:color="auto" w:sz="4" w:space="0"/>
              <w:left w:val="single" w:color="auto" w:sz="4" w:space="0"/>
              <w:right w:val="single" w:color="auto" w:sz="4" w:space="0"/>
            </w:tcBorders>
            <w:vAlign w:val="center"/>
          </w:tcPr>
          <w:p>
            <w:pPr>
              <w:pStyle w:val="26"/>
              <w:ind w:firstLine="0" w:firstLineChars="0"/>
              <w:rPr>
                <w:rFonts w:hint="eastAsia" w:ascii="仿宋" w:hAnsi="仿宋" w:eastAsia="仿宋"/>
                <w:sz w:val="28"/>
                <w:szCs w:val="28"/>
                <w:highlight w:val="none"/>
                <w:u w:val="single"/>
                <w:lang w:val="en-US" w:eastAsia="zh-CN"/>
              </w:rPr>
            </w:pPr>
            <w:r>
              <w:rPr>
                <w:rFonts w:hint="eastAsia" w:ascii="仿宋" w:hAnsi="仿宋" w:eastAsia="仿宋"/>
                <w:sz w:val="28"/>
                <w:szCs w:val="28"/>
                <w:highlight w:val="none"/>
                <w:u w:val="single"/>
                <w:lang w:val="en-US" w:eastAsia="zh-CN"/>
              </w:rPr>
              <w:t xml:space="preserve">                   元/年（大写）</w:t>
            </w:r>
          </w:p>
          <w:p>
            <w:pPr>
              <w:pStyle w:val="21"/>
              <w:rPr>
                <w:rFonts w:hint="eastAsia" w:ascii="仿宋" w:hAnsi="仿宋" w:eastAsia="仿宋"/>
                <w:sz w:val="28"/>
                <w:szCs w:val="28"/>
                <w:highlight w:val="none"/>
                <w:u w:val="single"/>
                <w:lang w:val="en-US" w:eastAsia="zh-CN"/>
              </w:rPr>
            </w:pP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u w:val="single"/>
                <w:lang w:val="en-US" w:eastAsia="zh-CN"/>
              </w:rPr>
              <w:t xml:space="preserve">            元/年（小写）</w:t>
            </w:r>
          </w:p>
          <w:p>
            <w:pPr>
              <w:pStyle w:val="26"/>
              <w:ind w:firstLine="0" w:firstLineChars="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59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pacing w:val="-6"/>
                <w:sz w:val="24"/>
                <w:szCs w:val="24"/>
              </w:rPr>
            </w:pPr>
            <w:r>
              <w:rPr>
                <w:rFonts w:hint="eastAsia"/>
              </w:rPr>
              <w:t>备注：</w:t>
            </w:r>
          </w:p>
        </w:tc>
      </w:tr>
    </w:tbl>
    <w:p>
      <w:pPr>
        <w:snapToGrid w:val="0"/>
        <w:spacing w:before="50" w:after="50" w:line="360" w:lineRule="auto"/>
        <w:jc w:val="left"/>
        <w:rPr>
          <w:rFonts w:ascii="宋体" w:hAnsi="宋体"/>
          <w:spacing w:val="-6"/>
          <w:sz w:val="24"/>
          <w:szCs w:val="24"/>
        </w:rPr>
      </w:pPr>
    </w:p>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6"/>
          <w:rFonts w:hAnsi="宋体"/>
          <w:color w:val="auto"/>
          <w:sz w:val="24"/>
          <w:szCs w:val="24"/>
        </w:rPr>
      </w:pPr>
    </w:p>
    <w:p>
      <w:pPr>
        <w:rPr>
          <w:rFonts w:ascii="宋体" w:hAnsi="宋体"/>
          <w:spacing w:val="-6"/>
          <w:sz w:val="24"/>
        </w:rPr>
      </w:pPr>
    </w:p>
    <w:p>
      <w:pPr>
        <w:jc w:val="center"/>
        <w:rPr>
          <w:rFonts w:ascii="宋体" w:hAnsi="宋体"/>
          <w:spacing w:val="-6"/>
          <w:sz w:val="24"/>
        </w:rPr>
      </w:pPr>
    </w:p>
    <w:p>
      <w:pP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br w:type="page"/>
      </w:r>
    </w:p>
    <w:p>
      <w:pPr>
        <w:jc w:val="cente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7"/>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sz w:val="24"/>
                <w:szCs w:val="24"/>
              </w:rPr>
            </w:pPr>
            <w:r>
              <w:rPr>
                <w:rFonts w:hint="eastAsia" w:hAnsi="宋体"/>
                <w:sz w:val="24"/>
                <w:szCs w:val="24"/>
              </w:rPr>
              <w:t>1</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vAlign w:val="center"/>
          </w:tcPr>
          <w:p>
            <w:pPr>
              <w:jc w:val="center"/>
              <w:rPr>
                <w:rFonts w:hAnsi="宋体"/>
                <w:b/>
                <w:sz w:val="24"/>
                <w:szCs w:val="24"/>
              </w:rPr>
            </w:pPr>
          </w:p>
        </w:tc>
        <w:tc>
          <w:tcPr>
            <w:tcW w:w="1701" w:type="dxa"/>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2</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3</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vAlign w:val="center"/>
          </w:tcPr>
          <w:p>
            <w:pPr>
              <w:jc w:val="center"/>
              <w:rPr>
                <w:rFonts w:hAnsi="宋体"/>
                <w:sz w:val="24"/>
                <w:szCs w:val="24"/>
              </w:rPr>
            </w:pPr>
            <w:r>
              <w:rPr>
                <w:rFonts w:hint="eastAsia" w:hAnsi="宋体"/>
                <w:sz w:val="24"/>
                <w:szCs w:val="24"/>
              </w:rPr>
              <w:t>4</w:t>
            </w:r>
          </w:p>
        </w:tc>
        <w:tc>
          <w:tcPr>
            <w:tcW w:w="4678" w:type="dxa"/>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6"/>
          <w:rFonts w:ascii="华文中宋" w:hAnsi="华文中宋" w:eastAsia="华文中宋"/>
          <w:color w:val="auto"/>
          <w:sz w:val="28"/>
          <w:szCs w:val="28"/>
        </w:rPr>
      </w:pPr>
      <w:r>
        <w:rPr>
          <w:rFonts w:hAnsi="宋体"/>
          <w:sz w:val="32"/>
          <w:szCs w:val="32"/>
        </w:rPr>
        <w:br w:type="page"/>
      </w:r>
      <w:r>
        <w:rPr>
          <w:rStyle w:val="66"/>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7" w:name="_Toc23828483"/>
      <w:bookmarkStart w:id="118" w:name="_Toc26554103"/>
      <w:bookmarkStart w:id="119" w:name="_Toc24878535"/>
      <w:bookmarkStart w:id="120" w:name="_Toc513029281"/>
      <w:bookmarkStart w:id="121" w:name="_Toc49090582"/>
      <w:bookmarkStart w:id="122" w:name="_Toc22356583"/>
      <w:bookmarkStart w:id="123" w:name="_Toc120614291"/>
      <w:bookmarkStart w:id="124"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7"/>
      <w:bookmarkEnd w:id="118"/>
      <w:bookmarkEnd w:id="119"/>
      <w:bookmarkEnd w:id="120"/>
      <w:bookmarkEnd w:id="121"/>
      <w:bookmarkEnd w:id="122"/>
      <w:bookmarkEnd w:id="123"/>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20"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20"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7"/>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pacing w:val="-6"/>
        </w:rPr>
      </w:pPr>
      <w:r>
        <w:rPr>
          <w:rFonts w:hint="eastAsia" w:hAnsi="宋体"/>
          <w:spacing w:val="-6"/>
        </w:rPr>
        <w:t xml:space="preserve"> </w:t>
      </w:r>
    </w:p>
    <w:p>
      <w:pPr>
        <w:pStyle w:val="40"/>
        <w:ind w:firstLine="0" w:firstLineChars="0"/>
        <w:rPr>
          <w:rFonts w:hAnsi="宋体" w:eastAsia="宋体"/>
          <w:sz w:val="24"/>
          <w:szCs w:val="24"/>
        </w:rPr>
      </w:pPr>
    </w:p>
    <w:bookmarkEnd w:id="124"/>
    <w:p>
      <w:pPr>
        <w:rPr>
          <w:rFonts w:ascii="华文中宋" w:hAnsi="华文中宋" w:eastAsia="华文中宋"/>
          <w:b/>
          <w:spacing w:val="-6"/>
          <w:szCs w:val="28"/>
        </w:rPr>
      </w:pPr>
      <w:bookmarkStart w:id="125" w:name="_Toc460901585"/>
      <w:bookmarkStart w:id="126" w:name="_Toc120614283"/>
      <w:bookmarkStart w:id="127" w:name="_Toc513029276"/>
      <w:bookmarkStart w:id="128" w:name="_Toc22356580"/>
      <w:bookmarkStart w:id="129" w:name="_Toc23828478"/>
      <w:bookmarkStart w:id="130" w:name="_Toc49090577"/>
      <w:bookmarkStart w:id="131" w:name="_Toc26554095"/>
      <w:r>
        <w:rPr>
          <w:rFonts w:hint="eastAsia" w:ascii="华文中宋" w:hAnsi="华文中宋" w:eastAsia="华文中宋"/>
          <w:b/>
          <w:spacing w:val="-6"/>
          <w:szCs w:val="28"/>
        </w:rPr>
        <w:br w:type="page"/>
      </w:r>
    </w:p>
    <w:p>
      <w:pPr>
        <w:jc w:val="center"/>
        <w:rPr>
          <w:rStyle w:val="66"/>
          <w:rFonts w:ascii="华文中宋" w:hAnsi="华文中宋" w:eastAsia="华文中宋"/>
          <w:b w:val="0"/>
          <w:color w:val="auto"/>
          <w:sz w:val="28"/>
          <w:szCs w:val="28"/>
        </w:rPr>
      </w:pPr>
      <w:r>
        <w:rPr>
          <w:rFonts w:hint="eastAsia" w:ascii="华文中宋" w:hAnsi="华文中宋" w:eastAsia="华文中宋"/>
          <w:b/>
          <w:spacing w:val="-6"/>
          <w:szCs w:val="28"/>
        </w:rPr>
        <w:t>四、</w:t>
      </w:r>
      <w:r>
        <w:rPr>
          <w:rStyle w:val="66"/>
          <w:rFonts w:hint="eastAsia" w:ascii="华文中宋" w:hAnsi="华文中宋" w:eastAsia="华文中宋"/>
          <w:color w:val="auto"/>
          <w:sz w:val="28"/>
          <w:szCs w:val="28"/>
        </w:rPr>
        <w:t>磋商函格式</w:t>
      </w:r>
    </w:p>
    <w:bookmarkEnd w:id="125"/>
    <w:bookmarkEnd w:id="126"/>
    <w:bookmarkEnd w:id="127"/>
    <w:bookmarkEnd w:id="128"/>
    <w:bookmarkEnd w:id="129"/>
    <w:bookmarkEnd w:id="130"/>
    <w:bookmarkEnd w:id="131"/>
    <w:p>
      <w:pPr>
        <w:tabs>
          <w:tab w:val="left" w:pos="5580"/>
        </w:tabs>
        <w:spacing w:line="480" w:lineRule="exact"/>
        <w:rPr>
          <w:rStyle w:val="66"/>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6.一旦我方确认成交,我方将根据磋商文件的规定，严格履行合同的责任和义务,并保证在磋商文件规定的时间完成项目，交付买方验收、使用。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7.遵守磋商文件中要求的收费项目和标准。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8.与本磋商有关的正式通讯地址为：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b/>
          <w:bCs/>
          <w:sz w:val="24"/>
        </w:rPr>
      </w:pPr>
    </w:p>
    <w:p>
      <w:pPr>
        <w:rPr>
          <w:b/>
          <w:bCs/>
          <w:sz w:val="24"/>
        </w:rPr>
      </w:pPr>
    </w:p>
    <w:p>
      <w:pPr>
        <w:rPr>
          <w:rFonts w:hint="eastAsia"/>
          <w:b/>
          <w:bCs/>
          <w:sz w:val="24"/>
        </w:rPr>
      </w:pPr>
      <w:r>
        <w:rPr>
          <w:rFonts w:hint="eastAsia"/>
          <w:b/>
          <w:bCs/>
          <w:sz w:val="24"/>
        </w:rPr>
        <w:t>五、 投标文件</w:t>
      </w:r>
      <w:r>
        <w:rPr>
          <w:rFonts w:hint="eastAsia"/>
          <w:b/>
          <w:bCs/>
          <w:sz w:val="24"/>
          <w:lang w:eastAsia="zh-CN"/>
        </w:rPr>
        <w:t>应</w:t>
      </w:r>
      <w:r>
        <w:rPr>
          <w:rFonts w:hint="eastAsia"/>
          <w:b/>
          <w:bCs/>
          <w:sz w:val="24"/>
        </w:rPr>
        <w:t>包含</w:t>
      </w:r>
      <w:r>
        <w:rPr>
          <w:rFonts w:hint="eastAsia"/>
          <w:b/>
          <w:bCs/>
          <w:sz w:val="24"/>
          <w:lang w:eastAsia="zh-CN"/>
        </w:rPr>
        <w:t>资质、业绩、</w:t>
      </w:r>
      <w:r>
        <w:rPr>
          <w:rFonts w:hint="eastAsia"/>
          <w:b/>
          <w:bCs/>
          <w:sz w:val="24"/>
        </w:rPr>
        <w:t>运维服务方案</w:t>
      </w:r>
      <w:r>
        <w:rPr>
          <w:rFonts w:hint="eastAsia"/>
          <w:b/>
          <w:bCs/>
          <w:sz w:val="24"/>
          <w:lang w:eastAsia="zh-CN"/>
        </w:rPr>
        <w:t>、</w:t>
      </w:r>
      <w:r>
        <w:rPr>
          <w:rFonts w:hint="eastAsia"/>
          <w:b/>
          <w:bCs/>
          <w:sz w:val="24"/>
        </w:rPr>
        <w:t>运维服务能力支撑</w:t>
      </w:r>
      <w:r>
        <w:rPr>
          <w:rFonts w:hint="eastAsia"/>
          <w:b/>
          <w:bCs/>
          <w:sz w:val="24"/>
          <w:lang w:eastAsia="zh-CN"/>
        </w:rPr>
        <w:t>、</w:t>
      </w:r>
      <w:r>
        <w:rPr>
          <w:rFonts w:hint="eastAsia"/>
          <w:b/>
          <w:bCs/>
          <w:sz w:val="24"/>
        </w:rPr>
        <w:t>项目投入人员情况</w:t>
      </w:r>
      <w:r>
        <w:rPr>
          <w:rFonts w:hint="eastAsia"/>
          <w:b/>
          <w:bCs/>
          <w:sz w:val="24"/>
        </w:rPr>
        <w:t>需要提供的其它材料。</w:t>
      </w:r>
    </w:p>
    <w:p>
      <w:pPr>
        <w:rPr>
          <w:rFonts w:hint="eastAsia"/>
          <w:b/>
          <w:bCs/>
          <w:sz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r>
        <w:rPr>
          <w:rFonts w:hint="eastAsia" w:ascii="宋体" w:hAnsi="宋体"/>
          <w:b/>
          <w:sz w:val="24"/>
          <w:szCs w:val="24"/>
        </w:rPr>
        <w:br w:type="page"/>
      </w:r>
      <w:bookmarkStart w:id="133" w:name="_GoBack"/>
      <w:bookmarkEnd w:id="133"/>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仿宋_GB2312" w:hAnsi="华文中宋" w:eastAsia="仿宋_GB2312"/>
          <w:b/>
          <w:sz w:val="36"/>
          <w:szCs w:val="36"/>
        </w:rPr>
      </w:pPr>
      <w:r>
        <w:rPr>
          <w:rFonts w:hint="eastAsia" w:ascii="仿宋_GB2312" w:hAnsi="华文中宋" w:eastAsia="仿宋_GB2312"/>
          <w:b/>
          <w:sz w:val="36"/>
          <w:szCs w:val="36"/>
        </w:rPr>
        <w:t>皖南医学院采购质疑与投诉办法（试行）</w:t>
      </w:r>
    </w:p>
    <w:p>
      <w:pPr>
        <w:spacing w:before="240" w:beforeLines="100" w:after="240" w:afterLines="100"/>
        <w:jc w:val="center"/>
        <w:rPr>
          <w:rFonts w:ascii="仿宋_GB2312" w:hAnsi="宋体" w:eastAsia="仿宋_GB2312" w:cs="宋体"/>
          <w:color w:val="333333"/>
          <w:szCs w:val="28"/>
        </w:rPr>
      </w:pPr>
      <w:bookmarkStart w:id="132" w:name="_Toc374453341"/>
      <w:r>
        <w:rPr>
          <w:rFonts w:hint="eastAsia" w:ascii="仿宋_GB2312" w:hAnsi="黑体" w:eastAsia="仿宋_GB2312" w:cs="宋体"/>
          <w:b/>
          <w:bCs/>
          <w:color w:val="333333"/>
          <w:szCs w:val="28"/>
        </w:rPr>
        <w:t>第一章</w:t>
      </w:r>
      <w:r>
        <w:rPr>
          <w:rFonts w:hint="eastAsia" w:ascii="宋体" w:hAnsi="宋体" w:eastAsia="仿宋_GB2312"/>
          <w:color w:val="333333"/>
          <w:szCs w:val="28"/>
        </w:rPr>
        <w:t>  </w:t>
      </w:r>
      <w:r>
        <w:rPr>
          <w:rFonts w:hint="eastAsia" w:ascii="仿宋_GB2312" w:hAnsi="黑体" w:eastAsia="仿宋_GB2312" w:cs="宋体"/>
          <w:b/>
          <w:bCs/>
          <w:color w:val="333333"/>
          <w:szCs w:val="28"/>
        </w:rPr>
        <w:t>总 则</w:t>
      </w:r>
      <w:bookmarkEnd w:id="132"/>
      <w:r>
        <w:rPr>
          <w:rFonts w:hint="eastAsia" w:ascii="宋体" w:hAnsi="宋体" w:eastAsia="仿宋_GB2312"/>
          <w:color w:val="333333"/>
          <w:szCs w:val="28"/>
        </w:rPr>
        <w:t> </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 第一条  </w:t>
      </w:r>
      <w:r>
        <w:rPr>
          <w:rFonts w:hint="eastAsia" w:ascii="仿宋_GB2312" w:hAnsi="宋体" w:eastAsia="仿宋_GB2312" w:cs="宋体"/>
          <w:color w:val="333333"/>
          <w:szCs w:val="28"/>
        </w:rPr>
        <w:t>为规范学校采购活动质疑和投诉行为，确保采购活动公平竞争、合理运转，保护参加学校采购活动当事人的合法权益，根据《中华人民共和国政府采购法》《中华人 民共和国政府采购法实施条例》《中华人民共和国招标投标法》《中华人民共和国招标投标法实施条例》《政府采购质疑 和投诉办法》（财政部令第 94 号）和安徽省政府有关文件精神，结合学校实际，制定本办法。</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第二条</w:t>
      </w:r>
      <w:r>
        <w:rPr>
          <w:spacing w:val="98"/>
        </w:rPr>
        <w:t xml:space="preserve"> </w:t>
      </w:r>
      <w:r>
        <w:rPr>
          <w:rFonts w:hint="eastAsia" w:ascii="仿宋_GB2312" w:hAnsi="宋体" w:eastAsia="仿宋_GB2312" w:cs="宋体"/>
          <w:color w:val="333333"/>
          <w:szCs w:val="28"/>
        </w:rPr>
        <w:t>本办法适用于学校采购活动质疑的提出与答复、投诉的提起与处理。</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第三条</w:t>
      </w:r>
      <w:r>
        <w:rPr>
          <w:rFonts w:hint="eastAsia" w:ascii="仿宋_GB2312" w:hAnsi="宋体" w:eastAsia="仿宋_GB2312" w:cs="宋体"/>
          <w:color w:val="333333"/>
          <w:szCs w:val="28"/>
        </w:rPr>
        <w:t xml:space="preserve">  学校政府采购中的集中采购和分散采购项目质 疑的提出与答复和投诉的提起与处理遵照《政府采购质疑和投诉办法》（财政部令第 94 号）和安徽省有关规定执行。对 适用于招投标法的工程项目的异议的提出与答复、投诉与处理等，按照招投标法及实施条例和工程建设项目招标投标 活动投诉处理等规定执行。上级政策如有调整，按最新政策规定执行。</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第四条  </w:t>
      </w:r>
      <w:r>
        <w:rPr>
          <w:rFonts w:hint="eastAsia" w:ascii="仿宋_GB2312" w:hAnsi="宋体" w:eastAsia="仿宋_GB2312" w:cs="宋体"/>
          <w:color w:val="333333"/>
          <w:szCs w:val="28"/>
        </w:rPr>
        <w:t>供应商提出质疑和投诉应当坚持依法依规、诚实信用原则。</w:t>
      </w:r>
    </w:p>
    <w:p>
      <w:pPr>
        <w:pStyle w:val="11"/>
        <w:spacing w:after="0"/>
        <w:ind w:right="107"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第五条</w:t>
      </w:r>
      <w:r>
        <w:rPr>
          <w:rFonts w:hint="eastAsia" w:ascii="仿宋_GB2312" w:hAnsi="宋体" w:eastAsia="仿宋_GB2312" w:cs="宋体"/>
          <w:color w:val="333333"/>
          <w:szCs w:val="28"/>
        </w:rPr>
        <w:t xml:space="preserve">  采购质疑答复和投诉处理应当坚持依法依规、权责对等、公平公正、简便高效原则。</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第六条  </w:t>
      </w:r>
      <w:r>
        <w:rPr>
          <w:rFonts w:hint="eastAsia" w:ascii="仿宋_GB2312" w:hAnsi="宋体" w:eastAsia="仿宋_GB2312" w:cs="宋体"/>
          <w:color w:val="333333"/>
          <w:szCs w:val="28"/>
        </w:rPr>
        <w:t>在校内自主采购活动中，采购人负责供应商质疑答复。采购组织形式为学校统一采购的，由学校国有资产管理处（以下简称“国资处”）负责供应商质疑答复； 采购组织形式为部门自行采购的，由项目单位（采购项目所在的部门）负责供应商质疑答复；学校委托采购代理机构采购的，由采购代理机构在委托授权范围内作出答复。</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第七条</w:t>
      </w:r>
      <w:r>
        <w:rPr>
          <w:rFonts w:hint="eastAsia" w:ascii="仿宋_GB2312" w:hAnsi="宋体" w:eastAsia="仿宋_GB2312" w:cs="宋体"/>
          <w:color w:val="333333"/>
          <w:szCs w:val="28"/>
        </w:rPr>
        <w:t xml:space="preserve">  国资处、项目单位、采购代理机构应当在采购文件中载明接收质疑函和受理投诉的方式、联系部门、联系电话和通讯地址等信息。</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第八条</w:t>
      </w:r>
      <w:r>
        <w:tab/>
      </w:r>
      <w:r>
        <w:rPr>
          <w:rFonts w:hint="eastAsia"/>
        </w:rPr>
        <w:t xml:space="preserve"> </w:t>
      </w:r>
      <w:r>
        <w:rPr>
          <w:rFonts w:hint="eastAsia" w:ascii="仿宋_GB2312" w:hAnsi="宋体" w:eastAsia="仿宋_GB2312" w:cs="宋体"/>
          <w:color w:val="333333"/>
          <w:szCs w:val="28"/>
        </w:rPr>
        <w:t>供应商可以委托代理人进行质疑和投诉。其授权委托书应当载明代理人的姓名或者单位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第九条</w:t>
      </w:r>
      <w:r>
        <w:rPr>
          <w:spacing w:val="97"/>
        </w:rPr>
        <w:t xml:space="preserve"> </w:t>
      </w:r>
      <w:r>
        <w:rPr>
          <w:rFonts w:hint="eastAsia" w:ascii="仿宋_GB2312" w:hAnsi="宋体" w:eastAsia="仿宋_GB2312" w:cs="宋体"/>
          <w:color w:val="333333"/>
          <w:szCs w:val="28"/>
        </w:rPr>
        <w:t>以联合体形式参加学校采购活动的，其投诉应当由组成联合体的所有供应商共同提出。</w:t>
      </w:r>
    </w:p>
    <w:p>
      <w:pPr>
        <w:spacing w:before="240" w:beforeLines="100" w:after="240" w:afterLines="100"/>
        <w:jc w:val="center"/>
        <w:rPr>
          <w:rFonts w:ascii="仿宋_GB2312" w:hAnsi="黑体" w:eastAsia="仿宋_GB2312" w:cs="宋体"/>
          <w:b/>
          <w:bCs/>
          <w:color w:val="333333"/>
          <w:szCs w:val="28"/>
        </w:rPr>
      </w:pPr>
      <w:r>
        <w:rPr>
          <w:rFonts w:hint="eastAsia" w:ascii="仿宋_GB2312" w:hAnsi="黑体" w:eastAsia="仿宋_GB2312" w:cs="宋体"/>
          <w:b/>
          <w:bCs/>
          <w:color w:val="333333"/>
          <w:szCs w:val="28"/>
        </w:rPr>
        <w:t>第二章 质疑的提出</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第十条  </w:t>
      </w:r>
      <w:r>
        <w:rPr>
          <w:rFonts w:hint="eastAsia" w:ascii="仿宋_GB2312" w:hAnsi="宋体" w:eastAsia="仿宋_GB2312" w:cs="宋体"/>
          <w:color w:val="333333"/>
          <w:szCs w:val="28"/>
        </w:rPr>
        <w:t>校内自主采购活动中，供应商认为采购文件、采购过程、中标或者成交结果使自己的权益受到损害的，可以在知道或者应知其权益受到损害之日起 7 个工作日内，以书面形式向国资处、项目单位、采购代理机构提出质疑。采购文件可以要求供应商在质疑期内一次性提出针对同一采购程序环节的质疑。</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第十一条  </w:t>
      </w:r>
      <w:r>
        <w:rPr>
          <w:rFonts w:hint="eastAsia" w:ascii="仿宋_GB2312" w:hAnsi="宋体" w:eastAsia="仿宋_GB2312" w:cs="宋体"/>
          <w:color w:val="333333"/>
          <w:szCs w:val="28"/>
        </w:rPr>
        <w:t>校内自主采购活动中，提出质疑的供应商（以下简称质疑供应商）应当是参与所质疑项目采购活动的供应商。潜在供应商已依法依规获取其可质疑的采购文件的，可以对该文件提出质疑。对采购文件提出质疑的，应当在采购文件规定的时间内提出。</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第十二条  </w:t>
      </w:r>
      <w:r>
        <w:rPr>
          <w:rFonts w:hint="eastAsia" w:ascii="仿宋_GB2312" w:hAnsi="宋体" w:eastAsia="仿宋_GB2312" w:cs="宋体"/>
          <w:color w:val="333333"/>
          <w:szCs w:val="28"/>
        </w:rPr>
        <w:t>校内自主采购活动中，供应商提出质疑应当提交质疑函和必要的证明材料。质疑函应当包括下列内容：</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（一）供应商的姓名或者单位名称、地址、邮编、联系人及联系电话；</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（二）质疑项目的名称、编号；</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（三）具体、明确的质疑事项和与质疑事项相关的请求；</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（四）事实依据；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（五）必要的法律依据；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（六）提出质疑的日期。供应商为自然人的，应当由本人签字；供应商为法人或者其他组织的，应当由法定代表人、主要负责人，或者其授权代表签字或者盖章，并加盖公章。</w:t>
      </w:r>
    </w:p>
    <w:p>
      <w:pPr>
        <w:pStyle w:val="11"/>
        <w:spacing w:after="0"/>
        <w:ind w:right="259" w:firstLine="640"/>
      </w:pPr>
      <w:r>
        <w:rPr>
          <w:rFonts w:hint="eastAsia" w:ascii="仿宋_GB2312" w:hAnsi="宋体" w:eastAsia="仿宋_GB2312" w:cs="宋体"/>
          <w:b/>
          <w:bCs/>
          <w:color w:val="333333"/>
          <w:szCs w:val="28"/>
        </w:rPr>
        <w:t xml:space="preserve">第十三条  </w:t>
      </w:r>
      <w:r>
        <w:rPr>
          <w:rFonts w:hint="eastAsia" w:ascii="仿宋_GB2312" w:hAnsi="宋体" w:eastAsia="仿宋_GB2312" w:cs="宋体"/>
          <w:color w:val="333333"/>
          <w:szCs w:val="28"/>
        </w:rPr>
        <w:t>供应商的书面质疑如不符合本办法第十二条的规定，国资处、项目单位、采购代理机构应及时书面告知其补充或修改书面质疑材料的具体内容，并规定重新提交书面质疑的期限。</w:t>
      </w:r>
    </w:p>
    <w:p>
      <w:pPr>
        <w:spacing w:before="240" w:beforeLines="100" w:after="240" w:afterLines="100"/>
        <w:jc w:val="center"/>
        <w:rPr>
          <w:rFonts w:ascii="仿宋_GB2312" w:hAnsi="微软雅黑" w:eastAsia="仿宋_GB2312"/>
          <w:color w:val="3E3E3E"/>
          <w:szCs w:val="28"/>
        </w:rPr>
      </w:pPr>
      <w:r>
        <w:rPr>
          <w:rFonts w:hint="eastAsia" w:ascii="仿宋_GB2312" w:hAnsi="黑体" w:eastAsia="仿宋_GB2312"/>
          <w:b/>
          <w:color w:val="3E3E3E"/>
          <w:szCs w:val="28"/>
        </w:rPr>
        <w:t>第三章  质疑的答复</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第十四条  </w:t>
      </w:r>
      <w:r>
        <w:rPr>
          <w:rFonts w:hint="eastAsia" w:ascii="仿宋_GB2312" w:hAnsi="宋体" w:eastAsia="仿宋_GB2312" w:cs="Calibri"/>
          <w:color w:val="333333"/>
          <w:szCs w:val="28"/>
        </w:rPr>
        <w:t>校内自主采购活动中，国资处、项目单位、采购代理机构不得拒收质疑供应商在法定质疑期内发出的质疑函，应当在收到质疑函后 7 个工作日内作出答复，并以书面形式通知质疑供应商。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第十五条  </w:t>
      </w:r>
      <w:r>
        <w:rPr>
          <w:rFonts w:hint="eastAsia" w:ascii="仿宋_GB2312" w:hAnsi="宋体" w:eastAsia="仿宋_GB2312" w:cs="Calibri"/>
          <w:color w:val="333333"/>
          <w:szCs w:val="28"/>
        </w:rPr>
        <w:t>供应商的书面质疑属于下列情形之一的，国资处、项目单位、采购代理机构可不予受理，并以书面形式告知其不予受理的原因：</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（一）未通过资格审核，或未参与该采购项目活动的供应商；</w:t>
      </w:r>
    </w:p>
    <w:p>
      <w:pPr>
        <w:pStyle w:val="11"/>
        <w:spacing w:after="0"/>
        <w:ind w:right="247" w:firstLine="640"/>
        <w:rPr>
          <w:w w:val="99"/>
        </w:rPr>
      </w:pPr>
      <w:r>
        <w:rPr>
          <w:rFonts w:hint="eastAsia" w:ascii="仿宋_GB2312" w:hAnsi="宋体" w:eastAsia="仿宋_GB2312" w:cs="Calibri"/>
          <w:color w:val="333333"/>
          <w:szCs w:val="28"/>
        </w:rPr>
        <w:t>（二）已超过法律规定或采购文件约定的质疑期限。</w:t>
      </w:r>
      <w:r>
        <w:rPr>
          <w:w w:val="99"/>
        </w:rPr>
        <w:t xml:space="preserve"> </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第十六条  </w:t>
      </w:r>
      <w:r>
        <w:rPr>
          <w:rFonts w:hint="eastAsia" w:ascii="仿宋_GB2312" w:hAnsi="宋体" w:eastAsia="仿宋_GB2312" w:cs="Calibri"/>
          <w:color w:val="333333"/>
          <w:szCs w:val="28"/>
        </w:rPr>
        <w:t>国资处、项目单位可就供应商的质疑事项进行调查取证，有关当事人应当如实反映情况和提供有关材料。</w:t>
      </w:r>
    </w:p>
    <w:p>
      <w:pPr>
        <w:pStyle w:val="11"/>
        <w:spacing w:after="0"/>
        <w:ind w:right="10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第十七条  </w:t>
      </w:r>
      <w:r>
        <w:rPr>
          <w:rFonts w:hint="eastAsia" w:ascii="仿宋_GB2312" w:hAnsi="宋体" w:eastAsia="仿宋_GB2312" w:cs="Calibri"/>
          <w:color w:val="333333"/>
          <w:szCs w:val="28"/>
        </w:rPr>
        <w:t>校内自主采购活动中，供应商对评审过程、中标或者成交结果提出质疑的，国资处、项目单位、采购代理机构可以组织原采购评审小组共同答复质疑。</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第十八条  </w:t>
      </w:r>
      <w:r>
        <w:rPr>
          <w:rFonts w:hint="eastAsia" w:ascii="仿宋_GB2312" w:hAnsi="宋体" w:eastAsia="仿宋_GB2312" w:cs="Calibri"/>
          <w:color w:val="333333"/>
          <w:szCs w:val="28"/>
        </w:rPr>
        <w:t>校内自主采购活动中，质疑答复应当包括下列内容：</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（一）质疑供应商的姓名或者单位名称；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（二）收到质疑函的日期、质疑项目名称及编号；</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（三）质疑事项、质疑答复的具体内容、事实依据和法律及相关政策规定等依据；</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（四）告知质疑供应商依法投诉的权利；</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（五）质疑答复人名称；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（六）答复质疑的日期。</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质疑答复的内容不得涉及商业秘密。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第十九条  </w:t>
      </w:r>
      <w:r>
        <w:rPr>
          <w:rFonts w:hint="eastAsia" w:ascii="仿宋_GB2312" w:hAnsi="宋体" w:eastAsia="仿宋_GB2312" w:cs="Calibri"/>
          <w:color w:val="333333"/>
          <w:szCs w:val="28"/>
        </w:rPr>
        <w:t>校内自主采购活动中，国资处、项目单位、采购代理机构认为供应商质疑不成立，或者成立但未对中标、成交结果构成影响的，继续开展采购活动；认为供应商质疑成立且影响或者可能影响中标、成交结果的，按照下列情况处理：</w:t>
      </w:r>
    </w:p>
    <w:p>
      <w:pPr>
        <w:pStyle w:val="11"/>
        <w:spacing w:after="0"/>
        <w:ind w:right="247" w:firstLine="480"/>
        <w:rPr>
          <w:rFonts w:ascii="仿宋_GB2312" w:hAnsi="宋体" w:eastAsia="仿宋_GB2312" w:cs="Calibri"/>
          <w:color w:val="333333"/>
          <w:szCs w:val="28"/>
        </w:rPr>
      </w:pPr>
      <w:r>
        <w:rPr>
          <w:rFonts w:hint="eastAsia" w:ascii="仿宋_GB2312" w:hAnsi="宋体" w:eastAsia="仿宋_GB2312" w:cs="Calibri"/>
          <w:color w:val="333333"/>
          <w:szCs w:val="28"/>
        </w:rPr>
        <w:t>（一）对采购文件提出的质疑，依法通过澄清或者修改可以继续开展采购活动的，澄清或者修改采购文件后继续开展采购活动；否则应当修改采购文件后重新开展采购活动；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11"/>
        <w:spacing w:after="0"/>
        <w:ind w:firstLine="640"/>
        <w:jc w:val="left"/>
        <w:rPr>
          <w:rFonts w:ascii="仿宋_GB2312" w:hAnsi="宋体" w:eastAsia="仿宋_GB2312" w:cs="Calibri"/>
          <w:color w:val="333333"/>
          <w:szCs w:val="28"/>
        </w:rPr>
      </w:pPr>
      <w:r>
        <w:rPr>
          <w:rFonts w:hint="eastAsia" w:ascii="仿宋_GB2312" w:hAnsi="宋体" w:eastAsia="仿宋_GB2312" w:cs="Calibri"/>
          <w:color w:val="333333"/>
          <w:szCs w:val="28"/>
        </w:rPr>
        <w:t>质疑答复导致中标、成交结果改变的，国资处、项目单位应当将有关情况书面报告纪委办公室。</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第四章  投诉的提起</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第二十条  </w:t>
      </w:r>
      <w:r>
        <w:rPr>
          <w:rFonts w:hint="eastAsia" w:ascii="仿宋_GB2312" w:hAnsi="宋体" w:eastAsia="仿宋_GB2312" w:cs="Calibri"/>
          <w:color w:val="333333"/>
          <w:szCs w:val="28"/>
        </w:rPr>
        <w:t>校内自主采购活动中，校纪委办公室负责接收和处理供应商的投诉。质疑供应商对国资处、项目单位、采购代理机构的答复不满意，或者国资处、项目单位、采购代理机构未在规定时间内作出答复的，可以在答复期满后7个工作日内向学校纪委办公室提起投诉。国资处、项目单位、采购代理机构在采购活动中未正常履职、存在违规违纪行为的，可向学校纪委办公室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第二十一条</w:t>
      </w:r>
      <w:r>
        <w:tab/>
      </w:r>
      <w:r>
        <w:rPr>
          <w:rFonts w:hint="eastAsia" w:ascii="仿宋_GB2312" w:hAnsi="宋体" w:eastAsia="仿宋_GB2312" w:cs="Calibri"/>
          <w:color w:val="333333"/>
          <w:szCs w:val="28"/>
        </w:rPr>
        <w:t>校内自主采购活动中，投诉人投诉时,应当提交投诉书和必要的证明材料。投诉书应当包括下列内容：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 址、邮编、联系人及联系电话；</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（二）质疑和质疑答复情况说明及相关证明材料；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（三）具体、明确的投诉事项和与投诉事项相关的投诉请求；</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（四）事实依据；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（五）法律依据；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 xml:space="preserve">（六）提起投诉的日期。 </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投诉人为自然人的，应当由本人签字；投诉人为法人或者其他组织的，应当由法定代表人、主要负责人，或者其授权代表签字或者盖章，并加盖公章。</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第二十二条</w:t>
      </w:r>
      <w:r>
        <w:tab/>
      </w:r>
      <w:r>
        <w:rPr>
          <w:rFonts w:hint="eastAsia" w:ascii="仿宋_GB2312" w:hAnsi="宋体" w:eastAsia="仿宋_GB2312" w:cs="Calibri"/>
          <w:color w:val="333333"/>
          <w:szCs w:val="28"/>
        </w:rPr>
        <w:t>投诉人应当根据本办法第七条规定的信息内容，并按照其规定的方式提起投诉。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投诉人提起投诉应当符合下列条件：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（一）提起投诉前已依法、依规进行质疑；</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（二）投诉书内容符合本办法的规定；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（三）在投诉有效期限内提起投诉；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（四）同一投诉事项未经投诉处理。</w:t>
      </w:r>
    </w:p>
    <w:p>
      <w:pPr>
        <w:pStyle w:val="11"/>
        <w:tabs>
          <w:tab w:val="left" w:pos="2762"/>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第二十三条  </w:t>
      </w:r>
      <w:r>
        <w:rPr>
          <w:rFonts w:hint="eastAsia" w:ascii="仿宋_GB2312" w:hAnsi="宋体" w:eastAsia="仿宋_GB2312" w:cs="Calibri"/>
          <w:color w:val="333333"/>
          <w:szCs w:val="28"/>
        </w:rPr>
        <w:t>供应商投诉的事项不得超出已质疑事项的范围，但基于质疑答复内容提出的投诉事项除外。</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第五章  投诉的处理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第二十四条  </w:t>
      </w:r>
      <w:r>
        <w:rPr>
          <w:rFonts w:hint="eastAsia" w:ascii="仿宋_GB2312" w:hAnsi="宋体" w:eastAsia="仿宋_GB2312" w:cs="Calibri"/>
          <w:color w:val="333333"/>
          <w:szCs w:val="28"/>
        </w:rPr>
        <w:t>纪委办公室收到投诉书后，应当在 5 个工作日内进行审查，审查后按照下列情况处理：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（一）投诉书内容不符合本办法第二十一条规定的，应当在收到投诉书 5 个工作日内一次性书面通知投诉人补正。补正通知应当载明需要补正的事项和合理的补正期限。未按照补正期限进行补正或者补正后仍不符合规定的，不予受理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（二）投诉不符合本办法第二十二条规定条件的，应当在 3 个工作日内书面告知投诉人不予受理，并说明理由；</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（三）投诉不属于本部门管辖的，应当在 3 个工作日内书面告知投诉人向有管辖权的部门提起投诉；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（四）投诉符合本办法第二十一条、第二十二条规定的，自收到投诉书之日起即为受理，并在收到投诉后 8 个工作日 内向被投诉人和其他与投诉事项有关的当事人发出投诉答复通知书及投诉书副本。</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第二十五条</w:t>
      </w:r>
      <w:r>
        <w:rPr>
          <w:spacing w:val="99"/>
        </w:rPr>
        <w:t xml:space="preserve"> </w:t>
      </w:r>
      <w:r>
        <w:rPr>
          <w:rFonts w:hint="eastAsia" w:ascii="仿宋_GB2312" w:hAnsi="宋体" w:eastAsia="仿宋_GB2312" w:cs="Calibri"/>
          <w:color w:val="333333"/>
          <w:szCs w:val="28"/>
        </w:rPr>
        <w:t>国资处、项目单位和其他与投诉事项有关的当事人应当在收到投诉答复通知书及投诉书副本之日起 5 个工作日内，以书面形式向纪委办公室作出说明，并提交相关证据、依据和其他有关材料。</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第二十六条</w:t>
      </w:r>
      <w:r>
        <w:rPr>
          <w:spacing w:val="124"/>
        </w:rPr>
        <w:t xml:space="preserve"> </w:t>
      </w:r>
      <w:r>
        <w:rPr>
          <w:rFonts w:hint="eastAsia" w:ascii="仿宋_GB2312" w:hAnsi="宋体" w:eastAsia="仿宋_GB2312" w:cs="Calibri"/>
          <w:color w:val="333333"/>
          <w:szCs w:val="28"/>
        </w:rPr>
        <w:t>纪委办公室处理投诉事项原则上采用书面审查的方式。纪委办公室认为有必要时，可以进行调查取证或者组织质证。</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第二十七条</w:t>
      </w:r>
      <w:r>
        <w:rPr>
          <w:spacing w:val="101"/>
        </w:rPr>
        <w:t xml:space="preserve"> </w:t>
      </w:r>
      <w:r>
        <w:rPr>
          <w:rFonts w:hint="eastAsia" w:ascii="仿宋_GB2312" w:hAnsi="宋体" w:eastAsia="仿宋_GB2312" w:cs="Calibri"/>
          <w:color w:val="333333"/>
          <w:szCs w:val="28"/>
        </w:rPr>
        <w:t>纪委办公室可以根据法律、法规规定或者职责权限，委托相关单位或者第三方开展调查取证、检验、检测、鉴定。质证应当通知相关当事人到场，并制作质证笔录。质证笔录应当由当事人签字确认。</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第二十八条</w:t>
      </w:r>
      <w:r>
        <w:rPr>
          <w:spacing w:val="98"/>
        </w:rPr>
        <w:t xml:space="preserve"> </w:t>
      </w:r>
      <w:r>
        <w:rPr>
          <w:rFonts w:hint="eastAsia" w:ascii="仿宋_GB2312" w:hAnsi="宋体" w:eastAsia="仿宋_GB2312" w:cs="Calibri"/>
          <w:color w:val="333333"/>
          <w:szCs w:val="28"/>
        </w:rPr>
        <w:t>纪委办公室依法、依规进行调查取证时，投诉人、国资处、项目单位以及与投诉事项有关的部门及人员应当如实反映情况，并提供纪委办公室所需要的相关材料。</w:t>
      </w:r>
    </w:p>
    <w:p>
      <w:pPr>
        <w:pStyle w:val="11"/>
        <w:spacing w:after="0"/>
        <w:ind w:right="101"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第二十九条</w:t>
      </w:r>
      <w:r>
        <w:rPr>
          <w:spacing w:val="116"/>
        </w:rPr>
        <w:t xml:space="preserve"> </w:t>
      </w:r>
      <w:r>
        <w:rPr>
          <w:rFonts w:hint="eastAsia" w:ascii="仿宋_GB2312" w:hAnsi="宋体" w:eastAsia="仿宋_GB2312" w:cs="Calibri"/>
          <w:color w:val="333333"/>
          <w:szCs w:val="28"/>
        </w:rPr>
        <w:t>应当由投诉人承担举证责任的投诉事项， 投诉人未提供相关证据、依据和其他有关材料的，视为该投诉事项不成立；国资处、项目单位以及与投诉事项有关的部门及人员未按照投诉答复通知书要求提交相关证据、依据和其他有关材料的，视同其放弃说明权利，依法承担不利后果。</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第三十条 </w:t>
      </w:r>
      <w:r>
        <w:rPr>
          <w:rFonts w:hint="eastAsia" w:ascii="仿宋_GB2312" w:hAnsi="宋体" w:eastAsia="仿宋_GB2312" w:cs="Calibri"/>
          <w:color w:val="333333"/>
          <w:szCs w:val="28"/>
        </w:rPr>
        <w:t>纪委办公室应当自收到投诉之日起 30 个工作日内，对投诉事项作出处理决定。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第三十一条</w:t>
      </w:r>
      <w:r>
        <w:rPr>
          <w:spacing w:val="100"/>
        </w:rPr>
        <w:t xml:space="preserve"> </w:t>
      </w:r>
      <w:r>
        <w:rPr>
          <w:rFonts w:hint="eastAsia" w:ascii="仿宋_GB2312" w:hAnsi="宋体" w:eastAsia="仿宋_GB2312" w:cs="Calibri"/>
          <w:color w:val="333333"/>
          <w:szCs w:val="28"/>
        </w:rPr>
        <w:t>纪委办公室处理投诉事项，需要检验、检测、鉴定、专家评审以及需要投诉人补正材料的，所需时间不计算在投诉处理期限内。前款所称所需时间，是指纪委办公室向相关单位、第三方、投诉人发出相关文书、补正通知之日至收到相关反馈文书或材料之日。纪委办公室向相关单位、第三方开展检验、检测、鉴定、专家评审的，应当将所需时间告知投诉人。</w:t>
      </w:r>
    </w:p>
    <w:p>
      <w:pPr>
        <w:pStyle w:val="11"/>
        <w:spacing w:after="0"/>
        <w:ind w:right="259"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第三十二条</w:t>
      </w:r>
      <w:r>
        <w:rPr>
          <w:spacing w:val="99"/>
        </w:rPr>
        <w:t xml:space="preserve"> </w:t>
      </w:r>
      <w:r>
        <w:rPr>
          <w:rFonts w:hint="eastAsia" w:ascii="仿宋_GB2312" w:hAnsi="宋体" w:eastAsia="仿宋_GB2312" w:cs="Calibri"/>
          <w:color w:val="333333"/>
          <w:szCs w:val="28"/>
        </w:rPr>
        <w:t>纪委办公室在处理投诉事项期间，可以视具体情况书面通知国资处、项目单位、采购代理机构暂停采购活动，暂停采购活动时间最长不得超过 30 日。</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国资处、项目单位、采购代理机构收到暂停采购活动通知后应当立即中止采购活动，在法定的暂停期限结束前或者 纪委办公室发出恢复采购活动通知前，不得进行该项采购活动。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第三十三条</w:t>
      </w:r>
      <w:r>
        <w:rPr>
          <w:spacing w:val="100"/>
        </w:rPr>
        <w:t xml:space="preserve"> </w:t>
      </w:r>
      <w:r>
        <w:rPr>
          <w:rFonts w:hint="eastAsia" w:ascii="仿宋_GB2312" w:hAnsi="宋体" w:eastAsia="仿宋_GB2312" w:cs="Calibri"/>
          <w:color w:val="333333"/>
          <w:szCs w:val="28"/>
        </w:rPr>
        <w:t>投诉处理过程中，有下列情形之一的，纪委办公室应当驳回投诉：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（一）发现投诉不符合受理条件；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（二）投诉事项缺乏事实依据，投诉事项不成立；</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（三）投诉人捏造事实或者提供虚假材料；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（四）投诉人以非法手段取得证明材料。证据来源的合法性存在明显疑问，投诉人无法证明其取得方式合法的，视为以非法手段取得证明材料。</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第三十四条  </w:t>
      </w:r>
      <w:r>
        <w:rPr>
          <w:rFonts w:hint="eastAsia" w:ascii="仿宋_GB2312" w:hAnsi="宋体" w:eastAsia="仿宋_GB2312" w:cs="Calibri"/>
          <w:color w:val="333333"/>
          <w:szCs w:val="28"/>
        </w:rPr>
        <w:t>纪委办公室受理投诉后,投诉人书面申请撤回投诉的，纪委办公室应当终止投诉处理程序，并书面告知相关当事人。</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第三十五条  </w:t>
      </w:r>
      <w:r>
        <w:rPr>
          <w:rFonts w:hint="eastAsia" w:ascii="仿宋_GB2312" w:hAnsi="宋体" w:eastAsia="仿宋_GB2312" w:cs="Calibri"/>
          <w:color w:val="333333"/>
          <w:szCs w:val="28"/>
        </w:rPr>
        <w:t>投诉人对采购文件提起的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第三十六条  </w:t>
      </w:r>
      <w:r>
        <w:rPr>
          <w:rFonts w:hint="eastAsia" w:ascii="仿宋_GB2312" w:hAnsi="宋体" w:eastAsia="仿宋_GB2312" w:cs="Calibri"/>
          <w:color w:val="333333"/>
          <w:szCs w:val="28"/>
        </w:rPr>
        <w:t>投诉人对采购过程或者采购结果提起的 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（四）采购合同已经履行，给他人造成损失的，相关当事人可依法提起诉讼,由责任人承担赔偿责任。投诉人对废标行为提起的投诉事项成立的，纪委办公室应当认定废标行为无效。</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第三十七条  </w:t>
      </w:r>
      <w:r>
        <w:rPr>
          <w:rFonts w:hint="eastAsia" w:ascii="仿宋_GB2312" w:hAnsi="宋体" w:eastAsia="仿宋_GB2312" w:cs="Calibri"/>
          <w:color w:val="333333"/>
          <w:szCs w:val="28"/>
        </w:rPr>
        <w:t>纪委办公室作出处理决定，应当制作投诉处理决定书，并加盖公章。投诉处理决定书应当包括下列内容：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（一）投诉人和被投诉人的姓名或者单位名称、通讯地址等；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（二）处理决定查明的事实和相关依据，具体处理决定和法律依据；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（三）告知相关当事人向上级主管部门投诉或提起民事诉讼的权利；</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（四）作出处理决定的日期。</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第三十八条  </w:t>
      </w:r>
      <w:r>
        <w:rPr>
          <w:rFonts w:hint="eastAsia" w:ascii="仿宋_GB2312" w:hAnsi="宋体" w:eastAsia="仿宋_GB2312" w:cs="Calibri"/>
          <w:color w:val="333333"/>
          <w:szCs w:val="28"/>
        </w:rPr>
        <w:t>纪委办公室应当将投诉处理决定书送达投诉人和与投诉事项有关的当事人，并及时将投诉处理结果在校园网公告。</w:t>
      </w:r>
    </w:p>
    <w:p>
      <w:pPr>
        <w:pStyle w:val="11"/>
        <w:tabs>
          <w:tab w:val="left" w:pos="2680"/>
        </w:tabs>
        <w:spacing w:after="0"/>
        <w:ind w:firstLine="562" w:firstLineChars="20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第三十九条  </w:t>
      </w:r>
      <w:r>
        <w:rPr>
          <w:rFonts w:hint="eastAsia" w:ascii="仿宋_GB2312" w:hAnsi="宋体" w:eastAsia="仿宋_GB2312" w:cs="Calibri"/>
          <w:color w:val="333333"/>
          <w:szCs w:val="28"/>
        </w:rPr>
        <w:t>纪委办公室应当完善投诉处理档案管理。</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第六章  法律责任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第四十条  </w:t>
      </w:r>
      <w:r>
        <w:rPr>
          <w:rFonts w:hint="eastAsia" w:ascii="仿宋_GB2312" w:hAnsi="宋体" w:eastAsia="仿宋_GB2312" w:cs="Calibri"/>
          <w:color w:val="333333"/>
          <w:szCs w:val="28"/>
        </w:rPr>
        <w:t>国资处、项目部门、采购代理机构有下列情形之一的，由纪委办公室责令限期改正；情节严重的，给予警告，对直接负责的主管人员和其他直接责任人员依法依规追究相应责任：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（一）拒收质疑供应商在质疑期内发出的质疑函；</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（二）对质疑不予答复或者答复与事实明显不符，并不能作出合理说明；</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（三）拒绝配合纪委办公室处理投诉事宜。</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第四十一条</w:t>
      </w:r>
      <w:r>
        <w:tab/>
      </w:r>
      <w:r>
        <w:rPr>
          <w:rFonts w:hint="eastAsia"/>
        </w:rPr>
        <w:t xml:space="preserve">  </w:t>
      </w:r>
      <w:r>
        <w:rPr>
          <w:rFonts w:hint="eastAsia" w:ascii="仿宋_GB2312" w:hAnsi="宋体" w:eastAsia="仿宋_GB2312" w:cs="Calibri"/>
          <w:color w:val="333333"/>
          <w:szCs w:val="28"/>
        </w:rPr>
        <w:t>投诉人在学校采购活动中 12 个月内三次以上投诉查无实据的，列入不良行为记录名单。</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投诉人有下列行为之一的，属于虚假、恶意投诉，由国资处、项目单位、纪委办公室列入不良行为记录名单，禁止 其 1 至 3 年内参加学校采购活动：</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（一）捏造事实;</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（二）提供虚假材料;</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（三）以非法手段取得证明材料。证据来源的合法性存在明显疑问，投诉人无法证明其取得方式合法的，视为以非法手段取得证明材料。</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第四十二条  </w:t>
      </w:r>
      <w:r>
        <w:rPr>
          <w:rFonts w:hint="eastAsia" w:ascii="仿宋_GB2312" w:hAnsi="宋体" w:eastAsia="仿宋_GB2312" w:cs="Calibri"/>
          <w:color w:val="333333"/>
          <w:szCs w:val="28"/>
        </w:rPr>
        <w:t xml:space="preserve">国资处、项目单位在处理质疑过程中，发现采购当事人有违法违规行为的，应在规定的权限范围内及时给予处理；无权处理的，应移交有关部门依法依规处理。 </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第四十三条  </w:t>
      </w:r>
      <w:r>
        <w:rPr>
          <w:rFonts w:hint="eastAsia" w:ascii="仿宋_GB2312" w:hAnsi="宋体" w:eastAsia="仿宋_GB2312" w:cs="Calibri"/>
          <w:color w:val="333333"/>
          <w:szCs w:val="28"/>
        </w:rPr>
        <w:t>国资处、项目单位和纪委办公室的工作人员在处理质疑、投诉过程中违反本办法规定及存在滥用职 权、玩忽职守、徇私舞弊等行为的，学校将依法依规追究其相应责任。</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第七章  附则</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第四十四条  </w:t>
      </w:r>
      <w:r>
        <w:rPr>
          <w:rFonts w:hint="eastAsia" w:ascii="仿宋_GB2312" w:hAnsi="宋体" w:eastAsia="仿宋_GB2312" w:cs="Calibri"/>
          <w:color w:val="333333"/>
          <w:szCs w:val="28"/>
        </w:rPr>
        <w:t>质疑函和投诉书应当使用中文。质疑和投诉文本采用我校制定的范本。</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第四十五条  </w:t>
      </w:r>
      <w:r>
        <w:rPr>
          <w:rFonts w:hint="eastAsia" w:ascii="仿宋_GB2312" w:hAnsi="宋体" w:eastAsia="仿宋_GB2312" w:cs="Calibri"/>
          <w:color w:val="333333"/>
          <w:szCs w:val="28"/>
        </w:rPr>
        <w:t xml:space="preserve">本办法由学校国有资产管理处负责解释。 </w:t>
      </w:r>
    </w:p>
    <w:p>
      <w:pPr>
        <w:pStyle w:val="11"/>
        <w:tabs>
          <w:tab w:val="left" w:pos="2680"/>
        </w:tabs>
        <w:spacing w:after="0"/>
        <w:ind w:right="122" w:firstLine="640"/>
        <w:jc w:val="left"/>
        <w:rPr>
          <w:rFonts w:ascii="仿宋_GB2312" w:hAnsi="宋体" w:eastAsia="仿宋_GB2312" w:cs="Calibri"/>
          <w:color w:val="333333"/>
          <w:szCs w:val="28"/>
        </w:rPr>
        <w:sectPr>
          <w:pgSz w:w="11906" w:h="16840"/>
          <w:pgMar w:top="1500" w:right="1680" w:bottom="1260" w:left="1680" w:header="0" w:footer="1080" w:gutter="0"/>
          <w:cols w:space="720" w:num="1"/>
        </w:sectPr>
      </w:pPr>
      <w:r>
        <w:rPr>
          <w:rFonts w:hint="eastAsia" w:ascii="仿宋_GB2312" w:hAnsi="宋体" w:eastAsia="仿宋_GB2312" w:cs="宋体"/>
          <w:b/>
          <w:bCs/>
          <w:color w:val="333333"/>
          <w:szCs w:val="28"/>
        </w:rPr>
        <w:t xml:space="preserve">第四十六条  </w:t>
      </w:r>
      <w:r>
        <w:rPr>
          <w:rFonts w:hint="eastAsia" w:ascii="仿宋_GB2312" w:hAnsi="宋体" w:eastAsia="仿宋_GB2312" w:cs="Calibri"/>
          <w:color w:val="333333"/>
          <w:szCs w:val="28"/>
        </w:rPr>
        <w:t>本办法自发布之日起施行，《皖南医学院采购质疑与投诉办法（试行）》（校政〔2018〕69 号）同时废止。</w:t>
      </w:r>
    </w:p>
    <w:p>
      <w:pPr>
        <w:rPr>
          <w:rFonts w:ascii="仿宋_GB2312" w:hAnsi="宋体" w:eastAsia="仿宋_GB2312"/>
          <w:b/>
          <w:szCs w:val="28"/>
        </w:rPr>
      </w:pPr>
      <w:r>
        <w:rPr>
          <w:rFonts w:hint="eastAsia" w:ascii="仿宋_GB2312" w:hAnsi="宋体" w:eastAsia="仿宋_GB2312"/>
          <w:b/>
          <w:szCs w:val="28"/>
        </w:rPr>
        <w:t>附件5：</w:t>
      </w:r>
    </w:p>
    <w:p>
      <w:pPr>
        <w:jc w:val="center"/>
        <w:rPr>
          <w:rFonts w:ascii="仿宋_GB2312" w:hAnsi="仿宋" w:eastAsia="仿宋_GB2312" w:cs="仿宋"/>
          <w:b/>
          <w:bCs/>
          <w:szCs w:val="28"/>
        </w:rPr>
      </w:pPr>
      <w:r>
        <w:rPr>
          <w:rFonts w:hint="eastAsia" w:ascii="仿宋_GB2312" w:hAnsi="仿宋" w:eastAsia="仿宋_GB2312" w:cs="仿宋"/>
          <w:b/>
          <w:bCs/>
          <w:szCs w:val="28"/>
        </w:rPr>
        <w:t>质疑函范本</w:t>
      </w:r>
    </w:p>
    <w:p>
      <w:pPr>
        <w:adjustRightInd w:val="0"/>
        <w:snapToGrid w:val="0"/>
        <w:spacing w:before="312" w:beforeLines="100" w:line="240" w:lineRule="atLeast"/>
        <w:rPr>
          <w:rFonts w:ascii="仿宋_GB2312" w:hAnsi="黑体" w:eastAsia="仿宋_GB2312" w:cs="仿宋"/>
          <w:bCs/>
          <w:szCs w:val="28"/>
        </w:rPr>
      </w:pPr>
      <w:r>
        <w:rPr>
          <w:rFonts w:hint="eastAsia" w:ascii="仿宋_GB2312" w:hAnsi="黑体" w:eastAsia="仿宋_GB2312" w:cs="仿宋"/>
          <w:bCs/>
          <w:szCs w:val="28"/>
        </w:rPr>
        <w:t>一、质疑供应商基本信息</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质疑供应商：</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地址：</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联系人：</w:t>
      </w:r>
      <w:r>
        <w:rPr>
          <w:rFonts w:hint="eastAsia" w:ascii="仿宋_GB2312" w:hAnsi="仿宋" w:eastAsia="仿宋_GB2312" w:cs="仿宋"/>
          <w:szCs w:val="28"/>
          <w:u w:val="dotted"/>
        </w:rPr>
        <w:t xml:space="preserve">                      </w:t>
      </w: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授权代表：</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r>
        <w:rPr>
          <w:rFonts w:hint="eastAsia" w:ascii="仿宋_GB2312" w:hAnsi="仿宋" w:eastAsia="仿宋_GB2312" w:cs="仿宋"/>
          <w:szCs w:val="28"/>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 xml:space="preserve">地址： </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二、质疑项目基本情况</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质疑项目的编号：</w:t>
      </w:r>
      <w:r>
        <w:rPr>
          <w:rFonts w:hint="eastAsia" w:ascii="仿宋_GB2312" w:hAnsi="仿宋" w:eastAsia="仿宋_GB2312" w:cs="仿宋"/>
          <w:szCs w:val="28"/>
          <w:u w:val="dotted"/>
        </w:rPr>
        <w:t xml:space="preserve">               </w:t>
      </w:r>
      <w:r>
        <w:rPr>
          <w:rFonts w:hint="eastAsia" w:ascii="仿宋_GB2312" w:hAnsi="仿宋" w:eastAsia="仿宋_GB2312" w:cs="仿宋"/>
          <w:szCs w:val="28"/>
        </w:rPr>
        <w:t>包号：</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采购人名称：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采购文件获取日期：</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三、质疑事项具体内容</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质疑事项1：</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事实依据：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法律依据：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质疑事项2</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四、与质疑事项相关的质疑请求</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请求：</w:t>
      </w:r>
      <w:r>
        <w:rPr>
          <w:rFonts w:hint="eastAsia" w:ascii="仿宋_GB2312" w:hAnsi="仿宋" w:eastAsia="仿宋_GB2312" w:cs="仿宋"/>
          <w:szCs w:val="28"/>
          <w:u w:val="dotted"/>
        </w:rPr>
        <w:t xml:space="preserve">                                               </w:t>
      </w:r>
    </w:p>
    <w:p>
      <w:pPr>
        <w:spacing w:line="240" w:lineRule="atLeast"/>
        <w:rPr>
          <w:rFonts w:ascii="仿宋_GB2312" w:eastAsia="仿宋_GB2312"/>
          <w:szCs w:val="28"/>
        </w:rPr>
      </w:pPr>
      <w:r>
        <w:rPr>
          <w:rFonts w:hint="eastAsia" w:ascii="仿宋_GB2312" w:eastAsia="仿宋_GB2312"/>
          <w:szCs w:val="28"/>
        </w:rPr>
        <w:t xml:space="preserve">签字(签章)：                   公章：                      </w:t>
      </w:r>
    </w:p>
    <w:p>
      <w:pPr>
        <w:spacing w:line="240" w:lineRule="atLeast"/>
        <w:rPr>
          <w:rFonts w:ascii="仿宋_GB2312" w:eastAsia="仿宋_GB2312"/>
          <w:szCs w:val="28"/>
        </w:rPr>
      </w:pPr>
      <w:r>
        <w:rPr>
          <w:rFonts w:hint="eastAsia" w:ascii="仿宋_GB2312" w:eastAsia="仿宋_GB2312"/>
          <w:szCs w:val="28"/>
        </w:rPr>
        <w:t xml:space="preserve">日期：    </w:t>
      </w:r>
    </w:p>
    <w:p>
      <w:pPr>
        <w:adjustRightInd w:val="0"/>
        <w:snapToGrid w:val="0"/>
        <w:spacing w:line="360" w:lineRule="auto"/>
        <w:rPr>
          <w:rFonts w:ascii="仿宋_GB2312" w:hAnsi="仿宋" w:eastAsia="仿宋_GB2312" w:cs="仿宋"/>
          <w:szCs w:val="28"/>
        </w:rPr>
      </w:pPr>
    </w:p>
    <w:p>
      <w:pPr>
        <w:adjustRightInd w:val="0"/>
        <w:snapToGrid w:val="0"/>
        <w:spacing w:line="360" w:lineRule="auto"/>
        <w:rPr>
          <w:rFonts w:ascii="仿宋_GB2312" w:hAnsi="仿宋" w:eastAsia="仿宋_GB2312" w:cs="仿宋"/>
          <w:szCs w:val="28"/>
        </w:rPr>
      </w:pPr>
    </w:p>
    <w:p>
      <w:pPr>
        <w:jc w:val="center"/>
        <w:rPr>
          <w:rFonts w:ascii="仿宋_GB2312" w:hAnsi="仿宋" w:eastAsia="仿宋_GB2312" w:cs="仿宋"/>
          <w:b/>
          <w:bCs/>
          <w:szCs w:val="28"/>
        </w:rPr>
      </w:pPr>
    </w:p>
    <w:p>
      <w:pPr>
        <w:rPr>
          <w:rFonts w:ascii="仿宋_GB2312" w:hAnsi="黑体" w:eastAsia="仿宋_GB2312"/>
          <w:b/>
          <w:szCs w:val="28"/>
        </w:rPr>
      </w:pP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质疑函制作说明：</w:t>
      </w:r>
    </w:p>
    <w:p>
      <w:pPr>
        <w:widowControl/>
        <w:ind w:firstLine="560" w:firstLineChars="200"/>
        <w:jc w:val="left"/>
        <w:rPr>
          <w:rFonts w:ascii="仿宋_GB2312" w:eastAsia="仿宋_GB2312"/>
          <w:szCs w:val="28"/>
        </w:rPr>
      </w:pPr>
      <w:r>
        <w:rPr>
          <w:rFonts w:hint="eastAsia" w:ascii="仿宋_GB2312" w:eastAsia="仿宋_GB2312"/>
          <w:szCs w:val="28"/>
        </w:rPr>
        <w:t>1.供应商提出质疑时，应提交质疑函和必要的证明材料。</w:t>
      </w:r>
    </w:p>
    <w:p>
      <w:pPr>
        <w:widowControl/>
        <w:ind w:firstLine="560" w:firstLineChars="200"/>
        <w:jc w:val="left"/>
        <w:rPr>
          <w:rFonts w:ascii="仿宋_GB2312" w:eastAsia="仿宋_GB2312"/>
          <w:szCs w:val="28"/>
        </w:rPr>
      </w:pPr>
      <w:r>
        <w:rPr>
          <w:rFonts w:hint="eastAsia" w:ascii="仿宋_GB2312" w:eastAsia="仿宋_GB2312"/>
          <w:szCs w:val="28"/>
        </w:rPr>
        <w:t>2.质疑供应商若委托代理人进行质疑的，质疑函应按要求列明“授权代表”的有关内容，并在附件中提交由质疑</w:t>
      </w:r>
      <w:r>
        <w:rPr>
          <w:rFonts w:hint="eastAsia" w:ascii="仿宋_GB2312" w:hAnsi="宋体" w:eastAsia="仿宋_GB2312" w:cs="宋体"/>
          <w:kern w:val="0"/>
          <w:szCs w:val="28"/>
        </w:rPr>
        <w:t>供应商签署的授权委托书。授权委托书应载明代理人的姓名或者名称、代理事项、具体权限、期限和相关事项。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3.质疑供应商若对项目的某一分包进行质疑，质疑函中应列明具体分包号。</w:t>
      </w:r>
    </w:p>
    <w:p>
      <w:pPr>
        <w:widowControl/>
        <w:ind w:firstLine="560" w:firstLineChars="200"/>
        <w:jc w:val="left"/>
        <w:rPr>
          <w:rFonts w:ascii="仿宋_GB2312" w:eastAsia="仿宋_GB2312"/>
          <w:szCs w:val="28"/>
        </w:rPr>
      </w:pPr>
      <w:r>
        <w:rPr>
          <w:rFonts w:hint="eastAsia" w:ascii="仿宋_GB2312" w:eastAsia="仿宋_GB2312"/>
          <w:szCs w:val="28"/>
        </w:rPr>
        <w:t>4.质疑函的质疑事项应具体、明确，并有必要的事实依据和法律依据。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5.质疑函的质疑请求应与质疑事项相关。</w:t>
      </w:r>
    </w:p>
    <w:p>
      <w:pPr>
        <w:widowControl/>
        <w:ind w:firstLine="560" w:firstLineChars="200"/>
        <w:jc w:val="left"/>
        <w:rPr>
          <w:rFonts w:ascii="仿宋_GB2312" w:eastAsia="仿宋_GB2312"/>
          <w:szCs w:val="28"/>
        </w:rPr>
      </w:pPr>
      <w:r>
        <w:rPr>
          <w:rFonts w:hint="eastAsia" w:ascii="仿宋_GB2312" w:eastAsia="仿宋_GB2312"/>
          <w:szCs w:val="28"/>
        </w:rPr>
        <w:t>6.质疑供应商为自然人的，质疑函应由本人签字；质疑供应商为法人或者其他组织的，质疑函应由法定代表人、主要负责人，或者其授权代表签字或者盖章，并加盖公章。</w:t>
      </w:r>
    </w:p>
    <w:p>
      <w:pPr>
        <w:rPr>
          <w:rFonts w:ascii="仿宋_GB2312" w:eastAsia="仿宋_GB2312"/>
          <w:szCs w:val="28"/>
        </w:rPr>
      </w:pPr>
    </w:p>
    <w:p>
      <w:pPr>
        <w:rPr>
          <w:rFonts w:ascii="仿宋_GB2312" w:eastAsia="仿宋_GB2312"/>
          <w:szCs w:val="28"/>
        </w:rPr>
      </w:pPr>
      <w:r>
        <w:rPr>
          <w:rFonts w:hint="eastAsia" w:ascii="仿宋_GB2312" w:eastAsia="仿宋_GB2312"/>
          <w:szCs w:val="28"/>
        </w:rPr>
        <w:t xml:space="preserve"> </w:t>
      </w:r>
    </w:p>
    <w:p>
      <w:pPr>
        <w:rPr>
          <w:rFonts w:ascii="仿宋_GB2312" w:eastAsia="仿宋_GB2312"/>
          <w:szCs w:val="28"/>
        </w:rPr>
      </w:pPr>
    </w:p>
    <w:p>
      <w:pPr>
        <w:rPr>
          <w:rFonts w:ascii="仿宋_GB2312" w:eastAsia="仿宋_GB2312"/>
          <w:szCs w:val="28"/>
        </w:rPr>
      </w:pPr>
    </w:p>
    <w:p>
      <w:pPr>
        <w:rPr>
          <w:rFonts w:ascii="仿宋_GB2312" w:eastAsia="仿宋_GB2312"/>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r>
        <w:rPr>
          <w:rFonts w:hint="eastAsia" w:ascii="仿宋_GB2312" w:hAnsi="宋体" w:eastAsia="仿宋_GB2312"/>
          <w:b/>
          <w:szCs w:val="28"/>
        </w:rPr>
        <w:t>附件6：</w:t>
      </w:r>
    </w:p>
    <w:p>
      <w:pPr>
        <w:jc w:val="center"/>
        <w:rPr>
          <w:rFonts w:ascii="仿宋_GB2312" w:hAnsi="宋体" w:eastAsia="仿宋_GB2312"/>
          <w:b/>
          <w:szCs w:val="28"/>
        </w:rPr>
      </w:pPr>
      <w:r>
        <w:rPr>
          <w:rFonts w:hint="eastAsia" w:ascii="仿宋_GB2312" w:hAnsi="宋体" w:eastAsia="仿宋_GB2312"/>
          <w:b/>
          <w:szCs w:val="28"/>
        </w:rPr>
        <w:t>投诉书范本</w:t>
      </w:r>
    </w:p>
    <w:p>
      <w:pPr>
        <w:rPr>
          <w:rFonts w:ascii="仿宋_GB2312" w:hAnsi="黑体" w:eastAsia="仿宋_GB2312"/>
          <w:szCs w:val="28"/>
        </w:rPr>
      </w:pPr>
      <w:r>
        <w:rPr>
          <w:rFonts w:hint="eastAsia" w:ascii="仿宋_GB2312" w:hAnsi="黑体" w:eastAsia="仿宋_GB2312"/>
          <w:szCs w:val="28"/>
        </w:rPr>
        <w:t>一、投诉相关主体基本情况</w:t>
      </w:r>
    </w:p>
    <w:p>
      <w:pPr>
        <w:rPr>
          <w:rFonts w:ascii="仿宋_GB2312" w:eastAsia="仿宋_GB2312"/>
          <w:szCs w:val="28"/>
          <w:u w:val="dotted"/>
        </w:rPr>
      </w:pPr>
      <w:r>
        <w:rPr>
          <w:rFonts w:hint="eastAsia" w:ascii="仿宋_GB2312" w:eastAsia="仿宋_GB2312"/>
          <w:szCs w:val="28"/>
        </w:rPr>
        <w:t>投诉人：</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tabs>
          <w:tab w:val="left" w:pos="6510"/>
        </w:tabs>
        <w:jc w:val="left"/>
        <w:rPr>
          <w:rFonts w:ascii="仿宋_GB2312" w:eastAsia="仿宋_GB2312"/>
          <w:szCs w:val="28"/>
        </w:rPr>
      </w:pPr>
      <w:r>
        <w:rPr>
          <w:rFonts w:hint="eastAsia" w:ascii="仿宋_GB2312" w:eastAsia="仿宋_GB2312"/>
          <w:szCs w:val="28"/>
        </w:rPr>
        <w:t>法定代表人/主要负责人：</w:t>
      </w:r>
      <w:r>
        <w:rPr>
          <w:rFonts w:hint="eastAsia" w:ascii="仿宋_GB2312" w:eastAsia="仿宋_GB2312"/>
          <w:szCs w:val="28"/>
          <w:u w:val="dotted"/>
        </w:rPr>
        <w:t xml:space="preserve">                                   </w:t>
      </w:r>
      <w:r>
        <w:rPr>
          <w:rFonts w:hint="eastAsia" w:ascii="仿宋_GB2312" w:eastAsia="仿宋_GB2312"/>
          <w:szCs w:val="28"/>
        </w:rPr>
        <w:t xml:space="preserve">  </w:t>
      </w:r>
    </w:p>
    <w:p>
      <w:pPr>
        <w:tabs>
          <w:tab w:val="left" w:pos="6510"/>
        </w:tabs>
        <w:rPr>
          <w:rFonts w:ascii="仿宋_GB2312" w:eastAsia="仿宋_GB2312"/>
          <w:szCs w:val="28"/>
          <w:u w:val="dotted"/>
        </w:rPr>
      </w:pP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授权代表：</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被投诉人1：</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rPr>
      </w:pPr>
      <w:r>
        <w:rPr>
          <w:rFonts w:hint="eastAsia" w:ascii="仿宋_GB2312" w:eastAsia="仿宋_GB2312"/>
          <w:szCs w:val="28"/>
        </w:rPr>
        <w:t>被投诉人2</w:t>
      </w:r>
    </w:p>
    <w:p>
      <w:pPr>
        <w:rPr>
          <w:rFonts w:ascii="仿宋_GB2312" w:eastAsia="仿宋_GB2312"/>
          <w:szCs w:val="28"/>
          <w:u w:val="dotted"/>
        </w:rPr>
      </w:pPr>
      <w:r>
        <w:rPr>
          <w:rFonts w:hint="eastAsia" w:ascii="仿宋_GB2312" w:eastAsia="仿宋_GB2312"/>
          <w:szCs w:val="28"/>
        </w:rPr>
        <w:t>……</w:t>
      </w:r>
    </w:p>
    <w:p>
      <w:pPr>
        <w:rPr>
          <w:rFonts w:ascii="仿宋_GB2312" w:eastAsia="仿宋_GB2312"/>
          <w:szCs w:val="28"/>
          <w:u w:val="single"/>
        </w:rPr>
      </w:pPr>
      <w:r>
        <w:rPr>
          <w:rFonts w:hint="eastAsia" w:ascii="仿宋_GB2312" w:eastAsia="仿宋_GB2312"/>
          <w:szCs w:val="28"/>
        </w:rPr>
        <w:t>相关供应商：</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hAnsi="黑体" w:eastAsia="仿宋_GB2312"/>
          <w:szCs w:val="28"/>
        </w:rPr>
      </w:pPr>
      <w:r>
        <w:rPr>
          <w:rFonts w:hint="eastAsia" w:ascii="仿宋_GB2312" w:hAnsi="黑体" w:eastAsia="仿宋_GB2312"/>
          <w:szCs w:val="28"/>
        </w:rPr>
        <w:t>二、投诉项目基本情况</w:t>
      </w:r>
    </w:p>
    <w:p>
      <w:pPr>
        <w:rPr>
          <w:rFonts w:ascii="仿宋_GB2312" w:eastAsia="仿宋_GB2312"/>
          <w:szCs w:val="28"/>
          <w:u w:val="dotted"/>
        </w:rPr>
      </w:pPr>
      <w:r>
        <w:rPr>
          <w:rFonts w:hint="eastAsia" w:ascii="仿宋_GB2312" w:eastAsia="仿宋_GB2312"/>
          <w:szCs w:val="28"/>
        </w:rPr>
        <w:t>采购项目名称：</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采购项目编号：</w:t>
      </w:r>
      <w:r>
        <w:rPr>
          <w:rFonts w:hint="eastAsia" w:ascii="仿宋_GB2312" w:eastAsia="仿宋_GB2312"/>
          <w:szCs w:val="28"/>
          <w:u w:val="dotted"/>
        </w:rPr>
        <w:t xml:space="preserve">                 </w:t>
      </w:r>
      <w:r>
        <w:rPr>
          <w:rFonts w:hint="eastAsia" w:ascii="仿宋_GB2312" w:eastAsia="仿宋_GB2312"/>
          <w:szCs w:val="28"/>
        </w:rPr>
        <w:t>包号：</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采购人名称：</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代理机构名称：</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采购文件公告: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采购结果公告: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hAnsi="黑体" w:eastAsia="仿宋_GB2312"/>
          <w:szCs w:val="28"/>
        </w:rPr>
      </w:pPr>
      <w:r>
        <w:rPr>
          <w:rFonts w:hint="eastAsia" w:ascii="仿宋_GB2312" w:hAnsi="黑体" w:eastAsia="仿宋_GB2312"/>
          <w:szCs w:val="28"/>
        </w:rPr>
        <w:t>三、质疑基本情况</w:t>
      </w:r>
    </w:p>
    <w:p>
      <w:pPr>
        <w:ind w:firstLine="560" w:firstLineChars="200"/>
        <w:rPr>
          <w:rFonts w:ascii="仿宋_GB2312" w:eastAsia="仿宋_GB2312"/>
          <w:szCs w:val="28"/>
          <w:u w:val="dotted"/>
        </w:rPr>
      </w:pPr>
      <w:r>
        <w:rPr>
          <w:rFonts w:hint="eastAsia" w:ascii="仿宋_GB2312" w:eastAsia="仿宋_GB2312"/>
          <w:szCs w:val="28"/>
        </w:rPr>
        <w:t>投诉人于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日,向</w:t>
      </w:r>
      <w:r>
        <w:rPr>
          <w:rFonts w:hint="eastAsia" w:ascii="仿宋_GB2312" w:eastAsia="仿宋_GB2312"/>
          <w:szCs w:val="28"/>
          <w:u w:val="dotted"/>
        </w:rPr>
        <w:t xml:space="preserve">                   </w:t>
      </w:r>
      <w:r>
        <w:rPr>
          <w:rFonts w:hint="eastAsia" w:ascii="仿宋_GB2312" w:eastAsia="仿宋_GB2312"/>
          <w:szCs w:val="28"/>
        </w:rPr>
        <w:t>提出质疑，质疑事项为：</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r>
        <w:rPr>
          <w:rFonts w:hint="eastAsia" w:ascii="仿宋_GB2312" w:eastAsia="仿宋_GB2312"/>
          <w:szCs w:val="28"/>
        </w:rPr>
        <w:t xml:space="preserve">  </w:t>
      </w:r>
    </w:p>
    <w:p>
      <w:pPr>
        <w:ind w:firstLine="420" w:firstLineChars="150"/>
        <w:rPr>
          <w:rFonts w:ascii="仿宋_GB2312" w:eastAsia="仿宋_GB2312"/>
          <w:szCs w:val="28"/>
        </w:rPr>
      </w:pPr>
      <w:r>
        <w:rPr>
          <w:rFonts w:hint="eastAsia" w:ascii="仿宋_GB2312" w:eastAsia="仿宋_GB2312"/>
          <w:szCs w:val="28"/>
          <w:u w:val="dotted"/>
        </w:rPr>
        <w:t>采购人/代理机构</w:t>
      </w:r>
      <w:r>
        <w:rPr>
          <w:rFonts w:hint="eastAsia" w:ascii="仿宋_GB2312" w:eastAsia="仿宋_GB2312"/>
          <w:szCs w:val="28"/>
        </w:rPr>
        <w:t>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日,就质疑事项作出了答复/没有在法定期限内作出答复。</w:t>
      </w:r>
    </w:p>
    <w:p>
      <w:pPr>
        <w:rPr>
          <w:rFonts w:ascii="仿宋_GB2312" w:hAnsi="黑体" w:eastAsia="仿宋_GB2312"/>
          <w:szCs w:val="28"/>
        </w:rPr>
      </w:pPr>
      <w:r>
        <w:rPr>
          <w:rFonts w:hint="eastAsia" w:ascii="仿宋_GB2312" w:hAnsi="黑体" w:eastAsia="仿宋_GB2312"/>
          <w:szCs w:val="28"/>
        </w:rPr>
        <w:t>四、投诉事项具体内容</w:t>
      </w:r>
    </w:p>
    <w:p>
      <w:pPr>
        <w:rPr>
          <w:rFonts w:ascii="仿宋_GB2312" w:eastAsia="仿宋_GB2312"/>
          <w:szCs w:val="28"/>
          <w:u w:val="single"/>
        </w:rPr>
      </w:pPr>
      <w:r>
        <w:rPr>
          <w:rFonts w:hint="eastAsia" w:ascii="仿宋_GB2312" w:eastAsia="仿宋_GB2312"/>
          <w:szCs w:val="28"/>
        </w:rPr>
        <w:t>投诉事项 1：</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事实依据：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法律依据：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投诉事项2</w:t>
      </w:r>
    </w:p>
    <w:p>
      <w:pPr>
        <w:rPr>
          <w:rFonts w:ascii="仿宋_GB2312" w:eastAsia="仿宋_GB2312"/>
          <w:szCs w:val="28"/>
          <w:u w:val="dotted"/>
        </w:rPr>
      </w:pPr>
      <w:r>
        <w:rPr>
          <w:rFonts w:hint="eastAsia" w:ascii="仿宋_GB2312" w:eastAsia="仿宋_GB2312"/>
          <w:szCs w:val="28"/>
        </w:rPr>
        <w:t>……</w:t>
      </w:r>
    </w:p>
    <w:p>
      <w:pPr>
        <w:rPr>
          <w:rFonts w:ascii="仿宋_GB2312" w:hAnsi="黑体" w:eastAsia="仿宋_GB2312"/>
          <w:szCs w:val="28"/>
        </w:rPr>
      </w:pPr>
      <w:r>
        <w:rPr>
          <w:rFonts w:hint="eastAsia" w:ascii="仿宋_GB2312" w:hAnsi="黑体" w:eastAsia="仿宋_GB2312"/>
          <w:szCs w:val="28"/>
        </w:rPr>
        <w:t>五、与投诉事项相关的投诉请求</w:t>
      </w:r>
    </w:p>
    <w:p>
      <w:pPr>
        <w:rPr>
          <w:rFonts w:ascii="仿宋_GB2312" w:eastAsia="仿宋_GB2312"/>
          <w:szCs w:val="28"/>
        </w:rPr>
      </w:pPr>
      <w:r>
        <w:rPr>
          <w:rFonts w:hint="eastAsia" w:ascii="仿宋_GB2312" w:eastAsia="仿宋_GB2312"/>
          <w:szCs w:val="28"/>
        </w:rPr>
        <w:t>请求：</w:t>
      </w:r>
      <w:r>
        <w:rPr>
          <w:rFonts w:hint="eastAsia" w:ascii="仿宋_GB2312" w:eastAsia="仿宋_GB2312"/>
          <w:szCs w:val="28"/>
          <w:u w:val="dotted"/>
        </w:rPr>
        <w:t xml:space="preserve">                                              </w:t>
      </w:r>
      <w:r>
        <w:rPr>
          <w:rFonts w:hint="eastAsia" w:ascii="仿宋_GB2312" w:eastAsia="仿宋_GB2312"/>
          <w:szCs w:val="28"/>
        </w:rPr>
        <w:t xml:space="preserve"> </w:t>
      </w:r>
    </w:p>
    <w:p>
      <w:pPr>
        <w:rPr>
          <w:rFonts w:ascii="仿宋_GB2312" w:eastAsia="仿宋_GB2312"/>
          <w:szCs w:val="28"/>
          <w:u w:val="single"/>
        </w:rPr>
      </w:pPr>
      <w:r>
        <w:rPr>
          <w:rFonts w:hint="eastAsia" w:ascii="仿宋_GB2312" w:eastAsia="仿宋_GB2312"/>
          <w:szCs w:val="28"/>
        </w:rPr>
        <w:t xml:space="preserve">                                                                                                    </w:t>
      </w:r>
    </w:p>
    <w:p>
      <w:pPr>
        <w:rPr>
          <w:rFonts w:ascii="仿宋_GB2312" w:eastAsia="仿宋_GB2312"/>
          <w:szCs w:val="28"/>
        </w:rPr>
      </w:pPr>
      <w:r>
        <w:rPr>
          <w:rFonts w:hint="eastAsia" w:ascii="仿宋_GB2312" w:eastAsia="仿宋_GB2312"/>
          <w:szCs w:val="28"/>
        </w:rPr>
        <w:t xml:space="preserve">签字(签章)：                   公章：                      </w:t>
      </w:r>
    </w:p>
    <w:p>
      <w:pPr>
        <w:rPr>
          <w:rFonts w:ascii="仿宋_GB2312" w:eastAsia="仿宋_GB2312"/>
          <w:szCs w:val="28"/>
        </w:rPr>
      </w:pPr>
      <w:r>
        <w:rPr>
          <w:rFonts w:hint="eastAsia" w:ascii="仿宋_GB2312" w:eastAsia="仿宋_GB2312"/>
          <w:szCs w:val="28"/>
        </w:rPr>
        <w:t xml:space="preserve">日期：    </w:t>
      </w: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投诉书制作说明：</w:t>
      </w:r>
    </w:p>
    <w:p>
      <w:pPr>
        <w:widowControl/>
        <w:ind w:firstLine="560" w:firstLineChars="200"/>
        <w:rPr>
          <w:rFonts w:ascii="仿宋_GB2312" w:hAnsi="宋体" w:eastAsia="仿宋_GB2312" w:cs="宋体"/>
          <w:kern w:val="0"/>
          <w:szCs w:val="28"/>
        </w:rPr>
      </w:pPr>
      <w:r>
        <w:rPr>
          <w:rFonts w:hint="eastAsia" w:ascii="仿宋_GB2312" w:eastAsia="仿宋_GB2312"/>
          <w:szCs w:val="28"/>
        </w:rPr>
        <w:t>1.投诉人提起投诉时，应当提交投诉书和必要的证明材料，并按照被投诉人和与投诉事项有关的供应商数量提供投诉书副本。</w:t>
      </w:r>
    </w:p>
    <w:p>
      <w:pPr>
        <w:widowControl/>
        <w:ind w:firstLine="560" w:firstLineChars="200"/>
        <w:jc w:val="left"/>
        <w:rPr>
          <w:rFonts w:ascii="仿宋_GB2312" w:hAnsi="宋体" w:eastAsia="仿宋_GB2312" w:cs="宋体"/>
          <w:kern w:val="0"/>
          <w:szCs w:val="28"/>
        </w:rPr>
      </w:pPr>
      <w:r>
        <w:rPr>
          <w:rFonts w:hint="eastAsia" w:ascii="仿宋_GB2312" w:eastAsia="仿宋_GB2312"/>
          <w:szCs w:val="28"/>
        </w:rPr>
        <w:t>2.投诉人若委托代理人进行投诉的，投诉书应按照要求列明“授权代表”的有关内容，并在附件中提交由</w:t>
      </w:r>
      <w:r>
        <w:rPr>
          <w:rFonts w:hint="eastAsia" w:ascii="仿宋_GB2312" w:hAnsi="宋体" w:eastAsia="仿宋_GB2312" w:cs="宋体"/>
          <w:kern w:val="0"/>
          <w:szCs w:val="28"/>
        </w:rPr>
        <w:t>投诉人签署的授权委托书。授权委托书应当载明代理人的姓名或者名称、代理事项、具体权限、期限和相关事项。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3.投诉人若对项目的某一分包进行投诉，投诉书应列明具体分包号。</w:t>
      </w:r>
    </w:p>
    <w:p>
      <w:pPr>
        <w:widowControl/>
        <w:ind w:firstLine="560" w:firstLineChars="200"/>
        <w:jc w:val="left"/>
        <w:rPr>
          <w:rFonts w:ascii="仿宋_GB2312" w:eastAsia="仿宋_GB2312"/>
          <w:szCs w:val="28"/>
        </w:rPr>
      </w:pPr>
      <w:r>
        <w:rPr>
          <w:rFonts w:hint="eastAsia" w:ascii="仿宋_GB2312" w:eastAsia="仿宋_GB2312"/>
          <w:szCs w:val="28"/>
        </w:rPr>
        <w:t>4.投诉书应简要列明质疑事项，质疑函、质疑答复等作为附件材料提供。</w:t>
      </w:r>
    </w:p>
    <w:p>
      <w:pPr>
        <w:widowControl/>
        <w:ind w:firstLine="560" w:firstLineChars="200"/>
        <w:jc w:val="left"/>
        <w:rPr>
          <w:rFonts w:ascii="仿宋_GB2312" w:eastAsia="仿宋_GB2312"/>
          <w:szCs w:val="28"/>
        </w:rPr>
      </w:pPr>
      <w:r>
        <w:rPr>
          <w:rFonts w:hint="eastAsia" w:ascii="仿宋_GB2312" w:eastAsia="仿宋_GB2312"/>
          <w:szCs w:val="28"/>
        </w:rPr>
        <w:t>5.投诉书的投诉事项应具体、明确，并有必要的事实依据和法律依据。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6.投诉书的投诉请求应与投诉事项相关。</w:t>
      </w:r>
    </w:p>
    <w:p>
      <w:pPr>
        <w:adjustRightInd w:val="0"/>
        <w:snapToGrid w:val="0"/>
        <w:spacing w:line="360" w:lineRule="auto"/>
        <w:ind w:firstLine="560" w:firstLineChars="200"/>
        <w:jc w:val="left"/>
        <w:rPr>
          <w:rFonts w:ascii="仿宋_GB2312" w:hAnsi="宋体" w:eastAsia="仿宋_GB2312" w:cs="宋体"/>
          <w:b/>
          <w:bCs/>
          <w:color w:val="000000"/>
          <w:kern w:val="36"/>
          <w:szCs w:val="28"/>
        </w:rPr>
      </w:pPr>
      <w:r>
        <w:rPr>
          <w:rFonts w:hint="eastAsia" w:ascii="仿宋_GB2312" w:eastAsia="仿宋_GB2312"/>
          <w:szCs w:val="28"/>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rPr>
          <w:rFonts w:ascii="仿宋_GB2312" w:hAnsi="宋体" w:eastAsia="仿宋_GB2312" w:cs="宋体"/>
          <w:b/>
          <w:bCs/>
          <w:sz w:val="32"/>
          <w:szCs w:val="32"/>
        </w:rPr>
      </w:pPr>
    </w:p>
    <w:p>
      <w:pPr>
        <w:adjustRightInd w:val="0"/>
        <w:snapToGrid w:val="0"/>
        <w:spacing w:line="360" w:lineRule="auto"/>
        <w:rPr>
          <w:rFonts w:ascii="仿宋_GB2312" w:hAnsi="宋体" w:eastAsia="仿宋_GB2312" w:cs="宋体"/>
          <w:b/>
          <w:bCs/>
          <w:sz w:val="32"/>
          <w:szCs w:val="32"/>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5</w:t>
    </w:r>
    <w:r>
      <w:rPr>
        <w:lang w:val="zh-CN"/>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5"/>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6"/>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1"/>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2">
    <w:nsid w:val="30E20D84"/>
    <w:multiLevelType w:val="singleLevel"/>
    <w:tmpl w:val="30E20D84"/>
    <w:lvl w:ilvl="0" w:tentative="0">
      <w:start w:val="1"/>
      <w:numFmt w:val="chineseCountingThousand"/>
      <w:lvlText w:val="(%1)"/>
      <w:lvlJc w:val="left"/>
      <w:pPr>
        <w:tabs>
          <w:tab w:val="left" w:pos="915"/>
        </w:tabs>
        <w:ind w:left="915" w:hanging="420"/>
      </w:pPr>
    </w:lvl>
  </w:abstractNum>
  <w:abstractNum w:abstractNumId="3">
    <w:nsid w:val="733D32BF"/>
    <w:multiLevelType w:val="multilevel"/>
    <w:tmpl w:val="733D32BF"/>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810C1"/>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4F15E7"/>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3274"/>
    <w:rsid w:val="005646E2"/>
    <w:rsid w:val="005647BC"/>
    <w:rsid w:val="00565458"/>
    <w:rsid w:val="00567904"/>
    <w:rsid w:val="005700B7"/>
    <w:rsid w:val="00572B02"/>
    <w:rsid w:val="00573087"/>
    <w:rsid w:val="00575E3D"/>
    <w:rsid w:val="00577422"/>
    <w:rsid w:val="005811F4"/>
    <w:rsid w:val="00584838"/>
    <w:rsid w:val="00590DBB"/>
    <w:rsid w:val="0059282D"/>
    <w:rsid w:val="00595798"/>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71C"/>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1FE9"/>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4B91"/>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87"/>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2893"/>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98293C"/>
    <w:rsid w:val="02EB0F66"/>
    <w:rsid w:val="030B1590"/>
    <w:rsid w:val="03164992"/>
    <w:rsid w:val="033B177D"/>
    <w:rsid w:val="0374238F"/>
    <w:rsid w:val="03A01301"/>
    <w:rsid w:val="03F106F6"/>
    <w:rsid w:val="0432311F"/>
    <w:rsid w:val="04910E13"/>
    <w:rsid w:val="04E55E3A"/>
    <w:rsid w:val="054A30CB"/>
    <w:rsid w:val="055F6389"/>
    <w:rsid w:val="05C96A15"/>
    <w:rsid w:val="078D1C71"/>
    <w:rsid w:val="09296F01"/>
    <w:rsid w:val="09564F15"/>
    <w:rsid w:val="09A84CAA"/>
    <w:rsid w:val="09AC2920"/>
    <w:rsid w:val="0A4546CD"/>
    <w:rsid w:val="0A9D2C05"/>
    <w:rsid w:val="0AD639E4"/>
    <w:rsid w:val="0B7A69B0"/>
    <w:rsid w:val="0BF978D5"/>
    <w:rsid w:val="0C5D773D"/>
    <w:rsid w:val="0D7754CF"/>
    <w:rsid w:val="0D7E2A6A"/>
    <w:rsid w:val="0DA16FB4"/>
    <w:rsid w:val="0DE65A99"/>
    <w:rsid w:val="0E7E3960"/>
    <w:rsid w:val="0ECE2C8D"/>
    <w:rsid w:val="0FED59A3"/>
    <w:rsid w:val="107556EE"/>
    <w:rsid w:val="10A328AC"/>
    <w:rsid w:val="10CA7A92"/>
    <w:rsid w:val="11097CFF"/>
    <w:rsid w:val="11420EA7"/>
    <w:rsid w:val="11A93BAF"/>
    <w:rsid w:val="126F08F1"/>
    <w:rsid w:val="12A869B3"/>
    <w:rsid w:val="12DB5F87"/>
    <w:rsid w:val="133C6BF2"/>
    <w:rsid w:val="134D6D48"/>
    <w:rsid w:val="13914897"/>
    <w:rsid w:val="13AE4F6A"/>
    <w:rsid w:val="144C1F9A"/>
    <w:rsid w:val="14863CD0"/>
    <w:rsid w:val="159C294C"/>
    <w:rsid w:val="162C38CF"/>
    <w:rsid w:val="171262BF"/>
    <w:rsid w:val="17252284"/>
    <w:rsid w:val="17464FEC"/>
    <w:rsid w:val="177B58CD"/>
    <w:rsid w:val="179606CE"/>
    <w:rsid w:val="18020BC4"/>
    <w:rsid w:val="186500A0"/>
    <w:rsid w:val="18835AD4"/>
    <w:rsid w:val="18B051AF"/>
    <w:rsid w:val="18E70052"/>
    <w:rsid w:val="18F953B8"/>
    <w:rsid w:val="19254BEF"/>
    <w:rsid w:val="193E2DCB"/>
    <w:rsid w:val="19DC3498"/>
    <w:rsid w:val="1A07319C"/>
    <w:rsid w:val="1A33516B"/>
    <w:rsid w:val="1B4F4CC3"/>
    <w:rsid w:val="1B7570E3"/>
    <w:rsid w:val="1BA211E7"/>
    <w:rsid w:val="1C88217A"/>
    <w:rsid w:val="1E2D6CC4"/>
    <w:rsid w:val="1E4075E6"/>
    <w:rsid w:val="1F025BBE"/>
    <w:rsid w:val="1FCC554E"/>
    <w:rsid w:val="1FD03D76"/>
    <w:rsid w:val="203877A5"/>
    <w:rsid w:val="20EB3EDD"/>
    <w:rsid w:val="21A428FD"/>
    <w:rsid w:val="21FE134A"/>
    <w:rsid w:val="228869AA"/>
    <w:rsid w:val="22C22324"/>
    <w:rsid w:val="23567244"/>
    <w:rsid w:val="236513B9"/>
    <w:rsid w:val="24B5162E"/>
    <w:rsid w:val="24D82326"/>
    <w:rsid w:val="261507FA"/>
    <w:rsid w:val="26566759"/>
    <w:rsid w:val="26DD1E76"/>
    <w:rsid w:val="27717DCB"/>
    <w:rsid w:val="281D1648"/>
    <w:rsid w:val="28574F87"/>
    <w:rsid w:val="28AF482A"/>
    <w:rsid w:val="291D580A"/>
    <w:rsid w:val="29674BDA"/>
    <w:rsid w:val="29831EC9"/>
    <w:rsid w:val="29913DEF"/>
    <w:rsid w:val="29B44350"/>
    <w:rsid w:val="2ADF5772"/>
    <w:rsid w:val="2B2F385B"/>
    <w:rsid w:val="2B9343A5"/>
    <w:rsid w:val="2C231C3E"/>
    <w:rsid w:val="2C43766C"/>
    <w:rsid w:val="2CF80A72"/>
    <w:rsid w:val="2D140C99"/>
    <w:rsid w:val="2D237126"/>
    <w:rsid w:val="2D31750C"/>
    <w:rsid w:val="2D962D7E"/>
    <w:rsid w:val="2DE634B9"/>
    <w:rsid w:val="2E1D349F"/>
    <w:rsid w:val="2EDF550D"/>
    <w:rsid w:val="2F407445"/>
    <w:rsid w:val="2FF43D8C"/>
    <w:rsid w:val="30202DD3"/>
    <w:rsid w:val="3025527A"/>
    <w:rsid w:val="30703BBD"/>
    <w:rsid w:val="30BA3228"/>
    <w:rsid w:val="30C91186"/>
    <w:rsid w:val="31495EDE"/>
    <w:rsid w:val="31921319"/>
    <w:rsid w:val="31BC6863"/>
    <w:rsid w:val="32FA2CBE"/>
    <w:rsid w:val="32FC59EE"/>
    <w:rsid w:val="338B35BF"/>
    <w:rsid w:val="34092461"/>
    <w:rsid w:val="34700F39"/>
    <w:rsid w:val="34EF42C7"/>
    <w:rsid w:val="35EA3087"/>
    <w:rsid w:val="3639699D"/>
    <w:rsid w:val="36607CEC"/>
    <w:rsid w:val="36BD75CE"/>
    <w:rsid w:val="36EF1694"/>
    <w:rsid w:val="388443D5"/>
    <w:rsid w:val="38FB3C73"/>
    <w:rsid w:val="390659FB"/>
    <w:rsid w:val="390D1E7C"/>
    <w:rsid w:val="39C62C3D"/>
    <w:rsid w:val="39DA0497"/>
    <w:rsid w:val="3A014C0D"/>
    <w:rsid w:val="3A3D3FD1"/>
    <w:rsid w:val="3B0D6490"/>
    <w:rsid w:val="3B6A356D"/>
    <w:rsid w:val="3B7F39AE"/>
    <w:rsid w:val="3BAB4838"/>
    <w:rsid w:val="3BB6574C"/>
    <w:rsid w:val="3BF1493F"/>
    <w:rsid w:val="3C460065"/>
    <w:rsid w:val="3DCB6515"/>
    <w:rsid w:val="3E2E563A"/>
    <w:rsid w:val="3E547D6D"/>
    <w:rsid w:val="3EA52FF6"/>
    <w:rsid w:val="3F2969DF"/>
    <w:rsid w:val="3F646DBC"/>
    <w:rsid w:val="413E1806"/>
    <w:rsid w:val="43001B9C"/>
    <w:rsid w:val="43C16643"/>
    <w:rsid w:val="44E0509A"/>
    <w:rsid w:val="457774F2"/>
    <w:rsid w:val="45A10401"/>
    <w:rsid w:val="45C94FEF"/>
    <w:rsid w:val="462D2409"/>
    <w:rsid w:val="468E6891"/>
    <w:rsid w:val="47094169"/>
    <w:rsid w:val="47C1249E"/>
    <w:rsid w:val="481B4427"/>
    <w:rsid w:val="481E3C44"/>
    <w:rsid w:val="485756B9"/>
    <w:rsid w:val="48592ECE"/>
    <w:rsid w:val="48835154"/>
    <w:rsid w:val="4939003C"/>
    <w:rsid w:val="49FB423D"/>
    <w:rsid w:val="4A010EEA"/>
    <w:rsid w:val="4BF03B4A"/>
    <w:rsid w:val="4C8562A1"/>
    <w:rsid w:val="4CAC2800"/>
    <w:rsid w:val="4CD11285"/>
    <w:rsid w:val="4CFB5EE3"/>
    <w:rsid w:val="4D263AF9"/>
    <w:rsid w:val="4D4B074A"/>
    <w:rsid w:val="4DAD1CF2"/>
    <w:rsid w:val="4EF26D89"/>
    <w:rsid w:val="4FC205E1"/>
    <w:rsid w:val="502C74D1"/>
    <w:rsid w:val="507C6DB1"/>
    <w:rsid w:val="50F02837"/>
    <w:rsid w:val="513242BC"/>
    <w:rsid w:val="516F3CBE"/>
    <w:rsid w:val="517C5E2B"/>
    <w:rsid w:val="51C639B2"/>
    <w:rsid w:val="51F17F8E"/>
    <w:rsid w:val="52823DEE"/>
    <w:rsid w:val="529C0587"/>
    <w:rsid w:val="52EC4B4A"/>
    <w:rsid w:val="532113AD"/>
    <w:rsid w:val="53510242"/>
    <w:rsid w:val="54102DA0"/>
    <w:rsid w:val="54B565B4"/>
    <w:rsid w:val="5517751A"/>
    <w:rsid w:val="55794BB0"/>
    <w:rsid w:val="56194C24"/>
    <w:rsid w:val="569C48C5"/>
    <w:rsid w:val="56F05266"/>
    <w:rsid w:val="57164C89"/>
    <w:rsid w:val="57350A15"/>
    <w:rsid w:val="575168F3"/>
    <w:rsid w:val="58732C56"/>
    <w:rsid w:val="594D5E25"/>
    <w:rsid w:val="59E14756"/>
    <w:rsid w:val="5A7E4E4D"/>
    <w:rsid w:val="5AB55191"/>
    <w:rsid w:val="5C957923"/>
    <w:rsid w:val="5CA42F27"/>
    <w:rsid w:val="5CE11CAD"/>
    <w:rsid w:val="5D0F5ABF"/>
    <w:rsid w:val="5D283143"/>
    <w:rsid w:val="5DE021E2"/>
    <w:rsid w:val="5DFA5BF3"/>
    <w:rsid w:val="5E545B85"/>
    <w:rsid w:val="5E6301AB"/>
    <w:rsid w:val="5F765DB0"/>
    <w:rsid w:val="5F7F2DC3"/>
    <w:rsid w:val="608E6286"/>
    <w:rsid w:val="61076011"/>
    <w:rsid w:val="61834DEC"/>
    <w:rsid w:val="61F25ACE"/>
    <w:rsid w:val="622A6C63"/>
    <w:rsid w:val="62546789"/>
    <w:rsid w:val="62EF21DB"/>
    <w:rsid w:val="631D68AE"/>
    <w:rsid w:val="632D6F40"/>
    <w:rsid w:val="63AF1D1A"/>
    <w:rsid w:val="63F510AA"/>
    <w:rsid w:val="648E32AE"/>
    <w:rsid w:val="64A06B15"/>
    <w:rsid w:val="64D252BD"/>
    <w:rsid w:val="64EC5360"/>
    <w:rsid w:val="65412DFD"/>
    <w:rsid w:val="657F52AC"/>
    <w:rsid w:val="65C634F9"/>
    <w:rsid w:val="663A01C8"/>
    <w:rsid w:val="663C37BC"/>
    <w:rsid w:val="668B2466"/>
    <w:rsid w:val="66DB439B"/>
    <w:rsid w:val="66E003B2"/>
    <w:rsid w:val="672F50CE"/>
    <w:rsid w:val="67B33F51"/>
    <w:rsid w:val="6817729A"/>
    <w:rsid w:val="69964ECA"/>
    <w:rsid w:val="699E695C"/>
    <w:rsid w:val="69BF7E12"/>
    <w:rsid w:val="69FF0140"/>
    <w:rsid w:val="6B792DBC"/>
    <w:rsid w:val="6B9C09D1"/>
    <w:rsid w:val="6C2E4C0D"/>
    <w:rsid w:val="6DA6798D"/>
    <w:rsid w:val="6DED4397"/>
    <w:rsid w:val="6E9A5523"/>
    <w:rsid w:val="6EB04D47"/>
    <w:rsid w:val="6F370FC4"/>
    <w:rsid w:val="6F420D0F"/>
    <w:rsid w:val="6FAA3E8C"/>
    <w:rsid w:val="701B5C41"/>
    <w:rsid w:val="70F2215A"/>
    <w:rsid w:val="71091718"/>
    <w:rsid w:val="71587B7E"/>
    <w:rsid w:val="715E7B64"/>
    <w:rsid w:val="7276222A"/>
    <w:rsid w:val="73197CE0"/>
    <w:rsid w:val="732A1BFA"/>
    <w:rsid w:val="73344FDD"/>
    <w:rsid w:val="73616E39"/>
    <w:rsid w:val="73C0694D"/>
    <w:rsid w:val="73D94D40"/>
    <w:rsid w:val="74A54B7B"/>
    <w:rsid w:val="751B270C"/>
    <w:rsid w:val="7532635D"/>
    <w:rsid w:val="759D3A0C"/>
    <w:rsid w:val="764364A0"/>
    <w:rsid w:val="768C17FB"/>
    <w:rsid w:val="77722493"/>
    <w:rsid w:val="77B9589C"/>
    <w:rsid w:val="78216CB5"/>
    <w:rsid w:val="79002FDD"/>
    <w:rsid w:val="799534B7"/>
    <w:rsid w:val="79A864D4"/>
    <w:rsid w:val="7A2C2B5D"/>
    <w:rsid w:val="7A3C397B"/>
    <w:rsid w:val="7AAC4F5C"/>
    <w:rsid w:val="7BBB4D2B"/>
    <w:rsid w:val="7CBB28FC"/>
    <w:rsid w:val="7D2106AF"/>
    <w:rsid w:val="7D2D2186"/>
    <w:rsid w:val="7E486D4A"/>
    <w:rsid w:val="7E54777A"/>
    <w:rsid w:val="7EAC5BC9"/>
    <w:rsid w:val="7EE8612B"/>
    <w:rsid w:val="7EFE77F8"/>
    <w:rsid w:val="7F6041C6"/>
    <w:rsid w:val="7F7B7750"/>
    <w:rsid w:val="7FCF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50"/>
    <w:autoRedefine/>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3">
    <w:name w:val="heading 2"/>
    <w:basedOn w:val="1"/>
    <w:next w:val="1"/>
    <w:link w:val="5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2"/>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53"/>
    <w:autoRedefine/>
    <w:qFormat/>
    <w:uiPriority w:val="9"/>
    <w:pPr>
      <w:keepNext/>
      <w:keepLines/>
      <w:spacing w:before="280" w:after="290" w:line="376" w:lineRule="auto"/>
      <w:outlineLvl w:val="3"/>
    </w:pPr>
    <w:rPr>
      <w:rFonts w:ascii="Cambria" w:hAnsi="Cambria"/>
      <w:b/>
      <w:bCs/>
      <w:szCs w:val="28"/>
    </w:rPr>
  </w:style>
  <w:style w:type="paragraph" w:styleId="6">
    <w:name w:val="heading 5"/>
    <w:basedOn w:val="1"/>
    <w:next w:val="1"/>
    <w:link w:val="54"/>
    <w:autoRedefine/>
    <w:qFormat/>
    <w:uiPriority w:val="9"/>
    <w:pPr>
      <w:keepNext/>
      <w:keepLines/>
      <w:spacing w:before="280" w:after="290" w:line="376" w:lineRule="auto"/>
      <w:outlineLvl w:val="4"/>
    </w:pPr>
    <w:rPr>
      <w:b/>
      <w:bCs/>
      <w:szCs w:val="28"/>
    </w:rPr>
  </w:style>
  <w:style w:type="paragraph" w:styleId="7">
    <w:name w:val="heading 6"/>
    <w:basedOn w:val="1"/>
    <w:next w:val="1"/>
    <w:link w:val="55"/>
    <w:autoRedefine/>
    <w:qFormat/>
    <w:uiPriority w:val="9"/>
    <w:pPr>
      <w:keepNext/>
      <w:keepLines/>
      <w:spacing w:before="240" w:after="64" w:line="320" w:lineRule="auto"/>
      <w:outlineLvl w:val="5"/>
    </w:pPr>
    <w:rPr>
      <w:rFonts w:ascii="Cambria" w:hAnsi="Cambria"/>
      <w:b/>
      <w:bCs/>
      <w:sz w:val="24"/>
      <w:szCs w:val="24"/>
    </w:rPr>
  </w:style>
  <w:style w:type="paragraph" w:styleId="8">
    <w:name w:val="heading 7"/>
    <w:basedOn w:val="1"/>
    <w:next w:val="1"/>
    <w:link w:val="56"/>
    <w:autoRedefine/>
    <w:qFormat/>
    <w:uiPriority w:val="9"/>
    <w:pPr>
      <w:keepNext/>
      <w:keepLines/>
      <w:spacing w:before="240" w:after="64" w:line="320" w:lineRule="auto"/>
      <w:outlineLvl w:val="6"/>
    </w:pPr>
    <w:rPr>
      <w:b/>
      <w:bCs/>
      <w:sz w:val="24"/>
      <w:szCs w:val="24"/>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0"/>
    <w:pPr>
      <w:ind w:firstLine="420"/>
    </w:pPr>
  </w:style>
  <w:style w:type="paragraph" w:styleId="10">
    <w:name w:val="annotation text"/>
    <w:basedOn w:val="1"/>
    <w:autoRedefine/>
    <w:qFormat/>
    <w:uiPriority w:val="0"/>
    <w:pPr>
      <w:jc w:val="left"/>
    </w:pPr>
    <w:rPr>
      <w:kern w:val="0"/>
      <w:sz w:val="21"/>
      <w:szCs w:val="21"/>
    </w:rPr>
  </w:style>
  <w:style w:type="paragraph" w:styleId="11">
    <w:name w:val="Body Text"/>
    <w:basedOn w:val="1"/>
    <w:autoRedefine/>
    <w:unhideWhenUsed/>
    <w:qFormat/>
    <w:uiPriority w:val="99"/>
    <w:pPr>
      <w:spacing w:after="120"/>
    </w:pPr>
  </w:style>
  <w:style w:type="paragraph" w:styleId="12">
    <w:name w:val="Body Text Indent"/>
    <w:basedOn w:val="1"/>
    <w:next w:val="13"/>
    <w:link w:val="49"/>
    <w:autoRedefine/>
    <w:qFormat/>
    <w:uiPriority w:val="0"/>
    <w:pPr>
      <w:spacing w:line="200" w:lineRule="atLeast"/>
      <w:ind w:firstLine="301"/>
    </w:pPr>
    <w:rPr>
      <w:rFonts w:ascii="宋体" w:hAnsi="Courier New"/>
      <w:spacing w:val="-4"/>
      <w:kern w:val="0"/>
      <w:sz w:val="18"/>
    </w:rPr>
  </w:style>
  <w:style w:type="paragraph" w:styleId="13">
    <w:name w:val="envelope return"/>
    <w:basedOn w:val="1"/>
    <w:autoRedefine/>
    <w:qFormat/>
    <w:uiPriority w:val="0"/>
    <w:pPr>
      <w:snapToGrid w:val="0"/>
    </w:pPr>
    <w:rPr>
      <w:rFonts w:ascii="Arial" w:hAnsi="Arial"/>
    </w:rPr>
  </w:style>
  <w:style w:type="paragraph" w:styleId="14">
    <w:name w:val="index 4"/>
    <w:basedOn w:val="1"/>
    <w:next w:val="1"/>
    <w:autoRedefine/>
    <w:qFormat/>
    <w:uiPriority w:val="99"/>
    <w:pPr>
      <w:ind w:left="600" w:leftChars="600"/>
    </w:pPr>
    <w:rPr>
      <w:szCs w:val="24"/>
    </w:rPr>
  </w:style>
  <w:style w:type="paragraph" w:styleId="15">
    <w:name w:val="Plain Text"/>
    <w:basedOn w:val="1"/>
    <w:link w:val="57"/>
    <w:autoRedefine/>
    <w:qFormat/>
    <w:uiPriority w:val="0"/>
    <w:pPr>
      <w:spacing w:beforeLines="50" w:afterLines="50" w:line="400" w:lineRule="atLeast"/>
    </w:pPr>
    <w:rPr>
      <w:rFonts w:ascii="宋体" w:hAnsi="Courier New"/>
      <w:kern w:val="0"/>
      <w:sz w:val="24"/>
    </w:rPr>
  </w:style>
  <w:style w:type="paragraph" w:styleId="16">
    <w:name w:val="Date"/>
    <w:basedOn w:val="1"/>
    <w:next w:val="1"/>
    <w:link w:val="58"/>
    <w:autoRedefine/>
    <w:unhideWhenUsed/>
    <w:qFormat/>
    <w:uiPriority w:val="99"/>
    <w:pPr>
      <w:ind w:left="100" w:leftChars="2500"/>
    </w:pPr>
  </w:style>
  <w:style w:type="paragraph" w:styleId="17">
    <w:name w:val="Balloon Text"/>
    <w:basedOn w:val="1"/>
    <w:link w:val="59"/>
    <w:autoRedefine/>
    <w:unhideWhenUsed/>
    <w:qFormat/>
    <w:uiPriority w:val="99"/>
    <w:rPr>
      <w:sz w:val="18"/>
      <w:szCs w:val="18"/>
    </w:rPr>
  </w:style>
  <w:style w:type="paragraph" w:styleId="18">
    <w:name w:val="footer"/>
    <w:basedOn w:val="1"/>
    <w:link w:val="60"/>
    <w:autoRedefine/>
    <w:unhideWhenUsed/>
    <w:qFormat/>
    <w:uiPriority w:val="99"/>
    <w:pPr>
      <w:tabs>
        <w:tab w:val="center" w:pos="4153"/>
        <w:tab w:val="right" w:pos="8306"/>
      </w:tabs>
      <w:snapToGrid w:val="0"/>
      <w:jc w:val="left"/>
    </w:pPr>
    <w:rPr>
      <w:sz w:val="18"/>
      <w:szCs w:val="18"/>
    </w:rPr>
  </w:style>
  <w:style w:type="paragraph" w:styleId="19">
    <w:name w:val="header"/>
    <w:basedOn w:val="1"/>
    <w:link w:val="6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tabs>
        <w:tab w:val="right" w:leader="dot" w:pos="8296"/>
      </w:tabs>
      <w:jc w:val="center"/>
    </w:pPr>
    <w:rPr>
      <w:rFonts w:ascii="华文中宋" w:hAnsi="华文中宋" w:eastAsia="华文中宋"/>
      <w:b/>
      <w:sz w:val="36"/>
      <w:szCs w:val="36"/>
    </w:rPr>
  </w:style>
  <w:style w:type="paragraph" w:styleId="21">
    <w:name w:val="List"/>
    <w:basedOn w:val="1"/>
    <w:autoRedefine/>
    <w:qFormat/>
    <w:uiPriority w:val="0"/>
    <w:pPr>
      <w:ind w:left="420" w:hanging="420"/>
    </w:pPr>
  </w:style>
  <w:style w:type="paragraph" w:styleId="22">
    <w:name w:val="index 7"/>
    <w:basedOn w:val="1"/>
    <w:next w:val="1"/>
    <w:autoRedefine/>
    <w:unhideWhenUsed/>
    <w:qFormat/>
    <w:uiPriority w:val="99"/>
    <w:pPr>
      <w:ind w:left="1200" w:leftChars="1200"/>
    </w:pPr>
  </w:style>
  <w:style w:type="paragraph" w:styleId="23">
    <w:name w:val="toc 2"/>
    <w:basedOn w:val="1"/>
    <w:next w:val="1"/>
    <w:autoRedefine/>
    <w:unhideWhenUsed/>
    <w:qFormat/>
    <w:uiPriority w:val="39"/>
    <w:pPr>
      <w:ind w:left="420" w:leftChars="200"/>
    </w:pPr>
  </w:style>
  <w:style w:type="paragraph" w:styleId="24">
    <w:name w:val="Normal (Web)"/>
    <w:basedOn w:val="1"/>
    <w:autoRedefine/>
    <w:qFormat/>
    <w:uiPriority w:val="0"/>
    <w:pPr>
      <w:widowControl/>
      <w:spacing w:before="100" w:beforeAutospacing="1" w:after="100" w:afterAutospacing="1"/>
      <w:ind w:firstLine="420"/>
      <w:jc w:val="left"/>
    </w:pPr>
    <w:rPr>
      <w:rFonts w:ascii="宋体" w:hAnsi="宋体"/>
      <w:kern w:val="0"/>
      <w:sz w:val="20"/>
    </w:rPr>
  </w:style>
  <w:style w:type="paragraph" w:styleId="25">
    <w:name w:val="Title"/>
    <w:basedOn w:val="1"/>
    <w:next w:val="1"/>
    <w:link w:val="62"/>
    <w:autoRedefine/>
    <w:qFormat/>
    <w:uiPriority w:val="10"/>
    <w:pPr>
      <w:spacing w:before="240" w:after="60"/>
      <w:jc w:val="center"/>
      <w:outlineLvl w:val="0"/>
    </w:pPr>
    <w:rPr>
      <w:rFonts w:ascii="Cambria" w:hAnsi="Cambria"/>
      <w:b/>
      <w:bCs/>
      <w:sz w:val="32"/>
      <w:szCs w:val="32"/>
    </w:rPr>
  </w:style>
  <w:style w:type="paragraph" w:styleId="26">
    <w:name w:val="Body Text First Indent 2"/>
    <w:basedOn w:val="12"/>
    <w:next w:val="21"/>
    <w:autoRedefine/>
    <w:qFormat/>
    <w:uiPriority w:val="0"/>
    <w:pPr>
      <w:ind w:firstLine="420" w:firstLineChars="200"/>
    </w:pPr>
  </w:style>
  <w:style w:type="table" w:styleId="28">
    <w:name w:val="Table Grid"/>
    <w:basedOn w:val="27"/>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page number"/>
    <w:basedOn w:val="29"/>
    <w:autoRedefine/>
    <w:qFormat/>
    <w:uiPriority w:val="0"/>
  </w:style>
  <w:style w:type="character" w:styleId="32">
    <w:name w:val="Hyperlink"/>
    <w:basedOn w:val="29"/>
    <w:autoRedefine/>
    <w:unhideWhenUsed/>
    <w:qFormat/>
    <w:uiPriority w:val="99"/>
    <w:rPr>
      <w:color w:val="0000FF"/>
      <w:u w:val="single"/>
    </w:rPr>
  </w:style>
  <w:style w:type="paragraph" w:styleId="33">
    <w:name w:val="List Paragraph"/>
    <w:basedOn w:val="1"/>
    <w:link w:val="65"/>
    <w:autoRedefine/>
    <w:qFormat/>
    <w:uiPriority w:val="0"/>
    <w:pPr>
      <w:ind w:firstLine="420" w:firstLineChars="200"/>
    </w:pPr>
    <w:rPr>
      <w:kern w:val="0"/>
    </w:rPr>
  </w:style>
  <w:style w:type="paragraph" w:customStyle="1" w:styleId="34">
    <w:name w:val="正文 第一章"/>
    <w:basedOn w:val="1"/>
    <w:next w:val="35"/>
    <w:autoRedefine/>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5">
    <w:name w:val="正文 1.1"/>
    <w:basedOn w:val="1"/>
    <w:next w:val="36"/>
    <w:autoRedefine/>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6">
    <w:name w:val="正文 1.1.1"/>
    <w:basedOn w:val="1"/>
    <w:next w:val="1"/>
    <w:autoRedefine/>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7">
    <w:name w:val="正文空4格  1）"/>
    <w:basedOn w:val="1"/>
    <w:autoRedefine/>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8">
    <w:name w:val="首行缩进"/>
    <w:basedOn w:val="1"/>
    <w:next w:val="1"/>
    <w:autoRedefine/>
    <w:qFormat/>
    <w:uiPriority w:val="0"/>
    <w:pPr>
      <w:spacing w:line="360" w:lineRule="auto"/>
      <w:ind w:firstLine="200" w:firstLineChars="200"/>
    </w:pPr>
    <w:rPr>
      <w:rFonts w:ascii="Calibri" w:hAnsi="Calibri"/>
      <w:sz w:val="24"/>
      <w:szCs w:val="21"/>
    </w:rPr>
  </w:style>
  <w:style w:type="paragraph" w:customStyle="1" w:styleId="39">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41">
    <w:name w:val="第四级"/>
    <w:basedOn w:val="1"/>
    <w:next w:val="40"/>
    <w:autoRedefine/>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3">
    <w:name w:val="标题 2 New"/>
    <w:basedOn w:val="44"/>
    <w:next w:val="44"/>
    <w:autoRedefine/>
    <w:qFormat/>
    <w:uiPriority w:val="0"/>
    <w:pPr>
      <w:keepNext/>
      <w:keepLines/>
      <w:spacing w:before="260" w:after="260" w:line="413" w:lineRule="auto"/>
      <w:outlineLvl w:val="1"/>
    </w:pPr>
    <w:rPr>
      <w:rFonts w:ascii="Arial" w:hAnsi="Arial" w:eastAsia="黑体"/>
      <w:b/>
      <w:bCs/>
      <w:sz w:val="32"/>
      <w:szCs w:val="32"/>
    </w:rPr>
  </w:style>
  <w:style w:type="paragraph" w:customStyle="1" w:styleId="44">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3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Normal_0"/>
    <w:autoRedefine/>
    <w:qFormat/>
    <w:uiPriority w:val="99"/>
    <w:rPr>
      <w:rFonts w:ascii="Calibri" w:hAnsi="Calibri" w:eastAsia="宋体" w:cs="Times New Roman"/>
      <w:sz w:val="24"/>
      <w:szCs w:val="24"/>
      <w:lang w:val="en-US" w:eastAsia="zh-CN" w:bidi="ar-SA"/>
    </w:rPr>
  </w:style>
  <w:style w:type="paragraph" w:customStyle="1" w:styleId="48">
    <w:name w:val="Default"/>
    <w:next w:val="23"/>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49">
    <w:name w:val="正文文本缩进 字符"/>
    <w:link w:val="12"/>
    <w:autoRedefine/>
    <w:qFormat/>
    <w:locked/>
    <w:uiPriority w:val="0"/>
    <w:rPr>
      <w:rFonts w:ascii="宋体" w:hAnsi="Courier New" w:eastAsia="宋体"/>
      <w:spacing w:val="-4"/>
      <w:sz w:val="18"/>
    </w:rPr>
  </w:style>
  <w:style w:type="character" w:customStyle="1" w:styleId="50">
    <w:name w:val="标题 1 字符"/>
    <w:basedOn w:val="29"/>
    <w:link w:val="2"/>
    <w:qFormat/>
    <w:uiPriority w:val="0"/>
    <w:rPr>
      <w:rFonts w:ascii="宋体" w:hAnsi="Arial" w:eastAsia="黑体" w:cs="Times New Roman"/>
      <w:b/>
      <w:bCs/>
      <w:color w:val="000000"/>
      <w:kern w:val="44"/>
      <w:sz w:val="36"/>
      <w:szCs w:val="32"/>
    </w:rPr>
  </w:style>
  <w:style w:type="character" w:customStyle="1" w:styleId="51">
    <w:name w:val="标题 2 字符"/>
    <w:basedOn w:val="29"/>
    <w:link w:val="3"/>
    <w:autoRedefine/>
    <w:semiHidden/>
    <w:qFormat/>
    <w:uiPriority w:val="9"/>
    <w:rPr>
      <w:rFonts w:ascii="Cambria" w:hAnsi="Cambria" w:eastAsia="宋体" w:cs="Times New Roman"/>
      <w:b/>
      <w:bCs/>
      <w:sz w:val="32"/>
      <w:szCs w:val="32"/>
    </w:rPr>
  </w:style>
  <w:style w:type="character" w:customStyle="1" w:styleId="52">
    <w:name w:val="标题 3 字符"/>
    <w:basedOn w:val="29"/>
    <w:link w:val="4"/>
    <w:autoRedefine/>
    <w:semiHidden/>
    <w:qFormat/>
    <w:uiPriority w:val="9"/>
    <w:rPr>
      <w:rFonts w:ascii="Times New Roman" w:hAnsi="Times New Roman" w:eastAsia="宋体" w:cs="Times New Roman"/>
      <w:b/>
      <w:bCs/>
      <w:sz w:val="32"/>
      <w:szCs w:val="32"/>
    </w:rPr>
  </w:style>
  <w:style w:type="character" w:customStyle="1" w:styleId="53">
    <w:name w:val="标题 4 字符"/>
    <w:basedOn w:val="29"/>
    <w:link w:val="5"/>
    <w:autoRedefine/>
    <w:semiHidden/>
    <w:qFormat/>
    <w:uiPriority w:val="9"/>
    <w:rPr>
      <w:rFonts w:ascii="Cambria" w:hAnsi="Cambria" w:eastAsia="宋体" w:cs="Times New Roman"/>
      <w:b/>
      <w:bCs/>
      <w:sz w:val="28"/>
      <w:szCs w:val="28"/>
    </w:rPr>
  </w:style>
  <w:style w:type="character" w:customStyle="1" w:styleId="54">
    <w:name w:val="标题 5 字符"/>
    <w:basedOn w:val="29"/>
    <w:link w:val="6"/>
    <w:autoRedefine/>
    <w:semiHidden/>
    <w:qFormat/>
    <w:uiPriority w:val="9"/>
    <w:rPr>
      <w:rFonts w:ascii="Times New Roman" w:hAnsi="Times New Roman" w:eastAsia="宋体" w:cs="Times New Roman"/>
      <w:b/>
      <w:bCs/>
      <w:sz w:val="28"/>
      <w:szCs w:val="28"/>
    </w:rPr>
  </w:style>
  <w:style w:type="character" w:customStyle="1" w:styleId="55">
    <w:name w:val="标题 6 字符"/>
    <w:basedOn w:val="29"/>
    <w:link w:val="7"/>
    <w:autoRedefine/>
    <w:semiHidden/>
    <w:qFormat/>
    <w:uiPriority w:val="9"/>
    <w:rPr>
      <w:rFonts w:ascii="Cambria" w:hAnsi="Cambria" w:eastAsia="宋体" w:cs="Times New Roman"/>
      <w:b/>
      <w:bCs/>
      <w:sz w:val="24"/>
      <w:szCs w:val="24"/>
    </w:rPr>
  </w:style>
  <w:style w:type="character" w:customStyle="1" w:styleId="56">
    <w:name w:val="标题 7 字符"/>
    <w:basedOn w:val="29"/>
    <w:link w:val="8"/>
    <w:autoRedefine/>
    <w:semiHidden/>
    <w:qFormat/>
    <w:uiPriority w:val="9"/>
    <w:rPr>
      <w:rFonts w:ascii="Times New Roman" w:hAnsi="Times New Roman" w:eastAsia="宋体" w:cs="Times New Roman"/>
      <w:b/>
      <w:bCs/>
      <w:sz w:val="24"/>
      <w:szCs w:val="24"/>
    </w:rPr>
  </w:style>
  <w:style w:type="character" w:customStyle="1" w:styleId="57">
    <w:name w:val="纯文本 字符"/>
    <w:link w:val="15"/>
    <w:autoRedefine/>
    <w:qFormat/>
    <w:uiPriority w:val="0"/>
    <w:rPr>
      <w:rFonts w:ascii="宋体" w:hAnsi="Courier New" w:eastAsia="宋体"/>
      <w:sz w:val="24"/>
    </w:rPr>
  </w:style>
  <w:style w:type="character" w:customStyle="1" w:styleId="58">
    <w:name w:val="日期 字符"/>
    <w:basedOn w:val="29"/>
    <w:link w:val="16"/>
    <w:autoRedefine/>
    <w:semiHidden/>
    <w:qFormat/>
    <w:uiPriority w:val="99"/>
    <w:rPr>
      <w:rFonts w:ascii="Times New Roman" w:hAnsi="Times New Roman" w:eastAsia="宋体" w:cs="Times New Roman"/>
      <w:sz w:val="28"/>
      <w:szCs w:val="20"/>
    </w:rPr>
  </w:style>
  <w:style w:type="character" w:customStyle="1" w:styleId="59">
    <w:name w:val="批注框文本 字符"/>
    <w:basedOn w:val="29"/>
    <w:link w:val="17"/>
    <w:autoRedefine/>
    <w:semiHidden/>
    <w:qFormat/>
    <w:uiPriority w:val="99"/>
    <w:rPr>
      <w:rFonts w:ascii="Times New Roman" w:hAnsi="Times New Roman" w:eastAsia="宋体" w:cs="Times New Roman"/>
      <w:sz w:val="18"/>
      <w:szCs w:val="18"/>
    </w:rPr>
  </w:style>
  <w:style w:type="character" w:customStyle="1" w:styleId="60">
    <w:name w:val="页脚 字符"/>
    <w:basedOn w:val="29"/>
    <w:link w:val="18"/>
    <w:autoRedefine/>
    <w:qFormat/>
    <w:uiPriority w:val="99"/>
    <w:rPr>
      <w:rFonts w:ascii="Times New Roman" w:hAnsi="Times New Roman" w:eastAsia="宋体" w:cs="Times New Roman"/>
      <w:sz w:val="18"/>
      <w:szCs w:val="18"/>
    </w:rPr>
  </w:style>
  <w:style w:type="character" w:customStyle="1" w:styleId="61">
    <w:name w:val="页眉 字符"/>
    <w:basedOn w:val="29"/>
    <w:link w:val="19"/>
    <w:autoRedefine/>
    <w:semiHidden/>
    <w:qFormat/>
    <w:uiPriority w:val="99"/>
    <w:rPr>
      <w:rFonts w:ascii="Times New Roman" w:hAnsi="Times New Roman" w:eastAsia="宋体" w:cs="Times New Roman"/>
      <w:sz w:val="18"/>
      <w:szCs w:val="18"/>
    </w:rPr>
  </w:style>
  <w:style w:type="character" w:customStyle="1" w:styleId="62">
    <w:name w:val="标题 字符"/>
    <w:basedOn w:val="29"/>
    <w:link w:val="25"/>
    <w:autoRedefine/>
    <w:qFormat/>
    <w:uiPriority w:val="10"/>
    <w:rPr>
      <w:rFonts w:ascii="Cambria" w:hAnsi="Cambria" w:eastAsia="宋体" w:cs="Times New Roman"/>
      <w:b/>
      <w:bCs/>
      <w:sz w:val="32"/>
      <w:szCs w:val="32"/>
    </w:rPr>
  </w:style>
  <w:style w:type="character" w:customStyle="1" w:styleId="63">
    <w:name w:val="正文文本缩进 Char1"/>
    <w:basedOn w:val="29"/>
    <w:autoRedefine/>
    <w:semiHidden/>
    <w:qFormat/>
    <w:uiPriority w:val="99"/>
    <w:rPr>
      <w:rFonts w:ascii="Times New Roman" w:hAnsi="Times New Roman" w:eastAsia="宋体" w:cs="Times New Roman"/>
      <w:sz w:val="28"/>
      <w:szCs w:val="20"/>
    </w:rPr>
  </w:style>
  <w:style w:type="character" w:customStyle="1" w:styleId="64">
    <w:name w:val="纯文本 Char"/>
    <w:basedOn w:val="29"/>
    <w:autoRedefine/>
    <w:semiHidden/>
    <w:qFormat/>
    <w:uiPriority w:val="99"/>
    <w:rPr>
      <w:rFonts w:ascii="宋体" w:hAnsi="Courier New" w:eastAsia="宋体" w:cs="Courier New"/>
      <w:szCs w:val="21"/>
    </w:rPr>
  </w:style>
  <w:style w:type="character" w:customStyle="1" w:styleId="65">
    <w:name w:val="列出段落 字符"/>
    <w:link w:val="33"/>
    <w:autoRedefine/>
    <w:qFormat/>
    <w:locked/>
    <w:uiPriority w:val="0"/>
    <w:rPr>
      <w:rFonts w:ascii="Times New Roman" w:hAnsi="Times New Roman" w:eastAsia="宋体" w:cs="Times New Roman"/>
      <w:sz w:val="28"/>
      <w:szCs w:val="20"/>
    </w:rPr>
  </w:style>
  <w:style w:type="character" w:customStyle="1" w:styleId="66">
    <w:name w:val="正文 第五章 中间"/>
    <w:autoRedefine/>
    <w:qFormat/>
    <w:uiPriority w:val="0"/>
    <w:rPr>
      <w:b/>
      <w:bCs/>
      <w:color w:val="000000"/>
      <w:sz w:val="32"/>
    </w:rPr>
  </w:style>
  <w:style w:type="character" w:customStyle="1" w:styleId="67">
    <w:name w:val="标题 3 Char"/>
    <w:autoRedefine/>
    <w:qFormat/>
    <w:uiPriority w:val="0"/>
    <w:rPr>
      <w:rFonts w:eastAsia="宋体"/>
      <w:b/>
      <w:bCs/>
      <w:kern w:val="2"/>
      <w:sz w:val="32"/>
      <w:szCs w:val="32"/>
      <w:lang w:val="en-US" w:eastAsia="zh-CN" w:bidi="ar-SA"/>
    </w:rPr>
  </w:style>
  <w:style w:type="paragraph" w:customStyle="1" w:styleId="68">
    <w:name w:val="xl31"/>
    <w:basedOn w:val="1"/>
    <w:autoRedefine/>
    <w:qFormat/>
    <w:uiPriority w:val="0"/>
    <w:pPr>
      <w:widowControl/>
      <w:spacing w:before="100" w:beforeAutospacing="1" w:after="100" w:afterAutospacing="1"/>
      <w:jc w:val="center"/>
    </w:pPr>
    <w:rPr>
      <w:rFonts w:ascii="宋体" w:hAnsi="宋体"/>
      <w:b/>
      <w:bCs/>
      <w:kern w:val="0"/>
      <w:szCs w:val="28"/>
    </w:rPr>
  </w:style>
  <w:style w:type="paragraph" w:customStyle="1" w:styleId="69">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_3"/>
    <w:basedOn w:val="1"/>
    <w:autoRedefine/>
    <w:qFormat/>
    <w:uiPriority w:val="0"/>
    <w:pPr>
      <w:jc w:val="center"/>
    </w:pPr>
    <w:rPr>
      <w:rFonts w:ascii="宋体" w:hAnsi="宋体"/>
      <w:b/>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42</Pages>
  <Words>18995</Words>
  <Characters>19686</Characters>
  <Lines>170</Lines>
  <Paragraphs>48</Paragraphs>
  <TotalTime>0</TotalTime>
  <ScaleCrop>false</ScaleCrop>
  <LinksUpToDate>false</LinksUpToDate>
  <CharactersWithSpaces>22553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2024-04-09T01:45:31Z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EC2D55065EE9410B8AC07D03BAF4E20B</vt:lpwstr>
  </property>
</Properties>
</file>