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0" w:firstLineChars="50"/>
        <w:rPr>
          <w:rFonts w:hint="default" w:eastAsia="仿宋_GB2312"/>
          <w:snapToGrid w:val="0"/>
          <w:color w:val="FF0000"/>
          <w:sz w:val="30"/>
          <w:lang w:val="en-US" w:eastAsia="zh-CN"/>
        </w:rPr>
      </w:pPr>
      <w:r>
        <w:rPr>
          <w:rFonts w:hint="eastAsia" w:eastAsia="仿宋_GB2312"/>
          <w:snapToGrid w:val="0"/>
          <w:sz w:val="30"/>
        </w:rPr>
        <w:t>项目编号：WYGZ202</w:t>
      </w:r>
      <w:r>
        <w:rPr>
          <w:rFonts w:hint="eastAsia" w:eastAsia="仿宋_GB2312"/>
          <w:snapToGrid w:val="0"/>
          <w:sz w:val="30"/>
          <w:lang w:val="en-US" w:eastAsia="zh-CN"/>
        </w:rPr>
        <w:t>4063</w:t>
      </w: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r>
        <w:rPr>
          <w:rFonts w:ascii="仿宋_GB2312" w:eastAsia="仿宋_GB2312"/>
          <w:sz w:val="52"/>
          <w:szCs w:val="52"/>
        </w:rPr>
        <w:drawing>
          <wp:inline distT="0" distB="0" distL="0" distR="0">
            <wp:extent cx="3319145" cy="714375"/>
            <wp:effectExtent l="19050" t="0" r="0" b="0"/>
            <wp:docPr id="1"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Tencent Files\382851414\FileRecv\皖南医学院.jpg"/>
                    <pic:cNvPicPr>
                      <a:picLocks noChangeAspect="1" noChangeArrowheads="1"/>
                    </pic:cNvPicPr>
                  </pic:nvPicPr>
                  <pic:blipFill>
                    <a:blip r:embed="rId5" cstate="print"/>
                    <a:srcRect/>
                    <a:stretch>
                      <a:fillRect/>
                    </a:stretch>
                  </pic:blipFill>
                  <pic:spPr>
                    <a:xfrm>
                      <a:off x="0" y="0"/>
                      <a:ext cx="3321553" cy="714879"/>
                    </a:xfrm>
                    <a:prstGeom prst="rect">
                      <a:avLst/>
                    </a:prstGeom>
                    <a:noFill/>
                    <a:ln w="9525">
                      <a:noFill/>
                      <a:miter lim="800000"/>
                      <a:headEnd/>
                      <a:tailEnd/>
                    </a:ln>
                  </pic:spPr>
                </pic:pic>
              </a:graphicData>
            </a:graphic>
          </wp:inline>
        </w:drawing>
      </w:r>
    </w:p>
    <w:p>
      <w:pPr>
        <w:jc w:val="center"/>
        <w:rPr>
          <w:rFonts w:ascii="华文中宋" w:hAnsi="华文中宋" w:eastAsia="华文中宋"/>
          <w:b/>
          <w:bCs/>
          <w:w w:val="90"/>
          <w:sz w:val="21"/>
          <w:szCs w:val="21"/>
        </w:rPr>
      </w:pPr>
    </w:p>
    <w:p>
      <w:pPr>
        <w:jc w:val="center"/>
        <w:rPr>
          <w:rFonts w:hint="eastAsia" w:asciiTheme="majorEastAsia" w:hAnsiTheme="majorEastAsia" w:eastAsiaTheme="majorEastAsia" w:cstheme="majorEastAsia"/>
          <w:b/>
          <w:bCs/>
          <w:w w:val="90"/>
          <w:sz w:val="48"/>
          <w:szCs w:val="48"/>
          <w:lang w:val="en-US" w:eastAsia="zh-CN"/>
        </w:rPr>
      </w:pPr>
      <w:r>
        <w:rPr>
          <w:rFonts w:hint="eastAsia" w:asciiTheme="majorEastAsia" w:hAnsiTheme="majorEastAsia" w:eastAsiaTheme="majorEastAsia" w:cstheme="majorEastAsia"/>
          <w:b/>
          <w:bCs/>
          <w:w w:val="90"/>
          <w:sz w:val="48"/>
          <w:szCs w:val="48"/>
          <w:lang w:val="en-US" w:eastAsia="zh-CN"/>
        </w:rPr>
        <w:t>网络课程学习平台及资源服务采购项目</w:t>
      </w:r>
    </w:p>
    <w:p>
      <w:pPr>
        <w:jc w:val="center"/>
        <w:rPr>
          <w:rFonts w:hint="eastAsia" w:asciiTheme="majorEastAsia" w:hAnsiTheme="majorEastAsia" w:eastAsiaTheme="majorEastAsia" w:cstheme="majorEastAsia"/>
          <w:b/>
          <w:bCs/>
          <w:sz w:val="52"/>
          <w:szCs w:val="52"/>
        </w:rPr>
      </w:pPr>
      <w:r>
        <w:rPr>
          <w:rFonts w:hint="eastAsia" w:asciiTheme="majorEastAsia" w:hAnsiTheme="majorEastAsia" w:eastAsiaTheme="majorEastAsia" w:cstheme="majorEastAsia"/>
          <w:b/>
          <w:bCs/>
          <w:sz w:val="52"/>
          <w:szCs w:val="52"/>
        </w:rPr>
        <w:t>磋商文件</w:t>
      </w:r>
    </w:p>
    <w:p>
      <w:pPr>
        <w:rPr>
          <w:rFonts w:ascii="仿宋_GB2312" w:eastAsia="仿宋_GB2312"/>
          <w:sz w:val="44"/>
          <w:szCs w:val="44"/>
        </w:rPr>
      </w:pPr>
    </w:p>
    <w:p>
      <w:pPr>
        <w:pStyle w:val="10"/>
        <w:rPr>
          <w:rFonts w:ascii="仿宋_GB2312" w:eastAsia="仿宋_GB2312"/>
          <w:sz w:val="44"/>
          <w:szCs w:val="44"/>
        </w:rPr>
      </w:pPr>
    </w:p>
    <w:p>
      <w:pPr>
        <w:pStyle w:val="10"/>
        <w:rPr>
          <w:rFonts w:ascii="仿宋_GB2312" w:eastAsia="仿宋_GB2312"/>
          <w:sz w:val="44"/>
          <w:szCs w:val="44"/>
        </w:rPr>
      </w:pPr>
    </w:p>
    <w:p>
      <w:pPr>
        <w:pStyle w:val="10"/>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jc w:val="center"/>
        <w:rPr>
          <w:rFonts w:ascii="仿宋_GB2312" w:eastAsia="仿宋_GB2312"/>
          <w:b/>
          <w:sz w:val="36"/>
          <w:szCs w:val="36"/>
        </w:rPr>
      </w:pPr>
      <w:r>
        <w:rPr>
          <w:rFonts w:hint="eastAsia" w:ascii="仿宋_GB2312" w:eastAsia="仿宋_GB2312"/>
          <w:b/>
          <w:sz w:val="36"/>
          <w:szCs w:val="36"/>
        </w:rPr>
        <w:t>皖南医学院国有资产管理处</w:t>
      </w:r>
    </w:p>
    <w:p>
      <w:pPr>
        <w:adjustRightInd w:val="0"/>
        <w:snapToGrid w:val="0"/>
        <w:jc w:val="center"/>
        <w:rPr>
          <w:rFonts w:ascii="仿宋_GB2312" w:hAnsi="仿宋_GB2312" w:eastAsia="仿宋_GB2312" w:cs="仿宋_GB2312"/>
          <w:b/>
          <w:sz w:val="36"/>
          <w:szCs w:val="36"/>
        </w:rPr>
      </w:pPr>
      <w:r>
        <w:rPr>
          <w:rFonts w:hint="eastAsia" w:ascii="仿宋_GB2312" w:eastAsia="仿宋_GB2312"/>
          <w:b/>
          <w:sz w:val="36"/>
          <w:szCs w:val="36"/>
        </w:rPr>
        <w:t>202</w:t>
      </w:r>
      <w:r>
        <w:rPr>
          <w:rFonts w:hint="eastAsia" w:ascii="仿宋_GB2312" w:eastAsia="仿宋_GB2312"/>
          <w:b/>
          <w:sz w:val="36"/>
          <w:szCs w:val="36"/>
          <w:lang w:val="en-US" w:eastAsia="zh-CN"/>
        </w:rPr>
        <w:t>4</w:t>
      </w:r>
      <w:r>
        <w:rPr>
          <w:rFonts w:hint="eastAsia" w:ascii="仿宋_GB2312" w:hAnsi="仿宋_GB2312" w:eastAsia="仿宋_GB2312" w:cs="仿宋_GB2312"/>
          <w:b/>
          <w:sz w:val="36"/>
          <w:szCs w:val="36"/>
        </w:rPr>
        <w:t>年</w:t>
      </w:r>
      <w:r>
        <w:rPr>
          <w:rFonts w:hint="eastAsia" w:ascii="仿宋_GB2312" w:hAnsi="仿宋_GB2312" w:eastAsia="仿宋_GB2312" w:cs="仿宋_GB2312"/>
          <w:b/>
          <w:sz w:val="36"/>
          <w:szCs w:val="36"/>
          <w:lang w:val="en-US" w:eastAsia="zh-CN"/>
        </w:rPr>
        <w:t>5</w:t>
      </w:r>
      <w:r>
        <w:rPr>
          <w:rFonts w:hint="eastAsia" w:ascii="仿宋_GB2312" w:hAnsi="仿宋_GB2312" w:eastAsia="仿宋_GB2312" w:cs="仿宋_GB2312"/>
          <w:b/>
          <w:sz w:val="36"/>
          <w:szCs w:val="36"/>
        </w:rPr>
        <w:t>月</w:t>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pStyle w:val="19"/>
        <w:rPr>
          <w:rFonts w:hint="eastAsia"/>
        </w:rPr>
      </w:pPr>
    </w:p>
    <w:p>
      <w:pPr>
        <w:pStyle w:val="19"/>
        <w:rPr>
          <w:rFonts w:hint="eastAsia"/>
        </w:rPr>
      </w:pPr>
    </w:p>
    <w:p>
      <w:pPr>
        <w:pStyle w:val="19"/>
      </w:pPr>
      <w:r>
        <w:rPr>
          <w:rFonts w:hint="eastAsia"/>
        </w:rPr>
        <w:t>目  录</w:t>
      </w:r>
    </w:p>
    <w:p>
      <w:pPr>
        <w:pStyle w:val="19"/>
      </w:pPr>
    </w:p>
    <w:sdt>
      <w:sdtPr>
        <w:rPr>
          <w:rFonts w:ascii="Times New Roman" w:hAnsi="Times New Roman" w:eastAsia="宋体" w:cs="Times New Roman"/>
          <w:b w:val="0"/>
          <w:bCs w:val="0"/>
          <w:color w:val="auto"/>
          <w:kern w:val="2"/>
          <w:szCs w:val="20"/>
          <w:lang w:val="zh-CN"/>
        </w:rPr>
        <w:id w:val="3735165"/>
        <w:docPartObj>
          <w:docPartGallery w:val="Table of Contents"/>
          <w:docPartUnique/>
        </w:docPartObj>
      </w:sdtPr>
      <w:sdtEndPr>
        <w:rPr>
          <w:rFonts w:ascii="Times New Roman" w:hAnsi="Times New Roman" w:eastAsia="宋体" w:cs="Times New Roman"/>
          <w:b w:val="0"/>
          <w:bCs w:val="0"/>
          <w:color w:val="auto"/>
          <w:kern w:val="2"/>
          <w:szCs w:val="20"/>
          <w:lang w:val="en-US"/>
        </w:rPr>
      </w:sdtEndPr>
      <w:sdtContent>
        <w:p>
          <w:pPr>
            <w:pStyle w:val="65"/>
          </w:pPr>
        </w:p>
        <w:p>
          <w:pPr>
            <w:pStyle w:val="19"/>
            <w:jc w:val="both"/>
            <w:rPr>
              <w:rFonts w:asciiTheme="minorHAnsi" w:hAnsiTheme="minorHAnsi" w:eastAsiaTheme="minorEastAsia" w:cstheme="minorBidi"/>
              <w:b w:val="0"/>
              <w:sz w:val="28"/>
              <w:szCs w:val="28"/>
            </w:rPr>
          </w:pPr>
          <w:r>
            <w:rPr>
              <w:rFonts w:hint="eastAsia" w:ascii="仿宋_GB2312" w:eastAsia="仿宋_GB2312"/>
              <w:sz w:val="32"/>
              <w:szCs w:val="32"/>
            </w:rPr>
            <w:fldChar w:fldCharType="begin"/>
          </w:r>
          <w:r>
            <w:rPr>
              <w:rFonts w:hint="eastAsia" w:ascii="仿宋_GB2312" w:eastAsia="仿宋_GB2312"/>
              <w:sz w:val="32"/>
              <w:szCs w:val="32"/>
            </w:rPr>
            <w:instrText xml:space="preserve"> TOC \o "1-3" \h \z \u </w:instrText>
          </w:r>
          <w:r>
            <w:rPr>
              <w:rFonts w:hint="eastAsia" w:ascii="仿宋_GB2312" w:eastAsia="仿宋_GB2312"/>
              <w:sz w:val="32"/>
              <w:szCs w:val="32"/>
            </w:rPr>
            <w:fldChar w:fldCharType="separate"/>
          </w:r>
          <w:r>
            <w:fldChar w:fldCharType="begin"/>
          </w:r>
          <w:r>
            <w:instrText xml:space="preserve"> HYPERLINK \l "_Toc516580569" </w:instrText>
          </w:r>
          <w:r>
            <w:fldChar w:fldCharType="separate"/>
          </w:r>
          <w:r>
            <w:rPr>
              <w:rStyle w:val="31"/>
              <w:rFonts w:hint="eastAsia"/>
              <w:b w:val="0"/>
              <w:sz w:val="28"/>
              <w:szCs w:val="28"/>
            </w:rPr>
            <w:t>第一章</w:t>
          </w:r>
          <w:r>
            <w:rPr>
              <w:rStyle w:val="31"/>
              <w:b w:val="0"/>
              <w:sz w:val="28"/>
              <w:szCs w:val="28"/>
            </w:rPr>
            <w:t xml:space="preserve">  </w:t>
          </w:r>
          <w:r>
            <w:rPr>
              <w:rStyle w:val="31"/>
              <w:rFonts w:hint="eastAsia"/>
              <w:b w:val="0"/>
              <w:sz w:val="28"/>
              <w:szCs w:val="28"/>
            </w:rPr>
            <w:t>磋商公告</w:t>
          </w:r>
          <w:r>
            <w:rPr>
              <w:b w:val="0"/>
              <w:sz w:val="28"/>
              <w:szCs w:val="28"/>
            </w:rPr>
            <w:tab/>
          </w:r>
          <w:r>
            <w:rPr>
              <w:b w:val="0"/>
              <w:sz w:val="28"/>
              <w:szCs w:val="28"/>
            </w:rPr>
            <w:fldChar w:fldCharType="begin"/>
          </w:r>
          <w:r>
            <w:rPr>
              <w:b w:val="0"/>
              <w:sz w:val="28"/>
              <w:szCs w:val="28"/>
            </w:rPr>
            <w:instrText xml:space="preserve"> PAGEREF _Toc516580569 \h </w:instrText>
          </w:r>
          <w:r>
            <w:rPr>
              <w:b w:val="0"/>
              <w:sz w:val="28"/>
              <w:szCs w:val="28"/>
            </w:rPr>
            <w:fldChar w:fldCharType="separate"/>
          </w:r>
          <w:r>
            <w:rPr>
              <w:b w:val="0"/>
              <w:sz w:val="28"/>
              <w:szCs w:val="28"/>
            </w:rPr>
            <w:t>1</w:t>
          </w:r>
          <w:r>
            <w:rPr>
              <w:b w:val="0"/>
              <w:sz w:val="28"/>
              <w:szCs w:val="28"/>
            </w:rPr>
            <w:fldChar w:fldCharType="end"/>
          </w:r>
          <w:r>
            <w:rPr>
              <w:b w:val="0"/>
              <w:sz w:val="28"/>
              <w:szCs w:val="28"/>
            </w:rPr>
            <w:fldChar w:fldCharType="end"/>
          </w:r>
        </w:p>
        <w:p>
          <w:pPr>
            <w:pStyle w:val="19"/>
            <w:rPr>
              <w:rFonts w:asciiTheme="minorHAnsi" w:hAnsiTheme="minorHAnsi" w:eastAsiaTheme="minorEastAsia" w:cstheme="minorBidi"/>
              <w:b w:val="0"/>
              <w:sz w:val="28"/>
              <w:szCs w:val="28"/>
            </w:rPr>
          </w:pPr>
          <w:r>
            <w:fldChar w:fldCharType="begin"/>
          </w:r>
          <w:r>
            <w:instrText xml:space="preserve"> HYPERLINK \l "_Toc516580570" </w:instrText>
          </w:r>
          <w:r>
            <w:fldChar w:fldCharType="separate"/>
          </w:r>
          <w:r>
            <w:rPr>
              <w:rStyle w:val="31"/>
              <w:rFonts w:hint="eastAsia"/>
              <w:b w:val="0"/>
              <w:sz w:val="28"/>
              <w:szCs w:val="28"/>
            </w:rPr>
            <w:t>第二章</w:t>
          </w:r>
          <w:r>
            <w:rPr>
              <w:rStyle w:val="31"/>
              <w:b w:val="0"/>
              <w:sz w:val="28"/>
              <w:szCs w:val="28"/>
            </w:rPr>
            <w:t xml:space="preserve">  </w:t>
          </w:r>
          <w:r>
            <w:rPr>
              <w:rStyle w:val="31"/>
              <w:rFonts w:hint="eastAsia"/>
              <w:b w:val="0"/>
              <w:sz w:val="28"/>
              <w:szCs w:val="28"/>
            </w:rPr>
            <w:t>磋商须知前附表</w:t>
          </w:r>
          <w:r>
            <w:rPr>
              <w:b w:val="0"/>
              <w:sz w:val="28"/>
              <w:szCs w:val="28"/>
            </w:rPr>
            <w:tab/>
          </w:r>
          <w:r>
            <w:rPr>
              <w:b w:val="0"/>
              <w:sz w:val="28"/>
              <w:szCs w:val="28"/>
            </w:rPr>
            <w:fldChar w:fldCharType="begin"/>
          </w:r>
          <w:r>
            <w:rPr>
              <w:b w:val="0"/>
              <w:sz w:val="28"/>
              <w:szCs w:val="28"/>
            </w:rPr>
            <w:instrText xml:space="preserve"> PAGEREF _Toc516580570 \h </w:instrText>
          </w:r>
          <w:r>
            <w:rPr>
              <w:b w:val="0"/>
              <w:sz w:val="28"/>
              <w:szCs w:val="28"/>
            </w:rPr>
            <w:fldChar w:fldCharType="separate"/>
          </w:r>
          <w:r>
            <w:rPr>
              <w:b w:val="0"/>
              <w:sz w:val="28"/>
              <w:szCs w:val="28"/>
            </w:rPr>
            <w:t>3</w:t>
          </w:r>
          <w:r>
            <w:rPr>
              <w:b w:val="0"/>
              <w:sz w:val="28"/>
              <w:szCs w:val="28"/>
            </w:rPr>
            <w:fldChar w:fldCharType="end"/>
          </w:r>
          <w:r>
            <w:rPr>
              <w:b w:val="0"/>
              <w:sz w:val="28"/>
              <w:szCs w:val="28"/>
            </w:rPr>
            <w:fldChar w:fldCharType="end"/>
          </w:r>
        </w:p>
        <w:p>
          <w:pPr>
            <w:pStyle w:val="19"/>
            <w:rPr>
              <w:rFonts w:asciiTheme="minorHAnsi" w:hAnsiTheme="minorHAnsi" w:eastAsiaTheme="minorEastAsia" w:cstheme="minorBidi"/>
              <w:b w:val="0"/>
              <w:sz w:val="28"/>
              <w:szCs w:val="28"/>
            </w:rPr>
          </w:pPr>
          <w:r>
            <w:fldChar w:fldCharType="begin"/>
          </w:r>
          <w:r>
            <w:instrText xml:space="preserve"> HYPERLINK \l "_Toc516580571" </w:instrText>
          </w:r>
          <w:r>
            <w:fldChar w:fldCharType="separate"/>
          </w:r>
          <w:r>
            <w:rPr>
              <w:rStyle w:val="31"/>
              <w:rFonts w:hint="eastAsia"/>
              <w:b w:val="0"/>
              <w:sz w:val="28"/>
              <w:szCs w:val="28"/>
            </w:rPr>
            <w:t>第三章</w:t>
          </w:r>
          <w:r>
            <w:rPr>
              <w:rStyle w:val="31"/>
              <w:b w:val="0"/>
              <w:sz w:val="28"/>
              <w:szCs w:val="28"/>
            </w:rPr>
            <w:t xml:space="preserve">  </w:t>
          </w:r>
          <w:r>
            <w:rPr>
              <w:rStyle w:val="31"/>
              <w:rFonts w:hint="eastAsia"/>
              <w:b w:val="0"/>
              <w:sz w:val="28"/>
              <w:szCs w:val="28"/>
            </w:rPr>
            <w:t>磋商须知</w:t>
          </w:r>
          <w:r>
            <w:rPr>
              <w:b w:val="0"/>
              <w:sz w:val="28"/>
              <w:szCs w:val="28"/>
            </w:rPr>
            <w:tab/>
          </w:r>
          <w:r>
            <w:rPr>
              <w:b w:val="0"/>
              <w:sz w:val="28"/>
              <w:szCs w:val="28"/>
            </w:rPr>
            <w:fldChar w:fldCharType="begin"/>
          </w:r>
          <w:r>
            <w:rPr>
              <w:b w:val="0"/>
              <w:sz w:val="28"/>
              <w:szCs w:val="28"/>
            </w:rPr>
            <w:instrText xml:space="preserve"> PAGEREF _Toc516580571 \h </w:instrText>
          </w:r>
          <w:r>
            <w:rPr>
              <w:b w:val="0"/>
              <w:sz w:val="28"/>
              <w:szCs w:val="28"/>
            </w:rPr>
            <w:fldChar w:fldCharType="separate"/>
          </w:r>
          <w:r>
            <w:rPr>
              <w:b w:val="0"/>
              <w:sz w:val="28"/>
              <w:szCs w:val="28"/>
            </w:rPr>
            <w:t>4</w:t>
          </w:r>
          <w:r>
            <w:rPr>
              <w:b w:val="0"/>
              <w:sz w:val="28"/>
              <w:szCs w:val="28"/>
            </w:rPr>
            <w:fldChar w:fldCharType="end"/>
          </w:r>
          <w:r>
            <w:rPr>
              <w:b w:val="0"/>
              <w:sz w:val="28"/>
              <w:szCs w:val="28"/>
            </w:rPr>
            <w:fldChar w:fldCharType="end"/>
          </w:r>
        </w:p>
        <w:p>
          <w:pPr>
            <w:pStyle w:val="19"/>
            <w:rPr>
              <w:rFonts w:asciiTheme="minorHAnsi" w:hAnsiTheme="minorHAnsi" w:eastAsiaTheme="minorEastAsia" w:cstheme="minorBidi"/>
              <w:b w:val="0"/>
              <w:sz w:val="28"/>
              <w:szCs w:val="28"/>
            </w:rPr>
          </w:pPr>
          <w:r>
            <w:fldChar w:fldCharType="begin"/>
          </w:r>
          <w:r>
            <w:instrText xml:space="preserve"> HYPERLINK \l "_Toc516580572" </w:instrText>
          </w:r>
          <w:r>
            <w:fldChar w:fldCharType="separate"/>
          </w:r>
          <w:r>
            <w:rPr>
              <w:rStyle w:val="31"/>
              <w:rFonts w:hint="eastAsia"/>
              <w:b w:val="0"/>
              <w:sz w:val="28"/>
              <w:szCs w:val="28"/>
            </w:rPr>
            <w:t>第四章</w:t>
          </w:r>
          <w:r>
            <w:rPr>
              <w:rStyle w:val="31"/>
              <w:b w:val="0"/>
              <w:sz w:val="28"/>
              <w:szCs w:val="28"/>
            </w:rPr>
            <w:t xml:space="preserve">  </w:t>
          </w:r>
          <w:r>
            <w:rPr>
              <w:rStyle w:val="31"/>
              <w:rFonts w:hint="eastAsia"/>
              <w:b w:val="0"/>
              <w:sz w:val="28"/>
              <w:szCs w:val="28"/>
            </w:rPr>
            <w:t>合同主要条款</w:t>
          </w:r>
          <w:r>
            <w:rPr>
              <w:b w:val="0"/>
              <w:sz w:val="28"/>
              <w:szCs w:val="28"/>
            </w:rPr>
            <w:tab/>
          </w:r>
          <w:r>
            <w:rPr>
              <w:b w:val="0"/>
              <w:sz w:val="28"/>
              <w:szCs w:val="28"/>
            </w:rPr>
            <w:fldChar w:fldCharType="begin"/>
          </w:r>
          <w:r>
            <w:rPr>
              <w:b w:val="0"/>
              <w:sz w:val="28"/>
              <w:szCs w:val="28"/>
            </w:rPr>
            <w:instrText xml:space="preserve"> PAGEREF _Toc516580572 \h </w:instrText>
          </w:r>
          <w:r>
            <w:rPr>
              <w:b w:val="0"/>
              <w:sz w:val="28"/>
              <w:szCs w:val="28"/>
            </w:rPr>
            <w:fldChar w:fldCharType="separate"/>
          </w:r>
          <w:r>
            <w:rPr>
              <w:b w:val="0"/>
              <w:sz w:val="28"/>
              <w:szCs w:val="28"/>
            </w:rPr>
            <w:t>12</w:t>
          </w:r>
          <w:r>
            <w:rPr>
              <w:b w:val="0"/>
              <w:sz w:val="28"/>
              <w:szCs w:val="28"/>
            </w:rPr>
            <w:fldChar w:fldCharType="end"/>
          </w:r>
          <w:r>
            <w:rPr>
              <w:b w:val="0"/>
              <w:sz w:val="28"/>
              <w:szCs w:val="28"/>
            </w:rPr>
            <w:fldChar w:fldCharType="end"/>
          </w:r>
        </w:p>
        <w:p>
          <w:pPr>
            <w:pStyle w:val="19"/>
            <w:rPr>
              <w:rFonts w:asciiTheme="minorHAnsi" w:hAnsiTheme="minorHAnsi" w:eastAsiaTheme="minorEastAsia" w:cstheme="minorBidi"/>
              <w:b w:val="0"/>
              <w:sz w:val="28"/>
              <w:szCs w:val="28"/>
            </w:rPr>
          </w:pPr>
          <w:r>
            <w:fldChar w:fldCharType="begin"/>
          </w:r>
          <w:r>
            <w:instrText xml:space="preserve"> HYPERLINK \l "_Toc516580573" </w:instrText>
          </w:r>
          <w:r>
            <w:fldChar w:fldCharType="separate"/>
          </w:r>
          <w:r>
            <w:rPr>
              <w:rStyle w:val="31"/>
              <w:rFonts w:hint="eastAsia"/>
              <w:b w:val="0"/>
              <w:sz w:val="28"/>
              <w:szCs w:val="28"/>
            </w:rPr>
            <w:t>第五章</w:t>
          </w:r>
          <w:r>
            <w:rPr>
              <w:rStyle w:val="31"/>
              <w:b w:val="0"/>
              <w:sz w:val="28"/>
              <w:szCs w:val="28"/>
            </w:rPr>
            <w:t xml:space="preserve">  </w:t>
          </w:r>
          <w:r>
            <w:rPr>
              <w:rStyle w:val="31"/>
              <w:rFonts w:hint="eastAsia"/>
              <w:b w:val="0"/>
              <w:sz w:val="28"/>
              <w:szCs w:val="28"/>
            </w:rPr>
            <w:t>项目需求</w:t>
          </w:r>
          <w:r>
            <w:rPr>
              <w:b w:val="0"/>
              <w:sz w:val="28"/>
              <w:szCs w:val="28"/>
            </w:rPr>
            <w:tab/>
          </w:r>
          <w:r>
            <w:rPr>
              <w:b w:val="0"/>
              <w:sz w:val="28"/>
              <w:szCs w:val="28"/>
            </w:rPr>
            <w:fldChar w:fldCharType="begin"/>
          </w:r>
          <w:r>
            <w:rPr>
              <w:b w:val="0"/>
              <w:sz w:val="28"/>
              <w:szCs w:val="28"/>
            </w:rPr>
            <w:instrText xml:space="preserve"> PAGEREF _Toc516580573 \h </w:instrText>
          </w:r>
          <w:r>
            <w:rPr>
              <w:b w:val="0"/>
              <w:sz w:val="28"/>
              <w:szCs w:val="28"/>
            </w:rPr>
            <w:fldChar w:fldCharType="separate"/>
          </w:r>
          <w:r>
            <w:rPr>
              <w:b w:val="0"/>
              <w:sz w:val="28"/>
              <w:szCs w:val="28"/>
            </w:rPr>
            <w:t>17</w:t>
          </w:r>
          <w:r>
            <w:rPr>
              <w:b w:val="0"/>
              <w:sz w:val="28"/>
              <w:szCs w:val="28"/>
            </w:rPr>
            <w:fldChar w:fldCharType="end"/>
          </w:r>
          <w:r>
            <w:rPr>
              <w:b w:val="0"/>
              <w:sz w:val="28"/>
              <w:szCs w:val="28"/>
            </w:rPr>
            <w:fldChar w:fldCharType="end"/>
          </w:r>
        </w:p>
        <w:p>
          <w:pPr>
            <w:pStyle w:val="19"/>
            <w:rPr>
              <w:rFonts w:asciiTheme="minorHAnsi" w:hAnsiTheme="minorHAnsi" w:cstheme="minorBidi"/>
              <w:b w:val="0"/>
              <w:sz w:val="28"/>
              <w:szCs w:val="28"/>
            </w:rPr>
          </w:pPr>
          <w:r>
            <w:fldChar w:fldCharType="begin"/>
          </w:r>
          <w:r>
            <w:instrText xml:space="preserve"> HYPERLINK \l "_Toc516580574" </w:instrText>
          </w:r>
          <w:r>
            <w:fldChar w:fldCharType="separate"/>
          </w:r>
          <w:r>
            <w:rPr>
              <w:rStyle w:val="31"/>
              <w:rFonts w:hint="eastAsia"/>
              <w:b w:val="0"/>
              <w:sz w:val="28"/>
              <w:szCs w:val="28"/>
            </w:rPr>
            <w:t>第六章</w:t>
          </w:r>
          <w:r>
            <w:rPr>
              <w:rStyle w:val="31"/>
              <w:b w:val="0"/>
              <w:sz w:val="28"/>
              <w:szCs w:val="28"/>
            </w:rPr>
            <w:t xml:space="preserve">  </w:t>
          </w:r>
          <w:r>
            <w:rPr>
              <w:rStyle w:val="31"/>
              <w:rFonts w:hint="eastAsia"/>
              <w:b w:val="0"/>
              <w:sz w:val="28"/>
              <w:szCs w:val="28"/>
            </w:rPr>
            <w:t>评分办法和评分细则</w:t>
          </w:r>
          <w:r>
            <w:rPr>
              <w:b w:val="0"/>
              <w:sz w:val="28"/>
              <w:szCs w:val="28"/>
            </w:rPr>
            <w:tab/>
          </w:r>
          <w:r>
            <w:rPr>
              <w:rFonts w:hint="eastAsia"/>
              <w:b w:val="0"/>
              <w:sz w:val="28"/>
              <w:szCs w:val="28"/>
            </w:rPr>
            <w:t>2</w:t>
          </w:r>
          <w:r>
            <w:rPr>
              <w:rFonts w:hint="eastAsia"/>
              <w:b w:val="0"/>
              <w:sz w:val="28"/>
              <w:szCs w:val="28"/>
            </w:rPr>
            <w:fldChar w:fldCharType="end"/>
          </w:r>
          <w:r>
            <w:rPr>
              <w:rFonts w:hint="eastAsia"/>
              <w:b w:val="0"/>
              <w:sz w:val="28"/>
              <w:szCs w:val="28"/>
            </w:rPr>
            <w:t>0</w:t>
          </w:r>
        </w:p>
        <w:p>
          <w:pPr>
            <w:pStyle w:val="19"/>
            <w:jc w:val="both"/>
            <w:rPr>
              <w:rFonts w:asciiTheme="minorHAnsi" w:hAnsiTheme="minorHAnsi" w:eastAsiaTheme="minorEastAsia" w:cstheme="minorBidi"/>
              <w:b w:val="0"/>
              <w:sz w:val="21"/>
              <w:szCs w:val="22"/>
            </w:rPr>
          </w:pPr>
          <w:r>
            <w:fldChar w:fldCharType="begin"/>
          </w:r>
          <w:r>
            <w:instrText xml:space="preserve"> HYPERLINK \l "_Toc516580575" </w:instrText>
          </w:r>
          <w:r>
            <w:fldChar w:fldCharType="separate"/>
          </w:r>
          <w:r>
            <w:rPr>
              <w:rStyle w:val="31"/>
              <w:rFonts w:hint="eastAsia"/>
              <w:b w:val="0"/>
              <w:sz w:val="28"/>
              <w:szCs w:val="28"/>
            </w:rPr>
            <w:t>第七章</w:t>
          </w:r>
          <w:r>
            <w:rPr>
              <w:rStyle w:val="31"/>
              <w:b w:val="0"/>
              <w:sz w:val="28"/>
              <w:szCs w:val="28"/>
            </w:rPr>
            <w:t xml:space="preserve">  </w:t>
          </w:r>
          <w:r>
            <w:rPr>
              <w:rStyle w:val="31"/>
              <w:rFonts w:hint="eastAsia"/>
              <w:b w:val="0"/>
              <w:sz w:val="28"/>
              <w:szCs w:val="28"/>
            </w:rPr>
            <w:t>响应文件格式</w:t>
          </w:r>
          <w:r>
            <w:rPr>
              <w:b w:val="0"/>
              <w:sz w:val="28"/>
              <w:szCs w:val="28"/>
            </w:rPr>
            <w:tab/>
          </w:r>
          <w:r>
            <w:rPr>
              <w:b w:val="0"/>
              <w:sz w:val="28"/>
              <w:szCs w:val="28"/>
            </w:rPr>
            <w:fldChar w:fldCharType="begin"/>
          </w:r>
          <w:r>
            <w:rPr>
              <w:b w:val="0"/>
              <w:sz w:val="28"/>
              <w:szCs w:val="28"/>
            </w:rPr>
            <w:instrText xml:space="preserve"> PAGEREF _Toc516580575 \h </w:instrText>
          </w:r>
          <w:r>
            <w:rPr>
              <w:b w:val="0"/>
              <w:sz w:val="28"/>
              <w:szCs w:val="28"/>
            </w:rPr>
            <w:fldChar w:fldCharType="separate"/>
          </w:r>
          <w:r>
            <w:rPr>
              <w:b w:val="0"/>
              <w:sz w:val="28"/>
              <w:szCs w:val="28"/>
            </w:rPr>
            <w:t>20</w:t>
          </w:r>
          <w:r>
            <w:rPr>
              <w:b w:val="0"/>
              <w:sz w:val="28"/>
              <w:szCs w:val="28"/>
            </w:rPr>
            <w:fldChar w:fldCharType="end"/>
          </w:r>
          <w:r>
            <w:rPr>
              <w:b w:val="0"/>
              <w:sz w:val="28"/>
              <w:szCs w:val="28"/>
            </w:rPr>
            <w:fldChar w:fldCharType="end"/>
          </w:r>
        </w:p>
        <w:p>
          <w:r>
            <w:rPr>
              <w:rFonts w:hint="eastAsia" w:ascii="仿宋_GB2312" w:eastAsia="仿宋_GB2312"/>
              <w:sz w:val="32"/>
              <w:szCs w:val="32"/>
            </w:rPr>
            <w:fldChar w:fldCharType="end"/>
          </w:r>
        </w:p>
      </w:sdtContent>
    </w:sdt>
    <w:p>
      <w:pPr>
        <w:adjustRightInd w:val="0"/>
        <w:snapToGrid w:val="0"/>
        <w:jc w:val="center"/>
        <w:rPr>
          <w:rFonts w:ascii="仿宋_GB2312" w:hAnsi="仿宋_GB2312" w:eastAsia="仿宋_GB2312" w:cs="仿宋_GB2312"/>
          <w:b/>
          <w:sz w:val="30"/>
          <w:szCs w:val="30"/>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sectPr>
          <w:pgSz w:w="11906" w:h="16838"/>
          <w:pgMar w:top="1440" w:right="1800" w:bottom="1440" w:left="1800" w:header="851" w:footer="992" w:gutter="0"/>
          <w:cols w:space="425" w:num="1"/>
          <w:docGrid w:type="lines" w:linePitch="312" w:charSpace="0"/>
        </w:sectPr>
      </w:pPr>
    </w:p>
    <w:p>
      <w:pPr>
        <w:pStyle w:val="3"/>
        <w:snapToGrid w:val="0"/>
        <w:spacing w:before="100" w:beforeAutospacing="1" w:after="100" w:afterAutospacing="1" w:line="500" w:lineRule="atLeast"/>
        <w:ind w:left="947" w:firstLine="0"/>
        <w:jc w:val="center"/>
        <w:rPr>
          <w:rFonts w:hint="eastAsia" w:ascii="宋体" w:hAnsi="宋体" w:eastAsia="宋体" w:cs="宋体"/>
          <w:szCs w:val="21"/>
        </w:rPr>
      </w:pPr>
      <w:bookmarkStart w:id="0" w:name="_Toc516580569"/>
      <w:bookmarkStart w:id="1" w:name="_Toc479170299"/>
      <w:r>
        <w:rPr>
          <w:rFonts w:hint="eastAsia" w:ascii="宋体" w:hAnsi="宋体" w:eastAsia="宋体" w:cs="宋体"/>
          <w:szCs w:val="21"/>
        </w:rPr>
        <w:t>第一章  磋商公告</w:t>
      </w:r>
      <w:bookmarkEnd w:id="0"/>
      <w:bookmarkEnd w:id="1"/>
    </w:p>
    <w:p>
      <w:pPr>
        <w:adjustRightInd w:val="0"/>
        <w:snapToGrid w:val="0"/>
        <w:spacing w:line="500" w:lineRule="atLeast"/>
        <w:ind w:firstLine="529" w:firstLineChars="189"/>
        <w:rPr>
          <w:rFonts w:ascii="仿宋_GB2312" w:eastAsia="仿宋_GB2312"/>
          <w:szCs w:val="28"/>
        </w:rPr>
      </w:pPr>
      <w:bookmarkStart w:id="2" w:name="OLE_LINK21"/>
      <w:bookmarkStart w:id="3" w:name="OLE_LINK22"/>
      <w:r>
        <w:rPr>
          <w:rFonts w:hint="eastAsia" w:ascii="仿宋_GB2312" w:eastAsia="仿宋_GB2312"/>
          <w:szCs w:val="28"/>
          <w:lang w:eastAsia="zh-CN"/>
        </w:rPr>
        <w:t>皖南医学院网络课程学习平台及资源服务采购项目</w:t>
      </w:r>
      <w:r>
        <w:rPr>
          <w:rFonts w:hint="eastAsia" w:ascii="仿宋_GB2312" w:eastAsia="仿宋_GB2312"/>
          <w:szCs w:val="28"/>
        </w:rPr>
        <w:t>采取磋商的方式进行采购，现邀请符合资质条件的供应商参加投标和磋商。具体情况如下：</w:t>
      </w:r>
    </w:p>
    <w:p>
      <w:pPr>
        <w:adjustRightInd w:val="0"/>
        <w:snapToGrid w:val="0"/>
        <w:spacing w:line="500" w:lineRule="atLeast"/>
        <w:ind w:firstLine="534" w:firstLineChars="190"/>
        <w:rPr>
          <w:rFonts w:ascii="仿宋_GB2312" w:eastAsia="仿宋_GB2312"/>
          <w:szCs w:val="28"/>
        </w:rPr>
      </w:pPr>
      <w:r>
        <w:rPr>
          <w:rFonts w:hint="eastAsia" w:ascii="仿宋_GB2312" w:eastAsia="仿宋_GB2312"/>
          <w:b/>
          <w:szCs w:val="28"/>
        </w:rPr>
        <w:t>一、项目概况</w:t>
      </w:r>
      <w:r>
        <w:rPr>
          <w:rFonts w:hint="eastAsia" w:ascii="仿宋_GB2312" w:eastAsia="仿宋_GB2312"/>
          <w:szCs w:val="28"/>
        </w:rPr>
        <w:t>：</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（一）项目名称：</w:t>
      </w:r>
      <w:r>
        <w:rPr>
          <w:rFonts w:hint="eastAsia" w:ascii="仿宋_GB2312" w:eastAsia="仿宋_GB2312"/>
          <w:szCs w:val="28"/>
          <w:lang w:eastAsia="zh-CN"/>
        </w:rPr>
        <w:t>皖南医学院网络课程学习平台及资源服务采购项目</w:t>
      </w:r>
      <w:r>
        <w:rPr>
          <w:rFonts w:hint="eastAsia" w:ascii="仿宋_GB2312" w:eastAsia="仿宋_GB2312"/>
          <w:szCs w:val="28"/>
        </w:rPr>
        <w:t>；</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（二）项目编号：WYGZ202</w:t>
      </w:r>
      <w:r>
        <w:rPr>
          <w:rFonts w:hint="eastAsia" w:ascii="仿宋_GB2312" w:eastAsia="仿宋_GB2312"/>
          <w:szCs w:val="28"/>
          <w:lang w:val="en-US" w:eastAsia="zh-CN"/>
        </w:rPr>
        <w:t>4063</w:t>
      </w:r>
      <w:r>
        <w:rPr>
          <w:rFonts w:hint="eastAsia" w:ascii="仿宋_GB2312" w:eastAsia="仿宋_GB2312"/>
          <w:szCs w:val="28"/>
        </w:rPr>
        <w:t>;</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（三）项目预算：</w:t>
      </w:r>
      <w:r>
        <w:rPr>
          <w:rFonts w:hint="eastAsia" w:ascii="仿宋_GB2312" w:eastAsia="仿宋_GB2312"/>
          <w:szCs w:val="28"/>
          <w:lang w:val="en-US" w:eastAsia="zh-CN"/>
        </w:rPr>
        <w:t>15万元/年，共3年</w:t>
      </w:r>
      <w:r>
        <w:rPr>
          <w:rFonts w:hint="eastAsia" w:ascii="仿宋_GB2312" w:eastAsia="仿宋_GB2312"/>
          <w:szCs w:val="28"/>
        </w:rPr>
        <w:t>；</w:t>
      </w:r>
    </w:p>
    <w:p>
      <w:pPr>
        <w:adjustRightInd w:val="0"/>
        <w:snapToGrid w:val="0"/>
        <w:spacing w:line="500" w:lineRule="atLeast"/>
        <w:ind w:left="1428" w:leftChars="200" w:hanging="868" w:hangingChars="310"/>
        <w:rPr>
          <w:rFonts w:ascii="仿宋_GB2312" w:eastAsia="仿宋_GB2312"/>
          <w:sz w:val="30"/>
          <w:szCs w:val="30"/>
        </w:rPr>
      </w:pPr>
      <w:r>
        <w:rPr>
          <w:rFonts w:hint="eastAsia" w:ascii="仿宋_GB2312" w:eastAsia="仿宋_GB2312"/>
          <w:szCs w:val="28"/>
        </w:rPr>
        <w:t>（四）项目内容：（详见磋商文件）。</w:t>
      </w:r>
    </w:p>
    <w:p>
      <w:pPr>
        <w:adjustRightInd w:val="0"/>
        <w:snapToGrid w:val="0"/>
        <w:spacing w:line="500" w:lineRule="atLeast"/>
        <w:ind w:firstLine="562" w:firstLineChars="200"/>
        <w:rPr>
          <w:rFonts w:ascii="仿宋_GB2312" w:eastAsia="仿宋_GB2312"/>
          <w:szCs w:val="28"/>
        </w:rPr>
      </w:pPr>
      <w:r>
        <w:rPr>
          <w:rFonts w:hint="eastAsia" w:ascii="仿宋_GB2312" w:eastAsia="仿宋_GB2312"/>
          <w:b/>
          <w:szCs w:val="28"/>
        </w:rPr>
        <w:t>二、投标资质</w:t>
      </w:r>
      <w:r>
        <w:rPr>
          <w:rFonts w:hint="eastAsia" w:ascii="仿宋_GB2312" w:eastAsia="仿宋_GB2312"/>
          <w:szCs w:val="28"/>
        </w:rPr>
        <w:t>：</w:t>
      </w:r>
    </w:p>
    <w:p>
      <w:pPr>
        <w:adjustRightInd w:val="0"/>
        <w:snapToGrid w:val="0"/>
        <w:spacing w:line="500" w:lineRule="atLeast"/>
        <w:ind w:firstLine="560" w:firstLineChars="200"/>
        <w:rPr>
          <w:rFonts w:hint="eastAsia" w:ascii="仿宋_GB2312" w:eastAsia="仿宋_GB2312"/>
          <w:szCs w:val="28"/>
          <w:lang w:eastAsia="zh-CN"/>
        </w:rPr>
      </w:pPr>
      <w:r>
        <w:rPr>
          <w:rFonts w:hint="eastAsia" w:ascii="仿宋_GB2312" w:eastAsia="仿宋_GB2312"/>
          <w:szCs w:val="28"/>
          <w:lang w:eastAsia="zh-CN"/>
        </w:rPr>
        <w:t>1.具有独立承担民事责任的能力；</w:t>
      </w:r>
    </w:p>
    <w:p>
      <w:pPr>
        <w:adjustRightInd w:val="0"/>
        <w:snapToGrid w:val="0"/>
        <w:spacing w:line="500" w:lineRule="atLeast"/>
        <w:ind w:firstLine="560" w:firstLineChars="200"/>
        <w:rPr>
          <w:rFonts w:hint="eastAsia" w:ascii="仿宋_GB2312" w:eastAsia="仿宋_GB2312"/>
          <w:szCs w:val="28"/>
          <w:lang w:eastAsia="zh-CN"/>
        </w:rPr>
      </w:pPr>
      <w:r>
        <w:rPr>
          <w:rFonts w:hint="eastAsia" w:ascii="仿宋_GB2312" w:eastAsia="仿宋_GB2312"/>
          <w:szCs w:val="28"/>
          <w:lang w:eastAsia="zh-CN"/>
        </w:rPr>
        <w:t>2.具有良好的商业信誉和健全的财务会计制度；</w:t>
      </w:r>
    </w:p>
    <w:p>
      <w:pPr>
        <w:adjustRightInd w:val="0"/>
        <w:snapToGrid w:val="0"/>
        <w:spacing w:line="500" w:lineRule="atLeast"/>
        <w:ind w:firstLine="560" w:firstLineChars="200"/>
        <w:rPr>
          <w:rFonts w:hint="eastAsia" w:ascii="仿宋_GB2312" w:eastAsia="仿宋_GB2312"/>
          <w:szCs w:val="28"/>
          <w:lang w:eastAsia="zh-CN"/>
        </w:rPr>
      </w:pPr>
      <w:r>
        <w:rPr>
          <w:rFonts w:hint="eastAsia" w:ascii="仿宋_GB2312" w:eastAsia="仿宋_GB2312"/>
          <w:szCs w:val="28"/>
          <w:lang w:eastAsia="zh-CN"/>
        </w:rPr>
        <w:t>3.具有履行合同所必需的设备和专业技术能力;</w:t>
      </w:r>
    </w:p>
    <w:p>
      <w:pPr>
        <w:adjustRightInd w:val="0"/>
        <w:snapToGrid w:val="0"/>
        <w:spacing w:line="500" w:lineRule="atLeast"/>
        <w:ind w:firstLine="560" w:firstLineChars="200"/>
        <w:rPr>
          <w:rFonts w:hint="eastAsia" w:ascii="仿宋_GB2312" w:eastAsia="仿宋_GB2312"/>
          <w:szCs w:val="28"/>
          <w:lang w:eastAsia="zh-CN"/>
        </w:rPr>
      </w:pPr>
      <w:r>
        <w:rPr>
          <w:rFonts w:hint="eastAsia" w:ascii="仿宋_GB2312" w:eastAsia="仿宋_GB2312"/>
          <w:szCs w:val="28"/>
          <w:lang w:eastAsia="zh-CN"/>
        </w:rPr>
        <w:t>4.本项目不接受联合体投标；</w:t>
      </w:r>
    </w:p>
    <w:p>
      <w:pPr>
        <w:adjustRightInd w:val="0"/>
        <w:snapToGrid w:val="0"/>
        <w:spacing w:line="500" w:lineRule="atLeast"/>
        <w:ind w:firstLine="562" w:firstLineChars="200"/>
        <w:rPr>
          <w:rFonts w:ascii="仿宋_GB2312" w:hAnsi="宋体" w:eastAsia="仿宋_GB2312" w:cs="宋体"/>
          <w:b/>
          <w:szCs w:val="28"/>
          <w:lang w:val="zh-CN"/>
        </w:rPr>
      </w:pPr>
      <w:r>
        <w:rPr>
          <w:rFonts w:hint="eastAsia" w:ascii="仿宋_GB2312" w:hAnsi="宋体" w:eastAsia="仿宋_GB2312" w:cs="宋体"/>
          <w:b/>
          <w:szCs w:val="28"/>
        </w:rPr>
        <w:t>三</w:t>
      </w:r>
      <w:r>
        <w:rPr>
          <w:rFonts w:hint="eastAsia" w:ascii="仿宋_GB2312" w:hAnsi="宋体" w:eastAsia="仿宋_GB2312" w:cs="宋体"/>
          <w:b/>
          <w:szCs w:val="28"/>
          <w:lang w:val="zh-CN"/>
        </w:rPr>
        <w:t>、</w:t>
      </w:r>
      <w:r>
        <w:rPr>
          <w:rFonts w:hint="eastAsia" w:ascii="仿宋_GB2312" w:hAnsi="宋体" w:eastAsia="仿宋_GB2312" w:cs="宋体"/>
          <w:b/>
          <w:szCs w:val="28"/>
          <w:lang w:val="en-US" w:eastAsia="zh-CN"/>
        </w:rPr>
        <w:t>招标文件获取</w:t>
      </w:r>
      <w:r>
        <w:rPr>
          <w:rFonts w:hint="eastAsia" w:ascii="仿宋_GB2312" w:hAnsi="宋体" w:eastAsia="仿宋_GB2312" w:cs="宋体"/>
          <w:b/>
          <w:szCs w:val="28"/>
          <w:lang w:val="zh-CN"/>
        </w:rPr>
        <w:t>时间及方式：</w:t>
      </w:r>
    </w:p>
    <w:p>
      <w:pPr>
        <w:adjustRightInd w:val="0"/>
        <w:snapToGrid w:val="0"/>
        <w:spacing w:line="500" w:lineRule="atLeast"/>
        <w:ind w:firstLine="529" w:firstLineChars="189"/>
        <w:rPr>
          <w:rFonts w:ascii="仿宋_GB2312" w:hAnsi="宋体" w:eastAsia="仿宋_GB2312" w:cs="宋体"/>
          <w:szCs w:val="28"/>
          <w:lang w:val="zh-CN"/>
        </w:rPr>
      </w:pPr>
      <w:r>
        <w:rPr>
          <w:rFonts w:hint="eastAsia" w:ascii="仿宋_GB2312" w:hAnsi="宋体" w:eastAsia="仿宋_GB2312" w:cs="宋体"/>
          <w:szCs w:val="28"/>
          <w:lang w:val="zh-CN"/>
        </w:rPr>
        <w:t>（一）</w:t>
      </w:r>
      <w:r>
        <w:rPr>
          <w:rFonts w:hint="eastAsia" w:ascii="仿宋_GB2312" w:hAnsi="宋体" w:eastAsia="仿宋_GB2312" w:cs="宋体"/>
          <w:szCs w:val="28"/>
          <w:lang w:val="en-US" w:eastAsia="zh-CN"/>
        </w:rPr>
        <w:t>招标文件获取</w:t>
      </w:r>
      <w:r>
        <w:rPr>
          <w:rFonts w:hint="eastAsia" w:ascii="仿宋_GB2312" w:hAnsi="宋体" w:eastAsia="仿宋_GB2312" w:cs="宋体"/>
          <w:szCs w:val="28"/>
          <w:lang w:val="zh-CN"/>
        </w:rPr>
        <w:t>时间：202</w:t>
      </w:r>
      <w:r>
        <w:rPr>
          <w:rFonts w:hint="eastAsia" w:ascii="仿宋_GB2312" w:hAnsi="宋体" w:eastAsia="仿宋_GB2312" w:cs="宋体"/>
          <w:szCs w:val="28"/>
          <w:lang w:val="en-US" w:eastAsia="zh-CN"/>
        </w:rPr>
        <w:t>4</w:t>
      </w:r>
      <w:r>
        <w:rPr>
          <w:rFonts w:hint="eastAsia" w:ascii="仿宋_GB2312" w:hAnsi="宋体" w:eastAsia="仿宋_GB2312" w:cs="宋体"/>
          <w:szCs w:val="28"/>
          <w:lang w:val="zh-CN"/>
        </w:rPr>
        <w:t>年</w:t>
      </w:r>
      <w:r>
        <w:rPr>
          <w:rFonts w:hint="eastAsia" w:ascii="仿宋_GB2312" w:hAnsi="宋体" w:eastAsia="仿宋_GB2312" w:cs="宋体"/>
          <w:szCs w:val="28"/>
          <w:lang w:val="en-US" w:eastAsia="zh-CN"/>
        </w:rPr>
        <w:t>5</w:t>
      </w:r>
      <w:r>
        <w:rPr>
          <w:rFonts w:hint="eastAsia" w:ascii="仿宋_GB2312" w:hAnsi="宋体" w:eastAsia="仿宋_GB2312" w:cs="宋体"/>
          <w:szCs w:val="28"/>
          <w:lang w:val="zh-CN"/>
        </w:rPr>
        <w:t>月</w:t>
      </w:r>
      <w:r>
        <w:rPr>
          <w:rFonts w:hint="eastAsia" w:ascii="仿宋_GB2312" w:hAnsi="宋体" w:eastAsia="仿宋_GB2312" w:cs="宋体"/>
          <w:szCs w:val="28"/>
          <w:lang w:val="en-US" w:eastAsia="zh-CN"/>
        </w:rPr>
        <w:t>24</w:t>
      </w:r>
      <w:r>
        <w:rPr>
          <w:rFonts w:hint="eastAsia" w:ascii="仿宋_GB2312" w:hAnsi="宋体" w:eastAsia="仿宋_GB2312" w:cs="宋体"/>
          <w:szCs w:val="28"/>
          <w:lang w:val="zh-CN"/>
        </w:rPr>
        <w:t>日9：00-202</w:t>
      </w:r>
      <w:r>
        <w:rPr>
          <w:rFonts w:hint="eastAsia" w:ascii="仿宋_GB2312" w:hAnsi="宋体" w:eastAsia="仿宋_GB2312" w:cs="宋体"/>
          <w:szCs w:val="28"/>
          <w:lang w:val="en-US" w:eastAsia="zh-CN"/>
        </w:rPr>
        <w:t>4</w:t>
      </w:r>
      <w:r>
        <w:rPr>
          <w:rFonts w:hint="eastAsia" w:ascii="仿宋_GB2312" w:hAnsi="宋体" w:eastAsia="仿宋_GB2312" w:cs="宋体"/>
          <w:szCs w:val="28"/>
          <w:lang w:val="zh-CN"/>
        </w:rPr>
        <w:t>年</w:t>
      </w:r>
      <w:r>
        <w:rPr>
          <w:rFonts w:hint="eastAsia" w:ascii="仿宋_GB2312" w:hAnsi="宋体" w:eastAsia="仿宋_GB2312" w:cs="宋体"/>
          <w:szCs w:val="28"/>
          <w:lang w:val="en-US" w:eastAsia="zh-CN"/>
        </w:rPr>
        <w:t>6</w:t>
      </w:r>
      <w:r>
        <w:rPr>
          <w:rFonts w:hint="eastAsia" w:ascii="仿宋_GB2312" w:hAnsi="宋体" w:eastAsia="仿宋_GB2312" w:cs="宋体"/>
          <w:szCs w:val="28"/>
          <w:lang w:val="zh-CN"/>
        </w:rPr>
        <w:t>月</w:t>
      </w:r>
      <w:r>
        <w:rPr>
          <w:rFonts w:hint="eastAsia" w:ascii="仿宋_GB2312" w:hAnsi="宋体" w:eastAsia="仿宋_GB2312" w:cs="宋体"/>
          <w:szCs w:val="28"/>
          <w:lang w:val="en-US" w:eastAsia="zh-CN"/>
        </w:rPr>
        <w:t>4</w:t>
      </w:r>
      <w:r>
        <w:rPr>
          <w:rFonts w:hint="eastAsia" w:ascii="仿宋_GB2312" w:hAnsi="宋体" w:eastAsia="仿宋_GB2312" w:cs="宋体"/>
          <w:szCs w:val="28"/>
          <w:lang w:val="zh-CN"/>
        </w:rPr>
        <w:t>日</w:t>
      </w:r>
      <w:r>
        <w:rPr>
          <w:rFonts w:hint="eastAsia" w:ascii="仿宋_GB2312" w:hAnsi="宋体" w:eastAsia="仿宋_GB2312" w:cs="宋体"/>
          <w:szCs w:val="28"/>
          <w:lang w:val="en-US" w:eastAsia="zh-CN"/>
        </w:rPr>
        <w:t>14</w:t>
      </w:r>
      <w:r>
        <w:rPr>
          <w:rFonts w:hint="eastAsia" w:ascii="仿宋_GB2312" w:hAnsi="宋体" w:eastAsia="仿宋_GB2312" w:cs="宋体"/>
          <w:szCs w:val="28"/>
          <w:lang w:val="zh-CN"/>
        </w:rPr>
        <w:t>:00；</w:t>
      </w:r>
    </w:p>
    <w:p>
      <w:pPr>
        <w:widowControl/>
        <w:adjustRightInd w:val="0"/>
        <w:snapToGrid w:val="0"/>
        <w:spacing w:line="500" w:lineRule="atLeast"/>
        <w:ind w:firstLine="560" w:firstLineChars="200"/>
        <w:rPr>
          <w:rFonts w:ascii="仿宋_GB2312" w:hAnsi="仿宋" w:eastAsia="仿宋_GB2312"/>
          <w:b/>
          <w:szCs w:val="28"/>
        </w:rPr>
      </w:pPr>
      <w:r>
        <w:rPr>
          <w:rFonts w:hint="eastAsia" w:ascii="仿宋_GB2312" w:hAnsi="宋体" w:eastAsia="仿宋_GB2312" w:cs="宋体"/>
          <w:szCs w:val="28"/>
          <w:lang w:val="zh-CN"/>
        </w:rPr>
        <w:t>（二）</w:t>
      </w:r>
      <w:r>
        <w:rPr>
          <w:rFonts w:hint="eastAsia" w:ascii="仿宋_GB2312" w:hAnsi="宋体" w:eastAsia="仿宋_GB2312" w:cs="宋体"/>
          <w:szCs w:val="28"/>
          <w:lang w:val="en-US" w:eastAsia="zh-CN"/>
        </w:rPr>
        <w:t>获取</w:t>
      </w:r>
      <w:r>
        <w:rPr>
          <w:rFonts w:hint="eastAsia" w:ascii="仿宋_GB2312" w:hAnsi="宋体" w:eastAsia="仿宋_GB2312" w:cs="宋体"/>
          <w:szCs w:val="28"/>
          <w:lang w:val="zh-CN"/>
        </w:rPr>
        <w:t>方式：网络课程学习平台及资源服务采购项目已在皖南医学院</w:t>
      </w:r>
      <w:r>
        <w:rPr>
          <w:rFonts w:hint="eastAsia" w:ascii="仿宋_GB2312" w:hAnsi="宋体" w:eastAsia="仿宋_GB2312" w:cs="宋体"/>
          <w:szCs w:val="28"/>
          <w:lang w:val="en-US" w:eastAsia="zh-CN"/>
        </w:rPr>
        <w:t>官网</w:t>
      </w:r>
      <w:r>
        <w:rPr>
          <w:rFonts w:hint="eastAsia" w:ascii="仿宋_GB2312" w:hAnsi="宋体" w:eastAsia="仿宋_GB2312" w:cs="宋体"/>
          <w:szCs w:val="28"/>
          <w:lang w:val="zh-CN"/>
        </w:rPr>
        <w:t>发布，请潜在供应商在皖南医学院</w:t>
      </w:r>
      <w:r>
        <w:rPr>
          <w:rFonts w:hint="eastAsia" w:ascii="仿宋_GB2312" w:hAnsi="宋体" w:eastAsia="仿宋_GB2312" w:cs="宋体"/>
          <w:szCs w:val="28"/>
          <w:lang w:val="en-US" w:eastAsia="zh-CN"/>
        </w:rPr>
        <w:t>官网获取招标文件</w:t>
      </w:r>
      <w:r>
        <w:rPr>
          <w:rFonts w:hint="eastAsia" w:ascii="仿宋_GB2312" w:hAnsi="宋体" w:eastAsia="仿宋_GB2312" w:cs="宋体"/>
          <w:szCs w:val="28"/>
          <w:lang w:val="zh-CN"/>
        </w:rPr>
        <w:t>。</w:t>
      </w:r>
    </w:p>
    <w:p>
      <w:pPr>
        <w:widowControl/>
        <w:adjustRightInd w:val="0"/>
        <w:snapToGrid w:val="0"/>
        <w:spacing w:line="500" w:lineRule="atLeast"/>
        <w:ind w:firstLine="560" w:firstLineChars="200"/>
        <w:rPr>
          <w:rFonts w:ascii="仿宋_GB2312" w:hAnsi="仿宋" w:eastAsia="仿宋_GB2312"/>
          <w:szCs w:val="28"/>
        </w:rPr>
      </w:pPr>
      <w:r>
        <w:rPr>
          <w:rFonts w:hint="eastAsia" w:ascii="仿宋_GB2312" w:hAnsi="仿宋" w:eastAsia="仿宋_GB2312"/>
          <w:szCs w:val="28"/>
        </w:rPr>
        <w:t>（</w:t>
      </w:r>
      <w:r>
        <w:rPr>
          <w:rFonts w:hint="eastAsia" w:ascii="仿宋_GB2312" w:hAnsi="仿宋" w:eastAsia="仿宋_GB2312"/>
          <w:kern w:val="0"/>
          <w:szCs w:val="28"/>
        </w:rPr>
        <w:t>三）磋商文件获取：</w:t>
      </w:r>
      <w:r>
        <w:rPr>
          <w:rFonts w:hint="eastAsia" w:ascii="仿宋_GB2312" w:eastAsia="仿宋_GB2312"/>
          <w:color w:val="333333"/>
          <w:szCs w:val="28"/>
        </w:rPr>
        <w:t>网上自行下载</w:t>
      </w:r>
      <w:r>
        <w:rPr>
          <w:rFonts w:hint="eastAsia" w:ascii="仿宋_GB2312" w:hAnsi="仿宋" w:eastAsia="仿宋_GB2312"/>
          <w:kern w:val="0"/>
          <w:szCs w:val="28"/>
        </w:rPr>
        <w:t>。</w:t>
      </w:r>
    </w:p>
    <w:p>
      <w:pPr>
        <w:adjustRightInd w:val="0"/>
        <w:snapToGrid w:val="0"/>
        <w:spacing w:line="500" w:lineRule="atLeast"/>
        <w:ind w:firstLine="538" w:firstLineChars="200"/>
        <w:rPr>
          <w:rFonts w:ascii="仿宋_GB2312" w:hAnsi="宋体" w:eastAsia="仿宋_GB2312"/>
          <w:color w:val="000000"/>
          <w:spacing w:val="-6"/>
          <w:szCs w:val="28"/>
        </w:rPr>
      </w:pPr>
      <w:r>
        <w:rPr>
          <w:rFonts w:hint="eastAsia" w:ascii="仿宋_GB2312" w:hAnsi="宋体" w:eastAsia="仿宋_GB2312"/>
          <w:b/>
          <w:color w:val="000000"/>
          <w:spacing w:val="-6"/>
          <w:szCs w:val="28"/>
        </w:rPr>
        <w:t>四、响应文件份数</w:t>
      </w:r>
      <w:r>
        <w:rPr>
          <w:rFonts w:hint="eastAsia" w:ascii="仿宋_GB2312" w:hAnsi="宋体" w:eastAsia="仿宋_GB2312"/>
          <w:color w:val="000000"/>
          <w:spacing w:val="-6"/>
          <w:szCs w:val="28"/>
        </w:rPr>
        <w:t>：一式三份（正本一份，副本二份），每份响应文件须清楚表明“正本”或“副本”字样。</w:t>
      </w:r>
    </w:p>
    <w:p>
      <w:pPr>
        <w:adjustRightInd w:val="0"/>
        <w:snapToGrid w:val="0"/>
        <w:spacing w:line="500" w:lineRule="atLeast"/>
        <w:ind w:firstLine="509" w:firstLineChars="189"/>
        <w:rPr>
          <w:rFonts w:ascii="仿宋_GB2312" w:hAnsi="宋体" w:eastAsia="仿宋_GB2312"/>
          <w:color w:val="000000"/>
          <w:spacing w:val="-6"/>
          <w:szCs w:val="28"/>
        </w:rPr>
      </w:pPr>
      <w:r>
        <w:rPr>
          <w:rFonts w:hint="eastAsia" w:ascii="仿宋_GB2312" w:hAnsi="宋体" w:eastAsia="仿宋_GB2312"/>
          <w:b/>
          <w:color w:val="000000"/>
          <w:spacing w:val="-6"/>
          <w:szCs w:val="28"/>
        </w:rPr>
        <w:t>五、响应文件递交</w:t>
      </w:r>
      <w:r>
        <w:rPr>
          <w:rFonts w:hint="eastAsia" w:ascii="仿宋_GB2312" w:hAnsi="宋体" w:eastAsia="仿宋_GB2312"/>
          <w:color w:val="000000"/>
          <w:spacing w:val="-6"/>
          <w:szCs w:val="28"/>
        </w:rPr>
        <w:t>：</w:t>
      </w:r>
    </w:p>
    <w:p>
      <w:pPr>
        <w:adjustRightInd w:val="0"/>
        <w:snapToGrid w:val="0"/>
        <w:spacing w:line="500" w:lineRule="atLeast"/>
        <w:ind w:firstLine="506" w:firstLineChars="189"/>
        <w:rPr>
          <w:rFonts w:ascii="仿宋_GB2312" w:hAnsi="宋体" w:eastAsia="仿宋_GB2312"/>
          <w:color w:val="000000"/>
          <w:spacing w:val="-6"/>
          <w:szCs w:val="28"/>
        </w:rPr>
      </w:pPr>
      <w:r>
        <w:rPr>
          <w:rFonts w:hint="eastAsia" w:ascii="仿宋_GB2312" w:hAnsi="宋体" w:eastAsia="仿宋_GB2312"/>
          <w:color w:val="000000"/>
          <w:spacing w:val="-6"/>
          <w:szCs w:val="28"/>
        </w:rPr>
        <w:t>（一）响应文件递交截止时间：202</w:t>
      </w:r>
      <w:r>
        <w:rPr>
          <w:rFonts w:hint="eastAsia" w:ascii="仿宋_GB2312" w:hAnsi="宋体" w:eastAsia="仿宋_GB2312"/>
          <w:color w:val="000000"/>
          <w:spacing w:val="-6"/>
          <w:szCs w:val="28"/>
          <w:lang w:val="en-US" w:eastAsia="zh-CN"/>
        </w:rPr>
        <w:t>4</w:t>
      </w:r>
      <w:r>
        <w:rPr>
          <w:rFonts w:hint="eastAsia" w:ascii="仿宋_GB2312" w:hAnsi="宋体" w:eastAsia="仿宋_GB2312"/>
          <w:color w:val="000000"/>
          <w:spacing w:val="-6"/>
          <w:szCs w:val="28"/>
        </w:rPr>
        <w:t>年</w:t>
      </w:r>
      <w:r>
        <w:rPr>
          <w:rFonts w:hint="eastAsia" w:ascii="仿宋_GB2312" w:hAnsi="宋体" w:eastAsia="仿宋_GB2312"/>
          <w:color w:val="000000"/>
          <w:spacing w:val="-6"/>
          <w:szCs w:val="28"/>
          <w:lang w:val="en-US" w:eastAsia="zh-CN"/>
        </w:rPr>
        <w:t>6</w:t>
      </w:r>
      <w:r>
        <w:rPr>
          <w:rFonts w:hint="eastAsia" w:ascii="仿宋_GB2312" w:hAnsi="宋体" w:eastAsia="仿宋_GB2312"/>
          <w:color w:val="000000"/>
          <w:spacing w:val="-6"/>
          <w:szCs w:val="28"/>
        </w:rPr>
        <w:t>月</w:t>
      </w:r>
      <w:r>
        <w:rPr>
          <w:rFonts w:hint="eastAsia" w:ascii="仿宋_GB2312" w:hAnsi="宋体" w:eastAsia="仿宋_GB2312"/>
          <w:color w:val="000000"/>
          <w:spacing w:val="-6"/>
          <w:szCs w:val="28"/>
          <w:lang w:val="en-US" w:eastAsia="zh-CN"/>
        </w:rPr>
        <w:t>4</w:t>
      </w:r>
      <w:r>
        <w:rPr>
          <w:rFonts w:hint="eastAsia" w:ascii="仿宋_GB2312" w:hAnsi="宋体" w:eastAsia="仿宋_GB2312"/>
          <w:color w:val="000000"/>
          <w:spacing w:val="-6"/>
          <w:szCs w:val="28"/>
        </w:rPr>
        <w:t>日</w:t>
      </w:r>
      <w:r>
        <w:rPr>
          <w:rFonts w:hint="eastAsia" w:ascii="仿宋_GB2312" w:hAnsi="宋体" w:eastAsia="仿宋_GB2312"/>
          <w:color w:val="000000"/>
          <w:spacing w:val="-6"/>
          <w:szCs w:val="28"/>
          <w:lang w:val="en-US" w:eastAsia="zh-CN"/>
        </w:rPr>
        <w:t>下</w:t>
      </w:r>
      <w:r>
        <w:rPr>
          <w:rFonts w:hint="eastAsia" w:ascii="仿宋_GB2312" w:hAnsi="宋体" w:eastAsia="仿宋_GB2312"/>
          <w:color w:val="000000"/>
          <w:spacing w:val="-6"/>
          <w:szCs w:val="28"/>
        </w:rPr>
        <w:t>午</w:t>
      </w:r>
      <w:r>
        <w:rPr>
          <w:rFonts w:hint="eastAsia" w:ascii="仿宋_GB2312" w:hAnsi="宋体" w:eastAsia="仿宋_GB2312"/>
          <w:color w:val="000000"/>
          <w:spacing w:val="-6"/>
          <w:szCs w:val="28"/>
          <w:lang w:val="en-US" w:eastAsia="zh-CN"/>
        </w:rPr>
        <w:t>14</w:t>
      </w:r>
      <w:r>
        <w:rPr>
          <w:rFonts w:hint="eastAsia" w:ascii="仿宋_GB2312" w:hAnsi="宋体" w:eastAsia="仿宋_GB2312"/>
          <w:color w:val="000000"/>
          <w:spacing w:val="-6"/>
          <w:szCs w:val="28"/>
        </w:rPr>
        <w:t>：</w:t>
      </w:r>
      <w:r>
        <w:rPr>
          <w:rFonts w:hint="eastAsia" w:ascii="仿宋_GB2312" w:hAnsi="宋体" w:eastAsia="仿宋_GB2312"/>
          <w:color w:val="000000"/>
          <w:spacing w:val="-6"/>
          <w:szCs w:val="28"/>
          <w:lang w:val="en-US" w:eastAsia="zh-CN"/>
        </w:rPr>
        <w:t>3</w:t>
      </w:r>
      <w:r>
        <w:rPr>
          <w:rFonts w:hint="eastAsia" w:ascii="仿宋_GB2312" w:hAnsi="宋体" w:eastAsia="仿宋_GB2312"/>
          <w:color w:val="000000"/>
          <w:spacing w:val="-6"/>
          <w:szCs w:val="28"/>
        </w:rPr>
        <w:t>0；</w:t>
      </w:r>
    </w:p>
    <w:p>
      <w:pPr>
        <w:adjustRightInd w:val="0"/>
        <w:snapToGrid w:val="0"/>
        <w:spacing w:line="500" w:lineRule="atLeast"/>
        <w:ind w:firstLine="506" w:firstLineChars="189"/>
        <w:rPr>
          <w:rFonts w:ascii="仿宋_GB2312" w:hAnsi="宋体" w:eastAsia="仿宋_GB2312"/>
          <w:color w:val="000000"/>
          <w:spacing w:val="-6"/>
          <w:szCs w:val="28"/>
        </w:rPr>
      </w:pPr>
      <w:r>
        <w:rPr>
          <w:rFonts w:hint="eastAsia" w:ascii="仿宋_GB2312" w:hAnsi="宋体" w:eastAsia="仿宋_GB2312"/>
          <w:color w:val="000000"/>
          <w:spacing w:val="-6"/>
          <w:szCs w:val="28"/>
        </w:rPr>
        <w:t>（二）响应文件开启时间：202</w:t>
      </w:r>
      <w:r>
        <w:rPr>
          <w:rFonts w:hint="eastAsia" w:ascii="仿宋_GB2312" w:hAnsi="宋体" w:eastAsia="仿宋_GB2312"/>
          <w:color w:val="000000"/>
          <w:spacing w:val="-6"/>
          <w:szCs w:val="28"/>
          <w:lang w:val="en-US" w:eastAsia="zh-CN"/>
        </w:rPr>
        <w:t>4</w:t>
      </w:r>
      <w:r>
        <w:rPr>
          <w:rFonts w:hint="eastAsia" w:ascii="仿宋_GB2312" w:hAnsi="宋体" w:eastAsia="仿宋_GB2312"/>
          <w:color w:val="000000"/>
          <w:spacing w:val="-6"/>
          <w:szCs w:val="28"/>
        </w:rPr>
        <w:t>年</w:t>
      </w:r>
      <w:r>
        <w:rPr>
          <w:rFonts w:hint="eastAsia" w:ascii="仿宋_GB2312" w:hAnsi="宋体" w:eastAsia="仿宋_GB2312"/>
          <w:color w:val="000000"/>
          <w:spacing w:val="-6"/>
          <w:szCs w:val="28"/>
          <w:lang w:val="en-US" w:eastAsia="zh-CN"/>
        </w:rPr>
        <w:t>6</w:t>
      </w:r>
      <w:r>
        <w:rPr>
          <w:rFonts w:hint="eastAsia" w:ascii="仿宋_GB2312" w:hAnsi="宋体" w:eastAsia="仿宋_GB2312"/>
          <w:color w:val="000000"/>
          <w:spacing w:val="-6"/>
          <w:szCs w:val="28"/>
        </w:rPr>
        <w:t>月</w:t>
      </w:r>
      <w:r>
        <w:rPr>
          <w:rFonts w:hint="eastAsia" w:ascii="仿宋_GB2312" w:hAnsi="宋体" w:eastAsia="仿宋_GB2312"/>
          <w:color w:val="000000"/>
          <w:spacing w:val="-6"/>
          <w:szCs w:val="28"/>
          <w:lang w:val="en-US" w:eastAsia="zh-CN"/>
        </w:rPr>
        <w:t>4</w:t>
      </w:r>
      <w:r>
        <w:rPr>
          <w:rFonts w:hint="eastAsia" w:ascii="仿宋_GB2312" w:hAnsi="宋体" w:eastAsia="仿宋_GB2312"/>
          <w:color w:val="000000"/>
          <w:spacing w:val="-6"/>
          <w:szCs w:val="28"/>
        </w:rPr>
        <w:t>日</w:t>
      </w:r>
      <w:r>
        <w:rPr>
          <w:rFonts w:hint="eastAsia" w:ascii="仿宋_GB2312" w:hAnsi="宋体" w:eastAsia="仿宋_GB2312"/>
          <w:color w:val="000000"/>
          <w:spacing w:val="-6"/>
          <w:szCs w:val="28"/>
          <w:lang w:val="en-US" w:eastAsia="zh-CN"/>
        </w:rPr>
        <w:t>下</w:t>
      </w:r>
      <w:r>
        <w:rPr>
          <w:rFonts w:hint="eastAsia" w:ascii="仿宋_GB2312" w:hAnsi="宋体" w:eastAsia="仿宋_GB2312"/>
          <w:color w:val="000000"/>
          <w:spacing w:val="-6"/>
          <w:szCs w:val="28"/>
        </w:rPr>
        <w:t>午</w:t>
      </w:r>
      <w:r>
        <w:rPr>
          <w:rFonts w:hint="eastAsia" w:ascii="仿宋_GB2312" w:hAnsi="宋体" w:eastAsia="仿宋_GB2312"/>
          <w:color w:val="000000"/>
          <w:spacing w:val="-6"/>
          <w:szCs w:val="28"/>
          <w:lang w:val="en-US" w:eastAsia="zh-CN"/>
        </w:rPr>
        <w:t>14</w:t>
      </w:r>
      <w:r>
        <w:rPr>
          <w:rFonts w:hint="eastAsia" w:ascii="仿宋_GB2312" w:hAnsi="宋体" w:eastAsia="仿宋_GB2312"/>
          <w:color w:val="000000"/>
          <w:spacing w:val="-6"/>
          <w:szCs w:val="28"/>
        </w:rPr>
        <w:t>：</w:t>
      </w:r>
      <w:r>
        <w:rPr>
          <w:rFonts w:hint="eastAsia" w:ascii="仿宋_GB2312" w:hAnsi="宋体" w:eastAsia="仿宋_GB2312"/>
          <w:color w:val="000000"/>
          <w:spacing w:val="-6"/>
          <w:szCs w:val="28"/>
          <w:lang w:val="en-US" w:eastAsia="zh-CN"/>
        </w:rPr>
        <w:t>3</w:t>
      </w:r>
      <w:r>
        <w:rPr>
          <w:rFonts w:hint="eastAsia" w:ascii="仿宋_GB2312" w:hAnsi="宋体" w:eastAsia="仿宋_GB2312"/>
          <w:color w:val="000000"/>
          <w:spacing w:val="-6"/>
          <w:szCs w:val="28"/>
        </w:rPr>
        <w:t>0；</w:t>
      </w:r>
    </w:p>
    <w:p>
      <w:pPr>
        <w:adjustRightInd w:val="0"/>
        <w:snapToGrid w:val="0"/>
        <w:spacing w:line="500" w:lineRule="atLeast"/>
        <w:ind w:firstLine="506" w:firstLineChars="189"/>
        <w:rPr>
          <w:rFonts w:ascii="仿宋_GB2312" w:hAnsi="宋体" w:eastAsia="仿宋_GB2312"/>
          <w:color w:val="000000"/>
          <w:spacing w:val="-6"/>
          <w:szCs w:val="28"/>
        </w:rPr>
      </w:pPr>
      <w:r>
        <w:rPr>
          <w:rFonts w:hint="eastAsia" w:ascii="仿宋_GB2312" w:hAnsi="宋体" w:eastAsia="仿宋_GB2312"/>
          <w:color w:val="000000"/>
          <w:spacing w:val="-6"/>
          <w:szCs w:val="28"/>
        </w:rPr>
        <w:t>（三）地点：芜湖市弋江区文昌西路22号滨江校区图书信息楼东辅楼5楼5002室；</w:t>
      </w:r>
    </w:p>
    <w:p>
      <w:pPr>
        <w:adjustRightInd w:val="0"/>
        <w:snapToGrid w:val="0"/>
        <w:spacing w:line="500" w:lineRule="atLeast"/>
        <w:ind w:firstLine="506" w:firstLineChars="189"/>
        <w:rPr>
          <w:rFonts w:hint="eastAsia" w:ascii="仿宋_GB2312" w:hAnsi="宋体" w:eastAsia="仿宋_GB2312"/>
          <w:color w:val="000000"/>
          <w:spacing w:val="-6"/>
          <w:szCs w:val="28"/>
        </w:rPr>
      </w:pPr>
      <w:r>
        <w:rPr>
          <w:rFonts w:hint="eastAsia" w:ascii="仿宋_GB2312" w:hAnsi="宋体" w:eastAsia="仿宋_GB2312"/>
          <w:color w:val="000000"/>
          <w:spacing w:val="-6"/>
          <w:szCs w:val="28"/>
        </w:rPr>
        <w:t>（四）递交响应文件时间截止后，磋商小组与供应商磋商，请供应商法定代表人或其授权委托代表（提供授权委托书）出席。</w:t>
      </w:r>
    </w:p>
    <w:p>
      <w:pPr>
        <w:pStyle w:val="13"/>
        <w:ind w:left="0" w:leftChars="0" w:firstLine="560" w:firstLineChars="200"/>
        <w:rPr>
          <w:rFonts w:hint="eastAsia" w:ascii="仿宋_GB2312" w:hAnsi="仿宋_GB2312" w:eastAsia="仿宋_GB2312" w:cs="仿宋_GB2312"/>
          <w:i w:val="0"/>
          <w:iCs w:val="0"/>
          <w:caps w:val="0"/>
          <w:color w:val="333333"/>
          <w:spacing w:val="0"/>
          <w:sz w:val="28"/>
          <w:szCs w:val="28"/>
          <w:shd w:val="clear" w:fill="FFFFFF"/>
        </w:rPr>
      </w:pPr>
      <w:r>
        <w:rPr>
          <w:rFonts w:hint="eastAsia" w:hAnsi="仿宋_GB2312" w:cs="仿宋_GB2312"/>
          <w:i w:val="0"/>
          <w:iCs w:val="0"/>
          <w:caps w:val="0"/>
          <w:color w:val="333333"/>
          <w:spacing w:val="0"/>
          <w:sz w:val="28"/>
          <w:szCs w:val="28"/>
          <w:shd w:val="clear" w:fill="FFFFFF"/>
          <w:lang w:eastAsia="zh-CN"/>
        </w:rPr>
        <w:t>（</w:t>
      </w:r>
      <w:r>
        <w:rPr>
          <w:rFonts w:hint="eastAsia" w:hAnsi="仿宋_GB2312" w:cs="仿宋_GB2312"/>
          <w:i w:val="0"/>
          <w:iCs w:val="0"/>
          <w:caps w:val="0"/>
          <w:color w:val="333333"/>
          <w:spacing w:val="0"/>
          <w:sz w:val="28"/>
          <w:szCs w:val="28"/>
          <w:shd w:val="clear" w:fill="FFFFFF"/>
          <w:lang w:val="en-US" w:eastAsia="zh-CN"/>
        </w:rPr>
        <w:t>五</w:t>
      </w:r>
      <w:r>
        <w:rPr>
          <w:rFonts w:hint="eastAsia" w:hAnsi="仿宋_GB2312" w:cs="仿宋_GB2312"/>
          <w:i w:val="0"/>
          <w:iCs w:val="0"/>
          <w:caps w:val="0"/>
          <w:color w:val="333333"/>
          <w:spacing w:val="0"/>
          <w:sz w:val="28"/>
          <w:szCs w:val="28"/>
          <w:shd w:val="clear" w:fill="FFFFFF"/>
          <w:lang w:eastAsia="zh-CN"/>
        </w:rPr>
        <w:t>）</w:t>
      </w:r>
      <w:r>
        <w:rPr>
          <w:rFonts w:hint="eastAsia" w:ascii="仿宋_GB2312" w:hAnsi="仿宋_GB2312" w:eastAsia="仿宋_GB2312" w:cs="仿宋_GB2312"/>
          <w:i w:val="0"/>
          <w:iCs w:val="0"/>
          <w:caps w:val="0"/>
          <w:color w:val="333333"/>
          <w:spacing w:val="0"/>
          <w:sz w:val="28"/>
          <w:szCs w:val="28"/>
          <w:shd w:val="clear" w:fill="FFFFFF"/>
        </w:rPr>
        <w:t>因学校要求，校外人员进校需扫码登记。请各投标单位如实填写，并于202</w:t>
      </w:r>
      <w:r>
        <w:rPr>
          <w:rFonts w:hint="eastAsia" w:hAnsi="仿宋_GB2312" w:cs="仿宋_GB2312"/>
          <w:i w:val="0"/>
          <w:iCs w:val="0"/>
          <w:caps w:val="0"/>
          <w:color w:val="333333"/>
          <w:spacing w:val="0"/>
          <w:sz w:val="28"/>
          <w:szCs w:val="28"/>
          <w:shd w:val="clear" w:fill="FFFFFF"/>
          <w:lang w:val="en-US" w:eastAsia="zh-CN"/>
        </w:rPr>
        <w:t>4</w:t>
      </w:r>
      <w:r>
        <w:rPr>
          <w:rFonts w:hint="eastAsia" w:ascii="仿宋_GB2312" w:hAnsi="仿宋_GB2312" w:eastAsia="仿宋_GB2312" w:cs="仿宋_GB2312"/>
          <w:i w:val="0"/>
          <w:iCs w:val="0"/>
          <w:caps w:val="0"/>
          <w:color w:val="333333"/>
          <w:spacing w:val="0"/>
          <w:sz w:val="28"/>
          <w:szCs w:val="28"/>
          <w:shd w:val="clear" w:fill="FFFFFF"/>
        </w:rPr>
        <w:t>年</w:t>
      </w:r>
      <w:r>
        <w:rPr>
          <w:rFonts w:hint="eastAsia" w:hAnsi="仿宋_GB2312" w:cs="仿宋_GB2312"/>
          <w:i w:val="0"/>
          <w:iCs w:val="0"/>
          <w:caps w:val="0"/>
          <w:color w:val="333333"/>
          <w:spacing w:val="0"/>
          <w:sz w:val="28"/>
          <w:szCs w:val="28"/>
          <w:shd w:val="clear" w:fill="FFFFFF"/>
          <w:lang w:val="en-US" w:eastAsia="zh-CN"/>
        </w:rPr>
        <w:t>6</w:t>
      </w:r>
      <w:r>
        <w:rPr>
          <w:rFonts w:hint="eastAsia" w:ascii="仿宋_GB2312" w:hAnsi="仿宋_GB2312" w:eastAsia="仿宋_GB2312" w:cs="仿宋_GB2312"/>
          <w:i w:val="0"/>
          <w:iCs w:val="0"/>
          <w:caps w:val="0"/>
          <w:color w:val="333333"/>
          <w:spacing w:val="0"/>
          <w:sz w:val="28"/>
          <w:szCs w:val="28"/>
          <w:shd w:val="clear" w:fill="FFFFFF"/>
        </w:rPr>
        <w:t>月</w:t>
      </w:r>
      <w:r>
        <w:rPr>
          <w:rFonts w:hint="eastAsia" w:hAnsi="仿宋_GB2312" w:cs="仿宋_GB2312"/>
          <w:i w:val="0"/>
          <w:iCs w:val="0"/>
          <w:caps w:val="0"/>
          <w:color w:val="333333"/>
          <w:spacing w:val="0"/>
          <w:sz w:val="28"/>
          <w:szCs w:val="28"/>
          <w:shd w:val="clear" w:fill="FFFFFF"/>
          <w:lang w:val="en-US" w:eastAsia="zh-CN"/>
        </w:rPr>
        <w:t>3</w:t>
      </w:r>
      <w:r>
        <w:rPr>
          <w:rFonts w:hint="eastAsia" w:ascii="仿宋_GB2312" w:hAnsi="仿宋_GB2312" w:eastAsia="仿宋_GB2312" w:cs="仿宋_GB2312"/>
          <w:i w:val="0"/>
          <w:iCs w:val="0"/>
          <w:caps w:val="0"/>
          <w:color w:val="333333"/>
          <w:spacing w:val="0"/>
          <w:sz w:val="28"/>
          <w:szCs w:val="28"/>
          <w:shd w:val="clear" w:fill="FFFFFF"/>
        </w:rPr>
        <w:t>日12：00前完成登记申请（其中受访人姓名：王凌云，电话：13505596369），未按时提交申请的，后果自负。</w:t>
      </w:r>
    </w:p>
    <w:p>
      <w:pPr>
        <w:pStyle w:val="13"/>
        <w:ind w:left="0" w:leftChars="0" w:firstLine="560" w:firstLineChars="200"/>
      </w:pPr>
      <w:r>
        <w:rPr>
          <w:rFonts w:hint="eastAsia" w:ascii="仿宋_GB2312" w:hAnsi="仿宋_GB2312" w:eastAsia="仿宋_GB2312" w:cs="仿宋_GB2312"/>
          <w:i w:val="0"/>
          <w:iCs w:val="0"/>
          <w:caps w:val="0"/>
          <w:color w:val="333333"/>
          <w:spacing w:val="0"/>
          <w:sz w:val="28"/>
          <w:szCs w:val="28"/>
          <w:shd w:val="clear" w:fill="FFFFFF"/>
        </w:rPr>
        <w:t> </w:t>
      </w:r>
      <w:r>
        <w:rPr>
          <w:sz w:val="28"/>
          <w:szCs w:val="28"/>
        </w:rPr>
        <w:drawing>
          <wp:inline distT="0" distB="0" distL="114300" distR="114300">
            <wp:extent cx="1971675" cy="1971675"/>
            <wp:effectExtent l="0" t="0" r="9525"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1971675" cy="1971675"/>
                    </a:xfrm>
                    <a:prstGeom prst="rect">
                      <a:avLst/>
                    </a:prstGeom>
                    <a:noFill/>
                    <a:ln>
                      <a:noFill/>
                    </a:ln>
                  </pic:spPr>
                </pic:pic>
              </a:graphicData>
            </a:graphic>
          </wp:inline>
        </w:drawing>
      </w:r>
      <w:r>
        <w:rPr>
          <w:rFonts w:hint="eastAsia" w:ascii="仿宋_GB2312" w:hAnsi="仿宋_GB2312" w:eastAsia="仿宋_GB2312" w:cs="仿宋_GB2312"/>
          <w:i w:val="0"/>
          <w:iCs w:val="0"/>
          <w:caps w:val="0"/>
          <w:color w:val="333333"/>
          <w:spacing w:val="0"/>
          <w:sz w:val="28"/>
          <w:szCs w:val="28"/>
          <w:shd w:val="clear" w:fill="FFFFFF"/>
        </w:rPr>
        <w:t>。</w:t>
      </w:r>
    </w:p>
    <w:p>
      <w:pPr>
        <w:adjustRightInd w:val="0"/>
        <w:snapToGrid w:val="0"/>
        <w:spacing w:line="500" w:lineRule="atLeast"/>
        <w:ind w:firstLine="531" w:firstLineChars="189"/>
        <w:rPr>
          <w:rFonts w:ascii="仿宋_GB2312" w:eastAsia="仿宋_GB2312"/>
          <w:szCs w:val="28"/>
        </w:rPr>
      </w:pPr>
      <w:r>
        <w:rPr>
          <w:rFonts w:hint="eastAsia" w:ascii="仿宋_GB2312" w:eastAsia="仿宋_GB2312"/>
          <w:b/>
          <w:szCs w:val="28"/>
        </w:rPr>
        <w:t>六、联系方式</w:t>
      </w:r>
      <w:r>
        <w:rPr>
          <w:rFonts w:hint="eastAsia" w:ascii="仿宋_GB2312" w:eastAsia="仿宋_GB2312"/>
          <w:szCs w:val="28"/>
        </w:rPr>
        <w:t>：</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（一）联系人：</w:t>
      </w:r>
      <w:r>
        <w:rPr>
          <w:rFonts w:hint="eastAsia" w:ascii="仿宋_GB2312" w:eastAsia="仿宋_GB2312"/>
          <w:szCs w:val="28"/>
          <w:lang w:eastAsia="zh-CN"/>
        </w:rPr>
        <w:t>方</w:t>
      </w:r>
      <w:r>
        <w:rPr>
          <w:rFonts w:hint="eastAsia" w:ascii="仿宋_GB2312" w:eastAsia="仿宋_GB2312"/>
          <w:szCs w:val="28"/>
        </w:rPr>
        <w:t>老师</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（二）联系电话：0553-3932052</w:t>
      </w:r>
    </w:p>
    <w:p>
      <w:pPr>
        <w:adjustRightInd w:val="0"/>
        <w:snapToGrid w:val="0"/>
        <w:spacing w:line="500" w:lineRule="atLeast"/>
        <w:ind w:firstLine="562" w:firstLineChars="200"/>
        <w:jc w:val="left"/>
        <w:rPr>
          <w:rFonts w:ascii="仿宋_GB2312" w:eastAsia="仿宋_GB2312"/>
          <w:b/>
          <w:szCs w:val="28"/>
        </w:rPr>
      </w:pPr>
      <w:r>
        <w:rPr>
          <w:rFonts w:hint="eastAsia" w:ascii="仿宋_GB2312" w:eastAsia="仿宋_GB2312"/>
          <w:b/>
          <w:szCs w:val="28"/>
        </w:rPr>
        <w:t>七、备注</w:t>
      </w:r>
    </w:p>
    <w:p>
      <w:pPr>
        <w:adjustRightInd w:val="0"/>
        <w:snapToGrid w:val="0"/>
        <w:spacing w:line="500" w:lineRule="atLeast"/>
        <w:ind w:firstLine="560" w:firstLineChars="200"/>
        <w:jc w:val="left"/>
        <w:rPr>
          <w:rFonts w:ascii="仿宋_GB2312" w:eastAsia="仿宋_GB2312"/>
          <w:szCs w:val="28"/>
        </w:rPr>
      </w:pPr>
      <w:r>
        <w:rPr>
          <w:rFonts w:hint="eastAsia" w:ascii="仿宋_GB2312" w:eastAsia="仿宋_GB2312"/>
          <w:szCs w:val="28"/>
        </w:rPr>
        <w:t>我校保留对报名合格单位进行进一步资格审核的权利。</w:t>
      </w:r>
    </w:p>
    <w:p>
      <w:pPr>
        <w:adjustRightInd w:val="0"/>
        <w:snapToGrid w:val="0"/>
        <w:spacing w:line="500" w:lineRule="atLeast"/>
        <w:ind w:firstLine="560" w:firstLineChars="200"/>
        <w:jc w:val="left"/>
        <w:rPr>
          <w:rFonts w:ascii="仿宋_GB2312" w:eastAsia="仿宋_GB2312"/>
          <w:szCs w:val="28"/>
        </w:rPr>
      </w:pPr>
    </w:p>
    <w:p>
      <w:pPr>
        <w:widowControl/>
        <w:shd w:val="clear" w:color="auto" w:fill="FFFFFF"/>
        <w:adjustRightInd w:val="0"/>
        <w:snapToGrid w:val="0"/>
        <w:spacing w:before="100" w:beforeAutospacing="1" w:after="100" w:afterAutospacing="1" w:line="240" w:lineRule="atLeast"/>
        <w:jc w:val="right"/>
        <w:rPr>
          <w:rFonts w:ascii="宋体" w:hAnsi="宋体" w:cs="宋体"/>
          <w:color w:val="333333"/>
          <w:kern w:val="0"/>
          <w:szCs w:val="28"/>
        </w:rPr>
      </w:pPr>
      <w:r>
        <w:rPr>
          <w:rFonts w:hint="eastAsia" w:ascii="仿宋_GB2312" w:hAnsi="宋体" w:eastAsia="仿宋_GB2312" w:cs="宋体"/>
          <w:color w:val="000000"/>
          <w:kern w:val="0"/>
          <w:szCs w:val="28"/>
        </w:rPr>
        <w:t>皖南医学院国有资产管理处</w:t>
      </w:r>
    </w:p>
    <w:p>
      <w:pPr>
        <w:widowControl/>
        <w:shd w:val="clear" w:color="auto" w:fill="FFFFFF"/>
        <w:adjustRightInd w:val="0"/>
        <w:snapToGrid w:val="0"/>
        <w:spacing w:before="100" w:beforeAutospacing="1" w:after="100" w:afterAutospacing="1" w:line="240" w:lineRule="atLeast"/>
        <w:jc w:val="right"/>
        <w:rPr>
          <w:rFonts w:ascii="仿宋_GB2312" w:hAnsi="宋体" w:eastAsia="仿宋_GB2312" w:cs="宋体"/>
          <w:color w:val="000000"/>
          <w:kern w:val="0"/>
          <w:szCs w:val="28"/>
        </w:rPr>
      </w:pPr>
      <w:r>
        <w:rPr>
          <w:rFonts w:hint="eastAsia" w:ascii="仿宋_GB2312" w:hAnsi="宋体" w:eastAsia="仿宋_GB2312" w:cs="宋体"/>
          <w:color w:val="000000"/>
          <w:kern w:val="0"/>
          <w:szCs w:val="28"/>
        </w:rPr>
        <w:t>202</w:t>
      </w:r>
      <w:r>
        <w:rPr>
          <w:rFonts w:hint="eastAsia" w:ascii="仿宋_GB2312" w:hAnsi="宋体" w:eastAsia="仿宋_GB2312" w:cs="宋体"/>
          <w:color w:val="000000"/>
          <w:kern w:val="0"/>
          <w:szCs w:val="28"/>
          <w:lang w:val="en-US" w:eastAsia="zh-CN"/>
        </w:rPr>
        <w:t>4</w:t>
      </w:r>
      <w:r>
        <w:rPr>
          <w:rFonts w:hint="eastAsia" w:ascii="仿宋_GB2312" w:hAnsi="宋体" w:eastAsia="仿宋_GB2312" w:cs="宋体"/>
          <w:color w:val="000000"/>
          <w:kern w:val="0"/>
          <w:szCs w:val="28"/>
        </w:rPr>
        <w:t>年</w:t>
      </w:r>
      <w:r>
        <w:rPr>
          <w:rFonts w:hint="eastAsia" w:ascii="仿宋_GB2312" w:hAnsi="宋体" w:eastAsia="仿宋_GB2312" w:cs="宋体"/>
          <w:color w:val="000000"/>
          <w:kern w:val="0"/>
          <w:szCs w:val="28"/>
          <w:lang w:val="en-US" w:eastAsia="zh-CN"/>
        </w:rPr>
        <w:t>5</w:t>
      </w:r>
      <w:r>
        <w:rPr>
          <w:rFonts w:hint="eastAsia" w:ascii="仿宋_GB2312" w:hAnsi="宋体" w:eastAsia="仿宋_GB2312" w:cs="宋体"/>
          <w:color w:val="000000"/>
          <w:kern w:val="0"/>
          <w:szCs w:val="28"/>
        </w:rPr>
        <w:t>月</w:t>
      </w:r>
      <w:r>
        <w:rPr>
          <w:rFonts w:hint="eastAsia" w:ascii="仿宋_GB2312" w:hAnsi="宋体" w:eastAsia="仿宋_GB2312" w:cs="宋体"/>
          <w:color w:val="000000"/>
          <w:kern w:val="0"/>
          <w:szCs w:val="28"/>
          <w:lang w:val="en-US" w:eastAsia="zh-CN"/>
        </w:rPr>
        <w:t>24</w:t>
      </w:r>
      <w:r>
        <w:rPr>
          <w:rFonts w:hint="eastAsia" w:ascii="仿宋_GB2312" w:hAnsi="宋体" w:eastAsia="仿宋_GB2312" w:cs="宋体"/>
          <w:color w:val="000000"/>
          <w:kern w:val="0"/>
          <w:szCs w:val="28"/>
        </w:rPr>
        <w:t>日</w:t>
      </w:r>
      <w:bookmarkEnd w:id="2"/>
      <w:bookmarkEnd w:id="3"/>
    </w:p>
    <w:p>
      <w:pPr>
        <w:widowControl/>
        <w:shd w:val="clear" w:color="auto" w:fill="FFFFFF"/>
        <w:adjustRightInd w:val="0"/>
        <w:snapToGrid w:val="0"/>
        <w:spacing w:before="100" w:beforeAutospacing="1" w:after="100" w:afterAutospacing="1" w:line="240" w:lineRule="atLeast"/>
        <w:jc w:val="left"/>
        <w:rPr>
          <w:rFonts w:ascii="仿宋_GB2312" w:hAnsi="宋体" w:eastAsia="仿宋_GB2312" w:cs="宋体"/>
          <w:color w:val="000000"/>
          <w:kern w:val="0"/>
          <w:szCs w:val="28"/>
        </w:rPr>
      </w:pPr>
    </w:p>
    <w:p>
      <w:pPr>
        <w:widowControl/>
        <w:shd w:val="clear" w:color="auto" w:fill="FFFFFF"/>
        <w:adjustRightInd w:val="0"/>
        <w:snapToGrid w:val="0"/>
        <w:spacing w:before="100" w:beforeAutospacing="1" w:after="100" w:afterAutospacing="1" w:line="240" w:lineRule="atLeast"/>
        <w:jc w:val="left"/>
        <w:rPr>
          <w:rFonts w:ascii="仿宋_GB2312" w:hAnsi="宋体" w:eastAsia="仿宋_GB2312" w:cs="宋体"/>
          <w:color w:val="000000"/>
          <w:kern w:val="0"/>
          <w:szCs w:val="28"/>
        </w:rPr>
      </w:pPr>
    </w:p>
    <w:p>
      <w:pPr>
        <w:rPr>
          <w:rFonts w:ascii="仿宋_GB2312" w:hAnsi="宋体" w:eastAsia="仿宋_GB2312" w:cs="宋体"/>
          <w:color w:val="000000"/>
          <w:kern w:val="0"/>
          <w:szCs w:val="28"/>
        </w:rPr>
      </w:pPr>
    </w:p>
    <w:p>
      <w:pPr>
        <w:pStyle w:val="3"/>
        <w:snapToGrid w:val="0"/>
        <w:spacing w:before="0" w:after="0"/>
        <w:ind w:left="947" w:firstLine="0"/>
        <w:jc w:val="center"/>
        <w:rPr>
          <w:rFonts w:ascii="华文中宋" w:hAnsi="华文中宋" w:eastAsia="华文中宋"/>
        </w:rPr>
      </w:pPr>
      <w:bookmarkStart w:id="4" w:name="_Toc479170300"/>
      <w:bookmarkStart w:id="5" w:name="_Toc516580570"/>
      <w:r>
        <w:rPr>
          <w:rFonts w:hint="eastAsia" w:ascii="华文中宋" w:hAnsi="华文中宋" w:eastAsia="华文中宋"/>
        </w:rPr>
        <w:t>第二章  磋商须知前附表</w:t>
      </w:r>
      <w:bookmarkEnd w:id="4"/>
      <w:bookmarkEnd w:id="5"/>
    </w:p>
    <w:tbl>
      <w:tblPr>
        <w:tblStyle w:val="26"/>
        <w:tblW w:w="91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1635"/>
        <w:gridCol w:w="64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ascii="宋体" w:hAnsi="宋体"/>
                <w:b/>
                <w:kern w:val="0"/>
                <w:sz w:val="21"/>
                <w:szCs w:val="21"/>
              </w:rPr>
            </w:pPr>
            <w:r>
              <w:rPr>
                <w:rFonts w:ascii="宋体" w:hAnsi="宋体"/>
                <w:b/>
                <w:kern w:val="0"/>
                <w:sz w:val="21"/>
                <w:szCs w:val="21"/>
              </w:rPr>
              <w:t>条款号</w:t>
            </w:r>
          </w:p>
        </w:tc>
        <w:tc>
          <w:tcPr>
            <w:tcW w:w="1635" w:type="dxa"/>
            <w:vAlign w:val="center"/>
          </w:tcPr>
          <w:p>
            <w:pPr>
              <w:widowControl/>
              <w:snapToGrid w:val="0"/>
              <w:spacing w:line="240" w:lineRule="atLeast"/>
              <w:jc w:val="center"/>
              <w:rPr>
                <w:rFonts w:ascii="宋体" w:hAnsi="宋体"/>
                <w:b/>
                <w:kern w:val="0"/>
                <w:sz w:val="21"/>
                <w:szCs w:val="21"/>
              </w:rPr>
            </w:pPr>
            <w:r>
              <w:rPr>
                <w:rFonts w:ascii="宋体" w:hAnsi="宋体"/>
                <w:b/>
                <w:kern w:val="0"/>
                <w:sz w:val="21"/>
                <w:szCs w:val="21"/>
              </w:rPr>
              <w:t>条款名称</w:t>
            </w:r>
          </w:p>
        </w:tc>
        <w:tc>
          <w:tcPr>
            <w:tcW w:w="6480" w:type="dxa"/>
            <w:vAlign w:val="center"/>
          </w:tcPr>
          <w:p>
            <w:pPr>
              <w:widowControl/>
              <w:snapToGrid w:val="0"/>
              <w:spacing w:line="240" w:lineRule="atLeast"/>
              <w:jc w:val="center"/>
              <w:rPr>
                <w:rFonts w:ascii="宋体" w:hAnsi="宋体"/>
                <w:b/>
                <w:kern w:val="0"/>
                <w:sz w:val="21"/>
                <w:szCs w:val="21"/>
              </w:rPr>
            </w:pPr>
            <w:r>
              <w:rPr>
                <w:rFonts w:ascii="宋体" w:hAnsi="宋体"/>
                <w:b/>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2.1</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项目名称</w:t>
            </w:r>
          </w:p>
        </w:tc>
        <w:tc>
          <w:tcPr>
            <w:tcW w:w="6480" w:type="dxa"/>
            <w:vAlign w:val="center"/>
          </w:tcPr>
          <w:p>
            <w:pPr>
              <w:snapToGrid w:val="0"/>
              <w:spacing w:line="240" w:lineRule="atLeas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皖南医学院网络课程学习平台及资源服务采购项目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2.2</w:t>
            </w:r>
          </w:p>
        </w:tc>
        <w:tc>
          <w:tcPr>
            <w:tcW w:w="1635"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采购</w:t>
            </w:r>
            <w:r>
              <w:rPr>
                <w:rFonts w:ascii="宋体" w:hAnsi="宋体"/>
                <w:kern w:val="0"/>
                <w:sz w:val="21"/>
                <w:szCs w:val="21"/>
              </w:rPr>
              <w:t>人</w:t>
            </w:r>
          </w:p>
        </w:tc>
        <w:tc>
          <w:tcPr>
            <w:tcW w:w="6480" w:type="dxa"/>
            <w:vAlign w:val="center"/>
          </w:tcPr>
          <w:p>
            <w:pPr>
              <w:widowControl/>
              <w:snapToGrid w:val="0"/>
              <w:spacing w:line="240" w:lineRule="atLeast"/>
              <w:rPr>
                <w:rFonts w:ascii="宋体" w:hAnsi="宋体"/>
                <w:kern w:val="0"/>
                <w:sz w:val="21"/>
                <w:szCs w:val="21"/>
              </w:rPr>
            </w:pPr>
            <w:r>
              <w:rPr>
                <w:rFonts w:hint="eastAsia" w:ascii="宋体" w:hAnsi="宋体"/>
                <w:kern w:val="0"/>
                <w:sz w:val="21"/>
                <w:szCs w:val="21"/>
              </w:rPr>
              <w:t>招标人</w:t>
            </w:r>
            <w:r>
              <w:rPr>
                <w:rFonts w:ascii="宋体" w:hAnsi="宋体"/>
                <w:kern w:val="0"/>
                <w:sz w:val="21"/>
                <w:szCs w:val="21"/>
              </w:rPr>
              <w:t>名称：</w:t>
            </w:r>
            <w:r>
              <w:rPr>
                <w:rFonts w:hint="eastAsia" w:ascii="宋体" w:hAnsi="宋体"/>
                <w:sz w:val="21"/>
                <w:szCs w:val="21"/>
              </w:rPr>
              <w:t>皖南医学院</w:t>
            </w:r>
          </w:p>
          <w:p>
            <w:pPr>
              <w:snapToGrid w:val="0"/>
              <w:spacing w:line="240" w:lineRule="atLeast"/>
              <w:rPr>
                <w:rFonts w:ascii="宋体" w:hAnsi="宋体"/>
                <w:kern w:val="0"/>
                <w:sz w:val="21"/>
                <w:szCs w:val="21"/>
              </w:rPr>
            </w:pPr>
            <w:r>
              <w:rPr>
                <w:rFonts w:ascii="宋体" w:hAnsi="宋体"/>
                <w:kern w:val="0"/>
                <w:sz w:val="21"/>
                <w:szCs w:val="21"/>
              </w:rPr>
              <w:t>联系人：</w:t>
            </w:r>
            <w:r>
              <w:rPr>
                <w:rFonts w:hint="eastAsia" w:ascii="宋体" w:hAnsi="宋体"/>
                <w:kern w:val="0"/>
                <w:sz w:val="21"/>
                <w:szCs w:val="21"/>
                <w:lang w:eastAsia="zh-CN"/>
              </w:rPr>
              <w:t>方</w:t>
            </w:r>
            <w:r>
              <w:rPr>
                <w:rFonts w:hint="eastAsia" w:ascii="宋体" w:hAnsi="宋体"/>
                <w:kern w:val="0"/>
                <w:sz w:val="21"/>
                <w:szCs w:val="21"/>
              </w:rPr>
              <w:t xml:space="preserve">老师 </w:t>
            </w:r>
            <w:r>
              <w:rPr>
                <w:rFonts w:hint="eastAsia" w:ascii="宋体" w:hAnsi="宋体"/>
                <w:b/>
                <w:color w:val="FF0000"/>
                <w:kern w:val="0"/>
                <w:sz w:val="21"/>
                <w:szCs w:val="21"/>
              </w:rPr>
              <w:t xml:space="preserve"> </w:t>
            </w:r>
            <w:r>
              <w:rPr>
                <w:rFonts w:hint="eastAsia" w:ascii="宋体" w:hAnsi="宋体"/>
                <w:kern w:val="0"/>
                <w:sz w:val="21"/>
                <w:szCs w:val="21"/>
              </w:rPr>
              <w:t xml:space="preserve"> </w:t>
            </w:r>
            <w:r>
              <w:rPr>
                <w:rFonts w:ascii="宋体" w:hAnsi="宋体"/>
                <w:kern w:val="0"/>
                <w:sz w:val="21"/>
                <w:szCs w:val="21"/>
              </w:rPr>
              <w:t>电话：</w:t>
            </w:r>
            <w:r>
              <w:rPr>
                <w:rFonts w:hint="eastAsia" w:ascii="宋体" w:hAnsi="宋体"/>
                <w:kern w:val="0"/>
                <w:sz w:val="21"/>
                <w:szCs w:val="21"/>
              </w:rPr>
              <w:t>0553-3932052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2.3</w:t>
            </w:r>
          </w:p>
        </w:tc>
        <w:tc>
          <w:tcPr>
            <w:tcW w:w="1635"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采购</w:t>
            </w:r>
            <w:r>
              <w:rPr>
                <w:rFonts w:ascii="宋体" w:hAnsi="宋体"/>
                <w:kern w:val="0"/>
                <w:sz w:val="21"/>
                <w:szCs w:val="21"/>
              </w:rPr>
              <w:t>范围</w:t>
            </w:r>
          </w:p>
        </w:tc>
        <w:tc>
          <w:tcPr>
            <w:tcW w:w="6480" w:type="dxa"/>
            <w:vAlign w:val="center"/>
          </w:tcPr>
          <w:p>
            <w:pPr>
              <w:widowControl/>
              <w:snapToGrid w:val="0"/>
              <w:spacing w:line="240" w:lineRule="atLeast"/>
              <w:rPr>
                <w:rFonts w:ascii="宋体" w:hAnsi="宋体"/>
                <w:kern w:val="0"/>
                <w:sz w:val="21"/>
                <w:szCs w:val="21"/>
              </w:rPr>
            </w:pPr>
            <w:r>
              <w:rPr>
                <w:rFonts w:ascii="宋体" w:hAnsi="宋体"/>
                <w:kern w:val="0"/>
                <w:sz w:val="21"/>
                <w:szCs w:val="21"/>
              </w:rPr>
              <w:t>详见</w:t>
            </w:r>
            <w:r>
              <w:rPr>
                <w:rFonts w:hint="eastAsia" w:ascii="宋体" w:hAnsi="宋体"/>
                <w:kern w:val="0"/>
                <w:sz w:val="21"/>
                <w:szCs w:val="21"/>
              </w:rPr>
              <w:t>磋商</w:t>
            </w:r>
            <w:r>
              <w:rPr>
                <w:rFonts w:ascii="宋体" w:hAnsi="宋体"/>
                <w:kern w:val="0"/>
                <w:sz w:val="21"/>
                <w:szCs w:val="21"/>
              </w:rPr>
              <w:t>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2.4</w:t>
            </w:r>
          </w:p>
        </w:tc>
        <w:tc>
          <w:tcPr>
            <w:tcW w:w="1635" w:type="dxa"/>
            <w:vAlign w:val="center"/>
          </w:tcPr>
          <w:p>
            <w:pPr>
              <w:widowControl/>
              <w:snapToGrid w:val="0"/>
              <w:spacing w:line="240" w:lineRule="atLeast"/>
              <w:jc w:val="center"/>
              <w:rPr>
                <w:rFonts w:ascii="宋体" w:hAnsi="宋体"/>
                <w:color w:val="0000FF"/>
                <w:kern w:val="0"/>
                <w:sz w:val="21"/>
                <w:szCs w:val="21"/>
              </w:rPr>
            </w:pPr>
            <w:r>
              <w:rPr>
                <w:rFonts w:hint="eastAsia" w:ascii="宋体" w:hAnsi="宋体"/>
                <w:kern w:val="0"/>
                <w:sz w:val="21"/>
                <w:szCs w:val="21"/>
              </w:rPr>
              <w:t>项目工期</w:t>
            </w:r>
            <w:r>
              <w:rPr>
                <w:rFonts w:ascii="宋体" w:hAnsi="宋体"/>
                <w:kern w:val="0"/>
                <w:sz w:val="21"/>
                <w:szCs w:val="21"/>
              </w:rPr>
              <w:t>要求</w:t>
            </w:r>
          </w:p>
        </w:tc>
        <w:tc>
          <w:tcPr>
            <w:tcW w:w="6480" w:type="dxa"/>
            <w:vAlign w:val="center"/>
          </w:tcPr>
          <w:p>
            <w:pPr>
              <w:widowControl/>
              <w:snapToGrid w:val="0"/>
              <w:spacing w:line="240" w:lineRule="atLeast"/>
              <w:rPr>
                <w:rFonts w:ascii="宋体" w:hAnsi="宋体"/>
                <w:kern w:val="0"/>
                <w:sz w:val="21"/>
                <w:szCs w:val="21"/>
              </w:rPr>
            </w:pPr>
            <w:r>
              <w:rPr>
                <w:rFonts w:hint="eastAsia" w:ascii="宋体" w:hAnsi="宋体"/>
                <w:kern w:val="0"/>
                <w:sz w:val="21"/>
                <w:szCs w:val="21"/>
              </w:rPr>
              <w:t>（详见第五章）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2.5</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投标人资质条件、能力和信誉</w:t>
            </w:r>
          </w:p>
        </w:tc>
        <w:tc>
          <w:tcPr>
            <w:tcW w:w="6480" w:type="dxa"/>
            <w:vAlign w:val="center"/>
          </w:tcPr>
          <w:p>
            <w:pPr>
              <w:widowControl/>
              <w:snapToGrid w:val="0"/>
              <w:spacing w:line="240" w:lineRule="atLeast"/>
              <w:rPr>
                <w:rFonts w:ascii="宋体" w:hAnsi="宋体"/>
                <w:kern w:val="0"/>
                <w:sz w:val="21"/>
                <w:szCs w:val="21"/>
              </w:rPr>
            </w:pPr>
            <w:r>
              <w:rPr>
                <w:rFonts w:ascii="宋体" w:hAnsi="宋体"/>
                <w:kern w:val="0"/>
                <w:sz w:val="21"/>
                <w:szCs w:val="21"/>
              </w:rPr>
              <w:t>详见</w:t>
            </w:r>
            <w:r>
              <w:rPr>
                <w:rFonts w:hint="eastAsia" w:ascii="宋体" w:hAnsi="宋体"/>
                <w:kern w:val="0"/>
                <w:sz w:val="21"/>
                <w:szCs w:val="21"/>
              </w:rPr>
              <w:t>磋商</w:t>
            </w:r>
            <w:r>
              <w:rPr>
                <w:rFonts w:ascii="宋体" w:hAnsi="宋体"/>
                <w:kern w:val="0"/>
                <w:sz w:val="21"/>
                <w:szCs w:val="21"/>
              </w:rPr>
              <w:t>公告</w:t>
            </w:r>
            <w:r>
              <w:rPr>
                <w:rFonts w:hint="eastAsia" w:ascii="宋体" w:hAnsi="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2.6</w:t>
            </w:r>
          </w:p>
        </w:tc>
        <w:tc>
          <w:tcPr>
            <w:tcW w:w="1635" w:type="dxa"/>
            <w:vAlign w:val="center"/>
          </w:tcPr>
          <w:p>
            <w:pPr>
              <w:widowControl/>
              <w:spacing w:line="360" w:lineRule="exact"/>
              <w:jc w:val="center"/>
              <w:rPr>
                <w:rFonts w:ascii="宋体" w:hAnsi="宋体"/>
                <w:kern w:val="0"/>
                <w:sz w:val="21"/>
                <w:szCs w:val="21"/>
              </w:rPr>
            </w:pPr>
            <w:r>
              <w:rPr>
                <w:rFonts w:hint="eastAsia" w:ascii="宋体" w:hAnsi="宋体"/>
                <w:kern w:val="0"/>
                <w:sz w:val="21"/>
                <w:szCs w:val="21"/>
              </w:rPr>
              <w:t>踏勘现场</w:t>
            </w:r>
          </w:p>
        </w:tc>
        <w:tc>
          <w:tcPr>
            <w:tcW w:w="6480" w:type="dxa"/>
            <w:vAlign w:val="center"/>
          </w:tcPr>
          <w:p>
            <w:pPr>
              <w:spacing w:line="360" w:lineRule="exact"/>
              <w:rPr>
                <w:rFonts w:hint="eastAsia" w:ascii="宋体" w:hAnsi="宋体"/>
                <w:kern w:val="0"/>
                <w:sz w:val="21"/>
                <w:szCs w:val="21"/>
                <w:lang w:val="en-US" w:eastAsia="zh-CN"/>
              </w:rPr>
            </w:pPr>
            <w:r>
              <w:rPr>
                <w:rFonts w:hint="eastAsia" w:ascii="宋体" w:hAnsi="宋体"/>
                <w:kern w:val="0"/>
                <w:sz w:val="21"/>
                <w:szCs w:val="21"/>
                <w:lang w:val="en-US" w:eastAsia="zh-CN"/>
              </w:rPr>
              <w:t xml:space="preserve">自行踏勘。 </w:t>
            </w:r>
          </w:p>
          <w:p>
            <w:pPr>
              <w:spacing w:line="360" w:lineRule="exact"/>
              <w:rPr>
                <w:rFonts w:hint="default" w:ascii="宋体" w:hAnsi="宋体" w:eastAsia="宋体"/>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2.7</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分包</w:t>
            </w:r>
          </w:p>
        </w:tc>
        <w:tc>
          <w:tcPr>
            <w:tcW w:w="6480" w:type="dxa"/>
            <w:vAlign w:val="center"/>
          </w:tcPr>
          <w:p>
            <w:pPr>
              <w:widowControl/>
              <w:snapToGrid w:val="0"/>
              <w:spacing w:line="240" w:lineRule="atLeast"/>
              <w:rPr>
                <w:rFonts w:ascii="宋体" w:hAnsi="宋体"/>
                <w:kern w:val="0"/>
                <w:sz w:val="21"/>
                <w:szCs w:val="21"/>
              </w:rPr>
            </w:pPr>
            <w:r>
              <w:rPr>
                <w:rFonts w:ascii="宋体" w:hAnsi="宋体"/>
                <w:kern w:val="0"/>
                <w:sz w:val="21"/>
                <w:szCs w:val="21"/>
              </w:rPr>
              <w:t>不允许分包。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080" w:type="dxa"/>
            <w:vAlign w:val="center"/>
          </w:tcPr>
          <w:p>
            <w:pPr>
              <w:widowControl/>
              <w:snapToGrid w:val="0"/>
              <w:spacing w:line="240" w:lineRule="atLeast"/>
              <w:jc w:val="center"/>
              <w:rPr>
                <w:rFonts w:hint="eastAsia" w:ascii="宋体" w:hAnsi="宋体" w:eastAsia="宋体"/>
                <w:kern w:val="0"/>
                <w:sz w:val="21"/>
                <w:szCs w:val="21"/>
                <w:lang w:val="en-US" w:eastAsia="zh-CN"/>
              </w:rPr>
            </w:pPr>
            <w:r>
              <w:rPr>
                <w:rFonts w:hint="eastAsia" w:ascii="宋体" w:hAnsi="宋体"/>
                <w:kern w:val="0"/>
                <w:sz w:val="21"/>
                <w:szCs w:val="21"/>
              </w:rPr>
              <w:t>2.</w:t>
            </w:r>
            <w:r>
              <w:rPr>
                <w:rFonts w:hint="eastAsia" w:ascii="宋体" w:hAnsi="宋体"/>
                <w:kern w:val="0"/>
                <w:sz w:val="21"/>
                <w:szCs w:val="21"/>
                <w:lang w:val="en-US" w:eastAsia="zh-CN"/>
              </w:rPr>
              <w:t>8</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是否允许递交备选投标方案</w:t>
            </w:r>
          </w:p>
        </w:tc>
        <w:tc>
          <w:tcPr>
            <w:tcW w:w="6480" w:type="dxa"/>
            <w:vAlign w:val="center"/>
          </w:tcPr>
          <w:p>
            <w:pPr>
              <w:widowControl/>
              <w:snapToGrid w:val="0"/>
              <w:spacing w:line="240" w:lineRule="atLeast"/>
              <w:rPr>
                <w:rFonts w:ascii="宋体" w:hAnsi="宋体"/>
                <w:kern w:val="0"/>
                <w:sz w:val="21"/>
                <w:szCs w:val="21"/>
              </w:rPr>
            </w:pPr>
            <w:r>
              <w:rPr>
                <w:rFonts w:ascii="宋体" w:hAnsi="宋体"/>
                <w:kern w:val="0"/>
                <w:sz w:val="21"/>
                <w:szCs w:val="21"/>
              </w:rPr>
              <w:t>不允许</w:t>
            </w:r>
            <w:r>
              <w:rPr>
                <w:rFonts w:hint="eastAsia" w:ascii="宋体" w:hAnsi="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hint="eastAsia" w:ascii="宋体" w:hAnsi="宋体" w:eastAsia="宋体"/>
                <w:kern w:val="0"/>
                <w:sz w:val="21"/>
                <w:szCs w:val="21"/>
                <w:lang w:val="en-US" w:eastAsia="zh-CN"/>
              </w:rPr>
            </w:pPr>
            <w:r>
              <w:rPr>
                <w:rFonts w:hint="eastAsia" w:ascii="宋体" w:hAnsi="宋体"/>
                <w:kern w:val="0"/>
                <w:sz w:val="21"/>
                <w:szCs w:val="21"/>
              </w:rPr>
              <w:t>2.</w:t>
            </w:r>
            <w:r>
              <w:rPr>
                <w:rFonts w:hint="eastAsia" w:ascii="宋体" w:hAnsi="宋体"/>
                <w:kern w:val="0"/>
                <w:sz w:val="21"/>
                <w:szCs w:val="21"/>
                <w:lang w:val="en-US" w:eastAsia="zh-CN"/>
              </w:rPr>
              <w:t>9</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签字或盖章要求</w:t>
            </w:r>
          </w:p>
        </w:tc>
        <w:tc>
          <w:tcPr>
            <w:tcW w:w="6480" w:type="dxa"/>
            <w:vAlign w:val="center"/>
          </w:tcPr>
          <w:p>
            <w:pPr>
              <w:widowControl/>
              <w:snapToGrid w:val="0"/>
              <w:spacing w:line="240" w:lineRule="atLeast"/>
              <w:rPr>
                <w:rFonts w:ascii="宋体" w:hAnsi="宋体"/>
                <w:kern w:val="0"/>
                <w:sz w:val="21"/>
                <w:szCs w:val="21"/>
              </w:rPr>
            </w:pPr>
            <w:r>
              <w:rPr>
                <w:rFonts w:hint="eastAsia" w:ascii="宋体" w:hAnsi="宋体"/>
                <w:kern w:val="0"/>
                <w:sz w:val="21"/>
                <w:szCs w:val="21"/>
              </w:rPr>
              <w:t>响应</w:t>
            </w:r>
            <w:r>
              <w:rPr>
                <w:rFonts w:ascii="宋体" w:hAnsi="宋体"/>
                <w:kern w:val="0"/>
                <w:sz w:val="21"/>
                <w:szCs w:val="21"/>
              </w:rPr>
              <w:t>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080" w:type="dxa"/>
            <w:vAlign w:val="center"/>
          </w:tcPr>
          <w:p>
            <w:pPr>
              <w:widowControl/>
              <w:snapToGrid w:val="0"/>
              <w:spacing w:line="240" w:lineRule="atLeas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3.0</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投标文件份数</w:t>
            </w:r>
          </w:p>
        </w:tc>
        <w:tc>
          <w:tcPr>
            <w:tcW w:w="6480" w:type="dxa"/>
            <w:vAlign w:val="center"/>
          </w:tcPr>
          <w:p>
            <w:pPr>
              <w:snapToGrid w:val="0"/>
              <w:spacing w:line="240" w:lineRule="atLeast"/>
              <w:rPr>
                <w:rFonts w:ascii="宋体" w:hAnsi="宋体"/>
                <w:color w:val="000000"/>
                <w:sz w:val="21"/>
                <w:szCs w:val="21"/>
              </w:rPr>
            </w:pPr>
            <w:r>
              <w:rPr>
                <w:rFonts w:hint="eastAsia" w:ascii="宋体" w:hAnsi="宋体"/>
                <w:color w:val="000000"/>
                <w:sz w:val="21"/>
                <w:szCs w:val="21"/>
              </w:rPr>
              <w:t>正本1</w:t>
            </w:r>
            <w:r>
              <w:rPr>
                <w:rFonts w:ascii="宋体" w:hAnsi="宋体"/>
                <w:color w:val="000000"/>
                <w:sz w:val="21"/>
                <w:szCs w:val="21"/>
              </w:rPr>
              <w:t>份，副本</w:t>
            </w:r>
            <w:r>
              <w:rPr>
                <w:rFonts w:hint="eastAsia" w:ascii="宋体" w:hAnsi="宋体"/>
                <w:color w:val="000000"/>
                <w:sz w:val="21"/>
                <w:szCs w:val="21"/>
              </w:rPr>
              <w:t>2</w:t>
            </w:r>
            <w:r>
              <w:rPr>
                <w:rFonts w:ascii="宋体" w:hAnsi="宋体"/>
                <w:color w:val="000000"/>
                <w:sz w:val="21"/>
                <w:szCs w:val="21"/>
              </w:rPr>
              <w:t>份</w:t>
            </w:r>
            <w:r>
              <w:rPr>
                <w:rFonts w:hint="eastAsia" w:ascii="宋体"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3.1</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递交</w:t>
            </w:r>
            <w:r>
              <w:rPr>
                <w:rFonts w:hint="eastAsia" w:ascii="宋体" w:hAnsi="宋体"/>
                <w:kern w:val="0"/>
                <w:sz w:val="21"/>
                <w:szCs w:val="21"/>
              </w:rPr>
              <w:t>响应</w:t>
            </w:r>
            <w:r>
              <w:rPr>
                <w:rFonts w:ascii="宋体" w:hAnsi="宋体"/>
                <w:kern w:val="0"/>
                <w:sz w:val="21"/>
                <w:szCs w:val="21"/>
              </w:rPr>
              <w:t>文件</w:t>
            </w:r>
            <w:r>
              <w:rPr>
                <w:rFonts w:hint="eastAsia" w:ascii="宋体" w:hAnsi="宋体"/>
                <w:kern w:val="0"/>
                <w:sz w:val="21"/>
                <w:szCs w:val="21"/>
              </w:rPr>
              <w:t>时间、</w:t>
            </w:r>
            <w:r>
              <w:rPr>
                <w:rFonts w:ascii="宋体" w:hAnsi="宋体"/>
                <w:kern w:val="0"/>
                <w:sz w:val="21"/>
                <w:szCs w:val="21"/>
              </w:rPr>
              <w:t>地点</w:t>
            </w:r>
          </w:p>
        </w:tc>
        <w:tc>
          <w:tcPr>
            <w:tcW w:w="6480" w:type="dxa"/>
            <w:vAlign w:val="center"/>
          </w:tcPr>
          <w:p>
            <w:pPr>
              <w:widowControl/>
              <w:snapToGrid w:val="0"/>
              <w:spacing w:line="240" w:lineRule="atLeast"/>
              <w:rPr>
                <w:rFonts w:ascii="宋体" w:hAnsi="宋体"/>
                <w:kern w:val="0"/>
                <w:sz w:val="21"/>
                <w:szCs w:val="21"/>
              </w:rPr>
            </w:pPr>
            <w:r>
              <w:rPr>
                <w:rFonts w:hint="eastAsia" w:ascii="宋体" w:hAnsi="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3.2</w:t>
            </w:r>
          </w:p>
        </w:tc>
        <w:tc>
          <w:tcPr>
            <w:tcW w:w="1635"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递交响应文件截止和</w:t>
            </w:r>
            <w:r>
              <w:rPr>
                <w:rFonts w:ascii="宋体" w:hAnsi="宋体"/>
                <w:kern w:val="0"/>
                <w:sz w:val="21"/>
                <w:szCs w:val="21"/>
              </w:rPr>
              <w:t>开标时间</w:t>
            </w:r>
            <w:r>
              <w:rPr>
                <w:rFonts w:hint="eastAsia" w:ascii="宋体" w:hAnsi="宋体"/>
                <w:kern w:val="0"/>
                <w:sz w:val="21"/>
                <w:szCs w:val="21"/>
              </w:rPr>
              <w:t>、</w:t>
            </w:r>
            <w:r>
              <w:rPr>
                <w:rFonts w:ascii="宋体" w:hAnsi="宋体"/>
                <w:kern w:val="0"/>
                <w:sz w:val="21"/>
                <w:szCs w:val="21"/>
              </w:rPr>
              <w:t>地点</w:t>
            </w:r>
            <w:r>
              <w:rPr>
                <w:rFonts w:hint="eastAsia" w:ascii="宋体" w:hAnsi="宋体"/>
                <w:kern w:val="0"/>
                <w:sz w:val="21"/>
                <w:szCs w:val="21"/>
              </w:rPr>
              <w:t>、开标条件</w:t>
            </w:r>
          </w:p>
        </w:tc>
        <w:tc>
          <w:tcPr>
            <w:tcW w:w="6480" w:type="dxa"/>
            <w:vAlign w:val="center"/>
          </w:tcPr>
          <w:p>
            <w:pPr>
              <w:snapToGrid w:val="0"/>
              <w:spacing w:line="240" w:lineRule="atLeast"/>
              <w:rPr>
                <w:rFonts w:ascii="宋体" w:hAnsi="宋体"/>
                <w:kern w:val="0"/>
                <w:sz w:val="21"/>
                <w:szCs w:val="21"/>
              </w:rPr>
            </w:pPr>
            <w:r>
              <w:rPr>
                <w:rFonts w:hint="eastAsia" w:ascii="宋体" w:hAnsi="宋体"/>
                <w:kern w:val="0"/>
                <w:sz w:val="21"/>
                <w:szCs w:val="21"/>
              </w:rPr>
              <w:t>投标截止和</w:t>
            </w:r>
            <w:r>
              <w:rPr>
                <w:rFonts w:ascii="宋体" w:hAnsi="宋体"/>
                <w:kern w:val="0"/>
                <w:sz w:val="21"/>
                <w:szCs w:val="21"/>
              </w:rPr>
              <w:t>开标时间</w:t>
            </w:r>
            <w:r>
              <w:rPr>
                <w:rFonts w:hint="eastAsia" w:ascii="宋体" w:hAnsi="宋体"/>
                <w:kern w:val="0"/>
                <w:sz w:val="21"/>
                <w:szCs w:val="21"/>
              </w:rPr>
              <w:t>、</w:t>
            </w:r>
            <w:r>
              <w:rPr>
                <w:rFonts w:ascii="宋体" w:hAnsi="宋体"/>
                <w:kern w:val="0"/>
                <w:sz w:val="21"/>
                <w:szCs w:val="21"/>
              </w:rPr>
              <w:t>地点</w:t>
            </w:r>
            <w:r>
              <w:rPr>
                <w:rFonts w:hint="eastAsia" w:ascii="宋体" w:hAnsi="宋体"/>
                <w:kern w:val="0"/>
                <w:sz w:val="21"/>
                <w:szCs w:val="21"/>
              </w:rPr>
              <w:t>：详见磋商公告</w:t>
            </w:r>
          </w:p>
          <w:p>
            <w:pPr>
              <w:snapToGrid w:val="0"/>
              <w:spacing w:line="240" w:lineRule="atLeast"/>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3.3</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履约保证金</w:t>
            </w:r>
            <w:r>
              <w:rPr>
                <w:rFonts w:hint="eastAsia" w:ascii="宋体" w:hAnsi="宋体"/>
                <w:kern w:val="0"/>
                <w:sz w:val="21"/>
                <w:szCs w:val="21"/>
              </w:rPr>
              <w:t>交纳及退付</w:t>
            </w:r>
          </w:p>
        </w:tc>
        <w:tc>
          <w:tcPr>
            <w:tcW w:w="6480" w:type="dxa"/>
            <w:vAlign w:val="center"/>
          </w:tcPr>
          <w:p>
            <w:pPr>
              <w:snapToGrid w:val="0"/>
              <w:spacing w:line="240" w:lineRule="atLeast"/>
              <w:jc w:val="left"/>
              <w:rPr>
                <w:rFonts w:ascii="宋体" w:hAnsi="宋体"/>
                <w:kern w:val="0"/>
                <w:sz w:val="21"/>
                <w:szCs w:val="21"/>
              </w:rPr>
            </w:pPr>
            <w:r>
              <w:rPr>
                <w:rFonts w:hint="eastAsia" w:ascii="宋体" w:hAnsi="宋体"/>
                <w:kern w:val="0"/>
                <w:sz w:val="21"/>
                <w:szCs w:val="21"/>
              </w:rPr>
              <w:t>履约保证金的退付程序为：项目实施完毕，验收合格后，中标人填写履约保证金退付申请表，待招标人审核后，直接无息退还中标人。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jc w:val="center"/>
        </w:trPr>
        <w:tc>
          <w:tcPr>
            <w:tcW w:w="1080" w:type="dxa"/>
            <w:vAlign w:val="center"/>
          </w:tcPr>
          <w:p>
            <w:pPr>
              <w:widowControl/>
              <w:snapToGrid w:val="0"/>
              <w:spacing w:line="240" w:lineRule="atLeas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3.4</w:t>
            </w:r>
          </w:p>
        </w:tc>
        <w:tc>
          <w:tcPr>
            <w:tcW w:w="1635"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磋商有效期</w:t>
            </w:r>
          </w:p>
        </w:tc>
        <w:tc>
          <w:tcPr>
            <w:tcW w:w="6480" w:type="dxa"/>
            <w:vAlign w:val="center"/>
          </w:tcPr>
          <w:p>
            <w:pPr>
              <w:snapToGrid w:val="0"/>
              <w:spacing w:line="240" w:lineRule="atLeast"/>
              <w:rPr>
                <w:rFonts w:ascii="宋体" w:hAnsi="宋体"/>
                <w:kern w:val="0"/>
                <w:sz w:val="21"/>
                <w:szCs w:val="21"/>
              </w:rPr>
            </w:pPr>
            <w:r>
              <w:rPr>
                <w:rFonts w:hint="eastAsia" w:ascii="宋体" w:hAnsi="宋体"/>
                <w:kern w:val="0"/>
                <w:sz w:val="21"/>
                <w:szCs w:val="21"/>
              </w:rPr>
              <w:t>自磋商之日起30天内。</w:t>
            </w:r>
          </w:p>
        </w:tc>
      </w:tr>
    </w:tbl>
    <w:p>
      <w:pPr>
        <w:pStyle w:val="10"/>
        <w:ind w:left="0" w:leftChars="0" w:firstLine="0" w:firstLineChars="0"/>
      </w:pPr>
      <w:bookmarkStart w:id="6" w:name="_Toc479170301"/>
      <w:bookmarkStart w:id="7" w:name="_Toc516580571"/>
    </w:p>
    <w:p/>
    <w:p/>
    <w:p/>
    <w:p/>
    <w:p/>
    <w:p/>
    <w:p>
      <w:pPr>
        <w:pStyle w:val="3"/>
        <w:snapToGrid w:val="0"/>
        <w:spacing w:before="0" w:after="0"/>
        <w:jc w:val="center"/>
        <w:rPr>
          <w:rFonts w:ascii="华文中宋" w:hAnsi="华文中宋" w:eastAsia="华文中宋"/>
        </w:rPr>
      </w:pPr>
      <w:r>
        <w:rPr>
          <w:rFonts w:hint="eastAsia" w:ascii="华文中宋" w:hAnsi="华文中宋" w:eastAsia="华文中宋"/>
        </w:rPr>
        <w:t>第三章  磋商须知</w:t>
      </w:r>
      <w:bookmarkEnd w:id="6"/>
      <w:bookmarkEnd w:id="7"/>
    </w:p>
    <w:p>
      <w:pPr>
        <w:adjustRightInd w:val="0"/>
        <w:snapToGrid w:val="0"/>
        <w:spacing w:line="500" w:lineRule="exact"/>
        <w:ind w:firstLine="562" w:firstLineChars="200"/>
        <w:rPr>
          <w:rFonts w:ascii="仿宋_GB2312" w:eastAsia="仿宋_GB2312"/>
          <w:b/>
          <w:color w:val="000000"/>
          <w:szCs w:val="28"/>
        </w:rPr>
      </w:pPr>
      <w:bookmarkStart w:id="8" w:name="_Hlt16619475"/>
      <w:bookmarkEnd w:id="8"/>
      <w:bookmarkStart w:id="9" w:name="_Toc16938520"/>
      <w:bookmarkStart w:id="10" w:name="_Toc20823276"/>
      <w:bookmarkStart w:id="11" w:name="_Toc513029204"/>
      <w:r>
        <w:rPr>
          <w:rFonts w:hint="eastAsia" w:ascii="仿宋_GB2312" w:eastAsia="仿宋_GB2312"/>
          <w:b/>
          <w:color w:val="000000"/>
          <w:szCs w:val="28"/>
        </w:rPr>
        <w:t>一、采购方式</w:t>
      </w:r>
      <w:bookmarkEnd w:id="9"/>
      <w:bookmarkEnd w:id="10"/>
      <w:bookmarkEnd w:id="11"/>
      <w:r>
        <w:rPr>
          <w:rFonts w:hint="eastAsia" w:ascii="仿宋_GB2312" w:eastAsia="仿宋_GB2312"/>
          <w:b/>
          <w:color w:val="000000"/>
          <w:szCs w:val="28"/>
        </w:rPr>
        <w:t>及定义</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1.本次采购采用磋商方式，本磋商文件仅适用于磋商公告中所述项目。</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2采购人指本项目的需求方皖南医学院。</w:t>
      </w:r>
    </w:p>
    <w:p>
      <w:pPr>
        <w:adjustRightInd w:val="0"/>
        <w:snapToGrid w:val="0"/>
        <w:spacing w:line="500" w:lineRule="exact"/>
        <w:ind w:firstLine="560" w:firstLineChars="200"/>
        <w:rPr>
          <w:rFonts w:ascii="仿宋_GB2312" w:eastAsia="仿宋_GB2312"/>
          <w:color w:val="000000"/>
          <w:szCs w:val="28"/>
        </w:rPr>
      </w:pPr>
      <w:bookmarkStart w:id="12" w:name="_Toc513029205"/>
      <w:bookmarkStart w:id="13" w:name="_Toc20823277"/>
      <w:bookmarkStart w:id="14" w:name="_Toc16938521"/>
      <w:r>
        <w:rPr>
          <w:rFonts w:hint="eastAsia" w:ascii="仿宋_GB2312" w:eastAsia="仿宋_GB2312"/>
          <w:color w:val="000000"/>
          <w:szCs w:val="28"/>
        </w:rPr>
        <w:t>3.合格的供应商</w:t>
      </w:r>
      <w:bookmarkEnd w:id="12"/>
      <w:bookmarkEnd w:id="13"/>
      <w:bookmarkEnd w:id="14"/>
      <w:r>
        <w:rPr>
          <w:rFonts w:hint="eastAsia" w:ascii="仿宋_GB2312" w:eastAsia="仿宋_GB2312"/>
          <w:color w:val="000000"/>
          <w:szCs w:val="28"/>
        </w:rPr>
        <w:tab/>
      </w:r>
    </w:p>
    <w:p>
      <w:pPr>
        <w:pStyle w:val="43"/>
        <w:snapToGrid w:val="0"/>
        <w:spacing w:line="500" w:lineRule="exact"/>
        <w:ind w:left="560" w:firstLine="0" w:firstLineChars="0"/>
        <w:rPr>
          <w:rFonts w:ascii="仿宋_GB2312" w:hAnsi="宋体" w:eastAsia="仿宋_GB2312"/>
          <w:color w:val="000000"/>
          <w:szCs w:val="28"/>
        </w:rPr>
      </w:pPr>
      <w:r>
        <w:rPr>
          <w:rFonts w:hint="eastAsia" w:ascii="仿宋_GB2312" w:hAnsi="宋体" w:eastAsia="仿宋_GB2312"/>
          <w:color w:val="000000"/>
          <w:szCs w:val="28"/>
        </w:rPr>
        <w:t>（1）满足磋商公告中供应商的资格条件的规定。</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（2）满足本文件实质性条款的规定。</w:t>
      </w:r>
    </w:p>
    <w:p>
      <w:pPr>
        <w:adjustRightInd w:val="0"/>
        <w:snapToGrid w:val="0"/>
        <w:spacing w:line="500" w:lineRule="exact"/>
        <w:ind w:firstLine="560" w:firstLineChars="200"/>
        <w:rPr>
          <w:rFonts w:ascii="仿宋_GB2312" w:eastAsia="仿宋_GB2312"/>
          <w:color w:val="000000"/>
          <w:szCs w:val="28"/>
        </w:rPr>
      </w:pPr>
      <w:bookmarkStart w:id="15" w:name="_Toc20823278"/>
      <w:bookmarkStart w:id="16" w:name="_Toc16938522"/>
      <w:bookmarkStart w:id="17" w:name="_Toc513029206"/>
      <w:r>
        <w:rPr>
          <w:rFonts w:hint="eastAsia" w:ascii="仿宋_GB2312" w:eastAsia="仿宋_GB2312"/>
          <w:color w:val="000000"/>
          <w:szCs w:val="28"/>
        </w:rPr>
        <w:t>4.适用法律</w:t>
      </w:r>
      <w:bookmarkEnd w:id="15"/>
      <w:bookmarkEnd w:id="16"/>
      <w:bookmarkEnd w:id="17"/>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本次磋商及由此产生的合同受中华人民共和国有关的法律法规制约和保护。</w:t>
      </w:r>
    </w:p>
    <w:p>
      <w:pPr>
        <w:adjustRightInd w:val="0"/>
        <w:snapToGrid w:val="0"/>
        <w:spacing w:line="500" w:lineRule="exact"/>
        <w:ind w:firstLine="560" w:firstLineChars="200"/>
        <w:rPr>
          <w:rFonts w:ascii="仿宋_GB2312" w:eastAsia="仿宋_GB2312"/>
          <w:color w:val="000000"/>
          <w:szCs w:val="28"/>
        </w:rPr>
      </w:pPr>
      <w:bookmarkStart w:id="18" w:name="_Toc513029207"/>
      <w:bookmarkStart w:id="19" w:name="_Toc20823279"/>
      <w:bookmarkStart w:id="20" w:name="_Toc16938523"/>
      <w:bookmarkStart w:id="21" w:name="_Toc462564067"/>
      <w:r>
        <w:rPr>
          <w:rFonts w:hint="eastAsia" w:ascii="仿宋_GB2312" w:eastAsia="仿宋_GB2312"/>
          <w:color w:val="000000"/>
          <w:szCs w:val="28"/>
        </w:rPr>
        <w:t>5.磋商费用</w:t>
      </w:r>
      <w:bookmarkEnd w:id="18"/>
      <w:bookmarkEnd w:id="19"/>
      <w:bookmarkEnd w:id="20"/>
      <w:bookmarkEnd w:id="21"/>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（1）供应商应自行承担所有与参加</w:t>
      </w:r>
      <w:r>
        <w:rPr>
          <w:rFonts w:hint="eastAsia" w:ascii="仿宋_GB2312" w:eastAsia="仿宋_GB2312"/>
          <w:color w:val="000000"/>
          <w:szCs w:val="28"/>
        </w:rPr>
        <w:t>磋商</w:t>
      </w:r>
      <w:r>
        <w:rPr>
          <w:rFonts w:hint="eastAsia" w:ascii="仿宋_GB2312" w:hAnsi="宋体" w:eastAsia="仿宋_GB2312"/>
          <w:color w:val="000000"/>
          <w:szCs w:val="28"/>
        </w:rPr>
        <w:t>有关的费用，无论</w:t>
      </w:r>
      <w:r>
        <w:rPr>
          <w:rFonts w:hint="eastAsia" w:ascii="仿宋_GB2312" w:eastAsia="仿宋_GB2312"/>
          <w:color w:val="000000"/>
          <w:szCs w:val="28"/>
        </w:rPr>
        <w:t>磋商</w:t>
      </w:r>
      <w:r>
        <w:rPr>
          <w:rFonts w:hint="eastAsia" w:ascii="仿宋_GB2312" w:hAnsi="宋体" w:eastAsia="仿宋_GB2312"/>
          <w:color w:val="000000"/>
          <w:szCs w:val="28"/>
        </w:rPr>
        <w:t>过程中的做法和结果如何，采购人在任何情况下均无义务和责任承担这些费用。</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（2）本次磋商采购人不收取文件工本费与成交服务费。</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6.磋商文件的约束力</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500" w:lineRule="exact"/>
        <w:ind w:firstLine="562" w:firstLineChars="200"/>
        <w:rPr>
          <w:rFonts w:ascii="仿宋_GB2312" w:hAnsi="宋体" w:eastAsia="仿宋_GB2312"/>
          <w:b/>
          <w:color w:val="000000"/>
          <w:szCs w:val="28"/>
        </w:rPr>
      </w:pPr>
      <w:bookmarkStart w:id="22" w:name="_Toc403987206"/>
      <w:bookmarkStart w:id="23" w:name="_Toc16938525"/>
      <w:bookmarkStart w:id="24" w:name="_Toc120614215"/>
      <w:bookmarkStart w:id="25" w:name="_Toc20823281"/>
      <w:bookmarkStart w:id="26" w:name="_Toc513029209"/>
      <w:r>
        <w:rPr>
          <w:rFonts w:hint="eastAsia" w:ascii="仿宋_GB2312" w:hAnsi="宋体" w:eastAsia="仿宋_GB2312"/>
          <w:b/>
          <w:color w:val="000000"/>
          <w:szCs w:val="28"/>
        </w:rPr>
        <w:t>二、磋商文件</w:t>
      </w:r>
      <w:bookmarkEnd w:id="22"/>
      <w:bookmarkEnd w:id="23"/>
      <w:bookmarkEnd w:id="24"/>
      <w:bookmarkEnd w:id="25"/>
      <w:bookmarkEnd w:id="26"/>
    </w:p>
    <w:p>
      <w:pPr>
        <w:adjustRightInd w:val="0"/>
        <w:snapToGrid w:val="0"/>
        <w:spacing w:line="500" w:lineRule="exact"/>
        <w:ind w:firstLine="560" w:firstLineChars="200"/>
        <w:rPr>
          <w:rFonts w:ascii="仿宋_GB2312" w:eastAsia="仿宋_GB2312"/>
          <w:color w:val="000000"/>
          <w:szCs w:val="28"/>
        </w:rPr>
      </w:pPr>
      <w:bookmarkStart w:id="27" w:name="_Toc513029210"/>
      <w:bookmarkStart w:id="28" w:name="_Toc20823282"/>
      <w:bookmarkStart w:id="29" w:name="_Toc16938526"/>
      <w:r>
        <w:rPr>
          <w:rFonts w:hint="eastAsia" w:ascii="仿宋_GB2312" w:eastAsia="仿宋_GB2312"/>
          <w:color w:val="000000"/>
          <w:szCs w:val="28"/>
        </w:rPr>
        <w:t>1.磋商文件构成</w:t>
      </w:r>
      <w:bookmarkEnd w:id="27"/>
      <w:bookmarkEnd w:id="28"/>
      <w:bookmarkEnd w:id="29"/>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磋商文件有以下部分组成：</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（1）磋商公告</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（2）磋商须知前附表</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（3）磋商须知</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（4）合同主要条款</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（5）项目需求</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（6）评审标准</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（7）响应文件格式</w:t>
      </w:r>
    </w:p>
    <w:p>
      <w:pPr>
        <w:adjustRightInd w:val="0"/>
        <w:snapToGrid w:val="0"/>
        <w:spacing w:line="500" w:lineRule="exact"/>
        <w:ind w:firstLine="560" w:firstLineChars="200"/>
        <w:rPr>
          <w:rFonts w:ascii="仿宋_GB2312" w:eastAsia="仿宋_GB2312"/>
          <w:color w:val="000000"/>
          <w:szCs w:val="28"/>
        </w:rPr>
      </w:pPr>
      <w:bookmarkStart w:id="30" w:name="_Toc513029211"/>
      <w:bookmarkStart w:id="31" w:name="_Toc20823283"/>
      <w:bookmarkStart w:id="32" w:name="_Toc462564070"/>
      <w:bookmarkStart w:id="33" w:name="_Toc16938527"/>
      <w:r>
        <w:rPr>
          <w:rFonts w:hint="eastAsia" w:ascii="仿宋_GB2312" w:eastAsia="仿宋_GB2312"/>
          <w:color w:val="000000"/>
          <w:szCs w:val="28"/>
        </w:rPr>
        <w:t>2.磋商文件的澄清</w:t>
      </w:r>
      <w:bookmarkEnd w:id="30"/>
      <w:bookmarkEnd w:id="31"/>
      <w:bookmarkEnd w:id="32"/>
      <w:bookmarkEnd w:id="33"/>
      <w:r>
        <w:rPr>
          <w:rFonts w:hint="eastAsia" w:ascii="仿宋_GB2312" w:eastAsia="仿宋_GB2312"/>
          <w:color w:val="000000"/>
          <w:szCs w:val="28"/>
        </w:rPr>
        <w:t>及修改</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任何要求对磋商文件进行澄清的供应商，均应在提交首次响应文件截止时间5日前按磋商公告中的通讯地址，以书面形式通知采购联系人。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获取磋商文件的供应商。不足5日的，顺延提交首次响应文件截止时间。</w:t>
      </w:r>
    </w:p>
    <w:p>
      <w:pPr>
        <w:adjustRightInd w:val="0"/>
        <w:snapToGrid w:val="0"/>
        <w:spacing w:line="500" w:lineRule="exact"/>
        <w:ind w:firstLine="562" w:firstLineChars="200"/>
        <w:rPr>
          <w:rFonts w:ascii="仿宋_GB2312" w:hAnsi="宋体" w:eastAsia="仿宋_GB2312"/>
          <w:b/>
          <w:color w:val="000000"/>
          <w:szCs w:val="28"/>
        </w:rPr>
      </w:pPr>
      <w:bookmarkStart w:id="34" w:name="_Toc16938529"/>
      <w:bookmarkStart w:id="35" w:name="_Toc403987207"/>
      <w:bookmarkStart w:id="36" w:name="_Toc462564072"/>
      <w:bookmarkStart w:id="37" w:name="_Toc120614216"/>
      <w:bookmarkStart w:id="38" w:name="_Toc513029213"/>
      <w:bookmarkStart w:id="39" w:name="_Toc20823285"/>
      <w:r>
        <w:rPr>
          <w:rFonts w:hint="eastAsia" w:ascii="仿宋_GB2312" w:hAnsi="宋体" w:eastAsia="仿宋_GB2312"/>
          <w:b/>
          <w:color w:val="000000"/>
          <w:szCs w:val="28"/>
        </w:rPr>
        <w:t>三、响应文件的递交及编制</w:t>
      </w:r>
      <w:bookmarkEnd w:id="34"/>
      <w:bookmarkEnd w:id="35"/>
      <w:bookmarkEnd w:id="36"/>
      <w:bookmarkEnd w:id="37"/>
      <w:bookmarkEnd w:id="38"/>
      <w:bookmarkEnd w:id="39"/>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2.供应商应当按照磋商文件的要求编制响应文件，并</w:t>
      </w:r>
      <w:bookmarkStart w:id="40" w:name="我"/>
      <w:bookmarkEnd w:id="40"/>
      <w:r>
        <w:rPr>
          <w:rFonts w:hint="eastAsia" w:ascii="仿宋_GB2312" w:eastAsia="仿宋_GB2312"/>
          <w:color w:val="000000"/>
          <w:szCs w:val="28"/>
        </w:rPr>
        <w:t>对其提交的响应文件的真实性、合法性承担法律责任。</w:t>
      </w:r>
    </w:p>
    <w:p>
      <w:pPr>
        <w:adjustRightInd w:val="0"/>
        <w:snapToGrid w:val="0"/>
        <w:spacing w:line="500" w:lineRule="exact"/>
        <w:ind w:firstLine="560" w:firstLineChars="200"/>
        <w:rPr>
          <w:rFonts w:ascii="仿宋_GB2312" w:eastAsia="仿宋_GB2312"/>
          <w:color w:val="000000"/>
          <w:szCs w:val="28"/>
        </w:rPr>
      </w:pPr>
      <w:bookmarkStart w:id="41" w:name="_Toc513029214"/>
      <w:bookmarkStart w:id="42" w:name="_Toc16938530"/>
      <w:bookmarkStart w:id="43" w:name="_Toc462564073"/>
      <w:bookmarkStart w:id="44" w:name="_Toc20823286"/>
      <w:r>
        <w:rPr>
          <w:rFonts w:hint="eastAsia" w:ascii="仿宋_GB2312" w:eastAsia="仿宋_GB2312"/>
          <w:color w:val="000000"/>
          <w:szCs w:val="28"/>
        </w:rPr>
        <w:t>3.响应文件的语言及度量衡单位</w:t>
      </w:r>
      <w:bookmarkEnd w:id="41"/>
      <w:bookmarkEnd w:id="42"/>
      <w:bookmarkEnd w:id="43"/>
      <w:bookmarkEnd w:id="44"/>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（1）供应商提交的响应文件以及供应商与我校就有关磋商的所有来往通知、函件和文件均应使用</w:t>
      </w:r>
      <w:r>
        <w:rPr>
          <w:rFonts w:hint="eastAsia" w:ascii="仿宋_GB2312" w:hAnsi="宋体" w:eastAsia="仿宋_GB2312"/>
          <w:bCs/>
          <w:color w:val="000000"/>
          <w:szCs w:val="28"/>
        </w:rPr>
        <w:t>简体中文</w:t>
      </w:r>
      <w:r>
        <w:rPr>
          <w:rFonts w:hint="eastAsia" w:ascii="仿宋_GB2312" w:hAnsi="宋体" w:eastAsia="仿宋_GB2312"/>
          <w:color w:val="000000"/>
          <w:szCs w:val="28"/>
        </w:rPr>
        <w:t>。</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（2）除技术性能另有规定外，响应文件所使用的度量衡单位，均须采用国家法定计量单位。</w:t>
      </w:r>
    </w:p>
    <w:p>
      <w:pPr>
        <w:adjustRightInd w:val="0"/>
        <w:snapToGrid w:val="0"/>
        <w:spacing w:line="500" w:lineRule="exact"/>
        <w:ind w:firstLine="560" w:firstLineChars="200"/>
        <w:rPr>
          <w:rFonts w:ascii="仿宋_GB2312" w:eastAsia="仿宋_GB2312"/>
          <w:color w:val="000000"/>
          <w:szCs w:val="28"/>
        </w:rPr>
      </w:pPr>
      <w:bookmarkStart w:id="45" w:name="_Toc513029215"/>
      <w:bookmarkStart w:id="46" w:name="_Toc20823287"/>
      <w:bookmarkStart w:id="47" w:name="_Toc462564074"/>
      <w:bookmarkStart w:id="48" w:name="_Toc16938531"/>
      <w:r>
        <w:rPr>
          <w:rFonts w:hint="eastAsia" w:ascii="仿宋_GB2312" w:eastAsia="仿宋_GB2312"/>
          <w:color w:val="000000"/>
          <w:szCs w:val="28"/>
        </w:rPr>
        <w:t>4.响应文件构成</w:t>
      </w:r>
      <w:bookmarkEnd w:id="45"/>
      <w:bookmarkEnd w:id="46"/>
      <w:bookmarkEnd w:id="47"/>
      <w:bookmarkEnd w:id="48"/>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（1）供应商应该按照磋商文件的要求编写响应文件应。</w:t>
      </w:r>
    </w:p>
    <w:p>
      <w:pPr>
        <w:pStyle w:val="43"/>
        <w:snapToGrid w:val="0"/>
        <w:spacing w:line="500" w:lineRule="exact"/>
        <w:ind w:firstLine="560"/>
        <w:rPr>
          <w:rFonts w:hint="default" w:ascii="仿宋_GB2312" w:hAnsi="宋体" w:eastAsia="仿宋_GB2312"/>
          <w:color w:val="000000"/>
          <w:szCs w:val="28"/>
          <w:lang w:val="en-US" w:eastAsia="zh-CN"/>
        </w:rPr>
      </w:pPr>
      <w:r>
        <w:rPr>
          <w:rFonts w:hint="eastAsia" w:ascii="仿宋_GB2312" w:hAnsi="宋体" w:eastAsia="仿宋_GB2312"/>
          <w:color w:val="000000"/>
          <w:szCs w:val="28"/>
        </w:rPr>
        <w:t>（2）供应商应将响应文件按顺序装订成册，并编制响应文件资料目录。</w:t>
      </w:r>
      <w:r>
        <w:rPr>
          <w:rFonts w:hint="eastAsia" w:ascii="仿宋_GB2312" w:hAnsi="宋体" w:eastAsia="仿宋_GB2312"/>
          <w:color w:val="000000"/>
          <w:szCs w:val="28"/>
          <w:lang w:val="en-US" w:eastAsia="zh-CN"/>
        </w:rPr>
        <w:t xml:space="preserve">   </w:t>
      </w:r>
    </w:p>
    <w:p>
      <w:pPr>
        <w:adjustRightInd w:val="0"/>
        <w:snapToGrid w:val="0"/>
        <w:spacing w:line="500" w:lineRule="exact"/>
        <w:ind w:firstLine="560" w:firstLineChars="200"/>
        <w:rPr>
          <w:rFonts w:ascii="仿宋_GB2312" w:eastAsia="仿宋_GB2312"/>
          <w:color w:val="000000"/>
          <w:szCs w:val="28"/>
        </w:rPr>
      </w:pPr>
      <w:bookmarkStart w:id="49" w:name="_Hlt26954838"/>
      <w:bookmarkEnd w:id="49"/>
      <w:bookmarkStart w:id="50" w:name="_Hlt26670360"/>
      <w:bookmarkEnd w:id="50"/>
      <w:bookmarkStart w:id="51" w:name="_Hlt26668975"/>
      <w:bookmarkEnd w:id="51"/>
      <w:bookmarkStart w:id="52" w:name="_Toc513029219"/>
      <w:bookmarkStart w:id="53" w:name="_Toc49090509"/>
      <w:bookmarkStart w:id="54" w:name="_Toc14577357"/>
      <w:bookmarkStart w:id="55" w:name="_Toc49090507"/>
      <w:bookmarkStart w:id="56" w:name="_Toc14577354"/>
      <w:bookmarkStart w:id="57" w:name="_Toc513029216"/>
      <w:r>
        <w:rPr>
          <w:rFonts w:hint="eastAsia" w:ascii="仿宋_GB2312" w:eastAsia="仿宋_GB2312"/>
          <w:color w:val="000000"/>
          <w:szCs w:val="28"/>
        </w:rPr>
        <w:t>5.证明供应商资格及符合磋商文件规定的文件</w:t>
      </w:r>
      <w:bookmarkEnd w:id="52"/>
      <w:bookmarkEnd w:id="53"/>
      <w:bookmarkEnd w:id="54"/>
    </w:p>
    <w:p>
      <w:pPr>
        <w:pStyle w:val="43"/>
        <w:snapToGrid w:val="0"/>
        <w:spacing w:line="500" w:lineRule="exact"/>
        <w:ind w:firstLine="560"/>
        <w:rPr>
          <w:rFonts w:ascii="仿宋_GB2312" w:hAnsi="宋体" w:eastAsia="仿宋_GB2312"/>
          <w:color w:val="000000"/>
          <w:szCs w:val="28"/>
        </w:rPr>
      </w:pPr>
      <w:bookmarkStart w:id="58" w:name="_Hlt26668999"/>
      <w:bookmarkEnd w:id="58"/>
      <w:r>
        <w:rPr>
          <w:rFonts w:hint="eastAsia" w:ascii="仿宋_GB2312" w:hAnsi="宋体" w:eastAsia="仿宋_GB2312"/>
          <w:color w:val="000000"/>
          <w:szCs w:val="28"/>
        </w:rPr>
        <w:t>（1）供应商应按要求提交资格证明文件及符合磋商文件规定的文件。</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（2）供应商除必须具有履行合同所需提供的货物以及服务的能力外，还必须具备相应的财务、技术方面的能力。</w:t>
      </w:r>
    </w:p>
    <w:bookmarkEnd w:id="55"/>
    <w:bookmarkEnd w:id="56"/>
    <w:bookmarkEnd w:id="57"/>
    <w:p>
      <w:pPr>
        <w:adjustRightInd w:val="0"/>
        <w:snapToGrid w:val="0"/>
        <w:spacing w:line="500" w:lineRule="exact"/>
        <w:ind w:firstLine="560" w:firstLineChars="200"/>
        <w:rPr>
          <w:rFonts w:ascii="仿宋_GB2312" w:eastAsia="仿宋_GB2312"/>
          <w:color w:val="000000"/>
          <w:szCs w:val="28"/>
        </w:rPr>
      </w:pPr>
      <w:bookmarkStart w:id="59" w:name="_Toc14577355"/>
      <w:bookmarkStart w:id="60" w:name="_Toc49090508"/>
      <w:r>
        <w:rPr>
          <w:rFonts w:hint="eastAsia" w:ascii="仿宋_GB2312" w:eastAsia="仿宋_GB2312"/>
          <w:color w:val="000000"/>
          <w:szCs w:val="28"/>
        </w:rPr>
        <w:t>6.报价</w:t>
      </w:r>
      <w:bookmarkEnd w:id="59"/>
      <w:bookmarkStart w:id="61" w:name="_Hlt26670373"/>
      <w:bookmarkEnd w:id="61"/>
      <w:r>
        <w:rPr>
          <w:rFonts w:hint="eastAsia" w:ascii="仿宋_GB2312" w:eastAsia="仿宋_GB2312"/>
          <w:color w:val="000000"/>
          <w:szCs w:val="28"/>
        </w:rPr>
        <w:t>明细表</w:t>
      </w:r>
      <w:bookmarkEnd w:id="60"/>
    </w:p>
    <w:p>
      <w:pPr>
        <w:adjustRightInd w:val="0"/>
        <w:snapToGrid w:val="0"/>
        <w:spacing w:line="500" w:lineRule="exact"/>
        <w:ind w:firstLine="560" w:firstLineChars="200"/>
        <w:rPr>
          <w:rFonts w:ascii="仿宋_GB2312" w:eastAsia="仿宋_GB2312"/>
          <w:bCs/>
          <w:color w:val="000000"/>
          <w:szCs w:val="28"/>
        </w:rPr>
      </w:pPr>
      <w:r>
        <w:rPr>
          <w:rFonts w:hint="eastAsia" w:ascii="仿宋_GB2312" w:eastAsia="仿宋_GB2312"/>
          <w:color w:val="000000"/>
          <w:szCs w:val="28"/>
        </w:rPr>
        <w:t>（1）供应商应按照磋商文件规定格式填报报价</w:t>
      </w:r>
      <w:bookmarkStart w:id="62" w:name="_Hlt26670399"/>
      <w:bookmarkEnd w:id="62"/>
      <w:r>
        <w:rPr>
          <w:rFonts w:hint="eastAsia" w:ascii="仿宋_GB2312" w:eastAsia="仿宋_GB2312"/>
          <w:color w:val="000000"/>
          <w:szCs w:val="28"/>
        </w:rPr>
        <w:t>。每项费用只允许有一个报价，任何有选择的报价将不予接受。（如有）</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bCs/>
          <w:color w:val="000000"/>
          <w:szCs w:val="28"/>
        </w:rPr>
        <w:t>（2）</w:t>
      </w:r>
      <w:r>
        <w:rPr>
          <w:rFonts w:hint="eastAsia" w:ascii="仿宋_GB2312" w:hAnsi="宋体" w:eastAsia="仿宋_GB2312"/>
          <w:color w:val="000000"/>
          <w:szCs w:val="28"/>
        </w:rPr>
        <w:t>磋商报价</w:t>
      </w:r>
      <w:r>
        <w:rPr>
          <w:rFonts w:hint="eastAsia" w:ascii="仿宋_GB2312" w:hAnsi="宋体" w:eastAsia="仿宋_GB2312"/>
          <w:color w:val="000000"/>
          <w:spacing w:val="-6"/>
          <w:szCs w:val="28"/>
        </w:rPr>
        <w:t>应包括</w:t>
      </w:r>
      <w:r>
        <w:rPr>
          <w:rFonts w:hint="eastAsia" w:ascii="仿宋_GB2312" w:hAnsi="宋体" w:eastAsia="仿宋_GB2312"/>
          <w:color w:val="000000"/>
          <w:szCs w:val="28"/>
        </w:rPr>
        <w:t>所需人工费、材料费、其他（保险费，以及合同明示或暗示的风险、责任和义务等）费，以及管理费、利润和规费、税金等一切费用。具体项目对报价有特殊要求的，从其要求进行报价。</w:t>
      </w:r>
    </w:p>
    <w:p>
      <w:pPr>
        <w:pStyle w:val="43"/>
        <w:snapToGrid w:val="0"/>
        <w:spacing w:line="500" w:lineRule="exact"/>
        <w:ind w:firstLine="562"/>
        <w:rPr>
          <w:rFonts w:ascii="仿宋_GB2312" w:hAnsi="宋体" w:eastAsia="仿宋_GB2312"/>
          <w:bCs/>
          <w:color w:val="000000"/>
          <w:szCs w:val="28"/>
        </w:rPr>
      </w:pPr>
      <w:r>
        <w:rPr>
          <w:rFonts w:hint="eastAsia" w:ascii="仿宋_GB2312" w:hAnsi="宋体" w:eastAsia="仿宋_GB2312"/>
          <w:b/>
          <w:szCs w:val="28"/>
        </w:rPr>
        <w:t>最终报价一经确定不得更改，且不受市场价格波动影响。</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（3）其它费用处理</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磋商文件未列明，而供应商认为必需的费用也需列入报价。</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7.响应文件货币</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响应文件中的货物单价和总价无特殊规定的采用人民币报价。磋商文件中另有规定的按规定执行。</w:t>
      </w:r>
    </w:p>
    <w:p>
      <w:pPr>
        <w:adjustRightInd w:val="0"/>
        <w:snapToGrid w:val="0"/>
        <w:spacing w:line="500" w:lineRule="exact"/>
        <w:ind w:firstLine="560" w:firstLineChars="200"/>
        <w:rPr>
          <w:rFonts w:ascii="仿宋_GB2312" w:eastAsia="仿宋_GB2312"/>
          <w:color w:val="000000"/>
          <w:szCs w:val="28"/>
        </w:rPr>
      </w:pPr>
      <w:bookmarkStart w:id="63" w:name="_Hlt26954739"/>
      <w:bookmarkEnd w:id="63"/>
      <w:bookmarkStart w:id="64" w:name="_Hlt26954846"/>
      <w:bookmarkEnd w:id="64"/>
      <w:bookmarkStart w:id="65" w:name="_Hlt26954848"/>
      <w:bookmarkEnd w:id="65"/>
      <w:bookmarkStart w:id="66" w:name="_Hlt26954731"/>
      <w:bookmarkEnd w:id="66"/>
      <w:bookmarkStart w:id="67" w:name="_Hlt26670486"/>
      <w:bookmarkEnd w:id="67"/>
      <w:bookmarkStart w:id="68" w:name="_Hlt26954852"/>
      <w:bookmarkEnd w:id="68"/>
      <w:bookmarkStart w:id="69" w:name="_Hlt26670482"/>
      <w:bookmarkEnd w:id="69"/>
      <w:bookmarkStart w:id="70" w:name="_Toc14577361"/>
      <w:bookmarkStart w:id="71" w:name="_Toc49090512"/>
      <w:r>
        <w:rPr>
          <w:rFonts w:hint="eastAsia" w:ascii="仿宋_GB2312" w:eastAsia="仿宋_GB2312"/>
          <w:color w:val="000000"/>
          <w:szCs w:val="28"/>
          <w:lang w:val="en-US" w:eastAsia="zh-CN"/>
        </w:rPr>
        <w:t>8</w:t>
      </w:r>
      <w:r>
        <w:rPr>
          <w:rFonts w:hint="eastAsia" w:ascii="仿宋_GB2312" w:eastAsia="仿宋_GB2312"/>
          <w:color w:val="000000"/>
          <w:szCs w:val="28"/>
        </w:rPr>
        <w:t>.响应文件份数和签署</w:t>
      </w:r>
      <w:bookmarkEnd w:id="70"/>
      <w:bookmarkEnd w:id="71"/>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（1）供应商应严格按照磋商公告要求的份数准备响应文件，每份响应文件须清楚地标明“正本”或“副本”字样。一旦正本和副本不符，以正本为准。</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（2）响应文件的正本和所有的副本均需打印或复印，正本由供应商法定代表人或其授权代表签字。授权代表须将“法人授权书”（原件）附在正本响应文件中。</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（3）除供应商对错处做必要修改外，响应文件不得行间插字、涂改或增删。如有修改错漏处，必须由响应文件签署人签字或盖章。</w:t>
      </w:r>
    </w:p>
    <w:p>
      <w:pPr>
        <w:adjustRightInd w:val="0"/>
        <w:snapToGrid w:val="0"/>
        <w:spacing w:line="500" w:lineRule="exact"/>
        <w:ind w:firstLine="562" w:firstLineChars="200"/>
        <w:rPr>
          <w:rFonts w:ascii="仿宋_GB2312" w:hAnsi="宋体" w:eastAsia="仿宋_GB2312"/>
          <w:b/>
          <w:color w:val="000000"/>
          <w:szCs w:val="28"/>
        </w:rPr>
      </w:pPr>
      <w:bookmarkStart w:id="72" w:name="_Toc403987208"/>
      <w:bookmarkStart w:id="73" w:name="_Toc513029224"/>
      <w:bookmarkStart w:id="74" w:name="_Toc20823296"/>
      <w:bookmarkStart w:id="75" w:name="_Toc16938540"/>
      <w:bookmarkStart w:id="76" w:name="_Toc120614217"/>
      <w:r>
        <w:rPr>
          <w:rFonts w:hint="eastAsia" w:ascii="仿宋_GB2312" w:hAnsi="宋体" w:eastAsia="仿宋_GB2312"/>
          <w:b/>
          <w:color w:val="000000"/>
          <w:szCs w:val="28"/>
        </w:rPr>
        <w:t>四、响应文件的递交</w:t>
      </w:r>
      <w:bookmarkEnd w:id="72"/>
      <w:bookmarkEnd w:id="73"/>
      <w:bookmarkEnd w:id="74"/>
      <w:bookmarkEnd w:id="75"/>
      <w:bookmarkEnd w:id="76"/>
    </w:p>
    <w:p>
      <w:pPr>
        <w:adjustRightInd w:val="0"/>
        <w:snapToGrid w:val="0"/>
        <w:spacing w:line="500" w:lineRule="exact"/>
        <w:ind w:firstLine="560" w:firstLineChars="200"/>
        <w:rPr>
          <w:rFonts w:ascii="仿宋_GB2312" w:eastAsia="仿宋_GB2312"/>
          <w:color w:val="000000"/>
          <w:szCs w:val="28"/>
        </w:rPr>
      </w:pPr>
      <w:bookmarkStart w:id="77" w:name="_Toc16938541"/>
      <w:bookmarkStart w:id="78" w:name="_Toc513029225"/>
      <w:bookmarkStart w:id="79" w:name="_Toc20823297"/>
      <w:bookmarkStart w:id="80" w:name="_Toc462564084"/>
      <w:r>
        <w:rPr>
          <w:rFonts w:hint="eastAsia" w:ascii="仿宋_GB2312" w:eastAsia="仿宋_GB2312"/>
          <w:color w:val="000000"/>
          <w:szCs w:val="28"/>
        </w:rPr>
        <w:t>1.响应文件的密封和标记</w:t>
      </w:r>
      <w:bookmarkEnd w:id="77"/>
      <w:bookmarkEnd w:id="78"/>
      <w:bookmarkEnd w:id="79"/>
      <w:bookmarkEnd w:id="80"/>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（1）供应商应将响应文件正本和所有副本密封，并加盖供应商公章。不论供应商成交与否，响应文件均不退回。</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（2）密封的响应文件应：</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1）注明供应商名称，如因标注不清而产生的后果由供应商自负。按磋商公告中注明的地址送达；</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2）注明磋商项目名称、项目编号。</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3）未按要求密封和加写标记，采购人对误投或过早启封概不负责。对由此造成提前开封的响应文件，采购人将予以拒绝，作无效响应处理。</w:t>
      </w:r>
    </w:p>
    <w:p>
      <w:pPr>
        <w:adjustRightInd w:val="0"/>
        <w:snapToGrid w:val="0"/>
        <w:spacing w:line="500" w:lineRule="exact"/>
        <w:ind w:firstLine="560" w:firstLineChars="200"/>
        <w:rPr>
          <w:rFonts w:ascii="仿宋_GB2312" w:eastAsia="仿宋_GB2312"/>
          <w:color w:val="000000"/>
          <w:szCs w:val="28"/>
        </w:rPr>
      </w:pPr>
      <w:bookmarkStart w:id="81" w:name="_Toc16938542"/>
      <w:bookmarkStart w:id="82" w:name="_Toc513029226"/>
      <w:bookmarkStart w:id="83" w:name="_Toc20823298"/>
      <w:r>
        <w:rPr>
          <w:rFonts w:hint="eastAsia" w:ascii="仿宋_GB2312" w:eastAsia="仿宋_GB2312"/>
          <w:color w:val="000000"/>
          <w:szCs w:val="28"/>
        </w:rPr>
        <w:t>2.响应文件提交截止</w:t>
      </w:r>
      <w:bookmarkEnd w:id="81"/>
      <w:bookmarkEnd w:id="82"/>
      <w:bookmarkEnd w:id="83"/>
      <w:r>
        <w:rPr>
          <w:rFonts w:hint="eastAsia" w:ascii="仿宋_GB2312" w:eastAsia="仿宋_GB2312"/>
          <w:color w:val="000000"/>
          <w:szCs w:val="28"/>
        </w:rPr>
        <w:t>时间</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（1）采购人收到响应文件的时间不得迟于磋商公告中规定的截止时间。</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500" w:lineRule="exact"/>
        <w:ind w:firstLine="562" w:firstLineChars="200"/>
        <w:rPr>
          <w:rFonts w:ascii="仿宋_GB2312" w:hAnsi="宋体" w:eastAsia="仿宋_GB2312"/>
          <w:b/>
          <w:color w:val="000000"/>
          <w:szCs w:val="28"/>
        </w:rPr>
      </w:pPr>
      <w:r>
        <w:rPr>
          <w:rFonts w:hint="eastAsia" w:ascii="仿宋_GB2312" w:hAnsi="宋体" w:eastAsia="仿宋_GB2312"/>
          <w:b/>
          <w:color w:val="000000"/>
          <w:szCs w:val="28"/>
        </w:rPr>
        <w:t>五、磋商与评审</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1.磋商仪式</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bCs/>
          <w:color w:val="000000"/>
          <w:szCs w:val="28"/>
        </w:rPr>
        <w:t>（1）采购人将在磋商公告中规定的时间和地点组织磋商</w:t>
      </w:r>
      <w:r>
        <w:rPr>
          <w:rFonts w:hint="eastAsia" w:ascii="仿宋_GB2312" w:hAnsi="宋体" w:eastAsia="仿宋_GB2312"/>
          <w:color w:val="000000"/>
          <w:szCs w:val="28"/>
        </w:rPr>
        <w:t>。供应商应委派携带有效证件的代表准时参加，参加磋商的代表需签名以证明其出席。</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（2）磋商仪式由采购人代表主持，采购人代表、供应商代表以及有关工作人员参加。</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（3）磋商时请</w:t>
      </w:r>
      <w:r>
        <w:rPr>
          <w:rFonts w:hint="eastAsia" w:ascii="仿宋_GB2312" w:hAnsi="宋体" w:eastAsia="仿宋_GB2312"/>
          <w:color w:val="000000"/>
          <w:szCs w:val="28"/>
          <w:lang w:val="en-US" w:eastAsia="zh-CN"/>
        </w:rPr>
        <w:t>工作</w:t>
      </w:r>
      <w:r>
        <w:rPr>
          <w:rFonts w:hint="eastAsia" w:ascii="仿宋_GB2312" w:hAnsi="宋体" w:eastAsia="仿宋_GB2312"/>
          <w:color w:val="000000"/>
          <w:szCs w:val="28"/>
        </w:rPr>
        <w:t>人员查验响应文件密封情况，至响应文件开启时间后由磋商小组开启响应文件。</w:t>
      </w:r>
    </w:p>
    <w:p>
      <w:pPr>
        <w:adjustRightInd w:val="0"/>
        <w:snapToGrid w:val="0"/>
        <w:spacing w:line="500" w:lineRule="exact"/>
        <w:ind w:firstLine="560" w:firstLineChars="200"/>
        <w:rPr>
          <w:rFonts w:ascii="仿宋_GB2312" w:eastAsia="仿宋_GB2312"/>
          <w:color w:val="000000"/>
          <w:szCs w:val="28"/>
        </w:rPr>
      </w:pPr>
      <w:bookmarkStart w:id="84" w:name="_Toc20823303"/>
      <w:bookmarkStart w:id="85" w:name="_Toc513029231"/>
      <w:bookmarkStart w:id="86" w:name="_Toc16938547"/>
      <w:r>
        <w:rPr>
          <w:rFonts w:hint="eastAsia" w:ascii="仿宋_GB2312" w:eastAsia="仿宋_GB2312"/>
          <w:color w:val="000000"/>
          <w:szCs w:val="28"/>
        </w:rPr>
        <w:t>2.磋商小组</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（1）磋商仪式结束后，采购人将立即组织磋商小组进行磋商。</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（2）磋商小组将按规定由3人或以上单数组成。</w:t>
      </w:r>
    </w:p>
    <w:bookmarkEnd w:id="84"/>
    <w:bookmarkEnd w:id="85"/>
    <w:bookmarkEnd w:id="86"/>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（3）磋商小组工作原则</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3.响应文件审查</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500" w:lineRule="exact"/>
        <w:ind w:firstLine="560" w:firstLineChars="200"/>
        <w:rPr>
          <w:rFonts w:ascii="仿宋_GB2312" w:eastAsia="仿宋_GB2312"/>
          <w:color w:val="000000"/>
          <w:szCs w:val="28"/>
        </w:rPr>
      </w:pPr>
      <w:bookmarkStart w:id="87" w:name="_Toc20823304"/>
      <w:bookmarkStart w:id="88" w:name="_Toc513029232"/>
      <w:bookmarkStart w:id="89" w:name="_Toc16938548"/>
      <w:r>
        <w:rPr>
          <w:rFonts w:hint="eastAsia" w:ascii="仿宋_GB2312" w:eastAsia="仿宋_GB2312"/>
          <w:color w:val="000000"/>
          <w:szCs w:val="28"/>
        </w:rPr>
        <w:t>4.供应商澄清</w:t>
      </w:r>
      <w:bookmarkEnd w:id="87"/>
      <w:bookmarkEnd w:id="88"/>
      <w:bookmarkEnd w:id="89"/>
    </w:p>
    <w:p>
      <w:pPr>
        <w:adjustRightInd w:val="0"/>
        <w:snapToGrid w:val="0"/>
        <w:spacing w:line="500" w:lineRule="exact"/>
        <w:ind w:firstLine="560" w:firstLineChars="200"/>
        <w:rPr>
          <w:rFonts w:ascii="仿宋_GB2312" w:eastAsia="仿宋_GB2312"/>
          <w:color w:val="000000"/>
          <w:szCs w:val="28"/>
        </w:rPr>
      </w:pPr>
      <w:bookmarkStart w:id="90" w:name="_Toc16938549"/>
      <w:bookmarkStart w:id="91" w:name="_Toc20823305"/>
      <w:bookmarkStart w:id="92" w:name="_Toc513029233"/>
      <w:r>
        <w:rPr>
          <w:rFonts w:hint="eastAsia" w:ascii="仿宋_GB2312" w:eastAsia="仿宋_GB2312"/>
          <w:color w:val="000000"/>
          <w:szCs w:val="28"/>
        </w:rPr>
        <w:t>（1）磋商小组要求供应商澄清、说明或者更正响应文件将以书面形式作出。</w:t>
      </w:r>
    </w:p>
    <w:bookmarkEnd w:id="90"/>
    <w:bookmarkEnd w:id="91"/>
    <w:bookmarkEnd w:id="92"/>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5.磋商程序、最后报价、综合评分</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（1）磋商小组所有成员应当集中与单一供应商分别进行磋商，并给予所有参加磋商的供应商平等的磋商机会。</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（3）磋商文件能够详细列明采购标的的技术、服务要求的，磋商结束后，磋商小组将要求所有实质性响应的供应商在规定时间内提交最后报价。最后报价是供应商响应文件的有效组成部分。</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（4）已提交响应文件的供应商，在提交最后报价之前，可以根据磋商情况退出磋商。</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（6）评审时，磋商小组各成员独立对每个有效响应的文件进行评价、打分，然后汇总每个供应商每项评分因素的得分。</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7）磋商小组应当根据综合评分情况，按照评审得分由高到低顺序推荐2名成交候选单位，并编写评审报告。评审得分相同的，按照最后报价由低到高的顺序推荐。评审得分且最后报价相同的，按照技术指标优劣顺序推荐。</w:t>
      </w:r>
    </w:p>
    <w:p>
      <w:pPr>
        <w:adjustRightInd w:val="0"/>
        <w:snapToGrid w:val="0"/>
        <w:spacing w:line="500" w:lineRule="exact"/>
        <w:ind w:firstLine="560" w:firstLineChars="200"/>
        <w:rPr>
          <w:rFonts w:ascii="仿宋_GB2312" w:hAnsi="宋体" w:eastAsia="仿宋_GB2312"/>
          <w:color w:val="000000"/>
          <w:szCs w:val="28"/>
        </w:rPr>
      </w:pPr>
      <w:r>
        <w:rPr>
          <w:rFonts w:hint="eastAsia" w:ascii="仿宋_GB2312" w:eastAsia="仿宋_GB2312"/>
          <w:color w:val="000000"/>
          <w:szCs w:val="28"/>
        </w:rPr>
        <w:t>6.</w:t>
      </w:r>
      <w:bookmarkStart w:id="93" w:name="_Toc513029235"/>
      <w:bookmarkStart w:id="94" w:name="_Toc16938551"/>
      <w:bookmarkStart w:id="95" w:name="_Toc20823307"/>
      <w:r>
        <w:rPr>
          <w:rFonts w:hint="eastAsia" w:ascii="仿宋_GB2312" w:hAnsi="宋体" w:eastAsia="仿宋_GB2312"/>
          <w:color w:val="000000"/>
          <w:szCs w:val="28"/>
        </w:rPr>
        <w:t>响应无效条款</w:t>
      </w:r>
    </w:p>
    <w:p>
      <w:pPr>
        <w:pStyle w:val="44"/>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w:t>
      </w:r>
      <w:r>
        <w:rPr>
          <w:rFonts w:hint="eastAsia" w:ascii="仿宋_GB2312" w:hAnsi="宋体" w:eastAsia="仿宋_GB2312"/>
          <w:color w:val="000000"/>
          <w:szCs w:val="28"/>
          <w:lang w:val="en-US" w:eastAsia="zh-CN"/>
        </w:rPr>
        <w:t>1</w:t>
      </w:r>
      <w:r>
        <w:rPr>
          <w:rFonts w:hint="eastAsia" w:ascii="仿宋_GB2312" w:hAnsi="宋体" w:eastAsia="仿宋_GB2312"/>
          <w:color w:val="000000"/>
          <w:szCs w:val="28"/>
        </w:rPr>
        <w:t>）未按照磋商文件规定要求密封、签署、盖章的；</w:t>
      </w:r>
    </w:p>
    <w:p>
      <w:pPr>
        <w:pStyle w:val="44"/>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w:t>
      </w:r>
      <w:r>
        <w:rPr>
          <w:rFonts w:hint="eastAsia" w:ascii="仿宋_GB2312" w:hAnsi="宋体" w:eastAsia="仿宋_GB2312"/>
          <w:color w:val="000000"/>
          <w:szCs w:val="28"/>
          <w:lang w:val="en-US" w:eastAsia="zh-CN"/>
        </w:rPr>
        <w:t>2</w:t>
      </w:r>
      <w:r>
        <w:rPr>
          <w:rFonts w:hint="eastAsia" w:ascii="仿宋_GB2312" w:hAnsi="宋体" w:eastAsia="仿宋_GB2312"/>
          <w:color w:val="000000"/>
          <w:szCs w:val="28"/>
        </w:rPr>
        <w:t>）供应商不具备磋商文件中规定资格条件的；</w:t>
      </w:r>
    </w:p>
    <w:p>
      <w:pPr>
        <w:pStyle w:val="44"/>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w:t>
      </w:r>
      <w:r>
        <w:rPr>
          <w:rFonts w:hint="eastAsia" w:ascii="仿宋_GB2312" w:hAnsi="宋体" w:eastAsia="仿宋_GB2312"/>
          <w:color w:val="000000"/>
          <w:szCs w:val="28"/>
          <w:lang w:val="en-US" w:eastAsia="zh-CN"/>
        </w:rPr>
        <w:t>3</w:t>
      </w:r>
      <w:r>
        <w:rPr>
          <w:rFonts w:hint="eastAsia" w:ascii="仿宋_GB2312" w:hAnsi="宋体" w:eastAsia="仿宋_GB2312"/>
          <w:color w:val="000000"/>
          <w:szCs w:val="28"/>
        </w:rPr>
        <w:t>）不符合法律、法规和磋商文件中规定的其他实质性要求的；</w:t>
      </w:r>
    </w:p>
    <w:p>
      <w:pPr>
        <w:pStyle w:val="44"/>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w:t>
      </w:r>
      <w:r>
        <w:rPr>
          <w:rFonts w:hint="eastAsia" w:ascii="仿宋_GB2312" w:hAnsi="宋体" w:eastAsia="仿宋_GB2312"/>
          <w:color w:val="000000"/>
          <w:szCs w:val="28"/>
          <w:lang w:val="en-US" w:eastAsia="zh-CN"/>
        </w:rPr>
        <w:t>4</w:t>
      </w:r>
      <w:r>
        <w:rPr>
          <w:rFonts w:hint="eastAsia" w:ascii="仿宋_GB2312" w:hAnsi="宋体" w:eastAsia="仿宋_GB2312"/>
          <w:color w:val="000000"/>
          <w:szCs w:val="28"/>
        </w:rPr>
        <w:t>）其他法律、法规及本磋商文件规定的属响应无效的情形。</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7.终止磋商采购活动的条款</w:t>
      </w:r>
    </w:p>
    <w:p>
      <w:pPr>
        <w:adjustRightInd w:val="0"/>
        <w:snapToGrid w:val="0"/>
        <w:spacing w:line="500" w:lineRule="exact"/>
        <w:ind w:firstLine="560" w:firstLineChars="200"/>
        <w:rPr>
          <w:rFonts w:ascii="仿宋_GB2312" w:hAnsi="宋体" w:eastAsia="仿宋_GB2312" w:cs="宋体"/>
          <w:color w:val="000000"/>
          <w:szCs w:val="28"/>
        </w:rPr>
      </w:pPr>
      <w:r>
        <w:rPr>
          <w:rFonts w:hint="eastAsia" w:ascii="仿宋_GB2312" w:hAnsi="宋体" w:eastAsia="仿宋_GB2312" w:cs="宋体"/>
          <w:color w:val="000000"/>
          <w:szCs w:val="28"/>
        </w:rPr>
        <w:t>出现下列情形之一的，采购人将终止磋商采购活动，发布项目终止公告并说明原因，重新开展采购活动：</w:t>
      </w:r>
    </w:p>
    <w:p>
      <w:pPr>
        <w:pStyle w:val="44"/>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（1）因情况变化，不再符合规定的磋商采购方式适用情形的；</w:t>
      </w:r>
    </w:p>
    <w:p>
      <w:pPr>
        <w:pStyle w:val="44"/>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（2）出现影响采购公正的违法、违规行为的；</w:t>
      </w:r>
    </w:p>
    <w:bookmarkEnd w:id="93"/>
    <w:bookmarkEnd w:id="94"/>
    <w:bookmarkEnd w:id="95"/>
    <w:p>
      <w:pPr>
        <w:adjustRightInd w:val="0"/>
        <w:snapToGrid w:val="0"/>
        <w:spacing w:line="500" w:lineRule="exact"/>
        <w:ind w:firstLine="560" w:firstLineChars="200"/>
        <w:rPr>
          <w:rFonts w:ascii="仿宋_GB2312" w:eastAsia="仿宋_GB2312"/>
          <w:color w:val="000000"/>
          <w:szCs w:val="28"/>
        </w:rPr>
      </w:pPr>
      <w:bookmarkStart w:id="96" w:name="_Toc16938554"/>
      <w:bookmarkStart w:id="97" w:name="_Toc20823310"/>
      <w:r>
        <w:rPr>
          <w:rFonts w:hint="eastAsia" w:ascii="仿宋_GB2312" w:eastAsia="仿宋_GB2312"/>
          <w:color w:val="000000"/>
          <w:szCs w:val="28"/>
        </w:rPr>
        <w:t>8.确定</w:t>
      </w:r>
      <w:bookmarkEnd w:id="96"/>
      <w:bookmarkEnd w:id="97"/>
      <w:r>
        <w:rPr>
          <w:rFonts w:hint="eastAsia" w:ascii="仿宋_GB2312" w:eastAsia="仿宋_GB2312"/>
          <w:color w:val="000000"/>
          <w:szCs w:val="28"/>
        </w:rPr>
        <w:t>成交供应商</w:t>
      </w:r>
    </w:p>
    <w:p>
      <w:pPr>
        <w:pStyle w:val="43"/>
        <w:snapToGrid w:val="0"/>
        <w:spacing w:line="500" w:lineRule="exact"/>
        <w:ind w:firstLine="560"/>
        <w:rPr>
          <w:rFonts w:ascii="仿宋_GB2312" w:hAnsi="宋体" w:eastAsia="仿宋_GB2312" w:cs="Times New Roman"/>
          <w:color w:val="000000"/>
          <w:szCs w:val="28"/>
        </w:rPr>
      </w:pPr>
      <w:r>
        <w:rPr>
          <w:rFonts w:hint="eastAsia" w:ascii="仿宋_GB2312" w:hAnsi="宋体" w:eastAsia="仿宋_GB2312" w:cs="Times New Roman"/>
          <w:color w:val="000000"/>
          <w:szCs w:val="28"/>
        </w:rPr>
        <w:t>（1）采购人在评审结束后5个工作日内，从评审报告提出的中标候选单位中，按照排序由高到低的原则确定中标候选单位。</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（2）采购人在成交单位确定后2个工作日内在“皖南医学院校园网”公告中标结果。</w:t>
      </w:r>
    </w:p>
    <w:p>
      <w:pPr>
        <w:adjustRightInd w:val="0"/>
        <w:snapToGrid w:val="0"/>
        <w:spacing w:line="500" w:lineRule="exact"/>
        <w:ind w:firstLine="562" w:firstLineChars="200"/>
        <w:rPr>
          <w:rFonts w:ascii="仿宋_GB2312" w:hAnsi="宋体" w:eastAsia="仿宋_GB2312"/>
          <w:b/>
          <w:color w:val="000000"/>
          <w:szCs w:val="28"/>
        </w:rPr>
      </w:pPr>
      <w:bookmarkStart w:id="98" w:name="_Toc120614220"/>
      <w:bookmarkStart w:id="99" w:name="_Toc403987211"/>
      <w:bookmarkStart w:id="100" w:name="_Toc513029236"/>
      <w:bookmarkStart w:id="101" w:name="_Toc16938552"/>
      <w:bookmarkStart w:id="102" w:name="_Toc20823308"/>
      <w:r>
        <w:rPr>
          <w:rFonts w:hint="eastAsia" w:ascii="仿宋_GB2312" w:hAnsi="宋体" w:eastAsia="仿宋_GB2312"/>
          <w:b/>
          <w:color w:val="000000"/>
          <w:szCs w:val="28"/>
        </w:rPr>
        <w:t>六、授予合同</w:t>
      </w:r>
      <w:bookmarkEnd w:id="98"/>
      <w:bookmarkEnd w:id="99"/>
    </w:p>
    <w:bookmarkEnd w:id="100"/>
    <w:bookmarkEnd w:id="101"/>
    <w:bookmarkEnd w:id="102"/>
    <w:p>
      <w:pPr>
        <w:adjustRightInd w:val="0"/>
        <w:snapToGrid w:val="0"/>
        <w:spacing w:line="500" w:lineRule="exact"/>
        <w:ind w:firstLine="560" w:firstLineChars="200"/>
        <w:rPr>
          <w:rFonts w:ascii="仿宋_GB2312" w:eastAsia="仿宋_GB2312"/>
          <w:color w:val="000000"/>
          <w:szCs w:val="28"/>
        </w:rPr>
      </w:pPr>
      <w:bookmarkStart w:id="103" w:name="_Toc16938553"/>
      <w:bookmarkStart w:id="104" w:name="_Toc20823309"/>
      <w:bookmarkStart w:id="105" w:name="_Toc513029237"/>
      <w:r>
        <w:rPr>
          <w:rFonts w:hint="eastAsia" w:ascii="仿宋_GB2312" w:eastAsia="仿宋_GB2312"/>
          <w:color w:val="000000"/>
          <w:szCs w:val="28"/>
        </w:rPr>
        <w:t>1.签订合同</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（1）采购人与成交单位应当在中标通知书发出之日起</w:t>
      </w:r>
      <w:r>
        <w:rPr>
          <w:rFonts w:hint="eastAsia" w:ascii="仿宋_GB2312" w:hAnsi="宋体" w:eastAsia="仿宋_GB2312"/>
          <w:color w:val="000000"/>
          <w:szCs w:val="28"/>
          <w:lang w:val="en-US" w:eastAsia="zh-CN"/>
        </w:rPr>
        <w:t>10个工作</w:t>
      </w:r>
      <w:r>
        <w:rPr>
          <w:rFonts w:hint="eastAsia" w:ascii="仿宋_GB2312" w:hAnsi="宋体" w:eastAsia="仿宋_GB2312"/>
          <w:color w:val="000000"/>
          <w:szCs w:val="28"/>
        </w:rPr>
        <w:t>日内，按照磋商文件确定的合同文本以及采购标的、采购金额、技术和服务要求等事项签订采购合同。</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成交单位拒绝签订采购合同的，采购人可以按照从评审报告提出的中标候选单位中，按照排序由高到低的原则重新确定其他供应商作为成交单位并签订采购合同，也可以重新开展采购活动。拒绝签订采购合同的成交单位不得参加对该项目重新开展的采购活动。</w:t>
      </w:r>
    </w:p>
    <w:p>
      <w:pPr>
        <w:pStyle w:val="43"/>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（3）磋商文件、成交供应商的响应文件及磋商过程中有关澄清、承诺文件均应作为合同附件。</w:t>
      </w:r>
    </w:p>
    <w:bookmarkEnd w:id="103"/>
    <w:bookmarkEnd w:id="104"/>
    <w:bookmarkEnd w:id="105"/>
    <w:p>
      <w:pPr>
        <w:pStyle w:val="43"/>
        <w:snapToGrid w:val="0"/>
        <w:ind w:firstLine="562"/>
        <w:rPr>
          <w:rFonts w:ascii="仿宋_GB2312" w:hAnsi="宋体" w:eastAsia="仿宋_GB2312"/>
          <w:b/>
          <w:bCs/>
          <w:color w:val="000000"/>
          <w:szCs w:val="28"/>
        </w:rPr>
      </w:pPr>
      <w:r>
        <w:rPr>
          <w:rFonts w:hint="eastAsia" w:ascii="仿宋_GB2312" w:hAnsi="宋体" w:eastAsia="仿宋_GB2312"/>
          <w:b/>
          <w:bCs/>
          <w:color w:val="000000"/>
          <w:szCs w:val="28"/>
        </w:rPr>
        <w:t>七、质疑与投诉</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本项目为我校校内统一采购项目，在采购活动中，如需质疑或投诉，按照《皖南医学院采购质疑与投诉管理办法（试行）》（见附件）进行。质疑及投诉联系方式如下：</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 xml:space="preserve">（一）质疑联系方式： </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1.联系部门：皖南医学院国资处；</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2.联系电话：0553-3932052；</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3.通讯地址：芜湖市高校园区文昌西路22号皖南医学院国资处。</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（二）投诉联系方式：</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1.联系部门：皖南医学院巡察工作办公室</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2.联系电话：0553-3932826</w:t>
      </w:r>
    </w:p>
    <w:p>
      <w:pPr>
        <w:adjustRightInd w:val="0"/>
        <w:snapToGrid w:val="0"/>
        <w:spacing w:line="360" w:lineRule="auto"/>
        <w:ind w:firstLine="560" w:firstLineChars="200"/>
        <w:jc w:val="left"/>
        <w:rPr>
          <w:rFonts w:hint="eastAsia" w:ascii="仿宋_GB2312" w:hAnsi="仿宋_GB2312" w:eastAsia="仿宋_GB2312" w:cs="仿宋_GB2312"/>
          <w:color w:val="333333"/>
          <w:szCs w:val="28"/>
          <w:shd w:val="clear" w:color="auto" w:fill="FFFFFF"/>
        </w:rPr>
      </w:pPr>
      <w:r>
        <w:rPr>
          <w:rFonts w:hint="eastAsia" w:ascii="仿宋_GB2312" w:hAnsi="仿宋_GB2312" w:eastAsia="仿宋_GB2312" w:cs="仿宋_GB2312"/>
          <w:color w:val="333333"/>
          <w:szCs w:val="28"/>
          <w:shd w:val="clear" w:color="auto" w:fill="FFFFFF"/>
        </w:rPr>
        <w:t>3.通讯地址：芜湖市高校园区文昌西路22号皖南医学院巡察工作办公室</w:t>
      </w:r>
    </w:p>
    <w:p>
      <w:pPr>
        <w:pStyle w:val="43"/>
        <w:snapToGrid w:val="0"/>
        <w:ind w:right="280" w:rightChars="100" w:firstLine="560"/>
        <w:rPr>
          <w:rFonts w:ascii="仿宋_GB2312" w:hAnsi="宋体" w:eastAsia="仿宋_GB2312"/>
          <w:bCs/>
          <w:color w:val="000000"/>
          <w:szCs w:val="28"/>
        </w:rPr>
      </w:pPr>
    </w:p>
    <w:p>
      <w:pPr>
        <w:pStyle w:val="43"/>
        <w:snapToGrid w:val="0"/>
        <w:ind w:left="0" w:leftChars="0" w:right="280" w:rightChars="100" w:firstLine="0" w:firstLineChars="0"/>
        <w:rPr>
          <w:rFonts w:ascii="仿宋_GB2312" w:hAnsi="宋体" w:eastAsia="仿宋_GB2312"/>
          <w:bCs/>
          <w:color w:val="000000"/>
          <w:szCs w:val="28"/>
        </w:rPr>
      </w:pPr>
    </w:p>
    <w:p>
      <w:pPr>
        <w:pStyle w:val="3"/>
        <w:snapToGrid w:val="0"/>
        <w:spacing w:before="0" w:after="0" w:line="240" w:lineRule="atLeast"/>
        <w:ind w:left="947" w:hanging="947"/>
        <w:jc w:val="center"/>
        <w:rPr>
          <w:rFonts w:ascii="华文中宋" w:hAnsi="华文中宋" w:eastAsia="华文中宋"/>
          <w:bCs w:val="0"/>
          <w:color w:val="000000" w:themeColor="text1"/>
          <w14:textFill>
            <w14:solidFill>
              <w14:schemeClr w14:val="tx1"/>
            </w14:solidFill>
          </w14:textFill>
        </w:rPr>
      </w:pPr>
      <w:bookmarkStart w:id="106" w:name="_Toc516580572"/>
      <w:bookmarkStart w:id="107" w:name="_Toc479170302"/>
      <w:r>
        <w:rPr>
          <w:rFonts w:hint="eastAsia" w:ascii="华文中宋" w:hAnsi="华文中宋" w:eastAsia="华文中宋"/>
          <w:bCs w:val="0"/>
          <w:color w:val="000000" w:themeColor="text1"/>
          <w14:textFill>
            <w14:solidFill>
              <w14:schemeClr w14:val="tx1"/>
            </w14:solidFill>
          </w14:textFill>
        </w:rPr>
        <w:t>第四章  合同主要条款</w:t>
      </w:r>
      <w:bookmarkEnd w:id="106"/>
      <w:bookmarkEnd w:id="107"/>
    </w:p>
    <w:p>
      <w:pPr>
        <w:spacing w:line="480" w:lineRule="exact"/>
        <w:rPr>
          <w:rFonts w:ascii="仿宋_GB2312" w:hAnsi="仿宋" w:eastAsia="仿宋_GB2312"/>
          <w:szCs w:val="28"/>
        </w:rPr>
      </w:pPr>
    </w:p>
    <w:p>
      <w:pPr>
        <w:spacing w:line="480" w:lineRule="exact"/>
        <w:rPr>
          <w:rFonts w:hint="eastAsia" w:ascii="仿宋_GB2312" w:hAnsi="仿宋" w:eastAsia="仿宋_GB2312"/>
          <w:szCs w:val="28"/>
        </w:rPr>
      </w:pPr>
      <w:r>
        <w:rPr>
          <w:rFonts w:hint="eastAsia" w:ascii="仿宋_GB2312" w:hAnsi="仿宋" w:eastAsia="仿宋_GB2312"/>
          <w:szCs w:val="28"/>
        </w:rPr>
        <w:t xml:space="preserve"> </w:t>
      </w:r>
      <w:r>
        <w:rPr>
          <w:rFonts w:hint="eastAsia" w:ascii="仿宋_GB2312" w:hAnsi="仿宋" w:eastAsia="仿宋_GB2312"/>
          <w:szCs w:val="28"/>
          <w:lang w:val="en-US" w:eastAsia="zh-CN"/>
        </w:rPr>
        <w:t xml:space="preserve">                                             </w:t>
      </w:r>
      <w:r>
        <w:rPr>
          <w:rFonts w:hint="eastAsia" w:ascii="仿宋_GB2312" w:hAnsi="仿宋" w:eastAsia="仿宋_GB2312"/>
          <w:szCs w:val="28"/>
        </w:rPr>
        <w:t xml:space="preserve">合同编号：             </w:t>
      </w:r>
    </w:p>
    <w:p>
      <w:pPr>
        <w:spacing w:line="480" w:lineRule="exact"/>
        <w:rPr>
          <w:rFonts w:hint="eastAsia" w:ascii="仿宋_GB2312" w:hAnsi="仿宋" w:eastAsia="仿宋_GB2312"/>
          <w:szCs w:val="28"/>
        </w:rPr>
      </w:pPr>
    </w:p>
    <w:p>
      <w:pPr>
        <w:spacing w:line="560" w:lineRule="exact"/>
        <w:rPr>
          <w:rFonts w:ascii="宋体" w:hAnsi="宋体" w:eastAsia="宋体"/>
          <w:sz w:val="24"/>
          <w:szCs w:val="24"/>
        </w:rPr>
      </w:pPr>
      <w:r>
        <w:rPr>
          <w:rFonts w:hint="eastAsia" w:ascii="宋体" w:hAnsi="宋体" w:eastAsia="宋体"/>
          <w:b/>
          <w:sz w:val="24"/>
          <w:szCs w:val="24"/>
        </w:rPr>
        <w:t>甲方（买方）</w:t>
      </w:r>
      <w:r>
        <w:rPr>
          <w:rFonts w:hint="eastAsia" w:ascii="宋体" w:hAnsi="宋体" w:eastAsia="宋体"/>
          <w:sz w:val="24"/>
          <w:szCs w:val="24"/>
        </w:rPr>
        <w:t>：</w:t>
      </w:r>
      <w:r>
        <w:rPr>
          <w:rFonts w:ascii="宋体" w:hAnsi="宋体" w:eastAsia="宋体"/>
          <w:sz w:val="24"/>
          <w:szCs w:val="24"/>
        </w:rPr>
        <w:t xml:space="preserve">  </w:t>
      </w:r>
      <w:r>
        <w:rPr>
          <w:rFonts w:hint="eastAsia" w:ascii="宋体" w:hAnsi="宋体" w:eastAsia="宋体"/>
          <w:color w:val="AEAAAA"/>
          <w:sz w:val="24"/>
          <w:szCs w:val="24"/>
        </w:rPr>
        <w:t>皖南医学院（二级部门/单位）</w:t>
      </w:r>
      <w:r>
        <w:rPr>
          <w:rFonts w:ascii="宋体" w:hAnsi="宋体" w:eastAsia="宋体"/>
          <w:sz w:val="24"/>
          <w:szCs w:val="24"/>
        </w:rPr>
        <w:t xml:space="preserve">   </w:t>
      </w:r>
    </w:p>
    <w:p>
      <w:pPr>
        <w:spacing w:line="560" w:lineRule="exact"/>
        <w:rPr>
          <w:rFonts w:ascii="宋体" w:hAnsi="宋体" w:eastAsia="宋体"/>
          <w:sz w:val="24"/>
          <w:szCs w:val="24"/>
          <w:u w:val="single"/>
        </w:rPr>
      </w:pPr>
      <w:r>
        <w:rPr>
          <w:rFonts w:hint="eastAsia" w:ascii="宋体" w:hAnsi="宋体" w:eastAsia="宋体"/>
          <w:b/>
          <w:sz w:val="24"/>
          <w:szCs w:val="24"/>
        </w:rPr>
        <w:t>乙方（卖方</w:t>
      </w:r>
      <w:r>
        <w:rPr>
          <w:rFonts w:hint="eastAsia" w:ascii="宋体" w:hAnsi="宋体" w:eastAsia="宋体"/>
          <w:sz w:val="24"/>
          <w:szCs w:val="24"/>
        </w:rPr>
        <w:t>）：</w:t>
      </w:r>
      <w:r>
        <w:rPr>
          <w:rFonts w:ascii="宋体" w:hAnsi="宋体" w:eastAsia="宋体"/>
          <w:sz w:val="24"/>
          <w:szCs w:val="24"/>
          <w:u w:val="single"/>
        </w:rPr>
        <w:t xml:space="preserve">                           </w:t>
      </w:r>
    </w:p>
    <w:p>
      <w:pPr>
        <w:spacing w:line="560" w:lineRule="exact"/>
        <w:rPr>
          <w:rFonts w:ascii="宋体" w:hAnsi="宋体" w:eastAsia="宋体"/>
          <w:sz w:val="24"/>
          <w:szCs w:val="24"/>
        </w:rPr>
      </w:pPr>
      <w:r>
        <w:rPr>
          <w:rFonts w:hint="eastAsia" w:ascii="宋体" w:hAnsi="宋体" w:eastAsia="宋体"/>
          <w:b/>
          <w:sz w:val="24"/>
          <w:szCs w:val="24"/>
        </w:rPr>
        <w:t>签订地点</w:t>
      </w:r>
      <w:r>
        <w:rPr>
          <w:rFonts w:hint="eastAsia" w:ascii="宋体" w:hAnsi="宋体" w:eastAsia="宋体"/>
          <w:sz w:val="24"/>
          <w:szCs w:val="24"/>
        </w:rPr>
        <w:t>：</w:t>
      </w:r>
      <w:r>
        <w:rPr>
          <w:rFonts w:ascii="宋体" w:hAnsi="宋体" w:eastAsia="宋体"/>
          <w:sz w:val="24"/>
          <w:szCs w:val="24"/>
          <w:u w:val="single"/>
        </w:rPr>
        <w:t xml:space="preserve">  </w:t>
      </w:r>
      <w:r>
        <w:rPr>
          <w:rFonts w:hint="eastAsia" w:ascii="宋体" w:hAnsi="宋体" w:eastAsia="宋体"/>
          <w:sz w:val="24"/>
          <w:szCs w:val="24"/>
          <w:u w:val="single"/>
        </w:rPr>
        <w:t xml:space="preserve">皖南医学院 </w:t>
      </w:r>
      <w:r>
        <w:rPr>
          <w:rFonts w:ascii="宋体" w:hAnsi="宋体" w:eastAsia="宋体"/>
          <w:sz w:val="24"/>
          <w:szCs w:val="24"/>
          <w:u w:val="single"/>
        </w:rPr>
        <w:t xml:space="preserve">    </w:t>
      </w:r>
      <w:r>
        <w:rPr>
          <w:rFonts w:hint="eastAsia" w:ascii="宋体" w:hAnsi="宋体" w:eastAsia="宋体"/>
          <w:sz w:val="24"/>
          <w:szCs w:val="24"/>
          <w:u w:val="single"/>
        </w:rPr>
        <w:t xml:space="preserve">  校区</w:t>
      </w:r>
      <w:r>
        <w:rPr>
          <w:rFonts w:ascii="宋体" w:hAnsi="宋体" w:eastAsia="宋体"/>
          <w:sz w:val="24"/>
          <w:szCs w:val="24"/>
          <w:u w:val="single"/>
        </w:rPr>
        <w:t xml:space="preserve"> </w:t>
      </w:r>
    </w:p>
    <w:p>
      <w:pPr>
        <w:spacing w:line="560" w:lineRule="exact"/>
        <w:rPr>
          <w:rFonts w:ascii="宋体" w:hAnsi="宋体" w:eastAsia="宋体"/>
          <w:sz w:val="24"/>
          <w:szCs w:val="24"/>
        </w:rPr>
      </w:pPr>
      <w:r>
        <w:rPr>
          <w:rFonts w:hint="eastAsia" w:ascii="宋体" w:hAnsi="宋体" w:eastAsia="宋体"/>
          <w:b/>
          <w:sz w:val="24"/>
          <w:szCs w:val="24"/>
        </w:rPr>
        <w:t>签订时间</w:t>
      </w:r>
      <w:r>
        <w:rPr>
          <w:rFonts w:hint="eastAsia" w:ascii="宋体" w:hAnsi="宋体" w:eastAsia="宋体"/>
          <w:sz w:val="24"/>
          <w:szCs w:val="24"/>
        </w:rPr>
        <w:t>：</w:t>
      </w:r>
      <w:r>
        <w:rPr>
          <w:rFonts w:ascii="宋体" w:hAnsi="宋体" w:eastAsia="宋体"/>
          <w:sz w:val="24"/>
          <w:szCs w:val="24"/>
          <w:u w:val="single"/>
        </w:rPr>
        <w:t xml:space="preserve">        </w:t>
      </w:r>
      <w:r>
        <w:rPr>
          <w:rFonts w:hint="eastAsia" w:ascii="宋体" w:hAnsi="宋体" w:eastAsia="宋体"/>
          <w:sz w:val="24"/>
          <w:szCs w:val="24"/>
        </w:rPr>
        <w:t>年</w:t>
      </w:r>
      <w:r>
        <w:rPr>
          <w:rFonts w:ascii="宋体" w:hAnsi="宋体" w:eastAsia="宋体"/>
          <w:sz w:val="24"/>
          <w:szCs w:val="24"/>
          <w:u w:val="single"/>
        </w:rPr>
        <w:t xml:space="preserve">    </w:t>
      </w:r>
      <w:r>
        <w:rPr>
          <w:rFonts w:hint="eastAsia" w:ascii="宋体" w:hAnsi="宋体" w:eastAsia="宋体"/>
          <w:sz w:val="24"/>
          <w:szCs w:val="24"/>
        </w:rPr>
        <w:t>月</w:t>
      </w:r>
      <w:r>
        <w:rPr>
          <w:rFonts w:ascii="宋体" w:hAnsi="宋体" w:eastAsia="宋体"/>
          <w:sz w:val="24"/>
          <w:szCs w:val="24"/>
          <w:u w:val="single"/>
        </w:rPr>
        <w:t xml:space="preserve">    </w:t>
      </w:r>
      <w:r>
        <w:rPr>
          <w:rFonts w:hint="eastAsia" w:ascii="宋体" w:hAnsi="宋体" w:eastAsia="宋体"/>
          <w:sz w:val="24"/>
          <w:szCs w:val="24"/>
        </w:rPr>
        <w:t>日</w:t>
      </w:r>
    </w:p>
    <w:p>
      <w:pPr>
        <w:spacing w:line="560" w:lineRule="exact"/>
        <w:ind w:firstLine="480" w:firstLineChars="200"/>
        <w:rPr>
          <w:rFonts w:ascii="宋体" w:hAnsi="宋体" w:eastAsia="宋体"/>
          <w:sz w:val="24"/>
          <w:szCs w:val="24"/>
        </w:rPr>
      </w:pPr>
      <w:r>
        <w:rPr>
          <w:rFonts w:hint="eastAsia" w:ascii="宋体" w:hAnsi="宋体" w:eastAsia="宋体"/>
          <w:kern w:val="0"/>
          <w:sz w:val="24"/>
          <w:szCs w:val="24"/>
        </w:rPr>
        <w:t>根据《中华人民共和国民法典》</w:t>
      </w:r>
      <w:r>
        <w:rPr>
          <w:rFonts w:hint="eastAsia" w:ascii="宋体" w:hAnsi="宋体" w:eastAsia="宋体"/>
          <w:sz w:val="24"/>
          <w:szCs w:val="24"/>
        </w:rPr>
        <w:t>，经双方友好协商一致，共同签订本合同。</w:t>
      </w:r>
    </w:p>
    <w:p>
      <w:pPr>
        <w:numPr>
          <w:ilvl w:val="0"/>
          <w:numId w:val="3"/>
        </w:numPr>
        <w:spacing w:line="560" w:lineRule="exact"/>
        <w:rPr>
          <w:rFonts w:ascii="宋体" w:hAnsi="宋体" w:eastAsia="宋体"/>
          <w:b/>
          <w:sz w:val="24"/>
          <w:szCs w:val="24"/>
        </w:rPr>
      </w:pPr>
      <w:r>
        <w:rPr>
          <w:rFonts w:hint="eastAsia" w:ascii="宋体" w:hAnsi="宋体" w:eastAsia="宋体"/>
          <w:b/>
          <w:sz w:val="24"/>
          <w:szCs w:val="24"/>
        </w:rPr>
        <w:t>服务名称及内容</w:t>
      </w:r>
    </w:p>
    <w:p>
      <w:pPr>
        <w:spacing w:line="560" w:lineRule="exact"/>
        <w:rPr>
          <w:rFonts w:ascii="宋体" w:hAnsi="宋体" w:eastAsia="宋体"/>
          <w:b/>
          <w:i/>
          <w:sz w:val="24"/>
          <w:szCs w:val="24"/>
          <w:u w:val="single"/>
        </w:rPr>
      </w:pPr>
      <w:r>
        <w:rPr>
          <w:rFonts w:hint="eastAsia" w:ascii="宋体" w:hAnsi="宋体" w:eastAsia="宋体"/>
          <w:b/>
          <w:i/>
          <w:sz w:val="24"/>
          <w:szCs w:val="24"/>
          <w:u w:val="single"/>
        </w:rPr>
        <w:t>（根据项目情况自拟）</w:t>
      </w:r>
    </w:p>
    <w:p>
      <w:pPr>
        <w:numPr>
          <w:ilvl w:val="0"/>
          <w:numId w:val="3"/>
        </w:numPr>
        <w:spacing w:line="560" w:lineRule="exact"/>
        <w:rPr>
          <w:rFonts w:ascii="宋体" w:hAnsi="宋体" w:eastAsia="宋体"/>
          <w:b/>
          <w:sz w:val="24"/>
          <w:szCs w:val="24"/>
        </w:rPr>
      </w:pPr>
      <w:r>
        <w:rPr>
          <w:rFonts w:hint="eastAsia" w:ascii="宋体" w:hAnsi="宋体" w:eastAsia="宋体"/>
          <w:b/>
          <w:sz w:val="24"/>
          <w:szCs w:val="24"/>
        </w:rPr>
        <w:t>服务期限</w:t>
      </w:r>
    </w:p>
    <w:p>
      <w:pPr>
        <w:spacing w:line="560" w:lineRule="exact"/>
        <w:ind w:firstLine="480" w:firstLineChars="200"/>
        <w:rPr>
          <w:rFonts w:hint="eastAsia" w:ascii="宋体" w:hAnsi="宋体" w:eastAsia="宋体"/>
          <w:sz w:val="24"/>
          <w:szCs w:val="24"/>
        </w:rPr>
      </w:pPr>
      <w:r>
        <w:rPr>
          <w:rFonts w:hint="eastAsia" w:ascii="宋体" w:hAnsi="宋体" w:eastAsia="宋体"/>
          <w:sz w:val="24"/>
          <w:szCs w:val="24"/>
        </w:rPr>
        <w:t>乙方应于合同签订之日起</w:t>
      </w:r>
      <w:r>
        <w:rPr>
          <w:rFonts w:ascii="宋体" w:hAnsi="宋体" w:eastAsia="宋体"/>
          <w:sz w:val="24"/>
          <w:szCs w:val="24"/>
          <w:u w:val="single"/>
        </w:rPr>
        <w:t xml:space="preserve">      </w:t>
      </w:r>
      <w:r>
        <w:rPr>
          <w:rFonts w:hint="eastAsia" w:ascii="宋体" w:hAnsi="宋体" w:eastAsia="宋体"/>
          <w:sz w:val="24"/>
          <w:szCs w:val="24"/>
        </w:rPr>
        <w:t>日内完成合同约定的服务内容，由甲方进行验收。</w:t>
      </w:r>
    </w:p>
    <w:p>
      <w:pPr>
        <w:spacing w:line="560" w:lineRule="exact"/>
        <w:rPr>
          <w:rFonts w:ascii="宋体" w:hAnsi="宋体" w:eastAsia="宋体"/>
          <w:b/>
          <w:sz w:val="24"/>
          <w:szCs w:val="24"/>
          <w:u w:val="single"/>
        </w:rPr>
      </w:pPr>
      <w:r>
        <w:rPr>
          <w:rFonts w:hint="eastAsia" w:ascii="宋体" w:hAnsi="宋体" w:eastAsia="宋体"/>
          <w:sz w:val="24"/>
          <w:szCs w:val="24"/>
        </w:rPr>
        <w:t>验收方式为：</w:t>
      </w:r>
      <w:r>
        <w:rPr>
          <w:rFonts w:hint="eastAsia" w:ascii="宋体" w:hAnsi="宋体" w:eastAsia="宋体"/>
          <w:b/>
          <w:i/>
          <w:sz w:val="24"/>
          <w:szCs w:val="24"/>
          <w:u w:val="single"/>
        </w:rPr>
        <w:t>（根据项目情况自拟）</w:t>
      </w:r>
    </w:p>
    <w:p>
      <w:pPr>
        <w:numPr>
          <w:ilvl w:val="0"/>
          <w:numId w:val="3"/>
        </w:numPr>
        <w:spacing w:line="560" w:lineRule="exact"/>
        <w:rPr>
          <w:rFonts w:ascii="宋体" w:hAnsi="宋体" w:eastAsia="宋体"/>
          <w:b/>
          <w:sz w:val="24"/>
          <w:szCs w:val="24"/>
        </w:rPr>
      </w:pPr>
      <w:r>
        <w:rPr>
          <w:rFonts w:hint="eastAsia" w:ascii="宋体" w:hAnsi="宋体" w:eastAsia="宋体"/>
          <w:b/>
          <w:sz w:val="24"/>
          <w:szCs w:val="24"/>
        </w:rPr>
        <w:t>合同金额：</w:t>
      </w:r>
      <w:r>
        <w:rPr>
          <w:rFonts w:hint="eastAsia" w:ascii="宋体" w:hAnsi="宋体" w:eastAsia="宋体"/>
          <w:sz w:val="24"/>
          <w:szCs w:val="24"/>
        </w:rPr>
        <w:t>¥</w:t>
      </w:r>
      <w:r>
        <w:rPr>
          <w:rFonts w:ascii="宋体" w:hAnsi="宋体" w:eastAsia="宋体"/>
          <w:sz w:val="24"/>
          <w:szCs w:val="24"/>
          <w:u w:val="single"/>
        </w:rPr>
        <w:t xml:space="preserve">             </w:t>
      </w:r>
      <w:r>
        <w:rPr>
          <w:rFonts w:hint="eastAsia" w:ascii="宋体" w:hAnsi="宋体" w:eastAsia="宋体"/>
          <w:sz w:val="24"/>
          <w:szCs w:val="24"/>
        </w:rPr>
        <w:t>元（人民币大写：</w:t>
      </w:r>
      <w:r>
        <w:rPr>
          <w:rFonts w:ascii="宋体" w:hAnsi="宋体" w:eastAsia="宋体"/>
          <w:sz w:val="24"/>
          <w:szCs w:val="24"/>
          <w:u w:val="single"/>
        </w:rPr>
        <w:t xml:space="preserve">                       </w:t>
      </w:r>
      <w:r>
        <w:rPr>
          <w:rFonts w:hint="eastAsia" w:ascii="宋体" w:hAnsi="宋体" w:eastAsia="宋体"/>
          <w:sz w:val="24"/>
          <w:szCs w:val="24"/>
        </w:rPr>
        <w:t>）</w:t>
      </w:r>
    </w:p>
    <w:p>
      <w:pPr>
        <w:numPr>
          <w:ilvl w:val="0"/>
          <w:numId w:val="3"/>
        </w:numPr>
        <w:spacing w:line="560" w:lineRule="exact"/>
        <w:rPr>
          <w:rFonts w:ascii="宋体" w:hAnsi="宋体" w:eastAsia="宋体"/>
          <w:b/>
          <w:sz w:val="24"/>
          <w:szCs w:val="24"/>
        </w:rPr>
      </w:pPr>
      <w:r>
        <w:rPr>
          <w:rFonts w:hint="eastAsia" w:ascii="宋体" w:hAnsi="宋体" w:eastAsia="宋体"/>
          <w:b/>
          <w:sz w:val="24"/>
          <w:szCs w:val="24"/>
        </w:rPr>
        <w:t>合同款支付</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甲方按以下第</w:t>
      </w:r>
      <w:r>
        <w:rPr>
          <w:rFonts w:ascii="宋体" w:hAnsi="宋体" w:eastAsia="宋体"/>
          <w:sz w:val="24"/>
          <w:szCs w:val="24"/>
          <w:u w:val="single"/>
        </w:rPr>
        <w:t xml:space="preserve">     </w:t>
      </w:r>
      <w:r>
        <w:rPr>
          <w:rFonts w:hint="eastAsia" w:ascii="宋体" w:hAnsi="宋体" w:eastAsia="宋体"/>
          <w:sz w:val="24"/>
          <w:szCs w:val="24"/>
        </w:rPr>
        <w:t>种方式支付合同款（选择其一）：</w:t>
      </w:r>
    </w:p>
    <w:p>
      <w:pPr>
        <w:spacing w:line="560" w:lineRule="exact"/>
        <w:ind w:left="465"/>
        <w:rPr>
          <w:rFonts w:ascii="宋体" w:hAnsi="宋体" w:eastAsia="宋体"/>
          <w:sz w:val="24"/>
          <w:szCs w:val="24"/>
        </w:rPr>
      </w:pPr>
      <w:r>
        <w:rPr>
          <w:rFonts w:hint="eastAsia" w:ascii="宋体" w:hAnsi="宋体" w:eastAsia="宋体"/>
          <w:sz w:val="24"/>
          <w:szCs w:val="24"/>
        </w:rPr>
        <w:t>①</w:t>
      </w:r>
      <w:r>
        <w:rPr>
          <w:rFonts w:ascii="宋体" w:hAnsi="宋体" w:eastAsia="宋体"/>
          <w:sz w:val="24"/>
          <w:szCs w:val="24"/>
        </w:rPr>
        <w:t xml:space="preserve"> </w:t>
      </w:r>
      <w:r>
        <w:rPr>
          <w:rFonts w:hint="eastAsia" w:ascii="宋体" w:hAnsi="宋体" w:eastAsia="宋体"/>
          <w:sz w:val="24"/>
          <w:szCs w:val="24"/>
        </w:rPr>
        <w:t>乙方履约完成并经甲方验收合格后，甲方于</w:t>
      </w:r>
      <w:r>
        <w:rPr>
          <w:rFonts w:ascii="宋体" w:hAnsi="宋体" w:eastAsia="宋体"/>
          <w:sz w:val="24"/>
          <w:szCs w:val="24"/>
          <w:u w:val="single"/>
        </w:rPr>
        <w:t xml:space="preserve">      </w:t>
      </w:r>
      <w:r>
        <w:rPr>
          <w:rFonts w:hint="eastAsia" w:ascii="宋体" w:hAnsi="宋体" w:eastAsia="宋体"/>
          <w:sz w:val="24"/>
          <w:szCs w:val="24"/>
        </w:rPr>
        <w:t>日内一次性付清合同款。</w:t>
      </w:r>
    </w:p>
    <w:p>
      <w:pPr>
        <w:spacing w:line="560" w:lineRule="exact"/>
        <w:ind w:left="465"/>
        <w:rPr>
          <w:rFonts w:ascii="宋体" w:hAnsi="宋体" w:eastAsia="宋体"/>
          <w:sz w:val="24"/>
          <w:szCs w:val="24"/>
        </w:rPr>
      </w:pPr>
      <w:r>
        <w:rPr>
          <w:rFonts w:hint="eastAsia" w:ascii="宋体" w:hAnsi="宋体" w:eastAsia="宋体"/>
          <w:sz w:val="24"/>
          <w:szCs w:val="24"/>
        </w:rPr>
        <w:t>②</w:t>
      </w:r>
      <w:r>
        <w:rPr>
          <w:rFonts w:ascii="宋体" w:hAnsi="宋体" w:eastAsia="宋体"/>
          <w:sz w:val="24"/>
          <w:szCs w:val="24"/>
        </w:rPr>
        <w:t xml:space="preserve"> </w:t>
      </w:r>
      <w:r>
        <w:rPr>
          <w:rFonts w:hint="eastAsia" w:ascii="宋体" w:hAnsi="宋体" w:eastAsia="宋体"/>
          <w:sz w:val="24"/>
          <w:szCs w:val="24"/>
        </w:rPr>
        <w:t>签订合同后甲方预付合同款的</w:t>
      </w:r>
      <w:r>
        <w:rPr>
          <w:rFonts w:ascii="宋体" w:hAnsi="宋体" w:eastAsia="宋体"/>
          <w:sz w:val="24"/>
          <w:szCs w:val="24"/>
          <w:u w:val="single"/>
        </w:rPr>
        <w:t xml:space="preserve">          </w:t>
      </w:r>
      <w:r>
        <w:rPr>
          <w:rFonts w:ascii="宋体" w:hAnsi="宋体" w:eastAsia="宋体"/>
          <w:sz w:val="24"/>
          <w:szCs w:val="24"/>
        </w:rPr>
        <w:t xml:space="preserve">%  </w:t>
      </w:r>
      <w:r>
        <w:rPr>
          <w:rFonts w:hint="eastAsia" w:ascii="宋体" w:hAnsi="宋体" w:eastAsia="宋体"/>
          <w:sz w:val="24"/>
          <w:szCs w:val="24"/>
        </w:rPr>
        <w:t>（即</w:t>
      </w:r>
      <w:r>
        <w:rPr>
          <w:rFonts w:ascii="宋体" w:hAnsi="宋体" w:eastAsia="宋体"/>
          <w:sz w:val="24"/>
          <w:szCs w:val="24"/>
          <w:u w:val="single"/>
        </w:rPr>
        <w:t xml:space="preserve">        </w:t>
      </w:r>
      <w:r>
        <w:rPr>
          <w:rFonts w:hint="eastAsia" w:ascii="宋体" w:hAnsi="宋体" w:eastAsia="宋体"/>
          <w:sz w:val="24"/>
          <w:szCs w:val="24"/>
        </w:rPr>
        <w:t>元），乙方履约完成经甲方验收合格后，甲方于</w:t>
      </w:r>
      <w:r>
        <w:rPr>
          <w:rFonts w:ascii="宋体" w:hAnsi="宋体" w:eastAsia="宋体"/>
          <w:sz w:val="24"/>
          <w:szCs w:val="24"/>
          <w:u w:val="single"/>
        </w:rPr>
        <w:t xml:space="preserve">      </w:t>
      </w:r>
      <w:r>
        <w:rPr>
          <w:rFonts w:hint="eastAsia" w:ascii="宋体" w:hAnsi="宋体" w:eastAsia="宋体"/>
          <w:sz w:val="24"/>
          <w:szCs w:val="24"/>
        </w:rPr>
        <w:t>日内一次性付清余款。</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乙方须按国家有关财税规定为甲方开具正规发票。</w:t>
      </w:r>
    </w:p>
    <w:p>
      <w:pPr>
        <w:numPr>
          <w:ilvl w:val="0"/>
          <w:numId w:val="3"/>
        </w:numPr>
        <w:spacing w:line="560" w:lineRule="exact"/>
        <w:rPr>
          <w:rFonts w:ascii="宋体" w:hAnsi="宋体" w:eastAsia="宋体"/>
          <w:b/>
          <w:sz w:val="24"/>
          <w:szCs w:val="24"/>
        </w:rPr>
      </w:pPr>
      <w:r>
        <w:rPr>
          <w:rFonts w:hint="eastAsia" w:ascii="宋体" w:hAnsi="宋体" w:eastAsia="宋体"/>
          <w:b/>
          <w:sz w:val="24"/>
          <w:szCs w:val="24"/>
        </w:rPr>
        <w:t>售后服务</w:t>
      </w:r>
    </w:p>
    <w:p>
      <w:pPr>
        <w:numPr>
          <w:ilvl w:val="0"/>
          <w:numId w:val="4"/>
        </w:numPr>
        <w:spacing w:line="560" w:lineRule="exact"/>
        <w:rPr>
          <w:rFonts w:ascii="宋体" w:hAnsi="宋体" w:eastAsia="宋体"/>
          <w:sz w:val="24"/>
          <w:szCs w:val="24"/>
        </w:rPr>
      </w:pPr>
      <w:r>
        <w:rPr>
          <w:rFonts w:ascii="宋体" w:hAnsi="宋体" w:eastAsia="宋体"/>
          <w:sz w:val="24"/>
          <w:szCs w:val="24"/>
          <w:u w:val="single"/>
        </w:rPr>
        <w:t xml:space="preserve">        </w:t>
      </w:r>
      <w:r>
        <w:rPr>
          <w:rFonts w:hint="eastAsia" w:ascii="宋体" w:hAnsi="宋体" w:eastAsia="宋体"/>
          <w:sz w:val="24"/>
          <w:szCs w:val="24"/>
        </w:rPr>
        <w:t>年免费维保（自验收合格之日起）</w:t>
      </w:r>
      <w:r>
        <w:rPr>
          <w:rFonts w:hint="eastAsia" w:ascii="宋体" w:hAnsi="宋体" w:eastAsia="宋体"/>
          <w:b/>
          <w:i/>
          <w:sz w:val="24"/>
          <w:szCs w:val="24"/>
        </w:rPr>
        <w:t>（此条可根据项目性质编辑修改）</w:t>
      </w:r>
      <w:r>
        <w:rPr>
          <w:rFonts w:hint="eastAsia" w:ascii="宋体" w:hAnsi="宋体" w:eastAsia="宋体"/>
          <w:sz w:val="24"/>
          <w:szCs w:val="24"/>
        </w:rPr>
        <w:t>。</w:t>
      </w:r>
    </w:p>
    <w:p>
      <w:pPr>
        <w:numPr>
          <w:ilvl w:val="0"/>
          <w:numId w:val="4"/>
        </w:numPr>
        <w:spacing w:line="560" w:lineRule="exact"/>
        <w:rPr>
          <w:rFonts w:ascii="宋体" w:hAnsi="宋体" w:eastAsia="宋体"/>
          <w:sz w:val="24"/>
          <w:szCs w:val="24"/>
        </w:rPr>
      </w:pPr>
      <w:r>
        <w:rPr>
          <w:rFonts w:hint="eastAsia" w:ascii="宋体" w:hAnsi="宋体" w:eastAsia="宋体"/>
          <w:sz w:val="24"/>
          <w:szCs w:val="24"/>
        </w:rPr>
        <w:t>免费质保期结束后，甲方如有后续服务需求，乙方仍应承担维护职责，甲方需支付相应的服务费用（此条可根据项目性质编辑修改）。</w:t>
      </w:r>
    </w:p>
    <w:p>
      <w:pPr>
        <w:numPr>
          <w:ilvl w:val="0"/>
          <w:numId w:val="3"/>
        </w:numPr>
        <w:spacing w:line="560" w:lineRule="exact"/>
        <w:rPr>
          <w:rFonts w:ascii="宋体" w:hAnsi="宋体" w:eastAsia="宋体"/>
          <w:b/>
          <w:sz w:val="24"/>
          <w:szCs w:val="24"/>
        </w:rPr>
      </w:pPr>
      <w:r>
        <w:rPr>
          <w:rFonts w:hint="eastAsia" w:ascii="宋体" w:hAnsi="宋体" w:eastAsia="宋体"/>
          <w:b/>
          <w:sz w:val="24"/>
          <w:szCs w:val="24"/>
        </w:rPr>
        <w:t>违约责任</w:t>
      </w:r>
    </w:p>
    <w:p>
      <w:pPr>
        <w:numPr>
          <w:ilvl w:val="0"/>
          <w:numId w:val="5"/>
        </w:numPr>
        <w:spacing w:line="560" w:lineRule="exact"/>
        <w:rPr>
          <w:rFonts w:ascii="宋体" w:hAnsi="宋体" w:eastAsia="宋体"/>
          <w:sz w:val="24"/>
          <w:szCs w:val="24"/>
        </w:rPr>
      </w:pPr>
      <w:r>
        <w:rPr>
          <w:rFonts w:hint="eastAsia" w:ascii="宋体" w:hAnsi="宋体" w:eastAsia="宋体"/>
          <w:sz w:val="24"/>
          <w:szCs w:val="24"/>
        </w:rPr>
        <w:t>甲乙双方不履行合同约定的义务即为违约。</w:t>
      </w:r>
    </w:p>
    <w:p>
      <w:pPr>
        <w:numPr>
          <w:ilvl w:val="0"/>
          <w:numId w:val="5"/>
        </w:numPr>
        <w:spacing w:line="560" w:lineRule="exact"/>
        <w:rPr>
          <w:rFonts w:ascii="宋体" w:hAnsi="宋体" w:eastAsia="宋体"/>
          <w:sz w:val="24"/>
          <w:szCs w:val="24"/>
        </w:rPr>
      </w:pPr>
      <w:r>
        <w:rPr>
          <w:rFonts w:hint="eastAsia" w:ascii="宋体" w:hAnsi="宋体" w:eastAsia="宋体"/>
          <w:sz w:val="24"/>
          <w:szCs w:val="24"/>
        </w:rPr>
        <w:t>如乙方不能按期完成合同规定服务内容，除经甲方认可的不可抗拒原因外（以书面通知为准），每延长一天，甲方按合同总金额的</w:t>
      </w:r>
      <w:r>
        <w:rPr>
          <w:rFonts w:hint="eastAsia" w:ascii="宋体" w:hAnsi="宋体"/>
          <w:sz w:val="24"/>
          <w:szCs w:val="24"/>
          <w:lang w:val="en-US" w:eastAsia="zh-CN"/>
        </w:rPr>
        <w:t>5</w:t>
      </w:r>
      <w:r>
        <w:rPr>
          <w:rFonts w:hint="eastAsia" w:ascii="宋体" w:hAnsi="宋体" w:eastAsia="宋体"/>
          <w:sz w:val="24"/>
          <w:szCs w:val="24"/>
        </w:rPr>
        <w:t>‰按日收取延迟交货违约金，违约金最高不超过合同总金额</w:t>
      </w:r>
      <w:r>
        <w:rPr>
          <w:rFonts w:hint="eastAsia" w:ascii="宋体" w:hAnsi="宋体"/>
          <w:sz w:val="24"/>
          <w:szCs w:val="24"/>
          <w:lang w:val="en-US" w:eastAsia="zh-CN"/>
        </w:rPr>
        <w:t>2.</w:t>
      </w:r>
      <w:r>
        <w:rPr>
          <w:rFonts w:ascii="宋体" w:hAnsi="宋体" w:eastAsia="宋体"/>
          <w:sz w:val="24"/>
          <w:szCs w:val="24"/>
        </w:rPr>
        <w:t>5%</w:t>
      </w:r>
      <w:r>
        <w:rPr>
          <w:rFonts w:hint="eastAsia" w:ascii="宋体" w:hAnsi="宋体" w:eastAsia="宋体"/>
          <w:sz w:val="24"/>
          <w:szCs w:val="24"/>
        </w:rPr>
        <w:t>。</w:t>
      </w:r>
    </w:p>
    <w:p>
      <w:pPr>
        <w:numPr>
          <w:ilvl w:val="0"/>
          <w:numId w:val="5"/>
        </w:numPr>
        <w:spacing w:line="560" w:lineRule="exact"/>
        <w:rPr>
          <w:rFonts w:ascii="宋体" w:hAnsi="宋体" w:eastAsia="宋体"/>
          <w:sz w:val="24"/>
          <w:szCs w:val="24"/>
        </w:rPr>
      </w:pPr>
      <w:r>
        <w:rPr>
          <w:rFonts w:hint="eastAsia" w:ascii="宋体" w:hAnsi="宋体" w:eastAsia="宋体"/>
          <w:sz w:val="24"/>
          <w:szCs w:val="24"/>
        </w:rPr>
        <w:t>由于乙方原因不能按照约定时间完成履约的，在甲方书面通知</w:t>
      </w:r>
      <w:r>
        <w:rPr>
          <w:rFonts w:ascii="宋体" w:hAnsi="宋体" w:eastAsia="宋体"/>
          <w:sz w:val="24"/>
          <w:szCs w:val="24"/>
        </w:rPr>
        <w:t>7</w:t>
      </w:r>
      <w:r>
        <w:rPr>
          <w:rFonts w:hint="eastAsia" w:ascii="宋体" w:hAnsi="宋体" w:eastAsia="宋体"/>
          <w:sz w:val="24"/>
          <w:szCs w:val="24"/>
        </w:rPr>
        <w:t>日内乙方仍未履行或采取补救措施的，甲方有权终止合同，乙方须按合同总金额的</w:t>
      </w:r>
      <w:r>
        <w:rPr>
          <w:rFonts w:ascii="宋体" w:hAnsi="宋体" w:eastAsia="宋体"/>
          <w:sz w:val="24"/>
          <w:szCs w:val="24"/>
        </w:rPr>
        <w:t>30%</w:t>
      </w:r>
      <w:r>
        <w:rPr>
          <w:rFonts w:hint="eastAsia" w:ascii="宋体" w:hAnsi="宋体" w:eastAsia="宋体"/>
          <w:sz w:val="24"/>
          <w:szCs w:val="24"/>
        </w:rPr>
        <w:t>向甲方支付违约赔偿金，并全额退还甲方已付给乙方的货款。</w:t>
      </w:r>
    </w:p>
    <w:p>
      <w:pPr>
        <w:numPr>
          <w:ilvl w:val="0"/>
          <w:numId w:val="5"/>
        </w:numPr>
        <w:spacing w:line="560" w:lineRule="exact"/>
        <w:rPr>
          <w:rFonts w:ascii="宋体" w:hAnsi="宋体" w:eastAsia="宋体"/>
          <w:sz w:val="24"/>
          <w:szCs w:val="24"/>
        </w:rPr>
      </w:pPr>
      <w:r>
        <w:rPr>
          <w:rFonts w:hint="eastAsia" w:ascii="宋体" w:hAnsi="宋体" w:eastAsia="宋体"/>
          <w:sz w:val="24"/>
          <w:szCs w:val="24"/>
        </w:rPr>
        <w:t>乙方提供的服务不符合合同约定的，乙方必须无条件在甲方规定的时间内整改，如乙方不能在规定时间内完成整改，或整改后仍达不到合同交付标准的，乙方须退回全部合同款，并向甲方支付合同总金额的</w:t>
      </w:r>
      <w:r>
        <w:rPr>
          <w:rFonts w:ascii="宋体" w:hAnsi="宋体" w:eastAsia="宋体"/>
          <w:sz w:val="24"/>
          <w:szCs w:val="24"/>
        </w:rPr>
        <w:t>20%</w:t>
      </w:r>
      <w:r>
        <w:rPr>
          <w:rFonts w:hint="eastAsia" w:ascii="宋体" w:hAnsi="宋体" w:eastAsia="宋体"/>
          <w:sz w:val="24"/>
          <w:szCs w:val="24"/>
        </w:rPr>
        <w:t>的赔偿金。</w:t>
      </w:r>
    </w:p>
    <w:p>
      <w:pPr>
        <w:numPr>
          <w:ilvl w:val="0"/>
          <w:numId w:val="5"/>
        </w:numPr>
        <w:spacing w:line="560" w:lineRule="exact"/>
        <w:rPr>
          <w:rFonts w:ascii="宋体" w:hAnsi="宋体" w:eastAsia="宋体"/>
          <w:sz w:val="24"/>
          <w:szCs w:val="24"/>
        </w:rPr>
      </w:pPr>
      <w:r>
        <w:rPr>
          <w:rFonts w:hint="eastAsia" w:ascii="宋体" w:hAnsi="宋体" w:eastAsia="宋体"/>
          <w:sz w:val="24"/>
          <w:szCs w:val="24"/>
        </w:rPr>
        <w:t>甲方无正当理由逾期付款，每延长一天，按未付金额的</w:t>
      </w:r>
      <w:r>
        <w:rPr>
          <w:rFonts w:hint="eastAsia" w:ascii="宋体" w:hAnsi="宋体"/>
          <w:sz w:val="24"/>
          <w:szCs w:val="24"/>
          <w:lang w:val="en-US" w:eastAsia="zh-CN"/>
        </w:rPr>
        <w:t>5</w:t>
      </w:r>
      <w:r>
        <w:rPr>
          <w:rFonts w:hint="eastAsia" w:ascii="宋体" w:hAnsi="宋体" w:eastAsia="宋体"/>
          <w:sz w:val="24"/>
          <w:szCs w:val="24"/>
        </w:rPr>
        <w:t>‰作为违约金，违约金最多不超过合同总金额的</w:t>
      </w:r>
      <w:r>
        <w:rPr>
          <w:rFonts w:hint="eastAsia" w:ascii="宋体" w:hAnsi="宋体"/>
          <w:sz w:val="24"/>
          <w:szCs w:val="24"/>
          <w:lang w:val="en-US" w:eastAsia="zh-CN"/>
        </w:rPr>
        <w:t>2.</w:t>
      </w:r>
      <w:bookmarkStart w:id="163" w:name="_GoBack"/>
      <w:bookmarkEnd w:id="163"/>
      <w:r>
        <w:rPr>
          <w:rFonts w:ascii="宋体" w:hAnsi="宋体" w:eastAsia="宋体"/>
          <w:sz w:val="24"/>
          <w:szCs w:val="24"/>
        </w:rPr>
        <w:t>5%</w:t>
      </w:r>
      <w:r>
        <w:rPr>
          <w:rFonts w:hint="eastAsia" w:ascii="宋体" w:hAnsi="宋体" w:eastAsia="宋体"/>
          <w:sz w:val="24"/>
          <w:szCs w:val="24"/>
        </w:rPr>
        <w:t>。</w:t>
      </w:r>
    </w:p>
    <w:p>
      <w:pPr>
        <w:numPr>
          <w:ilvl w:val="0"/>
          <w:numId w:val="5"/>
        </w:numPr>
        <w:spacing w:line="560" w:lineRule="exact"/>
        <w:rPr>
          <w:rFonts w:ascii="宋体" w:hAnsi="宋体" w:eastAsia="宋体"/>
          <w:sz w:val="24"/>
          <w:szCs w:val="24"/>
        </w:rPr>
      </w:pPr>
      <w:r>
        <w:rPr>
          <w:rFonts w:hint="eastAsia" w:ascii="宋体" w:hAnsi="宋体" w:eastAsia="宋体"/>
          <w:sz w:val="24"/>
          <w:szCs w:val="24"/>
        </w:rPr>
        <w:t>甲方在以下情况下可向乙方发出书面通知，终止部分或全部合同：</w:t>
      </w:r>
    </w:p>
    <w:p>
      <w:pPr>
        <w:spacing w:line="560" w:lineRule="exact"/>
        <w:ind w:left="160" w:leftChars="57" w:firstLine="240" w:firstLineChars="100"/>
        <w:rPr>
          <w:rFonts w:ascii="宋体" w:hAnsi="宋体" w:eastAsia="宋体"/>
          <w:sz w:val="24"/>
          <w:szCs w:val="24"/>
        </w:rPr>
      </w:pPr>
      <w:r>
        <w:rPr>
          <w:rFonts w:hint="eastAsia" w:ascii="宋体" w:hAnsi="宋体" w:eastAsia="宋体"/>
          <w:sz w:val="24"/>
          <w:szCs w:val="24"/>
        </w:rPr>
        <w:t>①乙方未能在合同规定的期限或甲方同意延长的限期内提供合同约定的服务内容。</w:t>
      </w:r>
    </w:p>
    <w:p>
      <w:pPr>
        <w:spacing w:line="560" w:lineRule="exact"/>
        <w:ind w:left="160" w:leftChars="57" w:firstLine="240" w:firstLineChars="100"/>
        <w:rPr>
          <w:rFonts w:ascii="宋体" w:hAnsi="宋体" w:eastAsia="宋体"/>
          <w:sz w:val="24"/>
          <w:szCs w:val="24"/>
        </w:rPr>
      </w:pPr>
      <w:r>
        <w:rPr>
          <w:rFonts w:hint="eastAsia" w:ascii="宋体" w:hAnsi="宋体" w:eastAsia="宋体"/>
          <w:sz w:val="24"/>
          <w:szCs w:val="24"/>
        </w:rPr>
        <w:t>②如果乙方未能履行合同规定的其他义务，乙方在收到甲方发出的违约通知后</w:t>
      </w:r>
      <w:r>
        <w:rPr>
          <w:rFonts w:ascii="宋体" w:hAnsi="宋体" w:eastAsia="宋体"/>
          <w:sz w:val="24"/>
          <w:szCs w:val="24"/>
        </w:rPr>
        <w:t>7</w:t>
      </w:r>
      <w:r>
        <w:rPr>
          <w:rFonts w:hint="eastAsia" w:ascii="宋体" w:hAnsi="宋体" w:eastAsia="宋体"/>
          <w:sz w:val="24"/>
          <w:szCs w:val="24"/>
        </w:rPr>
        <w:t>天内，或经甲方书面认可延长的时间内未能纠正其过失。</w:t>
      </w:r>
    </w:p>
    <w:p>
      <w:pPr>
        <w:numPr>
          <w:ilvl w:val="0"/>
          <w:numId w:val="3"/>
        </w:numPr>
        <w:spacing w:line="560" w:lineRule="exact"/>
        <w:rPr>
          <w:rFonts w:ascii="宋体" w:hAnsi="宋体" w:eastAsia="宋体"/>
          <w:b/>
          <w:sz w:val="24"/>
          <w:szCs w:val="24"/>
        </w:rPr>
      </w:pPr>
      <w:r>
        <w:rPr>
          <w:rFonts w:hint="eastAsia" w:ascii="宋体" w:hAnsi="宋体" w:eastAsia="宋体"/>
          <w:b/>
          <w:sz w:val="24"/>
          <w:szCs w:val="24"/>
        </w:rPr>
        <w:t>不可抗力</w:t>
      </w:r>
    </w:p>
    <w:p>
      <w:pPr>
        <w:spacing w:line="56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双方在订立合同时无法控制、不可预见的事件如：战争、水灾、地震，异常恶劣天气以及双方同意的事件为不可抗力事件。当因不可抗力事件发生致使履约延迟时，履行合同的期限可相应延长，但乙方应继续履行合同。</w:t>
      </w:r>
    </w:p>
    <w:p>
      <w:pPr>
        <w:numPr>
          <w:ilvl w:val="0"/>
          <w:numId w:val="3"/>
        </w:numPr>
        <w:spacing w:line="560" w:lineRule="exact"/>
        <w:rPr>
          <w:rFonts w:ascii="宋体" w:hAnsi="宋体" w:eastAsia="宋体"/>
          <w:b/>
          <w:sz w:val="24"/>
          <w:szCs w:val="24"/>
        </w:rPr>
      </w:pPr>
      <w:r>
        <w:rPr>
          <w:rFonts w:hint="eastAsia" w:ascii="宋体" w:hAnsi="宋体" w:eastAsia="宋体"/>
          <w:b/>
          <w:sz w:val="24"/>
          <w:szCs w:val="24"/>
        </w:rPr>
        <w:t>争议处理</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本合同发生争议，由双方协商解决，协商不成时按以下第</w:t>
      </w:r>
      <w:r>
        <w:rPr>
          <w:rFonts w:ascii="宋体" w:hAnsi="宋体" w:eastAsia="宋体"/>
          <w:sz w:val="24"/>
          <w:szCs w:val="24"/>
          <w:u w:val="single"/>
        </w:rPr>
        <w:t xml:space="preserve">     </w:t>
      </w:r>
      <w:r>
        <w:rPr>
          <w:rFonts w:hint="eastAsia" w:ascii="宋体" w:hAnsi="宋体" w:eastAsia="宋体"/>
          <w:sz w:val="24"/>
          <w:szCs w:val="24"/>
        </w:rPr>
        <w:t>种方式处理（选择其一）：</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①</w:t>
      </w:r>
      <w:r>
        <w:rPr>
          <w:rFonts w:ascii="宋体" w:hAnsi="宋体" w:eastAsia="宋体"/>
          <w:sz w:val="24"/>
          <w:szCs w:val="24"/>
        </w:rPr>
        <w:t xml:space="preserve"> </w:t>
      </w:r>
      <w:r>
        <w:rPr>
          <w:rFonts w:hint="eastAsia" w:ascii="宋体" w:hAnsi="宋体" w:eastAsia="宋体"/>
          <w:sz w:val="24"/>
          <w:szCs w:val="24"/>
        </w:rPr>
        <w:t>由甲方所在地仲裁机构申请仲裁。</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②</w:t>
      </w:r>
      <w:r>
        <w:rPr>
          <w:rFonts w:ascii="宋体" w:hAnsi="宋体" w:eastAsia="宋体"/>
          <w:sz w:val="24"/>
          <w:szCs w:val="24"/>
        </w:rPr>
        <w:t xml:space="preserve"> </w:t>
      </w:r>
      <w:r>
        <w:rPr>
          <w:rFonts w:hint="eastAsia" w:ascii="宋体" w:hAnsi="宋体" w:eastAsia="宋体"/>
          <w:sz w:val="24"/>
          <w:szCs w:val="24"/>
        </w:rPr>
        <w:t>向甲方所在地人民法院起诉。</w:t>
      </w:r>
    </w:p>
    <w:p>
      <w:pPr>
        <w:numPr>
          <w:ilvl w:val="0"/>
          <w:numId w:val="3"/>
        </w:numPr>
        <w:spacing w:line="560" w:lineRule="exact"/>
        <w:rPr>
          <w:rFonts w:hint="eastAsia" w:ascii="宋体" w:hAnsi="宋体" w:eastAsia="宋体"/>
          <w:b/>
          <w:sz w:val="24"/>
          <w:szCs w:val="24"/>
        </w:rPr>
      </w:pPr>
      <w:r>
        <w:rPr>
          <w:rFonts w:hint="eastAsia" w:ascii="宋体" w:hAnsi="宋体" w:eastAsia="宋体"/>
          <w:b/>
          <w:sz w:val="24"/>
          <w:szCs w:val="24"/>
        </w:rPr>
        <w:t>本合同一式肆份，具有同等法律效力，甲乙双方各执壹份，财务处壹份，国资处备案壹份。本合同双方签字盖章后生效。合同未尽事宜，双方可另行签订补充协议，补充协议是合同的组成部分。</w:t>
      </w:r>
    </w:p>
    <w:p>
      <w:pPr>
        <w:spacing w:line="560" w:lineRule="exact"/>
        <w:rPr>
          <w:rFonts w:ascii="宋体" w:hAnsi="宋体" w:eastAsia="宋体"/>
          <w:sz w:val="24"/>
          <w:szCs w:val="24"/>
          <w:u w:val="single"/>
        </w:rPr>
      </w:pPr>
      <w:r>
        <w:rPr>
          <w:rFonts w:hint="eastAsia" w:ascii="宋体" w:hAnsi="宋体" w:eastAsia="宋体"/>
          <w:sz w:val="24"/>
          <w:szCs w:val="24"/>
        </w:rPr>
        <w:t>甲方：</w:t>
      </w:r>
      <w:r>
        <w:rPr>
          <w:rFonts w:hint="eastAsia" w:ascii="宋体" w:hAnsi="宋体" w:eastAsia="宋体"/>
          <w:color w:val="AEAAAA"/>
          <w:w w:val="80"/>
          <w:sz w:val="24"/>
          <w:szCs w:val="24"/>
          <w:u w:val="single"/>
        </w:rPr>
        <w:t>皖南医学院（二级部门/单位）</w:t>
      </w:r>
      <w:r>
        <w:rPr>
          <w:rFonts w:hint="eastAsia" w:ascii="宋体" w:hAnsi="宋体" w:eastAsia="宋体"/>
          <w:w w:val="80"/>
          <w:sz w:val="24"/>
          <w:szCs w:val="24"/>
          <w:u w:val="single"/>
        </w:rPr>
        <w:t>（经济合同章）</w:t>
      </w:r>
      <w:r>
        <w:rPr>
          <w:rFonts w:ascii="宋体" w:hAnsi="宋体" w:eastAsia="宋体"/>
          <w:sz w:val="24"/>
          <w:szCs w:val="24"/>
        </w:rPr>
        <w:t xml:space="preserve">   </w:t>
      </w:r>
      <w:r>
        <w:rPr>
          <w:rFonts w:hint="eastAsia" w:ascii="宋体" w:hAnsi="宋体" w:eastAsia="宋体"/>
          <w:sz w:val="24"/>
          <w:szCs w:val="24"/>
        </w:rPr>
        <w:t>乙方：</w:t>
      </w:r>
      <w:r>
        <w:rPr>
          <w:rFonts w:ascii="宋体" w:hAnsi="宋体" w:eastAsia="宋体"/>
          <w:sz w:val="24"/>
          <w:szCs w:val="24"/>
          <w:u w:val="single"/>
        </w:rPr>
        <w:t xml:space="preserve">                </w:t>
      </w:r>
      <w:r>
        <w:rPr>
          <w:rFonts w:hint="eastAsia" w:ascii="宋体" w:hAnsi="宋体" w:eastAsia="宋体"/>
          <w:sz w:val="24"/>
          <w:szCs w:val="24"/>
          <w:u w:val="single"/>
        </w:rPr>
        <w:t>（盖章）</w:t>
      </w:r>
      <w:r>
        <w:rPr>
          <w:rFonts w:ascii="宋体" w:hAnsi="宋体" w:eastAsia="宋体"/>
          <w:sz w:val="24"/>
          <w:szCs w:val="24"/>
          <w:u w:val="single"/>
        </w:rPr>
        <w:t xml:space="preserve"> </w:t>
      </w:r>
    </w:p>
    <w:p>
      <w:pPr>
        <w:spacing w:line="560" w:lineRule="exact"/>
        <w:rPr>
          <w:rFonts w:ascii="宋体" w:hAnsi="宋体" w:eastAsia="宋体"/>
          <w:sz w:val="24"/>
          <w:szCs w:val="24"/>
          <w:u w:val="single"/>
        </w:rPr>
      </w:pPr>
      <w:r>
        <w:rPr>
          <w:rFonts w:hint="eastAsia" w:ascii="宋体" w:hAnsi="宋体" w:eastAsia="宋体"/>
          <w:sz w:val="24"/>
          <w:szCs w:val="24"/>
        </w:rPr>
        <w:t>地址：</w:t>
      </w:r>
      <w:r>
        <w:rPr>
          <w:rFonts w:ascii="宋体" w:hAnsi="宋体" w:eastAsia="宋体"/>
          <w:sz w:val="24"/>
          <w:szCs w:val="24"/>
          <w:u w:val="single"/>
        </w:rPr>
        <w:t>芜湖市弋江区</w:t>
      </w:r>
      <w:r>
        <w:rPr>
          <w:rFonts w:hint="eastAsia" w:ascii="宋体" w:hAnsi="宋体" w:eastAsia="宋体"/>
          <w:sz w:val="24"/>
          <w:szCs w:val="24"/>
          <w:u w:val="single"/>
        </w:rPr>
        <w:t>文昌</w:t>
      </w:r>
      <w:r>
        <w:rPr>
          <w:rFonts w:ascii="宋体" w:hAnsi="宋体" w:eastAsia="宋体"/>
          <w:sz w:val="24"/>
          <w:szCs w:val="24"/>
          <w:u w:val="single"/>
        </w:rPr>
        <w:t>西路</w:t>
      </w:r>
      <w:r>
        <w:rPr>
          <w:rFonts w:hint="eastAsia" w:ascii="宋体" w:hAnsi="宋体" w:eastAsia="宋体"/>
          <w:sz w:val="24"/>
          <w:szCs w:val="24"/>
          <w:u w:val="single"/>
        </w:rPr>
        <w:t>22号</w:t>
      </w:r>
      <w:r>
        <w:rPr>
          <w:rFonts w:ascii="宋体" w:hAnsi="宋体" w:eastAsia="宋体"/>
          <w:sz w:val="24"/>
          <w:szCs w:val="24"/>
          <w:u w:val="single"/>
        </w:rPr>
        <w:t xml:space="preserve">  </w:t>
      </w:r>
      <w:r>
        <w:rPr>
          <w:rFonts w:ascii="宋体" w:hAnsi="宋体" w:eastAsia="宋体"/>
          <w:sz w:val="24"/>
          <w:szCs w:val="24"/>
        </w:rPr>
        <w:t xml:space="preserve">        </w:t>
      </w:r>
      <w:r>
        <w:rPr>
          <w:rFonts w:hint="eastAsia" w:ascii="宋体" w:hAnsi="宋体" w:eastAsia="宋体"/>
          <w:sz w:val="24"/>
          <w:szCs w:val="24"/>
        </w:rPr>
        <w:t>地址：</w:t>
      </w:r>
      <w:r>
        <w:rPr>
          <w:rFonts w:ascii="宋体" w:hAnsi="宋体" w:eastAsia="宋体"/>
          <w:sz w:val="24"/>
          <w:szCs w:val="24"/>
          <w:u w:val="single"/>
        </w:rPr>
        <w:t xml:space="preserve">                        </w:t>
      </w:r>
    </w:p>
    <w:p>
      <w:pPr>
        <w:spacing w:line="560" w:lineRule="exact"/>
        <w:rPr>
          <w:rFonts w:ascii="宋体" w:hAnsi="宋体" w:eastAsia="宋体"/>
          <w:sz w:val="24"/>
          <w:szCs w:val="24"/>
        </w:rPr>
      </w:pPr>
      <w:r>
        <w:rPr>
          <w:rFonts w:hint="eastAsia" w:ascii="宋体" w:hAnsi="宋体" w:eastAsia="宋体"/>
          <w:sz w:val="24"/>
          <w:szCs w:val="24"/>
        </w:rPr>
        <w:t>法定代表人或委托代理人：</w:t>
      </w:r>
      <w:r>
        <w:rPr>
          <w:rFonts w:ascii="宋体" w:hAnsi="宋体" w:eastAsia="宋体"/>
          <w:sz w:val="24"/>
          <w:szCs w:val="24"/>
        </w:rPr>
        <w:t xml:space="preserve">                 </w:t>
      </w:r>
      <w:r>
        <w:rPr>
          <w:rFonts w:hint="eastAsia" w:ascii="宋体" w:hAnsi="宋体" w:eastAsia="宋体"/>
          <w:sz w:val="24"/>
          <w:szCs w:val="24"/>
        </w:rPr>
        <w:t>法定代表人或委托代理人：</w:t>
      </w:r>
    </w:p>
    <w:p>
      <w:pPr>
        <w:spacing w:line="560" w:lineRule="exact"/>
        <w:rPr>
          <w:rFonts w:hint="eastAsia" w:ascii="宋体" w:hAnsi="宋体" w:eastAsia="宋体"/>
          <w:sz w:val="24"/>
          <w:szCs w:val="24"/>
        </w:rPr>
      </w:pPr>
      <w:r>
        <w:rPr>
          <w:rFonts w:hint="eastAsia" w:ascii="宋体" w:hAnsi="宋体" w:eastAsia="宋体"/>
          <w:sz w:val="24"/>
          <w:szCs w:val="24"/>
        </w:rPr>
        <w:t>联系</w:t>
      </w:r>
      <w:r>
        <w:rPr>
          <w:rFonts w:ascii="宋体" w:hAnsi="宋体" w:eastAsia="宋体"/>
          <w:sz w:val="24"/>
          <w:szCs w:val="24"/>
        </w:rPr>
        <w:t>电话：</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联系</w:t>
      </w:r>
      <w:r>
        <w:rPr>
          <w:rFonts w:ascii="宋体" w:hAnsi="宋体" w:eastAsia="宋体"/>
          <w:sz w:val="24"/>
          <w:szCs w:val="24"/>
        </w:rPr>
        <w:t>电话：</w:t>
      </w:r>
      <w:r>
        <w:rPr>
          <w:rFonts w:hint="eastAsia" w:ascii="宋体" w:hAnsi="宋体" w:eastAsia="宋体"/>
          <w:sz w:val="24"/>
          <w:szCs w:val="24"/>
        </w:rPr>
        <w:t xml:space="preserve">   </w:t>
      </w:r>
    </w:p>
    <w:p>
      <w:pPr>
        <w:spacing w:line="560" w:lineRule="exact"/>
        <w:rPr>
          <w:rFonts w:ascii="宋体" w:hAnsi="宋体" w:eastAsia="宋体"/>
          <w:sz w:val="24"/>
          <w:szCs w:val="24"/>
        </w:rPr>
      </w:pPr>
      <w:r>
        <w:rPr>
          <w:rFonts w:hint="eastAsia" w:ascii="宋体" w:hAnsi="宋体" w:eastAsia="宋体"/>
          <w:sz w:val="24"/>
          <w:szCs w:val="24"/>
        </w:rPr>
        <w:t>账号：</w:t>
      </w:r>
      <w:r>
        <w:rPr>
          <w:rFonts w:ascii="宋体" w:hAnsi="宋体" w:eastAsia="宋体"/>
          <w:sz w:val="24"/>
          <w:szCs w:val="24"/>
        </w:rPr>
        <w:t xml:space="preserve">                              </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账号：</w:t>
      </w:r>
    </w:p>
    <w:p>
      <w:pPr>
        <w:spacing w:line="560" w:lineRule="exact"/>
        <w:rPr>
          <w:rFonts w:ascii="宋体" w:hAnsi="宋体" w:eastAsia="宋体"/>
          <w:sz w:val="24"/>
          <w:szCs w:val="24"/>
        </w:rPr>
      </w:pPr>
      <w:r>
        <w:rPr>
          <w:rFonts w:hint="eastAsia" w:ascii="宋体" w:hAnsi="宋体" w:eastAsia="宋体"/>
          <w:sz w:val="24"/>
          <w:szCs w:val="24"/>
        </w:rPr>
        <w:t xml:space="preserve">开户行： </w:t>
      </w:r>
      <w:r>
        <w:rPr>
          <w:rFonts w:ascii="宋体" w:hAnsi="宋体" w:eastAsia="宋体"/>
          <w:sz w:val="24"/>
          <w:szCs w:val="24"/>
        </w:rPr>
        <w:t xml:space="preserve">                                </w:t>
      </w:r>
      <w:r>
        <w:rPr>
          <w:rFonts w:hint="eastAsia" w:ascii="宋体" w:hAnsi="宋体" w:eastAsia="宋体"/>
          <w:sz w:val="24"/>
          <w:szCs w:val="24"/>
        </w:rPr>
        <w:t>开户行：</w:t>
      </w:r>
      <w:r>
        <w:rPr>
          <w:rFonts w:ascii="宋体" w:hAnsi="宋体" w:eastAsia="宋体"/>
          <w:sz w:val="24"/>
          <w:szCs w:val="24"/>
        </w:rPr>
        <w:tab/>
      </w:r>
    </w:p>
    <w:p>
      <w:pPr>
        <w:spacing w:line="560" w:lineRule="exact"/>
        <w:rPr>
          <w:rFonts w:hint="eastAsia" w:ascii="宋体" w:hAnsi="宋体" w:eastAsia="宋体"/>
          <w:sz w:val="24"/>
          <w:szCs w:val="24"/>
        </w:rPr>
      </w:pPr>
      <w:r>
        <w:rPr>
          <w:rFonts w:hint="eastAsia" w:ascii="宋体" w:hAnsi="宋体" w:eastAsia="宋体"/>
          <w:sz w:val="24"/>
          <w:szCs w:val="24"/>
        </w:rPr>
        <w:t>税号：</w:t>
      </w:r>
      <w:r>
        <w:rPr>
          <w:rFonts w:ascii="宋体" w:hAnsi="宋体" w:eastAsia="宋体"/>
          <w:sz w:val="24"/>
          <w:szCs w:val="24"/>
        </w:rPr>
        <w:t xml:space="preserve">                                   </w:t>
      </w:r>
      <w:r>
        <w:rPr>
          <w:rFonts w:hint="eastAsia" w:ascii="宋体" w:hAnsi="宋体" w:eastAsia="宋体"/>
          <w:sz w:val="24"/>
          <w:szCs w:val="24"/>
        </w:rPr>
        <w:t>税号：</w:t>
      </w:r>
    </w:p>
    <w:p>
      <w:pPr>
        <w:spacing w:line="440" w:lineRule="exact"/>
        <w:rPr>
          <w:rFonts w:hint="eastAsia" w:ascii="宋体" w:hAnsi="宋体" w:eastAsia="宋体"/>
          <w:sz w:val="24"/>
          <w:szCs w:val="24"/>
        </w:rPr>
      </w:pPr>
    </w:p>
    <w:p>
      <w:pPr>
        <w:spacing w:line="480" w:lineRule="exact"/>
        <w:rPr>
          <w:rFonts w:ascii="仿宋_GB2312" w:hAnsi="仿宋" w:eastAsia="仿宋_GB2312"/>
          <w:szCs w:val="28"/>
        </w:rPr>
      </w:pPr>
    </w:p>
    <w:p>
      <w:pPr>
        <w:pStyle w:val="25"/>
        <w:rPr>
          <w:rFonts w:ascii="仿宋_GB2312" w:hAnsi="仿宋" w:eastAsia="仿宋_GB2312"/>
          <w:szCs w:val="28"/>
        </w:rPr>
      </w:pPr>
    </w:p>
    <w:p>
      <w:pPr>
        <w:pStyle w:val="25"/>
        <w:rPr>
          <w:rFonts w:ascii="仿宋_GB2312" w:hAnsi="仿宋" w:eastAsia="仿宋_GB2312"/>
          <w:szCs w:val="28"/>
        </w:rPr>
      </w:pPr>
    </w:p>
    <w:p>
      <w:pPr>
        <w:pStyle w:val="25"/>
        <w:rPr>
          <w:rFonts w:ascii="仿宋_GB2312" w:hAnsi="仿宋" w:eastAsia="仿宋_GB2312"/>
          <w:szCs w:val="28"/>
        </w:rPr>
      </w:pPr>
    </w:p>
    <w:p>
      <w:pPr>
        <w:pStyle w:val="25"/>
        <w:rPr>
          <w:rFonts w:ascii="仿宋_GB2312" w:hAnsi="仿宋" w:eastAsia="仿宋_GB2312"/>
          <w:szCs w:val="28"/>
        </w:rPr>
      </w:pPr>
    </w:p>
    <w:p>
      <w:pPr>
        <w:pStyle w:val="25"/>
        <w:rPr>
          <w:rFonts w:ascii="仿宋_GB2312" w:hAnsi="仿宋" w:eastAsia="仿宋_GB2312"/>
          <w:szCs w:val="28"/>
        </w:rPr>
      </w:pPr>
    </w:p>
    <w:p>
      <w:pPr>
        <w:pStyle w:val="25"/>
        <w:rPr>
          <w:rFonts w:ascii="仿宋_GB2312" w:hAnsi="仿宋" w:eastAsia="仿宋_GB2312"/>
          <w:szCs w:val="28"/>
        </w:rPr>
      </w:pPr>
    </w:p>
    <w:p>
      <w:pPr>
        <w:pStyle w:val="25"/>
        <w:rPr>
          <w:rFonts w:ascii="仿宋_GB2312" w:hAnsi="仿宋" w:eastAsia="仿宋_GB2312"/>
          <w:szCs w:val="28"/>
        </w:rPr>
      </w:pPr>
    </w:p>
    <w:p>
      <w:pPr>
        <w:spacing w:line="480" w:lineRule="exact"/>
        <w:rPr>
          <w:rFonts w:ascii="仿宋" w:hAnsi="仿宋" w:eastAsia="仿宋"/>
          <w:szCs w:val="28"/>
        </w:rPr>
      </w:pPr>
    </w:p>
    <w:p>
      <w:pPr>
        <w:adjustRightInd w:val="0"/>
        <w:snapToGrid w:val="0"/>
        <w:spacing w:line="440" w:lineRule="exact"/>
        <w:ind w:firstLine="721" w:firstLineChars="200"/>
        <w:jc w:val="center"/>
        <w:rPr>
          <w:rFonts w:ascii="华文中宋" w:hAnsi="华文中宋" w:eastAsia="华文中宋"/>
          <w:b/>
          <w:bCs/>
          <w:color w:val="000000" w:themeColor="text1"/>
          <w:sz w:val="36"/>
          <w:szCs w:val="36"/>
          <w14:textFill>
            <w14:solidFill>
              <w14:schemeClr w14:val="tx1"/>
            </w14:solidFill>
          </w14:textFill>
        </w:rPr>
      </w:pPr>
      <w:bookmarkStart w:id="108" w:name="_Toc516580573"/>
      <w:bookmarkStart w:id="109" w:name="_Toc479170303"/>
      <w:r>
        <w:rPr>
          <w:rFonts w:hint="eastAsia" w:ascii="华文中宋" w:hAnsi="华文中宋" w:eastAsia="华文中宋"/>
          <w:b/>
          <w:bCs/>
          <w:color w:val="000000" w:themeColor="text1"/>
          <w:sz w:val="36"/>
          <w:szCs w:val="36"/>
          <w14:textFill>
            <w14:solidFill>
              <w14:schemeClr w14:val="tx1"/>
            </w14:solidFill>
          </w14:textFill>
        </w:rPr>
        <w:t>第五章  项目需求</w:t>
      </w:r>
      <w:bookmarkEnd w:id="108"/>
      <w:bookmarkEnd w:id="109"/>
    </w:p>
    <w:p>
      <w:pPr>
        <w:spacing w:line="560" w:lineRule="exact"/>
        <w:jc w:val="left"/>
        <w:rPr>
          <w:rFonts w:hint="eastAsia" w:ascii="仿宋" w:hAnsi="仿宋" w:eastAsia="仿宋"/>
          <w:bCs/>
          <w:sz w:val="32"/>
          <w:szCs w:val="32"/>
        </w:rPr>
      </w:pPr>
      <w:bookmarkStart w:id="110" w:name="_Toc479170304"/>
      <w:bookmarkStart w:id="111" w:name="_Toc516580574"/>
    </w:p>
    <w:p>
      <w:pPr>
        <w:spacing w:line="560" w:lineRule="exact"/>
        <w:ind w:firstLine="640" w:firstLineChars="200"/>
        <w:jc w:val="left"/>
        <w:rPr>
          <w:rFonts w:hint="eastAsia" w:ascii="楷体_GB2312" w:hAnsi="楷体" w:eastAsia="楷体_GB2312"/>
          <w:sz w:val="32"/>
          <w:szCs w:val="32"/>
        </w:rPr>
      </w:pPr>
      <w:r>
        <w:rPr>
          <w:rFonts w:hint="eastAsia" w:ascii="楷体_GB2312" w:hAnsi="楷体" w:eastAsia="楷体_GB2312"/>
          <w:sz w:val="32"/>
          <w:szCs w:val="32"/>
        </w:rPr>
        <w:t>一、项目概况</w:t>
      </w:r>
    </w:p>
    <w:p>
      <w:pPr>
        <w:spacing w:line="560" w:lineRule="exact"/>
        <w:ind w:firstLine="560" w:firstLineChars="200"/>
        <w:jc w:val="left"/>
        <w:rPr>
          <w:rFonts w:ascii="仿宋_GB2312" w:hAnsi="黑体" w:eastAsia="仿宋_GB2312"/>
          <w:sz w:val="32"/>
          <w:szCs w:val="32"/>
          <w:u w:val="none"/>
        </w:rPr>
      </w:pPr>
      <w:r>
        <w:rPr>
          <w:rFonts w:hint="eastAsia" w:ascii="仿宋_GB2312" w:hAnsi="黑体" w:eastAsia="仿宋_GB2312"/>
          <w:sz w:val="28"/>
          <w:szCs w:val="28"/>
          <w:u w:val="none"/>
        </w:rPr>
        <w:t>本项目为面向全校本科学生学习的网络选修课课程资源及服务，课程内容需覆盖综合素养类、个人能力类、个人成长类、创新创业类、公共必修类、考研辅导类、专业导学类、知识点自选类、开学教育类等10个类型，至少提供500门课程及对应服务。</w:t>
      </w:r>
    </w:p>
    <w:p>
      <w:pPr>
        <w:spacing w:line="560" w:lineRule="exact"/>
        <w:ind w:firstLine="640" w:firstLineChars="200"/>
        <w:jc w:val="left"/>
        <w:rPr>
          <w:rFonts w:ascii="楷体_GB2312" w:hAnsi="楷体" w:eastAsia="楷体_GB2312"/>
          <w:sz w:val="32"/>
          <w:szCs w:val="32"/>
        </w:rPr>
      </w:pPr>
      <w:r>
        <w:rPr>
          <w:rFonts w:hint="eastAsia" w:ascii="楷体_GB2312" w:hAnsi="楷体" w:eastAsia="楷体_GB2312"/>
          <w:sz w:val="32"/>
          <w:szCs w:val="32"/>
        </w:rPr>
        <w:t>二、采购标的汇总表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1159"/>
        <w:gridCol w:w="2242"/>
        <w:gridCol w:w="1134"/>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1221" w:type="dxa"/>
            <w:noWrap w:val="0"/>
            <w:vAlign w:val="center"/>
          </w:tcPr>
          <w:p>
            <w:pPr>
              <w:spacing w:line="560" w:lineRule="exact"/>
              <w:jc w:val="center"/>
              <w:rPr>
                <w:rFonts w:ascii="仿宋" w:hAnsi="仿宋" w:eastAsia="仿宋"/>
                <w:b/>
                <w:sz w:val="28"/>
                <w:szCs w:val="28"/>
              </w:rPr>
            </w:pPr>
            <w:r>
              <w:rPr>
                <w:rFonts w:hint="eastAsia" w:ascii="仿宋" w:hAnsi="仿宋" w:eastAsia="仿宋"/>
                <w:b/>
                <w:sz w:val="28"/>
                <w:szCs w:val="28"/>
              </w:rPr>
              <w:t>包号</w:t>
            </w:r>
          </w:p>
        </w:tc>
        <w:tc>
          <w:tcPr>
            <w:tcW w:w="1159" w:type="dxa"/>
            <w:noWrap w:val="0"/>
            <w:vAlign w:val="center"/>
          </w:tcPr>
          <w:p>
            <w:pPr>
              <w:spacing w:line="560" w:lineRule="exact"/>
              <w:jc w:val="center"/>
              <w:rPr>
                <w:rFonts w:ascii="仿宋" w:hAnsi="仿宋" w:eastAsia="仿宋"/>
                <w:b/>
                <w:sz w:val="28"/>
                <w:szCs w:val="28"/>
              </w:rPr>
            </w:pPr>
            <w:r>
              <w:rPr>
                <w:rFonts w:hint="eastAsia" w:ascii="仿宋" w:hAnsi="仿宋" w:eastAsia="仿宋"/>
                <w:b/>
                <w:sz w:val="28"/>
                <w:szCs w:val="28"/>
              </w:rPr>
              <w:t>序号</w:t>
            </w:r>
          </w:p>
        </w:tc>
        <w:tc>
          <w:tcPr>
            <w:tcW w:w="2242" w:type="dxa"/>
            <w:noWrap w:val="0"/>
            <w:vAlign w:val="center"/>
          </w:tcPr>
          <w:p>
            <w:pPr>
              <w:spacing w:line="560" w:lineRule="exact"/>
              <w:jc w:val="center"/>
              <w:rPr>
                <w:rFonts w:ascii="仿宋" w:hAnsi="仿宋" w:eastAsia="仿宋"/>
                <w:b/>
                <w:sz w:val="28"/>
                <w:szCs w:val="28"/>
              </w:rPr>
            </w:pPr>
            <w:r>
              <w:rPr>
                <w:rFonts w:hint="eastAsia" w:ascii="仿宋" w:hAnsi="仿宋" w:eastAsia="仿宋"/>
                <w:b/>
                <w:sz w:val="28"/>
                <w:szCs w:val="28"/>
              </w:rPr>
              <w:t>标的名称</w:t>
            </w:r>
          </w:p>
        </w:tc>
        <w:tc>
          <w:tcPr>
            <w:tcW w:w="1134" w:type="dxa"/>
            <w:noWrap w:val="0"/>
            <w:vAlign w:val="center"/>
          </w:tcPr>
          <w:p>
            <w:pPr>
              <w:spacing w:line="560" w:lineRule="exact"/>
              <w:jc w:val="center"/>
              <w:rPr>
                <w:rFonts w:ascii="仿宋" w:hAnsi="仿宋" w:eastAsia="仿宋"/>
                <w:b/>
                <w:sz w:val="28"/>
                <w:szCs w:val="28"/>
              </w:rPr>
            </w:pPr>
            <w:r>
              <w:rPr>
                <w:rFonts w:hint="eastAsia" w:ascii="仿宋" w:hAnsi="仿宋" w:eastAsia="仿宋"/>
                <w:b/>
                <w:sz w:val="28"/>
                <w:szCs w:val="28"/>
              </w:rPr>
              <w:t>计量</w:t>
            </w:r>
          </w:p>
          <w:p>
            <w:pPr>
              <w:spacing w:line="560" w:lineRule="exact"/>
              <w:jc w:val="center"/>
              <w:rPr>
                <w:rFonts w:ascii="仿宋" w:hAnsi="仿宋" w:eastAsia="仿宋"/>
                <w:b/>
                <w:sz w:val="28"/>
                <w:szCs w:val="28"/>
              </w:rPr>
            </w:pPr>
            <w:r>
              <w:rPr>
                <w:rFonts w:hint="eastAsia" w:ascii="仿宋" w:hAnsi="仿宋" w:eastAsia="仿宋"/>
                <w:b/>
                <w:sz w:val="28"/>
                <w:szCs w:val="28"/>
              </w:rPr>
              <w:t>单位</w:t>
            </w:r>
          </w:p>
        </w:tc>
        <w:tc>
          <w:tcPr>
            <w:tcW w:w="907" w:type="dxa"/>
            <w:noWrap w:val="0"/>
            <w:vAlign w:val="center"/>
          </w:tcPr>
          <w:p>
            <w:pPr>
              <w:spacing w:line="560" w:lineRule="exact"/>
              <w:jc w:val="center"/>
              <w:rPr>
                <w:rFonts w:ascii="仿宋" w:hAnsi="仿宋" w:eastAsia="仿宋"/>
                <w:b/>
                <w:sz w:val="28"/>
                <w:szCs w:val="28"/>
              </w:rPr>
            </w:pPr>
            <w:r>
              <w:rPr>
                <w:rFonts w:hint="eastAsia" w:ascii="仿宋" w:hAnsi="仿宋" w:eastAsia="仿宋"/>
                <w:b/>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9" w:hRule="atLeast"/>
          <w:jc w:val="center"/>
        </w:trPr>
        <w:tc>
          <w:tcPr>
            <w:tcW w:w="1221" w:type="dxa"/>
            <w:noWrap w:val="0"/>
            <w:vAlign w:val="center"/>
          </w:tcPr>
          <w:p>
            <w:pPr>
              <w:adjustRightInd w:val="0"/>
              <w:snapToGrid w:val="0"/>
              <w:spacing w:line="56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w:t>
            </w:r>
          </w:p>
        </w:tc>
        <w:tc>
          <w:tcPr>
            <w:tcW w:w="1159" w:type="dxa"/>
            <w:noWrap w:val="0"/>
            <w:vAlign w:val="center"/>
          </w:tcPr>
          <w:p>
            <w:pPr>
              <w:adjustRightInd w:val="0"/>
              <w:snapToGrid w:val="0"/>
              <w:spacing w:line="56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w:t>
            </w:r>
          </w:p>
        </w:tc>
        <w:tc>
          <w:tcPr>
            <w:tcW w:w="2242" w:type="dxa"/>
            <w:noWrap w:val="0"/>
            <w:vAlign w:val="center"/>
          </w:tcPr>
          <w:p>
            <w:pPr>
              <w:adjustRightInd w:val="0"/>
              <w:snapToGrid w:val="0"/>
              <w:spacing w:line="560" w:lineRule="exact"/>
              <w:jc w:val="center"/>
              <w:rPr>
                <w:rFonts w:ascii="仿宋" w:hAnsi="仿宋" w:eastAsia="仿宋"/>
                <w:i/>
                <w:sz w:val="28"/>
                <w:szCs w:val="28"/>
                <w:u w:val="single"/>
              </w:rPr>
            </w:pPr>
            <w:r>
              <w:rPr>
                <w:rFonts w:hint="eastAsia" w:ascii="仿宋" w:hAnsi="仿宋" w:eastAsia="仿宋"/>
                <w:i w:val="0"/>
                <w:iCs/>
                <w:sz w:val="28"/>
                <w:szCs w:val="28"/>
                <w:u w:val="none"/>
              </w:rPr>
              <w:t>皖南医学院网络课程学习平台及资源服务采购项目</w:t>
            </w:r>
          </w:p>
        </w:tc>
        <w:tc>
          <w:tcPr>
            <w:tcW w:w="1134" w:type="dxa"/>
            <w:noWrap w:val="0"/>
            <w:vAlign w:val="center"/>
          </w:tcPr>
          <w:p>
            <w:pPr>
              <w:adjustRightInd w:val="0"/>
              <w:snapToGrid w:val="0"/>
              <w:spacing w:line="56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套</w:t>
            </w:r>
          </w:p>
        </w:tc>
        <w:tc>
          <w:tcPr>
            <w:tcW w:w="907" w:type="dxa"/>
            <w:noWrap w:val="0"/>
            <w:vAlign w:val="center"/>
          </w:tcPr>
          <w:p>
            <w:pPr>
              <w:adjustRightInd w:val="0"/>
              <w:snapToGrid w:val="0"/>
              <w:spacing w:line="56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1</w:t>
            </w:r>
          </w:p>
        </w:tc>
      </w:tr>
    </w:tbl>
    <w:p>
      <w:pPr>
        <w:spacing w:line="560" w:lineRule="exact"/>
        <w:jc w:val="left"/>
        <w:rPr>
          <w:rFonts w:hint="eastAsia" w:ascii="楷体_GB2312" w:hAnsi="楷体" w:eastAsia="楷体_GB2312"/>
          <w:sz w:val="32"/>
          <w:szCs w:val="32"/>
        </w:rPr>
      </w:pPr>
    </w:p>
    <w:p>
      <w:pPr>
        <w:spacing w:line="560" w:lineRule="exact"/>
        <w:ind w:firstLine="640" w:firstLineChars="200"/>
        <w:jc w:val="left"/>
        <w:rPr>
          <w:rFonts w:ascii="楷体_GB2312" w:hAnsi="楷体" w:eastAsia="楷体_GB2312"/>
          <w:sz w:val="32"/>
          <w:szCs w:val="32"/>
        </w:rPr>
      </w:pPr>
      <w:r>
        <w:rPr>
          <w:rFonts w:hint="eastAsia" w:ascii="楷体_GB2312" w:hAnsi="楷体" w:eastAsia="楷体_GB2312"/>
          <w:sz w:val="32"/>
          <w:szCs w:val="32"/>
        </w:rPr>
        <w:t>三、技术商务要求</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（1）技术要求</w:t>
      </w:r>
    </w:p>
    <w:p>
      <w:pPr>
        <w:spacing w:line="520" w:lineRule="exact"/>
        <w:jc w:val="left"/>
        <w:rPr>
          <w:rFonts w:hint="eastAsia" w:ascii="宋体" w:hAnsi="宋体" w:cs="宋体"/>
          <w:b/>
          <w:bCs/>
          <w:color w:val="000000"/>
          <w:sz w:val="24"/>
          <w:szCs w:val="24"/>
        </w:rPr>
      </w:pPr>
      <w:r>
        <w:rPr>
          <w:rFonts w:hint="eastAsia" w:ascii="宋体" w:hAnsi="宋体" w:cs="宋体"/>
          <w:b/>
          <w:bCs/>
          <w:color w:val="000000"/>
          <w:sz w:val="24"/>
          <w:szCs w:val="24"/>
        </w:rPr>
        <w:t>一、系统总体技术要求</w:t>
      </w:r>
    </w:p>
    <w:p>
      <w:pPr>
        <w:spacing w:line="520" w:lineRule="exact"/>
        <w:ind w:firstLine="560" w:firstLineChars="200"/>
        <w:rPr>
          <w:rFonts w:hint="eastAsia" w:ascii="宋体" w:hAnsi="宋体" w:cs="宋体"/>
          <w:bCs/>
          <w:color w:val="000000"/>
          <w:sz w:val="28"/>
          <w:szCs w:val="28"/>
        </w:rPr>
      </w:pPr>
      <w:r>
        <w:rPr>
          <w:rFonts w:hint="eastAsia" w:ascii="宋体" w:hAnsi="宋体" w:cs="宋体"/>
          <w:bCs/>
          <w:color w:val="000000"/>
          <w:sz w:val="28"/>
          <w:szCs w:val="28"/>
        </w:rPr>
        <w:t>系统性能也是系统建设成败的一个关键指标，影响系统性能的因素是多方面的，网络、主机、安全、数据库、应用服务器和应用系统都有可能对系统的性能产生影响。具体性能要求如下：</w:t>
      </w:r>
    </w:p>
    <w:p>
      <w:pPr>
        <w:spacing w:line="520" w:lineRule="exact"/>
        <w:ind w:firstLine="560" w:firstLineChars="200"/>
        <w:rPr>
          <w:rFonts w:hint="eastAsia" w:ascii="宋体" w:hAnsi="宋体" w:cs="宋体"/>
          <w:color w:val="000000"/>
          <w:sz w:val="28"/>
          <w:szCs w:val="28"/>
        </w:rPr>
      </w:pPr>
      <w:bookmarkStart w:id="112" w:name="_Toc281859174"/>
      <w:r>
        <w:rPr>
          <w:rFonts w:hint="eastAsia" w:ascii="宋体" w:hAnsi="宋体" w:cs="宋体"/>
          <w:color w:val="000000"/>
          <w:sz w:val="28"/>
          <w:szCs w:val="28"/>
        </w:rPr>
        <w:t>1.可靠性、稳定性、界面友好</w:t>
      </w:r>
      <w:bookmarkEnd w:id="112"/>
      <w:r>
        <w:rPr>
          <w:rFonts w:hint="eastAsia" w:ascii="宋体" w:hAnsi="宋体" w:cs="宋体"/>
          <w:color w:val="000000"/>
          <w:sz w:val="28"/>
          <w:szCs w:val="28"/>
        </w:rPr>
        <w:t>：开发的系统应提供事务监控手段，提供有效系统运行日志管理功能；提供可靠的数据自动、远程备份功能；具有良好的运行保障体系，提供完整存储、备份手段，提供故障恢复手段，确保系统的稳定性；操作流程清晰简洁，用户界面美观大方，给用户提供与众不同的操作体验。</w:t>
      </w:r>
    </w:p>
    <w:p>
      <w:pPr>
        <w:spacing w:line="520" w:lineRule="exact"/>
        <w:ind w:firstLine="560" w:firstLineChars="200"/>
        <w:rPr>
          <w:rFonts w:hint="eastAsia" w:ascii="宋体" w:hAnsi="宋体" w:cs="宋体"/>
          <w:color w:val="000000"/>
          <w:sz w:val="28"/>
          <w:szCs w:val="28"/>
        </w:rPr>
      </w:pPr>
      <w:bookmarkStart w:id="113" w:name="_Toc281859175"/>
      <w:r>
        <w:rPr>
          <w:rFonts w:hint="eastAsia" w:ascii="宋体" w:hAnsi="宋体" w:cs="宋体"/>
          <w:color w:val="000000"/>
          <w:sz w:val="28"/>
          <w:szCs w:val="28"/>
        </w:rPr>
        <w:t>2.安全性和保密性</w:t>
      </w:r>
      <w:bookmarkEnd w:id="113"/>
      <w:r>
        <w:rPr>
          <w:rFonts w:hint="eastAsia" w:ascii="宋体" w:hAnsi="宋体" w:cs="宋体"/>
          <w:color w:val="000000"/>
          <w:sz w:val="28"/>
          <w:szCs w:val="28"/>
        </w:rPr>
        <w:t>：系统设计时必须考虑整体的安全性，从数据访问操作、用户认证、数据加密，系统安全等多个方面对体系进行安全性设计，提高系统的安全性。在系统设计中，实现信息资源的充分共享并注意信息的保护和隔离，系统应分别针对不同的应用和不同的环境，采取不同的措施，包括系统安全机制，数据存取权限控制和数据存储加密机制。</w:t>
      </w:r>
    </w:p>
    <w:p>
      <w:pPr>
        <w:spacing w:line="520" w:lineRule="exact"/>
        <w:ind w:firstLine="560" w:firstLineChars="200"/>
        <w:rPr>
          <w:rFonts w:hint="eastAsia" w:ascii="宋体" w:hAnsi="宋体" w:cs="宋体"/>
          <w:color w:val="000000"/>
          <w:sz w:val="28"/>
          <w:szCs w:val="28"/>
        </w:rPr>
      </w:pPr>
      <w:bookmarkStart w:id="114" w:name="_Toc281859176"/>
      <w:r>
        <w:rPr>
          <w:rFonts w:hint="eastAsia" w:ascii="宋体" w:hAnsi="宋体" w:cs="宋体"/>
          <w:color w:val="000000"/>
          <w:sz w:val="28"/>
          <w:szCs w:val="28"/>
        </w:rPr>
        <w:t>3.可管理性</w:t>
      </w:r>
      <w:bookmarkEnd w:id="114"/>
      <w:r>
        <w:rPr>
          <w:rFonts w:hint="eastAsia" w:ascii="宋体" w:hAnsi="宋体" w:cs="宋体"/>
          <w:color w:val="000000"/>
          <w:sz w:val="28"/>
          <w:szCs w:val="28"/>
        </w:rPr>
        <w:t>：系统的设计必须有很好的可管理性，可以监测系统的运行状况，提供搜索功能和工作流控制功能。</w:t>
      </w:r>
    </w:p>
    <w:tbl>
      <w:tblPr>
        <w:tblStyle w:val="26"/>
        <w:tblpPr w:leftFromText="180" w:rightFromText="180" w:vertAnchor="text" w:horzAnchor="page" w:tblpX="1095" w:tblpY="1000"/>
        <w:tblOverlap w:val="never"/>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7"/>
        <w:gridCol w:w="7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347" w:type="dxa"/>
            <w:noWrap w:val="0"/>
            <w:vAlign w:val="top"/>
          </w:tcPr>
          <w:p>
            <w:pPr>
              <w:spacing w:line="520" w:lineRule="exact"/>
              <w:jc w:val="center"/>
              <w:rPr>
                <w:rFonts w:hint="eastAsia" w:ascii="宋体" w:hAnsi="宋体" w:cs="宋体"/>
                <w:bCs/>
                <w:color w:val="000000"/>
                <w:sz w:val="21"/>
                <w:szCs w:val="21"/>
              </w:rPr>
            </w:pPr>
            <w:r>
              <w:rPr>
                <w:rFonts w:hint="eastAsia" w:ascii="宋体" w:hAnsi="宋体" w:cs="宋体"/>
                <w:bCs/>
                <w:color w:val="000000"/>
                <w:sz w:val="21"/>
                <w:szCs w:val="21"/>
              </w:rPr>
              <w:t>项目</w:t>
            </w:r>
          </w:p>
        </w:tc>
        <w:tc>
          <w:tcPr>
            <w:tcW w:w="7558" w:type="dxa"/>
            <w:noWrap w:val="0"/>
            <w:vAlign w:val="top"/>
          </w:tcPr>
          <w:p>
            <w:pPr>
              <w:spacing w:line="520" w:lineRule="exact"/>
              <w:jc w:val="center"/>
              <w:rPr>
                <w:rFonts w:hint="eastAsia" w:ascii="宋体" w:hAnsi="宋体" w:cs="宋体"/>
                <w:bCs/>
                <w:color w:val="000000"/>
                <w:sz w:val="21"/>
                <w:szCs w:val="21"/>
              </w:rPr>
            </w:pPr>
            <w:r>
              <w:rPr>
                <w:rFonts w:hint="eastAsia" w:ascii="宋体" w:hAnsi="宋体" w:cs="宋体"/>
                <w:bCs/>
                <w:color w:val="000000"/>
                <w:sz w:val="21"/>
                <w:szCs w:val="21"/>
              </w:rPr>
              <w:t>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347" w:type="dxa"/>
            <w:noWrap w:val="0"/>
            <w:vAlign w:val="center"/>
          </w:tcPr>
          <w:p>
            <w:pPr>
              <w:spacing w:line="520" w:lineRule="exact"/>
              <w:jc w:val="center"/>
              <w:rPr>
                <w:rFonts w:hint="eastAsia" w:ascii="宋体" w:hAnsi="宋体" w:cs="宋体"/>
                <w:bCs/>
                <w:color w:val="000000"/>
                <w:sz w:val="21"/>
                <w:szCs w:val="21"/>
              </w:rPr>
            </w:pPr>
            <w:r>
              <w:rPr>
                <w:rFonts w:hint="eastAsia" w:ascii="宋体" w:hAnsi="宋体" w:cs="宋体"/>
                <w:bCs/>
                <w:color w:val="000000"/>
                <w:sz w:val="21"/>
                <w:szCs w:val="21"/>
              </w:rPr>
              <w:t>在线人数</w:t>
            </w:r>
          </w:p>
        </w:tc>
        <w:tc>
          <w:tcPr>
            <w:tcW w:w="7558" w:type="dxa"/>
            <w:noWrap w:val="0"/>
            <w:vAlign w:val="top"/>
          </w:tcPr>
          <w:p>
            <w:pPr>
              <w:spacing w:line="520" w:lineRule="exact"/>
              <w:rPr>
                <w:rFonts w:hint="eastAsia" w:ascii="宋体" w:hAnsi="宋体" w:eastAsia="宋体" w:cs="宋体"/>
                <w:bCs/>
                <w:color w:val="000000"/>
                <w:sz w:val="21"/>
                <w:szCs w:val="21"/>
                <w:lang w:eastAsia="zh-CN"/>
              </w:rPr>
            </w:pPr>
            <w:r>
              <w:rPr>
                <w:rFonts w:hint="eastAsia" w:ascii="宋体" w:hAnsi="宋体" w:cs="宋体"/>
                <w:bCs/>
                <w:color w:val="000000"/>
                <w:sz w:val="21"/>
                <w:szCs w:val="21"/>
              </w:rPr>
              <w:t>支持10000人以上同时在线，支持1000-1200并发操作</w:t>
            </w:r>
            <w:r>
              <w:rPr>
                <w:rFonts w:hint="eastAsia" w:ascii="宋体" w:hAnsi="宋体" w:cs="宋体"/>
                <w:bCs/>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47" w:type="dxa"/>
            <w:noWrap w:val="0"/>
            <w:vAlign w:val="center"/>
          </w:tcPr>
          <w:p>
            <w:pPr>
              <w:spacing w:line="520" w:lineRule="exact"/>
              <w:jc w:val="center"/>
              <w:rPr>
                <w:rFonts w:hint="eastAsia" w:ascii="宋体" w:hAnsi="宋体" w:cs="宋体"/>
                <w:bCs/>
                <w:color w:val="000000"/>
                <w:sz w:val="21"/>
                <w:szCs w:val="21"/>
              </w:rPr>
            </w:pPr>
            <w:r>
              <w:rPr>
                <w:rFonts w:hint="eastAsia" w:ascii="宋体" w:hAnsi="宋体" w:cs="宋体"/>
                <w:bCs/>
                <w:color w:val="000000"/>
                <w:sz w:val="21"/>
                <w:szCs w:val="21"/>
              </w:rPr>
              <w:t>业务办理</w:t>
            </w:r>
          </w:p>
        </w:tc>
        <w:tc>
          <w:tcPr>
            <w:tcW w:w="7558" w:type="dxa"/>
            <w:noWrap w:val="0"/>
            <w:vAlign w:val="top"/>
          </w:tcPr>
          <w:p>
            <w:pPr>
              <w:spacing w:line="520" w:lineRule="exact"/>
              <w:rPr>
                <w:rFonts w:hint="eastAsia" w:ascii="宋体" w:hAnsi="宋体" w:eastAsia="宋体" w:cs="宋体"/>
                <w:bCs/>
                <w:color w:val="000000"/>
                <w:sz w:val="21"/>
                <w:szCs w:val="21"/>
                <w:lang w:eastAsia="zh-CN"/>
              </w:rPr>
            </w:pPr>
            <w:r>
              <w:rPr>
                <w:rFonts w:hint="eastAsia" w:ascii="宋体" w:hAnsi="宋体" w:cs="宋体"/>
                <w:bCs/>
                <w:color w:val="000000"/>
                <w:sz w:val="21"/>
                <w:szCs w:val="21"/>
              </w:rPr>
              <w:t>单笔业务录入/修改的响应时间≤1秒；单笔业务以外的其他业务响应时间≤3秒</w:t>
            </w:r>
            <w:r>
              <w:rPr>
                <w:rFonts w:hint="eastAsia" w:ascii="宋体" w:hAnsi="宋体" w:cs="宋体"/>
                <w:bCs/>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347" w:type="dxa"/>
            <w:noWrap w:val="0"/>
            <w:vAlign w:val="center"/>
          </w:tcPr>
          <w:p>
            <w:pPr>
              <w:spacing w:line="520" w:lineRule="exact"/>
              <w:jc w:val="center"/>
              <w:rPr>
                <w:rFonts w:hint="eastAsia" w:ascii="宋体" w:hAnsi="宋体" w:cs="宋体"/>
                <w:bCs/>
                <w:color w:val="000000"/>
                <w:sz w:val="21"/>
                <w:szCs w:val="21"/>
              </w:rPr>
            </w:pPr>
            <w:r>
              <w:rPr>
                <w:rFonts w:hint="eastAsia" w:ascii="宋体" w:hAnsi="宋体" w:cs="宋体"/>
                <w:bCs/>
                <w:color w:val="000000"/>
                <w:sz w:val="21"/>
                <w:szCs w:val="21"/>
              </w:rPr>
              <w:t>业务并发</w:t>
            </w:r>
          </w:p>
        </w:tc>
        <w:tc>
          <w:tcPr>
            <w:tcW w:w="7558" w:type="dxa"/>
            <w:noWrap w:val="0"/>
            <w:vAlign w:val="top"/>
          </w:tcPr>
          <w:p>
            <w:pPr>
              <w:spacing w:line="520" w:lineRule="exact"/>
              <w:rPr>
                <w:rFonts w:hint="eastAsia" w:ascii="宋体" w:hAnsi="宋体" w:cs="宋体"/>
                <w:bCs/>
                <w:color w:val="000000"/>
                <w:sz w:val="21"/>
                <w:szCs w:val="21"/>
              </w:rPr>
            </w:pPr>
            <w:r>
              <w:rPr>
                <w:rFonts w:hint="eastAsia" w:ascii="宋体" w:hAnsi="宋体" w:cs="宋体"/>
                <w:bCs/>
                <w:color w:val="000000"/>
                <w:sz w:val="21"/>
                <w:szCs w:val="21"/>
              </w:rPr>
              <w:t>系统至少支持峰值1800笔/分钟的实时查询或处理业务。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47" w:type="dxa"/>
            <w:noWrap w:val="0"/>
            <w:vAlign w:val="center"/>
          </w:tcPr>
          <w:p>
            <w:pPr>
              <w:spacing w:line="520" w:lineRule="exact"/>
              <w:jc w:val="center"/>
              <w:rPr>
                <w:rFonts w:hint="eastAsia" w:ascii="宋体" w:hAnsi="宋体" w:cs="宋体"/>
                <w:bCs/>
                <w:color w:val="000000"/>
                <w:sz w:val="21"/>
                <w:szCs w:val="21"/>
              </w:rPr>
            </w:pPr>
            <w:r>
              <w:rPr>
                <w:rFonts w:hint="eastAsia" w:ascii="宋体" w:hAnsi="宋体" w:cs="宋体"/>
                <w:bCs/>
                <w:color w:val="000000"/>
                <w:sz w:val="21"/>
                <w:szCs w:val="21"/>
              </w:rPr>
              <w:t>查询</w:t>
            </w:r>
          </w:p>
        </w:tc>
        <w:tc>
          <w:tcPr>
            <w:tcW w:w="7558" w:type="dxa"/>
            <w:noWrap w:val="0"/>
            <w:vAlign w:val="top"/>
          </w:tcPr>
          <w:p>
            <w:pPr>
              <w:spacing w:line="520" w:lineRule="exact"/>
              <w:rPr>
                <w:rFonts w:hint="eastAsia" w:ascii="宋体" w:hAnsi="宋体" w:eastAsia="宋体" w:cs="宋体"/>
                <w:bCs/>
                <w:color w:val="000000"/>
                <w:sz w:val="21"/>
                <w:szCs w:val="21"/>
                <w:lang w:eastAsia="zh-CN"/>
              </w:rPr>
            </w:pPr>
            <w:r>
              <w:rPr>
                <w:rFonts w:hint="eastAsia" w:ascii="宋体" w:hAnsi="宋体" w:cs="宋体"/>
                <w:bCs/>
                <w:color w:val="000000"/>
                <w:sz w:val="21"/>
                <w:szCs w:val="21"/>
              </w:rPr>
              <w:t>百万级数据量下单记录本地查询的响应时间≤3秒；简单统计报表查询的响应时间≤10秒</w:t>
            </w:r>
            <w:r>
              <w:rPr>
                <w:rFonts w:hint="eastAsia" w:ascii="宋体" w:hAnsi="宋体" w:cs="宋体"/>
                <w:bCs/>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347" w:type="dxa"/>
            <w:noWrap w:val="0"/>
            <w:vAlign w:val="center"/>
          </w:tcPr>
          <w:p>
            <w:pPr>
              <w:spacing w:line="520" w:lineRule="exact"/>
              <w:jc w:val="center"/>
              <w:rPr>
                <w:rFonts w:hint="eastAsia" w:ascii="宋体" w:hAnsi="宋体" w:cs="宋体"/>
                <w:bCs/>
                <w:color w:val="000000"/>
                <w:sz w:val="21"/>
                <w:szCs w:val="21"/>
              </w:rPr>
            </w:pPr>
            <w:r>
              <w:rPr>
                <w:rFonts w:hint="eastAsia" w:ascii="宋体" w:hAnsi="宋体" w:cs="宋体"/>
                <w:bCs/>
                <w:color w:val="000000"/>
                <w:sz w:val="21"/>
                <w:szCs w:val="21"/>
              </w:rPr>
              <w:t>统计</w:t>
            </w:r>
          </w:p>
        </w:tc>
        <w:tc>
          <w:tcPr>
            <w:tcW w:w="7558" w:type="dxa"/>
            <w:noWrap w:val="0"/>
            <w:vAlign w:val="top"/>
          </w:tcPr>
          <w:p>
            <w:pPr>
              <w:spacing w:line="520" w:lineRule="exact"/>
              <w:rPr>
                <w:rFonts w:hint="eastAsia" w:ascii="宋体" w:hAnsi="宋体" w:eastAsia="宋体" w:cs="宋体"/>
                <w:bCs/>
                <w:color w:val="000000"/>
                <w:sz w:val="21"/>
                <w:szCs w:val="21"/>
                <w:lang w:eastAsia="zh-CN"/>
              </w:rPr>
            </w:pPr>
            <w:r>
              <w:rPr>
                <w:rFonts w:hint="eastAsia" w:ascii="宋体" w:hAnsi="宋体" w:cs="宋体"/>
                <w:bCs/>
                <w:color w:val="000000"/>
                <w:sz w:val="21"/>
                <w:szCs w:val="21"/>
              </w:rPr>
              <w:t>百万级数据量下单项统计的响应时间≤5秒;生成复杂统计报表的响应时间≤180秒</w:t>
            </w:r>
            <w:r>
              <w:rPr>
                <w:rFonts w:hint="eastAsia" w:ascii="宋体" w:hAnsi="宋体" w:cs="宋体"/>
                <w:bCs/>
                <w:color w:val="000000"/>
                <w:sz w:val="21"/>
                <w:szCs w:val="21"/>
                <w:lang w:eastAsia="zh-CN"/>
              </w:rPr>
              <w:t>。</w:t>
            </w:r>
          </w:p>
        </w:tc>
      </w:tr>
    </w:tbl>
    <w:p>
      <w:pPr>
        <w:spacing w:line="52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4.系统性能指标要求：</w:t>
      </w:r>
      <w:r>
        <w:rPr>
          <w:rFonts w:hint="eastAsia" w:ascii="宋体" w:hAnsi="宋体" w:cs="宋体"/>
          <w:bCs/>
          <w:color w:val="000000"/>
          <w:sz w:val="28"/>
          <w:szCs w:val="28"/>
        </w:rPr>
        <w:t>具体的性能要求指标响应时间（特指用户当次交易提交给系统到系统反馈出结果的时间）要求如下表：</w:t>
      </w:r>
    </w:p>
    <w:p>
      <w:pPr>
        <w:spacing w:line="520" w:lineRule="exact"/>
        <w:jc w:val="left"/>
        <w:rPr>
          <w:rFonts w:hint="eastAsia" w:ascii="宋体" w:hAnsi="宋体" w:cs="宋体"/>
          <w:b/>
          <w:bCs/>
          <w:color w:val="000000"/>
          <w:sz w:val="28"/>
          <w:szCs w:val="28"/>
        </w:rPr>
      </w:pPr>
    </w:p>
    <w:p>
      <w:pPr>
        <w:spacing w:line="520" w:lineRule="exact"/>
        <w:jc w:val="left"/>
        <w:rPr>
          <w:rFonts w:hint="eastAsia" w:ascii="宋体" w:hAnsi="宋体" w:cs="宋体"/>
          <w:b/>
          <w:bCs/>
          <w:color w:val="000000"/>
          <w:sz w:val="28"/>
          <w:szCs w:val="28"/>
        </w:rPr>
      </w:pPr>
    </w:p>
    <w:p>
      <w:pPr>
        <w:spacing w:line="520" w:lineRule="exact"/>
        <w:jc w:val="left"/>
        <w:rPr>
          <w:rFonts w:hint="eastAsia" w:ascii="宋体" w:hAnsi="宋体" w:cs="宋体"/>
          <w:b/>
          <w:bCs/>
          <w:color w:val="000000"/>
          <w:sz w:val="28"/>
          <w:szCs w:val="28"/>
        </w:rPr>
      </w:pPr>
    </w:p>
    <w:p>
      <w:pPr>
        <w:spacing w:line="520" w:lineRule="exact"/>
        <w:jc w:val="left"/>
        <w:rPr>
          <w:rFonts w:hint="eastAsia" w:ascii="宋体" w:hAnsi="宋体" w:cs="宋体"/>
          <w:b/>
          <w:bCs/>
          <w:color w:val="000000"/>
          <w:sz w:val="28"/>
          <w:szCs w:val="28"/>
        </w:rPr>
      </w:pPr>
    </w:p>
    <w:p>
      <w:pPr>
        <w:spacing w:line="520" w:lineRule="exact"/>
        <w:jc w:val="left"/>
        <w:rPr>
          <w:rFonts w:hint="eastAsia"/>
          <w:sz w:val="28"/>
          <w:szCs w:val="28"/>
        </w:rPr>
      </w:pPr>
      <w:r>
        <w:rPr>
          <w:rFonts w:hint="eastAsia" w:ascii="宋体" w:hAnsi="宋体" w:cs="宋体"/>
          <w:b/>
          <w:bCs/>
          <w:color w:val="000000"/>
          <w:sz w:val="28"/>
          <w:szCs w:val="28"/>
        </w:rPr>
        <w:t>二、服务期限</w:t>
      </w:r>
    </w:p>
    <w:p>
      <w:pPr>
        <w:spacing w:line="520" w:lineRule="exact"/>
        <w:jc w:val="center"/>
        <w:rPr>
          <w:rFonts w:hint="eastAsia"/>
          <w:sz w:val="28"/>
          <w:szCs w:val="28"/>
        </w:rPr>
      </w:pPr>
      <w:r>
        <w:rPr>
          <w:rFonts w:hint="eastAsia" w:ascii="宋体" w:hAnsi="宋体" w:cs="宋体"/>
          <w:sz w:val="28"/>
          <w:szCs w:val="28"/>
        </w:rPr>
        <w:t>采购需求一览表</w:t>
      </w:r>
    </w:p>
    <w:tbl>
      <w:tblPr>
        <w:tblStyle w:val="26"/>
        <w:tblW w:w="10155" w:type="dxa"/>
        <w:jc w:val="center"/>
        <w:tblLayout w:type="fixed"/>
        <w:tblCellMar>
          <w:top w:w="0" w:type="dxa"/>
          <w:left w:w="108" w:type="dxa"/>
          <w:bottom w:w="0" w:type="dxa"/>
          <w:right w:w="108" w:type="dxa"/>
        </w:tblCellMar>
      </w:tblPr>
      <w:tblGrid>
        <w:gridCol w:w="598"/>
        <w:gridCol w:w="944"/>
        <w:gridCol w:w="7512"/>
        <w:gridCol w:w="524"/>
        <w:gridCol w:w="577"/>
      </w:tblGrid>
      <w:tr>
        <w:tblPrEx>
          <w:tblCellMar>
            <w:top w:w="0" w:type="dxa"/>
            <w:left w:w="108" w:type="dxa"/>
            <w:bottom w:w="0" w:type="dxa"/>
            <w:right w:w="108" w:type="dxa"/>
          </w:tblCellMar>
        </w:tblPrEx>
        <w:trPr>
          <w:trHeight w:val="630" w:hRule="atLeast"/>
          <w:jc w:val="center"/>
        </w:trPr>
        <w:tc>
          <w:tcPr>
            <w:tcW w:w="598"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sz w:val="28"/>
                <w:szCs w:val="28"/>
              </w:rPr>
              <w:t>序号</w:t>
            </w:r>
          </w:p>
        </w:tc>
        <w:tc>
          <w:tcPr>
            <w:tcW w:w="944"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sz w:val="28"/>
                <w:szCs w:val="28"/>
              </w:rPr>
              <w:t>名称</w:t>
            </w:r>
          </w:p>
        </w:tc>
        <w:tc>
          <w:tcPr>
            <w:tcW w:w="7512" w:type="dxa"/>
            <w:tcBorders>
              <w:top w:val="single" w:color="000000" w:sz="4" w:space="0"/>
              <w:left w:val="nil"/>
              <w:bottom w:val="single" w:color="000000" w:sz="4" w:space="0"/>
              <w:right w:val="single" w:color="000000" w:sz="4" w:space="0"/>
            </w:tcBorders>
            <w:noWrap w:val="0"/>
            <w:vAlign w:val="center"/>
          </w:tcPr>
          <w:p>
            <w:pPr>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sz w:val="28"/>
                <w:szCs w:val="28"/>
              </w:rPr>
              <w:t>技术参数和规格型号</w:t>
            </w:r>
          </w:p>
        </w:tc>
        <w:tc>
          <w:tcPr>
            <w:tcW w:w="524" w:type="dxa"/>
            <w:tcBorders>
              <w:top w:val="single" w:color="000000" w:sz="4" w:space="0"/>
              <w:left w:val="nil"/>
              <w:bottom w:val="single" w:color="000000" w:sz="4" w:space="0"/>
              <w:right w:val="single" w:color="auto" w:sz="4" w:space="0"/>
            </w:tcBorders>
            <w:noWrap w:val="0"/>
            <w:vAlign w:val="center"/>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数量</w:t>
            </w:r>
          </w:p>
        </w:tc>
        <w:tc>
          <w:tcPr>
            <w:tcW w:w="57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单位</w:t>
            </w:r>
          </w:p>
        </w:tc>
      </w:tr>
      <w:tr>
        <w:tblPrEx>
          <w:tblCellMar>
            <w:top w:w="0" w:type="dxa"/>
            <w:left w:w="108" w:type="dxa"/>
            <w:bottom w:w="0" w:type="dxa"/>
            <w:right w:w="108" w:type="dxa"/>
          </w:tblCellMar>
        </w:tblPrEx>
        <w:trPr>
          <w:trHeight w:val="280" w:hRule="atLeast"/>
          <w:jc w:val="center"/>
        </w:trPr>
        <w:tc>
          <w:tcPr>
            <w:tcW w:w="598" w:type="dxa"/>
            <w:tcBorders>
              <w:top w:val="single" w:color="000000" w:sz="4" w:space="0"/>
              <w:left w:val="single" w:color="auto" w:sz="4" w:space="0"/>
              <w:bottom w:val="single" w:color="000000" w:sz="4" w:space="0"/>
              <w:right w:val="single" w:color="000000" w:sz="4" w:space="0"/>
            </w:tcBorders>
            <w:noWrap w:val="0"/>
            <w:vAlign w:val="center"/>
          </w:tcPr>
          <w:p>
            <w:pPr>
              <w:widowControl/>
              <w:snapToGrid w:val="0"/>
              <w:spacing w:line="240" w:lineRule="atLeast"/>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1</w:t>
            </w:r>
          </w:p>
        </w:tc>
        <w:tc>
          <w:tcPr>
            <w:tcW w:w="944" w:type="dxa"/>
            <w:tcBorders>
              <w:top w:val="single" w:color="000000" w:sz="4" w:space="0"/>
              <w:left w:val="single" w:color="auto" w:sz="4" w:space="0"/>
              <w:bottom w:val="single" w:color="000000" w:sz="4" w:space="0"/>
              <w:right w:val="single" w:color="000000" w:sz="4" w:space="0"/>
            </w:tcBorders>
            <w:noWrap w:val="0"/>
            <w:vAlign w:val="center"/>
          </w:tcPr>
          <w:p>
            <w:pPr>
              <w:widowControl/>
              <w:snapToGrid w:val="0"/>
              <w:spacing w:line="240" w:lineRule="atLeast"/>
              <w:jc w:val="center"/>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网络</w:t>
            </w:r>
          </w:p>
          <w:p>
            <w:pPr>
              <w:widowControl/>
              <w:snapToGrid w:val="0"/>
              <w:spacing w:line="240" w:lineRule="atLeast"/>
              <w:jc w:val="center"/>
              <w:rPr>
                <w:rFonts w:hint="eastAsia"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rPr>
              <w:t>课</w:t>
            </w:r>
            <w:r>
              <w:rPr>
                <w:rFonts w:hint="eastAsia" w:ascii="仿宋_GB2312" w:hAnsi="仿宋_GB2312" w:eastAsia="仿宋_GB2312" w:cs="仿宋_GB2312"/>
                <w:bCs/>
                <w:kern w:val="0"/>
                <w:sz w:val="28"/>
                <w:szCs w:val="28"/>
                <w:lang w:val="en-US" w:eastAsia="zh-CN"/>
              </w:rPr>
              <w:t>程</w:t>
            </w:r>
          </w:p>
          <w:p>
            <w:pPr>
              <w:widowControl/>
              <w:snapToGrid w:val="0"/>
              <w:spacing w:line="240" w:lineRule="atLeast"/>
              <w:jc w:val="center"/>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资源</w:t>
            </w:r>
          </w:p>
          <w:p>
            <w:pPr>
              <w:widowControl/>
              <w:snapToGrid w:val="0"/>
              <w:spacing w:line="240" w:lineRule="atLeas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bCs/>
                <w:kern w:val="0"/>
                <w:sz w:val="28"/>
                <w:szCs w:val="28"/>
              </w:rPr>
              <w:t>系统</w:t>
            </w:r>
          </w:p>
        </w:tc>
        <w:tc>
          <w:tcPr>
            <w:tcW w:w="7512" w:type="dxa"/>
            <w:tcBorders>
              <w:top w:val="single" w:color="000000" w:sz="4" w:space="0"/>
              <w:left w:val="nil"/>
              <w:bottom w:val="single" w:color="000000" w:sz="4" w:space="0"/>
              <w:right w:val="single" w:color="000000" w:sz="4" w:space="0"/>
            </w:tcBorders>
            <w:noWrap w:val="0"/>
            <w:vAlign w:val="center"/>
          </w:tcPr>
          <w:p>
            <w:pPr>
              <w:snapToGrid w:val="0"/>
              <w:spacing w:line="360" w:lineRule="auto"/>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购置需求：</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本项目</w:t>
            </w:r>
            <w:r>
              <w:rPr>
                <w:rFonts w:hint="eastAsia" w:ascii="仿宋_GB2312" w:hAnsi="仿宋_GB2312" w:eastAsia="仿宋_GB2312" w:cs="仿宋_GB2312"/>
                <w:color w:val="000000"/>
                <w:sz w:val="28"/>
                <w:szCs w:val="28"/>
                <w:lang w:val="en-US" w:eastAsia="zh-CN"/>
              </w:rPr>
              <w:t>需包含以下</w:t>
            </w:r>
            <w:r>
              <w:rPr>
                <w:rFonts w:hint="eastAsia" w:ascii="仿宋_GB2312" w:hAnsi="仿宋_GB2312" w:eastAsia="仿宋_GB2312" w:cs="仿宋_GB2312"/>
                <w:color w:val="000000"/>
                <w:sz w:val="28"/>
                <w:szCs w:val="28"/>
              </w:rPr>
              <w:t>4部分：</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1.课程资源</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00门以上完整课程资源（简称课程）；</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2.通识素养测评系统；</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3.通识教育广场；</w:t>
            </w:r>
          </w:p>
          <w:p>
            <w:pPr>
              <w:snapToGrid w:val="0"/>
              <w:spacing w:line="360" w:lineRule="auto"/>
              <w:outlineLvl w:val="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4.在线辅助学习平台（简称平台）</w:t>
            </w:r>
            <w:r>
              <w:rPr>
                <w:rFonts w:hint="eastAsia" w:ascii="仿宋_GB2312" w:hAnsi="仿宋_GB2312" w:eastAsia="仿宋_GB2312" w:cs="仿宋_GB2312"/>
                <w:color w:val="000000"/>
                <w:sz w:val="28"/>
                <w:szCs w:val="28"/>
                <w:lang w:eastAsia="zh-CN"/>
              </w:rPr>
              <w:t>。</w:t>
            </w:r>
          </w:p>
          <w:p>
            <w:pPr>
              <w:snapToGrid w:val="0"/>
              <w:spacing w:line="360" w:lineRule="auto"/>
              <w:ind w:firstLine="562" w:firstLineChars="200"/>
              <w:outlineLvl w:val="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具体要求如下：</w:t>
            </w:r>
          </w:p>
          <w:p>
            <w:pPr>
              <w:snapToGrid w:val="0"/>
              <w:spacing w:line="360" w:lineRule="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一、课程总体要求</w:t>
            </w:r>
          </w:p>
          <w:p>
            <w:pPr>
              <w:snapToGrid w:val="0"/>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1.师资来源：包含双一流高校、中国科学院、中国工程院、中国社会科学院、国外知名高校等国内外知名院校和科研机构。</w:t>
            </w:r>
          </w:p>
          <w:p>
            <w:pPr>
              <w:snapToGrid w:val="0"/>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2.版权问题：</w:t>
            </w:r>
            <w:r>
              <w:rPr>
                <w:rFonts w:hint="eastAsia" w:ascii="仿宋_GB2312" w:hAnsi="仿宋_GB2312" w:eastAsia="仿宋_GB2312" w:cs="仿宋_GB2312"/>
                <w:color w:val="000000"/>
                <w:sz w:val="28"/>
                <w:szCs w:val="28"/>
                <w:lang w:eastAsia="zh-CN"/>
              </w:rPr>
              <w:t>投标人</w:t>
            </w:r>
            <w:r>
              <w:rPr>
                <w:rFonts w:hint="eastAsia" w:ascii="仿宋_GB2312" w:hAnsi="仿宋_GB2312" w:eastAsia="仿宋_GB2312" w:cs="仿宋_GB2312"/>
                <w:color w:val="000000"/>
                <w:sz w:val="28"/>
                <w:szCs w:val="28"/>
              </w:rPr>
              <w:t>已解决课程版权事宜，不会给学校带来版权纠纷，不会因为相关争议影响学校正常使用，需提供投标课程的主讲教师授权协议。</w:t>
            </w:r>
          </w:p>
          <w:p>
            <w:pPr>
              <w:snapToGrid w:val="0"/>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3.课程视频：课程必需高清拍摄，可在线以720P以上清晰度流畅播放；外语课程应配备简体中文字幕；视频中配备图片等富媒体素材帮助学生学习；除特殊情况外，视频长度控制在15分钟左右。</w:t>
            </w:r>
          </w:p>
          <w:p>
            <w:pPr>
              <w:snapToGrid w:val="0"/>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4.辅学资源：每门课程除了完善的教学视频外，必须至少包含与本门课程相关的图书及专题，以丰富学生的课外学习。相关电子版参考文献至少10册、专题至少4个。</w:t>
            </w:r>
          </w:p>
          <w:p>
            <w:pPr>
              <w:snapToGrid w:val="0"/>
              <w:spacing w:line="360" w:lineRule="auto"/>
              <w:ind w:firstLine="560" w:firstLineChars="200"/>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5.必须要按照教育部和学校教学的标准设计制作，具有课程的系统性与连贯性；</w:t>
            </w:r>
          </w:p>
          <w:p>
            <w:pPr>
              <w:snapToGrid w:val="0"/>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课程题库：除公共必修课程外，所有课程题库需包括单选题、多选题、判断题、填空题、简答题等五种题型。课程视频数量多于20个的，每门课程配套题库题目数量应不少于120道。试题更新频率不低于每学年一次，以系统标注题库上传时间为准。为提高考核的科学性，日常作业题目应当与期末考试题目有所区别，题库中需明确表明两类题目区分。</w:t>
            </w:r>
          </w:p>
          <w:p>
            <w:pPr>
              <w:snapToGrid w:val="0"/>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期末考试需提供难、中、易三种难度供用户选择。其中难度为“易”的试卷需包括单选题、多选题、判断题三种题型；难度为“中”的试卷需包括单选题、多选题、判断题、填空题四种题型；难度为“难”的试卷需包括单选题、多选题、判断题、填空题、简答题。</w:t>
            </w:r>
          </w:p>
          <w:p>
            <w:pPr>
              <w:numPr>
                <w:ilvl w:val="0"/>
                <w:numId w:val="6"/>
              </w:numPr>
              <w:snapToGrid w:val="0"/>
              <w:spacing w:line="360" w:lineRule="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课程内容要求</w:t>
            </w:r>
          </w:p>
          <w:p>
            <w:pPr>
              <w:snapToGrid w:val="0"/>
              <w:spacing w:line="360" w:lineRule="auto"/>
              <w:ind w:firstLine="560" w:firstLineChars="200"/>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课程内容需覆盖综合素养类、个人能力类、个人成长类、创新创业类、公共必修类、个人发展类、专业导学类、经典导读类等</w:t>
            </w:r>
            <w:r>
              <w:rPr>
                <w:rFonts w:hint="eastAsia" w:ascii="仿宋_GB2312" w:hAnsi="仿宋_GB2312" w:eastAsia="仿宋_GB2312" w:cs="仿宋_GB2312"/>
                <w:color w:val="000000"/>
                <w:sz w:val="28"/>
                <w:szCs w:val="28"/>
                <w:lang w:val="en-US" w:eastAsia="zh-CN"/>
              </w:rPr>
              <w:t>多</w:t>
            </w:r>
            <w:r>
              <w:rPr>
                <w:rFonts w:hint="eastAsia" w:ascii="仿宋_GB2312" w:hAnsi="仿宋_GB2312" w:eastAsia="仿宋_GB2312" w:cs="仿宋_GB2312"/>
                <w:color w:val="000000"/>
                <w:sz w:val="28"/>
                <w:szCs w:val="28"/>
              </w:rPr>
              <w:t>个类型。</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1.综合素养类课程</w:t>
            </w:r>
          </w:p>
          <w:p>
            <w:pPr>
              <w:snapToGrid w:val="0"/>
              <w:spacing w:line="360" w:lineRule="auto"/>
              <w:ind w:firstLine="560" w:firstLineChars="200"/>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以文学、哲学、历史、艺术、社会、科学、国学为顶层设计依据，打破专业视野的局限,帮助学生理解经典理论与经典著作,对人类、社会、文明、国家与世界的永恒问题进行思考,引导学生逐渐形成对人类面对的共同问题的理解力,培养学生理性审视生活并逐步改造的能力。</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2.个人能力类课程</w:t>
            </w:r>
          </w:p>
          <w:p>
            <w:pPr>
              <w:snapToGrid w:val="0"/>
              <w:spacing w:line="360" w:lineRule="auto"/>
              <w:ind w:firstLine="560" w:firstLineChars="200"/>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以就业为导向,以能力为本位,以职场生活为教学内容,以行为引导为教学方法，弥补专业教育模式带来的缺憾,提升中国大学生的综合就业力和职业适应力,帮助大学生更好地应对知识经济与信息化社会所带来的挑战,实现成功就业。</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3.个人成长类课程</w:t>
            </w:r>
          </w:p>
          <w:p>
            <w:pPr>
              <w:snapToGrid w:val="0"/>
              <w:spacing w:line="360" w:lineRule="auto"/>
              <w:ind w:firstLine="560" w:firstLineChars="200"/>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以大学生的身心健康发展为导向,通过对安全意识、生理健康、心理健康、职业规划、公民素质等领域。</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4.创新创业类课程</w:t>
            </w:r>
          </w:p>
          <w:p>
            <w:pPr>
              <w:snapToGrid w:val="0"/>
              <w:spacing w:line="360" w:lineRule="auto"/>
              <w:ind w:firstLine="560" w:firstLineChars="200"/>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紧扣国家政策，围绕提高大学生创新创业实战能力的目标，构建包括必修和选修、基础和进阶、理论与实战的创新创业课程体系。</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5.公共必修类课程</w:t>
            </w:r>
          </w:p>
          <w:p>
            <w:pPr>
              <w:snapToGrid w:val="0"/>
              <w:spacing w:line="360" w:lineRule="auto"/>
              <w:ind w:firstLine="560" w:firstLineChars="200"/>
              <w:outlineLvl w:val="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收录教育部规定的高校必修科目</w:t>
            </w:r>
            <w:r>
              <w:rPr>
                <w:rFonts w:hint="eastAsia" w:ascii="仿宋_GB2312" w:hAnsi="仿宋_GB2312" w:eastAsia="仿宋_GB2312" w:cs="仿宋_GB2312"/>
                <w:color w:val="000000"/>
                <w:sz w:val="28"/>
                <w:szCs w:val="28"/>
                <w:lang w:val="en-US" w:eastAsia="zh-CN"/>
              </w:rPr>
              <w:t>相关的全部课程</w:t>
            </w:r>
            <w:r>
              <w:rPr>
                <w:rFonts w:hint="eastAsia" w:ascii="仿宋_GB2312" w:hAnsi="仿宋_GB2312" w:eastAsia="仿宋_GB2312" w:cs="仿宋_GB2312"/>
                <w:color w:val="000000"/>
                <w:sz w:val="28"/>
                <w:szCs w:val="28"/>
              </w:rPr>
              <w:t>,包括思政</w:t>
            </w:r>
            <w:r>
              <w:rPr>
                <w:rFonts w:hint="eastAsia" w:ascii="仿宋_GB2312" w:hAnsi="仿宋_GB2312" w:eastAsia="仿宋_GB2312" w:cs="仿宋_GB2312"/>
                <w:color w:val="000000"/>
                <w:sz w:val="28"/>
                <w:szCs w:val="28"/>
                <w:lang w:val="en-US" w:eastAsia="zh-CN"/>
              </w:rPr>
              <w:t>系列（如中国近现代史纲要、习近平新时代中国特色社会主义思想概论、医学伦理学、形势与政策、思想道德与法治、护理伦理学、毛泽东思想和中国特色社会主义理论体系概论、马克思主义基本原理、四史等）</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美育系列、体育、</w:t>
            </w:r>
            <w:r>
              <w:rPr>
                <w:rFonts w:hint="eastAsia" w:ascii="仿宋_GB2312" w:hAnsi="仿宋_GB2312" w:eastAsia="仿宋_GB2312" w:cs="仿宋_GB2312"/>
                <w:color w:val="000000"/>
                <w:sz w:val="28"/>
                <w:szCs w:val="28"/>
              </w:rPr>
              <w:t>军事理论、大学生创业基础、形势与政策等</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随相关要求，及时更新课程及内容。</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6.个人发展类课程</w:t>
            </w:r>
          </w:p>
          <w:p>
            <w:pPr>
              <w:snapToGrid w:val="0"/>
              <w:spacing w:line="360" w:lineRule="auto"/>
              <w:ind w:firstLine="560" w:firstLineChars="200"/>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覆盖研究生考试必考的英语、数学、政治三类课程，辅助学生毕业后个人长期发展与深造。</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7.专业导学类课程</w:t>
            </w:r>
          </w:p>
          <w:p>
            <w:pPr>
              <w:snapToGrid w:val="0"/>
              <w:spacing w:line="360" w:lineRule="auto"/>
              <w:ind w:firstLine="560" w:firstLineChars="200"/>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专业导学课主要针对入学新生，向学生介绍所在类型专业的基本介绍、学业规划、升学建议、就业指导、创业教育、经验分享等内容。</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8.经典导读类课程</w:t>
            </w:r>
          </w:p>
          <w:p>
            <w:pPr>
              <w:snapToGrid w:val="0"/>
              <w:spacing w:line="360" w:lineRule="auto"/>
              <w:ind w:firstLine="560" w:firstLineChars="200"/>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阅读作为通识教育不可或缺的一部分，受到国内外大量高校的认可。经典导读类课程导读书目精选经典，广泛涉及哲学、历史、文学、艺术、社会、科学、国学各领域，通过一课一书的形式，让学生通过精读一本书洞悉一种思想，了解一个领域。</w:t>
            </w:r>
          </w:p>
          <w:p>
            <w:pPr>
              <w:snapToGrid w:val="0"/>
              <w:spacing w:line="360" w:lineRule="auto"/>
              <w:ind w:firstLine="560" w:firstLineChars="200"/>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讲课视频要高清拍摄，广播级制作，配备完整字幕，视频中配备图片等多媒体素材帮助学生学习，每个视频文件控制在20分钟左右，FLV格式；每门课程除了讲课视频外，需要配备完善的课程内容，相关电子版参考书至少30册，相关视频讲座至少5小时，相关试题库（选择题、判断题、简单题），每门课程至少包含500道考题，资源均可在网络上直接访问；有完整的课程介绍和教学大纲。</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平台</w:t>
            </w:r>
            <w:r>
              <w:rPr>
                <w:rFonts w:hint="eastAsia" w:ascii="仿宋_GB2312" w:hAnsi="仿宋_GB2312" w:eastAsia="仿宋_GB2312" w:cs="仿宋_GB2312"/>
                <w:color w:val="000000"/>
                <w:sz w:val="28"/>
                <w:szCs w:val="28"/>
              </w:rPr>
              <w:t>可根据课程需要推送大量相关资料。</w:t>
            </w:r>
          </w:p>
          <w:p>
            <w:pPr>
              <w:numPr>
                <w:ilvl w:val="0"/>
                <w:numId w:val="6"/>
              </w:numPr>
              <w:snapToGrid w:val="0"/>
              <w:spacing w:line="360" w:lineRule="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课程数量要求</w:t>
            </w:r>
          </w:p>
          <w:p>
            <w:pPr>
              <w:snapToGrid w:val="0"/>
              <w:spacing w:line="360" w:lineRule="auto"/>
              <w:ind w:firstLine="560" w:firstLineChars="200"/>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为了满足学校开课需求，在课程大类基础上，需满足各二级分类最低课程数量需求，同时需要满足备注标注要求。其中，将一门课程拆分为上、下或多个部分，将同一教学团队教授的课程剪辑为不同版本等情况均计为1门课程。一门课程只得归入一个二级分类类别。</w:t>
            </w:r>
          </w:p>
          <w:p>
            <w:pPr>
              <w:snapToGrid w:val="0"/>
              <w:spacing w:line="360" w:lineRule="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四、通识素养测评系统要求</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1.测评内容体系要求</w:t>
            </w:r>
          </w:p>
          <w:p>
            <w:pPr>
              <w:snapToGrid w:val="0"/>
              <w:spacing w:line="360" w:lineRule="auto"/>
              <w:ind w:firstLine="560" w:firstLineChars="200"/>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测评内容体系需具备以下类别：</w:t>
            </w:r>
          </w:p>
          <w:p>
            <w:pPr>
              <w:snapToGrid w:val="0"/>
              <w:spacing w:line="360" w:lineRule="auto"/>
              <w:ind w:firstLine="560" w:firstLineChars="200"/>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国学基础：以经典国学作品为基础，综合考察中国传统国学相关知识。主要包括中国古代哲学思想解读、古代经典作品内容与分析、古代礼仪与文明实际应用等内容。</w:t>
            </w:r>
          </w:p>
          <w:p>
            <w:pPr>
              <w:snapToGrid w:val="0"/>
              <w:spacing w:line="360" w:lineRule="auto"/>
              <w:ind w:firstLine="560" w:firstLineChars="200"/>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科学技术：全方位剖析科学发展的历史及其精神内涵。考核数学、物理、化学、生物等领域的基础理论，以及神经、认知、材料、计算机、互联网等领域的最新进展情况。</w:t>
            </w:r>
          </w:p>
          <w:p>
            <w:pPr>
              <w:snapToGrid w:val="0"/>
              <w:spacing w:line="360" w:lineRule="auto"/>
              <w:ind w:firstLine="560" w:firstLineChars="200"/>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社会管理：揭示经济活动的一般规律，不仅仅关注经济活动的一般表象，更能够深入考察经济活动背后的理论与实际运作。同时兼顾社会管理领域，解读管理活动的理论与内涵。</w:t>
            </w:r>
          </w:p>
          <w:p>
            <w:pPr>
              <w:snapToGrid w:val="0"/>
              <w:spacing w:line="360" w:lineRule="auto"/>
              <w:ind w:firstLine="560" w:firstLineChars="200"/>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人类思想：探索人类信仰、法理、哲学等思想的发展历程及其产生的重大影响，能够从本质上揭示各种思想的异同。同时能够联结中西思想领域，以宏观视野对思想进行对比。</w:t>
            </w:r>
          </w:p>
          <w:p>
            <w:pPr>
              <w:snapToGrid w:val="0"/>
              <w:spacing w:line="360" w:lineRule="auto"/>
              <w:ind w:firstLine="560" w:firstLineChars="200"/>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文学艺术：对人类自古至今的文学与艺术进行全面而适当的考核。兼顾中西、古今等多个视角，囊括文学、音乐、绘画、建筑、雕塑、摄影等各个相关领域的主要作品、大师、事件。</w:t>
            </w:r>
          </w:p>
          <w:p>
            <w:pPr>
              <w:snapToGrid w:val="0"/>
              <w:spacing w:line="360" w:lineRule="auto"/>
              <w:ind w:firstLine="560" w:firstLineChars="200"/>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历史文明：多维度展现世界各种文化的兴起与衰亡，剖析人类历史进程的关键转折点，发掘个人、组织、事件、环境等各个要素对整个人类文明演变产生的深远影响。</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2.测评主要资源要求</w:t>
            </w:r>
          </w:p>
          <w:p>
            <w:pPr>
              <w:snapToGrid w:val="0"/>
              <w:spacing w:line="360" w:lineRule="auto"/>
              <w:ind w:firstLine="560" w:firstLineChars="200"/>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测评：在线测评六大板块内容，题型为单选题，包含文字题、图片题、音频题三个类型。系统后台在学生测评过程中记录学生的提交时间、最终成绩、每道题目的答题情况等详细数据。</w:t>
            </w:r>
          </w:p>
          <w:p>
            <w:pPr>
              <w:snapToGrid w:val="0"/>
              <w:spacing w:line="360" w:lineRule="auto"/>
              <w:ind w:firstLine="560" w:firstLineChars="200"/>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推荐：测评完成后，自动识别学生所在机构，判断对应学校通识课程的开课课程信息。必须能够推荐相关学习资料，帮助学生提高通识素养能力。要求推荐不少于6门相关课程及10本相关图书。学生应能够直接在测评系统内试看推荐的课程。推荐的相关图书应能够直接阅读全文。</w:t>
            </w:r>
          </w:p>
          <w:p>
            <w:pPr>
              <w:snapToGrid w:val="0"/>
              <w:spacing w:line="360" w:lineRule="auto"/>
              <w:ind w:firstLine="560" w:firstLineChars="200"/>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学生测评报告：测评完成后，需允许学生在线查看个人测评报告。报告中需要包括测评内容体系各门类的详细分数、成绩评价、全国对比情况，要能够回看学生历次测评结果。</w:t>
            </w:r>
          </w:p>
          <w:p>
            <w:pPr>
              <w:snapToGrid w:val="0"/>
              <w:spacing w:line="360" w:lineRule="auto"/>
              <w:ind w:firstLine="560" w:firstLineChars="200"/>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校方后台：测评过程中，需要给校方提供实时监控后台，以便查看各年级、各专业学生的参与情况；并能够直接提供各分数段、各内容体系维度的数据分析结果，向学校展示学生整体素养水平。</w:t>
            </w:r>
          </w:p>
          <w:p>
            <w:pPr>
              <w:snapToGrid w:val="0"/>
              <w:spacing w:line="360" w:lineRule="auto"/>
              <w:ind w:firstLine="560" w:firstLineChars="200"/>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学校测评报告：测评结束后，需向学校提供详尽完整的《素养提升解决方案》。该解决方案需要分年级、学院、内容体系维度等方面对学生数据进行分析，并且针对学校的开课清单、通识资源建设、教学改革方面提出合理化建议。</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3.测评其他要求</w:t>
            </w:r>
          </w:p>
          <w:p>
            <w:pPr>
              <w:snapToGrid w:val="0"/>
              <w:spacing w:line="360" w:lineRule="auto"/>
              <w:ind w:firstLine="560" w:firstLineChars="200"/>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单次测评题目数量不少于60道，测评总时长不少于15分钟。</w:t>
            </w:r>
          </w:p>
          <w:p>
            <w:pPr>
              <w:snapToGrid w:val="0"/>
              <w:spacing w:line="360" w:lineRule="auto"/>
              <w:ind w:firstLine="560" w:firstLineChars="200"/>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题库包含题目总量不少于1000道。其中测评体系中各门类不少于150道。</w:t>
            </w:r>
          </w:p>
          <w:p>
            <w:pPr>
              <w:snapToGrid w:val="0"/>
              <w:spacing w:line="360" w:lineRule="auto"/>
              <w:ind w:firstLine="560" w:firstLineChars="200"/>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每道题目必须包含题目答案解析，能够明确解释题目考核相关知识点。</w:t>
            </w:r>
          </w:p>
          <w:p>
            <w:pPr>
              <w:snapToGrid w:val="0"/>
              <w:spacing w:line="360" w:lineRule="auto"/>
              <w:ind w:firstLine="560" w:firstLineChars="200"/>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测评题目每年更新数量需不低于200道。</w:t>
            </w:r>
          </w:p>
          <w:p>
            <w:pPr>
              <w:snapToGrid w:val="0"/>
              <w:spacing w:line="360" w:lineRule="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五、通识教育广场要求</w:t>
            </w:r>
          </w:p>
          <w:p>
            <w:pPr>
              <w:snapToGrid w:val="0"/>
              <w:spacing w:line="360" w:lineRule="auto"/>
              <w:outlineLvl w:val="0"/>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rPr>
              <w:t>1.内容主题要求</w:t>
            </w:r>
          </w:p>
          <w:p>
            <w:pPr>
              <w:snapToGrid w:val="0"/>
              <w:spacing w:line="360" w:lineRule="auto"/>
              <w:ind w:firstLine="560" w:firstLineChars="200"/>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产品内容需至少包含以下8个主题。</w:t>
            </w:r>
          </w:p>
          <w:p>
            <w:pPr>
              <w:snapToGrid w:val="0"/>
              <w:spacing w:line="360" w:lineRule="auto"/>
              <w:ind w:firstLine="560" w:firstLineChars="200"/>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中外历史与世界文明：以文化区域为分类维度，讲述中外历史上重要历史事件，带领学生领略世界各地影响深远的历史与文明，启迪求真与思辩的智慧。</w:t>
            </w:r>
          </w:p>
          <w:p>
            <w:pPr>
              <w:snapToGrid w:val="0"/>
              <w:spacing w:line="360" w:lineRule="auto"/>
              <w:ind w:firstLine="560" w:firstLineChars="200"/>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文学素养与作品赏析：以地理区域为分类维度，解读各国各时期著名的文学著作及其背后的名家写作风格与作品内涵思想，带领学生品鉴文字之美，感悟文学之美。</w:t>
            </w:r>
          </w:p>
          <w:p>
            <w:pPr>
              <w:snapToGrid w:val="0"/>
              <w:spacing w:line="360" w:lineRule="auto"/>
              <w:ind w:firstLine="560" w:firstLineChars="200"/>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经济理论与社会管理：以经管领域为分类维度，呈现经济学、社会学、管理学中不同的思想流派、基础理论与经典著作，带领学生理解经管与社会领域的知识、理解周围的世界。</w:t>
            </w:r>
          </w:p>
          <w:p>
            <w:pPr>
              <w:snapToGrid w:val="0"/>
              <w:spacing w:line="360" w:lineRule="auto"/>
              <w:ind w:firstLine="560" w:firstLineChars="200"/>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基础科学与前沿技术：以科学领域的基础科学与前沿领域为分类维度，浓缩20世纪以来人类科学发展的伟大历程，带领学生了解科学的奥秘、把握科技的发展方向。</w:t>
            </w:r>
          </w:p>
          <w:p>
            <w:pPr>
              <w:snapToGrid w:val="0"/>
              <w:spacing w:line="360" w:lineRule="auto"/>
              <w:ind w:firstLine="560" w:firstLineChars="200"/>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思想流派与自我认知：以人类认知自我相关学科为分类维度，展示哲学、心理学、伦理学等一系列关于人类对思想领域的探索，带领学生深入了解自己、了解他人。</w:t>
            </w:r>
          </w:p>
          <w:p>
            <w:pPr>
              <w:snapToGrid w:val="0"/>
              <w:spacing w:line="360" w:lineRule="auto"/>
              <w:ind w:firstLine="560" w:firstLineChars="200"/>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生活技能与职场提升：以不同的应用场景为分类维度，引导学生了解并掌握不同场景下所应该具备的基础技能，带领学生在学习、生活与工作中取得更大的成就。</w:t>
            </w:r>
          </w:p>
          <w:p>
            <w:pPr>
              <w:snapToGrid w:val="0"/>
              <w:spacing w:line="360" w:lineRule="auto"/>
              <w:ind w:firstLine="560" w:firstLineChars="200"/>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国学知识与文化传承：以中国历史时代为分类维度，系统介绍中国科技史、思想史、文化史上一个个璀璨夺目的成绩，带领学生掌握国学知识、提升民族文化自信心。</w:t>
            </w:r>
          </w:p>
          <w:p>
            <w:pPr>
              <w:snapToGrid w:val="0"/>
              <w:spacing w:line="360" w:lineRule="auto"/>
              <w:ind w:firstLine="560" w:firstLineChars="200"/>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艺术鉴赏与审美意识：以艺术的不同形式为分类维度，涵盖艺术领域中音乐、绘画、建筑、戏曲等不同领域的思想与名作，带领学生提升个人审美品味与生活意趣。</w:t>
            </w:r>
          </w:p>
          <w:p>
            <w:pPr>
              <w:snapToGrid w:val="0"/>
              <w:spacing w:line="360" w:lineRule="auto"/>
              <w:outlineLvl w:val="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2.内容呈现形式</w:t>
            </w:r>
          </w:p>
          <w:p>
            <w:pPr>
              <w:snapToGrid w:val="0"/>
              <w:spacing w:line="360" w:lineRule="auto"/>
              <w:ind w:firstLine="560" w:firstLineChars="200"/>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每个主题需根据实际包含的内容，区分出多个分类。每个分类需根据包含内容多少，科学区分出多个知识点。</w:t>
            </w:r>
          </w:p>
          <w:p>
            <w:pPr>
              <w:snapToGrid w:val="0"/>
              <w:spacing w:line="360" w:lineRule="auto"/>
              <w:ind w:firstLine="560" w:firstLineChars="200"/>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每个主题下的所有内容，需整合至一个统一的页面上，并在该页面展示该主题下的推荐热门分类知识点。</w:t>
            </w:r>
          </w:p>
          <w:p>
            <w:pPr>
              <w:snapToGrid w:val="0"/>
              <w:spacing w:line="360" w:lineRule="auto"/>
              <w:ind w:firstLine="560" w:firstLineChars="200"/>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知识点对应的具体内容可以通过多种形式展示。可用的形式包括但不限于：视频、测验题、阅读。</w:t>
            </w:r>
          </w:p>
          <w:p>
            <w:pPr>
              <w:snapToGrid w:val="0"/>
              <w:spacing w:line="360" w:lineRule="auto"/>
              <w:outlineLvl w:val="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3.内容数量要求</w:t>
            </w:r>
          </w:p>
          <w:p>
            <w:pPr>
              <w:snapToGrid w:val="0"/>
              <w:spacing w:line="360" w:lineRule="auto"/>
              <w:ind w:firstLine="560" w:firstLineChars="200"/>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根据我校实际需求，各主题中内容不得低于以下数量要求。</w:t>
            </w:r>
          </w:p>
          <w:tbl>
            <w:tblPr>
              <w:tblStyle w:val="26"/>
              <w:tblW w:w="7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607"/>
              <w:gridCol w:w="734"/>
              <w:gridCol w:w="778"/>
              <w:gridCol w:w="788"/>
              <w:gridCol w:w="945"/>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vMerge w:val="restart"/>
                  <w:noWrap w:val="0"/>
                  <w:tcMar>
                    <w:left w:w="28" w:type="dxa"/>
                    <w:right w:w="28" w:type="dxa"/>
                  </w:tcMar>
                  <w:vAlign w:val="bottom"/>
                </w:tcPr>
                <w:p>
                  <w:pPr>
                    <w:snapToGrid w:val="0"/>
                    <w:spacing w:line="360" w:lineRule="auto"/>
                    <w:ind w:firstLine="360" w:firstLineChars="200"/>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主题</w:t>
                  </w:r>
                </w:p>
              </w:tc>
              <w:tc>
                <w:tcPr>
                  <w:tcW w:w="607" w:type="dxa"/>
                  <w:vMerge w:val="restart"/>
                  <w:noWrap w:val="0"/>
                  <w:tcMar>
                    <w:left w:w="28" w:type="dxa"/>
                    <w:right w:w="28" w:type="dxa"/>
                  </w:tcMar>
                  <w:vAlign w:val="bottom"/>
                </w:tcPr>
                <w:p>
                  <w:pPr>
                    <w:snapToGrid w:val="0"/>
                    <w:spacing w:line="360" w:lineRule="auto"/>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一级分类数量</w:t>
                  </w:r>
                </w:p>
              </w:tc>
              <w:tc>
                <w:tcPr>
                  <w:tcW w:w="734" w:type="dxa"/>
                  <w:vMerge w:val="restart"/>
                  <w:noWrap w:val="0"/>
                  <w:tcMar>
                    <w:left w:w="28" w:type="dxa"/>
                    <w:right w:w="28" w:type="dxa"/>
                  </w:tcMar>
                  <w:vAlign w:val="bottom"/>
                </w:tcPr>
                <w:p>
                  <w:pPr>
                    <w:snapToGrid w:val="0"/>
                    <w:spacing w:line="360" w:lineRule="auto"/>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知识点数量</w:t>
                  </w:r>
                </w:p>
              </w:tc>
              <w:tc>
                <w:tcPr>
                  <w:tcW w:w="3722" w:type="dxa"/>
                  <w:gridSpan w:val="4"/>
                  <w:noWrap w:val="0"/>
                  <w:tcMar>
                    <w:left w:w="28" w:type="dxa"/>
                    <w:right w:w="28" w:type="dxa"/>
                  </w:tcMar>
                  <w:vAlign w:val="bottom"/>
                </w:tcPr>
                <w:p>
                  <w:pPr>
                    <w:snapToGrid w:val="0"/>
                    <w:spacing w:line="360" w:lineRule="auto"/>
                    <w:ind w:firstLine="360" w:firstLineChars="200"/>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资源数量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035" w:type="dxa"/>
                  <w:vMerge w:val="continue"/>
                  <w:noWrap w:val="0"/>
                  <w:tcMar>
                    <w:left w:w="28" w:type="dxa"/>
                    <w:right w:w="28" w:type="dxa"/>
                  </w:tcMar>
                  <w:vAlign w:val="bottom"/>
                </w:tcPr>
                <w:p>
                  <w:pPr>
                    <w:snapToGrid w:val="0"/>
                    <w:spacing w:line="360" w:lineRule="auto"/>
                    <w:ind w:firstLine="360" w:firstLineChars="200"/>
                    <w:jc w:val="center"/>
                    <w:outlineLvl w:val="0"/>
                    <w:rPr>
                      <w:rFonts w:hint="eastAsia" w:ascii="仿宋_GB2312" w:hAnsi="仿宋_GB2312" w:eastAsia="仿宋_GB2312" w:cs="仿宋_GB2312"/>
                      <w:color w:val="000000"/>
                      <w:sz w:val="18"/>
                      <w:szCs w:val="18"/>
                    </w:rPr>
                  </w:pPr>
                </w:p>
              </w:tc>
              <w:tc>
                <w:tcPr>
                  <w:tcW w:w="607" w:type="dxa"/>
                  <w:vMerge w:val="continue"/>
                  <w:noWrap w:val="0"/>
                  <w:tcMar>
                    <w:left w:w="28" w:type="dxa"/>
                    <w:right w:w="28" w:type="dxa"/>
                  </w:tcMar>
                  <w:vAlign w:val="bottom"/>
                </w:tcPr>
                <w:p>
                  <w:pPr>
                    <w:snapToGrid w:val="0"/>
                    <w:spacing w:line="360" w:lineRule="auto"/>
                    <w:ind w:firstLine="360" w:firstLineChars="200"/>
                    <w:jc w:val="center"/>
                    <w:outlineLvl w:val="0"/>
                    <w:rPr>
                      <w:rFonts w:hint="eastAsia" w:ascii="仿宋_GB2312" w:hAnsi="仿宋_GB2312" w:eastAsia="仿宋_GB2312" w:cs="仿宋_GB2312"/>
                      <w:color w:val="000000"/>
                      <w:sz w:val="18"/>
                      <w:szCs w:val="18"/>
                    </w:rPr>
                  </w:pPr>
                </w:p>
              </w:tc>
              <w:tc>
                <w:tcPr>
                  <w:tcW w:w="734" w:type="dxa"/>
                  <w:vMerge w:val="continue"/>
                  <w:noWrap w:val="0"/>
                  <w:tcMar>
                    <w:left w:w="28" w:type="dxa"/>
                    <w:right w:w="28" w:type="dxa"/>
                  </w:tcMar>
                  <w:vAlign w:val="bottom"/>
                </w:tcPr>
                <w:p>
                  <w:pPr>
                    <w:snapToGrid w:val="0"/>
                    <w:spacing w:line="360" w:lineRule="auto"/>
                    <w:ind w:firstLine="360" w:firstLineChars="200"/>
                    <w:jc w:val="center"/>
                    <w:outlineLvl w:val="0"/>
                    <w:rPr>
                      <w:rFonts w:hint="eastAsia" w:ascii="仿宋_GB2312" w:hAnsi="仿宋_GB2312" w:eastAsia="仿宋_GB2312" w:cs="仿宋_GB2312"/>
                      <w:color w:val="000000"/>
                      <w:sz w:val="18"/>
                      <w:szCs w:val="18"/>
                    </w:rPr>
                  </w:pPr>
                </w:p>
              </w:tc>
              <w:tc>
                <w:tcPr>
                  <w:tcW w:w="778" w:type="dxa"/>
                  <w:noWrap w:val="0"/>
                  <w:tcMar>
                    <w:left w:w="0" w:type="dxa"/>
                    <w:right w:w="0" w:type="dxa"/>
                  </w:tcMar>
                  <w:vAlign w:val="bottom"/>
                </w:tcPr>
                <w:p>
                  <w:pPr>
                    <w:snapToGrid w:val="0"/>
                    <w:spacing w:line="360" w:lineRule="auto"/>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视频</w:t>
                  </w:r>
                </w:p>
                <w:p>
                  <w:pPr>
                    <w:snapToGrid w:val="0"/>
                    <w:spacing w:line="360" w:lineRule="auto"/>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（分钟）</w:t>
                  </w:r>
                </w:p>
              </w:tc>
              <w:tc>
                <w:tcPr>
                  <w:tcW w:w="788" w:type="dxa"/>
                  <w:noWrap w:val="0"/>
                  <w:vAlign w:val="bottom"/>
                </w:tcPr>
                <w:p>
                  <w:pPr>
                    <w:snapToGrid w:val="0"/>
                    <w:spacing w:line="360" w:lineRule="auto"/>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测验题</w:t>
                  </w:r>
                </w:p>
                <w:p>
                  <w:pPr>
                    <w:snapToGrid w:val="0"/>
                    <w:spacing w:line="360" w:lineRule="auto"/>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（道）</w:t>
                  </w:r>
                </w:p>
              </w:tc>
              <w:tc>
                <w:tcPr>
                  <w:tcW w:w="945" w:type="dxa"/>
                  <w:noWrap w:val="0"/>
                  <w:vAlign w:val="bottom"/>
                </w:tcPr>
                <w:p>
                  <w:pPr>
                    <w:snapToGrid w:val="0"/>
                    <w:spacing w:line="360" w:lineRule="auto"/>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阅读</w:t>
                  </w:r>
                </w:p>
                <w:p>
                  <w:pPr>
                    <w:snapToGrid w:val="0"/>
                    <w:spacing w:line="360" w:lineRule="auto"/>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（页）</w:t>
                  </w:r>
                </w:p>
              </w:tc>
              <w:tc>
                <w:tcPr>
                  <w:tcW w:w="1211" w:type="dxa"/>
                  <w:noWrap w:val="0"/>
                  <w:vAlign w:val="bottom"/>
                </w:tcPr>
                <w:p>
                  <w:pPr>
                    <w:snapToGrid w:val="0"/>
                    <w:spacing w:line="360" w:lineRule="auto"/>
                    <w:ind w:firstLine="360" w:firstLineChars="200"/>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阅读</w:t>
                  </w:r>
                </w:p>
                <w:p>
                  <w:pPr>
                    <w:snapToGrid w:val="0"/>
                    <w:spacing w:line="360" w:lineRule="auto"/>
                    <w:ind w:firstLine="360" w:firstLineChars="200"/>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noWrap w:val="0"/>
                  <w:tcMar>
                    <w:left w:w="28" w:type="dxa"/>
                    <w:right w:w="28" w:type="dxa"/>
                  </w:tcMar>
                  <w:vAlign w:val="bottom"/>
                </w:tcPr>
                <w:p>
                  <w:pPr>
                    <w:snapToGrid w:val="0"/>
                    <w:spacing w:line="360" w:lineRule="auto"/>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中外历史与世界文明</w:t>
                  </w:r>
                </w:p>
              </w:tc>
              <w:tc>
                <w:tcPr>
                  <w:tcW w:w="607" w:type="dxa"/>
                  <w:noWrap w:val="0"/>
                  <w:tcMar>
                    <w:left w:w="28" w:type="dxa"/>
                    <w:right w:w="28" w:type="dxa"/>
                  </w:tcMar>
                  <w:vAlign w:val="bottom"/>
                </w:tcPr>
                <w:p>
                  <w:pPr>
                    <w:snapToGrid w:val="0"/>
                    <w:spacing w:line="360" w:lineRule="auto"/>
                    <w:ind w:firstLine="360" w:firstLineChars="200"/>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12</w:t>
                  </w:r>
                </w:p>
              </w:tc>
              <w:tc>
                <w:tcPr>
                  <w:tcW w:w="734" w:type="dxa"/>
                  <w:noWrap w:val="0"/>
                  <w:tcMar>
                    <w:left w:w="28" w:type="dxa"/>
                    <w:right w:w="28" w:type="dxa"/>
                  </w:tcMar>
                  <w:vAlign w:val="bottom"/>
                </w:tcPr>
                <w:p>
                  <w:pPr>
                    <w:snapToGrid w:val="0"/>
                    <w:spacing w:line="360" w:lineRule="auto"/>
                    <w:ind w:firstLine="360" w:firstLineChars="200"/>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200</w:t>
                  </w:r>
                </w:p>
              </w:tc>
              <w:tc>
                <w:tcPr>
                  <w:tcW w:w="778" w:type="dxa"/>
                  <w:noWrap w:val="0"/>
                  <w:tcMar>
                    <w:left w:w="28" w:type="dxa"/>
                    <w:right w:w="28" w:type="dxa"/>
                  </w:tcMar>
                  <w:vAlign w:val="bottom"/>
                </w:tcPr>
                <w:p>
                  <w:pPr>
                    <w:snapToGrid w:val="0"/>
                    <w:spacing w:line="360" w:lineRule="auto"/>
                    <w:ind w:firstLine="360" w:firstLineChars="200"/>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6400</w:t>
                  </w:r>
                </w:p>
              </w:tc>
              <w:tc>
                <w:tcPr>
                  <w:tcW w:w="788" w:type="dxa"/>
                  <w:noWrap w:val="0"/>
                  <w:vAlign w:val="bottom"/>
                </w:tcPr>
                <w:p>
                  <w:pPr>
                    <w:snapToGrid w:val="0"/>
                    <w:spacing w:line="360" w:lineRule="auto"/>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350</w:t>
                  </w:r>
                </w:p>
              </w:tc>
              <w:tc>
                <w:tcPr>
                  <w:tcW w:w="945" w:type="dxa"/>
                  <w:noWrap w:val="0"/>
                  <w:vAlign w:val="bottom"/>
                </w:tcPr>
                <w:p>
                  <w:pPr>
                    <w:snapToGrid w:val="0"/>
                    <w:spacing w:line="360" w:lineRule="auto"/>
                    <w:ind w:firstLine="360" w:firstLineChars="200"/>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1800</w:t>
                  </w:r>
                </w:p>
              </w:tc>
              <w:tc>
                <w:tcPr>
                  <w:tcW w:w="1211" w:type="dxa"/>
                  <w:noWrap w:val="0"/>
                  <w:vAlign w:val="bottom"/>
                </w:tcPr>
                <w:p>
                  <w:pPr>
                    <w:snapToGrid w:val="0"/>
                    <w:spacing w:line="360" w:lineRule="auto"/>
                    <w:ind w:firstLine="360" w:firstLineChars="200"/>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noWrap w:val="0"/>
                  <w:tcMar>
                    <w:left w:w="28" w:type="dxa"/>
                    <w:right w:w="28" w:type="dxa"/>
                  </w:tcMar>
                  <w:vAlign w:val="bottom"/>
                </w:tcPr>
                <w:p>
                  <w:pPr>
                    <w:snapToGrid w:val="0"/>
                    <w:spacing w:line="360" w:lineRule="auto"/>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文学素养与作品赏析</w:t>
                  </w:r>
                </w:p>
              </w:tc>
              <w:tc>
                <w:tcPr>
                  <w:tcW w:w="607" w:type="dxa"/>
                  <w:noWrap w:val="0"/>
                  <w:tcMar>
                    <w:left w:w="28" w:type="dxa"/>
                    <w:right w:w="28" w:type="dxa"/>
                  </w:tcMar>
                  <w:vAlign w:val="bottom"/>
                </w:tcPr>
                <w:p>
                  <w:pPr>
                    <w:snapToGrid w:val="0"/>
                    <w:spacing w:line="360" w:lineRule="auto"/>
                    <w:ind w:firstLine="360" w:firstLineChars="200"/>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6</w:t>
                  </w:r>
                </w:p>
              </w:tc>
              <w:tc>
                <w:tcPr>
                  <w:tcW w:w="734" w:type="dxa"/>
                  <w:noWrap w:val="0"/>
                  <w:tcMar>
                    <w:left w:w="28" w:type="dxa"/>
                    <w:right w:w="28" w:type="dxa"/>
                  </w:tcMar>
                  <w:vAlign w:val="bottom"/>
                </w:tcPr>
                <w:p>
                  <w:pPr>
                    <w:snapToGrid w:val="0"/>
                    <w:spacing w:line="360" w:lineRule="auto"/>
                    <w:ind w:firstLine="360" w:firstLineChars="200"/>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140</w:t>
                  </w:r>
                </w:p>
              </w:tc>
              <w:tc>
                <w:tcPr>
                  <w:tcW w:w="778" w:type="dxa"/>
                  <w:noWrap w:val="0"/>
                  <w:tcMar>
                    <w:left w:w="28" w:type="dxa"/>
                    <w:right w:w="28" w:type="dxa"/>
                  </w:tcMar>
                  <w:vAlign w:val="bottom"/>
                </w:tcPr>
                <w:p>
                  <w:pPr>
                    <w:snapToGrid w:val="0"/>
                    <w:spacing w:line="360" w:lineRule="auto"/>
                    <w:ind w:firstLine="360" w:firstLineChars="200"/>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5900</w:t>
                  </w:r>
                </w:p>
              </w:tc>
              <w:tc>
                <w:tcPr>
                  <w:tcW w:w="788" w:type="dxa"/>
                  <w:noWrap w:val="0"/>
                  <w:vAlign w:val="bottom"/>
                </w:tcPr>
                <w:p>
                  <w:pPr>
                    <w:snapToGrid w:val="0"/>
                    <w:spacing w:line="360" w:lineRule="auto"/>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300</w:t>
                  </w:r>
                </w:p>
              </w:tc>
              <w:tc>
                <w:tcPr>
                  <w:tcW w:w="945" w:type="dxa"/>
                  <w:noWrap w:val="0"/>
                  <w:vAlign w:val="bottom"/>
                </w:tcPr>
                <w:p>
                  <w:pPr>
                    <w:snapToGrid w:val="0"/>
                    <w:spacing w:line="360" w:lineRule="auto"/>
                    <w:ind w:firstLine="360" w:firstLineChars="200"/>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1200</w:t>
                  </w:r>
                </w:p>
              </w:tc>
              <w:tc>
                <w:tcPr>
                  <w:tcW w:w="1211" w:type="dxa"/>
                  <w:noWrap w:val="0"/>
                  <w:vAlign w:val="bottom"/>
                </w:tcPr>
                <w:p>
                  <w:pPr>
                    <w:snapToGrid w:val="0"/>
                    <w:spacing w:line="360" w:lineRule="auto"/>
                    <w:ind w:firstLine="360" w:firstLineChars="200"/>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noWrap w:val="0"/>
                  <w:tcMar>
                    <w:left w:w="28" w:type="dxa"/>
                    <w:right w:w="28" w:type="dxa"/>
                  </w:tcMar>
                  <w:vAlign w:val="bottom"/>
                </w:tcPr>
                <w:p>
                  <w:pPr>
                    <w:snapToGrid w:val="0"/>
                    <w:spacing w:line="360" w:lineRule="auto"/>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经济理论与社会管理</w:t>
                  </w:r>
                </w:p>
              </w:tc>
              <w:tc>
                <w:tcPr>
                  <w:tcW w:w="607" w:type="dxa"/>
                  <w:noWrap w:val="0"/>
                  <w:tcMar>
                    <w:left w:w="28" w:type="dxa"/>
                    <w:right w:w="28" w:type="dxa"/>
                  </w:tcMar>
                  <w:vAlign w:val="bottom"/>
                </w:tcPr>
                <w:p>
                  <w:pPr>
                    <w:snapToGrid w:val="0"/>
                    <w:spacing w:line="360" w:lineRule="auto"/>
                    <w:ind w:firstLine="360" w:firstLineChars="200"/>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10</w:t>
                  </w:r>
                </w:p>
              </w:tc>
              <w:tc>
                <w:tcPr>
                  <w:tcW w:w="734" w:type="dxa"/>
                  <w:noWrap w:val="0"/>
                  <w:tcMar>
                    <w:left w:w="28" w:type="dxa"/>
                    <w:right w:w="28" w:type="dxa"/>
                  </w:tcMar>
                  <w:vAlign w:val="bottom"/>
                </w:tcPr>
                <w:p>
                  <w:pPr>
                    <w:snapToGrid w:val="0"/>
                    <w:spacing w:line="360" w:lineRule="auto"/>
                    <w:ind w:firstLine="360" w:firstLineChars="200"/>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160</w:t>
                  </w:r>
                </w:p>
              </w:tc>
              <w:tc>
                <w:tcPr>
                  <w:tcW w:w="778" w:type="dxa"/>
                  <w:noWrap w:val="0"/>
                  <w:tcMar>
                    <w:left w:w="28" w:type="dxa"/>
                    <w:right w:w="28" w:type="dxa"/>
                  </w:tcMar>
                  <w:vAlign w:val="bottom"/>
                </w:tcPr>
                <w:p>
                  <w:pPr>
                    <w:snapToGrid w:val="0"/>
                    <w:spacing w:line="360" w:lineRule="auto"/>
                    <w:ind w:firstLine="360" w:firstLineChars="200"/>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6100</w:t>
                  </w:r>
                </w:p>
              </w:tc>
              <w:tc>
                <w:tcPr>
                  <w:tcW w:w="788" w:type="dxa"/>
                  <w:noWrap w:val="0"/>
                  <w:vAlign w:val="bottom"/>
                </w:tcPr>
                <w:p>
                  <w:pPr>
                    <w:snapToGrid w:val="0"/>
                    <w:spacing w:line="360" w:lineRule="auto"/>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320</w:t>
                  </w:r>
                </w:p>
              </w:tc>
              <w:tc>
                <w:tcPr>
                  <w:tcW w:w="945" w:type="dxa"/>
                  <w:noWrap w:val="0"/>
                  <w:vAlign w:val="bottom"/>
                </w:tcPr>
                <w:p>
                  <w:pPr>
                    <w:snapToGrid w:val="0"/>
                    <w:spacing w:line="360" w:lineRule="auto"/>
                    <w:ind w:firstLine="360" w:firstLineChars="200"/>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1500</w:t>
                  </w:r>
                </w:p>
              </w:tc>
              <w:tc>
                <w:tcPr>
                  <w:tcW w:w="1211" w:type="dxa"/>
                  <w:noWrap w:val="0"/>
                  <w:vAlign w:val="bottom"/>
                </w:tcPr>
                <w:p>
                  <w:pPr>
                    <w:snapToGrid w:val="0"/>
                    <w:spacing w:line="360" w:lineRule="auto"/>
                    <w:ind w:firstLine="360" w:firstLineChars="200"/>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noWrap w:val="0"/>
                  <w:tcMar>
                    <w:left w:w="28" w:type="dxa"/>
                    <w:right w:w="28" w:type="dxa"/>
                  </w:tcMar>
                  <w:vAlign w:val="bottom"/>
                </w:tcPr>
                <w:p>
                  <w:pPr>
                    <w:snapToGrid w:val="0"/>
                    <w:spacing w:line="360" w:lineRule="auto"/>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基础科学与前沿技术</w:t>
                  </w:r>
                </w:p>
              </w:tc>
              <w:tc>
                <w:tcPr>
                  <w:tcW w:w="607" w:type="dxa"/>
                  <w:noWrap w:val="0"/>
                  <w:tcMar>
                    <w:left w:w="28" w:type="dxa"/>
                    <w:right w:w="28" w:type="dxa"/>
                  </w:tcMar>
                  <w:vAlign w:val="bottom"/>
                </w:tcPr>
                <w:p>
                  <w:pPr>
                    <w:snapToGrid w:val="0"/>
                    <w:spacing w:line="360" w:lineRule="auto"/>
                    <w:ind w:firstLine="360" w:firstLineChars="200"/>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12</w:t>
                  </w:r>
                </w:p>
              </w:tc>
              <w:tc>
                <w:tcPr>
                  <w:tcW w:w="734" w:type="dxa"/>
                  <w:noWrap w:val="0"/>
                  <w:tcMar>
                    <w:left w:w="28" w:type="dxa"/>
                    <w:right w:w="28" w:type="dxa"/>
                  </w:tcMar>
                  <w:vAlign w:val="bottom"/>
                </w:tcPr>
                <w:p>
                  <w:pPr>
                    <w:snapToGrid w:val="0"/>
                    <w:spacing w:line="360" w:lineRule="auto"/>
                    <w:ind w:firstLine="360" w:firstLineChars="200"/>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200</w:t>
                  </w:r>
                </w:p>
              </w:tc>
              <w:tc>
                <w:tcPr>
                  <w:tcW w:w="778" w:type="dxa"/>
                  <w:noWrap w:val="0"/>
                  <w:tcMar>
                    <w:left w:w="28" w:type="dxa"/>
                    <w:right w:w="28" w:type="dxa"/>
                  </w:tcMar>
                  <w:vAlign w:val="bottom"/>
                </w:tcPr>
                <w:p>
                  <w:pPr>
                    <w:snapToGrid w:val="0"/>
                    <w:spacing w:line="360" w:lineRule="auto"/>
                    <w:ind w:firstLine="360" w:firstLineChars="200"/>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6400</w:t>
                  </w:r>
                </w:p>
              </w:tc>
              <w:tc>
                <w:tcPr>
                  <w:tcW w:w="788" w:type="dxa"/>
                  <w:noWrap w:val="0"/>
                  <w:vAlign w:val="bottom"/>
                </w:tcPr>
                <w:p>
                  <w:pPr>
                    <w:snapToGrid w:val="0"/>
                    <w:spacing w:line="360" w:lineRule="auto"/>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350</w:t>
                  </w:r>
                </w:p>
              </w:tc>
              <w:tc>
                <w:tcPr>
                  <w:tcW w:w="945" w:type="dxa"/>
                  <w:noWrap w:val="0"/>
                  <w:vAlign w:val="bottom"/>
                </w:tcPr>
                <w:p>
                  <w:pPr>
                    <w:snapToGrid w:val="0"/>
                    <w:spacing w:line="360" w:lineRule="auto"/>
                    <w:ind w:firstLine="360" w:firstLineChars="200"/>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1800</w:t>
                  </w:r>
                </w:p>
              </w:tc>
              <w:tc>
                <w:tcPr>
                  <w:tcW w:w="1211" w:type="dxa"/>
                  <w:noWrap w:val="0"/>
                  <w:vAlign w:val="bottom"/>
                </w:tcPr>
                <w:p>
                  <w:pPr>
                    <w:snapToGrid w:val="0"/>
                    <w:spacing w:line="360" w:lineRule="auto"/>
                    <w:ind w:firstLine="360" w:firstLineChars="200"/>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noWrap w:val="0"/>
                  <w:tcMar>
                    <w:left w:w="28" w:type="dxa"/>
                    <w:right w:w="28" w:type="dxa"/>
                  </w:tcMar>
                  <w:vAlign w:val="bottom"/>
                </w:tcPr>
                <w:p>
                  <w:pPr>
                    <w:snapToGrid w:val="0"/>
                    <w:spacing w:line="360" w:lineRule="auto"/>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思想流派与自我认知</w:t>
                  </w:r>
                </w:p>
              </w:tc>
              <w:tc>
                <w:tcPr>
                  <w:tcW w:w="607" w:type="dxa"/>
                  <w:noWrap w:val="0"/>
                  <w:tcMar>
                    <w:left w:w="28" w:type="dxa"/>
                    <w:right w:w="28" w:type="dxa"/>
                  </w:tcMar>
                  <w:vAlign w:val="bottom"/>
                </w:tcPr>
                <w:p>
                  <w:pPr>
                    <w:snapToGrid w:val="0"/>
                    <w:spacing w:line="360" w:lineRule="auto"/>
                    <w:ind w:firstLine="360" w:firstLineChars="200"/>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10</w:t>
                  </w:r>
                </w:p>
              </w:tc>
              <w:tc>
                <w:tcPr>
                  <w:tcW w:w="734" w:type="dxa"/>
                  <w:noWrap w:val="0"/>
                  <w:tcMar>
                    <w:left w:w="28" w:type="dxa"/>
                    <w:right w:w="28" w:type="dxa"/>
                  </w:tcMar>
                  <w:vAlign w:val="bottom"/>
                </w:tcPr>
                <w:p>
                  <w:pPr>
                    <w:snapToGrid w:val="0"/>
                    <w:spacing w:line="360" w:lineRule="auto"/>
                    <w:ind w:firstLine="360" w:firstLineChars="200"/>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160</w:t>
                  </w:r>
                </w:p>
              </w:tc>
              <w:tc>
                <w:tcPr>
                  <w:tcW w:w="778" w:type="dxa"/>
                  <w:noWrap w:val="0"/>
                  <w:tcMar>
                    <w:left w:w="28" w:type="dxa"/>
                    <w:right w:w="28" w:type="dxa"/>
                  </w:tcMar>
                  <w:vAlign w:val="bottom"/>
                </w:tcPr>
                <w:p>
                  <w:pPr>
                    <w:snapToGrid w:val="0"/>
                    <w:spacing w:line="360" w:lineRule="auto"/>
                    <w:ind w:firstLine="360" w:firstLineChars="200"/>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6100</w:t>
                  </w:r>
                </w:p>
              </w:tc>
              <w:tc>
                <w:tcPr>
                  <w:tcW w:w="788" w:type="dxa"/>
                  <w:noWrap w:val="0"/>
                  <w:vAlign w:val="bottom"/>
                </w:tcPr>
                <w:p>
                  <w:pPr>
                    <w:snapToGrid w:val="0"/>
                    <w:spacing w:line="360" w:lineRule="auto"/>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320</w:t>
                  </w:r>
                </w:p>
              </w:tc>
              <w:tc>
                <w:tcPr>
                  <w:tcW w:w="945" w:type="dxa"/>
                  <w:noWrap w:val="0"/>
                  <w:vAlign w:val="bottom"/>
                </w:tcPr>
                <w:p>
                  <w:pPr>
                    <w:snapToGrid w:val="0"/>
                    <w:spacing w:line="360" w:lineRule="auto"/>
                    <w:ind w:firstLine="360" w:firstLineChars="200"/>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1500</w:t>
                  </w:r>
                </w:p>
              </w:tc>
              <w:tc>
                <w:tcPr>
                  <w:tcW w:w="1211" w:type="dxa"/>
                  <w:noWrap w:val="0"/>
                  <w:vAlign w:val="bottom"/>
                </w:tcPr>
                <w:p>
                  <w:pPr>
                    <w:snapToGrid w:val="0"/>
                    <w:spacing w:line="360" w:lineRule="auto"/>
                    <w:ind w:firstLine="360" w:firstLineChars="200"/>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35" w:type="dxa"/>
                  <w:noWrap w:val="0"/>
                  <w:tcMar>
                    <w:left w:w="28" w:type="dxa"/>
                    <w:right w:w="28" w:type="dxa"/>
                  </w:tcMar>
                  <w:vAlign w:val="bottom"/>
                </w:tcPr>
                <w:p>
                  <w:pPr>
                    <w:snapToGrid w:val="0"/>
                    <w:spacing w:line="360" w:lineRule="auto"/>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生活技能与职场提升</w:t>
                  </w:r>
                </w:p>
              </w:tc>
              <w:tc>
                <w:tcPr>
                  <w:tcW w:w="607" w:type="dxa"/>
                  <w:noWrap w:val="0"/>
                  <w:tcMar>
                    <w:left w:w="28" w:type="dxa"/>
                    <w:right w:w="28" w:type="dxa"/>
                  </w:tcMar>
                  <w:vAlign w:val="bottom"/>
                </w:tcPr>
                <w:p>
                  <w:pPr>
                    <w:snapToGrid w:val="0"/>
                    <w:spacing w:line="360" w:lineRule="auto"/>
                    <w:ind w:firstLine="360" w:firstLineChars="200"/>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10</w:t>
                  </w:r>
                </w:p>
              </w:tc>
              <w:tc>
                <w:tcPr>
                  <w:tcW w:w="734" w:type="dxa"/>
                  <w:noWrap w:val="0"/>
                  <w:tcMar>
                    <w:left w:w="28" w:type="dxa"/>
                    <w:right w:w="28" w:type="dxa"/>
                  </w:tcMar>
                  <w:vAlign w:val="bottom"/>
                </w:tcPr>
                <w:p>
                  <w:pPr>
                    <w:snapToGrid w:val="0"/>
                    <w:spacing w:line="360" w:lineRule="auto"/>
                    <w:ind w:firstLine="360" w:firstLineChars="200"/>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160</w:t>
                  </w:r>
                </w:p>
              </w:tc>
              <w:tc>
                <w:tcPr>
                  <w:tcW w:w="778" w:type="dxa"/>
                  <w:noWrap w:val="0"/>
                  <w:tcMar>
                    <w:left w:w="28" w:type="dxa"/>
                    <w:right w:w="28" w:type="dxa"/>
                  </w:tcMar>
                  <w:vAlign w:val="bottom"/>
                </w:tcPr>
                <w:p>
                  <w:pPr>
                    <w:snapToGrid w:val="0"/>
                    <w:spacing w:line="360" w:lineRule="auto"/>
                    <w:ind w:firstLine="360" w:firstLineChars="200"/>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6100</w:t>
                  </w:r>
                </w:p>
              </w:tc>
              <w:tc>
                <w:tcPr>
                  <w:tcW w:w="788" w:type="dxa"/>
                  <w:noWrap w:val="0"/>
                  <w:vAlign w:val="bottom"/>
                </w:tcPr>
                <w:p>
                  <w:pPr>
                    <w:snapToGrid w:val="0"/>
                    <w:spacing w:line="360" w:lineRule="auto"/>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320</w:t>
                  </w:r>
                </w:p>
              </w:tc>
              <w:tc>
                <w:tcPr>
                  <w:tcW w:w="945" w:type="dxa"/>
                  <w:noWrap w:val="0"/>
                  <w:vAlign w:val="bottom"/>
                </w:tcPr>
                <w:p>
                  <w:pPr>
                    <w:snapToGrid w:val="0"/>
                    <w:spacing w:line="360" w:lineRule="auto"/>
                    <w:ind w:firstLine="360" w:firstLineChars="200"/>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1500</w:t>
                  </w:r>
                </w:p>
              </w:tc>
              <w:tc>
                <w:tcPr>
                  <w:tcW w:w="1211" w:type="dxa"/>
                  <w:noWrap w:val="0"/>
                  <w:vAlign w:val="bottom"/>
                </w:tcPr>
                <w:p>
                  <w:pPr>
                    <w:snapToGrid w:val="0"/>
                    <w:spacing w:line="360" w:lineRule="auto"/>
                    <w:ind w:firstLine="360" w:firstLineChars="200"/>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noWrap w:val="0"/>
                  <w:tcMar>
                    <w:left w:w="28" w:type="dxa"/>
                    <w:right w:w="28" w:type="dxa"/>
                  </w:tcMar>
                  <w:vAlign w:val="bottom"/>
                </w:tcPr>
                <w:p>
                  <w:pPr>
                    <w:snapToGrid w:val="0"/>
                    <w:spacing w:line="360" w:lineRule="auto"/>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国学知识与文化传承</w:t>
                  </w:r>
                </w:p>
              </w:tc>
              <w:tc>
                <w:tcPr>
                  <w:tcW w:w="607" w:type="dxa"/>
                  <w:noWrap w:val="0"/>
                  <w:tcMar>
                    <w:left w:w="28" w:type="dxa"/>
                    <w:right w:w="28" w:type="dxa"/>
                  </w:tcMar>
                  <w:vAlign w:val="bottom"/>
                </w:tcPr>
                <w:p>
                  <w:pPr>
                    <w:snapToGrid w:val="0"/>
                    <w:spacing w:line="360" w:lineRule="auto"/>
                    <w:ind w:firstLine="360" w:firstLineChars="200"/>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10</w:t>
                  </w:r>
                </w:p>
              </w:tc>
              <w:tc>
                <w:tcPr>
                  <w:tcW w:w="734" w:type="dxa"/>
                  <w:noWrap w:val="0"/>
                  <w:tcMar>
                    <w:left w:w="28" w:type="dxa"/>
                    <w:right w:w="28" w:type="dxa"/>
                  </w:tcMar>
                  <w:vAlign w:val="bottom"/>
                </w:tcPr>
                <w:p>
                  <w:pPr>
                    <w:snapToGrid w:val="0"/>
                    <w:spacing w:line="360" w:lineRule="auto"/>
                    <w:ind w:firstLine="360" w:firstLineChars="200"/>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160</w:t>
                  </w:r>
                </w:p>
              </w:tc>
              <w:tc>
                <w:tcPr>
                  <w:tcW w:w="778" w:type="dxa"/>
                  <w:noWrap w:val="0"/>
                  <w:tcMar>
                    <w:left w:w="28" w:type="dxa"/>
                    <w:right w:w="28" w:type="dxa"/>
                  </w:tcMar>
                  <w:vAlign w:val="bottom"/>
                </w:tcPr>
                <w:p>
                  <w:pPr>
                    <w:snapToGrid w:val="0"/>
                    <w:spacing w:line="360" w:lineRule="auto"/>
                    <w:ind w:firstLine="360" w:firstLineChars="200"/>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6100</w:t>
                  </w:r>
                </w:p>
              </w:tc>
              <w:tc>
                <w:tcPr>
                  <w:tcW w:w="788" w:type="dxa"/>
                  <w:noWrap w:val="0"/>
                  <w:vAlign w:val="bottom"/>
                </w:tcPr>
                <w:p>
                  <w:pPr>
                    <w:snapToGrid w:val="0"/>
                    <w:spacing w:line="360" w:lineRule="auto"/>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320</w:t>
                  </w:r>
                </w:p>
              </w:tc>
              <w:tc>
                <w:tcPr>
                  <w:tcW w:w="945" w:type="dxa"/>
                  <w:noWrap w:val="0"/>
                  <w:vAlign w:val="bottom"/>
                </w:tcPr>
                <w:p>
                  <w:pPr>
                    <w:snapToGrid w:val="0"/>
                    <w:spacing w:line="360" w:lineRule="auto"/>
                    <w:ind w:firstLine="360" w:firstLineChars="200"/>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1500</w:t>
                  </w:r>
                </w:p>
              </w:tc>
              <w:tc>
                <w:tcPr>
                  <w:tcW w:w="1211" w:type="dxa"/>
                  <w:noWrap w:val="0"/>
                  <w:vAlign w:val="bottom"/>
                </w:tcPr>
                <w:p>
                  <w:pPr>
                    <w:snapToGrid w:val="0"/>
                    <w:spacing w:line="360" w:lineRule="auto"/>
                    <w:ind w:firstLine="360" w:firstLineChars="200"/>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35" w:type="dxa"/>
                  <w:noWrap w:val="0"/>
                  <w:tcMar>
                    <w:left w:w="28" w:type="dxa"/>
                    <w:right w:w="28" w:type="dxa"/>
                  </w:tcMar>
                  <w:vAlign w:val="bottom"/>
                </w:tcPr>
                <w:p>
                  <w:pPr>
                    <w:snapToGrid w:val="0"/>
                    <w:spacing w:line="360" w:lineRule="auto"/>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艺术鉴赏与审美意识</w:t>
                  </w:r>
                </w:p>
              </w:tc>
              <w:tc>
                <w:tcPr>
                  <w:tcW w:w="607" w:type="dxa"/>
                  <w:noWrap w:val="0"/>
                  <w:tcMar>
                    <w:left w:w="28" w:type="dxa"/>
                    <w:right w:w="28" w:type="dxa"/>
                  </w:tcMar>
                  <w:vAlign w:val="bottom"/>
                </w:tcPr>
                <w:p>
                  <w:pPr>
                    <w:snapToGrid w:val="0"/>
                    <w:spacing w:line="360" w:lineRule="auto"/>
                    <w:ind w:firstLine="360" w:firstLineChars="200"/>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10</w:t>
                  </w:r>
                </w:p>
              </w:tc>
              <w:tc>
                <w:tcPr>
                  <w:tcW w:w="734" w:type="dxa"/>
                  <w:noWrap w:val="0"/>
                  <w:tcMar>
                    <w:left w:w="28" w:type="dxa"/>
                    <w:right w:w="28" w:type="dxa"/>
                  </w:tcMar>
                  <w:vAlign w:val="bottom"/>
                </w:tcPr>
                <w:p>
                  <w:pPr>
                    <w:snapToGrid w:val="0"/>
                    <w:spacing w:line="360" w:lineRule="auto"/>
                    <w:ind w:firstLine="360" w:firstLineChars="200"/>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160</w:t>
                  </w:r>
                </w:p>
              </w:tc>
              <w:tc>
                <w:tcPr>
                  <w:tcW w:w="778" w:type="dxa"/>
                  <w:noWrap w:val="0"/>
                  <w:tcMar>
                    <w:left w:w="28" w:type="dxa"/>
                    <w:right w:w="28" w:type="dxa"/>
                  </w:tcMar>
                  <w:vAlign w:val="bottom"/>
                </w:tcPr>
                <w:p>
                  <w:pPr>
                    <w:snapToGrid w:val="0"/>
                    <w:spacing w:line="360" w:lineRule="auto"/>
                    <w:ind w:firstLine="360" w:firstLineChars="200"/>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6100</w:t>
                  </w:r>
                </w:p>
              </w:tc>
              <w:tc>
                <w:tcPr>
                  <w:tcW w:w="788" w:type="dxa"/>
                  <w:noWrap w:val="0"/>
                  <w:vAlign w:val="bottom"/>
                </w:tcPr>
                <w:p>
                  <w:pPr>
                    <w:snapToGrid w:val="0"/>
                    <w:spacing w:line="360" w:lineRule="auto"/>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320</w:t>
                  </w:r>
                </w:p>
              </w:tc>
              <w:tc>
                <w:tcPr>
                  <w:tcW w:w="945" w:type="dxa"/>
                  <w:noWrap w:val="0"/>
                  <w:vAlign w:val="bottom"/>
                </w:tcPr>
                <w:p>
                  <w:pPr>
                    <w:snapToGrid w:val="0"/>
                    <w:spacing w:line="360" w:lineRule="auto"/>
                    <w:ind w:firstLine="360" w:firstLineChars="200"/>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1500</w:t>
                  </w:r>
                </w:p>
              </w:tc>
              <w:tc>
                <w:tcPr>
                  <w:tcW w:w="1211" w:type="dxa"/>
                  <w:noWrap w:val="0"/>
                  <w:vAlign w:val="bottom"/>
                </w:tcPr>
                <w:p>
                  <w:pPr>
                    <w:snapToGrid w:val="0"/>
                    <w:spacing w:line="360" w:lineRule="auto"/>
                    <w:ind w:firstLine="360" w:firstLineChars="200"/>
                    <w:jc w:val="center"/>
                    <w:outlineLvl w:val="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1500</w:t>
                  </w:r>
                </w:p>
              </w:tc>
            </w:tr>
          </w:tbl>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4.考核方法要求</w:t>
            </w:r>
          </w:p>
          <w:p>
            <w:pPr>
              <w:snapToGrid w:val="0"/>
              <w:spacing w:line="360" w:lineRule="auto"/>
              <w:ind w:firstLine="560" w:firstLineChars="200"/>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广场考核以积分制模式进行考核。学生在系统内发生学习行为时，系统可以根据校方预先设置的分数值，自动记录其行为对应的分数。</w:t>
            </w:r>
          </w:p>
          <w:p>
            <w:pPr>
              <w:snapToGrid w:val="0"/>
              <w:spacing w:line="360" w:lineRule="auto"/>
              <w:ind w:firstLine="560" w:firstLineChars="200"/>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可以积分的学习行为需至少包含以下所有操作行为：登录、视频观看时长、阅读时长、测验题、讨论、学习笔记、线下活动。</w:t>
            </w:r>
          </w:p>
          <w:p>
            <w:pPr>
              <w:snapToGrid w:val="0"/>
              <w:spacing w:line="360" w:lineRule="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六、课程托管服务要求</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eastAsia="zh-CN"/>
              </w:rPr>
              <w:t>投标人</w:t>
            </w:r>
            <w:r>
              <w:rPr>
                <w:rFonts w:hint="eastAsia" w:ascii="仿宋_GB2312" w:hAnsi="仿宋_GB2312" w:eastAsia="仿宋_GB2312" w:cs="仿宋_GB2312"/>
                <w:color w:val="000000"/>
                <w:sz w:val="28"/>
                <w:szCs w:val="28"/>
              </w:rPr>
              <w:t>必须具备400万学生在线学习的运营服务能力；</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2.视频访问提供校园网与公网切换服务：平台支持远程访问、视频数据支持本地安装、公网访问；</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3.提供教学和教务全程服务，包括但不限于处理选课数据、督学、在线客服、助教团队服务、统计分析学习质量；</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4.开课/结课的所有对接服务：</w:t>
            </w:r>
            <w:r>
              <w:rPr>
                <w:rFonts w:hint="eastAsia" w:ascii="仿宋_GB2312" w:hAnsi="仿宋_GB2312" w:eastAsia="仿宋_GB2312" w:cs="仿宋_GB2312"/>
                <w:color w:val="000000"/>
                <w:sz w:val="28"/>
                <w:szCs w:val="28"/>
                <w:lang w:val="en-US" w:eastAsia="zh-CN"/>
              </w:rPr>
              <w:t>按学校要求及时进行</w:t>
            </w:r>
            <w:r>
              <w:rPr>
                <w:rFonts w:hint="eastAsia" w:ascii="仿宋_GB2312" w:hAnsi="仿宋_GB2312" w:eastAsia="仿宋_GB2312" w:cs="仿宋_GB2312"/>
                <w:color w:val="000000"/>
                <w:sz w:val="28"/>
                <w:szCs w:val="28"/>
              </w:rPr>
              <w:t>学生信息处理、学习成绩及学分的导入/导出；</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5.学生学习进度监控、课程访问统计分析；</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6.在线客服解决学生、管理员、辅导老师使用问题；学生学习的导学、督学（短信、电话、邮件）服务；</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7.平台监控、系统维护；</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8.学习进程中对学习情况进行问卷调查分析，了解学生感受和意见；</w:t>
            </w:r>
          </w:p>
          <w:p>
            <w:pPr>
              <w:snapToGrid w:val="0"/>
              <w:spacing w:line="360" w:lineRule="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七、平台功能要求</w:t>
            </w:r>
          </w:p>
          <w:p>
            <w:pPr>
              <w:snapToGrid w:val="0"/>
              <w:spacing w:line="360" w:lineRule="auto"/>
              <w:outlineLvl w:val="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1.学校教学管理功能要求</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1.1提供学校专属站点和域名，支持定制学校个性化课程网站，学生可通过个性化网站进行登录。</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1.2站点数据独立存储、独立维护，保障各学校站点之间互不冲突。所有数据实时备份，保障数据安全。</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1.3支持各站点更新维护，并保证更新维护不影响数据。</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1.4实现统一用户授权和单点登录，支持直接用教务系统账号、密码登录。</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1.5设置管理员、教师、学生三个用户角色并赋予不同用户权限：管理员可以添加、编辑、锁定、删除二级管理员、教师和学生账号；可以模拟教师和学生登录；教师可以在课程下添加和删除学生，后台数据同步更新。</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1.6支持学生在教务系统选课，再将选课数据导入平台。</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支持在平台上自主选课，学校可以根据需要限定每人选课门数、学分数上限以及每门课程选课人数上限。支持学生选课前试听课程。支持限时退选，教师可设置是否自主选课，是否允许退选。平台支持必修课直接导入。</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1.8管理员、教师有权自主设置本校课程开课、结课时间。有权对课程、</w:t>
            </w:r>
            <w:r>
              <w:rPr>
                <w:rFonts w:hint="eastAsia" w:ascii="仿宋_GB2312" w:hAnsi="仿宋_GB2312" w:eastAsia="仿宋_GB2312" w:cs="仿宋_GB2312"/>
                <w:color w:val="000000"/>
                <w:sz w:val="28"/>
                <w:szCs w:val="28"/>
                <w:lang w:eastAsia="zh-CN"/>
              </w:rPr>
              <w:t>通识教育广场</w:t>
            </w:r>
            <w:r>
              <w:rPr>
                <w:rFonts w:hint="eastAsia" w:ascii="仿宋_GB2312" w:hAnsi="仿宋_GB2312" w:eastAsia="仿宋_GB2312" w:cs="仿宋_GB2312"/>
                <w:color w:val="000000"/>
                <w:sz w:val="28"/>
                <w:szCs w:val="28"/>
              </w:rPr>
              <w:t>内容进行增加或修改。</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1.9平台支持学生信息数据的统一导入与学习成绩的统一导出，提供数据模板。</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1.10考核包含视频、作业、考试、在线阅读多个维度，要求能根据学校需要统一设置，也能根据不同课程分别设置。</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1.11平台支持对助教教师及学生的行为进行记录与分析。包括学生使用各模块学习的时间分配、学习次数，学生学习教学资料、参与辅助教学的情况汇总；提供教师工作行为记录分析，包括教师使用各模块教学的时间分配、教学次数。</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1.12采用多种手段对某一课程的教学效果进行在线实时统计，对班级成绩进行统计分析，对教师、学生行为进行统计分析，支持表单和图表样式显示结果，可以导出统计结果。</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1.13支持课程评价与问卷调查功能。</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1.14平台支持人脸识别功能。在学生学习过程中，根据课程任务点数量，随机弹出数次人脸识别要求，引导学生做指定动作，识别身份。</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1.15平台服务于课程，需要对学生学习过程进行严格控制，防止视频拖拽，防止视频跳集，实现当前桌面监测，打开其他无关程序视频就会停止；</w:t>
            </w:r>
          </w:p>
          <w:p>
            <w:pPr>
              <w:snapToGrid w:val="0"/>
              <w:spacing w:line="360" w:lineRule="auto"/>
              <w:outlineLvl w:val="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2.学生在线学习要求</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2.1课程视频需支持闯关式教学。学生必须完成当前任务后方可进入下一环节。系统还需支持一键式取消闯关模式，在取消闯关模式后学生可自由进行学习。</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2.2课程支持复习模式，允许学生自由学习。</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2.3学生在线学习课程时需支持进度记忆，支持防止拖拽、防止跳集观看，支持当前活动窗口探测、防止观看课程时进行其他活动。系统支持取消防拖拽、防跳集、当前窗口探测等功能；支持长时间无活动自动停止播放。</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2.4支持课程视频中插入考题，学生必需回答正确才可继续观看。</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2.5支持在线考试功能，在线考试需支持人脸识别等防作弊功能。</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2.6设置答疑模块，由教师决定是否开放。如开放，则允许学生进入答疑专区，由专人回答学生疑问。</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2.7支持学生进行在线电子书阅读，可对接学校数字图书馆，允许学生自主拓展学习。</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2.8课程支持直播和拓展阅读的功能，并能将这两项纳入学生考核体系。</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2.9</w:t>
            </w:r>
            <w:r>
              <w:rPr>
                <w:rFonts w:hint="eastAsia" w:ascii="仿宋_GB2312" w:hAnsi="仿宋_GB2312" w:eastAsia="仿宋_GB2312" w:cs="仿宋_GB2312"/>
                <w:color w:val="000000"/>
                <w:sz w:val="28"/>
                <w:szCs w:val="28"/>
                <w:lang w:eastAsia="zh-CN"/>
              </w:rPr>
              <w:t>通识教育广场</w:t>
            </w:r>
            <w:r>
              <w:rPr>
                <w:rFonts w:hint="eastAsia" w:ascii="仿宋_GB2312" w:hAnsi="仿宋_GB2312" w:eastAsia="仿宋_GB2312" w:cs="仿宋_GB2312"/>
                <w:color w:val="000000"/>
                <w:sz w:val="28"/>
                <w:szCs w:val="28"/>
              </w:rPr>
              <w:t>知识点支持搜索功能，允许学生对知识点进行搜索。</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2.10</w:t>
            </w:r>
            <w:r>
              <w:rPr>
                <w:rFonts w:hint="eastAsia" w:ascii="仿宋_GB2312" w:hAnsi="仿宋_GB2312" w:eastAsia="仿宋_GB2312" w:cs="仿宋_GB2312"/>
                <w:color w:val="000000"/>
                <w:sz w:val="28"/>
                <w:szCs w:val="28"/>
                <w:lang w:eastAsia="zh-CN"/>
              </w:rPr>
              <w:t>通识教育广场</w:t>
            </w:r>
            <w:r>
              <w:rPr>
                <w:rFonts w:hint="eastAsia" w:ascii="仿宋_GB2312" w:hAnsi="仿宋_GB2312" w:eastAsia="仿宋_GB2312" w:cs="仿宋_GB2312"/>
                <w:color w:val="000000"/>
                <w:sz w:val="28"/>
                <w:szCs w:val="28"/>
              </w:rPr>
              <w:t>支持查看人气知识点、推荐知识点。</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2.11</w:t>
            </w:r>
            <w:r>
              <w:rPr>
                <w:rFonts w:hint="eastAsia" w:ascii="仿宋_GB2312" w:hAnsi="仿宋_GB2312" w:eastAsia="仿宋_GB2312" w:cs="仿宋_GB2312"/>
                <w:color w:val="000000"/>
                <w:sz w:val="28"/>
                <w:szCs w:val="28"/>
                <w:lang w:eastAsia="zh-CN"/>
              </w:rPr>
              <w:t>通识教育广场</w:t>
            </w:r>
            <w:r>
              <w:rPr>
                <w:rFonts w:hint="eastAsia" w:ascii="仿宋_GB2312" w:hAnsi="仿宋_GB2312" w:eastAsia="仿宋_GB2312" w:cs="仿宋_GB2312"/>
                <w:color w:val="000000"/>
                <w:sz w:val="28"/>
                <w:szCs w:val="28"/>
              </w:rPr>
              <w:t>积分相关数据及规定需允许学生随时查看。查看内容包括积分规则、累计总积分、今日积分、已累积学习天数、个人积分明细。</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2.12</w:t>
            </w:r>
            <w:r>
              <w:rPr>
                <w:rFonts w:hint="eastAsia" w:ascii="仿宋_GB2312" w:hAnsi="仿宋_GB2312" w:eastAsia="仿宋_GB2312" w:cs="仿宋_GB2312"/>
                <w:color w:val="000000"/>
                <w:sz w:val="28"/>
                <w:szCs w:val="28"/>
                <w:lang w:eastAsia="zh-CN"/>
              </w:rPr>
              <w:t>通识教育广场</w:t>
            </w:r>
            <w:r>
              <w:rPr>
                <w:rFonts w:hint="eastAsia" w:ascii="仿宋_GB2312" w:hAnsi="仿宋_GB2312" w:eastAsia="仿宋_GB2312" w:cs="仿宋_GB2312"/>
                <w:color w:val="000000"/>
                <w:sz w:val="28"/>
                <w:szCs w:val="28"/>
              </w:rPr>
              <w:t>支持学生查看个人学习记录，包括该次学习记录对应的知识点名称、学习时间、学习进度，方便学生随时继续学习或进行复习。</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2.13</w:t>
            </w:r>
            <w:r>
              <w:rPr>
                <w:rFonts w:hint="eastAsia" w:ascii="仿宋_GB2312" w:hAnsi="仿宋_GB2312" w:eastAsia="仿宋_GB2312" w:cs="仿宋_GB2312"/>
                <w:color w:val="000000"/>
                <w:sz w:val="28"/>
                <w:szCs w:val="28"/>
                <w:lang w:eastAsia="zh-CN"/>
              </w:rPr>
              <w:t>通识教育广场</w:t>
            </w:r>
            <w:r>
              <w:rPr>
                <w:rFonts w:hint="eastAsia" w:ascii="仿宋_GB2312" w:hAnsi="仿宋_GB2312" w:eastAsia="仿宋_GB2312" w:cs="仿宋_GB2312"/>
                <w:color w:val="000000"/>
                <w:sz w:val="28"/>
                <w:szCs w:val="28"/>
              </w:rPr>
              <w:t>学习完一个知识点后，系统应根据学生所学知识点内容，推荐2个以上相关知识点供学生选择学习。</w:t>
            </w:r>
          </w:p>
          <w:p>
            <w:pPr>
              <w:snapToGrid w:val="0"/>
              <w:spacing w:line="360" w:lineRule="auto"/>
              <w:outlineLvl w:val="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3.教师教学管理功能要求</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3.1教师可发布各种通知，并实时推送到学生的各个终端；系统自动反馈通知阅读情况，教师可在线查看。</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3.2需灵活支持选课学生增删改操作。</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3.3教师可设置课程的发布模式：包括闯关教学模式与自由学习模式，还可选择一次性发布学习任务和分批自动发布学习任务。</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3.4课程可以无缝链接到学校图书馆资源，可根据课程需要向学生推送相关学习资料。</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3.5教师可以选择部分文档进行分享，作为参考资料。</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3.6课程中，除了平台自带题库外，需支持教师自己出题，进行发布考核，并纳入考核方案，所有习题自动生成题库。支持题库批量上传和下载。</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3.7课程中，教师可在线组卷并发布考试，支持线上试卷导出打印。</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3.8课程中，支持客观题在线自动批阅，主观题人工批阅。</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3.9支持根据考核标准进行成绩自动统计。</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3.10教学结束后支持课程归档。</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3.11支持自助式考试与机房统一考试，机房统一考试提供客户端系统，并提供成功实施机房统一考试案例，不少于三家。</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3.12支持教师在线查看数据统计，包括课程信息总览、每名学生学习详情、课程访问曲线、各项进度和成绩，支持成绩导出和线下成绩导入。</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3.13</w:t>
            </w:r>
            <w:r>
              <w:rPr>
                <w:rFonts w:hint="eastAsia" w:ascii="仿宋_GB2312" w:hAnsi="仿宋_GB2312" w:eastAsia="仿宋_GB2312" w:cs="仿宋_GB2312"/>
                <w:color w:val="000000"/>
                <w:sz w:val="28"/>
                <w:szCs w:val="28"/>
                <w:lang w:eastAsia="zh-CN"/>
              </w:rPr>
              <w:t>通识教育广场</w:t>
            </w:r>
            <w:r>
              <w:rPr>
                <w:rFonts w:hint="eastAsia" w:ascii="仿宋_GB2312" w:hAnsi="仿宋_GB2312" w:eastAsia="仿宋_GB2312" w:cs="仿宋_GB2312"/>
                <w:color w:val="000000"/>
                <w:sz w:val="28"/>
                <w:szCs w:val="28"/>
              </w:rPr>
              <w:t>中，教师可根据自身需求，将特定知识点设置为推荐知识点，引导学生学习。</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3.14</w:t>
            </w:r>
            <w:r>
              <w:rPr>
                <w:rFonts w:hint="eastAsia" w:ascii="仿宋_GB2312" w:hAnsi="仿宋_GB2312" w:eastAsia="仿宋_GB2312" w:cs="仿宋_GB2312"/>
                <w:color w:val="000000"/>
                <w:sz w:val="28"/>
                <w:szCs w:val="28"/>
                <w:lang w:eastAsia="zh-CN"/>
              </w:rPr>
              <w:t>通识教育广场</w:t>
            </w:r>
            <w:r>
              <w:rPr>
                <w:rFonts w:hint="eastAsia" w:ascii="仿宋_GB2312" w:hAnsi="仿宋_GB2312" w:eastAsia="仿宋_GB2312" w:cs="仿宋_GB2312"/>
                <w:color w:val="000000"/>
                <w:sz w:val="28"/>
                <w:szCs w:val="28"/>
              </w:rPr>
              <w:t>中，为了引导学生合理选择学习形式，管控学习进度，教师需有权在专用后台设置只适用于本校的总积分、视频观看时长总积分、阅读时长总积分、测验题答题总积分的最低值，以及每日获得总积分、笔记每日积分、讨论每日积分的最大值。</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3.15</w:t>
            </w:r>
            <w:r>
              <w:rPr>
                <w:rFonts w:hint="eastAsia" w:ascii="仿宋_GB2312" w:hAnsi="仿宋_GB2312" w:eastAsia="仿宋_GB2312" w:cs="仿宋_GB2312"/>
                <w:color w:val="000000"/>
                <w:sz w:val="28"/>
                <w:szCs w:val="28"/>
                <w:lang w:eastAsia="zh-CN"/>
              </w:rPr>
              <w:t>通识教育广场</w:t>
            </w:r>
            <w:r>
              <w:rPr>
                <w:rFonts w:hint="eastAsia" w:ascii="仿宋_GB2312" w:hAnsi="仿宋_GB2312" w:eastAsia="仿宋_GB2312" w:cs="仿宋_GB2312"/>
                <w:color w:val="000000"/>
                <w:sz w:val="28"/>
                <w:szCs w:val="28"/>
              </w:rPr>
              <w:t>中，教师需有权在专用后台随时对学生个人积分进行查看，并导出相关数据。可查看的积分类型包括但不限于：总积分、登录积分、视频观看积分、阅读积分、讨论积分、笔记积分、总分达标情况。</w:t>
            </w:r>
          </w:p>
          <w:p>
            <w:pPr>
              <w:snapToGrid w:val="0"/>
              <w:spacing w:line="360" w:lineRule="auto"/>
              <w:outlineLvl w:val="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4.PC端学习空间功能要求</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4.1为每个教师与学生提供一个个性化学习空间。</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4.2学习空间可集成各种个性化信息与应用，需提供APP接口。学校或第三方可以开放一些应用放到应用中心，学生和老师可以将其添加到自己的学习空间。</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4.3学习空间应具备以下功能或应用：日程管理、课程管理、PBL教学、资源专题、学习笔记、报刊订阅、个人云盘、小组交流等。</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4.4学习空间需展现学生已经选学的全部课程或教师开设的全部课程。</w:t>
            </w:r>
          </w:p>
          <w:p>
            <w:pPr>
              <w:snapToGrid w:val="0"/>
              <w:spacing w:line="360" w:lineRule="auto"/>
              <w:outlineLvl w:val="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5.移动教学功能要求</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5.1支持iOS和安卓两个平台，支持手机和平板电脑等设备，实现在线移动学习、讨论、答疑、交互等功能。</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5.2移动端与PC端学习进度、学习数据保持同步，教师可以对课程和学生进行统一管理。</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5.3支持手机直播功能，学生可以通过移动端参加网络课程在线直播，并且可以在观看直播的同时，参与教学互动。</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5.4支持在线学习及过程监控，防止拖拽，防止跳集。</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5.5支持在线完成作业、讨论、答疑、考试等操作。</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5.6支持在线阅读相关电子书，同步记录学生的阅读进度，并将阅读计入到考核当中。</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5.7支持混合式教学，需提供的教学工具包括以下所有功能：投票、选人、抢答、讨论、测验、问卷、评分、分组任务、计时器、直播、白板、同步课堂。</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5.8允许教师发放签到，统计上课学生数。签到需包含普通签到、位置签到、手势签到、二维码签到等4种及以上签到模式。</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5.9包含个人移动学习评价系统，根据使用量、笔记量、订阅量、阅读量等进行排名、评级，从而激励学习行为。</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5.10支持手机端统一考试功能。</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5.11支持用户基于学习进行社交，支持学习动态分享，支持跨校交流，支持用户自由组建基于学习或兴趣的小组或社区。</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5.12支持学习笔记管理、编辑、分享，支持笔记文件夹共享，支持相互评论和转发。</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5.13支持媒体资源专题在线制作和订阅。</w:t>
            </w:r>
          </w:p>
          <w:p>
            <w:pPr>
              <w:snapToGrid w:val="0"/>
              <w:spacing w:line="360" w:lineRule="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八、教学质量监管要求</w:t>
            </w:r>
          </w:p>
          <w:p>
            <w:pPr>
              <w:snapToGrid w:val="0"/>
              <w:spacing w:line="360" w:lineRule="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1.可灵活设置课程考核标准。学生成绩构成不仅仅是观看视频和考试，还包括提问、讨论、作业等。</w:t>
            </w:r>
          </w:p>
          <w:p>
            <w:pPr>
              <w:snapToGrid w:val="0"/>
              <w:spacing w:line="360" w:lineRule="auto"/>
              <w:outlineLvl w:val="0"/>
              <w:rPr>
                <w:rFonts w:hint="eastAsia" w:ascii="仿宋_GB2312" w:hAnsi="仿宋_GB2312" w:eastAsia="仿宋_GB2312" w:cs="仿宋_GB2312"/>
                <w:color w:val="000000"/>
                <w:sz w:val="28"/>
                <w:szCs w:val="28"/>
              </w:rPr>
            </w:pPr>
            <w:bookmarkStart w:id="115" w:name="_Toc15683"/>
            <w:bookmarkStart w:id="116" w:name="_Toc8801"/>
            <w:r>
              <w:rPr>
                <w:rFonts w:hint="eastAsia" w:ascii="仿宋_GB2312" w:hAnsi="仿宋_GB2312" w:eastAsia="仿宋_GB2312" w:cs="仿宋_GB2312"/>
                <w:color w:val="000000"/>
                <w:sz w:val="28"/>
                <w:szCs w:val="28"/>
              </w:rPr>
              <w:t>2.学习过程管理严格</w:t>
            </w:r>
            <w:bookmarkEnd w:id="115"/>
            <w:bookmarkEnd w:id="116"/>
            <w:r>
              <w:rPr>
                <w:rFonts w:hint="eastAsia" w:ascii="仿宋_GB2312" w:hAnsi="仿宋_GB2312" w:eastAsia="仿宋_GB2312" w:cs="仿宋_GB2312"/>
                <w:color w:val="000000"/>
                <w:sz w:val="28"/>
                <w:szCs w:val="28"/>
              </w:rPr>
              <w:t>。能精确记录学生观看课程视频、提交作业、参与课程讨论、参与课程答疑、参加课程考试的学习行为。</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使用定制播放器，通过后台不间断扫描，对于长时间无操作行为的，平台自动停止，同时限制学生跳集观看、拖动等行为。在学习完一个课时之后必须在线完成作业，系统才会自动解锁下一个视频，学生方可进入下一课时的学习。学习完所有视频内容并完成作业，可进入网上在线考试环节。</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4.专业的助教团队负责学生参考咨询服务，学生可以在平台上提出本人的学业疑惑，提问和自学相结合，逐步培养和提升学生的素养。学生提出的问题，将在24小时内得到认真的回复</w:t>
            </w:r>
            <w:bookmarkStart w:id="117" w:name="_Toc20930"/>
            <w:bookmarkStart w:id="118" w:name="_Toc20127"/>
            <w:r>
              <w:rPr>
                <w:rFonts w:hint="eastAsia" w:ascii="仿宋_GB2312" w:hAnsi="仿宋_GB2312" w:eastAsia="仿宋_GB2312" w:cs="仿宋_GB2312"/>
                <w:color w:val="000000"/>
                <w:sz w:val="28"/>
                <w:szCs w:val="28"/>
              </w:rPr>
              <w:t>。</w:t>
            </w:r>
          </w:p>
          <w:p>
            <w:pPr>
              <w:snapToGrid w:val="0"/>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bCs/>
                <w:color w:val="000000"/>
                <w:sz w:val="28"/>
                <w:szCs w:val="28"/>
              </w:rPr>
              <w:t>5</w:t>
            </w:r>
            <w:r>
              <w:rPr>
                <w:rFonts w:hint="eastAsia" w:ascii="仿宋_GB2312" w:hAnsi="仿宋_GB2312" w:eastAsia="仿宋_GB2312" w:cs="仿宋_GB2312"/>
                <w:color w:val="000000"/>
                <w:sz w:val="28"/>
                <w:szCs w:val="28"/>
              </w:rPr>
              <w:t>.可对学生所完成的教学活动质量进行评价（包括：提问、讨论、考试、作业等）</w:t>
            </w:r>
            <w:bookmarkEnd w:id="117"/>
            <w:bookmarkEnd w:id="118"/>
            <w:r>
              <w:rPr>
                <w:rFonts w:hint="eastAsia" w:ascii="仿宋_GB2312" w:hAnsi="仿宋_GB2312" w:eastAsia="仿宋_GB2312" w:cs="仿宋_GB2312"/>
                <w:color w:val="000000"/>
                <w:sz w:val="28"/>
                <w:szCs w:val="28"/>
              </w:rPr>
              <w:t>。观看视频、课程作业、提问、讨论和考试等环节要贯穿整个课程学习，确保在课程学习整个阶段能够不断对学生学习进度、学习质量进行考核、评价和督促。</w:t>
            </w:r>
          </w:p>
          <w:p>
            <w:pPr>
              <w:snapToGrid w:val="0"/>
              <w:spacing w:line="360" w:lineRule="auto"/>
              <w:outlineLvl w:val="0"/>
              <w:rPr>
                <w:rFonts w:hint="eastAsia" w:ascii="仿宋_GB2312" w:hAnsi="仿宋_GB2312" w:eastAsia="仿宋_GB2312" w:cs="仿宋_GB2312"/>
                <w:color w:val="000000"/>
                <w:sz w:val="28"/>
                <w:szCs w:val="28"/>
              </w:rPr>
            </w:pPr>
            <w:bookmarkStart w:id="119" w:name="_Toc31297"/>
            <w:bookmarkStart w:id="120" w:name="_Toc23538"/>
            <w:r>
              <w:rPr>
                <w:rFonts w:hint="eastAsia" w:ascii="仿宋_GB2312" w:hAnsi="仿宋_GB2312" w:eastAsia="仿宋_GB2312" w:cs="仿宋_GB2312"/>
                <w:bCs/>
                <w:color w:val="000000"/>
                <w:sz w:val="28"/>
                <w:szCs w:val="28"/>
              </w:rPr>
              <w:t>6</w:t>
            </w:r>
            <w:r>
              <w:rPr>
                <w:rFonts w:hint="eastAsia" w:ascii="仿宋_GB2312" w:hAnsi="仿宋_GB2312" w:eastAsia="仿宋_GB2312" w:cs="仿宋_GB2312"/>
                <w:color w:val="000000"/>
                <w:sz w:val="28"/>
                <w:szCs w:val="28"/>
              </w:rPr>
              <w:t>.作业与考试题库定期更新</w:t>
            </w:r>
            <w:bookmarkEnd w:id="119"/>
            <w:bookmarkEnd w:id="120"/>
            <w:r>
              <w:rPr>
                <w:rFonts w:hint="eastAsia" w:ascii="仿宋_GB2312" w:hAnsi="仿宋_GB2312" w:eastAsia="仿宋_GB2312" w:cs="仿宋_GB2312"/>
                <w:color w:val="000000"/>
                <w:sz w:val="28"/>
                <w:szCs w:val="28"/>
              </w:rPr>
              <w:t>。作业与考试题库保持定期更新，降低随机组题重复率。要求允许教师根据教学单元及教学目标要求上传自建的作业和考试题目，可编辑设定其基本属性，比如题目内容、题目要求、参考资料、适用对象、题目难度等。最终通过客观、准确的数字统计，公平公正地考核学生的学习成绩，并最终给出能否获取课程学分的裁定。</w:t>
            </w:r>
          </w:p>
          <w:p>
            <w:pPr>
              <w:snapToGrid w:val="0"/>
              <w:spacing w:line="360" w:lineRule="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九、售后服务要求</w:t>
            </w:r>
          </w:p>
          <w:p>
            <w:pPr>
              <w:snapToGrid w:val="0"/>
              <w:spacing w:line="360" w:lineRule="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1.免费安装课程学习所需的控制程序、课程资源等，并为甲方技术人员提供相关培训。</w:t>
            </w:r>
          </w:p>
          <w:p>
            <w:pPr>
              <w:snapToGrid w:val="0"/>
              <w:spacing w:line="360" w:lineRule="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2.对提供的所有产品提供全面的技术支持、咨询服务；根据用户方用户的具体要求，提供灵活的有针对性的支持与指导。</w:t>
            </w:r>
          </w:p>
          <w:p>
            <w:pPr>
              <w:snapToGrid w:val="0"/>
              <w:spacing w:line="360" w:lineRule="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3.提供专门的网站在线客服，对系统维护、使用中的一些问题进行及时的指导。为用户提供7*24小时问题接收服务</w:t>
            </w:r>
            <w:bookmarkStart w:id="121" w:name="_Toc12744"/>
            <w:r>
              <w:rPr>
                <w:rFonts w:hint="eastAsia" w:ascii="仿宋_GB2312" w:hAnsi="仿宋_GB2312" w:eastAsia="仿宋_GB2312" w:cs="仿宋_GB2312"/>
                <w:color w:val="000000"/>
                <w:sz w:val="28"/>
                <w:szCs w:val="28"/>
              </w:rPr>
              <w:t>。</w:t>
            </w:r>
          </w:p>
          <w:p>
            <w:pPr>
              <w:snapToGrid w:val="0"/>
              <w:spacing w:line="360" w:lineRule="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4.对于软件故障，</w:t>
            </w:r>
            <w:r>
              <w:rPr>
                <w:rFonts w:hint="eastAsia" w:ascii="仿宋_GB2312" w:hAnsi="仿宋_GB2312" w:eastAsia="仿宋_GB2312" w:cs="仿宋_GB2312"/>
                <w:color w:val="000000"/>
                <w:sz w:val="28"/>
                <w:szCs w:val="28"/>
                <w:lang w:eastAsia="zh-CN"/>
              </w:rPr>
              <w:t>投标人</w:t>
            </w:r>
            <w:r>
              <w:rPr>
                <w:rFonts w:hint="eastAsia" w:ascii="仿宋_GB2312" w:hAnsi="仿宋_GB2312" w:eastAsia="仿宋_GB2312" w:cs="仿宋_GB2312"/>
                <w:color w:val="000000"/>
                <w:sz w:val="28"/>
                <w:szCs w:val="28"/>
              </w:rPr>
              <w:t>在接到故障通知2个小时内给予解答。如电话支持无法解决，则在2小时内做出响应，答复排除故障的策略。</w:t>
            </w:r>
            <w:bookmarkEnd w:id="121"/>
            <w:r>
              <w:rPr>
                <w:rFonts w:hint="eastAsia" w:ascii="仿宋_GB2312" w:hAnsi="仿宋_GB2312" w:eastAsia="仿宋_GB2312" w:cs="仿宋_GB2312"/>
                <w:color w:val="000000"/>
                <w:sz w:val="28"/>
                <w:szCs w:val="28"/>
              </w:rPr>
              <w:t>遇到重大技术问题，</w:t>
            </w:r>
            <w:r>
              <w:rPr>
                <w:rFonts w:hint="eastAsia" w:ascii="仿宋_GB2312" w:hAnsi="仿宋_GB2312" w:eastAsia="仿宋_GB2312" w:cs="仿宋_GB2312"/>
                <w:color w:val="000000"/>
                <w:sz w:val="28"/>
                <w:szCs w:val="28"/>
                <w:lang w:eastAsia="zh-CN"/>
              </w:rPr>
              <w:t>投标人</w:t>
            </w:r>
            <w:r>
              <w:rPr>
                <w:rFonts w:hint="eastAsia" w:ascii="仿宋_GB2312" w:hAnsi="仿宋_GB2312" w:eastAsia="仿宋_GB2312" w:cs="仿宋_GB2312"/>
                <w:color w:val="000000"/>
                <w:sz w:val="28"/>
                <w:szCs w:val="28"/>
              </w:rPr>
              <w:t>将及时组织有关技术专家进行会诊，并采取相应措施确保系统在8小时内恢复运行。</w:t>
            </w:r>
          </w:p>
        </w:tc>
        <w:tc>
          <w:tcPr>
            <w:tcW w:w="524" w:type="dxa"/>
            <w:tcBorders>
              <w:top w:val="single" w:color="000000" w:sz="4" w:space="0"/>
              <w:left w:val="nil"/>
              <w:bottom w:val="single" w:color="000000" w:sz="4" w:space="0"/>
              <w:right w:val="single" w:color="auto" w:sz="4" w:space="0"/>
            </w:tcBorders>
            <w:noWrap w:val="0"/>
            <w:vAlign w:val="center"/>
          </w:tcPr>
          <w:p>
            <w:pPr>
              <w:widowControl/>
              <w:snapToGrid w:val="0"/>
              <w:spacing w:line="240" w:lineRule="atLeas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577" w:type="dxa"/>
            <w:tcBorders>
              <w:top w:val="single" w:color="000000" w:sz="4" w:space="0"/>
              <w:left w:val="single" w:color="auto" w:sz="4" w:space="0"/>
              <w:bottom w:val="single" w:color="000000" w:sz="4" w:space="0"/>
              <w:right w:val="single" w:color="000000" w:sz="4" w:space="0"/>
            </w:tcBorders>
            <w:noWrap w:val="0"/>
            <w:vAlign w:val="center"/>
          </w:tcPr>
          <w:p>
            <w:pPr>
              <w:widowControl/>
              <w:snapToGrid w:val="0"/>
              <w:spacing w:line="240" w:lineRule="atLeast"/>
              <w:ind w:left="360" w:hanging="36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套</w:t>
            </w:r>
          </w:p>
        </w:tc>
      </w:tr>
    </w:tbl>
    <w:p>
      <w:pPr>
        <w:spacing w:line="560" w:lineRule="exact"/>
        <w:jc w:val="left"/>
        <w:rPr>
          <w:rFonts w:hint="eastAsia" w:ascii="仿宋_GB2312" w:hAnsi="仿宋" w:eastAsia="仿宋_GB2312"/>
          <w:sz w:val="28"/>
          <w:szCs w:val="28"/>
        </w:rPr>
      </w:pPr>
    </w:p>
    <w:p>
      <w:pPr>
        <w:spacing w:line="56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（2）商务要求</w:t>
      </w:r>
    </w:p>
    <w:p>
      <w:pPr>
        <w:spacing w:line="560" w:lineRule="exact"/>
        <w:ind w:firstLine="560" w:firstLineChars="200"/>
        <w:rPr>
          <w:rFonts w:hint="eastAsia" w:ascii="仿宋" w:hAnsi="仿宋" w:eastAsia="仿宋"/>
          <w:i w:val="0"/>
          <w:iCs/>
          <w:sz w:val="28"/>
          <w:szCs w:val="28"/>
          <w:u w:val="none"/>
          <w:lang w:val="en-US" w:eastAsia="zh-CN"/>
        </w:rPr>
      </w:pPr>
      <w:r>
        <w:rPr>
          <w:rFonts w:hint="eastAsia" w:ascii="仿宋" w:hAnsi="仿宋" w:eastAsia="仿宋"/>
          <w:i w:val="0"/>
          <w:iCs/>
          <w:sz w:val="28"/>
          <w:szCs w:val="28"/>
          <w:u w:val="none"/>
          <w:lang w:val="en-US" w:eastAsia="zh-CN"/>
        </w:rPr>
        <w:t>1.服务地点：皖南医学院，采购人指定地点。</w:t>
      </w:r>
    </w:p>
    <w:p>
      <w:pPr>
        <w:spacing w:line="560" w:lineRule="exact"/>
        <w:ind w:firstLine="560" w:firstLineChars="200"/>
        <w:rPr>
          <w:rFonts w:hint="eastAsia" w:ascii="仿宋" w:hAnsi="仿宋" w:eastAsia="仿宋"/>
          <w:i w:val="0"/>
          <w:iCs/>
          <w:sz w:val="28"/>
          <w:szCs w:val="28"/>
          <w:u w:val="none"/>
          <w:lang w:val="en-US" w:eastAsia="zh-CN"/>
        </w:rPr>
      </w:pPr>
      <w:r>
        <w:rPr>
          <w:rFonts w:hint="eastAsia" w:ascii="仿宋" w:hAnsi="仿宋" w:eastAsia="仿宋"/>
          <w:i w:val="0"/>
          <w:iCs/>
          <w:sz w:val="28"/>
          <w:szCs w:val="28"/>
          <w:u w:val="none"/>
          <w:lang w:val="en-US" w:eastAsia="zh-CN"/>
        </w:rPr>
        <w:t>2.服务期：合同一年一签，每年对服务内容进行考核，考核不合格，甲方有权终止合同；考核合格后，续签下一年合同。</w:t>
      </w:r>
    </w:p>
    <w:p>
      <w:pPr>
        <w:spacing w:line="560" w:lineRule="exact"/>
        <w:ind w:firstLine="560" w:firstLineChars="200"/>
        <w:rPr>
          <w:rFonts w:hint="eastAsia" w:ascii="仿宋" w:hAnsi="仿宋" w:eastAsia="仿宋"/>
          <w:i w:val="0"/>
          <w:iCs/>
          <w:sz w:val="28"/>
          <w:szCs w:val="28"/>
          <w:u w:val="none"/>
          <w:lang w:val="en-US" w:eastAsia="zh-CN"/>
        </w:rPr>
      </w:pPr>
      <w:r>
        <w:rPr>
          <w:rFonts w:hint="eastAsia" w:ascii="仿宋" w:hAnsi="仿宋" w:eastAsia="仿宋"/>
          <w:i w:val="0"/>
          <w:iCs/>
          <w:sz w:val="28"/>
          <w:szCs w:val="28"/>
          <w:u w:val="none"/>
          <w:lang w:val="en-US" w:eastAsia="zh-CN"/>
        </w:rPr>
        <w:t>3.付款方式：验收合格后，按年度一次性支付费用。</w:t>
      </w:r>
    </w:p>
    <w:p>
      <w:pPr>
        <w:spacing w:line="5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lang w:val="en-US" w:eastAsia="zh-CN"/>
        </w:rPr>
        <w:t>4</w:t>
      </w:r>
      <w:r>
        <w:rPr>
          <w:rFonts w:hint="eastAsia" w:ascii="仿宋_GB2312" w:hAnsi="仿宋" w:eastAsia="仿宋_GB2312"/>
          <w:sz w:val="28"/>
          <w:szCs w:val="28"/>
        </w:rPr>
        <w:t>.投标单位对在工作过程中接触到的校方的任何资料、文件、数据（无论是书面的还是电子的），以及对为校方服务形成的任何交付物，负有为校方保密的责任，未经校方书面同意，投标单位不得以任何方式向任何第三方提供或透露，否则招标人有权追究中标人经济和法律责任，要求中标进行经济赔偿和消除不良社会影响。</w:t>
      </w:r>
    </w:p>
    <w:p>
      <w:pPr>
        <w:spacing w:line="560" w:lineRule="exact"/>
        <w:ind w:firstLine="560" w:firstLineChars="200"/>
        <w:rPr>
          <w:rFonts w:hint="eastAsia" w:ascii="仿宋_GB2312" w:hAnsi="仿宋" w:eastAsia="仿宋_GB2312" w:cs="Times New Roman"/>
          <w:sz w:val="28"/>
          <w:szCs w:val="28"/>
        </w:rPr>
      </w:pPr>
      <w:r>
        <w:rPr>
          <w:rFonts w:hint="eastAsia" w:ascii="仿宋_GB2312" w:hAnsi="仿宋" w:eastAsia="仿宋_GB2312" w:cs="Times New Roman"/>
          <w:sz w:val="28"/>
          <w:szCs w:val="28"/>
          <w:lang w:val="en-US" w:eastAsia="zh-CN"/>
        </w:rPr>
        <w:t>5</w:t>
      </w:r>
      <w:r>
        <w:rPr>
          <w:rFonts w:hint="eastAsia" w:ascii="仿宋_GB2312" w:hAnsi="仿宋" w:eastAsia="仿宋_GB2312" w:cs="Times New Roman"/>
          <w:sz w:val="28"/>
          <w:szCs w:val="28"/>
        </w:rPr>
        <w:t>.未尽事宜，由双方协商解决。</w:t>
      </w:r>
    </w:p>
    <w:p>
      <w:pPr>
        <w:jc w:val="left"/>
        <w:rPr>
          <w:rFonts w:hint="eastAsia" w:ascii="宋体" w:hAnsi="宋体"/>
          <w:b/>
          <w:sz w:val="28"/>
          <w:szCs w:val="28"/>
        </w:rPr>
      </w:pPr>
    </w:p>
    <w:p>
      <w:pPr>
        <w:rPr>
          <w:rFonts w:hint="eastAsia" w:ascii="华文中宋" w:hAnsi="华文中宋" w:eastAsia="华文中宋"/>
          <w:color w:val="000000" w:themeColor="text1"/>
          <w:sz w:val="28"/>
          <w:szCs w:val="28"/>
          <w14:textFill>
            <w14:solidFill>
              <w14:schemeClr w14:val="tx1"/>
            </w14:solidFill>
          </w14:textFill>
        </w:rPr>
      </w:pPr>
    </w:p>
    <w:p>
      <w:pPr>
        <w:pStyle w:val="2"/>
        <w:rPr>
          <w:rFonts w:hint="eastAsia" w:ascii="华文中宋" w:hAnsi="华文中宋" w:eastAsia="华文中宋"/>
          <w:color w:val="000000" w:themeColor="text1"/>
          <w:sz w:val="28"/>
          <w:szCs w:val="28"/>
          <w14:textFill>
            <w14:solidFill>
              <w14:schemeClr w14:val="tx1"/>
            </w14:solidFill>
          </w14:textFill>
        </w:rPr>
      </w:pPr>
    </w:p>
    <w:p>
      <w:pPr>
        <w:pStyle w:val="2"/>
        <w:rPr>
          <w:rFonts w:hint="eastAsia" w:ascii="华文中宋" w:hAnsi="华文中宋" w:eastAsia="华文中宋"/>
          <w:color w:val="000000" w:themeColor="text1"/>
          <w:sz w:val="28"/>
          <w:szCs w:val="28"/>
          <w14:textFill>
            <w14:solidFill>
              <w14:schemeClr w14:val="tx1"/>
            </w14:solidFill>
          </w14:textFill>
        </w:rPr>
      </w:pPr>
    </w:p>
    <w:p>
      <w:pPr>
        <w:pStyle w:val="2"/>
        <w:rPr>
          <w:rFonts w:hint="eastAsia" w:ascii="华文中宋" w:hAnsi="华文中宋" w:eastAsia="华文中宋"/>
          <w:color w:val="000000" w:themeColor="text1"/>
          <w:sz w:val="28"/>
          <w:szCs w:val="28"/>
          <w14:textFill>
            <w14:solidFill>
              <w14:schemeClr w14:val="tx1"/>
            </w14:solidFill>
          </w14:textFill>
        </w:rPr>
      </w:pPr>
    </w:p>
    <w:p>
      <w:pPr>
        <w:pStyle w:val="2"/>
        <w:rPr>
          <w:rFonts w:hint="eastAsia" w:ascii="华文中宋" w:hAnsi="华文中宋" w:eastAsia="华文中宋"/>
          <w:color w:val="000000" w:themeColor="text1"/>
          <w:sz w:val="28"/>
          <w:szCs w:val="28"/>
          <w14:textFill>
            <w14:solidFill>
              <w14:schemeClr w14:val="tx1"/>
            </w14:solidFill>
          </w14:textFill>
        </w:rPr>
      </w:pPr>
    </w:p>
    <w:p>
      <w:pPr>
        <w:pStyle w:val="2"/>
        <w:rPr>
          <w:rFonts w:hint="eastAsia" w:ascii="华文中宋" w:hAnsi="华文中宋" w:eastAsia="华文中宋"/>
          <w:color w:val="000000" w:themeColor="text1"/>
          <w:sz w:val="28"/>
          <w:szCs w:val="28"/>
          <w14:textFill>
            <w14:solidFill>
              <w14:schemeClr w14:val="tx1"/>
            </w14:solidFill>
          </w14:textFill>
        </w:rPr>
      </w:pPr>
    </w:p>
    <w:p>
      <w:pPr>
        <w:pStyle w:val="2"/>
        <w:rPr>
          <w:rFonts w:hint="eastAsia" w:ascii="华文中宋" w:hAnsi="华文中宋" w:eastAsia="华文中宋"/>
          <w:color w:val="000000" w:themeColor="text1"/>
          <w:sz w:val="28"/>
          <w:szCs w:val="28"/>
          <w14:textFill>
            <w14:solidFill>
              <w14:schemeClr w14:val="tx1"/>
            </w14:solidFill>
          </w14:textFill>
        </w:rPr>
      </w:pPr>
    </w:p>
    <w:p>
      <w:pPr>
        <w:pStyle w:val="2"/>
        <w:rPr>
          <w:rFonts w:hint="eastAsia" w:ascii="华文中宋" w:hAnsi="华文中宋" w:eastAsia="华文中宋"/>
          <w:color w:val="000000" w:themeColor="text1"/>
          <w:sz w:val="28"/>
          <w:szCs w:val="28"/>
          <w14:textFill>
            <w14:solidFill>
              <w14:schemeClr w14:val="tx1"/>
            </w14:solidFill>
          </w14:textFill>
        </w:rPr>
      </w:pPr>
    </w:p>
    <w:p>
      <w:pPr>
        <w:pStyle w:val="2"/>
        <w:rPr>
          <w:rFonts w:hint="eastAsia" w:ascii="华文中宋" w:hAnsi="华文中宋" w:eastAsia="华文中宋"/>
          <w:color w:val="000000" w:themeColor="text1"/>
          <w:sz w:val="28"/>
          <w:szCs w:val="28"/>
          <w14:textFill>
            <w14:solidFill>
              <w14:schemeClr w14:val="tx1"/>
            </w14:solidFill>
          </w14:textFill>
        </w:rPr>
      </w:pPr>
    </w:p>
    <w:p>
      <w:pPr>
        <w:pStyle w:val="2"/>
        <w:rPr>
          <w:rFonts w:hint="eastAsia" w:ascii="华文中宋" w:hAnsi="华文中宋" w:eastAsia="华文中宋"/>
          <w:color w:val="000000" w:themeColor="text1"/>
          <w:sz w:val="28"/>
          <w:szCs w:val="28"/>
          <w14:textFill>
            <w14:solidFill>
              <w14:schemeClr w14:val="tx1"/>
            </w14:solidFill>
          </w14:textFill>
        </w:rPr>
      </w:pPr>
    </w:p>
    <w:p>
      <w:pPr>
        <w:pStyle w:val="2"/>
        <w:rPr>
          <w:rFonts w:hint="eastAsia" w:ascii="华文中宋" w:hAnsi="华文中宋" w:eastAsia="华文中宋"/>
          <w:color w:val="000000" w:themeColor="text1"/>
          <w:sz w:val="28"/>
          <w:szCs w:val="28"/>
          <w14:textFill>
            <w14:solidFill>
              <w14:schemeClr w14:val="tx1"/>
            </w14:solidFill>
          </w14:textFill>
        </w:rPr>
      </w:pPr>
    </w:p>
    <w:p>
      <w:pPr>
        <w:pStyle w:val="3"/>
        <w:snapToGrid w:val="0"/>
        <w:spacing w:before="0" w:after="0"/>
        <w:ind w:left="0" w:leftChars="0" w:firstLine="2242" w:firstLineChars="700"/>
        <w:jc w:val="both"/>
        <w:rPr>
          <w:rFonts w:ascii="华文中宋" w:hAnsi="华文中宋" w:eastAsia="华文中宋"/>
          <w:color w:val="000000" w:themeColor="text1"/>
          <w:sz w:val="32"/>
          <w:szCs w:val="32"/>
          <w14:textFill>
            <w14:solidFill>
              <w14:schemeClr w14:val="tx1"/>
            </w14:solidFill>
          </w14:textFill>
        </w:rPr>
      </w:pPr>
      <w:r>
        <w:rPr>
          <w:rFonts w:hint="eastAsia" w:ascii="华文中宋" w:hAnsi="华文中宋" w:eastAsia="华文中宋"/>
          <w:color w:val="000000" w:themeColor="text1"/>
          <w:sz w:val="32"/>
          <w:szCs w:val="32"/>
          <w14:textFill>
            <w14:solidFill>
              <w14:schemeClr w14:val="tx1"/>
            </w14:solidFill>
          </w14:textFill>
        </w:rPr>
        <w:t>第六章  评分办法和评分细则</w:t>
      </w:r>
      <w:bookmarkEnd w:id="110"/>
      <w:bookmarkEnd w:id="111"/>
    </w:p>
    <w:p>
      <w:pPr>
        <w:adjustRightInd w:val="0"/>
        <w:snapToGrid w:val="0"/>
        <w:spacing w:line="360" w:lineRule="auto"/>
        <w:ind w:firstLine="560" w:firstLineChars="200"/>
        <w:rPr>
          <w:rFonts w:hint="eastAsia" w:ascii="仿宋_GB2312" w:eastAsia="仿宋_GB2312"/>
          <w:sz w:val="28"/>
          <w:szCs w:val="28"/>
        </w:rPr>
      </w:pPr>
      <w:bookmarkStart w:id="122" w:name="_Toc479170305"/>
      <w:bookmarkStart w:id="123" w:name="_Toc516580575"/>
    </w:p>
    <w:p>
      <w:pPr>
        <w:adjustRightInd w:val="0"/>
        <w:snapToGrid w:val="0"/>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一、总则</w:t>
      </w:r>
    </w:p>
    <w:p>
      <w:pPr>
        <w:adjustRightInd w:val="0"/>
        <w:snapToGrid w:val="0"/>
        <w:spacing w:line="360" w:lineRule="auto"/>
        <w:ind w:firstLine="560" w:firstLineChars="200"/>
        <w:rPr>
          <w:rFonts w:hint="eastAsia" w:ascii="仿宋_GB2312" w:eastAsia="仿宋_GB2312"/>
          <w:sz w:val="28"/>
          <w:szCs w:val="28"/>
        </w:rPr>
      </w:pPr>
      <w:r>
        <w:rPr>
          <w:rFonts w:hint="eastAsia" w:ascii="仿宋_GB2312" w:eastAsia="仿宋_GB2312"/>
          <w:sz w:val="28"/>
          <w:szCs w:val="28"/>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pStyle w:val="13"/>
        <w:ind w:left="0" w:leftChars="0" w:firstLine="560" w:firstLineChars="200"/>
        <w:rPr>
          <w:rFonts w:hint="eastAsia" w:ascii="仿宋_GB2312" w:eastAsia="仿宋_GB2312"/>
          <w:sz w:val="28"/>
          <w:szCs w:val="28"/>
        </w:rPr>
      </w:pPr>
      <w:r>
        <w:rPr>
          <w:rFonts w:hint="eastAsia" w:ascii="仿宋_GB2312" w:eastAsia="仿宋_GB2312"/>
          <w:sz w:val="28"/>
          <w:szCs w:val="28"/>
        </w:rPr>
        <w:t>本综合评分环节采用综合评分法，总分为100分。其中：技术（服务）部分</w:t>
      </w:r>
      <w:r>
        <w:rPr>
          <w:rFonts w:hint="eastAsia"/>
          <w:sz w:val="28"/>
          <w:szCs w:val="28"/>
          <w:lang w:val="en-US" w:eastAsia="zh-CN"/>
        </w:rPr>
        <w:t>70</w:t>
      </w:r>
      <w:r>
        <w:rPr>
          <w:rFonts w:hint="eastAsia" w:ascii="仿宋_GB2312" w:eastAsia="仿宋_GB2312"/>
          <w:sz w:val="28"/>
          <w:szCs w:val="28"/>
        </w:rPr>
        <w:t>分，报价部分占</w:t>
      </w:r>
      <w:r>
        <w:rPr>
          <w:rFonts w:hint="eastAsia"/>
          <w:sz w:val="28"/>
          <w:szCs w:val="28"/>
          <w:lang w:val="en-US" w:eastAsia="zh-CN"/>
        </w:rPr>
        <w:t>30</w:t>
      </w:r>
      <w:r>
        <w:rPr>
          <w:rFonts w:hint="eastAsia" w:ascii="仿宋_GB2312" w:eastAsia="仿宋_GB2312"/>
          <w:sz w:val="28"/>
          <w:szCs w:val="28"/>
        </w:rPr>
        <w:t>分，评标委员会按综合得分由高到低顺序，对投标人进行排名。</w:t>
      </w:r>
    </w:p>
    <w:p>
      <w:pPr>
        <w:pStyle w:val="13"/>
        <w:ind w:left="0" w:leftChars="0" w:firstLine="560" w:firstLineChars="200"/>
        <w:rPr>
          <w:rFonts w:hint="eastAsia" w:ascii="仿宋_GB2312" w:eastAsia="仿宋_GB2312"/>
          <w:sz w:val="28"/>
          <w:szCs w:val="28"/>
        </w:rPr>
      </w:pPr>
      <w:r>
        <w:rPr>
          <w:rFonts w:hint="eastAsia" w:ascii="仿宋_GB2312" w:eastAsia="仿宋_GB2312"/>
          <w:sz w:val="28"/>
          <w:szCs w:val="28"/>
        </w:rPr>
        <w:t>投标人评标综合得分=技术（服务）分+报价分。</w:t>
      </w:r>
    </w:p>
    <w:p>
      <w:pPr>
        <w:pStyle w:val="13"/>
        <w:ind w:left="0" w:leftChars="0" w:firstLine="560" w:firstLineChars="200"/>
        <w:rPr>
          <w:rFonts w:hint="eastAsia" w:ascii="仿宋_GB2312" w:eastAsia="仿宋_GB2312"/>
          <w:sz w:val="28"/>
          <w:szCs w:val="28"/>
        </w:rPr>
      </w:pPr>
      <w:r>
        <w:rPr>
          <w:rFonts w:hint="eastAsia" w:ascii="仿宋_GB2312" w:eastAsia="仿宋_GB2312"/>
          <w:sz w:val="28"/>
          <w:szCs w:val="28"/>
        </w:rPr>
        <w:t>技术（服务）分为评标委员会成员对每家投标人的技术（服务）部分和所评分值的算术平均值。</w:t>
      </w:r>
    </w:p>
    <w:p>
      <w:pPr>
        <w:pStyle w:val="13"/>
        <w:ind w:left="0" w:leftChars="0" w:firstLine="560" w:firstLineChars="200"/>
        <w:rPr>
          <w:rFonts w:hint="eastAsia" w:ascii="仿宋_GB2312" w:eastAsia="仿宋_GB2312"/>
          <w:sz w:val="28"/>
          <w:szCs w:val="28"/>
        </w:rPr>
      </w:pPr>
      <w:r>
        <w:rPr>
          <w:rFonts w:hint="eastAsia" w:ascii="仿宋_GB2312" w:eastAsia="仿宋_GB2312"/>
          <w:sz w:val="28"/>
          <w:szCs w:val="28"/>
        </w:rPr>
        <w:t>评标基准报价为满足所有要求的各投标人最低有效报价。</w:t>
      </w:r>
    </w:p>
    <w:p>
      <w:pPr>
        <w:pStyle w:val="13"/>
        <w:ind w:left="0" w:leftChars="0" w:firstLine="560" w:firstLineChars="200"/>
        <w:rPr>
          <w:rFonts w:hint="eastAsia" w:ascii="仿宋_GB2312" w:eastAsia="仿宋_GB2312"/>
          <w:sz w:val="28"/>
          <w:szCs w:val="28"/>
        </w:rPr>
      </w:pPr>
      <w:r>
        <w:rPr>
          <w:rFonts w:hint="eastAsia" w:ascii="仿宋_GB2312" w:eastAsia="仿宋_GB2312"/>
          <w:sz w:val="28"/>
          <w:szCs w:val="28"/>
        </w:rPr>
        <w:t>当综合得分相同时，以其技术（服务）部分得分高的投标人排名靠前。所有得分相同时，则由评标委员会通过随机抽取的方式确定投标人排名顺序。</w:t>
      </w:r>
    </w:p>
    <w:p>
      <w:pPr>
        <w:pStyle w:val="13"/>
        <w:ind w:left="0" w:leftChars="0" w:firstLine="560" w:firstLineChars="200"/>
        <w:rPr>
          <w:rFonts w:hint="eastAsia" w:ascii="仿宋_GB2312" w:eastAsia="仿宋_GB2312"/>
          <w:sz w:val="28"/>
          <w:szCs w:val="28"/>
        </w:rPr>
      </w:pPr>
      <w:r>
        <w:rPr>
          <w:rFonts w:hint="eastAsia" w:ascii="仿宋_GB2312" w:eastAsia="仿宋_GB2312"/>
          <w:sz w:val="28"/>
          <w:szCs w:val="28"/>
        </w:rPr>
        <w:t>所有分数结果保留小数点后2位，第三位四舍五入。</w:t>
      </w:r>
    </w:p>
    <w:p>
      <w:pPr>
        <w:pStyle w:val="13"/>
        <w:ind w:left="0" w:leftChars="0" w:firstLine="560" w:firstLineChars="200"/>
        <w:rPr>
          <w:rFonts w:hint="eastAsia" w:ascii="仿宋_GB2312" w:eastAsia="仿宋_GB2312"/>
          <w:sz w:val="28"/>
          <w:szCs w:val="28"/>
        </w:rPr>
      </w:pPr>
    </w:p>
    <w:p>
      <w:pPr>
        <w:pStyle w:val="13"/>
        <w:ind w:left="0" w:leftChars="0" w:firstLine="0" w:firstLineChars="0"/>
        <w:rPr>
          <w:rFonts w:hint="eastAsia" w:ascii="仿宋_GB2312" w:eastAsia="仿宋_GB2312"/>
          <w:sz w:val="28"/>
          <w:szCs w:val="28"/>
        </w:rPr>
      </w:pPr>
    </w:p>
    <w:p>
      <w:pPr>
        <w:pStyle w:val="13"/>
        <w:ind w:left="0" w:leftChars="0" w:firstLine="560" w:firstLineChars="200"/>
        <w:rPr>
          <w:rFonts w:hint="eastAsia" w:ascii="仿宋_GB2312" w:eastAsia="仿宋_GB2312"/>
          <w:sz w:val="28"/>
          <w:szCs w:val="28"/>
        </w:rPr>
      </w:pP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6"/>
        <w:gridCol w:w="1826"/>
        <w:gridCol w:w="4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spacing w:line="520" w:lineRule="exact"/>
              <w:jc w:val="center"/>
              <w:rPr>
                <w:rFonts w:hint="eastAsia" w:ascii="仿宋_GB2312" w:hAnsi="仿宋" w:eastAsia="仿宋_GB2312" w:cs="Times New Roman"/>
                <w:sz w:val="28"/>
                <w:szCs w:val="28"/>
              </w:rPr>
            </w:pPr>
            <w:r>
              <w:rPr>
                <w:rFonts w:hint="eastAsia" w:ascii="仿宋_GB2312" w:hAnsi="仿宋" w:eastAsia="仿宋_GB2312" w:cs="Times New Roman"/>
                <w:sz w:val="28"/>
                <w:szCs w:val="28"/>
              </w:rPr>
              <w:t>评标项目</w:t>
            </w:r>
          </w:p>
        </w:tc>
        <w:tc>
          <w:tcPr>
            <w:tcW w:w="1826" w:type="dxa"/>
            <w:noWrap w:val="0"/>
            <w:vAlign w:val="center"/>
          </w:tcPr>
          <w:p>
            <w:pPr>
              <w:spacing w:line="520" w:lineRule="exact"/>
              <w:jc w:val="center"/>
              <w:rPr>
                <w:rFonts w:hint="eastAsia" w:ascii="仿宋_GB2312" w:hAnsi="仿宋" w:eastAsia="仿宋_GB2312" w:cs="Times New Roman"/>
                <w:sz w:val="28"/>
                <w:szCs w:val="28"/>
              </w:rPr>
            </w:pPr>
            <w:r>
              <w:rPr>
                <w:rFonts w:hint="eastAsia" w:ascii="仿宋_GB2312" w:hAnsi="仿宋" w:eastAsia="仿宋_GB2312" w:cs="Times New Roman"/>
                <w:sz w:val="28"/>
                <w:szCs w:val="28"/>
              </w:rPr>
              <w:t>评标分值</w:t>
            </w:r>
          </w:p>
        </w:tc>
        <w:tc>
          <w:tcPr>
            <w:tcW w:w="4870" w:type="dxa"/>
            <w:noWrap w:val="0"/>
            <w:vAlign w:val="center"/>
          </w:tcPr>
          <w:p>
            <w:pPr>
              <w:spacing w:line="520" w:lineRule="exact"/>
              <w:jc w:val="center"/>
              <w:rPr>
                <w:rFonts w:hint="eastAsia" w:ascii="仿宋_GB2312" w:hAnsi="仿宋" w:eastAsia="仿宋_GB2312" w:cs="Times New Roman"/>
                <w:sz w:val="28"/>
                <w:szCs w:val="28"/>
              </w:rPr>
            </w:pPr>
            <w:r>
              <w:rPr>
                <w:rFonts w:hint="eastAsia" w:ascii="仿宋_GB2312" w:hAnsi="仿宋" w:eastAsia="仿宋_GB2312" w:cs="Times New Roman"/>
                <w:sz w:val="28"/>
                <w:szCs w:val="28"/>
              </w:rPr>
              <w:t>评标方法描述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spacing w:line="520" w:lineRule="exact"/>
              <w:jc w:val="center"/>
              <w:rPr>
                <w:rFonts w:hint="eastAsia" w:ascii="仿宋_GB2312" w:hAnsi="仿宋" w:eastAsia="仿宋_GB2312" w:cs="Times New Roman"/>
                <w:sz w:val="28"/>
                <w:szCs w:val="28"/>
              </w:rPr>
            </w:pPr>
            <w:r>
              <w:rPr>
                <w:rFonts w:hint="eastAsia" w:ascii="仿宋_GB2312" w:hAnsi="仿宋" w:eastAsia="仿宋_GB2312" w:cs="Times New Roman"/>
                <w:sz w:val="28"/>
                <w:szCs w:val="28"/>
              </w:rPr>
              <w:t>投标报价</w:t>
            </w:r>
          </w:p>
        </w:tc>
        <w:tc>
          <w:tcPr>
            <w:tcW w:w="1826" w:type="dxa"/>
            <w:noWrap w:val="0"/>
            <w:vAlign w:val="center"/>
          </w:tcPr>
          <w:p>
            <w:pPr>
              <w:spacing w:line="520" w:lineRule="exact"/>
              <w:jc w:val="center"/>
              <w:rPr>
                <w:rFonts w:hint="default" w:ascii="仿宋_GB2312" w:hAnsi="仿宋" w:eastAsia="仿宋_GB2312" w:cs="Times New Roman"/>
                <w:sz w:val="28"/>
                <w:szCs w:val="28"/>
                <w:lang w:val="en-US"/>
              </w:rPr>
            </w:pPr>
            <w:r>
              <w:rPr>
                <w:rFonts w:hint="eastAsia" w:ascii="仿宋_GB2312" w:hAnsi="仿宋" w:eastAsia="仿宋_GB2312" w:cs="Times New Roman"/>
                <w:sz w:val="28"/>
                <w:szCs w:val="28"/>
                <w:lang w:val="en-US" w:eastAsia="zh-CN"/>
              </w:rPr>
              <w:t>16分</w:t>
            </w:r>
          </w:p>
        </w:tc>
        <w:tc>
          <w:tcPr>
            <w:tcW w:w="4870" w:type="dxa"/>
            <w:noWrap w:val="0"/>
            <w:vAlign w:val="center"/>
          </w:tcPr>
          <w:p>
            <w:pPr>
              <w:spacing w:line="520" w:lineRule="exact"/>
              <w:ind w:firstLine="560" w:firstLineChars="200"/>
              <w:jc w:val="left"/>
              <w:rPr>
                <w:rFonts w:hint="eastAsia" w:ascii="仿宋_GB2312" w:hAnsi="仿宋" w:eastAsia="仿宋_GB2312" w:cs="Times New Roman"/>
                <w:color w:val="auto"/>
                <w:sz w:val="28"/>
                <w:szCs w:val="28"/>
              </w:rPr>
            </w:pPr>
            <w:r>
              <w:rPr>
                <w:rFonts w:hint="eastAsia" w:ascii="仿宋_GB2312" w:hAnsi="仿宋" w:eastAsia="仿宋_GB2312" w:cs="Times New Roman"/>
                <w:color w:val="auto"/>
                <w:sz w:val="28"/>
                <w:szCs w:val="28"/>
              </w:rPr>
              <w:t>对所有实质性响应招标文件要求的投标报价进行核查后，有效投标报价中最低的为评标基准价，得</w:t>
            </w:r>
            <w:r>
              <w:rPr>
                <w:rFonts w:hint="eastAsia" w:ascii="仿宋_GB2312" w:hAnsi="仿宋" w:eastAsia="仿宋_GB2312" w:cs="Times New Roman"/>
                <w:color w:val="auto"/>
                <w:sz w:val="28"/>
                <w:szCs w:val="28"/>
                <w:lang w:val="en-US" w:eastAsia="zh-CN"/>
              </w:rPr>
              <w:t>16</w:t>
            </w:r>
            <w:r>
              <w:rPr>
                <w:rFonts w:hint="eastAsia" w:ascii="仿宋_GB2312" w:hAnsi="仿宋" w:eastAsia="仿宋_GB2312" w:cs="Times New Roman"/>
                <w:color w:val="auto"/>
                <w:sz w:val="28"/>
                <w:szCs w:val="28"/>
              </w:rPr>
              <w:t>分。</w:t>
            </w:r>
          </w:p>
          <w:p>
            <w:pPr>
              <w:spacing w:line="520" w:lineRule="exact"/>
              <w:ind w:firstLine="560" w:firstLineChars="200"/>
              <w:jc w:val="left"/>
              <w:rPr>
                <w:rFonts w:hint="eastAsia" w:ascii="仿宋_GB2312" w:hAnsi="仿宋" w:eastAsia="仿宋_GB2312" w:cs="Times New Roman"/>
                <w:sz w:val="28"/>
                <w:szCs w:val="28"/>
              </w:rPr>
            </w:pPr>
            <w:r>
              <w:rPr>
                <w:rFonts w:hint="eastAsia" w:ascii="仿宋_GB2312" w:hAnsi="仿宋" w:eastAsia="仿宋_GB2312" w:cs="Times New Roman"/>
                <w:color w:val="auto"/>
                <w:sz w:val="28"/>
                <w:szCs w:val="28"/>
              </w:rPr>
              <w:t>其他投标人的投标报价得分统一按下列公式计算：投标报价得分=（基础价/报价人报价）*</w:t>
            </w:r>
            <w:r>
              <w:rPr>
                <w:rFonts w:hint="eastAsia" w:ascii="仿宋_GB2312" w:hAnsi="仿宋" w:eastAsia="仿宋_GB2312" w:cs="Times New Roman"/>
                <w:color w:val="auto"/>
                <w:sz w:val="28"/>
                <w:szCs w:val="28"/>
                <w:lang w:val="en-US" w:eastAsia="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spacing w:line="520" w:lineRule="exact"/>
              <w:jc w:val="center"/>
              <w:rPr>
                <w:rFonts w:hint="eastAsia" w:ascii="仿宋_GB2312" w:hAnsi="仿宋" w:eastAsia="仿宋_GB2312" w:cs="Times New Roman"/>
                <w:sz w:val="28"/>
                <w:szCs w:val="28"/>
              </w:rPr>
            </w:pPr>
            <w:r>
              <w:rPr>
                <w:rFonts w:hint="eastAsia" w:ascii="仿宋_GB2312" w:hAnsi="仿宋" w:eastAsia="仿宋_GB2312" w:cs="Times New Roman"/>
                <w:sz w:val="28"/>
                <w:szCs w:val="28"/>
              </w:rPr>
              <w:t>投标人</w:t>
            </w:r>
          </w:p>
          <w:p>
            <w:pPr>
              <w:spacing w:line="520" w:lineRule="exact"/>
              <w:jc w:val="center"/>
              <w:rPr>
                <w:rFonts w:hint="eastAsia" w:ascii="仿宋_GB2312" w:hAnsi="仿宋" w:eastAsia="仿宋_GB2312" w:cs="Times New Roman"/>
                <w:sz w:val="28"/>
                <w:szCs w:val="28"/>
              </w:rPr>
            </w:pPr>
            <w:r>
              <w:rPr>
                <w:rFonts w:hint="eastAsia" w:ascii="仿宋_GB2312" w:hAnsi="仿宋" w:eastAsia="仿宋_GB2312" w:cs="Times New Roman"/>
                <w:sz w:val="28"/>
                <w:szCs w:val="28"/>
              </w:rPr>
              <w:t>业绩</w:t>
            </w:r>
          </w:p>
        </w:tc>
        <w:tc>
          <w:tcPr>
            <w:tcW w:w="1826" w:type="dxa"/>
            <w:noWrap w:val="0"/>
            <w:vAlign w:val="center"/>
          </w:tcPr>
          <w:p>
            <w:pPr>
              <w:spacing w:line="520" w:lineRule="exact"/>
              <w:jc w:val="center"/>
              <w:rPr>
                <w:rFonts w:hint="eastAsia" w:ascii="仿宋_GB2312" w:hAnsi="仿宋" w:eastAsia="仿宋_GB2312" w:cs="Times New Roman"/>
                <w:sz w:val="28"/>
                <w:szCs w:val="28"/>
                <w:lang w:val="en-US" w:eastAsia="zh-CN"/>
              </w:rPr>
            </w:pPr>
            <w:r>
              <w:rPr>
                <w:rFonts w:hint="eastAsia" w:ascii="仿宋_GB2312" w:hAnsi="仿宋" w:eastAsia="仿宋_GB2312" w:cs="Times New Roman"/>
                <w:sz w:val="28"/>
                <w:szCs w:val="28"/>
                <w:lang w:val="en-US" w:eastAsia="zh-CN"/>
              </w:rPr>
              <w:t>4分</w:t>
            </w:r>
          </w:p>
        </w:tc>
        <w:tc>
          <w:tcPr>
            <w:tcW w:w="4870" w:type="dxa"/>
            <w:noWrap w:val="0"/>
            <w:vAlign w:val="center"/>
          </w:tcPr>
          <w:p>
            <w:pPr>
              <w:spacing w:line="520" w:lineRule="exact"/>
              <w:ind w:firstLine="560" w:firstLineChars="200"/>
              <w:jc w:val="left"/>
              <w:rPr>
                <w:rFonts w:hint="eastAsia" w:ascii="仿宋_GB2312" w:hAnsi="仿宋" w:eastAsia="仿宋_GB2312" w:cs="Times New Roman"/>
                <w:sz w:val="28"/>
                <w:szCs w:val="28"/>
              </w:rPr>
            </w:pPr>
            <w:r>
              <w:rPr>
                <w:rFonts w:hint="eastAsia" w:ascii="仿宋_GB2312" w:hAnsi="仿宋" w:eastAsia="仿宋_GB2312" w:cs="Times New Roman"/>
                <w:sz w:val="28"/>
                <w:szCs w:val="28"/>
                <w:lang w:eastAsia="zh-CN"/>
              </w:rPr>
              <w:t>投标人</w:t>
            </w:r>
            <w:r>
              <w:rPr>
                <w:rFonts w:hint="eastAsia" w:ascii="仿宋_GB2312" w:hAnsi="仿宋" w:eastAsia="仿宋_GB2312" w:cs="Times New Roman"/>
                <w:sz w:val="28"/>
                <w:szCs w:val="28"/>
              </w:rPr>
              <w:t>承担过类似业绩的，每提供1个得2分，最高得</w:t>
            </w:r>
            <w:r>
              <w:rPr>
                <w:rFonts w:hint="eastAsia" w:ascii="仿宋_GB2312" w:hAnsi="仿宋" w:eastAsia="仿宋_GB2312" w:cs="Times New Roman"/>
                <w:sz w:val="28"/>
                <w:szCs w:val="28"/>
                <w:lang w:val="en-US" w:eastAsia="zh-CN"/>
              </w:rPr>
              <w:t>4</w:t>
            </w:r>
            <w:r>
              <w:rPr>
                <w:rFonts w:hint="eastAsia" w:ascii="仿宋_GB2312" w:hAnsi="仿宋" w:eastAsia="仿宋_GB2312" w:cs="Times New Roman"/>
                <w:sz w:val="28"/>
                <w:szCs w:val="28"/>
              </w:rPr>
              <w:t>分。（以销售合同为准，复印件应能辨识买卖双方公章、签订时间、金额，复印件须加盖投标人公章；否则，不得分）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826" w:type="dxa"/>
            <w:noWrap w:val="0"/>
            <w:vAlign w:val="center"/>
          </w:tcPr>
          <w:p>
            <w:pPr>
              <w:spacing w:line="520" w:lineRule="exact"/>
              <w:jc w:val="center"/>
              <w:rPr>
                <w:rFonts w:hint="eastAsia" w:ascii="仿宋_GB2312" w:hAnsi="仿宋" w:eastAsia="仿宋_GB2312" w:cs="Times New Roman"/>
                <w:sz w:val="28"/>
                <w:szCs w:val="28"/>
                <w:lang w:val="en-US" w:eastAsia="zh-CN"/>
              </w:rPr>
            </w:pPr>
            <w:r>
              <w:rPr>
                <w:rFonts w:hint="eastAsia" w:ascii="仿宋_GB2312" w:hAnsi="仿宋" w:eastAsia="仿宋_GB2312" w:cs="Times New Roman"/>
                <w:sz w:val="28"/>
                <w:szCs w:val="28"/>
                <w:lang w:val="en-US" w:eastAsia="zh-CN"/>
              </w:rPr>
              <w:t>总体服务</w:t>
            </w:r>
          </w:p>
          <w:p>
            <w:pPr>
              <w:spacing w:line="520" w:lineRule="exact"/>
              <w:jc w:val="center"/>
              <w:rPr>
                <w:rFonts w:hint="eastAsia" w:ascii="仿宋_GB2312" w:hAnsi="仿宋" w:eastAsia="仿宋_GB2312" w:cs="Times New Roman"/>
                <w:sz w:val="28"/>
                <w:szCs w:val="28"/>
              </w:rPr>
            </w:pPr>
            <w:r>
              <w:rPr>
                <w:rFonts w:hint="eastAsia" w:ascii="仿宋_GB2312" w:hAnsi="仿宋" w:eastAsia="仿宋_GB2312" w:cs="Times New Roman"/>
                <w:sz w:val="28"/>
                <w:szCs w:val="28"/>
                <w:lang w:val="en-US" w:eastAsia="zh-CN"/>
              </w:rPr>
              <w:t>方案</w:t>
            </w:r>
          </w:p>
        </w:tc>
        <w:tc>
          <w:tcPr>
            <w:tcW w:w="1826" w:type="dxa"/>
            <w:noWrap w:val="0"/>
            <w:vAlign w:val="center"/>
          </w:tcPr>
          <w:p>
            <w:pPr>
              <w:spacing w:line="520" w:lineRule="exact"/>
              <w:jc w:val="center"/>
              <w:rPr>
                <w:rFonts w:hint="eastAsia" w:ascii="仿宋_GB2312" w:hAnsi="仿宋" w:eastAsia="仿宋_GB2312" w:cs="Times New Roman"/>
                <w:sz w:val="28"/>
                <w:szCs w:val="28"/>
              </w:rPr>
            </w:pPr>
            <w:r>
              <w:rPr>
                <w:rFonts w:hint="eastAsia" w:ascii="仿宋_GB2312" w:hAnsi="仿宋" w:eastAsia="仿宋_GB2312" w:cs="Times New Roman"/>
                <w:sz w:val="28"/>
                <w:szCs w:val="28"/>
                <w:lang w:val="en-US" w:eastAsia="zh-CN"/>
              </w:rPr>
              <w:t>30</w:t>
            </w:r>
            <w:r>
              <w:rPr>
                <w:rFonts w:hint="eastAsia" w:ascii="仿宋_GB2312" w:hAnsi="仿宋" w:eastAsia="仿宋_GB2312" w:cs="Times New Roman"/>
                <w:sz w:val="28"/>
                <w:szCs w:val="28"/>
              </w:rPr>
              <w:t>分</w:t>
            </w:r>
          </w:p>
        </w:tc>
        <w:tc>
          <w:tcPr>
            <w:tcW w:w="4870" w:type="dxa"/>
            <w:noWrap w:val="0"/>
            <w:vAlign w:val="center"/>
          </w:tcPr>
          <w:p>
            <w:pPr>
              <w:spacing w:line="520" w:lineRule="exact"/>
              <w:ind w:firstLine="560" w:firstLineChars="200"/>
              <w:jc w:val="left"/>
              <w:rPr>
                <w:rFonts w:hint="eastAsia" w:ascii="仿宋_GB2312" w:hAnsi="仿宋" w:eastAsia="仿宋_GB2312" w:cs="Times New Roman"/>
                <w:sz w:val="28"/>
                <w:szCs w:val="28"/>
              </w:rPr>
            </w:pPr>
            <w:r>
              <w:rPr>
                <w:rFonts w:hint="eastAsia" w:ascii="仿宋_GB2312" w:hAnsi="仿宋" w:eastAsia="仿宋_GB2312" w:cs="Times New Roman"/>
                <w:sz w:val="28"/>
                <w:szCs w:val="28"/>
              </w:rPr>
              <w:t>投标人提供总体服务方案，内容包含</w:t>
            </w:r>
            <w:r>
              <w:rPr>
                <w:rFonts w:hint="eastAsia" w:ascii="仿宋_GB2312" w:hAnsi="仿宋" w:eastAsia="仿宋_GB2312" w:cs="Times New Roman"/>
                <w:sz w:val="28"/>
                <w:szCs w:val="28"/>
                <w:lang w:eastAsia="zh-CN"/>
              </w:rPr>
              <w:t>：</w:t>
            </w:r>
            <w:r>
              <w:rPr>
                <w:rFonts w:hint="eastAsia" w:ascii="仿宋_GB2312" w:hAnsi="仿宋" w:eastAsia="仿宋_GB2312" w:cs="Times New Roman"/>
                <w:sz w:val="28"/>
                <w:szCs w:val="28"/>
              </w:rPr>
              <w:t>实施方案、培训方案、售后服务方案</w:t>
            </w:r>
            <w:r>
              <w:rPr>
                <w:rFonts w:hint="eastAsia" w:ascii="仿宋_GB2312" w:hAnsi="仿宋" w:eastAsia="仿宋_GB2312" w:cs="Times New Roman"/>
                <w:sz w:val="28"/>
                <w:szCs w:val="28"/>
                <w:lang w:val="en-US" w:eastAsia="zh-CN"/>
              </w:rPr>
              <w:t>等3项</w:t>
            </w:r>
            <w:r>
              <w:rPr>
                <w:rFonts w:hint="eastAsia" w:ascii="仿宋_GB2312" w:hAnsi="仿宋" w:eastAsia="仿宋_GB2312" w:cs="Times New Roman"/>
                <w:sz w:val="28"/>
                <w:szCs w:val="28"/>
              </w:rPr>
              <w:t>。</w:t>
            </w:r>
            <w:r>
              <w:rPr>
                <w:rFonts w:hint="eastAsia" w:ascii="仿宋_GB2312" w:hAnsi="仿宋" w:eastAsia="仿宋_GB2312" w:cs="Times New Roman"/>
                <w:sz w:val="28"/>
                <w:szCs w:val="28"/>
                <w:lang w:val="en-US" w:eastAsia="zh-CN"/>
              </w:rPr>
              <w:t>包含3项</w:t>
            </w:r>
            <w:r>
              <w:rPr>
                <w:rFonts w:hint="eastAsia" w:ascii="仿宋_GB2312" w:hAnsi="仿宋" w:eastAsia="仿宋_GB2312" w:cs="Times New Roman"/>
                <w:sz w:val="28"/>
                <w:szCs w:val="28"/>
              </w:rPr>
              <w:t>的</w:t>
            </w:r>
            <w:r>
              <w:rPr>
                <w:rFonts w:hint="eastAsia" w:ascii="仿宋_GB2312" w:hAnsi="仿宋" w:eastAsia="仿宋_GB2312" w:cs="Times New Roman"/>
                <w:sz w:val="28"/>
                <w:szCs w:val="28"/>
                <w:lang w:eastAsia="zh-CN"/>
              </w:rPr>
              <w:t>，</w:t>
            </w:r>
            <w:r>
              <w:rPr>
                <w:rFonts w:hint="eastAsia" w:ascii="仿宋_GB2312" w:hAnsi="仿宋" w:eastAsia="仿宋_GB2312" w:cs="Times New Roman"/>
                <w:sz w:val="28"/>
                <w:szCs w:val="28"/>
              </w:rPr>
              <w:t>得</w:t>
            </w:r>
            <w:r>
              <w:rPr>
                <w:rFonts w:hint="eastAsia" w:ascii="仿宋_GB2312" w:hAnsi="仿宋" w:eastAsia="仿宋_GB2312" w:cs="Times New Roman"/>
                <w:sz w:val="28"/>
                <w:szCs w:val="28"/>
                <w:lang w:val="en-US" w:eastAsia="zh-CN"/>
              </w:rPr>
              <w:t>10</w:t>
            </w:r>
            <w:r>
              <w:rPr>
                <w:rFonts w:hint="eastAsia" w:ascii="仿宋_GB2312" w:hAnsi="仿宋" w:eastAsia="仿宋_GB2312" w:cs="Times New Roman"/>
                <w:sz w:val="28"/>
                <w:szCs w:val="28"/>
              </w:rPr>
              <w:t>分；</w:t>
            </w:r>
            <w:r>
              <w:rPr>
                <w:rFonts w:hint="eastAsia" w:ascii="仿宋_GB2312" w:hAnsi="仿宋" w:eastAsia="仿宋_GB2312" w:cs="Times New Roman"/>
                <w:sz w:val="28"/>
                <w:szCs w:val="28"/>
                <w:lang w:val="en-US" w:eastAsia="zh-CN"/>
              </w:rPr>
              <w:t>包含2项的，</w:t>
            </w:r>
            <w:r>
              <w:rPr>
                <w:rFonts w:hint="eastAsia" w:ascii="仿宋_GB2312" w:hAnsi="仿宋" w:eastAsia="仿宋_GB2312" w:cs="Times New Roman"/>
                <w:sz w:val="28"/>
                <w:szCs w:val="28"/>
              </w:rPr>
              <w:t>得</w:t>
            </w:r>
            <w:r>
              <w:rPr>
                <w:rFonts w:hint="eastAsia" w:ascii="仿宋_GB2312" w:hAnsi="仿宋" w:eastAsia="仿宋_GB2312" w:cs="Times New Roman"/>
                <w:sz w:val="28"/>
                <w:szCs w:val="28"/>
                <w:lang w:val="en-US" w:eastAsia="zh-CN"/>
              </w:rPr>
              <w:t>6</w:t>
            </w:r>
            <w:r>
              <w:rPr>
                <w:rFonts w:hint="eastAsia" w:ascii="仿宋_GB2312" w:hAnsi="仿宋" w:eastAsia="仿宋_GB2312" w:cs="Times New Roman"/>
                <w:sz w:val="28"/>
                <w:szCs w:val="28"/>
              </w:rPr>
              <w:t>分；</w:t>
            </w:r>
            <w:r>
              <w:rPr>
                <w:rFonts w:hint="eastAsia" w:ascii="仿宋_GB2312" w:hAnsi="仿宋" w:eastAsia="仿宋_GB2312" w:cs="Times New Roman"/>
                <w:sz w:val="28"/>
                <w:szCs w:val="28"/>
                <w:lang w:val="en-US" w:eastAsia="zh-CN"/>
              </w:rPr>
              <w:t>包含1项的2</w:t>
            </w:r>
            <w:r>
              <w:rPr>
                <w:rFonts w:hint="eastAsia" w:ascii="仿宋_GB2312" w:hAnsi="仿宋" w:eastAsia="仿宋_GB2312" w:cs="Times New Roman"/>
                <w:sz w:val="28"/>
                <w:szCs w:val="28"/>
              </w:rPr>
              <w:t>分。不满足或不提供的不得分。</w:t>
            </w:r>
          </w:p>
          <w:p>
            <w:pPr>
              <w:spacing w:line="520" w:lineRule="exact"/>
              <w:ind w:firstLine="560" w:firstLineChars="200"/>
              <w:jc w:val="left"/>
              <w:rPr>
                <w:rFonts w:hint="eastAsia" w:ascii="仿宋_GB2312" w:hAnsi="仿宋" w:eastAsia="仿宋_GB2312" w:cs="Times New Roman"/>
                <w:sz w:val="28"/>
                <w:szCs w:val="28"/>
                <w:lang w:val="en-US" w:eastAsia="zh-CN"/>
              </w:rPr>
            </w:pPr>
            <w:r>
              <w:rPr>
                <w:rFonts w:hint="eastAsia" w:ascii="仿宋_GB2312" w:hAnsi="仿宋" w:eastAsia="仿宋_GB2312" w:cs="Times New Roman"/>
                <w:sz w:val="28"/>
                <w:szCs w:val="28"/>
              </w:rPr>
              <w:t>投标人提供</w:t>
            </w:r>
            <w:r>
              <w:rPr>
                <w:rFonts w:hint="eastAsia" w:ascii="仿宋_GB2312" w:hAnsi="仿宋" w:eastAsia="仿宋_GB2312" w:cs="Times New Roman"/>
                <w:sz w:val="28"/>
                <w:szCs w:val="28"/>
                <w:lang w:val="en-US" w:eastAsia="zh-CN"/>
              </w:rPr>
              <w:t>资源内容，</w:t>
            </w:r>
            <w:r>
              <w:rPr>
                <w:rFonts w:hint="eastAsia" w:ascii="仿宋_GB2312" w:hAnsi="仿宋" w:eastAsia="仿宋_GB2312" w:cs="Times New Roman"/>
                <w:sz w:val="28"/>
                <w:szCs w:val="28"/>
              </w:rPr>
              <w:t>包含课程资源：500门以上完整课程资源</w:t>
            </w:r>
            <w:r>
              <w:rPr>
                <w:rFonts w:hint="eastAsia" w:ascii="仿宋_GB2312" w:hAnsi="仿宋" w:eastAsia="仿宋_GB2312" w:cs="Times New Roman"/>
                <w:sz w:val="28"/>
                <w:szCs w:val="28"/>
                <w:lang w:eastAsia="zh-CN"/>
              </w:rPr>
              <w:t>、</w:t>
            </w:r>
            <w:r>
              <w:rPr>
                <w:rFonts w:hint="eastAsia" w:ascii="仿宋_GB2312" w:hAnsi="仿宋" w:eastAsia="仿宋_GB2312" w:cs="Times New Roman"/>
                <w:sz w:val="28"/>
                <w:szCs w:val="28"/>
              </w:rPr>
              <w:t>通识素养测评系统</w:t>
            </w:r>
            <w:r>
              <w:rPr>
                <w:rFonts w:hint="eastAsia" w:ascii="仿宋_GB2312" w:hAnsi="仿宋" w:eastAsia="仿宋_GB2312" w:cs="Times New Roman"/>
                <w:sz w:val="28"/>
                <w:szCs w:val="28"/>
                <w:lang w:eastAsia="zh-CN"/>
              </w:rPr>
              <w:t>、</w:t>
            </w:r>
            <w:r>
              <w:rPr>
                <w:rFonts w:hint="eastAsia" w:ascii="仿宋_GB2312" w:hAnsi="仿宋" w:eastAsia="仿宋_GB2312" w:cs="Times New Roman"/>
                <w:sz w:val="28"/>
                <w:szCs w:val="28"/>
              </w:rPr>
              <w:t>通识教育广场</w:t>
            </w:r>
            <w:r>
              <w:rPr>
                <w:rFonts w:hint="eastAsia" w:ascii="仿宋_GB2312" w:hAnsi="仿宋" w:eastAsia="仿宋_GB2312" w:cs="Times New Roman"/>
                <w:sz w:val="28"/>
                <w:szCs w:val="28"/>
                <w:lang w:eastAsia="zh-CN"/>
              </w:rPr>
              <w:t>、</w:t>
            </w:r>
            <w:r>
              <w:rPr>
                <w:rFonts w:hint="eastAsia" w:ascii="仿宋_GB2312" w:hAnsi="仿宋" w:eastAsia="仿宋_GB2312" w:cs="Times New Roman"/>
                <w:sz w:val="28"/>
                <w:szCs w:val="28"/>
              </w:rPr>
              <w:t>在线辅助学习平台</w:t>
            </w:r>
            <w:r>
              <w:rPr>
                <w:rFonts w:hint="eastAsia" w:ascii="仿宋_GB2312" w:hAnsi="仿宋" w:eastAsia="仿宋_GB2312" w:cs="Times New Roman"/>
                <w:sz w:val="28"/>
                <w:szCs w:val="28"/>
                <w:lang w:val="en-US" w:eastAsia="zh-CN"/>
              </w:rPr>
              <w:t>等</w:t>
            </w:r>
            <w:r>
              <w:rPr>
                <w:rFonts w:hint="eastAsia" w:ascii="仿宋_GB2312" w:hAnsi="仿宋" w:eastAsia="仿宋_GB2312" w:cs="Times New Roman"/>
                <w:sz w:val="28"/>
                <w:szCs w:val="28"/>
              </w:rPr>
              <w:t>4</w:t>
            </w:r>
            <w:r>
              <w:rPr>
                <w:rFonts w:hint="eastAsia" w:ascii="仿宋_GB2312" w:hAnsi="仿宋" w:eastAsia="仿宋_GB2312" w:cs="Times New Roman"/>
                <w:sz w:val="28"/>
                <w:szCs w:val="28"/>
                <w:lang w:val="en-US" w:eastAsia="zh-CN"/>
              </w:rPr>
              <w:t>项。包含4项的，10</w:t>
            </w:r>
            <w:r>
              <w:rPr>
                <w:rFonts w:hint="eastAsia" w:ascii="仿宋_GB2312" w:hAnsi="仿宋" w:eastAsia="仿宋_GB2312" w:cs="Times New Roman"/>
                <w:sz w:val="28"/>
                <w:szCs w:val="28"/>
              </w:rPr>
              <w:t>分</w:t>
            </w:r>
            <w:r>
              <w:rPr>
                <w:rFonts w:hint="eastAsia" w:ascii="仿宋_GB2312" w:hAnsi="仿宋" w:eastAsia="仿宋_GB2312" w:cs="Times New Roman"/>
                <w:sz w:val="28"/>
                <w:szCs w:val="28"/>
                <w:lang w:eastAsia="zh-CN"/>
              </w:rPr>
              <w:t>；包含</w:t>
            </w:r>
            <w:r>
              <w:rPr>
                <w:rFonts w:hint="eastAsia" w:ascii="仿宋_GB2312" w:hAnsi="仿宋" w:eastAsia="仿宋_GB2312" w:cs="Times New Roman"/>
                <w:sz w:val="28"/>
                <w:szCs w:val="28"/>
                <w:lang w:val="en-US" w:eastAsia="zh-CN"/>
              </w:rPr>
              <w:t>3</w:t>
            </w:r>
            <w:r>
              <w:rPr>
                <w:rFonts w:hint="eastAsia" w:ascii="仿宋_GB2312" w:hAnsi="仿宋" w:eastAsia="仿宋_GB2312" w:cs="Times New Roman"/>
                <w:sz w:val="28"/>
                <w:szCs w:val="28"/>
                <w:lang w:eastAsia="zh-CN"/>
              </w:rPr>
              <w:t>项的，得6分；包含</w:t>
            </w:r>
            <w:r>
              <w:rPr>
                <w:rFonts w:hint="eastAsia" w:ascii="仿宋_GB2312" w:hAnsi="仿宋" w:eastAsia="仿宋_GB2312" w:cs="Times New Roman"/>
                <w:sz w:val="28"/>
                <w:szCs w:val="28"/>
                <w:lang w:val="en-US" w:eastAsia="zh-CN"/>
              </w:rPr>
              <w:t>1-2</w:t>
            </w:r>
            <w:r>
              <w:rPr>
                <w:rFonts w:hint="eastAsia" w:ascii="仿宋_GB2312" w:hAnsi="仿宋" w:eastAsia="仿宋_GB2312" w:cs="Times New Roman"/>
                <w:sz w:val="28"/>
                <w:szCs w:val="28"/>
                <w:lang w:eastAsia="zh-CN"/>
              </w:rPr>
              <w:t>项的2分。不满足或不提供的不得分。</w:t>
            </w:r>
          </w:p>
          <w:p>
            <w:pPr>
              <w:spacing w:line="520" w:lineRule="exact"/>
              <w:ind w:firstLine="560" w:firstLineChars="200"/>
              <w:jc w:val="left"/>
              <w:rPr>
                <w:rFonts w:hint="eastAsia" w:ascii="仿宋_GB2312" w:hAnsi="仿宋" w:eastAsia="仿宋_GB2312" w:cs="Times New Roman"/>
                <w:sz w:val="28"/>
                <w:szCs w:val="28"/>
                <w:lang w:val="en-US" w:eastAsia="zh-CN"/>
              </w:rPr>
            </w:pPr>
            <w:r>
              <w:rPr>
                <w:rFonts w:hint="eastAsia" w:ascii="仿宋_GB2312" w:hAnsi="仿宋" w:eastAsia="仿宋_GB2312" w:cs="Times New Roman"/>
                <w:sz w:val="28"/>
                <w:szCs w:val="28"/>
                <w:lang w:val="en-US" w:eastAsia="zh-CN"/>
              </w:rPr>
              <w:t>投标人提供往年通识课程运行报告，包含总体情况、课程开设安排、课程运行分析、课程考核分析、评价与反馈等5项。包含5项的，得10分；包含3项的，得6分；包含1项的2分。不满足或不提供的不得分。</w:t>
            </w:r>
          </w:p>
          <w:p>
            <w:pPr>
              <w:spacing w:line="520" w:lineRule="exact"/>
              <w:jc w:val="left"/>
              <w:rPr>
                <w:rFonts w:hint="eastAsia" w:ascii="仿宋_GB2312" w:hAnsi="仿宋" w:eastAsia="仿宋_GB2312" w:cs="Times New Roman"/>
                <w:sz w:val="28"/>
                <w:szCs w:val="28"/>
              </w:rPr>
            </w:pPr>
            <w:r>
              <w:rPr>
                <w:rFonts w:hint="eastAsia" w:ascii="仿宋_GB2312" w:hAnsi="仿宋" w:eastAsia="仿宋_GB2312" w:cs="Times New Roman"/>
                <w:sz w:val="28"/>
                <w:szCs w:val="28"/>
                <w:lang w:val="en-US" w:eastAsia="zh-CN"/>
              </w:rPr>
              <w:t>注：响应文件中提供报告扫描件。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spacing w:line="520" w:lineRule="exact"/>
              <w:jc w:val="center"/>
              <w:rPr>
                <w:rFonts w:hint="eastAsia" w:ascii="仿宋_GB2312" w:hAnsi="仿宋" w:eastAsia="仿宋_GB2312" w:cs="Times New Roman"/>
                <w:sz w:val="28"/>
                <w:szCs w:val="28"/>
              </w:rPr>
            </w:pPr>
            <w:r>
              <w:rPr>
                <w:rFonts w:hint="eastAsia" w:ascii="仿宋_GB2312" w:hAnsi="仿宋" w:eastAsia="仿宋_GB2312" w:cs="Times New Roman"/>
                <w:sz w:val="28"/>
                <w:szCs w:val="28"/>
              </w:rPr>
              <w:t>功能演示</w:t>
            </w:r>
          </w:p>
        </w:tc>
        <w:tc>
          <w:tcPr>
            <w:tcW w:w="1826" w:type="dxa"/>
            <w:noWrap w:val="0"/>
            <w:vAlign w:val="center"/>
          </w:tcPr>
          <w:p>
            <w:pPr>
              <w:spacing w:line="520" w:lineRule="exact"/>
              <w:jc w:val="center"/>
              <w:rPr>
                <w:rFonts w:hint="default" w:ascii="仿宋_GB2312" w:hAnsi="仿宋" w:eastAsia="仿宋_GB2312" w:cs="Times New Roman"/>
                <w:sz w:val="28"/>
                <w:szCs w:val="28"/>
                <w:lang w:val="en-US" w:eastAsia="zh-CN"/>
              </w:rPr>
            </w:pPr>
            <w:r>
              <w:rPr>
                <w:rFonts w:hint="eastAsia" w:ascii="仿宋_GB2312" w:hAnsi="仿宋" w:eastAsia="仿宋_GB2312" w:cs="Times New Roman"/>
                <w:sz w:val="28"/>
                <w:szCs w:val="28"/>
                <w:lang w:val="en-US" w:eastAsia="zh-CN"/>
              </w:rPr>
              <w:t>20分</w:t>
            </w:r>
          </w:p>
        </w:tc>
        <w:tc>
          <w:tcPr>
            <w:tcW w:w="4870" w:type="dxa"/>
            <w:noWrap w:val="0"/>
            <w:vAlign w:val="center"/>
          </w:tcPr>
          <w:p>
            <w:pPr>
              <w:spacing w:line="520" w:lineRule="exact"/>
              <w:ind w:firstLine="560" w:firstLineChars="200"/>
              <w:jc w:val="left"/>
              <w:rPr>
                <w:rFonts w:hint="eastAsia" w:ascii="仿宋_GB2312" w:hAnsi="仿宋" w:eastAsia="仿宋_GB2312" w:cs="Times New Roman"/>
                <w:sz w:val="28"/>
                <w:szCs w:val="28"/>
              </w:rPr>
            </w:pPr>
            <w:r>
              <w:rPr>
                <w:rFonts w:hint="eastAsia" w:ascii="仿宋_GB2312" w:hAnsi="仿宋" w:eastAsia="仿宋_GB2312" w:cs="Times New Roman"/>
                <w:sz w:val="28"/>
                <w:szCs w:val="28"/>
              </w:rPr>
              <w:t xml:space="preserve">投标人对所投产品部分内容进行演示，演示内容如下： </w:t>
            </w:r>
          </w:p>
          <w:p>
            <w:pPr>
              <w:spacing w:line="520" w:lineRule="exact"/>
              <w:ind w:firstLine="560" w:firstLineChars="200"/>
              <w:jc w:val="left"/>
              <w:rPr>
                <w:rFonts w:hint="default" w:ascii="仿宋_GB2312" w:hAnsi="仿宋" w:eastAsia="仿宋_GB2312" w:cs="Times New Roman"/>
                <w:sz w:val="28"/>
                <w:szCs w:val="28"/>
                <w:lang w:val="en-US" w:eastAsia="zh-CN"/>
              </w:rPr>
            </w:pPr>
            <w:r>
              <w:rPr>
                <w:rFonts w:hint="eastAsia" w:ascii="仿宋_GB2312" w:hAnsi="仿宋" w:eastAsia="仿宋_GB2312" w:cs="Times New Roman"/>
                <w:sz w:val="28"/>
                <w:szCs w:val="28"/>
                <w:lang w:val="en-US" w:eastAsia="zh-CN"/>
              </w:rPr>
              <w:t>1.所投产品课程内容要求、课程托管服务要求、平台功能要求、移动客户端要求、教学质量监管要求等各项指标。（满足此项得2分，不满足不得分。）</w:t>
            </w:r>
          </w:p>
          <w:p>
            <w:pPr>
              <w:spacing w:line="520" w:lineRule="exact"/>
              <w:ind w:firstLine="560" w:firstLineChars="200"/>
              <w:jc w:val="left"/>
              <w:rPr>
                <w:rFonts w:hint="eastAsia" w:ascii="仿宋_GB2312" w:hAnsi="仿宋" w:eastAsia="仿宋_GB2312" w:cs="Times New Roman"/>
                <w:sz w:val="28"/>
                <w:szCs w:val="28"/>
              </w:rPr>
            </w:pPr>
            <w:r>
              <w:rPr>
                <w:rFonts w:hint="eastAsia" w:ascii="仿宋_GB2312" w:hAnsi="仿宋" w:eastAsia="仿宋_GB2312" w:cs="Times New Roman"/>
                <w:sz w:val="28"/>
                <w:szCs w:val="28"/>
                <w:lang w:val="en-US" w:eastAsia="zh-CN"/>
              </w:rPr>
              <w:t>2</w:t>
            </w:r>
            <w:r>
              <w:rPr>
                <w:rFonts w:hint="eastAsia" w:ascii="仿宋_GB2312" w:hAnsi="仿宋" w:eastAsia="仿宋_GB2312" w:cs="Times New Roman"/>
                <w:sz w:val="28"/>
                <w:szCs w:val="28"/>
              </w:rPr>
              <w:t>、学习功能：给学生提供3种以上提升通识素养的工具，帮助学生针对自身薄弱领域进行提升。（满足此项得2分，不满足不得分。）</w:t>
            </w:r>
          </w:p>
          <w:p>
            <w:pPr>
              <w:spacing w:line="520" w:lineRule="exact"/>
              <w:ind w:firstLine="560" w:firstLineChars="200"/>
              <w:jc w:val="left"/>
              <w:rPr>
                <w:rFonts w:hint="eastAsia" w:ascii="仿宋_GB2312" w:hAnsi="仿宋" w:eastAsia="仿宋_GB2312" w:cs="Times New Roman"/>
                <w:sz w:val="28"/>
                <w:szCs w:val="28"/>
              </w:rPr>
            </w:pPr>
            <w:r>
              <w:rPr>
                <w:rFonts w:hint="eastAsia" w:ascii="仿宋_GB2312" w:hAnsi="仿宋" w:eastAsia="仿宋_GB2312" w:cs="Times New Roman"/>
                <w:sz w:val="28"/>
                <w:szCs w:val="28"/>
                <w:lang w:val="en-US" w:eastAsia="zh-CN"/>
              </w:rPr>
              <w:t>3</w:t>
            </w:r>
            <w:r>
              <w:rPr>
                <w:rFonts w:hint="eastAsia" w:ascii="仿宋_GB2312" w:hAnsi="仿宋" w:eastAsia="仿宋_GB2312" w:cs="Times New Roman"/>
                <w:sz w:val="28"/>
                <w:szCs w:val="28"/>
              </w:rPr>
              <w:t>、测评功能：在学生测评过程中记录学生的参与时间、最终成绩、每道题目的答题情况等详细数据。（满足此项得2分，不满足不得分。）</w:t>
            </w:r>
          </w:p>
          <w:p>
            <w:pPr>
              <w:spacing w:line="520" w:lineRule="exact"/>
              <w:ind w:firstLine="560" w:firstLineChars="200"/>
              <w:jc w:val="left"/>
              <w:rPr>
                <w:rFonts w:hint="eastAsia" w:ascii="仿宋_GB2312" w:hAnsi="仿宋" w:eastAsia="仿宋_GB2312" w:cs="Times New Roman"/>
                <w:sz w:val="28"/>
                <w:szCs w:val="28"/>
              </w:rPr>
            </w:pPr>
            <w:r>
              <w:rPr>
                <w:rFonts w:hint="eastAsia" w:ascii="仿宋_GB2312" w:hAnsi="仿宋" w:eastAsia="仿宋_GB2312" w:cs="Times New Roman"/>
                <w:sz w:val="28"/>
                <w:szCs w:val="28"/>
                <w:lang w:val="en-US" w:eastAsia="zh-CN"/>
              </w:rPr>
              <w:t>4</w:t>
            </w:r>
            <w:r>
              <w:rPr>
                <w:rFonts w:hint="eastAsia" w:ascii="仿宋_GB2312" w:hAnsi="仿宋" w:eastAsia="仿宋_GB2312" w:cs="Times New Roman"/>
                <w:sz w:val="28"/>
                <w:szCs w:val="28"/>
              </w:rPr>
              <w:t>、引导功能：测评完成后，必须能够推荐相关学习资料，帮助学生提高能力。要求推荐不少于6门相关课程及10本相关图书。学生应能够直接在测评系统内试看推荐的课程，并能够直接进入选课系统选课。推荐的相关图书应能够直接阅读全文。（满足此项得2分，不满足不得分。）</w:t>
            </w:r>
          </w:p>
          <w:p>
            <w:pPr>
              <w:spacing w:line="520" w:lineRule="exact"/>
              <w:ind w:firstLine="560" w:firstLineChars="200"/>
              <w:jc w:val="left"/>
              <w:rPr>
                <w:rFonts w:hint="eastAsia" w:ascii="仿宋_GB2312" w:hAnsi="仿宋" w:eastAsia="仿宋_GB2312" w:cs="Times New Roman"/>
                <w:sz w:val="28"/>
                <w:szCs w:val="28"/>
              </w:rPr>
            </w:pPr>
            <w:r>
              <w:rPr>
                <w:rFonts w:hint="eastAsia" w:ascii="仿宋_GB2312" w:hAnsi="仿宋" w:eastAsia="仿宋_GB2312" w:cs="Times New Roman"/>
                <w:sz w:val="28"/>
                <w:szCs w:val="28"/>
                <w:lang w:val="en-US" w:eastAsia="zh-CN"/>
              </w:rPr>
              <w:t>5</w:t>
            </w:r>
            <w:r>
              <w:rPr>
                <w:rFonts w:hint="eastAsia" w:ascii="仿宋_GB2312" w:hAnsi="仿宋" w:eastAsia="仿宋_GB2312" w:cs="Times New Roman"/>
                <w:sz w:val="28"/>
                <w:szCs w:val="28"/>
              </w:rPr>
              <w:t>、直播和拓展阅读的功能，并能将这两项纳入学生考核体系。（满足此项得2分，不满足不得分。）</w:t>
            </w:r>
          </w:p>
          <w:p>
            <w:pPr>
              <w:spacing w:line="520" w:lineRule="exact"/>
              <w:ind w:firstLine="560" w:firstLineChars="200"/>
              <w:jc w:val="left"/>
              <w:rPr>
                <w:rFonts w:hint="eastAsia" w:ascii="仿宋_GB2312" w:hAnsi="仿宋" w:eastAsia="仿宋_GB2312" w:cs="Times New Roman"/>
                <w:sz w:val="28"/>
                <w:szCs w:val="28"/>
              </w:rPr>
            </w:pPr>
            <w:r>
              <w:rPr>
                <w:rFonts w:hint="eastAsia" w:ascii="仿宋_GB2312" w:hAnsi="仿宋" w:eastAsia="仿宋_GB2312" w:cs="Times New Roman"/>
                <w:sz w:val="28"/>
                <w:szCs w:val="28"/>
                <w:lang w:val="en-US" w:eastAsia="zh-CN"/>
              </w:rPr>
              <w:t>6</w:t>
            </w:r>
            <w:r>
              <w:rPr>
                <w:rFonts w:hint="eastAsia" w:ascii="仿宋_GB2312" w:hAnsi="仿宋" w:eastAsia="仿宋_GB2312" w:cs="Times New Roman"/>
                <w:sz w:val="28"/>
                <w:szCs w:val="28"/>
              </w:rPr>
              <w:t>、进行作业</w:t>
            </w:r>
            <w:r>
              <w:rPr>
                <w:rFonts w:hint="eastAsia" w:ascii="仿宋_GB2312" w:hAnsi="仿宋" w:eastAsia="仿宋_GB2312" w:cs="Times New Roman"/>
                <w:sz w:val="28"/>
                <w:szCs w:val="28"/>
                <w:lang w:val="en-US" w:eastAsia="zh-CN"/>
              </w:rPr>
              <w:t>等</w:t>
            </w:r>
            <w:r>
              <w:rPr>
                <w:rFonts w:hint="eastAsia" w:ascii="仿宋_GB2312" w:hAnsi="仿宋" w:eastAsia="仿宋_GB2312" w:cs="Times New Roman"/>
                <w:sz w:val="28"/>
                <w:szCs w:val="28"/>
              </w:rPr>
              <w:t xml:space="preserve">查重，对于简答题、论述题等，可进行相似度分析。（满足此项得2分，不满足不得分。） </w:t>
            </w:r>
          </w:p>
          <w:p>
            <w:pPr>
              <w:spacing w:line="520" w:lineRule="exact"/>
              <w:ind w:firstLine="560" w:firstLineChars="200"/>
              <w:jc w:val="left"/>
              <w:rPr>
                <w:rFonts w:hint="eastAsia" w:ascii="仿宋_GB2312" w:hAnsi="仿宋" w:eastAsia="仿宋_GB2312" w:cs="Times New Roman"/>
                <w:sz w:val="28"/>
                <w:szCs w:val="28"/>
              </w:rPr>
            </w:pPr>
            <w:r>
              <w:rPr>
                <w:rFonts w:hint="eastAsia" w:ascii="仿宋_GB2312" w:hAnsi="仿宋" w:eastAsia="仿宋_GB2312" w:cs="Times New Roman"/>
                <w:sz w:val="28"/>
                <w:szCs w:val="28"/>
              </w:rPr>
              <w:t>7、自动随机组卷，组多套试卷时，可设置试卷试题重复率为0、不高于20%、不高于50%等。支持生成试卷分析报告，报告中需至少包含试卷难度、区分度统计，成绩正态分布，试卷信度等分析数据项。试卷导出功能，至少支持A3、A4、B4等版式。（满足此项得</w:t>
            </w:r>
            <w:r>
              <w:rPr>
                <w:rFonts w:hint="eastAsia" w:ascii="仿宋_GB2312" w:hAnsi="仿宋" w:eastAsia="仿宋_GB2312" w:cs="Times New Roman"/>
                <w:sz w:val="28"/>
                <w:szCs w:val="28"/>
                <w:lang w:val="en-US" w:eastAsia="zh-CN"/>
              </w:rPr>
              <w:t>4</w:t>
            </w:r>
            <w:r>
              <w:rPr>
                <w:rFonts w:hint="eastAsia" w:ascii="仿宋_GB2312" w:hAnsi="仿宋" w:eastAsia="仿宋_GB2312" w:cs="Times New Roman"/>
                <w:sz w:val="28"/>
                <w:szCs w:val="28"/>
              </w:rPr>
              <w:t xml:space="preserve">分，不满足不得分。） </w:t>
            </w:r>
          </w:p>
          <w:p>
            <w:pPr>
              <w:spacing w:line="520" w:lineRule="exact"/>
              <w:ind w:firstLine="560" w:firstLineChars="200"/>
              <w:jc w:val="left"/>
              <w:rPr>
                <w:rFonts w:hint="eastAsia" w:ascii="仿宋_GB2312" w:hAnsi="仿宋" w:eastAsia="仿宋_GB2312" w:cs="Times New Roman"/>
                <w:sz w:val="28"/>
                <w:szCs w:val="28"/>
              </w:rPr>
            </w:pPr>
            <w:r>
              <w:rPr>
                <w:rFonts w:hint="eastAsia" w:ascii="仿宋_GB2312" w:hAnsi="仿宋" w:eastAsia="仿宋_GB2312" w:cs="Times New Roman"/>
                <w:sz w:val="28"/>
                <w:szCs w:val="28"/>
                <w:lang w:val="en-US" w:eastAsia="zh-CN"/>
              </w:rPr>
              <w:t>8</w:t>
            </w:r>
            <w:r>
              <w:rPr>
                <w:rFonts w:hint="eastAsia" w:ascii="仿宋_GB2312" w:hAnsi="仿宋" w:eastAsia="仿宋_GB2312" w:cs="Times New Roman"/>
                <w:sz w:val="28"/>
                <w:szCs w:val="28"/>
              </w:rPr>
              <w:t>、个人移动学习评价系统，根据使用量、笔记量、订阅量、阅读量等进行排名、评级，从而激励学习行为。（满足此项得2分，不满足不得分。）</w:t>
            </w:r>
          </w:p>
          <w:p>
            <w:pPr>
              <w:spacing w:line="520" w:lineRule="exact"/>
              <w:ind w:firstLine="560" w:firstLineChars="200"/>
              <w:jc w:val="left"/>
              <w:rPr>
                <w:rFonts w:hint="eastAsia" w:ascii="仿宋_GB2312" w:hAnsi="仿宋" w:eastAsia="仿宋_GB2312" w:cs="Times New Roman"/>
                <w:sz w:val="28"/>
                <w:szCs w:val="28"/>
              </w:rPr>
            </w:pPr>
            <w:r>
              <w:rPr>
                <w:rFonts w:hint="eastAsia" w:ascii="仿宋_GB2312" w:hAnsi="仿宋" w:eastAsia="仿宋_GB2312" w:cs="Times New Roman"/>
                <w:sz w:val="28"/>
                <w:szCs w:val="28"/>
                <w:lang w:val="en-US" w:eastAsia="zh-CN"/>
              </w:rPr>
              <w:t>9</w:t>
            </w:r>
            <w:r>
              <w:rPr>
                <w:rFonts w:hint="eastAsia" w:ascii="仿宋_GB2312" w:hAnsi="仿宋" w:eastAsia="仿宋_GB2312" w:cs="Times New Roman"/>
                <w:sz w:val="28"/>
                <w:szCs w:val="28"/>
              </w:rPr>
              <w:t>、</w:t>
            </w:r>
            <w:r>
              <w:rPr>
                <w:rFonts w:hint="eastAsia" w:ascii="仿宋_GB2312" w:hAnsi="仿宋" w:eastAsia="仿宋_GB2312" w:cs="Times New Roman"/>
                <w:sz w:val="28"/>
                <w:szCs w:val="28"/>
                <w:lang w:val="en-US" w:eastAsia="zh-CN"/>
              </w:rPr>
              <w:t>学习过程性提醒。</w:t>
            </w:r>
            <w:r>
              <w:rPr>
                <w:rFonts w:hint="eastAsia" w:ascii="仿宋_GB2312" w:hAnsi="仿宋" w:eastAsia="仿宋_GB2312" w:cs="Times New Roman"/>
                <w:sz w:val="28"/>
                <w:szCs w:val="28"/>
              </w:rPr>
              <w:t>根据课程统计数据，可设置一键筛选出视频分数、测验分数、作业分数、讨论数、阅读时长等各类学习指标低于某些值的全部学生，并进行一键督促，学生将收到督促通知。（满足此项得2分，不满足不得分）</w:t>
            </w:r>
          </w:p>
          <w:p>
            <w:pPr>
              <w:spacing w:line="520" w:lineRule="exact"/>
              <w:jc w:val="left"/>
              <w:rPr>
                <w:rFonts w:hint="eastAsia" w:ascii="仿宋_GB2312" w:hAnsi="仿宋" w:eastAsia="仿宋_GB2312" w:cs="Times New Roman"/>
                <w:sz w:val="28"/>
                <w:szCs w:val="28"/>
              </w:rPr>
            </w:pPr>
            <w:r>
              <w:rPr>
                <w:rFonts w:hint="eastAsia" w:ascii="仿宋_GB2312" w:hAnsi="仿宋" w:eastAsia="仿宋_GB2312" w:cs="Times New Roman"/>
                <w:sz w:val="28"/>
                <w:szCs w:val="28"/>
              </w:rPr>
              <w:t>备注：</w:t>
            </w:r>
            <w:r>
              <w:rPr>
                <w:rFonts w:hint="eastAsia" w:ascii="仿宋_GB2312" w:hAnsi="仿宋" w:eastAsia="仿宋_GB2312" w:cs="Times New Roman"/>
                <w:sz w:val="28"/>
                <w:szCs w:val="28"/>
                <w:lang w:eastAsia="zh-CN"/>
              </w:rPr>
              <w:t>投标人</w:t>
            </w:r>
            <w:r>
              <w:rPr>
                <w:rFonts w:hint="eastAsia" w:ascii="仿宋_GB2312" w:hAnsi="仿宋" w:eastAsia="仿宋_GB2312" w:cs="Times New Roman"/>
                <w:sz w:val="28"/>
                <w:szCs w:val="28"/>
              </w:rPr>
              <w:t>需自行准备演示所需设备、网络等，</w:t>
            </w:r>
            <w:r>
              <w:rPr>
                <w:rFonts w:hint="eastAsia" w:ascii="仿宋_GB2312" w:hAnsi="仿宋" w:eastAsia="仿宋_GB2312" w:cs="Times New Roman"/>
                <w:b/>
                <w:bCs/>
                <w:sz w:val="28"/>
                <w:szCs w:val="28"/>
              </w:rPr>
              <w:t>必须使用真实系统进行演示，</w:t>
            </w:r>
            <w:r>
              <w:rPr>
                <w:rFonts w:hint="eastAsia" w:ascii="仿宋_GB2312" w:hAnsi="仿宋" w:eastAsia="仿宋_GB2312" w:cs="Times New Roman"/>
                <w:sz w:val="28"/>
                <w:szCs w:val="28"/>
              </w:rPr>
              <w:t>不得使用PPT演示。演示时间不得超过15分钟。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spacing w:line="520" w:lineRule="exact"/>
              <w:jc w:val="left"/>
              <w:rPr>
                <w:rFonts w:hint="eastAsia" w:ascii="仿宋_GB2312" w:hAnsi="仿宋" w:eastAsia="仿宋_GB2312" w:cs="Times New Roman"/>
                <w:sz w:val="28"/>
                <w:szCs w:val="28"/>
                <w:lang w:val="en-US" w:eastAsia="zh-CN"/>
              </w:rPr>
            </w:pPr>
            <w:r>
              <w:rPr>
                <w:rFonts w:hint="eastAsia" w:ascii="仿宋_GB2312" w:hAnsi="仿宋" w:eastAsia="仿宋_GB2312" w:cs="Times New Roman"/>
                <w:sz w:val="28"/>
                <w:szCs w:val="28"/>
                <w:lang w:eastAsia="zh-CN"/>
              </w:rPr>
              <w:t>投标人</w:t>
            </w:r>
            <w:r>
              <w:rPr>
                <w:rFonts w:hint="eastAsia" w:ascii="仿宋_GB2312" w:hAnsi="仿宋" w:eastAsia="仿宋_GB2312" w:cs="Times New Roman"/>
                <w:sz w:val="28"/>
                <w:szCs w:val="28"/>
                <w:lang w:val="en-US" w:eastAsia="zh-CN"/>
              </w:rPr>
              <w:t>实力</w:t>
            </w:r>
          </w:p>
        </w:tc>
        <w:tc>
          <w:tcPr>
            <w:tcW w:w="1826" w:type="dxa"/>
            <w:noWrap w:val="0"/>
            <w:vAlign w:val="center"/>
          </w:tcPr>
          <w:p>
            <w:pPr>
              <w:spacing w:line="520" w:lineRule="exact"/>
              <w:jc w:val="center"/>
              <w:rPr>
                <w:rFonts w:hint="default" w:ascii="仿宋_GB2312" w:hAnsi="仿宋" w:eastAsia="仿宋_GB2312" w:cs="Times New Roman"/>
                <w:sz w:val="28"/>
                <w:szCs w:val="28"/>
                <w:lang w:val="en-US" w:eastAsia="zh-CN"/>
              </w:rPr>
            </w:pPr>
            <w:r>
              <w:rPr>
                <w:rFonts w:hint="eastAsia" w:ascii="仿宋_GB2312" w:hAnsi="仿宋" w:eastAsia="仿宋_GB2312" w:cs="Times New Roman"/>
                <w:sz w:val="28"/>
                <w:szCs w:val="28"/>
                <w:lang w:val="en-US" w:eastAsia="zh-CN"/>
              </w:rPr>
              <w:t>10分</w:t>
            </w:r>
          </w:p>
        </w:tc>
        <w:tc>
          <w:tcPr>
            <w:tcW w:w="4870" w:type="dxa"/>
            <w:noWrap w:val="0"/>
            <w:vAlign w:val="top"/>
          </w:tcPr>
          <w:p>
            <w:pPr>
              <w:spacing w:line="520" w:lineRule="exact"/>
              <w:ind w:firstLine="560" w:firstLineChars="200"/>
              <w:jc w:val="left"/>
              <w:rPr>
                <w:rFonts w:hint="eastAsia" w:ascii="仿宋_GB2312" w:hAnsi="仿宋" w:eastAsia="仿宋_GB2312" w:cs="Times New Roman"/>
                <w:sz w:val="28"/>
                <w:szCs w:val="28"/>
              </w:rPr>
            </w:pPr>
            <w:r>
              <w:rPr>
                <w:rFonts w:hint="eastAsia" w:ascii="仿宋_GB2312" w:hAnsi="仿宋" w:eastAsia="仿宋_GB2312" w:cs="Times New Roman"/>
                <w:sz w:val="28"/>
                <w:szCs w:val="28"/>
              </w:rPr>
              <w:t>投标人需具有以下计算机软件著作权登记证书：</w:t>
            </w:r>
          </w:p>
          <w:p>
            <w:pPr>
              <w:spacing w:line="520" w:lineRule="exact"/>
              <w:jc w:val="left"/>
              <w:rPr>
                <w:rFonts w:hint="eastAsia" w:ascii="仿宋_GB2312" w:hAnsi="仿宋" w:eastAsia="仿宋_GB2312" w:cs="Times New Roman"/>
                <w:sz w:val="28"/>
                <w:szCs w:val="28"/>
              </w:rPr>
            </w:pPr>
            <w:r>
              <w:rPr>
                <w:rFonts w:hint="eastAsia" w:ascii="仿宋_GB2312" w:hAnsi="仿宋" w:eastAsia="仿宋_GB2312" w:cs="Times New Roman"/>
                <w:sz w:val="28"/>
                <w:szCs w:val="28"/>
                <w:lang w:val="en-US" w:eastAsia="zh-CN"/>
              </w:rPr>
              <w:t>（1）</w:t>
            </w:r>
            <w:r>
              <w:rPr>
                <w:rFonts w:hint="eastAsia" w:ascii="仿宋_GB2312" w:hAnsi="仿宋" w:eastAsia="仿宋_GB2312" w:cs="Times New Roman"/>
                <w:sz w:val="28"/>
                <w:szCs w:val="28"/>
              </w:rPr>
              <w:t>在线通识课程教学系统软件计算机软件著作权证书得</w:t>
            </w:r>
            <w:r>
              <w:rPr>
                <w:rFonts w:hint="eastAsia" w:ascii="仿宋_GB2312" w:hAnsi="仿宋" w:eastAsia="仿宋_GB2312" w:cs="Times New Roman"/>
                <w:sz w:val="28"/>
                <w:szCs w:val="28"/>
                <w:lang w:val="en-US" w:eastAsia="zh-CN"/>
              </w:rPr>
              <w:t>2</w:t>
            </w:r>
            <w:r>
              <w:rPr>
                <w:rFonts w:hint="eastAsia" w:ascii="仿宋_GB2312" w:hAnsi="仿宋" w:eastAsia="仿宋_GB2312" w:cs="Times New Roman"/>
                <w:sz w:val="28"/>
                <w:szCs w:val="28"/>
              </w:rPr>
              <w:t>分；</w:t>
            </w:r>
          </w:p>
          <w:p>
            <w:pPr>
              <w:spacing w:line="520" w:lineRule="exact"/>
              <w:jc w:val="left"/>
              <w:rPr>
                <w:rFonts w:hint="eastAsia" w:ascii="仿宋_GB2312" w:hAnsi="仿宋" w:eastAsia="仿宋_GB2312" w:cs="Times New Roman"/>
                <w:sz w:val="28"/>
                <w:szCs w:val="28"/>
              </w:rPr>
            </w:pPr>
            <w:r>
              <w:rPr>
                <w:rFonts w:hint="eastAsia" w:ascii="仿宋_GB2312" w:hAnsi="仿宋" w:eastAsia="仿宋_GB2312" w:cs="Times New Roman"/>
                <w:sz w:val="28"/>
                <w:szCs w:val="28"/>
                <w:lang w:eastAsia="zh-CN"/>
              </w:rPr>
              <w:t>（</w:t>
            </w:r>
            <w:r>
              <w:rPr>
                <w:rFonts w:hint="eastAsia" w:ascii="仿宋_GB2312" w:hAnsi="仿宋" w:eastAsia="仿宋_GB2312" w:cs="Times New Roman"/>
                <w:sz w:val="28"/>
                <w:szCs w:val="28"/>
                <w:lang w:val="en-US" w:eastAsia="zh-CN"/>
              </w:rPr>
              <w:t>2</w:t>
            </w:r>
            <w:r>
              <w:rPr>
                <w:rFonts w:hint="eastAsia" w:ascii="仿宋_GB2312" w:hAnsi="仿宋" w:eastAsia="仿宋_GB2312" w:cs="Times New Roman"/>
                <w:sz w:val="28"/>
                <w:szCs w:val="28"/>
                <w:lang w:eastAsia="zh-CN"/>
              </w:rPr>
              <w:t>）</w:t>
            </w:r>
            <w:r>
              <w:rPr>
                <w:rFonts w:hint="eastAsia" w:ascii="仿宋_GB2312" w:hAnsi="仿宋" w:eastAsia="仿宋_GB2312" w:cs="Times New Roman"/>
                <w:sz w:val="28"/>
                <w:szCs w:val="28"/>
              </w:rPr>
              <w:t>智慧教学课程在线管理系统类软件计算机软件著作权证书得</w:t>
            </w:r>
            <w:r>
              <w:rPr>
                <w:rFonts w:hint="eastAsia" w:ascii="仿宋_GB2312" w:hAnsi="仿宋" w:eastAsia="仿宋_GB2312" w:cs="Times New Roman"/>
                <w:sz w:val="28"/>
                <w:szCs w:val="28"/>
                <w:lang w:val="en-US" w:eastAsia="zh-CN"/>
              </w:rPr>
              <w:t>2</w:t>
            </w:r>
            <w:r>
              <w:rPr>
                <w:rFonts w:hint="eastAsia" w:ascii="仿宋_GB2312" w:hAnsi="仿宋" w:eastAsia="仿宋_GB2312" w:cs="Times New Roman"/>
                <w:sz w:val="28"/>
                <w:szCs w:val="28"/>
              </w:rPr>
              <w:t>分；</w:t>
            </w:r>
          </w:p>
          <w:p>
            <w:pPr>
              <w:spacing w:line="520" w:lineRule="exact"/>
              <w:jc w:val="left"/>
              <w:rPr>
                <w:rFonts w:hint="eastAsia" w:ascii="仿宋_GB2312" w:hAnsi="仿宋" w:eastAsia="仿宋_GB2312" w:cs="Times New Roman"/>
                <w:sz w:val="28"/>
                <w:szCs w:val="28"/>
              </w:rPr>
            </w:pPr>
            <w:r>
              <w:rPr>
                <w:rFonts w:hint="eastAsia" w:ascii="仿宋_GB2312" w:hAnsi="仿宋" w:eastAsia="仿宋_GB2312" w:cs="Times New Roman"/>
                <w:sz w:val="28"/>
                <w:szCs w:val="28"/>
                <w:lang w:eastAsia="zh-CN"/>
              </w:rPr>
              <w:t>（</w:t>
            </w:r>
            <w:r>
              <w:rPr>
                <w:rFonts w:hint="eastAsia" w:ascii="仿宋_GB2312" w:hAnsi="仿宋" w:eastAsia="仿宋_GB2312" w:cs="Times New Roman"/>
                <w:sz w:val="28"/>
                <w:szCs w:val="28"/>
                <w:lang w:val="en-US" w:eastAsia="zh-CN"/>
              </w:rPr>
              <w:t>3</w:t>
            </w:r>
            <w:r>
              <w:rPr>
                <w:rFonts w:hint="eastAsia" w:ascii="仿宋_GB2312" w:hAnsi="仿宋" w:eastAsia="仿宋_GB2312" w:cs="Times New Roman"/>
                <w:sz w:val="28"/>
                <w:szCs w:val="28"/>
                <w:lang w:eastAsia="zh-CN"/>
              </w:rPr>
              <w:t>）</w:t>
            </w:r>
            <w:r>
              <w:rPr>
                <w:rFonts w:hint="eastAsia" w:ascii="仿宋_GB2312" w:hAnsi="仿宋" w:eastAsia="仿宋_GB2312" w:cs="Times New Roman"/>
                <w:sz w:val="28"/>
                <w:szCs w:val="28"/>
              </w:rPr>
              <w:t>智慧考试及组卷系统类计算机软件著作权登记证书</w:t>
            </w:r>
            <w:r>
              <w:rPr>
                <w:rFonts w:hint="eastAsia" w:ascii="仿宋_GB2312" w:hAnsi="仿宋" w:eastAsia="仿宋_GB2312" w:cs="Times New Roman"/>
                <w:sz w:val="28"/>
                <w:szCs w:val="28"/>
                <w:lang w:val="en-US" w:eastAsia="zh-CN"/>
              </w:rPr>
              <w:t>2</w:t>
            </w:r>
            <w:r>
              <w:rPr>
                <w:rFonts w:hint="eastAsia" w:ascii="仿宋_GB2312" w:hAnsi="仿宋" w:eastAsia="仿宋_GB2312" w:cs="Times New Roman"/>
                <w:sz w:val="28"/>
                <w:szCs w:val="28"/>
              </w:rPr>
              <w:t>分；</w:t>
            </w:r>
          </w:p>
          <w:p>
            <w:pPr>
              <w:spacing w:line="520" w:lineRule="exact"/>
              <w:jc w:val="left"/>
              <w:rPr>
                <w:rFonts w:hint="eastAsia" w:ascii="仿宋_GB2312" w:hAnsi="仿宋" w:eastAsia="仿宋_GB2312" w:cs="Times New Roman"/>
                <w:sz w:val="28"/>
                <w:szCs w:val="28"/>
              </w:rPr>
            </w:pPr>
            <w:r>
              <w:rPr>
                <w:rFonts w:hint="eastAsia" w:ascii="仿宋_GB2312" w:hAnsi="仿宋" w:eastAsia="仿宋_GB2312" w:cs="Times New Roman"/>
                <w:sz w:val="28"/>
                <w:szCs w:val="28"/>
                <w:lang w:eastAsia="zh-CN"/>
              </w:rPr>
              <w:t>（</w:t>
            </w:r>
            <w:r>
              <w:rPr>
                <w:rFonts w:hint="eastAsia" w:ascii="仿宋_GB2312" w:hAnsi="仿宋" w:eastAsia="仿宋_GB2312" w:cs="Times New Roman"/>
                <w:sz w:val="28"/>
                <w:szCs w:val="28"/>
                <w:lang w:val="en-US" w:eastAsia="zh-CN"/>
              </w:rPr>
              <w:t>4</w:t>
            </w:r>
            <w:r>
              <w:rPr>
                <w:rFonts w:hint="eastAsia" w:ascii="仿宋_GB2312" w:hAnsi="仿宋" w:eastAsia="仿宋_GB2312" w:cs="Times New Roman"/>
                <w:sz w:val="28"/>
                <w:szCs w:val="28"/>
                <w:lang w:eastAsia="zh-CN"/>
              </w:rPr>
              <w:t>）</w:t>
            </w:r>
            <w:r>
              <w:rPr>
                <w:rFonts w:hint="eastAsia" w:ascii="仿宋_GB2312" w:hAnsi="仿宋" w:eastAsia="仿宋_GB2312" w:cs="Times New Roman"/>
                <w:sz w:val="28"/>
                <w:szCs w:val="28"/>
              </w:rPr>
              <w:t>课程运行可视化管理系统计算机软件著作权证书得</w:t>
            </w:r>
            <w:r>
              <w:rPr>
                <w:rFonts w:hint="eastAsia" w:ascii="仿宋_GB2312" w:hAnsi="仿宋" w:eastAsia="仿宋_GB2312" w:cs="Times New Roman"/>
                <w:sz w:val="28"/>
                <w:szCs w:val="28"/>
                <w:lang w:val="en-US" w:eastAsia="zh-CN"/>
              </w:rPr>
              <w:t>2</w:t>
            </w:r>
            <w:r>
              <w:rPr>
                <w:rFonts w:hint="eastAsia" w:ascii="仿宋_GB2312" w:hAnsi="仿宋" w:eastAsia="仿宋_GB2312" w:cs="Times New Roman"/>
                <w:sz w:val="28"/>
                <w:szCs w:val="28"/>
              </w:rPr>
              <w:t>分。</w:t>
            </w:r>
          </w:p>
          <w:p>
            <w:pPr>
              <w:pStyle w:val="2"/>
              <w:rPr>
                <w:rFonts w:hint="eastAsia" w:ascii="仿宋_GB2312" w:hAnsi="仿宋" w:eastAsia="仿宋_GB2312" w:cs="Times New Roman"/>
                <w:kern w:val="2"/>
                <w:sz w:val="28"/>
                <w:szCs w:val="28"/>
                <w:lang w:val="en-US" w:eastAsia="zh-CN" w:bidi="ar-SA"/>
              </w:rPr>
            </w:pPr>
            <w:r>
              <w:rPr>
                <w:rFonts w:hint="eastAsia" w:ascii="仿宋_GB2312" w:hAnsi="仿宋" w:eastAsia="仿宋_GB2312" w:cs="Times New Roman"/>
                <w:kern w:val="2"/>
                <w:sz w:val="28"/>
                <w:szCs w:val="28"/>
                <w:lang w:val="en-US" w:eastAsia="zh-CN" w:bidi="ar-SA"/>
              </w:rPr>
              <w:t>（5）通识课程制作系统计算机软件著作权证书得2分。</w:t>
            </w:r>
          </w:p>
          <w:p>
            <w:pPr>
              <w:spacing w:line="520" w:lineRule="exact"/>
              <w:ind w:firstLine="560" w:firstLineChars="200"/>
              <w:jc w:val="left"/>
              <w:rPr>
                <w:rFonts w:hint="eastAsia" w:ascii="仿宋_GB2312" w:hAnsi="仿宋" w:eastAsia="仿宋_GB2312" w:cs="Times New Roman"/>
                <w:sz w:val="28"/>
                <w:szCs w:val="28"/>
              </w:rPr>
            </w:pPr>
            <w:r>
              <w:rPr>
                <w:rFonts w:hint="eastAsia" w:ascii="仿宋_GB2312" w:hAnsi="仿宋" w:eastAsia="仿宋_GB2312" w:cs="Times New Roman"/>
                <w:sz w:val="28"/>
                <w:szCs w:val="28"/>
              </w:rPr>
              <w:t>注：提供证书复印件或扫描件加盖公章。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spacing w:line="520" w:lineRule="exact"/>
              <w:jc w:val="center"/>
              <w:rPr>
                <w:rFonts w:hint="eastAsia" w:ascii="仿宋_GB2312" w:hAnsi="仿宋" w:eastAsia="仿宋_GB2312" w:cs="Times New Roman"/>
                <w:sz w:val="28"/>
                <w:szCs w:val="28"/>
              </w:rPr>
            </w:pPr>
            <w:r>
              <w:rPr>
                <w:rFonts w:hint="eastAsia" w:ascii="仿宋_GB2312" w:hAnsi="仿宋" w:eastAsia="仿宋_GB2312" w:cs="Times New Roman"/>
                <w:sz w:val="28"/>
                <w:szCs w:val="28"/>
              </w:rPr>
              <w:t>团队服务分</w:t>
            </w:r>
          </w:p>
        </w:tc>
        <w:tc>
          <w:tcPr>
            <w:tcW w:w="1826" w:type="dxa"/>
            <w:noWrap w:val="0"/>
            <w:vAlign w:val="center"/>
          </w:tcPr>
          <w:p>
            <w:pPr>
              <w:spacing w:line="520" w:lineRule="exact"/>
              <w:jc w:val="center"/>
              <w:rPr>
                <w:rFonts w:hint="default" w:ascii="仿宋_GB2312" w:hAnsi="仿宋" w:eastAsia="仿宋_GB2312" w:cs="Times New Roman"/>
                <w:sz w:val="28"/>
                <w:szCs w:val="28"/>
                <w:lang w:val="en-US" w:eastAsia="zh-CN"/>
              </w:rPr>
            </w:pPr>
            <w:r>
              <w:rPr>
                <w:rFonts w:hint="default" w:ascii="仿宋_GB2312" w:hAnsi="仿宋" w:eastAsia="仿宋_GB2312" w:cs="Times New Roman"/>
                <w:sz w:val="28"/>
                <w:szCs w:val="28"/>
                <w:lang w:val="en-US" w:eastAsia="zh-CN"/>
              </w:rPr>
              <w:t>1</w:t>
            </w:r>
            <w:r>
              <w:rPr>
                <w:rFonts w:hint="eastAsia" w:ascii="仿宋_GB2312" w:hAnsi="仿宋" w:eastAsia="仿宋_GB2312" w:cs="Times New Roman"/>
                <w:sz w:val="28"/>
                <w:szCs w:val="28"/>
                <w:lang w:val="en-US" w:eastAsia="zh-CN"/>
              </w:rPr>
              <w:t>0</w:t>
            </w:r>
            <w:r>
              <w:rPr>
                <w:rFonts w:hint="default" w:ascii="仿宋_GB2312" w:hAnsi="仿宋" w:eastAsia="仿宋_GB2312" w:cs="Times New Roman"/>
                <w:sz w:val="28"/>
                <w:szCs w:val="28"/>
                <w:lang w:val="en-US" w:eastAsia="zh-CN"/>
              </w:rPr>
              <w:t>分</w:t>
            </w:r>
          </w:p>
        </w:tc>
        <w:tc>
          <w:tcPr>
            <w:tcW w:w="4870" w:type="dxa"/>
            <w:noWrap w:val="0"/>
            <w:vAlign w:val="top"/>
          </w:tcPr>
          <w:p>
            <w:pPr>
              <w:numPr>
                <w:ilvl w:val="0"/>
                <w:numId w:val="0"/>
              </w:numPr>
              <w:spacing w:line="520" w:lineRule="exact"/>
              <w:ind w:firstLine="560" w:firstLineChars="200"/>
              <w:jc w:val="left"/>
              <w:rPr>
                <w:rFonts w:hint="eastAsia" w:ascii="仿宋_GB2312" w:hAnsi="仿宋" w:eastAsia="仿宋_GB2312" w:cs="Times New Roman"/>
                <w:sz w:val="28"/>
                <w:szCs w:val="28"/>
                <w:lang w:eastAsia="zh-CN"/>
              </w:rPr>
            </w:pPr>
            <w:r>
              <w:rPr>
                <w:rFonts w:hint="eastAsia" w:ascii="仿宋_GB2312" w:hAnsi="仿宋" w:eastAsia="仿宋_GB2312" w:cs="Times New Roman"/>
                <w:sz w:val="28"/>
                <w:szCs w:val="28"/>
                <w:lang w:eastAsia="zh-CN"/>
              </w:rPr>
              <w:t>投标人对本项目拟派客服、技术服务人员。注：响应文件中须同时提供人员名单（格式自拟）及投标人为其缴纳的近半年（连续3个月）的社保证明材料。</w:t>
            </w:r>
          </w:p>
          <w:p>
            <w:pPr>
              <w:numPr>
                <w:ilvl w:val="0"/>
                <w:numId w:val="0"/>
              </w:numPr>
              <w:spacing w:line="520" w:lineRule="exact"/>
              <w:jc w:val="left"/>
              <w:rPr>
                <w:rFonts w:hint="eastAsia" w:ascii="仿宋_GB2312" w:hAnsi="仿宋" w:eastAsia="仿宋_GB2312" w:cs="Times New Roman"/>
                <w:sz w:val="28"/>
                <w:szCs w:val="28"/>
                <w:lang w:eastAsia="zh-CN"/>
              </w:rPr>
            </w:pPr>
            <w:r>
              <w:rPr>
                <w:rFonts w:hint="eastAsia" w:ascii="仿宋_GB2312" w:hAnsi="仿宋" w:eastAsia="仿宋_GB2312" w:cs="Times New Roman"/>
                <w:sz w:val="28"/>
                <w:szCs w:val="28"/>
                <w:lang w:eastAsia="zh-CN"/>
              </w:rPr>
              <w:t>（</w:t>
            </w:r>
            <w:r>
              <w:rPr>
                <w:rFonts w:hint="eastAsia" w:ascii="仿宋_GB2312" w:hAnsi="仿宋" w:eastAsia="仿宋_GB2312" w:cs="Times New Roman"/>
                <w:sz w:val="28"/>
                <w:szCs w:val="28"/>
                <w:lang w:val="en-US" w:eastAsia="zh-CN"/>
              </w:rPr>
              <w:t>1</w:t>
            </w:r>
            <w:r>
              <w:rPr>
                <w:rFonts w:hint="eastAsia" w:ascii="仿宋_GB2312" w:hAnsi="仿宋" w:eastAsia="仿宋_GB2312" w:cs="Times New Roman"/>
                <w:sz w:val="28"/>
                <w:szCs w:val="28"/>
                <w:lang w:eastAsia="zh-CN"/>
              </w:rPr>
              <w:t>）满足人员技术需求，服务团队</w:t>
            </w:r>
            <w:r>
              <w:rPr>
                <w:rFonts w:hint="eastAsia" w:ascii="仿宋_GB2312" w:hAnsi="仿宋" w:eastAsia="仿宋_GB2312" w:cs="Times New Roman"/>
                <w:sz w:val="28"/>
                <w:szCs w:val="28"/>
                <w:lang w:val="en-US" w:eastAsia="zh-CN"/>
              </w:rPr>
              <w:t>大于等于10</w:t>
            </w:r>
            <w:r>
              <w:rPr>
                <w:rFonts w:hint="eastAsia" w:ascii="仿宋_GB2312" w:hAnsi="仿宋" w:eastAsia="仿宋_GB2312" w:cs="Times New Roman"/>
                <w:sz w:val="28"/>
                <w:szCs w:val="28"/>
                <w:lang w:eastAsia="zh-CN"/>
              </w:rPr>
              <w:t>人，各岗位权责分工非常明确，有完善的岗位责任制度，得</w:t>
            </w:r>
            <w:r>
              <w:rPr>
                <w:rFonts w:hint="eastAsia" w:ascii="仿宋_GB2312" w:hAnsi="仿宋" w:eastAsia="仿宋_GB2312" w:cs="Times New Roman"/>
                <w:sz w:val="28"/>
                <w:szCs w:val="28"/>
                <w:lang w:val="en-US" w:eastAsia="zh-CN"/>
              </w:rPr>
              <w:t>10</w:t>
            </w:r>
            <w:r>
              <w:rPr>
                <w:rFonts w:hint="eastAsia" w:ascii="仿宋_GB2312" w:hAnsi="仿宋" w:eastAsia="仿宋_GB2312" w:cs="Times New Roman"/>
                <w:sz w:val="28"/>
                <w:szCs w:val="28"/>
                <w:lang w:eastAsia="zh-CN"/>
              </w:rPr>
              <w:t>分。</w:t>
            </w:r>
          </w:p>
          <w:p>
            <w:pPr>
              <w:spacing w:line="520" w:lineRule="exact"/>
              <w:jc w:val="left"/>
              <w:rPr>
                <w:rFonts w:hint="eastAsia" w:ascii="仿宋_GB2312" w:hAnsi="仿宋" w:eastAsia="仿宋_GB2312" w:cs="Times New Roman"/>
                <w:sz w:val="28"/>
                <w:szCs w:val="28"/>
                <w:lang w:eastAsia="zh-CN"/>
              </w:rPr>
            </w:pPr>
            <w:r>
              <w:rPr>
                <w:rFonts w:hint="eastAsia" w:ascii="仿宋_GB2312" w:hAnsi="仿宋" w:eastAsia="仿宋_GB2312" w:cs="Times New Roman"/>
                <w:sz w:val="28"/>
                <w:szCs w:val="28"/>
                <w:lang w:eastAsia="zh-CN"/>
              </w:rPr>
              <w:t>（</w:t>
            </w:r>
            <w:r>
              <w:rPr>
                <w:rFonts w:hint="eastAsia" w:ascii="仿宋_GB2312" w:hAnsi="仿宋" w:eastAsia="仿宋_GB2312" w:cs="Times New Roman"/>
                <w:sz w:val="28"/>
                <w:szCs w:val="28"/>
                <w:lang w:val="en-US" w:eastAsia="zh-CN"/>
              </w:rPr>
              <w:t>2</w:t>
            </w:r>
            <w:r>
              <w:rPr>
                <w:rFonts w:hint="eastAsia" w:ascii="仿宋_GB2312" w:hAnsi="仿宋" w:eastAsia="仿宋_GB2312" w:cs="Times New Roman"/>
                <w:sz w:val="28"/>
                <w:szCs w:val="28"/>
                <w:lang w:eastAsia="zh-CN"/>
              </w:rPr>
              <w:t>）满足人员技术需求，服务团队</w:t>
            </w:r>
            <w:r>
              <w:rPr>
                <w:rFonts w:hint="eastAsia" w:ascii="仿宋_GB2312" w:hAnsi="仿宋" w:eastAsia="仿宋_GB2312" w:cs="Times New Roman"/>
                <w:sz w:val="28"/>
                <w:szCs w:val="28"/>
                <w:lang w:val="en-US" w:eastAsia="zh-CN"/>
              </w:rPr>
              <w:t>有5-9</w:t>
            </w:r>
            <w:r>
              <w:rPr>
                <w:rFonts w:hint="eastAsia" w:ascii="仿宋_GB2312" w:hAnsi="仿宋" w:eastAsia="仿宋_GB2312" w:cs="Times New Roman"/>
                <w:sz w:val="28"/>
                <w:szCs w:val="28"/>
                <w:lang w:eastAsia="zh-CN"/>
              </w:rPr>
              <w:t>人，各岗位权责分工较为明确，有较完善的岗位责任制度，得</w:t>
            </w:r>
            <w:r>
              <w:rPr>
                <w:rFonts w:hint="eastAsia" w:ascii="仿宋_GB2312" w:hAnsi="仿宋" w:eastAsia="仿宋_GB2312" w:cs="Times New Roman"/>
                <w:sz w:val="28"/>
                <w:szCs w:val="28"/>
                <w:lang w:val="en-US" w:eastAsia="zh-CN"/>
              </w:rPr>
              <w:t>6</w:t>
            </w:r>
            <w:r>
              <w:rPr>
                <w:rFonts w:hint="eastAsia" w:ascii="仿宋_GB2312" w:hAnsi="仿宋" w:eastAsia="仿宋_GB2312" w:cs="Times New Roman"/>
                <w:sz w:val="28"/>
                <w:szCs w:val="28"/>
                <w:lang w:eastAsia="zh-CN"/>
              </w:rPr>
              <w:t>分。</w:t>
            </w:r>
          </w:p>
          <w:p>
            <w:pPr>
              <w:spacing w:line="520" w:lineRule="exact"/>
              <w:jc w:val="left"/>
              <w:rPr>
                <w:rFonts w:hint="eastAsia" w:ascii="仿宋_GB2312" w:hAnsi="仿宋" w:eastAsia="仿宋_GB2312" w:cs="Times New Roman"/>
                <w:sz w:val="28"/>
                <w:szCs w:val="28"/>
                <w:lang w:eastAsia="zh-CN"/>
              </w:rPr>
            </w:pPr>
            <w:r>
              <w:rPr>
                <w:rFonts w:hint="eastAsia" w:ascii="仿宋_GB2312" w:hAnsi="仿宋" w:eastAsia="仿宋_GB2312" w:cs="Times New Roman"/>
                <w:sz w:val="28"/>
                <w:szCs w:val="28"/>
                <w:lang w:eastAsia="zh-CN"/>
              </w:rPr>
              <w:t>（</w:t>
            </w:r>
            <w:r>
              <w:rPr>
                <w:rFonts w:hint="eastAsia" w:ascii="仿宋_GB2312" w:hAnsi="仿宋" w:eastAsia="仿宋_GB2312" w:cs="Times New Roman"/>
                <w:sz w:val="28"/>
                <w:szCs w:val="28"/>
                <w:lang w:val="en-US" w:eastAsia="zh-CN"/>
              </w:rPr>
              <w:t>3</w:t>
            </w:r>
            <w:r>
              <w:rPr>
                <w:rFonts w:hint="eastAsia" w:ascii="仿宋_GB2312" w:hAnsi="仿宋" w:eastAsia="仿宋_GB2312" w:cs="Times New Roman"/>
                <w:sz w:val="28"/>
                <w:szCs w:val="28"/>
                <w:lang w:eastAsia="zh-CN"/>
              </w:rPr>
              <w:t>）满足人员技术需求，服务团队</w:t>
            </w:r>
            <w:r>
              <w:rPr>
                <w:rFonts w:hint="eastAsia" w:ascii="仿宋_GB2312" w:hAnsi="仿宋" w:eastAsia="仿宋_GB2312" w:cs="Times New Roman"/>
                <w:sz w:val="28"/>
                <w:szCs w:val="28"/>
                <w:lang w:val="en-US" w:eastAsia="zh-CN"/>
              </w:rPr>
              <w:t>有1-4</w:t>
            </w:r>
            <w:r>
              <w:rPr>
                <w:rFonts w:hint="eastAsia" w:ascii="仿宋_GB2312" w:hAnsi="仿宋" w:eastAsia="仿宋_GB2312" w:cs="Times New Roman"/>
                <w:sz w:val="28"/>
                <w:szCs w:val="28"/>
                <w:lang w:eastAsia="zh-CN"/>
              </w:rPr>
              <w:t>人，各岗位权责分工不明确，岗位责任制度不完善，得</w:t>
            </w:r>
            <w:r>
              <w:rPr>
                <w:rFonts w:hint="eastAsia" w:ascii="仿宋_GB2312" w:hAnsi="仿宋" w:eastAsia="仿宋_GB2312" w:cs="Times New Roman"/>
                <w:sz w:val="28"/>
                <w:szCs w:val="28"/>
                <w:lang w:val="en-US" w:eastAsia="zh-CN"/>
              </w:rPr>
              <w:t>2</w:t>
            </w:r>
            <w:r>
              <w:rPr>
                <w:rFonts w:hint="eastAsia" w:ascii="仿宋_GB2312" w:hAnsi="仿宋" w:eastAsia="仿宋_GB2312" w:cs="Times New Roman"/>
                <w:sz w:val="28"/>
                <w:szCs w:val="28"/>
                <w:lang w:eastAsia="zh-CN"/>
              </w:rPr>
              <w:t>分；</w:t>
            </w:r>
          </w:p>
          <w:p>
            <w:pPr>
              <w:spacing w:line="520" w:lineRule="exact"/>
              <w:jc w:val="left"/>
              <w:rPr>
                <w:rFonts w:hint="eastAsia" w:ascii="仿宋_GB2312" w:hAnsi="仿宋" w:eastAsia="仿宋_GB2312" w:cs="Times New Roman"/>
                <w:sz w:val="28"/>
                <w:szCs w:val="28"/>
                <w:lang w:eastAsia="zh-CN"/>
              </w:rPr>
            </w:pPr>
            <w:r>
              <w:rPr>
                <w:rFonts w:hint="eastAsia" w:ascii="仿宋_GB2312" w:hAnsi="仿宋" w:eastAsia="仿宋_GB2312" w:cs="Times New Roman"/>
                <w:sz w:val="28"/>
                <w:szCs w:val="28"/>
                <w:lang w:eastAsia="zh-CN"/>
              </w:rPr>
              <w:t>（</w:t>
            </w:r>
            <w:r>
              <w:rPr>
                <w:rFonts w:hint="eastAsia" w:ascii="仿宋_GB2312" w:hAnsi="仿宋" w:eastAsia="仿宋_GB2312" w:cs="Times New Roman"/>
                <w:sz w:val="28"/>
                <w:szCs w:val="28"/>
                <w:lang w:val="en-US" w:eastAsia="zh-CN"/>
              </w:rPr>
              <w:t>4</w:t>
            </w:r>
            <w:r>
              <w:rPr>
                <w:rFonts w:hint="eastAsia" w:ascii="仿宋_GB2312" w:hAnsi="仿宋" w:eastAsia="仿宋_GB2312" w:cs="Times New Roman"/>
                <w:sz w:val="28"/>
                <w:szCs w:val="28"/>
                <w:lang w:eastAsia="zh-CN"/>
              </w:rPr>
              <w:t>）否则得0分。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26" w:type="dxa"/>
            <w:noWrap w:val="0"/>
            <w:vAlign w:val="center"/>
          </w:tcPr>
          <w:p>
            <w:pPr>
              <w:spacing w:line="520" w:lineRule="exact"/>
              <w:jc w:val="center"/>
              <w:rPr>
                <w:rFonts w:hint="default" w:ascii="仿宋_GB2312" w:hAnsi="仿宋" w:eastAsia="仿宋_GB2312" w:cs="Times New Roman"/>
                <w:sz w:val="28"/>
                <w:szCs w:val="28"/>
                <w:lang w:val="en-US" w:eastAsia="zh-CN"/>
              </w:rPr>
            </w:pPr>
            <w:r>
              <w:rPr>
                <w:rFonts w:hint="eastAsia" w:ascii="仿宋_GB2312" w:hAnsi="仿宋" w:eastAsia="仿宋_GB2312" w:cs="Times New Roman"/>
                <w:sz w:val="28"/>
                <w:szCs w:val="28"/>
                <w:lang w:val="en-US" w:eastAsia="zh-CN"/>
              </w:rPr>
              <w:t>售后服务分</w:t>
            </w:r>
          </w:p>
        </w:tc>
        <w:tc>
          <w:tcPr>
            <w:tcW w:w="1826" w:type="dxa"/>
            <w:noWrap w:val="0"/>
            <w:vAlign w:val="center"/>
          </w:tcPr>
          <w:p>
            <w:pPr>
              <w:spacing w:line="520" w:lineRule="exact"/>
              <w:jc w:val="center"/>
              <w:rPr>
                <w:rFonts w:hint="eastAsia" w:ascii="仿宋_GB2312" w:hAnsi="仿宋" w:eastAsia="仿宋_GB2312" w:cs="Times New Roman"/>
                <w:sz w:val="28"/>
                <w:szCs w:val="28"/>
                <w:lang w:val="en-US" w:eastAsia="zh-CN"/>
              </w:rPr>
            </w:pPr>
            <w:r>
              <w:rPr>
                <w:rFonts w:hint="eastAsia" w:ascii="仿宋_GB2312" w:hAnsi="仿宋" w:eastAsia="仿宋_GB2312" w:cs="Times New Roman"/>
                <w:sz w:val="28"/>
                <w:szCs w:val="28"/>
                <w:lang w:val="en-US" w:eastAsia="zh-CN"/>
              </w:rPr>
              <w:t>10分</w:t>
            </w:r>
          </w:p>
        </w:tc>
        <w:tc>
          <w:tcPr>
            <w:tcW w:w="4870" w:type="dxa"/>
            <w:noWrap w:val="0"/>
            <w:vAlign w:val="top"/>
          </w:tcPr>
          <w:p>
            <w:pPr>
              <w:spacing w:line="520" w:lineRule="exact"/>
              <w:ind w:firstLine="560" w:firstLineChars="200"/>
              <w:jc w:val="left"/>
              <w:rPr>
                <w:rFonts w:hint="eastAsia" w:ascii="仿宋_GB2312" w:hAnsi="仿宋" w:eastAsia="仿宋_GB2312" w:cs="Times New Roman"/>
                <w:sz w:val="28"/>
                <w:szCs w:val="28"/>
                <w:lang w:eastAsia="zh-CN"/>
              </w:rPr>
            </w:pPr>
            <w:r>
              <w:rPr>
                <w:rFonts w:hint="eastAsia" w:ascii="仿宋_GB2312" w:hAnsi="仿宋" w:eastAsia="仿宋_GB2312" w:cs="Times New Roman"/>
                <w:sz w:val="28"/>
                <w:szCs w:val="28"/>
                <w:lang w:eastAsia="zh-CN"/>
              </w:rPr>
              <w:t>结合我校招标业务内容，</w:t>
            </w:r>
            <w:r>
              <w:rPr>
                <w:rFonts w:hint="eastAsia" w:ascii="仿宋_GB2312" w:hAnsi="仿宋" w:eastAsia="仿宋_GB2312" w:cs="Times New Roman"/>
                <w:sz w:val="28"/>
                <w:szCs w:val="28"/>
                <w:lang w:val="en-US" w:eastAsia="zh-CN"/>
              </w:rPr>
              <w:t>提供相应的</w:t>
            </w:r>
            <w:r>
              <w:rPr>
                <w:rFonts w:hint="eastAsia" w:ascii="仿宋_GB2312" w:hAnsi="仿宋" w:eastAsia="仿宋_GB2312" w:cs="Times New Roman"/>
                <w:sz w:val="28"/>
                <w:szCs w:val="28"/>
                <w:lang w:eastAsia="zh-CN"/>
              </w:rPr>
              <w:t>售后服务</w:t>
            </w:r>
            <w:r>
              <w:rPr>
                <w:rFonts w:hint="eastAsia" w:ascii="仿宋_GB2312" w:hAnsi="仿宋" w:eastAsia="仿宋_GB2312" w:cs="Times New Roman"/>
                <w:sz w:val="28"/>
                <w:szCs w:val="28"/>
                <w:lang w:val="en-US" w:eastAsia="zh-CN"/>
              </w:rPr>
              <w:t>书</w:t>
            </w:r>
            <w:r>
              <w:rPr>
                <w:rFonts w:hint="eastAsia" w:ascii="仿宋_GB2312" w:hAnsi="仿宋" w:eastAsia="仿宋_GB2312" w:cs="Times New Roman"/>
                <w:sz w:val="28"/>
                <w:szCs w:val="28"/>
                <w:lang w:eastAsia="zh-CN"/>
              </w:rPr>
              <w:t>；</w:t>
            </w:r>
          </w:p>
          <w:p>
            <w:pPr>
              <w:spacing w:line="520" w:lineRule="exact"/>
              <w:jc w:val="left"/>
              <w:rPr>
                <w:rFonts w:hint="eastAsia" w:ascii="仿宋_GB2312" w:hAnsi="仿宋" w:eastAsia="仿宋_GB2312" w:cs="Times New Roman"/>
                <w:sz w:val="28"/>
                <w:szCs w:val="28"/>
                <w:lang w:eastAsia="zh-CN"/>
              </w:rPr>
            </w:pPr>
            <w:r>
              <w:rPr>
                <w:rFonts w:hint="eastAsia" w:ascii="仿宋_GB2312" w:hAnsi="仿宋" w:eastAsia="仿宋_GB2312" w:cs="Times New Roman"/>
                <w:sz w:val="28"/>
                <w:szCs w:val="28"/>
                <w:lang w:eastAsia="zh-CN"/>
              </w:rPr>
              <w:t>（1）</w:t>
            </w:r>
            <w:r>
              <w:rPr>
                <w:rFonts w:hint="eastAsia" w:ascii="仿宋_GB2312" w:hAnsi="仿宋" w:eastAsia="仿宋_GB2312" w:cs="Times New Roman"/>
                <w:sz w:val="28"/>
                <w:szCs w:val="28"/>
                <w:lang w:val="en-US" w:eastAsia="zh-CN"/>
              </w:rPr>
              <w:t>可</w:t>
            </w:r>
            <w:r>
              <w:rPr>
                <w:rFonts w:hint="eastAsia" w:ascii="仿宋_GB2312" w:hAnsi="仿宋" w:eastAsia="仿宋_GB2312" w:cs="Times New Roman"/>
                <w:sz w:val="28"/>
                <w:szCs w:val="28"/>
                <w:lang w:eastAsia="zh-CN"/>
              </w:rPr>
              <w:t>免费安装课程学习所需的控制程序、课程资源等，</w:t>
            </w:r>
            <w:r>
              <w:rPr>
                <w:rFonts w:hint="eastAsia" w:ascii="仿宋_GB2312" w:hAnsi="仿宋" w:eastAsia="仿宋_GB2312" w:cs="Times New Roman"/>
                <w:sz w:val="28"/>
                <w:szCs w:val="28"/>
                <w:lang w:val="en-US" w:eastAsia="zh-CN"/>
              </w:rPr>
              <w:t>得2分；能</w:t>
            </w:r>
            <w:r>
              <w:rPr>
                <w:rFonts w:hint="eastAsia" w:ascii="仿宋_GB2312" w:hAnsi="仿宋" w:eastAsia="仿宋_GB2312" w:cs="Times New Roman"/>
                <w:sz w:val="28"/>
                <w:szCs w:val="28"/>
                <w:lang w:eastAsia="zh-CN"/>
              </w:rPr>
              <w:t>为甲方技术人员提供相关培训，</w:t>
            </w:r>
            <w:r>
              <w:rPr>
                <w:rFonts w:hint="eastAsia" w:ascii="仿宋_GB2312" w:hAnsi="仿宋" w:eastAsia="仿宋_GB2312" w:cs="Times New Roman"/>
                <w:sz w:val="28"/>
                <w:szCs w:val="28"/>
                <w:lang w:val="en-US" w:eastAsia="zh-CN"/>
              </w:rPr>
              <w:t>得2分</w:t>
            </w:r>
            <w:r>
              <w:rPr>
                <w:rFonts w:hint="eastAsia" w:ascii="仿宋_GB2312" w:hAnsi="仿宋" w:eastAsia="仿宋_GB2312" w:cs="Times New Roman"/>
                <w:sz w:val="28"/>
                <w:szCs w:val="28"/>
                <w:lang w:eastAsia="zh-CN"/>
              </w:rPr>
              <w:t>；</w:t>
            </w:r>
          </w:p>
          <w:p>
            <w:pPr>
              <w:spacing w:line="520" w:lineRule="exact"/>
              <w:jc w:val="left"/>
              <w:rPr>
                <w:rFonts w:hint="default" w:ascii="仿宋_GB2312" w:hAnsi="仿宋" w:eastAsia="仿宋_GB2312" w:cs="Times New Roman"/>
                <w:sz w:val="28"/>
                <w:szCs w:val="28"/>
                <w:lang w:val="en-US" w:eastAsia="zh-CN"/>
              </w:rPr>
            </w:pPr>
            <w:r>
              <w:rPr>
                <w:rFonts w:hint="eastAsia" w:ascii="仿宋_GB2312" w:hAnsi="仿宋" w:eastAsia="仿宋_GB2312" w:cs="Times New Roman"/>
                <w:sz w:val="28"/>
                <w:szCs w:val="28"/>
                <w:lang w:eastAsia="zh-CN"/>
              </w:rPr>
              <w:t>（2）提供专门的网站在线客服，对系统维护、使用中的一些问题进行及时的指导，</w:t>
            </w:r>
            <w:r>
              <w:rPr>
                <w:rFonts w:hint="eastAsia" w:ascii="仿宋_GB2312" w:hAnsi="仿宋" w:eastAsia="仿宋_GB2312" w:cs="Times New Roman"/>
                <w:sz w:val="28"/>
                <w:szCs w:val="28"/>
                <w:lang w:val="en-US" w:eastAsia="zh-CN"/>
              </w:rPr>
              <w:t>得2分；</w:t>
            </w:r>
            <w:r>
              <w:rPr>
                <w:rFonts w:hint="eastAsia" w:ascii="仿宋_GB2312" w:hAnsi="仿宋" w:eastAsia="仿宋_GB2312" w:cs="Times New Roman"/>
                <w:sz w:val="28"/>
                <w:szCs w:val="28"/>
                <w:lang w:eastAsia="zh-CN"/>
              </w:rPr>
              <w:t>为用户提供7*24小时问题接收服务（提供相关证明材料或者加盖公章承诺函），</w:t>
            </w:r>
            <w:r>
              <w:rPr>
                <w:rFonts w:hint="eastAsia" w:ascii="仿宋_GB2312" w:hAnsi="仿宋" w:eastAsia="仿宋_GB2312" w:cs="Times New Roman"/>
                <w:sz w:val="28"/>
                <w:szCs w:val="28"/>
                <w:lang w:val="en-US" w:eastAsia="zh-CN"/>
              </w:rPr>
              <w:t>得2分；</w:t>
            </w:r>
          </w:p>
          <w:p>
            <w:pPr>
              <w:spacing w:line="520" w:lineRule="exact"/>
              <w:jc w:val="left"/>
              <w:rPr>
                <w:rFonts w:hint="default" w:ascii="仿宋_GB2312" w:hAnsi="仿宋" w:eastAsia="仿宋_GB2312" w:cs="Times New Roman"/>
                <w:sz w:val="28"/>
                <w:szCs w:val="28"/>
                <w:lang w:val="en-US" w:eastAsia="zh-CN"/>
              </w:rPr>
            </w:pPr>
            <w:r>
              <w:rPr>
                <w:rFonts w:hint="eastAsia" w:ascii="仿宋_GB2312" w:hAnsi="仿宋" w:eastAsia="仿宋_GB2312" w:cs="Times New Roman"/>
                <w:sz w:val="28"/>
                <w:szCs w:val="28"/>
                <w:lang w:eastAsia="zh-CN"/>
              </w:rPr>
              <w:t>（3）对于软件故障，投标人在接到故障通知2个小时内给予解答。如电话支持无法解决，则在2小时内做出响应，答复排除故障的策略。遇到重大技术问题，投标人将及时组织有关技术专家进行会诊，并采取相应措施确保系统在8小时内恢复运行，</w:t>
            </w:r>
            <w:r>
              <w:rPr>
                <w:rFonts w:hint="eastAsia" w:ascii="仿宋_GB2312" w:hAnsi="仿宋" w:eastAsia="仿宋_GB2312" w:cs="Times New Roman"/>
                <w:sz w:val="28"/>
                <w:szCs w:val="28"/>
                <w:lang w:val="en-US" w:eastAsia="zh-CN"/>
              </w:rPr>
              <w:t>得2分。</w:t>
            </w:r>
          </w:p>
          <w:p>
            <w:pPr>
              <w:spacing w:line="520" w:lineRule="exact"/>
              <w:jc w:val="left"/>
              <w:rPr>
                <w:rFonts w:hint="eastAsia" w:ascii="仿宋_GB2312" w:hAnsi="仿宋" w:eastAsia="仿宋_GB2312" w:cs="Times New Roman"/>
                <w:sz w:val="28"/>
                <w:szCs w:val="28"/>
                <w:lang w:eastAsia="zh-CN"/>
              </w:rPr>
            </w:pPr>
            <w:r>
              <w:rPr>
                <w:rFonts w:hint="eastAsia" w:ascii="仿宋_GB2312" w:hAnsi="仿宋" w:eastAsia="仿宋_GB2312" w:cs="Times New Roman"/>
                <w:sz w:val="28"/>
                <w:szCs w:val="28"/>
                <w:lang w:eastAsia="zh-CN"/>
              </w:rPr>
              <w:t>（4）差或未提供任何内容不得分。</w:t>
            </w:r>
          </w:p>
        </w:tc>
      </w:tr>
    </w:tbl>
    <w:p>
      <w:pPr>
        <w:keepNext w:val="0"/>
        <w:keepLines w:val="0"/>
        <w:pageBreakBefore w:val="0"/>
        <w:widowControl w:val="0"/>
        <w:tabs>
          <w:tab w:val="left" w:pos="180"/>
          <w:tab w:val="left" w:pos="1701"/>
        </w:tabs>
        <w:kinsoku/>
        <w:wordWrap/>
        <w:overflowPunct/>
        <w:topLinePunct w:val="0"/>
        <w:autoSpaceDE/>
        <w:autoSpaceDN/>
        <w:bidi w:val="0"/>
        <w:adjustRightInd/>
        <w:snapToGrid/>
        <w:spacing w:line="360" w:lineRule="auto"/>
        <w:textAlignment w:val="auto"/>
        <w:rPr>
          <w:rFonts w:hint="eastAsia" w:ascii="仿宋_GB2312" w:eastAsia="仿宋_GB2312"/>
          <w:sz w:val="28"/>
          <w:szCs w:val="28"/>
          <w:lang w:val="en-US" w:eastAsia="zh-CN"/>
        </w:rPr>
      </w:pPr>
    </w:p>
    <w:p>
      <w:pPr>
        <w:adjustRightInd w:val="0"/>
        <w:snapToGrid w:val="0"/>
        <w:spacing w:line="360" w:lineRule="auto"/>
        <w:rPr>
          <w:rFonts w:hint="eastAsia" w:ascii="仿宋_GB2312" w:eastAsia="仿宋_GB2312"/>
          <w:sz w:val="28"/>
          <w:szCs w:val="28"/>
        </w:rPr>
      </w:pPr>
    </w:p>
    <w:p>
      <w:pPr>
        <w:adjustRightInd w:val="0"/>
        <w:snapToGrid w:val="0"/>
        <w:spacing w:line="360" w:lineRule="auto"/>
        <w:rPr>
          <w:rFonts w:hint="eastAsia" w:ascii="仿宋_GB2312" w:eastAsia="仿宋_GB2312"/>
          <w:sz w:val="28"/>
          <w:szCs w:val="28"/>
        </w:rPr>
      </w:pPr>
      <w:r>
        <w:rPr>
          <w:rFonts w:hint="eastAsia" w:ascii="仿宋_GB2312" w:eastAsia="仿宋_GB2312"/>
          <w:sz w:val="28"/>
          <w:szCs w:val="28"/>
        </w:rPr>
        <w:t>二、评标内容及标准</w:t>
      </w:r>
    </w:p>
    <w:p>
      <w:pPr>
        <w:adjustRightInd w:val="0"/>
        <w:snapToGrid w:val="0"/>
        <w:spacing w:line="460" w:lineRule="exact"/>
        <w:ind w:firstLine="56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其他：如第一中标人放弃中标</w:t>
      </w:r>
      <w:r>
        <w:rPr>
          <w:rFonts w:hint="eastAsia" w:eastAsia="仿宋_GB2312" w:cs="Times New Roman"/>
          <w:sz w:val="28"/>
          <w:szCs w:val="28"/>
          <w:lang w:eastAsia="zh-CN"/>
        </w:rPr>
        <w:t>，</w:t>
      </w:r>
      <w:r>
        <w:rPr>
          <w:rFonts w:hint="default" w:ascii="Times New Roman" w:hAnsi="Times New Roman" w:eastAsia="仿宋_GB2312" w:cs="Times New Roman"/>
          <w:sz w:val="28"/>
          <w:szCs w:val="28"/>
        </w:rPr>
        <w:t>或因不可抗力提出不能履行合同，招标人可以选择排名第二名中标人进行递补。</w:t>
      </w:r>
    </w:p>
    <w:p>
      <w:pPr>
        <w:adjustRightInd w:val="0"/>
        <w:snapToGrid w:val="0"/>
        <w:spacing w:line="360" w:lineRule="auto"/>
        <w:rPr>
          <w:rFonts w:ascii="仿宋_GB2312" w:eastAsia="仿宋_GB2312"/>
          <w:sz w:val="28"/>
          <w:szCs w:val="28"/>
        </w:rPr>
      </w:pPr>
    </w:p>
    <w:p>
      <w:pPr>
        <w:pStyle w:val="39"/>
      </w:pPr>
      <w:r>
        <w:rPr>
          <w:rFonts w:hint="eastAsia"/>
        </w:rPr>
        <w:t xml:space="preserve">第七章  </w:t>
      </w:r>
      <w:bookmarkStart w:id="124" w:name="_Toc403987220"/>
      <w:r>
        <w:rPr>
          <w:rFonts w:hint="eastAsia"/>
        </w:rPr>
        <w:t>响应文件格式</w:t>
      </w:r>
      <w:bookmarkEnd w:id="122"/>
      <w:bookmarkEnd w:id="123"/>
      <w:bookmarkEnd w:id="124"/>
      <w:bookmarkStart w:id="125" w:name="_Hlt26671244"/>
      <w:bookmarkEnd w:id="125"/>
      <w:bookmarkStart w:id="126" w:name="_Hlt26955039"/>
      <w:bookmarkEnd w:id="126"/>
    </w:p>
    <w:p>
      <w:pPr>
        <w:jc w:val="left"/>
        <w:rPr>
          <w:rFonts w:hint="eastAsia" w:eastAsia="仿宋_GB2312"/>
          <w:snapToGrid w:val="0"/>
          <w:sz w:val="30"/>
        </w:rPr>
      </w:pPr>
    </w:p>
    <w:p>
      <w:pPr>
        <w:jc w:val="left"/>
        <w:rPr>
          <w:rFonts w:hint="default" w:eastAsia="仿宋_GB2312"/>
          <w:snapToGrid w:val="0"/>
          <w:sz w:val="30"/>
          <w:lang w:val="en-US" w:eastAsia="zh-CN"/>
        </w:rPr>
      </w:pPr>
      <w:r>
        <mc:AlternateContent>
          <mc:Choice Requires="wps">
            <w:drawing>
              <wp:anchor distT="0" distB="0" distL="114300" distR="114300" simplePos="0" relativeHeight="251659264" behindDoc="0" locked="0" layoutInCell="1" allowOverlap="1">
                <wp:simplePos x="0" y="0"/>
                <wp:positionH relativeFrom="column">
                  <wp:posOffset>4445635</wp:posOffset>
                </wp:positionH>
                <wp:positionV relativeFrom="paragraph">
                  <wp:posOffset>1270</wp:posOffset>
                </wp:positionV>
                <wp:extent cx="659765" cy="385445"/>
                <wp:effectExtent l="4445" t="4445" r="21590" b="10160"/>
                <wp:wrapNone/>
                <wp:docPr id="5" name="矩形 4"/>
                <wp:cNvGraphicFramePr/>
                <a:graphic xmlns:a="http://schemas.openxmlformats.org/drawingml/2006/main">
                  <a:graphicData uri="http://schemas.microsoft.com/office/word/2010/wordprocessingShape">
                    <wps:wsp>
                      <wps:cNvSpPr/>
                      <wps:spPr>
                        <a:xfrm>
                          <a:off x="0" y="0"/>
                          <a:ext cx="659765" cy="385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32"/>
                                <w:szCs w:val="32"/>
                              </w:rPr>
                            </w:pPr>
                            <w:r>
                              <w:rPr>
                                <w:rFonts w:hint="eastAsia" w:ascii="仿宋_GB2312" w:hAnsi="宋体" w:eastAsia="仿宋_GB2312"/>
                                <w:b/>
                                <w:sz w:val="32"/>
                                <w:szCs w:val="32"/>
                              </w:rPr>
                              <w:t>正本</w:t>
                            </w:r>
                          </w:p>
                        </w:txbxContent>
                      </wps:txbx>
                      <wps:bodyPr upright="1"/>
                    </wps:wsp>
                  </a:graphicData>
                </a:graphic>
              </wp:anchor>
            </w:drawing>
          </mc:Choice>
          <mc:Fallback>
            <w:pict>
              <v:rect id="矩形 4" o:spid="_x0000_s1026" o:spt="1" style="position:absolute;left:0pt;margin-left:350.05pt;margin-top:0.1pt;height:30.35pt;width:51.95pt;z-index:251659264;mso-width-relative:page;mso-height-relative:page;" fillcolor="#FFFFFF" filled="t" stroked="t" coordsize="21600,21600" o:gfxdata="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6tra1QAAAAcBAAAPAAAAAAAAAAEAIAAAACIAAABkcnMvZG93bnJl&#10;di54bWxQSwECFAAUAAAACACHTuJAiYCj0gACAAAoBAAADgAAAAAAAAABACAAAAAkAQAAZHJzL2Uy&#10;b0RvYy54bWxQSwUGAAAAAAYABgBZAQAAlgUAAAAA&#10;">
                <v:fill on="t" focussize="0,0"/>
                <v:stroke color="#000000" joinstyle="miter"/>
                <v:imagedata o:title=""/>
                <o:lock v:ext="edit" aspectratio="f"/>
                <v:textbox>
                  <w:txbxContent>
                    <w:p>
                      <w:pPr>
                        <w:jc w:val="center"/>
                        <w:rPr>
                          <w:b/>
                          <w:sz w:val="32"/>
                          <w:szCs w:val="32"/>
                        </w:rPr>
                      </w:pPr>
                      <w:r>
                        <w:rPr>
                          <w:rFonts w:hint="eastAsia" w:ascii="仿宋_GB2312" w:hAnsi="宋体" w:eastAsia="仿宋_GB2312"/>
                          <w:b/>
                          <w:sz w:val="32"/>
                          <w:szCs w:val="32"/>
                        </w:rPr>
                        <w:t>正本</w:t>
                      </w:r>
                    </w:p>
                  </w:txbxContent>
                </v:textbox>
              </v:rect>
            </w:pict>
          </mc:Fallback>
        </mc:AlternateContent>
      </w:r>
      <w:r>
        <w:rPr>
          <w:rFonts w:hint="eastAsia" w:eastAsia="仿宋_GB2312"/>
          <w:snapToGrid w:val="0"/>
          <w:sz w:val="30"/>
        </w:rPr>
        <w:t>项目编号：WYGZ202</w:t>
      </w:r>
      <w:r>
        <w:rPr>
          <w:rFonts w:hint="eastAsia" w:eastAsia="仿宋_GB2312"/>
          <w:snapToGrid w:val="0"/>
          <w:sz w:val="30"/>
          <w:lang w:val="en-US" w:eastAsia="zh-CN"/>
        </w:rPr>
        <w:t>4063</w:t>
      </w:r>
    </w:p>
    <w:p>
      <w:pPr>
        <w:jc w:val="left"/>
        <w:rPr>
          <w:rFonts w:ascii="仿宋_GB2312" w:eastAsia="仿宋_GB2312"/>
          <w:sz w:val="52"/>
          <w:szCs w:val="52"/>
        </w:rPr>
      </w:pPr>
    </w:p>
    <w:p>
      <w:pPr>
        <w:jc w:val="center"/>
        <w:rPr>
          <w:rFonts w:ascii="华文中宋" w:hAnsi="华文中宋" w:eastAsia="华文中宋" w:cs="宋体"/>
          <w:b/>
          <w:sz w:val="52"/>
          <w:szCs w:val="52"/>
        </w:rPr>
      </w:pPr>
      <w:bookmarkStart w:id="127" w:name="_Hlk450146333"/>
      <w:r>
        <w:rPr>
          <w:rFonts w:ascii="仿宋_GB2312" w:eastAsia="仿宋_GB2312"/>
          <w:sz w:val="52"/>
          <w:szCs w:val="52"/>
        </w:rPr>
        <w:drawing>
          <wp:inline distT="0" distB="0" distL="0" distR="0">
            <wp:extent cx="3286125" cy="714375"/>
            <wp:effectExtent l="19050" t="0" r="9525" b="0"/>
            <wp:docPr id="3" name="图片 2" descr="皖南医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皖南医学院"/>
                    <pic:cNvPicPr>
                      <a:picLocks noChangeAspect="1" noChangeArrowheads="1"/>
                    </pic:cNvPicPr>
                  </pic:nvPicPr>
                  <pic:blipFill>
                    <a:blip r:embed="rId5" cstate="print"/>
                    <a:srcRect/>
                    <a:stretch>
                      <a:fillRect/>
                    </a:stretch>
                  </pic:blipFill>
                  <pic:spPr>
                    <a:xfrm>
                      <a:off x="0" y="0"/>
                      <a:ext cx="3286125" cy="714375"/>
                    </a:xfrm>
                    <a:prstGeom prst="rect">
                      <a:avLst/>
                    </a:prstGeom>
                    <a:noFill/>
                    <a:ln w="9525">
                      <a:noFill/>
                      <a:miter lim="800000"/>
                      <a:headEnd/>
                      <a:tailEnd/>
                    </a:ln>
                  </pic:spPr>
                </pic:pic>
              </a:graphicData>
            </a:graphic>
          </wp:inline>
        </w:drawing>
      </w:r>
    </w:p>
    <w:p>
      <w:pPr>
        <w:jc w:val="center"/>
        <w:rPr>
          <w:rFonts w:ascii="华文中宋" w:hAnsi="华文中宋" w:eastAsia="华文中宋" w:cs="宋体"/>
          <w:b/>
          <w:sz w:val="52"/>
          <w:szCs w:val="52"/>
        </w:rPr>
      </w:pPr>
    </w:p>
    <w:p>
      <w:pPr>
        <w:jc w:val="center"/>
        <w:rPr>
          <w:rFonts w:hint="eastAsia" w:ascii="华文中宋" w:hAnsi="华文中宋" w:eastAsia="华文中宋"/>
          <w:b/>
          <w:bCs/>
          <w:w w:val="90"/>
          <w:sz w:val="48"/>
          <w:szCs w:val="48"/>
        </w:rPr>
      </w:pPr>
      <w:r>
        <w:rPr>
          <w:rFonts w:hint="eastAsia" w:ascii="华文中宋" w:hAnsi="华文中宋" w:eastAsia="华文中宋"/>
          <w:b/>
          <w:bCs/>
          <w:w w:val="90"/>
          <w:sz w:val="48"/>
          <w:szCs w:val="48"/>
        </w:rPr>
        <w:t>网络课程学习平台及资源服务采购项目</w:t>
      </w:r>
    </w:p>
    <w:p>
      <w:pPr>
        <w:jc w:val="center"/>
        <w:rPr>
          <w:rFonts w:ascii="黑体" w:hAnsi="黑体" w:eastAsia="黑体" w:cs="Arial"/>
          <w:b/>
          <w:sz w:val="72"/>
        </w:rPr>
      </w:pPr>
      <w:r>
        <w:rPr>
          <w:rFonts w:hint="eastAsia" w:ascii="黑体" w:hAnsi="黑体" w:eastAsia="黑体" w:cs="Arial"/>
          <w:b/>
          <w:sz w:val="72"/>
        </w:rPr>
        <w:t>投</w:t>
      </w:r>
    </w:p>
    <w:p>
      <w:pPr>
        <w:jc w:val="center"/>
        <w:rPr>
          <w:rFonts w:ascii="黑体" w:hAnsi="黑体" w:eastAsia="黑体" w:cs="Arial"/>
          <w:b/>
          <w:sz w:val="72"/>
        </w:rPr>
      </w:pPr>
      <w:r>
        <w:rPr>
          <w:rFonts w:hint="eastAsia" w:ascii="黑体" w:hAnsi="黑体" w:eastAsia="黑体" w:cs="Arial"/>
          <w:b/>
          <w:sz w:val="72"/>
        </w:rPr>
        <w:t>标</w:t>
      </w:r>
    </w:p>
    <w:p>
      <w:pPr>
        <w:jc w:val="center"/>
        <w:rPr>
          <w:rFonts w:ascii="黑体" w:hAnsi="黑体" w:eastAsia="黑体" w:cs="Arial"/>
          <w:sz w:val="32"/>
        </w:rPr>
      </w:pPr>
      <w:r>
        <w:rPr>
          <w:rFonts w:hint="eastAsia" w:ascii="黑体" w:hAnsi="黑体" w:eastAsia="黑体" w:cs="Arial"/>
          <w:b/>
          <w:sz w:val="72"/>
        </w:rPr>
        <w:t>书</w:t>
      </w:r>
      <w:bookmarkEnd w:id="127"/>
    </w:p>
    <w:p>
      <w:pPr>
        <w:rPr>
          <w:rFonts w:ascii="仿宋_GB2312" w:hAnsi="Arial" w:eastAsia="仿宋_GB2312" w:cs="Arial"/>
          <w:sz w:val="32"/>
        </w:rPr>
      </w:pPr>
      <w:r>
        <w:rPr>
          <w:rFonts w:hint="eastAsia" w:ascii="仿宋_GB2312" w:hAnsi="Arial" w:eastAsia="仿宋_GB2312" w:cs="Arial"/>
          <w:sz w:val="32"/>
        </w:rPr>
        <w:t xml:space="preserve">              </w:t>
      </w:r>
    </w:p>
    <w:p>
      <w:pPr>
        <w:spacing w:line="360" w:lineRule="auto"/>
        <w:ind w:firstLine="1600" w:firstLineChars="500"/>
        <w:rPr>
          <w:sz w:val="32"/>
          <w:szCs w:val="32"/>
          <w:u w:val="single"/>
        </w:rPr>
      </w:pPr>
      <w:r>
        <w:rPr>
          <w:rFonts w:hint="eastAsia"/>
          <w:sz w:val="32"/>
          <w:szCs w:val="32"/>
        </w:rPr>
        <w:t>投标单位（盖章）：</w:t>
      </w:r>
      <w:r>
        <w:rPr>
          <w:sz w:val="32"/>
          <w:szCs w:val="32"/>
          <w:u w:val="single"/>
        </w:rPr>
        <w:t xml:space="preserve">                     </w:t>
      </w:r>
    </w:p>
    <w:p>
      <w:pPr>
        <w:spacing w:line="360" w:lineRule="auto"/>
        <w:ind w:firstLine="1600" w:firstLineChars="500"/>
        <w:rPr>
          <w:sz w:val="32"/>
          <w:szCs w:val="32"/>
          <w:u w:val="single"/>
        </w:rPr>
      </w:pPr>
      <w:r>
        <w:rPr>
          <w:rFonts w:hint="eastAsia"/>
          <w:sz w:val="32"/>
          <w:szCs w:val="32"/>
        </w:rPr>
        <w:t>投标单位地址：</w:t>
      </w:r>
      <w:r>
        <w:rPr>
          <w:sz w:val="32"/>
          <w:szCs w:val="32"/>
        </w:rPr>
        <w:t xml:space="preserve">   </w:t>
      </w:r>
      <w:r>
        <w:rPr>
          <w:sz w:val="32"/>
          <w:szCs w:val="32"/>
          <w:u w:val="single"/>
        </w:rPr>
        <w:t xml:space="preserve">                     </w:t>
      </w:r>
    </w:p>
    <w:p>
      <w:pPr>
        <w:spacing w:line="360" w:lineRule="auto"/>
        <w:ind w:firstLine="1600" w:firstLineChars="500"/>
        <w:rPr>
          <w:sz w:val="32"/>
          <w:szCs w:val="32"/>
          <w:u w:val="single"/>
        </w:rPr>
      </w:pPr>
      <w:r>
        <w:rPr>
          <w:rFonts w:hint="eastAsia"/>
          <w:sz w:val="32"/>
          <w:szCs w:val="32"/>
        </w:rPr>
        <w:t>联</w:t>
      </w:r>
      <w:r>
        <w:rPr>
          <w:sz w:val="32"/>
          <w:szCs w:val="32"/>
        </w:rPr>
        <w:t xml:space="preserve">   </w:t>
      </w:r>
      <w:r>
        <w:rPr>
          <w:rFonts w:hint="eastAsia"/>
          <w:sz w:val="32"/>
          <w:szCs w:val="32"/>
        </w:rPr>
        <w:t>系</w:t>
      </w:r>
      <w:r>
        <w:rPr>
          <w:sz w:val="32"/>
          <w:szCs w:val="32"/>
        </w:rPr>
        <w:t xml:space="preserve">   </w:t>
      </w:r>
      <w:r>
        <w:rPr>
          <w:rFonts w:hint="eastAsia"/>
          <w:sz w:val="32"/>
          <w:szCs w:val="32"/>
        </w:rPr>
        <w:t>人：</w:t>
      </w:r>
      <w:r>
        <w:rPr>
          <w:sz w:val="32"/>
          <w:szCs w:val="32"/>
        </w:rPr>
        <w:t xml:space="preserve">   </w:t>
      </w:r>
      <w:r>
        <w:rPr>
          <w:sz w:val="32"/>
          <w:szCs w:val="32"/>
          <w:u w:val="single"/>
        </w:rPr>
        <w:t xml:space="preserve">                     </w:t>
      </w:r>
    </w:p>
    <w:p>
      <w:pPr>
        <w:spacing w:line="360" w:lineRule="auto"/>
        <w:ind w:firstLine="1600" w:firstLineChars="500"/>
        <w:rPr>
          <w:sz w:val="32"/>
          <w:szCs w:val="32"/>
          <w:u w:val="single"/>
        </w:rPr>
      </w:pPr>
      <w:r>
        <w:rPr>
          <w:rFonts w:hint="eastAsia"/>
          <w:sz w:val="32"/>
          <w:szCs w:val="32"/>
        </w:rPr>
        <w:t>联</w:t>
      </w:r>
      <w:r>
        <w:rPr>
          <w:sz w:val="32"/>
          <w:szCs w:val="32"/>
        </w:rPr>
        <w:t xml:space="preserve">  </w:t>
      </w:r>
      <w:r>
        <w:rPr>
          <w:rFonts w:hint="eastAsia"/>
          <w:sz w:val="32"/>
          <w:szCs w:val="32"/>
        </w:rPr>
        <w:t>系</w:t>
      </w:r>
      <w:r>
        <w:rPr>
          <w:sz w:val="32"/>
          <w:szCs w:val="32"/>
        </w:rPr>
        <w:t xml:space="preserve">  </w:t>
      </w:r>
      <w:r>
        <w:rPr>
          <w:rFonts w:hint="eastAsia"/>
          <w:sz w:val="32"/>
          <w:szCs w:val="32"/>
        </w:rPr>
        <w:t>电</w:t>
      </w:r>
      <w:r>
        <w:rPr>
          <w:sz w:val="32"/>
          <w:szCs w:val="32"/>
        </w:rPr>
        <w:t xml:space="preserve">  </w:t>
      </w:r>
      <w:r>
        <w:rPr>
          <w:rFonts w:hint="eastAsia"/>
          <w:sz w:val="32"/>
          <w:szCs w:val="32"/>
        </w:rPr>
        <w:t>话：</w:t>
      </w:r>
      <w:r>
        <w:rPr>
          <w:sz w:val="32"/>
          <w:szCs w:val="32"/>
        </w:rPr>
        <w:t xml:space="preserve"> </w:t>
      </w:r>
      <w:r>
        <w:rPr>
          <w:sz w:val="32"/>
          <w:szCs w:val="32"/>
          <w:u w:val="single"/>
        </w:rPr>
        <w:t xml:space="preserve">                     </w:t>
      </w:r>
    </w:p>
    <w:p>
      <w:pPr>
        <w:ind w:firstLine="320" w:firstLineChars="100"/>
        <w:jc w:val="center"/>
        <w:rPr>
          <w:sz w:val="32"/>
          <w:szCs w:val="32"/>
        </w:rPr>
      </w:pPr>
      <w:r>
        <w:rPr>
          <w:rFonts w:hint="eastAsia"/>
          <w:sz w:val="32"/>
          <w:szCs w:val="32"/>
        </w:rPr>
        <w:t>年</w:t>
      </w:r>
      <w:r>
        <w:rPr>
          <w:sz w:val="32"/>
          <w:szCs w:val="32"/>
        </w:rPr>
        <w:t xml:space="preserve">  </w:t>
      </w:r>
      <w:r>
        <w:rPr>
          <w:rFonts w:hint="eastAsia"/>
          <w:sz w:val="32"/>
          <w:szCs w:val="32"/>
        </w:rPr>
        <w:t>月</w:t>
      </w:r>
      <w:r>
        <w:rPr>
          <w:sz w:val="32"/>
          <w:szCs w:val="32"/>
        </w:rPr>
        <w:t xml:space="preserve">  </w:t>
      </w:r>
      <w:r>
        <w:rPr>
          <w:rFonts w:hint="eastAsia"/>
          <w:sz w:val="32"/>
          <w:szCs w:val="32"/>
        </w:rPr>
        <w:t>日</w:t>
      </w:r>
    </w:p>
    <w:p>
      <w:pPr>
        <w:ind w:firstLine="320" w:firstLineChars="100"/>
        <w:jc w:val="center"/>
        <w:rPr>
          <w:sz w:val="32"/>
          <w:szCs w:val="32"/>
        </w:rPr>
      </w:pPr>
    </w:p>
    <w:p>
      <w:pPr>
        <w:ind w:firstLine="320" w:firstLineChars="100"/>
        <w:jc w:val="center"/>
        <w:rPr>
          <w:sz w:val="32"/>
          <w:szCs w:val="32"/>
        </w:rPr>
      </w:pPr>
    </w:p>
    <w:p>
      <w:pPr>
        <w:ind w:firstLine="320" w:firstLineChars="100"/>
        <w:jc w:val="center"/>
        <w:rPr>
          <w:sz w:val="32"/>
          <w:szCs w:val="32"/>
        </w:rPr>
      </w:pPr>
    </w:p>
    <w:p>
      <w:pPr>
        <w:spacing w:line="440" w:lineRule="exact"/>
        <w:jc w:val="center"/>
        <w:rPr>
          <w:rFonts w:hAnsi="宋体"/>
          <w:b/>
          <w:bCs/>
          <w:color w:val="000000"/>
          <w:sz w:val="32"/>
          <w:szCs w:val="32"/>
        </w:rPr>
      </w:pPr>
      <w:r>
        <w:rPr>
          <w:rFonts w:hint="eastAsia" w:hAnsi="宋体"/>
          <w:b/>
          <w:bCs/>
          <w:color w:val="000000"/>
          <w:sz w:val="32"/>
          <w:szCs w:val="32"/>
        </w:rPr>
        <w:t>响应文件目录</w:t>
      </w:r>
    </w:p>
    <w:p>
      <w:pPr>
        <w:snapToGrid w:val="0"/>
        <w:spacing w:before="50" w:after="50"/>
        <w:rPr>
          <w:rFonts w:hAnsi="宋体"/>
          <w:color w:val="000000"/>
          <w:sz w:val="24"/>
          <w:szCs w:val="24"/>
        </w:rPr>
      </w:pPr>
    </w:p>
    <w:p>
      <w:pPr>
        <w:tabs>
          <w:tab w:val="left" w:pos="5580"/>
        </w:tabs>
        <w:adjustRightInd w:val="0"/>
        <w:snapToGrid w:val="0"/>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一、开标一览表</w:t>
      </w:r>
    </w:p>
    <w:p>
      <w:pPr>
        <w:tabs>
          <w:tab w:val="left" w:pos="5580"/>
        </w:tabs>
        <w:adjustRightInd w:val="0"/>
        <w:snapToGrid w:val="0"/>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二、资格性和符合性检查响应对照表</w:t>
      </w:r>
    </w:p>
    <w:p>
      <w:pPr>
        <w:tabs>
          <w:tab w:val="left" w:pos="5580"/>
        </w:tabs>
        <w:adjustRightInd w:val="0"/>
        <w:snapToGrid w:val="0"/>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三、磋商函格式</w:t>
      </w:r>
    </w:p>
    <w:p>
      <w:pPr>
        <w:adjustRightInd w:val="0"/>
        <w:snapToGrid w:val="0"/>
        <w:spacing w:line="360" w:lineRule="auto"/>
        <w:rPr>
          <w:rFonts w:asciiTheme="minorEastAsia" w:hAnsiTheme="minorEastAsia" w:eastAsiaTheme="minorEastAsia"/>
          <w:b/>
          <w:color w:val="000000"/>
          <w:spacing w:val="-6"/>
          <w:sz w:val="24"/>
          <w:szCs w:val="24"/>
        </w:rPr>
      </w:pPr>
      <w:r>
        <w:rPr>
          <w:rFonts w:hint="eastAsia" w:asciiTheme="minorEastAsia" w:hAnsiTheme="minorEastAsia" w:eastAsiaTheme="minorEastAsia"/>
          <w:b/>
          <w:sz w:val="24"/>
          <w:szCs w:val="24"/>
        </w:rPr>
        <w:t>四、</w:t>
      </w:r>
      <w:r>
        <w:rPr>
          <w:rFonts w:hint="eastAsia" w:asciiTheme="minorEastAsia" w:hAnsiTheme="minorEastAsia" w:eastAsiaTheme="minorEastAsia"/>
          <w:b/>
          <w:color w:val="000000"/>
          <w:spacing w:val="-6"/>
          <w:sz w:val="24"/>
          <w:szCs w:val="24"/>
        </w:rPr>
        <w:t>投标人一般情况表</w:t>
      </w:r>
    </w:p>
    <w:p>
      <w:pPr>
        <w:adjustRightInd w:val="0"/>
        <w:snapToGrid w:val="0"/>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五、法人授权书格式</w:t>
      </w:r>
    </w:p>
    <w:p>
      <w:pPr>
        <w:adjustRightInd w:val="0"/>
        <w:snapToGrid w:val="0"/>
        <w:spacing w:line="360" w:lineRule="auto"/>
        <w:rPr>
          <w:rFonts w:hint="eastAsia" w:asciiTheme="minorEastAsia" w:hAnsiTheme="minorEastAsia" w:eastAsiaTheme="minorEastAsia"/>
          <w:b/>
          <w:sz w:val="24"/>
          <w:szCs w:val="24"/>
          <w:lang w:eastAsia="zh-CN"/>
        </w:rPr>
      </w:pPr>
      <w:r>
        <w:rPr>
          <w:rFonts w:hint="eastAsia" w:asciiTheme="minorEastAsia" w:hAnsiTheme="minorEastAsia" w:eastAsiaTheme="minorEastAsia"/>
          <w:b/>
          <w:sz w:val="24"/>
          <w:szCs w:val="24"/>
        </w:rPr>
        <w:t>六、实施方案</w:t>
      </w:r>
      <w:r>
        <w:rPr>
          <w:rFonts w:hint="eastAsia" w:asciiTheme="minorEastAsia" w:hAnsiTheme="minorEastAsia" w:eastAsiaTheme="minorEastAsia"/>
          <w:b/>
          <w:sz w:val="24"/>
          <w:szCs w:val="24"/>
          <w:lang w:eastAsia="zh-CN"/>
        </w:rPr>
        <w:t>（</w:t>
      </w:r>
      <w:r>
        <w:rPr>
          <w:rFonts w:hint="eastAsia" w:asciiTheme="minorEastAsia" w:hAnsiTheme="minorEastAsia" w:eastAsiaTheme="minorEastAsia"/>
          <w:b/>
          <w:sz w:val="24"/>
          <w:szCs w:val="24"/>
          <w:lang w:val="en-US" w:eastAsia="zh-CN"/>
        </w:rPr>
        <w:t>根据项目具体要求编制</w:t>
      </w:r>
      <w:r>
        <w:rPr>
          <w:rFonts w:hint="eastAsia" w:asciiTheme="minorEastAsia" w:hAnsiTheme="minorEastAsia" w:eastAsiaTheme="minorEastAsia"/>
          <w:b/>
          <w:sz w:val="24"/>
          <w:szCs w:val="24"/>
          <w:lang w:eastAsia="zh-CN"/>
        </w:rPr>
        <w:t>）</w:t>
      </w:r>
    </w:p>
    <w:p>
      <w:pPr>
        <w:adjustRightInd w:val="0"/>
        <w:snapToGrid w:val="0"/>
        <w:spacing w:line="360" w:lineRule="auto"/>
        <w:rPr>
          <w:rFonts w:hint="default"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七．报价明细表（根据项目具体要求编制）</w:t>
      </w:r>
    </w:p>
    <w:p>
      <w:pPr>
        <w:adjustRightInd w:val="0"/>
        <w:snapToGrid w:val="0"/>
        <w:spacing w:line="360" w:lineRule="auto"/>
        <w:rPr>
          <w:rFonts w:hint="default"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八、承诺书（针对招标文件相关要求提供的承诺书）格式自拟</w:t>
      </w:r>
    </w:p>
    <w:p>
      <w:pPr>
        <w:tabs>
          <w:tab w:val="left" w:pos="5580"/>
        </w:tabs>
        <w:adjustRightInd w:val="0"/>
        <w:snapToGrid w:val="0"/>
        <w:spacing w:line="360" w:lineRule="auto"/>
        <w:jc w:val="left"/>
        <w:rPr>
          <w:rFonts w:asciiTheme="minorEastAsia" w:hAnsiTheme="minorEastAsia" w:eastAsiaTheme="minorEastAsia"/>
          <w:b/>
          <w:sz w:val="24"/>
          <w:szCs w:val="24"/>
        </w:rPr>
      </w:pPr>
    </w:p>
    <w:p>
      <w:pPr>
        <w:jc w:val="center"/>
        <w:rPr>
          <w:rFonts w:hAnsi="宋体"/>
          <w:color w:val="000000"/>
          <w:sz w:val="24"/>
        </w:rPr>
      </w:pPr>
      <w:r>
        <w:rPr>
          <w:rFonts w:hAnsi="宋体"/>
          <w:color w:val="000000"/>
          <w:sz w:val="24"/>
        </w:rPr>
        <w:br w:type="page"/>
      </w:r>
    </w:p>
    <w:p>
      <w:pPr>
        <w:snapToGrid w:val="0"/>
        <w:spacing w:before="50" w:after="50" w:line="360" w:lineRule="auto"/>
        <w:jc w:val="center"/>
        <w:rPr>
          <w:rFonts w:ascii="华文中宋" w:hAnsi="华文中宋" w:eastAsia="华文中宋"/>
          <w:b/>
          <w:color w:val="000000"/>
          <w:spacing w:val="-6"/>
          <w:szCs w:val="28"/>
        </w:rPr>
      </w:pPr>
      <w:r>
        <w:rPr>
          <w:rFonts w:hint="eastAsia" w:ascii="华文中宋" w:hAnsi="华文中宋" w:eastAsia="华文中宋"/>
          <w:b/>
          <w:color w:val="000000"/>
          <w:spacing w:val="-6"/>
          <w:szCs w:val="28"/>
        </w:rPr>
        <w:t>一、开标一览表</w:t>
      </w:r>
    </w:p>
    <w:tbl>
      <w:tblPr>
        <w:tblStyle w:val="26"/>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5"/>
        <w:gridCol w:w="7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项目名称</w:t>
            </w:r>
          </w:p>
        </w:tc>
        <w:tc>
          <w:tcPr>
            <w:tcW w:w="72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Cs/>
                <w:color w:val="000000"/>
                <w:sz w:val="32"/>
                <w:szCs w:val="32"/>
              </w:rPr>
            </w:pPr>
            <w:r>
              <w:rPr>
                <w:rFonts w:hint="eastAsia" w:ascii="仿宋_GB2312" w:eastAsia="仿宋_GB2312"/>
                <w:szCs w:val="28"/>
                <w:lang w:eastAsia="zh-CN"/>
              </w:rPr>
              <w:t>皖南医学院网络课程学习平台及资源服务采购项目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项目编号</w:t>
            </w:r>
          </w:p>
        </w:tc>
        <w:tc>
          <w:tcPr>
            <w:tcW w:w="72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7" w:hRule="atLeast"/>
        </w:trPr>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投标报价</w:t>
            </w:r>
          </w:p>
        </w:tc>
        <w:tc>
          <w:tcPr>
            <w:tcW w:w="7290"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color w:val="000000"/>
                <w:kern w:val="0"/>
                <w:sz w:val="32"/>
                <w:szCs w:val="32"/>
              </w:rPr>
            </w:pPr>
            <w:r>
              <w:rPr>
                <w:rFonts w:hint="eastAsia" w:ascii="仿宋_GB2312" w:eastAsia="仿宋_GB2312"/>
                <w:color w:val="000000"/>
                <w:kern w:val="0"/>
                <w:sz w:val="32"/>
                <w:szCs w:val="32"/>
                <w:lang w:eastAsia="zh-CN"/>
              </w:rPr>
              <w:t>报价</w:t>
            </w:r>
            <w:r>
              <w:rPr>
                <w:rFonts w:hint="eastAsia" w:ascii="仿宋_GB2312" w:eastAsia="仿宋_GB2312"/>
                <w:color w:val="000000"/>
                <w:kern w:val="0"/>
                <w:sz w:val="32"/>
                <w:szCs w:val="32"/>
              </w:rPr>
              <w:t>小写:</w:t>
            </w:r>
            <w:r>
              <w:rPr>
                <w:rFonts w:hint="eastAsia" w:ascii="仿宋_GB2312" w:eastAsia="仿宋_GB2312"/>
                <w:color w:val="000000"/>
                <w:kern w:val="0"/>
                <w:sz w:val="32"/>
                <w:szCs w:val="32"/>
                <w:u w:val="single"/>
              </w:rPr>
              <w:t xml:space="preserve">               </w:t>
            </w:r>
          </w:p>
          <w:p>
            <w:pPr>
              <w:jc w:val="left"/>
              <w:rPr>
                <w:rFonts w:hint="eastAsia" w:ascii="仿宋_GB2312" w:eastAsia="仿宋_GB2312"/>
                <w:color w:val="000000"/>
                <w:kern w:val="0"/>
                <w:sz w:val="32"/>
                <w:szCs w:val="32"/>
              </w:rPr>
            </w:pPr>
            <w:r>
              <w:rPr>
                <w:rFonts w:hint="eastAsia" w:ascii="仿宋_GB2312" w:eastAsia="仿宋_GB2312"/>
                <w:color w:val="000000"/>
                <w:kern w:val="0"/>
                <w:sz w:val="32"/>
                <w:szCs w:val="32"/>
                <w:lang w:eastAsia="zh-CN"/>
              </w:rPr>
              <w:t>报价</w:t>
            </w:r>
            <w:r>
              <w:rPr>
                <w:rFonts w:hint="eastAsia" w:ascii="仿宋_GB2312" w:eastAsia="仿宋_GB2312"/>
                <w:color w:val="000000"/>
                <w:kern w:val="0"/>
                <w:sz w:val="32"/>
                <w:szCs w:val="32"/>
              </w:rPr>
              <w:t>大写:</w:t>
            </w:r>
            <w:r>
              <w:rPr>
                <w:rFonts w:hint="eastAsia" w:ascii="仿宋_GB2312" w:eastAsia="仿宋_GB2312"/>
                <w:color w:val="000000"/>
                <w:kern w:val="0"/>
                <w:sz w:val="32"/>
                <w:szCs w:val="32"/>
                <w:u w:val="single"/>
              </w:rPr>
              <w:t xml:space="preserve">              </w:t>
            </w:r>
            <w:r>
              <w:rPr>
                <w:rFonts w:hint="eastAsia" w:ascii="仿宋_GB2312" w:eastAsia="仿宋_GB2312"/>
                <w:color w:val="000000"/>
                <w:kern w:val="0"/>
                <w:sz w:val="32"/>
                <w:szCs w:val="32"/>
              </w:rPr>
              <w:t xml:space="preserve"> </w:t>
            </w:r>
          </w:p>
          <w:p>
            <w:pPr>
              <w:jc w:val="left"/>
              <w:rPr>
                <w:rFonts w:hint="eastAsia" w:ascii="仿宋_GB2312" w:eastAsia="仿宋_GB2312"/>
                <w:color w:val="000000"/>
                <w:kern w:val="0"/>
                <w:sz w:val="32"/>
                <w:szCs w:val="32"/>
              </w:rPr>
            </w:pPr>
          </w:p>
          <w:p>
            <w:pPr>
              <w:jc w:val="left"/>
              <w:rPr>
                <w:rFonts w:hint="eastAsia" w:ascii="仿宋_GB2312"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备注</w:t>
            </w:r>
          </w:p>
        </w:tc>
        <w:tc>
          <w:tcPr>
            <w:tcW w:w="7290" w:type="dxa"/>
            <w:tcBorders>
              <w:top w:val="single" w:color="auto" w:sz="4" w:space="0"/>
              <w:left w:val="single" w:color="auto" w:sz="4" w:space="0"/>
              <w:bottom w:val="single" w:color="auto" w:sz="4" w:space="0"/>
              <w:right w:val="single" w:color="auto" w:sz="4" w:space="0"/>
            </w:tcBorders>
            <w:vAlign w:val="center"/>
          </w:tcPr>
          <w:p>
            <w:pPr>
              <w:jc w:val="left"/>
              <w:rPr>
                <w:rFonts w:hint="default" w:ascii="仿宋_GB2312" w:eastAsia="仿宋_GB2312"/>
                <w:color w:val="000000"/>
                <w:kern w:val="0"/>
                <w:sz w:val="32"/>
                <w:szCs w:val="32"/>
                <w:lang w:val="en-US" w:eastAsia="zh-CN"/>
              </w:rPr>
            </w:pPr>
          </w:p>
        </w:tc>
      </w:tr>
    </w:tbl>
    <w:p>
      <w:pPr>
        <w:snapToGrid w:val="0"/>
        <w:spacing w:before="50" w:after="50" w:line="360" w:lineRule="auto"/>
        <w:jc w:val="left"/>
        <w:rPr>
          <w:rFonts w:ascii="宋体" w:hAnsi="宋体"/>
          <w:spacing w:val="-6"/>
          <w:sz w:val="24"/>
        </w:rPr>
      </w:pPr>
      <w:r>
        <w:rPr>
          <w:rFonts w:hint="eastAsia" w:ascii="宋体" w:hAnsi="宋体"/>
          <w:spacing w:val="-6"/>
          <w:sz w:val="24"/>
        </w:rPr>
        <w:t>注: 1、报价不得涂改否则其投标作无效标处理。</w:t>
      </w:r>
    </w:p>
    <w:p>
      <w:pPr>
        <w:snapToGrid w:val="0"/>
        <w:spacing w:before="50" w:after="50" w:line="360" w:lineRule="auto"/>
        <w:ind w:firstLine="456" w:firstLineChars="200"/>
        <w:jc w:val="left"/>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2、</w:t>
      </w:r>
      <w:r>
        <w:rPr>
          <w:rFonts w:hint="eastAsia" w:asciiTheme="minorEastAsia" w:hAnsiTheme="minorEastAsia" w:eastAsiaTheme="minorEastAsia"/>
          <w:sz w:val="24"/>
          <w:szCs w:val="24"/>
        </w:rPr>
        <w:t>磋商报价</w:t>
      </w:r>
      <w:r>
        <w:rPr>
          <w:rFonts w:hint="eastAsia" w:asciiTheme="minorEastAsia" w:hAnsiTheme="minorEastAsia" w:eastAsiaTheme="minorEastAsia"/>
          <w:spacing w:val="-6"/>
          <w:sz w:val="24"/>
          <w:szCs w:val="24"/>
        </w:rPr>
        <w:t>应包括</w:t>
      </w:r>
      <w:r>
        <w:rPr>
          <w:rFonts w:hint="eastAsia" w:asciiTheme="minorEastAsia" w:hAnsiTheme="minorEastAsia" w:eastAsiaTheme="minorEastAsia"/>
          <w:sz w:val="24"/>
          <w:szCs w:val="24"/>
        </w:rPr>
        <w:t>所需人工费、材料费、其他（保险费，以及合同明示或暗示的风险、责任和义务等）费，以及管理费、利润和规费、税金等一切费用</w:t>
      </w:r>
      <w:r>
        <w:rPr>
          <w:rFonts w:hint="eastAsia" w:asciiTheme="minorEastAsia" w:hAnsiTheme="minorEastAsia" w:eastAsiaTheme="minorEastAsia"/>
          <w:spacing w:val="-6"/>
          <w:sz w:val="24"/>
          <w:szCs w:val="24"/>
        </w:rPr>
        <w:t>。</w:t>
      </w:r>
    </w:p>
    <w:p>
      <w:pPr>
        <w:snapToGrid w:val="0"/>
        <w:spacing w:before="50" w:after="50" w:line="360" w:lineRule="auto"/>
        <w:ind w:left="-62" w:leftChars="-22" w:right="-1089" w:rightChars="-389"/>
        <w:rPr>
          <w:rFonts w:ascii="宋体" w:hAnsi="宋体"/>
          <w:spacing w:val="-6"/>
          <w:sz w:val="24"/>
        </w:rPr>
      </w:pPr>
    </w:p>
    <w:p>
      <w:pPr>
        <w:snapToGrid w:val="0"/>
        <w:spacing w:before="50" w:after="50" w:line="360" w:lineRule="auto"/>
        <w:ind w:left="-62" w:leftChars="-22" w:right="-1089" w:rightChars="-389"/>
        <w:rPr>
          <w:rFonts w:ascii="宋体" w:hAnsi="宋体"/>
          <w:spacing w:val="-6"/>
          <w:sz w:val="24"/>
        </w:rPr>
      </w:pPr>
    </w:p>
    <w:p>
      <w:pPr>
        <w:snapToGrid w:val="0"/>
        <w:spacing w:before="50" w:after="50" w:line="360" w:lineRule="auto"/>
        <w:ind w:left="-62" w:leftChars="-22" w:right="-1089" w:rightChars="-389"/>
        <w:rPr>
          <w:rFonts w:ascii="宋体" w:hAnsi="宋体"/>
          <w:spacing w:val="-6"/>
          <w:sz w:val="24"/>
        </w:rPr>
      </w:pPr>
      <w:r>
        <w:rPr>
          <w:rFonts w:hint="eastAsia" w:ascii="宋体" w:hAnsi="宋体"/>
          <w:spacing w:val="-6"/>
          <w:sz w:val="24"/>
        </w:rPr>
        <w:t>授权代表签字：</w:t>
      </w:r>
    </w:p>
    <w:p>
      <w:pPr>
        <w:snapToGrid w:val="0"/>
        <w:spacing w:before="50" w:after="50" w:line="360" w:lineRule="auto"/>
        <w:ind w:left="-62" w:leftChars="-22" w:right="-1089" w:rightChars="-389"/>
        <w:rPr>
          <w:rFonts w:ascii="宋体" w:hAnsi="宋体"/>
          <w:spacing w:val="-6"/>
          <w:sz w:val="24"/>
        </w:rPr>
      </w:pPr>
      <w:r>
        <w:rPr>
          <w:rFonts w:hint="eastAsia" w:ascii="宋体" w:hAnsi="宋体"/>
          <w:spacing w:val="-6"/>
          <w:sz w:val="24"/>
        </w:rPr>
        <w:t xml:space="preserve">投标人名称（盖章）：                                </w:t>
      </w:r>
    </w:p>
    <w:p>
      <w:pPr>
        <w:snapToGrid w:val="0"/>
        <w:spacing w:before="50" w:after="50" w:line="360" w:lineRule="auto"/>
        <w:ind w:left="-62" w:leftChars="-22" w:right="-1089" w:rightChars="-389"/>
        <w:rPr>
          <w:rFonts w:ascii="宋体" w:hAnsi="宋体"/>
          <w:spacing w:val="-6"/>
          <w:sz w:val="24"/>
        </w:rPr>
      </w:pPr>
      <w:r>
        <w:rPr>
          <w:rFonts w:hint="eastAsia" w:ascii="宋体" w:hAnsi="宋体"/>
          <w:spacing w:val="-6"/>
          <w:sz w:val="24"/>
        </w:rPr>
        <w:t xml:space="preserve"> </w:t>
      </w:r>
    </w:p>
    <w:p>
      <w:pPr>
        <w:jc w:val="right"/>
        <w:rPr>
          <w:rFonts w:hAnsi="宋体"/>
          <w:sz w:val="24"/>
        </w:rPr>
      </w:pPr>
      <w:r>
        <w:rPr>
          <w:rFonts w:hint="eastAsia" w:ascii="宋体" w:hAnsi="宋体"/>
          <w:spacing w:val="-6"/>
          <w:sz w:val="24"/>
        </w:rPr>
        <w:t>日期：    年   月   日</w:t>
      </w:r>
    </w:p>
    <w:p>
      <w:pPr>
        <w:jc w:val="center"/>
        <w:rPr>
          <w:rStyle w:val="52"/>
          <w:rFonts w:hAnsi="宋体"/>
        </w:rPr>
      </w:pPr>
    </w:p>
    <w:p>
      <w:pPr>
        <w:jc w:val="both"/>
        <w:rPr>
          <w:rFonts w:ascii="宋体" w:hAnsi="宋体"/>
          <w:color w:val="000000"/>
          <w:spacing w:val="-6"/>
          <w:sz w:val="24"/>
        </w:rPr>
      </w:pPr>
    </w:p>
    <w:p>
      <w:pPr>
        <w:jc w:val="both"/>
        <w:rPr>
          <w:rFonts w:ascii="宋体" w:hAnsi="宋体"/>
          <w:color w:val="000000"/>
          <w:spacing w:val="-6"/>
          <w:sz w:val="24"/>
        </w:rPr>
      </w:pPr>
    </w:p>
    <w:p>
      <w:pPr>
        <w:jc w:val="center"/>
        <w:rPr>
          <w:rFonts w:ascii="宋体" w:hAnsi="宋体"/>
          <w:color w:val="000000"/>
          <w:spacing w:val="-6"/>
          <w:sz w:val="24"/>
        </w:rPr>
      </w:pPr>
    </w:p>
    <w:p>
      <w:pPr>
        <w:jc w:val="center"/>
        <w:rPr>
          <w:rStyle w:val="52"/>
          <w:rFonts w:ascii="华文中宋" w:hAnsi="华文中宋" w:eastAsia="华文中宋"/>
          <w:sz w:val="28"/>
          <w:szCs w:val="28"/>
        </w:rPr>
      </w:pPr>
      <w:r>
        <w:rPr>
          <w:rStyle w:val="52"/>
          <w:rFonts w:hint="eastAsia" w:ascii="华文中宋" w:hAnsi="华文中宋" w:eastAsia="华文中宋"/>
          <w:sz w:val="28"/>
          <w:szCs w:val="28"/>
        </w:rPr>
        <w:t>二、资格性和符合性检查响应对照表</w:t>
      </w:r>
    </w:p>
    <w:p>
      <w:pPr>
        <w:ind w:firstLine="309"/>
        <w:rPr>
          <w:rFonts w:hAnsi="宋体"/>
          <w:color w:val="000000"/>
          <w:sz w:val="24"/>
          <w:szCs w:val="24"/>
        </w:rPr>
      </w:pPr>
    </w:p>
    <w:p>
      <w:pPr>
        <w:ind w:firstLine="309"/>
        <w:rPr>
          <w:rFonts w:hAnsi="宋体"/>
          <w:color w:val="000000"/>
          <w:sz w:val="24"/>
          <w:szCs w:val="24"/>
        </w:rPr>
      </w:pPr>
      <w:r>
        <w:rPr>
          <w:rFonts w:hint="eastAsia" w:hAnsi="宋体"/>
          <w:color w:val="000000"/>
          <w:sz w:val="24"/>
          <w:szCs w:val="24"/>
        </w:rPr>
        <w:t>供应商全称（加盖公章）：</w:t>
      </w:r>
    </w:p>
    <w:tbl>
      <w:tblPr>
        <w:tblStyle w:val="26"/>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8"/>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09" w:type="dxa"/>
            <w:vAlign w:val="center"/>
          </w:tcPr>
          <w:p>
            <w:pPr>
              <w:snapToGrid w:val="0"/>
              <w:spacing w:line="240" w:lineRule="atLeast"/>
              <w:jc w:val="center"/>
              <w:rPr>
                <w:rFonts w:hAnsi="宋体"/>
                <w:b/>
                <w:color w:val="000000"/>
                <w:sz w:val="21"/>
              </w:rPr>
            </w:pPr>
            <w:r>
              <w:rPr>
                <w:rFonts w:hint="eastAsia" w:hAnsi="宋体"/>
                <w:b/>
                <w:color w:val="000000"/>
                <w:sz w:val="21"/>
              </w:rPr>
              <w:t>序号</w:t>
            </w:r>
          </w:p>
        </w:tc>
        <w:tc>
          <w:tcPr>
            <w:tcW w:w="4678" w:type="dxa"/>
            <w:vAlign w:val="center"/>
          </w:tcPr>
          <w:p>
            <w:pPr>
              <w:snapToGrid w:val="0"/>
              <w:spacing w:line="240" w:lineRule="atLeast"/>
              <w:jc w:val="center"/>
              <w:rPr>
                <w:rFonts w:hAnsi="宋体"/>
                <w:b/>
                <w:color w:val="000000"/>
                <w:sz w:val="21"/>
              </w:rPr>
            </w:pPr>
            <w:r>
              <w:rPr>
                <w:rFonts w:hint="eastAsia" w:hAnsi="宋体"/>
                <w:b/>
                <w:color w:val="000000"/>
                <w:sz w:val="21"/>
              </w:rPr>
              <w:t>资格和符合性检查响应内容</w:t>
            </w:r>
          </w:p>
        </w:tc>
        <w:tc>
          <w:tcPr>
            <w:tcW w:w="1842" w:type="dxa"/>
            <w:vAlign w:val="center"/>
          </w:tcPr>
          <w:p>
            <w:pPr>
              <w:snapToGrid w:val="0"/>
              <w:spacing w:line="240" w:lineRule="atLeast"/>
              <w:jc w:val="center"/>
              <w:rPr>
                <w:rFonts w:hAnsi="宋体"/>
                <w:b/>
                <w:color w:val="000000"/>
                <w:sz w:val="21"/>
              </w:rPr>
            </w:pPr>
            <w:r>
              <w:rPr>
                <w:rFonts w:hint="eastAsia" w:hAnsi="宋体"/>
                <w:b/>
                <w:color w:val="000000"/>
                <w:sz w:val="21"/>
              </w:rPr>
              <w:t>是否响应</w:t>
            </w:r>
          </w:p>
          <w:p>
            <w:pPr>
              <w:snapToGrid w:val="0"/>
              <w:spacing w:line="240" w:lineRule="atLeast"/>
              <w:jc w:val="center"/>
              <w:rPr>
                <w:rFonts w:hAnsi="宋体"/>
                <w:b/>
                <w:color w:val="000000"/>
                <w:sz w:val="21"/>
              </w:rPr>
            </w:pPr>
            <w:r>
              <w:rPr>
                <w:rFonts w:hint="eastAsia" w:hAnsi="宋体"/>
                <w:b/>
                <w:color w:val="000000"/>
                <w:sz w:val="21"/>
              </w:rPr>
              <w:t>（填是或者否）</w:t>
            </w:r>
          </w:p>
        </w:tc>
        <w:tc>
          <w:tcPr>
            <w:tcW w:w="1701" w:type="dxa"/>
            <w:vAlign w:val="center"/>
          </w:tcPr>
          <w:p>
            <w:pPr>
              <w:snapToGrid w:val="0"/>
              <w:spacing w:line="240" w:lineRule="atLeast"/>
              <w:jc w:val="center"/>
              <w:rPr>
                <w:rFonts w:hAnsi="宋体"/>
                <w:b/>
                <w:color w:val="000000"/>
                <w:sz w:val="21"/>
              </w:rPr>
            </w:pPr>
            <w:r>
              <w:rPr>
                <w:rFonts w:hint="eastAsia" w:hAnsi="宋体"/>
                <w:b/>
                <w:color w:val="000000"/>
                <w:sz w:val="21"/>
              </w:rPr>
              <w:t>响应文件中的</w:t>
            </w:r>
          </w:p>
          <w:p>
            <w:pPr>
              <w:snapToGrid w:val="0"/>
              <w:spacing w:line="240" w:lineRule="atLeast"/>
              <w:jc w:val="center"/>
              <w:rPr>
                <w:rFonts w:hAnsi="宋体"/>
                <w:b/>
                <w:color w:val="000000"/>
                <w:sz w:val="21"/>
              </w:rPr>
            </w:pPr>
            <w:r>
              <w:rPr>
                <w:rFonts w:hint="eastAsia" w:hAnsi="宋体"/>
                <w:b/>
                <w:color w:val="000000"/>
                <w:sz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b/>
                <w:color w:val="000000"/>
                <w:sz w:val="21"/>
              </w:rPr>
            </w:pPr>
            <w:r>
              <w:rPr>
                <w:rFonts w:hint="eastAsia" w:hAnsi="宋体"/>
                <w:color w:val="000000"/>
                <w:sz w:val="21"/>
              </w:rPr>
              <w:t>1</w:t>
            </w:r>
          </w:p>
        </w:tc>
        <w:tc>
          <w:tcPr>
            <w:tcW w:w="4678" w:type="dxa"/>
            <w:vAlign w:val="center"/>
          </w:tcPr>
          <w:p>
            <w:pPr>
              <w:spacing w:line="480" w:lineRule="exact"/>
              <w:rPr>
                <w:rFonts w:hAnsi="宋体"/>
                <w:i/>
                <w:iCs/>
                <w:color w:val="000000"/>
                <w:sz w:val="21"/>
                <w:u w:val="single"/>
              </w:rPr>
            </w:pPr>
            <w:r>
              <w:rPr>
                <w:rFonts w:hint="eastAsia" w:hAnsi="宋体"/>
                <w:i/>
                <w:iCs/>
                <w:color w:val="000000"/>
                <w:sz w:val="21"/>
                <w:u w:val="single"/>
              </w:rPr>
              <w:t>文件</w:t>
            </w:r>
            <w:r>
              <w:rPr>
                <w:rFonts w:hAnsi="宋体"/>
                <w:i/>
                <w:iCs/>
                <w:color w:val="000000"/>
                <w:sz w:val="21"/>
                <w:u w:val="single"/>
              </w:rPr>
              <w:t>1   工商营业执照</w:t>
            </w:r>
            <w:r>
              <w:rPr>
                <w:rFonts w:hint="eastAsia" w:hAnsi="宋体"/>
                <w:i/>
                <w:iCs/>
                <w:color w:val="000000"/>
                <w:sz w:val="21"/>
                <w:u w:val="single"/>
              </w:rPr>
              <w:t>、资质证书</w:t>
            </w:r>
            <w:r>
              <w:rPr>
                <w:rFonts w:hAnsi="宋体"/>
                <w:i/>
                <w:iCs/>
                <w:color w:val="000000"/>
                <w:sz w:val="21"/>
                <w:u w:val="single"/>
              </w:rPr>
              <w:t>（复印件</w:t>
            </w:r>
            <w:r>
              <w:rPr>
                <w:rFonts w:hint="eastAsia" w:hAnsi="宋体"/>
                <w:i/>
                <w:iCs/>
                <w:color w:val="000000"/>
                <w:sz w:val="21"/>
                <w:u w:val="single"/>
              </w:rPr>
              <w:t>，</w:t>
            </w:r>
            <w:r>
              <w:rPr>
                <w:rFonts w:hAnsi="宋体"/>
                <w:i/>
                <w:iCs/>
                <w:color w:val="000000"/>
                <w:sz w:val="21"/>
                <w:u w:val="single"/>
              </w:rPr>
              <w:t>加盖公章）</w:t>
            </w:r>
          </w:p>
        </w:tc>
        <w:tc>
          <w:tcPr>
            <w:tcW w:w="1842" w:type="dxa"/>
            <w:vAlign w:val="center"/>
          </w:tcPr>
          <w:p>
            <w:pPr>
              <w:jc w:val="center"/>
              <w:rPr>
                <w:rFonts w:hAnsi="宋体"/>
                <w:b/>
                <w:color w:val="000000"/>
                <w:sz w:val="21"/>
              </w:rPr>
            </w:pPr>
          </w:p>
        </w:tc>
        <w:tc>
          <w:tcPr>
            <w:tcW w:w="1701" w:type="dxa"/>
            <w:vAlign w:val="center"/>
          </w:tcPr>
          <w:p>
            <w:pPr>
              <w:jc w:val="center"/>
              <w:rPr>
                <w:rFonts w:hAnsi="宋体"/>
                <w:b/>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color w:val="000000"/>
                <w:sz w:val="21"/>
              </w:rPr>
            </w:pPr>
            <w:r>
              <w:rPr>
                <w:rFonts w:hint="eastAsia" w:hAnsi="宋体"/>
                <w:color w:val="000000"/>
                <w:sz w:val="21"/>
              </w:rPr>
              <w:t>2</w:t>
            </w:r>
          </w:p>
        </w:tc>
        <w:tc>
          <w:tcPr>
            <w:tcW w:w="4678" w:type="dxa"/>
            <w:vAlign w:val="center"/>
          </w:tcPr>
          <w:p>
            <w:pPr>
              <w:spacing w:line="480" w:lineRule="exact"/>
              <w:rPr>
                <w:rFonts w:hAnsi="宋体"/>
                <w:i/>
                <w:iCs/>
                <w:color w:val="000000"/>
                <w:sz w:val="21"/>
                <w:u w:val="single"/>
              </w:rPr>
            </w:pPr>
            <w:r>
              <w:rPr>
                <w:rFonts w:hint="eastAsia" w:hAnsi="宋体"/>
                <w:i/>
                <w:iCs/>
                <w:color w:val="000000"/>
                <w:sz w:val="21"/>
                <w:u w:val="single"/>
              </w:rPr>
              <w:t>文件</w:t>
            </w:r>
            <w:r>
              <w:rPr>
                <w:rFonts w:hAnsi="宋体"/>
                <w:i/>
                <w:iCs/>
                <w:color w:val="000000"/>
                <w:sz w:val="21"/>
                <w:u w:val="single"/>
              </w:rPr>
              <w:t>2   法人授权书（原件</w:t>
            </w:r>
            <w:r>
              <w:rPr>
                <w:rFonts w:hint="eastAsia" w:hAnsi="宋体"/>
                <w:i/>
                <w:iCs/>
                <w:color w:val="000000"/>
                <w:sz w:val="21"/>
                <w:u w:val="single"/>
              </w:rPr>
              <w:t>，</w:t>
            </w:r>
            <w:r>
              <w:rPr>
                <w:rFonts w:hAnsi="宋体"/>
                <w:i/>
                <w:iCs/>
                <w:color w:val="000000"/>
                <w:sz w:val="21"/>
                <w:u w:val="single"/>
              </w:rPr>
              <w:t>非法定代表人参与</w:t>
            </w:r>
            <w:r>
              <w:rPr>
                <w:rFonts w:hint="eastAsia" w:hAnsi="宋体"/>
                <w:i/>
                <w:iCs/>
                <w:color w:val="000000"/>
                <w:sz w:val="21"/>
                <w:u w:val="single"/>
              </w:rPr>
              <w:t>磋商</w:t>
            </w:r>
            <w:r>
              <w:rPr>
                <w:rFonts w:hAnsi="宋体"/>
                <w:i/>
                <w:iCs/>
                <w:color w:val="000000"/>
                <w:sz w:val="21"/>
                <w:u w:val="single"/>
              </w:rPr>
              <w:t>时必须提供）</w:t>
            </w:r>
          </w:p>
        </w:tc>
        <w:tc>
          <w:tcPr>
            <w:tcW w:w="1842" w:type="dxa"/>
            <w:vAlign w:val="center"/>
          </w:tcPr>
          <w:p>
            <w:pPr>
              <w:jc w:val="center"/>
              <w:rPr>
                <w:rFonts w:hAnsi="宋体"/>
                <w:color w:val="000000"/>
                <w:sz w:val="21"/>
              </w:rPr>
            </w:pPr>
          </w:p>
        </w:tc>
        <w:tc>
          <w:tcPr>
            <w:tcW w:w="1701" w:type="dxa"/>
            <w:vAlign w:val="center"/>
          </w:tcPr>
          <w:p>
            <w:pPr>
              <w:jc w:val="center"/>
              <w:rPr>
                <w:rFonts w:hAnsi="宋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color w:val="000000"/>
                <w:sz w:val="21"/>
              </w:rPr>
            </w:pPr>
            <w:r>
              <w:rPr>
                <w:rFonts w:hint="eastAsia" w:hAnsi="宋体"/>
                <w:color w:val="000000"/>
                <w:sz w:val="21"/>
              </w:rPr>
              <w:t>3</w:t>
            </w:r>
          </w:p>
        </w:tc>
        <w:tc>
          <w:tcPr>
            <w:tcW w:w="4678" w:type="dxa"/>
            <w:vAlign w:val="center"/>
          </w:tcPr>
          <w:p>
            <w:pPr>
              <w:spacing w:line="480" w:lineRule="exact"/>
              <w:rPr>
                <w:rFonts w:hAnsi="宋体"/>
                <w:i/>
                <w:iCs/>
                <w:color w:val="000000"/>
                <w:sz w:val="21"/>
                <w:u w:val="single"/>
              </w:rPr>
            </w:pPr>
            <w:r>
              <w:rPr>
                <w:rFonts w:hint="eastAsia" w:hAnsi="宋体"/>
                <w:i/>
                <w:iCs/>
                <w:color w:val="000000"/>
                <w:sz w:val="21"/>
                <w:u w:val="single"/>
              </w:rPr>
              <w:t>文件3</w:t>
            </w:r>
            <w:r>
              <w:rPr>
                <w:rFonts w:hAnsi="宋体"/>
                <w:i/>
                <w:iCs/>
                <w:color w:val="000000"/>
                <w:sz w:val="21"/>
                <w:u w:val="single"/>
              </w:rPr>
              <w:t xml:space="preserve">  </w:t>
            </w:r>
            <w:r>
              <w:rPr>
                <w:rFonts w:hint="eastAsia" w:hAnsi="宋体"/>
                <w:i/>
                <w:iCs/>
                <w:color w:val="000000"/>
                <w:sz w:val="21"/>
                <w:u w:val="single"/>
              </w:rPr>
              <w:t xml:space="preserve"> 投标人一般情况表</w:t>
            </w:r>
            <w:r>
              <w:rPr>
                <w:rFonts w:hAnsi="宋体"/>
                <w:i/>
                <w:iCs/>
                <w:color w:val="000000"/>
                <w:sz w:val="21"/>
                <w:u w:val="single"/>
              </w:rPr>
              <w:t>（原件）</w:t>
            </w:r>
          </w:p>
        </w:tc>
        <w:tc>
          <w:tcPr>
            <w:tcW w:w="1842" w:type="dxa"/>
            <w:vAlign w:val="center"/>
          </w:tcPr>
          <w:p>
            <w:pPr>
              <w:jc w:val="center"/>
              <w:rPr>
                <w:rFonts w:hAnsi="宋体"/>
                <w:color w:val="000000"/>
                <w:sz w:val="21"/>
              </w:rPr>
            </w:pPr>
          </w:p>
        </w:tc>
        <w:tc>
          <w:tcPr>
            <w:tcW w:w="1701" w:type="dxa"/>
            <w:vAlign w:val="center"/>
          </w:tcPr>
          <w:p>
            <w:pPr>
              <w:jc w:val="center"/>
              <w:rPr>
                <w:rFonts w:hAnsi="宋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709" w:type="dxa"/>
            <w:vAlign w:val="center"/>
          </w:tcPr>
          <w:p>
            <w:pPr>
              <w:jc w:val="center"/>
              <w:rPr>
                <w:rFonts w:hAnsi="宋体"/>
                <w:color w:val="000000"/>
                <w:sz w:val="21"/>
              </w:rPr>
            </w:pPr>
            <w:r>
              <w:rPr>
                <w:rFonts w:hint="eastAsia" w:hAnsi="宋体"/>
                <w:color w:val="000000"/>
                <w:sz w:val="21"/>
              </w:rPr>
              <w:t>4</w:t>
            </w:r>
          </w:p>
        </w:tc>
        <w:tc>
          <w:tcPr>
            <w:tcW w:w="4678" w:type="dxa"/>
            <w:vAlign w:val="center"/>
          </w:tcPr>
          <w:p>
            <w:pPr>
              <w:rPr>
                <w:rFonts w:hAnsi="宋体"/>
                <w:i/>
                <w:iCs/>
                <w:color w:val="000000"/>
                <w:sz w:val="21"/>
                <w:u w:val="single"/>
              </w:rPr>
            </w:pPr>
            <w:r>
              <w:rPr>
                <w:rFonts w:hint="eastAsia" w:hAnsi="宋体"/>
                <w:i/>
                <w:iCs/>
                <w:color w:val="000000"/>
                <w:sz w:val="21"/>
                <w:u w:val="single"/>
              </w:rPr>
              <w:t>磋商文件中的其他实质性要求</w:t>
            </w:r>
          </w:p>
        </w:tc>
        <w:tc>
          <w:tcPr>
            <w:tcW w:w="1842" w:type="dxa"/>
            <w:vAlign w:val="center"/>
          </w:tcPr>
          <w:p>
            <w:pPr>
              <w:jc w:val="center"/>
              <w:rPr>
                <w:rFonts w:hAnsi="宋体"/>
                <w:color w:val="000000"/>
                <w:sz w:val="21"/>
              </w:rPr>
            </w:pPr>
          </w:p>
        </w:tc>
        <w:tc>
          <w:tcPr>
            <w:tcW w:w="1701" w:type="dxa"/>
            <w:vAlign w:val="center"/>
          </w:tcPr>
          <w:p>
            <w:pPr>
              <w:jc w:val="center"/>
              <w:rPr>
                <w:rFonts w:hAnsi="宋体"/>
                <w:color w:val="000000"/>
                <w:sz w:val="21"/>
              </w:rPr>
            </w:pPr>
          </w:p>
        </w:tc>
      </w:tr>
    </w:tbl>
    <w:p>
      <w:pPr>
        <w:snapToGrid w:val="0"/>
        <w:spacing w:before="50" w:after="50"/>
        <w:rPr>
          <w:rFonts w:hAnsi="宋体"/>
          <w:color w:val="000000"/>
          <w:sz w:val="32"/>
          <w:szCs w:val="32"/>
        </w:rPr>
      </w:pPr>
    </w:p>
    <w:p>
      <w:pPr>
        <w:snapToGrid w:val="0"/>
        <w:spacing w:before="50" w:after="50"/>
        <w:jc w:val="center"/>
        <w:rPr>
          <w:rFonts w:hAnsi="宋体"/>
          <w:color w:val="000000"/>
          <w:sz w:val="32"/>
          <w:szCs w:val="32"/>
        </w:rPr>
      </w:pPr>
      <w:r>
        <w:rPr>
          <w:rFonts w:hAnsi="宋体"/>
          <w:color w:val="000000"/>
          <w:sz w:val="32"/>
          <w:szCs w:val="32"/>
        </w:rPr>
        <w:br w:type="page"/>
      </w:r>
    </w:p>
    <w:p>
      <w:pPr>
        <w:jc w:val="center"/>
        <w:rPr>
          <w:rStyle w:val="52"/>
          <w:rFonts w:ascii="华文中宋" w:hAnsi="华文中宋" w:eastAsia="华文中宋"/>
          <w:b w:val="0"/>
          <w:color w:val="auto"/>
          <w:szCs w:val="28"/>
        </w:rPr>
      </w:pPr>
      <w:r>
        <w:rPr>
          <w:rFonts w:hint="eastAsia"/>
          <w:bCs/>
          <w:spacing w:val="-6"/>
          <w:sz w:val="32"/>
        </w:rPr>
        <w:t>三、</w:t>
      </w:r>
      <w:bookmarkStart w:id="128" w:name="_Toc49090577"/>
      <w:bookmarkStart w:id="129" w:name="_Toc120614283"/>
      <w:bookmarkStart w:id="130" w:name="_Toc460901585"/>
      <w:bookmarkStart w:id="131" w:name="_Toc23828478"/>
      <w:bookmarkStart w:id="132" w:name="_Toc513029276"/>
      <w:bookmarkStart w:id="133" w:name="_Toc22356580"/>
      <w:bookmarkStart w:id="134" w:name="_Toc26554095"/>
      <w:r>
        <w:rPr>
          <w:rFonts w:hint="eastAsia" w:ascii="华文中宋" w:hAnsi="华文中宋" w:eastAsia="华文中宋"/>
          <w:b/>
          <w:spacing w:val="-6"/>
          <w:sz w:val="32"/>
          <w:szCs w:val="28"/>
        </w:rPr>
        <w:t>、</w:t>
      </w:r>
      <w:r>
        <w:rPr>
          <w:rStyle w:val="52"/>
          <w:rFonts w:hint="eastAsia" w:ascii="华文中宋" w:hAnsi="华文中宋" w:eastAsia="华文中宋"/>
          <w:color w:val="auto"/>
          <w:szCs w:val="28"/>
        </w:rPr>
        <w:t>磋商函格式</w:t>
      </w:r>
    </w:p>
    <w:bookmarkEnd w:id="128"/>
    <w:bookmarkEnd w:id="129"/>
    <w:bookmarkEnd w:id="130"/>
    <w:bookmarkEnd w:id="131"/>
    <w:bookmarkEnd w:id="132"/>
    <w:bookmarkEnd w:id="133"/>
    <w:bookmarkEnd w:id="134"/>
    <w:p>
      <w:pPr>
        <w:tabs>
          <w:tab w:val="left" w:pos="5580"/>
        </w:tabs>
        <w:spacing w:line="480" w:lineRule="exact"/>
        <w:rPr>
          <w:rStyle w:val="52"/>
          <w:rFonts w:hAnsi="宋体"/>
          <w:color w:val="auto"/>
        </w:rPr>
      </w:pPr>
    </w:p>
    <w:p>
      <w:pPr>
        <w:rPr>
          <w:rFonts w:ascii="仿宋_GB2312" w:hAnsi="宋体" w:eastAsia="仿宋_GB2312"/>
        </w:rPr>
      </w:pPr>
      <w:r>
        <w:rPr>
          <w:rFonts w:hint="eastAsia" w:ascii="仿宋_GB2312" w:hAnsi="宋体" w:eastAsia="仿宋_GB2312"/>
        </w:rPr>
        <w:t>致：皖南医学院</w:t>
      </w:r>
    </w:p>
    <w:p>
      <w:pPr>
        <w:ind w:firstLine="560" w:firstLineChars="200"/>
        <w:rPr>
          <w:rFonts w:ascii="仿宋_GB2312" w:hAnsi="宋体" w:eastAsia="仿宋_GB2312"/>
        </w:rPr>
      </w:pPr>
      <w:r>
        <w:rPr>
          <w:rFonts w:hint="eastAsia" w:ascii="仿宋_GB2312" w:hAnsi="宋体" w:eastAsia="仿宋_GB2312"/>
        </w:rPr>
        <w:t>根据贵方的______________</w:t>
      </w:r>
      <w:r>
        <w:rPr>
          <w:rFonts w:hint="eastAsia" w:ascii="仿宋_GB2312" w:eastAsia="仿宋_GB2312"/>
          <w:szCs w:val="28"/>
        </w:rPr>
        <w:t>项目磋商</w:t>
      </w:r>
      <w:r>
        <w:rPr>
          <w:rFonts w:hint="eastAsia" w:ascii="仿宋_GB2312" w:hAnsi="宋体" w:eastAsia="仿宋_GB2312"/>
        </w:rPr>
        <w:t>文件，正式授权下述_______________(姓名和职务)代表我方______________（供应商的名称），全权处理本次项目磋商的有关事宜。</w:t>
      </w:r>
    </w:p>
    <w:p>
      <w:pPr>
        <w:ind w:firstLine="560" w:firstLineChars="200"/>
        <w:rPr>
          <w:rFonts w:ascii="仿宋_GB2312" w:hAnsi="宋体" w:eastAsia="仿宋_GB2312"/>
        </w:rPr>
      </w:pPr>
      <w:r>
        <w:rPr>
          <w:rFonts w:hint="eastAsia" w:ascii="仿宋_GB2312" w:hAnsi="宋体" w:eastAsia="仿宋_GB2312"/>
        </w:rPr>
        <w:t>据此函，__________（签字人）兹宣布同意如下：</w:t>
      </w:r>
    </w:p>
    <w:p>
      <w:pPr>
        <w:rPr>
          <w:rFonts w:ascii="仿宋_GB2312" w:hAnsi="宋体" w:eastAsia="仿宋_GB2312"/>
        </w:rPr>
      </w:pPr>
      <w:r>
        <w:rPr>
          <w:rFonts w:hint="eastAsia" w:ascii="仿宋_GB2312" w:hAnsi="宋体" w:eastAsia="仿宋_GB2312"/>
        </w:rPr>
        <w:t>1.按磋商文件规定的各项要求，向甲方提供所需货物与服务。</w:t>
      </w:r>
    </w:p>
    <w:p>
      <w:pPr>
        <w:rPr>
          <w:rFonts w:ascii="仿宋_GB2312" w:hAnsi="宋体" w:eastAsia="仿宋_GB2312"/>
        </w:rPr>
      </w:pPr>
      <w:r>
        <w:rPr>
          <w:rFonts w:hint="eastAsia" w:ascii="仿宋_GB2312" w:hAnsi="宋体" w:eastAsia="仿宋_GB2312"/>
        </w:rPr>
        <w:t>2.我们完全理解贵方不一定将合同授予最低报价的供应商。</w:t>
      </w:r>
    </w:p>
    <w:p>
      <w:pPr>
        <w:rPr>
          <w:rFonts w:ascii="仿宋_GB2312" w:hAnsi="宋体" w:eastAsia="仿宋_GB2312"/>
        </w:rPr>
      </w:pPr>
      <w:r>
        <w:rPr>
          <w:rFonts w:hint="eastAsia" w:ascii="仿宋_GB2312" w:hAnsi="宋体" w:eastAsia="仿宋_GB2312"/>
        </w:rPr>
        <w:t>3.我们已详细审核全部磋商文件及其有效补充文件，我们知道必须放弃提出含糊不清或误解问题的权利。</w:t>
      </w:r>
    </w:p>
    <w:p>
      <w:pPr>
        <w:rPr>
          <w:rFonts w:ascii="仿宋_GB2312" w:hAnsi="宋体" w:eastAsia="仿宋_GB2312"/>
        </w:rPr>
      </w:pPr>
      <w:r>
        <w:rPr>
          <w:rFonts w:hint="eastAsia" w:ascii="仿宋_GB2312" w:hAnsi="宋体" w:eastAsia="仿宋_GB2312"/>
        </w:rPr>
        <w:t>4.我们同意从规定的响应文件开启时间起遵循本响应文件。</w:t>
      </w:r>
    </w:p>
    <w:p>
      <w:pPr>
        <w:rPr>
          <w:rFonts w:ascii="仿宋_GB2312" w:hAnsi="宋体" w:eastAsia="仿宋_GB2312"/>
        </w:rPr>
      </w:pPr>
      <w:r>
        <w:rPr>
          <w:rFonts w:hint="eastAsia" w:ascii="仿宋_GB2312" w:hAnsi="宋体" w:eastAsia="仿宋_GB2312"/>
        </w:rPr>
        <w:t>5.如果在确定成交后拒绝签订合同，我们的</w:t>
      </w:r>
      <w:r>
        <w:rPr>
          <w:rFonts w:hint="eastAsia" w:ascii="仿宋_GB2312" w:hAnsi="宋体" w:eastAsia="仿宋_GB2312"/>
          <w:lang w:val="en-US" w:eastAsia="zh-CN"/>
        </w:rPr>
        <w:t>履约</w:t>
      </w:r>
      <w:r>
        <w:rPr>
          <w:rFonts w:hint="eastAsia" w:ascii="仿宋_GB2312" w:hAnsi="宋体" w:eastAsia="仿宋_GB2312"/>
        </w:rPr>
        <w:t>保证金可被贵方没收。</w:t>
      </w:r>
    </w:p>
    <w:p>
      <w:pPr>
        <w:rPr>
          <w:rFonts w:ascii="仿宋_GB2312" w:hAnsi="宋体" w:eastAsia="仿宋_GB2312"/>
        </w:rPr>
      </w:pPr>
      <w:r>
        <w:rPr>
          <w:rFonts w:hint="eastAsia" w:ascii="仿宋_GB2312" w:hAnsi="宋体" w:eastAsia="仿宋_GB2312"/>
        </w:rPr>
        <w:t>6.同意向贵方提供贵方可能另外要求的与磋商有关的任何证据或资料，并保证我方已提供和将要提供的文件是真实的、准确的。</w:t>
      </w:r>
    </w:p>
    <w:p>
      <w:pPr>
        <w:rPr>
          <w:rFonts w:ascii="仿宋_GB2312" w:hAnsi="宋体" w:eastAsia="仿宋_GB2312"/>
        </w:rPr>
      </w:pPr>
      <w:r>
        <w:rPr>
          <w:rFonts w:hint="eastAsia" w:ascii="仿宋_GB2312" w:hAnsi="宋体" w:eastAsia="仿宋_GB2312"/>
        </w:rPr>
        <w:t>7.一旦我方别确认成交,我方将根据磋商文件的规定，严格履行合同的责任和义务,并保证在磋商文件规定的时间完成项目，交付甲方验收、使用。</w:t>
      </w:r>
    </w:p>
    <w:p>
      <w:pPr>
        <w:rPr>
          <w:rFonts w:ascii="仿宋_GB2312" w:hAnsi="宋体" w:eastAsia="仿宋_GB2312"/>
        </w:rPr>
      </w:pPr>
      <w:r>
        <w:rPr>
          <w:rFonts w:hint="eastAsia" w:ascii="仿宋_GB2312" w:hAnsi="宋体" w:eastAsia="仿宋_GB2312"/>
        </w:rPr>
        <w:t>8.遵守磋商文件中要求的收费项目和标准。</w:t>
      </w:r>
    </w:p>
    <w:p>
      <w:pPr>
        <w:rPr>
          <w:rFonts w:ascii="仿宋_GB2312" w:hAnsi="宋体" w:eastAsia="仿宋_GB2312"/>
        </w:rPr>
      </w:pPr>
      <w:r>
        <w:rPr>
          <w:rFonts w:hint="eastAsia" w:ascii="仿宋_GB2312" w:hAnsi="宋体" w:eastAsia="仿宋_GB2312"/>
        </w:rPr>
        <w:t>9.与本磋商有关的正式通讯地址为：</w:t>
      </w:r>
    </w:p>
    <w:p>
      <w:pPr>
        <w:rPr>
          <w:rFonts w:ascii="仿宋_GB2312" w:hAnsi="宋体" w:eastAsia="仿宋_GB2312"/>
        </w:rPr>
      </w:pPr>
      <w:r>
        <w:rPr>
          <w:rFonts w:hint="eastAsia" w:ascii="仿宋_GB2312" w:hAnsi="宋体" w:eastAsia="仿宋_GB2312"/>
        </w:rPr>
        <w:t>地址：</w:t>
      </w:r>
    </w:p>
    <w:p>
      <w:pPr>
        <w:rPr>
          <w:rFonts w:ascii="仿宋_GB2312" w:hAnsi="宋体" w:eastAsia="仿宋_GB2312"/>
        </w:rPr>
      </w:pPr>
      <w:r>
        <w:rPr>
          <w:rFonts w:hint="eastAsia" w:ascii="仿宋_GB2312" w:hAnsi="宋体" w:eastAsia="仿宋_GB2312"/>
        </w:rPr>
        <w:t>邮编：</w:t>
      </w:r>
    </w:p>
    <w:p>
      <w:pPr>
        <w:rPr>
          <w:rFonts w:ascii="仿宋_GB2312" w:hAnsi="宋体" w:eastAsia="仿宋_GB2312"/>
        </w:rPr>
      </w:pPr>
      <w:r>
        <w:rPr>
          <w:rFonts w:hint="eastAsia" w:ascii="仿宋_GB2312" w:hAnsi="宋体" w:eastAsia="仿宋_GB2312"/>
        </w:rPr>
        <w:t>电话：</w:t>
      </w:r>
    </w:p>
    <w:p>
      <w:pPr>
        <w:rPr>
          <w:rFonts w:ascii="仿宋_GB2312" w:hAnsi="宋体" w:eastAsia="仿宋_GB2312"/>
        </w:rPr>
      </w:pPr>
      <w:r>
        <w:rPr>
          <w:rFonts w:hint="eastAsia" w:ascii="仿宋_GB2312" w:hAnsi="宋体" w:eastAsia="仿宋_GB2312"/>
        </w:rPr>
        <w:t>传真：</w:t>
      </w:r>
    </w:p>
    <w:p>
      <w:pPr>
        <w:rPr>
          <w:rFonts w:ascii="仿宋_GB2312" w:hAnsi="宋体" w:eastAsia="仿宋_GB2312"/>
        </w:rPr>
      </w:pPr>
      <w:r>
        <w:rPr>
          <w:rFonts w:hint="eastAsia" w:ascii="仿宋_GB2312" w:hAnsi="宋体" w:eastAsia="仿宋_GB2312"/>
        </w:rPr>
        <w:t>供应商开户行：</w:t>
      </w:r>
    </w:p>
    <w:p>
      <w:pPr>
        <w:rPr>
          <w:rFonts w:ascii="仿宋_GB2312" w:hAnsi="宋体" w:eastAsia="仿宋_GB2312"/>
        </w:rPr>
      </w:pPr>
      <w:r>
        <w:rPr>
          <w:rFonts w:hint="eastAsia" w:ascii="仿宋_GB2312" w:hAnsi="宋体" w:eastAsia="仿宋_GB2312"/>
        </w:rPr>
        <w:t xml:space="preserve">账户： </w:t>
      </w:r>
    </w:p>
    <w:p>
      <w:pPr>
        <w:rPr>
          <w:rFonts w:ascii="仿宋_GB2312" w:hAnsi="宋体" w:eastAsia="仿宋_GB2312"/>
        </w:rPr>
      </w:pPr>
    </w:p>
    <w:p>
      <w:pPr>
        <w:rPr>
          <w:rFonts w:ascii="仿宋_GB2312" w:hAnsi="宋体" w:eastAsia="仿宋_GB2312"/>
        </w:rPr>
      </w:pPr>
      <w:r>
        <w:rPr>
          <w:rFonts w:hint="eastAsia" w:ascii="仿宋_GB2312" w:hAnsi="宋体" w:eastAsia="仿宋_GB2312"/>
        </w:rPr>
        <w:t xml:space="preserve">供应商授权代表姓名（签字）： </w:t>
      </w:r>
    </w:p>
    <w:p>
      <w:pPr>
        <w:rPr>
          <w:rFonts w:ascii="仿宋_GB2312" w:hAnsi="宋体" w:eastAsia="仿宋_GB2312"/>
        </w:rPr>
      </w:pPr>
    </w:p>
    <w:p>
      <w:pPr>
        <w:rPr>
          <w:rFonts w:ascii="仿宋_GB2312" w:hAnsi="宋体" w:eastAsia="仿宋_GB2312"/>
        </w:rPr>
      </w:pPr>
      <w:r>
        <w:rPr>
          <w:rFonts w:hint="eastAsia" w:ascii="仿宋_GB2312" w:hAnsi="宋体" w:eastAsia="仿宋_GB2312"/>
        </w:rPr>
        <w:t xml:space="preserve">供应商名称（公章）： </w:t>
      </w:r>
    </w:p>
    <w:p>
      <w:pPr>
        <w:rPr>
          <w:rFonts w:ascii="仿宋_GB2312" w:hAnsi="宋体" w:eastAsia="仿宋_GB2312"/>
        </w:rPr>
      </w:pPr>
    </w:p>
    <w:p>
      <w:pPr>
        <w:rPr>
          <w:rFonts w:ascii="仿宋_GB2312" w:hAnsi="宋体" w:eastAsia="仿宋_GB2312"/>
        </w:rPr>
      </w:pPr>
      <w:r>
        <w:rPr>
          <w:rFonts w:hint="eastAsia" w:ascii="仿宋_GB2312" w:hAnsi="宋体" w:eastAsia="仿宋_GB2312"/>
        </w:rPr>
        <w:t>日期：________年</w:t>
      </w:r>
      <w:r>
        <w:rPr>
          <w:rFonts w:hint="eastAsia" w:ascii="仿宋_GB2312" w:hAnsi="宋体" w:eastAsia="仿宋_GB2312"/>
          <w:u w:val="single"/>
        </w:rPr>
        <w:t>_    __</w:t>
      </w:r>
      <w:r>
        <w:rPr>
          <w:rFonts w:hint="eastAsia" w:ascii="仿宋_GB2312" w:hAnsi="宋体" w:eastAsia="仿宋_GB2312"/>
        </w:rPr>
        <w:t>月</w:t>
      </w:r>
      <w:r>
        <w:rPr>
          <w:rFonts w:hint="eastAsia" w:ascii="仿宋_GB2312" w:hAnsi="宋体" w:eastAsia="仿宋_GB2312"/>
          <w:u w:val="single"/>
        </w:rPr>
        <w:t>__   __</w:t>
      </w:r>
      <w:r>
        <w:rPr>
          <w:rFonts w:hint="eastAsia" w:ascii="仿宋_GB2312" w:hAnsi="宋体" w:eastAsia="仿宋_GB2312"/>
        </w:rPr>
        <w:t>日</w:t>
      </w:r>
    </w:p>
    <w:p>
      <w:pPr>
        <w:rPr>
          <w:rFonts w:ascii="仿宋_GB2312" w:hAnsi="宋体" w:eastAsia="仿宋_GB2312"/>
          <w:i/>
          <w:u w:val="single"/>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r>
        <w:rPr>
          <w:rFonts w:hint="eastAsia" w:ascii="宋体" w:hAnsi="宋体"/>
          <w:b/>
          <w:color w:val="000000"/>
          <w:spacing w:val="-6"/>
          <w:sz w:val="24"/>
        </w:rPr>
        <w:t>四、投标人一般情况表</w:t>
      </w:r>
    </w:p>
    <w:p>
      <w:pPr>
        <w:spacing w:line="360" w:lineRule="auto"/>
        <w:rPr>
          <w:rFonts w:ascii="宋体" w:hAnsi="宋体"/>
          <w:color w:val="000000"/>
          <w:spacing w:val="-6"/>
        </w:rPr>
      </w:pPr>
    </w:p>
    <w:tbl>
      <w:tblPr>
        <w:tblStyle w:val="26"/>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1</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2</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3</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4</w:t>
            </w:r>
          </w:p>
        </w:tc>
        <w:tc>
          <w:tcPr>
            <w:tcW w:w="4305" w:type="dxa"/>
            <w:gridSpan w:val="2"/>
            <w:vAlign w:val="center"/>
          </w:tcPr>
          <w:p>
            <w:pPr>
              <w:spacing w:line="360" w:lineRule="auto"/>
              <w:rPr>
                <w:rFonts w:ascii="宋体" w:hAnsi="宋体"/>
                <w:color w:val="000000"/>
                <w:spacing w:val="-6"/>
                <w:sz w:val="24"/>
              </w:rPr>
            </w:pPr>
            <w:r>
              <w:rPr>
                <w:rFonts w:hint="eastAsia" w:ascii="宋体" w:hAnsi="宋体"/>
                <w:color w:val="000000"/>
                <w:spacing w:val="-6"/>
                <w:sz w:val="24"/>
              </w:rPr>
              <w:t>电话：</w:t>
            </w:r>
          </w:p>
        </w:tc>
        <w:tc>
          <w:tcPr>
            <w:tcW w:w="3842" w:type="dxa"/>
            <w:vAlign w:val="center"/>
          </w:tcPr>
          <w:p>
            <w:pPr>
              <w:spacing w:line="360" w:lineRule="auto"/>
              <w:rPr>
                <w:rFonts w:ascii="宋体" w:hAnsi="宋体"/>
                <w:color w:val="000000"/>
                <w:spacing w:val="-6"/>
                <w:sz w:val="24"/>
              </w:rPr>
            </w:pPr>
            <w:r>
              <w:rPr>
                <w:rFonts w:hint="eastAsia" w:ascii="宋体" w:hAnsi="宋体"/>
                <w:color w:val="000000"/>
                <w:spacing w:val="-6"/>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5</w:t>
            </w:r>
          </w:p>
        </w:tc>
        <w:tc>
          <w:tcPr>
            <w:tcW w:w="4305" w:type="dxa"/>
            <w:gridSpan w:val="2"/>
            <w:vAlign w:val="center"/>
          </w:tcPr>
          <w:p>
            <w:pPr>
              <w:spacing w:line="360" w:lineRule="auto"/>
              <w:rPr>
                <w:rFonts w:ascii="宋体" w:hAnsi="宋体"/>
                <w:color w:val="000000"/>
                <w:spacing w:val="-6"/>
                <w:sz w:val="24"/>
              </w:rPr>
            </w:pPr>
            <w:r>
              <w:rPr>
                <w:rFonts w:hint="eastAsia" w:ascii="宋体" w:hAnsi="宋体"/>
                <w:color w:val="000000"/>
                <w:spacing w:val="-6"/>
                <w:sz w:val="24"/>
              </w:rPr>
              <w:t>传真：</w:t>
            </w:r>
          </w:p>
        </w:tc>
        <w:tc>
          <w:tcPr>
            <w:tcW w:w="3842" w:type="dxa"/>
            <w:vAlign w:val="center"/>
          </w:tcPr>
          <w:p>
            <w:pPr>
              <w:spacing w:line="360" w:lineRule="auto"/>
              <w:rPr>
                <w:rFonts w:ascii="宋体" w:hAnsi="宋体"/>
                <w:color w:val="000000"/>
                <w:spacing w:val="-6"/>
                <w:sz w:val="24"/>
              </w:rPr>
            </w:pPr>
            <w:r>
              <w:rPr>
                <w:rFonts w:hint="eastAsia" w:ascii="宋体" w:hAnsi="宋体"/>
                <w:color w:val="000000"/>
                <w:spacing w:val="-6"/>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6</w:t>
            </w:r>
          </w:p>
        </w:tc>
        <w:tc>
          <w:tcPr>
            <w:tcW w:w="4305" w:type="dxa"/>
            <w:gridSpan w:val="2"/>
            <w:vAlign w:val="center"/>
          </w:tcPr>
          <w:p>
            <w:pPr>
              <w:spacing w:line="360" w:lineRule="auto"/>
              <w:rPr>
                <w:rFonts w:ascii="宋体" w:hAnsi="宋体"/>
                <w:color w:val="000000"/>
                <w:spacing w:val="-6"/>
                <w:sz w:val="24"/>
              </w:rPr>
            </w:pPr>
            <w:r>
              <w:rPr>
                <w:rFonts w:hint="eastAsia" w:ascii="宋体" w:hAnsi="宋体"/>
                <w:color w:val="000000"/>
                <w:spacing w:val="-6"/>
                <w:sz w:val="24"/>
              </w:rPr>
              <w:t>注册地：</w:t>
            </w:r>
          </w:p>
        </w:tc>
        <w:tc>
          <w:tcPr>
            <w:tcW w:w="3842" w:type="dxa"/>
            <w:vAlign w:val="center"/>
          </w:tcPr>
          <w:p>
            <w:pPr>
              <w:spacing w:line="360" w:lineRule="auto"/>
              <w:rPr>
                <w:rFonts w:ascii="宋体" w:hAnsi="宋体"/>
                <w:color w:val="000000"/>
                <w:spacing w:val="-6"/>
                <w:sz w:val="24"/>
              </w:rPr>
            </w:pPr>
            <w:r>
              <w:rPr>
                <w:rFonts w:hint="eastAsia" w:ascii="宋体" w:hAnsi="宋体"/>
                <w:color w:val="000000"/>
                <w:spacing w:val="-6"/>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7</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8</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9</w:t>
            </w:r>
          </w:p>
        </w:tc>
        <w:tc>
          <w:tcPr>
            <w:tcW w:w="2520" w:type="dxa"/>
            <w:vAlign w:val="center"/>
          </w:tcPr>
          <w:p>
            <w:pPr>
              <w:spacing w:line="360" w:lineRule="auto"/>
              <w:rPr>
                <w:rFonts w:ascii="宋体" w:hAnsi="宋体"/>
                <w:color w:val="000000"/>
                <w:spacing w:val="-6"/>
                <w:sz w:val="24"/>
              </w:rPr>
            </w:pPr>
            <w:r>
              <w:rPr>
                <w:rFonts w:hint="eastAsia" w:ascii="宋体" w:hAnsi="宋体"/>
                <w:color w:val="000000"/>
                <w:spacing w:val="-6"/>
                <w:sz w:val="24"/>
              </w:rPr>
              <w:t>作为承包人经历年数：</w:t>
            </w:r>
          </w:p>
        </w:tc>
        <w:tc>
          <w:tcPr>
            <w:tcW w:w="5627" w:type="dxa"/>
            <w:gridSpan w:val="2"/>
            <w:vAlign w:val="center"/>
          </w:tcPr>
          <w:p>
            <w:pPr>
              <w:spacing w:line="360" w:lineRule="auto"/>
              <w:rPr>
                <w:rFonts w:ascii="宋体" w:hAnsi="宋体"/>
                <w:color w:val="000000"/>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10</w:t>
            </w:r>
          </w:p>
        </w:tc>
        <w:tc>
          <w:tcPr>
            <w:tcW w:w="2520" w:type="dxa"/>
            <w:vAlign w:val="center"/>
          </w:tcPr>
          <w:p>
            <w:pPr>
              <w:spacing w:line="360" w:lineRule="auto"/>
              <w:rPr>
                <w:rFonts w:ascii="宋体" w:hAnsi="宋体"/>
                <w:color w:val="000000"/>
                <w:spacing w:val="-6"/>
                <w:sz w:val="24"/>
              </w:rPr>
            </w:pPr>
            <w:r>
              <w:rPr>
                <w:rFonts w:hint="eastAsia" w:ascii="宋体" w:hAnsi="宋体"/>
                <w:color w:val="000000"/>
                <w:spacing w:val="-6"/>
                <w:sz w:val="24"/>
              </w:rPr>
              <w:t>其他需要说明的情况</w:t>
            </w:r>
          </w:p>
        </w:tc>
        <w:tc>
          <w:tcPr>
            <w:tcW w:w="5627" w:type="dxa"/>
            <w:gridSpan w:val="2"/>
            <w:vAlign w:val="center"/>
          </w:tcPr>
          <w:p>
            <w:pPr>
              <w:spacing w:line="360" w:lineRule="auto"/>
              <w:rPr>
                <w:rFonts w:ascii="宋体" w:hAnsi="宋体"/>
                <w:color w:val="000000"/>
                <w:spacing w:val="-6"/>
                <w:sz w:val="24"/>
              </w:rPr>
            </w:pPr>
          </w:p>
          <w:p>
            <w:pPr>
              <w:spacing w:line="360" w:lineRule="auto"/>
              <w:rPr>
                <w:rFonts w:ascii="宋体" w:hAnsi="宋体"/>
                <w:color w:val="000000"/>
                <w:spacing w:val="-6"/>
                <w:sz w:val="24"/>
              </w:rPr>
            </w:pPr>
          </w:p>
          <w:p>
            <w:pPr>
              <w:spacing w:line="360" w:lineRule="auto"/>
              <w:rPr>
                <w:rFonts w:ascii="宋体" w:hAnsi="宋体"/>
                <w:color w:val="000000"/>
                <w:spacing w:val="-6"/>
                <w:sz w:val="24"/>
              </w:rPr>
            </w:pPr>
          </w:p>
        </w:tc>
      </w:tr>
    </w:tbl>
    <w:p>
      <w:pPr>
        <w:spacing w:line="360" w:lineRule="auto"/>
        <w:ind w:firstLine="573"/>
        <w:rPr>
          <w:rFonts w:ascii="宋体" w:hAnsi="宋体"/>
          <w:color w:val="000000"/>
          <w:spacing w:val="-6"/>
          <w:sz w:val="24"/>
        </w:rPr>
      </w:pPr>
    </w:p>
    <w:p>
      <w:pPr>
        <w:spacing w:line="360" w:lineRule="auto"/>
        <w:ind w:firstLine="228" w:firstLineChars="100"/>
        <w:rPr>
          <w:rFonts w:ascii="宋体" w:hAnsi="宋体"/>
          <w:color w:val="000000"/>
          <w:spacing w:val="-6"/>
          <w:sz w:val="24"/>
        </w:rPr>
      </w:pPr>
      <w:r>
        <w:rPr>
          <w:rFonts w:hint="eastAsia" w:ascii="宋体" w:hAnsi="宋体"/>
          <w:color w:val="000000"/>
          <w:spacing w:val="-6"/>
          <w:sz w:val="24"/>
        </w:rPr>
        <w:t>说明：所有投标申请人都须填写此表；</w:t>
      </w:r>
    </w:p>
    <w:p>
      <w:pPr>
        <w:spacing w:line="360" w:lineRule="auto"/>
        <w:jc w:val="center"/>
        <w:rPr>
          <w:rFonts w:ascii="宋体" w:hAnsi="宋体"/>
          <w:color w:val="000000"/>
          <w:spacing w:val="-6"/>
          <w:sz w:val="24"/>
        </w:rPr>
      </w:pPr>
    </w:p>
    <w:p>
      <w:pPr>
        <w:spacing w:line="360" w:lineRule="auto"/>
        <w:jc w:val="center"/>
        <w:rPr>
          <w:rFonts w:ascii="宋体" w:hAnsi="宋体"/>
          <w:color w:val="000000"/>
          <w:spacing w:val="-6"/>
          <w:sz w:val="24"/>
        </w:rPr>
      </w:pPr>
    </w:p>
    <w:p>
      <w:pPr>
        <w:spacing w:line="360" w:lineRule="auto"/>
        <w:jc w:val="center"/>
        <w:rPr>
          <w:rFonts w:ascii="宋体" w:hAnsi="宋体"/>
          <w:color w:val="000000"/>
          <w:spacing w:val="-6"/>
          <w:sz w:val="24"/>
        </w:rPr>
      </w:pPr>
    </w:p>
    <w:p>
      <w:pPr>
        <w:spacing w:line="360" w:lineRule="auto"/>
        <w:ind w:left="540" w:firstLine="30"/>
        <w:jc w:val="center"/>
        <w:rPr>
          <w:rFonts w:ascii="宋体" w:hAnsi="宋体"/>
          <w:color w:val="000000"/>
          <w:spacing w:val="-6"/>
          <w:sz w:val="24"/>
        </w:rPr>
      </w:pPr>
      <w:r>
        <w:rPr>
          <w:rFonts w:hint="eastAsia" w:ascii="宋体" w:hAnsi="宋体"/>
          <w:color w:val="000000"/>
          <w:spacing w:val="-6"/>
          <w:sz w:val="24"/>
        </w:rPr>
        <w:t xml:space="preserve">           授权代表签字：</w:t>
      </w:r>
    </w:p>
    <w:p>
      <w:pPr>
        <w:spacing w:line="360" w:lineRule="auto"/>
        <w:ind w:left="540" w:firstLine="5068"/>
        <w:rPr>
          <w:rFonts w:ascii="宋体" w:hAnsi="宋体"/>
          <w:color w:val="000000"/>
          <w:spacing w:val="-6"/>
          <w:sz w:val="24"/>
        </w:rPr>
      </w:pPr>
    </w:p>
    <w:p>
      <w:pPr>
        <w:spacing w:line="360" w:lineRule="auto"/>
        <w:jc w:val="center"/>
        <w:rPr>
          <w:rFonts w:ascii="宋体" w:hAnsi="宋体"/>
          <w:color w:val="000000"/>
          <w:spacing w:val="-6"/>
          <w:sz w:val="24"/>
        </w:rPr>
      </w:pPr>
      <w:r>
        <w:rPr>
          <w:rFonts w:hint="eastAsia" w:ascii="宋体" w:hAnsi="宋体"/>
          <w:color w:val="000000"/>
          <w:spacing w:val="-6"/>
          <w:sz w:val="24"/>
        </w:rPr>
        <w:t xml:space="preserve">                      投标人名称（盖章）：</w:t>
      </w:r>
    </w:p>
    <w:p>
      <w:pPr>
        <w:spacing w:line="360" w:lineRule="auto"/>
        <w:jc w:val="center"/>
        <w:rPr>
          <w:rFonts w:ascii="宋体" w:hAnsi="宋体"/>
          <w:color w:val="000000"/>
          <w:spacing w:val="-6"/>
          <w:sz w:val="24"/>
        </w:rPr>
      </w:pPr>
    </w:p>
    <w:p>
      <w:pPr>
        <w:spacing w:line="360" w:lineRule="auto"/>
        <w:jc w:val="center"/>
        <w:rPr>
          <w:rFonts w:ascii="宋体" w:hAnsi="宋体"/>
          <w:color w:val="000000"/>
          <w:spacing w:val="-6"/>
          <w:sz w:val="24"/>
        </w:rPr>
      </w:pPr>
      <w:r>
        <w:rPr>
          <w:rFonts w:hint="eastAsia" w:ascii="宋体" w:hAnsi="宋体"/>
          <w:color w:val="000000"/>
          <w:spacing w:val="-6"/>
          <w:sz w:val="24"/>
        </w:rPr>
        <w:t xml:space="preserve">                      日期：    年   月  日</w:t>
      </w:r>
    </w:p>
    <w:p>
      <w:pPr>
        <w:rPr>
          <w:rFonts w:ascii="仿宋_GB2312" w:eastAsia="仿宋_GB2312"/>
        </w:rPr>
      </w:pPr>
    </w:p>
    <w:p>
      <w:pPr>
        <w:snapToGrid w:val="0"/>
        <w:spacing w:before="50" w:after="50"/>
        <w:jc w:val="center"/>
        <w:rPr>
          <w:rFonts w:ascii="华文中宋" w:hAnsi="华文中宋" w:eastAsia="华文中宋"/>
          <w:szCs w:val="28"/>
        </w:rPr>
      </w:pPr>
    </w:p>
    <w:p>
      <w:pPr>
        <w:snapToGrid w:val="0"/>
        <w:spacing w:before="50" w:after="50"/>
        <w:jc w:val="center"/>
        <w:rPr>
          <w:rFonts w:ascii="华文中宋" w:hAnsi="华文中宋" w:eastAsia="华文中宋"/>
          <w:szCs w:val="28"/>
        </w:rPr>
      </w:pPr>
    </w:p>
    <w:p>
      <w:pPr>
        <w:jc w:val="center"/>
        <w:rPr>
          <w:rFonts w:hint="eastAsia" w:hAnsi="宋体"/>
          <w:b/>
        </w:rPr>
      </w:pPr>
      <w:bookmarkStart w:id="135" w:name="_Toc513029281"/>
      <w:bookmarkStart w:id="136" w:name="_Toc26554103"/>
      <w:bookmarkStart w:id="137" w:name="_Toc49090582"/>
      <w:bookmarkStart w:id="138" w:name="_Toc120614291"/>
      <w:bookmarkStart w:id="139" w:name="_Toc22356583"/>
      <w:bookmarkStart w:id="140" w:name="_Toc23828483"/>
      <w:bookmarkStart w:id="141" w:name="_Toc24878535"/>
    </w:p>
    <w:p>
      <w:pPr>
        <w:jc w:val="center"/>
        <w:rPr>
          <w:rFonts w:hAnsi="宋体"/>
          <w:b/>
        </w:rPr>
      </w:pPr>
      <w:r>
        <w:rPr>
          <w:rFonts w:hint="eastAsia" w:hAnsi="宋体"/>
          <w:b/>
        </w:rPr>
        <w:t>五、法人授权书</w:t>
      </w:r>
      <w:bookmarkEnd w:id="135"/>
      <w:bookmarkEnd w:id="136"/>
      <w:bookmarkEnd w:id="137"/>
      <w:bookmarkEnd w:id="138"/>
      <w:bookmarkEnd w:id="139"/>
      <w:bookmarkEnd w:id="140"/>
      <w:bookmarkEnd w:id="141"/>
      <w:r>
        <w:rPr>
          <w:rFonts w:hint="eastAsia" w:hAnsi="宋体"/>
          <w:b/>
        </w:rPr>
        <w:t>格式</w:t>
      </w:r>
    </w:p>
    <w:p>
      <w:pPr>
        <w:snapToGrid w:val="0"/>
        <w:spacing w:line="360" w:lineRule="auto"/>
        <w:rPr>
          <w:rFonts w:ascii="宋体" w:hAnsi="宋体"/>
          <w:b/>
          <w:spacing w:val="-6"/>
          <w:sz w:val="24"/>
        </w:rPr>
      </w:pPr>
      <w:r>
        <w:rPr>
          <w:rFonts w:hint="eastAsia" w:ascii="宋体" w:hAnsi="宋体"/>
          <w:spacing w:val="-6"/>
          <w:sz w:val="24"/>
        </w:rPr>
        <w:t>致：皖南医学院：</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我______</w:t>
      </w:r>
      <w:r>
        <w:rPr>
          <w:rFonts w:hint="eastAsia" w:ascii="宋体" w:hAnsi="宋体"/>
          <w:spacing w:val="-6"/>
          <w:sz w:val="24"/>
          <w:u w:val="single"/>
        </w:rPr>
        <w:t>_     _</w:t>
      </w:r>
      <w:r>
        <w:rPr>
          <w:rFonts w:hint="eastAsia" w:ascii="宋体" w:hAnsi="宋体"/>
          <w:spacing w:val="-6"/>
          <w:sz w:val="24"/>
        </w:rPr>
        <w:t>_（姓名）系______</w:t>
      </w:r>
      <w:r>
        <w:rPr>
          <w:rFonts w:hint="eastAsia" w:ascii="宋体" w:hAnsi="宋体"/>
          <w:spacing w:val="-6"/>
          <w:sz w:val="24"/>
          <w:u w:val="single"/>
        </w:rPr>
        <w:t>_     _</w:t>
      </w:r>
      <w:r>
        <w:rPr>
          <w:rFonts w:hint="eastAsia" w:ascii="宋体" w:hAnsi="宋体"/>
          <w:spacing w:val="-6"/>
          <w:sz w:val="24"/>
        </w:rPr>
        <w:t xml:space="preserve">_（投标人名称）的法定代表人，现授权委托本单位在职职工 </w:t>
      </w:r>
      <w:r>
        <w:rPr>
          <w:rFonts w:hint="eastAsia" w:ascii="宋体" w:hAnsi="宋体"/>
          <w:spacing w:val="-6"/>
          <w:sz w:val="24"/>
          <w:u w:val="single"/>
        </w:rPr>
        <w:t xml:space="preserve">              </w:t>
      </w:r>
      <w:r>
        <w:rPr>
          <w:rFonts w:hint="eastAsia" w:ascii="宋体" w:hAnsi="宋体"/>
          <w:spacing w:val="-6"/>
          <w:sz w:val="24"/>
        </w:rPr>
        <w:t>（姓名）以我方的名义参加</w:t>
      </w:r>
      <w:r>
        <w:rPr>
          <w:rFonts w:hint="eastAsia" w:ascii="宋体" w:hAnsi="宋体"/>
          <w:spacing w:val="-6"/>
          <w:sz w:val="24"/>
          <w:u w:val="single"/>
        </w:rPr>
        <w:t xml:space="preserve">             </w:t>
      </w:r>
      <w:r>
        <w:rPr>
          <w:rFonts w:hint="eastAsia" w:ascii="宋体" w:hAnsi="宋体"/>
          <w:spacing w:val="-6"/>
          <w:sz w:val="24"/>
        </w:rPr>
        <w:t>项目的投标活动，并代表我方全权办理针对上述项目的投标、开标、磋商、签约等具体事务和签署相关文件。</w:t>
      </w:r>
    </w:p>
    <w:p>
      <w:pPr>
        <w:snapToGrid w:val="0"/>
        <w:spacing w:line="360" w:lineRule="auto"/>
        <w:rPr>
          <w:rFonts w:ascii="宋体" w:hAnsi="宋体"/>
          <w:spacing w:val="-6"/>
          <w:sz w:val="24"/>
        </w:rPr>
      </w:pPr>
      <w:r>
        <w:rPr>
          <w:rFonts w:hint="eastAsia" w:ascii="宋体" w:hAnsi="宋体"/>
          <w:spacing w:val="-6"/>
          <w:sz w:val="24"/>
        </w:rPr>
        <w:t xml:space="preserve">    我方对被授权人的签名负全部责任。</w:t>
      </w:r>
    </w:p>
    <w:p>
      <w:pPr>
        <w:snapToGrid w:val="0"/>
        <w:spacing w:line="360" w:lineRule="auto"/>
        <w:ind w:firstLine="480"/>
        <w:rPr>
          <w:rFonts w:ascii="宋体" w:hAnsi="宋体"/>
          <w:spacing w:val="-6"/>
          <w:sz w:val="24"/>
        </w:rPr>
      </w:pPr>
      <w:r>
        <w:rPr>
          <w:rFonts w:hint="eastAsia" w:ascii="宋体" w:hAnsi="宋体"/>
          <w:spacing w:val="-6"/>
          <w:sz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pacing w:val="-6"/>
          <w:sz w:val="24"/>
        </w:rPr>
      </w:pPr>
      <w:r>
        <w:rPr>
          <w:rFonts w:hint="eastAsia" w:ascii="宋体" w:hAnsi="宋体"/>
          <w:spacing w:val="-6"/>
          <w:sz w:val="24"/>
        </w:rPr>
        <w:t>被授权人无转委托权，特此委托。</w:t>
      </w:r>
    </w:p>
    <w:p>
      <w:pPr>
        <w:snapToGrid w:val="0"/>
        <w:spacing w:beforeLines="50" w:after="50" w:line="360" w:lineRule="auto"/>
        <w:rPr>
          <w:rFonts w:ascii="宋体" w:hAnsi="宋体"/>
          <w:spacing w:val="-6"/>
          <w:sz w:val="24"/>
        </w:rPr>
      </w:pPr>
    </w:p>
    <w:p>
      <w:pPr>
        <w:snapToGrid w:val="0"/>
        <w:spacing w:beforeLines="50" w:after="50" w:line="360" w:lineRule="auto"/>
        <w:rPr>
          <w:rFonts w:ascii="宋体" w:hAnsi="宋体"/>
          <w:spacing w:val="-6"/>
          <w:sz w:val="24"/>
          <w:u w:val="single"/>
        </w:rPr>
      </w:pPr>
      <w:r>
        <w:rPr>
          <w:rFonts w:hint="eastAsia" w:ascii="宋体" w:hAnsi="宋体"/>
          <w:spacing w:val="-6"/>
          <w:sz w:val="24"/>
        </w:rPr>
        <w:t>被授权人签名：</w:t>
      </w:r>
      <w:r>
        <w:rPr>
          <w:rFonts w:hint="eastAsia" w:ascii="宋体" w:hAnsi="宋体"/>
          <w:spacing w:val="-6"/>
          <w:sz w:val="24"/>
          <w:u w:val="single"/>
        </w:rPr>
        <w:t xml:space="preserve">          </w:t>
      </w:r>
      <w:r>
        <w:rPr>
          <w:rFonts w:hint="eastAsia" w:ascii="宋体" w:hAnsi="宋体"/>
          <w:spacing w:val="-6"/>
          <w:sz w:val="24"/>
        </w:rPr>
        <w:t xml:space="preserve">                 法定代表人签名：</w:t>
      </w:r>
      <w:r>
        <w:rPr>
          <w:rFonts w:hint="eastAsia" w:ascii="宋体" w:hAnsi="宋体"/>
          <w:spacing w:val="-6"/>
          <w:sz w:val="24"/>
          <w:u w:val="single"/>
        </w:rPr>
        <w:t xml:space="preserve">          </w:t>
      </w:r>
    </w:p>
    <w:p>
      <w:pPr>
        <w:snapToGrid w:val="0"/>
        <w:spacing w:beforeLines="50" w:after="50" w:line="360" w:lineRule="auto"/>
        <w:ind w:firstLine="912" w:firstLineChars="400"/>
        <w:rPr>
          <w:rFonts w:ascii="宋体" w:hAnsi="宋体"/>
          <w:spacing w:val="-6"/>
          <w:sz w:val="24"/>
        </w:rPr>
      </w:pPr>
      <w:r>
        <w:rPr>
          <w:rFonts w:hint="eastAsia" w:ascii="宋体" w:hAnsi="宋体"/>
          <w:spacing w:val="-6"/>
          <w:sz w:val="24"/>
        </w:rPr>
        <w:t>职务：</w:t>
      </w:r>
      <w:r>
        <w:rPr>
          <w:rFonts w:hint="eastAsia" w:ascii="宋体" w:hAnsi="宋体"/>
          <w:spacing w:val="-6"/>
          <w:sz w:val="24"/>
          <w:u w:val="single"/>
        </w:rPr>
        <w:t xml:space="preserve">           </w:t>
      </w:r>
      <w:r>
        <w:rPr>
          <w:rFonts w:hint="eastAsia" w:ascii="宋体" w:hAnsi="宋体"/>
          <w:spacing w:val="-6"/>
          <w:sz w:val="24"/>
        </w:rPr>
        <w:t xml:space="preserve">                          职务：</w:t>
      </w:r>
      <w:r>
        <w:rPr>
          <w:rFonts w:hint="eastAsia" w:ascii="宋体" w:hAnsi="宋体"/>
          <w:spacing w:val="-6"/>
          <w:sz w:val="24"/>
          <w:u w:val="single"/>
        </w:rPr>
        <w:t xml:space="preserve">           </w:t>
      </w:r>
    </w:p>
    <w:p>
      <w:pPr>
        <w:snapToGrid w:val="0"/>
        <w:spacing w:beforeLines="50" w:after="50" w:line="360" w:lineRule="auto"/>
        <w:rPr>
          <w:rFonts w:ascii="宋体" w:hAnsi="宋体"/>
          <w:spacing w:val="-6"/>
          <w:sz w:val="24"/>
        </w:rPr>
      </w:pPr>
      <w:r>
        <w:rPr>
          <w:rFonts w:hint="eastAsia" w:ascii="宋体" w:hAnsi="宋体"/>
          <w:spacing w:val="-6"/>
          <w:sz w:val="24"/>
        </w:rPr>
        <w:t>被授权人身份证号码：</w:t>
      </w:r>
      <w:r>
        <w:rPr>
          <w:rFonts w:hint="eastAsia" w:ascii="宋体" w:hAnsi="宋体"/>
          <w:spacing w:val="-6"/>
          <w:sz w:val="24"/>
          <w:u w:val="single"/>
        </w:rPr>
        <w:t xml:space="preserve">                             </w:t>
      </w:r>
      <w:r>
        <w:rPr>
          <w:rFonts w:hint="eastAsia" w:ascii="宋体" w:hAnsi="宋体"/>
          <w:spacing w:val="-6"/>
          <w:sz w:val="24"/>
        </w:rPr>
        <w:t xml:space="preserve"> </w:t>
      </w:r>
    </w:p>
    <w:p>
      <w:pPr>
        <w:snapToGrid w:val="0"/>
        <w:spacing w:beforeLines="50" w:after="50" w:line="360" w:lineRule="auto"/>
        <w:rPr>
          <w:rFonts w:ascii="宋体" w:hAnsi="宋体"/>
          <w:spacing w:val="-6"/>
          <w:sz w:val="24"/>
        </w:rPr>
      </w:pPr>
      <w:r>
        <w:rPr>
          <w:rFonts w:hint="eastAsia" w:ascii="宋体" w:hAnsi="宋体"/>
          <w:spacing w:val="-6"/>
          <w:sz w:val="24"/>
        </w:rPr>
        <w:t xml:space="preserve">                                    投标人名称（盖章）：</w:t>
      </w:r>
    </w:p>
    <w:p>
      <w:pPr>
        <w:snapToGrid w:val="0"/>
        <w:spacing w:beforeLines="50" w:after="50" w:line="360" w:lineRule="auto"/>
        <w:jc w:val="center"/>
        <w:rPr>
          <w:rFonts w:ascii="宋体" w:hAnsi="宋体"/>
          <w:spacing w:val="-6"/>
          <w:sz w:val="24"/>
        </w:rPr>
      </w:pPr>
      <w:r>
        <w:rPr>
          <w:rFonts w:hint="eastAsia" w:ascii="宋体" w:hAnsi="宋体"/>
          <w:spacing w:val="-6"/>
          <w:sz w:val="24"/>
        </w:rPr>
        <w:t xml:space="preserve">                                        年    月    日</w:t>
      </w:r>
    </w:p>
    <w:p>
      <w:pPr>
        <w:spacing w:line="360" w:lineRule="auto"/>
        <w:rPr>
          <w:rFonts w:ascii="宋体" w:hAnsi="宋体"/>
          <w:spacing w:val="-6"/>
        </w:rPr>
      </w:pPr>
      <w:r>
        <w:rPr>
          <w:rFonts w:ascii="宋体" w:hAnsi="宋体"/>
          <w:spacing w:val="-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148590</wp:posOffset>
                </wp:positionV>
                <wp:extent cx="3430905" cy="2360295"/>
                <wp:effectExtent l="4445" t="4445" r="12700" b="16510"/>
                <wp:wrapNone/>
                <wp:docPr id="6" name="Text Box 3"/>
                <wp:cNvGraphicFramePr/>
                <a:graphic xmlns:a="http://schemas.openxmlformats.org/drawingml/2006/main">
                  <a:graphicData uri="http://schemas.microsoft.com/office/word/2010/wordprocessingShape">
                    <wps:wsp>
                      <wps:cNvSpPr txBox="1"/>
                      <wps:spPr>
                        <a:xfrm>
                          <a:off x="0" y="0"/>
                          <a:ext cx="343090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复印件粘贴处</w:t>
                            </w:r>
                          </w:p>
                        </w:txbxContent>
                      </wps:txbx>
                      <wps:bodyPr upright="1"/>
                    </wps:wsp>
                  </a:graphicData>
                </a:graphic>
              </wp:anchor>
            </w:drawing>
          </mc:Choice>
          <mc:Fallback>
            <w:pict>
              <v:shape id="Text Box 3" o:spid="_x0000_s1026" o:spt="202" type="#_x0000_t202" style="position:absolute;left:0pt;margin-left:0pt;margin-top:11.7pt;height:185.85pt;width:270.15pt;z-index:251660288;mso-width-relative:page;mso-height-relative:page;" fillcolor="#FFFFFF" filled="t" stroked="t" coordsize="21600,21600" o:gfxdata="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dr8Gc1wAAAAcBAAAPAAAAAAAAAAEAIAAAACIAAABkcnMvZG93bnJldi54&#10;bWxQSwECFAAUAAAACACHTuJAMcr/v/sBAAA2BAAADgAAAAAAAAABACAAAAAmAQAAZHJzL2Uyb0Rv&#10;Yy54bWxQSwUGAAAAAAYABgBZAQAAkwU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复印件粘贴处</w:t>
                      </w:r>
                    </w:p>
                  </w:txbxContent>
                </v:textbox>
              </v:shape>
            </w:pict>
          </mc:Fallback>
        </mc:AlternateContent>
      </w:r>
    </w:p>
    <w:p>
      <w:pPr>
        <w:spacing w:line="360" w:lineRule="auto"/>
        <w:rPr>
          <w:rFonts w:ascii="宋体" w:hAnsi="宋体"/>
          <w:spacing w:val="-6"/>
        </w:rPr>
      </w:pPr>
    </w:p>
    <w:p>
      <w:pPr>
        <w:spacing w:line="360" w:lineRule="auto"/>
        <w:rPr>
          <w:rFonts w:ascii="宋体" w:hAnsi="宋体"/>
          <w:spacing w:val="-6"/>
        </w:rPr>
      </w:pPr>
    </w:p>
    <w:p>
      <w:pPr>
        <w:adjustRightInd w:val="0"/>
        <w:snapToGrid w:val="0"/>
        <w:spacing w:line="300" w:lineRule="auto"/>
        <w:rPr>
          <w:rFonts w:ascii="宋体" w:hAnsi="宋体"/>
          <w:spacing w:val="-6"/>
          <w:sz w:val="24"/>
        </w:rPr>
      </w:pPr>
      <w:r>
        <w:rPr>
          <w:rFonts w:hint="eastAsia" w:ascii="宋体" w:hAnsi="宋体"/>
          <w:spacing w:val="-6"/>
          <w:sz w:val="24"/>
        </w:rPr>
        <w:t xml:space="preserve"> </w:t>
      </w:r>
    </w:p>
    <w:p>
      <w:pPr>
        <w:pStyle w:val="14"/>
        <w:snapToGrid w:val="0"/>
        <w:spacing w:beforeLines="0" w:afterLines="0" w:line="360" w:lineRule="auto"/>
        <w:jc w:val="left"/>
        <w:rPr>
          <w:rFonts w:hAnsi="宋体"/>
        </w:rPr>
      </w:pPr>
    </w:p>
    <w:p>
      <w:pPr>
        <w:pStyle w:val="14"/>
        <w:snapToGrid w:val="0"/>
        <w:spacing w:beforeLines="0" w:afterLines="0" w:line="360" w:lineRule="auto"/>
        <w:jc w:val="left"/>
        <w:rPr>
          <w:rFonts w:hAnsi="宋体"/>
        </w:rPr>
      </w:pPr>
    </w:p>
    <w:p>
      <w:pPr>
        <w:pStyle w:val="14"/>
        <w:snapToGrid w:val="0"/>
        <w:spacing w:beforeLines="0" w:afterLines="0" w:line="360" w:lineRule="auto"/>
        <w:jc w:val="left"/>
        <w:rPr>
          <w:rFonts w:hAnsi="宋体"/>
        </w:rPr>
      </w:pPr>
    </w:p>
    <w:p>
      <w:pPr>
        <w:spacing w:line="360" w:lineRule="auto"/>
        <w:jc w:val="center"/>
        <w:rPr>
          <w:rFonts w:ascii="宋体" w:hAnsi="宋体"/>
          <w:b/>
          <w:spacing w:val="-6"/>
          <w:sz w:val="24"/>
        </w:rPr>
      </w:pPr>
    </w:p>
    <w:p>
      <w:pPr>
        <w:rPr>
          <w:rFonts w:ascii="仿宋_GB2312" w:eastAsia="仿宋_GB2312"/>
        </w:rPr>
      </w:pPr>
    </w:p>
    <w:p>
      <w:pPr>
        <w:rPr>
          <w:rFonts w:ascii="仿宋_GB2312" w:eastAsia="仿宋_GB2312"/>
        </w:rPr>
      </w:pPr>
    </w:p>
    <w:p>
      <w:pPr>
        <w:rPr>
          <w:rFonts w:hAnsi="宋体"/>
          <w:b/>
        </w:rPr>
      </w:pPr>
      <w:r>
        <w:rPr>
          <w:rFonts w:hint="eastAsia" w:hAnsi="宋体"/>
          <w:b/>
        </w:rPr>
        <w:t>六、实施方案（</w:t>
      </w:r>
      <w:r>
        <w:rPr>
          <w:rFonts w:hint="eastAsia" w:hAnsi="宋体"/>
        </w:rPr>
        <w:t>包括设计方案、</w:t>
      </w:r>
      <w:r>
        <w:rPr>
          <w:rFonts w:hint="eastAsia" w:ascii="仿宋_GB2312" w:eastAsia="仿宋_GB2312"/>
          <w:sz w:val="30"/>
          <w:szCs w:val="30"/>
        </w:rPr>
        <w:t>项目管理及团队等</w:t>
      </w:r>
      <w:r>
        <w:rPr>
          <w:rFonts w:hint="eastAsia" w:hAnsi="宋体"/>
          <w:b/>
        </w:rPr>
        <w:t>）</w:t>
      </w:r>
    </w:p>
    <w:p>
      <w:pPr>
        <w:rPr>
          <w:rFonts w:hAnsi="宋体"/>
          <w:b/>
        </w:rPr>
      </w:pPr>
      <w:r>
        <w:rPr>
          <w:rFonts w:hint="eastAsia" w:hAnsi="宋体"/>
          <w:b/>
        </w:rPr>
        <w:t>七、业绩证明材料及其它</w:t>
      </w:r>
    </w:p>
    <w:p>
      <w:pPr>
        <w:jc w:val="left"/>
        <w:rPr>
          <w:rFonts w:hint="eastAsia" w:ascii="仿宋_GB2312" w:hAnsi="华文中宋" w:eastAsia="仿宋_GB2312"/>
          <w:b/>
          <w:szCs w:val="28"/>
        </w:rPr>
      </w:pPr>
    </w:p>
    <w:p>
      <w:pPr>
        <w:jc w:val="left"/>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hint="eastAsia" w:ascii="仿宋_GB2312" w:hAnsi="华文中宋" w:eastAsia="仿宋_GB2312"/>
          <w:b/>
          <w:szCs w:val="28"/>
        </w:rPr>
      </w:pPr>
    </w:p>
    <w:p>
      <w:pPr>
        <w:spacing w:line="400" w:lineRule="exact"/>
        <w:ind w:firstLine="562" w:firstLineChars="200"/>
        <w:rPr>
          <w:rFonts w:ascii="仿宋_GB2312" w:eastAsia="仿宋_GB2312"/>
        </w:rPr>
      </w:pPr>
      <w:r>
        <w:rPr>
          <w:rFonts w:hint="eastAsia" w:ascii="仿宋_GB2312" w:hAnsi="华文中宋" w:eastAsia="仿宋_GB2312"/>
          <w:b/>
          <w:szCs w:val="28"/>
        </w:rPr>
        <w:t xml:space="preserve">  </w:t>
      </w:r>
      <w:r>
        <w:rPr>
          <w:rFonts w:hint="eastAsia" w:ascii="仿宋_GB2312" w:hAnsi="宋体" w:eastAsia="仿宋_GB2312"/>
          <w:color w:val="000000" w:themeColor="text1"/>
          <w:szCs w:val="28"/>
          <w14:textFill>
            <w14:solidFill>
              <w14:schemeClr w14:val="tx1"/>
            </w14:solidFill>
          </w14:textFill>
        </w:rPr>
        <w:t xml:space="preserve"> </w:t>
      </w:r>
    </w:p>
    <w:p>
      <w:pPr>
        <w:rPr>
          <w:rFonts w:hint="eastAsia" w:ascii="仿宋_GB2312" w:eastAsia="仿宋_GB2312"/>
          <w:b/>
        </w:rPr>
      </w:pPr>
    </w:p>
    <w:p>
      <w:pPr>
        <w:rPr>
          <w:rFonts w:ascii="仿宋_GB2312" w:eastAsia="仿宋_GB2312"/>
          <w:b/>
        </w:rPr>
      </w:pPr>
      <w:r>
        <w:rPr>
          <w:rFonts w:hint="eastAsia" w:ascii="仿宋_GB2312" w:eastAsia="仿宋_GB2312"/>
          <w:b/>
        </w:rPr>
        <w:t>附件1：</w:t>
      </w:r>
    </w:p>
    <w:p>
      <w:pPr>
        <w:spacing w:line="560" w:lineRule="exact"/>
        <w:jc w:val="center"/>
        <w:rPr>
          <w:rFonts w:ascii="华文中宋" w:hAnsi="华文中宋" w:eastAsia="华文中宋"/>
          <w:b/>
          <w:sz w:val="36"/>
          <w:szCs w:val="36"/>
        </w:rPr>
      </w:pPr>
      <w:r>
        <w:rPr>
          <w:rFonts w:hint="eastAsia" w:ascii="华文中宋" w:hAnsi="华文中宋" w:eastAsia="华文中宋"/>
          <w:b/>
          <w:sz w:val="36"/>
          <w:szCs w:val="36"/>
        </w:rPr>
        <w:t>皖南医学院采购质疑与投诉办法（试行）</w:t>
      </w:r>
    </w:p>
    <w:p>
      <w:pPr>
        <w:spacing w:line="560" w:lineRule="exact"/>
        <w:ind w:firstLine="600" w:firstLineChars="200"/>
        <w:rPr>
          <w:sz w:val="30"/>
          <w:szCs w:val="30"/>
        </w:rPr>
      </w:pPr>
    </w:p>
    <w:p>
      <w:pPr>
        <w:spacing w:line="560" w:lineRule="exact"/>
        <w:jc w:val="center"/>
        <w:rPr>
          <w:rFonts w:ascii="黑体" w:hAnsi="黑体" w:eastAsia="黑体" w:cs="宋体"/>
          <w:color w:val="333333"/>
          <w:sz w:val="30"/>
          <w:szCs w:val="30"/>
        </w:rPr>
      </w:pPr>
      <w:bookmarkStart w:id="142" w:name="_Toc374453341"/>
      <w:r>
        <w:rPr>
          <w:rFonts w:hint="eastAsia" w:ascii="黑体" w:hAnsi="黑体" w:eastAsia="黑体" w:cs="宋体"/>
          <w:b/>
          <w:bCs/>
          <w:color w:val="333333"/>
          <w:sz w:val="30"/>
          <w:szCs w:val="30"/>
        </w:rPr>
        <w:t>第一章</w:t>
      </w:r>
      <w:r>
        <w:rPr>
          <w:rFonts w:hint="eastAsia" w:ascii="宋体" w:hAnsi="宋体" w:eastAsia="黑体"/>
          <w:color w:val="333333"/>
          <w:sz w:val="30"/>
          <w:szCs w:val="30"/>
        </w:rPr>
        <w:t>  </w:t>
      </w:r>
      <w:r>
        <w:rPr>
          <w:rFonts w:hint="eastAsia" w:ascii="黑体" w:hAnsi="黑体" w:eastAsia="黑体" w:cs="宋体"/>
          <w:b/>
          <w:bCs/>
          <w:color w:val="333333"/>
          <w:sz w:val="30"/>
          <w:szCs w:val="30"/>
        </w:rPr>
        <w:t>总 则</w:t>
      </w:r>
      <w:bookmarkEnd w:id="142"/>
    </w:p>
    <w:p>
      <w:pPr>
        <w:spacing w:line="560" w:lineRule="exact"/>
        <w:ind w:firstLine="600" w:firstLineChars="200"/>
        <w:rPr>
          <w:rFonts w:ascii="仿宋_GB2312" w:hAnsi="宋体" w:eastAsia="仿宋_GB2312" w:cs="宋体"/>
          <w:color w:val="333333"/>
          <w:sz w:val="30"/>
          <w:szCs w:val="30"/>
        </w:rPr>
      </w:pPr>
      <w:r>
        <w:rPr>
          <w:rFonts w:hint="eastAsia" w:ascii="宋体" w:hAnsi="宋体" w:eastAsia="仿宋_GB2312"/>
          <w:color w:val="333333"/>
          <w:sz w:val="30"/>
          <w:szCs w:val="30"/>
        </w:rPr>
        <w:t> </w:t>
      </w:r>
    </w:p>
    <w:p>
      <w:pPr>
        <w:spacing w:line="560" w:lineRule="exact"/>
        <w:ind w:firstLine="600" w:firstLineChars="200"/>
        <w:rPr>
          <w:rFonts w:ascii="仿宋_GB2312" w:hAnsi="宋体" w:eastAsia="仿宋_GB2312" w:cs="宋体"/>
          <w:color w:val="333333"/>
          <w:sz w:val="30"/>
          <w:szCs w:val="30"/>
        </w:rPr>
      </w:pPr>
      <w:r>
        <w:rPr>
          <w:rFonts w:hint="eastAsia" w:ascii="仿宋_GB2312" w:hAnsi="宋体" w:eastAsia="仿宋_GB2312" w:cs="宋体"/>
          <w:color w:val="333333"/>
          <w:sz w:val="30"/>
          <w:szCs w:val="30"/>
        </w:rPr>
        <w:t xml:space="preserve"> </w:t>
      </w:r>
      <w:r>
        <w:rPr>
          <w:rFonts w:hint="eastAsia" w:ascii="仿宋_GB2312" w:hAnsi="宋体" w:eastAsia="仿宋_GB2312" w:cs="宋体"/>
          <w:b/>
          <w:color w:val="333333"/>
          <w:sz w:val="30"/>
          <w:szCs w:val="30"/>
        </w:rPr>
        <w:t>第一条</w:t>
      </w:r>
      <w:r>
        <w:rPr>
          <w:rFonts w:hint="eastAsia" w:ascii="仿宋_GB2312" w:hAnsi="宋体" w:eastAsia="仿宋_GB2312" w:cs="宋体"/>
          <w:color w:val="333333"/>
          <w:sz w:val="30"/>
          <w:szCs w:val="30"/>
        </w:rPr>
        <w:t xml:space="preserve">  为规范</w:t>
      </w:r>
      <w:r>
        <w:rPr>
          <w:rFonts w:hint="eastAsia" w:ascii="仿宋_GB2312" w:eastAsia="仿宋_GB2312" w:cs="宋体" w:hAnsiTheme="minorEastAsia"/>
          <w:color w:val="333333"/>
          <w:sz w:val="30"/>
          <w:szCs w:val="30"/>
        </w:rPr>
        <w:t>学校</w:t>
      </w:r>
      <w:r>
        <w:rPr>
          <w:rFonts w:hint="eastAsia" w:ascii="仿宋_GB2312" w:hAnsi="宋体" w:eastAsia="仿宋_GB2312" w:cs="宋体"/>
          <w:color w:val="333333"/>
          <w:sz w:val="30"/>
          <w:szCs w:val="30"/>
        </w:rPr>
        <w:t>采购活动质疑</w:t>
      </w:r>
      <w:r>
        <w:rPr>
          <w:rFonts w:hint="eastAsia" w:ascii="仿宋_GB2312" w:eastAsia="仿宋_GB2312" w:cs="宋体" w:hAnsiTheme="minorEastAsia"/>
          <w:color w:val="333333"/>
          <w:sz w:val="30"/>
          <w:szCs w:val="30"/>
        </w:rPr>
        <w:t>和投诉</w:t>
      </w:r>
      <w:r>
        <w:rPr>
          <w:rFonts w:hint="eastAsia" w:ascii="仿宋_GB2312" w:hAnsi="宋体" w:eastAsia="仿宋_GB2312" w:cs="宋体"/>
          <w:color w:val="333333"/>
          <w:sz w:val="30"/>
          <w:szCs w:val="30"/>
        </w:rPr>
        <w:t>行为，确保采购活动公平竞争、合理运转</w:t>
      </w:r>
      <w:r>
        <w:rPr>
          <w:rFonts w:hint="eastAsia" w:ascii="仿宋_GB2312" w:eastAsia="仿宋_GB2312" w:cs="宋体" w:hAnsiTheme="minorEastAsia"/>
          <w:color w:val="333333"/>
          <w:sz w:val="30"/>
          <w:szCs w:val="30"/>
        </w:rPr>
        <w:t>，</w:t>
      </w:r>
      <w:r>
        <w:rPr>
          <w:rFonts w:hint="eastAsia" w:ascii="仿宋_GB2312" w:hAnsi="宋体" w:eastAsia="仿宋_GB2312" w:cs="宋体"/>
          <w:color w:val="333333"/>
          <w:sz w:val="30"/>
          <w:szCs w:val="30"/>
        </w:rPr>
        <w:t>保护参加</w:t>
      </w:r>
      <w:r>
        <w:rPr>
          <w:rFonts w:hint="eastAsia" w:ascii="仿宋_GB2312" w:eastAsia="仿宋_GB2312" w:cs="宋体" w:hAnsiTheme="minorEastAsia"/>
          <w:color w:val="333333"/>
          <w:sz w:val="30"/>
          <w:szCs w:val="30"/>
        </w:rPr>
        <w:t>学校采购活动当事人的</w:t>
      </w:r>
      <w:r>
        <w:rPr>
          <w:rFonts w:hint="eastAsia" w:ascii="仿宋_GB2312" w:hAnsi="宋体" w:eastAsia="仿宋_GB2312" w:cs="宋体"/>
          <w:color w:val="333333"/>
          <w:sz w:val="30"/>
          <w:szCs w:val="30"/>
        </w:rPr>
        <w:t>合法权益，根据《中华人民共和国政府采购法》</w:t>
      </w:r>
      <w:r>
        <w:rPr>
          <w:rFonts w:hint="eastAsia" w:ascii="仿宋_GB2312" w:eastAsia="仿宋_GB2312" w:cs="宋体" w:hAnsiTheme="minorEastAsia"/>
          <w:color w:val="333333"/>
          <w:sz w:val="30"/>
          <w:szCs w:val="30"/>
        </w:rPr>
        <w:t>、《中华人民共和国政府采购法实施条例》、</w:t>
      </w:r>
      <w:r>
        <w:rPr>
          <w:rFonts w:hint="eastAsia" w:ascii="仿宋_GB2312" w:hAnsi="宋体" w:eastAsia="仿宋_GB2312" w:cs="宋体"/>
          <w:color w:val="333333"/>
          <w:sz w:val="30"/>
          <w:szCs w:val="30"/>
        </w:rPr>
        <w:t>《政府采购</w:t>
      </w:r>
      <w:r>
        <w:rPr>
          <w:rFonts w:hint="eastAsia" w:ascii="仿宋_GB2312" w:eastAsia="仿宋_GB2312" w:cs="宋体" w:hAnsiTheme="minorEastAsia"/>
          <w:color w:val="333333"/>
          <w:sz w:val="30"/>
          <w:szCs w:val="30"/>
        </w:rPr>
        <w:t>质疑和投诉</w:t>
      </w:r>
      <w:r>
        <w:rPr>
          <w:rFonts w:hint="eastAsia" w:ascii="仿宋_GB2312" w:hAnsi="宋体" w:eastAsia="仿宋_GB2312" w:cs="宋体"/>
          <w:color w:val="333333"/>
          <w:sz w:val="30"/>
          <w:szCs w:val="30"/>
        </w:rPr>
        <w:t>办法》（财政部</w:t>
      </w:r>
      <w:r>
        <w:rPr>
          <w:rFonts w:hint="eastAsia" w:ascii="仿宋_GB2312" w:eastAsia="仿宋_GB2312" w:cs="宋体" w:hAnsiTheme="minorEastAsia"/>
          <w:color w:val="333333"/>
          <w:sz w:val="30"/>
          <w:szCs w:val="30"/>
        </w:rPr>
        <w:t>令</w:t>
      </w:r>
      <w:r>
        <w:rPr>
          <w:rFonts w:hint="eastAsia" w:ascii="仿宋_GB2312" w:hAnsi="宋体" w:eastAsia="仿宋_GB2312" w:cs="宋体"/>
          <w:color w:val="333333"/>
          <w:sz w:val="30"/>
          <w:szCs w:val="30"/>
        </w:rPr>
        <w:t>第</w:t>
      </w:r>
      <w:r>
        <w:rPr>
          <w:rFonts w:hint="eastAsia" w:ascii="仿宋_GB2312" w:eastAsia="仿宋_GB2312" w:cs="宋体" w:hAnsiTheme="minorEastAsia"/>
          <w:color w:val="333333"/>
          <w:sz w:val="30"/>
          <w:szCs w:val="30"/>
        </w:rPr>
        <w:t>94</w:t>
      </w:r>
      <w:r>
        <w:rPr>
          <w:rFonts w:hint="eastAsia" w:ascii="仿宋_GB2312" w:hAnsi="宋体" w:eastAsia="仿宋_GB2312" w:cs="宋体"/>
          <w:color w:val="333333"/>
          <w:sz w:val="30"/>
          <w:szCs w:val="30"/>
        </w:rPr>
        <w:t>号）</w:t>
      </w:r>
      <w:r>
        <w:rPr>
          <w:rFonts w:hint="eastAsia" w:ascii="仿宋_GB2312" w:eastAsia="仿宋_GB2312" w:cs="宋体" w:hAnsiTheme="minorEastAsia"/>
          <w:color w:val="333333"/>
          <w:sz w:val="30"/>
          <w:szCs w:val="30"/>
        </w:rPr>
        <w:t>和安徽省政府有关文件</w:t>
      </w:r>
      <w:r>
        <w:rPr>
          <w:rFonts w:hint="eastAsia" w:ascii="仿宋_GB2312" w:hAnsi="宋体" w:eastAsia="仿宋_GB2312" w:cs="宋体"/>
          <w:color w:val="333333"/>
          <w:sz w:val="30"/>
          <w:szCs w:val="30"/>
        </w:rPr>
        <w:t>精神，</w:t>
      </w:r>
      <w:r>
        <w:rPr>
          <w:rFonts w:hint="eastAsia" w:ascii="仿宋_GB2312" w:eastAsia="仿宋_GB2312" w:cs="宋体" w:hAnsiTheme="minorEastAsia"/>
          <w:color w:val="333333"/>
          <w:sz w:val="30"/>
          <w:szCs w:val="30"/>
        </w:rPr>
        <w:t>结合学校实际，</w:t>
      </w:r>
      <w:r>
        <w:rPr>
          <w:rFonts w:hint="eastAsia" w:ascii="仿宋_GB2312" w:hAnsi="宋体" w:eastAsia="仿宋_GB2312" w:cs="宋体"/>
          <w:color w:val="333333"/>
          <w:sz w:val="30"/>
          <w:szCs w:val="30"/>
        </w:rPr>
        <w:t>制定本办法。</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hAnsi="宋体" w:eastAsia="仿宋_GB2312" w:cs="宋体"/>
          <w:b/>
          <w:color w:val="333333"/>
          <w:sz w:val="30"/>
          <w:szCs w:val="30"/>
        </w:rPr>
        <w:t>第二条</w:t>
      </w:r>
      <w:r>
        <w:rPr>
          <w:rFonts w:hint="eastAsia" w:ascii="仿宋_GB2312" w:hAnsi="宋体" w:eastAsia="仿宋_GB2312" w:cs="宋体"/>
          <w:color w:val="333333"/>
          <w:sz w:val="30"/>
          <w:szCs w:val="30"/>
        </w:rPr>
        <w:t xml:space="preserve">  </w:t>
      </w:r>
      <w:r>
        <w:rPr>
          <w:rFonts w:hint="eastAsia" w:ascii="仿宋_GB2312" w:eastAsia="仿宋_GB2312" w:cs="宋体" w:hAnsiTheme="minorEastAsia"/>
          <w:color w:val="333333"/>
          <w:sz w:val="30"/>
          <w:szCs w:val="30"/>
        </w:rPr>
        <w:t>本办法适用于</w:t>
      </w:r>
      <w:bookmarkStart w:id="143" w:name="OLE_LINK2"/>
      <w:bookmarkStart w:id="144" w:name="OLE_LINK1"/>
      <w:bookmarkStart w:id="145" w:name="OLE_LINK3"/>
      <w:r>
        <w:rPr>
          <w:rFonts w:hint="eastAsia" w:ascii="仿宋_GB2312" w:eastAsia="仿宋_GB2312" w:cs="宋体" w:hAnsiTheme="minorEastAsia"/>
          <w:color w:val="333333"/>
          <w:sz w:val="30"/>
          <w:szCs w:val="30"/>
        </w:rPr>
        <w:t>学校采购活动</w:t>
      </w:r>
      <w:bookmarkEnd w:id="143"/>
      <w:bookmarkEnd w:id="144"/>
      <w:bookmarkEnd w:id="145"/>
      <w:r>
        <w:rPr>
          <w:rFonts w:hint="eastAsia" w:ascii="仿宋_GB2312" w:eastAsia="仿宋_GB2312" w:cs="宋体" w:hAnsiTheme="minorEastAsia"/>
          <w:color w:val="333333"/>
          <w:sz w:val="30"/>
          <w:szCs w:val="30"/>
        </w:rPr>
        <w:t>质疑的提出和答复、投诉的提起和处理。</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eastAsia="仿宋_GB2312" w:hAnsiTheme="minorEastAsia"/>
          <w:color w:val="333333"/>
          <w:sz w:val="30"/>
          <w:szCs w:val="30"/>
        </w:rPr>
      </w:pPr>
      <w:r>
        <w:rPr>
          <w:rFonts w:hint="eastAsia" w:ascii="仿宋_GB2312" w:eastAsia="仿宋_GB2312" w:hAnsiTheme="minorEastAsia"/>
          <w:b/>
          <w:color w:val="333333"/>
          <w:sz w:val="30"/>
          <w:szCs w:val="30"/>
        </w:rPr>
        <w:t>第三条</w:t>
      </w:r>
      <w:r>
        <w:rPr>
          <w:rFonts w:hint="eastAsia" w:ascii="仿宋_GB2312" w:eastAsia="仿宋_GB2312" w:hAnsiTheme="minorEastAsia"/>
          <w:color w:val="333333"/>
          <w:sz w:val="30"/>
          <w:szCs w:val="30"/>
        </w:rPr>
        <w:t xml:space="preserve">  学校政府采购中的集中采购和分散采购项目质疑的提出与答复和投诉</w:t>
      </w:r>
      <w:r>
        <w:rPr>
          <w:rFonts w:hint="eastAsia" w:ascii="仿宋_GB2312" w:eastAsia="仿宋_GB2312"/>
          <w:color w:val="353535"/>
          <w:sz w:val="30"/>
          <w:szCs w:val="30"/>
        </w:rPr>
        <w:t>的提起与处理</w:t>
      </w:r>
      <w:r>
        <w:rPr>
          <w:rFonts w:hint="eastAsia" w:ascii="仿宋_GB2312" w:eastAsia="仿宋_GB2312" w:hAnsiTheme="minorEastAsia"/>
          <w:color w:val="333333"/>
          <w:sz w:val="30"/>
          <w:szCs w:val="30"/>
        </w:rPr>
        <w:t>遵照《</w:t>
      </w:r>
      <w:r>
        <w:rPr>
          <w:rFonts w:hint="eastAsia" w:ascii="仿宋_GB2312" w:eastAsia="仿宋_GB2312"/>
          <w:color w:val="333333"/>
          <w:sz w:val="30"/>
          <w:szCs w:val="30"/>
        </w:rPr>
        <w:t>政府采购</w:t>
      </w:r>
      <w:r>
        <w:rPr>
          <w:rFonts w:hint="eastAsia" w:ascii="仿宋_GB2312" w:eastAsia="仿宋_GB2312" w:hAnsiTheme="minorEastAsia"/>
          <w:color w:val="333333"/>
          <w:sz w:val="30"/>
          <w:szCs w:val="30"/>
        </w:rPr>
        <w:t>质疑和投诉</w:t>
      </w:r>
      <w:r>
        <w:rPr>
          <w:rFonts w:hint="eastAsia" w:ascii="仿宋_GB2312" w:eastAsia="仿宋_GB2312"/>
          <w:color w:val="333333"/>
          <w:sz w:val="30"/>
          <w:szCs w:val="30"/>
        </w:rPr>
        <w:t>办法》（财政部</w:t>
      </w:r>
      <w:r>
        <w:rPr>
          <w:rFonts w:hint="eastAsia" w:ascii="仿宋_GB2312" w:eastAsia="仿宋_GB2312" w:hAnsiTheme="minorEastAsia"/>
          <w:color w:val="333333"/>
          <w:sz w:val="30"/>
          <w:szCs w:val="30"/>
        </w:rPr>
        <w:t>令</w:t>
      </w:r>
      <w:r>
        <w:rPr>
          <w:rFonts w:hint="eastAsia" w:ascii="仿宋_GB2312" w:eastAsia="仿宋_GB2312"/>
          <w:color w:val="333333"/>
          <w:sz w:val="30"/>
          <w:szCs w:val="30"/>
        </w:rPr>
        <w:t>第</w:t>
      </w:r>
      <w:r>
        <w:rPr>
          <w:rFonts w:hint="eastAsia" w:ascii="仿宋_GB2312" w:eastAsia="仿宋_GB2312" w:hAnsiTheme="minorEastAsia"/>
          <w:color w:val="333333"/>
          <w:sz w:val="30"/>
          <w:szCs w:val="30"/>
        </w:rPr>
        <w:t>94</w:t>
      </w:r>
      <w:r>
        <w:rPr>
          <w:rFonts w:hint="eastAsia" w:ascii="仿宋_GB2312" w:eastAsia="仿宋_GB2312"/>
          <w:color w:val="333333"/>
          <w:sz w:val="30"/>
          <w:szCs w:val="30"/>
        </w:rPr>
        <w:t>号）</w:t>
      </w:r>
      <w:r>
        <w:rPr>
          <w:rFonts w:hint="eastAsia" w:ascii="仿宋_GB2312" w:eastAsia="仿宋_GB2312" w:hAnsiTheme="minorEastAsia"/>
          <w:color w:val="333333"/>
          <w:sz w:val="30"/>
          <w:szCs w:val="30"/>
        </w:rPr>
        <w:t>和安徽省有关</w:t>
      </w:r>
      <w:r>
        <w:rPr>
          <w:rFonts w:hint="eastAsia" w:ascii="仿宋_GB2312" w:eastAsia="仿宋_GB2312"/>
          <w:color w:val="333333"/>
          <w:sz w:val="30"/>
          <w:szCs w:val="30"/>
        </w:rPr>
        <w:t>规定执行，上级政策如有调整，按最新政策规定执行。</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第四条</w:t>
      </w:r>
      <w:r>
        <w:rPr>
          <w:rFonts w:hint="eastAsia" w:ascii="仿宋_GB2312" w:eastAsia="仿宋_GB2312" w:cs="宋体" w:hAnsiTheme="minorEastAsia"/>
          <w:color w:val="333333"/>
          <w:sz w:val="30"/>
          <w:szCs w:val="30"/>
        </w:rPr>
        <w:t xml:space="preserve">  供应商提出质疑和投诉应当坚持依法依规、诚实信用原则。</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第五条</w:t>
      </w:r>
      <w:r>
        <w:rPr>
          <w:rFonts w:hint="eastAsia" w:ascii="仿宋_GB2312" w:eastAsia="仿宋_GB2312" w:cs="宋体" w:hAnsiTheme="minorEastAsia"/>
          <w:color w:val="333333"/>
          <w:sz w:val="30"/>
          <w:szCs w:val="30"/>
        </w:rPr>
        <w:t xml:space="preserve">  采购质疑答复和投诉处理应当坚持依法依规、权责对等、公平公正、简便高效原则。</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第六条</w:t>
      </w:r>
      <w:r>
        <w:rPr>
          <w:rFonts w:hint="eastAsia" w:ascii="仿宋_GB2312" w:eastAsia="仿宋_GB2312" w:cs="宋体" w:hAnsiTheme="minorEastAsia"/>
          <w:color w:val="333333"/>
          <w:sz w:val="30"/>
          <w:szCs w:val="30"/>
        </w:rPr>
        <w:t xml:space="preserve">  学校国有资产管理处（以下简称“国资处”）负责供应商质疑答复。学校委托采购代理机构采购的，采购代理机构在委托授权范围内作出答复。</w:t>
      </w:r>
    </w:p>
    <w:p>
      <w:pPr>
        <w:spacing w:line="560" w:lineRule="exact"/>
        <w:ind w:firstLine="600" w:firstLineChars="200"/>
        <w:rPr>
          <w:rFonts w:ascii="仿宋_GB2312" w:eastAsia="仿宋_GB2312" w:cs="宋体" w:hAnsiTheme="minorEastAsia"/>
          <w:color w:val="333333"/>
          <w:sz w:val="30"/>
          <w:szCs w:val="30"/>
        </w:rPr>
      </w:pPr>
      <w:r>
        <w:rPr>
          <w:rFonts w:hint="eastAsia" w:ascii="仿宋_GB2312" w:eastAsia="仿宋_GB2312" w:cs="宋体" w:hAnsiTheme="minorEastAsia"/>
          <w:color w:val="333333"/>
          <w:sz w:val="30"/>
          <w:szCs w:val="30"/>
        </w:rPr>
        <w:t>学校监察处负责接受和处理校内自主采购项目的投诉。</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第七条</w:t>
      </w:r>
      <w:r>
        <w:rPr>
          <w:rFonts w:hint="eastAsia" w:ascii="仿宋_GB2312" w:eastAsia="仿宋_GB2312" w:cs="宋体" w:hAnsiTheme="minorEastAsia"/>
          <w:color w:val="333333"/>
          <w:sz w:val="30"/>
          <w:szCs w:val="30"/>
        </w:rPr>
        <w:t xml:space="preserve">  国资处、委托采购代理机构应当在采购文件中载明接收质疑函和受理投诉的方式、联系部门、联系电话和通讯地址等信息。</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第八条</w:t>
      </w:r>
      <w:r>
        <w:rPr>
          <w:rFonts w:hint="eastAsia" w:ascii="仿宋_GB2312" w:eastAsia="仿宋_GB2312" w:cs="宋体" w:hAnsiTheme="minorEastAsia"/>
          <w:color w:val="333333"/>
          <w:sz w:val="30"/>
          <w:szCs w:val="30"/>
        </w:rPr>
        <w:t xml:space="preserve">  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pPr>
        <w:spacing w:line="560" w:lineRule="exact"/>
        <w:ind w:firstLine="600" w:firstLineChars="200"/>
        <w:rPr>
          <w:rFonts w:ascii="仿宋_GB2312" w:eastAsia="仿宋_GB2312" w:cs="宋体" w:hAnsiTheme="minorEastAsia"/>
          <w:color w:val="333333"/>
          <w:sz w:val="30"/>
          <w:szCs w:val="30"/>
        </w:rPr>
      </w:pPr>
      <w:r>
        <w:rPr>
          <w:rFonts w:hint="eastAsia" w:ascii="仿宋_GB2312" w:eastAsia="仿宋_GB2312" w:cs="宋体" w:hAnsiTheme="minorEastAsia"/>
          <w:color w:val="333333"/>
          <w:sz w:val="30"/>
          <w:szCs w:val="30"/>
        </w:rPr>
        <w:t>代理人提出质疑和投诉，应当提交供应商签署的授权委托书。</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第九条</w:t>
      </w:r>
      <w:r>
        <w:rPr>
          <w:rFonts w:hint="eastAsia" w:ascii="仿宋_GB2312" w:eastAsia="仿宋_GB2312" w:cs="宋体" w:hAnsiTheme="minorEastAsia"/>
          <w:color w:val="333333"/>
          <w:sz w:val="30"/>
          <w:szCs w:val="30"/>
        </w:rPr>
        <w:t xml:space="preserve">  以联合体形式参加学校采购活动的，其投诉应当由组成联合体的所有供应商共同提出。</w:t>
      </w:r>
    </w:p>
    <w:p>
      <w:pPr>
        <w:spacing w:line="560" w:lineRule="exact"/>
        <w:ind w:firstLine="600" w:firstLineChars="200"/>
        <w:rPr>
          <w:rFonts w:ascii="仿宋_GB2312" w:eastAsia="仿宋_GB2312" w:cs="宋体" w:hAnsiTheme="minorEastAsia"/>
          <w:color w:val="333333"/>
          <w:sz w:val="30"/>
          <w:szCs w:val="30"/>
        </w:rPr>
      </w:pPr>
    </w:p>
    <w:p>
      <w:pPr>
        <w:spacing w:line="560" w:lineRule="exact"/>
        <w:jc w:val="center"/>
        <w:rPr>
          <w:rFonts w:ascii="黑体" w:hAnsi="黑体" w:eastAsia="黑体" w:cs="宋体"/>
          <w:b/>
          <w:color w:val="333333"/>
          <w:sz w:val="30"/>
          <w:szCs w:val="30"/>
        </w:rPr>
      </w:pPr>
      <w:r>
        <w:rPr>
          <w:rFonts w:hint="eastAsia" w:ascii="黑体" w:hAnsi="黑体" w:eastAsia="黑体" w:cs="宋体"/>
          <w:b/>
          <w:color w:val="333333"/>
          <w:sz w:val="30"/>
          <w:szCs w:val="30"/>
        </w:rPr>
        <w:t>第二章 质疑的提出</w:t>
      </w:r>
    </w:p>
    <w:p>
      <w:pPr>
        <w:spacing w:line="560" w:lineRule="exact"/>
        <w:ind w:firstLine="600" w:firstLineChars="200"/>
        <w:rPr>
          <w:rFonts w:ascii="仿宋_GB2312" w:eastAsia="仿宋_GB2312" w:cs="宋体" w:hAnsiTheme="minorEastAsia"/>
          <w:color w:val="333333"/>
          <w:sz w:val="30"/>
          <w:szCs w:val="30"/>
        </w:rPr>
      </w:pP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第十条</w:t>
      </w:r>
      <w:bookmarkStart w:id="146" w:name="OLE_LINK7"/>
      <w:bookmarkStart w:id="147" w:name="OLE_LINK9"/>
      <w:bookmarkStart w:id="148" w:name="OLE_LINK5"/>
      <w:bookmarkStart w:id="149" w:name="OLE_LINK6"/>
      <w:bookmarkStart w:id="150" w:name="OLE_LINK8"/>
      <w:bookmarkStart w:id="151" w:name="OLE_LINK4"/>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bookmarkEnd w:id="146"/>
      <w:bookmarkEnd w:id="147"/>
      <w:bookmarkEnd w:id="148"/>
      <w:bookmarkEnd w:id="149"/>
      <w:bookmarkEnd w:id="150"/>
      <w:bookmarkEnd w:id="151"/>
      <w:r>
        <w:rPr>
          <w:rFonts w:hint="eastAsia" w:ascii="仿宋_GB2312" w:hAnsi="微软雅黑" w:eastAsia="仿宋_GB2312"/>
          <w:color w:val="3E3E3E"/>
          <w:sz w:val="30"/>
          <w:szCs w:val="30"/>
        </w:rPr>
        <w:t>，供应商认为采购文件、采购过程、中标或者成交结果使自己的权益受到损害的，可以在知道或者应知其权益受到损害之日起5个工作日内，以书面形式向国资处、采购代理机构提出质疑。</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采购文件可以要求供应商在质疑期内一次性提出针对同一采购程序环节的质疑。</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eastAsia="仿宋_GB2312" w:hAnsiTheme="minorEastAsia"/>
          <w:color w:val="3E3E3E"/>
          <w:sz w:val="30"/>
          <w:szCs w:val="30"/>
        </w:rPr>
      </w:pPr>
      <w:r>
        <w:rPr>
          <w:rFonts w:hint="eastAsia" w:ascii="仿宋_GB2312" w:eastAsia="仿宋_GB2312" w:hAnsiTheme="minorEastAsia"/>
          <w:b/>
          <w:color w:val="333333"/>
          <w:sz w:val="30"/>
          <w:szCs w:val="30"/>
        </w:rPr>
        <w:t>第十一条</w:t>
      </w:r>
      <w:r>
        <w:rPr>
          <w:rFonts w:hint="eastAsia" w:ascii="仿宋_GB2312" w:eastAsia="仿宋_GB2312" w:hAnsiTheme="minorEastAsia"/>
          <w:color w:val="333333"/>
          <w:sz w:val="30"/>
          <w:szCs w:val="30"/>
        </w:rPr>
        <w:t xml:space="preserve">  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eastAsia="仿宋_GB2312" w:hAnsiTheme="minorEastAsia"/>
          <w:color w:val="3E3E3E"/>
          <w:sz w:val="30"/>
          <w:szCs w:val="30"/>
        </w:rPr>
        <w:t>提出质疑的供应商（以下简称质疑供应商）应当是参与所质疑项目采购活动的供应商。</w:t>
      </w:r>
    </w:p>
    <w:p>
      <w:pPr>
        <w:spacing w:line="560" w:lineRule="exact"/>
        <w:ind w:firstLine="600" w:firstLineChars="200"/>
        <w:rPr>
          <w:rFonts w:ascii="仿宋_GB2312" w:eastAsia="仿宋_GB2312" w:hAnsiTheme="minorEastAsia"/>
          <w:color w:val="3E3E3E"/>
          <w:sz w:val="30"/>
          <w:szCs w:val="30"/>
        </w:rPr>
      </w:pPr>
      <w:r>
        <w:rPr>
          <w:rFonts w:hint="eastAsia" w:ascii="仿宋_GB2312" w:eastAsia="仿宋_GB2312" w:hAnsiTheme="minorEastAsia"/>
          <w:color w:val="3E3E3E"/>
          <w:sz w:val="30"/>
          <w:szCs w:val="30"/>
        </w:rPr>
        <w:t xml:space="preserve">潜在供应商已依法依规获取其可质疑的采购文件的，可以对该文件提出质疑。对采购文件提出质疑的，应当在采购文件规定的时间内提出。 </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第十二条</w:t>
      </w:r>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供应商提出质疑应当提交质疑函和必要的证明材料。质疑函应当包括下列内容：</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（一）供应商的姓名或者名称、地址、邮编、联系人及联系电话；</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（二）质疑项目的名称、编号；</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（三）具体、明确的质疑事项和与质疑事项相关的请求；</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（四）事实依据；</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（五）必要的法律依据；</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（六）提出质疑的日期。</w:t>
      </w:r>
    </w:p>
    <w:p>
      <w:pPr>
        <w:spacing w:line="560" w:lineRule="exact"/>
        <w:ind w:firstLine="600" w:firstLineChars="200"/>
        <w:rPr>
          <w:rFonts w:ascii="仿宋_GB2312" w:hAnsi="微软雅黑" w:eastAsia="仿宋_GB2312"/>
          <w:color w:val="3E3E3E"/>
          <w:sz w:val="30"/>
          <w:szCs w:val="30"/>
        </w:rPr>
      </w:pPr>
      <w:r>
        <w:rPr>
          <w:rFonts w:hint="eastAsia" w:ascii="仿宋_GB2312" w:hAnsi="微软雅黑" w:eastAsia="仿宋_GB2312"/>
          <w:color w:val="3E3E3E"/>
          <w:sz w:val="30"/>
          <w:szCs w:val="30"/>
        </w:rPr>
        <w:t>供应商为自然人的，应当由本人签字；供应商为法人或者其他组织的，应当由法定代表人、主要负责人，或者其授权代表签字或者盖章，并加盖公章。</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第十三条</w:t>
      </w:r>
      <w:r>
        <w:rPr>
          <w:rFonts w:hint="eastAsia" w:ascii="仿宋_GB2312" w:hAnsi="宋体" w:eastAsia="仿宋_GB2312" w:cs="宋体"/>
          <w:color w:val="333333"/>
          <w:sz w:val="30"/>
          <w:szCs w:val="30"/>
        </w:rPr>
        <w:t xml:space="preserve">  供应商的书面质疑如不符合本办法第十二条的规定，国资处应及时书面告知其补充或修改书面质疑材料的具体内容，并规定重新提交书面质疑的期限。</w:t>
      </w:r>
    </w:p>
    <w:p>
      <w:pPr>
        <w:spacing w:line="560" w:lineRule="exact"/>
        <w:ind w:firstLine="600" w:firstLineChars="200"/>
        <w:rPr>
          <w:rFonts w:ascii="仿宋_GB2312" w:hAnsi="微软雅黑" w:eastAsia="仿宋_GB2312"/>
          <w:color w:val="3E3E3E"/>
          <w:sz w:val="30"/>
          <w:szCs w:val="30"/>
        </w:rPr>
      </w:pPr>
    </w:p>
    <w:p>
      <w:pPr>
        <w:spacing w:line="560" w:lineRule="exact"/>
        <w:jc w:val="center"/>
        <w:rPr>
          <w:rFonts w:hint="eastAsia" w:ascii="黑体" w:hAnsi="黑体" w:eastAsia="黑体"/>
          <w:b/>
          <w:color w:val="3E3E3E"/>
          <w:sz w:val="30"/>
          <w:szCs w:val="30"/>
        </w:rPr>
      </w:pPr>
    </w:p>
    <w:p>
      <w:pPr>
        <w:spacing w:line="560" w:lineRule="exact"/>
        <w:jc w:val="center"/>
        <w:rPr>
          <w:rFonts w:hint="eastAsia" w:ascii="黑体" w:hAnsi="黑体" w:eastAsia="黑体"/>
          <w:b/>
          <w:color w:val="3E3E3E"/>
          <w:sz w:val="30"/>
          <w:szCs w:val="30"/>
        </w:rPr>
      </w:pPr>
    </w:p>
    <w:p>
      <w:pPr>
        <w:spacing w:line="560" w:lineRule="exact"/>
        <w:jc w:val="center"/>
        <w:rPr>
          <w:rFonts w:hint="eastAsia" w:ascii="黑体" w:hAnsi="黑体" w:eastAsia="黑体"/>
          <w:b/>
          <w:color w:val="3E3E3E"/>
          <w:sz w:val="30"/>
          <w:szCs w:val="30"/>
        </w:rPr>
      </w:pPr>
    </w:p>
    <w:p>
      <w:pPr>
        <w:spacing w:line="560" w:lineRule="exact"/>
        <w:jc w:val="center"/>
        <w:rPr>
          <w:rFonts w:ascii="黑体" w:hAnsi="黑体" w:eastAsia="黑体"/>
          <w:b/>
          <w:color w:val="3E3E3E"/>
          <w:sz w:val="30"/>
          <w:szCs w:val="30"/>
        </w:rPr>
      </w:pPr>
      <w:r>
        <w:rPr>
          <w:rFonts w:hint="eastAsia" w:ascii="黑体" w:hAnsi="黑体" w:eastAsia="黑体"/>
          <w:b/>
          <w:color w:val="3E3E3E"/>
          <w:sz w:val="30"/>
          <w:szCs w:val="30"/>
        </w:rPr>
        <w:t>第三章  质疑的答复</w:t>
      </w:r>
    </w:p>
    <w:p>
      <w:pPr>
        <w:spacing w:line="560" w:lineRule="exact"/>
        <w:ind w:firstLine="600" w:firstLineChars="200"/>
        <w:rPr>
          <w:rFonts w:ascii="仿宋_GB2312" w:hAnsi="微软雅黑" w:eastAsia="仿宋_GB2312"/>
          <w:color w:val="3E3E3E"/>
          <w:sz w:val="30"/>
          <w:szCs w:val="30"/>
        </w:rPr>
      </w:pPr>
    </w:p>
    <w:p>
      <w:pPr>
        <w:spacing w:line="560" w:lineRule="exact"/>
        <w:ind w:firstLine="602" w:firstLineChars="200"/>
        <w:rPr>
          <w:rFonts w:ascii="仿宋_GB2312" w:hAnsi="宋体" w:eastAsia="仿宋_GB2312" w:cs="宋体"/>
          <w:color w:val="333333"/>
          <w:sz w:val="30"/>
          <w:szCs w:val="30"/>
        </w:rPr>
      </w:pPr>
      <w:r>
        <w:rPr>
          <w:rFonts w:hint="eastAsia" w:ascii="仿宋_GB2312" w:hAnsi="微软雅黑" w:eastAsia="仿宋_GB2312"/>
          <w:b/>
          <w:color w:val="3E3E3E"/>
          <w:sz w:val="30"/>
          <w:szCs w:val="30"/>
        </w:rPr>
        <w:t>第十四条</w:t>
      </w:r>
      <w:r>
        <w:rPr>
          <w:rFonts w:hint="eastAsia" w:ascii="仿宋_GB2312" w:hAnsi="微软雅黑" w:eastAsia="仿宋_GB2312"/>
          <w:color w:val="3E3E3E"/>
          <w:sz w:val="30"/>
          <w:szCs w:val="30"/>
        </w:rPr>
        <w:t xml:space="preserve">  </w:t>
      </w:r>
      <w:r>
        <w:rPr>
          <w:rFonts w:hint="eastAsia" w:ascii="仿宋_GB2312" w:hAnsi="宋体" w:eastAsia="仿宋_GB2312" w:cs="宋体"/>
          <w:color w:val="333333"/>
          <w:sz w:val="30"/>
          <w:szCs w:val="30"/>
        </w:rPr>
        <w:t>供应商对</w:t>
      </w:r>
      <w:r>
        <w:rPr>
          <w:rFonts w:hint="eastAsia" w:ascii="仿宋_GB2312" w:eastAsia="仿宋_GB2312" w:cs="宋体" w:hAnsiTheme="minorEastAsia"/>
          <w:color w:val="333333"/>
          <w:sz w:val="30"/>
          <w:szCs w:val="30"/>
        </w:rPr>
        <w:t>学校</w:t>
      </w:r>
      <w:r>
        <w:rPr>
          <w:rFonts w:hint="eastAsia" w:ascii="仿宋_GB2312" w:eastAsia="仿宋_GB2312" w:hAnsiTheme="minorEastAsia"/>
          <w:color w:val="333333"/>
          <w:sz w:val="30"/>
          <w:szCs w:val="30"/>
        </w:rPr>
        <w:t>自主</w:t>
      </w:r>
      <w:r>
        <w:rPr>
          <w:rFonts w:hint="eastAsia" w:ascii="仿宋_GB2312" w:eastAsia="仿宋_GB2312" w:cs="宋体" w:hAnsiTheme="minorEastAsia"/>
          <w:color w:val="333333"/>
          <w:sz w:val="30"/>
          <w:szCs w:val="30"/>
        </w:rPr>
        <w:t>采购活动</w:t>
      </w:r>
      <w:r>
        <w:rPr>
          <w:rFonts w:hint="eastAsia" w:ascii="仿宋_GB2312" w:hAnsi="宋体" w:eastAsia="仿宋_GB2312" w:cs="宋体"/>
          <w:color w:val="333333"/>
          <w:sz w:val="30"/>
          <w:szCs w:val="30"/>
        </w:rPr>
        <w:t>有疑问的，可以向学校国资处、</w:t>
      </w:r>
      <w:r>
        <w:rPr>
          <w:rFonts w:hint="eastAsia" w:ascii="仿宋_GB2312" w:hAnsi="微软雅黑" w:eastAsia="仿宋_GB2312"/>
          <w:color w:val="3E3E3E"/>
          <w:sz w:val="30"/>
          <w:szCs w:val="30"/>
        </w:rPr>
        <w:t>采购代理机构</w:t>
      </w:r>
      <w:r>
        <w:rPr>
          <w:rFonts w:hint="eastAsia" w:ascii="仿宋_GB2312" w:hAnsi="宋体" w:eastAsia="仿宋_GB2312" w:cs="宋体"/>
          <w:color w:val="333333"/>
          <w:sz w:val="30"/>
          <w:szCs w:val="30"/>
        </w:rPr>
        <w:t>提出询问，国资处、</w:t>
      </w:r>
      <w:r>
        <w:rPr>
          <w:rFonts w:hint="eastAsia" w:ascii="仿宋_GB2312" w:hAnsi="微软雅黑" w:eastAsia="仿宋_GB2312"/>
          <w:color w:val="3E3E3E"/>
          <w:sz w:val="30"/>
          <w:szCs w:val="30"/>
        </w:rPr>
        <w:t>采购代理机构</w:t>
      </w:r>
      <w:r>
        <w:rPr>
          <w:rFonts w:hint="eastAsia" w:ascii="仿宋_GB2312" w:hAnsi="宋体" w:eastAsia="仿宋_GB2312" w:cs="宋体"/>
          <w:color w:val="333333"/>
          <w:sz w:val="30"/>
          <w:szCs w:val="30"/>
        </w:rPr>
        <w:t>应及时口头答复。</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第十五</w:t>
      </w:r>
      <w:r>
        <w:rPr>
          <w:rFonts w:hint="eastAsia" w:ascii="仿宋_GB2312" w:hAnsi="宋体" w:eastAsia="仿宋_GB2312" w:cs="宋体"/>
          <w:color w:val="333333"/>
          <w:sz w:val="30"/>
          <w:szCs w:val="30"/>
        </w:rPr>
        <w:t>条  国资处、采购代理机构对供应商提出的询问，应区别不同情况予以处理：</w:t>
      </w:r>
      <w:r>
        <w:rPr>
          <w:rFonts w:hint="eastAsia" w:ascii="仿宋_GB2312" w:hAnsi="宋体" w:eastAsia="仿宋_GB2312" w:cs="宋体"/>
          <w:sz w:val="30"/>
          <w:szCs w:val="30"/>
        </w:rPr>
        <w:t>属于工作中的问题，应当及时纠正；</w:t>
      </w:r>
      <w:r>
        <w:rPr>
          <w:rFonts w:hint="eastAsia" w:ascii="仿宋_GB2312" w:hAnsi="宋体" w:eastAsia="仿宋_GB2312" w:cs="宋体"/>
          <w:color w:val="333333"/>
          <w:sz w:val="30"/>
          <w:szCs w:val="30"/>
        </w:rPr>
        <w:t>属于供应商的误解，应予以解释说明。</w:t>
      </w:r>
    </w:p>
    <w:p>
      <w:pPr>
        <w:spacing w:line="560" w:lineRule="exact"/>
        <w:ind w:firstLine="602" w:firstLineChars="200"/>
        <w:rPr>
          <w:rFonts w:ascii="仿宋_GB2312" w:hAnsi="微软雅黑" w:eastAsia="仿宋_GB2312"/>
          <w:color w:val="3E3E3E"/>
          <w:sz w:val="30"/>
          <w:szCs w:val="30"/>
        </w:rPr>
      </w:pPr>
      <w:r>
        <w:rPr>
          <w:rFonts w:hint="eastAsia" w:ascii="仿宋_GB2312" w:hAnsi="微软雅黑" w:eastAsia="仿宋_GB2312"/>
          <w:b/>
          <w:color w:val="3E3E3E"/>
          <w:sz w:val="30"/>
          <w:szCs w:val="30"/>
        </w:rPr>
        <w:t>第十六</w:t>
      </w:r>
      <w:r>
        <w:rPr>
          <w:rFonts w:hint="eastAsia" w:ascii="仿宋_GB2312" w:hAnsi="微软雅黑" w:eastAsia="仿宋_GB2312"/>
          <w:color w:val="3E3E3E"/>
          <w:sz w:val="30"/>
          <w:szCs w:val="30"/>
        </w:rPr>
        <w:t xml:space="preserve">条  </w:t>
      </w:r>
      <w:r>
        <w:rPr>
          <w:rFonts w:hint="eastAsia" w:ascii="仿宋_GB2312" w:eastAsia="仿宋_GB2312" w:cs="宋体" w:hAnsiTheme="minorEastAsia"/>
          <w:color w:val="333333"/>
          <w:sz w:val="30"/>
          <w:szCs w:val="30"/>
        </w:rPr>
        <w:t>学校</w:t>
      </w:r>
      <w:r>
        <w:rPr>
          <w:rFonts w:hint="eastAsia" w:ascii="仿宋_GB2312" w:eastAsia="仿宋_GB2312" w:hAnsiTheme="minorEastAsia"/>
          <w:color w:val="333333"/>
          <w:sz w:val="30"/>
          <w:szCs w:val="30"/>
        </w:rPr>
        <w:t>自主</w:t>
      </w:r>
      <w:r>
        <w:rPr>
          <w:rFonts w:hint="eastAsia" w:ascii="仿宋_GB2312" w:eastAsia="仿宋_GB2312" w:cs="宋体" w:hAnsiTheme="minorEastAsia"/>
          <w:color w:val="333333"/>
          <w:sz w:val="30"/>
          <w:szCs w:val="30"/>
        </w:rPr>
        <w:t>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国资处、采购代理机构不得拒收质疑供应商在法定质疑期内发出的质疑函，应当在收到质疑函后7个工作日内（采用招标方式的3日内）作出答复，并以书面形式通知质疑供应商。</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第十七条</w:t>
      </w:r>
      <w:r>
        <w:rPr>
          <w:rFonts w:hint="eastAsia" w:ascii="仿宋_GB2312" w:hAnsi="宋体" w:eastAsia="仿宋_GB2312" w:cs="宋体"/>
          <w:color w:val="333333"/>
          <w:sz w:val="30"/>
          <w:szCs w:val="30"/>
        </w:rPr>
        <w:t xml:space="preserve">  供应商的书面质疑属于下列情形之一的，国资处、采购代理机构可不予受理，并以书面形式告知其不予受理的原因：</w:t>
      </w:r>
    </w:p>
    <w:p>
      <w:pPr>
        <w:spacing w:line="560" w:lineRule="exact"/>
        <w:ind w:firstLine="600" w:firstLineChars="200"/>
        <w:rPr>
          <w:rFonts w:ascii="仿宋_GB2312" w:hAnsi="宋体" w:eastAsia="仿宋_GB2312" w:cs="宋体"/>
          <w:color w:val="333333"/>
          <w:sz w:val="30"/>
          <w:szCs w:val="30"/>
        </w:rPr>
      </w:pPr>
      <w:r>
        <w:rPr>
          <w:rFonts w:hint="eastAsia" w:ascii="仿宋_GB2312" w:hAnsi="宋体" w:eastAsia="仿宋_GB2312" w:cs="宋体"/>
          <w:color w:val="333333"/>
          <w:sz w:val="30"/>
          <w:szCs w:val="30"/>
        </w:rPr>
        <w:t>（一）未通过资格审核，或未参与该采购项目活动的供应商；</w:t>
      </w:r>
    </w:p>
    <w:p>
      <w:pPr>
        <w:spacing w:line="560" w:lineRule="exact"/>
        <w:ind w:firstLine="600" w:firstLineChars="200"/>
        <w:rPr>
          <w:rFonts w:ascii="仿宋_GB2312" w:hAnsi="宋体" w:eastAsia="仿宋_GB2312" w:cs="宋体"/>
          <w:color w:val="333333"/>
          <w:sz w:val="30"/>
          <w:szCs w:val="30"/>
        </w:rPr>
      </w:pPr>
      <w:r>
        <w:rPr>
          <w:rFonts w:hint="eastAsia" w:ascii="仿宋_GB2312" w:hAnsi="宋体" w:eastAsia="仿宋_GB2312" w:cs="宋体"/>
          <w:color w:val="333333"/>
          <w:sz w:val="30"/>
          <w:szCs w:val="30"/>
        </w:rPr>
        <w:t>（二）已超过法律规定或采购文件约定的质疑期限；</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第十八条</w:t>
      </w:r>
      <w:r>
        <w:rPr>
          <w:rFonts w:hint="eastAsia" w:ascii="仿宋_GB2312" w:hAnsi="宋体" w:eastAsia="仿宋_GB2312" w:cs="宋体"/>
          <w:color w:val="333333"/>
          <w:sz w:val="30"/>
          <w:szCs w:val="30"/>
        </w:rPr>
        <w:t xml:space="preserve">  国资处可就供应商的质疑事项进行调查取证，有关当事人应当如实反映情况和提供有关材料。</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第十九条</w:t>
      </w:r>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供应商对评审过程、中标或者成交结果提出质疑的，国资处、采购代理机构可以组织原评标委员会、谈判小组、询价小组或者磋商小组协助答复质疑。</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eastAsia="仿宋_GB2312"/>
          <w:b/>
          <w:color w:val="333333"/>
          <w:sz w:val="30"/>
          <w:szCs w:val="30"/>
        </w:rPr>
        <w:t>第二十条</w:t>
      </w:r>
      <w:r>
        <w:rPr>
          <w:rFonts w:hint="eastAsia" w:ascii="仿宋_GB2312" w:eastAsia="仿宋_GB2312"/>
          <w:color w:val="333333"/>
          <w:sz w:val="30"/>
          <w:szCs w:val="30"/>
        </w:rPr>
        <w:t xml:space="preserve">  采购评审人员应当积极配合国资处答复质疑供应商提出的质疑。</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第二十一条</w:t>
      </w:r>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质疑答复应当包括下列内容：</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（一）质疑供应商的姓名或者名称；</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（二）收到质疑函的日期、质疑项目名称及编号；</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（三）质疑事项、质疑答复的具体内容、事实依据和法律及相关政策规定等依据；</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（四）告知质疑供应商依法投诉的权利；</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（五）质疑答复人名称；</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（六）答复质疑的日期。</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质疑答复的内容不得涉及商业秘密。</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第二十二条</w:t>
      </w:r>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国资处、采购代理机构认为供应商质疑不成立，或者成立但未对中标、成交结果构成影响的，继续开展采购活动；认为供应商质疑成立且影响或者可能影响中标、成交结果的，按照下列情况处理：</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（一）对采购文件提出的质疑，依法通过澄清或者修改可以继续开展采购活动的，澄清或者修改采购文件后继续开展采购活动；否则应当修改采购文件后重新开展采购活动。</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对采购过程、中标或者成交结果提出的质疑，合格供应商符合法定数量时，可以从合格的中标或者成交候选人中另行确定中标、成交供应商的，应当另行确定中标、成交供应商；否则应当重新开展采购活动。</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质疑答复导致中标、成交结果改变的，国资处应当将有关情况书面报告监察处。</w:t>
      </w:r>
    </w:p>
    <w:p>
      <w:pPr>
        <w:spacing w:line="560" w:lineRule="exact"/>
        <w:ind w:firstLine="600" w:firstLineChars="200"/>
        <w:rPr>
          <w:rFonts w:ascii="仿宋_GB2312" w:eastAsia="仿宋_GB2312" w:cs="宋体" w:hAnsiTheme="minorEastAsia"/>
          <w:color w:val="333333"/>
          <w:sz w:val="30"/>
          <w:szCs w:val="30"/>
        </w:rPr>
      </w:pPr>
    </w:p>
    <w:p>
      <w:pPr>
        <w:pStyle w:val="2"/>
        <w:rPr>
          <w:rFonts w:ascii="仿宋_GB2312" w:eastAsia="仿宋_GB2312" w:cs="宋体" w:hAnsiTheme="minorEastAsia"/>
          <w:color w:val="333333"/>
          <w:sz w:val="30"/>
          <w:szCs w:val="30"/>
        </w:rPr>
      </w:pPr>
    </w:p>
    <w:p>
      <w:pPr>
        <w:pStyle w:val="2"/>
        <w:rPr>
          <w:rFonts w:ascii="仿宋_GB2312" w:eastAsia="仿宋_GB2312" w:cs="宋体" w:hAnsiTheme="minorEastAsia"/>
          <w:color w:val="333333"/>
          <w:sz w:val="30"/>
          <w:szCs w:val="30"/>
        </w:rPr>
      </w:pPr>
    </w:p>
    <w:p>
      <w:pPr>
        <w:pStyle w:val="2"/>
        <w:rPr>
          <w:rFonts w:ascii="仿宋_GB2312" w:eastAsia="仿宋_GB2312" w:cs="宋体" w:hAnsiTheme="minorEastAsia"/>
          <w:color w:val="333333"/>
          <w:sz w:val="30"/>
          <w:szCs w:val="30"/>
        </w:rPr>
      </w:pPr>
    </w:p>
    <w:p>
      <w:pPr>
        <w:pStyle w:val="2"/>
        <w:rPr>
          <w:rFonts w:ascii="仿宋_GB2312" w:eastAsia="仿宋_GB2312" w:cs="宋体" w:hAnsiTheme="minorEastAsia"/>
          <w:color w:val="333333"/>
          <w:sz w:val="30"/>
          <w:szCs w:val="30"/>
        </w:rPr>
      </w:pPr>
    </w:p>
    <w:p>
      <w:pPr>
        <w:pStyle w:val="2"/>
        <w:rPr>
          <w:rFonts w:ascii="仿宋_GB2312" w:eastAsia="仿宋_GB2312" w:cs="宋体" w:hAnsiTheme="minorEastAsia"/>
          <w:color w:val="333333"/>
          <w:sz w:val="30"/>
          <w:szCs w:val="30"/>
        </w:rPr>
      </w:pPr>
    </w:p>
    <w:p>
      <w:pPr>
        <w:spacing w:line="560" w:lineRule="exact"/>
        <w:jc w:val="center"/>
        <w:rPr>
          <w:rFonts w:ascii="黑体" w:hAnsi="黑体" w:eastAsia="黑体" w:cs="宋体"/>
          <w:b/>
          <w:color w:val="333333"/>
          <w:sz w:val="30"/>
          <w:szCs w:val="30"/>
        </w:rPr>
      </w:pPr>
      <w:r>
        <w:rPr>
          <w:rFonts w:hint="eastAsia" w:ascii="黑体" w:hAnsi="黑体" w:eastAsia="黑体" w:cs="宋体"/>
          <w:b/>
          <w:color w:val="333333"/>
          <w:sz w:val="30"/>
          <w:szCs w:val="30"/>
        </w:rPr>
        <w:t>第四章  投诉的提起</w:t>
      </w:r>
    </w:p>
    <w:p>
      <w:pPr>
        <w:spacing w:line="560" w:lineRule="exact"/>
        <w:ind w:firstLine="600" w:firstLineChars="200"/>
        <w:rPr>
          <w:rFonts w:ascii="仿宋_GB2312" w:eastAsia="仿宋_GB2312" w:cs="宋体" w:hAnsiTheme="minorEastAsia"/>
          <w:color w:val="333333"/>
          <w:sz w:val="30"/>
          <w:szCs w:val="30"/>
        </w:rPr>
      </w:pPr>
    </w:p>
    <w:p>
      <w:pPr>
        <w:spacing w:line="560" w:lineRule="exact"/>
        <w:ind w:firstLine="602" w:firstLineChars="200"/>
        <w:rPr>
          <w:rFonts w:ascii="仿宋_GB2312" w:hAnsi="宋体" w:eastAsia="仿宋_GB2312" w:cs="宋体"/>
          <w:color w:val="333333"/>
          <w:sz w:val="30"/>
          <w:szCs w:val="30"/>
        </w:rPr>
      </w:pPr>
      <w:r>
        <w:rPr>
          <w:rFonts w:hint="eastAsia" w:ascii="仿宋_GB2312" w:eastAsia="仿宋_GB2312"/>
          <w:b/>
          <w:color w:val="333333"/>
          <w:sz w:val="30"/>
          <w:szCs w:val="30"/>
        </w:rPr>
        <w:t>第二十三条</w:t>
      </w:r>
      <w:r>
        <w:rPr>
          <w:rFonts w:hint="eastAsia" w:ascii="仿宋_GB2312" w:eastAsia="仿宋_GB2312"/>
          <w:color w:val="333333"/>
          <w:sz w:val="30"/>
          <w:szCs w:val="30"/>
        </w:rPr>
        <w:t xml:space="preserve">  学校</w:t>
      </w:r>
      <w:r>
        <w:rPr>
          <w:rFonts w:hint="eastAsia" w:ascii="仿宋_GB2312" w:eastAsia="仿宋_GB2312" w:hAnsiTheme="minorEastAsia"/>
          <w:color w:val="333333"/>
          <w:sz w:val="30"/>
          <w:szCs w:val="30"/>
        </w:rPr>
        <w:t>自主</w:t>
      </w:r>
      <w:r>
        <w:rPr>
          <w:rFonts w:hint="eastAsia" w:ascii="仿宋_GB2312" w:eastAsia="仿宋_GB2312"/>
          <w:color w:val="333333"/>
          <w:sz w:val="30"/>
          <w:szCs w:val="30"/>
        </w:rPr>
        <w:t>采购活动中，</w:t>
      </w:r>
      <w:r>
        <w:rPr>
          <w:rFonts w:hint="eastAsia" w:ascii="仿宋_GB2312" w:hAnsi="微软雅黑" w:eastAsia="仿宋_GB2312"/>
          <w:color w:val="3E3E3E"/>
          <w:sz w:val="30"/>
          <w:szCs w:val="30"/>
        </w:rPr>
        <w:t>质疑供应商对国资处、采购代理机构的答复不满意，或者</w:t>
      </w:r>
      <w:bookmarkStart w:id="152" w:name="OLE_LINK78"/>
      <w:bookmarkStart w:id="153" w:name="OLE_LINK76"/>
      <w:bookmarkStart w:id="154" w:name="OLE_LINK77"/>
      <w:r>
        <w:rPr>
          <w:rFonts w:hint="eastAsia" w:ascii="仿宋_GB2312" w:hAnsi="微软雅黑" w:eastAsia="仿宋_GB2312"/>
          <w:color w:val="3E3E3E"/>
          <w:sz w:val="30"/>
          <w:szCs w:val="30"/>
        </w:rPr>
        <w:t>国资处、采购代理机构</w:t>
      </w:r>
      <w:bookmarkEnd w:id="152"/>
      <w:bookmarkEnd w:id="153"/>
      <w:bookmarkEnd w:id="154"/>
      <w:r>
        <w:rPr>
          <w:rFonts w:hint="eastAsia" w:ascii="仿宋_GB2312" w:hAnsi="微软雅黑" w:eastAsia="仿宋_GB2312"/>
          <w:color w:val="3E3E3E"/>
          <w:sz w:val="30"/>
          <w:szCs w:val="30"/>
        </w:rPr>
        <w:t>未在规定时间内作出答复的，或者国资处、采购代理机构在采购活动中未正常履职、存在违规违纪行为的，可以在答复期满后7个工作日内向学校监察处提起投诉。</w:t>
      </w:r>
      <w:r>
        <w:rPr>
          <w:rFonts w:hint="eastAsia" w:ascii="宋体" w:hAnsi="宋体" w:eastAsia="仿宋_GB2312" w:cs="宋体"/>
          <w:color w:val="333333"/>
          <w:sz w:val="30"/>
          <w:szCs w:val="30"/>
        </w:rPr>
        <w:t> </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eastAsia="仿宋_GB2312"/>
          <w:b/>
          <w:color w:val="333333"/>
          <w:sz w:val="30"/>
          <w:szCs w:val="30"/>
        </w:rPr>
        <w:t>第二十四条</w:t>
      </w:r>
      <w:r>
        <w:rPr>
          <w:rFonts w:hint="eastAsia" w:ascii="仿宋_GB2312" w:eastAsia="仿宋_GB2312"/>
          <w:color w:val="333333"/>
          <w:sz w:val="30"/>
          <w:szCs w:val="30"/>
        </w:rPr>
        <w:t xml:space="preserve">  学校</w:t>
      </w:r>
      <w:r>
        <w:rPr>
          <w:rFonts w:hint="eastAsia" w:ascii="仿宋_GB2312" w:eastAsia="仿宋_GB2312" w:hAnsiTheme="minorEastAsia"/>
          <w:color w:val="333333"/>
          <w:sz w:val="30"/>
          <w:szCs w:val="30"/>
        </w:rPr>
        <w:t>自主</w:t>
      </w:r>
      <w:r>
        <w:rPr>
          <w:rFonts w:hint="eastAsia" w:ascii="仿宋_GB2312" w:eastAsia="仿宋_GB2312"/>
          <w:color w:val="333333"/>
          <w:sz w:val="30"/>
          <w:szCs w:val="30"/>
        </w:rPr>
        <w:t>采购活动中，</w:t>
      </w:r>
      <w:r>
        <w:rPr>
          <w:rFonts w:hint="eastAsia" w:ascii="仿宋_GB2312" w:hAnsi="微软雅黑" w:eastAsia="仿宋_GB2312"/>
          <w:color w:val="3E3E3E"/>
          <w:sz w:val="30"/>
          <w:szCs w:val="30"/>
        </w:rPr>
        <w:t>投诉人投诉时,应当提交投诉书和必要的证明材料。投诉书应当包括下列内容：</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（一）投诉人和被投诉人的姓名或者名称、投诉人的通讯地址、邮编、联系人及联系电话；</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（二）质疑和质疑答复情况说明及相关证明材料；</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（三）具体、明确的投诉事项和与投诉事项相关的投诉请求；</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（四）事实依据；</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（五）法律依据；</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（六）提起投诉的日期。</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投诉人为自然人的，应当由本人签字；投诉人为法人或者其他组织的，应当由法定代表人、主要负责人，或者其授权代表签字或者盖章，并加盖公章。</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第二十五条</w:t>
      </w:r>
      <w:r>
        <w:rPr>
          <w:rFonts w:hint="eastAsia" w:ascii="仿宋_GB2312" w:hAnsi="微软雅黑" w:eastAsia="仿宋_GB2312"/>
          <w:color w:val="3E3E3E"/>
          <w:sz w:val="30"/>
          <w:szCs w:val="30"/>
        </w:rPr>
        <w:t xml:space="preserve">  投诉人应当根据本办法第七条规定的信息内容，并按照其规定的方式提起投诉。</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投诉人提起投诉应当符合下列条件：</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（一）提起投诉前已依法、依规进行质疑；</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（二）投诉书内容符合本办法的规定；</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（三）在投诉有效期限内提起投诉；</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（四）同一投诉事项未经投诉处理。</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第二十六条</w:t>
      </w:r>
      <w:r>
        <w:rPr>
          <w:rFonts w:hint="eastAsia" w:ascii="仿宋_GB2312" w:hAnsi="微软雅黑" w:eastAsia="仿宋_GB2312"/>
          <w:color w:val="3E3E3E"/>
          <w:sz w:val="30"/>
          <w:szCs w:val="30"/>
        </w:rPr>
        <w:t xml:space="preserve">  供应商投诉的事项不得超出已质疑事项的范围，但基于质疑答复内容提出的投诉事项除外</w:t>
      </w:r>
    </w:p>
    <w:p>
      <w:pPr>
        <w:pStyle w:val="22"/>
        <w:shd w:val="clear" w:color="auto" w:fill="FFFFFF"/>
        <w:adjustRightInd w:val="0"/>
        <w:snapToGrid w:val="0"/>
        <w:spacing w:before="0" w:beforeAutospacing="0" w:after="0" w:afterAutospacing="0" w:line="560" w:lineRule="exact"/>
        <w:ind w:firstLine="0"/>
        <w:jc w:val="both"/>
        <w:rPr>
          <w:rFonts w:ascii="仿宋_GB2312" w:hAnsi="微软雅黑" w:eastAsia="仿宋_GB2312"/>
          <w:color w:val="3E3E3E"/>
          <w:sz w:val="30"/>
          <w:szCs w:val="30"/>
        </w:rPr>
      </w:pPr>
    </w:p>
    <w:p>
      <w:pPr>
        <w:pStyle w:val="22"/>
        <w:shd w:val="clear" w:color="auto" w:fill="FFFFFF"/>
        <w:adjustRightInd w:val="0"/>
        <w:snapToGrid w:val="0"/>
        <w:spacing w:before="0" w:beforeAutospacing="0" w:after="0" w:afterAutospacing="0" w:line="560" w:lineRule="exact"/>
        <w:jc w:val="center"/>
        <w:rPr>
          <w:rFonts w:ascii="黑体" w:hAnsi="黑体" w:eastAsia="黑体"/>
          <w:color w:val="3E3E3E"/>
          <w:sz w:val="30"/>
          <w:szCs w:val="30"/>
        </w:rPr>
      </w:pPr>
      <w:r>
        <w:rPr>
          <w:rStyle w:val="29"/>
          <w:rFonts w:hint="eastAsia" w:ascii="黑体" w:hAnsi="黑体" w:eastAsia="黑体"/>
          <w:color w:val="3E3E3E"/>
          <w:sz w:val="30"/>
          <w:szCs w:val="30"/>
        </w:rPr>
        <w:t xml:space="preserve">第五章 </w:t>
      </w:r>
      <w:r>
        <w:rPr>
          <w:rStyle w:val="29"/>
          <w:rFonts w:hint="eastAsia" w:ascii="微软雅黑" w:hAnsi="微软雅黑" w:eastAsia="黑体"/>
          <w:color w:val="3E3E3E"/>
          <w:sz w:val="30"/>
          <w:szCs w:val="30"/>
        </w:rPr>
        <w:t> </w:t>
      </w:r>
      <w:r>
        <w:rPr>
          <w:rStyle w:val="29"/>
          <w:rFonts w:hint="eastAsia" w:ascii="黑体" w:hAnsi="黑体" w:eastAsia="黑体"/>
          <w:color w:val="3E3E3E"/>
          <w:sz w:val="30"/>
          <w:szCs w:val="30"/>
        </w:rPr>
        <w:t>投诉的处理</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color w:val="3E3E3E"/>
          <w:sz w:val="30"/>
          <w:szCs w:val="30"/>
        </w:rPr>
      </w:pP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第二十七条</w:t>
      </w:r>
      <w:r>
        <w:rPr>
          <w:rFonts w:hint="eastAsia" w:ascii="仿宋_GB2312" w:hAnsi="微软雅黑" w:eastAsia="仿宋_GB2312"/>
          <w:color w:val="3E3E3E"/>
          <w:sz w:val="30"/>
          <w:szCs w:val="30"/>
        </w:rPr>
        <w:t xml:space="preserve">  监察处收到投诉书后，应当在5个工作日内进行审查，审查后按照下列情况处理：</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投诉书内容不符合本办法第二十四条规定的，应当在收到投诉书5个工作日内一次性书面通知投诉人补正。补正通知应当载明需要补正的事项和合理的补正期限。未按照补正期限进行补正或者补正后仍不符合规定的，不予受理。</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（二）投诉不符合本办法第二十五条规定条件的，应当在3个工作日内书面告知投诉人不予受理，并说明理由。</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（三）投诉不属于本部门管辖的，应当在3个工作日内书面告知投诉人向有管辖权的部门提起投诉。</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（四）投诉符合本办法第二十四条、第二十五条规定的，自收到投诉书之日起即为受理，并在收到投诉后8个工作日内向被投诉人和其他与投诉事项有关的当事人发出投诉答复通知书及投诉书副本。</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第二十八条</w:t>
      </w:r>
      <w:r>
        <w:rPr>
          <w:rFonts w:hint="eastAsia" w:ascii="仿宋_GB2312" w:hAnsi="微软雅黑" w:eastAsia="仿宋_GB2312"/>
          <w:color w:val="3E3E3E"/>
          <w:sz w:val="30"/>
          <w:szCs w:val="30"/>
        </w:rPr>
        <w:t xml:space="preserve">  国资处和其他与投诉事项有关的当事人应当在收到投诉答复通知书及投诉书副本之日起5个工作日内，以书面形式向监察处作出说明，并提交相关证据、依据和其他有关材料。</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第二十九条</w:t>
      </w:r>
      <w:r>
        <w:rPr>
          <w:rFonts w:hint="eastAsia" w:ascii="仿宋_GB2312" w:hAnsi="微软雅黑" w:eastAsia="仿宋_GB2312"/>
          <w:color w:val="3E3E3E"/>
          <w:sz w:val="30"/>
          <w:szCs w:val="30"/>
        </w:rPr>
        <w:t xml:space="preserve">  监察处处理投诉事项原则上采用书面审查的方式。监察处认为有必要时，可以进行调查取证或者组织质证。</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第三十条</w:t>
      </w:r>
      <w:r>
        <w:rPr>
          <w:rFonts w:hint="eastAsia" w:ascii="仿宋_GB2312" w:hAnsi="微软雅黑" w:eastAsia="仿宋_GB2312"/>
          <w:color w:val="3E3E3E"/>
          <w:sz w:val="30"/>
          <w:szCs w:val="30"/>
        </w:rPr>
        <w:t xml:space="preserve">  监察处可以根据法律、法规规定或者职责权限，委托相关单位或者第三方开展调查取证、检验、检测、鉴定。</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质证应当通知相关当事人到场，并制作质证笔录。质证笔录应当由当事人签字确认。</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第三十一条</w:t>
      </w:r>
      <w:r>
        <w:rPr>
          <w:rFonts w:hint="eastAsia" w:ascii="仿宋_GB2312" w:hAnsi="微软雅黑" w:eastAsia="仿宋_GB2312"/>
          <w:color w:val="3E3E3E"/>
          <w:sz w:val="30"/>
          <w:szCs w:val="30"/>
        </w:rPr>
        <w:t xml:space="preserve">  监察处依法、依规进行调查取证时，投诉人、国资处以及与投诉事项有关的部门及人员应当如实反映情况，并提供监察处所需要的相关材料。</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第三十二条</w:t>
      </w:r>
      <w:r>
        <w:rPr>
          <w:rFonts w:hint="eastAsia" w:ascii="仿宋_GB2312" w:hAnsi="微软雅黑" w:eastAsia="仿宋_GB2312"/>
          <w:color w:val="3E3E3E"/>
          <w:sz w:val="30"/>
          <w:szCs w:val="30"/>
        </w:rPr>
        <w:t xml:space="preserve">  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第三十三条</w:t>
      </w:r>
      <w:r>
        <w:rPr>
          <w:rFonts w:hint="eastAsia" w:ascii="仿宋_GB2312" w:hAnsi="微软雅黑" w:eastAsia="仿宋_GB2312"/>
          <w:color w:val="3E3E3E"/>
          <w:sz w:val="30"/>
          <w:szCs w:val="30"/>
        </w:rPr>
        <w:t xml:space="preserve">  监察处应当自收到投诉之日起30个工作日内，对投诉事项作出处理决定。</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第三十四条</w:t>
      </w:r>
      <w:r>
        <w:rPr>
          <w:rFonts w:hint="eastAsia" w:ascii="仿宋_GB2312" w:hAnsi="微软雅黑" w:eastAsia="仿宋_GB2312"/>
          <w:color w:val="3E3E3E"/>
          <w:sz w:val="30"/>
          <w:szCs w:val="30"/>
        </w:rPr>
        <w:t xml:space="preserve">  监察处处理投诉事项，需要检验、检测、鉴定、专家评审以及需要投诉人补正材料的，所需时间不计算在投诉处理期限内。</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前款所称所需时间，是指监察处向相关单位、第三方、投诉人发出相关文书、补正通知之日至收到相关反馈文书或材料之日。</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监察处向相关单位、第三方开展检验、检测、鉴定、专家评审的，应当将所需时间告知投诉人。</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第三十五条</w:t>
      </w:r>
      <w:r>
        <w:rPr>
          <w:rFonts w:hint="eastAsia" w:ascii="仿宋_GB2312" w:hAnsi="微软雅黑" w:eastAsia="仿宋_GB2312"/>
          <w:color w:val="3E3E3E"/>
          <w:sz w:val="30"/>
          <w:szCs w:val="30"/>
        </w:rPr>
        <w:t xml:space="preserve">  监察处在处理投诉事项期间，可以视具体情况书面通知国资处暂停采购活动，暂停采购活动时间最长不得超过30日。</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国资处收到暂停采购活动通知后应当立即中止采购活动，在法定的暂停期限结束前或者监察处发出恢复采购活动通知前，不得进行该项采购活动。</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第三十六条</w:t>
      </w:r>
      <w:r>
        <w:rPr>
          <w:rFonts w:hint="eastAsia" w:ascii="仿宋_GB2312" w:hAnsi="微软雅黑" w:eastAsia="仿宋_GB2312"/>
          <w:color w:val="3E3E3E"/>
          <w:sz w:val="30"/>
          <w:szCs w:val="30"/>
        </w:rPr>
        <w:t xml:space="preserve">  投诉处理过程中，有下列情形之一的，监察处应当驳回投诉：</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（一）受理后发现投诉不符合受理条件；</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（二）投诉事项缺乏事实依据，投诉事项不成立；</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（三）投诉人捏造事实或者提供虚假材料；</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（四）投诉人以非法手段取得证明材料。证据来源的合法性存在明显疑问，投诉人无法证明其取得方式合法的，视为以非法手段取得证明材料。</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第三十七条</w:t>
      </w:r>
      <w:r>
        <w:rPr>
          <w:rFonts w:hint="eastAsia" w:ascii="仿宋_GB2312" w:hAnsi="微软雅黑" w:eastAsia="仿宋_GB2312"/>
          <w:color w:val="3E3E3E"/>
          <w:sz w:val="30"/>
          <w:szCs w:val="30"/>
        </w:rPr>
        <w:t xml:space="preserve">  监察处受理投诉后,投诉人书面申请撤回投诉的，监察处应当终止投诉处理程序，并书面告知相关当事人。</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第三十八条</w:t>
      </w:r>
      <w:r>
        <w:rPr>
          <w:rFonts w:hint="eastAsia" w:ascii="仿宋_GB2312" w:hAnsi="微软雅黑" w:eastAsia="仿宋_GB2312"/>
          <w:color w:val="3E3E3E"/>
          <w:sz w:val="30"/>
          <w:szCs w:val="30"/>
        </w:rPr>
        <w:t xml:space="preserve">  投诉人对采购文件提起的投诉事项，监察处经查证属实的，应当认定投诉事项成立。经认定成立的投诉事项不影响采购结果的，继续开展采购活动；影响或者可能影响采购结果的，监察处按照下列情况处理：</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（一）未确定中标或者成交供应商的，责令重新开展采购活动。</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（二）已确定中标或者成交供应商但尚未签订采购合同的，认定中标或者成交结果无效，责令重新开展采购活动。</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（三）采购合同已经签订但尚未履行的，撤销合同，责令重新开展采购活动。</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（四）采购合同已经履行，给他人造成损失的，相关当事人可依法提起诉讼,由责任人承担赔偿责任。</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第三十九条</w:t>
      </w:r>
      <w:bookmarkStart w:id="155" w:name="OLE_LINK11"/>
      <w:bookmarkStart w:id="156" w:name="OLE_LINK13"/>
      <w:bookmarkStart w:id="157" w:name="OLE_LINK12"/>
      <w:r>
        <w:rPr>
          <w:rFonts w:hint="eastAsia" w:ascii="仿宋_GB2312" w:hAnsi="微软雅黑" w:eastAsia="仿宋_GB2312"/>
          <w:color w:val="3E3E3E"/>
          <w:sz w:val="30"/>
          <w:szCs w:val="30"/>
        </w:rPr>
        <w:t xml:space="preserve">  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155"/>
      <w:bookmarkEnd w:id="156"/>
      <w:bookmarkEnd w:id="157"/>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bookmarkStart w:id="158" w:name="OLE_LINK15"/>
      <w:bookmarkStart w:id="159" w:name="OLE_LINK14"/>
      <w:r>
        <w:rPr>
          <w:rFonts w:hint="eastAsia" w:ascii="仿宋_GB2312" w:hAnsi="微软雅黑" w:eastAsia="仿宋_GB2312"/>
          <w:color w:val="3E3E3E"/>
          <w:sz w:val="30"/>
          <w:szCs w:val="30"/>
        </w:rPr>
        <w:t>（一）未确定中标或者成交供应商的，责令重新开展采购活动。</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（四）采购合同已经履行，给他人造成损失的，相关当事人可依法提起诉讼,由责任人承担赔偿责任。</w:t>
      </w:r>
    </w:p>
    <w:bookmarkEnd w:id="158"/>
    <w:bookmarkEnd w:id="159"/>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投诉人对废标行为提起的投诉事项成立的，监察处应当认定废标行为无效。</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第四十条</w:t>
      </w:r>
      <w:r>
        <w:rPr>
          <w:rFonts w:hint="eastAsia" w:ascii="仿宋_GB2312" w:hAnsi="微软雅黑" w:eastAsia="仿宋_GB2312"/>
          <w:color w:val="3E3E3E"/>
          <w:sz w:val="30"/>
          <w:szCs w:val="30"/>
        </w:rPr>
        <w:t xml:space="preserve">  监察处作出处理决定，应当制作投诉处理决定书，并加盖公章。投诉处理决定书应当包括下列内容：</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（一）投诉人和被投诉人的姓名或者名称、通讯地址等；</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（二）处理决定查明的事实和相关依据，具体处理决定和法律依据；</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（三）告知相关当事人申请行政复议的权利、行政复议机关和行政复议申请期限，以及提起行政诉讼的权利和起诉期限；</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（四）作出处理决定的日期。</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第四十一条</w:t>
      </w:r>
      <w:r>
        <w:rPr>
          <w:rFonts w:hint="eastAsia" w:ascii="仿宋_GB2312" w:hAnsi="微软雅黑" w:eastAsia="仿宋_GB2312"/>
          <w:color w:val="3E3E3E"/>
          <w:sz w:val="30"/>
          <w:szCs w:val="30"/>
        </w:rPr>
        <w:t xml:space="preserve">  监察处应当将投诉处理决定书送达投诉人和与投诉事项有关的当事人，并及时将投诉处理结果在校园网公告。</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第四十二条</w:t>
      </w:r>
      <w:r>
        <w:rPr>
          <w:rFonts w:hint="eastAsia" w:ascii="仿宋_GB2312" w:hAnsi="微软雅黑" w:eastAsia="仿宋_GB2312"/>
          <w:color w:val="3E3E3E"/>
          <w:sz w:val="30"/>
          <w:szCs w:val="30"/>
        </w:rPr>
        <w:t xml:space="preserve">  监察处应当建立投诉处理档案管理制度。</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2"/>
        <w:shd w:val="clear" w:color="auto" w:fill="FFFFFF"/>
        <w:adjustRightInd w:val="0"/>
        <w:snapToGrid w:val="0"/>
        <w:spacing w:before="0" w:beforeAutospacing="0" w:after="0" w:afterAutospacing="0" w:line="560" w:lineRule="exact"/>
        <w:jc w:val="center"/>
        <w:rPr>
          <w:rStyle w:val="29"/>
          <w:rFonts w:ascii="仿宋_GB2312" w:hAnsi="微软雅黑" w:eastAsia="仿宋_GB2312"/>
          <w:color w:val="3E3E3E"/>
          <w:sz w:val="30"/>
          <w:szCs w:val="30"/>
        </w:rPr>
      </w:pPr>
    </w:p>
    <w:p>
      <w:pPr>
        <w:pStyle w:val="22"/>
        <w:shd w:val="clear" w:color="auto" w:fill="FFFFFF"/>
        <w:adjustRightInd w:val="0"/>
        <w:snapToGrid w:val="0"/>
        <w:spacing w:before="0" w:beforeAutospacing="0" w:after="0" w:afterAutospacing="0" w:line="560" w:lineRule="exact"/>
        <w:jc w:val="center"/>
        <w:rPr>
          <w:rFonts w:ascii="黑体" w:hAnsi="黑体" w:eastAsia="黑体"/>
          <w:color w:val="3E3E3E"/>
          <w:sz w:val="30"/>
          <w:szCs w:val="30"/>
        </w:rPr>
      </w:pPr>
      <w:r>
        <w:rPr>
          <w:rStyle w:val="29"/>
          <w:rFonts w:hint="eastAsia" w:ascii="黑体" w:hAnsi="黑体" w:eastAsia="黑体"/>
          <w:color w:val="3E3E3E"/>
          <w:sz w:val="30"/>
          <w:szCs w:val="30"/>
        </w:rPr>
        <w:t xml:space="preserve">第六章 </w:t>
      </w:r>
      <w:r>
        <w:rPr>
          <w:rStyle w:val="29"/>
          <w:rFonts w:hint="eastAsia" w:ascii="微软雅黑" w:hAnsi="微软雅黑" w:eastAsia="黑体"/>
          <w:color w:val="3E3E3E"/>
          <w:sz w:val="30"/>
          <w:szCs w:val="30"/>
        </w:rPr>
        <w:t> </w:t>
      </w:r>
      <w:r>
        <w:rPr>
          <w:rStyle w:val="29"/>
          <w:rFonts w:hint="eastAsia" w:ascii="黑体" w:hAnsi="黑体" w:eastAsia="黑体"/>
          <w:color w:val="3E3E3E"/>
          <w:sz w:val="30"/>
          <w:szCs w:val="30"/>
        </w:rPr>
        <w:t>法律责任</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color w:val="3E3E3E"/>
          <w:sz w:val="30"/>
          <w:szCs w:val="30"/>
        </w:rPr>
      </w:pP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第四十三条</w:t>
      </w:r>
      <w:r>
        <w:rPr>
          <w:rFonts w:hint="eastAsia" w:ascii="仿宋_GB2312" w:hAnsi="微软雅黑" w:eastAsia="仿宋_GB2312"/>
          <w:color w:val="3E3E3E"/>
          <w:sz w:val="30"/>
          <w:szCs w:val="30"/>
        </w:rPr>
        <w:t xml:space="preserve">  国资处、采购代理机构有下列情形之一的，由监察处责令限期改正；情节严重的，给予警告，对直接负责的主管人员和其他直接责任人员依法依规追究相应责任：</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（一）拒收质疑供应商在质疑期内发出的质疑函；</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（二）对质疑不予答复或者答复与事实明显不符，并不能作出合理说明；</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（三）拒绝配合监察处处理投诉事宜。</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第四十四条</w:t>
      </w:r>
      <w:r>
        <w:rPr>
          <w:rFonts w:hint="eastAsia" w:ascii="仿宋_GB2312" w:hAnsi="微软雅黑" w:eastAsia="仿宋_GB2312"/>
          <w:color w:val="3E3E3E"/>
          <w:sz w:val="30"/>
          <w:szCs w:val="30"/>
        </w:rPr>
        <w:t xml:space="preserve">  投诉人在学校采购活动中2年内三次以上投诉查无实据的，列入不良行为记录名单。</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投诉人有下列行为之一的，属于虚假、恶意投诉，由国资处、监察处列入不良行为记录名单，禁止其1至3年内参加学校采购活动：</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（一）捏造事实;</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（二）提供虚假材料;</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（三）以非法手段取得证明材料。证据来源的合法性存在明显疑问，投诉人无法证明其取得方式合法的，视为以非法手段取得证明材料。</w:t>
      </w:r>
    </w:p>
    <w:p>
      <w:pPr>
        <w:spacing w:line="560" w:lineRule="exact"/>
        <w:ind w:firstLine="602" w:firstLineChars="200"/>
        <w:rPr>
          <w:rFonts w:ascii="仿宋_GB2312" w:hAnsi="宋体" w:eastAsia="仿宋_GB2312" w:cs="宋体"/>
          <w:color w:val="333333"/>
          <w:sz w:val="30"/>
          <w:szCs w:val="30"/>
        </w:rPr>
      </w:pPr>
      <w:r>
        <w:rPr>
          <w:rStyle w:val="29"/>
          <w:rFonts w:hint="eastAsia" w:ascii="仿宋_GB2312" w:hAnsi="微软雅黑" w:eastAsia="仿宋_GB2312"/>
          <w:color w:val="3E3E3E"/>
          <w:sz w:val="30"/>
          <w:szCs w:val="30"/>
        </w:rPr>
        <w:t xml:space="preserve">第四十五条  </w:t>
      </w:r>
      <w:r>
        <w:rPr>
          <w:rFonts w:hint="eastAsia" w:ascii="仿宋_GB2312" w:hAnsi="宋体" w:eastAsia="仿宋_GB2312" w:cs="宋体"/>
          <w:color w:val="333333"/>
          <w:sz w:val="30"/>
          <w:szCs w:val="30"/>
        </w:rPr>
        <w:t>国资处在处理质疑过程中，发现采购当事人有违法违规行为的，应在规定的权限范围内及时给予处理；无权处理的，应移交有关部门依法依规处理。</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第四十六条</w:t>
      </w:r>
      <w:r>
        <w:rPr>
          <w:rFonts w:hint="eastAsia" w:ascii="仿宋_GB2312" w:hAnsi="宋体" w:eastAsia="仿宋_GB2312" w:cs="宋体"/>
          <w:color w:val="333333"/>
          <w:sz w:val="30"/>
          <w:szCs w:val="30"/>
        </w:rPr>
        <w:t xml:space="preserve">  国资处和监察处的工作人员在处理质疑、投诉过程中违反本办法规定及存在滥用职权、玩忽职守、徇私舞弊等行为的，学校将依法依</w:t>
      </w:r>
      <w:bookmarkStart w:id="160" w:name="OLE_LINK17"/>
      <w:bookmarkStart w:id="161" w:name="OLE_LINK18"/>
      <w:bookmarkStart w:id="162" w:name="OLE_LINK16"/>
      <w:r>
        <w:rPr>
          <w:rFonts w:hint="eastAsia" w:ascii="仿宋_GB2312" w:hAnsi="宋体" w:eastAsia="仿宋_GB2312" w:cs="宋体"/>
          <w:color w:val="333333"/>
          <w:sz w:val="30"/>
          <w:szCs w:val="30"/>
        </w:rPr>
        <w:t>规</w:t>
      </w:r>
      <w:bookmarkEnd w:id="160"/>
      <w:bookmarkEnd w:id="161"/>
      <w:bookmarkEnd w:id="162"/>
      <w:r>
        <w:rPr>
          <w:rFonts w:hint="eastAsia" w:ascii="仿宋_GB2312" w:hAnsi="宋体" w:eastAsia="仿宋_GB2312" w:cs="宋体"/>
          <w:color w:val="333333"/>
          <w:sz w:val="30"/>
          <w:szCs w:val="30"/>
        </w:rPr>
        <w:t>追究其相应责任。</w:t>
      </w:r>
    </w:p>
    <w:p>
      <w:pPr>
        <w:pStyle w:val="22"/>
        <w:shd w:val="clear" w:color="auto" w:fill="FFFFFF"/>
        <w:adjustRightInd w:val="0"/>
        <w:snapToGrid w:val="0"/>
        <w:spacing w:before="0" w:beforeAutospacing="0" w:after="0" w:afterAutospacing="0" w:line="560" w:lineRule="exact"/>
        <w:ind w:firstLine="602" w:firstLineChars="200"/>
        <w:jc w:val="both"/>
        <w:rPr>
          <w:rStyle w:val="29"/>
          <w:rFonts w:ascii="仿宋_GB2312" w:hAnsi="微软雅黑" w:eastAsia="仿宋_GB2312"/>
          <w:color w:val="3E3E3E"/>
          <w:sz w:val="30"/>
          <w:szCs w:val="30"/>
        </w:rPr>
      </w:pPr>
      <w:r>
        <w:rPr>
          <w:rStyle w:val="29"/>
          <w:rFonts w:hint="eastAsia" w:ascii="仿宋_GB2312" w:hAnsi="微软雅黑" w:eastAsia="仿宋_GB2312"/>
          <w:color w:val="3E3E3E"/>
          <w:sz w:val="30"/>
          <w:szCs w:val="30"/>
        </w:rPr>
        <w:t>　</w:t>
      </w:r>
    </w:p>
    <w:p>
      <w:pPr>
        <w:pStyle w:val="22"/>
        <w:shd w:val="clear" w:color="auto" w:fill="FFFFFF"/>
        <w:adjustRightInd w:val="0"/>
        <w:snapToGrid w:val="0"/>
        <w:spacing w:before="0" w:beforeAutospacing="0" w:after="0" w:afterAutospacing="0" w:line="560" w:lineRule="exact"/>
        <w:jc w:val="center"/>
        <w:rPr>
          <w:rStyle w:val="29"/>
          <w:rFonts w:ascii="黑体" w:hAnsi="黑体" w:eastAsia="黑体"/>
          <w:color w:val="3E3E3E"/>
          <w:sz w:val="30"/>
          <w:szCs w:val="30"/>
        </w:rPr>
      </w:pPr>
      <w:r>
        <w:rPr>
          <w:rStyle w:val="29"/>
          <w:rFonts w:hint="eastAsia" w:ascii="黑体" w:hAnsi="黑体" w:eastAsia="黑体"/>
          <w:color w:val="3E3E3E"/>
          <w:sz w:val="30"/>
          <w:szCs w:val="30"/>
        </w:rPr>
        <w:t xml:space="preserve">第七章 </w:t>
      </w:r>
      <w:r>
        <w:rPr>
          <w:rStyle w:val="29"/>
          <w:rFonts w:hint="eastAsia" w:ascii="微软雅黑" w:hAnsi="微软雅黑" w:eastAsia="黑体"/>
          <w:color w:val="3E3E3E"/>
          <w:sz w:val="30"/>
          <w:szCs w:val="30"/>
        </w:rPr>
        <w:t> </w:t>
      </w:r>
      <w:r>
        <w:rPr>
          <w:rStyle w:val="29"/>
          <w:rFonts w:hint="eastAsia" w:ascii="黑体" w:hAnsi="黑体" w:eastAsia="黑体"/>
          <w:color w:val="3E3E3E"/>
          <w:sz w:val="30"/>
          <w:szCs w:val="30"/>
        </w:rPr>
        <w:t>附则</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color w:val="3E3E3E"/>
          <w:sz w:val="30"/>
          <w:szCs w:val="30"/>
        </w:rPr>
      </w:pP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第四十七条</w:t>
      </w:r>
      <w:r>
        <w:rPr>
          <w:rFonts w:hint="eastAsia" w:ascii="仿宋_GB2312" w:hAnsi="微软雅黑" w:eastAsia="仿宋_GB2312"/>
          <w:color w:val="3E3E3E"/>
          <w:sz w:val="30"/>
          <w:szCs w:val="30"/>
        </w:rPr>
        <w:t xml:space="preserve">  质疑函和投诉书应当使用中文。质疑和投诉文本采用我校制定的范本。</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第四十八条</w:t>
      </w:r>
      <w:r>
        <w:rPr>
          <w:rFonts w:hint="eastAsia" w:ascii="仿宋_GB2312" w:hAnsi="微软雅黑" w:eastAsia="仿宋_GB2312"/>
          <w:color w:val="3E3E3E"/>
          <w:sz w:val="30"/>
          <w:szCs w:val="30"/>
        </w:rPr>
        <w:t xml:space="preserve">  本办法由学校国有资产管理处负责解释。</w:t>
      </w:r>
    </w:p>
    <w:p>
      <w:pPr>
        <w:pStyle w:val="22"/>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 xml:space="preserve">第四十九条  </w:t>
      </w:r>
      <w:r>
        <w:rPr>
          <w:rFonts w:hint="eastAsia" w:ascii="仿宋_GB2312" w:hAnsi="微软雅黑" w:eastAsia="仿宋_GB2312"/>
          <w:color w:val="3E3E3E"/>
          <w:sz w:val="30"/>
          <w:szCs w:val="30"/>
        </w:rPr>
        <w:t>本办法自发布之日起施行。</w:t>
      </w: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2"/>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附件2：</w:t>
      </w:r>
    </w:p>
    <w:p>
      <w:pPr>
        <w:jc w:val="center"/>
        <w:rPr>
          <w:rFonts w:ascii="仿宋" w:hAnsi="仿宋" w:eastAsia="仿宋" w:cs="仿宋"/>
          <w:b/>
          <w:bCs/>
          <w:sz w:val="32"/>
          <w:szCs w:val="32"/>
        </w:rPr>
      </w:pPr>
      <w:r>
        <w:rPr>
          <w:rFonts w:hint="eastAsia" w:ascii="仿宋" w:hAnsi="仿宋" w:eastAsia="仿宋" w:cs="仿宋"/>
          <w:b/>
          <w:bCs/>
          <w:sz w:val="32"/>
          <w:szCs w:val="32"/>
        </w:rPr>
        <w:t>质疑函范本</w:t>
      </w:r>
    </w:p>
    <w:p>
      <w:pPr>
        <w:adjustRightInd w:val="0"/>
        <w:snapToGrid w:val="0"/>
        <w:spacing w:beforeLines="100" w:line="240" w:lineRule="atLeast"/>
        <w:rPr>
          <w:rFonts w:ascii="黑体" w:hAnsi="黑体" w:eastAsia="黑体" w:cs="仿宋"/>
          <w:bCs/>
          <w:sz w:val="28"/>
          <w:szCs w:val="28"/>
        </w:rPr>
      </w:pPr>
      <w:r>
        <w:rPr>
          <w:rFonts w:hint="eastAsia" w:ascii="黑体" w:hAnsi="黑体" w:eastAsia="黑体" w:cs="仿宋"/>
          <w:bCs/>
          <w:sz w:val="28"/>
          <w:szCs w:val="28"/>
        </w:rPr>
        <w:t>一、质疑供应商基本信息</w:t>
      </w:r>
    </w:p>
    <w:p>
      <w:pPr>
        <w:adjustRightInd w:val="0"/>
        <w:snapToGrid w:val="0"/>
        <w:spacing w:line="240" w:lineRule="atLeast"/>
        <w:rPr>
          <w:rFonts w:ascii="仿宋" w:hAnsi="仿宋" w:eastAsia="仿宋" w:cs="仿宋"/>
          <w:sz w:val="28"/>
          <w:szCs w:val="28"/>
          <w:u w:val="dotted"/>
        </w:rPr>
      </w:pPr>
      <w:r>
        <w:rPr>
          <w:rFonts w:hint="eastAsia" w:ascii="仿宋" w:hAnsi="仿宋" w:eastAsia="仿宋" w:cs="仿宋"/>
          <w:sz w:val="28"/>
          <w:szCs w:val="28"/>
        </w:rPr>
        <w:t>质疑供应商：</w:t>
      </w:r>
      <w:r>
        <w:rPr>
          <w:rFonts w:hint="eastAsia" w:ascii="仿宋" w:hAnsi="仿宋" w:eastAsia="仿宋" w:cs="仿宋"/>
          <w:sz w:val="28"/>
          <w:szCs w:val="28"/>
          <w:u w:val="dotted"/>
        </w:rPr>
        <w:t xml:space="preserve">                                        </w:t>
      </w:r>
    </w:p>
    <w:p>
      <w:pPr>
        <w:adjustRightInd w:val="0"/>
        <w:snapToGrid w:val="0"/>
        <w:spacing w:line="240" w:lineRule="atLeast"/>
        <w:rPr>
          <w:rFonts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dotted"/>
        </w:rPr>
        <w:t xml:space="preserve">                          </w:t>
      </w:r>
      <w:r>
        <w:rPr>
          <w:rFonts w:hint="eastAsia" w:ascii="仿宋" w:hAnsi="仿宋" w:eastAsia="仿宋" w:cs="仿宋"/>
          <w:sz w:val="28"/>
          <w:szCs w:val="28"/>
        </w:rPr>
        <w:t>邮编：</w:t>
      </w:r>
      <w:r>
        <w:rPr>
          <w:rFonts w:hint="eastAsia" w:ascii="仿宋" w:hAnsi="仿宋" w:eastAsia="仿宋" w:cs="仿宋"/>
          <w:sz w:val="28"/>
          <w:szCs w:val="28"/>
          <w:u w:val="dotted"/>
        </w:rPr>
        <w:t xml:space="preserve">                                                   </w:t>
      </w:r>
    </w:p>
    <w:p>
      <w:pPr>
        <w:adjustRightInd w:val="0"/>
        <w:snapToGrid w:val="0"/>
        <w:spacing w:line="240" w:lineRule="atLeast"/>
        <w:rPr>
          <w:rFonts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u w:val="dotted"/>
        </w:rPr>
        <w:t xml:space="preserve">                      </w:t>
      </w:r>
      <w:r>
        <w:rPr>
          <w:rFonts w:hint="eastAsia" w:ascii="仿宋" w:hAnsi="仿宋" w:eastAsia="仿宋" w:cs="仿宋"/>
          <w:sz w:val="28"/>
          <w:szCs w:val="28"/>
        </w:rPr>
        <w:t>联系电话：</w:t>
      </w:r>
      <w:r>
        <w:rPr>
          <w:rFonts w:hint="eastAsia" w:ascii="仿宋" w:hAnsi="仿宋" w:eastAsia="仿宋" w:cs="仿宋"/>
          <w:sz w:val="28"/>
          <w:szCs w:val="28"/>
          <w:u w:val="dotted"/>
        </w:rPr>
        <w:t xml:space="preserve">                              </w:t>
      </w:r>
    </w:p>
    <w:p>
      <w:pPr>
        <w:adjustRightInd w:val="0"/>
        <w:snapToGrid w:val="0"/>
        <w:spacing w:line="240" w:lineRule="atLeast"/>
        <w:rPr>
          <w:rFonts w:ascii="仿宋" w:hAnsi="仿宋" w:eastAsia="仿宋" w:cs="仿宋"/>
          <w:sz w:val="28"/>
          <w:szCs w:val="28"/>
          <w:u w:val="dotted"/>
        </w:rPr>
      </w:pPr>
      <w:r>
        <w:rPr>
          <w:rFonts w:hint="eastAsia" w:ascii="仿宋" w:hAnsi="仿宋" w:eastAsia="仿宋" w:cs="仿宋"/>
          <w:sz w:val="28"/>
          <w:szCs w:val="28"/>
        </w:rPr>
        <w:t>授权代表：</w:t>
      </w:r>
      <w:r>
        <w:rPr>
          <w:rFonts w:hint="eastAsia" w:ascii="仿宋" w:hAnsi="仿宋" w:eastAsia="仿宋" w:cs="仿宋"/>
          <w:sz w:val="28"/>
          <w:szCs w:val="28"/>
          <w:u w:val="dotted"/>
        </w:rPr>
        <w:t xml:space="preserve">                                          </w:t>
      </w:r>
    </w:p>
    <w:p>
      <w:pPr>
        <w:adjustRightInd w:val="0"/>
        <w:snapToGrid w:val="0"/>
        <w:spacing w:line="240" w:lineRule="atLeast"/>
        <w:rPr>
          <w:rFonts w:ascii="仿宋" w:hAnsi="仿宋" w:eastAsia="仿宋" w:cs="仿宋"/>
          <w:sz w:val="28"/>
          <w:szCs w:val="28"/>
        </w:rPr>
      </w:pPr>
      <w:r>
        <w:rPr>
          <w:rFonts w:hint="eastAsia" w:ascii="仿宋" w:hAnsi="仿宋" w:eastAsia="仿宋" w:cs="仿宋"/>
          <w:sz w:val="28"/>
          <w:szCs w:val="28"/>
        </w:rPr>
        <w:t>联系电话：</w:t>
      </w:r>
      <w:r>
        <w:rPr>
          <w:rFonts w:hint="eastAsia" w:ascii="仿宋" w:hAnsi="仿宋" w:eastAsia="仿宋" w:cs="仿宋"/>
          <w:sz w:val="28"/>
          <w:szCs w:val="28"/>
          <w:u w:val="dotted"/>
        </w:rPr>
        <w:t xml:space="preserve">                                           </w:t>
      </w:r>
      <w:r>
        <w:rPr>
          <w:rFonts w:ascii="仿宋" w:hAnsi="仿宋" w:eastAsia="仿宋" w:cs="仿宋"/>
          <w:sz w:val="28"/>
          <w:szCs w:val="28"/>
        </w:rPr>
        <w:t xml:space="preserve"> </w:t>
      </w:r>
    </w:p>
    <w:p>
      <w:pPr>
        <w:adjustRightInd w:val="0"/>
        <w:snapToGrid w:val="0"/>
        <w:spacing w:line="240" w:lineRule="atLeast"/>
        <w:rPr>
          <w:rFonts w:ascii="仿宋" w:hAnsi="仿宋" w:eastAsia="仿宋" w:cs="仿宋"/>
          <w:sz w:val="28"/>
          <w:szCs w:val="28"/>
        </w:rPr>
      </w:pPr>
      <w:r>
        <w:rPr>
          <w:rFonts w:hint="eastAsia" w:ascii="仿宋" w:hAnsi="仿宋" w:eastAsia="仿宋" w:cs="仿宋"/>
          <w:sz w:val="28"/>
          <w:szCs w:val="28"/>
        </w:rPr>
        <w:t>地址：</w:t>
      </w:r>
      <w:r>
        <w:rPr>
          <w:rFonts w:ascii="仿宋" w:hAnsi="仿宋" w:eastAsia="仿宋" w:cs="仿宋"/>
          <w:sz w:val="28"/>
          <w:szCs w:val="28"/>
        </w:rPr>
        <w:t xml:space="preserve"> </w:t>
      </w:r>
      <w:r>
        <w:rPr>
          <w:rFonts w:hint="eastAsia" w:ascii="仿宋" w:hAnsi="仿宋" w:eastAsia="仿宋" w:cs="仿宋"/>
          <w:sz w:val="28"/>
          <w:szCs w:val="28"/>
          <w:u w:val="dotted"/>
        </w:rPr>
        <w:t xml:space="preserve">                        </w:t>
      </w:r>
      <w:r>
        <w:rPr>
          <w:rFonts w:hint="eastAsia" w:ascii="仿宋" w:hAnsi="仿宋" w:eastAsia="仿宋" w:cs="仿宋"/>
          <w:sz w:val="28"/>
          <w:szCs w:val="28"/>
        </w:rPr>
        <w:t>邮编：</w:t>
      </w:r>
      <w:r>
        <w:rPr>
          <w:rFonts w:hint="eastAsia" w:ascii="仿宋" w:hAnsi="仿宋" w:eastAsia="仿宋" w:cs="仿宋"/>
          <w:sz w:val="28"/>
          <w:szCs w:val="28"/>
          <w:u w:val="dotted"/>
        </w:rPr>
        <w:t xml:space="preserve">                                                </w:t>
      </w:r>
    </w:p>
    <w:p>
      <w:pPr>
        <w:adjustRightInd w:val="0"/>
        <w:snapToGrid w:val="0"/>
        <w:spacing w:line="240" w:lineRule="atLeast"/>
        <w:rPr>
          <w:rFonts w:ascii="黑体" w:hAnsi="黑体" w:eastAsia="黑体" w:cs="仿宋"/>
          <w:bCs/>
          <w:sz w:val="28"/>
          <w:szCs w:val="28"/>
        </w:rPr>
      </w:pPr>
      <w:r>
        <w:rPr>
          <w:rFonts w:hint="eastAsia" w:ascii="黑体" w:hAnsi="黑体" w:eastAsia="黑体" w:cs="仿宋"/>
          <w:bCs/>
          <w:sz w:val="28"/>
          <w:szCs w:val="28"/>
        </w:rPr>
        <w:t>二、质疑项目基本情况</w:t>
      </w:r>
    </w:p>
    <w:p>
      <w:pPr>
        <w:adjustRightInd w:val="0"/>
        <w:snapToGrid w:val="0"/>
        <w:spacing w:line="240" w:lineRule="atLeast"/>
        <w:rPr>
          <w:rFonts w:ascii="仿宋" w:hAnsi="仿宋" w:eastAsia="仿宋" w:cs="仿宋"/>
          <w:sz w:val="28"/>
          <w:szCs w:val="28"/>
        </w:rPr>
      </w:pPr>
      <w:r>
        <w:rPr>
          <w:rFonts w:hint="eastAsia" w:ascii="仿宋" w:hAnsi="仿宋" w:eastAsia="仿宋" w:cs="仿宋"/>
          <w:sz w:val="28"/>
          <w:szCs w:val="28"/>
        </w:rPr>
        <w:t>质疑项目的名称：</w:t>
      </w:r>
      <w:r>
        <w:rPr>
          <w:rFonts w:hint="eastAsia" w:ascii="仿宋" w:hAnsi="仿宋" w:eastAsia="仿宋" w:cs="仿宋"/>
          <w:sz w:val="28"/>
          <w:szCs w:val="28"/>
          <w:u w:val="dotted"/>
        </w:rPr>
        <w:t xml:space="preserve">                                      </w:t>
      </w:r>
    </w:p>
    <w:p>
      <w:pPr>
        <w:adjustRightInd w:val="0"/>
        <w:snapToGrid w:val="0"/>
        <w:spacing w:line="240" w:lineRule="atLeast"/>
        <w:rPr>
          <w:rFonts w:ascii="仿宋" w:hAnsi="仿宋" w:eastAsia="仿宋" w:cs="仿宋"/>
          <w:sz w:val="28"/>
          <w:szCs w:val="28"/>
        </w:rPr>
      </w:pPr>
      <w:r>
        <w:rPr>
          <w:rFonts w:hint="eastAsia" w:ascii="仿宋" w:hAnsi="仿宋" w:eastAsia="仿宋" w:cs="仿宋"/>
          <w:sz w:val="28"/>
          <w:szCs w:val="28"/>
        </w:rPr>
        <w:t>质疑项目的编号：</w:t>
      </w:r>
      <w:r>
        <w:rPr>
          <w:rFonts w:hint="eastAsia" w:ascii="仿宋" w:hAnsi="仿宋" w:eastAsia="仿宋" w:cs="仿宋"/>
          <w:sz w:val="28"/>
          <w:szCs w:val="28"/>
          <w:u w:val="dotted"/>
        </w:rPr>
        <w:t xml:space="preserve">               </w:t>
      </w:r>
      <w:r>
        <w:rPr>
          <w:rFonts w:hint="eastAsia" w:ascii="仿宋" w:hAnsi="仿宋" w:eastAsia="仿宋" w:cs="仿宋"/>
          <w:sz w:val="28"/>
          <w:szCs w:val="28"/>
        </w:rPr>
        <w:t>包号：</w:t>
      </w:r>
      <w:r>
        <w:rPr>
          <w:rFonts w:hint="eastAsia" w:ascii="仿宋" w:hAnsi="仿宋" w:eastAsia="仿宋" w:cs="仿宋"/>
          <w:sz w:val="28"/>
          <w:szCs w:val="28"/>
          <w:u w:val="dotted"/>
        </w:rPr>
        <w:t xml:space="preserve">                 </w:t>
      </w:r>
    </w:p>
    <w:p>
      <w:pPr>
        <w:adjustRightInd w:val="0"/>
        <w:snapToGrid w:val="0"/>
        <w:spacing w:line="240" w:lineRule="atLeast"/>
        <w:rPr>
          <w:rFonts w:ascii="仿宋" w:hAnsi="仿宋" w:eastAsia="仿宋" w:cs="仿宋"/>
          <w:sz w:val="28"/>
          <w:szCs w:val="28"/>
          <w:u w:val="dotted"/>
        </w:rPr>
      </w:pPr>
      <w:r>
        <w:rPr>
          <w:rFonts w:hint="eastAsia" w:ascii="仿宋" w:hAnsi="仿宋" w:eastAsia="仿宋" w:cs="仿宋"/>
          <w:sz w:val="28"/>
          <w:szCs w:val="28"/>
        </w:rPr>
        <w:t>采购人名称：</w:t>
      </w:r>
      <w:r>
        <w:rPr>
          <w:rFonts w:hint="eastAsia" w:ascii="仿宋" w:hAnsi="仿宋" w:eastAsia="仿宋" w:cs="仿宋"/>
          <w:sz w:val="28"/>
          <w:szCs w:val="28"/>
          <w:u w:val="dotted"/>
        </w:rPr>
        <w:t xml:space="preserve">                                         </w:t>
      </w:r>
    </w:p>
    <w:p>
      <w:pPr>
        <w:adjustRightInd w:val="0"/>
        <w:snapToGrid w:val="0"/>
        <w:spacing w:line="240" w:lineRule="atLeast"/>
        <w:rPr>
          <w:rFonts w:ascii="仿宋" w:hAnsi="仿宋" w:eastAsia="仿宋" w:cs="仿宋"/>
          <w:sz w:val="28"/>
          <w:szCs w:val="28"/>
        </w:rPr>
      </w:pPr>
      <w:r>
        <w:rPr>
          <w:rFonts w:hint="eastAsia" w:ascii="仿宋" w:hAnsi="仿宋" w:eastAsia="仿宋" w:cs="仿宋"/>
          <w:sz w:val="28"/>
          <w:szCs w:val="28"/>
        </w:rPr>
        <w:t>采购文件获取日期：</w:t>
      </w:r>
      <w:r>
        <w:rPr>
          <w:rFonts w:hint="eastAsia" w:ascii="仿宋" w:hAnsi="仿宋" w:eastAsia="仿宋" w:cs="仿宋"/>
          <w:sz w:val="28"/>
          <w:szCs w:val="28"/>
          <w:u w:val="dotted"/>
        </w:rPr>
        <w:t xml:space="preserve">                                           </w:t>
      </w:r>
    </w:p>
    <w:p>
      <w:pPr>
        <w:adjustRightInd w:val="0"/>
        <w:snapToGrid w:val="0"/>
        <w:spacing w:line="240" w:lineRule="atLeast"/>
        <w:rPr>
          <w:rFonts w:ascii="黑体" w:hAnsi="黑体" w:eastAsia="黑体" w:cs="仿宋"/>
          <w:bCs/>
          <w:sz w:val="28"/>
          <w:szCs w:val="28"/>
        </w:rPr>
      </w:pPr>
      <w:r>
        <w:rPr>
          <w:rFonts w:hint="eastAsia" w:ascii="黑体" w:hAnsi="黑体" w:eastAsia="黑体" w:cs="仿宋"/>
          <w:bCs/>
          <w:sz w:val="28"/>
          <w:szCs w:val="28"/>
        </w:rPr>
        <w:t>三、质疑事项具体内容</w:t>
      </w:r>
    </w:p>
    <w:p>
      <w:pPr>
        <w:adjustRightInd w:val="0"/>
        <w:snapToGrid w:val="0"/>
        <w:spacing w:line="240" w:lineRule="atLeast"/>
        <w:rPr>
          <w:rFonts w:ascii="仿宋" w:hAnsi="仿宋" w:eastAsia="仿宋" w:cs="仿宋"/>
          <w:sz w:val="28"/>
          <w:szCs w:val="28"/>
          <w:u w:val="dotted"/>
        </w:rPr>
      </w:pPr>
      <w:r>
        <w:rPr>
          <w:rFonts w:hint="eastAsia" w:ascii="仿宋" w:hAnsi="仿宋" w:eastAsia="仿宋" w:cs="仿宋"/>
          <w:sz w:val="28"/>
          <w:szCs w:val="28"/>
        </w:rPr>
        <w:t>质疑事项1：</w:t>
      </w:r>
      <w:r>
        <w:rPr>
          <w:rFonts w:hint="eastAsia" w:ascii="仿宋" w:hAnsi="仿宋" w:eastAsia="仿宋" w:cs="仿宋"/>
          <w:sz w:val="28"/>
          <w:szCs w:val="28"/>
          <w:u w:val="dotted"/>
        </w:rPr>
        <w:t xml:space="preserve">                                         </w:t>
      </w:r>
    </w:p>
    <w:p>
      <w:pPr>
        <w:adjustRightInd w:val="0"/>
        <w:snapToGrid w:val="0"/>
        <w:spacing w:line="240" w:lineRule="atLeast"/>
        <w:rPr>
          <w:rFonts w:ascii="仿宋" w:hAnsi="仿宋" w:eastAsia="仿宋" w:cs="仿宋"/>
          <w:sz w:val="28"/>
          <w:szCs w:val="28"/>
          <w:u w:val="dotted"/>
        </w:rPr>
      </w:pPr>
      <w:r>
        <w:rPr>
          <w:rFonts w:hint="eastAsia" w:ascii="仿宋" w:hAnsi="仿宋" w:eastAsia="仿宋" w:cs="仿宋"/>
          <w:sz w:val="28"/>
          <w:szCs w:val="28"/>
        </w:rPr>
        <w:t>事实依据：</w:t>
      </w:r>
      <w:r>
        <w:rPr>
          <w:rFonts w:hint="eastAsia" w:ascii="仿宋" w:hAnsi="仿宋" w:eastAsia="仿宋" w:cs="仿宋"/>
          <w:sz w:val="28"/>
          <w:szCs w:val="28"/>
          <w:u w:val="dotted"/>
        </w:rPr>
        <w:t xml:space="preserve">                                          </w:t>
      </w:r>
    </w:p>
    <w:p>
      <w:pPr>
        <w:adjustRightInd w:val="0"/>
        <w:snapToGrid w:val="0"/>
        <w:spacing w:line="240" w:lineRule="atLeast"/>
        <w:rPr>
          <w:rFonts w:ascii="仿宋" w:hAnsi="仿宋" w:eastAsia="仿宋" w:cs="仿宋"/>
          <w:sz w:val="28"/>
          <w:szCs w:val="28"/>
        </w:rPr>
      </w:pPr>
      <w:r>
        <w:rPr>
          <w:rFonts w:hint="eastAsia" w:ascii="仿宋" w:hAnsi="仿宋" w:eastAsia="仿宋" w:cs="仿宋"/>
          <w:sz w:val="28"/>
          <w:szCs w:val="28"/>
          <w:u w:val="dotted"/>
        </w:rPr>
        <w:t xml:space="preserve">                                                       </w:t>
      </w:r>
    </w:p>
    <w:p>
      <w:pPr>
        <w:adjustRightInd w:val="0"/>
        <w:snapToGrid w:val="0"/>
        <w:spacing w:line="240" w:lineRule="atLeast"/>
        <w:rPr>
          <w:rFonts w:ascii="仿宋" w:hAnsi="仿宋" w:eastAsia="仿宋" w:cs="仿宋"/>
          <w:sz w:val="28"/>
          <w:szCs w:val="28"/>
          <w:u w:val="dotted"/>
        </w:rPr>
      </w:pPr>
      <w:r>
        <w:rPr>
          <w:rFonts w:hint="eastAsia" w:ascii="仿宋" w:hAnsi="仿宋" w:eastAsia="仿宋" w:cs="仿宋"/>
          <w:sz w:val="28"/>
          <w:szCs w:val="28"/>
        </w:rPr>
        <w:t>法律依据：</w:t>
      </w:r>
      <w:r>
        <w:rPr>
          <w:rFonts w:hint="eastAsia" w:ascii="仿宋" w:hAnsi="仿宋" w:eastAsia="仿宋" w:cs="仿宋"/>
          <w:sz w:val="28"/>
          <w:szCs w:val="28"/>
          <w:u w:val="dotted"/>
        </w:rPr>
        <w:t xml:space="preserve">                                          </w:t>
      </w:r>
    </w:p>
    <w:p>
      <w:pPr>
        <w:adjustRightInd w:val="0"/>
        <w:snapToGrid w:val="0"/>
        <w:spacing w:line="240" w:lineRule="atLeast"/>
        <w:rPr>
          <w:rFonts w:ascii="仿宋" w:hAnsi="仿宋" w:eastAsia="仿宋" w:cs="仿宋"/>
          <w:sz w:val="28"/>
          <w:szCs w:val="28"/>
          <w:u w:val="dotted"/>
        </w:rPr>
      </w:pPr>
      <w:r>
        <w:rPr>
          <w:rFonts w:hint="eastAsia" w:ascii="仿宋" w:hAnsi="仿宋" w:eastAsia="仿宋" w:cs="仿宋"/>
          <w:sz w:val="28"/>
          <w:szCs w:val="28"/>
          <w:u w:val="dotted"/>
        </w:rPr>
        <w:t xml:space="preserve">                                                     </w:t>
      </w:r>
    </w:p>
    <w:p>
      <w:pPr>
        <w:adjustRightInd w:val="0"/>
        <w:snapToGrid w:val="0"/>
        <w:spacing w:line="240" w:lineRule="atLeast"/>
        <w:rPr>
          <w:rFonts w:ascii="仿宋" w:hAnsi="仿宋" w:eastAsia="仿宋" w:cs="仿宋"/>
          <w:sz w:val="28"/>
          <w:szCs w:val="28"/>
          <w:u w:val="dotted"/>
        </w:rPr>
      </w:pPr>
      <w:r>
        <w:rPr>
          <w:rFonts w:hint="eastAsia" w:ascii="仿宋" w:hAnsi="仿宋" w:eastAsia="仿宋" w:cs="仿宋"/>
          <w:sz w:val="28"/>
          <w:szCs w:val="28"/>
        </w:rPr>
        <w:t>质疑事项2</w:t>
      </w:r>
    </w:p>
    <w:p>
      <w:pPr>
        <w:adjustRightInd w:val="0"/>
        <w:snapToGrid w:val="0"/>
        <w:spacing w:line="240" w:lineRule="atLeast"/>
        <w:rPr>
          <w:rFonts w:ascii="仿宋" w:hAnsi="仿宋" w:eastAsia="仿宋" w:cs="仿宋"/>
          <w:sz w:val="28"/>
          <w:szCs w:val="28"/>
        </w:rPr>
      </w:pPr>
      <w:r>
        <w:rPr>
          <w:rFonts w:hint="eastAsia" w:ascii="仿宋" w:hAnsi="仿宋" w:eastAsia="仿宋" w:cs="仿宋"/>
          <w:sz w:val="28"/>
          <w:szCs w:val="28"/>
        </w:rPr>
        <w:t>……</w:t>
      </w:r>
    </w:p>
    <w:p>
      <w:pPr>
        <w:adjustRightInd w:val="0"/>
        <w:snapToGrid w:val="0"/>
        <w:spacing w:line="240" w:lineRule="atLeast"/>
        <w:rPr>
          <w:rFonts w:ascii="黑体" w:hAnsi="黑体" w:eastAsia="黑体" w:cs="仿宋"/>
          <w:bCs/>
          <w:sz w:val="28"/>
          <w:szCs w:val="28"/>
        </w:rPr>
      </w:pPr>
      <w:r>
        <w:rPr>
          <w:rFonts w:hint="eastAsia" w:ascii="黑体" w:hAnsi="黑体" w:eastAsia="黑体" w:cs="仿宋"/>
          <w:bCs/>
          <w:sz w:val="28"/>
          <w:szCs w:val="28"/>
        </w:rPr>
        <w:t>四、与质疑事项相关的质疑请求</w:t>
      </w:r>
    </w:p>
    <w:p>
      <w:pPr>
        <w:adjustRightInd w:val="0"/>
        <w:snapToGrid w:val="0"/>
        <w:spacing w:line="240" w:lineRule="atLeast"/>
        <w:rPr>
          <w:rFonts w:ascii="仿宋" w:hAnsi="仿宋" w:eastAsia="仿宋" w:cs="仿宋"/>
          <w:sz w:val="28"/>
          <w:szCs w:val="28"/>
          <w:u w:val="dotted"/>
        </w:rPr>
      </w:pPr>
      <w:r>
        <w:rPr>
          <w:rFonts w:hint="eastAsia" w:ascii="仿宋" w:hAnsi="仿宋" w:eastAsia="仿宋" w:cs="仿宋"/>
          <w:sz w:val="28"/>
          <w:szCs w:val="28"/>
        </w:rPr>
        <w:t>请求：</w:t>
      </w:r>
      <w:r>
        <w:rPr>
          <w:rFonts w:hint="eastAsia" w:ascii="仿宋" w:hAnsi="仿宋" w:eastAsia="仿宋" w:cs="仿宋"/>
          <w:sz w:val="28"/>
          <w:szCs w:val="28"/>
          <w:u w:val="dotted"/>
        </w:rPr>
        <w:t xml:space="preserve">                                               </w:t>
      </w:r>
    </w:p>
    <w:p>
      <w:pPr>
        <w:spacing w:line="240" w:lineRule="atLeast"/>
        <w:rPr>
          <w:rFonts w:ascii="仿宋_GB2312" w:eastAsia="仿宋_GB2312"/>
          <w:sz w:val="28"/>
          <w:szCs w:val="28"/>
        </w:rPr>
      </w:pPr>
      <w:r>
        <w:rPr>
          <w:rFonts w:hint="eastAsia" w:ascii="仿宋_GB2312" w:eastAsia="仿宋_GB2312"/>
          <w:sz w:val="28"/>
          <w:szCs w:val="28"/>
        </w:rPr>
        <w:t xml:space="preserve">签字(签章)：                   公章：                      </w:t>
      </w:r>
    </w:p>
    <w:p>
      <w:pPr>
        <w:spacing w:line="240" w:lineRule="atLeast"/>
        <w:rPr>
          <w:rFonts w:ascii="仿宋_GB2312" w:eastAsia="仿宋_GB2312"/>
          <w:sz w:val="28"/>
          <w:szCs w:val="28"/>
        </w:rPr>
      </w:pPr>
      <w:r>
        <w:rPr>
          <w:rFonts w:hint="eastAsia" w:ascii="仿宋_GB2312" w:eastAsia="仿宋_GB2312"/>
          <w:sz w:val="28"/>
          <w:szCs w:val="28"/>
        </w:rPr>
        <w:t xml:space="preserve">日期：    </w:t>
      </w:r>
    </w:p>
    <w:p>
      <w:pPr>
        <w:adjustRightInd w:val="0"/>
        <w:snapToGrid w:val="0"/>
        <w:spacing w:line="360" w:lineRule="auto"/>
        <w:rPr>
          <w:rFonts w:ascii="仿宋" w:hAnsi="仿宋" w:eastAsia="仿宋" w:cs="仿宋"/>
          <w:sz w:val="28"/>
          <w:szCs w:val="28"/>
        </w:rPr>
      </w:pPr>
    </w:p>
    <w:p>
      <w:pPr>
        <w:adjustRightInd w:val="0"/>
        <w:snapToGrid w:val="0"/>
        <w:spacing w:line="360" w:lineRule="auto"/>
        <w:rPr>
          <w:rFonts w:ascii="仿宋" w:hAnsi="仿宋" w:eastAsia="仿宋" w:cs="仿宋"/>
          <w:sz w:val="28"/>
          <w:szCs w:val="28"/>
        </w:rPr>
      </w:pPr>
    </w:p>
    <w:p>
      <w:pPr>
        <w:jc w:val="center"/>
        <w:rPr>
          <w:rFonts w:ascii="仿宋" w:hAnsi="仿宋" w:eastAsia="仿宋" w:cs="仿宋"/>
          <w:b/>
          <w:bCs/>
          <w:sz w:val="28"/>
          <w:szCs w:val="28"/>
        </w:rPr>
      </w:pPr>
    </w:p>
    <w:p>
      <w:pPr>
        <w:rPr>
          <w:rFonts w:hint="eastAsia" w:ascii="黑体" w:hAnsi="黑体" w:eastAsia="黑体"/>
          <w:b/>
          <w:sz w:val="28"/>
          <w:szCs w:val="28"/>
        </w:rPr>
      </w:pPr>
    </w:p>
    <w:p>
      <w:pPr>
        <w:rPr>
          <w:rFonts w:hint="eastAsia" w:ascii="黑体" w:hAnsi="黑体" w:eastAsia="黑体"/>
          <w:b/>
          <w:sz w:val="28"/>
          <w:szCs w:val="28"/>
        </w:rPr>
      </w:pPr>
    </w:p>
    <w:p>
      <w:pPr>
        <w:rPr>
          <w:rFonts w:ascii="黑体" w:hAnsi="黑体" w:eastAsia="黑体"/>
          <w:b/>
          <w:sz w:val="28"/>
          <w:szCs w:val="28"/>
        </w:rPr>
      </w:pPr>
      <w:r>
        <w:rPr>
          <w:rFonts w:hint="eastAsia" w:ascii="黑体" w:hAnsi="黑体" w:eastAsia="黑体"/>
          <w:b/>
          <w:sz w:val="28"/>
          <w:szCs w:val="28"/>
        </w:rPr>
        <w:t>质疑函制作说明：</w:t>
      </w:r>
    </w:p>
    <w:p>
      <w:pPr>
        <w:widowControl/>
        <w:ind w:firstLine="560" w:firstLineChars="200"/>
        <w:jc w:val="left"/>
        <w:rPr>
          <w:rFonts w:ascii="仿宋_GB2312" w:eastAsia="仿宋_GB2312"/>
          <w:sz w:val="28"/>
          <w:szCs w:val="28"/>
        </w:rPr>
      </w:pPr>
      <w:r>
        <w:rPr>
          <w:rFonts w:hint="eastAsia" w:ascii="仿宋_GB2312" w:eastAsia="仿宋_GB2312"/>
          <w:sz w:val="28"/>
          <w:szCs w:val="28"/>
        </w:rPr>
        <w:t>1.供应商提出质疑时，应提交质疑函和必要的证明材料。</w:t>
      </w:r>
    </w:p>
    <w:p>
      <w:pPr>
        <w:widowControl/>
        <w:ind w:firstLine="560" w:firstLineChars="200"/>
        <w:jc w:val="left"/>
        <w:rPr>
          <w:rFonts w:ascii="仿宋_GB2312" w:eastAsia="仿宋_GB2312"/>
          <w:sz w:val="28"/>
          <w:szCs w:val="28"/>
        </w:rPr>
      </w:pPr>
      <w:r>
        <w:rPr>
          <w:rFonts w:hint="eastAsia" w:ascii="仿宋_GB2312" w:eastAsia="仿宋_GB2312"/>
          <w:sz w:val="28"/>
          <w:szCs w:val="28"/>
        </w:rPr>
        <w:t>2.质疑供应商若委托代理人进行质疑的，质疑函应按要求列明“授权代表”的有关内容，并在附件中提交由质疑</w:t>
      </w:r>
      <w:r>
        <w:rPr>
          <w:rFonts w:hint="eastAsia" w:ascii="仿宋_GB2312" w:hAnsi="宋体" w:eastAsia="仿宋_GB2312" w:cs="宋体"/>
          <w:kern w:val="0"/>
          <w:sz w:val="28"/>
          <w:szCs w:val="28"/>
        </w:rPr>
        <w:t>供应商签署的授权委托书。授权委托书应载明代理人的姓名或者名称、代理事项、具体权限、期限和相关事项。</w:t>
      </w:r>
    </w:p>
    <w:p>
      <w:pPr>
        <w:widowControl/>
        <w:ind w:firstLine="560" w:firstLineChars="200"/>
        <w:jc w:val="left"/>
        <w:rPr>
          <w:rFonts w:ascii="仿宋_GB2312" w:eastAsia="仿宋_GB2312"/>
          <w:sz w:val="28"/>
          <w:szCs w:val="28"/>
        </w:rPr>
      </w:pPr>
      <w:r>
        <w:rPr>
          <w:rFonts w:hint="eastAsia" w:ascii="仿宋_GB2312" w:eastAsia="仿宋_GB2312"/>
          <w:sz w:val="28"/>
          <w:szCs w:val="28"/>
        </w:rPr>
        <w:t>3.质疑供应商若对项目的某一分包进行质疑，质疑函中应列明具体分包号。</w:t>
      </w:r>
    </w:p>
    <w:p>
      <w:pPr>
        <w:widowControl/>
        <w:ind w:firstLine="560" w:firstLineChars="200"/>
        <w:jc w:val="left"/>
        <w:rPr>
          <w:rFonts w:ascii="仿宋_GB2312" w:eastAsia="仿宋_GB2312"/>
          <w:sz w:val="28"/>
          <w:szCs w:val="28"/>
        </w:rPr>
      </w:pPr>
      <w:r>
        <w:rPr>
          <w:rFonts w:hint="eastAsia" w:ascii="仿宋_GB2312" w:eastAsia="仿宋_GB2312"/>
          <w:sz w:val="28"/>
          <w:szCs w:val="28"/>
        </w:rPr>
        <w:t>4.质疑函的质疑事项应具体、明确，并有必要的事实依据和法律依据。</w:t>
      </w:r>
    </w:p>
    <w:p>
      <w:pPr>
        <w:widowControl/>
        <w:ind w:firstLine="560" w:firstLineChars="200"/>
        <w:jc w:val="left"/>
        <w:rPr>
          <w:rFonts w:ascii="仿宋_GB2312" w:eastAsia="仿宋_GB2312"/>
          <w:sz w:val="28"/>
          <w:szCs w:val="28"/>
        </w:rPr>
      </w:pPr>
      <w:r>
        <w:rPr>
          <w:rFonts w:hint="eastAsia" w:ascii="仿宋_GB2312" w:eastAsia="仿宋_GB2312"/>
          <w:sz w:val="28"/>
          <w:szCs w:val="28"/>
        </w:rPr>
        <w:t>5.质疑函的质疑请求应与质疑事项相关。</w:t>
      </w:r>
    </w:p>
    <w:p>
      <w:pPr>
        <w:widowControl/>
        <w:ind w:firstLine="560" w:firstLineChars="200"/>
        <w:jc w:val="left"/>
        <w:rPr>
          <w:rFonts w:ascii="仿宋_GB2312" w:eastAsia="仿宋_GB2312"/>
          <w:sz w:val="28"/>
          <w:szCs w:val="28"/>
        </w:rPr>
      </w:pPr>
      <w:r>
        <w:rPr>
          <w:rFonts w:hint="eastAsia" w:ascii="仿宋_GB2312" w:eastAsia="仿宋_GB2312"/>
          <w:sz w:val="28"/>
          <w:szCs w:val="28"/>
        </w:rPr>
        <w:t>6.质疑供应商为自然人的，质疑函应由本人签字；质疑供应商为法人或者其他组织的，质疑函应由法定代表人、主要负责人，或者其授权代表签字或者盖章，并加盖公章。</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附件3：</w:t>
      </w:r>
    </w:p>
    <w:p>
      <w:pPr>
        <w:jc w:val="center"/>
        <w:rPr>
          <w:rFonts w:ascii="宋体" w:hAnsi="宋体"/>
          <w:b/>
          <w:sz w:val="28"/>
          <w:szCs w:val="28"/>
        </w:rPr>
      </w:pPr>
      <w:r>
        <w:rPr>
          <w:rFonts w:hint="eastAsia" w:ascii="宋体" w:hAnsi="宋体"/>
          <w:b/>
          <w:sz w:val="28"/>
          <w:szCs w:val="28"/>
        </w:rPr>
        <w:t>投诉书范本</w:t>
      </w:r>
    </w:p>
    <w:p>
      <w:pPr>
        <w:rPr>
          <w:rFonts w:ascii="黑体" w:hAnsi="黑体" w:eastAsia="黑体"/>
          <w:sz w:val="28"/>
          <w:szCs w:val="28"/>
        </w:rPr>
      </w:pPr>
      <w:r>
        <w:rPr>
          <w:rFonts w:hint="eastAsia" w:ascii="黑体" w:hAnsi="黑体" w:eastAsia="黑体"/>
          <w:sz w:val="28"/>
          <w:szCs w:val="28"/>
        </w:rPr>
        <w:t>一、投诉相关主体基本情况</w:t>
      </w:r>
    </w:p>
    <w:p>
      <w:pPr>
        <w:rPr>
          <w:rFonts w:ascii="仿宋_GB2312" w:eastAsia="仿宋_GB2312"/>
          <w:sz w:val="28"/>
          <w:szCs w:val="28"/>
          <w:u w:val="dotted"/>
        </w:rPr>
      </w:pPr>
      <w:r>
        <w:rPr>
          <w:rFonts w:hint="eastAsia" w:ascii="仿宋_GB2312" w:eastAsia="仿宋_GB2312"/>
          <w:sz w:val="28"/>
          <w:szCs w:val="28"/>
        </w:rPr>
        <w:t>投诉人：</w:t>
      </w:r>
      <w:r>
        <w:rPr>
          <w:rFonts w:hint="eastAsia" w:ascii="仿宋_GB2312" w:eastAsia="仿宋_GB2312"/>
          <w:sz w:val="28"/>
          <w:szCs w:val="28"/>
          <w:u w:val="dotted"/>
        </w:rPr>
        <w:t xml:space="preserve">                                               </w:t>
      </w:r>
    </w:p>
    <w:p>
      <w:pPr>
        <w:rPr>
          <w:rFonts w:ascii="仿宋_GB2312" w:eastAsia="仿宋_GB2312"/>
          <w:sz w:val="28"/>
          <w:szCs w:val="28"/>
          <w:u w:val="single"/>
        </w:rPr>
      </w:pPr>
      <w:r>
        <w:rPr>
          <w:rFonts w:hint="eastAsia" w:ascii="仿宋_GB2312" w:eastAsia="仿宋_GB2312"/>
          <w:sz w:val="28"/>
          <w:szCs w:val="28"/>
        </w:rPr>
        <w:t>地     址：</w:t>
      </w:r>
      <w:r>
        <w:rPr>
          <w:rFonts w:hint="eastAsia" w:ascii="仿宋_GB2312" w:eastAsia="仿宋_GB2312"/>
          <w:sz w:val="28"/>
          <w:szCs w:val="28"/>
          <w:u w:val="dotted"/>
        </w:rPr>
        <w:t xml:space="preserve">                             </w:t>
      </w:r>
      <w:r>
        <w:rPr>
          <w:rFonts w:hint="eastAsia" w:ascii="仿宋_GB2312" w:eastAsia="仿宋_GB2312"/>
          <w:sz w:val="28"/>
          <w:szCs w:val="28"/>
        </w:rPr>
        <w:t>邮编：</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tabs>
          <w:tab w:val="left" w:pos="6510"/>
        </w:tabs>
        <w:jc w:val="left"/>
        <w:rPr>
          <w:rFonts w:ascii="仿宋_GB2312" w:eastAsia="仿宋_GB2312"/>
          <w:sz w:val="28"/>
          <w:szCs w:val="28"/>
        </w:rPr>
      </w:pPr>
      <w:r>
        <w:rPr>
          <w:rFonts w:hint="eastAsia" w:ascii="仿宋_GB2312" w:eastAsia="仿宋_GB2312"/>
          <w:sz w:val="28"/>
          <w:szCs w:val="28"/>
        </w:rPr>
        <w:t>法定代表人/主要负责人：</w:t>
      </w:r>
      <w:r>
        <w:rPr>
          <w:rFonts w:hint="eastAsia" w:ascii="仿宋_GB2312" w:eastAsia="仿宋_GB2312"/>
          <w:sz w:val="28"/>
          <w:szCs w:val="28"/>
          <w:u w:val="dotted"/>
        </w:rPr>
        <w:t xml:space="preserve">                                   </w:t>
      </w:r>
      <w:r>
        <w:rPr>
          <w:rFonts w:hint="eastAsia" w:ascii="仿宋_GB2312" w:eastAsia="仿宋_GB2312"/>
          <w:sz w:val="28"/>
          <w:szCs w:val="28"/>
        </w:rPr>
        <w:t xml:space="preserve">  </w:t>
      </w:r>
    </w:p>
    <w:p>
      <w:pPr>
        <w:tabs>
          <w:tab w:val="left" w:pos="6510"/>
        </w:tabs>
        <w:rPr>
          <w:rFonts w:ascii="仿宋_GB2312" w:eastAsia="仿宋_GB2312"/>
          <w:sz w:val="28"/>
          <w:szCs w:val="28"/>
          <w:u w:val="dotted"/>
        </w:rPr>
      </w:pPr>
      <w:r>
        <w:rPr>
          <w:rFonts w:hint="eastAsia" w:ascii="仿宋_GB2312" w:eastAsia="仿宋_GB2312"/>
          <w:sz w:val="28"/>
          <w:szCs w:val="28"/>
        </w:rPr>
        <w:t>联系电话：</w:t>
      </w:r>
      <w:r>
        <w:rPr>
          <w:rFonts w:hint="eastAsia" w:ascii="仿宋_GB2312" w:eastAsia="仿宋_GB2312"/>
          <w:sz w:val="28"/>
          <w:szCs w:val="28"/>
          <w:u w:val="dotted"/>
        </w:rPr>
        <w:t xml:space="preserve">                                             </w:t>
      </w:r>
    </w:p>
    <w:p>
      <w:pPr>
        <w:rPr>
          <w:rFonts w:ascii="仿宋_GB2312" w:eastAsia="仿宋_GB2312"/>
          <w:sz w:val="28"/>
          <w:szCs w:val="28"/>
          <w:u w:val="dotted"/>
        </w:rPr>
      </w:pPr>
      <w:r>
        <w:rPr>
          <w:rFonts w:hint="eastAsia" w:ascii="仿宋_GB2312" w:eastAsia="仿宋_GB2312"/>
          <w:sz w:val="28"/>
          <w:szCs w:val="28"/>
        </w:rPr>
        <w:t>授权代表：</w:t>
      </w:r>
      <w:r>
        <w:rPr>
          <w:rFonts w:hint="eastAsia" w:ascii="仿宋_GB2312" w:eastAsia="仿宋_GB2312"/>
          <w:sz w:val="28"/>
          <w:szCs w:val="28"/>
          <w:u w:val="dotted"/>
        </w:rPr>
        <w:t xml:space="preserve">             </w:t>
      </w:r>
      <w:r>
        <w:rPr>
          <w:rFonts w:hint="eastAsia" w:ascii="仿宋_GB2312" w:eastAsia="仿宋_GB2312"/>
          <w:sz w:val="28"/>
          <w:szCs w:val="28"/>
        </w:rPr>
        <w:t>联系电话</w:t>
      </w:r>
      <w:r>
        <w:rPr>
          <w:rFonts w:hint="eastAsia" w:ascii="仿宋_GB2312" w:eastAsia="仿宋_GB2312"/>
          <w:sz w:val="28"/>
          <w:szCs w:val="28"/>
          <w:u w:val="dotted"/>
        </w:rPr>
        <w:t xml:space="preserve">：                  </w:t>
      </w:r>
    </w:p>
    <w:p>
      <w:pPr>
        <w:rPr>
          <w:rFonts w:ascii="仿宋_GB2312" w:eastAsia="仿宋_GB2312"/>
          <w:sz w:val="28"/>
          <w:szCs w:val="28"/>
          <w:u w:val="dotted"/>
        </w:rPr>
      </w:pPr>
      <w:r>
        <w:rPr>
          <w:rFonts w:hint="eastAsia" w:ascii="仿宋_GB2312" w:eastAsia="仿宋_GB2312"/>
          <w:sz w:val="28"/>
          <w:szCs w:val="28"/>
        </w:rPr>
        <w:t>地     址：</w:t>
      </w:r>
      <w:r>
        <w:rPr>
          <w:rFonts w:hint="eastAsia" w:ascii="仿宋_GB2312" w:eastAsia="仿宋_GB2312"/>
          <w:sz w:val="28"/>
          <w:szCs w:val="28"/>
          <w:u w:val="dotted"/>
        </w:rPr>
        <w:t xml:space="preserve">                             </w:t>
      </w:r>
      <w:r>
        <w:rPr>
          <w:rFonts w:hint="eastAsia" w:ascii="仿宋_GB2312" w:eastAsia="仿宋_GB2312"/>
          <w:sz w:val="28"/>
          <w:szCs w:val="28"/>
        </w:rPr>
        <w:t>邮编：</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r>
        <w:rPr>
          <w:rFonts w:hint="eastAsia" w:ascii="仿宋_GB2312" w:eastAsia="仿宋_GB2312"/>
          <w:sz w:val="28"/>
          <w:szCs w:val="28"/>
          <w:u w:val="dotted"/>
        </w:rPr>
        <w:t xml:space="preserve">                   </w:t>
      </w:r>
    </w:p>
    <w:p>
      <w:pPr>
        <w:rPr>
          <w:rFonts w:ascii="仿宋_GB2312" w:eastAsia="仿宋_GB2312"/>
          <w:sz w:val="28"/>
          <w:szCs w:val="28"/>
          <w:u w:val="single"/>
        </w:rPr>
      </w:pPr>
      <w:r>
        <w:rPr>
          <w:rFonts w:hint="eastAsia" w:ascii="仿宋_GB2312" w:eastAsia="仿宋_GB2312"/>
          <w:sz w:val="28"/>
          <w:szCs w:val="28"/>
        </w:rPr>
        <w:t>被投诉人1：</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ascii="仿宋_GB2312" w:eastAsia="仿宋_GB2312"/>
          <w:sz w:val="28"/>
          <w:szCs w:val="28"/>
          <w:u w:val="single"/>
        </w:rPr>
      </w:pPr>
      <w:r>
        <w:rPr>
          <w:rFonts w:hint="eastAsia" w:ascii="仿宋_GB2312" w:eastAsia="仿宋_GB2312"/>
          <w:sz w:val="28"/>
          <w:szCs w:val="28"/>
        </w:rPr>
        <w:t>地     址：</w:t>
      </w:r>
      <w:r>
        <w:rPr>
          <w:rFonts w:hint="eastAsia" w:ascii="仿宋_GB2312" w:eastAsia="仿宋_GB2312"/>
          <w:sz w:val="28"/>
          <w:szCs w:val="28"/>
          <w:u w:val="dotted"/>
        </w:rPr>
        <w:t xml:space="preserve">                             </w:t>
      </w:r>
      <w:r>
        <w:rPr>
          <w:rFonts w:hint="eastAsia" w:ascii="仿宋_GB2312" w:eastAsia="仿宋_GB2312"/>
          <w:sz w:val="28"/>
          <w:szCs w:val="28"/>
        </w:rPr>
        <w:t>邮编：</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dotted"/>
        </w:rPr>
        <w:t xml:space="preserve">               </w:t>
      </w:r>
      <w:r>
        <w:rPr>
          <w:rFonts w:hint="eastAsia" w:ascii="仿宋_GB2312" w:eastAsia="仿宋_GB2312"/>
          <w:sz w:val="28"/>
          <w:szCs w:val="28"/>
        </w:rPr>
        <w:t>联系电话：</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ascii="仿宋_GB2312" w:eastAsia="仿宋_GB2312"/>
          <w:sz w:val="28"/>
          <w:szCs w:val="28"/>
        </w:rPr>
      </w:pPr>
      <w:r>
        <w:rPr>
          <w:rFonts w:hint="eastAsia" w:ascii="仿宋_GB2312" w:eastAsia="仿宋_GB2312"/>
          <w:sz w:val="28"/>
          <w:szCs w:val="28"/>
        </w:rPr>
        <w:t>被投诉人2</w:t>
      </w:r>
    </w:p>
    <w:p>
      <w:pPr>
        <w:rPr>
          <w:rFonts w:ascii="仿宋_GB2312" w:eastAsia="仿宋_GB2312"/>
          <w:sz w:val="28"/>
          <w:szCs w:val="28"/>
          <w:u w:val="dotted"/>
        </w:rPr>
      </w:pPr>
      <w:r>
        <w:rPr>
          <w:rFonts w:hint="eastAsia" w:ascii="仿宋_GB2312" w:eastAsia="仿宋_GB2312"/>
          <w:sz w:val="28"/>
          <w:szCs w:val="28"/>
        </w:rPr>
        <w:t>……</w:t>
      </w:r>
    </w:p>
    <w:p>
      <w:pPr>
        <w:rPr>
          <w:rFonts w:ascii="仿宋_GB2312" w:eastAsia="仿宋_GB2312"/>
          <w:sz w:val="28"/>
          <w:szCs w:val="28"/>
          <w:u w:val="single"/>
        </w:rPr>
      </w:pPr>
      <w:r>
        <w:rPr>
          <w:rFonts w:hint="eastAsia" w:ascii="仿宋_GB2312" w:eastAsia="仿宋_GB2312"/>
          <w:sz w:val="28"/>
          <w:szCs w:val="28"/>
        </w:rPr>
        <w:t>相关供应商：</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ascii="仿宋_GB2312" w:eastAsia="仿宋_GB2312"/>
          <w:sz w:val="28"/>
          <w:szCs w:val="28"/>
          <w:u w:val="single"/>
        </w:rPr>
      </w:pPr>
      <w:r>
        <w:rPr>
          <w:rFonts w:hint="eastAsia" w:ascii="仿宋_GB2312" w:eastAsia="仿宋_GB2312"/>
          <w:sz w:val="28"/>
          <w:szCs w:val="28"/>
        </w:rPr>
        <w:t>地     址：</w:t>
      </w:r>
      <w:r>
        <w:rPr>
          <w:rFonts w:hint="eastAsia" w:ascii="仿宋_GB2312" w:eastAsia="仿宋_GB2312"/>
          <w:sz w:val="28"/>
          <w:szCs w:val="28"/>
          <w:u w:val="dotted"/>
        </w:rPr>
        <w:t xml:space="preserve">                             </w:t>
      </w:r>
      <w:r>
        <w:rPr>
          <w:rFonts w:hint="eastAsia" w:ascii="仿宋_GB2312" w:eastAsia="仿宋_GB2312"/>
          <w:sz w:val="28"/>
          <w:szCs w:val="28"/>
        </w:rPr>
        <w:t>邮编：</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dotted"/>
        </w:rPr>
        <w:t xml:space="preserve">               </w:t>
      </w:r>
      <w:r>
        <w:rPr>
          <w:rFonts w:hint="eastAsia" w:ascii="仿宋_GB2312" w:eastAsia="仿宋_GB2312"/>
          <w:sz w:val="28"/>
          <w:szCs w:val="28"/>
        </w:rPr>
        <w:t>联系电话：</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ascii="黑体" w:hAnsi="黑体" w:eastAsia="黑体"/>
          <w:sz w:val="28"/>
          <w:szCs w:val="28"/>
        </w:rPr>
      </w:pPr>
      <w:r>
        <w:rPr>
          <w:rFonts w:hint="eastAsia" w:ascii="黑体" w:hAnsi="黑体" w:eastAsia="黑体"/>
          <w:sz w:val="28"/>
          <w:szCs w:val="28"/>
        </w:rPr>
        <w:t>二、投诉项目基本情况</w:t>
      </w:r>
    </w:p>
    <w:p>
      <w:pPr>
        <w:rPr>
          <w:rFonts w:ascii="仿宋_GB2312" w:eastAsia="仿宋_GB2312"/>
          <w:sz w:val="28"/>
          <w:szCs w:val="28"/>
          <w:u w:val="dotted"/>
        </w:rPr>
      </w:pPr>
      <w:r>
        <w:rPr>
          <w:rFonts w:hint="eastAsia" w:ascii="仿宋_GB2312" w:eastAsia="仿宋_GB2312"/>
          <w:sz w:val="28"/>
          <w:szCs w:val="28"/>
        </w:rPr>
        <w:t>采购项目名称：</w:t>
      </w:r>
      <w:r>
        <w:rPr>
          <w:rFonts w:hint="eastAsia" w:ascii="仿宋_GB2312" w:eastAsia="仿宋_GB2312"/>
          <w:sz w:val="28"/>
          <w:szCs w:val="28"/>
          <w:u w:val="dotted"/>
        </w:rPr>
        <w:t xml:space="preserve">                                        </w:t>
      </w:r>
    </w:p>
    <w:p>
      <w:pPr>
        <w:rPr>
          <w:rFonts w:ascii="仿宋_GB2312" w:eastAsia="仿宋_GB2312"/>
          <w:sz w:val="28"/>
          <w:szCs w:val="28"/>
          <w:u w:val="single"/>
        </w:rPr>
      </w:pPr>
      <w:r>
        <w:rPr>
          <w:rFonts w:hint="eastAsia" w:ascii="仿宋_GB2312" w:eastAsia="仿宋_GB2312"/>
          <w:sz w:val="28"/>
          <w:szCs w:val="28"/>
        </w:rPr>
        <w:t>采购项目编号：</w:t>
      </w:r>
      <w:r>
        <w:rPr>
          <w:rFonts w:hint="eastAsia" w:ascii="仿宋_GB2312" w:eastAsia="仿宋_GB2312"/>
          <w:sz w:val="28"/>
          <w:szCs w:val="28"/>
          <w:u w:val="dotted"/>
        </w:rPr>
        <w:t xml:space="preserve">                 </w:t>
      </w:r>
      <w:r>
        <w:rPr>
          <w:rFonts w:hint="eastAsia" w:ascii="仿宋_GB2312" w:eastAsia="仿宋_GB2312"/>
          <w:sz w:val="28"/>
          <w:szCs w:val="28"/>
        </w:rPr>
        <w:t>包号：</w:t>
      </w:r>
      <w:r>
        <w:rPr>
          <w:rFonts w:hint="eastAsia" w:ascii="仿宋_GB2312" w:eastAsia="仿宋_GB2312"/>
          <w:sz w:val="28"/>
          <w:szCs w:val="28"/>
          <w:u w:val="dotted"/>
        </w:rPr>
        <w:t xml:space="preserve">              </w:t>
      </w:r>
    </w:p>
    <w:p>
      <w:pPr>
        <w:rPr>
          <w:rFonts w:ascii="仿宋_GB2312" w:eastAsia="仿宋_GB2312"/>
          <w:sz w:val="28"/>
          <w:szCs w:val="28"/>
        </w:rPr>
      </w:pPr>
      <w:r>
        <w:rPr>
          <w:rFonts w:hint="eastAsia" w:ascii="仿宋_GB2312" w:eastAsia="仿宋_GB2312"/>
          <w:sz w:val="28"/>
          <w:szCs w:val="28"/>
        </w:rPr>
        <w:t>采购人名称：</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pPr>
        <w:rPr>
          <w:rFonts w:ascii="仿宋_GB2312" w:eastAsia="仿宋_GB2312"/>
          <w:sz w:val="28"/>
          <w:szCs w:val="28"/>
          <w:u w:val="single"/>
        </w:rPr>
      </w:pPr>
      <w:r>
        <w:rPr>
          <w:rFonts w:hint="eastAsia" w:ascii="仿宋_GB2312" w:eastAsia="仿宋_GB2312"/>
          <w:sz w:val="28"/>
          <w:szCs w:val="28"/>
        </w:rPr>
        <w:t>代理机构名称：</w:t>
      </w:r>
      <w:r>
        <w:rPr>
          <w:rFonts w:hint="eastAsia" w:ascii="仿宋_GB2312" w:eastAsia="仿宋_GB2312"/>
          <w:sz w:val="28"/>
          <w:szCs w:val="28"/>
          <w:u w:val="dotted"/>
        </w:rPr>
        <w:t xml:space="preserve">                                         </w:t>
      </w:r>
    </w:p>
    <w:p>
      <w:pPr>
        <w:rPr>
          <w:rFonts w:ascii="仿宋_GB2312" w:eastAsia="仿宋_GB2312"/>
          <w:sz w:val="28"/>
          <w:szCs w:val="28"/>
          <w:u w:val="dotted"/>
        </w:rPr>
      </w:pPr>
      <w:r>
        <w:rPr>
          <w:rFonts w:hint="eastAsia" w:ascii="仿宋_GB2312" w:eastAsia="仿宋_GB2312"/>
          <w:sz w:val="28"/>
          <w:szCs w:val="28"/>
        </w:rPr>
        <w:t>采购文件公告:</w:t>
      </w:r>
      <w:r>
        <w:rPr>
          <w:rFonts w:hint="eastAsia" w:ascii="仿宋_GB2312" w:eastAsia="仿宋_GB2312"/>
          <w:sz w:val="28"/>
          <w:szCs w:val="28"/>
          <w:u w:val="dotted"/>
        </w:rPr>
        <w:t xml:space="preserve">是/否 </w:t>
      </w:r>
      <w:r>
        <w:rPr>
          <w:rFonts w:hint="eastAsia" w:ascii="仿宋_GB2312" w:eastAsia="仿宋_GB2312"/>
          <w:sz w:val="28"/>
          <w:szCs w:val="28"/>
        </w:rPr>
        <w:t>公告期限：</w:t>
      </w:r>
      <w:r>
        <w:rPr>
          <w:rFonts w:hint="eastAsia" w:ascii="仿宋_GB2312" w:eastAsia="仿宋_GB2312"/>
          <w:sz w:val="28"/>
          <w:szCs w:val="28"/>
          <w:u w:val="dotted"/>
        </w:rPr>
        <w:t xml:space="preserve">                                 </w:t>
      </w:r>
    </w:p>
    <w:p>
      <w:pPr>
        <w:rPr>
          <w:rFonts w:ascii="仿宋_GB2312" w:eastAsia="仿宋_GB2312"/>
          <w:sz w:val="28"/>
          <w:szCs w:val="28"/>
          <w:u w:val="single"/>
        </w:rPr>
      </w:pPr>
      <w:r>
        <w:rPr>
          <w:rFonts w:hint="eastAsia" w:ascii="仿宋_GB2312" w:eastAsia="仿宋_GB2312"/>
          <w:sz w:val="28"/>
          <w:szCs w:val="28"/>
        </w:rPr>
        <w:t>采购结果公告:</w:t>
      </w:r>
      <w:r>
        <w:rPr>
          <w:rFonts w:hint="eastAsia" w:ascii="仿宋_GB2312" w:eastAsia="仿宋_GB2312"/>
          <w:sz w:val="28"/>
          <w:szCs w:val="28"/>
          <w:u w:val="dotted"/>
        </w:rPr>
        <w:t xml:space="preserve">是/否 </w:t>
      </w:r>
      <w:r>
        <w:rPr>
          <w:rFonts w:hint="eastAsia" w:ascii="仿宋_GB2312" w:eastAsia="仿宋_GB2312"/>
          <w:sz w:val="28"/>
          <w:szCs w:val="28"/>
        </w:rPr>
        <w:t>公告期限：</w:t>
      </w:r>
      <w:r>
        <w:rPr>
          <w:rFonts w:hint="eastAsia" w:ascii="仿宋_GB2312" w:eastAsia="仿宋_GB2312"/>
          <w:sz w:val="28"/>
          <w:szCs w:val="28"/>
          <w:u w:val="dotted"/>
        </w:rPr>
        <w:t xml:space="preserve">                        </w:t>
      </w:r>
    </w:p>
    <w:p>
      <w:pPr>
        <w:rPr>
          <w:rFonts w:ascii="黑体" w:hAnsi="黑体" w:eastAsia="黑体"/>
          <w:sz w:val="28"/>
          <w:szCs w:val="28"/>
        </w:rPr>
      </w:pPr>
      <w:r>
        <w:rPr>
          <w:rFonts w:hint="eastAsia" w:ascii="黑体" w:hAnsi="黑体" w:eastAsia="黑体"/>
          <w:sz w:val="28"/>
          <w:szCs w:val="28"/>
        </w:rPr>
        <w:t>三、质疑基本情况</w:t>
      </w:r>
    </w:p>
    <w:p>
      <w:pPr>
        <w:ind w:firstLine="560" w:firstLineChars="200"/>
        <w:rPr>
          <w:rFonts w:ascii="仿宋_GB2312" w:eastAsia="仿宋_GB2312"/>
          <w:sz w:val="28"/>
          <w:szCs w:val="28"/>
          <w:u w:val="dotted"/>
        </w:rPr>
      </w:pPr>
      <w:r>
        <w:rPr>
          <w:rFonts w:hint="eastAsia" w:ascii="仿宋_GB2312" w:eastAsia="仿宋_GB2312"/>
          <w:sz w:val="28"/>
          <w:szCs w:val="28"/>
        </w:rPr>
        <w:t>投诉人于</w:t>
      </w:r>
      <w:r>
        <w:rPr>
          <w:rFonts w:hint="eastAsia" w:ascii="仿宋_GB2312" w:eastAsia="仿宋_GB2312"/>
          <w:sz w:val="28"/>
          <w:szCs w:val="28"/>
          <w:u w:val="dotted"/>
        </w:rPr>
        <w:t xml:space="preserve">   </w:t>
      </w:r>
      <w:r>
        <w:rPr>
          <w:rFonts w:hint="eastAsia" w:ascii="仿宋_GB2312" w:eastAsia="仿宋_GB2312"/>
          <w:sz w:val="28"/>
          <w:szCs w:val="28"/>
        </w:rPr>
        <w:t>年</w:t>
      </w:r>
      <w:r>
        <w:rPr>
          <w:rFonts w:hint="eastAsia" w:ascii="仿宋_GB2312" w:eastAsia="仿宋_GB2312"/>
          <w:sz w:val="28"/>
          <w:szCs w:val="28"/>
          <w:u w:val="dotted"/>
        </w:rPr>
        <w:t xml:space="preserve">   </w:t>
      </w:r>
      <w:r>
        <w:rPr>
          <w:rFonts w:hint="eastAsia" w:ascii="仿宋_GB2312" w:eastAsia="仿宋_GB2312"/>
          <w:sz w:val="28"/>
          <w:szCs w:val="28"/>
        </w:rPr>
        <w:t>月</w:t>
      </w:r>
      <w:r>
        <w:rPr>
          <w:rFonts w:hint="eastAsia" w:ascii="仿宋_GB2312" w:eastAsia="仿宋_GB2312"/>
          <w:sz w:val="28"/>
          <w:szCs w:val="28"/>
          <w:u w:val="dotted"/>
        </w:rPr>
        <w:t xml:space="preserve">  </w:t>
      </w:r>
      <w:r>
        <w:rPr>
          <w:rFonts w:hint="eastAsia" w:ascii="仿宋_GB2312" w:eastAsia="仿宋_GB2312"/>
          <w:sz w:val="28"/>
          <w:szCs w:val="28"/>
        </w:rPr>
        <w:t>日,向</w:t>
      </w:r>
      <w:r>
        <w:rPr>
          <w:rFonts w:hint="eastAsia" w:ascii="仿宋_GB2312" w:eastAsia="仿宋_GB2312"/>
          <w:sz w:val="28"/>
          <w:szCs w:val="28"/>
          <w:u w:val="dotted"/>
        </w:rPr>
        <w:t xml:space="preserve">                   </w:t>
      </w:r>
      <w:r>
        <w:rPr>
          <w:rFonts w:hint="eastAsia" w:ascii="仿宋_GB2312" w:eastAsia="仿宋_GB2312"/>
          <w:sz w:val="28"/>
          <w:szCs w:val="28"/>
        </w:rPr>
        <w:t>提出质疑，质疑事项为：</w:t>
      </w:r>
      <w:r>
        <w:rPr>
          <w:rFonts w:hint="eastAsia" w:ascii="仿宋_GB2312" w:eastAsia="仿宋_GB2312"/>
          <w:sz w:val="28"/>
          <w:szCs w:val="28"/>
          <w:u w:val="dotted"/>
        </w:rPr>
        <w:t xml:space="preserve">                                </w:t>
      </w:r>
    </w:p>
    <w:p>
      <w:pPr>
        <w:rPr>
          <w:rFonts w:ascii="仿宋_GB2312" w:eastAsia="仿宋_GB2312"/>
          <w:sz w:val="28"/>
          <w:szCs w:val="28"/>
          <w:u w:val="dotted"/>
        </w:rPr>
      </w:pPr>
      <w:r>
        <w:rPr>
          <w:rFonts w:hint="eastAsia" w:ascii="仿宋_GB2312" w:eastAsia="仿宋_GB2312"/>
          <w:sz w:val="28"/>
          <w:szCs w:val="28"/>
          <w:u w:val="dotted"/>
        </w:rPr>
        <w:t xml:space="preserve">                                                     </w:t>
      </w:r>
      <w:r>
        <w:rPr>
          <w:rFonts w:hint="eastAsia" w:ascii="仿宋_GB2312" w:eastAsia="仿宋_GB2312"/>
          <w:sz w:val="28"/>
          <w:szCs w:val="28"/>
        </w:rPr>
        <w:t xml:space="preserve">  </w:t>
      </w:r>
    </w:p>
    <w:p>
      <w:pPr>
        <w:ind w:firstLine="420" w:firstLineChars="150"/>
        <w:rPr>
          <w:rFonts w:ascii="仿宋_GB2312" w:eastAsia="仿宋_GB2312"/>
          <w:sz w:val="28"/>
          <w:szCs w:val="28"/>
        </w:rPr>
      </w:pPr>
      <w:r>
        <w:rPr>
          <w:rFonts w:hint="eastAsia" w:ascii="仿宋_GB2312" w:eastAsia="仿宋_GB2312"/>
          <w:sz w:val="28"/>
          <w:szCs w:val="28"/>
          <w:u w:val="dotted"/>
        </w:rPr>
        <w:t>采购人/代理机构</w:t>
      </w:r>
      <w:r>
        <w:rPr>
          <w:rFonts w:hint="eastAsia" w:ascii="仿宋_GB2312" w:eastAsia="仿宋_GB2312"/>
          <w:sz w:val="28"/>
          <w:szCs w:val="28"/>
        </w:rPr>
        <w:t>于</w:t>
      </w:r>
      <w:r>
        <w:rPr>
          <w:rFonts w:hint="eastAsia" w:ascii="仿宋_GB2312" w:eastAsia="仿宋_GB2312"/>
          <w:sz w:val="28"/>
          <w:szCs w:val="28"/>
          <w:u w:val="dotted"/>
        </w:rPr>
        <w:t xml:space="preserve">   </w:t>
      </w:r>
      <w:r>
        <w:rPr>
          <w:rFonts w:hint="eastAsia" w:ascii="仿宋_GB2312" w:eastAsia="仿宋_GB2312"/>
          <w:sz w:val="28"/>
          <w:szCs w:val="28"/>
        </w:rPr>
        <w:t>年</w:t>
      </w:r>
      <w:r>
        <w:rPr>
          <w:rFonts w:hint="eastAsia" w:ascii="仿宋_GB2312" w:eastAsia="仿宋_GB2312"/>
          <w:sz w:val="28"/>
          <w:szCs w:val="28"/>
          <w:u w:val="dotted"/>
        </w:rPr>
        <w:t xml:space="preserve">   </w:t>
      </w:r>
      <w:r>
        <w:rPr>
          <w:rFonts w:hint="eastAsia" w:ascii="仿宋_GB2312" w:eastAsia="仿宋_GB2312"/>
          <w:sz w:val="28"/>
          <w:szCs w:val="28"/>
        </w:rPr>
        <w:t>月</w:t>
      </w:r>
      <w:r>
        <w:rPr>
          <w:rFonts w:hint="eastAsia" w:ascii="仿宋_GB2312" w:eastAsia="仿宋_GB2312"/>
          <w:sz w:val="28"/>
          <w:szCs w:val="28"/>
          <w:u w:val="dotted"/>
        </w:rPr>
        <w:t xml:space="preserve">   </w:t>
      </w:r>
      <w:r>
        <w:rPr>
          <w:rFonts w:hint="eastAsia" w:ascii="仿宋_GB2312" w:eastAsia="仿宋_GB2312"/>
          <w:sz w:val="28"/>
          <w:szCs w:val="28"/>
        </w:rPr>
        <w:t>日,就质疑事项作出了答复/没有在法定期限内作出答复。</w:t>
      </w:r>
    </w:p>
    <w:p>
      <w:pPr>
        <w:rPr>
          <w:rFonts w:ascii="黑体" w:hAnsi="黑体" w:eastAsia="黑体"/>
          <w:sz w:val="28"/>
          <w:szCs w:val="28"/>
        </w:rPr>
      </w:pPr>
      <w:r>
        <w:rPr>
          <w:rFonts w:hint="eastAsia" w:ascii="黑体" w:hAnsi="黑体" w:eastAsia="黑体"/>
          <w:sz w:val="28"/>
          <w:szCs w:val="28"/>
        </w:rPr>
        <w:t>四、投诉事项具体内容</w:t>
      </w:r>
    </w:p>
    <w:p>
      <w:pPr>
        <w:rPr>
          <w:rFonts w:ascii="仿宋_GB2312" w:eastAsia="仿宋_GB2312"/>
          <w:sz w:val="28"/>
          <w:szCs w:val="28"/>
          <w:u w:val="single"/>
        </w:rPr>
      </w:pPr>
      <w:r>
        <w:rPr>
          <w:rFonts w:hint="eastAsia" w:ascii="仿宋_GB2312" w:eastAsia="仿宋_GB2312"/>
          <w:sz w:val="28"/>
          <w:szCs w:val="28"/>
        </w:rPr>
        <w:t>投诉事项 1：</w:t>
      </w:r>
      <w:r>
        <w:rPr>
          <w:rFonts w:hint="eastAsia" w:ascii="仿宋_GB2312" w:eastAsia="仿宋_GB2312"/>
          <w:sz w:val="28"/>
          <w:szCs w:val="28"/>
          <w:u w:val="dotted"/>
        </w:rPr>
        <w:t xml:space="preserve">                                       </w:t>
      </w:r>
    </w:p>
    <w:p>
      <w:pPr>
        <w:rPr>
          <w:rFonts w:ascii="仿宋_GB2312" w:eastAsia="仿宋_GB2312"/>
          <w:sz w:val="28"/>
          <w:szCs w:val="28"/>
        </w:rPr>
      </w:pPr>
      <w:r>
        <w:rPr>
          <w:rFonts w:hint="eastAsia" w:ascii="仿宋_GB2312" w:eastAsia="仿宋_GB2312"/>
          <w:sz w:val="28"/>
          <w:szCs w:val="28"/>
        </w:rPr>
        <w:t>事实依据：</w:t>
      </w:r>
      <w:r>
        <w:rPr>
          <w:rFonts w:hint="eastAsia" w:ascii="仿宋_GB2312" w:eastAsia="仿宋_GB2312"/>
          <w:sz w:val="28"/>
          <w:szCs w:val="28"/>
          <w:u w:val="dotted"/>
        </w:rPr>
        <w:t xml:space="preserve">                                         </w:t>
      </w:r>
    </w:p>
    <w:p>
      <w:pPr>
        <w:rPr>
          <w:rFonts w:ascii="仿宋_GB2312" w:eastAsia="仿宋_GB2312"/>
          <w:sz w:val="28"/>
          <w:szCs w:val="28"/>
          <w:u w:val="dotted"/>
        </w:rPr>
      </w:pPr>
      <w:r>
        <w:rPr>
          <w:rFonts w:hint="eastAsia" w:ascii="仿宋_GB2312" w:eastAsia="仿宋_GB2312"/>
          <w:sz w:val="28"/>
          <w:szCs w:val="28"/>
          <w:u w:val="dotted"/>
        </w:rPr>
        <w:t xml:space="preserve">                                                      </w:t>
      </w:r>
    </w:p>
    <w:p>
      <w:pPr>
        <w:rPr>
          <w:rFonts w:ascii="仿宋_GB2312" w:eastAsia="仿宋_GB2312"/>
          <w:sz w:val="28"/>
          <w:szCs w:val="28"/>
          <w:u w:val="single"/>
        </w:rPr>
      </w:pPr>
      <w:r>
        <w:rPr>
          <w:rFonts w:hint="eastAsia" w:ascii="仿宋_GB2312" w:eastAsia="仿宋_GB2312"/>
          <w:sz w:val="28"/>
          <w:szCs w:val="28"/>
        </w:rPr>
        <w:t>法律依据：</w:t>
      </w:r>
      <w:r>
        <w:rPr>
          <w:rFonts w:hint="eastAsia" w:ascii="仿宋_GB2312" w:eastAsia="仿宋_GB2312"/>
          <w:sz w:val="28"/>
          <w:szCs w:val="28"/>
          <w:u w:val="dotted"/>
        </w:rPr>
        <w:t xml:space="preserve">                                          </w:t>
      </w:r>
    </w:p>
    <w:p>
      <w:pPr>
        <w:rPr>
          <w:rFonts w:ascii="仿宋_GB2312" w:eastAsia="仿宋_GB2312"/>
          <w:sz w:val="28"/>
          <w:szCs w:val="28"/>
          <w:u w:val="dotted"/>
        </w:rPr>
      </w:pPr>
      <w:r>
        <w:rPr>
          <w:rFonts w:hint="eastAsia" w:ascii="仿宋_GB2312" w:eastAsia="仿宋_GB2312"/>
          <w:sz w:val="28"/>
          <w:szCs w:val="28"/>
          <w:u w:val="dotted"/>
        </w:rPr>
        <w:t xml:space="preserve">                                                      </w:t>
      </w:r>
    </w:p>
    <w:p>
      <w:pPr>
        <w:rPr>
          <w:rFonts w:ascii="仿宋_GB2312" w:eastAsia="仿宋_GB2312"/>
          <w:sz w:val="28"/>
          <w:szCs w:val="28"/>
        </w:rPr>
      </w:pPr>
      <w:r>
        <w:rPr>
          <w:rFonts w:hint="eastAsia" w:ascii="仿宋_GB2312" w:eastAsia="仿宋_GB2312"/>
          <w:sz w:val="28"/>
          <w:szCs w:val="28"/>
        </w:rPr>
        <w:t>投诉事项2</w:t>
      </w:r>
    </w:p>
    <w:p>
      <w:pPr>
        <w:rPr>
          <w:rFonts w:ascii="仿宋_GB2312" w:eastAsia="仿宋_GB2312"/>
          <w:sz w:val="28"/>
          <w:szCs w:val="28"/>
          <w:u w:val="dotted"/>
        </w:rPr>
      </w:pPr>
      <w:r>
        <w:rPr>
          <w:rFonts w:hint="eastAsia" w:ascii="仿宋_GB2312" w:eastAsia="仿宋_GB2312"/>
          <w:sz w:val="28"/>
          <w:szCs w:val="28"/>
        </w:rPr>
        <w:t>……</w:t>
      </w:r>
    </w:p>
    <w:p>
      <w:pPr>
        <w:rPr>
          <w:rFonts w:ascii="黑体" w:hAnsi="黑体" w:eastAsia="黑体"/>
          <w:sz w:val="28"/>
          <w:szCs w:val="28"/>
        </w:rPr>
      </w:pPr>
      <w:r>
        <w:rPr>
          <w:rFonts w:hint="eastAsia" w:ascii="黑体" w:hAnsi="黑体" w:eastAsia="黑体"/>
          <w:sz w:val="28"/>
          <w:szCs w:val="28"/>
        </w:rPr>
        <w:t>五、与投诉事项相关的投诉请求</w:t>
      </w:r>
    </w:p>
    <w:p>
      <w:pPr>
        <w:rPr>
          <w:rFonts w:ascii="仿宋_GB2312" w:eastAsia="仿宋_GB2312"/>
          <w:sz w:val="28"/>
          <w:szCs w:val="28"/>
        </w:rPr>
      </w:pPr>
      <w:r>
        <w:rPr>
          <w:rFonts w:hint="eastAsia" w:ascii="仿宋_GB2312" w:eastAsia="仿宋_GB2312"/>
          <w:sz w:val="28"/>
          <w:szCs w:val="28"/>
        </w:rPr>
        <w:t>请求：</w:t>
      </w:r>
      <w:r>
        <w:rPr>
          <w:rFonts w:hint="eastAsia" w:ascii="仿宋_GB2312" w:eastAsia="仿宋_GB2312"/>
          <w:sz w:val="28"/>
          <w:szCs w:val="28"/>
          <w:u w:val="dotted"/>
        </w:rPr>
        <w:t xml:space="preserve">                                              </w:t>
      </w:r>
      <w:r>
        <w:rPr>
          <w:rFonts w:hint="eastAsia" w:ascii="仿宋_GB2312" w:eastAsia="仿宋_GB2312"/>
          <w:sz w:val="28"/>
          <w:szCs w:val="28"/>
        </w:rPr>
        <w:t xml:space="preserve"> </w:t>
      </w:r>
    </w:p>
    <w:p>
      <w:pPr>
        <w:rPr>
          <w:rFonts w:ascii="仿宋_GB2312" w:eastAsia="仿宋_GB2312"/>
          <w:sz w:val="28"/>
          <w:szCs w:val="28"/>
          <w:u w:val="single"/>
        </w:rPr>
      </w:pPr>
      <w:r>
        <w:rPr>
          <w:rFonts w:hint="eastAsia" w:ascii="仿宋_GB2312" w:eastAsia="仿宋_GB2312"/>
          <w:sz w:val="28"/>
          <w:szCs w:val="28"/>
        </w:rPr>
        <w:t xml:space="preserve">                                                                                                    </w:t>
      </w:r>
    </w:p>
    <w:p>
      <w:pPr>
        <w:rPr>
          <w:rFonts w:ascii="仿宋_GB2312" w:eastAsia="仿宋_GB2312"/>
          <w:sz w:val="28"/>
          <w:szCs w:val="28"/>
        </w:rPr>
      </w:pPr>
      <w:r>
        <w:rPr>
          <w:rFonts w:hint="eastAsia" w:ascii="仿宋_GB2312" w:eastAsia="仿宋_GB2312"/>
          <w:sz w:val="28"/>
          <w:szCs w:val="28"/>
        </w:rPr>
        <w:t xml:space="preserve">签字(签章)：                   公章：                      </w:t>
      </w:r>
    </w:p>
    <w:p>
      <w:pPr>
        <w:rPr>
          <w:rFonts w:ascii="仿宋_GB2312" w:eastAsia="仿宋_GB2312"/>
          <w:sz w:val="28"/>
          <w:szCs w:val="28"/>
        </w:rPr>
      </w:pPr>
      <w:r>
        <w:rPr>
          <w:rFonts w:hint="eastAsia" w:ascii="仿宋_GB2312" w:eastAsia="仿宋_GB2312"/>
          <w:sz w:val="28"/>
          <w:szCs w:val="28"/>
        </w:rPr>
        <w:t xml:space="preserve">日期：    </w:t>
      </w:r>
    </w:p>
    <w:p>
      <w:pPr>
        <w:rPr>
          <w:rFonts w:ascii="黑体" w:hAnsi="黑体" w:eastAsia="黑体"/>
          <w:b/>
          <w:sz w:val="28"/>
          <w:szCs w:val="28"/>
        </w:rPr>
      </w:pPr>
    </w:p>
    <w:p>
      <w:pPr>
        <w:rPr>
          <w:rFonts w:ascii="黑体" w:hAnsi="黑体" w:eastAsia="黑体"/>
          <w:b/>
          <w:sz w:val="28"/>
          <w:szCs w:val="28"/>
        </w:rPr>
      </w:pPr>
    </w:p>
    <w:p>
      <w:pPr>
        <w:rPr>
          <w:rFonts w:ascii="黑体" w:hAnsi="黑体" w:eastAsia="黑体"/>
          <w:b/>
          <w:sz w:val="28"/>
          <w:szCs w:val="28"/>
        </w:rPr>
      </w:pPr>
      <w:r>
        <w:rPr>
          <w:rFonts w:hint="eastAsia" w:ascii="黑体" w:hAnsi="黑体" w:eastAsia="黑体"/>
          <w:b/>
          <w:sz w:val="28"/>
          <w:szCs w:val="28"/>
        </w:rPr>
        <w:t>投诉书制作说明：</w:t>
      </w:r>
    </w:p>
    <w:p>
      <w:pPr>
        <w:widowControl/>
        <w:ind w:firstLine="560" w:firstLineChars="200"/>
        <w:rPr>
          <w:rFonts w:ascii="仿宋_GB2312" w:hAnsi="宋体" w:eastAsia="仿宋_GB2312" w:cs="宋体"/>
          <w:kern w:val="0"/>
          <w:sz w:val="28"/>
          <w:szCs w:val="28"/>
        </w:rPr>
      </w:pPr>
      <w:r>
        <w:rPr>
          <w:rFonts w:hint="eastAsia" w:ascii="仿宋_GB2312" w:eastAsia="仿宋_GB2312"/>
          <w:sz w:val="28"/>
          <w:szCs w:val="28"/>
        </w:rPr>
        <w:t>1.投诉人提起投诉时，应当提交投诉书和必要的证明材料，并按照被投诉人和与投诉事项有关的供应商数量提供投诉书副本。</w:t>
      </w:r>
    </w:p>
    <w:p>
      <w:pPr>
        <w:widowControl/>
        <w:ind w:firstLine="560" w:firstLineChars="200"/>
        <w:jc w:val="left"/>
        <w:rPr>
          <w:rFonts w:ascii="仿宋_GB2312" w:hAnsi="宋体" w:eastAsia="仿宋_GB2312" w:cs="宋体"/>
          <w:kern w:val="0"/>
          <w:sz w:val="28"/>
          <w:szCs w:val="28"/>
        </w:rPr>
      </w:pPr>
      <w:r>
        <w:rPr>
          <w:rFonts w:hint="eastAsia" w:ascii="仿宋_GB2312" w:eastAsia="仿宋_GB2312"/>
          <w:sz w:val="28"/>
          <w:szCs w:val="28"/>
        </w:rPr>
        <w:t>2.投诉人若委托代理人进行投诉的，投诉书应按照要求列明“授权代表”的有关内容，并在附件中提交由</w:t>
      </w:r>
      <w:r>
        <w:rPr>
          <w:rFonts w:hint="eastAsia" w:ascii="仿宋_GB2312" w:hAnsi="宋体" w:eastAsia="仿宋_GB2312" w:cs="宋体"/>
          <w:kern w:val="0"/>
          <w:sz w:val="28"/>
          <w:szCs w:val="28"/>
        </w:rPr>
        <w:t>投诉人签署的授权委托书。授权委托书应当载明代理人的姓名或者名称、代理事项、具体权限、期限和相关事项。</w:t>
      </w:r>
    </w:p>
    <w:p>
      <w:pPr>
        <w:widowControl/>
        <w:ind w:firstLine="560" w:firstLineChars="200"/>
        <w:jc w:val="left"/>
        <w:rPr>
          <w:rFonts w:ascii="仿宋_GB2312" w:eastAsia="仿宋_GB2312"/>
          <w:sz w:val="28"/>
          <w:szCs w:val="28"/>
        </w:rPr>
      </w:pPr>
      <w:r>
        <w:rPr>
          <w:rFonts w:hint="eastAsia" w:ascii="仿宋_GB2312" w:eastAsia="仿宋_GB2312"/>
          <w:sz w:val="28"/>
          <w:szCs w:val="28"/>
        </w:rPr>
        <w:t>3.投诉人若对项目的某一分包进行投诉，投诉书应列明具体分包号。</w:t>
      </w:r>
    </w:p>
    <w:p>
      <w:pPr>
        <w:widowControl/>
        <w:ind w:firstLine="560" w:firstLineChars="200"/>
        <w:jc w:val="left"/>
        <w:rPr>
          <w:rFonts w:ascii="仿宋_GB2312" w:eastAsia="仿宋_GB2312"/>
          <w:sz w:val="28"/>
          <w:szCs w:val="28"/>
        </w:rPr>
      </w:pPr>
      <w:r>
        <w:rPr>
          <w:rFonts w:hint="eastAsia" w:ascii="仿宋_GB2312" w:eastAsia="仿宋_GB2312"/>
          <w:sz w:val="28"/>
          <w:szCs w:val="28"/>
        </w:rPr>
        <w:t>4.投诉书应简要列明质疑事项，质疑函、质疑答复等作为附件材料提供。</w:t>
      </w:r>
    </w:p>
    <w:p>
      <w:pPr>
        <w:widowControl/>
        <w:ind w:firstLine="560" w:firstLineChars="200"/>
        <w:jc w:val="left"/>
        <w:rPr>
          <w:rFonts w:ascii="仿宋_GB2312" w:eastAsia="仿宋_GB2312"/>
          <w:sz w:val="28"/>
          <w:szCs w:val="28"/>
        </w:rPr>
      </w:pPr>
      <w:r>
        <w:rPr>
          <w:rFonts w:hint="eastAsia" w:ascii="仿宋_GB2312" w:eastAsia="仿宋_GB2312"/>
          <w:sz w:val="28"/>
          <w:szCs w:val="28"/>
        </w:rPr>
        <w:t>5.投诉书的投诉事项应具体、明确，并有必要的事实依据和法律依据。</w:t>
      </w:r>
    </w:p>
    <w:p>
      <w:pPr>
        <w:widowControl/>
        <w:ind w:firstLine="560" w:firstLineChars="200"/>
        <w:jc w:val="left"/>
        <w:rPr>
          <w:rFonts w:ascii="仿宋_GB2312" w:eastAsia="仿宋_GB2312"/>
          <w:sz w:val="28"/>
          <w:szCs w:val="28"/>
        </w:rPr>
      </w:pPr>
      <w:r>
        <w:rPr>
          <w:rFonts w:hint="eastAsia" w:ascii="仿宋_GB2312" w:eastAsia="仿宋_GB2312"/>
          <w:sz w:val="28"/>
          <w:szCs w:val="28"/>
        </w:rPr>
        <w:t>6.投诉书的投诉请求应与投诉事项相关。</w:t>
      </w:r>
    </w:p>
    <w:p>
      <w:pPr>
        <w:adjustRightInd w:val="0"/>
        <w:snapToGrid w:val="0"/>
        <w:spacing w:line="360" w:lineRule="auto"/>
        <w:jc w:val="left"/>
        <w:rPr>
          <w:rFonts w:ascii="宋体" w:hAnsi="宋体" w:cs="宋体"/>
          <w:b/>
          <w:bCs/>
          <w:color w:val="000000"/>
          <w:kern w:val="36"/>
          <w:sz w:val="28"/>
          <w:szCs w:val="28"/>
        </w:rPr>
      </w:pPr>
      <w:r>
        <w:rPr>
          <w:rFonts w:hint="eastAsia" w:ascii="仿宋_GB2312" w:eastAsia="仿宋_GB2312"/>
          <w:sz w:val="28"/>
          <w:szCs w:val="28"/>
        </w:rPr>
        <w:t>7.投诉人为自然人的，投诉书应当由本人签字；投诉人为法人或者其他组织的，投诉书应当由法定代表人、主要负责人，或者其授权代表签字或者盖章，并加盖公章。</w:t>
      </w:r>
    </w:p>
    <w:p>
      <w:pPr>
        <w:rPr>
          <w:rFonts w:ascii="仿宋_GB2312" w:eastAsia="仿宋_GB231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26887"/>
    </w:sdtPr>
    <w:sdtContent>
      <w:p>
        <w:pPr>
          <w:pStyle w:val="17"/>
          <w:jc w:val="center"/>
        </w:pPr>
        <w:r>
          <w:fldChar w:fldCharType="begin"/>
        </w:r>
        <w:r>
          <w:instrText xml:space="preserve"> PAGE   \* MERGEFORMAT </w:instrText>
        </w:r>
        <w:r>
          <w:fldChar w:fldCharType="separate"/>
        </w:r>
        <w:r>
          <w:rPr>
            <w:lang w:val="zh-CN"/>
          </w:rPr>
          <w:t>23</w:t>
        </w:r>
        <w:r>
          <w:rPr>
            <w:lang w:val="zh-CN"/>
          </w:rPr>
          <w:fldChar w:fldCharType="end"/>
        </w:r>
      </w:p>
    </w:sdtContent>
  </w:sdt>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F2B34E"/>
    <w:multiLevelType w:val="singleLevel"/>
    <w:tmpl w:val="C2F2B34E"/>
    <w:lvl w:ilvl="0" w:tentative="0">
      <w:start w:val="2"/>
      <w:numFmt w:val="chineseCounting"/>
      <w:suff w:val="nothing"/>
      <w:lvlText w:val="%1、"/>
      <w:lvlJc w:val="left"/>
      <w:rPr>
        <w:rFonts w:hint="eastAsia"/>
      </w:rPr>
    </w:lvl>
  </w:abstractNum>
  <w:abstractNum w:abstractNumId="1">
    <w:nsid w:val="00000005"/>
    <w:multiLevelType w:val="multilevel"/>
    <w:tmpl w:val="00000005"/>
    <w:lvl w:ilvl="0" w:tentative="0">
      <w:start w:val="1"/>
      <w:numFmt w:val="decimal"/>
      <w:pStyle w:val="6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186166D"/>
    <w:multiLevelType w:val="multilevel"/>
    <w:tmpl w:val="0186166D"/>
    <w:lvl w:ilvl="0" w:tentative="0">
      <w:start w:val="1"/>
      <w:numFmt w:val="decimal"/>
      <w:lvlText w:val="%1."/>
      <w:lvlJc w:val="left"/>
      <w:pPr>
        <w:tabs>
          <w:tab w:val="left" w:pos="480"/>
        </w:tabs>
        <w:ind w:left="480" w:hanging="360"/>
      </w:pPr>
      <w:rPr>
        <w:rFonts w:hint="default" w:cs="Times New Roman"/>
      </w:rPr>
    </w:lvl>
    <w:lvl w:ilvl="1" w:tentative="0">
      <w:start w:val="1"/>
      <w:numFmt w:val="lowerLetter"/>
      <w:lvlText w:val="%2)"/>
      <w:lvlJc w:val="left"/>
      <w:pPr>
        <w:tabs>
          <w:tab w:val="left" w:pos="960"/>
        </w:tabs>
        <w:ind w:left="960" w:hanging="420"/>
      </w:pPr>
      <w:rPr>
        <w:rFonts w:cs="Times New Roman"/>
      </w:rPr>
    </w:lvl>
    <w:lvl w:ilvl="2" w:tentative="0">
      <w:start w:val="1"/>
      <w:numFmt w:val="lowerRoman"/>
      <w:lvlText w:val="%3."/>
      <w:lvlJc w:val="right"/>
      <w:pPr>
        <w:tabs>
          <w:tab w:val="left" w:pos="1380"/>
        </w:tabs>
        <w:ind w:left="1380" w:hanging="420"/>
      </w:pPr>
      <w:rPr>
        <w:rFonts w:cs="Times New Roman"/>
      </w:rPr>
    </w:lvl>
    <w:lvl w:ilvl="3" w:tentative="0">
      <w:start w:val="1"/>
      <w:numFmt w:val="decimal"/>
      <w:lvlText w:val="%4."/>
      <w:lvlJc w:val="left"/>
      <w:pPr>
        <w:tabs>
          <w:tab w:val="left" w:pos="1800"/>
        </w:tabs>
        <w:ind w:left="1800" w:hanging="420"/>
      </w:pPr>
      <w:rPr>
        <w:rFonts w:cs="Times New Roman"/>
      </w:rPr>
    </w:lvl>
    <w:lvl w:ilvl="4" w:tentative="0">
      <w:start w:val="1"/>
      <w:numFmt w:val="lowerLetter"/>
      <w:lvlText w:val="%5)"/>
      <w:lvlJc w:val="left"/>
      <w:pPr>
        <w:tabs>
          <w:tab w:val="left" w:pos="2220"/>
        </w:tabs>
        <w:ind w:left="2220" w:hanging="420"/>
      </w:pPr>
      <w:rPr>
        <w:rFonts w:cs="Times New Roman"/>
      </w:rPr>
    </w:lvl>
    <w:lvl w:ilvl="5" w:tentative="0">
      <w:start w:val="1"/>
      <w:numFmt w:val="lowerRoman"/>
      <w:lvlText w:val="%6."/>
      <w:lvlJc w:val="right"/>
      <w:pPr>
        <w:tabs>
          <w:tab w:val="left" w:pos="2640"/>
        </w:tabs>
        <w:ind w:left="2640" w:hanging="420"/>
      </w:pPr>
      <w:rPr>
        <w:rFonts w:cs="Times New Roman"/>
      </w:rPr>
    </w:lvl>
    <w:lvl w:ilvl="6" w:tentative="0">
      <w:start w:val="1"/>
      <w:numFmt w:val="decimal"/>
      <w:lvlText w:val="%7."/>
      <w:lvlJc w:val="left"/>
      <w:pPr>
        <w:tabs>
          <w:tab w:val="left" w:pos="3060"/>
        </w:tabs>
        <w:ind w:left="3060" w:hanging="420"/>
      </w:pPr>
      <w:rPr>
        <w:rFonts w:cs="Times New Roman"/>
      </w:rPr>
    </w:lvl>
    <w:lvl w:ilvl="7" w:tentative="0">
      <w:start w:val="1"/>
      <w:numFmt w:val="lowerLetter"/>
      <w:lvlText w:val="%8)"/>
      <w:lvlJc w:val="left"/>
      <w:pPr>
        <w:tabs>
          <w:tab w:val="left" w:pos="3480"/>
        </w:tabs>
        <w:ind w:left="3480" w:hanging="420"/>
      </w:pPr>
      <w:rPr>
        <w:rFonts w:cs="Times New Roman"/>
      </w:rPr>
    </w:lvl>
    <w:lvl w:ilvl="8" w:tentative="0">
      <w:start w:val="1"/>
      <w:numFmt w:val="lowerRoman"/>
      <w:lvlText w:val="%9."/>
      <w:lvlJc w:val="right"/>
      <w:pPr>
        <w:tabs>
          <w:tab w:val="left" w:pos="3900"/>
        </w:tabs>
        <w:ind w:left="3900" w:hanging="420"/>
      </w:pPr>
      <w:rPr>
        <w:rFonts w:cs="Times New Roman"/>
      </w:rPr>
    </w:lvl>
  </w:abstractNum>
  <w:abstractNum w:abstractNumId="3">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40"/>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41"/>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42"/>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4">
    <w:nsid w:val="524D1167"/>
    <w:multiLevelType w:val="multilevel"/>
    <w:tmpl w:val="524D1167"/>
    <w:lvl w:ilvl="0" w:tentative="0">
      <w:start w:val="1"/>
      <w:numFmt w:val="chineseCountingThousand"/>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F9E0D8C"/>
    <w:multiLevelType w:val="multilevel"/>
    <w:tmpl w:val="5F9E0D8C"/>
    <w:lvl w:ilvl="0" w:tentative="0">
      <w:start w:val="1"/>
      <w:numFmt w:val="decimal"/>
      <w:lvlText w:val="%1."/>
      <w:lvlJc w:val="left"/>
      <w:pPr>
        <w:tabs>
          <w:tab w:val="left" w:pos="465"/>
        </w:tabs>
        <w:ind w:left="465"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kNjVhZDhjNDEyMDY4NGU5ZjNmOGIyZWI3MmRhMzkifQ=="/>
  </w:docVars>
  <w:rsids>
    <w:rsidRoot w:val="00BC5577"/>
    <w:rsid w:val="000014F5"/>
    <w:rsid w:val="00004A55"/>
    <w:rsid w:val="000145F1"/>
    <w:rsid w:val="00014639"/>
    <w:rsid w:val="00022591"/>
    <w:rsid w:val="00025CB9"/>
    <w:rsid w:val="00026701"/>
    <w:rsid w:val="00030FC8"/>
    <w:rsid w:val="00031DCB"/>
    <w:rsid w:val="00032FC9"/>
    <w:rsid w:val="000425B0"/>
    <w:rsid w:val="00043394"/>
    <w:rsid w:val="000445D9"/>
    <w:rsid w:val="0004477D"/>
    <w:rsid w:val="00046EB7"/>
    <w:rsid w:val="000525C6"/>
    <w:rsid w:val="00054A09"/>
    <w:rsid w:val="00054F96"/>
    <w:rsid w:val="00055D1C"/>
    <w:rsid w:val="00060CF9"/>
    <w:rsid w:val="00061743"/>
    <w:rsid w:val="000626B6"/>
    <w:rsid w:val="00066B1F"/>
    <w:rsid w:val="000727A1"/>
    <w:rsid w:val="00072A64"/>
    <w:rsid w:val="000732B5"/>
    <w:rsid w:val="00075398"/>
    <w:rsid w:val="000757B4"/>
    <w:rsid w:val="00077034"/>
    <w:rsid w:val="000816C4"/>
    <w:rsid w:val="00090287"/>
    <w:rsid w:val="00090B1B"/>
    <w:rsid w:val="00090EBA"/>
    <w:rsid w:val="00095E42"/>
    <w:rsid w:val="000A1BBD"/>
    <w:rsid w:val="000A590D"/>
    <w:rsid w:val="000A5CF1"/>
    <w:rsid w:val="000A5FFD"/>
    <w:rsid w:val="000B13EB"/>
    <w:rsid w:val="000B66FC"/>
    <w:rsid w:val="000B7D52"/>
    <w:rsid w:val="000C0658"/>
    <w:rsid w:val="000C3C34"/>
    <w:rsid w:val="000C7E70"/>
    <w:rsid w:val="000D11A5"/>
    <w:rsid w:val="000D190D"/>
    <w:rsid w:val="000D66E3"/>
    <w:rsid w:val="000D6D14"/>
    <w:rsid w:val="000D79EE"/>
    <w:rsid w:val="000E66A5"/>
    <w:rsid w:val="000E6A02"/>
    <w:rsid w:val="000E6DEB"/>
    <w:rsid w:val="000E7510"/>
    <w:rsid w:val="000F04C7"/>
    <w:rsid w:val="000F16BF"/>
    <w:rsid w:val="000F5E30"/>
    <w:rsid w:val="000F62AB"/>
    <w:rsid w:val="000F799E"/>
    <w:rsid w:val="001021A1"/>
    <w:rsid w:val="00105D6C"/>
    <w:rsid w:val="001072FF"/>
    <w:rsid w:val="00111607"/>
    <w:rsid w:val="0011443D"/>
    <w:rsid w:val="001153B1"/>
    <w:rsid w:val="00115B8E"/>
    <w:rsid w:val="001210DB"/>
    <w:rsid w:val="00121562"/>
    <w:rsid w:val="00122EE3"/>
    <w:rsid w:val="00126A97"/>
    <w:rsid w:val="00126E72"/>
    <w:rsid w:val="001275E1"/>
    <w:rsid w:val="00131147"/>
    <w:rsid w:val="00135FAA"/>
    <w:rsid w:val="0014716B"/>
    <w:rsid w:val="00150648"/>
    <w:rsid w:val="00150DCB"/>
    <w:rsid w:val="00151752"/>
    <w:rsid w:val="00151BAA"/>
    <w:rsid w:val="0015242D"/>
    <w:rsid w:val="001527A4"/>
    <w:rsid w:val="00161047"/>
    <w:rsid w:val="00161C25"/>
    <w:rsid w:val="00163E61"/>
    <w:rsid w:val="0016665E"/>
    <w:rsid w:val="00167162"/>
    <w:rsid w:val="001703B9"/>
    <w:rsid w:val="00171FB3"/>
    <w:rsid w:val="00173155"/>
    <w:rsid w:val="001731F7"/>
    <w:rsid w:val="001736DA"/>
    <w:rsid w:val="001751ED"/>
    <w:rsid w:val="001764F4"/>
    <w:rsid w:val="00180D64"/>
    <w:rsid w:val="00191473"/>
    <w:rsid w:val="00192F29"/>
    <w:rsid w:val="001934EA"/>
    <w:rsid w:val="001978D8"/>
    <w:rsid w:val="001A636E"/>
    <w:rsid w:val="001A671F"/>
    <w:rsid w:val="001A731C"/>
    <w:rsid w:val="001B0012"/>
    <w:rsid w:val="001B08C2"/>
    <w:rsid w:val="001B11E1"/>
    <w:rsid w:val="001B1AFB"/>
    <w:rsid w:val="001B37FC"/>
    <w:rsid w:val="001B3A1D"/>
    <w:rsid w:val="001B4CC1"/>
    <w:rsid w:val="001B6F48"/>
    <w:rsid w:val="001B7110"/>
    <w:rsid w:val="001B7B15"/>
    <w:rsid w:val="001C03AB"/>
    <w:rsid w:val="001C04E3"/>
    <w:rsid w:val="001C16BD"/>
    <w:rsid w:val="001C1B17"/>
    <w:rsid w:val="001C7A6B"/>
    <w:rsid w:val="001D64BE"/>
    <w:rsid w:val="001D6EB9"/>
    <w:rsid w:val="001D7421"/>
    <w:rsid w:val="001E2169"/>
    <w:rsid w:val="001E3594"/>
    <w:rsid w:val="001E5488"/>
    <w:rsid w:val="001E5522"/>
    <w:rsid w:val="001F0A36"/>
    <w:rsid w:val="001F15EA"/>
    <w:rsid w:val="001F55FC"/>
    <w:rsid w:val="001F7874"/>
    <w:rsid w:val="0020162E"/>
    <w:rsid w:val="00204069"/>
    <w:rsid w:val="0021074E"/>
    <w:rsid w:val="00212CF7"/>
    <w:rsid w:val="00213CAB"/>
    <w:rsid w:val="00213CDD"/>
    <w:rsid w:val="00214C57"/>
    <w:rsid w:val="00217CBD"/>
    <w:rsid w:val="00220CCC"/>
    <w:rsid w:val="00221E64"/>
    <w:rsid w:val="002228B8"/>
    <w:rsid w:val="00223A2F"/>
    <w:rsid w:val="00224A8E"/>
    <w:rsid w:val="002251A1"/>
    <w:rsid w:val="00226064"/>
    <w:rsid w:val="00227F35"/>
    <w:rsid w:val="00233A55"/>
    <w:rsid w:val="00233EF1"/>
    <w:rsid w:val="00235FFF"/>
    <w:rsid w:val="00236194"/>
    <w:rsid w:val="002374BA"/>
    <w:rsid w:val="00237B6A"/>
    <w:rsid w:val="00237DC5"/>
    <w:rsid w:val="00240CAC"/>
    <w:rsid w:val="00241599"/>
    <w:rsid w:val="00241677"/>
    <w:rsid w:val="00243FEB"/>
    <w:rsid w:val="0025265F"/>
    <w:rsid w:val="002529E2"/>
    <w:rsid w:val="00253084"/>
    <w:rsid w:val="002558D5"/>
    <w:rsid w:val="00257024"/>
    <w:rsid w:val="00261227"/>
    <w:rsid w:val="00262661"/>
    <w:rsid w:val="00263949"/>
    <w:rsid w:val="00264055"/>
    <w:rsid w:val="00266BD9"/>
    <w:rsid w:val="00270053"/>
    <w:rsid w:val="00270964"/>
    <w:rsid w:val="002715B7"/>
    <w:rsid w:val="002725F1"/>
    <w:rsid w:val="00272628"/>
    <w:rsid w:val="002736A2"/>
    <w:rsid w:val="002852CE"/>
    <w:rsid w:val="0029067B"/>
    <w:rsid w:val="00291AFF"/>
    <w:rsid w:val="00292163"/>
    <w:rsid w:val="0029257D"/>
    <w:rsid w:val="00294697"/>
    <w:rsid w:val="002976DF"/>
    <w:rsid w:val="002A1322"/>
    <w:rsid w:val="002A2845"/>
    <w:rsid w:val="002A3595"/>
    <w:rsid w:val="002A6B9D"/>
    <w:rsid w:val="002B1499"/>
    <w:rsid w:val="002B1C4F"/>
    <w:rsid w:val="002B4D61"/>
    <w:rsid w:val="002C36FB"/>
    <w:rsid w:val="002C5D27"/>
    <w:rsid w:val="002D0555"/>
    <w:rsid w:val="002D4FB0"/>
    <w:rsid w:val="002D6BE2"/>
    <w:rsid w:val="002D7725"/>
    <w:rsid w:val="002D7C26"/>
    <w:rsid w:val="002D7FBD"/>
    <w:rsid w:val="002E7FB5"/>
    <w:rsid w:val="002F174A"/>
    <w:rsid w:val="002F1934"/>
    <w:rsid w:val="002F1E13"/>
    <w:rsid w:val="002F3E1E"/>
    <w:rsid w:val="002F45F4"/>
    <w:rsid w:val="002F57FD"/>
    <w:rsid w:val="002F5830"/>
    <w:rsid w:val="002F6DCC"/>
    <w:rsid w:val="00300EED"/>
    <w:rsid w:val="0030165E"/>
    <w:rsid w:val="003019D6"/>
    <w:rsid w:val="00304B9A"/>
    <w:rsid w:val="00307681"/>
    <w:rsid w:val="003107D8"/>
    <w:rsid w:val="00310D20"/>
    <w:rsid w:val="00312989"/>
    <w:rsid w:val="0031766C"/>
    <w:rsid w:val="00321384"/>
    <w:rsid w:val="0032234C"/>
    <w:rsid w:val="003223EB"/>
    <w:rsid w:val="003256F3"/>
    <w:rsid w:val="00325EB1"/>
    <w:rsid w:val="003270D3"/>
    <w:rsid w:val="00330FD0"/>
    <w:rsid w:val="003328D1"/>
    <w:rsid w:val="0033644F"/>
    <w:rsid w:val="00340558"/>
    <w:rsid w:val="003414E3"/>
    <w:rsid w:val="00342A0C"/>
    <w:rsid w:val="00343FF0"/>
    <w:rsid w:val="00344EB5"/>
    <w:rsid w:val="00345405"/>
    <w:rsid w:val="00350F27"/>
    <w:rsid w:val="003518AA"/>
    <w:rsid w:val="0036161F"/>
    <w:rsid w:val="003672EF"/>
    <w:rsid w:val="00367922"/>
    <w:rsid w:val="003740E4"/>
    <w:rsid w:val="0038139D"/>
    <w:rsid w:val="00382799"/>
    <w:rsid w:val="00387CD7"/>
    <w:rsid w:val="00393058"/>
    <w:rsid w:val="003A3478"/>
    <w:rsid w:val="003A5CB2"/>
    <w:rsid w:val="003A6EB0"/>
    <w:rsid w:val="003A794F"/>
    <w:rsid w:val="003A7B30"/>
    <w:rsid w:val="003A7DF3"/>
    <w:rsid w:val="003B231B"/>
    <w:rsid w:val="003B5F36"/>
    <w:rsid w:val="003B62D5"/>
    <w:rsid w:val="003B6339"/>
    <w:rsid w:val="003C1878"/>
    <w:rsid w:val="003C6FA3"/>
    <w:rsid w:val="003D00A4"/>
    <w:rsid w:val="003D0DF6"/>
    <w:rsid w:val="003D1598"/>
    <w:rsid w:val="003D2C4E"/>
    <w:rsid w:val="003D3EE0"/>
    <w:rsid w:val="003D4A3B"/>
    <w:rsid w:val="003D4C36"/>
    <w:rsid w:val="003D5423"/>
    <w:rsid w:val="003E04D5"/>
    <w:rsid w:val="003E1105"/>
    <w:rsid w:val="003E3E04"/>
    <w:rsid w:val="003E4019"/>
    <w:rsid w:val="003E5908"/>
    <w:rsid w:val="003E5B36"/>
    <w:rsid w:val="003F2B42"/>
    <w:rsid w:val="003F623C"/>
    <w:rsid w:val="00402AB9"/>
    <w:rsid w:val="004059C7"/>
    <w:rsid w:val="00405AD5"/>
    <w:rsid w:val="0040675B"/>
    <w:rsid w:val="00406DFB"/>
    <w:rsid w:val="00414CB9"/>
    <w:rsid w:val="00416DBA"/>
    <w:rsid w:val="00420272"/>
    <w:rsid w:val="0042285D"/>
    <w:rsid w:val="004239F5"/>
    <w:rsid w:val="0042749B"/>
    <w:rsid w:val="0043033C"/>
    <w:rsid w:val="00431AF3"/>
    <w:rsid w:val="00434069"/>
    <w:rsid w:val="00434CBD"/>
    <w:rsid w:val="0044126C"/>
    <w:rsid w:val="00442B95"/>
    <w:rsid w:val="004434EB"/>
    <w:rsid w:val="004444D6"/>
    <w:rsid w:val="00444653"/>
    <w:rsid w:val="00447C90"/>
    <w:rsid w:val="00455DD0"/>
    <w:rsid w:val="0046384F"/>
    <w:rsid w:val="00463850"/>
    <w:rsid w:val="00471368"/>
    <w:rsid w:val="004730BD"/>
    <w:rsid w:val="004746C6"/>
    <w:rsid w:val="00474799"/>
    <w:rsid w:val="0047649E"/>
    <w:rsid w:val="004825E0"/>
    <w:rsid w:val="00486499"/>
    <w:rsid w:val="004868F5"/>
    <w:rsid w:val="00490572"/>
    <w:rsid w:val="004905D0"/>
    <w:rsid w:val="00490761"/>
    <w:rsid w:val="00496C5C"/>
    <w:rsid w:val="004A36EE"/>
    <w:rsid w:val="004A3880"/>
    <w:rsid w:val="004A3EE9"/>
    <w:rsid w:val="004A62A5"/>
    <w:rsid w:val="004A6BDB"/>
    <w:rsid w:val="004A7255"/>
    <w:rsid w:val="004B5EB1"/>
    <w:rsid w:val="004C31B0"/>
    <w:rsid w:val="004C47BC"/>
    <w:rsid w:val="004C5A1B"/>
    <w:rsid w:val="004C73AD"/>
    <w:rsid w:val="004C7C18"/>
    <w:rsid w:val="004C7F73"/>
    <w:rsid w:val="004D0BDF"/>
    <w:rsid w:val="004D1D0D"/>
    <w:rsid w:val="004E1E16"/>
    <w:rsid w:val="004E46BD"/>
    <w:rsid w:val="004E4E60"/>
    <w:rsid w:val="004E6D50"/>
    <w:rsid w:val="004F3E4F"/>
    <w:rsid w:val="004F45B1"/>
    <w:rsid w:val="005002B5"/>
    <w:rsid w:val="0050235E"/>
    <w:rsid w:val="00504CB5"/>
    <w:rsid w:val="0050520E"/>
    <w:rsid w:val="0050712D"/>
    <w:rsid w:val="0050743C"/>
    <w:rsid w:val="0051327B"/>
    <w:rsid w:val="005166F5"/>
    <w:rsid w:val="00517409"/>
    <w:rsid w:val="005175F3"/>
    <w:rsid w:val="00520DCF"/>
    <w:rsid w:val="00522BD4"/>
    <w:rsid w:val="00524237"/>
    <w:rsid w:val="00532293"/>
    <w:rsid w:val="0053459E"/>
    <w:rsid w:val="00536608"/>
    <w:rsid w:val="0053764B"/>
    <w:rsid w:val="00543834"/>
    <w:rsid w:val="00546D71"/>
    <w:rsid w:val="00547EA0"/>
    <w:rsid w:val="00551515"/>
    <w:rsid w:val="00551BDD"/>
    <w:rsid w:val="00551FEC"/>
    <w:rsid w:val="005523C4"/>
    <w:rsid w:val="00554369"/>
    <w:rsid w:val="00554AE2"/>
    <w:rsid w:val="00555776"/>
    <w:rsid w:val="00555B79"/>
    <w:rsid w:val="0055641C"/>
    <w:rsid w:val="00561E04"/>
    <w:rsid w:val="0056392A"/>
    <w:rsid w:val="005646E2"/>
    <w:rsid w:val="00565458"/>
    <w:rsid w:val="00567904"/>
    <w:rsid w:val="00573087"/>
    <w:rsid w:val="005811F4"/>
    <w:rsid w:val="00584838"/>
    <w:rsid w:val="00590DBB"/>
    <w:rsid w:val="005A0BF7"/>
    <w:rsid w:val="005A2B3C"/>
    <w:rsid w:val="005A3563"/>
    <w:rsid w:val="005A4C77"/>
    <w:rsid w:val="005A5F4F"/>
    <w:rsid w:val="005A62A2"/>
    <w:rsid w:val="005A7E46"/>
    <w:rsid w:val="005B2B83"/>
    <w:rsid w:val="005B5553"/>
    <w:rsid w:val="005B5E8D"/>
    <w:rsid w:val="005C01F1"/>
    <w:rsid w:val="005C088A"/>
    <w:rsid w:val="005C3422"/>
    <w:rsid w:val="005C6313"/>
    <w:rsid w:val="005C71AE"/>
    <w:rsid w:val="005C7A2E"/>
    <w:rsid w:val="005D162A"/>
    <w:rsid w:val="005D1854"/>
    <w:rsid w:val="005D3F9D"/>
    <w:rsid w:val="005D5526"/>
    <w:rsid w:val="005E5716"/>
    <w:rsid w:val="005F0FE5"/>
    <w:rsid w:val="005F24EB"/>
    <w:rsid w:val="005F2695"/>
    <w:rsid w:val="005F4905"/>
    <w:rsid w:val="005F4BA2"/>
    <w:rsid w:val="005F6BC9"/>
    <w:rsid w:val="006004E9"/>
    <w:rsid w:val="006026F7"/>
    <w:rsid w:val="0060541F"/>
    <w:rsid w:val="00615114"/>
    <w:rsid w:val="00622D02"/>
    <w:rsid w:val="00622F66"/>
    <w:rsid w:val="006263E4"/>
    <w:rsid w:val="006267B4"/>
    <w:rsid w:val="00627A2F"/>
    <w:rsid w:val="00633DF0"/>
    <w:rsid w:val="0063557D"/>
    <w:rsid w:val="0063665D"/>
    <w:rsid w:val="00636C78"/>
    <w:rsid w:val="00641EB6"/>
    <w:rsid w:val="00642F2F"/>
    <w:rsid w:val="006459E2"/>
    <w:rsid w:val="0064630B"/>
    <w:rsid w:val="00646335"/>
    <w:rsid w:val="006463EF"/>
    <w:rsid w:val="00647A0D"/>
    <w:rsid w:val="00647F8D"/>
    <w:rsid w:val="00672C2F"/>
    <w:rsid w:val="00673AF2"/>
    <w:rsid w:val="006742A2"/>
    <w:rsid w:val="006742A6"/>
    <w:rsid w:val="00676832"/>
    <w:rsid w:val="006774A7"/>
    <w:rsid w:val="00681C46"/>
    <w:rsid w:val="00686A3C"/>
    <w:rsid w:val="00690406"/>
    <w:rsid w:val="0069130E"/>
    <w:rsid w:val="00693357"/>
    <w:rsid w:val="00694664"/>
    <w:rsid w:val="00696FEE"/>
    <w:rsid w:val="006976EE"/>
    <w:rsid w:val="006A1047"/>
    <w:rsid w:val="006A1690"/>
    <w:rsid w:val="006A28FE"/>
    <w:rsid w:val="006A44C6"/>
    <w:rsid w:val="006A4F39"/>
    <w:rsid w:val="006A5E3A"/>
    <w:rsid w:val="006B2C5F"/>
    <w:rsid w:val="006B2C76"/>
    <w:rsid w:val="006B6FDF"/>
    <w:rsid w:val="006C16AF"/>
    <w:rsid w:val="006C37FE"/>
    <w:rsid w:val="006C4228"/>
    <w:rsid w:val="006C5A02"/>
    <w:rsid w:val="006C6886"/>
    <w:rsid w:val="006D073A"/>
    <w:rsid w:val="006D12E5"/>
    <w:rsid w:val="006D169F"/>
    <w:rsid w:val="006D2EC2"/>
    <w:rsid w:val="006D6348"/>
    <w:rsid w:val="006D70CD"/>
    <w:rsid w:val="006D768A"/>
    <w:rsid w:val="006E1D68"/>
    <w:rsid w:val="006E3742"/>
    <w:rsid w:val="006E39DC"/>
    <w:rsid w:val="006E5253"/>
    <w:rsid w:val="006E5C73"/>
    <w:rsid w:val="006E7053"/>
    <w:rsid w:val="006F09B8"/>
    <w:rsid w:val="006F0D6E"/>
    <w:rsid w:val="006F3A6A"/>
    <w:rsid w:val="00702D7E"/>
    <w:rsid w:val="0070367E"/>
    <w:rsid w:val="007046A7"/>
    <w:rsid w:val="0070557F"/>
    <w:rsid w:val="00707376"/>
    <w:rsid w:val="007110E8"/>
    <w:rsid w:val="0071278B"/>
    <w:rsid w:val="00715842"/>
    <w:rsid w:val="00716208"/>
    <w:rsid w:val="007168C1"/>
    <w:rsid w:val="00716A7C"/>
    <w:rsid w:val="007212B5"/>
    <w:rsid w:val="0072308D"/>
    <w:rsid w:val="00724544"/>
    <w:rsid w:val="00725B45"/>
    <w:rsid w:val="00730DA2"/>
    <w:rsid w:val="00734301"/>
    <w:rsid w:val="007434E4"/>
    <w:rsid w:val="00744CA7"/>
    <w:rsid w:val="00744F24"/>
    <w:rsid w:val="00750559"/>
    <w:rsid w:val="007511FA"/>
    <w:rsid w:val="00764077"/>
    <w:rsid w:val="00765D64"/>
    <w:rsid w:val="00773316"/>
    <w:rsid w:val="0077395A"/>
    <w:rsid w:val="00775766"/>
    <w:rsid w:val="00775EB4"/>
    <w:rsid w:val="00776F7C"/>
    <w:rsid w:val="00777DF9"/>
    <w:rsid w:val="007801F7"/>
    <w:rsid w:val="00783B28"/>
    <w:rsid w:val="0078407F"/>
    <w:rsid w:val="00786EBB"/>
    <w:rsid w:val="007872F5"/>
    <w:rsid w:val="00787466"/>
    <w:rsid w:val="00790186"/>
    <w:rsid w:val="00791439"/>
    <w:rsid w:val="00791A70"/>
    <w:rsid w:val="00793718"/>
    <w:rsid w:val="00793D6A"/>
    <w:rsid w:val="00794821"/>
    <w:rsid w:val="007A736E"/>
    <w:rsid w:val="007B14BE"/>
    <w:rsid w:val="007B1A36"/>
    <w:rsid w:val="007B3D86"/>
    <w:rsid w:val="007B4637"/>
    <w:rsid w:val="007B5680"/>
    <w:rsid w:val="007B6598"/>
    <w:rsid w:val="007B71C1"/>
    <w:rsid w:val="007C1F35"/>
    <w:rsid w:val="007C7664"/>
    <w:rsid w:val="007D26C4"/>
    <w:rsid w:val="007D2766"/>
    <w:rsid w:val="007D3FEB"/>
    <w:rsid w:val="007D4103"/>
    <w:rsid w:val="007D44C8"/>
    <w:rsid w:val="007D5AEF"/>
    <w:rsid w:val="007D77AE"/>
    <w:rsid w:val="007E28FA"/>
    <w:rsid w:val="007E4692"/>
    <w:rsid w:val="007E59C0"/>
    <w:rsid w:val="007E6DD5"/>
    <w:rsid w:val="007F325E"/>
    <w:rsid w:val="007F3440"/>
    <w:rsid w:val="007F345E"/>
    <w:rsid w:val="007F4175"/>
    <w:rsid w:val="007F7BBF"/>
    <w:rsid w:val="007F7E3A"/>
    <w:rsid w:val="008012B5"/>
    <w:rsid w:val="00802194"/>
    <w:rsid w:val="00806431"/>
    <w:rsid w:val="0081002C"/>
    <w:rsid w:val="00810224"/>
    <w:rsid w:val="00811611"/>
    <w:rsid w:val="00813943"/>
    <w:rsid w:val="00813FA3"/>
    <w:rsid w:val="00817226"/>
    <w:rsid w:val="00824FC1"/>
    <w:rsid w:val="0082513C"/>
    <w:rsid w:val="0082653A"/>
    <w:rsid w:val="00826740"/>
    <w:rsid w:val="00826D13"/>
    <w:rsid w:val="00827542"/>
    <w:rsid w:val="00833062"/>
    <w:rsid w:val="0083335C"/>
    <w:rsid w:val="0083374E"/>
    <w:rsid w:val="00833E64"/>
    <w:rsid w:val="00834376"/>
    <w:rsid w:val="00834E19"/>
    <w:rsid w:val="00835407"/>
    <w:rsid w:val="0084286C"/>
    <w:rsid w:val="00843039"/>
    <w:rsid w:val="008457B3"/>
    <w:rsid w:val="00847CB0"/>
    <w:rsid w:val="00850167"/>
    <w:rsid w:val="008506F0"/>
    <w:rsid w:val="00850DAC"/>
    <w:rsid w:val="00853EA8"/>
    <w:rsid w:val="00856021"/>
    <w:rsid w:val="00856E1F"/>
    <w:rsid w:val="0086035C"/>
    <w:rsid w:val="00864388"/>
    <w:rsid w:val="00864D4C"/>
    <w:rsid w:val="008663E5"/>
    <w:rsid w:val="0086745A"/>
    <w:rsid w:val="00867EF8"/>
    <w:rsid w:val="00870674"/>
    <w:rsid w:val="00871822"/>
    <w:rsid w:val="00873353"/>
    <w:rsid w:val="008734F8"/>
    <w:rsid w:val="0087389B"/>
    <w:rsid w:val="008740F7"/>
    <w:rsid w:val="00874DC8"/>
    <w:rsid w:val="00875FBB"/>
    <w:rsid w:val="008770F0"/>
    <w:rsid w:val="008807C9"/>
    <w:rsid w:val="00883039"/>
    <w:rsid w:val="00885DDE"/>
    <w:rsid w:val="00887800"/>
    <w:rsid w:val="00891545"/>
    <w:rsid w:val="008919BF"/>
    <w:rsid w:val="00891B39"/>
    <w:rsid w:val="00892D36"/>
    <w:rsid w:val="0089554F"/>
    <w:rsid w:val="008A07A1"/>
    <w:rsid w:val="008A2229"/>
    <w:rsid w:val="008A2A34"/>
    <w:rsid w:val="008B2325"/>
    <w:rsid w:val="008B2CFC"/>
    <w:rsid w:val="008B42C0"/>
    <w:rsid w:val="008B4F14"/>
    <w:rsid w:val="008B4F27"/>
    <w:rsid w:val="008B6E70"/>
    <w:rsid w:val="008C6F3E"/>
    <w:rsid w:val="008C768F"/>
    <w:rsid w:val="008D16ED"/>
    <w:rsid w:val="008D2BE7"/>
    <w:rsid w:val="008D3D8E"/>
    <w:rsid w:val="008D5B4B"/>
    <w:rsid w:val="008D6956"/>
    <w:rsid w:val="008D6DF4"/>
    <w:rsid w:val="008D71F1"/>
    <w:rsid w:val="008E2781"/>
    <w:rsid w:val="008E6637"/>
    <w:rsid w:val="008F5455"/>
    <w:rsid w:val="008F5791"/>
    <w:rsid w:val="008F633D"/>
    <w:rsid w:val="00900CF3"/>
    <w:rsid w:val="0091046F"/>
    <w:rsid w:val="0091153A"/>
    <w:rsid w:val="0091184A"/>
    <w:rsid w:val="009141DB"/>
    <w:rsid w:val="0091687E"/>
    <w:rsid w:val="009222FC"/>
    <w:rsid w:val="00922B4D"/>
    <w:rsid w:val="00931FD5"/>
    <w:rsid w:val="00934AA7"/>
    <w:rsid w:val="00936311"/>
    <w:rsid w:val="00937A0F"/>
    <w:rsid w:val="00943A15"/>
    <w:rsid w:val="00945DC0"/>
    <w:rsid w:val="00947D4A"/>
    <w:rsid w:val="00952451"/>
    <w:rsid w:val="00952BDD"/>
    <w:rsid w:val="009574B6"/>
    <w:rsid w:val="00963021"/>
    <w:rsid w:val="00963C5D"/>
    <w:rsid w:val="009701C9"/>
    <w:rsid w:val="009705F2"/>
    <w:rsid w:val="009712BC"/>
    <w:rsid w:val="009712EA"/>
    <w:rsid w:val="00972596"/>
    <w:rsid w:val="00973A9D"/>
    <w:rsid w:val="009742FB"/>
    <w:rsid w:val="00974671"/>
    <w:rsid w:val="00974D68"/>
    <w:rsid w:val="00975F18"/>
    <w:rsid w:val="009772F2"/>
    <w:rsid w:val="00981B07"/>
    <w:rsid w:val="00982048"/>
    <w:rsid w:val="0098329F"/>
    <w:rsid w:val="009876D5"/>
    <w:rsid w:val="009907FA"/>
    <w:rsid w:val="00995F3C"/>
    <w:rsid w:val="0099624C"/>
    <w:rsid w:val="00997516"/>
    <w:rsid w:val="009A7914"/>
    <w:rsid w:val="009A796C"/>
    <w:rsid w:val="009B05DD"/>
    <w:rsid w:val="009B2571"/>
    <w:rsid w:val="009B2EB7"/>
    <w:rsid w:val="009B44A2"/>
    <w:rsid w:val="009B71F4"/>
    <w:rsid w:val="009B7614"/>
    <w:rsid w:val="009C297A"/>
    <w:rsid w:val="009C3B34"/>
    <w:rsid w:val="009C486C"/>
    <w:rsid w:val="009C56EE"/>
    <w:rsid w:val="009D3926"/>
    <w:rsid w:val="009D3C55"/>
    <w:rsid w:val="009D3D62"/>
    <w:rsid w:val="009D3F15"/>
    <w:rsid w:val="009D5840"/>
    <w:rsid w:val="009D78E3"/>
    <w:rsid w:val="009D7B7E"/>
    <w:rsid w:val="009E1155"/>
    <w:rsid w:val="009E1B94"/>
    <w:rsid w:val="009F44C7"/>
    <w:rsid w:val="009F55B8"/>
    <w:rsid w:val="00A011B9"/>
    <w:rsid w:val="00A040DE"/>
    <w:rsid w:val="00A0589A"/>
    <w:rsid w:val="00A06144"/>
    <w:rsid w:val="00A12EEA"/>
    <w:rsid w:val="00A14FEE"/>
    <w:rsid w:val="00A15BAE"/>
    <w:rsid w:val="00A20A76"/>
    <w:rsid w:val="00A21659"/>
    <w:rsid w:val="00A30BAC"/>
    <w:rsid w:val="00A33B47"/>
    <w:rsid w:val="00A35942"/>
    <w:rsid w:val="00A46974"/>
    <w:rsid w:val="00A50D5B"/>
    <w:rsid w:val="00A51317"/>
    <w:rsid w:val="00A51800"/>
    <w:rsid w:val="00A53CB0"/>
    <w:rsid w:val="00A55673"/>
    <w:rsid w:val="00A60D37"/>
    <w:rsid w:val="00A626E2"/>
    <w:rsid w:val="00A63BA4"/>
    <w:rsid w:val="00A64211"/>
    <w:rsid w:val="00A6426C"/>
    <w:rsid w:val="00A65291"/>
    <w:rsid w:val="00A66C13"/>
    <w:rsid w:val="00A72A3A"/>
    <w:rsid w:val="00A743B1"/>
    <w:rsid w:val="00A75FB0"/>
    <w:rsid w:val="00A813FE"/>
    <w:rsid w:val="00A816E8"/>
    <w:rsid w:val="00A82245"/>
    <w:rsid w:val="00A8249A"/>
    <w:rsid w:val="00A82705"/>
    <w:rsid w:val="00A83EDB"/>
    <w:rsid w:val="00A861ED"/>
    <w:rsid w:val="00A8678B"/>
    <w:rsid w:val="00A86BD1"/>
    <w:rsid w:val="00A91789"/>
    <w:rsid w:val="00A92519"/>
    <w:rsid w:val="00A945A1"/>
    <w:rsid w:val="00A9788D"/>
    <w:rsid w:val="00AA4119"/>
    <w:rsid w:val="00AA6B68"/>
    <w:rsid w:val="00AB0C9E"/>
    <w:rsid w:val="00AB1A67"/>
    <w:rsid w:val="00AC170B"/>
    <w:rsid w:val="00AC2FBD"/>
    <w:rsid w:val="00AC5A9C"/>
    <w:rsid w:val="00AD518B"/>
    <w:rsid w:val="00AD62C5"/>
    <w:rsid w:val="00AD6462"/>
    <w:rsid w:val="00AD6CB0"/>
    <w:rsid w:val="00AE03A6"/>
    <w:rsid w:val="00AE3283"/>
    <w:rsid w:val="00AE5138"/>
    <w:rsid w:val="00AE5A30"/>
    <w:rsid w:val="00AE73E5"/>
    <w:rsid w:val="00AF2FDA"/>
    <w:rsid w:val="00AF64FC"/>
    <w:rsid w:val="00AF6D9A"/>
    <w:rsid w:val="00AF7AD3"/>
    <w:rsid w:val="00B00FBD"/>
    <w:rsid w:val="00B063BA"/>
    <w:rsid w:val="00B11B69"/>
    <w:rsid w:val="00B11ECB"/>
    <w:rsid w:val="00B12110"/>
    <w:rsid w:val="00B12DA1"/>
    <w:rsid w:val="00B14905"/>
    <w:rsid w:val="00B2124D"/>
    <w:rsid w:val="00B220FE"/>
    <w:rsid w:val="00B24005"/>
    <w:rsid w:val="00B25F19"/>
    <w:rsid w:val="00B2734A"/>
    <w:rsid w:val="00B32FE7"/>
    <w:rsid w:val="00B333EF"/>
    <w:rsid w:val="00B338D5"/>
    <w:rsid w:val="00B35942"/>
    <w:rsid w:val="00B36B8C"/>
    <w:rsid w:val="00B40D1E"/>
    <w:rsid w:val="00B415DB"/>
    <w:rsid w:val="00B42154"/>
    <w:rsid w:val="00B50CA0"/>
    <w:rsid w:val="00B53CA4"/>
    <w:rsid w:val="00B54329"/>
    <w:rsid w:val="00B5454B"/>
    <w:rsid w:val="00B56541"/>
    <w:rsid w:val="00B62AA7"/>
    <w:rsid w:val="00B65934"/>
    <w:rsid w:val="00B67285"/>
    <w:rsid w:val="00B70DEE"/>
    <w:rsid w:val="00B72F7B"/>
    <w:rsid w:val="00B73EC2"/>
    <w:rsid w:val="00B746E8"/>
    <w:rsid w:val="00B80E75"/>
    <w:rsid w:val="00B815D6"/>
    <w:rsid w:val="00B8244C"/>
    <w:rsid w:val="00B8521A"/>
    <w:rsid w:val="00B918F8"/>
    <w:rsid w:val="00B92D9C"/>
    <w:rsid w:val="00B96E5A"/>
    <w:rsid w:val="00BA3D08"/>
    <w:rsid w:val="00BA5C1A"/>
    <w:rsid w:val="00BA5FCA"/>
    <w:rsid w:val="00BB1E10"/>
    <w:rsid w:val="00BB28FE"/>
    <w:rsid w:val="00BB3521"/>
    <w:rsid w:val="00BB3F42"/>
    <w:rsid w:val="00BB54AD"/>
    <w:rsid w:val="00BC0D51"/>
    <w:rsid w:val="00BC2C0C"/>
    <w:rsid w:val="00BC2EA0"/>
    <w:rsid w:val="00BC46FC"/>
    <w:rsid w:val="00BC5577"/>
    <w:rsid w:val="00BD1959"/>
    <w:rsid w:val="00BD23A2"/>
    <w:rsid w:val="00BD2BDB"/>
    <w:rsid w:val="00BD31C6"/>
    <w:rsid w:val="00BD3C08"/>
    <w:rsid w:val="00BD3E73"/>
    <w:rsid w:val="00BD57F6"/>
    <w:rsid w:val="00BD699D"/>
    <w:rsid w:val="00BE01F1"/>
    <w:rsid w:val="00BE1929"/>
    <w:rsid w:val="00BE3672"/>
    <w:rsid w:val="00BE39FD"/>
    <w:rsid w:val="00BE5825"/>
    <w:rsid w:val="00BF5A35"/>
    <w:rsid w:val="00C03BFA"/>
    <w:rsid w:val="00C06D6B"/>
    <w:rsid w:val="00C07D42"/>
    <w:rsid w:val="00C106A1"/>
    <w:rsid w:val="00C10D7E"/>
    <w:rsid w:val="00C16665"/>
    <w:rsid w:val="00C208F2"/>
    <w:rsid w:val="00C21E22"/>
    <w:rsid w:val="00C22582"/>
    <w:rsid w:val="00C25E55"/>
    <w:rsid w:val="00C31149"/>
    <w:rsid w:val="00C31E0E"/>
    <w:rsid w:val="00C423DB"/>
    <w:rsid w:val="00C43A2E"/>
    <w:rsid w:val="00C43D8B"/>
    <w:rsid w:val="00C461D2"/>
    <w:rsid w:val="00C464B8"/>
    <w:rsid w:val="00C5229F"/>
    <w:rsid w:val="00C56E7C"/>
    <w:rsid w:val="00C6189A"/>
    <w:rsid w:val="00C707EC"/>
    <w:rsid w:val="00C75422"/>
    <w:rsid w:val="00C754A0"/>
    <w:rsid w:val="00C800E9"/>
    <w:rsid w:val="00C8225A"/>
    <w:rsid w:val="00C822E1"/>
    <w:rsid w:val="00C8259E"/>
    <w:rsid w:val="00C8512F"/>
    <w:rsid w:val="00C90162"/>
    <w:rsid w:val="00C957DA"/>
    <w:rsid w:val="00C95F19"/>
    <w:rsid w:val="00CA1C76"/>
    <w:rsid w:val="00CA7226"/>
    <w:rsid w:val="00CA7F2F"/>
    <w:rsid w:val="00CB04C9"/>
    <w:rsid w:val="00CB1D0C"/>
    <w:rsid w:val="00CB23C7"/>
    <w:rsid w:val="00CB580F"/>
    <w:rsid w:val="00CB6362"/>
    <w:rsid w:val="00CC0705"/>
    <w:rsid w:val="00CC57C0"/>
    <w:rsid w:val="00CC78F5"/>
    <w:rsid w:val="00CD1342"/>
    <w:rsid w:val="00CD2123"/>
    <w:rsid w:val="00CD605C"/>
    <w:rsid w:val="00CE09CA"/>
    <w:rsid w:val="00CE2957"/>
    <w:rsid w:val="00CE3481"/>
    <w:rsid w:val="00CE6817"/>
    <w:rsid w:val="00CE6C0B"/>
    <w:rsid w:val="00D004B0"/>
    <w:rsid w:val="00D02C4B"/>
    <w:rsid w:val="00D045A9"/>
    <w:rsid w:val="00D071B5"/>
    <w:rsid w:val="00D102D8"/>
    <w:rsid w:val="00D10D83"/>
    <w:rsid w:val="00D10EEE"/>
    <w:rsid w:val="00D1155C"/>
    <w:rsid w:val="00D144CC"/>
    <w:rsid w:val="00D156A0"/>
    <w:rsid w:val="00D15D20"/>
    <w:rsid w:val="00D15E6E"/>
    <w:rsid w:val="00D17B62"/>
    <w:rsid w:val="00D2159F"/>
    <w:rsid w:val="00D23B91"/>
    <w:rsid w:val="00D269BF"/>
    <w:rsid w:val="00D30028"/>
    <w:rsid w:val="00D3011E"/>
    <w:rsid w:val="00D3196D"/>
    <w:rsid w:val="00D3234C"/>
    <w:rsid w:val="00D345EF"/>
    <w:rsid w:val="00D4137B"/>
    <w:rsid w:val="00D416B8"/>
    <w:rsid w:val="00D44F77"/>
    <w:rsid w:val="00D5623B"/>
    <w:rsid w:val="00D56E1B"/>
    <w:rsid w:val="00D57693"/>
    <w:rsid w:val="00D62A34"/>
    <w:rsid w:val="00D632A9"/>
    <w:rsid w:val="00D67019"/>
    <w:rsid w:val="00D67D86"/>
    <w:rsid w:val="00D739DC"/>
    <w:rsid w:val="00D76D5D"/>
    <w:rsid w:val="00D81479"/>
    <w:rsid w:val="00D83FB1"/>
    <w:rsid w:val="00D865A9"/>
    <w:rsid w:val="00D916E8"/>
    <w:rsid w:val="00D9231C"/>
    <w:rsid w:val="00D94A65"/>
    <w:rsid w:val="00D96790"/>
    <w:rsid w:val="00D97314"/>
    <w:rsid w:val="00DA077E"/>
    <w:rsid w:val="00DA3331"/>
    <w:rsid w:val="00DA38A4"/>
    <w:rsid w:val="00DA70DC"/>
    <w:rsid w:val="00DB4103"/>
    <w:rsid w:val="00DC19CB"/>
    <w:rsid w:val="00DC5C5B"/>
    <w:rsid w:val="00DC71E1"/>
    <w:rsid w:val="00DC73CC"/>
    <w:rsid w:val="00DD3583"/>
    <w:rsid w:val="00DD53A0"/>
    <w:rsid w:val="00DE4BD3"/>
    <w:rsid w:val="00DF156B"/>
    <w:rsid w:val="00DF1A6D"/>
    <w:rsid w:val="00DF4644"/>
    <w:rsid w:val="00E071B0"/>
    <w:rsid w:val="00E11000"/>
    <w:rsid w:val="00E127AE"/>
    <w:rsid w:val="00E14555"/>
    <w:rsid w:val="00E16171"/>
    <w:rsid w:val="00E16D29"/>
    <w:rsid w:val="00E20202"/>
    <w:rsid w:val="00E20C68"/>
    <w:rsid w:val="00E23E1F"/>
    <w:rsid w:val="00E30A42"/>
    <w:rsid w:val="00E32EA7"/>
    <w:rsid w:val="00E34641"/>
    <w:rsid w:val="00E35D00"/>
    <w:rsid w:val="00E515A1"/>
    <w:rsid w:val="00E54912"/>
    <w:rsid w:val="00E55656"/>
    <w:rsid w:val="00E578E2"/>
    <w:rsid w:val="00E57AE6"/>
    <w:rsid w:val="00E614B3"/>
    <w:rsid w:val="00E643D7"/>
    <w:rsid w:val="00E646B7"/>
    <w:rsid w:val="00E668FB"/>
    <w:rsid w:val="00E722C2"/>
    <w:rsid w:val="00E72FE7"/>
    <w:rsid w:val="00E736A8"/>
    <w:rsid w:val="00E77ACA"/>
    <w:rsid w:val="00E8067F"/>
    <w:rsid w:val="00E806CE"/>
    <w:rsid w:val="00E80A83"/>
    <w:rsid w:val="00E80B93"/>
    <w:rsid w:val="00E8143D"/>
    <w:rsid w:val="00E84801"/>
    <w:rsid w:val="00E85D12"/>
    <w:rsid w:val="00E85E5F"/>
    <w:rsid w:val="00E86793"/>
    <w:rsid w:val="00E87E01"/>
    <w:rsid w:val="00E92B31"/>
    <w:rsid w:val="00E9582C"/>
    <w:rsid w:val="00EA70D7"/>
    <w:rsid w:val="00EB2702"/>
    <w:rsid w:val="00EB2806"/>
    <w:rsid w:val="00EB3550"/>
    <w:rsid w:val="00EB71A1"/>
    <w:rsid w:val="00EC22A0"/>
    <w:rsid w:val="00EC2FA2"/>
    <w:rsid w:val="00EC3128"/>
    <w:rsid w:val="00EC71E2"/>
    <w:rsid w:val="00ED421D"/>
    <w:rsid w:val="00EE5CF8"/>
    <w:rsid w:val="00EE7443"/>
    <w:rsid w:val="00EF6465"/>
    <w:rsid w:val="00EF6F08"/>
    <w:rsid w:val="00EF70E5"/>
    <w:rsid w:val="00F01EF0"/>
    <w:rsid w:val="00F03151"/>
    <w:rsid w:val="00F05D87"/>
    <w:rsid w:val="00F06A12"/>
    <w:rsid w:val="00F101C4"/>
    <w:rsid w:val="00F1126F"/>
    <w:rsid w:val="00F12930"/>
    <w:rsid w:val="00F12CDE"/>
    <w:rsid w:val="00F1372D"/>
    <w:rsid w:val="00F142BC"/>
    <w:rsid w:val="00F15032"/>
    <w:rsid w:val="00F157D1"/>
    <w:rsid w:val="00F16FC0"/>
    <w:rsid w:val="00F1778B"/>
    <w:rsid w:val="00F179E6"/>
    <w:rsid w:val="00F25778"/>
    <w:rsid w:val="00F26DDB"/>
    <w:rsid w:val="00F30644"/>
    <w:rsid w:val="00F312DE"/>
    <w:rsid w:val="00F323E9"/>
    <w:rsid w:val="00F32BC1"/>
    <w:rsid w:val="00F37A6C"/>
    <w:rsid w:val="00F46509"/>
    <w:rsid w:val="00F4693E"/>
    <w:rsid w:val="00F46AFC"/>
    <w:rsid w:val="00F50CF1"/>
    <w:rsid w:val="00F55080"/>
    <w:rsid w:val="00F60EF2"/>
    <w:rsid w:val="00F60FC1"/>
    <w:rsid w:val="00F61507"/>
    <w:rsid w:val="00F64700"/>
    <w:rsid w:val="00F66A70"/>
    <w:rsid w:val="00F66E79"/>
    <w:rsid w:val="00F70222"/>
    <w:rsid w:val="00F71603"/>
    <w:rsid w:val="00F75B01"/>
    <w:rsid w:val="00F76890"/>
    <w:rsid w:val="00F76999"/>
    <w:rsid w:val="00F77E4D"/>
    <w:rsid w:val="00F8357D"/>
    <w:rsid w:val="00F855B8"/>
    <w:rsid w:val="00F90135"/>
    <w:rsid w:val="00F90513"/>
    <w:rsid w:val="00F9094B"/>
    <w:rsid w:val="00F909D0"/>
    <w:rsid w:val="00F90C57"/>
    <w:rsid w:val="00F92775"/>
    <w:rsid w:val="00F952B0"/>
    <w:rsid w:val="00F9592A"/>
    <w:rsid w:val="00F96C14"/>
    <w:rsid w:val="00F9767D"/>
    <w:rsid w:val="00FA0FBF"/>
    <w:rsid w:val="00FA1EA1"/>
    <w:rsid w:val="00FA20A4"/>
    <w:rsid w:val="00FA25F4"/>
    <w:rsid w:val="00FA3764"/>
    <w:rsid w:val="00FA60A5"/>
    <w:rsid w:val="00FA6130"/>
    <w:rsid w:val="00FA7195"/>
    <w:rsid w:val="00FB0DD8"/>
    <w:rsid w:val="00FB0F61"/>
    <w:rsid w:val="00FB11E8"/>
    <w:rsid w:val="00FB22B9"/>
    <w:rsid w:val="00FB28DC"/>
    <w:rsid w:val="00FB2AFA"/>
    <w:rsid w:val="00FC00FC"/>
    <w:rsid w:val="00FC3B49"/>
    <w:rsid w:val="00FC3EC2"/>
    <w:rsid w:val="00FC5CB8"/>
    <w:rsid w:val="00FD2E79"/>
    <w:rsid w:val="00FD3DD1"/>
    <w:rsid w:val="00FD5657"/>
    <w:rsid w:val="00FE0527"/>
    <w:rsid w:val="00FE1C65"/>
    <w:rsid w:val="00FE4346"/>
    <w:rsid w:val="00FF271A"/>
    <w:rsid w:val="00FF40B4"/>
    <w:rsid w:val="00FF50E0"/>
    <w:rsid w:val="01156A16"/>
    <w:rsid w:val="01173F1B"/>
    <w:rsid w:val="011C44BE"/>
    <w:rsid w:val="01207B0A"/>
    <w:rsid w:val="01213761"/>
    <w:rsid w:val="012B0C48"/>
    <w:rsid w:val="01372C5B"/>
    <w:rsid w:val="014001AC"/>
    <w:rsid w:val="015C48BA"/>
    <w:rsid w:val="016408FB"/>
    <w:rsid w:val="01643016"/>
    <w:rsid w:val="016E4195"/>
    <w:rsid w:val="01726537"/>
    <w:rsid w:val="01AC75F0"/>
    <w:rsid w:val="01C04E49"/>
    <w:rsid w:val="01D31020"/>
    <w:rsid w:val="0214243C"/>
    <w:rsid w:val="02214D2D"/>
    <w:rsid w:val="022E5014"/>
    <w:rsid w:val="02512A07"/>
    <w:rsid w:val="025A529E"/>
    <w:rsid w:val="026877BA"/>
    <w:rsid w:val="027A6CFA"/>
    <w:rsid w:val="027C16B8"/>
    <w:rsid w:val="02AA6130"/>
    <w:rsid w:val="02C170CB"/>
    <w:rsid w:val="02C75FE1"/>
    <w:rsid w:val="02F76AB3"/>
    <w:rsid w:val="032064E7"/>
    <w:rsid w:val="032C4E8C"/>
    <w:rsid w:val="03433F84"/>
    <w:rsid w:val="0350498A"/>
    <w:rsid w:val="03534FA2"/>
    <w:rsid w:val="035B174D"/>
    <w:rsid w:val="03603C2C"/>
    <w:rsid w:val="036678B6"/>
    <w:rsid w:val="03825612"/>
    <w:rsid w:val="039B3DC0"/>
    <w:rsid w:val="03BC38F4"/>
    <w:rsid w:val="03DB2BD2"/>
    <w:rsid w:val="03FE61ED"/>
    <w:rsid w:val="04277401"/>
    <w:rsid w:val="04407C5D"/>
    <w:rsid w:val="04414051"/>
    <w:rsid w:val="044C50BA"/>
    <w:rsid w:val="04596F7F"/>
    <w:rsid w:val="046363BB"/>
    <w:rsid w:val="04673249"/>
    <w:rsid w:val="046774A7"/>
    <w:rsid w:val="04962E28"/>
    <w:rsid w:val="04B30C95"/>
    <w:rsid w:val="04C335CE"/>
    <w:rsid w:val="04C44C50"/>
    <w:rsid w:val="04D10E2B"/>
    <w:rsid w:val="04D83CC0"/>
    <w:rsid w:val="04DB34DA"/>
    <w:rsid w:val="04E57987"/>
    <w:rsid w:val="04F512AE"/>
    <w:rsid w:val="0540457D"/>
    <w:rsid w:val="054B711F"/>
    <w:rsid w:val="056E1157"/>
    <w:rsid w:val="05814F51"/>
    <w:rsid w:val="0583686C"/>
    <w:rsid w:val="059C5BCD"/>
    <w:rsid w:val="05A01219"/>
    <w:rsid w:val="05AF5900"/>
    <w:rsid w:val="05C32D63"/>
    <w:rsid w:val="05DE0EF5"/>
    <w:rsid w:val="061439B5"/>
    <w:rsid w:val="06677F89"/>
    <w:rsid w:val="066E0790"/>
    <w:rsid w:val="067746D3"/>
    <w:rsid w:val="067B3A34"/>
    <w:rsid w:val="06982838"/>
    <w:rsid w:val="069D3826"/>
    <w:rsid w:val="06B729B6"/>
    <w:rsid w:val="06E15F8D"/>
    <w:rsid w:val="06E7061D"/>
    <w:rsid w:val="06F051CA"/>
    <w:rsid w:val="06FC6923"/>
    <w:rsid w:val="071A4FFB"/>
    <w:rsid w:val="072520C3"/>
    <w:rsid w:val="07346E86"/>
    <w:rsid w:val="07963C7F"/>
    <w:rsid w:val="07A02C40"/>
    <w:rsid w:val="07A07BF6"/>
    <w:rsid w:val="07A1311E"/>
    <w:rsid w:val="07A81743"/>
    <w:rsid w:val="07C06FE0"/>
    <w:rsid w:val="07C678C3"/>
    <w:rsid w:val="07C67D31"/>
    <w:rsid w:val="07CB13CA"/>
    <w:rsid w:val="07F45D5F"/>
    <w:rsid w:val="08387D26"/>
    <w:rsid w:val="084367D4"/>
    <w:rsid w:val="088C0852"/>
    <w:rsid w:val="08971DA8"/>
    <w:rsid w:val="08C101E7"/>
    <w:rsid w:val="08C16076"/>
    <w:rsid w:val="08C96D0B"/>
    <w:rsid w:val="08E13197"/>
    <w:rsid w:val="08F11F59"/>
    <w:rsid w:val="08FA50E4"/>
    <w:rsid w:val="08FB16AB"/>
    <w:rsid w:val="091A74E1"/>
    <w:rsid w:val="093B3CFE"/>
    <w:rsid w:val="09420839"/>
    <w:rsid w:val="09436A8B"/>
    <w:rsid w:val="09695884"/>
    <w:rsid w:val="09766700"/>
    <w:rsid w:val="09B72FD5"/>
    <w:rsid w:val="0A0134D2"/>
    <w:rsid w:val="0A0A6355"/>
    <w:rsid w:val="0A285544"/>
    <w:rsid w:val="0A6F38B0"/>
    <w:rsid w:val="0A804468"/>
    <w:rsid w:val="0A943B04"/>
    <w:rsid w:val="0AD83203"/>
    <w:rsid w:val="0AD94888"/>
    <w:rsid w:val="0AE93662"/>
    <w:rsid w:val="0B101D3B"/>
    <w:rsid w:val="0B204BAA"/>
    <w:rsid w:val="0B24468D"/>
    <w:rsid w:val="0B3E0157"/>
    <w:rsid w:val="0B3E2065"/>
    <w:rsid w:val="0B5B3B24"/>
    <w:rsid w:val="0BAD0091"/>
    <w:rsid w:val="0BE300B2"/>
    <w:rsid w:val="0BF07413"/>
    <w:rsid w:val="0BF605B3"/>
    <w:rsid w:val="0C0754E7"/>
    <w:rsid w:val="0C0E1A12"/>
    <w:rsid w:val="0C0F35D8"/>
    <w:rsid w:val="0C161375"/>
    <w:rsid w:val="0C28419D"/>
    <w:rsid w:val="0C2B5731"/>
    <w:rsid w:val="0C341D9A"/>
    <w:rsid w:val="0C3940B8"/>
    <w:rsid w:val="0C3D258F"/>
    <w:rsid w:val="0C5B0590"/>
    <w:rsid w:val="0C5D60B6"/>
    <w:rsid w:val="0C5D732E"/>
    <w:rsid w:val="0C5F3058"/>
    <w:rsid w:val="0C670CE3"/>
    <w:rsid w:val="0C7F6C23"/>
    <w:rsid w:val="0C9B5ABD"/>
    <w:rsid w:val="0CE9794A"/>
    <w:rsid w:val="0CEB2EB7"/>
    <w:rsid w:val="0CEF5A7C"/>
    <w:rsid w:val="0D374B59"/>
    <w:rsid w:val="0D4032E2"/>
    <w:rsid w:val="0D513917"/>
    <w:rsid w:val="0D5170C4"/>
    <w:rsid w:val="0D6E42F3"/>
    <w:rsid w:val="0DAD0977"/>
    <w:rsid w:val="0DB829D6"/>
    <w:rsid w:val="0DC84C6C"/>
    <w:rsid w:val="0DDB72D4"/>
    <w:rsid w:val="0DDC039E"/>
    <w:rsid w:val="0DDD3892"/>
    <w:rsid w:val="0DE620DB"/>
    <w:rsid w:val="0DE9708F"/>
    <w:rsid w:val="0DF04D08"/>
    <w:rsid w:val="0DF465A6"/>
    <w:rsid w:val="0E176739"/>
    <w:rsid w:val="0E2B0A0E"/>
    <w:rsid w:val="0E39045D"/>
    <w:rsid w:val="0E7616B1"/>
    <w:rsid w:val="0E9B2887"/>
    <w:rsid w:val="0EA87C9E"/>
    <w:rsid w:val="0EB53B50"/>
    <w:rsid w:val="0ECC12D1"/>
    <w:rsid w:val="0EE04D7C"/>
    <w:rsid w:val="0EFE1271"/>
    <w:rsid w:val="0F013329"/>
    <w:rsid w:val="0F1E0E2A"/>
    <w:rsid w:val="0F1E1F81"/>
    <w:rsid w:val="0F3330FE"/>
    <w:rsid w:val="0F4075C9"/>
    <w:rsid w:val="0F4E1CE6"/>
    <w:rsid w:val="0F5D383B"/>
    <w:rsid w:val="0F64150A"/>
    <w:rsid w:val="0F9067A2"/>
    <w:rsid w:val="0F920FD6"/>
    <w:rsid w:val="0F953584"/>
    <w:rsid w:val="0FB83603"/>
    <w:rsid w:val="0FE62E26"/>
    <w:rsid w:val="10147078"/>
    <w:rsid w:val="10362E55"/>
    <w:rsid w:val="10644165"/>
    <w:rsid w:val="10685029"/>
    <w:rsid w:val="10705FCA"/>
    <w:rsid w:val="109E6C9D"/>
    <w:rsid w:val="10BF0A8A"/>
    <w:rsid w:val="10C71F7C"/>
    <w:rsid w:val="10C806D6"/>
    <w:rsid w:val="10CF6E57"/>
    <w:rsid w:val="10F570EC"/>
    <w:rsid w:val="113A7359"/>
    <w:rsid w:val="113B44EC"/>
    <w:rsid w:val="11597C61"/>
    <w:rsid w:val="115C4C5D"/>
    <w:rsid w:val="11610760"/>
    <w:rsid w:val="1171606E"/>
    <w:rsid w:val="11731ED8"/>
    <w:rsid w:val="11861F2F"/>
    <w:rsid w:val="119A13D5"/>
    <w:rsid w:val="11AA5B71"/>
    <w:rsid w:val="11B83ECD"/>
    <w:rsid w:val="120A26AB"/>
    <w:rsid w:val="12240695"/>
    <w:rsid w:val="123F1DBA"/>
    <w:rsid w:val="124872AD"/>
    <w:rsid w:val="127A403A"/>
    <w:rsid w:val="127D1806"/>
    <w:rsid w:val="128120DE"/>
    <w:rsid w:val="12B97DBE"/>
    <w:rsid w:val="12E55022"/>
    <w:rsid w:val="12F412C6"/>
    <w:rsid w:val="13033073"/>
    <w:rsid w:val="13117D95"/>
    <w:rsid w:val="1340228E"/>
    <w:rsid w:val="1363442E"/>
    <w:rsid w:val="13654DDA"/>
    <w:rsid w:val="13737112"/>
    <w:rsid w:val="13817B06"/>
    <w:rsid w:val="138402B8"/>
    <w:rsid w:val="13855EF2"/>
    <w:rsid w:val="139323BD"/>
    <w:rsid w:val="13DD5D2E"/>
    <w:rsid w:val="13DE5AD5"/>
    <w:rsid w:val="13E42C19"/>
    <w:rsid w:val="13F15336"/>
    <w:rsid w:val="140760EC"/>
    <w:rsid w:val="140C3984"/>
    <w:rsid w:val="14123C2A"/>
    <w:rsid w:val="141B23B3"/>
    <w:rsid w:val="142B6AD5"/>
    <w:rsid w:val="143174A5"/>
    <w:rsid w:val="1432607A"/>
    <w:rsid w:val="144913EC"/>
    <w:rsid w:val="14891A12"/>
    <w:rsid w:val="14A12F69"/>
    <w:rsid w:val="14A47312"/>
    <w:rsid w:val="14B21774"/>
    <w:rsid w:val="15080B89"/>
    <w:rsid w:val="151D361E"/>
    <w:rsid w:val="154F0566"/>
    <w:rsid w:val="15632263"/>
    <w:rsid w:val="156404B5"/>
    <w:rsid w:val="15910B7E"/>
    <w:rsid w:val="15EA64E1"/>
    <w:rsid w:val="15FD6214"/>
    <w:rsid w:val="16021A7C"/>
    <w:rsid w:val="16135A37"/>
    <w:rsid w:val="161B2829"/>
    <w:rsid w:val="16224EF4"/>
    <w:rsid w:val="162352F4"/>
    <w:rsid w:val="165A6908"/>
    <w:rsid w:val="167D7355"/>
    <w:rsid w:val="167E531B"/>
    <w:rsid w:val="168800B8"/>
    <w:rsid w:val="16AE750E"/>
    <w:rsid w:val="16B03286"/>
    <w:rsid w:val="16DA0303"/>
    <w:rsid w:val="16EF3DAF"/>
    <w:rsid w:val="16F413A1"/>
    <w:rsid w:val="172315BE"/>
    <w:rsid w:val="172F68A1"/>
    <w:rsid w:val="174262C0"/>
    <w:rsid w:val="175C2C51"/>
    <w:rsid w:val="17D27FAE"/>
    <w:rsid w:val="17DD62FD"/>
    <w:rsid w:val="17E029C8"/>
    <w:rsid w:val="17E4768B"/>
    <w:rsid w:val="180E3B64"/>
    <w:rsid w:val="184D6BA9"/>
    <w:rsid w:val="185F6D12"/>
    <w:rsid w:val="18872601"/>
    <w:rsid w:val="18A92683"/>
    <w:rsid w:val="18AE6014"/>
    <w:rsid w:val="18C13529"/>
    <w:rsid w:val="18E76CBF"/>
    <w:rsid w:val="18FB442B"/>
    <w:rsid w:val="1915691B"/>
    <w:rsid w:val="192A70E1"/>
    <w:rsid w:val="199537E4"/>
    <w:rsid w:val="19AD7F51"/>
    <w:rsid w:val="19D43730"/>
    <w:rsid w:val="19EF1E3B"/>
    <w:rsid w:val="19F55262"/>
    <w:rsid w:val="19FC300D"/>
    <w:rsid w:val="1A383CBF"/>
    <w:rsid w:val="1A444411"/>
    <w:rsid w:val="1A62202C"/>
    <w:rsid w:val="1A7A46E4"/>
    <w:rsid w:val="1AA0476B"/>
    <w:rsid w:val="1ABE076A"/>
    <w:rsid w:val="1AD34378"/>
    <w:rsid w:val="1AE00C81"/>
    <w:rsid w:val="1AFA0F74"/>
    <w:rsid w:val="1B24673C"/>
    <w:rsid w:val="1B2E0C1E"/>
    <w:rsid w:val="1B320F29"/>
    <w:rsid w:val="1B4D5028"/>
    <w:rsid w:val="1B773639"/>
    <w:rsid w:val="1BA53426"/>
    <w:rsid w:val="1BB90E2F"/>
    <w:rsid w:val="1BC31AC4"/>
    <w:rsid w:val="1BD1468F"/>
    <w:rsid w:val="1BDB2B53"/>
    <w:rsid w:val="1BF0416D"/>
    <w:rsid w:val="1C0A2565"/>
    <w:rsid w:val="1C27223D"/>
    <w:rsid w:val="1C2B6B2F"/>
    <w:rsid w:val="1C55362C"/>
    <w:rsid w:val="1C8F393E"/>
    <w:rsid w:val="1CA05B4B"/>
    <w:rsid w:val="1CAC058A"/>
    <w:rsid w:val="1CC20766"/>
    <w:rsid w:val="1CC96E50"/>
    <w:rsid w:val="1CDD6D9F"/>
    <w:rsid w:val="1CE27F12"/>
    <w:rsid w:val="1D063C00"/>
    <w:rsid w:val="1D1237D5"/>
    <w:rsid w:val="1D152095"/>
    <w:rsid w:val="1D3554C9"/>
    <w:rsid w:val="1D57445C"/>
    <w:rsid w:val="1DB750A2"/>
    <w:rsid w:val="1DC51D0D"/>
    <w:rsid w:val="1DD7559C"/>
    <w:rsid w:val="1DE34991"/>
    <w:rsid w:val="1E081BFA"/>
    <w:rsid w:val="1E2C58E8"/>
    <w:rsid w:val="1E6C333E"/>
    <w:rsid w:val="1E6D68D2"/>
    <w:rsid w:val="1E705BCC"/>
    <w:rsid w:val="1E832DF2"/>
    <w:rsid w:val="1E9967BB"/>
    <w:rsid w:val="1EB8717C"/>
    <w:rsid w:val="1ECC6AB2"/>
    <w:rsid w:val="1ECF104B"/>
    <w:rsid w:val="1EFF4DAB"/>
    <w:rsid w:val="1F0152BD"/>
    <w:rsid w:val="1F2A72A4"/>
    <w:rsid w:val="1F3558B5"/>
    <w:rsid w:val="1F4201E6"/>
    <w:rsid w:val="1F43738D"/>
    <w:rsid w:val="1F692CF3"/>
    <w:rsid w:val="1F8119CF"/>
    <w:rsid w:val="1F8A3212"/>
    <w:rsid w:val="1FCC54BF"/>
    <w:rsid w:val="1FD955FC"/>
    <w:rsid w:val="20104D96"/>
    <w:rsid w:val="202F7639"/>
    <w:rsid w:val="20607ACB"/>
    <w:rsid w:val="20847C5E"/>
    <w:rsid w:val="208A38C9"/>
    <w:rsid w:val="20A0436C"/>
    <w:rsid w:val="20A837A8"/>
    <w:rsid w:val="20B84CA3"/>
    <w:rsid w:val="20B90B25"/>
    <w:rsid w:val="20C718F8"/>
    <w:rsid w:val="20CD06F1"/>
    <w:rsid w:val="20F546B7"/>
    <w:rsid w:val="20FB5A46"/>
    <w:rsid w:val="211238C6"/>
    <w:rsid w:val="21415B4F"/>
    <w:rsid w:val="21535882"/>
    <w:rsid w:val="21562C7C"/>
    <w:rsid w:val="21A05C0C"/>
    <w:rsid w:val="21A12149"/>
    <w:rsid w:val="21A25EC1"/>
    <w:rsid w:val="21B83EF1"/>
    <w:rsid w:val="21BE0F4D"/>
    <w:rsid w:val="21DC53A3"/>
    <w:rsid w:val="220D7430"/>
    <w:rsid w:val="22266AF2"/>
    <w:rsid w:val="222C235B"/>
    <w:rsid w:val="22794E74"/>
    <w:rsid w:val="227E248B"/>
    <w:rsid w:val="22803C35"/>
    <w:rsid w:val="22837AA1"/>
    <w:rsid w:val="22847ED7"/>
    <w:rsid w:val="22920DB6"/>
    <w:rsid w:val="22995516"/>
    <w:rsid w:val="22DB168B"/>
    <w:rsid w:val="22F015DA"/>
    <w:rsid w:val="22F34C27"/>
    <w:rsid w:val="22FF1DC4"/>
    <w:rsid w:val="23185C3E"/>
    <w:rsid w:val="231B23CF"/>
    <w:rsid w:val="232343C6"/>
    <w:rsid w:val="232F5BFF"/>
    <w:rsid w:val="23627FFE"/>
    <w:rsid w:val="239A4BCB"/>
    <w:rsid w:val="23B6281C"/>
    <w:rsid w:val="23BA1BE8"/>
    <w:rsid w:val="23CB16FF"/>
    <w:rsid w:val="23CF4AD8"/>
    <w:rsid w:val="23DC25DC"/>
    <w:rsid w:val="23E2040E"/>
    <w:rsid w:val="23E66539"/>
    <w:rsid w:val="23F47EA3"/>
    <w:rsid w:val="24465CBC"/>
    <w:rsid w:val="244D19E5"/>
    <w:rsid w:val="244F40DF"/>
    <w:rsid w:val="244F4D25"/>
    <w:rsid w:val="246547D2"/>
    <w:rsid w:val="246D5DE4"/>
    <w:rsid w:val="24813BE3"/>
    <w:rsid w:val="24952AED"/>
    <w:rsid w:val="24D55150"/>
    <w:rsid w:val="24E30CCB"/>
    <w:rsid w:val="24EF6ACB"/>
    <w:rsid w:val="251A12ED"/>
    <w:rsid w:val="2536687B"/>
    <w:rsid w:val="254E6E50"/>
    <w:rsid w:val="25536B14"/>
    <w:rsid w:val="255524A9"/>
    <w:rsid w:val="255D0B9A"/>
    <w:rsid w:val="256B319A"/>
    <w:rsid w:val="25973F8F"/>
    <w:rsid w:val="25981BED"/>
    <w:rsid w:val="25D22791"/>
    <w:rsid w:val="25D61B6D"/>
    <w:rsid w:val="25E740D0"/>
    <w:rsid w:val="25EE7927"/>
    <w:rsid w:val="25F147AA"/>
    <w:rsid w:val="25F9482C"/>
    <w:rsid w:val="26152D46"/>
    <w:rsid w:val="262275D1"/>
    <w:rsid w:val="263A491A"/>
    <w:rsid w:val="2650413E"/>
    <w:rsid w:val="26647BE9"/>
    <w:rsid w:val="26674E6B"/>
    <w:rsid w:val="26832765"/>
    <w:rsid w:val="26834513"/>
    <w:rsid w:val="268F4C66"/>
    <w:rsid w:val="26A06E73"/>
    <w:rsid w:val="26A92E9F"/>
    <w:rsid w:val="26CA303B"/>
    <w:rsid w:val="26D03A87"/>
    <w:rsid w:val="26E52AD8"/>
    <w:rsid w:val="26E66850"/>
    <w:rsid w:val="26ED7BDF"/>
    <w:rsid w:val="27126FD7"/>
    <w:rsid w:val="272B58EA"/>
    <w:rsid w:val="2734505D"/>
    <w:rsid w:val="273708BD"/>
    <w:rsid w:val="274F178B"/>
    <w:rsid w:val="276A2CDE"/>
    <w:rsid w:val="277F6F78"/>
    <w:rsid w:val="27853190"/>
    <w:rsid w:val="27887700"/>
    <w:rsid w:val="278B7A0E"/>
    <w:rsid w:val="27920CEA"/>
    <w:rsid w:val="27960276"/>
    <w:rsid w:val="27A67BE5"/>
    <w:rsid w:val="27B22C6C"/>
    <w:rsid w:val="27B4697B"/>
    <w:rsid w:val="27C22E19"/>
    <w:rsid w:val="27C62527"/>
    <w:rsid w:val="27D100FA"/>
    <w:rsid w:val="27D47410"/>
    <w:rsid w:val="27EE3C0E"/>
    <w:rsid w:val="28077F17"/>
    <w:rsid w:val="28175C2D"/>
    <w:rsid w:val="28383327"/>
    <w:rsid w:val="283D68EF"/>
    <w:rsid w:val="28480BDC"/>
    <w:rsid w:val="28490B8A"/>
    <w:rsid w:val="284A42BE"/>
    <w:rsid w:val="288307FB"/>
    <w:rsid w:val="288D390E"/>
    <w:rsid w:val="289A49AC"/>
    <w:rsid w:val="28A90D0B"/>
    <w:rsid w:val="28B01D10"/>
    <w:rsid w:val="28DB4651"/>
    <w:rsid w:val="29003BF9"/>
    <w:rsid w:val="29017B27"/>
    <w:rsid w:val="29096EBF"/>
    <w:rsid w:val="291B4956"/>
    <w:rsid w:val="295043D8"/>
    <w:rsid w:val="296707A4"/>
    <w:rsid w:val="297168A5"/>
    <w:rsid w:val="297B2229"/>
    <w:rsid w:val="29846CBA"/>
    <w:rsid w:val="29923FC6"/>
    <w:rsid w:val="299627B0"/>
    <w:rsid w:val="299D58EC"/>
    <w:rsid w:val="29B15DDE"/>
    <w:rsid w:val="29CA4A05"/>
    <w:rsid w:val="29E3402F"/>
    <w:rsid w:val="29F73CC8"/>
    <w:rsid w:val="2A002667"/>
    <w:rsid w:val="2A250A71"/>
    <w:rsid w:val="2A25684B"/>
    <w:rsid w:val="2A261D85"/>
    <w:rsid w:val="2A26348C"/>
    <w:rsid w:val="2A5E32CD"/>
    <w:rsid w:val="2A623950"/>
    <w:rsid w:val="2A6D0F47"/>
    <w:rsid w:val="2A810D6A"/>
    <w:rsid w:val="2A924D25"/>
    <w:rsid w:val="2AB92256"/>
    <w:rsid w:val="2AC62C21"/>
    <w:rsid w:val="2ACE1E53"/>
    <w:rsid w:val="2AF45B19"/>
    <w:rsid w:val="2B081B32"/>
    <w:rsid w:val="2B2D2CA0"/>
    <w:rsid w:val="2B406E77"/>
    <w:rsid w:val="2B495075"/>
    <w:rsid w:val="2B5743BB"/>
    <w:rsid w:val="2B62420B"/>
    <w:rsid w:val="2B6366C1"/>
    <w:rsid w:val="2B8C5C18"/>
    <w:rsid w:val="2B964CE9"/>
    <w:rsid w:val="2BC47018"/>
    <w:rsid w:val="2BCB7442"/>
    <w:rsid w:val="2BD355F5"/>
    <w:rsid w:val="2BEE0681"/>
    <w:rsid w:val="2BF47B91"/>
    <w:rsid w:val="2C0C2425"/>
    <w:rsid w:val="2C132325"/>
    <w:rsid w:val="2C427CE3"/>
    <w:rsid w:val="2C7D1337"/>
    <w:rsid w:val="2CBA11C5"/>
    <w:rsid w:val="2CBE711C"/>
    <w:rsid w:val="2CD80DEF"/>
    <w:rsid w:val="2D0068BE"/>
    <w:rsid w:val="2D04195B"/>
    <w:rsid w:val="2D0637A8"/>
    <w:rsid w:val="2D07058C"/>
    <w:rsid w:val="2D256324"/>
    <w:rsid w:val="2D4D13D7"/>
    <w:rsid w:val="2D656721"/>
    <w:rsid w:val="2D713B88"/>
    <w:rsid w:val="2D8F207D"/>
    <w:rsid w:val="2D917516"/>
    <w:rsid w:val="2D9920E6"/>
    <w:rsid w:val="2D9C42BC"/>
    <w:rsid w:val="2DA753EC"/>
    <w:rsid w:val="2DA76D39"/>
    <w:rsid w:val="2DC518B5"/>
    <w:rsid w:val="2DD5001A"/>
    <w:rsid w:val="2DD62C2E"/>
    <w:rsid w:val="2DDF4725"/>
    <w:rsid w:val="2E10231E"/>
    <w:rsid w:val="2E220AB6"/>
    <w:rsid w:val="2E3A1431"/>
    <w:rsid w:val="2E417CA3"/>
    <w:rsid w:val="2E4501EC"/>
    <w:rsid w:val="2E5844D8"/>
    <w:rsid w:val="2E725599"/>
    <w:rsid w:val="2E767352"/>
    <w:rsid w:val="2E8768EC"/>
    <w:rsid w:val="2EA02EE8"/>
    <w:rsid w:val="2EB72FAC"/>
    <w:rsid w:val="2ECF230F"/>
    <w:rsid w:val="2EF220D0"/>
    <w:rsid w:val="2F071AA9"/>
    <w:rsid w:val="2F0D7070"/>
    <w:rsid w:val="2F0F176F"/>
    <w:rsid w:val="2F1D7493"/>
    <w:rsid w:val="2F300FB0"/>
    <w:rsid w:val="2F321A65"/>
    <w:rsid w:val="2F3A598B"/>
    <w:rsid w:val="2F3F11F4"/>
    <w:rsid w:val="2F5C7FF7"/>
    <w:rsid w:val="2FC53274"/>
    <w:rsid w:val="2FD73A0C"/>
    <w:rsid w:val="2FDB163C"/>
    <w:rsid w:val="2FE25206"/>
    <w:rsid w:val="2FE303AE"/>
    <w:rsid w:val="2FF662F5"/>
    <w:rsid w:val="2FF90936"/>
    <w:rsid w:val="30334ACB"/>
    <w:rsid w:val="306164E1"/>
    <w:rsid w:val="306B6A91"/>
    <w:rsid w:val="30833B13"/>
    <w:rsid w:val="309D339E"/>
    <w:rsid w:val="30AE21AF"/>
    <w:rsid w:val="30C17A75"/>
    <w:rsid w:val="30CA29AD"/>
    <w:rsid w:val="30FA20C4"/>
    <w:rsid w:val="30FC52B5"/>
    <w:rsid w:val="31025BEE"/>
    <w:rsid w:val="3110771A"/>
    <w:rsid w:val="31260162"/>
    <w:rsid w:val="314375FF"/>
    <w:rsid w:val="314820DA"/>
    <w:rsid w:val="31534716"/>
    <w:rsid w:val="316A6A7E"/>
    <w:rsid w:val="31880C30"/>
    <w:rsid w:val="31C550D4"/>
    <w:rsid w:val="31C64430"/>
    <w:rsid w:val="31DB0486"/>
    <w:rsid w:val="31DF5CA7"/>
    <w:rsid w:val="31E83DC4"/>
    <w:rsid w:val="32081D71"/>
    <w:rsid w:val="32116418"/>
    <w:rsid w:val="32164A45"/>
    <w:rsid w:val="322F2FD1"/>
    <w:rsid w:val="323E3635"/>
    <w:rsid w:val="326F1DF0"/>
    <w:rsid w:val="329830F5"/>
    <w:rsid w:val="329D086E"/>
    <w:rsid w:val="32A0644D"/>
    <w:rsid w:val="32B141B6"/>
    <w:rsid w:val="33036E71"/>
    <w:rsid w:val="33150BE9"/>
    <w:rsid w:val="331A6C1E"/>
    <w:rsid w:val="332901F1"/>
    <w:rsid w:val="332B5D17"/>
    <w:rsid w:val="334301D8"/>
    <w:rsid w:val="334641B2"/>
    <w:rsid w:val="33642B33"/>
    <w:rsid w:val="336631F3"/>
    <w:rsid w:val="336867E5"/>
    <w:rsid w:val="33735E81"/>
    <w:rsid w:val="33842269"/>
    <w:rsid w:val="338B4FAA"/>
    <w:rsid w:val="33A131F3"/>
    <w:rsid w:val="33A855B9"/>
    <w:rsid w:val="33D9726A"/>
    <w:rsid w:val="33DA1498"/>
    <w:rsid w:val="33F00D0E"/>
    <w:rsid w:val="33F31CB7"/>
    <w:rsid w:val="33F572C4"/>
    <w:rsid w:val="34160775"/>
    <w:rsid w:val="34190265"/>
    <w:rsid w:val="34627E5E"/>
    <w:rsid w:val="34633A60"/>
    <w:rsid w:val="34844EB9"/>
    <w:rsid w:val="348D60D4"/>
    <w:rsid w:val="34963F3F"/>
    <w:rsid w:val="349A5D8B"/>
    <w:rsid w:val="34B02C4E"/>
    <w:rsid w:val="34C664DD"/>
    <w:rsid w:val="34D158EA"/>
    <w:rsid w:val="34D16D92"/>
    <w:rsid w:val="34D348B8"/>
    <w:rsid w:val="34E649F1"/>
    <w:rsid w:val="34EE541B"/>
    <w:rsid w:val="350A1DB9"/>
    <w:rsid w:val="35197E58"/>
    <w:rsid w:val="351B1DBB"/>
    <w:rsid w:val="353A3EF8"/>
    <w:rsid w:val="354E3F3E"/>
    <w:rsid w:val="355A28E3"/>
    <w:rsid w:val="356279EA"/>
    <w:rsid w:val="35C72486"/>
    <w:rsid w:val="36032F7B"/>
    <w:rsid w:val="36211653"/>
    <w:rsid w:val="364F0F9F"/>
    <w:rsid w:val="36570F1E"/>
    <w:rsid w:val="366652B8"/>
    <w:rsid w:val="36D6243D"/>
    <w:rsid w:val="36D93CDC"/>
    <w:rsid w:val="36DF7544"/>
    <w:rsid w:val="36E320F2"/>
    <w:rsid w:val="36E95CBF"/>
    <w:rsid w:val="37172072"/>
    <w:rsid w:val="371E2C4F"/>
    <w:rsid w:val="37240659"/>
    <w:rsid w:val="374D496F"/>
    <w:rsid w:val="3768226B"/>
    <w:rsid w:val="377063EE"/>
    <w:rsid w:val="377D2DBF"/>
    <w:rsid w:val="37977C3C"/>
    <w:rsid w:val="37B073B9"/>
    <w:rsid w:val="37E666B0"/>
    <w:rsid w:val="37EA7B7C"/>
    <w:rsid w:val="37F671F9"/>
    <w:rsid w:val="37FF4F6A"/>
    <w:rsid w:val="381E78D3"/>
    <w:rsid w:val="3821593A"/>
    <w:rsid w:val="383701B5"/>
    <w:rsid w:val="38611E86"/>
    <w:rsid w:val="387E4B3B"/>
    <w:rsid w:val="388B62BD"/>
    <w:rsid w:val="38935877"/>
    <w:rsid w:val="38B8587C"/>
    <w:rsid w:val="38EF77E6"/>
    <w:rsid w:val="3942025E"/>
    <w:rsid w:val="3965703B"/>
    <w:rsid w:val="396C0E37"/>
    <w:rsid w:val="39887364"/>
    <w:rsid w:val="399860D0"/>
    <w:rsid w:val="39C649EB"/>
    <w:rsid w:val="39D00B94"/>
    <w:rsid w:val="3A0E5146"/>
    <w:rsid w:val="3A161A24"/>
    <w:rsid w:val="3A1A0893"/>
    <w:rsid w:val="3A1E65D5"/>
    <w:rsid w:val="3A39340F"/>
    <w:rsid w:val="3A6B1891"/>
    <w:rsid w:val="3A7A1F34"/>
    <w:rsid w:val="3A8A77C7"/>
    <w:rsid w:val="3A9248CD"/>
    <w:rsid w:val="3AC73AE7"/>
    <w:rsid w:val="3ACA35C5"/>
    <w:rsid w:val="3ACC4283"/>
    <w:rsid w:val="3ADF4930"/>
    <w:rsid w:val="3B096DEB"/>
    <w:rsid w:val="3B0A0908"/>
    <w:rsid w:val="3B1874C8"/>
    <w:rsid w:val="3B3068D9"/>
    <w:rsid w:val="3B437011"/>
    <w:rsid w:val="3B494880"/>
    <w:rsid w:val="3B4B75F2"/>
    <w:rsid w:val="3B567FF1"/>
    <w:rsid w:val="3B6A6C7C"/>
    <w:rsid w:val="3B8523F1"/>
    <w:rsid w:val="3B903D50"/>
    <w:rsid w:val="3B91653C"/>
    <w:rsid w:val="3BA945C4"/>
    <w:rsid w:val="3BD12293"/>
    <w:rsid w:val="3BE455FD"/>
    <w:rsid w:val="3BEF2420"/>
    <w:rsid w:val="3C1F4887"/>
    <w:rsid w:val="3C2E07BA"/>
    <w:rsid w:val="3C5067EE"/>
    <w:rsid w:val="3C5F4C83"/>
    <w:rsid w:val="3C6978B0"/>
    <w:rsid w:val="3C9A3DEE"/>
    <w:rsid w:val="3CAD5337"/>
    <w:rsid w:val="3CB32382"/>
    <w:rsid w:val="3CDF5E57"/>
    <w:rsid w:val="3CE31410"/>
    <w:rsid w:val="3CE84C78"/>
    <w:rsid w:val="3CFB0E50"/>
    <w:rsid w:val="3CFC0570"/>
    <w:rsid w:val="3D152E3B"/>
    <w:rsid w:val="3D217FFC"/>
    <w:rsid w:val="3D424389"/>
    <w:rsid w:val="3D5839EB"/>
    <w:rsid w:val="3D5E5D7A"/>
    <w:rsid w:val="3D606F05"/>
    <w:rsid w:val="3D615AAB"/>
    <w:rsid w:val="3D6D06A3"/>
    <w:rsid w:val="3DC91C62"/>
    <w:rsid w:val="3E077380"/>
    <w:rsid w:val="3E2E206D"/>
    <w:rsid w:val="3E2E7BFD"/>
    <w:rsid w:val="3E7C5339"/>
    <w:rsid w:val="3E9E7CE5"/>
    <w:rsid w:val="3EA741B3"/>
    <w:rsid w:val="3EB70DA6"/>
    <w:rsid w:val="3ED431BF"/>
    <w:rsid w:val="3F3138FC"/>
    <w:rsid w:val="3F626F64"/>
    <w:rsid w:val="3F6D6663"/>
    <w:rsid w:val="3F6F342F"/>
    <w:rsid w:val="3F786788"/>
    <w:rsid w:val="3F8D556B"/>
    <w:rsid w:val="3FA4757D"/>
    <w:rsid w:val="3FAA3B64"/>
    <w:rsid w:val="3FD11EED"/>
    <w:rsid w:val="3FD55988"/>
    <w:rsid w:val="3FDD65EB"/>
    <w:rsid w:val="3FE936B5"/>
    <w:rsid w:val="401B7113"/>
    <w:rsid w:val="402A3F1D"/>
    <w:rsid w:val="402B37FA"/>
    <w:rsid w:val="4093314D"/>
    <w:rsid w:val="40C549DC"/>
    <w:rsid w:val="40E0155A"/>
    <w:rsid w:val="40EE65D6"/>
    <w:rsid w:val="41071826"/>
    <w:rsid w:val="41097D80"/>
    <w:rsid w:val="411B386E"/>
    <w:rsid w:val="4148640D"/>
    <w:rsid w:val="41526B64"/>
    <w:rsid w:val="418B02DE"/>
    <w:rsid w:val="41A41E99"/>
    <w:rsid w:val="41B31CF9"/>
    <w:rsid w:val="41B7114E"/>
    <w:rsid w:val="41EB146A"/>
    <w:rsid w:val="41F67E38"/>
    <w:rsid w:val="41F73C96"/>
    <w:rsid w:val="420E5181"/>
    <w:rsid w:val="42103651"/>
    <w:rsid w:val="421502BE"/>
    <w:rsid w:val="42172E09"/>
    <w:rsid w:val="42260D80"/>
    <w:rsid w:val="422800C4"/>
    <w:rsid w:val="422E312E"/>
    <w:rsid w:val="42304DCB"/>
    <w:rsid w:val="425B55D8"/>
    <w:rsid w:val="42BD0A46"/>
    <w:rsid w:val="42C512FB"/>
    <w:rsid w:val="42D24401"/>
    <w:rsid w:val="42E756C5"/>
    <w:rsid w:val="42EC22F6"/>
    <w:rsid w:val="43065E58"/>
    <w:rsid w:val="431C7F89"/>
    <w:rsid w:val="43284021"/>
    <w:rsid w:val="43324D3B"/>
    <w:rsid w:val="4339622E"/>
    <w:rsid w:val="433A2642"/>
    <w:rsid w:val="435818D4"/>
    <w:rsid w:val="437A0AD4"/>
    <w:rsid w:val="43853221"/>
    <w:rsid w:val="43874121"/>
    <w:rsid w:val="43A44CBA"/>
    <w:rsid w:val="43AF029E"/>
    <w:rsid w:val="43C466EB"/>
    <w:rsid w:val="43D1290A"/>
    <w:rsid w:val="4427252A"/>
    <w:rsid w:val="44590E3F"/>
    <w:rsid w:val="445E7F59"/>
    <w:rsid w:val="44A67896"/>
    <w:rsid w:val="44A91191"/>
    <w:rsid w:val="44A92F3F"/>
    <w:rsid w:val="44B5256F"/>
    <w:rsid w:val="44C71778"/>
    <w:rsid w:val="44E12F57"/>
    <w:rsid w:val="451302DE"/>
    <w:rsid w:val="451376C1"/>
    <w:rsid w:val="45592BB7"/>
    <w:rsid w:val="455D6D5F"/>
    <w:rsid w:val="45701CAF"/>
    <w:rsid w:val="45B71B11"/>
    <w:rsid w:val="45B778DE"/>
    <w:rsid w:val="45B95580"/>
    <w:rsid w:val="45BA10C5"/>
    <w:rsid w:val="45C142B9"/>
    <w:rsid w:val="45F4468E"/>
    <w:rsid w:val="460155D9"/>
    <w:rsid w:val="460A7EE3"/>
    <w:rsid w:val="46271523"/>
    <w:rsid w:val="462D194E"/>
    <w:rsid w:val="465F4E30"/>
    <w:rsid w:val="469519CD"/>
    <w:rsid w:val="469879CA"/>
    <w:rsid w:val="46BF1035"/>
    <w:rsid w:val="47147BD5"/>
    <w:rsid w:val="4715739B"/>
    <w:rsid w:val="476620AC"/>
    <w:rsid w:val="4799013B"/>
    <w:rsid w:val="479E648A"/>
    <w:rsid w:val="47BE4873"/>
    <w:rsid w:val="47D05D34"/>
    <w:rsid w:val="483D231C"/>
    <w:rsid w:val="484506F7"/>
    <w:rsid w:val="485B6C46"/>
    <w:rsid w:val="48783354"/>
    <w:rsid w:val="487D056E"/>
    <w:rsid w:val="48A11624"/>
    <w:rsid w:val="48AF5FEF"/>
    <w:rsid w:val="48B50408"/>
    <w:rsid w:val="48E02C37"/>
    <w:rsid w:val="492D763A"/>
    <w:rsid w:val="496362C2"/>
    <w:rsid w:val="496F51B4"/>
    <w:rsid w:val="499C60AE"/>
    <w:rsid w:val="49A40179"/>
    <w:rsid w:val="49A72240"/>
    <w:rsid w:val="49CB1BAA"/>
    <w:rsid w:val="49CF6810"/>
    <w:rsid w:val="4A003601"/>
    <w:rsid w:val="4A116A41"/>
    <w:rsid w:val="4A1470AD"/>
    <w:rsid w:val="4A2B177C"/>
    <w:rsid w:val="4A431740"/>
    <w:rsid w:val="4A6601A3"/>
    <w:rsid w:val="4A7F34DA"/>
    <w:rsid w:val="4A890ED6"/>
    <w:rsid w:val="4A8D3670"/>
    <w:rsid w:val="4A965D14"/>
    <w:rsid w:val="4AC05487"/>
    <w:rsid w:val="4AFD2237"/>
    <w:rsid w:val="4B2257F9"/>
    <w:rsid w:val="4B2B0B52"/>
    <w:rsid w:val="4B376839"/>
    <w:rsid w:val="4B4E0533"/>
    <w:rsid w:val="4B4E4840"/>
    <w:rsid w:val="4B4F0750"/>
    <w:rsid w:val="4B4F1990"/>
    <w:rsid w:val="4B75001F"/>
    <w:rsid w:val="4B9B1E02"/>
    <w:rsid w:val="4BA91A77"/>
    <w:rsid w:val="4BBA1ED6"/>
    <w:rsid w:val="4BC863A1"/>
    <w:rsid w:val="4BE759D5"/>
    <w:rsid w:val="4BF4363A"/>
    <w:rsid w:val="4BF4668B"/>
    <w:rsid w:val="4BF70A34"/>
    <w:rsid w:val="4BFF0910"/>
    <w:rsid w:val="4C1432BC"/>
    <w:rsid w:val="4C2F29BE"/>
    <w:rsid w:val="4C5A1C92"/>
    <w:rsid w:val="4C5D614A"/>
    <w:rsid w:val="4C601BB3"/>
    <w:rsid w:val="4C7B3413"/>
    <w:rsid w:val="4C9C479A"/>
    <w:rsid w:val="4C9E5354"/>
    <w:rsid w:val="4CAF5B83"/>
    <w:rsid w:val="4CC6019D"/>
    <w:rsid w:val="4CCF612A"/>
    <w:rsid w:val="4CD945DE"/>
    <w:rsid w:val="4CDD40CE"/>
    <w:rsid w:val="4CE216E4"/>
    <w:rsid w:val="4CE27936"/>
    <w:rsid w:val="4D005027"/>
    <w:rsid w:val="4D1A32BA"/>
    <w:rsid w:val="4D4C50E4"/>
    <w:rsid w:val="4D5D0D6B"/>
    <w:rsid w:val="4D7C333E"/>
    <w:rsid w:val="4D805CA4"/>
    <w:rsid w:val="4D891B60"/>
    <w:rsid w:val="4DB0533F"/>
    <w:rsid w:val="4DBC3CE3"/>
    <w:rsid w:val="4DC176EF"/>
    <w:rsid w:val="4DC96400"/>
    <w:rsid w:val="4DE712D5"/>
    <w:rsid w:val="4DF711BF"/>
    <w:rsid w:val="4E07496F"/>
    <w:rsid w:val="4E1A0D1A"/>
    <w:rsid w:val="4E276CCD"/>
    <w:rsid w:val="4E2875CB"/>
    <w:rsid w:val="4E3F7F89"/>
    <w:rsid w:val="4E802CA1"/>
    <w:rsid w:val="4E834801"/>
    <w:rsid w:val="4E865164"/>
    <w:rsid w:val="4E8F62C2"/>
    <w:rsid w:val="4E9C4FE8"/>
    <w:rsid w:val="4EA12F2C"/>
    <w:rsid w:val="4EB92457"/>
    <w:rsid w:val="4ECD685D"/>
    <w:rsid w:val="4EE67094"/>
    <w:rsid w:val="4EEE25F0"/>
    <w:rsid w:val="4F0771E0"/>
    <w:rsid w:val="4F1F4BD3"/>
    <w:rsid w:val="4F2B31C3"/>
    <w:rsid w:val="4F473A81"/>
    <w:rsid w:val="4F562CCF"/>
    <w:rsid w:val="4FB808B8"/>
    <w:rsid w:val="4FCA0E8E"/>
    <w:rsid w:val="4FDF63AF"/>
    <w:rsid w:val="4FEA1F32"/>
    <w:rsid w:val="4FED6C7C"/>
    <w:rsid w:val="4FF53E4A"/>
    <w:rsid w:val="50206901"/>
    <w:rsid w:val="50364453"/>
    <w:rsid w:val="50374AE4"/>
    <w:rsid w:val="506F73E0"/>
    <w:rsid w:val="50723FA4"/>
    <w:rsid w:val="507B1B11"/>
    <w:rsid w:val="50921E0B"/>
    <w:rsid w:val="509267B4"/>
    <w:rsid w:val="50B16D4A"/>
    <w:rsid w:val="50BB2978"/>
    <w:rsid w:val="50BD4E1F"/>
    <w:rsid w:val="50BE7D72"/>
    <w:rsid w:val="51033C78"/>
    <w:rsid w:val="5139213B"/>
    <w:rsid w:val="514D42FE"/>
    <w:rsid w:val="51865FE2"/>
    <w:rsid w:val="51890F52"/>
    <w:rsid w:val="518E1E3B"/>
    <w:rsid w:val="518F2482"/>
    <w:rsid w:val="51962A9D"/>
    <w:rsid w:val="51A10970"/>
    <w:rsid w:val="51B7558C"/>
    <w:rsid w:val="51BA64BB"/>
    <w:rsid w:val="51BD44CE"/>
    <w:rsid w:val="51CF03A0"/>
    <w:rsid w:val="51D449D7"/>
    <w:rsid w:val="51D5494E"/>
    <w:rsid w:val="51D61D88"/>
    <w:rsid w:val="51D86880"/>
    <w:rsid w:val="51ED32B0"/>
    <w:rsid w:val="51FC2A61"/>
    <w:rsid w:val="52305A4C"/>
    <w:rsid w:val="525941F7"/>
    <w:rsid w:val="525C3CE7"/>
    <w:rsid w:val="52790720"/>
    <w:rsid w:val="529C042A"/>
    <w:rsid w:val="52A20049"/>
    <w:rsid w:val="52B256B5"/>
    <w:rsid w:val="52B6147C"/>
    <w:rsid w:val="52B92EE7"/>
    <w:rsid w:val="52C62F8D"/>
    <w:rsid w:val="52D73541"/>
    <w:rsid w:val="52D76772"/>
    <w:rsid w:val="52EB0BC7"/>
    <w:rsid w:val="52EB3111"/>
    <w:rsid w:val="52F21F55"/>
    <w:rsid w:val="52F61A46"/>
    <w:rsid w:val="5303729C"/>
    <w:rsid w:val="5311687F"/>
    <w:rsid w:val="53163E96"/>
    <w:rsid w:val="53373E0C"/>
    <w:rsid w:val="533B6A69"/>
    <w:rsid w:val="5349426B"/>
    <w:rsid w:val="5366580D"/>
    <w:rsid w:val="537A24E5"/>
    <w:rsid w:val="53AF4198"/>
    <w:rsid w:val="53BE05B9"/>
    <w:rsid w:val="53C14124"/>
    <w:rsid w:val="53C75190"/>
    <w:rsid w:val="53E23643"/>
    <w:rsid w:val="53E45D42"/>
    <w:rsid w:val="53FB2901"/>
    <w:rsid w:val="542B571F"/>
    <w:rsid w:val="543053DD"/>
    <w:rsid w:val="544902DE"/>
    <w:rsid w:val="54AD72FB"/>
    <w:rsid w:val="54C31DFB"/>
    <w:rsid w:val="54DD4AE6"/>
    <w:rsid w:val="55004AAD"/>
    <w:rsid w:val="5507618C"/>
    <w:rsid w:val="5508477A"/>
    <w:rsid w:val="551D2513"/>
    <w:rsid w:val="55270A38"/>
    <w:rsid w:val="55271527"/>
    <w:rsid w:val="55957FC3"/>
    <w:rsid w:val="559A62AF"/>
    <w:rsid w:val="55A00F40"/>
    <w:rsid w:val="55AE6607"/>
    <w:rsid w:val="55B852EE"/>
    <w:rsid w:val="55BA31FE"/>
    <w:rsid w:val="55C57DF1"/>
    <w:rsid w:val="55D77D4F"/>
    <w:rsid w:val="55ED2EE0"/>
    <w:rsid w:val="55F4547F"/>
    <w:rsid w:val="55FC3B84"/>
    <w:rsid w:val="56184813"/>
    <w:rsid w:val="562D7CD9"/>
    <w:rsid w:val="564646E7"/>
    <w:rsid w:val="564D221C"/>
    <w:rsid w:val="565E489A"/>
    <w:rsid w:val="56A63783"/>
    <w:rsid w:val="56C9467C"/>
    <w:rsid w:val="56CD6F61"/>
    <w:rsid w:val="56EB5639"/>
    <w:rsid w:val="56F22A32"/>
    <w:rsid w:val="572A6162"/>
    <w:rsid w:val="573C2881"/>
    <w:rsid w:val="57476D14"/>
    <w:rsid w:val="57503EF1"/>
    <w:rsid w:val="57584FC8"/>
    <w:rsid w:val="57596A47"/>
    <w:rsid w:val="575B27BF"/>
    <w:rsid w:val="576565CB"/>
    <w:rsid w:val="57742049"/>
    <w:rsid w:val="57833712"/>
    <w:rsid w:val="578C6201"/>
    <w:rsid w:val="578D049F"/>
    <w:rsid w:val="579409DA"/>
    <w:rsid w:val="57940B30"/>
    <w:rsid w:val="57BA67C5"/>
    <w:rsid w:val="57C00874"/>
    <w:rsid w:val="57D933E0"/>
    <w:rsid w:val="57E24FBA"/>
    <w:rsid w:val="57EE149B"/>
    <w:rsid w:val="57EF4CB5"/>
    <w:rsid w:val="57F95B34"/>
    <w:rsid w:val="5801089C"/>
    <w:rsid w:val="58124774"/>
    <w:rsid w:val="5815459A"/>
    <w:rsid w:val="58562316"/>
    <w:rsid w:val="58823D7B"/>
    <w:rsid w:val="58847AF3"/>
    <w:rsid w:val="588564EA"/>
    <w:rsid w:val="58A41F44"/>
    <w:rsid w:val="58CE2190"/>
    <w:rsid w:val="58F5454D"/>
    <w:rsid w:val="593005BF"/>
    <w:rsid w:val="596925A5"/>
    <w:rsid w:val="596F5057"/>
    <w:rsid w:val="59A55F73"/>
    <w:rsid w:val="59BE70D6"/>
    <w:rsid w:val="59DD570D"/>
    <w:rsid w:val="5A01354B"/>
    <w:rsid w:val="5A0518B3"/>
    <w:rsid w:val="5A117165"/>
    <w:rsid w:val="5A2275C4"/>
    <w:rsid w:val="5A4A649B"/>
    <w:rsid w:val="5A4C128D"/>
    <w:rsid w:val="5A4C7CA2"/>
    <w:rsid w:val="5A53777D"/>
    <w:rsid w:val="5A584D94"/>
    <w:rsid w:val="5A9009D2"/>
    <w:rsid w:val="5AAE1676"/>
    <w:rsid w:val="5AC55625"/>
    <w:rsid w:val="5ACC6A4D"/>
    <w:rsid w:val="5AD81E24"/>
    <w:rsid w:val="5AE20B01"/>
    <w:rsid w:val="5B0F6823"/>
    <w:rsid w:val="5B2836D5"/>
    <w:rsid w:val="5B661732"/>
    <w:rsid w:val="5B793214"/>
    <w:rsid w:val="5B7A6F8C"/>
    <w:rsid w:val="5B80368C"/>
    <w:rsid w:val="5B9E068A"/>
    <w:rsid w:val="5BDB5C7C"/>
    <w:rsid w:val="5BDB6A8B"/>
    <w:rsid w:val="5BE76B6F"/>
    <w:rsid w:val="5BF6341D"/>
    <w:rsid w:val="5BFA436F"/>
    <w:rsid w:val="5C036F81"/>
    <w:rsid w:val="5C584A0D"/>
    <w:rsid w:val="5C5D2B35"/>
    <w:rsid w:val="5C7560D1"/>
    <w:rsid w:val="5C785A4A"/>
    <w:rsid w:val="5C8A4BAE"/>
    <w:rsid w:val="5C9A0407"/>
    <w:rsid w:val="5CD071EB"/>
    <w:rsid w:val="5CD85AE1"/>
    <w:rsid w:val="5CE7440B"/>
    <w:rsid w:val="5CEC5C67"/>
    <w:rsid w:val="5D03534B"/>
    <w:rsid w:val="5D375134"/>
    <w:rsid w:val="5D59154F"/>
    <w:rsid w:val="5D705BAB"/>
    <w:rsid w:val="5D734AE1"/>
    <w:rsid w:val="5DA452E5"/>
    <w:rsid w:val="5DC310BE"/>
    <w:rsid w:val="5DC42740"/>
    <w:rsid w:val="5DF03535"/>
    <w:rsid w:val="5DF272AD"/>
    <w:rsid w:val="5E317DD6"/>
    <w:rsid w:val="5E3C5005"/>
    <w:rsid w:val="5E3E0745"/>
    <w:rsid w:val="5E736640"/>
    <w:rsid w:val="5E761C8C"/>
    <w:rsid w:val="5E7A731E"/>
    <w:rsid w:val="5E7E23E5"/>
    <w:rsid w:val="5E931BE0"/>
    <w:rsid w:val="5E9E2D4D"/>
    <w:rsid w:val="5EA160B2"/>
    <w:rsid w:val="5EAF00A9"/>
    <w:rsid w:val="5EC62C14"/>
    <w:rsid w:val="5ED7354C"/>
    <w:rsid w:val="5EE60876"/>
    <w:rsid w:val="5EE66E12"/>
    <w:rsid w:val="5EF46E1E"/>
    <w:rsid w:val="5F2A4E35"/>
    <w:rsid w:val="5F484AAD"/>
    <w:rsid w:val="5F704A26"/>
    <w:rsid w:val="5F8D3732"/>
    <w:rsid w:val="5FAB66BA"/>
    <w:rsid w:val="5FAE5456"/>
    <w:rsid w:val="5FB539CC"/>
    <w:rsid w:val="5FCC6526"/>
    <w:rsid w:val="6008100A"/>
    <w:rsid w:val="601654D5"/>
    <w:rsid w:val="60193217"/>
    <w:rsid w:val="601E5502"/>
    <w:rsid w:val="60390672"/>
    <w:rsid w:val="604E1113"/>
    <w:rsid w:val="60593614"/>
    <w:rsid w:val="607272CC"/>
    <w:rsid w:val="607B5964"/>
    <w:rsid w:val="60872213"/>
    <w:rsid w:val="609943F6"/>
    <w:rsid w:val="60BA1016"/>
    <w:rsid w:val="60FC519A"/>
    <w:rsid w:val="61476329"/>
    <w:rsid w:val="614F51FB"/>
    <w:rsid w:val="61533593"/>
    <w:rsid w:val="618302A0"/>
    <w:rsid w:val="6191069B"/>
    <w:rsid w:val="61AA2B5C"/>
    <w:rsid w:val="61CD42B9"/>
    <w:rsid w:val="61D116DC"/>
    <w:rsid w:val="61D24292"/>
    <w:rsid w:val="61FE0917"/>
    <w:rsid w:val="62056794"/>
    <w:rsid w:val="621E68C3"/>
    <w:rsid w:val="623065F6"/>
    <w:rsid w:val="625F5B3B"/>
    <w:rsid w:val="62A0441B"/>
    <w:rsid w:val="62A82919"/>
    <w:rsid w:val="62AE40EB"/>
    <w:rsid w:val="62E07A8F"/>
    <w:rsid w:val="62E23D94"/>
    <w:rsid w:val="631F28F3"/>
    <w:rsid w:val="633A3BD0"/>
    <w:rsid w:val="633C5103"/>
    <w:rsid w:val="63447D3F"/>
    <w:rsid w:val="63487979"/>
    <w:rsid w:val="6355498B"/>
    <w:rsid w:val="63567371"/>
    <w:rsid w:val="635F6634"/>
    <w:rsid w:val="63AE3E09"/>
    <w:rsid w:val="63E47698"/>
    <w:rsid w:val="640F6E0B"/>
    <w:rsid w:val="64254D6C"/>
    <w:rsid w:val="643B7C2E"/>
    <w:rsid w:val="6449573F"/>
    <w:rsid w:val="6461518D"/>
    <w:rsid w:val="648A0240"/>
    <w:rsid w:val="648C61C9"/>
    <w:rsid w:val="649066CE"/>
    <w:rsid w:val="64A0522C"/>
    <w:rsid w:val="64B40718"/>
    <w:rsid w:val="64BE623C"/>
    <w:rsid w:val="64DD4813"/>
    <w:rsid w:val="64E57F6D"/>
    <w:rsid w:val="65165F77"/>
    <w:rsid w:val="65183A9D"/>
    <w:rsid w:val="651E4E2C"/>
    <w:rsid w:val="658A1D19"/>
    <w:rsid w:val="658B25A8"/>
    <w:rsid w:val="65907AD8"/>
    <w:rsid w:val="659A6BA8"/>
    <w:rsid w:val="659F57DB"/>
    <w:rsid w:val="65B17A4E"/>
    <w:rsid w:val="65B3194D"/>
    <w:rsid w:val="65CE74AD"/>
    <w:rsid w:val="65E25E59"/>
    <w:rsid w:val="65EB394E"/>
    <w:rsid w:val="65EC7449"/>
    <w:rsid w:val="6603474E"/>
    <w:rsid w:val="660E4EA0"/>
    <w:rsid w:val="661A19B5"/>
    <w:rsid w:val="661C5D4D"/>
    <w:rsid w:val="66240220"/>
    <w:rsid w:val="665D4CD0"/>
    <w:rsid w:val="666351EC"/>
    <w:rsid w:val="66660838"/>
    <w:rsid w:val="66770C98"/>
    <w:rsid w:val="66866023"/>
    <w:rsid w:val="66976C44"/>
    <w:rsid w:val="669B2BD8"/>
    <w:rsid w:val="66B9456E"/>
    <w:rsid w:val="66C207B0"/>
    <w:rsid w:val="66C87F07"/>
    <w:rsid w:val="66CB4B3F"/>
    <w:rsid w:val="66D34947"/>
    <w:rsid w:val="670519A4"/>
    <w:rsid w:val="672122EC"/>
    <w:rsid w:val="674A6CC4"/>
    <w:rsid w:val="675F4E6C"/>
    <w:rsid w:val="676346CC"/>
    <w:rsid w:val="67746F85"/>
    <w:rsid w:val="67780823"/>
    <w:rsid w:val="67C20BF7"/>
    <w:rsid w:val="67D432D5"/>
    <w:rsid w:val="67D84977"/>
    <w:rsid w:val="67E45EB9"/>
    <w:rsid w:val="67F2789F"/>
    <w:rsid w:val="68174103"/>
    <w:rsid w:val="684A3248"/>
    <w:rsid w:val="684B23DC"/>
    <w:rsid w:val="68790CB1"/>
    <w:rsid w:val="687E00BB"/>
    <w:rsid w:val="688E6065"/>
    <w:rsid w:val="68900C2C"/>
    <w:rsid w:val="68990544"/>
    <w:rsid w:val="689F4FDB"/>
    <w:rsid w:val="68D51CA5"/>
    <w:rsid w:val="68F95994"/>
    <w:rsid w:val="690305C1"/>
    <w:rsid w:val="690600B1"/>
    <w:rsid w:val="6930042C"/>
    <w:rsid w:val="69392234"/>
    <w:rsid w:val="698E5C96"/>
    <w:rsid w:val="699B6A4B"/>
    <w:rsid w:val="69A31628"/>
    <w:rsid w:val="69E47297"/>
    <w:rsid w:val="69E93C5A"/>
    <w:rsid w:val="69EB5C3D"/>
    <w:rsid w:val="6A056C5C"/>
    <w:rsid w:val="6A0E449D"/>
    <w:rsid w:val="6A2F3E43"/>
    <w:rsid w:val="6A394B10"/>
    <w:rsid w:val="6A3D3930"/>
    <w:rsid w:val="6A483C28"/>
    <w:rsid w:val="6A5D1F52"/>
    <w:rsid w:val="6A7C062B"/>
    <w:rsid w:val="6A9F07BD"/>
    <w:rsid w:val="6AA95198"/>
    <w:rsid w:val="6AB9032C"/>
    <w:rsid w:val="6ABB6C9C"/>
    <w:rsid w:val="6AD9189E"/>
    <w:rsid w:val="6AE563D8"/>
    <w:rsid w:val="6B2D7B77"/>
    <w:rsid w:val="6B2E3D42"/>
    <w:rsid w:val="6B3247F9"/>
    <w:rsid w:val="6B341F03"/>
    <w:rsid w:val="6B4E74C4"/>
    <w:rsid w:val="6B5B46E4"/>
    <w:rsid w:val="6B623CC4"/>
    <w:rsid w:val="6B692BDE"/>
    <w:rsid w:val="6B696D78"/>
    <w:rsid w:val="6B7C5673"/>
    <w:rsid w:val="6B7E03D2"/>
    <w:rsid w:val="6BC32289"/>
    <w:rsid w:val="6BC608D8"/>
    <w:rsid w:val="6BD546E2"/>
    <w:rsid w:val="6BDA6C7A"/>
    <w:rsid w:val="6C094140"/>
    <w:rsid w:val="6C0C0BE2"/>
    <w:rsid w:val="6C1873D9"/>
    <w:rsid w:val="6C432EAB"/>
    <w:rsid w:val="6C5409E7"/>
    <w:rsid w:val="6C5539AC"/>
    <w:rsid w:val="6CA87DFD"/>
    <w:rsid w:val="6CA90B9D"/>
    <w:rsid w:val="6CC369E5"/>
    <w:rsid w:val="6CCF7B5A"/>
    <w:rsid w:val="6CE81115"/>
    <w:rsid w:val="6D0B038C"/>
    <w:rsid w:val="6D6579D8"/>
    <w:rsid w:val="6D700BD1"/>
    <w:rsid w:val="6D7101EF"/>
    <w:rsid w:val="6D7355DD"/>
    <w:rsid w:val="6D7F230E"/>
    <w:rsid w:val="6D8C7324"/>
    <w:rsid w:val="6D9D6F89"/>
    <w:rsid w:val="6DC02F24"/>
    <w:rsid w:val="6DDD7632"/>
    <w:rsid w:val="6DFA4963"/>
    <w:rsid w:val="6E22598D"/>
    <w:rsid w:val="6E376A09"/>
    <w:rsid w:val="6E4C7344"/>
    <w:rsid w:val="6E4F6056"/>
    <w:rsid w:val="6E5F3F4B"/>
    <w:rsid w:val="6EB20C27"/>
    <w:rsid w:val="6EBF2834"/>
    <w:rsid w:val="6ECA1524"/>
    <w:rsid w:val="6EE14F8A"/>
    <w:rsid w:val="6EED1AF7"/>
    <w:rsid w:val="6EF54E4F"/>
    <w:rsid w:val="6EFF182A"/>
    <w:rsid w:val="6F265009"/>
    <w:rsid w:val="6F284536"/>
    <w:rsid w:val="6F397C4F"/>
    <w:rsid w:val="6F4B4A6F"/>
    <w:rsid w:val="6F5953DE"/>
    <w:rsid w:val="6F5F7E81"/>
    <w:rsid w:val="6F61645F"/>
    <w:rsid w:val="6F733592"/>
    <w:rsid w:val="6F7B5355"/>
    <w:rsid w:val="6F7D1C3F"/>
    <w:rsid w:val="6F9B29AB"/>
    <w:rsid w:val="6FBC006E"/>
    <w:rsid w:val="6FCF7FAB"/>
    <w:rsid w:val="6FD50999"/>
    <w:rsid w:val="6FD6520B"/>
    <w:rsid w:val="6FDB5DF3"/>
    <w:rsid w:val="6FE7655A"/>
    <w:rsid w:val="6FF11EBF"/>
    <w:rsid w:val="70003AAC"/>
    <w:rsid w:val="7000585A"/>
    <w:rsid w:val="70160934"/>
    <w:rsid w:val="70415CA3"/>
    <w:rsid w:val="70433998"/>
    <w:rsid w:val="70531E2E"/>
    <w:rsid w:val="706F71EC"/>
    <w:rsid w:val="70715D1C"/>
    <w:rsid w:val="70840239"/>
    <w:rsid w:val="708C533F"/>
    <w:rsid w:val="70A1528F"/>
    <w:rsid w:val="70A3624A"/>
    <w:rsid w:val="70A6040A"/>
    <w:rsid w:val="70B772CD"/>
    <w:rsid w:val="70BE7AA5"/>
    <w:rsid w:val="70C525FF"/>
    <w:rsid w:val="70D6480D"/>
    <w:rsid w:val="70E04E91"/>
    <w:rsid w:val="715845FE"/>
    <w:rsid w:val="71836742"/>
    <w:rsid w:val="719839C7"/>
    <w:rsid w:val="71991D6D"/>
    <w:rsid w:val="71AB7A47"/>
    <w:rsid w:val="71E11860"/>
    <w:rsid w:val="72242951"/>
    <w:rsid w:val="722A4382"/>
    <w:rsid w:val="722A4E10"/>
    <w:rsid w:val="722F0678"/>
    <w:rsid w:val="722F68CA"/>
    <w:rsid w:val="723260D7"/>
    <w:rsid w:val="7241581D"/>
    <w:rsid w:val="724A3704"/>
    <w:rsid w:val="726C367A"/>
    <w:rsid w:val="72866E0A"/>
    <w:rsid w:val="72A66B9A"/>
    <w:rsid w:val="72B7679A"/>
    <w:rsid w:val="72EB65E8"/>
    <w:rsid w:val="72F07381"/>
    <w:rsid w:val="730D7924"/>
    <w:rsid w:val="731D4975"/>
    <w:rsid w:val="736B27D3"/>
    <w:rsid w:val="73705753"/>
    <w:rsid w:val="73974144"/>
    <w:rsid w:val="73A40BF2"/>
    <w:rsid w:val="73B13A3B"/>
    <w:rsid w:val="73D17591"/>
    <w:rsid w:val="73D73C05"/>
    <w:rsid w:val="73FE0302"/>
    <w:rsid w:val="74081C27"/>
    <w:rsid w:val="740C1331"/>
    <w:rsid w:val="74220E03"/>
    <w:rsid w:val="744C7CFC"/>
    <w:rsid w:val="745919DD"/>
    <w:rsid w:val="745E5245"/>
    <w:rsid w:val="7460646C"/>
    <w:rsid w:val="74930E8A"/>
    <w:rsid w:val="749B3DA3"/>
    <w:rsid w:val="74AF784E"/>
    <w:rsid w:val="74B16EFA"/>
    <w:rsid w:val="74D26BC9"/>
    <w:rsid w:val="74FA2B93"/>
    <w:rsid w:val="75013D26"/>
    <w:rsid w:val="7513293E"/>
    <w:rsid w:val="751C4A37"/>
    <w:rsid w:val="752E4C17"/>
    <w:rsid w:val="75355FA6"/>
    <w:rsid w:val="754E0E15"/>
    <w:rsid w:val="75616A81"/>
    <w:rsid w:val="75640639"/>
    <w:rsid w:val="758E216D"/>
    <w:rsid w:val="75D031CF"/>
    <w:rsid w:val="75E50038"/>
    <w:rsid w:val="75F85C3A"/>
    <w:rsid w:val="76086AF3"/>
    <w:rsid w:val="760B6D06"/>
    <w:rsid w:val="760C32A3"/>
    <w:rsid w:val="761E665C"/>
    <w:rsid w:val="76481B4F"/>
    <w:rsid w:val="764C351C"/>
    <w:rsid w:val="764D731F"/>
    <w:rsid w:val="76524935"/>
    <w:rsid w:val="765C7562"/>
    <w:rsid w:val="7662101C"/>
    <w:rsid w:val="76641728"/>
    <w:rsid w:val="767B6391"/>
    <w:rsid w:val="768C47F8"/>
    <w:rsid w:val="769211D6"/>
    <w:rsid w:val="76A827A7"/>
    <w:rsid w:val="76B002EC"/>
    <w:rsid w:val="76F20A67"/>
    <w:rsid w:val="77097262"/>
    <w:rsid w:val="77204A34"/>
    <w:rsid w:val="772A6B84"/>
    <w:rsid w:val="77381D7D"/>
    <w:rsid w:val="773A5AF5"/>
    <w:rsid w:val="774E7257"/>
    <w:rsid w:val="776C1A27"/>
    <w:rsid w:val="778B45A3"/>
    <w:rsid w:val="77966D42"/>
    <w:rsid w:val="77A80CB1"/>
    <w:rsid w:val="77B91110"/>
    <w:rsid w:val="77C22C5C"/>
    <w:rsid w:val="780659D7"/>
    <w:rsid w:val="780E7E5F"/>
    <w:rsid w:val="7814493D"/>
    <w:rsid w:val="782B7E83"/>
    <w:rsid w:val="783562BD"/>
    <w:rsid w:val="783828A6"/>
    <w:rsid w:val="78456DCF"/>
    <w:rsid w:val="7871156E"/>
    <w:rsid w:val="78AF2513"/>
    <w:rsid w:val="78C22246"/>
    <w:rsid w:val="78D20837"/>
    <w:rsid w:val="78D60657"/>
    <w:rsid w:val="78D6184E"/>
    <w:rsid w:val="78D766EA"/>
    <w:rsid w:val="78EF00C7"/>
    <w:rsid w:val="78F30652"/>
    <w:rsid w:val="7909677D"/>
    <w:rsid w:val="790C75C1"/>
    <w:rsid w:val="79131EC6"/>
    <w:rsid w:val="79165DDC"/>
    <w:rsid w:val="79186D67"/>
    <w:rsid w:val="793223B0"/>
    <w:rsid w:val="793E60EE"/>
    <w:rsid w:val="796706F8"/>
    <w:rsid w:val="79756B26"/>
    <w:rsid w:val="79806E99"/>
    <w:rsid w:val="79824362"/>
    <w:rsid w:val="79917A0D"/>
    <w:rsid w:val="79986B03"/>
    <w:rsid w:val="79B71A16"/>
    <w:rsid w:val="79CC49FF"/>
    <w:rsid w:val="7A0B2382"/>
    <w:rsid w:val="7A1268B5"/>
    <w:rsid w:val="7A3B22B0"/>
    <w:rsid w:val="7A9814B1"/>
    <w:rsid w:val="7A9C7DD7"/>
    <w:rsid w:val="7AA078CD"/>
    <w:rsid w:val="7AB756AF"/>
    <w:rsid w:val="7ACE1446"/>
    <w:rsid w:val="7AD005EF"/>
    <w:rsid w:val="7ADD7A7C"/>
    <w:rsid w:val="7AF36362"/>
    <w:rsid w:val="7B1D33FC"/>
    <w:rsid w:val="7B1E128A"/>
    <w:rsid w:val="7B3665D4"/>
    <w:rsid w:val="7B424F78"/>
    <w:rsid w:val="7B476A33"/>
    <w:rsid w:val="7B71585E"/>
    <w:rsid w:val="7B901196"/>
    <w:rsid w:val="7B98103C"/>
    <w:rsid w:val="7B9D57DF"/>
    <w:rsid w:val="7BE55790"/>
    <w:rsid w:val="7BF12F29"/>
    <w:rsid w:val="7BF411CF"/>
    <w:rsid w:val="7C0250F8"/>
    <w:rsid w:val="7C3C1DBF"/>
    <w:rsid w:val="7C3C5E6C"/>
    <w:rsid w:val="7C66126F"/>
    <w:rsid w:val="7C684EAD"/>
    <w:rsid w:val="7C6D4277"/>
    <w:rsid w:val="7C6F6210"/>
    <w:rsid w:val="7C727ADF"/>
    <w:rsid w:val="7C75312C"/>
    <w:rsid w:val="7C7C5D27"/>
    <w:rsid w:val="7C967BB3"/>
    <w:rsid w:val="7C9C1F1E"/>
    <w:rsid w:val="7CA9476E"/>
    <w:rsid w:val="7CCE096B"/>
    <w:rsid w:val="7CD37E68"/>
    <w:rsid w:val="7CD95DB0"/>
    <w:rsid w:val="7D0006C9"/>
    <w:rsid w:val="7D0D7808"/>
    <w:rsid w:val="7D224368"/>
    <w:rsid w:val="7D44147C"/>
    <w:rsid w:val="7D5E1E12"/>
    <w:rsid w:val="7D5F006C"/>
    <w:rsid w:val="7D6F6242"/>
    <w:rsid w:val="7D7346BB"/>
    <w:rsid w:val="7DB83C60"/>
    <w:rsid w:val="7DB9671E"/>
    <w:rsid w:val="7DBB1012"/>
    <w:rsid w:val="7DCA74A7"/>
    <w:rsid w:val="7DCB394B"/>
    <w:rsid w:val="7DDD3193"/>
    <w:rsid w:val="7DDF6BD3"/>
    <w:rsid w:val="7E1D3A7B"/>
    <w:rsid w:val="7E3660BC"/>
    <w:rsid w:val="7E44104E"/>
    <w:rsid w:val="7E464086"/>
    <w:rsid w:val="7E4F4CC7"/>
    <w:rsid w:val="7E535169"/>
    <w:rsid w:val="7E5B6E43"/>
    <w:rsid w:val="7E685AFC"/>
    <w:rsid w:val="7E8266AF"/>
    <w:rsid w:val="7E83045A"/>
    <w:rsid w:val="7E953F59"/>
    <w:rsid w:val="7EBA02C1"/>
    <w:rsid w:val="7EC109B8"/>
    <w:rsid w:val="7EC23A71"/>
    <w:rsid w:val="7ECB797B"/>
    <w:rsid w:val="7EE21CD9"/>
    <w:rsid w:val="7F2C6B94"/>
    <w:rsid w:val="7F4306B9"/>
    <w:rsid w:val="7F65089D"/>
    <w:rsid w:val="7F8B597C"/>
    <w:rsid w:val="7FAA57E2"/>
    <w:rsid w:val="7FAF4932"/>
    <w:rsid w:val="7FBD3767"/>
    <w:rsid w:val="7FC628BB"/>
    <w:rsid w:val="7FD50AB1"/>
    <w:rsid w:val="7FDA5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iPriority="99" w:semiHidden="0"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45"/>
    <w:autoRedefine/>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4">
    <w:name w:val="heading 2"/>
    <w:basedOn w:val="1"/>
    <w:next w:val="1"/>
    <w:link w:val="47"/>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55"/>
    <w:autoRedefine/>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8"/>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7">
    <w:name w:val="heading 5"/>
    <w:basedOn w:val="1"/>
    <w:next w:val="1"/>
    <w:link w:val="59"/>
    <w:autoRedefine/>
    <w:semiHidden/>
    <w:unhideWhenUsed/>
    <w:qFormat/>
    <w:uiPriority w:val="9"/>
    <w:pPr>
      <w:keepNext/>
      <w:keepLines/>
      <w:spacing w:before="280" w:after="290" w:line="376" w:lineRule="auto"/>
      <w:outlineLvl w:val="4"/>
    </w:pPr>
    <w:rPr>
      <w:b/>
      <w:bCs/>
      <w:szCs w:val="28"/>
    </w:rPr>
  </w:style>
  <w:style w:type="paragraph" w:styleId="8">
    <w:name w:val="heading 6"/>
    <w:basedOn w:val="1"/>
    <w:next w:val="1"/>
    <w:link w:val="60"/>
    <w:autoRedefine/>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61"/>
    <w:autoRedefine/>
    <w:semiHidden/>
    <w:unhideWhenUsed/>
    <w:qFormat/>
    <w:uiPriority w:val="9"/>
    <w:pPr>
      <w:keepNext/>
      <w:keepLines/>
      <w:spacing w:before="240" w:after="64" w:line="320" w:lineRule="auto"/>
      <w:outlineLvl w:val="6"/>
    </w:pPr>
    <w:rPr>
      <w:b/>
      <w:bCs/>
      <w:sz w:val="24"/>
      <w:szCs w:val="24"/>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line="360" w:lineRule="auto"/>
    </w:pPr>
    <w:rPr>
      <w:sz w:val="24"/>
    </w:rPr>
  </w:style>
  <w:style w:type="paragraph" w:styleId="10">
    <w:name w:val="Normal Indent"/>
    <w:basedOn w:val="1"/>
    <w:autoRedefine/>
    <w:qFormat/>
    <w:uiPriority w:val="0"/>
    <w:pPr>
      <w:ind w:firstLine="420"/>
    </w:pPr>
    <w:rPr>
      <w:rFonts w:ascii="Times New Roman" w:hAnsi="Times New Roman" w:cs="Times New Roman"/>
      <w:szCs w:val="20"/>
    </w:rPr>
  </w:style>
  <w:style w:type="paragraph" w:styleId="11">
    <w:name w:val="annotation text"/>
    <w:basedOn w:val="1"/>
    <w:link w:val="68"/>
    <w:autoRedefine/>
    <w:qFormat/>
    <w:uiPriority w:val="0"/>
    <w:pPr>
      <w:jc w:val="left"/>
    </w:pPr>
  </w:style>
  <w:style w:type="paragraph" w:styleId="12">
    <w:name w:val="Body Text Indent"/>
    <w:basedOn w:val="1"/>
    <w:link w:val="48"/>
    <w:autoRedefine/>
    <w:qFormat/>
    <w:uiPriority w:val="0"/>
    <w:pPr>
      <w:spacing w:line="200" w:lineRule="atLeast"/>
      <w:ind w:firstLine="301"/>
    </w:pPr>
    <w:rPr>
      <w:rFonts w:ascii="宋体" w:hAnsi="Courier New" w:cstheme="minorBidi"/>
      <w:spacing w:val="-4"/>
      <w:sz w:val="18"/>
      <w:szCs w:val="22"/>
    </w:rPr>
  </w:style>
  <w:style w:type="paragraph" w:styleId="13">
    <w:name w:val="Block Text"/>
    <w:basedOn w:val="1"/>
    <w:autoRedefine/>
    <w:qFormat/>
    <w:uiPriority w:val="0"/>
    <w:pPr>
      <w:spacing w:line="360" w:lineRule="auto"/>
      <w:ind w:left="630" w:right="-609" w:firstLine="420"/>
    </w:pPr>
    <w:rPr>
      <w:rFonts w:ascii="仿宋_GB2312" w:eastAsia="仿宋_GB2312"/>
    </w:rPr>
  </w:style>
  <w:style w:type="paragraph" w:styleId="14">
    <w:name w:val="Plain Text"/>
    <w:basedOn w:val="1"/>
    <w:link w:val="53"/>
    <w:autoRedefine/>
    <w:qFormat/>
    <w:uiPriority w:val="0"/>
    <w:pPr>
      <w:spacing w:beforeLines="50" w:afterLines="50" w:line="400" w:lineRule="atLeast"/>
    </w:pPr>
    <w:rPr>
      <w:rFonts w:ascii="宋体" w:hAnsi="Courier New" w:cstheme="minorBidi"/>
      <w:sz w:val="24"/>
      <w:szCs w:val="22"/>
    </w:rPr>
  </w:style>
  <w:style w:type="paragraph" w:styleId="15">
    <w:name w:val="Date"/>
    <w:basedOn w:val="1"/>
    <w:next w:val="1"/>
    <w:link w:val="37"/>
    <w:autoRedefine/>
    <w:unhideWhenUsed/>
    <w:qFormat/>
    <w:uiPriority w:val="0"/>
    <w:pPr>
      <w:ind w:left="100" w:leftChars="2500"/>
    </w:pPr>
  </w:style>
  <w:style w:type="paragraph" w:styleId="16">
    <w:name w:val="Balloon Text"/>
    <w:basedOn w:val="1"/>
    <w:link w:val="64"/>
    <w:autoRedefine/>
    <w:semiHidden/>
    <w:unhideWhenUsed/>
    <w:qFormat/>
    <w:uiPriority w:val="99"/>
    <w:rPr>
      <w:sz w:val="18"/>
      <w:szCs w:val="18"/>
    </w:rPr>
  </w:style>
  <w:style w:type="paragraph" w:styleId="17">
    <w:name w:val="footer"/>
    <w:basedOn w:val="1"/>
    <w:link w:val="57"/>
    <w:autoRedefine/>
    <w:unhideWhenUsed/>
    <w:qFormat/>
    <w:uiPriority w:val="99"/>
    <w:pPr>
      <w:tabs>
        <w:tab w:val="center" w:pos="4153"/>
        <w:tab w:val="right" w:pos="8306"/>
      </w:tabs>
      <w:snapToGrid w:val="0"/>
      <w:jc w:val="left"/>
    </w:pPr>
    <w:rPr>
      <w:sz w:val="18"/>
      <w:szCs w:val="18"/>
    </w:rPr>
  </w:style>
  <w:style w:type="paragraph" w:styleId="18">
    <w:name w:val="header"/>
    <w:basedOn w:val="1"/>
    <w:link w:val="5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tabs>
        <w:tab w:val="right" w:leader="dot" w:pos="8296"/>
      </w:tabs>
      <w:jc w:val="center"/>
    </w:pPr>
    <w:rPr>
      <w:rFonts w:ascii="华文中宋" w:hAnsi="华文中宋" w:eastAsia="华文中宋"/>
      <w:b/>
      <w:sz w:val="36"/>
      <w:szCs w:val="36"/>
    </w:rPr>
  </w:style>
  <w:style w:type="paragraph" w:styleId="20">
    <w:name w:val="toc 2"/>
    <w:basedOn w:val="1"/>
    <w:next w:val="1"/>
    <w:autoRedefine/>
    <w:unhideWhenUsed/>
    <w:qFormat/>
    <w:uiPriority w:val="39"/>
    <w:pPr>
      <w:ind w:left="420" w:leftChars="200"/>
    </w:pPr>
  </w:style>
  <w:style w:type="paragraph" w:styleId="21">
    <w:name w:val="Body Text 2"/>
    <w:basedOn w:val="1"/>
    <w:autoRedefine/>
    <w:semiHidden/>
    <w:unhideWhenUsed/>
    <w:qFormat/>
    <w:uiPriority w:val="99"/>
    <w:pPr>
      <w:spacing w:after="120" w:line="480" w:lineRule="auto"/>
    </w:pPr>
  </w:style>
  <w:style w:type="paragraph" w:styleId="22">
    <w:name w:val="Normal (Web)"/>
    <w:basedOn w:val="1"/>
    <w:autoRedefine/>
    <w:qFormat/>
    <w:uiPriority w:val="0"/>
    <w:pPr>
      <w:widowControl/>
      <w:spacing w:before="100" w:beforeAutospacing="1" w:after="100" w:afterAutospacing="1"/>
      <w:ind w:firstLine="420"/>
      <w:jc w:val="left"/>
    </w:pPr>
    <w:rPr>
      <w:rFonts w:ascii="宋体" w:hAnsi="宋体"/>
      <w:kern w:val="0"/>
      <w:sz w:val="20"/>
    </w:rPr>
  </w:style>
  <w:style w:type="paragraph" w:styleId="23">
    <w:name w:val="Title"/>
    <w:basedOn w:val="1"/>
    <w:next w:val="1"/>
    <w:link w:val="46"/>
    <w:autoRedefine/>
    <w:qFormat/>
    <w:uiPriority w:val="10"/>
    <w:pPr>
      <w:spacing w:before="240" w:after="60"/>
      <w:jc w:val="center"/>
      <w:outlineLvl w:val="0"/>
    </w:pPr>
    <w:rPr>
      <w:rFonts w:asciiTheme="majorHAnsi" w:hAnsiTheme="majorHAnsi" w:cstheme="majorBidi"/>
      <w:b/>
      <w:bCs/>
      <w:sz w:val="32"/>
      <w:szCs w:val="32"/>
    </w:rPr>
  </w:style>
  <w:style w:type="paragraph" w:styleId="24">
    <w:name w:val="annotation subject"/>
    <w:basedOn w:val="11"/>
    <w:next w:val="11"/>
    <w:link w:val="72"/>
    <w:autoRedefine/>
    <w:semiHidden/>
    <w:unhideWhenUsed/>
    <w:qFormat/>
    <w:uiPriority w:val="99"/>
    <w:rPr>
      <w:b/>
      <w:bCs/>
    </w:rPr>
  </w:style>
  <w:style w:type="paragraph" w:styleId="25">
    <w:name w:val="Body Text First Indent 2"/>
    <w:basedOn w:val="12"/>
    <w:autoRedefine/>
    <w:unhideWhenUsed/>
    <w:qFormat/>
    <w:uiPriority w:val="99"/>
    <w:pPr>
      <w:spacing w:after="120"/>
      <w:ind w:left="420" w:leftChars="200" w:firstLine="420" w:firstLineChars="200"/>
    </w:pPr>
    <w:rPr>
      <w:sz w:val="21"/>
    </w:rPr>
  </w:style>
  <w:style w:type="table" w:styleId="27">
    <w:name w:val="Table Grid"/>
    <w:basedOn w:val="2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22"/>
    <w:rPr>
      <w:b/>
      <w:bCs/>
    </w:rPr>
  </w:style>
  <w:style w:type="character" w:styleId="30">
    <w:name w:val="page number"/>
    <w:basedOn w:val="28"/>
    <w:autoRedefine/>
    <w:qFormat/>
    <w:uiPriority w:val="0"/>
  </w:style>
  <w:style w:type="character" w:styleId="31">
    <w:name w:val="Hyperlink"/>
    <w:basedOn w:val="28"/>
    <w:autoRedefine/>
    <w:unhideWhenUsed/>
    <w:qFormat/>
    <w:uiPriority w:val="99"/>
    <w:rPr>
      <w:color w:val="0000FF" w:themeColor="hyperlink"/>
      <w:u w:val="single"/>
      <w14:textFill>
        <w14:solidFill>
          <w14:schemeClr w14:val="hlink"/>
        </w14:solidFill>
      </w14:textFill>
    </w:rPr>
  </w:style>
  <w:style w:type="character" w:styleId="32">
    <w:name w:val="annotation reference"/>
    <w:basedOn w:val="28"/>
    <w:autoRedefine/>
    <w:semiHidden/>
    <w:unhideWhenUsed/>
    <w:qFormat/>
    <w:uiPriority w:val="99"/>
    <w:rPr>
      <w:sz w:val="21"/>
      <w:szCs w:val="21"/>
    </w:rPr>
  </w:style>
  <w:style w:type="paragraph" w:customStyle="1" w:styleId="33">
    <w:name w:val="style4"/>
    <w:basedOn w:val="34"/>
    <w:next w:val="36"/>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
    <w:name w:val="正文1"/>
    <w:basedOn w:val="1"/>
    <w:next w:val="35"/>
    <w:autoRedefine/>
    <w:qFormat/>
    <w:uiPriority w:val="0"/>
    <w:pPr>
      <w:spacing w:line="300" w:lineRule="auto"/>
      <w:ind w:firstLine="200" w:firstLineChars="200"/>
    </w:pPr>
    <w:rPr>
      <w:sz w:val="24"/>
    </w:rPr>
  </w:style>
  <w:style w:type="paragraph" w:customStyle="1" w:styleId="35">
    <w:name w:val="正文文本1"/>
    <w:basedOn w:val="34"/>
    <w:next w:val="33"/>
    <w:autoRedefine/>
    <w:qFormat/>
    <w:uiPriority w:val="0"/>
    <w:pPr>
      <w:spacing w:after="120"/>
    </w:pPr>
    <w:rPr>
      <w:kern w:val="0"/>
      <w:sz w:val="20"/>
    </w:rPr>
  </w:style>
  <w:style w:type="paragraph" w:customStyle="1" w:styleId="36">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37">
    <w:name w:val="日期 Char"/>
    <w:basedOn w:val="28"/>
    <w:link w:val="15"/>
    <w:autoRedefine/>
    <w:qFormat/>
    <w:uiPriority w:val="0"/>
    <w:rPr>
      <w:rFonts w:ascii="Times New Roman" w:hAnsi="Times New Roman" w:eastAsia="宋体" w:cs="Times New Roman"/>
      <w:sz w:val="28"/>
      <w:szCs w:val="20"/>
    </w:rPr>
  </w:style>
  <w:style w:type="paragraph" w:styleId="38">
    <w:name w:val="List Paragraph"/>
    <w:basedOn w:val="1"/>
    <w:link w:val="51"/>
    <w:autoRedefine/>
    <w:qFormat/>
    <w:uiPriority w:val="99"/>
    <w:pPr>
      <w:ind w:firstLine="420" w:firstLineChars="200"/>
    </w:pPr>
  </w:style>
  <w:style w:type="paragraph" w:customStyle="1" w:styleId="39">
    <w:name w:val="正文 第一章"/>
    <w:basedOn w:val="1"/>
    <w:next w:val="40"/>
    <w:autoRedefine/>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40">
    <w:name w:val="正文 1.1"/>
    <w:basedOn w:val="1"/>
    <w:next w:val="41"/>
    <w:autoRedefine/>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41">
    <w:name w:val="正文 1.1.1"/>
    <w:basedOn w:val="1"/>
    <w:next w:val="1"/>
    <w:autoRedefine/>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42">
    <w:name w:val="第四级"/>
    <w:basedOn w:val="1"/>
    <w:next w:val="43"/>
    <w:autoRedefine/>
    <w:qFormat/>
    <w:uiPriority w:val="0"/>
    <w:pPr>
      <w:numPr>
        <w:ilvl w:val="3"/>
        <w:numId w:val="1"/>
      </w:numPr>
      <w:adjustRightInd w:val="0"/>
      <w:spacing w:line="360" w:lineRule="auto"/>
      <w:textAlignment w:val="baseline"/>
    </w:pPr>
    <w:rPr>
      <w:rFonts w:ascii="宋体" w:hAnsi="宋体" w:eastAsia="仿宋"/>
      <w:kern w:val="0"/>
      <w:szCs w:val="21"/>
    </w:rPr>
  </w:style>
  <w:style w:type="paragraph" w:customStyle="1" w:styleId="43">
    <w:name w:val="正文空2格  1."/>
    <w:basedOn w:val="1"/>
    <w:autoRedefine/>
    <w:qFormat/>
    <w:uiPriority w:val="0"/>
    <w:pPr>
      <w:adjustRightInd w:val="0"/>
      <w:spacing w:line="360" w:lineRule="auto"/>
      <w:ind w:firstLine="480" w:firstLineChars="200"/>
      <w:textAlignment w:val="baseline"/>
    </w:pPr>
    <w:rPr>
      <w:rFonts w:ascii="宋体" w:eastAsia="仿宋" w:cs="宋体"/>
      <w:kern w:val="0"/>
    </w:rPr>
  </w:style>
  <w:style w:type="paragraph" w:customStyle="1" w:styleId="44">
    <w:name w:val="正文空4格  1）"/>
    <w:basedOn w:val="1"/>
    <w:autoRedefine/>
    <w:qFormat/>
    <w:uiPriority w:val="0"/>
    <w:pPr>
      <w:adjustRightInd w:val="0"/>
      <w:spacing w:line="360" w:lineRule="auto"/>
      <w:ind w:firstLine="1120" w:firstLineChars="400"/>
      <w:textAlignment w:val="baseline"/>
    </w:pPr>
    <w:rPr>
      <w:rFonts w:ascii="宋体" w:eastAsia="仿宋" w:cs="宋体"/>
      <w:kern w:val="0"/>
    </w:rPr>
  </w:style>
  <w:style w:type="character" w:customStyle="1" w:styleId="45">
    <w:name w:val="标题 1 Char"/>
    <w:basedOn w:val="28"/>
    <w:link w:val="3"/>
    <w:autoRedefine/>
    <w:qFormat/>
    <w:uiPriority w:val="0"/>
    <w:rPr>
      <w:rFonts w:ascii="宋体" w:hAnsi="Arial" w:eastAsia="黑体" w:cs="Times New Roman"/>
      <w:b/>
      <w:bCs/>
      <w:color w:val="000000"/>
      <w:kern w:val="44"/>
      <w:sz w:val="36"/>
      <w:szCs w:val="32"/>
    </w:rPr>
  </w:style>
  <w:style w:type="character" w:customStyle="1" w:styleId="46">
    <w:name w:val="标题 Char"/>
    <w:basedOn w:val="28"/>
    <w:link w:val="23"/>
    <w:autoRedefine/>
    <w:qFormat/>
    <w:uiPriority w:val="10"/>
    <w:rPr>
      <w:rFonts w:eastAsia="宋体" w:asciiTheme="majorHAnsi" w:hAnsiTheme="majorHAnsi" w:cstheme="majorBidi"/>
      <w:b/>
      <w:bCs/>
      <w:sz w:val="32"/>
      <w:szCs w:val="32"/>
    </w:rPr>
  </w:style>
  <w:style w:type="character" w:customStyle="1" w:styleId="47">
    <w:name w:val="标题 2 Char"/>
    <w:basedOn w:val="28"/>
    <w:link w:val="4"/>
    <w:autoRedefine/>
    <w:semiHidden/>
    <w:qFormat/>
    <w:uiPriority w:val="9"/>
    <w:rPr>
      <w:rFonts w:asciiTheme="majorHAnsi" w:hAnsiTheme="majorHAnsi" w:eastAsiaTheme="majorEastAsia" w:cstheme="majorBidi"/>
      <w:b/>
      <w:bCs/>
      <w:sz w:val="32"/>
      <w:szCs w:val="32"/>
    </w:rPr>
  </w:style>
  <w:style w:type="character" w:customStyle="1" w:styleId="48">
    <w:name w:val="正文文本缩进 Char"/>
    <w:link w:val="12"/>
    <w:autoRedefine/>
    <w:qFormat/>
    <w:locked/>
    <w:uiPriority w:val="0"/>
    <w:rPr>
      <w:rFonts w:ascii="宋体" w:hAnsi="Courier New" w:eastAsia="宋体"/>
      <w:spacing w:val="-4"/>
      <w:sz w:val="18"/>
    </w:rPr>
  </w:style>
  <w:style w:type="character" w:customStyle="1" w:styleId="49">
    <w:name w:val="正文文本缩进 Char1"/>
    <w:basedOn w:val="28"/>
    <w:autoRedefine/>
    <w:qFormat/>
    <w:uiPriority w:val="99"/>
    <w:rPr>
      <w:rFonts w:ascii="Times New Roman" w:hAnsi="Times New Roman" w:eastAsia="宋体" w:cs="Times New Roman"/>
      <w:sz w:val="28"/>
      <w:szCs w:val="20"/>
    </w:rPr>
  </w:style>
  <w:style w:type="character" w:customStyle="1" w:styleId="50">
    <w:name w:val="标题 3 Char"/>
    <w:autoRedefine/>
    <w:qFormat/>
    <w:uiPriority w:val="0"/>
    <w:rPr>
      <w:rFonts w:eastAsia="宋体"/>
      <w:b/>
      <w:bCs/>
      <w:kern w:val="2"/>
      <w:sz w:val="32"/>
      <w:szCs w:val="32"/>
      <w:lang w:val="en-US" w:eastAsia="zh-CN" w:bidi="ar-SA"/>
    </w:rPr>
  </w:style>
  <w:style w:type="character" w:customStyle="1" w:styleId="51">
    <w:name w:val="列出段落 Char"/>
    <w:link w:val="38"/>
    <w:autoRedefine/>
    <w:qFormat/>
    <w:locked/>
    <w:uiPriority w:val="0"/>
    <w:rPr>
      <w:rFonts w:ascii="Times New Roman" w:hAnsi="Times New Roman" w:eastAsia="宋体" w:cs="Times New Roman"/>
      <w:sz w:val="28"/>
      <w:szCs w:val="20"/>
    </w:rPr>
  </w:style>
  <w:style w:type="character" w:customStyle="1" w:styleId="52">
    <w:name w:val="正文 第五章 中间"/>
    <w:autoRedefine/>
    <w:qFormat/>
    <w:uiPriority w:val="0"/>
    <w:rPr>
      <w:b/>
      <w:bCs/>
      <w:color w:val="000000"/>
      <w:sz w:val="32"/>
    </w:rPr>
  </w:style>
  <w:style w:type="character" w:customStyle="1" w:styleId="53">
    <w:name w:val="纯文本 Char1"/>
    <w:link w:val="14"/>
    <w:autoRedefine/>
    <w:qFormat/>
    <w:uiPriority w:val="0"/>
    <w:rPr>
      <w:rFonts w:ascii="宋体" w:hAnsi="Courier New" w:eastAsia="宋体"/>
      <w:sz w:val="24"/>
    </w:rPr>
  </w:style>
  <w:style w:type="character" w:customStyle="1" w:styleId="54">
    <w:name w:val="纯文本 Char"/>
    <w:basedOn w:val="28"/>
    <w:autoRedefine/>
    <w:semiHidden/>
    <w:qFormat/>
    <w:uiPriority w:val="99"/>
    <w:rPr>
      <w:rFonts w:ascii="宋体" w:hAnsi="Courier New" w:eastAsia="宋体" w:cs="Courier New"/>
      <w:szCs w:val="21"/>
    </w:rPr>
  </w:style>
  <w:style w:type="character" w:customStyle="1" w:styleId="55">
    <w:name w:val="标题 3 Char1"/>
    <w:basedOn w:val="28"/>
    <w:link w:val="5"/>
    <w:autoRedefine/>
    <w:semiHidden/>
    <w:qFormat/>
    <w:uiPriority w:val="9"/>
    <w:rPr>
      <w:rFonts w:ascii="Times New Roman" w:hAnsi="Times New Roman" w:eastAsia="宋体" w:cs="Times New Roman"/>
      <w:b/>
      <w:bCs/>
      <w:sz w:val="32"/>
      <w:szCs w:val="32"/>
    </w:rPr>
  </w:style>
  <w:style w:type="character" w:customStyle="1" w:styleId="56">
    <w:name w:val="页眉 Char"/>
    <w:basedOn w:val="28"/>
    <w:link w:val="18"/>
    <w:autoRedefine/>
    <w:semiHidden/>
    <w:qFormat/>
    <w:uiPriority w:val="99"/>
    <w:rPr>
      <w:rFonts w:ascii="Times New Roman" w:hAnsi="Times New Roman" w:eastAsia="宋体" w:cs="Times New Roman"/>
      <w:sz w:val="18"/>
      <w:szCs w:val="18"/>
    </w:rPr>
  </w:style>
  <w:style w:type="character" w:customStyle="1" w:styleId="57">
    <w:name w:val="页脚 Char"/>
    <w:basedOn w:val="28"/>
    <w:link w:val="17"/>
    <w:autoRedefine/>
    <w:qFormat/>
    <w:uiPriority w:val="99"/>
    <w:rPr>
      <w:rFonts w:ascii="Times New Roman" w:hAnsi="Times New Roman" w:eastAsia="宋体" w:cs="Times New Roman"/>
      <w:sz w:val="18"/>
      <w:szCs w:val="18"/>
    </w:rPr>
  </w:style>
  <w:style w:type="character" w:customStyle="1" w:styleId="58">
    <w:name w:val="标题 4 Char"/>
    <w:basedOn w:val="28"/>
    <w:link w:val="6"/>
    <w:autoRedefine/>
    <w:semiHidden/>
    <w:qFormat/>
    <w:uiPriority w:val="9"/>
    <w:rPr>
      <w:rFonts w:asciiTheme="majorHAnsi" w:hAnsiTheme="majorHAnsi" w:eastAsiaTheme="majorEastAsia" w:cstheme="majorBidi"/>
      <w:b/>
      <w:bCs/>
      <w:sz w:val="28"/>
      <w:szCs w:val="28"/>
    </w:rPr>
  </w:style>
  <w:style w:type="character" w:customStyle="1" w:styleId="59">
    <w:name w:val="标题 5 Char"/>
    <w:basedOn w:val="28"/>
    <w:link w:val="7"/>
    <w:autoRedefine/>
    <w:semiHidden/>
    <w:qFormat/>
    <w:uiPriority w:val="9"/>
    <w:rPr>
      <w:rFonts w:ascii="Times New Roman" w:hAnsi="Times New Roman" w:eastAsia="宋体" w:cs="Times New Roman"/>
      <w:b/>
      <w:bCs/>
      <w:sz w:val="28"/>
      <w:szCs w:val="28"/>
    </w:rPr>
  </w:style>
  <w:style w:type="character" w:customStyle="1" w:styleId="60">
    <w:name w:val="标题 6 Char"/>
    <w:basedOn w:val="28"/>
    <w:link w:val="8"/>
    <w:autoRedefine/>
    <w:semiHidden/>
    <w:qFormat/>
    <w:uiPriority w:val="9"/>
    <w:rPr>
      <w:rFonts w:asciiTheme="majorHAnsi" w:hAnsiTheme="majorHAnsi" w:eastAsiaTheme="majorEastAsia" w:cstheme="majorBidi"/>
      <w:b/>
      <w:bCs/>
      <w:sz w:val="24"/>
      <w:szCs w:val="24"/>
    </w:rPr>
  </w:style>
  <w:style w:type="character" w:customStyle="1" w:styleId="61">
    <w:name w:val="标题 7 Char"/>
    <w:basedOn w:val="28"/>
    <w:link w:val="9"/>
    <w:autoRedefine/>
    <w:semiHidden/>
    <w:qFormat/>
    <w:uiPriority w:val="9"/>
    <w:rPr>
      <w:rFonts w:ascii="Times New Roman" w:hAnsi="Times New Roman" w:eastAsia="宋体" w:cs="Times New Roman"/>
      <w:b/>
      <w:bCs/>
      <w:sz w:val="24"/>
      <w:szCs w:val="24"/>
    </w:rPr>
  </w:style>
  <w:style w:type="paragraph" w:customStyle="1" w:styleId="62">
    <w:name w:val="首行缩进"/>
    <w:basedOn w:val="1"/>
    <w:next w:val="1"/>
    <w:autoRedefine/>
    <w:qFormat/>
    <w:uiPriority w:val="0"/>
    <w:pPr>
      <w:spacing w:line="360" w:lineRule="auto"/>
      <w:ind w:firstLine="200" w:firstLineChars="200"/>
    </w:pPr>
    <w:rPr>
      <w:rFonts w:ascii="Calibri" w:hAnsi="Calibri"/>
      <w:sz w:val="24"/>
      <w:szCs w:val="21"/>
    </w:rPr>
  </w:style>
  <w:style w:type="paragraph" w:customStyle="1" w:styleId="63">
    <w:name w:val="正文_2"/>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4">
    <w:name w:val="批注框文本 Char"/>
    <w:basedOn w:val="28"/>
    <w:link w:val="16"/>
    <w:autoRedefine/>
    <w:semiHidden/>
    <w:qFormat/>
    <w:uiPriority w:val="99"/>
    <w:rPr>
      <w:rFonts w:ascii="Times New Roman" w:hAnsi="Times New Roman" w:eastAsia="宋体" w:cs="Times New Roman"/>
      <w:sz w:val="18"/>
      <w:szCs w:val="18"/>
    </w:rPr>
  </w:style>
  <w:style w:type="paragraph" w:customStyle="1" w:styleId="65">
    <w:name w:val="TOC 标题1"/>
    <w:basedOn w:val="3"/>
    <w:next w:val="1"/>
    <w:autoRedefine/>
    <w:unhideWhenUsed/>
    <w:qFormat/>
    <w:uiPriority w:val="39"/>
    <w:pPr>
      <w:widowControl/>
      <w:autoSpaceDE/>
      <w:autoSpaceDN/>
      <w:adjustRightInd/>
      <w:spacing w:before="480" w:after="0" w:line="276" w:lineRule="auto"/>
      <w:ind w:left="0" w:firstLine="0"/>
      <w:textAlignment w:val="auto"/>
      <w:outlineLvl w:val="9"/>
    </w:pPr>
    <w:rPr>
      <w:rFonts w:asciiTheme="majorHAnsi" w:hAnsiTheme="majorHAnsi" w:eastAsiaTheme="majorEastAsia" w:cstheme="majorBidi"/>
      <w:color w:val="376092" w:themeColor="accent1" w:themeShade="BF"/>
      <w:kern w:val="0"/>
      <w:sz w:val="28"/>
      <w:szCs w:val="28"/>
    </w:rPr>
  </w:style>
  <w:style w:type="paragraph" w:customStyle="1" w:styleId="66">
    <w:name w:val="样式1"/>
    <w:basedOn w:val="1"/>
    <w:autoRedefine/>
    <w:qFormat/>
    <w:uiPriority w:val="0"/>
    <w:pPr>
      <w:numPr>
        <w:ilvl w:val="0"/>
        <w:numId w:val="2"/>
      </w:numPr>
      <w:adjustRightInd w:val="0"/>
      <w:textAlignment w:val="baseline"/>
    </w:pPr>
    <w:rPr>
      <w:rFonts w:ascii="宋体" w:hAnsi="宋体"/>
      <w:kern w:val="0"/>
      <w:sz w:val="21"/>
    </w:rPr>
  </w:style>
  <w:style w:type="paragraph" w:customStyle="1" w:styleId="67">
    <w:name w:val="Char Char Char Char Char Char Char1 Char"/>
    <w:basedOn w:val="1"/>
    <w:autoRedefine/>
    <w:qFormat/>
    <w:uiPriority w:val="0"/>
    <w:rPr>
      <w:rFonts w:ascii="Tahoma" w:hAnsi="Tahoma"/>
      <w:sz w:val="24"/>
    </w:rPr>
  </w:style>
  <w:style w:type="character" w:customStyle="1" w:styleId="68">
    <w:name w:val="批注文字 Char"/>
    <w:basedOn w:val="28"/>
    <w:link w:val="11"/>
    <w:autoRedefine/>
    <w:qFormat/>
    <w:uiPriority w:val="0"/>
    <w:rPr>
      <w:rFonts w:ascii="Times New Roman" w:hAnsi="Times New Roman" w:eastAsia="宋体" w:cs="Times New Roman"/>
      <w:sz w:val="28"/>
      <w:szCs w:val="20"/>
    </w:rPr>
  </w:style>
  <w:style w:type="character" w:customStyle="1" w:styleId="69">
    <w:name w:val="font51"/>
    <w:basedOn w:val="28"/>
    <w:autoRedefine/>
    <w:qFormat/>
    <w:uiPriority w:val="0"/>
    <w:rPr>
      <w:rFonts w:hint="eastAsia" w:ascii="宋体" w:hAnsi="宋体" w:eastAsia="宋体" w:cs="宋体"/>
      <w:color w:val="000000"/>
      <w:sz w:val="24"/>
      <w:szCs w:val="24"/>
      <w:u w:val="none"/>
    </w:rPr>
  </w:style>
  <w:style w:type="paragraph" w:customStyle="1" w:styleId="70">
    <w:name w:val="_Style 13"/>
    <w:basedOn w:val="1"/>
    <w:next w:val="38"/>
    <w:autoRedefine/>
    <w:qFormat/>
    <w:uiPriority w:val="0"/>
    <w:pPr>
      <w:ind w:firstLine="420" w:firstLineChars="200"/>
    </w:pPr>
    <w:rPr>
      <w:rFonts w:ascii="Calibri" w:hAnsi="Calibri"/>
      <w:kern w:val="0"/>
      <w:sz w:val="20"/>
      <w:lang w:val="zh-CN"/>
    </w:rPr>
  </w:style>
  <w:style w:type="paragraph" w:customStyle="1" w:styleId="71">
    <w:name w:val="正文缩进2格"/>
    <w:basedOn w:val="1"/>
    <w:autoRedefine/>
    <w:qFormat/>
    <w:uiPriority w:val="0"/>
    <w:pPr>
      <w:spacing w:line="600" w:lineRule="exact"/>
      <w:ind w:firstLine="639" w:firstLineChars="206"/>
    </w:pPr>
    <w:rPr>
      <w:rFonts w:ascii="仿宋_GB2312" w:hAnsi="宋体" w:eastAsia="仿宋_GB2312"/>
      <w:sz w:val="31"/>
      <w:szCs w:val="22"/>
    </w:rPr>
  </w:style>
  <w:style w:type="character" w:customStyle="1" w:styleId="72">
    <w:name w:val="批注主题 Char"/>
    <w:basedOn w:val="68"/>
    <w:link w:val="24"/>
    <w:autoRedefine/>
    <w:semiHidden/>
    <w:qFormat/>
    <w:uiPriority w:val="99"/>
    <w:rPr>
      <w:b/>
      <w:bCs/>
      <w:kern w:val="2"/>
    </w:rPr>
  </w:style>
  <w:style w:type="character" w:customStyle="1" w:styleId="73">
    <w:name w:val="font61"/>
    <w:basedOn w:val="28"/>
    <w:autoRedefine/>
    <w:qFormat/>
    <w:uiPriority w:val="0"/>
    <w:rPr>
      <w:rFonts w:hint="default" w:ascii="Times New Roman" w:hAnsi="Times New Roman" w:cs="Times New Roman"/>
      <w:color w:val="000000"/>
      <w:sz w:val="32"/>
      <w:szCs w:val="32"/>
      <w:u w:val="none"/>
    </w:rPr>
  </w:style>
  <w:style w:type="character" w:customStyle="1" w:styleId="74">
    <w:name w:val="font41"/>
    <w:basedOn w:val="28"/>
    <w:autoRedefine/>
    <w:qFormat/>
    <w:uiPriority w:val="0"/>
    <w:rPr>
      <w:rFonts w:hint="eastAsia" w:ascii="宋体" w:hAnsi="宋体" w:eastAsia="宋体" w:cs="宋体"/>
      <w:color w:val="000000"/>
      <w:sz w:val="32"/>
      <w:szCs w:val="32"/>
      <w:u w:val="none"/>
    </w:rPr>
  </w:style>
  <w:style w:type="character" w:customStyle="1" w:styleId="75">
    <w:name w:val="font81"/>
    <w:basedOn w:val="28"/>
    <w:autoRedefine/>
    <w:qFormat/>
    <w:uiPriority w:val="0"/>
    <w:rPr>
      <w:rFonts w:hint="eastAsia" w:ascii="宋体" w:hAnsi="宋体" w:eastAsia="宋体" w:cs="宋体"/>
      <w:color w:val="000000"/>
      <w:sz w:val="28"/>
      <w:szCs w:val="28"/>
      <w:u w:val="none"/>
    </w:rPr>
  </w:style>
  <w:style w:type="character" w:customStyle="1" w:styleId="76">
    <w:name w:val="font71"/>
    <w:basedOn w:val="28"/>
    <w:autoRedefine/>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EE0090-D148-4C3E-90A9-2738C14BA3D7}">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67</Pages>
  <Words>17849</Words>
  <Characters>18309</Characters>
  <Lines>159</Lines>
  <Paragraphs>45</Paragraphs>
  <TotalTime>20</TotalTime>
  <ScaleCrop>false</ScaleCrop>
  <LinksUpToDate>false</LinksUpToDate>
  <CharactersWithSpaces>21538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2018-06-28T09:07:00Z</dcterms:created>
  <dc:creator>20110004</dc:creator>
  <cp:lastModifiedBy>Administrator</cp:lastModifiedBy>
  <cp:lastPrinted>2020-08-06T07:00:00Z</cp:lastPrinted>
  <dcterms:modified xsi:type="dcterms:W3CDTF">2024-05-24T03:21:05Z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34A1B56B23BB445B85F3522732CDF5D2_13</vt:lpwstr>
  </property>
</Properties>
</file>