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2023035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滨江校区垃圾车清洗台建设项目</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2023年7月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2"/>
      </w:pPr>
      <w:r>
        <w:rPr>
          <w:rFonts w:hint="eastAsia"/>
        </w:rPr>
        <w:t>目  录</w:t>
      </w:r>
    </w:p>
    <w:p>
      <w:pPr>
        <w:pStyle w:val="22"/>
      </w:pPr>
    </w:p>
    <w:p>
      <w:pPr>
        <w:pStyle w:val="22"/>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1"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bookmarkStart w:id="133" w:name="_GoBack"/>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皖南医学院滨江校区垃圾车清洗台建设项目(二次）</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皖南医学院滨江校区垃圾车清洗台建设项目(二次）</w:t>
      </w:r>
      <w:r>
        <w:rPr>
          <w:rFonts w:hint="default" w:ascii="仿宋_GB2312" w:eastAsia="仿宋_GB2312" w:cs="宋体"/>
          <w:sz w:val="24"/>
          <w:szCs w:val="24"/>
          <w:lang w:val="en-US" w:eastAsia="zh-CN"/>
        </w:rPr>
        <w:t>；</w:t>
      </w:r>
    </w:p>
    <w:p>
      <w:pPr>
        <w:pStyle w:val="25"/>
        <w:keepNext w:val="0"/>
        <w:keepLines w:val="0"/>
        <w:pageBreakBefore w:val="0"/>
        <w:kinsoku/>
        <w:wordWrap/>
        <w:overflowPunct/>
        <w:topLinePunct w:val="0"/>
        <w:autoSpaceDE/>
        <w:bidi w:val="0"/>
        <w:adjustRightInd w:val="0"/>
        <w:snapToGrid w:val="0"/>
        <w:spacing w:before="0" w:beforeAutospacing="0" w:after="0" w:afterAutospacing="0" w:line="360" w:lineRule="auto"/>
        <w:ind w:firstLine="480" w:firstLineChars="200"/>
        <w:jc w:val="both"/>
        <w:textAlignment w:val="auto"/>
        <w:rPr>
          <w:rFonts w:hint="eastAsia" w:ascii="仿宋_GB2312" w:hAnsi="宋体" w:eastAsia="仿宋_GB2312" w:cs="宋体"/>
          <w:sz w:val="24"/>
          <w:szCs w:val="24"/>
          <w:lang w:val="zh-CN" w:eastAsia="zh-CN"/>
        </w:rPr>
      </w:pPr>
      <w:r>
        <w:rPr>
          <w:rFonts w:hint="default" w:ascii="仿宋_GB2312" w:hAnsi="宋体" w:eastAsia="仿宋_GB2312" w:cs="宋体"/>
          <w:sz w:val="24"/>
          <w:szCs w:val="24"/>
          <w:lang w:val="en-US" w:eastAsia="zh-CN"/>
        </w:rPr>
        <w:t>（二）项目编号：WYGZ</w:t>
      </w:r>
      <w:r>
        <w:rPr>
          <w:rFonts w:hint="eastAsia" w:ascii="仿宋_GB2312" w:eastAsia="仿宋_GB2312" w:cs="宋体"/>
          <w:sz w:val="24"/>
          <w:szCs w:val="24"/>
          <w:lang w:val="en-US" w:eastAsia="zh-CN"/>
        </w:rPr>
        <w:t>2023035</w:t>
      </w:r>
      <w:r>
        <w:rPr>
          <w:rFonts w:hint="default" w:ascii="仿宋_GB2312" w:hAnsi="宋体" w:eastAsia="仿宋_GB2312" w:cs="宋体"/>
          <w:sz w:val="24"/>
          <w:szCs w:val="24"/>
          <w:lang w:val="en-US" w:eastAsia="zh-CN"/>
        </w:rPr>
        <w:t>;</w:t>
      </w:r>
    </w:p>
    <w:p>
      <w:pPr>
        <w:pStyle w:val="45"/>
        <w:keepNext w:val="0"/>
        <w:keepLines w:val="0"/>
        <w:pageBreakBefore w:val="0"/>
        <w:numPr>
          <w:ilvl w:val="0"/>
          <w:numId w:val="0"/>
        </w:numPr>
        <w:kinsoku/>
        <w:wordWrap/>
        <w:overflowPunct/>
        <w:topLinePunct w:val="0"/>
        <w:autoSpaceDE/>
        <w:autoSpaceDN w:val="0"/>
        <w:bidi w:val="0"/>
        <w:spacing w:line="360" w:lineRule="auto"/>
        <w:ind w:firstLine="480" w:firstLineChars="200"/>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（三）项目内容：</w:t>
      </w:r>
      <w:r>
        <w:rPr>
          <w:rFonts w:hint="eastAsia" w:ascii="仿宋_GB2312" w:hAnsi="宋体" w:eastAsia="仿宋_GB2312" w:cs="宋体"/>
          <w:kern w:val="0"/>
          <w:sz w:val="24"/>
          <w:szCs w:val="24"/>
          <w:lang w:val="en-US" w:eastAsia="zh-CN" w:bidi="ar-SA"/>
        </w:rPr>
        <w:t xml:space="preserve"> 皖南医学院新建垃圾车清洗台项目拟在学校滨江校区4号实验楼西北角广场新建一垃圾车清洗台，作为校内垃圾车停放清洗点.</w:t>
      </w:r>
    </w:p>
    <w:p>
      <w:pPr>
        <w:pStyle w:val="25"/>
        <w:adjustRightInd w:val="0"/>
        <w:snapToGrid w:val="0"/>
        <w:spacing w:before="0" w:beforeAutospacing="0" w:after="0" w:afterAutospacing="0" w:line="360" w:lineRule="auto"/>
        <w:ind w:firstLine="480" w:firstLineChars="200"/>
        <w:jc w:val="both"/>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（四）项目预算：</w:t>
      </w:r>
      <w:r>
        <w:rPr>
          <w:rFonts w:hint="eastAsia" w:ascii="仿宋_GB2312" w:hAnsi="宋体" w:eastAsia="仿宋_GB2312" w:cs="宋体"/>
          <w:kern w:val="0"/>
          <w:sz w:val="24"/>
          <w:szCs w:val="24"/>
          <w:lang w:val="en-US" w:eastAsia="zh-CN" w:bidi="ar-SA"/>
        </w:rPr>
        <w:t>107678.92元。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5" w:firstLineChars="189"/>
        <w:rPr>
          <w:rFonts w:hint="default"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lang w:val="en-US" w:eastAsia="zh-CN" w:bidi="ar-SA"/>
        </w:rPr>
        <w:t>6.具有建筑工程施工总承包三级及以上或建筑装修装饰工程专业承包二级或市政公用工程施工总承包三级及以上资质；</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7</w:t>
      </w:r>
      <w:r>
        <w:rPr>
          <w:rFonts w:hint="default" w:ascii="仿宋_GB2312" w:hAnsi="宋体" w:eastAsia="仿宋_GB2312" w:cs="宋体"/>
          <w:kern w:val="0"/>
          <w:sz w:val="24"/>
          <w:szCs w:val="24"/>
          <w:lang w:val="en-US" w:eastAsia="zh-CN" w:bidi="ar-SA"/>
        </w:rPr>
        <w:t>.本项目不接受联合体投标。</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三、报名时间及方式：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（一）报名时间：</w:t>
      </w:r>
      <w:r>
        <w:rPr>
          <w:rFonts w:hint="eastAsia" w:ascii="仿宋_GB2312" w:eastAsia="仿宋_GB2312" w:cs="宋体"/>
          <w:sz w:val="24"/>
          <w:szCs w:val="24"/>
          <w:highlight w:val="none"/>
          <w:lang w:val="en-US" w:eastAsia="zh-CN"/>
        </w:rPr>
        <w:t>2023年7月18</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2023年7月24</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皖南医学院滨江校区垃圾车清洗台建设项目(二次）</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2023035</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2023年7月28</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2023年7月28</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（二）联系电话：0553-3932052</w:t>
      </w:r>
      <w:r>
        <w:rPr>
          <w:rFonts w:hint="eastAsia" w:ascii="仿宋_GB2312" w:eastAsia="仿宋_GB2312" w:cs="宋体"/>
          <w:sz w:val="24"/>
          <w:szCs w:val="24"/>
          <w:lang w:val="en-US" w:eastAsia="zh-CN"/>
        </w:rPr>
        <w:t>，19855345130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5"/>
        <w:adjustRightInd w:val="0"/>
        <w:snapToGrid w:val="0"/>
        <w:spacing w:before="0" w:beforeAutospacing="0" w:after="0" w:afterAutospacing="0" w:line="360" w:lineRule="auto"/>
        <w:ind w:firstLine="960" w:firstLineChars="4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5"/>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投标报备：各投标单位于2</w:t>
      </w:r>
      <w:r>
        <w:rPr>
          <w:rFonts w:hint="eastAsia" w:ascii="仿宋_GB2312" w:eastAsia="仿宋_GB2312" w:cs="宋体"/>
          <w:sz w:val="24"/>
          <w:szCs w:val="24"/>
          <w:highlight w:val="none"/>
          <w:lang w:val="en-US" w:eastAsia="zh-CN"/>
        </w:rPr>
        <w:t>023年7月27日17</w:t>
      </w:r>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5"/>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5"/>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2023年7月17</w:t>
      </w:r>
      <w:r>
        <w:rPr>
          <w:rFonts w:hint="default" w:ascii="仿宋_GB2312" w:eastAsia="仿宋_GB2312" w:cs="宋体"/>
          <w:sz w:val="24"/>
          <w:szCs w:val="24"/>
          <w:highlight w:val="none"/>
          <w:lang w:val="en-US" w:eastAsia="zh-CN"/>
        </w:rPr>
        <w:t>日</w:t>
      </w:r>
    </w:p>
    <w:bookmarkEnd w:id="133"/>
    <w:p>
      <w:pPr>
        <w:jc w:val="right"/>
        <w:rPr>
          <w:rFonts w:ascii="仿宋_GB2312" w:eastAsia="仿宋_GB2312"/>
          <w:sz w:val="24"/>
          <w:szCs w:val="24"/>
        </w:rPr>
      </w:pPr>
    </w:p>
    <w:p>
      <w:pPr>
        <w:rPr>
          <w:rFonts w:hint="eastAsia" w:ascii="华文中宋" w:hAnsi="华文中宋" w:eastAsia="华文中宋"/>
          <w:color w:val="auto"/>
        </w:rPr>
      </w:pPr>
      <w:bookmarkStart w:id="1" w:name="_Toc49763000"/>
      <w:r>
        <w:rPr>
          <w:rFonts w:hint="eastAsia" w:ascii="华文中宋" w:hAnsi="华文中宋" w:eastAsia="华文中宋"/>
          <w:color w:val="auto"/>
        </w:rPr>
        <w:br w:type="page"/>
      </w:r>
    </w:p>
    <w:p>
      <w:pPr>
        <w:pStyle w:val="6"/>
        <w:snapToGrid w:val="0"/>
        <w:spacing w:before="0" w:after="0"/>
        <w:ind w:left="0" w:leftChars="0" w:firstLine="2162"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皖南医学院滨江校区垃圾车清洗台建设项目(二次）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7</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8</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10</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2.1</w:t>
            </w:r>
            <w:r>
              <w:rPr>
                <w:rFonts w:hint="eastAsia" w:ascii="宋体" w:hAnsi="宋体" w:cs="宋体"/>
                <w:kern w:val="0"/>
                <w:sz w:val="21"/>
                <w:szCs w:val="21"/>
                <w:lang w:val="en-US" w:eastAsia="zh-CN"/>
              </w:rPr>
              <w:t>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403987205"/>
      <w:bookmarkStart w:id="5" w:name="_Toc120614214"/>
      <w:bookmarkStart w:id="6" w:name="_Toc513029203"/>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16938520"/>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20823277"/>
      <w:bookmarkStart w:id="13" w:name="_Toc513029205"/>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513029206"/>
      <w:bookmarkStart w:id="16" w:name="_Toc16938522"/>
      <w:bookmarkStart w:id="17" w:name="_Toc20823278"/>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513029207"/>
      <w:bookmarkStart w:id="20" w:name="_Toc462564067"/>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16938525"/>
      <w:bookmarkStart w:id="24" w:name="_Toc403987206"/>
      <w:bookmarkStart w:id="25" w:name="_Toc120614215"/>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513029210"/>
      <w:bookmarkStart w:id="28" w:name="_Toc20823282"/>
      <w:bookmarkStart w:id="29" w:name="_Toc16938526"/>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462564070"/>
      <w:bookmarkStart w:id="31" w:name="_Toc16938527"/>
      <w:bookmarkStart w:id="32" w:name="_Toc20823283"/>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513029213"/>
      <w:bookmarkStart w:id="35" w:name="_Toc16938529"/>
      <w:bookmarkStart w:id="36" w:name="_Toc462564072"/>
      <w:bookmarkStart w:id="37" w:name="_Toc120614216"/>
      <w:bookmarkStart w:id="38" w:name="_Toc20823285"/>
      <w:bookmarkStart w:id="39" w:name="_Toc403987207"/>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16938530"/>
      <w:bookmarkStart w:id="42" w:name="_Toc20823286"/>
      <w:bookmarkStart w:id="43" w:name="_Toc513029214"/>
      <w:bookmarkStart w:id="44" w:name="_Toc462564073"/>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16938531"/>
      <w:bookmarkStart w:id="46" w:name="_Toc513029215"/>
      <w:bookmarkStart w:id="47" w:name="_Toc462564074"/>
      <w:bookmarkStart w:id="48" w:name="_Toc20823287"/>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2</w:t>
      </w:r>
      <w:r>
        <w:rPr>
          <w:rFonts w:hint="eastAsia" w:hAnsi="宋体" w:eastAsia="宋体"/>
          <w:sz w:val="24"/>
          <w:szCs w:val="24"/>
        </w:rPr>
        <w:t>）供应商不具备磋商文件中规定资格条件的；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3</w:t>
      </w:r>
      <w:r>
        <w:rPr>
          <w:rFonts w:hint="eastAsia" w:hAnsi="宋体" w:eastAsia="宋体"/>
          <w:sz w:val="24"/>
          <w:szCs w:val="24"/>
        </w:rPr>
        <w:t>）不符合法律、法规和磋商文件中规定的其他实质性要求的（本磋商文件中斜体且有下划线部分为实质性要求和条件）；</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4</w:t>
      </w:r>
      <w:r>
        <w:rPr>
          <w:rFonts w:hint="eastAsia" w:hAnsi="宋体" w:eastAsia="宋体"/>
          <w:sz w:val="24"/>
          <w:szCs w:val="24"/>
        </w:rPr>
        <w:t>）其他法律、法规及本磋商文件规定的属响应无效的情形。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pPr>
        <w:pStyle w:val="40"/>
        <w:snapToGrid w:val="0"/>
        <w:ind w:left="0" w:leftChars="0" w:right="280" w:rightChars="100" w:firstLine="0" w:firstLineChars="0"/>
        <w:rPr>
          <w:rFonts w:ascii="仿宋_GB2312" w:hAnsi="宋体" w:eastAsia="仿宋_GB2312"/>
          <w:bCs/>
          <w:szCs w:val="28"/>
        </w:rPr>
      </w:pPr>
    </w:p>
    <w:p>
      <w:pPr>
        <w:rPr>
          <w:rFonts w:hint="eastAsia"/>
        </w:rPr>
      </w:pPr>
      <w:bookmarkStart w:id="107" w:name="_Toc49763002"/>
      <w:r>
        <w:rPr>
          <w:rFonts w:hint="eastAsia" w:ascii="华文中宋" w:hAnsi="华文中宋" w:eastAsia="华文中宋"/>
          <w:bCs w:val="0"/>
          <w:color w:val="auto"/>
          <w:highlight w:val="none"/>
        </w:rPr>
        <w:br w:type="page"/>
      </w:r>
    </w:p>
    <w:p>
      <w:pPr>
        <w:pStyle w:val="6"/>
        <w:numPr>
          <w:ilvl w:val="0"/>
          <w:numId w:val="2"/>
        </w:numPr>
        <w:snapToGrid w:val="0"/>
        <w:spacing w:before="0" w:after="0"/>
        <w:ind w:left="947" w:hanging="947"/>
        <w:jc w:val="center"/>
        <w:rPr>
          <w:rFonts w:hint="eastAsia"/>
        </w:rPr>
      </w:pPr>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lang w:eastAsia="zh-CN"/>
        </w:rPr>
        <w:t>皖南医学院滨江校区垃圾车清洗台建设项目(二次）</w:t>
      </w: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u w:val="single"/>
          <w:lang w:eastAsia="zh-CN"/>
        </w:rPr>
        <w:t>皖南医学院滨江校区垃圾车清洗台建设项目(二次）</w:t>
      </w:r>
      <w:r>
        <w:rPr>
          <w:rFonts w:asciiTheme="majorEastAsia" w:hAnsiTheme="majorEastAsia" w:eastAsiaTheme="majorEastAsia"/>
          <w:sz w:val="28"/>
          <w:szCs w:val="28"/>
        </w:rPr>
        <w:t>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皖南医学院滨江校区垃圾车清洗台建设项目(二次）</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highlight w:val="none"/>
        </w:rPr>
        <w:t>其中含暂列金额</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highlight w:val="none"/>
        </w:rPr>
        <w:t>4.合同工期：工期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日历天，从甲方书面通知进场施工时间开始计算。因乙方原因推迟的按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元/天对其进行处罚（甲方原因除外，但需乙方书面提出，甲方现场负责人签字确认）；推迟10天及以上甲方将发函警告乙方并没收其全部工程履约保证金，将其录入学</w:t>
      </w:r>
      <w:r>
        <w:rPr>
          <w:rFonts w:hint="eastAsia" w:ascii="宋体" w:hAnsi="宋体" w:eastAsia="宋体" w:cs="宋体"/>
          <w:sz w:val="28"/>
          <w:szCs w:val="28"/>
        </w:rPr>
        <w:t>校黑名单库，3年内禁止参加学校任何招投标活动。不可抗力因素除外。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涉及合同价款变动的变更项目必须按《皖南医学院基建、修缮工程变更签证单》逐级签字盖章生效后方可施工，</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w:t>
      </w:r>
      <w:r>
        <w:rPr>
          <w:rFonts w:hint="eastAsia" w:ascii="宋体" w:hAnsi="宋体" w:eastAsia="宋体" w:cs="宋体"/>
          <w:sz w:val="28"/>
          <w:szCs w:val="28"/>
          <w:highlight w:val="none"/>
        </w:rPr>
        <w:t>不含暂列金额）的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%；审计完成，乙方先将金额为终审价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%的质保金汇入甲方账户，甲方凭</w:t>
      </w:r>
      <w:r>
        <w:rPr>
          <w:rFonts w:hint="eastAsia" w:ascii="宋体" w:hAnsi="宋体" w:eastAsia="宋体" w:cs="宋体"/>
          <w:sz w:val="28"/>
          <w:szCs w:val="28"/>
        </w:rPr>
        <w:t>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highlight w:val="yellow"/>
        </w:rPr>
      </w:pPr>
      <w:r>
        <w:rPr>
          <w:rFonts w:hint="eastAsia" w:ascii="宋体" w:hAnsi="宋体" w:eastAsia="宋体" w:cs="宋体"/>
          <w:sz w:val="28"/>
          <w:szCs w:val="28"/>
        </w:rPr>
        <w:t>3.所有材料进场前需报甲方项目负责人确</w:t>
      </w:r>
      <w:r>
        <w:rPr>
          <w:rFonts w:hint="eastAsia" w:ascii="宋体" w:hAnsi="宋体" w:eastAsia="宋体" w:cs="宋体"/>
          <w:sz w:val="28"/>
          <w:szCs w:val="28"/>
          <w:highlight w:val="none"/>
        </w:rPr>
        <w:t>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12</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捌</w:t>
      </w:r>
      <w:r>
        <w:rPr>
          <w:rFonts w:hint="eastAsia" w:ascii="宋体" w:hAnsi="宋体" w:eastAsia="宋体" w:cs="宋体"/>
          <w:sz w:val="28"/>
          <w:szCs w:val="28"/>
          <w:u w:val="single"/>
        </w:rPr>
        <w:t xml:space="preserve">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陆</w:t>
      </w:r>
      <w:r>
        <w:rPr>
          <w:rFonts w:hint="eastAsia" w:ascii="宋体" w:hAnsi="宋体" w:eastAsia="宋体" w:cs="宋体"/>
          <w:sz w:val="28"/>
          <w:szCs w:val="28"/>
          <w:u w:val="single"/>
        </w:rPr>
        <w:t xml:space="preserve">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贰</w:t>
      </w:r>
      <w:r>
        <w:rPr>
          <w:rFonts w:hint="eastAsia" w:ascii="宋体" w:hAnsi="宋体" w:eastAsia="宋体" w:cs="宋体"/>
          <w:sz w:val="28"/>
          <w:szCs w:val="28"/>
          <w:u w:val="single"/>
        </w:rPr>
        <w:t xml:space="preserve"> </w:t>
      </w:r>
      <w:r>
        <w:rPr>
          <w:rFonts w:hint="eastAsia" w:ascii="宋体" w:hAnsi="宋体" w:eastAsia="宋体" w:cs="宋体"/>
          <w:sz w:val="28"/>
          <w:szCs w:val="28"/>
        </w:rPr>
        <w:t>份，甲、乙双方法定代表人或其委托代理人签字盖章后生效。</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rPr>
          <w:rFonts w:hint="eastAsia"/>
        </w:rPr>
      </w:pPr>
      <w:bookmarkStart w:id="109" w:name="_Toc49763004"/>
    </w:p>
    <w:p>
      <w:pPr>
        <w:spacing w:line="360" w:lineRule="auto"/>
        <w:rPr>
          <w:rFonts w:hint="eastAsia" w:ascii="宋体" w:hAnsi="宋体"/>
          <w:b/>
          <w:color w:val="000000"/>
          <w:spacing w:val="-6"/>
          <w:sz w:val="24"/>
          <w:szCs w:val="24"/>
        </w:rPr>
      </w:pPr>
      <w:r>
        <w:rPr>
          <w:rFonts w:hint="eastAsia" w:ascii="宋体" w:hAnsi="宋体"/>
          <w:b/>
          <w:color w:val="000000"/>
          <w:spacing w:val="-6"/>
          <w:sz w:val="24"/>
          <w:szCs w:val="24"/>
        </w:rPr>
        <w:t>一、工程概况</w:t>
      </w:r>
    </w:p>
    <w:p>
      <w:pPr>
        <w:spacing w:line="360" w:lineRule="auto"/>
        <w:rPr>
          <w:rFonts w:hint="default" w:ascii="宋体" w:hAnsi="宋体"/>
          <w:color w:val="000000"/>
          <w:spacing w:val="-6"/>
          <w:sz w:val="24"/>
          <w:szCs w:val="24"/>
          <w:lang w:val="en-US" w:eastAsia="zh-CN"/>
        </w:rPr>
      </w:pPr>
      <w:r>
        <w:rPr>
          <w:rFonts w:hint="eastAsia" w:ascii="宋体" w:hAnsi="宋体"/>
          <w:b/>
          <w:color w:val="000000"/>
          <w:spacing w:val="-6"/>
          <w:sz w:val="24"/>
          <w:szCs w:val="24"/>
          <w:lang w:val="en-US" w:eastAsia="zh-CN"/>
        </w:rPr>
        <w:t xml:space="preserve">    </w:t>
      </w:r>
      <w:r>
        <w:rPr>
          <w:rFonts w:hint="eastAsia" w:ascii="宋体" w:hAnsi="宋体"/>
          <w:color w:val="000000"/>
          <w:spacing w:val="-6"/>
          <w:sz w:val="24"/>
          <w:szCs w:val="24"/>
          <w:lang w:val="en-US" w:eastAsia="zh-CN"/>
        </w:rPr>
        <w:t>皖南医学院新建垃圾车清洗台项目拟在学校滨江校区4号实验楼西北角广场新建一垃圾车清洗台，作为校内垃圾车停放清洗点，项目预算15万元。</w:t>
      </w:r>
    </w:p>
    <w:p>
      <w:pPr>
        <w:spacing w:line="360" w:lineRule="auto"/>
        <w:rPr>
          <w:rFonts w:hint="eastAsia"/>
          <w:b/>
          <w:bCs/>
          <w:sz w:val="24"/>
          <w:szCs w:val="24"/>
          <w:lang w:val="en-US" w:eastAsia="zh-CN"/>
        </w:rPr>
      </w:pPr>
      <w:r>
        <w:rPr>
          <w:rFonts w:hint="eastAsia" w:ascii="宋体" w:hAnsi="宋体"/>
          <w:b/>
          <w:color w:val="000000"/>
          <w:spacing w:val="-6"/>
          <w:sz w:val="24"/>
          <w:szCs w:val="24"/>
          <w:lang w:val="en-US" w:eastAsia="zh-CN"/>
        </w:rPr>
        <w:t>二</w:t>
      </w:r>
      <w:r>
        <w:rPr>
          <w:rFonts w:hint="eastAsia" w:ascii="宋体" w:hAnsi="宋体"/>
          <w:b/>
          <w:color w:val="000000"/>
          <w:spacing w:val="-6"/>
          <w:sz w:val="24"/>
          <w:szCs w:val="24"/>
        </w:rPr>
        <w:t>、</w:t>
      </w:r>
      <w:r>
        <w:rPr>
          <w:rFonts w:hint="eastAsia" w:ascii="宋体" w:hAnsi="宋体"/>
          <w:b/>
          <w:color w:val="000000"/>
          <w:spacing w:val="-6"/>
          <w:sz w:val="24"/>
          <w:szCs w:val="24"/>
          <w:lang w:val="en-US" w:eastAsia="zh-CN"/>
        </w:rPr>
        <w:t>项目内容</w:t>
      </w:r>
    </w:p>
    <w:p>
      <w:pPr>
        <w:widowControl w:val="0"/>
        <w:numPr>
          <w:ilvl w:val="0"/>
          <w:numId w:val="0"/>
        </w:numPr>
        <w:spacing w:line="360" w:lineRule="auto"/>
        <w:jc w:val="both"/>
        <w:rPr>
          <w:rFonts w:hint="default" w:ascii="宋体" w:hAnsi="宋体"/>
          <w:b/>
          <w:bCs/>
          <w:color w:val="000000"/>
          <w:spacing w:val="-6"/>
          <w:sz w:val="24"/>
          <w:szCs w:val="24"/>
          <w:lang w:val="en-US" w:eastAsia="zh-CN"/>
        </w:rPr>
      </w:pPr>
      <w:r>
        <w:rPr>
          <w:rFonts w:hint="eastAsia" w:ascii="宋体" w:hAnsi="宋体"/>
          <w:b/>
          <w:bCs/>
          <w:color w:val="000000"/>
          <w:spacing w:val="-6"/>
          <w:sz w:val="24"/>
          <w:szCs w:val="24"/>
          <w:lang w:val="en-US" w:eastAsia="zh-CN"/>
        </w:rPr>
        <w:t xml:space="preserve">   </w:t>
      </w:r>
      <w:r>
        <w:rPr>
          <w:rFonts w:hint="eastAsia" w:ascii="宋体" w:hAnsi="宋体"/>
          <w:color w:val="000000"/>
          <w:spacing w:val="-6"/>
          <w:sz w:val="24"/>
          <w:szCs w:val="24"/>
          <w:lang w:val="en-US" w:eastAsia="zh-CN"/>
        </w:rPr>
        <w:t xml:space="preserve"> 该项目主要施工内容有原有地面开挖、重新制作下水、布置水电线路等。</w:t>
      </w:r>
    </w:p>
    <w:p>
      <w:pPr>
        <w:widowControl w:val="0"/>
        <w:numPr>
          <w:ilvl w:val="0"/>
          <w:numId w:val="0"/>
        </w:numPr>
        <w:spacing w:line="360" w:lineRule="auto"/>
        <w:jc w:val="both"/>
        <w:rPr>
          <w:rFonts w:hint="eastAsia" w:ascii="宋体" w:hAnsi="宋体"/>
          <w:b/>
          <w:bCs/>
          <w:color w:val="000000"/>
          <w:spacing w:val="-6"/>
          <w:sz w:val="24"/>
          <w:szCs w:val="24"/>
          <w:lang w:val="en-US" w:eastAsia="zh-CN"/>
        </w:rPr>
      </w:pPr>
      <w:r>
        <w:rPr>
          <w:rFonts w:hint="eastAsia" w:ascii="宋体" w:hAnsi="宋体"/>
          <w:b/>
          <w:bCs/>
          <w:color w:val="000000"/>
          <w:spacing w:val="-6"/>
          <w:sz w:val="24"/>
          <w:szCs w:val="24"/>
          <w:lang w:val="en-US" w:eastAsia="zh-CN"/>
        </w:rPr>
        <w:t>三、工程改造其他要求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 实施时间和地点。具体时间依建设单位给定的时间为准，要求在改造期间不影响校方正常教学科研；地点位于皖南医学院滨江校区（芜湖市弋江区文昌西路22号）滨江校区四号实验楼西北角。</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2．资质要求：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（1）具有独立承担民事责任的能力。</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（2）具有建筑工程施工总承包三级及以上或建筑装修装饰工程专业承包二级或市政公用工程施工总承包三级及以上资质。</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（3）具有良好的商业信誉和优良的售后服务，且在近三年的经营活动中没有不良记录。</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4．对该项目实施的其他相关要求：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（1）严格按照建设单位提供的图纸和工程量清单进行施工，不确定尺寸等要及时与使用部门联系，得到确认后方可施工，如出现问题，施工单位负责无条件返工，造成损失由施工单位全部承担。</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（2）工程完工后，保洁全部地点，垃圾装袋下楼并外运。</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（3）工程施工中对学校绿化、建筑物等设施造成破坏的，施工单位必须无条件恢复。</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（4）施工单位需在验收合格后一周内提交竣工决算资料，内容应包括立项报告、招投标文件、中标通知书、施工合同、工程验收证明、项目决算书、施工单位承诺书、改造竣工平面图等，并装订成册。</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四、现场签证：</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 xml:space="preserve">若发现工程量清单中存在漏项或漏量部分，必须根据《皖南医学院基建、修缮工程变更签证单》要求先行（至少在施工前7天）提出，并做好预算，经业主书面审批后方可施工，否则，此部分工程量由施工单位自理。 </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五、成品保护：</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施工区域内，部分花岗岩面层及绿化已铺设完毕，大型机械车辆不能通行。请着重考虑可行的施工方案（吊装施工，垂直运输，沥青路面保护等施工措施），并在施工前报业主方备案。</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六、材料进场管理：</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所有材料必须有出厂质量合格证，有相应资质等级检测部门出具的检测报告。现场负责人确认颜色、品牌、样式后方可进场；擅自使用未经招标人认可的材料，产生的一切后果自负。</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七、安全文明施工：</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施工时应按规定佩戴好安全帽，高空作业时系好安全带，确保安全操作。施工现场的垃圾集中堆放，日产日清。</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八、工期：</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本工程施工工期为15天，时间自甲方下发通知之日第二天开始算起。若不能按期完工，每推迟一天扣除500元违约金，以此类推，推迟10天没收全部工程履约金。</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十、工程款支付及质保金退付：</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本工程不支付进度款，工程完工后由甲方组织验收，验收合格后凭乙方提供的正规发票支付至合同价（暂列金不含）的70%；审计完成，乙方先将金额为终审价3%的质保金汇入甲方账户，甲方凭汇款凭证（3%质保金）付至终审价的100%；质保期满无质量问题一次性退回质保金。（质保期从验收合格日期开始计算）。</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工程质保期内出现质量问题，及时修复，修复完成后，甲方再次进行验收，验收合格后，质保期顺延一年；一年内无质量问题后支付质保金，如再次出现问题，处理方式同前。对于多次重复出现的问题，甲方将视修复情况通报芜湖市工程质量监督部门。</w:t>
      </w:r>
    </w:p>
    <w:p>
      <w:pPr>
        <w:pStyle w:val="6"/>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widowControl/>
        <w:shd w:val="clear" w:color="auto" w:fill="FFFFFF"/>
        <w:snapToGrid w:val="0"/>
        <w:spacing w:line="360" w:lineRule="auto"/>
        <w:ind w:firstLine="482"/>
        <w:rPr>
          <w:rFonts w:ascii="宋体" w:hAnsi="宋体" w:cs="Calibri"/>
          <w:color w:val="333333"/>
          <w:kern w:val="0"/>
          <w:szCs w:val="21"/>
        </w:rPr>
      </w:pPr>
      <w:bookmarkStart w:id="110" w:name="_Toc49763005"/>
      <w:r>
        <w:rPr>
          <w:rFonts w:hint="eastAsia" w:ascii="宋体" w:hAnsi="宋体" w:cs="Calibri"/>
          <w:b/>
          <w:bCs/>
          <w:color w:val="333333"/>
          <w:kern w:val="0"/>
          <w:szCs w:val="21"/>
          <w:shd w:val="clear" w:color="auto" w:fill="FFFFFF"/>
          <w:lang w:val="en-US" w:eastAsia="zh-CN"/>
        </w:rPr>
        <w:t>1、</w:t>
      </w:r>
      <w:r>
        <w:rPr>
          <w:rFonts w:hint="eastAsia" w:ascii="宋体" w:hAnsi="宋体" w:cs="Calibri"/>
          <w:b/>
          <w:bCs/>
          <w:color w:val="333333"/>
          <w:kern w:val="0"/>
          <w:szCs w:val="21"/>
          <w:shd w:val="clear" w:color="auto" w:fill="FFFFFF"/>
        </w:rPr>
        <w:t>评审分值分配(满分100分)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1.1报价得分占总分60%,分值为60分。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各投标单位有效报价最低报价作为基准报价（60分）：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报价得分＝基准报价／投标人报价×60（报价得分保留2位小数）</w:t>
      </w:r>
    </w:p>
    <w:p>
      <w:pPr>
        <w:pStyle w:val="3"/>
        <w:adjustRightInd w:val="0"/>
        <w:snapToGrid w:val="0"/>
        <w:spacing w:line="460" w:lineRule="exact"/>
        <w:ind w:firstLine="560"/>
        <w:rPr>
          <w:rFonts w:ascii="宋体" w:hAnsi="宋体" w:cs="Calibri"/>
          <w:color w:val="333333"/>
          <w:kern w:val="0"/>
          <w:szCs w:val="21"/>
        </w:rPr>
      </w:pPr>
      <w:r>
        <w:rPr>
          <w:rFonts w:hint="eastAsia" w:ascii="宋体" w:hAnsi="宋体" w:eastAsia="宋体" w:cs="Calibri"/>
          <w:color w:val="000000"/>
          <w:spacing w:val="0"/>
          <w:kern w:val="0"/>
          <w:sz w:val="28"/>
          <w:szCs w:val="21"/>
          <w:shd w:val="clear" w:color="auto" w:fill="FFFFFF"/>
          <w:lang w:val="en-US" w:eastAsia="zh-CN" w:bidi="ar-SA"/>
        </w:rPr>
        <w:t>1.2技术分值为40分</w:t>
      </w:r>
    </w:p>
    <w:tbl>
      <w:tblPr>
        <w:tblStyle w:val="27"/>
        <w:tblpPr w:leftFromText="180" w:rightFromText="180" w:vertAnchor="text" w:horzAnchor="page" w:tblpX="2046" w:tblpY="417"/>
        <w:tblOverlap w:val="never"/>
        <w:tblW w:w="92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1"/>
        <w:gridCol w:w="657"/>
        <w:gridCol w:w="6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69" w:hRule="atLeast"/>
        </w:trPr>
        <w:tc>
          <w:tcPr>
            <w:tcW w:w="2111"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评分项目</w:t>
            </w:r>
          </w:p>
        </w:tc>
        <w:tc>
          <w:tcPr>
            <w:tcW w:w="657"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满分值</w:t>
            </w:r>
          </w:p>
        </w:tc>
        <w:tc>
          <w:tcPr>
            <w:tcW w:w="6480"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评分内容及标准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8" w:hRule="atLeast"/>
        </w:trPr>
        <w:tc>
          <w:tcPr>
            <w:tcW w:w="2111" w:type="dxa"/>
            <w:tcBorders>
              <w:tl2br w:val="nil"/>
              <w:tr2bl w:val="nil"/>
            </w:tcBorders>
            <w:noWrap w:val="0"/>
            <w:vAlign w:val="center"/>
          </w:tcPr>
          <w:p>
            <w:pPr>
              <w:spacing w:line="320" w:lineRule="exact"/>
              <w:jc w:val="center"/>
              <w:rPr>
                <w:rFonts w:hint="eastAsia" w:ascii="宋体" w:hAnsi="宋体" w:eastAsia="宋体" w:cs="Arial"/>
                <w:kern w:val="2"/>
                <w:sz w:val="24"/>
                <w:szCs w:val="24"/>
                <w:lang w:val="en-US" w:eastAsia="zh-CN" w:bidi="ar-SA"/>
              </w:rPr>
            </w:pPr>
            <w:r>
              <w:rPr>
                <w:rFonts w:hint="eastAsia" w:ascii="Times New Roman" w:hAnsi="Times New Roman" w:eastAsia="宋体"/>
                <w:sz w:val="24"/>
              </w:rPr>
              <w:t>施工方案与技术措施</w:t>
            </w:r>
          </w:p>
        </w:tc>
        <w:tc>
          <w:tcPr>
            <w:tcW w:w="657" w:type="dxa"/>
            <w:tcBorders>
              <w:tl2br w:val="nil"/>
              <w:tr2bl w:val="nil"/>
            </w:tcBorders>
            <w:noWrap w:val="0"/>
            <w:vAlign w:val="center"/>
          </w:tcPr>
          <w:p>
            <w:pPr>
              <w:spacing w:line="320" w:lineRule="exact"/>
              <w:jc w:val="center"/>
              <w:rPr>
                <w:rFonts w:ascii="宋体" w:hAnsi="宋体" w:eastAsia="宋体" w:cs="Arial"/>
                <w:kern w:val="2"/>
                <w:sz w:val="24"/>
                <w:szCs w:val="24"/>
                <w:lang w:val="en-US" w:eastAsia="zh-CN" w:bidi="ar-SA"/>
              </w:rPr>
            </w:pPr>
            <w:r>
              <w:rPr>
                <w:rFonts w:hint="eastAsia" w:ascii="宋体" w:hAnsi="宋体" w:cs="Arial"/>
                <w:sz w:val="24"/>
                <w:lang w:val="en-US" w:eastAsia="zh-CN"/>
              </w:rPr>
              <w:t>8</w:t>
            </w:r>
            <w:r>
              <w:rPr>
                <w:rFonts w:hint="eastAsia" w:ascii="宋体" w:hAnsi="宋体" w:cs="Arial"/>
                <w:sz w:val="24"/>
              </w:rPr>
              <w:t>分</w:t>
            </w:r>
          </w:p>
        </w:tc>
        <w:tc>
          <w:tcPr>
            <w:tcW w:w="6480" w:type="dxa"/>
            <w:tcBorders>
              <w:tl2br w:val="nil"/>
              <w:tr2bl w:val="nil"/>
            </w:tcBorders>
            <w:noWrap w:val="0"/>
            <w:vAlign w:val="center"/>
          </w:tcPr>
          <w:p>
            <w:pPr>
              <w:spacing w:line="300" w:lineRule="exact"/>
              <w:rPr>
                <w:rFonts w:hint="eastAsia"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方案非常</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非常</w:t>
            </w:r>
            <w:r>
              <w:rPr>
                <w:rFonts w:hint="eastAsia" w:ascii="宋体" w:hAnsi="宋体" w:cs="Arial"/>
                <w:sz w:val="24"/>
              </w:rPr>
              <w:t>合理可行</w:t>
            </w:r>
            <w:r>
              <w:rPr>
                <w:rFonts w:hint="eastAsia" w:ascii="宋体" w:hAnsi="宋体" w:cs="Arial"/>
                <w:sz w:val="24"/>
                <w:lang w:eastAsia="zh-CN"/>
              </w:rPr>
              <w:t>得</w:t>
            </w:r>
            <w:r>
              <w:rPr>
                <w:rFonts w:hint="eastAsia" w:ascii="宋体" w:hAnsi="宋体" w:cs="Arial"/>
                <w:sz w:val="24"/>
                <w:lang w:val="en-US" w:eastAsia="zh-CN"/>
              </w:rPr>
              <w:t>5-8分；</w:t>
            </w:r>
          </w:p>
          <w:p>
            <w:pPr>
              <w:spacing w:line="300" w:lineRule="exact"/>
              <w:rPr>
                <w:rFonts w:hint="default"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方案非常</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有一定</w:t>
            </w:r>
            <w:r>
              <w:rPr>
                <w:rFonts w:hint="eastAsia" w:ascii="宋体" w:hAnsi="宋体" w:cs="Arial"/>
                <w:sz w:val="24"/>
              </w:rPr>
              <w:t>合理可行</w:t>
            </w:r>
            <w:r>
              <w:rPr>
                <w:rFonts w:hint="eastAsia" w:ascii="宋体" w:hAnsi="宋体" w:cs="Arial"/>
                <w:sz w:val="24"/>
                <w:lang w:eastAsia="zh-CN"/>
              </w:rPr>
              <w:t>得</w:t>
            </w:r>
            <w:r>
              <w:rPr>
                <w:rFonts w:hint="eastAsia" w:ascii="宋体" w:hAnsi="宋体" w:cs="Arial"/>
                <w:sz w:val="24"/>
                <w:lang w:val="en-US" w:eastAsia="zh-CN"/>
              </w:rPr>
              <w:t>3-4分；</w:t>
            </w:r>
          </w:p>
          <w:p>
            <w:pPr>
              <w:spacing w:line="300" w:lineRule="exact"/>
              <w:rPr>
                <w:rFonts w:hint="eastAsia"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一般</w:t>
            </w:r>
            <w:r>
              <w:rPr>
                <w:rFonts w:hint="eastAsia" w:ascii="宋体" w:hAnsi="宋体" w:cs="Arial"/>
                <w:sz w:val="24"/>
              </w:rPr>
              <w:t>可行</w:t>
            </w:r>
            <w:r>
              <w:rPr>
                <w:rFonts w:hint="eastAsia" w:ascii="宋体" w:hAnsi="宋体" w:cs="Arial"/>
                <w:sz w:val="24"/>
                <w:lang w:eastAsia="zh-CN"/>
              </w:rPr>
              <w:t>得</w:t>
            </w:r>
            <w:r>
              <w:rPr>
                <w:rFonts w:hint="eastAsia" w:ascii="宋体" w:hAnsi="宋体" w:cs="Arial"/>
                <w:sz w:val="24"/>
                <w:lang w:val="en-US" w:eastAsia="zh-CN"/>
              </w:rPr>
              <w:t>0-2分；</w:t>
            </w:r>
          </w:p>
          <w:p>
            <w:pPr>
              <w:spacing w:line="300" w:lineRule="exact"/>
              <w:rPr>
                <w:rFonts w:hint="default" w:ascii="宋体" w:hAnsi="宋体" w:cs="Arial"/>
                <w:sz w:val="24"/>
                <w:lang w:val="en-US" w:eastAsia="zh-CN"/>
              </w:rPr>
            </w:pPr>
            <w:r>
              <w:rPr>
                <w:rFonts w:hint="eastAsia" w:ascii="宋体" w:hAnsi="宋体" w:cs="Arial"/>
                <w:sz w:val="24"/>
                <w:lang w:val="en-US" w:eastAsia="zh-CN"/>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27" w:hRule="atLeast"/>
        </w:trPr>
        <w:tc>
          <w:tcPr>
            <w:tcW w:w="2111" w:type="dxa"/>
            <w:tcBorders>
              <w:tl2br w:val="nil"/>
              <w:tr2bl w:val="nil"/>
            </w:tcBorders>
            <w:noWrap w:val="0"/>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施工人员设备配备</w:t>
            </w:r>
          </w:p>
        </w:tc>
        <w:tc>
          <w:tcPr>
            <w:tcW w:w="657" w:type="dxa"/>
            <w:tcBorders>
              <w:tl2br w:val="nil"/>
              <w:tr2bl w:val="nil"/>
            </w:tcBorders>
            <w:noWrap w:val="0"/>
            <w:vAlign w:val="center"/>
          </w:tcPr>
          <w:p>
            <w:pPr>
              <w:spacing w:line="300" w:lineRule="auto"/>
              <w:jc w:val="center"/>
              <w:rPr>
                <w:rFonts w:ascii="Times New Roman" w:hAnsi="Times New Roman" w:eastAsia="宋体"/>
                <w:sz w:val="24"/>
              </w:rPr>
            </w:pPr>
            <w:r>
              <w:rPr>
                <w:rFonts w:hint="eastAsia" w:ascii="Times New Roman" w:hAnsi="Times New Roman"/>
                <w:spacing w:val="-6"/>
                <w:sz w:val="24"/>
                <w:lang w:val="en-US" w:eastAsia="zh-CN"/>
              </w:rPr>
              <w:t>8</w:t>
            </w:r>
            <w:r>
              <w:rPr>
                <w:rFonts w:hint="eastAsia" w:ascii="Times New Roman" w:hAnsi="Times New Roman" w:eastAsia="宋体"/>
                <w:spacing w:val="-6"/>
                <w:sz w:val="24"/>
              </w:rPr>
              <w:t>分</w:t>
            </w:r>
          </w:p>
        </w:tc>
        <w:tc>
          <w:tcPr>
            <w:tcW w:w="6480" w:type="dxa"/>
            <w:tcBorders>
              <w:tl2br w:val="nil"/>
              <w:tr2bl w:val="nil"/>
            </w:tcBorders>
            <w:noWrap w:val="0"/>
            <w:vAlign w:val="center"/>
          </w:tcPr>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施工人员配备齐全非常合理科学，设备配备非常符合施工要求的，得</w:t>
            </w:r>
            <w:r>
              <w:rPr>
                <w:rFonts w:hint="eastAsia" w:ascii="宋体" w:hAnsi="宋体" w:cs="Arial"/>
                <w:sz w:val="24"/>
                <w:lang w:val="en-US" w:eastAsia="zh-CN"/>
              </w:rPr>
              <w:t>5-8分；</w:t>
            </w:r>
          </w:p>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施工人员配备齐全合理科学，设备配备较为符合施工要求的，得</w:t>
            </w:r>
            <w:r>
              <w:rPr>
                <w:rFonts w:hint="eastAsia" w:ascii="宋体" w:hAnsi="宋体" w:cs="Arial"/>
                <w:sz w:val="24"/>
                <w:lang w:val="en-US" w:eastAsia="zh-CN"/>
              </w:rPr>
              <w:t>3-4分；</w:t>
            </w:r>
          </w:p>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施工人员配备齐全一般合理科学，设备配备一般施工要求的，得</w:t>
            </w:r>
            <w:r>
              <w:rPr>
                <w:rFonts w:hint="eastAsia" w:ascii="宋体" w:hAnsi="宋体" w:cs="Arial"/>
                <w:sz w:val="24"/>
                <w:lang w:val="en-US" w:eastAsia="zh-CN"/>
              </w:rPr>
              <w:t>0-2分；</w:t>
            </w:r>
          </w:p>
          <w:p>
            <w:pPr>
              <w:spacing w:line="300" w:lineRule="exact"/>
              <w:rPr>
                <w:rFonts w:hint="default" w:ascii="宋体" w:hAnsi="宋体" w:cs="Arial"/>
                <w:sz w:val="24"/>
                <w:lang w:val="en-US" w:eastAsia="zh-CN"/>
              </w:rPr>
            </w:pPr>
            <w:r>
              <w:rPr>
                <w:rFonts w:hint="eastAsia" w:ascii="宋体" w:hAnsi="宋体" w:cs="Arial"/>
                <w:sz w:val="24"/>
                <w:lang w:val="en-US" w:eastAsia="zh-CN"/>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spacing w:line="320" w:lineRule="exact"/>
              <w:jc w:val="center"/>
              <w:rPr>
                <w:rFonts w:hint="eastAsia" w:ascii="宋体" w:hAnsi="宋体" w:cs="Arial"/>
                <w:sz w:val="24"/>
                <w:lang w:eastAsia="zh-CN"/>
              </w:rPr>
            </w:pPr>
            <w:r>
              <w:rPr>
                <w:rFonts w:hint="eastAsia" w:ascii="宋体" w:hAnsi="宋体" w:cs="Arial"/>
                <w:sz w:val="24"/>
                <w:lang w:eastAsia="zh-CN"/>
              </w:rPr>
              <w:t>关键施工技</w:t>
            </w:r>
          </w:p>
          <w:p>
            <w:pPr>
              <w:spacing w:line="320" w:lineRule="exact"/>
              <w:jc w:val="center"/>
              <w:rPr>
                <w:rFonts w:hint="eastAsia" w:ascii="宋体" w:hAnsi="宋体" w:cs="Arial"/>
                <w:sz w:val="24"/>
                <w:lang w:eastAsia="zh-CN"/>
              </w:rPr>
            </w:pPr>
            <w:r>
              <w:rPr>
                <w:rFonts w:hint="eastAsia" w:ascii="宋体" w:hAnsi="宋体" w:cs="Arial"/>
                <w:sz w:val="24"/>
                <w:lang w:eastAsia="zh-CN"/>
              </w:rPr>
              <w:t>术、工艺及工</w:t>
            </w:r>
          </w:p>
          <w:p>
            <w:pPr>
              <w:spacing w:line="320" w:lineRule="exact"/>
              <w:jc w:val="center"/>
              <w:rPr>
                <w:rFonts w:hint="eastAsia" w:ascii="宋体" w:hAnsi="宋体" w:cs="Arial"/>
                <w:sz w:val="24"/>
                <w:lang w:eastAsia="zh-CN"/>
              </w:rPr>
            </w:pPr>
            <w:r>
              <w:rPr>
                <w:rFonts w:hint="eastAsia" w:ascii="宋体" w:hAnsi="宋体" w:cs="Arial"/>
                <w:sz w:val="24"/>
                <w:lang w:eastAsia="zh-CN"/>
              </w:rPr>
              <w:t>程项目实施</w:t>
            </w:r>
          </w:p>
          <w:p>
            <w:pPr>
              <w:spacing w:line="320" w:lineRule="exact"/>
              <w:jc w:val="center"/>
              <w:rPr>
                <w:rFonts w:hint="eastAsia" w:ascii="宋体" w:hAnsi="宋体" w:cs="Arial"/>
                <w:sz w:val="24"/>
                <w:lang w:eastAsia="zh-CN"/>
              </w:rPr>
            </w:pPr>
            <w:r>
              <w:rPr>
                <w:rFonts w:hint="eastAsia" w:ascii="宋体" w:hAnsi="宋体" w:cs="Arial"/>
                <w:sz w:val="24"/>
                <w:lang w:eastAsia="zh-CN"/>
              </w:rPr>
              <w:t>的重点、难点</w:t>
            </w:r>
          </w:p>
          <w:p>
            <w:pPr>
              <w:spacing w:line="320" w:lineRule="exact"/>
              <w:jc w:val="center"/>
              <w:rPr>
                <w:rFonts w:hint="eastAsia" w:ascii="宋体" w:hAnsi="宋体" w:eastAsia="宋体" w:cs="Arial"/>
                <w:sz w:val="24"/>
                <w:lang w:eastAsia="zh-CN"/>
              </w:rPr>
            </w:pPr>
            <w:r>
              <w:rPr>
                <w:rFonts w:hint="eastAsia" w:ascii="宋体" w:hAnsi="宋体" w:cs="Arial"/>
                <w:sz w:val="24"/>
                <w:lang w:eastAsia="zh-CN"/>
              </w:rPr>
              <w:t>和解决方案</w:t>
            </w:r>
          </w:p>
        </w:tc>
        <w:tc>
          <w:tcPr>
            <w:tcW w:w="657" w:type="dxa"/>
            <w:tcBorders>
              <w:tl2br w:val="nil"/>
              <w:tr2bl w:val="nil"/>
            </w:tcBorders>
            <w:noWrap w:val="0"/>
            <w:vAlign w:val="center"/>
          </w:tcPr>
          <w:p>
            <w:pPr>
              <w:spacing w:line="320" w:lineRule="exact"/>
              <w:jc w:val="center"/>
              <w:rPr>
                <w:rFonts w:hint="eastAsia" w:ascii="宋体" w:hAnsi="宋体" w:eastAsia="宋体" w:cs="Arial"/>
                <w:sz w:val="24"/>
                <w:lang w:val="en-US" w:eastAsia="zh-CN"/>
              </w:rPr>
            </w:pPr>
            <w:r>
              <w:rPr>
                <w:rFonts w:hint="eastAsia" w:ascii="宋体" w:hAnsi="宋体" w:cs="Arial"/>
                <w:sz w:val="24"/>
                <w:lang w:val="en-US" w:eastAsia="zh-CN"/>
              </w:rPr>
              <w:t>8分</w:t>
            </w:r>
          </w:p>
        </w:tc>
        <w:tc>
          <w:tcPr>
            <w:tcW w:w="6480" w:type="dxa"/>
            <w:tcBorders>
              <w:tl2br w:val="nil"/>
              <w:tr2bl w:val="nil"/>
            </w:tcBorders>
            <w:noWrap w:val="0"/>
            <w:vAlign w:val="center"/>
          </w:tcPr>
          <w:p>
            <w:pPr>
              <w:spacing w:line="300" w:lineRule="exact"/>
              <w:rPr>
                <w:rFonts w:hint="eastAsia" w:ascii="宋体" w:hAnsi="宋体" w:cs="Arial"/>
                <w:sz w:val="24"/>
              </w:rPr>
            </w:pPr>
            <w:r>
              <w:rPr>
                <w:rFonts w:hint="eastAsia" w:ascii="宋体" w:hAnsi="宋体" w:cs="Arial"/>
                <w:sz w:val="24"/>
              </w:rPr>
              <w:t>关键施工技术、工艺表述全面深入，对工程项目实施重点、难点认识的清晰程度高，且解决方案和优化方案的合理程度高，方案科学先进的，得</w:t>
            </w:r>
            <w:r>
              <w:rPr>
                <w:rFonts w:hint="eastAsia" w:ascii="宋体" w:hAnsi="宋体" w:cs="Arial"/>
                <w:sz w:val="24"/>
                <w:lang w:val="en-US" w:eastAsia="zh-CN"/>
              </w:rPr>
              <w:t>5-8</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关键施工技术、工艺表述较深入，对工程项目实施重点、难点认识的清晰程度较高，且解决方案和优化方案合理的，得</w:t>
            </w:r>
            <w:r>
              <w:rPr>
                <w:rFonts w:hint="eastAsia" w:ascii="宋体" w:hAnsi="宋体" w:cs="Arial"/>
                <w:sz w:val="24"/>
                <w:lang w:val="en-US" w:eastAsia="zh-CN"/>
              </w:rPr>
              <w:t>3-4</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关键施工技术、工艺表述一般，对工程项目实施重点、难点认识的清晰程度一般，提供的解决方案和优化方案合理性一般的，得</w:t>
            </w:r>
            <w:r>
              <w:rPr>
                <w:rFonts w:hint="eastAsia" w:ascii="宋体" w:hAnsi="宋体" w:cs="Arial"/>
                <w:sz w:val="24"/>
                <w:lang w:val="en-US" w:eastAsia="zh-CN"/>
              </w:rPr>
              <w:t>0-2</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spacing w:val="-6"/>
                <w:sz w:val="24"/>
              </w:rPr>
              <w:t>施工安全保证体系</w:t>
            </w:r>
          </w:p>
        </w:tc>
        <w:tc>
          <w:tcPr>
            <w:tcW w:w="657" w:type="dxa"/>
            <w:tcBorders>
              <w:tl2br w:val="nil"/>
              <w:tr2bl w:val="nil"/>
            </w:tcBorders>
            <w:noWrap w:val="0"/>
            <w:vAlign w:val="center"/>
          </w:tcPr>
          <w:p>
            <w:pPr>
              <w:spacing w:line="30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pacing w:val="-6"/>
                <w:sz w:val="24"/>
                <w:lang w:val="en-US" w:eastAsia="zh-CN"/>
              </w:rPr>
              <w:t>8</w:t>
            </w:r>
            <w:r>
              <w:rPr>
                <w:rFonts w:hint="eastAsia" w:ascii="Times New Roman" w:hAnsi="Times New Roman" w:eastAsia="宋体"/>
                <w:spacing w:val="-6"/>
                <w:sz w:val="24"/>
              </w:rPr>
              <w:t>分</w:t>
            </w:r>
          </w:p>
        </w:tc>
        <w:tc>
          <w:tcPr>
            <w:tcW w:w="6480" w:type="dxa"/>
            <w:tcBorders>
              <w:tl2br w:val="nil"/>
              <w:tr2bl w:val="nil"/>
            </w:tcBorders>
            <w:noWrap w:val="0"/>
            <w:vAlign w:val="center"/>
          </w:tcPr>
          <w:p>
            <w:pPr>
              <w:spacing w:line="300" w:lineRule="exact"/>
              <w:rPr>
                <w:rFonts w:hint="eastAsia" w:ascii="宋体" w:hAnsi="宋体" w:cs="Arial"/>
                <w:sz w:val="24"/>
              </w:rPr>
            </w:pPr>
            <w:r>
              <w:rPr>
                <w:rFonts w:hint="eastAsia" w:ascii="宋体" w:hAnsi="宋体" w:cs="Arial"/>
                <w:sz w:val="24"/>
              </w:rPr>
              <w:t>有全面的</w:t>
            </w:r>
            <w:r>
              <w:rPr>
                <w:rFonts w:hint="eastAsia" w:ascii="宋体" w:hAnsi="宋体" w:cs="Arial"/>
                <w:sz w:val="24"/>
                <w:lang w:eastAsia="zh-CN"/>
              </w:rPr>
              <w:t>施工安全体系、</w:t>
            </w:r>
            <w:r>
              <w:rPr>
                <w:rFonts w:hint="eastAsia" w:ascii="宋体" w:hAnsi="宋体" w:cs="Arial"/>
                <w:sz w:val="24"/>
              </w:rPr>
              <w:t>安全目标和保证措施，措施完整可行</w:t>
            </w:r>
          </w:p>
          <w:p>
            <w:pPr>
              <w:spacing w:line="300" w:lineRule="exact"/>
              <w:rPr>
                <w:rFonts w:hint="eastAsia" w:ascii="宋体" w:hAnsi="宋体" w:cs="Arial"/>
                <w:sz w:val="24"/>
              </w:rPr>
            </w:pPr>
            <w:r>
              <w:rPr>
                <w:rFonts w:hint="eastAsia" w:ascii="宋体" w:hAnsi="宋体" w:cs="Arial"/>
                <w:sz w:val="24"/>
              </w:rPr>
              <w:t>且科学合理，得</w:t>
            </w:r>
            <w:r>
              <w:rPr>
                <w:rFonts w:hint="eastAsia" w:ascii="宋体" w:hAnsi="宋体" w:cs="Arial"/>
                <w:sz w:val="24"/>
                <w:lang w:val="en-US" w:eastAsia="zh-CN"/>
              </w:rPr>
              <w:t>5-8</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有较全面的</w:t>
            </w:r>
            <w:r>
              <w:rPr>
                <w:rFonts w:hint="eastAsia" w:ascii="宋体" w:hAnsi="宋体" w:cs="Arial"/>
                <w:sz w:val="24"/>
                <w:lang w:eastAsia="zh-CN"/>
              </w:rPr>
              <w:t>施工安全体系、</w:t>
            </w:r>
            <w:r>
              <w:rPr>
                <w:rFonts w:hint="eastAsia" w:ascii="宋体" w:hAnsi="宋体" w:cs="Arial"/>
                <w:sz w:val="24"/>
              </w:rPr>
              <w:t>安全目标和保证措施，措施完整可</w:t>
            </w:r>
          </w:p>
          <w:p>
            <w:pPr>
              <w:spacing w:line="300" w:lineRule="exact"/>
              <w:rPr>
                <w:rFonts w:hint="eastAsia" w:ascii="宋体" w:hAnsi="宋体" w:cs="Arial"/>
                <w:sz w:val="24"/>
              </w:rPr>
            </w:pPr>
            <w:r>
              <w:rPr>
                <w:rFonts w:hint="eastAsia" w:ascii="宋体" w:hAnsi="宋体" w:cs="Arial"/>
                <w:sz w:val="24"/>
              </w:rPr>
              <w:t>行且较合理，得</w:t>
            </w:r>
            <w:r>
              <w:rPr>
                <w:rFonts w:hint="eastAsia" w:ascii="宋体" w:hAnsi="宋体" w:cs="Arial"/>
                <w:sz w:val="24"/>
                <w:lang w:val="en-US" w:eastAsia="zh-CN"/>
              </w:rPr>
              <w:t>3-4</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lang w:eastAsia="zh-CN"/>
              </w:rPr>
              <w:t>安全目标</w:t>
            </w:r>
            <w:r>
              <w:rPr>
                <w:rFonts w:hint="eastAsia" w:ascii="宋体" w:hAnsi="宋体" w:cs="Arial"/>
                <w:sz w:val="24"/>
              </w:rPr>
              <w:t>和保证措施一般，措施完整程度合理性一般的，得</w:t>
            </w:r>
            <w:r>
              <w:rPr>
                <w:rFonts w:hint="eastAsia" w:ascii="宋体" w:hAnsi="宋体" w:cs="Arial"/>
                <w:sz w:val="24"/>
                <w:lang w:val="en-US" w:eastAsia="zh-CN"/>
              </w:rPr>
              <w:t>0-2</w:t>
            </w:r>
            <w:r>
              <w:rPr>
                <w:rFonts w:hint="eastAsia" w:ascii="宋体" w:hAnsi="宋体" w:cs="Arial"/>
                <w:sz w:val="24"/>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cs="Arial"/>
                <w:sz w:val="24"/>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质量保证与承诺</w:t>
            </w:r>
          </w:p>
        </w:tc>
        <w:tc>
          <w:tcPr>
            <w:tcW w:w="657" w:type="dxa"/>
            <w:tcBorders>
              <w:tl2br w:val="nil"/>
              <w:tr2bl w:val="nil"/>
            </w:tcBorders>
            <w:noWrap w:val="0"/>
            <w:vAlign w:val="center"/>
          </w:tcPr>
          <w:p>
            <w:pPr>
              <w:spacing w:line="300" w:lineRule="auto"/>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8分</w:t>
            </w:r>
          </w:p>
        </w:tc>
        <w:tc>
          <w:tcPr>
            <w:tcW w:w="6480" w:type="dxa"/>
            <w:tcBorders>
              <w:tl2br w:val="nil"/>
              <w:tr2bl w:val="nil"/>
            </w:tcBorders>
            <w:noWrap w:val="0"/>
            <w:vAlign w:val="center"/>
          </w:tcPr>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施工项目质量保证内容完整，质量承诺明确，有切实可行的保障措施的，得分</w:t>
            </w:r>
            <w:r>
              <w:rPr>
                <w:rFonts w:hint="eastAsia" w:ascii="宋体" w:hAnsi="宋体" w:cs="Arial"/>
                <w:kern w:val="2"/>
                <w:sz w:val="24"/>
                <w:szCs w:val="24"/>
                <w:lang w:val="en-US" w:eastAsia="zh-CN" w:bidi="ar-SA"/>
              </w:rPr>
              <w:t>5-8</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施工项目质量保证内容较完整，质量承诺较明确，有较强可行的保障措施的，得</w:t>
            </w:r>
            <w:r>
              <w:rPr>
                <w:rFonts w:hint="eastAsia" w:ascii="宋体" w:hAnsi="宋体" w:cs="Arial"/>
                <w:kern w:val="2"/>
                <w:sz w:val="24"/>
                <w:szCs w:val="24"/>
                <w:lang w:val="en-US" w:eastAsia="zh-CN" w:bidi="ar-SA"/>
              </w:rPr>
              <w:t>3-4</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施工项目质量保证内容完整性</w:t>
            </w:r>
            <w:r>
              <w:rPr>
                <w:rFonts w:hint="eastAsia" w:ascii="宋体" w:hAnsi="宋体" w:cs="Arial"/>
                <w:kern w:val="2"/>
                <w:sz w:val="24"/>
                <w:szCs w:val="24"/>
                <w:lang w:val="en-US" w:eastAsia="zh-CN" w:bidi="ar-SA"/>
              </w:rPr>
              <w:t>不全</w:t>
            </w:r>
            <w:r>
              <w:rPr>
                <w:rFonts w:hint="eastAsia" w:ascii="宋体" w:hAnsi="宋体" w:eastAsia="宋体" w:cs="Arial"/>
                <w:kern w:val="2"/>
                <w:sz w:val="24"/>
                <w:szCs w:val="24"/>
                <w:lang w:val="en-US" w:eastAsia="zh-CN" w:bidi="ar-SA"/>
              </w:rPr>
              <w:t>，有质量承诺，有一般可行的保障措施的，得</w:t>
            </w:r>
            <w:r>
              <w:rPr>
                <w:rFonts w:hint="eastAsia" w:ascii="宋体" w:hAnsi="宋体" w:cs="Arial"/>
                <w:kern w:val="2"/>
                <w:sz w:val="24"/>
                <w:szCs w:val="24"/>
                <w:lang w:val="en-US" w:eastAsia="zh-CN" w:bidi="ar-SA"/>
              </w:rPr>
              <w:t>0-2</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未提供的不得分，本项最高得8分。</w:t>
            </w:r>
          </w:p>
        </w:tc>
      </w:tr>
    </w:tbl>
    <w:p>
      <w:pPr>
        <w:widowControl/>
        <w:adjustRightInd w:val="0"/>
        <w:snapToGrid w:val="0"/>
        <w:spacing w:line="360" w:lineRule="auto"/>
        <w:ind w:firstLine="562" w:firstLineChars="200"/>
        <w:rPr>
          <w:rFonts w:hint="eastAsia" w:ascii="宋体" w:hAnsi="宋体" w:cs="Calibri"/>
          <w:b/>
          <w:bCs/>
          <w:color w:val="000000"/>
          <w:kern w:val="0"/>
          <w:szCs w:val="21"/>
          <w:shd w:val="clear" w:color="auto" w:fill="FFFFFF"/>
          <w:lang w:val="en-US" w:eastAsia="zh-CN"/>
        </w:rPr>
      </w:pPr>
    </w:p>
    <w:p>
      <w:pPr>
        <w:widowControl/>
        <w:adjustRightInd w:val="0"/>
        <w:snapToGrid w:val="0"/>
        <w:spacing w:line="360" w:lineRule="auto"/>
        <w:ind w:firstLine="562" w:firstLineChars="200"/>
        <w:rPr>
          <w:rFonts w:ascii="宋体" w:hAnsi="宋体" w:cs="Calibri"/>
          <w:color w:val="333333"/>
          <w:kern w:val="0"/>
          <w:szCs w:val="21"/>
        </w:rPr>
      </w:pPr>
      <w:r>
        <w:rPr>
          <w:rFonts w:hint="eastAsia" w:ascii="宋体" w:hAnsi="宋体" w:cs="Calibri"/>
          <w:b/>
          <w:bCs/>
          <w:color w:val="000000"/>
          <w:kern w:val="0"/>
          <w:szCs w:val="21"/>
          <w:shd w:val="clear" w:color="auto" w:fill="FFFFFF"/>
          <w:lang w:val="en-US" w:eastAsia="zh-CN"/>
        </w:rPr>
        <w:t>2.</w:t>
      </w: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衡量投标文件满足招标文件规定各项评审标准的程度，折算为综合得分分值，依据每个投标人的综合得分由高到低，依次确定排名顺序</w:t>
      </w:r>
      <w:r>
        <w:rPr>
          <w:rFonts w:hint="eastAsia" w:ascii="宋体" w:hAnsi="宋体" w:eastAsia="宋体" w:cs="Calibri"/>
          <w:color w:val="000000"/>
          <w:kern w:val="0"/>
          <w:szCs w:val="21"/>
          <w:shd w:val="clear" w:color="auto" w:fill="FFFFFF"/>
        </w:rPr>
        <w:t>。满分为100分（数值计算结果均保留两位小数，第三位四舍五入）</w:t>
      </w:r>
    </w:p>
    <w:p>
      <w:pPr>
        <w:pStyle w:val="3"/>
        <w:adjustRightInd w:val="0"/>
        <w:snapToGrid w:val="0"/>
        <w:spacing w:line="460" w:lineRule="exact"/>
        <w:ind w:firstLine="560"/>
        <w:rPr>
          <w:rFonts w:hint="eastAsia" w:ascii="仿宋_GB2312" w:hAnsi="楷体" w:eastAsia="仿宋_GB2312" w:cs="Times New Roman"/>
          <w:spacing w:val="0"/>
          <w:sz w:val="28"/>
          <w:szCs w:val="28"/>
        </w:rPr>
      </w:pPr>
    </w:p>
    <w:p>
      <w:pPr>
        <w:pStyle w:val="3"/>
        <w:adjustRightInd w:val="0"/>
        <w:snapToGrid w:val="0"/>
        <w:spacing w:line="460" w:lineRule="exact"/>
        <w:ind w:firstLine="560"/>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皖南医学院滨江校区垃圾车清洗台建设项目(二次）</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rPr>
          <w:rStyle w:val="66"/>
          <w:rFonts w:hint="eastAsia"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3828483"/>
      <w:bookmarkStart w:id="118" w:name="_Toc26554103"/>
      <w:bookmarkStart w:id="119" w:name="_Toc24878535"/>
      <w:bookmarkStart w:id="120" w:name="_Toc49090582"/>
      <w:bookmarkStart w:id="121" w:name="_Toc513029281"/>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24"/>
    <w:p>
      <w:pPr>
        <w:rPr>
          <w:rFonts w:hint="eastAsia" w:ascii="华文中宋" w:hAnsi="华文中宋" w:eastAsia="华文中宋"/>
          <w:b/>
          <w:spacing w:val="-6"/>
          <w:szCs w:val="28"/>
        </w:rPr>
      </w:pPr>
      <w:bookmarkStart w:id="125" w:name="_Toc460901585"/>
      <w:bookmarkStart w:id="126" w:name="_Toc120614283"/>
      <w:bookmarkStart w:id="127" w:name="_Toc22356580"/>
      <w:bookmarkStart w:id="128" w:name="_Toc513029276"/>
      <w:bookmarkStart w:id="129" w:name="_Toc23828478"/>
      <w:bookmarkStart w:id="130" w:name="_Toc49090577"/>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宋体" w:hAnsi="宋体"/>
          <w:b/>
          <w:sz w:val="24"/>
          <w:szCs w:val="24"/>
          <w:highlight w:val="yellow"/>
        </w:rPr>
      </w:pPr>
      <w:r>
        <w:rPr>
          <w:rFonts w:hint="eastAsia" w:ascii="仿宋_GB2312" w:eastAsia="仿宋_GB2312"/>
          <w:b/>
          <w:bCs/>
          <w:sz w:val="28"/>
          <w:szCs w:val="28"/>
        </w:rPr>
        <w:t>五、</w:t>
      </w:r>
      <w:r>
        <w:rPr>
          <w:rFonts w:hint="eastAsia" w:ascii="Times New Roman" w:hAnsi="Times New Roman" w:eastAsia="宋体"/>
          <w:b/>
          <w:bCs/>
          <w:sz w:val="24"/>
          <w:lang w:val="en-US" w:eastAsia="zh-CN"/>
        </w:rPr>
        <w:t xml:space="preserve"> 投标文件须包含分部分项工程量清单综合单价分析表等《建设工程工程量清单计价规范》(GB 50500-2013)中要求提供的文件、施工方案与技术措施、施工人员设备配备、关键施工技术、工艺及工程实施的重点、难点和解决方案、施工安全保证体系、质量保证与承诺等投标人需要提供的其它材料。</w:t>
      </w: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hint="eastAsia" w:ascii="仿宋_GB2312" w:hAnsi="华文中宋" w:eastAsia="仿宋_GB2312"/>
          <w:b/>
          <w:sz w:val="36"/>
          <w:szCs w:val="36"/>
          <w:highlight w:val="none"/>
        </w:rPr>
      </w:pPr>
      <w:r>
        <w:rPr>
          <w:rFonts w:hint="eastAsia" w:ascii="仿宋_GB2312" w:hAnsi="华文中宋" w:eastAsia="仿宋_GB2312"/>
          <w:b/>
          <w:sz w:val="36"/>
          <w:szCs w:val="36"/>
          <w:highlight w:val="none"/>
        </w:rPr>
        <w:t>皖南医学院采购质疑与投诉办法（试行）</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宋体" w:eastAsia="仿宋_GB2312" w:cs="宋体"/>
          <w:color w:val="333333"/>
          <w:sz w:val="28"/>
          <w:szCs w:val="28"/>
          <w:highlight w:val="none"/>
        </w:rPr>
      </w:pPr>
      <w:bookmarkStart w:id="132" w:name="_Toc374453341"/>
      <w:r>
        <w:rPr>
          <w:rFonts w:hint="eastAsia" w:ascii="仿宋_GB2312" w:hAnsi="黑体" w:eastAsia="仿宋_GB2312" w:cs="宋体"/>
          <w:b/>
          <w:bCs/>
          <w:color w:val="333333"/>
          <w:sz w:val="28"/>
          <w:szCs w:val="28"/>
          <w:highlight w:val="none"/>
        </w:rPr>
        <w:t>第一章</w:t>
      </w:r>
      <w:r>
        <w:rPr>
          <w:rFonts w:hint="eastAsia" w:ascii="宋体" w:hAnsi="宋体" w:eastAsia="仿宋_GB2312"/>
          <w:color w:val="333333"/>
          <w:sz w:val="28"/>
          <w:szCs w:val="28"/>
          <w:highlight w:val="none"/>
        </w:rPr>
        <w:t>  </w:t>
      </w:r>
      <w:r>
        <w:rPr>
          <w:rFonts w:hint="eastAsia" w:ascii="仿宋_GB2312" w:hAnsi="黑体" w:eastAsia="仿宋_GB2312" w:cs="宋体"/>
          <w:b/>
          <w:bCs/>
          <w:color w:val="333333"/>
          <w:sz w:val="28"/>
          <w:szCs w:val="28"/>
          <w:highlight w:val="none"/>
        </w:rPr>
        <w:t>总 则</w:t>
      </w:r>
      <w:bookmarkEnd w:id="132"/>
      <w:r>
        <w:rPr>
          <w:rFonts w:hint="eastAsia" w:ascii="宋体" w:hAnsi="宋体" w:eastAsia="仿宋_GB2312"/>
          <w:color w:val="333333"/>
          <w:sz w:val="28"/>
          <w:szCs w:val="28"/>
          <w:highlight w:val="none"/>
        </w:rPr>
        <w:t> </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sz w:val="28"/>
          <w:szCs w:val="28"/>
          <w:highlight w:val="none"/>
        </w:rPr>
      </w:pPr>
      <w:r>
        <w:rPr>
          <w:rFonts w:hint="eastAsia" w:ascii="仿宋_GB2312" w:hAnsi="宋体" w:eastAsia="仿宋_GB2312" w:cs="宋体"/>
          <w:b/>
          <w:bCs/>
          <w:color w:val="333333"/>
          <w:sz w:val="28"/>
          <w:szCs w:val="28"/>
          <w:highlight w:val="none"/>
        </w:rPr>
        <w:t xml:space="preserve"> 第一条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第二条</w:t>
      </w:r>
      <w:r>
        <w:rPr>
          <w:b w:val="0"/>
          <w:bCs w:val="0"/>
          <w:spacing w:val="98"/>
          <w:w w:val="100"/>
          <w:highlight w:val="none"/>
        </w:rPr>
        <w:t xml:space="preserve"> </w:t>
      </w:r>
      <w:r>
        <w:rPr>
          <w:rFonts w:hint="eastAsia" w:ascii="仿宋_GB2312" w:hAnsi="宋体" w:eastAsia="仿宋_GB2312" w:cs="宋体"/>
          <w:color w:val="333333"/>
          <w:kern w:val="2"/>
          <w:sz w:val="28"/>
          <w:szCs w:val="28"/>
          <w:highlight w:val="none"/>
          <w:lang w:val="en-US" w:eastAsia="zh-CN" w:bidi="ar-SA"/>
        </w:rPr>
        <w:t>本办法适用于学校采购活动质疑的提出与答复、投诉的提起与处理。</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第四条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供应商提出质疑和投诉应当坚持依法依规、诚实信用原则。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第五条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采购质疑答复和投诉处理应当坚持依法依规、权责对等、公平公正、简便高效原则。</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第六条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第七条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国资处、项目单位、采购代理机构应当在采购文件中载明接收质疑函和受理投诉的方式、联系部门、联系电话和通讯地址等信息。</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第八条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第九条</w:t>
      </w:r>
      <w:r>
        <w:rPr>
          <w:b w:val="0"/>
          <w:bCs w:val="0"/>
          <w:spacing w:val="97"/>
          <w:w w:val="100"/>
          <w:highlight w:val="none"/>
        </w:rPr>
        <w:t xml:space="preserve"> </w:t>
      </w:r>
      <w:r>
        <w:rPr>
          <w:rFonts w:hint="eastAsia" w:ascii="仿宋_GB2312" w:hAnsi="宋体" w:eastAsia="仿宋_GB2312" w:cs="宋体"/>
          <w:color w:val="333333"/>
          <w:kern w:val="2"/>
          <w:sz w:val="28"/>
          <w:szCs w:val="28"/>
          <w:highlight w:val="none"/>
          <w:lang w:val="en-US" w:eastAsia="zh-CN" w:bidi="ar-SA"/>
        </w:rPr>
        <w:t>以联合体形式参加学校采购活动的，其投诉应当由组成联合体的所有供应商共同提出。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宋体"/>
          <w:b/>
          <w:bCs/>
          <w:color w:val="333333"/>
          <w:sz w:val="28"/>
          <w:szCs w:val="28"/>
          <w:highlight w:val="none"/>
        </w:rPr>
      </w:pPr>
      <w:r>
        <w:rPr>
          <w:rFonts w:hint="eastAsia" w:ascii="仿宋_GB2312" w:hAnsi="黑体" w:eastAsia="仿宋_GB2312" w:cs="宋体"/>
          <w:b/>
          <w:bCs/>
          <w:color w:val="333333"/>
          <w:sz w:val="28"/>
          <w:szCs w:val="28"/>
          <w:highlight w:val="none"/>
        </w:rPr>
        <w:t>第二章 质疑的提出</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default"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b/>
          <w:bCs/>
          <w:color w:val="333333"/>
          <w:sz w:val="28"/>
          <w:szCs w:val="28"/>
          <w:highlight w:val="none"/>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第十二条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校内自主采购活动中，供应商提出质疑应当提交质疑函和必要的证明材料。质疑函应当包括下列内容：</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（一）供应商的姓名或者单位名称、地址、邮编、联系人及联系电话；</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（二）质疑项目的名称、编号；</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（三）具体、明确的质疑事项和与质疑事项相关的请求；</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（五）必要的法律依据；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（六）提出质疑的日期。供应商为自然人的，应当由本人签字；供应商为法人或者其他组织的，应当由法定代表人、主要负责人，或者其授权代表签字或者盖章，并加盖公章。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highlight w:val="none"/>
        </w:rPr>
      </w:pPr>
      <w:r>
        <w:rPr>
          <w:rFonts w:hint="eastAsia" w:ascii="仿宋_GB2312" w:hAnsi="宋体" w:eastAsia="仿宋_GB2312" w:cs="宋体"/>
          <w:b/>
          <w:bCs/>
          <w:color w:val="333333"/>
          <w:sz w:val="28"/>
          <w:szCs w:val="28"/>
          <w:highlight w:val="none"/>
        </w:rPr>
        <w:t>第十三条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供应商的书面质疑如不符合本办法第十二条的规定，国资处、项目单位、采购代理机构应及时书面告知其补充或修改书面质疑材料的具体内容，并规定重新提交书面质疑的期限。</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微软雅黑" w:eastAsia="仿宋_GB2312"/>
          <w:color w:val="3E3E3E"/>
          <w:sz w:val="28"/>
          <w:szCs w:val="28"/>
          <w:highlight w:val="none"/>
        </w:rPr>
      </w:pPr>
      <w:r>
        <w:rPr>
          <w:rFonts w:hint="eastAsia" w:ascii="仿宋_GB2312" w:hAnsi="黑体" w:eastAsia="仿宋_GB2312"/>
          <w:b/>
          <w:color w:val="3E3E3E"/>
          <w:sz w:val="28"/>
          <w:szCs w:val="28"/>
          <w:highlight w:val="none"/>
        </w:rPr>
        <w:t>第三章  质疑的答复</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校内自主采购活动中，国资处、项目单位、采购代理机构不得拒收质疑供应商在法定质疑期内发出的质疑函，应当在收到质疑函后 7 个工作日内作出答复，并以书面形式通知质疑供应商。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供应商的书面质疑属于下列情形之一的，国资处、项目单位、采购代理机构可不予受理，并以书面形式告知其不予受理的原因：</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（一）未通过资格审核，或未参与该采购项目活动的供应商；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b w:val="0"/>
          <w:bCs w:val="0"/>
          <w:spacing w:val="0"/>
          <w:w w:val="99"/>
          <w:highlight w:val="none"/>
        </w:rPr>
      </w:pPr>
      <w:r>
        <w:rPr>
          <w:rFonts w:hint="eastAsia" w:ascii="仿宋_GB2312" w:hAnsi="宋体" w:eastAsia="仿宋_GB2312" w:cs="Calibri"/>
          <w:color w:val="333333"/>
          <w:kern w:val="2"/>
          <w:sz w:val="28"/>
          <w:szCs w:val="28"/>
          <w:highlight w:val="none"/>
          <w:lang w:val="en-US" w:eastAsia="zh-CN" w:bidi="ar-SA"/>
        </w:rPr>
        <w:t>（二）已超过法律规定或采购文件约定的质疑期限。</w:t>
      </w:r>
      <w:r>
        <w:rPr>
          <w:b w:val="0"/>
          <w:bCs w:val="0"/>
          <w:spacing w:val="0"/>
          <w:w w:val="99"/>
          <w:highlight w:val="none"/>
        </w:rPr>
        <w:t xml:space="preserve"> </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国资处、项目单位可就供应商的质疑事项进行调查取证，有关当事人应当如实反映情况和提供有关材料。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校内自主采购活动中，供应商对评审过程、中标或者成交结果提出质疑的，国资处、项目单位、采购代理机构可以组织原采购评审小组共同答复质疑。</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校内自主采购活动中，质疑答复应当包括下列内容：</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（一）质疑供应商的姓名或者单位名称；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（二）收到质疑函的日期、质疑项目名称及编号；</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（三）质疑事项、质疑答复的具体内容、事实依据和法律及相关政策规定等依据；</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（四）告知质疑供应商依法投诉的权利；</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（五）质疑答复人名称；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（六）答复质疑的日期。</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质疑答复的内容不得涉及商业秘密。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5"/>
        <w:keepNext w:val="0"/>
        <w:keepLines w:val="0"/>
        <w:pageBreakBefore w:val="0"/>
        <w:kinsoku/>
        <w:wordWrap/>
        <w:overflowPunct/>
        <w:topLinePunct w:val="0"/>
        <w:autoSpaceDE/>
        <w:autoSpaceDN/>
        <w:bidi w:val="0"/>
        <w:spacing w:after="0" w:line="240" w:lineRule="auto"/>
        <w:ind w:right="247"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5"/>
        <w:keepNext w:val="0"/>
        <w:keepLines w:val="0"/>
        <w:pageBreakBefore w:val="0"/>
        <w:kinsoku/>
        <w:wordWrap/>
        <w:overflowPunct/>
        <w:topLinePunct w:val="0"/>
        <w:autoSpaceDE/>
        <w:autoSpaceDN/>
        <w:bidi w:val="0"/>
        <w:spacing w:after="0" w:line="240" w:lineRule="auto"/>
        <w:ind w:right="0"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质疑答复导致中标、成交结果改变的，国资处、项目单位应当将有关情况书面报告纪委办公室。</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第四章  投诉的提起</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第二十一条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校内自主采购活动中，投诉人投诉时,应当提交投诉书和必要的证明材料。投诉书应当包括下列内容：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 址、邮编、联系人及联系电话；</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（二）质疑和质疑答复情况说明及相关证明材料；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（三）具体、明确的投诉事项和与投诉事项相关的投诉请求；</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 xml:space="preserve">（六）提起投诉的日期。 </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投诉人为自然人的，应当由本人签字；投诉人为法人或者其他组织的，应当由法定代表人、主要负责人，或者其授权代表签字或者盖章，并加盖公章。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第二十二条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投诉人应当根据本办法第七条规定的信息内容，并按照其规定的方式提起投诉。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投诉人提起投诉应当符合下列条件：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（一）提起投诉前已依法、依规进行质疑；</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（二）投诉书内容符合本办法的规定；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（三）在投诉有效期限内提起投诉；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（四）同一投诉事项未经投诉处理。</w:t>
      </w:r>
    </w:p>
    <w:p>
      <w:pPr>
        <w:pStyle w:val="15"/>
        <w:keepNext w:val="0"/>
        <w:keepLines w:val="0"/>
        <w:pageBreakBefore w:val="0"/>
        <w:tabs>
          <w:tab w:val="left" w:pos="2762"/>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第五章  投诉的处理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纪委办公室收到投诉书后，应当在 5 个工作日内进行审查，审查后按照下列情况处理：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（二）投诉不符合本办法第二十二条规定条件的，应当在 3 个工作日内书面告知投诉人不予受理，并说明理由；</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（三）投诉不属于本部门管辖的，应当在 3 个工作日内书面告知投诉人向有管辖权的部门提起投诉；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第二十五条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国资处、项目单位和其他与投诉事项有关的当事人应当在收到投诉答复通知书及投诉书副本之日起 5 个工作日内，以书面形式向纪委办公室作出说明，并提交相关证据、依据和其他有关材料。</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第二十六条</w:t>
      </w:r>
      <w:r>
        <w:rPr>
          <w:b w:val="0"/>
          <w:bCs w:val="0"/>
          <w:spacing w:val="124"/>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纪委办公室处理投诉事项原则上采用书面审查的方式。纪委办公室认为有必要时，可以进行调查取证或者组织质证。</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第二十七条</w:t>
      </w:r>
      <w:r>
        <w:rPr>
          <w:b w:val="0"/>
          <w:bCs w:val="0"/>
          <w:spacing w:val="101"/>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纪委办公室可以根据法律、法规规定或者职责权限，委托相关单位或者第三方开展调查取证、检验、检测、鉴定。质证应当通知相关当事人到场，并制作质证笔录。质证笔录应当由当事人签字确认。</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第二十八条</w:t>
      </w:r>
      <w:r>
        <w:rPr>
          <w:b w:val="0"/>
          <w:bCs w:val="0"/>
          <w:spacing w:val="98"/>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纪委办公室依法、依规进行调查取证时，投诉人、国资处、项目单位以及与投诉事项有关的部门及人员应当如实反映情况，并提供纪委办公室所需要的相关材料。</w:t>
      </w:r>
    </w:p>
    <w:p>
      <w:pPr>
        <w:pStyle w:val="15"/>
        <w:keepNext w:val="0"/>
        <w:keepLines w:val="0"/>
        <w:pageBreakBefore w:val="0"/>
        <w:kinsoku/>
        <w:wordWrap/>
        <w:overflowPunct/>
        <w:topLinePunct w:val="0"/>
        <w:autoSpaceDE/>
        <w:autoSpaceDN/>
        <w:bidi w:val="0"/>
        <w:spacing w:after="0" w:line="240" w:lineRule="auto"/>
        <w:ind w:right="101"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第二十九条</w:t>
      </w:r>
      <w:r>
        <w:rPr>
          <w:b w:val="0"/>
          <w:bCs w:val="0"/>
          <w:spacing w:val="116"/>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第三十条 </w:t>
      </w:r>
      <w:r>
        <w:rPr>
          <w:rFonts w:hint="eastAsia" w:ascii="仿宋_GB2312" w:hAnsi="宋体" w:eastAsia="仿宋_GB2312" w:cs="Calibri"/>
          <w:color w:val="333333"/>
          <w:kern w:val="2"/>
          <w:sz w:val="28"/>
          <w:szCs w:val="28"/>
          <w:highlight w:val="none"/>
          <w:lang w:val="en-US" w:eastAsia="zh-CN" w:bidi="ar-SA"/>
        </w:rPr>
        <w:t>纪委办公室应当自收到投诉之日起 30 个工作日内，对投诉事项作出处理决定。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第三十一条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第三十二条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纪委办公室在处理投诉事项期间，可以视具体情况书面通知国资处、项目单位、采购代理机构暂停采购活动，暂停采购活动时间最长不得超过 30 日。</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国资处、项目单位、采购代理机构收到暂停采购活动通知后应当立即中止采购活动，在法定的暂停期限结束前或者 纪委办公室发出恢复采购活动通知前，不得进行该项采购活动。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第三十三条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投诉处理过程中，有下列情形之一的，纪委办公室应当驳回投诉：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（一）发现投诉不符合受理条件；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（二）投诉事项缺乏事实依据，投诉事项不成立；</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（三）投诉人捏造事实或者提供虚假材料；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纪委办公室受理投诉后,投诉人书面申请撤回投诉的，纪委办公室应当终止投诉处理程序，并书面告知相关当事人。</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（四）采购合同已经履行，给他人造成损失的，相关当事人可依法提起诉讼,由责任人承担赔偿责任。投诉人对废标行为提起的投诉事项成立的，纪委办公室应当认定废标行为无效。</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纪委办公室作出处理决定，应当制作投诉处理决定书，并加盖公章。投诉处理决定书应当包括下列内容：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（一）投诉人和被投诉人的姓名或者单位名称、通讯地址等；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（二）处理决定查明的事实和相关依据，具体处理决定和法律依据；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（三）告知相关当事人向上级主管部门投诉或提起民事诉讼的权利；</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（四）作出处理决定的日期。</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纪委办公室应当将投诉处理决定书送达投诉人和与投诉事项有关的当事人，并及时将投诉处理结果在校园网公告。</w:t>
      </w:r>
    </w:p>
    <w:p>
      <w:pPr>
        <w:pStyle w:val="15"/>
        <w:keepNext w:val="0"/>
        <w:keepLines w:val="0"/>
        <w:pageBreakBefore w:val="0"/>
        <w:tabs>
          <w:tab w:val="left" w:pos="2680"/>
        </w:tabs>
        <w:kinsoku/>
        <w:wordWrap/>
        <w:overflowPunct/>
        <w:topLinePunct w:val="0"/>
        <w:autoSpaceDE/>
        <w:autoSpaceDN/>
        <w:bidi w:val="0"/>
        <w:spacing w:after="0" w:line="240" w:lineRule="auto"/>
        <w:ind w:right="0" w:firstLine="562" w:firstLineChars="20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纪委办公室应当完善投诉处理档案管理。</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第六章  法律责任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国资处、项目部门、采购代理机构有下列情形之一的，由纪委办公室责令限期改正；情节严重的，给予警告，对直接负责的主管人员和其他直接责任人员依法依规追究相应责任：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（一）拒收质疑供应商在质疑期内发出的质疑函；</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（二）对质疑不予答复或者答复与事实明显不符，并不能作出合理说明；</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（三）拒绝配合纪委办公室处理投诉事宜。</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第四十一条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投诉人在学校采购活动中 12 个月内三次以上投诉查无实据的，列入不良行为记录名单。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投诉人有下列行为之一的，属于虚假、恶意投诉，由国资处、项目单位、纪委办公室列入不良行为记录名单，禁止 其 1 至 3 年内参加学校采购活动：</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（一）捏造事实;</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（二）提供虚假材料;</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（三）以非法手段取得证明材料。证据来源的合法性存在明显疑问，投诉人无法证明其取得方式合法的，视为以非法手段取得证明材料。</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第四十二条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国资处、项目单位在处理质疑过程中，发现采购当事人有违法违规行为的，应在规定的权限范围内及时给予处理；无权处理的，应移交有关部门依法依规处理。 </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国资处、项目单位和纪委办公室的工作人员在处理质疑、投诉过程中违反本办法规定及存在滥用职 权、玩忽职守、徇私舞弊等行为的，学校将依法依规追究其相应责任。</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第七章  附则</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质疑函和投诉书应当使用中文。质疑和投诉文本采用我校制定的范本。</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本办法由学校国有资产管理处负责解释。 </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sectPr>
          <w:pgSz w:w="11906" w:h="16840"/>
          <w:pgMar w:top="1500" w:right="1680" w:bottom="1260" w:left="1680" w:header="0" w:footer="1080" w:gutter="0"/>
          <w:cols w:space="720" w:num="1"/>
        </w:sectPr>
      </w:pPr>
      <w:r>
        <w:rPr>
          <w:rFonts w:hint="eastAsia" w:ascii="仿宋_GB2312" w:hAnsi="宋体" w:eastAsia="仿宋_GB2312" w:cs="宋体"/>
          <w:b/>
          <w:bCs/>
          <w:color w:val="333333"/>
          <w:sz w:val="28"/>
          <w:szCs w:val="28"/>
          <w:highlight w:val="none"/>
          <w:lang w:val="en-US" w:eastAsia="zh-CN"/>
        </w:rPr>
        <w:t xml:space="preserve">第四十六条  </w:t>
      </w:r>
      <w:r>
        <w:rPr>
          <w:rFonts w:hint="eastAsia" w:ascii="仿宋_GB2312" w:hAnsi="宋体" w:eastAsia="仿宋_GB2312" w:cs="Calibri"/>
          <w:color w:val="333333"/>
          <w:kern w:val="2"/>
          <w:sz w:val="28"/>
          <w:szCs w:val="28"/>
          <w:highlight w:val="none"/>
          <w:lang w:val="en-US" w:eastAsia="zh-CN" w:bidi="ar-SA"/>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312"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ind w:firstLine="560" w:firstLineChars="200"/>
        <w:jc w:val="left"/>
        <w:rPr>
          <w:rFonts w:hint="eastAsia" w:ascii="仿宋_GB2312" w:hAnsi="宋体" w:eastAsia="仿宋_GB2312"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hint="eastAsia" w:ascii="仿宋_GB2312" w:hAnsi="宋体" w:eastAsia="仿宋_GB2312" w:cs="宋体"/>
          <w:b/>
          <w:bCs/>
          <w:sz w:val="32"/>
          <w:szCs w:val="32"/>
        </w:rPr>
      </w:pPr>
    </w:p>
    <w:p>
      <w:pPr>
        <w:adjustRightInd w:val="0"/>
        <w:snapToGrid w:val="0"/>
        <w:spacing w:line="360" w:lineRule="auto"/>
        <w:rPr>
          <w:rFonts w:hint="eastAsia"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AD639E4"/>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4D6D48"/>
    <w:rsid w:val="13AE4F6A"/>
    <w:rsid w:val="144C1F9A"/>
    <w:rsid w:val="162C38CF"/>
    <w:rsid w:val="171262BF"/>
    <w:rsid w:val="17252284"/>
    <w:rsid w:val="177B58CD"/>
    <w:rsid w:val="18020BC4"/>
    <w:rsid w:val="186500A0"/>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140C99"/>
    <w:rsid w:val="2D31750C"/>
    <w:rsid w:val="2D962D7E"/>
    <w:rsid w:val="2DE634B9"/>
    <w:rsid w:val="2E1D349F"/>
    <w:rsid w:val="2EDF550D"/>
    <w:rsid w:val="2F407445"/>
    <w:rsid w:val="3025527A"/>
    <w:rsid w:val="30C91186"/>
    <w:rsid w:val="31495EDE"/>
    <w:rsid w:val="31921319"/>
    <w:rsid w:val="31BC6863"/>
    <w:rsid w:val="32FA2CBE"/>
    <w:rsid w:val="338B35BF"/>
    <w:rsid w:val="34092461"/>
    <w:rsid w:val="34700F39"/>
    <w:rsid w:val="34EF42C7"/>
    <w:rsid w:val="35EA3087"/>
    <w:rsid w:val="36607CEC"/>
    <w:rsid w:val="36EF1694"/>
    <w:rsid w:val="388443D5"/>
    <w:rsid w:val="38FB3C73"/>
    <w:rsid w:val="390659FB"/>
    <w:rsid w:val="390D1E7C"/>
    <w:rsid w:val="39DA0497"/>
    <w:rsid w:val="3A014C0D"/>
    <w:rsid w:val="3A3D3FD1"/>
    <w:rsid w:val="3B0D6490"/>
    <w:rsid w:val="3B6A356D"/>
    <w:rsid w:val="3B7F39AE"/>
    <w:rsid w:val="3BAB4838"/>
    <w:rsid w:val="3BF1493F"/>
    <w:rsid w:val="3C460065"/>
    <w:rsid w:val="3DCB6515"/>
    <w:rsid w:val="3E2E563A"/>
    <w:rsid w:val="3E547D6D"/>
    <w:rsid w:val="3EA52FF6"/>
    <w:rsid w:val="3F2969DF"/>
    <w:rsid w:val="3F646DBC"/>
    <w:rsid w:val="43001B9C"/>
    <w:rsid w:val="44E0509A"/>
    <w:rsid w:val="457774F2"/>
    <w:rsid w:val="45C94FEF"/>
    <w:rsid w:val="462D2409"/>
    <w:rsid w:val="468E6891"/>
    <w:rsid w:val="47C1249E"/>
    <w:rsid w:val="481B4427"/>
    <w:rsid w:val="481E3C44"/>
    <w:rsid w:val="485756B9"/>
    <w:rsid w:val="48592ECE"/>
    <w:rsid w:val="48835154"/>
    <w:rsid w:val="4939003C"/>
    <w:rsid w:val="4A010EEA"/>
    <w:rsid w:val="4CAC2800"/>
    <w:rsid w:val="4CFB5EE3"/>
    <w:rsid w:val="4D263AF9"/>
    <w:rsid w:val="4D4B074A"/>
    <w:rsid w:val="4EF26D89"/>
    <w:rsid w:val="4FC205E1"/>
    <w:rsid w:val="502C74D1"/>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1834DEC"/>
    <w:rsid w:val="622A6C63"/>
    <w:rsid w:val="62546789"/>
    <w:rsid w:val="62EF21DB"/>
    <w:rsid w:val="631D68AE"/>
    <w:rsid w:val="632D6F40"/>
    <w:rsid w:val="63AF1D1A"/>
    <w:rsid w:val="63F510AA"/>
    <w:rsid w:val="648E32AE"/>
    <w:rsid w:val="64A06B15"/>
    <w:rsid w:val="64D252BD"/>
    <w:rsid w:val="65412DFD"/>
    <w:rsid w:val="657F52AC"/>
    <w:rsid w:val="663A01C8"/>
    <w:rsid w:val="663C37BC"/>
    <w:rsid w:val="668B2466"/>
    <w:rsid w:val="66DB439B"/>
    <w:rsid w:val="66E003B2"/>
    <w:rsid w:val="672F50CE"/>
    <w:rsid w:val="6817729A"/>
    <w:rsid w:val="69964EC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276222A"/>
    <w:rsid w:val="73197CE0"/>
    <w:rsid w:val="732A1BFA"/>
    <w:rsid w:val="73344FDD"/>
    <w:rsid w:val="73616E39"/>
    <w:rsid w:val="73C0694D"/>
    <w:rsid w:val="74A54B7B"/>
    <w:rsid w:val="751B270C"/>
    <w:rsid w:val="7532635D"/>
    <w:rsid w:val="764364A0"/>
    <w:rsid w:val="768C17FB"/>
    <w:rsid w:val="77722493"/>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2"/>
    <w:qFormat/>
    <w:uiPriority w:val="9"/>
    <w:pPr>
      <w:keepNext/>
      <w:keepLines/>
      <w:spacing w:before="260" w:after="260" w:line="416" w:lineRule="auto"/>
      <w:outlineLvl w:val="2"/>
    </w:pPr>
    <w:rPr>
      <w:b/>
      <w:bCs/>
      <w:sz w:val="32"/>
      <w:szCs w:val="32"/>
    </w:rPr>
  </w:style>
  <w:style w:type="paragraph" w:styleId="9">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4"/>
    <w:qFormat/>
    <w:uiPriority w:val="9"/>
    <w:pPr>
      <w:keepNext/>
      <w:keepLines/>
      <w:spacing w:before="280" w:after="290" w:line="376" w:lineRule="auto"/>
      <w:outlineLvl w:val="4"/>
    </w:pPr>
    <w:rPr>
      <w:b/>
      <w:bCs/>
      <w:szCs w:val="28"/>
    </w:rPr>
  </w:style>
  <w:style w:type="paragraph" w:styleId="11">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9"/>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Body Text"/>
    <w:basedOn w:val="1"/>
    <w:unhideWhenUsed/>
    <w:qFormat/>
    <w:uiPriority w:val="99"/>
    <w:pPr>
      <w:spacing w:after="120"/>
    </w:pPr>
    <w:rPr>
      <w:rFonts w:cs="Times New Roman"/>
    </w:rPr>
  </w:style>
  <w:style w:type="paragraph" w:styleId="16">
    <w:name w:val="index 4"/>
    <w:basedOn w:val="1"/>
    <w:next w:val="1"/>
    <w:qFormat/>
    <w:uiPriority w:val="99"/>
    <w:pPr>
      <w:ind w:left="600" w:leftChars="600"/>
    </w:pPr>
    <w:rPr>
      <w:szCs w:val="24"/>
    </w:rPr>
  </w:style>
  <w:style w:type="paragraph" w:styleId="17">
    <w:name w:val="Plain Text"/>
    <w:basedOn w:val="1"/>
    <w:link w:val="57"/>
    <w:qFormat/>
    <w:uiPriority w:val="0"/>
    <w:pPr>
      <w:spacing w:beforeLines="50" w:afterLines="50" w:line="400" w:lineRule="atLeast"/>
    </w:pPr>
    <w:rPr>
      <w:rFonts w:ascii="宋体" w:hAnsi="Courier New"/>
      <w:kern w:val="0"/>
      <w:sz w:val="24"/>
    </w:rPr>
  </w:style>
  <w:style w:type="paragraph" w:styleId="18">
    <w:name w:val="Date"/>
    <w:basedOn w:val="1"/>
    <w:next w:val="1"/>
    <w:link w:val="58"/>
    <w:unhideWhenUsed/>
    <w:qFormat/>
    <w:uiPriority w:val="99"/>
    <w:pPr>
      <w:ind w:left="100" w:leftChars="2500"/>
    </w:pPr>
  </w:style>
  <w:style w:type="paragraph" w:styleId="19">
    <w:name w:val="Balloon Text"/>
    <w:basedOn w:val="1"/>
    <w:link w:val="59"/>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2"/>
    <w:qFormat/>
    <w:uiPriority w:val="10"/>
    <w:pPr>
      <w:spacing w:before="240" w:after="60"/>
      <w:jc w:val="center"/>
      <w:outlineLvl w:val="0"/>
    </w:pPr>
    <w:rPr>
      <w:rFonts w:ascii="Cambria" w:hAnsi="Cambria" w:cs="Times New Roman"/>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3"/>
    <w:qFormat/>
    <w:locked/>
    <w:uiPriority w:val="0"/>
    <w:rPr>
      <w:rFonts w:ascii="宋体" w:hAnsi="Courier New" w:eastAsia="宋体"/>
      <w:spacing w:val="-4"/>
      <w:sz w:val="18"/>
    </w:rPr>
  </w:style>
  <w:style w:type="character" w:customStyle="1" w:styleId="50">
    <w:name w:val="标题 1 Char"/>
    <w:basedOn w:val="29"/>
    <w:link w:val="6"/>
    <w:qFormat/>
    <w:uiPriority w:val="0"/>
    <w:rPr>
      <w:rFonts w:ascii="宋体" w:hAnsi="Arial" w:eastAsia="黑体" w:cs="Times New Roman"/>
      <w:b/>
      <w:bCs/>
      <w:color w:val="000000"/>
      <w:kern w:val="44"/>
      <w:sz w:val="36"/>
      <w:szCs w:val="32"/>
    </w:rPr>
  </w:style>
  <w:style w:type="character" w:customStyle="1" w:styleId="51">
    <w:name w:val="标题 2 Char"/>
    <w:basedOn w:val="29"/>
    <w:link w:val="7"/>
    <w:semiHidden/>
    <w:qFormat/>
    <w:uiPriority w:val="9"/>
    <w:rPr>
      <w:rFonts w:ascii="Cambria" w:hAnsi="Cambria" w:eastAsia="宋体" w:cs="Times New Roman"/>
      <w:b/>
      <w:bCs/>
      <w:sz w:val="32"/>
      <w:szCs w:val="32"/>
    </w:rPr>
  </w:style>
  <w:style w:type="character" w:customStyle="1" w:styleId="52">
    <w:name w:val="标题 3 Char1"/>
    <w:basedOn w:val="29"/>
    <w:link w:val="8"/>
    <w:semiHidden/>
    <w:qFormat/>
    <w:uiPriority w:val="9"/>
    <w:rPr>
      <w:rFonts w:ascii="Times New Roman" w:hAnsi="Times New Roman" w:eastAsia="宋体" w:cs="Times New Roman"/>
      <w:b/>
      <w:bCs/>
      <w:sz w:val="32"/>
      <w:szCs w:val="32"/>
    </w:rPr>
  </w:style>
  <w:style w:type="character" w:customStyle="1" w:styleId="53">
    <w:name w:val="标题 4 Char"/>
    <w:basedOn w:val="29"/>
    <w:link w:val="9"/>
    <w:semiHidden/>
    <w:qFormat/>
    <w:uiPriority w:val="9"/>
    <w:rPr>
      <w:rFonts w:ascii="Cambria" w:hAnsi="Cambria" w:eastAsia="宋体" w:cs="Times New Roman"/>
      <w:b/>
      <w:bCs/>
      <w:sz w:val="28"/>
      <w:szCs w:val="28"/>
    </w:rPr>
  </w:style>
  <w:style w:type="character" w:customStyle="1" w:styleId="54">
    <w:name w:val="标题 5 Char"/>
    <w:basedOn w:val="29"/>
    <w:link w:val="10"/>
    <w:semiHidden/>
    <w:qFormat/>
    <w:uiPriority w:val="9"/>
    <w:rPr>
      <w:rFonts w:ascii="Times New Roman" w:hAnsi="Times New Roman" w:eastAsia="宋体" w:cs="Times New Roman"/>
      <w:b/>
      <w:bCs/>
      <w:sz w:val="28"/>
      <w:szCs w:val="28"/>
    </w:rPr>
  </w:style>
  <w:style w:type="character" w:customStyle="1" w:styleId="55">
    <w:name w:val="标题 6 Char"/>
    <w:basedOn w:val="29"/>
    <w:link w:val="11"/>
    <w:semiHidden/>
    <w:qFormat/>
    <w:uiPriority w:val="9"/>
    <w:rPr>
      <w:rFonts w:ascii="Cambria" w:hAnsi="Cambria" w:eastAsia="宋体" w:cs="Times New Roman"/>
      <w:b/>
      <w:bCs/>
      <w:sz w:val="24"/>
      <w:szCs w:val="24"/>
    </w:rPr>
  </w:style>
  <w:style w:type="character" w:customStyle="1" w:styleId="56">
    <w:name w:val="标题 7 Char"/>
    <w:basedOn w:val="29"/>
    <w:link w:val="12"/>
    <w:semiHidden/>
    <w:qFormat/>
    <w:uiPriority w:val="9"/>
    <w:rPr>
      <w:rFonts w:ascii="Times New Roman" w:hAnsi="Times New Roman" w:eastAsia="宋体" w:cs="Times New Roman"/>
      <w:b/>
      <w:bCs/>
      <w:sz w:val="24"/>
      <w:szCs w:val="24"/>
    </w:rPr>
  </w:style>
  <w:style w:type="character" w:customStyle="1" w:styleId="57">
    <w:name w:val="纯文本 Char1"/>
    <w:link w:val="17"/>
    <w:qFormat/>
    <w:uiPriority w:val="0"/>
    <w:rPr>
      <w:rFonts w:ascii="宋体" w:hAnsi="Courier New" w:eastAsia="宋体"/>
      <w:sz w:val="24"/>
    </w:rPr>
  </w:style>
  <w:style w:type="character" w:customStyle="1" w:styleId="58">
    <w:name w:val="日期 Char"/>
    <w:basedOn w:val="29"/>
    <w:link w:val="18"/>
    <w:semiHidden/>
    <w:qFormat/>
    <w:uiPriority w:val="99"/>
    <w:rPr>
      <w:rFonts w:ascii="Times New Roman" w:hAnsi="Times New Roman" w:eastAsia="宋体" w:cs="Times New Roman"/>
      <w:sz w:val="28"/>
      <w:szCs w:val="20"/>
    </w:rPr>
  </w:style>
  <w:style w:type="character" w:customStyle="1" w:styleId="59">
    <w:name w:val="批注框文本 Char"/>
    <w:basedOn w:val="29"/>
    <w:link w:val="19"/>
    <w:semiHidden/>
    <w:qFormat/>
    <w:uiPriority w:val="99"/>
    <w:rPr>
      <w:rFonts w:ascii="Times New Roman" w:hAnsi="Times New Roman" w:eastAsia="宋体" w:cs="Times New Roman"/>
      <w:sz w:val="18"/>
      <w:szCs w:val="18"/>
    </w:rPr>
  </w:style>
  <w:style w:type="character" w:customStyle="1" w:styleId="60">
    <w:name w:val="页脚 Char"/>
    <w:basedOn w:val="29"/>
    <w:link w:val="20"/>
    <w:qFormat/>
    <w:uiPriority w:val="99"/>
    <w:rPr>
      <w:rFonts w:ascii="Times New Roman" w:hAnsi="Times New Roman" w:eastAsia="宋体" w:cs="Times New Roman"/>
      <w:sz w:val="18"/>
      <w:szCs w:val="18"/>
    </w:rPr>
  </w:style>
  <w:style w:type="character" w:customStyle="1" w:styleId="61">
    <w:name w:val="页眉 Char"/>
    <w:basedOn w:val="29"/>
    <w:link w:val="21"/>
    <w:semiHidden/>
    <w:qFormat/>
    <w:uiPriority w:val="99"/>
    <w:rPr>
      <w:rFonts w:ascii="Times New Roman" w:hAnsi="Times New Roman" w:eastAsia="宋体" w:cs="Times New Roman"/>
      <w:sz w:val="18"/>
      <w:szCs w:val="18"/>
    </w:rPr>
  </w:style>
  <w:style w:type="character" w:customStyle="1" w:styleId="62">
    <w:name w:val="标题 Char"/>
    <w:basedOn w:val="29"/>
    <w:link w:val="26"/>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41</Pages>
  <Words>18745</Words>
  <Characters>19273</Characters>
  <Lines>158</Lines>
  <Paragraphs>44</Paragraphs>
  <TotalTime>1</TotalTime>
  <ScaleCrop>false</ScaleCrop>
  <LinksUpToDate>false</LinksUpToDate>
  <CharactersWithSpaces>22200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Administrator</cp:lastModifiedBy>
  <cp:lastPrinted>2019-06-10T01:13:00Z</cp:lastPrinted>
  <dcterms:modified xsi:type="dcterms:W3CDTF">2023-07-17T03:45:28Z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EC2D55065EE9410B8AC07D03BAF4E20B</vt:lpwstr>
  </property>
</Properties>
</file>