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1127</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52"/>
          <w:szCs w:val="52"/>
          <w:lang w:val="en-US" w:eastAsia="zh-CN"/>
        </w:rPr>
        <w:t>2021-2024年</w:t>
      </w:r>
      <w:r>
        <w:rPr>
          <w:rFonts w:hint="eastAsia" w:ascii="华文中宋" w:hAnsi="华文中宋" w:eastAsia="华文中宋"/>
          <w:b/>
          <w:bCs/>
          <w:w w:val="90"/>
          <w:sz w:val="52"/>
          <w:szCs w:val="52"/>
        </w:rPr>
        <w:t>电梯维保项目</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9</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5"/>
      </w:pPr>
      <w:r>
        <w:rPr>
          <w:rFonts w:hint="eastAsia"/>
        </w:rPr>
        <w:t>目  录</w:t>
      </w:r>
    </w:p>
    <w:p>
      <w:pPr>
        <w:pStyle w:val="15"/>
      </w:pPr>
    </w:p>
    <w:p>
      <w:pPr>
        <w:pStyle w:val="15"/>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3"/>
          <w:rFonts w:hint="eastAsia"/>
        </w:rPr>
        <w:t>第一章</w:t>
      </w:r>
      <w:r>
        <w:rPr>
          <w:rStyle w:val="23"/>
        </w:rPr>
        <w:t xml:space="preserve">  </w:t>
      </w:r>
      <w:r>
        <w:rPr>
          <w:rStyle w:val="23"/>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3"/>
          <w:rFonts w:hint="eastAsia"/>
        </w:rPr>
        <w:t>第二章</w:t>
      </w:r>
      <w:r>
        <w:rPr>
          <w:rStyle w:val="23"/>
        </w:rPr>
        <w:t xml:space="preserve">  </w:t>
      </w:r>
      <w:r>
        <w:rPr>
          <w:rStyle w:val="23"/>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3"/>
          <w:rFonts w:hint="eastAsia"/>
        </w:rPr>
        <w:t>第三章</w:t>
      </w:r>
      <w:r>
        <w:rPr>
          <w:rStyle w:val="23"/>
        </w:rPr>
        <w:t xml:space="preserve">  </w:t>
      </w:r>
      <w:r>
        <w:rPr>
          <w:rStyle w:val="23"/>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3"/>
          <w:rFonts w:hint="eastAsia"/>
        </w:rPr>
        <w:t>第四章</w:t>
      </w:r>
      <w:r>
        <w:rPr>
          <w:rStyle w:val="23"/>
        </w:rPr>
        <w:t xml:space="preserve">  </w:t>
      </w:r>
      <w:r>
        <w:rPr>
          <w:rStyle w:val="23"/>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3"/>
          <w:rFonts w:hint="eastAsia" w:cs="华文中宋"/>
        </w:rPr>
        <w:t>第五章</w:t>
      </w:r>
      <w:r>
        <w:rPr>
          <w:rStyle w:val="23"/>
          <w:rFonts w:cs="华文中宋"/>
        </w:rPr>
        <w:t xml:space="preserve"> </w:t>
      </w:r>
      <w:r>
        <w:rPr>
          <w:rStyle w:val="23"/>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3"/>
          <w:rFonts w:hint="eastAsia" w:cs="华文中宋"/>
        </w:rPr>
        <w:t>第六章</w:t>
      </w:r>
      <w:r>
        <w:rPr>
          <w:rStyle w:val="23"/>
          <w:rFonts w:cs="华文中宋"/>
        </w:rPr>
        <w:t xml:space="preserve">  </w:t>
      </w:r>
      <w:r>
        <w:rPr>
          <w:rStyle w:val="23"/>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3"/>
          <w:rFonts w:hint="eastAsia"/>
        </w:rPr>
        <w:t>第七章</w:t>
      </w:r>
      <w:r>
        <w:rPr>
          <w:rStyle w:val="23"/>
        </w:rPr>
        <w:t xml:space="preserve">  </w:t>
      </w:r>
      <w:r>
        <w:rPr>
          <w:rStyle w:val="23"/>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bookmarkStart w:id="159" w:name="_GoBack"/>
      <w:r>
        <w:rPr>
          <w:rFonts w:hint="eastAsia" w:ascii="仿宋_GB2312" w:eastAsia="仿宋_GB2312"/>
          <w:sz w:val="24"/>
          <w:szCs w:val="24"/>
        </w:rPr>
        <w:t xml:space="preserve">我校电梯维保项目采取磋商的方式进行采购，现邀请符合资质条件的供应商参加投标和磋商。具体情况如下：    </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sz w:val="24"/>
          <w:szCs w:val="24"/>
          <w:lang w:eastAsia="zh-CN"/>
        </w:rPr>
        <w:t>皖南医学院</w:t>
      </w:r>
      <w:r>
        <w:rPr>
          <w:rFonts w:hint="eastAsia" w:ascii="仿宋_GB2312" w:eastAsia="仿宋_GB2312"/>
          <w:sz w:val="24"/>
          <w:szCs w:val="24"/>
        </w:rPr>
        <w:t>2021-2024年</w:t>
      </w:r>
      <w:r>
        <w:rPr>
          <w:rFonts w:hint="eastAsia" w:ascii="仿宋_GB2312" w:eastAsia="仿宋_GB2312"/>
          <w:kern w:val="0"/>
          <w:sz w:val="24"/>
          <w:szCs w:val="24"/>
        </w:rPr>
        <w:t>电梯维保项目</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（二）项目编号：WYGZ202</w:t>
      </w:r>
      <w:r>
        <w:rPr>
          <w:rFonts w:hint="eastAsia" w:ascii="仿宋_GB2312" w:eastAsia="仿宋_GB2312"/>
          <w:sz w:val="24"/>
          <w:szCs w:val="24"/>
          <w:lang w:val="en-US" w:eastAsia="zh-CN"/>
        </w:rPr>
        <w:t>1</w:t>
      </w:r>
      <w:r>
        <w:rPr>
          <w:rFonts w:hint="eastAsia" w:ascii="仿宋_GB2312" w:eastAsia="仿宋_GB2312"/>
          <w:sz w:val="24"/>
          <w:szCs w:val="24"/>
        </w:rPr>
        <w:t>1</w:t>
      </w:r>
      <w:r>
        <w:rPr>
          <w:rFonts w:hint="eastAsia" w:ascii="仿宋_GB2312" w:eastAsia="仿宋_GB2312"/>
          <w:sz w:val="24"/>
          <w:szCs w:val="24"/>
          <w:lang w:val="en-US" w:eastAsia="zh-CN"/>
        </w:rPr>
        <w:t>27</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（三）项目内容：电梯维保。详见项目需求。</w:t>
      </w:r>
    </w:p>
    <w:p>
      <w:pPr>
        <w:adjustRightInd w:val="0"/>
        <w:snapToGrid w:val="0"/>
        <w:spacing w:line="360" w:lineRule="auto"/>
        <w:ind w:firstLine="453" w:firstLineChars="189"/>
        <w:rPr>
          <w:rFonts w:hint="default" w:ascii="仿宋_GB2312" w:eastAsia="仿宋_GB2312"/>
          <w:sz w:val="24"/>
          <w:szCs w:val="24"/>
          <w:lang w:val="en-US" w:eastAsia="zh-CN"/>
        </w:rPr>
      </w:pPr>
      <w:r>
        <w:rPr>
          <w:rFonts w:hint="eastAsia" w:ascii="仿宋_GB2312" w:eastAsia="仿宋_GB2312"/>
          <w:sz w:val="24"/>
          <w:szCs w:val="24"/>
        </w:rPr>
        <w:t>（四）项目预算：1</w:t>
      </w:r>
      <w:r>
        <w:rPr>
          <w:rFonts w:hint="eastAsia" w:ascii="仿宋_GB2312" w:eastAsia="仿宋_GB2312"/>
          <w:sz w:val="24"/>
          <w:szCs w:val="24"/>
          <w:lang w:val="en-US" w:eastAsia="zh-CN"/>
        </w:rPr>
        <w:t>4.5</w:t>
      </w:r>
      <w:r>
        <w:rPr>
          <w:rFonts w:hint="eastAsia" w:ascii="仿宋_GB2312" w:eastAsia="仿宋_GB2312"/>
          <w:sz w:val="24"/>
          <w:szCs w:val="24"/>
        </w:rPr>
        <w:t>万元</w:t>
      </w:r>
      <w:r>
        <w:rPr>
          <w:rFonts w:hint="eastAsia" w:ascii="仿宋_GB2312" w:eastAsia="仿宋_GB2312"/>
          <w:sz w:val="24"/>
          <w:szCs w:val="24"/>
          <w:lang w:val="en-US" w:eastAsia="zh-CN"/>
        </w:rPr>
        <w:t>/年</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w:t>
      </w:r>
      <w:r>
        <w:rPr>
          <w:rFonts w:hint="eastAsia" w:ascii="仿宋_GB2312" w:hAnsi="宋体" w:eastAsia="仿宋_GB2312" w:cs="宋体"/>
          <w:kern w:val="0"/>
          <w:sz w:val="24"/>
          <w:szCs w:val="24"/>
        </w:rPr>
        <w:t>符合《中华人民共和国政府采购法》第二十二条规定</w:t>
      </w:r>
      <w:r>
        <w:rPr>
          <w:rFonts w:hint="eastAsia" w:ascii="仿宋_GB2312" w:eastAsia="仿宋_GB2312"/>
          <w:sz w:val="24"/>
          <w:szCs w:val="24"/>
        </w:rPr>
        <w:t>；</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（二）</w:t>
      </w:r>
      <w:r>
        <w:rPr>
          <w:rFonts w:hint="eastAsia" w:ascii="仿宋_GB2312" w:eastAsia="仿宋_GB2312" w:hAnsiTheme="minorEastAsia"/>
          <w:sz w:val="24"/>
          <w:szCs w:val="24"/>
        </w:rPr>
        <w:t>在我校有项目业绩的单位</w:t>
      </w:r>
      <w:r>
        <w:rPr>
          <w:rFonts w:hint="eastAsia" w:ascii="仿宋_GB2312" w:eastAsia="仿宋_GB2312" w:hAnsiTheme="minorEastAsia"/>
          <w:sz w:val="24"/>
          <w:szCs w:val="24"/>
          <w:lang w:eastAsia="zh-CN"/>
        </w:rPr>
        <w:t>且</w:t>
      </w:r>
      <w:r>
        <w:rPr>
          <w:rFonts w:hint="eastAsia" w:ascii="仿宋_GB2312" w:eastAsia="仿宋_GB2312" w:hAnsiTheme="minorEastAsia"/>
          <w:sz w:val="24"/>
          <w:szCs w:val="24"/>
        </w:rPr>
        <w:t>被学校以工期延误或决算办理迟缓发函警告的单位禁止参加；</w:t>
      </w:r>
    </w:p>
    <w:p>
      <w:pPr>
        <w:tabs>
          <w:tab w:val="center" w:pos="4153"/>
        </w:tabs>
        <w:adjustRightInd w:val="0"/>
        <w:snapToGrid w:val="0"/>
        <w:spacing w:line="360" w:lineRule="auto"/>
        <w:ind w:firstLine="480" w:firstLineChars="200"/>
        <w:rPr>
          <w:rFonts w:ascii="仿宋_GB2312" w:hAnsi="宋体" w:eastAsia="仿宋_GB2312" w:cs="宋体"/>
          <w:kern w:val="0"/>
          <w:sz w:val="24"/>
          <w:szCs w:val="24"/>
        </w:rPr>
      </w:pPr>
      <w:r>
        <w:rPr>
          <w:rFonts w:hint="eastAsia" w:ascii="仿宋_GB2312" w:eastAsia="仿宋_GB2312"/>
          <w:sz w:val="24"/>
          <w:szCs w:val="24"/>
        </w:rPr>
        <w:t>（三</w:t>
      </w:r>
      <w:r>
        <w:rPr>
          <w:rFonts w:hint="eastAsia" w:ascii="仿宋_GB2312" w:hAnsi="宋体" w:eastAsia="仿宋_GB2312" w:cs="宋体"/>
          <w:kern w:val="0"/>
          <w:sz w:val="24"/>
          <w:szCs w:val="24"/>
        </w:rPr>
        <w:t>）本项目不接受联合体投标。</w:t>
      </w:r>
      <w:r>
        <w:rPr>
          <w:rFonts w:hint="eastAsia" w:ascii="仿宋_GB2312" w:hAnsi="宋体" w:eastAsia="仿宋_GB2312" w:cs="宋体"/>
          <w:kern w:val="0"/>
          <w:sz w:val="24"/>
          <w:szCs w:val="24"/>
        </w:rPr>
        <w:tab/>
      </w:r>
    </w:p>
    <w:p>
      <w:pPr>
        <w:tabs>
          <w:tab w:val="center" w:pos="4153"/>
        </w:tabs>
        <w:adjustRightInd w:val="0"/>
        <w:snapToGrid w:val="0"/>
        <w:spacing w:line="360" w:lineRule="auto"/>
        <w:ind w:firstLine="480" w:firstLineChars="200"/>
        <w:rPr>
          <w:rFonts w:ascii="仿宋_GB2312" w:hAnsi="仿宋_GB2312" w:eastAsia="仿宋_GB2312" w:cs="仿宋_GB2312"/>
          <w:kern w:val="0"/>
          <w:sz w:val="24"/>
          <w:szCs w:val="24"/>
        </w:rPr>
      </w:pPr>
      <w:r>
        <w:rPr>
          <w:rFonts w:hint="eastAsia" w:ascii="仿宋_GB2312" w:hAnsi="宋体" w:eastAsia="仿宋_GB2312" w:cs="宋体"/>
          <w:kern w:val="0"/>
          <w:sz w:val="24"/>
          <w:szCs w:val="24"/>
        </w:rPr>
        <w:t>（四）</w:t>
      </w:r>
      <w:r>
        <w:rPr>
          <w:rFonts w:hint="eastAsia" w:ascii="仿宋_GB2312" w:hAnsi="仿宋_GB2312" w:eastAsia="仿宋_GB2312" w:cs="仿宋_GB2312"/>
          <w:sz w:val="24"/>
        </w:rPr>
        <w:t>具有</w:t>
      </w:r>
      <w:r>
        <w:rPr>
          <w:rFonts w:hint="eastAsia" w:ascii="仿宋_GB2312" w:hAnsi="仿宋_GB2312" w:eastAsia="仿宋_GB2312" w:cs="仿宋_GB2312"/>
          <w:snapToGrid w:val="0"/>
          <w:kern w:val="0"/>
          <w:sz w:val="24"/>
          <w:szCs w:val="18"/>
        </w:rPr>
        <w:t>B</w:t>
      </w:r>
      <w:r>
        <w:rPr>
          <w:rFonts w:hint="eastAsia" w:ascii="仿宋_GB2312" w:hAnsi="仿宋_GB2312" w:eastAsia="仿宋_GB2312" w:cs="仿宋_GB2312"/>
          <w:sz w:val="24"/>
        </w:rPr>
        <w:t>级及其以上电梯安装改造维修许可证，并在有效期内</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9</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13</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9</w:t>
      </w:r>
      <w:r>
        <w:rPr>
          <w:rFonts w:hint="eastAsia" w:ascii="仿宋_GB2312" w:hAnsi="宋体" w:eastAsia="仿宋_GB2312" w:cs="宋体"/>
          <w:sz w:val="24"/>
          <w:szCs w:val="24"/>
          <w:lang w:val="zh-CN"/>
        </w:rPr>
        <w:t>月</w:t>
      </w:r>
      <w:r>
        <w:rPr>
          <w:rFonts w:hint="eastAsia" w:ascii="仿宋_GB2312" w:hAnsi="宋体" w:eastAsia="仿宋_GB2312" w:cs="宋体"/>
          <w:sz w:val="24"/>
          <w:szCs w:val="24"/>
        </w:rPr>
        <w:t>1</w:t>
      </w:r>
      <w:r>
        <w:rPr>
          <w:rFonts w:hint="eastAsia" w:ascii="仿宋_GB2312" w:hAnsi="宋体" w:eastAsia="仿宋_GB2312" w:cs="宋体"/>
          <w:sz w:val="24"/>
          <w:szCs w:val="24"/>
          <w:lang w:val="en-US" w:eastAsia="zh-CN"/>
        </w:rPr>
        <w:t>7</w:t>
      </w:r>
      <w:r>
        <w:rPr>
          <w:rFonts w:hint="eastAsia" w:ascii="仿宋_GB2312" w:hAnsi="宋体" w:eastAsia="仿宋_GB2312" w:cs="宋体"/>
          <w:sz w:val="24"/>
          <w:szCs w:val="24"/>
          <w:lang w:val="zh-CN"/>
        </w:rPr>
        <w:t>日；</w:t>
      </w:r>
    </w:p>
    <w:p>
      <w:pPr>
        <w:pStyle w:val="17"/>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（二）报名方式：皖南医学院2021-2024年电梯维保项目（项目编号：WYGZ202112</w:t>
      </w:r>
      <w:r>
        <w:rPr>
          <w:rFonts w:hint="eastAsia" w:ascii="仿宋_GB2312" w:eastAsia="仿宋_GB2312" w:cs="宋体"/>
          <w:sz w:val="24"/>
          <w:szCs w:val="24"/>
          <w:lang w:val="en-US" w:eastAsia="zh-CN"/>
        </w:rPr>
        <w:t>7</w:t>
      </w:r>
      <w:r>
        <w:rPr>
          <w:rFonts w:hint="eastAsia" w:ascii="仿宋_GB2312" w:eastAsia="仿宋_GB2312" w:cs="宋体"/>
          <w:sz w:val="24"/>
          <w:szCs w:val="24"/>
          <w:lang w:val="zh-CN"/>
        </w:rPr>
        <w:t>）已在皖南医学院网上采购平台（http://wnmc.youzhicai.com/）发布，请潜在供应商在皖南医学院网上采购平台参与项目报名。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9</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30</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（二）响应文件开启时间：2020年</w:t>
      </w:r>
      <w:r>
        <w:rPr>
          <w:rFonts w:hint="eastAsia" w:ascii="仿宋_GB2312" w:hAnsi="宋体" w:eastAsia="仿宋_GB2312"/>
          <w:spacing w:val="-6"/>
          <w:sz w:val="24"/>
          <w:szCs w:val="24"/>
          <w:lang w:val="en-US" w:eastAsia="zh-CN"/>
        </w:rPr>
        <w:t>9</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30</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9</w:t>
      </w:r>
      <w:r>
        <w:rPr>
          <w:rFonts w:hint="eastAsia" w:ascii="仿宋_GB2312" w:eastAsia="仿宋_GB2312"/>
          <w:sz w:val="24"/>
          <w:szCs w:val="24"/>
        </w:rPr>
        <w:t>月</w:t>
      </w:r>
      <w:r>
        <w:rPr>
          <w:rFonts w:hint="eastAsia" w:ascii="仿宋_GB2312" w:eastAsia="仿宋_GB2312"/>
          <w:sz w:val="24"/>
          <w:szCs w:val="24"/>
          <w:lang w:val="en-US" w:eastAsia="zh-CN"/>
        </w:rPr>
        <w:t>13</w:t>
      </w:r>
      <w:r>
        <w:rPr>
          <w:rFonts w:hint="eastAsia" w:ascii="仿宋_GB2312" w:eastAsia="仿宋_GB2312"/>
          <w:sz w:val="24"/>
          <w:szCs w:val="24"/>
        </w:rPr>
        <w:t>日</w:t>
      </w:r>
    </w:p>
    <w:bookmarkEnd w:id="159"/>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2"/>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19"/>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皖南医学院2021-2024年电梯维保项目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联系人：方老师   </w:t>
            </w:r>
            <w:r>
              <w:rPr>
                <w:rFonts w:hint="eastAsia" w:ascii="仿宋_GB2312" w:hAnsi="仿宋_GB2312" w:eastAsia="仿宋_GB2312" w:cs="仿宋_GB2312"/>
                <w:b/>
                <w:kern w:val="0"/>
                <w:sz w:val="24"/>
                <w:szCs w:val="24"/>
              </w:rPr>
              <w:t xml:space="preserve"> </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无</w:t>
            </w:r>
            <w:r>
              <w:rPr>
                <w:rFonts w:hint="eastAsia" w:ascii="仿宋_GB2312" w:hAnsi="仿宋_GB2312" w:eastAsia="仿宋_GB2312"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金额：人民币</w:t>
            </w:r>
            <w:r>
              <w:rPr>
                <w:rFonts w:hint="eastAsia" w:ascii="仿宋_GB2312" w:hAnsi="仿宋_GB2312" w:eastAsia="仿宋_GB2312" w:cs="仿宋_GB2312"/>
                <w:kern w:val="0"/>
                <w:sz w:val="21"/>
                <w:szCs w:val="21"/>
                <w:lang w:val="en-US" w:eastAsia="zh-CN"/>
              </w:rPr>
              <w:t>7500</w:t>
            </w:r>
            <w:r>
              <w:rPr>
                <w:rFonts w:hint="eastAsia" w:ascii="仿宋_GB2312" w:hAnsi="仿宋_GB2312" w:eastAsia="仿宋_GB2312" w:cs="仿宋_GB2312"/>
                <w:kern w:val="0"/>
                <w:sz w:val="21"/>
                <w:szCs w:val="21"/>
              </w:rPr>
              <w:t>元。</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形式：从投标单位账户以转账方式汇入到达指定账户（注明“WYGZ202</w:t>
            </w:r>
            <w:r>
              <w:rPr>
                <w:rFonts w:hint="eastAsia" w:ascii="仿宋_GB2312" w:hAnsi="仿宋_GB2312" w:eastAsia="仿宋_GB2312" w:cs="仿宋_GB2312"/>
                <w:kern w:val="0"/>
                <w:sz w:val="21"/>
                <w:szCs w:val="21"/>
                <w:lang w:val="en-US" w:eastAsia="zh-CN"/>
              </w:rPr>
              <w:t>1127履约保</w:t>
            </w:r>
            <w:r>
              <w:rPr>
                <w:rFonts w:hint="eastAsia" w:ascii="仿宋_GB2312" w:hAnsi="仿宋_GB2312" w:eastAsia="仿宋_GB2312" w:cs="仿宋_GB2312"/>
                <w:kern w:val="0"/>
                <w:sz w:val="21"/>
                <w:szCs w:val="21"/>
              </w:rPr>
              <w:t>证金”）</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 户 名：皖南医学院</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开户银行：安徽省芜湖市建行中山路支行</w:t>
            </w:r>
          </w:p>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帐　　号：34001672208050139762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2"/>
        <w:snapToGrid w:val="0"/>
        <w:spacing w:before="0" w:after="0"/>
        <w:jc w:val="center"/>
        <w:rPr>
          <w:rFonts w:ascii="华文中宋" w:hAnsi="华文中宋" w:eastAsia="华文中宋"/>
          <w:color w:val="auto"/>
        </w:rPr>
      </w:pPr>
    </w:p>
    <w:p>
      <w:pPr>
        <w:pStyle w:val="2"/>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403987205"/>
      <w:bookmarkStart w:id="4" w:name="_Toc513029203"/>
      <w:bookmarkStart w:id="5" w:name="_Toc20823275"/>
      <w:bookmarkStart w:id="6" w:name="_Toc120614214"/>
      <w:bookmarkStart w:id="7" w:name="_Toc16938519"/>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20823276"/>
      <w:bookmarkStart w:id="10" w:name="_Toc16938520"/>
      <w:bookmarkStart w:id="11" w:name="_Toc513029204"/>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0"/>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0"/>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20823277"/>
      <w:bookmarkStart w:id="13" w:name="_Toc513029205"/>
      <w:bookmarkStart w:id="14" w:name="_Toc16938521"/>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0"/>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0"/>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513029206"/>
      <w:bookmarkStart w:id="16" w:name="_Toc20823278"/>
      <w:bookmarkStart w:id="17" w:name="_Toc16938522"/>
      <w:r>
        <w:rPr>
          <w:rFonts w:hint="eastAsia" w:ascii="仿宋_GB2312" w:eastAsia="仿宋_GB2312"/>
          <w:sz w:val="24"/>
          <w:szCs w:val="24"/>
        </w:rPr>
        <w:t>4.适用法律</w:t>
      </w:r>
      <w:bookmarkEnd w:id="15"/>
      <w:bookmarkEnd w:id="16"/>
      <w:bookmarkEnd w:id="17"/>
    </w:p>
    <w:p>
      <w:pPr>
        <w:pStyle w:val="30"/>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16938523"/>
      <w:bookmarkStart w:id="19" w:name="_Toc462564067"/>
      <w:bookmarkStart w:id="20" w:name="_Toc20823279"/>
      <w:bookmarkStart w:id="21" w:name="_Toc513029207"/>
      <w:r>
        <w:rPr>
          <w:rFonts w:hint="eastAsia" w:ascii="仿宋_GB2312" w:eastAsia="仿宋_GB2312"/>
          <w:sz w:val="24"/>
          <w:szCs w:val="24"/>
        </w:rPr>
        <w:t>5.磋商费用</w:t>
      </w:r>
      <w:bookmarkEnd w:id="18"/>
      <w:bookmarkEnd w:id="19"/>
      <w:bookmarkEnd w:id="20"/>
      <w:bookmarkEnd w:id="21"/>
    </w:p>
    <w:p>
      <w:pPr>
        <w:pStyle w:val="30"/>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0"/>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0"/>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120614215"/>
      <w:bookmarkStart w:id="23" w:name="_Toc16938525"/>
      <w:bookmarkStart w:id="24" w:name="_Toc20823281"/>
      <w:bookmarkStart w:id="25" w:name="_Toc403987206"/>
      <w:bookmarkStart w:id="26" w:name="_Toc513029209"/>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20823282"/>
      <w:bookmarkStart w:id="28" w:name="_Toc16938526"/>
      <w:bookmarkStart w:id="29" w:name="_Toc513029210"/>
      <w:r>
        <w:rPr>
          <w:rFonts w:hint="eastAsia" w:ascii="仿宋_GB2312" w:eastAsia="仿宋_GB2312"/>
          <w:sz w:val="24"/>
          <w:szCs w:val="24"/>
        </w:rPr>
        <w:t>1.磋商文件构成</w:t>
      </w:r>
      <w:bookmarkEnd w:id="27"/>
      <w:bookmarkEnd w:id="28"/>
      <w:bookmarkEnd w:id="29"/>
    </w:p>
    <w:p>
      <w:pPr>
        <w:pStyle w:val="30"/>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0"/>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0"/>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0"/>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0"/>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0"/>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0"/>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0"/>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20823283"/>
      <w:bookmarkStart w:id="31" w:name="_Toc16938527"/>
      <w:bookmarkStart w:id="32" w:name="_Toc513029211"/>
      <w:bookmarkStart w:id="33" w:name="_Toc462564070"/>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0"/>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120614216"/>
      <w:bookmarkStart w:id="35" w:name="_Toc16938529"/>
      <w:bookmarkStart w:id="36" w:name="_Toc20823285"/>
      <w:bookmarkStart w:id="37" w:name="_Toc513029213"/>
      <w:bookmarkStart w:id="38" w:name="_Toc462564072"/>
      <w:bookmarkStart w:id="39" w:name="_Toc403987207"/>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513029214"/>
      <w:bookmarkStart w:id="42" w:name="_Toc20823286"/>
      <w:bookmarkStart w:id="43" w:name="_Toc462564073"/>
      <w:bookmarkStart w:id="44" w:name="_Toc16938530"/>
      <w:r>
        <w:rPr>
          <w:rFonts w:hint="eastAsia" w:ascii="仿宋_GB2312" w:eastAsia="仿宋_GB2312"/>
          <w:sz w:val="24"/>
          <w:szCs w:val="24"/>
        </w:rPr>
        <w:t>3.响应文件的语言及度量衡单位</w:t>
      </w:r>
      <w:bookmarkEnd w:id="41"/>
      <w:bookmarkEnd w:id="42"/>
      <w:bookmarkEnd w:id="43"/>
      <w:bookmarkEnd w:id="44"/>
    </w:p>
    <w:p>
      <w:pPr>
        <w:pStyle w:val="30"/>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0"/>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462564074"/>
      <w:bookmarkStart w:id="46" w:name="_Toc20823287"/>
      <w:bookmarkStart w:id="47" w:name="_Toc16938531"/>
      <w:bookmarkStart w:id="48" w:name="_Toc513029215"/>
      <w:r>
        <w:rPr>
          <w:rFonts w:hint="eastAsia" w:ascii="仿宋_GB2312" w:eastAsia="仿宋_GB2312"/>
          <w:sz w:val="24"/>
          <w:szCs w:val="24"/>
        </w:rPr>
        <w:t>4.响应文件构成</w:t>
      </w:r>
      <w:bookmarkEnd w:id="45"/>
      <w:bookmarkEnd w:id="46"/>
      <w:bookmarkEnd w:id="47"/>
      <w:bookmarkEnd w:id="48"/>
    </w:p>
    <w:p>
      <w:pPr>
        <w:pStyle w:val="30"/>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0"/>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670360"/>
      <w:bookmarkEnd w:id="49"/>
      <w:bookmarkStart w:id="50" w:name="_Hlt26668975"/>
      <w:bookmarkEnd w:id="50"/>
      <w:bookmarkStart w:id="51" w:name="_Hlt26954838"/>
      <w:bookmarkEnd w:id="51"/>
      <w:bookmarkStart w:id="52" w:name="_Toc513029219"/>
      <w:bookmarkStart w:id="53" w:name="_Toc49090509"/>
      <w:bookmarkStart w:id="54" w:name="_Toc14577357"/>
      <w:bookmarkStart w:id="55" w:name="_Toc49090507"/>
      <w:bookmarkStart w:id="56" w:name="_Toc14577354"/>
      <w:bookmarkStart w:id="57" w:name="_Toc513029216"/>
      <w:r>
        <w:rPr>
          <w:rFonts w:hint="eastAsia" w:ascii="仿宋_GB2312" w:eastAsia="仿宋_GB2312"/>
          <w:sz w:val="24"/>
          <w:szCs w:val="24"/>
        </w:rPr>
        <w:t>5.证明供应商资格及符合磋商文件规定的文件</w:t>
      </w:r>
      <w:bookmarkEnd w:id="52"/>
      <w:bookmarkEnd w:id="53"/>
      <w:bookmarkEnd w:id="54"/>
    </w:p>
    <w:p>
      <w:pPr>
        <w:pStyle w:val="30"/>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0"/>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0"/>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0"/>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0"/>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0"/>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8"/>
      <w:bookmarkEnd w:id="63"/>
      <w:bookmarkStart w:id="64" w:name="_Hlt26670482"/>
      <w:bookmarkEnd w:id="64"/>
      <w:bookmarkStart w:id="65" w:name="_Hlt26670486"/>
      <w:bookmarkEnd w:id="65"/>
      <w:bookmarkStart w:id="66" w:name="_Hlt26954731"/>
      <w:bookmarkEnd w:id="66"/>
      <w:bookmarkStart w:id="67" w:name="_Hlt26954846"/>
      <w:bookmarkEnd w:id="67"/>
      <w:bookmarkStart w:id="68" w:name="_Toc14577359"/>
      <w:bookmarkStart w:id="69" w:name="_Toc49090510"/>
      <w:r>
        <w:rPr>
          <w:rFonts w:hint="eastAsia" w:ascii="仿宋_GB2312" w:eastAsia="仿宋_GB2312"/>
          <w:sz w:val="24"/>
          <w:szCs w:val="24"/>
        </w:rPr>
        <w:t>8.磋商保证金</w:t>
      </w:r>
      <w:bookmarkEnd w:id="68"/>
      <w:bookmarkEnd w:id="69"/>
    </w:p>
    <w:p>
      <w:pPr>
        <w:pStyle w:val="30"/>
        <w:snapToGrid w:val="0"/>
        <w:rPr>
          <w:rFonts w:ascii="仿宋_GB2312" w:hAnsi="宋体" w:eastAsia="仿宋_GB2312"/>
          <w:sz w:val="24"/>
          <w:szCs w:val="24"/>
        </w:rPr>
      </w:pPr>
      <w:bookmarkStart w:id="70" w:name="_Hlt26954734"/>
      <w:bookmarkEnd w:id="70"/>
      <w:bookmarkStart w:id="71" w:name="_Hlt26954850"/>
      <w:bookmarkEnd w:id="71"/>
      <w:bookmarkStart w:id="72" w:name="_Hlt26670489"/>
      <w:bookmarkEnd w:id="72"/>
      <w:bookmarkStart w:id="73" w:name="_Toc49090511"/>
      <w:bookmarkStart w:id="74" w:name="_Toc14577360"/>
      <w:r>
        <w:rPr>
          <w:rFonts w:hint="eastAsia" w:ascii="仿宋_GB2312" w:hAnsi="宋体" w:eastAsia="仿宋_GB2312"/>
          <w:sz w:val="24"/>
          <w:szCs w:val="24"/>
        </w:rPr>
        <w:t>（1）供应商提交的磋商保证金必须在响应文件提交截止时间前一天下午14：00前到账，并作为其磋商响应的组成部分，否则将被视为非实质性响应而予以拒绝。</w:t>
      </w:r>
    </w:p>
    <w:p>
      <w:pPr>
        <w:pStyle w:val="30"/>
        <w:snapToGrid w:val="0"/>
        <w:rPr>
          <w:rFonts w:ascii="仿宋_GB2312" w:hAnsi="宋体" w:eastAsia="仿宋_GB2312"/>
          <w:sz w:val="24"/>
          <w:szCs w:val="24"/>
        </w:rPr>
      </w:pPr>
      <w:r>
        <w:rPr>
          <w:rFonts w:hint="eastAsia" w:ascii="仿宋_GB2312" w:hAnsi="宋体" w:eastAsia="仿宋_GB2312"/>
          <w:sz w:val="24"/>
          <w:szCs w:val="24"/>
        </w:rPr>
        <w:t>（2）中标单位的磋商保证金，将自动转为履约保证金，不足部分在双方签订合同前交齐。</w:t>
      </w:r>
    </w:p>
    <w:p>
      <w:pPr>
        <w:pStyle w:val="30"/>
        <w:snapToGrid w:val="0"/>
        <w:rPr>
          <w:rFonts w:ascii="仿宋_GB2312" w:hAnsi="宋体" w:eastAsia="仿宋_GB2312"/>
          <w:sz w:val="24"/>
          <w:szCs w:val="24"/>
        </w:rPr>
      </w:pPr>
      <w:r>
        <w:rPr>
          <w:rFonts w:hint="eastAsia" w:ascii="仿宋_GB2312" w:hAnsi="宋体" w:eastAsia="仿宋_GB2312"/>
          <w:sz w:val="24"/>
          <w:szCs w:val="24"/>
        </w:rPr>
        <w:t>（3）未成交供应商的磋商保证金将在成交通知书发出后10个工作日内退还。</w:t>
      </w:r>
    </w:p>
    <w:p>
      <w:pPr>
        <w:pStyle w:val="30"/>
        <w:snapToGrid w:val="0"/>
        <w:rPr>
          <w:rFonts w:ascii="仿宋_GB2312" w:hAnsi="宋体" w:eastAsia="仿宋_GB2312"/>
          <w:sz w:val="24"/>
          <w:szCs w:val="24"/>
        </w:rPr>
      </w:pPr>
      <w:r>
        <w:rPr>
          <w:rFonts w:hint="eastAsia" w:ascii="仿宋_GB2312" w:hAnsi="宋体" w:eastAsia="仿宋_GB2312"/>
          <w:sz w:val="24"/>
          <w:szCs w:val="24"/>
        </w:rPr>
        <w:t xml:space="preserve">（4）有下列情形之一的，磋商保证金不予退还： </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1）供应商在提交响应文件截止时间后撤回响应文件的；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2）供应商在响应文件中提供虚假材料的；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3）除因不可抗力或磋商文件认可的情形以外，成交供应商不与采购人签订合同的；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4）供应商与采购人、其他供应商恶意串通的；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5）磋商文件规定的其他情形。</w:t>
      </w:r>
    </w:p>
    <w:bookmarkEnd w:id="73"/>
    <w:bookmarkEnd w:id="74"/>
    <w:p>
      <w:pPr>
        <w:adjustRightInd w:val="0"/>
        <w:snapToGrid w:val="0"/>
        <w:spacing w:line="360" w:lineRule="auto"/>
        <w:ind w:firstLine="480" w:firstLineChars="200"/>
        <w:rPr>
          <w:rFonts w:ascii="仿宋_GB2312" w:eastAsia="仿宋_GB2312"/>
          <w:sz w:val="24"/>
          <w:szCs w:val="24"/>
        </w:rPr>
      </w:pPr>
      <w:bookmarkStart w:id="75" w:name="_Hlt26954739"/>
      <w:bookmarkEnd w:id="75"/>
      <w:bookmarkStart w:id="76" w:name="_Hlt26954852"/>
      <w:bookmarkEnd w:id="76"/>
      <w:bookmarkStart w:id="77" w:name="_Toc49090512"/>
      <w:bookmarkStart w:id="78" w:name="_Toc14577361"/>
      <w:r>
        <w:rPr>
          <w:rFonts w:hint="eastAsia" w:ascii="仿宋_GB2312" w:eastAsia="仿宋_GB2312"/>
          <w:sz w:val="24"/>
          <w:szCs w:val="24"/>
        </w:rPr>
        <w:t>9.响应文件份数和签署</w:t>
      </w:r>
      <w:bookmarkEnd w:id="77"/>
      <w:bookmarkEnd w:id="78"/>
    </w:p>
    <w:p>
      <w:pPr>
        <w:pStyle w:val="30"/>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0"/>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0"/>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9" w:name="_Toc20823296"/>
      <w:bookmarkStart w:id="80" w:name="_Toc120614217"/>
      <w:bookmarkStart w:id="81" w:name="_Toc513029224"/>
      <w:bookmarkStart w:id="82" w:name="_Toc16938540"/>
      <w:bookmarkStart w:id="83" w:name="_Toc403987208"/>
      <w:r>
        <w:rPr>
          <w:rFonts w:hint="eastAsia" w:ascii="仿宋_GB2312" w:hAnsi="宋体" w:eastAsia="仿宋_GB2312"/>
          <w:sz w:val="24"/>
          <w:szCs w:val="24"/>
        </w:rPr>
        <w:t>（四）响应文件的递交</w:t>
      </w:r>
      <w:bookmarkEnd w:id="79"/>
      <w:bookmarkEnd w:id="80"/>
      <w:bookmarkEnd w:id="81"/>
      <w:bookmarkEnd w:id="82"/>
      <w:bookmarkEnd w:id="83"/>
    </w:p>
    <w:p>
      <w:pPr>
        <w:adjustRightInd w:val="0"/>
        <w:snapToGrid w:val="0"/>
        <w:spacing w:line="360" w:lineRule="auto"/>
        <w:ind w:firstLine="480" w:firstLineChars="200"/>
        <w:rPr>
          <w:rFonts w:ascii="仿宋_GB2312" w:eastAsia="仿宋_GB2312"/>
          <w:sz w:val="24"/>
          <w:szCs w:val="24"/>
        </w:rPr>
      </w:pPr>
      <w:bookmarkStart w:id="84" w:name="_Toc513029225"/>
      <w:bookmarkStart w:id="85" w:name="_Toc20823297"/>
      <w:bookmarkStart w:id="86" w:name="_Toc462564084"/>
      <w:bookmarkStart w:id="87" w:name="_Toc16938541"/>
      <w:r>
        <w:rPr>
          <w:rFonts w:hint="eastAsia" w:ascii="仿宋_GB2312" w:eastAsia="仿宋_GB2312"/>
          <w:sz w:val="24"/>
          <w:szCs w:val="24"/>
        </w:rPr>
        <w:t>1.响应文件的密封和标记</w:t>
      </w:r>
      <w:bookmarkEnd w:id="84"/>
      <w:bookmarkEnd w:id="85"/>
      <w:bookmarkEnd w:id="86"/>
      <w:bookmarkEnd w:id="87"/>
    </w:p>
    <w:p>
      <w:pPr>
        <w:pStyle w:val="30"/>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0"/>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0"/>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0"/>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0"/>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8" w:name="_Toc16938542"/>
      <w:bookmarkStart w:id="89" w:name="_Toc513029226"/>
      <w:bookmarkStart w:id="90" w:name="_Toc20823298"/>
      <w:r>
        <w:rPr>
          <w:rFonts w:hint="eastAsia" w:ascii="仿宋_GB2312" w:eastAsia="仿宋_GB2312"/>
          <w:sz w:val="24"/>
          <w:szCs w:val="24"/>
        </w:rPr>
        <w:t>2.响应文件提交截止</w:t>
      </w:r>
      <w:bookmarkEnd w:id="88"/>
      <w:bookmarkEnd w:id="89"/>
      <w:bookmarkEnd w:id="90"/>
      <w:r>
        <w:rPr>
          <w:rFonts w:hint="eastAsia" w:ascii="仿宋_GB2312" w:eastAsia="仿宋_GB2312"/>
          <w:sz w:val="24"/>
          <w:szCs w:val="24"/>
        </w:rPr>
        <w:t>时间</w:t>
      </w:r>
    </w:p>
    <w:p>
      <w:pPr>
        <w:pStyle w:val="30"/>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0"/>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0"/>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0"/>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0"/>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91" w:name="_Toc513029231"/>
      <w:bookmarkStart w:id="92" w:name="_Toc20823303"/>
      <w:bookmarkStart w:id="93" w:name="_Toc16938547"/>
      <w:r>
        <w:rPr>
          <w:rFonts w:hint="eastAsia" w:ascii="仿宋_GB2312" w:eastAsia="仿宋_GB2312"/>
          <w:sz w:val="24"/>
          <w:szCs w:val="24"/>
        </w:rPr>
        <w:t>2.磋商小组</w:t>
      </w:r>
    </w:p>
    <w:p>
      <w:pPr>
        <w:pStyle w:val="30"/>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0"/>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91"/>
    <w:bookmarkEnd w:id="92"/>
    <w:bookmarkEnd w:id="93"/>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94" w:name="_Toc16938548"/>
      <w:bookmarkStart w:id="95" w:name="_Toc20823304"/>
      <w:bookmarkStart w:id="96" w:name="_Toc513029232"/>
      <w:r>
        <w:rPr>
          <w:rFonts w:hint="eastAsia" w:ascii="仿宋_GB2312" w:eastAsia="仿宋_GB2312"/>
          <w:sz w:val="24"/>
          <w:szCs w:val="24"/>
        </w:rPr>
        <w:t>4.供应商澄清</w:t>
      </w:r>
      <w:bookmarkEnd w:id="94"/>
      <w:bookmarkEnd w:id="95"/>
      <w:bookmarkEnd w:id="96"/>
    </w:p>
    <w:p>
      <w:pPr>
        <w:adjustRightInd w:val="0"/>
        <w:snapToGrid w:val="0"/>
        <w:spacing w:line="360" w:lineRule="auto"/>
        <w:ind w:firstLine="480" w:firstLineChars="200"/>
        <w:rPr>
          <w:rFonts w:ascii="仿宋_GB2312" w:eastAsia="仿宋_GB2312"/>
          <w:sz w:val="24"/>
          <w:szCs w:val="24"/>
        </w:rPr>
      </w:pPr>
      <w:bookmarkStart w:id="97" w:name="_Toc20823305"/>
      <w:bookmarkStart w:id="98" w:name="_Toc513029233"/>
      <w:bookmarkStart w:id="99" w:name="_Toc16938549"/>
      <w:r>
        <w:rPr>
          <w:rFonts w:hint="eastAsia" w:ascii="仿宋_GB2312" w:eastAsia="仿宋_GB2312"/>
          <w:sz w:val="24"/>
          <w:szCs w:val="24"/>
        </w:rPr>
        <w:t>磋商小组要求供应商澄清、说明或者更正响应文件将以书面形式作出。</w:t>
      </w:r>
    </w:p>
    <w:bookmarkEnd w:id="97"/>
    <w:bookmarkEnd w:id="98"/>
    <w:bookmarkEnd w:id="99"/>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0"/>
        <w:snapToGrid w:val="0"/>
        <w:rPr>
          <w:rFonts w:ascii="仿宋_GB2312" w:hAnsi="宋体" w:eastAsia="仿宋_GB2312"/>
          <w:sz w:val="24"/>
          <w:szCs w:val="24"/>
        </w:rPr>
      </w:pPr>
      <w:bookmarkStart w:id="100" w:name="_Toc16938551"/>
      <w:bookmarkStart w:id="101" w:name="_Toc20823307"/>
      <w:bookmarkStart w:id="102" w:name="_Toc513029235"/>
      <w:r>
        <w:rPr>
          <w:rFonts w:hint="eastAsia" w:ascii="仿宋_GB2312" w:hAnsi="宋体" w:eastAsia="仿宋_GB2312"/>
          <w:sz w:val="24"/>
          <w:szCs w:val="24"/>
        </w:rPr>
        <w:t>（1）响应无效条款</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1）未按要求交纳磋商保证金的；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2）未按照磋商文件规定要求密封、签署、盖章的；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3）供应商不具备磋商文件中规定资格条件的；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4）不符合法律、法规和磋商文件中规定的其他实质性要求的（本磋商文件中斜体且有下划线部分为实质性要求和条件）；</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5）其他法律、法规及本磋商文件规定的属响应无效的情形。</w:t>
      </w:r>
    </w:p>
    <w:p>
      <w:pPr>
        <w:pStyle w:val="30"/>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20823310"/>
      <w:bookmarkStart w:id="104" w:name="_Toc16938554"/>
      <w:r>
        <w:rPr>
          <w:rFonts w:hint="eastAsia" w:ascii="仿宋_GB2312" w:eastAsia="仿宋_GB2312"/>
          <w:sz w:val="24"/>
          <w:szCs w:val="24"/>
        </w:rPr>
        <w:t>8.确定</w:t>
      </w:r>
      <w:bookmarkEnd w:id="103"/>
      <w:bookmarkEnd w:id="104"/>
      <w:r>
        <w:rPr>
          <w:rFonts w:hint="eastAsia" w:ascii="仿宋_GB2312" w:eastAsia="仿宋_GB2312"/>
          <w:sz w:val="24"/>
          <w:szCs w:val="24"/>
        </w:rPr>
        <w:t>成交供应商</w:t>
      </w:r>
    </w:p>
    <w:p>
      <w:pPr>
        <w:pStyle w:val="30"/>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0"/>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105" w:name="_Toc403987211"/>
      <w:bookmarkStart w:id="106" w:name="_Toc120614220"/>
      <w:bookmarkStart w:id="107" w:name="_Toc20823308"/>
      <w:bookmarkStart w:id="108" w:name="_Toc513029236"/>
      <w:bookmarkStart w:id="109" w:name="_Toc16938552"/>
      <w:r>
        <w:rPr>
          <w:rFonts w:hint="eastAsia" w:ascii="仿宋_GB2312" w:hAnsi="宋体" w:eastAsia="仿宋_GB2312"/>
          <w:sz w:val="24"/>
          <w:szCs w:val="24"/>
        </w:rPr>
        <w:t>（六）授予合同</w:t>
      </w:r>
      <w:bookmarkEnd w:id="105"/>
      <w:bookmarkEnd w:id="106"/>
    </w:p>
    <w:bookmarkEnd w:id="107"/>
    <w:bookmarkEnd w:id="108"/>
    <w:bookmarkEnd w:id="109"/>
    <w:p>
      <w:pPr>
        <w:adjustRightInd w:val="0"/>
        <w:snapToGrid w:val="0"/>
        <w:spacing w:line="360" w:lineRule="auto"/>
        <w:ind w:firstLine="480" w:firstLineChars="200"/>
        <w:rPr>
          <w:rFonts w:ascii="仿宋_GB2312" w:eastAsia="仿宋_GB2312"/>
          <w:sz w:val="24"/>
          <w:szCs w:val="24"/>
        </w:rPr>
      </w:pPr>
      <w:bookmarkStart w:id="110" w:name="_Toc513029237"/>
      <w:bookmarkStart w:id="111" w:name="_Toc20823309"/>
      <w:bookmarkStart w:id="112" w:name="_Toc16938553"/>
      <w:r>
        <w:rPr>
          <w:rFonts w:hint="eastAsia" w:ascii="仿宋_GB2312" w:eastAsia="仿宋_GB2312"/>
          <w:sz w:val="24"/>
          <w:szCs w:val="24"/>
        </w:rPr>
        <w:t>1.签订合同</w:t>
      </w:r>
    </w:p>
    <w:p>
      <w:pPr>
        <w:pStyle w:val="30"/>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0"/>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0"/>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0"/>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13" w:name="_Toc200451963"/>
      <w:r>
        <w:rPr>
          <w:rFonts w:hint="eastAsia" w:ascii="仿宋_GB2312" w:hAnsi="宋体" w:eastAsia="仿宋_GB2312"/>
          <w:sz w:val="24"/>
          <w:szCs w:val="24"/>
        </w:rPr>
        <w:t>，不足部分在双方签订合同前交齐。</w:t>
      </w:r>
    </w:p>
    <w:bookmarkEnd w:id="113"/>
    <w:p>
      <w:pPr>
        <w:pStyle w:val="30"/>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10"/>
      <w:bookmarkEnd w:id="111"/>
      <w:bookmarkEnd w:id="112"/>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ascii="仿宋_GB2312" w:hAnsi="宋体" w:eastAsia="仿宋_GB2312" w:cs="宋体"/>
          <w:b/>
          <w:kern w:val="0"/>
          <w:sz w:val="32"/>
          <w:szCs w:val="32"/>
        </w:rPr>
      </w:pPr>
      <w:bookmarkStart w:id="114" w:name="_Toc52892866"/>
      <w:r>
        <w:rPr>
          <w:rFonts w:hint="eastAsia" w:ascii="华文中宋" w:hAnsi="华文中宋" w:eastAsia="华文中宋" w:cs="华文中宋"/>
          <w:szCs w:val="36"/>
          <w:lang w:eastAsia="zh-CN"/>
        </w:rPr>
        <w:tab/>
      </w:r>
      <w:r>
        <w:rPr>
          <w:rFonts w:hint="eastAsia" w:ascii="仿宋_GB2312" w:hAnsi="宋体" w:eastAsia="仿宋_GB2312" w:cs="宋体"/>
          <w:b/>
          <w:kern w:val="0"/>
          <w:sz w:val="32"/>
          <w:szCs w:val="32"/>
        </w:rPr>
        <w:t>安徽省电梯维保合同</w:t>
      </w:r>
    </w:p>
    <w:p>
      <w:pPr>
        <w:spacing w:line="360" w:lineRule="auto"/>
        <w:jc w:val="left"/>
        <w:rPr>
          <w:rFonts w:ascii="仿宋_GB2312" w:hAnsi="宋体" w:eastAsia="仿宋_GB2312" w:cs="宋体"/>
          <w:b/>
          <w:kern w:val="0"/>
          <w:sz w:val="24"/>
        </w:rPr>
      </w:pPr>
      <w:r>
        <w:rPr>
          <w:rFonts w:hint="eastAsia" w:ascii="仿宋_GB2312" w:hAnsi="宋体" w:eastAsia="仿宋_GB2312" w:cs="宋体"/>
          <w:b/>
          <w:kern w:val="0"/>
          <w:sz w:val="24"/>
        </w:rPr>
        <w:t xml:space="preserve">                                 合同编号WYHT2021XXX--01</w:t>
      </w:r>
    </w:p>
    <w:p>
      <w:pPr>
        <w:spacing w:line="500" w:lineRule="exact"/>
        <w:jc w:val="left"/>
        <w:textAlignment w:val="center"/>
        <w:rPr>
          <w:rFonts w:ascii="仿宋_GB2312" w:hAnsi="仿宋_GB2312" w:eastAsia="仿宋_GB2312" w:cs="仿宋_GB2312"/>
          <w:b/>
          <w:kern w:val="0"/>
          <w:sz w:val="24"/>
        </w:rPr>
      </w:pPr>
      <w:r>
        <w:rPr>
          <w:rFonts w:hint="eastAsia" w:ascii="仿宋_GB2312" w:hAnsi="仿宋_GB2312" w:eastAsia="仿宋_GB2312" w:cs="仿宋_GB2312"/>
          <w:b/>
          <w:kern w:val="0"/>
          <w:sz w:val="24"/>
        </w:rPr>
        <w:t>使用单位（甲方）：</w:t>
      </w:r>
      <w:r>
        <w:rPr>
          <w:rFonts w:hint="eastAsia" w:ascii="仿宋_GB2312" w:hAnsi="仿宋_GB2312" w:eastAsia="仿宋_GB2312" w:cs="仿宋_GB2312"/>
          <w:b/>
          <w:kern w:val="0"/>
          <w:sz w:val="24"/>
          <w:u w:val="single"/>
        </w:rPr>
        <w:t>皖南医学院</w:t>
      </w:r>
    </w:p>
    <w:p>
      <w:pPr>
        <w:spacing w:line="500" w:lineRule="exact"/>
        <w:jc w:val="left"/>
        <w:textAlignment w:val="center"/>
        <w:rPr>
          <w:rFonts w:ascii="仿宋_GB2312" w:hAnsi="仿宋_GB2312" w:eastAsia="仿宋_GB2312" w:cs="仿宋_GB2312"/>
          <w:kern w:val="0"/>
          <w:sz w:val="24"/>
          <w:u w:val="single"/>
        </w:rPr>
      </w:pPr>
      <w:r>
        <w:rPr>
          <w:rFonts w:hint="eastAsia" w:ascii="仿宋_GB2312" w:hAnsi="仿宋_GB2312" w:eastAsia="仿宋_GB2312" w:cs="仿宋_GB2312"/>
          <w:b/>
          <w:kern w:val="0"/>
          <w:sz w:val="24"/>
        </w:rPr>
        <w:t>维保单位（乙方）：  XXX</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为贯彻“安全生产，预防为主”的方针，保障电梯安全运行，防止事故发生，依照《中华人民共和国合同法》、《中华人民共和国特种设备安全法》、《特种设备安全监察条例》、《电梯使用管理与维护保养规则》（TSG T5002-2017）等规定，遵循平等、自愿、公平和诚实信用的原则，经甲乙双方协商订立本合同。</w:t>
      </w:r>
    </w:p>
    <w:p>
      <w:pPr>
        <w:spacing w:line="500" w:lineRule="exact"/>
        <w:ind w:left="1" w:firstLine="479" w:firstLineChars="199"/>
        <w:textAlignment w:val="center"/>
        <w:rPr>
          <w:rFonts w:ascii="仿宋_GB2312" w:hAnsi="仿宋_GB2312" w:eastAsia="仿宋_GB2312" w:cs="仿宋_GB2312"/>
          <w:kern w:val="0"/>
          <w:sz w:val="24"/>
        </w:rPr>
      </w:pPr>
      <w:r>
        <w:rPr>
          <w:rFonts w:hint="eastAsia" w:ascii="仿宋_GB2312" w:hAnsi="仿宋_GB2312" w:eastAsia="仿宋_GB2312" w:cs="仿宋_GB2312"/>
          <w:b/>
          <w:kern w:val="0"/>
          <w:sz w:val="24"/>
        </w:rPr>
        <w:t xml:space="preserve">第一条  </w:t>
      </w:r>
      <w:r>
        <w:rPr>
          <w:rFonts w:hint="eastAsia" w:ascii="仿宋_GB2312" w:hAnsi="仿宋_GB2312" w:eastAsia="仿宋_GB2312" w:cs="仿宋_GB2312"/>
          <w:kern w:val="0"/>
          <w:sz w:val="24"/>
        </w:rPr>
        <w:t>乙方为本合同附件一《电梯保养时间和保养费明细表》中列明的电梯提供维保和紧急救援服务单位。保养项目应覆盖《电梯使用管理与维护保养规则》规定的半月、季度、半年、年度保养项目和电梯制造单位技术文件所要求的特殊保养项目，以及与电梯安全运行相关的其他项目。</w:t>
      </w:r>
    </w:p>
    <w:p>
      <w:pPr>
        <w:spacing w:line="500" w:lineRule="exact"/>
        <w:ind w:left="1" w:firstLine="479" w:firstLineChars="199"/>
        <w:textAlignment w:val="center"/>
        <w:rPr>
          <w:rFonts w:ascii="仿宋_GB2312" w:hAnsi="仿宋_GB2312" w:eastAsia="仿宋_GB2312" w:cs="仿宋_GB2312"/>
          <w:kern w:val="0"/>
          <w:sz w:val="24"/>
        </w:rPr>
      </w:pPr>
      <w:r>
        <w:rPr>
          <w:rFonts w:hint="eastAsia" w:ascii="仿宋_GB2312" w:hAnsi="仿宋_GB2312" w:eastAsia="仿宋_GB2312" w:cs="仿宋_GB2312"/>
          <w:b/>
          <w:kern w:val="0"/>
          <w:sz w:val="24"/>
        </w:rPr>
        <w:t xml:space="preserve">第二条  </w:t>
      </w:r>
      <w:r>
        <w:rPr>
          <w:rFonts w:hint="eastAsia" w:ascii="仿宋_GB2312" w:hAnsi="仿宋_GB2312" w:eastAsia="仿宋_GB2312" w:cs="仿宋_GB2312"/>
          <w:kern w:val="0"/>
          <w:sz w:val="24"/>
        </w:rPr>
        <w:t>乙方提供维保服务的方式：</w:t>
      </w:r>
    </w:p>
    <w:p>
      <w:pPr>
        <w:spacing w:line="500" w:lineRule="exact"/>
        <w:ind w:left="1" w:firstLine="537" w:firstLineChars="224"/>
        <w:textAlignment w:val="center"/>
        <w:rPr>
          <w:rFonts w:ascii="仿宋_GB2312" w:hAnsi="仿宋_GB2312" w:eastAsia="仿宋_GB2312" w:cs="仿宋_GB2312"/>
          <w:color w:val="339966"/>
          <w:kern w:val="0"/>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kern w:val="0"/>
          <w:sz w:val="24"/>
        </w:rPr>
        <w:t>√半包：1.提供维保所需工具和劳务，并免费提供单价在人民币</w:t>
      </w:r>
      <w:r>
        <w:rPr>
          <w:rFonts w:hint="eastAsia" w:ascii="仿宋_GB2312" w:hAnsi="仿宋_GB2312" w:eastAsia="仿宋_GB2312" w:cs="仿宋_GB2312"/>
          <w:kern w:val="0"/>
          <w:sz w:val="24"/>
          <w:u w:val="single"/>
        </w:rPr>
        <w:t>伍佰</w:t>
      </w:r>
      <w:r>
        <w:rPr>
          <w:rFonts w:hint="eastAsia" w:ascii="仿宋_GB2312" w:hAnsi="仿宋_GB2312" w:eastAsia="仿宋_GB2312" w:cs="仿宋_GB2312"/>
          <w:kern w:val="0"/>
          <w:sz w:val="24"/>
        </w:rPr>
        <w:t>元以下（含本数）电梯零部件</w:t>
      </w:r>
      <w:r>
        <w:rPr>
          <w:rFonts w:hint="eastAsia" w:ascii="仿宋_GB2312" w:hAnsi="仿宋_GB2312" w:eastAsia="仿宋_GB2312" w:cs="仿宋_GB2312"/>
          <w:color w:val="FF0000"/>
          <w:kern w:val="0"/>
          <w:sz w:val="24"/>
        </w:rPr>
        <w:t>及润滑油；2.伍佰元以上的配件按</w:t>
      </w:r>
      <w:r>
        <w:rPr>
          <w:rFonts w:hint="eastAsia" w:ascii="仿宋_GB2312" w:hAnsi="仿宋_GB2312" w:eastAsia="仿宋_GB2312" w:cs="仿宋_GB2312"/>
          <w:color w:val="FF0000"/>
          <w:kern w:val="0"/>
          <w:sz w:val="24"/>
          <w:lang w:eastAsia="zh-CN"/>
        </w:rPr>
        <w:t>附件价格清单</w:t>
      </w:r>
      <w:r>
        <w:rPr>
          <w:rFonts w:hint="eastAsia" w:ascii="仿宋_GB2312" w:hAnsi="仿宋_GB2312" w:eastAsia="仿宋_GB2312" w:cs="仿宋_GB2312"/>
          <w:color w:val="FF0000"/>
          <w:kern w:val="0"/>
          <w:sz w:val="24"/>
        </w:rPr>
        <w:t>（价</w:t>
      </w:r>
      <w:r>
        <w:rPr>
          <w:rFonts w:hint="eastAsia" w:ascii="仿宋_GB2312" w:hAnsi="仿宋_GB2312" w:eastAsia="仿宋_GB2312" w:cs="仿宋_GB2312"/>
          <w:color w:val="FF0000"/>
          <w:kern w:val="0"/>
          <w:sz w:val="24"/>
          <w:lang w:eastAsia="zh-CN"/>
        </w:rPr>
        <w:t>格</w:t>
      </w:r>
      <w:r>
        <w:rPr>
          <w:rFonts w:hint="eastAsia" w:ascii="仿宋_GB2312" w:hAnsi="仿宋_GB2312" w:eastAsia="仿宋_GB2312" w:cs="仿宋_GB2312"/>
          <w:color w:val="FF0000"/>
          <w:kern w:val="0"/>
          <w:sz w:val="24"/>
        </w:rPr>
        <w:t>单件见附件 ），</w:t>
      </w:r>
      <w:r>
        <w:rPr>
          <w:rFonts w:hint="eastAsia" w:ascii="仿宋_GB2312" w:hAnsi="仿宋_GB2312" w:eastAsia="仿宋_GB2312" w:cs="仿宋_GB2312"/>
          <w:sz w:val="24"/>
        </w:rPr>
        <w:t>对更换下来的配件应由甲方保管</w:t>
      </w:r>
      <w:r>
        <w:rPr>
          <w:rFonts w:hint="eastAsia" w:ascii="仿宋_GB2312" w:hAnsi="仿宋_GB2312" w:eastAsia="仿宋_GB2312" w:cs="仿宋_GB2312"/>
          <w:color w:val="FF0000"/>
          <w:kern w:val="0"/>
          <w:sz w:val="24"/>
        </w:rPr>
        <w:t>。3.对于未列入配件清单的配件需要更换，则费用双方协商。机械配件视情况协商确定。4.负责办理电梯年检，年检费用由甲方承担。</w:t>
      </w:r>
      <w:r>
        <w:rPr>
          <w:rFonts w:hint="eastAsia" w:ascii="仿宋_GB2312" w:hAnsi="仿宋_GB2312" w:eastAsia="仿宋_GB2312" w:cs="仿宋_GB2312"/>
          <w:color w:val="339966"/>
          <w:kern w:val="0"/>
          <w:sz w:val="24"/>
        </w:rPr>
        <w:t>5、负责电梯报检并且承担电梯检测费，因</w:t>
      </w:r>
      <w:r>
        <w:rPr>
          <w:rFonts w:hint="eastAsia" w:ascii="仿宋_GB2312" w:hAnsi="仿宋_GB2312" w:eastAsia="仿宋_GB2312" w:cs="仿宋_GB2312"/>
          <w:color w:val="339966"/>
          <w:kern w:val="0"/>
          <w:sz w:val="24"/>
          <w:lang w:eastAsia="zh-CN"/>
        </w:rPr>
        <w:t>甲方</w:t>
      </w:r>
      <w:r>
        <w:rPr>
          <w:rFonts w:hint="eastAsia" w:ascii="仿宋_GB2312" w:hAnsi="仿宋_GB2312" w:eastAsia="仿宋_GB2312" w:cs="仿宋_GB2312"/>
          <w:color w:val="339966"/>
          <w:kern w:val="0"/>
          <w:sz w:val="24"/>
        </w:rPr>
        <w:t>原因造成电梯需要二次复检，检测费由</w:t>
      </w:r>
      <w:r>
        <w:rPr>
          <w:rFonts w:hint="eastAsia" w:ascii="仿宋_GB2312" w:hAnsi="仿宋_GB2312" w:eastAsia="仿宋_GB2312" w:cs="仿宋_GB2312"/>
          <w:color w:val="339966"/>
          <w:kern w:val="0"/>
          <w:sz w:val="24"/>
          <w:lang w:eastAsia="zh-CN"/>
        </w:rPr>
        <w:t>甲方</w:t>
      </w:r>
      <w:r>
        <w:rPr>
          <w:rFonts w:hint="eastAsia" w:ascii="仿宋_GB2312" w:hAnsi="仿宋_GB2312" w:eastAsia="仿宋_GB2312" w:cs="仿宋_GB2312"/>
          <w:color w:val="339966"/>
          <w:kern w:val="0"/>
          <w:sz w:val="24"/>
        </w:rPr>
        <w:t>承担。</w:t>
      </w:r>
    </w:p>
    <w:p>
      <w:pPr>
        <w:spacing w:line="500" w:lineRule="exact"/>
        <w:ind w:left="1" w:firstLine="477" w:firstLineChars="199"/>
        <w:textAlignment w:val="center"/>
        <w:rPr>
          <w:rFonts w:ascii="仿宋_GB2312" w:hAnsi="仿宋_GB2312" w:eastAsia="仿宋_GB2312" w:cs="仿宋_GB2312"/>
          <w:kern w:val="0"/>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b/>
          <w:kern w:val="0"/>
          <w:sz w:val="24"/>
        </w:rPr>
        <w:t xml:space="preserve">第三条  </w:t>
      </w:r>
      <w:r>
        <w:rPr>
          <w:rFonts w:hint="eastAsia" w:ascii="仿宋_GB2312" w:hAnsi="仿宋_GB2312" w:eastAsia="仿宋_GB2312" w:cs="仿宋_GB2312"/>
          <w:kern w:val="0"/>
          <w:sz w:val="24"/>
        </w:rPr>
        <w:t>维保期限</w:t>
      </w:r>
    </w:p>
    <w:p>
      <w:pPr>
        <w:spacing w:line="500" w:lineRule="exact"/>
        <w:ind w:left="1" w:firstLine="477" w:firstLineChars="199"/>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本合同约定维保期限自</w:t>
      </w:r>
      <w:r>
        <w:rPr>
          <w:rFonts w:hint="eastAsia" w:ascii="仿宋_GB2312" w:hAnsi="仿宋_GB2312" w:eastAsia="仿宋_GB2312" w:cs="仿宋_GB2312"/>
          <w:kern w:val="0"/>
          <w:sz w:val="24"/>
          <w:u w:val="single"/>
        </w:rPr>
        <w:t>2021</w:t>
      </w:r>
      <w:r>
        <w:rPr>
          <w:rFonts w:hint="eastAsia" w:ascii="仿宋_GB2312" w:hAnsi="仿宋_GB2312" w:eastAsia="仿宋_GB2312" w:cs="仿宋_GB2312"/>
          <w:kern w:val="0"/>
          <w:sz w:val="24"/>
        </w:rPr>
        <w:t>年</w:t>
      </w:r>
      <w:r>
        <w:rPr>
          <w:rFonts w:hint="eastAsia" w:ascii="仿宋_GB2312" w:hAnsi="仿宋_GB2312" w:eastAsia="仿宋_GB2312" w:cs="仿宋_GB2312"/>
          <w:kern w:val="0"/>
          <w:sz w:val="24"/>
          <w:u w:val="single"/>
        </w:rPr>
        <w:t>11</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u w:val="single"/>
        </w:rPr>
        <w:t>1</w:t>
      </w:r>
      <w:r>
        <w:rPr>
          <w:rFonts w:hint="eastAsia" w:ascii="仿宋_GB2312" w:hAnsi="仿宋_GB2312" w:eastAsia="仿宋_GB2312" w:cs="仿宋_GB2312"/>
          <w:kern w:val="0"/>
          <w:sz w:val="24"/>
        </w:rPr>
        <w:t>日起至</w:t>
      </w:r>
      <w:r>
        <w:rPr>
          <w:rFonts w:hint="eastAsia" w:ascii="仿宋_GB2312" w:hAnsi="仿宋_GB2312" w:eastAsia="仿宋_GB2312" w:cs="仿宋_GB2312"/>
          <w:kern w:val="0"/>
          <w:sz w:val="24"/>
          <w:u w:val="single"/>
        </w:rPr>
        <w:t>2024</w:t>
      </w:r>
      <w:r>
        <w:rPr>
          <w:rFonts w:hint="eastAsia" w:ascii="仿宋_GB2312" w:hAnsi="仿宋_GB2312" w:eastAsia="仿宋_GB2312" w:cs="仿宋_GB2312"/>
          <w:kern w:val="0"/>
          <w:sz w:val="24"/>
        </w:rPr>
        <w:t>年</w:t>
      </w:r>
      <w:r>
        <w:rPr>
          <w:rFonts w:hint="eastAsia" w:ascii="仿宋_GB2312" w:hAnsi="仿宋_GB2312" w:eastAsia="仿宋_GB2312" w:cs="仿宋_GB2312"/>
          <w:kern w:val="0"/>
          <w:sz w:val="24"/>
          <w:u w:val="single"/>
        </w:rPr>
        <w:t>10</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u w:val="single"/>
        </w:rPr>
        <w:t>31</w:t>
      </w:r>
      <w:r>
        <w:rPr>
          <w:rFonts w:hint="eastAsia" w:ascii="仿宋_GB2312" w:hAnsi="仿宋_GB2312" w:eastAsia="仿宋_GB2312" w:cs="仿宋_GB2312"/>
          <w:kern w:val="0"/>
          <w:sz w:val="24"/>
        </w:rPr>
        <w:t xml:space="preserve">日止。 </w:t>
      </w:r>
    </w:p>
    <w:p>
      <w:pPr>
        <w:spacing w:line="500" w:lineRule="exact"/>
        <w:ind w:left="1" w:firstLine="479" w:firstLineChars="199"/>
        <w:textAlignment w:val="center"/>
        <w:rPr>
          <w:rFonts w:ascii="仿宋_GB2312" w:hAnsi="仿宋_GB2312" w:eastAsia="仿宋_GB2312" w:cs="仿宋_GB2312"/>
          <w:kern w:val="0"/>
          <w:sz w:val="24"/>
        </w:rPr>
      </w:pPr>
      <w:r>
        <w:rPr>
          <w:rFonts w:hint="eastAsia" w:ascii="仿宋_GB2312" w:hAnsi="仿宋_GB2312" w:eastAsia="仿宋_GB2312" w:cs="仿宋_GB2312"/>
          <w:b/>
          <w:kern w:val="0"/>
          <w:sz w:val="24"/>
        </w:rPr>
        <w:t>第四条</w:t>
      </w:r>
      <w:r>
        <w:rPr>
          <w:rFonts w:hint="eastAsia" w:ascii="仿宋_GB2312" w:hAnsi="仿宋_GB2312" w:eastAsia="仿宋_GB2312" w:cs="仿宋_GB2312"/>
          <w:kern w:val="0"/>
          <w:sz w:val="24"/>
        </w:rPr>
        <w:t xml:space="preserve">  维保费用</w:t>
      </w:r>
    </w:p>
    <w:p>
      <w:pPr>
        <w:spacing w:line="500" w:lineRule="exact"/>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共 28台电梯，合同期维保费： 总计人民币 XX万元/年，大写：</w:t>
      </w:r>
      <w:r>
        <w:rPr>
          <w:rFonts w:hint="eastAsia" w:ascii="仿宋_GB2312" w:hAnsi="仿宋_GB2312" w:eastAsia="仿宋_GB2312" w:cs="仿宋_GB2312"/>
          <w:kern w:val="0"/>
          <w:sz w:val="24"/>
          <w:u w:val="single"/>
        </w:rPr>
        <w:t xml:space="preserve">  XXX</w:t>
      </w:r>
    </w:p>
    <w:p>
      <w:pPr>
        <w:spacing w:line="500" w:lineRule="exact"/>
        <w:ind w:firstLine="482" w:firstLineChars="200"/>
        <w:textAlignment w:val="center"/>
        <w:rPr>
          <w:rFonts w:ascii="仿宋_GB2312" w:hAnsi="仿宋_GB2312" w:eastAsia="仿宋_GB2312" w:cs="仿宋_GB2312"/>
          <w:b/>
          <w:kern w:val="0"/>
          <w:sz w:val="24"/>
        </w:rPr>
      </w:pPr>
      <w:r>
        <w:rPr>
          <w:rFonts w:hint="eastAsia" w:ascii="仿宋_GB2312" w:hAnsi="仿宋_GB2312" w:eastAsia="仿宋_GB2312" w:cs="仿宋_GB2312"/>
          <w:b/>
          <w:kern w:val="0"/>
          <w:sz w:val="24"/>
        </w:rPr>
        <w:t>第五条 结算</w:t>
      </w:r>
    </w:p>
    <w:p>
      <w:pPr>
        <w:spacing w:line="500" w:lineRule="exact"/>
        <w:ind w:firstLine="600" w:firstLineChars="250"/>
        <w:jc w:val="left"/>
        <w:textAlignment w:val="center"/>
        <w:rPr>
          <w:rFonts w:ascii="仿宋_GB2312" w:hAnsi="仿宋_GB2312" w:eastAsia="仿宋_GB2312" w:cs="仿宋_GB2312"/>
          <w:kern w:val="0"/>
          <w:sz w:val="24"/>
          <w:u w:val="single"/>
        </w:rPr>
      </w:pPr>
      <w:r>
        <w:rPr>
          <w:rFonts w:hint="eastAsia" w:ascii="仿宋_GB2312" w:hAnsi="仿宋_GB2312" w:eastAsia="仿宋_GB2312" w:cs="仿宋_GB2312"/>
          <w:kern w:val="0"/>
          <w:sz w:val="24"/>
        </w:rPr>
        <w:t xml:space="preserve"> 具体支付时间和金额为：维保费一年一付，</w:t>
      </w:r>
      <w:r>
        <w:rPr>
          <w:rFonts w:hint="eastAsia" w:ascii="仿宋_GB2312" w:hAnsi="仿宋_GB2312" w:eastAsia="仿宋_GB2312" w:cs="仿宋_GB2312"/>
          <w:kern w:val="0"/>
          <w:sz w:val="24"/>
          <w:u w:val="single"/>
        </w:rPr>
        <w:t>合同执行完毕后，甲方收到乙方发票后15个工作日予以支付。</w:t>
      </w:r>
    </w:p>
    <w:p>
      <w:pPr>
        <w:spacing w:line="500" w:lineRule="exact"/>
        <w:ind w:firstLine="480" w:firstLineChars="200"/>
        <w:textAlignment w:val="center"/>
        <w:rPr>
          <w:rFonts w:ascii="仿宋_GB2312" w:hAnsi="仿宋_GB2312" w:eastAsia="仿宋_GB2312" w:cs="仿宋_GB2312"/>
          <w:b/>
          <w:kern w:val="0"/>
          <w:sz w:val="24"/>
          <w:u w:val="single"/>
        </w:rPr>
      </w:pPr>
      <w:r>
        <w:rPr>
          <w:rFonts w:hint="eastAsia" w:ascii="仿宋_GB2312" w:hAnsi="仿宋_GB2312" w:eastAsia="仿宋_GB2312" w:cs="仿宋_GB2312"/>
          <w:kern w:val="0"/>
          <w:sz w:val="24"/>
        </w:rPr>
        <w:t xml:space="preserve"> </w:t>
      </w:r>
      <w:r>
        <w:rPr>
          <w:rFonts w:hint="eastAsia" w:ascii="仿宋_GB2312" w:hAnsi="仿宋_GB2312" w:eastAsia="仿宋_GB2312" w:cs="仿宋_GB2312"/>
          <w:b/>
          <w:sz w:val="24"/>
        </w:rPr>
        <w:t>第</w:t>
      </w:r>
      <w:r>
        <w:rPr>
          <w:rFonts w:hint="eastAsia" w:ascii="仿宋_GB2312" w:hAnsi="仿宋_GB2312" w:eastAsia="仿宋_GB2312" w:cs="仿宋_GB2312"/>
          <w:b/>
          <w:kern w:val="0"/>
          <w:sz w:val="24"/>
        </w:rPr>
        <w:t>六</w:t>
      </w:r>
      <w:r>
        <w:rPr>
          <w:rFonts w:hint="eastAsia" w:ascii="仿宋_GB2312" w:hAnsi="仿宋_GB2312" w:eastAsia="仿宋_GB2312" w:cs="仿宋_GB2312"/>
          <w:b/>
          <w:sz w:val="24"/>
        </w:rPr>
        <w:t xml:space="preserve">条  </w:t>
      </w:r>
      <w:r>
        <w:rPr>
          <w:rFonts w:hint="eastAsia" w:ascii="仿宋_GB2312" w:hAnsi="仿宋_GB2312" w:eastAsia="仿宋_GB2312" w:cs="仿宋_GB2312"/>
          <w:sz w:val="24"/>
        </w:rPr>
        <w:t>甲方权利、义务</w:t>
      </w:r>
    </w:p>
    <w:p>
      <w:pPr>
        <w:spacing w:line="500" w:lineRule="exact"/>
        <w:ind w:firstLine="361" w:firstLineChars="150"/>
        <w:textAlignment w:val="center"/>
        <w:rPr>
          <w:rFonts w:ascii="仿宋_GB2312" w:hAnsi="仿宋_GB2312" w:eastAsia="仿宋_GB2312" w:cs="仿宋_GB2312"/>
          <w:b/>
          <w:sz w:val="24"/>
        </w:rPr>
      </w:pPr>
      <w:r>
        <w:rPr>
          <w:rFonts w:hint="eastAsia" w:ascii="仿宋_GB2312" w:hAnsi="仿宋_GB2312" w:eastAsia="仿宋_GB2312" w:cs="仿宋_GB2312"/>
          <w:b/>
          <w:sz w:val="24"/>
        </w:rPr>
        <w:t>（一）权利</w:t>
      </w:r>
    </w:p>
    <w:p>
      <w:pPr>
        <w:spacing w:line="500" w:lineRule="exact"/>
        <w:ind w:firstLine="360" w:firstLineChars="150"/>
        <w:textAlignment w:val="center"/>
        <w:rPr>
          <w:rFonts w:ascii="仿宋_GB2312" w:hAnsi="仿宋_GB2312" w:eastAsia="仿宋_GB2312" w:cs="仿宋_GB2312"/>
          <w:sz w:val="24"/>
        </w:rPr>
      </w:pPr>
      <w:r>
        <w:rPr>
          <w:rFonts w:hint="eastAsia" w:ascii="仿宋_GB2312" w:hAnsi="仿宋_GB2312" w:eastAsia="仿宋_GB2312" w:cs="仿宋_GB2312"/>
          <w:sz w:val="24"/>
        </w:rPr>
        <w:t>1、有权监督检查乙方依照合同约定实施维保计划的情况，监督经乙方维保后的</w:t>
      </w:r>
      <w:r>
        <w:rPr>
          <w:rFonts w:hint="eastAsia" w:ascii="仿宋_GB2312" w:hAnsi="仿宋_GB2312" w:eastAsia="仿宋_GB2312" w:cs="仿宋_GB2312"/>
          <w:kern w:val="0"/>
          <w:sz w:val="24"/>
        </w:rPr>
        <w:t>电梯是否符合法律法规、安全技术规范、强制性标准和电梯制造单位的技术要求，监督电梯安全性能是否良好。</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2、有权检查受乙方委派为本单位电梯提供维保服务人员的持证上岗情况，有权拒绝无证人员开展维保活动。有权要求乙方人员服从本单位现场安全管理，对不服从现场安全管理的乙方人员，有权要求乙方更换人员。</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3、除国家规定的法定监督检验与定期检验外，有权委托特种设备检验机构或第三方中介机构对乙方按照合同约定实施维保工作的情况进行评定。</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（二）义务</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1、建立电梯安全运行的相关管理机构、制度，确保制度、人员、资金落实到位。</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2、按照合同约定按期支付维保和零部件款。</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r>
        <w:rPr>
          <w:rFonts w:hint="eastAsia" w:ascii="仿宋_GB2312" w:hAnsi="仿宋_GB2312" w:eastAsia="仿宋_GB2312" w:cs="仿宋_GB2312"/>
          <w:sz w:val="24"/>
        </w:rPr>
        <w:t>配备持有电梯安全管理员资格证件的人员</w:t>
      </w:r>
      <w:r>
        <w:rPr>
          <w:rFonts w:hint="eastAsia" w:ascii="仿宋_GB2312" w:hAnsi="仿宋_GB2312" w:eastAsia="仿宋_GB2312" w:cs="仿宋_GB2312"/>
          <w:kern w:val="0"/>
          <w:sz w:val="24"/>
        </w:rPr>
        <w:t>负责电梯的日常安全管理工作，并在更换电梯管理人员时及时通知乙方。督促</w:t>
      </w:r>
      <w:r>
        <w:rPr>
          <w:rFonts w:hint="eastAsia" w:ascii="仿宋_GB2312" w:hAnsi="仿宋_GB2312" w:eastAsia="仿宋_GB2312" w:cs="仿宋_GB2312"/>
          <w:sz w:val="24"/>
        </w:rPr>
        <w:t>电梯安全管理人员</w:t>
      </w:r>
      <w:r>
        <w:rPr>
          <w:rFonts w:hint="eastAsia" w:ascii="仿宋_GB2312" w:hAnsi="仿宋_GB2312" w:eastAsia="仿宋_GB2312" w:cs="仿宋_GB2312"/>
          <w:kern w:val="0"/>
          <w:sz w:val="24"/>
        </w:rPr>
        <w:t>按照电梯使用检查表完成电梯的日常检查工作和每月检查工作，并严格按照电梯钥匙使用管理有关要求对电梯钥匙进行管理，实行钥匙领用登记，不将电梯钥匙交给非持证人员使用。</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4、督促</w:t>
      </w:r>
      <w:r>
        <w:rPr>
          <w:rFonts w:hint="eastAsia" w:ascii="仿宋_GB2312" w:hAnsi="仿宋_GB2312" w:eastAsia="仿宋_GB2312" w:cs="仿宋_GB2312"/>
          <w:sz w:val="24"/>
        </w:rPr>
        <w:t>电梯安全管理人员</w:t>
      </w:r>
      <w:r>
        <w:rPr>
          <w:rFonts w:hint="eastAsia" w:ascii="仿宋_GB2312" w:hAnsi="仿宋_GB2312" w:eastAsia="仿宋_GB2312" w:cs="仿宋_GB2312"/>
          <w:kern w:val="0"/>
          <w:sz w:val="24"/>
        </w:rPr>
        <w:t>现场监督检查乙方的电梯保养工作过程和结果、对乙方的维保记录、修理记录签字确认，</w:t>
      </w:r>
      <w:r>
        <w:rPr>
          <w:rFonts w:hint="eastAsia" w:ascii="仿宋_GB2312" w:hAnsi="仿宋_GB2312" w:eastAsia="仿宋_GB2312" w:cs="仿宋_GB2312"/>
          <w:sz w:val="24"/>
        </w:rPr>
        <w:t>签收乙方提交的与电梯维保工作有关的文件。</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5、</w:t>
      </w:r>
      <w:r>
        <w:rPr>
          <w:rFonts w:hint="eastAsia" w:ascii="仿宋_GB2312" w:hAnsi="仿宋_GB2312" w:eastAsia="仿宋_GB2312" w:cs="仿宋_GB2312"/>
          <w:kern w:val="0"/>
          <w:sz w:val="24"/>
        </w:rPr>
        <w:t>电梯发生故障或异常情况时应当立即停止使用，并做好相关安全防护措施。在电梯的日常使用时间内，确保值班人员可靠接收求救电话、警铃装置发出的求救信号，及时通知乙方抢修，并详细记录相关工作的具体时间。</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w:t>
      </w:r>
      <w:r>
        <w:rPr>
          <w:rFonts w:hint="eastAsia" w:ascii="仿宋_GB2312" w:hAnsi="仿宋_GB2312" w:eastAsia="仿宋_GB2312" w:cs="仿宋_GB2312"/>
          <w:sz w:val="24"/>
        </w:rPr>
        <w:t>制订有关电梯的应急救援预案（如：电梯困人、消防、电梯水浸、自动扶梯人身伤害等）。每年至少一次定期开展应急救援演练，确保应急系统运行有效。</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7、保证电梯供电、消防、防雷、通风等系统安全可靠，满足国家标准规定。</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8、为乙方提供维保所需的工作环境。保证机房、井道、底坑无漏水、渗水现象。通往机房、底坑、滑轮间、井道安全门的通道畅通、照明充分；确保作业环境中应由甲方提供的安全防护措施到位，避免无关人员进入。</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9</w:t>
      </w:r>
      <w:r>
        <w:rPr>
          <w:rFonts w:hint="eastAsia" w:ascii="仿宋_GB2312" w:hAnsi="仿宋_GB2312" w:eastAsia="仿宋_GB2312" w:cs="仿宋_GB2312"/>
          <w:sz w:val="24"/>
        </w:rPr>
        <w:t>、采取有效措施监控电梯使用情况，积极主动开展文明乘梯宣传活动，及时制止乘客不文明乘梯行为或恶意破坏电梯的行为。</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sz w:val="24"/>
        </w:rPr>
        <w:t>10、未经</w:t>
      </w:r>
      <w:r>
        <w:rPr>
          <w:rFonts w:hint="eastAsia" w:ascii="仿宋_GB2312" w:hAnsi="仿宋_GB2312" w:eastAsia="仿宋_GB2312" w:cs="仿宋_GB2312"/>
          <w:kern w:val="0"/>
          <w:sz w:val="24"/>
        </w:rPr>
        <w:t>乙方书面许可不得允许非乙方人员从事与电梯维保有关的工作。</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sz w:val="24"/>
        </w:rPr>
        <w:t>11、应认真审核乙方</w:t>
      </w:r>
      <w:r>
        <w:rPr>
          <w:rFonts w:hint="eastAsia" w:ascii="仿宋_GB2312" w:hAnsi="仿宋_GB2312" w:eastAsia="仿宋_GB2312" w:cs="仿宋_GB2312"/>
          <w:kern w:val="0"/>
          <w:sz w:val="24"/>
        </w:rPr>
        <w:t>书面提出的更换电梯零部件要求，并在乙方书面要求的期限内书面予以答复。</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12、在电梯使用标志所标注的下次检验日期届满前１个月，向特种设备检验机构提出定期检验申请。</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13、电梯因不可抗拒因素（如战争、火灾、水浸、风暴和地震等）所造成设备损坏、丢失的，自行承担全部责任。</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 xml:space="preserve">第七条  </w:t>
      </w:r>
      <w:r>
        <w:rPr>
          <w:rFonts w:hint="eastAsia" w:ascii="仿宋_GB2312" w:hAnsi="仿宋_GB2312" w:eastAsia="仿宋_GB2312" w:cs="仿宋_GB2312"/>
          <w:sz w:val="24"/>
        </w:rPr>
        <w:t>乙方权利、义务</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kern w:val="0"/>
          <w:sz w:val="24"/>
        </w:rPr>
        <w:t>（一）</w:t>
      </w:r>
      <w:r>
        <w:rPr>
          <w:rFonts w:hint="eastAsia" w:ascii="仿宋_GB2312" w:hAnsi="仿宋_GB2312" w:eastAsia="仿宋_GB2312" w:cs="仿宋_GB2312"/>
          <w:b/>
          <w:sz w:val="24"/>
        </w:rPr>
        <w:t>权利</w:t>
      </w:r>
    </w:p>
    <w:p>
      <w:pPr>
        <w:spacing w:line="500" w:lineRule="exact"/>
        <w:textAlignment w:val="center"/>
        <w:rPr>
          <w:rFonts w:ascii="仿宋_GB2312" w:hAnsi="仿宋_GB2312" w:eastAsia="仿宋_GB2312" w:cs="仿宋_GB2312"/>
          <w:sz w:val="24"/>
        </w:rPr>
      </w:pPr>
      <w:r>
        <w:rPr>
          <w:rFonts w:hint="eastAsia" w:ascii="仿宋_GB2312" w:hAnsi="仿宋_GB2312" w:eastAsia="仿宋_GB2312" w:cs="仿宋_GB2312"/>
          <w:sz w:val="24"/>
        </w:rPr>
        <w:t xml:space="preserve">     1、有权要求甲方提供维保所需的工作环境，查询电梯相关资料。</w:t>
      </w:r>
    </w:p>
    <w:p>
      <w:pPr>
        <w:spacing w:line="500" w:lineRule="exact"/>
        <w:ind w:left="840" w:hanging="840" w:hangingChars="350"/>
        <w:textAlignment w:val="center"/>
        <w:rPr>
          <w:rFonts w:ascii="仿宋_GB2312" w:hAnsi="仿宋_GB2312" w:eastAsia="仿宋_GB2312" w:cs="仿宋_GB2312"/>
          <w:sz w:val="24"/>
        </w:rPr>
      </w:pPr>
      <w:r>
        <w:rPr>
          <w:rFonts w:hint="eastAsia" w:ascii="仿宋_GB2312" w:hAnsi="仿宋_GB2312" w:eastAsia="仿宋_GB2312" w:cs="仿宋_GB2312"/>
          <w:sz w:val="24"/>
        </w:rPr>
        <w:t xml:space="preserve">     2、当电梯存在事故隐患时，乙方有权采取停梯措施及阻止冒险作业的权利。</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 xml:space="preserve"> 3、有权拒绝甲方提出的影响电梯安全运行的要求。</w:t>
      </w:r>
    </w:p>
    <w:p>
      <w:pPr>
        <w:spacing w:line="500" w:lineRule="exact"/>
        <w:ind w:left="999" w:leftChars="228" w:hanging="361" w:hangingChars="150"/>
        <w:textAlignment w:val="center"/>
        <w:rPr>
          <w:rFonts w:ascii="仿宋_GB2312" w:hAnsi="仿宋_GB2312" w:eastAsia="仿宋_GB2312" w:cs="仿宋_GB2312"/>
          <w:b/>
          <w:sz w:val="24"/>
        </w:rPr>
      </w:pPr>
      <w:r>
        <w:rPr>
          <w:rFonts w:hint="eastAsia" w:ascii="仿宋_GB2312" w:hAnsi="仿宋_GB2312" w:eastAsia="仿宋_GB2312" w:cs="仿宋_GB2312"/>
          <w:b/>
          <w:sz w:val="24"/>
        </w:rPr>
        <w:t>（二）义务</w:t>
      </w:r>
    </w:p>
    <w:p>
      <w:pPr>
        <w:spacing w:line="500" w:lineRule="exact"/>
        <w:ind w:firstLine="540" w:firstLineChars="225"/>
        <w:textAlignment w:val="center"/>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kern w:val="0"/>
          <w:sz w:val="24"/>
        </w:rPr>
        <w:t>乙方实施维保后的电梯应符合安全技术规范、强制性标准和电梯制造单位的技术要求。</w:t>
      </w:r>
    </w:p>
    <w:p>
      <w:pPr>
        <w:spacing w:line="500" w:lineRule="exact"/>
        <w:ind w:firstLine="570"/>
        <w:textAlignment w:val="center"/>
        <w:rPr>
          <w:rFonts w:ascii="仿宋_GB2312" w:hAnsi="仿宋_GB2312" w:eastAsia="仿宋_GB2312" w:cs="仿宋_GB2312"/>
          <w:color w:val="FF0000"/>
          <w:kern w:val="0"/>
          <w:sz w:val="24"/>
        </w:rPr>
      </w:pPr>
      <w:r>
        <w:rPr>
          <w:rFonts w:hint="eastAsia" w:ascii="仿宋_GB2312" w:hAnsi="仿宋_GB2312" w:eastAsia="仿宋_GB2312" w:cs="仿宋_GB2312"/>
          <w:kern w:val="0"/>
          <w:sz w:val="24"/>
        </w:rPr>
        <w:t>2、乙方提供24小时的紧急救援服务，</w:t>
      </w:r>
      <w:r>
        <w:rPr>
          <w:rFonts w:hint="eastAsia" w:ascii="仿宋_GB2312" w:hAnsi="仿宋_GB2312" w:eastAsia="仿宋_GB2312" w:cs="仿宋_GB2312"/>
          <w:sz w:val="24"/>
        </w:rPr>
        <w:t>乙方维保负责人:</w:t>
      </w:r>
      <w:r>
        <w:rPr>
          <w:rFonts w:hint="eastAsia" w:ascii="仿宋_GB2312" w:hAnsi="仿宋_GB2312" w:eastAsia="仿宋_GB2312" w:cs="仿宋_GB2312"/>
          <w:sz w:val="24"/>
          <w:u w:val="single"/>
        </w:rPr>
        <w:t xml:space="preserve"> XXX</w:t>
      </w:r>
      <w:r>
        <w:rPr>
          <w:rFonts w:hint="eastAsia" w:ascii="仿宋_GB2312" w:hAnsi="仿宋_GB2312" w:eastAsia="仿宋_GB2312" w:cs="仿宋_GB2312"/>
          <w:sz w:val="24"/>
        </w:rPr>
        <w:t>。联系电话:</w:t>
      </w:r>
      <w:r>
        <w:rPr>
          <w:rFonts w:hint="eastAsia" w:ascii="仿宋_GB2312" w:hAnsi="仿宋_GB2312" w:eastAsia="仿宋_GB2312" w:cs="仿宋_GB2312"/>
          <w:sz w:val="24"/>
          <w:u w:val="single"/>
        </w:rPr>
        <w:t xml:space="preserve"> XXX</w:t>
      </w:r>
      <w:r>
        <w:rPr>
          <w:rFonts w:hint="eastAsia" w:ascii="仿宋_GB2312" w:hAnsi="仿宋_GB2312" w:eastAsia="仿宋_GB2312" w:cs="仿宋_GB2312"/>
          <w:sz w:val="24"/>
        </w:rPr>
        <w:t>。 24</w:t>
      </w:r>
      <w:r>
        <w:rPr>
          <w:rFonts w:hint="eastAsia" w:ascii="仿宋_GB2312" w:hAnsi="仿宋_GB2312" w:eastAsia="仿宋_GB2312" w:cs="仿宋_GB2312"/>
          <w:kern w:val="0"/>
          <w:sz w:val="24"/>
        </w:rPr>
        <w:t>小时紧急救援服务热线电话 XXX 。当电梯发生困人故障，正常8小时工作时间，</w:t>
      </w:r>
      <w:r>
        <w:rPr>
          <w:rFonts w:hint="eastAsia" w:ascii="仿宋_GB2312" w:hAnsi="仿宋_GB2312" w:eastAsia="仿宋_GB2312" w:cs="仿宋_GB2312"/>
          <w:sz w:val="24"/>
        </w:rPr>
        <w:t xml:space="preserve"> 在工作日8小时以内，在接到故障或事故报警后20分钟内到达现场，并能提供正常连续的服务直至故障或事故排除。对电梯困人事故要求在20分钟内到达现场把乘客从轿厢中救出、对非电子版原因的常见故障要求在60分钟内排除，对电子版原因的故障应在普遍认可的合理时间内解决。在工作日8小时以外以及寒暑假、双休日，在接到故障或事故报警后40分钟内到达现场，并能提供正常连续的服务直至故障或事故排除。对电梯困人事故要求在30分钟内到达现场把乘客从轿厢中救出、对非电子版原因的常见故障要求在120分钟内排除，对电子版原因的故障应在普遍认可的合理时间内解决。</w:t>
      </w:r>
      <w:r>
        <w:rPr>
          <w:rFonts w:hint="eastAsia" w:ascii="仿宋_GB2312" w:hAnsi="仿宋_GB2312" w:eastAsia="仿宋_GB2312" w:cs="仿宋_GB2312"/>
          <w:kern w:val="0"/>
          <w:sz w:val="24"/>
        </w:rPr>
        <w:t xml:space="preserve"> </w:t>
      </w:r>
    </w:p>
    <w:p>
      <w:pPr>
        <w:spacing w:line="500" w:lineRule="exact"/>
        <w:ind w:left="1"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r>
        <w:rPr>
          <w:rFonts w:hint="eastAsia" w:ascii="仿宋_GB2312" w:hAnsi="仿宋_GB2312" w:eastAsia="仿宋_GB2312" w:cs="仿宋_GB2312"/>
          <w:sz w:val="24"/>
        </w:rPr>
        <w:t>根据电梯的使用情况和设备状况，经双方协商确认后，提供全年保养计划和各项定期保养计划的具体实施时间表。每台每次保养时间不得少于合同约定的相应最少保养时间。如需调整原保养计划，应提前</w:t>
      </w:r>
      <w:r>
        <w:rPr>
          <w:rFonts w:hint="eastAsia" w:ascii="仿宋_GB2312" w:hAnsi="仿宋_GB2312" w:eastAsia="仿宋_GB2312" w:cs="仿宋_GB2312"/>
          <w:sz w:val="24"/>
          <w:u w:val="single"/>
        </w:rPr>
        <w:t xml:space="preserve">  / </w:t>
      </w:r>
      <w:r>
        <w:rPr>
          <w:rFonts w:hint="eastAsia" w:ascii="仿宋_GB2312" w:hAnsi="仿宋_GB2312" w:eastAsia="仿宋_GB2312" w:cs="仿宋_GB2312"/>
          <w:sz w:val="24"/>
        </w:rPr>
        <w:t xml:space="preserve">日通知甲方并经甲方同意后方可调整，但应保证保养时间间隔不得超过15日； </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4、</w:t>
      </w:r>
      <w:r>
        <w:rPr>
          <w:rFonts w:hint="eastAsia" w:ascii="仿宋_GB2312" w:hAnsi="仿宋_GB2312" w:eastAsia="仿宋_GB2312" w:cs="仿宋_GB2312"/>
          <w:kern w:val="0"/>
          <w:sz w:val="24"/>
        </w:rPr>
        <w:t>现场作业人员应当取得相应的《特种设备作业人员证》。</w:t>
      </w:r>
      <w:r>
        <w:rPr>
          <w:rFonts w:hint="eastAsia" w:ascii="仿宋_GB2312" w:hAnsi="仿宋_GB2312" w:eastAsia="仿宋_GB2312" w:cs="仿宋_GB2312"/>
          <w:sz w:val="24"/>
        </w:rPr>
        <w:t>为有效实施保养计划，乙方应安排熟悉所维保电梯原理、结构、性能、安全要求的特种设备作业人员负责维保工作，并督促其严格按照产品工艺要求、安全及技术规范进行维保。</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sz w:val="24"/>
        </w:rPr>
        <w:t>5、</w:t>
      </w:r>
      <w:r>
        <w:rPr>
          <w:rFonts w:hint="eastAsia" w:ascii="仿宋_GB2312" w:hAnsi="仿宋_GB2312" w:eastAsia="仿宋_GB2312" w:cs="仿宋_GB2312"/>
          <w:kern w:val="0"/>
          <w:sz w:val="24"/>
        </w:rPr>
        <w:t>作业过程中应服从甲方现场安全管理，落实现场安全防护措施，保证作业安全。需要安全监护作业的内容应书面告知甲方，作业时，作业人员不得少于二人。</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6、现场需采取停梯措施时，应立即通知甲方并及时组织抢修。</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w:t>
      </w:r>
      <w:r>
        <w:rPr>
          <w:rFonts w:hint="eastAsia" w:ascii="仿宋_GB2312" w:hAnsi="仿宋_GB2312" w:eastAsia="仿宋_GB2312" w:cs="仿宋_GB2312"/>
          <w:sz w:val="24"/>
        </w:rPr>
        <w:t>根据甲方的故障统计记录，乙方应至少每季度一次提出故障分析报告。报告中应包含电梯故障的统计分析、整改措施和预防措施，以及有关电梯使用管理的合理化建议。</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8、协助甲方建立健全安全管理制度、安全技术档案、应急救援预案，配合甲方开展应急救援演练。</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9、不得以任何形式将维保工作非法分包、转包。</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 xml:space="preserve">第八条  </w:t>
      </w:r>
      <w:r>
        <w:rPr>
          <w:rFonts w:hint="eastAsia" w:ascii="仿宋_GB2312" w:hAnsi="仿宋_GB2312" w:eastAsia="仿宋_GB2312" w:cs="仿宋_GB2312"/>
          <w:sz w:val="24"/>
        </w:rPr>
        <w:t>其他约定</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1、乙方已于</w:t>
      </w:r>
      <w:r>
        <w:rPr>
          <w:rFonts w:hint="eastAsia" w:ascii="仿宋_GB2312" w:hAnsi="仿宋_GB2312" w:eastAsia="仿宋_GB2312" w:cs="仿宋_GB2312"/>
          <w:kern w:val="0"/>
          <w:sz w:val="24"/>
          <w:u w:val="single"/>
        </w:rPr>
        <w:t xml:space="preserve"> / </w:t>
      </w:r>
      <w:r>
        <w:rPr>
          <w:rFonts w:hint="eastAsia" w:ascii="仿宋_GB2312" w:hAnsi="仿宋_GB2312" w:eastAsia="仿宋_GB2312" w:cs="仿宋_GB2312"/>
          <w:kern w:val="0"/>
          <w:sz w:val="24"/>
        </w:rPr>
        <w:t>年</w:t>
      </w:r>
      <w:r>
        <w:rPr>
          <w:rFonts w:hint="eastAsia" w:ascii="仿宋_GB2312" w:hAnsi="仿宋_GB2312" w:eastAsia="仿宋_GB2312" w:cs="仿宋_GB2312"/>
          <w:kern w:val="0"/>
          <w:sz w:val="24"/>
          <w:u w:val="single"/>
        </w:rPr>
        <w:t xml:space="preserve"> / </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u w:val="single"/>
        </w:rPr>
        <w:t xml:space="preserve"> / </w:t>
      </w:r>
      <w:r>
        <w:rPr>
          <w:rFonts w:hint="eastAsia" w:ascii="仿宋_GB2312" w:hAnsi="仿宋_GB2312" w:eastAsia="仿宋_GB2312" w:cs="仿宋_GB2312"/>
          <w:kern w:val="0"/>
          <w:sz w:val="24"/>
        </w:rPr>
        <w:t>日对本合同约定的电梯进行了详细的检查，检查结果已经甲方签字确认，并作为电梯现状记录由甲、乙双方保存。</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r>
        <w:rPr>
          <w:rFonts w:hint="eastAsia" w:ascii="仿宋_GB2312" w:hAnsi="仿宋_GB2312" w:eastAsia="仿宋_GB2312" w:cs="仿宋_GB2312"/>
          <w:sz w:val="24"/>
        </w:rPr>
        <w:t>甲方要求乙方提供本合同约定内容以外服务的，如强化保养、增加保养频次、安全保障需求、</w:t>
      </w:r>
      <w:r>
        <w:rPr>
          <w:rFonts w:hint="eastAsia" w:ascii="仿宋_GB2312" w:hAnsi="仿宋_GB2312" w:eastAsia="仿宋_GB2312" w:cs="仿宋_GB2312"/>
          <w:kern w:val="0"/>
          <w:sz w:val="24"/>
        </w:rPr>
        <w:t>驻场作业服务、</w:t>
      </w:r>
      <w:r>
        <w:rPr>
          <w:rFonts w:hint="eastAsia" w:ascii="仿宋_GB2312" w:hAnsi="仿宋_GB2312" w:eastAsia="仿宋_GB2312" w:cs="仿宋_GB2312"/>
          <w:sz w:val="24"/>
        </w:rPr>
        <w:t>增加检测内容和频次</w:t>
      </w:r>
      <w:r>
        <w:rPr>
          <w:rFonts w:hint="eastAsia" w:ascii="仿宋_GB2312" w:hAnsi="仿宋_GB2312" w:eastAsia="仿宋_GB2312" w:cs="仿宋_GB2312"/>
          <w:kern w:val="0"/>
          <w:sz w:val="24"/>
        </w:rPr>
        <w:t>等，</w:t>
      </w:r>
      <w:r>
        <w:rPr>
          <w:rFonts w:hint="eastAsia" w:ascii="仿宋_GB2312" w:hAnsi="仿宋_GB2312" w:eastAsia="仿宋_GB2312" w:cs="仿宋_GB2312"/>
          <w:sz w:val="24"/>
        </w:rPr>
        <w:t>双方均应以书面形式另行约定。</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r>
        <w:rPr>
          <w:rFonts w:hint="eastAsia" w:ascii="仿宋_GB2312" w:hAnsi="仿宋_GB2312" w:eastAsia="仿宋_GB2312" w:cs="仿宋_GB2312"/>
          <w:sz w:val="24"/>
        </w:rPr>
        <w:t>维保记录是记载电梯运行、维护、保养的依据。每台电梯均应当建立独立的</w:t>
      </w:r>
      <w:r>
        <w:rPr>
          <w:rFonts w:hint="eastAsia" w:ascii="仿宋_GB2312" w:hAnsi="仿宋_GB2312" w:eastAsia="仿宋_GB2312" w:cs="仿宋_GB2312"/>
          <w:kern w:val="0"/>
          <w:sz w:val="24"/>
        </w:rPr>
        <w:t>维保记录。维保记录应当一式两份，甲乙双方各保存一份，保存时间为4 年。维修与抢修记录均应当长期保存。</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4、根据电梯的现状，甲乙双方约定非使用原因导致的电梯困人故障次数每月每台电梯不超过</w:t>
      </w:r>
      <w:r>
        <w:rPr>
          <w:rFonts w:hint="eastAsia" w:ascii="仿宋_GB2312" w:hAnsi="仿宋_GB2312" w:eastAsia="仿宋_GB2312" w:cs="仿宋_GB2312"/>
          <w:kern w:val="0"/>
          <w:sz w:val="24"/>
          <w:u w:val="single"/>
        </w:rPr>
        <w:t xml:space="preserve">  /  </w:t>
      </w:r>
      <w:r>
        <w:rPr>
          <w:rFonts w:hint="eastAsia" w:ascii="仿宋_GB2312" w:hAnsi="仿宋_GB2312" w:eastAsia="仿宋_GB2312" w:cs="仿宋_GB2312"/>
          <w:kern w:val="0"/>
          <w:sz w:val="24"/>
        </w:rPr>
        <w:t>次。</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 xml:space="preserve">第九条  </w:t>
      </w:r>
      <w:r>
        <w:rPr>
          <w:rFonts w:hint="eastAsia" w:ascii="仿宋_GB2312" w:hAnsi="仿宋_GB2312" w:eastAsia="仿宋_GB2312" w:cs="仿宋_GB2312"/>
          <w:sz w:val="24"/>
        </w:rPr>
        <w:t>违约责任</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1、一方当事人未按约定履行义务给对方造成直接损失的，应当承担相应责任。</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2、一方当事人无法继续履行合同，应当及时通知对方，并承担因合同解除而给对方造成的直接经济损失。</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3、甲方无正当理由未按照约定期限支付费用的，经双方确认为无正当理由每延误一日应当向乙方支付延误部分费用</w:t>
      </w:r>
      <w:r>
        <w:rPr>
          <w:rFonts w:hint="eastAsia" w:ascii="仿宋_GB2312" w:hAnsi="仿宋_GB2312" w:eastAsia="仿宋_GB2312" w:cs="仿宋_GB2312"/>
          <w:sz w:val="24"/>
          <w:u w:val="single"/>
        </w:rPr>
        <w:t xml:space="preserve">  /  </w:t>
      </w:r>
      <w:r>
        <w:rPr>
          <w:rFonts w:hint="eastAsia" w:ascii="仿宋_GB2312" w:hAnsi="仿宋_GB2312" w:eastAsia="仿宋_GB2312" w:cs="仿宋_GB2312"/>
          <w:sz w:val="24"/>
        </w:rPr>
        <w:t>的违约金。超过双方约定期限</w:t>
      </w:r>
      <w:r>
        <w:rPr>
          <w:rFonts w:hint="eastAsia" w:ascii="仿宋_GB2312" w:hAnsi="仿宋_GB2312" w:eastAsia="仿宋_GB2312" w:cs="仿宋_GB2312"/>
          <w:sz w:val="24"/>
          <w:u w:val="single"/>
        </w:rPr>
        <w:t xml:space="preserve"> 180  </w:t>
      </w:r>
      <w:r>
        <w:rPr>
          <w:rFonts w:hint="eastAsia" w:ascii="仿宋_GB2312" w:hAnsi="仿宋_GB2312" w:eastAsia="仿宋_GB2312" w:cs="仿宋_GB2312"/>
          <w:sz w:val="24"/>
        </w:rPr>
        <w:t>日时，本合同自动终止，赔偿事项依照合同法规定执行。</w:t>
      </w:r>
    </w:p>
    <w:p>
      <w:pPr>
        <w:spacing w:line="500" w:lineRule="exact"/>
        <w:ind w:right="45" w:rightChars="16" w:firstLine="480" w:firstLineChars="200"/>
        <w:jc w:val="left"/>
        <w:textAlignment w:val="center"/>
        <w:rPr>
          <w:rFonts w:ascii="仿宋_GB2312" w:hAnsi="仿宋_GB2312" w:eastAsia="仿宋_GB2312" w:cs="仿宋_GB2312"/>
          <w:sz w:val="24"/>
        </w:rPr>
      </w:pPr>
      <w:r>
        <w:rPr>
          <w:rFonts w:hint="eastAsia" w:ascii="仿宋_GB2312" w:hAnsi="仿宋_GB2312" w:eastAsia="仿宋_GB2312" w:cs="仿宋_GB2312"/>
          <w:sz w:val="24"/>
        </w:rPr>
        <w:t>4、甲方违反约定</w:t>
      </w:r>
      <w:r>
        <w:rPr>
          <w:rFonts w:hint="eastAsia" w:ascii="仿宋_GB2312" w:hAnsi="仿宋_GB2312" w:eastAsia="仿宋_GB2312" w:cs="仿宋_GB2312"/>
          <w:kern w:val="0"/>
          <w:sz w:val="24"/>
        </w:rPr>
        <w:t>允许非乙方人员从事电梯维保工作的，应当按照</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sz w:val="24"/>
          <w:u w:val="single"/>
        </w:rPr>
        <w:t xml:space="preserve">     /        </w:t>
      </w:r>
      <w:r>
        <w:rPr>
          <w:rFonts w:hint="eastAsia" w:ascii="仿宋_GB2312" w:hAnsi="仿宋_GB2312" w:eastAsia="仿宋_GB2312" w:cs="仿宋_GB2312"/>
          <w:sz w:val="24"/>
        </w:rPr>
        <w:t>标准支付违约金。</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5、除维保工作不到位外，因电梯使用管理原因导致人身伤亡或设备损坏、零部件丢失的，由</w:t>
      </w:r>
      <w:r>
        <w:rPr>
          <w:rFonts w:hint="eastAsia" w:ascii="仿宋_GB2312" w:hAnsi="仿宋_GB2312" w:eastAsia="仿宋_GB2312" w:cs="仿宋_GB2312"/>
          <w:sz w:val="24"/>
          <w:lang w:eastAsia="zh-CN"/>
        </w:rPr>
        <w:t>乙</w:t>
      </w:r>
      <w:r>
        <w:rPr>
          <w:rFonts w:hint="eastAsia" w:ascii="仿宋_GB2312" w:hAnsi="仿宋_GB2312" w:eastAsia="仿宋_GB2312" w:cs="仿宋_GB2312"/>
          <w:sz w:val="24"/>
        </w:rPr>
        <w:t>方自行承担全部责任。</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6、若未按</w:t>
      </w:r>
      <w:r>
        <w:rPr>
          <w:rFonts w:hint="eastAsia" w:ascii="仿宋_GB2312" w:hAnsi="仿宋_GB2312" w:eastAsia="仿宋_GB2312" w:cs="仿宋_GB2312"/>
          <w:kern w:val="0"/>
          <w:sz w:val="24"/>
          <w:lang w:eastAsia="zh-CN"/>
        </w:rPr>
        <w:t>甲</w:t>
      </w:r>
      <w:r>
        <w:rPr>
          <w:rFonts w:hint="eastAsia" w:ascii="仿宋_GB2312" w:hAnsi="仿宋_GB2312" w:eastAsia="仿宋_GB2312" w:cs="仿宋_GB2312"/>
          <w:kern w:val="0"/>
          <w:sz w:val="24"/>
        </w:rPr>
        <w:t>方的书面要求期限同意更换应该更换的电梯零部件而导致电梯故障或存在安全隐患的，</w:t>
      </w:r>
      <w:r>
        <w:rPr>
          <w:rFonts w:hint="eastAsia" w:ascii="仿宋_GB2312" w:hAnsi="仿宋_GB2312" w:eastAsia="仿宋_GB2312" w:cs="仿宋_GB2312"/>
          <w:sz w:val="24"/>
        </w:rPr>
        <w:t>由</w:t>
      </w:r>
      <w:r>
        <w:rPr>
          <w:rFonts w:hint="eastAsia" w:ascii="仿宋_GB2312" w:hAnsi="仿宋_GB2312" w:eastAsia="仿宋_GB2312" w:cs="仿宋_GB2312"/>
          <w:sz w:val="24"/>
          <w:lang w:eastAsia="zh-CN"/>
        </w:rPr>
        <w:t>乙</w:t>
      </w:r>
      <w:r>
        <w:rPr>
          <w:rFonts w:hint="eastAsia" w:ascii="仿宋_GB2312" w:hAnsi="仿宋_GB2312" w:eastAsia="仿宋_GB2312" w:cs="仿宋_GB2312"/>
          <w:sz w:val="24"/>
        </w:rPr>
        <w:t>方</w:t>
      </w:r>
      <w:r>
        <w:rPr>
          <w:rFonts w:hint="eastAsia" w:ascii="仿宋_GB2312" w:hAnsi="仿宋_GB2312" w:eastAsia="仿宋_GB2312" w:cs="仿宋_GB2312"/>
          <w:kern w:val="0"/>
          <w:sz w:val="24"/>
        </w:rPr>
        <w:t>自行承担责任。</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7、乙方违反约定，</w:t>
      </w:r>
      <w:r>
        <w:rPr>
          <w:rFonts w:hint="eastAsia" w:ascii="仿宋_GB2312" w:hAnsi="仿宋_GB2312" w:eastAsia="仿宋_GB2312" w:cs="仿宋_GB2312"/>
          <w:kern w:val="0"/>
          <w:sz w:val="24"/>
        </w:rPr>
        <w:t>作业过程中未服从甲方现场安全管理落实现场安全防护措施，或需要安全监护的作业时作业人员只有一人，或保养时间不足，甲方可拒付当次作业或保养的当台当月保养费。</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8、乙方维保工作不符合合同约定的维保标准或要求的，不按合同约定的维修时间维修的，甲方有权处200元/次罚款。</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9、在电梯维保作业过程中因维保原因导致人身伤亡或设备损坏、零部件丢失的，由乙方承担全部民事责任。</w:t>
      </w:r>
    </w:p>
    <w:p>
      <w:pPr>
        <w:spacing w:line="500" w:lineRule="exact"/>
        <w:ind w:firstLine="480" w:firstLineChars="200"/>
        <w:textAlignment w:val="center"/>
        <w:rPr>
          <w:rFonts w:ascii="仿宋_GB2312" w:hAnsi="仿宋_GB2312" w:eastAsia="仿宋_GB2312" w:cs="仿宋_GB2312"/>
          <w:b/>
          <w:color w:val="99CC00"/>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b/>
          <w:sz w:val="24"/>
        </w:rPr>
        <w:t xml:space="preserve">第十条  </w:t>
      </w:r>
      <w:r>
        <w:rPr>
          <w:rFonts w:hint="eastAsia" w:ascii="仿宋_GB2312" w:hAnsi="仿宋_GB2312" w:eastAsia="仿宋_GB2312" w:cs="仿宋_GB2312"/>
          <w:sz w:val="24"/>
        </w:rPr>
        <w:t>合同的解除</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（一）甲乙双方协商一致，可以解除合同。</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（二）任何一方违约导致合同无法继续履行的，另一方可以解除合同。此外，任何一方不得单方解除合同。</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 xml:space="preserve">第十一条  </w:t>
      </w:r>
      <w:r>
        <w:rPr>
          <w:rFonts w:hint="eastAsia" w:ascii="仿宋_GB2312" w:hAnsi="仿宋_GB2312" w:eastAsia="仿宋_GB2312" w:cs="仿宋_GB2312"/>
          <w:sz w:val="24"/>
        </w:rPr>
        <w:t>争议解决方式</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本合同在履行过程中发生的争议，由双方当事人协商解决或向有关部门申请调解，协商、调解不成的，按照下列第</w:t>
      </w:r>
      <w:r>
        <w:rPr>
          <w:rFonts w:hint="eastAsia" w:ascii="仿宋_GB2312" w:hAnsi="仿宋_GB2312" w:eastAsia="仿宋_GB2312" w:cs="仿宋_GB2312"/>
          <w:sz w:val="24"/>
          <w:u w:val="single"/>
        </w:rPr>
        <w:t xml:space="preserve"> 一 </w:t>
      </w:r>
      <w:r>
        <w:rPr>
          <w:rFonts w:hint="eastAsia" w:ascii="仿宋_GB2312" w:hAnsi="仿宋_GB2312" w:eastAsia="仿宋_GB2312" w:cs="仿宋_GB2312"/>
          <w:sz w:val="24"/>
        </w:rPr>
        <w:t>种方式解决（任选一种）：</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 xml:space="preserve">（一）依法向 </w:t>
      </w:r>
      <w:r>
        <w:rPr>
          <w:rFonts w:hint="eastAsia" w:ascii="仿宋_GB2312" w:hAnsi="仿宋_GB2312" w:eastAsia="仿宋_GB2312" w:cs="仿宋_GB2312"/>
          <w:sz w:val="24"/>
          <w:u w:val="single"/>
        </w:rPr>
        <w:t xml:space="preserve"> 原告所在地</w:t>
      </w:r>
      <w:r>
        <w:rPr>
          <w:rFonts w:hint="eastAsia" w:ascii="仿宋_GB2312" w:hAnsi="仿宋_GB2312" w:eastAsia="仿宋_GB2312" w:cs="仿宋_GB2312"/>
          <w:sz w:val="24"/>
        </w:rPr>
        <w:t>人民法院起诉；</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 xml:space="preserve">（二）提交 </w:t>
      </w:r>
      <w:r>
        <w:rPr>
          <w:rFonts w:hint="eastAsia" w:ascii="仿宋_GB2312" w:hAnsi="仿宋_GB2312" w:eastAsia="仿宋_GB2312" w:cs="仿宋_GB2312"/>
          <w:sz w:val="24"/>
          <w:u w:val="single"/>
        </w:rPr>
        <w:t xml:space="preserve">    /      </w:t>
      </w:r>
      <w:r>
        <w:rPr>
          <w:rFonts w:hint="eastAsia" w:ascii="仿宋_GB2312" w:hAnsi="仿宋_GB2312" w:eastAsia="仿宋_GB2312" w:cs="仿宋_GB2312"/>
          <w:sz w:val="24"/>
        </w:rPr>
        <w:t>仲裁委员会仲裁。</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 xml:space="preserve">第十二条 </w:t>
      </w:r>
      <w:r>
        <w:rPr>
          <w:rFonts w:hint="eastAsia" w:ascii="仿宋_GB2312" w:hAnsi="仿宋_GB2312" w:eastAsia="仿宋_GB2312" w:cs="仿宋_GB2312"/>
          <w:sz w:val="24"/>
        </w:rPr>
        <w:t xml:space="preserve"> 附则</w:t>
      </w:r>
    </w:p>
    <w:p>
      <w:pPr>
        <w:spacing w:line="500" w:lineRule="exact"/>
        <w:ind w:left="1" w:firstLine="477" w:firstLineChars="199"/>
        <w:textAlignment w:val="center"/>
        <w:rPr>
          <w:rFonts w:ascii="仿宋_GB2312" w:hAnsi="仿宋_GB2312" w:eastAsia="仿宋_GB2312" w:cs="仿宋_GB2312"/>
          <w:sz w:val="24"/>
          <w:u w:val="single"/>
        </w:rPr>
      </w:pPr>
      <w:r>
        <w:rPr>
          <w:rFonts w:hint="eastAsia" w:ascii="仿宋_GB2312" w:hAnsi="仿宋_GB2312" w:eastAsia="仿宋_GB2312" w:cs="仿宋_GB2312"/>
          <w:sz w:val="24"/>
        </w:rPr>
        <w:t>本合同生效后，双方对合同内容的变更或补充应采取书面形式，并经双方签字盖章确认，作为本合同的附件。附件与本合同具有同等的法律效力。</w:t>
      </w:r>
    </w:p>
    <w:p>
      <w:pPr>
        <w:spacing w:line="500" w:lineRule="exact"/>
        <w:ind w:firstLine="600" w:firstLineChars="250"/>
        <w:textAlignment w:val="center"/>
        <w:rPr>
          <w:rFonts w:ascii="仿宋_GB2312" w:hAnsi="仿宋_GB2312" w:eastAsia="仿宋_GB2312" w:cs="仿宋_GB2312"/>
          <w:sz w:val="24"/>
          <w:u w:val="single"/>
        </w:rPr>
      </w:pPr>
      <w:r>
        <w:rPr>
          <w:rFonts w:hint="eastAsia" w:ascii="仿宋_GB2312" w:hAnsi="仿宋_GB2312" w:eastAsia="仿宋_GB2312" w:cs="仿宋_GB2312"/>
          <w:sz w:val="24"/>
        </w:rPr>
        <w:t>本合同一式陆</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份，甲方执</w:t>
      </w:r>
      <w:r>
        <w:rPr>
          <w:rFonts w:hint="eastAsia" w:ascii="仿宋_GB2312" w:hAnsi="仿宋_GB2312" w:eastAsia="仿宋_GB2312" w:cs="仿宋_GB2312"/>
          <w:sz w:val="24"/>
          <w:u w:val="single"/>
        </w:rPr>
        <w:t xml:space="preserve"> 肆 </w:t>
      </w:r>
      <w:r>
        <w:rPr>
          <w:rFonts w:hint="eastAsia" w:ascii="仿宋_GB2312" w:hAnsi="仿宋_GB2312" w:eastAsia="仿宋_GB2312" w:cs="仿宋_GB2312"/>
          <w:sz w:val="24"/>
        </w:rPr>
        <w:t>份，乙方执</w:t>
      </w:r>
      <w:r>
        <w:rPr>
          <w:rFonts w:hint="eastAsia" w:ascii="仿宋_GB2312" w:hAnsi="仿宋_GB2312" w:eastAsia="仿宋_GB2312" w:cs="仿宋_GB2312"/>
          <w:sz w:val="24"/>
          <w:u w:val="single"/>
        </w:rPr>
        <w:t xml:space="preserve"> 贰 </w:t>
      </w:r>
      <w:r>
        <w:rPr>
          <w:rFonts w:hint="eastAsia" w:ascii="仿宋_GB2312" w:hAnsi="仿宋_GB2312" w:eastAsia="仿宋_GB2312" w:cs="仿宋_GB2312"/>
          <w:sz w:val="24"/>
        </w:rPr>
        <w:t>份。</w:t>
      </w:r>
    </w:p>
    <w:p>
      <w:pPr>
        <w:spacing w:line="360" w:lineRule="auto"/>
        <w:rPr>
          <w:rFonts w:ascii="仿宋_GB2312" w:eastAsia="仿宋_GB2312"/>
          <w:b/>
          <w:sz w:val="24"/>
        </w:rPr>
      </w:pPr>
      <w:r>
        <w:rPr>
          <w:rFonts w:hint="eastAsia" w:ascii="仿宋_GB2312" w:eastAsia="仿宋_GB2312"/>
          <w:b/>
          <w:sz w:val="24"/>
        </w:rPr>
        <w:t xml:space="preserve">  </w:t>
      </w:r>
    </w:p>
    <w:p>
      <w:pPr>
        <w:spacing w:line="360" w:lineRule="auto"/>
        <w:rPr>
          <w:rFonts w:ascii="仿宋_GB2312" w:eastAsia="仿宋_GB2312"/>
          <w:b/>
          <w:sz w:val="24"/>
        </w:rPr>
      </w:pPr>
      <w:r>
        <w:rPr>
          <w:rFonts w:hint="eastAsia" w:ascii="仿宋_GB2312" w:eastAsia="仿宋_GB2312"/>
          <w:b/>
          <w:sz w:val="24"/>
        </w:rPr>
        <w:t>甲方：（签章）                             乙方：（签章）</w:t>
      </w:r>
    </w:p>
    <w:p>
      <w:pPr>
        <w:spacing w:line="360" w:lineRule="auto"/>
        <w:rPr>
          <w:rFonts w:ascii="仿宋_GB2312" w:eastAsia="仿宋_GB2312"/>
          <w:sz w:val="24"/>
        </w:rPr>
      </w:pPr>
      <w:r>
        <w:rPr>
          <w:rFonts w:hint="eastAsia" w:ascii="仿宋_GB2312" w:hAnsi="宋体" w:eastAsia="仿宋_GB2312" w:cs="宋体"/>
          <w:kern w:val="0"/>
          <w:sz w:val="24"/>
        </w:rPr>
        <w:t>营业执照号码：                            营业执照号码：</w:t>
      </w:r>
    </w:p>
    <w:p>
      <w:pPr>
        <w:spacing w:line="360" w:lineRule="auto"/>
        <w:rPr>
          <w:rFonts w:ascii="仿宋_GB2312" w:hAnsi="宋体" w:eastAsia="仿宋_GB2312" w:cs="宋体"/>
          <w:kern w:val="0"/>
          <w:sz w:val="24"/>
        </w:rPr>
      </w:pPr>
      <w:r>
        <w:rPr>
          <w:rFonts w:hint="eastAsia" w:ascii="仿宋_GB2312" w:eastAsia="仿宋_GB2312"/>
          <w:sz w:val="24"/>
        </w:rPr>
        <w:t xml:space="preserve">住所：                                    </w:t>
      </w:r>
      <w:r>
        <w:rPr>
          <w:rFonts w:hint="eastAsia" w:ascii="仿宋_GB2312" w:hAnsi="宋体" w:eastAsia="仿宋_GB2312" w:cs="宋体"/>
          <w:kern w:val="0"/>
          <w:sz w:val="24"/>
        </w:rPr>
        <w:t>许可证号码及有效期：</w:t>
      </w:r>
    </w:p>
    <w:p>
      <w:pPr>
        <w:spacing w:line="360" w:lineRule="auto"/>
        <w:rPr>
          <w:rFonts w:ascii="仿宋_GB2312" w:eastAsia="仿宋_GB2312"/>
          <w:sz w:val="24"/>
        </w:rPr>
      </w:pPr>
      <w:r>
        <w:rPr>
          <w:rFonts w:hint="eastAsia" w:ascii="仿宋_GB2312" w:hAnsi="宋体" w:eastAsia="仿宋_GB2312" w:cs="宋体"/>
          <w:kern w:val="0"/>
          <w:sz w:val="24"/>
        </w:rPr>
        <w:t xml:space="preserve">法定代表人或委托代理人：                  </w:t>
      </w:r>
      <w:r>
        <w:rPr>
          <w:rFonts w:hint="eastAsia" w:ascii="仿宋_GB2312" w:eastAsia="仿宋_GB2312"/>
          <w:sz w:val="24"/>
        </w:rPr>
        <w:t>住所：</w:t>
      </w:r>
    </w:p>
    <w:p>
      <w:pPr>
        <w:spacing w:line="360" w:lineRule="auto"/>
        <w:rPr>
          <w:rFonts w:ascii="仿宋_GB2312" w:eastAsia="仿宋_GB2312"/>
          <w:sz w:val="24"/>
        </w:rPr>
      </w:pPr>
      <w:r>
        <w:rPr>
          <w:rFonts w:hint="eastAsia" w:ascii="仿宋_GB2312" w:hAnsi="宋体" w:eastAsia="仿宋_GB2312" w:cs="宋体"/>
          <w:kern w:val="0"/>
          <w:sz w:val="24"/>
        </w:rPr>
        <w:t>联系电话：                                法定代表人或委托代理人：</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 xml:space="preserve">电梯安全管理员及证号：                    联系电话： </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联系电话：                                传真电话：</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 xml:space="preserve">传真电话：                                开户银行： </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 xml:space="preserve">开户银行：                                帐号： </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帐号：                                    邮政编码：</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邮政编码：</w:t>
      </w:r>
      <w:r>
        <w:rPr>
          <w:rFonts w:hint="eastAsia" w:ascii="仿宋_GB2312" w:eastAsia="仿宋_GB2312"/>
          <w:sz w:val="24"/>
        </w:rPr>
        <w:t xml:space="preserve">                                </w:t>
      </w:r>
    </w:p>
    <w:p>
      <w:pPr>
        <w:spacing w:line="360" w:lineRule="auto"/>
        <w:rPr>
          <w:rFonts w:ascii="仿宋_GB2312" w:hAnsi="宋体" w:eastAsia="仿宋_GB2312" w:cs="宋体"/>
          <w:kern w:val="0"/>
          <w:sz w:val="24"/>
        </w:rPr>
      </w:pPr>
      <w:r>
        <w:rPr>
          <w:rFonts w:hint="eastAsia" w:ascii="仿宋_GB2312" w:eastAsia="仿宋_GB2312"/>
          <w:sz w:val="24"/>
        </w:rPr>
        <w:t xml:space="preserve">                                          </w:t>
      </w:r>
    </w:p>
    <w:p>
      <w:pPr>
        <w:spacing w:line="360" w:lineRule="auto"/>
        <w:rPr>
          <w:rFonts w:hint="eastAsia" w:ascii="华文中宋" w:hAnsi="华文中宋" w:eastAsia="华文中宋" w:cs="华文中宋"/>
          <w:szCs w:val="36"/>
        </w:rPr>
      </w:pPr>
      <w:r>
        <w:rPr>
          <w:rFonts w:hint="eastAsia" w:ascii="仿宋_GB2312" w:hAnsi="宋体" w:eastAsia="仿宋_GB2312" w:cs="宋体"/>
          <w:kern w:val="0"/>
          <w:sz w:val="24"/>
        </w:rPr>
        <w:t xml:space="preserve">        2021 年  X月   X 日                 2021年  X月  X日</w:t>
      </w:r>
    </w:p>
    <w:p>
      <w:pPr>
        <w:pStyle w:val="2"/>
        <w:jc w:val="center"/>
        <w:rPr>
          <w:rFonts w:hint="eastAsia" w:ascii="华文中宋" w:hAnsi="华文中宋" w:eastAsia="华文中宋" w:cs="华文中宋"/>
          <w:szCs w:val="36"/>
        </w:rPr>
      </w:pPr>
    </w:p>
    <w:p>
      <w:pPr>
        <w:pStyle w:val="2"/>
        <w:jc w:val="center"/>
        <w:rPr>
          <w:rFonts w:ascii="华文中宋" w:hAnsi="华文中宋" w:eastAsia="华文中宋" w:cs="华文中宋"/>
          <w:szCs w:val="36"/>
        </w:rPr>
      </w:pPr>
      <w:r>
        <w:rPr>
          <w:rFonts w:hint="eastAsia" w:ascii="华文中宋" w:hAnsi="华文中宋" w:eastAsia="华文中宋" w:cs="华文中宋"/>
          <w:szCs w:val="36"/>
        </w:rPr>
        <w:t>第五章 项目需求</w:t>
      </w:r>
      <w:bookmarkEnd w:id="114"/>
    </w:p>
    <w:p>
      <w:pPr>
        <w:spacing w:line="460" w:lineRule="exact"/>
        <w:ind w:firstLine="480" w:firstLineChars="200"/>
        <w:rPr>
          <w:rFonts w:ascii="仿宋_GB2312" w:hAnsi="仿宋_GB2312" w:eastAsia="仿宋_GB2312" w:cs="仿宋_GB2312"/>
          <w:sz w:val="24"/>
          <w:szCs w:val="24"/>
        </w:rPr>
      </w:pPr>
    </w:p>
    <w:p>
      <w:pPr>
        <w:numPr>
          <w:ilvl w:val="0"/>
          <w:numId w:val="2"/>
        </w:num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滨江校区28台 电梯2021年 11月至2024年10月份维保（具体情况见下表）。</w:t>
      </w:r>
    </w:p>
    <w:p>
      <w:pPr>
        <w:spacing w:line="4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皖南医学院电梯清单</w:t>
      </w:r>
    </w:p>
    <w:tbl>
      <w:tblPr>
        <w:tblStyle w:val="2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853"/>
        <w:gridCol w:w="1266"/>
        <w:gridCol w:w="1476"/>
        <w:gridCol w:w="881"/>
        <w:gridCol w:w="1998"/>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序号</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电梯品牌</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登记证编号</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注册时间</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层/站/门</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年检日期</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电梯位置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皖TB2016C984</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滨江校区11A北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皖TB2016C985</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2016—11--17</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滨江校区11A南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3</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皖TB2016C986</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滨江校区11B北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4</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皖TB2016C987</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滨江校区11B南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皖TB2016C980</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滨江校区8A北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皖TB2016C981</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滨江校区8A南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7</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皖TB2016C982</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滨江校区8B南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8</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皖TB2016C983</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滨江校区8B北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9</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西继迅达电梯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皖TB2016C988</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2016—11--18</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4#实验楼1#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西继迅达电梯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皖TB2016C989</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4#实验楼2#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西继迅达电梯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皖TB2016C990</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4#实验楼3#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12</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西继迅达电梯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皖TB20126600</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2012—11--7</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2020.10</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科技楼A梯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13</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西继迅达电梯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皖TB20126601</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w:t>
            </w:r>
          </w:p>
        </w:tc>
        <w:tc>
          <w:tcPr>
            <w:tcW w:w="435" w:type="pct"/>
          </w:tcPr>
          <w:p>
            <w:pPr>
              <w:ind w:firstLine="105" w:firstLineChars="50"/>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2020.10</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科技楼B梯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14</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日立电梯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皖TK20110373</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2011—07--01</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2020.10 </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15</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日立电梯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皖TK20110374</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2020.10</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16</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日立电梯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皖TK20110375</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2020.10</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滨江校区2号实验楼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17</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日立电梯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皖TK20110376</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2020.10</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滨江校区2号实验楼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18</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皖T皖B20101130</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2010—11--17</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19</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皖T皖B20101131</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皖T皖B20101132</w:t>
            </w:r>
          </w:p>
        </w:tc>
        <w:tc>
          <w:tcPr>
            <w:tcW w:w="805" w:type="pct"/>
          </w:tcPr>
          <w:p>
            <w:pPr>
              <w:rPr>
                <w:rFonts w:ascii="仿宋_GB2312" w:hAnsi="仿宋_GB2312" w:eastAsia="仿宋_GB2312" w:cs="仿宋_GB2312"/>
                <w:kern w:val="0"/>
                <w:sz w:val="21"/>
                <w:szCs w:val="21"/>
              </w:rPr>
            </w:pPr>
          </w:p>
        </w:tc>
        <w:tc>
          <w:tcPr>
            <w:tcW w:w="435" w:type="pct"/>
          </w:tcPr>
          <w:p>
            <w:pPr>
              <w:ind w:firstLine="105" w:firstLineChars="50"/>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皖T皖B20101133</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22</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皖T皖B20101134</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23</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皖T皖B20101135</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24</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皖T皖B20101136</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12/12</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25</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皖T皖B20101137</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12/12</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皖T皖B20101138</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7/7</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滨江校区3号实验楼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皖T皖B20101139</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7/7</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滨江校区3号实验楼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皖T皖B20101140</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3/3</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滨江校区2食堂</w:t>
            </w:r>
          </w:p>
        </w:tc>
      </w:tr>
    </w:tbl>
    <w:p>
      <w:pPr>
        <w:spacing w:line="460" w:lineRule="exact"/>
        <w:rPr>
          <w:rFonts w:ascii="仿宋_GB2312" w:hAnsi="仿宋_GB2312" w:eastAsia="仿宋_GB2312" w:cs="仿宋_GB2312"/>
          <w:sz w:val="24"/>
          <w:szCs w:val="24"/>
        </w:rPr>
      </w:pPr>
    </w:p>
    <w:p>
      <w:pPr>
        <w:numPr>
          <w:ilvl w:val="0"/>
          <w:numId w:val="2"/>
        </w:numPr>
        <w:spacing w:line="460" w:lineRule="exact"/>
        <w:ind w:left="0" w:leftChars="0"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本项目报价</w:t>
      </w:r>
      <w:r>
        <w:rPr>
          <w:rFonts w:hint="eastAsia" w:ascii="仿宋_GB2312" w:hAnsi="仿宋_GB2312" w:eastAsia="仿宋_GB2312" w:cs="仿宋_GB2312"/>
          <w:sz w:val="24"/>
          <w:szCs w:val="24"/>
          <w:lang w:eastAsia="zh-CN"/>
        </w:rPr>
        <w:t>为</w:t>
      </w:r>
      <w:r>
        <w:rPr>
          <w:rFonts w:hint="eastAsia" w:ascii="仿宋_GB2312" w:hAnsi="仿宋_GB2312" w:eastAsia="仿宋_GB2312" w:cs="仿宋_GB2312"/>
          <w:sz w:val="24"/>
          <w:szCs w:val="24"/>
        </w:rPr>
        <w:t>基本维保费（基本维保费含电梯年检费）</w:t>
      </w:r>
      <w:r>
        <w:rPr>
          <w:rFonts w:hint="eastAsia" w:ascii="仿宋_GB2312" w:hAnsi="仿宋_GB2312" w:eastAsia="仿宋_GB2312" w:cs="仿宋_GB2312"/>
          <w:sz w:val="24"/>
          <w:szCs w:val="24"/>
          <w:lang w:eastAsia="zh-CN"/>
        </w:rPr>
        <w:t>报价，</w:t>
      </w:r>
      <w:r>
        <w:rPr>
          <w:rFonts w:hint="eastAsia" w:ascii="仿宋_GB2312" w:hAnsi="仿宋_GB2312" w:eastAsia="仿宋_GB2312" w:cs="仿宋_GB2312"/>
          <w:sz w:val="24"/>
          <w:szCs w:val="24"/>
        </w:rPr>
        <w:t>基本维保费</w:t>
      </w:r>
      <w:r>
        <w:rPr>
          <w:rFonts w:hint="eastAsia" w:ascii="仿宋_GB2312" w:hAnsi="仿宋_GB2312" w:eastAsia="仿宋_GB2312" w:cs="仿宋_GB2312"/>
          <w:b/>
          <w:sz w:val="24"/>
          <w:szCs w:val="24"/>
        </w:rPr>
        <w:t>预算</w:t>
      </w:r>
      <w:r>
        <w:rPr>
          <w:rFonts w:hint="eastAsia" w:ascii="仿宋_GB2312" w:hAnsi="仿宋_GB2312" w:eastAsia="仿宋_GB2312" w:cs="仿宋_GB2312"/>
          <w:sz w:val="24"/>
          <w:szCs w:val="24"/>
        </w:rPr>
        <w:t>为14.5万元/年</w:t>
      </w:r>
      <w:r>
        <w:rPr>
          <w:rFonts w:hint="eastAsia" w:ascii="仿宋_GB2312" w:hAnsi="仿宋_GB2312" w:eastAsia="仿宋_GB2312" w:cs="仿宋_GB2312"/>
          <w:sz w:val="24"/>
          <w:szCs w:val="24"/>
          <w:lang w:eastAsia="zh-CN"/>
        </w:rPr>
        <w:t>。</w:t>
      </w:r>
    </w:p>
    <w:p>
      <w:p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3、基本维保项目包括28台电梯的日常维保</w:t>
      </w:r>
      <w:r>
        <w:rPr>
          <w:rFonts w:hint="eastAsia" w:ascii="仿宋_GB2312" w:hAnsi="仿宋_GB2312" w:eastAsia="仿宋_GB2312" w:cs="仿宋_GB2312"/>
          <w:kern w:val="0"/>
          <w:sz w:val="24"/>
          <w:szCs w:val="24"/>
        </w:rPr>
        <w:t>。维保单位应遵循TSG T5002—2017电梯保养规则</w:t>
      </w:r>
      <w:r>
        <w:rPr>
          <w:rFonts w:hint="eastAsia" w:ascii="仿宋_GB2312" w:hAnsi="仿宋_GB2312" w:eastAsia="仿宋_GB2312" w:cs="仿宋_GB2312"/>
          <w:sz w:val="24"/>
          <w:szCs w:val="24"/>
        </w:rPr>
        <w:t>，</w:t>
      </w:r>
      <w:r>
        <w:rPr>
          <w:rFonts w:hint="eastAsia" w:ascii="仿宋_GB2312" w:hAnsi="仿宋_GB2312" w:eastAsia="仿宋_GB2312" w:cs="仿宋_GB2312"/>
          <w:kern w:val="0"/>
          <w:sz w:val="24"/>
          <w:szCs w:val="24"/>
        </w:rPr>
        <w:t>保养项目应覆盖《电梯使用管理与维护保养规则》规定的半月、季度、半年、年度保养项目和电梯制造单位技术文件所要求的特殊保养项目，以及与电梯安全运行相关的其他项目。</w:t>
      </w:r>
      <w:r>
        <w:rPr>
          <w:rFonts w:hint="eastAsia" w:ascii="仿宋_GB2312" w:hAnsi="仿宋_GB2312" w:eastAsia="仿宋_GB2312" w:cs="仿宋_GB2312"/>
          <w:sz w:val="24"/>
          <w:szCs w:val="24"/>
        </w:rPr>
        <w:t>学校重大活动现场保障。</w:t>
      </w:r>
    </w:p>
    <w:p>
      <w:p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4、电梯维护保养要求持有电梯修理T证的人员驻点服务至少1人，修理时须有2人及以上持有电梯修理T证人员在场。提供驻点人员姓名、通讯号码及有效的特种设备作业人员资格证书复印件（加盖单位公章） </w:t>
      </w:r>
    </w:p>
    <w:p>
      <w:pPr>
        <w:spacing w:line="340" w:lineRule="exact"/>
        <w:ind w:firstLine="57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5、提供24小时的应急响应服务，</w:t>
      </w:r>
    </w:p>
    <w:p>
      <w:p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在工作日8小时以内，在接到故障或事故报警后20分钟内到达现场，并能提供正常连续的服务直至故障或事故排除。对电梯困人事故要求在20分钟内到达现场把乘客从轿厢中救出、对非电子版原因的常见故障要求在60分钟内排除，对电子版原因的故障应在普遍认可的合理时间内解决。</w:t>
      </w:r>
    </w:p>
    <w:p>
      <w:p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在工作日8小时以外以及寒暑假、双休日，在接到故障或事故报警后40分钟内到达现场，并能提供正常连续的服务直至故障或事故排除。对电梯困人事故要求在30分钟内到达现场把乘客从轿厢中救出、对非电子版原因的常见故障要求在120分钟内排除，对电子版原因的故障应在普遍认可的合理时间内解决。</w:t>
      </w:r>
    </w:p>
    <w:p>
      <w:p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6、对更换下来的单价500元以上维修配件器件应由采购人保管。</w:t>
      </w:r>
    </w:p>
    <w:p>
      <w:pPr>
        <w:spacing w:line="460" w:lineRule="exact"/>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7、在日常维护保养期 ，须经法定定期检验并无因维护保养原因的不合格项目存在。因维护原因造成的电梯年检不合格需要二次检验，检验费用由维护单位支付。因日常维护不到位被相关部门处罚，合同期满将不得参与新一轮投标</w:t>
      </w:r>
      <w:r>
        <w:rPr>
          <w:rFonts w:hint="eastAsia" w:ascii="仿宋_GB2312" w:hAnsi="仿宋_GB2312" w:eastAsia="仿宋_GB2312" w:cs="仿宋_GB2312"/>
          <w:sz w:val="24"/>
          <w:szCs w:val="24"/>
          <w:lang w:eastAsia="zh-CN"/>
        </w:rPr>
        <w:t>。</w:t>
      </w:r>
    </w:p>
    <w:p>
      <w:pPr>
        <w:spacing w:line="460" w:lineRule="exact"/>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配件清单各项</w:t>
      </w:r>
      <w:r>
        <w:rPr>
          <w:rFonts w:hint="eastAsia" w:ascii="仿宋_GB2312" w:hAnsi="仿宋_GB2312" w:eastAsia="仿宋_GB2312" w:cs="仿宋_GB2312"/>
          <w:sz w:val="24"/>
          <w:szCs w:val="24"/>
          <w:lang w:eastAsia="zh-CN"/>
        </w:rPr>
        <w:t>维修</w:t>
      </w:r>
      <w:r>
        <w:rPr>
          <w:rFonts w:hint="eastAsia" w:ascii="仿宋_GB2312" w:hAnsi="仿宋_GB2312" w:eastAsia="仿宋_GB2312" w:cs="仿宋_GB2312"/>
          <w:sz w:val="24"/>
          <w:szCs w:val="24"/>
        </w:rPr>
        <w:t>价</w:t>
      </w:r>
      <w:r>
        <w:rPr>
          <w:rFonts w:hint="eastAsia" w:ascii="仿宋_GB2312" w:hAnsi="仿宋_GB2312" w:eastAsia="仿宋_GB2312" w:cs="仿宋_GB2312"/>
          <w:sz w:val="24"/>
          <w:szCs w:val="24"/>
          <w:lang w:eastAsia="zh-CN"/>
        </w:rPr>
        <w:t>格，据实结算时</w:t>
      </w:r>
      <w:r>
        <w:rPr>
          <w:rFonts w:hint="eastAsia" w:ascii="仿宋_GB2312" w:hAnsi="仿宋_GB2312" w:eastAsia="仿宋_GB2312" w:cs="仿宋_GB2312"/>
          <w:sz w:val="24"/>
          <w:szCs w:val="24"/>
        </w:rPr>
        <w:t>不能超过学校提供的4个不同品牌的电梯配件清单价格(见附件一)</w:t>
      </w:r>
    </w:p>
    <w:p>
      <w:pPr>
        <w:adjustRightInd w:val="0"/>
        <w:snapToGrid w:val="0"/>
        <w:spacing w:line="500" w:lineRule="exact"/>
        <w:ind w:firstLine="560" w:firstLineChars="200"/>
        <w:rPr>
          <w:rFonts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ascii="仿宋_GB2312" w:hAnsi="仿宋_GB2312" w:eastAsia="仿宋_GB2312" w:cs="仿宋_GB2312"/>
          <w:szCs w:val="28"/>
        </w:rPr>
      </w:pPr>
    </w:p>
    <w:p>
      <w:pPr>
        <w:pStyle w:val="2"/>
        <w:snapToGrid w:val="0"/>
        <w:spacing w:before="0" w:after="0"/>
        <w:jc w:val="center"/>
        <w:rPr>
          <w:rFonts w:ascii="华文中宋" w:hAnsi="华文中宋" w:eastAsia="华文中宋" w:cs="华文中宋"/>
          <w:color w:val="auto"/>
        </w:rPr>
      </w:pPr>
      <w:bookmarkStart w:id="115" w:name="_Toc52892867"/>
      <w:r>
        <w:rPr>
          <w:rFonts w:hint="eastAsia" w:ascii="华文中宋" w:hAnsi="华文中宋" w:eastAsia="华文中宋" w:cs="华文中宋"/>
          <w:color w:val="auto"/>
        </w:rPr>
        <w:t>第六章  评分办法和评分细则</w:t>
      </w:r>
      <w:bookmarkEnd w:id="115"/>
    </w:p>
    <w:p>
      <w:pPr>
        <w:spacing w:line="360" w:lineRule="exact"/>
        <w:ind w:firstLine="470" w:firstLineChars="196"/>
        <w:rPr>
          <w:rFonts w:ascii="仿宋_GB2312" w:hAnsi="仿宋_GB2312" w:eastAsia="仿宋_GB2312" w:cs="仿宋_GB2312"/>
          <w:sz w:val="24"/>
        </w:rPr>
      </w:pPr>
      <w:r>
        <w:rPr>
          <w:rFonts w:hint="eastAsia" w:ascii="仿宋_GB2312" w:hAnsi="仿宋_GB2312" w:eastAsia="仿宋_GB2312" w:cs="仿宋_GB2312"/>
          <w:sz w:val="24"/>
        </w:rPr>
        <w:t>1、对响应文件进行综合评审。磋商小组只对通过初审，实质上响应磋商文件要求的响应文件按照下述指标表进行综合评审。</w:t>
      </w:r>
    </w:p>
    <w:p>
      <w:pPr>
        <w:spacing w:line="360" w:lineRule="exact"/>
        <w:ind w:firstLine="470" w:firstLineChars="196"/>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2、本项目技术分值占总分值的权重为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u w:val="single"/>
          <w:lang w:val="en-US" w:eastAsia="zh-CN"/>
        </w:rPr>
        <w:t>56</w:t>
      </w:r>
      <w:r>
        <w:rPr>
          <w:rFonts w:hint="eastAsia" w:ascii="仿宋_GB2312" w:hAnsi="仿宋_GB2312" w:eastAsia="仿宋_GB2312" w:cs="仿宋_GB2312"/>
          <w:color w:val="000000"/>
          <w:sz w:val="24"/>
        </w:rPr>
        <w:t>%，资信分值占总分值的权重为</w:t>
      </w:r>
      <w:r>
        <w:rPr>
          <w:rFonts w:hint="eastAsia" w:ascii="仿宋_GB2312" w:hAnsi="仿宋_GB2312" w:eastAsia="仿宋_GB2312" w:cs="仿宋_GB2312"/>
          <w:color w:val="000000"/>
          <w:sz w:val="24"/>
          <w:u w:val="single"/>
        </w:rPr>
        <w:t xml:space="preserve"> 2</w:t>
      </w:r>
      <w:r>
        <w:rPr>
          <w:rFonts w:hint="eastAsia" w:ascii="仿宋_GB2312" w:hAnsi="仿宋_GB2312" w:eastAsia="仿宋_GB2312" w:cs="仿宋_GB2312"/>
          <w:color w:val="000000"/>
          <w:sz w:val="24"/>
          <w:u w:val="single"/>
          <w:lang w:val="en-US" w:eastAsia="zh-CN"/>
        </w:rPr>
        <w:t>9</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%，价格分值占总分值的权重为</w:t>
      </w:r>
      <w:r>
        <w:rPr>
          <w:rFonts w:hint="eastAsia" w:ascii="仿宋_GB2312" w:hAnsi="仿宋_GB2312" w:eastAsia="仿宋_GB2312" w:cs="仿宋_GB2312"/>
          <w:color w:val="000000"/>
          <w:sz w:val="24"/>
          <w:u w:val="single"/>
        </w:rPr>
        <w:t xml:space="preserve"> 15 </w:t>
      </w:r>
      <w:r>
        <w:rPr>
          <w:rFonts w:hint="eastAsia" w:ascii="仿宋_GB2312" w:hAnsi="仿宋_GB2312" w:eastAsia="仿宋_GB2312" w:cs="仿宋_GB2312"/>
          <w:color w:val="000000"/>
          <w:sz w:val="24"/>
        </w:rPr>
        <w:t>%。</w:t>
      </w:r>
    </w:p>
    <w:p>
      <w:pPr>
        <w:adjustRightInd w:val="0"/>
        <w:snapToGrid w:val="0"/>
        <w:spacing w:line="36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3、评分步骤如下：</w:t>
      </w:r>
    </w:p>
    <w:p>
      <w:pPr>
        <w:adjustRightInd w:val="0"/>
        <w:snapToGrid w:val="0"/>
        <w:spacing w:line="36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（1）技术及资信分</w:t>
      </w:r>
    </w:p>
    <w:p>
      <w:pPr>
        <w:adjustRightInd w:val="0"/>
        <w:snapToGrid w:val="0"/>
        <w:spacing w:line="36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根据评分细则，磋商小组应对进入综合评审的所有供应商进行评分，并分别填写综合评审表。</w:t>
      </w:r>
    </w:p>
    <w:p>
      <w:pPr>
        <w:adjustRightInd w:val="0"/>
        <w:snapToGrid w:val="0"/>
        <w:spacing w:line="36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技术及资信分汇总方法为：对某一供应商的每一个指标项得分，取各位评委评分之平均值，保留至小数点后两位数，得到该供应商该指标项的得分。再将供应商每个指标项得分进行汇总，得到该供应商的技术及资信分之和，即总得分。</w:t>
      </w:r>
    </w:p>
    <w:p>
      <w:pPr>
        <w:adjustRightInd w:val="0"/>
        <w:snapToGrid w:val="0"/>
        <w:spacing w:line="360" w:lineRule="exact"/>
        <w:ind w:firstLine="480" w:firstLineChars="200"/>
        <w:rPr>
          <w:rFonts w:hint="eastAsia" w:ascii="仿宋_GB2312" w:hAnsi="仿宋_GB2312" w:eastAsia="仿宋_GB2312" w:cs="仿宋_GB2312"/>
          <w:sz w:val="24"/>
        </w:rPr>
      </w:pPr>
    </w:p>
    <w:p>
      <w:pPr>
        <w:adjustRightInd w:val="0"/>
        <w:snapToGrid w:val="0"/>
        <w:spacing w:line="36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技术及资信分的综合评审指标详见下表：</w:t>
      </w:r>
    </w:p>
    <w:tbl>
      <w:tblPr>
        <w:tblStyle w:val="19"/>
        <w:tblW w:w="94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1418"/>
        <w:gridCol w:w="5098"/>
        <w:gridCol w:w="1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1530"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b/>
                <w:bCs/>
                <w:sz w:val="24"/>
              </w:rPr>
            </w:pPr>
            <w:r>
              <w:rPr>
                <w:rFonts w:hint="eastAsia" w:cs="仿宋_GB2312" w:asciiTheme="minorEastAsia" w:hAnsiTheme="minorEastAsia" w:eastAsiaTheme="minorEastAsia"/>
                <w:b/>
                <w:bCs/>
                <w:sz w:val="24"/>
              </w:rPr>
              <w:t>类别</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b/>
                <w:bCs/>
                <w:sz w:val="24"/>
              </w:rPr>
            </w:pPr>
            <w:r>
              <w:rPr>
                <w:rFonts w:hint="eastAsia" w:cs="仿宋_GB2312" w:asciiTheme="minorEastAsia" w:hAnsiTheme="minorEastAsia" w:eastAsiaTheme="minorEastAsia"/>
                <w:b/>
                <w:bCs/>
                <w:sz w:val="24"/>
              </w:rPr>
              <w:t>评分内容</w:t>
            </w:r>
          </w:p>
        </w:tc>
        <w:tc>
          <w:tcPr>
            <w:tcW w:w="509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sz w:val="24"/>
              </w:rPr>
            </w:pPr>
            <w:r>
              <w:rPr>
                <w:rFonts w:hint="eastAsia" w:cs="仿宋_GB2312" w:asciiTheme="minorEastAsia" w:hAnsiTheme="minorEastAsia" w:eastAsiaTheme="minorEastAsia"/>
                <w:b/>
                <w:bCs/>
                <w:sz w:val="24"/>
              </w:rPr>
              <w:t>评分标准</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sz w:val="24"/>
              </w:rPr>
            </w:pPr>
            <w:r>
              <w:rPr>
                <w:rFonts w:hint="eastAsia" w:cs="仿宋_GB2312" w:asciiTheme="minorEastAsia" w:hAnsiTheme="minorEastAsia" w:eastAsiaTheme="minorEastAsia"/>
                <w:b/>
                <w:bCs/>
                <w:sz w:val="24"/>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4" w:hRule="atLeast"/>
          <w:jc w:val="center"/>
        </w:trPr>
        <w:tc>
          <w:tcPr>
            <w:tcW w:w="1530"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技术服务分</w:t>
            </w:r>
          </w:p>
          <w:p>
            <w:pPr>
              <w:spacing w:line="34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color w:val="000000"/>
                <w:sz w:val="21"/>
                <w:szCs w:val="21"/>
              </w:rPr>
              <w:t>（</w:t>
            </w:r>
            <w:r>
              <w:rPr>
                <w:rFonts w:hint="eastAsia" w:cs="仿宋_GB2312" w:asciiTheme="minorEastAsia" w:hAnsiTheme="minorEastAsia" w:eastAsiaTheme="minorEastAsia"/>
                <w:color w:val="000000"/>
                <w:sz w:val="21"/>
                <w:szCs w:val="21"/>
                <w:u w:val="single"/>
              </w:rPr>
              <w:t xml:space="preserve"> </w:t>
            </w:r>
            <w:r>
              <w:rPr>
                <w:rFonts w:hint="eastAsia" w:cs="仿宋_GB2312" w:asciiTheme="minorEastAsia" w:hAnsiTheme="minorEastAsia" w:eastAsiaTheme="minorEastAsia"/>
                <w:color w:val="000000"/>
                <w:sz w:val="21"/>
                <w:szCs w:val="21"/>
                <w:u w:val="single"/>
                <w:lang w:val="en-US" w:eastAsia="zh-CN"/>
              </w:rPr>
              <w:t>56</w:t>
            </w:r>
            <w:r>
              <w:rPr>
                <w:rFonts w:hint="eastAsia" w:cs="仿宋_GB2312" w:asciiTheme="minorEastAsia" w:hAnsiTheme="minorEastAsia" w:eastAsiaTheme="minorEastAsia"/>
                <w:color w:val="000000"/>
                <w:sz w:val="21"/>
                <w:szCs w:val="21"/>
              </w:rPr>
              <w:t>分）</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技术力量（</w:t>
            </w:r>
            <w:r>
              <w:rPr>
                <w:rFonts w:hint="eastAsia" w:cs="仿宋_GB2312" w:asciiTheme="minorEastAsia" w:hAnsiTheme="minorEastAsia" w:eastAsiaTheme="minorEastAsia"/>
                <w:color w:val="000000"/>
                <w:sz w:val="21"/>
                <w:szCs w:val="21"/>
                <w:lang w:val="en-US" w:eastAsia="zh-CN"/>
              </w:rPr>
              <w:t>6</w:t>
            </w:r>
            <w:r>
              <w:rPr>
                <w:rFonts w:hint="eastAsia" w:cs="仿宋_GB2312" w:asciiTheme="minorEastAsia" w:hAnsiTheme="minorEastAsia" w:eastAsiaTheme="minorEastAsia"/>
                <w:color w:val="000000"/>
                <w:sz w:val="21"/>
                <w:szCs w:val="21"/>
              </w:rPr>
              <w:t>分）</w:t>
            </w:r>
          </w:p>
        </w:tc>
        <w:tc>
          <w:tcPr>
            <w:tcW w:w="509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驻点人员从事本工作满3年得1分，满5年得3分，10年以上得6分。（提供本单位社保证明）。</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b/>
                <w:bCs/>
                <w:color w:val="000000"/>
                <w:sz w:val="21"/>
                <w:szCs w:val="21"/>
              </w:rPr>
              <w:t>0-</w:t>
            </w:r>
            <w:r>
              <w:rPr>
                <w:rFonts w:hint="eastAsia" w:cs="仿宋_GB2312" w:asciiTheme="minorEastAsia" w:hAnsiTheme="minorEastAsia" w:eastAsiaTheme="minorEastAsia"/>
                <w:b/>
                <w:bCs/>
                <w:color w:val="000000"/>
                <w:sz w:val="21"/>
                <w:szCs w:val="21"/>
                <w:lang w:val="en-US" w:eastAsia="zh-CN"/>
              </w:rPr>
              <w:t>6</w:t>
            </w:r>
            <w:r>
              <w:rPr>
                <w:rFonts w:hint="eastAsia" w:cs="仿宋_GB2312" w:asciiTheme="minorEastAsia" w:hAnsiTheme="minorEastAsia" w:eastAsiaTheme="minorEastAsia"/>
                <w:b/>
                <w:bCs/>
                <w:color w:val="00000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0" w:hRule="atLeast"/>
          <w:jc w:val="center"/>
        </w:trPr>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cs="仿宋_GB2312" w:asciiTheme="minorEastAsia" w:hAnsiTheme="minorEastAsia" w:eastAsiaTheme="minorEastAsia"/>
                <w:b/>
                <w:bCs/>
                <w:color w:val="000000"/>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highlight w:val="yellow"/>
              </w:rPr>
            </w:pPr>
            <w:r>
              <w:rPr>
                <w:rFonts w:hint="eastAsia" w:cs="仿宋_GB2312" w:asciiTheme="minorEastAsia" w:hAnsiTheme="minorEastAsia" w:eastAsiaTheme="minorEastAsia"/>
                <w:color w:val="000000"/>
                <w:sz w:val="21"/>
                <w:szCs w:val="21"/>
              </w:rPr>
              <w:t>服务方案（20分）</w:t>
            </w:r>
          </w:p>
        </w:tc>
        <w:tc>
          <w:tcPr>
            <w:tcW w:w="509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1、评审专家根据投标人提供的服务方案的可行性、针对性、规范性、主动性、有效性等进行评审。</w:t>
            </w:r>
          </w:p>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2、维保工作满足相关规范、规定和磋商文件基本要求，评审专家对维保流程、项目</w:t>
            </w:r>
            <w:r>
              <w:rPr>
                <w:rFonts w:hint="eastAsia" w:cs="仿宋_GB2312" w:asciiTheme="minorEastAsia" w:hAnsiTheme="minorEastAsia" w:eastAsiaTheme="minorEastAsia"/>
                <w:color w:val="000000"/>
                <w:spacing w:val="-4"/>
                <w:sz w:val="21"/>
                <w:szCs w:val="21"/>
              </w:rPr>
              <w:t>管理及制度、技术保障等进行评审。</w:t>
            </w:r>
          </w:p>
          <w:p>
            <w:pPr>
              <w:widowControl/>
              <w:spacing w:line="360" w:lineRule="exact"/>
              <w:rPr>
                <w:rFonts w:cs="仿宋_GB2312" w:asciiTheme="minorEastAsia" w:hAnsiTheme="minorEastAsia" w:eastAsiaTheme="minorEastAsia"/>
                <w:color w:val="000000"/>
                <w:sz w:val="21"/>
                <w:szCs w:val="21"/>
                <w:highlight w:val="yellow"/>
              </w:rPr>
            </w:pPr>
            <w:r>
              <w:rPr>
                <w:rFonts w:hint="eastAsia" w:cs="仿宋_GB2312" w:asciiTheme="minorEastAsia" w:hAnsiTheme="minorEastAsia" w:eastAsiaTheme="minorEastAsia"/>
                <w:color w:val="000000"/>
                <w:sz w:val="21"/>
                <w:szCs w:val="21"/>
              </w:rPr>
              <w:t>优秀得14-20分，一般得8-13分，差得0-7分。本项最高得20分。</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color w:val="000000"/>
                <w:sz w:val="21"/>
                <w:szCs w:val="21"/>
                <w:highlight w:val="yellow"/>
              </w:rPr>
            </w:pPr>
            <w:r>
              <w:rPr>
                <w:rFonts w:hint="eastAsia" w:cs="仿宋_GB2312" w:asciiTheme="minorEastAsia" w:hAnsiTheme="minorEastAsia" w:eastAsiaTheme="minorEastAsia"/>
                <w:b/>
                <w:bCs/>
                <w:color w:val="000000"/>
                <w:sz w:val="21"/>
                <w:szCs w:val="21"/>
              </w:rPr>
              <w:t>0-20分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6" w:hRule="atLeast"/>
          <w:jc w:val="center"/>
        </w:trPr>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cs="仿宋_GB2312" w:asciiTheme="minorEastAsia" w:hAnsiTheme="minorEastAsia" w:eastAsiaTheme="minorEastAsia"/>
                <w:b/>
                <w:bCs/>
                <w:color w:val="000000"/>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highlight w:val="yellow"/>
              </w:rPr>
            </w:pPr>
            <w:r>
              <w:rPr>
                <w:rFonts w:hint="eastAsia" w:cs="仿宋_GB2312" w:asciiTheme="minorEastAsia" w:hAnsiTheme="minorEastAsia" w:eastAsiaTheme="minorEastAsia"/>
                <w:color w:val="000000"/>
                <w:sz w:val="21"/>
                <w:szCs w:val="21"/>
              </w:rPr>
              <w:t>服务承诺（15分）</w:t>
            </w:r>
          </w:p>
        </w:tc>
        <w:tc>
          <w:tcPr>
            <w:tcW w:w="509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1、严格执行《电梯维护保养规则》（TSG T5002-2017）有关规定。</w:t>
            </w:r>
          </w:p>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2、驻点人员工作日8小时之内在学校驻点办公，保证随叫随到。</w:t>
            </w:r>
          </w:p>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3、提供7＊24小时提供应急服务响应。</w:t>
            </w:r>
          </w:p>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4、学校有重大活动、会议时，应有专业技术人员在现场值班。</w:t>
            </w:r>
          </w:p>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5、维保或维修电梯时，至少2人以上持证上岗。</w:t>
            </w:r>
          </w:p>
          <w:p>
            <w:pPr>
              <w:widowControl/>
              <w:spacing w:line="360" w:lineRule="exact"/>
              <w:rPr>
                <w:rFonts w:cs="仿宋_GB2312" w:asciiTheme="minorEastAsia" w:hAnsiTheme="minorEastAsia" w:eastAsiaTheme="minorEastAsia"/>
                <w:color w:val="000000"/>
                <w:sz w:val="21"/>
                <w:szCs w:val="21"/>
                <w:highlight w:val="yellow"/>
              </w:rPr>
            </w:pPr>
            <w:r>
              <w:rPr>
                <w:rFonts w:hint="eastAsia" w:cs="仿宋_GB2312" w:asciiTheme="minorEastAsia" w:hAnsiTheme="minorEastAsia" w:eastAsiaTheme="minorEastAsia"/>
                <w:color w:val="000000"/>
                <w:sz w:val="21"/>
                <w:szCs w:val="21"/>
              </w:rPr>
              <w:t>优秀得10-15分，一般得5-9分，差得0-4分。本项最高得15分。</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color w:val="000000"/>
                <w:sz w:val="21"/>
                <w:szCs w:val="21"/>
                <w:highlight w:val="yellow"/>
              </w:rPr>
            </w:pPr>
            <w:r>
              <w:rPr>
                <w:rFonts w:hint="eastAsia" w:cs="仿宋_GB2312" w:asciiTheme="minorEastAsia" w:hAnsiTheme="minorEastAsia" w:eastAsiaTheme="minorEastAsia"/>
                <w:b/>
                <w:bCs/>
                <w:color w:val="000000"/>
                <w:sz w:val="21"/>
                <w:szCs w:val="21"/>
              </w:rPr>
              <w:t>0-15分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0" w:hRule="atLeast"/>
          <w:jc w:val="center"/>
        </w:trPr>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cs="仿宋_GB2312" w:asciiTheme="minorEastAsia" w:hAnsiTheme="minorEastAsia" w:eastAsiaTheme="minorEastAsia"/>
                <w:b/>
                <w:bCs/>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现场答辩（15分）</w:t>
            </w:r>
          </w:p>
        </w:tc>
        <w:tc>
          <w:tcPr>
            <w:tcW w:w="509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1、项目经理对项目服务进行陈述。</w:t>
            </w:r>
          </w:p>
          <w:p>
            <w:pPr>
              <w:widowControl/>
              <w:spacing w:line="360" w:lineRule="exac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 xml:space="preserve">2、专家提出问题现场解答。 </w:t>
            </w:r>
          </w:p>
          <w:p>
            <w:pPr>
              <w:widowControl/>
              <w:spacing w:line="360" w:lineRule="exac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优秀得10-15分，一般得5-9分，差得0-4分。本项最高得15分。</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sz w:val="21"/>
                <w:szCs w:val="21"/>
              </w:rPr>
            </w:pPr>
            <w:r>
              <w:rPr>
                <w:rFonts w:hint="eastAsia" w:cs="仿宋_GB2312" w:asciiTheme="minorEastAsia" w:hAnsiTheme="minorEastAsia" w:eastAsiaTheme="minorEastAsia"/>
                <w:b/>
                <w:bCs/>
                <w:sz w:val="21"/>
                <w:szCs w:val="21"/>
              </w:rPr>
              <w:t>0-15分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0"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资信分</w:t>
            </w:r>
          </w:p>
          <w:p>
            <w:pPr>
              <w:spacing w:line="34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color w:val="000000"/>
                <w:sz w:val="21"/>
                <w:szCs w:val="21"/>
              </w:rPr>
              <w:t>（</w:t>
            </w:r>
            <w:r>
              <w:rPr>
                <w:rFonts w:hint="eastAsia" w:cs="仿宋_GB2312" w:asciiTheme="minorEastAsia" w:hAnsiTheme="minorEastAsia" w:eastAsiaTheme="minorEastAsia"/>
                <w:color w:val="000000"/>
                <w:sz w:val="21"/>
                <w:szCs w:val="21"/>
                <w:u w:val="single"/>
              </w:rPr>
              <w:t xml:space="preserve"> 2</w:t>
            </w:r>
            <w:r>
              <w:rPr>
                <w:rFonts w:hint="eastAsia" w:cs="仿宋_GB2312" w:asciiTheme="minorEastAsia" w:hAnsiTheme="minorEastAsia" w:eastAsiaTheme="minorEastAsia"/>
                <w:color w:val="000000"/>
                <w:sz w:val="21"/>
                <w:szCs w:val="21"/>
                <w:u w:val="single"/>
                <w:lang w:val="en-US" w:eastAsia="zh-CN"/>
              </w:rPr>
              <w:t>9</w:t>
            </w:r>
            <w:r>
              <w:rPr>
                <w:rFonts w:hint="eastAsia" w:cs="仿宋_GB2312" w:asciiTheme="minorEastAsia" w:hAnsiTheme="minorEastAsia" w:eastAsiaTheme="minorEastAsia"/>
                <w:color w:val="000000"/>
                <w:sz w:val="21"/>
                <w:szCs w:val="21"/>
              </w:rPr>
              <w:t>分）</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资质级别（12分）</w:t>
            </w:r>
          </w:p>
        </w:tc>
        <w:tc>
          <w:tcPr>
            <w:tcW w:w="5098" w:type="dxa"/>
            <w:tcBorders>
              <w:top w:val="single" w:color="auto" w:sz="4" w:space="0"/>
              <w:left w:val="single" w:color="auto" w:sz="4" w:space="0"/>
              <w:bottom w:val="single" w:color="auto" w:sz="4" w:space="0"/>
              <w:right w:val="single" w:color="auto" w:sz="4" w:space="0"/>
            </w:tcBorders>
          </w:tcPr>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1、A（A1、A2）级得3分。</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2、电气高级工程师1～2名(含)，得1分；3名及以上，得2分。最高2分。（提供原件）</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3、国家注册安全工程师1～2名（含），得2分；3名及以上，得4分。最高4分。（提供原件）</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4、中级及以上技能证书人员10～20名（含），得1分；21～30名（含），得2分；31名及以上，得3分。最高得3分。（提供原件）</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b/>
                <w:bCs/>
                <w:color w:val="000000"/>
                <w:sz w:val="21"/>
                <w:szCs w:val="21"/>
              </w:rPr>
              <w:t>0-12分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cs="仿宋_GB2312" w:asciiTheme="minorEastAsia" w:hAnsiTheme="minorEastAsia" w:eastAsiaTheme="minorEastAsia"/>
                <w:b/>
                <w:bCs/>
                <w:color w:val="000000"/>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体系认证（3分）</w:t>
            </w:r>
          </w:p>
        </w:tc>
        <w:tc>
          <w:tcPr>
            <w:tcW w:w="5098" w:type="dxa"/>
            <w:tcBorders>
              <w:top w:val="single" w:color="auto" w:sz="4" w:space="0"/>
              <w:left w:val="single" w:color="auto" w:sz="4" w:space="0"/>
              <w:bottom w:val="single" w:color="auto" w:sz="4" w:space="0"/>
              <w:right w:val="single" w:color="auto" w:sz="4" w:space="0"/>
            </w:tcBorders>
          </w:tcPr>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1、ISO14001：2004环境管理体系认证。</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2、ISO9001：2008质量管理体系认证。</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3、GB/T28001-2001职业健康安全管理体系认证。以上三项每提供一项认证得1分，满分3分。</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b/>
                <w:bCs/>
                <w:color w:val="000000"/>
                <w:sz w:val="21"/>
                <w:szCs w:val="21"/>
              </w:rPr>
              <w:t>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cs="仿宋_GB2312" w:asciiTheme="minorEastAsia" w:hAnsiTheme="minorEastAsia" w:eastAsiaTheme="minorEastAsia"/>
                <w:b/>
                <w:bCs/>
                <w:color w:val="000000"/>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业绩与荣誉（1</w:t>
            </w:r>
            <w:r>
              <w:rPr>
                <w:rFonts w:hint="eastAsia" w:cs="仿宋_GB2312" w:asciiTheme="minorEastAsia" w:hAnsiTheme="minorEastAsia" w:eastAsiaTheme="minorEastAsia"/>
                <w:color w:val="000000"/>
                <w:sz w:val="21"/>
                <w:szCs w:val="21"/>
                <w:lang w:val="en-US" w:eastAsia="zh-CN"/>
              </w:rPr>
              <w:t>4</w:t>
            </w:r>
            <w:r>
              <w:rPr>
                <w:rFonts w:hint="eastAsia" w:cs="仿宋_GB2312" w:asciiTheme="minorEastAsia" w:hAnsiTheme="minorEastAsia" w:eastAsiaTheme="minorEastAsia"/>
                <w:color w:val="000000"/>
                <w:sz w:val="21"/>
                <w:szCs w:val="21"/>
              </w:rPr>
              <w:t>分）</w:t>
            </w:r>
          </w:p>
        </w:tc>
        <w:tc>
          <w:tcPr>
            <w:tcW w:w="5098" w:type="dxa"/>
            <w:tcBorders>
              <w:top w:val="single" w:color="auto" w:sz="4" w:space="0"/>
              <w:left w:val="single" w:color="auto" w:sz="4" w:space="0"/>
              <w:bottom w:val="single" w:color="auto" w:sz="4" w:space="0"/>
              <w:right w:val="single" w:color="auto" w:sz="4" w:space="0"/>
            </w:tcBorders>
            <w:vAlign w:val="center"/>
          </w:tcPr>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1、近三年</w:t>
            </w:r>
            <w:r>
              <w:rPr>
                <w:rFonts w:hint="eastAsia" w:cs="仿宋_GB2312" w:asciiTheme="minorEastAsia" w:hAnsiTheme="minorEastAsia" w:eastAsiaTheme="minorEastAsia"/>
                <w:color w:val="000000"/>
                <w:sz w:val="21"/>
                <w:szCs w:val="21"/>
                <w:lang w:val="en-US" w:eastAsia="zh-CN"/>
              </w:rPr>
              <w:t>(2018-2021年)</w:t>
            </w:r>
            <w:r>
              <w:rPr>
                <w:rFonts w:hint="eastAsia" w:cs="仿宋_GB2312" w:asciiTheme="minorEastAsia" w:hAnsiTheme="minorEastAsia" w:eastAsiaTheme="minorEastAsia"/>
                <w:color w:val="000000"/>
                <w:sz w:val="21"/>
                <w:szCs w:val="21"/>
              </w:rPr>
              <w:t>有电梯维保业绩的，每一项得2分，最高得</w:t>
            </w:r>
            <w:r>
              <w:rPr>
                <w:rFonts w:hint="eastAsia" w:cs="仿宋_GB2312" w:asciiTheme="minorEastAsia" w:hAnsiTheme="minorEastAsia" w:eastAsiaTheme="minorEastAsia"/>
                <w:color w:val="000000"/>
                <w:sz w:val="21"/>
                <w:szCs w:val="21"/>
                <w:lang w:val="en-US" w:eastAsia="zh-CN"/>
              </w:rPr>
              <w:t>10</w:t>
            </w:r>
            <w:r>
              <w:rPr>
                <w:rFonts w:hint="eastAsia" w:cs="仿宋_GB2312" w:asciiTheme="minorEastAsia" w:hAnsiTheme="minorEastAsia" w:eastAsiaTheme="minorEastAsia"/>
                <w:color w:val="000000"/>
                <w:sz w:val="21"/>
                <w:szCs w:val="21"/>
              </w:rPr>
              <w:t>分。（提供业绩清单、合同复印或扫描件）</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2、企业在省级以上电梯维修等技能比赛中获奖的，第一名4分，第二名2分，第三名1分。（提供证明材料）</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b/>
                <w:bCs/>
                <w:color w:val="000000"/>
                <w:sz w:val="21"/>
                <w:szCs w:val="21"/>
              </w:rPr>
              <w:t>0-1</w:t>
            </w:r>
            <w:r>
              <w:rPr>
                <w:rFonts w:hint="eastAsia" w:cs="仿宋_GB2312" w:asciiTheme="minorEastAsia" w:hAnsiTheme="minorEastAsia" w:eastAsiaTheme="minorEastAsia"/>
                <w:b/>
                <w:bCs/>
                <w:color w:val="000000"/>
                <w:sz w:val="21"/>
                <w:szCs w:val="21"/>
                <w:lang w:val="en-US" w:eastAsia="zh-CN"/>
              </w:rPr>
              <w:t>4</w:t>
            </w:r>
            <w:r>
              <w:rPr>
                <w:rFonts w:hint="eastAsia" w:cs="仿宋_GB2312" w:asciiTheme="minorEastAsia" w:hAnsiTheme="minorEastAsia" w:eastAsiaTheme="minorEastAsia"/>
                <w:b/>
                <w:bCs/>
                <w:color w:val="00000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0"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价格分</w:t>
            </w:r>
          </w:p>
          <w:p>
            <w:pPr>
              <w:spacing w:line="340" w:lineRule="exact"/>
              <w:jc w:val="center"/>
              <w:rPr>
                <w:rFonts w:cs="仿宋_GB2312" w:asciiTheme="minorEastAsia" w:hAnsiTheme="minorEastAsia" w:eastAsiaTheme="minorEastAsia"/>
                <w:b/>
                <w:bCs/>
                <w:sz w:val="21"/>
                <w:szCs w:val="21"/>
              </w:rPr>
            </w:pP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u w:val="single"/>
              </w:rPr>
              <w:t xml:space="preserve"> 15 </w:t>
            </w:r>
            <w:r>
              <w:rPr>
                <w:rFonts w:hint="eastAsia" w:cs="仿宋_GB2312" w:asciiTheme="minorEastAsia" w:hAnsiTheme="minorEastAsia" w:eastAsiaTheme="minorEastAsia"/>
                <w:sz w:val="21"/>
                <w:szCs w:val="21"/>
              </w:rPr>
              <w:t>分）</w:t>
            </w:r>
          </w:p>
        </w:tc>
        <w:tc>
          <w:tcPr>
            <w:tcW w:w="7935" w:type="dxa"/>
            <w:gridSpan w:val="3"/>
            <w:tcBorders>
              <w:top w:val="single" w:color="auto" w:sz="4" w:space="0"/>
              <w:left w:val="single" w:color="auto" w:sz="4" w:space="0"/>
              <w:bottom w:val="single" w:color="auto" w:sz="4" w:space="0"/>
              <w:right w:val="single" w:color="auto" w:sz="4" w:space="0"/>
            </w:tcBorders>
            <w:vAlign w:val="center"/>
          </w:tcPr>
          <w:p>
            <w:pPr>
              <w:widowControl/>
              <w:spacing w:line="340" w:lineRule="exac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满足磋商文件要求的投标单位最终维保价格的算术平均值为基准值，投标供应商的价格分统一按照下列公式计算：</w:t>
            </w:r>
          </w:p>
          <w:p>
            <w:pPr>
              <w:spacing w:line="340" w:lineRule="exact"/>
              <w:rPr>
                <w:rFonts w:cs="仿宋_GB2312" w:asciiTheme="minorEastAsia" w:hAnsiTheme="minorEastAsia" w:eastAsiaTheme="minorEastAsia"/>
                <w:b/>
                <w:bCs/>
                <w:sz w:val="21"/>
                <w:szCs w:val="21"/>
              </w:rPr>
            </w:pPr>
            <w:r>
              <w:rPr>
                <w:rFonts w:hint="eastAsia" w:cs="仿宋_GB2312" w:asciiTheme="minorEastAsia" w:hAnsiTheme="minorEastAsia" w:eastAsiaTheme="minorEastAsia"/>
                <w:sz w:val="21"/>
                <w:szCs w:val="21"/>
              </w:rPr>
              <w:t>投标报价得分＝15-|(有效投标报价-基准值)/基准值|×</w:t>
            </w:r>
            <w:r>
              <w:rPr>
                <w:rFonts w:hint="eastAsia" w:cs="仿宋_GB2312" w:asciiTheme="minorEastAsia" w:hAnsiTheme="minorEastAsia" w:eastAsiaTheme="minorEastAsia"/>
                <w:sz w:val="21"/>
                <w:szCs w:val="21"/>
                <w:u w:val="single"/>
              </w:rPr>
              <w:t xml:space="preserve"> 15 </w:t>
            </w:r>
            <w:r>
              <w:rPr>
                <w:rFonts w:hint="eastAsia" w:cs="仿宋_GB2312" w:asciiTheme="minorEastAsia" w:hAnsiTheme="minorEastAsia" w:eastAsiaTheme="minorEastAsia"/>
                <w:sz w:val="21"/>
                <w:szCs w:val="21"/>
              </w:rPr>
              <w:t>％×100</w:t>
            </w:r>
          </w:p>
        </w:tc>
      </w:tr>
    </w:tbl>
    <w:p>
      <w:pPr>
        <w:adjustRightInd w:val="0"/>
        <w:snapToGrid w:val="0"/>
        <w:spacing w:line="3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（2）汇总</w:t>
      </w:r>
    </w:p>
    <w:p>
      <w:pPr>
        <w:adjustRightInd w:val="0"/>
        <w:snapToGrid w:val="0"/>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磋商小组将合格供应商的技术服务分、资信分和价格分汇总以后得到供应商的最终评审总得分，按照最终评审得分由高到低顺序推选2名成交候选单位。若综合得分相同，按维保价格由低到高顺序确定第一成交候选单位；若综合得分和维保价格均相同，按技术服务分由高到低顺序确定第一成交候选单位；若综合得分、维保价格、技术服务分均相同，由磋商小组随机抽取确定第一成交候选单位。</w:t>
      </w:r>
    </w:p>
    <w:p>
      <w:pPr>
        <w:pStyle w:val="26"/>
      </w:pPr>
      <w:bookmarkStart w:id="116" w:name="_Toc52892868"/>
      <w:r>
        <w:rPr>
          <w:rFonts w:hint="eastAsia"/>
        </w:rPr>
        <w:t xml:space="preserve">第七章  </w:t>
      </w:r>
      <w:bookmarkStart w:id="117" w:name="_Toc403987220"/>
      <w:r>
        <w:rPr>
          <w:rFonts w:hint="eastAsia"/>
        </w:rPr>
        <w:t>响应文件格式</w:t>
      </w:r>
      <w:bookmarkEnd w:id="116"/>
      <w:bookmarkEnd w:id="117"/>
    </w:p>
    <w:p>
      <w:pPr>
        <w:jc w:val="center"/>
        <w:rPr>
          <w:rFonts w:hAnsi="宋体"/>
          <w:b/>
          <w:sz w:val="72"/>
        </w:rPr>
      </w:pPr>
      <w:bookmarkStart w:id="118" w:name="_Hlt26955039"/>
      <w:bookmarkEnd w:id="118"/>
      <w:bookmarkStart w:id="119" w:name="_Hlt26671244"/>
      <w:bookmarkEnd w:id="119"/>
      <w:bookmarkStart w:id="120" w:name="_Toc26554094"/>
      <w:bookmarkStart w:id="121" w:name="_Toc49090576"/>
      <w:bookmarkStart w:id="122" w:name="_Toc120614282"/>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20"/>
    <w:bookmarkEnd w:id="121"/>
    <w:bookmarkEnd w:id="122"/>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五、电梯配件清单报价明细表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招标编号：</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投标人名称：</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w:t>
      </w:r>
    </w:p>
    <w:tbl>
      <w:tblPr>
        <w:tblStyle w:val="19"/>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维保费用报价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电梯维保项目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大写：</w:t>
            </w:r>
            <w:r>
              <w:rPr>
                <w:rFonts w:hint="eastAsia" w:ascii="仿宋_GB2312" w:hAnsi="仿宋_GB2312" w:eastAsia="仿宋_GB2312" w:cs="仿宋_GB2312"/>
                <w:spacing w:val="-6"/>
                <w:sz w:val="24"/>
                <w:szCs w:val="24"/>
                <w:u w:val="single"/>
              </w:rPr>
              <w:t xml:space="preserve">                   </w:t>
            </w:r>
          </w:p>
          <w:p>
            <w:pPr>
              <w:snapToGrid w:val="0"/>
              <w:spacing w:before="50" w:after="50"/>
              <w:jc w:val="center"/>
              <w:rPr>
                <w:rFonts w:ascii="仿宋_GB2312" w:hAnsi="仿宋_GB2312" w:eastAsia="仿宋_GB2312" w:cs="仿宋_GB2312"/>
                <w:spacing w:val="-6"/>
                <w:sz w:val="24"/>
                <w:szCs w:val="24"/>
              </w:rPr>
            </w:pPr>
          </w:p>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小写：</w:t>
            </w:r>
            <w:r>
              <w:rPr>
                <w:rFonts w:hint="eastAsia" w:ascii="仿宋_GB2312" w:hAnsi="仿宋_GB2312" w:eastAsia="仿宋_GB2312" w:cs="仿宋_GB2312"/>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备注：</w:t>
            </w:r>
          </w:p>
          <w:p>
            <w:pPr>
              <w:tabs>
                <w:tab w:val="left" w:pos="1396"/>
              </w:tabs>
              <w:jc w:val="left"/>
              <w:rPr>
                <w:rFonts w:ascii="仿宋_GB2312" w:hAnsi="仿宋_GB2312" w:eastAsia="仿宋_GB2312" w:cs="仿宋_GB2312"/>
              </w:rPr>
            </w:pPr>
            <w:r>
              <w:rPr>
                <w:rFonts w:hint="eastAsia" w:ascii="仿宋_GB2312" w:hAnsi="仿宋_GB2312" w:eastAsia="仿宋_GB2312" w:cs="仿宋_GB2312"/>
              </w:rPr>
              <w:tab/>
            </w:r>
          </w:p>
        </w:tc>
      </w:tr>
    </w:tbl>
    <w:p>
      <w:pPr>
        <w:snapToGrid w:val="0"/>
        <w:spacing w:before="50" w:after="50" w:line="360" w:lineRule="auto"/>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 1、实际费用据实结算。</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2、报价不得涂改否则其投标作无效标处理。</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r>
        <w:rPr>
          <w:rFonts w:hint="eastAsia" w:ascii="仿宋_GB2312" w:hAnsi="仿宋_GB2312" w:eastAsia="仿宋_GB2312" w:cs="仿宋_GB2312"/>
          <w:sz w:val="24"/>
          <w:szCs w:val="24"/>
        </w:rPr>
        <w:t>磋商报价</w:t>
      </w:r>
      <w:r>
        <w:rPr>
          <w:rFonts w:hint="eastAsia" w:ascii="仿宋_GB2312" w:hAnsi="仿宋_GB2312" w:eastAsia="仿宋_GB2312" w:cs="仿宋_GB2312"/>
          <w:spacing w:val="-6"/>
          <w:sz w:val="24"/>
          <w:szCs w:val="24"/>
        </w:rPr>
        <w:t>应包括</w:t>
      </w:r>
      <w:r>
        <w:rPr>
          <w:rFonts w:hint="eastAsia" w:ascii="仿宋_GB2312" w:hAnsi="仿宋_GB2312" w:eastAsia="仿宋_GB2312" w:cs="仿宋_GB2312"/>
          <w:sz w:val="24"/>
          <w:szCs w:val="24"/>
        </w:rPr>
        <w:t>所需人工费、材料费、其他（保险费，以及合同明示或暗示的风险、责任和义务等）费，以及管理费、利润和规费、税金等一切费用</w:t>
      </w:r>
      <w:r>
        <w:rPr>
          <w:rFonts w:hint="eastAsia" w:ascii="仿宋_GB2312" w:hAnsi="仿宋_GB2312" w:eastAsia="仿宋_GB2312" w:cs="仿宋_GB2312"/>
          <w:spacing w:val="-6"/>
          <w:sz w:val="24"/>
          <w:szCs w:val="24"/>
        </w:rPr>
        <w:t>。</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授权代表签字：</w:t>
      </w:r>
    </w:p>
    <w:p>
      <w:pPr>
        <w:jc w:val="center"/>
        <w:rPr>
          <w:rFonts w:ascii="仿宋_GB2312" w:hAnsi="仿宋_GB2312" w:eastAsia="仿宋_GB2312" w:cs="仿宋_GB2312"/>
          <w:sz w:val="24"/>
          <w:szCs w:val="24"/>
        </w:rPr>
      </w:pPr>
      <w:r>
        <w:rPr>
          <w:rFonts w:hint="eastAsia" w:ascii="仿宋_GB2312" w:hAnsi="仿宋_GB2312" w:eastAsia="仿宋_GB2312" w:cs="仿宋_GB2312"/>
          <w:spacing w:val="-6"/>
          <w:sz w:val="24"/>
          <w:szCs w:val="24"/>
        </w:rPr>
        <w:t>投标人名称（盖章）：                                 日期：    年   月   日</w:t>
      </w:r>
    </w:p>
    <w:p>
      <w:pPr>
        <w:jc w:val="center"/>
        <w:rPr>
          <w:rStyle w:val="39"/>
          <w:rFonts w:ascii="仿宋_GB2312" w:hAnsi="仿宋_GB2312" w:eastAsia="仿宋_GB2312" w:cs="仿宋_GB2312"/>
          <w:color w:val="auto"/>
          <w:sz w:val="24"/>
          <w:szCs w:val="24"/>
        </w:rPr>
      </w:pPr>
    </w:p>
    <w:p>
      <w:pPr>
        <w:jc w:val="center"/>
        <w:rPr>
          <w:rFonts w:ascii="仿宋_GB2312" w:hAnsi="仿宋_GB2312" w:eastAsia="仿宋_GB2312" w:cs="仿宋_GB2312"/>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39"/>
          <w:rFonts w:ascii="华文中宋" w:hAnsi="华文中宋" w:eastAsia="华文中宋"/>
          <w:color w:val="auto"/>
          <w:sz w:val="28"/>
          <w:szCs w:val="28"/>
        </w:rPr>
      </w:pPr>
      <w:r>
        <w:rPr>
          <w:rStyle w:val="39"/>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19"/>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39"/>
          <w:rFonts w:ascii="华文中宋" w:hAnsi="华文中宋" w:eastAsia="华文中宋"/>
          <w:color w:val="auto"/>
          <w:sz w:val="28"/>
          <w:szCs w:val="28"/>
        </w:rPr>
      </w:pPr>
      <w:r>
        <w:rPr>
          <w:rFonts w:hAnsi="宋体"/>
          <w:sz w:val="32"/>
          <w:szCs w:val="32"/>
        </w:rPr>
        <w:br w:type="page"/>
      </w:r>
      <w:r>
        <w:rPr>
          <w:rStyle w:val="39"/>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23" w:name="_Toc120614291"/>
      <w:bookmarkStart w:id="124" w:name="_Toc49090582"/>
      <w:bookmarkStart w:id="125" w:name="_Toc513029281"/>
      <w:bookmarkStart w:id="126" w:name="_Toc26554103"/>
      <w:bookmarkStart w:id="127" w:name="_Toc24878535"/>
      <w:bookmarkStart w:id="128" w:name="_Toc23828483"/>
      <w:bookmarkStart w:id="129" w:name="_Toc22356583"/>
      <w:bookmarkStart w:id="130"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23"/>
      <w:bookmarkEnd w:id="124"/>
      <w:bookmarkEnd w:id="125"/>
      <w:bookmarkEnd w:id="126"/>
      <w:bookmarkEnd w:id="127"/>
      <w:bookmarkEnd w:id="128"/>
      <w:bookmarkEnd w:id="129"/>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w:pict>
          <v:shape id="文本框 4" o:spid="_x0000_s1026" o:spt="202" type="#_x0000_t202" style="position:absolute;left:0pt;margin-left:244.75pt;margin-top:11.7pt;height:185.85pt;width:238.05pt;z-index:251660288;mso-width-relative:page;mso-height-relative:page;"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FWUTv8QEAAOkDAAAOAAAAZHJzL2Uyb0RvYy54bWyt&#10;U0uOEzEQ3SNxB8t70j0dMmJa6YwEIWwQIA0coOJPtyX/ZHvSnQvADVixYc+5cg7KTiYzAywQohfu&#10;ctXzc9Wr8vJ6MprsRIjK2Y5ezGpKhGWOK9t39NPHzbMXlMQEloN2VnR0LyK9Xj19shx9Kxo3OM1F&#10;IEhiYzv6jg4p+baqIhuEgThzXlgMShcMJNyGvuIBRmQ3umrq+rIaXeA+OCZiRO/6GKSrwi+lYOm9&#10;lFEkojuKuaWyhrJu81qtltD2Afyg2CkN+IcsDCiLl56p1pCA3Ab1G5VRLLjoZJoxZyonpWKi1IDV&#10;XNS/VHMzgBelFhQn+rNM8f/Rsne7D4Eo3tE5JRYMtujw9cvh24/D98/keZZn9LFF1I1HXJpeugnb&#10;fOeP6MxVTzKY/Md6CMZR6P1ZXDElwtA5r5t5M19QwjDWzC/r5mqRear74z7E9EY4Q7LR0YDdK6LC&#10;7m1MR+gdJN8WnVZ8o7Qum9BvX+lAdoCd3pTvxP4Ipi0ZO3q1aHIigAMnNSQ0jUcJou3LfY9OxIfE&#10;dfn+RJwTW0McjgkUhgyD1qgkQrEGAfy15STtPcps8T3QnIwRnBIt8PlkqyATKP03SNROW5Qw9+jY&#10;i2ylaTshTTa3ju+xb7c+qH5ASUvnChznqWh/mv08sA/3hfT+h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9HLvaAAAACgEAAA8AAAAAAAAAAQAgAAAAIgAAAGRycy9kb3ducmV2LnhtbFBLAQIU&#10;ABQAAAAIAIdO4kCFWUTv8QEAAOkDAAAOAAAAAAAAAAEAIAAAACkBAABkcnMvZTJvRG9jLnhtbFBL&#10;BQYAAAAABgAGAFkBAACMBQA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w:r>
      <w:r>
        <w:rPr>
          <w:rFonts w:ascii="仿宋_GB2312" w:hAnsi="仿宋_GB2312" w:eastAsia="仿宋_GB2312" w:cs="仿宋_GB2312"/>
          <w:spacing w:val="-6"/>
          <w:sz w:val="24"/>
          <w:szCs w:val="24"/>
        </w:rPr>
        <w:pict>
          <v:shape id="Text Box 3" o:spid="_x0000_s1027" o:spt="202" type="#_x0000_t202" style="position:absolute;left:0pt;margin-left:-12.25pt;margin-top:11.7pt;height:185.85pt;width:241.15pt;z-index:251659264;mso-width-relative:page;mso-height-relative:page;"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NKgZ4zhAQAA6AMAAA4AAABkcnMvZTJvRG9jLnhtbK1T&#10;TW/bMAy9D9h/EHRf7DpIsBpxCmxZdhm2Ae1+ACPJtgB9QVRj59+PUtK03XYYhvkgU+TTE/lIbe5m&#10;a9hRRdTedfxmUXOmnPBSu6HjPx72795zhgmcBOOd6vhJIb/bvn2zmUKrGj96I1VkROKwnULHx5RC&#10;W1UoRmUBFz4oR8HeRwuJtnGoZISJ2K2pmrpeV5OPMkQvFCJ5d+cg3xb+vlcifet7VImZjlNuqayx&#10;rIe8VtsNtEOEMGpxSQP+IQsL2tGlV6odJGCPUf9GZbWIHn2fFsLbyve9FqrUQNXc1L9Ucz9CUKUW&#10;EgfDVSb8f7Ti6/F7ZFp2vOHMgaUWPag5sQ9+ZsuszhSwJdB9IFiayU1dfvIjOXPRcx9t/lM5jOKk&#10;8+mqbSYT5FzW62ZdrzgTFGuW67q5XWWe6vl4iJg+K29ZNjoeqXlFUzh+wXSGPkHybeiNlnttTNnE&#10;4fDRRHYEavS+fBf2VzDj2NTx21WTEwGat95AItMGUgDdUO57dQJfEtfl+xNxTmwHOJ4TKAwZBq3V&#10;ScVijQrkJydZOgVS2dFz4DkZqyRnRtHryVZBJtDmb5CknXEkYe7RuRfZSvNhJppsHrw8Ud8eQ9TD&#10;SJKWzhU4jVPR/jL6eV5f7gvp8wPd/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Lr0p2QAAAAoB&#10;AAAPAAAAAAAAAAEAIAAAACIAAABkcnMvZG93bnJldi54bWxQSwECFAAUAAAACACHTuJA0qBnjOEB&#10;AADoAwAADgAAAAAAAAABACAAAAAoAQAAZHJzL2Uyb0RvYy54bWxQSwUGAAAAAAYABgBZAQAAewUA&#10;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0"/>
        <w:snapToGrid w:val="0"/>
        <w:spacing w:beforeLines="0" w:afterLines="0" w:line="360" w:lineRule="auto"/>
        <w:jc w:val="left"/>
        <w:rPr>
          <w:rFonts w:ascii="仿宋_GB2312" w:hAnsi="仿宋_GB2312" w:eastAsia="仿宋_GB2312" w:cs="仿宋_GB2312"/>
          <w:szCs w:val="24"/>
        </w:rPr>
      </w:pPr>
    </w:p>
    <w:p>
      <w:pPr>
        <w:pStyle w:val="10"/>
        <w:snapToGrid w:val="0"/>
        <w:spacing w:beforeLines="0" w:afterLines="0" w:line="360" w:lineRule="auto"/>
        <w:jc w:val="left"/>
        <w:rPr>
          <w:rFonts w:ascii="仿宋_GB2312" w:hAnsi="仿宋_GB2312" w:eastAsia="仿宋_GB2312" w:cs="仿宋_GB2312"/>
          <w:szCs w:val="24"/>
        </w:rPr>
      </w:pPr>
    </w:p>
    <w:p>
      <w:pPr>
        <w:pStyle w:val="10"/>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19"/>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0"/>
        <w:snapToGrid w:val="0"/>
        <w:spacing w:beforeLines="0" w:afterLines="0" w:line="360" w:lineRule="auto"/>
        <w:jc w:val="left"/>
        <w:rPr>
          <w:rFonts w:ascii="仿宋_GB2312" w:hAnsi="仿宋_GB2312" w:eastAsia="仿宋_GB2312" w:cs="仿宋_GB2312"/>
          <w:szCs w:val="24"/>
        </w:rPr>
      </w:pPr>
    </w:p>
    <w:p>
      <w:pPr>
        <w:pStyle w:val="10"/>
        <w:snapToGrid w:val="0"/>
        <w:spacing w:beforeLines="0" w:afterLines="0" w:line="360" w:lineRule="auto"/>
        <w:jc w:val="left"/>
        <w:rPr>
          <w:rFonts w:hAnsi="宋体"/>
          <w:spacing w:val="-6"/>
        </w:rPr>
      </w:pPr>
      <w:r>
        <w:rPr>
          <w:rFonts w:hint="eastAsia" w:hAnsi="宋体"/>
          <w:spacing w:val="-6"/>
        </w:rPr>
        <w:t xml:space="preserve"> </w:t>
      </w:r>
    </w:p>
    <w:p>
      <w:pPr>
        <w:pStyle w:val="10"/>
        <w:snapToGrid w:val="0"/>
        <w:spacing w:beforeLines="0" w:afterLines="0" w:line="360" w:lineRule="auto"/>
        <w:jc w:val="left"/>
        <w:rPr>
          <w:rFonts w:hAnsi="宋体"/>
          <w:spacing w:val="-6"/>
        </w:rPr>
      </w:pPr>
    </w:p>
    <w:p>
      <w:pPr>
        <w:pStyle w:val="30"/>
        <w:ind w:firstLine="0" w:firstLineChars="0"/>
        <w:rPr>
          <w:rFonts w:hAnsi="宋体" w:eastAsia="宋体"/>
          <w:sz w:val="24"/>
          <w:szCs w:val="24"/>
        </w:rPr>
      </w:pPr>
    </w:p>
    <w:p>
      <w:pPr>
        <w:pStyle w:val="30"/>
        <w:ind w:firstLine="0" w:firstLineChars="0"/>
        <w:rPr>
          <w:rFonts w:hAnsi="宋体" w:eastAsia="宋体"/>
          <w:sz w:val="24"/>
          <w:szCs w:val="24"/>
        </w:rPr>
      </w:pPr>
    </w:p>
    <w:bookmarkEnd w:id="130"/>
    <w:p>
      <w:pPr>
        <w:jc w:val="center"/>
        <w:rPr>
          <w:rStyle w:val="39"/>
          <w:rFonts w:ascii="华文中宋" w:hAnsi="华文中宋" w:eastAsia="华文中宋"/>
          <w:b w:val="0"/>
          <w:color w:val="auto"/>
          <w:sz w:val="28"/>
          <w:szCs w:val="28"/>
        </w:rPr>
      </w:pPr>
      <w:bookmarkStart w:id="131" w:name="_Toc26554095"/>
      <w:bookmarkStart w:id="132" w:name="_Toc23828478"/>
      <w:bookmarkStart w:id="133" w:name="_Toc22356580"/>
      <w:bookmarkStart w:id="134" w:name="_Toc513029276"/>
      <w:bookmarkStart w:id="135" w:name="_Toc460901585"/>
      <w:bookmarkStart w:id="136" w:name="_Toc49090577"/>
      <w:bookmarkStart w:id="137" w:name="_Toc120614283"/>
      <w:r>
        <w:rPr>
          <w:rFonts w:hint="eastAsia" w:ascii="华文中宋" w:hAnsi="华文中宋" w:eastAsia="华文中宋"/>
          <w:b/>
          <w:spacing w:val="-6"/>
          <w:szCs w:val="28"/>
        </w:rPr>
        <w:t>四、</w:t>
      </w:r>
      <w:r>
        <w:rPr>
          <w:rStyle w:val="39"/>
          <w:rFonts w:hint="eastAsia" w:ascii="华文中宋" w:hAnsi="华文中宋" w:eastAsia="华文中宋"/>
          <w:color w:val="auto"/>
          <w:sz w:val="28"/>
          <w:szCs w:val="28"/>
        </w:rPr>
        <w:t>磋商函格式</w:t>
      </w:r>
    </w:p>
    <w:bookmarkEnd w:id="131"/>
    <w:bookmarkEnd w:id="132"/>
    <w:bookmarkEnd w:id="133"/>
    <w:bookmarkEnd w:id="134"/>
    <w:bookmarkEnd w:id="135"/>
    <w:bookmarkEnd w:id="136"/>
    <w:bookmarkEnd w:id="137"/>
    <w:p>
      <w:pPr>
        <w:tabs>
          <w:tab w:val="left" w:pos="5580"/>
        </w:tabs>
        <w:spacing w:line="480" w:lineRule="exact"/>
        <w:rPr>
          <w:rStyle w:val="39"/>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b/>
          <w:color w:val="auto"/>
          <w:szCs w:val="28"/>
          <w:highlight w:val="yellow"/>
        </w:rPr>
      </w:pPr>
      <w:r>
        <w:rPr>
          <w:rFonts w:hint="eastAsia" w:ascii="仿宋_GB2312" w:eastAsia="仿宋_GB2312"/>
          <w:b/>
          <w:color w:val="auto"/>
          <w:szCs w:val="28"/>
          <w:highlight w:val="yellow"/>
        </w:rPr>
        <w:t>五、电梯配件清单明细表（见附件</w:t>
      </w:r>
      <w:r>
        <w:rPr>
          <w:rFonts w:hint="eastAsia" w:ascii="仿宋_GB2312" w:eastAsia="仿宋_GB2312"/>
          <w:b/>
          <w:color w:val="auto"/>
          <w:szCs w:val="28"/>
          <w:highlight w:val="yellow"/>
          <w:lang w:eastAsia="zh-CN"/>
        </w:rPr>
        <w:t>电梯配件清单</w:t>
      </w:r>
      <w:r>
        <w:rPr>
          <w:rFonts w:hint="eastAsia" w:ascii="仿宋_GB2312" w:eastAsia="仿宋_GB2312"/>
          <w:b/>
          <w:color w:val="auto"/>
          <w:szCs w:val="28"/>
          <w:highlight w:val="yellow"/>
        </w:rPr>
        <w:t>）</w:t>
      </w: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8"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8"/>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9" w:name="OLE_LINK2"/>
      <w:bookmarkStart w:id="140" w:name="OLE_LINK1"/>
      <w:bookmarkStart w:id="141" w:name="OLE_LINK3"/>
      <w:r>
        <w:rPr>
          <w:rFonts w:hint="eastAsia" w:ascii="仿宋_GB2312" w:eastAsia="仿宋_GB2312" w:cs="宋体" w:hAnsiTheme="minorEastAsia"/>
          <w:sz w:val="24"/>
          <w:szCs w:val="24"/>
        </w:rPr>
        <w:t>学校采购活动</w:t>
      </w:r>
      <w:bookmarkEnd w:id="139"/>
      <w:bookmarkEnd w:id="140"/>
      <w:bookmarkEnd w:id="141"/>
      <w:r>
        <w:rPr>
          <w:rFonts w:hint="eastAsia" w:ascii="仿宋_GB2312" w:eastAsia="仿宋_GB2312" w:cs="宋体" w:hAnsiTheme="minorEastAsia"/>
          <w:sz w:val="24"/>
          <w:szCs w:val="24"/>
        </w:rPr>
        <w:t>质疑的提出和答复、投诉的提起和处理。</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42" w:name="OLE_LINK8"/>
      <w:bookmarkStart w:id="143" w:name="OLE_LINK9"/>
      <w:bookmarkStart w:id="144" w:name="OLE_LINK7"/>
      <w:bookmarkStart w:id="145" w:name="OLE_LINK6"/>
      <w:bookmarkStart w:id="146" w:name="OLE_LINK5"/>
      <w:bookmarkStart w:id="147" w:name="OLE_LINK4"/>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42"/>
      <w:bookmarkEnd w:id="143"/>
      <w:bookmarkEnd w:id="144"/>
      <w:bookmarkEnd w:id="145"/>
      <w:bookmarkEnd w:id="146"/>
      <w:bookmarkEnd w:id="147"/>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8" w:name="OLE_LINK76"/>
      <w:bookmarkStart w:id="149" w:name="OLE_LINK78"/>
      <w:bookmarkStart w:id="150" w:name="OLE_LINK77"/>
      <w:r>
        <w:rPr>
          <w:rFonts w:hint="eastAsia" w:ascii="仿宋_GB2312" w:hAnsi="微软雅黑" w:eastAsia="仿宋_GB2312"/>
          <w:sz w:val="24"/>
          <w:szCs w:val="24"/>
        </w:rPr>
        <w:t>国资处、采购代理机构</w:t>
      </w:r>
      <w:bookmarkEnd w:id="148"/>
      <w:bookmarkEnd w:id="149"/>
      <w:bookmarkEnd w:id="150"/>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7"/>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2"/>
          <w:rFonts w:hint="eastAsia" w:ascii="黑体" w:hAnsi="黑体" w:eastAsia="黑体"/>
          <w:sz w:val="30"/>
          <w:szCs w:val="30"/>
        </w:rPr>
        <w:t xml:space="preserve">第五章 </w:t>
      </w:r>
      <w:r>
        <w:rPr>
          <w:rStyle w:val="22"/>
          <w:rFonts w:hint="eastAsia" w:ascii="微软雅黑" w:hAnsi="微软雅黑" w:eastAsia="黑体"/>
          <w:sz w:val="30"/>
          <w:szCs w:val="30"/>
        </w:rPr>
        <w:t> </w:t>
      </w:r>
      <w:r>
        <w:rPr>
          <w:rStyle w:val="22"/>
          <w:rFonts w:hint="eastAsia" w:ascii="黑体" w:hAnsi="黑体" w:eastAsia="黑体"/>
          <w:sz w:val="30"/>
          <w:szCs w:val="30"/>
        </w:rPr>
        <w:t>投诉的处理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51" w:name="OLE_LINK13"/>
      <w:bookmarkStart w:id="152" w:name="OLE_LINK11"/>
      <w:bookmarkStart w:id="153" w:name="OLE_LINK12"/>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1"/>
      <w:bookmarkEnd w:id="152"/>
      <w:bookmarkEnd w:id="153"/>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54" w:name="OLE_LINK14"/>
      <w:bookmarkStart w:id="155" w:name="OLE_LINK15"/>
      <w:r>
        <w:rPr>
          <w:rFonts w:hint="eastAsia" w:ascii="仿宋_GB2312" w:hAnsi="微软雅黑" w:eastAsia="仿宋_GB2312"/>
          <w:sz w:val="24"/>
          <w:szCs w:val="24"/>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54"/>
    <w:bookmarkEnd w:id="155"/>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7"/>
        <w:shd w:val="clear" w:color="auto" w:fill="FFFFFF"/>
        <w:adjustRightInd w:val="0"/>
        <w:snapToGrid w:val="0"/>
        <w:spacing w:before="0" w:beforeAutospacing="0" w:after="0" w:afterAutospacing="0" w:line="560" w:lineRule="exact"/>
        <w:jc w:val="center"/>
        <w:rPr>
          <w:rStyle w:val="22"/>
          <w:rFonts w:ascii="仿宋_GB2312" w:hAnsi="微软雅黑" w:eastAsia="仿宋_GB2312"/>
          <w:sz w:val="24"/>
          <w:szCs w:val="24"/>
        </w:rPr>
      </w:pPr>
    </w:p>
    <w:p>
      <w:pPr>
        <w:pStyle w:val="17"/>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2"/>
          <w:rFonts w:hint="eastAsia" w:ascii="黑体" w:hAnsi="黑体" w:eastAsia="黑体"/>
          <w:sz w:val="30"/>
          <w:szCs w:val="30"/>
        </w:rPr>
        <w:t xml:space="preserve">第六章 </w:t>
      </w:r>
      <w:r>
        <w:rPr>
          <w:rStyle w:val="22"/>
          <w:rFonts w:hint="eastAsia" w:ascii="微软雅黑" w:hAnsi="微软雅黑" w:eastAsia="黑体"/>
          <w:sz w:val="30"/>
          <w:szCs w:val="30"/>
        </w:rPr>
        <w:t> </w:t>
      </w:r>
      <w:r>
        <w:rPr>
          <w:rStyle w:val="22"/>
          <w:rFonts w:hint="eastAsia" w:ascii="黑体" w:hAnsi="黑体" w:eastAsia="黑体"/>
          <w:sz w:val="30"/>
          <w:szCs w:val="30"/>
        </w:rPr>
        <w:t>法律责任</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2"/>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6" w:name="OLE_LINK16"/>
      <w:bookmarkStart w:id="157" w:name="OLE_LINK18"/>
      <w:bookmarkStart w:id="158" w:name="OLE_LINK17"/>
      <w:r>
        <w:rPr>
          <w:rFonts w:hint="eastAsia" w:ascii="仿宋_GB2312" w:hAnsi="宋体" w:eastAsia="仿宋_GB2312" w:cs="宋体"/>
          <w:sz w:val="24"/>
          <w:szCs w:val="24"/>
        </w:rPr>
        <w:t>规</w:t>
      </w:r>
      <w:bookmarkEnd w:id="156"/>
      <w:bookmarkEnd w:id="157"/>
      <w:bookmarkEnd w:id="158"/>
      <w:r>
        <w:rPr>
          <w:rFonts w:hint="eastAsia" w:ascii="仿宋_GB2312" w:hAnsi="宋体" w:eastAsia="仿宋_GB2312" w:cs="宋体"/>
          <w:sz w:val="24"/>
          <w:szCs w:val="24"/>
        </w:rPr>
        <w:t>追究其相应责任。</w:t>
      </w:r>
    </w:p>
    <w:p>
      <w:pPr>
        <w:pStyle w:val="17"/>
        <w:shd w:val="clear" w:color="auto" w:fill="FFFFFF"/>
        <w:adjustRightInd w:val="0"/>
        <w:snapToGrid w:val="0"/>
        <w:spacing w:before="0" w:beforeAutospacing="0" w:after="0" w:afterAutospacing="0" w:line="560" w:lineRule="exact"/>
        <w:ind w:firstLine="482" w:firstLineChars="200"/>
        <w:jc w:val="both"/>
        <w:rPr>
          <w:rStyle w:val="22"/>
          <w:rFonts w:ascii="仿宋_GB2312" w:hAnsi="微软雅黑" w:eastAsia="仿宋_GB2312"/>
          <w:sz w:val="24"/>
          <w:szCs w:val="24"/>
        </w:rPr>
      </w:pPr>
      <w:r>
        <w:rPr>
          <w:rStyle w:val="22"/>
          <w:rFonts w:hint="eastAsia" w:ascii="仿宋_GB2312" w:hAnsi="微软雅黑" w:eastAsia="仿宋_GB2312"/>
          <w:sz w:val="24"/>
          <w:szCs w:val="24"/>
        </w:rPr>
        <w:t>　</w:t>
      </w:r>
    </w:p>
    <w:p>
      <w:pPr>
        <w:pStyle w:val="17"/>
        <w:shd w:val="clear" w:color="auto" w:fill="FFFFFF"/>
        <w:adjustRightInd w:val="0"/>
        <w:snapToGrid w:val="0"/>
        <w:spacing w:before="0" w:beforeAutospacing="0" w:after="0" w:afterAutospacing="0" w:line="560" w:lineRule="exact"/>
        <w:jc w:val="center"/>
        <w:rPr>
          <w:rStyle w:val="22"/>
          <w:rFonts w:ascii="黑体" w:hAnsi="黑体" w:eastAsia="黑体"/>
          <w:sz w:val="24"/>
          <w:szCs w:val="24"/>
        </w:rPr>
      </w:pPr>
      <w:r>
        <w:rPr>
          <w:rStyle w:val="22"/>
          <w:rFonts w:hint="eastAsia" w:ascii="黑体" w:hAnsi="黑体" w:eastAsia="黑体"/>
          <w:sz w:val="24"/>
          <w:szCs w:val="24"/>
        </w:rPr>
        <w:t xml:space="preserve">第七章 </w:t>
      </w:r>
      <w:r>
        <w:rPr>
          <w:rStyle w:val="22"/>
          <w:rFonts w:hint="eastAsia" w:ascii="微软雅黑" w:hAnsi="微软雅黑" w:eastAsia="黑体"/>
          <w:sz w:val="24"/>
          <w:szCs w:val="24"/>
        </w:rPr>
        <w:t> </w:t>
      </w:r>
      <w:r>
        <w:rPr>
          <w:rStyle w:val="22"/>
          <w:rFonts w:hint="eastAsia" w:ascii="黑体" w:hAnsi="黑体" w:eastAsia="黑体"/>
          <w:sz w:val="24"/>
          <w:szCs w:val="24"/>
        </w:rPr>
        <w:t>附则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3"/>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F4DD04"/>
    <w:multiLevelType w:val="singleLevel"/>
    <w:tmpl w:val="D4F4DD04"/>
    <w:lvl w:ilvl="0" w:tentative="0">
      <w:start w:val="1"/>
      <w:numFmt w:val="decimal"/>
      <w:suff w:val="nothing"/>
      <w:lvlText w:val="%1、"/>
      <w:lvlJc w:val="left"/>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7"/>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8"/>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2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4F43EC"/>
    <w:rsid w:val="016862B7"/>
    <w:rsid w:val="0234138D"/>
    <w:rsid w:val="029A4FF3"/>
    <w:rsid w:val="029F0AF2"/>
    <w:rsid w:val="03141F6C"/>
    <w:rsid w:val="03311E12"/>
    <w:rsid w:val="03375366"/>
    <w:rsid w:val="03525361"/>
    <w:rsid w:val="039A654E"/>
    <w:rsid w:val="039E6B3C"/>
    <w:rsid w:val="03CD1A41"/>
    <w:rsid w:val="03D51D9B"/>
    <w:rsid w:val="04031D92"/>
    <w:rsid w:val="04435167"/>
    <w:rsid w:val="049B5628"/>
    <w:rsid w:val="04A72032"/>
    <w:rsid w:val="04BD144B"/>
    <w:rsid w:val="04C7316C"/>
    <w:rsid w:val="04FF48D9"/>
    <w:rsid w:val="057B43B4"/>
    <w:rsid w:val="05884CB4"/>
    <w:rsid w:val="0605426F"/>
    <w:rsid w:val="0642001F"/>
    <w:rsid w:val="064603E8"/>
    <w:rsid w:val="06465B2E"/>
    <w:rsid w:val="064E0672"/>
    <w:rsid w:val="06A12781"/>
    <w:rsid w:val="06BD5FB2"/>
    <w:rsid w:val="073E427C"/>
    <w:rsid w:val="074C2609"/>
    <w:rsid w:val="07C7068F"/>
    <w:rsid w:val="07EB29B1"/>
    <w:rsid w:val="08C11D7D"/>
    <w:rsid w:val="08FD615D"/>
    <w:rsid w:val="09385DBB"/>
    <w:rsid w:val="09770B13"/>
    <w:rsid w:val="09C504E0"/>
    <w:rsid w:val="0A052A50"/>
    <w:rsid w:val="0A717FE3"/>
    <w:rsid w:val="0A8201EC"/>
    <w:rsid w:val="0A9E5C23"/>
    <w:rsid w:val="0AC8599B"/>
    <w:rsid w:val="0B01585A"/>
    <w:rsid w:val="0B761E8C"/>
    <w:rsid w:val="0B8A12F6"/>
    <w:rsid w:val="0BD23C85"/>
    <w:rsid w:val="0BD43149"/>
    <w:rsid w:val="0BDE2831"/>
    <w:rsid w:val="0BE711B7"/>
    <w:rsid w:val="0BEB55D7"/>
    <w:rsid w:val="0BEB5B52"/>
    <w:rsid w:val="0C452F99"/>
    <w:rsid w:val="0C767683"/>
    <w:rsid w:val="0CA13D98"/>
    <w:rsid w:val="0CAA1A45"/>
    <w:rsid w:val="0CF27A72"/>
    <w:rsid w:val="0D111D71"/>
    <w:rsid w:val="0D3D494A"/>
    <w:rsid w:val="0DA21DF1"/>
    <w:rsid w:val="0DAF2814"/>
    <w:rsid w:val="0DD00D67"/>
    <w:rsid w:val="0E2974C8"/>
    <w:rsid w:val="0E486157"/>
    <w:rsid w:val="0E533361"/>
    <w:rsid w:val="0EB0555E"/>
    <w:rsid w:val="0F17262A"/>
    <w:rsid w:val="0F2D2F2A"/>
    <w:rsid w:val="0F335DE5"/>
    <w:rsid w:val="0F60075C"/>
    <w:rsid w:val="0FB80153"/>
    <w:rsid w:val="101A1D40"/>
    <w:rsid w:val="1055212B"/>
    <w:rsid w:val="107C2B34"/>
    <w:rsid w:val="10890C6B"/>
    <w:rsid w:val="109C7EF6"/>
    <w:rsid w:val="10C97052"/>
    <w:rsid w:val="12577DE7"/>
    <w:rsid w:val="134A432B"/>
    <w:rsid w:val="13693C7B"/>
    <w:rsid w:val="136A2985"/>
    <w:rsid w:val="13CB41F1"/>
    <w:rsid w:val="14215A6F"/>
    <w:rsid w:val="14447FCD"/>
    <w:rsid w:val="14590ACC"/>
    <w:rsid w:val="145A48EA"/>
    <w:rsid w:val="149C4209"/>
    <w:rsid w:val="14B54789"/>
    <w:rsid w:val="152572C1"/>
    <w:rsid w:val="153831C7"/>
    <w:rsid w:val="15507A01"/>
    <w:rsid w:val="159E22A5"/>
    <w:rsid w:val="1615277C"/>
    <w:rsid w:val="16936093"/>
    <w:rsid w:val="16F30C91"/>
    <w:rsid w:val="16F40907"/>
    <w:rsid w:val="175B1CF1"/>
    <w:rsid w:val="178935E9"/>
    <w:rsid w:val="178C57AD"/>
    <w:rsid w:val="17B94649"/>
    <w:rsid w:val="17E47C7C"/>
    <w:rsid w:val="17F92C94"/>
    <w:rsid w:val="181D629B"/>
    <w:rsid w:val="183D5197"/>
    <w:rsid w:val="18BA0052"/>
    <w:rsid w:val="19160617"/>
    <w:rsid w:val="192C4113"/>
    <w:rsid w:val="193C6734"/>
    <w:rsid w:val="19A51228"/>
    <w:rsid w:val="19D00D40"/>
    <w:rsid w:val="19DF19D9"/>
    <w:rsid w:val="1A1E3E96"/>
    <w:rsid w:val="1A29563E"/>
    <w:rsid w:val="1A6738AE"/>
    <w:rsid w:val="1A9E547C"/>
    <w:rsid w:val="1AAA0930"/>
    <w:rsid w:val="1BB94558"/>
    <w:rsid w:val="1BD63C07"/>
    <w:rsid w:val="1C0273B8"/>
    <w:rsid w:val="1C094564"/>
    <w:rsid w:val="1C4A7F6D"/>
    <w:rsid w:val="1C9C3D0A"/>
    <w:rsid w:val="1CA61D97"/>
    <w:rsid w:val="1CC36D54"/>
    <w:rsid w:val="1D8D3B97"/>
    <w:rsid w:val="1DA353B0"/>
    <w:rsid w:val="1DB47A3E"/>
    <w:rsid w:val="1DE60AB3"/>
    <w:rsid w:val="1DEC3165"/>
    <w:rsid w:val="1E0D7E12"/>
    <w:rsid w:val="1E104638"/>
    <w:rsid w:val="1E6E3532"/>
    <w:rsid w:val="1E86350C"/>
    <w:rsid w:val="1EA93F70"/>
    <w:rsid w:val="1ED56DD3"/>
    <w:rsid w:val="1ED83327"/>
    <w:rsid w:val="1EDB753D"/>
    <w:rsid w:val="1EE57DD0"/>
    <w:rsid w:val="1F647385"/>
    <w:rsid w:val="1FD95964"/>
    <w:rsid w:val="21224DDA"/>
    <w:rsid w:val="216A2301"/>
    <w:rsid w:val="219C35B5"/>
    <w:rsid w:val="22467258"/>
    <w:rsid w:val="225476F0"/>
    <w:rsid w:val="22AC1F99"/>
    <w:rsid w:val="22C0162A"/>
    <w:rsid w:val="234E2E43"/>
    <w:rsid w:val="235A5649"/>
    <w:rsid w:val="23742E23"/>
    <w:rsid w:val="239067FA"/>
    <w:rsid w:val="23AD35C5"/>
    <w:rsid w:val="23C55C0A"/>
    <w:rsid w:val="23CC306F"/>
    <w:rsid w:val="23D24DEB"/>
    <w:rsid w:val="23D33CAB"/>
    <w:rsid w:val="242263FD"/>
    <w:rsid w:val="24255F8E"/>
    <w:rsid w:val="24436BE8"/>
    <w:rsid w:val="246B5259"/>
    <w:rsid w:val="25304C68"/>
    <w:rsid w:val="25337596"/>
    <w:rsid w:val="253E2C4D"/>
    <w:rsid w:val="25466F1A"/>
    <w:rsid w:val="254C5D85"/>
    <w:rsid w:val="257A3122"/>
    <w:rsid w:val="25B42B33"/>
    <w:rsid w:val="25C831C6"/>
    <w:rsid w:val="26111954"/>
    <w:rsid w:val="261543E8"/>
    <w:rsid w:val="261E4592"/>
    <w:rsid w:val="26420A5D"/>
    <w:rsid w:val="265A1F39"/>
    <w:rsid w:val="26764AB1"/>
    <w:rsid w:val="26C01D59"/>
    <w:rsid w:val="26FB0214"/>
    <w:rsid w:val="270633B2"/>
    <w:rsid w:val="270C052C"/>
    <w:rsid w:val="27430E2D"/>
    <w:rsid w:val="27AE42A3"/>
    <w:rsid w:val="285917E7"/>
    <w:rsid w:val="286018A1"/>
    <w:rsid w:val="287763BE"/>
    <w:rsid w:val="29573A19"/>
    <w:rsid w:val="2961426B"/>
    <w:rsid w:val="29770888"/>
    <w:rsid w:val="29A90AA3"/>
    <w:rsid w:val="29DB3439"/>
    <w:rsid w:val="2A402E34"/>
    <w:rsid w:val="2A85258B"/>
    <w:rsid w:val="2AFA67C3"/>
    <w:rsid w:val="2B100144"/>
    <w:rsid w:val="2B6A6E5A"/>
    <w:rsid w:val="2B6E5B01"/>
    <w:rsid w:val="2BD06081"/>
    <w:rsid w:val="2C166459"/>
    <w:rsid w:val="2C8E5BB9"/>
    <w:rsid w:val="2E656F48"/>
    <w:rsid w:val="2E682316"/>
    <w:rsid w:val="2E923CE7"/>
    <w:rsid w:val="2EAE46E1"/>
    <w:rsid w:val="2F740F38"/>
    <w:rsid w:val="2FA05C87"/>
    <w:rsid w:val="2FBA674A"/>
    <w:rsid w:val="2FEF34C6"/>
    <w:rsid w:val="30595624"/>
    <w:rsid w:val="30682029"/>
    <w:rsid w:val="307C62BC"/>
    <w:rsid w:val="308F5662"/>
    <w:rsid w:val="30F05E6D"/>
    <w:rsid w:val="31073580"/>
    <w:rsid w:val="31261645"/>
    <w:rsid w:val="312E7229"/>
    <w:rsid w:val="315B4B3B"/>
    <w:rsid w:val="316656C1"/>
    <w:rsid w:val="31CB42E5"/>
    <w:rsid w:val="31F07E99"/>
    <w:rsid w:val="32143562"/>
    <w:rsid w:val="3221311C"/>
    <w:rsid w:val="325C64CE"/>
    <w:rsid w:val="3284740C"/>
    <w:rsid w:val="33175BD1"/>
    <w:rsid w:val="3370124E"/>
    <w:rsid w:val="33BA11B8"/>
    <w:rsid w:val="33C65C0C"/>
    <w:rsid w:val="34A63463"/>
    <w:rsid w:val="34C32CC7"/>
    <w:rsid w:val="35013235"/>
    <w:rsid w:val="355E5437"/>
    <w:rsid w:val="356B634F"/>
    <w:rsid w:val="35842EDE"/>
    <w:rsid w:val="358D2630"/>
    <w:rsid w:val="35BB71F1"/>
    <w:rsid w:val="35F77E5F"/>
    <w:rsid w:val="36177727"/>
    <w:rsid w:val="36440DAE"/>
    <w:rsid w:val="3667620A"/>
    <w:rsid w:val="3694235F"/>
    <w:rsid w:val="36B32945"/>
    <w:rsid w:val="36C02D57"/>
    <w:rsid w:val="36CD677B"/>
    <w:rsid w:val="36E74AE9"/>
    <w:rsid w:val="3761378B"/>
    <w:rsid w:val="376E55E1"/>
    <w:rsid w:val="376F2B88"/>
    <w:rsid w:val="37F05F4D"/>
    <w:rsid w:val="37FA17BE"/>
    <w:rsid w:val="3813700C"/>
    <w:rsid w:val="3832489A"/>
    <w:rsid w:val="383D471C"/>
    <w:rsid w:val="386553C4"/>
    <w:rsid w:val="389A279F"/>
    <w:rsid w:val="391D0313"/>
    <w:rsid w:val="3923535C"/>
    <w:rsid w:val="394D7456"/>
    <w:rsid w:val="39605DDA"/>
    <w:rsid w:val="39606DBA"/>
    <w:rsid w:val="39664FE9"/>
    <w:rsid w:val="397E3BBA"/>
    <w:rsid w:val="39801F40"/>
    <w:rsid w:val="39D27D8A"/>
    <w:rsid w:val="3A723FE3"/>
    <w:rsid w:val="3AC42FCC"/>
    <w:rsid w:val="3ACE686B"/>
    <w:rsid w:val="3AD5386A"/>
    <w:rsid w:val="3B267B4A"/>
    <w:rsid w:val="3B720D3D"/>
    <w:rsid w:val="3BFC0891"/>
    <w:rsid w:val="3C0119CF"/>
    <w:rsid w:val="3C094992"/>
    <w:rsid w:val="3C456F72"/>
    <w:rsid w:val="3C4D62F4"/>
    <w:rsid w:val="3C70758C"/>
    <w:rsid w:val="3CCF6E69"/>
    <w:rsid w:val="3CD40F3A"/>
    <w:rsid w:val="3DA2586F"/>
    <w:rsid w:val="3DB53370"/>
    <w:rsid w:val="3DC32E01"/>
    <w:rsid w:val="3DE36A7E"/>
    <w:rsid w:val="3E261BCA"/>
    <w:rsid w:val="3E593281"/>
    <w:rsid w:val="3E7D12BC"/>
    <w:rsid w:val="3EC936D6"/>
    <w:rsid w:val="3EE51D6B"/>
    <w:rsid w:val="3F2A344A"/>
    <w:rsid w:val="3F3A37F1"/>
    <w:rsid w:val="3F653140"/>
    <w:rsid w:val="3F705C0B"/>
    <w:rsid w:val="3FBE7323"/>
    <w:rsid w:val="40366C91"/>
    <w:rsid w:val="404B50C8"/>
    <w:rsid w:val="40962D22"/>
    <w:rsid w:val="413655D4"/>
    <w:rsid w:val="415162AF"/>
    <w:rsid w:val="418662EF"/>
    <w:rsid w:val="42076C6C"/>
    <w:rsid w:val="425E3D7D"/>
    <w:rsid w:val="4268674F"/>
    <w:rsid w:val="428D2245"/>
    <w:rsid w:val="429B0441"/>
    <w:rsid w:val="42E27CE8"/>
    <w:rsid w:val="43491CBA"/>
    <w:rsid w:val="43752E9F"/>
    <w:rsid w:val="43A10F29"/>
    <w:rsid w:val="43A722C2"/>
    <w:rsid w:val="43AE20BA"/>
    <w:rsid w:val="442F455C"/>
    <w:rsid w:val="445C3546"/>
    <w:rsid w:val="45117D80"/>
    <w:rsid w:val="45480536"/>
    <w:rsid w:val="45963A0B"/>
    <w:rsid w:val="46114D68"/>
    <w:rsid w:val="464650EE"/>
    <w:rsid w:val="464D67FE"/>
    <w:rsid w:val="46683202"/>
    <w:rsid w:val="4675644E"/>
    <w:rsid w:val="47196039"/>
    <w:rsid w:val="47571E54"/>
    <w:rsid w:val="476D6EBA"/>
    <w:rsid w:val="479B635A"/>
    <w:rsid w:val="47B14163"/>
    <w:rsid w:val="47CF2DE3"/>
    <w:rsid w:val="47E677B3"/>
    <w:rsid w:val="481717F0"/>
    <w:rsid w:val="48BD0E84"/>
    <w:rsid w:val="49063724"/>
    <w:rsid w:val="49727DEF"/>
    <w:rsid w:val="49975779"/>
    <w:rsid w:val="49C634CB"/>
    <w:rsid w:val="4A06781F"/>
    <w:rsid w:val="4A136DA0"/>
    <w:rsid w:val="4A145BA1"/>
    <w:rsid w:val="4AA2518A"/>
    <w:rsid w:val="4AD67CC5"/>
    <w:rsid w:val="4B4F4691"/>
    <w:rsid w:val="4B527B10"/>
    <w:rsid w:val="4B8935FD"/>
    <w:rsid w:val="4B9F4711"/>
    <w:rsid w:val="4BA104E5"/>
    <w:rsid w:val="4C0A278F"/>
    <w:rsid w:val="4C1752E8"/>
    <w:rsid w:val="4C934A75"/>
    <w:rsid w:val="4CD01D68"/>
    <w:rsid w:val="4CD92F09"/>
    <w:rsid w:val="4CF43425"/>
    <w:rsid w:val="4D1421C5"/>
    <w:rsid w:val="4D555C8B"/>
    <w:rsid w:val="4D6D1C95"/>
    <w:rsid w:val="4E066723"/>
    <w:rsid w:val="4E27437C"/>
    <w:rsid w:val="4E911844"/>
    <w:rsid w:val="4EF745D9"/>
    <w:rsid w:val="4F4D6CEF"/>
    <w:rsid w:val="4F5D557B"/>
    <w:rsid w:val="4F6750D3"/>
    <w:rsid w:val="4F6D437D"/>
    <w:rsid w:val="4F8B4EB5"/>
    <w:rsid w:val="4F927265"/>
    <w:rsid w:val="504E4367"/>
    <w:rsid w:val="50885D57"/>
    <w:rsid w:val="50981E5C"/>
    <w:rsid w:val="50BF160A"/>
    <w:rsid w:val="512B4E2E"/>
    <w:rsid w:val="513B2511"/>
    <w:rsid w:val="51A445C0"/>
    <w:rsid w:val="51A97276"/>
    <w:rsid w:val="52996089"/>
    <w:rsid w:val="52A706A9"/>
    <w:rsid w:val="52EA4358"/>
    <w:rsid w:val="53320361"/>
    <w:rsid w:val="53642888"/>
    <w:rsid w:val="539A0E95"/>
    <w:rsid w:val="53B637A9"/>
    <w:rsid w:val="53B65D6E"/>
    <w:rsid w:val="53B91C07"/>
    <w:rsid w:val="54947454"/>
    <w:rsid w:val="54B419FB"/>
    <w:rsid w:val="54BB52C5"/>
    <w:rsid w:val="54C22377"/>
    <w:rsid w:val="54C84207"/>
    <w:rsid w:val="54FB7F1E"/>
    <w:rsid w:val="5544780D"/>
    <w:rsid w:val="5579789F"/>
    <w:rsid w:val="55D624BF"/>
    <w:rsid w:val="55DB27AC"/>
    <w:rsid w:val="561D6382"/>
    <w:rsid w:val="5628091A"/>
    <w:rsid w:val="562D3258"/>
    <w:rsid w:val="563B4985"/>
    <w:rsid w:val="56D553A9"/>
    <w:rsid w:val="56FA6E69"/>
    <w:rsid w:val="5727718D"/>
    <w:rsid w:val="57572801"/>
    <w:rsid w:val="57CF7087"/>
    <w:rsid w:val="57EB259F"/>
    <w:rsid w:val="58360A82"/>
    <w:rsid w:val="587B6449"/>
    <w:rsid w:val="587C3A91"/>
    <w:rsid w:val="58D00A02"/>
    <w:rsid w:val="592E2905"/>
    <w:rsid w:val="593764C8"/>
    <w:rsid w:val="59530390"/>
    <w:rsid w:val="59925604"/>
    <w:rsid w:val="59A36566"/>
    <w:rsid w:val="59C6543A"/>
    <w:rsid w:val="59E314E1"/>
    <w:rsid w:val="5A1751F0"/>
    <w:rsid w:val="5A8A796A"/>
    <w:rsid w:val="5ADF60F3"/>
    <w:rsid w:val="5B001E53"/>
    <w:rsid w:val="5B0D3E3C"/>
    <w:rsid w:val="5B2E4542"/>
    <w:rsid w:val="5B963814"/>
    <w:rsid w:val="5BAC7B28"/>
    <w:rsid w:val="5BB04D30"/>
    <w:rsid w:val="5C44058D"/>
    <w:rsid w:val="5C526290"/>
    <w:rsid w:val="5CAB11F3"/>
    <w:rsid w:val="5CBF1B3C"/>
    <w:rsid w:val="5CFB10A2"/>
    <w:rsid w:val="5DBF1736"/>
    <w:rsid w:val="5DDE32C3"/>
    <w:rsid w:val="5E5717C3"/>
    <w:rsid w:val="5E690773"/>
    <w:rsid w:val="5E877A7D"/>
    <w:rsid w:val="5EC614D8"/>
    <w:rsid w:val="5F1A4CA9"/>
    <w:rsid w:val="5F3F4AC9"/>
    <w:rsid w:val="5F660F3F"/>
    <w:rsid w:val="5F7F60A4"/>
    <w:rsid w:val="5FCA30FF"/>
    <w:rsid w:val="5FDD22C1"/>
    <w:rsid w:val="600C4ED2"/>
    <w:rsid w:val="60456D6B"/>
    <w:rsid w:val="609C4318"/>
    <w:rsid w:val="60DF3930"/>
    <w:rsid w:val="60EB6A42"/>
    <w:rsid w:val="61025F9A"/>
    <w:rsid w:val="61132870"/>
    <w:rsid w:val="6116747B"/>
    <w:rsid w:val="61336898"/>
    <w:rsid w:val="61401063"/>
    <w:rsid w:val="61A73CE8"/>
    <w:rsid w:val="61AA6DA6"/>
    <w:rsid w:val="61C95A0F"/>
    <w:rsid w:val="622B0BAC"/>
    <w:rsid w:val="62A57383"/>
    <w:rsid w:val="62B527DB"/>
    <w:rsid w:val="62F14B14"/>
    <w:rsid w:val="63055F43"/>
    <w:rsid w:val="63296BD8"/>
    <w:rsid w:val="632B1E94"/>
    <w:rsid w:val="632E57EF"/>
    <w:rsid w:val="633701CE"/>
    <w:rsid w:val="63466D07"/>
    <w:rsid w:val="63E97909"/>
    <w:rsid w:val="64263C05"/>
    <w:rsid w:val="64782246"/>
    <w:rsid w:val="647C570A"/>
    <w:rsid w:val="64B14FC1"/>
    <w:rsid w:val="64C52428"/>
    <w:rsid w:val="65EA26BD"/>
    <w:rsid w:val="661B62C8"/>
    <w:rsid w:val="664E059A"/>
    <w:rsid w:val="66DF7FAC"/>
    <w:rsid w:val="66EC7942"/>
    <w:rsid w:val="67393EF5"/>
    <w:rsid w:val="67B11FEE"/>
    <w:rsid w:val="68000A1A"/>
    <w:rsid w:val="68185610"/>
    <w:rsid w:val="683416CD"/>
    <w:rsid w:val="683D2155"/>
    <w:rsid w:val="68704A27"/>
    <w:rsid w:val="688A7038"/>
    <w:rsid w:val="690976CF"/>
    <w:rsid w:val="691B6F1A"/>
    <w:rsid w:val="694B4C0D"/>
    <w:rsid w:val="69EA1150"/>
    <w:rsid w:val="69EC4F13"/>
    <w:rsid w:val="6A016CF4"/>
    <w:rsid w:val="6A0E5F3C"/>
    <w:rsid w:val="6A1A027C"/>
    <w:rsid w:val="6A4F103E"/>
    <w:rsid w:val="6A9A27BB"/>
    <w:rsid w:val="6B0C7706"/>
    <w:rsid w:val="6B6C28FE"/>
    <w:rsid w:val="6B8026C9"/>
    <w:rsid w:val="6BA72C9D"/>
    <w:rsid w:val="6BD54DEF"/>
    <w:rsid w:val="6C1B1B37"/>
    <w:rsid w:val="6C845C4E"/>
    <w:rsid w:val="6D0222A2"/>
    <w:rsid w:val="6D251352"/>
    <w:rsid w:val="6D6001EC"/>
    <w:rsid w:val="6D613624"/>
    <w:rsid w:val="6DC55B94"/>
    <w:rsid w:val="6DD71A9B"/>
    <w:rsid w:val="6DE21FFF"/>
    <w:rsid w:val="6DF1085F"/>
    <w:rsid w:val="6E267403"/>
    <w:rsid w:val="6E6B580B"/>
    <w:rsid w:val="6EAB4F77"/>
    <w:rsid w:val="6EB24C6B"/>
    <w:rsid w:val="6ED443D0"/>
    <w:rsid w:val="6EDD5FA4"/>
    <w:rsid w:val="6F2D534C"/>
    <w:rsid w:val="6F4638AE"/>
    <w:rsid w:val="6F4F3566"/>
    <w:rsid w:val="6FCD5FD7"/>
    <w:rsid w:val="7014426C"/>
    <w:rsid w:val="701C509C"/>
    <w:rsid w:val="70AC5BC0"/>
    <w:rsid w:val="70E32271"/>
    <w:rsid w:val="70F2774D"/>
    <w:rsid w:val="710903AB"/>
    <w:rsid w:val="711B59D1"/>
    <w:rsid w:val="71570EDA"/>
    <w:rsid w:val="71792D3A"/>
    <w:rsid w:val="719B73E5"/>
    <w:rsid w:val="71C35DEF"/>
    <w:rsid w:val="71C86E42"/>
    <w:rsid w:val="71CA504D"/>
    <w:rsid w:val="72F45BD1"/>
    <w:rsid w:val="73236BEB"/>
    <w:rsid w:val="733A5A8F"/>
    <w:rsid w:val="737F2386"/>
    <w:rsid w:val="73C75AC5"/>
    <w:rsid w:val="73CD0DC6"/>
    <w:rsid w:val="73CF0426"/>
    <w:rsid w:val="73D76192"/>
    <w:rsid w:val="741100B1"/>
    <w:rsid w:val="74261BA4"/>
    <w:rsid w:val="742D188E"/>
    <w:rsid w:val="74A75798"/>
    <w:rsid w:val="751A50CF"/>
    <w:rsid w:val="752D0CA5"/>
    <w:rsid w:val="755873D9"/>
    <w:rsid w:val="75F33D2B"/>
    <w:rsid w:val="760C5540"/>
    <w:rsid w:val="760E1C9B"/>
    <w:rsid w:val="761622A3"/>
    <w:rsid w:val="762B237E"/>
    <w:rsid w:val="76342F98"/>
    <w:rsid w:val="765134FE"/>
    <w:rsid w:val="76520169"/>
    <w:rsid w:val="765C66BE"/>
    <w:rsid w:val="76850AE5"/>
    <w:rsid w:val="76B760AB"/>
    <w:rsid w:val="76D501AF"/>
    <w:rsid w:val="77494238"/>
    <w:rsid w:val="774A6F53"/>
    <w:rsid w:val="776C38C3"/>
    <w:rsid w:val="77975072"/>
    <w:rsid w:val="77B54B7B"/>
    <w:rsid w:val="77F6065F"/>
    <w:rsid w:val="780D746C"/>
    <w:rsid w:val="782F2C9A"/>
    <w:rsid w:val="784C22F5"/>
    <w:rsid w:val="784D77A7"/>
    <w:rsid w:val="787E2228"/>
    <w:rsid w:val="79273753"/>
    <w:rsid w:val="79560EFA"/>
    <w:rsid w:val="79C2618F"/>
    <w:rsid w:val="79DB6C56"/>
    <w:rsid w:val="7A426EF4"/>
    <w:rsid w:val="7A5C6C08"/>
    <w:rsid w:val="7AD102FF"/>
    <w:rsid w:val="7B260951"/>
    <w:rsid w:val="7B485D83"/>
    <w:rsid w:val="7B950000"/>
    <w:rsid w:val="7B9B540A"/>
    <w:rsid w:val="7BA571B0"/>
    <w:rsid w:val="7BE91FDA"/>
    <w:rsid w:val="7C0A460F"/>
    <w:rsid w:val="7C2C0CD2"/>
    <w:rsid w:val="7C2D6999"/>
    <w:rsid w:val="7C4249B0"/>
    <w:rsid w:val="7C491964"/>
    <w:rsid w:val="7C51399F"/>
    <w:rsid w:val="7C5D1037"/>
    <w:rsid w:val="7C7B0712"/>
    <w:rsid w:val="7CB15915"/>
    <w:rsid w:val="7CCE7338"/>
    <w:rsid w:val="7CFE1757"/>
    <w:rsid w:val="7D9A149C"/>
    <w:rsid w:val="7DE056DF"/>
    <w:rsid w:val="7DE727DC"/>
    <w:rsid w:val="7E167BC7"/>
    <w:rsid w:val="7E7727BA"/>
    <w:rsid w:val="7EAD578E"/>
    <w:rsid w:val="7F89227A"/>
    <w:rsid w:val="7FBB4E71"/>
    <w:rsid w:val="7FC10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32"/>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2"/>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5"/>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46"/>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4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8"/>
    <w:semiHidden/>
    <w:unhideWhenUsed/>
    <w:qFormat/>
    <w:uiPriority w:val="9"/>
    <w:pPr>
      <w:keepNext/>
      <w:keepLines/>
      <w:spacing w:before="240" w:after="64" w:line="320" w:lineRule="auto"/>
      <w:outlineLvl w:val="6"/>
    </w:pPr>
    <w:rPr>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9">
    <w:name w:val="Body Text Indent"/>
    <w:basedOn w:val="1"/>
    <w:link w:val="35"/>
    <w:qFormat/>
    <w:uiPriority w:val="0"/>
    <w:pPr>
      <w:spacing w:line="200" w:lineRule="atLeast"/>
      <w:ind w:firstLine="301"/>
    </w:pPr>
    <w:rPr>
      <w:rFonts w:ascii="宋体" w:hAnsi="Courier New" w:cstheme="minorBidi"/>
      <w:spacing w:val="-4"/>
      <w:sz w:val="18"/>
      <w:szCs w:val="22"/>
    </w:rPr>
  </w:style>
  <w:style w:type="paragraph" w:styleId="10">
    <w:name w:val="Plain Text"/>
    <w:basedOn w:val="1"/>
    <w:link w:val="40"/>
    <w:qFormat/>
    <w:uiPriority w:val="0"/>
    <w:pPr>
      <w:spacing w:beforeLines="50" w:afterLines="50" w:line="400" w:lineRule="atLeast"/>
    </w:pPr>
    <w:rPr>
      <w:rFonts w:ascii="宋体" w:hAnsi="Courier New" w:cstheme="minorBidi"/>
      <w:sz w:val="24"/>
      <w:szCs w:val="22"/>
    </w:rPr>
  </w:style>
  <w:style w:type="paragraph" w:styleId="11">
    <w:name w:val="Date"/>
    <w:basedOn w:val="1"/>
    <w:next w:val="1"/>
    <w:link w:val="24"/>
    <w:semiHidden/>
    <w:unhideWhenUsed/>
    <w:qFormat/>
    <w:uiPriority w:val="99"/>
    <w:pPr>
      <w:ind w:left="100" w:leftChars="2500"/>
    </w:pPr>
  </w:style>
  <w:style w:type="paragraph" w:styleId="12">
    <w:name w:val="Balloon Text"/>
    <w:basedOn w:val="1"/>
    <w:link w:val="51"/>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sz w:val="18"/>
      <w:szCs w:val="18"/>
    </w:rPr>
  </w:style>
  <w:style w:type="paragraph" w:styleId="14">
    <w:name w:val="header"/>
    <w:basedOn w:val="1"/>
    <w:link w:val="4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6">
    <w:name w:val="toc 2"/>
    <w:basedOn w:val="1"/>
    <w:next w:val="1"/>
    <w:unhideWhenUsed/>
    <w:qFormat/>
    <w:uiPriority w:val="39"/>
    <w:pPr>
      <w:ind w:left="420" w:leftChars="200"/>
    </w:pPr>
  </w:style>
  <w:style w:type="paragraph" w:styleId="17">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8">
    <w:name w:val="Title"/>
    <w:basedOn w:val="1"/>
    <w:next w:val="1"/>
    <w:link w:val="33"/>
    <w:qFormat/>
    <w:uiPriority w:val="10"/>
    <w:pPr>
      <w:spacing w:before="240" w:after="60"/>
      <w:jc w:val="center"/>
      <w:outlineLvl w:val="0"/>
    </w:pPr>
    <w:rPr>
      <w:rFonts w:asciiTheme="majorHAnsi" w:hAnsiTheme="majorHAnsi" w:cstheme="majorBidi"/>
      <w:b/>
      <w:bCs/>
      <w:sz w:val="32"/>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bCs/>
    </w:rPr>
  </w:style>
  <w:style w:type="character" w:styleId="23">
    <w:name w:val="Hyperlink"/>
    <w:basedOn w:val="21"/>
    <w:unhideWhenUsed/>
    <w:qFormat/>
    <w:uiPriority w:val="99"/>
    <w:rPr>
      <w:color w:val="0000FF" w:themeColor="hyperlink"/>
      <w:u w:val="single"/>
    </w:rPr>
  </w:style>
  <w:style w:type="character" w:customStyle="1" w:styleId="24">
    <w:name w:val="日期 Char"/>
    <w:basedOn w:val="21"/>
    <w:link w:val="11"/>
    <w:semiHidden/>
    <w:qFormat/>
    <w:uiPriority w:val="99"/>
    <w:rPr>
      <w:rFonts w:ascii="Times New Roman" w:hAnsi="Times New Roman" w:eastAsia="宋体" w:cs="Times New Roman"/>
      <w:sz w:val="28"/>
      <w:szCs w:val="20"/>
    </w:rPr>
  </w:style>
  <w:style w:type="paragraph" w:styleId="25">
    <w:name w:val="List Paragraph"/>
    <w:basedOn w:val="1"/>
    <w:link w:val="38"/>
    <w:qFormat/>
    <w:uiPriority w:val="0"/>
    <w:pPr>
      <w:ind w:firstLine="420" w:firstLineChars="200"/>
    </w:pPr>
  </w:style>
  <w:style w:type="paragraph" w:customStyle="1" w:styleId="26">
    <w:name w:val="正文 第一章"/>
    <w:basedOn w:val="1"/>
    <w:next w:val="27"/>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7">
    <w:name w:val="正文 1.1"/>
    <w:basedOn w:val="1"/>
    <w:next w:val="28"/>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8">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29">
    <w:name w:val="第四级"/>
    <w:basedOn w:val="1"/>
    <w:next w:val="30"/>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1">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2">
    <w:name w:val="标题 1 Char"/>
    <w:basedOn w:val="21"/>
    <w:link w:val="2"/>
    <w:qFormat/>
    <w:uiPriority w:val="0"/>
    <w:rPr>
      <w:rFonts w:ascii="宋体" w:hAnsi="Arial" w:eastAsia="黑体" w:cs="Times New Roman"/>
      <w:b/>
      <w:bCs/>
      <w:color w:val="000000"/>
      <w:kern w:val="44"/>
      <w:sz w:val="36"/>
      <w:szCs w:val="32"/>
    </w:rPr>
  </w:style>
  <w:style w:type="character" w:customStyle="1" w:styleId="33">
    <w:name w:val="标题 Char"/>
    <w:basedOn w:val="21"/>
    <w:link w:val="18"/>
    <w:qFormat/>
    <w:uiPriority w:val="10"/>
    <w:rPr>
      <w:rFonts w:eastAsia="宋体" w:asciiTheme="majorHAnsi" w:hAnsiTheme="majorHAnsi" w:cstheme="majorBidi"/>
      <w:b/>
      <w:bCs/>
      <w:sz w:val="32"/>
      <w:szCs w:val="32"/>
    </w:rPr>
  </w:style>
  <w:style w:type="character" w:customStyle="1" w:styleId="34">
    <w:name w:val="标题 2 Char"/>
    <w:basedOn w:val="21"/>
    <w:link w:val="3"/>
    <w:semiHidden/>
    <w:qFormat/>
    <w:uiPriority w:val="9"/>
    <w:rPr>
      <w:rFonts w:asciiTheme="majorHAnsi" w:hAnsiTheme="majorHAnsi" w:eastAsiaTheme="majorEastAsia" w:cstheme="majorBidi"/>
      <w:b/>
      <w:bCs/>
      <w:sz w:val="32"/>
      <w:szCs w:val="32"/>
    </w:rPr>
  </w:style>
  <w:style w:type="character" w:customStyle="1" w:styleId="35">
    <w:name w:val="正文文本缩进 Char"/>
    <w:link w:val="9"/>
    <w:qFormat/>
    <w:locked/>
    <w:uiPriority w:val="0"/>
    <w:rPr>
      <w:rFonts w:ascii="宋体" w:hAnsi="Courier New" w:eastAsia="宋体"/>
      <w:spacing w:val="-4"/>
      <w:sz w:val="18"/>
    </w:rPr>
  </w:style>
  <w:style w:type="character" w:customStyle="1" w:styleId="36">
    <w:name w:val="正文文本缩进 Char1"/>
    <w:basedOn w:val="21"/>
    <w:semiHidden/>
    <w:qFormat/>
    <w:uiPriority w:val="99"/>
    <w:rPr>
      <w:rFonts w:ascii="Times New Roman" w:hAnsi="Times New Roman" w:eastAsia="宋体" w:cs="Times New Roman"/>
      <w:sz w:val="28"/>
      <w:szCs w:val="20"/>
    </w:rPr>
  </w:style>
  <w:style w:type="character" w:customStyle="1" w:styleId="37">
    <w:name w:val="标题 3 Char"/>
    <w:qFormat/>
    <w:uiPriority w:val="0"/>
    <w:rPr>
      <w:rFonts w:eastAsia="宋体"/>
      <w:b/>
      <w:bCs/>
      <w:kern w:val="2"/>
      <w:sz w:val="32"/>
      <w:szCs w:val="32"/>
      <w:lang w:val="en-US" w:eastAsia="zh-CN" w:bidi="ar-SA"/>
    </w:rPr>
  </w:style>
  <w:style w:type="character" w:customStyle="1" w:styleId="38">
    <w:name w:val="列出段落 Char"/>
    <w:link w:val="25"/>
    <w:qFormat/>
    <w:locked/>
    <w:uiPriority w:val="0"/>
    <w:rPr>
      <w:rFonts w:ascii="Times New Roman" w:hAnsi="Times New Roman" w:eastAsia="宋体" w:cs="Times New Roman"/>
      <w:sz w:val="28"/>
      <w:szCs w:val="20"/>
    </w:rPr>
  </w:style>
  <w:style w:type="character" w:customStyle="1" w:styleId="39">
    <w:name w:val="正文 第五章 中间"/>
    <w:qFormat/>
    <w:uiPriority w:val="0"/>
    <w:rPr>
      <w:b/>
      <w:bCs/>
      <w:color w:val="000000"/>
      <w:sz w:val="32"/>
    </w:rPr>
  </w:style>
  <w:style w:type="character" w:customStyle="1" w:styleId="40">
    <w:name w:val="纯文本 Char1"/>
    <w:link w:val="10"/>
    <w:qFormat/>
    <w:uiPriority w:val="0"/>
    <w:rPr>
      <w:rFonts w:ascii="宋体" w:hAnsi="Courier New" w:eastAsia="宋体"/>
      <w:sz w:val="24"/>
    </w:rPr>
  </w:style>
  <w:style w:type="character" w:customStyle="1" w:styleId="41">
    <w:name w:val="纯文本 Char"/>
    <w:basedOn w:val="21"/>
    <w:semiHidden/>
    <w:qFormat/>
    <w:uiPriority w:val="99"/>
    <w:rPr>
      <w:rFonts w:ascii="宋体" w:hAnsi="Courier New" w:eastAsia="宋体" w:cs="Courier New"/>
      <w:szCs w:val="21"/>
    </w:rPr>
  </w:style>
  <w:style w:type="character" w:customStyle="1" w:styleId="42">
    <w:name w:val="标题 3 Char1"/>
    <w:basedOn w:val="21"/>
    <w:link w:val="4"/>
    <w:semiHidden/>
    <w:qFormat/>
    <w:uiPriority w:val="9"/>
    <w:rPr>
      <w:rFonts w:ascii="Times New Roman" w:hAnsi="Times New Roman" w:eastAsia="宋体" w:cs="Times New Roman"/>
      <w:b/>
      <w:bCs/>
      <w:sz w:val="32"/>
      <w:szCs w:val="32"/>
    </w:rPr>
  </w:style>
  <w:style w:type="character" w:customStyle="1" w:styleId="43">
    <w:name w:val="页眉 Char"/>
    <w:basedOn w:val="21"/>
    <w:link w:val="14"/>
    <w:semiHidden/>
    <w:qFormat/>
    <w:uiPriority w:val="99"/>
    <w:rPr>
      <w:rFonts w:ascii="Times New Roman" w:hAnsi="Times New Roman" w:eastAsia="宋体" w:cs="Times New Roman"/>
      <w:sz w:val="18"/>
      <w:szCs w:val="18"/>
    </w:rPr>
  </w:style>
  <w:style w:type="character" w:customStyle="1" w:styleId="44">
    <w:name w:val="页脚 Char"/>
    <w:basedOn w:val="21"/>
    <w:link w:val="13"/>
    <w:qFormat/>
    <w:uiPriority w:val="99"/>
    <w:rPr>
      <w:rFonts w:ascii="Times New Roman" w:hAnsi="Times New Roman" w:eastAsia="宋体" w:cs="Times New Roman"/>
      <w:sz w:val="18"/>
      <w:szCs w:val="18"/>
    </w:rPr>
  </w:style>
  <w:style w:type="character" w:customStyle="1" w:styleId="45">
    <w:name w:val="标题 4 Char"/>
    <w:basedOn w:val="21"/>
    <w:link w:val="5"/>
    <w:semiHidden/>
    <w:qFormat/>
    <w:uiPriority w:val="9"/>
    <w:rPr>
      <w:rFonts w:asciiTheme="majorHAnsi" w:hAnsiTheme="majorHAnsi" w:eastAsiaTheme="majorEastAsia" w:cstheme="majorBidi"/>
      <w:b/>
      <w:bCs/>
      <w:sz w:val="28"/>
      <w:szCs w:val="28"/>
    </w:rPr>
  </w:style>
  <w:style w:type="character" w:customStyle="1" w:styleId="46">
    <w:name w:val="标题 5 Char"/>
    <w:basedOn w:val="21"/>
    <w:link w:val="6"/>
    <w:semiHidden/>
    <w:qFormat/>
    <w:uiPriority w:val="9"/>
    <w:rPr>
      <w:rFonts w:ascii="Times New Roman" w:hAnsi="Times New Roman" w:eastAsia="宋体" w:cs="Times New Roman"/>
      <w:b/>
      <w:bCs/>
      <w:sz w:val="28"/>
      <w:szCs w:val="28"/>
    </w:rPr>
  </w:style>
  <w:style w:type="character" w:customStyle="1" w:styleId="47">
    <w:name w:val="标题 6 Char"/>
    <w:basedOn w:val="21"/>
    <w:link w:val="7"/>
    <w:semiHidden/>
    <w:qFormat/>
    <w:uiPriority w:val="9"/>
    <w:rPr>
      <w:rFonts w:asciiTheme="majorHAnsi" w:hAnsiTheme="majorHAnsi" w:eastAsiaTheme="majorEastAsia" w:cstheme="majorBidi"/>
      <w:b/>
      <w:bCs/>
      <w:sz w:val="24"/>
      <w:szCs w:val="24"/>
    </w:rPr>
  </w:style>
  <w:style w:type="character" w:customStyle="1" w:styleId="48">
    <w:name w:val="标题 7 Char"/>
    <w:basedOn w:val="21"/>
    <w:link w:val="8"/>
    <w:semiHidden/>
    <w:qFormat/>
    <w:uiPriority w:val="9"/>
    <w:rPr>
      <w:rFonts w:ascii="Times New Roman" w:hAnsi="Times New Roman" w:eastAsia="宋体" w:cs="Times New Roman"/>
      <w:b/>
      <w:bCs/>
      <w:sz w:val="24"/>
      <w:szCs w:val="24"/>
    </w:rPr>
  </w:style>
  <w:style w:type="paragraph" w:customStyle="1" w:styleId="49">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0">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1">
    <w:name w:val="批注框文本 Char"/>
    <w:basedOn w:val="21"/>
    <w:link w:val="1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45</Pages>
  <Words>3952</Words>
  <Characters>22527</Characters>
  <Lines>187</Lines>
  <Paragraphs>52</Paragraphs>
  <TotalTime>235</TotalTime>
  <ScaleCrop>false</ScaleCrop>
  <LinksUpToDate>false</LinksUpToDate>
  <CharactersWithSpaces>26427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WPS_1591229444</cp:lastModifiedBy>
  <cp:lastPrinted>2019-06-10T01:13:00Z</cp:lastPrinted>
  <dcterms:modified xsi:type="dcterms:W3CDTF">2021-09-16T01:25:11Z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546492E9644C4A108178BCC3F3B75FDC</vt:lpwstr>
  </property>
</Properties>
</file>