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2023026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sz w:val="52"/>
          <w:szCs w:val="52"/>
        </w:rPr>
      </w:pPr>
      <w:r>
        <w:rPr>
          <w:rFonts w:hint="eastAsia" w:ascii="华文中宋" w:hAnsi="华文中宋" w:eastAsia="华文中宋"/>
          <w:b/>
          <w:bCs/>
          <w:sz w:val="52"/>
          <w:szCs w:val="52"/>
          <w:lang w:eastAsia="zh-CN"/>
        </w:rPr>
        <w:t>皖南医学院2023年线上普教招生宣传项目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w:t>
      </w:r>
      <w:r>
        <w:rPr>
          <w:rFonts w:hint="eastAsia" w:ascii="仿宋_GB2312" w:eastAsia="仿宋_GB2312"/>
          <w:b/>
          <w:sz w:val="36"/>
          <w:szCs w:val="36"/>
          <w:lang w:val="en-US" w:eastAsia="zh-CN"/>
        </w:rPr>
        <w:t>6</w:t>
      </w:r>
      <w:r>
        <w:rPr>
          <w:rFonts w:hint="eastAsia" w:ascii="仿宋_GB2312" w:eastAsia="仿宋_GB2312"/>
          <w:b/>
          <w:sz w:val="36"/>
          <w:szCs w:val="36"/>
          <w:lang w:eastAsia="zh-CN"/>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p>
      <w:pPr>
        <w:pStyle w:val="19"/>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0"/>
          <w:rFonts w:hint="eastAsia"/>
        </w:rPr>
        <w:t>第一章</w:t>
      </w:r>
      <w:r>
        <w:rPr>
          <w:rStyle w:val="30"/>
        </w:rPr>
        <w:t xml:space="preserve">  </w:t>
      </w:r>
      <w:r>
        <w:rPr>
          <w:rStyle w:val="30"/>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"_Toc49763000" </w:instrText>
      </w:r>
      <w:r>
        <w:fldChar w:fldCharType="separate"/>
      </w:r>
      <w:r>
        <w:rPr>
          <w:rStyle w:val="30"/>
          <w:rFonts w:hint="eastAsia"/>
        </w:rPr>
        <w:t>第二章</w:t>
      </w:r>
      <w:r>
        <w:rPr>
          <w:rStyle w:val="30"/>
        </w:rPr>
        <w:t xml:space="preserve">  </w:t>
      </w:r>
      <w:r>
        <w:rPr>
          <w:rStyle w:val="30"/>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"_Toc49763001" </w:instrText>
      </w:r>
      <w:r>
        <w:fldChar w:fldCharType="separate"/>
      </w:r>
      <w:r>
        <w:rPr>
          <w:rStyle w:val="30"/>
          <w:rFonts w:hint="eastAsia"/>
        </w:rPr>
        <w:t>第三章</w:t>
      </w:r>
      <w:r>
        <w:rPr>
          <w:rStyle w:val="30"/>
        </w:rPr>
        <w:t xml:space="preserve">  </w:t>
      </w:r>
      <w:r>
        <w:rPr>
          <w:rStyle w:val="30"/>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"_Toc49763002" </w:instrText>
      </w:r>
      <w:r>
        <w:fldChar w:fldCharType="separate"/>
      </w:r>
      <w:r>
        <w:rPr>
          <w:rStyle w:val="30"/>
          <w:rFonts w:hint="eastAsia"/>
        </w:rPr>
        <w:t>第四章</w:t>
      </w:r>
      <w:r>
        <w:rPr>
          <w:rStyle w:val="30"/>
        </w:rPr>
        <w:t xml:space="preserve">  </w:t>
      </w:r>
      <w:r>
        <w:rPr>
          <w:rStyle w:val="30"/>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"_Toc49763003" </w:instrText>
      </w:r>
      <w:r>
        <w:fldChar w:fldCharType="separate"/>
      </w:r>
      <w:r>
        <w:rPr>
          <w:rStyle w:val="30"/>
          <w:rFonts w:hint="eastAsia"/>
        </w:rPr>
        <w:t>第五章</w:t>
      </w:r>
      <w:r>
        <w:rPr>
          <w:rStyle w:val="30"/>
        </w:rPr>
        <w:t xml:space="preserve">  </w:t>
      </w:r>
      <w:r>
        <w:rPr>
          <w:rStyle w:val="30"/>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"_Toc49763004" </w:instrText>
      </w:r>
      <w:r>
        <w:fldChar w:fldCharType="separate"/>
      </w:r>
      <w:r>
        <w:rPr>
          <w:rStyle w:val="30"/>
          <w:rFonts w:hint="eastAsia"/>
        </w:rPr>
        <w:t>第六章</w:t>
      </w:r>
      <w:r>
        <w:rPr>
          <w:rStyle w:val="30"/>
        </w:rPr>
        <w:t xml:space="preserve">  </w:t>
      </w:r>
      <w:r>
        <w:rPr>
          <w:rStyle w:val="30"/>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19"/>
        <w:rPr>
          <w:rFonts w:ascii="Calibri" w:hAnsi="Calibri" w:eastAsia="宋体"/>
          <w:b w:val="0"/>
          <w:sz w:val="21"/>
          <w:szCs w:val="22"/>
        </w:rPr>
      </w:pPr>
      <w:r>
        <w:fldChar w:fldCharType="begin"/>
      </w:r>
      <w:r>
        <w:instrText xml:space="preserve"> HYPERLINK \l "_Toc49763005" </w:instrText>
      </w:r>
      <w:r>
        <w:fldChar w:fldCharType="separate"/>
      </w:r>
      <w:r>
        <w:rPr>
          <w:rStyle w:val="30"/>
          <w:rFonts w:hint="eastAsia"/>
        </w:rPr>
        <w:t>第七章</w:t>
      </w:r>
      <w:r>
        <w:rPr>
          <w:rStyle w:val="30"/>
        </w:rPr>
        <w:t xml:space="preserve">  </w:t>
      </w:r>
      <w:r>
        <w:rPr>
          <w:rStyle w:val="30"/>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皖南医学院皖南医学院2023年线上普教招生宣传项目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皖南医学院皖南医学院2023年线上普教招生宣传项目</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2023026</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我校新生皖南医学院2023年线上普教招生宣传项目，包括微信公众号及视频号运营</w:t>
      </w:r>
      <w:r>
        <w:rPr>
          <w:rFonts w:hint="eastAsia" w:ascii="仿宋_GB2312" w:eastAsia="仿宋_GB2312" w:cs="宋体"/>
          <w:sz w:val="24"/>
          <w:szCs w:val="24"/>
          <w:lang w:val="en-US" w:eastAsia="zh-CN"/>
        </w:rPr>
        <w:t>、全教育媒体资源库推广</w:t>
      </w:r>
      <w:r>
        <w:rPr>
          <w:rFonts w:hint="eastAsia" w:ascii="仿宋_GB2312" w:eastAsia="仿宋_GB2312" w:cs="宋体"/>
          <w:sz w:val="24"/>
          <w:szCs w:val="24"/>
          <w:lang w:val="en-US" w:eastAsia="zh-CN"/>
        </w:rPr>
        <w:t>、线下定制专场推广2场等</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8.48万元。</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6.本项目不接受联合体投标。</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w:t>
      </w:r>
      <w:r>
        <w:rPr>
          <w:rFonts w:hint="eastAsia" w:ascii="仿宋_GB2312" w:eastAsia="仿宋_GB2312" w:cs="宋体"/>
          <w:sz w:val="24"/>
          <w:szCs w:val="24"/>
          <w:highlight w:val="none"/>
          <w:lang w:val="en-US" w:eastAsia="zh-CN"/>
        </w:rPr>
        <w:t>2023年6月2</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2023年6月9</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皖南医学院皖南医学院2023年线上普教招生宣传项目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2023026</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2023年6月13</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2023年6月13</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3"/>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w:t>
      </w:r>
    </w:p>
    <w:p>
      <w:pPr>
        <w:pStyle w:val="23"/>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3"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3"/>
        <w:adjustRightInd w:val="0"/>
        <w:snapToGrid w:val="0"/>
        <w:spacing w:before="0" w:beforeAutospacing="0" w:after="0" w:afterAutospacing="0" w:line="360" w:lineRule="auto"/>
        <w:ind w:firstLine="560" w:firstLineChars="200"/>
        <w:jc w:val="center"/>
        <w:rPr>
          <w:rFonts w:hint="default" w:ascii="仿宋_GB2312" w:eastAsia="仿宋_GB2312" w:cs="宋体"/>
          <w:sz w:val="24"/>
          <w:szCs w:val="24"/>
          <w:lang w:val="en-US" w:eastAsia="zh-CN"/>
        </w:rPr>
      </w:pP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宋体"/>
          <w:sz w:val="24"/>
          <w:szCs w:val="24"/>
          <w:lang w:val="en-US" w:eastAsia="zh-CN"/>
        </w:rPr>
        <w:t>请各投标单位于2023</w:t>
      </w:r>
      <w:r>
        <w:rPr>
          <w:rFonts w:hint="eastAsia" w:ascii="仿宋_GB2312" w:eastAsia="仿宋_GB2312" w:cs="宋体"/>
          <w:sz w:val="24"/>
          <w:szCs w:val="24"/>
          <w:highlight w:val="none"/>
          <w:lang w:val="en-US" w:eastAsia="zh-CN"/>
        </w:rPr>
        <w:t>年6月12日17</w:t>
      </w:r>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3"/>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2023年6月2</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3"/>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皖南医学院2023年线上普教招生宣传项目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5"/>
              <w:ind w:left="0" w:leftChars="0"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5"/>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16938519"/>
      <w:bookmarkStart w:id="5" w:name="_Toc403987205"/>
      <w:bookmarkStart w:id="6" w:name="_Toc513029203"/>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513029204"/>
      <w:bookmarkStart w:id="10" w:name="_Toc16938520"/>
      <w:bookmarkStart w:id="11" w:name="_Toc20823276"/>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8"/>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8"/>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8"/>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8"/>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513029206"/>
      <w:bookmarkStart w:id="16" w:name="_Toc20823278"/>
      <w:bookmarkStart w:id="17" w:name="_Toc16938522"/>
      <w:r>
        <w:rPr>
          <w:rFonts w:hint="eastAsia" w:ascii="宋体" w:hAnsi="宋体" w:cs="宋体"/>
          <w:sz w:val="24"/>
          <w:szCs w:val="24"/>
        </w:rPr>
        <w:t>4.适用法律</w:t>
      </w:r>
      <w:bookmarkEnd w:id="15"/>
      <w:bookmarkEnd w:id="16"/>
      <w:bookmarkEnd w:id="17"/>
    </w:p>
    <w:p>
      <w:pPr>
        <w:pStyle w:val="38"/>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20823279"/>
      <w:bookmarkStart w:id="20" w:name="_Toc462564067"/>
      <w:bookmarkStart w:id="21" w:name="_Toc513029207"/>
      <w:r>
        <w:rPr>
          <w:rFonts w:hint="eastAsia" w:ascii="宋体" w:hAnsi="宋体" w:cs="宋体"/>
          <w:sz w:val="24"/>
          <w:szCs w:val="24"/>
        </w:rPr>
        <w:t>5.磋商费用</w:t>
      </w:r>
      <w:bookmarkEnd w:id="18"/>
      <w:bookmarkEnd w:id="19"/>
      <w:bookmarkEnd w:id="20"/>
      <w:bookmarkEnd w:id="21"/>
    </w:p>
    <w:p>
      <w:pPr>
        <w:pStyle w:val="38"/>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8"/>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8"/>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513029209"/>
      <w:bookmarkStart w:id="24" w:name="_Toc120614215"/>
      <w:bookmarkStart w:id="25" w:name="_Toc403987206"/>
      <w:bookmarkStart w:id="26" w:name="_Toc1693852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38"/>
        <w:snapToGrid w:val="0"/>
        <w:rPr>
          <w:rFonts w:hint="eastAsia" w:hAnsi="宋体" w:eastAsia="宋体"/>
          <w:sz w:val="24"/>
          <w:szCs w:val="24"/>
        </w:rPr>
      </w:pPr>
      <w:r>
        <w:rPr>
          <w:rFonts w:hint="eastAsia" w:hAnsi="宋体" w:eastAsia="宋体"/>
          <w:sz w:val="24"/>
          <w:szCs w:val="24"/>
        </w:rPr>
        <w:t>磋商文件有以下部分组成：</w:t>
      </w:r>
    </w:p>
    <w:p>
      <w:pPr>
        <w:pStyle w:val="38"/>
        <w:snapToGrid w:val="0"/>
        <w:rPr>
          <w:rFonts w:hint="eastAsia" w:hAnsi="宋体" w:eastAsia="宋体"/>
          <w:sz w:val="24"/>
          <w:szCs w:val="24"/>
        </w:rPr>
      </w:pPr>
      <w:r>
        <w:rPr>
          <w:rFonts w:hint="eastAsia" w:hAnsi="宋体" w:eastAsia="宋体"/>
          <w:sz w:val="24"/>
          <w:szCs w:val="24"/>
        </w:rPr>
        <w:t>（1）磋商公告</w:t>
      </w:r>
    </w:p>
    <w:p>
      <w:pPr>
        <w:pStyle w:val="38"/>
        <w:snapToGrid w:val="0"/>
        <w:rPr>
          <w:rFonts w:hint="eastAsia" w:hAnsi="宋体" w:eastAsia="宋体"/>
          <w:sz w:val="24"/>
          <w:szCs w:val="24"/>
        </w:rPr>
      </w:pPr>
      <w:r>
        <w:rPr>
          <w:rFonts w:hint="eastAsia" w:hAnsi="宋体" w:eastAsia="宋体"/>
          <w:sz w:val="24"/>
          <w:szCs w:val="24"/>
        </w:rPr>
        <w:t>（2）磋商须知前附表</w:t>
      </w:r>
    </w:p>
    <w:p>
      <w:pPr>
        <w:pStyle w:val="38"/>
        <w:snapToGrid w:val="0"/>
        <w:rPr>
          <w:rFonts w:hint="eastAsia" w:hAnsi="宋体" w:eastAsia="宋体"/>
          <w:sz w:val="24"/>
          <w:szCs w:val="24"/>
        </w:rPr>
      </w:pPr>
      <w:r>
        <w:rPr>
          <w:rFonts w:hint="eastAsia" w:hAnsi="宋体" w:eastAsia="宋体"/>
          <w:sz w:val="24"/>
          <w:szCs w:val="24"/>
        </w:rPr>
        <w:t>（3）磋商须知</w:t>
      </w:r>
    </w:p>
    <w:p>
      <w:pPr>
        <w:pStyle w:val="38"/>
        <w:snapToGrid w:val="0"/>
        <w:rPr>
          <w:rFonts w:hint="eastAsia" w:hAnsi="宋体" w:eastAsia="宋体"/>
          <w:sz w:val="24"/>
          <w:szCs w:val="24"/>
        </w:rPr>
      </w:pPr>
      <w:r>
        <w:rPr>
          <w:rFonts w:hint="eastAsia" w:hAnsi="宋体" w:eastAsia="宋体"/>
          <w:sz w:val="24"/>
          <w:szCs w:val="24"/>
        </w:rPr>
        <w:t>（4）合同主要条款</w:t>
      </w:r>
    </w:p>
    <w:p>
      <w:pPr>
        <w:pStyle w:val="38"/>
        <w:snapToGrid w:val="0"/>
        <w:rPr>
          <w:rFonts w:hint="eastAsia" w:hAnsi="宋体" w:eastAsia="宋体"/>
          <w:sz w:val="24"/>
          <w:szCs w:val="24"/>
        </w:rPr>
      </w:pPr>
      <w:r>
        <w:rPr>
          <w:rFonts w:hint="eastAsia" w:hAnsi="宋体" w:eastAsia="宋体"/>
          <w:sz w:val="24"/>
          <w:szCs w:val="24"/>
        </w:rPr>
        <w:t>（5）项目需求</w:t>
      </w:r>
    </w:p>
    <w:p>
      <w:pPr>
        <w:pStyle w:val="38"/>
        <w:snapToGrid w:val="0"/>
        <w:rPr>
          <w:rFonts w:hint="eastAsia" w:hAnsi="宋体" w:eastAsia="宋体"/>
          <w:sz w:val="24"/>
          <w:szCs w:val="24"/>
        </w:rPr>
      </w:pPr>
      <w:r>
        <w:rPr>
          <w:rFonts w:hint="eastAsia" w:hAnsi="宋体" w:eastAsia="宋体"/>
          <w:sz w:val="24"/>
          <w:szCs w:val="24"/>
        </w:rPr>
        <w:t>（6）评审标准</w:t>
      </w:r>
    </w:p>
    <w:p>
      <w:pPr>
        <w:pStyle w:val="38"/>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513029211"/>
      <w:bookmarkStart w:id="31" w:name="_Toc20823283"/>
      <w:bookmarkStart w:id="32" w:name="_Toc16938527"/>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8"/>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513029213"/>
      <w:bookmarkStart w:id="35" w:name="_Toc120614216"/>
      <w:bookmarkStart w:id="36" w:name="_Toc20823285"/>
      <w:bookmarkStart w:id="37" w:name="_Toc462564072"/>
      <w:bookmarkStart w:id="38" w:name="_Toc16938529"/>
      <w:bookmarkStart w:id="39" w:name="_Toc403987207"/>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20823286"/>
      <w:bookmarkStart w:id="43" w:name="_Toc16938530"/>
      <w:bookmarkStart w:id="44" w:name="_Toc462564073"/>
      <w:r>
        <w:rPr>
          <w:rFonts w:hint="eastAsia" w:ascii="宋体" w:hAnsi="宋体" w:cs="宋体"/>
          <w:sz w:val="24"/>
          <w:szCs w:val="24"/>
        </w:rPr>
        <w:t>3.响应文件的语言及度量衡单位</w:t>
      </w:r>
      <w:bookmarkEnd w:id="41"/>
      <w:bookmarkEnd w:id="42"/>
      <w:bookmarkEnd w:id="43"/>
      <w:bookmarkEnd w:id="44"/>
    </w:p>
    <w:p>
      <w:pPr>
        <w:pStyle w:val="38"/>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8"/>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16938531"/>
      <w:bookmarkStart w:id="47" w:name="_Toc20823287"/>
      <w:bookmarkStart w:id="48" w:name="_Toc513029215"/>
      <w:r>
        <w:rPr>
          <w:rFonts w:hint="eastAsia" w:ascii="宋体" w:hAnsi="宋体" w:cs="宋体"/>
          <w:sz w:val="24"/>
          <w:szCs w:val="24"/>
        </w:rPr>
        <w:t>4.响应文件构成</w:t>
      </w:r>
      <w:bookmarkEnd w:id="45"/>
      <w:bookmarkEnd w:id="46"/>
      <w:bookmarkEnd w:id="47"/>
      <w:bookmarkEnd w:id="48"/>
    </w:p>
    <w:p>
      <w:pPr>
        <w:pStyle w:val="38"/>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8"/>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68975"/>
      <w:bookmarkEnd w:id="49"/>
      <w:bookmarkStart w:id="50" w:name="_Hlt26954838"/>
      <w:bookmarkEnd w:id="50"/>
      <w:bookmarkStart w:id="51" w:name="_Hlt26670360"/>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8"/>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8"/>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8"/>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8"/>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8"/>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8"/>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pStyle w:val="35"/>
        <w:snapToGrid w:val="0"/>
        <w:ind w:firstLine="480" w:firstLineChars="200"/>
        <w:rPr>
          <w:rFonts w:hint="eastAsia" w:ascii="宋体" w:hAnsi="宋体" w:cs="宋体"/>
          <w:sz w:val="24"/>
          <w:szCs w:val="24"/>
        </w:rPr>
      </w:pPr>
      <w:bookmarkStart w:id="63" w:name="_Hlt26670486"/>
      <w:bookmarkEnd w:id="63"/>
      <w:bookmarkStart w:id="64" w:name="_Hlt26954848"/>
      <w:bookmarkEnd w:id="64"/>
      <w:bookmarkStart w:id="65" w:name="_Hlt26954846"/>
      <w:bookmarkEnd w:id="65"/>
      <w:bookmarkStart w:id="66" w:name="_Hlt26954731"/>
      <w:bookmarkEnd w:id="66"/>
      <w:bookmarkStart w:id="67" w:name="_Hlt26670482"/>
      <w:bookmarkEnd w:id="67"/>
      <w:bookmarkStart w:id="68" w:name="_Toc49090510"/>
      <w:bookmarkStart w:id="69" w:name="_Toc14577359"/>
      <w:r>
        <w:rPr>
          <w:rFonts w:hint="eastAsia" w:ascii="宋体" w:hAnsi="宋体" w:cs="宋体"/>
          <w:sz w:val="24"/>
          <w:szCs w:val="24"/>
        </w:rPr>
        <w:t>8.</w:t>
      </w:r>
      <w:bookmarkEnd w:id="68"/>
      <w:bookmarkEnd w:id="69"/>
      <w:bookmarkStart w:id="70" w:name="_Hlt26954739"/>
      <w:bookmarkEnd w:id="70"/>
      <w:bookmarkStart w:id="71" w:name="_Hlt26954852"/>
      <w:bookmarkEnd w:id="71"/>
      <w:bookmarkStart w:id="72" w:name="_Toc49090512"/>
      <w:bookmarkStart w:id="73" w:name="_Toc14577361"/>
      <w:r>
        <w:rPr>
          <w:rFonts w:hint="eastAsia" w:ascii="宋体" w:hAnsi="宋体" w:cs="宋体"/>
          <w:sz w:val="24"/>
          <w:szCs w:val="24"/>
        </w:rPr>
        <w:t>响应文件份数和签署</w:t>
      </w:r>
      <w:bookmarkEnd w:id="72"/>
      <w:bookmarkEnd w:id="73"/>
    </w:p>
    <w:p>
      <w:pPr>
        <w:pStyle w:val="38"/>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8"/>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4" w:name="_Toc16938540"/>
      <w:bookmarkStart w:id="75" w:name="_Toc120614217"/>
      <w:bookmarkStart w:id="76" w:name="_Toc513029224"/>
      <w:bookmarkStart w:id="77" w:name="_Toc20823296"/>
      <w:bookmarkStart w:id="78" w:name="_Toc403987208"/>
      <w:r>
        <w:rPr>
          <w:rFonts w:hint="eastAsia" w:ascii="宋体" w:hAnsi="宋体" w:cs="宋体"/>
          <w:sz w:val="24"/>
          <w:szCs w:val="24"/>
        </w:rPr>
        <w:t>（四）响应文件的递交</w:t>
      </w:r>
      <w:bookmarkEnd w:id="74"/>
      <w:bookmarkEnd w:id="75"/>
      <w:bookmarkEnd w:id="76"/>
      <w:bookmarkEnd w:id="77"/>
      <w:bookmarkEnd w:id="78"/>
    </w:p>
    <w:p>
      <w:pPr>
        <w:adjustRightInd w:val="0"/>
        <w:snapToGrid w:val="0"/>
        <w:spacing w:line="360" w:lineRule="auto"/>
        <w:ind w:firstLine="480" w:firstLineChars="200"/>
        <w:rPr>
          <w:rFonts w:hint="eastAsia" w:ascii="宋体" w:hAnsi="宋体" w:cs="宋体"/>
          <w:sz w:val="24"/>
          <w:szCs w:val="24"/>
        </w:rPr>
      </w:pPr>
      <w:bookmarkStart w:id="79" w:name="_Toc20823297"/>
      <w:bookmarkStart w:id="80" w:name="_Toc16938541"/>
      <w:bookmarkStart w:id="81" w:name="_Toc513029225"/>
      <w:bookmarkStart w:id="82" w:name="_Toc462564084"/>
      <w:r>
        <w:rPr>
          <w:rFonts w:hint="eastAsia" w:ascii="宋体" w:hAnsi="宋体" w:cs="宋体"/>
          <w:sz w:val="24"/>
          <w:szCs w:val="24"/>
        </w:rPr>
        <w:t>1.响应文件的密封和标记</w:t>
      </w:r>
      <w:bookmarkEnd w:id="79"/>
      <w:bookmarkEnd w:id="80"/>
      <w:bookmarkEnd w:id="81"/>
      <w:bookmarkEnd w:id="82"/>
    </w:p>
    <w:p>
      <w:pPr>
        <w:pStyle w:val="38"/>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8"/>
        <w:snapToGrid w:val="0"/>
        <w:rPr>
          <w:rFonts w:hint="eastAsia" w:hAnsi="宋体" w:eastAsia="宋体"/>
          <w:sz w:val="24"/>
          <w:szCs w:val="24"/>
        </w:rPr>
      </w:pPr>
      <w:r>
        <w:rPr>
          <w:rFonts w:hint="eastAsia" w:hAnsi="宋体" w:eastAsia="宋体"/>
          <w:sz w:val="24"/>
          <w:szCs w:val="24"/>
        </w:rPr>
        <w:t>（2）密封的响应文件应：</w:t>
      </w:r>
    </w:p>
    <w:p>
      <w:pPr>
        <w:pStyle w:val="38"/>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8"/>
        <w:snapToGrid w:val="0"/>
        <w:rPr>
          <w:rFonts w:hint="eastAsia" w:hAnsi="宋体" w:eastAsia="宋体"/>
          <w:sz w:val="24"/>
          <w:szCs w:val="24"/>
        </w:rPr>
      </w:pPr>
      <w:r>
        <w:rPr>
          <w:rFonts w:hint="eastAsia" w:hAnsi="宋体" w:eastAsia="宋体"/>
          <w:sz w:val="24"/>
          <w:szCs w:val="24"/>
        </w:rPr>
        <w:t>2）注明磋商项目名称、项目编号。</w:t>
      </w:r>
    </w:p>
    <w:p>
      <w:pPr>
        <w:pStyle w:val="38"/>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3" w:name="_Toc20823298"/>
      <w:bookmarkStart w:id="84" w:name="_Toc513029226"/>
      <w:bookmarkStart w:id="85" w:name="_Toc16938542"/>
      <w:r>
        <w:rPr>
          <w:rFonts w:hint="eastAsia" w:ascii="宋体" w:hAnsi="宋体" w:cs="宋体"/>
          <w:sz w:val="24"/>
          <w:szCs w:val="24"/>
        </w:rPr>
        <w:t>2.响应文件提交截止</w:t>
      </w:r>
      <w:bookmarkEnd w:id="83"/>
      <w:bookmarkEnd w:id="84"/>
      <w:bookmarkEnd w:id="85"/>
      <w:r>
        <w:rPr>
          <w:rFonts w:hint="eastAsia" w:ascii="宋体" w:hAnsi="宋体" w:cs="宋体"/>
          <w:sz w:val="24"/>
          <w:szCs w:val="24"/>
        </w:rPr>
        <w:t>时间</w:t>
      </w:r>
    </w:p>
    <w:p>
      <w:pPr>
        <w:pStyle w:val="38"/>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8"/>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8"/>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8"/>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38"/>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6" w:name="_Toc513029231"/>
      <w:bookmarkStart w:id="87" w:name="_Toc16938547"/>
      <w:bookmarkStart w:id="88" w:name="_Toc20823303"/>
      <w:r>
        <w:rPr>
          <w:rFonts w:hint="eastAsia" w:ascii="宋体" w:hAnsi="宋体" w:cs="宋体"/>
          <w:sz w:val="24"/>
          <w:szCs w:val="24"/>
        </w:rPr>
        <w:t>2.磋商小组</w:t>
      </w:r>
    </w:p>
    <w:p>
      <w:pPr>
        <w:pStyle w:val="38"/>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8"/>
        <w:snapToGrid w:val="0"/>
        <w:rPr>
          <w:rFonts w:hint="eastAsia" w:hAnsi="宋体" w:eastAsia="宋体"/>
          <w:sz w:val="24"/>
          <w:szCs w:val="24"/>
        </w:rPr>
      </w:pPr>
      <w:r>
        <w:rPr>
          <w:rFonts w:hint="eastAsia" w:hAnsi="宋体" w:eastAsia="宋体"/>
          <w:sz w:val="24"/>
          <w:szCs w:val="24"/>
        </w:rPr>
        <w:t>（2）磋商小组将按规定由3人或以上单数组成。</w:t>
      </w:r>
    </w:p>
    <w:bookmarkEnd w:id="86"/>
    <w:bookmarkEnd w:id="87"/>
    <w:bookmarkEnd w:id="88"/>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9" w:name="_Toc20823304"/>
      <w:bookmarkStart w:id="90" w:name="_Toc513029232"/>
      <w:bookmarkStart w:id="91" w:name="_Toc16938548"/>
      <w:r>
        <w:rPr>
          <w:rFonts w:hint="eastAsia" w:ascii="宋体" w:hAnsi="宋体" w:cs="宋体"/>
          <w:sz w:val="24"/>
          <w:szCs w:val="24"/>
        </w:rPr>
        <w:t>4.供应商澄清</w:t>
      </w:r>
      <w:bookmarkEnd w:id="89"/>
      <w:bookmarkEnd w:id="90"/>
      <w:bookmarkEnd w:id="91"/>
    </w:p>
    <w:p>
      <w:pPr>
        <w:adjustRightInd w:val="0"/>
        <w:snapToGrid w:val="0"/>
        <w:spacing w:line="360" w:lineRule="auto"/>
        <w:ind w:firstLine="480" w:firstLineChars="200"/>
        <w:rPr>
          <w:rFonts w:hint="eastAsia" w:ascii="宋体" w:hAnsi="宋体" w:cs="宋体"/>
          <w:sz w:val="24"/>
          <w:szCs w:val="24"/>
        </w:rPr>
      </w:pPr>
      <w:bookmarkStart w:id="92" w:name="_Toc20823305"/>
      <w:bookmarkStart w:id="93" w:name="_Toc513029233"/>
      <w:bookmarkStart w:id="94" w:name="_Toc16938549"/>
      <w:r>
        <w:rPr>
          <w:rFonts w:hint="eastAsia" w:ascii="宋体" w:hAnsi="宋体" w:cs="宋体"/>
          <w:sz w:val="24"/>
          <w:szCs w:val="24"/>
        </w:rPr>
        <w:t>磋商小组要求供应商澄清、说明或者更正响应文件将以书面形式作出。</w:t>
      </w:r>
    </w:p>
    <w:bookmarkEnd w:id="92"/>
    <w:bookmarkEnd w:id="93"/>
    <w:bookmarkEnd w:id="94"/>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（4）已提交响应文件的供应商，在提交最后报价之前，可以根据磋商情况退出磋商。采购人将退还退出磋商的供应商的磋商保证金。</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8"/>
        <w:snapToGrid w:val="0"/>
        <w:rPr>
          <w:rFonts w:hint="eastAsia" w:hAnsi="宋体" w:eastAsia="宋体"/>
          <w:sz w:val="24"/>
          <w:szCs w:val="24"/>
        </w:rPr>
      </w:pPr>
      <w:bookmarkStart w:id="95" w:name="_Toc513029235"/>
      <w:bookmarkStart w:id="96" w:name="_Toc16938551"/>
      <w:bookmarkStart w:id="97" w:name="_Toc20823307"/>
      <w:r>
        <w:rPr>
          <w:rFonts w:hint="eastAsia" w:hAnsi="宋体" w:eastAsia="宋体"/>
          <w:sz w:val="24"/>
          <w:szCs w:val="24"/>
        </w:rPr>
        <w:t>（1）响应无效条款</w:t>
      </w:r>
    </w:p>
    <w:p>
      <w:pPr>
        <w:pStyle w:val="35"/>
        <w:snapToGrid w:val="0"/>
        <w:ind w:firstLine="480" w:firstLineChars="200"/>
        <w:rPr>
          <w:rFonts w:hint="eastAsia" w:hAnsi="宋体" w:eastAsia="宋体"/>
          <w:sz w:val="24"/>
          <w:szCs w:val="24"/>
        </w:rPr>
      </w:pPr>
      <w:r>
        <w:rPr>
          <w:rFonts w:hint="eastAsia" w:hAnsi="宋体" w:eastAsia="宋体"/>
          <w:sz w:val="24"/>
          <w:szCs w:val="24"/>
        </w:rPr>
        <w:t>1）未按要求交纳磋商保证金的；</w:t>
      </w:r>
    </w:p>
    <w:p>
      <w:pPr>
        <w:pStyle w:val="35"/>
        <w:snapToGrid w:val="0"/>
        <w:ind w:firstLine="480" w:firstLineChars="200"/>
        <w:rPr>
          <w:rFonts w:hint="eastAsia" w:hAnsi="宋体" w:eastAsia="宋体"/>
          <w:sz w:val="24"/>
          <w:szCs w:val="24"/>
        </w:rPr>
      </w:pPr>
      <w:r>
        <w:rPr>
          <w:rFonts w:hint="eastAsia" w:hAnsi="宋体" w:eastAsia="宋体"/>
          <w:sz w:val="24"/>
          <w:szCs w:val="24"/>
        </w:rPr>
        <w:t>2）未按照磋商文件规定要求密封、签署、盖章的；</w:t>
      </w:r>
    </w:p>
    <w:p>
      <w:pPr>
        <w:pStyle w:val="35"/>
        <w:snapToGrid w:val="0"/>
        <w:ind w:firstLine="480" w:firstLineChars="200"/>
        <w:rPr>
          <w:rFonts w:hint="eastAsia" w:hAnsi="宋体" w:eastAsia="宋体"/>
          <w:sz w:val="24"/>
          <w:szCs w:val="24"/>
        </w:rPr>
      </w:pPr>
      <w:r>
        <w:rPr>
          <w:rFonts w:hint="eastAsia" w:hAnsi="宋体" w:eastAsia="宋体"/>
          <w:sz w:val="24"/>
          <w:szCs w:val="24"/>
        </w:rPr>
        <w:t>3）供应商不具备磋商文件中规定资格条件的；</w:t>
      </w:r>
    </w:p>
    <w:p>
      <w:pPr>
        <w:pStyle w:val="35"/>
        <w:snapToGrid w:val="0"/>
        <w:ind w:firstLine="480" w:firstLineChars="200"/>
        <w:rPr>
          <w:rFonts w:hint="eastAsia" w:hAnsi="宋体" w:eastAsia="宋体"/>
          <w:sz w:val="24"/>
          <w:szCs w:val="24"/>
        </w:rPr>
      </w:pPr>
      <w:r>
        <w:rPr>
          <w:rFonts w:hint="eastAsia" w:hAnsi="宋体" w:eastAsia="宋体"/>
          <w:sz w:val="24"/>
          <w:szCs w:val="24"/>
        </w:rPr>
        <w:t>4）不符合法律、法规和磋商文件中规定的其他实质性要求的（本磋商文件中斜体且有下划线部分为实质性要求和条件）；</w:t>
      </w:r>
    </w:p>
    <w:p>
      <w:pPr>
        <w:pStyle w:val="35"/>
        <w:snapToGrid w:val="0"/>
        <w:ind w:firstLine="480" w:firstLineChars="200"/>
        <w:rPr>
          <w:rFonts w:hint="eastAsia" w:hAnsi="宋体" w:eastAsia="宋体"/>
          <w:sz w:val="24"/>
          <w:szCs w:val="24"/>
        </w:rPr>
      </w:pPr>
      <w:r>
        <w:rPr>
          <w:rFonts w:hint="eastAsia" w:hAnsi="宋体" w:eastAsia="宋体"/>
          <w:sz w:val="24"/>
          <w:szCs w:val="24"/>
        </w:rPr>
        <w:t>5）其他法律、法规及本磋商文件规定的属响应无效的情形。</w:t>
      </w:r>
    </w:p>
    <w:p>
      <w:pPr>
        <w:pStyle w:val="38"/>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5"/>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5"/>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5"/>
    <w:bookmarkEnd w:id="96"/>
    <w:bookmarkEnd w:id="97"/>
    <w:p>
      <w:pPr>
        <w:adjustRightInd w:val="0"/>
        <w:snapToGrid w:val="0"/>
        <w:spacing w:line="360" w:lineRule="auto"/>
        <w:ind w:firstLine="480" w:firstLineChars="200"/>
        <w:rPr>
          <w:rFonts w:hint="eastAsia" w:ascii="宋体" w:hAnsi="宋体" w:cs="宋体"/>
          <w:sz w:val="24"/>
          <w:szCs w:val="24"/>
        </w:rPr>
      </w:pPr>
      <w:bookmarkStart w:id="98" w:name="_Toc20823310"/>
      <w:bookmarkStart w:id="99" w:name="_Toc16938554"/>
      <w:r>
        <w:rPr>
          <w:rFonts w:hint="eastAsia" w:ascii="宋体" w:hAnsi="宋体" w:cs="宋体"/>
          <w:sz w:val="24"/>
          <w:szCs w:val="24"/>
        </w:rPr>
        <w:t>8.确定</w:t>
      </w:r>
      <w:bookmarkEnd w:id="98"/>
      <w:bookmarkEnd w:id="99"/>
      <w:r>
        <w:rPr>
          <w:rFonts w:hint="eastAsia" w:ascii="宋体" w:hAnsi="宋体" w:cs="宋体"/>
          <w:sz w:val="24"/>
          <w:szCs w:val="24"/>
        </w:rPr>
        <w:t>成交供应商</w:t>
      </w:r>
    </w:p>
    <w:p>
      <w:pPr>
        <w:pStyle w:val="38"/>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8"/>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100" w:name="_Toc120614220"/>
      <w:bookmarkStart w:id="101" w:name="_Toc403987211"/>
      <w:bookmarkStart w:id="102" w:name="_Toc513029236"/>
      <w:bookmarkStart w:id="103" w:name="_Toc20823308"/>
      <w:bookmarkStart w:id="104" w:name="_Toc16938552"/>
      <w:r>
        <w:rPr>
          <w:rFonts w:hint="eastAsia" w:ascii="宋体" w:hAnsi="宋体" w:cs="宋体"/>
          <w:sz w:val="24"/>
          <w:szCs w:val="24"/>
        </w:rPr>
        <w:t>（六）授予合同</w:t>
      </w:r>
      <w:bookmarkEnd w:id="100"/>
      <w:bookmarkEnd w:id="101"/>
    </w:p>
    <w:bookmarkEnd w:id="102"/>
    <w:bookmarkEnd w:id="103"/>
    <w:bookmarkEnd w:id="104"/>
    <w:p>
      <w:pPr>
        <w:adjustRightInd w:val="0"/>
        <w:snapToGrid w:val="0"/>
        <w:spacing w:line="360" w:lineRule="auto"/>
        <w:ind w:firstLine="480" w:firstLineChars="200"/>
        <w:rPr>
          <w:rFonts w:hint="eastAsia" w:ascii="宋体" w:hAnsi="宋体" w:cs="宋体"/>
          <w:sz w:val="24"/>
          <w:szCs w:val="24"/>
        </w:rPr>
      </w:pPr>
      <w:bookmarkStart w:id="105" w:name="_Toc16938553"/>
      <w:bookmarkStart w:id="106" w:name="_Toc20823309"/>
      <w:bookmarkStart w:id="107" w:name="_Toc513029237"/>
      <w:r>
        <w:rPr>
          <w:rFonts w:hint="eastAsia" w:ascii="宋体" w:hAnsi="宋体" w:cs="宋体"/>
          <w:sz w:val="24"/>
          <w:szCs w:val="24"/>
        </w:rPr>
        <w:t>1.签订合同</w:t>
      </w:r>
    </w:p>
    <w:p>
      <w:pPr>
        <w:pStyle w:val="38"/>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8"/>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8"/>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8"/>
        <w:snapToGrid w:val="0"/>
        <w:rPr>
          <w:rFonts w:hint="eastAsia" w:hAnsi="宋体" w:eastAsia="宋体"/>
          <w:sz w:val="24"/>
          <w:szCs w:val="24"/>
        </w:rPr>
      </w:pPr>
      <w:r>
        <w:rPr>
          <w:rFonts w:hint="eastAsia" w:hAnsi="宋体" w:eastAsia="宋体"/>
          <w:sz w:val="24"/>
          <w:szCs w:val="24"/>
        </w:rPr>
        <w:t>（1）中标单位在收到成交通知书后，</w:t>
      </w:r>
      <w:r>
        <w:rPr>
          <w:rFonts w:hint="eastAsia" w:hAnsi="宋体" w:eastAsia="宋体"/>
          <w:sz w:val="24"/>
          <w:szCs w:val="24"/>
          <w:lang w:eastAsia="zh-CN"/>
        </w:rPr>
        <w:t>缴纳</w:t>
      </w:r>
      <w:r>
        <w:rPr>
          <w:rFonts w:hint="eastAsia" w:hAnsi="宋体" w:eastAsia="宋体"/>
          <w:sz w:val="24"/>
          <w:szCs w:val="24"/>
        </w:rPr>
        <w:t>履约保证金</w:t>
      </w:r>
      <w:bookmarkStart w:id="108" w:name="_Toc200451963"/>
      <w:r>
        <w:rPr>
          <w:rFonts w:hint="eastAsia" w:hAnsi="宋体" w:eastAsia="宋体"/>
          <w:sz w:val="24"/>
          <w:szCs w:val="24"/>
        </w:rPr>
        <w:t>。</w:t>
      </w:r>
    </w:p>
    <w:bookmarkEnd w:id="108"/>
    <w:p>
      <w:pPr>
        <w:pStyle w:val="38"/>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5"/>
      <w:bookmarkEnd w:id="106"/>
      <w:bookmarkEnd w:id="107"/>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8"/>
        <w:snapToGrid w:val="0"/>
        <w:ind w:right="280" w:rightChars="100" w:firstLine="560"/>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rPr>
          <w:rFonts w:ascii="仿宋_GB2312" w:hAnsi="宋体" w:eastAsia="仿宋_GB2312"/>
          <w:bCs/>
          <w:szCs w:val="28"/>
        </w:rPr>
      </w:pPr>
    </w:p>
    <w:p>
      <w:pPr>
        <w:pStyle w:val="38"/>
        <w:snapToGrid w:val="0"/>
        <w:ind w:right="280" w:rightChars="100" w:firstLine="560"/>
        <w:rPr>
          <w:rFonts w:ascii="仿宋_GB2312" w:hAnsi="宋体" w:eastAsia="仿宋_GB2312"/>
          <w:bCs/>
          <w:szCs w:val="28"/>
        </w:rPr>
      </w:pPr>
    </w:p>
    <w:p>
      <w:pPr>
        <w:pStyle w:val="3"/>
        <w:numPr>
          <w:ilvl w:val="0"/>
          <w:numId w:val="2"/>
        </w:numPr>
        <w:snapToGrid w:val="0"/>
        <w:spacing w:before="0" w:after="0"/>
        <w:ind w:left="947" w:hanging="947"/>
        <w:jc w:val="center"/>
        <w:rPr>
          <w:rFonts w:hint="eastAsia"/>
        </w:rPr>
      </w:pPr>
      <w:bookmarkStart w:id="109" w:name="_Toc49763002"/>
      <w:r>
        <w:rPr>
          <w:rFonts w:hint="eastAsia" w:ascii="华文中宋" w:hAnsi="华文中宋" w:eastAsia="华文中宋"/>
          <w:bCs w:val="0"/>
          <w:color w:val="auto"/>
          <w:highlight w:val="none"/>
        </w:rPr>
        <w:t xml:space="preserve"> 合同主要条款</w:t>
      </w:r>
      <w:bookmarkEnd w:id="109"/>
    </w:p>
    <w:p>
      <w:pPr>
        <w:keepNext w:val="0"/>
        <w:keepLines w:val="0"/>
        <w:pageBreakBefore w:val="0"/>
        <w:widowControl w:val="0"/>
        <w:kinsoku/>
        <w:wordWrap/>
        <w:overflowPunct/>
        <w:topLinePunct w:val="0"/>
        <w:autoSpaceDE/>
        <w:autoSpaceDN/>
        <w:bidi w:val="0"/>
        <w:adjustRightInd w:val="0"/>
        <w:snapToGrid w:val="0"/>
        <w:spacing w:line="480" w:lineRule="exact"/>
        <w:ind w:firstLine="1"/>
        <w:jc w:val="center"/>
        <w:textAlignment w:val="auto"/>
        <w:rPr>
          <w:rFonts w:hint="eastAsia" w:ascii="Arial" w:hAnsi="Arial"/>
          <w:sz w:val="24"/>
        </w:rPr>
      </w:pPr>
      <w:r>
        <w:rPr>
          <w:rFonts w:hint="eastAsia" w:ascii="宋体" w:hAnsi="宋体" w:eastAsia="宋体" w:cs="宋体"/>
          <w:b w:val="0"/>
          <w:bCs/>
          <w:sz w:val="36"/>
          <w:szCs w:val="36"/>
          <w:lang w:val="en-US" w:eastAsia="zh-CN"/>
        </w:rPr>
        <w:t>XXXXXXX项目采购合同（服务类）</w:t>
      </w:r>
    </w:p>
    <w:p>
      <w:pPr>
        <w:spacing w:line="480" w:lineRule="exact"/>
        <w:rPr>
          <w:rFonts w:hint="default" w:ascii="Arial" w:hAnsi="Arial" w:eastAsia="宋体"/>
          <w:sz w:val="24"/>
          <w:lang w:val="en-US" w:eastAsia="zh-CN"/>
        </w:rPr>
      </w:pPr>
      <w:r>
        <w:rPr>
          <w:rFonts w:hint="eastAsia" w:ascii="Arial" w:hAnsi="Arial"/>
          <w:sz w:val="24"/>
        </w:rPr>
        <w:t xml:space="preserve">                                     </w:t>
      </w:r>
      <w:r>
        <w:rPr>
          <w:rFonts w:hint="eastAsia" w:ascii="Arial" w:hAnsi="Arial"/>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sz w:val="24"/>
          <w:szCs w:val="24"/>
          <w:lang w:val="en-US" w:eastAsia="zh-CN"/>
        </w:rPr>
        <w:t>WYGZ2023018-1</w:t>
      </w:r>
    </w:p>
    <w:p>
      <w:pPr>
        <w:pStyle w:val="25"/>
        <w:rPr>
          <w:rFonts w:hint="eastAsia"/>
        </w:rPr>
      </w:pPr>
    </w:p>
    <w:p>
      <w:pPr>
        <w:spacing w:line="480" w:lineRule="exact"/>
        <w:rPr>
          <w:rFonts w:ascii="仿宋" w:hAnsi="仿宋" w:eastAsia="仿宋"/>
          <w:sz w:val="28"/>
          <w:szCs w:val="28"/>
        </w:rPr>
      </w:pPr>
      <w:r>
        <w:rPr>
          <w:rFonts w:hint="eastAsia" w:ascii="仿宋" w:hAnsi="仿宋" w:eastAsia="仿宋"/>
          <w:sz w:val="28"/>
          <w:szCs w:val="28"/>
        </w:rPr>
        <w:t>买  方：皖南医学院                        电话：XXX-XXXXXX</w:t>
      </w:r>
    </w:p>
    <w:p>
      <w:pPr>
        <w:spacing w:line="480" w:lineRule="exact"/>
        <w:rPr>
          <w:rFonts w:hint="eastAsia" w:ascii="仿宋" w:hAnsi="仿宋" w:eastAsia="仿宋"/>
          <w:sz w:val="28"/>
          <w:szCs w:val="28"/>
        </w:rPr>
      </w:pPr>
      <w:r>
        <w:rPr>
          <w:rFonts w:hint="eastAsia" w:ascii="仿宋" w:hAnsi="仿宋" w:eastAsia="仿宋"/>
          <w:sz w:val="28"/>
          <w:szCs w:val="28"/>
        </w:rPr>
        <w:t>卖  方：XXXXXXXXXXXX                      电话：XXX-XXXXXX</w:t>
      </w:r>
    </w:p>
    <w:p>
      <w:pPr>
        <w:rPr>
          <w:rFonts w:hint="eastAsia" w:ascii="仿宋" w:hAnsi="仿宋" w:eastAsia="仿宋"/>
          <w:sz w:val="28"/>
          <w:szCs w:val="28"/>
        </w:rPr>
      </w:pPr>
      <w:r>
        <w:rPr>
          <w:rFonts w:hint="eastAsia" w:ascii="仿宋" w:hAnsi="仿宋" w:eastAsia="仿宋"/>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买方通过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rPr>
        <w:t>方式采购活动，经评审，决定将本项目采购合同授予卖方。为进一步明确双方的责任，确保合同的顺利履行，</w:t>
      </w:r>
      <w:r>
        <w:rPr>
          <w:rFonts w:hint="eastAsia" w:ascii="仿宋" w:hAnsi="仿宋" w:eastAsia="仿宋" w:cs="仿宋"/>
          <w:color w:val="000000"/>
          <w:sz w:val="28"/>
          <w:szCs w:val="28"/>
        </w:rPr>
        <w:t>根据《中华人民共和国政府采购法》、《中华人民共和国合同法》及有关法律规定，遵循平等、自愿、公平和诚实信用的原则，</w:t>
      </w:r>
      <w:r>
        <w:rPr>
          <w:rFonts w:hint="eastAsia" w:ascii="仿宋" w:hAnsi="仿宋" w:eastAsia="仿宋" w:cs="仿宋"/>
          <w:sz w:val="28"/>
          <w:szCs w:val="28"/>
        </w:rPr>
        <w:t>买卖双方</w:t>
      </w:r>
      <w:r>
        <w:rPr>
          <w:rFonts w:hint="eastAsia" w:ascii="仿宋" w:hAnsi="仿宋" w:eastAsia="仿宋" w:cs="仿宋"/>
          <w:color w:val="000000"/>
          <w:sz w:val="28"/>
          <w:szCs w:val="28"/>
        </w:rPr>
        <w:t>协商一致</w:t>
      </w:r>
      <w:r>
        <w:rPr>
          <w:rFonts w:hint="eastAsia" w:ascii="仿宋" w:hAnsi="仿宋" w:eastAsia="仿宋" w:cs="仿宋"/>
          <w:sz w:val="28"/>
          <w:szCs w:val="28"/>
        </w:rPr>
        <w:t>同意按如下条款签订本合同：</w:t>
      </w:r>
    </w:p>
    <w:p>
      <w:pPr>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服务名称及内容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本合同采购服务名称和内容同采购文件规定。</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二、组成合同的文件</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组成本合同的文件包括：</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采购文件及答疑、更正公告;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采购文件标准文本中的“合同条款”；</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中标或成交公告；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卖方提交的投标文件及书面承诺函；</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双方另行签订的补充协议。</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 本合同的总金额为￥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元(人民币大写：</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四、服务期限</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卖方应于合同签字生效后开始计算的</w:t>
      </w:r>
      <w:r>
        <w:rPr>
          <w:rFonts w:hint="eastAsia" w:ascii="仿宋" w:hAnsi="仿宋" w:eastAsia="仿宋" w:cs="仿宋"/>
          <w:b/>
          <w:sz w:val="28"/>
          <w:szCs w:val="28"/>
          <w:u w:val="single"/>
        </w:rPr>
        <w:t xml:space="preserve">    </w:t>
      </w:r>
      <w:r>
        <w:rPr>
          <w:rFonts w:hint="eastAsia" w:ascii="仿宋" w:hAnsi="仿宋" w:eastAsia="仿宋" w:cs="仿宋"/>
          <w:sz w:val="28"/>
          <w:szCs w:val="28"/>
        </w:rPr>
        <w:t>日内完成合同规定的服务内容，由买方进行验收。</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五、验收要求</w:t>
      </w:r>
    </w:p>
    <w:p>
      <w:pPr>
        <w:pageBreakBefore w:val="0"/>
        <w:widowControl/>
        <w:kinsoku/>
        <w:wordWrap/>
        <w:overflowPunct/>
        <w:topLinePunct w:val="0"/>
        <w:autoSpaceDE/>
        <w:autoSpaceDN/>
        <w:bidi w:val="0"/>
        <w:spacing w:line="360" w:lineRule="auto"/>
        <w:ind w:left="0" w:leftChars="0"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（一）质量标准</w:t>
      </w:r>
    </w:p>
    <w:p>
      <w:pPr>
        <w:pageBreakBefore w:val="0"/>
        <w:widowControl/>
        <w:kinsoku/>
        <w:wordWrap/>
        <w:overflowPunct/>
        <w:topLinePunct w:val="0"/>
        <w:autoSpaceDE/>
        <w:autoSpaceDN/>
        <w:bidi w:val="0"/>
        <w:spacing w:line="360" w:lineRule="auto"/>
        <w:ind w:left="0" w:leftChars="0"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卖方保证提供的服务质量应符合中华人民共和国相关标准及相应的技术规范、本次采购相关文件中的全部相关要求及卖方相关服务标准及相应的技术规范中之较高者。</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（二）验收组织</w:t>
      </w:r>
    </w:p>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 xml:space="preserve">    买方负责组织验收工作，</w:t>
      </w:r>
      <w:r>
        <w:rPr>
          <w:rFonts w:hint="eastAsia" w:ascii="仿宋" w:hAnsi="仿宋" w:eastAsia="仿宋" w:cs="仿宋"/>
          <w:color w:val="333333"/>
          <w:sz w:val="28"/>
          <w:szCs w:val="28"/>
          <w:shd w:val="clear" w:color="auto" w:fill="FFFFFF"/>
        </w:rPr>
        <w:t>政府向社会公众提供的公共服务项目，验收时须邀请服务对象参与并出具意见，</w:t>
      </w:r>
      <w:r>
        <w:rPr>
          <w:rFonts w:hint="eastAsia" w:ascii="仿宋" w:hAnsi="仿宋" w:eastAsia="仿宋" w:cs="仿宋"/>
          <w:color w:val="333333"/>
          <w:sz w:val="28"/>
          <w:szCs w:val="28"/>
        </w:rPr>
        <w:t>验收结果于验收结束之日起5个工作日内向社会公告。</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kern w:val="0"/>
          <w:sz w:val="28"/>
          <w:szCs w:val="28"/>
        </w:rPr>
      </w:pPr>
      <w:r>
        <w:rPr>
          <w:rFonts w:hint="eastAsia" w:ascii="仿宋" w:hAnsi="仿宋" w:eastAsia="仿宋" w:cs="仿宋"/>
          <w:b/>
          <w:color w:val="333333"/>
          <w:sz w:val="28"/>
          <w:szCs w:val="28"/>
          <w:shd w:val="clear" w:color="auto" w:fill="FFFFFF"/>
        </w:rPr>
        <w:t>（三）</w:t>
      </w:r>
      <w:r>
        <w:rPr>
          <w:rFonts w:hint="eastAsia" w:ascii="仿宋" w:hAnsi="仿宋" w:eastAsia="仿宋" w:cs="仿宋"/>
          <w:b/>
          <w:kern w:val="0"/>
          <w:sz w:val="28"/>
          <w:szCs w:val="28"/>
        </w:rPr>
        <w:t>验收程序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1、成立验收小组，</w:t>
      </w:r>
      <w:r>
        <w:rPr>
          <w:rFonts w:hint="eastAsia" w:ascii="仿宋" w:hAnsi="仿宋" w:eastAsia="仿宋" w:cs="仿宋"/>
          <w:sz w:val="28"/>
          <w:szCs w:val="28"/>
        </w:rPr>
        <w:t>验收人员应由买方代表和技术专家组成</w:t>
      </w:r>
      <w:r>
        <w:rPr>
          <w:rFonts w:hint="eastAsia" w:ascii="仿宋" w:hAnsi="仿宋" w:eastAsia="仿宋" w:cs="仿宋"/>
          <w:kern w:val="0"/>
          <w:sz w:val="28"/>
          <w:szCs w:val="28"/>
        </w:rPr>
        <w:t>。</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2、验收前要编制验收表格。</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3、验收时双方要按照验收表格逐项验收。</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4、验收方出具验收报告。</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六、付款方式</w:t>
      </w:r>
    </w:p>
    <w:p>
      <w:pPr>
        <w:pageBreakBefore w:val="0"/>
        <w:kinsoku/>
        <w:wordWrap/>
        <w:overflowPunct/>
        <w:topLinePunct w:val="0"/>
        <w:autoSpaceDE/>
        <w:autoSpaceDN/>
        <w:bidi w:val="0"/>
        <w:spacing w:line="360" w:lineRule="auto"/>
        <w:ind w:left="0" w:leftChars="0" w:firstLine="560" w:firstLineChars="200"/>
        <w:textAlignment w:val="auto"/>
        <w:rPr>
          <w:rFonts w:hint="eastAsia"/>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可编辑。</w:t>
      </w:r>
    </w:p>
    <w:p>
      <w:pPr>
        <w:pStyle w:val="3"/>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七、售后服务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（一）卖方对合同服务的质量保修期为验收证书签署之日起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cs="仿宋"/>
          <w:sz w:val="28"/>
          <w:szCs w:val="28"/>
          <w:u w:val="single"/>
        </w:rPr>
        <w:t xml:space="preserve">     天</w:t>
      </w:r>
      <w:r>
        <w:rPr>
          <w:rFonts w:hint="eastAsia" w:ascii="仿宋" w:hAnsi="仿宋" w:eastAsia="仿宋" w:cs="仿宋"/>
          <w:sz w:val="28"/>
          <w:szCs w:val="28"/>
        </w:rPr>
        <w:t>内免费维修或更换有缺陷的部分。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（三）如卖方在收到通知后在政府采购合同规定时间内，没有弥补缺陷，买方可采取必要的补救措施，但由此引发的风险和费用将由卖方承担。</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八、履约保证金</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本项目履约保证金为￥</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)，收受人为</w:t>
      </w:r>
      <w:r>
        <w:rPr>
          <w:rFonts w:hint="eastAsia" w:ascii="仿宋" w:hAnsi="仿宋" w:eastAsia="仿宋" w:cs="仿宋"/>
          <w:sz w:val="28"/>
          <w:szCs w:val="28"/>
          <w:u w:val="single"/>
        </w:rPr>
        <w:t xml:space="preserve">           </w:t>
      </w:r>
      <w:r>
        <w:rPr>
          <w:rFonts w:hint="eastAsia" w:ascii="仿宋" w:hAnsi="仿宋" w:eastAsia="仿宋" w:cs="仿宋"/>
          <w:sz w:val="28"/>
          <w:szCs w:val="28"/>
        </w:rPr>
        <w:t>，期限为验收合格后</w:t>
      </w:r>
      <w:r>
        <w:rPr>
          <w:rFonts w:hint="eastAsia" w:ascii="仿宋" w:hAnsi="仿宋" w:eastAsia="仿宋" w:cs="仿宋"/>
          <w:b/>
          <w:sz w:val="28"/>
          <w:szCs w:val="28"/>
          <w:u w:val="single"/>
        </w:rPr>
        <w:t xml:space="preserve">     </w:t>
      </w:r>
      <w:r>
        <w:rPr>
          <w:rFonts w:hint="eastAsia" w:ascii="仿宋" w:hAnsi="仿宋" w:eastAsia="仿宋" w:cs="仿宋"/>
          <w:sz w:val="28"/>
          <w:szCs w:val="28"/>
        </w:rPr>
        <w:t>。如卖方</w:t>
      </w:r>
      <w:r>
        <w:rPr>
          <w:rFonts w:hint="eastAsia" w:ascii="仿宋" w:hAnsi="仿宋" w:eastAsia="仿宋" w:cs="仿宋"/>
          <w:color w:val="000000"/>
          <w:sz w:val="28"/>
          <w:szCs w:val="28"/>
        </w:rPr>
        <w:t>未能按期履行合同，买方可从履约保证金中获得经济上的赔偿。</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九、违约责任</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（一）卖方服务期限超过合同约定服务期限。</w:t>
      </w:r>
      <w:r>
        <w:rPr>
          <w:rFonts w:hint="eastAsia" w:ascii="仿宋" w:hAnsi="仿宋" w:eastAsia="仿宋" w:cs="仿宋"/>
          <w:color w:val="000000"/>
          <w:sz w:val="28"/>
          <w:szCs w:val="28"/>
        </w:rPr>
        <w:t>如果卖方由于自身的原因未能按期履行完合同，买方可从履约保证金中获得经济上的赔偿。其标准为按每延期一周收取合同金额的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%，但误期赔偿费总额不得超过履约保证金总额。一周按7天计算，不足7天按一周计算。在此情况下，卖方不得要求买方退还其履约保证金。</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（二）卖方服务期限内未能履约。</w:t>
      </w:r>
      <w:r>
        <w:rPr>
          <w:rFonts w:hint="eastAsia" w:ascii="仿宋" w:hAnsi="仿宋" w:eastAsia="仿宋" w:cs="仿宋"/>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hint="eastAsia" w:ascii="仿宋" w:hAnsi="仿宋" w:eastAsia="仿宋" w:cs="仿宋"/>
          <w:sz w:val="28"/>
          <w:szCs w:val="28"/>
        </w:rPr>
        <w:t>卖方必须在买方规定的时间内提供符合质量标准的服务，由此造成的误期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（三）卖方履约不符合约定的质量标准，卖方必须重新提供符合质量标准的服务，由此造成的误期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（五）买方未能按时组织验收，由财政部门责令限期改正，给予警告，对直接负责的主管人员和其他直接责任人员，由其行政主管部门给予处分，并予通报。</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（六）买方违反合同规定拒绝接收服务的，应当承担由此造成的损失。</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（七）验收合格后，买方未能按时提请付款，由财政部门责令限期改正，给予警告。</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（八）买方擅自变更、中止或者终止合同，由财政部门责令限期改正，给予警告，对直接负责的主管人员和其他直接责任人员，由其行政主管部门给予处分，并予通报。</w:t>
      </w:r>
    </w:p>
    <w:p>
      <w:pPr>
        <w:pStyle w:val="5"/>
        <w:pageBreakBefore w:val="0"/>
        <w:kinsoku/>
        <w:wordWrap/>
        <w:overflowPunct/>
        <w:topLinePunct w:val="0"/>
        <w:autoSpaceDE/>
        <w:autoSpaceDN/>
        <w:bidi w:val="0"/>
        <w:spacing w:before="120" w:after="120" w:line="360" w:lineRule="auto"/>
        <w:ind w:left="0" w:leftChars="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sz w:val="28"/>
          <w:szCs w:val="28"/>
        </w:rPr>
        <w:t>十、合同</w:t>
      </w:r>
      <w:r>
        <w:rPr>
          <w:rFonts w:hint="eastAsia" w:ascii="仿宋" w:hAnsi="仿宋" w:eastAsia="仿宋" w:cs="仿宋"/>
          <w:b/>
          <w:bCs/>
          <w:color w:val="000000"/>
          <w:sz w:val="28"/>
          <w:szCs w:val="28"/>
        </w:rPr>
        <w:t>签订地点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3"/>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十一、</w:t>
      </w:r>
      <w:r>
        <w:rPr>
          <w:rFonts w:hint="eastAsia" w:ascii="仿宋" w:hAnsi="仿宋" w:eastAsia="仿宋" w:cs="仿宋"/>
          <w:b/>
          <w:bCs/>
          <w:sz w:val="28"/>
          <w:szCs w:val="28"/>
        </w:rPr>
        <w:t>合同的终止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（一）本合同因下列原因而终止：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本合同正常履行完毕；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2、合同双方协议终止本合同的履行；</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4、符合本合同约定的其他终止合同的条款。</w:t>
      </w:r>
    </w:p>
    <w:p>
      <w:pPr>
        <w:pageBreakBefore w:val="0"/>
        <w:kinsoku/>
        <w:wordWrap/>
        <w:overflowPunct/>
        <w:topLinePunct w:val="0"/>
        <w:autoSpaceDE/>
        <w:autoSpaceDN/>
        <w:bidi w:val="0"/>
        <w:adjustRightInd w:val="0"/>
        <w:snapToGrid w:val="0"/>
        <w:spacing w:line="360" w:lineRule="auto"/>
        <w:ind w:left="0" w:leftChars="0" w:firstLine="280" w:firstLineChars="100"/>
        <w:textAlignment w:val="auto"/>
        <w:rPr>
          <w:rFonts w:hint="eastAsia" w:ascii="仿宋" w:hAnsi="仿宋" w:eastAsia="仿宋" w:cs="仿宋"/>
          <w:bCs/>
          <w:color w:val="000000"/>
          <w:sz w:val="28"/>
          <w:szCs w:val="28"/>
        </w:rPr>
      </w:pPr>
      <w:r>
        <w:rPr>
          <w:rFonts w:hint="eastAsia" w:ascii="仿宋" w:hAnsi="仿宋" w:eastAsia="仿宋" w:cs="仿宋"/>
          <w:sz w:val="28"/>
          <w:szCs w:val="28"/>
        </w:rPr>
        <w:t>（二）对本合同终止有过错的一方应赔偿另一方因合同终止而受到的损失。对合同终止双方均无过错的，则各自承担所受到的损失。</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color w:val="000000"/>
          <w:sz w:val="28"/>
          <w:szCs w:val="28"/>
        </w:rPr>
        <w:t>十二、</w:t>
      </w:r>
      <w:r>
        <w:rPr>
          <w:rFonts w:hint="eastAsia" w:ascii="仿宋" w:hAnsi="仿宋" w:eastAsia="仿宋" w:cs="仿宋"/>
          <w:b/>
          <w:bCs w:val="0"/>
          <w:sz w:val="28"/>
          <w:szCs w:val="28"/>
        </w:rPr>
        <w:t>其他</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（一）买卖双方必须严格按照采购文件、投标文件及有关承诺签订采购合同，不得擅自变更。合同执行期内，买卖双方均不得随意变更或解除合同。</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（二）本合同执行期间，如遇不可抗力，致使合同无法履行时，买卖双方应按有关法律规定及时协商处理。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（三）合同未尽事宜，</w:t>
      </w:r>
      <w:r>
        <w:rPr>
          <w:rFonts w:hint="eastAsia" w:ascii="仿宋" w:hAnsi="仿宋" w:eastAsia="仿宋" w:cs="仿宋"/>
          <w:sz w:val="28"/>
          <w:szCs w:val="28"/>
        </w:rPr>
        <w:t>买卖双方</w:t>
      </w:r>
      <w:r>
        <w:rPr>
          <w:rFonts w:hint="eastAsia" w:ascii="仿宋" w:hAnsi="仿宋" w:eastAsia="仿宋" w:cs="仿宋"/>
          <w:bCs/>
          <w:color w:val="000000"/>
          <w:sz w:val="28"/>
          <w:szCs w:val="28"/>
        </w:rPr>
        <w:t>另行签订补充协议，补充协议是合同的组成部分。</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b/>
          <w:sz w:val="28"/>
          <w:szCs w:val="28"/>
        </w:rPr>
      </w:pPr>
      <w:r>
        <w:rPr>
          <w:rFonts w:hint="eastAsia" w:ascii="仿宋" w:hAnsi="仿宋" w:eastAsia="仿宋" w:cs="仿宋"/>
          <w:kern w:val="0"/>
          <w:sz w:val="28"/>
          <w:szCs w:val="28"/>
        </w:rPr>
        <w:t>（四）本合同如发生纠纷，买卖双方应当及时协商解决，协商不成时，按以下第（ ②）项方式处理：①根据《中华人民共和国仲裁法》的规定向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申请仲裁。②向</w:t>
      </w:r>
      <w:r>
        <w:rPr>
          <w:rFonts w:hint="eastAsia" w:ascii="仿宋" w:hAnsi="仿宋" w:eastAsia="仿宋" w:cs="仿宋"/>
          <w:kern w:val="0"/>
          <w:sz w:val="28"/>
          <w:szCs w:val="28"/>
          <w:u w:val="single"/>
        </w:rPr>
        <w:t xml:space="preserve"> 买方所在地  </w:t>
      </w:r>
      <w:r>
        <w:rPr>
          <w:rFonts w:hint="eastAsia" w:ascii="仿宋" w:hAnsi="仿宋" w:eastAsia="仿宋" w:cs="仿宋"/>
          <w:kern w:val="0"/>
          <w:sz w:val="28"/>
          <w:szCs w:val="28"/>
        </w:rPr>
        <w:t>人民法院起诉。</w:t>
      </w:r>
      <w:r>
        <w:rPr>
          <w:rFonts w:hint="eastAsia" w:ascii="仿宋" w:hAnsi="仿宋" w:eastAsia="仿宋" w:cs="仿宋"/>
          <w:b/>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本合同一式陆份，自买卖双方法定代表人或委托代理人签字加盖单位公章后生效。</w:t>
      </w:r>
    </w:p>
    <w:p>
      <w:pPr>
        <w:pStyle w:val="25"/>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买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卖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单位盖章：                           单位盖章：</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             法定代表人或委托代理人：</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日    期：                           日    期:</w:t>
      </w:r>
    </w:p>
    <w:p>
      <w:pPr>
        <w:rPr>
          <w:rFonts w:hint="eastAsia" w:ascii="华文中宋" w:hAnsi="华文中宋" w:eastAsia="华文中宋"/>
          <w:bCs/>
          <w:color w:val="auto"/>
          <w:highlight w:val="none"/>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20"/>
        <w:rPr>
          <w:rFonts w:hint="eastAsia"/>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10" w:name="_Toc49763003"/>
      <w:r>
        <w:rPr>
          <w:rFonts w:hint="eastAsia" w:ascii="华文中宋" w:hAnsi="华文中宋" w:eastAsia="华文中宋"/>
          <w:bCs w:val="0"/>
          <w:color w:val="auto"/>
        </w:rPr>
        <w:t xml:space="preserve"> 项目需求</w:t>
      </w:r>
      <w:bookmarkEnd w:id="110"/>
    </w:p>
    <w:tbl>
      <w:tblPr>
        <w:tblStyle w:val="26"/>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66"/>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12" w:type="dxa"/>
            <w:noWrap w:val="0"/>
            <w:vAlign w:val="center"/>
          </w:tcPr>
          <w:p>
            <w:pPr>
              <w:spacing w:line="440" w:lineRule="exact"/>
              <w:jc w:val="center"/>
              <w:rPr>
                <w:rFonts w:hint="eastAsia" w:ascii="Microsoft JhengHei Light" w:hAnsi="Microsoft JhengHei Light" w:eastAsia="Microsoft JhengHei Light" w:cs="Microsoft JhengHei Light"/>
                <w:b/>
                <w:bCs/>
                <w:color w:val="000000"/>
                <w:sz w:val="28"/>
                <w:szCs w:val="28"/>
              </w:rPr>
            </w:pPr>
            <w:r>
              <w:rPr>
                <w:rFonts w:hint="eastAsia" w:ascii="Microsoft JhengHei Light" w:hAnsi="Microsoft JhengHei Light" w:eastAsia="Microsoft JhengHei Light" w:cs="Microsoft JhengHei Light"/>
                <w:b/>
                <w:bCs/>
                <w:color w:val="000000"/>
                <w:sz w:val="28"/>
                <w:szCs w:val="28"/>
              </w:rPr>
              <w:t>序号</w:t>
            </w:r>
          </w:p>
        </w:tc>
        <w:tc>
          <w:tcPr>
            <w:tcW w:w="966" w:type="dxa"/>
            <w:noWrap w:val="0"/>
            <w:vAlign w:val="center"/>
          </w:tcPr>
          <w:p>
            <w:pPr>
              <w:spacing w:line="440" w:lineRule="exact"/>
              <w:jc w:val="center"/>
              <w:rPr>
                <w:rFonts w:hint="eastAsia" w:ascii="Microsoft JhengHei Light" w:hAnsi="Microsoft JhengHei Light" w:eastAsia="Microsoft JhengHei Light" w:cs="Microsoft JhengHei Light"/>
                <w:b/>
                <w:bCs/>
                <w:color w:val="000000"/>
                <w:kern w:val="0"/>
                <w:sz w:val="28"/>
                <w:szCs w:val="28"/>
              </w:rPr>
            </w:pPr>
            <w:r>
              <w:rPr>
                <w:rFonts w:hint="eastAsia" w:ascii="Microsoft JhengHei Light" w:hAnsi="Microsoft JhengHei Light" w:eastAsia="Microsoft JhengHei Light" w:cs="Microsoft JhengHei Light"/>
                <w:b/>
                <w:bCs/>
                <w:color w:val="000000"/>
                <w:sz w:val="28"/>
                <w:szCs w:val="28"/>
              </w:rPr>
              <w:t>项目</w:t>
            </w:r>
          </w:p>
        </w:tc>
        <w:tc>
          <w:tcPr>
            <w:tcW w:w="6734" w:type="dxa"/>
            <w:noWrap w:val="0"/>
            <w:vAlign w:val="center"/>
          </w:tcPr>
          <w:p>
            <w:pPr>
              <w:spacing w:line="440" w:lineRule="exact"/>
              <w:jc w:val="center"/>
              <w:rPr>
                <w:rFonts w:hint="eastAsia" w:ascii="Microsoft JhengHei Light" w:hAnsi="Microsoft JhengHei Light" w:eastAsia="Microsoft JhengHei Light" w:cs="Microsoft JhengHei Light"/>
                <w:b/>
                <w:bCs/>
                <w:color w:val="000000"/>
                <w:kern w:val="0"/>
                <w:sz w:val="28"/>
                <w:szCs w:val="28"/>
              </w:rPr>
            </w:pPr>
            <w:r>
              <w:rPr>
                <w:rFonts w:hint="eastAsia" w:ascii="Microsoft JhengHei Light" w:hAnsi="Microsoft JhengHei Light" w:eastAsia="Microsoft JhengHei Light" w:cs="Microsoft JhengHei Light"/>
                <w:b/>
                <w:bCs/>
                <w:color w:val="000000"/>
                <w:sz w:val="28"/>
                <w:szCs w:val="28"/>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2" w:type="dxa"/>
            <w:noWrap w:val="0"/>
            <w:vAlign w:val="center"/>
          </w:tcPr>
          <w:p>
            <w:pPr>
              <w:widowControl/>
              <w:spacing w:line="440" w:lineRule="exact"/>
              <w:jc w:val="center"/>
              <w:textAlignment w:val="center"/>
              <w:rPr>
                <w:rFonts w:hint="eastAsia" w:ascii="Microsoft JhengHei Light" w:hAnsi="Microsoft JhengHei Light" w:eastAsia="Microsoft JhengHei Light" w:cs="Microsoft JhengHei Light"/>
                <w:b/>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1</w:t>
            </w:r>
          </w:p>
        </w:tc>
        <w:tc>
          <w:tcPr>
            <w:tcW w:w="966" w:type="dxa"/>
            <w:noWrap w:val="0"/>
            <w:vAlign w:val="center"/>
          </w:tcPr>
          <w:p>
            <w:pPr>
              <w:widowControl/>
              <w:spacing w:line="440" w:lineRule="exact"/>
              <w:jc w:val="center"/>
              <w:textAlignment w:val="center"/>
              <w:rPr>
                <w:rFonts w:hint="eastAsia" w:ascii="Microsoft JhengHei Light" w:hAnsi="Microsoft JhengHei Light" w:eastAsia="Microsoft JhengHei Light" w:cs="Microsoft JhengHei Light"/>
                <w:b/>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微信公众号</w:t>
            </w:r>
            <w:r>
              <w:rPr>
                <w:rFonts w:hint="eastAsia" w:ascii="Microsoft JhengHei Light" w:hAnsi="Microsoft JhengHei Light" w:cs="Microsoft JhengHei Light"/>
                <w:b/>
                <w:color w:val="000000"/>
                <w:kern w:val="0"/>
                <w:sz w:val="28"/>
                <w:szCs w:val="28"/>
                <w:lang w:bidi="ar"/>
              </w:rPr>
              <w:t>及视频号</w:t>
            </w:r>
            <w:r>
              <w:rPr>
                <w:rFonts w:hint="eastAsia" w:ascii="Microsoft JhengHei Light" w:hAnsi="Microsoft JhengHei Light" w:eastAsia="Microsoft JhengHei Light" w:cs="Microsoft JhengHei Light"/>
                <w:b/>
                <w:color w:val="000000"/>
                <w:kern w:val="0"/>
                <w:sz w:val="28"/>
                <w:szCs w:val="28"/>
                <w:lang w:bidi="ar"/>
              </w:rPr>
              <w:t>运营</w:t>
            </w:r>
          </w:p>
        </w:tc>
        <w:tc>
          <w:tcPr>
            <w:tcW w:w="6734" w:type="dxa"/>
            <w:noWrap w:val="0"/>
            <w:vAlign w:val="center"/>
          </w:tcPr>
          <w:p>
            <w:pPr>
              <w:widowControl/>
              <w:numPr>
                <w:ilvl w:val="0"/>
                <w:numId w:val="5"/>
              </w:numPr>
              <w:spacing w:line="440" w:lineRule="exact"/>
              <w:textAlignment w:val="center"/>
              <w:rPr>
                <w:rFonts w:hint="eastAsia" w:ascii="Microsoft JhengHei Light" w:hAnsi="Microsoft JhengHei Light" w:eastAsia="Microsoft JhengHei Light" w:cs="Microsoft JhengHei Light"/>
                <w:bCs/>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微信公众号日常运维</w:t>
            </w:r>
            <w:r>
              <w:rPr>
                <w:rFonts w:hint="eastAsia" w:ascii="Microsoft JhengHei Light" w:hAnsi="Microsoft JhengHei Light" w:eastAsia="Microsoft JhengHei Light" w:cs="Microsoft JhengHei Light"/>
                <w:bCs/>
                <w:color w:val="000000"/>
                <w:kern w:val="0"/>
                <w:sz w:val="28"/>
                <w:szCs w:val="28"/>
                <w:lang w:bidi="ar"/>
              </w:rPr>
              <w:t>：①</w:t>
            </w:r>
            <w:r>
              <w:rPr>
                <w:rFonts w:hint="eastAsia" w:ascii="Microsoft JhengHei Light" w:hAnsi="Microsoft JhengHei Light" w:cs="Microsoft JhengHei Light"/>
                <w:bCs/>
                <w:color w:val="000000"/>
                <w:kern w:val="0"/>
                <w:sz w:val="28"/>
                <w:szCs w:val="28"/>
                <w:lang w:bidi="ar"/>
              </w:rPr>
              <w:t>负责微信公众号</w:t>
            </w:r>
            <w:r>
              <w:rPr>
                <w:rFonts w:hint="eastAsia" w:ascii="Microsoft JhengHei Light" w:hAnsi="Microsoft JhengHei Light" w:eastAsia="Microsoft JhengHei Light" w:cs="Microsoft JhengHei Light"/>
                <w:bCs/>
                <w:color w:val="000000"/>
                <w:kern w:val="0"/>
                <w:sz w:val="28"/>
                <w:szCs w:val="28"/>
                <w:lang w:bidi="ar"/>
              </w:rPr>
              <w:t>全年日常运维</w:t>
            </w:r>
            <w:r>
              <w:rPr>
                <w:rFonts w:hint="eastAsia" w:ascii="Microsoft JhengHei Light" w:hAnsi="Microsoft JhengHei Light" w:cs="Microsoft JhengHei Light"/>
                <w:bCs/>
                <w:color w:val="000000"/>
                <w:kern w:val="0"/>
                <w:sz w:val="28"/>
                <w:szCs w:val="28"/>
                <w:lang w:bidi="ar"/>
              </w:rPr>
              <w:t>，运维内容包括</w:t>
            </w:r>
            <w:r>
              <w:rPr>
                <w:rFonts w:hint="eastAsia" w:ascii="Microsoft JhengHei Light" w:hAnsi="Microsoft JhengHei Light" w:eastAsia="Microsoft JhengHei Light" w:cs="Microsoft JhengHei Light"/>
                <w:bCs/>
                <w:color w:val="000000"/>
                <w:kern w:val="0"/>
                <w:sz w:val="28"/>
                <w:szCs w:val="28"/>
                <w:lang w:bidi="ar"/>
              </w:rPr>
              <w:t>②</w:t>
            </w:r>
            <w:r>
              <w:rPr>
                <w:rFonts w:hint="eastAsia" w:ascii="Microsoft JhengHei Light" w:hAnsi="Microsoft JhengHei Light" w:cs="Microsoft JhengHei Light"/>
                <w:bCs/>
                <w:color w:val="000000"/>
                <w:kern w:val="0"/>
                <w:sz w:val="28"/>
                <w:szCs w:val="28"/>
                <w:lang w:bidi="ar"/>
              </w:rPr>
              <w:t>和</w:t>
            </w:r>
            <w:r>
              <w:rPr>
                <w:rFonts w:hint="eastAsia" w:ascii="Microsoft JhengHei Light" w:hAnsi="Microsoft JhengHei Light" w:eastAsia="Microsoft JhengHei Light" w:cs="Microsoft JhengHei Light"/>
                <w:bCs/>
                <w:color w:val="000000"/>
                <w:kern w:val="0"/>
                <w:sz w:val="28"/>
                <w:szCs w:val="28"/>
                <w:lang w:bidi="ar"/>
              </w:rPr>
              <w:t>③；②</w:t>
            </w:r>
            <w:r>
              <w:rPr>
                <w:rFonts w:hint="eastAsia" w:ascii="Microsoft JhengHei Light" w:hAnsi="Microsoft JhengHei Light" w:cs="Microsoft JhengHei Light"/>
                <w:bCs/>
                <w:color w:val="000000"/>
                <w:kern w:val="0"/>
                <w:sz w:val="28"/>
                <w:szCs w:val="28"/>
                <w:lang w:bidi="ar"/>
              </w:rPr>
              <w:t>微信公众号</w:t>
            </w:r>
            <w:r>
              <w:rPr>
                <w:rFonts w:hint="eastAsia" w:ascii="Microsoft JhengHei Light" w:hAnsi="Microsoft JhengHei Light" w:eastAsia="Microsoft JhengHei Light" w:cs="Microsoft JhengHei Light"/>
                <w:bCs/>
                <w:color w:val="000000"/>
                <w:kern w:val="0"/>
                <w:sz w:val="28"/>
                <w:szCs w:val="28"/>
                <w:lang w:bidi="ar"/>
              </w:rPr>
              <w:t>日常图文推送和美誉文章撰写（</w:t>
            </w:r>
            <w:r>
              <w:rPr>
                <w:rFonts w:hint="eastAsia" w:ascii="Microsoft JhengHei Light" w:hAnsi="Microsoft JhengHei Light" w:cs="Microsoft JhengHei Light"/>
                <w:bCs/>
                <w:color w:val="000000"/>
                <w:kern w:val="0"/>
                <w:sz w:val="28"/>
                <w:szCs w:val="28"/>
                <w:lang w:bidi="ar"/>
              </w:rPr>
              <w:t>招生季</w:t>
            </w:r>
            <w:r>
              <w:rPr>
                <w:rFonts w:hint="eastAsia" w:ascii="Microsoft JhengHei Light" w:hAnsi="Microsoft JhengHei Light" w:eastAsia="Microsoft JhengHei Light" w:cs="Microsoft JhengHei Light"/>
                <w:bCs/>
                <w:color w:val="000000"/>
                <w:kern w:val="0"/>
                <w:sz w:val="28"/>
                <w:szCs w:val="28"/>
                <w:lang w:bidi="ar"/>
              </w:rPr>
              <w:t>推文不低于60篇、原创招生季海报不低于20张）；③</w:t>
            </w:r>
            <w:r>
              <w:rPr>
                <w:rFonts w:hint="eastAsia" w:ascii="Microsoft JhengHei Light" w:hAnsi="Microsoft JhengHei Light" w:cs="Microsoft JhengHei Light"/>
                <w:bCs/>
                <w:color w:val="000000"/>
                <w:kern w:val="0"/>
                <w:sz w:val="28"/>
                <w:szCs w:val="28"/>
                <w:lang w:bidi="ar"/>
              </w:rPr>
              <w:t>微信</w:t>
            </w:r>
            <w:r>
              <w:rPr>
                <w:rFonts w:hint="eastAsia" w:ascii="Microsoft JhengHei Light" w:hAnsi="Microsoft JhengHei Light" w:eastAsia="Microsoft JhengHei Light" w:cs="Microsoft JhengHei Light"/>
                <w:bCs/>
                <w:color w:val="000000"/>
                <w:kern w:val="0"/>
                <w:sz w:val="28"/>
                <w:szCs w:val="28"/>
                <w:lang w:bidi="ar"/>
              </w:rPr>
              <w:t>公众号后台留言信息回复</w:t>
            </w:r>
            <w:r>
              <w:rPr>
                <w:rFonts w:hint="eastAsia" w:ascii="Microsoft JhengHei Light" w:hAnsi="Microsoft JhengHei Light" w:cs="Microsoft JhengHei Light"/>
                <w:bCs/>
                <w:color w:val="000000"/>
                <w:kern w:val="0"/>
                <w:sz w:val="28"/>
                <w:szCs w:val="28"/>
                <w:lang w:bidi="ar"/>
              </w:rPr>
              <w:t>（24小时内）</w:t>
            </w:r>
            <w:r>
              <w:rPr>
                <w:rFonts w:hint="eastAsia" w:ascii="Microsoft JhengHei Light" w:hAnsi="Microsoft JhengHei Light" w:eastAsia="Microsoft JhengHei Light" w:cs="Microsoft JhengHei Light"/>
                <w:bCs/>
                <w:color w:val="000000"/>
                <w:kern w:val="0"/>
                <w:sz w:val="28"/>
                <w:szCs w:val="28"/>
                <w:lang w:bidi="ar"/>
              </w:rPr>
              <w:t>、数据汇总及舆情信息反馈</w:t>
            </w:r>
            <w:r>
              <w:rPr>
                <w:rFonts w:hint="eastAsia" w:ascii="Microsoft JhengHei Light" w:hAnsi="Microsoft JhengHei Light" w:cs="Microsoft JhengHei Light"/>
                <w:bCs/>
                <w:color w:val="000000"/>
                <w:kern w:val="0"/>
                <w:sz w:val="28"/>
                <w:szCs w:val="28"/>
                <w:lang w:bidi="ar"/>
              </w:rPr>
              <w:t>。</w:t>
            </w:r>
            <w:r>
              <w:rPr>
                <w:rFonts w:hint="eastAsia" w:ascii="Microsoft JhengHei Light" w:hAnsi="Microsoft JhengHei Light" w:eastAsia="Microsoft JhengHei Light" w:cs="Microsoft JhengHei Light"/>
                <w:bCs/>
                <w:color w:val="000000"/>
                <w:kern w:val="0"/>
                <w:sz w:val="28"/>
                <w:szCs w:val="28"/>
                <w:lang w:bidi="ar"/>
              </w:rPr>
              <w:t xml:space="preserve"> </w:t>
            </w:r>
          </w:p>
          <w:p>
            <w:pPr>
              <w:widowControl/>
              <w:numPr>
                <w:ilvl w:val="0"/>
                <w:numId w:val="5"/>
              </w:numPr>
              <w:spacing w:line="440" w:lineRule="exact"/>
              <w:textAlignment w:val="center"/>
              <w:rPr>
                <w:rFonts w:hint="eastAsia" w:ascii="Microsoft JhengHei Light" w:hAnsi="Microsoft JhengHei Light" w:eastAsia="Microsoft JhengHei Light" w:cs="Microsoft JhengHei Light"/>
                <w:bCs/>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技术支持</w:t>
            </w:r>
            <w:r>
              <w:rPr>
                <w:rFonts w:hint="eastAsia" w:ascii="Microsoft JhengHei Light" w:hAnsi="Microsoft JhengHei Light" w:eastAsia="Microsoft JhengHei Light" w:cs="Microsoft JhengHei Light"/>
                <w:bCs/>
                <w:color w:val="000000"/>
                <w:kern w:val="0"/>
                <w:sz w:val="28"/>
                <w:szCs w:val="28"/>
                <w:lang w:bidi="ar"/>
              </w:rPr>
              <w:t>：①建设采购人学院微官网②开发“微官网”管理平台，通过管理平台实现“微官网”的信息发布，在发布内容及样式上要与微信公众号和学院官网发布兼容互通。</w:t>
            </w:r>
          </w:p>
          <w:p>
            <w:pPr>
              <w:widowControl/>
              <w:numPr>
                <w:ilvl w:val="0"/>
                <w:numId w:val="5"/>
              </w:numPr>
              <w:spacing w:line="440" w:lineRule="exact"/>
              <w:textAlignment w:val="center"/>
              <w:rPr>
                <w:rFonts w:hint="eastAsia" w:ascii="Microsoft JhengHei Light" w:hAnsi="Microsoft JhengHei Light" w:cs="Microsoft JhengHei Light"/>
                <w:bCs/>
                <w:sz w:val="28"/>
                <w:szCs w:val="28"/>
              </w:rPr>
            </w:pPr>
            <w:r>
              <w:rPr>
                <w:rFonts w:hint="eastAsia" w:ascii="Microsoft JhengHei Light" w:hAnsi="Microsoft JhengHei Light" w:eastAsia="Microsoft JhengHei Light" w:cs="Microsoft JhengHei Light"/>
                <w:b/>
                <w:sz w:val="28"/>
                <w:szCs w:val="28"/>
              </w:rPr>
              <w:t>新媒体矩阵宣传服务</w:t>
            </w:r>
            <w:r>
              <w:rPr>
                <w:rFonts w:hint="eastAsia" w:ascii="Microsoft JhengHei Light" w:hAnsi="Microsoft JhengHei Light" w:eastAsia="Microsoft JhengHei Light" w:cs="Microsoft JhengHei Light"/>
                <w:bCs/>
                <w:sz w:val="28"/>
                <w:szCs w:val="28"/>
              </w:rPr>
              <w:t>：①通过推文文章（图文消息和视频消息）留言、一图通、后台线上咨询、H5、电子书等方式丰富宣传互动方式，优化招考服务形式;②搭建与官方教育信息</w:t>
            </w:r>
            <w:r>
              <w:rPr>
                <w:rFonts w:hint="eastAsia" w:ascii="Microsoft JhengHei Light" w:hAnsi="Microsoft JhengHei Light" w:cs="Microsoft JhengHei Light"/>
                <w:bCs/>
                <w:sz w:val="28"/>
                <w:szCs w:val="28"/>
              </w:rPr>
              <w:t>兼容互通的平台</w:t>
            </w:r>
            <w:r>
              <w:rPr>
                <w:rFonts w:hint="eastAsia" w:ascii="Microsoft JhengHei Light" w:hAnsi="Microsoft JhengHei Light" w:eastAsia="Microsoft JhengHei Light" w:cs="Microsoft JhengHei Light"/>
                <w:bCs/>
                <w:sz w:val="28"/>
                <w:szCs w:val="28"/>
              </w:rPr>
              <w:t>，同步支持采购人官网招生信息网内容更新与维护，强化官网保护，实现“一微一网”最先权威发布；</w:t>
            </w:r>
            <w:r>
              <w:rPr>
                <w:rFonts w:hint="eastAsia" w:ascii="Microsoft JhengHei Light" w:hAnsi="Microsoft JhengHei Light" w:cs="Microsoft JhengHei Light"/>
                <w:bCs/>
                <w:sz w:val="28"/>
                <w:szCs w:val="28"/>
              </w:rPr>
              <w:t>在</w:t>
            </w:r>
            <w:r>
              <w:rPr>
                <w:rFonts w:hint="eastAsia" w:ascii="Microsoft JhengHei Light" w:hAnsi="Microsoft JhengHei Light" w:eastAsia="Microsoft JhengHei Light" w:cs="Microsoft JhengHei Light"/>
                <w:bCs/>
                <w:sz w:val="28"/>
                <w:szCs w:val="28"/>
              </w:rPr>
              <w:t>高考群、各学科专业考试群（医药卫生类等）、高中群等学生群线上通发电子书及专题展。</w:t>
            </w:r>
          </w:p>
          <w:p>
            <w:pPr>
              <w:pStyle w:val="2"/>
              <w:spacing w:before="0" w:after="0" w:line="440" w:lineRule="exact"/>
              <w:rPr>
                <w:rFonts w:hint="eastAsia" w:ascii="Microsoft JhengHei Light" w:hAnsi="Microsoft JhengHei Light" w:eastAsia="Microsoft JhengHei Light" w:cs="Microsoft JhengHei Light"/>
                <w:b w:val="0"/>
                <w:color w:val="000000"/>
                <w:kern w:val="0"/>
                <w:sz w:val="28"/>
                <w:szCs w:val="28"/>
                <w:lang w:bidi="ar"/>
              </w:rPr>
            </w:pPr>
            <w:r>
              <w:rPr>
                <w:rFonts w:hint="eastAsia" w:ascii="Microsoft JhengHei Light" w:hAnsi="Microsoft JhengHei Light" w:eastAsia="Microsoft JhengHei Light" w:cs="Microsoft JhengHei Light"/>
                <w:b w:val="0"/>
                <w:bCs w:val="0"/>
                <w:sz w:val="28"/>
                <w:szCs w:val="28"/>
              </w:rPr>
              <w:t>4、</w:t>
            </w:r>
            <w:r>
              <w:rPr>
                <w:rFonts w:hint="eastAsia" w:ascii="Microsoft JhengHei Light" w:hAnsi="Microsoft JhengHei Light" w:eastAsia="Microsoft JhengHei Light" w:cs="Microsoft JhengHei Light"/>
                <w:bCs w:val="0"/>
                <w:sz w:val="28"/>
                <w:szCs w:val="28"/>
              </w:rPr>
              <w:t>招生办微信视频号运营：</w:t>
            </w:r>
            <w:r>
              <w:rPr>
                <w:rFonts w:hint="eastAsia" w:ascii="Microsoft JhengHei Light" w:hAnsi="Microsoft JhengHei Light" w:eastAsia="Microsoft JhengHei Light" w:cs="Microsoft JhengHei Light"/>
                <w:b w:val="0"/>
                <w:color w:val="000000"/>
                <w:kern w:val="0"/>
                <w:sz w:val="28"/>
                <w:szCs w:val="28"/>
                <w:lang w:bidi="ar"/>
              </w:rPr>
              <w:t>招生季重要节点短视频推广不低于5支（无人机航拍、混剪每种至少2支），每支短视频不低于30-120秒；提供短视频发布的可视化数据分析报告，包含投放内容截图及数据分析等。</w:t>
            </w:r>
          </w:p>
          <w:p>
            <w:pPr>
              <w:widowControl/>
              <w:spacing w:line="440" w:lineRule="exact"/>
              <w:textAlignment w:val="center"/>
              <w:rPr>
                <w:rFonts w:ascii="Microsoft JhengHei Light" w:hAnsi="Microsoft JhengHei Light" w:eastAsia="Microsoft JhengHei Light" w:cs="Microsoft JhengHei Light"/>
                <w:bCs/>
                <w:color w:val="000000"/>
                <w:kern w:val="0"/>
                <w:sz w:val="28"/>
                <w:szCs w:val="28"/>
                <w:lang w:bidi="ar"/>
              </w:rPr>
            </w:pPr>
            <w:r>
              <w:rPr>
                <w:rFonts w:hint="eastAsia" w:ascii="Microsoft JhengHei Light" w:hAnsi="Microsoft JhengHei Light" w:cs="Microsoft JhengHei Light"/>
                <w:bCs/>
                <w:sz w:val="28"/>
                <w:szCs w:val="28"/>
              </w:rPr>
              <w:t>5</w:t>
            </w:r>
            <w:r>
              <w:rPr>
                <w:rFonts w:hint="eastAsia" w:ascii="Microsoft JhengHei Light" w:hAnsi="Microsoft JhengHei Light" w:eastAsia="Microsoft JhengHei Light" w:cs="Microsoft JhengHei Light"/>
                <w:bCs/>
                <w:sz w:val="28"/>
                <w:szCs w:val="28"/>
              </w:rPr>
              <w:t>、</w:t>
            </w:r>
            <w:r>
              <w:rPr>
                <w:rFonts w:hint="eastAsia" w:ascii="Microsoft JhengHei Light" w:hAnsi="Microsoft JhengHei Light" w:eastAsia="Microsoft JhengHei Light" w:cs="Microsoft JhengHei Light"/>
                <w:b/>
                <w:sz w:val="28"/>
                <w:szCs w:val="28"/>
              </w:rPr>
              <w:t>服务基础要求</w:t>
            </w:r>
            <w:r>
              <w:rPr>
                <w:rFonts w:hint="eastAsia" w:ascii="Microsoft JhengHei Light" w:hAnsi="Microsoft JhengHei Light" w:eastAsia="Microsoft JhengHei Light" w:cs="Microsoft JhengHei Light"/>
                <w:bCs/>
                <w:sz w:val="28"/>
                <w:szCs w:val="28"/>
              </w:rPr>
              <w:t>：①有微信专项对接人，并保证招生季随时响应（</w:t>
            </w:r>
            <w:r>
              <w:rPr>
                <w:rFonts w:hint="eastAsia" w:ascii="Microsoft JhengHei Light" w:hAnsi="Microsoft JhengHei Light" w:eastAsia="Microsoft JhengHei Light" w:cs="Microsoft JhengHei Light"/>
                <w:sz w:val="28"/>
                <w:szCs w:val="28"/>
              </w:rPr>
              <w:t>双休日、节假日期间能做应急处理响应</w:t>
            </w:r>
            <w:r>
              <w:rPr>
                <w:rFonts w:hint="eastAsia" w:ascii="Microsoft JhengHei Light" w:hAnsi="Microsoft JhengHei Light" w:eastAsia="Microsoft JhengHei Light" w:cs="Microsoft JhengHei Light"/>
                <w:bCs/>
                <w:sz w:val="28"/>
                <w:szCs w:val="28"/>
              </w:rPr>
              <w:t>），非招生季主动提报和策划全程；②</w:t>
            </w:r>
            <w:r>
              <w:rPr>
                <w:rFonts w:hint="eastAsia" w:ascii="Microsoft JhengHei Light" w:hAnsi="Microsoft JhengHei Light" w:eastAsia="Microsoft JhengHei Light" w:cs="Microsoft JhengHei Light"/>
                <w:color w:val="000000"/>
                <w:kern w:val="0"/>
                <w:sz w:val="28"/>
                <w:szCs w:val="28"/>
                <w:lang w:bidi="ar"/>
              </w:rPr>
              <w:t>不得出现第三方名称和LOGO</w:t>
            </w:r>
            <w:r>
              <w:rPr>
                <w:rFonts w:hint="eastAsia" w:ascii="Microsoft JhengHei Light" w:hAnsi="Microsoft JhengHei Light" w:eastAsia="Microsoft JhengHei Light" w:cs="Microsoft JhengHei Light"/>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5" w:hRule="atLeast"/>
        </w:trPr>
        <w:tc>
          <w:tcPr>
            <w:tcW w:w="912" w:type="dxa"/>
            <w:noWrap w:val="0"/>
            <w:vAlign w:val="center"/>
          </w:tcPr>
          <w:p>
            <w:pPr>
              <w:widowControl/>
              <w:spacing w:line="440" w:lineRule="exact"/>
              <w:jc w:val="center"/>
              <w:textAlignment w:val="center"/>
              <w:rPr>
                <w:rFonts w:hint="eastAsia" w:ascii="Microsoft JhengHei Light" w:hAnsi="Microsoft JhengHei Light" w:eastAsia="Microsoft JhengHei Light" w:cs="Microsoft JhengHei Light"/>
                <w:b/>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2</w:t>
            </w:r>
          </w:p>
        </w:tc>
        <w:tc>
          <w:tcPr>
            <w:tcW w:w="966" w:type="dxa"/>
            <w:noWrap w:val="0"/>
            <w:vAlign w:val="center"/>
          </w:tcPr>
          <w:p>
            <w:pPr>
              <w:widowControl/>
              <w:spacing w:line="440" w:lineRule="exact"/>
              <w:jc w:val="center"/>
              <w:textAlignment w:val="center"/>
              <w:rPr>
                <w:rFonts w:ascii="Microsoft JhengHei Light" w:hAnsi="Microsoft JhengHei Light" w:eastAsia="Microsoft JhengHei Light" w:cs="Microsoft JhengHei Light"/>
                <w:b/>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全教育媒体资源库推广</w:t>
            </w:r>
          </w:p>
        </w:tc>
        <w:tc>
          <w:tcPr>
            <w:tcW w:w="6734" w:type="dxa"/>
            <w:noWrap w:val="0"/>
            <w:vAlign w:val="top"/>
          </w:tcPr>
          <w:p>
            <w:pPr>
              <w:widowControl/>
              <w:spacing w:line="440" w:lineRule="exact"/>
              <w:textAlignment w:val="center"/>
              <w:rPr>
                <w:rFonts w:hint="eastAsia" w:ascii="微软雅黑 Light" w:hAnsi="微软雅黑 Light" w:eastAsia="微软雅黑 Light" w:cs="微软雅黑 Light"/>
                <w:color w:val="000000"/>
                <w:sz w:val="24"/>
                <w:szCs w:val="24"/>
              </w:rPr>
            </w:pPr>
            <w:r>
              <w:rPr>
                <w:rFonts w:hint="eastAsia" w:ascii="Microsoft JhengHei Light" w:hAnsi="Microsoft JhengHei Light" w:eastAsia="Microsoft JhengHei Light" w:cs="Microsoft JhengHei Light"/>
                <w:bCs/>
                <w:sz w:val="28"/>
                <w:szCs w:val="28"/>
              </w:rPr>
              <w:t>在今日头条、人民网、中国教育网、安徽热线等热门媒体进行招生信息推广（图文信息</w:t>
            </w:r>
            <w:r>
              <w:rPr>
                <w:rFonts w:hint="eastAsia" w:ascii="Microsoft JhengHei Light" w:hAnsi="Microsoft JhengHei Light" w:cs="Microsoft JhengHei Light"/>
                <w:bCs/>
                <w:sz w:val="28"/>
                <w:szCs w:val="28"/>
              </w:rPr>
              <w:t>或</w:t>
            </w:r>
            <w:r>
              <w:rPr>
                <w:rFonts w:hint="eastAsia" w:ascii="Microsoft JhengHei Light" w:hAnsi="Microsoft JhengHei Light" w:eastAsia="Microsoft JhengHei Light" w:cs="Microsoft JhengHei Light"/>
                <w:bCs/>
                <w:sz w:val="28"/>
                <w:szCs w:val="28"/>
              </w:rPr>
              <w:t>视频信息），不低于10个热门媒体资源库平台、推广</w:t>
            </w:r>
            <w:r>
              <w:rPr>
                <w:rFonts w:hint="eastAsia" w:ascii="Microsoft JhengHei Light" w:hAnsi="Microsoft JhengHei Light" w:cs="Microsoft JhengHei Light"/>
                <w:bCs/>
                <w:sz w:val="28"/>
                <w:szCs w:val="28"/>
              </w:rPr>
              <w:t>总</w:t>
            </w:r>
            <w:r>
              <w:rPr>
                <w:rFonts w:hint="eastAsia" w:ascii="Microsoft JhengHei Light" w:hAnsi="Microsoft JhengHei Light" w:eastAsia="Microsoft JhengHei Light" w:cs="Microsoft JhengHei Light"/>
                <w:bCs/>
                <w:sz w:val="28"/>
                <w:szCs w:val="28"/>
              </w:rPr>
              <w:t>次数不低于15次、</w:t>
            </w:r>
            <w:r>
              <w:rPr>
                <w:rFonts w:hint="eastAsia" w:ascii="Microsoft JhengHei Light" w:hAnsi="Microsoft JhengHei Light" w:cs="Microsoft JhengHei Light"/>
                <w:bCs/>
                <w:sz w:val="28"/>
                <w:szCs w:val="28"/>
              </w:rPr>
              <w:t>每次推广</w:t>
            </w:r>
            <w:r>
              <w:rPr>
                <w:rFonts w:hint="eastAsia" w:ascii="Microsoft JhengHei Light" w:hAnsi="Microsoft JhengHei Light" w:eastAsia="Microsoft JhengHei Light" w:cs="Microsoft JhengHei Light"/>
                <w:bCs/>
                <w:sz w:val="28"/>
                <w:szCs w:val="28"/>
              </w:rPr>
              <w:t>时长30-60天。合作结束提供合作反馈报告，包含</w:t>
            </w:r>
            <w:r>
              <w:rPr>
                <w:rFonts w:hint="eastAsia" w:ascii="Microsoft JhengHei Light" w:hAnsi="Microsoft JhengHei Light" w:cs="Microsoft JhengHei Light"/>
                <w:bCs/>
                <w:sz w:val="28"/>
                <w:szCs w:val="28"/>
              </w:rPr>
              <w:t>推广信息</w:t>
            </w:r>
            <w:r>
              <w:rPr>
                <w:rFonts w:hint="eastAsia" w:ascii="Microsoft JhengHei Light" w:hAnsi="Microsoft JhengHei Light" w:eastAsia="Microsoft JhengHei Light" w:cs="Microsoft JhengHei Light"/>
                <w:bCs/>
                <w:sz w:val="28"/>
                <w:szCs w:val="28"/>
              </w:rPr>
              <w:t>截图及数据分析等。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atLeast"/>
        </w:trPr>
        <w:tc>
          <w:tcPr>
            <w:tcW w:w="912" w:type="dxa"/>
            <w:noWrap w:val="0"/>
            <w:vAlign w:val="center"/>
          </w:tcPr>
          <w:p>
            <w:pPr>
              <w:widowControl/>
              <w:spacing w:line="440" w:lineRule="exact"/>
              <w:jc w:val="center"/>
              <w:textAlignment w:val="center"/>
              <w:rPr>
                <w:rFonts w:hint="eastAsia" w:ascii="Microsoft JhengHei Light" w:hAnsi="Microsoft JhengHei Light" w:cs="Microsoft JhengHei Light"/>
                <w:b/>
                <w:color w:val="000000"/>
                <w:kern w:val="0"/>
                <w:sz w:val="28"/>
                <w:szCs w:val="28"/>
                <w:lang w:bidi="ar"/>
              </w:rPr>
            </w:pPr>
            <w:r>
              <w:rPr>
                <w:rFonts w:hint="eastAsia" w:ascii="Microsoft JhengHei Light" w:hAnsi="Microsoft JhengHei Light" w:cs="Microsoft JhengHei Light"/>
                <w:b/>
                <w:color w:val="000000"/>
                <w:kern w:val="0"/>
                <w:sz w:val="28"/>
                <w:szCs w:val="28"/>
                <w:lang w:bidi="ar"/>
              </w:rPr>
              <w:t>3</w:t>
            </w:r>
          </w:p>
        </w:tc>
        <w:tc>
          <w:tcPr>
            <w:tcW w:w="966" w:type="dxa"/>
            <w:noWrap w:val="0"/>
            <w:vAlign w:val="center"/>
          </w:tcPr>
          <w:p>
            <w:pPr>
              <w:widowControl/>
              <w:spacing w:line="440" w:lineRule="exact"/>
              <w:jc w:val="center"/>
              <w:textAlignment w:val="center"/>
              <w:rPr>
                <w:rFonts w:ascii="Microsoft JhengHei Light" w:hAnsi="Microsoft JhengHei Light" w:eastAsia="Microsoft JhengHei Light" w:cs="Microsoft JhengHei Light"/>
                <w:b/>
                <w:color w:val="000000"/>
                <w:kern w:val="0"/>
                <w:sz w:val="28"/>
                <w:szCs w:val="28"/>
                <w:lang w:bidi="ar"/>
              </w:rPr>
            </w:pPr>
            <w:r>
              <w:rPr>
                <w:rFonts w:hint="eastAsia" w:ascii="Microsoft JhengHei Light" w:hAnsi="Microsoft JhengHei Light" w:eastAsia="Microsoft JhengHei Light" w:cs="Microsoft JhengHei Light"/>
                <w:b/>
                <w:color w:val="000000"/>
                <w:kern w:val="0"/>
                <w:sz w:val="28"/>
                <w:szCs w:val="28"/>
                <w:lang w:bidi="ar"/>
              </w:rPr>
              <w:t>线下定制专场推广2场</w:t>
            </w:r>
          </w:p>
        </w:tc>
        <w:tc>
          <w:tcPr>
            <w:tcW w:w="6734" w:type="dxa"/>
            <w:noWrap w:val="0"/>
            <w:vAlign w:val="top"/>
          </w:tcPr>
          <w:p>
            <w:pPr>
              <w:widowControl/>
              <w:spacing w:line="440" w:lineRule="exact"/>
              <w:textAlignment w:val="center"/>
              <w:rPr>
                <w:rFonts w:hint="eastAsia" w:ascii="微软雅黑 Light" w:hAnsi="微软雅黑 Light" w:eastAsia="微软雅黑 Light" w:cs="微软雅黑 Light"/>
                <w:color w:val="000000"/>
                <w:sz w:val="24"/>
                <w:szCs w:val="24"/>
              </w:rPr>
            </w:pPr>
            <w:r>
              <w:rPr>
                <w:rFonts w:hint="eastAsia" w:ascii="Microsoft JhengHei Light" w:hAnsi="Microsoft JhengHei Light" w:eastAsia="Microsoft JhengHei Light" w:cs="Microsoft JhengHei Light"/>
                <w:bCs/>
                <w:sz w:val="28"/>
                <w:szCs w:val="28"/>
              </w:rPr>
              <w:t>根据学校确定的2所重点高中，</w:t>
            </w:r>
            <w:r>
              <w:rPr>
                <w:rFonts w:hint="eastAsia" w:ascii="Microsoft JhengHei Light" w:hAnsi="Microsoft JhengHei Light" w:cs="Microsoft JhengHei Light"/>
                <w:bCs/>
                <w:sz w:val="28"/>
                <w:szCs w:val="28"/>
              </w:rPr>
              <w:t>安排不少于4名工作人员组织</w:t>
            </w:r>
            <w:r>
              <w:rPr>
                <w:rFonts w:hint="eastAsia" w:ascii="Microsoft JhengHei Light" w:hAnsi="Microsoft JhengHei Light" w:eastAsia="Microsoft JhengHei Light" w:cs="Microsoft JhengHei Light"/>
                <w:bCs/>
                <w:sz w:val="28"/>
                <w:szCs w:val="28"/>
              </w:rPr>
              <w:t>线下招生宣传推广，设置专门咨询展位展示</w:t>
            </w:r>
            <w:r>
              <w:rPr>
                <w:rFonts w:hint="eastAsia" w:ascii="Microsoft JhengHei Light" w:hAnsi="Microsoft JhengHei Light" w:cs="Microsoft JhengHei Light"/>
                <w:bCs/>
                <w:sz w:val="28"/>
                <w:szCs w:val="28"/>
              </w:rPr>
              <w:t>学校</w:t>
            </w:r>
            <w:r>
              <w:rPr>
                <w:rFonts w:hint="eastAsia" w:ascii="Microsoft JhengHei Light" w:hAnsi="Microsoft JhengHei Light" w:eastAsia="Microsoft JhengHei Light" w:cs="Microsoft JhengHei Light"/>
                <w:bCs/>
                <w:sz w:val="28"/>
                <w:szCs w:val="28"/>
              </w:rPr>
              <w:t>招生材料和信息，组织学生和家长</w:t>
            </w:r>
            <w:r>
              <w:rPr>
                <w:rFonts w:hint="eastAsia" w:ascii="Microsoft JhengHei Light" w:hAnsi="Microsoft JhengHei Light" w:cs="Microsoft JhengHei Light"/>
                <w:bCs/>
                <w:sz w:val="28"/>
                <w:szCs w:val="28"/>
              </w:rPr>
              <w:t>（不少于3000人）</w:t>
            </w:r>
            <w:r>
              <w:rPr>
                <w:rFonts w:hint="eastAsia" w:ascii="Microsoft JhengHei Light" w:hAnsi="Microsoft JhengHei Light" w:eastAsia="Microsoft JhengHei Light" w:cs="Microsoft JhengHei Light"/>
                <w:bCs/>
                <w:sz w:val="28"/>
                <w:szCs w:val="28"/>
              </w:rPr>
              <w:t>参加招生专场宣传会，提前定制宣讲文案、PPT和视频，现场宣发</w:t>
            </w:r>
            <w:r>
              <w:rPr>
                <w:rFonts w:hint="eastAsia" w:ascii="Microsoft JhengHei Light" w:hAnsi="Microsoft JhengHei Light" w:cs="Microsoft JhengHei Light"/>
                <w:bCs/>
                <w:sz w:val="28"/>
                <w:szCs w:val="28"/>
              </w:rPr>
              <w:t>采购人自带的宣传资料</w:t>
            </w:r>
            <w:r>
              <w:rPr>
                <w:rFonts w:hint="eastAsia" w:ascii="Microsoft JhengHei Light" w:hAnsi="Microsoft JhengHei Light" w:eastAsia="Microsoft JhengHei Light" w:cs="Microsoft JhengHei Light"/>
                <w:bCs/>
                <w:sz w:val="28"/>
                <w:szCs w:val="28"/>
              </w:rPr>
              <w:t>。合作结束提供合作反馈报告，包含专场宣传会图片及数据分析等。</w:t>
            </w:r>
          </w:p>
        </w:tc>
      </w:tr>
    </w:tbl>
    <w:p>
      <w:pPr>
        <w:rPr>
          <w:rFonts w:hint="eastAsia"/>
        </w:rPr>
      </w:pPr>
      <w:r>
        <w:rPr>
          <w:rFonts w:hint="eastAsia"/>
        </w:rPr>
        <w:br w:type="page"/>
      </w:r>
    </w:p>
    <w:p>
      <w:pPr>
        <w:pStyle w:val="2"/>
        <w:rPr>
          <w:rFonts w:hint="eastAsia"/>
        </w:rPr>
      </w:pPr>
    </w:p>
    <w:p>
      <w:pPr>
        <w:pStyle w:val="3"/>
        <w:snapToGrid w:val="0"/>
        <w:spacing w:before="0" w:after="0"/>
        <w:ind w:left="0" w:leftChars="0" w:firstLine="0" w:firstLineChars="0"/>
        <w:jc w:val="center"/>
        <w:rPr>
          <w:rFonts w:ascii="楷体" w:hAnsi="楷体" w:eastAsia="楷体"/>
          <w:szCs w:val="28"/>
        </w:rPr>
      </w:pPr>
      <w:bookmarkStart w:id="111" w:name="_Toc49763004"/>
      <w:r>
        <w:rPr>
          <w:rFonts w:hint="eastAsia" w:ascii="华文中宋" w:hAnsi="华文中宋" w:eastAsia="华文中宋"/>
          <w:color w:val="auto"/>
        </w:rPr>
        <w:t>第六章  评分办法和评分细则</w:t>
      </w:r>
      <w:bookmarkEnd w:id="111"/>
    </w:p>
    <w:p>
      <w:pPr>
        <w:spacing w:line="360" w:lineRule="auto"/>
        <w:ind w:firstLine="435"/>
        <w:rPr>
          <w:rFonts w:hint="eastAsia" w:ascii="宋体" w:hAnsi="宋体"/>
          <w:sz w:val="24"/>
        </w:rPr>
      </w:pPr>
      <w:bookmarkStart w:id="112" w:name="_Toc49763005"/>
      <w:r>
        <w:rPr>
          <w:rFonts w:hint="eastAsia" w:ascii="宋体" w:hAnsi="宋体"/>
          <w:sz w:val="24"/>
        </w:rPr>
        <w:t>1.磋商小组按照下表对进入综合评分的所有供应商的响应文件进行综合评分。</w:t>
      </w:r>
    </w:p>
    <w:p>
      <w:pPr>
        <w:spacing w:line="360" w:lineRule="auto"/>
        <w:ind w:firstLine="435"/>
        <w:rPr>
          <w:b/>
          <w:bCs/>
          <w:sz w:val="32"/>
          <w:szCs w:val="28"/>
        </w:rPr>
      </w:pPr>
      <w:r>
        <w:rPr>
          <w:rFonts w:hint="eastAsia" w:ascii="宋体" w:hAnsi="宋体"/>
          <w:sz w:val="24"/>
        </w:rPr>
        <w:t>2.本项目综合评分满分为100分，其中：技术资信分值占总分值的权重为</w:t>
      </w:r>
      <w:r>
        <w:rPr>
          <w:rFonts w:hint="eastAsia" w:ascii="宋体" w:hAnsi="宋体"/>
          <w:sz w:val="24"/>
          <w:u w:val="single"/>
        </w:rPr>
        <w:t>70</w:t>
      </w:r>
      <w:r>
        <w:rPr>
          <w:rFonts w:hint="eastAsia" w:ascii="宋体" w:hAnsi="宋体"/>
          <w:sz w:val="24"/>
        </w:rPr>
        <w:t>%，价格分值占总分值的权重为</w:t>
      </w:r>
      <w:r>
        <w:rPr>
          <w:rFonts w:hint="eastAsia" w:ascii="宋体" w:hAnsi="宋体"/>
          <w:sz w:val="24"/>
          <w:u w:val="single"/>
        </w:rPr>
        <w:t>30</w:t>
      </w:r>
      <w:r>
        <w:rPr>
          <w:rFonts w:hint="eastAsia" w:ascii="宋体" w:hAnsi="宋体"/>
          <w:sz w:val="24"/>
        </w:rPr>
        <w:t>%。具体评分细则如下：</w:t>
      </w:r>
    </w:p>
    <w:tbl>
      <w:tblPr>
        <w:tblStyle w:val="26"/>
        <w:tblpPr w:leftFromText="180" w:rightFromText="180" w:vertAnchor="text" w:horzAnchor="page" w:tblpX="1676" w:tblpY="219"/>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23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959" w:type="dxa"/>
            <w:vMerge w:val="restart"/>
            <w:tcBorders>
              <w:left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技术资信分</w:t>
            </w:r>
          </w:p>
          <w:p>
            <w:pPr>
              <w:spacing w:line="360" w:lineRule="auto"/>
              <w:jc w:val="center"/>
              <w:rPr>
                <w:rFonts w:ascii="宋体" w:hAnsi="宋体"/>
                <w:color w:val="000000"/>
                <w:szCs w:val="21"/>
              </w:rPr>
            </w:pPr>
            <w:r>
              <w:rPr>
                <w:rFonts w:hint="eastAsia" w:ascii="宋体" w:hAnsi="宋体"/>
                <w:color w:val="000000"/>
                <w:szCs w:val="21"/>
              </w:rPr>
              <w:t>（70分）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szCs w:val="21"/>
              </w:rPr>
            </w:pPr>
            <w:r>
              <w:rPr>
                <w:rFonts w:hint="eastAsia" w:ascii="宋体" w:hAnsi="宋体"/>
                <w:szCs w:val="21"/>
              </w:rPr>
              <w:t>综合业绩实力</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pacing w:val="6"/>
                <w:sz w:val="24"/>
                <w:szCs w:val="24"/>
              </w:rPr>
            </w:pPr>
            <w:r>
              <w:rPr>
                <w:rFonts w:hint="eastAsia" w:ascii="宋体" w:hAnsi="宋体" w:cs="宋体"/>
                <w:spacing w:val="6"/>
                <w:sz w:val="24"/>
                <w:szCs w:val="24"/>
              </w:rPr>
              <w:t>1、自20</w:t>
            </w:r>
            <w:r>
              <w:rPr>
                <w:rFonts w:hint="eastAsia" w:ascii="宋体" w:hAnsi="宋体" w:cs="宋体"/>
                <w:spacing w:val="6"/>
                <w:sz w:val="24"/>
                <w:szCs w:val="24"/>
                <w:lang w:val="en-US" w:eastAsia="zh-CN"/>
              </w:rPr>
              <w:t>20</w:t>
            </w:r>
            <w:r>
              <w:rPr>
                <w:rFonts w:hint="eastAsia" w:ascii="宋体" w:hAnsi="宋体" w:cs="宋体"/>
                <w:spacing w:val="6"/>
                <w:sz w:val="24"/>
                <w:szCs w:val="24"/>
              </w:rPr>
              <w:t>年</w:t>
            </w:r>
            <w:r>
              <w:rPr>
                <w:rFonts w:hint="eastAsia" w:ascii="宋体" w:hAnsi="宋体" w:cs="宋体"/>
                <w:spacing w:val="6"/>
                <w:sz w:val="24"/>
                <w:szCs w:val="24"/>
                <w:lang w:val="en-US" w:eastAsia="zh-CN"/>
              </w:rPr>
              <w:t>6</w:t>
            </w:r>
            <w:r>
              <w:rPr>
                <w:rFonts w:hint="eastAsia" w:ascii="宋体" w:hAnsi="宋体" w:cs="宋体"/>
                <w:spacing w:val="6"/>
                <w:sz w:val="24"/>
                <w:szCs w:val="24"/>
              </w:rPr>
              <w:t>月1日以来，供应商在省级教育主管部门官微或官博或省级直属公办本科院校服务的推文，每提供一份推文截图得1分，本项满分5分。</w:t>
            </w:r>
          </w:p>
          <w:p>
            <w:pPr>
              <w:spacing w:line="360" w:lineRule="exact"/>
              <w:rPr>
                <w:rFonts w:hint="eastAsia" w:ascii="宋体" w:hAnsi="宋体" w:cs="宋体"/>
                <w:spacing w:val="6"/>
                <w:sz w:val="24"/>
                <w:szCs w:val="24"/>
              </w:rPr>
            </w:pPr>
            <w:r>
              <w:rPr>
                <w:rFonts w:hint="eastAsia" w:ascii="宋体" w:hAnsi="宋体" w:cs="宋体"/>
                <w:spacing w:val="6"/>
                <w:sz w:val="24"/>
                <w:szCs w:val="24"/>
              </w:rPr>
              <w:t>2、自20</w:t>
            </w:r>
            <w:r>
              <w:rPr>
                <w:rFonts w:hint="eastAsia" w:ascii="宋体" w:hAnsi="宋体" w:cs="宋体"/>
                <w:spacing w:val="6"/>
                <w:sz w:val="24"/>
                <w:szCs w:val="24"/>
                <w:lang w:val="en-US" w:eastAsia="zh-CN"/>
              </w:rPr>
              <w:t>20</w:t>
            </w:r>
            <w:r>
              <w:rPr>
                <w:rFonts w:hint="eastAsia" w:ascii="宋体" w:hAnsi="宋体" w:cs="宋体"/>
                <w:spacing w:val="6"/>
                <w:sz w:val="24"/>
                <w:szCs w:val="24"/>
              </w:rPr>
              <w:t xml:space="preserve"> 年</w:t>
            </w:r>
            <w:r>
              <w:rPr>
                <w:rFonts w:hint="eastAsia" w:ascii="宋体" w:hAnsi="宋体" w:cs="宋体"/>
                <w:spacing w:val="6"/>
                <w:sz w:val="24"/>
                <w:szCs w:val="24"/>
                <w:lang w:val="en-US" w:eastAsia="zh-CN"/>
              </w:rPr>
              <w:t>6</w:t>
            </w:r>
            <w:r>
              <w:rPr>
                <w:rFonts w:hint="eastAsia" w:ascii="宋体" w:hAnsi="宋体" w:cs="宋体"/>
                <w:spacing w:val="6"/>
                <w:sz w:val="24"/>
                <w:szCs w:val="24"/>
              </w:rPr>
              <w:t>月1日以来（以合同签订日期为准），供应商在为高校</w:t>
            </w:r>
            <w:r>
              <w:rPr>
                <w:rFonts w:hint="eastAsia" w:ascii="宋体" w:hAnsi="宋体" w:cs="宋体"/>
                <w:spacing w:val="6"/>
                <w:sz w:val="24"/>
                <w:szCs w:val="24"/>
                <w:lang w:eastAsia="zh-CN"/>
              </w:rPr>
              <w:t>（含大专院校）</w:t>
            </w:r>
            <w:r>
              <w:rPr>
                <w:rFonts w:hint="eastAsia" w:ascii="宋体" w:hAnsi="宋体" w:cs="宋体"/>
                <w:spacing w:val="6"/>
                <w:sz w:val="24"/>
                <w:szCs w:val="24"/>
              </w:rPr>
              <w:t>运营招生专用微信公众号，每提供一份合同得1分，本项满分5分。</w:t>
            </w:r>
          </w:p>
          <w:p>
            <w:pPr>
              <w:spacing w:line="360" w:lineRule="exact"/>
            </w:pPr>
            <w:r>
              <w:rPr>
                <w:rFonts w:hint="eastAsia" w:ascii="宋体" w:hAnsi="宋体" w:cs="宋体"/>
                <w:spacing w:val="6"/>
                <w:sz w:val="24"/>
                <w:szCs w:val="24"/>
              </w:rPr>
              <w:t>注：响应文件中提供证明材料扫描件或影印件，材料需体现合作方公章、项目内容，未提供或提供不全不得分。</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szCs w:val="21"/>
              </w:rPr>
            </w:pPr>
            <w:r>
              <w:rPr>
                <w:rFonts w:hint="eastAsia" w:ascii="宋体" w:hAnsi="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59" w:type="dxa"/>
            <w:vMerge w:val="continue"/>
            <w:tcBorders>
              <w:left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szCs w:val="21"/>
              </w:rPr>
            </w:pPr>
            <w:r>
              <w:rPr>
                <w:rFonts w:hint="eastAsia" w:ascii="宋体" w:hAnsi="宋体" w:cs="宋体"/>
                <w:sz w:val="24"/>
                <w:szCs w:val="24"/>
              </w:rPr>
              <w:t>人员团队</w:t>
            </w:r>
          </w:p>
        </w:tc>
        <w:tc>
          <w:tcPr>
            <w:tcW w:w="5230" w:type="dxa"/>
            <w:tcBorders>
              <w:top w:val="single" w:color="auto" w:sz="4" w:space="0"/>
              <w:left w:val="single" w:color="auto" w:sz="4" w:space="0"/>
              <w:right w:val="single" w:color="auto" w:sz="4" w:space="0"/>
            </w:tcBorders>
            <w:noWrap w:val="0"/>
            <w:vAlign w:val="center"/>
          </w:tcPr>
          <w:p>
            <w:pPr>
              <w:spacing w:line="360" w:lineRule="exact"/>
              <w:rPr>
                <w:rFonts w:ascii="宋体" w:hAnsi="宋体" w:cs="宋体"/>
                <w:spacing w:val="6"/>
                <w:sz w:val="24"/>
                <w:szCs w:val="24"/>
              </w:rPr>
            </w:pPr>
            <w:r>
              <w:rPr>
                <w:rFonts w:hint="eastAsia" w:ascii="宋体" w:hAnsi="宋体" w:cs="宋体"/>
                <w:spacing w:val="6"/>
                <w:sz w:val="24"/>
                <w:szCs w:val="24"/>
              </w:rPr>
              <w:t>供应商能够为此项目配置专业的服务团队</w:t>
            </w:r>
          </w:p>
          <w:p>
            <w:pPr>
              <w:pStyle w:val="31"/>
              <w:numPr>
                <w:ilvl w:val="0"/>
                <w:numId w:val="6"/>
              </w:numPr>
              <w:spacing w:line="360" w:lineRule="exact"/>
              <w:ind w:left="0" w:firstLine="0" w:firstLineChars="0"/>
              <w:rPr>
                <w:rFonts w:ascii="宋体" w:hAnsi="宋体" w:cs="宋体"/>
                <w:spacing w:val="6"/>
                <w:sz w:val="24"/>
                <w:szCs w:val="24"/>
              </w:rPr>
            </w:pPr>
            <w:r>
              <w:rPr>
                <w:rFonts w:hint="eastAsia" w:ascii="宋体" w:hAnsi="宋体" w:cs="宋体"/>
                <w:spacing w:val="6"/>
                <w:sz w:val="24"/>
                <w:szCs w:val="24"/>
              </w:rPr>
              <w:t>满足人员技术需求，服务团队不低于5人，各岗位权责分工非常明确，有完善的岗位责任制度，得5分；岗位责任制度不明确得0-4分。</w:t>
            </w:r>
          </w:p>
          <w:p>
            <w:pPr>
              <w:numPr>
                <w:ilvl w:val="0"/>
                <w:numId w:val="6"/>
              </w:numPr>
              <w:spacing w:line="360" w:lineRule="exact"/>
              <w:ind w:left="0" w:firstLine="0"/>
              <w:rPr>
                <w:rFonts w:ascii="宋体" w:hAnsi="宋体" w:cs="宋体"/>
                <w:spacing w:val="6"/>
                <w:sz w:val="24"/>
                <w:szCs w:val="24"/>
              </w:rPr>
            </w:pPr>
            <w:r>
              <w:rPr>
                <w:rFonts w:hint="eastAsia" w:ascii="宋体" w:hAnsi="宋体" w:cs="宋体"/>
                <w:spacing w:val="6"/>
                <w:sz w:val="24"/>
                <w:szCs w:val="24"/>
              </w:rPr>
              <w:t>专项对接人员能提供两年以上相关行业企业的社保证明，得2分；否则得0分。</w:t>
            </w:r>
          </w:p>
          <w:p>
            <w:pPr>
              <w:numPr>
                <w:ilvl w:val="0"/>
                <w:numId w:val="6"/>
              </w:numPr>
              <w:snapToGrid w:val="0"/>
              <w:spacing w:line="312" w:lineRule="auto"/>
              <w:ind w:left="0" w:firstLine="0"/>
            </w:pPr>
            <w:r>
              <w:rPr>
                <w:rFonts w:hint="eastAsia" w:ascii="宋体" w:hAnsi="宋体" w:cs="宋体"/>
                <w:spacing w:val="6"/>
                <w:sz w:val="24"/>
                <w:szCs w:val="24"/>
              </w:rPr>
              <w:t>其余岗位人员</w:t>
            </w:r>
            <w:r>
              <w:rPr>
                <w:rFonts w:hint="eastAsia" w:ascii="宋体" w:hAnsi="宋体" w:cs="宋体"/>
                <w:spacing w:val="6"/>
                <w:sz w:val="24"/>
                <w:szCs w:val="24"/>
                <w:lang w:eastAsia="zh-CN"/>
              </w:rPr>
              <w:t>（不少于</w:t>
            </w:r>
            <w:r>
              <w:rPr>
                <w:rFonts w:hint="eastAsia" w:ascii="宋体" w:hAnsi="宋体" w:cs="宋体"/>
                <w:spacing w:val="6"/>
                <w:sz w:val="24"/>
                <w:szCs w:val="24"/>
                <w:lang w:val="en-US" w:eastAsia="zh-CN"/>
              </w:rPr>
              <w:t>3人</w:t>
            </w:r>
            <w:r>
              <w:rPr>
                <w:rFonts w:hint="eastAsia" w:ascii="宋体" w:hAnsi="宋体" w:cs="宋体"/>
                <w:spacing w:val="6"/>
                <w:sz w:val="24"/>
                <w:szCs w:val="24"/>
                <w:lang w:eastAsia="zh-CN"/>
              </w:rPr>
              <w:t>）</w:t>
            </w:r>
            <w:r>
              <w:rPr>
                <w:rFonts w:hint="eastAsia" w:ascii="宋体" w:hAnsi="宋体" w:cs="宋体"/>
                <w:spacing w:val="6"/>
                <w:sz w:val="24"/>
                <w:szCs w:val="24"/>
              </w:rPr>
              <w:t>较为稳定，提供一年以上的本单位社保证明，得3分；否则得0分。</w:t>
            </w:r>
          </w:p>
        </w:tc>
        <w:tc>
          <w:tcPr>
            <w:tcW w:w="1047" w:type="dxa"/>
            <w:tcBorders>
              <w:top w:val="single" w:color="auto" w:sz="4" w:space="0"/>
              <w:left w:val="single" w:color="auto" w:sz="4" w:space="0"/>
              <w:right w:val="single" w:color="auto" w:sz="4" w:space="0"/>
            </w:tcBorders>
            <w:noWrap w:val="0"/>
            <w:vAlign w:val="center"/>
          </w:tcPr>
          <w:p>
            <w:pPr>
              <w:spacing w:line="312" w:lineRule="auto"/>
              <w:jc w:val="center"/>
              <w:rPr>
                <w:rFonts w:ascii="宋体" w:hAnsi="宋体"/>
                <w:szCs w:val="21"/>
              </w:rPr>
            </w:pPr>
            <w:r>
              <w:rPr>
                <w:rFonts w:hint="eastAsia" w:ascii="宋体" w:hAnsi="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59" w:type="dxa"/>
            <w:vMerge w:val="continue"/>
            <w:tcBorders>
              <w:left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559" w:type="dxa"/>
            <w:vMerge w:val="restart"/>
            <w:tcBorders>
              <w:top w:val="single" w:color="auto" w:sz="4" w:space="0"/>
              <w:left w:val="single" w:color="auto" w:sz="4" w:space="0"/>
              <w:right w:val="single" w:color="auto" w:sz="4" w:space="0"/>
            </w:tcBorders>
            <w:noWrap w:val="0"/>
            <w:vAlign w:val="center"/>
          </w:tcPr>
          <w:p>
            <w:pPr>
              <w:spacing w:line="360" w:lineRule="auto"/>
              <w:ind w:firstLine="240" w:firstLineChars="100"/>
              <w:jc w:val="left"/>
              <w:rPr>
                <w:rFonts w:hint="eastAsia" w:ascii="宋体" w:hAnsi="宋体"/>
                <w:bCs/>
                <w:color w:val="000000"/>
                <w:sz w:val="24"/>
              </w:rPr>
            </w:pPr>
            <w:r>
              <w:rPr>
                <w:rFonts w:hint="eastAsia" w:ascii="宋体" w:hAnsi="宋体"/>
                <w:bCs/>
                <w:color w:val="000000"/>
                <w:sz w:val="24"/>
              </w:rPr>
              <w:t>服务计划</w:t>
            </w:r>
          </w:p>
        </w:tc>
        <w:tc>
          <w:tcPr>
            <w:tcW w:w="5230" w:type="dxa"/>
            <w:tcBorders>
              <w:left w:val="single" w:color="auto" w:sz="4" w:space="0"/>
              <w:right w:val="single" w:color="auto" w:sz="4" w:space="0"/>
            </w:tcBorders>
            <w:noWrap w:val="0"/>
            <w:vAlign w:val="center"/>
          </w:tcPr>
          <w:p>
            <w:pPr>
              <w:spacing w:line="360" w:lineRule="exact"/>
              <w:rPr>
                <w:rFonts w:hint="eastAsia" w:ascii="宋体" w:hAnsi="宋体" w:cs="宋体"/>
                <w:bCs/>
                <w:spacing w:val="6"/>
                <w:sz w:val="24"/>
                <w:szCs w:val="24"/>
              </w:rPr>
            </w:pPr>
            <w:r>
              <w:rPr>
                <w:rFonts w:hint="eastAsia" w:ascii="宋体" w:hAnsi="宋体" w:cs="宋体"/>
                <w:bCs/>
                <w:spacing w:val="6"/>
                <w:sz w:val="24"/>
                <w:szCs w:val="24"/>
              </w:rPr>
              <w:t>根据供应商对招生宣传服务内容和要求理解程度，整体服务实施方案是否切实可行，是否突出本校特色亮点、对考生群体的深度洞察力、宣传方案传播策略的水平及媒介应用能力等五项内容进行综合评审，每项内容均全面覆盖且执行方案科学合理，优得16-20分，良得11-15分，一般得6-10分，差得</w:t>
            </w:r>
            <w:r>
              <w:rPr>
                <w:rFonts w:hint="eastAsia" w:ascii="宋体" w:hAnsi="宋体" w:cs="宋体"/>
                <w:bCs/>
                <w:spacing w:val="6"/>
                <w:sz w:val="24"/>
                <w:szCs w:val="24"/>
                <w:lang w:val="en-US" w:eastAsia="zh-CN"/>
              </w:rPr>
              <w:t>0-5</w:t>
            </w:r>
            <w:r>
              <w:rPr>
                <w:rFonts w:hint="eastAsia" w:ascii="宋体" w:hAnsi="宋体" w:cs="宋体"/>
                <w:bCs/>
                <w:spacing w:val="6"/>
                <w:sz w:val="24"/>
                <w:szCs w:val="24"/>
              </w:rPr>
              <w:t>分。</w:t>
            </w:r>
          </w:p>
        </w:tc>
        <w:tc>
          <w:tcPr>
            <w:tcW w:w="1047" w:type="dxa"/>
            <w:tcBorders>
              <w:left w:val="single" w:color="auto" w:sz="4" w:space="0"/>
              <w:right w:val="single" w:color="auto" w:sz="4" w:space="0"/>
            </w:tcBorders>
            <w:noWrap w:val="0"/>
            <w:vAlign w:val="center"/>
          </w:tcPr>
          <w:p>
            <w:pPr>
              <w:spacing w:line="360" w:lineRule="auto"/>
              <w:jc w:val="center"/>
              <w:rPr>
                <w:rFonts w:ascii="宋体" w:hAnsi="宋体"/>
                <w:bCs/>
                <w:color w:val="000000"/>
                <w:sz w:val="24"/>
              </w:rPr>
            </w:pPr>
            <w:r>
              <w:rPr>
                <w:rFonts w:hint="eastAsia" w:ascii="宋体" w:hAnsi="宋体"/>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59" w:type="dxa"/>
            <w:vMerge w:val="continue"/>
            <w:tcBorders>
              <w:left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559" w:type="dxa"/>
            <w:vMerge w:val="continue"/>
            <w:tcBorders>
              <w:left w:val="single" w:color="auto" w:sz="4" w:space="0"/>
              <w:right w:val="single" w:color="auto" w:sz="4" w:space="0"/>
            </w:tcBorders>
            <w:noWrap w:val="0"/>
            <w:vAlign w:val="center"/>
          </w:tcPr>
          <w:p>
            <w:pPr>
              <w:spacing w:line="360" w:lineRule="auto"/>
              <w:jc w:val="left"/>
              <w:rPr>
                <w:rFonts w:hint="eastAsia" w:ascii="宋体" w:hAnsi="宋体"/>
                <w:bCs/>
                <w:color w:val="000000"/>
                <w:sz w:val="24"/>
              </w:rPr>
            </w:pPr>
          </w:p>
        </w:tc>
        <w:tc>
          <w:tcPr>
            <w:tcW w:w="5230" w:type="dxa"/>
            <w:tcBorders>
              <w:left w:val="single" w:color="auto" w:sz="4" w:space="0"/>
              <w:right w:val="single" w:color="auto" w:sz="4" w:space="0"/>
            </w:tcBorders>
            <w:noWrap w:val="0"/>
            <w:vAlign w:val="center"/>
          </w:tcPr>
          <w:p>
            <w:pPr>
              <w:spacing w:line="360" w:lineRule="exact"/>
              <w:rPr>
                <w:rFonts w:ascii="宋体" w:hAnsi="宋体" w:cs="宋体"/>
                <w:bCs/>
                <w:spacing w:val="6"/>
                <w:sz w:val="24"/>
                <w:szCs w:val="24"/>
              </w:rPr>
            </w:pPr>
            <w:r>
              <w:rPr>
                <w:rFonts w:hint="eastAsia" w:ascii="宋体" w:hAnsi="宋体" w:cs="宋体"/>
                <w:bCs/>
                <w:spacing w:val="6"/>
                <w:sz w:val="24"/>
                <w:szCs w:val="24"/>
              </w:rPr>
              <w:t>对本项目特点及重点的理解是否透彻，相应工作安排是否完善、合理（满分15分）</w:t>
            </w:r>
          </w:p>
          <w:p>
            <w:pPr>
              <w:spacing w:line="360" w:lineRule="exact"/>
              <w:rPr>
                <w:rFonts w:ascii="宋体" w:hAnsi="宋体" w:cs="宋体"/>
                <w:bCs/>
                <w:spacing w:val="6"/>
                <w:sz w:val="24"/>
                <w:szCs w:val="24"/>
              </w:rPr>
            </w:pPr>
            <w:r>
              <w:rPr>
                <w:rFonts w:hint="eastAsia" w:ascii="宋体" w:hAnsi="宋体" w:cs="宋体"/>
                <w:bCs/>
                <w:spacing w:val="6"/>
                <w:sz w:val="24"/>
                <w:szCs w:val="24"/>
              </w:rPr>
              <w:t>（1）理解透彻，相应工作安排完善、合理：11-15分；</w:t>
            </w:r>
          </w:p>
          <w:p>
            <w:pPr>
              <w:spacing w:line="360" w:lineRule="exact"/>
              <w:rPr>
                <w:rFonts w:ascii="宋体" w:hAnsi="宋体" w:cs="宋体"/>
                <w:bCs/>
                <w:spacing w:val="6"/>
                <w:sz w:val="24"/>
                <w:szCs w:val="24"/>
              </w:rPr>
            </w:pPr>
            <w:r>
              <w:rPr>
                <w:rFonts w:hint="eastAsia" w:ascii="宋体" w:hAnsi="宋体" w:cs="宋体"/>
                <w:bCs/>
                <w:spacing w:val="6"/>
                <w:sz w:val="24"/>
                <w:szCs w:val="24"/>
              </w:rPr>
              <w:t>（2）理解较为透彻、相应工作安排妥当，较为合理：6-10分；</w:t>
            </w:r>
          </w:p>
          <w:p>
            <w:pPr>
              <w:spacing w:line="360" w:lineRule="exact"/>
              <w:rPr>
                <w:rFonts w:ascii="宋体" w:hAnsi="宋体" w:cs="宋体"/>
                <w:bCs/>
                <w:spacing w:val="6"/>
                <w:sz w:val="24"/>
                <w:szCs w:val="24"/>
              </w:rPr>
            </w:pPr>
            <w:r>
              <w:rPr>
                <w:rFonts w:hint="eastAsia" w:ascii="宋体" w:hAnsi="宋体" w:cs="宋体"/>
                <w:bCs/>
                <w:spacing w:val="6"/>
                <w:sz w:val="24"/>
                <w:szCs w:val="24"/>
              </w:rPr>
              <w:t>（3）理解不到位，相应工作安排不完善，合理性较差：1-5分；</w:t>
            </w:r>
          </w:p>
          <w:p>
            <w:pPr>
              <w:spacing w:line="360" w:lineRule="exact"/>
              <w:rPr>
                <w:rFonts w:hint="eastAsia" w:ascii="宋体" w:hAnsi="宋体" w:cs="宋体"/>
                <w:bCs/>
                <w:spacing w:val="6"/>
                <w:sz w:val="24"/>
                <w:szCs w:val="24"/>
              </w:rPr>
            </w:pPr>
            <w:r>
              <w:rPr>
                <w:rFonts w:hint="eastAsia" w:ascii="宋体" w:hAnsi="宋体" w:cs="宋体"/>
                <w:bCs/>
                <w:spacing w:val="6"/>
                <w:sz w:val="24"/>
                <w:szCs w:val="24"/>
              </w:rPr>
              <w:t>（4）未提供：0分。</w:t>
            </w:r>
          </w:p>
        </w:tc>
        <w:tc>
          <w:tcPr>
            <w:tcW w:w="1047" w:type="dxa"/>
            <w:tcBorders>
              <w:left w:val="single" w:color="auto" w:sz="4" w:space="0"/>
              <w:right w:val="single" w:color="auto" w:sz="4" w:space="0"/>
            </w:tcBorders>
            <w:noWrap w:val="0"/>
            <w:vAlign w:val="center"/>
          </w:tcPr>
          <w:p>
            <w:pPr>
              <w:spacing w:line="360" w:lineRule="auto"/>
              <w:jc w:val="center"/>
              <w:rPr>
                <w:rFonts w:ascii="宋体" w:hAnsi="宋体"/>
                <w:bCs/>
                <w:color w:val="000000"/>
                <w:sz w:val="24"/>
              </w:rPr>
            </w:pPr>
            <w:r>
              <w:rPr>
                <w:rFonts w:hint="eastAsia" w:ascii="宋体" w:hAnsi="宋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59" w:type="dxa"/>
            <w:vMerge w:val="continue"/>
            <w:tcBorders>
              <w:left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559" w:type="dxa"/>
            <w:vMerge w:val="continue"/>
            <w:tcBorders>
              <w:left w:val="single" w:color="auto" w:sz="4" w:space="0"/>
              <w:right w:val="single" w:color="auto" w:sz="4" w:space="0"/>
            </w:tcBorders>
            <w:noWrap w:val="0"/>
            <w:vAlign w:val="center"/>
          </w:tcPr>
          <w:p>
            <w:pPr>
              <w:spacing w:line="360" w:lineRule="auto"/>
              <w:jc w:val="left"/>
              <w:rPr>
                <w:rFonts w:hint="eastAsia" w:ascii="宋体" w:hAnsi="宋体"/>
                <w:bCs/>
                <w:color w:val="000000"/>
                <w:sz w:val="24"/>
              </w:rPr>
            </w:pPr>
          </w:p>
        </w:tc>
        <w:tc>
          <w:tcPr>
            <w:tcW w:w="5230" w:type="dxa"/>
            <w:tcBorders>
              <w:left w:val="single" w:color="auto" w:sz="4" w:space="0"/>
              <w:right w:val="single" w:color="auto" w:sz="4" w:space="0"/>
            </w:tcBorders>
            <w:noWrap w:val="0"/>
            <w:vAlign w:val="center"/>
          </w:tcPr>
          <w:p>
            <w:pPr>
              <w:spacing w:line="360" w:lineRule="exact"/>
              <w:rPr>
                <w:rFonts w:ascii="宋体" w:hAnsi="宋体" w:cs="宋体"/>
                <w:bCs/>
                <w:spacing w:val="6"/>
                <w:sz w:val="24"/>
                <w:szCs w:val="24"/>
              </w:rPr>
            </w:pPr>
            <w:r>
              <w:rPr>
                <w:rFonts w:hint="eastAsia" w:ascii="宋体" w:hAnsi="宋体" w:cs="宋体"/>
                <w:bCs/>
                <w:spacing w:val="6"/>
                <w:sz w:val="24"/>
                <w:szCs w:val="24"/>
              </w:rPr>
              <w:t>服务过程中对各类突发事件的应对预案设置是否周全、高效。（满分5分）</w:t>
            </w:r>
          </w:p>
          <w:p>
            <w:pPr>
              <w:spacing w:line="360" w:lineRule="exact"/>
              <w:rPr>
                <w:rFonts w:ascii="宋体" w:hAnsi="宋体" w:cs="宋体"/>
                <w:bCs/>
                <w:spacing w:val="6"/>
                <w:sz w:val="24"/>
                <w:szCs w:val="24"/>
              </w:rPr>
            </w:pPr>
            <w:r>
              <w:rPr>
                <w:rFonts w:hint="eastAsia" w:ascii="宋体" w:hAnsi="宋体" w:cs="宋体"/>
                <w:bCs/>
                <w:spacing w:val="6"/>
                <w:sz w:val="24"/>
                <w:szCs w:val="24"/>
              </w:rPr>
              <w:t>（1）周全、高效：4-5分；</w:t>
            </w:r>
          </w:p>
          <w:p>
            <w:pPr>
              <w:spacing w:line="360" w:lineRule="exact"/>
              <w:rPr>
                <w:rFonts w:ascii="宋体" w:hAnsi="宋体" w:cs="宋体"/>
                <w:bCs/>
                <w:spacing w:val="6"/>
                <w:sz w:val="24"/>
                <w:szCs w:val="24"/>
              </w:rPr>
            </w:pPr>
            <w:r>
              <w:rPr>
                <w:rFonts w:hint="eastAsia" w:ascii="宋体" w:hAnsi="宋体" w:cs="宋体"/>
                <w:bCs/>
                <w:spacing w:val="6"/>
                <w:sz w:val="24"/>
                <w:szCs w:val="24"/>
              </w:rPr>
              <w:t>（2）基本满足需求、效率欠佳：2-3分；</w:t>
            </w:r>
          </w:p>
          <w:p>
            <w:pPr>
              <w:spacing w:line="360" w:lineRule="exact"/>
              <w:rPr>
                <w:rFonts w:ascii="宋体" w:hAnsi="宋体" w:cs="宋体"/>
                <w:bCs/>
                <w:spacing w:val="6"/>
                <w:sz w:val="24"/>
                <w:szCs w:val="24"/>
              </w:rPr>
            </w:pPr>
            <w:r>
              <w:rPr>
                <w:rFonts w:hint="eastAsia" w:ascii="宋体" w:hAnsi="宋体" w:cs="宋体"/>
                <w:bCs/>
                <w:spacing w:val="6"/>
                <w:sz w:val="24"/>
                <w:szCs w:val="24"/>
              </w:rPr>
              <w:t>（3）不能够完全满足需求、效率较差：1分；</w:t>
            </w:r>
          </w:p>
          <w:p>
            <w:pPr>
              <w:spacing w:line="360" w:lineRule="exact"/>
              <w:rPr>
                <w:rFonts w:hint="eastAsia" w:ascii="宋体" w:hAnsi="宋体" w:cs="宋体"/>
                <w:bCs/>
                <w:spacing w:val="6"/>
                <w:sz w:val="24"/>
                <w:szCs w:val="24"/>
              </w:rPr>
            </w:pPr>
            <w:r>
              <w:rPr>
                <w:rFonts w:hint="eastAsia" w:ascii="宋体" w:hAnsi="宋体" w:cs="宋体"/>
                <w:bCs/>
                <w:spacing w:val="6"/>
                <w:sz w:val="24"/>
                <w:szCs w:val="24"/>
              </w:rPr>
              <w:t>（4）未提供：0分。</w:t>
            </w:r>
          </w:p>
        </w:tc>
        <w:tc>
          <w:tcPr>
            <w:tcW w:w="1047" w:type="dxa"/>
            <w:tcBorders>
              <w:left w:val="single" w:color="auto" w:sz="4" w:space="0"/>
              <w:right w:val="single" w:color="auto" w:sz="4" w:space="0"/>
            </w:tcBorders>
            <w:noWrap w:val="0"/>
            <w:vAlign w:val="center"/>
          </w:tcPr>
          <w:p>
            <w:pPr>
              <w:spacing w:line="360" w:lineRule="auto"/>
              <w:jc w:val="center"/>
              <w:rPr>
                <w:rFonts w:ascii="宋体" w:hAnsi="宋体"/>
                <w:bCs/>
                <w:color w:val="000000"/>
                <w:sz w:val="24"/>
              </w:rPr>
            </w:pPr>
            <w:r>
              <w:rPr>
                <w:rFonts w:hint="eastAsia" w:ascii="宋体" w:hAnsi="宋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59" w:type="dxa"/>
            <w:vMerge w:val="continue"/>
            <w:tcBorders>
              <w:left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559" w:type="dxa"/>
            <w:vMerge w:val="continue"/>
            <w:tcBorders>
              <w:left w:val="single" w:color="auto" w:sz="4" w:space="0"/>
              <w:right w:val="single" w:color="auto" w:sz="4" w:space="0"/>
            </w:tcBorders>
            <w:noWrap w:val="0"/>
            <w:vAlign w:val="center"/>
          </w:tcPr>
          <w:p>
            <w:pPr>
              <w:spacing w:line="360" w:lineRule="auto"/>
              <w:jc w:val="left"/>
              <w:rPr>
                <w:rFonts w:hint="eastAsia" w:ascii="宋体" w:hAnsi="宋体"/>
                <w:bCs/>
                <w:color w:val="000000"/>
                <w:sz w:val="24"/>
              </w:rPr>
            </w:pPr>
          </w:p>
        </w:tc>
        <w:tc>
          <w:tcPr>
            <w:tcW w:w="5230" w:type="dxa"/>
            <w:tcBorders>
              <w:left w:val="single" w:color="auto" w:sz="4" w:space="0"/>
              <w:right w:val="single" w:color="auto" w:sz="4" w:space="0"/>
            </w:tcBorders>
            <w:noWrap w:val="0"/>
            <w:vAlign w:val="center"/>
          </w:tcPr>
          <w:p>
            <w:pPr>
              <w:spacing w:line="360" w:lineRule="exact"/>
              <w:rPr>
                <w:rFonts w:ascii="宋体" w:hAnsi="宋体" w:cs="宋体"/>
                <w:bCs/>
                <w:spacing w:val="6"/>
                <w:sz w:val="24"/>
                <w:szCs w:val="24"/>
              </w:rPr>
            </w:pPr>
            <w:r>
              <w:rPr>
                <w:rFonts w:hint="eastAsia" w:ascii="宋体" w:hAnsi="宋体" w:cs="宋体"/>
                <w:bCs/>
                <w:spacing w:val="6"/>
                <w:sz w:val="24"/>
                <w:szCs w:val="24"/>
              </w:rPr>
              <w:t>与采购人的协调、配合、管理的具体措施（满分10分）</w:t>
            </w:r>
          </w:p>
          <w:p>
            <w:pPr>
              <w:spacing w:line="360" w:lineRule="exact"/>
              <w:rPr>
                <w:rFonts w:ascii="宋体" w:hAnsi="宋体" w:cs="宋体"/>
                <w:bCs/>
                <w:spacing w:val="6"/>
                <w:sz w:val="24"/>
                <w:szCs w:val="24"/>
              </w:rPr>
            </w:pPr>
            <w:r>
              <w:rPr>
                <w:rFonts w:hint="eastAsia" w:ascii="宋体" w:hAnsi="宋体" w:cs="宋体"/>
                <w:bCs/>
                <w:spacing w:val="6"/>
                <w:sz w:val="24"/>
                <w:szCs w:val="24"/>
              </w:rPr>
              <w:t>（1）措施完备、恰当：9-10分；</w:t>
            </w:r>
          </w:p>
          <w:p>
            <w:pPr>
              <w:spacing w:line="360" w:lineRule="exact"/>
              <w:rPr>
                <w:rFonts w:ascii="宋体" w:hAnsi="宋体" w:cs="宋体"/>
                <w:bCs/>
                <w:spacing w:val="6"/>
                <w:sz w:val="24"/>
                <w:szCs w:val="24"/>
              </w:rPr>
            </w:pPr>
            <w:r>
              <w:rPr>
                <w:rFonts w:hint="eastAsia" w:ascii="宋体" w:hAnsi="宋体" w:cs="宋体"/>
                <w:bCs/>
                <w:spacing w:val="6"/>
                <w:sz w:val="24"/>
                <w:szCs w:val="24"/>
              </w:rPr>
              <w:t>（2）措施比较全面、恰当：5-8分；</w:t>
            </w:r>
          </w:p>
          <w:p>
            <w:pPr>
              <w:spacing w:line="360" w:lineRule="exact"/>
              <w:rPr>
                <w:rFonts w:ascii="宋体" w:hAnsi="宋体" w:cs="宋体"/>
                <w:bCs/>
                <w:spacing w:val="6"/>
                <w:sz w:val="24"/>
                <w:szCs w:val="24"/>
              </w:rPr>
            </w:pPr>
            <w:r>
              <w:rPr>
                <w:rFonts w:hint="eastAsia" w:ascii="宋体" w:hAnsi="宋体" w:cs="宋体"/>
                <w:bCs/>
                <w:spacing w:val="6"/>
                <w:sz w:val="24"/>
                <w:szCs w:val="24"/>
              </w:rPr>
              <w:t>（3）措施片面、不恰当：1-4分；</w:t>
            </w:r>
          </w:p>
          <w:p>
            <w:pPr>
              <w:spacing w:line="360" w:lineRule="exact"/>
              <w:rPr>
                <w:rFonts w:hint="eastAsia" w:ascii="宋体" w:hAnsi="宋体" w:cs="宋体"/>
                <w:bCs/>
                <w:spacing w:val="6"/>
                <w:sz w:val="24"/>
                <w:szCs w:val="24"/>
              </w:rPr>
            </w:pPr>
            <w:r>
              <w:rPr>
                <w:rFonts w:hint="eastAsia" w:ascii="宋体" w:hAnsi="宋体" w:cs="宋体"/>
                <w:bCs/>
                <w:spacing w:val="6"/>
                <w:sz w:val="24"/>
                <w:szCs w:val="24"/>
              </w:rPr>
              <w:t>（4）未提供：0分。</w:t>
            </w:r>
          </w:p>
        </w:tc>
        <w:tc>
          <w:tcPr>
            <w:tcW w:w="1047" w:type="dxa"/>
            <w:tcBorders>
              <w:left w:val="single" w:color="auto" w:sz="4" w:space="0"/>
              <w:right w:val="single" w:color="auto" w:sz="4" w:space="0"/>
            </w:tcBorders>
            <w:noWrap w:val="0"/>
            <w:vAlign w:val="center"/>
          </w:tcPr>
          <w:p>
            <w:pPr>
              <w:spacing w:line="360" w:lineRule="auto"/>
              <w:jc w:val="center"/>
              <w:rPr>
                <w:rFonts w:ascii="宋体" w:hAnsi="宋体"/>
                <w:bCs/>
                <w:color w:val="000000"/>
                <w:sz w:val="24"/>
              </w:rPr>
            </w:pPr>
            <w:r>
              <w:rPr>
                <w:rFonts w:hint="eastAsia" w:ascii="宋体" w:hAnsi="宋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518" w:type="dxa"/>
            <w:gridSpan w:val="2"/>
            <w:tcBorders>
              <w:left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szCs w:val="21"/>
              </w:rPr>
              <w:t>价格分（30分）</w:t>
            </w:r>
          </w:p>
        </w:tc>
        <w:tc>
          <w:tcPr>
            <w:tcW w:w="5230" w:type="dxa"/>
            <w:noWrap w:val="0"/>
            <w:vAlign w:val="top"/>
          </w:tcPr>
          <w:p>
            <w:pPr>
              <w:pStyle w:val="68"/>
              <w:spacing w:line="365" w:lineRule="auto"/>
              <w:rPr>
                <w:rFonts w:hint="eastAsia"/>
                <w:sz w:val="21"/>
                <w:szCs w:val="21"/>
                <w:lang w:val="en-US" w:bidi="ar-SA"/>
              </w:rPr>
            </w:pPr>
            <w:r>
              <w:rPr>
                <w:rFonts w:hint="eastAsia" w:ascii="宋体" w:hAnsi="宋体" w:eastAsia="宋体" w:cs="宋体"/>
                <w:bCs/>
                <w:spacing w:val="6"/>
                <w:kern w:val="2"/>
                <w:sz w:val="24"/>
                <w:szCs w:val="24"/>
                <w:lang w:val="en-US" w:eastAsia="zh-CN" w:bidi="ar-SA"/>
              </w:rPr>
              <w:t>价格分统一采用低价优先法，即满足磋商文件要求且价格最低的最后报价为磋商基准价，其价格分为满分30分。其他供应商的价格分统一按照下列公式计算：最后报价得分＝（磋商基准价/最后报价）×30%×100</w:t>
            </w:r>
          </w:p>
        </w:tc>
        <w:tc>
          <w:tcPr>
            <w:tcW w:w="1047" w:type="dxa"/>
            <w:noWrap w:val="0"/>
            <w:vAlign w:val="top"/>
          </w:tcPr>
          <w:p>
            <w:pPr>
              <w:spacing w:line="360" w:lineRule="auto"/>
              <w:jc w:val="center"/>
              <w:rPr>
                <w:rFonts w:hint="eastAsia" w:ascii="宋体" w:hAnsi="宋体"/>
                <w:bCs/>
                <w:color w:val="000000"/>
                <w:sz w:val="24"/>
              </w:rPr>
            </w:pPr>
          </w:p>
          <w:p>
            <w:pPr>
              <w:spacing w:line="360" w:lineRule="auto"/>
              <w:jc w:val="center"/>
              <w:rPr>
                <w:rFonts w:hint="eastAsia" w:ascii="宋体" w:hAnsi="宋体"/>
                <w:bCs/>
                <w:color w:val="000000"/>
                <w:sz w:val="24"/>
              </w:rPr>
            </w:pPr>
          </w:p>
          <w:p>
            <w:pPr>
              <w:spacing w:line="360" w:lineRule="auto"/>
              <w:jc w:val="center"/>
              <w:rPr>
                <w:rFonts w:ascii="宋体" w:hAnsi="宋体"/>
                <w:bCs/>
                <w:color w:val="000000"/>
                <w:sz w:val="24"/>
              </w:rPr>
            </w:pPr>
            <w:r>
              <w:rPr>
                <w:rFonts w:hint="eastAsia" w:ascii="宋体" w:hAnsi="宋体"/>
                <w:bCs/>
                <w:color w:val="000000"/>
                <w:sz w:val="24"/>
              </w:rPr>
              <w:t>30</w:t>
            </w:r>
          </w:p>
        </w:tc>
      </w:tr>
    </w:tbl>
    <w:p>
      <w:pPr>
        <w:spacing w:line="360" w:lineRule="auto"/>
        <w:rPr>
          <w:rFonts w:hint="eastAsia"/>
          <w:sz w:val="10"/>
          <w:szCs w:val="10"/>
        </w:rPr>
      </w:pPr>
    </w:p>
    <w:p>
      <w:pPr>
        <w:pStyle w:val="45"/>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3" w:name="_Toc403987220"/>
      <w:r>
        <w:rPr>
          <w:rFonts w:hint="eastAsia" w:ascii="华文中宋" w:hAnsi="华文中宋" w:eastAsia="华文中宋"/>
          <w:b/>
          <w:sz w:val="36"/>
          <w:szCs w:val="36"/>
        </w:rPr>
        <w:t>响应文件格式</w:t>
      </w:r>
      <w:bookmarkEnd w:id="112"/>
      <w:bookmarkEnd w:id="113"/>
    </w:p>
    <w:p>
      <w:pPr>
        <w:jc w:val="center"/>
        <w:rPr>
          <w:rFonts w:hAnsi="宋体"/>
          <w:b/>
          <w:sz w:val="72"/>
        </w:rPr>
      </w:pPr>
      <w:bookmarkStart w:id="114" w:name="_Hlt26671244"/>
      <w:bookmarkEnd w:id="114"/>
      <w:bookmarkStart w:id="115" w:name="_Hlt26955039"/>
      <w:bookmarkEnd w:id="115"/>
      <w:bookmarkStart w:id="116" w:name="_Toc120614282"/>
      <w:bookmarkStart w:id="117" w:name="_Toc26554094"/>
      <w:bookmarkStart w:id="118"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6"/>
    <w:bookmarkEnd w:id="117"/>
    <w:bookmarkEnd w:id="118"/>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皖南医学院2023年线上普教招生宣传项目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pStyle w:val="25"/>
              <w:numPr>
                <w:ilvl w:val="0"/>
                <w:numId w:val="0"/>
              </w:numPr>
              <w:rPr>
                <w:rFonts w:hint="eastAsia"/>
                <w:lang w:val="en-US" w:eastAsia="zh-CN"/>
              </w:rPr>
            </w:pPr>
          </w:p>
          <w:p>
            <w:pPr>
              <w:pStyle w:val="25"/>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eastAsia="宋体"/>
          <w:b/>
          <w:bCs/>
          <w:spacing w:val="-6"/>
          <w:sz w:val="24"/>
          <w:szCs w:val="24"/>
          <w:lang w:eastAsia="zh-CN"/>
        </w:rPr>
      </w:pPr>
      <w:r>
        <w:rPr>
          <w:rFonts w:hint="eastAsia" w:ascii="宋体" w:hAnsi="宋体"/>
          <w:b/>
          <w:bCs/>
          <w:spacing w:val="-6"/>
          <w:sz w:val="24"/>
          <w:szCs w:val="24"/>
          <w:lang w:eastAsia="zh-CN"/>
        </w:rPr>
        <w:t>报价明细表</w:t>
      </w:r>
    </w:p>
    <w:tbl>
      <w:tblPr>
        <w:tblStyle w:val="27"/>
        <w:tblW w:w="9646"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326"/>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120" w:afterAutospacing="0"/>
              <w:ind w:left="0" w:leftChars="0" w:right="0" w:firstLine="0" w:firstLineChars="0"/>
              <w:jc w:val="center"/>
              <w:rPr>
                <w:rFonts w:hint="eastAsia" w:ascii="微软雅黑" w:hAnsi="微软雅黑" w:eastAsia="微软雅黑" w:cs="微软雅黑"/>
                <w:b/>
                <w:bCs/>
                <w:sz w:val="24"/>
                <w:szCs w:val="22"/>
                <w:lang w:val="en-US"/>
              </w:rPr>
            </w:pPr>
            <w:r>
              <w:rPr>
                <w:rFonts w:hint="eastAsia" w:ascii="微软雅黑" w:hAnsi="微软雅黑" w:eastAsia="微软雅黑" w:cs="微软雅黑"/>
                <w:b/>
                <w:bCs/>
                <w:sz w:val="24"/>
                <w:szCs w:val="22"/>
              </w:rPr>
              <w:t>序号</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120" w:afterAutospacing="0"/>
              <w:ind w:left="0" w:leftChars="0" w:right="0" w:firstLine="0" w:firstLineChars="0"/>
              <w:jc w:val="center"/>
              <w:rPr>
                <w:rFonts w:hint="eastAsia" w:ascii="微软雅黑" w:hAnsi="微软雅黑" w:eastAsia="微软雅黑" w:cs="微软雅黑"/>
                <w:b/>
                <w:bCs/>
                <w:sz w:val="24"/>
                <w:szCs w:val="22"/>
                <w:lang w:val="en-US"/>
              </w:rPr>
            </w:pPr>
            <w:r>
              <w:rPr>
                <w:rFonts w:hint="eastAsia" w:ascii="微软雅黑" w:hAnsi="微软雅黑" w:eastAsia="微软雅黑" w:cs="微软雅黑"/>
                <w:b/>
                <w:bCs/>
                <w:sz w:val="24"/>
                <w:szCs w:val="22"/>
              </w:rPr>
              <w:t>服务项目</w:t>
            </w:r>
          </w:p>
        </w:tc>
        <w:tc>
          <w:tcPr>
            <w:tcW w:w="6522"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120" w:afterAutospacing="0"/>
              <w:ind w:left="0" w:leftChars="0" w:right="0" w:firstLine="0" w:firstLineChars="0"/>
              <w:jc w:val="center"/>
              <w:rPr>
                <w:rFonts w:hint="eastAsia" w:ascii="微软雅黑" w:hAnsi="微软雅黑" w:eastAsia="微软雅黑" w:cs="微软雅黑"/>
                <w:b/>
                <w:bCs/>
                <w:sz w:val="24"/>
                <w:szCs w:val="22"/>
                <w:lang w:val="en-US"/>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0" w:afterAutospacing="0" w:line="320" w:lineRule="exact"/>
              <w:ind w:left="0" w:leftChars="0" w:right="0" w:firstLine="0" w:firstLineChars="0"/>
              <w:jc w:val="center"/>
              <w:rPr>
                <w:rFonts w:hint="eastAsia" w:ascii="微软雅黑" w:hAnsi="微软雅黑" w:eastAsia="微软雅黑" w:cs="微软雅黑"/>
                <w:lang w:val="en-US"/>
              </w:rPr>
            </w:pPr>
            <w:r>
              <w:rPr>
                <w:rFonts w:hint="eastAsia" w:ascii="微软雅黑" w:hAnsi="微软雅黑" w:eastAsia="微软雅黑" w:cs="微软雅黑"/>
                <w:lang w:val="en-US"/>
              </w:rPr>
              <w:t>1</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微信公众号及视频号运营</w:t>
            </w:r>
          </w:p>
        </w:tc>
        <w:tc>
          <w:tcPr>
            <w:tcW w:w="6522"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微软雅黑" w:hAnsi="微软雅黑" w:eastAsia="微软雅黑" w:cs="微软雅黑"/>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0" w:afterAutospacing="0" w:line="320" w:lineRule="exact"/>
              <w:ind w:left="0" w:leftChars="0" w:right="0" w:firstLine="0" w:firstLineChars="0"/>
              <w:jc w:val="center"/>
              <w:rPr>
                <w:rFonts w:hint="eastAsia" w:ascii="微软雅黑" w:hAnsi="微软雅黑" w:eastAsia="微软雅黑" w:cs="微软雅黑"/>
                <w:lang w:val="en-US"/>
              </w:rPr>
            </w:pPr>
            <w:r>
              <w:rPr>
                <w:rFonts w:hint="eastAsia" w:ascii="微软雅黑" w:hAnsi="微软雅黑" w:eastAsia="微软雅黑" w:cs="微软雅黑"/>
                <w:lang w:val="en-US"/>
              </w:rPr>
              <w:t>2</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全教育媒体资源库推广</w:t>
            </w:r>
          </w:p>
        </w:tc>
        <w:tc>
          <w:tcPr>
            <w:tcW w:w="6522"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微软雅黑" w:hAnsi="微软雅黑" w:eastAsia="微软雅黑" w:cs="微软雅黑"/>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0" w:afterAutospacing="0" w:line="320" w:lineRule="exact"/>
              <w:ind w:left="0" w:leftChars="0" w:right="0" w:firstLine="0" w:firstLineChars="0"/>
              <w:jc w:val="center"/>
              <w:rPr>
                <w:rFonts w:hint="eastAsia" w:ascii="微软雅黑" w:hAnsi="微软雅黑" w:eastAsia="微软雅黑" w:cs="微软雅黑"/>
                <w:lang w:val="en-US"/>
              </w:rPr>
            </w:pPr>
            <w:r>
              <w:rPr>
                <w:rFonts w:hint="eastAsia" w:ascii="微软雅黑" w:hAnsi="微软雅黑" w:eastAsia="微软雅黑" w:cs="微软雅黑"/>
                <w:lang w:val="en-US"/>
              </w:rPr>
              <w:t>3</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线下定制专场推广</w:t>
            </w:r>
          </w:p>
        </w:tc>
        <w:tc>
          <w:tcPr>
            <w:tcW w:w="6522" w:type="dxa"/>
            <w:tcBorders>
              <w:top w:val="single" w:color="auto" w:sz="4" w:space="0"/>
              <w:left w:val="single" w:color="auto" w:sz="4" w:space="0"/>
              <w:bottom w:val="single" w:color="auto" w:sz="4" w:space="0"/>
              <w:right w:val="single" w:color="auto" w:sz="4" w:space="0"/>
            </w:tcBorders>
            <w:noWrap w:val="0"/>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微软雅黑" w:hAnsi="微软雅黑" w:eastAsia="微软雅黑" w:cs="微软雅黑"/>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646" w:type="dxa"/>
            <w:gridSpan w:val="3"/>
            <w:tcBorders>
              <w:top w:val="single" w:color="auto" w:sz="4" w:space="0"/>
              <w:left w:val="single" w:color="auto" w:sz="4" w:space="0"/>
              <w:bottom w:val="single" w:color="auto" w:sz="4" w:space="0"/>
              <w:right w:val="single" w:color="auto" w:sz="4" w:space="0"/>
            </w:tcBorders>
            <w:noWrap w:val="0"/>
            <w:vAlign w:val="center"/>
          </w:tcPr>
          <w:p>
            <w:pPr>
              <w:pStyle w:val="25"/>
              <w:widowControl/>
              <w:spacing w:before="0" w:beforeAutospacing="0" w:after="120" w:afterAutospacing="0"/>
              <w:ind w:left="0" w:leftChars="0" w:right="0" w:firstLine="0" w:firstLineChars="0"/>
              <w:jc w:val="right"/>
              <w:rPr>
                <w:rFonts w:hint="eastAsia" w:ascii="微软雅黑" w:hAnsi="微软雅黑" w:eastAsia="微软雅黑" w:cs="微软雅黑"/>
                <w:lang w:val="en-US"/>
              </w:rPr>
            </w:pPr>
            <w:r>
              <w:rPr>
                <w:rFonts w:hint="eastAsia" w:ascii="微软雅黑" w:hAnsi="微软雅黑" w:eastAsia="微软雅黑" w:cs="微软雅黑"/>
                <w:b/>
                <w:bCs/>
                <w:sz w:val="24"/>
                <w:szCs w:val="22"/>
              </w:rPr>
              <w:t>合计金额：</w:t>
            </w:r>
            <w:r>
              <w:rPr>
                <w:rFonts w:hint="eastAsia" w:ascii="微软雅黑" w:hAnsi="微软雅黑" w:eastAsia="微软雅黑" w:cs="微软雅黑"/>
                <w:b/>
                <w:bCs/>
                <w:sz w:val="24"/>
                <w:szCs w:val="22"/>
                <w:u w:val="single"/>
                <w:lang w:val="en-US" w:eastAsia="zh-CN"/>
              </w:rPr>
              <w:t xml:space="preserve">            </w:t>
            </w:r>
            <w:r>
              <w:rPr>
                <w:rFonts w:hint="eastAsia" w:ascii="微软雅黑" w:hAnsi="微软雅黑" w:eastAsia="微软雅黑" w:cs="微软雅黑"/>
                <w:b/>
                <w:bCs/>
                <w:sz w:val="24"/>
                <w:szCs w:val="22"/>
                <w:lang w:val="en-US" w:eastAsia="zh-CN"/>
              </w:rPr>
              <w:t xml:space="preserve"> </w:t>
            </w:r>
            <w:r>
              <w:rPr>
                <w:rFonts w:hint="eastAsia" w:ascii="微软雅黑" w:hAnsi="微软雅黑" w:eastAsia="微软雅黑" w:cs="微软雅黑"/>
                <w:b/>
                <w:bCs/>
                <w:sz w:val="24"/>
                <w:szCs w:val="22"/>
              </w:rPr>
              <w:t>元</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9" w:name="_Toc24878535"/>
      <w:bookmarkStart w:id="120" w:name="_Toc49090582"/>
      <w:bookmarkStart w:id="121" w:name="_Toc26554103"/>
      <w:bookmarkStart w:id="122" w:name="_Toc513029281"/>
      <w:bookmarkStart w:id="123" w:name="_Toc23828483"/>
      <w:bookmarkStart w:id="124" w:name="_Toc22356583"/>
      <w:bookmarkStart w:id="125" w:name="_Toc120614291"/>
      <w:bookmarkStart w:id="126"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9"/>
      <w:bookmarkEnd w:id="120"/>
      <w:bookmarkEnd w:id="121"/>
      <w:bookmarkEnd w:id="122"/>
      <w:bookmarkEnd w:id="123"/>
      <w:bookmarkEnd w:id="124"/>
      <w:bookmarkEnd w:id="125"/>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日期：    年   月  日</w:t>
      </w:r>
    </w:p>
    <w:p>
      <w:pPr>
        <w:pStyle w:val="14"/>
        <w:snapToGrid w:val="0"/>
        <w:spacing w:beforeLines="0" w:afterLines="0" w:line="360" w:lineRule="auto"/>
        <w:jc w:val="left"/>
        <w:rPr>
          <w:rFonts w:hAnsi="宋体"/>
          <w:szCs w:val="24"/>
        </w:rPr>
      </w:pPr>
    </w:p>
    <w:p>
      <w:pPr>
        <w:pStyle w:val="14"/>
        <w:snapToGrid w:val="0"/>
        <w:spacing w:beforeLines="0" w:afterLines="0" w:line="360" w:lineRule="auto"/>
        <w:jc w:val="left"/>
        <w:rPr>
          <w:rFonts w:hAnsi="宋体"/>
          <w:spacing w:val="-6"/>
        </w:rPr>
      </w:pPr>
      <w:r>
        <w:rPr>
          <w:rFonts w:hint="eastAsia" w:hAnsi="宋体"/>
          <w:spacing w:val="-6"/>
        </w:rPr>
        <w:t xml:space="preserve"> </w:t>
      </w:r>
    </w:p>
    <w:p>
      <w:pPr>
        <w:pStyle w:val="38"/>
        <w:ind w:firstLine="0" w:firstLineChars="0"/>
        <w:rPr>
          <w:rFonts w:hint="eastAsia" w:hAnsi="宋体" w:eastAsia="宋体"/>
          <w:sz w:val="24"/>
          <w:szCs w:val="24"/>
        </w:rPr>
      </w:pPr>
    </w:p>
    <w:bookmarkEnd w:id="126"/>
    <w:p>
      <w:pPr>
        <w:jc w:val="center"/>
        <w:rPr>
          <w:rFonts w:hint="eastAsia" w:ascii="华文中宋" w:hAnsi="华文中宋" w:eastAsia="华文中宋"/>
          <w:b/>
          <w:spacing w:val="-6"/>
          <w:szCs w:val="28"/>
        </w:rPr>
      </w:pPr>
      <w:bookmarkStart w:id="127" w:name="_Toc120614283"/>
      <w:bookmarkStart w:id="128" w:name="_Toc49090577"/>
      <w:bookmarkStart w:id="129" w:name="_Toc23828478"/>
      <w:bookmarkStart w:id="130" w:name="_Toc26554095"/>
      <w:bookmarkStart w:id="131" w:name="_Toc22356580"/>
      <w:bookmarkStart w:id="132" w:name="_Toc460901585"/>
      <w:bookmarkStart w:id="133" w:name="_Toc513029276"/>
    </w:p>
    <w:p>
      <w:pPr>
        <w:jc w:val="center"/>
        <w:rPr>
          <w:rStyle w:val="64"/>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7"/>
    <w:bookmarkEnd w:id="128"/>
    <w:bookmarkEnd w:id="129"/>
    <w:bookmarkEnd w:id="130"/>
    <w:bookmarkEnd w:id="131"/>
    <w:bookmarkEnd w:id="132"/>
    <w:bookmarkEnd w:id="133"/>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w:t>
      </w:r>
      <w:r>
        <w:rPr>
          <w:rFonts w:hint="eastAsia" w:ascii="仿宋_GB2312" w:hAnsi="宋体" w:eastAsia="仿宋_GB2312"/>
          <w:b/>
          <w:bCs/>
          <w:sz w:val="28"/>
          <w:szCs w:val="28"/>
        </w:rPr>
        <w:t>业绩、</w:t>
      </w:r>
      <w:bookmarkStart w:id="135" w:name="_GoBack"/>
      <w:bookmarkEnd w:id="135"/>
      <w:r>
        <w:rPr>
          <w:rFonts w:hint="eastAsia" w:ascii="仿宋_GB2312" w:hAnsi="宋体" w:eastAsia="仿宋_GB2312"/>
          <w:b/>
          <w:bCs/>
          <w:sz w:val="28"/>
          <w:szCs w:val="28"/>
          <w:lang w:eastAsia="zh-CN"/>
        </w:rPr>
        <w:t>服务方案</w:t>
      </w:r>
      <w:r>
        <w:rPr>
          <w:rFonts w:hint="eastAsia" w:ascii="仿宋_GB2312" w:hAnsi="宋体" w:eastAsia="仿宋_GB2312"/>
          <w:b/>
          <w:bCs/>
          <w:sz w:val="28"/>
          <w:szCs w:val="28"/>
        </w:rPr>
        <w:t>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仿宋_GB2312" w:eastAsia="仿宋_GB2312"/>
          <w:b/>
        </w:rPr>
      </w:pPr>
      <w:r>
        <w:rPr>
          <w:rFonts w:hint="eastAsia" w:ascii="仿宋_GB2312" w:eastAsia="仿宋_GB2312"/>
          <w:b/>
        </w:rPr>
        <w:t>附件1：</w:t>
      </w:r>
    </w:p>
    <w:p>
      <w:pPr>
        <w:spacing w:line="560" w:lineRule="exact"/>
        <w:jc w:val="center"/>
        <w:rPr>
          <w:rFonts w:hint="eastAsia"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hint="eastAsia" w:ascii="仿宋_GB2312" w:hAnsi="宋体" w:eastAsia="仿宋_GB2312" w:cs="宋体"/>
          <w:color w:val="333333"/>
          <w:sz w:val="28"/>
          <w:szCs w:val="28"/>
        </w:rPr>
      </w:pPr>
      <w:bookmarkStart w:id="134" w:name="_Toc374453341"/>
      <w:r>
        <w:rPr>
          <w:rFonts w:hint="eastAsia" w:ascii="仿宋_GB2312" w:hAnsi="黑体" w:eastAsia="仿宋_GB2312" w:cs="宋体"/>
          <w:b/>
          <w:bCs/>
          <w:color w:val="333333"/>
          <w:sz w:val="28"/>
          <w:szCs w:val="28"/>
        </w:rPr>
        <w:t>第一章</w:t>
      </w:r>
      <w:r>
        <w:rPr>
          <w:rFonts w:hint="eastAsia" w:ascii="宋体" w:hAnsi="宋体" w:eastAsia="仿宋_GB2312"/>
          <w:color w:val="333333"/>
          <w:sz w:val="28"/>
          <w:szCs w:val="28"/>
        </w:rPr>
        <w:t>  </w:t>
      </w:r>
      <w:r>
        <w:rPr>
          <w:rFonts w:hint="eastAsia" w:ascii="仿宋_GB2312" w:hAnsi="黑体" w:eastAsia="仿宋_GB2312" w:cs="宋体"/>
          <w:b/>
          <w:bCs/>
          <w:color w:val="333333"/>
          <w:sz w:val="28"/>
          <w:szCs w:val="28"/>
        </w:rPr>
        <w:t>总 则</w:t>
      </w:r>
      <w:bookmarkEnd w:id="134"/>
      <w:r>
        <w:rPr>
          <w:rFonts w:hint="eastAsia" w:ascii="宋体" w:hAnsi="宋体" w:eastAsia="仿宋_GB2312"/>
          <w:color w:val="333333"/>
          <w:sz w:val="28"/>
          <w:szCs w:val="28"/>
        </w:rPr>
        <w:t> </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 xml:space="preserve"> 第一条  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line="360" w:lineRule="auto"/>
        <w:ind w:right="122"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第二条</w:t>
      </w:r>
      <w:r>
        <w:rPr>
          <w:b w:val="0"/>
          <w:spacing w:val="98"/>
        </w:rPr>
        <w:t xml:space="preserve"> </w:t>
      </w:r>
      <w:r>
        <w:rPr>
          <w:rFonts w:hint="eastAsia" w:ascii="仿宋_GB2312" w:hAnsi="宋体" w:eastAsia="仿宋_GB2312" w:cs="宋体"/>
          <w:b w:val="0"/>
          <w:color w:val="333333"/>
          <w:sz w:val="28"/>
          <w:szCs w:val="28"/>
        </w:rPr>
        <w:t>本办法适用于学校采购活动质疑的提出与答复、投诉的提起与处理。</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第三条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line="360" w:lineRule="auto"/>
        <w:ind w:right="122"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第四条  供应商提出质疑和投诉应当坚持依法依规、诚实信用原则。</w:t>
      </w:r>
    </w:p>
    <w:p>
      <w:pPr>
        <w:pStyle w:val="11"/>
        <w:spacing w:line="360" w:lineRule="auto"/>
        <w:ind w:right="107"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第五条  采购质疑答复和投诉处理应当坚持依法依规、权责对等、公平公正、简便高效原则。</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第六条  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line="360" w:lineRule="auto"/>
        <w:ind w:right="262"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第七条  国资处、项目单位、采购代理机构应当在采购文件中载明接收质疑函和受理投诉的方式、联系部门、联系电话和通讯地址等信息。</w:t>
      </w:r>
    </w:p>
    <w:p>
      <w:pPr>
        <w:pStyle w:val="11"/>
        <w:spacing w:line="360" w:lineRule="auto"/>
        <w:ind w:right="122"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第八条</w:t>
      </w:r>
      <w:r>
        <w:rPr>
          <w:b w:val="0"/>
          <w:spacing w:val="0"/>
        </w:rPr>
        <w:tab/>
      </w:r>
      <w:r>
        <w:rPr>
          <w:rFonts w:hint="eastAsia" w:eastAsia="宋体"/>
          <w:b w:val="0"/>
          <w:spacing w:val="0"/>
        </w:rPr>
        <w:t xml:space="preserve"> </w:t>
      </w:r>
      <w:r>
        <w:rPr>
          <w:rFonts w:hint="eastAsia" w:ascii="仿宋_GB2312" w:hAnsi="宋体" w:eastAsia="仿宋_GB2312" w:cs="宋体"/>
          <w:b w:val="0"/>
          <w:color w:val="333333"/>
          <w:sz w:val="28"/>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line="360" w:lineRule="auto"/>
        <w:ind w:right="262"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第九条</w:t>
      </w:r>
      <w:r>
        <w:rPr>
          <w:b w:val="0"/>
          <w:spacing w:val="97"/>
        </w:rPr>
        <w:t xml:space="preserve"> </w:t>
      </w:r>
      <w:r>
        <w:rPr>
          <w:rFonts w:hint="eastAsia" w:ascii="仿宋_GB2312" w:hAnsi="宋体" w:eastAsia="仿宋_GB2312" w:cs="宋体"/>
          <w:b w:val="0"/>
          <w:color w:val="333333"/>
          <w:sz w:val="28"/>
          <w:szCs w:val="28"/>
        </w:rPr>
        <w:t>以联合体形式参加学校采购活动的，其投诉应当由组成联合体的所有供应商共同提出。</w:t>
      </w:r>
    </w:p>
    <w:p>
      <w:pPr>
        <w:spacing w:before="240" w:beforeLines="100" w:after="240" w:afterLines="100" w:line="360" w:lineRule="auto"/>
        <w:jc w:val="center"/>
        <w:rPr>
          <w:rFonts w:hint="eastAsia" w:ascii="仿宋_GB2312" w:hAnsi="黑体" w:eastAsia="仿宋_GB2312" w:cs="宋体"/>
          <w:color w:val="333333"/>
          <w:sz w:val="28"/>
          <w:szCs w:val="28"/>
        </w:rPr>
      </w:pPr>
      <w:r>
        <w:rPr>
          <w:rFonts w:hint="eastAsia" w:ascii="仿宋_GB2312" w:hAnsi="黑体" w:eastAsia="仿宋_GB2312" w:cs="宋体"/>
          <w:color w:val="333333"/>
          <w:sz w:val="28"/>
          <w:szCs w:val="28"/>
        </w:rPr>
        <w:t>第二章 质疑的提出</w:t>
      </w:r>
    </w:p>
    <w:p>
      <w:pPr>
        <w:pStyle w:val="11"/>
        <w:spacing w:line="360" w:lineRule="auto"/>
        <w:ind w:right="122" w:firstLine="640"/>
        <w:rPr>
          <w:rFonts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第十条  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第十一条  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第十二条  校内自主采购活动中，供应商提出质疑应当提交质疑函和必要的证明材料。质疑函应当包括下列内容：</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（一）供应商的姓名或者单位名称、地址、邮编、联系人及联系电话；</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（二）质疑项目的名称、编号；</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（三）具体、明确的质疑事项和与质疑事项相关的请求；</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（四）事实依据；</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（五）必要的法律依据；</w:t>
      </w:r>
    </w:p>
    <w:p>
      <w:pPr>
        <w:pStyle w:val="11"/>
        <w:spacing w:line="360" w:lineRule="auto"/>
        <w:ind w:right="119" w:firstLine="640"/>
        <w:rPr>
          <w:rFonts w:hint="eastAsia" w:ascii="仿宋_GB2312" w:hAnsi="宋体" w:eastAsia="仿宋_GB2312" w:cs="宋体"/>
          <w:b w:val="0"/>
          <w:color w:val="333333"/>
          <w:sz w:val="28"/>
          <w:szCs w:val="28"/>
        </w:rPr>
      </w:pPr>
      <w:r>
        <w:rPr>
          <w:rFonts w:hint="eastAsia" w:ascii="仿宋_GB2312" w:hAnsi="宋体" w:eastAsia="仿宋_GB2312" w:cs="宋体"/>
          <w:b w:val="0"/>
          <w:color w:val="333333"/>
          <w:sz w:val="28"/>
          <w:szCs w:val="28"/>
        </w:rPr>
        <w:t>（六）提出质疑的日期。供应商为自然人的，应当由本人签字；供应商为法人或者其他组织的，应当由法定代表人、主要负责人，或者其授权代表签字或者盖章，并加盖公章。</w:t>
      </w:r>
    </w:p>
    <w:p>
      <w:pPr>
        <w:pStyle w:val="11"/>
        <w:spacing w:line="360" w:lineRule="auto"/>
        <w:ind w:right="259" w:firstLine="640"/>
        <w:rPr>
          <w:b w:val="0"/>
        </w:rPr>
      </w:pPr>
      <w:r>
        <w:rPr>
          <w:rFonts w:hint="eastAsia" w:ascii="仿宋_GB2312" w:hAnsi="宋体" w:eastAsia="仿宋_GB2312" w:cs="宋体"/>
          <w:b w:val="0"/>
          <w:color w:val="333333"/>
          <w:sz w:val="28"/>
          <w:szCs w:val="28"/>
        </w:rPr>
        <w:t>第十三条  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line="360" w:lineRule="auto"/>
        <w:jc w:val="center"/>
        <w:rPr>
          <w:rFonts w:hint="eastAsia" w:ascii="仿宋_GB2312" w:hAnsi="微软雅黑" w:eastAsia="仿宋_GB2312"/>
          <w:color w:val="3E3E3E"/>
          <w:sz w:val="28"/>
          <w:szCs w:val="28"/>
        </w:rPr>
      </w:pPr>
      <w:r>
        <w:rPr>
          <w:rFonts w:hint="eastAsia" w:ascii="仿宋_GB2312" w:hAnsi="黑体" w:eastAsia="仿宋_GB2312"/>
          <w:color w:val="3E3E3E"/>
          <w:sz w:val="28"/>
          <w:szCs w:val="28"/>
        </w:rPr>
        <w:t>第三章  质疑的答复</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第十四条  </w:t>
      </w:r>
      <w:r>
        <w:rPr>
          <w:rFonts w:hint="eastAsia" w:ascii="仿宋_GB2312" w:hAnsi="宋体" w:eastAsia="仿宋_GB2312" w:cs="Calibri"/>
          <w:b w:val="0"/>
          <w:color w:val="333333"/>
          <w:sz w:val="28"/>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第十五条  </w:t>
      </w:r>
      <w:r>
        <w:rPr>
          <w:rFonts w:hint="eastAsia" w:ascii="仿宋_GB2312" w:hAnsi="宋体" w:eastAsia="仿宋_GB2312" w:cs="Calibri"/>
          <w:b w:val="0"/>
          <w:color w:val="333333"/>
          <w:sz w:val="28"/>
          <w:szCs w:val="28"/>
        </w:rPr>
        <w:t>供应商的书面质疑属于下列情形之一的，国资处、项目单位、采购代理机构可不予受理，并以书面形式告知其不予受理的原因：</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（一）未通过资格审核，或未参与该采购项目活动的供应商；</w:t>
      </w:r>
    </w:p>
    <w:p>
      <w:pPr>
        <w:pStyle w:val="11"/>
        <w:spacing w:line="360" w:lineRule="auto"/>
        <w:ind w:right="247" w:firstLine="640"/>
        <w:rPr>
          <w:b w:val="0"/>
          <w:spacing w:val="0"/>
          <w:w w:val="99"/>
        </w:rPr>
      </w:pPr>
      <w:r>
        <w:rPr>
          <w:rFonts w:hint="eastAsia" w:ascii="仿宋_GB2312" w:hAnsi="宋体" w:eastAsia="仿宋_GB2312" w:cs="Calibri"/>
          <w:b w:val="0"/>
          <w:color w:val="333333"/>
          <w:sz w:val="28"/>
          <w:szCs w:val="28"/>
        </w:rPr>
        <w:t>（二）已超过法律规定或采购文件约定的质疑期限。</w:t>
      </w:r>
      <w:r>
        <w:rPr>
          <w:b w:val="0"/>
          <w:spacing w:val="0"/>
          <w:w w:val="99"/>
        </w:rPr>
        <w:t xml:space="preserve"> </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第十六条  </w:t>
      </w:r>
      <w:r>
        <w:rPr>
          <w:rFonts w:hint="eastAsia" w:ascii="仿宋_GB2312" w:hAnsi="宋体" w:eastAsia="仿宋_GB2312" w:cs="Calibri"/>
          <w:b w:val="0"/>
          <w:color w:val="333333"/>
          <w:sz w:val="28"/>
          <w:szCs w:val="28"/>
        </w:rPr>
        <w:t>国资处、项目单位可就供应商的质疑事项进行调查取证，有关当事人应当如实反映情况和提供有关材料。</w:t>
      </w:r>
    </w:p>
    <w:p>
      <w:pPr>
        <w:pStyle w:val="11"/>
        <w:spacing w:line="360" w:lineRule="auto"/>
        <w:ind w:right="10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第十七条  </w:t>
      </w:r>
      <w:r>
        <w:rPr>
          <w:rFonts w:hint="eastAsia" w:ascii="仿宋_GB2312" w:hAnsi="宋体" w:eastAsia="仿宋_GB2312" w:cs="Calibri"/>
          <w:b w:val="0"/>
          <w:color w:val="333333"/>
          <w:sz w:val="28"/>
          <w:szCs w:val="28"/>
        </w:rPr>
        <w:t>校内自主采购活动中，供应商对评审过程、中标或者成交结果提出质疑的，国资处、项目单位、采购代理机构可以组织原采购评审小组共同答复质疑。</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第十八条  </w:t>
      </w:r>
      <w:r>
        <w:rPr>
          <w:rFonts w:hint="eastAsia" w:ascii="仿宋_GB2312" w:hAnsi="宋体" w:eastAsia="仿宋_GB2312" w:cs="Calibri"/>
          <w:b w:val="0"/>
          <w:color w:val="333333"/>
          <w:sz w:val="28"/>
          <w:szCs w:val="28"/>
        </w:rPr>
        <w:t>校内自主采购活动中，质疑答复应当包括下列内容：</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（一）质疑供应商的姓名或者单位名称；</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（二）收到质疑函的日期、质疑项目名称及编号；</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（三）质疑事项、质疑答复的具体内容、事实依据和法律及相关政策规定等依据；</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（四）告知质疑供应商依法投诉的权利；</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（五）质疑答复人名称；</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（六）答复质疑的日期。</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质疑答复的内容不得涉及商业秘密。</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第十九条  </w:t>
      </w:r>
      <w:r>
        <w:rPr>
          <w:rFonts w:hint="eastAsia" w:ascii="仿宋_GB2312" w:hAnsi="宋体" w:eastAsia="仿宋_GB2312" w:cs="Calibri"/>
          <w:b w:val="0"/>
          <w:color w:val="333333"/>
          <w:sz w:val="28"/>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line="360" w:lineRule="auto"/>
        <w:ind w:right="247"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（一）对采购文件提出的质疑，依法通过澄清或者修改可以继续开展采购活动的，澄清或者修改采购文件后继续开展采购活动；否则应当修改采购文件后重新开展采购活动；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line="360" w:lineRule="auto"/>
        <w:ind w:firstLine="640"/>
        <w:jc w:val="left"/>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质疑答复导致中标、成交结果改变的，国资处、项目单位应当将有关情况书面报告纪委办公室。</w:t>
      </w:r>
    </w:p>
    <w:p>
      <w:pPr>
        <w:spacing w:before="240" w:beforeLines="100" w:after="240" w:afterLines="100" w:line="360" w:lineRule="auto"/>
        <w:jc w:val="center"/>
        <w:rPr>
          <w:rFonts w:hint="eastAsia" w:ascii="仿宋_GB2312" w:hAnsi="黑体" w:eastAsia="仿宋_GB2312" w:cs="Calibri"/>
          <w:color w:val="3E3E3E"/>
          <w:sz w:val="28"/>
          <w:szCs w:val="28"/>
        </w:rPr>
      </w:pPr>
      <w:r>
        <w:rPr>
          <w:rFonts w:hint="eastAsia" w:ascii="仿宋_GB2312" w:hAnsi="黑体" w:eastAsia="仿宋_GB2312" w:cs="Calibri"/>
          <w:color w:val="3E3E3E"/>
          <w:sz w:val="28"/>
          <w:szCs w:val="28"/>
        </w:rPr>
        <w:t>第四章  投诉的提起</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第二十条  </w:t>
      </w:r>
      <w:r>
        <w:rPr>
          <w:rFonts w:hint="eastAsia" w:ascii="仿宋_GB2312" w:hAnsi="宋体" w:eastAsia="仿宋_GB2312" w:cs="Calibri"/>
          <w:b w:val="0"/>
          <w:color w:val="333333"/>
          <w:sz w:val="28"/>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第二十一条</w:t>
      </w:r>
      <w:r>
        <w:rPr>
          <w:b w:val="0"/>
          <w:spacing w:val="0"/>
        </w:rPr>
        <w:tab/>
      </w:r>
      <w:r>
        <w:rPr>
          <w:rFonts w:hint="eastAsia" w:ascii="仿宋_GB2312" w:hAnsi="宋体" w:eastAsia="仿宋_GB2312" w:cs="Calibri"/>
          <w:b w:val="0"/>
          <w:color w:val="333333"/>
          <w:sz w:val="28"/>
          <w:szCs w:val="28"/>
        </w:rPr>
        <w:t>校内自主采购活动中，投诉人投诉时,应当提交投诉书和必要的证明材料。投诉书应当包括下列内容：</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（一）投诉人和被投诉人的姓名或者单位名称、通讯地 址、邮编、联系人及联系电话；</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（二）质疑和质疑答复情况说明及相关证明材料；</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（三）具体、明确的投诉事项和与投诉事项相关的投诉请求；</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（四）事实依据；</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（五）法律依据；</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 xml:space="preserve">（六）提起投诉的日期。 </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投诉人为自然人的，应当由本人签字；投诉人为法人或者其他组织的，应当由法定代表人、主要负责人，或者其授权代表签字或者盖章，并加盖公章。</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第二十二条</w:t>
      </w:r>
      <w:r>
        <w:rPr>
          <w:b w:val="0"/>
          <w:spacing w:val="0"/>
        </w:rPr>
        <w:tab/>
      </w:r>
      <w:r>
        <w:rPr>
          <w:rFonts w:hint="eastAsia" w:ascii="仿宋_GB2312" w:hAnsi="宋体" w:eastAsia="仿宋_GB2312" w:cs="Calibri"/>
          <w:b w:val="0"/>
          <w:color w:val="333333"/>
          <w:sz w:val="28"/>
          <w:szCs w:val="28"/>
        </w:rPr>
        <w:t>投诉人应当根据本办法第七条规定的信息内容，并按照其规定的方式提起投诉。</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投诉人提起投诉应当符合下列条件：</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（一）提起投诉前已依法、依规进行质疑；</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（二）投诉书内容符合本办法的规定；</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（三）在投诉有效期限内提起投诉；</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（四）同一投诉事项未经投诉处理。</w:t>
      </w:r>
    </w:p>
    <w:p>
      <w:pPr>
        <w:pStyle w:val="11"/>
        <w:tabs>
          <w:tab w:val="left" w:pos="2762"/>
        </w:tabs>
        <w:spacing w:line="360" w:lineRule="auto"/>
        <w:ind w:right="122" w:firstLine="640"/>
        <w:jc w:val="left"/>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第二十三条  </w:t>
      </w:r>
      <w:r>
        <w:rPr>
          <w:rFonts w:hint="eastAsia" w:ascii="仿宋_GB2312" w:hAnsi="宋体" w:eastAsia="仿宋_GB2312" w:cs="Calibri"/>
          <w:b w:val="0"/>
          <w:color w:val="333333"/>
          <w:sz w:val="28"/>
          <w:szCs w:val="28"/>
        </w:rPr>
        <w:t>供应商投诉的事项不得超出已质疑事项的范围，但基于质疑答复内容提出的投诉事项除外。</w:t>
      </w:r>
    </w:p>
    <w:p>
      <w:pPr>
        <w:spacing w:before="240" w:beforeLines="100" w:after="240" w:afterLines="100" w:line="360" w:lineRule="auto"/>
        <w:jc w:val="center"/>
        <w:rPr>
          <w:rFonts w:hint="eastAsia" w:ascii="仿宋_GB2312" w:hAnsi="黑体" w:eastAsia="仿宋_GB2312" w:cs="Calibri"/>
          <w:color w:val="3E3E3E"/>
          <w:sz w:val="28"/>
          <w:szCs w:val="28"/>
        </w:rPr>
      </w:pPr>
      <w:r>
        <w:rPr>
          <w:rFonts w:hint="eastAsia" w:ascii="仿宋_GB2312" w:hAnsi="黑体" w:eastAsia="仿宋_GB2312" w:cs="Calibri"/>
          <w:color w:val="3E3E3E"/>
          <w:sz w:val="28"/>
          <w:szCs w:val="28"/>
        </w:rPr>
        <w:t>第五章  投诉的处理</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第二十四条  </w:t>
      </w:r>
      <w:r>
        <w:rPr>
          <w:rFonts w:hint="eastAsia" w:ascii="仿宋_GB2312" w:hAnsi="宋体" w:eastAsia="仿宋_GB2312" w:cs="Calibri"/>
          <w:b w:val="0"/>
          <w:color w:val="333333"/>
          <w:sz w:val="28"/>
          <w:szCs w:val="28"/>
        </w:rPr>
        <w:t>纪委办公室收到投诉书后，应当在 5 个工作日内进行审查，审查后按照下列情况处理：</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（二）投诉不符合本办法第二十二条规定条件的，应当在 3 个工作日内书面告知投诉人不予受理，并说明理由；</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（三）投诉不属于本部门管辖的，应当在 3 个工作日内书面告知投诉人向有管辖权的部门提起投诉；</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line="360" w:lineRule="auto"/>
        <w:ind w:right="26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第二十五条</w:t>
      </w:r>
      <w:r>
        <w:rPr>
          <w:b w:val="0"/>
          <w:spacing w:val="99"/>
        </w:rPr>
        <w:t xml:space="preserve"> </w:t>
      </w:r>
      <w:r>
        <w:rPr>
          <w:rFonts w:hint="eastAsia" w:ascii="仿宋_GB2312" w:hAnsi="宋体" w:eastAsia="仿宋_GB2312" w:cs="Calibri"/>
          <w:b w:val="0"/>
          <w:color w:val="333333"/>
          <w:sz w:val="28"/>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line="360" w:lineRule="auto"/>
        <w:ind w:right="26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第二十六条</w:t>
      </w:r>
      <w:r>
        <w:rPr>
          <w:b w:val="0"/>
          <w:spacing w:val="124"/>
        </w:rPr>
        <w:t xml:space="preserve"> </w:t>
      </w:r>
      <w:r>
        <w:rPr>
          <w:rFonts w:hint="eastAsia" w:ascii="仿宋_GB2312" w:hAnsi="宋体" w:eastAsia="仿宋_GB2312" w:cs="Calibri"/>
          <w:b w:val="0"/>
          <w:color w:val="333333"/>
          <w:sz w:val="28"/>
          <w:szCs w:val="28"/>
        </w:rPr>
        <w:t>纪委办公室处理投诉事项原则上采用书面审查的方式。纪委办公室认为有必要时，可以进行调查取证或者组织质证。</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第二十七条</w:t>
      </w:r>
      <w:r>
        <w:rPr>
          <w:b w:val="0"/>
          <w:spacing w:val="101"/>
        </w:rPr>
        <w:t xml:space="preserve"> </w:t>
      </w:r>
      <w:r>
        <w:rPr>
          <w:rFonts w:hint="eastAsia" w:ascii="仿宋_GB2312" w:hAnsi="宋体" w:eastAsia="仿宋_GB2312" w:cs="Calibri"/>
          <w:b w:val="0"/>
          <w:color w:val="333333"/>
          <w:sz w:val="28"/>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line="360" w:lineRule="auto"/>
        <w:ind w:right="247"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第二十八条</w:t>
      </w:r>
      <w:r>
        <w:rPr>
          <w:b w:val="0"/>
          <w:spacing w:val="98"/>
        </w:rPr>
        <w:t xml:space="preserve"> </w:t>
      </w:r>
      <w:r>
        <w:rPr>
          <w:rFonts w:hint="eastAsia" w:ascii="仿宋_GB2312" w:hAnsi="宋体" w:eastAsia="仿宋_GB2312" w:cs="Calibri"/>
          <w:b w:val="0"/>
          <w:color w:val="333333"/>
          <w:sz w:val="28"/>
          <w:szCs w:val="28"/>
        </w:rPr>
        <w:t>纪委办公室依法、依规进行调查取证时，投诉人、国资处、项目单位以及与投诉事项有关的部门及人员应当如实反映情况，并提供纪委办公室所需要的相关材料。</w:t>
      </w:r>
    </w:p>
    <w:p>
      <w:pPr>
        <w:pStyle w:val="11"/>
        <w:spacing w:line="360" w:lineRule="auto"/>
        <w:ind w:right="101"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第二十九条</w:t>
      </w:r>
      <w:r>
        <w:rPr>
          <w:b w:val="0"/>
          <w:spacing w:val="116"/>
        </w:rPr>
        <w:t xml:space="preserve"> </w:t>
      </w:r>
      <w:r>
        <w:rPr>
          <w:rFonts w:hint="eastAsia" w:ascii="仿宋_GB2312" w:hAnsi="宋体" w:eastAsia="仿宋_GB2312" w:cs="Calibri"/>
          <w:b w:val="0"/>
          <w:color w:val="333333"/>
          <w:sz w:val="28"/>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line="360" w:lineRule="auto"/>
        <w:ind w:right="26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第三十条 </w:t>
      </w:r>
      <w:r>
        <w:rPr>
          <w:rFonts w:hint="eastAsia" w:ascii="仿宋_GB2312" w:hAnsi="宋体" w:eastAsia="仿宋_GB2312" w:cs="Calibri"/>
          <w:b w:val="0"/>
          <w:color w:val="333333"/>
          <w:sz w:val="28"/>
          <w:szCs w:val="28"/>
        </w:rPr>
        <w:t>纪委办公室应当自收到投诉之日起 30 个工作日内，对投诉事项作出处理决定。</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第三十一条</w:t>
      </w:r>
      <w:r>
        <w:rPr>
          <w:b w:val="0"/>
          <w:spacing w:val="100"/>
        </w:rPr>
        <w:t xml:space="preserve"> </w:t>
      </w:r>
      <w:r>
        <w:rPr>
          <w:rFonts w:hint="eastAsia" w:ascii="仿宋_GB2312" w:hAnsi="宋体" w:eastAsia="仿宋_GB2312" w:cs="Calibri"/>
          <w:b w:val="0"/>
          <w:color w:val="333333"/>
          <w:sz w:val="28"/>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line="360" w:lineRule="auto"/>
        <w:ind w:right="259"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第三十二条</w:t>
      </w:r>
      <w:r>
        <w:rPr>
          <w:b w:val="0"/>
          <w:spacing w:val="99"/>
        </w:rPr>
        <w:t xml:space="preserve"> </w:t>
      </w:r>
      <w:r>
        <w:rPr>
          <w:rFonts w:hint="eastAsia" w:ascii="仿宋_GB2312" w:hAnsi="宋体" w:eastAsia="仿宋_GB2312" w:cs="Calibri"/>
          <w:b w:val="0"/>
          <w:color w:val="333333"/>
          <w:sz w:val="28"/>
          <w:szCs w:val="28"/>
        </w:rPr>
        <w:t>纪委办公室在处理投诉事项期间，可以视具体情况书面通知国资处、项目单位、采购代理机构暂停采购活动，暂停采购活动时间最长不得超过 30 日。</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第三十三条</w:t>
      </w:r>
      <w:r>
        <w:rPr>
          <w:b w:val="0"/>
          <w:spacing w:val="100"/>
        </w:rPr>
        <w:t xml:space="preserve"> </w:t>
      </w:r>
      <w:r>
        <w:rPr>
          <w:rFonts w:hint="eastAsia" w:ascii="仿宋_GB2312" w:hAnsi="宋体" w:eastAsia="仿宋_GB2312" w:cs="Calibri"/>
          <w:b w:val="0"/>
          <w:color w:val="333333"/>
          <w:sz w:val="28"/>
          <w:szCs w:val="28"/>
        </w:rPr>
        <w:t>投诉处理过程中，有下列情形之一的，纪委办公室应当驳回投诉：</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（一）发现投诉不符合受理条件；</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（二）投诉事项缺乏事实依据，投诉事项不成立；</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（三）投诉人捏造事实或者提供虚假材料；</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（四）投诉人以非法手段取得证明材料。证据来源的合法性存在明显疑问，投诉人无法证明其取得方式合法的，视为以非法手段取得证明材料。</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第三十四条  </w:t>
      </w:r>
      <w:r>
        <w:rPr>
          <w:rFonts w:hint="eastAsia" w:ascii="仿宋_GB2312" w:hAnsi="宋体" w:eastAsia="仿宋_GB2312" w:cs="Calibri"/>
          <w:b w:val="0"/>
          <w:color w:val="333333"/>
          <w:sz w:val="28"/>
          <w:szCs w:val="28"/>
        </w:rPr>
        <w:t>纪委办公室受理投诉后,投诉人书面申请撤回投诉的，纪委办公室应当终止投诉处理程序，并书面告知相关当事人。</w:t>
      </w:r>
    </w:p>
    <w:p>
      <w:pPr>
        <w:pStyle w:val="11"/>
        <w:spacing w:line="360" w:lineRule="auto"/>
        <w:ind w:right="260" w:firstLine="560" w:firstLineChars="20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第三十五条  </w:t>
      </w:r>
      <w:r>
        <w:rPr>
          <w:rFonts w:hint="eastAsia" w:ascii="仿宋_GB2312" w:hAnsi="宋体" w:eastAsia="仿宋_GB2312" w:cs="Calibri"/>
          <w:b w:val="0"/>
          <w:color w:val="333333"/>
          <w:sz w:val="28"/>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（一）未确定中标或者成交供应商的，责令重新开展采购活动；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（二）已确定中标或者成交供应商但尚未签订采购合同的，认定中标或者成交结果无效，责令重新开展采购活动；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（三）采购合同已经签订但尚未履行的，撤销合同，责令重新开展采购活动；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（四）采购合同已经履行，给他人造成损失的，相关当事人可依法提起诉讼,由责任人承担赔偿责任。</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第三十六条  </w:t>
      </w:r>
      <w:r>
        <w:rPr>
          <w:rFonts w:hint="eastAsia" w:ascii="仿宋_GB2312" w:hAnsi="宋体" w:eastAsia="仿宋_GB2312" w:cs="Calibri"/>
          <w:b w:val="0"/>
          <w:color w:val="333333"/>
          <w:sz w:val="28"/>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（一）未确定中标或者成交供应商的，责令重新开展采购活动；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（四）采购合同已经履行，给他人造成损失的，相关当事人可依法提起诉讼,由责任人承担赔偿责任。投诉人对废标行为提起的投诉事项成立的，纪委办公室应当认定废标行为无效。</w:t>
      </w:r>
    </w:p>
    <w:p>
      <w:pPr>
        <w:pStyle w:val="11"/>
        <w:spacing w:line="360" w:lineRule="auto"/>
        <w:ind w:right="260" w:firstLine="560" w:firstLineChars="20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第三十七条  </w:t>
      </w:r>
      <w:r>
        <w:rPr>
          <w:rFonts w:hint="eastAsia" w:ascii="仿宋_GB2312" w:hAnsi="宋体" w:eastAsia="仿宋_GB2312" w:cs="Calibri"/>
          <w:b w:val="0"/>
          <w:color w:val="333333"/>
          <w:sz w:val="28"/>
          <w:szCs w:val="28"/>
        </w:rPr>
        <w:t>纪委办公室作出处理决定，应当制作投诉处理决定书，并加盖公章。投诉处理决定书应当包括下列内容：</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（一）投诉人和被投诉人的姓名或者单位名称、通讯地址等；</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（二）处理决定查明的事实和相关依据，具体处理决定和法律依据；</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（三）告知相关当事人向上级主管部门投诉或提起民事诉讼的权利；</w:t>
      </w:r>
    </w:p>
    <w:p>
      <w:pPr>
        <w:pStyle w:val="11"/>
        <w:spacing w:line="360" w:lineRule="auto"/>
        <w:ind w:right="260" w:firstLine="48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（四）作出处理决定的日期。</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第三十八条  </w:t>
      </w:r>
      <w:r>
        <w:rPr>
          <w:rFonts w:hint="eastAsia" w:ascii="仿宋_GB2312" w:hAnsi="宋体" w:eastAsia="仿宋_GB2312" w:cs="Calibri"/>
          <w:b w:val="0"/>
          <w:color w:val="333333"/>
          <w:sz w:val="28"/>
          <w:szCs w:val="28"/>
        </w:rPr>
        <w:t>纪委办公室应当将投诉处理决定书送达投诉人和与投诉事项有关的当事人，并及时将投诉处理结果在校园网公告。</w:t>
      </w:r>
    </w:p>
    <w:p>
      <w:pPr>
        <w:pStyle w:val="11"/>
        <w:tabs>
          <w:tab w:val="left" w:pos="2680"/>
        </w:tabs>
        <w:spacing w:line="360" w:lineRule="auto"/>
        <w:ind w:firstLine="560" w:firstLineChars="200"/>
        <w:jc w:val="left"/>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第三十九条  </w:t>
      </w:r>
      <w:r>
        <w:rPr>
          <w:rFonts w:hint="eastAsia" w:ascii="仿宋_GB2312" w:hAnsi="宋体" w:eastAsia="仿宋_GB2312" w:cs="Calibri"/>
          <w:b w:val="0"/>
          <w:color w:val="333333"/>
          <w:sz w:val="28"/>
          <w:szCs w:val="28"/>
        </w:rPr>
        <w:t>纪委办公室应当完善投诉处理档案管理。</w:t>
      </w:r>
    </w:p>
    <w:p>
      <w:pPr>
        <w:spacing w:before="240" w:beforeLines="100" w:after="240" w:afterLines="100" w:line="360" w:lineRule="auto"/>
        <w:jc w:val="center"/>
        <w:rPr>
          <w:rFonts w:hint="eastAsia" w:ascii="仿宋_GB2312" w:hAnsi="黑体" w:eastAsia="仿宋_GB2312" w:cs="Calibri"/>
          <w:color w:val="3E3E3E"/>
          <w:sz w:val="28"/>
          <w:szCs w:val="28"/>
        </w:rPr>
      </w:pPr>
      <w:r>
        <w:rPr>
          <w:rFonts w:hint="eastAsia" w:ascii="仿宋_GB2312" w:hAnsi="黑体" w:eastAsia="仿宋_GB2312" w:cs="Calibri"/>
          <w:color w:val="3E3E3E"/>
          <w:sz w:val="28"/>
          <w:szCs w:val="28"/>
        </w:rPr>
        <w:t>第六章  法律责任</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第四十条  </w:t>
      </w:r>
      <w:r>
        <w:rPr>
          <w:rFonts w:hint="eastAsia" w:ascii="仿宋_GB2312" w:hAnsi="宋体" w:eastAsia="仿宋_GB2312" w:cs="Calibri"/>
          <w:b w:val="0"/>
          <w:color w:val="333333"/>
          <w:sz w:val="28"/>
          <w:szCs w:val="28"/>
        </w:rPr>
        <w:t>国资处、项目部门、采购代理机构有下列情形之一的，由纪委办公室责令限期改正；情节严重的，给予警告，对直接负责的主管人员和其他直接责任人员依法依规追究相应责任：</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（一）拒收质疑供应商在质疑期内发出的质疑函；</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（二）对质疑不予答复或者答复与事实明显不符，并不能作出合理说明；</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（三）拒绝配合纪委办公室处理投诉事宜。</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第四十一条</w:t>
      </w:r>
      <w:r>
        <w:rPr>
          <w:b w:val="0"/>
          <w:spacing w:val="0"/>
        </w:rPr>
        <w:tab/>
      </w:r>
      <w:r>
        <w:rPr>
          <w:rFonts w:hint="eastAsia" w:eastAsia="宋体"/>
          <w:b w:val="0"/>
          <w:spacing w:val="0"/>
        </w:rPr>
        <w:t xml:space="preserve">  </w:t>
      </w:r>
      <w:r>
        <w:rPr>
          <w:rFonts w:hint="eastAsia" w:ascii="仿宋_GB2312" w:hAnsi="宋体" w:eastAsia="仿宋_GB2312" w:cs="Calibri"/>
          <w:b w:val="0"/>
          <w:color w:val="333333"/>
          <w:sz w:val="28"/>
          <w:szCs w:val="28"/>
        </w:rPr>
        <w:t>投诉人在学校采购活动中 12 个月内三次以上投诉查无实据的，列入不良行为记录名单。</w:t>
      </w:r>
    </w:p>
    <w:p>
      <w:pPr>
        <w:pStyle w:val="11"/>
        <w:spacing w:line="360" w:lineRule="auto"/>
        <w:ind w:right="122" w:firstLine="640"/>
        <w:rPr>
          <w:rFonts w:hint="eastAsia" w:ascii="仿宋_GB2312" w:hAnsi="宋体" w:eastAsia="仿宋_GB2312" w:cs="Calibri"/>
          <w:b w:val="0"/>
          <w:color w:val="333333"/>
          <w:sz w:val="28"/>
          <w:szCs w:val="28"/>
        </w:rPr>
      </w:pPr>
      <w:r>
        <w:rPr>
          <w:rFonts w:hint="eastAsia" w:ascii="仿宋_GB2312" w:hAnsi="宋体" w:eastAsia="仿宋_GB2312" w:cs="Calibri"/>
          <w:b w:val="0"/>
          <w:color w:val="333333"/>
          <w:sz w:val="28"/>
          <w:szCs w:val="28"/>
        </w:rPr>
        <w:t>投诉人有下列行为之一的，属于虚假、恶意投诉，由国资处、项目单位、纪委办公室列入不良行为记录名单，禁止 其 1 至 3 年内参加学校采购活动：</w:t>
      </w:r>
    </w:p>
    <w:p>
      <w:pPr>
        <w:spacing w:line="360" w:lineRule="auto"/>
        <w:jc w:val="left"/>
        <w:rPr>
          <w:rFonts w:hint="eastAsia" w:ascii="仿宋_GB2312" w:hAnsi="宋体" w:eastAsia="仿宋_GB2312" w:cs="Calibri"/>
          <w:color w:val="333333"/>
          <w:sz w:val="28"/>
          <w:szCs w:val="28"/>
        </w:rPr>
      </w:pPr>
      <w:r>
        <w:rPr>
          <w:rFonts w:hint="eastAsia" w:ascii="仿宋_GB2312" w:hAnsi="宋体" w:eastAsia="仿宋_GB2312" w:cs="Calibri"/>
          <w:color w:val="333333"/>
          <w:sz w:val="28"/>
          <w:szCs w:val="28"/>
        </w:rPr>
        <w:t>（一）捏造事实;</w:t>
      </w:r>
    </w:p>
    <w:p>
      <w:pPr>
        <w:spacing w:line="360" w:lineRule="auto"/>
        <w:jc w:val="left"/>
        <w:rPr>
          <w:rFonts w:hint="eastAsia" w:ascii="仿宋_GB2312" w:hAnsi="宋体" w:eastAsia="仿宋_GB2312" w:cs="Calibri"/>
          <w:color w:val="333333"/>
          <w:sz w:val="28"/>
          <w:szCs w:val="28"/>
        </w:rPr>
      </w:pPr>
      <w:r>
        <w:rPr>
          <w:rFonts w:hint="eastAsia" w:ascii="仿宋_GB2312" w:hAnsi="宋体" w:eastAsia="仿宋_GB2312" w:cs="Calibri"/>
          <w:color w:val="333333"/>
          <w:sz w:val="28"/>
          <w:szCs w:val="28"/>
        </w:rPr>
        <w:t>（二）提供虚假材料;</w:t>
      </w:r>
    </w:p>
    <w:p>
      <w:pPr>
        <w:spacing w:line="360" w:lineRule="auto"/>
        <w:jc w:val="left"/>
        <w:rPr>
          <w:rFonts w:hint="eastAsia" w:ascii="仿宋_GB2312" w:hAnsi="宋体" w:eastAsia="仿宋_GB2312" w:cs="Calibri"/>
          <w:color w:val="333333"/>
          <w:sz w:val="28"/>
          <w:szCs w:val="28"/>
        </w:rPr>
      </w:pPr>
      <w:r>
        <w:rPr>
          <w:rFonts w:hint="eastAsia" w:ascii="仿宋_GB2312" w:hAnsi="宋体" w:eastAsia="仿宋_GB2312" w:cs="Calibri"/>
          <w:color w:val="333333"/>
          <w:sz w:val="28"/>
          <w:szCs w:val="28"/>
        </w:rPr>
        <w:t>（三）以非法手段取得证明材料。证据来源的合法性存在明显疑问，投诉人无法证明其取得方式合法的，视为以非法手段取得证明材料。</w:t>
      </w:r>
    </w:p>
    <w:p>
      <w:pPr>
        <w:pStyle w:val="11"/>
        <w:tabs>
          <w:tab w:val="left" w:pos="1919"/>
        </w:tabs>
        <w:spacing w:line="360" w:lineRule="auto"/>
        <w:ind w:right="122" w:firstLine="560" w:firstLineChars="20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第四十二条  </w:t>
      </w:r>
      <w:r>
        <w:rPr>
          <w:rFonts w:hint="eastAsia" w:ascii="仿宋_GB2312" w:hAnsi="宋体" w:eastAsia="仿宋_GB2312" w:cs="Calibri"/>
          <w:b w:val="0"/>
          <w:color w:val="333333"/>
          <w:sz w:val="28"/>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line="360" w:lineRule="auto"/>
        <w:ind w:right="122" w:firstLine="560" w:firstLineChars="200"/>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第四十三条  </w:t>
      </w:r>
      <w:r>
        <w:rPr>
          <w:rFonts w:hint="eastAsia" w:ascii="仿宋_GB2312" w:hAnsi="宋体" w:eastAsia="仿宋_GB2312" w:cs="Calibri"/>
          <w:b w:val="0"/>
          <w:color w:val="333333"/>
          <w:sz w:val="28"/>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line="360" w:lineRule="auto"/>
        <w:jc w:val="center"/>
        <w:rPr>
          <w:rFonts w:hint="eastAsia" w:ascii="仿宋_GB2312" w:hAnsi="黑体" w:eastAsia="仿宋_GB2312" w:cs="Calibri"/>
          <w:color w:val="3E3E3E"/>
          <w:sz w:val="28"/>
          <w:szCs w:val="28"/>
        </w:rPr>
      </w:pPr>
      <w:r>
        <w:rPr>
          <w:rFonts w:hint="eastAsia" w:ascii="仿宋_GB2312" w:hAnsi="黑体" w:eastAsia="仿宋_GB2312" w:cs="Calibri"/>
          <w:color w:val="3E3E3E"/>
          <w:sz w:val="28"/>
          <w:szCs w:val="28"/>
        </w:rPr>
        <w:t>第七章  附则</w:t>
      </w:r>
    </w:p>
    <w:p>
      <w:pPr>
        <w:pStyle w:val="11"/>
        <w:tabs>
          <w:tab w:val="left" w:pos="2680"/>
        </w:tabs>
        <w:spacing w:line="360" w:lineRule="auto"/>
        <w:ind w:right="122" w:firstLine="640"/>
        <w:jc w:val="left"/>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第四十四条  </w:t>
      </w:r>
      <w:r>
        <w:rPr>
          <w:rFonts w:hint="eastAsia" w:ascii="仿宋_GB2312" w:hAnsi="宋体" w:eastAsia="仿宋_GB2312" w:cs="Calibri"/>
          <w:b w:val="0"/>
          <w:color w:val="333333"/>
          <w:sz w:val="28"/>
          <w:szCs w:val="28"/>
        </w:rPr>
        <w:t>质疑函和投诉书应当使用中文。质疑和投诉文本采用我校制定的范本。</w:t>
      </w:r>
    </w:p>
    <w:p>
      <w:pPr>
        <w:pStyle w:val="11"/>
        <w:tabs>
          <w:tab w:val="left" w:pos="2680"/>
        </w:tabs>
        <w:spacing w:line="360" w:lineRule="auto"/>
        <w:ind w:right="122" w:firstLine="640"/>
        <w:jc w:val="left"/>
        <w:rPr>
          <w:rFonts w:hint="eastAsia" w:ascii="仿宋_GB2312" w:hAnsi="宋体" w:eastAsia="仿宋_GB2312" w:cs="Calibri"/>
          <w:b w:val="0"/>
          <w:color w:val="333333"/>
          <w:sz w:val="28"/>
          <w:szCs w:val="28"/>
        </w:rPr>
      </w:pPr>
      <w:r>
        <w:rPr>
          <w:rFonts w:hint="eastAsia" w:ascii="仿宋_GB2312" w:hAnsi="宋体" w:eastAsia="仿宋_GB2312" w:cs="宋体"/>
          <w:b w:val="0"/>
          <w:color w:val="333333"/>
          <w:sz w:val="28"/>
          <w:szCs w:val="28"/>
        </w:rPr>
        <w:t xml:space="preserve">第四十五条  </w:t>
      </w:r>
      <w:r>
        <w:rPr>
          <w:rFonts w:hint="eastAsia" w:ascii="仿宋_GB2312" w:hAnsi="宋体" w:eastAsia="仿宋_GB2312" w:cs="Calibri"/>
          <w:b w:val="0"/>
          <w:color w:val="333333"/>
          <w:sz w:val="28"/>
          <w:szCs w:val="28"/>
        </w:rPr>
        <w:t xml:space="preserve">本办法由学校国有资产管理处负责解释。 </w:t>
      </w:r>
    </w:p>
    <w:p>
      <w:pPr>
        <w:pStyle w:val="11"/>
        <w:tabs>
          <w:tab w:val="left" w:pos="2680"/>
        </w:tabs>
        <w:spacing w:line="360" w:lineRule="auto"/>
        <w:ind w:right="122" w:firstLine="640"/>
        <w:jc w:val="left"/>
        <w:rPr>
          <w:rFonts w:hint="eastAsia" w:ascii="仿宋_GB2312" w:hAnsi="宋体" w:eastAsia="仿宋_GB2312" w:cs="Calibri"/>
          <w:b w:val="0"/>
          <w:color w:val="333333"/>
          <w:sz w:val="28"/>
          <w:szCs w:val="28"/>
        </w:rPr>
        <w:sectPr>
          <w:pgSz w:w="11906" w:h="16840"/>
          <w:pgMar w:top="1500" w:right="1680" w:bottom="1260" w:left="1680" w:header="0" w:footer="1080" w:gutter="0"/>
          <w:cols w:space="720" w:num="1"/>
        </w:sectPr>
      </w:pPr>
      <w:r>
        <w:rPr>
          <w:rFonts w:hint="eastAsia" w:ascii="仿宋_GB2312" w:hAnsi="宋体" w:eastAsia="仿宋_GB2312" w:cs="宋体"/>
          <w:b w:val="0"/>
          <w:color w:val="333333"/>
          <w:sz w:val="28"/>
          <w:szCs w:val="28"/>
        </w:rPr>
        <w:t xml:space="preserve">第四十六条  </w:t>
      </w:r>
      <w:r>
        <w:rPr>
          <w:rFonts w:hint="eastAsia" w:ascii="仿宋_GB2312" w:hAnsi="宋体" w:eastAsia="仿宋_GB2312" w:cs="Calibri"/>
          <w:b w:val="0"/>
          <w:color w:val="333333"/>
          <w:sz w:val="28"/>
          <w:szCs w:val="28"/>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240"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pStyle w:val="25"/>
        <w:ind w:firstLine="562"/>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hAnsi="宋体" w:eastAsia="仿宋_GB2312"/>
          <w:b/>
          <w:sz w:val="28"/>
          <w:szCs w:val="28"/>
        </w:rPr>
      </w:pPr>
      <w:r>
        <w:rPr>
          <w:rFonts w:hint="eastAsia" w:ascii="仿宋_GB2312" w:eastAsia="仿宋_GB2312"/>
          <w:sz w:val="28"/>
          <w:szCs w:val="28"/>
        </w:rPr>
        <w:t xml:space="preserve"> </w:t>
      </w: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微软雅黑 Light">
    <w:altName w:val="微软雅黑"/>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146FFC22"/>
    <w:multiLevelType w:val="singleLevel"/>
    <w:tmpl w:val="146FFC22"/>
    <w:lvl w:ilvl="0" w:tentative="0">
      <w:start w:val="1"/>
      <w:numFmt w:val="decimal"/>
      <w:suff w:val="nothing"/>
      <w:lvlText w:val="%1、"/>
      <w:lvlJc w:val="left"/>
    </w:lvl>
  </w:abstractNum>
  <w:abstractNum w:abstractNumId="2">
    <w:nsid w:val="20120B1D"/>
    <w:multiLevelType w:val="multilevel"/>
    <w:tmpl w:val="20120B1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5">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0DF2"/>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070CCA"/>
    <w:rsid w:val="02EB0F66"/>
    <w:rsid w:val="030B1590"/>
    <w:rsid w:val="03164992"/>
    <w:rsid w:val="032558AB"/>
    <w:rsid w:val="033B177D"/>
    <w:rsid w:val="0374238F"/>
    <w:rsid w:val="03A01301"/>
    <w:rsid w:val="0432311F"/>
    <w:rsid w:val="04910E13"/>
    <w:rsid w:val="04E55E3A"/>
    <w:rsid w:val="055F6389"/>
    <w:rsid w:val="09296F01"/>
    <w:rsid w:val="09564F15"/>
    <w:rsid w:val="09A84CAA"/>
    <w:rsid w:val="09AC2920"/>
    <w:rsid w:val="0A4546CD"/>
    <w:rsid w:val="0A9D2C05"/>
    <w:rsid w:val="0B7849E6"/>
    <w:rsid w:val="0B7E003F"/>
    <w:rsid w:val="0C5D773D"/>
    <w:rsid w:val="0D7754CF"/>
    <w:rsid w:val="0D7E2A6A"/>
    <w:rsid w:val="0DA16FB4"/>
    <w:rsid w:val="0E7E3960"/>
    <w:rsid w:val="0ECE2C8D"/>
    <w:rsid w:val="0EFF16A6"/>
    <w:rsid w:val="107556EE"/>
    <w:rsid w:val="10A328AC"/>
    <w:rsid w:val="10CF32FA"/>
    <w:rsid w:val="11097CFF"/>
    <w:rsid w:val="11220B17"/>
    <w:rsid w:val="11A93BAF"/>
    <w:rsid w:val="12A869B3"/>
    <w:rsid w:val="13AE4F6A"/>
    <w:rsid w:val="162C38CF"/>
    <w:rsid w:val="171262BF"/>
    <w:rsid w:val="17252284"/>
    <w:rsid w:val="177B58CD"/>
    <w:rsid w:val="18020BC4"/>
    <w:rsid w:val="18615783"/>
    <w:rsid w:val="18B051AF"/>
    <w:rsid w:val="18E70052"/>
    <w:rsid w:val="19254BEF"/>
    <w:rsid w:val="19DC3498"/>
    <w:rsid w:val="1A07319C"/>
    <w:rsid w:val="1A33516B"/>
    <w:rsid w:val="1B4F4CC3"/>
    <w:rsid w:val="1B7570E3"/>
    <w:rsid w:val="1BA211E7"/>
    <w:rsid w:val="1E2D6CC4"/>
    <w:rsid w:val="1E5135A1"/>
    <w:rsid w:val="1F025BBE"/>
    <w:rsid w:val="1FD03D76"/>
    <w:rsid w:val="203877A5"/>
    <w:rsid w:val="20EB3EDD"/>
    <w:rsid w:val="21A428FD"/>
    <w:rsid w:val="21FE134A"/>
    <w:rsid w:val="227D3E93"/>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31750C"/>
    <w:rsid w:val="2DE634B9"/>
    <w:rsid w:val="2E933762"/>
    <w:rsid w:val="2EDF550D"/>
    <w:rsid w:val="3025527A"/>
    <w:rsid w:val="30C91186"/>
    <w:rsid w:val="31495EDE"/>
    <w:rsid w:val="31921319"/>
    <w:rsid w:val="31BC6863"/>
    <w:rsid w:val="32FA2CBE"/>
    <w:rsid w:val="338B35BF"/>
    <w:rsid w:val="34092461"/>
    <w:rsid w:val="34EF42C7"/>
    <w:rsid w:val="35EA3087"/>
    <w:rsid w:val="36607CEC"/>
    <w:rsid w:val="36EF1694"/>
    <w:rsid w:val="377C1237"/>
    <w:rsid w:val="388443D5"/>
    <w:rsid w:val="38FB3C73"/>
    <w:rsid w:val="390659FB"/>
    <w:rsid w:val="390D1E7C"/>
    <w:rsid w:val="3A014C0D"/>
    <w:rsid w:val="3A3D3FD1"/>
    <w:rsid w:val="3B0D6490"/>
    <w:rsid w:val="3B6A356D"/>
    <w:rsid w:val="3BAB4838"/>
    <w:rsid w:val="3BF1493F"/>
    <w:rsid w:val="3C460065"/>
    <w:rsid w:val="3E2E563A"/>
    <w:rsid w:val="3E547D6D"/>
    <w:rsid w:val="3EA52FF6"/>
    <w:rsid w:val="3F2969DF"/>
    <w:rsid w:val="3F646DBC"/>
    <w:rsid w:val="429A6A15"/>
    <w:rsid w:val="43001B9C"/>
    <w:rsid w:val="44E0509A"/>
    <w:rsid w:val="457774F2"/>
    <w:rsid w:val="45C94FEF"/>
    <w:rsid w:val="45FE72BB"/>
    <w:rsid w:val="462D2409"/>
    <w:rsid w:val="46AB11F1"/>
    <w:rsid w:val="47C1249E"/>
    <w:rsid w:val="481B4427"/>
    <w:rsid w:val="481E3C44"/>
    <w:rsid w:val="485756B9"/>
    <w:rsid w:val="486F26F2"/>
    <w:rsid w:val="48835154"/>
    <w:rsid w:val="48D32C81"/>
    <w:rsid w:val="4939003C"/>
    <w:rsid w:val="4A010EEA"/>
    <w:rsid w:val="4ADA02F6"/>
    <w:rsid w:val="4BEE392E"/>
    <w:rsid w:val="4CAC2800"/>
    <w:rsid w:val="4CFB5EE3"/>
    <w:rsid w:val="4D263AF9"/>
    <w:rsid w:val="4D4B074A"/>
    <w:rsid w:val="4EF26D89"/>
    <w:rsid w:val="4FC205E1"/>
    <w:rsid w:val="502C74D1"/>
    <w:rsid w:val="507C6DB1"/>
    <w:rsid w:val="50F02837"/>
    <w:rsid w:val="516F3CBE"/>
    <w:rsid w:val="517C5E2B"/>
    <w:rsid w:val="51C639B2"/>
    <w:rsid w:val="51F17F8E"/>
    <w:rsid w:val="52823DEE"/>
    <w:rsid w:val="529C0587"/>
    <w:rsid w:val="52EC4B4A"/>
    <w:rsid w:val="53510242"/>
    <w:rsid w:val="53DF072C"/>
    <w:rsid w:val="54102DA0"/>
    <w:rsid w:val="54B565B4"/>
    <w:rsid w:val="5517751A"/>
    <w:rsid w:val="56194C24"/>
    <w:rsid w:val="567A298E"/>
    <w:rsid w:val="56F05266"/>
    <w:rsid w:val="56F3629C"/>
    <w:rsid w:val="57350A15"/>
    <w:rsid w:val="575168F3"/>
    <w:rsid w:val="57B7551B"/>
    <w:rsid w:val="58732C56"/>
    <w:rsid w:val="594D5E25"/>
    <w:rsid w:val="59E14756"/>
    <w:rsid w:val="5A7E4E4D"/>
    <w:rsid w:val="5AB55191"/>
    <w:rsid w:val="5C957923"/>
    <w:rsid w:val="5CA42F27"/>
    <w:rsid w:val="5CE11CAD"/>
    <w:rsid w:val="5CFD09F1"/>
    <w:rsid w:val="5D0F5ABF"/>
    <w:rsid w:val="5D610403"/>
    <w:rsid w:val="5DE021E2"/>
    <w:rsid w:val="5DFA5BF3"/>
    <w:rsid w:val="5E545B85"/>
    <w:rsid w:val="5F765DB0"/>
    <w:rsid w:val="608E6286"/>
    <w:rsid w:val="622A6C63"/>
    <w:rsid w:val="62EF21DB"/>
    <w:rsid w:val="631D68AE"/>
    <w:rsid w:val="632D6F40"/>
    <w:rsid w:val="63AF1D1A"/>
    <w:rsid w:val="63F510AA"/>
    <w:rsid w:val="648E32AE"/>
    <w:rsid w:val="64A06B15"/>
    <w:rsid w:val="64D252BD"/>
    <w:rsid w:val="65412DFD"/>
    <w:rsid w:val="657F52AC"/>
    <w:rsid w:val="663A01C8"/>
    <w:rsid w:val="668B2466"/>
    <w:rsid w:val="66DB439B"/>
    <w:rsid w:val="66E003B2"/>
    <w:rsid w:val="672F50CE"/>
    <w:rsid w:val="6753700F"/>
    <w:rsid w:val="6817729A"/>
    <w:rsid w:val="699E695C"/>
    <w:rsid w:val="69BF7E12"/>
    <w:rsid w:val="6B792DBC"/>
    <w:rsid w:val="6B9C09D1"/>
    <w:rsid w:val="6C2E4C0D"/>
    <w:rsid w:val="6DA6798D"/>
    <w:rsid w:val="6DED4397"/>
    <w:rsid w:val="6F370FC4"/>
    <w:rsid w:val="6F420D0F"/>
    <w:rsid w:val="701B5C41"/>
    <w:rsid w:val="703E6382"/>
    <w:rsid w:val="71091718"/>
    <w:rsid w:val="71587B7E"/>
    <w:rsid w:val="71771B4C"/>
    <w:rsid w:val="7276222A"/>
    <w:rsid w:val="73197CE0"/>
    <w:rsid w:val="732A1BFA"/>
    <w:rsid w:val="73344FDD"/>
    <w:rsid w:val="73616E39"/>
    <w:rsid w:val="73C0694D"/>
    <w:rsid w:val="74A54B7B"/>
    <w:rsid w:val="751B270C"/>
    <w:rsid w:val="7532635D"/>
    <w:rsid w:val="768C17FB"/>
    <w:rsid w:val="77722493"/>
    <w:rsid w:val="79002FDD"/>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2">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50"/>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6">
    <w:name w:val="heading 5"/>
    <w:basedOn w:val="1"/>
    <w:next w:val="1"/>
    <w:link w:val="52"/>
    <w:qFormat/>
    <w:uiPriority w:val="9"/>
    <w:pPr>
      <w:keepNext/>
      <w:keepLines/>
      <w:spacing w:before="280" w:after="290" w:line="376" w:lineRule="auto"/>
      <w:outlineLvl w:val="4"/>
    </w:pPr>
    <w:rPr>
      <w:b/>
      <w:bCs/>
      <w:szCs w:val="28"/>
    </w:rPr>
  </w:style>
  <w:style w:type="paragraph" w:styleId="7">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54"/>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rPr>
      <w:rFonts w:ascii="Times New Roman" w:hAnsi="Times New Roman" w:cs="Times New Roman"/>
      <w:szCs w:val="20"/>
    </w:rPr>
  </w:style>
  <w:style w:type="paragraph" w:styleId="10">
    <w:name w:val="annotation text"/>
    <w:basedOn w:val="1"/>
    <w:qFormat/>
    <w:uiPriority w:val="0"/>
    <w:pPr>
      <w:jc w:val="left"/>
    </w:pPr>
    <w:rPr>
      <w:kern w:val="0"/>
      <w:sz w:val="21"/>
      <w:szCs w:val="21"/>
    </w:rPr>
  </w:style>
  <w:style w:type="paragraph" w:styleId="11">
    <w:name w:val="Body Text"/>
    <w:basedOn w:val="1"/>
    <w:qFormat/>
    <w:uiPriority w:val="0"/>
    <w:pPr>
      <w:spacing w:after="120" w:afterLines="0" w:afterAutospacing="0"/>
    </w:pPr>
  </w:style>
  <w:style w:type="paragraph" w:styleId="12">
    <w:name w:val="Body Text Indent"/>
    <w:basedOn w:val="1"/>
    <w:next w:val="13"/>
    <w:link w:val="47"/>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Plain Text"/>
    <w:basedOn w:val="1"/>
    <w:link w:val="55"/>
    <w:qFormat/>
    <w:uiPriority w:val="0"/>
    <w:pPr>
      <w:spacing w:beforeLines="50" w:afterLines="50" w:line="400" w:lineRule="atLeast"/>
    </w:pPr>
    <w:rPr>
      <w:rFonts w:ascii="宋体" w:hAnsi="Courier New"/>
      <w:kern w:val="0"/>
      <w:sz w:val="24"/>
    </w:rPr>
  </w:style>
  <w:style w:type="paragraph" w:styleId="15">
    <w:name w:val="Date"/>
    <w:basedOn w:val="1"/>
    <w:next w:val="1"/>
    <w:link w:val="56"/>
    <w:unhideWhenUsed/>
    <w:qFormat/>
    <w:uiPriority w:val="99"/>
    <w:pPr>
      <w:ind w:left="100" w:leftChars="2500"/>
    </w:pPr>
  </w:style>
  <w:style w:type="paragraph" w:styleId="16">
    <w:name w:val="Balloon Text"/>
    <w:basedOn w:val="1"/>
    <w:link w:val="57"/>
    <w:unhideWhenUsed/>
    <w:qFormat/>
    <w:uiPriority w:val="99"/>
    <w:rPr>
      <w:sz w:val="18"/>
      <w:szCs w:val="18"/>
    </w:rPr>
  </w:style>
  <w:style w:type="paragraph" w:styleId="17">
    <w:name w:val="footer"/>
    <w:basedOn w:val="1"/>
    <w:link w:val="58"/>
    <w:unhideWhenUsed/>
    <w:qFormat/>
    <w:uiPriority w:val="99"/>
    <w:pPr>
      <w:tabs>
        <w:tab w:val="center" w:pos="4153"/>
        <w:tab w:val="right" w:pos="8306"/>
      </w:tabs>
      <w:snapToGrid w:val="0"/>
      <w:jc w:val="left"/>
    </w:pPr>
    <w:rPr>
      <w:sz w:val="18"/>
      <w:szCs w:val="18"/>
    </w:rPr>
  </w:style>
  <w:style w:type="paragraph" w:styleId="18">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0">
    <w:name w:val="List"/>
    <w:basedOn w:val="1"/>
    <w:qFormat/>
    <w:uiPriority w:val="0"/>
    <w:pPr>
      <w:ind w:left="420" w:hanging="420"/>
    </w:pPr>
  </w:style>
  <w:style w:type="paragraph" w:styleId="21">
    <w:name w:val="index 7"/>
    <w:basedOn w:val="1"/>
    <w:next w:val="1"/>
    <w:unhideWhenUsed/>
    <w:qFormat/>
    <w:uiPriority w:val="99"/>
    <w:pPr>
      <w:ind w:left="1200" w:leftChars="1200"/>
    </w:pPr>
  </w:style>
  <w:style w:type="paragraph" w:styleId="22">
    <w:name w:val="toc 2"/>
    <w:basedOn w:val="1"/>
    <w:next w:val="1"/>
    <w:unhideWhenUsed/>
    <w:qFormat/>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60"/>
    <w:qFormat/>
    <w:uiPriority w:val="10"/>
    <w:pPr>
      <w:spacing w:before="240" w:after="60"/>
      <w:jc w:val="center"/>
      <w:outlineLvl w:val="0"/>
    </w:pPr>
    <w:rPr>
      <w:rFonts w:ascii="Cambria" w:hAnsi="Cambria" w:cs="Times New Roman"/>
      <w:b/>
      <w:bCs/>
      <w:sz w:val="32"/>
      <w:szCs w:val="32"/>
    </w:rPr>
  </w:style>
  <w:style w:type="paragraph" w:styleId="25">
    <w:name w:val="Body Text First Indent 2"/>
    <w:basedOn w:val="12"/>
    <w:next w:val="20"/>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paragraph" w:styleId="31">
    <w:name w:val="List Paragraph"/>
    <w:basedOn w:val="1"/>
    <w:link w:val="63"/>
    <w:qFormat/>
    <w:uiPriority w:val="0"/>
    <w:pPr>
      <w:ind w:firstLine="420" w:firstLineChars="200"/>
    </w:pPr>
    <w:rPr>
      <w:kern w:val="0"/>
    </w:r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标题 2 New"/>
    <w:basedOn w:val="42"/>
    <w:next w:val="42"/>
    <w:qFormat/>
    <w:uiPriority w:val="0"/>
    <w:pPr>
      <w:keepNext/>
      <w:keepLines/>
      <w:spacing w:before="260" w:after="260" w:line="413" w:lineRule="auto"/>
      <w:outlineLvl w:val="1"/>
    </w:pPr>
    <w:rPr>
      <w:rFonts w:ascii="Arial" w:hAnsi="Arial" w:eastAsia="黑体"/>
      <w:b/>
      <w:bCs/>
      <w:sz w:val="32"/>
      <w:szCs w:val="32"/>
    </w:rPr>
  </w:style>
  <w:style w:type="paragraph" w:customStyle="1" w:styleId="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Normal_0"/>
    <w:qFormat/>
    <w:uiPriority w:val="99"/>
    <w:rPr>
      <w:rFonts w:ascii="Calibri" w:hAnsi="Calibri" w:eastAsia="宋体" w:cs="Times New Roman"/>
      <w:sz w:val="24"/>
      <w:szCs w:val="24"/>
      <w:lang w:val="en-US" w:eastAsia="zh-CN" w:bidi="ar-SA"/>
    </w:rPr>
  </w:style>
  <w:style w:type="paragraph" w:customStyle="1" w:styleId="46">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7">
    <w:name w:val="正文文本缩进 Char"/>
    <w:link w:val="12"/>
    <w:qFormat/>
    <w:locked/>
    <w:uiPriority w:val="0"/>
    <w:rPr>
      <w:rFonts w:ascii="宋体" w:hAnsi="Courier New" w:eastAsia="宋体"/>
      <w:spacing w:val="-4"/>
      <w:sz w:val="18"/>
    </w:rPr>
  </w:style>
  <w:style w:type="character" w:customStyle="1" w:styleId="48">
    <w:name w:val="标题 1 Char"/>
    <w:basedOn w:val="28"/>
    <w:link w:val="3"/>
    <w:qFormat/>
    <w:uiPriority w:val="0"/>
    <w:rPr>
      <w:rFonts w:ascii="宋体" w:hAnsi="Arial" w:eastAsia="黑体" w:cs="Times New Roman"/>
      <w:b/>
      <w:bCs/>
      <w:color w:val="000000"/>
      <w:kern w:val="44"/>
      <w:sz w:val="36"/>
      <w:szCs w:val="32"/>
    </w:rPr>
  </w:style>
  <w:style w:type="character" w:customStyle="1" w:styleId="49">
    <w:name w:val="标题 2 Char"/>
    <w:basedOn w:val="28"/>
    <w:link w:val="2"/>
    <w:semiHidden/>
    <w:qFormat/>
    <w:uiPriority w:val="9"/>
    <w:rPr>
      <w:rFonts w:ascii="Cambria" w:hAnsi="Cambria" w:eastAsia="宋体" w:cs="Times New Roman"/>
      <w:b/>
      <w:bCs/>
      <w:sz w:val="32"/>
      <w:szCs w:val="32"/>
    </w:rPr>
  </w:style>
  <w:style w:type="character" w:customStyle="1" w:styleId="50">
    <w:name w:val="标题 3 Char1"/>
    <w:basedOn w:val="28"/>
    <w:link w:val="4"/>
    <w:semiHidden/>
    <w:qFormat/>
    <w:uiPriority w:val="9"/>
    <w:rPr>
      <w:rFonts w:ascii="Times New Roman" w:hAnsi="Times New Roman" w:eastAsia="宋体" w:cs="Times New Roman"/>
      <w:b/>
      <w:bCs/>
      <w:sz w:val="32"/>
      <w:szCs w:val="32"/>
    </w:rPr>
  </w:style>
  <w:style w:type="character" w:customStyle="1" w:styleId="51">
    <w:name w:val="标题 4 Char"/>
    <w:basedOn w:val="28"/>
    <w:link w:val="5"/>
    <w:semiHidden/>
    <w:qFormat/>
    <w:uiPriority w:val="9"/>
    <w:rPr>
      <w:rFonts w:ascii="Cambria" w:hAnsi="Cambria" w:eastAsia="宋体" w:cs="Times New Roman"/>
      <w:b/>
      <w:bCs/>
      <w:sz w:val="28"/>
      <w:szCs w:val="28"/>
    </w:rPr>
  </w:style>
  <w:style w:type="character" w:customStyle="1" w:styleId="52">
    <w:name w:val="标题 5 Char"/>
    <w:basedOn w:val="28"/>
    <w:link w:val="6"/>
    <w:semiHidden/>
    <w:qFormat/>
    <w:uiPriority w:val="9"/>
    <w:rPr>
      <w:rFonts w:ascii="Times New Roman" w:hAnsi="Times New Roman" w:eastAsia="宋体" w:cs="Times New Roman"/>
      <w:b/>
      <w:bCs/>
      <w:sz w:val="28"/>
      <w:szCs w:val="28"/>
    </w:rPr>
  </w:style>
  <w:style w:type="character" w:customStyle="1" w:styleId="53">
    <w:name w:val="标题 6 Char"/>
    <w:basedOn w:val="28"/>
    <w:link w:val="7"/>
    <w:semiHidden/>
    <w:qFormat/>
    <w:uiPriority w:val="9"/>
    <w:rPr>
      <w:rFonts w:ascii="Cambria" w:hAnsi="Cambria" w:eastAsia="宋体" w:cs="Times New Roman"/>
      <w:b/>
      <w:bCs/>
      <w:sz w:val="24"/>
      <w:szCs w:val="24"/>
    </w:rPr>
  </w:style>
  <w:style w:type="character" w:customStyle="1" w:styleId="54">
    <w:name w:val="标题 7 Char"/>
    <w:basedOn w:val="28"/>
    <w:link w:val="8"/>
    <w:semiHidden/>
    <w:qFormat/>
    <w:uiPriority w:val="9"/>
    <w:rPr>
      <w:rFonts w:ascii="Times New Roman" w:hAnsi="Times New Roman" w:eastAsia="宋体" w:cs="Times New Roman"/>
      <w:b/>
      <w:bCs/>
      <w:sz w:val="24"/>
      <w:szCs w:val="24"/>
    </w:rPr>
  </w:style>
  <w:style w:type="character" w:customStyle="1" w:styleId="55">
    <w:name w:val="纯文本 Char1"/>
    <w:link w:val="14"/>
    <w:qFormat/>
    <w:uiPriority w:val="0"/>
    <w:rPr>
      <w:rFonts w:ascii="宋体" w:hAnsi="Courier New" w:eastAsia="宋体"/>
      <w:sz w:val="24"/>
    </w:rPr>
  </w:style>
  <w:style w:type="character" w:customStyle="1" w:styleId="56">
    <w:name w:val="日期 Char"/>
    <w:basedOn w:val="28"/>
    <w:link w:val="15"/>
    <w:semiHidden/>
    <w:qFormat/>
    <w:uiPriority w:val="99"/>
    <w:rPr>
      <w:rFonts w:ascii="Times New Roman" w:hAnsi="Times New Roman" w:eastAsia="宋体" w:cs="Times New Roman"/>
      <w:sz w:val="28"/>
      <w:szCs w:val="20"/>
    </w:rPr>
  </w:style>
  <w:style w:type="character" w:customStyle="1" w:styleId="57">
    <w:name w:val="批注框文本 Char"/>
    <w:basedOn w:val="28"/>
    <w:link w:val="16"/>
    <w:semiHidden/>
    <w:qFormat/>
    <w:uiPriority w:val="99"/>
    <w:rPr>
      <w:rFonts w:ascii="Times New Roman" w:hAnsi="Times New Roman" w:eastAsia="宋体" w:cs="Times New Roman"/>
      <w:sz w:val="18"/>
      <w:szCs w:val="18"/>
    </w:rPr>
  </w:style>
  <w:style w:type="character" w:customStyle="1" w:styleId="58">
    <w:name w:val="页脚 Char"/>
    <w:basedOn w:val="28"/>
    <w:link w:val="17"/>
    <w:qFormat/>
    <w:uiPriority w:val="99"/>
    <w:rPr>
      <w:rFonts w:ascii="Times New Roman" w:hAnsi="Times New Roman" w:eastAsia="宋体" w:cs="Times New Roman"/>
      <w:sz w:val="18"/>
      <w:szCs w:val="18"/>
    </w:rPr>
  </w:style>
  <w:style w:type="character" w:customStyle="1" w:styleId="59">
    <w:name w:val="页眉 Char"/>
    <w:basedOn w:val="28"/>
    <w:link w:val="18"/>
    <w:semiHidden/>
    <w:qFormat/>
    <w:uiPriority w:val="99"/>
    <w:rPr>
      <w:rFonts w:ascii="Times New Roman" w:hAnsi="Times New Roman" w:eastAsia="宋体" w:cs="Times New Roman"/>
      <w:sz w:val="18"/>
      <w:szCs w:val="18"/>
    </w:rPr>
  </w:style>
  <w:style w:type="character" w:customStyle="1" w:styleId="60">
    <w:name w:val="标题 Char"/>
    <w:basedOn w:val="28"/>
    <w:link w:val="24"/>
    <w:qFormat/>
    <w:uiPriority w:val="10"/>
    <w:rPr>
      <w:rFonts w:ascii="Cambria" w:hAnsi="Cambria" w:eastAsia="宋体" w:cs="Times New Roman"/>
      <w:b/>
      <w:bCs/>
      <w:sz w:val="32"/>
      <w:szCs w:val="32"/>
    </w:rPr>
  </w:style>
  <w:style w:type="character" w:customStyle="1" w:styleId="61">
    <w:name w:val="正文文本缩进 Char1"/>
    <w:basedOn w:val="28"/>
    <w:semiHidden/>
    <w:qFormat/>
    <w:uiPriority w:val="99"/>
    <w:rPr>
      <w:rFonts w:ascii="Times New Roman" w:hAnsi="Times New Roman" w:eastAsia="宋体" w:cs="Times New Roman"/>
      <w:sz w:val="28"/>
      <w:szCs w:val="20"/>
    </w:rPr>
  </w:style>
  <w:style w:type="character" w:customStyle="1" w:styleId="62">
    <w:name w:val="纯文本 Char"/>
    <w:basedOn w:val="28"/>
    <w:semiHidden/>
    <w:qFormat/>
    <w:uiPriority w:val="99"/>
    <w:rPr>
      <w:rFonts w:ascii="宋体" w:hAnsi="Courier New" w:eastAsia="宋体" w:cs="Courier New"/>
      <w:szCs w:val="21"/>
    </w:rPr>
  </w:style>
  <w:style w:type="character" w:customStyle="1" w:styleId="63">
    <w:name w:val="列出段落 Char"/>
    <w:link w:val="31"/>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 w:type="paragraph" w:customStyle="1" w:styleId="6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正文文字2"/>
    <w:basedOn w:val="11"/>
    <w:qFormat/>
    <w:uiPriority w:val="0"/>
    <w:pPr>
      <w:keepNext w:val="0"/>
      <w:keepLines w:val="0"/>
      <w:widowControl w:val="0"/>
      <w:suppressLineNumbers w:val="0"/>
      <w:adjustRightInd w:val="0"/>
      <w:spacing w:before="0" w:beforeAutospacing="0" w:after="60" w:afterAutospacing="0" w:line="360" w:lineRule="atLeast"/>
      <w:ind w:left="72" w:leftChars="30" w:right="72" w:rightChars="30"/>
      <w:jc w:val="center"/>
    </w:pPr>
    <w:rPr>
      <w:rFonts w:ascii="Arial" w:hAnsi="Times New Roman" w:eastAsia="黑体" w:cs="Times New Roman"/>
      <w:kern w:val="0"/>
      <w:sz w:val="21"/>
      <w:szCs w:val="20"/>
      <w:lang w:val="en-US" w:eastAsia="zh-CN" w:bidi="ar"/>
    </w:rPr>
  </w:style>
  <w:style w:type="paragraph" w:customStyle="1" w:styleId="68">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44</Pages>
  <Words>17867</Words>
  <Characters>18376</Characters>
  <Lines>158</Lines>
  <Paragraphs>44</Paragraphs>
  <TotalTime>181</TotalTime>
  <ScaleCrop>false</ScaleCrop>
  <LinksUpToDate>false</LinksUpToDate>
  <CharactersWithSpaces>21647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2023-06-02T06:30:21Z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