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1153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ascii="华文中宋" w:hAnsi="华文中宋" w:eastAsia="华文中宋"/>
          <w:sz w:val="52"/>
          <w:szCs w:val="52"/>
        </w:rPr>
      </w:pPr>
      <w:r>
        <w:rPr>
          <w:rFonts w:hint="eastAsia" w:ascii="华文中宋" w:hAnsi="华文中宋" w:eastAsia="华文中宋"/>
          <w:b/>
          <w:bCs/>
          <w:w w:val="90"/>
          <w:sz w:val="52"/>
          <w:szCs w:val="52"/>
          <w:lang w:val="en-US" w:eastAsia="zh-CN"/>
        </w:rPr>
        <w:t>2022-2024年度修缮工程造价咨询服务项目</w:t>
      </w:r>
      <w:r>
        <w:rPr>
          <w:rFonts w:hint="eastAsia" w:ascii="华文中宋" w:hAnsi="华文中宋" w:eastAsia="华文中宋"/>
          <w:b/>
          <w:bCs/>
          <w:sz w:val="52"/>
          <w:szCs w:val="52"/>
        </w:rPr>
        <w:t>磋商文件</w:t>
      </w:r>
    </w:p>
    <w:p>
      <w:pPr>
        <w:ind w:firstLine="480" w:firstLineChars="100"/>
        <w:rPr>
          <w:rFonts w:ascii="仿宋_GB2312" w:eastAsia="仿宋_GB2312"/>
          <w:sz w:val="48"/>
          <w:szCs w:val="48"/>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ind w:firstLine="440" w:firstLineChars="100"/>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12</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7"/>
      </w:pPr>
      <w:r>
        <w:rPr>
          <w:rFonts w:hint="eastAsia"/>
        </w:rPr>
        <w:t>目  录</w:t>
      </w:r>
    </w:p>
    <w:p>
      <w:pPr>
        <w:pStyle w:val="17"/>
      </w:pPr>
    </w:p>
    <w:p>
      <w:pPr>
        <w:pStyle w:val="17"/>
        <w:rPr>
          <w:rFonts w:asciiTheme="minorHAnsi" w:hAnsiTheme="minorHAnsi" w:eastAsiaTheme="minorEastAsia" w:cstheme="minorBidi"/>
          <w:b w:val="0"/>
          <w:sz w:val="21"/>
          <w:szCs w:val="22"/>
        </w:rPr>
      </w:pPr>
      <w:r>
        <w:rPr>
          <w:rFonts w:hint="eastAsia" w:ascii="仿宋_GB2312" w:hAnsi="仿宋_GB2312" w:eastAsia="仿宋_GB2312" w:cs="仿宋_GB2312"/>
          <w:sz w:val="30"/>
          <w:szCs w:val="30"/>
        </w:rPr>
        <w:fldChar w:fldCharType="begin"/>
      </w:r>
      <w:r>
        <w:rPr>
          <w:rFonts w:hint="eastAsia" w:ascii="仿宋_GB2312" w:hAnsi="仿宋_GB2312" w:eastAsia="仿宋_GB2312" w:cs="仿宋_GB2312"/>
          <w:sz w:val="30"/>
          <w:szCs w:val="30"/>
        </w:rPr>
        <w:instrText xml:space="preserve"> TOC \o "1-2" \h \z \u </w:instrText>
      </w:r>
      <w:r>
        <w:rPr>
          <w:rFonts w:hint="eastAsia" w:ascii="仿宋_GB2312" w:hAnsi="仿宋_GB2312" w:eastAsia="仿宋_GB2312" w:cs="仿宋_GB2312"/>
          <w:sz w:val="30"/>
          <w:szCs w:val="30"/>
        </w:rPr>
        <w:fldChar w:fldCharType="separate"/>
      </w:r>
      <w:r>
        <w:fldChar w:fldCharType="begin"/>
      </w:r>
      <w:r>
        <w:instrText xml:space="preserve"> HYPERLINK \l "_Toc52892862" </w:instrText>
      </w:r>
      <w:r>
        <w:fldChar w:fldCharType="separate"/>
      </w:r>
      <w:r>
        <w:rPr>
          <w:rStyle w:val="25"/>
          <w:rFonts w:hint="eastAsia"/>
        </w:rPr>
        <w:t>第一章</w:t>
      </w:r>
      <w:r>
        <w:rPr>
          <w:rStyle w:val="25"/>
        </w:rPr>
        <w:t xml:space="preserve">  </w:t>
      </w:r>
      <w:r>
        <w:rPr>
          <w:rStyle w:val="25"/>
          <w:rFonts w:hint="eastAsia"/>
        </w:rPr>
        <w:t>磋商公告</w:t>
      </w:r>
      <w:r>
        <w:tab/>
      </w:r>
      <w:r>
        <w:fldChar w:fldCharType="begin"/>
      </w:r>
      <w:r>
        <w:instrText xml:space="preserve"> PAGEREF _Toc52892862 \h </w:instrText>
      </w:r>
      <w:r>
        <w:fldChar w:fldCharType="separate"/>
      </w:r>
      <w:r>
        <w:t>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"_Toc52892863" </w:instrText>
      </w:r>
      <w:r>
        <w:fldChar w:fldCharType="separate"/>
      </w:r>
      <w:r>
        <w:rPr>
          <w:rStyle w:val="25"/>
          <w:rFonts w:hint="eastAsia"/>
        </w:rPr>
        <w:t>第二章</w:t>
      </w:r>
      <w:r>
        <w:rPr>
          <w:rStyle w:val="25"/>
        </w:rPr>
        <w:t xml:space="preserve">  </w:t>
      </w:r>
      <w:r>
        <w:rPr>
          <w:rStyle w:val="25"/>
          <w:rFonts w:hint="eastAsia"/>
        </w:rPr>
        <w:t>磋商须知前附表</w:t>
      </w:r>
      <w:r>
        <w:tab/>
      </w:r>
      <w:r>
        <w:fldChar w:fldCharType="begin"/>
      </w:r>
      <w:r>
        <w:instrText xml:space="preserve"> PAGEREF _Toc52892863 \h </w:instrText>
      </w:r>
      <w:r>
        <w:fldChar w:fldCharType="separate"/>
      </w:r>
      <w:r>
        <w:t>3</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"_Toc52892864" </w:instrText>
      </w:r>
      <w:r>
        <w:fldChar w:fldCharType="separate"/>
      </w:r>
      <w:r>
        <w:rPr>
          <w:rStyle w:val="25"/>
          <w:rFonts w:hint="eastAsia"/>
        </w:rPr>
        <w:t>第三章</w:t>
      </w:r>
      <w:r>
        <w:rPr>
          <w:rStyle w:val="25"/>
        </w:rPr>
        <w:t xml:space="preserve">  </w:t>
      </w:r>
      <w:r>
        <w:rPr>
          <w:rStyle w:val="25"/>
          <w:rFonts w:hint="eastAsia"/>
        </w:rPr>
        <w:t>磋商须知</w:t>
      </w:r>
      <w:r>
        <w:tab/>
      </w:r>
      <w:r>
        <w:fldChar w:fldCharType="begin"/>
      </w:r>
      <w:r>
        <w:instrText xml:space="preserve"> PAGEREF _Toc52892864 \h </w:instrText>
      </w:r>
      <w:r>
        <w:fldChar w:fldCharType="separate"/>
      </w:r>
      <w:r>
        <w:t>4</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"_Toc52892865" </w:instrText>
      </w:r>
      <w:r>
        <w:fldChar w:fldCharType="separate"/>
      </w:r>
      <w:r>
        <w:rPr>
          <w:rStyle w:val="25"/>
          <w:rFonts w:hint="eastAsia"/>
        </w:rPr>
        <w:t>第四章</w:t>
      </w:r>
      <w:r>
        <w:rPr>
          <w:rStyle w:val="25"/>
        </w:rPr>
        <w:t xml:space="preserve">  </w:t>
      </w:r>
      <w:r>
        <w:rPr>
          <w:rStyle w:val="25"/>
          <w:rFonts w:hint="eastAsia"/>
        </w:rPr>
        <w:t>合同主要条款</w:t>
      </w:r>
      <w:r>
        <w:tab/>
      </w:r>
      <w:r>
        <w:fldChar w:fldCharType="begin"/>
      </w:r>
      <w:r>
        <w:instrText xml:space="preserve"> PAGEREF _Toc52892865 \h </w:instrText>
      </w:r>
      <w:r>
        <w:fldChar w:fldCharType="separate"/>
      </w:r>
      <w:r>
        <w:t>11</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"_Toc52892866" </w:instrText>
      </w:r>
      <w:r>
        <w:fldChar w:fldCharType="separate"/>
      </w:r>
      <w:r>
        <w:rPr>
          <w:rStyle w:val="25"/>
          <w:rFonts w:hint="eastAsia" w:cs="华文中宋"/>
        </w:rPr>
        <w:t>第五章</w:t>
      </w:r>
      <w:r>
        <w:rPr>
          <w:rStyle w:val="25"/>
          <w:rFonts w:cs="华文中宋"/>
        </w:rPr>
        <w:t xml:space="preserve"> </w:t>
      </w:r>
      <w:r>
        <w:rPr>
          <w:rStyle w:val="25"/>
          <w:rFonts w:hint="eastAsia" w:cs="华文中宋"/>
        </w:rPr>
        <w:t>项目需求</w:t>
      </w:r>
      <w:r>
        <w:tab/>
      </w:r>
      <w:r>
        <w:fldChar w:fldCharType="begin"/>
      </w:r>
      <w:r>
        <w:instrText xml:space="preserve"> PAGEREF _Toc52892866 \h </w:instrText>
      </w:r>
      <w:r>
        <w:fldChar w:fldCharType="separate"/>
      </w:r>
      <w:r>
        <w:t>17</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"_Toc52892867" </w:instrText>
      </w:r>
      <w:r>
        <w:fldChar w:fldCharType="separate"/>
      </w:r>
      <w:r>
        <w:rPr>
          <w:rStyle w:val="25"/>
          <w:rFonts w:hint="eastAsia" w:cs="华文中宋"/>
        </w:rPr>
        <w:t>第六章</w:t>
      </w:r>
      <w:r>
        <w:rPr>
          <w:rStyle w:val="25"/>
          <w:rFonts w:cs="华文中宋"/>
        </w:rPr>
        <w:t xml:space="preserve">  </w:t>
      </w:r>
      <w:r>
        <w:rPr>
          <w:rStyle w:val="25"/>
          <w:rFonts w:hint="eastAsia" w:cs="华文中宋"/>
        </w:rPr>
        <w:t>评分办法和评分细则</w:t>
      </w:r>
      <w:r>
        <w:tab/>
      </w:r>
      <w:r>
        <w:fldChar w:fldCharType="begin"/>
      </w:r>
      <w:r>
        <w:instrText xml:space="preserve"> PAGEREF _Toc52892867 \h </w:instrText>
      </w:r>
      <w:r>
        <w:fldChar w:fldCharType="separate"/>
      </w:r>
      <w:r>
        <w:t>20</w:t>
      </w:r>
      <w:r>
        <w:fldChar w:fldCharType="end"/>
      </w:r>
      <w:r>
        <w:fldChar w:fldCharType="end"/>
      </w:r>
    </w:p>
    <w:p>
      <w:pPr>
        <w:pStyle w:val="17"/>
        <w:rPr>
          <w:rFonts w:asciiTheme="minorHAnsi" w:hAnsiTheme="minorHAnsi" w:eastAsiaTheme="minorEastAsia" w:cstheme="minorBidi"/>
          <w:b w:val="0"/>
          <w:sz w:val="21"/>
          <w:szCs w:val="22"/>
        </w:rPr>
      </w:pPr>
      <w:r>
        <w:fldChar w:fldCharType="begin"/>
      </w:r>
      <w:r>
        <w:instrText xml:space="preserve"> HYPERLINK \l "_Toc52892868" </w:instrText>
      </w:r>
      <w:r>
        <w:fldChar w:fldCharType="separate"/>
      </w:r>
      <w:r>
        <w:rPr>
          <w:rStyle w:val="25"/>
          <w:rFonts w:hint="eastAsia"/>
        </w:rPr>
        <w:t>第七章</w:t>
      </w:r>
      <w:r>
        <w:rPr>
          <w:rStyle w:val="25"/>
        </w:rPr>
        <w:t xml:space="preserve">  </w:t>
      </w:r>
      <w:r>
        <w:rPr>
          <w:rStyle w:val="25"/>
          <w:rFonts w:hint="eastAsia"/>
        </w:rPr>
        <w:t>响应文件格式</w:t>
      </w:r>
      <w:r>
        <w:tab/>
      </w:r>
      <w:r>
        <w:fldChar w:fldCharType="begin"/>
      </w:r>
      <w:r>
        <w:instrText xml:space="preserve"> PAGEREF _Toc52892868 \h </w:instrText>
      </w:r>
      <w:r>
        <w:fldChar w:fldCharType="separate"/>
      </w:r>
      <w:r>
        <w:t>22</w:t>
      </w:r>
      <w:r>
        <w:fldChar w:fldCharType="end"/>
      </w:r>
      <w:r>
        <w:fldChar w:fldCharType="end"/>
      </w:r>
    </w:p>
    <w:p>
      <w:pPr>
        <w:adjustRightInd w:val="0"/>
        <w:snapToGrid w:val="0"/>
        <w:jc w:val="center"/>
        <w:rPr>
          <w:rFonts w:ascii="仿宋_GB2312" w:hAnsi="仿宋_GB2312" w:eastAsia="仿宋_GB2312" w:cs="仿宋_GB2312"/>
          <w:b/>
          <w:sz w:val="30"/>
          <w:szCs w:val="30"/>
        </w:rPr>
      </w:pPr>
      <w:r>
        <w:rPr>
          <w:rFonts w:hint="eastAsia" w:ascii="仿宋_GB2312" w:hAnsi="仿宋_GB2312" w:eastAsia="仿宋_GB2312" w:cs="仿宋_GB2312"/>
          <w:b/>
          <w:sz w:val="30"/>
          <w:szCs w:val="30"/>
        </w:rPr>
        <w:fldChar w:fldCharType="end"/>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3"/>
        <w:ind w:firstLine="1441" w:firstLineChars="400"/>
        <w:rPr>
          <w:rFonts w:ascii="华文中宋" w:hAnsi="华文中宋" w:eastAsia="华文中宋"/>
          <w:color w:val="auto"/>
          <w:szCs w:val="21"/>
        </w:rPr>
      </w:pPr>
      <w:bookmarkStart w:id="0" w:name="_Toc52892862"/>
      <w:r>
        <w:rPr>
          <w:rFonts w:hint="eastAsia" w:ascii="华文中宋" w:hAnsi="华文中宋" w:eastAsia="华文中宋"/>
          <w:color w:val="auto"/>
          <w:szCs w:val="21"/>
        </w:rPr>
        <w:t>第一章  磋商公告</w:t>
      </w:r>
      <w:bookmarkEnd w:id="0"/>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 xml:space="preserve">我校2022-2024年度修缮工程造价咨询服务项目采取磋商的方式进行采购，现邀请符合资质条件的供应商参加投标和磋商。具体情况如下：    </w:t>
      </w:r>
    </w:p>
    <w:p>
      <w:pPr>
        <w:adjustRightInd w:val="0"/>
        <w:snapToGrid w:val="0"/>
        <w:spacing w:line="360" w:lineRule="auto"/>
        <w:ind w:firstLine="458" w:firstLineChars="190"/>
        <w:rPr>
          <w:rFonts w:ascii="仿宋_GB2312" w:eastAsia="仿宋_GB2312"/>
          <w:sz w:val="24"/>
          <w:szCs w:val="24"/>
        </w:rPr>
      </w:pPr>
      <w:r>
        <w:rPr>
          <w:rFonts w:hint="eastAsia" w:ascii="仿宋_GB2312" w:eastAsia="仿宋_GB2312"/>
          <w:b/>
          <w:sz w:val="24"/>
          <w:szCs w:val="24"/>
        </w:rPr>
        <w:t>一、项目概况</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kern w:val="0"/>
          <w:sz w:val="24"/>
          <w:szCs w:val="24"/>
        </w:rPr>
      </w:pPr>
      <w:r>
        <w:rPr>
          <w:rFonts w:hint="eastAsia" w:ascii="仿宋_GB2312" w:eastAsia="仿宋_GB2312"/>
          <w:sz w:val="24"/>
          <w:szCs w:val="24"/>
        </w:rPr>
        <w:t>（一）项目名称：</w:t>
      </w:r>
      <w:r>
        <w:rPr>
          <w:rFonts w:hint="eastAsia" w:ascii="仿宋_GB2312" w:eastAsia="仿宋_GB2312"/>
          <w:sz w:val="24"/>
          <w:szCs w:val="24"/>
          <w:lang w:eastAsia="zh-CN"/>
        </w:rPr>
        <w:t>皖南医学院</w:t>
      </w:r>
      <w:r>
        <w:rPr>
          <w:rFonts w:hint="eastAsia" w:ascii="仿宋_GB2312" w:eastAsia="仿宋_GB2312"/>
          <w:sz w:val="24"/>
          <w:szCs w:val="24"/>
        </w:rPr>
        <w:t>2022-2024年度修缮工程造价咨询服务项目；</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（二）项目编号：WYGZ202</w:t>
      </w:r>
      <w:r>
        <w:rPr>
          <w:rFonts w:hint="eastAsia" w:ascii="仿宋_GB2312" w:eastAsia="仿宋_GB2312"/>
          <w:sz w:val="24"/>
          <w:szCs w:val="24"/>
          <w:lang w:val="en-US" w:eastAsia="zh-CN"/>
        </w:rPr>
        <w:t>1</w:t>
      </w:r>
      <w:r>
        <w:rPr>
          <w:rFonts w:hint="eastAsia" w:ascii="仿宋_GB2312" w:eastAsia="仿宋_GB2312"/>
          <w:sz w:val="24"/>
          <w:szCs w:val="24"/>
        </w:rPr>
        <w:t>1</w:t>
      </w:r>
      <w:r>
        <w:rPr>
          <w:rFonts w:hint="eastAsia" w:ascii="仿宋_GB2312" w:eastAsia="仿宋_GB2312"/>
          <w:sz w:val="24"/>
          <w:szCs w:val="24"/>
          <w:lang w:val="en-US" w:eastAsia="zh-CN"/>
        </w:rPr>
        <w:t>53</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lang w:eastAsia="zh-CN"/>
        </w:rPr>
        <w:t>（三）</w:t>
      </w:r>
      <w:r>
        <w:rPr>
          <w:rFonts w:hint="eastAsia" w:ascii="仿宋_GB2312" w:eastAsia="仿宋_GB2312"/>
          <w:sz w:val="24"/>
          <w:szCs w:val="24"/>
        </w:rPr>
        <w:t>项目内容：详见项目需求。</w:t>
      </w:r>
    </w:p>
    <w:p>
      <w:pPr>
        <w:adjustRightInd w:val="0"/>
        <w:snapToGrid w:val="0"/>
        <w:spacing w:line="360" w:lineRule="auto"/>
        <w:ind w:firstLine="453" w:firstLineChars="189"/>
        <w:rPr>
          <w:rFonts w:hint="default" w:ascii="仿宋_GB2312" w:eastAsia="仿宋_GB2312"/>
          <w:sz w:val="24"/>
          <w:szCs w:val="24"/>
          <w:lang w:val="en-US" w:eastAsia="zh-CN"/>
        </w:rPr>
      </w:pPr>
      <w:r>
        <w:rPr>
          <w:rFonts w:hint="eastAsia" w:ascii="仿宋_GB2312" w:eastAsia="仿宋_GB2312"/>
          <w:sz w:val="24"/>
          <w:szCs w:val="24"/>
        </w:rPr>
        <w:t>（四）项目预算：</w:t>
      </w:r>
      <w:r>
        <w:rPr>
          <w:rFonts w:hint="eastAsia" w:ascii="仿宋_GB2312" w:eastAsia="仿宋_GB2312"/>
          <w:sz w:val="24"/>
          <w:szCs w:val="24"/>
          <w:lang w:val="en-US" w:eastAsia="zh-CN"/>
        </w:rPr>
        <w:t>15</w:t>
      </w:r>
      <w:r>
        <w:rPr>
          <w:rFonts w:hint="eastAsia" w:ascii="仿宋_GB2312" w:eastAsia="仿宋_GB2312"/>
          <w:sz w:val="24"/>
          <w:szCs w:val="24"/>
        </w:rPr>
        <w:t>万元</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二、投标资质</w:t>
      </w:r>
      <w:r>
        <w:rPr>
          <w:rFonts w:hint="eastAsia" w:ascii="仿宋_GB2312" w:eastAsia="仿宋_GB2312"/>
          <w:sz w:val="24"/>
          <w:szCs w:val="24"/>
        </w:rPr>
        <w:t>：</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（1）企业法人；</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（2）具备中华人民共和国住房和城乡建设部颁发的工程造价咨询企业资质证书；</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（3）具有本地化服务的能力；</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（4）拟派本项目负责人为注册造价工程师，并提供项目负责人近六个月（2021年6月-2021年11月）内任意一个月的社保缴费证明。</w:t>
      </w:r>
    </w:p>
    <w:p>
      <w:pPr>
        <w:adjustRightInd w:val="0"/>
        <w:snapToGrid w:val="0"/>
        <w:spacing w:line="360" w:lineRule="auto"/>
        <w:ind w:firstLine="453" w:firstLineChars="189"/>
        <w:rPr>
          <w:rFonts w:hint="eastAsia" w:ascii="仿宋_GB2312" w:eastAsia="仿宋_GB2312"/>
          <w:sz w:val="24"/>
          <w:szCs w:val="24"/>
        </w:rPr>
      </w:pPr>
      <w:r>
        <w:rPr>
          <w:rFonts w:hint="eastAsia" w:ascii="仿宋_GB2312" w:eastAsia="仿宋_GB2312"/>
          <w:sz w:val="24"/>
          <w:szCs w:val="24"/>
        </w:rPr>
        <w:t>（5）本项目不接受联合体投标。</w:t>
      </w:r>
    </w:p>
    <w:p>
      <w:pPr>
        <w:adjustRightInd w:val="0"/>
        <w:snapToGrid w:val="0"/>
        <w:spacing w:line="360" w:lineRule="auto"/>
        <w:ind w:firstLine="455" w:firstLineChars="189"/>
        <w:rPr>
          <w:rFonts w:ascii="仿宋_GB2312" w:hAnsi="宋体" w:eastAsia="仿宋_GB2312" w:cs="宋体"/>
          <w:b/>
          <w:sz w:val="24"/>
          <w:szCs w:val="24"/>
          <w:lang w:val="zh-CN"/>
        </w:rPr>
      </w:pPr>
      <w:r>
        <w:rPr>
          <w:rFonts w:hint="eastAsia" w:ascii="仿宋_GB2312" w:hAnsi="宋体" w:eastAsia="仿宋_GB2312" w:cs="宋体"/>
          <w:b/>
          <w:sz w:val="24"/>
          <w:szCs w:val="24"/>
          <w:lang w:val="zh-CN"/>
        </w:rPr>
        <w:t>三、报名时间及方式：</w:t>
      </w:r>
    </w:p>
    <w:p>
      <w:pPr>
        <w:adjustRightInd w:val="0"/>
        <w:snapToGrid w:val="0"/>
        <w:spacing w:line="360" w:lineRule="auto"/>
        <w:ind w:firstLine="453" w:firstLineChars="189"/>
        <w:rPr>
          <w:rFonts w:ascii="仿宋_GB2312" w:hAnsi="宋体" w:eastAsia="仿宋_GB2312" w:cs="宋体"/>
          <w:sz w:val="24"/>
          <w:szCs w:val="24"/>
          <w:lang w:val="zh-CN"/>
        </w:rPr>
      </w:pPr>
      <w:r>
        <w:rPr>
          <w:rFonts w:hint="eastAsia" w:ascii="仿宋_GB2312" w:hAnsi="宋体" w:eastAsia="仿宋_GB2312" w:cs="宋体"/>
          <w:sz w:val="24"/>
          <w:szCs w:val="24"/>
          <w:lang w:val="zh-CN"/>
        </w:rPr>
        <w:t>（一）报名时间：202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19</w:t>
      </w:r>
      <w:r>
        <w:rPr>
          <w:rFonts w:hint="eastAsia" w:ascii="仿宋_GB2312" w:hAnsi="宋体" w:eastAsia="仿宋_GB2312" w:cs="宋体"/>
          <w:sz w:val="24"/>
          <w:szCs w:val="24"/>
          <w:lang w:val="zh-CN"/>
        </w:rPr>
        <w:t>日-202</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年</w:t>
      </w:r>
      <w:r>
        <w:rPr>
          <w:rFonts w:hint="eastAsia" w:ascii="仿宋_GB2312" w:hAnsi="宋体" w:eastAsia="仿宋_GB2312" w:cs="宋体"/>
          <w:sz w:val="24"/>
          <w:szCs w:val="24"/>
          <w:lang w:val="en-US" w:eastAsia="zh-CN"/>
        </w:rPr>
        <w:t>2</w:t>
      </w:r>
      <w:r>
        <w:rPr>
          <w:rFonts w:hint="eastAsia" w:ascii="仿宋_GB2312" w:hAnsi="宋体" w:eastAsia="仿宋_GB2312" w:cs="宋体"/>
          <w:sz w:val="24"/>
          <w:szCs w:val="24"/>
          <w:lang w:val="zh-CN"/>
        </w:rPr>
        <w:t>月</w:t>
      </w:r>
      <w:r>
        <w:rPr>
          <w:rFonts w:hint="eastAsia" w:ascii="仿宋_GB2312" w:hAnsi="宋体" w:eastAsia="仿宋_GB2312" w:cs="宋体"/>
          <w:sz w:val="24"/>
          <w:szCs w:val="24"/>
          <w:lang w:val="en-US" w:eastAsia="zh-CN"/>
        </w:rPr>
        <w:t>25</w:t>
      </w:r>
      <w:r>
        <w:rPr>
          <w:rFonts w:hint="eastAsia" w:ascii="仿宋_GB2312" w:hAnsi="宋体" w:eastAsia="仿宋_GB2312" w:cs="宋体"/>
          <w:sz w:val="24"/>
          <w:szCs w:val="24"/>
          <w:lang w:val="zh-CN"/>
        </w:rPr>
        <w:t>日；</w:t>
      </w:r>
    </w:p>
    <w:p>
      <w:pPr>
        <w:pStyle w:val="19"/>
        <w:adjustRightInd w:val="0"/>
        <w:snapToGrid w:val="0"/>
        <w:spacing w:before="0" w:beforeAutospacing="0" w:after="0" w:afterAutospacing="0" w:line="360" w:lineRule="auto"/>
        <w:ind w:firstLine="480" w:firstLineChars="200"/>
        <w:jc w:val="both"/>
        <w:rPr>
          <w:rFonts w:ascii="仿宋_GB2312" w:hAnsi="仿宋" w:eastAsia="仿宋_GB2312"/>
          <w:sz w:val="24"/>
          <w:szCs w:val="24"/>
        </w:rPr>
      </w:pPr>
      <w:r>
        <w:rPr>
          <w:rFonts w:hint="eastAsia" w:ascii="仿宋_GB2312" w:eastAsia="仿宋_GB2312" w:cs="宋体"/>
          <w:sz w:val="24"/>
          <w:szCs w:val="24"/>
          <w:lang w:val="zh-CN"/>
        </w:rPr>
        <w:t>（二）报名方式：皖南医学院2022-2024年度修缮工程造价咨询服务项目（项目编号：WYGZ2021</w:t>
      </w:r>
      <w:r>
        <w:rPr>
          <w:rFonts w:hint="eastAsia" w:ascii="仿宋_GB2312" w:eastAsia="仿宋_GB2312" w:cs="宋体"/>
          <w:sz w:val="24"/>
          <w:szCs w:val="24"/>
          <w:lang w:val="en-US" w:eastAsia="zh-CN"/>
        </w:rPr>
        <w:t>53</w:t>
      </w:r>
      <w:r>
        <w:rPr>
          <w:rFonts w:hint="eastAsia" w:ascii="仿宋_GB2312" w:eastAsia="仿宋_GB2312" w:cs="宋体"/>
          <w:sz w:val="24"/>
          <w:szCs w:val="24"/>
          <w:lang w:val="zh-CN"/>
        </w:rPr>
        <w:t>）已在皖南医学院网上采购平台（http://wnmc.youzhicai.com/）发布，请潜在供应商在皖南医学院网上采购平台参与项目报名。</w:t>
      </w:r>
      <w:r>
        <w:rPr>
          <w:rFonts w:hint="eastAsia" w:ascii="仿宋_GB2312" w:hAnsi="仿宋" w:eastAsia="仿宋_GB2312"/>
          <w:sz w:val="24"/>
          <w:szCs w:val="24"/>
        </w:rPr>
        <w:t>；</w:t>
      </w:r>
    </w:p>
    <w:p>
      <w:pPr>
        <w:widowControl/>
        <w:adjustRightInd w:val="0"/>
        <w:snapToGrid w:val="0"/>
        <w:spacing w:line="360" w:lineRule="auto"/>
        <w:ind w:firstLine="480" w:firstLineChars="200"/>
        <w:rPr>
          <w:rFonts w:ascii="仿宋_GB2312" w:hAnsi="仿宋" w:eastAsia="仿宋_GB2312"/>
          <w:sz w:val="24"/>
          <w:szCs w:val="24"/>
        </w:rPr>
      </w:pPr>
      <w:r>
        <w:rPr>
          <w:rFonts w:hint="eastAsia" w:ascii="仿宋_GB2312" w:hAnsi="仿宋" w:eastAsia="仿宋_GB2312"/>
          <w:sz w:val="24"/>
          <w:szCs w:val="24"/>
        </w:rPr>
        <w:t>（</w:t>
      </w:r>
      <w:r>
        <w:rPr>
          <w:rFonts w:hint="eastAsia" w:ascii="仿宋_GB2312" w:hAnsi="仿宋" w:eastAsia="仿宋_GB2312"/>
          <w:kern w:val="0"/>
          <w:sz w:val="24"/>
          <w:szCs w:val="24"/>
        </w:rPr>
        <w:t>三）招标文件获取：自行下载。</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四、响应文件份数</w:t>
      </w:r>
      <w:r>
        <w:rPr>
          <w:rFonts w:hint="eastAsia" w:ascii="仿宋_GB2312" w:hAnsi="宋体" w:eastAsia="仿宋_GB2312"/>
          <w:spacing w:val="-6"/>
          <w:sz w:val="24"/>
          <w:szCs w:val="24"/>
        </w:rPr>
        <w:t>：一式三份（正本一份，副本二份），每份响应文件须清楚表明“正本”或“副本”字样。</w:t>
      </w:r>
    </w:p>
    <w:p>
      <w:pPr>
        <w:adjustRightInd w:val="0"/>
        <w:snapToGrid w:val="0"/>
        <w:spacing w:line="360" w:lineRule="auto"/>
        <w:ind w:firstLine="433" w:firstLineChars="189"/>
        <w:rPr>
          <w:rFonts w:ascii="仿宋_GB2312" w:hAnsi="宋体" w:eastAsia="仿宋_GB2312"/>
          <w:spacing w:val="-6"/>
          <w:sz w:val="24"/>
          <w:szCs w:val="24"/>
        </w:rPr>
      </w:pPr>
      <w:r>
        <w:rPr>
          <w:rFonts w:hint="eastAsia" w:ascii="仿宋_GB2312" w:hAnsi="宋体" w:eastAsia="仿宋_GB2312"/>
          <w:b/>
          <w:spacing w:val="-6"/>
          <w:sz w:val="24"/>
          <w:szCs w:val="24"/>
        </w:rPr>
        <w:t>五、响应文件递交</w:t>
      </w:r>
      <w:r>
        <w:rPr>
          <w:rFonts w:hint="eastAsia" w:ascii="仿宋_GB2312" w:hAnsi="宋体" w:eastAsia="仿宋_GB2312"/>
          <w:spacing w:val="-6"/>
          <w:sz w:val="24"/>
          <w:szCs w:val="24"/>
        </w:rPr>
        <w:t>：</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（一）响应文件递交截止时间：202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8</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（二）响应文件开启时间：202</w:t>
      </w:r>
      <w:r>
        <w:rPr>
          <w:rFonts w:hint="eastAsia" w:ascii="仿宋_GB2312" w:hAnsi="宋体" w:eastAsia="仿宋_GB2312"/>
          <w:spacing w:val="-6"/>
          <w:sz w:val="24"/>
          <w:szCs w:val="24"/>
          <w:lang w:val="en-US" w:eastAsia="zh-CN"/>
        </w:rPr>
        <w:t>2</w:t>
      </w:r>
      <w:r>
        <w:rPr>
          <w:rFonts w:hint="eastAsia" w:ascii="仿宋_GB2312" w:hAnsi="宋体" w:eastAsia="仿宋_GB2312"/>
          <w:spacing w:val="-6"/>
          <w:sz w:val="24"/>
          <w:szCs w:val="24"/>
        </w:rPr>
        <w:t>年</w:t>
      </w:r>
      <w:r>
        <w:rPr>
          <w:rFonts w:hint="eastAsia" w:ascii="仿宋_GB2312" w:hAnsi="宋体" w:eastAsia="仿宋_GB2312"/>
          <w:spacing w:val="-6"/>
          <w:sz w:val="24"/>
          <w:szCs w:val="24"/>
          <w:lang w:val="en-US" w:eastAsia="zh-CN"/>
        </w:rPr>
        <w:t>3</w:t>
      </w:r>
      <w:r>
        <w:rPr>
          <w:rFonts w:hint="eastAsia" w:ascii="仿宋_GB2312" w:hAnsi="宋体" w:eastAsia="仿宋_GB2312"/>
          <w:spacing w:val="-6"/>
          <w:sz w:val="24"/>
          <w:szCs w:val="24"/>
        </w:rPr>
        <w:t>月</w:t>
      </w:r>
      <w:r>
        <w:rPr>
          <w:rFonts w:hint="eastAsia" w:ascii="仿宋_GB2312" w:hAnsi="宋体" w:eastAsia="仿宋_GB2312"/>
          <w:spacing w:val="-6"/>
          <w:sz w:val="24"/>
          <w:szCs w:val="24"/>
          <w:lang w:val="en-US" w:eastAsia="zh-CN"/>
        </w:rPr>
        <w:t>8</w:t>
      </w:r>
      <w:r>
        <w:rPr>
          <w:rFonts w:hint="eastAsia" w:ascii="仿宋_GB2312" w:hAnsi="宋体" w:eastAsia="仿宋_GB2312"/>
          <w:spacing w:val="-6"/>
          <w:sz w:val="24"/>
          <w:szCs w:val="24"/>
        </w:rPr>
        <w:t>日9:30；</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（三）地点：芜湖市弋江区文昌西路22号皖南医学院滨江校区图书信息楼东辅楼5楼5002室；</w:t>
      </w:r>
    </w:p>
    <w:p>
      <w:pPr>
        <w:adjustRightInd w:val="0"/>
        <w:snapToGrid w:val="0"/>
        <w:spacing w:line="360" w:lineRule="auto"/>
        <w:ind w:firstLine="430" w:firstLineChars="189"/>
        <w:rPr>
          <w:rFonts w:ascii="仿宋_GB2312" w:hAnsi="宋体" w:eastAsia="仿宋_GB2312"/>
          <w:spacing w:val="-6"/>
          <w:sz w:val="24"/>
          <w:szCs w:val="24"/>
        </w:rPr>
      </w:pPr>
      <w:r>
        <w:rPr>
          <w:rFonts w:hint="eastAsia" w:ascii="仿宋_GB2312" w:hAnsi="宋体" w:eastAsia="仿宋_GB2312"/>
          <w:spacing w:val="-6"/>
          <w:sz w:val="24"/>
          <w:szCs w:val="24"/>
        </w:rPr>
        <w:t>（四）递交响应文件时间截止后，磋商小组与供应商磋商，请供应商法定代表人或其授权委托代表（提供授权委托书）出席。</w:t>
      </w:r>
    </w:p>
    <w:p>
      <w:pPr>
        <w:adjustRightInd w:val="0"/>
        <w:snapToGrid w:val="0"/>
        <w:spacing w:line="360" w:lineRule="auto"/>
        <w:ind w:firstLine="455" w:firstLineChars="189"/>
        <w:rPr>
          <w:rFonts w:ascii="仿宋_GB2312" w:eastAsia="仿宋_GB2312"/>
          <w:sz w:val="24"/>
          <w:szCs w:val="24"/>
        </w:rPr>
      </w:pPr>
      <w:r>
        <w:rPr>
          <w:rFonts w:hint="eastAsia" w:ascii="仿宋_GB2312" w:eastAsia="仿宋_GB2312"/>
          <w:b/>
          <w:sz w:val="24"/>
          <w:szCs w:val="24"/>
        </w:rPr>
        <w:t>六、联系方式</w:t>
      </w:r>
      <w:r>
        <w:rPr>
          <w:rFonts w:hint="eastAsia" w:ascii="仿宋_GB2312" w:eastAsia="仿宋_GB2312"/>
          <w:sz w:val="24"/>
          <w:szCs w:val="24"/>
        </w:rPr>
        <w:t>：</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（一）联系人：方老师</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（二）联系电话：0553-3932052</w:t>
      </w:r>
    </w:p>
    <w:p>
      <w:pPr>
        <w:adjustRightInd w:val="0"/>
        <w:snapToGrid w:val="0"/>
        <w:spacing w:line="360" w:lineRule="auto"/>
        <w:ind w:firstLine="455" w:firstLineChars="189"/>
        <w:rPr>
          <w:rFonts w:ascii="仿宋_GB2312" w:eastAsia="仿宋_GB2312"/>
          <w:b/>
          <w:sz w:val="24"/>
          <w:szCs w:val="24"/>
        </w:rPr>
      </w:pPr>
      <w:r>
        <w:rPr>
          <w:rFonts w:hint="eastAsia" w:ascii="仿宋_GB2312" w:eastAsia="仿宋_GB2312"/>
          <w:b/>
          <w:sz w:val="24"/>
          <w:szCs w:val="24"/>
        </w:rPr>
        <w:t>七、备注</w:t>
      </w:r>
    </w:p>
    <w:p>
      <w:pPr>
        <w:adjustRightInd w:val="0"/>
        <w:snapToGrid w:val="0"/>
        <w:spacing w:line="360" w:lineRule="auto"/>
        <w:ind w:firstLine="453" w:firstLineChars="189"/>
        <w:rPr>
          <w:rFonts w:ascii="仿宋_GB2312" w:eastAsia="仿宋_GB2312"/>
          <w:sz w:val="24"/>
          <w:szCs w:val="24"/>
        </w:rPr>
      </w:pPr>
      <w:r>
        <w:rPr>
          <w:rFonts w:hint="eastAsia" w:ascii="仿宋_GB2312" w:eastAsia="仿宋_GB2312"/>
          <w:sz w:val="24"/>
          <w:szCs w:val="24"/>
        </w:rPr>
        <w:t>我校保留对报名合格单位进行进一步资格审核的权利。</w:t>
      </w: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皖南医学院国有资产管理处</w:t>
      </w:r>
    </w:p>
    <w:p>
      <w:pPr>
        <w:adjustRightInd w:val="0"/>
        <w:snapToGrid w:val="0"/>
        <w:spacing w:line="360" w:lineRule="auto"/>
        <w:jc w:val="right"/>
        <w:rPr>
          <w:rFonts w:ascii="仿宋_GB2312" w:eastAsia="仿宋_GB2312"/>
          <w:sz w:val="24"/>
          <w:szCs w:val="24"/>
        </w:rPr>
      </w:pPr>
      <w:r>
        <w:rPr>
          <w:rFonts w:hint="eastAsia" w:ascii="仿宋_GB2312" w:eastAsia="仿宋_GB2312"/>
          <w:sz w:val="24"/>
          <w:szCs w:val="24"/>
        </w:rPr>
        <w:t>202</w:t>
      </w:r>
      <w:r>
        <w:rPr>
          <w:rFonts w:hint="eastAsia" w:ascii="仿宋_GB2312" w:eastAsia="仿宋_GB2312"/>
          <w:sz w:val="24"/>
          <w:szCs w:val="24"/>
          <w:lang w:val="en-US" w:eastAsia="zh-CN"/>
        </w:rPr>
        <w:t>2</w:t>
      </w:r>
      <w:r>
        <w:rPr>
          <w:rFonts w:hint="eastAsia" w:ascii="仿宋_GB2312" w:eastAsia="仿宋_GB2312"/>
          <w:sz w:val="24"/>
          <w:szCs w:val="24"/>
        </w:rPr>
        <w:t>年</w:t>
      </w:r>
      <w:r>
        <w:rPr>
          <w:rFonts w:hint="eastAsia" w:ascii="仿宋_GB2312" w:eastAsia="仿宋_GB2312"/>
          <w:sz w:val="24"/>
          <w:szCs w:val="24"/>
          <w:lang w:val="en-US" w:eastAsia="zh-CN"/>
        </w:rPr>
        <w:t>2</w:t>
      </w:r>
      <w:r>
        <w:rPr>
          <w:rFonts w:hint="eastAsia" w:ascii="仿宋_GB2312" w:eastAsia="仿宋_GB2312"/>
          <w:sz w:val="24"/>
          <w:szCs w:val="24"/>
        </w:rPr>
        <w:t>月</w:t>
      </w:r>
      <w:r>
        <w:rPr>
          <w:rFonts w:hint="eastAsia" w:ascii="仿宋_GB2312" w:eastAsia="仿宋_GB2312"/>
          <w:sz w:val="24"/>
          <w:szCs w:val="24"/>
          <w:lang w:val="en-US" w:eastAsia="zh-CN"/>
        </w:rPr>
        <w:t>1</w:t>
      </w:r>
      <w:bookmarkStart w:id="152" w:name="_GoBack"/>
      <w:bookmarkEnd w:id="152"/>
      <w:r>
        <w:rPr>
          <w:rFonts w:hint="eastAsia" w:ascii="仿宋_GB2312" w:eastAsia="仿宋_GB2312"/>
          <w:sz w:val="24"/>
          <w:szCs w:val="24"/>
          <w:lang w:val="en-US" w:eastAsia="zh-CN"/>
        </w:rPr>
        <w:t>8</w:t>
      </w:r>
      <w:r>
        <w:rPr>
          <w:rFonts w:hint="eastAsia" w:ascii="仿宋_GB2312" w:eastAsia="仿宋_GB2312"/>
          <w:sz w:val="24"/>
          <w:szCs w:val="24"/>
        </w:rPr>
        <w:t>日</w:t>
      </w:r>
    </w:p>
    <w:p>
      <w:pPr>
        <w:jc w:val="right"/>
        <w:rPr>
          <w:rFonts w:ascii="仿宋_GB2312" w:eastAsia="仿宋_GB2312"/>
          <w:sz w:val="24"/>
          <w:szCs w:val="24"/>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jc w:val="right"/>
        <w:rPr>
          <w:rFonts w:ascii="仿宋_GB2312" w:eastAsia="仿宋_GB2312"/>
          <w:sz w:val="30"/>
          <w:szCs w:val="30"/>
        </w:rPr>
      </w:pPr>
    </w:p>
    <w:p>
      <w:pPr>
        <w:pStyle w:val="3"/>
        <w:snapToGrid w:val="0"/>
        <w:spacing w:before="0" w:after="0"/>
        <w:ind w:left="947" w:firstLine="0"/>
        <w:jc w:val="center"/>
        <w:rPr>
          <w:rFonts w:ascii="华文中宋" w:hAnsi="华文中宋" w:eastAsia="华文中宋"/>
          <w:color w:val="auto"/>
        </w:rPr>
      </w:pPr>
      <w:bookmarkStart w:id="1" w:name="_Toc52892863"/>
      <w:r>
        <w:rPr>
          <w:rFonts w:hint="eastAsia" w:ascii="华文中宋" w:hAnsi="华文中宋" w:eastAsia="华文中宋"/>
          <w:color w:val="auto"/>
        </w:rPr>
        <w:t>第二章  磋商须知前附表</w:t>
      </w:r>
      <w:bookmarkEnd w:id="1"/>
    </w:p>
    <w:tbl>
      <w:tblPr>
        <w:tblStyle w:val="21"/>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条款号</w:t>
            </w:r>
          </w:p>
        </w:tc>
        <w:tc>
          <w:tcPr>
            <w:tcW w:w="1635"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条款名称</w:t>
            </w:r>
          </w:p>
        </w:tc>
        <w:tc>
          <w:tcPr>
            <w:tcW w:w="6480" w:type="dxa"/>
            <w:vAlign w:val="center"/>
          </w:tcPr>
          <w:p>
            <w:pPr>
              <w:widowControl/>
              <w:spacing w:line="360" w:lineRule="exact"/>
              <w:jc w:val="center"/>
              <w:rPr>
                <w:rFonts w:ascii="仿宋_GB2312" w:hAnsi="仿宋_GB2312" w:eastAsia="仿宋_GB2312" w:cs="仿宋_GB2312"/>
                <w:b/>
                <w:kern w:val="0"/>
                <w:sz w:val="21"/>
                <w:szCs w:val="21"/>
              </w:rPr>
            </w:pPr>
            <w:r>
              <w:rPr>
                <w:rFonts w:hint="eastAsia" w:ascii="仿宋_GB2312" w:hAnsi="仿宋_GB2312" w:eastAsia="仿宋_GB2312" w:cs="仿宋_GB2312"/>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2.1</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项目名称</w:t>
            </w:r>
          </w:p>
        </w:tc>
        <w:tc>
          <w:tcPr>
            <w:tcW w:w="6480" w:type="dxa"/>
            <w:vAlign w:val="center"/>
          </w:tcPr>
          <w:p>
            <w:pPr>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皖南医学院2022-2024年度修缮工程造价咨询服务项目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2.2</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采购人</w:t>
            </w:r>
          </w:p>
        </w:tc>
        <w:tc>
          <w:tcPr>
            <w:tcW w:w="6480" w:type="dxa"/>
            <w:vAlign w:val="center"/>
          </w:tcPr>
          <w:p>
            <w:pPr>
              <w:widowControl/>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招标人名称：</w:t>
            </w:r>
            <w:r>
              <w:rPr>
                <w:rFonts w:hint="eastAsia" w:ascii="仿宋_GB2312" w:hAnsi="仿宋_GB2312" w:eastAsia="仿宋_GB2312" w:cs="仿宋_GB2312"/>
                <w:sz w:val="24"/>
                <w:szCs w:val="24"/>
              </w:rPr>
              <w:t>皖南医学院</w:t>
            </w:r>
          </w:p>
          <w:p>
            <w:pP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联系人：方老师   </w:t>
            </w:r>
            <w:r>
              <w:rPr>
                <w:rFonts w:hint="eastAsia" w:ascii="仿宋_GB2312" w:hAnsi="仿宋_GB2312" w:eastAsia="仿宋_GB2312" w:cs="仿宋_GB2312"/>
                <w:b/>
                <w:kern w:val="0"/>
                <w:sz w:val="24"/>
                <w:szCs w:val="24"/>
              </w:rPr>
              <w:t xml:space="preserve"> </w:t>
            </w:r>
            <w:r>
              <w:rPr>
                <w:rFonts w:hint="eastAsia" w:ascii="仿宋_GB2312" w:hAnsi="仿宋_GB2312" w:eastAsia="仿宋_GB2312" w:cs="仿宋_GB2312"/>
                <w:kern w:val="0"/>
                <w:sz w:val="24"/>
                <w:szCs w:val="24"/>
              </w:rPr>
              <w:t xml:space="preserve"> 电话：0553-3932052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2.3</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招标范围</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2.4</w:t>
            </w:r>
          </w:p>
        </w:tc>
        <w:tc>
          <w:tcPr>
            <w:tcW w:w="1635"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项目工期要求</w:t>
            </w:r>
          </w:p>
        </w:tc>
        <w:tc>
          <w:tcPr>
            <w:tcW w:w="6480" w:type="dxa"/>
            <w:vAlign w:val="center"/>
          </w:tcPr>
          <w:p>
            <w:pPr>
              <w:widowControl/>
              <w:snapToGrid w:val="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2.5</w:t>
            </w:r>
          </w:p>
        </w:tc>
        <w:tc>
          <w:tcPr>
            <w:tcW w:w="1635" w:type="dxa"/>
            <w:vAlign w:val="center"/>
          </w:tcPr>
          <w:p>
            <w:pPr>
              <w:widowControl/>
              <w:spacing w:line="300" w:lineRule="exact"/>
              <w:jc w:val="center"/>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投标人资质条件、能力和信誉</w:t>
            </w:r>
          </w:p>
        </w:tc>
        <w:tc>
          <w:tcPr>
            <w:tcW w:w="6480" w:type="dxa"/>
            <w:vAlign w:val="center"/>
          </w:tcPr>
          <w:p>
            <w:pPr>
              <w:widowControl/>
              <w:spacing w:line="360" w:lineRule="exact"/>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分包</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2.7</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w:t>
            </w:r>
          </w:p>
        </w:tc>
        <w:tc>
          <w:tcPr>
            <w:tcW w:w="6480" w:type="dxa"/>
            <w:vAlign w:val="center"/>
          </w:tcPr>
          <w:p>
            <w:pPr>
              <w:rPr>
                <w:rFonts w:hint="eastAsia" w:ascii="仿宋_GB2312" w:hAnsi="仿宋_GB2312" w:eastAsia="仿宋_GB2312" w:cs="仿宋_GB2312"/>
                <w:sz w:val="21"/>
                <w:szCs w:val="21"/>
                <w:lang w:eastAsia="zh-CN"/>
              </w:rPr>
            </w:pPr>
            <w:r>
              <w:rPr>
                <w:rFonts w:hint="eastAsia" w:ascii="仿宋_GB2312" w:hAnsi="仿宋_GB2312" w:eastAsia="仿宋_GB2312" w:cs="仿宋_GB2312"/>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2.8</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磋商保证金的退付</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lang w:eastAsia="zh-CN"/>
              </w:rPr>
              <w:t>无</w:t>
            </w:r>
            <w:r>
              <w:rPr>
                <w:rFonts w:hint="eastAsia" w:ascii="仿宋_GB2312" w:hAnsi="仿宋_GB2312" w:eastAsia="仿宋_GB2312" w:cs="仿宋_GB2312"/>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2.9</w:t>
            </w:r>
          </w:p>
        </w:tc>
        <w:tc>
          <w:tcPr>
            <w:tcW w:w="1635" w:type="dxa"/>
            <w:vAlign w:val="center"/>
          </w:tcPr>
          <w:p>
            <w:pPr>
              <w:widowControl/>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是否允许递交备选投标方案</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不允许。</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2.10</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签字或盖章要求</w:t>
            </w:r>
          </w:p>
        </w:tc>
        <w:tc>
          <w:tcPr>
            <w:tcW w:w="6480" w:type="dxa"/>
            <w:vAlign w:val="center"/>
          </w:tcPr>
          <w:p>
            <w:pPr>
              <w:widowControl/>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响应文件的内容均须经投标人法定代表人或其授权的代理人签字或盖章确认。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2.11</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投标文件份数</w:t>
            </w:r>
          </w:p>
        </w:tc>
        <w:tc>
          <w:tcPr>
            <w:tcW w:w="6480" w:type="dxa"/>
            <w:vAlign w:val="center"/>
          </w:tcPr>
          <w:p>
            <w:pPr>
              <w:rPr>
                <w:rFonts w:ascii="仿宋_GB2312" w:hAnsi="仿宋_GB2312" w:eastAsia="仿宋_GB2312" w:cs="仿宋_GB2312"/>
                <w:sz w:val="21"/>
                <w:szCs w:val="21"/>
              </w:rPr>
            </w:pPr>
            <w:r>
              <w:rPr>
                <w:rFonts w:hint="eastAsia" w:ascii="仿宋_GB2312" w:hAnsi="仿宋_GB2312" w:eastAsia="仿宋_GB2312" w:cs="仿宋_GB2312"/>
                <w:sz w:val="21"/>
                <w:szCs w:val="21"/>
              </w:rPr>
              <w:t>正本1份，副本2份。</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2.12</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递交响应文件时间、地点</w:t>
            </w:r>
          </w:p>
        </w:tc>
        <w:tc>
          <w:tcPr>
            <w:tcW w:w="6480" w:type="dxa"/>
            <w:vAlign w:val="center"/>
          </w:tcPr>
          <w:p>
            <w:pPr>
              <w:widowControl/>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2.13</w:t>
            </w:r>
          </w:p>
        </w:tc>
        <w:tc>
          <w:tcPr>
            <w:tcW w:w="1635" w:type="dxa"/>
            <w:vAlign w:val="center"/>
          </w:tcPr>
          <w:p>
            <w:pPr>
              <w:widowControl/>
              <w:spacing w:line="30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递交响应文件截止和开标时间、地点、开标条件</w:t>
            </w:r>
          </w:p>
        </w:tc>
        <w:tc>
          <w:tcPr>
            <w:tcW w:w="6480" w:type="dxa"/>
            <w:vAlign w:val="center"/>
          </w:tcPr>
          <w:p>
            <w:pP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投标截止和开标时间、地点：详见磋商公告</w:t>
            </w:r>
          </w:p>
          <w:p>
            <w:pPr>
              <w:rPr>
                <w:rFonts w:ascii="仿宋_GB2312" w:hAnsi="仿宋_GB2312" w:eastAsia="仿宋_GB2312" w:cs="仿宋_GB2312"/>
                <w:b/>
                <w:kern w:val="0"/>
                <w:sz w:val="21"/>
                <w:szCs w:val="21"/>
              </w:rPr>
            </w:pPr>
            <w:r>
              <w:rPr>
                <w:rFonts w:hint="eastAsia" w:ascii="仿宋_GB2312" w:hAnsi="仿宋_GB2312" w:eastAsia="仿宋_GB2312" w:cs="仿宋_GB2312"/>
                <w:kern w:val="0"/>
                <w:sz w:val="21"/>
                <w:szCs w:val="21"/>
              </w:rPr>
              <w:t>开标条件：</w:t>
            </w:r>
            <w:r>
              <w:rPr>
                <w:rFonts w:hint="eastAsia" w:ascii="仿宋_GB2312" w:hAnsi="仿宋_GB2312" w:eastAsia="仿宋_GB2312" w:cs="仿宋_GB2312"/>
                <w:b/>
                <w:kern w:val="0"/>
                <w:sz w:val="21"/>
                <w:szCs w:val="21"/>
              </w:rPr>
              <w:t>递交响应提供下列文件，否则投标人的投标文件不予接收：</w:t>
            </w:r>
          </w:p>
          <w:p>
            <w:pPr>
              <w:rPr>
                <w:rFonts w:ascii="仿宋_GB2312" w:hAnsi="仿宋_GB2312" w:eastAsia="仿宋_GB2312" w:cs="仿宋_GB2312"/>
                <w:kern w:val="0"/>
                <w:sz w:val="21"/>
                <w:szCs w:val="21"/>
              </w:rPr>
            </w:pPr>
            <w:r>
              <w:rPr>
                <w:rFonts w:hint="eastAsia" w:ascii="仿宋_GB2312" w:hAnsi="仿宋_GB2312" w:eastAsia="仿宋_GB2312" w:cs="仿宋_GB2312"/>
                <w:b/>
                <w:kern w:val="0"/>
                <w:sz w:val="21"/>
                <w:szCs w:val="21"/>
              </w:rPr>
              <w:t>（1）法定代表人或授权委托人身份证明、法定代表人授权委托书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2.14</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合同履约担保</w:t>
            </w:r>
          </w:p>
        </w:tc>
        <w:tc>
          <w:tcPr>
            <w:tcW w:w="6480" w:type="dxa"/>
            <w:vAlign w:val="center"/>
          </w:tcPr>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金额：人民币</w:t>
            </w:r>
            <w:r>
              <w:rPr>
                <w:rFonts w:hint="eastAsia" w:ascii="仿宋_GB2312" w:hAnsi="仿宋_GB2312" w:eastAsia="仿宋_GB2312" w:cs="仿宋_GB2312"/>
                <w:kern w:val="0"/>
                <w:sz w:val="21"/>
                <w:szCs w:val="21"/>
                <w:lang w:val="en-US" w:eastAsia="zh-CN"/>
              </w:rPr>
              <w:t>7500</w:t>
            </w:r>
            <w:r>
              <w:rPr>
                <w:rFonts w:hint="eastAsia" w:ascii="仿宋_GB2312" w:hAnsi="仿宋_GB2312" w:eastAsia="仿宋_GB2312" w:cs="仿宋_GB2312"/>
                <w:kern w:val="0"/>
                <w:sz w:val="21"/>
                <w:szCs w:val="21"/>
              </w:rPr>
              <w:t>元。</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形式：从投标单位账户以转账方式汇入到达指定账户（注明“WYGZ202</w:t>
            </w:r>
            <w:r>
              <w:rPr>
                <w:rFonts w:hint="eastAsia" w:ascii="仿宋_GB2312" w:hAnsi="仿宋_GB2312" w:eastAsia="仿宋_GB2312" w:cs="仿宋_GB2312"/>
                <w:kern w:val="0"/>
                <w:sz w:val="21"/>
                <w:szCs w:val="21"/>
                <w:lang w:val="en-US" w:eastAsia="zh-CN"/>
              </w:rPr>
              <w:t>1153履约保</w:t>
            </w:r>
            <w:r>
              <w:rPr>
                <w:rFonts w:hint="eastAsia" w:ascii="仿宋_GB2312" w:hAnsi="仿宋_GB2312" w:eastAsia="仿宋_GB2312" w:cs="仿宋_GB2312"/>
                <w:kern w:val="0"/>
                <w:sz w:val="21"/>
                <w:szCs w:val="21"/>
              </w:rPr>
              <w:t>证金”）</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 户 名：皖南医学院</w:t>
            </w:r>
          </w:p>
          <w:p>
            <w:pPr>
              <w:spacing w:line="360" w:lineRule="exact"/>
              <w:rPr>
                <w:rFonts w:hint="eastAsia"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开户银行：安徽省芜湖市建行中山路支行</w:t>
            </w:r>
          </w:p>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帐　　号：34001672208050139762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2.15</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履约保证金交纳及退付</w:t>
            </w:r>
          </w:p>
        </w:tc>
        <w:tc>
          <w:tcPr>
            <w:tcW w:w="6480" w:type="dxa"/>
            <w:vAlign w:val="center"/>
          </w:tcPr>
          <w:p>
            <w:pPr>
              <w:jc w:val="lef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履约保证金的退付程序为：项目实施完毕，验收合格后，中标人填写履约保证金退付申请表，待招标人审核后，直接无息退还中标人。</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141" w:hRule="atLeast"/>
          <w:jc w:val="center"/>
        </w:trPr>
        <w:tc>
          <w:tcPr>
            <w:tcW w:w="1080"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2.16</w:t>
            </w:r>
          </w:p>
        </w:tc>
        <w:tc>
          <w:tcPr>
            <w:tcW w:w="1635" w:type="dxa"/>
            <w:vAlign w:val="center"/>
          </w:tcPr>
          <w:p>
            <w:pPr>
              <w:widowControl/>
              <w:spacing w:line="360" w:lineRule="exact"/>
              <w:jc w:val="center"/>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磋商有效期</w:t>
            </w:r>
          </w:p>
        </w:tc>
        <w:tc>
          <w:tcPr>
            <w:tcW w:w="6480" w:type="dxa"/>
            <w:vAlign w:val="center"/>
          </w:tcPr>
          <w:p>
            <w:pPr>
              <w:spacing w:line="360" w:lineRule="exact"/>
              <w:rPr>
                <w:rFonts w:ascii="仿宋_GB2312" w:hAnsi="仿宋_GB2312" w:eastAsia="仿宋_GB2312" w:cs="仿宋_GB2312"/>
                <w:kern w:val="0"/>
                <w:sz w:val="21"/>
                <w:szCs w:val="21"/>
              </w:rPr>
            </w:pPr>
            <w:r>
              <w:rPr>
                <w:rFonts w:hint="eastAsia" w:ascii="仿宋_GB2312" w:hAnsi="仿宋_GB2312" w:eastAsia="仿宋_GB2312" w:cs="仿宋_GB2312"/>
                <w:kern w:val="0"/>
                <w:sz w:val="21"/>
                <w:szCs w:val="21"/>
              </w:rPr>
              <w:t>自磋商之日起30天内。</w:t>
            </w:r>
          </w:p>
        </w:tc>
      </w:tr>
    </w:tbl>
    <w:p>
      <w:pPr>
        <w:pStyle w:val="3"/>
        <w:snapToGrid w:val="0"/>
        <w:spacing w:before="0" w:after="0"/>
        <w:jc w:val="center"/>
        <w:rPr>
          <w:rFonts w:ascii="华文中宋" w:hAnsi="华文中宋" w:eastAsia="华文中宋"/>
          <w:color w:val="auto"/>
        </w:rPr>
      </w:pPr>
    </w:p>
    <w:p>
      <w:pPr>
        <w:pStyle w:val="3"/>
        <w:snapToGrid w:val="0"/>
        <w:spacing w:before="0" w:after="0"/>
        <w:jc w:val="center"/>
        <w:rPr>
          <w:rFonts w:ascii="华文中宋" w:hAnsi="华文中宋" w:eastAsia="华文中宋"/>
          <w:color w:val="auto"/>
        </w:rPr>
      </w:pPr>
      <w:bookmarkStart w:id="2" w:name="_Toc52892864"/>
      <w:r>
        <w:rPr>
          <w:rFonts w:hint="eastAsia" w:ascii="华文中宋" w:hAnsi="华文中宋" w:eastAsia="华文中宋"/>
          <w:color w:val="auto"/>
        </w:rPr>
        <w:t>第三章  磋商须知</w:t>
      </w:r>
      <w:bookmarkEnd w:id="2"/>
    </w:p>
    <w:p>
      <w:pPr>
        <w:adjustRightInd w:val="0"/>
        <w:snapToGrid w:val="0"/>
        <w:spacing w:line="360" w:lineRule="auto"/>
        <w:ind w:firstLine="480" w:firstLineChars="200"/>
        <w:rPr>
          <w:rFonts w:ascii="仿宋_GB2312" w:hAnsi="宋体" w:eastAsia="仿宋_GB2312"/>
          <w:sz w:val="24"/>
          <w:szCs w:val="24"/>
        </w:rPr>
      </w:pPr>
      <w:bookmarkStart w:id="3" w:name="_Toc403987205"/>
      <w:bookmarkStart w:id="4" w:name="_Toc16938519"/>
      <w:bookmarkStart w:id="5" w:name="_Toc513029203"/>
      <w:bookmarkStart w:id="6" w:name="_Toc20823275"/>
      <w:bookmarkStart w:id="7" w:name="_Toc120614214"/>
      <w:r>
        <w:rPr>
          <w:rFonts w:hint="eastAsia" w:ascii="仿宋_GB2312" w:hAnsi="宋体" w:eastAsia="仿宋_GB2312"/>
          <w:sz w:val="24"/>
          <w:szCs w:val="24"/>
        </w:rPr>
        <w:t>一、总则</w:t>
      </w:r>
      <w:bookmarkEnd w:id="3"/>
      <w:bookmarkEnd w:id="4"/>
      <w:bookmarkEnd w:id="5"/>
      <w:bookmarkEnd w:id="6"/>
      <w:bookmarkEnd w:id="7"/>
    </w:p>
    <w:p>
      <w:pPr>
        <w:adjustRightInd w:val="0"/>
        <w:snapToGrid w:val="0"/>
        <w:spacing w:line="360" w:lineRule="auto"/>
        <w:ind w:firstLine="480" w:firstLineChars="200"/>
        <w:rPr>
          <w:rFonts w:ascii="仿宋_GB2312" w:eastAsia="仿宋_GB2312"/>
          <w:sz w:val="24"/>
          <w:szCs w:val="24"/>
        </w:rPr>
      </w:pPr>
      <w:bookmarkStart w:id="8" w:name="_Hlt16619475"/>
      <w:bookmarkEnd w:id="8"/>
      <w:bookmarkStart w:id="9" w:name="_Toc16938520"/>
      <w:bookmarkStart w:id="10" w:name="_Toc513029204"/>
      <w:bookmarkStart w:id="11" w:name="_Toc20823276"/>
      <w:r>
        <w:rPr>
          <w:rFonts w:hint="eastAsia" w:ascii="仿宋_GB2312" w:eastAsia="仿宋_GB2312"/>
          <w:sz w:val="24"/>
          <w:szCs w:val="24"/>
        </w:rPr>
        <w:t>（一）采购方式</w:t>
      </w:r>
      <w:bookmarkEnd w:id="9"/>
      <w:bookmarkEnd w:id="10"/>
      <w:bookmarkEnd w:id="11"/>
      <w:r>
        <w:rPr>
          <w:rFonts w:hint="eastAsia" w:ascii="仿宋_GB2312" w:eastAsia="仿宋_GB2312"/>
          <w:sz w:val="24"/>
          <w:szCs w:val="24"/>
        </w:rPr>
        <w:t>及定义</w:t>
      </w:r>
    </w:p>
    <w:p>
      <w:pPr>
        <w:pStyle w:val="32"/>
        <w:snapToGrid w:val="0"/>
        <w:rPr>
          <w:rFonts w:ascii="仿宋_GB2312" w:hAnsi="宋体" w:eastAsia="仿宋_GB2312"/>
          <w:sz w:val="24"/>
          <w:szCs w:val="24"/>
        </w:rPr>
      </w:pPr>
      <w:r>
        <w:rPr>
          <w:rFonts w:hint="eastAsia" w:ascii="仿宋_GB2312" w:hAnsi="宋体" w:eastAsia="仿宋_GB2312"/>
          <w:sz w:val="24"/>
          <w:szCs w:val="24"/>
        </w:rPr>
        <w:t>1.本次采购采用磋商方式，本磋商文件仅适用于磋商公告中所述项目。</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2采购人指本项目的需求方皖南医学院。</w:t>
      </w:r>
    </w:p>
    <w:p>
      <w:pPr>
        <w:adjustRightInd w:val="0"/>
        <w:snapToGrid w:val="0"/>
        <w:spacing w:line="360" w:lineRule="auto"/>
        <w:ind w:firstLine="480" w:firstLineChars="200"/>
        <w:rPr>
          <w:rFonts w:ascii="仿宋_GB2312" w:eastAsia="仿宋_GB2312"/>
          <w:sz w:val="24"/>
          <w:szCs w:val="24"/>
        </w:rPr>
      </w:pPr>
      <w:bookmarkStart w:id="12" w:name="_Toc16938521"/>
      <w:bookmarkStart w:id="13" w:name="_Toc20823277"/>
      <w:bookmarkStart w:id="14" w:name="_Toc513029205"/>
      <w:r>
        <w:rPr>
          <w:rFonts w:hint="eastAsia" w:ascii="仿宋_GB2312" w:eastAsia="仿宋_GB2312"/>
          <w:sz w:val="24"/>
          <w:szCs w:val="24"/>
        </w:rPr>
        <w:t>3.合格的供应商</w:t>
      </w:r>
      <w:bookmarkEnd w:id="12"/>
      <w:bookmarkEnd w:id="13"/>
      <w:bookmarkEnd w:id="14"/>
      <w:r>
        <w:rPr>
          <w:rFonts w:hint="eastAsia" w:ascii="仿宋_GB2312" w:eastAsia="仿宋_GB2312"/>
          <w:sz w:val="24"/>
          <w:szCs w:val="24"/>
        </w:rPr>
        <w:tab/>
      </w:r>
    </w:p>
    <w:p>
      <w:pPr>
        <w:pStyle w:val="32"/>
        <w:snapToGrid w:val="0"/>
        <w:ind w:left="560" w:firstLine="0" w:firstLineChars="0"/>
        <w:rPr>
          <w:rFonts w:ascii="仿宋_GB2312" w:hAnsi="宋体" w:eastAsia="仿宋_GB2312"/>
          <w:sz w:val="24"/>
          <w:szCs w:val="24"/>
        </w:rPr>
      </w:pPr>
      <w:r>
        <w:rPr>
          <w:rFonts w:hint="eastAsia" w:ascii="仿宋_GB2312" w:hAnsi="宋体" w:eastAsia="仿宋_GB2312"/>
          <w:sz w:val="24"/>
          <w:szCs w:val="24"/>
        </w:rPr>
        <w:t>（1）满足磋商公告中供应商的资格条件的规定。</w:t>
      </w:r>
    </w:p>
    <w:p>
      <w:pPr>
        <w:pStyle w:val="32"/>
        <w:snapToGrid w:val="0"/>
        <w:rPr>
          <w:rFonts w:ascii="仿宋_GB2312" w:hAnsi="宋体" w:eastAsia="仿宋_GB2312"/>
          <w:sz w:val="24"/>
          <w:szCs w:val="24"/>
        </w:rPr>
      </w:pPr>
      <w:r>
        <w:rPr>
          <w:rFonts w:hint="eastAsia" w:ascii="仿宋_GB2312" w:hAnsi="宋体" w:eastAsia="仿宋_GB2312"/>
          <w:sz w:val="24"/>
          <w:szCs w:val="24"/>
        </w:rPr>
        <w:t>（2）满足本文件实质性条款的规定。</w:t>
      </w:r>
    </w:p>
    <w:p>
      <w:pPr>
        <w:adjustRightInd w:val="0"/>
        <w:snapToGrid w:val="0"/>
        <w:spacing w:line="360" w:lineRule="auto"/>
        <w:ind w:firstLine="480" w:firstLineChars="200"/>
        <w:rPr>
          <w:rFonts w:ascii="仿宋_GB2312" w:eastAsia="仿宋_GB2312"/>
          <w:sz w:val="24"/>
          <w:szCs w:val="24"/>
        </w:rPr>
      </w:pPr>
      <w:bookmarkStart w:id="15" w:name="_Toc20823278"/>
      <w:bookmarkStart w:id="16" w:name="_Toc513029206"/>
      <w:bookmarkStart w:id="17" w:name="_Toc16938522"/>
      <w:r>
        <w:rPr>
          <w:rFonts w:hint="eastAsia" w:ascii="仿宋_GB2312" w:eastAsia="仿宋_GB2312"/>
          <w:sz w:val="24"/>
          <w:szCs w:val="24"/>
        </w:rPr>
        <w:t>4.适用法律</w:t>
      </w:r>
      <w:bookmarkEnd w:id="15"/>
      <w:bookmarkEnd w:id="16"/>
      <w:bookmarkEnd w:id="17"/>
    </w:p>
    <w:p>
      <w:pPr>
        <w:pStyle w:val="32"/>
        <w:snapToGrid w:val="0"/>
        <w:rPr>
          <w:rFonts w:ascii="仿宋_GB2312" w:hAnsi="宋体" w:eastAsia="仿宋_GB2312"/>
          <w:sz w:val="24"/>
          <w:szCs w:val="24"/>
        </w:rPr>
      </w:pPr>
      <w:r>
        <w:rPr>
          <w:rFonts w:hint="eastAsia" w:ascii="仿宋_GB2312" w:hAnsi="宋体" w:eastAsia="仿宋_GB2312"/>
          <w:sz w:val="24"/>
          <w:szCs w:val="24"/>
        </w:rPr>
        <w:t>本次磋商及由此产生的合同受中华人民共和国有关的法律法规制约和保护。</w:t>
      </w:r>
    </w:p>
    <w:p>
      <w:pPr>
        <w:adjustRightInd w:val="0"/>
        <w:snapToGrid w:val="0"/>
        <w:spacing w:line="360" w:lineRule="auto"/>
        <w:ind w:firstLine="480" w:firstLineChars="200"/>
        <w:rPr>
          <w:rFonts w:ascii="仿宋_GB2312" w:eastAsia="仿宋_GB2312"/>
          <w:sz w:val="24"/>
          <w:szCs w:val="24"/>
        </w:rPr>
      </w:pPr>
      <w:bookmarkStart w:id="18" w:name="_Toc462564067"/>
      <w:bookmarkStart w:id="19" w:name="_Toc513029207"/>
      <w:bookmarkStart w:id="20" w:name="_Toc16938523"/>
      <w:bookmarkStart w:id="21" w:name="_Toc20823279"/>
      <w:r>
        <w:rPr>
          <w:rFonts w:hint="eastAsia" w:ascii="仿宋_GB2312" w:eastAsia="仿宋_GB2312"/>
          <w:sz w:val="24"/>
          <w:szCs w:val="24"/>
        </w:rPr>
        <w:t>5.磋商费用</w:t>
      </w:r>
      <w:bookmarkEnd w:id="18"/>
      <w:bookmarkEnd w:id="19"/>
      <w:bookmarkEnd w:id="20"/>
      <w:bookmarkEnd w:id="21"/>
    </w:p>
    <w:p>
      <w:pPr>
        <w:pStyle w:val="32"/>
        <w:snapToGrid w:val="0"/>
        <w:rPr>
          <w:rFonts w:ascii="仿宋_GB2312" w:hAnsi="宋体" w:eastAsia="仿宋_GB2312"/>
          <w:sz w:val="24"/>
          <w:szCs w:val="24"/>
        </w:rPr>
      </w:pPr>
      <w:r>
        <w:rPr>
          <w:rFonts w:hint="eastAsia" w:ascii="仿宋_GB2312" w:hAnsi="宋体" w:eastAsia="仿宋_GB2312"/>
          <w:sz w:val="24"/>
          <w:szCs w:val="24"/>
        </w:rPr>
        <w:t>（1）供应商应自行承担所有与参加</w:t>
      </w:r>
      <w:r>
        <w:rPr>
          <w:rFonts w:hint="eastAsia" w:ascii="仿宋_GB2312" w:eastAsia="仿宋_GB2312"/>
          <w:sz w:val="24"/>
          <w:szCs w:val="24"/>
        </w:rPr>
        <w:t>磋商</w:t>
      </w:r>
      <w:r>
        <w:rPr>
          <w:rFonts w:hint="eastAsia" w:ascii="仿宋_GB2312" w:hAnsi="宋体" w:eastAsia="仿宋_GB2312"/>
          <w:sz w:val="24"/>
          <w:szCs w:val="24"/>
        </w:rPr>
        <w:t>有关的费用，无论</w:t>
      </w:r>
      <w:r>
        <w:rPr>
          <w:rFonts w:hint="eastAsia" w:ascii="仿宋_GB2312" w:eastAsia="仿宋_GB2312"/>
          <w:sz w:val="24"/>
          <w:szCs w:val="24"/>
        </w:rPr>
        <w:t>磋商</w:t>
      </w:r>
      <w:r>
        <w:rPr>
          <w:rFonts w:hint="eastAsia" w:ascii="仿宋_GB2312" w:hAnsi="宋体" w:eastAsia="仿宋_GB2312"/>
          <w:sz w:val="24"/>
          <w:szCs w:val="24"/>
        </w:rPr>
        <w:t>过程中的做法和结果如何，采购人在任何情况下均无义务和责任承担这些费用。</w:t>
      </w:r>
    </w:p>
    <w:p>
      <w:pPr>
        <w:pStyle w:val="32"/>
        <w:snapToGrid w:val="0"/>
        <w:rPr>
          <w:rFonts w:ascii="仿宋_GB2312" w:hAnsi="宋体" w:eastAsia="仿宋_GB2312"/>
          <w:sz w:val="24"/>
          <w:szCs w:val="24"/>
        </w:rPr>
      </w:pPr>
      <w:r>
        <w:rPr>
          <w:rFonts w:hint="eastAsia" w:ascii="仿宋_GB2312" w:hAnsi="宋体" w:eastAsia="仿宋_GB2312"/>
          <w:sz w:val="24"/>
          <w:szCs w:val="24"/>
        </w:rPr>
        <w:t>（2）本次磋商采购人不收取文件工本费与成交服务费。</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6.磋商文件的约束力</w:t>
      </w:r>
    </w:p>
    <w:p>
      <w:pPr>
        <w:pStyle w:val="32"/>
        <w:snapToGrid w:val="0"/>
        <w:rPr>
          <w:rFonts w:ascii="仿宋_GB2312" w:hAnsi="宋体" w:eastAsia="仿宋_GB2312"/>
          <w:sz w:val="24"/>
          <w:szCs w:val="24"/>
        </w:rPr>
      </w:pPr>
      <w:r>
        <w:rPr>
          <w:rFonts w:hint="eastAsia" w:ascii="仿宋_GB2312" w:hAnsi="宋体" w:eastAsia="仿宋_GB2312"/>
          <w:sz w:val="24"/>
          <w:szCs w:val="24"/>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360" w:lineRule="auto"/>
        <w:ind w:firstLine="480" w:firstLineChars="200"/>
        <w:rPr>
          <w:rFonts w:ascii="仿宋_GB2312" w:hAnsi="宋体" w:eastAsia="仿宋_GB2312"/>
          <w:sz w:val="24"/>
          <w:szCs w:val="24"/>
        </w:rPr>
      </w:pPr>
      <w:bookmarkStart w:id="22" w:name="_Toc120614215"/>
      <w:bookmarkStart w:id="23" w:name="_Toc20823281"/>
      <w:bookmarkStart w:id="24" w:name="_Toc513029209"/>
      <w:bookmarkStart w:id="25" w:name="_Toc16938525"/>
      <w:bookmarkStart w:id="26" w:name="_Toc403987206"/>
      <w:r>
        <w:rPr>
          <w:rFonts w:hint="eastAsia" w:ascii="仿宋_GB2312" w:hAnsi="宋体" w:eastAsia="仿宋_GB2312"/>
          <w:sz w:val="24"/>
          <w:szCs w:val="24"/>
        </w:rPr>
        <w:t>（二）磋商文件</w:t>
      </w:r>
      <w:bookmarkEnd w:id="22"/>
      <w:bookmarkEnd w:id="23"/>
      <w:bookmarkEnd w:id="24"/>
      <w:bookmarkEnd w:id="25"/>
      <w:bookmarkEnd w:id="26"/>
    </w:p>
    <w:p>
      <w:pPr>
        <w:adjustRightInd w:val="0"/>
        <w:snapToGrid w:val="0"/>
        <w:spacing w:line="360" w:lineRule="auto"/>
        <w:ind w:firstLine="480" w:firstLineChars="200"/>
        <w:rPr>
          <w:rFonts w:ascii="仿宋_GB2312" w:eastAsia="仿宋_GB2312"/>
          <w:sz w:val="24"/>
          <w:szCs w:val="24"/>
        </w:rPr>
      </w:pPr>
      <w:bookmarkStart w:id="27" w:name="_Toc513029210"/>
      <w:bookmarkStart w:id="28" w:name="_Toc20823282"/>
      <w:bookmarkStart w:id="29" w:name="_Toc16938526"/>
      <w:r>
        <w:rPr>
          <w:rFonts w:hint="eastAsia" w:ascii="仿宋_GB2312" w:eastAsia="仿宋_GB2312"/>
          <w:sz w:val="24"/>
          <w:szCs w:val="24"/>
        </w:rPr>
        <w:t>1.磋商文件构成</w:t>
      </w:r>
      <w:bookmarkEnd w:id="27"/>
      <w:bookmarkEnd w:id="28"/>
      <w:bookmarkEnd w:id="29"/>
    </w:p>
    <w:p>
      <w:pPr>
        <w:pStyle w:val="32"/>
        <w:snapToGrid w:val="0"/>
        <w:rPr>
          <w:rFonts w:ascii="仿宋_GB2312" w:hAnsi="宋体" w:eastAsia="仿宋_GB2312"/>
          <w:sz w:val="24"/>
          <w:szCs w:val="24"/>
        </w:rPr>
      </w:pPr>
      <w:r>
        <w:rPr>
          <w:rFonts w:hint="eastAsia" w:ascii="仿宋_GB2312" w:hAnsi="宋体" w:eastAsia="仿宋_GB2312"/>
          <w:sz w:val="24"/>
          <w:szCs w:val="24"/>
        </w:rPr>
        <w:t>磋商文件有以下部分组成：</w:t>
      </w:r>
    </w:p>
    <w:p>
      <w:pPr>
        <w:pStyle w:val="32"/>
        <w:snapToGrid w:val="0"/>
        <w:rPr>
          <w:rFonts w:ascii="仿宋_GB2312" w:hAnsi="宋体" w:eastAsia="仿宋_GB2312"/>
          <w:sz w:val="24"/>
          <w:szCs w:val="24"/>
        </w:rPr>
      </w:pPr>
      <w:r>
        <w:rPr>
          <w:rFonts w:hint="eastAsia" w:ascii="仿宋_GB2312" w:hAnsi="宋体" w:eastAsia="仿宋_GB2312"/>
          <w:sz w:val="24"/>
          <w:szCs w:val="24"/>
        </w:rPr>
        <w:t>（1）磋商公告</w:t>
      </w:r>
    </w:p>
    <w:p>
      <w:pPr>
        <w:pStyle w:val="32"/>
        <w:snapToGrid w:val="0"/>
        <w:rPr>
          <w:rFonts w:ascii="仿宋_GB2312" w:hAnsi="宋体" w:eastAsia="仿宋_GB2312"/>
          <w:sz w:val="24"/>
          <w:szCs w:val="24"/>
        </w:rPr>
      </w:pPr>
      <w:r>
        <w:rPr>
          <w:rFonts w:hint="eastAsia" w:ascii="仿宋_GB2312" w:hAnsi="宋体" w:eastAsia="仿宋_GB2312"/>
          <w:sz w:val="24"/>
          <w:szCs w:val="24"/>
        </w:rPr>
        <w:t>（2）磋商须知前附表</w:t>
      </w:r>
    </w:p>
    <w:p>
      <w:pPr>
        <w:pStyle w:val="32"/>
        <w:snapToGrid w:val="0"/>
        <w:rPr>
          <w:rFonts w:ascii="仿宋_GB2312" w:hAnsi="宋体" w:eastAsia="仿宋_GB2312"/>
          <w:sz w:val="24"/>
          <w:szCs w:val="24"/>
        </w:rPr>
      </w:pPr>
      <w:r>
        <w:rPr>
          <w:rFonts w:hint="eastAsia" w:ascii="仿宋_GB2312" w:hAnsi="宋体" w:eastAsia="仿宋_GB2312"/>
          <w:sz w:val="24"/>
          <w:szCs w:val="24"/>
        </w:rPr>
        <w:t>（3）磋商须知</w:t>
      </w:r>
    </w:p>
    <w:p>
      <w:pPr>
        <w:pStyle w:val="32"/>
        <w:snapToGrid w:val="0"/>
        <w:rPr>
          <w:rFonts w:ascii="仿宋_GB2312" w:hAnsi="宋体" w:eastAsia="仿宋_GB2312"/>
          <w:sz w:val="24"/>
          <w:szCs w:val="24"/>
        </w:rPr>
      </w:pPr>
      <w:r>
        <w:rPr>
          <w:rFonts w:hint="eastAsia" w:ascii="仿宋_GB2312" w:hAnsi="宋体" w:eastAsia="仿宋_GB2312"/>
          <w:sz w:val="24"/>
          <w:szCs w:val="24"/>
        </w:rPr>
        <w:t>（4）合同主要条款</w:t>
      </w:r>
    </w:p>
    <w:p>
      <w:pPr>
        <w:pStyle w:val="32"/>
        <w:snapToGrid w:val="0"/>
        <w:rPr>
          <w:rFonts w:ascii="仿宋_GB2312" w:hAnsi="宋体" w:eastAsia="仿宋_GB2312"/>
          <w:sz w:val="24"/>
          <w:szCs w:val="24"/>
        </w:rPr>
      </w:pPr>
      <w:r>
        <w:rPr>
          <w:rFonts w:hint="eastAsia" w:ascii="仿宋_GB2312" w:hAnsi="宋体" w:eastAsia="仿宋_GB2312"/>
          <w:sz w:val="24"/>
          <w:szCs w:val="24"/>
        </w:rPr>
        <w:t>（5）项目需求</w:t>
      </w:r>
    </w:p>
    <w:p>
      <w:pPr>
        <w:pStyle w:val="32"/>
        <w:snapToGrid w:val="0"/>
        <w:rPr>
          <w:rFonts w:ascii="仿宋_GB2312" w:hAnsi="宋体" w:eastAsia="仿宋_GB2312"/>
          <w:sz w:val="24"/>
          <w:szCs w:val="24"/>
        </w:rPr>
      </w:pPr>
      <w:r>
        <w:rPr>
          <w:rFonts w:hint="eastAsia" w:ascii="仿宋_GB2312" w:hAnsi="宋体" w:eastAsia="仿宋_GB2312"/>
          <w:sz w:val="24"/>
          <w:szCs w:val="24"/>
        </w:rPr>
        <w:t>（6）评审标准</w:t>
      </w:r>
    </w:p>
    <w:p>
      <w:pPr>
        <w:pStyle w:val="32"/>
        <w:snapToGrid w:val="0"/>
        <w:rPr>
          <w:rFonts w:ascii="仿宋_GB2312" w:hAnsi="宋体" w:eastAsia="仿宋_GB2312"/>
          <w:sz w:val="24"/>
          <w:szCs w:val="24"/>
        </w:rPr>
      </w:pPr>
      <w:r>
        <w:rPr>
          <w:rFonts w:hint="eastAsia" w:ascii="仿宋_GB2312" w:hAnsi="宋体" w:eastAsia="仿宋_GB2312"/>
          <w:sz w:val="24"/>
          <w:szCs w:val="24"/>
        </w:rPr>
        <w:t>（7）响应文件格式</w:t>
      </w:r>
    </w:p>
    <w:p>
      <w:pPr>
        <w:adjustRightInd w:val="0"/>
        <w:snapToGrid w:val="0"/>
        <w:spacing w:line="360" w:lineRule="auto"/>
        <w:ind w:firstLine="480" w:firstLineChars="200"/>
        <w:rPr>
          <w:rFonts w:ascii="仿宋_GB2312" w:eastAsia="仿宋_GB2312"/>
          <w:sz w:val="24"/>
          <w:szCs w:val="24"/>
        </w:rPr>
      </w:pPr>
      <w:bookmarkStart w:id="30" w:name="_Toc16938527"/>
      <w:bookmarkStart w:id="31" w:name="_Toc513029211"/>
      <w:bookmarkStart w:id="32" w:name="_Toc20823283"/>
      <w:bookmarkStart w:id="33" w:name="_Toc462564070"/>
      <w:r>
        <w:rPr>
          <w:rFonts w:hint="eastAsia" w:ascii="仿宋_GB2312" w:eastAsia="仿宋_GB2312"/>
          <w:sz w:val="24"/>
          <w:szCs w:val="24"/>
        </w:rPr>
        <w:t>2.磋商文件的澄清</w:t>
      </w:r>
      <w:bookmarkEnd w:id="30"/>
      <w:bookmarkEnd w:id="31"/>
      <w:bookmarkEnd w:id="32"/>
      <w:bookmarkEnd w:id="33"/>
      <w:r>
        <w:rPr>
          <w:rFonts w:hint="eastAsia" w:ascii="仿宋_GB2312" w:eastAsia="仿宋_GB2312"/>
          <w:sz w:val="24"/>
          <w:szCs w:val="24"/>
        </w:rPr>
        <w:t>及修改</w:t>
      </w:r>
    </w:p>
    <w:p>
      <w:pPr>
        <w:pStyle w:val="32"/>
        <w:snapToGrid w:val="0"/>
        <w:rPr>
          <w:rFonts w:ascii="仿宋_GB2312" w:hAnsi="宋体" w:eastAsia="仿宋_GB2312"/>
          <w:sz w:val="24"/>
          <w:szCs w:val="24"/>
        </w:rPr>
      </w:pPr>
      <w:r>
        <w:rPr>
          <w:rFonts w:hint="eastAsia" w:ascii="仿宋_GB2312" w:hAnsi="宋体" w:eastAsia="仿宋_GB2312"/>
          <w:sz w:val="24"/>
          <w:szCs w:val="24"/>
        </w:rPr>
        <w:t>（1）任何要求对磋商文件进行澄清的供应商，均应在提交首次响应文件截止时间5日前按磋商公告中的通讯地址，以书面形式通知采购联系人，未在约定时间内对磋商文件提出质疑或其他要求的，视为对磋商文件无异议，我校不再接受任何对磋商文件的质疑或其他要求。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360" w:lineRule="auto"/>
        <w:ind w:firstLine="480" w:firstLineChars="200"/>
        <w:rPr>
          <w:rFonts w:ascii="仿宋_GB2312" w:hAnsi="宋体" w:eastAsia="仿宋_GB2312"/>
          <w:sz w:val="24"/>
          <w:szCs w:val="24"/>
        </w:rPr>
      </w:pPr>
      <w:bookmarkStart w:id="34" w:name="_Toc16938529"/>
      <w:bookmarkStart w:id="35" w:name="_Toc120614216"/>
      <w:bookmarkStart w:id="36" w:name="_Toc20823285"/>
      <w:bookmarkStart w:id="37" w:name="_Toc462564072"/>
      <w:bookmarkStart w:id="38" w:name="_Toc513029213"/>
      <w:bookmarkStart w:id="39" w:name="_Toc403987207"/>
      <w:r>
        <w:rPr>
          <w:rFonts w:hint="eastAsia" w:ascii="仿宋_GB2312" w:hAnsi="宋体" w:eastAsia="仿宋_GB2312"/>
          <w:sz w:val="24"/>
          <w:szCs w:val="24"/>
        </w:rPr>
        <w:t>（三）响应文件的递交及编制</w:t>
      </w:r>
      <w:bookmarkEnd w:id="34"/>
      <w:bookmarkEnd w:id="35"/>
      <w:bookmarkEnd w:id="36"/>
      <w:bookmarkEnd w:id="37"/>
      <w:bookmarkEnd w:id="38"/>
      <w:bookmarkEnd w:id="39"/>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2.供应商应当按照磋商文件的要求编制响应文件，并</w:t>
      </w:r>
      <w:bookmarkStart w:id="40" w:name="我"/>
      <w:bookmarkEnd w:id="40"/>
      <w:r>
        <w:rPr>
          <w:rFonts w:hint="eastAsia" w:ascii="仿宋_GB2312" w:eastAsia="仿宋_GB2312"/>
          <w:sz w:val="24"/>
          <w:szCs w:val="24"/>
        </w:rPr>
        <w:t>对其提交的响应文件的真实性、合法性承担法律责任。</w:t>
      </w:r>
    </w:p>
    <w:p>
      <w:pPr>
        <w:adjustRightInd w:val="0"/>
        <w:snapToGrid w:val="0"/>
        <w:spacing w:line="360" w:lineRule="auto"/>
        <w:ind w:firstLine="480" w:firstLineChars="200"/>
        <w:rPr>
          <w:rFonts w:ascii="仿宋_GB2312" w:eastAsia="仿宋_GB2312"/>
          <w:sz w:val="24"/>
          <w:szCs w:val="24"/>
        </w:rPr>
      </w:pPr>
      <w:bookmarkStart w:id="41" w:name="_Toc462564073"/>
      <w:bookmarkStart w:id="42" w:name="_Toc16938530"/>
      <w:bookmarkStart w:id="43" w:name="_Toc513029214"/>
      <w:bookmarkStart w:id="44" w:name="_Toc20823286"/>
      <w:r>
        <w:rPr>
          <w:rFonts w:hint="eastAsia" w:ascii="仿宋_GB2312" w:eastAsia="仿宋_GB2312"/>
          <w:sz w:val="24"/>
          <w:szCs w:val="24"/>
        </w:rPr>
        <w:t>3.响应文件的语言及度量衡单位</w:t>
      </w:r>
      <w:bookmarkEnd w:id="41"/>
      <w:bookmarkEnd w:id="42"/>
      <w:bookmarkEnd w:id="43"/>
      <w:bookmarkEnd w:id="44"/>
    </w:p>
    <w:p>
      <w:pPr>
        <w:pStyle w:val="32"/>
        <w:snapToGrid w:val="0"/>
        <w:rPr>
          <w:rFonts w:ascii="仿宋_GB2312" w:hAnsi="宋体" w:eastAsia="仿宋_GB2312"/>
          <w:sz w:val="24"/>
          <w:szCs w:val="24"/>
        </w:rPr>
      </w:pPr>
      <w:r>
        <w:rPr>
          <w:rFonts w:hint="eastAsia" w:ascii="仿宋_GB2312" w:hAnsi="宋体" w:eastAsia="仿宋_GB2312"/>
          <w:sz w:val="24"/>
          <w:szCs w:val="24"/>
        </w:rPr>
        <w:t>（1）供应商提交的响应文件以及供应商与我校就有关磋商的所有来往通知、函件和文件均应使用</w:t>
      </w:r>
      <w:r>
        <w:rPr>
          <w:rFonts w:hint="eastAsia" w:ascii="仿宋_GB2312" w:hAnsi="宋体" w:eastAsia="仿宋_GB2312"/>
          <w:bCs/>
          <w:sz w:val="24"/>
          <w:szCs w:val="24"/>
        </w:rPr>
        <w:t>简体中文</w:t>
      </w:r>
      <w:r>
        <w:rPr>
          <w:rFonts w:hint="eastAsia" w:ascii="仿宋_GB2312" w:hAnsi="宋体" w:eastAsia="仿宋_GB2312"/>
          <w:sz w:val="24"/>
          <w:szCs w:val="24"/>
        </w:rPr>
        <w:t>。</w:t>
      </w:r>
    </w:p>
    <w:p>
      <w:pPr>
        <w:pStyle w:val="32"/>
        <w:snapToGrid w:val="0"/>
        <w:rPr>
          <w:rFonts w:ascii="仿宋_GB2312" w:hAnsi="宋体" w:eastAsia="仿宋_GB2312"/>
          <w:sz w:val="24"/>
          <w:szCs w:val="24"/>
        </w:rPr>
      </w:pPr>
      <w:r>
        <w:rPr>
          <w:rFonts w:hint="eastAsia" w:ascii="仿宋_GB2312" w:hAnsi="宋体" w:eastAsia="仿宋_GB2312"/>
          <w:sz w:val="24"/>
          <w:szCs w:val="24"/>
        </w:rPr>
        <w:t>（2）除技术性能另有规定外，响应文件所使用的度量衡单位，均须采用国家法定计量单位。</w:t>
      </w:r>
    </w:p>
    <w:p>
      <w:pPr>
        <w:adjustRightInd w:val="0"/>
        <w:snapToGrid w:val="0"/>
        <w:spacing w:line="360" w:lineRule="auto"/>
        <w:ind w:firstLine="480" w:firstLineChars="200"/>
        <w:rPr>
          <w:rFonts w:ascii="仿宋_GB2312" w:eastAsia="仿宋_GB2312"/>
          <w:sz w:val="24"/>
          <w:szCs w:val="24"/>
        </w:rPr>
      </w:pPr>
      <w:bookmarkStart w:id="45" w:name="_Toc20823287"/>
      <w:bookmarkStart w:id="46" w:name="_Toc462564074"/>
      <w:bookmarkStart w:id="47" w:name="_Toc513029215"/>
      <w:bookmarkStart w:id="48" w:name="_Toc16938531"/>
      <w:r>
        <w:rPr>
          <w:rFonts w:hint="eastAsia" w:ascii="仿宋_GB2312" w:eastAsia="仿宋_GB2312"/>
          <w:sz w:val="24"/>
          <w:szCs w:val="24"/>
        </w:rPr>
        <w:t>4.响应文件构成</w:t>
      </w:r>
      <w:bookmarkEnd w:id="45"/>
      <w:bookmarkEnd w:id="46"/>
      <w:bookmarkEnd w:id="47"/>
      <w:bookmarkEnd w:id="48"/>
    </w:p>
    <w:p>
      <w:pPr>
        <w:pStyle w:val="32"/>
        <w:snapToGrid w:val="0"/>
        <w:rPr>
          <w:rFonts w:ascii="仿宋_GB2312" w:hAnsi="宋体" w:eastAsia="仿宋_GB2312"/>
          <w:sz w:val="24"/>
          <w:szCs w:val="24"/>
        </w:rPr>
      </w:pPr>
      <w:r>
        <w:rPr>
          <w:rFonts w:hint="eastAsia" w:ascii="仿宋_GB2312" w:hAnsi="宋体" w:eastAsia="仿宋_GB2312"/>
          <w:sz w:val="24"/>
          <w:szCs w:val="24"/>
        </w:rPr>
        <w:t>（1）供应商应该按照磋商文件的要求编写响应文件应。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（2）供应商应将响应文件按顺序装订成册，并编制响应文件资料目录。</w:t>
      </w:r>
    </w:p>
    <w:p>
      <w:pPr>
        <w:adjustRightInd w:val="0"/>
        <w:snapToGrid w:val="0"/>
        <w:spacing w:line="360" w:lineRule="auto"/>
        <w:ind w:firstLine="480" w:firstLineChars="200"/>
        <w:rPr>
          <w:rFonts w:ascii="仿宋_GB2312" w:eastAsia="仿宋_GB2312"/>
          <w:sz w:val="24"/>
          <w:szCs w:val="24"/>
        </w:rPr>
      </w:pPr>
      <w:bookmarkStart w:id="49" w:name="_Hlt26670360"/>
      <w:bookmarkEnd w:id="49"/>
      <w:bookmarkStart w:id="50" w:name="_Hlt26668975"/>
      <w:bookmarkEnd w:id="50"/>
      <w:bookmarkStart w:id="51" w:name="_Hlt26954838"/>
      <w:bookmarkEnd w:id="51"/>
      <w:bookmarkStart w:id="52" w:name="_Toc49090509"/>
      <w:bookmarkStart w:id="53" w:name="_Toc513029219"/>
      <w:bookmarkStart w:id="54" w:name="_Toc14577357"/>
      <w:bookmarkStart w:id="55" w:name="_Toc14577354"/>
      <w:bookmarkStart w:id="56" w:name="_Toc49090507"/>
      <w:bookmarkStart w:id="57" w:name="_Toc513029216"/>
      <w:r>
        <w:rPr>
          <w:rFonts w:hint="eastAsia" w:ascii="仿宋_GB2312" w:eastAsia="仿宋_GB2312"/>
          <w:sz w:val="24"/>
          <w:szCs w:val="24"/>
        </w:rPr>
        <w:t>5.证明供应商资格及符合磋商文件规定的文件</w:t>
      </w:r>
      <w:bookmarkEnd w:id="52"/>
      <w:bookmarkEnd w:id="53"/>
      <w:bookmarkEnd w:id="54"/>
    </w:p>
    <w:p>
      <w:pPr>
        <w:pStyle w:val="32"/>
        <w:snapToGrid w:val="0"/>
        <w:rPr>
          <w:rFonts w:ascii="仿宋_GB2312" w:hAnsi="宋体" w:eastAsia="仿宋_GB2312"/>
          <w:sz w:val="24"/>
          <w:szCs w:val="24"/>
        </w:rPr>
      </w:pPr>
      <w:bookmarkStart w:id="58" w:name="_Hlt26668999"/>
      <w:bookmarkEnd w:id="58"/>
      <w:r>
        <w:rPr>
          <w:rFonts w:hint="eastAsia" w:ascii="仿宋_GB2312" w:hAnsi="宋体" w:eastAsia="仿宋_GB2312"/>
          <w:sz w:val="24"/>
          <w:szCs w:val="24"/>
        </w:rPr>
        <w:t>（1）供应商应按要求提交资格证明文件及符合磋商文件规定的文件。</w:t>
      </w:r>
    </w:p>
    <w:p>
      <w:pPr>
        <w:pStyle w:val="32"/>
        <w:snapToGrid w:val="0"/>
        <w:rPr>
          <w:rFonts w:ascii="仿宋_GB2312" w:hAnsi="宋体" w:eastAsia="仿宋_GB2312"/>
          <w:sz w:val="24"/>
          <w:szCs w:val="24"/>
        </w:rPr>
      </w:pPr>
      <w:r>
        <w:rPr>
          <w:rFonts w:hint="eastAsia" w:ascii="仿宋_GB2312" w:hAnsi="宋体" w:eastAsia="仿宋_GB2312"/>
          <w:sz w:val="24"/>
          <w:szCs w:val="24"/>
        </w:rPr>
        <w:t>（2）供应商除必须具有履行合同所需提供的货物以及服务的能力外，还必须具备相应的财务、技术方面的能力。</w:t>
      </w:r>
    </w:p>
    <w:bookmarkEnd w:id="55"/>
    <w:bookmarkEnd w:id="56"/>
    <w:bookmarkEnd w:id="57"/>
    <w:p>
      <w:pPr>
        <w:adjustRightInd w:val="0"/>
        <w:snapToGrid w:val="0"/>
        <w:spacing w:line="360" w:lineRule="auto"/>
        <w:ind w:firstLine="480" w:firstLineChars="200"/>
        <w:rPr>
          <w:rFonts w:ascii="仿宋_GB2312" w:eastAsia="仿宋_GB2312"/>
          <w:sz w:val="24"/>
          <w:szCs w:val="24"/>
        </w:rPr>
      </w:pPr>
      <w:bookmarkStart w:id="59" w:name="_Toc14577355"/>
      <w:bookmarkStart w:id="60" w:name="_Toc49090508"/>
      <w:r>
        <w:rPr>
          <w:rFonts w:hint="eastAsia" w:ascii="仿宋_GB2312" w:eastAsia="仿宋_GB2312"/>
          <w:sz w:val="24"/>
          <w:szCs w:val="24"/>
        </w:rPr>
        <w:t>6.报价</w:t>
      </w:r>
      <w:bookmarkEnd w:id="59"/>
      <w:bookmarkStart w:id="61" w:name="_Hlt26670373"/>
      <w:bookmarkEnd w:id="61"/>
      <w:r>
        <w:rPr>
          <w:rFonts w:hint="eastAsia" w:ascii="仿宋_GB2312" w:eastAsia="仿宋_GB2312"/>
          <w:sz w:val="24"/>
          <w:szCs w:val="24"/>
        </w:rPr>
        <w:t>明细表</w:t>
      </w:r>
      <w:bookmarkEnd w:id="60"/>
    </w:p>
    <w:p>
      <w:pPr>
        <w:adjustRightInd w:val="0"/>
        <w:snapToGrid w:val="0"/>
        <w:spacing w:line="360" w:lineRule="auto"/>
        <w:ind w:firstLine="480" w:firstLineChars="200"/>
        <w:rPr>
          <w:rFonts w:ascii="仿宋_GB2312" w:eastAsia="仿宋_GB2312"/>
          <w:bCs/>
          <w:sz w:val="24"/>
          <w:szCs w:val="24"/>
        </w:rPr>
      </w:pPr>
      <w:r>
        <w:rPr>
          <w:rFonts w:hint="eastAsia" w:ascii="仿宋_GB2312" w:eastAsia="仿宋_GB2312"/>
          <w:sz w:val="24"/>
          <w:szCs w:val="24"/>
        </w:rPr>
        <w:t>（1）供应商应按照磋商文件规定格式填报报价</w:t>
      </w:r>
      <w:bookmarkStart w:id="62" w:name="_Hlt26670399"/>
      <w:bookmarkEnd w:id="62"/>
      <w:r>
        <w:rPr>
          <w:rFonts w:hint="eastAsia" w:ascii="仿宋_GB2312" w:eastAsia="仿宋_GB2312"/>
          <w:sz w:val="24"/>
          <w:szCs w:val="24"/>
        </w:rPr>
        <w:t>费率。每项费用只允许有一个报价，任何有选择的报价将不予接受。（如有）</w:t>
      </w:r>
    </w:p>
    <w:p>
      <w:pPr>
        <w:pStyle w:val="32"/>
        <w:snapToGrid w:val="0"/>
        <w:rPr>
          <w:rFonts w:ascii="仿宋_GB2312" w:hAnsi="宋体" w:eastAsia="仿宋_GB2312"/>
          <w:sz w:val="24"/>
          <w:szCs w:val="24"/>
        </w:rPr>
      </w:pPr>
      <w:r>
        <w:rPr>
          <w:rFonts w:hint="eastAsia" w:ascii="仿宋_GB2312" w:hAnsi="宋体" w:eastAsia="仿宋_GB2312"/>
          <w:bCs/>
          <w:sz w:val="24"/>
          <w:szCs w:val="24"/>
        </w:rPr>
        <w:t>（2）</w:t>
      </w:r>
      <w:r>
        <w:rPr>
          <w:rFonts w:hint="eastAsia" w:ascii="仿宋_GB2312" w:hAnsi="宋体" w:eastAsia="仿宋_GB2312"/>
          <w:sz w:val="24"/>
          <w:szCs w:val="24"/>
        </w:rPr>
        <w:t>磋商报价</w:t>
      </w:r>
      <w:r>
        <w:rPr>
          <w:rFonts w:hint="eastAsia" w:ascii="仿宋_GB2312" w:hAnsi="宋体" w:eastAsia="仿宋_GB2312"/>
          <w:spacing w:val="-6"/>
          <w:sz w:val="24"/>
          <w:szCs w:val="24"/>
        </w:rPr>
        <w:t>应包括</w:t>
      </w:r>
      <w:r>
        <w:rPr>
          <w:rFonts w:hint="eastAsia" w:ascii="仿宋_GB2312" w:hAnsi="宋体" w:eastAsia="仿宋_GB2312"/>
          <w:sz w:val="24"/>
          <w:szCs w:val="24"/>
        </w:rPr>
        <w:t>所需人工费、材料费、其他（保险费，以及合同明示或暗示的风险、责任和义务等）费，以及管理费、利润和规费、税金等一切费用。</w:t>
      </w:r>
    </w:p>
    <w:p>
      <w:pPr>
        <w:pStyle w:val="32"/>
        <w:snapToGrid w:val="0"/>
        <w:ind w:firstLine="482"/>
        <w:rPr>
          <w:rFonts w:ascii="仿宋_GB2312" w:hAnsi="宋体" w:eastAsia="仿宋_GB2312"/>
          <w:bCs/>
          <w:sz w:val="24"/>
          <w:szCs w:val="24"/>
        </w:rPr>
      </w:pPr>
      <w:r>
        <w:rPr>
          <w:rFonts w:hint="eastAsia" w:ascii="仿宋_GB2312" w:hAnsi="宋体" w:eastAsia="仿宋_GB2312"/>
          <w:b/>
          <w:sz w:val="24"/>
          <w:szCs w:val="24"/>
        </w:rPr>
        <w:t>最终报价一经确定不得更改，且不受市场价格波动影响。</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（3）其它费用处理</w:t>
      </w:r>
    </w:p>
    <w:p>
      <w:pPr>
        <w:pStyle w:val="32"/>
        <w:snapToGrid w:val="0"/>
        <w:rPr>
          <w:rFonts w:ascii="仿宋_GB2312" w:hAnsi="宋体" w:eastAsia="仿宋_GB2312"/>
          <w:sz w:val="24"/>
          <w:szCs w:val="24"/>
        </w:rPr>
      </w:pPr>
      <w:r>
        <w:rPr>
          <w:rFonts w:hint="eastAsia" w:ascii="仿宋_GB2312" w:hAnsi="宋体" w:eastAsia="仿宋_GB2312"/>
          <w:sz w:val="24"/>
          <w:szCs w:val="24"/>
        </w:rPr>
        <w:t>磋商文件未列明，而供应商认为必需的费用也需列入报价。</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7.响应文件货币</w:t>
      </w:r>
    </w:p>
    <w:p>
      <w:pPr>
        <w:pStyle w:val="32"/>
        <w:snapToGrid w:val="0"/>
        <w:rPr>
          <w:rFonts w:ascii="仿宋_GB2312" w:hAnsi="宋体" w:eastAsia="仿宋_GB2312"/>
          <w:sz w:val="24"/>
          <w:szCs w:val="24"/>
        </w:rPr>
      </w:pPr>
      <w:r>
        <w:rPr>
          <w:rFonts w:hint="eastAsia" w:ascii="仿宋_GB2312" w:hAnsi="宋体" w:eastAsia="仿宋_GB2312"/>
          <w:sz w:val="24"/>
          <w:szCs w:val="24"/>
        </w:rPr>
        <w:t>响应文件中的货物单价和总价无特殊规定的采用人民币报价。磋商文件中另有规定的按规定执行。</w:t>
      </w:r>
    </w:p>
    <w:p>
      <w:pPr>
        <w:adjustRightInd w:val="0"/>
        <w:snapToGrid w:val="0"/>
        <w:spacing w:line="360" w:lineRule="auto"/>
        <w:ind w:firstLine="480" w:firstLineChars="200"/>
        <w:rPr>
          <w:rFonts w:ascii="仿宋_GB2312" w:eastAsia="仿宋_GB2312"/>
          <w:sz w:val="24"/>
          <w:szCs w:val="24"/>
        </w:rPr>
      </w:pPr>
      <w:bookmarkStart w:id="63" w:name="_Hlt26954731"/>
      <w:bookmarkEnd w:id="63"/>
      <w:bookmarkStart w:id="64" w:name="_Hlt26954852"/>
      <w:bookmarkEnd w:id="64"/>
      <w:bookmarkStart w:id="65" w:name="_Hlt26670482"/>
      <w:bookmarkEnd w:id="65"/>
      <w:bookmarkStart w:id="66" w:name="_Hlt26954848"/>
      <w:bookmarkEnd w:id="66"/>
      <w:bookmarkStart w:id="67" w:name="_Hlt26954739"/>
      <w:bookmarkEnd w:id="67"/>
      <w:bookmarkStart w:id="68" w:name="_Hlt26670486"/>
      <w:bookmarkEnd w:id="68"/>
      <w:bookmarkStart w:id="69" w:name="_Hlt26954846"/>
      <w:bookmarkEnd w:id="69"/>
      <w:bookmarkStart w:id="70" w:name="_Toc14577361"/>
      <w:bookmarkStart w:id="71" w:name="_Toc49090512"/>
      <w:r>
        <w:rPr>
          <w:rFonts w:hint="eastAsia" w:ascii="仿宋_GB2312" w:eastAsia="仿宋_GB2312"/>
          <w:sz w:val="24"/>
          <w:szCs w:val="24"/>
          <w:lang w:val="en-US" w:eastAsia="zh-CN"/>
        </w:rPr>
        <w:t>8</w:t>
      </w:r>
      <w:r>
        <w:rPr>
          <w:rFonts w:hint="eastAsia" w:ascii="仿宋_GB2312" w:eastAsia="仿宋_GB2312"/>
          <w:sz w:val="24"/>
          <w:szCs w:val="24"/>
        </w:rPr>
        <w:t>.响应文件份数和签署</w:t>
      </w:r>
      <w:bookmarkEnd w:id="70"/>
      <w:bookmarkEnd w:id="71"/>
    </w:p>
    <w:p>
      <w:pPr>
        <w:pStyle w:val="32"/>
        <w:snapToGrid w:val="0"/>
        <w:rPr>
          <w:rFonts w:ascii="仿宋_GB2312" w:hAnsi="宋体" w:eastAsia="仿宋_GB2312"/>
          <w:sz w:val="24"/>
          <w:szCs w:val="24"/>
        </w:rPr>
      </w:pPr>
      <w:r>
        <w:rPr>
          <w:rFonts w:hint="eastAsia" w:ascii="仿宋_GB2312" w:hAnsi="宋体" w:eastAsia="仿宋_GB2312"/>
          <w:sz w:val="24"/>
          <w:szCs w:val="24"/>
        </w:rPr>
        <w:t>（1）供应商应严格按照磋商公告要求的份数准备响应文件，每份响应文件须清楚地标明“正本”或“副本”字样。一旦正本和副本不符，以正本为准。</w:t>
      </w:r>
    </w:p>
    <w:p>
      <w:pPr>
        <w:pStyle w:val="32"/>
        <w:snapToGrid w:val="0"/>
        <w:rPr>
          <w:rFonts w:ascii="仿宋_GB2312" w:hAnsi="宋体" w:eastAsia="仿宋_GB2312"/>
          <w:sz w:val="24"/>
          <w:szCs w:val="24"/>
        </w:rPr>
      </w:pPr>
      <w:r>
        <w:rPr>
          <w:rFonts w:hint="eastAsia" w:ascii="仿宋_GB2312" w:hAnsi="宋体" w:eastAsia="仿宋_GB2312"/>
          <w:sz w:val="24"/>
          <w:szCs w:val="24"/>
        </w:rPr>
        <w:t>（2）响应文件的正本和所有的副本均需打印或复印，正本由供应商法定代表人或其授权代表签字。授权代表须将“法人授权书”（原件）附在正本响应文件中。</w:t>
      </w:r>
    </w:p>
    <w:p>
      <w:pPr>
        <w:pStyle w:val="32"/>
        <w:snapToGrid w:val="0"/>
        <w:rPr>
          <w:rFonts w:ascii="仿宋_GB2312" w:hAnsi="宋体" w:eastAsia="仿宋_GB2312"/>
          <w:sz w:val="24"/>
          <w:szCs w:val="24"/>
        </w:rPr>
      </w:pPr>
      <w:r>
        <w:rPr>
          <w:rFonts w:hint="eastAsia" w:ascii="仿宋_GB2312" w:hAnsi="宋体" w:eastAsia="仿宋_GB2312"/>
          <w:sz w:val="24"/>
          <w:szCs w:val="24"/>
        </w:rPr>
        <w:t>（3）除供应商对错处做必要修改外，响应文件不得行间插字、涂改或增删。如有修改错漏处，必须由响应文件签署人签字或盖章。</w:t>
      </w:r>
    </w:p>
    <w:p>
      <w:pPr>
        <w:adjustRightInd w:val="0"/>
        <w:snapToGrid w:val="0"/>
        <w:spacing w:line="360" w:lineRule="auto"/>
        <w:ind w:firstLine="480" w:firstLineChars="200"/>
        <w:rPr>
          <w:rFonts w:ascii="仿宋_GB2312" w:hAnsi="宋体" w:eastAsia="仿宋_GB2312"/>
          <w:sz w:val="24"/>
          <w:szCs w:val="24"/>
        </w:rPr>
      </w:pPr>
      <w:bookmarkStart w:id="72" w:name="_Toc20823296"/>
      <w:bookmarkStart w:id="73" w:name="_Toc403987208"/>
      <w:bookmarkStart w:id="74" w:name="_Toc120614217"/>
      <w:bookmarkStart w:id="75" w:name="_Toc16938540"/>
      <w:bookmarkStart w:id="76" w:name="_Toc513029224"/>
      <w:r>
        <w:rPr>
          <w:rFonts w:hint="eastAsia" w:ascii="仿宋_GB2312" w:hAnsi="宋体" w:eastAsia="仿宋_GB2312"/>
          <w:sz w:val="24"/>
          <w:szCs w:val="24"/>
        </w:rPr>
        <w:t>（四）响应文件的递交</w:t>
      </w:r>
      <w:bookmarkEnd w:id="72"/>
      <w:bookmarkEnd w:id="73"/>
      <w:bookmarkEnd w:id="74"/>
      <w:bookmarkEnd w:id="75"/>
      <w:bookmarkEnd w:id="76"/>
    </w:p>
    <w:p>
      <w:pPr>
        <w:adjustRightInd w:val="0"/>
        <w:snapToGrid w:val="0"/>
        <w:spacing w:line="360" w:lineRule="auto"/>
        <w:ind w:firstLine="480" w:firstLineChars="200"/>
        <w:rPr>
          <w:rFonts w:ascii="仿宋_GB2312" w:eastAsia="仿宋_GB2312"/>
          <w:sz w:val="24"/>
          <w:szCs w:val="24"/>
        </w:rPr>
      </w:pPr>
      <w:bookmarkStart w:id="77" w:name="_Toc20823297"/>
      <w:bookmarkStart w:id="78" w:name="_Toc513029225"/>
      <w:bookmarkStart w:id="79" w:name="_Toc462564084"/>
      <w:bookmarkStart w:id="80" w:name="_Toc16938541"/>
      <w:r>
        <w:rPr>
          <w:rFonts w:hint="eastAsia" w:ascii="仿宋_GB2312" w:eastAsia="仿宋_GB2312"/>
          <w:sz w:val="24"/>
          <w:szCs w:val="24"/>
        </w:rPr>
        <w:t>1.响应文件的密封和标记</w:t>
      </w:r>
      <w:bookmarkEnd w:id="77"/>
      <w:bookmarkEnd w:id="78"/>
      <w:bookmarkEnd w:id="79"/>
      <w:bookmarkEnd w:id="80"/>
    </w:p>
    <w:p>
      <w:pPr>
        <w:pStyle w:val="32"/>
        <w:snapToGrid w:val="0"/>
        <w:rPr>
          <w:rFonts w:ascii="仿宋_GB2312" w:hAnsi="宋体" w:eastAsia="仿宋_GB2312"/>
          <w:sz w:val="24"/>
          <w:szCs w:val="24"/>
        </w:rPr>
      </w:pPr>
      <w:r>
        <w:rPr>
          <w:rFonts w:hint="eastAsia" w:ascii="仿宋_GB2312" w:hAnsi="宋体" w:eastAsia="仿宋_GB2312"/>
          <w:sz w:val="24"/>
          <w:szCs w:val="24"/>
        </w:rPr>
        <w:t>（1）供应商应将响应文件正本和所有副本密封，并加盖供应商公章。不论供应商成交与否，响应文件均不退回。</w:t>
      </w:r>
    </w:p>
    <w:p>
      <w:pPr>
        <w:pStyle w:val="32"/>
        <w:snapToGrid w:val="0"/>
        <w:rPr>
          <w:rFonts w:ascii="仿宋_GB2312" w:hAnsi="宋体" w:eastAsia="仿宋_GB2312"/>
          <w:sz w:val="24"/>
          <w:szCs w:val="24"/>
        </w:rPr>
      </w:pPr>
      <w:r>
        <w:rPr>
          <w:rFonts w:hint="eastAsia" w:ascii="仿宋_GB2312" w:hAnsi="宋体" w:eastAsia="仿宋_GB2312"/>
          <w:sz w:val="24"/>
          <w:szCs w:val="24"/>
        </w:rPr>
        <w:t>（2）密封的响应文件应：</w:t>
      </w:r>
    </w:p>
    <w:p>
      <w:pPr>
        <w:pStyle w:val="32"/>
        <w:snapToGrid w:val="0"/>
        <w:rPr>
          <w:rFonts w:ascii="仿宋_GB2312" w:hAnsi="宋体" w:eastAsia="仿宋_GB2312"/>
          <w:sz w:val="24"/>
          <w:szCs w:val="24"/>
        </w:rPr>
      </w:pPr>
      <w:r>
        <w:rPr>
          <w:rFonts w:hint="eastAsia" w:ascii="仿宋_GB2312" w:hAnsi="宋体" w:eastAsia="仿宋_GB2312"/>
          <w:sz w:val="24"/>
          <w:szCs w:val="24"/>
        </w:rPr>
        <w:t>1）注明供应商名称，如因标注不清而产生的后果由供应商自负。按磋商公告中注明的地址送达；</w:t>
      </w:r>
    </w:p>
    <w:p>
      <w:pPr>
        <w:pStyle w:val="32"/>
        <w:snapToGrid w:val="0"/>
        <w:rPr>
          <w:rFonts w:ascii="仿宋_GB2312" w:hAnsi="宋体" w:eastAsia="仿宋_GB2312"/>
          <w:sz w:val="24"/>
          <w:szCs w:val="24"/>
        </w:rPr>
      </w:pPr>
      <w:r>
        <w:rPr>
          <w:rFonts w:hint="eastAsia" w:ascii="仿宋_GB2312" w:hAnsi="宋体" w:eastAsia="仿宋_GB2312"/>
          <w:sz w:val="24"/>
          <w:szCs w:val="24"/>
        </w:rPr>
        <w:t>2）注明磋商项目名称、项目编号。</w:t>
      </w:r>
    </w:p>
    <w:p>
      <w:pPr>
        <w:pStyle w:val="32"/>
        <w:snapToGrid w:val="0"/>
        <w:rPr>
          <w:rFonts w:ascii="仿宋_GB2312" w:hAnsi="宋体" w:eastAsia="仿宋_GB2312"/>
          <w:sz w:val="24"/>
          <w:szCs w:val="24"/>
        </w:rPr>
      </w:pPr>
      <w:r>
        <w:rPr>
          <w:rFonts w:hint="eastAsia" w:ascii="仿宋_GB2312" w:hAnsi="宋体" w:eastAsia="仿宋_GB2312"/>
          <w:sz w:val="24"/>
          <w:szCs w:val="24"/>
        </w:rPr>
        <w:t>3）未按要求密封和加写标记，采购人对误投或过早启封概不负责。对由此造成提前开封的响应文件，采购人将予以拒绝，作无效响应处理。</w:t>
      </w:r>
    </w:p>
    <w:p>
      <w:pPr>
        <w:adjustRightInd w:val="0"/>
        <w:snapToGrid w:val="0"/>
        <w:spacing w:line="360" w:lineRule="auto"/>
        <w:ind w:firstLine="480" w:firstLineChars="200"/>
        <w:rPr>
          <w:rFonts w:ascii="仿宋_GB2312" w:eastAsia="仿宋_GB2312"/>
          <w:sz w:val="24"/>
          <w:szCs w:val="24"/>
        </w:rPr>
      </w:pPr>
      <w:bookmarkStart w:id="81" w:name="_Toc20823298"/>
      <w:bookmarkStart w:id="82" w:name="_Toc513029226"/>
      <w:bookmarkStart w:id="83" w:name="_Toc16938542"/>
      <w:r>
        <w:rPr>
          <w:rFonts w:hint="eastAsia" w:ascii="仿宋_GB2312" w:eastAsia="仿宋_GB2312"/>
          <w:sz w:val="24"/>
          <w:szCs w:val="24"/>
        </w:rPr>
        <w:t>2.响应文件提交截止</w:t>
      </w:r>
      <w:bookmarkEnd w:id="81"/>
      <w:bookmarkEnd w:id="82"/>
      <w:bookmarkEnd w:id="83"/>
      <w:r>
        <w:rPr>
          <w:rFonts w:hint="eastAsia" w:ascii="仿宋_GB2312" w:eastAsia="仿宋_GB2312"/>
          <w:sz w:val="24"/>
          <w:szCs w:val="24"/>
        </w:rPr>
        <w:t>时间</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（1）采购人收到响应文件的时间不得迟于磋商公告中规定的截止时间。</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360" w:lineRule="auto"/>
        <w:ind w:firstLine="480" w:firstLineChars="200"/>
        <w:rPr>
          <w:rFonts w:ascii="仿宋_GB2312" w:hAnsi="宋体" w:eastAsia="仿宋_GB2312"/>
          <w:sz w:val="24"/>
          <w:szCs w:val="24"/>
        </w:rPr>
      </w:pPr>
      <w:r>
        <w:rPr>
          <w:rFonts w:hint="eastAsia" w:ascii="仿宋_GB2312" w:hAnsi="宋体" w:eastAsia="仿宋_GB2312"/>
          <w:sz w:val="24"/>
          <w:szCs w:val="24"/>
        </w:rPr>
        <w:t>（五）磋商与评审</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1.磋商仪式</w:t>
      </w:r>
    </w:p>
    <w:p>
      <w:pPr>
        <w:pStyle w:val="32"/>
        <w:snapToGrid w:val="0"/>
        <w:rPr>
          <w:rFonts w:ascii="仿宋_GB2312" w:hAnsi="宋体" w:eastAsia="仿宋_GB2312"/>
          <w:sz w:val="24"/>
          <w:szCs w:val="24"/>
        </w:rPr>
      </w:pPr>
      <w:r>
        <w:rPr>
          <w:rFonts w:hint="eastAsia" w:ascii="仿宋_GB2312" w:hAnsi="宋体" w:eastAsia="仿宋_GB2312"/>
          <w:bCs/>
          <w:sz w:val="24"/>
          <w:szCs w:val="24"/>
        </w:rPr>
        <w:t>（1）采购人将在磋商公告中规定的时间和地点组织磋商</w:t>
      </w:r>
      <w:r>
        <w:rPr>
          <w:rFonts w:hint="eastAsia" w:ascii="仿宋_GB2312" w:hAnsi="宋体" w:eastAsia="仿宋_GB2312"/>
          <w:sz w:val="24"/>
          <w:szCs w:val="24"/>
        </w:rPr>
        <w:t>。供应商应委派携带有效证件的代表准时参加，参加磋商的代表需签名以证明其出席。</w:t>
      </w:r>
    </w:p>
    <w:p>
      <w:pPr>
        <w:pStyle w:val="32"/>
        <w:snapToGrid w:val="0"/>
        <w:rPr>
          <w:rFonts w:ascii="仿宋_GB2312" w:hAnsi="宋体" w:eastAsia="仿宋_GB2312"/>
          <w:sz w:val="24"/>
          <w:szCs w:val="24"/>
        </w:rPr>
      </w:pPr>
      <w:r>
        <w:rPr>
          <w:rFonts w:hint="eastAsia" w:ascii="仿宋_GB2312" w:hAnsi="宋体" w:eastAsia="仿宋_GB2312"/>
          <w:sz w:val="24"/>
          <w:szCs w:val="24"/>
        </w:rPr>
        <w:t>（2）磋商仪式由采购人代表主持，磋商领导小组成员、采购人代表、监督代表、供应商代表以及有关工作人员参加。</w:t>
      </w:r>
    </w:p>
    <w:p>
      <w:pPr>
        <w:pStyle w:val="32"/>
        <w:snapToGrid w:val="0"/>
        <w:rPr>
          <w:rFonts w:ascii="仿宋_GB2312" w:hAnsi="宋体" w:eastAsia="仿宋_GB2312"/>
          <w:sz w:val="24"/>
          <w:szCs w:val="24"/>
        </w:rPr>
      </w:pPr>
      <w:r>
        <w:rPr>
          <w:rFonts w:hint="eastAsia" w:ascii="仿宋_GB2312" w:hAnsi="宋体" w:eastAsia="仿宋_GB2312"/>
          <w:sz w:val="24"/>
          <w:szCs w:val="24"/>
        </w:rPr>
        <w:t>（3）磋商时请纪检监督人员查验响应文件密封情况，至响应文件开启时间后由磋商小组开启响应文件。</w:t>
      </w:r>
    </w:p>
    <w:p>
      <w:pPr>
        <w:adjustRightInd w:val="0"/>
        <w:snapToGrid w:val="0"/>
        <w:spacing w:line="360" w:lineRule="auto"/>
        <w:ind w:firstLine="480" w:firstLineChars="200"/>
        <w:rPr>
          <w:rFonts w:ascii="仿宋_GB2312" w:eastAsia="仿宋_GB2312"/>
          <w:sz w:val="24"/>
          <w:szCs w:val="24"/>
        </w:rPr>
      </w:pPr>
      <w:bookmarkStart w:id="84" w:name="_Toc16938547"/>
      <w:bookmarkStart w:id="85" w:name="_Toc20823303"/>
      <w:bookmarkStart w:id="86" w:name="_Toc513029231"/>
      <w:r>
        <w:rPr>
          <w:rFonts w:hint="eastAsia" w:ascii="仿宋_GB2312" w:eastAsia="仿宋_GB2312"/>
          <w:sz w:val="24"/>
          <w:szCs w:val="24"/>
        </w:rPr>
        <w:t>2.磋商小组</w:t>
      </w:r>
    </w:p>
    <w:p>
      <w:pPr>
        <w:pStyle w:val="32"/>
        <w:snapToGrid w:val="0"/>
        <w:rPr>
          <w:rFonts w:ascii="仿宋_GB2312" w:hAnsi="宋体" w:eastAsia="仿宋_GB2312"/>
          <w:sz w:val="24"/>
          <w:szCs w:val="24"/>
        </w:rPr>
      </w:pPr>
      <w:r>
        <w:rPr>
          <w:rFonts w:hint="eastAsia" w:ascii="仿宋_GB2312" w:hAnsi="宋体" w:eastAsia="仿宋_GB2312"/>
          <w:sz w:val="24"/>
          <w:szCs w:val="24"/>
        </w:rPr>
        <w:t>（1）磋商仪式结束后，采购人将立即组织磋商小组进行磋商。</w:t>
      </w:r>
    </w:p>
    <w:p>
      <w:pPr>
        <w:pStyle w:val="32"/>
        <w:snapToGrid w:val="0"/>
        <w:rPr>
          <w:rFonts w:ascii="仿宋_GB2312" w:hAnsi="宋体" w:eastAsia="仿宋_GB2312"/>
          <w:sz w:val="24"/>
          <w:szCs w:val="24"/>
        </w:rPr>
      </w:pPr>
      <w:r>
        <w:rPr>
          <w:rFonts w:hint="eastAsia" w:ascii="仿宋_GB2312" w:hAnsi="宋体" w:eastAsia="仿宋_GB2312"/>
          <w:sz w:val="24"/>
          <w:szCs w:val="24"/>
        </w:rPr>
        <w:t>（2）磋商小组将按规定由3人或以上单数组成。</w:t>
      </w:r>
    </w:p>
    <w:bookmarkEnd w:id="84"/>
    <w:bookmarkEnd w:id="85"/>
    <w:bookmarkEnd w:id="86"/>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（3）磋商小组工作原则</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3.响应文件审查</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360" w:lineRule="auto"/>
        <w:ind w:firstLine="480" w:firstLineChars="200"/>
        <w:rPr>
          <w:rFonts w:ascii="仿宋_GB2312" w:eastAsia="仿宋_GB2312"/>
          <w:sz w:val="24"/>
          <w:szCs w:val="24"/>
        </w:rPr>
      </w:pPr>
      <w:bookmarkStart w:id="87" w:name="_Toc16938548"/>
      <w:bookmarkStart w:id="88" w:name="_Toc20823304"/>
      <w:bookmarkStart w:id="89" w:name="_Toc513029232"/>
      <w:r>
        <w:rPr>
          <w:rFonts w:hint="eastAsia" w:ascii="仿宋_GB2312" w:eastAsia="仿宋_GB2312"/>
          <w:sz w:val="24"/>
          <w:szCs w:val="24"/>
        </w:rPr>
        <w:t>4.供应商澄清</w:t>
      </w:r>
      <w:bookmarkEnd w:id="87"/>
      <w:bookmarkEnd w:id="88"/>
      <w:bookmarkEnd w:id="89"/>
    </w:p>
    <w:p>
      <w:pPr>
        <w:adjustRightInd w:val="0"/>
        <w:snapToGrid w:val="0"/>
        <w:spacing w:line="360" w:lineRule="auto"/>
        <w:ind w:firstLine="480" w:firstLineChars="200"/>
        <w:rPr>
          <w:rFonts w:ascii="仿宋_GB2312" w:eastAsia="仿宋_GB2312"/>
          <w:sz w:val="24"/>
          <w:szCs w:val="24"/>
        </w:rPr>
      </w:pPr>
      <w:bookmarkStart w:id="90" w:name="_Toc513029233"/>
      <w:bookmarkStart w:id="91" w:name="_Toc16938549"/>
      <w:bookmarkStart w:id="92" w:name="_Toc20823305"/>
      <w:r>
        <w:rPr>
          <w:rFonts w:hint="eastAsia" w:ascii="仿宋_GB2312" w:eastAsia="仿宋_GB2312"/>
          <w:sz w:val="24"/>
          <w:szCs w:val="24"/>
        </w:rPr>
        <w:t>磋商小组要求供应商澄清、说明或者更正响应文件将以书面形式作出。</w:t>
      </w:r>
    </w:p>
    <w:bookmarkEnd w:id="90"/>
    <w:bookmarkEnd w:id="91"/>
    <w:bookmarkEnd w:id="92"/>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5.磋商程序、最后报价、综合评分</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（1）磋商小组所有成员应当集中与单一供应商分别进行磋商，并给予所有参加磋商的供应商平等的磋商机会。</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（4）已提交响应文件的供应商，在提交最后报价之前，可以根据磋商情况退出磋商。采购人将退还退出磋商的供应商的磋商保证金。</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（6）评审时，磋商小组各成员独立对每个有效响应的文件进行评价、打分，然后汇总每个供应商每项评分因素的得分。</w:t>
      </w:r>
    </w:p>
    <w:p>
      <w:pPr>
        <w:adjustRightInd w:val="0"/>
        <w:snapToGrid w:val="0"/>
        <w:spacing w:line="360" w:lineRule="auto"/>
        <w:ind w:firstLine="480" w:firstLineChars="200"/>
        <w:textAlignment w:val="baseline"/>
        <w:rPr>
          <w:rFonts w:ascii="仿宋_GB2312" w:hAnsi="宋体" w:eastAsia="仿宋_GB2312"/>
          <w:sz w:val="24"/>
          <w:szCs w:val="24"/>
        </w:rPr>
      </w:pPr>
      <w:r>
        <w:rPr>
          <w:rFonts w:hint="eastAsia" w:ascii="仿宋_GB2312" w:hAnsi="宋体" w:eastAsia="仿宋_GB2312"/>
          <w:sz w:val="24"/>
          <w:szCs w:val="24"/>
        </w:rPr>
        <w:t>（7）磋商小组应当根据综合评分情况，按照评审得分由高到低顺序推荐2名中标候选单位，并编写评审报告。评审得分相同的，按照最后报价由低到高的顺序推荐。评审得分且最后报价相同的，按照技术指标优劣顺序推荐。</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6.响应无效和终止磋商活动条款</w:t>
      </w:r>
    </w:p>
    <w:p>
      <w:pPr>
        <w:pStyle w:val="32"/>
        <w:snapToGrid w:val="0"/>
        <w:rPr>
          <w:rFonts w:ascii="仿宋_GB2312" w:hAnsi="宋体" w:eastAsia="仿宋_GB2312"/>
          <w:sz w:val="24"/>
          <w:szCs w:val="24"/>
        </w:rPr>
      </w:pPr>
      <w:bookmarkStart w:id="93" w:name="_Toc513029235"/>
      <w:bookmarkStart w:id="94" w:name="_Toc16938551"/>
      <w:bookmarkStart w:id="95" w:name="_Toc20823307"/>
      <w:r>
        <w:rPr>
          <w:rFonts w:hint="eastAsia" w:ascii="仿宋_GB2312" w:hAnsi="宋体" w:eastAsia="仿宋_GB2312"/>
          <w:sz w:val="24"/>
          <w:szCs w:val="24"/>
        </w:rPr>
        <w:t>（1）响应无效条款</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1</w:t>
      </w:r>
      <w:r>
        <w:rPr>
          <w:rFonts w:hint="eastAsia" w:ascii="仿宋_GB2312" w:hAnsi="宋体" w:eastAsia="仿宋_GB2312"/>
          <w:sz w:val="24"/>
          <w:szCs w:val="24"/>
        </w:rPr>
        <w:t>）未按照磋商文件规定要求密封、签署、盖章的；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2</w:t>
      </w:r>
      <w:r>
        <w:rPr>
          <w:rFonts w:hint="eastAsia" w:ascii="仿宋_GB2312" w:hAnsi="宋体" w:eastAsia="仿宋_GB2312"/>
          <w:sz w:val="24"/>
          <w:szCs w:val="24"/>
        </w:rPr>
        <w:t>）供应商不具备磋商文件中规定资格条件的；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3</w:t>
      </w:r>
      <w:r>
        <w:rPr>
          <w:rFonts w:hint="eastAsia" w:ascii="仿宋_GB2312" w:hAnsi="宋体" w:eastAsia="仿宋_GB2312"/>
          <w:sz w:val="24"/>
          <w:szCs w:val="24"/>
        </w:rPr>
        <w:t>）不符合法律、法规和磋商文件中规定的其他实质性要求的（本磋商文件中斜体且有下划线部分为实质性要求和条件）；</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lang w:val="en-US" w:eastAsia="zh-CN"/>
        </w:rPr>
        <w:t>4</w:t>
      </w:r>
      <w:r>
        <w:rPr>
          <w:rFonts w:hint="eastAsia" w:ascii="仿宋_GB2312" w:hAnsi="宋体" w:eastAsia="仿宋_GB2312"/>
          <w:sz w:val="24"/>
          <w:szCs w:val="24"/>
        </w:rPr>
        <w:t>）其他法律、法规及本磋商文件规定的属响应无效的情形。</w:t>
      </w:r>
    </w:p>
    <w:p>
      <w:pPr>
        <w:pStyle w:val="32"/>
        <w:snapToGrid w:val="0"/>
        <w:rPr>
          <w:rFonts w:ascii="仿宋_GB2312" w:hAnsi="宋体" w:eastAsia="仿宋_GB2312"/>
          <w:sz w:val="24"/>
          <w:szCs w:val="24"/>
        </w:rPr>
      </w:pPr>
      <w:r>
        <w:rPr>
          <w:rFonts w:hint="eastAsia" w:ascii="仿宋_GB2312" w:hAnsi="宋体" w:eastAsia="仿宋_GB2312"/>
          <w:sz w:val="24"/>
          <w:szCs w:val="24"/>
        </w:rPr>
        <w:t>7.终止磋商采购活动的条款</w:t>
      </w:r>
    </w:p>
    <w:p>
      <w:pPr>
        <w:adjustRightInd w:val="0"/>
        <w:snapToGrid w:val="0"/>
        <w:spacing w:line="360" w:lineRule="auto"/>
        <w:ind w:firstLine="480" w:firstLineChars="200"/>
        <w:rPr>
          <w:rFonts w:ascii="仿宋_GB2312" w:hAnsi="宋体" w:eastAsia="仿宋_GB2312" w:cs="宋体"/>
          <w:sz w:val="24"/>
          <w:szCs w:val="24"/>
        </w:rPr>
      </w:pPr>
      <w:r>
        <w:rPr>
          <w:rFonts w:hint="eastAsia" w:ascii="仿宋_GB2312" w:hAnsi="宋体" w:eastAsia="仿宋_GB2312" w:cs="宋体"/>
          <w:sz w:val="24"/>
          <w:szCs w:val="24"/>
        </w:rPr>
        <w:t>出现下列情形之一的，采购人将终止磋商采购活动，发布项目终止公告并说明原因，重新开展采购活动：</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（1）因情况变化，不再符合规定的磋商采购方式适用情形的；</w:t>
      </w:r>
    </w:p>
    <w:p>
      <w:pPr>
        <w:pStyle w:val="33"/>
        <w:snapToGrid w:val="0"/>
        <w:ind w:firstLine="480" w:firstLineChars="200"/>
        <w:rPr>
          <w:rFonts w:ascii="仿宋_GB2312" w:hAnsi="宋体" w:eastAsia="仿宋_GB2312"/>
          <w:sz w:val="24"/>
          <w:szCs w:val="24"/>
        </w:rPr>
      </w:pPr>
      <w:r>
        <w:rPr>
          <w:rFonts w:hint="eastAsia" w:ascii="仿宋_GB2312" w:hAnsi="宋体" w:eastAsia="仿宋_GB2312"/>
          <w:sz w:val="24"/>
          <w:szCs w:val="24"/>
        </w:rPr>
        <w:t>（2）出现影响采购公正的违法、违规行为的；</w:t>
      </w:r>
    </w:p>
    <w:bookmarkEnd w:id="93"/>
    <w:bookmarkEnd w:id="94"/>
    <w:bookmarkEnd w:id="95"/>
    <w:p>
      <w:pPr>
        <w:adjustRightInd w:val="0"/>
        <w:snapToGrid w:val="0"/>
        <w:spacing w:line="360" w:lineRule="auto"/>
        <w:ind w:firstLine="480" w:firstLineChars="200"/>
        <w:rPr>
          <w:rFonts w:ascii="仿宋_GB2312" w:eastAsia="仿宋_GB2312"/>
          <w:sz w:val="24"/>
          <w:szCs w:val="24"/>
        </w:rPr>
      </w:pPr>
      <w:bookmarkStart w:id="96" w:name="_Toc16938554"/>
      <w:bookmarkStart w:id="97" w:name="_Toc20823310"/>
      <w:r>
        <w:rPr>
          <w:rFonts w:hint="eastAsia" w:ascii="仿宋_GB2312" w:eastAsia="仿宋_GB2312"/>
          <w:sz w:val="24"/>
          <w:szCs w:val="24"/>
        </w:rPr>
        <w:t>8.确定</w:t>
      </w:r>
      <w:bookmarkEnd w:id="96"/>
      <w:bookmarkEnd w:id="97"/>
      <w:r>
        <w:rPr>
          <w:rFonts w:hint="eastAsia" w:ascii="仿宋_GB2312" w:eastAsia="仿宋_GB2312"/>
          <w:sz w:val="24"/>
          <w:szCs w:val="24"/>
        </w:rPr>
        <w:t>成交供应商</w:t>
      </w:r>
    </w:p>
    <w:p>
      <w:pPr>
        <w:pStyle w:val="32"/>
        <w:snapToGrid w:val="0"/>
        <w:rPr>
          <w:rFonts w:ascii="仿宋_GB2312" w:hAnsi="宋体" w:eastAsia="仿宋_GB2312" w:cs="Times New Roman"/>
          <w:sz w:val="24"/>
          <w:szCs w:val="24"/>
        </w:rPr>
      </w:pPr>
      <w:r>
        <w:rPr>
          <w:rFonts w:hint="eastAsia" w:ascii="仿宋_GB2312" w:hAnsi="宋体" w:eastAsia="仿宋_GB2312" w:cs="Times New Roman"/>
          <w:sz w:val="24"/>
          <w:szCs w:val="24"/>
        </w:rPr>
        <w:t>（1）采购人在评审结束后5个工作日内，从评审报告提出的中标候选单位中，按照排序由高到低的原则确定中标候选单位。</w:t>
      </w:r>
    </w:p>
    <w:p>
      <w:pPr>
        <w:pStyle w:val="32"/>
        <w:snapToGrid w:val="0"/>
        <w:rPr>
          <w:rFonts w:ascii="仿宋_GB2312" w:hAnsi="宋体" w:eastAsia="仿宋_GB2312"/>
          <w:sz w:val="24"/>
          <w:szCs w:val="24"/>
        </w:rPr>
      </w:pPr>
      <w:r>
        <w:rPr>
          <w:rFonts w:hint="eastAsia" w:ascii="仿宋_GB2312" w:hAnsi="宋体" w:eastAsia="仿宋_GB2312"/>
          <w:sz w:val="24"/>
          <w:szCs w:val="24"/>
        </w:rPr>
        <w:t>（2）采购人在中标单位确定后2个工作日内在“皖南医学院校园网”公告中标结果。</w:t>
      </w:r>
    </w:p>
    <w:p>
      <w:pPr>
        <w:adjustRightInd w:val="0"/>
        <w:snapToGrid w:val="0"/>
        <w:spacing w:line="360" w:lineRule="auto"/>
        <w:ind w:firstLine="480" w:firstLineChars="200"/>
        <w:rPr>
          <w:rFonts w:ascii="仿宋_GB2312" w:hAnsi="宋体" w:eastAsia="仿宋_GB2312"/>
          <w:sz w:val="24"/>
          <w:szCs w:val="24"/>
        </w:rPr>
      </w:pPr>
      <w:bookmarkStart w:id="98" w:name="_Toc403987211"/>
      <w:bookmarkStart w:id="99" w:name="_Toc120614220"/>
      <w:bookmarkStart w:id="100" w:name="_Toc16938552"/>
      <w:bookmarkStart w:id="101" w:name="_Toc513029236"/>
      <w:bookmarkStart w:id="102" w:name="_Toc20823308"/>
      <w:r>
        <w:rPr>
          <w:rFonts w:hint="eastAsia" w:ascii="仿宋_GB2312" w:hAnsi="宋体" w:eastAsia="仿宋_GB2312"/>
          <w:sz w:val="24"/>
          <w:szCs w:val="24"/>
        </w:rPr>
        <w:t>（六）授予合同</w:t>
      </w:r>
      <w:bookmarkEnd w:id="98"/>
      <w:bookmarkEnd w:id="99"/>
    </w:p>
    <w:bookmarkEnd w:id="100"/>
    <w:bookmarkEnd w:id="101"/>
    <w:bookmarkEnd w:id="102"/>
    <w:p>
      <w:pPr>
        <w:adjustRightInd w:val="0"/>
        <w:snapToGrid w:val="0"/>
        <w:spacing w:line="360" w:lineRule="auto"/>
        <w:ind w:firstLine="480" w:firstLineChars="200"/>
        <w:rPr>
          <w:rFonts w:ascii="仿宋_GB2312" w:eastAsia="仿宋_GB2312"/>
          <w:sz w:val="24"/>
          <w:szCs w:val="24"/>
        </w:rPr>
      </w:pPr>
      <w:bookmarkStart w:id="103" w:name="_Toc20823309"/>
      <w:bookmarkStart w:id="104" w:name="_Toc16938553"/>
      <w:bookmarkStart w:id="105" w:name="_Toc513029237"/>
      <w:r>
        <w:rPr>
          <w:rFonts w:hint="eastAsia" w:ascii="仿宋_GB2312" w:eastAsia="仿宋_GB2312"/>
          <w:sz w:val="24"/>
          <w:szCs w:val="24"/>
        </w:rPr>
        <w:t>1.签订合同</w:t>
      </w:r>
    </w:p>
    <w:p>
      <w:pPr>
        <w:pStyle w:val="32"/>
        <w:snapToGrid w:val="0"/>
        <w:rPr>
          <w:rFonts w:ascii="仿宋_GB2312" w:hAnsi="宋体" w:eastAsia="仿宋_GB2312"/>
          <w:sz w:val="24"/>
          <w:szCs w:val="24"/>
        </w:rPr>
      </w:pPr>
      <w:r>
        <w:rPr>
          <w:rFonts w:hint="eastAsia" w:ascii="仿宋_GB2312" w:hAnsi="宋体" w:eastAsia="仿宋_GB2312"/>
          <w:sz w:val="24"/>
          <w:szCs w:val="24"/>
        </w:rPr>
        <w:t>（1）采购人与中标单位应当在中标通知书发出之日起5日内，按照磋商文件确定的合同文本以及采购标的、采购金额、技术和服务要求等事项签订采购合同。</w:t>
      </w:r>
    </w:p>
    <w:p>
      <w:pPr>
        <w:pStyle w:val="32"/>
        <w:snapToGrid w:val="0"/>
        <w:rPr>
          <w:rFonts w:ascii="仿宋_GB2312" w:hAnsi="宋体" w:eastAsia="仿宋_GB2312"/>
          <w:sz w:val="24"/>
          <w:szCs w:val="24"/>
        </w:rPr>
      </w:pPr>
      <w:r>
        <w:rPr>
          <w:rFonts w:hint="eastAsia" w:ascii="仿宋_GB2312" w:hAnsi="宋体" w:eastAsia="仿宋_GB2312"/>
          <w:sz w:val="24"/>
          <w:szCs w:val="24"/>
        </w:rPr>
        <w:t>（2）中标单位拒绝签订采购合同的，采购人可以按照从评审报告提出的中标候选单位中，按照排序由高到低的原则重新确定其他供应商作为中标单位并签订采购合同，也可以重新开展采购活动。拒绝签订采购合同的中标单位不得参加对该项目重新开展的采购活动。</w:t>
      </w:r>
    </w:p>
    <w:p>
      <w:pPr>
        <w:pStyle w:val="32"/>
        <w:snapToGrid w:val="0"/>
        <w:rPr>
          <w:rFonts w:ascii="仿宋_GB2312" w:hAnsi="宋体" w:eastAsia="仿宋_GB2312"/>
          <w:sz w:val="24"/>
          <w:szCs w:val="24"/>
        </w:rPr>
      </w:pPr>
      <w:r>
        <w:rPr>
          <w:rFonts w:hint="eastAsia" w:ascii="仿宋_GB2312" w:hAnsi="宋体" w:eastAsia="仿宋_GB2312"/>
          <w:sz w:val="24"/>
          <w:szCs w:val="24"/>
        </w:rPr>
        <w:t>（3）磋商文件、成交供应商的响应文件及磋商过程中有关澄清、承诺文件均应作为合同附件。</w:t>
      </w:r>
    </w:p>
    <w:p>
      <w:pPr>
        <w:adjustRightInd w:val="0"/>
        <w:snapToGrid w:val="0"/>
        <w:spacing w:line="360" w:lineRule="auto"/>
        <w:ind w:firstLine="480" w:firstLineChars="200"/>
        <w:rPr>
          <w:rFonts w:ascii="仿宋_GB2312" w:eastAsia="仿宋_GB2312"/>
          <w:sz w:val="24"/>
          <w:szCs w:val="24"/>
        </w:rPr>
      </w:pPr>
      <w:r>
        <w:rPr>
          <w:rFonts w:hint="eastAsia" w:ascii="仿宋_GB2312" w:eastAsia="仿宋_GB2312"/>
          <w:sz w:val="24"/>
          <w:szCs w:val="24"/>
        </w:rPr>
        <w:t>2.履约保证金</w:t>
      </w:r>
    </w:p>
    <w:p>
      <w:pPr>
        <w:pStyle w:val="32"/>
        <w:snapToGrid w:val="0"/>
        <w:rPr>
          <w:rFonts w:ascii="仿宋_GB2312" w:hAnsi="宋体" w:eastAsia="仿宋_GB2312"/>
          <w:sz w:val="24"/>
          <w:szCs w:val="24"/>
        </w:rPr>
      </w:pPr>
      <w:r>
        <w:rPr>
          <w:rFonts w:hint="eastAsia" w:ascii="仿宋_GB2312" w:hAnsi="宋体" w:eastAsia="仿宋_GB2312"/>
          <w:sz w:val="24"/>
          <w:szCs w:val="24"/>
        </w:rPr>
        <w:t>（1）中标单位在收到成交通知书后，磋商保证金将自动转为履约保证金</w:t>
      </w:r>
      <w:bookmarkStart w:id="106" w:name="_Toc200451963"/>
      <w:r>
        <w:rPr>
          <w:rFonts w:hint="eastAsia" w:ascii="仿宋_GB2312" w:hAnsi="宋体" w:eastAsia="仿宋_GB2312"/>
          <w:sz w:val="24"/>
          <w:szCs w:val="24"/>
        </w:rPr>
        <w:t>，不足部分在双方签订合同前交齐。</w:t>
      </w:r>
    </w:p>
    <w:bookmarkEnd w:id="106"/>
    <w:p>
      <w:pPr>
        <w:pStyle w:val="32"/>
        <w:snapToGrid w:val="0"/>
        <w:rPr>
          <w:rFonts w:ascii="仿宋_GB2312" w:hAnsi="宋体" w:eastAsia="仿宋_GB2312"/>
          <w:bCs/>
          <w:sz w:val="24"/>
          <w:szCs w:val="24"/>
        </w:rPr>
      </w:pPr>
      <w:r>
        <w:rPr>
          <w:rFonts w:hint="eastAsia" w:ascii="仿宋_GB2312" w:hAnsi="宋体" w:eastAsia="仿宋_GB2312"/>
          <w:bCs/>
          <w:sz w:val="24"/>
          <w:szCs w:val="24"/>
        </w:rPr>
        <w:t>（2）履约保证金的退还：合同有效期截止后，</w:t>
      </w:r>
      <w:r>
        <w:rPr>
          <w:rFonts w:hint="eastAsia" w:ascii="仿宋_GB2312" w:hAnsi="宋体" w:eastAsia="仿宋_GB2312"/>
          <w:sz w:val="24"/>
          <w:szCs w:val="24"/>
        </w:rPr>
        <w:t>中标单位自行下载、完成《皖南医学院项目履约保证金退付申请表》</w:t>
      </w:r>
      <w:r>
        <w:rPr>
          <w:rFonts w:hint="eastAsia" w:ascii="仿宋_GB2312" w:hAnsi="宋体" w:eastAsia="仿宋_GB2312"/>
          <w:bCs/>
          <w:sz w:val="24"/>
          <w:szCs w:val="24"/>
        </w:rPr>
        <w:t>办理保证金退还手续。</w:t>
      </w:r>
      <w:bookmarkEnd w:id="103"/>
      <w:bookmarkEnd w:id="104"/>
      <w:bookmarkEnd w:id="105"/>
    </w:p>
    <w:p>
      <w:pPr>
        <w:widowControl/>
        <w:shd w:val="clear" w:color="auto" w:fill="FFFFFF"/>
        <w:adjustRightInd w:val="0"/>
        <w:snapToGrid w:val="0"/>
        <w:spacing w:line="360" w:lineRule="auto"/>
        <w:ind w:firstLine="610" w:firstLineChars="253"/>
        <w:jc w:val="left"/>
        <w:rPr>
          <w:rFonts w:ascii="仿宋_GB2312" w:hAnsi="宋体" w:eastAsia="仿宋_GB2312" w:cs="宋体"/>
          <w:kern w:val="0"/>
          <w:sz w:val="24"/>
          <w:szCs w:val="24"/>
        </w:rPr>
      </w:pPr>
      <w:r>
        <w:rPr>
          <w:rFonts w:hint="eastAsia" w:ascii="仿宋_GB2312" w:hAnsi="宋体" w:eastAsia="仿宋_GB2312" w:cs="宋体"/>
          <w:b/>
          <w:bCs/>
          <w:kern w:val="0"/>
          <w:sz w:val="24"/>
          <w:szCs w:val="24"/>
        </w:rPr>
        <w:t>二、质疑与投诉</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本项目为我校校内统一采购项目，在采购活动中，如需质疑或投诉，按照《皖南医学院采购质疑与投诉管理办法（试行）》（见附件）进行。质疑及投诉联系方式如下：</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（一）质疑联系方式：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0553-3932052</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号皖南医学院国资处。</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hAnsi="宋体" w:eastAsia="仿宋_GB2312" w:cs="宋体"/>
          <w:kern w:val="0"/>
          <w:sz w:val="24"/>
          <w:szCs w:val="24"/>
          <w:shd w:val="clear" w:color="auto" w:fill="FFFFFF"/>
        </w:rPr>
        <w:t>（二）投诉联系方式：</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1</w:t>
      </w:r>
      <w:r>
        <w:rPr>
          <w:rFonts w:hint="eastAsia" w:ascii="仿宋_GB2312" w:hAnsi="宋体" w:eastAsia="仿宋_GB2312" w:cs="宋体"/>
          <w:kern w:val="0"/>
          <w:sz w:val="24"/>
          <w:szCs w:val="24"/>
          <w:shd w:val="clear" w:color="auto" w:fill="FFFFFF"/>
        </w:rPr>
        <w:t>、联系部门：皖南医学院巡察工作办公室；</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2</w:t>
      </w:r>
      <w:r>
        <w:rPr>
          <w:rFonts w:hint="eastAsia" w:ascii="仿宋_GB2312" w:hAnsi="宋体" w:eastAsia="仿宋_GB2312" w:cs="宋体"/>
          <w:kern w:val="0"/>
          <w:sz w:val="24"/>
          <w:szCs w:val="24"/>
          <w:shd w:val="clear" w:color="auto" w:fill="FFFFFF"/>
        </w:rPr>
        <w:t>、联系电话：</w:t>
      </w:r>
      <w:r>
        <w:rPr>
          <w:rFonts w:hint="eastAsia" w:ascii="仿宋_GB2312" w:eastAsia="仿宋_GB2312"/>
          <w:kern w:val="0"/>
          <w:sz w:val="24"/>
          <w:szCs w:val="24"/>
          <w:shd w:val="clear" w:color="auto" w:fill="FFFFFF"/>
        </w:rPr>
        <w:t>0553-3932826</w:t>
      </w:r>
      <w:r>
        <w:rPr>
          <w:rFonts w:hint="eastAsia" w:ascii="仿宋_GB2312" w:hAnsi="宋体" w:eastAsia="仿宋_GB2312" w:cs="宋体"/>
          <w:kern w:val="0"/>
          <w:sz w:val="24"/>
          <w:szCs w:val="24"/>
          <w:shd w:val="clear" w:color="auto" w:fill="FFFFFF"/>
        </w:rPr>
        <w:t>；</w:t>
      </w:r>
    </w:p>
    <w:p>
      <w:pPr>
        <w:widowControl/>
        <w:shd w:val="clear" w:color="auto" w:fill="FFFFFF"/>
        <w:adjustRightInd w:val="0"/>
        <w:snapToGrid w:val="0"/>
        <w:spacing w:line="360" w:lineRule="auto"/>
        <w:ind w:firstLine="607" w:firstLineChars="253"/>
        <w:jc w:val="left"/>
        <w:rPr>
          <w:rFonts w:ascii="仿宋_GB2312" w:hAnsi="宋体" w:eastAsia="仿宋_GB2312" w:cs="宋体"/>
          <w:kern w:val="0"/>
          <w:sz w:val="24"/>
          <w:szCs w:val="24"/>
        </w:rPr>
      </w:pPr>
      <w:r>
        <w:rPr>
          <w:rFonts w:hint="eastAsia" w:ascii="仿宋_GB2312" w:eastAsia="仿宋_GB2312"/>
          <w:kern w:val="0"/>
          <w:sz w:val="24"/>
          <w:szCs w:val="24"/>
          <w:shd w:val="clear" w:color="auto" w:fill="FFFFFF"/>
        </w:rPr>
        <w:t>3</w:t>
      </w:r>
      <w:r>
        <w:rPr>
          <w:rFonts w:hint="eastAsia" w:ascii="仿宋_GB2312" w:hAnsi="宋体" w:eastAsia="仿宋_GB2312" w:cs="宋体"/>
          <w:kern w:val="0"/>
          <w:sz w:val="24"/>
          <w:szCs w:val="24"/>
          <w:shd w:val="clear" w:color="auto" w:fill="FFFFFF"/>
        </w:rPr>
        <w:t>、通讯地址：芜湖市高校园区文昌西路</w:t>
      </w:r>
      <w:r>
        <w:rPr>
          <w:rFonts w:hint="eastAsia" w:ascii="仿宋_GB2312" w:eastAsia="仿宋_GB2312"/>
          <w:kern w:val="0"/>
          <w:sz w:val="24"/>
          <w:szCs w:val="24"/>
          <w:shd w:val="clear" w:color="auto" w:fill="FFFFFF"/>
        </w:rPr>
        <w:t>22</w:t>
      </w:r>
      <w:r>
        <w:rPr>
          <w:rFonts w:hint="eastAsia" w:ascii="仿宋_GB2312" w:hAnsi="宋体" w:eastAsia="仿宋_GB2312" w:cs="宋体"/>
          <w:kern w:val="0"/>
          <w:sz w:val="24"/>
          <w:szCs w:val="24"/>
          <w:shd w:val="clear" w:color="auto" w:fill="FFFFFF"/>
        </w:rPr>
        <w:t>号皖南医学院巡察工作办公室。</w:t>
      </w: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pStyle w:val="32"/>
        <w:snapToGrid w:val="0"/>
        <w:ind w:right="280" w:rightChars="100" w:firstLine="560"/>
        <w:rPr>
          <w:rFonts w:ascii="仿宋_GB2312" w:hAnsi="宋体" w:eastAsia="仿宋_GB2312"/>
          <w:bCs/>
          <w:szCs w:val="28"/>
        </w:rPr>
      </w:pPr>
    </w:p>
    <w:p>
      <w:pPr>
        <w:spacing w:line="460" w:lineRule="exact"/>
        <w:rPr>
          <w:rFonts w:ascii="仿宋_GB2312" w:hAnsi="黑体" w:eastAsia="仿宋_GB2312"/>
          <w:sz w:val="24"/>
          <w:szCs w:val="24"/>
        </w:rPr>
      </w:pPr>
    </w:p>
    <w:p>
      <w:pPr>
        <w:spacing w:line="360" w:lineRule="auto"/>
        <w:jc w:val="center"/>
        <w:rPr>
          <w:rFonts w:ascii="仿宋_GB2312" w:hAnsi="宋体" w:eastAsia="仿宋_GB2312" w:cs="宋体"/>
          <w:b/>
          <w:kern w:val="0"/>
          <w:sz w:val="32"/>
          <w:szCs w:val="32"/>
        </w:rPr>
      </w:pPr>
      <w:bookmarkStart w:id="107" w:name="_Toc52892866"/>
      <w:r>
        <w:rPr>
          <w:rFonts w:hint="eastAsia" w:ascii="华文中宋" w:hAnsi="华文中宋" w:eastAsia="华文中宋" w:cs="华文中宋"/>
          <w:szCs w:val="36"/>
          <w:lang w:eastAsia="zh-CN"/>
        </w:rPr>
        <w:tab/>
      </w:r>
      <w:r>
        <w:rPr>
          <w:rFonts w:hint="eastAsia" w:ascii="仿宋_GB2312" w:hAnsi="仿宋_GB2312" w:eastAsia="仿宋_GB2312" w:cs="仿宋_GB2312"/>
          <w:b/>
          <w:bCs/>
          <w:sz w:val="32"/>
          <w:szCs w:val="32"/>
          <w:lang w:eastAsia="zh-CN"/>
        </w:rPr>
        <w:t>皖南医学院</w:t>
      </w:r>
      <w:r>
        <w:rPr>
          <w:rFonts w:hint="eastAsia" w:ascii="仿宋_GB2312" w:hAnsi="宋体" w:eastAsia="仿宋_GB2312" w:cs="宋体"/>
          <w:b/>
          <w:bCs/>
          <w:kern w:val="0"/>
          <w:sz w:val="32"/>
          <w:szCs w:val="32"/>
        </w:rPr>
        <w:t>2022-2024年度修缮工程造价咨询服务项目</w:t>
      </w:r>
      <w:r>
        <w:rPr>
          <w:rFonts w:hint="eastAsia" w:ascii="仿宋_GB2312" w:hAnsi="宋体" w:eastAsia="仿宋_GB2312" w:cs="宋体"/>
          <w:b/>
          <w:kern w:val="0"/>
          <w:sz w:val="32"/>
          <w:szCs w:val="32"/>
        </w:rPr>
        <w:t>合同</w:t>
      </w:r>
    </w:p>
    <w:p>
      <w:pPr>
        <w:spacing w:line="360" w:lineRule="auto"/>
        <w:jc w:val="left"/>
        <w:rPr>
          <w:rFonts w:hint="eastAsia" w:ascii="仿宋_GB2312" w:hAnsi="宋体" w:eastAsia="仿宋_GB2312" w:cs="宋体"/>
          <w:b/>
          <w:kern w:val="0"/>
          <w:sz w:val="24"/>
          <w:lang w:val="en-US" w:eastAsia="zh-CN"/>
        </w:rPr>
      </w:pPr>
      <w:r>
        <w:rPr>
          <w:rFonts w:hint="eastAsia" w:ascii="仿宋_GB2312" w:hAnsi="宋体" w:eastAsia="仿宋_GB2312" w:cs="宋体"/>
          <w:b/>
          <w:kern w:val="0"/>
          <w:sz w:val="24"/>
        </w:rPr>
        <w:t xml:space="preserve">                                 </w:t>
      </w:r>
      <w:r>
        <w:rPr>
          <w:rFonts w:hint="eastAsia" w:ascii="仿宋_GB2312" w:hAnsi="宋体" w:eastAsia="仿宋_GB2312" w:cs="宋体"/>
          <w:b/>
          <w:kern w:val="0"/>
          <w:sz w:val="24"/>
          <w:lang w:val="en-US" w:eastAsia="zh-CN"/>
        </w:rPr>
        <w:t xml:space="preserve">        </w:t>
      </w:r>
    </w:p>
    <w:p>
      <w:pPr>
        <w:spacing w:line="360" w:lineRule="auto"/>
        <w:ind w:firstLine="5301" w:firstLineChars="2200"/>
        <w:jc w:val="left"/>
        <w:rPr>
          <w:rFonts w:ascii="仿宋_GB2312" w:hAnsi="宋体" w:eastAsia="仿宋_GB2312" w:cs="宋体"/>
          <w:b/>
          <w:kern w:val="0"/>
          <w:sz w:val="24"/>
        </w:rPr>
      </w:pPr>
      <w:r>
        <w:rPr>
          <w:rFonts w:hint="eastAsia" w:ascii="仿宋_GB2312" w:hAnsi="宋体" w:eastAsia="仿宋_GB2312" w:cs="宋体"/>
          <w:b/>
          <w:kern w:val="0"/>
          <w:sz w:val="24"/>
        </w:rPr>
        <w:t>合同编号WYHT2021XXX--01</w:t>
      </w:r>
    </w:p>
    <w:p>
      <w:pPr>
        <w:spacing w:line="480" w:lineRule="auto"/>
        <w:jc w:val="left"/>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u w:val="single"/>
        </w:rPr>
        <w:t xml:space="preserve"> 皖南医学院</w:t>
      </w:r>
      <w:r>
        <w:rPr>
          <w:rFonts w:hint="eastAsia" w:ascii="宋体" w:hAnsi="宋体"/>
          <w:color w:val="0C0C0C" w:themeColor="text1" w:themeTint="F2"/>
          <w:spacing w:val="20"/>
          <w:sz w:val="28"/>
          <w:szCs w:val="28"/>
        </w:rPr>
        <w:t xml:space="preserve">（以下简称委托人）与（以下简称咨询人）经过双方协商一致，签订本合同。 </w:t>
      </w:r>
    </w:p>
    <w:p>
      <w:pPr>
        <w:tabs>
          <w:tab w:val="left" w:pos="1260"/>
        </w:tabs>
        <w:spacing w:line="480" w:lineRule="auto"/>
        <w:ind w:left="241" w:leftChars="86" w:right="-67" w:rightChars="-24"/>
        <w:rPr>
          <w:rFonts w:hint="eastAsia"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一、委托人委托咨询人为以下项目提供工程造价咨询服务：</w:t>
      </w:r>
    </w:p>
    <w:p>
      <w:pPr>
        <w:tabs>
          <w:tab w:val="left" w:pos="1260"/>
        </w:tabs>
        <w:spacing w:line="480" w:lineRule="auto"/>
        <w:ind w:left="241" w:leftChars="86" w:right="-67" w:rightChars="-24"/>
        <w:rPr>
          <w:rFonts w:hint="eastAsia"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1.项目名称：皖南医学院2022-2024年度修缮工程造价咨询服务项目</w:t>
      </w:r>
    </w:p>
    <w:p>
      <w:pPr>
        <w:tabs>
          <w:tab w:val="left" w:pos="1260"/>
        </w:tabs>
        <w:spacing w:line="480" w:lineRule="auto"/>
        <w:ind w:left="241" w:leftChars="86"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2.服务类别：</w:t>
      </w:r>
      <w:r>
        <w:rPr>
          <w:rFonts w:hint="eastAsia" w:ascii="宋体" w:hAnsi="宋体"/>
          <w:bCs/>
          <w:color w:val="0C0C0C" w:themeColor="text1" w:themeTint="F2"/>
          <w:sz w:val="28"/>
          <w:szCs w:val="28"/>
        </w:rPr>
        <w:t>（1）</w:t>
      </w:r>
      <w:r>
        <w:rPr>
          <w:rFonts w:hint="eastAsia" w:ascii="宋体" w:hAnsi="宋体"/>
          <w:color w:val="0C0C0C" w:themeColor="text1" w:themeTint="F2"/>
          <w:kern w:val="0"/>
          <w:sz w:val="28"/>
          <w:szCs w:val="28"/>
        </w:rPr>
        <w:t>修缮工程结算审核；（2）其他类型（跟踪  审计等）工程造价咨询项目</w:t>
      </w:r>
    </w:p>
    <w:p>
      <w:pPr>
        <w:tabs>
          <w:tab w:val="left" w:pos="1260"/>
        </w:tabs>
        <w:spacing w:line="480" w:lineRule="auto"/>
        <w:ind w:left="241" w:leftChars="86" w:right="-67" w:rightChars="-24"/>
        <w:rPr>
          <w:rFonts w:hint="eastAsia"/>
          <w:color w:val="0C0C0C" w:themeColor="text1" w:themeTint="F2"/>
          <w:sz w:val="28"/>
          <w:szCs w:val="28"/>
        </w:rPr>
      </w:pPr>
      <w:r>
        <w:rPr>
          <w:rFonts w:hint="eastAsia"/>
          <w:color w:val="0C0C0C" w:themeColor="text1" w:themeTint="F2"/>
          <w:sz w:val="28"/>
          <w:szCs w:val="28"/>
        </w:rPr>
        <w:t xml:space="preserve">  二、本合同的措词和用语与所属工程造价咨询合同条件及有关附件同义。</w:t>
      </w:r>
    </w:p>
    <w:p>
      <w:pPr>
        <w:tabs>
          <w:tab w:val="left" w:pos="1260"/>
        </w:tabs>
        <w:spacing w:line="480" w:lineRule="auto"/>
        <w:ind w:left="241" w:leftChars="86" w:right="-67" w:rightChars="-24"/>
        <w:rPr>
          <w:color w:val="0C0C0C" w:themeColor="text1" w:themeTint="F2"/>
          <w:sz w:val="28"/>
          <w:szCs w:val="28"/>
        </w:rPr>
      </w:pPr>
      <w:r>
        <w:rPr>
          <w:rFonts w:hint="eastAsia"/>
          <w:color w:val="0C0C0C" w:themeColor="text1" w:themeTint="F2"/>
          <w:sz w:val="28"/>
          <w:szCs w:val="28"/>
        </w:rPr>
        <w:t xml:space="preserve">  三、下列文件均为本合同的组成部分：</w:t>
      </w:r>
    </w:p>
    <w:p>
      <w:pPr>
        <w:spacing w:line="480" w:lineRule="auto"/>
        <w:ind w:left="540"/>
        <w:rPr>
          <w:rFonts w:ascii="宋体" w:hAnsi="宋体"/>
          <w:color w:val="0C0C0C" w:themeColor="text1" w:themeTint="F2"/>
          <w:sz w:val="28"/>
          <w:szCs w:val="28"/>
        </w:rPr>
      </w:pPr>
      <w:r>
        <w:rPr>
          <w:rFonts w:hint="eastAsia" w:ascii="宋体" w:hAnsi="宋体"/>
          <w:color w:val="0C0C0C" w:themeColor="text1" w:themeTint="F2"/>
          <w:sz w:val="28"/>
          <w:szCs w:val="28"/>
        </w:rPr>
        <w:t xml:space="preserve"> 1.工程造价咨询合同标准条款；</w:t>
      </w:r>
    </w:p>
    <w:p>
      <w:pPr>
        <w:spacing w:line="480" w:lineRule="auto"/>
        <w:ind w:left="540"/>
        <w:rPr>
          <w:rFonts w:ascii="宋体" w:hAnsi="宋体"/>
          <w:color w:val="0C0C0C" w:themeColor="text1" w:themeTint="F2"/>
          <w:sz w:val="28"/>
          <w:szCs w:val="28"/>
        </w:rPr>
      </w:pPr>
      <w:r>
        <w:rPr>
          <w:rFonts w:hint="eastAsia" w:ascii="宋体" w:hAnsi="宋体"/>
          <w:color w:val="0C0C0C" w:themeColor="text1" w:themeTint="F2"/>
          <w:sz w:val="28"/>
          <w:szCs w:val="28"/>
        </w:rPr>
        <w:t xml:space="preserve"> 2.工程造价咨询合同专用条款；</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3．中标通知书；</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4．投标书及其附件；</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5．招标文件；</w:t>
      </w:r>
    </w:p>
    <w:p>
      <w:pPr>
        <w:tabs>
          <w:tab w:val="left" w:pos="108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 xml:space="preserve"> 6．工程造价咨询合同执行中共同签署的补充与修正文件。</w:t>
      </w:r>
    </w:p>
    <w:p>
      <w:pPr>
        <w:spacing w:line="480" w:lineRule="auto"/>
        <w:ind w:left="-106" w:leftChars="-38"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四、咨询人同意按照本合同的规定，承担本合同</w:t>
      </w:r>
      <w:r>
        <w:rPr>
          <w:rFonts w:hint="eastAsia" w:ascii="宋体" w:hAnsi="宋体"/>
          <w:color w:val="0C0C0C" w:themeColor="text1" w:themeTint="F2"/>
          <w:spacing w:val="20"/>
          <w:sz w:val="28"/>
          <w:szCs w:val="28"/>
          <w:lang w:eastAsia="zh-CN"/>
        </w:rPr>
        <w:t>专用条款</w:t>
      </w:r>
      <w:r>
        <w:rPr>
          <w:rFonts w:hint="eastAsia" w:ascii="宋体" w:hAnsi="宋体"/>
          <w:color w:val="0C0C0C" w:themeColor="text1" w:themeTint="F2"/>
          <w:spacing w:val="20"/>
          <w:sz w:val="28"/>
          <w:szCs w:val="28"/>
        </w:rPr>
        <w:t>中议定范围内的工程造价咨询业务。</w:t>
      </w:r>
    </w:p>
    <w:p>
      <w:pPr>
        <w:pStyle w:val="13"/>
        <w:spacing w:line="480" w:lineRule="auto"/>
        <w:ind w:right="-67" w:rightChars="-24" w:firstLine="0" w:firstLineChars="0"/>
        <w:rPr>
          <w:color w:val="0C0C0C" w:themeColor="text1" w:themeTint="F2"/>
          <w:sz w:val="28"/>
          <w:szCs w:val="28"/>
        </w:rPr>
      </w:pPr>
      <w:r>
        <w:rPr>
          <w:rFonts w:hint="eastAsia"/>
          <w:color w:val="0C0C0C" w:themeColor="text1" w:themeTint="F2"/>
          <w:sz w:val="28"/>
          <w:szCs w:val="28"/>
        </w:rPr>
        <w:t xml:space="preserve">  五、委托人同意按照本合同规定的期限、方式、币种、额度向咨询人支付酬金。</w:t>
      </w:r>
    </w:p>
    <w:p>
      <w:pPr>
        <w:pStyle w:val="13"/>
        <w:spacing w:line="480" w:lineRule="auto"/>
        <w:ind w:right="-67" w:rightChars="-24" w:firstLine="0" w:firstLineChars="0"/>
        <w:rPr>
          <w:color w:val="0C0C0C" w:themeColor="text1" w:themeTint="F2"/>
          <w:sz w:val="28"/>
          <w:szCs w:val="28"/>
        </w:rPr>
      </w:pPr>
      <w:r>
        <w:rPr>
          <w:rFonts w:hint="eastAsia"/>
          <w:color w:val="0C0C0C" w:themeColor="text1" w:themeTint="F2"/>
          <w:sz w:val="28"/>
          <w:szCs w:val="28"/>
        </w:rPr>
        <w:t xml:space="preserve">  六、本合同的工程造价咨询业务自年</w:t>
      </w:r>
      <w:r>
        <w:rPr>
          <w:rFonts w:hint="eastAsia"/>
          <w:color w:val="0C0C0C" w:themeColor="text1" w:themeTint="F2"/>
          <w:sz w:val="28"/>
          <w:szCs w:val="28"/>
          <w:u w:val="single"/>
        </w:rPr>
        <w:t xml:space="preserve"> 　  </w:t>
      </w:r>
      <w:r>
        <w:rPr>
          <w:rFonts w:hint="eastAsia"/>
          <w:color w:val="0C0C0C" w:themeColor="text1" w:themeTint="F2"/>
          <w:sz w:val="28"/>
          <w:szCs w:val="28"/>
        </w:rPr>
        <w:t>月</w:t>
      </w:r>
      <w:r>
        <w:rPr>
          <w:rFonts w:hint="eastAsia"/>
          <w:color w:val="0C0C0C" w:themeColor="text1" w:themeTint="F2"/>
          <w:sz w:val="28"/>
          <w:szCs w:val="28"/>
          <w:u w:val="single"/>
        </w:rPr>
        <w:t xml:space="preserve">　  </w:t>
      </w:r>
      <w:r>
        <w:rPr>
          <w:rFonts w:hint="eastAsia"/>
          <w:color w:val="0C0C0C" w:themeColor="text1" w:themeTint="F2"/>
          <w:sz w:val="28"/>
          <w:szCs w:val="28"/>
        </w:rPr>
        <w:t>日合同签订日开始实施，至年</w:t>
      </w:r>
      <w:r>
        <w:rPr>
          <w:rFonts w:hint="eastAsia"/>
          <w:color w:val="0C0C0C" w:themeColor="text1" w:themeTint="F2"/>
          <w:sz w:val="28"/>
          <w:szCs w:val="28"/>
          <w:u w:val="single"/>
        </w:rPr>
        <w:t>　　</w:t>
      </w:r>
      <w:r>
        <w:rPr>
          <w:rFonts w:hint="eastAsia"/>
          <w:color w:val="0C0C0C" w:themeColor="text1" w:themeTint="F2"/>
          <w:sz w:val="28"/>
          <w:szCs w:val="28"/>
        </w:rPr>
        <w:t>月日结束。</w:t>
      </w:r>
    </w:p>
    <w:p>
      <w:pPr>
        <w:spacing w:line="480" w:lineRule="auto"/>
        <w:ind w:left="6" w:leftChars="2"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七、本合同一式八份，具有同等法律效力，委托人执五份，咨询人执三份。</w:t>
      </w:r>
    </w:p>
    <w:p>
      <w:pPr>
        <w:tabs>
          <w:tab w:val="left" w:pos="4140"/>
          <w:tab w:val="left" w:pos="4320"/>
        </w:tabs>
        <w:spacing w:beforeLines="100" w:line="480" w:lineRule="auto"/>
        <w:ind w:left="2335" w:leftChars="1" w:right="-67" w:rightChars="-24" w:hanging="2332" w:hangingChars="729"/>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委托人：  （盖章）            咨询人：（盖章）</w:t>
      </w:r>
    </w:p>
    <w:p>
      <w:pPr>
        <w:spacing w:line="480" w:lineRule="auto"/>
        <w:ind w:left="2115" w:right="-67" w:rightChars="-24"/>
        <w:rPr>
          <w:rFonts w:ascii="宋体" w:hAnsi="宋体"/>
          <w:color w:val="0C0C0C" w:themeColor="text1" w:themeTint="F2"/>
          <w:spacing w:val="20"/>
          <w:sz w:val="28"/>
          <w:szCs w:val="28"/>
        </w:rPr>
      </w:pPr>
    </w:p>
    <w:p>
      <w:pPr>
        <w:tabs>
          <w:tab w:val="left" w:pos="180"/>
        </w:tabs>
        <w:spacing w:line="480" w:lineRule="auto"/>
        <w:ind w:left="2333" w:right="-67" w:rightChars="-24" w:hanging="2332" w:hangingChars="729"/>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负  责 人：（签字）           法定代表人：（签字）</w:t>
      </w:r>
    </w:p>
    <w:p>
      <w:pPr>
        <w:spacing w:line="480" w:lineRule="auto"/>
        <w:ind w:left="2115" w:right="-67" w:rightChars="-24"/>
        <w:jc w:val="left"/>
        <w:rPr>
          <w:rFonts w:ascii="宋体" w:hAnsi="宋体"/>
          <w:color w:val="0C0C0C" w:themeColor="text1" w:themeTint="F2"/>
          <w:spacing w:val="20"/>
          <w:sz w:val="28"/>
          <w:szCs w:val="28"/>
        </w:rPr>
      </w:pPr>
    </w:p>
    <w:p>
      <w:pPr>
        <w:spacing w:line="480" w:lineRule="auto"/>
        <w:ind w:left="2544" w:right="-67" w:rightChars="-24" w:hanging="2544" w:hangingChars="795"/>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委托代理人  （签字）          委托代理人：（签字）</w:t>
      </w:r>
    </w:p>
    <w:p>
      <w:pPr>
        <w:tabs>
          <w:tab w:val="left" w:pos="1980"/>
          <w:tab w:val="left" w:pos="2160"/>
        </w:tabs>
        <w:spacing w:beforeLines="50"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住   所：                 住   所： </w:t>
      </w:r>
    </w:p>
    <w:p>
      <w:pPr>
        <w:tabs>
          <w:tab w:val="left" w:pos="1980"/>
          <w:tab w:val="left" w:pos="2160"/>
        </w:tabs>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开户 行：                 开户 行： </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帐   号：                 帐   号：</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邮   编：                 邮   编：</w:t>
      </w:r>
    </w:p>
    <w:p>
      <w:pPr>
        <w:spacing w:line="480" w:lineRule="auto"/>
        <w:ind w:right="-67" w:rightChars="-24"/>
        <w:rPr>
          <w:rFonts w:ascii="宋体" w:hAnsi="宋体"/>
          <w:color w:val="0C0C0C" w:themeColor="text1" w:themeTint="F2"/>
          <w:spacing w:val="20"/>
          <w:sz w:val="28"/>
          <w:szCs w:val="28"/>
        </w:rPr>
      </w:pPr>
      <w:r>
        <w:rPr>
          <w:rFonts w:hint="eastAsia" w:ascii="宋体" w:hAnsi="宋体"/>
          <w:color w:val="0C0C0C" w:themeColor="text1" w:themeTint="F2"/>
          <w:spacing w:val="20"/>
          <w:sz w:val="28"/>
          <w:szCs w:val="28"/>
        </w:rPr>
        <w:t xml:space="preserve"> 电   话：                 电   话：</w:t>
      </w:r>
    </w:p>
    <w:p>
      <w:pPr>
        <w:spacing w:line="480" w:lineRule="auto"/>
        <w:ind w:right="-67" w:rightChars="-24"/>
        <w:rPr>
          <w:rFonts w:asciiTheme="minorEastAsia" w:hAnsiTheme="minorEastAsia" w:eastAsiaTheme="minorEastAsia" w:cstheme="minorEastAsia"/>
          <w:color w:val="0C0C0C" w:themeColor="text1" w:themeTint="F2"/>
          <w:spacing w:val="20"/>
          <w:sz w:val="28"/>
          <w:szCs w:val="28"/>
        </w:rPr>
      </w:pPr>
      <w:r>
        <w:rPr>
          <w:rFonts w:hint="eastAsia" w:ascii="宋体" w:hAnsi="宋体"/>
          <w:color w:val="0C0C0C" w:themeColor="text1" w:themeTint="F2"/>
          <w:spacing w:val="20"/>
          <w:sz w:val="24"/>
        </w:rPr>
        <w:t xml:space="preserve"> 传   真：                    </w:t>
      </w:r>
      <w:r>
        <w:rPr>
          <w:rFonts w:hint="eastAsia" w:asciiTheme="minorEastAsia" w:hAnsiTheme="minorEastAsia" w:eastAsiaTheme="minorEastAsia" w:cstheme="minorEastAsia"/>
          <w:color w:val="0C0C0C" w:themeColor="text1" w:themeTint="F2"/>
          <w:spacing w:val="20"/>
          <w:sz w:val="28"/>
          <w:szCs w:val="28"/>
        </w:rPr>
        <w:t>传   真：</w:t>
      </w:r>
    </w:p>
    <w:p>
      <w:pPr>
        <w:spacing w:line="480" w:lineRule="auto"/>
        <w:ind w:right="-67" w:rightChars="-24"/>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pacing w:val="20"/>
          <w:sz w:val="28"/>
          <w:szCs w:val="28"/>
        </w:rPr>
        <w:t xml:space="preserve"> 邮   箱：                 邮   箱：</w:t>
      </w:r>
    </w:p>
    <w:p>
      <w:pPr>
        <w:spacing w:line="480" w:lineRule="auto"/>
        <w:jc w:val="right"/>
        <w:rPr>
          <w:rFonts w:asciiTheme="minorEastAsia" w:hAnsiTheme="minorEastAsia" w:eastAsiaTheme="minorEastAsia" w:cstheme="minorEastAsia"/>
          <w:color w:val="0C0C0C" w:themeColor="text1" w:themeTint="F2"/>
          <w:spacing w:val="20"/>
          <w:sz w:val="28"/>
          <w:szCs w:val="28"/>
        </w:rPr>
      </w:pPr>
      <w:r>
        <w:rPr>
          <w:rFonts w:hint="eastAsia" w:asciiTheme="minorEastAsia" w:hAnsiTheme="minorEastAsia" w:eastAsiaTheme="minorEastAsia" w:cstheme="minorEastAsia"/>
          <w:color w:val="0C0C0C" w:themeColor="text1" w:themeTint="F2"/>
          <w:spacing w:val="20"/>
          <w:sz w:val="28"/>
          <w:szCs w:val="28"/>
        </w:rPr>
        <w:t>2021年  月  日</w:t>
      </w: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hint="eastAsia" w:ascii="宋体" w:hAnsi="宋体"/>
          <w:b/>
          <w:color w:val="0C0C0C" w:themeColor="text1" w:themeTint="F2"/>
          <w:sz w:val="28"/>
        </w:rPr>
      </w:pPr>
    </w:p>
    <w:p>
      <w:pPr>
        <w:tabs>
          <w:tab w:val="left" w:pos="5040"/>
        </w:tabs>
        <w:spacing w:line="480" w:lineRule="auto"/>
        <w:jc w:val="center"/>
        <w:rPr>
          <w:rFonts w:ascii="宋体" w:hAnsi="宋体"/>
          <w:b/>
          <w:color w:val="0C0C0C" w:themeColor="text1" w:themeTint="F2"/>
          <w:sz w:val="28"/>
        </w:rPr>
      </w:pPr>
      <w:r>
        <w:rPr>
          <w:rFonts w:hint="eastAsia" w:ascii="宋体" w:hAnsi="宋体"/>
          <w:b/>
          <w:color w:val="0C0C0C" w:themeColor="text1" w:themeTint="F2"/>
          <w:sz w:val="28"/>
        </w:rPr>
        <w:t>第二部分  工程造价咨询合同标准条款</w:t>
      </w:r>
    </w:p>
    <w:p>
      <w:pPr>
        <w:spacing w:line="480" w:lineRule="auto"/>
        <w:ind w:firstLine="2221" w:firstLineChars="790"/>
        <w:jc w:val="left"/>
        <w:rPr>
          <w:rFonts w:ascii="宋体" w:hAnsi="宋体"/>
          <w:b/>
          <w:bCs/>
          <w:color w:val="0C0C0C" w:themeColor="text1" w:themeTint="F2"/>
          <w:sz w:val="28"/>
        </w:rPr>
      </w:pPr>
      <w:r>
        <w:rPr>
          <w:rFonts w:hint="eastAsia" w:ascii="宋体" w:hAnsi="宋体"/>
          <w:b/>
          <w:bCs/>
          <w:color w:val="0C0C0C" w:themeColor="text1" w:themeTint="F2"/>
          <w:sz w:val="28"/>
        </w:rPr>
        <w:t>词语定义、适用语言和法律、法规</w:t>
      </w:r>
    </w:p>
    <w:p>
      <w:pPr>
        <w:numPr>
          <w:ilvl w:val="0"/>
          <w:numId w:val="2"/>
        </w:numPr>
        <w:spacing w:line="480" w:lineRule="auto"/>
        <w:ind w:hanging="450"/>
        <w:rPr>
          <w:rFonts w:ascii="宋体" w:hAnsi="宋体"/>
          <w:color w:val="0C0C0C" w:themeColor="text1" w:themeTint="F2"/>
          <w:sz w:val="28"/>
          <w:szCs w:val="28"/>
        </w:rPr>
      </w:pPr>
      <w:r>
        <w:rPr>
          <w:rFonts w:hint="eastAsia" w:ascii="宋体" w:hAnsi="宋体"/>
          <w:color w:val="0C0C0C" w:themeColor="text1" w:themeTint="F2"/>
          <w:sz w:val="28"/>
          <w:szCs w:val="28"/>
        </w:rPr>
        <w:t>下列名词和用语，除上下文另有规定外具有如下含义。</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1、“委托人”是指委托工程造价咨询业务和聘用工程造价咨询单位的一方，以及其合法继承人。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2、“咨询人”是指承担工程造价咨询业务和工程造价咨询责任的一方，以及其合法继承人。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3、“第三人”是指除委托人、咨询人以外与本咨询业务有关的当事人。</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4、“日”是指任何一天零时至第二天零时的时段。</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工程造价咨询合同适用的是中国的法律、法规以及</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中议定的部门规章，工程造价有关计价办法和规定或项目所在地的地方法规、地方规章。</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工程造价咨询合同的书写、解释和说明，以汉语为主导语言。当不同语言文本发生不同解释时，以汉语合同文本为准。</w:t>
      </w:r>
    </w:p>
    <w:p>
      <w:pPr>
        <w:spacing w:line="480" w:lineRule="auto"/>
        <w:jc w:val="center"/>
        <w:rPr>
          <w:rFonts w:ascii="宋体" w:hAnsi="宋体"/>
          <w:color w:val="0C0C0C" w:themeColor="text1" w:themeTint="F2"/>
          <w:sz w:val="24"/>
        </w:rPr>
      </w:pPr>
    </w:p>
    <w:p>
      <w:pPr>
        <w:spacing w:line="480" w:lineRule="auto"/>
        <w:ind w:firstLine="3204" w:firstLineChars="1140"/>
        <w:rPr>
          <w:rFonts w:ascii="宋体" w:hAnsi="宋体"/>
          <w:b/>
          <w:bCs/>
          <w:color w:val="0C0C0C" w:themeColor="text1" w:themeTint="F2"/>
          <w:sz w:val="28"/>
        </w:rPr>
      </w:pPr>
      <w:r>
        <w:rPr>
          <w:rFonts w:hint="eastAsia" w:ascii="宋体" w:hAnsi="宋体"/>
          <w:b/>
          <w:bCs/>
          <w:color w:val="0C0C0C" w:themeColor="text1" w:themeTint="F2"/>
          <w:sz w:val="28"/>
        </w:rPr>
        <w:t>咨询人的义务</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向委托人提供与工程造价咨询有关的资料，包括工程造价咨询的资质证书及承担本合同业务的专业人员名单、咨询工作计划等，并按合同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中约定的范围实施咨询业务。</w:t>
      </w:r>
    </w:p>
    <w:p>
      <w:pPr>
        <w:numPr>
          <w:ilvl w:val="0"/>
          <w:numId w:val="2"/>
        </w:numPr>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咨询人在履行本合同期间，向委托人提供的服务包括正常服务、附加服务和额外服务。</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1、“正常服务”是指双方在</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中约定的工程造价咨询业务。</w:t>
      </w:r>
    </w:p>
    <w:p>
      <w:pPr>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2、“附加服务”是指在“正常服务”以外，经双方书面协议确定的附加服务。</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3、“额外服务”是指不属于“正常服务”和“附加服务“，但根据合同标准条件第十三条、第二十条和第二十二条的规定，咨询人应增加的额外工作量。</w:t>
      </w:r>
    </w:p>
    <w:p>
      <w:pPr>
        <w:numPr>
          <w:ilvl w:val="0"/>
          <w:numId w:val="2"/>
        </w:numPr>
        <w:spacing w:line="480" w:lineRule="auto"/>
        <w:ind w:left="0" w:firstLine="540"/>
        <w:rPr>
          <w:rFonts w:hint="eastAsia" w:ascii="宋体" w:hAnsi="宋体"/>
          <w:color w:val="0C0C0C" w:themeColor="text1" w:themeTint="F2"/>
          <w:sz w:val="28"/>
          <w:szCs w:val="28"/>
        </w:rPr>
      </w:pPr>
      <w:r>
        <w:rPr>
          <w:rFonts w:hint="eastAsia" w:ascii="宋体" w:hAnsi="宋体"/>
          <w:color w:val="0C0C0C" w:themeColor="text1" w:themeTint="F2"/>
          <w:sz w:val="28"/>
          <w:szCs w:val="28"/>
        </w:rPr>
        <w:t>在履行合同期间或合同规定期限内，不得泄露与本合同规定业务活动有关的保密资料。</w:t>
      </w:r>
    </w:p>
    <w:p>
      <w:pPr>
        <w:tabs>
          <w:tab w:val="left" w:pos="990"/>
        </w:tabs>
        <w:spacing w:line="480" w:lineRule="auto"/>
        <w:ind w:left="540"/>
        <w:rPr>
          <w:rFonts w:ascii="宋体" w:hAnsi="宋体"/>
          <w:color w:val="0C0C0C" w:themeColor="text1" w:themeTint="F2"/>
          <w:sz w:val="28"/>
          <w:szCs w:val="28"/>
        </w:rPr>
      </w:pPr>
    </w:p>
    <w:p>
      <w:pPr>
        <w:spacing w:line="480" w:lineRule="auto"/>
        <w:jc w:val="center"/>
        <w:rPr>
          <w:rFonts w:hint="eastAsia" w:ascii="宋体" w:hAnsi="宋体"/>
          <w:b/>
          <w:color w:val="0C0C0C" w:themeColor="text1" w:themeTint="F2"/>
          <w:sz w:val="28"/>
          <w:szCs w:val="28"/>
        </w:rPr>
      </w:pPr>
    </w:p>
    <w:p>
      <w:pPr>
        <w:spacing w:line="480" w:lineRule="auto"/>
        <w:jc w:val="center"/>
        <w:rPr>
          <w:rFonts w:hint="eastAsia" w:ascii="宋体" w:hAnsi="宋体"/>
          <w:b/>
          <w:color w:val="0C0C0C" w:themeColor="text1" w:themeTint="F2"/>
          <w:sz w:val="28"/>
          <w:szCs w:val="28"/>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委托人的义务</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第七条   委托人应负责与本工程造价咨询业务有关的第三人的协调，为咨询人工作提供外部条件。</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第八条   委托人应当在约定的时间内，免费向咨询人提供与本项目咨询业务有关的资料。</w:t>
      </w:r>
    </w:p>
    <w:p>
      <w:pPr>
        <w:spacing w:line="480" w:lineRule="auto"/>
        <w:ind w:left="1"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第九条   委托人应当在约定的时间内就咨询人书面提交并要求做出答复的事宜做出书面答复。咨询人要求第三人提供有关资料时，委托人应负责转达及资料转送。</w:t>
      </w:r>
    </w:p>
    <w:p>
      <w:pPr>
        <w:spacing w:line="480" w:lineRule="auto"/>
        <w:ind w:left="1" w:firstLine="560" w:firstLineChars="200"/>
        <w:rPr>
          <w:rFonts w:hint="eastAsia" w:ascii="宋体" w:hAnsi="宋体"/>
          <w:color w:val="0C0C0C" w:themeColor="text1" w:themeTint="F2"/>
          <w:sz w:val="28"/>
          <w:szCs w:val="28"/>
        </w:rPr>
      </w:pPr>
      <w:r>
        <w:rPr>
          <w:rFonts w:hint="eastAsia" w:ascii="宋体" w:hAnsi="宋体"/>
          <w:color w:val="0C0C0C" w:themeColor="text1" w:themeTint="F2"/>
          <w:sz w:val="28"/>
          <w:szCs w:val="28"/>
        </w:rPr>
        <w:t>委托人应当授权胜任本咨询业务的代表，负责与咨询人联系。</w:t>
      </w:r>
    </w:p>
    <w:p>
      <w:pPr>
        <w:spacing w:line="480" w:lineRule="auto"/>
        <w:ind w:left="1" w:firstLine="560" w:firstLineChars="200"/>
        <w:rPr>
          <w:rFonts w:ascii="宋体" w:hAnsi="宋体"/>
          <w:color w:val="0C0C0C" w:themeColor="text1" w:themeTint="F2"/>
          <w:sz w:val="28"/>
          <w:szCs w:val="28"/>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咨询人的权利</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第十一条   委托人在委托的工程造价咨询业务范围内，授予咨询人以下权利：</w:t>
      </w:r>
    </w:p>
    <w:p>
      <w:pPr>
        <w:widowControl/>
        <w:numPr>
          <w:ilvl w:val="0"/>
          <w:numId w:val="3"/>
        </w:numPr>
        <w:tabs>
          <w:tab w:val="left" w:pos="900"/>
          <w:tab w:val="left" w:pos="1260"/>
        </w:tabs>
        <w:spacing w:line="480" w:lineRule="auto"/>
        <w:ind w:left="0" w:firstLine="539"/>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咨询人在咨询过程中，如委托人提供的资料不明确时可向委托人提出书面报告。</w:t>
      </w:r>
    </w:p>
    <w:p>
      <w:pPr>
        <w:numPr>
          <w:ilvl w:val="0"/>
          <w:numId w:val="3"/>
        </w:numPr>
        <w:tabs>
          <w:tab w:val="left" w:pos="900"/>
        </w:tabs>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咨询人在咨询过程中，有权利对第三人提出与本咨询业务有关的问题进行核对或查问。</w:t>
      </w:r>
    </w:p>
    <w:p>
      <w:pPr>
        <w:numPr>
          <w:ilvl w:val="0"/>
          <w:numId w:val="3"/>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咨询人在咨询过程中，有到工程现场勘察的权利。</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委托人的权利</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第十二条   委托人有下列权利：</w:t>
      </w:r>
    </w:p>
    <w:p>
      <w:pPr>
        <w:numPr>
          <w:ilvl w:val="0"/>
          <w:numId w:val="4"/>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委托人有权向咨询人询问工作进展情况及相关的内容。</w:t>
      </w:r>
    </w:p>
    <w:p>
      <w:pPr>
        <w:numPr>
          <w:ilvl w:val="0"/>
          <w:numId w:val="4"/>
        </w:numPr>
        <w:tabs>
          <w:tab w:val="left" w:pos="900"/>
        </w:tabs>
        <w:spacing w:line="480" w:lineRule="auto"/>
        <w:ind w:hanging="180"/>
        <w:rPr>
          <w:rFonts w:ascii="宋体" w:hAnsi="宋体"/>
          <w:color w:val="0C0C0C" w:themeColor="text1" w:themeTint="F2"/>
          <w:sz w:val="28"/>
          <w:szCs w:val="28"/>
        </w:rPr>
      </w:pPr>
      <w:r>
        <w:rPr>
          <w:rFonts w:hint="eastAsia" w:ascii="宋体" w:hAnsi="宋体"/>
          <w:color w:val="0C0C0C" w:themeColor="text1" w:themeTint="F2"/>
          <w:sz w:val="28"/>
          <w:szCs w:val="28"/>
        </w:rPr>
        <w:t>委托人有权阐述对具体问题的意见和建议。</w:t>
      </w:r>
    </w:p>
    <w:p>
      <w:pPr>
        <w:numPr>
          <w:ilvl w:val="0"/>
          <w:numId w:val="4"/>
        </w:numPr>
        <w:tabs>
          <w:tab w:val="left" w:pos="0"/>
          <w:tab w:val="left" w:pos="1080"/>
          <w:tab w:val="clear" w:pos="720"/>
        </w:tabs>
        <w:spacing w:line="480" w:lineRule="auto"/>
        <w:ind w:left="0" w:firstLine="540"/>
        <w:rPr>
          <w:rFonts w:ascii="宋体" w:hAnsi="宋体"/>
          <w:color w:val="0C0C0C" w:themeColor="text1" w:themeTint="F2"/>
          <w:sz w:val="28"/>
          <w:szCs w:val="28"/>
        </w:rPr>
      </w:pPr>
      <w:r>
        <w:rPr>
          <w:rFonts w:hint="eastAsia" w:ascii="宋体" w:hAnsi="宋体"/>
          <w:color w:val="0C0C0C" w:themeColor="text1" w:themeTint="F2"/>
          <w:sz w:val="28"/>
          <w:szCs w:val="28"/>
        </w:rPr>
        <w:t xml:space="preserve"> 委托人认定咨询专业人员不按咨询合同履行其职责，或与第三人串通给委托人造成经济损失的，委托人有权要求更换咨询专业人员，直至终止合同并要求咨询人承担相应的赔偿责任。</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4"/>
        </w:rPr>
      </w:pPr>
      <w:r>
        <w:rPr>
          <w:rFonts w:hint="eastAsia" w:ascii="宋体" w:hAnsi="宋体"/>
          <w:b/>
          <w:color w:val="0C0C0C" w:themeColor="text1" w:themeTint="F2"/>
          <w:sz w:val="28"/>
          <w:szCs w:val="28"/>
        </w:rPr>
        <w:t>咨询人的责任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第十三条   咨询人的责任期即工程造价咨询合同有效期，如因非咨询人的责任造成进度的推迟或延误而超过约定的日期，双方应进一步约定延长合同有效期。</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第十四条   咨询人责任期内，应当履行工程造价咨询合同中约定的义务，因咨询人的单方过失造成的经济损失，应承担全部赔偿责任。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第十五条   咨询人对委托人或第三人所提出的问题不能在24小时内核对或答复，导致合同不能全部或部分履行，咨询人每出现一次应向委托人支付合同总价款千分之二的违约金，并赔偿由此给委托人造成的损失。</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第十六条   咨询人向委托人提出赔偿要求不能成立时，则应补偿由于该赔偿或其他要求所导致委托人的各种费用的支出。</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委托人的责任</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第十七条   委托人应当履行工程造价咨询合同约定的义务，如有违反则应当承担违约责任，赔偿给咨询人造成的损失。</w:t>
      </w:r>
    </w:p>
    <w:p>
      <w:pPr>
        <w:spacing w:line="480" w:lineRule="auto"/>
        <w:ind w:firstLine="630" w:firstLineChars="225"/>
        <w:rPr>
          <w:rFonts w:ascii="宋体" w:hAnsi="宋体"/>
          <w:color w:val="0C0C0C" w:themeColor="text1" w:themeTint="F2"/>
          <w:sz w:val="28"/>
          <w:szCs w:val="28"/>
        </w:rPr>
      </w:pPr>
      <w:r>
        <w:rPr>
          <w:rFonts w:hint="eastAsia" w:ascii="宋体" w:hAnsi="宋体"/>
          <w:color w:val="0C0C0C" w:themeColor="text1" w:themeTint="F2"/>
          <w:sz w:val="28"/>
          <w:szCs w:val="28"/>
        </w:rPr>
        <w:t>第十八条   委托人如果向咨询人提出赔偿或其他要求不能成立时，则应补偿由于该赔偿或其他要求所导致咨询人的各种费用的支出。</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合同生效，变更与终止</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第十九条   本合同自双方签字盖章之日起生效。</w:t>
      </w:r>
    </w:p>
    <w:p>
      <w:pPr>
        <w:widowControl/>
        <w:tabs>
          <w:tab w:val="left" w:pos="900"/>
          <w:tab w:val="left" w:pos="1260"/>
        </w:tabs>
        <w:spacing w:line="480" w:lineRule="auto"/>
        <w:ind w:firstLine="560" w:firstLineChars="200"/>
        <w:jc w:val="left"/>
        <w:rPr>
          <w:rFonts w:ascii="宋体" w:hAnsi="宋体"/>
          <w:color w:val="0C0C0C" w:themeColor="text1" w:themeTint="F2"/>
          <w:sz w:val="28"/>
          <w:szCs w:val="28"/>
        </w:rPr>
      </w:pPr>
      <w:r>
        <w:rPr>
          <w:rFonts w:hint="eastAsia" w:ascii="宋体" w:hAnsi="宋体"/>
          <w:color w:val="0C0C0C" w:themeColor="text1" w:themeTint="F2"/>
          <w:sz w:val="28"/>
          <w:szCs w:val="28"/>
        </w:rPr>
        <w:t>第二十条   由于委托人或第三人的原因使咨询人工作受到阻碍或延误以致增加了工作量或持续时间，则咨询人应当将此情况与可能产生的影响及时书面通知委托人。由此增加的工作量视为额外服务，完成工程造价咨询工作时间应当延长，并得到额外的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第二十一条   当事人一方要求变更或解除合同时，则应当在14日前通知对方；因变更或解除合同使一方遭受损失的，应由责任方负责赔偿。</w:t>
      </w:r>
    </w:p>
    <w:p>
      <w:pPr>
        <w:widowControl/>
        <w:tabs>
          <w:tab w:val="left" w:pos="900"/>
          <w:tab w:val="left" w:pos="1260"/>
        </w:tabs>
        <w:spacing w:line="480" w:lineRule="auto"/>
        <w:ind w:firstLine="560" w:firstLineChars="200"/>
        <w:rPr>
          <w:rFonts w:hint="eastAsia" w:ascii="宋体" w:hAnsi="宋体"/>
          <w:color w:val="0C0C0C" w:themeColor="text1" w:themeTint="F2"/>
          <w:sz w:val="28"/>
          <w:szCs w:val="28"/>
        </w:rPr>
      </w:pPr>
      <w:r>
        <w:rPr>
          <w:rFonts w:hint="eastAsia" w:ascii="宋体" w:hAnsi="宋体"/>
          <w:color w:val="0C0C0C" w:themeColor="text1" w:themeTint="F2"/>
          <w:sz w:val="28"/>
          <w:szCs w:val="28"/>
        </w:rPr>
        <w:t>第二十二条   咨询人由于非自身原因暂停或终止执行工程造价咨询业务，由此而增加的恢复执行工程造价咨询业务的工作，应视为额外服务，有权得到额外的时间和酬金。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第二十三条   变更或解除合同的通知或协议应当采取书面形式，新的协议未达成之前，原合同仍然有效。</w:t>
      </w:r>
    </w:p>
    <w:p>
      <w:pPr>
        <w:spacing w:line="480" w:lineRule="auto"/>
        <w:jc w:val="center"/>
        <w:rPr>
          <w:rFonts w:ascii="宋体" w:hAnsi="宋体"/>
          <w:color w:val="0C0C0C" w:themeColor="text1" w:themeTint="F2"/>
          <w:sz w:val="24"/>
        </w:rPr>
      </w:pPr>
    </w:p>
    <w:p>
      <w:pPr>
        <w:spacing w:line="480" w:lineRule="auto"/>
        <w:jc w:val="center"/>
        <w:rPr>
          <w:rFonts w:ascii="宋体" w:hAnsi="宋体"/>
          <w:b/>
          <w:color w:val="0C0C0C" w:themeColor="text1" w:themeTint="F2"/>
          <w:sz w:val="28"/>
          <w:szCs w:val="28"/>
        </w:rPr>
      </w:pPr>
      <w:r>
        <w:rPr>
          <w:rFonts w:hint="eastAsia" w:ascii="宋体" w:hAnsi="宋体"/>
          <w:b/>
          <w:color w:val="0C0C0C" w:themeColor="text1" w:themeTint="F2"/>
          <w:sz w:val="28"/>
          <w:szCs w:val="28"/>
        </w:rPr>
        <w:t>咨询业务的酬金</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第二十四条   正常的工程造价咨询业务，附加工作和额外工作的酬金，按照工程造价咨询合同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约定的方法计取，并按约定的时间和数额支付。</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第二十五条   如果委托人在规定的支付期限内未支付工程造价咨询酬金，自规定支付之日起，应当向咨询人补偿应支付的酬金利息。利息额按规定支付期限最后一日银行活期贷款乘以拖欠酬金时间计算。</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第二十六条   如果委托人对咨询人提交的支付通知书中的酬金或部分酬金项目提出异议，应当在收到支付通知书五日内向咨询人发出异议的通知，但委托人不得拖延其无异议酬金项目的支付。</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第二十七条   支付工程造价咨询酬金所采取的货币币种、汇率由合同</w:t>
      </w:r>
      <w:r>
        <w:rPr>
          <w:rFonts w:hint="eastAsia" w:ascii="宋体" w:hAnsi="宋体"/>
          <w:color w:val="0C0C0C" w:themeColor="text1" w:themeTint="F2"/>
          <w:sz w:val="28"/>
          <w:szCs w:val="28"/>
          <w:lang w:eastAsia="zh-CN"/>
        </w:rPr>
        <w:t>专用条款</w:t>
      </w:r>
      <w:r>
        <w:rPr>
          <w:rFonts w:hint="eastAsia" w:ascii="宋体" w:hAnsi="宋体"/>
          <w:color w:val="0C0C0C" w:themeColor="text1" w:themeTint="F2"/>
          <w:sz w:val="28"/>
          <w:szCs w:val="28"/>
        </w:rPr>
        <w:t>约定。</w:t>
      </w:r>
    </w:p>
    <w:p>
      <w:pPr>
        <w:widowControl/>
        <w:tabs>
          <w:tab w:val="left" w:pos="900"/>
          <w:tab w:val="left" w:pos="1260"/>
        </w:tabs>
        <w:spacing w:line="480" w:lineRule="auto"/>
        <w:jc w:val="center"/>
        <w:rPr>
          <w:rFonts w:ascii="宋体" w:hAnsi="宋体"/>
          <w:b/>
          <w:bCs/>
          <w:color w:val="0C0C0C" w:themeColor="text1" w:themeTint="F2"/>
          <w:sz w:val="28"/>
          <w:szCs w:val="28"/>
        </w:rPr>
      </w:pPr>
      <w:r>
        <w:rPr>
          <w:rFonts w:hint="eastAsia" w:ascii="宋体" w:hAnsi="宋体"/>
          <w:b/>
          <w:bCs/>
          <w:color w:val="0C0C0C" w:themeColor="text1" w:themeTint="F2"/>
          <w:sz w:val="28"/>
          <w:szCs w:val="28"/>
        </w:rPr>
        <w:t>其他</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第二十八条   因工程造价咨询业务的需要，咨询人在合同约定外的外出考察，经委托人同意，其所需费用由委托人负责。</w:t>
      </w:r>
    </w:p>
    <w:p>
      <w:pPr>
        <w:widowControl/>
        <w:tabs>
          <w:tab w:val="left" w:pos="900"/>
          <w:tab w:val="left" w:pos="1260"/>
        </w:tabs>
        <w:spacing w:line="480" w:lineRule="auto"/>
        <w:ind w:firstLine="560" w:firstLineChars="200"/>
        <w:rPr>
          <w:rFonts w:ascii="宋体" w:hAnsi="宋体"/>
          <w:color w:val="0C0C0C" w:themeColor="text1" w:themeTint="F2"/>
          <w:sz w:val="28"/>
          <w:szCs w:val="28"/>
        </w:rPr>
      </w:pPr>
      <w:r>
        <w:rPr>
          <w:rFonts w:hint="eastAsia" w:ascii="宋体" w:hAnsi="宋体"/>
          <w:color w:val="0C0C0C" w:themeColor="text1" w:themeTint="F2"/>
          <w:sz w:val="28"/>
          <w:szCs w:val="28"/>
        </w:rPr>
        <w:t>第二十九条   咨询人如需外聘专家协助，在委托的工程造价咨询业务范围内其费用由咨询人承担；在委托的工程造价咨询业务范围以外经委托人认可其费用由委托人承担。</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第三十条   未经对方的书面同意，各方均不得转让合同约定的权利和义务。</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第三十一条   除委托人书面同意外，咨询人及咨询专业人员不应接受工程造价咨询合同约定以外的与工程造价咨询项目有关的任何报酬。咨询人不得参与可能与合同规定的与委托人利益相冲突的任何活动。</w:t>
      </w:r>
    </w:p>
    <w:p>
      <w:pPr>
        <w:widowControl/>
        <w:tabs>
          <w:tab w:val="left" w:pos="900"/>
          <w:tab w:val="left" w:pos="1260"/>
        </w:tabs>
        <w:spacing w:line="480" w:lineRule="auto"/>
        <w:ind w:left="539"/>
        <w:rPr>
          <w:rFonts w:ascii="宋体" w:hAnsi="宋体"/>
          <w:color w:val="0C0C0C" w:themeColor="text1" w:themeTint="F2"/>
          <w:sz w:val="24"/>
        </w:rPr>
      </w:pPr>
    </w:p>
    <w:p>
      <w:pPr>
        <w:widowControl/>
        <w:tabs>
          <w:tab w:val="left" w:pos="900"/>
          <w:tab w:val="left" w:pos="1260"/>
        </w:tabs>
        <w:spacing w:line="480" w:lineRule="auto"/>
        <w:ind w:left="539"/>
        <w:jc w:val="center"/>
        <w:rPr>
          <w:rFonts w:ascii="宋体" w:hAnsi="宋体"/>
          <w:b/>
          <w:bCs/>
          <w:color w:val="0C0C0C" w:themeColor="text1" w:themeTint="F2"/>
          <w:sz w:val="28"/>
          <w:szCs w:val="28"/>
        </w:rPr>
      </w:pPr>
      <w:r>
        <w:rPr>
          <w:rFonts w:hint="eastAsia" w:ascii="宋体" w:hAnsi="宋体"/>
          <w:b/>
          <w:bCs/>
          <w:color w:val="0C0C0C" w:themeColor="text1" w:themeTint="F2"/>
          <w:sz w:val="28"/>
          <w:szCs w:val="28"/>
        </w:rPr>
        <w:t>合同争议的解决</w:t>
      </w:r>
    </w:p>
    <w:p>
      <w:pPr>
        <w:widowControl/>
        <w:tabs>
          <w:tab w:val="left" w:pos="900"/>
          <w:tab w:val="left" w:pos="1260"/>
        </w:tabs>
        <w:spacing w:line="480" w:lineRule="auto"/>
        <w:rPr>
          <w:rFonts w:ascii="宋体" w:hAnsi="宋体"/>
          <w:color w:val="0C0C0C" w:themeColor="text1" w:themeTint="F2"/>
          <w:sz w:val="28"/>
          <w:szCs w:val="28"/>
        </w:rPr>
      </w:pPr>
      <w:r>
        <w:rPr>
          <w:rFonts w:hint="eastAsia" w:ascii="宋体" w:hAnsi="宋体"/>
          <w:color w:val="0C0C0C" w:themeColor="text1" w:themeTint="F2"/>
          <w:sz w:val="28"/>
          <w:szCs w:val="28"/>
        </w:rPr>
        <w:t xml:space="preserve">   第三十二条   本项目实施期间，双方如有纠纷，双方应协商解决协商不成的，依法向有管辖权的人民法院提起诉讼。</w:t>
      </w:r>
    </w:p>
    <w:p>
      <w:pPr>
        <w:pStyle w:val="10"/>
        <w:ind w:firstLine="630"/>
        <w:jc w:val="center"/>
        <w:rPr>
          <w:rFonts w:ascii="宋体" w:hAnsi="宋体"/>
          <w:b/>
          <w:color w:val="0C0C0C" w:themeColor="text1" w:themeTint="F2"/>
          <w:sz w:val="32"/>
          <w:szCs w:val="32"/>
        </w:rPr>
      </w:pPr>
    </w:p>
    <w:p>
      <w:pPr>
        <w:pStyle w:val="10"/>
        <w:ind w:firstLine="630"/>
        <w:jc w:val="center"/>
        <w:rPr>
          <w:rFonts w:ascii="宋体" w:hAnsi="宋体"/>
          <w:b/>
          <w:color w:val="0C0C0C" w:themeColor="text1" w:themeTint="F2"/>
          <w:sz w:val="32"/>
          <w:szCs w:val="32"/>
        </w:rPr>
      </w:pPr>
      <w:r>
        <w:rPr>
          <w:rFonts w:hint="eastAsia" w:ascii="宋体" w:hAnsi="宋体"/>
          <w:b/>
          <w:color w:val="0C0C0C" w:themeColor="text1" w:themeTint="F2"/>
          <w:sz w:val="32"/>
          <w:szCs w:val="32"/>
        </w:rPr>
        <w:t>合同专用条款主要部分</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1.本合同适用的法规及审计依据</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（1）国家、建设部、安徽省颁布的有关工程建设项目结算审计的政策和法规、规范；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（2）安徽省工程工程量清单计价规范及省市相关定额标准等；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（3) 芜湖市市场价格信息；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（4) 发包人与施工单位签订的施工承发包合同及本工程建设项目招投标文件；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（5) 勘察、设计单位提供的勘测报告文件及设计图纸；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（6) 本项目经济技术签证、竣工图纸、监理资料、工程验收资料及其他涉及价款结算的资料；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（7)项目造价咨询所需的其他有关材料；                                    </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（8) 经委托人确认补充提供的其他有关资料。                        </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2.造价咨询服务范围</w:t>
      </w:r>
    </w:p>
    <w:p>
      <w:pPr>
        <w:pStyle w:val="10"/>
        <w:ind w:firstLine="63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（1）造价咨询服务范围：2022-2024年委托人的修缮工程造价咨询。咨询合同一年一签，即第一年自2022年1月1日至2022年12月31日。考核合格续签。</w:t>
      </w:r>
    </w:p>
    <w:p>
      <w:pPr>
        <w:spacing w:line="480" w:lineRule="auto"/>
        <w:ind w:firstLine="560" w:firstLineChars="200"/>
        <w:jc w:val="left"/>
        <w:rPr>
          <w:rFonts w:ascii="宋体" w:hAnsi="宋体"/>
          <w:color w:val="0C0C0C" w:themeColor="text1" w:themeTint="F2"/>
          <w:kern w:val="0"/>
          <w:sz w:val="28"/>
          <w:szCs w:val="28"/>
        </w:rPr>
      </w:pPr>
      <w:r>
        <w:rPr>
          <w:rFonts w:hint="eastAsia" w:asciiTheme="minorEastAsia" w:hAnsiTheme="minorEastAsia" w:eastAsiaTheme="minorEastAsia" w:cstheme="minorEastAsia"/>
          <w:color w:val="0C0C0C" w:themeColor="text1" w:themeTint="F2"/>
          <w:sz w:val="28"/>
          <w:szCs w:val="28"/>
        </w:rPr>
        <w:t>（2）造价咨询服务类别：</w:t>
      </w:r>
      <w:r>
        <w:rPr>
          <w:rFonts w:hint="eastAsia" w:asciiTheme="minorEastAsia" w:hAnsiTheme="minorEastAsia" w:eastAsiaTheme="minorEastAsia" w:cstheme="minorEastAsia"/>
          <w:bCs/>
          <w:color w:val="0C0C0C" w:themeColor="text1" w:themeTint="F2"/>
          <w:sz w:val="28"/>
          <w:szCs w:val="28"/>
        </w:rPr>
        <w:sym w:font="Wingdings" w:char="F081"/>
      </w:r>
      <w:r>
        <w:rPr>
          <w:rFonts w:hint="eastAsia" w:asciiTheme="minorEastAsia" w:hAnsiTheme="minorEastAsia" w:eastAsiaTheme="minorEastAsia" w:cstheme="minorEastAsia"/>
          <w:color w:val="0C0C0C" w:themeColor="text1" w:themeTint="F2"/>
          <w:sz w:val="28"/>
          <w:szCs w:val="28"/>
        </w:rPr>
        <w:t>修缮工程结算审核；</w:t>
      </w:r>
      <w:r>
        <w:rPr>
          <w:rFonts w:hint="eastAsia" w:ascii="宋体" w:hAnsi="宋体" w:eastAsiaTheme="minorEastAsia" w:cstheme="minorEastAsia"/>
          <w:color w:val="0C0C0C" w:themeColor="text1" w:themeTint="F2"/>
          <w:kern w:val="0"/>
          <w:sz w:val="28"/>
          <w:szCs w:val="28"/>
        </w:rPr>
        <w:sym w:font="Wingdings" w:char="F082"/>
      </w:r>
      <w:r>
        <w:rPr>
          <w:rFonts w:hint="eastAsia" w:ascii="宋体" w:hAnsi="宋体"/>
          <w:color w:val="0C0C0C" w:themeColor="text1" w:themeTint="F2"/>
          <w:kern w:val="0"/>
          <w:sz w:val="28"/>
          <w:szCs w:val="28"/>
        </w:rPr>
        <w:t>其他类型（跟踪审计等）工程造价咨询项目</w:t>
      </w:r>
    </w:p>
    <w:p>
      <w:pPr>
        <w:pStyle w:val="10"/>
        <w:spacing w:beforeLines="50"/>
        <w:ind w:firstLine="562" w:firstLineChars="200"/>
        <w:rPr>
          <w:rFonts w:asciiTheme="minorEastAsia" w:hAnsiTheme="minorEastAsia" w:eastAsiaTheme="minorEastAsia" w:cstheme="minorEastAsia"/>
          <w:b/>
          <w:bCs/>
          <w:color w:val="0C0C0C" w:themeColor="text1" w:themeTint="F2"/>
          <w:sz w:val="28"/>
          <w:szCs w:val="28"/>
        </w:rPr>
      </w:pPr>
      <w:r>
        <w:rPr>
          <w:rFonts w:hint="eastAsia" w:asciiTheme="minorEastAsia" w:hAnsiTheme="minorEastAsia" w:eastAsiaTheme="minorEastAsia" w:cstheme="minorEastAsia"/>
          <w:b/>
          <w:bCs/>
          <w:color w:val="0C0C0C" w:themeColor="text1" w:themeTint="F2"/>
          <w:spacing w:val="0"/>
          <w:sz w:val="28"/>
          <w:szCs w:val="28"/>
        </w:rPr>
        <w:t>3.咨询</w:t>
      </w:r>
      <w:r>
        <w:rPr>
          <w:rFonts w:hint="eastAsia" w:asciiTheme="minorEastAsia" w:hAnsiTheme="minorEastAsia" w:eastAsiaTheme="minorEastAsia" w:cstheme="minorEastAsia"/>
          <w:b/>
          <w:bCs/>
          <w:color w:val="0C0C0C" w:themeColor="text1" w:themeTint="F2"/>
          <w:sz w:val="28"/>
          <w:szCs w:val="28"/>
        </w:rPr>
        <w:t>服务工作内容</w:t>
      </w:r>
    </w:p>
    <w:p>
      <w:pPr>
        <w:pStyle w:val="10"/>
        <w:ind w:firstLine="560" w:firstLineChars="20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（1）工程结算审核</w:t>
      </w:r>
    </w:p>
    <w:p>
      <w:pPr>
        <w:pStyle w:val="10"/>
        <w:ind w:firstLine="560" w:firstLineChars="200"/>
        <w:rPr>
          <w:rFonts w:asciiTheme="minorEastAsia" w:hAnsiTheme="minorEastAsia" w:eastAsiaTheme="minorEastAsia" w:cstheme="minorEastAsia"/>
          <w:color w:val="0C0C0C" w:themeColor="text1" w:themeTint="F2"/>
          <w:spacing w:val="0"/>
          <w:sz w:val="28"/>
          <w:szCs w:val="28"/>
        </w:rPr>
      </w:pPr>
      <w:r>
        <w:rPr>
          <w:rFonts w:hint="eastAsia" w:asciiTheme="minorEastAsia" w:hAnsiTheme="minorEastAsia" w:eastAsiaTheme="minorEastAsia" w:cstheme="minorEastAsia"/>
          <w:color w:val="0C0C0C" w:themeColor="text1" w:themeTint="F2"/>
          <w:spacing w:val="0"/>
          <w:sz w:val="28"/>
          <w:szCs w:val="28"/>
        </w:rPr>
        <w:t xml:space="preserve">  </w:t>
      </w:r>
      <w:r>
        <w:rPr>
          <w:rFonts w:hint="eastAsia" w:asciiTheme="minorEastAsia" w:hAnsiTheme="minorEastAsia" w:eastAsiaTheme="minorEastAsia" w:cstheme="minorEastAsia"/>
          <w:color w:val="0C0C0C" w:themeColor="text1" w:themeTint="F2"/>
          <w:spacing w:val="0"/>
          <w:sz w:val="28"/>
          <w:szCs w:val="28"/>
        </w:rPr>
        <w:sym w:font="Wingdings" w:char="F081"/>
      </w:r>
      <w:r>
        <w:rPr>
          <w:rFonts w:hint="eastAsia" w:asciiTheme="minorEastAsia" w:hAnsiTheme="minorEastAsia" w:eastAsiaTheme="minorEastAsia" w:cstheme="minorEastAsia"/>
          <w:color w:val="0C0C0C" w:themeColor="text1" w:themeTint="F2"/>
          <w:spacing w:val="0"/>
          <w:sz w:val="28"/>
          <w:szCs w:val="28"/>
        </w:rPr>
        <w:t>工程结算审核是对工程全部成本的真实性、合法性进行的审查和评价。</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2"/>
      </w:r>
      <w:r>
        <w:rPr>
          <w:rFonts w:hint="eastAsia" w:asciiTheme="minorEastAsia" w:hAnsiTheme="minorEastAsia" w:eastAsiaTheme="minorEastAsia" w:cstheme="minorEastAsia"/>
          <w:color w:val="0C0C0C" w:themeColor="text1" w:themeTint="F2"/>
          <w:sz w:val="28"/>
          <w:szCs w:val="28"/>
        </w:rPr>
        <w:t>检查与合同价不同的部分，其工程量、单价、取费标准是否与现场、施工图和合同相符；</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3"/>
      </w:r>
      <w:r>
        <w:rPr>
          <w:rFonts w:hint="eastAsia" w:asciiTheme="minorEastAsia" w:hAnsiTheme="minorEastAsia" w:eastAsiaTheme="minorEastAsia" w:cstheme="minorEastAsia"/>
          <w:color w:val="0C0C0C" w:themeColor="text1" w:themeTint="F2"/>
          <w:sz w:val="28"/>
          <w:szCs w:val="28"/>
        </w:rPr>
        <w:t>检查工程量清单项目中的清单费用与清单外费用是否合理；</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宋体" w:hAnsi="宋体" w:cs="宋体"/>
          <w:color w:val="0C0C0C" w:themeColor="text1" w:themeTint="F2"/>
          <w:sz w:val="28"/>
          <w:szCs w:val="28"/>
        </w:rPr>
        <w:t xml:space="preserve">  ④</w:t>
      </w:r>
      <w:r>
        <w:rPr>
          <w:rFonts w:hint="eastAsia" w:asciiTheme="minorEastAsia" w:hAnsiTheme="minorEastAsia" w:eastAsiaTheme="minorEastAsia" w:cstheme="minorEastAsia"/>
          <w:color w:val="0C0C0C" w:themeColor="text1" w:themeTint="F2"/>
          <w:sz w:val="28"/>
          <w:szCs w:val="28"/>
        </w:rPr>
        <w:t>检查前期、中期、后期结算的方式是否能够合理地控制工程造价。</w:t>
      </w:r>
    </w:p>
    <w:p>
      <w:pPr>
        <w:spacing w:line="480" w:lineRule="auto"/>
        <w:ind w:firstLine="560" w:firstLineChars="200"/>
        <w:jc w:val="left"/>
        <w:rPr>
          <w:rFonts w:asciiTheme="minorEastAsia" w:hAnsiTheme="minorEastAsia" w:eastAsia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sz w:val="28"/>
          <w:szCs w:val="28"/>
        </w:rPr>
        <w:t>（2）</w:t>
      </w:r>
      <w:r>
        <w:rPr>
          <w:rFonts w:hint="eastAsia" w:asciiTheme="minorEastAsia" w:hAnsiTheme="minorEastAsia" w:eastAsiaTheme="minorEastAsia" w:cstheme="minorEastAsia"/>
          <w:color w:val="0C0C0C" w:themeColor="text1" w:themeTint="F2"/>
          <w:kern w:val="0"/>
          <w:sz w:val="28"/>
          <w:szCs w:val="28"/>
        </w:rPr>
        <w:t>其他类型工程造价咨询服务</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kern w:val="0"/>
          <w:sz w:val="28"/>
          <w:szCs w:val="28"/>
        </w:rPr>
        <w:t xml:space="preserve">  </w:t>
      </w:r>
      <w:r>
        <w:rPr>
          <w:rFonts w:hint="eastAsia" w:asciiTheme="minorEastAsia" w:hAnsiTheme="minorEastAsia" w:eastAsiaTheme="minorEastAsia" w:cstheme="minorEastAsia"/>
          <w:color w:val="0C0C0C" w:themeColor="text1" w:themeTint="F2"/>
          <w:kern w:val="0"/>
          <w:sz w:val="28"/>
          <w:szCs w:val="28"/>
        </w:rPr>
        <w:sym w:font="Wingdings" w:char="F081"/>
      </w:r>
      <w:r>
        <w:rPr>
          <w:rFonts w:hint="eastAsia" w:asciiTheme="minorEastAsia" w:hAnsiTheme="minorEastAsia" w:eastAsiaTheme="minorEastAsia" w:cstheme="minorEastAsia"/>
          <w:color w:val="0C0C0C" w:themeColor="text1" w:themeTint="F2"/>
          <w:kern w:val="0"/>
          <w:sz w:val="28"/>
          <w:szCs w:val="28"/>
        </w:rPr>
        <w:t>其他类型工程造价咨询服务的工作内容以</w:t>
      </w:r>
      <w:r>
        <w:rPr>
          <w:rFonts w:hint="eastAsia" w:asciiTheme="minorEastAsia" w:hAnsiTheme="minorEastAsia" w:eastAsiaTheme="minorEastAsia" w:cstheme="minorEastAsia"/>
          <w:color w:val="0C0C0C" w:themeColor="text1" w:themeTint="F2"/>
          <w:sz w:val="28"/>
          <w:szCs w:val="28"/>
        </w:rPr>
        <w:t>《内部审计实务指南第1号－建设项目内部审计》和《内部审计实务指南第4号－高校内部审计》第四章“工程项目审计”规定相关内容为准。</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w:t>
      </w:r>
      <w:r>
        <w:rPr>
          <w:rFonts w:hint="eastAsia" w:asciiTheme="minorEastAsia" w:hAnsiTheme="minorEastAsia" w:eastAsiaTheme="minorEastAsia" w:cstheme="minorEastAsia"/>
          <w:color w:val="0C0C0C" w:themeColor="text1" w:themeTint="F2"/>
          <w:sz w:val="28"/>
          <w:szCs w:val="28"/>
        </w:rPr>
        <w:sym w:font="Wingdings" w:char="F082"/>
      </w:r>
      <w:r>
        <w:rPr>
          <w:rFonts w:hint="eastAsia" w:asciiTheme="minorEastAsia" w:hAnsiTheme="minorEastAsia" w:eastAsiaTheme="minorEastAsia" w:cstheme="minorEastAsia"/>
          <w:color w:val="0C0C0C" w:themeColor="text1" w:themeTint="F2"/>
          <w:sz w:val="28"/>
          <w:szCs w:val="28"/>
        </w:rPr>
        <w:t>其他类型工程咨询服务的工作内容等，若有需要，合同双方可另行协商签订补充协议。</w:t>
      </w:r>
    </w:p>
    <w:p>
      <w:pPr>
        <w:adjustRightInd w:val="0"/>
        <w:snapToGrid w:val="0"/>
        <w:spacing w:after="120" w:line="480" w:lineRule="auto"/>
        <w:ind w:right="-67" w:rightChars="-24" w:firstLine="562"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b/>
          <w:bCs/>
          <w:color w:val="0C0C0C" w:themeColor="text1" w:themeTint="F2"/>
          <w:sz w:val="28"/>
          <w:szCs w:val="28"/>
        </w:rPr>
        <w:t>4.造价咨询服务时限和期限</w:t>
      </w:r>
    </w:p>
    <w:p>
      <w:pPr>
        <w:adjustRightInd w:val="0"/>
        <w:snapToGrid w:val="0"/>
        <w:spacing w:after="120" w:line="480" w:lineRule="auto"/>
        <w:ind w:right="-67" w:rightChars="-24"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工程结算审核时限：咨询人自签收工程项目结算审核送审资料之日起，15日内出具初步审核结果，30日内完成相关咨询服务，出具正式咨询报告。但结算审核过程中，因重大分歧导致的反复协商、反复验证等情形发生的时间不计入咨询服务时限。</w:t>
      </w:r>
    </w:p>
    <w:p>
      <w:pPr>
        <w:adjustRightInd w:val="0"/>
        <w:snapToGrid w:val="0"/>
        <w:spacing w:after="120" w:line="480" w:lineRule="auto"/>
        <w:ind w:right="-67" w:rightChars="-24"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（2）其他类型工程咨询服务时限和期限以甲方委托任务书确定，或双方协商另行签订补充协议。</w:t>
      </w:r>
      <w:r>
        <w:rPr>
          <w:rFonts w:hint="eastAsia" w:asciiTheme="minorEastAsia" w:hAnsiTheme="minorEastAsia" w:eastAsiaTheme="minorEastAsia" w:cstheme="minorEastAsia"/>
          <w:color w:val="0C0C0C" w:themeColor="text1" w:themeTint="F2"/>
          <w:sz w:val="28"/>
          <w:szCs w:val="28"/>
        </w:rPr>
        <w:tab/>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5.委托人的责任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（1）及时向咨询人提供双方约定的委托人应提供的工程资料，包括施工图纸、招投标文件、施工合同及其他与造价有关的文件；</w:t>
      </w:r>
    </w:p>
    <w:p>
      <w:pPr>
        <w:pStyle w:val="10"/>
        <w:ind w:firstLine="544" w:firstLineChars="200"/>
        <w:jc w:val="left"/>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（2）为咨询人提供必要作业场所及其他便利条件；</w:t>
      </w:r>
    </w:p>
    <w:p>
      <w:pPr>
        <w:pStyle w:val="1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（3）协调咨询人在工程结算审核过程中与有关单位、部门之间的所有外部关系；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（4）及时对咨询人书面提交并要求作出决定的事宜作出书面答复；</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（5）按本合同约定及时向咨询人支付审计费和报酬。</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6.咨询人的责任</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（1）咨询人及其审核人员均不得与项目任何相关单位产生或建立与审计工作无关的联系和关系；不得谋取合同约定之外的任何利益。</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（2）咨询人应严格遵守职业道德、执业纪律，维护委托人利益，保守委托人商业秘密的；</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（3）咨询人作业过程中，应及时主动通报工作进度进度、需委托人协调的问题，及时传递作业成果等可能影响进度的一切情形；</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（4）咨询人按照委托合同约定的时限完成咨询事项和咨询服务项目；</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（5）服务成果的质量，即咨询业务报告的误差率控制在±3%以内。委托人将保留对咨询人服务成果的质量委托第三方进行二次抽查的权利；</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（6）咨询人不得转包或变相转包其所承接的工程造价咨询业务；</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（7）咨询人须向委托人提供廉政承诺书；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（8）咨询人除按规定提供相关咨询报告外，还须针对提供咨询服务过程中发现问题适时提供管理建议书；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（9）咨询人须签订工程竣工结算审核复核承诺书；</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(10)咨询人在实施各类工程造价咨询服务前，须提供经甲方同意认可的实施方案。</w:t>
      </w:r>
    </w:p>
    <w:p>
      <w:pPr>
        <w:pStyle w:val="10"/>
        <w:ind w:firstLine="63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7.咨询服务年度考核</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（1）为加强审计管理，降低审计风险，提高审计质量，委托人对咨询人作业实行综合考核，采用百分制，得分在80分以下的，为不合格。具体内容详见《委托人对咨询人履约行为年度考核表》（附表1）</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（2）有下列情形之一的，直接认定为不合格：</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（一）违反审计“八不准”纪律；</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 xml:space="preserve"> （二）隐瞒发现问题，或与有关单位和人员串通、弄虚作假的；</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3）考核不合格，委托人没收咨询人履约保证金，并列入委托人不良行为记录名单，在一定期限内禁止参加委托人采购活动；具有本条（2）行为之一的，委托人不支付咨询服务费用，并将此类情形报告政府采购监管部门，由政府采购监管部门依法处理。</w:t>
      </w:r>
    </w:p>
    <w:p>
      <w:pPr>
        <w:adjustRightInd w:val="0"/>
        <w:spacing w:line="480" w:lineRule="auto"/>
        <w:ind w:firstLine="560"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（4）考核由委托人组织有关部门在咨询人完成年度咨询服务后进行，若对被认定不合格有异议的，咨询人可以向委托人提出书面申诉。</w:t>
      </w:r>
    </w:p>
    <w:p>
      <w:pPr>
        <w:pStyle w:val="10"/>
        <w:ind w:firstLine="0"/>
        <w:rPr>
          <w:rFonts w:asciiTheme="minorEastAsia" w:hAnsiTheme="minorEastAsia" w:eastAsiaTheme="minorEastAsia" w:cstheme="minorEastAsia"/>
          <w:b/>
          <w:color w:val="0C0C0C" w:themeColor="text1" w:themeTint="F2"/>
          <w:sz w:val="28"/>
          <w:szCs w:val="28"/>
        </w:rPr>
      </w:pPr>
    </w:p>
    <w:p>
      <w:pPr>
        <w:pStyle w:val="10"/>
        <w:ind w:firstLine="0"/>
        <w:rPr>
          <w:rFonts w:asciiTheme="minorEastAsia" w:hAnsiTheme="minorEastAsia" w:eastAsiaTheme="minorEastAsia" w:cstheme="minorEastAsia"/>
          <w:b/>
          <w:color w:val="0C0C0C" w:themeColor="text1" w:themeTint="F2"/>
          <w:sz w:val="28"/>
          <w:szCs w:val="28"/>
        </w:rPr>
      </w:pPr>
      <w:r>
        <w:rPr>
          <w:rFonts w:hint="eastAsia" w:asciiTheme="minorEastAsia" w:hAnsiTheme="minorEastAsia" w:eastAsiaTheme="minorEastAsia" w:cstheme="minorEastAsia"/>
          <w:b/>
          <w:color w:val="0C0C0C" w:themeColor="text1" w:themeTint="F2"/>
          <w:sz w:val="28"/>
          <w:szCs w:val="28"/>
        </w:rPr>
        <w:t xml:space="preserve">    8.工程造价咨询费用及支付</w:t>
      </w:r>
    </w:p>
    <w:p>
      <w:pPr>
        <w:pStyle w:val="10"/>
        <w:ind w:firstLine="544" w:firstLineChars="20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（1）本合同无预付款。</w:t>
      </w:r>
    </w:p>
    <w:p>
      <w:pPr>
        <w:pStyle w:val="10"/>
        <w:ind w:firstLine="579" w:firstLineChars="207"/>
        <w:rPr>
          <w:rFonts w:asciiTheme="minorEastAsia" w:hAnsiTheme="minorEastAsia" w:eastAsiaTheme="minorEastAsia" w:cstheme="minorEastAsia"/>
          <w:color w:val="0C0C0C" w:themeColor="text1" w:themeTint="F2"/>
          <w:spacing w:val="0"/>
          <w:kern w:val="0"/>
          <w:sz w:val="28"/>
          <w:szCs w:val="28"/>
        </w:rPr>
      </w:pPr>
      <w:r>
        <w:rPr>
          <w:rFonts w:hint="eastAsia" w:asciiTheme="minorEastAsia" w:hAnsiTheme="minorEastAsia" w:eastAsiaTheme="minorEastAsia" w:cstheme="minorEastAsia"/>
          <w:color w:val="0C0C0C" w:themeColor="text1" w:themeTint="F2"/>
          <w:spacing w:val="0"/>
          <w:kern w:val="0"/>
          <w:sz w:val="28"/>
          <w:szCs w:val="28"/>
        </w:rPr>
        <w:t>（2）中标优惠率：_____________。</w:t>
      </w:r>
    </w:p>
    <w:p>
      <w:pPr>
        <w:adjustRightInd w:val="0"/>
        <w:snapToGrid w:val="0"/>
        <w:spacing w:line="480" w:lineRule="auto"/>
        <w:ind w:firstLine="560" w:firstLineChars="200"/>
        <w:jc w:val="left"/>
        <w:rPr>
          <w:rFonts w:asciiTheme="minorEastAsia" w:hAnsiTheme="minorEastAsia" w:eastAsia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kern w:val="0"/>
          <w:sz w:val="28"/>
          <w:szCs w:val="28"/>
        </w:rPr>
        <w:t>（3）工程造价咨询服务费用计算方法</w:t>
      </w:r>
    </w:p>
    <w:p>
      <w:pPr>
        <w:pStyle w:val="10"/>
        <w:ind w:firstLine="630"/>
        <w:rPr>
          <w:rFonts w:asciiTheme="minorEastAsia" w:hAnsiTheme="minorEastAsia" w:eastAsiaTheme="minorEastAsia" w:cstheme="minorEastAsia"/>
          <w:color w:val="0C0C0C" w:themeColor="text1" w:themeTint="F2"/>
          <w:spacing w:val="0"/>
          <w:kern w:val="0"/>
          <w:sz w:val="28"/>
          <w:szCs w:val="28"/>
        </w:rPr>
      </w:pPr>
      <w:r>
        <w:rPr>
          <w:rFonts w:hint="eastAsia" w:ascii="仿宋" w:hAnsi="仿宋" w:eastAsia="仿宋" w:cs="仿宋"/>
          <w:color w:val="0C0C0C" w:themeColor="text1" w:themeTint="F2"/>
          <w:spacing w:val="0"/>
          <w:sz w:val="30"/>
          <w:szCs w:val="30"/>
          <w:lang w:val="zh-CN"/>
        </w:rPr>
        <w:t>工程造价咨询服务费用</w:t>
      </w:r>
      <w:r>
        <w:rPr>
          <w:rFonts w:hint="eastAsia" w:ascii="仿宋" w:hAnsi="仿宋" w:eastAsia="仿宋" w:cs="仿宋"/>
          <w:color w:val="0C0C0C" w:themeColor="text1" w:themeTint="F2"/>
          <w:spacing w:val="0"/>
          <w:sz w:val="30"/>
          <w:szCs w:val="30"/>
        </w:rPr>
        <w:t>=按皖价服〔2007〕86号文件规定计算的工程结算审核服务费用*（1-中标优惠率）。</w:t>
      </w:r>
    </w:p>
    <w:p>
      <w:pPr>
        <w:adjustRightInd w:val="0"/>
        <w:snapToGrid w:val="0"/>
        <w:spacing w:line="480" w:lineRule="auto"/>
        <w:jc w:val="left"/>
        <w:rPr>
          <w:rFonts w:asciiTheme="minorEastAsia" w:hAnsiTheme="minorEastAsia" w:cstheme="minorEastAsia"/>
          <w:color w:val="0C0C0C" w:themeColor="text1" w:themeTint="F2"/>
          <w:kern w:val="0"/>
          <w:sz w:val="28"/>
          <w:szCs w:val="28"/>
        </w:rPr>
      </w:pPr>
      <w:r>
        <w:rPr>
          <w:rFonts w:hint="eastAsia" w:asciiTheme="minorEastAsia" w:hAnsiTheme="minorEastAsia" w:eastAsiaTheme="minorEastAsia" w:cstheme="minorEastAsia"/>
          <w:color w:val="0C0C0C" w:themeColor="text1" w:themeTint="F2"/>
          <w:kern w:val="0"/>
          <w:sz w:val="28"/>
          <w:szCs w:val="28"/>
        </w:rPr>
        <w:t xml:space="preserve">     特别说明：</w:t>
      </w:r>
      <w:r>
        <w:rPr>
          <w:rFonts w:hint="eastAsia" w:ascii="宋体" w:hAnsi="宋体" w:cs="宋体"/>
          <w:color w:val="0C0C0C" w:themeColor="text1" w:themeTint="F2"/>
          <w:kern w:val="0"/>
          <w:sz w:val="28"/>
          <w:szCs w:val="28"/>
        </w:rPr>
        <w:sym w:font="Wingdings" w:char="F081"/>
      </w:r>
      <w:r>
        <w:rPr>
          <w:rFonts w:hint="eastAsia" w:ascii="宋体" w:hAnsi="宋体" w:cs="宋体"/>
          <w:color w:val="0C0C0C" w:themeColor="text1" w:themeTint="F2"/>
          <w:kern w:val="0"/>
          <w:sz w:val="28"/>
          <w:szCs w:val="28"/>
        </w:rPr>
        <w:t>计费基数以单位工程金额计算，合同包干加签证项目，包干价部分计入计费基数；作为收费基础的“送审工程造价”以学校后勤管理处报送审计金额为准。</w:t>
      </w:r>
      <w:r>
        <w:rPr>
          <w:rFonts w:hint="eastAsia" w:ascii="宋体" w:hAnsi="宋体" w:cs="宋体"/>
          <w:color w:val="0C0C0C" w:themeColor="text1" w:themeTint="F2"/>
          <w:kern w:val="0"/>
          <w:sz w:val="28"/>
          <w:szCs w:val="28"/>
        </w:rPr>
        <w:sym w:font="Wingdings" w:char="F082"/>
      </w:r>
      <w:r>
        <w:rPr>
          <w:rFonts w:hint="eastAsia" w:ascii="宋体" w:hAnsi="宋体" w:cs="宋体"/>
          <w:color w:val="0C0C0C" w:themeColor="text1" w:themeTint="F2"/>
          <w:kern w:val="0"/>
          <w:sz w:val="28"/>
          <w:szCs w:val="28"/>
        </w:rPr>
        <w:t>单位工程金额5万元以下的零星修缮工程项目，以报送审计金额5万元以内限额对项目进行归集打包报送，每一包作为一个单位工程计算咨询服务费。</w:t>
      </w:r>
      <w:r>
        <w:rPr>
          <w:rFonts w:hint="eastAsia" w:ascii="宋体" w:hAnsi="宋体" w:cs="宋体"/>
          <w:color w:val="0C0C0C" w:themeColor="text1" w:themeTint="F2"/>
          <w:kern w:val="0"/>
          <w:sz w:val="28"/>
          <w:szCs w:val="28"/>
        </w:rPr>
        <w:sym w:font="Wingdings" w:char="F083"/>
      </w:r>
      <w:r>
        <w:rPr>
          <w:rFonts w:hint="eastAsia" w:ascii="宋体" w:hAnsi="宋体" w:cs="宋体"/>
          <w:color w:val="0C0C0C" w:themeColor="text1" w:themeTint="F2"/>
          <w:kern w:val="0"/>
          <w:sz w:val="28"/>
          <w:szCs w:val="28"/>
        </w:rPr>
        <w:t>皖价服【2007】86号文件附表“安徽省工程造价咨询服务项目及收费标准的注2：按基本收费标准不足1000元的，按1000元计费”，不优惠。</w:t>
      </w:r>
    </w:p>
    <w:p>
      <w:pPr>
        <w:pStyle w:val="10"/>
        <w:ind w:firstLine="630"/>
        <w:rPr>
          <w:rFonts w:asciiTheme="minorEastAsia" w:hAnsiTheme="minorEastAsia" w:eastAsiaTheme="minorEastAsia" w:cstheme="minorEastAsia"/>
          <w:color w:val="0C0C0C" w:themeColor="text1" w:themeTint="F2"/>
          <w:sz w:val="28"/>
          <w:szCs w:val="28"/>
        </w:rPr>
      </w:pPr>
      <w:r>
        <w:rPr>
          <w:rFonts w:hint="eastAsia" w:asciiTheme="minorEastAsia" w:hAnsiTheme="minorEastAsia" w:eastAsiaTheme="minorEastAsia" w:cstheme="minorEastAsia"/>
          <w:color w:val="0C0C0C" w:themeColor="text1" w:themeTint="F2"/>
          <w:sz w:val="28"/>
          <w:szCs w:val="28"/>
        </w:rPr>
        <w:t>（4）咨询服务费用及报酬支付方式及时间：每季度支付一次，即每季度末根据已完成的工程结算审核的项目汇总结算咨询服务费用及报酬。在收到咨询人咨询服务费用及报酬的支付申请后20个工作日内付讫。</w:t>
      </w:r>
    </w:p>
    <w:p>
      <w:pPr>
        <w:widowControl/>
        <w:spacing w:line="480" w:lineRule="auto"/>
        <w:ind w:firstLine="632"/>
        <w:jc w:val="left"/>
        <w:rPr>
          <w:rFonts w:hint="eastAsia" w:asciiTheme="minorEastAsia" w:hAnsiTheme="minorEastAsia" w:eastAsiaTheme="minorEastAsia" w:cstheme="minorEastAsia"/>
          <w:b/>
          <w:color w:val="0C0C0C" w:themeColor="text1" w:themeTint="F2"/>
          <w:spacing w:val="4"/>
          <w:sz w:val="28"/>
          <w:szCs w:val="28"/>
        </w:rPr>
      </w:pPr>
    </w:p>
    <w:p>
      <w:pPr>
        <w:widowControl/>
        <w:spacing w:line="480" w:lineRule="auto"/>
        <w:ind w:firstLine="632"/>
        <w:jc w:val="left"/>
        <w:rPr>
          <w:rFonts w:asciiTheme="minorEastAsia" w:hAnsiTheme="minorEastAsia" w:eastAsiaTheme="minorEastAsia" w:cstheme="minorEastAsia"/>
          <w:b/>
          <w:color w:val="0C0C0C" w:themeColor="text1" w:themeTint="F2"/>
          <w:spacing w:val="4"/>
          <w:sz w:val="28"/>
          <w:szCs w:val="28"/>
        </w:rPr>
      </w:pPr>
      <w:r>
        <w:rPr>
          <w:rFonts w:hint="eastAsia" w:asciiTheme="minorEastAsia" w:hAnsiTheme="minorEastAsia" w:eastAsiaTheme="minorEastAsia" w:cstheme="minorEastAsia"/>
          <w:b/>
          <w:color w:val="0C0C0C" w:themeColor="text1" w:themeTint="F2"/>
          <w:spacing w:val="4"/>
          <w:sz w:val="28"/>
          <w:szCs w:val="28"/>
        </w:rPr>
        <w:t>9.履约保证金</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本项目履约保证金为￥            元(人民币大写：    )，收受人为                ，期限截至委托人完成造价咨询服务考核后30日内。</w:t>
      </w:r>
    </w:p>
    <w:p>
      <w:pPr>
        <w:widowControl/>
        <w:spacing w:line="480" w:lineRule="auto"/>
        <w:ind w:firstLine="578" w:firstLineChars="200"/>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10.违约责任</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（1）服务期限超过合同约定服务期限。如咨询人由于自身的原因未能按期履行完合同，委托人可从履约保证金中获得经济上的赔偿。其标准为按每延期一周赔付履约保证金的 10 %，但误期赔偿费总额不得超过履约保证金总额。一周按7天计算，不足7天按一周计算。在此情况下，咨询人不得要求买方退还其履约保证金。</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服务期限内未能履约。合同双方在履行合同过程中，如果遇到不能按时履约情况，应及时以书面形式将不能按期履约的理由、延误的时间通知对方。咨询人期限内未能履约的，委托人有权决定是否延长合同的履行时间或终止合同。如终止合同，咨询人不得要求买方返还履约保证金；如同意延长合同的履行时间，咨询人须在委托人规定的时间完成造价咨询服务，由此造成的误期赔偿费按照前款约定执行。</w:t>
      </w:r>
    </w:p>
    <w:p>
      <w:pPr>
        <w:widowControl/>
        <w:spacing w:line="480" w:lineRule="auto"/>
        <w:ind w:firstLine="632"/>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11.合同的终止</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（一）本合同因下列原因而终止：</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1、本合同正常履行完毕；</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2、合同双方协议终止本合同的履行；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3、不可抗力事件导致本合同无法履行或履行不必要；</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4、咨询人未按合同规定的期限完成委托任务，经委托人催告后，在催告期限内仍不能完成委托任务的，委托人可以取消委托，或单方终止合同；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5、咨询人年度考核不合格的，委托人有权单方终止合同；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6、符合本合同约定的其他终止合同的条款。</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（二）对本合同终止有过错的一方，应赔偿另一方因合同终止而受到的损失。对合同终止双方均无过错的，则各自承担所受到的损失。</w:t>
      </w:r>
    </w:p>
    <w:p>
      <w:pPr>
        <w:widowControl/>
        <w:spacing w:line="480" w:lineRule="auto"/>
        <w:ind w:firstLine="632"/>
        <w:jc w:val="left"/>
        <w:rPr>
          <w:rFonts w:asciiTheme="minorEastAsia" w:hAnsiTheme="minorEastAsia" w:eastAsiaTheme="minorEastAsia" w:cstheme="minorEastAsia"/>
          <w:b/>
          <w:bCs/>
          <w:color w:val="0C0C0C" w:themeColor="text1" w:themeTint="F2"/>
          <w:spacing w:val="4"/>
          <w:sz w:val="28"/>
          <w:szCs w:val="28"/>
        </w:rPr>
      </w:pPr>
      <w:r>
        <w:rPr>
          <w:rFonts w:hint="eastAsia" w:asciiTheme="minorEastAsia" w:hAnsiTheme="minorEastAsia" w:eastAsiaTheme="minorEastAsia" w:cstheme="minorEastAsia"/>
          <w:b/>
          <w:bCs/>
          <w:color w:val="0C0C0C" w:themeColor="text1" w:themeTint="F2"/>
          <w:spacing w:val="4"/>
          <w:sz w:val="28"/>
          <w:szCs w:val="28"/>
        </w:rPr>
        <w:t>12.其他</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（一）合同双方必须严格按照采购文件、投标文件及有关承诺签订采购合同，不得擅自变更。合同执行期内，双方均不得随意变更或解除合同。</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（二）本合同执行期间，如遇不可抗力，致使合同无法履行时，双方应按有关法律规定及时协商处理。</w:t>
      </w:r>
    </w:p>
    <w:p>
      <w:pPr>
        <w:widowControl/>
        <w:spacing w:line="480" w:lineRule="auto"/>
        <w:ind w:firstLine="632"/>
        <w:jc w:val="left"/>
        <w:rPr>
          <w:rFonts w:hint="eastAsia"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（三）合同未尽事宜，双方另行签订补充协议，补充协议是合同的组成部分。</w:t>
      </w:r>
    </w:p>
    <w:p>
      <w:pPr>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2"/>
        <w:rPr>
          <w:rFonts w:hint="eastAsia"/>
        </w:rPr>
      </w:pPr>
    </w:p>
    <w:p>
      <w:pPr>
        <w:pStyle w:val="3"/>
        <w:numPr>
          <w:ilvl w:val="0"/>
          <w:numId w:val="5"/>
        </w:numPr>
        <w:ind w:left="0" w:leftChars="0" w:firstLine="0" w:firstLineChars="0"/>
        <w:jc w:val="center"/>
        <w:rPr>
          <w:rFonts w:hint="eastAsia" w:ascii="华文中宋" w:hAnsi="华文中宋" w:eastAsia="华文中宋" w:cs="华文中宋"/>
          <w:szCs w:val="36"/>
        </w:rPr>
      </w:pPr>
      <w:r>
        <w:rPr>
          <w:rFonts w:hint="eastAsia" w:ascii="华文中宋" w:hAnsi="华文中宋" w:eastAsia="华文中宋" w:cs="华文中宋"/>
          <w:szCs w:val="36"/>
        </w:rPr>
        <w:t>项目需求</w:t>
      </w:r>
      <w:bookmarkEnd w:id="107"/>
    </w:p>
    <w:p>
      <w:pPr>
        <w:spacing w:line="460" w:lineRule="exact"/>
        <w:ind w:firstLine="480" w:firstLineChars="200"/>
        <w:rPr>
          <w:rFonts w:ascii="仿宋_GB2312" w:hAnsi="仿宋_GB2312" w:eastAsia="仿宋_GB2312" w:cs="仿宋_GB2312"/>
          <w:sz w:val="24"/>
          <w:szCs w:val="24"/>
        </w:rPr>
      </w:pP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2、技术文件基本内容</w:t>
      </w:r>
    </w:p>
    <w:p>
      <w:pPr>
        <w:adjustRightInd w:val="0"/>
        <w:snapToGrid w:val="0"/>
        <w:spacing w:line="480" w:lineRule="auto"/>
        <w:jc w:val="left"/>
        <w:rPr>
          <w:rFonts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(1)投标函；</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color w:val="0C0C0C" w:themeColor="text1" w:themeTint="F2"/>
          <w:sz w:val="28"/>
          <w:szCs w:val="28"/>
        </w:rPr>
        <w:t>(2)法定代表人授权委托书；</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(3)</w:t>
      </w:r>
      <w:r>
        <w:rPr>
          <w:rFonts w:hint="eastAsia" w:ascii="宋体" w:hAnsi="宋体"/>
          <w:color w:val="0C0C0C" w:themeColor="text1" w:themeTint="F2"/>
          <w:kern w:val="0"/>
          <w:sz w:val="28"/>
          <w:szCs w:val="28"/>
          <w:lang w:val="zh-CN"/>
        </w:rPr>
        <w:t>针对本项目特点的</w:t>
      </w:r>
      <w:r>
        <w:rPr>
          <w:rFonts w:hint="eastAsia" w:ascii="宋体" w:hAnsi="宋体"/>
          <w:color w:val="0C0C0C" w:themeColor="text1" w:themeTint="F2"/>
          <w:kern w:val="0"/>
          <w:sz w:val="28"/>
          <w:szCs w:val="28"/>
        </w:rPr>
        <w:t>修缮工程造价咨询服务</w:t>
      </w:r>
      <w:r>
        <w:rPr>
          <w:rFonts w:hint="eastAsia" w:ascii="宋体" w:hAnsi="宋体"/>
          <w:color w:val="0C0C0C" w:themeColor="text1" w:themeTint="F2"/>
          <w:kern w:val="0"/>
          <w:sz w:val="28"/>
          <w:szCs w:val="28"/>
          <w:lang w:val="zh-CN"/>
        </w:rPr>
        <w:t>实施方案（含结算审核、跟踪审计等）；</w:t>
      </w:r>
    </w:p>
    <w:p>
      <w:pPr>
        <w:adjustRightInd w:val="0"/>
        <w:snapToGrid w:val="0"/>
        <w:spacing w:line="480" w:lineRule="auto"/>
        <w:ind w:firstLine="560" w:firstLineChars="200"/>
        <w:jc w:val="left"/>
        <w:rPr>
          <w:rFonts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(4)</w:t>
      </w:r>
      <w:r>
        <w:rPr>
          <w:rFonts w:hint="eastAsia" w:ascii="宋体" w:hAnsi="宋体"/>
          <w:color w:val="0C0C0C" w:themeColor="text1" w:themeTint="F2"/>
          <w:kern w:val="0"/>
          <w:sz w:val="28"/>
          <w:szCs w:val="28"/>
          <w:lang w:val="zh-CN"/>
        </w:rPr>
        <w:t>拟派项目负责人及项目其他专业技术人员名单及相关资格证书；单位证明资料：包括单位介绍、造价单位综合情况一览表、投标人企业营业执照副本、资质证书副本、投标人所获国家及地方荣誉证书；</w:t>
      </w:r>
    </w:p>
    <w:p>
      <w:pPr>
        <w:adjustRightInd w:val="0"/>
        <w:snapToGrid w:val="0"/>
        <w:spacing w:line="480" w:lineRule="auto"/>
        <w:ind w:firstLine="560" w:firstLineChars="200"/>
        <w:jc w:val="left"/>
        <w:rPr>
          <w:rFonts w:hint="eastAsia" w:ascii="宋体" w:hAnsi="宋体"/>
          <w:color w:val="0C0C0C" w:themeColor="text1" w:themeTint="F2"/>
          <w:kern w:val="0"/>
          <w:sz w:val="28"/>
          <w:szCs w:val="28"/>
          <w:lang w:val="zh-CN"/>
        </w:rPr>
      </w:pPr>
      <w:r>
        <w:rPr>
          <w:rFonts w:hint="eastAsia" w:ascii="宋体" w:hAnsi="宋体"/>
          <w:color w:val="0C0C0C" w:themeColor="text1" w:themeTint="F2"/>
          <w:kern w:val="0"/>
          <w:sz w:val="28"/>
          <w:szCs w:val="28"/>
        </w:rPr>
        <w:t>(5)</w:t>
      </w:r>
      <w:r>
        <w:rPr>
          <w:rFonts w:hint="eastAsia" w:ascii="宋体" w:hAnsi="宋体"/>
          <w:color w:val="0C0C0C" w:themeColor="text1" w:themeTint="F2"/>
          <w:kern w:val="0"/>
          <w:sz w:val="28"/>
          <w:szCs w:val="28"/>
          <w:lang w:val="zh-CN"/>
        </w:rPr>
        <w:t>投标单位认为能体现自身实力及优势的其他资料。</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3、其他规定</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(1</w:t>
      </w:r>
      <w:r>
        <w:rPr>
          <w:rFonts w:hint="eastAsia" w:ascii="宋体" w:hAnsi="宋体" w:cs="宋体"/>
          <w:color w:val="0C0C0C" w:themeColor="text1" w:themeTint="F2"/>
          <w:sz w:val="28"/>
          <w:szCs w:val="28"/>
          <w:lang w:val="zh-CN"/>
        </w:rPr>
        <w:t>）</w:t>
      </w:r>
      <w:r>
        <w:rPr>
          <w:rFonts w:hint="eastAsia" w:ascii="宋体" w:hAnsi="宋体" w:cs="宋体"/>
          <w:color w:val="0C0C0C" w:themeColor="text1" w:themeTint="F2"/>
          <w:sz w:val="28"/>
          <w:szCs w:val="28"/>
        </w:rPr>
        <w:t>须向委托人提供廉政承诺书；</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(2</w:t>
      </w:r>
      <w:r>
        <w:rPr>
          <w:rFonts w:hint="eastAsia" w:ascii="宋体" w:hAnsi="宋体" w:cs="宋体"/>
          <w:color w:val="0C0C0C" w:themeColor="text1" w:themeTint="F2"/>
          <w:sz w:val="28"/>
          <w:szCs w:val="28"/>
          <w:lang w:val="zh-CN"/>
        </w:rPr>
        <w:t>）服务成果的质量，即咨询业务报告的误差率控制在±3%以内</w:t>
      </w:r>
      <w:r>
        <w:rPr>
          <w:rFonts w:hint="eastAsia" w:ascii="宋体" w:hAnsi="宋体" w:cs="宋体"/>
          <w:color w:val="0C0C0C" w:themeColor="text1" w:themeTint="F2"/>
          <w:sz w:val="28"/>
          <w:szCs w:val="28"/>
        </w:rPr>
        <w:t>,</w:t>
      </w:r>
      <w:r>
        <w:rPr>
          <w:rFonts w:hint="eastAsia" w:ascii="宋体" w:hAnsi="宋体" w:cs="宋体"/>
          <w:color w:val="0C0C0C" w:themeColor="text1" w:themeTint="F2"/>
          <w:sz w:val="28"/>
          <w:szCs w:val="28"/>
          <w:lang w:val="zh-CN"/>
        </w:rPr>
        <w:t>委托人将保留对咨询人服务成果的质量进行二次抽查的权利；</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rPr>
        <w:t>（3）委托人不定期对咨询服务进行综合考核；</w:t>
      </w:r>
    </w:p>
    <w:p>
      <w:pPr>
        <w:adjustRightInd w:val="0"/>
        <w:snapToGrid w:val="0"/>
        <w:spacing w:line="480" w:lineRule="auto"/>
        <w:jc w:val="left"/>
        <w:rPr>
          <w:rFonts w:hint="eastAsia"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kern w:val="0"/>
          <w:sz w:val="28"/>
          <w:szCs w:val="28"/>
          <w:lang w:val="zh-CN"/>
        </w:rPr>
        <w:t>（</w:t>
      </w:r>
      <w:r>
        <w:rPr>
          <w:rFonts w:hint="eastAsia" w:ascii="宋体" w:hAnsi="宋体" w:cs="宋体"/>
          <w:color w:val="0C0C0C" w:themeColor="text1" w:themeTint="F2"/>
          <w:kern w:val="0"/>
          <w:sz w:val="28"/>
          <w:szCs w:val="28"/>
        </w:rPr>
        <w:t>4</w:t>
      </w:r>
      <w:r>
        <w:rPr>
          <w:rFonts w:hint="eastAsia" w:ascii="宋体" w:hAnsi="宋体" w:cs="宋体"/>
          <w:color w:val="0C0C0C" w:themeColor="text1" w:themeTint="F2"/>
          <w:sz w:val="28"/>
          <w:szCs w:val="28"/>
          <w:lang w:val="zh-CN"/>
        </w:rPr>
        <w:t>）委托人有权根据咨询人完成委托事务的质量、效率及综合考核结果等情况，或根据管理需要增减委托事务；</w:t>
      </w:r>
    </w:p>
    <w:p>
      <w:pPr>
        <w:adjustRightInd w:val="0"/>
        <w:snapToGrid w:val="0"/>
        <w:spacing w:line="480" w:lineRule="auto"/>
        <w:jc w:val="left"/>
        <w:rPr>
          <w:rFonts w:ascii="宋体" w:hAnsi="宋体"/>
          <w:color w:val="0C0C0C" w:themeColor="text1" w:themeTint="F2"/>
          <w:kern w:val="0"/>
          <w:sz w:val="28"/>
          <w:szCs w:val="28"/>
        </w:rPr>
      </w:pPr>
      <w:r>
        <w:rPr>
          <w:rFonts w:hint="eastAsia" w:ascii="宋体" w:hAnsi="宋体"/>
          <w:color w:val="0C0C0C" w:themeColor="text1" w:themeTint="F2"/>
          <w:kern w:val="0"/>
          <w:sz w:val="28"/>
          <w:szCs w:val="28"/>
        </w:rPr>
        <w:t xml:space="preserve">    </w:t>
      </w:r>
      <w:r>
        <w:rPr>
          <w:rFonts w:hint="eastAsia" w:ascii="宋体" w:hAnsi="宋体" w:cs="宋体"/>
          <w:color w:val="0C0C0C" w:themeColor="text1" w:themeTint="F2"/>
          <w:sz w:val="28"/>
          <w:szCs w:val="28"/>
          <w:lang w:val="zh-CN"/>
        </w:rPr>
        <w:t>（</w:t>
      </w:r>
      <w:r>
        <w:rPr>
          <w:rFonts w:hint="eastAsia" w:ascii="宋体" w:hAnsi="宋体" w:cs="宋体"/>
          <w:color w:val="0C0C0C" w:themeColor="text1" w:themeTint="F2"/>
          <w:sz w:val="28"/>
          <w:szCs w:val="28"/>
        </w:rPr>
        <w:t>5</w:t>
      </w:r>
      <w:r>
        <w:rPr>
          <w:rFonts w:hint="eastAsia" w:ascii="宋体" w:hAnsi="宋体" w:cs="宋体"/>
          <w:color w:val="0C0C0C" w:themeColor="text1" w:themeTint="F2"/>
          <w:sz w:val="28"/>
          <w:szCs w:val="28"/>
          <w:lang w:val="zh-CN"/>
        </w:rPr>
        <w:t>）咨询人不得转包或变相转包其所承接的工程造价咨询业务。</w:t>
      </w:r>
    </w:p>
    <w:p>
      <w:pPr>
        <w:adjustRightInd w:val="0"/>
        <w:snapToGrid w:val="0"/>
        <w:spacing w:line="480" w:lineRule="auto"/>
        <w:ind w:firstLine="280" w:firstLineChars="1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4、工程造价咨询服务费用的报价</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lang w:val="zh-CN"/>
        </w:rPr>
        <w:t>投标人的工程造价咨询</w:t>
      </w:r>
      <w:r>
        <w:rPr>
          <w:rFonts w:hint="eastAsia" w:ascii="宋体" w:hAnsi="宋体" w:cs="宋体"/>
          <w:color w:val="0C0C0C" w:themeColor="text1" w:themeTint="F2"/>
          <w:kern w:val="0"/>
          <w:sz w:val="28"/>
          <w:szCs w:val="28"/>
        </w:rPr>
        <w:t>服务费用报价：工程造价咨询服务费用按皖价服〔2007〕86号文件“工程造价咨询服务项目及收费标准”为计取基础，投标单位仅报工程咨询服务费用的优惠率</w:t>
      </w:r>
      <w:r>
        <w:rPr>
          <w:rFonts w:hint="eastAsia" w:ascii="宋体" w:hAnsi="宋体" w:cs="宋体"/>
          <w:color w:val="0C0C0C" w:themeColor="text1" w:themeTint="F2"/>
          <w:kern w:val="0"/>
          <w:sz w:val="28"/>
          <w:szCs w:val="28"/>
          <w:lang w:val="zh-CN"/>
        </w:rPr>
        <w:t>。即工程造价咨询服务费用</w:t>
      </w:r>
      <w:r>
        <w:rPr>
          <w:rFonts w:hint="eastAsia" w:ascii="宋体" w:hAnsi="宋体" w:cs="宋体"/>
          <w:color w:val="0C0C0C" w:themeColor="text1" w:themeTint="F2"/>
          <w:kern w:val="0"/>
          <w:sz w:val="28"/>
          <w:szCs w:val="28"/>
        </w:rPr>
        <w:t>=按上述文件规定计算的咨询服务费用*（1-优惠率）。各类工程造价咨询服务费用计算如下：</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（1）工程结算审核造价咨询服务费用=以皖价服〔2007〕86号文件及其附表“6清单计价 工程量清单结算审核”为计取基础计算的结算审核咨询服务费用*（1-优惠率）。</w:t>
      </w:r>
    </w:p>
    <w:p>
      <w:pPr>
        <w:adjustRightInd w:val="0"/>
        <w:snapToGrid w:val="0"/>
        <w:spacing w:line="480" w:lineRule="auto"/>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 xml:space="preserve">     特别说明：</w:t>
      </w:r>
      <w:r>
        <w:rPr>
          <w:rFonts w:hint="eastAsia" w:ascii="宋体" w:hAnsi="宋体" w:cs="宋体"/>
          <w:color w:val="0C0C0C" w:themeColor="text1" w:themeTint="F2"/>
          <w:kern w:val="0"/>
          <w:sz w:val="28"/>
          <w:szCs w:val="28"/>
        </w:rPr>
        <w:sym w:font="Wingdings" w:char="F081"/>
      </w:r>
      <w:r>
        <w:rPr>
          <w:rFonts w:hint="eastAsia" w:ascii="宋体" w:hAnsi="宋体" w:cs="宋体"/>
          <w:color w:val="0C0C0C" w:themeColor="text1" w:themeTint="F2"/>
          <w:kern w:val="0"/>
          <w:sz w:val="28"/>
          <w:szCs w:val="28"/>
        </w:rPr>
        <w:t>计费基数以单位工程金额计算，合同包干加签证项目，包干价部分计入计费基数；作为收费基础的“送审工程造价”以学校后勤管理处报送审计金额为准。</w:t>
      </w:r>
      <w:r>
        <w:rPr>
          <w:rFonts w:hint="eastAsia" w:ascii="宋体" w:hAnsi="宋体" w:cs="宋体"/>
          <w:color w:val="0C0C0C" w:themeColor="text1" w:themeTint="F2"/>
          <w:kern w:val="0"/>
          <w:sz w:val="28"/>
          <w:szCs w:val="28"/>
        </w:rPr>
        <w:sym w:font="Wingdings" w:char="F082"/>
      </w:r>
      <w:r>
        <w:rPr>
          <w:rFonts w:hint="eastAsia" w:ascii="宋体" w:hAnsi="宋体" w:cs="宋体"/>
          <w:color w:val="0C0C0C" w:themeColor="text1" w:themeTint="F2"/>
          <w:kern w:val="0"/>
          <w:sz w:val="28"/>
          <w:szCs w:val="28"/>
        </w:rPr>
        <w:t>单位工程金额5万元以下的零星修缮工程项目，以报送审计金额5万元以内限额对项目进行归集打包报送，每一包作为一个单位工程计算咨询服务费。</w:t>
      </w:r>
      <w:r>
        <w:rPr>
          <w:rFonts w:hint="eastAsia" w:ascii="宋体" w:hAnsi="宋体" w:cs="宋体"/>
          <w:color w:val="0C0C0C" w:themeColor="text1" w:themeTint="F2"/>
          <w:kern w:val="0"/>
          <w:sz w:val="28"/>
          <w:szCs w:val="28"/>
        </w:rPr>
        <w:sym w:font="Wingdings" w:char="F083"/>
      </w:r>
      <w:r>
        <w:rPr>
          <w:rFonts w:hint="eastAsia" w:ascii="宋体" w:hAnsi="宋体" w:cs="宋体"/>
          <w:color w:val="0C0C0C" w:themeColor="text1" w:themeTint="F2"/>
          <w:kern w:val="0"/>
          <w:sz w:val="28"/>
          <w:szCs w:val="28"/>
        </w:rPr>
        <w:t>皖价服【2007】86号文件附表“安徽省工程造价咨询服务项目及收费标准的注2：按基本收费标准不足1000元的，按1000元计费”，不优惠。</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(2)其他类型的工程造价咨询项目咨询服务费=以皖价服〔2007〕86号文件及其附表相应咨询项目为计取基础计算的工程造价咨询服务费用*（1-优惠率）。</w:t>
      </w:r>
    </w:p>
    <w:p>
      <w:pPr>
        <w:adjustRightInd w:val="0"/>
        <w:snapToGrid w:val="0"/>
        <w:spacing w:line="480" w:lineRule="auto"/>
        <w:ind w:firstLine="560" w:firstLineChars="200"/>
        <w:jc w:val="left"/>
        <w:rPr>
          <w:rFonts w:ascii="宋体" w:hAnsi="宋体" w:cs="宋体"/>
          <w:color w:val="0C0C0C" w:themeColor="text1" w:themeTint="F2"/>
          <w:kern w:val="0"/>
          <w:sz w:val="28"/>
          <w:szCs w:val="28"/>
        </w:rPr>
      </w:pPr>
      <w:r>
        <w:rPr>
          <w:rFonts w:hint="eastAsia" w:ascii="宋体" w:hAnsi="宋体" w:cs="宋体"/>
          <w:color w:val="0C0C0C" w:themeColor="text1" w:themeTint="F2"/>
          <w:kern w:val="0"/>
          <w:sz w:val="28"/>
          <w:szCs w:val="28"/>
        </w:rPr>
        <w:t>(3)报价特别说明</w:t>
      </w:r>
    </w:p>
    <w:p>
      <w:pPr>
        <w:adjustRightInd w:val="0"/>
        <w:snapToGrid w:val="0"/>
        <w:spacing w:line="480" w:lineRule="auto"/>
        <w:ind w:firstLine="560" w:firstLineChars="200"/>
        <w:jc w:val="left"/>
        <w:rPr>
          <w:rFonts w:ascii="宋体" w:hAnsi="宋体" w:cs="宋体"/>
          <w:color w:val="0C0C0C" w:themeColor="text1" w:themeTint="F2"/>
          <w:kern w:val="0"/>
          <w:sz w:val="28"/>
          <w:szCs w:val="28"/>
          <w:lang w:val="zh-CN"/>
        </w:rPr>
      </w:pPr>
      <w:r>
        <w:rPr>
          <w:rFonts w:hint="eastAsia" w:ascii="宋体" w:hAnsi="宋体" w:cs="宋体"/>
          <w:color w:val="0C0C0C" w:themeColor="text1" w:themeTint="F2"/>
          <w:kern w:val="0"/>
          <w:sz w:val="28"/>
          <w:szCs w:val="28"/>
          <w:lang w:val="zh-CN"/>
        </w:rPr>
        <w:t xml:space="preserve"> </w:t>
      </w:r>
      <w:r>
        <w:rPr>
          <w:rFonts w:hint="eastAsia" w:ascii="宋体" w:hAnsi="宋体" w:cs="宋体"/>
          <w:color w:val="0C0C0C" w:themeColor="text1" w:themeTint="F2"/>
          <w:kern w:val="0"/>
          <w:sz w:val="28"/>
          <w:szCs w:val="28"/>
          <w:lang w:val="zh-CN"/>
        </w:rPr>
        <w:sym w:font="Wingdings" w:char="F081"/>
      </w:r>
      <w:r>
        <w:rPr>
          <w:rFonts w:hint="eastAsia" w:ascii="宋体" w:hAnsi="宋体" w:cs="宋体"/>
          <w:color w:val="0C0C0C" w:themeColor="text1" w:themeTint="F2"/>
          <w:kern w:val="0"/>
          <w:sz w:val="28"/>
          <w:szCs w:val="28"/>
          <w:lang w:val="zh-CN"/>
        </w:rPr>
        <w:t>报价时，投标人须对目前市场、环境、社会等不确定因素进行合理估计，对修缮工程地点分散、工程零星等特点作出充分考量，并在报价中体现。</w:t>
      </w:r>
    </w:p>
    <w:p>
      <w:pPr>
        <w:adjustRightInd w:val="0"/>
        <w:snapToGrid w:val="0"/>
        <w:spacing w:line="480" w:lineRule="auto"/>
        <w:ind w:firstLine="560" w:firstLineChars="200"/>
        <w:jc w:val="left"/>
        <w:rPr>
          <w:rFonts w:ascii="宋体" w:hAnsi="宋体" w:cs="宋体"/>
          <w:color w:val="0C0C0C" w:themeColor="text1" w:themeTint="F2"/>
          <w:kern w:val="0"/>
          <w:sz w:val="28"/>
          <w:szCs w:val="28"/>
          <w:lang w:val="zh-CN"/>
        </w:rPr>
      </w:pPr>
      <w:r>
        <w:rPr>
          <w:rFonts w:hint="eastAsia" w:ascii="宋体" w:hAnsi="宋体" w:cs="宋体"/>
          <w:color w:val="0C0C0C" w:themeColor="text1" w:themeTint="F2"/>
          <w:kern w:val="0"/>
          <w:sz w:val="28"/>
          <w:szCs w:val="28"/>
          <w:lang w:val="zh-CN"/>
        </w:rPr>
        <w:t xml:space="preserve"> </w:t>
      </w:r>
      <w:r>
        <w:rPr>
          <w:rFonts w:hint="eastAsia" w:ascii="宋体" w:hAnsi="宋体" w:cs="宋体"/>
          <w:color w:val="0C0C0C" w:themeColor="text1" w:themeTint="F2"/>
          <w:kern w:val="0"/>
          <w:sz w:val="28"/>
          <w:szCs w:val="28"/>
          <w:lang w:val="zh-CN"/>
        </w:rPr>
        <w:sym w:font="Wingdings" w:char="F082"/>
      </w:r>
      <w:r>
        <w:rPr>
          <w:rFonts w:hint="eastAsia" w:ascii="宋体" w:hAnsi="宋体" w:cs="宋体"/>
          <w:color w:val="0C0C0C" w:themeColor="text1" w:themeTint="F2"/>
          <w:kern w:val="0"/>
          <w:sz w:val="28"/>
          <w:szCs w:val="28"/>
          <w:lang w:val="zh-CN"/>
        </w:rPr>
        <w:t>投标人的投标报价应响应提供全部服务所需的全部费用，此费用应包含服务成本（含人员成本、交通、税费等）、利润、风险及其他一切因素。</w:t>
      </w:r>
    </w:p>
    <w:p>
      <w:pPr>
        <w:adjustRightInd w:val="0"/>
        <w:snapToGrid w:val="0"/>
        <w:spacing w:line="500" w:lineRule="exact"/>
        <w:rPr>
          <w:rFonts w:hint="eastAsia"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2"/>
        <w:rPr>
          <w:rFonts w:ascii="仿宋_GB2312" w:hAnsi="仿宋_GB2312" w:eastAsia="仿宋_GB2312" w:cs="仿宋_GB2312"/>
          <w:szCs w:val="28"/>
        </w:rPr>
      </w:pPr>
    </w:p>
    <w:p>
      <w:pPr>
        <w:pStyle w:val="3"/>
        <w:snapToGrid w:val="0"/>
        <w:spacing w:before="0" w:after="0"/>
        <w:jc w:val="center"/>
        <w:rPr>
          <w:rFonts w:ascii="华文中宋" w:hAnsi="华文中宋" w:eastAsia="华文中宋" w:cs="华文中宋"/>
          <w:color w:val="auto"/>
        </w:rPr>
      </w:pPr>
      <w:bookmarkStart w:id="108" w:name="_Toc52892867"/>
      <w:r>
        <w:rPr>
          <w:rFonts w:hint="eastAsia" w:ascii="华文中宋" w:hAnsi="华文中宋" w:eastAsia="华文中宋" w:cs="华文中宋"/>
          <w:color w:val="auto"/>
        </w:rPr>
        <w:t>第六章  评分办法和评分细则</w:t>
      </w:r>
      <w:bookmarkEnd w:id="108"/>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1、招标评标说明</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（1）本次招标评标依据为本招标文件和投标人投标文件。</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（2）评标委员会遵循公开、公平、公正和诚实信用原则，对所有投标人均采用相同程序和标准，选择能最大限度地满足招标文件规定的各项综合评价标准的合格中标候选人。</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2、评标办法 </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本评标方法采用综合评分法，满分为100分。其中：技术部分占70分，商务部分（造价咨询服务费用）占30分，以综合得分最高的单位为第一中标候选单位；当得分相同时，以其中造价咨询服务费得分高的单位为第一中标候选单位。按其他投标单位综合得分高低依次确定其他中标候选单位。评分方法如下：</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（1） 技术部分评分内容和分值分配（70分）</w:t>
      </w:r>
    </w:p>
    <w:p>
      <w:pPr>
        <w:widowControl/>
        <w:spacing w:line="480" w:lineRule="auto"/>
        <w:ind w:firstLine="632"/>
        <w:jc w:val="left"/>
        <w:rPr>
          <w:rFonts w:asciiTheme="minorEastAsia" w:hAnsiTheme="minorEastAsia" w:eastAsiaTheme="minorEastAsia" w:cstheme="minorEastAsia"/>
          <w:color w:val="0C0C0C" w:themeColor="text1" w:themeTint="F2"/>
          <w:spacing w:val="4"/>
          <w:sz w:val="28"/>
          <w:szCs w:val="28"/>
        </w:rPr>
      </w:pPr>
      <w:r>
        <w:rPr>
          <w:rFonts w:hint="eastAsia" w:asciiTheme="minorEastAsia" w:hAnsiTheme="minorEastAsia" w:eastAsiaTheme="minorEastAsia" w:cstheme="minorEastAsia"/>
          <w:color w:val="0C0C0C" w:themeColor="text1" w:themeTint="F2"/>
          <w:spacing w:val="4"/>
          <w:sz w:val="28"/>
          <w:szCs w:val="28"/>
        </w:rPr>
        <w:t xml:space="preserve">  各评委首先对投标人的投标文件进行初步评审，以确定是否符合要求，对符合要求的投标文件就以下各分项内容分别进行打分，统分时各评委给各投标人累计评分的算术平均值(按四舍五入法保留2位小数)即为各投标人在该部分的最后得分。</w:t>
      </w:r>
    </w:p>
    <w:tbl>
      <w:tblPr>
        <w:tblStyle w:val="21"/>
        <w:tblW w:w="936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
        <w:gridCol w:w="1418"/>
        <w:gridCol w:w="1287"/>
        <w:gridCol w:w="5495"/>
        <w:gridCol w:w="7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0" w:hRule="atLeast"/>
          <w:jc w:val="center"/>
        </w:trPr>
        <w:tc>
          <w:tcPr>
            <w:tcW w:w="426"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序号</w:t>
            </w:r>
          </w:p>
        </w:tc>
        <w:tc>
          <w:tcPr>
            <w:tcW w:w="1418"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评审内容</w:t>
            </w:r>
          </w:p>
        </w:tc>
        <w:tc>
          <w:tcPr>
            <w:tcW w:w="1287" w:type="dxa"/>
            <w:vAlign w:val="center"/>
          </w:tcPr>
          <w:p>
            <w:pPr>
              <w:tabs>
                <w:tab w:val="left" w:pos="720"/>
              </w:tabs>
              <w:spacing w:line="480" w:lineRule="auto"/>
              <w:jc w:val="center"/>
              <w:rPr>
                <w:rFonts w:ascii="宋体" w:hAnsi="宋体"/>
                <w:color w:val="0C0C0C" w:themeColor="text1" w:themeTint="F2"/>
                <w:spacing w:val="4"/>
                <w:sz w:val="24"/>
              </w:rPr>
            </w:pPr>
          </w:p>
        </w:tc>
        <w:tc>
          <w:tcPr>
            <w:tcW w:w="5495"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技术部分评分办法</w:t>
            </w:r>
          </w:p>
        </w:tc>
        <w:tc>
          <w:tcPr>
            <w:tcW w:w="742" w:type="dxa"/>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分值分配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restart"/>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1</w:t>
            </w:r>
          </w:p>
        </w:tc>
        <w:tc>
          <w:tcPr>
            <w:tcW w:w="1418" w:type="dxa"/>
            <w:vMerge w:val="restart"/>
            <w:vAlign w:val="center"/>
          </w:tcPr>
          <w:p>
            <w:pPr>
              <w:pStyle w:val="54"/>
              <w:spacing w:line="480" w:lineRule="auto"/>
              <w:rPr>
                <w:rFonts w:ascii="宋体" w:hAnsi="宋体" w:eastAsia="宋体"/>
                <w:color w:val="0C0C0C" w:themeColor="text1" w:themeTint="F2"/>
                <w:spacing w:val="4"/>
                <w:sz w:val="24"/>
                <w:szCs w:val="20"/>
              </w:rPr>
            </w:pPr>
            <w:r>
              <w:rPr>
                <w:rFonts w:hint="eastAsia" w:ascii="宋体" w:hAnsi="宋体" w:eastAsia="宋体"/>
                <w:color w:val="0C0C0C" w:themeColor="text1" w:themeTint="F2"/>
                <w:spacing w:val="4"/>
                <w:sz w:val="24"/>
                <w:szCs w:val="20"/>
              </w:rPr>
              <w:t>投标单位</w:t>
            </w:r>
          </w:p>
          <w:p>
            <w:pPr>
              <w:pStyle w:val="54"/>
              <w:spacing w:line="480" w:lineRule="auto"/>
              <w:rPr>
                <w:rFonts w:ascii="宋体" w:hAnsi="宋体" w:eastAsia="宋体"/>
                <w:color w:val="0C0C0C" w:themeColor="text1" w:themeTint="F2"/>
                <w:spacing w:val="4"/>
                <w:sz w:val="24"/>
                <w:szCs w:val="20"/>
              </w:rPr>
            </w:pPr>
            <w:r>
              <w:rPr>
                <w:rFonts w:hint="eastAsia" w:ascii="宋体" w:hAnsi="宋体" w:eastAsia="宋体"/>
                <w:color w:val="0C0C0C" w:themeColor="text1" w:themeTint="F2"/>
                <w:spacing w:val="4"/>
                <w:sz w:val="24"/>
                <w:szCs w:val="20"/>
              </w:rPr>
              <w:t>企业资质及荣誉</w:t>
            </w:r>
          </w:p>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8分</w:t>
            </w:r>
          </w:p>
        </w:tc>
        <w:tc>
          <w:tcPr>
            <w:tcW w:w="1287"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企业资质</w:t>
            </w:r>
          </w:p>
        </w:tc>
        <w:tc>
          <w:tcPr>
            <w:tcW w:w="5495" w:type="dxa"/>
            <w:vAlign w:val="center"/>
          </w:tcPr>
          <w:p>
            <w:pPr>
              <w:tabs>
                <w:tab w:val="left" w:pos="720"/>
              </w:tabs>
              <w:spacing w:line="480" w:lineRule="auto"/>
              <w:jc w:val="left"/>
              <w:rPr>
                <w:rFonts w:ascii="宋体" w:hAnsi="宋体"/>
                <w:color w:val="0C0C0C" w:themeColor="text1" w:themeTint="F2"/>
                <w:spacing w:val="4"/>
                <w:sz w:val="24"/>
              </w:rPr>
            </w:pPr>
            <w:r>
              <w:rPr>
                <w:rFonts w:hint="eastAsia" w:ascii="宋体" w:hAnsi="宋体"/>
                <w:iCs/>
                <w:color w:val="0C0C0C" w:themeColor="text1" w:themeTint="F2"/>
                <w:szCs w:val="21"/>
              </w:rPr>
              <w:t>投标咨询单位甲级2分，咨询单位乙级1分。</w:t>
            </w:r>
          </w:p>
        </w:tc>
        <w:tc>
          <w:tcPr>
            <w:tcW w:w="742" w:type="dxa"/>
            <w:vAlign w:val="center"/>
          </w:tcPr>
          <w:p>
            <w:pPr>
              <w:tabs>
                <w:tab w:val="left" w:pos="720"/>
              </w:tabs>
              <w:spacing w:line="480" w:lineRule="auto"/>
              <w:jc w:val="center"/>
              <w:rPr>
                <w:rFonts w:ascii="宋体" w:hAnsi="宋体"/>
                <w:color w:val="0C0C0C" w:themeColor="text1" w:themeTint="F2"/>
                <w:spacing w:val="4"/>
                <w:sz w:val="24"/>
              </w:rPr>
            </w:pPr>
            <w:r>
              <w:rPr>
                <w:rFonts w:hint="eastAsia" w:ascii="宋体" w:hAnsi="宋体"/>
                <w:color w:val="0C0C0C" w:themeColor="text1" w:themeTint="F2"/>
                <w:spacing w:val="4"/>
                <w:sz w:val="24"/>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企业荣誉</w:t>
            </w:r>
          </w:p>
        </w:tc>
        <w:tc>
          <w:tcPr>
            <w:tcW w:w="5495" w:type="dxa"/>
            <w:vAlign w:val="center"/>
          </w:tcPr>
          <w:p>
            <w:pPr>
              <w:tabs>
                <w:tab w:val="left" w:pos="720"/>
              </w:tabs>
              <w:spacing w:line="480" w:lineRule="auto"/>
              <w:jc w:val="left"/>
              <w:rPr>
                <w:rFonts w:ascii="宋体" w:hAnsi="宋体"/>
                <w:iCs/>
                <w:color w:val="0C0C0C" w:themeColor="text1" w:themeTint="F2"/>
                <w:szCs w:val="21"/>
              </w:rPr>
            </w:pPr>
            <w:r>
              <w:rPr>
                <w:rFonts w:hint="eastAsia" w:ascii="宋体" w:hAnsi="宋体"/>
                <w:iCs/>
                <w:color w:val="0C0C0C" w:themeColor="text1" w:themeTint="F2"/>
                <w:szCs w:val="21"/>
              </w:rPr>
              <w:t>自2019年1月1日以来，在市级及以上政府审计工作中考核优秀，或被通报表彰的，每项1分，满分3分。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227"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Merge w:val="continue"/>
            <w:vAlign w:val="center"/>
          </w:tcPr>
          <w:p>
            <w:pPr>
              <w:tabs>
                <w:tab w:val="left" w:pos="720"/>
              </w:tabs>
              <w:spacing w:line="480" w:lineRule="auto"/>
              <w:jc w:val="left"/>
              <w:rPr>
                <w:rFonts w:ascii="宋体" w:hAnsi="宋体"/>
                <w:iCs/>
                <w:color w:val="0C0C0C" w:themeColor="text1" w:themeTint="F2"/>
                <w:szCs w:val="21"/>
              </w:rPr>
            </w:pPr>
          </w:p>
        </w:tc>
        <w:tc>
          <w:tcPr>
            <w:tcW w:w="5495" w:type="dxa"/>
          </w:tcPr>
          <w:p>
            <w:pPr>
              <w:tabs>
                <w:tab w:val="left" w:pos="720"/>
              </w:tabs>
              <w:spacing w:line="480" w:lineRule="auto"/>
              <w:rPr>
                <w:rFonts w:ascii="宋体" w:hAnsi="宋体"/>
                <w:iCs/>
                <w:color w:val="0C0C0C" w:themeColor="text1" w:themeTint="F2"/>
                <w:szCs w:val="21"/>
              </w:rPr>
            </w:pPr>
            <w:r>
              <w:rPr>
                <w:rFonts w:hint="eastAsia" w:ascii="宋体" w:hAnsi="宋体"/>
                <w:iCs/>
                <w:color w:val="0C0C0C" w:themeColor="text1" w:themeTint="F2"/>
                <w:szCs w:val="21"/>
              </w:rPr>
              <w:t>近三年（2019年1月1日至今，以获奖证明时间为准）获得工商行政管理部门颁发的“守合同 重信用”企业荣誉的，国家级得3分，省级个得2分，市级得1分。所有荣誉按级别高的得分，不累计，满分3分。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2</w:t>
            </w:r>
          </w:p>
        </w:tc>
        <w:tc>
          <w:tcPr>
            <w:tcW w:w="1418" w:type="dxa"/>
            <w:vMerge w:val="restart"/>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pacing w:val="4"/>
                <w:sz w:val="24"/>
              </w:rPr>
              <w:t>投标单位的资源、本地化服务能力及业绩情况10分</w:t>
            </w: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从事工程造价专业的专职人员</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少于</w:t>
            </w:r>
            <w:r>
              <w:rPr>
                <w:rFonts w:hint="eastAsia" w:ascii="宋体" w:hAnsi="宋体" w:eastAsia="宋体"/>
                <w:color w:val="0C0C0C" w:themeColor="text1" w:themeTint="F2"/>
                <w:szCs w:val="21"/>
                <w:lang w:val="en-US" w:eastAsia="zh-CN"/>
              </w:rPr>
              <w:t>1</w:t>
            </w:r>
            <w:r>
              <w:rPr>
                <w:rFonts w:hint="eastAsia" w:ascii="宋体" w:hAnsi="宋体" w:eastAsia="宋体"/>
                <w:color w:val="0C0C0C" w:themeColor="text1" w:themeTint="F2"/>
                <w:szCs w:val="21"/>
              </w:rPr>
              <w:t>0人的不得分，</w:t>
            </w:r>
            <w:r>
              <w:rPr>
                <w:rFonts w:hint="eastAsia" w:ascii="宋体" w:hAnsi="宋体" w:eastAsia="宋体"/>
                <w:color w:val="0C0C0C" w:themeColor="text1" w:themeTint="F2"/>
                <w:szCs w:val="21"/>
                <w:lang w:val="en-US" w:eastAsia="zh-CN"/>
              </w:rPr>
              <w:t>1</w:t>
            </w:r>
            <w:r>
              <w:rPr>
                <w:rFonts w:hint="eastAsia" w:ascii="宋体" w:hAnsi="宋体" w:eastAsia="宋体"/>
                <w:color w:val="0C0C0C" w:themeColor="text1" w:themeTint="F2"/>
                <w:szCs w:val="21"/>
              </w:rPr>
              <w:t>0人以上每多1人得0.2分，最高得2分。（须提供2021年6月-2021年11月专职人员在投标单位缴纳社会保障金的证明材料。）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注册造价工程师</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少于</w:t>
            </w:r>
            <w:r>
              <w:rPr>
                <w:rFonts w:hint="eastAsia" w:ascii="宋体" w:hAnsi="宋体" w:eastAsia="宋体"/>
                <w:color w:val="0C0C0C" w:themeColor="text1" w:themeTint="F2"/>
                <w:szCs w:val="21"/>
                <w:lang w:val="en-US" w:eastAsia="zh-CN"/>
              </w:rPr>
              <w:t>6</w:t>
            </w:r>
            <w:r>
              <w:rPr>
                <w:rFonts w:hint="eastAsia" w:ascii="宋体" w:hAnsi="宋体" w:eastAsia="宋体"/>
                <w:color w:val="0C0C0C" w:themeColor="text1" w:themeTint="F2"/>
                <w:szCs w:val="21"/>
              </w:rPr>
              <w:t>人的不得分，</w:t>
            </w:r>
            <w:r>
              <w:rPr>
                <w:rFonts w:hint="eastAsia" w:ascii="宋体" w:hAnsi="宋体" w:eastAsia="宋体"/>
                <w:color w:val="0C0C0C" w:themeColor="text1" w:themeTint="F2"/>
                <w:szCs w:val="21"/>
                <w:lang w:val="en-US" w:eastAsia="zh-CN"/>
              </w:rPr>
              <w:t>6</w:t>
            </w:r>
            <w:r>
              <w:rPr>
                <w:rFonts w:hint="eastAsia" w:ascii="宋体" w:hAnsi="宋体" w:eastAsia="宋体"/>
                <w:color w:val="0C0C0C" w:themeColor="text1" w:themeTint="F2"/>
                <w:szCs w:val="21"/>
              </w:rPr>
              <w:t>人以上每多1人得0.4分，最高得4分。（须提供2021年6月-2021年11月专职人员在投标单位缴纳社会保障金的证明材料。）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6" w:hRule="atLeast"/>
          <w:jc w:val="center"/>
        </w:trPr>
        <w:tc>
          <w:tcPr>
            <w:tcW w:w="426" w:type="dxa"/>
            <w:vMerge w:val="continue"/>
            <w:tcBorders>
              <w:bottom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bottom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本地化服务能力</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投标单位在本地专业服务人员，少于</w:t>
            </w:r>
            <w:r>
              <w:rPr>
                <w:rFonts w:hint="eastAsia" w:ascii="宋体" w:hAnsi="宋体" w:eastAsia="宋体"/>
                <w:color w:val="0C0C0C" w:themeColor="text1" w:themeTint="F2"/>
                <w:szCs w:val="21"/>
                <w:lang w:val="en-US" w:eastAsia="zh-CN"/>
              </w:rPr>
              <w:t>4</w:t>
            </w:r>
            <w:r>
              <w:rPr>
                <w:rFonts w:hint="eastAsia" w:ascii="宋体" w:hAnsi="宋体" w:eastAsia="宋体"/>
                <w:color w:val="0C0C0C" w:themeColor="text1" w:themeTint="F2"/>
                <w:szCs w:val="21"/>
              </w:rPr>
              <w:t>人不得分，</w:t>
            </w:r>
            <w:r>
              <w:rPr>
                <w:rFonts w:hint="eastAsia" w:ascii="宋体" w:hAnsi="宋体" w:eastAsia="宋体"/>
                <w:color w:val="0C0C0C" w:themeColor="text1" w:themeTint="F2"/>
                <w:szCs w:val="21"/>
                <w:lang w:val="en-US" w:eastAsia="zh-CN"/>
              </w:rPr>
              <w:t>4</w:t>
            </w:r>
            <w:r>
              <w:rPr>
                <w:rFonts w:hint="eastAsia" w:ascii="宋体" w:hAnsi="宋体" w:eastAsia="宋体"/>
                <w:color w:val="0C0C0C" w:themeColor="text1" w:themeTint="F2"/>
                <w:szCs w:val="21"/>
              </w:rPr>
              <w:t>人以上每多人得1分，最高得4分。（须提供2021年6月-2021年11月人员在投标单位缴纳的芜湖市社会保障金的证明材料。）</w:t>
            </w:r>
          </w:p>
        </w:tc>
        <w:tc>
          <w:tcPr>
            <w:tcW w:w="742"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b/>
                <w:bCs/>
                <w:color w:val="0C0C0C" w:themeColor="text1" w:themeTint="F2"/>
                <w:szCs w:val="21"/>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3" w:hRule="atLeast"/>
          <w:jc w:val="center"/>
        </w:trPr>
        <w:tc>
          <w:tcPr>
            <w:tcW w:w="426" w:type="dxa"/>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w:t>
            </w:r>
          </w:p>
        </w:tc>
        <w:tc>
          <w:tcPr>
            <w:tcW w:w="1418" w:type="dxa"/>
            <w:vMerge w:val="restart"/>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hint="eastAsia" w:ascii="宋体" w:hAnsi="宋体"/>
                <w:iCs/>
                <w:color w:val="0C0C0C" w:themeColor="text1" w:themeTint="F2"/>
                <w:sz w:val="24"/>
                <w:szCs w:val="24"/>
              </w:rPr>
            </w:pPr>
            <w:r>
              <w:rPr>
                <w:rFonts w:hint="eastAsia" w:ascii="宋体" w:hAnsi="宋体"/>
                <w:iCs/>
                <w:color w:val="0C0C0C" w:themeColor="text1" w:themeTint="F2"/>
                <w:sz w:val="24"/>
                <w:szCs w:val="24"/>
              </w:rPr>
              <w:t>实施方案</w:t>
            </w:r>
          </w:p>
          <w:p>
            <w:pPr>
              <w:tabs>
                <w:tab w:val="left" w:pos="720"/>
              </w:tabs>
              <w:spacing w:line="480" w:lineRule="auto"/>
              <w:jc w:val="center"/>
              <w:rPr>
                <w:rFonts w:hint="eastAsia" w:ascii="宋体" w:hAnsi="宋体"/>
                <w:iCs/>
                <w:color w:val="0C0C0C" w:themeColor="text1" w:themeTint="F2"/>
                <w:sz w:val="24"/>
                <w:szCs w:val="24"/>
              </w:rPr>
            </w:pPr>
            <w:r>
              <w:rPr>
                <w:rFonts w:hint="eastAsia" w:ascii="宋体" w:hAnsi="宋体"/>
                <w:iCs/>
                <w:color w:val="0C0C0C" w:themeColor="text1" w:themeTint="F2"/>
                <w:sz w:val="24"/>
                <w:szCs w:val="24"/>
              </w:rPr>
              <w:t>及</w:t>
            </w:r>
          </w:p>
          <w:p>
            <w:pPr>
              <w:tabs>
                <w:tab w:val="left" w:pos="720"/>
              </w:tabs>
              <w:spacing w:line="480" w:lineRule="auto"/>
              <w:jc w:val="center"/>
              <w:rPr>
                <w:rFonts w:hint="eastAsia" w:ascii="宋体" w:hAnsi="宋体"/>
                <w:iCs/>
                <w:color w:val="0C0C0C" w:themeColor="text1" w:themeTint="F2"/>
                <w:sz w:val="24"/>
                <w:szCs w:val="24"/>
              </w:rPr>
            </w:pPr>
          </w:p>
          <w:p>
            <w:pPr>
              <w:tabs>
                <w:tab w:val="left" w:pos="720"/>
              </w:tabs>
              <w:spacing w:line="480" w:lineRule="auto"/>
              <w:jc w:val="center"/>
              <w:rPr>
                <w:rFonts w:ascii="宋体" w:hAnsi="宋体"/>
                <w:iCs/>
                <w:color w:val="0C0C0C" w:themeColor="text1" w:themeTint="F2"/>
                <w:sz w:val="24"/>
                <w:szCs w:val="24"/>
              </w:rPr>
            </w:pPr>
            <w:r>
              <w:rPr>
                <w:rFonts w:hint="eastAsia" w:ascii="宋体" w:hAnsi="宋体"/>
                <w:iCs/>
                <w:color w:val="0C0C0C" w:themeColor="text1" w:themeTint="F2"/>
                <w:sz w:val="24"/>
                <w:szCs w:val="24"/>
              </w:rPr>
              <w:t>保证措施</w:t>
            </w:r>
            <w:r>
              <w:rPr>
                <w:rFonts w:hint="eastAsia" w:ascii="宋体" w:hAnsi="宋体"/>
                <w:iCs/>
                <w:color w:val="0C0C0C" w:themeColor="text1" w:themeTint="F2"/>
                <w:sz w:val="24"/>
                <w:szCs w:val="24"/>
                <w:lang w:val="en-US" w:eastAsia="zh-CN"/>
              </w:rPr>
              <w:t>41</w:t>
            </w:r>
            <w:r>
              <w:rPr>
                <w:rFonts w:hint="eastAsia" w:ascii="宋体" w:hAnsi="宋体"/>
                <w:iCs/>
                <w:color w:val="0C0C0C" w:themeColor="text1" w:themeTint="F2"/>
                <w:sz w:val="24"/>
                <w:szCs w:val="24"/>
              </w:rPr>
              <w:t>分</w:t>
            </w: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方案完整性和编制水平</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实施方案内容完整、结构合理、针对性强得11～15分，一般得6～11分，差得0～6分。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15分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78" w:hRule="atLeast"/>
          <w:jc w:val="center"/>
        </w:trPr>
        <w:tc>
          <w:tcPr>
            <w:tcW w:w="426" w:type="dxa"/>
            <w:vMerge w:val="restart"/>
            <w:tcBorders>
              <w:top w:val="single" w:color="auto" w:sz="4" w:space="0"/>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审核重难点分析和控制措施</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重点突出、措施合理得5～9分，一般得3～5分，差得0～3分。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9分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48" w:hRule="atLeast"/>
          <w:jc w:val="center"/>
        </w:trPr>
        <w:tc>
          <w:tcPr>
            <w:tcW w:w="426" w:type="dxa"/>
            <w:vMerge w:val="continue"/>
            <w:tcBorders>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质量控制</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措施与承诺</w:t>
            </w:r>
          </w:p>
        </w:tc>
        <w:tc>
          <w:tcPr>
            <w:tcW w:w="5495" w:type="dxa"/>
            <w:vAlign w:val="center"/>
          </w:tcPr>
          <w:p>
            <w:pPr>
              <w:pStyle w:val="19"/>
              <w:spacing w:before="0" w:beforeAutospacing="0" w:after="0" w:afterAutospacing="0" w:line="480" w:lineRule="auto"/>
              <w:rPr>
                <w:iCs/>
                <w:color w:val="0C0C0C" w:themeColor="text1" w:themeTint="F2"/>
                <w:kern w:val="2"/>
                <w:sz w:val="21"/>
                <w:szCs w:val="21"/>
              </w:rPr>
            </w:pPr>
            <w:r>
              <w:rPr>
                <w:rFonts w:hint="eastAsia"/>
                <w:iCs/>
                <w:color w:val="0C0C0C" w:themeColor="text1" w:themeTint="F2"/>
                <w:kern w:val="2"/>
                <w:sz w:val="28"/>
                <w:szCs w:val="28"/>
              </w:rPr>
              <w:t>有详细的控制措施与承诺，并有具体的保证及惩罚措施，合理得4～6分，一般得2～4分，差得0～2分。承诺报告误差率控制在±3%以内的得2分，承诺报告误差率控制在±2%以内的得4分，承诺报告误差率控制在±1%以内的得6分，此项满分6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43" w:hRule="atLeast"/>
          <w:jc w:val="center"/>
        </w:trPr>
        <w:tc>
          <w:tcPr>
            <w:tcW w:w="426" w:type="dxa"/>
            <w:vMerge w:val="continue"/>
            <w:tcBorders>
              <w:left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时间控制</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措施与承诺</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有详细的控制措施与承诺，并有具体的保证及惩罚措施，合理得4～6分，一般得2～4分，差得0～2分。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6分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83" w:hRule="atLeast"/>
          <w:jc w:val="center"/>
        </w:trPr>
        <w:tc>
          <w:tcPr>
            <w:tcW w:w="426" w:type="dxa"/>
            <w:vMerge w:val="continue"/>
            <w:tcBorders>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tcBorders>
              <w:top w:val="single" w:color="auto" w:sz="4" w:space="0"/>
              <w:left w:val="single" w:color="auto" w:sz="4" w:space="0"/>
              <w:bottom w:val="single" w:color="auto" w:sz="4" w:space="0"/>
              <w:right w:val="single" w:color="auto" w:sz="4" w:space="0"/>
            </w:tcBorders>
            <w:vAlign w:val="center"/>
          </w:tcPr>
          <w:p>
            <w:pPr>
              <w:tabs>
                <w:tab w:val="left" w:pos="720"/>
              </w:tabs>
              <w:spacing w:line="480" w:lineRule="auto"/>
              <w:jc w:val="center"/>
              <w:rPr>
                <w:rFonts w:ascii="宋体" w:hAnsi="宋体"/>
                <w:iCs/>
                <w:color w:val="0C0C0C" w:themeColor="text1" w:themeTint="F2"/>
                <w:szCs w:val="21"/>
              </w:rPr>
            </w:pPr>
          </w:p>
        </w:tc>
        <w:tc>
          <w:tcPr>
            <w:tcW w:w="1287" w:type="dxa"/>
            <w:tcBorders>
              <w:left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争议解决措施或建议</w:t>
            </w:r>
          </w:p>
        </w:tc>
        <w:tc>
          <w:tcPr>
            <w:tcW w:w="5495" w:type="dxa"/>
            <w:vAlign w:val="center"/>
          </w:tcPr>
          <w:p>
            <w:pPr>
              <w:pStyle w:val="19"/>
              <w:spacing w:before="0" w:beforeAutospacing="0" w:after="0" w:afterAutospacing="0" w:line="480" w:lineRule="auto"/>
              <w:ind w:left="0" w:leftChars="0" w:firstLine="0" w:firstLineChars="0"/>
              <w:rPr>
                <w:iCs/>
                <w:color w:val="0C0C0C" w:themeColor="text1" w:themeTint="F2"/>
                <w:kern w:val="2"/>
                <w:sz w:val="21"/>
                <w:szCs w:val="21"/>
              </w:rPr>
            </w:pPr>
            <w:r>
              <w:rPr>
                <w:rFonts w:hint="eastAsia"/>
                <w:iCs/>
                <w:color w:val="0C0C0C" w:themeColor="text1" w:themeTint="F2"/>
                <w:kern w:val="2"/>
                <w:sz w:val="28"/>
                <w:szCs w:val="28"/>
              </w:rPr>
              <w:t>对审核过程的争议事项处理措施或建议，合理、得当、可操作性强得3～5分，一般得2～3分，差得0～2分。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588" w:hRule="atLeast"/>
          <w:jc w:val="center"/>
        </w:trPr>
        <w:tc>
          <w:tcPr>
            <w:tcW w:w="426" w:type="dxa"/>
            <w:vMerge w:val="restart"/>
            <w:tcBorders>
              <w:top w:val="single" w:color="auto" w:sz="4" w:space="0"/>
            </w:tcBorders>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4</w:t>
            </w:r>
          </w:p>
        </w:tc>
        <w:tc>
          <w:tcPr>
            <w:tcW w:w="1418" w:type="dxa"/>
            <w:vMerge w:val="restart"/>
            <w:tcBorders>
              <w:top w:val="single" w:color="auto" w:sz="4" w:space="0"/>
            </w:tcBorders>
            <w:vAlign w:val="center"/>
          </w:tcPr>
          <w:p>
            <w:pPr>
              <w:tabs>
                <w:tab w:val="left" w:pos="720"/>
              </w:tabs>
              <w:spacing w:line="480" w:lineRule="auto"/>
              <w:jc w:val="center"/>
              <w:rPr>
                <w:rFonts w:ascii="宋体" w:hAnsi="宋体"/>
                <w:iCs/>
                <w:color w:val="0C0C0C" w:themeColor="text1" w:themeTint="F2"/>
                <w:sz w:val="24"/>
                <w:szCs w:val="24"/>
              </w:rPr>
            </w:pPr>
            <w:r>
              <w:rPr>
                <w:rFonts w:hint="eastAsia" w:ascii="宋体" w:hAnsi="宋体"/>
                <w:iCs/>
                <w:color w:val="0C0C0C" w:themeColor="text1" w:themeTint="F2"/>
                <w:sz w:val="24"/>
                <w:szCs w:val="24"/>
              </w:rPr>
              <w:t>项目负责人情况</w:t>
            </w:r>
          </w:p>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 w:val="24"/>
                <w:szCs w:val="24"/>
              </w:rPr>
              <w:t>11分</w:t>
            </w: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项目负责人资格及职称</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项目负责人须具有注册造价工程师执业资格（否则“项目负责人情况”不得分），具有工程师职称1分，高级工程师2分。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88"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项目负责人从事造价工作年限</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项目负责人取得注册造价执业资格，并从事造价工作满8年的（含8年，提供项目负责人造价执业资格证，以资格证注册时间起算）得1分，8年以下不得分，每增加1年加0.5分，此项满分3分。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90"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获得有关荣誉称号</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s="宋体"/>
                <w:color w:val="0C0C0C" w:themeColor="text1" w:themeTint="F2"/>
                <w:sz w:val="24"/>
                <w:szCs w:val="24"/>
              </w:rPr>
              <w:t>2019年1月1日以来获得过建设主管部门或造价协会颁发的国家级奖项的得3分，省级得2分，市级得1分。</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55" w:hRule="atLeast"/>
          <w:jc w:val="center"/>
        </w:trPr>
        <w:tc>
          <w:tcPr>
            <w:tcW w:w="426"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418" w:type="dxa"/>
            <w:vMerge w:val="continue"/>
            <w:vAlign w:val="center"/>
          </w:tcPr>
          <w:p>
            <w:pPr>
              <w:tabs>
                <w:tab w:val="left" w:pos="720"/>
              </w:tabs>
              <w:spacing w:line="480" w:lineRule="auto"/>
              <w:jc w:val="center"/>
              <w:rPr>
                <w:rFonts w:ascii="宋体" w:hAnsi="宋体"/>
                <w:iCs/>
                <w:color w:val="0C0C0C" w:themeColor="text1" w:themeTint="F2"/>
                <w:szCs w:val="21"/>
              </w:rPr>
            </w:pPr>
          </w:p>
        </w:tc>
        <w:tc>
          <w:tcPr>
            <w:tcW w:w="1287" w:type="dxa"/>
            <w:vAlign w:val="center"/>
          </w:tcPr>
          <w:p>
            <w:pPr>
              <w:pStyle w:val="54"/>
              <w:spacing w:line="480" w:lineRule="auto"/>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项目负责人业绩</w:t>
            </w:r>
          </w:p>
        </w:tc>
        <w:tc>
          <w:tcPr>
            <w:tcW w:w="5495" w:type="dxa"/>
            <w:vAlign w:val="center"/>
          </w:tcPr>
          <w:p>
            <w:pPr>
              <w:pStyle w:val="54"/>
              <w:spacing w:line="480" w:lineRule="auto"/>
              <w:jc w:val="left"/>
              <w:rPr>
                <w:rFonts w:ascii="宋体" w:hAnsi="宋体" w:eastAsia="宋体"/>
                <w:color w:val="0C0C0C" w:themeColor="text1" w:themeTint="F2"/>
                <w:szCs w:val="21"/>
              </w:rPr>
            </w:pPr>
            <w:r>
              <w:rPr>
                <w:rFonts w:hint="eastAsia" w:ascii="宋体" w:hAnsi="宋体" w:eastAsia="宋体"/>
                <w:color w:val="0C0C0C" w:themeColor="text1" w:themeTint="F2"/>
                <w:szCs w:val="21"/>
              </w:rPr>
              <w:t>项目负责人近2年（2020年1月1日至今，业绩以合同签订时间为准）以来作为项目负责人单项公共建筑合同金额不低于2000万元的审计业绩，每份合同得0.5分；满分3分。(注：须提供工程造价咨询合同原件)。</w:t>
            </w:r>
          </w:p>
        </w:tc>
        <w:tc>
          <w:tcPr>
            <w:tcW w:w="742" w:type="dxa"/>
            <w:vAlign w:val="center"/>
          </w:tcPr>
          <w:p>
            <w:pPr>
              <w:tabs>
                <w:tab w:val="left" w:pos="720"/>
              </w:tabs>
              <w:spacing w:line="480" w:lineRule="auto"/>
              <w:jc w:val="center"/>
              <w:rPr>
                <w:rFonts w:ascii="宋体" w:hAnsi="宋体"/>
                <w:iCs/>
                <w:color w:val="0C0C0C" w:themeColor="text1" w:themeTint="F2"/>
                <w:szCs w:val="21"/>
              </w:rPr>
            </w:pPr>
            <w:r>
              <w:rPr>
                <w:rFonts w:hint="eastAsia" w:ascii="宋体" w:hAnsi="宋体"/>
                <w:iCs/>
                <w:color w:val="0C0C0C" w:themeColor="text1" w:themeTint="F2"/>
                <w:szCs w:val="21"/>
              </w:rPr>
              <w:t>3分</w:t>
            </w:r>
          </w:p>
        </w:tc>
      </w:tr>
    </w:tbl>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详细评审评分项中，</w:t>
      </w:r>
      <w:r>
        <w:rPr>
          <w:rFonts w:ascii="宋体" w:hAnsi="宋体" w:eastAsia="宋体"/>
          <w:color w:val="0C0C0C" w:themeColor="text1" w:themeTint="F2"/>
          <w:sz w:val="24"/>
          <w:szCs w:val="24"/>
        </w:rPr>
        <w:t>按下列原则进行评分</w:t>
      </w:r>
      <w:r>
        <w:rPr>
          <w:rFonts w:hint="eastAsia" w:ascii="宋体" w:hAnsi="宋体" w:eastAsia="宋体"/>
          <w:color w:val="0C0C0C" w:themeColor="text1" w:themeTint="F2"/>
          <w:sz w:val="24"/>
          <w:szCs w:val="24"/>
        </w:rPr>
        <w:t>：</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1.企业和服务人员的资格、职称等以提供的劳动合同、社保缴费记录、资格证书、职称证书为准；</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2.项目负责人业绩以提供的造价咨询合同的签订日期和合同注明的投资额为准，合同条款需能体现项目负责人（如合同中不能体现项目负责人，需提供业主盖章并有项目负责人签章的成果文件证明材料）；相关业绩以造价咨询合同的签订日期为准，需提供合同原件。</w:t>
      </w:r>
    </w:p>
    <w:p>
      <w:pPr>
        <w:tabs>
          <w:tab w:val="left" w:pos="720"/>
        </w:tabs>
        <w:spacing w:line="480" w:lineRule="auto"/>
        <w:rPr>
          <w:b/>
          <w:bCs/>
          <w:color w:val="0C0C0C" w:themeColor="text1" w:themeTint="F2"/>
          <w:sz w:val="24"/>
        </w:rPr>
      </w:pPr>
      <w:r>
        <w:rPr>
          <w:rFonts w:hint="eastAsia" w:ascii="宋体" w:hAnsi="宋体"/>
          <w:color w:val="0C0C0C" w:themeColor="text1" w:themeTint="F2"/>
          <w:sz w:val="24"/>
          <w:szCs w:val="24"/>
        </w:rPr>
        <w:t>3.评分细则中所提及评审项的原件需在开标时携带备查。</w:t>
      </w:r>
    </w:p>
    <w:p>
      <w:pPr>
        <w:tabs>
          <w:tab w:val="left" w:pos="720"/>
        </w:tabs>
        <w:spacing w:line="480" w:lineRule="auto"/>
        <w:rPr>
          <w:b/>
          <w:bCs/>
          <w:color w:val="0C0C0C" w:themeColor="text1" w:themeTint="F2"/>
          <w:sz w:val="24"/>
        </w:rPr>
      </w:pPr>
    </w:p>
    <w:p>
      <w:pPr>
        <w:tabs>
          <w:tab w:val="left" w:pos="720"/>
        </w:tabs>
        <w:spacing w:line="480" w:lineRule="auto"/>
        <w:rPr>
          <w:rFonts w:ascii="宋体" w:hAnsi="宋体"/>
          <w:color w:val="0C0C0C" w:themeColor="text1" w:themeTint="F2"/>
          <w:sz w:val="24"/>
        </w:rPr>
      </w:pPr>
      <w:r>
        <w:rPr>
          <w:rFonts w:hint="eastAsia" w:ascii="宋体" w:hAnsi="宋体"/>
          <w:color w:val="0C0C0C" w:themeColor="text1" w:themeTint="F2"/>
          <w:spacing w:val="4"/>
          <w:sz w:val="24"/>
        </w:rPr>
        <w:t>（2）商务部分评分内容和分值分配（30分）</w:t>
      </w:r>
    </w:p>
    <w:tbl>
      <w:tblPr>
        <w:tblStyle w:val="22"/>
        <w:tblW w:w="90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70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950" w:type="dxa"/>
            <w:vAlign w:val="center"/>
          </w:tcPr>
          <w:p>
            <w:pPr>
              <w:spacing w:line="480" w:lineRule="auto"/>
              <w:ind w:firstLine="480" w:firstLineChars="200"/>
              <w:jc w:val="center"/>
              <w:rPr>
                <w:rFonts w:ascii="宋体" w:hAnsi="宋体"/>
                <w:color w:val="0C0C0C" w:themeColor="text1" w:themeTint="F2"/>
                <w:sz w:val="24"/>
              </w:rPr>
            </w:pPr>
            <w:r>
              <w:rPr>
                <w:rFonts w:hint="eastAsia" w:ascii="宋体" w:hAnsi="宋体"/>
                <w:color w:val="0C0C0C" w:themeColor="text1" w:themeTint="F2"/>
                <w:sz w:val="24"/>
              </w:rPr>
              <w:t>项目名称</w:t>
            </w:r>
          </w:p>
        </w:tc>
        <w:tc>
          <w:tcPr>
            <w:tcW w:w="7066" w:type="dxa"/>
            <w:vAlign w:val="center"/>
          </w:tcPr>
          <w:p>
            <w:pPr>
              <w:spacing w:line="480" w:lineRule="auto"/>
              <w:rPr>
                <w:rFonts w:ascii="宋体" w:hAnsi="宋体"/>
                <w:color w:val="0C0C0C" w:themeColor="text1" w:themeTint="F2"/>
                <w:sz w:val="24"/>
              </w:rPr>
            </w:pPr>
            <w:r>
              <w:rPr>
                <w:rFonts w:hint="eastAsia" w:ascii="宋体" w:hAnsi="宋体"/>
                <w:color w:val="0C0C0C" w:themeColor="text1" w:themeTint="F2"/>
                <w:sz w:val="24"/>
              </w:rPr>
              <w:t>皖南医学院</w:t>
            </w:r>
            <w:r>
              <w:rPr>
                <w:rFonts w:hint="eastAsia" w:ascii="宋体" w:hAnsi="宋体"/>
                <w:b/>
                <w:color w:val="0C0C0C" w:themeColor="text1" w:themeTint="F2"/>
                <w:sz w:val="24"/>
              </w:rPr>
              <w:t>2022-2024</w:t>
            </w:r>
            <w:r>
              <w:rPr>
                <w:rFonts w:hint="eastAsia" w:ascii="宋体" w:hAnsi="宋体"/>
                <w:color w:val="0C0C0C" w:themeColor="text1" w:themeTint="F2"/>
                <w:sz w:val="24"/>
              </w:rPr>
              <w:t>年度修缮工程造价咨询服务项目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9" w:hRule="atLeast"/>
        </w:trPr>
        <w:tc>
          <w:tcPr>
            <w:tcW w:w="1950" w:type="dxa"/>
            <w:vAlign w:val="center"/>
          </w:tcPr>
          <w:p>
            <w:pPr>
              <w:spacing w:line="480" w:lineRule="auto"/>
              <w:jc w:val="center"/>
              <w:rPr>
                <w:rFonts w:hint="eastAsia" w:ascii="宋体" w:hAnsi="宋体"/>
                <w:color w:val="0C0C0C" w:themeColor="text1" w:themeTint="F2"/>
                <w:sz w:val="24"/>
              </w:rPr>
            </w:pPr>
            <w:r>
              <w:rPr>
                <w:rFonts w:hint="eastAsia" w:ascii="宋体" w:hAnsi="宋体"/>
                <w:color w:val="0C0C0C" w:themeColor="text1" w:themeTint="F2"/>
                <w:sz w:val="24"/>
              </w:rPr>
              <w:t xml:space="preserve">投标报价  </w:t>
            </w:r>
          </w:p>
          <w:p>
            <w:pPr>
              <w:spacing w:line="480" w:lineRule="auto"/>
              <w:jc w:val="center"/>
              <w:rPr>
                <w:rFonts w:ascii="宋体" w:hAnsi="宋体"/>
                <w:color w:val="0C0C0C" w:themeColor="text1" w:themeTint="F2"/>
                <w:sz w:val="24"/>
              </w:rPr>
            </w:pPr>
            <w:r>
              <w:rPr>
                <w:rFonts w:hint="eastAsia" w:ascii="宋体" w:hAnsi="宋体"/>
                <w:color w:val="0C0C0C" w:themeColor="text1" w:themeTint="F2"/>
                <w:sz w:val="24"/>
              </w:rPr>
              <w:t>-优惠率（%）</w:t>
            </w:r>
          </w:p>
        </w:tc>
        <w:tc>
          <w:tcPr>
            <w:tcW w:w="7066" w:type="dxa"/>
            <w:vAlign w:val="center"/>
          </w:tcPr>
          <w:p>
            <w:pPr>
              <w:spacing w:line="480" w:lineRule="auto"/>
              <w:ind w:firstLine="480" w:firstLineChars="200"/>
              <w:rPr>
                <w:rFonts w:ascii="宋体" w:hAnsi="宋体"/>
                <w:color w:val="0C0C0C" w:themeColor="text1" w:themeTint="F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4" w:hRule="atLeast"/>
        </w:trPr>
        <w:tc>
          <w:tcPr>
            <w:tcW w:w="1950" w:type="dxa"/>
            <w:vAlign w:val="center"/>
          </w:tcPr>
          <w:p>
            <w:pPr>
              <w:spacing w:line="480" w:lineRule="auto"/>
              <w:ind w:firstLine="480" w:firstLineChars="200"/>
              <w:rPr>
                <w:rFonts w:ascii="宋体" w:hAnsi="宋体"/>
                <w:color w:val="0C0C0C" w:themeColor="text1" w:themeTint="F2"/>
                <w:sz w:val="24"/>
              </w:rPr>
            </w:pPr>
            <w:r>
              <w:rPr>
                <w:rFonts w:hint="eastAsia" w:ascii="宋体" w:hAnsi="宋体"/>
                <w:color w:val="0C0C0C" w:themeColor="text1" w:themeTint="F2"/>
                <w:sz w:val="24"/>
              </w:rPr>
              <w:t>备注</w:t>
            </w:r>
          </w:p>
        </w:tc>
        <w:tc>
          <w:tcPr>
            <w:tcW w:w="7066" w:type="dxa"/>
            <w:vAlign w:val="center"/>
          </w:tcPr>
          <w:p>
            <w:pPr>
              <w:pStyle w:val="54"/>
              <w:spacing w:line="480" w:lineRule="auto"/>
              <w:jc w:val="left"/>
              <w:rPr>
                <w:rFonts w:ascii="宋体" w:hAnsi="宋体" w:eastAsia="宋体"/>
                <w:color w:val="0C0C0C" w:themeColor="text1" w:themeTint="F2"/>
                <w:sz w:val="24"/>
                <w:szCs w:val="24"/>
              </w:rPr>
            </w:pPr>
            <w:r>
              <w:rPr>
                <w:rFonts w:ascii="宋体" w:hAnsi="宋体" w:eastAsia="宋体"/>
                <w:color w:val="0C0C0C" w:themeColor="text1" w:themeTint="F2"/>
                <w:sz w:val="24"/>
                <w:szCs w:val="24"/>
              </w:rPr>
              <w:t>投标人参考行业收费标准，并充分考虑市场行情、成本、工程情况的基础上报价（</w:t>
            </w:r>
            <w:r>
              <w:rPr>
                <w:rFonts w:hint="eastAsia" w:ascii="宋体" w:hAnsi="宋体" w:eastAsia="宋体"/>
                <w:color w:val="0C0C0C" w:themeColor="text1" w:themeTint="F2"/>
                <w:sz w:val="24"/>
                <w:szCs w:val="24"/>
              </w:rPr>
              <w:t>所报优惠率不得高于皖价服[2007]86号文规定相应收费标准的60%。否则作无效标处理）。</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1</w:t>
            </w:r>
            <w:r>
              <w:rPr>
                <w:rFonts w:ascii="宋体" w:hAnsi="宋体" w:eastAsia="宋体"/>
                <w:color w:val="0C0C0C" w:themeColor="text1" w:themeTint="F2"/>
                <w:sz w:val="24"/>
                <w:szCs w:val="24"/>
              </w:rPr>
              <w:t>）</w:t>
            </w:r>
            <w:r>
              <w:rPr>
                <w:rFonts w:hint="eastAsia" w:ascii="宋体" w:hAnsi="宋体" w:eastAsia="宋体"/>
                <w:color w:val="0C0C0C" w:themeColor="text1" w:themeTint="F2"/>
                <w:sz w:val="24"/>
                <w:szCs w:val="24"/>
              </w:rPr>
              <w:t>投标报价</w:t>
            </w:r>
            <w:r>
              <w:rPr>
                <w:rFonts w:ascii="宋体" w:hAnsi="宋体" w:eastAsia="宋体"/>
                <w:color w:val="0C0C0C" w:themeColor="text1" w:themeTint="F2"/>
                <w:sz w:val="24"/>
                <w:szCs w:val="24"/>
              </w:rPr>
              <w:t>等于评标基准值B的得满分</w:t>
            </w:r>
            <w:r>
              <w:rPr>
                <w:rFonts w:hint="eastAsia" w:ascii="宋体" w:hAnsi="宋体" w:eastAsia="宋体"/>
                <w:color w:val="0C0C0C" w:themeColor="text1" w:themeTint="F2"/>
                <w:sz w:val="24"/>
                <w:szCs w:val="24"/>
              </w:rPr>
              <w:t>30</w:t>
            </w:r>
            <w:r>
              <w:rPr>
                <w:rFonts w:ascii="宋体" w:hAnsi="宋体" w:eastAsia="宋体"/>
                <w:color w:val="0C0C0C" w:themeColor="text1" w:themeTint="F2"/>
                <w:sz w:val="24"/>
                <w:szCs w:val="24"/>
              </w:rPr>
              <w:t>分；</w:t>
            </w:r>
            <w:r>
              <w:rPr>
                <w:rFonts w:hint="eastAsia" w:ascii="宋体" w:hAnsi="宋体" w:eastAsia="宋体"/>
                <w:color w:val="0C0C0C" w:themeColor="text1" w:themeTint="F2"/>
                <w:sz w:val="24"/>
                <w:szCs w:val="24"/>
              </w:rPr>
              <w:t>投标报价</w:t>
            </w:r>
            <w:r>
              <w:rPr>
                <w:rFonts w:ascii="宋体" w:hAnsi="宋体" w:eastAsia="宋体"/>
                <w:color w:val="0C0C0C" w:themeColor="text1" w:themeTint="F2"/>
                <w:sz w:val="24"/>
                <w:szCs w:val="24"/>
              </w:rPr>
              <w:t>每</w:t>
            </w:r>
            <w:r>
              <w:rPr>
                <w:rFonts w:hint="eastAsia" w:ascii="宋体" w:hAnsi="宋体" w:eastAsia="宋体"/>
                <w:color w:val="0C0C0C" w:themeColor="text1" w:themeTint="F2"/>
                <w:sz w:val="24"/>
                <w:szCs w:val="24"/>
              </w:rPr>
              <w:t>低</w:t>
            </w:r>
            <w:r>
              <w:rPr>
                <w:rFonts w:ascii="宋体" w:hAnsi="宋体" w:eastAsia="宋体"/>
                <w:color w:val="0C0C0C" w:themeColor="text1" w:themeTint="F2"/>
                <w:sz w:val="24"/>
                <w:szCs w:val="24"/>
              </w:rPr>
              <w:t>于评标基准值1%的扣</w:t>
            </w:r>
            <w:r>
              <w:rPr>
                <w:rFonts w:hint="eastAsia" w:ascii="宋体" w:hAnsi="宋体" w:eastAsia="宋体"/>
                <w:color w:val="0C0C0C" w:themeColor="text1" w:themeTint="F2"/>
                <w:sz w:val="24"/>
                <w:szCs w:val="24"/>
              </w:rPr>
              <w:t>0.3</w:t>
            </w:r>
            <w:r>
              <w:rPr>
                <w:rFonts w:ascii="宋体" w:hAnsi="宋体" w:eastAsia="宋体"/>
                <w:color w:val="0C0C0C" w:themeColor="text1" w:themeTint="F2"/>
                <w:sz w:val="24"/>
                <w:szCs w:val="24"/>
              </w:rPr>
              <w:t>分；每</w:t>
            </w:r>
            <w:r>
              <w:rPr>
                <w:rFonts w:hint="eastAsia" w:ascii="宋体" w:hAnsi="宋体" w:eastAsia="宋体"/>
                <w:color w:val="0C0C0C" w:themeColor="text1" w:themeTint="F2"/>
                <w:sz w:val="24"/>
                <w:szCs w:val="24"/>
              </w:rPr>
              <w:t>高</w:t>
            </w:r>
            <w:r>
              <w:rPr>
                <w:rFonts w:ascii="宋体" w:hAnsi="宋体" w:eastAsia="宋体"/>
                <w:color w:val="0C0C0C" w:themeColor="text1" w:themeTint="F2"/>
                <w:sz w:val="24"/>
                <w:szCs w:val="24"/>
              </w:rPr>
              <w:t>于评标基准值1%扣</w:t>
            </w:r>
            <w:r>
              <w:rPr>
                <w:rFonts w:hint="eastAsia" w:ascii="宋体" w:hAnsi="宋体" w:eastAsia="宋体"/>
                <w:color w:val="0C0C0C" w:themeColor="text1" w:themeTint="F2"/>
                <w:sz w:val="24"/>
                <w:szCs w:val="24"/>
              </w:rPr>
              <w:t>0.2</w:t>
            </w:r>
            <w:r>
              <w:rPr>
                <w:rFonts w:ascii="宋体" w:hAnsi="宋体" w:eastAsia="宋体"/>
                <w:color w:val="0C0C0C" w:themeColor="text1" w:themeTint="F2"/>
                <w:sz w:val="24"/>
                <w:szCs w:val="24"/>
              </w:rPr>
              <w:t>分，不足1%的，按照插入法计算得分</w:t>
            </w:r>
            <w:r>
              <w:rPr>
                <w:rFonts w:hint="eastAsia" w:ascii="宋体" w:hAnsi="宋体" w:eastAsia="宋体"/>
                <w:color w:val="0C0C0C" w:themeColor="text1" w:themeTint="F2"/>
                <w:sz w:val="24"/>
                <w:szCs w:val="24"/>
              </w:rPr>
              <w:t>。扣完为止</w:t>
            </w:r>
            <w:r>
              <w:rPr>
                <w:rFonts w:ascii="宋体" w:hAnsi="宋体" w:eastAsia="宋体"/>
                <w:color w:val="0C0C0C" w:themeColor="text1" w:themeTint="F2"/>
                <w:sz w:val="24"/>
                <w:szCs w:val="24"/>
              </w:rPr>
              <w:t>（采用四舍五入的方法精确至小数点后二位）。</w:t>
            </w:r>
          </w:p>
          <w:p>
            <w:pPr>
              <w:pStyle w:val="54"/>
              <w:spacing w:line="480" w:lineRule="auto"/>
              <w:jc w:val="left"/>
              <w:rPr>
                <w:rFonts w:ascii="宋体" w:hAnsi="宋体" w:eastAsia="宋体"/>
                <w:color w:val="0C0C0C" w:themeColor="text1" w:themeTint="F2"/>
                <w:sz w:val="24"/>
                <w:szCs w:val="24"/>
              </w:rPr>
            </w:pPr>
            <w:r>
              <w:rPr>
                <w:rFonts w:hint="eastAsia" w:ascii="宋体" w:hAnsi="宋体" w:eastAsia="宋体"/>
                <w:color w:val="0C0C0C" w:themeColor="text1" w:themeTint="F2"/>
                <w:sz w:val="24"/>
                <w:szCs w:val="24"/>
              </w:rPr>
              <w:t>2</w:t>
            </w:r>
            <w:r>
              <w:rPr>
                <w:rFonts w:ascii="宋体" w:hAnsi="宋体" w:eastAsia="宋体"/>
                <w:color w:val="0C0C0C" w:themeColor="text1" w:themeTint="F2"/>
                <w:sz w:val="24"/>
                <w:szCs w:val="24"/>
              </w:rPr>
              <w:t>）各投标人报</w:t>
            </w:r>
            <w:r>
              <w:rPr>
                <w:rFonts w:hint="eastAsia" w:ascii="宋体" w:hAnsi="宋体" w:eastAsia="宋体"/>
                <w:color w:val="0C0C0C" w:themeColor="text1" w:themeTint="F2"/>
                <w:sz w:val="24"/>
                <w:szCs w:val="24"/>
              </w:rPr>
              <w:t>价</w:t>
            </w:r>
            <w:r>
              <w:rPr>
                <w:rFonts w:ascii="宋体" w:hAnsi="宋体" w:eastAsia="宋体"/>
                <w:color w:val="0C0C0C" w:themeColor="text1" w:themeTint="F2"/>
                <w:sz w:val="24"/>
                <w:szCs w:val="24"/>
              </w:rPr>
              <w:t>A（%），取所有有效投标人</w:t>
            </w:r>
            <w:r>
              <w:rPr>
                <w:rFonts w:hint="eastAsia" w:ascii="宋体" w:hAnsi="宋体" w:eastAsia="宋体"/>
                <w:color w:val="0C0C0C" w:themeColor="text1" w:themeTint="F2"/>
                <w:sz w:val="24"/>
                <w:szCs w:val="24"/>
              </w:rPr>
              <w:t>报价</w:t>
            </w:r>
            <w:r>
              <w:rPr>
                <w:rFonts w:ascii="宋体" w:hAnsi="宋体" w:eastAsia="宋体"/>
                <w:color w:val="0C0C0C" w:themeColor="text1" w:themeTint="F2"/>
                <w:sz w:val="24"/>
                <w:szCs w:val="24"/>
              </w:rPr>
              <w:t>的算</w:t>
            </w:r>
            <w:r>
              <w:rPr>
                <w:rFonts w:hint="eastAsia" w:ascii="宋体" w:hAnsi="宋体" w:eastAsia="宋体"/>
                <w:color w:val="0C0C0C" w:themeColor="text1" w:themeTint="F2"/>
                <w:sz w:val="24"/>
                <w:szCs w:val="24"/>
              </w:rPr>
              <w:t>数平均值为评标基准值B（%）；C为投标人商务得分。计算公式:C=30-(｜A-B｜/B*100*0.3)或C=30-(｜A-B｜/B*100*0.2）</w:t>
            </w:r>
          </w:p>
          <w:p>
            <w:pPr>
              <w:pStyle w:val="54"/>
              <w:spacing w:line="480" w:lineRule="auto"/>
              <w:jc w:val="left"/>
              <w:rPr>
                <w:rFonts w:ascii="宋体" w:hAnsi="宋体"/>
                <w:color w:val="0C0C0C" w:themeColor="text1" w:themeTint="F2"/>
                <w:sz w:val="24"/>
              </w:rPr>
            </w:pPr>
          </w:p>
        </w:tc>
      </w:tr>
    </w:tbl>
    <w:p>
      <w:pPr>
        <w:tabs>
          <w:tab w:val="left" w:pos="720"/>
        </w:tabs>
        <w:spacing w:line="480" w:lineRule="auto"/>
        <w:rPr>
          <w:rFonts w:ascii="宋体" w:hAnsi="宋体" w:cs="宋体"/>
          <w:color w:val="0C0C0C" w:themeColor="text1" w:themeTint="F2"/>
          <w:sz w:val="30"/>
          <w:szCs w:val="30"/>
        </w:rPr>
      </w:pPr>
    </w:p>
    <w:p>
      <w:pPr>
        <w:tabs>
          <w:tab w:val="left" w:pos="720"/>
        </w:tabs>
        <w:spacing w:line="480" w:lineRule="auto"/>
        <w:rPr>
          <w:rFonts w:ascii="宋体" w:hAnsi="宋体"/>
          <w:color w:val="0C0C0C" w:themeColor="text1" w:themeTint="F2"/>
          <w:spacing w:val="4"/>
          <w:sz w:val="24"/>
        </w:rPr>
      </w:pPr>
      <w:r>
        <w:rPr>
          <w:rFonts w:hint="eastAsia" w:ascii="宋体" w:hAnsi="宋体" w:cs="宋体"/>
          <w:bCs/>
          <w:color w:val="0C0C0C" w:themeColor="text1" w:themeTint="F2"/>
          <w:sz w:val="30"/>
          <w:szCs w:val="30"/>
        </w:rPr>
        <w:t>（</w:t>
      </w:r>
      <w:r>
        <w:rPr>
          <w:rFonts w:hint="eastAsia" w:ascii="宋体" w:hAnsi="宋体"/>
          <w:color w:val="0C0C0C" w:themeColor="text1" w:themeTint="F2"/>
          <w:spacing w:val="4"/>
          <w:sz w:val="24"/>
        </w:rPr>
        <w:t>3）投标人最终得分=技术部分得分+商务部分得分</w:t>
      </w:r>
    </w:p>
    <w:p>
      <w:pPr>
        <w:tabs>
          <w:tab w:val="left" w:pos="720"/>
        </w:tabs>
        <w:spacing w:line="480" w:lineRule="auto"/>
        <w:ind w:firstLine="600"/>
        <w:rPr>
          <w:color w:val="0C0C0C" w:themeColor="text1" w:themeTint="F2"/>
          <w:sz w:val="28"/>
          <w:szCs w:val="28"/>
        </w:rPr>
      </w:pPr>
      <w:r>
        <w:rPr>
          <w:rFonts w:hint="eastAsia" w:ascii="宋体" w:hAnsi="宋体"/>
          <w:color w:val="0C0C0C" w:themeColor="text1" w:themeTint="F2"/>
          <w:spacing w:val="4"/>
          <w:sz w:val="24"/>
        </w:rPr>
        <w:t>如出现投标人最终得分相等的情况，则以报价得分高者优先。</w:t>
      </w:r>
    </w:p>
    <w:p>
      <w:pPr>
        <w:spacing w:line="480" w:lineRule="auto"/>
        <w:ind w:firstLine="6160" w:firstLineChars="2200"/>
        <w:rPr>
          <w:color w:val="0C0C0C" w:themeColor="text1" w:themeTint="F2"/>
          <w:sz w:val="28"/>
          <w:szCs w:val="28"/>
        </w:rPr>
      </w:pPr>
    </w:p>
    <w:p>
      <w:pPr>
        <w:pStyle w:val="28"/>
        <w:ind w:left="0" w:leftChars="0" w:firstLine="0" w:firstLineChars="0"/>
        <w:jc w:val="center"/>
        <w:rPr>
          <w:sz w:val="44"/>
          <w:szCs w:val="44"/>
        </w:rPr>
      </w:pPr>
      <w:bookmarkStart w:id="109" w:name="_Toc52892868"/>
      <w:r>
        <w:rPr>
          <w:rFonts w:hint="eastAsia"/>
          <w:sz w:val="44"/>
          <w:szCs w:val="44"/>
        </w:rPr>
        <w:t xml:space="preserve">第七章  </w:t>
      </w:r>
      <w:bookmarkStart w:id="110" w:name="_Toc403987220"/>
      <w:r>
        <w:rPr>
          <w:rFonts w:hint="eastAsia"/>
          <w:sz w:val="44"/>
          <w:szCs w:val="44"/>
        </w:rPr>
        <w:t>响应文件格式</w:t>
      </w:r>
      <w:bookmarkEnd w:id="109"/>
      <w:bookmarkEnd w:id="110"/>
    </w:p>
    <w:p>
      <w:pPr>
        <w:jc w:val="center"/>
        <w:rPr>
          <w:rFonts w:hAnsi="宋体"/>
          <w:b/>
          <w:sz w:val="72"/>
        </w:rPr>
      </w:pPr>
      <w:bookmarkStart w:id="111" w:name="_Hlt26671244"/>
      <w:bookmarkEnd w:id="111"/>
      <w:bookmarkStart w:id="112" w:name="_Hlt26955039"/>
      <w:bookmarkEnd w:id="112"/>
      <w:bookmarkStart w:id="113" w:name="_Toc120614282"/>
      <w:bookmarkStart w:id="114" w:name="_Toc49090576"/>
      <w:bookmarkStart w:id="115" w:name="_Toc26554094"/>
    </w:p>
    <w:p>
      <w:pPr>
        <w:jc w:val="center"/>
        <w:rPr>
          <w:rFonts w:hAnsi="宋体"/>
          <w:b/>
          <w:sz w:val="72"/>
        </w:rPr>
      </w:pPr>
      <w:r>
        <w:rPr>
          <w:rFonts w:hint="eastAsia" w:hAnsi="宋体"/>
          <w:b/>
          <w:sz w:val="72"/>
        </w:rPr>
        <w:t>响  应  文  件</w:t>
      </w:r>
    </w:p>
    <w:p>
      <w:pPr>
        <w:jc w:val="center"/>
        <w:rPr>
          <w:rFonts w:hAnsi="宋体"/>
          <w:b/>
          <w:sz w:val="44"/>
          <w:szCs w:val="44"/>
        </w:rPr>
      </w:pPr>
    </w:p>
    <w:p>
      <w:pPr>
        <w:jc w:val="center"/>
        <w:rPr>
          <w:rFonts w:hAnsi="宋体"/>
          <w:b/>
          <w:sz w:val="36"/>
        </w:rPr>
      </w:pPr>
    </w:p>
    <w:p>
      <w:pPr>
        <w:jc w:val="center"/>
        <w:rPr>
          <w:rFonts w:hAnsi="宋体"/>
          <w:b/>
          <w:sz w:val="36"/>
        </w:rPr>
      </w:pPr>
    </w:p>
    <w:p>
      <w:pPr>
        <w:jc w:val="center"/>
        <w:rPr>
          <w:rFonts w:hAnsi="宋体"/>
          <w:b/>
          <w:sz w:val="36"/>
        </w:rPr>
      </w:pPr>
    </w:p>
    <w:p>
      <w:pPr>
        <w:ind w:left="1016" w:firstLine="1084" w:firstLineChars="300"/>
        <w:rPr>
          <w:rFonts w:hAnsi="宋体"/>
          <w:b/>
          <w:sz w:val="36"/>
        </w:rPr>
      </w:pPr>
      <w:r>
        <w:rPr>
          <w:rFonts w:hint="eastAsia" w:hAnsi="宋体"/>
          <w:b/>
          <w:sz w:val="36"/>
        </w:rPr>
        <w:t>项 目 名 称：</w:t>
      </w:r>
      <w:r>
        <w:rPr>
          <w:rFonts w:hint="eastAsia" w:hAnsi="宋体"/>
          <w:b/>
          <w:sz w:val="36"/>
          <w:u w:val="single"/>
        </w:rPr>
        <w:t xml:space="preserve">               </w:t>
      </w:r>
    </w:p>
    <w:p>
      <w:pPr>
        <w:ind w:left="1016" w:firstLine="1084" w:firstLineChars="300"/>
        <w:rPr>
          <w:rFonts w:hAnsi="宋体"/>
          <w:b/>
          <w:sz w:val="36"/>
          <w:u w:val="single"/>
        </w:rPr>
      </w:pPr>
      <w:r>
        <w:rPr>
          <w:rFonts w:hint="eastAsia" w:hAnsi="宋体"/>
          <w:b/>
          <w:sz w:val="36"/>
        </w:rPr>
        <w:t>项 目 编 号：</w:t>
      </w:r>
      <w:r>
        <w:rPr>
          <w:rFonts w:hint="eastAsia" w:hAnsi="宋体"/>
          <w:b/>
          <w:sz w:val="36"/>
          <w:u w:val="single"/>
        </w:rPr>
        <w:t xml:space="preserve">               </w:t>
      </w:r>
    </w:p>
    <w:p>
      <w:pPr>
        <w:ind w:left="1680" w:firstLine="420"/>
        <w:rPr>
          <w:rFonts w:hAnsi="宋体"/>
          <w:b/>
          <w:sz w:val="36"/>
          <w:u w:val="single"/>
        </w:rPr>
      </w:pPr>
      <w:r>
        <w:rPr>
          <w:rFonts w:hint="eastAsia" w:hAnsi="宋体"/>
          <w:b/>
          <w:sz w:val="36"/>
        </w:rPr>
        <w:t>供应商名称 ：</w:t>
      </w:r>
      <w:r>
        <w:rPr>
          <w:rFonts w:hint="eastAsia" w:hAnsi="宋体"/>
          <w:b/>
          <w:sz w:val="36"/>
          <w:u w:val="single"/>
        </w:rPr>
        <w:t xml:space="preserve">               （签章）</w:t>
      </w:r>
    </w:p>
    <w:p>
      <w:pPr>
        <w:ind w:left="1680" w:firstLine="420"/>
        <w:rPr>
          <w:rFonts w:hAnsi="宋体"/>
          <w:b/>
          <w:sz w:val="36"/>
        </w:rPr>
      </w:pPr>
      <w:r>
        <w:rPr>
          <w:rFonts w:hint="eastAsia" w:hAnsi="宋体"/>
          <w:b/>
          <w:sz w:val="36"/>
        </w:rPr>
        <w:t>日      期 ：</w:t>
      </w:r>
      <w:r>
        <w:rPr>
          <w:rFonts w:hint="eastAsia" w:hAnsi="宋体"/>
          <w:b/>
          <w:sz w:val="36"/>
          <w:u w:val="single"/>
        </w:rPr>
        <w:t xml:space="preserve">               </w:t>
      </w:r>
    </w:p>
    <w:bookmarkEnd w:id="113"/>
    <w:bookmarkEnd w:id="114"/>
    <w:bookmarkEnd w:id="115"/>
    <w:p>
      <w:pPr>
        <w:rPr>
          <w:rFonts w:hAnsi="宋体"/>
          <w:b/>
          <w:sz w:val="30"/>
          <w:szCs w:val="30"/>
        </w:rPr>
      </w:pPr>
      <w:r>
        <w:rPr>
          <w:rFonts w:hint="eastAsia" w:hAnsi="宋体"/>
          <w:b/>
          <w:sz w:val="30"/>
          <w:szCs w:val="30"/>
        </w:rPr>
        <w:t xml:space="preserve"> </w:t>
      </w:r>
    </w:p>
    <w:p>
      <w:pPr>
        <w:spacing w:line="440" w:lineRule="exact"/>
        <w:jc w:val="center"/>
        <w:rPr>
          <w:rFonts w:ascii="仿宋_GB2312" w:hAnsi="仿宋_GB2312" w:eastAsia="仿宋_GB2312" w:cs="仿宋_GB2312"/>
          <w:b/>
          <w:bCs/>
          <w:sz w:val="32"/>
          <w:szCs w:val="32"/>
        </w:rPr>
      </w:pPr>
      <w:r>
        <w:rPr>
          <w:rFonts w:hAnsi="宋体"/>
          <w:b/>
          <w:bCs/>
          <w:sz w:val="32"/>
          <w:szCs w:val="32"/>
        </w:rPr>
        <w:br w:type="page"/>
      </w:r>
      <w:r>
        <w:rPr>
          <w:rFonts w:hint="eastAsia" w:ascii="华文中宋" w:hAnsi="华文中宋" w:eastAsia="华文中宋" w:cs="华文中宋"/>
          <w:b/>
          <w:bCs/>
          <w:sz w:val="32"/>
          <w:szCs w:val="32"/>
        </w:rPr>
        <w:t>响应文件目录</w:t>
      </w:r>
    </w:p>
    <w:p>
      <w:pPr>
        <w:snapToGrid w:val="0"/>
        <w:spacing w:before="50" w:after="50"/>
        <w:rPr>
          <w:rFonts w:ascii="仿宋_GB2312" w:hAnsi="仿宋_GB2312" w:eastAsia="仿宋_GB2312" w:cs="仿宋_GB2312"/>
          <w:sz w:val="24"/>
          <w:szCs w:val="24"/>
        </w:rPr>
      </w:pP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一、开标一览表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二、资格性和符合性检查响应对照表</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三、资信证明文件</w:t>
      </w:r>
    </w:p>
    <w:p>
      <w:pPr>
        <w:tabs>
          <w:tab w:val="left" w:pos="5580"/>
        </w:tabs>
        <w:adjustRightInd w:val="0"/>
        <w:snapToGrid w:val="0"/>
        <w:spacing w:line="360" w:lineRule="auto"/>
        <w:jc w:val="left"/>
        <w:rPr>
          <w:rFonts w:ascii="仿宋_GB2312" w:hAnsi="仿宋_GB2312" w:eastAsia="仿宋_GB2312" w:cs="仿宋_GB2312"/>
          <w:b/>
          <w:sz w:val="24"/>
          <w:szCs w:val="24"/>
        </w:rPr>
      </w:pPr>
      <w:r>
        <w:rPr>
          <w:rFonts w:hint="eastAsia" w:ascii="仿宋_GB2312" w:hAnsi="仿宋_GB2312" w:eastAsia="仿宋_GB2312" w:cs="仿宋_GB2312"/>
          <w:b/>
          <w:sz w:val="24"/>
          <w:szCs w:val="24"/>
        </w:rPr>
        <w:t>四、磋商函格式</w:t>
      </w:r>
    </w:p>
    <w:p>
      <w:pPr>
        <w:adjustRightInd w:val="0"/>
        <w:snapToGrid w:val="0"/>
        <w:spacing w:line="360" w:lineRule="auto"/>
        <w:rPr>
          <w:rFonts w:ascii="仿宋_GB2312" w:hAnsi="仿宋_GB2312" w:eastAsia="仿宋_GB2312" w:cs="仿宋_GB2312"/>
          <w:b/>
          <w:sz w:val="24"/>
          <w:szCs w:val="24"/>
          <w:highlight w:val="yellow"/>
        </w:rPr>
      </w:pPr>
      <w:r>
        <w:rPr>
          <w:rFonts w:hint="eastAsia" w:ascii="仿宋_GB2312" w:hAnsi="仿宋_GB2312" w:eastAsia="仿宋_GB2312" w:cs="仿宋_GB2312"/>
          <w:b/>
          <w:sz w:val="24"/>
          <w:szCs w:val="24"/>
        </w:rPr>
        <w:t>五、报价明细表</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六、服务方案</w:t>
      </w:r>
    </w:p>
    <w:p>
      <w:pPr>
        <w:adjustRightInd w:val="0"/>
        <w:snapToGrid w:val="0"/>
        <w:spacing w:line="360" w:lineRule="auto"/>
        <w:rPr>
          <w:rFonts w:ascii="仿宋_GB2312" w:hAnsi="仿宋_GB2312" w:eastAsia="仿宋_GB2312" w:cs="仿宋_GB2312"/>
          <w:b/>
          <w:sz w:val="24"/>
          <w:szCs w:val="24"/>
        </w:rPr>
      </w:pPr>
      <w:r>
        <w:rPr>
          <w:rFonts w:hint="eastAsia" w:ascii="仿宋_GB2312" w:hAnsi="仿宋_GB2312" w:eastAsia="仿宋_GB2312" w:cs="仿宋_GB2312"/>
          <w:b/>
          <w:sz w:val="24"/>
          <w:szCs w:val="24"/>
        </w:rPr>
        <w:t>七、投标人需要提供的其它材料</w:t>
      </w:r>
    </w:p>
    <w:p>
      <w:pPr>
        <w:tabs>
          <w:tab w:val="left" w:pos="5580"/>
        </w:tabs>
        <w:spacing w:line="480" w:lineRule="exact"/>
        <w:jc w:val="left"/>
        <w:rPr>
          <w:rFonts w:hAnsi="宋体"/>
          <w:b/>
          <w:sz w:val="24"/>
          <w:szCs w:val="24"/>
        </w:rPr>
      </w:pPr>
    </w:p>
    <w:p>
      <w:pPr>
        <w:jc w:val="center"/>
        <w:rPr>
          <w:rFonts w:hAnsi="宋体"/>
          <w:sz w:val="24"/>
        </w:rPr>
      </w:pPr>
      <w:r>
        <w:rPr>
          <w:rFonts w:hAnsi="宋体"/>
          <w:sz w:val="24"/>
        </w:rPr>
        <w:br w:type="page"/>
      </w:r>
    </w:p>
    <w:p>
      <w:pPr>
        <w:snapToGrid w:val="0"/>
        <w:spacing w:before="50" w:after="50" w:line="360" w:lineRule="auto"/>
        <w:jc w:val="center"/>
        <w:rPr>
          <w:rFonts w:ascii="华文中宋" w:hAnsi="华文中宋" w:eastAsia="华文中宋"/>
          <w:b/>
          <w:spacing w:val="-6"/>
          <w:szCs w:val="28"/>
        </w:rPr>
      </w:pPr>
      <w:r>
        <w:rPr>
          <w:rFonts w:hint="eastAsia" w:ascii="华文中宋" w:hAnsi="华文中宋" w:eastAsia="华文中宋"/>
          <w:b/>
          <w:spacing w:val="-6"/>
          <w:szCs w:val="28"/>
        </w:rPr>
        <w:t>一、开标一览表</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招标编号：</w:t>
      </w:r>
    </w:p>
    <w:p>
      <w:pPr>
        <w:snapToGrid w:val="0"/>
        <w:spacing w:before="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投标人名称：</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w:t>
      </w:r>
    </w:p>
    <w:tbl>
      <w:tblPr>
        <w:tblStyle w:val="21"/>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3550"/>
        <w:gridCol w:w="476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10" w:hRule="atLeast"/>
          <w:jc w:val="center"/>
        </w:trPr>
        <w:tc>
          <w:tcPr>
            <w:tcW w:w="3550"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仿宋_GB2312" w:hAnsi="仿宋_GB2312" w:eastAsia="仿宋_GB2312" w:cs="仿宋_GB2312"/>
                <w:b/>
                <w:spacing w:val="-6"/>
                <w:sz w:val="24"/>
                <w:szCs w:val="24"/>
              </w:rPr>
            </w:pPr>
            <w:r>
              <w:rPr>
                <w:rFonts w:hint="eastAsia" w:ascii="仿宋_GB2312" w:hAnsi="仿宋_GB2312" w:eastAsia="仿宋_GB2312" w:cs="仿宋_GB2312"/>
                <w:b/>
                <w:spacing w:val="-6"/>
                <w:sz w:val="24"/>
                <w:szCs w:val="24"/>
              </w:rPr>
              <w:t>项目名称</w:t>
            </w:r>
          </w:p>
        </w:tc>
        <w:tc>
          <w:tcPr>
            <w:tcW w:w="476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仿宋_GB2312" w:hAnsi="仿宋_GB2312" w:eastAsia="仿宋_GB2312" w:cs="仿宋_GB2312"/>
                <w:b/>
                <w:spacing w:val="-6"/>
                <w:sz w:val="24"/>
                <w:szCs w:val="24"/>
                <w:lang w:val="en-US" w:eastAsia="zh-CN"/>
              </w:rPr>
            </w:pPr>
            <w:r>
              <w:rPr>
                <w:rFonts w:hint="eastAsia" w:ascii="仿宋_GB2312" w:hAnsi="仿宋_GB2312" w:eastAsia="仿宋_GB2312" w:cs="仿宋_GB2312"/>
                <w:b/>
                <w:spacing w:val="-6"/>
                <w:sz w:val="24"/>
                <w:szCs w:val="24"/>
              </w:rPr>
              <w:t>报价</w:t>
            </w:r>
            <w:r>
              <w:rPr>
                <w:rFonts w:hint="eastAsia" w:ascii="仿宋_GB2312" w:hAnsi="仿宋_GB2312" w:eastAsia="仿宋_GB2312" w:cs="仿宋_GB2312"/>
                <w:b/>
                <w:spacing w:val="-6"/>
                <w:sz w:val="24"/>
                <w:szCs w:val="24"/>
                <w:lang w:val="en-US" w:eastAsia="zh-CN"/>
              </w:rPr>
              <w:t>(优惠率%)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311" w:hRule="atLeast"/>
          <w:jc w:val="center"/>
        </w:trPr>
        <w:tc>
          <w:tcPr>
            <w:tcW w:w="3550" w:type="dxa"/>
            <w:tcBorders>
              <w:top w:val="single" w:color="auto" w:sz="4" w:space="0"/>
              <w:left w:val="single" w:color="auto" w:sz="4" w:space="0"/>
              <w:right w:val="single" w:color="auto" w:sz="4" w:space="0"/>
            </w:tcBorders>
            <w:vAlign w:val="center"/>
          </w:tcPr>
          <w:p>
            <w:pPr>
              <w:jc w:val="center"/>
              <w:rPr>
                <w:rFonts w:ascii="仿宋_GB2312" w:hAnsi="仿宋_GB2312" w:eastAsia="仿宋_GB2312" w:cs="仿宋_GB2312"/>
                <w:bCs/>
                <w:sz w:val="24"/>
                <w:szCs w:val="24"/>
              </w:rPr>
            </w:pPr>
            <w:r>
              <w:rPr>
                <w:rFonts w:hint="eastAsia" w:ascii="仿宋_GB2312" w:hAnsi="仿宋_GB2312" w:eastAsia="仿宋_GB2312" w:cs="仿宋_GB2312"/>
                <w:bCs/>
                <w:sz w:val="24"/>
                <w:szCs w:val="24"/>
              </w:rPr>
              <w:t>2022-2024年度修缮工程造价咨询服务项目</w:t>
            </w:r>
          </w:p>
        </w:tc>
        <w:tc>
          <w:tcPr>
            <w:tcW w:w="4768" w:type="dxa"/>
            <w:tcBorders>
              <w:top w:val="single" w:color="auto" w:sz="4" w:space="0"/>
              <w:left w:val="single" w:color="auto" w:sz="4" w:space="0"/>
              <w:right w:val="single" w:color="auto" w:sz="4" w:space="0"/>
            </w:tcBorders>
            <w:vAlign w:val="center"/>
          </w:tcPr>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大写：</w:t>
            </w:r>
            <w:r>
              <w:rPr>
                <w:rFonts w:hint="eastAsia" w:ascii="仿宋_GB2312" w:hAnsi="仿宋_GB2312" w:eastAsia="仿宋_GB2312" w:cs="仿宋_GB2312"/>
                <w:spacing w:val="-6"/>
                <w:sz w:val="24"/>
                <w:szCs w:val="24"/>
                <w:u w:val="single"/>
              </w:rPr>
              <w:t xml:space="preserve">                   </w:t>
            </w:r>
          </w:p>
          <w:p>
            <w:pPr>
              <w:snapToGrid w:val="0"/>
              <w:spacing w:before="50" w:after="50"/>
              <w:jc w:val="center"/>
              <w:rPr>
                <w:rFonts w:ascii="仿宋_GB2312" w:hAnsi="仿宋_GB2312" w:eastAsia="仿宋_GB2312" w:cs="仿宋_GB2312"/>
                <w:spacing w:val="-6"/>
                <w:sz w:val="24"/>
                <w:szCs w:val="24"/>
              </w:rPr>
            </w:pPr>
          </w:p>
          <w:p>
            <w:pPr>
              <w:snapToGrid w:val="0"/>
              <w:spacing w:before="50" w:after="50"/>
              <w:jc w:val="left"/>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小写：</w:t>
            </w:r>
            <w:r>
              <w:rPr>
                <w:rFonts w:hint="eastAsia" w:ascii="仿宋_GB2312" w:hAnsi="仿宋_GB2312" w:eastAsia="仿宋_GB2312" w:cs="仿宋_GB2312"/>
                <w:spacing w:val="-6"/>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32" w:hRule="atLeast"/>
          <w:jc w:val="center"/>
        </w:trPr>
        <w:tc>
          <w:tcPr>
            <w:tcW w:w="8318" w:type="dxa"/>
            <w:gridSpan w:val="2"/>
            <w:tcBorders>
              <w:top w:val="single" w:color="auto" w:sz="4" w:space="0"/>
              <w:left w:val="single" w:color="auto" w:sz="4" w:space="0"/>
              <w:bottom w:val="single" w:color="auto" w:sz="4" w:space="0"/>
              <w:right w:val="single" w:color="auto" w:sz="4" w:space="0"/>
            </w:tcBorders>
            <w:vAlign w:val="center"/>
          </w:tcPr>
          <w:p>
            <w:pPr>
              <w:snapToGrid w:val="0"/>
              <w:spacing w:before="50" w:after="5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备注：</w:t>
            </w:r>
          </w:p>
          <w:p>
            <w:pPr>
              <w:tabs>
                <w:tab w:val="left" w:pos="1396"/>
              </w:tabs>
              <w:jc w:val="left"/>
              <w:rPr>
                <w:rFonts w:ascii="仿宋_GB2312" w:hAnsi="仿宋_GB2312" w:eastAsia="仿宋_GB2312" w:cs="仿宋_GB2312"/>
              </w:rPr>
            </w:pPr>
            <w:r>
              <w:rPr>
                <w:rFonts w:hint="eastAsia" w:ascii="仿宋_GB2312" w:hAnsi="仿宋_GB2312" w:eastAsia="仿宋_GB2312" w:cs="仿宋_GB2312"/>
              </w:rPr>
              <w:tab/>
            </w:r>
          </w:p>
        </w:tc>
      </w:tr>
    </w:tbl>
    <w:p>
      <w:pPr>
        <w:snapToGrid w:val="0"/>
        <w:spacing w:before="50" w:after="50" w:line="360" w:lineRule="auto"/>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 1、实际费用据实结算。</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2、报价不得涂改否则其投标作无效标处理。</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r>
        <w:rPr>
          <w:rFonts w:hint="eastAsia" w:ascii="仿宋_GB2312" w:hAnsi="仿宋_GB2312" w:eastAsia="仿宋_GB2312" w:cs="仿宋_GB2312"/>
          <w:sz w:val="24"/>
          <w:szCs w:val="24"/>
        </w:rPr>
        <w:t>磋商报价</w:t>
      </w:r>
      <w:r>
        <w:rPr>
          <w:rFonts w:hint="eastAsia" w:ascii="仿宋_GB2312" w:hAnsi="仿宋_GB2312" w:eastAsia="仿宋_GB2312" w:cs="仿宋_GB2312"/>
          <w:spacing w:val="-6"/>
          <w:sz w:val="24"/>
          <w:szCs w:val="24"/>
        </w:rPr>
        <w:t>应包括</w:t>
      </w:r>
      <w:r>
        <w:rPr>
          <w:rFonts w:hint="eastAsia" w:ascii="仿宋_GB2312" w:hAnsi="仿宋_GB2312" w:eastAsia="仿宋_GB2312" w:cs="仿宋_GB2312"/>
          <w:sz w:val="24"/>
          <w:szCs w:val="24"/>
        </w:rPr>
        <w:t>所需人工费、材料费、其他（保险费，以及合同明示或暗示的风险、责任和义务等）费，以及管理费、利润和规费、税金等一切费用</w:t>
      </w:r>
      <w:r>
        <w:rPr>
          <w:rFonts w:hint="eastAsia" w:ascii="仿宋_GB2312" w:hAnsi="仿宋_GB2312" w:eastAsia="仿宋_GB2312" w:cs="仿宋_GB2312"/>
          <w:spacing w:val="-6"/>
          <w:sz w:val="24"/>
          <w:szCs w:val="24"/>
        </w:rPr>
        <w:t>。</w:t>
      </w:r>
    </w:p>
    <w:p>
      <w:pPr>
        <w:snapToGrid w:val="0"/>
        <w:spacing w:before="50" w:after="50" w:line="360" w:lineRule="auto"/>
        <w:ind w:firstLine="456" w:firstLineChars="200"/>
        <w:jc w:val="left"/>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4、此表在不改变格式要求的情况下，可自行制作。</w:t>
      </w:r>
    </w:p>
    <w:p>
      <w:pPr>
        <w:snapToGrid w:val="0"/>
        <w:spacing w:before="50" w:after="50" w:line="360" w:lineRule="auto"/>
        <w:ind w:left="-61" w:leftChars="-72" w:right="-1089" w:rightChars="-389" w:hanging="141" w:hangingChars="62"/>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授权代表签字：</w:t>
      </w:r>
    </w:p>
    <w:p>
      <w:pPr>
        <w:jc w:val="center"/>
        <w:rPr>
          <w:rFonts w:ascii="仿宋_GB2312" w:hAnsi="仿宋_GB2312" w:eastAsia="仿宋_GB2312" w:cs="仿宋_GB2312"/>
          <w:sz w:val="24"/>
          <w:szCs w:val="24"/>
        </w:rPr>
      </w:pPr>
      <w:r>
        <w:rPr>
          <w:rFonts w:hint="eastAsia" w:ascii="仿宋_GB2312" w:hAnsi="仿宋_GB2312" w:eastAsia="仿宋_GB2312" w:cs="仿宋_GB2312"/>
          <w:spacing w:val="-6"/>
          <w:sz w:val="24"/>
          <w:szCs w:val="24"/>
        </w:rPr>
        <w:t>投标人名称（盖章）：                                 日期：    年   月   日</w:t>
      </w:r>
    </w:p>
    <w:p>
      <w:pPr>
        <w:jc w:val="center"/>
        <w:rPr>
          <w:rStyle w:val="41"/>
          <w:rFonts w:ascii="仿宋_GB2312" w:hAnsi="仿宋_GB2312" w:eastAsia="仿宋_GB2312" w:cs="仿宋_GB2312"/>
          <w:color w:val="auto"/>
          <w:sz w:val="24"/>
          <w:szCs w:val="24"/>
        </w:rPr>
      </w:pPr>
    </w:p>
    <w:p>
      <w:pPr>
        <w:jc w:val="center"/>
        <w:rPr>
          <w:rFonts w:ascii="仿宋_GB2312" w:hAnsi="仿宋_GB2312" w:eastAsia="仿宋_GB2312" w:cs="仿宋_GB2312"/>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Fonts w:ascii="宋体" w:hAnsi="宋体"/>
          <w:spacing w:val="-6"/>
          <w:sz w:val="24"/>
        </w:rPr>
      </w:pPr>
    </w:p>
    <w:p>
      <w:pPr>
        <w:jc w:val="center"/>
        <w:rPr>
          <w:rStyle w:val="41"/>
          <w:rFonts w:ascii="华文中宋" w:hAnsi="华文中宋" w:eastAsia="华文中宋"/>
          <w:color w:val="auto"/>
          <w:sz w:val="28"/>
          <w:szCs w:val="28"/>
        </w:rPr>
      </w:pPr>
      <w:r>
        <w:rPr>
          <w:rStyle w:val="41"/>
          <w:rFonts w:hint="eastAsia" w:ascii="华文中宋" w:hAnsi="华文中宋" w:eastAsia="华文中宋"/>
          <w:color w:val="auto"/>
          <w:sz w:val="28"/>
          <w:szCs w:val="28"/>
        </w:rPr>
        <w:t>二、资格性和符合性检查响应对照表</w:t>
      </w:r>
    </w:p>
    <w:p>
      <w:pPr>
        <w:ind w:firstLine="309"/>
        <w:rPr>
          <w:rFonts w:hAnsi="宋体"/>
          <w:sz w:val="24"/>
          <w:szCs w:val="24"/>
        </w:rPr>
      </w:pPr>
    </w:p>
    <w:p>
      <w:pPr>
        <w:ind w:firstLine="309"/>
        <w:rPr>
          <w:rFonts w:ascii="仿宋_GB2312" w:hAnsi="仿宋_GB2312" w:eastAsia="仿宋_GB2312" w:cs="仿宋_GB2312"/>
          <w:sz w:val="24"/>
          <w:szCs w:val="24"/>
        </w:rPr>
      </w:pPr>
      <w:r>
        <w:rPr>
          <w:rFonts w:hint="eastAsia" w:ascii="仿宋_GB2312" w:hAnsi="仿宋_GB2312" w:eastAsia="仿宋_GB2312" w:cs="仿宋_GB2312"/>
          <w:sz w:val="24"/>
          <w:szCs w:val="24"/>
        </w:rPr>
        <w:t>供应商全称（加盖公章）：</w:t>
      </w:r>
    </w:p>
    <w:tbl>
      <w:tblPr>
        <w:tblStyle w:val="21"/>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序号</w:t>
            </w:r>
          </w:p>
        </w:tc>
        <w:tc>
          <w:tcPr>
            <w:tcW w:w="4678"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资格和符合性检查响应内容</w:t>
            </w:r>
          </w:p>
        </w:tc>
        <w:tc>
          <w:tcPr>
            <w:tcW w:w="1842"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是否响应</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（填是或者否）</w:t>
            </w:r>
          </w:p>
        </w:tc>
        <w:tc>
          <w:tcPr>
            <w:tcW w:w="1701" w:type="dxa"/>
            <w:vAlign w:val="center"/>
          </w:tcPr>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响应文件中的</w:t>
            </w:r>
          </w:p>
          <w:p>
            <w:pPr>
              <w:snapToGrid w:val="0"/>
              <w:spacing w:line="240" w:lineRule="atLeast"/>
              <w:jc w:val="center"/>
              <w:rPr>
                <w:rFonts w:ascii="仿宋_GB2312" w:hAnsi="仿宋_GB2312" w:eastAsia="仿宋_GB2312" w:cs="仿宋_GB2312"/>
                <w:b/>
                <w:sz w:val="24"/>
                <w:szCs w:val="24"/>
              </w:rPr>
            </w:pPr>
            <w:r>
              <w:rPr>
                <w:rFonts w:hint="eastAsia" w:ascii="仿宋_GB2312" w:hAnsi="仿宋_GB2312" w:eastAsia="仿宋_GB2312" w:cs="仿宋_GB2312"/>
                <w:b/>
                <w:sz w:val="24"/>
                <w:szCs w:val="24"/>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b/>
                <w:sz w:val="24"/>
                <w:szCs w:val="24"/>
              </w:rPr>
            </w:pPr>
            <w:r>
              <w:rPr>
                <w:rFonts w:hint="eastAsia" w:ascii="仿宋_GB2312" w:hAnsi="仿宋_GB2312" w:eastAsia="仿宋_GB2312" w:cs="仿宋_GB2312"/>
                <w:sz w:val="24"/>
                <w:szCs w:val="24"/>
              </w:rPr>
              <w:t>1</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文件1   工商营业执照（复印件，加盖公章）</w:t>
            </w:r>
          </w:p>
        </w:tc>
        <w:tc>
          <w:tcPr>
            <w:tcW w:w="1842" w:type="dxa"/>
            <w:vAlign w:val="center"/>
          </w:tcPr>
          <w:p>
            <w:pPr>
              <w:jc w:val="center"/>
              <w:rPr>
                <w:rFonts w:ascii="仿宋_GB2312" w:hAnsi="仿宋_GB2312" w:eastAsia="仿宋_GB2312" w:cs="仿宋_GB2312"/>
                <w:b/>
                <w:sz w:val="24"/>
                <w:szCs w:val="24"/>
              </w:rPr>
            </w:pPr>
          </w:p>
        </w:tc>
        <w:tc>
          <w:tcPr>
            <w:tcW w:w="1701" w:type="dxa"/>
            <w:vAlign w:val="center"/>
          </w:tcPr>
          <w:p>
            <w:pPr>
              <w:jc w:val="center"/>
              <w:rPr>
                <w:rFonts w:ascii="仿宋_GB2312" w:hAnsi="仿宋_GB2312" w:eastAsia="仿宋_GB2312" w:cs="仿宋_GB2312"/>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2</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文件2   法人授权书（原件，非法定代表人参与磋商时必须提供）</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3</w:t>
            </w:r>
          </w:p>
        </w:tc>
        <w:tc>
          <w:tcPr>
            <w:tcW w:w="4678" w:type="dxa"/>
            <w:vAlign w:val="center"/>
          </w:tcPr>
          <w:p>
            <w:pPr>
              <w:spacing w:line="480" w:lineRule="exact"/>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u w:val="single"/>
              </w:rPr>
              <w:t>文件3   投标人一般情况表（原件）</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14" w:hRule="atLeast"/>
        </w:trPr>
        <w:tc>
          <w:tcPr>
            <w:tcW w:w="709" w:type="dxa"/>
            <w:vAlign w:val="center"/>
          </w:tcPr>
          <w:p>
            <w:pPr>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4</w:t>
            </w:r>
          </w:p>
        </w:tc>
        <w:tc>
          <w:tcPr>
            <w:tcW w:w="4678" w:type="dxa"/>
            <w:vAlign w:val="center"/>
          </w:tcPr>
          <w:p>
            <w:pPr>
              <w:rPr>
                <w:rFonts w:ascii="仿宋_GB2312" w:hAnsi="仿宋_GB2312" w:eastAsia="仿宋_GB2312" w:cs="仿宋_GB2312"/>
                <w:i/>
                <w:iCs/>
                <w:sz w:val="24"/>
                <w:szCs w:val="24"/>
                <w:u w:val="single"/>
              </w:rPr>
            </w:pPr>
            <w:r>
              <w:rPr>
                <w:rFonts w:hint="eastAsia" w:ascii="仿宋_GB2312" w:hAnsi="仿宋_GB2312" w:eastAsia="仿宋_GB2312" w:cs="仿宋_GB2312"/>
                <w:i/>
                <w:iCs/>
                <w:sz w:val="24"/>
                <w:szCs w:val="24"/>
              </w:rPr>
              <w:t>磋商文件中的其他实质性要求</w:t>
            </w:r>
          </w:p>
        </w:tc>
        <w:tc>
          <w:tcPr>
            <w:tcW w:w="1842" w:type="dxa"/>
            <w:vAlign w:val="center"/>
          </w:tcPr>
          <w:p>
            <w:pPr>
              <w:jc w:val="center"/>
              <w:rPr>
                <w:rFonts w:ascii="仿宋_GB2312" w:hAnsi="仿宋_GB2312" w:eastAsia="仿宋_GB2312" w:cs="仿宋_GB2312"/>
                <w:sz w:val="24"/>
                <w:szCs w:val="24"/>
              </w:rPr>
            </w:pPr>
          </w:p>
        </w:tc>
        <w:tc>
          <w:tcPr>
            <w:tcW w:w="1701" w:type="dxa"/>
            <w:vAlign w:val="center"/>
          </w:tcPr>
          <w:p>
            <w:pPr>
              <w:jc w:val="center"/>
              <w:rPr>
                <w:rFonts w:ascii="仿宋_GB2312" w:hAnsi="仿宋_GB2312" w:eastAsia="仿宋_GB2312" w:cs="仿宋_GB2312"/>
                <w:sz w:val="24"/>
                <w:szCs w:val="24"/>
              </w:rPr>
            </w:pPr>
          </w:p>
        </w:tc>
      </w:tr>
    </w:tbl>
    <w:p>
      <w:pPr>
        <w:snapToGrid w:val="0"/>
        <w:spacing w:before="50" w:after="50"/>
        <w:rPr>
          <w:rFonts w:hAnsi="宋体"/>
          <w:sz w:val="24"/>
          <w:szCs w:val="24"/>
        </w:rPr>
      </w:pPr>
    </w:p>
    <w:p>
      <w:pPr>
        <w:snapToGrid w:val="0"/>
        <w:spacing w:before="50" w:after="50"/>
        <w:jc w:val="center"/>
        <w:rPr>
          <w:rStyle w:val="41"/>
          <w:rFonts w:ascii="华文中宋" w:hAnsi="华文中宋" w:eastAsia="华文中宋"/>
          <w:color w:val="auto"/>
          <w:sz w:val="28"/>
          <w:szCs w:val="28"/>
        </w:rPr>
      </w:pPr>
      <w:r>
        <w:rPr>
          <w:rFonts w:hAnsi="宋体"/>
          <w:sz w:val="32"/>
          <w:szCs w:val="32"/>
        </w:rPr>
        <w:br w:type="page"/>
      </w:r>
      <w:r>
        <w:rPr>
          <w:rStyle w:val="41"/>
          <w:rFonts w:hint="eastAsia" w:ascii="华文中宋" w:hAnsi="华文中宋" w:eastAsia="华文中宋"/>
          <w:color w:val="auto"/>
          <w:sz w:val="28"/>
          <w:szCs w:val="28"/>
        </w:rPr>
        <w:t>三、资信证明文件</w:t>
      </w:r>
    </w:p>
    <w:p>
      <w:pPr>
        <w:rPr>
          <w:rFonts w:hAnsi="宋体"/>
          <w:sz w:val="24"/>
          <w:szCs w:val="24"/>
        </w:rPr>
      </w:pPr>
    </w:p>
    <w:p>
      <w:pPr>
        <w:rPr>
          <w:rFonts w:ascii="仿宋_GB2312" w:hAnsi="宋体" w:eastAsia="仿宋_GB2312"/>
          <w:sz w:val="24"/>
          <w:szCs w:val="24"/>
        </w:rPr>
      </w:pPr>
      <w:r>
        <w:rPr>
          <w:rFonts w:hint="eastAsia" w:ascii="仿宋_GB2312" w:hAnsi="宋体" w:eastAsia="仿宋_GB2312"/>
          <w:sz w:val="24"/>
          <w:szCs w:val="24"/>
        </w:rPr>
        <w:t>1、实质性资格证明文件目录</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文件1   工商营业执照（复印件，加盖公章）</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文件2   法人授权书（原件，非法定代表人参与磋商时必须提供）</w:t>
      </w:r>
    </w:p>
    <w:p>
      <w:pPr>
        <w:rPr>
          <w:rFonts w:ascii="仿宋_GB2312" w:hAnsi="宋体" w:eastAsia="仿宋_GB2312"/>
          <w:i/>
          <w:iCs/>
          <w:sz w:val="24"/>
          <w:szCs w:val="24"/>
          <w:u w:val="single"/>
        </w:rPr>
      </w:pPr>
      <w:r>
        <w:rPr>
          <w:rFonts w:hint="eastAsia" w:ascii="仿宋_GB2312" w:hAnsi="宋体" w:eastAsia="仿宋_GB2312"/>
          <w:i/>
          <w:iCs/>
          <w:sz w:val="24"/>
          <w:szCs w:val="24"/>
          <w:u w:val="single"/>
        </w:rPr>
        <w:t>文件3   投标人一般情况表（原件）</w:t>
      </w:r>
    </w:p>
    <w:p>
      <w:pPr>
        <w:rPr>
          <w:rFonts w:ascii="仿宋_GB2312" w:hAnsi="宋体" w:eastAsia="仿宋_GB2312"/>
          <w:sz w:val="24"/>
          <w:szCs w:val="24"/>
          <w:u w:val="single"/>
        </w:rPr>
      </w:pPr>
      <w:r>
        <w:rPr>
          <w:rFonts w:hint="eastAsia" w:ascii="仿宋_GB2312" w:hAnsi="宋体" w:eastAsia="仿宋_GB2312"/>
          <w:i/>
          <w:iCs/>
          <w:sz w:val="24"/>
          <w:szCs w:val="24"/>
          <w:u w:val="single"/>
        </w:rPr>
        <w:t>文件4磋商文件中的其他实质性要求</w:t>
      </w:r>
    </w:p>
    <w:p>
      <w:pPr>
        <w:rPr>
          <w:rFonts w:ascii="仿宋_GB2312" w:hAnsi="宋体" w:eastAsia="仿宋_GB2312"/>
          <w:sz w:val="24"/>
          <w:szCs w:val="24"/>
        </w:rPr>
      </w:pPr>
      <w:r>
        <w:rPr>
          <w:rFonts w:hint="eastAsia" w:ascii="仿宋_GB2312" w:hAnsi="宋体" w:eastAsia="仿宋_GB2312"/>
          <w:sz w:val="24"/>
          <w:szCs w:val="24"/>
        </w:rPr>
        <w:t>2、非实质性资信证明文件目录</w:t>
      </w:r>
    </w:p>
    <w:p>
      <w:pPr>
        <w:rPr>
          <w:rFonts w:ascii="仿宋_GB2312" w:hAnsi="宋体" w:eastAsia="仿宋_GB2312"/>
          <w:iCs/>
          <w:sz w:val="24"/>
          <w:szCs w:val="24"/>
        </w:rPr>
      </w:pPr>
      <w:bookmarkStart w:id="116" w:name="_Toc120614291"/>
      <w:bookmarkStart w:id="117" w:name="_Toc22356583"/>
      <w:bookmarkStart w:id="118" w:name="_Toc24878535"/>
      <w:bookmarkStart w:id="119" w:name="_Toc513029281"/>
      <w:bookmarkStart w:id="120" w:name="_Toc49090582"/>
      <w:bookmarkStart w:id="121" w:name="_Toc26554103"/>
      <w:bookmarkStart w:id="122" w:name="_Toc23828483"/>
      <w:bookmarkStart w:id="123" w:name="_Toc120614284"/>
      <w:r>
        <w:rPr>
          <w:rFonts w:hint="eastAsia" w:ascii="仿宋_GB2312" w:hAnsi="宋体" w:eastAsia="仿宋_GB2312"/>
          <w:iCs/>
          <w:sz w:val="24"/>
          <w:szCs w:val="24"/>
        </w:rPr>
        <w:t xml:space="preserve">文件1  </w:t>
      </w:r>
      <w:r>
        <w:rPr>
          <w:rFonts w:hint="eastAsia" w:ascii="仿宋_GB2312" w:hAnsi="宋体" w:eastAsia="仿宋_GB2312"/>
          <w:sz w:val="24"/>
          <w:szCs w:val="24"/>
        </w:rPr>
        <w:t>能说明响应产品规格型号、性能参数的彩页资料（或能佐证产品技术参数的其他宣传资料）（如有）</w:t>
      </w:r>
    </w:p>
    <w:p>
      <w:pPr>
        <w:rPr>
          <w:rFonts w:ascii="仿宋_GB2312" w:hAnsi="宋体" w:eastAsia="仿宋_GB2312"/>
          <w:sz w:val="24"/>
          <w:szCs w:val="24"/>
        </w:rPr>
      </w:pPr>
      <w:r>
        <w:rPr>
          <w:rFonts w:hint="eastAsia" w:ascii="仿宋_GB2312" w:hAnsi="宋体" w:eastAsia="仿宋_GB2312"/>
          <w:iCs/>
          <w:sz w:val="24"/>
          <w:szCs w:val="24"/>
        </w:rPr>
        <w:t xml:space="preserve">文件2  </w:t>
      </w:r>
      <w:r>
        <w:rPr>
          <w:rFonts w:hint="eastAsia" w:ascii="仿宋_GB2312" w:hAnsi="宋体" w:eastAsia="仿宋_GB2312"/>
          <w:sz w:val="24"/>
          <w:szCs w:val="24"/>
        </w:rPr>
        <w:t>其他和本项目有关的证明材料</w:t>
      </w:r>
    </w:p>
    <w:p>
      <w:pPr>
        <w:rPr>
          <w:rFonts w:hAnsi="宋体"/>
          <w:sz w:val="24"/>
          <w:szCs w:val="24"/>
        </w:rPr>
      </w:pPr>
    </w:p>
    <w:p>
      <w:pPr>
        <w:rPr>
          <w:rFonts w:hAnsi="宋体"/>
          <w:sz w:val="24"/>
          <w:szCs w:val="24"/>
        </w:rPr>
      </w:pPr>
    </w:p>
    <w:p>
      <w:pPr>
        <w:rPr>
          <w:rFonts w:hAnsi="宋体"/>
          <w:szCs w:val="24"/>
        </w:rPr>
      </w:pPr>
    </w:p>
    <w:p>
      <w:pPr>
        <w:jc w:val="center"/>
        <w:rPr>
          <w:rFonts w:hAnsi="宋体"/>
        </w:rPr>
      </w:pPr>
      <w:r>
        <w:rPr>
          <w:rFonts w:hAnsi="宋体"/>
          <w:szCs w:val="24"/>
        </w:rPr>
        <w:br w:type="page"/>
      </w:r>
      <w:r>
        <w:rPr>
          <w:rFonts w:hint="eastAsia" w:ascii="华文中宋" w:hAnsi="华文中宋" w:eastAsia="华文中宋" w:cs="华文中宋"/>
        </w:rPr>
        <w:t>法人授权书</w:t>
      </w:r>
      <w:bookmarkEnd w:id="116"/>
      <w:bookmarkEnd w:id="117"/>
      <w:bookmarkEnd w:id="118"/>
      <w:bookmarkEnd w:id="119"/>
      <w:bookmarkEnd w:id="120"/>
      <w:bookmarkEnd w:id="121"/>
      <w:bookmarkEnd w:id="122"/>
      <w:r>
        <w:rPr>
          <w:rFonts w:hint="eastAsia" w:ascii="华文中宋" w:hAnsi="华文中宋" w:eastAsia="华文中宋" w:cs="华文中宋"/>
        </w:rPr>
        <w:t>格式</w:t>
      </w:r>
    </w:p>
    <w:p>
      <w:pPr>
        <w:snapToGrid w:val="0"/>
        <w:spacing w:line="360" w:lineRule="auto"/>
        <w:rPr>
          <w:rFonts w:ascii="仿宋_GB2312" w:hAnsi="仿宋_GB2312" w:eastAsia="仿宋_GB2312" w:cs="仿宋_GB2312"/>
          <w:b/>
          <w:spacing w:val="-6"/>
          <w:sz w:val="24"/>
          <w:szCs w:val="24"/>
        </w:rPr>
      </w:pPr>
      <w:r>
        <w:rPr>
          <w:rFonts w:hint="eastAsia" w:ascii="仿宋_GB2312" w:hAnsi="仿宋_GB2312" w:eastAsia="仿宋_GB2312" w:cs="仿宋_GB2312"/>
          <w:spacing w:val="-6"/>
          <w:sz w:val="24"/>
          <w:szCs w:val="24"/>
        </w:rPr>
        <w:t>致：皖南医学院：</w:t>
      </w:r>
    </w:p>
    <w:p>
      <w:pPr>
        <w:adjustRightInd w:val="0"/>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我______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_（姓名）系______</w:t>
      </w:r>
      <w:r>
        <w:rPr>
          <w:rFonts w:hint="eastAsia" w:ascii="仿宋_GB2312" w:hAnsi="仿宋_GB2312" w:eastAsia="仿宋_GB2312" w:cs="仿宋_GB2312"/>
          <w:spacing w:val="-6"/>
          <w:sz w:val="24"/>
          <w:szCs w:val="24"/>
          <w:u w:val="single"/>
        </w:rPr>
        <w:t>_     _</w:t>
      </w:r>
      <w:r>
        <w:rPr>
          <w:rFonts w:hint="eastAsia" w:ascii="仿宋_GB2312" w:hAnsi="仿宋_GB2312" w:eastAsia="仿宋_GB2312" w:cs="仿宋_GB2312"/>
          <w:spacing w:val="-6"/>
          <w:sz w:val="24"/>
          <w:szCs w:val="24"/>
        </w:rPr>
        <w:t xml:space="preserve">_（投标人名称）的法定代表人，现授权委托本单位在职职工 </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（姓名）以我方的名义参加</w:t>
      </w:r>
      <w:r>
        <w:rPr>
          <w:rFonts w:hint="eastAsia" w:ascii="仿宋_GB2312" w:hAnsi="仿宋_GB2312" w:eastAsia="仿宋_GB2312" w:cs="仿宋_GB2312"/>
          <w:kern w:val="0"/>
          <w:sz w:val="24"/>
          <w:szCs w:val="24"/>
        </w:rPr>
        <w:t>皖南医学院</w:t>
      </w:r>
      <w:r>
        <w:rPr>
          <w:rFonts w:hint="eastAsia" w:ascii="仿宋_GB2312" w:hAnsi="仿宋_GB2312" w:eastAsia="仿宋_GB2312" w:cs="仿宋_GB2312"/>
          <w:bCs/>
          <w:sz w:val="24"/>
          <w:szCs w:val="24"/>
        </w:rPr>
        <w:t>2022-2024年度修缮工程造价咨询服务项目</w:t>
      </w:r>
      <w:r>
        <w:rPr>
          <w:rFonts w:hint="eastAsia" w:ascii="仿宋_GB2312" w:hAnsi="仿宋_GB2312" w:eastAsia="仿宋_GB2312" w:cs="仿宋_GB2312"/>
          <w:spacing w:val="-6"/>
          <w:sz w:val="24"/>
          <w:szCs w:val="24"/>
        </w:rPr>
        <w:t>的投标活动，并代表我方全权办理针对上述项目的投标、开标、磋商、签约等具体事务和签署相关文件。</w:t>
      </w:r>
    </w:p>
    <w:p>
      <w:pPr>
        <w:snapToGrid w:val="0"/>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我方对被授权人的签名负全部责任。</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在撤销授权的书面通知以前，本授权书一直有效。被授权人在授权书有效期内签署的所有文件不因授权的撤销而失效。</w:t>
      </w:r>
    </w:p>
    <w:p>
      <w:pPr>
        <w:snapToGrid w:val="0"/>
        <w:spacing w:line="360" w:lineRule="auto"/>
        <w:ind w:firstLine="48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被授权人无转委托权，特此委托。</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u w:val="single"/>
        </w:rPr>
      </w:pPr>
      <w:r>
        <w:rPr>
          <w:rFonts w:hint="eastAsia" w:ascii="仿宋_GB2312" w:hAnsi="仿宋_GB2312" w:eastAsia="仿宋_GB2312" w:cs="仿宋_GB2312"/>
          <w:spacing w:val="-6"/>
          <w:sz w:val="24"/>
          <w:szCs w:val="24"/>
        </w:rPr>
        <w:t>被授权人签名：</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法定代表人签名：</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ind w:firstLine="912" w:firstLineChars="4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职务：</w:t>
      </w:r>
      <w:r>
        <w:rPr>
          <w:rFonts w:hint="eastAsia" w:ascii="仿宋_GB2312" w:hAnsi="仿宋_GB2312" w:eastAsia="仿宋_GB2312" w:cs="仿宋_GB2312"/>
          <w:spacing w:val="-6"/>
          <w:sz w:val="24"/>
          <w:szCs w:val="24"/>
          <w:u w:val="single"/>
        </w:rPr>
        <w:t xml:space="preserve">           </w:t>
      </w:r>
      <w:r>
        <w:rPr>
          <w:rFonts w:hint="eastAsia" w:ascii="仿宋_GB2312" w:hAnsi="仿宋_GB2312" w:eastAsia="仿宋_GB2312" w:cs="仿宋_GB2312"/>
          <w:spacing w:val="-6"/>
          <w:sz w:val="24"/>
          <w:szCs w:val="24"/>
        </w:rPr>
        <w:t xml:space="preserve">                          职务：</w:t>
      </w:r>
      <w:r>
        <w:rPr>
          <w:rFonts w:hint="eastAsia" w:ascii="仿宋_GB2312" w:hAnsi="仿宋_GB2312" w:eastAsia="仿宋_GB2312" w:cs="仿宋_GB2312"/>
          <w:spacing w:val="-6"/>
          <w:sz w:val="24"/>
          <w:szCs w:val="24"/>
          <w:u w:val="single"/>
        </w:rPr>
        <w:t xml:space="preserve">           </w:t>
      </w:r>
    </w:p>
    <w:p>
      <w:pPr>
        <w:snapToGrid w:val="0"/>
        <w:spacing w:beforeLines="50" w:after="50" w:line="360" w:lineRule="auto"/>
        <w:rPr>
          <w:rFonts w:ascii="仿宋_GB2312" w:hAnsi="仿宋_GB2312" w:eastAsia="仿宋_GB2312" w:cs="仿宋_GB2312"/>
          <w:spacing w:val="-6"/>
          <w:sz w:val="24"/>
          <w:szCs w:val="24"/>
        </w:rPr>
      </w:pPr>
    </w:p>
    <w:p>
      <w:pPr>
        <w:snapToGrid w:val="0"/>
        <w:spacing w:beforeLines="50" w:after="50"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napToGrid w:val="0"/>
        <w:spacing w:beforeLines="50" w:after="50"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年    月    日</w:t>
      </w:r>
    </w:p>
    <w:p>
      <w:pPr>
        <w:spacing w:line="360" w:lineRule="auto"/>
        <w:rPr>
          <w:rFonts w:ascii="仿宋_GB2312" w:hAnsi="仿宋_GB2312" w:eastAsia="仿宋_GB2312" w:cs="仿宋_GB2312"/>
          <w:spacing w:val="-6"/>
          <w:sz w:val="24"/>
          <w:szCs w:val="24"/>
        </w:rPr>
      </w:pPr>
      <w:r>
        <w:rPr>
          <w:rFonts w:ascii="仿宋_GB2312" w:hAnsi="仿宋_GB2312" w:eastAsia="仿宋_GB2312" w:cs="仿宋_GB2312"/>
          <w:spacing w:val="-6"/>
          <w:sz w:val="24"/>
          <w:szCs w:val="24"/>
        </w:rPr>
        <w:pict>
          <v:shape id="文本框 4" o:spid="_x0000_s1026" o:spt="202" type="#_x0000_t202" style="position:absolute;left:0pt;margin-left:244.75pt;margin-top:11.7pt;height:185.85pt;width:238.05pt;z-index:251660288;mso-width-relative:page;mso-height-relative:page;" coordsize="21600,21600" o:gfxdata="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OB9HLvaAAAACgEAAA8AAAAAAAAAAQAgAAAAIgAAAGRycy9kb3ducmV2LnhtbFBLAQIU&#10;ABQAAAAIAIdO4kCFWUTv8QEAAOkDAAAOAAAAAAAAAAEAIAAAACkBAABkcnMvZTJvRG9jLnhtbFBL&#10;BQYAAAAABgAGAFkBAACMBQA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法人身份证复印件粘贴处</w:t>
                  </w:r>
                </w:p>
              </w:txbxContent>
            </v:textbox>
          </v:shape>
        </w:pict>
      </w:r>
      <w:r>
        <w:rPr>
          <w:rFonts w:ascii="仿宋_GB2312" w:hAnsi="仿宋_GB2312" w:eastAsia="仿宋_GB2312" w:cs="仿宋_GB2312"/>
          <w:spacing w:val="-6"/>
          <w:sz w:val="24"/>
          <w:szCs w:val="24"/>
        </w:rPr>
        <w:pict>
          <v:shape id="Text Box 3" o:spid="_x0000_s1027" o:spt="202" type="#_x0000_t202" style="position:absolute;left:0pt;margin-left:-12.25pt;margin-top:11.7pt;height:185.85pt;width:241.15pt;z-index:251659264;mso-width-relative:page;mso-height-relative:page;" coordsize="21600,21600" o:gfxdata="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DQLr0p2QAAAAoB&#10;AAAPAAAAAAAAAAEAIAAAACIAAABkcnMvZG93bnJldi54bWxQSwECFAAUAAAACACHTuJA0qBnjOEB&#10;AADoAwAADgAAAAAAAAABACAAAAAoAQAAZHJzL2Uyb0RvYy54bWxQSwUGAAAAAAYABgBZAQAAewUA&#10;AAAA&#10;">
            <v:path/>
            <v:fill focussize="0,0"/>
            <v:stroke joinstyle="miter"/>
            <v:imagedata o:title=""/>
            <o:lock v:ext="edit"/>
            <v:textbox>
              <w:txbxContent>
                <w:p>
                  <w:pPr>
                    <w:rPr>
                      <w:rFonts w:ascii="仿宋_GB2312" w:hAnsi="仿宋_GB2312" w:eastAsia="仿宋_GB2312" w:cs="仿宋_GB2312"/>
                      <w:sz w:val="24"/>
                    </w:rPr>
                  </w:pPr>
                  <w:r>
                    <w:rPr>
                      <w:rFonts w:hint="eastAsia" w:ascii="新宋体" w:hAnsi="新宋体" w:eastAsia="新宋体"/>
                      <w:sz w:val="22"/>
                    </w:rPr>
                    <w:t xml:space="preserve"> </w:t>
                  </w:r>
                  <w:r>
                    <w:rPr>
                      <w:rFonts w:hint="eastAsia" w:ascii="仿宋_GB2312" w:hAnsi="仿宋_GB2312" w:eastAsia="仿宋_GB2312" w:cs="仿宋_GB2312"/>
                      <w:sz w:val="22"/>
                    </w:rPr>
                    <w:t xml:space="preserve"> </w:t>
                  </w:r>
                  <w:r>
                    <w:rPr>
                      <w:rFonts w:hint="eastAsia" w:ascii="仿宋_GB2312" w:hAnsi="仿宋_GB2312" w:eastAsia="仿宋_GB2312" w:cs="仿宋_GB2312"/>
                      <w:sz w:val="24"/>
                    </w:rPr>
                    <w:t>身份证：</w:t>
                  </w: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p>
                <w:p>
                  <w:pPr>
                    <w:rPr>
                      <w:rFonts w:ascii="仿宋_GB2312" w:hAnsi="仿宋_GB2312" w:eastAsia="仿宋_GB2312" w:cs="仿宋_GB2312"/>
                      <w:sz w:val="24"/>
                    </w:rPr>
                  </w:pPr>
                  <w:r>
                    <w:rPr>
                      <w:rFonts w:hint="eastAsia" w:ascii="仿宋_GB2312" w:hAnsi="仿宋_GB2312" w:eastAsia="仿宋_GB2312" w:cs="仿宋_GB2312"/>
                      <w:sz w:val="24"/>
                    </w:rPr>
                    <w:t xml:space="preserve">       被授权人身份证复印件粘贴处</w:t>
                  </w:r>
                </w:p>
              </w:txbxContent>
            </v:textbox>
          </v:shape>
        </w:pict>
      </w: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adjustRightInd w:val="0"/>
        <w:snapToGrid w:val="0"/>
        <w:spacing w:line="30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宋体" w:hAnsi="宋体"/>
          <w:b/>
          <w:spacing w:val="-6"/>
          <w:sz w:val="24"/>
          <w:szCs w:val="24"/>
        </w:rPr>
      </w:pPr>
    </w:p>
    <w:p>
      <w:pPr>
        <w:spacing w:line="360" w:lineRule="auto"/>
        <w:jc w:val="center"/>
        <w:rPr>
          <w:rFonts w:ascii="华文中宋" w:hAnsi="华文中宋" w:eastAsia="华文中宋" w:cs="华文中宋"/>
          <w:b/>
          <w:spacing w:val="-6"/>
          <w:sz w:val="24"/>
        </w:rPr>
      </w:pPr>
      <w:r>
        <w:rPr>
          <w:rFonts w:hint="eastAsia" w:ascii="华文中宋" w:hAnsi="华文中宋" w:eastAsia="华文中宋" w:cs="华文中宋"/>
          <w:b/>
          <w:spacing w:val="-6"/>
          <w:sz w:val="24"/>
        </w:rPr>
        <w:t>投标人一般情况表</w:t>
      </w:r>
    </w:p>
    <w:p>
      <w:pPr>
        <w:spacing w:line="360" w:lineRule="auto"/>
        <w:rPr>
          <w:rFonts w:ascii="宋体" w:hAnsi="宋体"/>
          <w:spacing w:val="-6"/>
        </w:rPr>
      </w:pPr>
    </w:p>
    <w:tbl>
      <w:tblPr>
        <w:tblStyle w:val="21"/>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2</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3</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4</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电话：</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5</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传真：</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6</w:t>
            </w:r>
          </w:p>
        </w:tc>
        <w:tc>
          <w:tcPr>
            <w:tcW w:w="4305" w:type="dxa"/>
            <w:gridSpan w:val="2"/>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注册地：</w:t>
            </w:r>
          </w:p>
        </w:tc>
        <w:tc>
          <w:tcPr>
            <w:tcW w:w="3842"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7</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8</w:t>
            </w:r>
          </w:p>
        </w:tc>
        <w:tc>
          <w:tcPr>
            <w:tcW w:w="8147" w:type="dxa"/>
            <w:gridSpan w:val="3"/>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9</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作为承包人经历年数：</w:t>
            </w:r>
          </w:p>
        </w:tc>
        <w:tc>
          <w:tcPr>
            <w:tcW w:w="5627" w:type="dxa"/>
            <w:gridSpan w:val="2"/>
            <w:vAlign w:val="center"/>
          </w:tcPr>
          <w:p>
            <w:pPr>
              <w:spacing w:line="360" w:lineRule="auto"/>
              <w:rPr>
                <w:rFonts w:ascii="仿宋_GB2312" w:hAnsi="仿宋_GB2312" w:eastAsia="仿宋_GB2312" w:cs="仿宋_GB2312"/>
                <w:spacing w:val="-6"/>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10</w:t>
            </w:r>
          </w:p>
        </w:tc>
        <w:tc>
          <w:tcPr>
            <w:tcW w:w="2520" w:type="dxa"/>
            <w:vAlign w:val="center"/>
          </w:tcPr>
          <w:p>
            <w:pPr>
              <w:spacing w:line="360" w:lineRule="auto"/>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其他需要说明的情况</w:t>
            </w:r>
          </w:p>
        </w:tc>
        <w:tc>
          <w:tcPr>
            <w:tcW w:w="5627" w:type="dxa"/>
            <w:gridSpan w:val="2"/>
            <w:vAlign w:val="center"/>
          </w:tcPr>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p>
            <w:pPr>
              <w:spacing w:line="360" w:lineRule="auto"/>
              <w:rPr>
                <w:rFonts w:ascii="仿宋_GB2312" w:hAnsi="仿宋_GB2312" w:eastAsia="仿宋_GB2312" w:cs="仿宋_GB2312"/>
                <w:spacing w:val="-6"/>
                <w:sz w:val="24"/>
                <w:szCs w:val="24"/>
              </w:rPr>
            </w:pPr>
          </w:p>
        </w:tc>
      </w:tr>
    </w:tbl>
    <w:p>
      <w:pPr>
        <w:spacing w:line="360" w:lineRule="auto"/>
        <w:ind w:firstLine="573"/>
        <w:rPr>
          <w:rFonts w:ascii="宋体" w:hAnsi="宋体"/>
          <w:spacing w:val="-6"/>
          <w:sz w:val="24"/>
          <w:szCs w:val="24"/>
        </w:rPr>
      </w:pPr>
    </w:p>
    <w:p>
      <w:pPr>
        <w:spacing w:line="360" w:lineRule="auto"/>
        <w:ind w:firstLine="228" w:firstLineChars="100"/>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说明：所有投标申请人都须填写此表；</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p>
    <w:p>
      <w:pPr>
        <w:spacing w:line="360" w:lineRule="auto"/>
        <w:ind w:left="540" w:firstLine="30"/>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授权代表签字：</w:t>
      </w:r>
    </w:p>
    <w:p>
      <w:pPr>
        <w:spacing w:line="360" w:lineRule="auto"/>
        <w:ind w:left="540" w:firstLine="5068"/>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投标人名称（盖章）：</w:t>
      </w:r>
    </w:p>
    <w:p>
      <w:pPr>
        <w:spacing w:line="360" w:lineRule="auto"/>
        <w:jc w:val="center"/>
        <w:rPr>
          <w:rFonts w:ascii="仿宋_GB2312" w:hAnsi="仿宋_GB2312" w:eastAsia="仿宋_GB2312" w:cs="仿宋_GB2312"/>
          <w:spacing w:val="-6"/>
          <w:sz w:val="24"/>
          <w:szCs w:val="24"/>
        </w:rPr>
      </w:pPr>
    </w:p>
    <w:p>
      <w:pPr>
        <w:spacing w:line="360" w:lineRule="auto"/>
        <w:jc w:val="center"/>
        <w:rPr>
          <w:rFonts w:ascii="仿宋_GB2312" w:hAnsi="仿宋_GB2312" w:eastAsia="仿宋_GB2312" w:cs="仿宋_GB2312"/>
          <w:spacing w:val="-6"/>
          <w:sz w:val="24"/>
          <w:szCs w:val="24"/>
        </w:rPr>
      </w:pPr>
      <w:r>
        <w:rPr>
          <w:rFonts w:hint="eastAsia" w:ascii="仿宋_GB2312" w:hAnsi="仿宋_GB2312" w:eastAsia="仿宋_GB2312" w:cs="仿宋_GB2312"/>
          <w:spacing w:val="-6"/>
          <w:sz w:val="24"/>
          <w:szCs w:val="24"/>
        </w:rPr>
        <w:t xml:space="preserve">                      日期：    年   月  日</w:t>
      </w:r>
    </w:p>
    <w:p>
      <w:pPr>
        <w:pStyle w:val="11"/>
        <w:snapToGrid w:val="0"/>
        <w:spacing w:beforeLines="0" w:afterLines="0" w:line="360" w:lineRule="auto"/>
        <w:jc w:val="left"/>
        <w:rPr>
          <w:rFonts w:ascii="仿宋_GB2312" w:hAnsi="仿宋_GB2312" w:eastAsia="仿宋_GB2312" w:cs="仿宋_GB2312"/>
          <w:szCs w:val="24"/>
        </w:rPr>
      </w:pPr>
    </w:p>
    <w:p>
      <w:pPr>
        <w:pStyle w:val="11"/>
        <w:snapToGrid w:val="0"/>
        <w:spacing w:beforeLines="0" w:afterLines="0" w:line="360" w:lineRule="auto"/>
        <w:jc w:val="left"/>
        <w:rPr>
          <w:rFonts w:hAnsi="宋体"/>
          <w:spacing w:val="-6"/>
        </w:rPr>
      </w:pPr>
      <w:r>
        <w:rPr>
          <w:rFonts w:hint="eastAsia" w:hAnsi="宋体"/>
          <w:spacing w:val="-6"/>
        </w:rPr>
        <w:t xml:space="preserve"> </w:t>
      </w:r>
    </w:p>
    <w:p>
      <w:pPr>
        <w:pStyle w:val="11"/>
        <w:snapToGrid w:val="0"/>
        <w:spacing w:beforeLines="0" w:afterLines="0" w:line="360" w:lineRule="auto"/>
        <w:jc w:val="left"/>
        <w:rPr>
          <w:rFonts w:hAnsi="宋体"/>
          <w:spacing w:val="-6"/>
        </w:rPr>
      </w:pPr>
    </w:p>
    <w:p>
      <w:pPr>
        <w:pStyle w:val="32"/>
        <w:ind w:firstLine="0" w:firstLineChars="0"/>
        <w:rPr>
          <w:rFonts w:hAnsi="宋体" w:eastAsia="宋体"/>
          <w:sz w:val="24"/>
          <w:szCs w:val="24"/>
        </w:rPr>
      </w:pPr>
    </w:p>
    <w:p>
      <w:pPr>
        <w:pStyle w:val="32"/>
        <w:ind w:firstLine="0" w:firstLineChars="0"/>
        <w:rPr>
          <w:rFonts w:hAnsi="宋体" w:eastAsia="宋体"/>
          <w:sz w:val="24"/>
          <w:szCs w:val="24"/>
        </w:rPr>
      </w:pPr>
    </w:p>
    <w:bookmarkEnd w:id="123"/>
    <w:p>
      <w:pPr>
        <w:jc w:val="center"/>
        <w:rPr>
          <w:rStyle w:val="41"/>
          <w:rFonts w:ascii="华文中宋" w:hAnsi="华文中宋" w:eastAsia="华文中宋"/>
          <w:b w:val="0"/>
          <w:color w:val="auto"/>
          <w:sz w:val="28"/>
          <w:szCs w:val="28"/>
        </w:rPr>
      </w:pPr>
      <w:bookmarkStart w:id="124" w:name="_Toc22356580"/>
      <w:bookmarkStart w:id="125" w:name="_Toc460901585"/>
      <w:bookmarkStart w:id="126" w:name="_Toc26554095"/>
      <w:bookmarkStart w:id="127" w:name="_Toc23828478"/>
      <w:bookmarkStart w:id="128" w:name="_Toc513029276"/>
      <w:bookmarkStart w:id="129" w:name="_Toc49090577"/>
      <w:bookmarkStart w:id="130" w:name="_Toc120614283"/>
      <w:r>
        <w:rPr>
          <w:rFonts w:hint="eastAsia" w:ascii="华文中宋" w:hAnsi="华文中宋" w:eastAsia="华文中宋"/>
          <w:b/>
          <w:spacing w:val="-6"/>
          <w:szCs w:val="28"/>
        </w:rPr>
        <w:t>四、</w:t>
      </w:r>
      <w:r>
        <w:rPr>
          <w:rStyle w:val="41"/>
          <w:rFonts w:hint="eastAsia" w:ascii="华文中宋" w:hAnsi="华文中宋" w:eastAsia="华文中宋"/>
          <w:color w:val="auto"/>
          <w:sz w:val="28"/>
          <w:szCs w:val="28"/>
        </w:rPr>
        <w:t>磋商函格式</w:t>
      </w:r>
    </w:p>
    <w:bookmarkEnd w:id="124"/>
    <w:bookmarkEnd w:id="125"/>
    <w:bookmarkEnd w:id="126"/>
    <w:bookmarkEnd w:id="127"/>
    <w:bookmarkEnd w:id="128"/>
    <w:bookmarkEnd w:id="129"/>
    <w:bookmarkEnd w:id="130"/>
    <w:p>
      <w:pPr>
        <w:tabs>
          <w:tab w:val="left" w:pos="5580"/>
        </w:tabs>
        <w:spacing w:line="480" w:lineRule="exact"/>
        <w:rPr>
          <w:rStyle w:val="41"/>
          <w:rFonts w:hAnsi="宋体"/>
          <w:color w:val="auto"/>
        </w:rPr>
      </w:pPr>
    </w:p>
    <w:p>
      <w:pPr>
        <w:rPr>
          <w:rFonts w:ascii="仿宋_GB2312" w:hAnsi="宋体" w:eastAsia="仿宋_GB2312"/>
          <w:sz w:val="24"/>
          <w:szCs w:val="24"/>
        </w:rPr>
      </w:pPr>
      <w:r>
        <w:rPr>
          <w:rFonts w:hint="eastAsia" w:ascii="仿宋_GB2312" w:hAnsi="宋体" w:eastAsia="仿宋_GB2312"/>
          <w:sz w:val="24"/>
          <w:szCs w:val="24"/>
        </w:rPr>
        <w:t>致：皖南医学院</w:t>
      </w:r>
    </w:p>
    <w:p>
      <w:pPr>
        <w:ind w:firstLine="480" w:firstLineChars="200"/>
        <w:rPr>
          <w:rFonts w:ascii="仿宋_GB2312" w:hAnsi="宋体" w:eastAsia="仿宋_GB2312"/>
          <w:sz w:val="24"/>
          <w:szCs w:val="24"/>
        </w:rPr>
      </w:pPr>
      <w:r>
        <w:rPr>
          <w:rFonts w:hint="eastAsia" w:ascii="仿宋_GB2312" w:hAnsi="宋体" w:eastAsia="仿宋_GB2312"/>
          <w:sz w:val="24"/>
          <w:szCs w:val="24"/>
        </w:rPr>
        <w:t>根据贵方的</w:t>
      </w:r>
      <w:r>
        <w:rPr>
          <w:rFonts w:hint="eastAsia" w:ascii="仿宋_GB2312" w:eastAsia="仿宋_GB2312" w:hAnsiTheme="majorEastAsia"/>
          <w:kern w:val="0"/>
          <w:sz w:val="24"/>
          <w:szCs w:val="24"/>
        </w:rPr>
        <w:t>皖南医学院</w:t>
      </w:r>
      <w:r>
        <w:rPr>
          <w:rFonts w:hint="eastAsia" w:ascii="仿宋_GB2312" w:hAnsi="仿宋_GB2312" w:eastAsia="仿宋_GB2312" w:cs="仿宋_GB2312"/>
          <w:bCs/>
          <w:sz w:val="24"/>
          <w:szCs w:val="24"/>
        </w:rPr>
        <w:t>2022-2024年度修缮工程造价咨询服务项目</w:t>
      </w:r>
      <w:r>
        <w:rPr>
          <w:rFonts w:hint="eastAsia" w:ascii="仿宋_GB2312" w:hAnsi="宋体" w:eastAsia="仿宋_GB2312"/>
          <w:sz w:val="24"/>
          <w:szCs w:val="24"/>
        </w:rPr>
        <w:t>磋商文件，正式授权下述签_______________(姓名和职务)代表我方______________（供应商的名称），全权处理本次项目磋商的有关事宜。</w:t>
      </w:r>
    </w:p>
    <w:p>
      <w:pPr>
        <w:ind w:firstLine="480" w:firstLineChars="200"/>
        <w:rPr>
          <w:rFonts w:ascii="仿宋_GB2312" w:hAnsi="宋体" w:eastAsia="仿宋_GB2312"/>
          <w:sz w:val="24"/>
          <w:szCs w:val="24"/>
        </w:rPr>
      </w:pPr>
      <w:r>
        <w:rPr>
          <w:rFonts w:hint="eastAsia" w:ascii="仿宋_GB2312" w:hAnsi="宋体" w:eastAsia="仿宋_GB2312"/>
          <w:sz w:val="24"/>
          <w:szCs w:val="24"/>
        </w:rPr>
        <w:t>据此函，__________（签字人）兹宣布同意如下：</w:t>
      </w:r>
    </w:p>
    <w:p>
      <w:pPr>
        <w:rPr>
          <w:rFonts w:ascii="仿宋_GB2312" w:hAnsi="宋体" w:eastAsia="仿宋_GB2312"/>
          <w:sz w:val="24"/>
          <w:szCs w:val="24"/>
        </w:rPr>
      </w:pPr>
      <w:r>
        <w:rPr>
          <w:rFonts w:hint="eastAsia" w:ascii="仿宋_GB2312" w:hAnsi="宋体" w:eastAsia="仿宋_GB2312"/>
          <w:sz w:val="24"/>
          <w:szCs w:val="24"/>
        </w:rPr>
        <w:t>1.按磋商文件规定的各项要求，向买方提供所需货物与服务。</w:t>
      </w:r>
    </w:p>
    <w:p>
      <w:pPr>
        <w:rPr>
          <w:rFonts w:ascii="仿宋_GB2312" w:hAnsi="宋体" w:eastAsia="仿宋_GB2312"/>
          <w:sz w:val="24"/>
          <w:szCs w:val="24"/>
        </w:rPr>
      </w:pPr>
      <w:r>
        <w:rPr>
          <w:rFonts w:hint="eastAsia" w:ascii="仿宋_GB2312" w:hAnsi="宋体" w:eastAsia="仿宋_GB2312"/>
          <w:sz w:val="24"/>
          <w:szCs w:val="24"/>
        </w:rPr>
        <w:t>2.我们完全理解贵方不一定将合同授予最低报价的供应商。</w:t>
      </w:r>
    </w:p>
    <w:p>
      <w:pPr>
        <w:rPr>
          <w:rFonts w:ascii="仿宋_GB2312" w:hAnsi="宋体" w:eastAsia="仿宋_GB2312"/>
          <w:sz w:val="24"/>
          <w:szCs w:val="24"/>
        </w:rPr>
      </w:pPr>
      <w:r>
        <w:rPr>
          <w:rFonts w:hint="eastAsia" w:ascii="仿宋_GB2312" w:hAnsi="宋体" w:eastAsia="仿宋_GB2312"/>
          <w:sz w:val="24"/>
          <w:szCs w:val="24"/>
        </w:rPr>
        <w:t>3.我们已详细审核全部磋商文件及其有效补充文件，我们知道必须放弃提出含糊不清或误解问题的权利。</w:t>
      </w:r>
    </w:p>
    <w:p>
      <w:pPr>
        <w:rPr>
          <w:rFonts w:ascii="仿宋_GB2312" w:hAnsi="宋体" w:eastAsia="仿宋_GB2312"/>
          <w:sz w:val="24"/>
          <w:szCs w:val="24"/>
        </w:rPr>
      </w:pPr>
      <w:r>
        <w:rPr>
          <w:rFonts w:hint="eastAsia" w:ascii="仿宋_GB2312" w:hAnsi="宋体" w:eastAsia="仿宋_GB2312"/>
          <w:sz w:val="24"/>
          <w:szCs w:val="24"/>
        </w:rPr>
        <w:t>4.我们同意从规定的响应文件开启时间起遵循本响应文件。</w:t>
      </w:r>
    </w:p>
    <w:p>
      <w:pPr>
        <w:rPr>
          <w:rFonts w:ascii="仿宋_GB2312" w:hAnsi="宋体" w:eastAsia="仿宋_GB2312"/>
          <w:sz w:val="24"/>
          <w:szCs w:val="24"/>
        </w:rPr>
      </w:pPr>
      <w:r>
        <w:rPr>
          <w:rFonts w:hint="eastAsia" w:ascii="仿宋_GB2312" w:hAnsi="宋体" w:eastAsia="仿宋_GB2312"/>
          <w:sz w:val="24"/>
          <w:szCs w:val="24"/>
        </w:rPr>
        <w:t>5.如果在确定成交后拒绝签订合同，我们的磋商保证金可被贵方没收。</w:t>
      </w:r>
    </w:p>
    <w:p>
      <w:pPr>
        <w:rPr>
          <w:rFonts w:ascii="仿宋_GB2312" w:hAnsi="宋体" w:eastAsia="仿宋_GB2312"/>
          <w:sz w:val="24"/>
          <w:szCs w:val="24"/>
        </w:rPr>
      </w:pPr>
      <w:r>
        <w:rPr>
          <w:rFonts w:hint="eastAsia" w:ascii="仿宋_GB2312" w:hAnsi="宋体" w:eastAsia="仿宋_GB2312"/>
          <w:sz w:val="24"/>
          <w:szCs w:val="24"/>
        </w:rPr>
        <w:t>6.同意向贵方提供贵方可能另外要求的与磋商有关的任何证据或资料，并保证我方已提供和将要提供的文件是真实的、准确的。</w:t>
      </w:r>
    </w:p>
    <w:p>
      <w:pPr>
        <w:rPr>
          <w:rFonts w:ascii="仿宋_GB2312" w:hAnsi="宋体" w:eastAsia="仿宋_GB2312"/>
          <w:sz w:val="24"/>
          <w:szCs w:val="24"/>
        </w:rPr>
      </w:pPr>
      <w:r>
        <w:rPr>
          <w:rFonts w:hint="eastAsia" w:ascii="仿宋_GB2312" w:hAnsi="宋体" w:eastAsia="仿宋_GB2312"/>
          <w:sz w:val="24"/>
          <w:szCs w:val="24"/>
        </w:rPr>
        <w:t>7.一旦我方别确认成交,我方将根据磋商文件的规定，严格履行合同的责任和义务,并保证在磋商文件规定的时间完成项目，交付买方验收、使用。</w:t>
      </w:r>
    </w:p>
    <w:p>
      <w:pPr>
        <w:rPr>
          <w:rFonts w:ascii="仿宋_GB2312" w:hAnsi="宋体" w:eastAsia="仿宋_GB2312"/>
          <w:sz w:val="24"/>
          <w:szCs w:val="24"/>
        </w:rPr>
      </w:pPr>
      <w:r>
        <w:rPr>
          <w:rFonts w:hint="eastAsia" w:ascii="仿宋_GB2312" w:hAnsi="宋体" w:eastAsia="仿宋_GB2312"/>
          <w:sz w:val="24"/>
          <w:szCs w:val="24"/>
        </w:rPr>
        <w:t>8.遵守磋商文件中要求的收费项目和标准。</w:t>
      </w:r>
    </w:p>
    <w:p>
      <w:pPr>
        <w:rPr>
          <w:rFonts w:ascii="仿宋_GB2312" w:hAnsi="宋体" w:eastAsia="仿宋_GB2312"/>
          <w:sz w:val="24"/>
          <w:szCs w:val="24"/>
        </w:rPr>
      </w:pPr>
      <w:r>
        <w:rPr>
          <w:rFonts w:hint="eastAsia" w:ascii="仿宋_GB2312" w:hAnsi="宋体" w:eastAsia="仿宋_GB2312"/>
          <w:sz w:val="24"/>
          <w:szCs w:val="24"/>
        </w:rPr>
        <w:t>9.与本磋商有关的正式通讯地址为：</w:t>
      </w:r>
    </w:p>
    <w:p>
      <w:pPr>
        <w:rPr>
          <w:rFonts w:ascii="仿宋_GB2312" w:hAnsi="宋体" w:eastAsia="仿宋_GB2312"/>
          <w:sz w:val="24"/>
          <w:szCs w:val="24"/>
        </w:rPr>
      </w:pPr>
      <w:r>
        <w:rPr>
          <w:rFonts w:hint="eastAsia" w:ascii="仿宋_GB2312" w:hAnsi="宋体" w:eastAsia="仿宋_GB2312"/>
          <w:sz w:val="24"/>
          <w:szCs w:val="24"/>
        </w:rPr>
        <w:t>地址：</w:t>
      </w:r>
    </w:p>
    <w:p>
      <w:pPr>
        <w:rPr>
          <w:rFonts w:ascii="仿宋_GB2312" w:hAnsi="宋体" w:eastAsia="仿宋_GB2312"/>
          <w:sz w:val="24"/>
          <w:szCs w:val="24"/>
        </w:rPr>
      </w:pPr>
      <w:r>
        <w:rPr>
          <w:rFonts w:hint="eastAsia" w:ascii="仿宋_GB2312" w:hAnsi="宋体" w:eastAsia="仿宋_GB2312"/>
          <w:sz w:val="24"/>
          <w:szCs w:val="24"/>
        </w:rPr>
        <w:t>邮编：</w:t>
      </w:r>
    </w:p>
    <w:p>
      <w:pPr>
        <w:rPr>
          <w:rFonts w:ascii="仿宋_GB2312" w:hAnsi="宋体" w:eastAsia="仿宋_GB2312"/>
          <w:sz w:val="24"/>
          <w:szCs w:val="24"/>
        </w:rPr>
      </w:pPr>
      <w:r>
        <w:rPr>
          <w:rFonts w:hint="eastAsia" w:ascii="仿宋_GB2312" w:hAnsi="宋体" w:eastAsia="仿宋_GB2312"/>
          <w:sz w:val="24"/>
          <w:szCs w:val="24"/>
        </w:rPr>
        <w:t>电话：</w:t>
      </w:r>
    </w:p>
    <w:p>
      <w:pPr>
        <w:rPr>
          <w:rFonts w:ascii="仿宋_GB2312" w:hAnsi="宋体" w:eastAsia="仿宋_GB2312"/>
          <w:sz w:val="24"/>
          <w:szCs w:val="24"/>
        </w:rPr>
      </w:pPr>
      <w:r>
        <w:rPr>
          <w:rFonts w:hint="eastAsia" w:ascii="仿宋_GB2312" w:hAnsi="宋体" w:eastAsia="仿宋_GB2312"/>
          <w:sz w:val="24"/>
          <w:szCs w:val="24"/>
        </w:rPr>
        <w:t>传真：</w:t>
      </w:r>
    </w:p>
    <w:p>
      <w:pPr>
        <w:rPr>
          <w:rFonts w:ascii="仿宋_GB2312" w:hAnsi="宋体" w:eastAsia="仿宋_GB2312"/>
          <w:sz w:val="24"/>
          <w:szCs w:val="24"/>
        </w:rPr>
      </w:pPr>
      <w:r>
        <w:rPr>
          <w:rFonts w:hint="eastAsia" w:ascii="仿宋_GB2312" w:hAnsi="宋体" w:eastAsia="仿宋_GB2312"/>
          <w:sz w:val="24"/>
          <w:szCs w:val="24"/>
        </w:rPr>
        <w:t>供应商开户行：</w:t>
      </w:r>
    </w:p>
    <w:p>
      <w:pPr>
        <w:rPr>
          <w:rFonts w:ascii="仿宋_GB2312" w:hAnsi="宋体" w:eastAsia="仿宋_GB2312"/>
          <w:sz w:val="24"/>
          <w:szCs w:val="24"/>
        </w:rPr>
      </w:pPr>
      <w:r>
        <w:rPr>
          <w:rFonts w:hint="eastAsia" w:ascii="仿宋_GB2312" w:hAnsi="宋体" w:eastAsia="仿宋_GB2312"/>
          <w:sz w:val="24"/>
          <w:szCs w:val="24"/>
        </w:rPr>
        <w:t xml:space="preserve">账户：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供应商授权代表姓名（签字）：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 xml:space="preserve">供应商名称（公章）： </w:t>
      </w:r>
    </w:p>
    <w:p>
      <w:pPr>
        <w:rPr>
          <w:rFonts w:ascii="仿宋_GB2312" w:hAnsi="宋体" w:eastAsia="仿宋_GB2312"/>
          <w:sz w:val="24"/>
          <w:szCs w:val="24"/>
        </w:rPr>
      </w:pPr>
    </w:p>
    <w:p>
      <w:pPr>
        <w:rPr>
          <w:rFonts w:ascii="仿宋_GB2312" w:hAnsi="宋体" w:eastAsia="仿宋_GB2312"/>
          <w:sz w:val="24"/>
          <w:szCs w:val="24"/>
        </w:rPr>
      </w:pPr>
      <w:r>
        <w:rPr>
          <w:rFonts w:hint="eastAsia" w:ascii="仿宋_GB2312" w:hAnsi="宋体" w:eastAsia="仿宋_GB2312"/>
          <w:sz w:val="24"/>
          <w:szCs w:val="24"/>
        </w:rPr>
        <w:t>日期：________年</w:t>
      </w:r>
      <w:r>
        <w:rPr>
          <w:rFonts w:hint="eastAsia" w:ascii="仿宋_GB2312" w:hAnsi="宋体" w:eastAsia="仿宋_GB2312"/>
          <w:sz w:val="24"/>
          <w:szCs w:val="24"/>
          <w:u w:val="single"/>
        </w:rPr>
        <w:t>_    __</w:t>
      </w:r>
      <w:r>
        <w:rPr>
          <w:rFonts w:hint="eastAsia" w:ascii="仿宋_GB2312" w:hAnsi="宋体" w:eastAsia="仿宋_GB2312"/>
          <w:sz w:val="24"/>
          <w:szCs w:val="24"/>
        </w:rPr>
        <w:t>月</w:t>
      </w:r>
      <w:r>
        <w:rPr>
          <w:rFonts w:hint="eastAsia" w:ascii="仿宋_GB2312" w:hAnsi="宋体" w:eastAsia="仿宋_GB2312"/>
          <w:sz w:val="24"/>
          <w:szCs w:val="24"/>
          <w:u w:val="single"/>
        </w:rPr>
        <w:t>__   __</w:t>
      </w:r>
      <w:r>
        <w:rPr>
          <w:rFonts w:hint="eastAsia" w:ascii="仿宋_GB2312" w:hAnsi="宋体" w:eastAsia="仿宋_GB2312"/>
          <w:sz w:val="24"/>
          <w:szCs w:val="24"/>
        </w:rPr>
        <w:t>日</w:t>
      </w: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hAnsi="宋体" w:eastAsia="仿宋_GB2312"/>
          <w:i/>
          <w:sz w:val="24"/>
          <w:szCs w:val="24"/>
          <w:u w:val="single"/>
        </w:rPr>
      </w:pPr>
    </w:p>
    <w:p>
      <w:pPr>
        <w:rPr>
          <w:rFonts w:ascii="仿宋_GB2312" w:eastAsia="仿宋_GB2312"/>
          <w:sz w:val="24"/>
          <w:szCs w:val="24"/>
        </w:rPr>
      </w:pPr>
      <w:r>
        <w:rPr>
          <w:rFonts w:hint="eastAsia" w:ascii="仿宋_GB2312" w:eastAsia="仿宋_GB2312"/>
          <w:sz w:val="24"/>
          <w:szCs w:val="24"/>
        </w:rPr>
        <w:t>六、服务方案（主要但不限于服务</w:t>
      </w:r>
      <w:r>
        <w:rPr>
          <w:rFonts w:hint="eastAsia" w:ascii="仿宋_GB2312" w:eastAsia="仿宋_GB2312" w:hAnsiTheme="minorEastAsia"/>
          <w:sz w:val="24"/>
          <w:szCs w:val="24"/>
        </w:rPr>
        <w:t>组织机构和人员组成、服务方案、技术保障能力，服务承诺、业绩等</w:t>
      </w:r>
      <w:r>
        <w:rPr>
          <w:rFonts w:hint="eastAsia" w:ascii="仿宋_GB2312" w:eastAsia="仿宋_GB2312"/>
          <w:sz w:val="24"/>
          <w:szCs w:val="24"/>
        </w:rPr>
        <w:t>）</w:t>
      </w:r>
    </w:p>
    <w:p>
      <w:pPr>
        <w:rPr>
          <w:rFonts w:ascii="仿宋_GB2312" w:eastAsia="仿宋_GB2312"/>
          <w:sz w:val="24"/>
          <w:szCs w:val="24"/>
        </w:rPr>
      </w:pPr>
    </w:p>
    <w:p>
      <w:pPr>
        <w:rPr>
          <w:rFonts w:ascii="仿宋_GB2312" w:eastAsia="仿宋_GB2312"/>
          <w:sz w:val="24"/>
          <w:szCs w:val="24"/>
        </w:rPr>
      </w:pPr>
    </w:p>
    <w:p>
      <w:pPr>
        <w:rPr>
          <w:rFonts w:ascii="仿宋_GB2312" w:eastAsia="仿宋_GB2312"/>
          <w:sz w:val="24"/>
          <w:szCs w:val="24"/>
        </w:rPr>
      </w:pPr>
      <w:r>
        <w:rPr>
          <w:rFonts w:hint="eastAsia" w:ascii="仿宋_GB2312" w:eastAsia="仿宋_GB2312"/>
          <w:sz w:val="24"/>
          <w:szCs w:val="24"/>
        </w:rPr>
        <w:t>七、投标人需要提供的其它材料</w:t>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附件1：</w:t>
      </w:r>
    </w:p>
    <w:p>
      <w:pPr>
        <w:spacing w:line="560" w:lineRule="exact"/>
        <w:jc w:val="center"/>
        <w:rPr>
          <w:rFonts w:ascii="华文中宋" w:hAnsi="华文中宋" w:eastAsia="华文中宋"/>
          <w:b/>
          <w:sz w:val="36"/>
          <w:szCs w:val="36"/>
        </w:rPr>
      </w:pP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sz w:val="30"/>
          <w:szCs w:val="30"/>
        </w:rPr>
      </w:pPr>
      <w:bookmarkStart w:id="131" w:name="_Toc374453341"/>
      <w:r>
        <w:rPr>
          <w:rFonts w:hint="eastAsia" w:ascii="黑体" w:hAnsi="黑体" w:eastAsia="黑体" w:cs="宋体"/>
          <w:b/>
          <w:bCs/>
          <w:sz w:val="30"/>
          <w:szCs w:val="30"/>
        </w:rPr>
        <w:t>第一章</w:t>
      </w:r>
      <w:r>
        <w:rPr>
          <w:rFonts w:hint="eastAsia" w:ascii="宋体" w:hAnsi="宋体" w:eastAsia="黑体"/>
          <w:sz w:val="30"/>
          <w:szCs w:val="30"/>
        </w:rPr>
        <w:t>  </w:t>
      </w:r>
      <w:r>
        <w:rPr>
          <w:rFonts w:hint="eastAsia" w:ascii="黑体" w:hAnsi="黑体" w:eastAsia="黑体" w:cs="宋体"/>
          <w:b/>
          <w:bCs/>
          <w:sz w:val="30"/>
          <w:szCs w:val="30"/>
        </w:rPr>
        <w:t>总 则</w:t>
      </w:r>
      <w:bookmarkEnd w:id="131"/>
    </w:p>
    <w:p>
      <w:pPr>
        <w:spacing w:line="560" w:lineRule="exact"/>
        <w:ind w:firstLine="480" w:firstLineChars="200"/>
        <w:rPr>
          <w:rFonts w:ascii="仿宋_GB2312" w:hAnsi="宋体" w:eastAsia="仿宋_GB2312" w:cs="宋体"/>
          <w:sz w:val="24"/>
          <w:szCs w:val="24"/>
        </w:rPr>
      </w:pPr>
      <w:r>
        <w:rPr>
          <w:rFonts w:hint="eastAsia" w:ascii="宋体" w:hAnsi="宋体" w:eastAsia="仿宋_GB2312"/>
          <w:sz w:val="24"/>
          <w:szCs w:val="24"/>
        </w:rPr>
        <w:t> </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 xml:space="preserve"> </w:t>
      </w:r>
      <w:r>
        <w:rPr>
          <w:rFonts w:hint="eastAsia" w:ascii="仿宋_GB2312" w:hAnsi="宋体" w:eastAsia="仿宋_GB2312" w:cs="宋体"/>
          <w:b/>
          <w:sz w:val="24"/>
          <w:szCs w:val="24"/>
        </w:rPr>
        <w:t>第一条</w:t>
      </w:r>
      <w:r>
        <w:rPr>
          <w:rFonts w:hint="eastAsia" w:ascii="仿宋_GB2312" w:hAnsi="宋体" w:eastAsia="仿宋_GB2312" w:cs="宋体"/>
          <w:sz w:val="24"/>
          <w:szCs w:val="24"/>
        </w:rPr>
        <w:t xml:space="preserve">  为规范</w:t>
      </w:r>
      <w:r>
        <w:rPr>
          <w:rFonts w:hint="eastAsia" w:ascii="仿宋_GB2312" w:eastAsia="仿宋_GB2312" w:cs="宋体" w:hAnsiTheme="minorEastAsia"/>
          <w:sz w:val="24"/>
          <w:szCs w:val="24"/>
        </w:rPr>
        <w:t>学校</w:t>
      </w:r>
      <w:r>
        <w:rPr>
          <w:rFonts w:hint="eastAsia" w:ascii="仿宋_GB2312" w:hAnsi="宋体" w:eastAsia="仿宋_GB2312" w:cs="宋体"/>
          <w:sz w:val="24"/>
          <w:szCs w:val="24"/>
        </w:rPr>
        <w:t>采购活动质疑</w:t>
      </w:r>
      <w:r>
        <w:rPr>
          <w:rFonts w:hint="eastAsia" w:ascii="仿宋_GB2312" w:eastAsia="仿宋_GB2312" w:cs="宋体" w:hAnsiTheme="minorEastAsia"/>
          <w:sz w:val="24"/>
          <w:szCs w:val="24"/>
        </w:rPr>
        <w:t>和投诉</w:t>
      </w:r>
      <w:r>
        <w:rPr>
          <w:rFonts w:hint="eastAsia" w:ascii="仿宋_GB2312" w:hAnsi="宋体" w:eastAsia="仿宋_GB2312" w:cs="宋体"/>
          <w:sz w:val="24"/>
          <w:szCs w:val="24"/>
        </w:rPr>
        <w:t>行为，确保采购活动公平竞争、合理运转</w:t>
      </w:r>
      <w:r>
        <w:rPr>
          <w:rFonts w:hint="eastAsia" w:ascii="仿宋_GB2312" w:eastAsia="仿宋_GB2312" w:cs="宋体" w:hAnsiTheme="minorEastAsia"/>
          <w:sz w:val="24"/>
          <w:szCs w:val="24"/>
        </w:rPr>
        <w:t>，</w:t>
      </w:r>
      <w:r>
        <w:rPr>
          <w:rFonts w:hint="eastAsia" w:ascii="仿宋_GB2312" w:hAnsi="宋体" w:eastAsia="仿宋_GB2312" w:cs="宋体"/>
          <w:sz w:val="24"/>
          <w:szCs w:val="24"/>
        </w:rPr>
        <w:t>保护参加</w:t>
      </w:r>
      <w:r>
        <w:rPr>
          <w:rFonts w:hint="eastAsia" w:ascii="仿宋_GB2312" w:eastAsia="仿宋_GB2312" w:cs="宋体" w:hAnsiTheme="minorEastAsia"/>
          <w:sz w:val="24"/>
          <w:szCs w:val="24"/>
        </w:rPr>
        <w:t>学校采购活动当事人的</w:t>
      </w:r>
      <w:r>
        <w:rPr>
          <w:rFonts w:hint="eastAsia" w:ascii="仿宋_GB2312" w:hAnsi="宋体" w:eastAsia="仿宋_GB2312" w:cs="宋体"/>
          <w:sz w:val="24"/>
          <w:szCs w:val="24"/>
        </w:rPr>
        <w:t>合法权益，根据《中华人民共和国政府采购法》</w:t>
      </w:r>
      <w:r>
        <w:rPr>
          <w:rFonts w:hint="eastAsia" w:ascii="仿宋_GB2312" w:eastAsia="仿宋_GB2312" w:cs="宋体" w:hAnsiTheme="minorEastAsia"/>
          <w:sz w:val="24"/>
          <w:szCs w:val="24"/>
        </w:rPr>
        <w:t>、《中华人民共和国政府采购法实施条例》、</w:t>
      </w:r>
      <w:r>
        <w:rPr>
          <w:rFonts w:hint="eastAsia" w:ascii="仿宋_GB2312" w:hAnsi="宋体" w:eastAsia="仿宋_GB2312" w:cs="宋体"/>
          <w:sz w:val="24"/>
          <w:szCs w:val="24"/>
        </w:rPr>
        <w:t>《政府采购</w:t>
      </w:r>
      <w:r>
        <w:rPr>
          <w:rFonts w:hint="eastAsia" w:ascii="仿宋_GB2312" w:eastAsia="仿宋_GB2312" w:cs="宋体" w:hAnsiTheme="minorEastAsia"/>
          <w:sz w:val="24"/>
          <w:szCs w:val="24"/>
        </w:rPr>
        <w:t>质疑和投诉</w:t>
      </w:r>
      <w:r>
        <w:rPr>
          <w:rFonts w:hint="eastAsia" w:ascii="仿宋_GB2312" w:hAnsi="宋体" w:eastAsia="仿宋_GB2312" w:cs="宋体"/>
          <w:sz w:val="24"/>
          <w:szCs w:val="24"/>
        </w:rPr>
        <w:t>办法》（财政部</w:t>
      </w:r>
      <w:r>
        <w:rPr>
          <w:rFonts w:hint="eastAsia" w:ascii="仿宋_GB2312" w:eastAsia="仿宋_GB2312" w:cs="宋体" w:hAnsiTheme="minorEastAsia"/>
          <w:sz w:val="24"/>
          <w:szCs w:val="24"/>
        </w:rPr>
        <w:t>令</w:t>
      </w:r>
      <w:r>
        <w:rPr>
          <w:rFonts w:hint="eastAsia" w:ascii="仿宋_GB2312" w:hAnsi="宋体" w:eastAsia="仿宋_GB2312" w:cs="宋体"/>
          <w:sz w:val="24"/>
          <w:szCs w:val="24"/>
        </w:rPr>
        <w:t>第</w:t>
      </w:r>
      <w:r>
        <w:rPr>
          <w:rFonts w:hint="eastAsia" w:ascii="仿宋_GB2312" w:eastAsia="仿宋_GB2312" w:cs="宋体" w:hAnsiTheme="minorEastAsia"/>
          <w:sz w:val="24"/>
          <w:szCs w:val="24"/>
        </w:rPr>
        <w:t>94</w:t>
      </w:r>
      <w:r>
        <w:rPr>
          <w:rFonts w:hint="eastAsia" w:ascii="仿宋_GB2312" w:hAnsi="宋体" w:eastAsia="仿宋_GB2312" w:cs="宋体"/>
          <w:sz w:val="24"/>
          <w:szCs w:val="24"/>
        </w:rPr>
        <w:t>号）</w:t>
      </w:r>
      <w:r>
        <w:rPr>
          <w:rFonts w:hint="eastAsia" w:ascii="仿宋_GB2312" w:eastAsia="仿宋_GB2312" w:cs="宋体" w:hAnsiTheme="minorEastAsia"/>
          <w:sz w:val="24"/>
          <w:szCs w:val="24"/>
        </w:rPr>
        <w:t>和安徽省政府有关文件</w:t>
      </w:r>
      <w:r>
        <w:rPr>
          <w:rFonts w:hint="eastAsia" w:ascii="仿宋_GB2312" w:hAnsi="宋体" w:eastAsia="仿宋_GB2312" w:cs="宋体"/>
          <w:sz w:val="24"/>
          <w:szCs w:val="24"/>
        </w:rPr>
        <w:t>精神，</w:t>
      </w:r>
      <w:r>
        <w:rPr>
          <w:rFonts w:hint="eastAsia" w:ascii="仿宋_GB2312" w:eastAsia="仿宋_GB2312" w:cs="宋体" w:hAnsiTheme="minorEastAsia"/>
          <w:sz w:val="24"/>
          <w:szCs w:val="24"/>
        </w:rPr>
        <w:t>结合学校实际，</w:t>
      </w:r>
      <w:r>
        <w:rPr>
          <w:rFonts w:hint="eastAsia" w:ascii="仿宋_GB2312" w:hAnsi="宋体" w:eastAsia="仿宋_GB2312" w:cs="宋体"/>
          <w:sz w:val="24"/>
          <w:szCs w:val="24"/>
        </w:rPr>
        <w:t>制定本办法。</w:t>
      </w:r>
    </w:p>
    <w:p>
      <w:pPr>
        <w:spacing w:line="560" w:lineRule="exact"/>
        <w:ind w:firstLine="482" w:firstLineChars="200"/>
        <w:rPr>
          <w:rFonts w:ascii="仿宋_GB2312" w:eastAsia="仿宋_GB2312" w:cs="宋体" w:hAnsiTheme="minorEastAsia"/>
          <w:sz w:val="24"/>
          <w:szCs w:val="24"/>
        </w:rPr>
      </w:pPr>
      <w:r>
        <w:rPr>
          <w:rFonts w:hint="eastAsia" w:ascii="仿宋_GB2312" w:hAnsi="宋体" w:eastAsia="仿宋_GB2312" w:cs="宋体"/>
          <w:b/>
          <w:sz w:val="24"/>
          <w:szCs w:val="24"/>
        </w:rPr>
        <w:t>第二条</w:t>
      </w:r>
      <w:r>
        <w:rPr>
          <w:rFonts w:hint="eastAsia" w:ascii="仿宋_GB2312" w:hAnsi="宋体" w:eastAsia="仿宋_GB2312" w:cs="宋体"/>
          <w:sz w:val="24"/>
          <w:szCs w:val="24"/>
        </w:rPr>
        <w:t xml:space="preserve">  </w:t>
      </w:r>
      <w:r>
        <w:rPr>
          <w:rFonts w:hint="eastAsia" w:ascii="仿宋_GB2312" w:eastAsia="仿宋_GB2312" w:cs="宋体" w:hAnsiTheme="minorEastAsia"/>
          <w:sz w:val="24"/>
          <w:szCs w:val="24"/>
        </w:rPr>
        <w:t>本办法适用于</w:t>
      </w:r>
      <w:bookmarkStart w:id="132" w:name="OLE_LINK3"/>
      <w:bookmarkStart w:id="133" w:name="OLE_LINK1"/>
      <w:bookmarkStart w:id="134" w:name="OLE_LINK2"/>
      <w:r>
        <w:rPr>
          <w:rFonts w:hint="eastAsia" w:ascii="仿宋_GB2312" w:eastAsia="仿宋_GB2312" w:cs="宋体" w:hAnsiTheme="minorEastAsia"/>
          <w:sz w:val="24"/>
          <w:szCs w:val="24"/>
        </w:rPr>
        <w:t>学校采购活动</w:t>
      </w:r>
      <w:bookmarkEnd w:id="132"/>
      <w:bookmarkEnd w:id="133"/>
      <w:bookmarkEnd w:id="134"/>
      <w:r>
        <w:rPr>
          <w:rFonts w:hint="eastAsia" w:ascii="仿宋_GB2312" w:eastAsia="仿宋_GB2312" w:cs="宋体" w:hAnsiTheme="minorEastAsia"/>
          <w:sz w:val="24"/>
          <w:szCs w:val="24"/>
        </w:rPr>
        <w:t>质疑的提出和答复、投诉的提起和处理。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第三条</w:t>
      </w:r>
      <w:r>
        <w:rPr>
          <w:rFonts w:hint="eastAsia" w:ascii="仿宋_GB2312" w:eastAsia="仿宋_GB2312" w:hAnsiTheme="minorEastAsia"/>
          <w:sz w:val="24"/>
          <w:szCs w:val="24"/>
        </w:rPr>
        <w:t xml:space="preserve">  学校政府采购中的集中采购和分散采购项目质疑的提出与答复和投诉</w:t>
      </w:r>
      <w:r>
        <w:rPr>
          <w:rFonts w:hint="eastAsia" w:ascii="仿宋_GB2312" w:eastAsia="仿宋_GB2312"/>
          <w:sz w:val="24"/>
          <w:szCs w:val="24"/>
        </w:rPr>
        <w:t>的提起与处理</w:t>
      </w:r>
      <w:r>
        <w:rPr>
          <w:rFonts w:hint="eastAsia" w:ascii="仿宋_GB2312" w:eastAsia="仿宋_GB2312" w:hAnsiTheme="minorEastAsia"/>
          <w:sz w:val="24"/>
          <w:szCs w:val="24"/>
        </w:rPr>
        <w:t>遵照《</w:t>
      </w:r>
      <w:r>
        <w:rPr>
          <w:rFonts w:hint="eastAsia" w:ascii="仿宋_GB2312" w:eastAsia="仿宋_GB2312"/>
          <w:sz w:val="24"/>
          <w:szCs w:val="24"/>
        </w:rPr>
        <w:t>政府采购</w:t>
      </w:r>
      <w:r>
        <w:rPr>
          <w:rFonts w:hint="eastAsia" w:ascii="仿宋_GB2312" w:eastAsia="仿宋_GB2312" w:hAnsiTheme="minorEastAsia"/>
          <w:sz w:val="24"/>
          <w:szCs w:val="24"/>
        </w:rPr>
        <w:t>质疑和投诉</w:t>
      </w:r>
      <w:r>
        <w:rPr>
          <w:rFonts w:hint="eastAsia" w:ascii="仿宋_GB2312" w:eastAsia="仿宋_GB2312"/>
          <w:sz w:val="24"/>
          <w:szCs w:val="24"/>
        </w:rPr>
        <w:t>办法》（财政部</w:t>
      </w:r>
      <w:r>
        <w:rPr>
          <w:rFonts w:hint="eastAsia" w:ascii="仿宋_GB2312" w:eastAsia="仿宋_GB2312" w:hAnsiTheme="minorEastAsia"/>
          <w:sz w:val="24"/>
          <w:szCs w:val="24"/>
        </w:rPr>
        <w:t>令</w:t>
      </w:r>
      <w:r>
        <w:rPr>
          <w:rFonts w:hint="eastAsia" w:ascii="仿宋_GB2312" w:eastAsia="仿宋_GB2312"/>
          <w:sz w:val="24"/>
          <w:szCs w:val="24"/>
        </w:rPr>
        <w:t>第</w:t>
      </w:r>
      <w:r>
        <w:rPr>
          <w:rFonts w:hint="eastAsia" w:ascii="仿宋_GB2312" w:eastAsia="仿宋_GB2312" w:hAnsiTheme="minorEastAsia"/>
          <w:sz w:val="24"/>
          <w:szCs w:val="24"/>
        </w:rPr>
        <w:t>94</w:t>
      </w:r>
      <w:r>
        <w:rPr>
          <w:rFonts w:hint="eastAsia" w:ascii="仿宋_GB2312" w:eastAsia="仿宋_GB2312"/>
          <w:sz w:val="24"/>
          <w:szCs w:val="24"/>
        </w:rPr>
        <w:t>号）</w:t>
      </w:r>
      <w:r>
        <w:rPr>
          <w:rFonts w:hint="eastAsia" w:ascii="仿宋_GB2312" w:eastAsia="仿宋_GB2312" w:hAnsiTheme="minorEastAsia"/>
          <w:sz w:val="24"/>
          <w:szCs w:val="24"/>
        </w:rPr>
        <w:t>和安徽省有关</w:t>
      </w:r>
      <w:r>
        <w:rPr>
          <w:rFonts w:hint="eastAsia" w:ascii="仿宋_GB2312" w:eastAsia="仿宋_GB2312"/>
          <w:sz w:val="24"/>
          <w:szCs w:val="24"/>
        </w:rPr>
        <w:t>规定执行，上级政策如有调整，按最新政策规定执行。</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第四条</w:t>
      </w:r>
      <w:r>
        <w:rPr>
          <w:rFonts w:hint="eastAsia" w:ascii="仿宋_GB2312" w:eastAsia="仿宋_GB2312" w:cs="宋体" w:hAnsiTheme="minorEastAsia"/>
          <w:sz w:val="24"/>
          <w:szCs w:val="24"/>
        </w:rPr>
        <w:t xml:space="preserve">  供应商提出质疑和投诉应当坚持依法依规、诚实信用原则。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第五条</w:t>
      </w:r>
      <w:r>
        <w:rPr>
          <w:rFonts w:hint="eastAsia" w:ascii="仿宋_GB2312" w:eastAsia="仿宋_GB2312" w:cs="宋体" w:hAnsiTheme="minorEastAsia"/>
          <w:sz w:val="24"/>
          <w:szCs w:val="24"/>
        </w:rPr>
        <w:t xml:space="preserve">  采购质疑答复和投诉处理应当坚持依法依规、权责对等、公平公正、简便高效原则。</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第六条</w:t>
      </w:r>
      <w:r>
        <w:rPr>
          <w:rFonts w:hint="eastAsia" w:ascii="仿宋_GB2312" w:eastAsia="仿宋_GB2312" w:cs="宋体" w:hAnsiTheme="minorEastAsia"/>
          <w:sz w:val="24"/>
          <w:szCs w:val="24"/>
        </w:rPr>
        <w:t xml:space="preserve">  学校国有资产管理处（以下简称“国资处”）负责供应商质疑答复。学校委托采购代理机构采购的，采购代理机构在委托授权范围内作出答复。</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学校监察处负责接受和处理校内自主采购项目的投诉。</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第七条</w:t>
      </w:r>
      <w:r>
        <w:rPr>
          <w:rFonts w:hint="eastAsia" w:ascii="仿宋_GB2312" w:eastAsia="仿宋_GB2312" w:cs="宋体" w:hAnsiTheme="minorEastAsia"/>
          <w:sz w:val="24"/>
          <w:szCs w:val="24"/>
        </w:rPr>
        <w:t xml:space="preserve">  国资处、委托采购代理机构应当在采购文件中载明接收质疑函和受理投诉的方式、联系部门、联系电话和通讯地址等信息。</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第八条</w:t>
      </w:r>
      <w:r>
        <w:rPr>
          <w:rFonts w:hint="eastAsia" w:ascii="仿宋_GB2312" w:eastAsia="仿宋_GB2312" w:cs="宋体" w:hAnsiTheme="minorEastAsia"/>
          <w:sz w:val="24"/>
          <w:szCs w:val="24"/>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480" w:firstLineChars="200"/>
        <w:rPr>
          <w:rFonts w:ascii="仿宋_GB2312" w:eastAsia="仿宋_GB2312" w:cs="宋体" w:hAnsiTheme="minorEastAsia"/>
          <w:sz w:val="24"/>
          <w:szCs w:val="24"/>
        </w:rPr>
      </w:pPr>
      <w:r>
        <w:rPr>
          <w:rFonts w:hint="eastAsia" w:ascii="仿宋_GB2312" w:eastAsia="仿宋_GB2312" w:cs="宋体" w:hAnsiTheme="minorEastAsia"/>
          <w:sz w:val="24"/>
          <w:szCs w:val="24"/>
        </w:rPr>
        <w:t>代理人提出质疑和投诉，应当提交供应商签署的授权委托书。</w:t>
      </w:r>
    </w:p>
    <w:p>
      <w:pPr>
        <w:spacing w:line="560" w:lineRule="exact"/>
        <w:ind w:firstLine="482" w:firstLineChars="200"/>
        <w:rPr>
          <w:rFonts w:ascii="仿宋_GB2312" w:eastAsia="仿宋_GB2312" w:cs="宋体" w:hAnsiTheme="minorEastAsia"/>
          <w:sz w:val="24"/>
          <w:szCs w:val="24"/>
        </w:rPr>
      </w:pPr>
      <w:r>
        <w:rPr>
          <w:rFonts w:hint="eastAsia" w:ascii="仿宋_GB2312" w:eastAsia="仿宋_GB2312" w:cs="宋体" w:hAnsiTheme="minorEastAsia"/>
          <w:b/>
          <w:sz w:val="24"/>
          <w:szCs w:val="24"/>
        </w:rPr>
        <w:t>第九条</w:t>
      </w:r>
      <w:r>
        <w:rPr>
          <w:rFonts w:hint="eastAsia" w:ascii="仿宋_GB2312" w:eastAsia="仿宋_GB2312" w:cs="宋体" w:hAnsiTheme="minorEastAsia"/>
          <w:sz w:val="24"/>
          <w:szCs w:val="24"/>
        </w:rPr>
        <w:t xml:space="preserve">  以联合体形式参加学校采购活动的，其投诉应当由组成联合体的所有供应商共同提出。</w:t>
      </w:r>
    </w:p>
    <w:p>
      <w:pPr>
        <w:spacing w:line="560" w:lineRule="exact"/>
        <w:ind w:firstLine="480" w:firstLineChars="200"/>
        <w:rPr>
          <w:rFonts w:ascii="仿宋_GB2312" w:eastAsia="仿宋_GB2312" w:cs="宋体" w:hAnsiTheme="minorEastAsia"/>
          <w:sz w:val="24"/>
          <w:szCs w:val="24"/>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第二章 质疑的提出</w:t>
      </w:r>
    </w:p>
    <w:p>
      <w:pPr>
        <w:spacing w:line="560" w:lineRule="exact"/>
        <w:ind w:firstLine="600" w:firstLineChars="200"/>
        <w:rPr>
          <w:rFonts w:ascii="仿宋_GB2312" w:eastAsia="仿宋_GB2312" w:cs="宋体" w:hAnsiTheme="minorEastAsia"/>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第十条</w:t>
      </w:r>
      <w:bookmarkStart w:id="135" w:name="OLE_LINK8"/>
      <w:bookmarkStart w:id="136" w:name="OLE_LINK6"/>
      <w:bookmarkStart w:id="137" w:name="OLE_LINK5"/>
      <w:bookmarkStart w:id="138" w:name="OLE_LINK9"/>
      <w:bookmarkStart w:id="139" w:name="OLE_LINK4"/>
      <w:bookmarkStart w:id="140" w:name="OLE_LINK7"/>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bookmarkEnd w:id="135"/>
      <w:bookmarkEnd w:id="136"/>
      <w:bookmarkEnd w:id="137"/>
      <w:bookmarkEnd w:id="138"/>
      <w:bookmarkEnd w:id="139"/>
      <w:bookmarkEnd w:id="140"/>
      <w:r>
        <w:rPr>
          <w:rFonts w:hint="eastAsia" w:ascii="仿宋_GB2312" w:hAnsi="微软雅黑" w:eastAsia="仿宋_GB2312"/>
          <w:sz w:val="24"/>
          <w:szCs w:val="24"/>
        </w:rPr>
        <w:t>，供应商认为采购文件、采购过程、中标或者成交结果使自己的权益受到损害的，可以在知道或者应知其权益受到损害之日起5个工作日内，以书面形式向国资处、采购代理机构提出质疑。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采购文件可以要求供应商在质疑期内一次性提出针对同一采购程序环节的质疑。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eastAsia="仿宋_GB2312" w:hAnsiTheme="minorEastAsia"/>
          <w:sz w:val="24"/>
          <w:szCs w:val="24"/>
        </w:rPr>
      </w:pPr>
      <w:r>
        <w:rPr>
          <w:rFonts w:hint="eastAsia" w:ascii="仿宋_GB2312" w:eastAsia="仿宋_GB2312" w:hAnsiTheme="minorEastAsia"/>
          <w:b/>
          <w:sz w:val="24"/>
          <w:szCs w:val="24"/>
        </w:rPr>
        <w:t>第十一条</w:t>
      </w:r>
      <w:r>
        <w:rPr>
          <w:rFonts w:hint="eastAsia" w:ascii="仿宋_GB2312" w:eastAsia="仿宋_GB2312" w:hAnsiTheme="minorEastAsia"/>
          <w:sz w:val="24"/>
          <w:szCs w:val="24"/>
        </w:rPr>
        <w:t xml:space="preserve">  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，提出质疑的供应商（以下简称质疑供应商）应当是参与所质疑项目采购活动的供应商。</w:t>
      </w:r>
    </w:p>
    <w:p>
      <w:pPr>
        <w:spacing w:line="560" w:lineRule="exact"/>
        <w:ind w:firstLine="480" w:firstLineChars="200"/>
        <w:rPr>
          <w:rFonts w:ascii="仿宋_GB2312" w:eastAsia="仿宋_GB2312" w:hAnsiTheme="minorEastAsia"/>
          <w:sz w:val="24"/>
          <w:szCs w:val="24"/>
        </w:rPr>
      </w:pPr>
      <w:r>
        <w:rPr>
          <w:rFonts w:hint="eastAsia" w:ascii="仿宋_GB2312" w:eastAsia="仿宋_GB2312" w:hAnsiTheme="minorEastAsia"/>
          <w:sz w:val="24"/>
          <w:szCs w:val="24"/>
        </w:rPr>
        <w:t xml:space="preserve">潜在供应商已依法依规获取其可质疑的采购文件的，可以对该文件提出质疑。对采购文件提出质疑的，应当在采购文件规定的时间内提出。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供应商提出质疑应当提交质疑函和必要的证明材料。质疑函应当包括下列内容：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（一）供应商的姓名或者名称、地址、邮编、联系人及联系电话；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（二）质疑项目的名称、编号；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（三）具体、明确的质疑事项和与质疑事项相关的请求；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（五）必要的法律依据；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（六）提出质疑的日期。</w:t>
      </w:r>
    </w:p>
    <w:p>
      <w:pPr>
        <w:spacing w:line="560" w:lineRule="exact"/>
        <w:ind w:firstLine="480" w:firstLineChars="200"/>
        <w:rPr>
          <w:rFonts w:ascii="仿宋_GB2312" w:hAnsi="微软雅黑" w:eastAsia="仿宋_GB2312"/>
          <w:sz w:val="24"/>
          <w:szCs w:val="24"/>
        </w:rPr>
      </w:pPr>
      <w:r>
        <w:rPr>
          <w:rFonts w:hint="eastAsia" w:ascii="仿宋_GB2312" w:hAnsi="微软雅黑" w:eastAsia="仿宋_GB2312"/>
          <w:sz w:val="24"/>
          <w:szCs w:val="24"/>
        </w:rPr>
        <w:t>供应商为自然人的，应当由本人签字；供应商为法人或者其他组织的，应当由法定代表人、主要负责人，或者其授权代表签字或者盖章，并加盖公章。</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第十三条</w:t>
      </w:r>
      <w:r>
        <w:rPr>
          <w:rFonts w:hint="eastAsia" w:ascii="仿宋_GB2312" w:hAnsi="宋体" w:eastAsia="仿宋_GB2312" w:cs="宋体"/>
          <w:sz w:val="24"/>
          <w:szCs w:val="24"/>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480" w:firstLineChars="200"/>
        <w:rPr>
          <w:rFonts w:ascii="仿宋_GB2312" w:hAnsi="微软雅黑" w:eastAsia="仿宋_GB2312"/>
          <w:sz w:val="24"/>
          <w:szCs w:val="24"/>
        </w:rPr>
      </w:pPr>
    </w:p>
    <w:p>
      <w:pPr>
        <w:spacing w:line="560" w:lineRule="exact"/>
        <w:ind w:firstLine="480" w:firstLineChars="200"/>
        <w:rPr>
          <w:rFonts w:ascii="仿宋_GB2312" w:hAnsi="微软雅黑" w:eastAsia="仿宋_GB2312"/>
          <w:sz w:val="24"/>
          <w:szCs w:val="24"/>
        </w:rPr>
      </w:pPr>
    </w:p>
    <w:p>
      <w:pPr>
        <w:spacing w:line="560" w:lineRule="exact"/>
        <w:jc w:val="center"/>
        <w:rPr>
          <w:rFonts w:ascii="黑体" w:hAnsi="黑体" w:eastAsia="黑体"/>
          <w:b/>
          <w:sz w:val="30"/>
          <w:szCs w:val="30"/>
        </w:rPr>
      </w:pPr>
      <w:r>
        <w:rPr>
          <w:rFonts w:hint="eastAsia" w:ascii="黑体" w:hAnsi="黑体" w:eastAsia="黑体"/>
          <w:b/>
          <w:sz w:val="30"/>
          <w:szCs w:val="30"/>
        </w:rPr>
        <w:t>第三章  质疑的答复</w:t>
      </w:r>
    </w:p>
    <w:p>
      <w:pPr>
        <w:spacing w:line="560" w:lineRule="exact"/>
        <w:ind w:firstLine="600" w:firstLineChars="200"/>
        <w:rPr>
          <w:rFonts w:ascii="仿宋_GB2312" w:hAnsi="微软雅黑" w:eastAsia="仿宋_GB2312"/>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hAnsi="微软雅黑" w:eastAsia="仿宋_GB2312"/>
          <w:b/>
          <w:sz w:val="24"/>
          <w:szCs w:val="24"/>
        </w:rPr>
        <w:t>第十四条</w:t>
      </w:r>
      <w:r>
        <w:rPr>
          <w:rFonts w:hint="eastAsia" w:ascii="仿宋_GB2312" w:hAnsi="微软雅黑" w:eastAsia="仿宋_GB2312"/>
          <w:sz w:val="24"/>
          <w:szCs w:val="24"/>
        </w:rPr>
        <w:t xml:space="preserve">  </w:t>
      </w:r>
      <w:r>
        <w:rPr>
          <w:rFonts w:hint="eastAsia" w:ascii="仿宋_GB2312" w:hAnsi="宋体" w:eastAsia="仿宋_GB2312" w:cs="宋体"/>
          <w:sz w:val="24"/>
          <w:szCs w:val="24"/>
        </w:rPr>
        <w:t>供应商对</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宋体" w:eastAsia="仿宋_GB2312" w:cs="宋体"/>
          <w:sz w:val="24"/>
          <w:szCs w:val="24"/>
        </w:rPr>
        <w:t>有疑问的，可以向学校国资处、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提出询问，国资处、</w:t>
      </w:r>
      <w:r>
        <w:rPr>
          <w:rFonts w:hint="eastAsia" w:ascii="仿宋_GB2312" w:hAnsi="微软雅黑" w:eastAsia="仿宋_GB2312"/>
          <w:sz w:val="24"/>
          <w:szCs w:val="24"/>
        </w:rPr>
        <w:t>采购代理机构</w:t>
      </w:r>
      <w:r>
        <w:rPr>
          <w:rFonts w:hint="eastAsia" w:ascii="仿宋_GB2312" w:hAnsi="宋体" w:eastAsia="仿宋_GB2312" w:cs="宋体"/>
          <w:sz w:val="24"/>
          <w:szCs w:val="24"/>
        </w:rPr>
        <w:t>应及时口头答复。</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第十五</w:t>
      </w:r>
      <w:r>
        <w:rPr>
          <w:rFonts w:hint="eastAsia" w:ascii="仿宋_GB2312" w:hAnsi="宋体" w:eastAsia="仿宋_GB2312" w:cs="宋体"/>
          <w:sz w:val="24"/>
          <w:szCs w:val="24"/>
        </w:rPr>
        <w:t>条  国资处、采购代理机构对供应商提出的询问，应区别不同情况予以处理：属于工作中的问题，应当及时纠正；属于供应商的误解，应予以解释说明。</w:t>
      </w:r>
    </w:p>
    <w:p>
      <w:pPr>
        <w:spacing w:line="560" w:lineRule="exact"/>
        <w:ind w:firstLine="482" w:firstLineChars="200"/>
        <w:rPr>
          <w:rFonts w:ascii="仿宋_GB2312" w:hAnsi="微软雅黑" w:eastAsia="仿宋_GB2312"/>
          <w:sz w:val="24"/>
          <w:szCs w:val="24"/>
        </w:rPr>
      </w:pPr>
      <w:r>
        <w:rPr>
          <w:rFonts w:hint="eastAsia" w:ascii="仿宋_GB2312" w:hAnsi="微软雅黑" w:eastAsia="仿宋_GB2312"/>
          <w:b/>
          <w:sz w:val="24"/>
          <w:szCs w:val="24"/>
        </w:rPr>
        <w:t>第十六</w:t>
      </w:r>
      <w:r>
        <w:rPr>
          <w:rFonts w:hint="eastAsia" w:ascii="仿宋_GB2312" w:hAnsi="微软雅黑" w:eastAsia="仿宋_GB2312"/>
          <w:sz w:val="24"/>
          <w:szCs w:val="24"/>
        </w:rPr>
        <w:t xml:space="preserve">条  </w:t>
      </w:r>
      <w:r>
        <w:rPr>
          <w:rFonts w:hint="eastAsia" w:ascii="仿宋_GB2312" w:eastAsia="仿宋_GB2312" w:cs="宋体" w:hAnsiTheme="minorEastAsia"/>
          <w:sz w:val="24"/>
          <w:szCs w:val="24"/>
        </w:rPr>
        <w:t>学校</w:t>
      </w:r>
      <w:r>
        <w:rPr>
          <w:rFonts w:hint="eastAsia" w:ascii="仿宋_GB2312" w:eastAsia="仿宋_GB2312" w:hAnsiTheme="minorEastAsia"/>
          <w:sz w:val="24"/>
          <w:szCs w:val="24"/>
        </w:rPr>
        <w:t>自主</w:t>
      </w:r>
      <w:r>
        <w:rPr>
          <w:rFonts w:hint="eastAsia" w:ascii="仿宋_GB2312" w:eastAsia="仿宋_GB2312" w:cs="宋体" w:hAnsiTheme="minorEastAsia"/>
          <w:sz w:val="24"/>
          <w:szCs w:val="24"/>
        </w:rPr>
        <w:t>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第十七条</w:t>
      </w:r>
      <w:r>
        <w:rPr>
          <w:rFonts w:hint="eastAsia" w:ascii="仿宋_GB2312" w:hAnsi="宋体" w:eastAsia="仿宋_GB2312" w:cs="宋体"/>
          <w:sz w:val="24"/>
          <w:szCs w:val="24"/>
        </w:rPr>
        <w:t xml:space="preserve">  供应商的书面质疑属于下列情形之一的，国资处、采购代理机构可不予受理，并以书面形式告知其不予受理的原因：</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（一）未通过资格审核，或未参与该采购项目活动的供应商；</w:t>
      </w:r>
    </w:p>
    <w:p>
      <w:pPr>
        <w:spacing w:line="560" w:lineRule="exact"/>
        <w:ind w:firstLine="480" w:firstLineChars="200"/>
        <w:rPr>
          <w:rFonts w:ascii="仿宋_GB2312" w:hAnsi="宋体" w:eastAsia="仿宋_GB2312" w:cs="宋体"/>
          <w:sz w:val="24"/>
          <w:szCs w:val="24"/>
        </w:rPr>
      </w:pPr>
      <w:r>
        <w:rPr>
          <w:rFonts w:hint="eastAsia" w:ascii="仿宋_GB2312" w:hAnsi="宋体" w:eastAsia="仿宋_GB2312" w:cs="宋体"/>
          <w:sz w:val="24"/>
          <w:szCs w:val="24"/>
        </w:rPr>
        <w:t>（二）已超过法律规定或采购文件约定的质疑期限；</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第十八条</w:t>
      </w:r>
      <w:r>
        <w:rPr>
          <w:rFonts w:hint="eastAsia" w:ascii="仿宋_GB2312" w:hAnsi="宋体" w:eastAsia="仿宋_GB2312" w:cs="宋体"/>
          <w:sz w:val="24"/>
          <w:szCs w:val="24"/>
        </w:rPr>
        <w:t xml:space="preserve">  国资处可就供应商的质疑事项进行调查取证，有关当事人应当如实反映情况和提供有关材料。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第十九条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供应商对评审过程、中标或者成交结果提出质疑的，国资处、采购代理机构可以组织原评标委员会、谈判小组、询价小组或者磋商小组协助答复质疑。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第二十条</w:t>
      </w:r>
      <w:r>
        <w:rPr>
          <w:rFonts w:hint="eastAsia" w:ascii="仿宋_GB2312" w:eastAsia="仿宋_GB2312"/>
          <w:sz w:val="24"/>
          <w:szCs w:val="24"/>
        </w:rPr>
        <w:t xml:space="preserve">  采购评审人员应当积极配合国资处答复质疑供应商提出的质疑。</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第二十一条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质疑答复应当包括下列内容：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（一）质疑供应商的姓名或者名称；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（二）收到质疑函的日期、质疑项目名称及编号；</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（三）质疑事项、质疑答复的具体内容、事实依据和法律及相关政策规定等依据；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（四）告知质疑供应商依法投诉的权利；</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（五）质疑答复人名称；</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（六）答复质疑的日期。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质疑答复的内容不得涉及商业秘密。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第二十二条</w:t>
      </w:r>
      <w:r>
        <w:rPr>
          <w:rFonts w:hint="eastAsia" w:ascii="仿宋_GB2312" w:hAnsi="微软雅黑" w:eastAsia="仿宋_GB2312"/>
          <w:sz w:val="24"/>
          <w:szCs w:val="24"/>
        </w:rPr>
        <w:t xml:space="preserve">  </w:t>
      </w:r>
      <w:r>
        <w:rPr>
          <w:rFonts w:hint="eastAsia" w:ascii="仿宋_GB2312" w:eastAsia="仿宋_GB2312" w:hAnsiTheme="minorEastAsia"/>
          <w:sz w:val="24"/>
          <w:szCs w:val="24"/>
        </w:rPr>
        <w:t>学校自主采购活动</w:t>
      </w:r>
      <w:r>
        <w:rPr>
          <w:rFonts w:hint="eastAsia" w:ascii="仿宋_GB2312" w:hAnsi="微软雅黑" w:eastAsia="仿宋_GB2312"/>
          <w:sz w:val="24"/>
          <w:szCs w:val="24"/>
        </w:rPr>
        <w:t>中</w:t>
      </w:r>
      <w:r>
        <w:rPr>
          <w:rFonts w:hint="eastAsia" w:ascii="仿宋_GB2312" w:eastAsia="仿宋_GB2312" w:hAnsiTheme="minorEastAsia"/>
          <w:sz w:val="24"/>
          <w:szCs w:val="24"/>
        </w:rPr>
        <w:t>，</w:t>
      </w:r>
      <w:r>
        <w:rPr>
          <w:rFonts w:hint="eastAsia" w:ascii="仿宋_GB2312" w:hAnsi="微软雅黑" w:eastAsia="仿宋_GB2312"/>
          <w:sz w:val="24"/>
          <w:szCs w:val="24"/>
        </w:rPr>
        <w:t>国资处、采购代理机构认为供应商质疑不成立，或者成立但未对中标、成交结果构成影响的，继续开展采购活动；认为供应商质疑成立且影响或者可能影响中标、成交结果的，按照下列情况处理：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（一）对采购文件提出的质疑，依法通过澄清或者修改可以继续开展采购活动的，澄清或者修改采购文件后继续开展采购活动；否则应当修改采购文件后重新开展采购活动。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sz w:val="30"/>
          <w:szCs w:val="30"/>
        </w:rPr>
      </w:pPr>
    </w:p>
    <w:p>
      <w:pPr>
        <w:spacing w:line="560" w:lineRule="exact"/>
        <w:jc w:val="center"/>
        <w:rPr>
          <w:rFonts w:ascii="黑体" w:hAnsi="黑体" w:eastAsia="黑体" w:cs="宋体"/>
          <w:b/>
          <w:sz w:val="30"/>
          <w:szCs w:val="30"/>
        </w:rPr>
      </w:pPr>
      <w:r>
        <w:rPr>
          <w:rFonts w:hint="eastAsia" w:ascii="黑体" w:hAnsi="黑体" w:eastAsia="黑体" w:cs="宋体"/>
          <w:b/>
          <w:sz w:val="30"/>
          <w:szCs w:val="30"/>
        </w:rPr>
        <w:t>第四章  投诉的提起</w:t>
      </w:r>
    </w:p>
    <w:p>
      <w:pPr>
        <w:spacing w:line="560" w:lineRule="exact"/>
        <w:ind w:firstLine="600" w:firstLineChars="200"/>
        <w:rPr>
          <w:rFonts w:ascii="仿宋_GB2312" w:eastAsia="仿宋_GB2312" w:cs="宋体" w:hAnsiTheme="minorEastAsia"/>
          <w:sz w:val="30"/>
          <w:szCs w:val="30"/>
        </w:rPr>
      </w:pPr>
    </w:p>
    <w:p>
      <w:pPr>
        <w:spacing w:line="560" w:lineRule="exact"/>
        <w:ind w:firstLine="482" w:firstLineChars="200"/>
        <w:rPr>
          <w:rFonts w:ascii="仿宋_GB2312" w:hAnsi="宋体" w:eastAsia="仿宋_GB2312" w:cs="宋体"/>
          <w:sz w:val="24"/>
          <w:szCs w:val="24"/>
        </w:rPr>
      </w:pPr>
      <w:r>
        <w:rPr>
          <w:rFonts w:hint="eastAsia" w:ascii="仿宋_GB2312" w:eastAsia="仿宋_GB2312"/>
          <w:b/>
          <w:sz w:val="24"/>
          <w:szCs w:val="24"/>
        </w:rPr>
        <w:t>第二十三条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质疑供应商对国资处、采购代理机构的答复不满意，或者</w:t>
      </w:r>
      <w:bookmarkStart w:id="141" w:name="OLE_LINK76"/>
      <w:bookmarkStart w:id="142" w:name="OLE_LINK77"/>
      <w:bookmarkStart w:id="143" w:name="OLE_LINK78"/>
      <w:r>
        <w:rPr>
          <w:rFonts w:hint="eastAsia" w:ascii="仿宋_GB2312" w:hAnsi="微软雅黑" w:eastAsia="仿宋_GB2312"/>
          <w:sz w:val="24"/>
          <w:szCs w:val="24"/>
        </w:rPr>
        <w:t>国资处、采购代理机构</w:t>
      </w:r>
      <w:bookmarkEnd w:id="141"/>
      <w:bookmarkEnd w:id="142"/>
      <w:bookmarkEnd w:id="143"/>
      <w:r>
        <w:rPr>
          <w:rFonts w:hint="eastAsia" w:ascii="仿宋_GB2312" w:hAnsi="微软雅黑" w:eastAsia="仿宋_GB2312"/>
          <w:sz w:val="24"/>
          <w:szCs w:val="24"/>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sz w:val="24"/>
          <w:szCs w:val="24"/>
        </w:rPr>
        <w:t> </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eastAsia="仿宋_GB2312"/>
          <w:b/>
          <w:sz w:val="24"/>
          <w:szCs w:val="24"/>
        </w:rPr>
        <w:t>第二十四条</w:t>
      </w:r>
      <w:r>
        <w:rPr>
          <w:rFonts w:hint="eastAsia" w:ascii="仿宋_GB2312" w:eastAsia="仿宋_GB2312"/>
          <w:sz w:val="24"/>
          <w:szCs w:val="24"/>
        </w:rPr>
        <w:t xml:space="preserve">  学校</w:t>
      </w:r>
      <w:r>
        <w:rPr>
          <w:rFonts w:hint="eastAsia" w:ascii="仿宋_GB2312" w:eastAsia="仿宋_GB2312" w:hAnsiTheme="minorEastAsia"/>
          <w:sz w:val="24"/>
          <w:szCs w:val="24"/>
        </w:rPr>
        <w:t>自主</w:t>
      </w:r>
      <w:r>
        <w:rPr>
          <w:rFonts w:hint="eastAsia" w:ascii="仿宋_GB2312" w:eastAsia="仿宋_GB2312"/>
          <w:sz w:val="24"/>
          <w:szCs w:val="24"/>
        </w:rPr>
        <w:t>采购活动中，</w:t>
      </w:r>
      <w:r>
        <w:rPr>
          <w:rFonts w:hint="eastAsia" w:ascii="仿宋_GB2312" w:hAnsi="微软雅黑" w:eastAsia="仿宋_GB2312"/>
          <w:sz w:val="24"/>
          <w:szCs w:val="24"/>
        </w:rPr>
        <w:t>投诉人投诉时,应当提交投诉书和必要的证明材料。投诉书应当包括下列内容：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（一）投诉人和被投诉人的姓名或者名称、投诉人的通讯地址、邮编、联系人及联系电话；</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（二）质疑和质疑答复情况说明及相关证明材料；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（三）具体、明确的投诉事项和与投诉事项相关的投诉请求；</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（四）事实依据；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（五）法律依据；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（六）提起投诉的日期。</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投诉人为自然人的，应当由本人签字；投诉人为法人或者其他组织的，应当由法定代表人、主要负责人，或者其授权代表签字或者盖章，并加盖公章。</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第二十五条</w:t>
      </w:r>
      <w:r>
        <w:rPr>
          <w:rFonts w:hint="eastAsia" w:ascii="仿宋_GB2312" w:hAnsi="微软雅黑" w:eastAsia="仿宋_GB2312"/>
          <w:sz w:val="24"/>
          <w:szCs w:val="24"/>
        </w:rPr>
        <w:t xml:space="preserve">  投诉人应当根据本办法第七条规定的信息内容，并按照其规定的方式提起投诉。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投诉人提起投诉应当符合下列条件：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（一）提起投诉前已依法、依规进行质疑；</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（二）投诉书内容符合本办法的规定；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（三）在投诉有效期限内提起投诉；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（四）同一投诉事项未经投诉处理。</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第二十六条</w:t>
      </w:r>
      <w:r>
        <w:rPr>
          <w:rFonts w:hint="eastAsia" w:ascii="仿宋_GB2312" w:hAnsi="微软雅黑" w:eastAsia="仿宋_GB2312"/>
          <w:sz w:val="24"/>
          <w:szCs w:val="24"/>
        </w:rPr>
        <w:t xml:space="preserve">  供应商投诉的事项不得超出已质疑事项的范围，但基于质疑答复内容提出的投诉事项除外。</w:t>
      </w:r>
    </w:p>
    <w:p>
      <w:pPr>
        <w:pStyle w:val="19"/>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sz w:val="30"/>
          <w:szCs w:val="30"/>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第五章 </w:t>
      </w:r>
      <w:r>
        <w:rPr>
          <w:rStyle w:val="24"/>
          <w:rFonts w:hint="eastAsia" w:ascii="微软雅黑" w:hAnsi="微软雅黑" w:eastAsia="黑体"/>
          <w:sz w:val="30"/>
          <w:szCs w:val="30"/>
        </w:rPr>
        <w:t> </w:t>
      </w:r>
      <w:r>
        <w:rPr>
          <w:rStyle w:val="24"/>
          <w:rFonts w:hint="eastAsia" w:ascii="黑体" w:hAnsi="黑体" w:eastAsia="黑体"/>
          <w:sz w:val="30"/>
          <w:szCs w:val="30"/>
        </w:rPr>
        <w:t>投诉的处理</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第二十七条</w:t>
      </w:r>
      <w:r>
        <w:rPr>
          <w:rFonts w:hint="eastAsia" w:ascii="仿宋_GB2312" w:hAnsi="微软雅黑" w:eastAsia="仿宋_GB2312"/>
          <w:sz w:val="24"/>
          <w:szCs w:val="24"/>
        </w:rPr>
        <w:t xml:space="preserve">  监察处收到投诉书后，应当在5个工作日内进行审查，审查后按照下列情况处理：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（二）投诉不符合本办法第二十五条规定条件的，应当在3个工作日内书面告知投诉人不予受理，并说明理由。</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（三）投诉不属于本部门管辖的，应当在3个工作日内书面告知投诉人向有管辖权的部门提起投诉。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（四）投诉符合本办法第二十四条、第二十五条规定的，自收到投诉书之日起即为受理，并在收到投诉后8个工作日内向被投诉人和其他与投诉事项有关的当事人发出投诉答复通知书及投诉书副本。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第二十八条</w:t>
      </w:r>
      <w:r>
        <w:rPr>
          <w:rFonts w:hint="eastAsia" w:ascii="仿宋_GB2312" w:hAnsi="微软雅黑" w:eastAsia="仿宋_GB2312"/>
          <w:sz w:val="24"/>
          <w:szCs w:val="24"/>
        </w:rPr>
        <w:t xml:space="preserve">  国资处和其他与投诉事项有关的当事人应当在收到投诉答复通知书及投诉书副本之日起5个工作日内，以书面形式向监察处作出说明，并提交相关证据、依据和其他有关材料。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第二十九条</w:t>
      </w:r>
      <w:r>
        <w:rPr>
          <w:rFonts w:hint="eastAsia" w:ascii="仿宋_GB2312" w:hAnsi="微软雅黑" w:eastAsia="仿宋_GB2312"/>
          <w:sz w:val="24"/>
          <w:szCs w:val="24"/>
        </w:rPr>
        <w:t xml:space="preserve">  监察处处理投诉事项原则上采用书面审查的方式。监察处认为有必要时，可以进行调查取证或者组织质证。</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第三十条</w:t>
      </w:r>
      <w:r>
        <w:rPr>
          <w:rFonts w:hint="eastAsia" w:ascii="仿宋_GB2312" w:hAnsi="微软雅黑" w:eastAsia="仿宋_GB2312"/>
          <w:sz w:val="24"/>
          <w:szCs w:val="24"/>
        </w:rPr>
        <w:t xml:space="preserve">  监察处可以根据法律、法规规定或者职责权限，委托相关单位或者第三方开展调查取证、检验、检测、鉴定。</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质证应当通知相关当事人到场，并制作质证笔录。质证笔录应当由当事人签字确认。</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第三十一条</w:t>
      </w:r>
      <w:r>
        <w:rPr>
          <w:rFonts w:hint="eastAsia" w:ascii="仿宋_GB2312" w:hAnsi="微软雅黑" w:eastAsia="仿宋_GB2312"/>
          <w:sz w:val="24"/>
          <w:szCs w:val="24"/>
        </w:rPr>
        <w:t xml:space="preserve">  监察处依法、依规进行调查取证时，投诉人、国资处以及与投诉事项有关的部门及人员应当如实反映情况，并提供监察处所需要的相关材料。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第三十二条</w:t>
      </w:r>
      <w:r>
        <w:rPr>
          <w:rFonts w:hint="eastAsia" w:ascii="仿宋_GB2312" w:hAnsi="微软雅黑" w:eastAsia="仿宋_GB2312"/>
          <w:sz w:val="24"/>
          <w:szCs w:val="24"/>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第三十三条</w:t>
      </w:r>
      <w:r>
        <w:rPr>
          <w:rFonts w:hint="eastAsia" w:ascii="仿宋_GB2312" w:hAnsi="微软雅黑" w:eastAsia="仿宋_GB2312"/>
          <w:sz w:val="24"/>
          <w:szCs w:val="24"/>
        </w:rPr>
        <w:t xml:space="preserve">  监察处应当自收到投诉之日起30个工作日内，对投诉事项作出处理决定。</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第三十四条</w:t>
      </w:r>
      <w:r>
        <w:rPr>
          <w:rFonts w:hint="eastAsia" w:ascii="仿宋_GB2312" w:hAnsi="微软雅黑" w:eastAsia="仿宋_GB2312"/>
          <w:sz w:val="24"/>
          <w:szCs w:val="24"/>
        </w:rPr>
        <w:t xml:space="preserve">  监察处处理投诉事项，需要检验、检测、鉴定、专家评审以及需要投诉人补正材料的，所需时间不计算在投诉处理期限内。</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前款所称所需时间，是指监察处向相关单位、第三方、投诉人发出相关文书、补正通知之日至收到相关反馈文书或材料之日。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监察处向相关单位、第三方开展检验、检测、鉴定、专家评审的，应当将所需时间告知投诉人。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第三十五条</w:t>
      </w:r>
      <w:r>
        <w:rPr>
          <w:rFonts w:hint="eastAsia" w:ascii="仿宋_GB2312" w:hAnsi="微软雅黑" w:eastAsia="仿宋_GB2312"/>
          <w:sz w:val="24"/>
          <w:szCs w:val="24"/>
        </w:rPr>
        <w:t xml:space="preserve">  监察处在处理投诉事项期间，可以视具体情况书面通知国资处暂停采购活动，暂停采购活动时间最长不得超过30日。</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国资处收到暂停采购活动通知后应当立即中止采购活动，在法定的暂停期限结束前或者监察处发出恢复采购活动通知前，不得进行该项采购活动。</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第三十六条</w:t>
      </w:r>
      <w:r>
        <w:rPr>
          <w:rFonts w:hint="eastAsia" w:ascii="仿宋_GB2312" w:hAnsi="微软雅黑" w:eastAsia="仿宋_GB2312"/>
          <w:sz w:val="24"/>
          <w:szCs w:val="24"/>
        </w:rPr>
        <w:t xml:space="preserve">  投诉处理过程中，有下列情形之一的，监察处应当驳回投诉：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（一）受理后发现投诉不符合受理条件；</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（二）投诉事项缺乏事实依据，投诉事项不成立；</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（三）投诉人捏造事实或者提供虚假材料；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（四）投诉人以非法手段取得证明材料。证据来源的合法性存在明显疑问，投诉人无法证明其取得方式合法的，视为以非法手段取得证明材料。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第三十七条</w:t>
      </w:r>
      <w:r>
        <w:rPr>
          <w:rFonts w:hint="eastAsia" w:ascii="仿宋_GB2312" w:hAnsi="微软雅黑" w:eastAsia="仿宋_GB2312"/>
          <w:sz w:val="24"/>
          <w:szCs w:val="24"/>
        </w:rPr>
        <w:t xml:space="preserve">  监察处受理投诉后,投诉人书面申请撤回投诉的，监察处应当终止投诉处理程序，并书面告知相关当事人。</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第三十八条</w:t>
      </w:r>
      <w:r>
        <w:rPr>
          <w:rFonts w:hint="eastAsia" w:ascii="仿宋_GB2312" w:hAnsi="微软雅黑" w:eastAsia="仿宋_GB2312"/>
          <w:sz w:val="24"/>
          <w:szCs w:val="24"/>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第三十九条</w:t>
      </w:r>
      <w:bookmarkStart w:id="144" w:name="OLE_LINK13"/>
      <w:bookmarkStart w:id="145" w:name="OLE_LINK12"/>
      <w:bookmarkStart w:id="146" w:name="OLE_LINK11"/>
      <w:r>
        <w:rPr>
          <w:rFonts w:hint="eastAsia" w:ascii="仿宋_GB2312" w:hAnsi="微软雅黑" w:eastAsia="仿宋_GB2312"/>
          <w:sz w:val="24"/>
          <w:szCs w:val="24"/>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44"/>
      <w:bookmarkEnd w:id="145"/>
      <w:bookmarkEnd w:id="146"/>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bookmarkStart w:id="147" w:name="OLE_LINK15"/>
      <w:bookmarkStart w:id="148" w:name="OLE_LINK14"/>
      <w:r>
        <w:rPr>
          <w:rFonts w:hint="eastAsia" w:ascii="仿宋_GB2312" w:hAnsi="微软雅黑" w:eastAsia="仿宋_GB2312"/>
          <w:sz w:val="24"/>
          <w:szCs w:val="24"/>
        </w:rPr>
        <w:t>（一）未确定中标或者成交供应商的，责令重新开展采购活动。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（四）采购合同已经履行，给他人造成损失的，相关当事人可依法提起诉讼,由责任人承担赔偿责任。</w:t>
      </w:r>
    </w:p>
    <w:bookmarkEnd w:id="147"/>
    <w:bookmarkEnd w:id="148"/>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投诉人对废标行为提起的投诉事项成立的，监察处应当认定废标行为无效。</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第四十条</w:t>
      </w:r>
      <w:r>
        <w:rPr>
          <w:rFonts w:hint="eastAsia" w:ascii="仿宋_GB2312" w:hAnsi="微软雅黑" w:eastAsia="仿宋_GB2312"/>
          <w:sz w:val="24"/>
          <w:szCs w:val="24"/>
        </w:rPr>
        <w:t xml:space="preserve">  监察处作出处理决定，应当制作投诉处理决定书，并加盖公章。投诉处理决定书应当包括下列内容：</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（一）投诉人和被投诉人的姓名或者名称、通讯地址等；</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（二）处理决定查明的事实和相关依据，具体处理决定和法律依据；</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（三）告知相关当事人申请行政复议的权利、行政复议机关和行政复议申请期限，以及提起行政诉讼的权利和起诉期限；</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（四）作出处理决定的日期。</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第四十一条</w:t>
      </w:r>
      <w:r>
        <w:rPr>
          <w:rFonts w:hint="eastAsia" w:ascii="仿宋_GB2312" w:hAnsi="微软雅黑" w:eastAsia="仿宋_GB2312"/>
          <w:sz w:val="24"/>
          <w:szCs w:val="24"/>
        </w:rPr>
        <w:t xml:space="preserve">  监察处应当将投诉处理决定书送达投诉人和与投诉事项有关的当事人，并及时将投诉处理结果在校园网公告。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第四十二条</w:t>
      </w:r>
      <w:r>
        <w:rPr>
          <w:rFonts w:hint="eastAsia" w:ascii="仿宋_GB2312" w:hAnsi="微软雅黑" w:eastAsia="仿宋_GB2312"/>
          <w:sz w:val="24"/>
          <w:szCs w:val="24"/>
        </w:rPr>
        <w:t xml:space="preserve">  监察处应当建立投诉处理档案管理制度。</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Style w:val="24"/>
          <w:rFonts w:ascii="仿宋_GB2312" w:hAnsi="微软雅黑" w:eastAsia="仿宋_GB2312"/>
          <w:sz w:val="24"/>
          <w:szCs w:val="24"/>
        </w:rPr>
      </w:pPr>
    </w:p>
    <w:p>
      <w:pPr>
        <w:pStyle w:val="19"/>
        <w:shd w:val="clear" w:color="auto" w:fill="FFFFFF"/>
        <w:adjustRightInd w:val="0"/>
        <w:snapToGrid w:val="0"/>
        <w:spacing w:before="0" w:beforeAutospacing="0" w:after="0" w:afterAutospacing="0" w:line="560" w:lineRule="exact"/>
        <w:jc w:val="center"/>
        <w:rPr>
          <w:rFonts w:ascii="黑体" w:hAnsi="黑体" w:eastAsia="黑体"/>
          <w:sz w:val="30"/>
          <w:szCs w:val="30"/>
        </w:rPr>
      </w:pPr>
      <w:r>
        <w:rPr>
          <w:rStyle w:val="24"/>
          <w:rFonts w:hint="eastAsia" w:ascii="黑体" w:hAnsi="黑体" w:eastAsia="黑体"/>
          <w:sz w:val="30"/>
          <w:szCs w:val="30"/>
        </w:rPr>
        <w:t xml:space="preserve">第六章 </w:t>
      </w:r>
      <w:r>
        <w:rPr>
          <w:rStyle w:val="24"/>
          <w:rFonts w:hint="eastAsia" w:ascii="微软雅黑" w:hAnsi="微软雅黑" w:eastAsia="黑体"/>
          <w:sz w:val="30"/>
          <w:szCs w:val="30"/>
        </w:rPr>
        <w:t> </w:t>
      </w:r>
      <w:r>
        <w:rPr>
          <w:rStyle w:val="24"/>
          <w:rFonts w:hint="eastAsia" w:ascii="黑体" w:hAnsi="黑体" w:eastAsia="黑体"/>
          <w:sz w:val="30"/>
          <w:szCs w:val="30"/>
        </w:rPr>
        <w:t>法律责任</w:t>
      </w:r>
    </w:p>
    <w:p>
      <w:pPr>
        <w:pStyle w:val="19"/>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sz w:val="30"/>
          <w:szCs w:val="30"/>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第四十三条</w:t>
      </w:r>
      <w:r>
        <w:rPr>
          <w:rFonts w:hint="eastAsia" w:ascii="仿宋_GB2312" w:hAnsi="微软雅黑" w:eastAsia="仿宋_GB2312"/>
          <w:sz w:val="24"/>
          <w:szCs w:val="24"/>
        </w:rPr>
        <w:t xml:space="preserve">  国资处、采购代理机构有下列情形之一的，由监察处责令限期改正；情节严重的，给予警告，对直接负责的主管人员和其他直接责任人员依法依规追究相应责任：</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（一）拒收质疑供应商在质疑期内发出的质疑函；</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（二）对质疑不予答复或者答复与事实明显不符，并不能作出合理说明；</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（三）拒绝配合监察处处理投诉事宜。</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第四十四条</w:t>
      </w:r>
      <w:r>
        <w:rPr>
          <w:rFonts w:hint="eastAsia" w:ascii="仿宋_GB2312" w:hAnsi="微软雅黑" w:eastAsia="仿宋_GB2312"/>
          <w:sz w:val="24"/>
          <w:szCs w:val="24"/>
        </w:rPr>
        <w:t xml:space="preserve">  投诉人在学校采购活动中2年内三次以上投诉查无实据的，列入不良行为记录名单。</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投诉人有下列行为之一的，属于虚假、恶意投诉，由国资处、监察处列入不良行为记录名单，禁止其1至3年内参加学校采购活动：</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（一）捏造事实;</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（二）提供虚假材料;</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r>
        <w:rPr>
          <w:rFonts w:hint="eastAsia" w:ascii="仿宋_GB2312" w:hAnsi="微软雅黑" w:eastAsia="仿宋_GB2312"/>
          <w:sz w:val="24"/>
          <w:szCs w:val="24"/>
        </w:rPr>
        <w:t>（三）以非法手段取得证明材料。证据来源的合法性存在明显疑问，投诉人无法证明其取得方式合法的，视为以非法手段取得证明材料。</w:t>
      </w:r>
    </w:p>
    <w:p>
      <w:pPr>
        <w:spacing w:line="560" w:lineRule="exact"/>
        <w:ind w:firstLine="482" w:firstLineChars="200"/>
        <w:rPr>
          <w:rFonts w:ascii="仿宋_GB2312" w:hAnsi="宋体" w:eastAsia="仿宋_GB2312" w:cs="宋体"/>
          <w:sz w:val="24"/>
          <w:szCs w:val="24"/>
        </w:rPr>
      </w:pPr>
      <w:r>
        <w:rPr>
          <w:rStyle w:val="24"/>
          <w:rFonts w:hint="eastAsia" w:ascii="仿宋_GB2312" w:hAnsi="微软雅黑" w:eastAsia="仿宋_GB2312"/>
          <w:sz w:val="24"/>
          <w:szCs w:val="24"/>
        </w:rPr>
        <w:t xml:space="preserve">第四十五条  </w:t>
      </w:r>
      <w:r>
        <w:rPr>
          <w:rFonts w:hint="eastAsia" w:ascii="仿宋_GB2312" w:hAnsi="宋体" w:eastAsia="仿宋_GB2312" w:cs="宋体"/>
          <w:sz w:val="24"/>
          <w:szCs w:val="24"/>
        </w:rPr>
        <w:t>国资处在处理质疑过程中，发现采购当事人有违法违规行为的，应在规定的权限范围内及时给予处理；无权处理的，应移交有关部门依法依规处理。</w:t>
      </w:r>
    </w:p>
    <w:p>
      <w:pPr>
        <w:spacing w:line="560" w:lineRule="exact"/>
        <w:ind w:firstLine="482" w:firstLineChars="200"/>
        <w:rPr>
          <w:rFonts w:ascii="仿宋_GB2312" w:hAnsi="宋体" w:eastAsia="仿宋_GB2312" w:cs="宋体"/>
          <w:sz w:val="24"/>
          <w:szCs w:val="24"/>
        </w:rPr>
      </w:pPr>
      <w:r>
        <w:rPr>
          <w:rFonts w:hint="eastAsia" w:ascii="仿宋_GB2312" w:hAnsi="宋体" w:eastAsia="仿宋_GB2312" w:cs="宋体"/>
          <w:b/>
          <w:sz w:val="24"/>
          <w:szCs w:val="24"/>
        </w:rPr>
        <w:t>第四十六条</w:t>
      </w:r>
      <w:r>
        <w:rPr>
          <w:rFonts w:hint="eastAsia" w:ascii="仿宋_GB2312" w:hAnsi="宋体" w:eastAsia="仿宋_GB2312" w:cs="宋体"/>
          <w:sz w:val="24"/>
          <w:szCs w:val="24"/>
        </w:rPr>
        <w:t xml:space="preserve">  国资处和监察处的工作人员在处理质疑、投诉过程中违反本办法规定及存在滥用职权、玩忽职守、徇私舞弊等行为的，学校将依法依</w:t>
      </w:r>
      <w:bookmarkStart w:id="149" w:name="OLE_LINK18"/>
      <w:bookmarkStart w:id="150" w:name="OLE_LINK17"/>
      <w:bookmarkStart w:id="151" w:name="OLE_LINK16"/>
      <w:r>
        <w:rPr>
          <w:rFonts w:hint="eastAsia" w:ascii="仿宋_GB2312" w:hAnsi="宋体" w:eastAsia="仿宋_GB2312" w:cs="宋体"/>
          <w:sz w:val="24"/>
          <w:szCs w:val="24"/>
        </w:rPr>
        <w:t>规</w:t>
      </w:r>
      <w:bookmarkEnd w:id="149"/>
      <w:bookmarkEnd w:id="150"/>
      <w:bookmarkEnd w:id="151"/>
      <w:r>
        <w:rPr>
          <w:rFonts w:hint="eastAsia" w:ascii="仿宋_GB2312" w:hAnsi="宋体" w:eastAsia="仿宋_GB2312" w:cs="宋体"/>
          <w:sz w:val="24"/>
          <w:szCs w:val="24"/>
        </w:rPr>
        <w:t>追究其相应责任。</w:t>
      </w:r>
    </w:p>
    <w:p>
      <w:pPr>
        <w:pStyle w:val="19"/>
        <w:shd w:val="clear" w:color="auto" w:fill="FFFFFF"/>
        <w:adjustRightInd w:val="0"/>
        <w:snapToGrid w:val="0"/>
        <w:spacing w:before="0" w:beforeAutospacing="0" w:after="0" w:afterAutospacing="0" w:line="560" w:lineRule="exact"/>
        <w:ind w:firstLine="482" w:firstLineChars="200"/>
        <w:jc w:val="both"/>
        <w:rPr>
          <w:rStyle w:val="24"/>
          <w:rFonts w:ascii="仿宋_GB2312" w:hAnsi="微软雅黑" w:eastAsia="仿宋_GB2312"/>
          <w:sz w:val="24"/>
          <w:szCs w:val="24"/>
        </w:rPr>
      </w:pPr>
      <w:r>
        <w:rPr>
          <w:rStyle w:val="24"/>
          <w:rFonts w:hint="eastAsia" w:ascii="仿宋_GB2312" w:hAnsi="微软雅黑" w:eastAsia="仿宋_GB2312"/>
          <w:sz w:val="24"/>
          <w:szCs w:val="24"/>
        </w:rPr>
        <w:t>　</w:t>
      </w:r>
    </w:p>
    <w:p>
      <w:pPr>
        <w:pStyle w:val="19"/>
        <w:shd w:val="clear" w:color="auto" w:fill="FFFFFF"/>
        <w:adjustRightInd w:val="0"/>
        <w:snapToGrid w:val="0"/>
        <w:spacing w:before="0" w:beforeAutospacing="0" w:after="0" w:afterAutospacing="0" w:line="560" w:lineRule="exact"/>
        <w:jc w:val="center"/>
        <w:rPr>
          <w:rStyle w:val="24"/>
          <w:rFonts w:ascii="黑体" w:hAnsi="黑体" w:eastAsia="黑体"/>
          <w:sz w:val="24"/>
          <w:szCs w:val="24"/>
        </w:rPr>
      </w:pPr>
      <w:r>
        <w:rPr>
          <w:rStyle w:val="24"/>
          <w:rFonts w:hint="eastAsia" w:ascii="黑体" w:hAnsi="黑体" w:eastAsia="黑体"/>
          <w:sz w:val="24"/>
          <w:szCs w:val="24"/>
        </w:rPr>
        <w:t xml:space="preserve">第七章 </w:t>
      </w:r>
      <w:r>
        <w:rPr>
          <w:rStyle w:val="24"/>
          <w:rFonts w:hint="eastAsia" w:ascii="微软雅黑" w:hAnsi="微软雅黑" w:eastAsia="黑体"/>
          <w:sz w:val="24"/>
          <w:szCs w:val="24"/>
        </w:rPr>
        <w:t> </w:t>
      </w:r>
      <w:r>
        <w:rPr>
          <w:rStyle w:val="24"/>
          <w:rFonts w:hint="eastAsia" w:ascii="黑体" w:hAnsi="黑体" w:eastAsia="黑体"/>
          <w:sz w:val="24"/>
          <w:szCs w:val="24"/>
        </w:rPr>
        <w:t>附则</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b/>
          <w:sz w:val="24"/>
          <w:szCs w:val="24"/>
        </w:rPr>
      </w:pP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第四十七条</w:t>
      </w:r>
      <w:r>
        <w:rPr>
          <w:rFonts w:hint="eastAsia" w:ascii="仿宋_GB2312" w:hAnsi="微软雅黑" w:eastAsia="仿宋_GB2312"/>
          <w:sz w:val="24"/>
          <w:szCs w:val="24"/>
        </w:rPr>
        <w:t xml:space="preserve">  质疑函和投诉书应当使用中文。质疑和投诉文本采用我校制定的范本。</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第四十八条</w:t>
      </w:r>
      <w:r>
        <w:rPr>
          <w:rFonts w:hint="eastAsia" w:ascii="仿宋_GB2312" w:hAnsi="微软雅黑" w:eastAsia="仿宋_GB2312"/>
          <w:sz w:val="24"/>
          <w:szCs w:val="24"/>
        </w:rPr>
        <w:t xml:space="preserve">  本办法由学校国有资产管理处负责解释。</w:t>
      </w:r>
    </w:p>
    <w:p>
      <w:pPr>
        <w:pStyle w:val="19"/>
        <w:shd w:val="clear" w:color="auto" w:fill="FFFFFF"/>
        <w:adjustRightInd w:val="0"/>
        <w:snapToGrid w:val="0"/>
        <w:spacing w:before="0" w:beforeAutospacing="0" w:after="0" w:afterAutospacing="0" w:line="560" w:lineRule="exact"/>
        <w:ind w:firstLine="482" w:firstLineChars="200"/>
        <w:jc w:val="both"/>
        <w:rPr>
          <w:rFonts w:ascii="仿宋_GB2312" w:hAnsi="微软雅黑" w:eastAsia="仿宋_GB2312"/>
          <w:sz w:val="24"/>
          <w:szCs w:val="24"/>
        </w:rPr>
      </w:pPr>
      <w:r>
        <w:rPr>
          <w:rFonts w:hint="eastAsia" w:ascii="仿宋_GB2312" w:hAnsi="微软雅黑" w:eastAsia="仿宋_GB2312"/>
          <w:b/>
          <w:sz w:val="24"/>
          <w:szCs w:val="24"/>
        </w:rPr>
        <w:t xml:space="preserve">第四十九条  </w:t>
      </w:r>
      <w:r>
        <w:rPr>
          <w:rFonts w:hint="eastAsia" w:ascii="仿宋_GB2312" w:hAnsi="微软雅黑" w:eastAsia="仿宋_GB2312"/>
          <w:sz w:val="24"/>
          <w:szCs w:val="24"/>
        </w:rPr>
        <w:t>本办法自发布之日起施行。</w:t>
      </w:r>
    </w:p>
    <w:p>
      <w:pPr>
        <w:pStyle w:val="19"/>
        <w:shd w:val="clear" w:color="auto" w:fill="FFFFFF"/>
        <w:adjustRightInd w:val="0"/>
        <w:snapToGrid w:val="0"/>
        <w:spacing w:before="0" w:beforeAutospacing="0" w:after="0" w:afterAutospacing="0" w:line="560" w:lineRule="exact"/>
        <w:ind w:firstLine="480" w:firstLineChars="200"/>
        <w:jc w:val="both"/>
        <w:rPr>
          <w:rFonts w:ascii="仿宋_GB2312" w:hAnsi="微软雅黑" w:eastAsia="仿宋_GB2312"/>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24"/>
          <w:szCs w:val="24"/>
        </w:rPr>
      </w:pPr>
      <w:r>
        <w:rPr>
          <w:rFonts w:hint="eastAsia" w:ascii="仿宋" w:hAnsi="仿宋" w:eastAsia="仿宋" w:cs="仿宋"/>
          <w:b/>
          <w:bCs/>
          <w:sz w:val="24"/>
          <w:szCs w:val="24"/>
        </w:rPr>
        <w:t>质疑函范本</w:t>
      </w:r>
    </w:p>
    <w:p>
      <w:pPr>
        <w:adjustRightInd w:val="0"/>
        <w:snapToGrid w:val="0"/>
        <w:spacing w:beforeLines="100" w:line="360" w:lineRule="auto"/>
        <w:rPr>
          <w:rFonts w:ascii="黑体" w:hAnsi="黑体" w:eastAsia="黑体" w:cs="仿宋"/>
          <w:bCs/>
          <w:sz w:val="24"/>
          <w:szCs w:val="24"/>
        </w:rPr>
      </w:pPr>
      <w:r>
        <w:rPr>
          <w:rFonts w:hint="eastAsia" w:ascii="黑体" w:hAnsi="黑体" w:eastAsia="黑体" w:cs="仿宋"/>
          <w:bCs/>
          <w:sz w:val="24"/>
          <w:szCs w:val="24"/>
        </w:rPr>
        <w:t>一、质疑供应商基本信息</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质疑供应商：</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联系人：</w:t>
      </w:r>
      <w:r>
        <w:rPr>
          <w:rFonts w:hint="eastAsia" w:ascii="仿宋" w:hAnsi="仿宋" w:eastAsia="仿宋" w:cs="仿宋"/>
          <w:sz w:val="24"/>
          <w:szCs w:val="24"/>
          <w:u w:val="dotted"/>
        </w:rPr>
        <w:t xml:space="preserve">                      </w:t>
      </w: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授权代表：</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联系电话：</w:t>
      </w:r>
      <w:r>
        <w:rPr>
          <w:rFonts w:hint="eastAsia" w:ascii="仿宋" w:hAnsi="仿宋" w:eastAsia="仿宋" w:cs="仿宋"/>
          <w:sz w:val="24"/>
          <w:szCs w:val="24"/>
          <w:u w:val="dotted"/>
        </w:rPr>
        <w:t xml:space="preserve">                                           </w:t>
      </w:r>
      <w:r>
        <w:rPr>
          <w:rFonts w:ascii="仿宋" w:hAnsi="仿宋" w:eastAsia="仿宋" w:cs="仿宋"/>
          <w:sz w:val="24"/>
          <w:szCs w:val="24"/>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地址：</w:t>
      </w:r>
      <w:r>
        <w:rPr>
          <w:rFonts w:ascii="仿宋" w:hAnsi="仿宋" w:eastAsia="仿宋" w:cs="仿宋"/>
          <w:sz w:val="24"/>
          <w:szCs w:val="24"/>
        </w:rPr>
        <w:t xml:space="preserve"> </w:t>
      </w:r>
      <w:r>
        <w:rPr>
          <w:rFonts w:hint="eastAsia" w:ascii="仿宋" w:hAnsi="仿宋" w:eastAsia="仿宋" w:cs="仿宋"/>
          <w:sz w:val="24"/>
          <w:szCs w:val="24"/>
          <w:u w:val="dotted"/>
        </w:rPr>
        <w:t xml:space="preserve">                        </w:t>
      </w:r>
      <w:r>
        <w:rPr>
          <w:rFonts w:hint="eastAsia" w:ascii="仿宋" w:hAnsi="仿宋" w:eastAsia="仿宋" w:cs="仿宋"/>
          <w:sz w:val="24"/>
          <w:szCs w:val="24"/>
        </w:rPr>
        <w:t>邮编：</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二、质疑项目基本情况</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质疑项目的编号：</w:t>
      </w:r>
      <w:r>
        <w:rPr>
          <w:rFonts w:hint="eastAsia" w:ascii="仿宋" w:hAnsi="仿宋" w:eastAsia="仿宋" w:cs="仿宋"/>
          <w:sz w:val="24"/>
          <w:szCs w:val="24"/>
          <w:u w:val="dotted"/>
        </w:rPr>
        <w:t xml:space="preserve">               </w:t>
      </w:r>
      <w:r>
        <w:rPr>
          <w:rFonts w:hint="eastAsia" w:ascii="仿宋" w:hAnsi="仿宋" w:eastAsia="仿宋" w:cs="仿宋"/>
          <w:sz w:val="24"/>
          <w:szCs w:val="24"/>
        </w:rPr>
        <w:t>包号：</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采购人名称：</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采购文件获取日期：</w:t>
      </w:r>
      <w:r>
        <w:rPr>
          <w:rFonts w:hint="eastAsia" w:ascii="仿宋" w:hAnsi="仿宋" w:eastAsia="仿宋" w:cs="仿宋"/>
          <w:sz w:val="24"/>
          <w:szCs w:val="24"/>
          <w:u w:val="dotted"/>
        </w:rPr>
        <w:t xml:space="preserve">                                           </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三、质疑事项具体内容</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质疑事项1：</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事实依据：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法律依据：</w:t>
      </w:r>
      <w:r>
        <w:rPr>
          <w:rFonts w:hint="eastAsia" w:ascii="仿宋" w:hAnsi="仿宋" w:eastAsia="仿宋" w:cs="仿宋"/>
          <w:sz w:val="24"/>
          <w:szCs w:val="24"/>
          <w:u w:val="dotted"/>
        </w:rPr>
        <w:t xml:space="preserve">                                          </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u w:val="dotted"/>
        </w:rPr>
        <w:t xml:space="preserve">                                                     </w:t>
      </w:r>
    </w:p>
    <w:p>
      <w:pPr>
        <w:tabs>
          <w:tab w:val="left" w:pos="2175"/>
        </w:tabs>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质疑事项2</w:t>
      </w:r>
      <w:r>
        <w:rPr>
          <w:rFonts w:ascii="仿宋" w:hAnsi="仿宋" w:eastAsia="仿宋" w:cs="仿宋"/>
          <w:sz w:val="24"/>
          <w:szCs w:val="24"/>
        </w:rPr>
        <w:tab/>
      </w:r>
    </w:p>
    <w:p>
      <w:pPr>
        <w:adjustRightInd w:val="0"/>
        <w:snapToGrid w:val="0"/>
        <w:spacing w:line="360" w:lineRule="auto"/>
        <w:rPr>
          <w:rFonts w:ascii="仿宋" w:hAnsi="仿宋" w:eastAsia="仿宋" w:cs="仿宋"/>
          <w:sz w:val="24"/>
          <w:szCs w:val="24"/>
        </w:rPr>
      </w:pPr>
      <w:r>
        <w:rPr>
          <w:rFonts w:hint="eastAsia" w:ascii="仿宋" w:hAnsi="仿宋" w:eastAsia="仿宋" w:cs="仿宋"/>
          <w:sz w:val="24"/>
          <w:szCs w:val="24"/>
        </w:rPr>
        <w:t>……</w:t>
      </w:r>
    </w:p>
    <w:p>
      <w:pPr>
        <w:adjustRightInd w:val="0"/>
        <w:snapToGrid w:val="0"/>
        <w:spacing w:line="360" w:lineRule="auto"/>
        <w:rPr>
          <w:rFonts w:ascii="黑体" w:hAnsi="黑体" w:eastAsia="黑体" w:cs="仿宋"/>
          <w:bCs/>
          <w:sz w:val="24"/>
          <w:szCs w:val="24"/>
        </w:rPr>
      </w:pPr>
      <w:r>
        <w:rPr>
          <w:rFonts w:hint="eastAsia" w:ascii="黑体" w:hAnsi="黑体" w:eastAsia="黑体" w:cs="仿宋"/>
          <w:bCs/>
          <w:sz w:val="24"/>
          <w:szCs w:val="24"/>
        </w:rPr>
        <w:t>四、与质疑事项相关的质疑请求</w:t>
      </w:r>
    </w:p>
    <w:p>
      <w:pPr>
        <w:adjustRightInd w:val="0"/>
        <w:snapToGrid w:val="0"/>
        <w:spacing w:line="360" w:lineRule="auto"/>
        <w:rPr>
          <w:rFonts w:ascii="仿宋" w:hAnsi="仿宋" w:eastAsia="仿宋" w:cs="仿宋"/>
          <w:sz w:val="24"/>
          <w:szCs w:val="24"/>
          <w:u w:val="dotted"/>
        </w:rPr>
      </w:pPr>
      <w:r>
        <w:rPr>
          <w:rFonts w:hint="eastAsia" w:ascii="仿宋" w:hAnsi="仿宋" w:eastAsia="仿宋" w:cs="仿宋"/>
          <w:sz w:val="24"/>
          <w:szCs w:val="24"/>
        </w:rPr>
        <w:t>请求：</w:t>
      </w:r>
      <w:r>
        <w:rPr>
          <w:rFonts w:hint="eastAsia" w:ascii="仿宋" w:hAnsi="仿宋" w:eastAsia="仿宋" w:cs="仿宋"/>
          <w:sz w:val="24"/>
          <w:szCs w:val="24"/>
          <w:u w:val="dotted"/>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adjustRightInd w:val="0"/>
        <w:snapToGrid w:val="0"/>
        <w:spacing w:line="360" w:lineRule="auto"/>
        <w:rPr>
          <w:rFonts w:ascii="仿宋" w:hAnsi="仿宋" w:eastAsia="仿宋" w:cs="仿宋"/>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黑体" w:hAnsi="黑体" w:eastAsia="黑体"/>
          <w:b/>
          <w:sz w:val="32"/>
          <w:szCs w:val="32"/>
        </w:rPr>
      </w:pPr>
      <w:r>
        <w:rPr>
          <w:rFonts w:hint="eastAsia" w:ascii="黑体" w:hAnsi="黑体" w:eastAsia="黑体"/>
          <w:b/>
          <w:sz w:val="32"/>
          <w:szCs w:val="32"/>
        </w:rPr>
        <w:t>质疑函制作说明：</w:t>
      </w:r>
    </w:p>
    <w:p>
      <w:pPr>
        <w:widowControl/>
        <w:ind w:firstLine="480" w:firstLineChars="200"/>
        <w:jc w:val="left"/>
        <w:rPr>
          <w:rFonts w:ascii="仿宋_GB2312" w:eastAsia="仿宋_GB2312"/>
          <w:sz w:val="24"/>
          <w:szCs w:val="24"/>
        </w:rPr>
      </w:pPr>
      <w:r>
        <w:rPr>
          <w:rFonts w:hint="eastAsia" w:ascii="仿宋_GB2312" w:eastAsia="仿宋_GB2312"/>
          <w:sz w:val="24"/>
          <w:szCs w:val="24"/>
        </w:rPr>
        <w:t>1.供应商提出质疑时，应提交质疑函和必要的证明材料。</w:t>
      </w:r>
    </w:p>
    <w:p>
      <w:pPr>
        <w:widowControl/>
        <w:ind w:firstLine="480" w:firstLineChars="200"/>
        <w:jc w:val="left"/>
        <w:rPr>
          <w:rFonts w:ascii="仿宋_GB2312" w:eastAsia="仿宋_GB2312"/>
          <w:sz w:val="24"/>
          <w:szCs w:val="24"/>
        </w:rPr>
      </w:pPr>
      <w:r>
        <w:rPr>
          <w:rFonts w:hint="eastAsia" w:ascii="仿宋_GB2312" w:eastAsia="仿宋_GB2312"/>
          <w:sz w:val="24"/>
          <w:szCs w:val="24"/>
        </w:rPr>
        <w:t>2.质疑供应商若委托代理人进行质疑的，质疑函应按要求列明“授权代表”的有关内容，并在附件中提交由质疑</w:t>
      </w:r>
      <w:r>
        <w:rPr>
          <w:rFonts w:hint="eastAsia" w:ascii="仿宋_GB2312" w:hAnsi="宋体" w:eastAsia="仿宋_GB2312" w:cs="宋体"/>
          <w:kern w:val="0"/>
          <w:sz w:val="24"/>
          <w:szCs w:val="24"/>
        </w:rPr>
        <w:t>供应商签署的授权委托书。授权委托书应载明代理人的姓名或者名称、代理事项、具体权限、期限和相关事项。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3.质疑供应商若对项目的某一分包进行质疑，质疑函中应列明具体分包号。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4.质疑函的质疑事项应具体、明确，并有必要的事实依据和法律依据。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5.质疑函的质疑请求应与质疑事项相关。</w:t>
      </w:r>
    </w:p>
    <w:p>
      <w:pPr>
        <w:adjustRightInd w:val="0"/>
        <w:snapToGrid w:val="0"/>
        <w:spacing w:line="360" w:lineRule="auto"/>
        <w:jc w:val="left"/>
        <w:rPr>
          <w:rFonts w:ascii="仿宋_GB2312" w:eastAsia="仿宋_GB2312"/>
          <w:sz w:val="24"/>
          <w:szCs w:val="24"/>
        </w:rPr>
      </w:pPr>
      <w:r>
        <w:rPr>
          <w:rFonts w:hint="eastAsia" w:ascii="仿宋_GB2312" w:eastAsia="仿宋_GB2312"/>
          <w:sz w:val="24"/>
          <w:szCs w:val="24"/>
        </w:rPr>
        <w:t>6.质疑供应商为自然人的，质疑函应由本人签字；质疑供应商为法人或者其他组织的，质疑函应由法定代表人、主要负责人，或者其授权代表签字或者盖章，并加盖公章。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r>
        <w:rPr>
          <w:rFonts w:ascii="宋体" w:hAnsi="宋体" w:cs="宋体"/>
          <w:b/>
          <w:bCs/>
          <w:kern w:val="36"/>
          <w:sz w:val="24"/>
          <w:szCs w:val="24"/>
        </w:rPr>
        <w:br w:type="page"/>
      </w:r>
    </w:p>
    <w:p>
      <w:pPr>
        <w:rPr>
          <w:rFonts w:asciiTheme="minorEastAsia" w:hAnsiTheme="minorEastAsia" w:eastAsiaTheme="minorEastAsia"/>
          <w:b/>
          <w:sz w:val="30"/>
          <w:szCs w:val="30"/>
        </w:rPr>
      </w:pPr>
      <w:r>
        <w:rPr>
          <w:rFonts w:hint="eastAsia" w:asciiTheme="minorEastAsia" w:hAnsiTheme="minorEastAsia" w:eastAsiaTheme="minorEastAsia"/>
          <w:b/>
          <w:sz w:val="30"/>
          <w:szCs w:val="30"/>
        </w:rPr>
        <w:t>附件3：</w:t>
      </w:r>
    </w:p>
    <w:p>
      <w:pPr>
        <w:jc w:val="center"/>
        <w:rPr>
          <w:rFonts w:ascii="宋体" w:hAnsi="宋体"/>
          <w:b/>
          <w:sz w:val="24"/>
          <w:szCs w:val="24"/>
        </w:rPr>
      </w:pPr>
      <w:r>
        <w:rPr>
          <w:rFonts w:hint="eastAsia" w:ascii="宋体" w:hAnsi="宋体"/>
          <w:b/>
          <w:sz w:val="24"/>
          <w:szCs w:val="24"/>
        </w:rPr>
        <w:t>投诉书范本</w:t>
      </w:r>
    </w:p>
    <w:p>
      <w:pPr>
        <w:rPr>
          <w:rFonts w:ascii="黑体" w:hAnsi="黑体" w:eastAsia="黑体"/>
          <w:sz w:val="24"/>
          <w:szCs w:val="24"/>
        </w:rPr>
      </w:pPr>
      <w:r>
        <w:rPr>
          <w:rFonts w:hint="eastAsia" w:ascii="黑体" w:hAnsi="黑体" w:eastAsia="黑体"/>
          <w:sz w:val="24"/>
          <w:szCs w:val="24"/>
        </w:rPr>
        <w:t>一、投诉相关主体基本情况</w:t>
      </w:r>
    </w:p>
    <w:p>
      <w:pPr>
        <w:rPr>
          <w:rFonts w:ascii="仿宋_GB2312" w:eastAsia="仿宋_GB2312"/>
          <w:sz w:val="24"/>
          <w:szCs w:val="24"/>
          <w:u w:val="dotted"/>
        </w:rPr>
      </w:pPr>
      <w:r>
        <w:rPr>
          <w:rFonts w:hint="eastAsia" w:ascii="仿宋_GB2312" w:eastAsia="仿宋_GB2312"/>
          <w:sz w:val="24"/>
          <w:szCs w:val="24"/>
        </w:rPr>
        <w:t>投诉人：</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tabs>
          <w:tab w:val="left" w:pos="6510"/>
        </w:tabs>
        <w:jc w:val="left"/>
        <w:rPr>
          <w:rFonts w:ascii="仿宋_GB2312" w:eastAsia="仿宋_GB2312"/>
          <w:sz w:val="24"/>
          <w:szCs w:val="24"/>
        </w:rPr>
      </w:pPr>
      <w:r>
        <w:rPr>
          <w:rFonts w:hint="eastAsia" w:ascii="仿宋_GB2312" w:eastAsia="仿宋_GB2312"/>
          <w:sz w:val="24"/>
          <w:szCs w:val="24"/>
        </w:rPr>
        <w:t>法定代表人/主要负责人：</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tabs>
          <w:tab w:val="left" w:pos="6510"/>
        </w:tabs>
        <w:rPr>
          <w:rFonts w:ascii="仿宋_GB2312" w:eastAsia="仿宋_GB2312"/>
          <w:sz w:val="24"/>
          <w:szCs w:val="24"/>
          <w:u w:val="dotted"/>
        </w:rPr>
      </w:pP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授权代表：</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被投诉人1：</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rPr>
      </w:pPr>
      <w:r>
        <w:rPr>
          <w:rFonts w:hint="eastAsia" w:ascii="仿宋_GB2312" w:eastAsia="仿宋_GB2312"/>
          <w:sz w:val="24"/>
          <w:szCs w:val="24"/>
        </w:rPr>
        <w:t>被投诉人2</w:t>
      </w:r>
    </w:p>
    <w:p>
      <w:pPr>
        <w:rPr>
          <w:rFonts w:ascii="仿宋_GB2312" w:eastAsia="仿宋_GB2312"/>
          <w:sz w:val="24"/>
          <w:szCs w:val="24"/>
          <w:u w:val="dotted"/>
        </w:rPr>
      </w:pPr>
      <w:r>
        <w:rPr>
          <w:rFonts w:hint="eastAsia" w:ascii="仿宋_GB2312" w:eastAsia="仿宋_GB2312"/>
          <w:sz w:val="24"/>
          <w:szCs w:val="24"/>
        </w:rPr>
        <w:t>……</w:t>
      </w:r>
    </w:p>
    <w:p>
      <w:pPr>
        <w:rPr>
          <w:rFonts w:ascii="仿宋_GB2312" w:eastAsia="仿宋_GB2312"/>
          <w:sz w:val="24"/>
          <w:szCs w:val="24"/>
          <w:u w:val="single"/>
        </w:rPr>
      </w:pPr>
      <w:r>
        <w:rPr>
          <w:rFonts w:hint="eastAsia" w:ascii="仿宋_GB2312" w:eastAsia="仿宋_GB2312"/>
          <w:sz w:val="24"/>
          <w:szCs w:val="24"/>
        </w:rPr>
        <w:t>相关供应商：</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地     址：</w:t>
      </w:r>
      <w:r>
        <w:rPr>
          <w:rFonts w:hint="eastAsia" w:ascii="仿宋_GB2312" w:eastAsia="仿宋_GB2312"/>
          <w:sz w:val="24"/>
          <w:szCs w:val="24"/>
          <w:u w:val="dotted"/>
        </w:rPr>
        <w:t xml:space="preserve">                             </w:t>
      </w:r>
      <w:r>
        <w:rPr>
          <w:rFonts w:hint="eastAsia" w:ascii="仿宋_GB2312" w:eastAsia="仿宋_GB2312"/>
          <w:sz w:val="24"/>
          <w:szCs w:val="24"/>
        </w:rPr>
        <w:t>邮编：</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联系人：</w:t>
      </w:r>
      <w:r>
        <w:rPr>
          <w:rFonts w:hint="eastAsia" w:ascii="仿宋_GB2312" w:eastAsia="仿宋_GB2312"/>
          <w:sz w:val="24"/>
          <w:szCs w:val="24"/>
          <w:u w:val="dotted"/>
        </w:rPr>
        <w:t xml:space="preserve">               </w:t>
      </w:r>
      <w:r>
        <w:rPr>
          <w:rFonts w:hint="eastAsia" w:ascii="仿宋_GB2312" w:eastAsia="仿宋_GB2312"/>
          <w:sz w:val="24"/>
          <w:szCs w:val="24"/>
        </w:rPr>
        <w:t>联系电话：</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黑体" w:hAnsi="黑体" w:eastAsia="黑体"/>
          <w:sz w:val="24"/>
          <w:szCs w:val="24"/>
        </w:rPr>
      </w:pPr>
      <w:r>
        <w:rPr>
          <w:rFonts w:hint="eastAsia" w:ascii="黑体" w:hAnsi="黑体" w:eastAsia="黑体"/>
          <w:sz w:val="24"/>
          <w:szCs w:val="24"/>
        </w:rPr>
        <w:t>二、投诉项目基本情况</w:t>
      </w:r>
    </w:p>
    <w:p>
      <w:pPr>
        <w:rPr>
          <w:rFonts w:ascii="仿宋_GB2312" w:eastAsia="仿宋_GB2312"/>
          <w:sz w:val="24"/>
          <w:szCs w:val="24"/>
          <w:u w:val="dotted"/>
        </w:rPr>
      </w:pPr>
      <w:r>
        <w:rPr>
          <w:rFonts w:hint="eastAsia" w:ascii="仿宋_GB2312" w:eastAsia="仿宋_GB2312"/>
          <w:sz w:val="24"/>
          <w:szCs w:val="24"/>
        </w:rPr>
        <w:t>采购项目名称：</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采购项目编号：</w:t>
      </w:r>
      <w:r>
        <w:rPr>
          <w:rFonts w:hint="eastAsia" w:ascii="仿宋_GB2312" w:eastAsia="仿宋_GB2312"/>
          <w:sz w:val="24"/>
          <w:szCs w:val="24"/>
          <w:u w:val="dotted"/>
        </w:rPr>
        <w:t xml:space="preserve">                 </w:t>
      </w:r>
      <w:r>
        <w:rPr>
          <w:rFonts w:hint="eastAsia" w:ascii="仿宋_GB2312" w:eastAsia="仿宋_GB2312"/>
          <w:sz w:val="24"/>
          <w:szCs w:val="24"/>
        </w:rPr>
        <w:t>包号：</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采购人名称：</w:t>
      </w:r>
      <w:r>
        <w:rPr>
          <w:rFonts w:hint="eastAsia" w:ascii="仿宋_GB2312" w:eastAsia="仿宋_GB2312"/>
          <w:sz w:val="24"/>
          <w:szCs w:val="24"/>
          <w:u w:val="dotted"/>
        </w:rPr>
        <w:t xml:space="preserve">                                           </w:t>
      </w:r>
      <w:r>
        <w:rPr>
          <w:rFonts w:hint="eastAsia" w:ascii="仿宋_GB2312" w:eastAsia="仿宋_GB2312"/>
          <w:sz w:val="24"/>
          <w:szCs w:val="24"/>
          <w:u w:val="single"/>
        </w:rPr>
        <w:t xml:space="preserve">  </w:t>
      </w:r>
    </w:p>
    <w:p>
      <w:pPr>
        <w:rPr>
          <w:rFonts w:ascii="仿宋_GB2312" w:eastAsia="仿宋_GB2312"/>
          <w:sz w:val="24"/>
          <w:szCs w:val="24"/>
          <w:u w:val="single"/>
        </w:rPr>
      </w:pPr>
      <w:r>
        <w:rPr>
          <w:rFonts w:hint="eastAsia" w:ascii="仿宋_GB2312" w:eastAsia="仿宋_GB2312"/>
          <w:sz w:val="24"/>
          <w:szCs w:val="24"/>
        </w:rPr>
        <w:t>代理机构名称：</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rPr>
        <w:t>采购文件公告: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采购结果公告:</w:t>
      </w:r>
      <w:r>
        <w:rPr>
          <w:rFonts w:hint="eastAsia" w:ascii="仿宋_GB2312" w:eastAsia="仿宋_GB2312"/>
          <w:sz w:val="24"/>
          <w:szCs w:val="24"/>
          <w:u w:val="dotted"/>
        </w:rPr>
        <w:t xml:space="preserve">是/否 </w:t>
      </w:r>
      <w:r>
        <w:rPr>
          <w:rFonts w:hint="eastAsia" w:ascii="仿宋_GB2312" w:eastAsia="仿宋_GB2312"/>
          <w:sz w:val="24"/>
          <w:szCs w:val="24"/>
        </w:rPr>
        <w:t>公告期限：</w:t>
      </w:r>
      <w:r>
        <w:rPr>
          <w:rFonts w:hint="eastAsia" w:ascii="仿宋_GB2312" w:eastAsia="仿宋_GB2312"/>
          <w:sz w:val="24"/>
          <w:szCs w:val="24"/>
          <w:u w:val="dotted"/>
        </w:rPr>
        <w:t xml:space="preserve">                        </w:t>
      </w:r>
    </w:p>
    <w:p>
      <w:pPr>
        <w:rPr>
          <w:rFonts w:ascii="黑体" w:hAnsi="黑体" w:eastAsia="黑体"/>
          <w:sz w:val="24"/>
          <w:szCs w:val="24"/>
        </w:rPr>
      </w:pPr>
      <w:r>
        <w:rPr>
          <w:rFonts w:hint="eastAsia" w:ascii="黑体" w:hAnsi="黑体" w:eastAsia="黑体"/>
          <w:sz w:val="24"/>
          <w:szCs w:val="24"/>
        </w:rPr>
        <w:t>三、质疑基本情况</w:t>
      </w:r>
    </w:p>
    <w:p>
      <w:pPr>
        <w:ind w:firstLine="480" w:firstLineChars="200"/>
        <w:rPr>
          <w:rFonts w:ascii="仿宋_GB2312" w:eastAsia="仿宋_GB2312"/>
          <w:sz w:val="24"/>
          <w:szCs w:val="24"/>
          <w:u w:val="dotted"/>
        </w:rPr>
      </w:pPr>
      <w:r>
        <w:rPr>
          <w:rFonts w:hint="eastAsia" w:ascii="仿宋_GB2312" w:eastAsia="仿宋_GB2312"/>
          <w:sz w:val="24"/>
          <w:szCs w:val="24"/>
        </w:rPr>
        <w:t>投诉人于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日,向</w:t>
      </w:r>
      <w:r>
        <w:rPr>
          <w:rFonts w:hint="eastAsia" w:ascii="仿宋_GB2312" w:eastAsia="仿宋_GB2312"/>
          <w:sz w:val="24"/>
          <w:szCs w:val="24"/>
          <w:u w:val="dotted"/>
        </w:rPr>
        <w:t xml:space="preserve">                   </w:t>
      </w:r>
      <w:r>
        <w:rPr>
          <w:rFonts w:hint="eastAsia" w:ascii="仿宋_GB2312" w:eastAsia="仿宋_GB2312"/>
          <w:sz w:val="24"/>
          <w:szCs w:val="24"/>
        </w:rPr>
        <w:t>提出质疑，质疑事项为：</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ind w:firstLine="360" w:firstLineChars="150"/>
        <w:rPr>
          <w:rFonts w:ascii="仿宋_GB2312" w:eastAsia="仿宋_GB2312"/>
          <w:sz w:val="24"/>
          <w:szCs w:val="24"/>
        </w:rPr>
      </w:pPr>
      <w:r>
        <w:rPr>
          <w:rFonts w:hint="eastAsia" w:ascii="仿宋_GB2312" w:eastAsia="仿宋_GB2312"/>
          <w:sz w:val="24"/>
          <w:szCs w:val="24"/>
          <w:u w:val="dotted"/>
        </w:rPr>
        <w:t>采购人/代理机构</w:t>
      </w:r>
      <w:r>
        <w:rPr>
          <w:rFonts w:hint="eastAsia" w:ascii="仿宋_GB2312" w:eastAsia="仿宋_GB2312"/>
          <w:sz w:val="24"/>
          <w:szCs w:val="24"/>
        </w:rPr>
        <w:t>于</w:t>
      </w:r>
      <w:r>
        <w:rPr>
          <w:rFonts w:hint="eastAsia" w:ascii="仿宋_GB2312" w:eastAsia="仿宋_GB2312"/>
          <w:sz w:val="24"/>
          <w:szCs w:val="24"/>
          <w:u w:val="dotted"/>
        </w:rPr>
        <w:t xml:space="preserve">   </w:t>
      </w:r>
      <w:r>
        <w:rPr>
          <w:rFonts w:hint="eastAsia" w:ascii="仿宋_GB2312" w:eastAsia="仿宋_GB2312"/>
          <w:sz w:val="24"/>
          <w:szCs w:val="24"/>
        </w:rPr>
        <w:t>年</w:t>
      </w:r>
      <w:r>
        <w:rPr>
          <w:rFonts w:hint="eastAsia" w:ascii="仿宋_GB2312" w:eastAsia="仿宋_GB2312"/>
          <w:sz w:val="24"/>
          <w:szCs w:val="24"/>
          <w:u w:val="dotted"/>
        </w:rPr>
        <w:t xml:space="preserve">   </w:t>
      </w:r>
      <w:r>
        <w:rPr>
          <w:rFonts w:hint="eastAsia" w:ascii="仿宋_GB2312" w:eastAsia="仿宋_GB2312"/>
          <w:sz w:val="24"/>
          <w:szCs w:val="24"/>
        </w:rPr>
        <w:t>月</w:t>
      </w:r>
      <w:r>
        <w:rPr>
          <w:rFonts w:hint="eastAsia" w:ascii="仿宋_GB2312" w:eastAsia="仿宋_GB2312"/>
          <w:sz w:val="24"/>
          <w:szCs w:val="24"/>
          <w:u w:val="dotted"/>
        </w:rPr>
        <w:t xml:space="preserve">   </w:t>
      </w:r>
      <w:r>
        <w:rPr>
          <w:rFonts w:hint="eastAsia" w:ascii="仿宋_GB2312" w:eastAsia="仿宋_GB2312"/>
          <w:sz w:val="24"/>
          <w:szCs w:val="24"/>
        </w:rPr>
        <w:t>日,就质疑事项作出了答复/没有在法定期限内作出答复。</w:t>
      </w:r>
    </w:p>
    <w:p>
      <w:pPr>
        <w:rPr>
          <w:rFonts w:ascii="黑体" w:hAnsi="黑体" w:eastAsia="黑体"/>
          <w:sz w:val="24"/>
          <w:szCs w:val="24"/>
        </w:rPr>
      </w:pPr>
      <w:r>
        <w:rPr>
          <w:rFonts w:hint="eastAsia" w:ascii="黑体" w:hAnsi="黑体" w:eastAsia="黑体"/>
          <w:sz w:val="24"/>
          <w:szCs w:val="24"/>
        </w:rPr>
        <w:t>四、投诉事项具体内容</w:t>
      </w:r>
    </w:p>
    <w:p>
      <w:pPr>
        <w:rPr>
          <w:rFonts w:ascii="仿宋_GB2312" w:eastAsia="仿宋_GB2312"/>
          <w:sz w:val="24"/>
          <w:szCs w:val="24"/>
          <w:u w:val="single"/>
        </w:rPr>
      </w:pPr>
      <w:r>
        <w:rPr>
          <w:rFonts w:hint="eastAsia" w:ascii="仿宋_GB2312" w:eastAsia="仿宋_GB2312"/>
          <w:sz w:val="24"/>
          <w:szCs w:val="24"/>
        </w:rPr>
        <w:t>投诉事项 1：</w:t>
      </w: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事实依据：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u w:val="single"/>
        </w:rPr>
      </w:pPr>
      <w:r>
        <w:rPr>
          <w:rFonts w:hint="eastAsia" w:ascii="仿宋_GB2312" w:eastAsia="仿宋_GB2312"/>
          <w:sz w:val="24"/>
          <w:szCs w:val="24"/>
        </w:rPr>
        <w:t>法律依据：</w:t>
      </w:r>
      <w:r>
        <w:rPr>
          <w:rFonts w:hint="eastAsia" w:ascii="仿宋_GB2312" w:eastAsia="仿宋_GB2312"/>
          <w:sz w:val="24"/>
          <w:szCs w:val="24"/>
          <w:u w:val="dotted"/>
        </w:rPr>
        <w:t xml:space="preserve">                                          </w:t>
      </w:r>
    </w:p>
    <w:p>
      <w:pPr>
        <w:rPr>
          <w:rFonts w:ascii="仿宋_GB2312" w:eastAsia="仿宋_GB2312"/>
          <w:sz w:val="24"/>
          <w:szCs w:val="24"/>
          <w:u w:val="dotted"/>
        </w:rPr>
      </w:pPr>
      <w:r>
        <w:rPr>
          <w:rFonts w:hint="eastAsia" w:ascii="仿宋_GB2312" w:eastAsia="仿宋_GB2312"/>
          <w:sz w:val="24"/>
          <w:szCs w:val="24"/>
          <w:u w:val="dotted"/>
        </w:rPr>
        <w:t xml:space="preserve">                                                      </w:t>
      </w:r>
    </w:p>
    <w:p>
      <w:pPr>
        <w:rPr>
          <w:rFonts w:ascii="仿宋_GB2312" w:eastAsia="仿宋_GB2312"/>
          <w:sz w:val="24"/>
          <w:szCs w:val="24"/>
        </w:rPr>
      </w:pPr>
      <w:r>
        <w:rPr>
          <w:rFonts w:hint="eastAsia" w:ascii="仿宋_GB2312" w:eastAsia="仿宋_GB2312"/>
          <w:sz w:val="24"/>
          <w:szCs w:val="24"/>
        </w:rPr>
        <w:t>投诉事项2</w:t>
      </w:r>
    </w:p>
    <w:p>
      <w:pPr>
        <w:rPr>
          <w:rFonts w:ascii="仿宋_GB2312" w:eastAsia="仿宋_GB2312"/>
          <w:sz w:val="24"/>
          <w:szCs w:val="24"/>
          <w:u w:val="dotted"/>
        </w:rPr>
      </w:pPr>
      <w:r>
        <w:rPr>
          <w:rFonts w:hint="eastAsia" w:ascii="仿宋_GB2312" w:eastAsia="仿宋_GB2312"/>
          <w:sz w:val="24"/>
          <w:szCs w:val="24"/>
        </w:rPr>
        <w:t>……</w:t>
      </w:r>
    </w:p>
    <w:p>
      <w:pPr>
        <w:rPr>
          <w:rFonts w:ascii="黑体" w:hAnsi="黑体" w:eastAsia="黑体"/>
          <w:sz w:val="24"/>
          <w:szCs w:val="24"/>
        </w:rPr>
      </w:pPr>
      <w:r>
        <w:rPr>
          <w:rFonts w:hint="eastAsia" w:ascii="黑体" w:hAnsi="黑体" w:eastAsia="黑体"/>
          <w:sz w:val="24"/>
          <w:szCs w:val="24"/>
        </w:rPr>
        <w:t>五、与投诉事项相关的投诉请求</w:t>
      </w:r>
    </w:p>
    <w:p>
      <w:pPr>
        <w:rPr>
          <w:rFonts w:ascii="仿宋_GB2312" w:eastAsia="仿宋_GB2312"/>
          <w:sz w:val="24"/>
          <w:szCs w:val="24"/>
        </w:rPr>
      </w:pPr>
      <w:r>
        <w:rPr>
          <w:rFonts w:hint="eastAsia" w:ascii="仿宋_GB2312" w:eastAsia="仿宋_GB2312"/>
          <w:sz w:val="24"/>
          <w:szCs w:val="24"/>
        </w:rPr>
        <w:t>请求：</w:t>
      </w:r>
      <w:r>
        <w:rPr>
          <w:rFonts w:hint="eastAsia" w:ascii="仿宋_GB2312" w:eastAsia="仿宋_GB2312"/>
          <w:sz w:val="24"/>
          <w:szCs w:val="24"/>
          <w:u w:val="dotted"/>
        </w:rPr>
        <w:t xml:space="preserve">                                              </w:t>
      </w:r>
      <w:r>
        <w:rPr>
          <w:rFonts w:hint="eastAsia" w:ascii="仿宋_GB2312" w:eastAsia="仿宋_GB2312"/>
          <w:sz w:val="24"/>
          <w:szCs w:val="24"/>
        </w:rPr>
        <w:t xml:space="preserve"> </w:t>
      </w:r>
    </w:p>
    <w:p>
      <w:pPr>
        <w:rPr>
          <w:rFonts w:ascii="仿宋_GB2312" w:eastAsia="仿宋_GB2312"/>
          <w:sz w:val="24"/>
          <w:szCs w:val="24"/>
          <w:u w:val="single"/>
        </w:rPr>
      </w:pPr>
      <w:r>
        <w:rPr>
          <w:rFonts w:hint="eastAsia" w:ascii="仿宋_GB2312" w:eastAsia="仿宋_GB2312"/>
          <w:sz w:val="24"/>
          <w:szCs w:val="24"/>
        </w:rPr>
        <w:t xml:space="preserve">                                                                                                    </w:t>
      </w:r>
    </w:p>
    <w:p>
      <w:pPr>
        <w:rPr>
          <w:rFonts w:ascii="仿宋_GB2312" w:eastAsia="仿宋_GB2312"/>
          <w:sz w:val="24"/>
          <w:szCs w:val="24"/>
        </w:rPr>
      </w:pPr>
      <w:r>
        <w:rPr>
          <w:rFonts w:hint="eastAsia" w:ascii="仿宋_GB2312" w:eastAsia="仿宋_GB2312"/>
          <w:sz w:val="24"/>
          <w:szCs w:val="24"/>
        </w:rPr>
        <w:t xml:space="preserve">签字(签章)：                   公章：                      </w:t>
      </w:r>
    </w:p>
    <w:p>
      <w:pPr>
        <w:rPr>
          <w:rFonts w:ascii="仿宋_GB2312" w:eastAsia="仿宋_GB2312"/>
          <w:sz w:val="24"/>
          <w:szCs w:val="24"/>
        </w:rPr>
      </w:pPr>
      <w:r>
        <w:rPr>
          <w:rFonts w:hint="eastAsia" w:ascii="仿宋_GB2312" w:eastAsia="仿宋_GB2312"/>
          <w:sz w:val="24"/>
          <w:szCs w:val="24"/>
        </w:rPr>
        <w:t xml:space="preserve">日期：    </w:t>
      </w:r>
    </w:p>
    <w:p>
      <w:pPr>
        <w:rPr>
          <w:rFonts w:ascii="黑体" w:hAnsi="黑体" w:eastAsia="黑体"/>
          <w:b/>
          <w:sz w:val="24"/>
          <w:szCs w:val="24"/>
        </w:rPr>
      </w:pPr>
    </w:p>
    <w:p>
      <w:pPr>
        <w:adjustRightInd w:val="0"/>
        <w:snapToGrid w:val="0"/>
        <w:spacing w:line="360" w:lineRule="auto"/>
        <w:jc w:val="left"/>
        <w:rPr>
          <w:rFonts w:ascii="宋体" w:hAnsi="宋体" w:cs="宋体"/>
          <w:b/>
          <w:bCs/>
          <w:kern w:val="36"/>
          <w:sz w:val="24"/>
          <w:szCs w:val="24"/>
        </w:rPr>
      </w:pPr>
    </w:p>
    <w:p>
      <w:pPr>
        <w:widowControl/>
        <w:jc w:val="left"/>
        <w:rPr>
          <w:rFonts w:ascii="宋体" w:hAnsi="宋体" w:cs="宋体"/>
          <w:b/>
          <w:bCs/>
          <w:kern w:val="36"/>
          <w:sz w:val="24"/>
          <w:szCs w:val="24"/>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480" w:firstLineChars="200"/>
        <w:rPr>
          <w:rFonts w:ascii="仿宋_GB2312" w:hAnsi="宋体" w:eastAsia="仿宋_GB2312" w:cs="宋体"/>
          <w:kern w:val="0"/>
          <w:sz w:val="24"/>
          <w:szCs w:val="24"/>
        </w:rPr>
      </w:pPr>
      <w:r>
        <w:rPr>
          <w:rFonts w:hint="eastAsia" w:ascii="仿宋_GB2312" w:eastAsia="仿宋_GB2312"/>
          <w:sz w:val="24"/>
          <w:szCs w:val="24"/>
        </w:rPr>
        <w:t>1.投诉人提起投诉时，应当提交投诉书和必要的证明材料，并按照被投诉人和与投诉事项有关的供应商数量提供投诉书副本。</w:t>
      </w:r>
    </w:p>
    <w:p>
      <w:pPr>
        <w:widowControl/>
        <w:ind w:firstLine="480" w:firstLineChars="200"/>
        <w:jc w:val="left"/>
        <w:rPr>
          <w:rFonts w:ascii="仿宋_GB2312" w:hAnsi="宋体" w:eastAsia="仿宋_GB2312" w:cs="宋体"/>
          <w:kern w:val="0"/>
          <w:sz w:val="24"/>
          <w:szCs w:val="24"/>
        </w:rPr>
      </w:pPr>
      <w:r>
        <w:rPr>
          <w:rFonts w:hint="eastAsia" w:ascii="仿宋_GB2312" w:eastAsia="仿宋_GB2312"/>
          <w:sz w:val="24"/>
          <w:szCs w:val="24"/>
        </w:rPr>
        <w:t>2.投诉人若委托代理人进行投诉的，投诉书应按照要求列明“授权代表”的有关内容，并在附件中提交由</w:t>
      </w:r>
      <w:r>
        <w:rPr>
          <w:rFonts w:hint="eastAsia" w:ascii="仿宋_GB2312" w:hAnsi="宋体" w:eastAsia="仿宋_GB2312" w:cs="宋体"/>
          <w:kern w:val="0"/>
          <w:sz w:val="24"/>
          <w:szCs w:val="24"/>
        </w:rPr>
        <w:t>投诉人签署的授权委托书。授权委托书应当载明代理人的姓名或者名称、代理事项、具体权限、期限和相关事项。</w:t>
      </w:r>
    </w:p>
    <w:p>
      <w:pPr>
        <w:widowControl/>
        <w:ind w:firstLine="480" w:firstLineChars="200"/>
        <w:jc w:val="left"/>
        <w:rPr>
          <w:rFonts w:ascii="仿宋_GB2312" w:eastAsia="仿宋_GB2312"/>
          <w:sz w:val="24"/>
          <w:szCs w:val="24"/>
        </w:rPr>
      </w:pPr>
      <w:r>
        <w:rPr>
          <w:rFonts w:hint="eastAsia" w:ascii="仿宋_GB2312" w:eastAsia="仿宋_GB2312"/>
          <w:sz w:val="24"/>
          <w:szCs w:val="24"/>
        </w:rPr>
        <w:t>3.投诉人若对项目的某一分包进行投诉，投诉书应列明具体分包号。</w:t>
      </w:r>
    </w:p>
    <w:p>
      <w:pPr>
        <w:widowControl/>
        <w:ind w:firstLine="480" w:firstLineChars="200"/>
        <w:jc w:val="left"/>
        <w:rPr>
          <w:rFonts w:ascii="仿宋_GB2312" w:eastAsia="仿宋_GB2312"/>
          <w:sz w:val="24"/>
          <w:szCs w:val="24"/>
        </w:rPr>
      </w:pPr>
      <w:r>
        <w:rPr>
          <w:rFonts w:hint="eastAsia" w:ascii="仿宋_GB2312" w:eastAsia="仿宋_GB2312"/>
          <w:sz w:val="24"/>
          <w:szCs w:val="24"/>
        </w:rPr>
        <w:t>4.投诉书应简要列明质疑事项，质疑函、质疑答复等作为附件材料提供。</w:t>
      </w:r>
    </w:p>
    <w:p>
      <w:pPr>
        <w:widowControl/>
        <w:ind w:firstLine="480" w:firstLineChars="200"/>
        <w:jc w:val="left"/>
        <w:rPr>
          <w:rFonts w:ascii="仿宋_GB2312" w:eastAsia="仿宋_GB2312"/>
          <w:sz w:val="24"/>
          <w:szCs w:val="24"/>
        </w:rPr>
      </w:pPr>
      <w:r>
        <w:rPr>
          <w:rFonts w:hint="eastAsia" w:ascii="仿宋_GB2312" w:eastAsia="仿宋_GB2312"/>
          <w:sz w:val="24"/>
          <w:szCs w:val="24"/>
        </w:rPr>
        <w:t>5.投诉书的投诉事项应具体、明确，并有必要的事实依据和法律依据。</w:t>
      </w:r>
    </w:p>
    <w:p>
      <w:pPr>
        <w:widowControl/>
        <w:ind w:firstLine="480" w:firstLineChars="200"/>
        <w:jc w:val="left"/>
        <w:rPr>
          <w:rFonts w:ascii="仿宋_GB2312" w:eastAsia="仿宋_GB2312"/>
          <w:sz w:val="24"/>
          <w:szCs w:val="24"/>
        </w:rPr>
      </w:pPr>
      <w:r>
        <w:rPr>
          <w:rFonts w:hint="eastAsia" w:ascii="仿宋_GB2312" w:eastAsia="仿宋_GB2312"/>
          <w:sz w:val="24"/>
          <w:szCs w:val="24"/>
        </w:rPr>
        <w:t>6.投诉书的投诉请求应与投诉事项相关。</w:t>
      </w:r>
    </w:p>
    <w:p>
      <w:pPr>
        <w:adjustRightInd w:val="0"/>
        <w:snapToGrid w:val="0"/>
        <w:spacing w:line="360" w:lineRule="auto"/>
        <w:jc w:val="left"/>
        <w:rPr>
          <w:rFonts w:ascii="宋体" w:hAnsi="宋体" w:cs="宋体"/>
          <w:b/>
          <w:bCs/>
          <w:kern w:val="36"/>
          <w:sz w:val="24"/>
          <w:szCs w:val="24"/>
        </w:rPr>
      </w:pPr>
      <w:r>
        <w:rPr>
          <w:rFonts w:hint="eastAsia" w:ascii="仿宋_GB2312" w:eastAsia="仿宋_GB2312"/>
          <w:sz w:val="24"/>
          <w:szCs w:val="24"/>
        </w:rPr>
        <w:t>7.投诉人为自然人的，投诉书应当由本人签字；投诉人为法人或者其他组织的，投诉书应当由法定代表人、主要负责人，或者其授权代表签字或者盖章，并加盖公章。</w:t>
      </w:r>
    </w:p>
    <w:p>
      <w:pPr>
        <w:adjustRightInd w:val="0"/>
        <w:snapToGrid w:val="0"/>
        <w:spacing w:line="360" w:lineRule="auto"/>
        <w:jc w:val="left"/>
        <w:rPr>
          <w:rFonts w:ascii="宋体" w:hAnsi="宋体" w:cs="宋体"/>
          <w:b/>
          <w:bCs/>
          <w:kern w:val="36"/>
          <w:sz w:val="24"/>
          <w:szCs w:val="24"/>
        </w:rPr>
      </w:pPr>
    </w:p>
    <w:p>
      <w:pPr>
        <w:adjustRightInd w:val="0"/>
        <w:snapToGrid w:val="0"/>
        <w:spacing w:line="500" w:lineRule="atLeast"/>
        <w:ind w:right="520" w:firstLine="480" w:firstLineChars="200"/>
        <w:jc w:val="left"/>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pStyle w:val="2"/>
        <w:rPr>
          <w:rFonts w:cs="宋体"/>
          <w:sz w:val="24"/>
          <w:szCs w:val="24"/>
          <w:shd w:val="clear" w:color="auto" w:fill="FFFFFF"/>
        </w:rPr>
      </w:pPr>
    </w:p>
    <w:p>
      <w:pPr>
        <w:adjustRightInd w:val="0"/>
        <w:snapToGrid w:val="0"/>
        <w:spacing w:line="720" w:lineRule="exact"/>
        <w:jc w:val="left"/>
        <w:rPr>
          <w:rFonts w:eastAsia="方正小标宋简体" w:cs="方正小标宋简体"/>
          <w:color w:val="000000"/>
          <w:kern w:val="0"/>
          <w:sz w:val="30"/>
          <w:szCs w:val="30"/>
        </w:rPr>
      </w:pPr>
      <w:r>
        <w:rPr>
          <w:rFonts w:hint="eastAsia" w:eastAsia="方正小标宋简体" w:cs="方正小标宋简体"/>
          <w:color w:val="000000"/>
          <w:kern w:val="0"/>
          <w:sz w:val="30"/>
          <w:szCs w:val="30"/>
        </w:rPr>
        <w:t>附表1        委托人对咨询人履约行为年度考核表</w:t>
      </w:r>
    </w:p>
    <w:tbl>
      <w:tblPr>
        <w:tblStyle w:val="21"/>
        <w:tblpPr w:leftFromText="180" w:rightFromText="180" w:vertAnchor="text" w:horzAnchor="page" w:tblpX="1911" w:tblpY="303"/>
        <w:tblOverlap w:val="never"/>
        <w:tblW w:w="5008" w:type="pct"/>
        <w:tblInd w:w="0" w:type="dxa"/>
        <w:tblLayout w:type="fixed"/>
        <w:tblCellMar>
          <w:top w:w="0" w:type="dxa"/>
          <w:left w:w="0" w:type="dxa"/>
          <w:bottom w:w="0" w:type="dxa"/>
          <w:right w:w="0" w:type="dxa"/>
        </w:tblCellMar>
      </w:tblPr>
      <w:tblGrid>
        <w:gridCol w:w="489"/>
        <w:gridCol w:w="745"/>
        <w:gridCol w:w="4518"/>
        <w:gridCol w:w="1137"/>
        <w:gridCol w:w="734"/>
        <w:gridCol w:w="913"/>
      </w:tblGrid>
      <w:tr>
        <w:tblPrEx>
          <w:tblCellMar>
            <w:top w:w="0" w:type="dxa"/>
            <w:left w:w="0" w:type="dxa"/>
            <w:bottom w:w="0" w:type="dxa"/>
            <w:right w:w="0" w:type="dxa"/>
          </w:tblCellMar>
        </w:tblPrEx>
        <w:trPr>
          <w:cantSplit/>
          <w:trHeight w:val="567" w:hRule="atLeast"/>
        </w:trPr>
        <w:tc>
          <w:tcPr>
            <w:tcW w:w="286" w:type="pct"/>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ind w:left="-140" w:leftChars="-50" w:right="-140" w:rightChars="-50"/>
              <w:jc w:val="center"/>
              <w:rPr>
                <w:rFonts w:hint="eastAsia" w:ascii="仿宋_GB2312"/>
                <w:color w:val="000000"/>
                <w:kern w:val="0"/>
                <w:sz w:val="24"/>
                <w:szCs w:val="24"/>
              </w:rPr>
            </w:pPr>
            <w:r>
              <w:rPr>
                <w:rFonts w:hint="eastAsia" w:ascii="仿宋_GB2312" w:cs="仿宋_GB2312"/>
                <w:color w:val="000000"/>
                <w:kern w:val="0"/>
                <w:sz w:val="24"/>
                <w:szCs w:val="24"/>
              </w:rPr>
              <w:t>序号</w:t>
            </w:r>
          </w:p>
        </w:tc>
        <w:tc>
          <w:tcPr>
            <w:tcW w:w="43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类别</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评价内容</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扣/加分标准(分/次)</w:t>
            </w:r>
          </w:p>
        </w:tc>
        <w:tc>
          <w:tcPr>
            <w:tcW w:w="430" w:type="pct"/>
            <w:tcBorders>
              <w:top w:val="single" w:color="auto" w:sz="8" w:space="0"/>
              <w:left w:val="nil"/>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r>
              <w:rPr>
                <w:rFonts w:hint="eastAsia" w:ascii="仿宋_GB2312" w:cs="仿宋_GB2312"/>
                <w:color w:val="000000"/>
                <w:kern w:val="0"/>
                <w:sz w:val="24"/>
                <w:szCs w:val="24"/>
              </w:rPr>
              <w:t>次数</w:t>
            </w: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合计</w:t>
            </w:r>
          </w:p>
        </w:tc>
      </w:tr>
      <w:tr>
        <w:tblPrEx>
          <w:tblCellMar>
            <w:top w:w="0" w:type="dxa"/>
            <w:left w:w="0" w:type="dxa"/>
            <w:bottom w:w="0" w:type="dxa"/>
            <w:right w:w="0" w:type="dxa"/>
          </w:tblCellMar>
        </w:tblPrEx>
        <w:trPr>
          <w:cantSplit/>
          <w:trHeight w:val="694"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hAnsi="仿宋" w:cs="仿宋"/>
                <w:sz w:val="24"/>
                <w:szCs w:val="24"/>
              </w:rPr>
            </w:pPr>
            <w:r>
              <w:rPr>
                <w:rFonts w:hint="eastAsia" w:ascii="仿宋_GB2312" w:hAnsi="仿宋" w:cs="仿宋"/>
                <w:sz w:val="24"/>
                <w:szCs w:val="24"/>
              </w:rPr>
              <w:t>咨询人所派项目人员不符合合同约定</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50"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一</w:t>
            </w: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组织管理</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hAnsi="仿宋" w:cs="仿宋"/>
                <w:sz w:val="24"/>
                <w:szCs w:val="24"/>
              </w:rPr>
            </w:pPr>
            <w:r>
              <w:rPr>
                <w:rFonts w:hint="eastAsia" w:ascii="仿宋_GB2312"/>
                <w:color w:val="000000"/>
                <w:kern w:val="0"/>
                <w:sz w:val="24"/>
                <w:szCs w:val="24"/>
              </w:rPr>
              <w:t>工程项目报送</w:t>
            </w:r>
            <w:r>
              <w:rPr>
                <w:rFonts w:hint="eastAsia" w:ascii="仿宋_GB2312" w:hAnsi="仿宋" w:cs="仿宋"/>
                <w:kern w:val="0"/>
                <w:sz w:val="24"/>
                <w:szCs w:val="24"/>
              </w:rPr>
              <w:t>资料归还与交接单不符</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3</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930" w:hRule="atLeast"/>
        </w:trPr>
        <w:tc>
          <w:tcPr>
            <w:tcW w:w="286" w:type="pct"/>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ind w:right="56" w:rightChars="20"/>
              <w:rPr>
                <w:rFonts w:hint="eastAsia" w:ascii="仿宋_GB2312"/>
                <w:color w:val="000000"/>
                <w:kern w:val="0"/>
                <w:sz w:val="24"/>
                <w:szCs w:val="24"/>
              </w:rPr>
            </w:pPr>
            <w:r>
              <w:rPr>
                <w:rFonts w:hint="eastAsia" w:ascii="仿宋_GB2312" w:hAnsi="仿宋" w:cs="仿宋"/>
                <w:sz w:val="24"/>
                <w:szCs w:val="24"/>
              </w:rPr>
              <w:t>与被审单位及项目相关单位核对情况缺乏说服力，被投诉，造成不良影响的</w:t>
            </w:r>
          </w:p>
        </w:tc>
        <w:tc>
          <w:tcPr>
            <w:tcW w:w="666" w:type="pc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restart"/>
            <w:tcBorders>
              <w:top w:val="single" w:color="auto" w:sz="8" w:space="0"/>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二</w:t>
            </w:r>
          </w:p>
        </w:tc>
        <w:tc>
          <w:tcPr>
            <w:tcW w:w="435" w:type="pct"/>
            <w:vMerge w:val="restart"/>
            <w:tcBorders>
              <w:top w:val="single" w:color="auto" w:sz="8" w:space="0"/>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r>
              <w:rPr>
                <w:rFonts w:hint="eastAsia" w:ascii="仿宋_GB2312"/>
                <w:color w:val="000000"/>
                <w:kern w:val="0"/>
                <w:sz w:val="24"/>
                <w:szCs w:val="24"/>
              </w:rPr>
              <w:t>效率质量</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hAnsi="仿宋" w:cs="仿宋"/>
                <w:kern w:val="0"/>
                <w:sz w:val="24"/>
                <w:szCs w:val="24"/>
              </w:rPr>
            </w:pPr>
            <w:r>
              <w:rPr>
                <w:rFonts w:hint="eastAsia" w:ascii="仿宋_GB2312" w:cs="仿宋_GB2312"/>
                <w:color w:val="000000"/>
                <w:kern w:val="0"/>
                <w:sz w:val="24"/>
                <w:szCs w:val="24"/>
              </w:rPr>
              <w:t>不与委托人沟通服务项目或服务态度恶劣的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885"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hAnsi="仿宋" w:cs="仿宋"/>
                <w:kern w:val="0"/>
                <w:sz w:val="24"/>
                <w:szCs w:val="24"/>
              </w:rPr>
              <w:t>未按约定期限完成咨询项目的（非咨询人自身原因造成的除外）</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1445"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olor w:val="000000"/>
                <w:kern w:val="0"/>
                <w:sz w:val="24"/>
                <w:szCs w:val="24"/>
              </w:rPr>
              <w:t>未按约定期限完成咨询项目，经催告，在催告期限内仍未完成的</w:t>
            </w:r>
            <w:r>
              <w:rPr>
                <w:rFonts w:hint="eastAsia" w:ascii="仿宋_GB2312" w:hAnsi="仿宋" w:cs="仿宋"/>
                <w:kern w:val="0"/>
                <w:sz w:val="24"/>
                <w:szCs w:val="24"/>
              </w:rPr>
              <w:t>（非咨询人自身原因造成的除外）</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s="仿宋_GB2312"/>
                <w:color w:val="000000"/>
                <w:kern w:val="0"/>
                <w:sz w:val="24"/>
                <w:szCs w:val="24"/>
              </w:rPr>
              <w:t>咨询服务结果可能存在质量问题被退回</w:t>
            </w:r>
            <w:r>
              <w:rPr>
                <w:rFonts w:hint="eastAsia" w:ascii="仿宋_GB2312"/>
                <w:color w:val="000000"/>
                <w:kern w:val="0"/>
                <w:sz w:val="24"/>
                <w:szCs w:val="24"/>
              </w:rPr>
              <w:t>，复查属实的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2</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ind w:right="56" w:rightChars="20"/>
              <w:rPr>
                <w:rFonts w:hint="eastAsia" w:ascii="仿宋_GB2312"/>
                <w:color w:val="000000"/>
                <w:kern w:val="0"/>
                <w:sz w:val="24"/>
                <w:szCs w:val="24"/>
              </w:rPr>
            </w:pPr>
            <w:r>
              <w:rPr>
                <w:rFonts w:hint="eastAsia" w:ascii="仿宋_GB2312"/>
                <w:color w:val="000000"/>
                <w:kern w:val="0"/>
                <w:sz w:val="24"/>
                <w:szCs w:val="24"/>
              </w:rPr>
              <w:t>咨询服务质量经委托人复审（复核）不符合合同约定的</w:t>
            </w: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spacing w:line="38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10</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38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950" w:hRule="atLeast"/>
        </w:trPr>
        <w:tc>
          <w:tcPr>
            <w:tcW w:w="286" w:type="pct"/>
            <w:vMerge w:val="restart"/>
            <w:tcBorders>
              <w:top w:val="single" w:color="auto" w:sz="8" w:space="0"/>
              <w:left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三</w:t>
            </w:r>
          </w:p>
        </w:tc>
        <w:tc>
          <w:tcPr>
            <w:tcW w:w="435" w:type="pct"/>
            <w:vMerge w:val="restart"/>
            <w:tcBorders>
              <w:top w:val="single" w:color="auto" w:sz="8" w:space="0"/>
              <w:left w:val="nil"/>
              <w:right w:val="single" w:color="auto" w:sz="8" w:space="0"/>
            </w:tcBorders>
            <w:noWrap/>
            <w:vAlign w:val="center"/>
          </w:tcPr>
          <w:p>
            <w:pPr>
              <w:widowControl/>
              <w:spacing w:line="400" w:lineRule="exact"/>
              <w:ind w:left="118"/>
              <w:rPr>
                <w:rFonts w:hint="eastAsia" w:ascii="仿宋_GB2312" w:cs="仿宋_GB2312"/>
                <w:color w:val="000000"/>
                <w:kern w:val="0"/>
                <w:sz w:val="24"/>
                <w:szCs w:val="24"/>
              </w:rPr>
            </w:pPr>
            <w:r>
              <w:rPr>
                <w:rFonts w:hint="eastAsia" w:ascii="仿宋_GB2312" w:cs="仿宋_GB2312"/>
                <w:color w:val="000000"/>
                <w:kern w:val="0"/>
                <w:sz w:val="24"/>
                <w:szCs w:val="24"/>
              </w:rPr>
              <w:t>加分项目</w:t>
            </w:r>
          </w:p>
        </w:tc>
        <w:tc>
          <w:tcPr>
            <w:tcW w:w="2645" w:type="pct"/>
            <w:tcBorders>
              <w:top w:val="single" w:color="auto" w:sz="8" w:space="0"/>
              <w:left w:val="nil"/>
              <w:bottom w:val="single" w:color="auto" w:sz="8" w:space="0"/>
              <w:right w:val="single" w:color="auto" w:sz="8" w:space="0"/>
            </w:tcBorders>
            <w:noWrap/>
            <w:vAlign w:val="center"/>
          </w:tcPr>
          <w:p>
            <w:pPr>
              <w:widowControl/>
              <w:snapToGrid w:val="0"/>
              <w:spacing w:line="400" w:lineRule="exact"/>
              <w:ind w:left="56" w:leftChars="20" w:right="56" w:rightChars="20"/>
              <w:rPr>
                <w:rFonts w:hint="eastAsia" w:ascii="仿宋_GB2312"/>
                <w:color w:val="000000"/>
                <w:kern w:val="0"/>
                <w:sz w:val="24"/>
                <w:szCs w:val="24"/>
              </w:rPr>
            </w:pPr>
            <w:r>
              <w:rPr>
                <w:rFonts w:hint="eastAsia" w:ascii="仿宋_GB2312" w:hAnsi="仿宋" w:cs="仿宋"/>
                <w:kern w:val="0"/>
                <w:sz w:val="24"/>
                <w:szCs w:val="24"/>
              </w:rPr>
              <w:t>提出项目在管理、内控等方面存在的突出性问题, 有针对性的审计建议</w:t>
            </w:r>
          </w:p>
        </w:tc>
        <w:tc>
          <w:tcPr>
            <w:tcW w:w="666" w:type="pct"/>
            <w:tcBorders>
              <w:top w:val="single" w:color="auto" w:sz="8" w:space="0"/>
              <w:left w:val="nil"/>
              <w:bottom w:val="single" w:color="auto" w:sz="8" w:space="0"/>
              <w:right w:val="single" w:color="auto" w:sz="8" w:space="0"/>
            </w:tcBorders>
            <w:noWrap/>
            <w:vAlign w:val="center"/>
          </w:tcPr>
          <w:p>
            <w:pPr>
              <w:spacing w:line="40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5</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286" w:type="pct"/>
            <w:vMerge w:val="continue"/>
            <w:tcBorders>
              <w:left w:val="single" w:color="auto" w:sz="8" w:space="0"/>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p>
        </w:tc>
        <w:tc>
          <w:tcPr>
            <w:tcW w:w="435" w:type="pct"/>
            <w:vMerge w:val="continue"/>
            <w:tcBorders>
              <w:left w:val="nil"/>
              <w:bottom w:val="single" w:color="auto" w:sz="8" w:space="0"/>
              <w:right w:val="single" w:color="auto" w:sz="8" w:space="0"/>
            </w:tcBorders>
            <w:noWrap/>
            <w:vAlign w:val="center"/>
          </w:tcPr>
          <w:p>
            <w:pPr>
              <w:widowControl/>
              <w:spacing w:line="400" w:lineRule="exact"/>
              <w:ind w:left="118"/>
              <w:rPr>
                <w:rFonts w:hint="eastAsia" w:ascii="仿宋_GB2312" w:cs="仿宋_GB2312"/>
                <w:color w:val="000000"/>
                <w:kern w:val="0"/>
                <w:sz w:val="24"/>
                <w:szCs w:val="24"/>
              </w:rPr>
            </w:pPr>
          </w:p>
        </w:tc>
        <w:tc>
          <w:tcPr>
            <w:tcW w:w="2645" w:type="pct"/>
            <w:tcBorders>
              <w:top w:val="single" w:color="auto" w:sz="8" w:space="0"/>
              <w:left w:val="nil"/>
              <w:bottom w:val="single" w:color="auto" w:sz="8" w:space="0"/>
              <w:right w:val="single" w:color="auto" w:sz="8" w:space="0"/>
            </w:tcBorders>
            <w:noWrap/>
            <w:vAlign w:val="center"/>
          </w:tcPr>
          <w:p>
            <w:pPr>
              <w:widowControl/>
              <w:snapToGrid w:val="0"/>
              <w:spacing w:line="400" w:lineRule="exact"/>
              <w:ind w:left="56" w:leftChars="20" w:right="56" w:rightChars="20"/>
              <w:rPr>
                <w:rFonts w:hint="eastAsia" w:ascii="仿宋_GB2312"/>
                <w:color w:val="000000"/>
                <w:kern w:val="0"/>
                <w:sz w:val="24"/>
                <w:szCs w:val="24"/>
              </w:rPr>
            </w:pPr>
            <w:r>
              <w:rPr>
                <w:rFonts w:hint="eastAsia" w:ascii="仿宋_GB2312" w:hAnsi="仿宋" w:cs="仿宋"/>
                <w:kern w:val="0"/>
                <w:sz w:val="24"/>
                <w:szCs w:val="24"/>
              </w:rPr>
              <w:t>咨询过程中发现有价值的案件线索</w:t>
            </w:r>
          </w:p>
        </w:tc>
        <w:tc>
          <w:tcPr>
            <w:tcW w:w="666" w:type="pct"/>
            <w:tcBorders>
              <w:top w:val="single" w:color="auto" w:sz="8" w:space="0"/>
              <w:left w:val="nil"/>
              <w:bottom w:val="single" w:color="auto" w:sz="8" w:space="0"/>
              <w:right w:val="single" w:color="auto" w:sz="8" w:space="0"/>
            </w:tcBorders>
            <w:noWrap/>
            <w:vAlign w:val="center"/>
          </w:tcPr>
          <w:p>
            <w:pPr>
              <w:spacing w:line="400" w:lineRule="exact"/>
              <w:jc w:val="center"/>
              <w:rPr>
                <w:rFonts w:hint="eastAsia" w:ascii="仿宋_GB2312" w:cs="仿宋_GB2312"/>
                <w:color w:val="000000"/>
                <w:kern w:val="0"/>
                <w:sz w:val="24"/>
                <w:szCs w:val="24"/>
              </w:rPr>
            </w:pPr>
            <w:r>
              <w:rPr>
                <w:rFonts w:hint="eastAsia" w:ascii="仿宋_GB2312" w:cs="仿宋_GB2312"/>
                <w:color w:val="000000"/>
                <w:kern w:val="0"/>
                <w:sz w:val="24"/>
                <w:szCs w:val="24"/>
              </w:rPr>
              <w:t>10</w:t>
            </w:r>
          </w:p>
        </w:tc>
        <w:tc>
          <w:tcPr>
            <w:tcW w:w="430"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r>
        <w:tblPrEx>
          <w:tblCellMar>
            <w:top w:w="0" w:type="dxa"/>
            <w:left w:w="0" w:type="dxa"/>
            <w:bottom w:w="0" w:type="dxa"/>
            <w:right w:w="0" w:type="dxa"/>
          </w:tblCellMar>
        </w:tblPrEx>
        <w:trPr>
          <w:cantSplit/>
          <w:trHeight w:val="567" w:hRule="atLeast"/>
        </w:trPr>
        <w:tc>
          <w:tcPr>
            <w:tcW w:w="722" w:type="pct"/>
            <w:gridSpan w:val="2"/>
            <w:tcBorders>
              <w:top w:val="single" w:color="auto" w:sz="8" w:space="0"/>
              <w:left w:val="single" w:color="auto" w:sz="8" w:space="0"/>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r>
              <w:rPr>
                <w:rFonts w:hint="eastAsia" w:ascii="仿宋_GB2312"/>
                <w:color w:val="000000"/>
                <w:kern w:val="0"/>
                <w:sz w:val="24"/>
                <w:szCs w:val="24"/>
              </w:rPr>
              <w:t>合计</w:t>
            </w:r>
          </w:p>
        </w:tc>
        <w:tc>
          <w:tcPr>
            <w:tcW w:w="2645"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rPr>
                <w:rFonts w:hint="eastAsia" w:ascii="仿宋_GB2312"/>
                <w:color w:val="000000"/>
                <w:kern w:val="0"/>
                <w:sz w:val="24"/>
                <w:szCs w:val="24"/>
              </w:rPr>
            </w:pPr>
          </w:p>
        </w:tc>
        <w:tc>
          <w:tcPr>
            <w:tcW w:w="666" w:type="pct"/>
            <w:tcBorders>
              <w:top w:val="single" w:color="auto" w:sz="8" w:space="0"/>
              <w:left w:val="nil"/>
              <w:bottom w:val="single" w:color="auto" w:sz="8" w:space="0"/>
              <w:right w:val="single" w:color="auto" w:sz="8"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c>
          <w:tcPr>
            <w:tcW w:w="430" w:type="pct"/>
            <w:tcBorders>
              <w:top w:val="single" w:color="auto" w:sz="8" w:space="0"/>
              <w:left w:val="nil"/>
              <w:bottom w:val="single" w:color="auto" w:sz="8" w:space="0"/>
              <w:right w:val="single" w:color="auto" w:sz="8" w:space="0"/>
            </w:tcBorders>
            <w:noWrap/>
            <w:vAlign w:val="center"/>
          </w:tcPr>
          <w:p>
            <w:pPr>
              <w:widowControl/>
              <w:spacing w:line="400" w:lineRule="exact"/>
              <w:jc w:val="center"/>
              <w:rPr>
                <w:rFonts w:hint="eastAsia" w:ascii="仿宋_GB2312"/>
                <w:color w:val="000000"/>
                <w:kern w:val="0"/>
                <w:sz w:val="24"/>
                <w:szCs w:val="24"/>
              </w:rPr>
            </w:pPr>
          </w:p>
        </w:tc>
        <w:tc>
          <w:tcPr>
            <w:tcW w:w="535" w:type="pct"/>
            <w:tcBorders>
              <w:top w:val="single" w:color="auto" w:sz="8" w:space="0"/>
              <w:left w:val="nil"/>
              <w:bottom w:val="single" w:color="auto" w:sz="8" w:space="0"/>
              <w:right w:val="single" w:color="auto" w:sz="4" w:space="0"/>
            </w:tcBorders>
            <w:noWrap/>
            <w:tcMar>
              <w:top w:w="0" w:type="dxa"/>
              <w:left w:w="108" w:type="dxa"/>
              <w:bottom w:w="0" w:type="dxa"/>
              <w:right w:w="108" w:type="dxa"/>
            </w:tcMar>
            <w:vAlign w:val="center"/>
          </w:tcPr>
          <w:p>
            <w:pPr>
              <w:widowControl/>
              <w:spacing w:line="400" w:lineRule="exact"/>
              <w:jc w:val="center"/>
              <w:rPr>
                <w:rFonts w:hint="eastAsia" w:ascii="仿宋_GB2312"/>
                <w:color w:val="000000"/>
                <w:kern w:val="0"/>
                <w:sz w:val="24"/>
                <w:szCs w:val="24"/>
              </w:rPr>
            </w:pPr>
          </w:p>
        </w:tc>
      </w:tr>
    </w:tbl>
    <w:p>
      <w:pPr>
        <w:spacing w:line="400" w:lineRule="exact"/>
        <w:rPr>
          <w:rFonts w:hint="eastAsia"/>
        </w:rPr>
      </w:pPr>
    </w:p>
    <w:p>
      <w:pPr>
        <w:spacing w:line="400" w:lineRule="exact"/>
      </w:pPr>
      <w:r>
        <w:rPr>
          <w:rFonts w:hint="eastAsia"/>
        </w:rPr>
        <w:t>备注：本考核表初始分值100分</w:t>
      </w:r>
    </w:p>
    <w:p>
      <w:pPr>
        <w:pStyle w:val="2"/>
        <w:rPr>
          <w:rFonts w:cs="宋体"/>
          <w:sz w:val="24"/>
          <w:szCs w:val="24"/>
          <w:shd w:val="clear" w:color="auto" w:fill="FFFFFF"/>
        </w:rPr>
      </w:pPr>
    </w:p>
    <w:p>
      <w:pPr>
        <w:rPr>
          <w:rFonts w:ascii="仿宋_GB2312" w:eastAsia="仿宋_GB2312"/>
          <w:sz w:val="24"/>
          <w:szCs w:val="24"/>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隶书">
    <w:altName w:val="微软雅黑"/>
    <w:panose1 w:val="0201050906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方正小标宋简体">
    <w:altName w:val="黑体"/>
    <w:panose1 w:val="02010601030101010101"/>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5"/>
          <w:jc w:val="center"/>
        </w:pPr>
        <w:r>
          <w:fldChar w:fldCharType="begin"/>
        </w:r>
        <w:r>
          <w:instrText xml:space="preserve"> PAGE   \* MERGEFORMAT </w:instrText>
        </w:r>
        <w:r>
          <w:fldChar w:fldCharType="separate"/>
        </w:r>
        <w:r>
          <w:rPr>
            <w:lang w:val="zh-CN"/>
          </w:rPr>
          <w:t>6</w:t>
        </w:r>
        <w:r>
          <w:rPr>
            <w:lang w:val="zh-CN"/>
          </w:rP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DE31C66"/>
    <w:multiLevelType w:val="singleLevel"/>
    <w:tmpl w:val="EDE31C66"/>
    <w:lvl w:ilvl="0" w:tentative="0">
      <w:start w:val="5"/>
      <w:numFmt w:val="chineseCounting"/>
      <w:suff w:val="space"/>
      <w:lvlText w:val="第%1章"/>
      <w:lvlJc w:val="left"/>
      <w:rPr>
        <w:rFonts w:hint="eastAsia"/>
      </w:rPr>
    </w:lvl>
  </w:abstractNum>
  <w:abstractNum w:abstractNumId="1">
    <w:nsid w:val="17AF37BC"/>
    <w:multiLevelType w:val="multilevel"/>
    <w:tmpl w:val="17AF37BC"/>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29"/>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0"/>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1"/>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4C9667FD"/>
    <w:multiLevelType w:val="multilevel"/>
    <w:tmpl w:val="4C9667FD"/>
    <w:lvl w:ilvl="0" w:tentative="0">
      <w:start w:val="1"/>
      <w:numFmt w:val="japaneseCounting"/>
      <w:lvlText w:val="第%1条"/>
      <w:lvlJc w:val="left"/>
      <w:pPr>
        <w:tabs>
          <w:tab w:val="left" w:pos="990"/>
        </w:tabs>
        <w:ind w:left="990" w:hanging="99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4">
    <w:nsid w:val="652C06A4"/>
    <w:multiLevelType w:val="multilevel"/>
    <w:tmpl w:val="652C06A4"/>
    <w:lvl w:ilvl="0" w:tentative="0">
      <w:start w:val="1"/>
      <w:numFmt w:val="decimal"/>
      <w:lvlText w:val="%1、"/>
      <w:lvlJc w:val="left"/>
      <w:pPr>
        <w:tabs>
          <w:tab w:val="left" w:pos="720"/>
        </w:tabs>
        <w:ind w:left="720" w:hanging="7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2"/>
  </w:num>
  <w:num w:numId="2">
    <w:abstractNumId w:val="3"/>
  </w:num>
  <w:num w:numId="3">
    <w:abstractNumId w:val="1"/>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06724"/>
    <w:rsid w:val="00015D90"/>
    <w:rsid w:val="00016B02"/>
    <w:rsid w:val="00017FCB"/>
    <w:rsid w:val="00022591"/>
    <w:rsid w:val="0002344D"/>
    <w:rsid w:val="00023EED"/>
    <w:rsid w:val="000259F2"/>
    <w:rsid w:val="00030FC8"/>
    <w:rsid w:val="00032E95"/>
    <w:rsid w:val="00032FC9"/>
    <w:rsid w:val="00042A48"/>
    <w:rsid w:val="00046790"/>
    <w:rsid w:val="00046EB7"/>
    <w:rsid w:val="0004704A"/>
    <w:rsid w:val="00047281"/>
    <w:rsid w:val="00052BE5"/>
    <w:rsid w:val="000542AB"/>
    <w:rsid w:val="00055060"/>
    <w:rsid w:val="00055D1C"/>
    <w:rsid w:val="00060CF9"/>
    <w:rsid w:val="0006100A"/>
    <w:rsid w:val="00061743"/>
    <w:rsid w:val="000626B6"/>
    <w:rsid w:val="0006430E"/>
    <w:rsid w:val="00072A64"/>
    <w:rsid w:val="00077034"/>
    <w:rsid w:val="0008070A"/>
    <w:rsid w:val="00090EBA"/>
    <w:rsid w:val="000A1BBD"/>
    <w:rsid w:val="000A590D"/>
    <w:rsid w:val="000A5CF1"/>
    <w:rsid w:val="000C0658"/>
    <w:rsid w:val="000C3A9A"/>
    <w:rsid w:val="000C6236"/>
    <w:rsid w:val="000C6DC8"/>
    <w:rsid w:val="000D190D"/>
    <w:rsid w:val="000D6D14"/>
    <w:rsid w:val="000D6F52"/>
    <w:rsid w:val="000E1FF9"/>
    <w:rsid w:val="000E610B"/>
    <w:rsid w:val="000E6A02"/>
    <w:rsid w:val="000E6D4A"/>
    <w:rsid w:val="000E6DEB"/>
    <w:rsid w:val="000E7148"/>
    <w:rsid w:val="000E7510"/>
    <w:rsid w:val="000F04C7"/>
    <w:rsid w:val="000F4CE9"/>
    <w:rsid w:val="000F62AB"/>
    <w:rsid w:val="001021A1"/>
    <w:rsid w:val="001042C6"/>
    <w:rsid w:val="00104FE4"/>
    <w:rsid w:val="00111607"/>
    <w:rsid w:val="0011443D"/>
    <w:rsid w:val="00115B8E"/>
    <w:rsid w:val="0011765C"/>
    <w:rsid w:val="00121562"/>
    <w:rsid w:val="001231D0"/>
    <w:rsid w:val="00126E72"/>
    <w:rsid w:val="00126FED"/>
    <w:rsid w:val="00135FAA"/>
    <w:rsid w:val="001365B0"/>
    <w:rsid w:val="0014005F"/>
    <w:rsid w:val="00140136"/>
    <w:rsid w:val="00140CE4"/>
    <w:rsid w:val="0014204C"/>
    <w:rsid w:val="00142C11"/>
    <w:rsid w:val="00143D07"/>
    <w:rsid w:val="001446A0"/>
    <w:rsid w:val="0014716B"/>
    <w:rsid w:val="0015005C"/>
    <w:rsid w:val="00150DCB"/>
    <w:rsid w:val="00151752"/>
    <w:rsid w:val="00151BAA"/>
    <w:rsid w:val="0015318E"/>
    <w:rsid w:val="00163E61"/>
    <w:rsid w:val="00164809"/>
    <w:rsid w:val="00167162"/>
    <w:rsid w:val="001703B9"/>
    <w:rsid w:val="001751ED"/>
    <w:rsid w:val="00175C59"/>
    <w:rsid w:val="001764F4"/>
    <w:rsid w:val="0018074B"/>
    <w:rsid w:val="00180D64"/>
    <w:rsid w:val="00181B67"/>
    <w:rsid w:val="0018291F"/>
    <w:rsid w:val="0018464A"/>
    <w:rsid w:val="00184FC5"/>
    <w:rsid w:val="00192F29"/>
    <w:rsid w:val="001978D8"/>
    <w:rsid w:val="001A62D0"/>
    <w:rsid w:val="001B0855"/>
    <w:rsid w:val="001B08C2"/>
    <w:rsid w:val="001B1AFB"/>
    <w:rsid w:val="001B360C"/>
    <w:rsid w:val="001B37FC"/>
    <w:rsid w:val="001B3A1D"/>
    <w:rsid w:val="001B7B15"/>
    <w:rsid w:val="001C03AB"/>
    <w:rsid w:val="001C04E3"/>
    <w:rsid w:val="001C38D0"/>
    <w:rsid w:val="001C641B"/>
    <w:rsid w:val="001C647B"/>
    <w:rsid w:val="001C7A6B"/>
    <w:rsid w:val="001C7D36"/>
    <w:rsid w:val="001D2633"/>
    <w:rsid w:val="001D58A9"/>
    <w:rsid w:val="001D59B5"/>
    <w:rsid w:val="001D6EB9"/>
    <w:rsid w:val="001E0AFE"/>
    <w:rsid w:val="001E1616"/>
    <w:rsid w:val="001E3594"/>
    <w:rsid w:val="001E7A2C"/>
    <w:rsid w:val="00200AAC"/>
    <w:rsid w:val="00204069"/>
    <w:rsid w:val="00206979"/>
    <w:rsid w:val="00206AFC"/>
    <w:rsid w:val="00211520"/>
    <w:rsid w:val="00211DC4"/>
    <w:rsid w:val="00212CF7"/>
    <w:rsid w:val="00213CAB"/>
    <w:rsid w:val="00213CDD"/>
    <w:rsid w:val="002179BA"/>
    <w:rsid w:val="00223A2F"/>
    <w:rsid w:val="00224431"/>
    <w:rsid w:val="00224A8E"/>
    <w:rsid w:val="002251A1"/>
    <w:rsid w:val="00226064"/>
    <w:rsid w:val="0023393F"/>
    <w:rsid w:val="00235F9A"/>
    <w:rsid w:val="00235FFF"/>
    <w:rsid w:val="00240CAC"/>
    <w:rsid w:val="00241599"/>
    <w:rsid w:val="00241677"/>
    <w:rsid w:val="00252EA0"/>
    <w:rsid w:val="00253084"/>
    <w:rsid w:val="002558D5"/>
    <w:rsid w:val="00257024"/>
    <w:rsid w:val="00261227"/>
    <w:rsid w:val="00263614"/>
    <w:rsid w:val="002679E3"/>
    <w:rsid w:val="00270053"/>
    <w:rsid w:val="00270964"/>
    <w:rsid w:val="002715B7"/>
    <w:rsid w:val="00272628"/>
    <w:rsid w:val="002736A2"/>
    <w:rsid w:val="002852CE"/>
    <w:rsid w:val="002872C1"/>
    <w:rsid w:val="0029067B"/>
    <w:rsid w:val="0029196D"/>
    <w:rsid w:val="00292163"/>
    <w:rsid w:val="00292AA6"/>
    <w:rsid w:val="00294697"/>
    <w:rsid w:val="00295D71"/>
    <w:rsid w:val="002976DF"/>
    <w:rsid w:val="002A6555"/>
    <w:rsid w:val="002A694A"/>
    <w:rsid w:val="002A6B9D"/>
    <w:rsid w:val="002B1C4F"/>
    <w:rsid w:val="002B4D61"/>
    <w:rsid w:val="002C0445"/>
    <w:rsid w:val="002C1E00"/>
    <w:rsid w:val="002C28E5"/>
    <w:rsid w:val="002C5D27"/>
    <w:rsid w:val="002D0555"/>
    <w:rsid w:val="002D6BE2"/>
    <w:rsid w:val="002D7725"/>
    <w:rsid w:val="002D7C26"/>
    <w:rsid w:val="002D7FBD"/>
    <w:rsid w:val="002E2F71"/>
    <w:rsid w:val="002E48EC"/>
    <w:rsid w:val="002E520A"/>
    <w:rsid w:val="002F0EE2"/>
    <w:rsid w:val="002F3A32"/>
    <w:rsid w:val="002F5830"/>
    <w:rsid w:val="002F6A4B"/>
    <w:rsid w:val="002F6DCC"/>
    <w:rsid w:val="0030165E"/>
    <w:rsid w:val="00304B9A"/>
    <w:rsid w:val="0031035E"/>
    <w:rsid w:val="00312989"/>
    <w:rsid w:val="0031766C"/>
    <w:rsid w:val="00321384"/>
    <w:rsid w:val="003223EB"/>
    <w:rsid w:val="00323754"/>
    <w:rsid w:val="003256F3"/>
    <w:rsid w:val="00327F3D"/>
    <w:rsid w:val="003328D1"/>
    <w:rsid w:val="0033360A"/>
    <w:rsid w:val="00336388"/>
    <w:rsid w:val="00340558"/>
    <w:rsid w:val="003414E3"/>
    <w:rsid w:val="00341D3A"/>
    <w:rsid w:val="00344CC8"/>
    <w:rsid w:val="00344EB5"/>
    <w:rsid w:val="00346E8B"/>
    <w:rsid w:val="00351AED"/>
    <w:rsid w:val="00352003"/>
    <w:rsid w:val="003535BA"/>
    <w:rsid w:val="00353FF9"/>
    <w:rsid w:val="0036161F"/>
    <w:rsid w:val="00361BCF"/>
    <w:rsid w:val="00365CD6"/>
    <w:rsid w:val="00367922"/>
    <w:rsid w:val="003733FA"/>
    <w:rsid w:val="00375E61"/>
    <w:rsid w:val="003767EF"/>
    <w:rsid w:val="00376D1E"/>
    <w:rsid w:val="0038139D"/>
    <w:rsid w:val="003818DA"/>
    <w:rsid w:val="00384CB4"/>
    <w:rsid w:val="003873AB"/>
    <w:rsid w:val="00387CD7"/>
    <w:rsid w:val="00387D5F"/>
    <w:rsid w:val="003969AF"/>
    <w:rsid w:val="003A3478"/>
    <w:rsid w:val="003A794F"/>
    <w:rsid w:val="003A7DF3"/>
    <w:rsid w:val="003B231B"/>
    <w:rsid w:val="003B3878"/>
    <w:rsid w:val="003D00A4"/>
    <w:rsid w:val="003D0DF6"/>
    <w:rsid w:val="003D3EE0"/>
    <w:rsid w:val="003E1105"/>
    <w:rsid w:val="003E147F"/>
    <w:rsid w:val="003E27E5"/>
    <w:rsid w:val="003E5908"/>
    <w:rsid w:val="003F13AF"/>
    <w:rsid w:val="003F623C"/>
    <w:rsid w:val="00402AB9"/>
    <w:rsid w:val="00403799"/>
    <w:rsid w:val="004059C7"/>
    <w:rsid w:val="0040675B"/>
    <w:rsid w:val="00406DFB"/>
    <w:rsid w:val="00414CB9"/>
    <w:rsid w:val="00416DBA"/>
    <w:rsid w:val="00420272"/>
    <w:rsid w:val="00420EF2"/>
    <w:rsid w:val="004239F5"/>
    <w:rsid w:val="00423F69"/>
    <w:rsid w:val="0042556D"/>
    <w:rsid w:val="00426F76"/>
    <w:rsid w:val="0042749B"/>
    <w:rsid w:val="004302EF"/>
    <w:rsid w:val="0043033C"/>
    <w:rsid w:val="00431AF3"/>
    <w:rsid w:val="00433D70"/>
    <w:rsid w:val="00434069"/>
    <w:rsid w:val="00434860"/>
    <w:rsid w:val="00434CBD"/>
    <w:rsid w:val="00442B95"/>
    <w:rsid w:val="004444D6"/>
    <w:rsid w:val="0044519E"/>
    <w:rsid w:val="00446E0E"/>
    <w:rsid w:val="0045211C"/>
    <w:rsid w:val="00454BA9"/>
    <w:rsid w:val="00454BB3"/>
    <w:rsid w:val="00455DD0"/>
    <w:rsid w:val="00462C4B"/>
    <w:rsid w:val="0046384F"/>
    <w:rsid w:val="00463850"/>
    <w:rsid w:val="004704B0"/>
    <w:rsid w:val="00471368"/>
    <w:rsid w:val="004746C6"/>
    <w:rsid w:val="00482D6E"/>
    <w:rsid w:val="00483B5E"/>
    <w:rsid w:val="004868F5"/>
    <w:rsid w:val="004A11E8"/>
    <w:rsid w:val="004A36EE"/>
    <w:rsid w:val="004A608E"/>
    <w:rsid w:val="004A6BDB"/>
    <w:rsid w:val="004A721C"/>
    <w:rsid w:val="004A76DB"/>
    <w:rsid w:val="004B2956"/>
    <w:rsid w:val="004C28EA"/>
    <w:rsid w:val="004C31B0"/>
    <w:rsid w:val="004C47BC"/>
    <w:rsid w:val="004C73AD"/>
    <w:rsid w:val="004D0BDF"/>
    <w:rsid w:val="004D0DD7"/>
    <w:rsid w:val="004D1D0D"/>
    <w:rsid w:val="004D41A8"/>
    <w:rsid w:val="004D5269"/>
    <w:rsid w:val="004D62AB"/>
    <w:rsid w:val="004E1E16"/>
    <w:rsid w:val="004E42B5"/>
    <w:rsid w:val="004E46BD"/>
    <w:rsid w:val="004F04F3"/>
    <w:rsid w:val="005046F8"/>
    <w:rsid w:val="0050520E"/>
    <w:rsid w:val="0050712D"/>
    <w:rsid w:val="005075BB"/>
    <w:rsid w:val="00507A59"/>
    <w:rsid w:val="0051327B"/>
    <w:rsid w:val="00514CAF"/>
    <w:rsid w:val="005175F3"/>
    <w:rsid w:val="00520DCF"/>
    <w:rsid w:val="00522501"/>
    <w:rsid w:val="00522692"/>
    <w:rsid w:val="00522BD4"/>
    <w:rsid w:val="00524237"/>
    <w:rsid w:val="005329E0"/>
    <w:rsid w:val="0053459E"/>
    <w:rsid w:val="00547EA0"/>
    <w:rsid w:val="00551FEC"/>
    <w:rsid w:val="00554369"/>
    <w:rsid w:val="00555B79"/>
    <w:rsid w:val="005646E2"/>
    <w:rsid w:val="005647BC"/>
    <w:rsid w:val="00565458"/>
    <w:rsid w:val="00567904"/>
    <w:rsid w:val="005700B7"/>
    <w:rsid w:val="00572B02"/>
    <w:rsid w:val="00573087"/>
    <w:rsid w:val="00575E3D"/>
    <w:rsid w:val="00577422"/>
    <w:rsid w:val="005811F4"/>
    <w:rsid w:val="00584838"/>
    <w:rsid w:val="00590DBB"/>
    <w:rsid w:val="0059282D"/>
    <w:rsid w:val="005969EE"/>
    <w:rsid w:val="0059793A"/>
    <w:rsid w:val="005A0BF7"/>
    <w:rsid w:val="005A2B3C"/>
    <w:rsid w:val="005A5F4F"/>
    <w:rsid w:val="005B2B83"/>
    <w:rsid w:val="005B5553"/>
    <w:rsid w:val="005B5E8D"/>
    <w:rsid w:val="005C71AE"/>
    <w:rsid w:val="005C7591"/>
    <w:rsid w:val="005C7E59"/>
    <w:rsid w:val="005D1546"/>
    <w:rsid w:val="005D162A"/>
    <w:rsid w:val="005D1DFE"/>
    <w:rsid w:val="005D3707"/>
    <w:rsid w:val="005D3F9D"/>
    <w:rsid w:val="005D7841"/>
    <w:rsid w:val="005E3EE5"/>
    <w:rsid w:val="005F0FE5"/>
    <w:rsid w:val="005F4905"/>
    <w:rsid w:val="005F4BA2"/>
    <w:rsid w:val="005F58D0"/>
    <w:rsid w:val="005F5C48"/>
    <w:rsid w:val="005F6BC9"/>
    <w:rsid w:val="00603DF9"/>
    <w:rsid w:val="00615114"/>
    <w:rsid w:val="00620207"/>
    <w:rsid w:val="00625F4E"/>
    <w:rsid w:val="006263E4"/>
    <w:rsid w:val="00627A2F"/>
    <w:rsid w:val="00632C96"/>
    <w:rsid w:val="0063665D"/>
    <w:rsid w:val="00641EB6"/>
    <w:rsid w:val="00642F2F"/>
    <w:rsid w:val="006431B1"/>
    <w:rsid w:val="00646335"/>
    <w:rsid w:val="00647961"/>
    <w:rsid w:val="00647C2E"/>
    <w:rsid w:val="00647F8D"/>
    <w:rsid w:val="006542A8"/>
    <w:rsid w:val="006678CC"/>
    <w:rsid w:val="00670418"/>
    <w:rsid w:val="00672C2F"/>
    <w:rsid w:val="006733DF"/>
    <w:rsid w:val="00673AF2"/>
    <w:rsid w:val="006742A6"/>
    <w:rsid w:val="006774A7"/>
    <w:rsid w:val="00681C46"/>
    <w:rsid w:val="0068287D"/>
    <w:rsid w:val="006844BA"/>
    <w:rsid w:val="0068485A"/>
    <w:rsid w:val="00686A3C"/>
    <w:rsid w:val="0069130E"/>
    <w:rsid w:val="006930D6"/>
    <w:rsid w:val="00694664"/>
    <w:rsid w:val="00696B74"/>
    <w:rsid w:val="006A0842"/>
    <w:rsid w:val="006A1690"/>
    <w:rsid w:val="006A28FE"/>
    <w:rsid w:val="006A44C6"/>
    <w:rsid w:val="006A5E3A"/>
    <w:rsid w:val="006B014D"/>
    <w:rsid w:val="006B2C5F"/>
    <w:rsid w:val="006B3E39"/>
    <w:rsid w:val="006B6FDF"/>
    <w:rsid w:val="006C16AF"/>
    <w:rsid w:val="006C3516"/>
    <w:rsid w:val="006C4228"/>
    <w:rsid w:val="006C771B"/>
    <w:rsid w:val="006D073A"/>
    <w:rsid w:val="006D12E5"/>
    <w:rsid w:val="006D169F"/>
    <w:rsid w:val="006D210C"/>
    <w:rsid w:val="006D6348"/>
    <w:rsid w:val="006D6C7B"/>
    <w:rsid w:val="006D70CD"/>
    <w:rsid w:val="006D768A"/>
    <w:rsid w:val="006E1D68"/>
    <w:rsid w:val="006E2FE6"/>
    <w:rsid w:val="006E5075"/>
    <w:rsid w:val="006E5253"/>
    <w:rsid w:val="006E5C73"/>
    <w:rsid w:val="006E6048"/>
    <w:rsid w:val="006E7053"/>
    <w:rsid w:val="006F588B"/>
    <w:rsid w:val="006F6479"/>
    <w:rsid w:val="00702D7E"/>
    <w:rsid w:val="007040F9"/>
    <w:rsid w:val="007046A7"/>
    <w:rsid w:val="00707C58"/>
    <w:rsid w:val="00707CC8"/>
    <w:rsid w:val="007110E8"/>
    <w:rsid w:val="0071278B"/>
    <w:rsid w:val="00715842"/>
    <w:rsid w:val="00716208"/>
    <w:rsid w:val="0071652C"/>
    <w:rsid w:val="007168C1"/>
    <w:rsid w:val="00716A7C"/>
    <w:rsid w:val="0072166B"/>
    <w:rsid w:val="00724544"/>
    <w:rsid w:val="00727B45"/>
    <w:rsid w:val="00735788"/>
    <w:rsid w:val="00735BA4"/>
    <w:rsid w:val="00737EC0"/>
    <w:rsid w:val="0074259D"/>
    <w:rsid w:val="0074270E"/>
    <w:rsid w:val="007434E4"/>
    <w:rsid w:val="00744CA7"/>
    <w:rsid w:val="00744F24"/>
    <w:rsid w:val="0075148A"/>
    <w:rsid w:val="00764077"/>
    <w:rsid w:val="00765D64"/>
    <w:rsid w:val="0076666B"/>
    <w:rsid w:val="00770769"/>
    <w:rsid w:val="00775766"/>
    <w:rsid w:val="00776E88"/>
    <w:rsid w:val="00777DA2"/>
    <w:rsid w:val="00777DF9"/>
    <w:rsid w:val="007801F7"/>
    <w:rsid w:val="007812FB"/>
    <w:rsid w:val="00783B28"/>
    <w:rsid w:val="0078407F"/>
    <w:rsid w:val="00785772"/>
    <w:rsid w:val="007872F5"/>
    <w:rsid w:val="00790186"/>
    <w:rsid w:val="00792355"/>
    <w:rsid w:val="00793D6A"/>
    <w:rsid w:val="00797CF0"/>
    <w:rsid w:val="007A4794"/>
    <w:rsid w:val="007B14BE"/>
    <w:rsid w:val="007B2E76"/>
    <w:rsid w:val="007B3D86"/>
    <w:rsid w:val="007B71C1"/>
    <w:rsid w:val="007B7A38"/>
    <w:rsid w:val="007C7664"/>
    <w:rsid w:val="007D2766"/>
    <w:rsid w:val="007D4103"/>
    <w:rsid w:val="007D670C"/>
    <w:rsid w:val="007E3268"/>
    <w:rsid w:val="007E59C0"/>
    <w:rsid w:val="007F1B69"/>
    <w:rsid w:val="007F292A"/>
    <w:rsid w:val="007F3440"/>
    <w:rsid w:val="007F345E"/>
    <w:rsid w:val="007F4175"/>
    <w:rsid w:val="007F7BBF"/>
    <w:rsid w:val="0080268A"/>
    <w:rsid w:val="0080797F"/>
    <w:rsid w:val="008175B1"/>
    <w:rsid w:val="008243DC"/>
    <w:rsid w:val="0082650E"/>
    <w:rsid w:val="00827542"/>
    <w:rsid w:val="00833062"/>
    <w:rsid w:val="0083335C"/>
    <w:rsid w:val="0083374E"/>
    <w:rsid w:val="00834376"/>
    <w:rsid w:val="00835407"/>
    <w:rsid w:val="00836798"/>
    <w:rsid w:val="00843039"/>
    <w:rsid w:val="008446C2"/>
    <w:rsid w:val="00847CB0"/>
    <w:rsid w:val="00850DAC"/>
    <w:rsid w:val="00853EA8"/>
    <w:rsid w:val="00857597"/>
    <w:rsid w:val="0086035C"/>
    <w:rsid w:val="008631F1"/>
    <w:rsid w:val="00870454"/>
    <w:rsid w:val="008734F8"/>
    <w:rsid w:val="0087389B"/>
    <w:rsid w:val="008740F7"/>
    <w:rsid w:val="00874DC8"/>
    <w:rsid w:val="008818C9"/>
    <w:rsid w:val="00883039"/>
    <w:rsid w:val="00885DDE"/>
    <w:rsid w:val="00887800"/>
    <w:rsid w:val="00890717"/>
    <w:rsid w:val="00891545"/>
    <w:rsid w:val="00892D36"/>
    <w:rsid w:val="00893852"/>
    <w:rsid w:val="00894C62"/>
    <w:rsid w:val="00894FC0"/>
    <w:rsid w:val="0089554F"/>
    <w:rsid w:val="008A07A1"/>
    <w:rsid w:val="008A0CE8"/>
    <w:rsid w:val="008A2229"/>
    <w:rsid w:val="008A2A34"/>
    <w:rsid w:val="008A2EDF"/>
    <w:rsid w:val="008B04C7"/>
    <w:rsid w:val="008B2325"/>
    <w:rsid w:val="008B2CFC"/>
    <w:rsid w:val="008B37F2"/>
    <w:rsid w:val="008B4F14"/>
    <w:rsid w:val="008B4F27"/>
    <w:rsid w:val="008B6E70"/>
    <w:rsid w:val="008C3135"/>
    <w:rsid w:val="008C4B06"/>
    <w:rsid w:val="008C4D33"/>
    <w:rsid w:val="008C6F3E"/>
    <w:rsid w:val="008C7292"/>
    <w:rsid w:val="008C768F"/>
    <w:rsid w:val="008D16ED"/>
    <w:rsid w:val="008D71F1"/>
    <w:rsid w:val="008D7A47"/>
    <w:rsid w:val="008E0CC5"/>
    <w:rsid w:val="008E2781"/>
    <w:rsid w:val="008E6637"/>
    <w:rsid w:val="008F0706"/>
    <w:rsid w:val="008F532E"/>
    <w:rsid w:val="008F6D7E"/>
    <w:rsid w:val="00900CF3"/>
    <w:rsid w:val="00903DF1"/>
    <w:rsid w:val="00904A86"/>
    <w:rsid w:val="0091184A"/>
    <w:rsid w:val="009141DB"/>
    <w:rsid w:val="00914C3B"/>
    <w:rsid w:val="009222FC"/>
    <w:rsid w:val="0092396A"/>
    <w:rsid w:val="0092704A"/>
    <w:rsid w:val="00931FD5"/>
    <w:rsid w:val="00934AA7"/>
    <w:rsid w:val="00942ACE"/>
    <w:rsid w:val="00942E73"/>
    <w:rsid w:val="00944026"/>
    <w:rsid w:val="00952073"/>
    <w:rsid w:val="00952451"/>
    <w:rsid w:val="00952BDD"/>
    <w:rsid w:val="009574B6"/>
    <w:rsid w:val="009608EC"/>
    <w:rsid w:val="00961EEF"/>
    <w:rsid w:val="00963C5D"/>
    <w:rsid w:val="009657C4"/>
    <w:rsid w:val="00965FC4"/>
    <w:rsid w:val="00966B74"/>
    <w:rsid w:val="009705F2"/>
    <w:rsid w:val="009712BC"/>
    <w:rsid w:val="009712EA"/>
    <w:rsid w:val="00971F54"/>
    <w:rsid w:val="00973A9D"/>
    <w:rsid w:val="009742FB"/>
    <w:rsid w:val="00974D68"/>
    <w:rsid w:val="00975F18"/>
    <w:rsid w:val="0097627A"/>
    <w:rsid w:val="009772F2"/>
    <w:rsid w:val="00982048"/>
    <w:rsid w:val="0098329F"/>
    <w:rsid w:val="009843FD"/>
    <w:rsid w:val="00984A2F"/>
    <w:rsid w:val="00986553"/>
    <w:rsid w:val="009924ED"/>
    <w:rsid w:val="00995F3C"/>
    <w:rsid w:val="0099624C"/>
    <w:rsid w:val="00996E14"/>
    <w:rsid w:val="009A3DB5"/>
    <w:rsid w:val="009A7914"/>
    <w:rsid w:val="009A7DC2"/>
    <w:rsid w:val="009B05DD"/>
    <w:rsid w:val="009B2571"/>
    <w:rsid w:val="009B2C28"/>
    <w:rsid w:val="009B55DD"/>
    <w:rsid w:val="009B7614"/>
    <w:rsid w:val="009C0533"/>
    <w:rsid w:val="009C0E71"/>
    <w:rsid w:val="009C2654"/>
    <w:rsid w:val="009C297A"/>
    <w:rsid w:val="009C3B34"/>
    <w:rsid w:val="009C45E3"/>
    <w:rsid w:val="009C486C"/>
    <w:rsid w:val="009C54AA"/>
    <w:rsid w:val="009C69B0"/>
    <w:rsid w:val="009D3C55"/>
    <w:rsid w:val="009D3D62"/>
    <w:rsid w:val="009D3F15"/>
    <w:rsid w:val="009D78E3"/>
    <w:rsid w:val="009D7B7E"/>
    <w:rsid w:val="009E09F2"/>
    <w:rsid w:val="009E1155"/>
    <w:rsid w:val="009E2C1D"/>
    <w:rsid w:val="009E451B"/>
    <w:rsid w:val="009F0E01"/>
    <w:rsid w:val="009F22C0"/>
    <w:rsid w:val="009F6F9F"/>
    <w:rsid w:val="00A033CD"/>
    <w:rsid w:val="00A040DE"/>
    <w:rsid w:val="00A05270"/>
    <w:rsid w:val="00A0589A"/>
    <w:rsid w:val="00A06144"/>
    <w:rsid w:val="00A10B42"/>
    <w:rsid w:val="00A10DCC"/>
    <w:rsid w:val="00A12EEA"/>
    <w:rsid w:val="00A14369"/>
    <w:rsid w:val="00A14FEE"/>
    <w:rsid w:val="00A15BAE"/>
    <w:rsid w:val="00A17177"/>
    <w:rsid w:val="00A17A8E"/>
    <w:rsid w:val="00A21C1D"/>
    <w:rsid w:val="00A224F5"/>
    <w:rsid w:val="00A2480B"/>
    <w:rsid w:val="00A335B3"/>
    <w:rsid w:val="00A33B47"/>
    <w:rsid w:val="00A34392"/>
    <w:rsid w:val="00A37E86"/>
    <w:rsid w:val="00A416AA"/>
    <w:rsid w:val="00A46332"/>
    <w:rsid w:val="00A50D5B"/>
    <w:rsid w:val="00A5603D"/>
    <w:rsid w:val="00A60D37"/>
    <w:rsid w:val="00A61ADF"/>
    <w:rsid w:val="00A6426C"/>
    <w:rsid w:val="00A6462A"/>
    <w:rsid w:val="00A65291"/>
    <w:rsid w:val="00A66C13"/>
    <w:rsid w:val="00A72A3A"/>
    <w:rsid w:val="00A743B1"/>
    <w:rsid w:val="00A81E33"/>
    <w:rsid w:val="00A82245"/>
    <w:rsid w:val="00A829E7"/>
    <w:rsid w:val="00A82BAF"/>
    <w:rsid w:val="00A8397B"/>
    <w:rsid w:val="00A83EDB"/>
    <w:rsid w:val="00A85CD3"/>
    <w:rsid w:val="00A8678B"/>
    <w:rsid w:val="00A86BD1"/>
    <w:rsid w:val="00A87D87"/>
    <w:rsid w:val="00A913E3"/>
    <w:rsid w:val="00A91789"/>
    <w:rsid w:val="00AA03FE"/>
    <w:rsid w:val="00AB04C2"/>
    <w:rsid w:val="00AB1A67"/>
    <w:rsid w:val="00AB4899"/>
    <w:rsid w:val="00AB6AA6"/>
    <w:rsid w:val="00AB6B31"/>
    <w:rsid w:val="00AC170B"/>
    <w:rsid w:val="00AC5A9C"/>
    <w:rsid w:val="00AC734F"/>
    <w:rsid w:val="00AD518B"/>
    <w:rsid w:val="00AD62C5"/>
    <w:rsid w:val="00AD6462"/>
    <w:rsid w:val="00AD6CB0"/>
    <w:rsid w:val="00AE3283"/>
    <w:rsid w:val="00AE4643"/>
    <w:rsid w:val="00AE4B4F"/>
    <w:rsid w:val="00AE4EC1"/>
    <w:rsid w:val="00AE5138"/>
    <w:rsid w:val="00AE687A"/>
    <w:rsid w:val="00AE74D4"/>
    <w:rsid w:val="00AF5A67"/>
    <w:rsid w:val="00AF64FC"/>
    <w:rsid w:val="00AF6D9A"/>
    <w:rsid w:val="00B00FBD"/>
    <w:rsid w:val="00B02BAA"/>
    <w:rsid w:val="00B04B33"/>
    <w:rsid w:val="00B05AD3"/>
    <w:rsid w:val="00B1034C"/>
    <w:rsid w:val="00B110D2"/>
    <w:rsid w:val="00B11ECB"/>
    <w:rsid w:val="00B12110"/>
    <w:rsid w:val="00B12DA1"/>
    <w:rsid w:val="00B1461F"/>
    <w:rsid w:val="00B14905"/>
    <w:rsid w:val="00B2734A"/>
    <w:rsid w:val="00B27473"/>
    <w:rsid w:val="00B333EF"/>
    <w:rsid w:val="00B33B8C"/>
    <w:rsid w:val="00B33D6A"/>
    <w:rsid w:val="00B37623"/>
    <w:rsid w:val="00B40D1E"/>
    <w:rsid w:val="00B415DB"/>
    <w:rsid w:val="00B42154"/>
    <w:rsid w:val="00B50CA0"/>
    <w:rsid w:val="00B53CA4"/>
    <w:rsid w:val="00B6143E"/>
    <w:rsid w:val="00B62AA7"/>
    <w:rsid w:val="00B64CB0"/>
    <w:rsid w:val="00B67285"/>
    <w:rsid w:val="00B70DEE"/>
    <w:rsid w:val="00B72F7B"/>
    <w:rsid w:val="00B74696"/>
    <w:rsid w:val="00B80E75"/>
    <w:rsid w:val="00B84C86"/>
    <w:rsid w:val="00B9316F"/>
    <w:rsid w:val="00B95E11"/>
    <w:rsid w:val="00B96E5A"/>
    <w:rsid w:val="00BA0C7A"/>
    <w:rsid w:val="00BB54AD"/>
    <w:rsid w:val="00BC0D51"/>
    <w:rsid w:val="00BC5577"/>
    <w:rsid w:val="00BD2BDB"/>
    <w:rsid w:val="00BD31C6"/>
    <w:rsid w:val="00BD3362"/>
    <w:rsid w:val="00BD3BF6"/>
    <w:rsid w:val="00BD3C08"/>
    <w:rsid w:val="00BD3E73"/>
    <w:rsid w:val="00BD62D1"/>
    <w:rsid w:val="00BD7DFE"/>
    <w:rsid w:val="00BE3672"/>
    <w:rsid w:val="00BE5825"/>
    <w:rsid w:val="00BE5CA6"/>
    <w:rsid w:val="00C030E5"/>
    <w:rsid w:val="00C07C86"/>
    <w:rsid w:val="00C07D42"/>
    <w:rsid w:val="00C13D43"/>
    <w:rsid w:val="00C16665"/>
    <w:rsid w:val="00C21E22"/>
    <w:rsid w:val="00C23DF0"/>
    <w:rsid w:val="00C305C4"/>
    <w:rsid w:val="00C31149"/>
    <w:rsid w:val="00C423DB"/>
    <w:rsid w:val="00C43D8B"/>
    <w:rsid w:val="00C461D2"/>
    <w:rsid w:val="00C46423"/>
    <w:rsid w:val="00C5229F"/>
    <w:rsid w:val="00C52A4C"/>
    <w:rsid w:val="00C549C3"/>
    <w:rsid w:val="00C54B26"/>
    <w:rsid w:val="00C6189A"/>
    <w:rsid w:val="00C74631"/>
    <w:rsid w:val="00C754A0"/>
    <w:rsid w:val="00C800E9"/>
    <w:rsid w:val="00C80D9D"/>
    <w:rsid w:val="00C81119"/>
    <w:rsid w:val="00C8225A"/>
    <w:rsid w:val="00C823C4"/>
    <w:rsid w:val="00C8259E"/>
    <w:rsid w:val="00C86083"/>
    <w:rsid w:val="00C90006"/>
    <w:rsid w:val="00C91A02"/>
    <w:rsid w:val="00C94F66"/>
    <w:rsid w:val="00C95F19"/>
    <w:rsid w:val="00CA1C76"/>
    <w:rsid w:val="00CA7226"/>
    <w:rsid w:val="00CA7F2F"/>
    <w:rsid w:val="00CB580F"/>
    <w:rsid w:val="00CB7E1C"/>
    <w:rsid w:val="00CC0705"/>
    <w:rsid w:val="00CC78F5"/>
    <w:rsid w:val="00CD2123"/>
    <w:rsid w:val="00CE09CA"/>
    <w:rsid w:val="00CE0EB2"/>
    <w:rsid w:val="00CE6817"/>
    <w:rsid w:val="00D004B0"/>
    <w:rsid w:val="00D02C4B"/>
    <w:rsid w:val="00D039FA"/>
    <w:rsid w:val="00D04189"/>
    <w:rsid w:val="00D045A9"/>
    <w:rsid w:val="00D04F93"/>
    <w:rsid w:val="00D10E65"/>
    <w:rsid w:val="00D10EEE"/>
    <w:rsid w:val="00D15D20"/>
    <w:rsid w:val="00D17B62"/>
    <w:rsid w:val="00D23B91"/>
    <w:rsid w:val="00D2556F"/>
    <w:rsid w:val="00D269BF"/>
    <w:rsid w:val="00D30028"/>
    <w:rsid w:val="00D3196D"/>
    <w:rsid w:val="00D36FD3"/>
    <w:rsid w:val="00D377D9"/>
    <w:rsid w:val="00D40125"/>
    <w:rsid w:val="00D44D4F"/>
    <w:rsid w:val="00D46FE7"/>
    <w:rsid w:val="00D53F1B"/>
    <w:rsid w:val="00D53F7F"/>
    <w:rsid w:val="00D548B2"/>
    <w:rsid w:val="00D56E1B"/>
    <w:rsid w:val="00D5797D"/>
    <w:rsid w:val="00D62A34"/>
    <w:rsid w:val="00D632A9"/>
    <w:rsid w:val="00D67019"/>
    <w:rsid w:val="00D8074E"/>
    <w:rsid w:val="00D837A7"/>
    <w:rsid w:val="00D865A9"/>
    <w:rsid w:val="00D8798C"/>
    <w:rsid w:val="00D87DEB"/>
    <w:rsid w:val="00D916E8"/>
    <w:rsid w:val="00D9231C"/>
    <w:rsid w:val="00D96790"/>
    <w:rsid w:val="00D97314"/>
    <w:rsid w:val="00DA3331"/>
    <w:rsid w:val="00DA38A4"/>
    <w:rsid w:val="00DB4103"/>
    <w:rsid w:val="00DB6EA8"/>
    <w:rsid w:val="00DC5C5B"/>
    <w:rsid w:val="00DC71E1"/>
    <w:rsid w:val="00DC73CC"/>
    <w:rsid w:val="00DD0D06"/>
    <w:rsid w:val="00DD3583"/>
    <w:rsid w:val="00DE2318"/>
    <w:rsid w:val="00DF127A"/>
    <w:rsid w:val="00E036D8"/>
    <w:rsid w:val="00E05189"/>
    <w:rsid w:val="00E11000"/>
    <w:rsid w:val="00E11E8C"/>
    <w:rsid w:val="00E14555"/>
    <w:rsid w:val="00E16171"/>
    <w:rsid w:val="00E20202"/>
    <w:rsid w:val="00E2053A"/>
    <w:rsid w:val="00E274A4"/>
    <w:rsid w:val="00E278B4"/>
    <w:rsid w:val="00E27B59"/>
    <w:rsid w:val="00E30B7F"/>
    <w:rsid w:val="00E328EB"/>
    <w:rsid w:val="00E378C6"/>
    <w:rsid w:val="00E5087F"/>
    <w:rsid w:val="00E50EC0"/>
    <w:rsid w:val="00E5149D"/>
    <w:rsid w:val="00E515A1"/>
    <w:rsid w:val="00E54912"/>
    <w:rsid w:val="00E55313"/>
    <w:rsid w:val="00E622C0"/>
    <w:rsid w:val="00E6360C"/>
    <w:rsid w:val="00E636E6"/>
    <w:rsid w:val="00E643D7"/>
    <w:rsid w:val="00E646B7"/>
    <w:rsid w:val="00E65A46"/>
    <w:rsid w:val="00E70538"/>
    <w:rsid w:val="00E70862"/>
    <w:rsid w:val="00E722C2"/>
    <w:rsid w:val="00E77ACA"/>
    <w:rsid w:val="00E8067F"/>
    <w:rsid w:val="00E806CE"/>
    <w:rsid w:val="00E8143D"/>
    <w:rsid w:val="00E8264E"/>
    <w:rsid w:val="00E85D12"/>
    <w:rsid w:val="00E86793"/>
    <w:rsid w:val="00E87E01"/>
    <w:rsid w:val="00E90128"/>
    <w:rsid w:val="00E92B31"/>
    <w:rsid w:val="00E93B88"/>
    <w:rsid w:val="00EA15B1"/>
    <w:rsid w:val="00EA39D1"/>
    <w:rsid w:val="00EA6717"/>
    <w:rsid w:val="00EB0C2F"/>
    <w:rsid w:val="00EB2806"/>
    <w:rsid w:val="00EB3550"/>
    <w:rsid w:val="00EB4C4F"/>
    <w:rsid w:val="00EC22A0"/>
    <w:rsid w:val="00EC2384"/>
    <w:rsid w:val="00EC29DE"/>
    <w:rsid w:val="00EC4A62"/>
    <w:rsid w:val="00EC646E"/>
    <w:rsid w:val="00ED2695"/>
    <w:rsid w:val="00ED421D"/>
    <w:rsid w:val="00EE23F4"/>
    <w:rsid w:val="00EE2ABD"/>
    <w:rsid w:val="00EE5CF8"/>
    <w:rsid w:val="00EE7443"/>
    <w:rsid w:val="00EF6465"/>
    <w:rsid w:val="00EF6F08"/>
    <w:rsid w:val="00EF70E5"/>
    <w:rsid w:val="00F05D87"/>
    <w:rsid w:val="00F06A12"/>
    <w:rsid w:val="00F06D65"/>
    <w:rsid w:val="00F12CDE"/>
    <w:rsid w:val="00F142BC"/>
    <w:rsid w:val="00F15032"/>
    <w:rsid w:val="00F157D1"/>
    <w:rsid w:val="00F1778B"/>
    <w:rsid w:val="00F179E6"/>
    <w:rsid w:val="00F26DDB"/>
    <w:rsid w:val="00F30644"/>
    <w:rsid w:val="00F312DE"/>
    <w:rsid w:val="00F31B89"/>
    <w:rsid w:val="00F31E6D"/>
    <w:rsid w:val="00F323E9"/>
    <w:rsid w:val="00F32BC1"/>
    <w:rsid w:val="00F401FD"/>
    <w:rsid w:val="00F55080"/>
    <w:rsid w:val="00F5599C"/>
    <w:rsid w:val="00F60EF2"/>
    <w:rsid w:val="00F60FC1"/>
    <w:rsid w:val="00F61507"/>
    <w:rsid w:val="00F6195E"/>
    <w:rsid w:val="00F61EB2"/>
    <w:rsid w:val="00F64848"/>
    <w:rsid w:val="00F64C0C"/>
    <w:rsid w:val="00F65477"/>
    <w:rsid w:val="00F66A70"/>
    <w:rsid w:val="00F70222"/>
    <w:rsid w:val="00F74B7B"/>
    <w:rsid w:val="00F809D6"/>
    <w:rsid w:val="00F8357D"/>
    <w:rsid w:val="00F8380D"/>
    <w:rsid w:val="00F84137"/>
    <w:rsid w:val="00F855B8"/>
    <w:rsid w:val="00F90135"/>
    <w:rsid w:val="00F909D0"/>
    <w:rsid w:val="00F90B9D"/>
    <w:rsid w:val="00F91707"/>
    <w:rsid w:val="00F9592A"/>
    <w:rsid w:val="00F96430"/>
    <w:rsid w:val="00F96C14"/>
    <w:rsid w:val="00FA0FBF"/>
    <w:rsid w:val="00FA20A4"/>
    <w:rsid w:val="00FA3764"/>
    <w:rsid w:val="00FA60A5"/>
    <w:rsid w:val="00FA62DC"/>
    <w:rsid w:val="00FA7195"/>
    <w:rsid w:val="00FB11E8"/>
    <w:rsid w:val="00FB22B9"/>
    <w:rsid w:val="00FB28DC"/>
    <w:rsid w:val="00FB2AFA"/>
    <w:rsid w:val="00FB699B"/>
    <w:rsid w:val="00FC00FC"/>
    <w:rsid w:val="00FC3B49"/>
    <w:rsid w:val="00FC3EC2"/>
    <w:rsid w:val="00FC5CB8"/>
    <w:rsid w:val="00FD0709"/>
    <w:rsid w:val="00FD2E79"/>
    <w:rsid w:val="00FD72AB"/>
    <w:rsid w:val="00FE0527"/>
    <w:rsid w:val="00FE4346"/>
    <w:rsid w:val="00FE6609"/>
    <w:rsid w:val="00FF271A"/>
    <w:rsid w:val="00FF50E0"/>
    <w:rsid w:val="00FF5967"/>
    <w:rsid w:val="013B4944"/>
    <w:rsid w:val="014F43EC"/>
    <w:rsid w:val="016862B7"/>
    <w:rsid w:val="0234138D"/>
    <w:rsid w:val="029A4FF3"/>
    <w:rsid w:val="029F0AF2"/>
    <w:rsid w:val="02F9098D"/>
    <w:rsid w:val="030D62FF"/>
    <w:rsid w:val="03141F6C"/>
    <w:rsid w:val="03174F3D"/>
    <w:rsid w:val="03311E12"/>
    <w:rsid w:val="03375366"/>
    <w:rsid w:val="03525361"/>
    <w:rsid w:val="039A654E"/>
    <w:rsid w:val="039E6B3C"/>
    <w:rsid w:val="03CD1A41"/>
    <w:rsid w:val="03D51D9B"/>
    <w:rsid w:val="03FC6F84"/>
    <w:rsid w:val="04031D92"/>
    <w:rsid w:val="04435167"/>
    <w:rsid w:val="049B5628"/>
    <w:rsid w:val="04A72032"/>
    <w:rsid w:val="04BD144B"/>
    <w:rsid w:val="04C7316C"/>
    <w:rsid w:val="04FF48D9"/>
    <w:rsid w:val="050D7FCD"/>
    <w:rsid w:val="05452235"/>
    <w:rsid w:val="057B43B4"/>
    <w:rsid w:val="05884CB4"/>
    <w:rsid w:val="0605426F"/>
    <w:rsid w:val="061B6B4D"/>
    <w:rsid w:val="0642001F"/>
    <w:rsid w:val="064603E8"/>
    <w:rsid w:val="06465B2E"/>
    <w:rsid w:val="064E0672"/>
    <w:rsid w:val="06A12781"/>
    <w:rsid w:val="06BD5FB2"/>
    <w:rsid w:val="073B020F"/>
    <w:rsid w:val="073E427C"/>
    <w:rsid w:val="074C2609"/>
    <w:rsid w:val="07C7068F"/>
    <w:rsid w:val="07EB29B1"/>
    <w:rsid w:val="07F12200"/>
    <w:rsid w:val="07FA0A50"/>
    <w:rsid w:val="088E5CA1"/>
    <w:rsid w:val="08C11D7D"/>
    <w:rsid w:val="08FD615D"/>
    <w:rsid w:val="09385DBB"/>
    <w:rsid w:val="09770B13"/>
    <w:rsid w:val="099E2C10"/>
    <w:rsid w:val="09C504E0"/>
    <w:rsid w:val="0A052A50"/>
    <w:rsid w:val="0A2C5771"/>
    <w:rsid w:val="0A717FE3"/>
    <w:rsid w:val="0A8201EC"/>
    <w:rsid w:val="0A9E5C23"/>
    <w:rsid w:val="0AAF0151"/>
    <w:rsid w:val="0AC8599B"/>
    <w:rsid w:val="0AE02304"/>
    <w:rsid w:val="0B01585A"/>
    <w:rsid w:val="0B462863"/>
    <w:rsid w:val="0B761E8C"/>
    <w:rsid w:val="0B8A12F6"/>
    <w:rsid w:val="0BD23C85"/>
    <w:rsid w:val="0BD43149"/>
    <w:rsid w:val="0BDE2831"/>
    <w:rsid w:val="0BE711B7"/>
    <w:rsid w:val="0BEB55D7"/>
    <w:rsid w:val="0BEB5B52"/>
    <w:rsid w:val="0C4122C6"/>
    <w:rsid w:val="0C452F99"/>
    <w:rsid w:val="0C48523E"/>
    <w:rsid w:val="0C767683"/>
    <w:rsid w:val="0CA13D98"/>
    <w:rsid w:val="0CAA1A45"/>
    <w:rsid w:val="0CB101B0"/>
    <w:rsid w:val="0CE916E4"/>
    <w:rsid w:val="0CF27A72"/>
    <w:rsid w:val="0D111D71"/>
    <w:rsid w:val="0D3D494A"/>
    <w:rsid w:val="0D6E60A1"/>
    <w:rsid w:val="0D9B5B8B"/>
    <w:rsid w:val="0DA21DF1"/>
    <w:rsid w:val="0DAF2814"/>
    <w:rsid w:val="0DD00D67"/>
    <w:rsid w:val="0DEA2E68"/>
    <w:rsid w:val="0E2974C8"/>
    <w:rsid w:val="0E486157"/>
    <w:rsid w:val="0E533361"/>
    <w:rsid w:val="0EB0555E"/>
    <w:rsid w:val="0F047A55"/>
    <w:rsid w:val="0F17262A"/>
    <w:rsid w:val="0F2D2F2A"/>
    <w:rsid w:val="0F335DE5"/>
    <w:rsid w:val="0F60075C"/>
    <w:rsid w:val="0F914465"/>
    <w:rsid w:val="0FB80153"/>
    <w:rsid w:val="0FBD6E6C"/>
    <w:rsid w:val="101A1D40"/>
    <w:rsid w:val="1025513D"/>
    <w:rsid w:val="1055212B"/>
    <w:rsid w:val="107C2B34"/>
    <w:rsid w:val="10890C6B"/>
    <w:rsid w:val="109C7EF6"/>
    <w:rsid w:val="10C97052"/>
    <w:rsid w:val="10F36FE9"/>
    <w:rsid w:val="12577DE7"/>
    <w:rsid w:val="125C2645"/>
    <w:rsid w:val="13027981"/>
    <w:rsid w:val="134A432B"/>
    <w:rsid w:val="13693C7B"/>
    <w:rsid w:val="136A2985"/>
    <w:rsid w:val="13CB41F1"/>
    <w:rsid w:val="14215A6F"/>
    <w:rsid w:val="14447FCD"/>
    <w:rsid w:val="14590ACC"/>
    <w:rsid w:val="145A48EA"/>
    <w:rsid w:val="14691370"/>
    <w:rsid w:val="149C4209"/>
    <w:rsid w:val="14B54789"/>
    <w:rsid w:val="152572C1"/>
    <w:rsid w:val="153831C7"/>
    <w:rsid w:val="15507A01"/>
    <w:rsid w:val="159E22A5"/>
    <w:rsid w:val="15CE3B81"/>
    <w:rsid w:val="1615277C"/>
    <w:rsid w:val="16936093"/>
    <w:rsid w:val="16CD7B2B"/>
    <w:rsid w:val="16F30C91"/>
    <w:rsid w:val="16F40907"/>
    <w:rsid w:val="175B1CF1"/>
    <w:rsid w:val="178935E9"/>
    <w:rsid w:val="178C57AD"/>
    <w:rsid w:val="17B94649"/>
    <w:rsid w:val="17E47C7C"/>
    <w:rsid w:val="17F92C94"/>
    <w:rsid w:val="181D629B"/>
    <w:rsid w:val="183D5197"/>
    <w:rsid w:val="1855311A"/>
    <w:rsid w:val="18BA0052"/>
    <w:rsid w:val="18BB7226"/>
    <w:rsid w:val="19160617"/>
    <w:rsid w:val="192C4113"/>
    <w:rsid w:val="193C6734"/>
    <w:rsid w:val="1981715C"/>
    <w:rsid w:val="19A51228"/>
    <w:rsid w:val="19D00D40"/>
    <w:rsid w:val="19DF19D9"/>
    <w:rsid w:val="1A1E3E96"/>
    <w:rsid w:val="1A29563E"/>
    <w:rsid w:val="1A6738AE"/>
    <w:rsid w:val="1A9E547C"/>
    <w:rsid w:val="1AAA0930"/>
    <w:rsid w:val="1AC75042"/>
    <w:rsid w:val="1B46065D"/>
    <w:rsid w:val="1BB94558"/>
    <w:rsid w:val="1BD3078E"/>
    <w:rsid w:val="1BD63C07"/>
    <w:rsid w:val="1C0273B8"/>
    <w:rsid w:val="1C094564"/>
    <w:rsid w:val="1C1D1621"/>
    <w:rsid w:val="1C4A7F6D"/>
    <w:rsid w:val="1C9C3D0A"/>
    <w:rsid w:val="1CA61D97"/>
    <w:rsid w:val="1CC36D54"/>
    <w:rsid w:val="1CC873F9"/>
    <w:rsid w:val="1CF00880"/>
    <w:rsid w:val="1D8D3B97"/>
    <w:rsid w:val="1DA353B0"/>
    <w:rsid w:val="1DB47A3E"/>
    <w:rsid w:val="1DE60AB3"/>
    <w:rsid w:val="1DEC3165"/>
    <w:rsid w:val="1E0D7E12"/>
    <w:rsid w:val="1E0F11DA"/>
    <w:rsid w:val="1E104638"/>
    <w:rsid w:val="1E6E3532"/>
    <w:rsid w:val="1E86350C"/>
    <w:rsid w:val="1EA93F70"/>
    <w:rsid w:val="1ED56DD3"/>
    <w:rsid w:val="1ED83327"/>
    <w:rsid w:val="1EDA17E8"/>
    <w:rsid w:val="1EDB753D"/>
    <w:rsid w:val="1EE57DD0"/>
    <w:rsid w:val="1EF01369"/>
    <w:rsid w:val="1F647385"/>
    <w:rsid w:val="1FD95964"/>
    <w:rsid w:val="21224DDA"/>
    <w:rsid w:val="216A2301"/>
    <w:rsid w:val="219C35B5"/>
    <w:rsid w:val="21AF7E11"/>
    <w:rsid w:val="21D87147"/>
    <w:rsid w:val="220646A2"/>
    <w:rsid w:val="22467258"/>
    <w:rsid w:val="225476F0"/>
    <w:rsid w:val="22AC1F99"/>
    <w:rsid w:val="22C0162A"/>
    <w:rsid w:val="234E2E43"/>
    <w:rsid w:val="235A5649"/>
    <w:rsid w:val="23742E23"/>
    <w:rsid w:val="237B0C64"/>
    <w:rsid w:val="239067FA"/>
    <w:rsid w:val="23AD35C5"/>
    <w:rsid w:val="23C55C0A"/>
    <w:rsid w:val="23CC306F"/>
    <w:rsid w:val="23D24DEB"/>
    <w:rsid w:val="23D33CAB"/>
    <w:rsid w:val="23E32EED"/>
    <w:rsid w:val="242263FD"/>
    <w:rsid w:val="24255F8E"/>
    <w:rsid w:val="24436BE8"/>
    <w:rsid w:val="246B5259"/>
    <w:rsid w:val="24A02B8C"/>
    <w:rsid w:val="250A3D72"/>
    <w:rsid w:val="25304C68"/>
    <w:rsid w:val="25337596"/>
    <w:rsid w:val="253E2C4D"/>
    <w:rsid w:val="25466F1A"/>
    <w:rsid w:val="254C5D85"/>
    <w:rsid w:val="25697422"/>
    <w:rsid w:val="257A3122"/>
    <w:rsid w:val="25B42B33"/>
    <w:rsid w:val="25C831C6"/>
    <w:rsid w:val="26111954"/>
    <w:rsid w:val="261543E8"/>
    <w:rsid w:val="261E4592"/>
    <w:rsid w:val="26420A5D"/>
    <w:rsid w:val="264439EB"/>
    <w:rsid w:val="265A1F39"/>
    <w:rsid w:val="26764AB1"/>
    <w:rsid w:val="26C01D59"/>
    <w:rsid w:val="26FB0214"/>
    <w:rsid w:val="270633B2"/>
    <w:rsid w:val="270C052C"/>
    <w:rsid w:val="27116E6C"/>
    <w:rsid w:val="27430E2D"/>
    <w:rsid w:val="277B5E5A"/>
    <w:rsid w:val="27AE42A3"/>
    <w:rsid w:val="281573ED"/>
    <w:rsid w:val="285917E7"/>
    <w:rsid w:val="286018A1"/>
    <w:rsid w:val="287763BE"/>
    <w:rsid w:val="28EF5E90"/>
    <w:rsid w:val="294E0E09"/>
    <w:rsid w:val="29573A19"/>
    <w:rsid w:val="2961426B"/>
    <w:rsid w:val="29770888"/>
    <w:rsid w:val="29A90AA3"/>
    <w:rsid w:val="29D20B71"/>
    <w:rsid w:val="29DB3439"/>
    <w:rsid w:val="2A185512"/>
    <w:rsid w:val="2A402E34"/>
    <w:rsid w:val="2A85258B"/>
    <w:rsid w:val="2AA72378"/>
    <w:rsid w:val="2AD046CD"/>
    <w:rsid w:val="2AFA67C3"/>
    <w:rsid w:val="2B100144"/>
    <w:rsid w:val="2B6A6E5A"/>
    <w:rsid w:val="2B6E5B01"/>
    <w:rsid w:val="2BC74EA2"/>
    <w:rsid w:val="2BD06081"/>
    <w:rsid w:val="2C166459"/>
    <w:rsid w:val="2C330A62"/>
    <w:rsid w:val="2C8E5BB9"/>
    <w:rsid w:val="2C8F100D"/>
    <w:rsid w:val="2CE90A48"/>
    <w:rsid w:val="2DEB1B80"/>
    <w:rsid w:val="2E656F48"/>
    <w:rsid w:val="2E682316"/>
    <w:rsid w:val="2E923CE7"/>
    <w:rsid w:val="2EAE46E1"/>
    <w:rsid w:val="2F1235FA"/>
    <w:rsid w:val="2F740F38"/>
    <w:rsid w:val="2FA05C87"/>
    <w:rsid w:val="2FBA674A"/>
    <w:rsid w:val="2FEF34C6"/>
    <w:rsid w:val="30595624"/>
    <w:rsid w:val="30682029"/>
    <w:rsid w:val="307C62BC"/>
    <w:rsid w:val="308C7616"/>
    <w:rsid w:val="308F5662"/>
    <w:rsid w:val="30F05E6D"/>
    <w:rsid w:val="31073580"/>
    <w:rsid w:val="31261645"/>
    <w:rsid w:val="312E7229"/>
    <w:rsid w:val="315B4B3B"/>
    <w:rsid w:val="316656C1"/>
    <w:rsid w:val="31CB42E5"/>
    <w:rsid w:val="31ED3189"/>
    <w:rsid w:val="31F07E99"/>
    <w:rsid w:val="31F64FCB"/>
    <w:rsid w:val="32143562"/>
    <w:rsid w:val="3221311C"/>
    <w:rsid w:val="325C64CE"/>
    <w:rsid w:val="3284740C"/>
    <w:rsid w:val="32935D9A"/>
    <w:rsid w:val="329A6E6D"/>
    <w:rsid w:val="33175BD1"/>
    <w:rsid w:val="3370124E"/>
    <w:rsid w:val="33870A74"/>
    <w:rsid w:val="33995376"/>
    <w:rsid w:val="33BA11B8"/>
    <w:rsid w:val="33C65C0C"/>
    <w:rsid w:val="34A63463"/>
    <w:rsid w:val="34C32CC7"/>
    <w:rsid w:val="35013235"/>
    <w:rsid w:val="35383CDF"/>
    <w:rsid w:val="355E5437"/>
    <w:rsid w:val="356B634F"/>
    <w:rsid w:val="35842EDE"/>
    <w:rsid w:val="358D2630"/>
    <w:rsid w:val="35A35214"/>
    <w:rsid w:val="35BB71F1"/>
    <w:rsid w:val="35F77E5F"/>
    <w:rsid w:val="35FF3F86"/>
    <w:rsid w:val="36177727"/>
    <w:rsid w:val="36440DAE"/>
    <w:rsid w:val="3667620A"/>
    <w:rsid w:val="369264A4"/>
    <w:rsid w:val="3694235F"/>
    <w:rsid w:val="36B32945"/>
    <w:rsid w:val="36C02D57"/>
    <w:rsid w:val="36CD677B"/>
    <w:rsid w:val="36E74AE9"/>
    <w:rsid w:val="37405AD5"/>
    <w:rsid w:val="3761378B"/>
    <w:rsid w:val="376E55E1"/>
    <w:rsid w:val="376F2B88"/>
    <w:rsid w:val="37BE184F"/>
    <w:rsid w:val="37EA2644"/>
    <w:rsid w:val="37F05F4D"/>
    <w:rsid w:val="37FA17BE"/>
    <w:rsid w:val="3813700C"/>
    <w:rsid w:val="382E5B94"/>
    <w:rsid w:val="3832489A"/>
    <w:rsid w:val="383D471C"/>
    <w:rsid w:val="386553C4"/>
    <w:rsid w:val="386A5B0B"/>
    <w:rsid w:val="388B0C24"/>
    <w:rsid w:val="389A279F"/>
    <w:rsid w:val="391D0313"/>
    <w:rsid w:val="3923535C"/>
    <w:rsid w:val="392634FF"/>
    <w:rsid w:val="394D7456"/>
    <w:rsid w:val="395A7356"/>
    <w:rsid w:val="39605DDA"/>
    <w:rsid w:val="39606DBA"/>
    <w:rsid w:val="39664FE9"/>
    <w:rsid w:val="396C5CC7"/>
    <w:rsid w:val="397E3BBA"/>
    <w:rsid w:val="39801F40"/>
    <w:rsid w:val="39D27D8A"/>
    <w:rsid w:val="3A723FE3"/>
    <w:rsid w:val="3AB5795C"/>
    <w:rsid w:val="3AC42FCC"/>
    <w:rsid w:val="3ACE686B"/>
    <w:rsid w:val="3AD5386A"/>
    <w:rsid w:val="3AFF4712"/>
    <w:rsid w:val="3B267B4A"/>
    <w:rsid w:val="3B720D3D"/>
    <w:rsid w:val="3BFC0891"/>
    <w:rsid w:val="3C0119CF"/>
    <w:rsid w:val="3C094992"/>
    <w:rsid w:val="3C456F72"/>
    <w:rsid w:val="3C4D62F4"/>
    <w:rsid w:val="3C70758C"/>
    <w:rsid w:val="3CAA3284"/>
    <w:rsid w:val="3CAF79B9"/>
    <w:rsid w:val="3CCF6E69"/>
    <w:rsid w:val="3CD40F3A"/>
    <w:rsid w:val="3DA2586F"/>
    <w:rsid w:val="3DB53370"/>
    <w:rsid w:val="3DC32E01"/>
    <w:rsid w:val="3DE36A7E"/>
    <w:rsid w:val="3DEF1977"/>
    <w:rsid w:val="3E261BCA"/>
    <w:rsid w:val="3E593281"/>
    <w:rsid w:val="3E7D12BC"/>
    <w:rsid w:val="3EC936D6"/>
    <w:rsid w:val="3EE51D6B"/>
    <w:rsid w:val="3F2A344A"/>
    <w:rsid w:val="3F3A37F1"/>
    <w:rsid w:val="3F653140"/>
    <w:rsid w:val="3F705C0B"/>
    <w:rsid w:val="3F8C2233"/>
    <w:rsid w:val="3FBE7323"/>
    <w:rsid w:val="3FDD483D"/>
    <w:rsid w:val="40366C91"/>
    <w:rsid w:val="404B50C8"/>
    <w:rsid w:val="405C1C05"/>
    <w:rsid w:val="408E7F02"/>
    <w:rsid w:val="40962D22"/>
    <w:rsid w:val="40C559FD"/>
    <w:rsid w:val="40EB11DB"/>
    <w:rsid w:val="40EE6D55"/>
    <w:rsid w:val="413655D4"/>
    <w:rsid w:val="415162AF"/>
    <w:rsid w:val="41780EB4"/>
    <w:rsid w:val="418662EF"/>
    <w:rsid w:val="418670FF"/>
    <w:rsid w:val="42076C6C"/>
    <w:rsid w:val="4220687D"/>
    <w:rsid w:val="425E3D7D"/>
    <w:rsid w:val="4268674F"/>
    <w:rsid w:val="427174BE"/>
    <w:rsid w:val="428D2245"/>
    <w:rsid w:val="429B0441"/>
    <w:rsid w:val="42E27CE8"/>
    <w:rsid w:val="43491CBA"/>
    <w:rsid w:val="43752E9F"/>
    <w:rsid w:val="43A10F29"/>
    <w:rsid w:val="43A722C2"/>
    <w:rsid w:val="43AE20BA"/>
    <w:rsid w:val="43B12268"/>
    <w:rsid w:val="43E75C8A"/>
    <w:rsid w:val="442F455C"/>
    <w:rsid w:val="445C3546"/>
    <w:rsid w:val="44E8660C"/>
    <w:rsid w:val="45117D80"/>
    <w:rsid w:val="45480536"/>
    <w:rsid w:val="45963A0B"/>
    <w:rsid w:val="46114D68"/>
    <w:rsid w:val="464650EE"/>
    <w:rsid w:val="464D67FE"/>
    <w:rsid w:val="46683202"/>
    <w:rsid w:val="4675644E"/>
    <w:rsid w:val="46D72281"/>
    <w:rsid w:val="46F26E20"/>
    <w:rsid w:val="47196039"/>
    <w:rsid w:val="47280A93"/>
    <w:rsid w:val="47571E54"/>
    <w:rsid w:val="476D6EBA"/>
    <w:rsid w:val="478D6B48"/>
    <w:rsid w:val="479B635A"/>
    <w:rsid w:val="47A81209"/>
    <w:rsid w:val="47AE2FAC"/>
    <w:rsid w:val="47B14163"/>
    <w:rsid w:val="47CF2DE3"/>
    <w:rsid w:val="47E677B3"/>
    <w:rsid w:val="47FD7147"/>
    <w:rsid w:val="48140007"/>
    <w:rsid w:val="481717F0"/>
    <w:rsid w:val="48BD0E84"/>
    <w:rsid w:val="49063724"/>
    <w:rsid w:val="49067070"/>
    <w:rsid w:val="49727DEF"/>
    <w:rsid w:val="49975779"/>
    <w:rsid w:val="49C634CB"/>
    <w:rsid w:val="49DC5B65"/>
    <w:rsid w:val="4A06781F"/>
    <w:rsid w:val="4A136DA0"/>
    <w:rsid w:val="4A145BA1"/>
    <w:rsid w:val="4A606796"/>
    <w:rsid w:val="4A9B579B"/>
    <w:rsid w:val="4AA2518A"/>
    <w:rsid w:val="4AD67CC5"/>
    <w:rsid w:val="4AF62C56"/>
    <w:rsid w:val="4B4F4691"/>
    <w:rsid w:val="4B527B10"/>
    <w:rsid w:val="4B6E6C91"/>
    <w:rsid w:val="4B8935FD"/>
    <w:rsid w:val="4B9F4711"/>
    <w:rsid w:val="4BA104E5"/>
    <w:rsid w:val="4BB026D7"/>
    <w:rsid w:val="4BDA1B1F"/>
    <w:rsid w:val="4C0A278F"/>
    <w:rsid w:val="4C147838"/>
    <w:rsid w:val="4C1752E8"/>
    <w:rsid w:val="4C934A75"/>
    <w:rsid w:val="4CC44806"/>
    <w:rsid w:val="4CD01D68"/>
    <w:rsid w:val="4CD92F09"/>
    <w:rsid w:val="4CF43425"/>
    <w:rsid w:val="4D1421C5"/>
    <w:rsid w:val="4D243AAB"/>
    <w:rsid w:val="4D555C8B"/>
    <w:rsid w:val="4D6308F3"/>
    <w:rsid w:val="4D695962"/>
    <w:rsid w:val="4D6D1C95"/>
    <w:rsid w:val="4D826A23"/>
    <w:rsid w:val="4E066723"/>
    <w:rsid w:val="4E08517B"/>
    <w:rsid w:val="4E2234FC"/>
    <w:rsid w:val="4E27437C"/>
    <w:rsid w:val="4E911844"/>
    <w:rsid w:val="4EB3343D"/>
    <w:rsid w:val="4EBD5F65"/>
    <w:rsid w:val="4EF745D9"/>
    <w:rsid w:val="4F4B4713"/>
    <w:rsid w:val="4F4D6CEF"/>
    <w:rsid w:val="4F5D557B"/>
    <w:rsid w:val="4F6750D3"/>
    <w:rsid w:val="4F6D437D"/>
    <w:rsid w:val="4F8B4EB5"/>
    <w:rsid w:val="4F927265"/>
    <w:rsid w:val="504E4367"/>
    <w:rsid w:val="50885D57"/>
    <w:rsid w:val="50981E5C"/>
    <w:rsid w:val="50BF160A"/>
    <w:rsid w:val="510F685B"/>
    <w:rsid w:val="512B4E2E"/>
    <w:rsid w:val="513B2511"/>
    <w:rsid w:val="51A445C0"/>
    <w:rsid w:val="51A97276"/>
    <w:rsid w:val="52383444"/>
    <w:rsid w:val="52996089"/>
    <w:rsid w:val="52A706A9"/>
    <w:rsid w:val="52EA4358"/>
    <w:rsid w:val="531225F7"/>
    <w:rsid w:val="53320361"/>
    <w:rsid w:val="53642888"/>
    <w:rsid w:val="539A0E95"/>
    <w:rsid w:val="53B637A9"/>
    <w:rsid w:val="53B65D6E"/>
    <w:rsid w:val="53B91C07"/>
    <w:rsid w:val="544B4013"/>
    <w:rsid w:val="545676F1"/>
    <w:rsid w:val="546B0211"/>
    <w:rsid w:val="54947454"/>
    <w:rsid w:val="54B419FB"/>
    <w:rsid w:val="54BB52C5"/>
    <w:rsid w:val="54C22377"/>
    <w:rsid w:val="54C84207"/>
    <w:rsid w:val="54FB7F1E"/>
    <w:rsid w:val="5544780D"/>
    <w:rsid w:val="55477FC1"/>
    <w:rsid w:val="5579789F"/>
    <w:rsid w:val="55B856D8"/>
    <w:rsid w:val="55D624BF"/>
    <w:rsid w:val="55DB27AC"/>
    <w:rsid w:val="561D6382"/>
    <w:rsid w:val="5628091A"/>
    <w:rsid w:val="562D3258"/>
    <w:rsid w:val="56320B38"/>
    <w:rsid w:val="563B4985"/>
    <w:rsid w:val="56813D1C"/>
    <w:rsid w:val="56CC2EF8"/>
    <w:rsid w:val="56D553A9"/>
    <w:rsid w:val="56FA6E69"/>
    <w:rsid w:val="5727718D"/>
    <w:rsid w:val="57572801"/>
    <w:rsid w:val="577859F7"/>
    <w:rsid w:val="57CF7087"/>
    <w:rsid w:val="57EB259F"/>
    <w:rsid w:val="580A0881"/>
    <w:rsid w:val="58254B7B"/>
    <w:rsid w:val="58360A82"/>
    <w:rsid w:val="587B6449"/>
    <w:rsid w:val="587C3A91"/>
    <w:rsid w:val="58D00A02"/>
    <w:rsid w:val="58D520FD"/>
    <w:rsid w:val="592E2905"/>
    <w:rsid w:val="593764C8"/>
    <w:rsid w:val="59530390"/>
    <w:rsid w:val="59925604"/>
    <w:rsid w:val="59A36566"/>
    <w:rsid w:val="59C6543A"/>
    <w:rsid w:val="59E314E1"/>
    <w:rsid w:val="5A1751F0"/>
    <w:rsid w:val="5A8A796A"/>
    <w:rsid w:val="5ADF60F3"/>
    <w:rsid w:val="5B001E53"/>
    <w:rsid w:val="5B0D3E3C"/>
    <w:rsid w:val="5B1A53C6"/>
    <w:rsid w:val="5B2E4542"/>
    <w:rsid w:val="5B963814"/>
    <w:rsid w:val="5BAC7B28"/>
    <w:rsid w:val="5BB04D30"/>
    <w:rsid w:val="5C44058D"/>
    <w:rsid w:val="5C526290"/>
    <w:rsid w:val="5C5F0D33"/>
    <w:rsid w:val="5CAB11F3"/>
    <w:rsid w:val="5CBF1B3C"/>
    <w:rsid w:val="5CFB10A2"/>
    <w:rsid w:val="5D472C12"/>
    <w:rsid w:val="5DBF1736"/>
    <w:rsid w:val="5DDE32C3"/>
    <w:rsid w:val="5E257683"/>
    <w:rsid w:val="5E5717C3"/>
    <w:rsid w:val="5E690773"/>
    <w:rsid w:val="5E877A7D"/>
    <w:rsid w:val="5EC614D8"/>
    <w:rsid w:val="5F1A4CA9"/>
    <w:rsid w:val="5F3F4AC9"/>
    <w:rsid w:val="5F660F3F"/>
    <w:rsid w:val="5F7F60A4"/>
    <w:rsid w:val="5FCA30FF"/>
    <w:rsid w:val="5FDD22C1"/>
    <w:rsid w:val="600C4ED2"/>
    <w:rsid w:val="60341DFF"/>
    <w:rsid w:val="60456D6B"/>
    <w:rsid w:val="609C4318"/>
    <w:rsid w:val="60DF3930"/>
    <w:rsid w:val="60EB6A42"/>
    <w:rsid w:val="61025F9A"/>
    <w:rsid w:val="61132870"/>
    <w:rsid w:val="6116747B"/>
    <w:rsid w:val="61300818"/>
    <w:rsid w:val="61336898"/>
    <w:rsid w:val="61401063"/>
    <w:rsid w:val="61A73CE8"/>
    <w:rsid w:val="61AA6DA6"/>
    <w:rsid w:val="61C95A0F"/>
    <w:rsid w:val="622B0BAC"/>
    <w:rsid w:val="62A57383"/>
    <w:rsid w:val="62B527DB"/>
    <w:rsid w:val="62F14B14"/>
    <w:rsid w:val="63055F43"/>
    <w:rsid w:val="630C0E11"/>
    <w:rsid w:val="63296BD8"/>
    <w:rsid w:val="632B1E94"/>
    <w:rsid w:val="632E57EF"/>
    <w:rsid w:val="633701CE"/>
    <w:rsid w:val="63466D07"/>
    <w:rsid w:val="639808F7"/>
    <w:rsid w:val="63E97909"/>
    <w:rsid w:val="64263C05"/>
    <w:rsid w:val="64294480"/>
    <w:rsid w:val="64782246"/>
    <w:rsid w:val="647C570A"/>
    <w:rsid w:val="64B14FC1"/>
    <w:rsid w:val="64C52428"/>
    <w:rsid w:val="64E8140A"/>
    <w:rsid w:val="651E74F9"/>
    <w:rsid w:val="65CB0B10"/>
    <w:rsid w:val="65EA26BD"/>
    <w:rsid w:val="661B62C8"/>
    <w:rsid w:val="664E059A"/>
    <w:rsid w:val="66DF7FAC"/>
    <w:rsid w:val="66EC7942"/>
    <w:rsid w:val="670B0BA2"/>
    <w:rsid w:val="672032FF"/>
    <w:rsid w:val="67393EF5"/>
    <w:rsid w:val="678E212D"/>
    <w:rsid w:val="67AA6A75"/>
    <w:rsid w:val="67B11FEE"/>
    <w:rsid w:val="67B3300F"/>
    <w:rsid w:val="67CC6DC1"/>
    <w:rsid w:val="68000A1A"/>
    <w:rsid w:val="68185610"/>
    <w:rsid w:val="683416CD"/>
    <w:rsid w:val="683D2155"/>
    <w:rsid w:val="68704A27"/>
    <w:rsid w:val="688A7038"/>
    <w:rsid w:val="690976CF"/>
    <w:rsid w:val="691B6F1A"/>
    <w:rsid w:val="69431305"/>
    <w:rsid w:val="694B4C0D"/>
    <w:rsid w:val="69651A12"/>
    <w:rsid w:val="6974326C"/>
    <w:rsid w:val="69A26F6D"/>
    <w:rsid w:val="69BB32F2"/>
    <w:rsid w:val="69EA1150"/>
    <w:rsid w:val="69EC4F13"/>
    <w:rsid w:val="6A016CF4"/>
    <w:rsid w:val="6A0E5F3C"/>
    <w:rsid w:val="6A1A027C"/>
    <w:rsid w:val="6A4F103E"/>
    <w:rsid w:val="6A8F6601"/>
    <w:rsid w:val="6A9A27BB"/>
    <w:rsid w:val="6AB51D8E"/>
    <w:rsid w:val="6B0C7706"/>
    <w:rsid w:val="6B1B6095"/>
    <w:rsid w:val="6B6C28FE"/>
    <w:rsid w:val="6B8026C9"/>
    <w:rsid w:val="6B923E7E"/>
    <w:rsid w:val="6B9E0A74"/>
    <w:rsid w:val="6BA72C9D"/>
    <w:rsid w:val="6BD54DEF"/>
    <w:rsid w:val="6C044D7B"/>
    <w:rsid w:val="6C1B1B37"/>
    <w:rsid w:val="6C1F3963"/>
    <w:rsid w:val="6C5A2BED"/>
    <w:rsid w:val="6C845C4E"/>
    <w:rsid w:val="6D0222A2"/>
    <w:rsid w:val="6D251352"/>
    <w:rsid w:val="6D2938A8"/>
    <w:rsid w:val="6D4F0278"/>
    <w:rsid w:val="6D6001EC"/>
    <w:rsid w:val="6D613624"/>
    <w:rsid w:val="6DC55B94"/>
    <w:rsid w:val="6DD71A9B"/>
    <w:rsid w:val="6DE21FFF"/>
    <w:rsid w:val="6DF1085F"/>
    <w:rsid w:val="6E267403"/>
    <w:rsid w:val="6E6B580B"/>
    <w:rsid w:val="6EAB4F77"/>
    <w:rsid w:val="6EB24C6B"/>
    <w:rsid w:val="6ED443D0"/>
    <w:rsid w:val="6EDD5FA4"/>
    <w:rsid w:val="6F032A2F"/>
    <w:rsid w:val="6F2D534C"/>
    <w:rsid w:val="6F4638AE"/>
    <w:rsid w:val="6F4F3566"/>
    <w:rsid w:val="6F653D83"/>
    <w:rsid w:val="6F9E06E4"/>
    <w:rsid w:val="6FCD5FD7"/>
    <w:rsid w:val="7014426C"/>
    <w:rsid w:val="701C509C"/>
    <w:rsid w:val="70816354"/>
    <w:rsid w:val="70AC5BC0"/>
    <w:rsid w:val="70D311C0"/>
    <w:rsid w:val="70E32271"/>
    <w:rsid w:val="70F2774D"/>
    <w:rsid w:val="71031F5C"/>
    <w:rsid w:val="710903AB"/>
    <w:rsid w:val="711B59D1"/>
    <w:rsid w:val="71505C18"/>
    <w:rsid w:val="71570EDA"/>
    <w:rsid w:val="71792D3A"/>
    <w:rsid w:val="717E112C"/>
    <w:rsid w:val="719B73E5"/>
    <w:rsid w:val="71BB7720"/>
    <w:rsid w:val="71C35DEF"/>
    <w:rsid w:val="71C86E42"/>
    <w:rsid w:val="71CA504D"/>
    <w:rsid w:val="72345C8F"/>
    <w:rsid w:val="72B64B75"/>
    <w:rsid w:val="72D82ABE"/>
    <w:rsid w:val="72F45BD1"/>
    <w:rsid w:val="72F625E1"/>
    <w:rsid w:val="7318725C"/>
    <w:rsid w:val="73236BEB"/>
    <w:rsid w:val="733A5A8F"/>
    <w:rsid w:val="73611B96"/>
    <w:rsid w:val="737F2386"/>
    <w:rsid w:val="73944C37"/>
    <w:rsid w:val="73C75AC5"/>
    <w:rsid w:val="73CD0DC6"/>
    <w:rsid w:val="73CF0426"/>
    <w:rsid w:val="73D76192"/>
    <w:rsid w:val="741100B1"/>
    <w:rsid w:val="74261BA4"/>
    <w:rsid w:val="742D188E"/>
    <w:rsid w:val="74631066"/>
    <w:rsid w:val="74A75798"/>
    <w:rsid w:val="751A50CF"/>
    <w:rsid w:val="752D0CA5"/>
    <w:rsid w:val="755873D9"/>
    <w:rsid w:val="75E8126A"/>
    <w:rsid w:val="75F33D2B"/>
    <w:rsid w:val="75F53987"/>
    <w:rsid w:val="760C5540"/>
    <w:rsid w:val="760E1C9B"/>
    <w:rsid w:val="761622A3"/>
    <w:rsid w:val="762B237E"/>
    <w:rsid w:val="76342F98"/>
    <w:rsid w:val="765134FE"/>
    <w:rsid w:val="76520169"/>
    <w:rsid w:val="765C66BE"/>
    <w:rsid w:val="76850AE5"/>
    <w:rsid w:val="76B760AB"/>
    <w:rsid w:val="76D501AF"/>
    <w:rsid w:val="76F605C0"/>
    <w:rsid w:val="76F82A99"/>
    <w:rsid w:val="77494238"/>
    <w:rsid w:val="774A6F53"/>
    <w:rsid w:val="776C38C3"/>
    <w:rsid w:val="778C5F42"/>
    <w:rsid w:val="77975072"/>
    <w:rsid w:val="77B54B7B"/>
    <w:rsid w:val="77CD73FD"/>
    <w:rsid w:val="77F6065F"/>
    <w:rsid w:val="780D746C"/>
    <w:rsid w:val="782F2C9A"/>
    <w:rsid w:val="784C22F5"/>
    <w:rsid w:val="784D77A7"/>
    <w:rsid w:val="78760DAF"/>
    <w:rsid w:val="787E2228"/>
    <w:rsid w:val="78A3798C"/>
    <w:rsid w:val="79273753"/>
    <w:rsid w:val="79560EFA"/>
    <w:rsid w:val="79C2618F"/>
    <w:rsid w:val="79DB6C56"/>
    <w:rsid w:val="7A426EF4"/>
    <w:rsid w:val="7A5C6C08"/>
    <w:rsid w:val="7A736669"/>
    <w:rsid w:val="7A837928"/>
    <w:rsid w:val="7A911ED0"/>
    <w:rsid w:val="7AD102FF"/>
    <w:rsid w:val="7ADF2049"/>
    <w:rsid w:val="7AF366E7"/>
    <w:rsid w:val="7B260951"/>
    <w:rsid w:val="7B3A62FF"/>
    <w:rsid w:val="7B485D83"/>
    <w:rsid w:val="7B950000"/>
    <w:rsid w:val="7B9B540A"/>
    <w:rsid w:val="7BA571B0"/>
    <w:rsid w:val="7BE91FDA"/>
    <w:rsid w:val="7C0A460F"/>
    <w:rsid w:val="7C2C0CD2"/>
    <w:rsid w:val="7C2D6999"/>
    <w:rsid w:val="7C4249B0"/>
    <w:rsid w:val="7C491964"/>
    <w:rsid w:val="7C51399F"/>
    <w:rsid w:val="7C5D1037"/>
    <w:rsid w:val="7C7B0712"/>
    <w:rsid w:val="7CB15915"/>
    <w:rsid w:val="7CBE2D25"/>
    <w:rsid w:val="7CCE7338"/>
    <w:rsid w:val="7CFE1757"/>
    <w:rsid w:val="7D9A149C"/>
    <w:rsid w:val="7DE056DF"/>
    <w:rsid w:val="7DE727DC"/>
    <w:rsid w:val="7E167BC7"/>
    <w:rsid w:val="7E7538B7"/>
    <w:rsid w:val="7E7622AF"/>
    <w:rsid w:val="7E7727BA"/>
    <w:rsid w:val="7EAD578E"/>
    <w:rsid w:val="7F89227A"/>
    <w:rsid w:val="7FA7314A"/>
    <w:rsid w:val="7FBB4E71"/>
    <w:rsid w:val="7FC1082D"/>
    <w:rsid w:val="7FEF0A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34"/>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4">
    <w:name w:val="heading 2"/>
    <w:basedOn w:val="1"/>
    <w:next w:val="1"/>
    <w:link w:val="36"/>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44"/>
    <w:semiHidden/>
    <w:unhideWhenUsed/>
    <w:qFormat/>
    <w:uiPriority w:val="9"/>
    <w:pPr>
      <w:keepNext/>
      <w:keepLines/>
      <w:spacing w:before="260" w:after="260" w:line="416" w:lineRule="auto"/>
      <w:outlineLvl w:val="2"/>
    </w:pPr>
    <w:rPr>
      <w:b/>
      <w:bCs/>
      <w:sz w:val="32"/>
      <w:szCs w:val="32"/>
    </w:rPr>
  </w:style>
  <w:style w:type="paragraph" w:styleId="6">
    <w:name w:val="heading 4"/>
    <w:basedOn w:val="1"/>
    <w:next w:val="1"/>
    <w:link w:val="47"/>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7">
    <w:name w:val="heading 5"/>
    <w:basedOn w:val="1"/>
    <w:next w:val="1"/>
    <w:link w:val="48"/>
    <w:semiHidden/>
    <w:unhideWhenUsed/>
    <w:qFormat/>
    <w:uiPriority w:val="9"/>
    <w:pPr>
      <w:keepNext/>
      <w:keepLines/>
      <w:spacing w:before="280" w:after="290" w:line="376" w:lineRule="auto"/>
      <w:outlineLvl w:val="4"/>
    </w:pPr>
    <w:rPr>
      <w:b/>
      <w:bCs/>
      <w:szCs w:val="28"/>
    </w:rPr>
  </w:style>
  <w:style w:type="paragraph" w:styleId="8">
    <w:name w:val="heading 6"/>
    <w:basedOn w:val="1"/>
    <w:next w:val="1"/>
    <w:link w:val="49"/>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9">
    <w:name w:val="heading 7"/>
    <w:basedOn w:val="1"/>
    <w:next w:val="1"/>
    <w:link w:val="50"/>
    <w:semiHidden/>
    <w:unhideWhenUsed/>
    <w:qFormat/>
    <w:uiPriority w:val="9"/>
    <w:pPr>
      <w:keepNext/>
      <w:keepLines/>
      <w:spacing w:before="240" w:after="64" w:line="320" w:lineRule="auto"/>
      <w:outlineLvl w:val="6"/>
    </w:pPr>
    <w:rPr>
      <w:b/>
      <w:bCs/>
      <w:sz w:val="24"/>
      <w:szCs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line="0" w:lineRule="atLeast"/>
    </w:pPr>
    <w:rPr>
      <w:rFonts w:ascii="Arial" w:hAnsi="Arial" w:eastAsia="隶书"/>
      <w:b/>
      <w:spacing w:val="-20"/>
      <w:sz w:val="52"/>
      <w:szCs w:val="20"/>
    </w:rPr>
  </w:style>
  <w:style w:type="paragraph" w:styleId="10">
    <w:name w:val="Body Text Indent"/>
    <w:basedOn w:val="1"/>
    <w:link w:val="37"/>
    <w:qFormat/>
    <w:uiPriority w:val="0"/>
    <w:pPr>
      <w:spacing w:line="200" w:lineRule="atLeast"/>
      <w:ind w:firstLine="301"/>
    </w:pPr>
    <w:rPr>
      <w:rFonts w:ascii="宋体" w:hAnsi="Courier New" w:cstheme="minorBidi"/>
      <w:spacing w:val="-4"/>
      <w:sz w:val="18"/>
      <w:szCs w:val="22"/>
    </w:rPr>
  </w:style>
  <w:style w:type="paragraph" w:styleId="11">
    <w:name w:val="Plain Text"/>
    <w:basedOn w:val="1"/>
    <w:link w:val="42"/>
    <w:qFormat/>
    <w:uiPriority w:val="0"/>
    <w:pPr>
      <w:spacing w:beforeLines="50" w:afterLines="50" w:line="400" w:lineRule="atLeast"/>
    </w:pPr>
    <w:rPr>
      <w:rFonts w:ascii="宋体" w:hAnsi="Courier New" w:cstheme="minorBidi"/>
      <w:sz w:val="24"/>
      <w:szCs w:val="22"/>
    </w:rPr>
  </w:style>
  <w:style w:type="paragraph" w:styleId="12">
    <w:name w:val="Date"/>
    <w:basedOn w:val="1"/>
    <w:next w:val="1"/>
    <w:link w:val="26"/>
    <w:semiHidden/>
    <w:unhideWhenUsed/>
    <w:qFormat/>
    <w:uiPriority w:val="99"/>
    <w:pPr>
      <w:ind w:left="100" w:leftChars="2500"/>
    </w:pPr>
  </w:style>
  <w:style w:type="paragraph" w:styleId="13">
    <w:name w:val="Body Text Indent 2"/>
    <w:basedOn w:val="1"/>
    <w:unhideWhenUsed/>
    <w:qFormat/>
    <w:uiPriority w:val="99"/>
    <w:pPr>
      <w:tabs>
        <w:tab w:val="left" w:pos="540"/>
      </w:tabs>
      <w:spacing w:line="500" w:lineRule="exact"/>
      <w:ind w:firstLine="809" w:firstLineChars="337"/>
    </w:pPr>
    <w:rPr>
      <w:rFonts w:ascii="宋体" w:hAnsi="宋体"/>
      <w:position w:val="2"/>
      <w:sz w:val="24"/>
    </w:rPr>
  </w:style>
  <w:style w:type="paragraph" w:styleId="14">
    <w:name w:val="Balloon Text"/>
    <w:basedOn w:val="1"/>
    <w:link w:val="53"/>
    <w:semiHidden/>
    <w:unhideWhenUsed/>
    <w:qFormat/>
    <w:uiPriority w:val="99"/>
    <w:rPr>
      <w:sz w:val="18"/>
      <w:szCs w:val="18"/>
    </w:rPr>
  </w:style>
  <w:style w:type="paragraph" w:styleId="15">
    <w:name w:val="footer"/>
    <w:basedOn w:val="1"/>
    <w:link w:val="46"/>
    <w:unhideWhenUsed/>
    <w:qFormat/>
    <w:uiPriority w:val="99"/>
    <w:pPr>
      <w:tabs>
        <w:tab w:val="center" w:pos="4153"/>
        <w:tab w:val="right" w:pos="8306"/>
      </w:tabs>
      <w:snapToGrid w:val="0"/>
      <w:jc w:val="left"/>
    </w:pPr>
    <w:rPr>
      <w:sz w:val="18"/>
      <w:szCs w:val="18"/>
    </w:rPr>
  </w:style>
  <w:style w:type="paragraph" w:styleId="16">
    <w:name w:val="header"/>
    <w:basedOn w:val="1"/>
    <w:link w:val="45"/>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7">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18">
    <w:name w:val="toc 2"/>
    <w:basedOn w:val="1"/>
    <w:next w:val="1"/>
    <w:unhideWhenUsed/>
    <w:qFormat/>
    <w:uiPriority w:val="39"/>
    <w:pPr>
      <w:ind w:left="420" w:leftChars="200"/>
    </w:pPr>
  </w:style>
  <w:style w:type="paragraph" w:styleId="19">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0">
    <w:name w:val="Title"/>
    <w:basedOn w:val="1"/>
    <w:next w:val="1"/>
    <w:link w:val="35"/>
    <w:qFormat/>
    <w:uiPriority w:val="10"/>
    <w:pPr>
      <w:spacing w:before="240" w:after="60"/>
      <w:jc w:val="center"/>
      <w:outlineLvl w:val="0"/>
    </w:pPr>
    <w:rPr>
      <w:rFonts w:asciiTheme="majorHAnsi" w:hAnsiTheme="majorHAnsi" w:cstheme="majorBidi"/>
      <w:b/>
      <w:bCs/>
      <w:sz w:val="32"/>
      <w:szCs w:val="32"/>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bCs/>
    </w:rPr>
  </w:style>
  <w:style w:type="character" w:styleId="25">
    <w:name w:val="Hyperlink"/>
    <w:basedOn w:val="23"/>
    <w:unhideWhenUsed/>
    <w:qFormat/>
    <w:uiPriority w:val="99"/>
    <w:rPr>
      <w:color w:val="0000FF" w:themeColor="hyperlink"/>
      <w:u w:val="single"/>
    </w:rPr>
  </w:style>
  <w:style w:type="character" w:customStyle="1" w:styleId="26">
    <w:name w:val="日期 Char"/>
    <w:basedOn w:val="23"/>
    <w:link w:val="12"/>
    <w:semiHidden/>
    <w:qFormat/>
    <w:uiPriority w:val="99"/>
    <w:rPr>
      <w:rFonts w:ascii="Times New Roman" w:hAnsi="Times New Roman" w:eastAsia="宋体" w:cs="Times New Roman"/>
      <w:sz w:val="28"/>
      <w:szCs w:val="20"/>
    </w:rPr>
  </w:style>
  <w:style w:type="paragraph" w:styleId="27">
    <w:name w:val="List Paragraph"/>
    <w:basedOn w:val="1"/>
    <w:link w:val="40"/>
    <w:qFormat/>
    <w:uiPriority w:val="0"/>
    <w:pPr>
      <w:ind w:firstLine="420" w:firstLineChars="200"/>
    </w:pPr>
  </w:style>
  <w:style w:type="paragraph" w:customStyle="1" w:styleId="28">
    <w:name w:val="正文 第一章"/>
    <w:basedOn w:val="1"/>
    <w:next w:val="29"/>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29">
    <w:name w:val="正文 1.1"/>
    <w:basedOn w:val="1"/>
    <w:next w:val="30"/>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0">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1">
    <w:name w:val="第四级"/>
    <w:basedOn w:val="1"/>
    <w:next w:val="32"/>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2">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3">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34">
    <w:name w:val="标题 1 Char"/>
    <w:basedOn w:val="23"/>
    <w:link w:val="3"/>
    <w:qFormat/>
    <w:uiPriority w:val="0"/>
    <w:rPr>
      <w:rFonts w:ascii="宋体" w:hAnsi="Arial" w:eastAsia="黑体" w:cs="Times New Roman"/>
      <w:b/>
      <w:bCs/>
      <w:color w:val="000000"/>
      <w:kern w:val="44"/>
      <w:sz w:val="36"/>
      <w:szCs w:val="32"/>
    </w:rPr>
  </w:style>
  <w:style w:type="character" w:customStyle="1" w:styleId="35">
    <w:name w:val="标题 Char"/>
    <w:basedOn w:val="23"/>
    <w:link w:val="20"/>
    <w:qFormat/>
    <w:uiPriority w:val="10"/>
    <w:rPr>
      <w:rFonts w:eastAsia="宋体" w:asciiTheme="majorHAnsi" w:hAnsiTheme="majorHAnsi" w:cstheme="majorBidi"/>
      <w:b/>
      <w:bCs/>
      <w:sz w:val="32"/>
      <w:szCs w:val="32"/>
    </w:rPr>
  </w:style>
  <w:style w:type="character" w:customStyle="1" w:styleId="36">
    <w:name w:val="标题 2 Char"/>
    <w:basedOn w:val="23"/>
    <w:link w:val="4"/>
    <w:semiHidden/>
    <w:qFormat/>
    <w:uiPriority w:val="9"/>
    <w:rPr>
      <w:rFonts w:asciiTheme="majorHAnsi" w:hAnsiTheme="majorHAnsi" w:eastAsiaTheme="majorEastAsia" w:cstheme="majorBidi"/>
      <w:b/>
      <w:bCs/>
      <w:sz w:val="32"/>
      <w:szCs w:val="32"/>
    </w:rPr>
  </w:style>
  <w:style w:type="character" w:customStyle="1" w:styleId="37">
    <w:name w:val="正文文本缩进 Char"/>
    <w:link w:val="10"/>
    <w:qFormat/>
    <w:locked/>
    <w:uiPriority w:val="0"/>
    <w:rPr>
      <w:rFonts w:ascii="宋体" w:hAnsi="Courier New" w:eastAsia="宋体"/>
      <w:spacing w:val="-4"/>
      <w:sz w:val="18"/>
    </w:rPr>
  </w:style>
  <w:style w:type="character" w:customStyle="1" w:styleId="38">
    <w:name w:val="正文文本缩进 Char1"/>
    <w:basedOn w:val="23"/>
    <w:semiHidden/>
    <w:qFormat/>
    <w:uiPriority w:val="99"/>
    <w:rPr>
      <w:rFonts w:ascii="Times New Roman" w:hAnsi="Times New Roman" w:eastAsia="宋体" w:cs="Times New Roman"/>
      <w:sz w:val="28"/>
      <w:szCs w:val="20"/>
    </w:rPr>
  </w:style>
  <w:style w:type="character" w:customStyle="1" w:styleId="39">
    <w:name w:val="标题 3 Char"/>
    <w:qFormat/>
    <w:uiPriority w:val="0"/>
    <w:rPr>
      <w:rFonts w:eastAsia="宋体"/>
      <w:b/>
      <w:bCs/>
      <w:kern w:val="2"/>
      <w:sz w:val="32"/>
      <w:szCs w:val="32"/>
      <w:lang w:val="en-US" w:eastAsia="zh-CN" w:bidi="ar-SA"/>
    </w:rPr>
  </w:style>
  <w:style w:type="character" w:customStyle="1" w:styleId="40">
    <w:name w:val="列出段落 Char"/>
    <w:link w:val="27"/>
    <w:qFormat/>
    <w:locked/>
    <w:uiPriority w:val="0"/>
    <w:rPr>
      <w:rFonts w:ascii="Times New Roman" w:hAnsi="Times New Roman" w:eastAsia="宋体" w:cs="Times New Roman"/>
      <w:sz w:val="28"/>
      <w:szCs w:val="20"/>
    </w:rPr>
  </w:style>
  <w:style w:type="character" w:customStyle="1" w:styleId="41">
    <w:name w:val="正文 第五章 中间"/>
    <w:qFormat/>
    <w:uiPriority w:val="0"/>
    <w:rPr>
      <w:b/>
      <w:bCs/>
      <w:color w:val="000000"/>
      <w:sz w:val="32"/>
    </w:rPr>
  </w:style>
  <w:style w:type="character" w:customStyle="1" w:styleId="42">
    <w:name w:val="纯文本 Char1"/>
    <w:link w:val="11"/>
    <w:qFormat/>
    <w:uiPriority w:val="0"/>
    <w:rPr>
      <w:rFonts w:ascii="宋体" w:hAnsi="Courier New" w:eastAsia="宋体"/>
      <w:sz w:val="24"/>
    </w:rPr>
  </w:style>
  <w:style w:type="character" w:customStyle="1" w:styleId="43">
    <w:name w:val="纯文本 Char"/>
    <w:basedOn w:val="23"/>
    <w:semiHidden/>
    <w:qFormat/>
    <w:uiPriority w:val="99"/>
    <w:rPr>
      <w:rFonts w:ascii="宋体" w:hAnsi="Courier New" w:eastAsia="宋体" w:cs="Courier New"/>
      <w:szCs w:val="21"/>
    </w:rPr>
  </w:style>
  <w:style w:type="character" w:customStyle="1" w:styleId="44">
    <w:name w:val="标题 3 Char1"/>
    <w:basedOn w:val="23"/>
    <w:link w:val="5"/>
    <w:semiHidden/>
    <w:qFormat/>
    <w:uiPriority w:val="9"/>
    <w:rPr>
      <w:rFonts w:ascii="Times New Roman" w:hAnsi="Times New Roman" w:eastAsia="宋体" w:cs="Times New Roman"/>
      <w:b/>
      <w:bCs/>
      <w:sz w:val="32"/>
      <w:szCs w:val="32"/>
    </w:rPr>
  </w:style>
  <w:style w:type="character" w:customStyle="1" w:styleId="45">
    <w:name w:val="页眉 Char"/>
    <w:basedOn w:val="23"/>
    <w:link w:val="16"/>
    <w:semiHidden/>
    <w:qFormat/>
    <w:uiPriority w:val="99"/>
    <w:rPr>
      <w:rFonts w:ascii="Times New Roman" w:hAnsi="Times New Roman" w:eastAsia="宋体" w:cs="Times New Roman"/>
      <w:sz w:val="18"/>
      <w:szCs w:val="18"/>
    </w:rPr>
  </w:style>
  <w:style w:type="character" w:customStyle="1" w:styleId="46">
    <w:name w:val="页脚 Char"/>
    <w:basedOn w:val="23"/>
    <w:link w:val="15"/>
    <w:qFormat/>
    <w:uiPriority w:val="99"/>
    <w:rPr>
      <w:rFonts w:ascii="Times New Roman" w:hAnsi="Times New Roman" w:eastAsia="宋体" w:cs="Times New Roman"/>
      <w:sz w:val="18"/>
      <w:szCs w:val="18"/>
    </w:rPr>
  </w:style>
  <w:style w:type="character" w:customStyle="1" w:styleId="47">
    <w:name w:val="标题 4 Char"/>
    <w:basedOn w:val="23"/>
    <w:link w:val="6"/>
    <w:semiHidden/>
    <w:qFormat/>
    <w:uiPriority w:val="9"/>
    <w:rPr>
      <w:rFonts w:asciiTheme="majorHAnsi" w:hAnsiTheme="majorHAnsi" w:eastAsiaTheme="majorEastAsia" w:cstheme="majorBidi"/>
      <w:b/>
      <w:bCs/>
      <w:sz w:val="28"/>
      <w:szCs w:val="28"/>
    </w:rPr>
  </w:style>
  <w:style w:type="character" w:customStyle="1" w:styleId="48">
    <w:name w:val="标题 5 Char"/>
    <w:basedOn w:val="23"/>
    <w:link w:val="7"/>
    <w:semiHidden/>
    <w:qFormat/>
    <w:uiPriority w:val="9"/>
    <w:rPr>
      <w:rFonts w:ascii="Times New Roman" w:hAnsi="Times New Roman" w:eastAsia="宋体" w:cs="Times New Roman"/>
      <w:b/>
      <w:bCs/>
      <w:sz w:val="28"/>
      <w:szCs w:val="28"/>
    </w:rPr>
  </w:style>
  <w:style w:type="character" w:customStyle="1" w:styleId="49">
    <w:name w:val="标题 6 Char"/>
    <w:basedOn w:val="23"/>
    <w:link w:val="8"/>
    <w:semiHidden/>
    <w:qFormat/>
    <w:uiPriority w:val="9"/>
    <w:rPr>
      <w:rFonts w:asciiTheme="majorHAnsi" w:hAnsiTheme="majorHAnsi" w:eastAsiaTheme="majorEastAsia" w:cstheme="majorBidi"/>
      <w:b/>
      <w:bCs/>
      <w:sz w:val="24"/>
      <w:szCs w:val="24"/>
    </w:rPr>
  </w:style>
  <w:style w:type="character" w:customStyle="1" w:styleId="50">
    <w:name w:val="标题 7 Char"/>
    <w:basedOn w:val="23"/>
    <w:link w:val="9"/>
    <w:semiHidden/>
    <w:qFormat/>
    <w:uiPriority w:val="9"/>
    <w:rPr>
      <w:rFonts w:ascii="Times New Roman" w:hAnsi="Times New Roman" w:eastAsia="宋体" w:cs="Times New Roman"/>
      <w:b/>
      <w:bCs/>
      <w:sz w:val="24"/>
      <w:szCs w:val="24"/>
    </w:rPr>
  </w:style>
  <w:style w:type="paragraph" w:customStyle="1" w:styleId="51">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2">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3">
    <w:name w:val="批注框文本 Char"/>
    <w:basedOn w:val="23"/>
    <w:link w:val="14"/>
    <w:semiHidden/>
    <w:qFormat/>
    <w:uiPriority w:val="99"/>
    <w:rPr>
      <w:rFonts w:ascii="Times New Roman" w:hAnsi="Times New Roman" w:eastAsia="宋体" w:cs="Times New Roman"/>
      <w:sz w:val="18"/>
      <w:szCs w:val="18"/>
    </w:rPr>
  </w:style>
  <w:style w:type="paragraph" w:customStyle="1" w:styleId="54">
    <w:name w:val="引用1"/>
    <w:basedOn w:val="1"/>
    <w:next w:val="1"/>
    <w:qFormat/>
    <w:uiPriority w:val="0"/>
    <w:pPr>
      <w:spacing w:line="320" w:lineRule="exact"/>
      <w:jc w:val="center"/>
    </w:pPr>
    <w:rPr>
      <w:rFonts w:ascii="仿宋_GB2312" w:eastAsia="仿宋_GB2312"/>
      <w:iCs/>
      <w:color w:val="000000"/>
      <w:szCs w:val="3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Info spid="_x0000_s102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11207DE-C750-4BF6-849D-279CF25B9722}">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45</Pages>
  <Words>3952</Words>
  <Characters>22527</Characters>
  <Lines>187</Lines>
  <Paragraphs>52</Paragraphs>
  <TotalTime>57</TotalTime>
  <ScaleCrop>false</ScaleCrop>
  <LinksUpToDate>false</LinksUpToDate>
  <CharactersWithSpaces>26427</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2019-05-31T00:58:00Z</dcterms:created>
  <dc:creator>20110004</dc:creator>
  <cp:lastModifiedBy>WPS_1591229444</cp:lastModifiedBy>
  <cp:lastPrinted>2019-06-10T01:13:00Z</cp:lastPrinted>
  <dcterms:modified xsi:type="dcterms:W3CDTF">2022-02-18T01:22:47Z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546492E9644C4A108178BCC3F3B75FDC</vt:lpwstr>
  </property>
</Properties>
</file>