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仿宋_GB2312"/>
          <w:snapToGrid w:val="0"/>
          <w:sz w:val="30"/>
        </w:rPr>
      </w:pPr>
      <w:r>
        <w:rPr>
          <w:rFonts w:hint="eastAsia" w:eastAsia="仿宋_GB2312"/>
          <w:snapToGrid w:val="0"/>
          <w:sz w:val="30"/>
        </w:rPr>
        <w:t>项目编号：WYGZ2023045</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逸夫科技楼419-421实验室维修改造项目</w:t>
      </w:r>
      <w:r>
        <w:rPr>
          <w:rFonts w:hint="eastAsia" w:ascii="华文中宋" w:hAnsi="华文中宋" w:eastAsia="华文中宋"/>
          <w:b/>
          <w:bCs/>
          <w:sz w:val="52"/>
          <w:szCs w:val="52"/>
          <w:lang w:eastAsia="zh-CN"/>
        </w:rPr>
        <w:t>（二次）</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2023年</w:t>
      </w:r>
      <w:r>
        <w:rPr>
          <w:rFonts w:hint="eastAsia" w:ascii="仿宋_GB2312" w:eastAsia="仿宋_GB2312"/>
          <w:b/>
          <w:sz w:val="36"/>
          <w:szCs w:val="36"/>
          <w:lang w:val="en-US" w:eastAsia="zh-CN"/>
        </w:rPr>
        <w:t>9</w:t>
      </w:r>
      <w:r>
        <w:rPr>
          <w:rFonts w:hint="eastAsia" w:ascii="仿宋_GB2312" w:eastAsia="仿宋_GB2312"/>
          <w:b/>
          <w:sz w:val="36"/>
          <w:szCs w:val="36"/>
        </w:rPr>
        <w:t>月</w:t>
      </w: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2"/>
      </w:pPr>
      <w:r>
        <w:rPr>
          <w:rFonts w:hint="eastAsia"/>
        </w:rPr>
        <w:t>目  录</w:t>
      </w:r>
    </w:p>
    <w:p>
      <w:pPr>
        <w:pStyle w:val="22"/>
      </w:pPr>
    </w:p>
    <w:p>
      <w:pPr>
        <w:pStyle w:val="22"/>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2"/>
          <w:rFonts w:hint="eastAsia"/>
        </w:rPr>
        <w:t>第一章</w:t>
      </w:r>
      <w:r>
        <w:rPr>
          <w:rStyle w:val="32"/>
        </w:rPr>
        <w:t xml:space="preserve">  </w:t>
      </w:r>
      <w:r>
        <w:rPr>
          <w:rStyle w:val="32"/>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"_Toc49763000" </w:instrText>
      </w:r>
      <w:r>
        <w:fldChar w:fldCharType="separate"/>
      </w:r>
      <w:r>
        <w:rPr>
          <w:rStyle w:val="32"/>
          <w:rFonts w:hint="eastAsia"/>
        </w:rPr>
        <w:t>第二章</w:t>
      </w:r>
      <w:r>
        <w:rPr>
          <w:rStyle w:val="32"/>
        </w:rPr>
        <w:t xml:space="preserve">  </w:t>
      </w:r>
      <w:r>
        <w:rPr>
          <w:rStyle w:val="32"/>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"_Toc49763001" </w:instrText>
      </w:r>
      <w:r>
        <w:fldChar w:fldCharType="separate"/>
      </w:r>
      <w:r>
        <w:rPr>
          <w:rStyle w:val="32"/>
          <w:rFonts w:hint="eastAsia"/>
        </w:rPr>
        <w:t>第三章</w:t>
      </w:r>
      <w:r>
        <w:rPr>
          <w:rStyle w:val="32"/>
        </w:rPr>
        <w:t xml:space="preserve">  </w:t>
      </w:r>
      <w:r>
        <w:rPr>
          <w:rStyle w:val="32"/>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"_Toc49763002" </w:instrText>
      </w:r>
      <w:r>
        <w:fldChar w:fldCharType="separate"/>
      </w:r>
      <w:r>
        <w:rPr>
          <w:rStyle w:val="32"/>
          <w:rFonts w:hint="eastAsia"/>
        </w:rPr>
        <w:t>第四章</w:t>
      </w:r>
      <w:r>
        <w:rPr>
          <w:rStyle w:val="32"/>
        </w:rPr>
        <w:t xml:space="preserve">  </w:t>
      </w:r>
      <w:r>
        <w:rPr>
          <w:rStyle w:val="32"/>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"_Toc49763003" </w:instrText>
      </w:r>
      <w:r>
        <w:fldChar w:fldCharType="separate"/>
      </w:r>
      <w:r>
        <w:rPr>
          <w:rStyle w:val="32"/>
          <w:rFonts w:hint="eastAsia"/>
        </w:rPr>
        <w:t>第五章</w:t>
      </w:r>
      <w:r>
        <w:rPr>
          <w:rStyle w:val="32"/>
        </w:rPr>
        <w:t xml:space="preserve">  </w:t>
      </w:r>
      <w:r>
        <w:rPr>
          <w:rStyle w:val="32"/>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"_Toc49763004" </w:instrText>
      </w:r>
      <w:r>
        <w:fldChar w:fldCharType="separate"/>
      </w:r>
      <w:r>
        <w:rPr>
          <w:rStyle w:val="32"/>
          <w:rFonts w:hint="eastAsia"/>
        </w:rPr>
        <w:t>第六章</w:t>
      </w:r>
      <w:r>
        <w:rPr>
          <w:rStyle w:val="32"/>
        </w:rPr>
        <w:t xml:space="preserve">  </w:t>
      </w:r>
      <w:r>
        <w:rPr>
          <w:rStyle w:val="32"/>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2"/>
        <w:rPr>
          <w:rFonts w:ascii="Calibri" w:hAnsi="Calibri" w:eastAsia="宋体"/>
          <w:b w:val="0"/>
          <w:sz w:val="21"/>
          <w:szCs w:val="22"/>
        </w:rPr>
      </w:pPr>
      <w:r>
        <w:fldChar w:fldCharType="begin"/>
      </w:r>
      <w:r>
        <w:instrText xml:space="preserve"> HYPERLINK \l "_Toc49763005" </w:instrText>
      </w:r>
      <w:r>
        <w:fldChar w:fldCharType="separate"/>
      </w:r>
      <w:r>
        <w:rPr>
          <w:rStyle w:val="32"/>
          <w:rFonts w:hint="eastAsia"/>
        </w:rPr>
        <w:t>第七章</w:t>
      </w:r>
      <w:r>
        <w:rPr>
          <w:rStyle w:val="32"/>
        </w:rPr>
        <w:t xml:space="preserve">  </w:t>
      </w:r>
      <w:r>
        <w:rPr>
          <w:rStyle w:val="32"/>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6"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我校</w:t>
      </w:r>
      <w:r>
        <w:rPr>
          <w:rFonts w:hint="eastAsia" w:ascii="仿宋_GB2312" w:eastAsia="仿宋_GB2312" w:cs="宋体"/>
          <w:sz w:val="24"/>
          <w:szCs w:val="24"/>
          <w:lang w:eastAsia="zh-CN"/>
        </w:rPr>
        <w:t>皖南医学院逸夫科技楼419-421实验室维修改造项目（二次）</w:t>
      </w:r>
      <w:r>
        <w:rPr>
          <w:rFonts w:ascii="仿宋_GB2312" w:eastAsia="仿宋_GB2312" w:cs="宋体"/>
          <w:sz w:val="24"/>
          <w:szCs w:val="24"/>
        </w:rPr>
        <w:t>采取磋商的方式进行采购，现邀请符合资质条件的供应商参加投标和磋商。具体情况如下：</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一、项目概况：</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（一）项目名称：</w:t>
      </w:r>
      <w:r>
        <w:rPr>
          <w:rFonts w:hint="eastAsia" w:ascii="仿宋_GB2312" w:eastAsia="仿宋_GB2312" w:cs="宋体"/>
          <w:sz w:val="24"/>
          <w:szCs w:val="24"/>
          <w:lang w:eastAsia="zh-CN"/>
        </w:rPr>
        <w:t>皖南医学院逸夫科技楼419-421实验室维修改造项目（二次）</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（二）项目编号：</w:t>
      </w:r>
      <w:r>
        <w:rPr>
          <w:rFonts w:hint="eastAsia" w:ascii="仿宋_GB2312" w:eastAsia="仿宋_GB2312" w:cs="宋体"/>
          <w:sz w:val="24"/>
          <w:szCs w:val="24"/>
        </w:rPr>
        <w:t>WYGZ2023045</w:t>
      </w:r>
      <w:r>
        <w:rPr>
          <w:rFonts w:ascii="仿宋_GB2312" w:eastAsia="仿宋_GB2312" w:cs="宋体"/>
          <w:sz w:val="24"/>
          <w:szCs w:val="24"/>
        </w:rPr>
        <w:t>;</w:t>
      </w:r>
    </w:p>
    <w:p>
      <w:pPr>
        <w:pStyle w:val="45"/>
        <w:autoSpaceDN w:val="0"/>
        <w:spacing w:line="360" w:lineRule="auto"/>
        <w:ind w:firstLine="480" w:firstLineChars="200"/>
        <w:rPr>
          <w:rFonts w:hint="eastAsia" w:ascii="仿宋_GB2312" w:hAnsi="宋体" w:eastAsia="仿宋_GB2312" w:cs="宋体"/>
          <w:kern w:val="0"/>
          <w:sz w:val="24"/>
          <w:szCs w:val="24"/>
        </w:rPr>
      </w:pPr>
      <w:r>
        <w:rPr>
          <w:rFonts w:ascii="仿宋_GB2312" w:hAnsi="宋体" w:eastAsia="仿宋_GB2312" w:cs="宋体"/>
          <w:kern w:val="0"/>
          <w:sz w:val="24"/>
          <w:szCs w:val="24"/>
        </w:rPr>
        <w:t>（三）项目内容：</w:t>
      </w:r>
      <w:r>
        <w:rPr>
          <w:rFonts w:hint="eastAsia" w:ascii="仿宋_GB2312" w:hAnsi="宋体" w:eastAsia="仿宋_GB2312" w:cs="宋体"/>
          <w:kern w:val="0"/>
          <w:sz w:val="24"/>
          <w:szCs w:val="24"/>
        </w:rPr>
        <w:t>对我校</w:t>
      </w:r>
      <w:r>
        <w:rPr>
          <w:rFonts w:ascii="仿宋_GB2312" w:hAnsi="宋体" w:eastAsia="仿宋_GB2312" w:cs="宋体"/>
          <w:kern w:val="0"/>
          <w:sz w:val="24"/>
          <w:szCs w:val="24"/>
        </w:rPr>
        <w:t>逸夫科技楼</w:t>
      </w:r>
      <w:r>
        <w:rPr>
          <w:rFonts w:hint="eastAsia" w:ascii="仿宋_GB2312" w:hAnsi="宋体" w:eastAsia="仿宋_GB2312" w:cs="宋体"/>
          <w:kern w:val="0"/>
          <w:sz w:val="24"/>
          <w:szCs w:val="24"/>
        </w:rPr>
        <w:t>419</w:t>
      </w:r>
      <w:r>
        <w:rPr>
          <w:rFonts w:ascii="仿宋_GB2312" w:hAnsi="宋体" w:eastAsia="仿宋_GB2312" w:cs="宋体"/>
          <w:kern w:val="0"/>
          <w:sz w:val="24"/>
          <w:szCs w:val="24"/>
        </w:rPr>
        <w:t>-421</w:t>
      </w:r>
      <w:r>
        <w:rPr>
          <w:rFonts w:hint="eastAsia" w:ascii="仿宋_GB2312" w:hAnsi="宋体" w:eastAsia="仿宋_GB2312" w:cs="宋体"/>
          <w:kern w:val="0"/>
          <w:sz w:val="24"/>
          <w:szCs w:val="24"/>
        </w:rPr>
        <w:t>实验室</w:t>
      </w:r>
      <w:r>
        <w:rPr>
          <w:rFonts w:ascii="仿宋_GB2312" w:hAnsi="宋体" w:eastAsia="仿宋_GB2312" w:cs="宋体"/>
          <w:kern w:val="0"/>
          <w:sz w:val="24"/>
          <w:szCs w:val="24"/>
        </w:rPr>
        <w:t>进行维修改造</w:t>
      </w:r>
      <w:r>
        <w:rPr>
          <w:rFonts w:hint="eastAsia" w:ascii="仿宋_GB2312" w:hAnsi="宋体" w:eastAsia="仿宋_GB2312" w:cs="宋体"/>
          <w:kern w:val="0"/>
          <w:sz w:val="24"/>
          <w:szCs w:val="24"/>
        </w:rPr>
        <w:t>，详见</w:t>
      </w:r>
      <w:r>
        <w:rPr>
          <w:rFonts w:ascii="仿宋_GB2312" w:hAnsi="宋体" w:eastAsia="仿宋_GB2312" w:cs="宋体"/>
          <w:kern w:val="0"/>
          <w:sz w:val="24"/>
          <w:szCs w:val="24"/>
        </w:rPr>
        <w:t>磋商文件。</w:t>
      </w:r>
    </w:p>
    <w:p>
      <w:pPr>
        <w:ind w:firstLine="480" w:firstLineChars="200"/>
        <w:rPr>
          <w:sz w:val="21"/>
        </w:rPr>
      </w:pPr>
      <w:r>
        <w:rPr>
          <w:rFonts w:ascii="仿宋_GB2312" w:hAnsi="宋体" w:eastAsia="仿宋_GB2312" w:cs="宋体"/>
          <w:kern w:val="0"/>
          <w:sz w:val="24"/>
          <w:szCs w:val="24"/>
        </w:rPr>
        <w:t>（四）项目预算：</w:t>
      </w:r>
      <w:r>
        <w:rPr>
          <w:rFonts w:hint="eastAsia" w:ascii="仿宋_GB2312" w:hAnsi="宋体" w:eastAsia="仿宋_GB2312" w:cs="宋体"/>
          <w:kern w:val="0"/>
          <w:sz w:val="24"/>
          <w:szCs w:val="24"/>
        </w:rPr>
        <w:t>599962.68 元 。</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二、投标资质：</w:t>
      </w:r>
    </w:p>
    <w:p>
      <w:pPr>
        <w:adjustRightInd w:val="0"/>
        <w:snapToGrid w:val="0"/>
        <w:spacing w:line="360" w:lineRule="auto"/>
        <w:ind w:firstLine="453" w:firstLineChars="189"/>
        <w:rPr>
          <w:rFonts w:ascii="仿宋_GB2312" w:hAnsi="宋体" w:eastAsia="仿宋_GB2312" w:cs="宋体"/>
          <w:kern w:val="0"/>
          <w:sz w:val="24"/>
          <w:szCs w:val="24"/>
        </w:rPr>
      </w:pPr>
      <w:r>
        <w:rPr>
          <w:rFonts w:hint="eastAsia" w:ascii="仿宋_GB2312" w:hAnsi="宋体" w:eastAsia="仿宋_GB2312" w:cs="宋体"/>
          <w:kern w:val="0"/>
          <w:sz w:val="24"/>
          <w:szCs w:val="24"/>
        </w:rPr>
        <w:t>1.</w:t>
      </w:r>
      <w:r>
        <w:rPr>
          <w:rFonts w:ascii="仿宋_GB2312" w:hAnsi="宋体" w:eastAsia="仿宋_GB2312" w:cs="宋体"/>
          <w:kern w:val="0"/>
          <w:sz w:val="24"/>
          <w:szCs w:val="24"/>
        </w:rPr>
        <w:t>供应商能够独立承担民事责任能力；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2.具有良好的商业信誉和健全的财务会计制度；</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3.具有履行合同所必需的设备和专业技术能力；</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4.有依法缴纳税收和社会保障资金的良好记录；</w:t>
      </w:r>
    </w:p>
    <w:p>
      <w:pPr>
        <w:adjustRightInd w:val="0"/>
        <w:snapToGrid w:val="0"/>
        <w:spacing w:line="360" w:lineRule="auto"/>
        <w:ind w:firstLine="453" w:firstLineChars="189"/>
        <w:rPr>
          <w:rFonts w:ascii="仿宋_GB2312" w:hAnsi="宋体" w:eastAsia="仿宋_GB2312" w:cs="宋体"/>
          <w:kern w:val="0"/>
          <w:sz w:val="24"/>
          <w:szCs w:val="24"/>
        </w:rPr>
      </w:pPr>
      <w:r>
        <w:rPr>
          <w:rFonts w:ascii="仿宋_GB2312" w:hAnsi="宋体" w:eastAsia="仿宋_GB2312" w:cs="宋体"/>
          <w:kern w:val="0"/>
          <w:sz w:val="24"/>
          <w:szCs w:val="24"/>
        </w:rPr>
        <w:t>5.三年内，在经营活动中没有重大违法记录；</w:t>
      </w:r>
    </w:p>
    <w:p>
      <w:pPr>
        <w:adjustRightInd w:val="0"/>
        <w:snapToGrid w:val="0"/>
        <w:spacing w:line="360" w:lineRule="auto"/>
        <w:ind w:firstLine="455" w:firstLineChars="189"/>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6.</w:t>
      </w:r>
      <w:r>
        <w:rPr>
          <w:rFonts w:ascii="仿宋_GB2312" w:hAnsi="宋体" w:eastAsia="仿宋_GB2312" w:cs="宋体"/>
          <w:b/>
          <w:bCs/>
          <w:kern w:val="0"/>
          <w:sz w:val="24"/>
          <w:szCs w:val="24"/>
        </w:rPr>
        <w:t xml:space="preserve"> 投标人须具备建筑装修装饰工程专业承包贰级（或以上）</w:t>
      </w:r>
      <w:r>
        <w:rPr>
          <w:rFonts w:hint="eastAsia" w:ascii="仿宋_GB2312" w:hAnsi="宋体" w:eastAsia="仿宋_GB2312" w:cs="宋体"/>
          <w:b/>
          <w:bCs/>
          <w:kern w:val="0"/>
          <w:sz w:val="24"/>
          <w:szCs w:val="24"/>
        </w:rPr>
        <w:t>及建筑机电安装工程专业承包叁级（或以上）</w:t>
      </w:r>
      <w:r>
        <w:rPr>
          <w:rFonts w:ascii="仿宋_GB2312" w:hAnsi="宋体" w:eastAsia="仿宋_GB2312" w:cs="宋体"/>
          <w:b/>
          <w:bCs/>
          <w:kern w:val="0"/>
          <w:sz w:val="24"/>
          <w:szCs w:val="24"/>
        </w:rPr>
        <w:t>资质；投标人拟委任的项目负责人须具备建筑工程</w:t>
      </w:r>
      <w:r>
        <w:rPr>
          <w:rFonts w:hint="eastAsia" w:ascii="仿宋_GB2312" w:hAnsi="宋体" w:eastAsia="仿宋_GB2312" w:cs="宋体"/>
          <w:b/>
          <w:bCs/>
          <w:kern w:val="0"/>
          <w:sz w:val="24"/>
          <w:szCs w:val="24"/>
        </w:rPr>
        <w:t>或机电工程</w:t>
      </w:r>
      <w:r>
        <w:rPr>
          <w:rFonts w:ascii="仿宋_GB2312" w:hAnsi="宋体" w:eastAsia="仿宋_GB2312" w:cs="宋体"/>
          <w:b/>
          <w:bCs/>
          <w:kern w:val="0"/>
          <w:sz w:val="24"/>
          <w:szCs w:val="24"/>
        </w:rPr>
        <w:t>专业贰级（或以上）注册建造师执业资格，具备有效的安全生产考核合格证书。</w:t>
      </w:r>
    </w:p>
    <w:p>
      <w:pPr>
        <w:adjustRightInd w:val="0"/>
        <w:snapToGrid w:val="0"/>
        <w:spacing w:line="360" w:lineRule="auto"/>
        <w:ind w:firstLine="453" w:firstLineChars="189"/>
        <w:rPr>
          <w:rFonts w:ascii="仿宋_GB2312" w:hAnsi="宋体" w:eastAsia="仿宋_GB2312" w:cs="宋体"/>
          <w:kern w:val="0"/>
          <w:sz w:val="24"/>
          <w:szCs w:val="24"/>
          <w:lang w:val="zh-CN"/>
        </w:rPr>
      </w:pPr>
      <w:r>
        <w:rPr>
          <w:rFonts w:hint="eastAsia" w:ascii="仿宋_GB2312" w:hAnsi="宋体" w:eastAsia="仿宋_GB2312" w:cs="宋体"/>
          <w:kern w:val="0"/>
          <w:sz w:val="24"/>
          <w:szCs w:val="24"/>
        </w:rPr>
        <w:t>7</w:t>
      </w:r>
      <w:r>
        <w:rPr>
          <w:rFonts w:ascii="仿宋_GB2312" w:hAnsi="宋体" w:eastAsia="仿宋_GB2312" w:cs="宋体"/>
          <w:kern w:val="0"/>
          <w:sz w:val="24"/>
          <w:szCs w:val="24"/>
        </w:rPr>
        <w:t>.本项目不接受联合体投标。</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三、报名时间及方式：</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（一）报名时间：</w:t>
      </w:r>
      <w:r>
        <w:rPr>
          <w:rFonts w:hint="eastAsia" w:ascii="仿宋_GB2312" w:eastAsia="仿宋_GB2312" w:cs="宋体"/>
          <w:sz w:val="24"/>
          <w:szCs w:val="24"/>
        </w:rPr>
        <w:t>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11</w:t>
      </w:r>
      <w:r>
        <w:rPr>
          <w:rFonts w:ascii="仿宋_GB2312" w:eastAsia="仿宋_GB2312" w:cs="宋体"/>
          <w:sz w:val="24"/>
          <w:szCs w:val="24"/>
        </w:rPr>
        <w:t>日-</w:t>
      </w:r>
      <w:r>
        <w:rPr>
          <w:rFonts w:hint="eastAsia" w:ascii="仿宋_GB2312" w:eastAsia="仿宋_GB2312" w:cs="宋体"/>
          <w:sz w:val="24"/>
          <w:szCs w:val="24"/>
        </w:rPr>
        <w:t>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18</w:t>
      </w:r>
      <w:r>
        <w:rPr>
          <w:rFonts w:ascii="仿宋_GB2312" w:eastAsia="仿宋_GB2312" w:cs="宋体"/>
          <w:sz w:val="24"/>
          <w:szCs w:val="24"/>
        </w:rPr>
        <w:t>日下午5:00；</w:t>
      </w:r>
    </w:p>
    <w:p>
      <w:pPr>
        <w:widowControl/>
        <w:shd w:val="clear" w:color="auto" w:fill="FFFFFF"/>
        <w:spacing w:line="360" w:lineRule="auto"/>
        <w:ind w:firstLine="480" w:firstLineChars="200"/>
        <w:rPr>
          <w:rFonts w:ascii="仿宋_GB2312" w:hAnsi="宋体" w:eastAsia="仿宋_GB2312" w:cs="宋体"/>
          <w:kern w:val="0"/>
          <w:sz w:val="24"/>
          <w:szCs w:val="24"/>
          <w:lang w:val="zh-CN"/>
        </w:rPr>
      </w:pPr>
      <w:r>
        <w:rPr>
          <w:rFonts w:hint="eastAsia" w:ascii="仿宋_GB2312" w:eastAsia="仿宋_GB2312" w:cs="宋体"/>
          <w:sz w:val="24"/>
          <w:szCs w:val="24"/>
          <w:lang w:val="zh-CN"/>
        </w:rPr>
        <w:t>（二）</w:t>
      </w:r>
      <w:r>
        <w:rPr>
          <w:rFonts w:hint="eastAsia" w:ascii="仿宋_GB2312" w:hAnsi="宋体" w:eastAsia="仿宋_GB2312" w:cs="宋体"/>
          <w:kern w:val="0"/>
          <w:sz w:val="24"/>
          <w:szCs w:val="24"/>
          <w:lang w:val="zh-CN"/>
        </w:rPr>
        <w:t>报名方式：</w:t>
      </w:r>
      <w:r>
        <w:rPr>
          <w:rFonts w:hint="eastAsia" w:ascii="仿宋_GB2312" w:hAnsi="宋体" w:eastAsia="仿宋_GB2312" w:cs="宋体"/>
          <w:kern w:val="0"/>
          <w:sz w:val="24"/>
          <w:szCs w:val="24"/>
          <w:lang w:eastAsia="zh-CN"/>
        </w:rPr>
        <w:t>皖南医学院逸夫科技楼419-421实验室维修改造项目（二次）</w:t>
      </w:r>
      <w:r>
        <w:rPr>
          <w:rFonts w:ascii="仿宋_GB2312" w:hAnsi="宋体" w:eastAsia="仿宋_GB2312" w:cs="宋体"/>
          <w:kern w:val="0"/>
          <w:sz w:val="24"/>
          <w:szCs w:val="24"/>
        </w:rPr>
        <w:t>（项目编号：</w:t>
      </w:r>
      <w:r>
        <w:rPr>
          <w:rFonts w:hint="eastAsia" w:ascii="仿宋_GB2312" w:hAnsi="宋体" w:eastAsia="仿宋_GB2312" w:cs="宋体"/>
          <w:kern w:val="0"/>
          <w:sz w:val="24"/>
          <w:szCs w:val="24"/>
        </w:rPr>
        <w:t>WYGZ2023045</w:t>
      </w:r>
      <w:r>
        <w:rPr>
          <w:rFonts w:ascii="仿宋_GB2312" w:hAnsi="宋体" w:eastAsia="仿宋_GB2312" w:cs="宋体"/>
          <w:kern w:val="0"/>
          <w:sz w:val="24"/>
          <w:szCs w:val="24"/>
        </w:rPr>
        <w:t>）已在皖南医学院网上采购平台（http://wnmc.youzhicai.com/）发布，请潜在供应商在皖南医学院网上采购平台参与项目</w:t>
      </w:r>
      <w:r>
        <w:rPr>
          <w:rFonts w:hint="eastAsia" w:ascii="仿宋_GB2312" w:hAnsi="宋体" w:eastAsia="仿宋_GB2312" w:cs="宋体"/>
          <w:kern w:val="0"/>
          <w:sz w:val="24"/>
          <w:szCs w:val="24"/>
        </w:rPr>
        <w:t>报名</w:t>
      </w:r>
      <w:r>
        <w:rPr>
          <w:rFonts w:hint="eastAsia" w:ascii="仿宋_GB2312" w:hAnsi="宋体" w:eastAsia="仿宋_GB2312" w:cs="宋体"/>
          <w:kern w:val="0"/>
          <w:sz w:val="24"/>
          <w:szCs w:val="24"/>
          <w:lang w:val="zh-CN"/>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hint="eastAsia" w:ascii="仿宋_GB2312" w:eastAsia="仿宋_GB2312" w:cs="宋体"/>
          <w:sz w:val="24"/>
          <w:szCs w:val="24"/>
          <w:lang w:val="zh-CN"/>
        </w:rPr>
        <w:t>（三）招标文件获取：自行下载。</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四、响应文件份数：一式三份（正本一份，副本二份），每份响应文件须清楚表明“正本”或“副本”字样。</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五、响应文件递交：</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（一）响应文件递交截止时间：</w:t>
      </w:r>
      <w:r>
        <w:rPr>
          <w:rFonts w:hint="eastAsia" w:ascii="仿宋_GB2312" w:eastAsia="仿宋_GB2312" w:cs="宋体"/>
          <w:sz w:val="24"/>
          <w:szCs w:val="24"/>
        </w:rPr>
        <w:t>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21</w:t>
      </w:r>
      <w:r>
        <w:rPr>
          <w:rFonts w:ascii="仿宋_GB2312" w:eastAsia="仿宋_GB2312" w:cs="宋体"/>
          <w:sz w:val="24"/>
          <w:szCs w:val="24"/>
        </w:rPr>
        <w:t>日</w:t>
      </w:r>
      <w:r>
        <w:rPr>
          <w:rFonts w:hint="eastAsia" w:ascii="仿宋_GB2312" w:eastAsia="仿宋_GB2312" w:cs="宋体"/>
          <w:sz w:val="24"/>
          <w:szCs w:val="24"/>
          <w:lang w:eastAsia="zh-CN"/>
        </w:rPr>
        <w:t>上午</w:t>
      </w:r>
      <w:r>
        <w:rPr>
          <w:rFonts w:hint="eastAsia" w:ascii="仿宋_GB2312" w:eastAsia="仿宋_GB2312" w:cs="宋体"/>
          <w:sz w:val="24"/>
          <w:szCs w:val="24"/>
          <w:lang w:val="en-US" w:eastAsia="zh-CN"/>
        </w:rPr>
        <w:t>9</w:t>
      </w:r>
      <w:r>
        <w:rPr>
          <w:rFonts w:hint="eastAsia" w:ascii="仿宋_GB2312" w:eastAsia="仿宋_GB2312" w:cs="宋体"/>
          <w:sz w:val="24"/>
          <w:szCs w:val="24"/>
        </w:rPr>
        <w:t>：30</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（二）响应文件开启时间：</w:t>
      </w:r>
      <w:r>
        <w:rPr>
          <w:rFonts w:hint="eastAsia" w:ascii="仿宋_GB2312" w:eastAsia="仿宋_GB2312" w:cs="宋体"/>
          <w:sz w:val="24"/>
          <w:szCs w:val="24"/>
        </w:rPr>
        <w:t>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21</w:t>
      </w:r>
      <w:r>
        <w:rPr>
          <w:rFonts w:ascii="仿宋_GB2312" w:eastAsia="仿宋_GB2312" w:cs="宋体"/>
          <w:sz w:val="24"/>
          <w:szCs w:val="24"/>
        </w:rPr>
        <w:t>日</w:t>
      </w:r>
      <w:r>
        <w:rPr>
          <w:rFonts w:hint="eastAsia" w:ascii="仿宋_GB2312" w:eastAsia="仿宋_GB2312" w:cs="宋体"/>
          <w:sz w:val="24"/>
          <w:szCs w:val="24"/>
          <w:lang w:eastAsia="zh-CN"/>
        </w:rPr>
        <w:t>上午</w:t>
      </w:r>
      <w:r>
        <w:rPr>
          <w:rFonts w:hint="eastAsia" w:ascii="仿宋_GB2312" w:eastAsia="仿宋_GB2312" w:cs="宋体"/>
          <w:sz w:val="24"/>
          <w:szCs w:val="24"/>
          <w:lang w:val="en-US" w:eastAsia="zh-CN"/>
        </w:rPr>
        <w:t>9</w:t>
      </w:r>
      <w:r>
        <w:rPr>
          <w:rFonts w:hint="eastAsia" w:ascii="仿宋_GB2312" w:eastAsia="仿宋_GB2312" w:cs="宋体"/>
          <w:sz w:val="24"/>
          <w:szCs w:val="24"/>
        </w:rPr>
        <w:t>：30</w:t>
      </w:r>
      <w:r>
        <w:rPr>
          <w:rFonts w:ascii="仿宋_GB2312" w:eastAsia="仿宋_GB2312" w:cs="宋体"/>
          <w:sz w:val="24"/>
          <w:szCs w:val="24"/>
        </w:rPr>
        <w:t>；</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（三）地点：芜湖市弋江区文昌西路22号皖南医学院滨江校区图书信息楼东辅楼5楼5002室；</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（四）递交响应文件时间截止后，磋商小组与供应商磋商，请供应商法定代表人或其授权委托代表（提供授权委托书）出席。</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六、联系方式：</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（一）联系人：赵老师</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ascii="仿宋_GB2312" w:eastAsia="仿宋_GB2312" w:cs="宋体"/>
          <w:sz w:val="24"/>
          <w:szCs w:val="24"/>
        </w:rPr>
        <w:t>（二）联系电话：0553-3932052</w:t>
      </w:r>
      <w:r>
        <w:rPr>
          <w:rFonts w:hint="eastAsia" w:ascii="仿宋_GB2312" w:eastAsia="仿宋_GB2312" w:cs="宋体"/>
          <w:sz w:val="24"/>
          <w:szCs w:val="24"/>
        </w:rPr>
        <w:t>，19855345130</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七、备注</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ascii="仿宋_GB2312" w:eastAsia="仿宋_GB2312" w:cs="宋体"/>
          <w:sz w:val="24"/>
          <w:szCs w:val="24"/>
        </w:rPr>
        <w:t>我校保留对报名合格单位进行进一步资格审核的权利。</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rPr>
      </w:pPr>
      <w:r>
        <w:rPr>
          <w:rFonts w:hint="eastAsia" w:ascii="仿宋_GB2312" w:eastAsia="仿宋_GB2312" w:cs="宋体"/>
          <w:sz w:val="24"/>
          <w:szCs w:val="24"/>
        </w:rPr>
        <w:t>八、温馨提示</w:t>
      </w:r>
    </w:p>
    <w:p>
      <w:pPr>
        <w:pStyle w:val="25"/>
        <w:adjustRightInd w:val="0"/>
        <w:snapToGrid w:val="0"/>
        <w:spacing w:before="0" w:beforeAutospacing="0" w:after="0" w:afterAutospacing="0" w:line="360" w:lineRule="auto"/>
        <w:ind w:firstLine="960" w:firstLineChars="400"/>
        <w:jc w:val="both"/>
        <w:rPr>
          <w:rFonts w:ascii="仿宋_GB2312" w:eastAsia="仿宋_GB2312" w:cs="宋体"/>
          <w:sz w:val="24"/>
          <w:szCs w:val="24"/>
        </w:rPr>
      </w:pPr>
      <w:r>
        <w:rPr>
          <w:rFonts w:hint="eastAsia" w:ascii="仿宋_GB2312" w:eastAsia="仿宋_GB2312" w:cs="宋体"/>
          <w:sz w:val="24"/>
          <w:szCs w:val="24"/>
        </w:rPr>
        <w:t>因学校防控要求，校外人员进校需进行入校申请（扫二维码）。</w:t>
      </w:r>
    </w:p>
    <w:p>
      <w:pPr>
        <w:pStyle w:val="25"/>
        <w:adjustRightInd w:val="0"/>
        <w:snapToGrid w:val="0"/>
        <w:spacing w:before="0" w:beforeAutospacing="0" w:after="0" w:afterAutospacing="0" w:line="360" w:lineRule="auto"/>
        <w:ind w:firstLine="560" w:firstLineChars="200"/>
        <w:jc w:val="center"/>
        <w:rPr>
          <w:rFonts w:ascii="仿宋_GB2312" w:hAnsi="Times New Roman" w:eastAsia="仿宋_GB2312"/>
          <w:kern w:val="2"/>
          <w:sz w:val="28"/>
          <w:szCs w:val="28"/>
        </w:rPr>
      </w:pPr>
      <w:r>
        <w:rPr>
          <w:rFonts w:hint="eastAsia" w:ascii="仿宋_GB2312" w:hAnsi="Times New Roman" w:eastAsia="仿宋_GB2312"/>
          <w:kern w:val="2"/>
          <w:sz w:val="28"/>
          <w:szCs w:val="28"/>
        </w:rPr>
        <w:drawing>
          <wp:inline distT="0" distB="0" distL="114300" distR="114300">
            <wp:extent cx="1536065" cy="1544955"/>
            <wp:effectExtent l="0" t="0" r="6985" b="17145"/>
            <wp:docPr id="4" name="图片 1" descr="6F9E6558A3E3F1F3F15B00FD686CBE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6F9E6558A3E3F1F3F15B00FD686CBED0"/>
                    <pic:cNvPicPr>
                      <a:picLocks noChangeAspect="1"/>
                    </pic:cNvPicPr>
                  </pic:nvPicPr>
                  <pic:blipFill>
                    <a:blip r:embed="rId6"/>
                    <a:srcRect r="671" b="15752"/>
                    <a:stretch>
                      <a:fillRect/>
                    </a:stretch>
                  </pic:blipFill>
                  <pic:spPr>
                    <a:xfrm>
                      <a:off x="0" y="0"/>
                      <a:ext cx="1536065" cy="1544955"/>
                    </a:xfrm>
                    <a:prstGeom prst="rect">
                      <a:avLst/>
                    </a:prstGeom>
                    <a:noFill/>
                    <a:ln>
                      <a:noFill/>
                    </a:ln>
                  </pic:spPr>
                </pic:pic>
              </a:graphicData>
            </a:graphic>
          </wp:inline>
        </w:drawing>
      </w:r>
    </w:p>
    <w:p>
      <w:pPr>
        <w:pStyle w:val="25"/>
        <w:adjustRightInd w:val="0"/>
        <w:snapToGrid w:val="0"/>
        <w:spacing w:before="0" w:beforeAutospacing="0" w:after="0" w:afterAutospacing="0" w:line="360" w:lineRule="auto"/>
        <w:ind w:firstLine="480" w:firstLineChars="200"/>
        <w:jc w:val="center"/>
        <w:rPr>
          <w:rFonts w:ascii="仿宋_GB2312" w:eastAsia="仿宋_GB2312" w:cs="宋体"/>
          <w:sz w:val="24"/>
          <w:szCs w:val="24"/>
        </w:rPr>
      </w:pPr>
      <w:r>
        <w:rPr>
          <w:rFonts w:hint="eastAsia" w:ascii="仿宋_GB2312" w:eastAsia="仿宋_GB2312" w:cs="宋体"/>
          <w:sz w:val="24"/>
          <w:szCs w:val="24"/>
        </w:rPr>
        <w:t>投标报备：各投标单位于2023年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20</w:t>
      </w:r>
      <w:r>
        <w:rPr>
          <w:rFonts w:hint="eastAsia" w:ascii="仿宋_GB2312" w:eastAsia="仿宋_GB2312" w:cs="宋体"/>
          <w:sz w:val="24"/>
          <w:szCs w:val="24"/>
        </w:rPr>
        <w:t>日17：00前如实填写，未按时提交校外人员入校申请的，后果自负（受访人：王凌云 受访人电话：13505596369）。</w:t>
      </w:r>
    </w:p>
    <w:p>
      <w:pPr>
        <w:pStyle w:val="25"/>
        <w:adjustRightInd w:val="0"/>
        <w:snapToGrid w:val="0"/>
        <w:spacing w:before="0" w:beforeAutospacing="0" w:after="0" w:afterAutospacing="0" w:line="360" w:lineRule="auto"/>
        <w:ind w:firstLine="480" w:firstLineChars="200"/>
        <w:jc w:val="both"/>
        <w:rPr>
          <w:rFonts w:ascii="仿宋_GB2312" w:eastAsia="仿宋_GB2312" w:cs="宋体"/>
          <w:sz w:val="24"/>
          <w:szCs w:val="24"/>
          <w:lang w:val="zh-CN"/>
        </w:rPr>
      </w:pPr>
      <w:r>
        <w:rPr>
          <w:rFonts w:ascii="仿宋_GB2312" w:eastAsia="仿宋_GB2312" w:cs="宋体"/>
          <w:sz w:val="24"/>
          <w:szCs w:val="24"/>
        </w:rPr>
        <w:t> </w:t>
      </w:r>
    </w:p>
    <w:p>
      <w:pPr>
        <w:pStyle w:val="25"/>
        <w:adjustRightInd w:val="0"/>
        <w:snapToGrid w:val="0"/>
        <w:spacing w:before="0" w:beforeAutospacing="0" w:after="0" w:afterAutospacing="0" w:line="360" w:lineRule="auto"/>
        <w:ind w:firstLine="480" w:firstLineChars="200"/>
        <w:jc w:val="right"/>
        <w:rPr>
          <w:rFonts w:ascii="仿宋_GB2312" w:eastAsia="仿宋_GB2312" w:cs="宋体"/>
          <w:sz w:val="24"/>
          <w:szCs w:val="24"/>
          <w:lang w:val="zh-CN"/>
        </w:rPr>
      </w:pPr>
      <w:r>
        <w:rPr>
          <w:rFonts w:ascii="仿宋_GB2312" w:eastAsia="仿宋_GB2312" w:cs="宋体"/>
          <w:sz w:val="24"/>
          <w:szCs w:val="24"/>
        </w:rPr>
        <w:t>皖南医学院国有资产管理处</w:t>
      </w:r>
    </w:p>
    <w:p>
      <w:pPr>
        <w:pStyle w:val="25"/>
        <w:adjustRightInd w:val="0"/>
        <w:snapToGrid w:val="0"/>
        <w:spacing w:before="0" w:beforeAutospacing="0" w:after="0" w:afterAutospacing="0" w:line="360" w:lineRule="auto"/>
        <w:ind w:firstLine="480" w:firstLineChars="200"/>
        <w:jc w:val="right"/>
        <w:rPr>
          <w:rFonts w:ascii="微软雅黑" w:hAnsi="微软雅黑" w:eastAsia="微软雅黑" w:cs="微软雅黑"/>
          <w:color w:val="333333"/>
          <w:sz w:val="21"/>
          <w:szCs w:val="21"/>
        </w:rPr>
      </w:pPr>
      <w:r>
        <w:rPr>
          <w:rFonts w:hint="eastAsia" w:ascii="仿宋_GB2312" w:eastAsia="仿宋_GB2312" w:cs="宋体"/>
          <w:sz w:val="24"/>
          <w:szCs w:val="24"/>
        </w:rPr>
        <w:t>2023年</w:t>
      </w:r>
      <w:r>
        <w:rPr>
          <w:rFonts w:hint="eastAsia" w:ascii="仿宋_GB2312" w:eastAsia="仿宋_GB2312" w:cs="宋体"/>
          <w:sz w:val="24"/>
          <w:szCs w:val="24"/>
          <w:lang w:val="en-US" w:eastAsia="zh-CN"/>
        </w:rPr>
        <w:t>9</w:t>
      </w:r>
      <w:r>
        <w:rPr>
          <w:rFonts w:hint="eastAsia" w:ascii="仿宋_GB2312" w:eastAsia="仿宋_GB2312" w:cs="宋体"/>
          <w:sz w:val="24"/>
          <w:szCs w:val="24"/>
        </w:rPr>
        <w:t>月</w:t>
      </w:r>
      <w:r>
        <w:rPr>
          <w:rFonts w:hint="eastAsia" w:ascii="仿宋_GB2312" w:eastAsia="仿宋_GB2312" w:cs="宋体"/>
          <w:sz w:val="24"/>
          <w:szCs w:val="24"/>
          <w:lang w:val="en-US" w:eastAsia="zh-CN"/>
        </w:rPr>
        <w:t>11</w:t>
      </w:r>
      <w:r>
        <w:rPr>
          <w:rFonts w:ascii="仿宋_GB2312" w:eastAsia="仿宋_GB2312" w:cs="宋体"/>
          <w:sz w:val="24"/>
          <w:szCs w:val="24"/>
        </w:rPr>
        <w:t>日</w:t>
      </w:r>
    </w:p>
    <w:p>
      <w:pPr>
        <w:jc w:val="right"/>
        <w:rPr>
          <w:rFonts w:ascii="仿宋_GB2312" w:eastAsia="仿宋_GB2312"/>
          <w:sz w:val="24"/>
          <w:szCs w:val="24"/>
        </w:rPr>
      </w:pPr>
    </w:p>
    <w:p>
      <w:pPr>
        <w:rPr>
          <w:rFonts w:ascii="华文中宋" w:hAnsi="华文中宋" w:eastAsia="华文中宋"/>
        </w:rPr>
      </w:pPr>
      <w:bookmarkStart w:id="1" w:name="_Toc49763000"/>
      <w:r>
        <w:rPr>
          <w:rFonts w:hint="eastAsia" w:ascii="华文中宋" w:hAnsi="华文中宋" w:eastAsia="华文中宋"/>
        </w:rPr>
        <w:br w:type="page"/>
      </w:r>
    </w:p>
    <w:p>
      <w:pPr>
        <w:pStyle w:val="6"/>
        <w:snapToGrid w:val="0"/>
        <w:spacing w:before="0" w:after="0"/>
        <w:ind w:left="0" w:firstLine="2168" w:firstLineChars="600"/>
        <w:jc w:val="both"/>
        <w:rPr>
          <w:rFonts w:ascii="华文中宋" w:hAnsi="华文中宋" w:eastAsia="华文中宋"/>
          <w:color w:val="auto"/>
        </w:rPr>
      </w:pPr>
      <w:r>
        <w:rPr>
          <w:rFonts w:hint="eastAsia" w:ascii="华文中宋" w:hAnsi="华文中宋" w:eastAsia="华文中宋"/>
          <w:color w:val="auto"/>
        </w:rPr>
        <w:t>第二章  磋商须知前附表</w:t>
      </w:r>
      <w:bookmarkEnd w:id="1"/>
    </w:p>
    <w:tbl>
      <w:tblPr>
        <w:tblStyle w:val="27"/>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b/>
                <w:kern w:val="0"/>
                <w:sz w:val="21"/>
                <w:szCs w:val="21"/>
              </w:rPr>
            </w:pPr>
            <w:r>
              <w:rPr>
                <w:rFonts w:hint="eastAsia" w:ascii="宋体" w:hAnsi="宋体" w:cs="宋体"/>
                <w:b/>
                <w:kern w:val="0"/>
                <w:sz w:val="21"/>
                <w:szCs w:val="21"/>
              </w:rPr>
              <w:t>条款号</w:t>
            </w:r>
          </w:p>
        </w:tc>
        <w:tc>
          <w:tcPr>
            <w:tcW w:w="2249"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条款名称</w:t>
            </w:r>
          </w:p>
        </w:tc>
        <w:tc>
          <w:tcPr>
            <w:tcW w:w="5866" w:type="dxa"/>
            <w:vAlign w:val="center"/>
          </w:tcPr>
          <w:p>
            <w:pPr>
              <w:widowControl/>
              <w:spacing w:line="360" w:lineRule="exact"/>
              <w:jc w:val="center"/>
              <w:rPr>
                <w:rFonts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项目名称</w:t>
            </w:r>
          </w:p>
        </w:tc>
        <w:tc>
          <w:tcPr>
            <w:tcW w:w="5866" w:type="dxa"/>
            <w:vAlign w:val="center"/>
          </w:tcPr>
          <w:p>
            <w:pPr>
              <w:snapToGrid w:val="0"/>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皖南医学院逸夫科技楼419-421实验室维修改造项目（二次）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2.2</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采购人</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ascii="宋体" w:hAnsi="宋体" w:cs="宋体"/>
                <w:kern w:val="0"/>
                <w:sz w:val="21"/>
                <w:szCs w:val="21"/>
              </w:rPr>
            </w:pPr>
            <w:r>
              <w:rPr>
                <w:rFonts w:hint="eastAsia" w:ascii="宋体" w:hAnsi="宋体" w:cs="宋体"/>
                <w:kern w:val="0"/>
                <w:sz w:val="21"/>
                <w:szCs w:val="21"/>
              </w:rPr>
              <w:t xml:space="preserve">联系人：赵老师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2.3</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招标范围</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2.4</w:t>
            </w:r>
          </w:p>
        </w:tc>
        <w:tc>
          <w:tcPr>
            <w:tcW w:w="2249" w:type="dxa"/>
            <w:vAlign w:val="center"/>
          </w:tcPr>
          <w:p>
            <w:pPr>
              <w:widowControl/>
              <w:jc w:val="left"/>
              <w:rPr>
                <w:rFonts w:ascii="宋体" w:hAnsi="宋体" w:cs="宋体"/>
                <w:kern w:val="0"/>
                <w:sz w:val="21"/>
                <w:szCs w:val="21"/>
              </w:rPr>
            </w:pPr>
            <w:r>
              <w:rPr>
                <w:rFonts w:hint="eastAsia" w:ascii="宋体" w:hAnsi="宋体" w:cs="宋体"/>
                <w:kern w:val="0"/>
                <w:sz w:val="21"/>
                <w:szCs w:val="21"/>
              </w:rPr>
              <w:t>是否允许递交备选投标方案</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2.5</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签字或盖章要求</w:t>
            </w:r>
          </w:p>
        </w:tc>
        <w:tc>
          <w:tcPr>
            <w:tcW w:w="5866" w:type="dxa"/>
            <w:vAlign w:val="center"/>
          </w:tcPr>
          <w:p>
            <w:pPr>
              <w:widowControl/>
              <w:jc w:val="left"/>
              <w:rPr>
                <w:rFonts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2.6</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投标文件份数</w:t>
            </w:r>
          </w:p>
        </w:tc>
        <w:tc>
          <w:tcPr>
            <w:tcW w:w="5866" w:type="dxa"/>
            <w:vAlign w:val="center"/>
          </w:tcPr>
          <w:p>
            <w:pPr>
              <w:jc w:val="left"/>
              <w:rPr>
                <w:rFonts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2.7</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递交响应文件时间、地点</w:t>
            </w:r>
          </w:p>
        </w:tc>
        <w:tc>
          <w:tcPr>
            <w:tcW w:w="5866"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2.8</w:t>
            </w:r>
          </w:p>
        </w:tc>
        <w:tc>
          <w:tcPr>
            <w:tcW w:w="2249" w:type="dxa"/>
            <w:vAlign w:val="center"/>
          </w:tcPr>
          <w:p>
            <w:pPr>
              <w:widowControl/>
              <w:spacing w:line="300" w:lineRule="exact"/>
              <w:jc w:val="left"/>
              <w:rPr>
                <w:rFonts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ascii="宋体" w:hAnsi="宋体" w:cs="宋体"/>
                <w:b/>
                <w:kern w:val="0"/>
                <w:sz w:val="21"/>
                <w:szCs w:val="21"/>
              </w:rPr>
            </w:pPr>
            <w:r>
              <w:rPr>
                <w:rFonts w:hint="eastAsia" w:ascii="宋体" w:hAnsi="宋体" w:cs="宋体"/>
                <w:kern w:val="0"/>
                <w:sz w:val="21"/>
                <w:szCs w:val="21"/>
              </w:rPr>
              <w:t>开标条件：</w:t>
            </w:r>
            <w:r>
              <w:rPr>
                <w:rFonts w:hint="eastAsia" w:ascii="宋体" w:hAnsi="宋体" w:cs="宋体"/>
                <w:b/>
                <w:kern w:val="0"/>
                <w:sz w:val="21"/>
                <w:szCs w:val="21"/>
              </w:rPr>
              <w:t>递交响应提供下列文件，否则投标人的投标文件不予接收：</w:t>
            </w:r>
          </w:p>
          <w:p>
            <w:pPr>
              <w:jc w:val="left"/>
              <w:rPr>
                <w:rFonts w:ascii="宋体" w:hAnsi="宋体" w:cs="宋体"/>
                <w:kern w:val="0"/>
                <w:sz w:val="21"/>
                <w:szCs w:val="21"/>
              </w:rPr>
            </w:pPr>
            <w:r>
              <w:rPr>
                <w:rFonts w:hint="eastAsia" w:ascii="宋体" w:hAnsi="宋体" w:cs="宋体"/>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2.9</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合同履约担保</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履约担保的金额：合同金额的2.5%。</w:t>
            </w:r>
          </w:p>
          <w:p>
            <w:pPr>
              <w:jc w:val="left"/>
              <w:rPr>
                <w:rFonts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firstLine="0" w:firstLineChars="0"/>
            </w:pPr>
            <w:r>
              <w:rPr>
                <w:rFonts w:hint="eastAsia" w:hAnsi="宋体" w:cs="宋体"/>
                <w:sz w:val="21"/>
                <w:szCs w:val="21"/>
              </w:rPr>
              <w:t>帐　　号：</w:t>
            </w:r>
            <w:r>
              <w:rPr>
                <w:rFonts w:hint="eastAsia"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2.10</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履约保证金交纳及退付</w:t>
            </w:r>
          </w:p>
        </w:tc>
        <w:tc>
          <w:tcPr>
            <w:tcW w:w="5866" w:type="dxa"/>
            <w:vAlign w:val="center"/>
          </w:tcPr>
          <w:p>
            <w:pPr>
              <w:jc w:val="left"/>
              <w:rPr>
                <w:rFonts w:ascii="宋体" w:hAnsi="宋体" w:cs="宋体"/>
                <w:kern w:val="0"/>
                <w:sz w:val="21"/>
                <w:szCs w:val="21"/>
              </w:rPr>
            </w:pPr>
            <w:r>
              <w:rPr>
                <w:rFonts w:hint="eastAsia" w:ascii="宋体" w:hAnsi="宋体" w:cs="宋体"/>
                <w:kern w:val="0"/>
                <w:sz w:val="21"/>
                <w:szCs w:val="21"/>
              </w:rPr>
              <w:t>中标后在中标公示结束后3日内缴纳，中标人须提供书面材料确认。</w:t>
            </w:r>
          </w:p>
          <w:p>
            <w:pPr>
              <w:jc w:val="left"/>
              <w:rPr>
                <w:rFonts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2.11</w:t>
            </w:r>
          </w:p>
        </w:tc>
        <w:tc>
          <w:tcPr>
            <w:tcW w:w="2249" w:type="dxa"/>
            <w:vAlign w:val="center"/>
          </w:tcPr>
          <w:p>
            <w:pPr>
              <w:widowControl/>
              <w:spacing w:line="360" w:lineRule="exact"/>
              <w:jc w:val="left"/>
              <w:rPr>
                <w:rFonts w:ascii="宋体" w:hAnsi="宋体" w:cs="宋体"/>
                <w:kern w:val="0"/>
                <w:sz w:val="21"/>
                <w:szCs w:val="21"/>
              </w:rPr>
            </w:pPr>
            <w:r>
              <w:rPr>
                <w:rFonts w:hint="eastAsia" w:ascii="宋体" w:hAnsi="宋体" w:cs="宋体"/>
                <w:kern w:val="0"/>
                <w:sz w:val="21"/>
                <w:szCs w:val="21"/>
              </w:rPr>
              <w:t>磋商有效期</w:t>
            </w:r>
          </w:p>
        </w:tc>
        <w:tc>
          <w:tcPr>
            <w:tcW w:w="5866" w:type="dxa"/>
            <w:vAlign w:val="center"/>
          </w:tcPr>
          <w:p>
            <w:pPr>
              <w:spacing w:line="360" w:lineRule="exact"/>
              <w:jc w:val="left"/>
              <w:rPr>
                <w:rFonts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ascii="宋体" w:hAnsi="宋体" w:cs="宋体"/>
          <w:sz w:val="24"/>
          <w:szCs w:val="24"/>
        </w:rPr>
      </w:pPr>
      <w:bookmarkStart w:id="3" w:name="_Toc16938519"/>
      <w:bookmarkStart w:id="4" w:name="_Toc20823275"/>
      <w:bookmarkStart w:id="5" w:name="_Toc403987205"/>
      <w:bookmarkStart w:id="6" w:name="_Toc120614214"/>
      <w:bookmarkStart w:id="7" w:name="_Toc513029203"/>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ascii="宋体" w:hAnsi="宋体" w:cs="宋体"/>
          <w:sz w:val="24"/>
          <w:szCs w:val="24"/>
        </w:rPr>
      </w:pPr>
      <w:bookmarkStart w:id="8" w:name="_Hlt16619475"/>
      <w:bookmarkEnd w:id="8"/>
      <w:bookmarkStart w:id="9" w:name="_Toc16938520"/>
      <w:bookmarkStart w:id="10" w:name="_Toc20823276"/>
      <w:bookmarkStart w:id="11" w:name="_Toc513029204"/>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40"/>
        <w:snapToGrid w:val="0"/>
        <w:rPr>
          <w:rFonts w:hAnsi="宋体" w:eastAsia="宋体"/>
          <w:sz w:val="24"/>
          <w:szCs w:val="24"/>
        </w:rPr>
      </w:pPr>
      <w:r>
        <w:rPr>
          <w:rFonts w:hint="eastAsia" w:hAnsi="宋体" w:eastAsia="宋体"/>
          <w:sz w:val="24"/>
          <w:szCs w:val="24"/>
        </w:rPr>
        <w:t>1.本次采购采用磋商方式，本磋商文件仅适用于磋商公告中所述项目。</w:t>
      </w:r>
    </w:p>
    <w:p>
      <w:pPr>
        <w:pStyle w:val="40"/>
        <w:snapToGrid w:val="0"/>
        <w:rPr>
          <w:rFonts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ascii="宋体" w:hAnsi="宋体" w:cs="宋体"/>
          <w:sz w:val="24"/>
          <w:szCs w:val="24"/>
        </w:rPr>
      </w:pPr>
      <w:bookmarkStart w:id="12" w:name="_Toc20823277"/>
      <w:bookmarkStart w:id="13" w:name="_Toc16938521"/>
      <w:bookmarkStart w:id="14" w:name="_Toc513029205"/>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40"/>
        <w:snapToGrid w:val="0"/>
        <w:ind w:left="560" w:firstLine="0" w:firstLineChars="0"/>
        <w:rPr>
          <w:rFonts w:hAnsi="宋体" w:eastAsia="宋体"/>
          <w:sz w:val="24"/>
          <w:szCs w:val="24"/>
        </w:rPr>
      </w:pPr>
      <w:r>
        <w:rPr>
          <w:rFonts w:hint="eastAsia" w:hAnsi="宋体" w:eastAsia="宋体"/>
          <w:sz w:val="24"/>
          <w:szCs w:val="24"/>
        </w:rPr>
        <w:t>（1）满足磋商公告中供应商的资格条件的规定。</w:t>
      </w:r>
    </w:p>
    <w:p>
      <w:pPr>
        <w:pStyle w:val="40"/>
        <w:snapToGrid w:val="0"/>
        <w:rPr>
          <w:rFonts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ascii="宋体" w:hAnsi="宋体" w:cs="宋体"/>
          <w:sz w:val="24"/>
          <w:szCs w:val="24"/>
        </w:rPr>
      </w:pPr>
      <w:bookmarkStart w:id="15" w:name="_Toc513029206"/>
      <w:bookmarkStart w:id="16" w:name="_Toc16938522"/>
      <w:bookmarkStart w:id="17" w:name="_Toc20823278"/>
      <w:r>
        <w:rPr>
          <w:rFonts w:hint="eastAsia" w:ascii="宋体" w:hAnsi="宋体" w:cs="宋体"/>
          <w:sz w:val="24"/>
          <w:szCs w:val="24"/>
        </w:rPr>
        <w:t>4.适用法律</w:t>
      </w:r>
      <w:bookmarkEnd w:id="15"/>
      <w:bookmarkEnd w:id="16"/>
      <w:bookmarkEnd w:id="17"/>
    </w:p>
    <w:p>
      <w:pPr>
        <w:pStyle w:val="40"/>
        <w:snapToGrid w:val="0"/>
        <w:rPr>
          <w:rFonts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ascii="宋体" w:hAnsi="宋体" w:cs="宋体"/>
          <w:sz w:val="24"/>
          <w:szCs w:val="24"/>
        </w:rPr>
      </w:pPr>
      <w:bookmarkStart w:id="18" w:name="_Toc20823279"/>
      <w:bookmarkStart w:id="19" w:name="_Toc513029207"/>
      <w:bookmarkStart w:id="20" w:name="_Toc16938523"/>
      <w:bookmarkStart w:id="21" w:name="_Toc462564067"/>
      <w:r>
        <w:rPr>
          <w:rFonts w:hint="eastAsia" w:ascii="宋体" w:hAnsi="宋体" w:cs="宋体"/>
          <w:sz w:val="24"/>
          <w:szCs w:val="24"/>
        </w:rPr>
        <w:t>5.磋商费用</w:t>
      </w:r>
      <w:bookmarkEnd w:id="18"/>
      <w:bookmarkEnd w:id="19"/>
      <w:bookmarkEnd w:id="20"/>
      <w:bookmarkEnd w:id="21"/>
    </w:p>
    <w:p>
      <w:pPr>
        <w:pStyle w:val="40"/>
        <w:snapToGrid w:val="0"/>
        <w:rPr>
          <w:rFonts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40"/>
        <w:snapToGrid w:val="0"/>
        <w:rPr>
          <w:rFonts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6.磋商文件的约束力</w:t>
      </w:r>
    </w:p>
    <w:p>
      <w:pPr>
        <w:pStyle w:val="40"/>
        <w:snapToGrid w:val="0"/>
        <w:rPr>
          <w:rFonts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宋体" w:hAnsi="宋体" w:cs="宋体"/>
          <w:sz w:val="24"/>
          <w:szCs w:val="24"/>
        </w:rPr>
      </w:pPr>
      <w:bookmarkStart w:id="22" w:name="_Toc403987206"/>
      <w:bookmarkStart w:id="23" w:name="_Toc16938525"/>
      <w:bookmarkStart w:id="24" w:name="_Toc120614215"/>
      <w:bookmarkStart w:id="25" w:name="_Toc513029209"/>
      <w:bookmarkStart w:id="26" w:name="_Toc20823281"/>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宋体" w:hAnsi="宋体" w:cs="宋体"/>
          <w:sz w:val="24"/>
          <w:szCs w:val="24"/>
        </w:rPr>
      </w:pPr>
      <w:bookmarkStart w:id="27" w:name="_Toc16938526"/>
      <w:bookmarkStart w:id="28" w:name="_Toc513029210"/>
      <w:bookmarkStart w:id="29" w:name="_Toc20823282"/>
      <w:r>
        <w:rPr>
          <w:rFonts w:hint="eastAsia" w:ascii="宋体" w:hAnsi="宋体" w:cs="宋体"/>
          <w:sz w:val="24"/>
          <w:szCs w:val="24"/>
        </w:rPr>
        <w:t>1.磋商文件构成</w:t>
      </w:r>
      <w:bookmarkEnd w:id="27"/>
      <w:bookmarkEnd w:id="28"/>
      <w:bookmarkEnd w:id="29"/>
    </w:p>
    <w:p>
      <w:pPr>
        <w:pStyle w:val="40"/>
        <w:snapToGrid w:val="0"/>
        <w:rPr>
          <w:rFonts w:hAnsi="宋体" w:eastAsia="宋体"/>
          <w:sz w:val="24"/>
          <w:szCs w:val="24"/>
        </w:rPr>
      </w:pPr>
      <w:r>
        <w:rPr>
          <w:rFonts w:hint="eastAsia" w:hAnsi="宋体" w:eastAsia="宋体"/>
          <w:sz w:val="24"/>
          <w:szCs w:val="24"/>
        </w:rPr>
        <w:t>磋商文件有以下部分组成：</w:t>
      </w:r>
    </w:p>
    <w:p>
      <w:pPr>
        <w:pStyle w:val="40"/>
        <w:snapToGrid w:val="0"/>
        <w:rPr>
          <w:rFonts w:hAnsi="宋体" w:eastAsia="宋体"/>
          <w:sz w:val="24"/>
          <w:szCs w:val="24"/>
        </w:rPr>
      </w:pPr>
      <w:r>
        <w:rPr>
          <w:rFonts w:hint="eastAsia" w:hAnsi="宋体" w:eastAsia="宋体"/>
          <w:sz w:val="24"/>
          <w:szCs w:val="24"/>
        </w:rPr>
        <w:t>（1）磋商公告</w:t>
      </w:r>
    </w:p>
    <w:p>
      <w:pPr>
        <w:pStyle w:val="40"/>
        <w:snapToGrid w:val="0"/>
        <w:rPr>
          <w:rFonts w:hAnsi="宋体" w:eastAsia="宋体"/>
          <w:sz w:val="24"/>
          <w:szCs w:val="24"/>
        </w:rPr>
      </w:pPr>
      <w:r>
        <w:rPr>
          <w:rFonts w:hint="eastAsia" w:hAnsi="宋体" w:eastAsia="宋体"/>
          <w:sz w:val="24"/>
          <w:szCs w:val="24"/>
        </w:rPr>
        <w:t>（2）磋商须知前附表</w:t>
      </w:r>
    </w:p>
    <w:p>
      <w:pPr>
        <w:pStyle w:val="40"/>
        <w:snapToGrid w:val="0"/>
        <w:rPr>
          <w:rFonts w:hAnsi="宋体" w:eastAsia="宋体"/>
          <w:sz w:val="24"/>
          <w:szCs w:val="24"/>
        </w:rPr>
      </w:pPr>
      <w:r>
        <w:rPr>
          <w:rFonts w:hint="eastAsia" w:hAnsi="宋体" w:eastAsia="宋体"/>
          <w:sz w:val="24"/>
          <w:szCs w:val="24"/>
        </w:rPr>
        <w:t>（3）磋商须知</w:t>
      </w:r>
    </w:p>
    <w:p>
      <w:pPr>
        <w:pStyle w:val="40"/>
        <w:snapToGrid w:val="0"/>
        <w:rPr>
          <w:rFonts w:hAnsi="宋体" w:eastAsia="宋体"/>
          <w:sz w:val="24"/>
          <w:szCs w:val="24"/>
        </w:rPr>
      </w:pPr>
      <w:r>
        <w:rPr>
          <w:rFonts w:hint="eastAsia" w:hAnsi="宋体" w:eastAsia="宋体"/>
          <w:sz w:val="24"/>
          <w:szCs w:val="24"/>
        </w:rPr>
        <w:t>（4）合同主要条款</w:t>
      </w:r>
    </w:p>
    <w:p>
      <w:pPr>
        <w:pStyle w:val="40"/>
        <w:snapToGrid w:val="0"/>
        <w:rPr>
          <w:rFonts w:hAnsi="宋体" w:eastAsia="宋体"/>
          <w:sz w:val="24"/>
          <w:szCs w:val="24"/>
        </w:rPr>
      </w:pPr>
      <w:r>
        <w:rPr>
          <w:rFonts w:hint="eastAsia" w:hAnsi="宋体" w:eastAsia="宋体"/>
          <w:sz w:val="24"/>
          <w:szCs w:val="24"/>
        </w:rPr>
        <w:t>（5）项目需求</w:t>
      </w:r>
    </w:p>
    <w:p>
      <w:pPr>
        <w:pStyle w:val="40"/>
        <w:snapToGrid w:val="0"/>
        <w:rPr>
          <w:rFonts w:hAnsi="宋体" w:eastAsia="宋体"/>
          <w:sz w:val="24"/>
          <w:szCs w:val="24"/>
        </w:rPr>
      </w:pPr>
      <w:r>
        <w:rPr>
          <w:rFonts w:hint="eastAsia" w:hAnsi="宋体" w:eastAsia="宋体"/>
          <w:sz w:val="24"/>
          <w:szCs w:val="24"/>
        </w:rPr>
        <w:t>（6）评审标准</w:t>
      </w:r>
    </w:p>
    <w:p>
      <w:pPr>
        <w:pStyle w:val="40"/>
        <w:snapToGrid w:val="0"/>
        <w:rPr>
          <w:rFonts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ascii="宋体" w:hAnsi="宋体" w:cs="宋体"/>
          <w:sz w:val="24"/>
          <w:szCs w:val="24"/>
        </w:rPr>
      </w:pPr>
      <w:bookmarkStart w:id="30" w:name="_Toc513029211"/>
      <w:bookmarkStart w:id="31" w:name="_Toc462564070"/>
      <w:bookmarkStart w:id="32" w:name="_Toc20823283"/>
      <w:bookmarkStart w:id="33" w:name="_Toc16938527"/>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40"/>
        <w:snapToGrid w:val="0"/>
        <w:rPr>
          <w:rFonts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宋体" w:hAnsi="宋体" w:cs="宋体"/>
          <w:sz w:val="24"/>
          <w:szCs w:val="24"/>
        </w:rPr>
      </w:pPr>
      <w:bookmarkStart w:id="34" w:name="_Toc20823285"/>
      <w:bookmarkStart w:id="35" w:name="_Toc16938529"/>
      <w:bookmarkStart w:id="36" w:name="_Toc462564072"/>
      <w:bookmarkStart w:id="37" w:name="_Toc403987207"/>
      <w:bookmarkStart w:id="38" w:name="_Toc120614216"/>
      <w:bookmarkStart w:id="39" w:name="_Toc513029213"/>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ascii="宋体" w:hAnsi="宋体" w:cs="宋体"/>
          <w:sz w:val="24"/>
          <w:szCs w:val="24"/>
        </w:rPr>
      </w:pPr>
      <w:bookmarkStart w:id="41" w:name="_Toc513029214"/>
      <w:bookmarkStart w:id="42" w:name="_Toc20823286"/>
      <w:bookmarkStart w:id="43" w:name="_Toc16938530"/>
      <w:bookmarkStart w:id="44" w:name="_Toc462564073"/>
      <w:r>
        <w:rPr>
          <w:rFonts w:hint="eastAsia" w:ascii="宋体" w:hAnsi="宋体" w:cs="宋体"/>
          <w:sz w:val="24"/>
          <w:szCs w:val="24"/>
        </w:rPr>
        <w:t>3.响应文件的语言及度量衡单位</w:t>
      </w:r>
      <w:bookmarkEnd w:id="41"/>
      <w:bookmarkEnd w:id="42"/>
      <w:bookmarkEnd w:id="43"/>
      <w:bookmarkEnd w:id="44"/>
    </w:p>
    <w:p>
      <w:pPr>
        <w:pStyle w:val="40"/>
        <w:snapToGrid w:val="0"/>
        <w:rPr>
          <w:rFonts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40"/>
        <w:snapToGrid w:val="0"/>
        <w:rPr>
          <w:rFonts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宋体" w:hAnsi="宋体" w:cs="宋体"/>
          <w:sz w:val="24"/>
          <w:szCs w:val="24"/>
        </w:rPr>
      </w:pPr>
      <w:bookmarkStart w:id="45" w:name="_Toc20823287"/>
      <w:bookmarkStart w:id="46" w:name="_Toc462564074"/>
      <w:bookmarkStart w:id="47" w:name="_Toc16938531"/>
      <w:bookmarkStart w:id="48" w:name="_Toc513029215"/>
      <w:r>
        <w:rPr>
          <w:rFonts w:hint="eastAsia" w:ascii="宋体" w:hAnsi="宋体" w:cs="宋体"/>
          <w:sz w:val="24"/>
          <w:szCs w:val="24"/>
        </w:rPr>
        <w:t>4.响应文件构成</w:t>
      </w:r>
      <w:bookmarkEnd w:id="45"/>
      <w:bookmarkEnd w:id="46"/>
      <w:bookmarkEnd w:id="47"/>
      <w:bookmarkEnd w:id="48"/>
    </w:p>
    <w:p>
      <w:pPr>
        <w:pStyle w:val="40"/>
        <w:snapToGrid w:val="0"/>
        <w:rPr>
          <w:rFonts w:hAnsi="宋体" w:eastAsia="宋体"/>
          <w:sz w:val="24"/>
          <w:szCs w:val="24"/>
        </w:rPr>
      </w:pPr>
      <w:r>
        <w:rPr>
          <w:rFonts w:hint="eastAsia" w:hAnsi="宋体" w:eastAsia="宋体"/>
          <w:sz w:val="24"/>
          <w:szCs w:val="24"/>
        </w:rPr>
        <w:t>（1）供应商应该按照磋商文件的要求编写响应文件应。</w:t>
      </w:r>
    </w:p>
    <w:p>
      <w:pPr>
        <w:pStyle w:val="40"/>
        <w:snapToGrid w:val="0"/>
        <w:rPr>
          <w:rFonts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ascii="宋体" w:hAnsi="宋体" w:cs="宋体"/>
          <w:sz w:val="24"/>
          <w:szCs w:val="24"/>
        </w:rPr>
      </w:pPr>
      <w:bookmarkStart w:id="49" w:name="_Hlt26670360"/>
      <w:bookmarkEnd w:id="49"/>
      <w:bookmarkStart w:id="50" w:name="_Hlt26954838"/>
      <w:bookmarkEnd w:id="50"/>
      <w:bookmarkStart w:id="51" w:name="_Hlt26668975"/>
      <w:bookmarkEnd w:id="51"/>
      <w:bookmarkStart w:id="52" w:name="_Toc513029219"/>
      <w:bookmarkStart w:id="53" w:name="_Toc14577357"/>
      <w:bookmarkStart w:id="54" w:name="_Toc49090509"/>
      <w:bookmarkStart w:id="55" w:name="_Toc49090507"/>
      <w:bookmarkStart w:id="56" w:name="_Toc14577354"/>
      <w:bookmarkStart w:id="57" w:name="_Toc513029216"/>
      <w:r>
        <w:rPr>
          <w:rFonts w:hint="eastAsia" w:ascii="宋体" w:hAnsi="宋体" w:cs="宋体"/>
          <w:sz w:val="24"/>
          <w:szCs w:val="24"/>
        </w:rPr>
        <w:t>5.证明供应商资格及符合磋商文件规定的文件</w:t>
      </w:r>
      <w:bookmarkEnd w:id="52"/>
      <w:bookmarkEnd w:id="53"/>
      <w:bookmarkEnd w:id="54"/>
    </w:p>
    <w:p>
      <w:pPr>
        <w:pStyle w:val="40"/>
        <w:snapToGrid w:val="0"/>
        <w:rPr>
          <w:rFonts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40"/>
        <w:snapToGrid w:val="0"/>
        <w:rPr>
          <w:rFonts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费率。每项费用只允许有一个报价，任何有选择的报价将不予接受。（如有）</w:t>
      </w:r>
    </w:p>
    <w:p>
      <w:pPr>
        <w:pStyle w:val="40"/>
        <w:snapToGrid w:val="0"/>
        <w:rPr>
          <w:rFonts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40"/>
        <w:snapToGrid w:val="0"/>
        <w:ind w:firstLine="482"/>
        <w:rPr>
          <w:rFonts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（3）其它费用处理</w:t>
      </w:r>
    </w:p>
    <w:p>
      <w:pPr>
        <w:pStyle w:val="40"/>
        <w:snapToGrid w:val="0"/>
        <w:rPr>
          <w:rFonts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7.响应文件货币</w:t>
      </w:r>
    </w:p>
    <w:p>
      <w:pPr>
        <w:pStyle w:val="40"/>
        <w:snapToGrid w:val="0"/>
        <w:rPr>
          <w:rFonts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宋体" w:hAnsi="宋体" w:cs="宋体"/>
          <w:sz w:val="24"/>
          <w:szCs w:val="24"/>
        </w:rPr>
      </w:pPr>
      <w:bookmarkStart w:id="63" w:name="_Hlt26670482"/>
      <w:bookmarkEnd w:id="63"/>
      <w:bookmarkStart w:id="64" w:name="_Hlt26670486"/>
      <w:bookmarkEnd w:id="64"/>
      <w:bookmarkStart w:id="65" w:name="_Hlt26954848"/>
      <w:bookmarkEnd w:id="65"/>
      <w:bookmarkStart w:id="66" w:name="_Hlt26954846"/>
      <w:bookmarkEnd w:id="66"/>
      <w:bookmarkStart w:id="67" w:name="_Hlt26954731"/>
      <w:bookmarkEnd w:id="67"/>
      <w:bookmarkStart w:id="68" w:name="_Hlt26954739"/>
      <w:bookmarkEnd w:id="68"/>
      <w:bookmarkStart w:id="69" w:name="_Hlt26954852"/>
      <w:bookmarkEnd w:id="69"/>
      <w:bookmarkStart w:id="70" w:name="_Toc14577361"/>
      <w:bookmarkStart w:id="71" w:name="_Toc49090512"/>
      <w:r>
        <w:rPr>
          <w:rFonts w:hint="eastAsia" w:ascii="宋体" w:hAnsi="宋体" w:cs="宋体"/>
          <w:sz w:val="24"/>
          <w:szCs w:val="24"/>
        </w:rPr>
        <w:t>8.响应文件份数和签署</w:t>
      </w:r>
      <w:bookmarkEnd w:id="70"/>
      <w:bookmarkEnd w:id="71"/>
    </w:p>
    <w:p>
      <w:pPr>
        <w:pStyle w:val="40"/>
        <w:snapToGrid w:val="0"/>
        <w:rPr>
          <w:rFonts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40"/>
        <w:snapToGrid w:val="0"/>
        <w:rPr>
          <w:rFonts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40"/>
        <w:snapToGrid w:val="0"/>
        <w:rPr>
          <w:rFonts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宋体" w:hAnsi="宋体" w:cs="宋体"/>
          <w:sz w:val="24"/>
          <w:szCs w:val="24"/>
        </w:rPr>
      </w:pPr>
      <w:bookmarkStart w:id="72" w:name="_Toc513029224"/>
      <w:bookmarkStart w:id="73" w:name="_Toc16938540"/>
      <w:bookmarkStart w:id="74" w:name="_Toc20823296"/>
      <w:bookmarkStart w:id="75" w:name="_Toc120614217"/>
      <w:bookmarkStart w:id="76" w:name="_Toc403987208"/>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宋体" w:hAnsi="宋体" w:cs="宋体"/>
          <w:sz w:val="24"/>
          <w:szCs w:val="24"/>
        </w:rPr>
      </w:pPr>
      <w:bookmarkStart w:id="77" w:name="_Toc16938541"/>
      <w:bookmarkStart w:id="78" w:name="_Toc513029225"/>
      <w:bookmarkStart w:id="79" w:name="_Toc462564084"/>
      <w:bookmarkStart w:id="80" w:name="_Toc20823297"/>
      <w:r>
        <w:rPr>
          <w:rFonts w:hint="eastAsia" w:ascii="宋体" w:hAnsi="宋体" w:cs="宋体"/>
          <w:sz w:val="24"/>
          <w:szCs w:val="24"/>
        </w:rPr>
        <w:t>1.响应文件的密封和标记</w:t>
      </w:r>
      <w:bookmarkEnd w:id="77"/>
      <w:bookmarkEnd w:id="78"/>
      <w:bookmarkEnd w:id="79"/>
      <w:bookmarkEnd w:id="80"/>
    </w:p>
    <w:p>
      <w:pPr>
        <w:pStyle w:val="40"/>
        <w:snapToGrid w:val="0"/>
        <w:rPr>
          <w:rFonts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40"/>
        <w:snapToGrid w:val="0"/>
        <w:rPr>
          <w:rFonts w:hAnsi="宋体" w:eastAsia="宋体"/>
          <w:sz w:val="24"/>
          <w:szCs w:val="24"/>
        </w:rPr>
      </w:pPr>
      <w:r>
        <w:rPr>
          <w:rFonts w:hint="eastAsia" w:hAnsi="宋体" w:eastAsia="宋体"/>
          <w:sz w:val="24"/>
          <w:szCs w:val="24"/>
        </w:rPr>
        <w:t>（2）密封的响应文件应：</w:t>
      </w:r>
    </w:p>
    <w:p>
      <w:pPr>
        <w:pStyle w:val="40"/>
        <w:snapToGrid w:val="0"/>
        <w:rPr>
          <w:rFonts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40"/>
        <w:snapToGrid w:val="0"/>
        <w:rPr>
          <w:rFonts w:hAnsi="宋体" w:eastAsia="宋体"/>
          <w:sz w:val="24"/>
          <w:szCs w:val="24"/>
        </w:rPr>
      </w:pPr>
      <w:r>
        <w:rPr>
          <w:rFonts w:hint="eastAsia" w:hAnsi="宋体" w:eastAsia="宋体"/>
          <w:sz w:val="24"/>
          <w:szCs w:val="24"/>
        </w:rPr>
        <w:t>2）注明磋商项目名称、项目编号。</w:t>
      </w:r>
    </w:p>
    <w:p>
      <w:pPr>
        <w:pStyle w:val="40"/>
        <w:snapToGrid w:val="0"/>
        <w:rPr>
          <w:rFonts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宋体" w:hAnsi="宋体" w:cs="宋体"/>
          <w:sz w:val="24"/>
          <w:szCs w:val="24"/>
        </w:rPr>
      </w:pPr>
      <w:bookmarkStart w:id="81" w:name="_Toc20823298"/>
      <w:bookmarkStart w:id="82" w:name="_Toc513029226"/>
      <w:bookmarkStart w:id="83" w:name="_Toc16938542"/>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40"/>
        <w:snapToGrid w:val="0"/>
        <w:rPr>
          <w:rFonts w:hAnsi="宋体" w:eastAsia="宋体"/>
          <w:sz w:val="24"/>
          <w:szCs w:val="24"/>
        </w:rPr>
      </w:pPr>
      <w:r>
        <w:rPr>
          <w:rFonts w:hint="eastAsia" w:hAnsi="宋体" w:eastAsia="宋体"/>
          <w:sz w:val="24"/>
          <w:szCs w:val="24"/>
        </w:rPr>
        <w:t>（1）采购人收到响应文件的时间不得迟于磋商公告中规定的截止时间。</w:t>
      </w:r>
    </w:p>
    <w:p>
      <w:pPr>
        <w:pStyle w:val="40"/>
        <w:snapToGrid w:val="0"/>
        <w:rPr>
          <w:rFonts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1.磋商仪式</w:t>
      </w:r>
    </w:p>
    <w:p>
      <w:pPr>
        <w:pStyle w:val="40"/>
        <w:snapToGrid w:val="0"/>
        <w:rPr>
          <w:rFonts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40"/>
        <w:snapToGrid w:val="0"/>
        <w:rPr>
          <w:rFonts w:hAnsi="宋体" w:eastAsia="宋体"/>
          <w:sz w:val="24"/>
          <w:szCs w:val="24"/>
        </w:rPr>
      </w:pPr>
      <w:r>
        <w:rPr>
          <w:rFonts w:hint="eastAsia" w:hAnsi="宋体" w:eastAsia="宋体"/>
          <w:sz w:val="24"/>
          <w:szCs w:val="24"/>
        </w:rPr>
        <w:t>（2）磋商仪式由采购人代表主持，磋商领导小组成员、采购人代表、监督代表、供应商代表以及有关工作人员参加。</w:t>
      </w:r>
    </w:p>
    <w:p>
      <w:pPr>
        <w:pStyle w:val="40"/>
        <w:snapToGrid w:val="0"/>
        <w:rPr>
          <w:rFonts w:hAnsi="宋体" w:eastAsia="宋体"/>
          <w:sz w:val="24"/>
          <w:szCs w:val="24"/>
        </w:rPr>
      </w:pPr>
      <w:r>
        <w:rPr>
          <w:rFonts w:hint="eastAsia" w:hAnsi="宋体" w:eastAsia="宋体"/>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宋体" w:hAnsi="宋体" w:cs="宋体"/>
          <w:sz w:val="24"/>
          <w:szCs w:val="24"/>
        </w:rPr>
      </w:pPr>
      <w:bookmarkStart w:id="84" w:name="_Toc20823303"/>
      <w:bookmarkStart w:id="85" w:name="_Toc16938547"/>
      <w:bookmarkStart w:id="86" w:name="_Toc513029231"/>
      <w:r>
        <w:rPr>
          <w:rFonts w:hint="eastAsia" w:ascii="宋体" w:hAnsi="宋体" w:cs="宋体"/>
          <w:sz w:val="24"/>
          <w:szCs w:val="24"/>
        </w:rPr>
        <w:t>2.磋商小组</w:t>
      </w:r>
    </w:p>
    <w:p>
      <w:pPr>
        <w:pStyle w:val="40"/>
        <w:snapToGrid w:val="0"/>
        <w:rPr>
          <w:rFonts w:hAnsi="宋体" w:eastAsia="宋体"/>
          <w:sz w:val="24"/>
          <w:szCs w:val="24"/>
        </w:rPr>
      </w:pPr>
      <w:r>
        <w:rPr>
          <w:rFonts w:hint="eastAsia" w:hAnsi="宋体" w:eastAsia="宋体"/>
          <w:sz w:val="24"/>
          <w:szCs w:val="24"/>
        </w:rPr>
        <w:t>（1）磋商仪式结束后，采购人将立即组织磋商小组进行磋商。</w:t>
      </w:r>
    </w:p>
    <w:p>
      <w:pPr>
        <w:pStyle w:val="40"/>
        <w:snapToGrid w:val="0"/>
        <w:rPr>
          <w:rFonts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宋体" w:hAnsi="宋体" w:cs="宋体"/>
          <w:sz w:val="24"/>
          <w:szCs w:val="24"/>
        </w:rPr>
      </w:pPr>
      <w:bookmarkStart w:id="87" w:name="_Toc16938548"/>
      <w:bookmarkStart w:id="88" w:name="_Toc513029232"/>
      <w:bookmarkStart w:id="89" w:name="_Toc20823304"/>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ascii="宋体" w:hAnsi="宋体" w:cs="宋体"/>
          <w:sz w:val="24"/>
          <w:szCs w:val="24"/>
        </w:rPr>
      </w:pPr>
      <w:bookmarkStart w:id="90" w:name="_Toc16938549"/>
      <w:bookmarkStart w:id="91" w:name="_Toc20823305"/>
      <w:bookmarkStart w:id="92" w:name="_Toc513029233"/>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6.响应无效和终止磋商活动条款</w:t>
      </w:r>
    </w:p>
    <w:p>
      <w:pPr>
        <w:pStyle w:val="40"/>
        <w:snapToGrid w:val="0"/>
        <w:rPr>
          <w:rFonts w:hAnsi="宋体" w:eastAsia="宋体"/>
          <w:sz w:val="24"/>
          <w:szCs w:val="24"/>
        </w:rPr>
      </w:pPr>
      <w:bookmarkStart w:id="93" w:name="_Toc513029235"/>
      <w:bookmarkStart w:id="94" w:name="_Toc20823307"/>
      <w:bookmarkStart w:id="95" w:name="_Toc16938551"/>
      <w:r>
        <w:rPr>
          <w:rFonts w:hint="eastAsia" w:hAnsi="宋体" w:eastAsia="宋体"/>
          <w:sz w:val="24"/>
          <w:szCs w:val="24"/>
        </w:rPr>
        <w:t>（1）响应无效条款</w:t>
      </w:r>
    </w:p>
    <w:p>
      <w:pPr>
        <w:pStyle w:val="37"/>
        <w:snapToGrid w:val="0"/>
        <w:ind w:firstLine="480" w:firstLineChars="200"/>
        <w:rPr>
          <w:rFonts w:hAnsi="宋体" w:eastAsia="宋体"/>
          <w:sz w:val="24"/>
          <w:szCs w:val="24"/>
        </w:rPr>
      </w:pPr>
      <w:r>
        <w:rPr>
          <w:rFonts w:hint="eastAsia" w:hAnsi="宋体" w:eastAsia="宋体"/>
          <w:sz w:val="24"/>
          <w:szCs w:val="24"/>
        </w:rPr>
        <w:t>1）未按照磋商文件规定要求密封、签署、盖章的；</w:t>
      </w:r>
    </w:p>
    <w:p>
      <w:pPr>
        <w:pStyle w:val="37"/>
        <w:snapToGrid w:val="0"/>
        <w:ind w:firstLine="480" w:firstLineChars="200"/>
        <w:rPr>
          <w:rFonts w:hAnsi="宋体" w:eastAsia="宋体"/>
          <w:sz w:val="24"/>
          <w:szCs w:val="24"/>
        </w:rPr>
      </w:pPr>
      <w:r>
        <w:rPr>
          <w:rFonts w:hint="eastAsia" w:hAnsi="宋体" w:eastAsia="宋体"/>
          <w:sz w:val="24"/>
          <w:szCs w:val="24"/>
        </w:rPr>
        <w:t>2）供应商不具备磋商文件中规定资格条件的；</w:t>
      </w:r>
    </w:p>
    <w:p>
      <w:pPr>
        <w:pStyle w:val="37"/>
        <w:snapToGrid w:val="0"/>
        <w:ind w:firstLine="480" w:firstLineChars="200"/>
        <w:rPr>
          <w:rFonts w:hAnsi="宋体" w:eastAsia="宋体"/>
          <w:sz w:val="24"/>
          <w:szCs w:val="24"/>
        </w:rPr>
      </w:pPr>
      <w:r>
        <w:rPr>
          <w:rFonts w:hint="eastAsia" w:hAnsi="宋体" w:eastAsia="宋体"/>
          <w:sz w:val="24"/>
          <w:szCs w:val="24"/>
        </w:rPr>
        <w:t>3）不符合法律、法规和磋商文件中规定的其他实质性要求的（本磋商文件中斜体且有下划线部分为实质性要求和条件）；</w:t>
      </w:r>
    </w:p>
    <w:p>
      <w:pPr>
        <w:pStyle w:val="37"/>
        <w:snapToGrid w:val="0"/>
        <w:ind w:firstLine="480" w:firstLineChars="200"/>
        <w:rPr>
          <w:rFonts w:hAnsi="宋体" w:eastAsia="宋体"/>
          <w:sz w:val="24"/>
          <w:szCs w:val="24"/>
        </w:rPr>
      </w:pPr>
      <w:r>
        <w:rPr>
          <w:rFonts w:hint="eastAsia" w:hAnsi="宋体" w:eastAsia="宋体"/>
          <w:sz w:val="24"/>
          <w:szCs w:val="24"/>
        </w:rPr>
        <w:t>4）其他法律、法规及本磋商文件规定的属响应无效的情形。</w:t>
      </w:r>
    </w:p>
    <w:p>
      <w:pPr>
        <w:pStyle w:val="40"/>
        <w:snapToGrid w:val="0"/>
        <w:rPr>
          <w:rFonts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出现下列情形之一的，采购人将终止磋商采购活动，发布项目终止公告并说明原因，重新开展采购活动：</w:t>
      </w:r>
    </w:p>
    <w:p>
      <w:pPr>
        <w:pStyle w:val="37"/>
        <w:snapToGrid w:val="0"/>
        <w:ind w:firstLine="480" w:firstLineChars="200"/>
        <w:rPr>
          <w:rFonts w:hAnsi="宋体" w:eastAsia="宋体"/>
          <w:sz w:val="24"/>
          <w:szCs w:val="24"/>
        </w:rPr>
      </w:pPr>
      <w:r>
        <w:rPr>
          <w:rFonts w:hint="eastAsia" w:hAnsi="宋体" w:eastAsia="宋体"/>
          <w:sz w:val="24"/>
          <w:szCs w:val="24"/>
        </w:rPr>
        <w:t>（1）因情况变化，不再符合规定的磋商采购方式适用情形的；</w:t>
      </w:r>
    </w:p>
    <w:p>
      <w:pPr>
        <w:pStyle w:val="37"/>
        <w:snapToGrid w:val="0"/>
        <w:ind w:firstLine="480" w:firstLineChars="200"/>
        <w:rPr>
          <w:rFonts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40"/>
        <w:snapToGrid w:val="0"/>
        <w:rPr>
          <w:rFonts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40"/>
        <w:snapToGrid w:val="0"/>
        <w:rPr>
          <w:rFonts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ascii="宋体" w:hAnsi="宋体" w:cs="宋体"/>
          <w:sz w:val="24"/>
          <w:szCs w:val="24"/>
        </w:rPr>
      </w:pPr>
      <w:bookmarkStart w:id="98" w:name="_Toc403987211"/>
      <w:bookmarkStart w:id="99" w:name="_Toc120614220"/>
      <w:bookmarkStart w:id="100" w:name="_Toc513029236"/>
      <w:bookmarkStart w:id="101" w:name="_Toc20823308"/>
      <w:bookmarkStart w:id="102" w:name="_Toc16938552"/>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宋体" w:hAnsi="宋体" w:cs="宋体"/>
          <w:sz w:val="24"/>
          <w:szCs w:val="24"/>
        </w:rPr>
      </w:pPr>
      <w:bookmarkStart w:id="103" w:name="_Toc513029237"/>
      <w:bookmarkStart w:id="104" w:name="_Toc16938553"/>
      <w:bookmarkStart w:id="105" w:name="_Toc20823309"/>
      <w:r>
        <w:rPr>
          <w:rFonts w:hint="eastAsia" w:ascii="宋体" w:hAnsi="宋体" w:cs="宋体"/>
          <w:sz w:val="24"/>
          <w:szCs w:val="24"/>
        </w:rPr>
        <w:t>1.签订合同</w:t>
      </w:r>
    </w:p>
    <w:p>
      <w:pPr>
        <w:pStyle w:val="40"/>
        <w:snapToGrid w:val="0"/>
        <w:rPr>
          <w:rFonts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40"/>
        <w:snapToGrid w:val="0"/>
        <w:rPr>
          <w:rFonts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40"/>
        <w:snapToGrid w:val="0"/>
        <w:rPr>
          <w:rFonts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2.履约保证金</w:t>
      </w:r>
    </w:p>
    <w:p>
      <w:pPr>
        <w:pStyle w:val="40"/>
        <w:snapToGrid w:val="0"/>
        <w:rPr>
          <w:rFonts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rPr>
        <w:t>缴纳履约保证金。</w:t>
      </w:r>
    </w:p>
    <w:bookmarkEnd w:id="106"/>
    <w:p>
      <w:pPr>
        <w:pStyle w:val="40"/>
        <w:snapToGrid w:val="0"/>
        <w:rPr>
          <w:rFonts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1、联系部门：皖南医学院纪委办公室；</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2、联系电话：0553-3932226；</w:t>
      </w:r>
    </w:p>
    <w:p>
      <w:pPr>
        <w:widowControl/>
        <w:shd w:val="clear" w:color="auto" w:fill="FFFFFF"/>
        <w:adjustRightInd w:val="0"/>
        <w:snapToGrid w:val="0"/>
        <w:spacing w:line="360" w:lineRule="auto"/>
        <w:ind w:firstLine="607" w:firstLineChars="253"/>
        <w:jc w:val="left"/>
        <w:rPr>
          <w:rFonts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3、通讯地址：芜湖市高校园区文昌西路22号皖南医学院纪委办公室。</w:t>
      </w:r>
    </w:p>
    <w:p>
      <w:pPr>
        <w:pStyle w:val="40"/>
        <w:snapToGrid w:val="0"/>
        <w:ind w:right="280" w:rightChars="100" w:firstLine="560"/>
        <w:rPr>
          <w:rFonts w:ascii="仿宋_GB2312" w:hAnsi="宋体" w:eastAsia="仿宋_GB2312"/>
          <w:bCs/>
          <w:szCs w:val="28"/>
        </w:rPr>
      </w:pPr>
    </w:p>
    <w:p>
      <w:pPr>
        <w:pStyle w:val="40"/>
        <w:snapToGrid w:val="0"/>
        <w:ind w:right="280" w:rightChars="100" w:firstLine="560"/>
        <w:rPr>
          <w:rFonts w:ascii="仿宋_GB2312" w:hAnsi="宋体" w:eastAsia="仿宋_GB2312"/>
          <w:bCs/>
          <w:szCs w:val="28"/>
        </w:rPr>
      </w:pPr>
    </w:p>
    <w:p>
      <w:bookmarkStart w:id="107" w:name="_Toc49763002"/>
      <w:r>
        <w:rPr>
          <w:rFonts w:hint="eastAsia" w:ascii="华文中宋" w:hAnsi="华文中宋" w:eastAsia="华文中宋"/>
        </w:rPr>
        <w:br w:type="page"/>
      </w:r>
    </w:p>
    <w:bookmarkEnd w:id="107"/>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皖南医学院逸夫科技楼419-421实验室维修改造工程</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rPr>
        <w:t>施工合同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w:t>
      </w:r>
      <w:r>
        <w:rPr>
          <w:rFonts w:hint="eastAsia" w:ascii="宋体" w:hAnsi="宋体" w:eastAsia="宋体" w:cs="宋体"/>
          <w:sz w:val="28"/>
          <w:szCs w:val="28"/>
          <w:u w:val="single"/>
        </w:rPr>
        <w:t>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皖南医学院逸夫科技楼419-421实验室维修改造</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皖南医学院逸夫科技楼419-421实验室维修改造工程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皖南医学院滨江校区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元）,其中含暂列金额</w:t>
      </w:r>
      <w:r>
        <w:rPr>
          <w:rFonts w:hint="eastAsia" w:ascii="宋体" w:hAnsi="宋体" w:eastAsia="宋体" w:cs="宋体"/>
          <w:sz w:val="28"/>
          <w:szCs w:val="28"/>
          <w:u w:val="single"/>
        </w:rPr>
        <w:t xml:space="preserve"> </w:t>
      </w:r>
      <w:r>
        <w:rPr>
          <w:rFonts w:ascii="宋体" w:hAnsi="宋体" w:eastAsia="宋体" w:cs="宋体"/>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ascii="宋体" w:hAnsi="宋体" w:eastAsia="宋体" w:cs="宋体"/>
          <w:sz w:val="28"/>
          <w:szCs w:val="28"/>
          <w:u w:val="single"/>
        </w:rPr>
        <w:t>3</w:t>
      </w:r>
      <w:r>
        <w:rPr>
          <w:rFonts w:hint="eastAsia" w:ascii="宋体" w:hAnsi="宋体" w:eastAsia="宋体" w:cs="宋体"/>
          <w:sz w:val="28"/>
          <w:szCs w:val="28"/>
          <w:u w:val="single"/>
        </w:rPr>
        <w:t>5</w:t>
      </w:r>
      <w:r>
        <w:rPr>
          <w:rFonts w:hint="eastAsia" w:ascii="宋体" w:hAnsi="宋体" w:eastAsia="宋体" w:cs="宋体"/>
          <w:sz w:val="28"/>
          <w:szCs w:val="28"/>
        </w:rPr>
        <w:t>日历天，从甲方书面通知进场施工时间开始计算。因乙方原因推迟的按</w:t>
      </w:r>
      <w:r>
        <w:rPr>
          <w:rFonts w:ascii="宋体" w:hAnsi="宋体" w:eastAsia="宋体" w:cs="宋体"/>
          <w:sz w:val="28"/>
          <w:szCs w:val="28"/>
          <w:u w:val="single"/>
        </w:rPr>
        <w:t>500</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w:t>
      </w:r>
      <w:r>
        <w:rPr>
          <w:rFonts w:hint="eastAsia" w:asciiTheme="minorEastAsia" w:hAnsiTheme="minorEastAsia"/>
          <w:color w:val="000000"/>
          <w:sz w:val="28"/>
          <w:szCs w:val="28"/>
        </w:rPr>
        <w:t>技术要求；</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5.</w:t>
      </w:r>
      <w:r>
        <w:rPr>
          <w:rFonts w:hint="eastAsia"/>
          <w:sz w:val="28"/>
          <w:szCs w:val="28"/>
        </w:rPr>
        <w:t>所有变更签证必须按照皖南医学院有关管理文件办理。具体参照《皖南医学院基建维修工程管理办法（修订）》</w:t>
      </w:r>
      <w:bookmarkStart w:id="108" w:name="文号"/>
      <w:r>
        <w:rPr>
          <w:rFonts w:hint="eastAsia"/>
          <w:sz w:val="28"/>
          <w:szCs w:val="28"/>
        </w:rPr>
        <w:t>（校政〔2020〕118号</w:t>
      </w:r>
      <w:bookmarkEnd w:id="108"/>
      <w:r>
        <w:rPr>
          <w:rFonts w:hint="eastAsia"/>
          <w:sz w:val="28"/>
          <w:szCs w:val="28"/>
        </w:rPr>
        <w:t>）及《后勤管理处基建维修工程变更签证管理规定（修订）》（后勤〔2022〕002号）文件执行。</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ascii="宋体" w:hAnsi="宋体" w:eastAsia="宋体" w:cs="宋体"/>
          <w:sz w:val="28"/>
          <w:szCs w:val="28"/>
          <w:u w:val="single"/>
        </w:rPr>
        <w:t>80</w:t>
      </w:r>
      <w:r>
        <w:rPr>
          <w:rFonts w:hint="eastAsia" w:ascii="宋体" w:hAnsi="宋体" w:eastAsia="宋体" w:cs="宋体"/>
          <w:sz w:val="28"/>
          <w:szCs w:val="28"/>
        </w:rPr>
        <w:t>%；审计完成，乙方先将金额为终审价</w:t>
      </w:r>
      <w:r>
        <w:rPr>
          <w:rFonts w:ascii="宋体" w:hAnsi="宋体" w:eastAsia="宋体" w:cs="宋体"/>
          <w:sz w:val="28"/>
          <w:szCs w:val="28"/>
          <w:u w:val="single"/>
        </w:rPr>
        <w:t>3</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合格</w:t>
      </w:r>
      <w:r>
        <w:rPr>
          <w:rFonts w:hint="eastAsia" w:ascii="宋体" w:hAnsi="宋体" w:eastAsia="宋体" w:cs="宋体"/>
          <w:sz w:val="28"/>
          <w:szCs w:val="28"/>
        </w:rPr>
        <w:t>标准，满足国家和地方现行规范要求，</w:t>
      </w:r>
      <w:r>
        <w:rPr>
          <w:rFonts w:hint="eastAsia" w:ascii="宋体" w:hAnsi="宋体" w:eastAsia="宋体" w:cs="宋体"/>
          <w:color w:val="FF0000"/>
          <w:sz w:val="28"/>
          <w:szCs w:val="28"/>
        </w:rPr>
        <w:t>满足使用部门的使用要求及主管部门的备案要求，其中：（1）尘粒最大允许数（每立方米）：≥0.5微米的粒子数不超过350万个，≥5微米的粒子数不超过2万个；（2）微生物最大允许数：浮游菌数不超过500个每立方米，沉降菌数不超过10个每培养皿；（3）压差：相同洁净等级的洁净室压差保持一致，对于不同洁净等级的相邻洁净室之间压差要≥5Pa，洁净室与非洁净室之间要≥10Pa；（4）施工后实验室内部环境检测，需满足国家相关规范要求。以上要求以第三方检测单位的检测结果为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所用主要材料（见下表）应选择中等档次及以上品牌，并满足其他技术要求，提前送样，且由甲方项目负责人确认后方可进场，进场时要有合格证、检测报告等材料，水电材料需提供3C认证材料，并符合国家规范要求，否则禁止使用、不支付相应材料的工程款。</w:t>
      </w:r>
    </w:p>
    <w:tbl>
      <w:tblPr>
        <w:tblStyle w:val="28"/>
        <w:tblW w:w="850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984"/>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1984"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5670" w:type="dxa"/>
            <w:vAlign w:val="center"/>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PVC塑胶地板</w:t>
            </w:r>
          </w:p>
        </w:tc>
        <w:tc>
          <w:tcPr>
            <w:tcW w:w="5670" w:type="dxa"/>
            <w:vAlign w:val="center"/>
          </w:tcPr>
          <w:p>
            <w:pPr>
              <w:pStyle w:val="46"/>
              <w:spacing w:line="0" w:lineRule="atLeast"/>
              <w:jc w:val="left"/>
              <w:rPr>
                <w:rFonts w:ascii="宋体" w:hAnsi="宋体"/>
                <w:sz w:val="28"/>
                <w:szCs w:val="28"/>
              </w:rPr>
            </w:pPr>
            <w:r>
              <w:rPr>
                <w:rFonts w:hint="eastAsia" w:ascii="宋体" w:hAnsi="宋体"/>
                <w:sz w:val="28"/>
                <w:szCs w:val="28"/>
              </w:rPr>
              <w:t>1.厚度不小于2mm</w:t>
            </w:r>
          </w:p>
          <w:p>
            <w:pPr>
              <w:pStyle w:val="46"/>
              <w:spacing w:line="0" w:lineRule="atLeast"/>
              <w:jc w:val="left"/>
              <w:rPr>
                <w:rFonts w:ascii="宋体" w:hAnsi="宋体"/>
                <w:sz w:val="28"/>
                <w:szCs w:val="28"/>
              </w:rPr>
            </w:pPr>
            <w:r>
              <w:rPr>
                <w:rFonts w:hint="eastAsia" w:ascii="宋体" w:hAnsi="宋体"/>
                <w:sz w:val="28"/>
                <w:szCs w:val="28"/>
              </w:rPr>
              <w:t>2.地面预处理水泥自流平</w:t>
            </w:r>
          </w:p>
          <w:p>
            <w:pPr>
              <w:pStyle w:val="46"/>
              <w:spacing w:line="0" w:lineRule="atLeast"/>
              <w:jc w:val="left"/>
              <w:rPr>
                <w:rFonts w:ascii="宋体" w:hAnsi="宋体"/>
                <w:sz w:val="28"/>
                <w:szCs w:val="28"/>
              </w:rPr>
            </w:pPr>
            <w:r>
              <w:rPr>
                <w:rFonts w:hint="eastAsia" w:ascii="宋体" w:hAnsi="宋体"/>
                <w:sz w:val="28"/>
                <w:szCs w:val="28"/>
              </w:rPr>
              <w:t>3.抗菌、防霉、防酸碱、防静电、防滑、耐磨</w:t>
            </w:r>
          </w:p>
          <w:p>
            <w:pPr>
              <w:pStyle w:val="46"/>
              <w:spacing w:line="0" w:lineRule="atLeast"/>
              <w:jc w:val="left"/>
              <w:rPr>
                <w:rFonts w:ascii="宋体" w:hAnsi="宋体"/>
                <w:sz w:val="28"/>
                <w:szCs w:val="28"/>
              </w:rPr>
            </w:pPr>
            <w:r>
              <w:rPr>
                <w:rFonts w:hint="eastAsia" w:ascii="宋体" w:hAnsi="宋体"/>
                <w:sz w:val="28"/>
                <w:szCs w:val="28"/>
              </w:rPr>
              <w:t>4.房间门口用铝合金条收口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51" w:type="dxa"/>
            <w:vAlign w:val="center"/>
          </w:tcPr>
          <w:p>
            <w:pPr>
              <w:pStyle w:val="70"/>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2</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电器元件</w:t>
            </w:r>
          </w:p>
        </w:tc>
        <w:tc>
          <w:tcPr>
            <w:tcW w:w="5670"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asciiTheme="minorEastAsia" w:hAnsiTheme="minorEastAsia" w:eastAsiaTheme="minorEastAsia"/>
                <w:b w:val="0"/>
                <w:kern w:val="0"/>
                <w:sz w:val="28"/>
                <w:szCs w:val="28"/>
              </w:rPr>
              <w:t>3</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电缆、电线</w:t>
            </w:r>
          </w:p>
        </w:tc>
        <w:tc>
          <w:tcPr>
            <w:tcW w:w="5670" w:type="dxa"/>
            <w:vAlign w:val="center"/>
          </w:tcPr>
          <w:p>
            <w:pPr>
              <w:pStyle w:val="46"/>
              <w:widowControl/>
              <w:spacing w:line="0" w:lineRule="atLeast"/>
              <w:jc w:val="left"/>
              <w:textAlignment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4</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强、弱电管</w:t>
            </w:r>
          </w:p>
        </w:tc>
        <w:tc>
          <w:tcPr>
            <w:tcW w:w="5670"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阻燃型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5</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开关、插座</w:t>
            </w:r>
          </w:p>
        </w:tc>
        <w:tc>
          <w:tcPr>
            <w:tcW w:w="5670"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大板型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6</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电话、网络线</w:t>
            </w:r>
          </w:p>
        </w:tc>
        <w:tc>
          <w:tcPr>
            <w:tcW w:w="5670" w:type="dxa"/>
            <w:vAlign w:val="center"/>
          </w:tcPr>
          <w:p>
            <w:pPr>
              <w:pStyle w:val="46"/>
              <w:widowControl/>
              <w:spacing w:line="0" w:lineRule="atLeast"/>
              <w:jc w:val="left"/>
              <w:textAlignment w:val="center"/>
              <w:rPr>
                <w:rFonts w:ascii="宋体" w:hAnsi="宋体"/>
                <w:sz w:val="28"/>
                <w:szCs w:val="28"/>
              </w:rPr>
            </w:pPr>
            <w:r>
              <w:rPr>
                <w:rFonts w:hint="eastAsia" w:ascii="宋体" w:hAnsi="宋体"/>
                <w:sz w:val="28"/>
                <w:szCs w:val="28"/>
              </w:rPr>
              <w:t>超六类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7</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给水管</w:t>
            </w:r>
          </w:p>
        </w:tc>
        <w:tc>
          <w:tcPr>
            <w:tcW w:w="5670" w:type="dxa"/>
            <w:vAlign w:val="center"/>
          </w:tcPr>
          <w:p>
            <w:pPr>
              <w:pStyle w:val="46"/>
              <w:widowControl/>
              <w:spacing w:line="0" w:lineRule="atLeast"/>
              <w:jc w:val="left"/>
              <w:textAlignment w:val="center"/>
              <w:rPr>
                <w:rFonts w:ascii="宋体" w:hAnsi="宋体"/>
                <w:szCs w:val="21"/>
              </w:rPr>
            </w:pPr>
            <w:r>
              <w:rPr>
                <w:rFonts w:hint="eastAsia" w:ascii="宋体" w:hAnsi="宋体"/>
                <w:sz w:val="28"/>
                <w:szCs w:val="28"/>
              </w:rPr>
              <w:t>配件及阀门等需与管材同品牌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8</w:t>
            </w:r>
          </w:p>
        </w:tc>
        <w:tc>
          <w:tcPr>
            <w:tcW w:w="1984" w:type="dxa"/>
            <w:vAlign w:val="center"/>
          </w:tcPr>
          <w:p>
            <w:pPr>
              <w:pStyle w:val="46"/>
              <w:widowControl/>
              <w:spacing w:line="0" w:lineRule="atLeast"/>
              <w:jc w:val="center"/>
              <w:textAlignment w:val="center"/>
              <w:rPr>
                <w:rFonts w:ascii="宋体" w:hAnsi="宋体"/>
                <w:sz w:val="28"/>
                <w:szCs w:val="28"/>
              </w:rPr>
            </w:pPr>
            <w:r>
              <w:rPr>
                <w:rFonts w:hint="eastAsia" w:ascii="宋体" w:hAnsi="宋体"/>
                <w:sz w:val="28"/>
                <w:szCs w:val="28"/>
              </w:rPr>
              <w:t>排水管</w:t>
            </w:r>
          </w:p>
        </w:tc>
        <w:tc>
          <w:tcPr>
            <w:tcW w:w="5670" w:type="dxa"/>
            <w:vAlign w:val="center"/>
          </w:tcPr>
          <w:p>
            <w:pPr>
              <w:pStyle w:val="46"/>
              <w:widowControl/>
              <w:spacing w:line="0" w:lineRule="atLeast"/>
              <w:jc w:val="left"/>
              <w:textAlignment w:val="center"/>
              <w:rPr>
                <w:rFonts w:ascii="宋体" w:hAnsi="宋体"/>
                <w:szCs w:val="21"/>
              </w:rPr>
            </w:pPr>
            <w:r>
              <w:rPr>
                <w:rFonts w:hint="eastAsia" w:ascii="宋体" w:hAnsi="宋体"/>
                <w:sz w:val="28"/>
                <w:szCs w:val="28"/>
              </w:rPr>
              <w:t>配件等需与管材同品牌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9</w:t>
            </w:r>
          </w:p>
        </w:tc>
        <w:tc>
          <w:tcPr>
            <w:tcW w:w="1984"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视频监控系统</w:t>
            </w:r>
          </w:p>
        </w:tc>
        <w:tc>
          <w:tcPr>
            <w:tcW w:w="5670" w:type="dxa"/>
            <w:vAlign w:val="center"/>
          </w:tcPr>
          <w:p>
            <w:pPr>
              <w:pStyle w:val="70"/>
              <w:spacing w:line="500" w:lineRule="exact"/>
              <w:jc w:val="left"/>
              <w:rPr>
                <w:rFonts w:asciiTheme="minorEastAsia" w:hAnsiTheme="minorEastAsia" w:eastAsiaTheme="minorEastAsia"/>
                <w:b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10</w:t>
            </w:r>
          </w:p>
        </w:tc>
        <w:tc>
          <w:tcPr>
            <w:tcW w:w="1984"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净化空调机组</w:t>
            </w:r>
          </w:p>
        </w:tc>
        <w:tc>
          <w:tcPr>
            <w:tcW w:w="5670" w:type="dxa"/>
            <w:vAlign w:val="center"/>
          </w:tcPr>
          <w:p>
            <w:pPr>
              <w:pStyle w:val="70"/>
              <w:spacing w:line="500" w:lineRule="exact"/>
              <w:jc w:val="left"/>
              <w:rPr>
                <w:rFonts w:asciiTheme="minorEastAsia" w:hAnsiTheme="minorEastAsia" w:eastAsiaTheme="minorEastAsia"/>
                <w:b w:val="0"/>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11</w:t>
            </w:r>
          </w:p>
        </w:tc>
        <w:tc>
          <w:tcPr>
            <w:tcW w:w="1984" w:type="dxa"/>
            <w:vAlign w:val="center"/>
          </w:tcPr>
          <w:p>
            <w:pPr>
              <w:pStyle w:val="70"/>
              <w:spacing w:line="500" w:lineRule="exact"/>
              <w:rPr>
                <w:rFonts w:asciiTheme="minorEastAsia" w:hAnsiTheme="minorEastAsia" w:eastAsiaTheme="minorEastAsia"/>
                <w:b w:val="0"/>
                <w:kern w:val="0"/>
                <w:sz w:val="28"/>
                <w:szCs w:val="28"/>
              </w:rPr>
            </w:pPr>
            <w:r>
              <w:rPr>
                <w:rFonts w:hint="eastAsia" w:asciiTheme="minorEastAsia" w:hAnsiTheme="minorEastAsia" w:eastAsiaTheme="minorEastAsia"/>
                <w:b w:val="0"/>
                <w:kern w:val="0"/>
                <w:sz w:val="28"/>
                <w:szCs w:val="28"/>
              </w:rPr>
              <w:t>普通空调</w:t>
            </w:r>
          </w:p>
        </w:tc>
        <w:tc>
          <w:tcPr>
            <w:tcW w:w="5670" w:type="dxa"/>
            <w:vAlign w:val="center"/>
          </w:tcPr>
          <w:p>
            <w:pPr>
              <w:pStyle w:val="70"/>
              <w:spacing w:line="500" w:lineRule="exact"/>
              <w:jc w:val="left"/>
              <w:rPr>
                <w:rFonts w:asciiTheme="minorEastAsia" w:hAnsiTheme="minorEastAsia" w:eastAsiaTheme="minorEastAsia"/>
                <w:b w:val="0"/>
                <w:kern w:val="0"/>
                <w:sz w:val="21"/>
                <w:szCs w:val="21"/>
              </w:rPr>
            </w:pPr>
          </w:p>
        </w:tc>
      </w:tr>
    </w:tbl>
    <w:p>
      <w:pPr>
        <w:spacing w:line="360" w:lineRule="auto"/>
        <w:ind w:firstLine="560" w:firstLineChars="200"/>
        <w:rPr>
          <w:rFonts w:ascii="宋体" w:hAnsi="宋体" w:eastAsia="宋体" w:cs="Times New Roman"/>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cs="Times New Roman"/>
          <w:sz w:val="28"/>
          <w:szCs w:val="28"/>
          <w:u w:val="single"/>
          <w:lang w:val="en-US" w:eastAsia="zh-CN"/>
        </w:rPr>
        <w:t>24</w:t>
      </w:r>
      <w:bookmarkStart w:id="134" w:name="_GoBack"/>
      <w:bookmarkEnd w:id="134"/>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ins w:id="0" w:author="王戬" w:date="2021-03-31T14:30:00Z"/>
          <w:rFonts w:ascii="宋体" w:hAnsi="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60" w:firstLineChars="200"/>
        <w:rPr>
          <w:rFonts w:ascii="宋体" w:hAnsi="宋体" w:eastAsia="宋体" w:cs="宋体"/>
          <w:sz w:val="28"/>
          <w:szCs w:val="28"/>
        </w:rPr>
      </w:pPr>
      <w:r>
        <w:rPr>
          <w:rFonts w:hint="eastAsia" w:ascii="宋体" w:hAnsi="宋体"/>
          <w:sz w:val="28"/>
          <w:szCs w:val="28"/>
        </w:rPr>
        <w:t>3.</w:t>
      </w:r>
      <w:r>
        <w:rPr>
          <w:rFonts w:hint="eastAsia"/>
          <w:sz w:val="28"/>
          <w:szCs w:val="28"/>
        </w:rPr>
        <w:t>工程材料、设备、构配件及已完工程在竣工验收交付前均由乙方负责看护，丢失、被盗、损坏等责任均由乙方承担。</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张亚磊</w:t>
      </w:r>
      <w:r>
        <w:rPr>
          <w:rFonts w:hint="eastAsia" w:ascii="宋体" w:hAnsi="宋体" w:eastAsia="宋体" w:cs="宋体"/>
          <w:sz w:val="28"/>
          <w:szCs w:val="28"/>
        </w:rPr>
        <w:t>（联系方式：</w:t>
      </w:r>
      <w:r>
        <w:rPr>
          <w:rFonts w:ascii="宋体" w:hAnsi="宋体" w:eastAsia="宋体" w:cs="宋体"/>
          <w:sz w:val="28"/>
          <w:szCs w:val="28"/>
          <w:u w:val="single"/>
        </w:rPr>
        <w:t>0553</w:t>
      </w:r>
      <w:r>
        <w:rPr>
          <w:rFonts w:hint="eastAsia" w:ascii="宋体" w:hAnsi="宋体" w:eastAsia="宋体" w:cs="宋体"/>
          <w:sz w:val="28"/>
          <w:szCs w:val="28"/>
          <w:u w:val="single"/>
        </w:rPr>
        <w:t>-</w:t>
      </w:r>
      <w:r>
        <w:rPr>
          <w:rFonts w:ascii="宋体" w:hAnsi="宋体" w:eastAsia="宋体" w:cs="宋体"/>
          <w:sz w:val="28"/>
          <w:szCs w:val="28"/>
          <w:u w:val="single"/>
        </w:rPr>
        <w:t>3932657</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w:t>
      </w:r>
      <w:r>
        <w:rPr>
          <w:rFonts w:hint="eastAsia" w:ascii="宋体" w:hAnsi="宋体"/>
          <w:sz w:val="28"/>
          <w:szCs w:val="28"/>
        </w:rPr>
        <w:t>电费按1.00元/度计取，水费按3.00元/吨计取，</w:t>
      </w:r>
      <w:r>
        <w:rPr>
          <w:rFonts w:hint="eastAsia" w:ascii="宋体" w:hAnsi="宋体" w:eastAsia="宋体" w:cs="宋体"/>
          <w:sz w:val="28"/>
          <w:szCs w:val="28"/>
        </w:rPr>
        <w:t>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w:t>
      </w:r>
      <w:r>
        <w:rPr>
          <w:rFonts w:ascii="宋体" w:hAnsi="宋体" w:eastAsia="宋体" w:cs="宋体"/>
          <w:sz w:val="28"/>
          <w:szCs w:val="28"/>
        </w:rPr>
        <w:t>28</w:t>
      </w:r>
      <w:r>
        <w:rPr>
          <w:rFonts w:hint="eastAsia" w:ascii="宋体" w:hAnsi="宋体" w:eastAsia="宋体" w:cs="宋体"/>
          <w:sz w:val="28"/>
          <w:szCs w:val="28"/>
        </w:rPr>
        <w:t>日内提交两套工程竣工结算资料（结算书、招投标文件、中标通知书、施工合同、隐蔽工程验收记录单、变更签证单、材料品牌确认表、合格证、维修改造工程验收表、竣工图、水电费缴纳收据等），如延期提交，</w:t>
      </w:r>
      <w:r>
        <w:rPr>
          <w:rFonts w:hint="eastAsia" w:ascii="宋体" w:hAnsi="宋体"/>
          <w:sz w:val="28"/>
          <w:szCs w:val="28"/>
        </w:rPr>
        <w:t>在结算审计时按</w:t>
      </w:r>
      <w:r>
        <w:rPr>
          <w:rFonts w:ascii="宋体" w:hAnsi="宋体"/>
          <w:sz w:val="28"/>
          <w:szCs w:val="28"/>
        </w:rPr>
        <w:t>500</w:t>
      </w:r>
      <w:r>
        <w:rPr>
          <w:rFonts w:hint="eastAsia" w:ascii="宋体" w:hAnsi="宋体"/>
          <w:sz w:val="28"/>
          <w:szCs w:val="28"/>
        </w:rPr>
        <w:t>元/天进行扣款，1万元封顶。</w:t>
      </w:r>
      <w:r>
        <w:rPr>
          <w:rFonts w:hint="eastAsia" w:ascii="宋体" w:hAnsi="宋体" w:eastAsia="宋体" w:cs="宋体"/>
          <w:sz w:val="28"/>
          <w:szCs w:val="28"/>
        </w:rPr>
        <w:t>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捌</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伍</w:t>
      </w:r>
      <w:r>
        <w:rPr>
          <w:rFonts w:hint="eastAsia" w:ascii="宋体" w:hAnsi="宋体" w:eastAsia="宋体" w:cs="宋体"/>
          <w:sz w:val="28"/>
          <w:szCs w:val="28"/>
        </w:rPr>
        <w:t>份，乙方执</w:t>
      </w:r>
      <w:r>
        <w:rPr>
          <w:rFonts w:hint="eastAsia" w:ascii="宋体" w:hAnsi="宋体" w:eastAsia="宋体" w:cs="宋体"/>
          <w:sz w:val="28"/>
          <w:szCs w:val="28"/>
          <w:u w:val="single"/>
        </w:rPr>
        <w:t>叁</w:t>
      </w:r>
      <w:r>
        <w:rPr>
          <w:rFonts w:hint="eastAsia" w:ascii="宋体" w:hAnsi="宋体" w:eastAsia="宋体" w:cs="宋体"/>
          <w:sz w:val="28"/>
          <w:szCs w:val="28"/>
        </w:rPr>
        <w:t>份，甲、乙双方法定代表人或其委托代理人签字盖章后生效。</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widowControl/>
        <w:ind w:firstLine="560" w:firstLineChars="200"/>
        <w:jc w:val="left"/>
        <w:rPr>
          <w:rFonts w:ascii="宋体" w:hAnsi="宋体" w:eastAsia="宋体" w:cs="宋体"/>
          <w:sz w:val="28"/>
          <w:szCs w:val="28"/>
        </w:rPr>
      </w:pPr>
      <w:r>
        <w:rPr>
          <w:rFonts w:hint="eastAsia" w:ascii="宋体" w:hAnsi="宋体" w:eastAsia="宋体" w:cs="宋体"/>
          <w:sz w:val="28"/>
          <w:szCs w:val="28"/>
        </w:rPr>
        <w:t>2.合同订立地点：皖南医学院滨江校区。</w:t>
      </w:r>
      <w:r>
        <w:rPr>
          <w:rFonts w:ascii="宋体" w:hAnsi="宋体" w:eastAsia="宋体" w:cs="宋体"/>
          <w:sz w:val="28"/>
          <w:szCs w:val="28"/>
        </w:rPr>
        <w:br w:type="page"/>
      </w:r>
    </w:p>
    <w:p>
      <w:pPr>
        <w:spacing w:line="360" w:lineRule="auto"/>
        <w:ind w:firstLine="560" w:firstLineChars="200"/>
        <w:rPr>
          <w:rFonts w:ascii="宋体" w:hAnsi="宋体" w:eastAsia="宋体" w:cs="宋体"/>
          <w:sz w:val="28"/>
          <w:szCs w:val="28"/>
        </w:rPr>
      </w:pPr>
    </w:p>
    <w:tbl>
      <w:tblPr>
        <w:tblStyle w:val="27"/>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rPr>
          <w:rFonts w:ascii="宋体" w:hAnsi="宋体" w:eastAsia="宋体" w:cs="Times New Roman"/>
          <w:sz w:val="28"/>
          <w:szCs w:val="28"/>
        </w:rPr>
      </w:pPr>
      <w:r>
        <w:rPr>
          <w:rFonts w:ascii="宋体" w:hAnsi="宋体" w:eastAsia="宋体" w:cs="Times New Roman"/>
          <w:sz w:val="28"/>
          <w:szCs w:val="28"/>
        </w:rPr>
        <w:br w:type="page"/>
      </w:r>
    </w:p>
    <w:p>
      <w:pPr>
        <w:pStyle w:val="2"/>
      </w:pPr>
    </w:p>
    <w:p/>
    <w:p>
      <w:pPr>
        <w:pStyle w:val="6"/>
        <w:numPr>
          <w:ilvl w:val="0"/>
          <w:numId w:val="2"/>
        </w:numPr>
        <w:snapToGrid w:val="0"/>
        <w:spacing w:before="0" w:after="0"/>
        <w:ind w:left="947" w:hanging="947"/>
        <w:jc w:val="center"/>
        <w:rPr>
          <w:rFonts w:ascii="华文中宋" w:hAnsi="华文中宋" w:eastAsia="华文中宋"/>
          <w:bCs w:val="0"/>
          <w:color w:val="auto"/>
        </w:rPr>
      </w:pPr>
      <w:bookmarkStart w:id="109" w:name="_Toc49763003"/>
      <w:r>
        <w:rPr>
          <w:rFonts w:hint="eastAsia" w:ascii="华文中宋" w:hAnsi="华文中宋" w:eastAsia="华文中宋"/>
          <w:bCs w:val="0"/>
          <w:color w:val="auto"/>
        </w:rPr>
        <w:t xml:space="preserve"> 项目需求</w:t>
      </w:r>
      <w:bookmarkEnd w:id="109"/>
    </w:p>
    <w:p>
      <w:pPr>
        <w:spacing w:line="360" w:lineRule="auto"/>
        <w:ind w:firstLine="420" w:firstLineChars="150"/>
        <w:rPr>
          <w:rFonts w:ascii="宋体" w:hAnsi="宋体"/>
          <w:szCs w:val="28"/>
        </w:rPr>
      </w:pPr>
      <w:bookmarkStart w:id="110" w:name="_Toc49763004"/>
      <w:r>
        <w:rPr>
          <w:rFonts w:ascii="宋体" w:hAnsi="宋体"/>
          <w:szCs w:val="28"/>
        </w:rPr>
        <w:t>1</w:t>
      </w:r>
      <w:r>
        <w:rPr>
          <w:rFonts w:hint="eastAsia" w:ascii="宋体" w:hAnsi="宋体"/>
          <w:szCs w:val="28"/>
        </w:rPr>
        <w:t>.合同工期：工期35日历天。</w:t>
      </w:r>
    </w:p>
    <w:p>
      <w:pPr>
        <w:spacing w:line="360" w:lineRule="auto"/>
        <w:ind w:firstLine="420" w:firstLineChars="150"/>
        <w:rPr>
          <w:rFonts w:hint="eastAsia" w:ascii="宋体" w:hAnsi="宋体"/>
          <w:szCs w:val="28"/>
        </w:rPr>
      </w:pPr>
      <w:r>
        <w:rPr>
          <w:rFonts w:hint="eastAsia" w:ascii="宋体" w:hAnsi="宋体"/>
          <w:szCs w:val="28"/>
        </w:rPr>
        <w:t>2.付款及审计：本工程不支付进度款，工程完工后由甲方组织验收，验收合格后凭乙方提供的发票支付至合同价（不含暂列金额）的80%；审计完成，乙方先将金额为终审价3%的质保金汇入甲方账户，甲方凭发票及质保金汇款凭证付至终审价的100%；质保期满后无质量问题一次性无息退还质保金。工程结算审核时，凡审增部分及审减率超过10%（不含10%）以上部分的审计服务费由乙方承担，在审核机构审核时直接扣除。费率参照皖价服[2007]86号文件规定的执行。</w:t>
      </w:r>
    </w:p>
    <w:p>
      <w:pPr>
        <w:spacing w:line="360" w:lineRule="auto"/>
        <w:ind w:firstLine="420" w:firstLineChars="150"/>
        <w:rPr>
          <w:rFonts w:hint="eastAsia" w:ascii="宋体" w:hAnsi="宋体"/>
          <w:b/>
          <w:szCs w:val="28"/>
        </w:rPr>
      </w:pPr>
      <w:r>
        <w:rPr>
          <w:rFonts w:hint="eastAsia" w:ascii="宋体" w:hAnsi="宋体"/>
          <w:szCs w:val="28"/>
        </w:rPr>
        <w:t>3.工程验收工程完工后及时报学校组织验收，验收合格后办理工程结算。验收时乙方须提供详细的资料清单，验收合格后28日内提交两套工程竣工结算资料（结算书、招投标文件、中标通知书、施工合同、隐蔽工程验收记录单、变更签证单、材料品牌确认表、合格证、维修改造工程验收表、竣工图、水电费缴纳收据等），如延期提交，在结算审计时按500元/天进行扣款，1万元封顶。经甲方发函警告后7日内仍未提交的，将其录入学校黑名单库，3年内禁止参加学校任何招投标活动。</w:t>
      </w:r>
    </w:p>
    <w:p>
      <w:pPr>
        <w:ind w:firstLine="420" w:firstLineChars="150"/>
        <w:rPr>
          <w:rFonts w:hint="eastAsia"/>
        </w:rPr>
      </w:pPr>
      <w:r>
        <w:rPr>
          <w:rFonts w:hint="eastAsia"/>
        </w:rPr>
        <w:t>4.其余详</w:t>
      </w:r>
      <w:r>
        <w:t>见</w:t>
      </w:r>
      <w:r>
        <w:rPr>
          <w:rFonts w:hint="eastAsia"/>
          <w:lang w:eastAsia="zh-CN"/>
        </w:rPr>
        <w:t>磋商</w:t>
      </w:r>
      <w:r>
        <w:t>文件及附件。</w:t>
      </w:r>
    </w:p>
    <w:p>
      <w:pPr>
        <w:pStyle w:val="6"/>
        <w:snapToGrid w:val="0"/>
        <w:spacing w:before="0" w:after="0"/>
        <w:ind w:left="0" w:firstLine="0"/>
        <w:jc w:val="center"/>
        <w:rPr>
          <w:rFonts w:ascii="楷体" w:hAnsi="楷体" w:eastAsia="楷体"/>
          <w:szCs w:val="28"/>
        </w:rPr>
      </w:pPr>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10"/>
    </w:p>
    <w:p>
      <w:pPr>
        <w:widowControl/>
        <w:shd w:val="clear" w:color="auto" w:fill="FFFFFF"/>
        <w:snapToGrid w:val="0"/>
        <w:spacing w:line="360" w:lineRule="auto"/>
        <w:ind w:firstLine="482"/>
        <w:rPr>
          <w:rFonts w:ascii="宋体" w:hAnsi="宋体" w:cs="Calibri"/>
          <w:color w:val="333333"/>
          <w:kern w:val="0"/>
          <w:szCs w:val="21"/>
        </w:rPr>
      </w:pPr>
      <w:bookmarkStart w:id="111" w:name="_Toc49763005"/>
      <w:r>
        <w:rPr>
          <w:rFonts w:hint="eastAsia" w:ascii="宋体" w:hAnsi="宋体" w:cs="Calibri"/>
          <w:b/>
          <w:bCs/>
          <w:color w:val="333333"/>
          <w:kern w:val="0"/>
          <w:szCs w:val="21"/>
          <w:shd w:val="clear" w:color="auto" w:fill="FFFFFF"/>
        </w:rPr>
        <w:t>1、评审分值分配(满分100分)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1.1报价得分占总分</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%,分值为</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各投标单位有效报价最低报价作为基准报价（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分）：</w:t>
      </w:r>
    </w:p>
    <w:p>
      <w:pPr>
        <w:pStyle w:val="3"/>
        <w:adjustRightInd w:val="0"/>
        <w:snapToGrid w:val="0"/>
        <w:spacing w:line="460" w:lineRule="exact"/>
        <w:ind w:firstLine="560"/>
        <w:rPr>
          <w:rFonts w:hAnsi="宋体" w:cs="Calibri"/>
          <w:color w:val="000000"/>
          <w:spacing w:val="0"/>
          <w:sz w:val="28"/>
          <w:szCs w:val="21"/>
          <w:shd w:val="clear" w:color="auto" w:fill="FFFFFF"/>
        </w:rPr>
      </w:pPr>
      <w:r>
        <w:rPr>
          <w:rFonts w:hint="eastAsia" w:hAnsi="宋体" w:cs="Calibri"/>
          <w:color w:val="000000"/>
          <w:spacing w:val="0"/>
          <w:sz w:val="28"/>
          <w:szCs w:val="21"/>
          <w:shd w:val="clear" w:color="auto" w:fill="FFFFFF"/>
        </w:rPr>
        <w:t>报价得分＝基准报价／投标人报价×</w:t>
      </w:r>
      <w:r>
        <w:rPr>
          <w:rFonts w:hAnsi="宋体" w:cs="Calibri"/>
          <w:color w:val="000000"/>
          <w:spacing w:val="0"/>
          <w:sz w:val="28"/>
          <w:szCs w:val="21"/>
          <w:shd w:val="clear" w:color="auto" w:fill="FFFFFF"/>
        </w:rPr>
        <w:t>40</w:t>
      </w:r>
      <w:r>
        <w:rPr>
          <w:rFonts w:hint="eastAsia" w:hAnsi="宋体" w:cs="Calibri"/>
          <w:color w:val="000000"/>
          <w:spacing w:val="0"/>
          <w:sz w:val="28"/>
          <w:szCs w:val="21"/>
          <w:shd w:val="clear" w:color="auto" w:fill="FFFFFF"/>
        </w:rPr>
        <w:t>（报价得分保留2位小数）</w:t>
      </w:r>
    </w:p>
    <w:p>
      <w:pPr>
        <w:pStyle w:val="3"/>
        <w:adjustRightInd w:val="0"/>
        <w:snapToGrid w:val="0"/>
        <w:spacing w:line="460" w:lineRule="exact"/>
        <w:ind w:firstLine="560"/>
        <w:rPr>
          <w:rFonts w:hAnsi="宋体" w:cs="Calibri"/>
          <w:color w:val="333333"/>
          <w:szCs w:val="21"/>
        </w:rPr>
      </w:pPr>
      <w:r>
        <w:rPr>
          <w:rFonts w:hint="eastAsia" w:hAnsi="宋体" w:cs="Calibri"/>
          <w:color w:val="000000"/>
          <w:spacing w:val="0"/>
          <w:sz w:val="28"/>
          <w:szCs w:val="21"/>
          <w:shd w:val="clear" w:color="auto" w:fill="FFFFFF"/>
        </w:rPr>
        <w:t>1.2技术分值为</w:t>
      </w:r>
      <w:r>
        <w:rPr>
          <w:rFonts w:hAnsi="宋体" w:cs="Calibri"/>
          <w:color w:val="000000"/>
          <w:spacing w:val="0"/>
          <w:sz w:val="28"/>
          <w:szCs w:val="21"/>
          <w:shd w:val="clear" w:color="auto" w:fill="FFFFFF"/>
        </w:rPr>
        <w:t>6</w:t>
      </w:r>
      <w:r>
        <w:rPr>
          <w:rFonts w:hint="eastAsia" w:hAnsi="宋体" w:cs="Calibri"/>
          <w:color w:val="000000"/>
          <w:spacing w:val="0"/>
          <w:sz w:val="28"/>
          <w:szCs w:val="21"/>
          <w:shd w:val="clear" w:color="auto" w:fill="FFFFFF"/>
        </w:rPr>
        <w:t>0分</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67"/>
        <w:gridCol w:w="1701"/>
        <w:gridCol w:w="1134"/>
        <w:gridCol w:w="4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4" w:type="dxa"/>
            <w:gridSpan w:val="3"/>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评审内容</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分值</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Merge w:val="restart"/>
            <w:tcBorders>
              <w:top w:val="nil"/>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技术标评审（</w:t>
            </w:r>
            <w:r>
              <w:rPr>
                <w:rFonts w:hint="eastAsia"/>
                <w:sz w:val="24"/>
                <w:szCs w:val="24"/>
              </w:rPr>
              <w:t>60</w:t>
            </w:r>
            <w:r>
              <w:rPr>
                <w:rFonts w:ascii="宋体" w:hAnsi="宋体"/>
                <w:sz w:val="24"/>
                <w:szCs w:val="24"/>
              </w:rPr>
              <w:t>分）</w:t>
            </w: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1</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施工组织机构和人员组成</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组织机构齐全，人员配备合理。</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2</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资源配备计划</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拟投入的人工、主要材料、主要施工机械、设备有详细计划且计划周密，劳动力安排合理，材料进场时间、数量、批次合理，设备数量、选型配置、进场数量、时间安排合理，满足施工需要。</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3</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施工进度</w:t>
            </w:r>
            <w:r>
              <w:rPr>
                <w:rFonts w:hint="eastAsia" w:ascii="宋体" w:hAnsi="宋体"/>
                <w:sz w:val="24"/>
                <w:szCs w:val="24"/>
              </w:rPr>
              <w:t>保障</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总施工工期目标明确，关键节点明确，各分项工程施工顺序安排恰当、工序衔接合理，进度计划安排科学。</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4</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质量保证体系</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质量管理体系完善，工程质量</w:t>
            </w:r>
            <w:r>
              <w:rPr>
                <w:rFonts w:hint="eastAsia" w:ascii="宋体" w:hAnsi="宋体"/>
                <w:sz w:val="24"/>
                <w:szCs w:val="24"/>
              </w:rPr>
              <w:t>保证</w:t>
            </w:r>
            <w:r>
              <w:rPr>
                <w:rFonts w:ascii="宋体" w:hAnsi="宋体"/>
                <w:sz w:val="24"/>
                <w:szCs w:val="24"/>
              </w:rPr>
              <w:t>措施完善，按单位、分部和分项分解细化</w:t>
            </w:r>
            <w:r>
              <w:rPr>
                <w:rFonts w:hint="eastAsia" w:ascii="宋体" w:hAnsi="宋体"/>
                <w:sz w:val="24"/>
                <w:szCs w:val="24"/>
              </w:rPr>
              <w:t>，</w:t>
            </w:r>
            <w:r>
              <w:rPr>
                <w:rFonts w:ascii="宋体" w:hAnsi="宋体"/>
                <w:sz w:val="24"/>
                <w:szCs w:val="24"/>
              </w:rPr>
              <w:t>具体明确，制度健全，能确保工程质量</w:t>
            </w:r>
            <w:r>
              <w:rPr>
                <w:rFonts w:hint="eastAsia" w:ascii="宋体" w:hAnsi="宋体"/>
                <w:sz w:val="24"/>
                <w:szCs w:val="24"/>
              </w:rPr>
              <w:t>满足要求。</w:t>
            </w:r>
            <w:r>
              <w:rPr>
                <w:rFonts w:ascii="宋体" w:hAnsi="宋体"/>
                <w:sz w:val="24"/>
                <w:szCs w:val="24"/>
              </w:rPr>
              <w:t>对于本工程重点、难点及关键环节的认识，以及对重点、难点及关键环节有应对措施，措施具体可行，并备有必要预案。</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5</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安全文明施工</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安全保障体系完善，安全措施或制度健全</w:t>
            </w:r>
            <w:r>
              <w:rPr>
                <w:rFonts w:hint="eastAsia" w:ascii="宋体" w:hAnsi="宋体"/>
                <w:sz w:val="24"/>
                <w:szCs w:val="24"/>
              </w:rPr>
              <w:t>，</w:t>
            </w:r>
            <w:r>
              <w:rPr>
                <w:rFonts w:ascii="宋体" w:hAnsi="宋体"/>
                <w:sz w:val="24"/>
                <w:szCs w:val="24"/>
              </w:rPr>
              <w:t>有明确的环保及文明施工目标及体系。</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8.0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6.0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4.0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2.0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6</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施工方案</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12</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各主要分部施工方法符合项目实际，须有详尽的施工技术方案，工艺先进，方法科学合理、可行，能指导具体施工并确保质量、进度与安全。</w:t>
            </w:r>
          </w:p>
          <w:p>
            <w:pPr>
              <w:rPr>
                <w:sz w:val="24"/>
                <w:szCs w:val="24"/>
              </w:rPr>
            </w:pPr>
            <w:r>
              <w:rPr>
                <w:rFonts w:hint="eastAsia" w:ascii="宋体" w:hAnsi="宋体"/>
                <w:sz w:val="24"/>
                <w:szCs w:val="24"/>
              </w:rPr>
              <w:t>（</w:t>
            </w:r>
            <w:r>
              <w:rPr>
                <w:sz w:val="24"/>
                <w:szCs w:val="24"/>
              </w:rPr>
              <w:t>1</w:t>
            </w:r>
            <w:r>
              <w:rPr>
                <w:rFonts w:ascii="宋体" w:hAnsi="宋体"/>
                <w:sz w:val="24"/>
                <w:szCs w:val="24"/>
              </w:rPr>
              <w:t>）方案科学有效且具有可操作性的，得</w:t>
            </w:r>
            <w:r>
              <w:rPr>
                <w:rFonts w:hint="eastAsia"/>
                <w:sz w:val="24"/>
                <w:szCs w:val="24"/>
              </w:rPr>
              <w:t>12.0</w:t>
            </w:r>
            <w:r>
              <w:rPr>
                <w:rFonts w:ascii="宋体" w:hAnsi="宋体"/>
                <w:sz w:val="24"/>
                <w:szCs w:val="24"/>
              </w:rPr>
              <w:t>分；（</w:t>
            </w:r>
            <w:r>
              <w:rPr>
                <w:sz w:val="24"/>
                <w:szCs w:val="24"/>
              </w:rPr>
              <w:t>2</w:t>
            </w:r>
            <w:r>
              <w:rPr>
                <w:rFonts w:ascii="宋体" w:hAnsi="宋体"/>
                <w:sz w:val="24"/>
                <w:szCs w:val="24"/>
              </w:rPr>
              <w:t>）方案一般且能满足需要的，得</w:t>
            </w:r>
            <w:r>
              <w:rPr>
                <w:rFonts w:hint="eastAsia"/>
                <w:sz w:val="24"/>
                <w:szCs w:val="24"/>
              </w:rPr>
              <w:t>9.0</w:t>
            </w:r>
            <w:r>
              <w:rPr>
                <w:rFonts w:ascii="宋体" w:hAnsi="宋体"/>
                <w:sz w:val="24"/>
                <w:szCs w:val="24"/>
              </w:rPr>
              <w:t>分；（</w:t>
            </w:r>
            <w:r>
              <w:rPr>
                <w:sz w:val="24"/>
                <w:szCs w:val="24"/>
              </w:rPr>
              <w:t>3</w:t>
            </w:r>
            <w:r>
              <w:rPr>
                <w:rFonts w:ascii="宋体" w:hAnsi="宋体"/>
                <w:sz w:val="24"/>
                <w:szCs w:val="24"/>
              </w:rPr>
              <w:t>）方案不完整但能基本满足需要的，得</w:t>
            </w:r>
            <w:r>
              <w:rPr>
                <w:rFonts w:hint="eastAsia"/>
                <w:sz w:val="24"/>
                <w:szCs w:val="24"/>
              </w:rPr>
              <w:t>6.0</w:t>
            </w:r>
            <w:r>
              <w:rPr>
                <w:rFonts w:ascii="宋体" w:hAnsi="宋体"/>
                <w:sz w:val="24"/>
                <w:szCs w:val="24"/>
              </w:rPr>
              <w:t>分。（</w:t>
            </w:r>
            <w:r>
              <w:rPr>
                <w:sz w:val="24"/>
                <w:szCs w:val="24"/>
              </w:rPr>
              <w:t>4</w:t>
            </w:r>
            <w:r>
              <w:rPr>
                <w:rFonts w:ascii="宋体" w:hAnsi="宋体"/>
                <w:sz w:val="24"/>
                <w:szCs w:val="24"/>
              </w:rPr>
              <w:t>）方案存在明显缺陷的，得</w:t>
            </w:r>
            <w:r>
              <w:rPr>
                <w:rFonts w:hint="eastAsia"/>
                <w:sz w:val="24"/>
                <w:szCs w:val="24"/>
              </w:rPr>
              <w:t>3.0</w:t>
            </w:r>
            <w:r>
              <w:rPr>
                <w:rFonts w:ascii="宋体" w:hAnsi="宋体"/>
                <w:sz w:val="24"/>
                <w:szCs w:val="24"/>
              </w:rPr>
              <w:t>分。</w:t>
            </w:r>
            <w:r>
              <w:rPr>
                <w:rFonts w:hint="eastAsia" w:ascii="宋体" w:hAnsi="宋体"/>
                <w:sz w:val="24"/>
                <w:szCs w:val="24"/>
              </w:rPr>
              <w:t>（</w:t>
            </w:r>
            <w:r>
              <w:rPr>
                <w:rFonts w:hint="eastAsia"/>
                <w:sz w:val="24"/>
                <w:szCs w:val="24"/>
              </w:rPr>
              <w:t>5</w:t>
            </w:r>
            <w:r>
              <w:rPr>
                <w:rFonts w:hint="eastAsia" w:ascii="宋体" w:hAnsi="宋体"/>
                <w:sz w:val="24"/>
                <w:szCs w:val="24"/>
              </w:rPr>
              <w:t>）无服务方案的，得</w:t>
            </w:r>
            <w:r>
              <w:rPr>
                <w:rFonts w:hint="eastAsia"/>
                <w:sz w:val="24"/>
                <w:szCs w:val="24"/>
              </w:rPr>
              <w:t>0</w:t>
            </w:r>
            <w:r>
              <w:rPr>
                <w:rFonts w:hint="eastAsia" w:ascii="宋体" w:hAnsi="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7</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业绩</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6</w:t>
            </w:r>
            <w:r>
              <w:rPr>
                <w:rFonts w:hint="eastAsia"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ascii="宋体" w:hAnsi="宋体"/>
                <w:sz w:val="24"/>
                <w:szCs w:val="24"/>
              </w:rPr>
              <w:t>自2</w:t>
            </w:r>
            <w:r>
              <w:rPr>
                <w:rFonts w:ascii="宋体" w:hAnsi="宋体"/>
                <w:sz w:val="24"/>
                <w:szCs w:val="24"/>
              </w:rPr>
              <w:t>018</w:t>
            </w:r>
            <w:r>
              <w:rPr>
                <w:rFonts w:hint="eastAsia" w:ascii="宋体" w:hAnsi="宋体"/>
                <w:sz w:val="24"/>
                <w:szCs w:val="24"/>
              </w:rPr>
              <w:t>年8月22日</w:t>
            </w:r>
            <w:r>
              <w:rPr>
                <w:rFonts w:ascii="宋体" w:hAnsi="宋体"/>
                <w:sz w:val="24"/>
                <w:szCs w:val="24"/>
              </w:rPr>
              <w:t>以来</w:t>
            </w:r>
            <w:r>
              <w:rPr>
                <w:rFonts w:hint="eastAsia" w:ascii="宋体" w:hAnsi="宋体"/>
                <w:sz w:val="24"/>
                <w:szCs w:val="24"/>
              </w:rPr>
              <w:t>，投标人具有涉及净化实验室的施工业绩，每提供一项得</w:t>
            </w:r>
            <w:r>
              <w:rPr>
                <w:rFonts w:hint="eastAsia"/>
                <w:sz w:val="24"/>
                <w:szCs w:val="24"/>
              </w:rPr>
              <w:t>3</w:t>
            </w:r>
            <w:r>
              <w:rPr>
                <w:rFonts w:hint="eastAsia" w:ascii="宋体" w:hAnsi="宋体"/>
                <w:sz w:val="24"/>
                <w:szCs w:val="24"/>
              </w:rPr>
              <w:t>分，最多得</w:t>
            </w:r>
            <w:r>
              <w:rPr>
                <w:rFonts w:hint="eastAsia"/>
                <w:sz w:val="24"/>
                <w:szCs w:val="24"/>
              </w:rPr>
              <w:t>6</w:t>
            </w:r>
            <w:r>
              <w:rPr>
                <w:rFonts w:hint="eastAsia" w:ascii="宋体" w:hAnsi="宋体"/>
                <w:sz w:val="24"/>
                <w:szCs w:val="24"/>
              </w:rPr>
              <w:t>分。</w:t>
            </w:r>
          </w:p>
          <w:p>
            <w:pPr>
              <w:rPr>
                <w:sz w:val="24"/>
                <w:szCs w:val="24"/>
              </w:rPr>
            </w:pPr>
            <w:r>
              <w:rPr>
                <w:rFonts w:hint="eastAsia"/>
                <w:sz w:val="24"/>
                <w:szCs w:val="24"/>
              </w:rPr>
              <w:t>1.</w:t>
            </w:r>
            <w:r>
              <w:rPr>
                <w:rFonts w:hint="eastAsia" w:ascii="宋体" w:hAnsi="宋体"/>
                <w:sz w:val="24"/>
                <w:szCs w:val="24"/>
              </w:rPr>
              <w:t>认定业绩的依据为施工合同和竣工验收报告（或建设单位出具的验收证明），</w:t>
            </w:r>
            <w:r>
              <w:rPr>
                <w:rFonts w:ascii="宋体" w:hAnsi="宋体"/>
                <w:sz w:val="24"/>
                <w:szCs w:val="24"/>
              </w:rPr>
              <w:t>响应文件中须提供</w:t>
            </w:r>
            <w:r>
              <w:rPr>
                <w:rFonts w:hint="eastAsia" w:ascii="宋体" w:hAnsi="宋体"/>
                <w:sz w:val="24"/>
                <w:szCs w:val="24"/>
              </w:rPr>
              <w:t>上述材料的扫描件或复印件且</w:t>
            </w:r>
            <w:r>
              <w:rPr>
                <w:rFonts w:ascii="宋体" w:hAnsi="宋体"/>
                <w:sz w:val="24"/>
                <w:szCs w:val="24"/>
              </w:rPr>
              <w:t>能辨识买卖双方公章、标的信息</w:t>
            </w:r>
            <w:r>
              <w:rPr>
                <w:rFonts w:hint="eastAsia" w:ascii="宋体" w:hAnsi="宋体"/>
                <w:sz w:val="24"/>
                <w:szCs w:val="24"/>
              </w:rPr>
              <w:t>。</w:t>
            </w:r>
          </w:p>
          <w:p>
            <w:pPr>
              <w:rPr>
                <w:sz w:val="24"/>
                <w:szCs w:val="24"/>
              </w:rPr>
            </w:pPr>
            <w:r>
              <w:rPr>
                <w:rFonts w:hint="eastAsia"/>
                <w:sz w:val="24"/>
                <w:szCs w:val="24"/>
              </w:rPr>
              <w:t>2.</w:t>
            </w:r>
            <w:r>
              <w:rPr>
                <w:rFonts w:hint="eastAsia" w:ascii="宋体" w:hAnsi="宋体"/>
                <w:sz w:val="24"/>
                <w:szCs w:val="24"/>
              </w:rPr>
              <w:t>业绩时间以竣工验收报告（或建设单位出具的验收证明）中载明的竣工验收时间为准。</w:t>
            </w:r>
          </w:p>
          <w:p>
            <w:pPr>
              <w:rPr>
                <w:sz w:val="24"/>
                <w:szCs w:val="24"/>
              </w:rPr>
            </w:pPr>
            <w:r>
              <w:rPr>
                <w:rFonts w:hint="eastAsia"/>
                <w:sz w:val="24"/>
                <w:szCs w:val="24"/>
              </w:rPr>
              <w:t>3.</w:t>
            </w:r>
            <w:r>
              <w:rPr>
                <w:rFonts w:hint="eastAsia" w:ascii="宋体" w:hAnsi="宋体"/>
                <w:sz w:val="24"/>
                <w:szCs w:val="24"/>
              </w:rPr>
              <w:t>如业绩材料不能反映所需信息，则需提供建设单位加盖公章的证明，否则业绩无效。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top w:val="nil"/>
              <w:left w:val="single" w:color="auto" w:sz="4" w:space="0"/>
              <w:bottom w:val="single" w:color="auto" w:sz="4" w:space="0"/>
              <w:right w:val="single" w:color="auto" w:sz="4" w:space="0"/>
            </w:tcBorders>
            <w:vAlign w:val="center"/>
          </w:tcPr>
          <w:p>
            <w:pPr>
              <w:widowControl/>
              <w:jc w:val="left"/>
              <w:rPr>
                <w:sz w:val="24"/>
                <w:szCs w:val="24"/>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hint="eastAsia"/>
                <w:sz w:val="24"/>
                <w:szCs w:val="24"/>
              </w:rPr>
              <w:t>8</w:t>
            </w:r>
          </w:p>
        </w:tc>
        <w:tc>
          <w:tcPr>
            <w:tcW w:w="1701"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售后</w:t>
            </w:r>
            <w:r>
              <w:rPr>
                <w:rFonts w:hint="eastAsia" w:ascii="宋体" w:hAnsi="宋体"/>
                <w:sz w:val="24"/>
                <w:szCs w:val="24"/>
              </w:rPr>
              <w:t>服务方案</w:t>
            </w:r>
          </w:p>
        </w:tc>
        <w:tc>
          <w:tcPr>
            <w:tcW w:w="1134" w:type="dxa"/>
            <w:tcBorders>
              <w:top w:val="single" w:color="auto" w:sz="4" w:space="0"/>
              <w:left w:val="single" w:color="auto" w:sz="4" w:space="0"/>
              <w:bottom w:val="single" w:color="auto" w:sz="4" w:space="0"/>
              <w:right w:val="single" w:color="auto" w:sz="4" w:space="0"/>
            </w:tcBorders>
            <w:vAlign w:val="center"/>
          </w:tcPr>
          <w:p>
            <w:pPr>
              <w:rPr>
                <w:sz w:val="24"/>
                <w:szCs w:val="24"/>
              </w:rPr>
            </w:pPr>
            <w:r>
              <w:rPr>
                <w:sz w:val="24"/>
                <w:szCs w:val="24"/>
              </w:rPr>
              <w:t>2</w:t>
            </w:r>
            <w:r>
              <w:rPr>
                <w:rFonts w:ascii="宋体" w:hAnsi="宋体"/>
                <w:sz w:val="24"/>
                <w:szCs w:val="24"/>
              </w:rPr>
              <w:t>分</w:t>
            </w:r>
          </w:p>
        </w:tc>
        <w:tc>
          <w:tcPr>
            <w:tcW w:w="4048" w:type="dxa"/>
            <w:tcBorders>
              <w:top w:val="single" w:color="auto" w:sz="4" w:space="0"/>
              <w:left w:val="single" w:color="auto" w:sz="4" w:space="0"/>
              <w:bottom w:val="single" w:color="auto" w:sz="4" w:space="0"/>
              <w:right w:val="single" w:color="auto" w:sz="4" w:space="0"/>
            </w:tcBorders>
            <w:vAlign w:val="center"/>
          </w:tcPr>
          <w:p>
            <w:pPr>
              <w:rPr>
                <w:sz w:val="24"/>
                <w:szCs w:val="24"/>
              </w:rPr>
            </w:pPr>
            <w:r>
              <w:rPr>
                <w:rFonts w:ascii="宋体" w:hAnsi="宋体"/>
                <w:sz w:val="24"/>
                <w:szCs w:val="24"/>
              </w:rPr>
              <w:t>包括保修年限</w:t>
            </w:r>
            <w:r>
              <w:rPr>
                <w:rFonts w:hint="eastAsia" w:ascii="宋体" w:hAnsi="宋体"/>
                <w:sz w:val="24"/>
                <w:szCs w:val="24"/>
              </w:rPr>
              <w:t>、</w:t>
            </w:r>
            <w:r>
              <w:rPr>
                <w:rFonts w:ascii="宋体" w:hAnsi="宋体"/>
                <w:sz w:val="24"/>
                <w:szCs w:val="24"/>
              </w:rPr>
              <w:t>服务标准</w:t>
            </w:r>
            <w:r>
              <w:rPr>
                <w:rFonts w:hint="eastAsia" w:ascii="宋体" w:hAnsi="宋体"/>
                <w:sz w:val="24"/>
                <w:szCs w:val="24"/>
              </w:rPr>
              <w:t>、</w:t>
            </w:r>
            <w:r>
              <w:rPr>
                <w:rFonts w:ascii="宋体" w:hAnsi="宋体"/>
                <w:sz w:val="24"/>
                <w:szCs w:val="24"/>
              </w:rPr>
              <w:t>人员配备</w:t>
            </w:r>
            <w:r>
              <w:rPr>
                <w:rFonts w:hint="eastAsia" w:ascii="宋体" w:hAnsi="宋体"/>
                <w:sz w:val="24"/>
                <w:szCs w:val="24"/>
              </w:rPr>
              <w:t>、</w:t>
            </w:r>
            <w:r>
              <w:rPr>
                <w:rFonts w:ascii="宋体" w:hAnsi="宋体"/>
                <w:sz w:val="24"/>
                <w:szCs w:val="24"/>
              </w:rPr>
              <w:t>维修及保障措施等，根据供应商承诺情况</w:t>
            </w:r>
            <w:r>
              <w:rPr>
                <w:rFonts w:hint="eastAsia" w:ascii="宋体" w:hAnsi="宋体"/>
                <w:sz w:val="24"/>
                <w:szCs w:val="24"/>
              </w:rPr>
              <w:t>得</w:t>
            </w:r>
            <w:r>
              <w:rPr>
                <w:sz w:val="24"/>
                <w:szCs w:val="24"/>
              </w:rPr>
              <w:t>2</w:t>
            </w:r>
            <w:r>
              <w:rPr>
                <w:rFonts w:hint="eastAsia"/>
                <w:sz w:val="24"/>
                <w:szCs w:val="24"/>
              </w:rPr>
              <w:t>.0</w:t>
            </w:r>
            <w:r>
              <w:rPr>
                <w:rFonts w:ascii="宋体" w:hAnsi="宋体"/>
                <w:sz w:val="24"/>
                <w:szCs w:val="24"/>
              </w:rPr>
              <w:t>分</w:t>
            </w:r>
            <w:r>
              <w:rPr>
                <w:rFonts w:hint="eastAsia" w:ascii="宋体" w:hAnsi="宋体"/>
                <w:sz w:val="24"/>
                <w:szCs w:val="24"/>
              </w:rPr>
              <w:t>；无售后服务方案的，得</w:t>
            </w:r>
            <w:r>
              <w:rPr>
                <w:rFonts w:hint="eastAsia"/>
                <w:sz w:val="24"/>
                <w:szCs w:val="24"/>
              </w:rPr>
              <w:t>0</w:t>
            </w:r>
            <w:r>
              <w:rPr>
                <w:rFonts w:hint="eastAsia" w:ascii="宋体" w:hAnsi="宋体"/>
                <w:sz w:val="24"/>
                <w:szCs w:val="24"/>
              </w:rPr>
              <w:t>分</w:t>
            </w:r>
            <w:r>
              <w:rPr>
                <w:rFonts w:ascii="宋体" w:hAnsi="宋体"/>
                <w:sz w:val="24"/>
                <w:szCs w:val="24"/>
              </w:rPr>
              <w:t>。</w:t>
            </w:r>
          </w:p>
        </w:tc>
      </w:tr>
    </w:tbl>
    <w:p>
      <w:pPr>
        <w:widowControl/>
        <w:adjustRightInd w:val="0"/>
        <w:snapToGrid w:val="0"/>
        <w:spacing w:line="360" w:lineRule="auto"/>
        <w:ind w:firstLine="562" w:firstLineChars="200"/>
        <w:rPr>
          <w:rFonts w:ascii="宋体" w:hAnsi="宋体" w:cs="Calibri"/>
          <w:b/>
          <w:bCs/>
          <w:color w:val="000000"/>
          <w:kern w:val="0"/>
          <w:szCs w:val="21"/>
          <w:shd w:val="clear" w:color="auto" w:fill="FFFFFF"/>
        </w:rPr>
      </w:pPr>
    </w:p>
    <w:p>
      <w:pPr>
        <w:widowControl/>
        <w:adjustRightInd w:val="0"/>
        <w:snapToGrid w:val="0"/>
        <w:spacing w:line="360" w:lineRule="auto"/>
        <w:ind w:firstLine="562" w:firstLineChars="200"/>
        <w:rPr>
          <w:rFonts w:ascii="宋体" w:hAnsi="宋体" w:cs="Calibri"/>
          <w:color w:val="333333"/>
          <w:kern w:val="0"/>
          <w:szCs w:val="21"/>
        </w:rPr>
      </w:pPr>
      <w:r>
        <w:rPr>
          <w:rFonts w:hint="eastAsia" w:ascii="宋体" w:hAnsi="宋体" w:cs="Calibri"/>
          <w:b/>
          <w:bCs/>
          <w:color w:val="000000"/>
          <w:kern w:val="0"/>
          <w:szCs w:val="21"/>
          <w:shd w:val="clear" w:color="auto" w:fill="FFFFFF"/>
        </w:rPr>
        <w:t>2.高分优先原则。</w:t>
      </w:r>
      <w:r>
        <w:rPr>
          <w:rFonts w:hint="eastAsia" w:ascii="宋体" w:hAnsi="宋体" w:cs="Calibri"/>
          <w:color w:val="000000"/>
          <w:kern w:val="0"/>
          <w:szCs w:val="21"/>
          <w:shd w:val="clear" w:color="auto" w:fill="FFFFFF"/>
        </w:rPr>
        <w:t>衡量投标文件满足招标文件规定各项评审标准的程度，折算为综合得分分值，依据每个投标人的综合得分由高到低，依次确定排名顺序。满分为100分（数值计算结果均保留两位小数，第三位四舍五入）</w:t>
      </w:r>
    </w:p>
    <w:p>
      <w:pPr>
        <w:pStyle w:val="3"/>
        <w:adjustRightInd w:val="0"/>
        <w:snapToGrid w:val="0"/>
        <w:spacing w:line="460" w:lineRule="exact"/>
        <w:ind w:firstLine="560"/>
        <w:rPr>
          <w:rFonts w:ascii="仿宋_GB2312" w:hAnsi="楷体" w:eastAsia="仿宋_GB2312"/>
          <w:spacing w:val="0"/>
          <w:sz w:val="28"/>
          <w:szCs w:val="28"/>
        </w:rPr>
      </w:pPr>
    </w:p>
    <w:p>
      <w:pPr>
        <w:pStyle w:val="3"/>
        <w:adjustRightInd w:val="0"/>
        <w:snapToGrid w:val="0"/>
        <w:spacing w:line="460" w:lineRule="exact"/>
        <w:ind w:firstLine="560"/>
        <w:rPr>
          <w:rFonts w:ascii="仿宋_GB2312" w:hAnsi="楷体" w:eastAsia="仿宋_GB2312"/>
          <w:spacing w:val="0"/>
          <w:sz w:val="28"/>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pStyle w:val="4"/>
        <w:rPr>
          <w:rFonts w:ascii="仿宋_GB2312" w:hAnsi="楷体" w:eastAsia="仿宋_GB2312"/>
          <w:szCs w:val="28"/>
        </w:rPr>
      </w:pPr>
    </w:p>
    <w:p>
      <w:pPr>
        <w:jc w:val="center"/>
        <w:rPr>
          <w:rFonts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2" w:name="_Toc403987220"/>
      <w:r>
        <w:rPr>
          <w:rFonts w:hint="eastAsia" w:ascii="华文中宋" w:hAnsi="华文中宋" w:eastAsia="华文中宋"/>
          <w:b/>
          <w:sz w:val="36"/>
          <w:szCs w:val="36"/>
        </w:rPr>
        <w:t>响应文件格式</w:t>
      </w:r>
      <w:bookmarkEnd w:id="111"/>
      <w:bookmarkEnd w:id="112"/>
    </w:p>
    <w:p>
      <w:pPr>
        <w:jc w:val="center"/>
        <w:rPr>
          <w:rFonts w:hAnsi="宋体"/>
          <w:b/>
          <w:sz w:val="72"/>
        </w:rPr>
      </w:pPr>
      <w:bookmarkStart w:id="113" w:name="_Hlt26671244"/>
      <w:bookmarkEnd w:id="113"/>
      <w:bookmarkStart w:id="114" w:name="_Hlt26955039"/>
      <w:bookmarkEnd w:id="114"/>
      <w:bookmarkStart w:id="115" w:name="_Toc120614282"/>
      <w:bookmarkStart w:id="116" w:name="_Toc26554094"/>
      <w:bookmarkStart w:id="117"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5"/>
    <w:bookmarkEnd w:id="116"/>
    <w:bookmarkEnd w:id="117"/>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rPr>
          <w:rFonts w:ascii="华文中宋" w:hAnsi="华文中宋" w:eastAsia="华文中宋"/>
          <w:b/>
          <w:spacing w:val="-6"/>
          <w:szCs w:val="28"/>
        </w:rPr>
      </w:pP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7"/>
        <w:tblW w:w="959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137"/>
        <w:gridCol w:w="445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1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445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137" w:type="dxa"/>
            <w:tcBorders>
              <w:top w:val="single" w:color="auto" w:sz="4" w:space="0"/>
              <w:left w:val="single" w:color="auto" w:sz="4" w:space="0"/>
              <w:right w:val="single" w:color="auto" w:sz="4" w:space="0"/>
            </w:tcBorders>
            <w:vAlign w:val="center"/>
          </w:tcPr>
          <w:p>
            <w:pPr>
              <w:jc w:val="center"/>
              <w:rPr>
                <w:rFonts w:hint="eastAsia" w:eastAsia="宋体"/>
                <w:bCs/>
                <w:sz w:val="24"/>
                <w:szCs w:val="24"/>
                <w:lang w:eastAsia="zh-CN"/>
              </w:rPr>
            </w:pPr>
            <w:r>
              <w:rPr>
                <w:rFonts w:hint="eastAsia"/>
                <w:lang w:eastAsia="zh-CN"/>
              </w:rPr>
              <w:t>皖南医学院逸夫科技楼419-421实验室维修改造项目（二次）</w:t>
            </w:r>
          </w:p>
        </w:tc>
        <w:tc>
          <w:tcPr>
            <w:tcW w:w="4454" w:type="dxa"/>
            <w:tcBorders>
              <w:top w:val="single" w:color="auto" w:sz="4" w:space="0"/>
              <w:left w:val="single" w:color="auto" w:sz="4" w:space="0"/>
              <w:right w:val="single" w:color="auto" w:sz="4" w:space="0"/>
            </w:tcBorders>
            <w:vAlign w:val="center"/>
          </w:tcPr>
          <w:p>
            <w:pPr>
              <w:snapToGrid w:val="0"/>
              <w:spacing w:before="50" w:after="50"/>
              <w:jc w:val="left"/>
              <w:rPr>
                <w:rFonts w:ascii="宋体" w:hAnsi="宋体"/>
                <w:spacing w:val="-6"/>
                <w:sz w:val="24"/>
                <w:szCs w:val="24"/>
                <w:u w:val="single"/>
              </w:rPr>
            </w:pPr>
            <w:r>
              <w:rPr>
                <w:rFonts w:hint="eastAsia" w:ascii="宋体" w:hAnsi="宋体"/>
                <w:spacing w:val="-6"/>
                <w:sz w:val="24"/>
                <w:szCs w:val="24"/>
              </w:rPr>
              <w:t>大写：</w:t>
            </w:r>
            <w:r>
              <w:rPr>
                <w:rFonts w:hint="eastAsia" w:ascii="宋体" w:hAnsi="宋体"/>
                <w:spacing w:val="-6"/>
                <w:sz w:val="24"/>
                <w:szCs w:val="24"/>
                <w:u w:val="single"/>
              </w:rPr>
              <w:t xml:space="preserve">                  元 </w:t>
            </w:r>
          </w:p>
          <w:p>
            <w:pPr>
              <w:snapToGrid w:val="0"/>
              <w:spacing w:before="50" w:after="50"/>
              <w:jc w:val="center"/>
              <w:rPr>
                <w:rFonts w:ascii="宋体" w:hAnsi="宋体"/>
                <w:spacing w:val="-6"/>
                <w:sz w:val="24"/>
                <w:szCs w:val="24"/>
              </w:rPr>
            </w:pPr>
          </w:p>
          <w:p>
            <w:pPr>
              <w:snapToGrid w:val="0"/>
              <w:spacing w:before="50" w:after="50"/>
              <w:jc w:val="left"/>
              <w:rPr>
                <w:rFonts w:ascii="宋体" w:hAnsi="宋体"/>
                <w:spacing w:val="-6"/>
                <w:sz w:val="24"/>
                <w:szCs w:val="24"/>
                <w:u w:val="single"/>
              </w:rPr>
            </w:pPr>
            <w:r>
              <w:rPr>
                <w:rFonts w:hint="eastAsia" w:ascii="宋体" w:hAnsi="宋体"/>
                <w:spacing w:val="-6"/>
                <w:sz w:val="24"/>
                <w:szCs w:val="24"/>
              </w:rPr>
              <w:t>小写：</w:t>
            </w:r>
            <w:r>
              <w:rPr>
                <w:rFonts w:hint="eastAsia" w:ascii="宋体" w:hAnsi="宋体"/>
                <w:spacing w:val="-6"/>
                <w:sz w:val="24"/>
                <w:szCs w:val="24"/>
                <w:u w:val="single"/>
              </w:rPr>
              <w:t xml:space="preserve">                  元  </w:t>
            </w:r>
          </w:p>
          <w:p>
            <w:pPr>
              <w:pStyle w:val="2"/>
              <w:ind w:firstLine="0" w:firstLineChars="0"/>
            </w:pPr>
          </w:p>
          <w:p>
            <w:pPr>
              <w:pStyle w:val="2"/>
              <w:ind w:firstLine="0" w:firstLineChars="0"/>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591"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宋体" w:hAnsi="宋体"/>
                <w:spacing w:val="-6"/>
                <w:sz w:val="24"/>
                <w:szCs w:val="24"/>
              </w:rPr>
            </w:pPr>
            <w:r>
              <w:rPr>
                <w:rFonts w:hint="eastAsia"/>
              </w:rPr>
              <w:t>备注：</w:t>
            </w:r>
          </w:p>
        </w:tc>
      </w:tr>
    </w:tbl>
    <w:p>
      <w:pPr>
        <w:snapToGrid w:val="0"/>
        <w:spacing w:before="50" w:after="50" w:line="360" w:lineRule="auto"/>
        <w:jc w:val="left"/>
        <w:rPr>
          <w:rFonts w:ascii="宋体" w:hAnsi="宋体"/>
          <w:spacing w:val="-6"/>
          <w:sz w:val="24"/>
          <w:szCs w:val="24"/>
        </w:rPr>
      </w:pPr>
    </w:p>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6"/>
          <w:rFonts w:hAnsi="宋体"/>
          <w:color w:val="auto"/>
          <w:sz w:val="24"/>
          <w:szCs w:val="24"/>
        </w:rPr>
      </w:pPr>
    </w:p>
    <w:p>
      <w:pPr>
        <w:rPr>
          <w:rFonts w:ascii="宋体" w:hAnsi="宋体"/>
          <w:spacing w:val="-6"/>
          <w:sz w:val="24"/>
        </w:rPr>
      </w:pPr>
    </w:p>
    <w:p>
      <w:pPr>
        <w:jc w:val="center"/>
        <w:rPr>
          <w:rFonts w:ascii="宋体" w:hAnsi="宋体"/>
          <w:spacing w:val="-6"/>
          <w:sz w:val="24"/>
        </w:rPr>
      </w:pPr>
    </w:p>
    <w:p>
      <w:pP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br w:type="page"/>
      </w:r>
    </w:p>
    <w:p>
      <w:pPr>
        <w:jc w:val="center"/>
        <w:rPr>
          <w:rStyle w:val="66"/>
          <w:rFonts w:ascii="华文中宋" w:hAnsi="华文中宋" w:eastAsia="华文中宋"/>
          <w:color w:val="auto"/>
          <w:sz w:val="28"/>
          <w:szCs w:val="28"/>
        </w:rPr>
      </w:pPr>
      <w:r>
        <w:rPr>
          <w:rStyle w:val="66"/>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7"/>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sz w:val="24"/>
                <w:szCs w:val="24"/>
              </w:rPr>
            </w:pPr>
            <w:r>
              <w:rPr>
                <w:rFonts w:hint="eastAsia" w:hAnsi="宋体"/>
                <w:sz w:val="24"/>
                <w:szCs w:val="24"/>
              </w:rPr>
              <w:t>1</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vAlign w:val="center"/>
          </w:tcPr>
          <w:p>
            <w:pPr>
              <w:jc w:val="center"/>
              <w:rPr>
                <w:rFonts w:hAnsi="宋体"/>
                <w:b/>
                <w:sz w:val="24"/>
                <w:szCs w:val="24"/>
              </w:rPr>
            </w:pPr>
          </w:p>
        </w:tc>
        <w:tc>
          <w:tcPr>
            <w:tcW w:w="1701" w:type="dxa"/>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2</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sz w:val="24"/>
                <w:szCs w:val="24"/>
              </w:rPr>
            </w:pPr>
            <w:r>
              <w:rPr>
                <w:rFonts w:hint="eastAsia" w:hAnsi="宋体"/>
                <w:sz w:val="24"/>
                <w:szCs w:val="24"/>
              </w:rPr>
              <w:t>3</w:t>
            </w:r>
          </w:p>
        </w:tc>
        <w:tc>
          <w:tcPr>
            <w:tcW w:w="4678" w:type="dxa"/>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sz w:val="24"/>
                <w:szCs w:val="24"/>
              </w:rPr>
            </w:pPr>
            <w:r>
              <w:rPr>
                <w:rFonts w:hint="eastAsia" w:hAnsi="宋体"/>
                <w:sz w:val="24"/>
                <w:szCs w:val="24"/>
              </w:rPr>
              <w:t>4</w:t>
            </w:r>
          </w:p>
        </w:tc>
        <w:tc>
          <w:tcPr>
            <w:tcW w:w="4678" w:type="dxa"/>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vAlign w:val="center"/>
          </w:tcPr>
          <w:p>
            <w:pPr>
              <w:jc w:val="center"/>
              <w:rPr>
                <w:rFonts w:hAnsi="宋体"/>
                <w:sz w:val="24"/>
                <w:szCs w:val="24"/>
              </w:rPr>
            </w:pPr>
          </w:p>
        </w:tc>
        <w:tc>
          <w:tcPr>
            <w:tcW w:w="1701" w:type="dxa"/>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6"/>
          <w:rFonts w:ascii="华文中宋" w:hAnsi="华文中宋" w:eastAsia="华文中宋"/>
          <w:color w:val="auto"/>
          <w:sz w:val="28"/>
          <w:szCs w:val="28"/>
        </w:rPr>
      </w:pPr>
      <w:r>
        <w:rPr>
          <w:rFonts w:hAnsi="宋体"/>
          <w:sz w:val="32"/>
          <w:szCs w:val="32"/>
        </w:rPr>
        <w:br w:type="page"/>
      </w:r>
      <w:r>
        <w:rPr>
          <w:rStyle w:val="66"/>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8" w:name="_Toc26554103"/>
      <w:bookmarkStart w:id="119" w:name="_Toc23828483"/>
      <w:bookmarkStart w:id="120" w:name="_Toc24878535"/>
      <w:bookmarkStart w:id="121" w:name="_Toc49090582"/>
      <w:bookmarkStart w:id="122" w:name="_Toc513029281"/>
      <w:bookmarkStart w:id="123" w:name="_Toc22356583"/>
      <w:bookmarkStart w:id="124" w:name="_Toc120614291"/>
      <w:bookmarkStart w:id="125"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8"/>
      <w:bookmarkEnd w:id="119"/>
      <w:bookmarkEnd w:id="120"/>
      <w:bookmarkEnd w:id="121"/>
      <w:bookmarkEnd w:id="122"/>
      <w:bookmarkEnd w:id="123"/>
      <w:bookmarkEnd w:id="124"/>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20"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20" w:beforeLines="50" w:after="50" w:line="360" w:lineRule="auto"/>
        <w:rPr>
          <w:rFonts w:ascii="宋体" w:hAnsi="宋体"/>
          <w:spacing w:val="-6"/>
          <w:sz w:val="24"/>
          <w:szCs w:val="24"/>
        </w:rPr>
      </w:pPr>
    </w:p>
    <w:p>
      <w:pPr>
        <w:snapToGrid w:val="0"/>
        <w:spacing w:before="120"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20"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7"/>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7"/>
        <w:snapToGrid w:val="0"/>
        <w:spacing w:beforeLines="0" w:afterLines="0" w:line="360" w:lineRule="auto"/>
        <w:jc w:val="left"/>
        <w:rPr>
          <w:rFonts w:hAnsi="宋体"/>
          <w:szCs w:val="24"/>
        </w:rPr>
      </w:pPr>
    </w:p>
    <w:p>
      <w:pPr>
        <w:pStyle w:val="17"/>
        <w:snapToGrid w:val="0"/>
        <w:spacing w:beforeLines="0" w:afterLines="0" w:line="360" w:lineRule="auto"/>
        <w:jc w:val="left"/>
        <w:rPr>
          <w:rFonts w:hAnsi="宋体"/>
          <w:spacing w:val="-6"/>
        </w:rPr>
      </w:pPr>
      <w:r>
        <w:rPr>
          <w:rFonts w:hint="eastAsia" w:hAnsi="宋体"/>
          <w:spacing w:val="-6"/>
        </w:rPr>
        <w:t xml:space="preserve"> </w:t>
      </w:r>
    </w:p>
    <w:p>
      <w:pPr>
        <w:pStyle w:val="40"/>
        <w:ind w:firstLine="0" w:firstLineChars="0"/>
        <w:rPr>
          <w:rFonts w:hAnsi="宋体" w:eastAsia="宋体"/>
          <w:sz w:val="24"/>
          <w:szCs w:val="24"/>
        </w:rPr>
      </w:pPr>
    </w:p>
    <w:bookmarkEnd w:id="125"/>
    <w:p>
      <w:pPr>
        <w:rPr>
          <w:rFonts w:ascii="华文中宋" w:hAnsi="华文中宋" w:eastAsia="华文中宋"/>
          <w:b/>
          <w:spacing w:val="-6"/>
          <w:szCs w:val="28"/>
        </w:rPr>
      </w:pPr>
      <w:bookmarkStart w:id="126" w:name="_Toc460901585"/>
      <w:bookmarkStart w:id="127" w:name="_Toc120614283"/>
      <w:bookmarkStart w:id="128" w:name="_Toc22356580"/>
      <w:bookmarkStart w:id="129" w:name="_Toc513029276"/>
      <w:bookmarkStart w:id="130" w:name="_Toc23828478"/>
      <w:bookmarkStart w:id="131" w:name="_Toc49090577"/>
      <w:bookmarkStart w:id="132" w:name="_Toc26554095"/>
      <w:r>
        <w:rPr>
          <w:rFonts w:hint="eastAsia" w:ascii="华文中宋" w:hAnsi="华文中宋" w:eastAsia="华文中宋"/>
          <w:b/>
          <w:spacing w:val="-6"/>
          <w:szCs w:val="28"/>
        </w:rPr>
        <w:br w:type="page"/>
      </w:r>
    </w:p>
    <w:p>
      <w:pPr>
        <w:jc w:val="center"/>
        <w:rPr>
          <w:rStyle w:val="66"/>
          <w:rFonts w:ascii="华文中宋" w:hAnsi="华文中宋" w:eastAsia="华文中宋"/>
          <w:b w:val="0"/>
          <w:color w:val="auto"/>
          <w:sz w:val="28"/>
          <w:szCs w:val="28"/>
        </w:rPr>
      </w:pPr>
      <w:r>
        <w:rPr>
          <w:rFonts w:hint="eastAsia" w:ascii="华文中宋" w:hAnsi="华文中宋" w:eastAsia="华文中宋"/>
          <w:b/>
          <w:spacing w:val="-6"/>
          <w:szCs w:val="28"/>
        </w:rPr>
        <w:t>四、</w:t>
      </w:r>
      <w:r>
        <w:rPr>
          <w:rStyle w:val="66"/>
          <w:rFonts w:hint="eastAsia" w:ascii="华文中宋" w:hAnsi="华文中宋" w:eastAsia="华文中宋"/>
          <w:color w:val="auto"/>
          <w:sz w:val="28"/>
          <w:szCs w:val="28"/>
        </w:rPr>
        <w:t>磋商函格式</w:t>
      </w:r>
    </w:p>
    <w:bookmarkEnd w:id="126"/>
    <w:bookmarkEnd w:id="127"/>
    <w:bookmarkEnd w:id="128"/>
    <w:bookmarkEnd w:id="129"/>
    <w:bookmarkEnd w:id="130"/>
    <w:bookmarkEnd w:id="131"/>
    <w:bookmarkEnd w:id="132"/>
    <w:p>
      <w:pPr>
        <w:tabs>
          <w:tab w:val="left" w:pos="5580"/>
        </w:tabs>
        <w:spacing w:line="480" w:lineRule="exact"/>
        <w:rPr>
          <w:rStyle w:val="66"/>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6.一旦我方确认成交,我方将根据磋商文件的规定，严格履行合同的责任和义务,并保证在磋商文件规定的时间完成项目，交付买方验收、使用。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7.遵守磋商文件中要求的收费项目和标准。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8.与本磋商有关的正式通讯地址为：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b/>
          <w:bCs/>
          <w:sz w:val="24"/>
        </w:rPr>
      </w:pPr>
    </w:p>
    <w:p>
      <w:pPr>
        <w:rPr>
          <w:b/>
          <w:bCs/>
          <w:sz w:val="24"/>
        </w:rPr>
      </w:pPr>
      <w:r>
        <w:rPr>
          <w:rFonts w:hint="eastAsia"/>
          <w:b/>
          <w:bCs/>
          <w:sz w:val="24"/>
        </w:rPr>
        <w:t>五、 投标文件须包含分部分项工程量清单综合单价分析表等《建设工程工程量清单计价规范》(GB 50500-2013)中要求提供的文件、</w:t>
      </w:r>
      <w:r>
        <w:rPr>
          <w:b/>
          <w:bCs/>
          <w:sz w:val="24"/>
        </w:rPr>
        <w:t>施工组织机构和人员组成</w:t>
      </w:r>
      <w:r>
        <w:rPr>
          <w:rFonts w:hint="eastAsia"/>
          <w:b/>
          <w:bCs/>
          <w:sz w:val="24"/>
        </w:rPr>
        <w:t>、资源配备计划、</w:t>
      </w:r>
      <w:r>
        <w:rPr>
          <w:b/>
          <w:bCs/>
          <w:sz w:val="24"/>
        </w:rPr>
        <w:t>施工进度</w:t>
      </w:r>
      <w:r>
        <w:rPr>
          <w:rFonts w:hint="eastAsia"/>
          <w:b/>
          <w:bCs/>
          <w:sz w:val="24"/>
        </w:rPr>
        <w:t>保障、</w:t>
      </w:r>
      <w:r>
        <w:rPr>
          <w:b/>
          <w:bCs/>
          <w:sz w:val="24"/>
        </w:rPr>
        <w:t>质量保证体系</w:t>
      </w:r>
      <w:r>
        <w:rPr>
          <w:rFonts w:hint="eastAsia"/>
          <w:b/>
          <w:bCs/>
          <w:sz w:val="24"/>
        </w:rPr>
        <w:t>、</w:t>
      </w:r>
      <w:r>
        <w:rPr>
          <w:b/>
          <w:bCs/>
          <w:sz w:val="24"/>
        </w:rPr>
        <w:t>安全文明施工</w:t>
      </w:r>
      <w:r>
        <w:rPr>
          <w:rFonts w:hint="eastAsia"/>
          <w:b/>
          <w:bCs/>
          <w:sz w:val="24"/>
        </w:rPr>
        <w:t>、施工方案、业绩、</w:t>
      </w:r>
      <w:r>
        <w:rPr>
          <w:b/>
          <w:bCs/>
          <w:sz w:val="24"/>
        </w:rPr>
        <w:t>售后</w:t>
      </w:r>
      <w:r>
        <w:rPr>
          <w:rFonts w:hint="eastAsia"/>
          <w:b/>
          <w:bCs/>
          <w:sz w:val="24"/>
        </w:rPr>
        <w:t>服务方案等投标人需要提供的其它材料。</w:t>
      </w:r>
    </w:p>
    <w:p>
      <w:pPr>
        <w:rPr>
          <w:rFonts w:ascii="宋体" w:hAnsi="宋体"/>
          <w:b/>
          <w:sz w:val="24"/>
          <w:szCs w:val="24"/>
          <w:highlight w:val="yellow"/>
        </w:rPr>
      </w:pPr>
    </w:p>
    <w:p>
      <w:pPr>
        <w:rPr>
          <w:rFonts w:ascii="宋体" w:hAnsi="宋体"/>
          <w:b/>
          <w:sz w:val="24"/>
          <w:szCs w:val="24"/>
        </w:rPr>
      </w:pPr>
    </w:p>
    <w:p>
      <w:pPr>
        <w:rPr>
          <w:rFonts w:ascii="宋体" w:hAnsi="宋体"/>
          <w:b/>
          <w:sz w:val="24"/>
          <w:szCs w:val="24"/>
        </w:rPr>
      </w:pPr>
    </w:p>
    <w:p>
      <w:pPr>
        <w:rPr>
          <w:rFonts w:ascii="宋体" w:hAnsi="宋体"/>
          <w:b/>
          <w:sz w:val="24"/>
          <w:szCs w:val="24"/>
        </w:rPr>
      </w:pPr>
    </w:p>
    <w:p>
      <w:pPr>
        <w:rPr>
          <w:rFonts w:ascii="宋体" w:hAnsi="宋体"/>
          <w:b/>
          <w:sz w:val="24"/>
          <w:szCs w:val="24"/>
        </w:rPr>
      </w:pPr>
      <w:r>
        <w:rPr>
          <w:rFonts w:hint="eastAsia" w:ascii="宋体" w:hAnsi="宋体"/>
          <w:b/>
          <w:sz w:val="24"/>
          <w:szCs w:val="24"/>
        </w:rPr>
        <w:br w:type="page"/>
      </w: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仿宋_GB2312" w:hAnsi="华文中宋" w:eastAsia="仿宋_GB2312"/>
          <w:b/>
          <w:sz w:val="36"/>
          <w:szCs w:val="36"/>
        </w:rPr>
      </w:pPr>
      <w:r>
        <w:rPr>
          <w:rFonts w:hint="eastAsia" w:ascii="仿宋_GB2312" w:hAnsi="华文中宋" w:eastAsia="仿宋_GB2312"/>
          <w:b/>
          <w:sz w:val="36"/>
          <w:szCs w:val="36"/>
        </w:rPr>
        <w:t>皖南医学院采购质疑与投诉办法（试行）</w:t>
      </w:r>
    </w:p>
    <w:p>
      <w:pPr>
        <w:spacing w:before="240" w:beforeLines="100" w:after="240" w:afterLines="100"/>
        <w:jc w:val="center"/>
        <w:rPr>
          <w:rFonts w:ascii="仿宋_GB2312" w:hAnsi="宋体" w:eastAsia="仿宋_GB2312" w:cs="宋体"/>
          <w:color w:val="333333"/>
          <w:szCs w:val="28"/>
        </w:rPr>
      </w:pPr>
      <w:bookmarkStart w:id="133" w:name="_Toc374453341"/>
      <w:r>
        <w:rPr>
          <w:rFonts w:hint="eastAsia" w:ascii="仿宋_GB2312" w:hAnsi="黑体" w:eastAsia="仿宋_GB2312" w:cs="宋体"/>
          <w:b/>
          <w:bCs/>
          <w:color w:val="333333"/>
          <w:szCs w:val="28"/>
        </w:rPr>
        <w:t>第一章</w:t>
      </w:r>
      <w:r>
        <w:rPr>
          <w:rFonts w:hint="eastAsia" w:ascii="宋体" w:hAnsi="宋体" w:eastAsia="仿宋_GB2312"/>
          <w:color w:val="333333"/>
          <w:szCs w:val="28"/>
        </w:rPr>
        <w:t>  </w:t>
      </w:r>
      <w:r>
        <w:rPr>
          <w:rFonts w:hint="eastAsia" w:ascii="仿宋_GB2312" w:hAnsi="黑体" w:eastAsia="仿宋_GB2312" w:cs="宋体"/>
          <w:b/>
          <w:bCs/>
          <w:color w:val="333333"/>
          <w:szCs w:val="28"/>
        </w:rPr>
        <w:t>总 则</w:t>
      </w:r>
      <w:bookmarkEnd w:id="133"/>
      <w:r>
        <w:rPr>
          <w:rFonts w:hint="eastAsia" w:ascii="宋体" w:hAnsi="宋体" w:eastAsia="仿宋_GB2312"/>
          <w:color w:val="333333"/>
          <w:szCs w:val="28"/>
        </w:rPr>
        <w:t> </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 第一条  </w:t>
      </w:r>
      <w:r>
        <w:rPr>
          <w:rFonts w:hint="eastAsia" w:ascii="仿宋_GB2312" w:hAnsi="宋体" w:eastAsia="仿宋_GB2312" w:cs="宋体"/>
          <w:color w:val="333333"/>
          <w:szCs w:val="28"/>
        </w:rPr>
        <w:t>为规范学校采购活动质疑和投诉行为，确保采购活动公平竞争、合理运转，保护参加学校采购活动当事人的合法权益，根据《中华人民共和国政府采购法》《中华人 民共和国政府采购法实施条例》《中华人民共和国招标投标法》《中华人民共和国招标投标法实施条例》《政府采购质疑 和投诉办法》（财政部令第 94 号）和安徽省政府有关文件精神，结合学校实际，制定本办法。</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第二条</w:t>
      </w:r>
      <w:r>
        <w:rPr>
          <w:spacing w:val="98"/>
        </w:rPr>
        <w:t xml:space="preserve"> </w:t>
      </w:r>
      <w:r>
        <w:rPr>
          <w:rFonts w:hint="eastAsia" w:ascii="仿宋_GB2312" w:hAnsi="宋体" w:eastAsia="仿宋_GB2312" w:cs="宋体"/>
          <w:color w:val="333333"/>
          <w:szCs w:val="28"/>
        </w:rPr>
        <w:t>本办法适用于学校采购活动质疑的提出与答复、投诉的提起与处理。</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第三条</w:t>
      </w:r>
      <w:r>
        <w:rPr>
          <w:rFonts w:hint="eastAsia" w:ascii="仿宋_GB2312" w:hAnsi="宋体" w:eastAsia="仿宋_GB2312" w:cs="宋体"/>
          <w:color w:val="333333"/>
          <w:szCs w:val="28"/>
        </w:rPr>
        <w:t xml:space="preserve">  学校政府采购中的集中采购和分散采购项目质 疑的提出与答复和投诉的提起与处理遵照《政府采购质疑和投诉办法》（财政部令第 94 号）和安徽省有关规定执行。对 适用于招投标法的工程项目的异议的提出与答复、投诉与处理等，按照招投标法及实施条例和工程建设项目招标投标 活动投诉处理等规定执行。上级政策如有调整，按最新政策规定执行。</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第四条  </w:t>
      </w:r>
      <w:r>
        <w:rPr>
          <w:rFonts w:hint="eastAsia" w:ascii="仿宋_GB2312" w:hAnsi="宋体" w:eastAsia="仿宋_GB2312" w:cs="宋体"/>
          <w:color w:val="333333"/>
          <w:szCs w:val="28"/>
        </w:rPr>
        <w:t>供应商提出质疑和投诉应当坚持依法依规、诚实信用原则。</w:t>
      </w:r>
    </w:p>
    <w:p>
      <w:pPr>
        <w:pStyle w:val="15"/>
        <w:spacing w:after="0"/>
        <w:ind w:right="107"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第五条</w:t>
      </w:r>
      <w:r>
        <w:rPr>
          <w:rFonts w:hint="eastAsia" w:ascii="仿宋_GB2312" w:hAnsi="宋体" w:eastAsia="仿宋_GB2312" w:cs="宋体"/>
          <w:color w:val="333333"/>
          <w:szCs w:val="28"/>
        </w:rPr>
        <w:t xml:space="preserve">  采购质疑答复和投诉处理应当坚持依法依规、权责对等、公平公正、简便高效原则。</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第六条  </w:t>
      </w:r>
      <w:r>
        <w:rPr>
          <w:rFonts w:hint="eastAsia" w:ascii="仿宋_GB2312" w:hAnsi="宋体" w:eastAsia="仿宋_GB2312" w:cs="宋体"/>
          <w:color w:val="333333"/>
          <w:szCs w:val="28"/>
        </w:rPr>
        <w:t>在校内自主采购活动中，采购人负责供应商质疑答复。采购组织形式为学校统一采购的，由学校国有资产管理处（以下简称“国资处”）负责供应商质疑答复； 采购组织形式为部门自行采购的，由项目单位（采购项目所在的部门）负责供应商质疑答复；学校委托采购代理机构采购的，由采购代理机构在委托授权范围内作出答复。</w:t>
      </w:r>
    </w:p>
    <w:p>
      <w:pPr>
        <w:pStyle w:val="15"/>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第七条</w:t>
      </w:r>
      <w:r>
        <w:rPr>
          <w:rFonts w:hint="eastAsia" w:ascii="仿宋_GB2312" w:hAnsi="宋体" w:eastAsia="仿宋_GB2312" w:cs="宋体"/>
          <w:color w:val="333333"/>
          <w:szCs w:val="28"/>
        </w:rPr>
        <w:t xml:space="preserve">  国资处、项目单位、采购代理机构应当在采购文件中载明接收质疑函和受理投诉的方式、联系部门、联系电话和通讯地址等信息。</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第八条</w:t>
      </w:r>
      <w:r>
        <w:tab/>
      </w:r>
      <w:r>
        <w:rPr>
          <w:rFonts w:hint="eastAsia"/>
        </w:rPr>
        <w:t xml:space="preserve"> </w:t>
      </w:r>
      <w:r>
        <w:rPr>
          <w:rFonts w:hint="eastAsia" w:ascii="仿宋_GB2312" w:hAnsi="宋体" w:eastAsia="仿宋_GB2312" w:cs="宋体"/>
          <w:color w:val="333333"/>
          <w:szCs w:val="28"/>
        </w:rPr>
        <w:t>供应商可以委托代理人进行质疑和投诉。其授权委托书应当载明代理人的姓名或者单位名称、代理事项、具体权限、期限和相关事项。供应商为自然人的，应当由本人签字；供应商为法人或者其他组织的，应当由法定代表人、主要负责人签字或者盖章，并加盖公章。代理人提出质疑和投诉，应当提交供应商签署的授权委托书。</w:t>
      </w:r>
    </w:p>
    <w:p>
      <w:pPr>
        <w:pStyle w:val="15"/>
        <w:spacing w:after="0"/>
        <w:ind w:right="262" w:firstLine="640"/>
        <w:rPr>
          <w:rFonts w:ascii="仿宋_GB2312" w:hAnsi="宋体" w:eastAsia="仿宋_GB2312" w:cs="宋体"/>
          <w:color w:val="333333"/>
          <w:szCs w:val="28"/>
        </w:rPr>
      </w:pPr>
      <w:r>
        <w:rPr>
          <w:rFonts w:hint="eastAsia" w:ascii="仿宋_GB2312" w:hAnsi="宋体" w:eastAsia="仿宋_GB2312" w:cs="宋体"/>
          <w:b/>
          <w:bCs/>
          <w:color w:val="333333"/>
          <w:szCs w:val="28"/>
        </w:rPr>
        <w:t>第九条</w:t>
      </w:r>
      <w:r>
        <w:rPr>
          <w:spacing w:val="97"/>
        </w:rPr>
        <w:t xml:space="preserve"> </w:t>
      </w:r>
      <w:r>
        <w:rPr>
          <w:rFonts w:hint="eastAsia" w:ascii="仿宋_GB2312" w:hAnsi="宋体" w:eastAsia="仿宋_GB2312" w:cs="宋体"/>
          <w:color w:val="333333"/>
          <w:szCs w:val="28"/>
        </w:rPr>
        <w:t>以联合体形式参加学校采购活动的，其投诉应当由组成联合体的所有供应商共同提出。</w:t>
      </w:r>
    </w:p>
    <w:p>
      <w:pPr>
        <w:spacing w:before="240" w:beforeLines="100" w:after="240" w:afterLines="100"/>
        <w:jc w:val="center"/>
        <w:rPr>
          <w:rFonts w:ascii="仿宋_GB2312" w:hAnsi="黑体" w:eastAsia="仿宋_GB2312" w:cs="宋体"/>
          <w:b/>
          <w:bCs/>
          <w:color w:val="333333"/>
          <w:szCs w:val="28"/>
        </w:rPr>
      </w:pPr>
      <w:r>
        <w:rPr>
          <w:rFonts w:hint="eastAsia" w:ascii="仿宋_GB2312" w:hAnsi="黑体" w:eastAsia="仿宋_GB2312" w:cs="宋体"/>
          <w:b/>
          <w:bCs/>
          <w:color w:val="333333"/>
          <w:szCs w:val="28"/>
        </w:rPr>
        <w:t>第二章 质疑的提出</w:t>
      </w:r>
    </w:p>
    <w:p>
      <w:pPr>
        <w:pStyle w:val="15"/>
        <w:spacing w:after="0"/>
        <w:ind w:right="122"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第十条  </w:t>
      </w:r>
      <w:r>
        <w:rPr>
          <w:rFonts w:hint="eastAsia" w:ascii="仿宋_GB2312" w:hAnsi="宋体" w:eastAsia="仿宋_GB2312" w:cs="宋体"/>
          <w:color w:val="333333"/>
          <w:szCs w:val="28"/>
        </w:rPr>
        <w:t>校内自主采购活动中，供应商认为采购文件、采购过程、中标或者成交结果使自己的权益受到损害的，可以在知道或者应知其权益受到损害之日起 7 个工作日内，以书面形式向国资处、项目单位、采购代理机构提出质疑。采购文件可以要求供应商在质疑期内一次性提出针对同一采购程序环节的质疑。</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第十一条  </w:t>
      </w:r>
      <w:r>
        <w:rPr>
          <w:rFonts w:hint="eastAsia" w:ascii="仿宋_GB2312" w:hAnsi="宋体" w:eastAsia="仿宋_GB2312" w:cs="宋体"/>
          <w:color w:val="333333"/>
          <w:szCs w:val="28"/>
        </w:rPr>
        <w:t>校内自主采购活动中，提出质疑的供应商（以下简称质疑供应商）应当是参与所质疑项目采购活动的供应商。潜在供应商已依法依规获取其可质疑的采购文件的，可以对该文件提出质疑。对采购文件提出质疑的，应当在采购文件规定的时间内提出。</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b/>
          <w:bCs/>
          <w:color w:val="333333"/>
          <w:szCs w:val="28"/>
        </w:rPr>
        <w:t xml:space="preserve">第十二条  </w:t>
      </w:r>
      <w:r>
        <w:rPr>
          <w:rFonts w:hint="eastAsia" w:ascii="仿宋_GB2312" w:hAnsi="宋体" w:eastAsia="仿宋_GB2312" w:cs="宋体"/>
          <w:color w:val="333333"/>
          <w:szCs w:val="28"/>
        </w:rPr>
        <w:t>校内自主采购活动中，供应商提出质疑应当提交质疑函和必要的证明材料。质疑函应当包括下列内容：</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（一）供应商的姓名或者单位名称、地址、邮编、联系人及联系电话；</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（二）质疑项目的名称、编号；</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（三）具体、明确的质疑事项和与质疑事项相关的请求；</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（四）事实依据；</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（五）必要的法律依据；</w:t>
      </w:r>
    </w:p>
    <w:p>
      <w:pPr>
        <w:pStyle w:val="15"/>
        <w:spacing w:after="0"/>
        <w:ind w:right="119" w:firstLine="640"/>
        <w:rPr>
          <w:rFonts w:ascii="仿宋_GB2312" w:hAnsi="宋体" w:eastAsia="仿宋_GB2312" w:cs="宋体"/>
          <w:color w:val="333333"/>
          <w:szCs w:val="28"/>
        </w:rPr>
      </w:pPr>
      <w:r>
        <w:rPr>
          <w:rFonts w:hint="eastAsia" w:ascii="仿宋_GB2312" w:hAnsi="宋体" w:eastAsia="仿宋_GB2312" w:cs="宋体"/>
          <w:color w:val="333333"/>
          <w:szCs w:val="28"/>
        </w:rPr>
        <w:t>（六）提出质疑的日期。供应商为自然人的，应当由本人签字；供应商为法人或者其他组织的，应当由法定代表人、主要负责人，或者其授权代表签字或者盖章，并加盖公章。</w:t>
      </w:r>
    </w:p>
    <w:p>
      <w:pPr>
        <w:pStyle w:val="15"/>
        <w:spacing w:after="0"/>
        <w:ind w:right="259" w:firstLine="640"/>
      </w:pPr>
      <w:r>
        <w:rPr>
          <w:rFonts w:hint="eastAsia" w:ascii="仿宋_GB2312" w:hAnsi="宋体" w:eastAsia="仿宋_GB2312" w:cs="宋体"/>
          <w:b/>
          <w:bCs/>
          <w:color w:val="333333"/>
          <w:szCs w:val="28"/>
        </w:rPr>
        <w:t xml:space="preserve">第十三条  </w:t>
      </w:r>
      <w:r>
        <w:rPr>
          <w:rFonts w:hint="eastAsia" w:ascii="仿宋_GB2312" w:hAnsi="宋体" w:eastAsia="仿宋_GB2312" w:cs="宋体"/>
          <w:color w:val="333333"/>
          <w:szCs w:val="28"/>
        </w:rPr>
        <w:t>供应商的书面质疑如不符合本办法第十二条的规定，国资处、项目单位、采购代理机构应及时书面告知其补充或修改书面质疑材料的具体内容，并规定重新提交书面质疑的期限。</w:t>
      </w:r>
    </w:p>
    <w:p>
      <w:pPr>
        <w:spacing w:before="240" w:beforeLines="100" w:after="240" w:afterLines="100"/>
        <w:jc w:val="center"/>
        <w:rPr>
          <w:rFonts w:ascii="仿宋_GB2312" w:hAnsi="微软雅黑" w:eastAsia="仿宋_GB2312"/>
          <w:color w:val="3E3E3E"/>
          <w:szCs w:val="28"/>
        </w:rPr>
      </w:pPr>
      <w:r>
        <w:rPr>
          <w:rFonts w:hint="eastAsia" w:ascii="仿宋_GB2312" w:hAnsi="黑体" w:eastAsia="仿宋_GB2312"/>
          <w:b/>
          <w:color w:val="3E3E3E"/>
          <w:szCs w:val="28"/>
        </w:rPr>
        <w:t>第三章  质疑的答复</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第十四条  </w:t>
      </w:r>
      <w:r>
        <w:rPr>
          <w:rFonts w:hint="eastAsia" w:ascii="仿宋_GB2312" w:hAnsi="宋体" w:eastAsia="仿宋_GB2312" w:cs="Calibri"/>
          <w:color w:val="333333"/>
          <w:szCs w:val="28"/>
        </w:rPr>
        <w:t>校内自主采购活动中，国资处、项目单位、采购代理机构不得拒收质疑供应商在法定质疑期内发出的质疑函，应当在收到质疑函后 7 个工作日内作出答复，并以书面形式通知质疑供应商。</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第十五条  </w:t>
      </w:r>
      <w:r>
        <w:rPr>
          <w:rFonts w:hint="eastAsia" w:ascii="仿宋_GB2312" w:hAnsi="宋体" w:eastAsia="仿宋_GB2312" w:cs="Calibri"/>
          <w:color w:val="333333"/>
          <w:szCs w:val="28"/>
        </w:rPr>
        <w:t>供应商的书面质疑属于下列情形之一的，国资处、项目单位、采购代理机构可不予受理，并以书面形式告知其不予受理的原因：</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（一）未通过资格审核，或未参与该采购项目活动的供应商；</w:t>
      </w:r>
    </w:p>
    <w:p>
      <w:pPr>
        <w:pStyle w:val="15"/>
        <w:spacing w:after="0"/>
        <w:ind w:right="247" w:firstLine="640"/>
        <w:rPr>
          <w:w w:val="99"/>
        </w:rPr>
      </w:pPr>
      <w:r>
        <w:rPr>
          <w:rFonts w:hint="eastAsia" w:ascii="仿宋_GB2312" w:hAnsi="宋体" w:eastAsia="仿宋_GB2312" w:cs="Calibri"/>
          <w:color w:val="333333"/>
          <w:szCs w:val="28"/>
        </w:rPr>
        <w:t>（二）已超过法律规定或采购文件约定的质疑期限。</w:t>
      </w:r>
      <w:r>
        <w:rPr>
          <w:w w:val="99"/>
        </w:rPr>
        <w:t xml:space="preserve"> </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第十六条  </w:t>
      </w:r>
      <w:r>
        <w:rPr>
          <w:rFonts w:hint="eastAsia" w:ascii="仿宋_GB2312" w:hAnsi="宋体" w:eastAsia="仿宋_GB2312" w:cs="Calibri"/>
          <w:color w:val="333333"/>
          <w:szCs w:val="28"/>
        </w:rPr>
        <w:t>国资处、项目单位可就供应商的质疑事项进行调查取证，有关当事人应当如实反映情况和提供有关材料。</w:t>
      </w:r>
    </w:p>
    <w:p>
      <w:pPr>
        <w:pStyle w:val="15"/>
        <w:spacing w:after="0"/>
        <w:ind w:right="10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第十七条  </w:t>
      </w:r>
      <w:r>
        <w:rPr>
          <w:rFonts w:hint="eastAsia" w:ascii="仿宋_GB2312" w:hAnsi="宋体" w:eastAsia="仿宋_GB2312" w:cs="Calibri"/>
          <w:color w:val="333333"/>
          <w:szCs w:val="28"/>
        </w:rPr>
        <w:t>校内自主采购活动中，供应商对评审过程、中标或者成交结果提出质疑的，国资处、项目单位、采购代理机构可以组织原采购评审小组共同答复质疑。</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第十八条  </w:t>
      </w:r>
      <w:r>
        <w:rPr>
          <w:rFonts w:hint="eastAsia" w:ascii="仿宋_GB2312" w:hAnsi="宋体" w:eastAsia="仿宋_GB2312" w:cs="Calibri"/>
          <w:color w:val="333333"/>
          <w:szCs w:val="28"/>
        </w:rPr>
        <w:t>校内自主采购活动中，质疑答复应当包括下列内容：</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（一）质疑供应商的姓名或者单位名称；</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（二）收到质疑函的日期、质疑项目名称及编号；</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（三）质疑事项、质疑答复的具体内容、事实依据和法律及相关政策规定等依据；</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（四）告知质疑供应商依法投诉的权利；</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（五）质疑答复人名称；</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（六）答复质疑的日期。</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Calibri"/>
          <w:color w:val="333333"/>
          <w:szCs w:val="28"/>
        </w:rPr>
        <w:t>质疑答复的内容不得涉及商业秘密。</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第十九条  </w:t>
      </w:r>
      <w:r>
        <w:rPr>
          <w:rFonts w:hint="eastAsia" w:ascii="仿宋_GB2312" w:hAnsi="宋体" w:eastAsia="仿宋_GB2312" w:cs="Calibri"/>
          <w:color w:val="333333"/>
          <w:szCs w:val="28"/>
        </w:rPr>
        <w:t>校内自主采购活动中，国资处、项目单位、采购代理机构认为供应商质疑不成立，或者成立但未对中标、成交结果构成影响的，继续开展采购活动；认为供应商质疑成立且影响或者可能影响中标、成交结果的，按照下列情况处理：</w:t>
      </w:r>
    </w:p>
    <w:p>
      <w:pPr>
        <w:pStyle w:val="15"/>
        <w:spacing w:after="0"/>
        <w:ind w:right="247" w:firstLine="480"/>
        <w:rPr>
          <w:rFonts w:ascii="仿宋_GB2312" w:hAnsi="宋体" w:eastAsia="仿宋_GB2312" w:cs="Calibri"/>
          <w:color w:val="333333"/>
          <w:szCs w:val="28"/>
        </w:rPr>
      </w:pPr>
      <w:r>
        <w:rPr>
          <w:rFonts w:hint="eastAsia" w:ascii="仿宋_GB2312" w:hAnsi="宋体" w:eastAsia="仿宋_GB2312" w:cs="Calibri"/>
          <w:color w:val="333333"/>
          <w:szCs w:val="28"/>
        </w:rPr>
        <w:t>（一）对采购文件提出的质疑，依法通过澄清或者修改可以继续开展采购活动的，澄清或者修改采购文件后继续开展采购活动；否则应当修改采购文件后重新开展采购活动；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5"/>
        <w:spacing w:after="0"/>
        <w:ind w:firstLine="640"/>
        <w:jc w:val="left"/>
        <w:rPr>
          <w:rFonts w:ascii="仿宋_GB2312" w:hAnsi="宋体" w:eastAsia="仿宋_GB2312" w:cs="Calibri"/>
          <w:color w:val="333333"/>
          <w:szCs w:val="28"/>
        </w:rPr>
      </w:pPr>
      <w:r>
        <w:rPr>
          <w:rFonts w:hint="eastAsia" w:ascii="仿宋_GB2312" w:hAnsi="宋体" w:eastAsia="仿宋_GB2312" w:cs="Calibri"/>
          <w:color w:val="333333"/>
          <w:szCs w:val="28"/>
        </w:rPr>
        <w:t>质疑答复导致中标、成交结果改变的，国资处、项目单位应当将有关情况书面报告纪委办公室。</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第四章  投诉的提起</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第二十条  </w:t>
      </w:r>
      <w:r>
        <w:rPr>
          <w:rFonts w:hint="eastAsia" w:ascii="仿宋_GB2312" w:hAnsi="宋体" w:eastAsia="仿宋_GB2312" w:cs="Calibri"/>
          <w:color w:val="333333"/>
          <w:szCs w:val="28"/>
        </w:rPr>
        <w:t>校内自主采购活动中，校纪委办公室负责接收和处理供应商的投诉。质疑供应商对国资处、项目单位、采购代理机构的答复不满意，或者国资处、项目单位、采购代理机构未在规定时间内作出答复的，可以在答复期满后7个工作日内向学校纪委办公室提起投诉。国资处、项目单位、采购代理机构在采购活动中未正常履职、存在违规违纪行为的，可向学校纪委办公室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第二十一条</w:t>
      </w:r>
      <w:r>
        <w:tab/>
      </w:r>
      <w:r>
        <w:rPr>
          <w:rFonts w:hint="eastAsia" w:ascii="仿宋_GB2312" w:hAnsi="宋体" w:eastAsia="仿宋_GB2312" w:cs="Calibri"/>
          <w:color w:val="333333"/>
          <w:szCs w:val="28"/>
        </w:rPr>
        <w:t>校内自主采购活动中，投诉人投诉时,应当提交投诉书和必要的证明材料。投诉书应当包括下列内容：</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 址、邮编、联系人及联系电话；</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（二）质疑和质疑答复情况说明及相关证明材料；</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（三）具体、明确的投诉事项和与投诉事项相关的投诉请求；</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（四）事实依据；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（五）法律依据；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 xml:space="preserve">（六）提起投诉的日期。 </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投诉人为自然人的，应当由本人签字；投诉人为法人或者其他组织的，应当由法定代表人、主要负责人，或者其授权代表签字或者盖章，并加盖公章。</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第二十二条</w:t>
      </w:r>
      <w:r>
        <w:tab/>
      </w:r>
      <w:r>
        <w:rPr>
          <w:rFonts w:hint="eastAsia" w:ascii="仿宋_GB2312" w:hAnsi="宋体" w:eastAsia="仿宋_GB2312" w:cs="Calibri"/>
          <w:color w:val="333333"/>
          <w:szCs w:val="28"/>
        </w:rPr>
        <w:t>投诉人应当根据本办法第七条规定的信息内容，并按照其规定的方式提起投诉。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投诉人提起投诉应当符合下列条件：</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（一）提起投诉前已依法、依规进行质疑；</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（二）投诉书内容符合本办法的规定；</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（三）在投诉有效期限内提起投诉；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（四）同一投诉事项未经投诉处理。</w:t>
      </w:r>
    </w:p>
    <w:p>
      <w:pPr>
        <w:pStyle w:val="15"/>
        <w:tabs>
          <w:tab w:val="left" w:pos="2762"/>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第二十三条  </w:t>
      </w:r>
      <w:r>
        <w:rPr>
          <w:rFonts w:hint="eastAsia" w:ascii="仿宋_GB2312" w:hAnsi="宋体" w:eastAsia="仿宋_GB2312" w:cs="Calibri"/>
          <w:color w:val="333333"/>
          <w:szCs w:val="28"/>
        </w:rPr>
        <w:t>供应商投诉的事项不得超出已质疑事项的范围，但基于质疑答复内容提出的投诉事项除外。</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第五章  投诉的处理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第二十四条  </w:t>
      </w:r>
      <w:r>
        <w:rPr>
          <w:rFonts w:hint="eastAsia" w:ascii="仿宋_GB2312" w:hAnsi="宋体" w:eastAsia="仿宋_GB2312" w:cs="Calibri"/>
          <w:color w:val="333333"/>
          <w:szCs w:val="28"/>
        </w:rPr>
        <w:t>纪委办公室收到投诉书后，应当在 5 个工作日内进行审查，审查后按照下列情况处理：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（一）投诉书内容不符合本办法第二十一条规定的，应当在收到投诉书 5 个工作日内一次性书面通知投诉人补正。补正通知应当载明需要补正的事项和合理的补正期限。未按照补正期限进行补正或者补正后仍不符合规定的，不予受理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（二）投诉不符合本办法第二十二条规定条件的，应当在 3 个工作日内书面告知投诉人不予受理，并说明理由；</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（三）投诉不属于本部门管辖的，应当在 3 个工作日内书面告知投诉人向有管辖权的部门提起投诉；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（四）投诉符合本办法第二十一条、第二十二条规定的，自收到投诉书之日起即为受理，并在收到投诉后 8 个工作日 内向被投诉人和其他与投诉事项有关的当事人发出投诉答复通知书及投诉书副本。</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第二十五条</w:t>
      </w:r>
      <w:r>
        <w:rPr>
          <w:spacing w:val="99"/>
        </w:rPr>
        <w:t xml:space="preserve"> </w:t>
      </w:r>
      <w:r>
        <w:rPr>
          <w:rFonts w:hint="eastAsia" w:ascii="仿宋_GB2312" w:hAnsi="宋体" w:eastAsia="仿宋_GB2312" w:cs="Calibri"/>
          <w:color w:val="333333"/>
          <w:szCs w:val="28"/>
        </w:rPr>
        <w:t>国资处、项目单位和其他与投诉事项有关的当事人应当在收到投诉答复通知书及投诉书副本之日起 5 个工作日内，以书面形式向纪委办公室作出说明，并提交相关证据、依据和其他有关材料。</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第二十六条</w:t>
      </w:r>
      <w:r>
        <w:rPr>
          <w:spacing w:val="124"/>
        </w:rPr>
        <w:t xml:space="preserve"> </w:t>
      </w:r>
      <w:r>
        <w:rPr>
          <w:rFonts w:hint="eastAsia" w:ascii="仿宋_GB2312" w:hAnsi="宋体" w:eastAsia="仿宋_GB2312" w:cs="Calibri"/>
          <w:color w:val="333333"/>
          <w:szCs w:val="28"/>
        </w:rPr>
        <w:t>纪委办公室处理投诉事项原则上采用书面审查的方式。纪委办公室认为有必要时，可以进行调查取证或者组织质证。</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第二十七条</w:t>
      </w:r>
      <w:r>
        <w:rPr>
          <w:spacing w:val="101"/>
        </w:rPr>
        <w:t xml:space="preserve"> </w:t>
      </w:r>
      <w:r>
        <w:rPr>
          <w:rFonts w:hint="eastAsia" w:ascii="仿宋_GB2312" w:hAnsi="宋体" w:eastAsia="仿宋_GB2312" w:cs="Calibri"/>
          <w:color w:val="333333"/>
          <w:szCs w:val="28"/>
        </w:rPr>
        <w:t>纪委办公室可以根据法律、法规规定或者职责权限，委托相关单位或者第三方开展调查取证、检验、检测、鉴定。质证应当通知相关当事人到场，并制作质证笔录。质证笔录应当由当事人签字确认。</w:t>
      </w:r>
    </w:p>
    <w:p>
      <w:pPr>
        <w:pStyle w:val="15"/>
        <w:spacing w:after="0"/>
        <w:ind w:right="247"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第二十八条</w:t>
      </w:r>
      <w:r>
        <w:rPr>
          <w:spacing w:val="98"/>
        </w:rPr>
        <w:t xml:space="preserve"> </w:t>
      </w:r>
      <w:r>
        <w:rPr>
          <w:rFonts w:hint="eastAsia" w:ascii="仿宋_GB2312" w:hAnsi="宋体" w:eastAsia="仿宋_GB2312" w:cs="Calibri"/>
          <w:color w:val="333333"/>
          <w:szCs w:val="28"/>
        </w:rPr>
        <w:t>纪委办公室依法、依规进行调查取证时，投诉人、国资处、项目单位以及与投诉事项有关的部门及人员应当如实反映情况，并提供纪委办公室所需要的相关材料。</w:t>
      </w:r>
    </w:p>
    <w:p>
      <w:pPr>
        <w:pStyle w:val="15"/>
        <w:spacing w:after="0"/>
        <w:ind w:right="101"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第二十九条</w:t>
      </w:r>
      <w:r>
        <w:rPr>
          <w:spacing w:val="116"/>
        </w:rPr>
        <w:t xml:space="preserve"> </w:t>
      </w:r>
      <w:r>
        <w:rPr>
          <w:rFonts w:hint="eastAsia" w:ascii="仿宋_GB2312" w:hAnsi="宋体" w:eastAsia="仿宋_GB2312" w:cs="Calibri"/>
          <w:color w:val="333333"/>
          <w:szCs w:val="28"/>
        </w:rPr>
        <w:t>应当由投诉人承担举证责任的投诉事项， 投诉人未提供相关证据、依据和其他有关材料的，视为该投诉事项不成立；国资处、项目单位以及与投诉事项有关的部门及人员未按照投诉答复通知书要求提交相关证据、依据和其他有关材料的，视同其放弃说明权利，依法承担不利后果。</w:t>
      </w:r>
    </w:p>
    <w:p>
      <w:pPr>
        <w:pStyle w:val="15"/>
        <w:spacing w:after="0"/>
        <w:ind w:right="26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第三十条 </w:t>
      </w:r>
      <w:r>
        <w:rPr>
          <w:rFonts w:hint="eastAsia" w:ascii="仿宋_GB2312" w:hAnsi="宋体" w:eastAsia="仿宋_GB2312" w:cs="Calibri"/>
          <w:color w:val="333333"/>
          <w:szCs w:val="28"/>
        </w:rPr>
        <w:t>纪委办公室应当自收到投诉之日起 30 个工作日内，对投诉事项作出处理决定。</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第三十一条</w:t>
      </w:r>
      <w:r>
        <w:rPr>
          <w:spacing w:val="100"/>
        </w:rPr>
        <w:t xml:space="preserve"> </w:t>
      </w:r>
      <w:r>
        <w:rPr>
          <w:rFonts w:hint="eastAsia" w:ascii="仿宋_GB2312" w:hAnsi="宋体" w:eastAsia="仿宋_GB2312" w:cs="Calibri"/>
          <w:color w:val="333333"/>
          <w:szCs w:val="28"/>
        </w:rPr>
        <w:t>纪委办公室处理投诉事项，需要检验、检测、鉴定、专家评审以及需要投诉人补正材料的，所需时间不计算在投诉处理期限内。前款所称所需时间，是指纪委办公室向相关单位、第三方、投诉人发出相关文书、补正通知之日至收到相关反馈文书或材料之日。纪委办公室向相关单位、第三方开展检验、检测、鉴定、专家评审的，应当将所需时间告知投诉人。</w:t>
      </w:r>
    </w:p>
    <w:p>
      <w:pPr>
        <w:pStyle w:val="15"/>
        <w:spacing w:after="0"/>
        <w:ind w:right="259"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第三十二条</w:t>
      </w:r>
      <w:r>
        <w:rPr>
          <w:spacing w:val="99"/>
        </w:rPr>
        <w:t xml:space="preserve"> </w:t>
      </w:r>
      <w:r>
        <w:rPr>
          <w:rFonts w:hint="eastAsia" w:ascii="仿宋_GB2312" w:hAnsi="宋体" w:eastAsia="仿宋_GB2312" w:cs="Calibri"/>
          <w:color w:val="333333"/>
          <w:szCs w:val="28"/>
        </w:rPr>
        <w:t>纪委办公室在处理投诉事项期间，可以视具体情况书面通知国资处、项目单位、采购代理机构暂停采购活动，暂停采购活动时间最长不得超过 30 日。</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国资处、项目单位、采购代理机构收到暂停采购活动通知后应当立即中止采购活动，在法定的暂停期限结束前或者 纪委办公室发出恢复采购活动通知前，不得进行该项采购活动。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第三十三条</w:t>
      </w:r>
      <w:r>
        <w:rPr>
          <w:spacing w:val="100"/>
        </w:rPr>
        <w:t xml:space="preserve"> </w:t>
      </w:r>
      <w:r>
        <w:rPr>
          <w:rFonts w:hint="eastAsia" w:ascii="仿宋_GB2312" w:hAnsi="宋体" w:eastAsia="仿宋_GB2312" w:cs="Calibri"/>
          <w:color w:val="333333"/>
          <w:szCs w:val="28"/>
        </w:rPr>
        <w:t>投诉处理过程中，有下列情形之一的，纪委办公室应当驳回投诉：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（一）发现投诉不符合受理条件；</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（二）投诉事项缺乏事实依据，投诉事项不成立；</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（三）投诉人捏造事实或者提供虚假材料；</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（四）投诉人以非法手段取得证明材料。证据来源的合法性存在明显疑问，投诉人无法证明其取得方式合法的，视为以非法手段取得证明材料。</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第三十四条  </w:t>
      </w:r>
      <w:r>
        <w:rPr>
          <w:rFonts w:hint="eastAsia" w:ascii="仿宋_GB2312" w:hAnsi="宋体" w:eastAsia="仿宋_GB2312" w:cs="Calibri"/>
          <w:color w:val="333333"/>
          <w:szCs w:val="28"/>
        </w:rPr>
        <w:t>纪委办公室受理投诉后,投诉人书面申请撤回投诉的，纪委办公室应当终止投诉处理程序，并书面告知相关当事人。</w:t>
      </w:r>
    </w:p>
    <w:p>
      <w:pPr>
        <w:pStyle w:val="15"/>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第三十五条  </w:t>
      </w:r>
      <w:r>
        <w:rPr>
          <w:rFonts w:hint="eastAsia" w:ascii="仿宋_GB2312" w:hAnsi="宋体" w:eastAsia="仿宋_GB2312" w:cs="Calibri"/>
          <w:color w:val="333333"/>
          <w:szCs w:val="28"/>
        </w:rPr>
        <w:t>投诉人对采购文件提起的投诉事项，纪委办公室经查证属实的，应当认定投诉事项成立。经认定成立的投诉事项不影响采购结果的，继续开展采购活动；影响或者可能影响采购结果的，纪委办公室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第三十六条  </w:t>
      </w:r>
      <w:r>
        <w:rPr>
          <w:rFonts w:hint="eastAsia" w:ascii="仿宋_GB2312" w:hAnsi="宋体" w:eastAsia="仿宋_GB2312" w:cs="Calibri"/>
          <w:color w:val="333333"/>
          <w:szCs w:val="28"/>
        </w:rPr>
        <w:t>投诉人对采购过程或者采购结果提起的 投诉事项，纪委办公室经查证属实的，应当认定投诉事项成立。经认定成立的投诉事项不影响采购结果的，继续开展采购活动；影响或者可能影响采购结果的，纪委办公室按照下列情况处理：</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（一）未确定中标或者成交供应商的，责令重新开展采购活动；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（四）采购合同已经履行，给他人造成损失的，相关当事人可依法提起诉讼,由责任人承担赔偿责任。投诉人对废标行为提起的投诉事项成立的，纪委办公室应当认定废标行为无效。</w:t>
      </w:r>
    </w:p>
    <w:p>
      <w:pPr>
        <w:pStyle w:val="15"/>
        <w:spacing w:after="0"/>
        <w:ind w:right="260"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第三十七条  </w:t>
      </w:r>
      <w:r>
        <w:rPr>
          <w:rFonts w:hint="eastAsia" w:ascii="仿宋_GB2312" w:hAnsi="宋体" w:eastAsia="仿宋_GB2312" w:cs="Calibri"/>
          <w:color w:val="333333"/>
          <w:szCs w:val="28"/>
        </w:rPr>
        <w:t>纪委办公室作出处理决定，应当制作投诉处理决定书，并加盖公章。投诉处理决定书应当包括下列内容：</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（一）投诉人和被投诉人的姓名或者单位名称、通讯地址等；</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（二）处理决定查明的事实和相关依据，具体处理决定和法律依据；</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（三）告知相关当事人向上级主管部门投诉或提起民事诉讼的权利；</w:t>
      </w:r>
    </w:p>
    <w:p>
      <w:pPr>
        <w:pStyle w:val="15"/>
        <w:spacing w:after="0"/>
        <w:ind w:right="260" w:firstLine="480"/>
        <w:rPr>
          <w:rFonts w:ascii="仿宋_GB2312" w:hAnsi="宋体" w:eastAsia="仿宋_GB2312" w:cs="Calibri"/>
          <w:color w:val="333333"/>
          <w:szCs w:val="28"/>
        </w:rPr>
      </w:pPr>
      <w:r>
        <w:rPr>
          <w:rFonts w:hint="eastAsia" w:ascii="仿宋_GB2312" w:hAnsi="宋体" w:eastAsia="仿宋_GB2312" w:cs="Calibri"/>
          <w:color w:val="333333"/>
          <w:szCs w:val="28"/>
        </w:rPr>
        <w:t>（四）作出处理决定的日期。</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第三十八条  </w:t>
      </w:r>
      <w:r>
        <w:rPr>
          <w:rFonts w:hint="eastAsia" w:ascii="仿宋_GB2312" w:hAnsi="宋体" w:eastAsia="仿宋_GB2312" w:cs="Calibri"/>
          <w:color w:val="333333"/>
          <w:szCs w:val="28"/>
        </w:rPr>
        <w:t>纪委办公室应当将投诉处理决定书送达投诉人和与投诉事项有关的当事人，并及时将投诉处理结果在校园网公告。</w:t>
      </w:r>
    </w:p>
    <w:p>
      <w:pPr>
        <w:pStyle w:val="15"/>
        <w:tabs>
          <w:tab w:val="left" w:pos="2680"/>
        </w:tabs>
        <w:spacing w:after="0"/>
        <w:ind w:firstLine="562" w:firstLineChars="20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第三十九条  </w:t>
      </w:r>
      <w:r>
        <w:rPr>
          <w:rFonts w:hint="eastAsia" w:ascii="仿宋_GB2312" w:hAnsi="宋体" w:eastAsia="仿宋_GB2312" w:cs="Calibri"/>
          <w:color w:val="333333"/>
          <w:szCs w:val="28"/>
        </w:rPr>
        <w:t>纪委办公室应当完善投诉处理档案管理。</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第六章  法律责任</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第四十条  </w:t>
      </w:r>
      <w:r>
        <w:rPr>
          <w:rFonts w:hint="eastAsia" w:ascii="仿宋_GB2312" w:hAnsi="宋体" w:eastAsia="仿宋_GB2312" w:cs="Calibri"/>
          <w:color w:val="333333"/>
          <w:szCs w:val="28"/>
        </w:rPr>
        <w:t>国资处、项目部门、采购代理机构有下列情形之一的，由纪委办公室责令限期改正；情节严重的，给予警告，对直接负责的主管人员和其他直接责任人员依法依规追究相应责任：</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（一）拒收质疑供应商在质疑期内发出的质疑函；</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（二）对质疑不予答复或者答复与事实明显不符，并不能作出合理说明；</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（三）拒绝配合纪委办公室处理投诉事宜。</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宋体"/>
          <w:b/>
          <w:bCs/>
          <w:color w:val="333333"/>
          <w:szCs w:val="28"/>
        </w:rPr>
        <w:t>第四十一条</w:t>
      </w:r>
      <w:r>
        <w:tab/>
      </w:r>
      <w:r>
        <w:rPr>
          <w:rFonts w:hint="eastAsia"/>
        </w:rPr>
        <w:t xml:space="preserve">  </w:t>
      </w:r>
      <w:r>
        <w:rPr>
          <w:rFonts w:hint="eastAsia" w:ascii="仿宋_GB2312" w:hAnsi="宋体" w:eastAsia="仿宋_GB2312" w:cs="Calibri"/>
          <w:color w:val="333333"/>
          <w:szCs w:val="28"/>
        </w:rPr>
        <w:t>投诉人在学校采购活动中 12 个月内三次以上投诉查无实据的，列入不良行为记录名单。</w:t>
      </w:r>
    </w:p>
    <w:p>
      <w:pPr>
        <w:pStyle w:val="15"/>
        <w:spacing w:after="0"/>
        <w:ind w:right="122" w:firstLine="640"/>
        <w:rPr>
          <w:rFonts w:ascii="仿宋_GB2312" w:hAnsi="宋体" w:eastAsia="仿宋_GB2312" w:cs="Calibri"/>
          <w:color w:val="333333"/>
          <w:szCs w:val="28"/>
        </w:rPr>
      </w:pPr>
      <w:r>
        <w:rPr>
          <w:rFonts w:hint="eastAsia" w:ascii="仿宋_GB2312" w:hAnsi="宋体" w:eastAsia="仿宋_GB2312" w:cs="Calibri"/>
          <w:color w:val="333333"/>
          <w:szCs w:val="28"/>
        </w:rPr>
        <w:t>投诉人有下列行为之一的，属于虚假、恶意投诉，由国资处、项目单位、纪委办公室列入不良行为记录名单，禁止 其 1 至 3 年内参加学校采购活动：</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（一）捏造事实;</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（二）提供虚假材料;</w:t>
      </w:r>
    </w:p>
    <w:p>
      <w:pPr>
        <w:jc w:val="left"/>
        <w:rPr>
          <w:rFonts w:ascii="仿宋_GB2312" w:hAnsi="宋体" w:eastAsia="仿宋_GB2312" w:cs="Calibri"/>
          <w:color w:val="333333"/>
          <w:szCs w:val="28"/>
        </w:rPr>
      </w:pPr>
      <w:r>
        <w:rPr>
          <w:rFonts w:hint="eastAsia" w:ascii="仿宋_GB2312" w:hAnsi="宋体" w:eastAsia="仿宋_GB2312" w:cs="Calibri"/>
          <w:color w:val="333333"/>
          <w:szCs w:val="28"/>
        </w:rPr>
        <w:t>（三）以非法手段取得证明材料。证据来源的合法性存在明显疑问，投诉人无法证明其取得方式合法的，视为以非法手段取得证明材料。</w:t>
      </w:r>
    </w:p>
    <w:p>
      <w:pPr>
        <w:pStyle w:val="15"/>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第四十二条  </w:t>
      </w:r>
      <w:r>
        <w:rPr>
          <w:rFonts w:hint="eastAsia" w:ascii="仿宋_GB2312" w:hAnsi="宋体" w:eastAsia="仿宋_GB2312" w:cs="Calibri"/>
          <w:color w:val="333333"/>
          <w:szCs w:val="28"/>
        </w:rPr>
        <w:t xml:space="preserve">国资处、项目单位在处理质疑过程中，发现采购当事人有违法违规行为的，应在规定的权限范围内及时给予处理；无权处理的，应移交有关部门依法依规处理。 </w:t>
      </w:r>
    </w:p>
    <w:p>
      <w:pPr>
        <w:pStyle w:val="15"/>
        <w:tabs>
          <w:tab w:val="left" w:pos="1919"/>
        </w:tabs>
        <w:spacing w:after="0"/>
        <w:ind w:right="122" w:firstLine="562" w:firstLineChars="200"/>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第四十三条  </w:t>
      </w:r>
      <w:r>
        <w:rPr>
          <w:rFonts w:hint="eastAsia" w:ascii="仿宋_GB2312" w:hAnsi="宋体" w:eastAsia="仿宋_GB2312" w:cs="Calibri"/>
          <w:color w:val="333333"/>
          <w:szCs w:val="28"/>
        </w:rPr>
        <w:t>国资处、项目单位和纪委办公室的工作人员在处理质疑、投诉过程中违反本办法规定及存在滥用职 权、玩忽职守、徇私舞弊等行为的，学校将依法依规追究其相应责任。</w:t>
      </w:r>
    </w:p>
    <w:p>
      <w:pPr>
        <w:spacing w:before="240" w:beforeLines="100" w:after="240" w:afterLines="100"/>
        <w:jc w:val="center"/>
        <w:rPr>
          <w:rFonts w:ascii="仿宋_GB2312" w:hAnsi="黑体" w:eastAsia="仿宋_GB2312" w:cs="Calibri"/>
          <w:b/>
          <w:color w:val="3E3E3E"/>
          <w:szCs w:val="28"/>
        </w:rPr>
      </w:pPr>
      <w:r>
        <w:rPr>
          <w:rFonts w:hint="eastAsia" w:ascii="仿宋_GB2312" w:hAnsi="黑体" w:eastAsia="仿宋_GB2312" w:cs="Calibri"/>
          <w:b/>
          <w:color w:val="3E3E3E"/>
          <w:szCs w:val="28"/>
        </w:rPr>
        <w:t>第七章  附则</w:t>
      </w:r>
    </w:p>
    <w:p>
      <w:pPr>
        <w:pStyle w:val="15"/>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第四十四条  </w:t>
      </w:r>
      <w:r>
        <w:rPr>
          <w:rFonts w:hint="eastAsia" w:ascii="仿宋_GB2312" w:hAnsi="宋体" w:eastAsia="仿宋_GB2312" w:cs="Calibri"/>
          <w:color w:val="333333"/>
          <w:szCs w:val="28"/>
        </w:rPr>
        <w:t>质疑函和投诉书应当使用中文。质疑和投诉文本采用我校制定的范本。</w:t>
      </w:r>
    </w:p>
    <w:p>
      <w:pPr>
        <w:pStyle w:val="15"/>
        <w:tabs>
          <w:tab w:val="left" w:pos="2680"/>
        </w:tabs>
        <w:spacing w:after="0"/>
        <w:ind w:right="122" w:firstLine="640"/>
        <w:jc w:val="left"/>
        <w:rPr>
          <w:rFonts w:ascii="仿宋_GB2312" w:hAnsi="宋体" w:eastAsia="仿宋_GB2312" w:cs="Calibri"/>
          <w:color w:val="333333"/>
          <w:szCs w:val="28"/>
        </w:rPr>
      </w:pPr>
      <w:r>
        <w:rPr>
          <w:rFonts w:hint="eastAsia" w:ascii="仿宋_GB2312" w:hAnsi="宋体" w:eastAsia="仿宋_GB2312" w:cs="宋体"/>
          <w:b/>
          <w:bCs/>
          <w:color w:val="333333"/>
          <w:szCs w:val="28"/>
        </w:rPr>
        <w:t xml:space="preserve">第四十五条  </w:t>
      </w:r>
      <w:r>
        <w:rPr>
          <w:rFonts w:hint="eastAsia" w:ascii="仿宋_GB2312" w:hAnsi="宋体" w:eastAsia="仿宋_GB2312" w:cs="Calibri"/>
          <w:color w:val="333333"/>
          <w:szCs w:val="28"/>
        </w:rPr>
        <w:t xml:space="preserve">本办法由学校国有资产管理处负责解释。 </w:t>
      </w:r>
    </w:p>
    <w:p>
      <w:pPr>
        <w:pStyle w:val="15"/>
        <w:tabs>
          <w:tab w:val="left" w:pos="2680"/>
        </w:tabs>
        <w:spacing w:after="0"/>
        <w:ind w:right="122" w:firstLine="640"/>
        <w:jc w:val="left"/>
        <w:rPr>
          <w:rFonts w:ascii="仿宋_GB2312" w:hAnsi="宋体" w:eastAsia="仿宋_GB2312" w:cs="Calibri"/>
          <w:color w:val="333333"/>
          <w:szCs w:val="28"/>
        </w:rPr>
        <w:sectPr>
          <w:pgSz w:w="11906" w:h="16840"/>
          <w:pgMar w:top="1500" w:right="1680" w:bottom="1260" w:left="1680" w:header="0" w:footer="1080" w:gutter="0"/>
          <w:cols w:space="720" w:num="1"/>
        </w:sectPr>
      </w:pPr>
      <w:r>
        <w:rPr>
          <w:rFonts w:hint="eastAsia" w:ascii="仿宋_GB2312" w:hAnsi="宋体" w:eastAsia="仿宋_GB2312" w:cs="宋体"/>
          <w:b/>
          <w:bCs/>
          <w:color w:val="333333"/>
          <w:szCs w:val="28"/>
        </w:rPr>
        <w:t xml:space="preserve">第四十六条  </w:t>
      </w:r>
      <w:r>
        <w:rPr>
          <w:rFonts w:hint="eastAsia" w:ascii="仿宋_GB2312" w:hAnsi="宋体" w:eastAsia="仿宋_GB2312" w:cs="Calibri"/>
          <w:color w:val="333333"/>
          <w:szCs w:val="28"/>
        </w:rPr>
        <w:t>本办法自发布之日起施行，《皖南医学院采购质疑与投诉办法（试行）》（校政〔2018〕69 号）同时废止。</w:t>
      </w:r>
    </w:p>
    <w:p>
      <w:pPr>
        <w:rPr>
          <w:rFonts w:ascii="仿宋_GB2312" w:hAnsi="宋体" w:eastAsia="仿宋_GB2312"/>
          <w:b/>
          <w:szCs w:val="28"/>
        </w:rPr>
      </w:pPr>
      <w:r>
        <w:rPr>
          <w:rFonts w:hint="eastAsia" w:ascii="仿宋_GB2312" w:hAnsi="宋体" w:eastAsia="仿宋_GB2312"/>
          <w:b/>
          <w:szCs w:val="28"/>
        </w:rPr>
        <w:t>附件5：</w:t>
      </w:r>
    </w:p>
    <w:p>
      <w:pPr>
        <w:jc w:val="center"/>
        <w:rPr>
          <w:rFonts w:ascii="仿宋_GB2312" w:hAnsi="仿宋" w:eastAsia="仿宋_GB2312" w:cs="仿宋"/>
          <w:b/>
          <w:bCs/>
          <w:szCs w:val="28"/>
        </w:rPr>
      </w:pPr>
      <w:r>
        <w:rPr>
          <w:rFonts w:hint="eastAsia" w:ascii="仿宋_GB2312" w:hAnsi="仿宋" w:eastAsia="仿宋_GB2312" w:cs="仿宋"/>
          <w:b/>
          <w:bCs/>
          <w:szCs w:val="28"/>
        </w:rPr>
        <w:t>质疑函范本</w:t>
      </w:r>
    </w:p>
    <w:p>
      <w:pPr>
        <w:adjustRightInd w:val="0"/>
        <w:snapToGrid w:val="0"/>
        <w:spacing w:before="312" w:beforeLines="100" w:line="240" w:lineRule="atLeast"/>
        <w:rPr>
          <w:rFonts w:ascii="仿宋_GB2312" w:hAnsi="黑体" w:eastAsia="仿宋_GB2312" w:cs="仿宋"/>
          <w:bCs/>
          <w:szCs w:val="28"/>
        </w:rPr>
      </w:pPr>
      <w:r>
        <w:rPr>
          <w:rFonts w:hint="eastAsia" w:ascii="仿宋_GB2312" w:hAnsi="黑体" w:eastAsia="仿宋_GB2312" w:cs="仿宋"/>
          <w:bCs/>
          <w:szCs w:val="28"/>
        </w:rPr>
        <w:t>一、质疑供应商基本信息</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质疑供应商：</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地址：</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联系人：</w:t>
      </w:r>
      <w:r>
        <w:rPr>
          <w:rFonts w:hint="eastAsia" w:ascii="仿宋_GB2312" w:hAnsi="仿宋" w:eastAsia="仿宋_GB2312" w:cs="仿宋"/>
          <w:szCs w:val="28"/>
          <w:u w:val="dotted"/>
        </w:rPr>
        <w:t xml:space="preserve">                      </w:t>
      </w: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授权代表：</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联系电话：</w:t>
      </w:r>
      <w:r>
        <w:rPr>
          <w:rFonts w:hint="eastAsia" w:ascii="仿宋_GB2312" w:hAnsi="仿宋" w:eastAsia="仿宋_GB2312" w:cs="仿宋"/>
          <w:szCs w:val="28"/>
          <w:u w:val="dotted"/>
        </w:rPr>
        <w:t xml:space="preserve">                                           </w:t>
      </w:r>
      <w:r>
        <w:rPr>
          <w:rFonts w:hint="eastAsia" w:ascii="仿宋_GB2312" w:hAnsi="仿宋" w:eastAsia="仿宋_GB2312" w:cs="仿宋"/>
          <w:szCs w:val="28"/>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 xml:space="preserve">地址： </w:t>
      </w:r>
      <w:r>
        <w:rPr>
          <w:rFonts w:hint="eastAsia" w:ascii="仿宋_GB2312" w:hAnsi="仿宋" w:eastAsia="仿宋_GB2312" w:cs="仿宋"/>
          <w:szCs w:val="28"/>
          <w:u w:val="dotted"/>
        </w:rPr>
        <w:t xml:space="preserve">                        </w:t>
      </w:r>
      <w:r>
        <w:rPr>
          <w:rFonts w:hint="eastAsia" w:ascii="仿宋_GB2312" w:hAnsi="仿宋" w:eastAsia="仿宋_GB2312" w:cs="仿宋"/>
          <w:szCs w:val="28"/>
        </w:rPr>
        <w:t>邮编：</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二、质疑项目基本情况</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质疑项目的编号：</w:t>
      </w:r>
      <w:r>
        <w:rPr>
          <w:rFonts w:hint="eastAsia" w:ascii="仿宋_GB2312" w:hAnsi="仿宋" w:eastAsia="仿宋_GB2312" w:cs="仿宋"/>
          <w:szCs w:val="28"/>
          <w:u w:val="dotted"/>
        </w:rPr>
        <w:t xml:space="preserve">               </w:t>
      </w:r>
      <w:r>
        <w:rPr>
          <w:rFonts w:hint="eastAsia" w:ascii="仿宋_GB2312" w:hAnsi="仿宋" w:eastAsia="仿宋_GB2312" w:cs="仿宋"/>
          <w:szCs w:val="28"/>
        </w:rPr>
        <w:t>包号：</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采购人名称：</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采购文件获取日期：</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三、质疑事项具体内容</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质疑事项1：</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事实依据：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法律依据：</w:t>
      </w: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u w:val="dotted"/>
        </w:rPr>
        <w:t xml:space="preserve">                                                     </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质疑事项2</w:t>
      </w:r>
    </w:p>
    <w:p>
      <w:pPr>
        <w:adjustRightInd w:val="0"/>
        <w:snapToGrid w:val="0"/>
        <w:spacing w:line="240" w:lineRule="atLeast"/>
        <w:rPr>
          <w:rFonts w:ascii="仿宋_GB2312" w:hAnsi="仿宋" w:eastAsia="仿宋_GB2312" w:cs="仿宋"/>
          <w:szCs w:val="28"/>
        </w:rPr>
      </w:pPr>
      <w:r>
        <w:rPr>
          <w:rFonts w:hint="eastAsia" w:ascii="仿宋_GB2312" w:hAnsi="仿宋" w:eastAsia="仿宋_GB2312" w:cs="仿宋"/>
          <w:szCs w:val="28"/>
        </w:rPr>
        <w:t>……</w:t>
      </w:r>
    </w:p>
    <w:p>
      <w:pPr>
        <w:adjustRightInd w:val="0"/>
        <w:snapToGrid w:val="0"/>
        <w:spacing w:line="240" w:lineRule="atLeast"/>
        <w:rPr>
          <w:rFonts w:ascii="仿宋_GB2312" w:hAnsi="黑体" w:eastAsia="仿宋_GB2312" w:cs="仿宋"/>
          <w:bCs/>
          <w:szCs w:val="28"/>
        </w:rPr>
      </w:pPr>
      <w:r>
        <w:rPr>
          <w:rFonts w:hint="eastAsia" w:ascii="仿宋_GB2312" w:hAnsi="黑体" w:eastAsia="仿宋_GB2312" w:cs="仿宋"/>
          <w:bCs/>
          <w:szCs w:val="28"/>
        </w:rPr>
        <w:t>四、与质疑事项相关的质疑请求</w:t>
      </w:r>
    </w:p>
    <w:p>
      <w:pPr>
        <w:adjustRightInd w:val="0"/>
        <w:snapToGrid w:val="0"/>
        <w:spacing w:line="240" w:lineRule="atLeast"/>
        <w:rPr>
          <w:rFonts w:ascii="仿宋_GB2312" w:hAnsi="仿宋" w:eastAsia="仿宋_GB2312" w:cs="仿宋"/>
          <w:szCs w:val="28"/>
          <w:u w:val="dotted"/>
        </w:rPr>
      </w:pPr>
      <w:r>
        <w:rPr>
          <w:rFonts w:hint="eastAsia" w:ascii="仿宋_GB2312" w:hAnsi="仿宋" w:eastAsia="仿宋_GB2312" w:cs="仿宋"/>
          <w:szCs w:val="28"/>
        </w:rPr>
        <w:t>请求：</w:t>
      </w:r>
      <w:r>
        <w:rPr>
          <w:rFonts w:hint="eastAsia" w:ascii="仿宋_GB2312" w:hAnsi="仿宋" w:eastAsia="仿宋_GB2312" w:cs="仿宋"/>
          <w:szCs w:val="28"/>
          <w:u w:val="dotted"/>
        </w:rPr>
        <w:t xml:space="preserve">                                               </w:t>
      </w:r>
    </w:p>
    <w:p>
      <w:pPr>
        <w:spacing w:line="240" w:lineRule="atLeast"/>
        <w:rPr>
          <w:rFonts w:ascii="仿宋_GB2312" w:eastAsia="仿宋_GB2312"/>
          <w:szCs w:val="28"/>
        </w:rPr>
      </w:pPr>
      <w:r>
        <w:rPr>
          <w:rFonts w:hint="eastAsia" w:ascii="仿宋_GB2312" w:eastAsia="仿宋_GB2312"/>
          <w:szCs w:val="28"/>
        </w:rPr>
        <w:t xml:space="preserve">签字(签章)：                   公章：                      </w:t>
      </w:r>
    </w:p>
    <w:p>
      <w:pPr>
        <w:spacing w:line="240" w:lineRule="atLeast"/>
        <w:rPr>
          <w:rFonts w:ascii="仿宋_GB2312" w:eastAsia="仿宋_GB2312"/>
          <w:szCs w:val="28"/>
        </w:rPr>
      </w:pPr>
      <w:r>
        <w:rPr>
          <w:rFonts w:hint="eastAsia" w:ascii="仿宋_GB2312" w:eastAsia="仿宋_GB2312"/>
          <w:szCs w:val="28"/>
        </w:rPr>
        <w:t xml:space="preserve">日期：    </w:t>
      </w:r>
    </w:p>
    <w:p>
      <w:pPr>
        <w:adjustRightInd w:val="0"/>
        <w:snapToGrid w:val="0"/>
        <w:spacing w:line="360" w:lineRule="auto"/>
        <w:rPr>
          <w:rFonts w:ascii="仿宋_GB2312" w:hAnsi="仿宋" w:eastAsia="仿宋_GB2312" w:cs="仿宋"/>
          <w:szCs w:val="28"/>
        </w:rPr>
      </w:pPr>
    </w:p>
    <w:p>
      <w:pPr>
        <w:adjustRightInd w:val="0"/>
        <w:snapToGrid w:val="0"/>
        <w:spacing w:line="360" w:lineRule="auto"/>
        <w:rPr>
          <w:rFonts w:ascii="仿宋_GB2312" w:hAnsi="仿宋" w:eastAsia="仿宋_GB2312" w:cs="仿宋"/>
          <w:szCs w:val="28"/>
        </w:rPr>
      </w:pPr>
    </w:p>
    <w:p>
      <w:pPr>
        <w:jc w:val="center"/>
        <w:rPr>
          <w:rFonts w:ascii="仿宋_GB2312" w:hAnsi="仿宋" w:eastAsia="仿宋_GB2312" w:cs="仿宋"/>
          <w:b/>
          <w:bCs/>
          <w:szCs w:val="28"/>
        </w:rPr>
      </w:pPr>
    </w:p>
    <w:p>
      <w:pPr>
        <w:rPr>
          <w:rFonts w:ascii="仿宋_GB2312" w:hAnsi="黑体" w:eastAsia="仿宋_GB2312"/>
          <w:b/>
          <w:szCs w:val="28"/>
        </w:rPr>
      </w:pP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质疑函制作说明：</w:t>
      </w:r>
    </w:p>
    <w:p>
      <w:pPr>
        <w:widowControl/>
        <w:ind w:firstLine="560" w:firstLineChars="200"/>
        <w:jc w:val="left"/>
        <w:rPr>
          <w:rFonts w:ascii="仿宋_GB2312" w:eastAsia="仿宋_GB2312"/>
          <w:szCs w:val="28"/>
        </w:rPr>
      </w:pPr>
      <w:r>
        <w:rPr>
          <w:rFonts w:hint="eastAsia" w:ascii="仿宋_GB2312" w:eastAsia="仿宋_GB2312"/>
          <w:szCs w:val="28"/>
        </w:rPr>
        <w:t>1.供应商提出质疑时，应提交质疑函和必要的证明材料。</w:t>
      </w:r>
    </w:p>
    <w:p>
      <w:pPr>
        <w:widowControl/>
        <w:ind w:firstLine="560" w:firstLineChars="200"/>
        <w:jc w:val="left"/>
        <w:rPr>
          <w:rFonts w:ascii="仿宋_GB2312" w:eastAsia="仿宋_GB2312"/>
          <w:szCs w:val="28"/>
        </w:rPr>
      </w:pPr>
      <w:r>
        <w:rPr>
          <w:rFonts w:hint="eastAsia" w:ascii="仿宋_GB2312" w:eastAsia="仿宋_GB2312"/>
          <w:szCs w:val="28"/>
        </w:rPr>
        <w:t>2.质疑供应商若委托代理人进行质疑的，质疑函应按要求列明“授权代表”的有关内容，并在附件中提交由质疑</w:t>
      </w:r>
      <w:r>
        <w:rPr>
          <w:rFonts w:hint="eastAsia" w:ascii="仿宋_GB2312" w:hAnsi="宋体" w:eastAsia="仿宋_GB2312" w:cs="宋体"/>
          <w:kern w:val="0"/>
          <w:szCs w:val="28"/>
        </w:rPr>
        <w:t>供应商签署的授权委托书。授权委托书应载明代理人的姓名或者名称、代理事项、具体权限、期限和相关事项。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3.质疑供应商若对项目的某一分包进行质疑，质疑函中应列明具体分包号。</w:t>
      </w:r>
    </w:p>
    <w:p>
      <w:pPr>
        <w:widowControl/>
        <w:ind w:firstLine="560" w:firstLineChars="200"/>
        <w:jc w:val="left"/>
        <w:rPr>
          <w:rFonts w:ascii="仿宋_GB2312" w:eastAsia="仿宋_GB2312"/>
          <w:szCs w:val="28"/>
        </w:rPr>
      </w:pPr>
      <w:r>
        <w:rPr>
          <w:rFonts w:hint="eastAsia" w:ascii="仿宋_GB2312" w:eastAsia="仿宋_GB2312"/>
          <w:szCs w:val="28"/>
        </w:rPr>
        <w:t>4.质疑函的质疑事项应具体、明确，并有必要的事实依据和法律依据。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5.质疑函的质疑请求应与质疑事项相关。</w:t>
      </w:r>
    </w:p>
    <w:p>
      <w:pPr>
        <w:widowControl/>
        <w:ind w:firstLine="560" w:firstLineChars="200"/>
        <w:jc w:val="left"/>
        <w:rPr>
          <w:rFonts w:ascii="仿宋_GB2312" w:eastAsia="仿宋_GB2312"/>
          <w:szCs w:val="28"/>
        </w:rPr>
      </w:pPr>
      <w:r>
        <w:rPr>
          <w:rFonts w:hint="eastAsia" w:ascii="仿宋_GB2312" w:eastAsia="仿宋_GB2312"/>
          <w:szCs w:val="28"/>
        </w:rPr>
        <w:t>6.质疑供应商为自然人的，质疑函应由本人签字；质疑供应商为法人或者其他组织的，质疑函应由法定代表人、主要负责人，或者其授权代表签字或者盖章，并加盖公章。</w:t>
      </w:r>
    </w:p>
    <w:p>
      <w:pPr>
        <w:rPr>
          <w:rFonts w:ascii="仿宋_GB2312" w:eastAsia="仿宋_GB2312"/>
          <w:szCs w:val="28"/>
        </w:rPr>
      </w:pPr>
    </w:p>
    <w:p>
      <w:pPr>
        <w:rPr>
          <w:rFonts w:ascii="仿宋_GB2312" w:eastAsia="仿宋_GB2312"/>
          <w:szCs w:val="28"/>
        </w:rPr>
      </w:pPr>
      <w:r>
        <w:rPr>
          <w:rFonts w:hint="eastAsia" w:ascii="仿宋_GB2312" w:eastAsia="仿宋_GB2312"/>
          <w:szCs w:val="28"/>
        </w:rPr>
        <w:t xml:space="preserve"> </w:t>
      </w:r>
    </w:p>
    <w:p>
      <w:pPr>
        <w:rPr>
          <w:rFonts w:ascii="仿宋_GB2312" w:eastAsia="仿宋_GB2312"/>
          <w:szCs w:val="28"/>
        </w:rPr>
      </w:pPr>
    </w:p>
    <w:p>
      <w:pPr>
        <w:rPr>
          <w:rFonts w:ascii="仿宋_GB2312" w:eastAsia="仿宋_GB2312"/>
          <w:szCs w:val="28"/>
        </w:rPr>
      </w:pPr>
    </w:p>
    <w:p>
      <w:pPr>
        <w:rPr>
          <w:rFonts w:ascii="仿宋_GB2312" w:eastAsia="仿宋_GB2312"/>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p>
    <w:p>
      <w:pPr>
        <w:rPr>
          <w:rFonts w:ascii="仿宋_GB2312" w:hAnsi="宋体" w:eastAsia="仿宋_GB2312"/>
          <w:b/>
          <w:szCs w:val="28"/>
        </w:rPr>
      </w:pPr>
      <w:r>
        <w:rPr>
          <w:rFonts w:hint="eastAsia" w:ascii="仿宋_GB2312" w:hAnsi="宋体" w:eastAsia="仿宋_GB2312"/>
          <w:b/>
          <w:szCs w:val="28"/>
        </w:rPr>
        <w:t>附件6：</w:t>
      </w:r>
    </w:p>
    <w:p>
      <w:pPr>
        <w:jc w:val="center"/>
        <w:rPr>
          <w:rFonts w:ascii="仿宋_GB2312" w:hAnsi="宋体" w:eastAsia="仿宋_GB2312"/>
          <w:b/>
          <w:szCs w:val="28"/>
        </w:rPr>
      </w:pPr>
      <w:r>
        <w:rPr>
          <w:rFonts w:hint="eastAsia" w:ascii="仿宋_GB2312" w:hAnsi="宋体" w:eastAsia="仿宋_GB2312"/>
          <w:b/>
          <w:szCs w:val="28"/>
        </w:rPr>
        <w:t>投诉书范本</w:t>
      </w:r>
    </w:p>
    <w:p>
      <w:pPr>
        <w:rPr>
          <w:rFonts w:ascii="仿宋_GB2312" w:hAnsi="黑体" w:eastAsia="仿宋_GB2312"/>
          <w:szCs w:val="28"/>
        </w:rPr>
      </w:pPr>
      <w:r>
        <w:rPr>
          <w:rFonts w:hint="eastAsia" w:ascii="仿宋_GB2312" w:hAnsi="黑体" w:eastAsia="仿宋_GB2312"/>
          <w:szCs w:val="28"/>
        </w:rPr>
        <w:t>一、投诉相关主体基本情况</w:t>
      </w:r>
    </w:p>
    <w:p>
      <w:pPr>
        <w:rPr>
          <w:rFonts w:ascii="仿宋_GB2312" w:eastAsia="仿宋_GB2312"/>
          <w:szCs w:val="28"/>
          <w:u w:val="dotted"/>
        </w:rPr>
      </w:pPr>
      <w:r>
        <w:rPr>
          <w:rFonts w:hint="eastAsia" w:ascii="仿宋_GB2312" w:eastAsia="仿宋_GB2312"/>
          <w:szCs w:val="28"/>
        </w:rPr>
        <w:t>投诉人：</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tabs>
          <w:tab w:val="left" w:pos="6510"/>
        </w:tabs>
        <w:jc w:val="left"/>
        <w:rPr>
          <w:rFonts w:ascii="仿宋_GB2312" w:eastAsia="仿宋_GB2312"/>
          <w:szCs w:val="28"/>
        </w:rPr>
      </w:pPr>
      <w:r>
        <w:rPr>
          <w:rFonts w:hint="eastAsia" w:ascii="仿宋_GB2312" w:eastAsia="仿宋_GB2312"/>
          <w:szCs w:val="28"/>
        </w:rPr>
        <w:t>法定代表人/主要负责人：</w:t>
      </w:r>
      <w:r>
        <w:rPr>
          <w:rFonts w:hint="eastAsia" w:ascii="仿宋_GB2312" w:eastAsia="仿宋_GB2312"/>
          <w:szCs w:val="28"/>
          <w:u w:val="dotted"/>
        </w:rPr>
        <w:t xml:space="preserve">                                   </w:t>
      </w:r>
      <w:r>
        <w:rPr>
          <w:rFonts w:hint="eastAsia" w:ascii="仿宋_GB2312" w:eastAsia="仿宋_GB2312"/>
          <w:szCs w:val="28"/>
        </w:rPr>
        <w:t xml:space="preserve">  </w:t>
      </w:r>
    </w:p>
    <w:p>
      <w:pPr>
        <w:tabs>
          <w:tab w:val="left" w:pos="6510"/>
        </w:tabs>
        <w:rPr>
          <w:rFonts w:ascii="仿宋_GB2312" w:eastAsia="仿宋_GB2312"/>
          <w:szCs w:val="28"/>
          <w:u w:val="dotted"/>
        </w:rPr>
      </w:pP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授权代表：</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被投诉人1：</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rPr>
      </w:pPr>
      <w:r>
        <w:rPr>
          <w:rFonts w:hint="eastAsia" w:ascii="仿宋_GB2312" w:eastAsia="仿宋_GB2312"/>
          <w:szCs w:val="28"/>
        </w:rPr>
        <w:t>被投诉人2</w:t>
      </w:r>
    </w:p>
    <w:p>
      <w:pPr>
        <w:rPr>
          <w:rFonts w:ascii="仿宋_GB2312" w:eastAsia="仿宋_GB2312"/>
          <w:szCs w:val="28"/>
          <w:u w:val="dotted"/>
        </w:rPr>
      </w:pPr>
      <w:r>
        <w:rPr>
          <w:rFonts w:hint="eastAsia" w:ascii="仿宋_GB2312" w:eastAsia="仿宋_GB2312"/>
          <w:szCs w:val="28"/>
        </w:rPr>
        <w:t>……</w:t>
      </w:r>
    </w:p>
    <w:p>
      <w:pPr>
        <w:rPr>
          <w:rFonts w:ascii="仿宋_GB2312" w:eastAsia="仿宋_GB2312"/>
          <w:szCs w:val="28"/>
          <w:u w:val="single"/>
        </w:rPr>
      </w:pPr>
      <w:r>
        <w:rPr>
          <w:rFonts w:hint="eastAsia" w:ascii="仿宋_GB2312" w:eastAsia="仿宋_GB2312"/>
          <w:szCs w:val="28"/>
        </w:rPr>
        <w:t>相关供应商：</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地     址：</w:t>
      </w:r>
      <w:r>
        <w:rPr>
          <w:rFonts w:hint="eastAsia" w:ascii="仿宋_GB2312" w:eastAsia="仿宋_GB2312"/>
          <w:szCs w:val="28"/>
          <w:u w:val="dotted"/>
        </w:rPr>
        <w:t xml:space="preserve">                             </w:t>
      </w:r>
      <w:r>
        <w:rPr>
          <w:rFonts w:hint="eastAsia" w:ascii="仿宋_GB2312" w:eastAsia="仿宋_GB2312"/>
          <w:szCs w:val="28"/>
        </w:rPr>
        <w:t>邮编：</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联系人：</w:t>
      </w:r>
      <w:r>
        <w:rPr>
          <w:rFonts w:hint="eastAsia" w:ascii="仿宋_GB2312" w:eastAsia="仿宋_GB2312"/>
          <w:szCs w:val="28"/>
          <w:u w:val="dotted"/>
        </w:rPr>
        <w:t xml:space="preserve">               </w:t>
      </w:r>
      <w:r>
        <w:rPr>
          <w:rFonts w:hint="eastAsia" w:ascii="仿宋_GB2312" w:eastAsia="仿宋_GB2312"/>
          <w:szCs w:val="28"/>
        </w:rPr>
        <w:t>联系电话：</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hAnsi="黑体" w:eastAsia="仿宋_GB2312"/>
          <w:szCs w:val="28"/>
        </w:rPr>
      </w:pPr>
      <w:r>
        <w:rPr>
          <w:rFonts w:hint="eastAsia" w:ascii="仿宋_GB2312" w:hAnsi="黑体" w:eastAsia="仿宋_GB2312"/>
          <w:szCs w:val="28"/>
        </w:rPr>
        <w:t>二、投诉项目基本情况</w:t>
      </w:r>
    </w:p>
    <w:p>
      <w:pPr>
        <w:rPr>
          <w:rFonts w:ascii="仿宋_GB2312" w:eastAsia="仿宋_GB2312"/>
          <w:szCs w:val="28"/>
          <w:u w:val="dotted"/>
        </w:rPr>
      </w:pPr>
      <w:r>
        <w:rPr>
          <w:rFonts w:hint="eastAsia" w:ascii="仿宋_GB2312" w:eastAsia="仿宋_GB2312"/>
          <w:szCs w:val="28"/>
        </w:rPr>
        <w:t>采购项目名称：</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采购项目编号：</w:t>
      </w:r>
      <w:r>
        <w:rPr>
          <w:rFonts w:hint="eastAsia" w:ascii="仿宋_GB2312" w:eastAsia="仿宋_GB2312"/>
          <w:szCs w:val="28"/>
          <w:u w:val="dotted"/>
        </w:rPr>
        <w:t xml:space="preserve">                 </w:t>
      </w:r>
      <w:r>
        <w:rPr>
          <w:rFonts w:hint="eastAsia" w:ascii="仿宋_GB2312" w:eastAsia="仿宋_GB2312"/>
          <w:szCs w:val="28"/>
        </w:rPr>
        <w:t>包号：</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采购人名称：</w:t>
      </w:r>
      <w:r>
        <w:rPr>
          <w:rFonts w:hint="eastAsia" w:ascii="仿宋_GB2312" w:eastAsia="仿宋_GB2312"/>
          <w:szCs w:val="28"/>
          <w:u w:val="dotted"/>
        </w:rPr>
        <w:t xml:space="preserve">                                           </w:t>
      </w:r>
      <w:r>
        <w:rPr>
          <w:rFonts w:hint="eastAsia" w:ascii="仿宋_GB2312" w:eastAsia="仿宋_GB2312"/>
          <w:szCs w:val="28"/>
          <w:u w:val="single"/>
        </w:rPr>
        <w:t xml:space="preserve">  </w:t>
      </w:r>
    </w:p>
    <w:p>
      <w:pPr>
        <w:rPr>
          <w:rFonts w:ascii="仿宋_GB2312" w:eastAsia="仿宋_GB2312"/>
          <w:szCs w:val="28"/>
          <w:u w:val="single"/>
        </w:rPr>
      </w:pPr>
      <w:r>
        <w:rPr>
          <w:rFonts w:hint="eastAsia" w:ascii="仿宋_GB2312" w:eastAsia="仿宋_GB2312"/>
          <w:szCs w:val="28"/>
        </w:rPr>
        <w:t>代理机构名称：</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rPr>
        <w:t>采购文件公告: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采购结果公告:</w:t>
      </w:r>
      <w:r>
        <w:rPr>
          <w:rFonts w:hint="eastAsia" w:ascii="仿宋_GB2312" w:eastAsia="仿宋_GB2312"/>
          <w:szCs w:val="28"/>
          <w:u w:val="dotted"/>
        </w:rPr>
        <w:t xml:space="preserve">是/否 </w:t>
      </w:r>
      <w:r>
        <w:rPr>
          <w:rFonts w:hint="eastAsia" w:ascii="仿宋_GB2312" w:eastAsia="仿宋_GB2312"/>
          <w:szCs w:val="28"/>
        </w:rPr>
        <w:t>公告期限：</w:t>
      </w:r>
      <w:r>
        <w:rPr>
          <w:rFonts w:hint="eastAsia" w:ascii="仿宋_GB2312" w:eastAsia="仿宋_GB2312"/>
          <w:szCs w:val="28"/>
          <w:u w:val="dotted"/>
        </w:rPr>
        <w:t xml:space="preserve">                        </w:t>
      </w:r>
    </w:p>
    <w:p>
      <w:pPr>
        <w:rPr>
          <w:rFonts w:ascii="仿宋_GB2312" w:hAnsi="黑体" w:eastAsia="仿宋_GB2312"/>
          <w:szCs w:val="28"/>
        </w:rPr>
      </w:pPr>
      <w:r>
        <w:rPr>
          <w:rFonts w:hint="eastAsia" w:ascii="仿宋_GB2312" w:hAnsi="黑体" w:eastAsia="仿宋_GB2312"/>
          <w:szCs w:val="28"/>
        </w:rPr>
        <w:t>三、质疑基本情况</w:t>
      </w:r>
    </w:p>
    <w:p>
      <w:pPr>
        <w:ind w:firstLine="560" w:firstLineChars="200"/>
        <w:rPr>
          <w:rFonts w:ascii="仿宋_GB2312" w:eastAsia="仿宋_GB2312"/>
          <w:szCs w:val="28"/>
          <w:u w:val="dotted"/>
        </w:rPr>
      </w:pPr>
      <w:r>
        <w:rPr>
          <w:rFonts w:hint="eastAsia" w:ascii="仿宋_GB2312" w:eastAsia="仿宋_GB2312"/>
          <w:szCs w:val="28"/>
        </w:rPr>
        <w:t>投诉人于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日,向</w:t>
      </w:r>
      <w:r>
        <w:rPr>
          <w:rFonts w:hint="eastAsia" w:ascii="仿宋_GB2312" w:eastAsia="仿宋_GB2312"/>
          <w:szCs w:val="28"/>
          <w:u w:val="dotted"/>
        </w:rPr>
        <w:t xml:space="preserve">                   </w:t>
      </w:r>
      <w:r>
        <w:rPr>
          <w:rFonts w:hint="eastAsia" w:ascii="仿宋_GB2312" w:eastAsia="仿宋_GB2312"/>
          <w:szCs w:val="28"/>
        </w:rPr>
        <w:t>提出质疑，质疑事项为：</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r>
        <w:rPr>
          <w:rFonts w:hint="eastAsia" w:ascii="仿宋_GB2312" w:eastAsia="仿宋_GB2312"/>
          <w:szCs w:val="28"/>
        </w:rPr>
        <w:t xml:space="preserve">  </w:t>
      </w:r>
    </w:p>
    <w:p>
      <w:pPr>
        <w:ind w:firstLine="420" w:firstLineChars="150"/>
        <w:rPr>
          <w:rFonts w:ascii="仿宋_GB2312" w:eastAsia="仿宋_GB2312"/>
          <w:szCs w:val="28"/>
        </w:rPr>
      </w:pPr>
      <w:r>
        <w:rPr>
          <w:rFonts w:hint="eastAsia" w:ascii="仿宋_GB2312" w:eastAsia="仿宋_GB2312"/>
          <w:szCs w:val="28"/>
          <w:u w:val="dotted"/>
        </w:rPr>
        <w:t>采购人/代理机构</w:t>
      </w:r>
      <w:r>
        <w:rPr>
          <w:rFonts w:hint="eastAsia" w:ascii="仿宋_GB2312" w:eastAsia="仿宋_GB2312"/>
          <w:szCs w:val="28"/>
        </w:rPr>
        <w:t>于</w:t>
      </w:r>
      <w:r>
        <w:rPr>
          <w:rFonts w:hint="eastAsia" w:ascii="仿宋_GB2312" w:eastAsia="仿宋_GB2312"/>
          <w:szCs w:val="28"/>
          <w:u w:val="dotted"/>
        </w:rPr>
        <w:t xml:space="preserve">   </w:t>
      </w:r>
      <w:r>
        <w:rPr>
          <w:rFonts w:hint="eastAsia" w:ascii="仿宋_GB2312" w:eastAsia="仿宋_GB2312"/>
          <w:szCs w:val="28"/>
        </w:rPr>
        <w:t>年</w:t>
      </w:r>
      <w:r>
        <w:rPr>
          <w:rFonts w:hint="eastAsia" w:ascii="仿宋_GB2312" w:eastAsia="仿宋_GB2312"/>
          <w:szCs w:val="28"/>
          <w:u w:val="dotted"/>
        </w:rPr>
        <w:t xml:space="preserve">   </w:t>
      </w:r>
      <w:r>
        <w:rPr>
          <w:rFonts w:hint="eastAsia" w:ascii="仿宋_GB2312" w:eastAsia="仿宋_GB2312"/>
          <w:szCs w:val="28"/>
        </w:rPr>
        <w:t>月</w:t>
      </w:r>
      <w:r>
        <w:rPr>
          <w:rFonts w:hint="eastAsia" w:ascii="仿宋_GB2312" w:eastAsia="仿宋_GB2312"/>
          <w:szCs w:val="28"/>
          <w:u w:val="dotted"/>
        </w:rPr>
        <w:t xml:space="preserve">   </w:t>
      </w:r>
      <w:r>
        <w:rPr>
          <w:rFonts w:hint="eastAsia" w:ascii="仿宋_GB2312" w:eastAsia="仿宋_GB2312"/>
          <w:szCs w:val="28"/>
        </w:rPr>
        <w:t>日,就质疑事项作出了答复/没有在法定期限内作出答复。</w:t>
      </w:r>
    </w:p>
    <w:p>
      <w:pPr>
        <w:rPr>
          <w:rFonts w:ascii="仿宋_GB2312" w:hAnsi="黑体" w:eastAsia="仿宋_GB2312"/>
          <w:szCs w:val="28"/>
        </w:rPr>
      </w:pPr>
      <w:r>
        <w:rPr>
          <w:rFonts w:hint="eastAsia" w:ascii="仿宋_GB2312" w:hAnsi="黑体" w:eastAsia="仿宋_GB2312"/>
          <w:szCs w:val="28"/>
        </w:rPr>
        <w:t>四、投诉事项具体内容</w:t>
      </w:r>
    </w:p>
    <w:p>
      <w:pPr>
        <w:rPr>
          <w:rFonts w:ascii="仿宋_GB2312" w:eastAsia="仿宋_GB2312"/>
          <w:szCs w:val="28"/>
          <w:u w:val="single"/>
        </w:rPr>
      </w:pPr>
      <w:r>
        <w:rPr>
          <w:rFonts w:hint="eastAsia" w:ascii="仿宋_GB2312" w:eastAsia="仿宋_GB2312"/>
          <w:szCs w:val="28"/>
        </w:rPr>
        <w:t>投诉事项 1：</w:t>
      </w: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事实依据：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u w:val="single"/>
        </w:rPr>
      </w:pPr>
      <w:r>
        <w:rPr>
          <w:rFonts w:hint="eastAsia" w:ascii="仿宋_GB2312" w:eastAsia="仿宋_GB2312"/>
          <w:szCs w:val="28"/>
        </w:rPr>
        <w:t>法律依据：</w:t>
      </w:r>
      <w:r>
        <w:rPr>
          <w:rFonts w:hint="eastAsia" w:ascii="仿宋_GB2312" w:eastAsia="仿宋_GB2312"/>
          <w:szCs w:val="28"/>
          <w:u w:val="dotted"/>
        </w:rPr>
        <w:t xml:space="preserve">                                          </w:t>
      </w:r>
    </w:p>
    <w:p>
      <w:pPr>
        <w:rPr>
          <w:rFonts w:ascii="仿宋_GB2312" w:eastAsia="仿宋_GB2312"/>
          <w:szCs w:val="28"/>
          <w:u w:val="dotted"/>
        </w:rPr>
      </w:pPr>
      <w:r>
        <w:rPr>
          <w:rFonts w:hint="eastAsia" w:ascii="仿宋_GB2312" w:eastAsia="仿宋_GB2312"/>
          <w:szCs w:val="28"/>
          <w:u w:val="dotted"/>
        </w:rPr>
        <w:t xml:space="preserve">                                                      </w:t>
      </w:r>
    </w:p>
    <w:p>
      <w:pPr>
        <w:rPr>
          <w:rFonts w:ascii="仿宋_GB2312" w:eastAsia="仿宋_GB2312"/>
          <w:szCs w:val="28"/>
        </w:rPr>
      </w:pPr>
      <w:r>
        <w:rPr>
          <w:rFonts w:hint="eastAsia" w:ascii="仿宋_GB2312" w:eastAsia="仿宋_GB2312"/>
          <w:szCs w:val="28"/>
        </w:rPr>
        <w:t>投诉事项2</w:t>
      </w:r>
    </w:p>
    <w:p>
      <w:pPr>
        <w:rPr>
          <w:rFonts w:ascii="仿宋_GB2312" w:eastAsia="仿宋_GB2312"/>
          <w:szCs w:val="28"/>
          <w:u w:val="dotted"/>
        </w:rPr>
      </w:pPr>
      <w:r>
        <w:rPr>
          <w:rFonts w:hint="eastAsia" w:ascii="仿宋_GB2312" w:eastAsia="仿宋_GB2312"/>
          <w:szCs w:val="28"/>
        </w:rPr>
        <w:t>……</w:t>
      </w:r>
    </w:p>
    <w:p>
      <w:pPr>
        <w:rPr>
          <w:rFonts w:ascii="仿宋_GB2312" w:hAnsi="黑体" w:eastAsia="仿宋_GB2312"/>
          <w:szCs w:val="28"/>
        </w:rPr>
      </w:pPr>
      <w:r>
        <w:rPr>
          <w:rFonts w:hint="eastAsia" w:ascii="仿宋_GB2312" w:hAnsi="黑体" w:eastAsia="仿宋_GB2312"/>
          <w:szCs w:val="28"/>
        </w:rPr>
        <w:t>五、与投诉事项相关的投诉请求</w:t>
      </w:r>
    </w:p>
    <w:p>
      <w:pPr>
        <w:rPr>
          <w:rFonts w:ascii="仿宋_GB2312" w:eastAsia="仿宋_GB2312"/>
          <w:szCs w:val="28"/>
        </w:rPr>
      </w:pPr>
      <w:r>
        <w:rPr>
          <w:rFonts w:hint="eastAsia" w:ascii="仿宋_GB2312" w:eastAsia="仿宋_GB2312"/>
          <w:szCs w:val="28"/>
        </w:rPr>
        <w:t>请求：</w:t>
      </w:r>
      <w:r>
        <w:rPr>
          <w:rFonts w:hint="eastAsia" w:ascii="仿宋_GB2312" w:eastAsia="仿宋_GB2312"/>
          <w:szCs w:val="28"/>
          <w:u w:val="dotted"/>
        </w:rPr>
        <w:t xml:space="preserve">                                              </w:t>
      </w:r>
      <w:r>
        <w:rPr>
          <w:rFonts w:hint="eastAsia" w:ascii="仿宋_GB2312" w:eastAsia="仿宋_GB2312"/>
          <w:szCs w:val="28"/>
        </w:rPr>
        <w:t xml:space="preserve"> </w:t>
      </w:r>
    </w:p>
    <w:p>
      <w:pPr>
        <w:rPr>
          <w:rFonts w:ascii="仿宋_GB2312" w:eastAsia="仿宋_GB2312"/>
          <w:szCs w:val="28"/>
          <w:u w:val="single"/>
        </w:rPr>
      </w:pPr>
      <w:r>
        <w:rPr>
          <w:rFonts w:hint="eastAsia" w:ascii="仿宋_GB2312" w:eastAsia="仿宋_GB2312"/>
          <w:szCs w:val="28"/>
        </w:rPr>
        <w:t xml:space="preserve">                                                                                                    </w:t>
      </w:r>
    </w:p>
    <w:p>
      <w:pPr>
        <w:rPr>
          <w:rFonts w:ascii="仿宋_GB2312" w:eastAsia="仿宋_GB2312"/>
          <w:szCs w:val="28"/>
        </w:rPr>
      </w:pPr>
      <w:r>
        <w:rPr>
          <w:rFonts w:hint="eastAsia" w:ascii="仿宋_GB2312" w:eastAsia="仿宋_GB2312"/>
          <w:szCs w:val="28"/>
        </w:rPr>
        <w:t xml:space="preserve">签字(签章)：                   公章：                      </w:t>
      </w:r>
    </w:p>
    <w:p>
      <w:pPr>
        <w:rPr>
          <w:rFonts w:ascii="仿宋_GB2312" w:eastAsia="仿宋_GB2312"/>
          <w:szCs w:val="28"/>
        </w:rPr>
      </w:pPr>
      <w:r>
        <w:rPr>
          <w:rFonts w:hint="eastAsia" w:ascii="仿宋_GB2312" w:eastAsia="仿宋_GB2312"/>
          <w:szCs w:val="28"/>
        </w:rPr>
        <w:t xml:space="preserve">日期：    </w:t>
      </w:r>
    </w:p>
    <w:p>
      <w:pPr>
        <w:rPr>
          <w:rFonts w:ascii="仿宋_GB2312" w:hAnsi="黑体" w:eastAsia="仿宋_GB2312"/>
          <w:b/>
          <w:szCs w:val="28"/>
        </w:rPr>
      </w:pPr>
    </w:p>
    <w:p>
      <w:pPr>
        <w:rPr>
          <w:rFonts w:ascii="仿宋_GB2312" w:hAnsi="黑体" w:eastAsia="仿宋_GB2312"/>
          <w:b/>
          <w:szCs w:val="28"/>
        </w:rPr>
      </w:pPr>
      <w:r>
        <w:rPr>
          <w:rFonts w:hint="eastAsia" w:ascii="仿宋_GB2312" w:hAnsi="黑体" w:eastAsia="仿宋_GB2312"/>
          <w:b/>
          <w:szCs w:val="28"/>
        </w:rPr>
        <w:t>投诉书制作说明：</w:t>
      </w:r>
    </w:p>
    <w:p>
      <w:pPr>
        <w:widowControl/>
        <w:ind w:firstLine="560" w:firstLineChars="200"/>
        <w:rPr>
          <w:rFonts w:ascii="仿宋_GB2312" w:hAnsi="宋体" w:eastAsia="仿宋_GB2312" w:cs="宋体"/>
          <w:kern w:val="0"/>
          <w:szCs w:val="28"/>
        </w:rPr>
      </w:pPr>
      <w:r>
        <w:rPr>
          <w:rFonts w:hint="eastAsia" w:ascii="仿宋_GB2312" w:eastAsia="仿宋_GB2312"/>
          <w:szCs w:val="28"/>
        </w:rPr>
        <w:t>1.投诉人提起投诉时，应当提交投诉书和必要的证明材料，并按照被投诉人和与投诉事项有关的供应商数量提供投诉书副本。</w:t>
      </w:r>
    </w:p>
    <w:p>
      <w:pPr>
        <w:widowControl/>
        <w:ind w:firstLine="560" w:firstLineChars="200"/>
        <w:jc w:val="left"/>
        <w:rPr>
          <w:rFonts w:ascii="仿宋_GB2312" w:hAnsi="宋体" w:eastAsia="仿宋_GB2312" w:cs="宋体"/>
          <w:kern w:val="0"/>
          <w:szCs w:val="28"/>
        </w:rPr>
      </w:pPr>
      <w:r>
        <w:rPr>
          <w:rFonts w:hint="eastAsia" w:ascii="仿宋_GB2312" w:eastAsia="仿宋_GB2312"/>
          <w:szCs w:val="28"/>
        </w:rPr>
        <w:t>2.投诉人若委托代理人进行投诉的，投诉书应按照要求列明“授权代表”的有关内容，并在附件中提交由</w:t>
      </w:r>
      <w:r>
        <w:rPr>
          <w:rFonts w:hint="eastAsia" w:ascii="仿宋_GB2312" w:hAnsi="宋体" w:eastAsia="仿宋_GB2312" w:cs="宋体"/>
          <w:kern w:val="0"/>
          <w:szCs w:val="28"/>
        </w:rPr>
        <w:t>投诉人签署的授权委托书。授权委托书应当载明代理人的姓名或者名称、代理事项、具体权限、期限和相关事项。</w:t>
      </w:r>
    </w:p>
    <w:p>
      <w:pPr>
        <w:widowControl/>
        <w:ind w:firstLine="560" w:firstLineChars="200"/>
        <w:jc w:val="left"/>
        <w:rPr>
          <w:rFonts w:ascii="仿宋_GB2312" w:eastAsia="仿宋_GB2312"/>
          <w:szCs w:val="28"/>
        </w:rPr>
      </w:pPr>
      <w:r>
        <w:rPr>
          <w:rFonts w:hint="eastAsia" w:ascii="仿宋_GB2312" w:eastAsia="仿宋_GB2312"/>
          <w:szCs w:val="28"/>
        </w:rPr>
        <w:t>3.投诉人若对项目的某一分包进行投诉，投诉书应列明具体分包号。</w:t>
      </w:r>
    </w:p>
    <w:p>
      <w:pPr>
        <w:widowControl/>
        <w:ind w:firstLine="560" w:firstLineChars="200"/>
        <w:jc w:val="left"/>
        <w:rPr>
          <w:rFonts w:ascii="仿宋_GB2312" w:eastAsia="仿宋_GB2312"/>
          <w:szCs w:val="28"/>
        </w:rPr>
      </w:pPr>
      <w:r>
        <w:rPr>
          <w:rFonts w:hint="eastAsia" w:ascii="仿宋_GB2312" w:eastAsia="仿宋_GB2312"/>
          <w:szCs w:val="28"/>
        </w:rPr>
        <w:t>4.投诉书应简要列明质疑事项，质疑函、质疑答复等作为附件材料提供。</w:t>
      </w:r>
    </w:p>
    <w:p>
      <w:pPr>
        <w:widowControl/>
        <w:ind w:firstLine="560" w:firstLineChars="200"/>
        <w:jc w:val="left"/>
        <w:rPr>
          <w:rFonts w:ascii="仿宋_GB2312" w:eastAsia="仿宋_GB2312"/>
          <w:szCs w:val="28"/>
        </w:rPr>
      </w:pPr>
      <w:r>
        <w:rPr>
          <w:rFonts w:hint="eastAsia" w:ascii="仿宋_GB2312" w:eastAsia="仿宋_GB2312"/>
          <w:szCs w:val="28"/>
        </w:rPr>
        <w:t>5.投诉书的投诉事项应具体、明确，并有必要的事实依据和法律依据。</w:t>
      </w:r>
    </w:p>
    <w:p>
      <w:pPr>
        <w:widowControl/>
        <w:ind w:firstLine="560" w:firstLineChars="200"/>
        <w:jc w:val="left"/>
        <w:rPr>
          <w:rFonts w:ascii="仿宋_GB2312" w:eastAsia="仿宋_GB2312"/>
          <w:szCs w:val="28"/>
        </w:rPr>
      </w:pPr>
      <w:r>
        <w:rPr>
          <w:rFonts w:hint="eastAsia" w:ascii="仿宋_GB2312" w:eastAsia="仿宋_GB2312"/>
          <w:szCs w:val="28"/>
        </w:rPr>
        <w:t>6.投诉书的投诉请求应与投诉事项相关。</w:t>
      </w:r>
    </w:p>
    <w:p>
      <w:pPr>
        <w:adjustRightInd w:val="0"/>
        <w:snapToGrid w:val="0"/>
        <w:spacing w:line="360" w:lineRule="auto"/>
        <w:ind w:firstLine="560" w:firstLineChars="200"/>
        <w:jc w:val="left"/>
        <w:rPr>
          <w:rFonts w:ascii="仿宋_GB2312" w:hAnsi="宋体" w:eastAsia="仿宋_GB2312" w:cs="宋体"/>
          <w:b/>
          <w:bCs/>
          <w:color w:val="000000"/>
          <w:kern w:val="36"/>
          <w:szCs w:val="28"/>
        </w:rPr>
      </w:pPr>
      <w:r>
        <w:rPr>
          <w:rFonts w:hint="eastAsia" w:ascii="仿宋_GB2312" w:eastAsia="仿宋_GB2312"/>
          <w:szCs w:val="28"/>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rPr>
          <w:rFonts w:ascii="仿宋_GB2312" w:hAnsi="宋体" w:eastAsia="仿宋_GB2312" w:cs="宋体"/>
          <w:b/>
          <w:bCs/>
          <w:sz w:val="32"/>
          <w:szCs w:val="32"/>
        </w:rPr>
      </w:pPr>
    </w:p>
    <w:p>
      <w:pPr>
        <w:adjustRightInd w:val="0"/>
        <w:snapToGrid w:val="0"/>
        <w:spacing w:line="360" w:lineRule="auto"/>
        <w:rPr>
          <w:rFonts w:ascii="仿宋_GB2312" w:hAnsi="宋体" w:eastAsia="仿宋_GB2312" w:cs="宋体"/>
          <w:b/>
          <w:bCs/>
          <w:sz w:val="32"/>
          <w:szCs w:val="32"/>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center"/>
    </w:pPr>
    <w:r>
      <w:fldChar w:fldCharType="begin"/>
    </w:r>
    <w:r>
      <w:instrText xml:space="preserve"> PAGE   \* MERGEFORMAT </w:instrText>
    </w:r>
    <w:r>
      <w:fldChar w:fldCharType="separate"/>
    </w:r>
    <w:r>
      <w:rPr>
        <w:lang w:val="zh-CN"/>
      </w:rPr>
      <w:t>5</w:t>
    </w:r>
    <w:r>
      <w:rPr>
        <w:lang w:val="zh-CN"/>
      </w:rPr>
      <w:fldChar w:fldCharType="end"/>
    </w:r>
  </w:p>
  <w:p>
    <w:pPr>
      <w:pStyle w:val="2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戬">
    <w15:presenceInfo w15:providerId="None" w15:userId="王戬"/>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M2NiOWI2ZDgxMTllNGI4ZWIwMTQ5NTRiMjMzYWY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810C1"/>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4F15E7"/>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5798"/>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71C"/>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1FE9"/>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87"/>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2893"/>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298293C"/>
    <w:rsid w:val="02EB0F66"/>
    <w:rsid w:val="030B1590"/>
    <w:rsid w:val="03164992"/>
    <w:rsid w:val="033B177D"/>
    <w:rsid w:val="0374238F"/>
    <w:rsid w:val="03A01301"/>
    <w:rsid w:val="03F106F6"/>
    <w:rsid w:val="0432311F"/>
    <w:rsid w:val="04910E13"/>
    <w:rsid w:val="04E55E3A"/>
    <w:rsid w:val="054A30CB"/>
    <w:rsid w:val="055F6389"/>
    <w:rsid w:val="05C96A15"/>
    <w:rsid w:val="09296F01"/>
    <w:rsid w:val="09564F15"/>
    <w:rsid w:val="09A84CAA"/>
    <w:rsid w:val="09AC2920"/>
    <w:rsid w:val="0A4546CD"/>
    <w:rsid w:val="0A9D2C05"/>
    <w:rsid w:val="0AD639E4"/>
    <w:rsid w:val="0BF978D5"/>
    <w:rsid w:val="0C5D773D"/>
    <w:rsid w:val="0D7754CF"/>
    <w:rsid w:val="0D7E2A6A"/>
    <w:rsid w:val="0DA16FB4"/>
    <w:rsid w:val="0DE65A99"/>
    <w:rsid w:val="0E7E3960"/>
    <w:rsid w:val="0ECE2C8D"/>
    <w:rsid w:val="107556EE"/>
    <w:rsid w:val="10A328AC"/>
    <w:rsid w:val="10CA7A92"/>
    <w:rsid w:val="11097CFF"/>
    <w:rsid w:val="11420EA7"/>
    <w:rsid w:val="11A93BAF"/>
    <w:rsid w:val="12A869B3"/>
    <w:rsid w:val="12DB5F87"/>
    <w:rsid w:val="134D6D48"/>
    <w:rsid w:val="13AE4F6A"/>
    <w:rsid w:val="144C1F9A"/>
    <w:rsid w:val="159C294C"/>
    <w:rsid w:val="162C38CF"/>
    <w:rsid w:val="171262BF"/>
    <w:rsid w:val="17252284"/>
    <w:rsid w:val="177B58CD"/>
    <w:rsid w:val="18020BC4"/>
    <w:rsid w:val="186500A0"/>
    <w:rsid w:val="18835AD4"/>
    <w:rsid w:val="18B051AF"/>
    <w:rsid w:val="18E70052"/>
    <w:rsid w:val="19254BEF"/>
    <w:rsid w:val="19DC3498"/>
    <w:rsid w:val="1A07319C"/>
    <w:rsid w:val="1A33516B"/>
    <w:rsid w:val="1B4F4CC3"/>
    <w:rsid w:val="1B7570E3"/>
    <w:rsid w:val="1BA211E7"/>
    <w:rsid w:val="1E2D6CC4"/>
    <w:rsid w:val="1E4075E6"/>
    <w:rsid w:val="1F025BBE"/>
    <w:rsid w:val="1FD03D76"/>
    <w:rsid w:val="203877A5"/>
    <w:rsid w:val="20EB3EDD"/>
    <w:rsid w:val="21A428FD"/>
    <w:rsid w:val="21FE134A"/>
    <w:rsid w:val="228869AA"/>
    <w:rsid w:val="22C22324"/>
    <w:rsid w:val="23567244"/>
    <w:rsid w:val="236513B9"/>
    <w:rsid w:val="261507FA"/>
    <w:rsid w:val="26566759"/>
    <w:rsid w:val="27717DCB"/>
    <w:rsid w:val="281D1648"/>
    <w:rsid w:val="28574F87"/>
    <w:rsid w:val="28AF482A"/>
    <w:rsid w:val="291D580A"/>
    <w:rsid w:val="29674BDA"/>
    <w:rsid w:val="29831EC9"/>
    <w:rsid w:val="29913DEF"/>
    <w:rsid w:val="29B44350"/>
    <w:rsid w:val="2ADF5772"/>
    <w:rsid w:val="2B9343A5"/>
    <w:rsid w:val="2C231C3E"/>
    <w:rsid w:val="2C43766C"/>
    <w:rsid w:val="2CF80A72"/>
    <w:rsid w:val="2D140C99"/>
    <w:rsid w:val="2D31750C"/>
    <w:rsid w:val="2D962D7E"/>
    <w:rsid w:val="2DE634B9"/>
    <w:rsid w:val="2E1D349F"/>
    <w:rsid w:val="2EDF550D"/>
    <w:rsid w:val="2F407445"/>
    <w:rsid w:val="3025527A"/>
    <w:rsid w:val="30C91186"/>
    <w:rsid w:val="31495EDE"/>
    <w:rsid w:val="31921319"/>
    <w:rsid w:val="31BC6863"/>
    <w:rsid w:val="32FA2CBE"/>
    <w:rsid w:val="32FC59EE"/>
    <w:rsid w:val="338B35BF"/>
    <w:rsid w:val="34092461"/>
    <w:rsid w:val="34700F39"/>
    <w:rsid w:val="34EF42C7"/>
    <w:rsid w:val="35EA3087"/>
    <w:rsid w:val="3639699D"/>
    <w:rsid w:val="36607CEC"/>
    <w:rsid w:val="36EF1694"/>
    <w:rsid w:val="388443D5"/>
    <w:rsid w:val="38FB3C73"/>
    <w:rsid w:val="390659FB"/>
    <w:rsid w:val="390D1E7C"/>
    <w:rsid w:val="39DA0497"/>
    <w:rsid w:val="3A014C0D"/>
    <w:rsid w:val="3A3D3FD1"/>
    <w:rsid w:val="3B0D6490"/>
    <w:rsid w:val="3B6A356D"/>
    <w:rsid w:val="3B7F39AE"/>
    <w:rsid w:val="3BAB4838"/>
    <w:rsid w:val="3BF1493F"/>
    <w:rsid w:val="3C460065"/>
    <w:rsid w:val="3DCB6515"/>
    <w:rsid w:val="3E2E563A"/>
    <w:rsid w:val="3E547D6D"/>
    <w:rsid w:val="3EA52FF6"/>
    <w:rsid w:val="3F2969DF"/>
    <w:rsid w:val="3F646DBC"/>
    <w:rsid w:val="413E1806"/>
    <w:rsid w:val="43001B9C"/>
    <w:rsid w:val="44E0509A"/>
    <w:rsid w:val="457774F2"/>
    <w:rsid w:val="45C94FEF"/>
    <w:rsid w:val="462D2409"/>
    <w:rsid w:val="468E6891"/>
    <w:rsid w:val="47C1249E"/>
    <w:rsid w:val="481B4427"/>
    <w:rsid w:val="481E3C44"/>
    <w:rsid w:val="485756B9"/>
    <w:rsid w:val="48592ECE"/>
    <w:rsid w:val="48835154"/>
    <w:rsid w:val="4939003C"/>
    <w:rsid w:val="4A010EEA"/>
    <w:rsid w:val="4CAC2800"/>
    <w:rsid w:val="4CFB5EE3"/>
    <w:rsid w:val="4D263AF9"/>
    <w:rsid w:val="4D4B074A"/>
    <w:rsid w:val="4EF26D89"/>
    <w:rsid w:val="4FC205E1"/>
    <w:rsid w:val="502C74D1"/>
    <w:rsid w:val="507C6DB1"/>
    <w:rsid w:val="50F02837"/>
    <w:rsid w:val="513242BC"/>
    <w:rsid w:val="516F3CBE"/>
    <w:rsid w:val="517C5E2B"/>
    <w:rsid w:val="51C639B2"/>
    <w:rsid w:val="51F17F8E"/>
    <w:rsid w:val="52823DEE"/>
    <w:rsid w:val="529C0587"/>
    <w:rsid w:val="52EC4B4A"/>
    <w:rsid w:val="53510242"/>
    <w:rsid w:val="54102DA0"/>
    <w:rsid w:val="54B565B4"/>
    <w:rsid w:val="5517751A"/>
    <w:rsid w:val="56194C24"/>
    <w:rsid w:val="569C48C5"/>
    <w:rsid w:val="56F05266"/>
    <w:rsid w:val="57164C89"/>
    <w:rsid w:val="57350A15"/>
    <w:rsid w:val="575168F3"/>
    <w:rsid w:val="58732C56"/>
    <w:rsid w:val="594D5E25"/>
    <w:rsid w:val="59E14756"/>
    <w:rsid w:val="5A7E4E4D"/>
    <w:rsid w:val="5AB55191"/>
    <w:rsid w:val="5C957923"/>
    <w:rsid w:val="5CA42F27"/>
    <w:rsid w:val="5CE11CAD"/>
    <w:rsid w:val="5D0F5ABF"/>
    <w:rsid w:val="5DE021E2"/>
    <w:rsid w:val="5DFA5BF3"/>
    <w:rsid w:val="5E545B85"/>
    <w:rsid w:val="5E6301AB"/>
    <w:rsid w:val="5F765DB0"/>
    <w:rsid w:val="608E6286"/>
    <w:rsid w:val="61076011"/>
    <w:rsid w:val="61834DEC"/>
    <w:rsid w:val="622A6C63"/>
    <w:rsid w:val="62546789"/>
    <w:rsid w:val="62EF21DB"/>
    <w:rsid w:val="631D68AE"/>
    <w:rsid w:val="632D6F40"/>
    <w:rsid w:val="63AF1D1A"/>
    <w:rsid w:val="63F510AA"/>
    <w:rsid w:val="648E32AE"/>
    <w:rsid w:val="64A06B15"/>
    <w:rsid w:val="64D252BD"/>
    <w:rsid w:val="65412DFD"/>
    <w:rsid w:val="657F52AC"/>
    <w:rsid w:val="663A01C8"/>
    <w:rsid w:val="663C37BC"/>
    <w:rsid w:val="668B2466"/>
    <w:rsid w:val="66DB439B"/>
    <w:rsid w:val="66E003B2"/>
    <w:rsid w:val="672F50CE"/>
    <w:rsid w:val="6817729A"/>
    <w:rsid w:val="69964ECA"/>
    <w:rsid w:val="699E695C"/>
    <w:rsid w:val="69BF7E12"/>
    <w:rsid w:val="6B792DBC"/>
    <w:rsid w:val="6B9C09D1"/>
    <w:rsid w:val="6C2E4C0D"/>
    <w:rsid w:val="6DA6798D"/>
    <w:rsid w:val="6DED4397"/>
    <w:rsid w:val="6E9A5523"/>
    <w:rsid w:val="6EB04D47"/>
    <w:rsid w:val="6F370FC4"/>
    <w:rsid w:val="6F420D0F"/>
    <w:rsid w:val="6FAA3E8C"/>
    <w:rsid w:val="701B5C41"/>
    <w:rsid w:val="70F2215A"/>
    <w:rsid w:val="71091718"/>
    <w:rsid w:val="71587B7E"/>
    <w:rsid w:val="715E7B64"/>
    <w:rsid w:val="7276222A"/>
    <w:rsid w:val="73197CE0"/>
    <w:rsid w:val="732A1BFA"/>
    <w:rsid w:val="73344FDD"/>
    <w:rsid w:val="73616E39"/>
    <w:rsid w:val="73C0694D"/>
    <w:rsid w:val="74A54B7B"/>
    <w:rsid w:val="751B270C"/>
    <w:rsid w:val="7532635D"/>
    <w:rsid w:val="759D3A0C"/>
    <w:rsid w:val="764364A0"/>
    <w:rsid w:val="768C17FB"/>
    <w:rsid w:val="77722493"/>
    <w:rsid w:val="78216CB5"/>
    <w:rsid w:val="79002FDD"/>
    <w:rsid w:val="79A864D4"/>
    <w:rsid w:val="7A2C2B5D"/>
    <w:rsid w:val="7A3C397B"/>
    <w:rsid w:val="7CBB28FC"/>
    <w:rsid w:val="7D2106AF"/>
    <w:rsid w:val="7D2D2186"/>
    <w:rsid w:val="7E54777A"/>
    <w:rsid w:val="7EAC5BC9"/>
    <w:rsid w:val="7EE8612B"/>
    <w:rsid w:val="7EFE77F8"/>
    <w:rsid w:val="7F6041C6"/>
    <w:rsid w:val="7F7B7750"/>
    <w:rsid w:val="7FCF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5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51"/>
    <w:qFormat/>
    <w:uiPriority w:val="9"/>
    <w:pPr>
      <w:keepNext/>
      <w:keepLines/>
      <w:spacing w:before="260" w:after="260" w:line="416" w:lineRule="auto"/>
      <w:outlineLvl w:val="1"/>
    </w:pPr>
    <w:rPr>
      <w:rFonts w:ascii="Cambria" w:hAnsi="Cambria"/>
      <w:b/>
      <w:bCs/>
      <w:sz w:val="32"/>
      <w:szCs w:val="32"/>
    </w:rPr>
  </w:style>
  <w:style w:type="paragraph" w:styleId="8">
    <w:name w:val="heading 3"/>
    <w:basedOn w:val="1"/>
    <w:next w:val="1"/>
    <w:link w:val="52"/>
    <w:qFormat/>
    <w:uiPriority w:val="9"/>
    <w:pPr>
      <w:keepNext/>
      <w:keepLines/>
      <w:spacing w:before="260" w:after="260" w:line="416" w:lineRule="auto"/>
      <w:outlineLvl w:val="2"/>
    </w:pPr>
    <w:rPr>
      <w:b/>
      <w:bCs/>
      <w:sz w:val="32"/>
      <w:szCs w:val="32"/>
    </w:rPr>
  </w:style>
  <w:style w:type="paragraph" w:styleId="9">
    <w:name w:val="heading 4"/>
    <w:basedOn w:val="1"/>
    <w:next w:val="1"/>
    <w:link w:val="53"/>
    <w:qFormat/>
    <w:uiPriority w:val="9"/>
    <w:pPr>
      <w:keepNext/>
      <w:keepLines/>
      <w:spacing w:before="280" w:after="290" w:line="376" w:lineRule="auto"/>
      <w:outlineLvl w:val="3"/>
    </w:pPr>
    <w:rPr>
      <w:rFonts w:ascii="Cambria" w:hAnsi="Cambria"/>
      <w:b/>
      <w:bCs/>
      <w:szCs w:val="28"/>
    </w:rPr>
  </w:style>
  <w:style w:type="paragraph" w:styleId="10">
    <w:name w:val="heading 5"/>
    <w:basedOn w:val="1"/>
    <w:next w:val="1"/>
    <w:link w:val="54"/>
    <w:qFormat/>
    <w:uiPriority w:val="9"/>
    <w:pPr>
      <w:keepNext/>
      <w:keepLines/>
      <w:spacing w:before="280" w:after="290" w:line="376" w:lineRule="auto"/>
      <w:outlineLvl w:val="4"/>
    </w:pPr>
    <w:rPr>
      <w:b/>
      <w:bCs/>
      <w:szCs w:val="28"/>
    </w:rPr>
  </w:style>
  <w:style w:type="paragraph" w:styleId="11">
    <w:name w:val="heading 6"/>
    <w:basedOn w:val="1"/>
    <w:next w:val="1"/>
    <w:link w:val="55"/>
    <w:qFormat/>
    <w:uiPriority w:val="9"/>
    <w:pPr>
      <w:keepNext/>
      <w:keepLines/>
      <w:spacing w:before="240" w:after="64" w:line="320" w:lineRule="auto"/>
      <w:outlineLvl w:val="5"/>
    </w:pPr>
    <w:rPr>
      <w:rFonts w:ascii="Cambria" w:hAnsi="Cambria"/>
      <w:b/>
      <w:bCs/>
      <w:sz w:val="24"/>
      <w:szCs w:val="24"/>
    </w:rPr>
  </w:style>
  <w:style w:type="paragraph" w:styleId="12">
    <w:name w:val="heading 7"/>
    <w:basedOn w:val="1"/>
    <w:next w:val="1"/>
    <w:link w:val="56"/>
    <w:qFormat/>
    <w:uiPriority w:val="9"/>
    <w:pPr>
      <w:keepNext/>
      <w:keepLines/>
      <w:spacing w:before="240" w:after="64" w:line="320" w:lineRule="auto"/>
      <w:outlineLvl w:val="6"/>
    </w:pPr>
    <w:rPr>
      <w:b/>
      <w:bCs/>
      <w:sz w:val="24"/>
      <w:szCs w:val="24"/>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9"/>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style>
  <w:style w:type="paragraph" w:styleId="14">
    <w:name w:val="annotation text"/>
    <w:basedOn w:val="1"/>
    <w:qFormat/>
    <w:uiPriority w:val="0"/>
    <w:pPr>
      <w:jc w:val="left"/>
    </w:pPr>
    <w:rPr>
      <w:kern w:val="0"/>
      <w:sz w:val="21"/>
      <w:szCs w:val="21"/>
    </w:rPr>
  </w:style>
  <w:style w:type="paragraph" w:styleId="15">
    <w:name w:val="Body Text"/>
    <w:basedOn w:val="1"/>
    <w:unhideWhenUsed/>
    <w:qFormat/>
    <w:uiPriority w:val="99"/>
    <w:pPr>
      <w:spacing w:after="120"/>
    </w:pPr>
  </w:style>
  <w:style w:type="paragraph" w:styleId="16">
    <w:name w:val="index 4"/>
    <w:basedOn w:val="1"/>
    <w:next w:val="1"/>
    <w:qFormat/>
    <w:uiPriority w:val="99"/>
    <w:pPr>
      <w:ind w:left="600" w:leftChars="600"/>
    </w:pPr>
    <w:rPr>
      <w:szCs w:val="24"/>
    </w:rPr>
  </w:style>
  <w:style w:type="paragraph" w:styleId="17">
    <w:name w:val="Plain Text"/>
    <w:basedOn w:val="1"/>
    <w:link w:val="57"/>
    <w:qFormat/>
    <w:uiPriority w:val="0"/>
    <w:pPr>
      <w:spacing w:beforeLines="50" w:afterLines="50" w:line="400" w:lineRule="atLeast"/>
    </w:pPr>
    <w:rPr>
      <w:rFonts w:ascii="宋体" w:hAnsi="Courier New"/>
      <w:kern w:val="0"/>
      <w:sz w:val="24"/>
    </w:rPr>
  </w:style>
  <w:style w:type="paragraph" w:styleId="18">
    <w:name w:val="Date"/>
    <w:basedOn w:val="1"/>
    <w:next w:val="1"/>
    <w:link w:val="58"/>
    <w:unhideWhenUsed/>
    <w:qFormat/>
    <w:uiPriority w:val="99"/>
    <w:pPr>
      <w:ind w:left="100" w:leftChars="2500"/>
    </w:pPr>
  </w:style>
  <w:style w:type="paragraph" w:styleId="19">
    <w:name w:val="Balloon Text"/>
    <w:basedOn w:val="1"/>
    <w:link w:val="59"/>
    <w:unhideWhenUsed/>
    <w:qFormat/>
    <w:uiPriority w:val="99"/>
    <w:rPr>
      <w:sz w:val="18"/>
      <w:szCs w:val="18"/>
    </w:rPr>
  </w:style>
  <w:style w:type="paragraph" w:styleId="20">
    <w:name w:val="footer"/>
    <w:basedOn w:val="1"/>
    <w:link w:val="60"/>
    <w:unhideWhenUsed/>
    <w:qFormat/>
    <w:uiPriority w:val="99"/>
    <w:pPr>
      <w:tabs>
        <w:tab w:val="center" w:pos="4153"/>
        <w:tab w:val="right" w:pos="8306"/>
      </w:tabs>
      <w:snapToGrid w:val="0"/>
      <w:jc w:val="left"/>
    </w:pPr>
    <w:rPr>
      <w:sz w:val="18"/>
      <w:szCs w:val="18"/>
    </w:rPr>
  </w:style>
  <w:style w:type="paragraph" w:styleId="21">
    <w:name w:val="header"/>
    <w:basedOn w:val="1"/>
    <w:link w:val="61"/>
    <w:unhideWhenUsed/>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3">
    <w:name w:val="index 7"/>
    <w:basedOn w:val="1"/>
    <w:next w:val="1"/>
    <w:unhideWhenUsed/>
    <w:qFormat/>
    <w:uiPriority w:val="99"/>
    <w:pPr>
      <w:ind w:left="1200" w:leftChars="1200"/>
    </w:pPr>
  </w:style>
  <w:style w:type="paragraph" w:styleId="24">
    <w:name w:val="toc 2"/>
    <w:basedOn w:val="1"/>
    <w:next w:val="1"/>
    <w:unhideWhenUsed/>
    <w:qFormat/>
    <w:uiPriority w:val="39"/>
    <w:pPr>
      <w:ind w:left="420" w:leftChars="200"/>
    </w:pPr>
  </w:style>
  <w:style w:type="paragraph" w:styleId="25">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6">
    <w:name w:val="Title"/>
    <w:basedOn w:val="1"/>
    <w:next w:val="1"/>
    <w:link w:val="62"/>
    <w:qFormat/>
    <w:uiPriority w:val="10"/>
    <w:pPr>
      <w:spacing w:before="240" w:after="60"/>
      <w:jc w:val="center"/>
      <w:outlineLvl w:val="0"/>
    </w:pPr>
    <w:rPr>
      <w:rFonts w:ascii="Cambria" w:hAnsi="Cambria"/>
      <w:b/>
      <w:bCs/>
      <w:sz w:val="32"/>
      <w:szCs w:val="32"/>
    </w:rPr>
  </w:style>
  <w:style w:type="table" w:styleId="28">
    <w:name w:val="Table Grid"/>
    <w:basedOn w:val="2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0"/>
    <w:rPr>
      <w:b/>
      <w:bCs/>
    </w:rPr>
  </w:style>
  <w:style w:type="character" w:styleId="31">
    <w:name w:val="page number"/>
    <w:basedOn w:val="29"/>
    <w:qFormat/>
    <w:uiPriority w:val="0"/>
  </w:style>
  <w:style w:type="character" w:styleId="32">
    <w:name w:val="Hyperlink"/>
    <w:basedOn w:val="29"/>
    <w:unhideWhenUsed/>
    <w:qFormat/>
    <w:uiPriority w:val="99"/>
    <w:rPr>
      <w:color w:val="0000FF"/>
      <w:u w:val="single"/>
    </w:rPr>
  </w:style>
  <w:style w:type="paragraph" w:styleId="33">
    <w:name w:val="List Paragraph"/>
    <w:basedOn w:val="1"/>
    <w:link w:val="65"/>
    <w:qFormat/>
    <w:uiPriority w:val="0"/>
    <w:pPr>
      <w:ind w:firstLine="420" w:firstLineChars="200"/>
    </w:pPr>
    <w:rPr>
      <w:kern w:val="0"/>
    </w:r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8">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9">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0">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41">
    <w:name w:val="第四级"/>
    <w:basedOn w:val="1"/>
    <w:next w:val="40"/>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2">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3">
    <w:name w:val="标题 2 New"/>
    <w:basedOn w:val="44"/>
    <w:next w:val="44"/>
    <w:qFormat/>
    <w:uiPriority w:val="0"/>
    <w:pPr>
      <w:keepNext/>
      <w:keepLines/>
      <w:spacing w:before="260" w:after="260" w:line="413" w:lineRule="auto"/>
      <w:outlineLvl w:val="1"/>
    </w:pPr>
    <w:rPr>
      <w:rFonts w:ascii="Arial" w:hAnsi="Arial" w:eastAsia="黑体"/>
      <w:b/>
      <w:bCs/>
      <w:sz w:val="32"/>
      <w:szCs w:val="32"/>
    </w:rPr>
  </w:style>
  <w:style w:type="paragraph" w:customStyle="1" w:styleId="44">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Normal_0"/>
    <w:qFormat/>
    <w:uiPriority w:val="99"/>
    <w:rPr>
      <w:rFonts w:ascii="Calibri" w:hAnsi="Calibri" w:eastAsia="宋体" w:cs="Times New Roman"/>
      <w:sz w:val="24"/>
      <w:szCs w:val="24"/>
      <w:lang w:val="en-US" w:eastAsia="zh-CN" w:bidi="ar-SA"/>
    </w:rPr>
  </w:style>
  <w:style w:type="paragraph" w:customStyle="1" w:styleId="48">
    <w:name w:val="Default"/>
    <w:next w:val="24"/>
    <w:unhideWhenUsed/>
    <w:qFormat/>
    <w:uiPriority w:val="99"/>
    <w:pPr>
      <w:widowControl w:val="0"/>
      <w:autoSpaceDE w:val="0"/>
      <w:autoSpaceDN w:val="0"/>
      <w:adjustRightInd w:val="0"/>
    </w:pPr>
    <w:rPr>
      <w:rFonts w:ascii="宋体" w:hAnsi="宋体" w:eastAsia="宋体" w:cs="Times New Roman"/>
      <w:color w:val="000000"/>
      <w:sz w:val="24"/>
      <w:lang w:val="en-US" w:eastAsia="zh-CN" w:bidi="ar-SA"/>
    </w:rPr>
  </w:style>
  <w:style w:type="character" w:customStyle="1" w:styleId="49">
    <w:name w:val="正文文本缩进 字符"/>
    <w:link w:val="3"/>
    <w:qFormat/>
    <w:locked/>
    <w:uiPriority w:val="0"/>
    <w:rPr>
      <w:rFonts w:ascii="宋体" w:hAnsi="Courier New" w:eastAsia="宋体"/>
      <w:spacing w:val="-4"/>
      <w:sz w:val="18"/>
    </w:rPr>
  </w:style>
  <w:style w:type="character" w:customStyle="1" w:styleId="50">
    <w:name w:val="标题 1 字符"/>
    <w:basedOn w:val="29"/>
    <w:link w:val="6"/>
    <w:qFormat/>
    <w:uiPriority w:val="0"/>
    <w:rPr>
      <w:rFonts w:ascii="宋体" w:hAnsi="Arial" w:eastAsia="黑体" w:cs="Times New Roman"/>
      <w:b/>
      <w:bCs/>
      <w:color w:val="000000"/>
      <w:kern w:val="44"/>
      <w:sz w:val="36"/>
      <w:szCs w:val="32"/>
    </w:rPr>
  </w:style>
  <w:style w:type="character" w:customStyle="1" w:styleId="51">
    <w:name w:val="标题 2 字符"/>
    <w:basedOn w:val="29"/>
    <w:link w:val="7"/>
    <w:semiHidden/>
    <w:qFormat/>
    <w:uiPriority w:val="9"/>
    <w:rPr>
      <w:rFonts w:ascii="Cambria" w:hAnsi="Cambria" w:eastAsia="宋体" w:cs="Times New Roman"/>
      <w:b/>
      <w:bCs/>
      <w:sz w:val="32"/>
      <w:szCs w:val="32"/>
    </w:rPr>
  </w:style>
  <w:style w:type="character" w:customStyle="1" w:styleId="52">
    <w:name w:val="标题 3 字符"/>
    <w:basedOn w:val="29"/>
    <w:link w:val="8"/>
    <w:semiHidden/>
    <w:qFormat/>
    <w:uiPriority w:val="9"/>
    <w:rPr>
      <w:rFonts w:ascii="Times New Roman" w:hAnsi="Times New Roman" w:eastAsia="宋体" w:cs="Times New Roman"/>
      <w:b/>
      <w:bCs/>
      <w:sz w:val="32"/>
      <w:szCs w:val="32"/>
    </w:rPr>
  </w:style>
  <w:style w:type="character" w:customStyle="1" w:styleId="53">
    <w:name w:val="标题 4 字符"/>
    <w:basedOn w:val="29"/>
    <w:link w:val="9"/>
    <w:semiHidden/>
    <w:qFormat/>
    <w:uiPriority w:val="9"/>
    <w:rPr>
      <w:rFonts w:ascii="Cambria" w:hAnsi="Cambria" w:eastAsia="宋体" w:cs="Times New Roman"/>
      <w:b/>
      <w:bCs/>
      <w:sz w:val="28"/>
      <w:szCs w:val="28"/>
    </w:rPr>
  </w:style>
  <w:style w:type="character" w:customStyle="1" w:styleId="54">
    <w:name w:val="标题 5 字符"/>
    <w:basedOn w:val="29"/>
    <w:link w:val="10"/>
    <w:semiHidden/>
    <w:qFormat/>
    <w:uiPriority w:val="9"/>
    <w:rPr>
      <w:rFonts w:ascii="Times New Roman" w:hAnsi="Times New Roman" w:eastAsia="宋体" w:cs="Times New Roman"/>
      <w:b/>
      <w:bCs/>
      <w:sz w:val="28"/>
      <w:szCs w:val="28"/>
    </w:rPr>
  </w:style>
  <w:style w:type="character" w:customStyle="1" w:styleId="55">
    <w:name w:val="标题 6 字符"/>
    <w:basedOn w:val="29"/>
    <w:link w:val="11"/>
    <w:semiHidden/>
    <w:qFormat/>
    <w:uiPriority w:val="9"/>
    <w:rPr>
      <w:rFonts w:ascii="Cambria" w:hAnsi="Cambria" w:eastAsia="宋体" w:cs="Times New Roman"/>
      <w:b/>
      <w:bCs/>
      <w:sz w:val="24"/>
      <w:szCs w:val="24"/>
    </w:rPr>
  </w:style>
  <w:style w:type="character" w:customStyle="1" w:styleId="56">
    <w:name w:val="标题 7 字符"/>
    <w:basedOn w:val="29"/>
    <w:link w:val="12"/>
    <w:semiHidden/>
    <w:qFormat/>
    <w:uiPriority w:val="9"/>
    <w:rPr>
      <w:rFonts w:ascii="Times New Roman" w:hAnsi="Times New Roman" w:eastAsia="宋体" w:cs="Times New Roman"/>
      <w:b/>
      <w:bCs/>
      <w:sz w:val="24"/>
      <w:szCs w:val="24"/>
    </w:rPr>
  </w:style>
  <w:style w:type="character" w:customStyle="1" w:styleId="57">
    <w:name w:val="纯文本 字符"/>
    <w:link w:val="17"/>
    <w:qFormat/>
    <w:uiPriority w:val="0"/>
    <w:rPr>
      <w:rFonts w:ascii="宋体" w:hAnsi="Courier New" w:eastAsia="宋体"/>
      <w:sz w:val="24"/>
    </w:rPr>
  </w:style>
  <w:style w:type="character" w:customStyle="1" w:styleId="58">
    <w:name w:val="日期 字符"/>
    <w:basedOn w:val="29"/>
    <w:link w:val="18"/>
    <w:semiHidden/>
    <w:qFormat/>
    <w:uiPriority w:val="99"/>
    <w:rPr>
      <w:rFonts w:ascii="Times New Roman" w:hAnsi="Times New Roman" w:eastAsia="宋体" w:cs="Times New Roman"/>
      <w:sz w:val="28"/>
      <w:szCs w:val="20"/>
    </w:rPr>
  </w:style>
  <w:style w:type="character" w:customStyle="1" w:styleId="59">
    <w:name w:val="批注框文本 字符"/>
    <w:basedOn w:val="29"/>
    <w:link w:val="19"/>
    <w:semiHidden/>
    <w:qFormat/>
    <w:uiPriority w:val="99"/>
    <w:rPr>
      <w:rFonts w:ascii="Times New Roman" w:hAnsi="Times New Roman" w:eastAsia="宋体" w:cs="Times New Roman"/>
      <w:sz w:val="18"/>
      <w:szCs w:val="18"/>
    </w:rPr>
  </w:style>
  <w:style w:type="character" w:customStyle="1" w:styleId="60">
    <w:name w:val="页脚 字符"/>
    <w:basedOn w:val="29"/>
    <w:link w:val="20"/>
    <w:qFormat/>
    <w:uiPriority w:val="99"/>
    <w:rPr>
      <w:rFonts w:ascii="Times New Roman" w:hAnsi="Times New Roman" w:eastAsia="宋体" w:cs="Times New Roman"/>
      <w:sz w:val="18"/>
      <w:szCs w:val="18"/>
    </w:rPr>
  </w:style>
  <w:style w:type="character" w:customStyle="1" w:styleId="61">
    <w:name w:val="页眉 字符"/>
    <w:basedOn w:val="29"/>
    <w:link w:val="21"/>
    <w:semiHidden/>
    <w:qFormat/>
    <w:uiPriority w:val="99"/>
    <w:rPr>
      <w:rFonts w:ascii="Times New Roman" w:hAnsi="Times New Roman" w:eastAsia="宋体" w:cs="Times New Roman"/>
      <w:sz w:val="18"/>
      <w:szCs w:val="18"/>
    </w:rPr>
  </w:style>
  <w:style w:type="character" w:customStyle="1" w:styleId="62">
    <w:name w:val="标题 字符"/>
    <w:basedOn w:val="29"/>
    <w:link w:val="26"/>
    <w:qFormat/>
    <w:uiPriority w:val="10"/>
    <w:rPr>
      <w:rFonts w:ascii="Cambria" w:hAnsi="Cambria" w:eastAsia="宋体" w:cs="Times New Roman"/>
      <w:b/>
      <w:bCs/>
      <w:sz w:val="32"/>
      <w:szCs w:val="32"/>
    </w:rPr>
  </w:style>
  <w:style w:type="character" w:customStyle="1" w:styleId="63">
    <w:name w:val="正文文本缩进 Char1"/>
    <w:basedOn w:val="29"/>
    <w:semiHidden/>
    <w:qFormat/>
    <w:uiPriority w:val="99"/>
    <w:rPr>
      <w:rFonts w:ascii="Times New Roman" w:hAnsi="Times New Roman" w:eastAsia="宋体" w:cs="Times New Roman"/>
      <w:sz w:val="28"/>
      <w:szCs w:val="20"/>
    </w:rPr>
  </w:style>
  <w:style w:type="character" w:customStyle="1" w:styleId="64">
    <w:name w:val="纯文本 Char"/>
    <w:basedOn w:val="29"/>
    <w:semiHidden/>
    <w:qFormat/>
    <w:uiPriority w:val="99"/>
    <w:rPr>
      <w:rFonts w:ascii="宋体" w:hAnsi="Courier New" w:eastAsia="宋体" w:cs="Courier New"/>
      <w:szCs w:val="21"/>
    </w:rPr>
  </w:style>
  <w:style w:type="character" w:customStyle="1" w:styleId="65">
    <w:name w:val="列出段落 字符"/>
    <w:link w:val="33"/>
    <w:qFormat/>
    <w:locked/>
    <w:uiPriority w:val="0"/>
    <w:rPr>
      <w:rFonts w:ascii="Times New Roman" w:hAnsi="Times New Roman" w:eastAsia="宋体" w:cs="Times New Roman"/>
      <w:sz w:val="28"/>
      <w:szCs w:val="20"/>
    </w:rPr>
  </w:style>
  <w:style w:type="character" w:customStyle="1" w:styleId="66">
    <w:name w:val="正文 第五章 中间"/>
    <w:qFormat/>
    <w:uiPriority w:val="0"/>
    <w:rPr>
      <w:b/>
      <w:bCs/>
      <w:color w:val="000000"/>
      <w:sz w:val="32"/>
    </w:rPr>
  </w:style>
  <w:style w:type="character" w:customStyle="1" w:styleId="67">
    <w:name w:val="标题 3 Char"/>
    <w:qFormat/>
    <w:uiPriority w:val="0"/>
    <w:rPr>
      <w:rFonts w:eastAsia="宋体"/>
      <w:b/>
      <w:bCs/>
      <w:kern w:val="2"/>
      <w:sz w:val="32"/>
      <w:szCs w:val="32"/>
      <w:lang w:val="en-US" w:eastAsia="zh-CN" w:bidi="ar-SA"/>
    </w:rPr>
  </w:style>
  <w:style w:type="paragraph" w:customStyle="1" w:styleId="68">
    <w:name w:val="xl31"/>
    <w:basedOn w:val="1"/>
    <w:qFormat/>
    <w:uiPriority w:val="0"/>
    <w:pPr>
      <w:widowControl/>
      <w:spacing w:before="100" w:beforeAutospacing="1" w:after="100" w:afterAutospacing="1"/>
      <w:jc w:val="center"/>
    </w:pPr>
    <w:rPr>
      <w:rFonts w:ascii="宋体" w:hAnsi="宋体"/>
      <w:b/>
      <w:bCs/>
      <w:kern w:val="0"/>
      <w:szCs w:val="28"/>
    </w:rPr>
  </w:style>
  <w:style w:type="paragraph" w:customStyle="1" w:styleId="69">
    <w:name w:val="正文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70">
    <w:name w:val="正文_3"/>
    <w:basedOn w:val="1"/>
    <w:qFormat/>
    <w:uiPriority w:val="0"/>
    <w:pPr>
      <w:jc w:val="center"/>
    </w:pPr>
    <w:rPr>
      <w:rFonts w:ascii="宋体" w:hAnsi="宋体"/>
      <w:b/>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42</Pages>
  <Words>18995</Words>
  <Characters>19686</Characters>
  <Lines>170</Lines>
  <Paragraphs>48</Paragraphs>
  <TotalTime>6</TotalTime>
  <ScaleCrop>false</ScaleCrop>
  <LinksUpToDate>false</LinksUpToDate>
  <CharactersWithSpaces>22553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Cris~</cp:lastModifiedBy>
  <cp:lastPrinted>2019-06-10T01:13:00Z</cp:lastPrinted>
  <dcterms:modified xsi:type="dcterms:W3CDTF">2023-09-11T01:35:47Z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EC2D55065EE9410B8AC07D03BAF4E20B</vt:lpwstr>
  </property>
</Properties>
</file>