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1077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皖南医学院校医院屋面防水翻新及卫生间改造工程项目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pStyle w:val="2"/>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6</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7"/>
          </w:pPr>
        </w:p>
        <w:p>
          <w:pPr>
            <w:pStyle w:val="17"/>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7"/>
              <w:rFonts w:hint="eastAsia"/>
              <w:b w:val="0"/>
              <w:sz w:val="28"/>
              <w:szCs w:val="28"/>
            </w:rPr>
            <w:t>第一章</w:t>
          </w:r>
          <w:r>
            <w:rPr>
              <w:rStyle w:val="27"/>
              <w:b w:val="0"/>
              <w:sz w:val="28"/>
              <w:szCs w:val="28"/>
            </w:rPr>
            <w:t xml:space="preserve">  </w:t>
          </w:r>
          <w:r>
            <w:rPr>
              <w:rStyle w:val="27"/>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7"/>
              <w:rFonts w:hint="eastAsia"/>
              <w:b w:val="0"/>
              <w:sz w:val="28"/>
              <w:szCs w:val="28"/>
            </w:rPr>
            <w:t>第二章</w:t>
          </w:r>
          <w:r>
            <w:rPr>
              <w:rStyle w:val="27"/>
              <w:b w:val="0"/>
              <w:sz w:val="28"/>
              <w:szCs w:val="28"/>
            </w:rPr>
            <w:t xml:space="preserve">  </w:t>
          </w:r>
          <w:r>
            <w:rPr>
              <w:rStyle w:val="27"/>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7"/>
              <w:rFonts w:hint="eastAsia"/>
              <w:b w:val="0"/>
              <w:sz w:val="28"/>
              <w:szCs w:val="28"/>
            </w:rPr>
            <w:t>第三章</w:t>
          </w:r>
          <w:r>
            <w:rPr>
              <w:rStyle w:val="27"/>
              <w:b w:val="0"/>
              <w:sz w:val="28"/>
              <w:szCs w:val="28"/>
            </w:rPr>
            <w:t xml:space="preserve">  </w:t>
          </w:r>
          <w:r>
            <w:rPr>
              <w:rStyle w:val="27"/>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7"/>
              <w:rFonts w:hint="eastAsia"/>
              <w:b w:val="0"/>
              <w:sz w:val="28"/>
              <w:szCs w:val="28"/>
            </w:rPr>
            <w:t>第四章</w:t>
          </w:r>
          <w:r>
            <w:rPr>
              <w:rStyle w:val="27"/>
              <w:b w:val="0"/>
              <w:sz w:val="28"/>
              <w:szCs w:val="28"/>
            </w:rPr>
            <w:t xml:space="preserve">  </w:t>
          </w:r>
          <w:r>
            <w:rPr>
              <w:rStyle w:val="27"/>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7"/>
              <w:rFonts w:hint="eastAsia"/>
              <w:b w:val="0"/>
              <w:sz w:val="28"/>
              <w:szCs w:val="28"/>
            </w:rPr>
            <w:t>第五章</w:t>
          </w:r>
          <w:r>
            <w:rPr>
              <w:rStyle w:val="27"/>
              <w:b w:val="0"/>
              <w:sz w:val="28"/>
              <w:szCs w:val="28"/>
            </w:rPr>
            <w:t xml:space="preserve">  </w:t>
          </w:r>
          <w:r>
            <w:rPr>
              <w:rStyle w:val="27"/>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7"/>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7"/>
              <w:rFonts w:hint="eastAsia"/>
              <w:b w:val="0"/>
              <w:sz w:val="28"/>
              <w:szCs w:val="28"/>
            </w:rPr>
            <w:t>第六章</w:t>
          </w:r>
          <w:r>
            <w:rPr>
              <w:rStyle w:val="27"/>
              <w:b w:val="0"/>
              <w:sz w:val="28"/>
              <w:szCs w:val="28"/>
            </w:rPr>
            <w:t xml:space="preserve">  </w:t>
          </w:r>
          <w:r>
            <w:rPr>
              <w:rStyle w:val="27"/>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7"/>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7"/>
              <w:rFonts w:hint="eastAsia"/>
              <w:b w:val="0"/>
              <w:sz w:val="28"/>
              <w:szCs w:val="28"/>
            </w:rPr>
            <w:t>第七章</w:t>
          </w:r>
          <w:r>
            <w:rPr>
              <w:rStyle w:val="27"/>
              <w:b w:val="0"/>
              <w:sz w:val="28"/>
              <w:szCs w:val="28"/>
            </w:rPr>
            <w:t xml:space="preserve">  </w:t>
          </w:r>
          <w:r>
            <w:rPr>
              <w:rStyle w:val="27"/>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皖南医学院校医院屋面防水翻新及卫生间改造工程项目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jc w:val="both"/>
        <w:rPr>
          <w:rFonts w:ascii="仿宋_GB2312" w:eastAsia="仿宋_GB2312"/>
          <w:szCs w:val="28"/>
        </w:rPr>
      </w:pPr>
      <w:r>
        <w:rPr>
          <w:rFonts w:hint="eastAsia" w:ascii="仿宋_GB2312" w:eastAsia="仿宋_GB2312"/>
          <w:szCs w:val="28"/>
          <w:lang w:val="en-US" w:eastAsia="zh-CN"/>
        </w:rPr>
        <w:t>1.</w:t>
      </w:r>
      <w:r>
        <w:rPr>
          <w:rFonts w:hint="eastAsia" w:ascii="仿宋_GB2312" w:eastAsia="仿宋_GB2312"/>
          <w:szCs w:val="28"/>
        </w:rPr>
        <w:t>项目名称：校医院屋面防水翻新及卫生间改造工程项目；</w:t>
      </w:r>
    </w:p>
    <w:p>
      <w:pPr>
        <w:adjustRightInd w:val="0"/>
        <w:snapToGrid w:val="0"/>
        <w:spacing w:line="500" w:lineRule="atLeast"/>
        <w:ind w:firstLine="529" w:firstLineChars="189"/>
        <w:jc w:val="both"/>
        <w:rPr>
          <w:rFonts w:ascii="仿宋_GB2312" w:eastAsia="仿宋_GB2312"/>
          <w:szCs w:val="28"/>
        </w:rPr>
      </w:pPr>
      <w:r>
        <w:rPr>
          <w:rFonts w:hint="eastAsia" w:ascii="仿宋_GB2312" w:eastAsia="仿宋_GB2312"/>
          <w:szCs w:val="28"/>
          <w:lang w:val="en-US" w:eastAsia="zh-CN"/>
        </w:rPr>
        <w:t>2.</w:t>
      </w:r>
      <w:r>
        <w:rPr>
          <w:rFonts w:hint="eastAsia" w:ascii="仿宋_GB2312" w:eastAsia="仿宋_GB2312"/>
          <w:szCs w:val="28"/>
        </w:rPr>
        <w:t>项目编号：WYGZ202</w:t>
      </w:r>
      <w:r>
        <w:rPr>
          <w:rFonts w:hint="eastAsia" w:ascii="仿宋_GB2312" w:eastAsia="仿宋_GB2312"/>
          <w:szCs w:val="28"/>
          <w:lang w:val="en-US" w:eastAsia="zh-CN"/>
        </w:rPr>
        <w:t>10</w:t>
      </w:r>
      <w:r>
        <w:rPr>
          <w:rFonts w:hint="default" w:ascii="仿宋_GB2312" w:eastAsia="仿宋_GB2312"/>
          <w:szCs w:val="28"/>
          <w:lang w:eastAsia="zh-CN"/>
        </w:rPr>
        <w:t>77</w:t>
      </w:r>
      <w:r>
        <w:rPr>
          <w:rFonts w:hint="eastAsia" w:ascii="仿宋_GB2312" w:eastAsia="仿宋_GB2312"/>
          <w:szCs w:val="28"/>
        </w:rPr>
        <w:t>;</w:t>
      </w:r>
    </w:p>
    <w:p>
      <w:pPr>
        <w:pStyle w:val="2"/>
        <w:jc w:val="both"/>
        <w:rPr>
          <w:rFonts w:hint="eastAsia" w:eastAsia="仿宋_GB2312"/>
          <w:b w:val="0"/>
          <w:bCs w:val="0"/>
          <w:color w:val="auto"/>
          <w:lang w:eastAsia="zh-CN"/>
        </w:rPr>
      </w:pPr>
      <w:r>
        <w:rPr>
          <w:rFonts w:hint="eastAsia" w:ascii="仿宋_GB2312" w:eastAsia="仿宋_GB2312"/>
          <w:b w:val="0"/>
          <w:bCs w:val="0"/>
          <w:color w:val="auto"/>
          <w:szCs w:val="28"/>
          <w:lang w:val="en-US" w:eastAsia="zh-CN"/>
        </w:rPr>
        <w:t>3.</w:t>
      </w:r>
      <w:r>
        <w:rPr>
          <w:rFonts w:hint="eastAsia" w:ascii="仿宋_GB2312" w:eastAsia="仿宋_GB2312"/>
          <w:b w:val="0"/>
          <w:bCs w:val="0"/>
          <w:color w:val="auto"/>
          <w:szCs w:val="28"/>
          <w:lang w:eastAsia="zh-CN"/>
        </w:rPr>
        <w:t>项目控制价：</w:t>
      </w:r>
      <w:r>
        <w:rPr>
          <w:rFonts w:hint="eastAsia" w:ascii="仿宋_GB2312" w:eastAsia="仿宋_GB2312"/>
          <w:b w:val="0"/>
          <w:bCs w:val="0"/>
          <w:color w:val="auto"/>
          <w:szCs w:val="28"/>
          <w:lang w:val="en-US" w:eastAsia="zh-CN"/>
        </w:rPr>
        <w:t>142021.94元</w:t>
      </w:r>
    </w:p>
    <w:p>
      <w:pPr>
        <w:pStyle w:val="2"/>
        <w:ind w:left="0" w:leftChars="0" w:firstLine="560" w:firstLineChars="200"/>
        <w:jc w:val="both"/>
        <w:rPr>
          <w:rFonts w:ascii="仿宋_GB2312" w:eastAsia="仿宋_GB2312"/>
          <w:sz w:val="30"/>
          <w:szCs w:val="30"/>
        </w:rPr>
      </w:pPr>
      <w:r>
        <w:rPr>
          <w:rFonts w:hint="eastAsia" w:ascii="仿宋_GB2312" w:eastAsia="仿宋_GB2312"/>
          <w:szCs w:val="28"/>
          <w:lang w:val="en-US" w:eastAsia="zh-CN"/>
        </w:rPr>
        <w:t>4.</w:t>
      </w:r>
      <w:r>
        <w:rPr>
          <w:rFonts w:hint="eastAsia" w:ascii="仿宋_GB2312" w:eastAsia="仿宋_GB2312"/>
          <w:szCs w:val="28"/>
        </w:rPr>
        <w:t>项目内容：校医院屋面防水翻新及卫生间改造工程项目（详见磋商文件）。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（1）投标人资质：投标人应具备《中华人民共和国政府采购法》第二十二条规定的条件</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（2）具有建筑装修装饰工程专业承包二级或以上资质；</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（3）在我校有项目业绩的单位，被学校以工期延误或决算办理迟缓发函警告的单位禁止参加；</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（4）本项目不接受联合体投标。</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w:t>
      </w:r>
      <w:r>
        <w:rPr>
          <w:rFonts w:hint="eastAsia" w:ascii="仿宋_GB2312" w:eastAsia="仿宋_GB2312"/>
          <w:szCs w:val="28"/>
          <w:lang w:val="en-US" w:eastAsia="zh-CN"/>
        </w:rPr>
        <w:t>5</w:t>
      </w:r>
      <w:r>
        <w:rPr>
          <w:rFonts w:hint="eastAsia" w:ascii="仿宋_GB2312" w:eastAsia="仿宋_GB2312"/>
          <w:szCs w:val="28"/>
          <w:lang w:eastAsia="zh-CN"/>
        </w:rPr>
        <w:t>）拟派项目经理资格：具有建筑工程贰级及以上建造师注册执业资格，投标人在投标文件中需出具“ 建造师注册证书 ”的复印件</w:t>
      </w:r>
      <w:r>
        <w:rPr>
          <w:rFonts w:hint="eastAsia" w:ascii="仿宋_GB2312" w:eastAsia="仿宋_GB2312"/>
          <w:szCs w:val="28"/>
        </w:rPr>
        <w:t>；</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25</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6</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25</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皖南医学院校医院屋面防水翻新及卫生间改造工程项目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napToGrid w:val="0"/>
              <w:jc w:val="left"/>
              <w:rPr>
                <w:rFonts w:hint="default" w:ascii="宋体" w:hAnsi="宋体" w:eastAsia="宋体" w:cs="宋体"/>
                <w:kern w:val="0"/>
                <w:sz w:val="21"/>
                <w:szCs w:val="21"/>
                <w:highlight w:val="none"/>
                <w:lang w:val="en-US" w:eastAsia="zh-CN"/>
              </w:rPr>
            </w:pPr>
            <w:r>
              <w:rPr>
                <w:rFonts w:hint="eastAsia" w:ascii="宋体" w:hAnsi="宋体"/>
                <w:kern w:val="0"/>
                <w:sz w:val="21"/>
                <w:szCs w:val="21"/>
                <w:lang w:val="en-US" w:eastAsia="zh-CN"/>
              </w:rPr>
              <w:t>集中踏勘；</w:t>
            </w:r>
            <w:r>
              <w:rPr>
                <w:rFonts w:hint="eastAsia" w:ascii="宋体" w:hAnsi="宋体" w:cs="宋体"/>
                <w:kern w:val="0"/>
                <w:sz w:val="21"/>
                <w:szCs w:val="21"/>
                <w:lang w:val="en-US" w:eastAsia="zh-CN"/>
              </w:rPr>
              <w:t>踏勘时间：</w:t>
            </w:r>
            <w:r>
              <w:rPr>
                <w:rFonts w:hint="eastAsia" w:ascii="宋体" w:hAnsi="宋体" w:cs="宋体"/>
                <w:kern w:val="0"/>
                <w:sz w:val="21"/>
                <w:szCs w:val="21"/>
                <w:highlight w:val="none"/>
                <w:lang w:val="en-US" w:eastAsia="zh-CN"/>
              </w:rPr>
              <w:t>2021年7月5日上午10点(需提前一个工作日告知校内联系人王老师)。</w:t>
            </w:r>
          </w:p>
          <w:p>
            <w:pPr>
              <w:spacing w:line="360" w:lineRule="exact"/>
              <w:rPr>
                <w:rFonts w:hint="default" w:ascii="宋体" w:hAnsi="宋体" w:eastAsia="宋体"/>
                <w:kern w:val="0"/>
                <w:sz w:val="21"/>
                <w:szCs w:val="21"/>
                <w:lang w:val="en-US" w:eastAsia="zh-CN"/>
              </w:rPr>
            </w:pPr>
            <w:r>
              <w:rPr>
                <w:rFonts w:hint="eastAsia" w:ascii="宋体" w:hAnsi="宋体" w:cs="宋体"/>
                <w:kern w:val="0"/>
                <w:sz w:val="21"/>
                <w:szCs w:val="21"/>
              </w:rPr>
              <w:t>联系人：</w:t>
            </w:r>
            <w:r>
              <w:rPr>
                <w:rFonts w:hint="eastAsia" w:ascii="宋体" w:hAnsi="宋体" w:cs="宋体"/>
                <w:kern w:val="0"/>
                <w:sz w:val="21"/>
                <w:szCs w:val="21"/>
                <w:lang w:eastAsia="zh-CN"/>
              </w:rPr>
              <w:t>王</w:t>
            </w:r>
            <w:r>
              <w:rPr>
                <w:rFonts w:hint="eastAsia" w:ascii="宋体" w:hAnsi="宋体" w:cs="宋体"/>
                <w:kern w:val="0"/>
                <w:sz w:val="21"/>
                <w:szCs w:val="21"/>
              </w:rPr>
              <w:t>老师，联系方式：0553-3932</w:t>
            </w:r>
            <w:r>
              <w:rPr>
                <w:rFonts w:hint="eastAsia" w:ascii="宋体" w:hAnsi="宋体" w:cs="宋体"/>
                <w:kern w:val="0"/>
                <w:sz w:val="21"/>
                <w:szCs w:val="21"/>
                <w:lang w:val="en-US" w:eastAsia="zh-CN"/>
              </w:rPr>
              <w:t>657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kern w:val="0"/>
                <w:sz w:val="21"/>
                <w:szCs w:val="21"/>
                <w:lang w:eastAsia="zh-CN"/>
              </w:rPr>
            </w:pPr>
            <w:r>
              <w:rPr>
                <w:rFonts w:ascii="宋体" w:hAnsi="宋体"/>
                <w:kern w:val="0"/>
                <w:sz w:val="21"/>
                <w:szCs w:val="21"/>
              </w:rPr>
              <w:t>金额：</w:t>
            </w:r>
            <w:r>
              <w:rPr>
                <w:rFonts w:hint="eastAsia" w:ascii="宋体" w:hAnsi="宋体"/>
                <w:kern w:val="0"/>
                <w:sz w:val="21"/>
                <w:szCs w:val="21"/>
                <w:u w:val="single"/>
              </w:rPr>
              <w:t xml:space="preserve">人民币 </w:t>
            </w:r>
            <w:r>
              <w:rPr>
                <w:rFonts w:hint="eastAsia" w:ascii="宋体" w:hAnsi="宋体"/>
                <w:kern w:val="0"/>
                <w:sz w:val="21"/>
                <w:szCs w:val="21"/>
                <w:u w:val="single"/>
                <w:lang w:val="en-US" w:eastAsia="zh-CN"/>
              </w:rPr>
              <w:t>3000</w:t>
            </w:r>
            <w:r>
              <w:rPr>
                <w:rFonts w:hint="eastAsia" w:ascii="宋体" w:hAnsi="宋体"/>
                <w:kern w:val="0"/>
                <w:sz w:val="21"/>
                <w:szCs w:val="21"/>
                <w:u w:val="single"/>
              </w:rPr>
              <w:t xml:space="preserve"> 元</w:t>
            </w:r>
            <w:r>
              <w:rPr>
                <w:rFonts w:ascii="宋体" w:hAnsi="宋体"/>
                <w:kern w:val="0"/>
                <w:sz w:val="21"/>
                <w:szCs w:val="21"/>
              </w:rPr>
              <w:t>。</w:t>
            </w:r>
            <w:r>
              <w:rPr>
                <w:rFonts w:hint="eastAsia" w:ascii="宋体" w:hAnsi="宋体"/>
                <w:kern w:val="0"/>
                <w:sz w:val="21"/>
                <w:szCs w:val="21"/>
                <w:lang w:eastAsia="zh-CN"/>
              </w:rPr>
              <w:t>（需在开标前一天工作日下午</w:t>
            </w:r>
            <w:r>
              <w:rPr>
                <w:rFonts w:hint="eastAsia" w:ascii="宋体" w:hAnsi="宋体"/>
                <w:kern w:val="0"/>
                <w:sz w:val="21"/>
                <w:szCs w:val="21"/>
                <w:lang w:val="en-US" w:eastAsia="zh-CN"/>
              </w:rPr>
              <w:t>2点前汇入</w:t>
            </w:r>
            <w:r>
              <w:rPr>
                <w:rFonts w:hint="eastAsia" w:ascii="宋体" w:hAnsi="宋体"/>
                <w:kern w:val="0"/>
                <w:sz w:val="21"/>
                <w:szCs w:val="21"/>
                <w:lang w:eastAsia="zh-CN"/>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7500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513029204"/>
      <w:bookmarkStart w:id="11" w:name="_Toc16938520"/>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16938521"/>
      <w:bookmarkStart w:id="13" w:name="_Toc20823277"/>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5"/>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20823278"/>
      <w:bookmarkStart w:id="16" w:name="_Toc16938522"/>
      <w:bookmarkStart w:id="17" w:name="_Toc513029206"/>
      <w:r>
        <w:rPr>
          <w:rFonts w:hint="eastAsia" w:ascii="仿宋_GB2312" w:eastAsia="仿宋_GB2312"/>
          <w:color w:val="000000"/>
          <w:szCs w:val="28"/>
        </w:rPr>
        <w:t>4.适用法律</w:t>
      </w:r>
      <w:bookmarkEnd w:id="15"/>
      <w:bookmarkEnd w:id="16"/>
      <w:bookmarkEnd w:id="1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16938523"/>
      <w:bookmarkStart w:id="19" w:name="_Toc513029207"/>
      <w:bookmarkStart w:id="20" w:name="_Toc20823279"/>
      <w:bookmarkStart w:id="21" w:name="_Toc462564067"/>
      <w:r>
        <w:rPr>
          <w:rFonts w:hint="eastAsia" w:ascii="仿宋_GB2312" w:eastAsia="仿宋_GB2312"/>
          <w:color w:val="000000"/>
          <w:szCs w:val="28"/>
        </w:rPr>
        <w:t>5.磋商费用</w:t>
      </w:r>
      <w:bookmarkEnd w:id="18"/>
      <w:bookmarkEnd w:id="19"/>
      <w:bookmarkEnd w:id="20"/>
      <w:bookmarkEnd w:id="21"/>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16938525"/>
      <w:bookmarkStart w:id="24" w:name="_Toc20823281"/>
      <w:bookmarkStart w:id="25" w:name="_Toc513029209"/>
      <w:bookmarkStart w:id="26" w:name="_Toc403987206"/>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20823282"/>
      <w:bookmarkStart w:id="28" w:name="_Toc513029210"/>
      <w:bookmarkStart w:id="29" w:name="_Toc16938526"/>
      <w:r>
        <w:rPr>
          <w:rFonts w:hint="eastAsia" w:ascii="仿宋_GB2312" w:eastAsia="仿宋_GB2312"/>
          <w:color w:val="000000"/>
          <w:szCs w:val="28"/>
        </w:rPr>
        <w:t>1.磋商文件构成</w:t>
      </w:r>
      <w:bookmarkEnd w:id="27"/>
      <w:bookmarkEnd w:id="28"/>
      <w:bookmarkEnd w:id="29"/>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16938527"/>
      <w:bookmarkStart w:id="33" w:name="_Toc513029211"/>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20823285"/>
      <w:bookmarkStart w:id="35" w:name="_Toc120614216"/>
      <w:bookmarkStart w:id="36" w:name="_Toc16938529"/>
      <w:bookmarkStart w:id="37" w:name="_Toc403987207"/>
      <w:bookmarkStart w:id="38" w:name="_Toc462564072"/>
      <w:bookmarkStart w:id="39" w:name="_Toc513029213"/>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513029214"/>
      <w:bookmarkStart w:id="43" w:name="_Toc16938530"/>
      <w:bookmarkStart w:id="44" w:name="_Toc20823286"/>
      <w:r>
        <w:rPr>
          <w:rFonts w:hint="eastAsia" w:ascii="仿宋_GB2312" w:eastAsia="仿宋_GB2312"/>
          <w:color w:val="000000"/>
          <w:szCs w:val="28"/>
        </w:rPr>
        <w:t>3.响应文件的语言及度量衡单位</w:t>
      </w:r>
      <w:bookmarkEnd w:id="41"/>
      <w:bookmarkEnd w:id="42"/>
      <w:bookmarkEnd w:id="43"/>
      <w:bookmarkEnd w:id="44"/>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462564074"/>
      <w:bookmarkStart w:id="46" w:name="_Toc513029215"/>
      <w:bookmarkStart w:id="47" w:name="_Toc20823287"/>
      <w:bookmarkStart w:id="48" w:name="_Toc16938531"/>
      <w:r>
        <w:rPr>
          <w:rFonts w:hint="eastAsia" w:ascii="仿宋_GB2312" w:eastAsia="仿宋_GB2312"/>
          <w:color w:val="000000"/>
          <w:szCs w:val="28"/>
        </w:rPr>
        <w:t>4.响应文件构成</w:t>
      </w:r>
      <w:bookmarkEnd w:id="45"/>
      <w:bookmarkEnd w:id="46"/>
      <w:bookmarkEnd w:id="47"/>
      <w:bookmarkEnd w:id="4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5"/>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668975"/>
      <w:bookmarkEnd w:id="50"/>
      <w:bookmarkStart w:id="51" w:name="_Hlt26954838"/>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5"/>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5"/>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670482"/>
      <w:bookmarkEnd w:id="63"/>
      <w:bookmarkStart w:id="64" w:name="_Hlt26670486"/>
      <w:bookmarkEnd w:id="64"/>
      <w:bookmarkStart w:id="65" w:name="_Hlt26954731"/>
      <w:bookmarkEnd w:id="65"/>
      <w:bookmarkStart w:id="66" w:name="_Hlt26954848"/>
      <w:bookmarkEnd w:id="66"/>
      <w:bookmarkStart w:id="67" w:name="_Hlt26954846"/>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5"/>
        <w:snapToGrid w:val="0"/>
        <w:spacing w:line="500" w:lineRule="exact"/>
        <w:ind w:firstLine="560"/>
        <w:rPr>
          <w:rFonts w:ascii="仿宋_GB2312" w:hAnsi="宋体" w:eastAsia="仿宋_GB2312"/>
          <w:color w:val="000000"/>
          <w:szCs w:val="28"/>
        </w:rPr>
      </w:pPr>
      <w:bookmarkStart w:id="70" w:name="_Hlt26670489"/>
      <w:bookmarkEnd w:id="70"/>
      <w:bookmarkStart w:id="71" w:name="_Hlt26954734"/>
      <w:bookmarkEnd w:id="71"/>
      <w:bookmarkStart w:id="72" w:name="_Hlt26954850"/>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852"/>
      <w:bookmarkEnd w:id="75"/>
      <w:bookmarkStart w:id="76" w:name="_Hlt26954739"/>
      <w:bookmarkEnd w:id="76"/>
      <w:bookmarkStart w:id="77" w:name="_Toc14577361"/>
      <w:bookmarkStart w:id="78" w:name="_Toc49090512"/>
      <w:r>
        <w:rPr>
          <w:rFonts w:hint="eastAsia" w:ascii="仿宋_GB2312" w:eastAsia="仿宋_GB2312"/>
          <w:color w:val="000000"/>
          <w:szCs w:val="28"/>
        </w:rPr>
        <w:t>9.响应文件份数和签署</w:t>
      </w:r>
      <w:bookmarkEnd w:id="77"/>
      <w:bookmarkEnd w:id="7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403987208"/>
      <w:bookmarkStart w:id="80" w:name="_Toc16938540"/>
      <w:bookmarkStart w:id="81" w:name="_Toc513029224"/>
      <w:bookmarkStart w:id="82" w:name="_Toc120614217"/>
      <w:bookmarkStart w:id="83" w:name="_Toc20823296"/>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20823297"/>
      <w:bookmarkStart w:id="85" w:name="_Toc16938541"/>
      <w:bookmarkStart w:id="86" w:name="_Toc462564084"/>
      <w:bookmarkStart w:id="87" w:name="_Toc513029225"/>
      <w:r>
        <w:rPr>
          <w:rFonts w:hint="eastAsia" w:ascii="仿宋_GB2312" w:eastAsia="仿宋_GB2312"/>
          <w:color w:val="000000"/>
          <w:szCs w:val="28"/>
        </w:rPr>
        <w:t>1.响应文件的密封和标记</w:t>
      </w:r>
      <w:bookmarkEnd w:id="84"/>
      <w:bookmarkEnd w:id="85"/>
      <w:bookmarkEnd w:id="86"/>
      <w:bookmarkEnd w:id="8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20823303"/>
      <w:bookmarkStart w:id="92" w:name="_Toc16938547"/>
      <w:bookmarkStart w:id="93" w:name="_Toc513029231"/>
      <w:r>
        <w:rPr>
          <w:rFonts w:hint="eastAsia" w:ascii="仿宋_GB2312" w:eastAsia="仿宋_GB2312"/>
          <w:color w:val="000000"/>
          <w:szCs w:val="28"/>
        </w:rPr>
        <w:t>2.磋商小组</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20823304"/>
      <w:bookmarkStart w:id="95" w:name="_Toc16938548"/>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513029233"/>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16938551"/>
      <w:bookmarkStart w:id="101" w:name="_Toc20823307"/>
      <w:bookmarkStart w:id="102" w:name="_Toc513029235"/>
      <w:r>
        <w:rPr>
          <w:rFonts w:hint="eastAsia" w:ascii="仿宋_GB2312" w:hAnsi="宋体" w:eastAsia="仿宋_GB2312"/>
          <w:color w:val="000000"/>
          <w:szCs w:val="28"/>
        </w:rPr>
        <w:t>响应无效条款</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20823310"/>
      <w:bookmarkStart w:id="104" w:name="_Toc16938554"/>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5"/>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403987211"/>
      <w:bookmarkStart w:id="106" w:name="_Toc120614220"/>
      <w:bookmarkStart w:id="107" w:name="_Toc513029236"/>
      <w:bookmarkStart w:id="108" w:name="_Toc20823308"/>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16938553"/>
      <w:bookmarkStart w:id="111" w:name="_Toc20823309"/>
      <w:bookmarkStart w:id="112" w:name="_Toc513029237"/>
      <w:r>
        <w:rPr>
          <w:rFonts w:hint="eastAsia" w:ascii="仿宋_GB2312" w:eastAsia="仿宋_GB2312"/>
          <w:color w:val="000000"/>
          <w:szCs w:val="28"/>
        </w:rPr>
        <w:t>1.签订合同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5"/>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5"/>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5"/>
        <w:snapToGrid w:val="0"/>
        <w:ind w:right="280" w:rightChars="100" w:firstLine="560"/>
        <w:rPr>
          <w:rFonts w:ascii="仿宋_GB2312" w:hAnsi="宋体" w:eastAsia="仿宋_GB2312"/>
          <w:bCs/>
          <w:color w:val="000000"/>
          <w:szCs w:val="28"/>
        </w:rPr>
      </w:pPr>
    </w:p>
    <w:p>
      <w:pPr>
        <w:pStyle w:val="35"/>
        <w:snapToGrid w:val="0"/>
        <w:ind w:left="0" w:leftChars="0" w:right="280" w:rightChars="100" w:firstLine="0" w:firstLineChars="0"/>
        <w:rPr>
          <w:rFonts w:ascii="仿宋_GB2312" w:hAnsi="宋体" w:eastAsia="仿宋_GB2312"/>
          <w:bCs/>
          <w:color w:val="000000"/>
          <w:szCs w:val="28"/>
        </w:rPr>
      </w:pPr>
    </w:p>
    <w:p>
      <w:pPr>
        <w:pStyle w:val="35"/>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color w:val="FF0000"/>
          <w:sz w:val="28"/>
          <w:szCs w:val="28"/>
        </w:rPr>
        <w:t>所有变更签证必须按照皖南医学院有关管理文件办理。具体参照《皖南医学院基建维修工程管理办法（修订）》</w:t>
      </w:r>
      <w:bookmarkStart w:id="116" w:name="文号"/>
      <w:r>
        <w:rPr>
          <w:rFonts w:hint="eastAsia"/>
          <w:color w:val="FF0000"/>
          <w:sz w:val="28"/>
          <w:szCs w:val="28"/>
        </w:rPr>
        <w:t>（校政〔2020〕118号</w:t>
      </w:r>
      <w:bookmarkEnd w:id="116"/>
      <w:r>
        <w:rPr>
          <w:rFonts w:hint="eastAsia"/>
          <w:color w:val="FF0000"/>
          <w:sz w:val="28"/>
          <w:szCs w:val="28"/>
        </w:rPr>
        <w:t>）及《后勤管理处基建维修工程变更签证管理规定（试行）》（后勤〔2020〕12号）文件执行。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2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566"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color w:val="FF0000"/>
          <w:sz w:val="28"/>
          <w:szCs w:val="28"/>
        </w:rPr>
      </w:pPr>
      <w:r>
        <w:rPr>
          <w:rFonts w:hint="eastAsia" w:ascii="宋体" w:hAnsi="宋体"/>
          <w:color w:val="FF0000"/>
          <w:sz w:val="28"/>
          <w:szCs w:val="28"/>
        </w:rPr>
        <w:t>3.</w:t>
      </w:r>
      <w:r>
        <w:rPr>
          <w:rFonts w:hint="eastAsia"/>
          <w:color w:val="FF0000"/>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2"/>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480" w:lineRule="exact"/>
        <w:rPr>
          <w:rFonts w:hint="eastAsia" w:ascii="仿宋_GB2312" w:hAnsi="仿宋" w:eastAsia="仿宋_GB2312"/>
          <w:szCs w:val="28"/>
          <w:lang w:eastAsia="zh-CN"/>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7" w:name="_Toc516580573"/>
      <w:bookmarkStart w:id="118" w:name="_Toc479170303"/>
      <w:r>
        <w:rPr>
          <w:rFonts w:hint="eastAsia" w:ascii="华文中宋" w:hAnsi="华文中宋" w:eastAsia="华文中宋"/>
          <w:b/>
          <w:bCs/>
          <w:color w:val="000000" w:themeColor="text1"/>
          <w:sz w:val="36"/>
          <w:szCs w:val="36"/>
        </w:rPr>
        <w:t>第五章  项目需求</w:t>
      </w:r>
      <w:bookmarkEnd w:id="117"/>
      <w:bookmarkEnd w:id="118"/>
    </w:p>
    <w:p>
      <w:pPr>
        <w:adjustRightInd w:val="0"/>
        <w:snapToGrid w:val="0"/>
        <w:spacing w:line="360" w:lineRule="auto"/>
        <w:ind w:firstLine="562" w:firstLineChars="200"/>
        <w:jc w:val="center"/>
        <w:rPr>
          <w:rFonts w:ascii="仿宋_GB2312" w:hAnsi="宋体" w:eastAsia="仿宋_GB2312"/>
          <w:b/>
          <w:szCs w:val="28"/>
        </w:rPr>
      </w:pPr>
      <w:bookmarkStart w:id="119" w:name="_Toc479170304"/>
      <w:bookmarkStart w:id="120" w:name="_Toc516580574"/>
    </w:p>
    <w:p>
      <w:pPr>
        <w:spacing w:line="500" w:lineRule="exact"/>
        <w:ind w:firstLine="560" w:firstLineChars="200"/>
        <w:rPr>
          <w:sz w:val="28"/>
          <w:szCs w:val="28"/>
        </w:rPr>
      </w:pPr>
      <w:r>
        <w:rPr>
          <w:rFonts w:hint="eastAsia"/>
          <w:sz w:val="28"/>
          <w:szCs w:val="28"/>
        </w:rPr>
        <w:t>1. 概况。本工程为校医院屋面防水翻新及卫生间改造工程，包括拆除工程，屋面防水重做，卫生间改造，给排水，强电，弱电，其他零星工程</w:t>
      </w:r>
      <w:r>
        <w:rPr>
          <w:rFonts w:hint="eastAsia"/>
          <w:color w:val="FF0000"/>
          <w:sz w:val="28"/>
          <w:szCs w:val="28"/>
        </w:rPr>
        <w:t>等。</w:t>
      </w:r>
      <w:r>
        <w:rPr>
          <w:rFonts w:hint="eastAsia"/>
          <w:sz w:val="28"/>
          <w:szCs w:val="28"/>
        </w:rPr>
        <w:t>详见施工图纸和工程量清单。</w:t>
      </w:r>
    </w:p>
    <w:p>
      <w:pPr>
        <w:spacing w:line="500" w:lineRule="exact"/>
        <w:ind w:firstLine="560" w:firstLineChars="200"/>
        <w:rPr>
          <w:sz w:val="28"/>
          <w:szCs w:val="28"/>
        </w:rPr>
      </w:pPr>
      <w:r>
        <w:rPr>
          <w:rFonts w:hint="eastAsia"/>
          <w:sz w:val="28"/>
          <w:szCs w:val="28"/>
        </w:rPr>
        <w:t>2.工程现场条件复杂，要求投标单位仔细勘踏现场，认真布置撰写施工方案，确保工程施工顺利开展。本次改造完成后要求达到学校验收标准。</w:t>
      </w:r>
    </w:p>
    <w:p>
      <w:pPr>
        <w:spacing w:line="500" w:lineRule="exact"/>
        <w:ind w:firstLine="560" w:firstLineChars="200"/>
        <w:rPr>
          <w:sz w:val="28"/>
          <w:szCs w:val="28"/>
        </w:rPr>
      </w:pPr>
      <w:r>
        <w:rPr>
          <w:rFonts w:hint="eastAsia"/>
          <w:sz w:val="28"/>
          <w:szCs w:val="28"/>
        </w:rPr>
        <w:t>3. 按国家建筑法、施工规范及规定，本工程建筑材料等均要进行检测试验（含材料复试），并提供合格的检测（复试）报告，主要检测项目是：水泥砂浆、电气、消防电器（设备）检测等，检测发生的费用均由承包人承担，总价包干，不另签证。</w:t>
      </w:r>
    </w:p>
    <w:p>
      <w:pPr>
        <w:spacing w:line="500" w:lineRule="exact"/>
        <w:ind w:firstLine="560" w:firstLineChars="200"/>
        <w:rPr>
          <w:sz w:val="28"/>
          <w:szCs w:val="28"/>
        </w:rPr>
      </w:pPr>
      <w:r>
        <w:rPr>
          <w:rFonts w:hint="eastAsia"/>
          <w:sz w:val="28"/>
          <w:szCs w:val="28"/>
        </w:rPr>
        <w:t>4. 施工用水、电由承包方挂表计量，新购的电表水表需要发包方确认。电按</w:t>
      </w:r>
      <w:r>
        <w:rPr>
          <w:sz w:val="28"/>
          <w:szCs w:val="28"/>
        </w:rPr>
        <w:t>1.00</w:t>
      </w:r>
      <w:r>
        <w:rPr>
          <w:rFonts w:hint="eastAsia"/>
          <w:sz w:val="28"/>
          <w:szCs w:val="28"/>
        </w:rPr>
        <w:t>元</w:t>
      </w:r>
      <w:r>
        <w:rPr>
          <w:sz w:val="28"/>
          <w:szCs w:val="28"/>
        </w:rPr>
        <w:t>/</w:t>
      </w:r>
      <w:r>
        <w:rPr>
          <w:rFonts w:hint="eastAsia"/>
          <w:sz w:val="28"/>
          <w:szCs w:val="28"/>
        </w:rPr>
        <w:t>度、水按</w:t>
      </w:r>
      <w:r>
        <w:rPr>
          <w:rFonts w:hint="eastAsia"/>
          <w:b/>
          <w:sz w:val="28"/>
          <w:szCs w:val="28"/>
        </w:rPr>
        <w:t>3.0</w:t>
      </w:r>
      <w:r>
        <w:rPr>
          <w:rFonts w:hint="eastAsia"/>
          <w:sz w:val="28"/>
          <w:szCs w:val="28"/>
        </w:rPr>
        <w:t>元</w:t>
      </w:r>
      <w:r>
        <w:rPr>
          <w:sz w:val="28"/>
          <w:szCs w:val="28"/>
        </w:rPr>
        <w:t>/</w:t>
      </w:r>
      <w:r>
        <w:rPr>
          <w:rFonts w:hint="eastAsia"/>
          <w:sz w:val="28"/>
          <w:szCs w:val="28"/>
        </w:rPr>
        <w:t>度计取（施工期间水电费如出现调整，按调整收费执行），抄表完成后，承包方将费用缴纳到建设单位指定的账户。</w:t>
      </w:r>
      <w:r>
        <w:rPr>
          <w:rFonts w:hint="eastAsia" w:ascii="宋体" w:hAnsi="宋体"/>
          <w:color w:val="FF0000"/>
          <w:sz w:val="28"/>
          <w:szCs w:val="28"/>
        </w:rPr>
        <w:t>如现场未挂表计量，则决算时按审定金额的千分之七予以扣除</w:t>
      </w:r>
      <w:r>
        <w:rPr>
          <w:rFonts w:hint="eastAsia"/>
          <w:sz w:val="28"/>
          <w:szCs w:val="28"/>
        </w:rPr>
        <w:t>。</w:t>
      </w:r>
    </w:p>
    <w:p>
      <w:pPr>
        <w:spacing w:line="500" w:lineRule="exact"/>
        <w:ind w:firstLine="560" w:firstLineChars="200"/>
        <w:rPr>
          <w:sz w:val="28"/>
          <w:szCs w:val="28"/>
        </w:rPr>
      </w:pPr>
      <w:r>
        <w:rPr>
          <w:rFonts w:hint="eastAsia"/>
          <w:sz w:val="28"/>
          <w:szCs w:val="28"/>
        </w:rPr>
        <w:t>5. 本工程原则上不进行变更，确因实际需要进行变更和签证、导致造价调增调减部分，原则上参照投标文件单价计算。投标文件中没有相同类型的子目，决算时执行2018版《安徽省建设工程工程量清单计价办法》和2018版《安徽省建设工程工程计价定额》及其配套的费用定额，相关优惠率同招标优惠率一致。</w:t>
      </w:r>
      <w:r>
        <w:rPr>
          <w:sz w:val="28"/>
          <w:szCs w:val="28"/>
        </w:rPr>
        <w:t>投标文件中没有的主材参考《芜湖工程造价信息》当月信息价八折计算，信息价中没有的材料结合市场定价。</w:t>
      </w:r>
    </w:p>
    <w:p>
      <w:pPr>
        <w:spacing w:line="500" w:lineRule="exact"/>
        <w:ind w:firstLine="560" w:firstLineChars="200"/>
        <w:rPr>
          <w:sz w:val="28"/>
          <w:szCs w:val="28"/>
        </w:rPr>
      </w:pPr>
      <w:r>
        <w:rPr>
          <w:rFonts w:hint="eastAsia"/>
          <w:sz w:val="28"/>
          <w:szCs w:val="28"/>
        </w:rPr>
        <w:t>6. 变更和签证按照学校相关文件要求执行。涉及到费用增加的，乙方须在3天内提交变更工程量计算书，提交甲方书面盖章签字确认，否则，视为该变更不涉及增加费用，若发生费用由承包方自理。</w:t>
      </w:r>
    </w:p>
    <w:p>
      <w:pPr>
        <w:spacing w:line="500" w:lineRule="exact"/>
        <w:ind w:firstLine="560" w:firstLineChars="200"/>
        <w:rPr>
          <w:sz w:val="28"/>
          <w:szCs w:val="28"/>
        </w:rPr>
      </w:pPr>
      <w:r>
        <w:rPr>
          <w:rFonts w:hint="eastAsia"/>
          <w:sz w:val="28"/>
          <w:szCs w:val="28"/>
        </w:rPr>
        <w:t>7. 工程款（进度款）支付的方式和节点：</w:t>
      </w:r>
    </w:p>
    <w:p>
      <w:pPr>
        <w:spacing w:line="500" w:lineRule="exact"/>
        <w:ind w:firstLine="560" w:firstLineChars="200"/>
        <w:rPr>
          <w:sz w:val="28"/>
          <w:szCs w:val="28"/>
        </w:rPr>
      </w:pPr>
      <w:r>
        <w:rPr>
          <w:rFonts w:hint="eastAsia" w:asciiTheme="majorEastAsia" w:hAnsiTheme="majorEastAsia" w:eastAsiaTheme="majorEastAsia"/>
          <w:color w:val="000000"/>
          <w:sz w:val="28"/>
          <w:szCs w:val="28"/>
        </w:rPr>
        <w:t>本工程不支付预付款。</w:t>
      </w:r>
      <w:r>
        <w:rPr>
          <w:rFonts w:hint="eastAsia"/>
          <w:sz w:val="28"/>
          <w:szCs w:val="28"/>
        </w:rPr>
        <w:t>工程施工结束，验收完成后，</w:t>
      </w:r>
      <w:r>
        <w:rPr>
          <w:rFonts w:hint="eastAsia"/>
          <w:color w:val="FF0000"/>
          <w:sz w:val="28"/>
          <w:szCs w:val="28"/>
        </w:rPr>
        <w:t>支付至合同价（扣除预留金或暂列金）70%</w:t>
      </w:r>
      <w:r>
        <w:rPr>
          <w:rFonts w:hint="eastAsia"/>
          <w:sz w:val="28"/>
          <w:szCs w:val="28"/>
        </w:rPr>
        <w:t>。剩余款待审计完成出具正式审计报告后全部支付，付款前承包人需将决算审计报告金额的3%工程款汇至发包人的账户，作为工程质保金，甲方收到工程质保金后支付审计报告的全部尾款；3%质保金在质保期满无质量问题后，无息退还。工程进度付款扣除预留金，待审计结束后一次性支付，每次支付工程款前需乙方提供正规的税务发票。特殊情况，甲方可调整付款次数和金额。</w:t>
      </w:r>
    </w:p>
    <w:p>
      <w:pPr>
        <w:spacing w:line="500" w:lineRule="exact"/>
        <w:ind w:firstLine="560" w:firstLineChars="200"/>
        <w:rPr>
          <w:color w:val="FF0000"/>
          <w:sz w:val="28"/>
          <w:szCs w:val="28"/>
        </w:rPr>
      </w:pPr>
      <w:r>
        <w:rPr>
          <w:rFonts w:hint="eastAsia"/>
          <w:color w:val="FF0000"/>
          <w:sz w:val="28"/>
          <w:szCs w:val="28"/>
        </w:rPr>
        <w:t>质保期以竣工验收报告盖章的最后的日期为准，防水（屋面、楼面、卫生间及阳台、走廊、外墙面及窗台等）工程质保期为2年，其他工程为1年；1年期满无质量问题无息退还。</w:t>
      </w:r>
    </w:p>
    <w:p>
      <w:pPr>
        <w:spacing w:line="500" w:lineRule="exact"/>
        <w:ind w:firstLine="560" w:firstLineChars="200"/>
        <w:rPr>
          <w:sz w:val="28"/>
          <w:szCs w:val="28"/>
        </w:rPr>
      </w:pPr>
      <w:r>
        <w:rPr>
          <w:rFonts w:hint="eastAsia"/>
          <w:sz w:val="28"/>
          <w:szCs w:val="28"/>
        </w:rPr>
        <w:t>9. 乙方应积极配合做好工程决算审计工作，在规定的时间内完成审计报告签字盖章。根据</w:t>
      </w:r>
      <w:r>
        <w:rPr>
          <w:sz w:val="28"/>
          <w:szCs w:val="28"/>
        </w:rPr>
        <w:t>安徽省物价局</w:t>
      </w:r>
      <w:r>
        <w:rPr>
          <w:rFonts w:hint="eastAsia"/>
          <w:color w:val="FF0000"/>
          <w:sz w:val="28"/>
          <w:szCs w:val="28"/>
        </w:rPr>
        <w:t>文件</w:t>
      </w:r>
      <w:r>
        <w:rPr>
          <w:rFonts w:hint="eastAsia"/>
          <w:sz w:val="28"/>
          <w:szCs w:val="28"/>
        </w:rPr>
        <w:t>精神，在审核报告中，凡核增或核减率超过10%，该部分所产生的咨询费，由乙方承担，在审定金额中予以扣除。</w:t>
      </w:r>
    </w:p>
    <w:p>
      <w:pPr>
        <w:spacing w:line="500" w:lineRule="exact"/>
        <w:ind w:firstLine="560" w:firstLineChars="200"/>
        <w:rPr>
          <w:sz w:val="28"/>
          <w:szCs w:val="28"/>
        </w:rPr>
      </w:pPr>
      <w:r>
        <w:rPr>
          <w:rFonts w:hint="eastAsia"/>
          <w:sz w:val="28"/>
          <w:szCs w:val="28"/>
        </w:rPr>
        <w:t>10. 依据皖南医学院基本建设管理文件规定要求，所有变更签证都必须按程序办理。具体参照《皖南医学院基建维修工程管理办法（修订）》（校政〔2020〕118号）以及《后勤管理处基建维修工程变更签证管理规定（试行）》（后勤〔2020〕12号）文件执行。</w:t>
      </w:r>
    </w:p>
    <w:p>
      <w:pPr>
        <w:spacing w:line="500" w:lineRule="exact"/>
        <w:ind w:firstLine="560" w:firstLineChars="200"/>
        <w:rPr>
          <w:sz w:val="28"/>
          <w:szCs w:val="28"/>
        </w:rPr>
      </w:pPr>
      <w:r>
        <w:rPr>
          <w:rFonts w:hint="eastAsia"/>
          <w:sz w:val="28"/>
          <w:szCs w:val="28"/>
        </w:rPr>
        <w:t>11. 涉及隐蔽工程内容的，乙方应在隐蔽工程覆盖、掩埋或拆除前通知甲方项目负责人进行现场勘查、确认，并由项目负责人会同审计处，共同做好隐蔽工程记录、核定隐蔽工程量签证单。未按规定办理隐蔽工程记录的，其工程量不予认定。</w:t>
      </w:r>
    </w:p>
    <w:p>
      <w:pPr>
        <w:spacing w:line="500" w:lineRule="exact"/>
        <w:ind w:firstLine="560" w:firstLineChars="200"/>
        <w:rPr>
          <w:sz w:val="28"/>
          <w:szCs w:val="28"/>
        </w:rPr>
      </w:pPr>
      <w:r>
        <w:rPr>
          <w:rFonts w:hint="eastAsia"/>
          <w:sz w:val="28"/>
          <w:szCs w:val="28"/>
        </w:rPr>
        <w:t xml:space="preserve">12．项目经理现场管理、考核及处罚措施按照《皖南医学院基建维修工程项目经理、总监理工程师管理办法（试行）》（后勤〔2020〕11号）   文件执行。   </w:t>
      </w:r>
      <w:r>
        <w:rPr>
          <w:rFonts w:hint="eastAsia" w:ascii="宋体" w:hAnsi="宋体" w:cs="宋体"/>
          <w:szCs w:val="21"/>
        </w:rPr>
        <w:t xml:space="preserve">                                 </w:t>
      </w:r>
      <w:r>
        <w:rPr>
          <w:rFonts w:hint="eastAsia" w:cs="宋体" w:asciiTheme="majorEastAsia" w:hAnsiTheme="majorEastAsia" w:eastAsiaTheme="majorEastAsia"/>
          <w:sz w:val="28"/>
          <w:szCs w:val="28"/>
        </w:rPr>
        <w:t xml:space="preserve"> </w:t>
      </w:r>
    </w:p>
    <w:p>
      <w:pPr>
        <w:adjustRightInd w:val="0"/>
        <w:snapToGrid w:val="0"/>
        <w:spacing w:line="360" w:lineRule="auto"/>
        <w:ind w:firstLine="560" w:firstLineChars="200"/>
        <w:rPr>
          <w:rFonts w:ascii="宋体" w:hAnsi="宋体"/>
          <w:sz w:val="28"/>
          <w:szCs w:val="28"/>
        </w:rPr>
      </w:pPr>
      <w:r>
        <w:rPr>
          <w:rFonts w:hint="eastAsia"/>
          <w:sz w:val="28"/>
          <w:szCs w:val="28"/>
        </w:rPr>
        <w:t>13</w:t>
      </w:r>
      <w:r>
        <w:rPr>
          <w:sz w:val="28"/>
          <w:szCs w:val="28"/>
        </w:rPr>
        <w:t>.</w:t>
      </w:r>
      <w:r>
        <w:rPr>
          <w:rFonts w:hint="eastAsia"/>
          <w:sz w:val="28"/>
          <w:szCs w:val="28"/>
        </w:rPr>
        <w:t xml:space="preserve"> 工程总工期为</w:t>
      </w:r>
      <w:r>
        <w:rPr>
          <w:rFonts w:hint="eastAsia"/>
          <w:sz w:val="28"/>
          <w:szCs w:val="28"/>
          <w:highlight w:val="yellow"/>
        </w:rPr>
        <w:t>30日历天</w:t>
      </w:r>
      <w:r>
        <w:rPr>
          <w:rFonts w:hint="eastAsia"/>
          <w:sz w:val="28"/>
          <w:szCs w:val="28"/>
        </w:rPr>
        <w:t>，提前不奖，</w:t>
      </w:r>
      <w:r>
        <w:rPr>
          <w:rFonts w:ascii="宋体" w:hAnsi="宋体"/>
          <w:sz w:val="28"/>
          <w:szCs w:val="28"/>
        </w:rPr>
        <w:t>每延期一天按</w:t>
      </w:r>
      <w:r>
        <w:rPr>
          <w:rFonts w:hint="eastAsia" w:ascii="宋体" w:hAnsi="宋体"/>
          <w:sz w:val="28"/>
          <w:szCs w:val="28"/>
        </w:rPr>
        <w:t>施工</w:t>
      </w:r>
      <w:r>
        <w:rPr>
          <w:rFonts w:ascii="宋体" w:hAnsi="宋体"/>
          <w:sz w:val="28"/>
          <w:szCs w:val="28"/>
        </w:rPr>
        <w:t>合同价</w:t>
      </w:r>
      <w:r>
        <w:rPr>
          <w:rFonts w:hint="eastAsia" w:ascii="宋体" w:hAnsi="宋体"/>
          <w:sz w:val="28"/>
          <w:szCs w:val="28"/>
        </w:rPr>
        <w:t>（</w:t>
      </w:r>
      <w:r>
        <w:rPr>
          <w:rFonts w:ascii="宋体" w:hAnsi="宋体"/>
          <w:sz w:val="28"/>
          <w:szCs w:val="28"/>
        </w:rPr>
        <w:t>不含</w:t>
      </w:r>
      <w:r>
        <w:rPr>
          <w:rFonts w:hint="eastAsia" w:ascii="宋体" w:hAnsi="宋体"/>
          <w:sz w:val="28"/>
          <w:szCs w:val="28"/>
        </w:rPr>
        <w:t>暂列金额）</w:t>
      </w:r>
      <w:r>
        <w:rPr>
          <w:rFonts w:ascii="宋体" w:hAnsi="宋体"/>
          <w:sz w:val="28"/>
          <w:szCs w:val="28"/>
        </w:rPr>
        <w:t>的千分之一处罚，</w:t>
      </w:r>
      <w:r>
        <w:rPr>
          <w:rFonts w:hint="eastAsia" w:ascii="宋体" w:hAnsi="宋体" w:cs="宋体"/>
          <w:sz w:val="28"/>
          <w:szCs w:val="28"/>
        </w:rPr>
        <w:t>推迟10天及以上甲方将发函警告乙方并没收其全部工程履约保证金，将其录入学校黑名单库，3年内禁止参加学校任何招投标活动。</w:t>
      </w:r>
      <w:r>
        <w:rPr>
          <w:rFonts w:hint="eastAsia"/>
          <w:sz w:val="28"/>
          <w:szCs w:val="28"/>
        </w:rPr>
        <w:t>本工程开工日期以发包人下发的开工通知为准；若无开工通知，以合同中规定的开工日期为准。因甲方原因（变更工程量签证审批时间过长，施工方案出现较大调整等）导致工期延误可不予处罚，但需乙方书面提出申请，甲方现场负责人签字确认同意后方可，</w:t>
      </w:r>
      <w:r>
        <w:rPr>
          <w:sz w:val="28"/>
          <w:szCs w:val="28"/>
        </w:rPr>
        <w:t>不可抗力因素除</w:t>
      </w:r>
      <w:r>
        <w:rPr>
          <w:rFonts w:hint="eastAsia"/>
          <w:sz w:val="28"/>
          <w:szCs w:val="28"/>
        </w:rPr>
        <w:t>外。</w:t>
      </w:r>
    </w:p>
    <w:p>
      <w:pPr>
        <w:spacing w:line="500" w:lineRule="exact"/>
        <w:ind w:firstLine="560" w:firstLineChars="200"/>
        <w:rPr>
          <w:sz w:val="28"/>
          <w:szCs w:val="28"/>
        </w:rPr>
      </w:pPr>
      <w:r>
        <w:rPr>
          <w:rFonts w:hint="eastAsia"/>
          <w:sz w:val="28"/>
          <w:szCs w:val="28"/>
        </w:rPr>
        <w:t>14 . 验收标准、质量要求及竣工资料：</w:t>
      </w:r>
    </w:p>
    <w:p>
      <w:pPr>
        <w:spacing w:line="500" w:lineRule="exact"/>
        <w:ind w:firstLine="560" w:firstLineChars="200"/>
        <w:rPr>
          <w:sz w:val="28"/>
          <w:szCs w:val="28"/>
        </w:rPr>
      </w:pPr>
      <w:r>
        <w:rPr>
          <w:sz w:val="28"/>
          <w:szCs w:val="28"/>
        </w:rPr>
        <w:t>1</w:t>
      </w:r>
      <w:r>
        <w:rPr>
          <w:rFonts w:hint="eastAsia"/>
          <w:sz w:val="28"/>
          <w:szCs w:val="28"/>
        </w:rPr>
        <w:t>）按照国家（省、市及芜湖市建设工程质量监督站验收标准）现行标准、规范执行，工程完工达到图纸要求的合格标准。</w:t>
      </w:r>
    </w:p>
    <w:p>
      <w:pPr>
        <w:spacing w:line="500" w:lineRule="exact"/>
        <w:ind w:firstLine="560" w:firstLineChars="200"/>
        <w:rPr>
          <w:sz w:val="28"/>
          <w:szCs w:val="28"/>
        </w:rPr>
      </w:pPr>
      <w:r>
        <w:rPr>
          <w:rFonts w:hint="eastAsia"/>
          <w:sz w:val="28"/>
          <w:szCs w:val="28"/>
        </w:rPr>
        <w:t>2）提供室外管网竣工图，标注室外管道及井的详细定位尺寸和距建筑物的定位距离、深度，管道类别及走向等。</w:t>
      </w:r>
    </w:p>
    <w:p>
      <w:pPr>
        <w:spacing w:line="500" w:lineRule="exact"/>
        <w:ind w:firstLine="560" w:firstLineChars="200"/>
        <w:rPr>
          <w:sz w:val="28"/>
          <w:szCs w:val="28"/>
        </w:rPr>
      </w:pPr>
      <w:r>
        <w:rPr>
          <w:rFonts w:hint="eastAsia"/>
          <w:sz w:val="28"/>
          <w:szCs w:val="28"/>
        </w:rPr>
        <w:t>3）提交完整的竣工资料</w:t>
      </w:r>
      <w:r>
        <w:rPr>
          <w:sz w:val="28"/>
          <w:szCs w:val="28"/>
        </w:rPr>
        <w:t>3</w:t>
      </w:r>
      <w:r>
        <w:rPr>
          <w:rFonts w:hint="eastAsia"/>
          <w:sz w:val="28"/>
          <w:szCs w:val="28"/>
        </w:rPr>
        <w:t>套，并刻光盘，所有提交的材料必须符合验收标准和要求。</w:t>
      </w:r>
    </w:p>
    <w:p>
      <w:pPr>
        <w:spacing w:line="500" w:lineRule="exact"/>
        <w:ind w:firstLine="560" w:firstLineChars="200"/>
        <w:rPr>
          <w:sz w:val="28"/>
          <w:szCs w:val="28"/>
        </w:rPr>
      </w:pPr>
      <w:r>
        <w:rPr>
          <w:rFonts w:hint="eastAsia"/>
          <w:sz w:val="28"/>
          <w:szCs w:val="28"/>
        </w:rPr>
        <w:t>15. 材料品牌参考如下：</w:t>
      </w:r>
    </w:p>
    <w:p>
      <w:pPr>
        <w:spacing w:line="500" w:lineRule="exact"/>
        <w:jc w:val="center"/>
        <w:rPr>
          <w:rFonts w:hint="eastAsia"/>
          <w:sz w:val="28"/>
          <w:szCs w:val="28"/>
        </w:rPr>
      </w:pPr>
    </w:p>
    <w:p>
      <w:pPr>
        <w:spacing w:line="500" w:lineRule="exact"/>
        <w:jc w:val="center"/>
        <w:rPr>
          <w:sz w:val="28"/>
          <w:szCs w:val="28"/>
        </w:rPr>
      </w:pPr>
      <w:r>
        <w:rPr>
          <w:rFonts w:hint="eastAsia"/>
          <w:sz w:val="28"/>
          <w:szCs w:val="28"/>
        </w:rPr>
        <w:t>材料品牌参考范围</w:t>
      </w:r>
    </w:p>
    <w:tbl>
      <w:tblPr>
        <w:tblStyle w:val="22"/>
        <w:tblW w:w="4997" w:type="pct"/>
        <w:jc w:val="center"/>
        <w:tblLayout w:type="autofit"/>
        <w:tblCellMar>
          <w:top w:w="0" w:type="dxa"/>
          <w:left w:w="108" w:type="dxa"/>
          <w:bottom w:w="0" w:type="dxa"/>
          <w:right w:w="108" w:type="dxa"/>
        </w:tblCellMar>
      </w:tblPr>
      <w:tblGrid>
        <w:gridCol w:w="640"/>
        <w:gridCol w:w="4"/>
        <w:gridCol w:w="1477"/>
        <w:gridCol w:w="3520"/>
        <w:gridCol w:w="2099"/>
        <w:gridCol w:w="777"/>
      </w:tblGrid>
      <w:tr>
        <w:tblPrEx>
          <w:tblCellMar>
            <w:top w:w="0" w:type="dxa"/>
            <w:left w:w="108" w:type="dxa"/>
            <w:bottom w:w="0" w:type="dxa"/>
            <w:right w:w="108" w:type="dxa"/>
          </w:tblCellMar>
        </w:tblPrEx>
        <w:trPr>
          <w:trHeight w:val="585" w:hRule="atLeast"/>
          <w:jc w:val="center"/>
        </w:trPr>
        <w:tc>
          <w:tcPr>
            <w:tcW w:w="384" w:type="pct"/>
            <w:gridSpan w:val="2"/>
            <w:tcBorders>
              <w:top w:val="single" w:color="auto" w:sz="4" w:space="0"/>
              <w:left w:val="single" w:color="auto" w:sz="4" w:space="0"/>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序号</w:t>
            </w:r>
          </w:p>
        </w:tc>
        <w:tc>
          <w:tcPr>
            <w:tcW w:w="871" w:type="pct"/>
            <w:tcBorders>
              <w:top w:val="single" w:color="auto" w:sz="4" w:space="0"/>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材料</w:t>
            </w:r>
          </w:p>
          <w:p>
            <w:pPr>
              <w:pStyle w:val="65"/>
              <w:spacing w:line="500" w:lineRule="exact"/>
              <w:jc w:val="left"/>
              <w:rPr>
                <w:b w:val="0"/>
                <w:kern w:val="0"/>
                <w:sz w:val="21"/>
                <w:szCs w:val="21"/>
              </w:rPr>
            </w:pPr>
            <w:r>
              <w:rPr>
                <w:rFonts w:hint="eastAsia"/>
                <w:b w:val="0"/>
                <w:kern w:val="0"/>
                <w:sz w:val="21"/>
                <w:szCs w:val="21"/>
              </w:rPr>
              <w:t>名称</w:t>
            </w:r>
          </w:p>
        </w:tc>
        <w:tc>
          <w:tcPr>
            <w:tcW w:w="2070" w:type="pct"/>
            <w:tcBorders>
              <w:top w:val="single" w:color="auto" w:sz="4" w:space="0"/>
              <w:left w:val="nil"/>
              <w:bottom w:val="single" w:color="auto" w:sz="4" w:space="0"/>
              <w:right w:val="single" w:color="auto" w:sz="4" w:space="0"/>
            </w:tcBorders>
            <w:vAlign w:val="center"/>
          </w:tcPr>
          <w:p>
            <w:pPr>
              <w:pStyle w:val="65"/>
              <w:spacing w:line="500" w:lineRule="exact"/>
              <w:ind w:firstLine="938" w:firstLineChars="447"/>
              <w:jc w:val="left"/>
              <w:rPr>
                <w:b w:val="0"/>
                <w:kern w:val="0"/>
                <w:sz w:val="21"/>
                <w:szCs w:val="21"/>
              </w:rPr>
            </w:pPr>
            <w:r>
              <w:rPr>
                <w:rFonts w:hint="eastAsia"/>
                <w:b w:val="0"/>
                <w:kern w:val="0"/>
                <w:sz w:val="21"/>
                <w:szCs w:val="21"/>
              </w:rPr>
              <w:t>规格</w:t>
            </w:r>
            <w:r>
              <w:rPr>
                <w:b w:val="0"/>
                <w:kern w:val="0"/>
                <w:sz w:val="21"/>
                <w:szCs w:val="21"/>
              </w:rPr>
              <w:t xml:space="preserve"> </w:t>
            </w:r>
            <w:r>
              <w:rPr>
                <w:rFonts w:hint="eastAsia"/>
                <w:b w:val="0"/>
                <w:kern w:val="0"/>
                <w:sz w:val="21"/>
                <w:szCs w:val="21"/>
              </w:rPr>
              <w:t>型号</w:t>
            </w:r>
          </w:p>
        </w:tc>
        <w:tc>
          <w:tcPr>
            <w:tcW w:w="1236" w:type="pct"/>
            <w:tcBorders>
              <w:top w:val="single" w:color="auto" w:sz="4" w:space="0"/>
              <w:left w:val="nil"/>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参考品牌要求</w:t>
            </w:r>
          </w:p>
        </w:tc>
        <w:tc>
          <w:tcPr>
            <w:tcW w:w="437" w:type="pct"/>
            <w:tcBorders>
              <w:top w:val="single" w:color="auto" w:sz="4" w:space="0"/>
              <w:left w:val="nil"/>
              <w:bottom w:val="single" w:color="auto" w:sz="4" w:space="0"/>
              <w:right w:val="single" w:color="auto" w:sz="4" w:space="0"/>
            </w:tcBorders>
            <w:vAlign w:val="center"/>
          </w:tcPr>
          <w:p>
            <w:pPr>
              <w:pStyle w:val="65"/>
              <w:spacing w:line="500" w:lineRule="exact"/>
              <w:ind w:left="212" w:leftChars="75" w:hanging="2" w:hangingChars="1"/>
              <w:jc w:val="left"/>
              <w:rPr>
                <w:b w:val="0"/>
                <w:kern w:val="0"/>
                <w:sz w:val="21"/>
                <w:szCs w:val="21"/>
              </w:rPr>
            </w:pPr>
            <w:r>
              <w:rPr>
                <w:rFonts w:hint="eastAsia"/>
                <w:b w:val="0"/>
                <w:kern w:val="0"/>
                <w:sz w:val="21"/>
                <w:szCs w:val="21"/>
              </w:rPr>
              <w:t>备 注</w:t>
            </w:r>
          </w:p>
        </w:tc>
      </w:tr>
      <w:tr>
        <w:tblPrEx>
          <w:tblCellMar>
            <w:top w:w="0" w:type="dxa"/>
            <w:left w:w="108" w:type="dxa"/>
            <w:bottom w:w="0" w:type="dxa"/>
            <w:right w:w="108" w:type="dxa"/>
          </w:tblCellMar>
        </w:tblPrEx>
        <w:trPr>
          <w:trHeight w:val="615" w:hRule="atLeast"/>
          <w:jc w:val="center"/>
        </w:trPr>
        <w:tc>
          <w:tcPr>
            <w:tcW w:w="384" w:type="pct"/>
            <w:gridSpan w:val="2"/>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w:t>
            </w:r>
          </w:p>
        </w:tc>
        <w:tc>
          <w:tcPr>
            <w:tcW w:w="871"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水泥</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普通硅酸盐水泥</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海螺、南方、盾石</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720" w:hRule="atLeast"/>
          <w:jc w:val="center"/>
        </w:trPr>
        <w:tc>
          <w:tcPr>
            <w:tcW w:w="384" w:type="pct"/>
            <w:gridSpan w:val="2"/>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 xml:space="preserve"> 2</w:t>
            </w:r>
          </w:p>
        </w:tc>
        <w:tc>
          <w:tcPr>
            <w:tcW w:w="871"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乳胶漆</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底漆和面漆</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多乐士、立邦、嘉宝莉</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746" w:hRule="atLeast"/>
          <w:jc w:val="center"/>
        </w:trPr>
        <w:tc>
          <w:tcPr>
            <w:tcW w:w="384" w:type="pct"/>
            <w:gridSpan w:val="2"/>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 xml:space="preserve"> 3</w:t>
            </w:r>
          </w:p>
        </w:tc>
        <w:tc>
          <w:tcPr>
            <w:tcW w:w="871"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彩铝门</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按图纸要求，3.0厚彩铝饰面、6厚磨砂玻璃，泡沫剂为满打，钢带、膨胀螺丝固定，使用进口密封胶，配件必须与主材同厂。包含门锁、铰链等所有配件</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凤铝、栋梁、环宇</w:t>
            </w:r>
          </w:p>
        </w:tc>
        <w:tc>
          <w:tcPr>
            <w:tcW w:w="437" w:type="pct"/>
            <w:tcBorders>
              <w:top w:val="nil"/>
              <w:left w:val="nil"/>
              <w:bottom w:val="single" w:color="auto" w:sz="4" w:space="0"/>
              <w:right w:val="single" w:color="auto" w:sz="4" w:space="0"/>
            </w:tcBorders>
            <w:vAlign w:val="center"/>
          </w:tcPr>
          <w:p>
            <w:pPr>
              <w:adjustRightInd w:val="0"/>
              <w:snapToGrid w:val="0"/>
              <w:spacing w:line="360" w:lineRule="auto"/>
              <w:ind w:firstLine="235" w:firstLineChars="98"/>
              <w:jc w:val="left"/>
              <w:rPr>
                <w:rFonts w:ascii="宋体" w:hAnsi="宋体"/>
                <w:kern w:val="0"/>
                <w:sz w:val="24"/>
                <w:szCs w:val="24"/>
              </w:rPr>
            </w:pPr>
            <w:r>
              <w:rPr>
                <w:rFonts w:hint="eastAsia" w:ascii="宋体" w:hAnsi="宋体"/>
                <w:kern w:val="0"/>
                <w:sz w:val="24"/>
                <w:szCs w:val="24"/>
              </w:rPr>
              <w:t>　</w:t>
            </w:r>
          </w:p>
        </w:tc>
      </w:tr>
      <w:tr>
        <w:tblPrEx>
          <w:tblCellMar>
            <w:top w:w="0" w:type="dxa"/>
            <w:left w:w="108" w:type="dxa"/>
            <w:bottom w:w="0" w:type="dxa"/>
            <w:right w:w="108" w:type="dxa"/>
          </w:tblCellMar>
        </w:tblPrEx>
        <w:trPr>
          <w:trHeight w:val="1712"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4</w:t>
            </w:r>
          </w:p>
        </w:tc>
        <w:tc>
          <w:tcPr>
            <w:tcW w:w="876" w:type="pct"/>
            <w:gridSpan w:val="2"/>
            <w:tcBorders>
              <w:top w:val="nil"/>
              <w:left w:val="nil"/>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墙、地砖</w:t>
            </w:r>
          </w:p>
        </w:tc>
        <w:tc>
          <w:tcPr>
            <w:tcW w:w="2070" w:type="pct"/>
            <w:tcBorders>
              <w:top w:val="nil"/>
              <w:left w:val="nil"/>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全瓷玻化砖（防滑）地面，无缝，高度至吊顶。</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斯米克、东鹏、鹰牌</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p>
        </w:tc>
      </w:tr>
      <w:tr>
        <w:tblPrEx>
          <w:tblCellMar>
            <w:top w:w="0" w:type="dxa"/>
            <w:left w:w="108" w:type="dxa"/>
            <w:bottom w:w="0" w:type="dxa"/>
            <w:right w:w="108" w:type="dxa"/>
          </w:tblCellMar>
        </w:tblPrEx>
        <w:trPr>
          <w:trHeight w:val="710" w:hRule="atLeast"/>
          <w:jc w:val="center"/>
        </w:trPr>
        <w:tc>
          <w:tcPr>
            <w:tcW w:w="379" w:type="pct"/>
            <w:tcBorders>
              <w:top w:val="single" w:color="auto" w:sz="4" w:space="0"/>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5</w:t>
            </w:r>
          </w:p>
        </w:tc>
        <w:tc>
          <w:tcPr>
            <w:tcW w:w="876" w:type="pct"/>
            <w:gridSpan w:val="2"/>
            <w:tcBorders>
              <w:top w:val="single" w:color="auto" w:sz="4" w:space="0"/>
              <w:left w:val="nil"/>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铝板吊顶</w:t>
            </w:r>
          </w:p>
        </w:tc>
        <w:tc>
          <w:tcPr>
            <w:tcW w:w="2070" w:type="pct"/>
            <w:tcBorders>
              <w:top w:val="single" w:color="auto" w:sz="4" w:space="0"/>
              <w:left w:val="nil"/>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按图纸要求</w:t>
            </w:r>
          </w:p>
        </w:tc>
        <w:tc>
          <w:tcPr>
            <w:tcW w:w="1236" w:type="pct"/>
            <w:tcBorders>
              <w:top w:val="single" w:color="auto" w:sz="4" w:space="0"/>
              <w:left w:val="nil"/>
              <w:bottom w:val="single" w:color="auto" w:sz="4" w:space="0"/>
              <w:right w:val="single" w:color="auto" w:sz="4" w:space="0"/>
            </w:tcBorders>
            <w:vAlign w:val="center"/>
          </w:tcPr>
          <w:p>
            <w:pPr>
              <w:adjustRightInd w:val="0"/>
              <w:snapToGrid w:val="0"/>
              <w:spacing w:line="360" w:lineRule="auto"/>
              <w:jc w:val="left"/>
              <w:rPr>
                <w:rFonts w:ascii="宋体" w:hAnsi="宋体"/>
                <w:kern w:val="0"/>
                <w:szCs w:val="21"/>
              </w:rPr>
            </w:pPr>
            <w:r>
              <w:rPr>
                <w:rFonts w:hint="eastAsia" w:ascii="宋体" w:hAnsi="宋体"/>
                <w:kern w:val="0"/>
                <w:szCs w:val="21"/>
              </w:rPr>
              <w:t>奥普、欧曼、奥华</w:t>
            </w:r>
          </w:p>
        </w:tc>
        <w:tc>
          <w:tcPr>
            <w:tcW w:w="437" w:type="pct"/>
            <w:tcBorders>
              <w:top w:val="single" w:color="auto" w:sz="4" w:space="0"/>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highlight w:val="yellow"/>
              </w:rPr>
            </w:pPr>
          </w:p>
        </w:tc>
      </w:tr>
      <w:tr>
        <w:tblPrEx>
          <w:tblCellMar>
            <w:top w:w="0" w:type="dxa"/>
            <w:left w:w="108" w:type="dxa"/>
            <w:bottom w:w="0" w:type="dxa"/>
            <w:right w:w="108" w:type="dxa"/>
          </w:tblCellMar>
        </w:tblPrEx>
        <w:trPr>
          <w:trHeight w:val="630"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6</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灯具</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欧普、雷士（非旗下）、飞利浦</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p>
        </w:tc>
      </w:tr>
      <w:tr>
        <w:tblPrEx>
          <w:tblCellMar>
            <w:top w:w="0" w:type="dxa"/>
            <w:left w:w="108" w:type="dxa"/>
            <w:bottom w:w="0" w:type="dxa"/>
            <w:right w:w="108" w:type="dxa"/>
          </w:tblCellMar>
        </w:tblPrEx>
        <w:trPr>
          <w:trHeight w:val="450"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7</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电线、电缆</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鑫鸿、江苏上上、金貂</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735"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8</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阻燃强、弱电管</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伟星、华亚、金德</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495"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9</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b w:val="0"/>
                <w:kern w:val="0"/>
                <w:sz w:val="21"/>
                <w:szCs w:val="21"/>
              </w:rPr>
              <w:t>UPVC</w:t>
            </w:r>
            <w:r>
              <w:rPr>
                <w:rFonts w:hint="eastAsia"/>
                <w:b w:val="0"/>
                <w:kern w:val="0"/>
                <w:sz w:val="21"/>
                <w:szCs w:val="21"/>
              </w:rPr>
              <w:t>排水管</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满足图纸设计要求、重型</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伟星、华亚、金德</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126"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10</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给、排水管</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满足图纸设计要求，冷水管壁厚不小于</w:t>
            </w:r>
            <w:r>
              <w:rPr>
                <w:b w:val="0"/>
                <w:kern w:val="0"/>
                <w:sz w:val="21"/>
                <w:szCs w:val="21"/>
              </w:rPr>
              <w:t>2.5</w:t>
            </w:r>
            <w:r>
              <w:rPr>
                <w:rFonts w:hint="eastAsia"/>
                <w:b w:val="0"/>
                <w:kern w:val="0"/>
                <w:sz w:val="21"/>
                <w:szCs w:val="21"/>
              </w:rPr>
              <w:t>毫米，热水管不小于</w:t>
            </w:r>
            <w:r>
              <w:rPr>
                <w:b w:val="0"/>
                <w:kern w:val="0"/>
                <w:sz w:val="21"/>
                <w:szCs w:val="21"/>
              </w:rPr>
              <w:t>3.0</w:t>
            </w:r>
            <w:r>
              <w:rPr>
                <w:rFonts w:hint="eastAsia"/>
                <w:b w:val="0"/>
                <w:kern w:val="0"/>
                <w:sz w:val="21"/>
                <w:szCs w:val="21"/>
              </w:rPr>
              <w:t>毫米</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伟星、华亚、金德</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540"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11</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开关、插座</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大板型</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南京鸿雁、西门子、TCL</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1301"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12</w:t>
            </w:r>
          </w:p>
        </w:tc>
        <w:tc>
          <w:tcPr>
            <w:tcW w:w="876" w:type="pct"/>
            <w:gridSpan w:val="2"/>
            <w:tcBorders>
              <w:top w:val="nil"/>
              <w:left w:val="nil"/>
              <w:bottom w:val="single" w:color="auto" w:sz="4" w:space="0"/>
              <w:right w:val="single" w:color="auto" w:sz="4" w:space="0"/>
            </w:tcBorders>
            <w:vAlign w:val="center"/>
          </w:tcPr>
          <w:p>
            <w:pPr>
              <w:pStyle w:val="65"/>
              <w:spacing w:line="360" w:lineRule="exact"/>
              <w:jc w:val="left"/>
              <w:rPr>
                <w:b w:val="0"/>
                <w:kern w:val="0"/>
                <w:sz w:val="21"/>
                <w:szCs w:val="21"/>
              </w:rPr>
            </w:pPr>
            <w:r>
              <w:rPr>
                <w:rFonts w:hint="eastAsia"/>
                <w:b w:val="0"/>
                <w:kern w:val="0"/>
                <w:sz w:val="21"/>
                <w:szCs w:val="21"/>
              </w:rPr>
              <w:t>配电元件、空气开关、漏电保护开关等配电箱柜内全部电器元件</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按图纸要求</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ABB、施耐德、常熟开关</w:t>
            </w:r>
          </w:p>
        </w:tc>
        <w:tc>
          <w:tcPr>
            <w:tcW w:w="437"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p>
        </w:tc>
      </w:tr>
      <w:tr>
        <w:tblPrEx>
          <w:tblCellMar>
            <w:top w:w="0" w:type="dxa"/>
            <w:left w:w="108" w:type="dxa"/>
            <w:bottom w:w="0" w:type="dxa"/>
            <w:right w:w="108" w:type="dxa"/>
          </w:tblCellMar>
        </w:tblPrEx>
        <w:trPr>
          <w:trHeight w:val="585"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13</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阀门、法兰</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阀门丝杆为铜制或不锈钢</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安徽白湖、上海熊猫、上海华通</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622"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14</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洗脸台盆</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置于大理石台板上方，不锈钢软管</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九牧、惠达、安华</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1095"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15</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水龙头、不锈钢翻盖及三角阀、软管</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冷热水两用龙头</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九牧、惠达、朝阳</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1550"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16</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大理石台板台面</w:t>
            </w:r>
          </w:p>
        </w:tc>
        <w:tc>
          <w:tcPr>
            <w:tcW w:w="2070" w:type="pct"/>
            <w:tcBorders>
              <w:top w:val="nil"/>
              <w:left w:val="nil"/>
              <w:bottom w:val="single" w:color="auto" w:sz="4" w:space="0"/>
              <w:right w:val="single" w:color="auto" w:sz="4" w:space="0"/>
            </w:tcBorders>
            <w:vAlign w:val="center"/>
          </w:tcPr>
          <w:p>
            <w:pPr>
              <w:pStyle w:val="65"/>
              <w:spacing w:line="400" w:lineRule="exact"/>
              <w:jc w:val="left"/>
              <w:rPr>
                <w:b w:val="0"/>
                <w:kern w:val="0"/>
                <w:sz w:val="21"/>
                <w:szCs w:val="21"/>
              </w:rPr>
            </w:pPr>
            <w:r>
              <w:rPr>
                <w:rFonts w:hint="eastAsia"/>
                <w:b w:val="0"/>
                <w:kern w:val="0"/>
                <w:sz w:val="21"/>
                <w:szCs w:val="21"/>
              </w:rPr>
              <w:t>台面厚度不小于</w:t>
            </w:r>
            <w:r>
              <w:rPr>
                <w:b w:val="0"/>
                <w:kern w:val="0"/>
                <w:sz w:val="21"/>
                <w:szCs w:val="21"/>
              </w:rPr>
              <w:t>20</w:t>
            </w:r>
            <w:r>
              <w:rPr>
                <w:rFonts w:hint="eastAsia"/>
                <w:b w:val="0"/>
                <w:kern w:val="0"/>
                <w:sz w:val="21"/>
                <w:szCs w:val="21"/>
              </w:rPr>
              <w:t>毫米，靠墙设</w:t>
            </w:r>
            <w:r>
              <w:rPr>
                <w:b w:val="0"/>
                <w:kern w:val="0"/>
                <w:sz w:val="21"/>
                <w:szCs w:val="21"/>
              </w:rPr>
              <w:t>50</w:t>
            </w:r>
            <w:r>
              <w:rPr>
                <w:rFonts w:hint="eastAsia"/>
                <w:b w:val="0"/>
                <w:kern w:val="0"/>
                <w:sz w:val="21"/>
                <w:szCs w:val="21"/>
              </w:rPr>
              <w:t>毫米立板，下挂约</w:t>
            </w:r>
            <w:r>
              <w:rPr>
                <w:b w:val="0"/>
                <w:kern w:val="0"/>
                <w:sz w:val="21"/>
                <w:szCs w:val="21"/>
              </w:rPr>
              <w:t>60</w:t>
            </w:r>
            <w:r>
              <w:rPr>
                <w:rFonts w:hint="eastAsia"/>
                <w:b w:val="0"/>
                <w:kern w:val="0"/>
                <w:sz w:val="21"/>
                <w:szCs w:val="21"/>
              </w:rPr>
              <w:t>毫米挂板，均倒圆角，与洗脸台盆配套开孔，宽</w:t>
            </w:r>
            <w:r>
              <w:rPr>
                <w:b w:val="0"/>
                <w:kern w:val="0"/>
                <w:sz w:val="21"/>
                <w:szCs w:val="21"/>
              </w:rPr>
              <w:t>600</w:t>
            </w:r>
            <w:r>
              <w:rPr>
                <w:rFonts w:hint="eastAsia"/>
                <w:b w:val="0"/>
                <w:kern w:val="0"/>
                <w:sz w:val="21"/>
                <w:szCs w:val="21"/>
              </w:rPr>
              <w:t>毫米，具体长度及规格见图纸</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产地为安徽、福建、山东</w:t>
            </w:r>
          </w:p>
        </w:tc>
        <w:tc>
          <w:tcPr>
            <w:tcW w:w="437"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p>
        </w:tc>
      </w:tr>
      <w:tr>
        <w:tblPrEx>
          <w:tblCellMar>
            <w:top w:w="0" w:type="dxa"/>
            <w:left w:w="108" w:type="dxa"/>
            <w:bottom w:w="0" w:type="dxa"/>
            <w:right w:w="108" w:type="dxa"/>
          </w:tblCellMar>
        </w:tblPrEx>
        <w:trPr>
          <w:trHeight w:val="765"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17</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坐蹲便器、小便斗</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带防臭功能，小便斗不锈钢下水</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九牧、惠达、安华</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578"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18</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冲水阀</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脚踏延时，全铜制品，不得使用陶瓷阀芯</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朝阳、九牧、惠达</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512"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19</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地漏</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全</w:t>
            </w:r>
            <w:r>
              <w:rPr>
                <w:b w:val="0"/>
                <w:kern w:val="0"/>
                <w:sz w:val="21"/>
                <w:szCs w:val="21"/>
              </w:rPr>
              <w:t>304</w:t>
            </w:r>
            <w:r>
              <w:rPr>
                <w:rFonts w:hint="eastAsia"/>
                <w:b w:val="0"/>
                <w:kern w:val="0"/>
                <w:sz w:val="21"/>
                <w:szCs w:val="21"/>
              </w:rPr>
              <w:t>不锈钢、防臭</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潜水艇、九牧、朝阳</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r>
              <w:rPr>
                <w:rFonts w:hint="eastAsia"/>
                <w:b w:val="0"/>
                <w:kern w:val="0"/>
                <w:sz w:val="21"/>
                <w:szCs w:val="21"/>
              </w:rPr>
              <w:t>　</w:t>
            </w:r>
          </w:p>
        </w:tc>
      </w:tr>
      <w:tr>
        <w:tblPrEx>
          <w:tblCellMar>
            <w:top w:w="0" w:type="dxa"/>
            <w:left w:w="108" w:type="dxa"/>
            <w:bottom w:w="0" w:type="dxa"/>
            <w:right w:w="108" w:type="dxa"/>
          </w:tblCellMar>
        </w:tblPrEx>
        <w:trPr>
          <w:trHeight w:val="512" w:hRule="atLeast"/>
          <w:jc w:val="center"/>
        </w:trPr>
        <w:tc>
          <w:tcPr>
            <w:tcW w:w="379" w:type="pct"/>
            <w:tcBorders>
              <w:top w:val="nil"/>
              <w:left w:val="single" w:color="auto" w:sz="4" w:space="0"/>
              <w:bottom w:val="single" w:color="auto" w:sz="4" w:space="0"/>
              <w:right w:val="single" w:color="auto" w:sz="4" w:space="0"/>
            </w:tcBorders>
            <w:vAlign w:val="center"/>
          </w:tcPr>
          <w:p>
            <w:pPr>
              <w:pStyle w:val="65"/>
              <w:spacing w:line="500" w:lineRule="exact"/>
              <w:rPr>
                <w:b w:val="0"/>
                <w:kern w:val="0"/>
                <w:sz w:val="21"/>
                <w:szCs w:val="21"/>
              </w:rPr>
            </w:pPr>
            <w:r>
              <w:rPr>
                <w:rFonts w:hint="eastAsia"/>
                <w:b w:val="0"/>
                <w:kern w:val="0"/>
                <w:sz w:val="21"/>
                <w:szCs w:val="21"/>
              </w:rPr>
              <w:t>20</w:t>
            </w:r>
          </w:p>
        </w:tc>
        <w:tc>
          <w:tcPr>
            <w:tcW w:w="876" w:type="pct"/>
            <w:gridSpan w:val="2"/>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SBS防水卷材</w:t>
            </w:r>
          </w:p>
        </w:tc>
        <w:tc>
          <w:tcPr>
            <w:tcW w:w="2070"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满足图纸设计要求</w:t>
            </w:r>
          </w:p>
        </w:tc>
        <w:tc>
          <w:tcPr>
            <w:tcW w:w="1236" w:type="pct"/>
            <w:tcBorders>
              <w:top w:val="nil"/>
              <w:left w:val="nil"/>
              <w:bottom w:val="single" w:color="auto" w:sz="4" w:space="0"/>
              <w:right w:val="single" w:color="auto" w:sz="4" w:space="0"/>
            </w:tcBorders>
            <w:vAlign w:val="center"/>
          </w:tcPr>
          <w:p>
            <w:pPr>
              <w:pStyle w:val="65"/>
              <w:spacing w:line="500" w:lineRule="exact"/>
              <w:jc w:val="left"/>
              <w:rPr>
                <w:b w:val="0"/>
                <w:kern w:val="0"/>
                <w:sz w:val="21"/>
                <w:szCs w:val="21"/>
              </w:rPr>
            </w:pPr>
            <w:r>
              <w:rPr>
                <w:rFonts w:hint="eastAsia"/>
                <w:b w:val="0"/>
                <w:kern w:val="0"/>
                <w:sz w:val="21"/>
                <w:szCs w:val="21"/>
              </w:rPr>
              <w:t>雨虹、禹王、跃龙</w:t>
            </w:r>
          </w:p>
        </w:tc>
        <w:tc>
          <w:tcPr>
            <w:tcW w:w="437" w:type="pct"/>
            <w:tcBorders>
              <w:top w:val="nil"/>
              <w:left w:val="nil"/>
              <w:bottom w:val="single" w:color="auto" w:sz="4" w:space="0"/>
              <w:right w:val="single" w:color="auto" w:sz="4" w:space="0"/>
            </w:tcBorders>
            <w:vAlign w:val="center"/>
          </w:tcPr>
          <w:p>
            <w:pPr>
              <w:pStyle w:val="65"/>
              <w:spacing w:line="500" w:lineRule="exact"/>
              <w:ind w:firstLine="420" w:firstLineChars="200"/>
              <w:jc w:val="left"/>
              <w:rPr>
                <w:b w:val="0"/>
                <w:kern w:val="0"/>
                <w:sz w:val="21"/>
                <w:szCs w:val="21"/>
              </w:rPr>
            </w:pPr>
          </w:p>
        </w:tc>
      </w:tr>
      <w:tr>
        <w:tblPrEx>
          <w:tblCellMar>
            <w:top w:w="0" w:type="dxa"/>
            <w:left w:w="108" w:type="dxa"/>
            <w:bottom w:w="0" w:type="dxa"/>
            <w:right w:w="108" w:type="dxa"/>
          </w:tblCellMar>
        </w:tblPrEx>
        <w:trPr>
          <w:trHeight w:val="1725" w:hRule="atLeast"/>
          <w:jc w:val="center"/>
        </w:trPr>
        <w:tc>
          <w:tcPr>
            <w:tcW w:w="5000" w:type="pct"/>
            <w:gridSpan w:val="6"/>
            <w:tcBorders>
              <w:top w:val="nil"/>
              <w:left w:val="nil"/>
              <w:bottom w:val="nil"/>
              <w:right w:val="nil"/>
            </w:tcBorders>
            <w:vAlign w:val="center"/>
          </w:tcPr>
          <w:p>
            <w:pPr>
              <w:spacing w:line="500" w:lineRule="exact"/>
              <w:ind w:firstLine="560" w:firstLineChars="200"/>
              <w:rPr>
                <w:szCs w:val="21"/>
              </w:rPr>
            </w:pPr>
            <w:r>
              <w:rPr>
                <w:rFonts w:hint="eastAsia"/>
                <w:szCs w:val="21"/>
              </w:rPr>
              <w:t>备注：</w:t>
            </w:r>
          </w:p>
          <w:p>
            <w:pPr>
              <w:spacing w:line="500" w:lineRule="exact"/>
              <w:ind w:firstLine="560" w:firstLineChars="200"/>
              <w:rPr>
                <w:szCs w:val="21"/>
              </w:rPr>
            </w:pPr>
            <w:r>
              <w:rPr>
                <w:rFonts w:hint="eastAsia"/>
                <w:szCs w:val="21"/>
              </w:rPr>
              <w:t>1.所有消防产品均需满足消防相关要求。</w:t>
            </w:r>
          </w:p>
          <w:p>
            <w:pPr>
              <w:spacing w:line="500" w:lineRule="exact"/>
              <w:ind w:firstLine="560" w:firstLineChars="200"/>
              <w:rPr>
                <w:szCs w:val="21"/>
              </w:rPr>
            </w:pPr>
            <w:r>
              <w:rPr>
                <w:rFonts w:hint="eastAsia"/>
                <w:szCs w:val="21"/>
              </w:rPr>
              <w:t>2.采购的所有设备、材料进场时均要有合格证、检测报告等，水电材料需要提供3C认证，并符合国家规范要求。所有设备、材料提前送样，由发包人项目负责人签字确认后方可进场，并提供各批次进场材料报验单，否则不支付相应材料的进度款和工程款。</w:t>
            </w:r>
          </w:p>
          <w:p>
            <w:pPr>
              <w:spacing w:line="500" w:lineRule="exact"/>
              <w:ind w:firstLine="560" w:firstLineChars="200"/>
              <w:rPr>
                <w:sz w:val="28"/>
                <w:szCs w:val="28"/>
              </w:rPr>
            </w:pPr>
            <w:r>
              <w:rPr>
                <w:rFonts w:hint="eastAsia"/>
                <w:sz w:val="28"/>
                <w:szCs w:val="28"/>
              </w:rPr>
              <w:t>14.安全文明施工</w:t>
            </w:r>
          </w:p>
          <w:p>
            <w:pPr>
              <w:spacing w:line="500" w:lineRule="exact"/>
              <w:ind w:firstLine="560" w:firstLineChars="200"/>
              <w:rPr>
                <w:sz w:val="28"/>
                <w:szCs w:val="28"/>
              </w:rPr>
            </w:pPr>
            <w:r>
              <w:rPr>
                <w:rFonts w:hint="eastAsia"/>
                <w:sz w:val="28"/>
                <w:szCs w:val="28"/>
              </w:rPr>
              <w:t>（1）乙方</w:t>
            </w:r>
            <w:r>
              <w:rPr>
                <w:sz w:val="28"/>
                <w:szCs w:val="28"/>
              </w:rPr>
              <w:t>按照</w:t>
            </w:r>
            <w:r>
              <w:rPr>
                <w:rFonts w:hint="eastAsia"/>
                <w:sz w:val="28"/>
                <w:szCs w:val="28"/>
              </w:rPr>
              <w:t>现行国家和省、市、行业</w:t>
            </w:r>
            <w:r>
              <w:rPr>
                <w:sz w:val="28"/>
                <w:szCs w:val="28"/>
              </w:rPr>
              <w:t>安全生产</w:t>
            </w:r>
            <w:r>
              <w:rPr>
                <w:rFonts w:hint="eastAsia"/>
                <w:sz w:val="28"/>
                <w:szCs w:val="28"/>
              </w:rPr>
              <w:t>、</w:t>
            </w:r>
            <w:r>
              <w:rPr>
                <w:sz w:val="28"/>
                <w:szCs w:val="28"/>
              </w:rPr>
              <w:t>文明施工</w:t>
            </w:r>
            <w:r>
              <w:rPr>
                <w:rFonts w:hint="eastAsia"/>
                <w:sz w:val="28"/>
                <w:szCs w:val="28"/>
              </w:rPr>
              <w:t>有关规定要求和学校相</w:t>
            </w:r>
            <w:r>
              <w:rPr>
                <w:sz w:val="28"/>
                <w:szCs w:val="28"/>
              </w:rPr>
              <w:t>关规定要求，</w:t>
            </w:r>
            <w:r>
              <w:rPr>
                <w:rFonts w:hint="eastAsia"/>
                <w:sz w:val="28"/>
                <w:szCs w:val="28"/>
              </w:rPr>
              <w:t>办理相关手续，设置有关围挡、标志等。</w:t>
            </w:r>
            <w:r>
              <w:rPr>
                <w:sz w:val="28"/>
                <w:szCs w:val="28"/>
              </w:rPr>
              <w:t>施工过程中发生的任何事故</w:t>
            </w:r>
            <w:r>
              <w:rPr>
                <w:rFonts w:hint="eastAsia"/>
                <w:sz w:val="28"/>
                <w:szCs w:val="28"/>
              </w:rPr>
              <w:t>均</w:t>
            </w:r>
            <w:r>
              <w:rPr>
                <w:sz w:val="28"/>
                <w:szCs w:val="28"/>
              </w:rPr>
              <w:t>由</w:t>
            </w:r>
            <w:r>
              <w:rPr>
                <w:rFonts w:hint="eastAsia"/>
                <w:sz w:val="28"/>
                <w:szCs w:val="28"/>
              </w:rPr>
              <w:t>乙方</w:t>
            </w:r>
            <w:r>
              <w:rPr>
                <w:sz w:val="28"/>
                <w:szCs w:val="28"/>
              </w:rPr>
              <w:t>承担完全责任</w:t>
            </w:r>
            <w:r>
              <w:rPr>
                <w:rFonts w:hint="eastAsia"/>
                <w:sz w:val="28"/>
                <w:szCs w:val="28"/>
              </w:rPr>
              <w:t>，给甲方造成的损失，必须无条件赔偿。</w:t>
            </w:r>
          </w:p>
          <w:p>
            <w:pPr>
              <w:spacing w:line="500" w:lineRule="exact"/>
              <w:ind w:firstLine="560" w:firstLineChars="200"/>
              <w:rPr>
                <w:sz w:val="28"/>
                <w:szCs w:val="28"/>
              </w:rPr>
            </w:pPr>
            <w:r>
              <w:rPr>
                <w:rFonts w:hint="eastAsia"/>
                <w:sz w:val="28"/>
                <w:szCs w:val="28"/>
              </w:rPr>
              <w:t>（2）施工期间不得影响学校的正常教学秩序，如遇施工过程与学校的教学、科研活动出现冲突等情况，施工方必须服从学校管理。施工方不得损坏污损校园其他设施，如有损坏，必须原样修复或全额赔偿。</w:t>
            </w:r>
          </w:p>
          <w:p>
            <w:pPr>
              <w:spacing w:line="500" w:lineRule="exact"/>
              <w:ind w:firstLine="560" w:firstLineChars="200"/>
              <w:rPr>
                <w:sz w:val="28"/>
                <w:szCs w:val="28"/>
              </w:rPr>
            </w:pPr>
            <w:r>
              <w:rPr>
                <w:rFonts w:hint="eastAsia"/>
                <w:sz w:val="28"/>
                <w:szCs w:val="28"/>
              </w:rPr>
              <w:t>（3）施工期间乙方负责走道每天要清理干净，垃圾要在楼层装袋运至校外垃圾场或城管指定地点。</w:t>
            </w:r>
          </w:p>
          <w:p>
            <w:pPr>
              <w:spacing w:line="500" w:lineRule="exact"/>
              <w:ind w:firstLine="560" w:firstLineChars="200"/>
              <w:rPr>
                <w:sz w:val="28"/>
                <w:szCs w:val="28"/>
              </w:rPr>
            </w:pPr>
            <w:r>
              <w:rPr>
                <w:rFonts w:hint="eastAsia"/>
                <w:sz w:val="28"/>
                <w:szCs w:val="28"/>
              </w:rPr>
              <w:t>（4） 材料及所有设施在未竣工验收交付前均由施工单位负责看护，丢失或者被盗均由施工单位承担。</w:t>
            </w:r>
          </w:p>
        </w:tc>
      </w:tr>
    </w:tbl>
    <w:p>
      <w:pPr>
        <w:rPr>
          <w:rFonts w:ascii="仿宋" w:hAnsi="仿宋" w:eastAsia="仿宋"/>
          <w:sz w:val="28"/>
          <w:szCs w:val="28"/>
        </w:rPr>
      </w:pPr>
    </w:p>
    <w:p>
      <w:pPr>
        <w:adjustRightInd w:val="0"/>
        <w:snapToGrid w:val="0"/>
        <w:spacing w:line="360" w:lineRule="auto"/>
        <w:ind w:firstLine="560" w:firstLineChars="200"/>
        <w:jc w:val="both"/>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pStyle w:val="2"/>
        <w:rPr>
          <w:rFonts w:ascii="仿宋_GB2312" w:hAnsi="宋体" w:eastAsia="仿宋_GB2312"/>
          <w:b w:val="0"/>
          <w:bCs/>
          <w:szCs w:val="28"/>
        </w:rPr>
      </w:pPr>
    </w:p>
    <w:p>
      <w:pPr>
        <w:widowControl/>
        <w:adjustRightInd w:val="0"/>
        <w:snapToGrid w:val="0"/>
        <w:spacing w:line="360" w:lineRule="auto"/>
        <w:jc w:val="left"/>
        <w:rPr>
          <w:rFonts w:ascii="仿宋_GB2312" w:hAnsi="宋体" w:eastAsia="仿宋_GB2312" w:cs="仿宋_GB2312"/>
          <w:szCs w:val="28"/>
        </w:rPr>
      </w:pPr>
    </w:p>
    <w:p>
      <w:pPr>
        <w:pStyle w:val="3"/>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9"/>
      <w:bookmarkEnd w:id="120"/>
    </w:p>
    <w:p>
      <w:pPr>
        <w:spacing w:line="360" w:lineRule="auto"/>
        <w:rPr>
          <w:rFonts w:ascii="宋体" w:hAnsi="宋体" w:cs="宋体"/>
          <w:b/>
          <w:color w:val="000000"/>
          <w:sz w:val="24"/>
        </w:rPr>
      </w:pPr>
      <w:bookmarkStart w:id="121" w:name="_Toc516580575"/>
      <w:bookmarkStart w:id="122" w:name="_Toc4791703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spacing w:line="360" w:lineRule="auto"/>
        <w:rPr>
          <w:rFonts w:ascii="宋体" w:hAnsi="宋体" w:cs="宋体"/>
          <w:b/>
          <w:color w:val="000000"/>
          <w:sz w:val="24"/>
        </w:rPr>
      </w:pPr>
      <w:r>
        <w:rPr>
          <w:rFonts w:hint="eastAsia" w:ascii="宋体" w:hAnsi="宋体" w:cs="宋体"/>
          <w:b/>
          <w:color w:val="000000"/>
          <w:sz w:val="24"/>
        </w:rPr>
        <w:t>（二）评审标准</w:t>
      </w:r>
      <w:r>
        <w:rPr>
          <w:rFonts w:hint="eastAsia" w:ascii="宋体" w:hAnsi="宋体" w:cs="宋体"/>
          <w:color w:val="000000"/>
          <w:sz w:val="24"/>
        </w:rPr>
        <w:t>（数值计算结果均保留两位小数，第三位四舍五入）</w:t>
      </w:r>
    </w:p>
    <w:p>
      <w:pPr>
        <w:spacing w:line="360" w:lineRule="auto"/>
        <w:ind w:firstLine="482" w:firstLineChars="200"/>
        <w:rPr>
          <w:rFonts w:ascii="宋体" w:hAnsi="宋体" w:cs="宋体"/>
          <w:b/>
          <w:color w:val="000000"/>
          <w:sz w:val="24"/>
        </w:rPr>
      </w:pPr>
      <w:r>
        <w:rPr>
          <w:rFonts w:hint="eastAsia" w:ascii="宋体" w:hAnsi="宋体" w:cs="宋体"/>
          <w:b/>
          <w:color w:val="000000"/>
          <w:sz w:val="24"/>
        </w:rPr>
        <w:t>1、评审分值分布(满分100分)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1.1报价部分（65分）                       65分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1.2技术部分（35分）                       35分</w:t>
      </w:r>
    </w:p>
    <w:p>
      <w:pPr>
        <w:spacing w:line="360" w:lineRule="auto"/>
        <w:ind w:firstLine="482" w:firstLineChars="200"/>
        <w:rPr>
          <w:rFonts w:ascii="宋体" w:hAnsi="宋体" w:cs="宋体"/>
          <w:b/>
          <w:color w:val="000000"/>
          <w:sz w:val="24"/>
        </w:rPr>
      </w:pPr>
      <w:r>
        <w:rPr>
          <w:rFonts w:hint="eastAsia" w:ascii="宋体" w:hAnsi="宋体" w:cs="宋体"/>
          <w:b/>
          <w:color w:val="000000"/>
          <w:sz w:val="24"/>
        </w:rPr>
        <w:t>2、评审标准</w:t>
      </w:r>
    </w:p>
    <w:p>
      <w:pPr>
        <w:spacing w:line="360" w:lineRule="auto"/>
        <w:ind w:firstLine="480" w:firstLineChars="200"/>
        <w:rPr>
          <w:rFonts w:ascii="宋体" w:hAnsi="宋体" w:cs="宋体"/>
          <w:color w:val="000000"/>
          <w:sz w:val="24"/>
        </w:rPr>
      </w:pPr>
      <w:r>
        <w:rPr>
          <w:rFonts w:hint="eastAsia" w:ascii="宋体" w:hAnsi="宋体" w:cs="宋体"/>
          <w:color w:val="000000"/>
          <w:sz w:val="24"/>
        </w:rPr>
        <w:t>2.1报价部分评审内容及标准（65分）</w:t>
      </w:r>
    </w:p>
    <w:p>
      <w:pPr>
        <w:spacing w:line="360" w:lineRule="auto"/>
        <w:ind w:firstLine="480" w:firstLineChars="200"/>
        <w:rPr>
          <w:rFonts w:cs="宋体" w:asciiTheme="minorEastAsia" w:hAnsiTheme="minorEastAsia" w:eastAsiaTheme="minorEastAsia"/>
          <w:color w:val="000000"/>
          <w:sz w:val="24"/>
        </w:rPr>
      </w:pPr>
      <w:r>
        <w:rPr>
          <w:rFonts w:hint="eastAsia" w:ascii="宋体" w:hAnsi="宋体" w:cs="宋体"/>
          <w:color w:val="000000"/>
          <w:sz w:val="24"/>
        </w:rPr>
        <w:t>1）评标基准价的确定。有效投标单位为在10家以内（含）的，各投标单位报价平均值作为基准分（65分）；超过10家的，去掉二个最高报价和二个最低报价，其余各投标单位报价平均值作为基准分（65分）。无效响应的供应商报价不参与评</w:t>
      </w:r>
      <w:r>
        <w:rPr>
          <w:rFonts w:hint="eastAsia" w:cs="宋体" w:asciiTheme="minorEastAsia" w:hAnsiTheme="minorEastAsia" w:eastAsiaTheme="minorEastAsia"/>
          <w:color w:val="000000"/>
          <w:sz w:val="24"/>
        </w:rPr>
        <w:t>标基准价计算。</w:t>
      </w:r>
    </w:p>
    <w:p>
      <w:pPr>
        <w:pStyle w:val="11"/>
        <w:adjustRightInd w:val="0"/>
        <w:snapToGrid w:val="0"/>
        <w:spacing w:line="460" w:lineRule="exact"/>
        <w:ind w:firstLine="480"/>
        <w:rPr>
          <w:rFonts w:cs="宋体" w:asciiTheme="minorEastAsia" w:hAnsiTheme="minorEastAsia" w:eastAsiaTheme="minorEastAsia"/>
          <w:color w:val="000000"/>
          <w:spacing w:val="0"/>
          <w:sz w:val="24"/>
          <w:szCs w:val="24"/>
        </w:rPr>
      </w:pPr>
      <w:r>
        <w:rPr>
          <w:rFonts w:hint="eastAsia" w:cs="宋体" w:asciiTheme="minorEastAsia" w:hAnsiTheme="minorEastAsia" w:eastAsiaTheme="minorEastAsia"/>
          <w:color w:val="000000"/>
          <w:spacing w:val="0"/>
          <w:sz w:val="24"/>
          <w:szCs w:val="24"/>
        </w:rPr>
        <w:t>2）报价得分的确定。报价得分＝基准分－|(投标人报价－平均报价）／平均报价|X 100 X B；（报价得分保留2位小数）</w:t>
      </w:r>
    </w:p>
    <w:p>
      <w:pPr>
        <w:pStyle w:val="11"/>
        <w:adjustRightInd w:val="0"/>
        <w:snapToGrid w:val="0"/>
        <w:spacing w:line="460" w:lineRule="exact"/>
        <w:ind w:firstLine="560"/>
        <w:rPr>
          <w:rFonts w:cs="Times New Roman" w:asciiTheme="minorEastAsia" w:hAnsiTheme="minorEastAsia" w:eastAsiaTheme="minorEastAsia"/>
          <w:spacing w:val="0"/>
          <w:sz w:val="28"/>
          <w:szCs w:val="28"/>
        </w:rPr>
      </w:pPr>
    </w:p>
    <w:p>
      <w:pPr>
        <w:pStyle w:val="11"/>
        <w:adjustRightInd w:val="0"/>
        <w:snapToGrid w:val="0"/>
        <w:spacing w:line="460" w:lineRule="exact"/>
        <w:ind w:firstLine="480"/>
        <w:rPr>
          <w:rFonts w:cs="宋体" w:asciiTheme="minorEastAsia" w:hAnsiTheme="minorEastAsia" w:eastAsiaTheme="minorEastAsia"/>
          <w:color w:val="000000"/>
          <w:spacing w:val="0"/>
          <w:sz w:val="24"/>
          <w:szCs w:val="24"/>
        </w:rPr>
      </w:pPr>
      <w:r>
        <w:rPr>
          <w:rFonts w:hint="eastAsia" w:cs="宋体" w:asciiTheme="minorEastAsia" w:hAnsiTheme="minorEastAsia" w:eastAsiaTheme="minorEastAsia"/>
          <w:color w:val="000000"/>
          <w:spacing w:val="0"/>
          <w:sz w:val="24"/>
          <w:szCs w:val="24"/>
        </w:rPr>
        <w:t>B取值方式为：当投标人报价高于平均报价时，B取值为2；</w:t>
      </w:r>
    </w:p>
    <w:p>
      <w:pPr>
        <w:pStyle w:val="11"/>
        <w:adjustRightInd w:val="0"/>
        <w:snapToGrid w:val="0"/>
        <w:spacing w:line="460" w:lineRule="exact"/>
        <w:ind w:firstLine="2160" w:firstLineChars="900"/>
        <w:rPr>
          <w:rFonts w:cs="宋体" w:asciiTheme="minorEastAsia" w:hAnsiTheme="minorEastAsia" w:eastAsiaTheme="minorEastAsia"/>
          <w:color w:val="000000"/>
          <w:spacing w:val="0"/>
          <w:sz w:val="24"/>
          <w:szCs w:val="24"/>
        </w:rPr>
      </w:pPr>
      <w:r>
        <w:rPr>
          <w:rFonts w:hint="eastAsia" w:cs="宋体" w:asciiTheme="minorEastAsia" w:hAnsiTheme="minorEastAsia" w:eastAsiaTheme="minorEastAsia"/>
          <w:color w:val="000000"/>
          <w:spacing w:val="0"/>
          <w:sz w:val="24"/>
          <w:szCs w:val="24"/>
        </w:rPr>
        <w:t>当投标人报价低于平均报价时，B取值为1。</w:t>
      </w:r>
    </w:p>
    <w:p>
      <w:pPr>
        <w:spacing w:line="360" w:lineRule="auto"/>
        <w:ind w:firstLine="480" w:firstLineChars="200"/>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3）评标基准价及报价得分经磋商小组确定后，除计算错误外，不因异议投诉等事项而改变。</w:t>
      </w:r>
    </w:p>
    <w:p>
      <w:pPr>
        <w:spacing w:line="360" w:lineRule="auto"/>
        <w:ind w:firstLine="480" w:firstLineChars="200"/>
        <w:rPr>
          <w:rFonts w:ascii="宋体" w:hAnsi="宋体" w:cs="宋体"/>
          <w:color w:val="000000"/>
          <w:sz w:val="24"/>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2.2技术部分评审内容及标准（35分）</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524"/>
        <w:gridCol w:w="731"/>
        <w:gridCol w:w="4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序号</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480" w:firstLineChars="200"/>
              <w:jc w:val="left"/>
              <w:rPr>
                <w:rFonts w:ascii="宋体" w:hAnsi="宋体"/>
                <w:sz w:val="24"/>
              </w:rPr>
            </w:pPr>
            <w:r>
              <w:rPr>
                <w:rFonts w:hint="eastAsia" w:ascii="宋体" w:hAnsi="宋体"/>
                <w:sz w:val="24"/>
              </w:rPr>
              <w:t>评审内容</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分值</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480" w:firstLineChars="200"/>
              <w:jc w:val="left"/>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1</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施工组织机构和人员组成</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3</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组织机构齐全，人员配备合理得3分，有缺陷的酌情减分。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2</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施工进度计划</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4</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总施工工期目标明确，关键节点明确，各分项工程施工顺序安排恰当、工序衔接合理，进度计划安排科学，得4分。不足的酌情减分。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3</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施工质量保证体系</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4</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质量管理体系完善，工程质量措施完善，按单位、分部和分项分解细化,具体明确，制度健全，能确保工程质量的，得4分；存在缺陷或不足的，酌情减分；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4</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安全文明施工</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4</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ascii="宋体" w:hAnsi="宋体"/>
                <w:sz w:val="24"/>
              </w:rPr>
              <w:t>安全保障体系完善，安全措施或制度健全</w:t>
            </w:r>
            <w:r>
              <w:rPr>
                <w:rFonts w:hint="eastAsia" w:ascii="宋体" w:hAnsi="宋体"/>
                <w:sz w:val="24"/>
              </w:rPr>
              <w:t>,</w:t>
            </w:r>
            <w:r>
              <w:rPr>
                <w:rFonts w:ascii="宋体" w:hAnsi="宋体"/>
                <w:sz w:val="24"/>
              </w:rPr>
              <w:t xml:space="preserve"> 有明确的环保及文明施工目标及体系</w:t>
            </w:r>
            <w:r>
              <w:rPr>
                <w:rFonts w:hint="eastAsia" w:ascii="宋体" w:hAnsi="宋体"/>
                <w:sz w:val="24"/>
              </w:rPr>
              <w:t>。满分4分，存在缺陷或不足的，酌情减分。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4</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材料品牌保证</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8</w:t>
            </w:r>
          </w:p>
        </w:tc>
        <w:tc>
          <w:tcPr>
            <w:tcW w:w="266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投标文件中的材料，明确其品牌及规格、且是技术要求中所列的品牌的，得8分；所列品牌不全的，按列的数量酌情给分，给分</w:t>
            </w:r>
            <w:r>
              <w:rPr>
                <w:rFonts w:hint="eastAsia" w:asciiTheme="minorEastAsia" w:hAnsiTheme="minorEastAsia" w:eastAsiaTheme="minorEastAsia"/>
                <w:sz w:val="24"/>
              </w:rPr>
              <w:t>标准为7</w:t>
            </w:r>
            <w:r>
              <w:rPr>
                <w:rFonts w:hint="eastAsia" w:asciiTheme="minorEastAsia" w:hAnsiTheme="minorEastAsia" w:eastAsiaTheme="minorEastAsia"/>
                <w:b/>
                <w:sz w:val="24"/>
              </w:rPr>
              <w:t>～</w:t>
            </w:r>
            <w:r>
              <w:rPr>
                <w:rFonts w:hint="eastAsia" w:asciiTheme="minorEastAsia" w:hAnsiTheme="minorEastAsia" w:eastAsiaTheme="minorEastAsia"/>
                <w:sz w:val="24"/>
              </w:rPr>
              <w:t>1分</w:t>
            </w:r>
            <w:r>
              <w:rPr>
                <w:rFonts w:hint="eastAsia" w:ascii="宋体" w:hAnsi="宋体"/>
                <w:sz w:val="24"/>
              </w:rPr>
              <w:t>；未列材料品牌或列出的品牌与招标文件要求不相符得0分。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5</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 w:val="24"/>
              </w:rPr>
            </w:pPr>
            <w:r>
              <w:rPr>
                <w:rFonts w:hint="eastAsia" w:ascii="宋体" w:hAnsi="宋体"/>
                <w:sz w:val="24"/>
              </w:rPr>
              <w:t>业    绩</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6</w:t>
            </w:r>
          </w:p>
        </w:tc>
        <w:tc>
          <w:tcPr>
            <w:tcW w:w="2666" w:type="pct"/>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left"/>
              <w:rPr>
                <w:rFonts w:ascii="宋体" w:hAnsi="宋体"/>
                <w:sz w:val="24"/>
              </w:rPr>
            </w:pPr>
            <w:r>
              <w:rPr>
                <w:rFonts w:hint="eastAsia" w:ascii="宋体" w:hAnsi="宋体"/>
                <w:sz w:val="24"/>
              </w:rPr>
              <w:t>自2018年1月1日至开标之日止，承担屋面维修，渗漏维修等类似工程的业绩，且合同价超过10万的，每提供一项得2分，最高得6分。认定业绩的依据为施工合同、中标通知书、竣工验收报告或者建设单位提供的完工合格证明，三者缺一不可。合同的复印件装订在投标文件中，原件用档案袋密封在开标前随投标文件一起递交给工作人员，以供评委核对，未提供任一原件的业绩不得分，业绩时间以合同上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7</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 w:val="24"/>
              </w:rPr>
            </w:pPr>
            <w:r>
              <w:rPr>
                <w:rFonts w:hint="eastAsia" w:ascii="宋体" w:hAnsi="宋体"/>
                <w:sz w:val="24"/>
              </w:rPr>
              <w:t>售后承诺</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3</w:t>
            </w:r>
          </w:p>
        </w:tc>
        <w:tc>
          <w:tcPr>
            <w:tcW w:w="2666" w:type="pct"/>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left"/>
              <w:rPr>
                <w:rFonts w:ascii="宋体" w:hAnsi="宋体"/>
                <w:sz w:val="24"/>
              </w:rPr>
            </w:pPr>
            <w:r>
              <w:rPr>
                <w:rFonts w:hint="eastAsia" w:ascii="宋体" w:hAnsi="宋体"/>
                <w:sz w:val="24"/>
              </w:rPr>
              <w:t>包括保修年限，服务标准，人员配备，维修及保障措施等，根据投标单位承诺情况由评委给予0-3分；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8</w:t>
            </w:r>
          </w:p>
        </w:tc>
        <w:tc>
          <w:tcPr>
            <w:tcW w:w="1481" w:type="pct"/>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 w:val="24"/>
              </w:rPr>
            </w:pPr>
            <w:r>
              <w:rPr>
                <w:rFonts w:hint="eastAsia" w:ascii="宋体" w:hAnsi="宋体"/>
                <w:sz w:val="24"/>
              </w:rPr>
              <w:t>勘踏现场</w:t>
            </w:r>
          </w:p>
        </w:tc>
        <w:tc>
          <w:tcPr>
            <w:tcW w:w="429"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3</w:t>
            </w:r>
          </w:p>
        </w:tc>
        <w:tc>
          <w:tcPr>
            <w:tcW w:w="2666" w:type="pct"/>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left"/>
              <w:rPr>
                <w:rFonts w:ascii="宋体" w:hAnsi="宋体"/>
                <w:sz w:val="24"/>
                <w:highlight w:val="yellow"/>
              </w:rPr>
            </w:pPr>
            <w:r>
              <w:rPr>
                <w:rFonts w:hint="eastAsia" w:ascii="宋体" w:hAnsi="宋体"/>
                <w:sz w:val="24"/>
              </w:rPr>
              <w:t>各供应商按时踏勘现场，凭签到表给分，参加现场踏勘的得3分，没有不得分，以勘踏现场签到为准。</w:t>
            </w:r>
          </w:p>
        </w:tc>
      </w:tr>
    </w:tbl>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1"/>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3" w:name="_Toc403987220"/>
      <w:r>
        <w:rPr>
          <w:rFonts w:hint="eastAsia"/>
        </w:rPr>
        <w:t>响应文件格式</w:t>
      </w:r>
      <w:bookmarkEnd w:id="121"/>
      <w:bookmarkEnd w:id="122"/>
      <w:bookmarkEnd w:id="123"/>
      <w:bookmarkStart w:id="124" w:name="_Hlt26671244"/>
      <w:bookmarkEnd w:id="124"/>
      <w:bookmarkStart w:id="125" w:name="_Hlt26955039"/>
      <w:bookmarkEnd w:id="125"/>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1077</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6"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皖南医学院校医院屋面防水翻新及卫生间改造工程项目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6"/>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hint="eastAsia" w:asciiTheme="minorEastAsia" w:hAnsiTheme="minorEastAsia" w:eastAsiaTheme="minorEastAsia"/>
          <w:b/>
          <w:sz w:val="24"/>
          <w:szCs w:val="24"/>
          <w:lang w:eastAsia="zh-CN"/>
        </w:rPr>
        <w:t>近三年</w:t>
      </w:r>
      <w:r>
        <w:rPr>
          <w:rFonts w:hint="eastAsia" w:asciiTheme="minorEastAsia" w:hAnsiTheme="minorEastAsia" w:eastAsiaTheme="minorEastAsia"/>
          <w:b/>
          <w:sz w:val="24"/>
          <w:szCs w:val="24"/>
        </w:rPr>
        <w:t>业绩证明材料及其他</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八、投入本项目组成成员汇总表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九、投入本项目组成成员简历表</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lang w:eastAsia="zh-CN"/>
        </w:rPr>
        <w:t>十、投入本项目组成成员业绩</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十一、承诺书（针对招标文件相关要求提供的承诺书）格式自拟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2"/>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4"/>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4"/>
          <w:rFonts w:ascii="华文中宋" w:hAnsi="华文中宋" w:eastAsia="华文中宋"/>
          <w:sz w:val="28"/>
          <w:szCs w:val="28"/>
        </w:rPr>
      </w:pPr>
      <w:r>
        <w:rPr>
          <w:rStyle w:val="44"/>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2"/>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4"/>
          <w:rFonts w:ascii="华文中宋" w:hAnsi="华文中宋" w:eastAsia="华文中宋"/>
          <w:b w:val="0"/>
          <w:color w:val="auto"/>
          <w:szCs w:val="28"/>
        </w:rPr>
      </w:pPr>
      <w:r>
        <w:rPr>
          <w:rFonts w:hint="eastAsia"/>
          <w:bCs/>
          <w:spacing w:val="-6"/>
          <w:sz w:val="32"/>
        </w:rPr>
        <w:t>三、</w:t>
      </w:r>
      <w:bookmarkStart w:id="127" w:name="_Toc513029276"/>
      <w:bookmarkStart w:id="128" w:name="_Toc23828478"/>
      <w:bookmarkStart w:id="129" w:name="_Toc22356580"/>
      <w:bookmarkStart w:id="130" w:name="_Toc26554095"/>
      <w:bookmarkStart w:id="131" w:name="_Toc120614283"/>
      <w:bookmarkStart w:id="132" w:name="_Toc460901585"/>
      <w:bookmarkStart w:id="133" w:name="_Toc49090577"/>
      <w:r>
        <w:rPr>
          <w:rFonts w:hint="eastAsia" w:ascii="华文中宋" w:hAnsi="华文中宋" w:eastAsia="华文中宋"/>
          <w:b/>
          <w:spacing w:val="-6"/>
          <w:sz w:val="32"/>
          <w:szCs w:val="28"/>
        </w:rPr>
        <w:t>、</w:t>
      </w:r>
      <w:r>
        <w:rPr>
          <w:rStyle w:val="44"/>
          <w:rFonts w:hint="eastAsia" w:ascii="华文中宋" w:hAnsi="华文中宋" w:eastAsia="华文中宋"/>
          <w:color w:val="auto"/>
          <w:szCs w:val="28"/>
        </w:rPr>
        <w:t>磋商函格式</w:t>
      </w:r>
    </w:p>
    <w:bookmarkEnd w:id="127"/>
    <w:bookmarkEnd w:id="128"/>
    <w:bookmarkEnd w:id="129"/>
    <w:bookmarkEnd w:id="130"/>
    <w:bookmarkEnd w:id="131"/>
    <w:bookmarkEnd w:id="132"/>
    <w:bookmarkEnd w:id="133"/>
    <w:p>
      <w:pPr>
        <w:tabs>
          <w:tab w:val="left" w:pos="5580"/>
        </w:tabs>
        <w:spacing w:line="480" w:lineRule="exact"/>
        <w:rPr>
          <w:rStyle w:val="44"/>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4" w:name="_Toc26554103"/>
      <w:bookmarkStart w:id="135" w:name="_Toc120614291"/>
      <w:bookmarkStart w:id="136" w:name="_Toc513029281"/>
      <w:bookmarkStart w:id="137" w:name="_Toc24878535"/>
      <w:bookmarkStart w:id="138" w:name="_Toc22356583"/>
      <w:bookmarkStart w:id="139" w:name="_Toc23828483"/>
      <w:bookmarkStart w:id="140" w:name="_Toc49090582"/>
      <w:r>
        <w:rPr>
          <w:rFonts w:hint="eastAsia" w:hAnsi="宋体"/>
          <w:b/>
        </w:rPr>
        <w:t>五、法人授权书</w:t>
      </w:r>
      <w:bookmarkEnd w:id="134"/>
      <w:bookmarkEnd w:id="135"/>
      <w:bookmarkEnd w:id="136"/>
      <w:bookmarkEnd w:id="137"/>
      <w:bookmarkEnd w:id="138"/>
      <w:bookmarkEnd w:id="139"/>
      <w:bookmarkEnd w:id="140"/>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jc w:val="left"/>
        <w:rPr>
          <w:rFonts w:hAnsi="华文中宋"/>
          <w:b/>
          <w:kern w:val="0"/>
          <w:sz w:val="44"/>
          <w:szCs w:val="44"/>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r>
        <w:rPr>
          <w:rFonts w:hint="eastAsia" w:hAnsi="华文中宋"/>
          <w:b/>
          <w:kern w:val="0"/>
          <w:sz w:val="44"/>
          <w:szCs w:val="44"/>
        </w:rPr>
        <w:t xml:space="preserve">附表：      </w:t>
      </w:r>
    </w:p>
    <w:p>
      <w:pPr>
        <w:jc w:val="center"/>
        <w:rPr>
          <w:rFonts w:ascii="新宋体" w:hAnsi="新宋体" w:eastAsia="新宋体"/>
          <w:b/>
          <w:sz w:val="36"/>
          <w:szCs w:val="36"/>
        </w:rPr>
      </w:pPr>
      <w:r>
        <w:rPr>
          <w:rFonts w:hint="eastAsia" w:hAnsi="华文中宋"/>
          <w:b/>
          <w:kern w:val="0"/>
          <w:sz w:val="44"/>
          <w:szCs w:val="44"/>
        </w:rPr>
        <w:t>业绩证明（格式）</w:t>
      </w:r>
    </w:p>
    <w:p>
      <w:pPr>
        <w:spacing w:line="440" w:lineRule="exact"/>
        <w:rPr>
          <w:rFonts w:ascii="宋体" w:hAnsi="宋体"/>
          <w:sz w:val="28"/>
          <w:szCs w:val="28"/>
          <w:u w:val="single"/>
        </w:rPr>
      </w:pPr>
      <w:r>
        <w:rPr>
          <w:rFonts w:hint="eastAsia" w:ascii="宋体" w:hAnsi="宋体"/>
          <w:sz w:val="28"/>
          <w:szCs w:val="28"/>
        </w:rPr>
        <w:t>致：</w:t>
      </w:r>
      <w:r>
        <w:rPr>
          <w:rFonts w:hint="eastAsia" w:ascii="宋体" w:hAnsi="宋体"/>
          <w:sz w:val="28"/>
          <w:szCs w:val="28"/>
          <w:u w:val="single"/>
        </w:rPr>
        <w:t>皖南医学院</w:t>
      </w:r>
    </w:p>
    <w:tbl>
      <w:tblPr>
        <w:tblStyle w:val="22"/>
        <w:tblpPr w:leftFromText="180" w:rightFromText="180" w:vertAnchor="text" w:horzAnchor="page" w:tblpX="1267" w:tblpY="535"/>
        <w:tblOverlap w:val="never"/>
        <w:tblW w:w="9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446"/>
        <w:gridCol w:w="1701"/>
        <w:gridCol w:w="2835"/>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60"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序号</w:t>
            </w:r>
          </w:p>
        </w:tc>
        <w:tc>
          <w:tcPr>
            <w:tcW w:w="2446" w:type="dxa"/>
            <w:vAlign w:val="center"/>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项目名称</w:t>
            </w:r>
          </w:p>
        </w:tc>
        <w:tc>
          <w:tcPr>
            <w:tcW w:w="170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项目金额（元）</w:t>
            </w:r>
          </w:p>
        </w:tc>
        <w:tc>
          <w:tcPr>
            <w:tcW w:w="2835" w:type="dxa"/>
          </w:tcPr>
          <w:p>
            <w:pPr>
              <w:spacing w:line="540" w:lineRule="exact"/>
              <w:ind w:firstLine="560" w:firstLineChars="200"/>
              <w:jc w:val="center"/>
              <w:rPr>
                <w:rFonts w:ascii="新宋体" w:hAnsi="新宋体" w:eastAsia="新宋体" w:cs="宋体"/>
                <w:kern w:val="0"/>
                <w:sz w:val="28"/>
                <w:szCs w:val="28"/>
              </w:rPr>
            </w:pPr>
            <w:r>
              <w:rPr>
                <w:rFonts w:hint="eastAsia" w:ascii="新宋体" w:hAnsi="新宋体" w:eastAsia="新宋体" w:cs="宋体"/>
                <w:kern w:val="0"/>
                <w:sz w:val="28"/>
                <w:szCs w:val="28"/>
              </w:rPr>
              <w:t>项目负责人</w:t>
            </w:r>
          </w:p>
        </w:tc>
        <w:tc>
          <w:tcPr>
            <w:tcW w:w="1381" w:type="dxa"/>
            <w:vAlign w:val="center"/>
          </w:tcPr>
          <w:p>
            <w:pPr>
              <w:spacing w:line="540" w:lineRule="exact"/>
              <w:jc w:val="center"/>
              <w:rPr>
                <w:rFonts w:ascii="新宋体" w:hAnsi="新宋体" w:eastAsia="新宋体" w:cs="宋体"/>
                <w:kern w:val="0"/>
                <w:sz w:val="28"/>
                <w:szCs w:val="28"/>
              </w:rPr>
            </w:pPr>
            <w:r>
              <w:rPr>
                <w:rFonts w:hint="eastAsia" w:ascii="新宋体" w:hAnsi="新宋体" w:eastAsia="新宋体" w:cs="宋体"/>
                <w:kern w:val="0"/>
                <w:sz w:val="28"/>
                <w:szCs w:val="28"/>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1</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2</w:t>
            </w:r>
          </w:p>
        </w:tc>
        <w:tc>
          <w:tcPr>
            <w:tcW w:w="2446" w:type="dxa"/>
            <w:vAlign w:val="center"/>
          </w:tcPr>
          <w:p>
            <w:pPr>
              <w:spacing w:line="540" w:lineRule="exact"/>
              <w:ind w:firstLine="560" w:firstLineChars="200"/>
              <w:rPr>
                <w:rFonts w:ascii="新宋体" w:hAnsi="新宋体" w:eastAsia="新宋体" w:cs="宋体"/>
                <w:kern w:val="0"/>
                <w:sz w:val="28"/>
                <w:szCs w:val="28"/>
              </w:rPr>
            </w:pP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vAlign w:val="center"/>
          </w:tcPr>
          <w:p>
            <w:pPr>
              <w:spacing w:line="540" w:lineRule="exact"/>
              <w:ind w:firstLine="560" w:firstLineChars="200"/>
              <w:rPr>
                <w:rFonts w:ascii="新宋体" w:hAnsi="新宋体" w:eastAsia="新宋体" w:cs="宋体"/>
                <w:kern w:val="0"/>
                <w:sz w:val="28"/>
                <w:szCs w:val="28"/>
              </w:rPr>
            </w:pPr>
          </w:p>
        </w:tc>
        <w:tc>
          <w:tcPr>
            <w:tcW w:w="2446" w:type="dxa"/>
            <w:vAlign w:val="center"/>
          </w:tcPr>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w:t>
            </w:r>
          </w:p>
        </w:tc>
        <w:tc>
          <w:tcPr>
            <w:tcW w:w="1701" w:type="dxa"/>
            <w:vAlign w:val="center"/>
          </w:tcPr>
          <w:p>
            <w:pPr>
              <w:spacing w:line="540" w:lineRule="exact"/>
              <w:ind w:firstLine="560" w:firstLineChars="200"/>
              <w:rPr>
                <w:rFonts w:ascii="新宋体" w:hAnsi="新宋体" w:eastAsia="新宋体" w:cs="宋体"/>
                <w:kern w:val="0"/>
                <w:sz w:val="28"/>
                <w:szCs w:val="28"/>
              </w:rPr>
            </w:pPr>
          </w:p>
        </w:tc>
        <w:tc>
          <w:tcPr>
            <w:tcW w:w="2835" w:type="dxa"/>
          </w:tcPr>
          <w:p>
            <w:pPr>
              <w:spacing w:line="540" w:lineRule="exact"/>
              <w:ind w:firstLine="560" w:firstLineChars="200"/>
              <w:rPr>
                <w:rFonts w:ascii="新宋体" w:hAnsi="新宋体" w:eastAsia="新宋体" w:cs="宋体"/>
                <w:kern w:val="0"/>
                <w:sz w:val="28"/>
                <w:szCs w:val="28"/>
              </w:rPr>
            </w:pPr>
          </w:p>
        </w:tc>
        <w:tc>
          <w:tcPr>
            <w:tcW w:w="1381" w:type="dxa"/>
            <w:vAlign w:val="center"/>
          </w:tcPr>
          <w:p>
            <w:pPr>
              <w:spacing w:line="540" w:lineRule="exact"/>
              <w:ind w:firstLine="560" w:firstLineChars="200"/>
              <w:rPr>
                <w:rFonts w:ascii="新宋体" w:hAnsi="新宋体" w:eastAsia="新宋体" w:cs="宋体"/>
                <w:kern w:val="0"/>
                <w:sz w:val="28"/>
                <w:szCs w:val="28"/>
              </w:rPr>
            </w:pPr>
          </w:p>
        </w:tc>
      </w:tr>
    </w:tbl>
    <w:p>
      <w:pPr>
        <w:spacing w:line="540" w:lineRule="exact"/>
        <w:ind w:firstLine="560" w:firstLineChars="200"/>
        <w:rPr>
          <w:rFonts w:ascii="新宋体" w:hAnsi="新宋体" w:eastAsia="新宋体" w:cs="宋体"/>
          <w:kern w:val="0"/>
          <w:sz w:val="28"/>
          <w:szCs w:val="28"/>
        </w:rPr>
      </w:pPr>
      <w:r>
        <w:rPr>
          <w:rFonts w:hint="eastAsia" w:ascii="新宋体" w:hAnsi="新宋体" w:eastAsia="新宋体" w:cs="宋体"/>
          <w:kern w:val="0"/>
          <w:sz w:val="28"/>
          <w:szCs w:val="28"/>
        </w:rPr>
        <w:t xml:space="preserve">以下项目由 </w:t>
      </w:r>
      <w:r>
        <w:rPr>
          <w:rFonts w:hint="eastAsia" w:ascii="新宋体" w:hAnsi="新宋体" w:eastAsia="新宋体" w:cs="宋体"/>
          <w:kern w:val="0"/>
          <w:sz w:val="28"/>
          <w:szCs w:val="28"/>
          <w:u w:val="single"/>
        </w:rPr>
        <w:t>（</w:t>
      </w:r>
      <w:r>
        <w:rPr>
          <w:rFonts w:hint="eastAsia" w:ascii="新宋体" w:hAnsi="新宋体" w:eastAsia="新宋体" w:cs="宋体"/>
          <w:kern w:val="0"/>
          <w:sz w:val="28"/>
          <w:szCs w:val="28"/>
          <w:u w:val="single"/>
          <w:lang w:val="en-US" w:eastAsia="zh-CN"/>
        </w:rPr>
        <w:t xml:space="preserve"> </w:t>
      </w:r>
      <w:r>
        <w:rPr>
          <w:rFonts w:hint="eastAsia" w:ascii="新宋体" w:hAnsi="新宋体" w:eastAsia="新宋体" w:cs="宋体"/>
          <w:kern w:val="0"/>
          <w:sz w:val="28"/>
          <w:szCs w:val="28"/>
          <w:u w:val="single"/>
        </w:rPr>
        <w:t>）</w:t>
      </w:r>
      <w:r>
        <w:rPr>
          <w:rFonts w:hint="eastAsia" w:ascii="新宋体" w:hAnsi="新宋体" w:eastAsia="新宋体" w:cs="宋体"/>
          <w:kern w:val="0"/>
          <w:sz w:val="28"/>
          <w:szCs w:val="28"/>
        </w:rPr>
        <w:t xml:space="preserve"> 完成，具体情况如下：</w:t>
      </w:r>
    </w:p>
    <w:p>
      <w:pPr>
        <w:ind w:firstLine="1960" w:firstLineChars="700"/>
        <w:rPr>
          <w:rFonts w:ascii="宋体" w:hAnsi="宋体"/>
          <w:sz w:val="28"/>
          <w:szCs w:val="28"/>
          <w:u w:val="single"/>
        </w:rPr>
      </w:pPr>
      <w:r>
        <w:rPr>
          <w:rFonts w:hint="eastAsia" w:ascii="宋体" w:hAnsi="宋体"/>
          <w:sz w:val="28"/>
          <w:szCs w:val="28"/>
        </w:rPr>
        <w:t>行业主管部门（</w:t>
      </w:r>
      <w:r>
        <w:rPr>
          <w:rFonts w:hint="eastAsia" w:ascii="宋体" w:hAnsi="宋体"/>
          <w:color w:val="0000FF"/>
          <w:sz w:val="28"/>
          <w:szCs w:val="28"/>
        </w:rPr>
        <w:t>或建设单位</w:t>
      </w:r>
      <w:r>
        <w:rPr>
          <w:rFonts w:hint="eastAsia" w:ascii="宋体" w:hAnsi="宋体"/>
          <w:sz w:val="28"/>
          <w:szCs w:val="28"/>
        </w:rPr>
        <w:t>）盖章：</w:t>
      </w:r>
      <w:r>
        <w:rPr>
          <w:rFonts w:hint="eastAsia" w:ascii="宋体" w:hAnsi="宋体"/>
          <w:sz w:val="28"/>
          <w:szCs w:val="28"/>
          <w:u w:val="single"/>
        </w:rPr>
        <w:t xml:space="preserve">                </w:t>
      </w:r>
    </w:p>
    <w:p>
      <w:pPr>
        <w:jc w:val="right"/>
        <w:rPr>
          <w:rFonts w:ascii="宋体" w:hAnsi="宋体"/>
          <w:sz w:val="28"/>
          <w:szCs w:val="28"/>
        </w:rPr>
      </w:pP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jc w:val="right"/>
        <w:rPr>
          <w:rFonts w:ascii="宋体" w:hAnsi="宋体"/>
          <w:sz w:val="28"/>
          <w:szCs w:val="28"/>
        </w:rPr>
      </w:pPr>
    </w:p>
    <w:p>
      <w:pPr>
        <w:jc w:val="right"/>
        <w:rPr>
          <w:rFonts w:ascii="宋体" w:hAnsi="宋体"/>
          <w:sz w:val="28"/>
          <w:szCs w:val="28"/>
        </w:rPr>
      </w:pPr>
    </w:p>
    <w:p>
      <w:pPr>
        <w:spacing w:line="400" w:lineRule="exact"/>
        <w:ind w:firstLine="482" w:firstLineChars="200"/>
        <w:jc w:val="left"/>
        <w:rPr>
          <w:rFonts w:ascii="宋体" w:hAnsi="宋体"/>
          <w:b/>
          <w:color w:val="FF0000"/>
          <w:sz w:val="24"/>
        </w:rPr>
      </w:pPr>
      <w:r>
        <w:rPr>
          <w:rFonts w:hint="eastAsia" w:ascii="宋体" w:hAnsi="宋体"/>
          <w:b/>
          <w:color w:val="FF0000"/>
          <w:sz w:val="24"/>
        </w:rPr>
        <w:t>注：</w:t>
      </w:r>
    </w:p>
    <w:p>
      <w:pPr>
        <w:spacing w:line="400" w:lineRule="exact"/>
        <w:ind w:firstLine="482" w:firstLineChars="200"/>
        <w:jc w:val="left"/>
        <w:rPr>
          <w:rFonts w:ascii="宋体" w:hAnsi="宋体"/>
          <w:b/>
          <w:color w:val="FF0000"/>
          <w:sz w:val="24"/>
        </w:rPr>
      </w:pPr>
      <w:r>
        <w:rPr>
          <w:rFonts w:hint="eastAsia" w:ascii="宋体" w:hAnsi="宋体"/>
          <w:b/>
          <w:color w:val="FF0000"/>
          <w:sz w:val="24"/>
        </w:rPr>
        <w:t>1、该业绩证明复印件装订在投标文件中。</w:t>
      </w:r>
    </w:p>
    <w:p>
      <w:pPr>
        <w:spacing w:line="400" w:lineRule="exact"/>
        <w:ind w:firstLine="482" w:firstLineChars="200"/>
        <w:rPr>
          <w:rFonts w:ascii="宋体" w:hAnsi="宋体"/>
          <w:b/>
          <w:color w:val="FF0000"/>
          <w:sz w:val="24"/>
        </w:rPr>
      </w:pPr>
      <w:r>
        <w:rPr>
          <w:rFonts w:hint="eastAsia" w:ascii="宋体" w:hAnsi="宋体"/>
          <w:b/>
          <w:color w:val="FF0000"/>
          <w:sz w:val="24"/>
        </w:rPr>
        <w:t>2、该业绩证明若为手填内容,则评委会不予认可。</w:t>
      </w:r>
    </w:p>
    <w:p>
      <w:pPr>
        <w:spacing w:line="400" w:lineRule="exact"/>
        <w:ind w:firstLine="482" w:firstLineChars="200"/>
        <w:rPr>
          <w:rFonts w:ascii="宋体" w:hAnsi="宋体"/>
          <w:b/>
          <w:color w:val="FF0000"/>
          <w:sz w:val="24"/>
        </w:rPr>
      </w:pPr>
      <w:r>
        <w:rPr>
          <w:rFonts w:hint="eastAsia" w:ascii="宋体" w:hAnsi="宋体"/>
          <w:b/>
          <w:color w:val="FF0000"/>
          <w:sz w:val="24"/>
        </w:rPr>
        <w:t>3、请投标人务必保证其真实性、准确性。</w:t>
      </w:r>
    </w:p>
    <w:p>
      <w:pPr>
        <w:jc w:val="left"/>
        <w:rPr>
          <w:rFonts w:ascii="仿宋_GB2312" w:hAnsi="宋体" w:eastAsia="仿宋_GB2312"/>
          <w:color w:val="000000" w:themeColor="text1"/>
          <w:szCs w:val="28"/>
        </w:rPr>
      </w:pPr>
      <w:r>
        <w:rPr>
          <w:rFonts w:hint="eastAsia" w:ascii="宋体" w:hAnsi="宋体"/>
          <w:b/>
          <w:color w:val="FF0000"/>
          <w:sz w:val="24"/>
        </w:rPr>
        <w:t>4、“项目类型”系指屋面维修，渗漏维修等类似工程的业绩。</w:t>
      </w:r>
    </w:p>
    <w:p>
      <w:pPr>
        <w:rPr>
          <w:rFonts w:ascii="仿宋_GB2312" w:eastAsia="仿宋_GB2312"/>
        </w:rPr>
      </w:pPr>
    </w:p>
    <w:p>
      <w:pPr>
        <w:spacing w:line="360" w:lineRule="auto"/>
        <w:ind w:firstLine="659" w:firstLineChars="205"/>
        <w:jc w:val="center"/>
        <w:rPr>
          <w:b/>
          <w:sz w:val="32"/>
          <w:szCs w:val="32"/>
        </w:rPr>
      </w:pPr>
      <w:r>
        <w:rPr>
          <w:rFonts w:hint="eastAsia"/>
          <w:b/>
          <w:sz w:val="32"/>
          <w:szCs w:val="32"/>
        </w:rPr>
        <w:t>近3年主要业绩</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146"/>
        <w:gridCol w:w="1706"/>
        <w:gridCol w:w="1825"/>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16"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1259"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001"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项目负责人</w:t>
            </w:r>
          </w:p>
        </w:tc>
        <w:tc>
          <w:tcPr>
            <w:tcW w:w="1071"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251" w:type="pct"/>
            <w:vAlign w:val="center"/>
          </w:tcPr>
          <w:p>
            <w:pPr>
              <w:spacing w:line="500" w:lineRule="exact"/>
              <w:jc w:val="center"/>
              <w:rPr>
                <w:rFonts w:ascii="宋体" w:hAnsi="宋体" w:cs="宋体"/>
                <w:b/>
                <w:bCs/>
                <w:kern w:val="0"/>
                <w:sz w:val="24"/>
              </w:rPr>
            </w:pPr>
            <w:r>
              <w:rPr>
                <w:rFonts w:hint="eastAsia" w:ascii="新宋体" w:hAnsi="新宋体" w:eastAsia="新宋体" w:cs="宋体"/>
                <w:kern w:val="0"/>
                <w:sz w:val="28"/>
                <w:szCs w:val="28"/>
              </w:rPr>
              <w:t>项目金额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cs="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cs="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2、“项目类型”指屋面维修，渗漏维修等类似工程的业绩。</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w:t>
      </w:r>
      <w:r>
        <w:rPr>
          <w:rFonts w:hint="eastAsia" w:ascii="宋体" w:hAnsi="宋体" w:cs="宋体"/>
          <w:kern w:val="0"/>
          <w:szCs w:val="21"/>
          <w:lang w:eastAsia="zh-CN"/>
        </w:rPr>
        <w:t>项目</w:t>
      </w:r>
      <w:r>
        <w:rPr>
          <w:rFonts w:hint="eastAsia" w:ascii="宋体" w:hAnsi="宋体" w:cs="宋体"/>
          <w:kern w:val="0"/>
          <w:szCs w:val="21"/>
        </w:rPr>
        <w:t>合同的</w:t>
      </w:r>
      <w:r>
        <w:rPr>
          <w:rFonts w:hint="eastAsia" w:ascii="宋体" w:hAnsi="宋体" w:cs="宋体"/>
          <w:color w:val="0000FF"/>
          <w:kern w:val="0"/>
          <w:szCs w:val="21"/>
        </w:rPr>
        <w:t>复印件或扫描件</w:t>
      </w:r>
      <w:r>
        <w:rPr>
          <w:rFonts w:hint="eastAsia" w:ascii="宋体" w:hAnsi="宋体" w:cs="宋体"/>
          <w:kern w:val="0"/>
          <w:szCs w:val="21"/>
        </w:rPr>
        <w:t>（格式见附表）；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rFonts w:ascii="仿宋_GB2312" w:eastAsia="仿宋_GB2312"/>
        </w:rPr>
      </w:pPr>
    </w:p>
    <w:p>
      <w:pPr>
        <w:pStyle w:val="5"/>
        <w:spacing w:before="0" w:after="0"/>
        <w:jc w:val="center"/>
      </w:pPr>
      <w:r>
        <w:rPr>
          <w:rFonts w:hint="eastAsia"/>
          <w:lang w:eastAsia="zh-CN"/>
        </w:rPr>
        <w:t>八</w:t>
      </w:r>
      <w:r>
        <w:rPr>
          <w:rFonts w:hint="eastAsia"/>
        </w:rPr>
        <w:t>、投入本项目组成员汇总表</w:t>
      </w:r>
    </w:p>
    <w:tbl>
      <w:tblPr>
        <w:tblStyle w:val="22"/>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3"/>
        <w:gridCol w:w="2352"/>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223" w:type="dxa"/>
            <w:vAlign w:val="center"/>
          </w:tcPr>
          <w:p>
            <w:pPr>
              <w:pStyle w:val="12"/>
              <w:jc w:val="center"/>
              <w:rPr>
                <w:rFonts w:hAnsi="宋体"/>
                <w:sz w:val="24"/>
                <w:szCs w:val="24"/>
              </w:rPr>
            </w:pPr>
            <w:r>
              <w:rPr>
                <w:rFonts w:hint="eastAsia" w:hAnsi="宋体"/>
                <w:sz w:val="24"/>
                <w:szCs w:val="24"/>
              </w:rPr>
              <w:t>职  务</w:t>
            </w:r>
          </w:p>
        </w:tc>
        <w:tc>
          <w:tcPr>
            <w:tcW w:w="2352" w:type="dxa"/>
            <w:vAlign w:val="center"/>
          </w:tcPr>
          <w:p>
            <w:pPr>
              <w:pStyle w:val="12"/>
              <w:jc w:val="center"/>
              <w:rPr>
                <w:rFonts w:hAnsi="宋体"/>
                <w:sz w:val="24"/>
                <w:szCs w:val="24"/>
              </w:rPr>
            </w:pPr>
            <w:r>
              <w:rPr>
                <w:rFonts w:hint="eastAsia" w:hAnsi="宋体"/>
                <w:sz w:val="24"/>
                <w:szCs w:val="24"/>
              </w:rPr>
              <w:t>姓  名</w:t>
            </w:r>
          </w:p>
        </w:tc>
        <w:tc>
          <w:tcPr>
            <w:tcW w:w="1980" w:type="dxa"/>
            <w:vAlign w:val="center"/>
          </w:tcPr>
          <w:p>
            <w:pPr>
              <w:pStyle w:val="12"/>
              <w:jc w:val="center"/>
              <w:rPr>
                <w:rFonts w:hAnsi="宋体"/>
                <w:sz w:val="24"/>
                <w:szCs w:val="24"/>
              </w:rPr>
            </w:pPr>
            <w:r>
              <w:rPr>
                <w:rFonts w:hint="eastAsia" w:hAnsi="宋体"/>
                <w:sz w:val="24"/>
                <w:szCs w:val="24"/>
              </w:rPr>
              <w:t>执业资格证书</w:t>
            </w:r>
          </w:p>
        </w:tc>
        <w:tc>
          <w:tcPr>
            <w:tcW w:w="1980" w:type="dxa"/>
            <w:vAlign w:val="center"/>
          </w:tcPr>
          <w:p>
            <w:pPr>
              <w:pStyle w:val="12"/>
              <w:jc w:val="center"/>
              <w:rPr>
                <w:rFonts w:hAnsi="宋体"/>
                <w:sz w:val="24"/>
                <w:szCs w:val="24"/>
              </w:rPr>
            </w:pPr>
            <w:r>
              <w:rPr>
                <w:rFonts w:hint="eastAsia" w:hAnsi="宋体"/>
                <w:sz w:val="24"/>
                <w:szCs w:val="24"/>
              </w:rPr>
              <w:t>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1、项目负责人</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2、项目成员</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3、</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4、</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r>
              <w:rPr>
                <w:rFonts w:hint="eastAsia" w:hAnsi="宋体"/>
                <w:sz w:val="24"/>
                <w:szCs w:val="24"/>
              </w:rPr>
              <w:t>5、</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r>
              <w:rPr>
                <w:rFonts w:hint="eastAsia" w:hAnsi="宋体"/>
                <w:sz w:val="24"/>
                <w:szCs w:val="24"/>
              </w:rPr>
              <w:t>… …</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r>
              <w:rPr>
                <w:rFonts w:hint="eastAsia" w:hAnsi="宋体"/>
                <w:sz w:val="24"/>
                <w:szCs w:val="24"/>
              </w:rPr>
              <w:t>… …</w:t>
            </w: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vAlign w:val="center"/>
          </w:tcPr>
          <w:p>
            <w:pPr>
              <w:pStyle w:val="12"/>
              <w:spacing w:line="500" w:lineRule="exact"/>
              <w:jc w:val="center"/>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223" w:type="dxa"/>
          </w:tcPr>
          <w:p>
            <w:pPr>
              <w:pStyle w:val="12"/>
              <w:spacing w:line="500" w:lineRule="exact"/>
              <w:rPr>
                <w:rFonts w:hAnsi="宋体"/>
                <w:sz w:val="24"/>
                <w:szCs w:val="24"/>
              </w:rPr>
            </w:pPr>
          </w:p>
        </w:tc>
        <w:tc>
          <w:tcPr>
            <w:tcW w:w="2352"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c>
          <w:tcPr>
            <w:tcW w:w="1980" w:type="dxa"/>
          </w:tcPr>
          <w:p>
            <w:pPr>
              <w:pStyle w:val="12"/>
              <w:spacing w:line="500" w:lineRule="exact"/>
              <w:rPr>
                <w:rFonts w:hAnsi="宋体"/>
                <w:sz w:val="24"/>
                <w:szCs w:val="24"/>
              </w:rPr>
            </w:pPr>
          </w:p>
        </w:tc>
      </w:tr>
    </w:tbl>
    <w:p>
      <w:pPr>
        <w:spacing w:line="500" w:lineRule="exact"/>
        <w:rPr>
          <w:rFonts w:ascii="宋体" w:hAnsi="宋体"/>
          <w:b/>
          <w:sz w:val="30"/>
        </w:rPr>
      </w:pPr>
      <w:r>
        <w:rPr>
          <w:rFonts w:ascii="宋体" w:hAnsi="宋体"/>
        </w:rPr>
        <w:t>投标人： (盖</w:t>
      </w:r>
      <w:r>
        <w:rPr>
          <w:rFonts w:hint="eastAsia" w:ascii="宋体" w:hAnsi="宋体"/>
        </w:rPr>
        <w:t>单位公章</w:t>
      </w:r>
      <w:r>
        <w:rPr>
          <w:rFonts w:ascii="宋体" w:hAnsi="宋体"/>
        </w:rPr>
        <w:t>)</w:t>
      </w:r>
    </w:p>
    <w:p>
      <w:pPr>
        <w:spacing w:line="500" w:lineRule="exact"/>
        <w:rPr>
          <w:rFonts w:ascii="宋体" w:hAnsi="宋体"/>
          <w:b/>
          <w:sz w:val="30"/>
        </w:rPr>
      </w:pPr>
    </w:p>
    <w:p>
      <w:pPr>
        <w:spacing w:line="500" w:lineRule="exact"/>
        <w:rPr>
          <w:rFonts w:ascii="宋体" w:hAnsi="宋体"/>
          <w:b/>
          <w:sz w:val="30"/>
        </w:rPr>
      </w:pPr>
      <w:r>
        <w:rPr>
          <w:rFonts w:hint="eastAsia" w:ascii="宋体" w:hAnsi="宋体" w:cs="宋体"/>
          <w:b/>
          <w:color w:val="FF0000"/>
          <w:kern w:val="0"/>
          <w:szCs w:val="21"/>
        </w:rPr>
        <w:t>投标人应保证本表格所列内容与证明材料内容的一致，请投标人务必保证其真实性、准确性。</w:t>
      </w:r>
    </w:p>
    <w:p>
      <w:pPr>
        <w:jc w:val="center"/>
        <w:rPr>
          <w:b/>
          <w:color w:val="000000"/>
          <w:sz w:val="30"/>
          <w:szCs w:val="30"/>
        </w:rPr>
      </w:pPr>
    </w:p>
    <w:p>
      <w:pPr>
        <w:jc w:val="center"/>
        <w:rPr>
          <w:b/>
          <w:color w:val="000000"/>
          <w:sz w:val="30"/>
          <w:szCs w:val="30"/>
        </w:rPr>
      </w:pPr>
    </w:p>
    <w:p>
      <w:pPr>
        <w:jc w:val="both"/>
        <w:rPr>
          <w:b/>
          <w:color w:val="000000"/>
          <w:sz w:val="30"/>
          <w:szCs w:val="30"/>
        </w:rPr>
      </w:pPr>
    </w:p>
    <w:p>
      <w:pPr>
        <w:pStyle w:val="5"/>
        <w:spacing w:before="0" w:after="0"/>
        <w:jc w:val="center"/>
      </w:pPr>
      <w:r>
        <w:rPr>
          <w:rFonts w:hint="eastAsia"/>
          <w:lang w:eastAsia="zh-CN"/>
        </w:rPr>
        <w:t>九</w:t>
      </w:r>
      <w:r>
        <w:rPr>
          <w:rFonts w:hint="eastAsia"/>
        </w:rPr>
        <w:t>、投入本项目组成员简历表</w:t>
      </w:r>
    </w:p>
    <w:tbl>
      <w:tblPr>
        <w:tblStyle w:val="22"/>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080"/>
        <w:gridCol w:w="1800"/>
        <w:gridCol w:w="1440"/>
        <w:gridCol w:w="1800"/>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335" w:type="dxa"/>
            <w:vAlign w:val="center"/>
          </w:tcPr>
          <w:p>
            <w:pPr>
              <w:pStyle w:val="12"/>
              <w:spacing w:line="500" w:lineRule="exact"/>
              <w:rPr>
                <w:rFonts w:hAnsi="宋体"/>
                <w:sz w:val="24"/>
                <w:szCs w:val="24"/>
              </w:rPr>
            </w:pPr>
            <w:r>
              <w:rPr>
                <w:rFonts w:hint="eastAsia" w:hAnsi="宋体"/>
                <w:sz w:val="24"/>
                <w:szCs w:val="24"/>
              </w:rPr>
              <w:t>姓 名</w:t>
            </w:r>
          </w:p>
        </w:tc>
        <w:tc>
          <w:tcPr>
            <w:tcW w:w="108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年  龄</w:t>
            </w:r>
          </w:p>
        </w:tc>
        <w:tc>
          <w:tcPr>
            <w:tcW w:w="144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专  业</w:t>
            </w:r>
          </w:p>
        </w:tc>
        <w:tc>
          <w:tcPr>
            <w:tcW w:w="1586"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1335" w:type="dxa"/>
            <w:vAlign w:val="center"/>
          </w:tcPr>
          <w:p>
            <w:pPr>
              <w:pStyle w:val="14"/>
              <w:spacing w:line="500" w:lineRule="exact"/>
              <w:rPr>
                <w:rFonts w:ascii="宋体" w:hAnsi="宋体"/>
                <w:sz w:val="24"/>
                <w:szCs w:val="24"/>
              </w:rPr>
            </w:pPr>
            <w:r>
              <w:rPr>
                <w:rFonts w:hint="eastAsia" w:hAnsi="宋体"/>
                <w:sz w:val="24"/>
                <w:szCs w:val="24"/>
              </w:rPr>
              <w:t>执业</w:t>
            </w:r>
            <w:r>
              <w:rPr>
                <w:rFonts w:hint="eastAsia" w:ascii="宋体" w:hAnsi="宋体"/>
                <w:sz w:val="24"/>
                <w:szCs w:val="24"/>
              </w:rPr>
              <w:t>注册资格</w:t>
            </w:r>
          </w:p>
        </w:tc>
        <w:tc>
          <w:tcPr>
            <w:tcW w:w="108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职  称</w:t>
            </w:r>
          </w:p>
        </w:tc>
        <w:tc>
          <w:tcPr>
            <w:tcW w:w="1440" w:type="dxa"/>
            <w:vAlign w:val="center"/>
          </w:tcPr>
          <w:p>
            <w:pPr>
              <w:pStyle w:val="12"/>
              <w:spacing w:line="500" w:lineRule="exact"/>
              <w:jc w:val="center"/>
              <w:rPr>
                <w:rFonts w:hAnsi="宋体"/>
                <w:sz w:val="24"/>
                <w:szCs w:val="24"/>
              </w:rPr>
            </w:pPr>
          </w:p>
        </w:tc>
        <w:tc>
          <w:tcPr>
            <w:tcW w:w="1800" w:type="dxa"/>
            <w:vAlign w:val="center"/>
          </w:tcPr>
          <w:p>
            <w:pPr>
              <w:pStyle w:val="12"/>
              <w:spacing w:line="500" w:lineRule="exact"/>
              <w:jc w:val="center"/>
              <w:rPr>
                <w:rFonts w:hAnsi="宋体"/>
                <w:sz w:val="24"/>
                <w:szCs w:val="24"/>
              </w:rPr>
            </w:pPr>
            <w:r>
              <w:rPr>
                <w:rFonts w:hint="eastAsia" w:hAnsi="宋体"/>
                <w:sz w:val="24"/>
                <w:szCs w:val="24"/>
              </w:rPr>
              <w:t>拟在本项目担任职务</w:t>
            </w:r>
          </w:p>
        </w:tc>
        <w:tc>
          <w:tcPr>
            <w:tcW w:w="1586" w:type="dxa"/>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335" w:type="dxa"/>
          </w:tcPr>
          <w:p>
            <w:pPr>
              <w:pStyle w:val="12"/>
              <w:spacing w:line="500" w:lineRule="exact"/>
              <w:jc w:val="center"/>
              <w:rPr>
                <w:rFonts w:hAnsi="宋体"/>
                <w:sz w:val="24"/>
                <w:szCs w:val="24"/>
              </w:rPr>
            </w:pPr>
            <w:r>
              <w:rPr>
                <w:rFonts w:hint="eastAsia" w:hAnsi="宋体"/>
                <w:sz w:val="24"/>
                <w:szCs w:val="24"/>
              </w:rPr>
              <w:t>毕业学校</w:t>
            </w:r>
          </w:p>
        </w:tc>
        <w:tc>
          <w:tcPr>
            <w:tcW w:w="7706" w:type="dxa"/>
            <w:gridSpan w:val="5"/>
          </w:tcPr>
          <w:p>
            <w:pPr>
              <w:pStyle w:val="12"/>
              <w:spacing w:line="500" w:lineRule="exact"/>
              <w:rPr>
                <w:rFonts w:hAnsi="宋体"/>
                <w:sz w:val="24"/>
                <w:szCs w:val="24"/>
              </w:rPr>
            </w:pPr>
            <w:r>
              <w:rPr>
                <w:rFonts w:hint="eastAsia" w:hAnsi="宋体"/>
                <w:sz w:val="24"/>
                <w:szCs w:val="24"/>
              </w:rPr>
              <w:t xml:space="preserve">       年   月毕业于                      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9041" w:type="dxa"/>
            <w:gridSpan w:val="6"/>
          </w:tcPr>
          <w:p>
            <w:pPr>
              <w:pStyle w:val="12"/>
              <w:spacing w:line="500" w:lineRule="exact"/>
              <w:jc w:val="center"/>
              <w:rPr>
                <w:rFonts w:hAnsi="宋体"/>
                <w:sz w:val="24"/>
                <w:szCs w:val="24"/>
              </w:rPr>
            </w:pPr>
            <w:r>
              <w:rPr>
                <w:rFonts w:hint="eastAsia" w:hAnsi="宋体"/>
                <w:sz w:val="24"/>
                <w:szCs w:val="24"/>
              </w:rPr>
              <w:t>参加过</w:t>
            </w:r>
            <w:r>
              <w:rPr>
                <w:rFonts w:hint="eastAsia" w:hAnsi="宋体"/>
                <w:sz w:val="24"/>
                <w:szCs w:val="24"/>
                <w:lang w:eastAsia="zh-CN"/>
              </w:rPr>
              <w:t>相关</w:t>
            </w:r>
            <w:r>
              <w:rPr>
                <w:rFonts w:hint="eastAsia" w:hAnsi="宋体"/>
                <w:sz w:val="24"/>
                <w:szCs w:val="24"/>
              </w:rPr>
              <w:t>项目</w:t>
            </w:r>
            <w:r>
              <w:rPr>
                <w:rFonts w:hint="eastAsia" w:hAnsi="宋体"/>
                <w:sz w:val="24"/>
                <w:szCs w:val="24"/>
                <w:lang w:eastAsia="zh-CN"/>
              </w:rPr>
              <w:t>的</w:t>
            </w:r>
            <w:r>
              <w:rPr>
                <w:rFonts w:hint="eastAsia" w:hAnsi="宋体"/>
                <w:sz w:val="24"/>
                <w:szCs w:val="24"/>
              </w:rPr>
              <w:t>名称及经历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trPr>
        <w:tc>
          <w:tcPr>
            <w:tcW w:w="2415" w:type="dxa"/>
            <w:gridSpan w:val="2"/>
            <w:vAlign w:val="center"/>
          </w:tcPr>
          <w:p>
            <w:pPr>
              <w:pStyle w:val="12"/>
              <w:spacing w:line="500" w:lineRule="exact"/>
              <w:ind w:left="240" w:hanging="240" w:hangingChars="100"/>
              <w:rPr>
                <w:rFonts w:hAnsi="宋体"/>
                <w:sz w:val="24"/>
                <w:szCs w:val="24"/>
                <w:u w:val="single"/>
              </w:rPr>
            </w:pPr>
          </w:p>
        </w:tc>
        <w:tc>
          <w:tcPr>
            <w:tcW w:w="6626" w:type="dxa"/>
            <w:gridSpan w:val="4"/>
            <w:vAlign w:val="center"/>
          </w:tcPr>
          <w:p>
            <w:pPr>
              <w:pStyle w:val="12"/>
              <w:spacing w:line="500" w:lineRule="exact"/>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2415" w:type="dxa"/>
            <w:gridSpan w:val="2"/>
          </w:tcPr>
          <w:p>
            <w:pPr>
              <w:pStyle w:val="12"/>
              <w:spacing w:line="500" w:lineRule="exact"/>
              <w:rPr>
                <w:rFonts w:hAnsi="宋体"/>
                <w:sz w:val="24"/>
                <w:szCs w:val="24"/>
              </w:rPr>
            </w:pPr>
          </w:p>
        </w:tc>
        <w:tc>
          <w:tcPr>
            <w:tcW w:w="6626" w:type="dxa"/>
            <w:gridSpan w:val="4"/>
          </w:tcPr>
          <w:p>
            <w:pPr>
              <w:pStyle w:val="12"/>
              <w:spacing w:line="500" w:lineRule="exact"/>
              <w:rPr>
                <w:rFonts w:hAnsi="宋体"/>
                <w:sz w:val="24"/>
                <w:szCs w:val="24"/>
              </w:rPr>
            </w:pPr>
          </w:p>
        </w:tc>
      </w:tr>
    </w:tbl>
    <w:p>
      <w:pPr>
        <w:pStyle w:val="12"/>
        <w:spacing w:line="500" w:lineRule="exact"/>
        <w:rPr>
          <w:rFonts w:hAnsi="宋体"/>
          <w:color w:val="FF0000"/>
          <w:sz w:val="24"/>
        </w:rPr>
      </w:pPr>
      <w:r>
        <w:rPr>
          <w:rFonts w:hint="eastAsia" w:hAnsi="宋体"/>
          <w:sz w:val="24"/>
          <w:szCs w:val="24"/>
        </w:rPr>
        <w:t>说明：按“表</w:t>
      </w:r>
      <w:r>
        <w:rPr>
          <w:rFonts w:hint="eastAsia" w:hAnsi="宋体"/>
          <w:sz w:val="24"/>
        </w:rPr>
        <w:t>五、拟投项目组成员汇总表”所</w:t>
      </w:r>
      <w:r>
        <w:rPr>
          <w:rFonts w:hint="eastAsia" w:hAnsi="宋体"/>
          <w:sz w:val="24"/>
          <w:szCs w:val="24"/>
        </w:rPr>
        <w:t>填报人员，每人一张。要求提供证明材料复印件或扫描件的种类：</w:t>
      </w:r>
      <w:r>
        <w:rPr>
          <w:rFonts w:hint="eastAsia" w:hAnsi="宋体"/>
          <w:color w:val="FF0000"/>
          <w:sz w:val="24"/>
        </w:rPr>
        <w:t>职称证书（如有）、劳动合同和</w:t>
      </w:r>
      <w:r>
        <w:rPr>
          <w:rFonts w:hAnsi="宋体"/>
          <w:color w:val="FF0000"/>
          <w:sz w:val="24"/>
        </w:rPr>
        <w:t>社保缴费凭证</w:t>
      </w:r>
      <w:r>
        <w:rPr>
          <w:rFonts w:hint="eastAsia" w:hAnsi="宋体"/>
          <w:color w:val="FF0000"/>
          <w:sz w:val="24"/>
        </w:rPr>
        <w:t xml:space="preserve">、身份证明。 </w:t>
      </w:r>
    </w:p>
    <w:p>
      <w:pPr>
        <w:pStyle w:val="12"/>
        <w:spacing w:line="500" w:lineRule="exact"/>
        <w:rPr>
          <w:rFonts w:hAnsi="宋体"/>
          <w:sz w:val="24"/>
        </w:rPr>
      </w:pPr>
    </w:p>
    <w:p>
      <w:pPr>
        <w:pStyle w:val="12"/>
        <w:spacing w:line="500" w:lineRule="exact"/>
        <w:rPr>
          <w:b/>
          <w:color w:val="000000"/>
          <w:sz w:val="30"/>
          <w:szCs w:val="30"/>
        </w:rPr>
      </w:pPr>
      <w:r>
        <w:rPr>
          <w:rFonts w:hAnsi="宋体"/>
          <w:sz w:val="24"/>
        </w:rPr>
        <w:t>投标人： (盖</w:t>
      </w:r>
      <w:r>
        <w:rPr>
          <w:rFonts w:hint="eastAsia" w:hAnsi="宋体"/>
          <w:sz w:val="24"/>
        </w:rPr>
        <w:t>单位公章</w:t>
      </w:r>
      <w:r>
        <w:rPr>
          <w:rFonts w:hAnsi="宋体"/>
          <w:sz w:val="24"/>
        </w:rPr>
        <w:t>)</w:t>
      </w:r>
    </w:p>
    <w:p>
      <w:pPr>
        <w:jc w:val="center"/>
        <w:rPr>
          <w:b/>
          <w:color w:val="000000"/>
          <w:sz w:val="30"/>
          <w:szCs w:val="30"/>
        </w:rPr>
      </w:pPr>
    </w:p>
    <w:p>
      <w:pPr>
        <w:pStyle w:val="5"/>
        <w:spacing w:before="0" w:after="0"/>
        <w:jc w:val="center"/>
      </w:pPr>
      <w:r>
        <w:rPr>
          <w:rFonts w:hint="eastAsia"/>
          <w:lang w:eastAsia="zh-CN"/>
        </w:rPr>
        <w:t>十</w:t>
      </w:r>
      <w:r>
        <w:rPr>
          <w:rFonts w:hint="eastAsia"/>
        </w:rPr>
        <w:t>、投入本项目组成员业绩</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146"/>
        <w:gridCol w:w="1706"/>
        <w:gridCol w:w="1825"/>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16"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序号</w:t>
            </w:r>
          </w:p>
        </w:tc>
        <w:tc>
          <w:tcPr>
            <w:tcW w:w="1259"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项目名称</w:t>
            </w:r>
          </w:p>
        </w:tc>
        <w:tc>
          <w:tcPr>
            <w:tcW w:w="1001"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项目负责人</w:t>
            </w:r>
          </w:p>
        </w:tc>
        <w:tc>
          <w:tcPr>
            <w:tcW w:w="1071" w:type="pct"/>
            <w:vAlign w:val="center"/>
          </w:tcPr>
          <w:p>
            <w:pPr>
              <w:widowControl/>
              <w:spacing w:line="500" w:lineRule="exact"/>
              <w:jc w:val="center"/>
              <w:rPr>
                <w:rFonts w:ascii="宋体" w:hAnsi="宋体" w:cs="宋体"/>
                <w:b/>
                <w:bCs/>
                <w:kern w:val="0"/>
                <w:sz w:val="24"/>
              </w:rPr>
            </w:pPr>
            <w:r>
              <w:rPr>
                <w:rFonts w:hint="eastAsia" w:ascii="宋体" w:hAnsi="宋体" w:cs="宋体"/>
                <w:b/>
                <w:bCs/>
                <w:kern w:val="0"/>
                <w:sz w:val="24"/>
              </w:rPr>
              <w:t>完成时间</w:t>
            </w:r>
          </w:p>
        </w:tc>
        <w:tc>
          <w:tcPr>
            <w:tcW w:w="1251" w:type="pct"/>
            <w:vAlign w:val="center"/>
          </w:tcPr>
          <w:p>
            <w:pPr>
              <w:spacing w:line="500" w:lineRule="exact"/>
              <w:jc w:val="center"/>
              <w:rPr>
                <w:rFonts w:ascii="宋体" w:hAnsi="宋体" w:cs="宋体"/>
                <w:b/>
                <w:bCs/>
                <w:kern w:val="0"/>
                <w:sz w:val="24"/>
              </w:rPr>
            </w:pPr>
            <w:r>
              <w:rPr>
                <w:rFonts w:hint="eastAsia" w:ascii="新宋体" w:hAnsi="新宋体" w:eastAsia="新宋体" w:cs="宋体"/>
                <w:kern w:val="0"/>
                <w:sz w:val="28"/>
                <w:szCs w:val="28"/>
              </w:rPr>
              <w:t>项目金额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cs="宋体"/>
                <w:kern w:val="0"/>
                <w:sz w:val="3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6" w:type="pct"/>
            <w:vAlign w:val="center"/>
          </w:tcPr>
          <w:p>
            <w:pPr>
              <w:widowControl/>
              <w:spacing w:line="500" w:lineRule="exact"/>
              <w:jc w:val="center"/>
              <w:rPr>
                <w:rFonts w:ascii="宋体" w:hAnsi="宋体" w:cs="宋体"/>
                <w:kern w:val="0"/>
                <w:sz w:val="30"/>
                <w:szCs w:val="20"/>
              </w:rPr>
            </w:pPr>
          </w:p>
        </w:tc>
        <w:tc>
          <w:tcPr>
            <w:tcW w:w="1259" w:type="pct"/>
            <w:vAlign w:val="center"/>
          </w:tcPr>
          <w:p>
            <w:pPr>
              <w:widowControl/>
              <w:spacing w:line="500" w:lineRule="exact"/>
              <w:jc w:val="left"/>
              <w:rPr>
                <w:rFonts w:ascii="宋体" w:hAnsi="宋体" w:cs="宋体"/>
                <w:kern w:val="0"/>
                <w:sz w:val="30"/>
                <w:szCs w:val="20"/>
              </w:rPr>
            </w:pPr>
          </w:p>
        </w:tc>
        <w:tc>
          <w:tcPr>
            <w:tcW w:w="1001" w:type="pct"/>
            <w:vAlign w:val="center"/>
          </w:tcPr>
          <w:p>
            <w:pPr>
              <w:widowControl/>
              <w:spacing w:line="500" w:lineRule="exact"/>
              <w:jc w:val="center"/>
              <w:rPr>
                <w:rFonts w:ascii="宋体" w:hAnsi="宋体" w:cs="宋体"/>
                <w:kern w:val="0"/>
                <w:sz w:val="30"/>
                <w:szCs w:val="20"/>
              </w:rPr>
            </w:pPr>
          </w:p>
        </w:tc>
        <w:tc>
          <w:tcPr>
            <w:tcW w:w="1071" w:type="pct"/>
            <w:vAlign w:val="center"/>
          </w:tcPr>
          <w:p>
            <w:pPr>
              <w:widowControl/>
              <w:spacing w:line="500" w:lineRule="exact"/>
              <w:jc w:val="center"/>
              <w:rPr>
                <w:rFonts w:ascii="宋体" w:hAnsi="宋体" w:cs="宋体"/>
                <w:kern w:val="0"/>
                <w:sz w:val="30"/>
                <w:szCs w:val="20"/>
              </w:rPr>
            </w:pPr>
          </w:p>
        </w:tc>
        <w:tc>
          <w:tcPr>
            <w:tcW w:w="1251" w:type="pct"/>
            <w:vAlign w:val="center"/>
          </w:tcPr>
          <w:p>
            <w:pPr>
              <w:widowControl/>
              <w:spacing w:line="500" w:lineRule="exact"/>
              <w:jc w:val="center"/>
              <w:rPr>
                <w:rFonts w:ascii="宋体" w:hAnsi="宋体" w:cs="宋体"/>
                <w:kern w:val="0"/>
                <w:sz w:val="30"/>
                <w:szCs w:val="20"/>
              </w:rPr>
            </w:pPr>
          </w:p>
        </w:tc>
      </w:tr>
    </w:tbl>
    <w:p>
      <w:pPr>
        <w:widowControl/>
        <w:spacing w:line="360" w:lineRule="auto"/>
        <w:jc w:val="left"/>
        <w:rPr>
          <w:rFonts w:ascii="宋体" w:hAnsi="宋体" w:cs="宋体"/>
          <w:kern w:val="0"/>
          <w:szCs w:val="21"/>
        </w:rPr>
      </w:pPr>
      <w:r>
        <w:rPr>
          <w:rFonts w:hint="eastAsia" w:ascii="宋体" w:hAnsi="宋体" w:cs="宋体"/>
          <w:kern w:val="0"/>
          <w:szCs w:val="21"/>
        </w:rPr>
        <w:t>说明：1、近3年指2018年1月1日以后；</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2、“项目类型”指屋面维修，渗漏维修等类似工程的业绩。</w:t>
      </w:r>
    </w:p>
    <w:p>
      <w:pPr>
        <w:widowControl/>
        <w:spacing w:line="360" w:lineRule="auto"/>
        <w:ind w:firstLine="840" w:firstLineChars="300"/>
        <w:jc w:val="left"/>
        <w:rPr>
          <w:rFonts w:ascii="宋体" w:hAnsi="宋体" w:cs="宋体"/>
          <w:kern w:val="0"/>
          <w:szCs w:val="21"/>
        </w:rPr>
      </w:pPr>
      <w:r>
        <w:rPr>
          <w:rFonts w:hint="eastAsia" w:ascii="宋体" w:hAnsi="宋体" w:cs="宋体"/>
          <w:kern w:val="0"/>
          <w:szCs w:val="21"/>
        </w:rPr>
        <w:t>3、投标人需提供上述工程的造价咨询委托合同的</w:t>
      </w:r>
      <w:r>
        <w:rPr>
          <w:rFonts w:hint="eastAsia" w:ascii="宋体" w:hAnsi="宋体" w:cs="宋体"/>
          <w:color w:val="0000FF"/>
          <w:kern w:val="0"/>
          <w:szCs w:val="21"/>
        </w:rPr>
        <w:t>复印件或扫描件</w:t>
      </w:r>
      <w:r>
        <w:rPr>
          <w:rFonts w:hint="eastAsia" w:ascii="宋体" w:hAnsi="宋体" w:cs="宋体"/>
          <w:kern w:val="0"/>
          <w:szCs w:val="21"/>
        </w:rPr>
        <w:t>（或业绩证明，格式见附表）；</w:t>
      </w:r>
    </w:p>
    <w:p>
      <w:pPr>
        <w:widowControl/>
        <w:spacing w:line="360" w:lineRule="auto"/>
        <w:ind w:firstLine="840" w:firstLineChars="300"/>
        <w:jc w:val="left"/>
        <w:rPr>
          <w:rFonts w:ascii="宋体" w:hAnsi="宋体" w:cs="宋体"/>
          <w:b/>
          <w:kern w:val="0"/>
          <w:szCs w:val="21"/>
        </w:rPr>
      </w:pPr>
      <w:r>
        <w:rPr>
          <w:rFonts w:hint="eastAsia" w:ascii="宋体" w:hAnsi="宋体" w:cs="宋体"/>
          <w:kern w:val="0"/>
          <w:szCs w:val="21"/>
        </w:rPr>
        <w:t>4、投标人所提供材料的复印件或扫描件必须清晰可辨且能反映评分办法中的内容，否则不予认可。</w:t>
      </w:r>
      <w:r>
        <w:rPr>
          <w:rFonts w:hint="eastAsia" w:ascii="宋体" w:hAnsi="宋体" w:cs="宋体"/>
          <w:b/>
          <w:kern w:val="0"/>
          <w:szCs w:val="21"/>
        </w:rPr>
        <w:t xml:space="preserve"> </w:t>
      </w:r>
    </w:p>
    <w:p>
      <w:pPr>
        <w:widowControl/>
        <w:spacing w:line="360" w:lineRule="auto"/>
        <w:ind w:firstLine="821" w:firstLineChars="292"/>
        <w:jc w:val="left"/>
        <w:rPr>
          <w:rFonts w:ascii="宋体" w:hAnsi="宋体" w:cs="宋体"/>
          <w:b/>
          <w:color w:val="FF0000"/>
          <w:kern w:val="0"/>
          <w:szCs w:val="21"/>
        </w:rPr>
      </w:pPr>
      <w:r>
        <w:rPr>
          <w:rFonts w:hint="eastAsia" w:ascii="宋体" w:hAnsi="宋体" w:cs="宋体"/>
          <w:b/>
          <w:color w:val="FF0000"/>
          <w:kern w:val="0"/>
          <w:szCs w:val="21"/>
        </w:rPr>
        <w:t>5、投标人应保证本表格所列内容与证明材料内容的一致，请投标人务必保证其真实性、准确性。</w:t>
      </w:r>
    </w:p>
    <w:p>
      <w:pPr>
        <w:spacing w:line="500" w:lineRule="exact"/>
        <w:rPr>
          <w:rFonts w:ascii="宋体" w:hAnsi="宋体"/>
          <w:sz w:val="24"/>
        </w:rPr>
      </w:pPr>
    </w:p>
    <w:p>
      <w:pPr>
        <w:spacing w:line="500" w:lineRule="exact"/>
        <w:rPr>
          <w:rFonts w:ascii="宋体" w:hAnsi="宋体"/>
        </w:rPr>
      </w:pPr>
      <w:r>
        <w:rPr>
          <w:rFonts w:ascii="宋体" w:hAnsi="宋体"/>
        </w:rPr>
        <w:t>投标人： (盖</w:t>
      </w:r>
      <w:r>
        <w:rPr>
          <w:rFonts w:hint="eastAsia" w:ascii="宋体" w:hAnsi="宋体"/>
        </w:rPr>
        <w:t>单位公章</w:t>
      </w:r>
      <w:r>
        <w:rPr>
          <w:rFonts w:ascii="宋体" w:hAnsi="宋体"/>
        </w:rPr>
        <w:t>)</w:t>
      </w:r>
    </w:p>
    <w:p>
      <w:pPr>
        <w:rPr>
          <w:b/>
          <w:color w:val="000000"/>
          <w:sz w:val="30"/>
          <w:szCs w:val="30"/>
        </w:rPr>
      </w:pPr>
    </w:p>
    <w:p>
      <w:pPr>
        <w:rPr>
          <w:rFonts w:ascii="仿宋_GB2312" w:eastAsia="仿宋_GB2312"/>
        </w:rPr>
      </w:pPr>
    </w:p>
    <w:p>
      <w:pPr>
        <w:rPr>
          <w:rFonts w:hint="eastAsia" w:ascii="仿宋_GB2312" w:eastAsia="仿宋_GB2312"/>
          <w:b/>
        </w:rPr>
      </w:pPr>
      <w:bookmarkStart w:id="162" w:name="_GoBack"/>
      <w:bookmarkEnd w:id="162"/>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1"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1"/>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2" w:name="OLE_LINK2"/>
      <w:bookmarkStart w:id="143" w:name="OLE_LINK3"/>
      <w:bookmarkStart w:id="144" w:name="OLE_LINK1"/>
      <w:r>
        <w:rPr>
          <w:rFonts w:hint="eastAsia" w:ascii="仿宋_GB2312" w:eastAsia="仿宋_GB2312" w:cs="宋体" w:hAnsiTheme="minorEastAsia"/>
          <w:color w:val="333333"/>
          <w:sz w:val="30"/>
          <w:szCs w:val="30"/>
        </w:rPr>
        <w:t>学校采购活动</w:t>
      </w:r>
      <w:bookmarkEnd w:id="142"/>
      <w:bookmarkEnd w:id="143"/>
      <w:bookmarkEnd w:id="144"/>
      <w:r>
        <w:rPr>
          <w:rFonts w:hint="eastAsia" w:ascii="仿宋_GB2312" w:eastAsia="仿宋_GB2312" w:cs="宋体" w:hAnsiTheme="minorEastAsia"/>
          <w:color w:val="333333"/>
          <w:sz w:val="30"/>
          <w:szCs w:val="30"/>
        </w:rPr>
        <w:t>质疑的提出和答复、投诉的提起和处理。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5" w:name="OLE_LINK5"/>
      <w:bookmarkStart w:id="146" w:name="OLE_LINK8"/>
      <w:bookmarkStart w:id="147" w:name="OLE_LINK7"/>
      <w:bookmarkStart w:id="148" w:name="OLE_LINK4"/>
      <w:bookmarkStart w:id="149" w:name="OLE_LINK6"/>
      <w:bookmarkStart w:id="150" w:name="OLE_LINK9"/>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5"/>
      <w:bookmarkEnd w:id="146"/>
      <w:bookmarkEnd w:id="147"/>
      <w:bookmarkEnd w:id="148"/>
      <w:bookmarkEnd w:id="149"/>
      <w:bookmarkEnd w:id="150"/>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1" w:name="OLE_LINK76"/>
      <w:bookmarkStart w:id="152" w:name="OLE_LINK77"/>
      <w:bookmarkStart w:id="153" w:name="OLE_LINK78"/>
      <w:r>
        <w:rPr>
          <w:rFonts w:hint="eastAsia" w:ascii="仿宋_GB2312" w:hAnsi="微软雅黑" w:eastAsia="仿宋_GB2312"/>
          <w:color w:val="3E3E3E"/>
          <w:sz w:val="30"/>
          <w:szCs w:val="30"/>
        </w:rPr>
        <w:t>国资处、采购代理机构</w:t>
      </w:r>
      <w:bookmarkEnd w:id="151"/>
      <w:bookmarkEnd w:id="152"/>
      <w:bookmarkEnd w:id="153"/>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第五章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4" w:name="OLE_LINK13"/>
      <w:bookmarkStart w:id="155" w:name="OLE_LINK11"/>
      <w:bookmarkStart w:id="156" w:name="OLE_LINK12"/>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4"/>
      <w:bookmarkEnd w:id="155"/>
      <w:bookmarkEnd w:id="156"/>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7" w:name="OLE_LINK15"/>
      <w:bookmarkStart w:id="158" w:name="OLE_LINK14"/>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7"/>
    <w:bookmarkEnd w:id="158"/>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Style w:val="25"/>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第六章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5"/>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9" w:name="OLE_LINK17"/>
      <w:bookmarkStart w:id="160" w:name="OLE_LINK18"/>
      <w:bookmarkStart w:id="161" w:name="OLE_LINK16"/>
      <w:r>
        <w:rPr>
          <w:rFonts w:hint="eastAsia" w:ascii="仿宋_GB2312" w:hAnsi="宋体" w:eastAsia="仿宋_GB2312" w:cs="宋体"/>
          <w:color w:val="333333"/>
          <w:sz w:val="30"/>
          <w:szCs w:val="30"/>
        </w:rPr>
        <w:t>规</w:t>
      </w:r>
      <w:bookmarkEnd w:id="159"/>
      <w:bookmarkEnd w:id="160"/>
      <w:bookmarkEnd w:id="161"/>
      <w:r>
        <w:rPr>
          <w:rFonts w:hint="eastAsia" w:ascii="仿宋_GB2312" w:hAnsi="宋体" w:eastAsia="仿宋_GB2312" w:cs="宋体"/>
          <w:color w:val="333333"/>
          <w:sz w:val="30"/>
          <w:szCs w:val="30"/>
        </w:rPr>
        <w:t>追究其相应责任。</w:t>
      </w:r>
    </w:p>
    <w:p>
      <w:pPr>
        <w:pStyle w:val="19"/>
        <w:shd w:val="clear" w:color="auto" w:fill="FFFFFF"/>
        <w:adjustRightInd w:val="0"/>
        <w:snapToGrid w:val="0"/>
        <w:spacing w:before="0" w:beforeAutospacing="0" w:after="0" w:afterAutospacing="0" w:line="560" w:lineRule="exact"/>
        <w:ind w:firstLine="602" w:firstLineChars="200"/>
        <w:jc w:val="both"/>
        <w:rPr>
          <w:rStyle w:val="25"/>
          <w:rFonts w:ascii="仿宋_GB2312" w:hAnsi="微软雅黑" w:eastAsia="仿宋_GB2312"/>
          <w:color w:val="3E3E3E"/>
          <w:sz w:val="30"/>
          <w:szCs w:val="30"/>
        </w:rPr>
      </w:pPr>
      <w:r>
        <w:rPr>
          <w:rStyle w:val="25"/>
          <w:rFonts w:hint="eastAsia" w:ascii="仿宋_GB2312" w:hAnsi="微软雅黑" w:eastAsia="仿宋_GB2312"/>
          <w:color w:val="3E3E3E"/>
          <w:sz w:val="30"/>
          <w:szCs w:val="30"/>
        </w:rPr>
        <w:t>　</w:t>
      </w:r>
    </w:p>
    <w:p>
      <w:pPr>
        <w:pStyle w:val="19"/>
        <w:shd w:val="clear" w:color="auto" w:fill="FFFFFF"/>
        <w:adjustRightInd w:val="0"/>
        <w:snapToGrid w:val="0"/>
        <w:spacing w:before="0" w:beforeAutospacing="0" w:after="0" w:afterAutospacing="0" w:line="560" w:lineRule="exact"/>
        <w:jc w:val="center"/>
        <w:rPr>
          <w:rStyle w:val="25"/>
          <w:rFonts w:ascii="黑体" w:hAnsi="黑体" w:eastAsia="黑体"/>
          <w:color w:val="3E3E3E"/>
          <w:sz w:val="30"/>
          <w:szCs w:val="30"/>
        </w:rPr>
      </w:pPr>
      <w:r>
        <w:rPr>
          <w:rStyle w:val="25"/>
          <w:rFonts w:hint="eastAsia" w:ascii="黑体" w:hAnsi="黑体" w:eastAsia="黑体"/>
          <w:color w:val="3E3E3E"/>
          <w:sz w:val="30"/>
          <w:szCs w:val="30"/>
        </w:rPr>
        <w:t xml:space="preserve">第七章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附则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8"/>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2"/>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3"/>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4"/>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78"/>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21A8"/>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B7"/>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61E"/>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31BC"/>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314"/>
    <w:rsid w:val="00FD5657"/>
    <w:rsid w:val="00FE0527"/>
    <w:rsid w:val="00FE1C65"/>
    <w:rsid w:val="00FE4346"/>
    <w:rsid w:val="00FF271A"/>
    <w:rsid w:val="00FF40B4"/>
    <w:rsid w:val="00FF50E0"/>
    <w:rsid w:val="01057AC3"/>
    <w:rsid w:val="01173F1B"/>
    <w:rsid w:val="01213761"/>
    <w:rsid w:val="012B0C48"/>
    <w:rsid w:val="01372C5B"/>
    <w:rsid w:val="016408FB"/>
    <w:rsid w:val="016E4195"/>
    <w:rsid w:val="01726537"/>
    <w:rsid w:val="01737EEE"/>
    <w:rsid w:val="01937C18"/>
    <w:rsid w:val="020C2DA3"/>
    <w:rsid w:val="0214243C"/>
    <w:rsid w:val="022E5014"/>
    <w:rsid w:val="023B43A3"/>
    <w:rsid w:val="02560782"/>
    <w:rsid w:val="02595756"/>
    <w:rsid w:val="028615BF"/>
    <w:rsid w:val="02AA6130"/>
    <w:rsid w:val="02DF7A21"/>
    <w:rsid w:val="02F766B8"/>
    <w:rsid w:val="03603C2C"/>
    <w:rsid w:val="03805FDC"/>
    <w:rsid w:val="03825612"/>
    <w:rsid w:val="03B60C4F"/>
    <w:rsid w:val="03D121AB"/>
    <w:rsid w:val="03ED7DBD"/>
    <w:rsid w:val="03FE61ED"/>
    <w:rsid w:val="04414051"/>
    <w:rsid w:val="04443557"/>
    <w:rsid w:val="04497B51"/>
    <w:rsid w:val="046363BB"/>
    <w:rsid w:val="046774A7"/>
    <w:rsid w:val="046F40C7"/>
    <w:rsid w:val="04962E28"/>
    <w:rsid w:val="04D10E2B"/>
    <w:rsid w:val="04D83CC0"/>
    <w:rsid w:val="04DB34DA"/>
    <w:rsid w:val="051963E9"/>
    <w:rsid w:val="05393BA9"/>
    <w:rsid w:val="053F6FC8"/>
    <w:rsid w:val="0540457D"/>
    <w:rsid w:val="054B4CAE"/>
    <w:rsid w:val="05557C3F"/>
    <w:rsid w:val="056E1157"/>
    <w:rsid w:val="0583686C"/>
    <w:rsid w:val="05C32D63"/>
    <w:rsid w:val="05C76F3B"/>
    <w:rsid w:val="05FC2A99"/>
    <w:rsid w:val="0629534D"/>
    <w:rsid w:val="0643694A"/>
    <w:rsid w:val="064E1830"/>
    <w:rsid w:val="066E0790"/>
    <w:rsid w:val="067E4A87"/>
    <w:rsid w:val="0692279D"/>
    <w:rsid w:val="06F87D63"/>
    <w:rsid w:val="06FD19D1"/>
    <w:rsid w:val="072520C3"/>
    <w:rsid w:val="07346E86"/>
    <w:rsid w:val="0782271A"/>
    <w:rsid w:val="078A46C5"/>
    <w:rsid w:val="07A02C40"/>
    <w:rsid w:val="07B3690B"/>
    <w:rsid w:val="07C62D52"/>
    <w:rsid w:val="07C678C3"/>
    <w:rsid w:val="07C67D31"/>
    <w:rsid w:val="07CB13CA"/>
    <w:rsid w:val="07F45D5F"/>
    <w:rsid w:val="07FC58FA"/>
    <w:rsid w:val="08191022"/>
    <w:rsid w:val="08387D26"/>
    <w:rsid w:val="083E4645"/>
    <w:rsid w:val="083E7318"/>
    <w:rsid w:val="0869637E"/>
    <w:rsid w:val="086B1254"/>
    <w:rsid w:val="088C0852"/>
    <w:rsid w:val="08971DA8"/>
    <w:rsid w:val="08B03C41"/>
    <w:rsid w:val="08C96D0B"/>
    <w:rsid w:val="08F11F59"/>
    <w:rsid w:val="08FB16AB"/>
    <w:rsid w:val="091A74E1"/>
    <w:rsid w:val="09264844"/>
    <w:rsid w:val="09361E86"/>
    <w:rsid w:val="093B3CFE"/>
    <w:rsid w:val="093F59BF"/>
    <w:rsid w:val="094D157B"/>
    <w:rsid w:val="09766700"/>
    <w:rsid w:val="09A51A93"/>
    <w:rsid w:val="09E84840"/>
    <w:rsid w:val="0A0134D2"/>
    <w:rsid w:val="0A0A6355"/>
    <w:rsid w:val="0A247690"/>
    <w:rsid w:val="0A285544"/>
    <w:rsid w:val="0A384C5E"/>
    <w:rsid w:val="0A640F18"/>
    <w:rsid w:val="0A804468"/>
    <w:rsid w:val="0A866888"/>
    <w:rsid w:val="0A943B04"/>
    <w:rsid w:val="0AD94888"/>
    <w:rsid w:val="0AE25B40"/>
    <w:rsid w:val="0B101D3B"/>
    <w:rsid w:val="0B24468D"/>
    <w:rsid w:val="0B3E0157"/>
    <w:rsid w:val="0B3E2065"/>
    <w:rsid w:val="0B9B3580"/>
    <w:rsid w:val="0BAD0091"/>
    <w:rsid w:val="0BB3682C"/>
    <w:rsid w:val="0BF07413"/>
    <w:rsid w:val="0BF605B3"/>
    <w:rsid w:val="0BFB2FAB"/>
    <w:rsid w:val="0C0754E7"/>
    <w:rsid w:val="0C0E1A12"/>
    <w:rsid w:val="0C161375"/>
    <w:rsid w:val="0C28419D"/>
    <w:rsid w:val="0C341D9A"/>
    <w:rsid w:val="0C5D732E"/>
    <w:rsid w:val="0C5F3058"/>
    <w:rsid w:val="0C7F6C23"/>
    <w:rsid w:val="0C9965D8"/>
    <w:rsid w:val="0C9B5ABD"/>
    <w:rsid w:val="0CB51437"/>
    <w:rsid w:val="0CD84E9C"/>
    <w:rsid w:val="0CEC6EDF"/>
    <w:rsid w:val="0D057487"/>
    <w:rsid w:val="0D1F5AA2"/>
    <w:rsid w:val="0D4D48F5"/>
    <w:rsid w:val="0D96259E"/>
    <w:rsid w:val="0DC84C6C"/>
    <w:rsid w:val="0DDB72D4"/>
    <w:rsid w:val="0DDC039E"/>
    <w:rsid w:val="0DDD3892"/>
    <w:rsid w:val="0DE365D5"/>
    <w:rsid w:val="0E1C4C31"/>
    <w:rsid w:val="0E3A651F"/>
    <w:rsid w:val="0E5631A6"/>
    <w:rsid w:val="0EAD5118"/>
    <w:rsid w:val="0EB53B50"/>
    <w:rsid w:val="0EDA1433"/>
    <w:rsid w:val="0EFE1271"/>
    <w:rsid w:val="0F013329"/>
    <w:rsid w:val="0F13083C"/>
    <w:rsid w:val="0F1E0E2A"/>
    <w:rsid w:val="0F1E1F81"/>
    <w:rsid w:val="0F4E6304"/>
    <w:rsid w:val="0F53624F"/>
    <w:rsid w:val="0F8336BB"/>
    <w:rsid w:val="0F920FD6"/>
    <w:rsid w:val="0F9B5486"/>
    <w:rsid w:val="0FE62E26"/>
    <w:rsid w:val="101337CB"/>
    <w:rsid w:val="10147078"/>
    <w:rsid w:val="10230B38"/>
    <w:rsid w:val="10644165"/>
    <w:rsid w:val="10705FCA"/>
    <w:rsid w:val="10B26710"/>
    <w:rsid w:val="10BF0A8A"/>
    <w:rsid w:val="10C71F7C"/>
    <w:rsid w:val="10C806D6"/>
    <w:rsid w:val="10F570EC"/>
    <w:rsid w:val="113A7359"/>
    <w:rsid w:val="114A765C"/>
    <w:rsid w:val="11597C61"/>
    <w:rsid w:val="115C4C5D"/>
    <w:rsid w:val="11AA5B71"/>
    <w:rsid w:val="11B83ECD"/>
    <w:rsid w:val="11F43524"/>
    <w:rsid w:val="12240695"/>
    <w:rsid w:val="12612A63"/>
    <w:rsid w:val="127A403A"/>
    <w:rsid w:val="127D1806"/>
    <w:rsid w:val="128120DE"/>
    <w:rsid w:val="12A64E4F"/>
    <w:rsid w:val="12D06A2E"/>
    <w:rsid w:val="12D24153"/>
    <w:rsid w:val="12F412C6"/>
    <w:rsid w:val="13033073"/>
    <w:rsid w:val="13173E57"/>
    <w:rsid w:val="13377891"/>
    <w:rsid w:val="13624026"/>
    <w:rsid w:val="13632C80"/>
    <w:rsid w:val="1363442E"/>
    <w:rsid w:val="13654DDA"/>
    <w:rsid w:val="13817B06"/>
    <w:rsid w:val="138402B8"/>
    <w:rsid w:val="13A139CA"/>
    <w:rsid w:val="13CC2715"/>
    <w:rsid w:val="140C3984"/>
    <w:rsid w:val="142951D2"/>
    <w:rsid w:val="142B6AD5"/>
    <w:rsid w:val="14876417"/>
    <w:rsid w:val="14A12F69"/>
    <w:rsid w:val="14A47312"/>
    <w:rsid w:val="14B21774"/>
    <w:rsid w:val="14C33FD0"/>
    <w:rsid w:val="14E87389"/>
    <w:rsid w:val="151D361E"/>
    <w:rsid w:val="151F58E1"/>
    <w:rsid w:val="155C5BF2"/>
    <w:rsid w:val="15DF06B1"/>
    <w:rsid w:val="16147742"/>
    <w:rsid w:val="161B2829"/>
    <w:rsid w:val="162352F4"/>
    <w:rsid w:val="164401BF"/>
    <w:rsid w:val="16F413A1"/>
    <w:rsid w:val="170E35DE"/>
    <w:rsid w:val="174262C0"/>
    <w:rsid w:val="17537A68"/>
    <w:rsid w:val="175C2C51"/>
    <w:rsid w:val="17C520A2"/>
    <w:rsid w:val="17D27FAE"/>
    <w:rsid w:val="17E029C8"/>
    <w:rsid w:val="184D6BA9"/>
    <w:rsid w:val="187F786C"/>
    <w:rsid w:val="189C01BB"/>
    <w:rsid w:val="18AE6014"/>
    <w:rsid w:val="18AF27A4"/>
    <w:rsid w:val="18B608D9"/>
    <w:rsid w:val="18FB442B"/>
    <w:rsid w:val="18FB7173"/>
    <w:rsid w:val="19065FF7"/>
    <w:rsid w:val="190B6493"/>
    <w:rsid w:val="192A70E1"/>
    <w:rsid w:val="195C7694"/>
    <w:rsid w:val="199537E4"/>
    <w:rsid w:val="19F55262"/>
    <w:rsid w:val="19FA44A2"/>
    <w:rsid w:val="19FC300D"/>
    <w:rsid w:val="1A2801A9"/>
    <w:rsid w:val="1A61065E"/>
    <w:rsid w:val="1A7A46E4"/>
    <w:rsid w:val="1AA52277"/>
    <w:rsid w:val="1ABE076A"/>
    <w:rsid w:val="1AD34378"/>
    <w:rsid w:val="1AE00C81"/>
    <w:rsid w:val="1B0D5C00"/>
    <w:rsid w:val="1B24673C"/>
    <w:rsid w:val="1B2E1329"/>
    <w:rsid w:val="1B2E242F"/>
    <w:rsid w:val="1B320F29"/>
    <w:rsid w:val="1B3462D5"/>
    <w:rsid w:val="1B4D5028"/>
    <w:rsid w:val="1B773639"/>
    <w:rsid w:val="1B997EC4"/>
    <w:rsid w:val="1B9E22CB"/>
    <w:rsid w:val="1BA53426"/>
    <w:rsid w:val="1BC31AC4"/>
    <w:rsid w:val="1BF0416D"/>
    <w:rsid w:val="1C000484"/>
    <w:rsid w:val="1C2B6B2F"/>
    <w:rsid w:val="1C55362C"/>
    <w:rsid w:val="1C6D75EE"/>
    <w:rsid w:val="1CAC058A"/>
    <w:rsid w:val="1CC20766"/>
    <w:rsid w:val="1D102B35"/>
    <w:rsid w:val="1D1237D5"/>
    <w:rsid w:val="1D175494"/>
    <w:rsid w:val="1D3554C9"/>
    <w:rsid w:val="1D45218B"/>
    <w:rsid w:val="1D746FD8"/>
    <w:rsid w:val="1D84159B"/>
    <w:rsid w:val="1D8E3BAA"/>
    <w:rsid w:val="1DB750A2"/>
    <w:rsid w:val="1DD50957"/>
    <w:rsid w:val="1DE34991"/>
    <w:rsid w:val="1DF6044C"/>
    <w:rsid w:val="1E327EC9"/>
    <w:rsid w:val="1E6B7117"/>
    <w:rsid w:val="1E6C333E"/>
    <w:rsid w:val="1E6D68D2"/>
    <w:rsid w:val="1E705BCC"/>
    <w:rsid w:val="1E832DF2"/>
    <w:rsid w:val="1E8731DC"/>
    <w:rsid w:val="1E8B75B4"/>
    <w:rsid w:val="1E9967BB"/>
    <w:rsid w:val="1EF159E9"/>
    <w:rsid w:val="1EF4122C"/>
    <w:rsid w:val="1F0A5D8C"/>
    <w:rsid w:val="1F17768C"/>
    <w:rsid w:val="1F2A72A4"/>
    <w:rsid w:val="1F3558B5"/>
    <w:rsid w:val="1F377173"/>
    <w:rsid w:val="1F910A5B"/>
    <w:rsid w:val="1FC47C36"/>
    <w:rsid w:val="1FCC54BF"/>
    <w:rsid w:val="202F7639"/>
    <w:rsid w:val="203A0934"/>
    <w:rsid w:val="206A51D4"/>
    <w:rsid w:val="20720353"/>
    <w:rsid w:val="208F004D"/>
    <w:rsid w:val="20A837A8"/>
    <w:rsid w:val="20B84CA3"/>
    <w:rsid w:val="20B90B25"/>
    <w:rsid w:val="20DC3513"/>
    <w:rsid w:val="21505DEE"/>
    <w:rsid w:val="215F1DF7"/>
    <w:rsid w:val="21926010"/>
    <w:rsid w:val="21A05C0C"/>
    <w:rsid w:val="21B00DD6"/>
    <w:rsid w:val="21B83EF1"/>
    <w:rsid w:val="21DC53A3"/>
    <w:rsid w:val="21F533D7"/>
    <w:rsid w:val="220D7430"/>
    <w:rsid w:val="22803C35"/>
    <w:rsid w:val="22847ED7"/>
    <w:rsid w:val="228B51EC"/>
    <w:rsid w:val="22920DB6"/>
    <w:rsid w:val="22B0381F"/>
    <w:rsid w:val="22E45123"/>
    <w:rsid w:val="22FF1DC4"/>
    <w:rsid w:val="232343C6"/>
    <w:rsid w:val="232F5BFF"/>
    <w:rsid w:val="234A5854"/>
    <w:rsid w:val="23532429"/>
    <w:rsid w:val="23C57415"/>
    <w:rsid w:val="23DB2B5C"/>
    <w:rsid w:val="23DC25DC"/>
    <w:rsid w:val="23E2040E"/>
    <w:rsid w:val="23F47EA3"/>
    <w:rsid w:val="24163DB8"/>
    <w:rsid w:val="24465CBC"/>
    <w:rsid w:val="244D19E5"/>
    <w:rsid w:val="244F4D25"/>
    <w:rsid w:val="246D5DE4"/>
    <w:rsid w:val="249F1939"/>
    <w:rsid w:val="24D130FB"/>
    <w:rsid w:val="24D55150"/>
    <w:rsid w:val="24EF6ACB"/>
    <w:rsid w:val="24F4564D"/>
    <w:rsid w:val="251A12ED"/>
    <w:rsid w:val="2536687B"/>
    <w:rsid w:val="254E6E50"/>
    <w:rsid w:val="25536B14"/>
    <w:rsid w:val="255D0B9A"/>
    <w:rsid w:val="257332C8"/>
    <w:rsid w:val="25855DB7"/>
    <w:rsid w:val="25981BED"/>
    <w:rsid w:val="25B67D8A"/>
    <w:rsid w:val="25D61B6D"/>
    <w:rsid w:val="25F147AA"/>
    <w:rsid w:val="25F9482C"/>
    <w:rsid w:val="25FE5CBA"/>
    <w:rsid w:val="26152D46"/>
    <w:rsid w:val="261B1F43"/>
    <w:rsid w:val="26285FEB"/>
    <w:rsid w:val="263304AD"/>
    <w:rsid w:val="26674E6B"/>
    <w:rsid w:val="266C51A2"/>
    <w:rsid w:val="26865011"/>
    <w:rsid w:val="26A92E9F"/>
    <w:rsid w:val="26AA2087"/>
    <w:rsid w:val="26B32E00"/>
    <w:rsid w:val="26CA303B"/>
    <w:rsid w:val="26D03A87"/>
    <w:rsid w:val="27126FD7"/>
    <w:rsid w:val="272B58EA"/>
    <w:rsid w:val="2734505D"/>
    <w:rsid w:val="27410C02"/>
    <w:rsid w:val="27465EB1"/>
    <w:rsid w:val="276A2CDE"/>
    <w:rsid w:val="27853190"/>
    <w:rsid w:val="27A67BE5"/>
    <w:rsid w:val="27B22C6C"/>
    <w:rsid w:val="27B4697B"/>
    <w:rsid w:val="27D100FA"/>
    <w:rsid w:val="27D24D01"/>
    <w:rsid w:val="27F306A5"/>
    <w:rsid w:val="28077F17"/>
    <w:rsid w:val="28175C2D"/>
    <w:rsid w:val="282525FD"/>
    <w:rsid w:val="28383327"/>
    <w:rsid w:val="283D68EF"/>
    <w:rsid w:val="28490B8A"/>
    <w:rsid w:val="284A42BE"/>
    <w:rsid w:val="287952E3"/>
    <w:rsid w:val="28830EE9"/>
    <w:rsid w:val="289F2F06"/>
    <w:rsid w:val="28A90D0B"/>
    <w:rsid w:val="28B01D10"/>
    <w:rsid w:val="28EE5B1B"/>
    <w:rsid w:val="29041392"/>
    <w:rsid w:val="29096EBF"/>
    <w:rsid w:val="291B4956"/>
    <w:rsid w:val="293A794C"/>
    <w:rsid w:val="29530CC7"/>
    <w:rsid w:val="295D3D28"/>
    <w:rsid w:val="297B2229"/>
    <w:rsid w:val="298D412E"/>
    <w:rsid w:val="29904E8E"/>
    <w:rsid w:val="29923FC6"/>
    <w:rsid w:val="29B15DDE"/>
    <w:rsid w:val="29B472D9"/>
    <w:rsid w:val="29D25EAE"/>
    <w:rsid w:val="29E3402F"/>
    <w:rsid w:val="2A002667"/>
    <w:rsid w:val="2A007C29"/>
    <w:rsid w:val="2A233AF8"/>
    <w:rsid w:val="2A4E43E6"/>
    <w:rsid w:val="2A623950"/>
    <w:rsid w:val="2A6D0F47"/>
    <w:rsid w:val="2A867B64"/>
    <w:rsid w:val="2A8F4B70"/>
    <w:rsid w:val="2AB92256"/>
    <w:rsid w:val="2AF45B19"/>
    <w:rsid w:val="2AFA2596"/>
    <w:rsid w:val="2B081B32"/>
    <w:rsid w:val="2B1A2DFF"/>
    <w:rsid w:val="2B432EE0"/>
    <w:rsid w:val="2B495075"/>
    <w:rsid w:val="2B5743BB"/>
    <w:rsid w:val="2B62420B"/>
    <w:rsid w:val="2B6612E6"/>
    <w:rsid w:val="2B9351B6"/>
    <w:rsid w:val="2BC47018"/>
    <w:rsid w:val="2BCB7442"/>
    <w:rsid w:val="2C0C2425"/>
    <w:rsid w:val="2C167D17"/>
    <w:rsid w:val="2C37607F"/>
    <w:rsid w:val="2C427CE3"/>
    <w:rsid w:val="2CB30EA4"/>
    <w:rsid w:val="2CBE711C"/>
    <w:rsid w:val="2CD80DEF"/>
    <w:rsid w:val="2D07058C"/>
    <w:rsid w:val="2D335B6B"/>
    <w:rsid w:val="2D5077B3"/>
    <w:rsid w:val="2D7F2CA9"/>
    <w:rsid w:val="2D8F207D"/>
    <w:rsid w:val="2D9C42BC"/>
    <w:rsid w:val="2DA753EC"/>
    <w:rsid w:val="2DC85AF2"/>
    <w:rsid w:val="2DD5001A"/>
    <w:rsid w:val="2DD62C2E"/>
    <w:rsid w:val="2E10231E"/>
    <w:rsid w:val="2E417CA3"/>
    <w:rsid w:val="2E4501EC"/>
    <w:rsid w:val="2E712B45"/>
    <w:rsid w:val="2E8768EC"/>
    <w:rsid w:val="2ECF230F"/>
    <w:rsid w:val="2EF220D0"/>
    <w:rsid w:val="2F071AA9"/>
    <w:rsid w:val="2F182186"/>
    <w:rsid w:val="2F1D7493"/>
    <w:rsid w:val="2F321A65"/>
    <w:rsid w:val="2F3A0461"/>
    <w:rsid w:val="2F4253FC"/>
    <w:rsid w:val="2F9D07D3"/>
    <w:rsid w:val="2FC53274"/>
    <w:rsid w:val="2FE303AE"/>
    <w:rsid w:val="2FF90936"/>
    <w:rsid w:val="30334ACB"/>
    <w:rsid w:val="305526E7"/>
    <w:rsid w:val="30576D3F"/>
    <w:rsid w:val="306164E1"/>
    <w:rsid w:val="306B6A91"/>
    <w:rsid w:val="309D339E"/>
    <w:rsid w:val="30A4331A"/>
    <w:rsid w:val="30AE21AF"/>
    <w:rsid w:val="30B92376"/>
    <w:rsid w:val="30C17A75"/>
    <w:rsid w:val="30C83455"/>
    <w:rsid w:val="30EB2F13"/>
    <w:rsid w:val="30FA20C4"/>
    <w:rsid w:val="31025BEE"/>
    <w:rsid w:val="313F35B6"/>
    <w:rsid w:val="314375FF"/>
    <w:rsid w:val="314820DA"/>
    <w:rsid w:val="31534716"/>
    <w:rsid w:val="316A6A7E"/>
    <w:rsid w:val="31785AF7"/>
    <w:rsid w:val="319F42C0"/>
    <w:rsid w:val="31C550D4"/>
    <w:rsid w:val="31C64430"/>
    <w:rsid w:val="31DB0486"/>
    <w:rsid w:val="31F14A8A"/>
    <w:rsid w:val="32116418"/>
    <w:rsid w:val="32164A45"/>
    <w:rsid w:val="32261B6D"/>
    <w:rsid w:val="329E1414"/>
    <w:rsid w:val="32BC2270"/>
    <w:rsid w:val="32ED6722"/>
    <w:rsid w:val="331A6C1E"/>
    <w:rsid w:val="33302CC4"/>
    <w:rsid w:val="334641B2"/>
    <w:rsid w:val="33642B33"/>
    <w:rsid w:val="336867E5"/>
    <w:rsid w:val="33735E81"/>
    <w:rsid w:val="337A5D54"/>
    <w:rsid w:val="33842269"/>
    <w:rsid w:val="338A3D81"/>
    <w:rsid w:val="339B552E"/>
    <w:rsid w:val="33AC160B"/>
    <w:rsid w:val="33BF7446"/>
    <w:rsid w:val="33C9197C"/>
    <w:rsid w:val="33D9726A"/>
    <w:rsid w:val="33F16E73"/>
    <w:rsid w:val="3403215F"/>
    <w:rsid w:val="34633A60"/>
    <w:rsid w:val="34637513"/>
    <w:rsid w:val="34813414"/>
    <w:rsid w:val="34844EB9"/>
    <w:rsid w:val="348D60D4"/>
    <w:rsid w:val="34963F3F"/>
    <w:rsid w:val="349A5D8B"/>
    <w:rsid w:val="34AE7FB2"/>
    <w:rsid w:val="34B02C4E"/>
    <w:rsid w:val="34BA2048"/>
    <w:rsid w:val="34CE5415"/>
    <w:rsid w:val="34D158EA"/>
    <w:rsid w:val="34E649F1"/>
    <w:rsid w:val="353671D6"/>
    <w:rsid w:val="353A3EF8"/>
    <w:rsid w:val="35562850"/>
    <w:rsid w:val="3557334B"/>
    <w:rsid w:val="356C7EAE"/>
    <w:rsid w:val="359D3F34"/>
    <w:rsid w:val="35AF1584"/>
    <w:rsid w:val="35C96709"/>
    <w:rsid w:val="36452251"/>
    <w:rsid w:val="364F0F9F"/>
    <w:rsid w:val="36570F1E"/>
    <w:rsid w:val="367061EF"/>
    <w:rsid w:val="36932AAC"/>
    <w:rsid w:val="36960AB0"/>
    <w:rsid w:val="36BC0327"/>
    <w:rsid w:val="36E320F2"/>
    <w:rsid w:val="36FE6B4E"/>
    <w:rsid w:val="371E2C4F"/>
    <w:rsid w:val="37240659"/>
    <w:rsid w:val="372F640C"/>
    <w:rsid w:val="373A4B43"/>
    <w:rsid w:val="374D496F"/>
    <w:rsid w:val="375A7C4F"/>
    <w:rsid w:val="37624D3E"/>
    <w:rsid w:val="37626C5E"/>
    <w:rsid w:val="3768226B"/>
    <w:rsid w:val="37977C3C"/>
    <w:rsid w:val="37B141C4"/>
    <w:rsid w:val="37D7556C"/>
    <w:rsid w:val="37EA7B7C"/>
    <w:rsid w:val="383569CA"/>
    <w:rsid w:val="383A4E04"/>
    <w:rsid w:val="38611E86"/>
    <w:rsid w:val="38652252"/>
    <w:rsid w:val="388B62BD"/>
    <w:rsid w:val="38B13FEA"/>
    <w:rsid w:val="38B14F4B"/>
    <w:rsid w:val="38B8587C"/>
    <w:rsid w:val="38D76582"/>
    <w:rsid w:val="391534A9"/>
    <w:rsid w:val="395B2262"/>
    <w:rsid w:val="3965703B"/>
    <w:rsid w:val="39887364"/>
    <w:rsid w:val="39AB0B71"/>
    <w:rsid w:val="39D00B94"/>
    <w:rsid w:val="39F67DF9"/>
    <w:rsid w:val="3A0F252C"/>
    <w:rsid w:val="3A161A24"/>
    <w:rsid w:val="3A1E13C5"/>
    <w:rsid w:val="3A610C19"/>
    <w:rsid w:val="3A7A1F34"/>
    <w:rsid w:val="3AB90894"/>
    <w:rsid w:val="3AC73AE7"/>
    <w:rsid w:val="3AC9336F"/>
    <w:rsid w:val="3ACA35C5"/>
    <w:rsid w:val="3AFF1735"/>
    <w:rsid w:val="3B096DEB"/>
    <w:rsid w:val="3B4B75F2"/>
    <w:rsid w:val="3B6A6C7C"/>
    <w:rsid w:val="3BCB50DD"/>
    <w:rsid w:val="3BD12293"/>
    <w:rsid w:val="3BEF2420"/>
    <w:rsid w:val="3BF94B3E"/>
    <w:rsid w:val="3C2E07BA"/>
    <w:rsid w:val="3C713B06"/>
    <w:rsid w:val="3C7A45EF"/>
    <w:rsid w:val="3C93333B"/>
    <w:rsid w:val="3C9A3DEE"/>
    <w:rsid w:val="3CA879FF"/>
    <w:rsid w:val="3CAD5337"/>
    <w:rsid w:val="3CB32382"/>
    <w:rsid w:val="3CCE2436"/>
    <w:rsid w:val="3CD03EA6"/>
    <w:rsid w:val="3CDF5E57"/>
    <w:rsid w:val="3D152E3B"/>
    <w:rsid w:val="3D217FFC"/>
    <w:rsid w:val="3D5E5D7A"/>
    <w:rsid w:val="3D615AAB"/>
    <w:rsid w:val="3DC91C62"/>
    <w:rsid w:val="3DD7283F"/>
    <w:rsid w:val="3E207410"/>
    <w:rsid w:val="3E214A3C"/>
    <w:rsid w:val="3E2E206D"/>
    <w:rsid w:val="3E2E7BFD"/>
    <w:rsid w:val="3E7C5339"/>
    <w:rsid w:val="3EA741B3"/>
    <w:rsid w:val="3EC8251B"/>
    <w:rsid w:val="3EED1712"/>
    <w:rsid w:val="3F1A1867"/>
    <w:rsid w:val="3F3138FC"/>
    <w:rsid w:val="3F336DD6"/>
    <w:rsid w:val="3F4B1E7A"/>
    <w:rsid w:val="3F6D6663"/>
    <w:rsid w:val="3F8D556B"/>
    <w:rsid w:val="3FD11EED"/>
    <w:rsid w:val="3FE936B5"/>
    <w:rsid w:val="40482C0E"/>
    <w:rsid w:val="408F75C1"/>
    <w:rsid w:val="40C549DC"/>
    <w:rsid w:val="41071826"/>
    <w:rsid w:val="413B149B"/>
    <w:rsid w:val="4148640D"/>
    <w:rsid w:val="418B02DE"/>
    <w:rsid w:val="41B7114E"/>
    <w:rsid w:val="41EB146A"/>
    <w:rsid w:val="41F73C96"/>
    <w:rsid w:val="420B1432"/>
    <w:rsid w:val="42103651"/>
    <w:rsid w:val="42260D80"/>
    <w:rsid w:val="42304DCB"/>
    <w:rsid w:val="42BD0A46"/>
    <w:rsid w:val="42C512FB"/>
    <w:rsid w:val="42C7230D"/>
    <w:rsid w:val="42DB10A2"/>
    <w:rsid w:val="42E756C5"/>
    <w:rsid w:val="42EC22F6"/>
    <w:rsid w:val="431C7F89"/>
    <w:rsid w:val="43324D3B"/>
    <w:rsid w:val="433A2642"/>
    <w:rsid w:val="435818D4"/>
    <w:rsid w:val="43780AA4"/>
    <w:rsid w:val="437A0AD4"/>
    <w:rsid w:val="43874121"/>
    <w:rsid w:val="43DC2344"/>
    <w:rsid w:val="43E70337"/>
    <w:rsid w:val="43EF5320"/>
    <w:rsid w:val="43F240D7"/>
    <w:rsid w:val="44512D7F"/>
    <w:rsid w:val="44A67896"/>
    <w:rsid w:val="44C71778"/>
    <w:rsid w:val="44DB7453"/>
    <w:rsid w:val="44FC178B"/>
    <w:rsid w:val="455D6D5F"/>
    <w:rsid w:val="457F12BE"/>
    <w:rsid w:val="458B5C54"/>
    <w:rsid w:val="45AE7C40"/>
    <w:rsid w:val="45B71B11"/>
    <w:rsid w:val="45B95580"/>
    <w:rsid w:val="460155D9"/>
    <w:rsid w:val="465F4E30"/>
    <w:rsid w:val="46653115"/>
    <w:rsid w:val="46716C81"/>
    <w:rsid w:val="46731865"/>
    <w:rsid w:val="46B07453"/>
    <w:rsid w:val="46BF1035"/>
    <w:rsid w:val="46CB2DBA"/>
    <w:rsid w:val="4715739B"/>
    <w:rsid w:val="472E1EA5"/>
    <w:rsid w:val="476620AC"/>
    <w:rsid w:val="476C4BCA"/>
    <w:rsid w:val="4799013B"/>
    <w:rsid w:val="47A92540"/>
    <w:rsid w:val="480144C4"/>
    <w:rsid w:val="48285A42"/>
    <w:rsid w:val="484506F7"/>
    <w:rsid w:val="48732599"/>
    <w:rsid w:val="488F4591"/>
    <w:rsid w:val="48903FD3"/>
    <w:rsid w:val="48A11624"/>
    <w:rsid w:val="48B50408"/>
    <w:rsid w:val="48DC27EF"/>
    <w:rsid w:val="48E02C37"/>
    <w:rsid w:val="490409AF"/>
    <w:rsid w:val="492D763A"/>
    <w:rsid w:val="493974A7"/>
    <w:rsid w:val="4956222C"/>
    <w:rsid w:val="49655979"/>
    <w:rsid w:val="496F51B4"/>
    <w:rsid w:val="49A81887"/>
    <w:rsid w:val="49DC3CC6"/>
    <w:rsid w:val="4A0C1384"/>
    <w:rsid w:val="4A123616"/>
    <w:rsid w:val="4A6601A3"/>
    <w:rsid w:val="4A6D595D"/>
    <w:rsid w:val="4A890ED6"/>
    <w:rsid w:val="4A8D3670"/>
    <w:rsid w:val="4A8F74C3"/>
    <w:rsid w:val="4B185BFD"/>
    <w:rsid w:val="4B361570"/>
    <w:rsid w:val="4B3E4F5E"/>
    <w:rsid w:val="4B4E0533"/>
    <w:rsid w:val="4B4F0750"/>
    <w:rsid w:val="4B4F1990"/>
    <w:rsid w:val="4B6756B9"/>
    <w:rsid w:val="4B6A641D"/>
    <w:rsid w:val="4B8A3C36"/>
    <w:rsid w:val="4B967C32"/>
    <w:rsid w:val="4BCE2645"/>
    <w:rsid w:val="4BFF0910"/>
    <w:rsid w:val="4C1432BC"/>
    <w:rsid w:val="4C2F29BE"/>
    <w:rsid w:val="4C5D614A"/>
    <w:rsid w:val="4C7249E8"/>
    <w:rsid w:val="4C771F9F"/>
    <w:rsid w:val="4C904C30"/>
    <w:rsid w:val="4C9C33E6"/>
    <w:rsid w:val="4C9C479A"/>
    <w:rsid w:val="4CAF5B83"/>
    <w:rsid w:val="4CC6019D"/>
    <w:rsid w:val="4CD42F53"/>
    <w:rsid w:val="4CD45311"/>
    <w:rsid w:val="4CF40529"/>
    <w:rsid w:val="4D1A32BA"/>
    <w:rsid w:val="4D555335"/>
    <w:rsid w:val="4D5F4A11"/>
    <w:rsid w:val="4D7C333E"/>
    <w:rsid w:val="4D835963"/>
    <w:rsid w:val="4D941A30"/>
    <w:rsid w:val="4D9673CE"/>
    <w:rsid w:val="4DC176EF"/>
    <w:rsid w:val="4DDB31F2"/>
    <w:rsid w:val="4DE712D5"/>
    <w:rsid w:val="4E276CCD"/>
    <w:rsid w:val="4E346763"/>
    <w:rsid w:val="4E372819"/>
    <w:rsid w:val="4E3F7F89"/>
    <w:rsid w:val="4E445FAF"/>
    <w:rsid w:val="4E853DBC"/>
    <w:rsid w:val="4E865164"/>
    <w:rsid w:val="4E8F62C2"/>
    <w:rsid w:val="4EA12F2C"/>
    <w:rsid w:val="4EB92457"/>
    <w:rsid w:val="4ECD685D"/>
    <w:rsid w:val="4EE01299"/>
    <w:rsid w:val="4EE67094"/>
    <w:rsid w:val="4EE87C98"/>
    <w:rsid w:val="4EEE25F0"/>
    <w:rsid w:val="4F3E0459"/>
    <w:rsid w:val="4F562CCF"/>
    <w:rsid w:val="4F617372"/>
    <w:rsid w:val="4FAB0A45"/>
    <w:rsid w:val="4FB808B8"/>
    <w:rsid w:val="4FB876DE"/>
    <w:rsid w:val="4FEB5DD2"/>
    <w:rsid w:val="4FED6C7C"/>
    <w:rsid w:val="4FFB6C0E"/>
    <w:rsid w:val="4FFD206F"/>
    <w:rsid w:val="50206901"/>
    <w:rsid w:val="50337427"/>
    <w:rsid w:val="50337729"/>
    <w:rsid w:val="50364453"/>
    <w:rsid w:val="50374AE4"/>
    <w:rsid w:val="5056244C"/>
    <w:rsid w:val="50723FA4"/>
    <w:rsid w:val="507B1B11"/>
    <w:rsid w:val="50805A9F"/>
    <w:rsid w:val="50921E0B"/>
    <w:rsid w:val="509557E7"/>
    <w:rsid w:val="50BD4E1E"/>
    <w:rsid w:val="50BD4E1F"/>
    <w:rsid w:val="51033C78"/>
    <w:rsid w:val="5115593D"/>
    <w:rsid w:val="512A3D05"/>
    <w:rsid w:val="512F00EB"/>
    <w:rsid w:val="51392D48"/>
    <w:rsid w:val="5145194F"/>
    <w:rsid w:val="514D42FE"/>
    <w:rsid w:val="51890F52"/>
    <w:rsid w:val="519F78B5"/>
    <w:rsid w:val="51D5494E"/>
    <w:rsid w:val="51D61D88"/>
    <w:rsid w:val="51D86880"/>
    <w:rsid w:val="52413719"/>
    <w:rsid w:val="52790720"/>
    <w:rsid w:val="52A00629"/>
    <w:rsid w:val="52A20049"/>
    <w:rsid w:val="52BE7953"/>
    <w:rsid w:val="52C62F8D"/>
    <w:rsid w:val="52D73541"/>
    <w:rsid w:val="52D76772"/>
    <w:rsid w:val="52E724ED"/>
    <w:rsid w:val="52EB3111"/>
    <w:rsid w:val="52F73E4D"/>
    <w:rsid w:val="5384452C"/>
    <w:rsid w:val="53AF4198"/>
    <w:rsid w:val="53B80040"/>
    <w:rsid w:val="53BE05B9"/>
    <w:rsid w:val="53C14124"/>
    <w:rsid w:val="53FB2901"/>
    <w:rsid w:val="540B6518"/>
    <w:rsid w:val="543B0A2D"/>
    <w:rsid w:val="54AD72FB"/>
    <w:rsid w:val="54DD4AE6"/>
    <w:rsid w:val="551D2513"/>
    <w:rsid w:val="55270A38"/>
    <w:rsid w:val="55271527"/>
    <w:rsid w:val="553065C8"/>
    <w:rsid w:val="55957FC3"/>
    <w:rsid w:val="55B852EE"/>
    <w:rsid w:val="55C57DF1"/>
    <w:rsid w:val="55ED2EE0"/>
    <w:rsid w:val="55FC3B84"/>
    <w:rsid w:val="5606634D"/>
    <w:rsid w:val="56184813"/>
    <w:rsid w:val="56315FCE"/>
    <w:rsid w:val="56395A8C"/>
    <w:rsid w:val="564646E7"/>
    <w:rsid w:val="564A2A48"/>
    <w:rsid w:val="564D221C"/>
    <w:rsid w:val="56E44B74"/>
    <w:rsid w:val="56F22A32"/>
    <w:rsid w:val="570F7B45"/>
    <w:rsid w:val="573D2C8C"/>
    <w:rsid w:val="57584FC8"/>
    <w:rsid w:val="57833712"/>
    <w:rsid w:val="579409DA"/>
    <w:rsid w:val="57940B30"/>
    <w:rsid w:val="57AC205E"/>
    <w:rsid w:val="57BA67C5"/>
    <w:rsid w:val="57E24FBA"/>
    <w:rsid w:val="57EE149B"/>
    <w:rsid w:val="5801089C"/>
    <w:rsid w:val="58124774"/>
    <w:rsid w:val="5815459A"/>
    <w:rsid w:val="58562316"/>
    <w:rsid w:val="588C314E"/>
    <w:rsid w:val="589E140E"/>
    <w:rsid w:val="58CE2190"/>
    <w:rsid w:val="58F76CD2"/>
    <w:rsid w:val="591428AA"/>
    <w:rsid w:val="596925A5"/>
    <w:rsid w:val="596F5057"/>
    <w:rsid w:val="599A6C9A"/>
    <w:rsid w:val="59BE70D6"/>
    <w:rsid w:val="59F5375B"/>
    <w:rsid w:val="5A01354B"/>
    <w:rsid w:val="5A0518B3"/>
    <w:rsid w:val="5A071DD9"/>
    <w:rsid w:val="5A4C7CA2"/>
    <w:rsid w:val="5A516732"/>
    <w:rsid w:val="5A5F6849"/>
    <w:rsid w:val="5AC55625"/>
    <w:rsid w:val="5B177171"/>
    <w:rsid w:val="5B2836D5"/>
    <w:rsid w:val="5B2A711B"/>
    <w:rsid w:val="5B513AD2"/>
    <w:rsid w:val="5B80368C"/>
    <w:rsid w:val="5B9E068A"/>
    <w:rsid w:val="5BDB6A8B"/>
    <w:rsid w:val="5BE76B6F"/>
    <w:rsid w:val="5BF6341D"/>
    <w:rsid w:val="5C24697B"/>
    <w:rsid w:val="5C314FC3"/>
    <w:rsid w:val="5C3C7D4F"/>
    <w:rsid w:val="5C4745C7"/>
    <w:rsid w:val="5C785A4A"/>
    <w:rsid w:val="5C8A4BAE"/>
    <w:rsid w:val="5C8B1D6C"/>
    <w:rsid w:val="5C98161C"/>
    <w:rsid w:val="5CC66B84"/>
    <w:rsid w:val="5CD071EB"/>
    <w:rsid w:val="5CD85AE1"/>
    <w:rsid w:val="5CDB2EAB"/>
    <w:rsid w:val="5CDC0D53"/>
    <w:rsid w:val="5CED5FA9"/>
    <w:rsid w:val="5D03534B"/>
    <w:rsid w:val="5D0A37A2"/>
    <w:rsid w:val="5D0C5D1F"/>
    <w:rsid w:val="5D734AE1"/>
    <w:rsid w:val="5DA07C62"/>
    <w:rsid w:val="5DA452E5"/>
    <w:rsid w:val="5DC96371"/>
    <w:rsid w:val="5DFF326A"/>
    <w:rsid w:val="5E3712D6"/>
    <w:rsid w:val="5E3C5005"/>
    <w:rsid w:val="5E417E77"/>
    <w:rsid w:val="5E7A731E"/>
    <w:rsid w:val="5E7E23E5"/>
    <w:rsid w:val="5E8E46EC"/>
    <w:rsid w:val="5E9E2D4D"/>
    <w:rsid w:val="5EAF00A9"/>
    <w:rsid w:val="5EF46E1E"/>
    <w:rsid w:val="5EFB482C"/>
    <w:rsid w:val="5F2A4E35"/>
    <w:rsid w:val="5F9E3B54"/>
    <w:rsid w:val="5FAB66BA"/>
    <w:rsid w:val="5FCC6526"/>
    <w:rsid w:val="601E5502"/>
    <w:rsid w:val="60390672"/>
    <w:rsid w:val="603D5A5C"/>
    <w:rsid w:val="607272CC"/>
    <w:rsid w:val="607B5964"/>
    <w:rsid w:val="609943F6"/>
    <w:rsid w:val="60DA4652"/>
    <w:rsid w:val="60EE57CB"/>
    <w:rsid w:val="611513F7"/>
    <w:rsid w:val="61476329"/>
    <w:rsid w:val="614F51FB"/>
    <w:rsid w:val="61533593"/>
    <w:rsid w:val="61AA2B5C"/>
    <w:rsid w:val="61D24292"/>
    <w:rsid w:val="61D2634E"/>
    <w:rsid w:val="62056794"/>
    <w:rsid w:val="62350AFB"/>
    <w:rsid w:val="625F5B3B"/>
    <w:rsid w:val="62A0441B"/>
    <w:rsid w:val="62A82919"/>
    <w:rsid w:val="62D71FB7"/>
    <w:rsid w:val="62F41A0B"/>
    <w:rsid w:val="62FA63F6"/>
    <w:rsid w:val="63447D3F"/>
    <w:rsid w:val="63487979"/>
    <w:rsid w:val="635F6634"/>
    <w:rsid w:val="637F2367"/>
    <w:rsid w:val="63953D73"/>
    <w:rsid w:val="63D84D22"/>
    <w:rsid w:val="640C7664"/>
    <w:rsid w:val="64254D6C"/>
    <w:rsid w:val="643B7C2E"/>
    <w:rsid w:val="6449573F"/>
    <w:rsid w:val="646D0613"/>
    <w:rsid w:val="64821859"/>
    <w:rsid w:val="648C61C9"/>
    <w:rsid w:val="649066CE"/>
    <w:rsid w:val="64A0522C"/>
    <w:rsid w:val="64BD5514"/>
    <w:rsid w:val="64BE623C"/>
    <w:rsid w:val="64E57F6D"/>
    <w:rsid w:val="64F6128F"/>
    <w:rsid w:val="652F32F3"/>
    <w:rsid w:val="654855B0"/>
    <w:rsid w:val="65580426"/>
    <w:rsid w:val="656F5DE0"/>
    <w:rsid w:val="658A1D19"/>
    <w:rsid w:val="658B25A8"/>
    <w:rsid w:val="659F57DB"/>
    <w:rsid w:val="65B3194D"/>
    <w:rsid w:val="65EB394E"/>
    <w:rsid w:val="65EC7449"/>
    <w:rsid w:val="660C2D3B"/>
    <w:rsid w:val="661A19B5"/>
    <w:rsid w:val="664D53F8"/>
    <w:rsid w:val="665D4CD0"/>
    <w:rsid w:val="66615E27"/>
    <w:rsid w:val="66712A86"/>
    <w:rsid w:val="668268D8"/>
    <w:rsid w:val="66866023"/>
    <w:rsid w:val="66874E2E"/>
    <w:rsid w:val="66B9456E"/>
    <w:rsid w:val="66C207B0"/>
    <w:rsid w:val="66D34947"/>
    <w:rsid w:val="66F7004D"/>
    <w:rsid w:val="671C6854"/>
    <w:rsid w:val="676346CC"/>
    <w:rsid w:val="67760F1C"/>
    <w:rsid w:val="67D432D5"/>
    <w:rsid w:val="67E66183"/>
    <w:rsid w:val="68135CFE"/>
    <w:rsid w:val="68174103"/>
    <w:rsid w:val="684A3248"/>
    <w:rsid w:val="688E6065"/>
    <w:rsid w:val="689F4FDB"/>
    <w:rsid w:val="68A0678D"/>
    <w:rsid w:val="68AF67C2"/>
    <w:rsid w:val="68F76C82"/>
    <w:rsid w:val="690C15BD"/>
    <w:rsid w:val="6936133D"/>
    <w:rsid w:val="696B4DD9"/>
    <w:rsid w:val="698E5C96"/>
    <w:rsid w:val="69A31628"/>
    <w:rsid w:val="69AE1B2D"/>
    <w:rsid w:val="69AE656B"/>
    <w:rsid w:val="69CE2404"/>
    <w:rsid w:val="69E47297"/>
    <w:rsid w:val="69EB5C3D"/>
    <w:rsid w:val="6A043A77"/>
    <w:rsid w:val="6A056C5C"/>
    <w:rsid w:val="6A0605C9"/>
    <w:rsid w:val="6A0E449D"/>
    <w:rsid w:val="6A1616A8"/>
    <w:rsid w:val="6A394B10"/>
    <w:rsid w:val="6A483C28"/>
    <w:rsid w:val="6A4B6DC7"/>
    <w:rsid w:val="6A6641D0"/>
    <w:rsid w:val="6A6E1CE7"/>
    <w:rsid w:val="6A906E14"/>
    <w:rsid w:val="6AB9032C"/>
    <w:rsid w:val="6ABA2164"/>
    <w:rsid w:val="6AD9189E"/>
    <w:rsid w:val="6B3247F9"/>
    <w:rsid w:val="6B4E74C4"/>
    <w:rsid w:val="6B5F64E4"/>
    <w:rsid w:val="6B692BDE"/>
    <w:rsid w:val="6B8B21E9"/>
    <w:rsid w:val="6BB102F0"/>
    <w:rsid w:val="6BC608D8"/>
    <w:rsid w:val="6BCE35DA"/>
    <w:rsid w:val="6BDA6C7A"/>
    <w:rsid w:val="6BFF2F7A"/>
    <w:rsid w:val="6C003B0A"/>
    <w:rsid w:val="6C0C0BE2"/>
    <w:rsid w:val="6C142F85"/>
    <w:rsid w:val="6C2C23B2"/>
    <w:rsid w:val="6C432EAB"/>
    <w:rsid w:val="6C442F3F"/>
    <w:rsid w:val="6C4C54C6"/>
    <w:rsid w:val="6C5539AC"/>
    <w:rsid w:val="6C847148"/>
    <w:rsid w:val="6C92550C"/>
    <w:rsid w:val="6CA45F59"/>
    <w:rsid w:val="6CA90B9D"/>
    <w:rsid w:val="6CE81115"/>
    <w:rsid w:val="6D3D5D8F"/>
    <w:rsid w:val="6D5A6B1E"/>
    <w:rsid w:val="6D6579D8"/>
    <w:rsid w:val="6D700BD1"/>
    <w:rsid w:val="6D7F230E"/>
    <w:rsid w:val="6D855770"/>
    <w:rsid w:val="6D8C7324"/>
    <w:rsid w:val="6DC16D89"/>
    <w:rsid w:val="6DFA4963"/>
    <w:rsid w:val="6E273B77"/>
    <w:rsid w:val="6E376A09"/>
    <w:rsid w:val="6E4C7344"/>
    <w:rsid w:val="6E6B3625"/>
    <w:rsid w:val="6E872A8E"/>
    <w:rsid w:val="6EC006CA"/>
    <w:rsid w:val="6EC27095"/>
    <w:rsid w:val="6ECA1524"/>
    <w:rsid w:val="6EE14F8A"/>
    <w:rsid w:val="6EF05B1E"/>
    <w:rsid w:val="6F397C4F"/>
    <w:rsid w:val="6F5F7E81"/>
    <w:rsid w:val="6F61645F"/>
    <w:rsid w:val="6F733592"/>
    <w:rsid w:val="6F7D1C3F"/>
    <w:rsid w:val="6FC610F7"/>
    <w:rsid w:val="6FCF7FAB"/>
    <w:rsid w:val="6FD50999"/>
    <w:rsid w:val="6FD6520B"/>
    <w:rsid w:val="6FE7655A"/>
    <w:rsid w:val="6FE951CA"/>
    <w:rsid w:val="6FF1209D"/>
    <w:rsid w:val="70381E73"/>
    <w:rsid w:val="70415CA3"/>
    <w:rsid w:val="70545DDB"/>
    <w:rsid w:val="706F71EC"/>
    <w:rsid w:val="70715D1C"/>
    <w:rsid w:val="7097194F"/>
    <w:rsid w:val="70A6040A"/>
    <w:rsid w:val="70A73CC1"/>
    <w:rsid w:val="70AA0063"/>
    <w:rsid w:val="70B02F30"/>
    <w:rsid w:val="70BE7AA5"/>
    <w:rsid w:val="70E04E91"/>
    <w:rsid w:val="70E64808"/>
    <w:rsid w:val="710D536E"/>
    <w:rsid w:val="71517E97"/>
    <w:rsid w:val="715845FE"/>
    <w:rsid w:val="71942112"/>
    <w:rsid w:val="719839C7"/>
    <w:rsid w:val="71F2585B"/>
    <w:rsid w:val="72116FAD"/>
    <w:rsid w:val="7241581D"/>
    <w:rsid w:val="72445983"/>
    <w:rsid w:val="726235C9"/>
    <w:rsid w:val="72831D5D"/>
    <w:rsid w:val="72866E0A"/>
    <w:rsid w:val="72B539A0"/>
    <w:rsid w:val="72B7679A"/>
    <w:rsid w:val="72BA0112"/>
    <w:rsid w:val="72D35B7D"/>
    <w:rsid w:val="72D70763"/>
    <w:rsid w:val="730531F3"/>
    <w:rsid w:val="730D7924"/>
    <w:rsid w:val="73206C92"/>
    <w:rsid w:val="73246F65"/>
    <w:rsid w:val="736B27D3"/>
    <w:rsid w:val="73705753"/>
    <w:rsid w:val="73954191"/>
    <w:rsid w:val="73974144"/>
    <w:rsid w:val="739A61BC"/>
    <w:rsid w:val="73D73C05"/>
    <w:rsid w:val="74220E03"/>
    <w:rsid w:val="74371984"/>
    <w:rsid w:val="744C7CFC"/>
    <w:rsid w:val="74930E8A"/>
    <w:rsid w:val="74B16EFA"/>
    <w:rsid w:val="74D26BC9"/>
    <w:rsid w:val="74F371CC"/>
    <w:rsid w:val="74FA2B93"/>
    <w:rsid w:val="75013D26"/>
    <w:rsid w:val="7513293E"/>
    <w:rsid w:val="751C4A37"/>
    <w:rsid w:val="75264434"/>
    <w:rsid w:val="754C3FED"/>
    <w:rsid w:val="758E216D"/>
    <w:rsid w:val="75E50038"/>
    <w:rsid w:val="75F85C3A"/>
    <w:rsid w:val="76086AF3"/>
    <w:rsid w:val="761E665C"/>
    <w:rsid w:val="76480419"/>
    <w:rsid w:val="76481B4F"/>
    <w:rsid w:val="764C351C"/>
    <w:rsid w:val="76641728"/>
    <w:rsid w:val="767B6391"/>
    <w:rsid w:val="76B002EC"/>
    <w:rsid w:val="76FA2D66"/>
    <w:rsid w:val="76FC007B"/>
    <w:rsid w:val="77005A5B"/>
    <w:rsid w:val="77225343"/>
    <w:rsid w:val="77241429"/>
    <w:rsid w:val="772A6B84"/>
    <w:rsid w:val="774E7257"/>
    <w:rsid w:val="77555D92"/>
    <w:rsid w:val="77590D34"/>
    <w:rsid w:val="77966D42"/>
    <w:rsid w:val="77C22C5C"/>
    <w:rsid w:val="7814493D"/>
    <w:rsid w:val="781D0583"/>
    <w:rsid w:val="781D1ABE"/>
    <w:rsid w:val="783828A6"/>
    <w:rsid w:val="78430E34"/>
    <w:rsid w:val="78450BD7"/>
    <w:rsid w:val="784C7F4A"/>
    <w:rsid w:val="7871156E"/>
    <w:rsid w:val="78EF00C7"/>
    <w:rsid w:val="790C75C1"/>
    <w:rsid w:val="79131EC6"/>
    <w:rsid w:val="79186D67"/>
    <w:rsid w:val="7923225C"/>
    <w:rsid w:val="793223B0"/>
    <w:rsid w:val="79824362"/>
    <w:rsid w:val="79917A0D"/>
    <w:rsid w:val="79A627DA"/>
    <w:rsid w:val="79A66789"/>
    <w:rsid w:val="79B71A16"/>
    <w:rsid w:val="79CF0C1D"/>
    <w:rsid w:val="7A056FA6"/>
    <w:rsid w:val="7A0B2382"/>
    <w:rsid w:val="7A413B56"/>
    <w:rsid w:val="7A83759C"/>
    <w:rsid w:val="7A9C7DD7"/>
    <w:rsid w:val="7AA078CD"/>
    <w:rsid w:val="7AAA0C33"/>
    <w:rsid w:val="7AD005EF"/>
    <w:rsid w:val="7AF36362"/>
    <w:rsid w:val="7B20413E"/>
    <w:rsid w:val="7B272A92"/>
    <w:rsid w:val="7B2F5FA0"/>
    <w:rsid w:val="7B315E5C"/>
    <w:rsid w:val="7B372DDB"/>
    <w:rsid w:val="7B7577DE"/>
    <w:rsid w:val="7BAA7208"/>
    <w:rsid w:val="7BAF52F2"/>
    <w:rsid w:val="7BB23D7C"/>
    <w:rsid w:val="7BF04EAB"/>
    <w:rsid w:val="7BF12F29"/>
    <w:rsid w:val="7BF411CF"/>
    <w:rsid w:val="7BFA5219"/>
    <w:rsid w:val="7C0250F8"/>
    <w:rsid w:val="7C107425"/>
    <w:rsid w:val="7C36060E"/>
    <w:rsid w:val="7C3C1DBF"/>
    <w:rsid w:val="7C7428B2"/>
    <w:rsid w:val="7C7C5D27"/>
    <w:rsid w:val="7C967BB3"/>
    <w:rsid w:val="7C9C1F1E"/>
    <w:rsid w:val="7CBC0F20"/>
    <w:rsid w:val="7CBD688D"/>
    <w:rsid w:val="7CCE096B"/>
    <w:rsid w:val="7CD76F7F"/>
    <w:rsid w:val="7CE912CA"/>
    <w:rsid w:val="7D0006C9"/>
    <w:rsid w:val="7D0D663B"/>
    <w:rsid w:val="7D1E16EB"/>
    <w:rsid w:val="7D224368"/>
    <w:rsid w:val="7D5B3DA8"/>
    <w:rsid w:val="7D7346BB"/>
    <w:rsid w:val="7DB9671E"/>
    <w:rsid w:val="7DDD3193"/>
    <w:rsid w:val="7DDF6BD3"/>
    <w:rsid w:val="7E062418"/>
    <w:rsid w:val="7E3660BC"/>
    <w:rsid w:val="7E44104E"/>
    <w:rsid w:val="7E464086"/>
    <w:rsid w:val="7E4F4CC7"/>
    <w:rsid w:val="7E535169"/>
    <w:rsid w:val="7E74382A"/>
    <w:rsid w:val="7E83045A"/>
    <w:rsid w:val="7E8A65BC"/>
    <w:rsid w:val="7EE21CD9"/>
    <w:rsid w:val="7EF956AD"/>
    <w:rsid w:val="7F1E3ADD"/>
    <w:rsid w:val="7F2C6B94"/>
    <w:rsid w:val="7F3C03A8"/>
    <w:rsid w:val="7F4306B9"/>
    <w:rsid w:val="7F5546FD"/>
    <w:rsid w:val="7F595FF0"/>
    <w:rsid w:val="7F6D7BAE"/>
    <w:rsid w:val="7FC628BB"/>
    <w:rsid w:val="7FC86978"/>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7"/>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0"/>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1"/>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2"/>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3"/>
    <w:semiHidden/>
    <w:unhideWhenUsed/>
    <w:qFormat/>
    <w:uiPriority w:val="9"/>
    <w:pPr>
      <w:keepNext/>
      <w:keepLines/>
      <w:spacing w:before="240" w:after="64" w:line="320" w:lineRule="auto"/>
      <w:outlineLvl w:val="6"/>
    </w:pPr>
    <w:rPr>
      <w:b/>
      <w:bCs/>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annotation text"/>
    <w:basedOn w:val="1"/>
    <w:link w:val="60"/>
    <w:qFormat/>
    <w:uiPriority w:val="0"/>
    <w:pPr>
      <w:jc w:val="left"/>
    </w:pPr>
  </w:style>
  <w:style w:type="paragraph" w:styleId="11">
    <w:name w:val="Body Text Indent"/>
    <w:basedOn w:val="1"/>
    <w:link w:val="40"/>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5"/>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29"/>
    <w:unhideWhenUsed/>
    <w:qFormat/>
    <w:uiPriority w:val="0"/>
    <w:pPr>
      <w:ind w:left="100" w:leftChars="2500"/>
    </w:pPr>
  </w:style>
  <w:style w:type="paragraph" w:styleId="14">
    <w:name w:val="Balloon Text"/>
    <w:basedOn w:val="1"/>
    <w:link w:val="56"/>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sz w:val="18"/>
      <w:szCs w:val="18"/>
    </w:rPr>
  </w:style>
  <w:style w:type="paragraph" w:styleId="16">
    <w:name w:val="header"/>
    <w:basedOn w:val="1"/>
    <w:link w:val="4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8"/>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64"/>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rPr>
  </w:style>
  <w:style w:type="character" w:styleId="28">
    <w:name w:val="annotation reference"/>
    <w:basedOn w:val="24"/>
    <w:semiHidden/>
    <w:unhideWhenUsed/>
    <w:qFormat/>
    <w:uiPriority w:val="99"/>
    <w:rPr>
      <w:sz w:val="21"/>
      <w:szCs w:val="21"/>
    </w:rPr>
  </w:style>
  <w:style w:type="character" w:customStyle="1" w:styleId="29">
    <w:name w:val="日期 Char"/>
    <w:basedOn w:val="24"/>
    <w:link w:val="13"/>
    <w:qFormat/>
    <w:uiPriority w:val="0"/>
    <w:rPr>
      <w:rFonts w:ascii="Times New Roman" w:hAnsi="Times New Roman" w:eastAsia="宋体" w:cs="Times New Roman"/>
      <w:sz w:val="28"/>
      <w:szCs w:val="20"/>
    </w:rPr>
  </w:style>
  <w:style w:type="paragraph" w:styleId="30">
    <w:name w:val="List Paragraph"/>
    <w:basedOn w:val="1"/>
    <w:link w:val="43"/>
    <w:qFormat/>
    <w:uiPriority w:val="99"/>
    <w:pPr>
      <w:ind w:firstLine="420" w:firstLineChars="200"/>
    </w:pPr>
  </w:style>
  <w:style w:type="paragraph" w:customStyle="1" w:styleId="31">
    <w:name w:val="正文 第一章"/>
    <w:basedOn w:val="1"/>
    <w:next w:val="32"/>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2">
    <w:name w:val="正文 1.1"/>
    <w:basedOn w:val="1"/>
    <w:next w:val="33"/>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3">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4">
    <w:name w:val="第四级"/>
    <w:basedOn w:val="1"/>
    <w:next w:val="35"/>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5">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6">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7">
    <w:name w:val="标题 1 Char"/>
    <w:basedOn w:val="24"/>
    <w:link w:val="3"/>
    <w:qFormat/>
    <w:uiPriority w:val="0"/>
    <w:rPr>
      <w:rFonts w:ascii="宋体" w:hAnsi="Arial" w:eastAsia="黑体" w:cs="Times New Roman"/>
      <w:b/>
      <w:bCs/>
      <w:color w:val="000000"/>
      <w:kern w:val="44"/>
      <w:sz w:val="36"/>
      <w:szCs w:val="32"/>
    </w:rPr>
  </w:style>
  <w:style w:type="character" w:customStyle="1" w:styleId="38">
    <w:name w:val="标题 Char"/>
    <w:basedOn w:val="24"/>
    <w:link w:val="20"/>
    <w:qFormat/>
    <w:uiPriority w:val="10"/>
    <w:rPr>
      <w:rFonts w:eastAsia="宋体" w:asciiTheme="majorHAnsi" w:hAnsiTheme="majorHAnsi" w:cstheme="majorBidi"/>
      <w:b/>
      <w:bCs/>
      <w:sz w:val="32"/>
      <w:szCs w:val="32"/>
    </w:rPr>
  </w:style>
  <w:style w:type="character" w:customStyle="1" w:styleId="39">
    <w:name w:val="标题 2 Char"/>
    <w:basedOn w:val="24"/>
    <w:link w:val="4"/>
    <w:semiHidden/>
    <w:qFormat/>
    <w:uiPriority w:val="9"/>
    <w:rPr>
      <w:rFonts w:asciiTheme="majorHAnsi" w:hAnsiTheme="majorHAnsi" w:eastAsiaTheme="majorEastAsia" w:cstheme="majorBidi"/>
      <w:b/>
      <w:bCs/>
      <w:sz w:val="32"/>
      <w:szCs w:val="32"/>
    </w:rPr>
  </w:style>
  <w:style w:type="character" w:customStyle="1" w:styleId="40">
    <w:name w:val="正文文本缩进 Char"/>
    <w:link w:val="11"/>
    <w:qFormat/>
    <w:locked/>
    <w:uiPriority w:val="0"/>
    <w:rPr>
      <w:rFonts w:ascii="宋体" w:hAnsi="Courier New" w:eastAsia="宋体"/>
      <w:spacing w:val="-4"/>
      <w:sz w:val="18"/>
    </w:rPr>
  </w:style>
  <w:style w:type="character" w:customStyle="1" w:styleId="41">
    <w:name w:val="正文文本缩进 Char1"/>
    <w:basedOn w:val="24"/>
    <w:qFormat/>
    <w:uiPriority w:val="99"/>
    <w:rPr>
      <w:rFonts w:ascii="Times New Roman" w:hAnsi="Times New Roman" w:eastAsia="宋体" w:cs="Times New Roman"/>
      <w:sz w:val="28"/>
      <w:szCs w:val="20"/>
    </w:rPr>
  </w:style>
  <w:style w:type="character" w:customStyle="1" w:styleId="42">
    <w:name w:val="标题 3 Char"/>
    <w:qFormat/>
    <w:uiPriority w:val="0"/>
    <w:rPr>
      <w:rFonts w:eastAsia="宋体"/>
      <w:b/>
      <w:bCs/>
      <w:kern w:val="2"/>
      <w:sz w:val="32"/>
      <w:szCs w:val="32"/>
      <w:lang w:val="en-US" w:eastAsia="zh-CN" w:bidi="ar-SA"/>
    </w:rPr>
  </w:style>
  <w:style w:type="character" w:customStyle="1" w:styleId="43">
    <w:name w:val="列出段落 Char"/>
    <w:link w:val="30"/>
    <w:qFormat/>
    <w:locked/>
    <w:uiPriority w:val="0"/>
    <w:rPr>
      <w:rFonts w:ascii="Times New Roman" w:hAnsi="Times New Roman" w:eastAsia="宋体" w:cs="Times New Roman"/>
      <w:sz w:val="28"/>
      <w:szCs w:val="20"/>
    </w:rPr>
  </w:style>
  <w:style w:type="character" w:customStyle="1" w:styleId="44">
    <w:name w:val="正文 第五章 中间"/>
    <w:qFormat/>
    <w:uiPriority w:val="0"/>
    <w:rPr>
      <w:b/>
      <w:bCs/>
      <w:color w:val="000000"/>
      <w:sz w:val="32"/>
    </w:rPr>
  </w:style>
  <w:style w:type="character" w:customStyle="1" w:styleId="45">
    <w:name w:val="纯文本 Char1"/>
    <w:link w:val="12"/>
    <w:qFormat/>
    <w:uiPriority w:val="0"/>
    <w:rPr>
      <w:rFonts w:ascii="宋体" w:hAnsi="Courier New" w:eastAsia="宋体"/>
      <w:sz w:val="24"/>
    </w:rPr>
  </w:style>
  <w:style w:type="character" w:customStyle="1" w:styleId="46">
    <w:name w:val="纯文本 Char"/>
    <w:basedOn w:val="24"/>
    <w:semiHidden/>
    <w:qFormat/>
    <w:uiPriority w:val="99"/>
    <w:rPr>
      <w:rFonts w:ascii="宋体" w:hAnsi="Courier New" w:eastAsia="宋体" w:cs="Courier New"/>
      <w:szCs w:val="21"/>
    </w:rPr>
  </w:style>
  <w:style w:type="character" w:customStyle="1" w:styleId="47">
    <w:name w:val="标题 3 Char1"/>
    <w:basedOn w:val="24"/>
    <w:link w:val="5"/>
    <w:semiHidden/>
    <w:qFormat/>
    <w:uiPriority w:val="9"/>
    <w:rPr>
      <w:rFonts w:ascii="Times New Roman" w:hAnsi="Times New Roman" w:eastAsia="宋体" w:cs="Times New Roman"/>
      <w:b/>
      <w:bCs/>
      <w:sz w:val="32"/>
      <w:szCs w:val="32"/>
    </w:rPr>
  </w:style>
  <w:style w:type="character" w:customStyle="1" w:styleId="48">
    <w:name w:val="页眉 Char"/>
    <w:basedOn w:val="24"/>
    <w:link w:val="16"/>
    <w:semiHidden/>
    <w:qFormat/>
    <w:uiPriority w:val="99"/>
    <w:rPr>
      <w:rFonts w:ascii="Times New Roman" w:hAnsi="Times New Roman" w:eastAsia="宋体" w:cs="Times New Roman"/>
      <w:sz w:val="18"/>
      <w:szCs w:val="18"/>
    </w:rPr>
  </w:style>
  <w:style w:type="character" w:customStyle="1" w:styleId="49">
    <w:name w:val="页脚 Char"/>
    <w:basedOn w:val="24"/>
    <w:link w:val="15"/>
    <w:qFormat/>
    <w:uiPriority w:val="99"/>
    <w:rPr>
      <w:rFonts w:ascii="Times New Roman" w:hAnsi="Times New Roman" w:eastAsia="宋体" w:cs="Times New Roman"/>
      <w:sz w:val="18"/>
      <w:szCs w:val="18"/>
    </w:rPr>
  </w:style>
  <w:style w:type="character" w:customStyle="1" w:styleId="50">
    <w:name w:val="标题 4 Char"/>
    <w:basedOn w:val="24"/>
    <w:link w:val="6"/>
    <w:semiHidden/>
    <w:qFormat/>
    <w:uiPriority w:val="9"/>
    <w:rPr>
      <w:rFonts w:asciiTheme="majorHAnsi" w:hAnsiTheme="majorHAnsi" w:eastAsiaTheme="majorEastAsia" w:cstheme="majorBidi"/>
      <w:b/>
      <w:bCs/>
      <w:sz w:val="28"/>
      <w:szCs w:val="28"/>
    </w:rPr>
  </w:style>
  <w:style w:type="character" w:customStyle="1" w:styleId="51">
    <w:name w:val="标题 5 Char"/>
    <w:basedOn w:val="24"/>
    <w:link w:val="7"/>
    <w:semiHidden/>
    <w:qFormat/>
    <w:uiPriority w:val="9"/>
    <w:rPr>
      <w:rFonts w:ascii="Times New Roman" w:hAnsi="Times New Roman" w:eastAsia="宋体" w:cs="Times New Roman"/>
      <w:b/>
      <w:bCs/>
      <w:sz w:val="28"/>
      <w:szCs w:val="28"/>
    </w:rPr>
  </w:style>
  <w:style w:type="character" w:customStyle="1" w:styleId="52">
    <w:name w:val="标题 6 Char"/>
    <w:basedOn w:val="24"/>
    <w:link w:val="8"/>
    <w:semiHidden/>
    <w:qFormat/>
    <w:uiPriority w:val="9"/>
    <w:rPr>
      <w:rFonts w:asciiTheme="majorHAnsi" w:hAnsiTheme="majorHAnsi" w:eastAsiaTheme="majorEastAsia" w:cstheme="majorBidi"/>
      <w:b/>
      <w:bCs/>
      <w:sz w:val="24"/>
      <w:szCs w:val="24"/>
    </w:rPr>
  </w:style>
  <w:style w:type="character" w:customStyle="1" w:styleId="53">
    <w:name w:val="标题 7 Char"/>
    <w:basedOn w:val="24"/>
    <w:link w:val="9"/>
    <w:semiHidden/>
    <w:qFormat/>
    <w:uiPriority w:val="9"/>
    <w:rPr>
      <w:rFonts w:ascii="Times New Roman" w:hAnsi="Times New Roman" w:eastAsia="宋体" w:cs="Times New Roman"/>
      <w:b/>
      <w:bCs/>
      <w:sz w:val="24"/>
      <w:szCs w:val="24"/>
    </w:rPr>
  </w:style>
  <w:style w:type="paragraph" w:customStyle="1" w:styleId="54">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5">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6">
    <w:name w:val="批注框文本 Char"/>
    <w:basedOn w:val="24"/>
    <w:link w:val="14"/>
    <w:semiHidden/>
    <w:qFormat/>
    <w:uiPriority w:val="99"/>
    <w:rPr>
      <w:rFonts w:ascii="Times New Roman" w:hAnsi="Times New Roman" w:eastAsia="宋体" w:cs="Times New Roman"/>
      <w:sz w:val="18"/>
      <w:szCs w:val="18"/>
    </w:rPr>
  </w:style>
  <w:style w:type="paragraph" w:customStyle="1" w:styleId="57">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8">
    <w:name w:val="样式1"/>
    <w:basedOn w:val="1"/>
    <w:qFormat/>
    <w:uiPriority w:val="0"/>
    <w:pPr>
      <w:numPr>
        <w:ilvl w:val="0"/>
        <w:numId w:val="2"/>
      </w:numPr>
      <w:adjustRightInd w:val="0"/>
      <w:textAlignment w:val="baseline"/>
    </w:pPr>
    <w:rPr>
      <w:rFonts w:ascii="宋体" w:hAnsi="宋体"/>
      <w:kern w:val="0"/>
      <w:sz w:val="21"/>
    </w:rPr>
  </w:style>
  <w:style w:type="paragraph" w:customStyle="1" w:styleId="59">
    <w:name w:val="Char Char Char Char Char Char Char1 Char"/>
    <w:basedOn w:val="1"/>
    <w:qFormat/>
    <w:uiPriority w:val="0"/>
    <w:rPr>
      <w:rFonts w:ascii="Tahoma" w:hAnsi="Tahoma"/>
      <w:sz w:val="24"/>
    </w:rPr>
  </w:style>
  <w:style w:type="character" w:customStyle="1" w:styleId="60">
    <w:name w:val="批注文字 Char"/>
    <w:basedOn w:val="24"/>
    <w:link w:val="10"/>
    <w:qFormat/>
    <w:uiPriority w:val="0"/>
    <w:rPr>
      <w:rFonts w:ascii="Times New Roman" w:hAnsi="Times New Roman" w:eastAsia="宋体" w:cs="Times New Roman"/>
      <w:sz w:val="28"/>
      <w:szCs w:val="20"/>
    </w:rPr>
  </w:style>
  <w:style w:type="character" w:customStyle="1" w:styleId="61">
    <w:name w:val="font51"/>
    <w:qFormat/>
    <w:uiPriority w:val="0"/>
    <w:rPr>
      <w:rFonts w:hint="eastAsia" w:ascii="宋体" w:hAnsi="宋体" w:eastAsia="宋体" w:cs="宋体"/>
      <w:color w:val="000000"/>
      <w:sz w:val="24"/>
      <w:szCs w:val="24"/>
      <w:u w:val="none"/>
    </w:rPr>
  </w:style>
  <w:style w:type="paragraph" w:customStyle="1" w:styleId="62">
    <w:name w:val="_Style 13"/>
    <w:basedOn w:val="1"/>
    <w:next w:val="30"/>
    <w:qFormat/>
    <w:uiPriority w:val="0"/>
    <w:pPr>
      <w:ind w:firstLine="420" w:firstLineChars="200"/>
    </w:pPr>
    <w:rPr>
      <w:rFonts w:ascii="Calibri" w:hAnsi="Calibri"/>
      <w:kern w:val="0"/>
      <w:sz w:val="20"/>
      <w:lang w:val="zh-CN"/>
    </w:rPr>
  </w:style>
  <w:style w:type="paragraph" w:customStyle="1" w:styleId="63">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4">
    <w:name w:val="批注主题 Char"/>
    <w:basedOn w:val="60"/>
    <w:link w:val="21"/>
    <w:semiHidden/>
    <w:qFormat/>
    <w:uiPriority w:val="99"/>
    <w:rPr>
      <w:b/>
      <w:bCs/>
      <w:kern w:val="2"/>
    </w:rPr>
  </w:style>
  <w:style w:type="paragraph" w:customStyle="1" w:styleId="65">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9</TotalTime>
  <ScaleCrop>false</ScaleCrop>
  <LinksUpToDate>false</LinksUpToDate>
  <CharactersWithSpaces>22518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WPS_1591229444</cp:lastModifiedBy>
  <cp:lastPrinted>2020-08-06T07:00:00Z</cp:lastPrinted>
  <dcterms:modified xsi:type="dcterms:W3CDTF">2021-06-24T06:54:56Z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4C26227BCB294D39AA2781FF4FE8B61D</vt:lpwstr>
  </property>
</Properties>
</file>