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1156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sz w:val="52"/>
          <w:szCs w:val="52"/>
        </w:rPr>
      </w:pPr>
      <w:r>
        <w:rPr>
          <w:rFonts w:hint="eastAsia" w:ascii="华文中宋" w:hAnsi="华文中宋" w:eastAsia="华文中宋"/>
          <w:b/>
          <w:bCs/>
          <w:w w:val="90"/>
          <w:sz w:val="52"/>
          <w:szCs w:val="52"/>
          <w:lang w:val="en-US" w:eastAsia="zh-CN"/>
        </w:rPr>
        <w:t>皖南医学院2022-2024年财务审计服务项目</w:t>
      </w: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2</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p>
      <w:pPr>
        <w:pStyle w:val="17"/>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5"/>
          <w:rFonts w:hint="eastAsia"/>
        </w:rPr>
        <w:t>第一章</w:t>
      </w:r>
      <w:r>
        <w:rPr>
          <w:rStyle w:val="25"/>
        </w:rPr>
        <w:t xml:space="preserve">  </w:t>
      </w:r>
      <w:r>
        <w:rPr>
          <w:rStyle w:val="25"/>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5"/>
          <w:rFonts w:hint="eastAsia"/>
        </w:rPr>
        <w:t>第二章</w:t>
      </w:r>
      <w:r>
        <w:rPr>
          <w:rStyle w:val="25"/>
        </w:rPr>
        <w:t xml:space="preserve">  </w:t>
      </w:r>
      <w:r>
        <w:rPr>
          <w:rStyle w:val="25"/>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5"/>
          <w:rFonts w:hint="eastAsia"/>
        </w:rPr>
        <w:t>第三章</w:t>
      </w:r>
      <w:r>
        <w:rPr>
          <w:rStyle w:val="25"/>
        </w:rPr>
        <w:t xml:space="preserve">  </w:t>
      </w:r>
      <w:r>
        <w:rPr>
          <w:rStyle w:val="25"/>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5"/>
          <w:rFonts w:hint="eastAsia"/>
        </w:rPr>
        <w:t>第四章</w:t>
      </w:r>
      <w:r>
        <w:rPr>
          <w:rStyle w:val="25"/>
        </w:rPr>
        <w:t xml:space="preserve">  </w:t>
      </w:r>
      <w:r>
        <w:rPr>
          <w:rStyle w:val="25"/>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5"/>
          <w:rFonts w:hint="eastAsia" w:cs="华文中宋"/>
        </w:rPr>
        <w:t>第五章</w:t>
      </w:r>
      <w:r>
        <w:rPr>
          <w:rStyle w:val="25"/>
          <w:rFonts w:cs="华文中宋"/>
        </w:rPr>
        <w:t xml:space="preserve"> </w:t>
      </w:r>
      <w:r>
        <w:rPr>
          <w:rStyle w:val="25"/>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5"/>
          <w:rFonts w:hint="eastAsia" w:cs="华文中宋"/>
        </w:rPr>
        <w:t>第六章</w:t>
      </w:r>
      <w:r>
        <w:rPr>
          <w:rStyle w:val="25"/>
          <w:rFonts w:cs="华文中宋"/>
        </w:rPr>
        <w:t xml:space="preserve">  </w:t>
      </w:r>
      <w:r>
        <w:rPr>
          <w:rStyle w:val="25"/>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5"/>
          <w:rFonts w:hint="eastAsia"/>
        </w:rPr>
        <w:t>第七章</w:t>
      </w:r>
      <w:r>
        <w:rPr>
          <w:rStyle w:val="25"/>
        </w:rPr>
        <w:t xml:space="preserve">  </w:t>
      </w:r>
      <w:r>
        <w:rPr>
          <w:rStyle w:val="25"/>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6"/>
          <w:szCs w:val="36"/>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1720"/>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我校皖南医学院2022-2024年财务审计服务项目采取磋商的方式进行采购，现邀请符合资质条件的供应商参加投标和磋商。具体情况如下：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（一）项目名称：皖南医学院2022-2024年财务审计服务项目；</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（二）项目编号：WYGZ202</w:t>
      </w:r>
      <w:r>
        <w:rPr>
          <w:rFonts w:hint="eastAsia" w:ascii="仿宋_GB2312" w:eastAsia="仿宋_GB2312"/>
          <w:sz w:val="24"/>
          <w:szCs w:val="24"/>
          <w:lang w:val="en-US" w:eastAsia="zh-CN"/>
        </w:rPr>
        <w:t>1</w:t>
      </w:r>
      <w:r>
        <w:rPr>
          <w:rFonts w:hint="eastAsia" w:ascii="仿宋_GB2312" w:eastAsia="仿宋_GB2312"/>
          <w:sz w:val="24"/>
          <w:szCs w:val="24"/>
        </w:rPr>
        <w:t>1</w:t>
      </w:r>
      <w:r>
        <w:rPr>
          <w:rFonts w:hint="eastAsia" w:ascii="仿宋_GB2312" w:eastAsia="仿宋_GB2312"/>
          <w:sz w:val="24"/>
          <w:szCs w:val="24"/>
          <w:lang w:val="en-US" w:eastAsia="zh-CN"/>
        </w:rPr>
        <w:t>56</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lang w:eastAsia="zh-CN"/>
        </w:rPr>
        <w:t>（三）</w:t>
      </w:r>
      <w:r>
        <w:rPr>
          <w:rFonts w:hint="eastAsia" w:ascii="仿宋_GB2312" w:eastAsia="仿宋_GB2312"/>
          <w:sz w:val="24"/>
          <w:szCs w:val="24"/>
        </w:rPr>
        <w:t>项目内容：详见项目需求。</w:t>
      </w:r>
    </w:p>
    <w:p>
      <w:pPr>
        <w:adjustRightInd w:val="0"/>
        <w:snapToGrid w:val="0"/>
        <w:spacing w:line="360" w:lineRule="auto"/>
        <w:ind w:firstLine="453" w:firstLineChars="189"/>
        <w:rPr>
          <w:rFonts w:hint="default" w:ascii="仿宋_GB2312" w:eastAsia="仿宋_GB2312"/>
          <w:sz w:val="24"/>
          <w:szCs w:val="24"/>
          <w:lang w:val="en-US" w:eastAsia="zh-CN"/>
        </w:rPr>
      </w:pPr>
      <w:r>
        <w:rPr>
          <w:rFonts w:hint="eastAsia" w:ascii="仿宋_GB2312" w:eastAsia="仿宋_GB2312"/>
          <w:sz w:val="24"/>
          <w:szCs w:val="24"/>
        </w:rPr>
        <w:t>（四）项目预算：</w:t>
      </w:r>
      <w:r>
        <w:rPr>
          <w:rFonts w:hint="eastAsia" w:ascii="仿宋_GB2312" w:eastAsia="仿宋_GB2312"/>
          <w:sz w:val="24"/>
          <w:szCs w:val="24"/>
          <w:lang w:val="en-US" w:eastAsia="zh-CN"/>
        </w:rPr>
        <w:t>29</w:t>
      </w:r>
      <w:r>
        <w:rPr>
          <w:rFonts w:hint="eastAsia" w:ascii="仿宋_GB2312" w:eastAsia="仿宋_GB2312"/>
          <w:sz w:val="24"/>
          <w:szCs w:val="24"/>
        </w:rPr>
        <w:t>万元</w:t>
      </w:r>
      <w:r>
        <w:rPr>
          <w:rFonts w:hint="eastAsia" w:ascii="仿宋_GB2312" w:eastAsia="仿宋_GB2312"/>
          <w:sz w:val="24"/>
          <w:szCs w:val="24"/>
          <w:lang w:val="en-US" w:eastAsia="zh-CN"/>
        </w:rPr>
        <w:t xml:space="preserve">\年    </w:t>
      </w:r>
      <w:bookmarkStart w:id="154" w:name="_GoBack"/>
      <w:bookmarkEnd w:id="154"/>
      <w:r>
        <w:rPr>
          <w:rFonts w:hint="eastAsia" w:ascii="仿宋_GB2312" w:eastAsia="仿宋_GB2312"/>
          <w:sz w:val="24"/>
          <w:szCs w:val="24"/>
          <w:lang w:val="en-US" w:eastAsia="zh-CN"/>
        </w:rPr>
        <w:t xml:space="preserve"> </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w:t>
      </w:r>
      <w:r>
        <w:rPr>
          <w:rFonts w:hint="eastAsia" w:ascii="仿宋_GB2312" w:eastAsia="仿宋_GB2312"/>
          <w:sz w:val="24"/>
          <w:szCs w:val="24"/>
          <w:lang w:val="en-US" w:eastAsia="zh-CN"/>
        </w:rPr>
        <w:t>1</w:t>
      </w:r>
      <w:r>
        <w:rPr>
          <w:rFonts w:hint="eastAsia" w:ascii="仿宋_GB2312" w:eastAsia="仿宋_GB2312"/>
          <w:sz w:val="24"/>
          <w:szCs w:val="24"/>
        </w:rPr>
        <w:t xml:space="preserve">）应具有中国注册会计师协会核发的会计师事务所资质； </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w:t>
      </w:r>
      <w:r>
        <w:rPr>
          <w:rFonts w:hint="eastAsia" w:ascii="仿宋_GB2312" w:eastAsia="仿宋_GB2312"/>
          <w:sz w:val="24"/>
          <w:szCs w:val="24"/>
          <w:lang w:val="en-US" w:eastAsia="zh-CN"/>
        </w:rPr>
        <w:t>2</w:t>
      </w:r>
      <w:r>
        <w:rPr>
          <w:rFonts w:hint="eastAsia" w:ascii="仿宋_GB2312" w:eastAsia="仿宋_GB2312"/>
          <w:sz w:val="24"/>
          <w:szCs w:val="24"/>
        </w:rPr>
        <w:t>）本项目不接受联合体投标。</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18</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24</w:t>
      </w:r>
      <w:r>
        <w:rPr>
          <w:rFonts w:hint="eastAsia" w:ascii="仿宋_GB2312" w:hAnsi="宋体" w:eastAsia="仿宋_GB2312" w:cs="宋体"/>
          <w:sz w:val="24"/>
          <w:szCs w:val="24"/>
          <w:lang w:val="zh-CN"/>
        </w:rPr>
        <w:t>日；</w:t>
      </w:r>
    </w:p>
    <w:p>
      <w:pPr>
        <w:pStyle w:val="19"/>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（二）报名方式：皖南医学院2022-2024年财务审计服务项目（项目编号：WYGZ2021</w:t>
      </w:r>
      <w:r>
        <w:rPr>
          <w:rFonts w:hint="eastAsia" w:ascii="仿宋_GB2312" w:eastAsia="仿宋_GB2312" w:cs="宋体"/>
          <w:sz w:val="24"/>
          <w:szCs w:val="24"/>
          <w:lang w:val="en-US" w:eastAsia="zh-CN"/>
        </w:rPr>
        <w:t>56</w:t>
      </w:r>
      <w:r>
        <w:rPr>
          <w:rFonts w:hint="eastAsia" w:ascii="仿宋_GB2312" w:eastAsia="仿宋_GB2312" w:cs="宋体"/>
          <w:sz w:val="24"/>
          <w:szCs w:val="24"/>
          <w:lang w:val="zh-CN"/>
        </w:rPr>
        <w:t>）已在皖南医学院网上采购平台（http://wnmc.youzhicai.com/）发布，请潜在供应商在皖南医学院网上采购平台参与项目报名。</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18</w:t>
      </w:r>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6843"/>
      <w:r>
        <w:rPr>
          <w:rFonts w:hint="eastAsia" w:ascii="华文中宋" w:hAnsi="华文中宋" w:eastAsia="华文中宋"/>
          <w:color w:val="auto"/>
        </w:rPr>
        <w:t>第二章  磋商须知前附表</w:t>
      </w:r>
      <w:bookmarkEnd w:id="1"/>
    </w:p>
    <w:tbl>
      <w:tblPr>
        <w:tblStyle w:val="21"/>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皖南医学院2022-2024年财务审计服务项目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15000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w:t>
            </w:r>
            <w:r>
              <w:rPr>
                <w:rFonts w:hint="eastAsia" w:ascii="仿宋_GB2312" w:hAnsi="仿宋_GB2312" w:eastAsia="仿宋_GB2312" w:cs="仿宋_GB2312"/>
                <w:kern w:val="0"/>
                <w:sz w:val="21"/>
                <w:szCs w:val="21"/>
                <w:lang w:val="en-US" w:eastAsia="zh-CN"/>
              </w:rPr>
              <w:t>1156履约保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19595"/>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403987205"/>
      <w:bookmarkStart w:id="4" w:name="_Toc16938519"/>
      <w:bookmarkStart w:id="5" w:name="_Toc120614214"/>
      <w:bookmarkStart w:id="6" w:name="_Toc513029203"/>
      <w:bookmarkStart w:id="7" w:name="_Toc20823275"/>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20823276"/>
      <w:bookmarkStart w:id="10" w:name="_Toc513029204"/>
      <w:bookmarkStart w:id="11" w:name="_Toc16938520"/>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2"/>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513029205"/>
      <w:bookmarkStart w:id="13" w:name="_Toc20823277"/>
      <w:bookmarkStart w:id="14" w:name="_Toc16938521"/>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2"/>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2"/>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513029206"/>
      <w:bookmarkStart w:id="16" w:name="_Toc16938522"/>
      <w:bookmarkStart w:id="17" w:name="_Toc20823278"/>
      <w:r>
        <w:rPr>
          <w:rFonts w:hint="eastAsia" w:ascii="仿宋_GB2312" w:eastAsia="仿宋_GB2312"/>
          <w:sz w:val="24"/>
          <w:szCs w:val="24"/>
        </w:rPr>
        <w:t>4.适用法律</w:t>
      </w:r>
      <w:bookmarkEnd w:id="15"/>
      <w:bookmarkEnd w:id="16"/>
      <w:bookmarkEnd w:id="17"/>
    </w:p>
    <w:p>
      <w:pPr>
        <w:pStyle w:val="32"/>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20823279"/>
      <w:bookmarkStart w:id="19" w:name="_Toc16938523"/>
      <w:bookmarkStart w:id="20" w:name="_Toc462564067"/>
      <w:bookmarkStart w:id="21" w:name="_Toc513029207"/>
      <w:r>
        <w:rPr>
          <w:rFonts w:hint="eastAsia" w:ascii="仿宋_GB2312" w:eastAsia="仿宋_GB2312"/>
          <w:sz w:val="24"/>
          <w:szCs w:val="24"/>
        </w:rPr>
        <w:t>5.磋商费用</w:t>
      </w:r>
      <w:bookmarkEnd w:id="18"/>
      <w:bookmarkEnd w:id="19"/>
      <w:bookmarkEnd w:id="20"/>
      <w:bookmarkEnd w:id="21"/>
    </w:p>
    <w:p>
      <w:pPr>
        <w:pStyle w:val="32"/>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2"/>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2"/>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513029209"/>
      <w:bookmarkStart w:id="23" w:name="_Toc120614215"/>
      <w:bookmarkStart w:id="24" w:name="_Toc20823281"/>
      <w:bookmarkStart w:id="25" w:name="_Toc403987206"/>
      <w:bookmarkStart w:id="26" w:name="_Toc16938525"/>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513029210"/>
      <w:bookmarkStart w:id="28" w:name="_Toc16938526"/>
      <w:bookmarkStart w:id="29" w:name="_Toc20823282"/>
      <w:r>
        <w:rPr>
          <w:rFonts w:hint="eastAsia" w:ascii="仿宋_GB2312" w:eastAsia="仿宋_GB2312"/>
          <w:sz w:val="24"/>
          <w:szCs w:val="24"/>
        </w:rPr>
        <w:t>1.磋商文件构成</w:t>
      </w:r>
      <w:bookmarkEnd w:id="27"/>
      <w:bookmarkEnd w:id="28"/>
      <w:bookmarkEnd w:id="29"/>
    </w:p>
    <w:p>
      <w:pPr>
        <w:pStyle w:val="32"/>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2"/>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2"/>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2"/>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2"/>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2"/>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2"/>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2"/>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513029211"/>
      <w:bookmarkStart w:id="31" w:name="_Toc20823283"/>
      <w:bookmarkStart w:id="32" w:name="_Toc16938527"/>
      <w:bookmarkStart w:id="33" w:name="_Toc462564070"/>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2"/>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462564072"/>
      <w:bookmarkStart w:id="35" w:name="_Toc513029213"/>
      <w:bookmarkStart w:id="36" w:name="_Toc120614216"/>
      <w:bookmarkStart w:id="37" w:name="_Toc20823285"/>
      <w:bookmarkStart w:id="38" w:name="_Toc403987207"/>
      <w:bookmarkStart w:id="39" w:name="_Toc16938529"/>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20823286"/>
      <w:bookmarkStart w:id="42" w:name="_Toc513029214"/>
      <w:bookmarkStart w:id="43" w:name="_Toc16938530"/>
      <w:bookmarkStart w:id="44" w:name="_Toc462564073"/>
      <w:r>
        <w:rPr>
          <w:rFonts w:hint="eastAsia" w:ascii="仿宋_GB2312" w:eastAsia="仿宋_GB2312"/>
          <w:sz w:val="24"/>
          <w:szCs w:val="24"/>
        </w:rPr>
        <w:t>3.响应文件的语言及度量衡单位</w:t>
      </w:r>
      <w:bookmarkEnd w:id="41"/>
      <w:bookmarkEnd w:id="42"/>
      <w:bookmarkEnd w:id="43"/>
      <w:bookmarkEnd w:id="44"/>
    </w:p>
    <w:p>
      <w:pPr>
        <w:pStyle w:val="32"/>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2"/>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20823287"/>
      <w:bookmarkStart w:id="46" w:name="_Toc16938531"/>
      <w:bookmarkStart w:id="47" w:name="_Toc513029215"/>
      <w:bookmarkStart w:id="48" w:name="_Toc462564074"/>
      <w:r>
        <w:rPr>
          <w:rFonts w:hint="eastAsia" w:ascii="仿宋_GB2312" w:eastAsia="仿宋_GB2312"/>
          <w:sz w:val="24"/>
          <w:szCs w:val="24"/>
        </w:rPr>
        <w:t>4.响应文件构成</w:t>
      </w:r>
      <w:bookmarkEnd w:id="45"/>
      <w:bookmarkEnd w:id="46"/>
      <w:bookmarkEnd w:id="47"/>
      <w:bookmarkEnd w:id="48"/>
    </w:p>
    <w:p>
      <w:pPr>
        <w:pStyle w:val="32"/>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2"/>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670360"/>
      <w:bookmarkEnd w:id="49"/>
      <w:bookmarkStart w:id="50" w:name="_Hlt26668975"/>
      <w:bookmarkEnd w:id="50"/>
      <w:bookmarkStart w:id="51" w:name="_Hlt26954838"/>
      <w:bookmarkEnd w:id="51"/>
      <w:bookmarkStart w:id="52" w:name="_Toc49090509"/>
      <w:bookmarkStart w:id="53" w:name="_Toc14577357"/>
      <w:bookmarkStart w:id="54" w:name="_Toc513029219"/>
      <w:bookmarkStart w:id="55" w:name="_Toc49090507"/>
      <w:bookmarkStart w:id="56" w:name="_Toc513029216"/>
      <w:bookmarkStart w:id="57" w:name="_Toc14577354"/>
      <w:r>
        <w:rPr>
          <w:rFonts w:hint="eastAsia" w:ascii="仿宋_GB2312" w:eastAsia="仿宋_GB2312"/>
          <w:sz w:val="24"/>
          <w:szCs w:val="24"/>
        </w:rPr>
        <w:t>5.证明供应商资格及符合磋商文件规定的文件</w:t>
      </w:r>
      <w:bookmarkEnd w:id="52"/>
      <w:bookmarkEnd w:id="53"/>
      <w:bookmarkEnd w:id="54"/>
    </w:p>
    <w:p>
      <w:pPr>
        <w:pStyle w:val="32"/>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2"/>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2"/>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2"/>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2"/>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2"/>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8"/>
      <w:bookmarkEnd w:id="63"/>
      <w:bookmarkStart w:id="64" w:name="_Hlt26670486"/>
      <w:bookmarkEnd w:id="64"/>
      <w:bookmarkStart w:id="65" w:name="_Hlt26954852"/>
      <w:bookmarkEnd w:id="65"/>
      <w:bookmarkStart w:id="66" w:name="_Hlt26954739"/>
      <w:bookmarkEnd w:id="66"/>
      <w:bookmarkStart w:id="67" w:name="_Hlt26670482"/>
      <w:bookmarkEnd w:id="67"/>
      <w:bookmarkStart w:id="68" w:name="_Hlt26954846"/>
      <w:bookmarkEnd w:id="68"/>
      <w:bookmarkStart w:id="69" w:name="_Hlt26954731"/>
      <w:bookmarkEnd w:id="69"/>
      <w:bookmarkStart w:id="70" w:name="_Toc49090512"/>
      <w:bookmarkStart w:id="71" w:name="_Toc14577361"/>
      <w:r>
        <w:rPr>
          <w:rFonts w:hint="eastAsia" w:ascii="仿宋_GB2312" w:eastAsia="仿宋_GB2312"/>
          <w:sz w:val="24"/>
          <w:szCs w:val="24"/>
          <w:lang w:val="en-US" w:eastAsia="zh-CN"/>
        </w:rPr>
        <w:t>8</w:t>
      </w:r>
      <w:r>
        <w:rPr>
          <w:rFonts w:hint="eastAsia" w:ascii="仿宋_GB2312" w:eastAsia="仿宋_GB2312"/>
          <w:sz w:val="24"/>
          <w:szCs w:val="24"/>
        </w:rPr>
        <w:t>.响应文件份数和签署</w:t>
      </w:r>
      <w:bookmarkEnd w:id="70"/>
      <w:bookmarkEnd w:id="71"/>
    </w:p>
    <w:p>
      <w:pPr>
        <w:pStyle w:val="32"/>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2"/>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2"/>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2" w:name="_Toc120614217"/>
      <w:bookmarkStart w:id="73" w:name="_Toc403987208"/>
      <w:bookmarkStart w:id="74" w:name="_Toc16938540"/>
      <w:bookmarkStart w:id="75" w:name="_Toc513029224"/>
      <w:bookmarkStart w:id="76" w:name="_Toc20823296"/>
      <w:r>
        <w:rPr>
          <w:rFonts w:hint="eastAsia" w:ascii="仿宋_GB2312" w:hAnsi="宋体" w:eastAsia="仿宋_GB2312"/>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仿宋_GB2312" w:eastAsia="仿宋_GB2312"/>
          <w:sz w:val="24"/>
          <w:szCs w:val="24"/>
        </w:rPr>
      </w:pPr>
      <w:bookmarkStart w:id="77" w:name="_Toc16938541"/>
      <w:bookmarkStart w:id="78" w:name="_Toc20823297"/>
      <w:bookmarkStart w:id="79" w:name="_Toc462564084"/>
      <w:bookmarkStart w:id="80" w:name="_Toc513029225"/>
      <w:r>
        <w:rPr>
          <w:rFonts w:hint="eastAsia" w:ascii="仿宋_GB2312" w:eastAsia="仿宋_GB2312"/>
          <w:sz w:val="24"/>
          <w:szCs w:val="24"/>
        </w:rPr>
        <w:t>1.响应文件的密封和标记</w:t>
      </w:r>
      <w:bookmarkEnd w:id="77"/>
      <w:bookmarkEnd w:id="78"/>
      <w:bookmarkEnd w:id="79"/>
      <w:bookmarkEnd w:id="80"/>
    </w:p>
    <w:p>
      <w:pPr>
        <w:pStyle w:val="32"/>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2"/>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2"/>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2"/>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2"/>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1" w:name="_Toc20823298"/>
      <w:bookmarkStart w:id="82" w:name="_Toc513029226"/>
      <w:bookmarkStart w:id="83" w:name="_Toc16938542"/>
      <w:r>
        <w:rPr>
          <w:rFonts w:hint="eastAsia" w:ascii="仿宋_GB2312" w:eastAsia="仿宋_GB2312"/>
          <w:sz w:val="24"/>
          <w:szCs w:val="24"/>
        </w:rPr>
        <w:t>2.响应文件提交截止</w:t>
      </w:r>
      <w:bookmarkEnd w:id="81"/>
      <w:bookmarkEnd w:id="82"/>
      <w:bookmarkEnd w:id="83"/>
      <w:r>
        <w:rPr>
          <w:rFonts w:hint="eastAsia" w:ascii="仿宋_GB2312" w:eastAsia="仿宋_GB2312"/>
          <w:sz w:val="24"/>
          <w:szCs w:val="24"/>
        </w:rPr>
        <w:t>时间</w:t>
      </w:r>
    </w:p>
    <w:p>
      <w:pPr>
        <w:pStyle w:val="32"/>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2"/>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2"/>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2"/>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84" w:name="_Toc16938547"/>
      <w:bookmarkStart w:id="85" w:name="_Toc20823303"/>
      <w:bookmarkStart w:id="86" w:name="_Toc513029231"/>
      <w:r>
        <w:rPr>
          <w:rFonts w:hint="eastAsia" w:ascii="仿宋_GB2312" w:eastAsia="仿宋_GB2312"/>
          <w:sz w:val="24"/>
          <w:szCs w:val="24"/>
        </w:rPr>
        <w:t>2.磋商小组</w:t>
      </w:r>
    </w:p>
    <w:p>
      <w:pPr>
        <w:pStyle w:val="32"/>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2"/>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87" w:name="_Toc20823304"/>
      <w:bookmarkStart w:id="88" w:name="_Toc513029232"/>
      <w:bookmarkStart w:id="89" w:name="_Toc16938548"/>
      <w:r>
        <w:rPr>
          <w:rFonts w:hint="eastAsia" w:ascii="仿宋_GB2312" w:eastAsia="仿宋_GB2312"/>
          <w:sz w:val="24"/>
          <w:szCs w:val="24"/>
        </w:rPr>
        <w:t>4.供应商澄清</w:t>
      </w:r>
      <w:bookmarkEnd w:id="87"/>
      <w:bookmarkEnd w:id="88"/>
      <w:bookmarkEnd w:id="89"/>
    </w:p>
    <w:p>
      <w:pPr>
        <w:adjustRightInd w:val="0"/>
        <w:snapToGrid w:val="0"/>
        <w:spacing w:line="360" w:lineRule="auto"/>
        <w:ind w:firstLine="480" w:firstLineChars="200"/>
        <w:rPr>
          <w:rFonts w:ascii="仿宋_GB2312" w:eastAsia="仿宋_GB2312"/>
          <w:sz w:val="24"/>
          <w:szCs w:val="24"/>
        </w:rPr>
      </w:pPr>
      <w:bookmarkStart w:id="90" w:name="_Toc513029233"/>
      <w:bookmarkStart w:id="91" w:name="_Toc20823305"/>
      <w:bookmarkStart w:id="92" w:name="_Toc16938549"/>
      <w:r>
        <w:rPr>
          <w:rFonts w:hint="eastAsia" w:ascii="仿宋_GB2312" w:eastAsia="仿宋_GB2312"/>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2"/>
        <w:snapToGrid w:val="0"/>
        <w:rPr>
          <w:rFonts w:ascii="仿宋_GB2312" w:hAnsi="宋体" w:eastAsia="仿宋_GB2312"/>
          <w:sz w:val="24"/>
          <w:szCs w:val="24"/>
        </w:rPr>
      </w:pPr>
      <w:bookmarkStart w:id="93" w:name="_Toc513029235"/>
      <w:bookmarkStart w:id="94" w:name="_Toc20823307"/>
      <w:bookmarkStart w:id="95" w:name="_Toc16938551"/>
      <w:r>
        <w:rPr>
          <w:rFonts w:hint="eastAsia" w:ascii="仿宋_GB2312" w:hAnsi="宋体" w:eastAsia="仿宋_GB2312"/>
          <w:sz w:val="24"/>
          <w:szCs w:val="24"/>
        </w:rPr>
        <w:t>（1）响应无效条款</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1</w:t>
      </w:r>
      <w:r>
        <w:rPr>
          <w:rFonts w:hint="eastAsia" w:ascii="仿宋_GB2312" w:hAnsi="宋体" w:eastAsia="仿宋_GB2312"/>
          <w:sz w:val="24"/>
          <w:szCs w:val="24"/>
        </w:rPr>
        <w:t>）未按照磋商文件规定要求密封、签署、盖章的；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2</w:t>
      </w:r>
      <w:r>
        <w:rPr>
          <w:rFonts w:hint="eastAsia" w:ascii="仿宋_GB2312" w:hAnsi="宋体" w:eastAsia="仿宋_GB2312"/>
          <w:sz w:val="24"/>
          <w:szCs w:val="24"/>
        </w:rPr>
        <w:t>）供应商不具备磋商文件中规定资格条件的；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3</w:t>
      </w:r>
      <w:r>
        <w:rPr>
          <w:rFonts w:hint="eastAsia" w:ascii="仿宋_GB2312" w:hAnsi="宋体" w:eastAsia="仿宋_GB2312"/>
          <w:sz w:val="24"/>
          <w:szCs w:val="24"/>
        </w:rPr>
        <w:t>）不符合法律、法规和磋商文件中规定的其他实质性要求的（本磋商文件中斜体且有下划线部分为实质性要求和条件）；</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4</w:t>
      </w:r>
      <w:r>
        <w:rPr>
          <w:rFonts w:hint="eastAsia" w:ascii="仿宋_GB2312" w:hAnsi="宋体" w:eastAsia="仿宋_GB2312"/>
          <w:sz w:val="24"/>
          <w:szCs w:val="24"/>
        </w:rPr>
        <w:t>）其他法律、法规及本磋商文件规定的属响应无效的情形。</w:t>
      </w:r>
    </w:p>
    <w:p>
      <w:pPr>
        <w:pStyle w:val="32"/>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仿宋_GB2312" w:eastAsia="仿宋_GB2312"/>
          <w:sz w:val="24"/>
          <w:szCs w:val="24"/>
        </w:rPr>
      </w:pPr>
      <w:bookmarkStart w:id="96" w:name="_Toc20823310"/>
      <w:bookmarkStart w:id="97" w:name="_Toc16938554"/>
      <w:r>
        <w:rPr>
          <w:rFonts w:hint="eastAsia" w:ascii="仿宋_GB2312" w:eastAsia="仿宋_GB2312"/>
          <w:sz w:val="24"/>
          <w:szCs w:val="24"/>
        </w:rPr>
        <w:t>8.确定</w:t>
      </w:r>
      <w:bookmarkEnd w:id="96"/>
      <w:bookmarkEnd w:id="97"/>
      <w:r>
        <w:rPr>
          <w:rFonts w:hint="eastAsia" w:ascii="仿宋_GB2312" w:eastAsia="仿宋_GB2312"/>
          <w:sz w:val="24"/>
          <w:szCs w:val="24"/>
        </w:rPr>
        <w:t>成交供应商</w:t>
      </w:r>
    </w:p>
    <w:p>
      <w:pPr>
        <w:pStyle w:val="32"/>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98" w:name="_Toc403987211"/>
      <w:bookmarkStart w:id="99" w:name="_Toc120614220"/>
      <w:bookmarkStart w:id="100" w:name="_Toc20823308"/>
      <w:bookmarkStart w:id="101" w:name="_Toc513029236"/>
      <w:bookmarkStart w:id="102" w:name="_Toc16938552"/>
      <w:r>
        <w:rPr>
          <w:rFonts w:hint="eastAsia" w:ascii="仿宋_GB2312" w:hAnsi="宋体" w:eastAsia="仿宋_GB2312"/>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16938553"/>
      <w:bookmarkStart w:id="104" w:name="_Toc513029237"/>
      <w:bookmarkStart w:id="105" w:name="_Toc20823309"/>
      <w:r>
        <w:rPr>
          <w:rFonts w:hint="eastAsia" w:ascii="仿宋_GB2312" w:eastAsia="仿宋_GB2312"/>
          <w:sz w:val="24"/>
          <w:szCs w:val="24"/>
        </w:rPr>
        <w:t>1.签订合同</w:t>
      </w:r>
    </w:p>
    <w:p>
      <w:pPr>
        <w:pStyle w:val="32"/>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2"/>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2"/>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2"/>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06" w:name="_Toc200451963"/>
      <w:r>
        <w:rPr>
          <w:rFonts w:hint="eastAsia" w:ascii="仿宋_GB2312" w:hAnsi="宋体" w:eastAsia="仿宋_GB2312"/>
          <w:sz w:val="24"/>
          <w:szCs w:val="24"/>
        </w:rPr>
        <w:t>，不足部分在双方签订合同前交齐。</w:t>
      </w:r>
    </w:p>
    <w:bookmarkEnd w:id="106"/>
    <w:p>
      <w:pPr>
        <w:pStyle w:val="32"/>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2"/>
        <w:snapToGrid w:val="0"/>
        <w:ind w:left="0" w:leftChars="0" w:right="280" w:rightChars="100" w:firstLine="0" w:firstLineChars="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left="0" w:leftChars="0" w:right="280" w:rightChars="100" w:firstLine="0" w:firstLineChars="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hint="eastAsia" w:ascii="华文中宋" w:hAnsi="华文中宋" w:eastAsia="华文中宋" w:cs="华文中宋"/>
          <w:b/>
          <w:bCs/>
          <w:kern w:val="0"/>
          <w:sz w:val="36"/>
          <w:szCs w:val="36"/>
        </w:rPr>
      </w:pPr>
      <w:r>
        <w:rPr>
          <w:rFonts w:hint="eastAsia" w:ascii="华文中宋" w:hAnsi="华文中宋" w:eastAsia="华文中宋" w:cs="华文中宋"/>
          <w:szCs w:val="36"/>
          <w:lang w:eastAsia="zh-CN"/>
        </w:rPr>
        <w:tab/>
      </w:r>
      <w:r>
        <w:rPr>
          <w:rFonts w:hint="eastAsia" w:ascii="华文中宋" w:hAnsi="华文中宋" w:eastAsia="华文中宋" w:cs="华文中宋"/>
          <w:sz w:val="36"/>
          <w:szCs w:val="36"/>
          <w:lang w:eastAsia="zh-CN"/>
        </w:rPr>
        <w:t>第四章</w:t>
      </w:r>
      <w:r>
        <w:rPr>
          <w:rFonts w:hint="eastAsia" w:ascii="华文中宋" w:hAnsi="华文中宋" w:eastAsia="华文中宋" w:cs="华文中宋"/>
          <w:b/>
          <w:bCs/>
          <w:sz w:val="36"/>
          <w:szCs w:val="36"/>
          <w:lang w:eastAsia="zh-CN"/>
        </w:rPr>
        <w:t>皖南医学院</w:t>
      </w:r>
      <w:r>
        <w:rPr>
          <w:rFonts w:hint="eastAsia" w:ascii="华文中宋" w:hAnsi="华文中宋" w:eastAsia="华文中宋" w:cs="华文中宋"/>
          <w:b/>
          <w:bCs/>
          <w:kern w:val="0"/>
          <w:sz w:val="36"/>
          <w:szCs w:val="36"/>
        </w:rPr>
        <w:t>2022-2024年财务审计服务</w:t>
      </w:r>
    </w:p>
    <w:p>
      <w:pPr>
        <w:spacing w:line="360" w:lineRule="auto"/>
        <w:jc w:val="center"/>
        <w:rPr>
          <w:rFonts w:ascii="仿宋_GB2312" w:hAnsi="宋体" w:eastAsia="仿宋_GB2312" w:cs="宋体"/>
          <w:b/>
          <w:kern w:val="0"/>
          <w:sz w:val="32"/>
          <w:szCs w:val="32"/>
        </w:rPr>
      </w:pPr>
      <w:r>
        <w:rPr>
          <w:rFonts w:hint="eastAsia" w:ascii="华文中宋" w:hAnsi="华文中宋" w:eastAsia="华文中宋" w:cs="华文中宋"/>
          <w:b/>
          <w:bCs/>
          <w:kern w:val="0"/>
          <w:sz w:val="36"/>
          <w:szCs w:val="36"/>
        </w:rPr>
        <w:t>项目</w:t>
      </w:r>
      <w:r>
        <w:rPr>
          <w:rFonts w:hint="eastAsia" w:ascii="华文中宋" w:hAnsi="华文中宋" w:eastAsia="华文中宋" w:cs="华文中宋"/>
          <w:b/>
          <w:kern w:val="0"/>
          <w:sz w:val="36"/>
          <w:szCs w:val="36"/>
        </w:rPr>
        <w:t>合同</w:t>
      </w:r>
    </w:p>
    <w:p>
      <w:pPr>
        <w:spacing w:line="360" w:lineRule="auto"/>
        <w:jc w:val="left"/>
        <w:rPr>
          <w:rFonts w:hint="eastAsia" w:ascii="仿宋_GB2312" w:hAnsi="宋体" w:eastAsia="仿宋_GB2312" w:cs="宋体"/>
          <w:b/>
          <w:kern w:val="0"/>
          <w:sz w:val="24"/>
          <w:lang w:val="en-US" w:eastAsia="zh-CN"/>
        </w:rPr>
      </w:pPr>
      <w:r>
        <w:rPr>
          <w:rFonts w:hint="eastAsia" w:ascii="仿宋_GB2312" w:hAnsi="宋体" w:eastAsia="仿宋_GB2312" w:cs="宋体"/>
          <w:b/>
          <w:kern w:val="0"/>
          <w:sz w:val="24"/>
        </w:rPr>
        <w:t xml:space="preserve">                                 </w:t>
      </w:r>
      <w:r>
        <w:rPr>
          <w:rFonts w:hint="eastAsia" w:ascii="仿宋_GB2312" w:hAnsi="宋体" w:eastAsia="仿宋_GB2312" w:cs="宋体"/>
          <w:b/>
          <w:kern w:val="0"/>
          <w:sz w:val="24"/>
          <w:lang w:val="en-US" w:eastAsia="zh-CN"/>
        </w:rPr>
        <w:t xml:space="preserve">        </w:t>
      </w:r>
    </w:p>
    <w:p>
      <w:pPr>
        <w:spacing w:line="480" w:lineRule="exact"/>
        <w:rPr>
          <w:rFonts w:hint="eastAsia" w:ascii="Arial" w:hAnsi="Arial"/>
          <w:sz w:val="24"/>
        </w:rPr>
      </w:pPr>
      <w:r>
        <w:rPr>
          <w:rFonts w:hint="eastAsia" w:ascii="Arial" w:hAnsi="Arial"/>
          <w:sz w:val="24"/>
        </w:rPr>
        <w:t xml:space="preserve">                                               合同编号：</w:t>
      </w:r>
      <w:r>
        <w:rPr>
          <w:rFonts w:hint="eastAsia" w:ascii="Arial" w:hAnsi="Arial"/>
          <w:sz w:val="24"/>
          <w:u w:val="single"/>
        </w:rPr>
        <w:t xml:space="preserve">            </w:t>
      </w:r>
      <w:r>
        <w:rPr>
          <w:rFonts w:hint="eastAsia" w:ascii="Arial" w:hAnsi="Arial"/>
          <w:sz w:val="24"/>
        </w:rPr>
        <w:t xml:space="preserve"> </w:t>
      </w:r>
    </w:p>
    <w:p>
      <w:pPr>
        <w:spacing w:line="480" w:lineRule="exact"/>
        <w:rPr>
          <w:rFonts w:ascii="Arial" w:hAnsi="Arial"/>
          <w:sz w:val="24"/>
        </w:rPr>
      </w:pPr>
    </w:p>
    <w:p>
      <w:pPr>
        <w:spacing w:line="480" w:lineRule="exact"/>
        <w:rPr>
          <w:rFonts w:ascii="仿宋" w:hAnsi="仿宋" w:eastAsia="仿宋"/>
          <w:szCs w:val="28"/>
        </w:rPr>
      </w:pPr>
      <w:r>
        <w:rPr>
          <w:rFonts w:hint="eastAsia" w:ascii="仿宋" w:hAnsi="仿宋" w:eastAsia="仿宋"/>
          <w:szCs w:val="28"/>
        </w:rPr>
        <w:t>买  方：皖南医学院                        电话：XXX-XXXXXX</w:t>
      </w:r>
    </w:p>
    <w:p>
      <w:pPr>
        <w:spacing w:line="480" w:lineRule="exact"/>
        <w:rPr>
          <w:rFonts w:hint="eastAsia" w:ascii="仿宋" w:hAnsi="仿宋" w:eastAsia="仿宋"/>
          <w:szCs w:val="28"/>
        </w:rPr>
      </w:pPr>
      <w:r>
        <w:rPr>
          <w:rFonts w:hint="eastAsia" w:ascii="仿宋" w:hAnsi="仿宋" w:eastAsia="仿宋"/>
          <w:szCs w:val="28"/>
        </w:rPr>
        <w:t>卖  方：XXXXXXXXXXXX                      电话：</w:t>
      </w:r>
      <w:r>
        <w:rPr>
          <w:rFonts w:ascii="仿宋" w:hAnsi="仿宋" w:eastAsia="仿宋"/>
          <w:szCs w:val="28"/>
        </w:rPr>
        <w:t xml:space="preserve"> </w:t>
      </w:r>
      <w:r>
        <w:rPr>
          <w:rFonts w:hint="eastAsia" w:ascii="仿宋" w:hAnsi="仿宋" w:eastAsia="仿宋"/>
          <w:szCs w:val="28"/>
        </w:rPr>
        <w:t>XXX-XXXXXX</w:t>
      </w:r>
    </w:p>
    <w:p>
      <w:pPr>
        <w:rPr>
          <w:rFonts w:hint="eastAsia" w:ascii="仿宋" w:hAnsi="仿宋" w:eastAsia="仿宋"/>
          <w:sz w:val="32"/>
          <w:szCs w:val="32"/>
        </w:rPr>
      </w:pPr>
      <w:r>
        <w:rPr>
          <w:rFonts w:hint="eastAsia" w:ascii="仿宋" w:hAnsi="仿宋" w:eastAsia="仿宋"/>
          <w:sz w:val="32"/>
          <w:szCs w:val="32"/>
        </w:rPr>
        <w:t xml:space="preserve">    </w:t>
      </w:r>
    </w:p>
    <w:p>
      <w:pPr>
        <w:spacing w:line="360" w:lineRule="auto"/>
        <w:ind w:firstLine="784" w:firstLineChars="280"/>
        <w:rPr>
          <w:rFonts w:hint="default" w:ascii="仿宋" w:hAnsi="仿宋" w:eastAsia="仿宋"/>
          <w:szCs w:val="28"/>
          <w:lang w:val="en-US" w:eastAsia="zh-CN"/>
        </w:rPr>
      </w:pPr>
      <w:r>
        <w:rPr>
          <w:rFonts w:hint="eastAsia" w:ascii="仿宋" w:hAnsi="仿宋" w:eastAsia="仿宋"/>
          <w:szCs w:val="28"/>
        </w:rPr>
        <w:t>买方通过</w:t>
      </w:r>
      <w:r>
        <w:rPr>
          <w:rFonts w:hint="eastAsia" w:ascii="仿宋" w:hAnsi="仿宋" w:eastAsia="仿宋"/>
          <w:szCs w:val="28"/>
          <w:u w:val="single"/>
        </w:rPr>
        <w:t xml:space="preserve">        </w:t>
      </w:r>
      <w:r>
        <w:rPr>
          <w:rFonts w:hint="eastAsia" w:ascii="仿宋" w:hAnsi="仿宋" w:eastAsia="仿宋"/>
          <w:szCs w:val="28"/>
        </w:rPr>
        <w:t>组织的</w:t>
      </w:r>
      <w:r>
        <w:rPr>
          <w:rFonts w:hint="eastAsia" w:ascii="仿宋" w:hAnsi="仿宋" w:eastAsia="仿宋"/>
          <w:szCs w:val="28"/>
          <w:u w:val="single"/>
        </w:rPr>
        <w:t xml:space="preserve">          </w:t>
      </w:r>
      <w:r>
        <w:rPr>
          <w:rFonts w:hint="eastAsia" w:ascii="仿宋" w:hAnsi="仿宋" w:eastAsia="仿宋"/>
          <w:szCs w:val="28"/>
        </w:rPr>
        <w:t>方式采购活动，经评审，</w:t>
      </w:r>
      <w:r>
        <w:rPr>
          <w:rFonts w:hint="eastAsia" w:ascii="仿宋" w:hAnsi="仿宋" w:eastAsia="仿宋"/>
          <w:szCs w:val="28"/>
          <w:lang w:val="en-US" w:eastAsia="zh-CN"/>
        </w:rPr>
        <w:t xml:space="preserve">V      V   V V </w:t>
      </w:r>
    </w:p>
    <w:p>
      <w:pPr>
        <w:numPr>
          <w:ilvl w:val="0"/>
          <w:numId w:val="2"/>
        </w:numPr>
        <w:rPr>
          <w:rFonts w:hint="eastAsia" w:ascii="黑体" w:hAnsi="黑体" w:eastAsia="黑体"/>
          <w:b/>
          <w:szCs w:val="28"/>
        </w:rPr>
      </w:pPr>
      <w:r>
        <w:rPr>
          <w:rFonts w:hint="eastAsia" w:ascii="黑体" w:hAnsi="黑体" w:eastAsia="黑体"/>
          <w:b/>
          <w:szCs w:val="28"/>
        </w:rPr>
        <w:t>服务名称及内容</w:t>
      </w:r>
    </w:p>
    <w:p>
      <w:pPr>
        <w:ind w:left="645"/>
        <w:rPr>
          <w:rFonts w:hint="eastAsia" w:ascii="仿宋" w:hAnsi="仿宋" w:eastAsia="仿宋"/>
          <w:szCs w:val="28"/>
        </w:rPr>
      </w:pPr>
      <w:r>
        <w:rPr>
          <w:rFonts w:hint="eastAsia" w:ascii="仿宋" w:hAnsi="仿宋" w:eastAsia="仿宋"/>
          <w:szCs w:val="28"/>
        </w:rPr>
        <w:t>本合同采购服务名称和内容同采购文件规定。</w:t>
      </w:r>
    </w:p>
    <w:p>
      <w:pPr>
        <w:ind w:firstLine="540"/>
        <w:rPr>
          <w:rFonts w:hint="eastAsia" w:ascii="黑体" w:hAnsi="黑体" w:eastAsia="黑体"/>
          <w:b/>
          <w:szCs w:val="28"/>
        </w:rPr>
      </w:pPr>
      <w:r>
        <w:rPr>
          <w:rFonts w:hint="eastAsia" w:ascii="黑体" w:hAnsi="黑体" w:eastAsia="黑体"/>
          <w:b/>
          <w:szCs w:val="28"/>
        </w:rPr>
        <w:t>二、组成合同的文件</w:t>
      </w:r>
    </w:p>
    <w:p>
      <w:pPr>
        <w:ind w:firstLine="540"/>
        <w:rPr>
          <w:rFonts w:hint="eastAsia" w:ascii="仿宋" w:hAnsi="仿宋" w:eastAsia="仿宋"/>
          <w:szCs w:val="28"/>
        </w:rPr>
      </w:pPr>
      <w:r>
        <w:rPr>
          <w:rFonts w:hint="eastAsia" w:ascii="仿宋" w:hAnsi="仿宋" w:eastAsia="仿宋"/>
          <w:szCs w:val="28"/>
        </w:rPr>
        <w:t>组成本合同的文件包括：</w:t>
      </w:r>
    </w:p>
    <w:p>
      <w:pPr>
        <w:numPr>
          <w:ilvl w:val="0"/>
          <w:numId w:val="3"/>
        </w:numPr>
        <w:rPr>
          <w:rFonts w:hint="eastAsia" w:ascii="仿宋" w:hAnsi="仿宋" w:eastAsia="仿宋"/>
          <w:szCs w:val="28"/>
        </w:rPr>
      </w:pPr>
      <w:r>
        <w:rPr>
          <w:rFonts w:hint="eastAsia" w:ascii="仿宋" w:hAnsi="仿宋" w:eastAsia="仿宋"/>
          <w:szCs w:val="28"/>
        </w:rPr>
        <w:t>采购文件及答疑、更正公告</w:t>
      </w:r>
      <w:r>
        <w:rPr>
          <w:rFonts w:ascii="仿宋" w:hAnsi="仿宋" w:eastAsia="仿宋"/>
          <w:szCs w:val="28"/>
        </w:rPr>
        <w:t>;</w:t>
      </w:r>
    </w:p>
    <w:p>
      <w:pPr>
        <w:numPr>
          <w:ilvl w:val="0"/>
          <w:numId w:val="3"/>
        </w:numPr>
        <w:rPr>
          <w:rFonts w:hint="eastAsia" w:ascii="仿宋" w:hAnsi="仿宋" w:eastAsia="仿宋"/>
          <w:szCs w:val="28"/>
        </w:rPr>
      </w:pPr>
      <w:r>
        <w:rPr>
          <w:rFonts w:hint="eastAsia" w:ascii="仿宋" w:hAnsi="仿宋" w:eastAsia="仿宋"/>
          <w:szCs w:val="28"/>
        </w:rPr>
        <w:t>采购文件标准文本中的“合同条款”；</w:t>
      </w:r>
    </w:p>
    <w:p>
      <w:pPr>
        <w:numPr>
          <w:ilvl w:val="0"/>
          <w:numId w:val="3"/>
        </w:numPr>
        <w:rPr>
          <w:rFonts w:hint="eastAsia" w:ascii="仿宋" w:hAnsi="仿宋" w:eastAsia="仿宋"/>
          <w:szCs w:val="28"/>
        </w:rPr>
      </w:pPr>
      <w:r>
        <w:rPr>
          <w:rFonts w:ascii="仿宋" w:hAnsi="仿宋" w:eastAsia="仿宋"/>
          <w:szCs w:val="28"/>
        </w:rPr>
        <w:t>中标</w:t>
      </w:r>
      <w:r>
        <w:rPr>
          <w:rFonts w:hint="eastAsia" w:ascii="仿宋" w:hAnsi="仿宋" w:eastAsia="仿宋"/>
          <w:szCs w:val="28"/>
        </w:rPr>
        <w:t>或成交</w:t>
      </w:r>
      <w:r>
        <w:rPr>
          <w:rFonts w:ascii="仿宋" w:hAnsi="仿宋" w:eastAsia="仿宋"/>
          <w:szCs w:val="28"/>
        </w:rPr>
        <w:t>公告</w:t>
      </w:r>
      <w:r>
        <w:rPr>
          <w:rFonts w:hint="eastAsia" w:ascii="仿宋" w:hAnsi="仿宋" w:eastAsia="仿宋"/>
          <w:szCs w:val="28"/>
        </w:rPr>
        <w:t>；</w:t>
      </w:r>
    </w:p>
    <w:p>
      <w:pPr>
        <w:numPr>
          <w:ilvl w:val="0"/>
          <w:numId w:val="3"/>
        </w:numPr>
        <w:rPr>
          <w:rFonts w:hint="eastAsia" w:ascii="仿宋" w:hAnsi="仿宋" w:eastAsia="仿宋"/>
          <w:szCs w:val="28"/>
        </w:rPr>
      </w:pPr>
      <w:r>
        <w:rPr>
          <w:rFonts w:hint="eastAsia" w:ascii="仿宋" w:hAnsi="仿宋" w:eastAsia="仿宋"/>
          <w:szCs w:val="28"/>
        </w:rPr>
        <w:t>卖方提交的投标文件及书面承诺函；</w:t>
      </w:r>
    </w:p>
    <w:p>
      <w:pPr>
        <w:numPr>
          <w:ilvl w:val="0"/>
          <w:numId w:val="3"/>
        </w:numPr>
        <w:rPr>
          <w:rFonts w:ascii="仿宋" w:hAnsi="仿宋" w:eastAsia="仿宋"/>
          <w:szCs w:val="28"/>
        </w:rPr>
      </w:pPr>
      <w:r>
        <w:rPr>
          <w:rFonts w:hint="eastAsia" w:ascii="仿宋" w:hAnsi="仿宋" w:eastAsia="仿宋"/>
          <w:szCs w:val="28"/>
        </w:rPr>
        <w:t>双方</w:t>
      </w:r>
      <w:r>
        <w:rPr>
          <w:rFonts w:ascii="仿宋" w:hAnsi="仿宋" w:eastAsia="仿宋"/>
          <w:szCs w:val="28"/>
        </w:rPr>
        <w:t>另行签订的</w:t>
      </w:r>
      <w:r>
        <w:rPr>
          <w:rFonts w:hint="eastAsia" w:ascii="仿宋" w:hAnsi="仿宋" w:eastAsia="仿宋"/>
          <w:szCs w:val="28"/>
        </w:rPr>
        <w:t>补充协议。</w:t>
      </w:r>
    </w:p>
    <w:p>
      <w:pPr>
        <w:rPr>
          <w:rFonts w:hint="eastAsia" w:ascii="黑体" w:hAnsi="黑体" w:eastAsia="黑体"/>
          <w:szCs w:val="28"/>
        </w:rPr>
      </w:pPr>
      <w:r>
        <w:rPr>
          <w:rFonts w:hint="eastAsia" w:ascii="仿宋" w:hAnsi="仿宋" w:eastAsia="仿宋"/>
          <w:b/>
          <w:szCs w:val="28"/>
        </w:rPr>
        <w:t xml:space="preserve">    </w:t>
      </w:r>
      <w:r>
        <w:rPr>
          <w:rFonts w:hint="eastAsia" w:ascii="黑体" w:hAnsi="黑体" w:eastAsia="黑体"/>
          <w:b/>
          <w:szCs w:val="28"/>
        </w:rPr>
        <w:t>三、</w:t>
      </w:r>
      <w:r>
        <w:rPr>
          <w:rFonts w:ascii="黑体" w:hAnsi="黑体" w:eastAsia="黑体"/>
          <w:b/>
          <w:szCs w:val="28"/>
        </w:rPr>
        <w:t xml:space="preserve"> </w:t>
      </w:r>
      <w:r>
        <w:rPr>
          <w:rFonts w:hint="eastAsia" w:ascii="黑体" w:hAnsi="黑体" w:eastAsia="黑体"/>
          <w:szCs w:val="28"/>
        </w:rPr>
        <w:t>本合同的总金额为￥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w:t>
      </w:r>
    </w:p>
    <w:p>
      <w:pPr>
        <w:ind w:firstLine="562" w:firstLineChars="200"/>
        <w:rPr>
          <w:rFonts w:hint="eastAsia" w:ascii="黑体" w:hAnsi="黑体" w:eastAsia="黑体"/>
          <w:b/>
          <w:szCs w:val="28"/>
        </w:rPr>
      </w:pPr>
      <w:r>
        <w:rPr>
          <w:rFonts w:hint="eastAsia" w:ascii="黑体" w:hAnsi="黑体" w:eastAsia="黑体"/>
          <w:b/>
          <w:szCs w:val="28"/>
        </w:rPr>
        <w:t>四、服务期限</w:t>
      </w:r>
    </w:p>
    <w:p>
      <w:pPr>
        <w:ind w:firstLine="645"/>
        <w:rPr>
          <w:rFonts w:hint="eastAsia" w:ascii="黑体" w:hAnsi="黑体" w:eastAsia="黑体"/>
          <w:b/>
        </w:rPr>
      </w:pPr>
      <w:r>
        <w:rPr>
          <w:rFonts w:hint="eastAsia"/>
        </w:rPr>
        <w:t>卖方应于合同签字生效后开始计算的</w:t>
      </w:r>
      <w:r>
        <w:rPr>
          <w:rFonts w:hint="eastAsia"/>
          <w:b/>
          <w:u w:val="single"/>
        </w:rPr>
        <w:t xml:space="preserve">    </w:t>
      </w:r>
      <w:r>
        <w:rPr>
          <w:rFonts w:hint="eastAsia"/>
        </w:rPr>
        <w:t>日内完成合同规定的服务内容，由买方进行验收。</w:t>
      </w:r>
    </w:p>
    <w:p>
      <w:pPr>
        <w:widowControl/>
        <w:spacing w:line="15" w:lineRule="atLeast"/>
        <w:ind w:firstLine="555"/>
        <w:rPr>
          <w:rFonts w:hint="eastAsia" w:ascii="黑体" w:hAnsi="黑体" w:eastAsia="黑体"/>
          <w:b/>
          <w:szCs w:val="28"/>
        </w:rPr>
      </w:pPr>
      <w:r>
        <w:rPr>
          <w:rFonts w:hint="eastAsia" w:ascii="黑体" w:hAnsi="黑体" w:eastAsia="黑体"/>
          <w:b/>
          <w:szCs w:val="28"/>
        </w:rPr>
        <w:t>五、验收要求</w:t>
      </w:r>
    </w:p>
    <w:p>
      <w:pPr>
        <w:widowControl/>
        <w:spacing w:line="15" w:lineRule="atLeast"/>
        <w:ind w:firstLine="555"/>
        <w:rPr>
          <w:rFonts w:hint="eastAsia"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spacing w:line="360" w:lineRule="auto"/>
        <w:ind w:firstLine="560" w:firstLineChars="200"/>
        <w:rPr>
          <w:rFonts w:hint="eastAsia" w:ascii="仿宋" w:hAnsi="仿宋" w:eastAsia="仿宋"/>
          <w:szCs w:val="28"/>
        </w:rPr>
      </w:pPr>
      <w:r>
        <w:rPr>
          <w:rFonts w:hint="eastAsia" w:ascii="仿宋" w:hAnsi="仿宋" w:eastAsia="仿宋"/>
          <w:szCs w:val="28"/>
        </w:rPr>
        <w:t>卖方保证提供的服务质量应符合中华人民共和国相关标准及相应的技术规范、本次采购相关文件中的全部相关要求及卖方相关服务标准及相应的技术规范中之较高者</w:t>
      </w:r>
      <w:r>
        <w:rPr>
          <w:rFonts w:hint="eastAsia" w:ascii="宋体" w:hAnsi="宋体" w:eastAsia="宋体"/>
          <w:szCs w:val="28"/>
        </w:rPr>
        <w:t>。</w:t>
      </w:r>
    </w:p>
    <w:p>
      <w:pPr>
        <w:widowControl/>
        <w:spacing w:line="15" w:lineRule="atLeast"/>
        <w:ind w:firstLine="562" w:firstLineChars="200"/>
        <w:rPr>
          <w:rFonts w:hint="eastAsia" w:ascii="楷体" w:hAnsi="楷体" w:eastAsia="楷体"/>
          <w:b/>
          <w:szCs w:val="28"/>
        </w:rPr>
      </w:pPr>
      <w:r>
        <w:rPr>
          <w:rFonts w:hint="eastAsia" w:ascii="楷体" w:hAnsi="楷体" w:eastAsia="楷体"/>
          <w:b/>
          <w:szCs w:val="28"/>
        </w:rPr>
        <w:t>（二）验收组织</w:t>
      </w:r>
    </w:p>
    <w:p>
      <w:pPr>
        <w:widowControl/>
        <w:spacing w:line="15" w:lineRule="atLeast"/>
        <w:ind w:firstLine="560" w:firstLineChars="200"/>
        <w:rPr>
          <w:rFonts w:hint="eastAsia" w:ascii="楷体" w:hAnsi="楷体" w:eastAsia="楷体"/>
          <w:b/>
          <w:szCs w:val="28"/>
        </w:rPr>
      </w:pPr>
      <w:r>
        <w:rPr>
          <w:rFonts w:hint="eastAsia" w:ascii="仿宋" w:hAnsi="仿宋" w:eastAsia="仿宋"/>
          <w:szCs w:val="28"/>
        </w:rPr>
        <w:t>买方负责组织验收工作</w:t>
      </w:r>
      <w:r>
        <w:rPr>
          <w:rFonts w:hint="eastAsia" w:ascii="仿宋" w:hAnsi="仿宋" w:eastAsia="仿宋"/>
          <w:color w:val="333333"/>
          <w:szCs w:val="28"/>
        </w:rPr>
        <w:t>。</w:t>
      </w:r>
    </w:p>
    <w:p>
      <w:pPr>
        <w:widowControl/>
        <w:spacing w:line="15" w:lineRule="atLeast"/>
        <w:ind w:firstLine="562" w:firstLineChars="200"/>
        <w:rPr>
          <w:rFonts w:hint="eastAsia" w:ascii="楷体" w:hAnsi="楷体" w:eastAsia="楷体" w:cs="宋体"/>
          <w:b/>
          <w:kern w:val="0"/>
          <w:szCs w:val="28"/>
        </w:rPr>
      </w:pPr>
      <w:r>
        <w:rPr>
          <w:rFonts w:hint="eastAsia" w:ascii="楷体" w:hAnsi="楷体" w:eastAsia="楷体"/>
          <w:b/>
          <w:color w:val="333333"/>
          <w:szCs w:val="28"/>
          <w:shd w:val="clear" w:color="auto" w:fill="FFFFFF"/>
        </w:rPr>
        <w:t>（三）</w:t>
      </w:r>
      <w:r>
        <w:rPr>
          <w:rFonts w:hint="eastAsia" w:ascii="楷体" w:hAnsi="楷体" w:eastAsia="楷体" w:cs="宋体"/>
          <w:b/>
          <w:kern w:val="0"/>
          <w:szCs w:val="28"/>
        </w:rPr>
        <w:t>验收程序</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1、成立验收小组，</w:t>
      </w:r>
      <w:r>
        <w:rPr>
          <w:rFonts w:hint="eastAsia" w:ascii="仿宋" w:hAnsi="仿宋" w:eastAsia="仿宋"/>
          <w:szCs w:val="28"/>
        </w:rPr>
        <w:t>验收人员应由买方代表和技术专家组成</w:t>
      </w:r>
      <w:r>
        <w:rPr>
          <w:rFonts w:hint="eastAsia" w:ascii="仿宋" w:hAnsi="仿宋" w:eastAsia="仿宋" w:cs="宋体"/>
          <w:kern w:val="0"/>
          <w:szCs w:val="28"/>
        </w:rPr>
        <w:t>。</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2、验收方出具验收报告。</w:t>
      </w:r>
    </w:p>
    <w:p>
      <w:pPr>
        <w:ind w:firstLine="645"/>
        <w:rPr>
          <w:rFonts w:ascii="黑体" w:hAnsi="黑体" w:eastAsia="黑体"/>
          <w:b/>
          <w:szCs w:val="28"/>
        </w:rPr>
      </w:pPr>
      <w:r>
        <w:rPr>
          <w:rFonts w:hint="eastAsia" w:ascii="黑体" w:hAnsi="黑体" w:eastAsia="黑体"/>
          <w:b/>
          <w:szCs w:val="28"/>
        </w:rPr>
        <w:t>六、付款方式</w:t>
      </w:r>
    </w:p>
    <w:p>
      <w:pPr>
        <w:ind w:firstLine="560" w:firstLineChars="200"/>
        <w:rPr>
          <w:rFonts w:hint="eastAsia" w:ascii="仿宋" w:hAnsi="仿宋" w:eastAsia="仿宋"/>
          <w:szCs w:val="28"/>
        </w:rPr>
      </w:pPr>
      <w:r>
        <w:rPr>
          <w:rFonts w:hint="eastAsia" w:ascii="仿宋" w:hAnsi="仿宋" w:eastAsia="仿宋"/>
          <w:color w:val="FF0000"/>
          <w:szCs w:val="28"/>
        </w:rPr>
        <w:t xml:space="preserve"> (可编辑)</w:t>
      </w:r>
      <w:r>
        <w:rPr>
          <w:rFonts w:hint="eastAsia" w:ascii="仿宋" w:hAnsi="仿宋" w:eastAsia="仿宋"/>
          <w:szCs w:val="28"/>
        </w:rPr>
        <w:t xml:space="preserve"> </w:t>
      </w:r>
    </w:p>
    <w:p>
      <w:pPr>
        <w:pStyle w:val="3"/>
        <w:ind w:left="942" w:leftChars="200" w:hanging="382" w:hangingChars="136"/>
        <w:rPr>
          <w:rFonts w:hint="eastAsia"/>
          <w:sz w:val="28"/>
          <w:szCs w:val="28"/>
        </w:rPr>
      </w:pPr>
      <w:bookmarkStart w:id="107" w:name="_Toc11842"/>
      <w:r>
        <w:rPr>
          <w:rFonts w:hint="eastAsia" w:ascii="黑体" w:hAnsi="黑体" w:eastAsia="黑体"/>
          <w:sz w:val="28"/>
          <w:szCs w:val="28"/>
        </w:rPr>
        <w:t>七、售后服务</w:t>
      </w:r>
      <w:bookmarkEnd w:id="107"/>
    </w:p>
    <w:p>
      <w:pPr>
        <w:adjustRightInd w:val="0"/>
        <w:snapToGrid w:val="0"/>
        <w:spacing w:line="360" w:lineRule="auto"/>
        <w:ind w:left="1120" w:leftChars="200" w:hanging="560" w:hangingChars="200"/>
        <w:rPr>
          <w:rFonts w:hint="eastAsia" w:ascii="宋体" w:hAnsi="宋体"/>
          <w:szCs w:val="28"/>
        </w:rPr>
      </w:pPr>
      <w:r>
        <w:rPr>
          <w:rFonts w:hint="eastAsia" w:ascii="宋体" w:hAnsi="宋体"/>
          <w:szCs w:val="28"/>
        </w:rPr>
        <w:t>（一）卖方对合同服务的质量保修期为验收报告签署之日起</w:t>
      </w:r>
      <w:r>
        <w:rPr>
          <w:rFonts w:hint="eastAsia" w:ascii="宋体" w:hAnsi="宋体"/>
          <w:szCs w:val="28"/>
          <w:u w:val="single"/>
        </w:rPr>
        <w:t xml:space="preserve">   </w:t>
      </w:r>
      <w:r>
        <w:rPr>
          <w:rFonts w:hint="eastAsia" w:ascii="宋体" w:hAnsi="宋体"/>
          <w:szCs w:val="28"/>
        </w:rPr>
        <w:t>个月。</w:t>
      </w:r>
    </w:p>
    <w:p>
      <w:pPr>
        <w:spacing w:line="360" w:lineRule="auto"/>
        <w:ind w:firstLine="560" w:firstLineChars="200"/>
        <w:rPr>
          <w:rFonts w:ascii="宋体" w:hAnsi="宋体" w:eastAsia="宋体"/>
          <w:szCs w:val="28"/>
        </w:rPr>
      </w:pPr>
      <w:r>
        <w:rPr>
          <w:rFonts w:hint="eastAsia" w:ascii="宋体" w:hAnsi="宋体"/>
          <w:szCs w:val="28"/>
        </w:rPr>
        <w:t>（二）</w:t>
      </w:r>
      <w:r>
        <w:rPr>
          <w:rFonts w:hint="eastAsia" w:ascii="仿宋" w:hAnsi="仿宋" w:eastAsia="仿宋"/>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 w:hAnsi="仿宋" w:eastAsia="仿宋"/>
          <w:szCs w:val="28"/>
          <w:u w:val="single"/>
        </w:rPr>
        <w:t xml:space="preserve">     天</w:t>
      </w:r>
      <w:r>
        <w:rPr>
          <w:rFonts w:hint="eastAsia" w:ascii="仿宋" w:hAnsi="仿宋" w:eastAsia="仿宋"/>
          <w:szCs w:val="28"/>
        </w:rPr>
        <w:t>内免费维修或更换有缺陷的部分。</w:t>
      </w:r>
    </w:p>
    <w:p>
      <w:pPr>
        <w:spacing w:line="360" w:lineRule="auto"/>
        <w:ind w:firstLine="560" w:firstLineChars="200"/>
        <w:rPr>
          <w:rFonts w:ascii="仿宋" w:hAnsi="仿宋" w:eastAsia="仿宋"/>
          <w:szCs w:val="28"/>
        </w:rPr>
      </w:pPr>
      <w:r>
        <w:rPr>
          <w:rFonts w:hint="eastAsia" w:ascii="宋体" w:hAnsi="宋体"/>
          <w:szCs w:val="28"/>
        </w:rPr>
        <w:t>（三）</w:t>
      </w:r>
      <w:r>
        <w:rPr>
          <w:rFonts w:hint="eastAsia" w:ascii="仿宋" w:hAnsi="仿宋" w:eastAsia="仿宋"/>
          <w:szCs w:val="28"/>
        </w:rPr>
        <w:t>如卖方在收到通知后在合同规定时间内，没有弥补缺陷，买方可采取必要的补救措施，但由此引发的风险和费用将由卖方承担。</w:t>
      </w:r>
    </w:p>
    <w:p>
      <w:pPr>
        <w:ind w:firstLine="540"/>
        <w:rPr>
          <w:rFonts w:hint="eastAsia" w:ascii="黑体" w:hAnsi="黑体" w:eastAsia="黑体"/>
          <w:szCs w:val="28"/>
        </w:rPr>
      </w:pPr>
      <w:r>
        <w:rPr>
          <w:rFonts w:hint="eastAsia" w:ascii="黑体" w:hAnsi="黑体" w:eastAsia="黑体"/>
          <w:szCs w:val="28"/>
        </w:rPr>
        <w:t>八、履约保证金</w:t>
      </w:r>
    </w:p>
    <w:p>
      <w:pPr>
        <w:ind w:left="160" w:leftChars="57" w:firstLine="330" w:firstLineChars="118"/>
        <w:rPr>
          <w:rFonts w:hint="eastAsia" w:ascii="仿宋" w:hAnsi="仿宋" w:eastAsia="仿宋"/>
          <w:szCs w:val="28"/>
        </w:rPr>
      </w:pPr>
      <w:r>
        <w:rPr>
          <w:rFonts w:hint="eastAsia" w:ascii="仿宋" w:hAnsi="仿宋" w:eastAsia="仿宋"/>
          <w:szCs w:val="28"/>
        </w:rPr>
        <w:t xml:space="preserve">  本项目履约保证金为￥</w:t>
      </w:r>
      <w:r>
        <w:rPr>
          <w:rFonts w:hint="eastAsia" w:ascii="仿宋" w:hAnsi="仿宋" w:eastAsia="仿宋"/>
          <w:szCs w:val="28"/>
          <w:u w:val="single"/>
        </w:rPr>
        <w:t xml:space="preserve">           </w:t>
      </w:r>
      <w:r>
        <w:rPr>
          <w:rFonts w:hint="eastAsia" w:ascii="仿宋" w:hAnsi="仿宋" w:eastAsia="仿宋"/>
          <w:szCs w:val="28"/>
        </w:rPr>
        <w:t>元(人民币大写：</w:t>
      </w:r>
      <w:r>
        <w:rPr>
          <w:rFonts w:hint="eastAsia" w:ascii="仿宋" w:hAnsi="仿宋" w:eastAsia="仿宋"/>
          <w:szCs w:val="28"/>
          <w:u w:val="single"/>
        </w:rPr>
        <w:t xml:space="preserve">       </w:t>
      </w:r>
      <w:r>
        <w:rPr>
          <w:rFonts w:hint="eastAsia" w:ascii="仿宋" w:hAnsi="仿宋" w:eastAsia="仿宋"/>
          <w:szCs w:val="28"/>
        </w:rPr>
        <w:t>)，收受人为</w:t>
      </w:r>
      <w:r>
        <w:rPr>
          <w:rFonts w:hint="eastAsia" w:ascii="仿宋" w:hAnsi="仿宋" w:eastAsia="仿宋"/>
          <w:szCs w:val="28"/>
          <w:u w:val="single"/>
        </w:rPr>
        <w:t xml:space="preserve">           </w:t>
      </w:r>
      <w:r>
        <w:rPr>
          <w:rFonts w:hint="eastAsia" w:ascii="仿宋" w:hAnsi="仿宋" w:eastAsia="仿宋"/>
          <w:szCs w:val="28"/>
        </w:rPr>
        <w:t>，期限为验收合格后</w:t>
      </w:r>
      <w:r>
        <w:rPr>
          <w:rFonts w:hint="eastAsia" w:ascii="仿宋" w:hAnsi="仿宋" w:eastAsia="仿宋"/>
          <w:b/>
          <w:szCs w:val="28"/>
          <w:u w:val="single"/>
        </w:rPr>
        <w:t xml:space="preserve">     </w:t>
      </w:r>
      <w:r>
        <w:rPr>
          <w:rFonts w:hint="eastAsia" w:ascii="仿宋" w:hAnsi="仿宋" w:eastAsia="仿宋"/>
          <w:szCs w:val="28"/>
        </w:rPr>
        <w:t>。如卖方</w:t>
      </w:r>
      <w:r>
        <w:rPr>
          <w:rFonts w:hint="eastAsia" w:ascii="仿宋" w:hAnsi="仿宋" w:eastAsia="仿宋"/>
          <w:color w:val="000000"/>
          <w:szCs w:val="28"/>
        </w:rPr>
        <w:t>未能按期履行合同，买方可从履约保证金中获得经济上的赔偿。</w:t>
      </w:r>
    </w:p>
    <w:p>
      <w:pPr>
        <w:ind w:firstLine="540"/>
        <w:rPr>
          <w:rFonts w:hint="eastAsia" w:ascii="黑体" w:hAnsi="黑体" w:eastAsia="黑体"/>
          <w:szCs w:val="28"/>
        </w:rPr>
      </w:pPr>
      <w:r>
        <w:rPr>
          <w:rFonts w:hint="eastAsia" w:ascii="黑体" w:hAnsi="黑体" w:eastAsia="黑体"/>
          <w:szCs w:val="28"/>
        </w:rPr>
        <w:t>九、违约责任</w:t>
      </w:r>
    </w:p>
    <w:p>
      <w:pPr>
        <w:ind w:firstLine="560" w:firstLineChars="200"/>
        <w:rPr>
          <w:rFonts w:hint="eastAsia" w:ascii="仿宋" w:hAnsi="仿宋" w:eastAsia="仿宋"/>
          <w:color w:val="000000"/>
          <w:szCs w:val="28"/>
        </w:rPr>
      </w:pPr>
      <w:r>
        <w:rPr>
          <w:rFonts w:hint="eastAsia" w:ascii="仿宋" w:hAnsi="仿宋" w:eastAsia="仿宋"/>
          <w:szCs w:val="28"/>
        </w:rPr>
        <w:t>（一）卖方服务期限超过合同约定服务期限。</w:t>
      </w:r>
      <w:r>
        <w:rPr>
          <w:rFonts w:hint="eastAsia" w:ascii="仿宋" w:hAnsi="仿宋" w:eastAsia="仿宋"/>
          <w:color w:val="000000"/>
          <w:szCs w:val="28"/>
        </w:rPr>
        <w:t>如果卖方由于自身的原因未能按期履行完合同，买方可从履约保证金中获得经济上的赔偿。其标准为按每延期一周收取合同金额的</w:t>
      </w:r>
      <w:r>
        <w:rPr>
          <w:rFonts w:ascii="仿宋" w:hAnsi="仿宋" w:eastAsia="仿宋"/>
          <w:color w:val="000000"/>
          <w:szCs w:val="28"/>
          <w:u w:val="single"/>
        </w:rPr>
        <w:t xml:space="preserve">      </w:t>
      </w:r>
      <w:r>
        <w:rPr>
          <w:rFonts w:ascii="仿宋" w:hAnsi="仿宋" w:eastAsia="仿宋"/>
          <w:color w:val="000000"/>
          <w:szCs w:val="28"/>
        </w:rPr>
        <w:t>%</w:t>
      </w:r>
      <w:r>
        <w:rPr>
          <w:rFonts w:hint="eastAsia" w:ascii="仿宋" w:hAnsi="仿宋" w:eastAsia="仿宋"/>
          <w:color w:val="000000"/>
          <w:szCs w:val="28"/>
        </w:rPr>
        <w:t>，但误期赔偿费总额不得超过履约保证金总额。一周按7天计算，不足7天按一周计算。在此情况下，卖方不得要求买方退还其履约保证金。</w:t>
      </w:r>
    </w:p>
    <w:p>
      <w:pPr>
        <w:ind w:firstLine="540"/>
        <w:rPr>
          <w:rFonts w:hint="eastAsia" w:ascii="仿宋" w:hAnsi="仿宋" w:eastAsia="仿宋"/>
          <w:szCs w:val="28"/>
        </w:rPr>
      </w:pPr>
      <w:r>
        <w:rPr>
          <w:rFonts w:hint="eastAsia" w:ascii="仿宋" w:hAnsi="仿宋" w:eastAsia="仿宋"/>
          <w:szCs w:val="28"/>
        </w:rPr>
        <w:t>（二）卖方服务期限内未能履约。</w:t>
      </w:r>
      <w:r>
        <w:rPr>
          <w:rFonts w:hint="eastAsia" w:ascii="仿宋" w:hAnsi="仿宋" w:eastAsia="仿宋"/>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 w:hAnsi="仿宋" w:eastAsia="仿宋"/>
          <w:szCs w:val="28"/>
        </w:rPr>
        <w:t>卖方必须在买方规定的时间内提供符合质量标准的服务，由此造成的误期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赔偿费按照前款约定执行。如卖方在买方规定的时间内未能提供符合质量标准的服务，买方有权终止合同，没收履约保证金。若为政府采购项目，买方有权</w:t>
      </w:r>
      <w:r>
        <w:rPr>
          <w:rFonts w:hint="eastAsia" w:ascii="仿宋" w:hAnsi="仿宋" w:eastAsia="仿宋"/>
          <w:szCs w:val="28"/>
        </w:rPr>
        <w:t>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firstLine="560" w:firstLineChars="200"/>
        <w:rPr>
          <w:rFonts w:hint="eastAsia" w:ascii="仿宋" w:hAnsi="仿宋" w:eastAsia="仿宋"/>
          <w:szCs w:val="28"/>
        </w:rPr>
      </w:pPr>
      <w:r>
        <w:rPr>
          <w:rFonts w:hint="eastAsia" w:ascii="仿宋" w:hAnsi="仿宋" w:eastAsia="仿宋"/>
          <w:szCs w:val="28"/>
        </w:rPr>
        <w:t>（三）卖方履约不符合约定的质量标准，卖方必须重新提供符合质量标准的服务，由此造成的误期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w:t>
      </w:r>
      <w:r>
        <w:rPr>
          <w:rFonts w:hint="eastAsia" w:ascii="仿宋" w:hAnsi="仿宋" w:eastAsia="仿宋"/>
          <w:szCs w:val="28"/>
        </w:rPr>
        <w:t>并追究对学校造成的经济损失。</w:t>
      </w:r>
    </w:p>
    <w:p>
      <w:pPr>
        <w:ind w:firstLine="560" w:firstLineChars="200"/>
        <w:rPr>
          <w:rFonts w:hint="eastAsia" w:ascii="仿宋" w:hAnsi="仿宋" w:eastAsia="仿宋"/>
          <w:szCs w:val="28"/>
        </w:rPr>
      </w:pPr>
      <w:r>
        <w:rPr>
          <w:rFonts w:hint="eastAsia" w:ascii="仿宋" w:hAnsi="仿宋" w:eastAsia="仿宋"/>
          <w:szCs w:val="28"/>
        </w:rPr>
        <w:t>（四）卖方将合同转包、擅自变更、中止或者终止合同的，买方有</w:t>
      </w:r>
      <w:r>
        <w:rPr>
          <w:rFonts w:ascii="仿宋" w:hAnsi="仿宋" w:eastAsia="仿宋"/>
          <w:szCs w:val="28"/>
        </w:rPr>
        <w:t>权终止合同，</w:t>
      </w:r>
      <w:r>
        <w:rPr>
          <w:rFonts w:hint="eastAsia" w:ascii="仿宋" w:hAnsi="仿宋" w:eastAsia="仿宋"/>
          <w:szCs w:val="28"/>
        </w:rPr>
        <w:t>没收履约保证金。若为政府采购项目，买方有权提请政府采购监管部门将卖方列入不良行为记录名单，在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left="700" w:leftChars="200" w:hanging="140" w:hangingChars="50"/>
        <w:rPr>
          <w:rFonts w:hint="eastAsia" w:ascii="仿宋" w:hAnsi="仿宋" w:eastAsia="仿宋"/>
          <w:szCs w:val="28"/>
        </w:rPr>
      </w:pPr>
      <w:r>
        <w:rPr>
          <w:rFonts w:hint="eastAsia" w:ascii="仿宋" w:hAnsi="仿宋" w:eastAsia="仿宋"/>
          <w:szCs w:val="28"/>
        </w:rPr>
        <w:t>（五）买方违反合同规定拒绝接收服务的，应当承担由此造成的损失。</w:t>
      </w:r>
    </w:p>
    <w:p>
      <w:pPr>
        <w:pStyle w:val="6"/>
        <w:spacing w:before="120" w:after="120" w:line="360" w:lineRule="auto"/>
        <w:ind w:firstLine="422" w:firstLineChars="150"/>
        <w:rPr>
          <w:rFonts w:ascii="Times New Roman" w:hAnsi="Times New Roman"/>
          <w:bCs w:val="0"/>
          <w:color w:val="000000"/>
        </w:rPr>
      </w:pPr>
      <w:r>
        <w:rPr>
          <w:rFonts w:hint="eastAsia" w:ascii="黑体" w:hAnsi="黑体"/>
        </w:rPr>
        <w:t>十、</w:t>
      </w:r>
      <w:r>
        <w:rPr>
          <w:rFonts w:hint="eastAsia" w:ascii="黑体" w:hAnsi="黑体"/>
          <w:b w:val="0"/>
        </w:rPr>
        <w:t>合同</w:t>
      </w:r>
      <w:r>
        <w:rPr>
          <w:rFonts w:ascii="Times New Roman" w:hAnsi="Times New Roman"/>
          <w:b w:val="0"/>
          <w:color w:val="000000"/>
        </w:rPr>
        <w:t>签订地点</w:t>
      </w:r>
    </w:p>
    <w:p>
      <w:pPr>
        <w:ind w:firstLine="540"/>
        <w:rPr>
          <w:rFonts w:hint="eastAsia" w:ascii="黑体" w:hAnsi="黑体" w:eastAsia="黑体"/>
          <w:szCs w:val="28"/>
        </w:rPr>
      </w:pPr>
      <w:r>
        <w:rPr>
          <w:bCs/>
          <w:color w:val="000000"/>
          <w:szCs w:val="28"/>
        </w:rPr>
        <w:t>本合同在</w:t>
      </w:r>
      <w:r>
        <w:rPr>
          <w:rFonts w:hint="eastAsia"/>
          <w:bCs/>
          <w:color w:val="000000"/>
          <w:szCs w:val="28"/>
          <w:u w:val="single"/>
        </w:rPr>
        <w:t>皖南医学院滨江校区</w:t>
      </w:r>
      <w:r>
        <w:rPr>
          <w:bCs/>
          <w:color w:val="000000"/>
          <w:szCs w:val="28"/>
        </w:rPr>
        <w:t>签订。</w:t>
      </w:r>
    </w:p>
    <w:p>
      <w:pPr>
        <w:pStyle w:val="3"/>
        <w:ind w:left="940" w:leftChars="200" w:hanging="380" w:hangingChars="136"/>
        <w:rPr>
          <w:rFonts w:hint="eastAsia" w:ascii="黑体" w:hAnsi="黑体" w:eastAsia="黑体"/>
          <w:b w:val="0"/>
          <w:sz w:val="28"/>
          <w:szCs w:val="28"/>
        </w:rPr>
      </w:pPr>
      <w:bookmarkStart w:id="108" w:name="_Toc8600"/>
      <w:r>
        <w:rPr>
          <w:rFonts w:hint="eastAsia" w:ascii="黑体" w:hAnsi="黑体" w:eastAsia="黑体"/>
          <w:b w:val="0"/>
          <w:bCs w:val="0"/>
          <w:color w:val="000000"/>
          <w:sz w:val="28"/>
          <w:szCs w:val="28"/>
        </w:rPr>
        <w:t>十一、</w:t>
      </w:r>
      <w:r>
        <w:rPr>
          <w:rFonts w:hint="eastAsia" w:ascii="宋体" w:hAnsi="宋体" w:eastAsia="宋体" w:cs="宋体"/>
          <w:b w:val="0"/>
          <w:sz w:val="28"/>
          <w:szCs w:val="28"/>
        </w:rPr>
        <w:t>合同的终止</w:t>
      </w:r>
      <w:bookmarkEnd w:id="108"/>
    </w:p>
    <w:p>
      <w:pPr>
        <w:adjustRightInd w:val="0"/>
        <w:snapToGrid w:val="0"/>
        <w:spacing w:line="360" w:lineRule="auto"/>
        <w:ind w:firstLine="560" w:firstLineChars="200"/>
        <w:rPr>
          <w:rFonts w:hint="eastAsia" w:ascii="宋体" w:hAnsi="宋体"/>
          <w:szCs w:val="28"/>
        </w:rPr>
      </w:pPr>
      <w:r>
        <w:rPr>
          <w:rFonts w:hint="eastAsia" w:ascii="宋体" w:hAnsi="宋体"/>
          <w:szCs w:val="28"/>
        </w:rPr>
        <w:t>（一）本合同因下列原因而终止：</w:t>
      </w:r>
    </w:p>
    <w:p>
      <w:pPr>
        <w:adjustRightInd w:val="0"/>
        <w:snapToGrid w:val="0"/>
        <w:spacing w:line="360" w:lineRule="auto"/>
        <w:ind w:firstLine="560" w:firstLineChars="200"/>
        <w:rPr>
          <w:rFonts w:hint="eastAsia" w:ascii="宋体" w:hAnsi="宋体"/>
          <w:szCs w:val="28"/>
        </w:rPr>
      </w:pPr>
      <w:r>
        <w:rPr>
          <w:rFonts w:hint="eastAsia" w:ascii="仿宋" w:hAnsi="仿宋" w:eastAsia="仿宋" w:cs="宋体"/>
          <w:kern w:val="0"/>
          <w:szCs w:val="28"/>
        </w:rPr>
        <w:t>1、</w:t>
      </w:r>
      <w:r>
        <w:rPr>
          <w:rFonts w:hint="eastAsia" w:ascii="宋体" w:hAnsi="宋体"/>
          <w:szCs w:val="28"/>
        </w:rPr>
        <w:t>本合同正常履行完毕；</w:t>
      </w:r>
    </w:p>
    <w:p>
      <w:pPr>
        <w:adjustRightInd w:val="0"/>
        <w:snapToGrid w:val="0"/>
        <w:spacing w:line="360" w:lineRule="auto"/>
        <w:ind w:firstLine="560" w:firstLineChars="200"/>
        <w:rPr>
          <w:rFonts w:hint="eastAsia" w:ascii="宋体" w:hAnsi="宋体"/>
          <w:szCs w:val="28"/>
        </w:rPr>
      </w:pPr>
      <w:r>
        <w:rPr>
          <w:rFonts w:hint="eastAsia" w:ascii="宋体" w:hAnsi="宋体"/>
          <w:szCs w:val="28"/>
        </w:rPr>
        <w:t>2、合同双方协议终止本合同的履行；</w:t>
      </w:r>
    </w:p>
    <w:p>
      <w:pPr>
        <w:adjustRightInd w:val="0"/>
        <w:snapToGrid w:val="0"/>
        <w:spacing w:line="360" w:lineRule="auto"/>
        <w:ind w:firstLine="560" w:firstLineChars="200"/>
        <w:rPr>
          <w:rFonts w:hint="eastAsia" w:ascii="宋体" w:hAnsi="宋体"/>
          <w:szCs w:val="28"/>
        </w:rPr>
      </w:pPr>
      <w:r>
        <w:rPr>
          <w:rFonts w:hint="eastAsia" w:ascii="宋体" w:hAnsi="宋体"/>
          <w:szCs w:val="28"/>
        </w:rPr>
        <w:t>3、不可抗力事件导致本合同无法履行或履行不必要；</w:t>
      </w:r>
    </w:p>
    <w:p>
      <w:pPr>
        <w:adjustRightInd w:val="0"/>
        <w:snapToGrid w:val="0"/>
        <w:spacing w:line="360" w:lineRule="auto"/>
        <w:ind w:firstLine="560" w:firstLineChars="200"/>
        <w:rPr>
          <w:rFonts w:hint="eastAsia" w:ascii="宋体" w:hAnsi="宋体"/>
          <w:szCs w:val="28"/>
        </w:rPr>
      </w:pPr>
      <w:r>
        <w:rPr>
          <w:rFonts w:hint="eastAsia" w:ascii="宋体" w:hAnsi="宋体"/>
          <w:szCs w:val="28"/>
        </w:rPr>
        <w:t>4、符合本合同约定的其他终止合同的条款。</w:t>
      </w:r>
    </w:p>
    <w:p>
      <w:pPr>
        <w:adjustRightInd w:val="0"/>
        <w:snapToGrid w:val="0"/>
        <w:spacing w:line="360" w:lineRule="auto"/>
        <w:ind w:firstLine="560" w:firstLineChars="200"/>
        <w:rPr>
          <w:rFonts w:hint="eastAsia" w:ascii="黑体" w:hAnsi="黑体" w:eastAsia="黑体"/>
          <w:bCs/>
          <w:color w:val="000000"/>
          <w:sz w:val="30"/>
          <w:szCs w:val="30"/>
        </w:rPr>
      </w:pPr>
      <w:r>
        <w:rPr>
          <w:rFonts w:hint="eastAsia" w:ascii="宋体" w:hAnsi="宋体"/>
          <w:szCs w:val="28"/>
        </w:rPr>
        <w:t>（二）对本合同终止有过错的一方应赔偿另一方因合同终止而受到的损失。对合同终止双方均无过错的，则各自承担所受到的损失。</w:t>
      </w:r>
    </w:p>
    <w:p>
      <w:pPr>
        <w:ind w:firstLine="540"/>
        <w:rPr>
          <w:rFonts w:hint="eastAsia" w:ascii="黑体" w:hAnsi="黑体" w:eastAsia="黑体"/>
          <w:szCs w:val="28"/>
        </w:rPr>
      </w:pPr>
      <w:r>
        <w:rPr>
          <w:rFonts w:hint="eastAsia" w:ascii="黑体" w:hAnsi="黑体" w:eastAsia="黑体"/>
          <w:bCs/>
          <w:color w:val="000000"/>
          <w:sz w:val="30"/>
          <w:szCs w:val="30"/>
        </w:rPr>
        <w:t>十二、</w:t>
      </w:r>
      <w:r>
        <w:rPr>
          <w:rFonts w:hint="eastAsia" w:ascii="黑体" w:hAnsi="黑体" w:eastAsia="黑体"/>
          <w:szCs w:val="28"/>
        </w:rPr>
        <w:t>其他</w:t>
      </w:r>
    </w:p>
    <w:p>
      <w:pPr>
        <w:spacing w:line="360" w:lineRule="auto"/>
        <w:ind w:firstLine="560" w:firstLineChars="200"/>
        <w:rPr>
          <w:rFonts w:hint="eastAsia" w:ascii="仿宋_GB2312" w:hAnsi="仿宋"/>
          <w:szCs w:val="28"/>
        </w:rPr>
      </w:pPr>
      <w:r>
        <w:rPr>
          <w:rFonts w:hint="eastAsia" w:ascii="仿宋_GB2312" w:hAnsi="仿宋"/>
          <w:szCs w:val="28"/>
        </w:rPr>
        <w:t>（一）买卖双方必须严格按照采购文件、投标文件及有关承诺签订采购合同，不得擅自变更。合同执行期内，买卖双方均不得随意变更或解除合同。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hint="eastAsia" w:ascii="仿宋_GB2312" w:hAnsi="仿宋" w:cs="宋体"/>
          <w:kern w:val="0"/>
          <w:szCs w:val="28"/>
        </w:rPr>
      </w:pPr>
      <w:r>
        <w:rPr>
          <w:rFonts w:hint="eastAsia" w:ascii="仿宋_GB2312" w:hAnsi="仿宋" w:cs="宋体"/>
          <w:kern w:val="0"/>
          <w:szCs w:val="28"/>
        </w:rPr>
        <w:t>（二）本合同执行期间，如遇不可抗力，致使合同无法履行时，买卖双方应按有关法律规定及时协商处理。</w:t>
      </w:r>
    </w:p>
    <w:p>
      <w:pPr>
        <w:spacing w:line="360" w:lineRule="auto"/>
        <w:ind w:firstLine="560" w:firstLineChars="200"/>
        <w:rPr>
          <w:rFonts w:hint="eastAsia" w:ascii="仿宋_GB2312" w:hAnsi="仿宋"/>
          <w:b/>
          <w:bCs/>
          <w:color w:val="000000"/>
          <w:szCs w:val="28"/>
        </w:rPr>
      </w:pPr>
      <w:r>
        <w:rPr>
          <w:rFonts w:hint="eastAsia" w:ascii="仿宋_GB2312" w:hAnsi="仿宋"/>
          <w:bCs/>
          <w:color w:val="000000"/>
          <w:szCs w:val="28"/>
        </w:rPr>
        <w:t>（三）合同未尽事宜，</w:t>
      </w:r>
      <w:r>
        <w:rPr>
          <w:rFonts w:hint="eastAsia" w:ascii="仿宋_GB2312" w:hAnsi="仿宋"/>
          <w:szCs w:val="28"/>
        </w:rPr>
        <w:t>买卖双方</w:t>
      </w:r>
      <w:r>
        <w:rPr>
          <w:rFonts w:hint="eastAsia" w:ascii="仿宋_GB2312" w:hAnsi="仿宋"/>
          <w:bCs/>
          <w:color w:val="000000"/>
          <w:szCs w:val="28"/>
        </w:rPr>
        <w:t>另行签订补充协议，补充协议是合同的组成部分。</w:t>
      </w:r>
    </w:p>
    <w:p>
      <w:pPr>
        <w:widowControl/>
        <w:spacing w:line="360" w:lineRule="auto"/>
        <w:ind w:firstLine="560" w:firstLineChars="200"/>
        <w:jc w:val="left"/>
        <w:rPr>
          <w:rFonts w:hint="eastAsia" w:ascii="仿宋_GB2312" w:hAnsi="仿宋"/>
          <w:b/>
          <w:szCs w:val="28"/>
        </w:rPr>
      </w:pPr>
      <w:r>
        <w:rPr>
          <w:rFonts w:hint="eastAsia" w:ascii="仿宋_GB2312" w:hAnsi="仿宋" w:cs="宋体"/>
          <w:kern w:val="0"/>
          <w:szCs w:val="28"/>
        </w:rPr>
        <w:t>（四）本合同如发生纠纷，买卖双方应当及时协商解决，协商不成时，向</w:t>
      </w:r>
      <w:r>
        <w:rPr>
          <w:rFonts w:hint="eastAsia" w:ascii="仿宋_GB2312" w:hAnsi="仿宋" w:cs="宋体"/>
          <w:kern w:val="0"/>
          <w:szCs w:val="28"/>
          <w:u w:val="single"/>
        </w:rPr>
        <w:t xml:space="preserve"> 买方所在地  </w:t>
      </w:r>
      <w:r>
        <w:rPr>
          <w:rFonts w:hint="eastAsia" w:ascii="仿宋_GB2312" w:hAnsi="仿宋" w:cs="宋体"/>
          <w:kern w:val="0"/>
          <w:szCs w:val="28"/>
        </w:rPr>
        <w:t>人民法院起诉。</w:t>
      </w:r>
      <w:r>
        <w:rPr>
          <w:rFonts w:hint="eastAsia" w:ascii="仿宋_GB2312" w:hAnsi="仿宋"/>
          <w:b/>
          <w:szCs w:val="28"/>
        </w:rPr>
        <w:t xml:space="preserve">   </w:t>
      </w:r>
    </w:p>
    <w:p>
      <w:pPr>
        <w:ind w:firstLine="540"/>
        <w:rPr>
          <w:rFonts w:hint="eastAsia" w:ascii="仿宋_GB2312" w:hAnsi="仿宋"/>
          <w:b/>
          <w:szCs w:val="28"/>
        </w:rPr>
      </w:pPr>
      <w:r>
        <w:rPr>
          <w:rFonts w:hint="eastAsia" w:ascii="仿宋_GB2312" w:hAnsi="仿宋"/>
          <w:szCs w:val="28"/>
        </w:rPr>
        <w:t>本合同一式陆份，自买卖双方法定代表人或委托代理人签字加盖单位公章后生效。</w:t>
      </w:r>
    </w:p>
    <w:p>
      <w:pPr>
        <w:rPr>
          <w:rFonts w:hint="eastAsia" w:ascii="仿宋_GB2312" w:hAnsi="仿宋"/>
          <w:szCs w:val="28"/>
        </w:rPr>
      </w:pPr>
      <w:r>
        <w:rPr>
          <w:rFonts w:hint="eastAsia" w:ascii="仿宋_GB2312" w:hAnsi="仿宋"/>
          <w:szCs w:val="28"/>
        </w:rPr>
        <w:t>买    方：</w:t>
      </w:r>
      <w:r>
        <w:rPr>
          <w:rFonts w:hint="eastAsia" w:ascii="仿宋_GB2312" w:hAnsi="仿宋"/>
          <w:szCs w:val="28"/>
          <w:u w:val="single"/>
        </w:rPr>
        <w:t xml:space="preserve">            </w:t>
      </w:r>
      <w:r>
        <w:rPr>
          <w:rFonts w:hint="eastAsia" w:ascii="仿宋_GB2312" w:hAnsi="仿宋"/>
          <w:szCs w:val="28"/>
        </w:rPr>
        <w:t xml:space="preserve">               卖    方：</w:t>
      </w:r>
      <w:r>
        <w:rPr>
          <w:rFonts w:hint="eastAsia" w:ascii="仿宋_GB2312" w:hAnsi="仿宋"/>
          <w:szCs w:val="28"/>
          <w:u w:val="single"/>
        </w:rPr>
        <w:t xml:space="preserve">            </w:t>
      </w:r>
      <w:r>
        <w:rPr>
          <w:rFonts w:hint="eastAsia" w:ascii="仿宋_GB2312" w:hAnsi="仿宋"/>
          <w:szCs w:val="28"/>
        </w:rPr>
        <w:t xml:space="preserve"> </w:t>
      </w:r>
    </w:p>
    <w:p>
      <w:pPr>
        <w:spacing w:line="480" w:lineRule="exact"/>
        <w:rPr>
          <w:rFonts w:hint="eastAsia" w:ascii="仿宋_GB2312" w:hAnsi="仿宋"/>
          <w:szCs w:val="28"/>
        </w:rPr>
      </w:pPr>
      <w:r>
        <w:rPr>
          <w:rFonts w:hint="eastAsia" w:ascii="仿宋_GB2312" w:hAnsi="仿宋"/>
          <w:szCs w:val="28"/>
        </w:rPr>
        <w:t>单位盖章：                           单位盖章：</w:t>
      </w:r>
    </w:p>
    <w:p>
      <w:pPr>
        <w:spacing w:line="480" w:lineRule="exact"/>
        <w:rPr>
          <w:rFonts w:hint="eastAsia" w:ascii="仿宋_GB2312" w:hAnsi="仿宋"/>
          <w:szCs w:val="28"/>
        </w:rPr>
      </w:pPr>
      <w:r>
        <w:rPr>
          <w:rFonts w:hint="eastAsia" w:ascii="仿宋_GB2312" w:hAnsi="仿宋"/>
          <w:szCs w:val="28"/>
        </w:rPr>
        <w:t>法定代表人或委托代理人：             法定代表人或委托代理人：</w:t>
      </w:r>
    </w:p>
    <w:p>
      <w:pPr>
        <w:spacing w:line="480" w:lineRule="exact"/>
        <w:rPr>
          <w:rFonts w:hint="eastAsia" w:ascii="仿宋_GB2312" w:hAnsi="仿宋"/>
          <w:szCs w:val="28"/>
        </w:rPr>
      </w:pPr>
      <w:r>
        <w:rPr>
          <w:rFonts w:hint="eastAsia" w:ascii="仿宋_GB2312" w:hAnsi="仿宋"/>
          <w:szCs w:val="28"/>
        </w:rPr>
        <w:t>日    期：                           日    期:</w:t>
      </w:r>
    </w:p>
    <w:p>
      <w:pPr>
        <w:spacing w:line="480" w:lineRule="exact"/>
        <w:rPr>
          <w:rFonts w:hint="eastAsia" w:ascii="仿宋" w:hAnsi="仿宋" w:eastAsia="仿宋"/>
          <w:szCs w:val="28"/>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numPr>
          <w:ilvl w:val="0"/>
          <w:numId w:val="4"/>
        </w:numPr>
        <w:ind w:left="0" w:leftChars="0" w:firstLine="0" w:firstLineChars="0"/>
        <w:jc w:val="center"/>
        <w:rPr>
          <w:rFonts w:hint="eastAsia" w:ascii="华文中宋" w:hAnsi="华文中宋" w:eastAsia="华文中宋" w:cs="华文中宋"/>
          <w:szCs w:val="36"/>
        </w:rPr>
      </w:pPr>
      <w:bookmarkStart w:id="109" w:name="_Toc17492"/>
      <w:r>
        <w:rPr>
          <w:rFonts w:hint="eastAsia" w:ascii="华文中宋" w:hAnsi="华文中宋" w:eastAsia="华文中宋" w:cs="华文中宋"/>
          <w:szCs w:val="36"/>
        </w:rPr>
        <w:t>项目需求</w:t>
      </w:r>
      <w:bookmarkEnd w:id="109"/>
    </w:p>
    <w:p>
      <w:pPr>
        <w:spacing w:line="460" w:lineRule="exact"/>
        <w:ind w:firstLine="480" w:firstLineChars="200"/>
        <w:rPr>
          <w:rFonts w:ascii="仿宋_GB2312" w:hAnsi="仿宋_GB2312" w:eastAsia="仿宋_GB2312" w:cs="仿宋_GB2312"/>
          <w:sz w:val="24"/>
          <w:szCs w:val="24"/>
        </w:rPr>
      </w:pPr>
    </w:p>
    <w:p>
      <w:pPr>
        <w:adjustRightInd w:val="0"/>
        <w:snapToGrid w:val="0"/>
        <w:spacing w:line="360" w:lineRule="auto"/>
        <w:ind w:firstLine="560" w:firstLineChars="200"/>
        <w:rPr>
          <w:rFonts w:ascii="宋体" w:hAnsi="宋体" w:cs="宋体"/>
          <w:sz w:val="30"/>
          <w:szCs w:val="30"/>
        </w:rPr>
      </w:pPr>
      <w:r>
        <w:rPr>
          <w:rFonts w:hint="eastAsia" w:ascii="宋体" w:hAnsi="宋体"/>
          <w:color w:val="0C0C0C" w:themeColor="text1" w:themeTint="F2"/>
          <w:kern w:val="0"/>
          <w:sz w:val="28"/>
          <w:szCs w:val="28"/>
        </w:rPr>
        <w:t xml:space="preserve">  </w:t>
      </w:r>
      <w:r>
        <w:rPr>
          <w:rFonts w:hint="eastAsia" w:ascii="宋体" w:hAnsi="宋体" w:cs="宋体"/>
          <w:sz w:val="30"/>
          <w:szCs w:val="30"/>
        </w:rPr>
        <w:t>1.项目概况：</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2022-2024年度财务审计等项目，包括年度预算执行与财务收支审计、干部经济责任审计、科研经费审计、其他类别的财务审计。基本情况和要求如下表：</w:t>
      </w:r>
    </w:p>
    <w:tbl>
      <w:tblPr>
        <w:tblStyle w:val="22"/>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115"/>
        <w:gridCol w:w="2927"/>
        <w:gridCol w:w="2307"/>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trPr>
        <w:tc>
          <w:tcPr>
            <w:tcW w:w="766" w:type="dxa"/>
            <w:vAlign w:val="center"/>
          </w:tcPr>
          <w:p>
            <w:pPr>
              <w:adjustRightInd w:val="0"/>
              <w:snapToGrid w:val="0"/>
              <w:rPr>
                <w:rFonts w:ascii="宋体" w:hAnsi="宋体" w:cs="宋体"/>
                <w:sz w:val="30"/>
                <w:szCs w:val="30"/>
              </w:rPr>
            </w:pPr>
            <w:r>
              <w:rPr>
                <w:rFonts w:hint="eastAsia" w:ascii="宋体" w:hAnsi="宋体" w:cs="宋体"/>
                <w:sz w:val="30"/>
                <w:szCs w:val="30"/>
              </w:rPr>
              <w:t>序号</w:t>
            </w:r>
          </w:p>
        </w:tc>
        <w:tc>
          <w:tcPr>
            <w:tcW w:w="2115" w:type="dxa"/>
            <w:vAlign w:val="center"/>
          </w:tcPr>
          <w:p>
            <w:pPr>
              <w:adjustRightInd w:val="0"/>
              <w:snapToGrid w:val="0"/>
              <w:rPr>
                <w:rFonts w:ascii="宋体" w:hAnsi="宋体" w:cs="宋体"/>
                <w:sz w:val="30"/>
                <w:szCs w:val="30"/>
              </w:rPr>
            </w:pPr>
            <w:r>
              <w:rPr>
                <w:rFonts w:hint="eastAsia" w:ascii="宋体" w:hAnsi="宋体" w:cs="宋体"/>
                <w:sz w:val="30"/>
                <w:szCs w:val="30"/>
              </w:rPr>
              <w:t>审计类型</w:t>
            </w:r>
          </w:p>
        </w:tc>
        <w:tc>
          <w:tcPr>
            <w:tcW w:w="2927" w:type="dxa"/>
            <w:vAlign w:val="center"/>
          </w:tcPr>
          <w:p>
            <w:pPr>
              <w:adjustRightInd w:val="0"/>
              <w:snapToGrid w:val="0"/>
              <w:rPr>
                <w:rFonts w:ascii="宋体" w:hAnsi="宋体" w:cs="宋体"/>
                <w:sz w:val="30"/>
                <w:szCs w:val="30"/>
              </w:rPr>
            </w:pPr>
            <w:r>
              <w:rPr>
                <w:rFonts w:hint="eastAsia" w:ascii="宋体" w:hAnsi="宋体" w:cs="宋体"/>
                <w:sz w:val="30"/>
                <w:szCs w:val="30"/>
              </w:rPr>
              <w:t>审计期间</w:t>
            </w:r>
          </w:p>
        </w:tc>
        <w:tc>
          <w:tcPr>
            <w:tcW w:w="2307" w:type="dxa"/>
            <w:vAlign w:val="center"/>
          </w:tcPr>
          <w:p>
            <w:pPr>
              <w:adjustRightInd w:val="0"/>
              <w:snapToGrid w:val="0"/>
              <w:rPr>
                <w:rFonts w:ascii="宋体" w:hAnsi="宋体" w:cs="宋体"/>
                <w:sz w:val="30"/>
                <w:szCs w:val="30"/>
              </w:rPr>
            </w:pPr>
            <w:r>
              <w:rPr>
                <w:rFonts w:hint="eastAsia" w:ascii="宋体" w:hAnsi="宋体" w:cs="宋体"/>
                <w:sz w:val="30"/>
                <w:szCs w:val="30"/>
              </w:rPr>
              <w:t>完成项目时间</w:t>
            </w:r>
          </w:p>
        </w:tc>
        <w:tc>
          <w:tcPr>
            <w:tcW w:w="1349" w:type="dxa"/>
            <w:vAlign w:val="center"/>
          </w:tcPr>
          <w:p>
            <w:pPr>
              <w:adjustRightInd w:val="0"/>
              <w:snapToGrid w:val="0"/>
              <w:rPr>
                <w:rFonts w:ascii="宋体" w:hAnsi="宋体" w:cs="宋体"/>
                <w:sz w:val="30"/>
                <w:szCs w:val="30"/>
              </w:rPr>
            </w:pPr>
            <w:r>
              <w:rPr>
                <w:rFonts w:hint="eastAsia" w:ascii="宋体" w:hAnsi="宋体" w:cs="宋体"/>
                <w:sz w:val="30"/>
                <w:szCs w:val="30"/>
              </w:rPr>
              <w:t>驻场要求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trPr>
        <w:tc>
          <w:tcPr>
            <w:tcW w:w="766" w:type="dxa"/>
            <w:vAlign w:val="center"/>
          </w:tcPr>
          <w:p>
            <w:pPr>
              <w:adjustRightInd w:val="0"/>
              <w:snapToGrid w:val="0"/>
              <w:rPr>
                <w:rFonts w:ascii="宋体" w:hAnsi="宋体" w:cs="宋体"/>
                <w:sz w:val="30"/>
                <w:szCs w:val="30"/>
              </w:rPr>
            </w:pPr>
            <w:r>
              <w:rPr>
                <w:rFonts w:hint="eastAsia" w:ascii="宋体" w:hAnsi="宋体" w:cs="宋体"/>
                <w:sz w:val="30"/>
                <w:szCs w:val="30"/>
              </w:rPr>
              <w:t>1</w:t>
            </w:r>
          </w:p>
        </w:tc>
        <w:tc>
          <w:tcPr>
            <w:tcW w:w="2115" w:type="dxa"/>
            <w:vAlign w:val="center"/>
          </w:tcPr>
          <w:p>
            <w:pPr>
              <w:adjustRightInd w:val="0"/>
              <w:snapToGrid w:val="0"/>
              <w:rPr>
                <w:rFonts w:ascii="宋体" w:hAnsi="宋体" w:cs="宋体"/>
                <w:sz w:val="30"/>
                <w:szCs w:val="30"/>
              </w:rPr>
            </w:pPr>
            <w:r>
              <w:rPr>
                <w:rFonts w:hint="eastAsia" w:ascii="宋体" w:hAnsi="宋体" w:cs="宋体"/>
                <w:sz w:val="30"/>
                <w:szCs w:val="30"/>
              </w:rPr>
              <w:t>皖南医学院年度预算执行与财务收支审计</w:t>
            </w:r>
          </w:p>
        </w:tc>
        <w:tc>
          <w:tcPr>
            <w:tcW w:w="2927" w:type="dxa"/>
            <w:vAlign w:val="center"/>
          </w:tcPr>
          <w:p>
            <w:pPr>
              <w:adjustRightInd w:val="0"/>
              <w:snapToGrid w:val="0"/>
              <w:rPr>
                <w:rFonts w:ascii="宋体" w:hAnsi="宋体" w:cs="宋体"/>
                <w:sz w:val="30"/>
                <w:szCs w:val="30"/>
              </w:rPr>
            </w:pPr>
            <w:r>
              <w:rPr>
                <w:rFonts w:hint="eastAsia" w:ascii="宋体" w:hAnsi="宋体" w:cs="宋体"/>
                <w:sz w:val="30"/>
                <w:szCs w:val="30"/>
              </w:rPr>
              <w:t>年度会计期间</w:t>
            </w:r>
          </w:p>
        </w:tc>
        <w:tc>
          <w:tcPr>
            <w:tcW w:w="2307" w:type="dxa"/>
            <w:vAlign w:val="center"/>
          </w:tcPr>
          <w:p>
            <w:pPr>
              <w:adjustRightInd w:val="0"/>
              <w:snapToGrid w:val="0"/>
              <w:rPr>
                <w:rFonts w:ascii="宋体" w:hAnsi="宋体" w:cs="宋体"/>
                <w:sz w:val="30"/>
                <w:szCs w:val="30"/>
              </w:rPr>
            </w:pPr>
            <w:r>
              <w:rPr>
                <w:rFonts w:hint="eastAsia" w:ascii="宋体" w:hAnsi="宋体" w:cs="宋体"/>
                <w:sz w:val="30"/>
                <w:szCs w:val="30"/>
              </w:rPr>
              <w:t>原则以合同约定为准</w:t>
            </w:r>
          </w:p>
        </w:tc>
        <w:tc>
          <w:tcPr>
            <w:tcW w:w="1349" w:type="dxa"/>
            <w:vAlign w:val="center"/>
          </w:tcPr>
          <w:p>
            <w:pPr>
              <w:adjustRightInd w:val="0"/>
              <w:snapToGrid w:val="0"/>
              <w:rPr>
                <w:rFonts w:ascii="宋体" w:hAnsi="宋体" w:cs="宋体"/>
                <w:sz w:val="30"/>
                <w:szCs w:val="30"/>
              </w:rPr>
            </w:pPr>
            <w:r>
              <w:rPr>
                <w:rFonts w:hint="eastAsia" w:ascii="宋体" w:hAnsi="宋体" w:cs="宋体"/>
                <w:sz w:val="30"/>
                <w:szCs w:val="30"/>
              </w:rPr>
              <w:t>现场审计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1" w:hRule="atLeast"/>
        </w:trPr>
        <w:tc>
          <w:tcPr>
            <w:tcW w:w="766" w:type="dxa"/>
            <w:vAlign w:val="center"/>
          </w:tcPr>
          <w:p>
            <w:pPr>
              <w:adjustRightInd w:val="0"/>
              <w:snapToGrid w:val="0"/>
              <w:rPr>
                <w:rFonts w:ascii="宋体" w:hAnsi="宋体" w:cs="宋体"/>
                <w:sz w:val="30"/>
                <w:szCs w:val="30"/>
              </w:rPr>
            </w:pPr>
            <w:r>
              <w:rPr>
                <w:rFonts w:hint="eastAsia" w:ascii="宋体" w:hAnsi="宋体" w:cs="宋体"/>
                <w:sz w:val="30"/>
                <w:szCs w:val="30"/>
              </w:rPr>
              <w:t>2</w:t>
            </w:r>
          </w:p>
        </w:tc>
        <w:tc>
          <w:tcPr>
            <w:tcW w:w="2115" w:type="dxa"/>
            <w:vAlign w:val="center"/>
          </w:tcPr>
          <w:p>
            <w:pPr>
              <w:adjustRightInd w:val="0"/>
              <w:snapToGrid w:val="0"/>
              <w:rPr>
                <w:rFonts w:ascii="宋体" w:hAnsi="宋体" w:cs="宋体"/>
                <w:sz w:val="30"/>
                <w:szCs w:val="30"/>
              </w:rPr>
            </w:pPr>
            <w:r>
              <w:rPr>
                <w:rFonts w:hint="eastAsia" w:ascii="宋体" w:hAnsi="宋体" w:cs="宋体"/>
                <w:sz w:val="30"/>
                <w:szCs w:val="30"/>
              </w:rPr>
              <w:t>干部经济责任审计</w:t>
            </w:r>
          </w:p>
        </w:tc>
        <w:tc>
          <w:tcPr>
            <w:tcW w:w="2927" w:type="dxa"/>
            <w:vAlign w:val="center"/>
          </w:tcPr>
          <w:p>
            <w:pPr>
              <w:adjustRightInd w:val="0"/>
              <w:snapToGrid w:val="0"/>
              <w:rPr>
                <w:rFonts w:ascii="宋体" w:hAnsi="宋体" w:cs="宋体"/>
                <w:sz w:val="30"/>
                <w:szCs w:val="30"/>
              </w:rPr>
            </w:pPr>
            <w:r>
              <w:rPr>
                <w:rFonts w:hint="eastAsia" w:ascii="宋体" w:hAnsi="宋体" w:cs="宋体"/>
                <w:sz w:val="30"/>
                <w:szCs w:val="30"/>
              </w:rPr>
              <w:t>学校处级部门或单位处级干部任期期间,重点是近三年</w:t>
            </w:r>
          </w:p>
        </w:tc>
        <w:tc>
          <w:tcPr>
            <w:tcW w:w="2307" w:type="dxa"/>
            <w:vAlign w:val="center"/>
          </w:tcPr>
          <w:p>
            <w:pPr>
              <w:adjustRightInd w:val="0"/>
              <w:snapToGrid w:val="0"/>
              <w:rPr>
                <w:rFonts w:ascii="宋体" w:hAnsi="宋体" w:cs="宋体"/>
                <w:sz w:val="30"/>
                <w:szCs w:val="30"/>
              </w:rPr>
            </w:pPr>
            <w:r>
              <w:rPr>
                <w:rFonts w:hint="eastAsia" w:ascii="宋体" w:hAnsi="宋体" w:cs="宋体"/>
                <w:sz w:val="30"/>
                <w:szCs w:val="30"/>
              </w:rPr>
              <w:t>原则上以合同约定为准</w:t>
            </w:r>
          </w:p>
        </w:tc>
        <w:tc>
          <w:tcPr>
            <w:tcW w:w="1349" w:type="dxa"/>
            <w:vAlign w:val="center"/>
          </w:tcPr>
          <w:p>
            <w:pPr>
              <w:adjustRightInd w:val="0"/>
              <w:snapToGrid w:val="0"/>
              <w:rPr>
                <w:rFonts w:ascii="宋体" w:hAnsi="宋体" w:cs="宋体"/>
                <w:sz w:val="30"/>
                <w:szCs w:val="30"/>
              </w:rPr>
            </w:pPr>
            <w:r>
              <w:rPr>
                <w:rFonts w:hint="eastAsia" w:ascii="宋体" w:hAnsi="宋体" w:cs="宋体"/>
                <w:sz w:val="30"/>
                <w:szCs w:val="30"/>
              </w:rPr>
              <w:t>现场审计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766" w:type="dxa"/>
            <w:vAlign w:val="center"/>
          </w:tcPr>
          <w:p>
            <w:pPr>
              <w:adjustRightInd w:val="0"/>
              <w:snapToGrid w:val="0"/>
              <w:rPr>
                <w:rFonts w:ascii="宋体" w:hAnsi="宋体" w:cs="宋体"/>
                <w:sz w:val="30"/>
                <w:szCs w:val="30"/>
              </w:rPr>
            </w:pPr>
            <w:r>
              <w:rPr>
                <w:rFonts w:hint="eastAsia" w:ascii="宋体" w:hAnsi="宋体" w:cs="宋体"/>
                <w:sz w:val="30"/>
                <w:szCs w:val="30"/>
              </w:rPr>
              <w:t>3</w:t>
            </w:r>
          </w:p>
        </w:tc>
        <w:tc>
          <w:tcPr>
            <w:tcW w:w="2115" w:type="dxa"/>
            <w:vAlign w:val="center"/>
          </w:tcPr>
          <w:p>
            <w:pPr>
              <w:adjustRightInd w:val="0"/>
              <w:snapToGrid w:val="0"/>
              <w:rPr>
                <w:rFonts w:ascii="宋体" w:hAnsi="宋体" w:cs="宋体"/>
                <w:sz w:val="30"/>
                <w:szCs w:val="30"/>
              </w:rPr>
            </w:pPr>
            <w:r>
              <w:rPr>
                <w:rFonts w:hint="eastAsia" w:ascii="宋体" w:hAnsi="宋体" w:cs="宋体"/>
                <w:sz w:val="30"/>
                <w:szCs w:val="30"/>
              </w:rPr>
              <w:t>科研经费审计</w:t>
            </w:r>
          </w:p>
        </w:tc>
        <w:tc>
          <w:tcPr>
            <w:tcW w:w="2927" w:type="dxa"/>
            <w:vAlign w:val="center"/>
          </w:tcPr>
          <w:p>
            <w:pPr>
              <w:adjustRightInd w:val="0"/>
              <w:snapToGrid w:val="0"/>
              <w:rPr>
                <w:rFonts w:ascii="宋体" w:hAnsi="宋体" w:cs="宋体"/>
                <w:sz w:val="30"/>
                <w:szCs w:val="30"/>
              </w:rPr>
            </w:pPr>
            <w:r>
              <w:rPr>
                <w:rFonts w:hint="eastAsia" w:ascii="宋体" w:hAnsi="宋体" w:cs="宋体"/>
                <w:sz w:val="30"/>
                <w:szCs w:val="30"/>
              </w:rPr>
              <w:t>以合同约定为准</w:t>
            </w:r>
          </w:p>
        </w:tc>
        <w:tc>
          <w:tcPr>
            <w:tcW w:w="2307" w:type="dxa"/>
            <w:vAlign w:val="center"/>
          </w:tcPr>
          <w:p>
            <w:pPr>
              <w:adjustRightInd w:val="0"/>
              <w:snapToGrid w:val="0"/>
              <w:rPr>
                <w:rFonts w:ascii="宋体" w:hAnsi="宋体" w:cs="宋体"/>
                <w:sz w:val="30"/>
                <w:szCs w:val="30"/>
              </w:rPr>
            </w:pPr>
            <w:r>
              <w:rPr>
                <w:rFonts w:hint="eastAsia" w:ascii="宋体" w:hAnsi="宋体" w:cs="宋体"/>
                <w:sz w:val="30"/>
                <w:szCs w:val="30"/>
              </w:rPr>
              <w:t>单个项目15个工作日（以合同约定为准）</w:t>
            </w:r>
          </w:p>
        </w:tc>
        <w:tc>
          <w:tcPr>
            <w:tcW w:w="1349" w:type="dxa"/>
            <w:vAlign w:val="center"/>
          </w:tcPr>
          <w:p>
            <w:pPr>
              <w:adjustRightInd w:val="0"/>
              <w:snapToGrid w:val="0"/>
              <w:rPr>
                <w:rFonts w:ascii="宋体" w:hAnsi="宋体" w:cs="宋体"/>
                <w:sz w:val="30"/>
                <w:szCs w:val="30"/>
              </w:rPr>
            </w:pPr>
            <w:r>
              <w:rPr>
                <w:rFonts w:hint="eastAsia" w:ascii="宋体" w:hAnsi="宋体" w:cs="宋体"/>
                <w:sz w:val="30"/>
                <w:szCs w:val="30"/>
              </w:rPr>
              <w:t>现场审计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766" w:type="dxa"/>
            <w:vAlign w:val="center"/>
          </w:tcPr>
          <w:p>
            <w:pPr>
              <w:adjustRightInd w:val="0"/>
              <w:snapToGrid w:val="0"/>
              <w:rPr>
                <w:rFonts w:ascii="宋体" w:hAnsi="宋体" w:cs="宋体"/>
                <w:sz w:val="30"/>
                <w:szCs w:val="30"/>
              </w:rPr>
            </w:pPr>
            <w:r>
              <w:rPr>
                <w:rFonts w:hint="eastAsia" w:ascii="宋体" w:hAnsi="宋体" w:cs="宋体"/>
                <w:sz w:val="30"/>
                <w:szCs w:val="30"/>
              </w:rPr>
              <w:t>4</w:t>
            </w:r>
          </w:p>
        </w:tc>
        <w:tc>
          <w:tcPr>
            <w:tcW w:w="2115" w:type="dxa"/>
            <w:vAlign w:val="center"/>
          </w:tcPr>
          <w:p>
            <w:pPr>
              <w:adjustRightInd w:val="0"/>
              <w:snapToGrid w:val="0"/>
              <w:rPr>
                <w:rFonts w:ascii="宋体" w:hAnsi="宋体" w:cs="宋体"/>
                <w:sz w:val="30"/>
                <w:szCs w:val="30"/>
              </w:rPr>
            </w:pPr>
            <w:r>
              <w:rPr>
                <w:rFonts w:hint="eastAsia" w:ascii="宋体" w:hAnsi="宋体" w:cs="宋体"/>
                <w:sz w:val="30"/>
                <w:szCs w:val="30"/>
              </w:rPr>
              <w:t>其他财务类审计</w:t>
            </w:r>
          </w:p>
        </w:tc>
        <w:tc>
          <w:tcPr>
            <w:tcW w:w="2927" w:type="dxa"/>
            <w:vAlign w:val="center"/>
          </w:tcPr>
          <w:p>
            <w:pPr>
              <w:adjustRightInd w:val="0"/>
              <w:snapToGrid w:val="0"/>
              <w:rPr>
                <w:rFonts w:ascii="宋体" w:hAnsi="宋体" w:cs="宋体"/>
                <w:sz w:val="30"/>
                <w:szCs w:val="30"/>
              </w:rPr>
            </w:pPr>
            <w:r>
              <w:rPr>
                <w:rFonts w:hint="eastAsia" w:ascii="宋体" w:hAnsi="宋体" w:cs="宋体"/>
                <w:sz w:val="30"/>
                <w:szCs w:val="30"/>
              </w:rPr>
              <w:t>以合同约定为准</w:t>
            </w:r>
          </w:p>
        </w:tc>
        <w:tc>
          <w:tcPr>
            <w:tcW w:w="2307" w:type="dxa"/>
            <w:vAlign w:val="center"/>
          </w:tcPr>
          <w:p>
            <w:pPr>
              <w:adjustRightInd w:val="0"/>
              <w:snapToGrid w:val="0"/>
              <w:rPr>
                <w:rFonts w:ascii="宋体" w:hAnsi="宋体" w:cs="宋体"/>
                <w:sz w:val="30"/>
                <w:szCs w:val="30"/>
              </w:rPr>
            </w:pPr>
            <w:r>
              <w:rPr>
                <w:rFonts w:hint="eastAsia" w:ascii="宋体" w:hAnsi="宋体" w:cs="宋体"/>
                <w:sz w:val="30"/>
                <w:szCs w:val="30"/>
              </w:rPr>
              <w:t>以合同约定为准</w:t>
            </w:r>
          </w:p>
        </w:tc>
        <w:tc>
          <w:tcPr>
            <w:tcW w:w="1349" w:type="dxa"/>
            <w:vAlign w:val="center"/>
          </w:tcPr>
          <w:p>
            <w:pPr>
              <w:adjustRightInd w:val="0"/>
              <w:snapToGrid w:val="0"/>
              <w:rPr>
                <w:rFonts w:ascii="宋体" w:hAnsi="宋体" w:cs="宋体"/>
                <w:sz w:val="30"/>
                <w:szCs w:val="30"/>
              </w:rPr>
            </w:pPr>
            <w:r>
              <w:rPr>
                <w:rFonts w:hint="eastAsia" w:ascii="宋体" w:hAnsi="宋体" w:cs="宋体"/>
                <w:sz w:val="30"/>
                <w:szCs w:val="30"/>
              </w:rPr>
              <w:t>以合同约定为准</w:t>
            </w:r>
          </w:p>
        </w:tc>
      </w:tr>
    </w:tbl>
    <w:p>
      <w:pPr>
        <w:tabs>
          <w:tab w:val="left" w:pos="540"/>
        </w:tabs>
        <w:spacing w:line="520" w:lineRule="exact"/>
        <w:ind w:firstLine="600" w:firstLineChars="200"/>
        <w:rPr>
          <w:rFonts w:ascii="宋体" w:hAnsi="宋体" w:cs="宋体"/>
          <w:color w:val="000000"/>
          <w:sz w:val="30"/>
          <w:szCs w:val="30"/>
        </w:rPr>
      </w:pPr>
      <w:r>
        <w:rPr>
          <w:rFonts w:hint="eastAsia" w:ascii="宋体" w:hAnsi="宋体" w:cs="宋体"/>
          <w:color w:val="000000"/>
          <w:sz w:val="30"/>
          <w:szCs w:val="30"/>
        </w:rPr>
        <w:t>2.招标性质：本次招标一家审计事务所，合同期3年，一年一签。</w:t>
      </w:r>
    </w:p>
    <w:p>
      <w:pPr>
        <w:tabs>
          <w:tab w:val="left" w:pos="540"/>
        </w:tabs>
        <w:spacing w:line="520" w:lineRule="exact"/>
        <w:ind w:left="560"/>
        <w:rPr>
          <w:rFonts w:ascii="宋体" w:hAnsi="宋体" w:cs="宋体"/>
          <w:color w:val="000000"/>
          <w:sz w:val="30"/>
          <w:szCs w:val="30"/>
        </w:rPr>
      </w:pPr>
      <w:r>
        <w:rPr>
          <w:rFonts w:hint="eastAsia" w:ascii="宋体" w:hAnsi="宋体" w:cs="宋体"/>
          <w:color w:val="000000"/>
          <w:sz w:val="30"/>
          <w:szCs w:val="30"/>
        </w:rPr>
        <w:t>3.投标资质：</w:t>
      </w:r>
    </w:p>
    <w:p>
      <w:pPr>
        <w:tabs>
          <w:tab w:val="left" w:pos="540"/>
        </w:tabs>
        <w:spacing w:line="520" w:lineRule="exact"/>
        <w:ind w:left="560"/>
        <w:rPr>
          <w:rFonts w:hint="eastAsia" w:ascii="宋体" w:hAnsi="宋体" w:cs="宋体"/>
          <w:color w:val="000000"/>
          <w:sz w:val="30"/>
          <w:szCs w:val="30"/>
        </w:rPr>
      </w:pPr>
      <w:r>
        <w:rPr>
          <w:rFonts w:hint="eastAsia" w:ascii="宋体" w:hAnsi="宋体" w:cs="宋体"/>
          <w:color w:val="000000"/>
          <w:sz w:val="30"/>
          <w:szCs w:val="30"/>
        </w:rPr>
        <w:t xml:space="preserve">（1）应具有中国注册会计师协会核发的会计师事务所资质； </w:t>
      </w:r>
    </w:p>
    <w:p>
      <w:pPr>
        <w:tabs>
          <w:tab w:val="left" w:pos="540"/>
        </w:tabs>
        <w:spacing w:line="520" w:lineRule="exact"/>
        <w:ind w:left="560"/>
        <w:rPr>
          <w:rFonts w:ascii="宋体" w:hAnsi="宋体" w:cs="宋体"/>
          <w:color w:val="000000"/>
          <w:sz w:val="30"/>
          <w:szCs w:val="30"/>
        </w:rPr>
      </w:pPr>
      <w:r>
        <w:rPr>
          <w:rFonts w:hint="eastAsia" w:ascii="宋体" w:hAnsi="宋体" w:cs="宋体"/>
          <w:color w:val="000000"/>
          <w:sz w:val="30"/>
          <w:szCs w:val="30"/>
        </w:rPr>
        <w:t>（2）本项目不接受联合体投标。</w:t>
      </w:r>
    </w:p>
    <w:p>
      <w:pPr>
        <w:tabs>
          <w:tab w:val="left" w:pos="540"/>
        </w:tabs>
        <w:spacing w:line="520" w:lineRule="exact"/>
        <w:ind w:left="560"/>
        <w:rPr>
          <w:rFonts w:ascii="宋体" w:hAnsi="宋体" w:cs="宋体"/>
          <w:color w:val="000000"/>
          <w:sz w:val="30"/>
          <w:szCs w:val="30"/>
        </w:rPr>
      </w:pP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4.审计服务费报价要求</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1.报价时，投标人须对目前市场、环境、社会等不确定因素进行合理估计，对高校各类财务审计特点做出充分考量，并在报价中体现。</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2.投标人的投标报价应响应提供全部服务所需的全部费用，此费用应包含服务成本、利润、风险及其他一切因素。</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3.投标人的审计服务费报价方式：审计服务费按《皖价服》【2010】194号文件为计取基础，投标单位根据自身的综合实力，结合现行市场价格，仅报审计服务费用的优惠率。按《皖价服》【2010】194号文件无法准确计取审计服务费的审计项目采用固定报价方式。</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 xml:space="preserve"> 4.各类财务审计服务费计算公式：</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（1）年度预算执行与财务收支审计项目的审计服务费按《皖价服》【2010】194号文件的附件表5规定为计取基础，即该项目的审计服务费=财务收支对应年度会计报表审计中准价*（1-30%）*（1-优惠率）；</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(2)按《皖价服》【2010】194号文件无法准确计算审计服务费的干部经济责任审计项目按年度报价，此报价为固定价格，不受任何因素的影响而调整，即某经济责任审计项目的审计服务费=审计期间的年度数*年度固定报价；</w:t>
      </w:r>
    </w:p>
    <w:p>
      <w:pPr>
        <w:adjustRightInd w:val="0"/>
        <w:snapToGrid w:val="0"/>
        <w:spacing w:line="360" w:lineRule="auto"/>
        <w:ind w:firstLine="600" w:firstLineChars="200"/>
        <w:rPr>
          <w:rFonts w:hint="eastAsia" w:ascii="宋体" w:hAnsi="宋体" w:cs="宋体"/>
          <w:sz w:val="30"/>
          <w:szCs w:val="30"/>
        </w:rPr>
      </w:pPr>
      <w:r>
        <w:rPr>
          <w:rFonts w:hint="eastAsia" w:ascii="宋体" w:hAnsi="宋体" w:cs="宋体"/>
          <w:sz w:val="30"/>
          <w:szCs w:val="30"/>
        </w:rPr>
        <w:t>(3)按《皖价服》【2010】194号文件无法准确计算审计服务费的科研项目审计服务费按每个项目固定报价，此报价为固定价格，不受任何因素的影响而调整，即某科研项目的审计服务费=投标的固定报价；</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(4)按《皖价服》【2010】194号文件无法准确计算审计服务费的其他财务审计项目的审计服务费以市场价格价格为基础，参照中标单位的报价优惠及其固定报价，由学校与中标单位协商确定。</w:t>
      </w:r>
    </w:p>
    <w:p>
      <w:pPr>
        <w:adjustRightInd w:val="0"/>
        <w:snapToGrid w:val="0"/>
        <w:spacing w:line="480" w:lineRule="auto"/>
        <w:ind w:firstLine="600" w:firstLineChars="200"/>
        <w:jc w:val="left"/>
        <w:rPr>
          <w:rFonts w:ascii="宋体" w:hAnsi="宋体" w:cs="宋体"/>
          <w:color w:val="0C0C0C" w:themeColor="text1" w:themeTint="F2"/>
          <w:kern w:val="0"/>
          <w:sz w:val="28"/>
          <w:szCs w:val="28"/>
          <w:lang w:val="zh-CN"/>
        </w:rPr>
      </w:pPr>
      <w:r>
        <w:rPr>
          <w:rFonts w:hint="eastAsia" w:ascii="宋体" w:hAnsi="宋体" w:cs="宋体"/>
          <w:sz w:val="30"/>
          <w:szCs w:val="30"/>
        </w:rPr>
        <w:t>（5）按《皖价服》【2010】194号文件合理报价。</w:t>
      </w:r>
    </w:p>
    <w:p>
      <w:pPr>
        <w:adjustRightInd w:val="0"/>
        <w:snapToGrid w:val="0"/>
        <w:spacing w:line="500" w:lineRule="exact"/>
        <w:rPr>
          <w:rFonts w:hint="eastAsia"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3"/>
        <w:numPr>
          <w:ilvl w:val="0"/>
          <w:numId w:val="4"/>
        </w:numPr>
        <w:snapToGrid w:val="0"/>
        <w:spacing w:before="0" w:after="0"/>
        <w:ind w:left="0" w:leftChars="0" w:firstLine="0" w:firstLineChars="0"/>
        <w:jc w:val="center"/>
        <w:rPr>
          <w:rFonts w:hint="eastAsia" w:ascii="华文中宋" w:hAnsi="华文中宋" w:eastAsia="华文中宋" w:cs="华文中宋"/>
          <w:color w:val="auto"/>
        </w:rPr>
      </w:pPr>
      <w:r>
        <w:rPr>
          <w:rFonts w:hint="eastAsia" w:ascii="华文中宋" w:hAnsi="华文中宋" w:eastAsia="华文中宋" w:cs="华文中宋"/>
          <w:color w:val="auto"/>
        </w:rPr>
        <w:t xml:space="preserve"> </w:t>
      </w:r>
      <w:bookmarkStart w:id="110" w:name="_Toc21337"/>
      <w:r>
        <w:rPr>
          <w:rFonts w:hint="eastAsia" w:ascii="华文中宋" w:hAnsi="华文中宋" w:eastAsia="华文中宋" w:cs="华文中宋"/>
          <w:color w:val="auto"/>
        </w:rPr>
        <w:t>评分办法和评分细则</w:t>
      </w:r>
      <w:bookmarkEnd w:id="110"/>
    </w:p>
    <w:p>
      <w:pPr>
        <w:adjustRightInd w:val="0"/>
        <w:snapToGrid w:val="0"/>
        <w:spacing w:line="360" w:lineRule="auto"/>
        <w:ind w:firstLine="602" w:firstLineChars="200"/>
        <w:rPr>
          <w:rFonts w:ascii="宋体" w:hAnsi="宋体" w:cs="宋体"/>
          <w:b/>
          <w:color w:val="000000"/>
          <w:kern w:val="0"/>
          <w:sz w:val="30"/>
          <w:szCs w:val="30"/>
        </w:rPr>
      </w:pPr>
      <w:r>
        <w:rPr>
          <w:rFonts w:hint="eastAsia" w:ascii="宋体" w:hAnsi="宋体" w:cs="宋体"/>
          <w:b/>
          <w:color w:val="000000"/>
          <w:kern w:val="0"/>
          <w:sz w:val="30"/>
          <w:szCs w:val="30"/>
        </w:rPr>
        <w:t>1.总则</w:t>
      </w:r>
    </w:p>
    <w:p>
      <w:pPr>
        <w:pStyle w:val="10"/>
        <w:adjustRightInd w:val="0"/>
        <w:snapToGrid w:val="0"/>
        <w:spacing w:line="360" w:lineRule="auto"/>
        <w:ind w:firstLine="600" w:firstLineChars="200"/>
        <w:rPr>
          <w:rFonts w:hAnsi="宋体" w:cs="宋体"/>
          <w:spacing w:val="0"/>
          <w:sz w:val="30"/>
          <w:szCs w:val="30"/>
        </w:rPr>
      </w:pPr>
      <w:r>
        <w:rPr>
          <w:rFonts w:hint="eastAsia" w:hAnsi="宋体" w:cs="宋体"/>
          <w:spacing w:val="0"/>
          <w:sz w:val="30"/>
          <w:szCs w:val="30"/>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10"/>
        <w:adjustRightInd w:val="0"/>
        <w:snapToGrid w:val="0"/>
        <w:spacing w:line="360" w:lineRule="auto"/>
        <w:ind w:firstLine="600" w:firstLineChars="200"/>
        <w:rPr>
          <w:rFonts w:hAnsi="宋体" w:cs="宋体"/>
          <w:spacing w:val="0"/>
          <w:sz w:val="30"/>
          <w:szCs w:val="30"/>
        </w:rPr>
      </w:pPr>
      <w:r>
        <w:rPr>
          <w:rFonts w:hint="eastAsia" w:hAnsi="宋体" w:cs="宋体"/>
          <w:spacing w:val="0"/>
          <w:sz w:val="30"/>
          <w:szCs w:val="30"/>
        </w:rPr>
        <w:t>本次评标采用综合评分法，总分为100分，商务部分40分，技术部分60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pStyle w:val="10"/>
        <w:adjustRightInd w:val="0"/>
        <w:snapToGrid w:val="0"/>
        <w:spacing w:line="360" w:lineRule="auto"/>
        <w:ind w:firstLine="600" w:firstLineChars="200"/>
        <w:rPr>
          <w:rFonts w:hAnsi="宋体" w:cs="宋体"/>
          <w:spacing w:val="0"/>
          <w:sz w:val="30"/>
          <w:szCs w:val="30"/>
        </w:rPr>
      </w:pPr>
      <w:r>
        <w:rPr>
          <w:rFonts w:hint="eastAsia" w:hAnsi="宋体" w:cs="宋体"/>
          <w:spacing w:val="0"/>
          <w:sz w:val="30"/>
          <w:szCs w:val="30"/>
        </w:rPr>
        <w:t>投标人评标综合得分=商务得分+技术得分</w:t>
      </w:r>
    </w:p>
    <w:p>
      <w:pPr>
        <w:pStyle w:val="10"/>
        <w:adjustRightInd w:val="0"/>
        <w:snapToGrid w:val="0"/>
        <w:spacing w:line="360" w:lineRule="auto"/>
        <w:ind w:firstLineChars="100"/>
        <w:rPr>
          <w:rFonts w:hAnsi="宋体" w:cs="宋体"/>
          <w:b/>
          <w:spacing w:val="0"/>
          <w:sz w:val="30"/>
          <w:szCs w:val="30"/>
        </w:rPr>
      </w:pPr>
      <w:r>
        <w:rPr>
          <w:rFonts w:hint="eastAsia" w:hAnsi="宋体" w:cs="宋体"/>
          <w:b/>
          <w:spacing w:val="0"/>
          <w:sz w:val="30"/>
          <w:szCs w:val="30"/>
        </w:rPr>
        <w:t>2.评标内容及标准</w:t>
      </w:r>
    </w:p>
    <w:tbl>
      <w:tblPr>
        <w:tblStyle w:val="21"/>
        <w:tblW w:w="9498" w:type="dxa"/>
        <w:tblInd w:w="-459" w:type="dxa"/>
        <w:tblLayout w:type="fixed"/>
        <w:tblCellMar>
          <w:top w:w="0" w:type="dxa"/>
          <w:left w:w="108" w:type="dxa"/>
          <w:bottom w:w="0" w:type="dxa"/>
          <w:right w:w="108" w:type="dxa"/>
        </w:tblCellMar>
      </w:tblPr>
      <w:tblGrid>
        <w:gridCol w:w="1701"/>
        <w:gridCol w:w="1276"/>
        <w:gridCol w:w="5387"/>
        <w:gridCol w:w="1134"/>
      </w:tblGrid>
      <w:tr>
        <w:tblPrEx>
          <w:tblCellMar>
            <w:top w:w="0" w:type="dxa"/>
            <w:left w:w="108" w:type="dxa"/>
            <w:bottom w:w="0" w:type="dxa"/>
            <w:right w:w="108" w:type="dxa"/>
          </w:tblCellMar>
        </w:tblPrEx>
        <w:trPr>
          <w:trHeight w:val="643" w:hRule="atLeast"/>
        </w:trPr>
        <w:tc>
          <w:tcPr>
            <w:tcW w:w="170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jc w:val="center"/>
              <w:rPr>
                <w:rFonts w:ascii="宋体" w:hAnsi="宋体" w:cs="宋体"/>
                <w:b/>
                <w:bCs/>
                <w:color w:val="000000"/>
                <w:sz w:val="30"/>
                <w:szCs w:val="30"/>
              </w:rPr>
            </w:pPr>
            <w:r>
              <w:rPr>
                <w:rFonts w:hint="eastAsia" w:ascii="宋体" w:hAnsi="宋体" w:cs="宋体"/>
                <w:b/>
                <w:bCs/>
                <w:color w:val="000000"/>
                <w:sz w:val="30"/>
                <w:szCs w:val="30"/>
              </w:rPr>
              <w:t>类别</w:t>
            </w: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jc w:val="center"/>
              <w:rPr>
                <w:rFonts w:ascii="宋体" w:hAnsi="宋体" w:cs="宋体"/>
                <w:b/>
                <w:bCs/>
                <w:color w:val="000000"/>
                <w:sz w:val="30"/>
                <w:szCs w:val="30"/>
              </w:rPr>
            </w:pPr>
            <w:r>
              <w:rPr>
                <w:rFonts w:hint="eastAsia" w:ascii="宋体" w:hAnsi="宋体" w:cs="宋体"/>
                <w:b/>
                <w:bCs/>
                <w:color w:val="000000"/>
                <w:sz w:val="30"/>
                <w:szCs w:val="30"/>
              </w:rPr>
              <w:t>评分内容</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jc w:val="center"/>
              <w:rPr>
                <w:rFonts w:ascii="宋体" w:hAnsi="宋体" w:cs="宋体"/>
                <w:b/>
                <w:bCs/>
                <w:color w:val="000000"/>
                <w:sz w:val="30"/>
                <w:szCs w:val="30"/>
              </w:rPr>
            </w:pPr>
            <w:r>
              <w:rPr>
                <w:rFonts w:hint="eastAsia" w:ascii="宋体" w:hAnsi="宋体" w:cs="宋体"/>
                <w:b/>
                <w:bCs/>
                <w:color w:val="000000"/>
                <w:sz w:val="30"/>
                <w:szCs w:val="30"/>
              </w:rPr>
              <w:t>评分标准</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ind w:firstLine="602" w:firstLineChars="200"/>
              <w:jc w:val="center"/>
              <w:rPr>
                <w:rFonts w:ascii="宋体" w:hAnsi="宋体" w:cs="宋体"/>
                <w:b/>
                <w:bCs/>
                <w:color w:val="000000"/>
                <w:sz w:val="30"/>
                <w:szCs w:val="30"/>
              </w:rPr>
            </w:pPr>
            <w:r>
              <w:rPr>
                <w:rFonts w:hint="eastAsia" w:ascii="宋体" w:hAnsi="宋体" w:cs="宋体"/>
                <w:b/>
                <w:bCs/>
                <w:color w:val="000000"/>
                <w:sz w:val="30"/>
                <w:szCs w:val="30"/>
              </w:rPr>
              <w:t>分值范围</w:t>
            </w:r>
          </w:p>
        </w:tc>
      </w:tr>
      <w:tr>
        <w:tblPrEx>
          <w:tblCellMar>
            <w:top w:w="0" w:type="dxa"/>
            <w:left w:w="108" w:type="dxa"/>
            <w:bottom w:w="0" w:type="dxa"/>
            <w:right w:w="108" w:type="dxa"/>
          </w:tblCellMar>
        </w:tblPrEx>
        <w:trPr>
          <w:trHeight w:val="1925" w:hRule="atLeast"/>
        </w:trPr>
        <w:tc>
          <w:tcPr>
            <w:tcW w:w="1701" w:type="dxa"/>
            <w:vMerge w:val="restart"/>
            <w:tcBorders>
              <w:top w:val="single" w:color="000000" w:sz="12" w:space="0"/>
              <w:left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商务分(40分）</w:t>
            </w:r>
          </w:p>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hint="eastAsia" w:ascii="宋体" w:hAnsi="宋体" w:eastAsia="宋体" w:cs="宋体"/>
                <w:color w:val="000000"/>
                <w:sz w:val="30"/>
                <w:szCs w:val="30"/>
                <w:lang w:eastAsia="zh-CN"/>
              </w:rPr>
            </w:pPr>
            <w:r>
              <w:rPr>
                <w:rFonts w:hint="eastAsia" w:ascii="宋体" w:hAnsi="宋体" w:cs="宋体"/>
                <w:color w:val="000000"/>
                <w:sz w:val="30"/>
                <w:szCs w:val="30"/>
              </w:rPr>
              <w:t>报价分</w:t>
            </w:r>
          </w:p>
          <w:p>
            <w:pPr>
              <w:adjustRightInd w:val="0"/>
              <w:snapToGrid w:val="0"/>
              <w:rPr>
                <w:rFonts w:ascii="宋体" w:hAnsi="宋体" w:cs="宋体"/>
                <w:color w:val="000000"/>
                <w:sz w:val="30"/>
                <w:szCs w:val="30"/>
              </w:rPr>
            </w:pPr>
            <w:r>
              <w:rPr>
                <w:rFonts w:hint="eastAsia" w:ascii="宋体" w:hAnsi="宋体" w:cs="宋体"/>
                <w:color w:val="000000"/>
                <w:sz w:val="30"/>
                <w:szCs w:val="30"/>
              </w:rPr>
              <w:t>（30分）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pPr>
            <w:r>
              <w:rPr>
                <w:rFonts w:hint="eastAsia"/>
              </w:rPr>
              <w:t>所有合格投标人的平均优惠率为评标基准价；投标报价每低于评标基准值1%的扣0.3分；每高于评标基准值1%扣0.2分，不足1%的，按照插入法计算得分。扣完为止（采用四舍五入的方法精确至小数点后二位）。投标报价等于评标基准值B的得满分</w:t>
            </w:r>
            <w:r>
              <w:rPr>
                <w:rFonts w:hint="eastAsia"/>
                <w:lang w:val="en-US" w:eastAsia="zh-CN"/>
              </w:rPr>
              <w:t>1</w:t>
            </w:r>
            <w:r>
              <w:rPr>
                <w:rFonts w:hint="eastAsia"/>
              </w:rPr>
              <w:t>0分</w:t>
            </w:r>
            <w:r>
              <w:rPr>
                <w:rFonts w:hint="eastAsia"/>
                <w:lang w:eastAsia="zh-CN"/>
              </w:rPr>
              <w:t>。</w:t>
            </w:r>
            <w:r>
              <w:rPr>
                <w:rFonts w:hint="eastAsia"/>
              </w:rPr>
              <w:t>各投标人报价A（%），取所有有效投标人报价的算数平均值为评标基准值B（%）；C为投标人</w:t>
            </w:r>
            <w:r>
              <w:rPr>
                <w:rFonts w:hint="eastAsia"/>
                <w:lang w:eastAsia="zh-CN"/>
              </w:rPr>
              <w:t>报价</w:t>
            </w:r>
            <w:r>
              <w:rPr>
                <w:rFonts w:hint="eastAsia"/>
              </w:rPr>
              <w:t>得分。计算公式:C=10-(｜A-B｜/B*100*0.3)或C=10-(｜A-B｜/B*100*0.2）</w:t>
            </w:r>
          </w:p>
          <w:p>
            <w:pPr>
              <w:adjustRightInd w:val="0"/>
              <w:snapToGrid w:val="0"/>
            </w:pPr>
            <w:r>
              <w:rPr>
                <w:rFonts w:hint="eastAsia"/>
              </w:rPr>
              <w:t>2.项目固定报价部分评分内容和分值（</w:t>
            </w:r>
            <w:r>
              <w:rPr>
                <w:rFonts w:hint="eastAsia"/>
                <w:lang w:val="en-US" w:eastAsia="zh-CN"/>
              </w:rPr>
              <w:t>2</w:t>
            </w:r>
            <w:r>
              <w:rPr>
                <w:rFonts w:hint="eastAsia"/>
              </w:rPr>
              <w:t>0分）</w:t>
            </w:r>
          </w:p>
          <w:p>
            <w:pPr>
              <w:adjustRightInd w:val="0"/>
              <w:snapToGrid w:val="0"/>
              <w:rPr>
                <w:rFonts w:hint="eastAsia"/>
                <w:b/>
                <w:bCs/>
              </w:rPr>
            </w:pPr>
            <w:r>
              <w:rPr>
                <w:rFonts w:hint="eastAsia"/>
              </w:rPr>
              <w:t>以</w:t>
            </w:r>
            <w:r>
              <w:rPr>
                <w:rFonts w:hint="eastAsia"/>
                <w:lang w:eastAsia="zh-CN"/>
              </w:rPr>
              <w:t>所有</w:t>
            </w:r>
            <w:r>
              <w:rPr>
                <w:rFonts w:hint="eastAsia"/>
              </w:rPr>
              <w:t>合格投标人的平均固定报价为基准价；各投标人的本部分报价得分统一按照下列公式计算：投标报价每低于评标基准值1%的扣0.3分；每高于评标基准值1%扣0.2分，不足1%的，按照插入法计算得分。扣完为止（采用四舍五入的方法精确至小数点后二位）。投标报价等于评标基准值B的得满分</w:t>
            </w:r>
            <w:r>
              <w:rPr>
                <w:rFonts w:hint="eastAsia"/>
                <w:lang w:val="en-US" w:eastAsia="zh-CN"/>
              </w:rPr>
              <w:t>2</w:t>
            </w:r>
            <w:r>
              <w:rPr>
                <w:rFonts w:hint="eastAsia"/>
              </w:rPr>
              <w:t>0分</w:t>
            </w:r>
            <w:r>
              <w:rPr>
                <w:rFonts w:hint="eastAsia"/>
                <w:lang w:eastAsia="zh-CN"/>
              </w:rPr>
              <w:t>。</w:t>
            </w:r>
            <w:r>
              <w:rPr>
                <w:rFonts w:hint="eastAsia"/>
              </w:rPr>
              <w:t>计算公式:C=</w:t>
            </w:r>
            <w:r>
              <w:rPr>
                <w:rFonts w:hint="eastAsia"/>
                <w:lang w:val="en-US" w:eastAsia="zh-CN"/>
              </w:rPr>
              <w:t>2</w:t>
            </w:r>
            <w:r>
              <w:rPr>
                <w:rFonts w:hint="eastAsia"/>
              </w:rPr>
              <w:t>0-(｜A-B｜/B*100*0.3)或C=</w:t>
            </w:r>
            <w:r>
              <w:rPr>
                <w:rFonts w:hint="eastAsia"/>
                <w:lang w:val="en-US" w:eastAsia="zh-CN"/>
              </w:rPr>
              <w:t>2</w:t>
            </w:r>
            <w:r>
              <w:rPr>
                <w:rFonts w:hint="eastAsia"/>
              </w:rPr>
              <w:t>0-(｜A-B｜/B*100*0.2）</w:t>
            </w:r>
          </w:p>
          <w:p>
            <w:pPr>
              <w:pStyle w:val="2"/>
              <w:rPr>
                <w:rFonts w:hint="eastAsia"/>
                <w:b w:val="0"/>
                <w:bCs w:val="0"/>
              </w:rPr>
            </w:pPr>
          </w:p>
          <w:p>
            <w:pPr>
              <w:pStyle w:val="2"/>
            </w:pP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cs="宋体"/>
                <w:color w:val="000000"/>
                <w:sz w:val="30"/>
                <w:szCs w:val="30"/>
              </w:rPr>
            </w:pPr>
            <w:r>
              <w:rPr>
                <w:rFonts w:hint="eastAsia" w:ascii="宋体" w:hAnsi="宋体" w:cs="宋体"/>
                <w:color w:val="000000"/>
                <w:sz w:val="30"/>
                <w:szCs w:val="30"/>
              </w:rPr>
              <w:t>0-3</w:t>
            </w:r>
            <w:r>
              <w:rPr>
                <w:rFonts w:hint="eastAsia" w:ascii="宋体" w:hAnsi="宋体" w:cs="宋体"/>
                <w:color w:val="000000"/>
                <w:sz w:val="30"/>
                <w:szCs w:val="30"/>
                <w:lang w:val="en-US" w:eastAsia="zh-CN"/>
              </w:rPr>
              <w:t>0</w:t>
            </w:r>
            <w:r>
              <w:rPr>
                <w:rFonts w:hint="eastAsia" w:ascii="宋体" w:hAnsi="宋体" w:cs="宋体"/>
                <w:color w:val="000000"/>
                <w:sz w:val="30"/>
                <w:szCs w:val="30"/>
              </w:rPr>
              <w:t>分</w:t>
            </w:r>
          </w:p>
        </w:tc>
      </w:tr>
      <w:tr>
        <w:tblPrEx>
          <w:tblCellMar>
            <w:top w:w="0" w:type="dxa"/>
            <w:left w:w="108" w:type="dxa"/>
            <w:bottom w:w="0" w:type="dxa"/>
            <w:right w:w="108" w:type="dxa"/>
          </w:tblCellMar>
        </w:tblPrEx>
        <w:trPr>
          <w:trHeight w:val="3514" w:hRule="atLeast"/>
        </w:trPr>
        <w:tc>
          <w:tcPr>
            <w:tcW w:w="1701" w:type="dxa"/>
            <w:vMerge w:val="continue"/>
            <w:tcBorders>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业绩分</w:t>
            </w:r>
          </w:p>
          <w:p>
            <w:pPr>
              <w:adjustRightInd w:val="0"/>
              <w:snapToGrid w:val="0"/>
              <w:rPr>
                <w:rFonts w:ascii="宋体" w:hAnsi="宋体" w:cs="宋体"/>
                <w:color w:val="000000"/>
                <w:sz w:val="30"/>
                <w:szCs w:val="30"/>
              </w:rPr>
            </w:pPr>
            <w:r>
              <w:rPr>
                <w:rFonts w:hint="eastAsia" w:ascii="宋体" w:hAnsi="宋体" w:cs="宋体"/>
                <w:color w:val="000000"/>
                <w:sz w:val="30"/>
                <w:szCs w:val="30"/>
              </w:rPr>
              <w:t>（10分）</w:t>
            </w:r>
          </w:p>
          <w:p>
            <w:pPr>
              <w:adjustRightInd w:val="0"/>
              <w:snapToGrid w:val="0"/>
              <w:rPr>
                <w:rFonts w:ascii="宋体" w:hAnsi="宋体" w:cs="宋体"/>
                <w:color w:val="000000"/>
                <w:sz w:val="30"/>
                <w:szCs w:val="30"/>
              </w:rPr>
            </w:pPr>
            <w:r>
              <w:rPr>
                <w:rFonts w:hint="eastAsia" w:ascii="宋体" w:hAnsi="宋体" w:cs="宋体"/>
                <w:color w:val="000000"/>
                <w:sz w:val="30"/>
                <w:szCs w:val="30"/>
              </w:rPr>
              <w:t>（供应商审计工作经验）</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1、供应商业绩：自2019年1月1日以来,投标人参与高等院校经济责任审计或单位财务审计项目,合同金额达10万(含)以上的每个得2分;本项最高得10分。</w:t>
            </w:r>
          </w:p>
          <w:p>
            <w:pPr>
              <w:adjustRightInd w:val="0"/>
              <w:snapToGrid w:val="0"/>
              <w:rPr>
                <w:rFonts w:ascii="宋体" w:hAnsi="宋体" w:cs="宋体"/>
                <w:color w:val="000000"/>
                <w:sz w:val="30"/>
                <w:szCs w:val="30"/>
              </w:rPr>
            </w:pPr>
            <w:r>
              <w:rPr>
                <w:rFonts w:hint="eastAsia" w:ascii="宋体" w:hAnsi="宋体" w:cs="宋体"/>
                <w:color w:val="000000"/>
                <w:sz w:val="30"/>
                <w:szCs w:val="30"/>
              </w:rPr>
              <w:t>注:需提供合同关键页和发票(或其他付费凭据)复印件，否则不得分。</w:t>
            </w:r>
          </w:p>
          <w:p>
            <w:pPr>
              <w:adjustRightInd w:val="0"/>
              <w:snapToGrid w:val="0"/>
              <w:rPr>
                <w:rFonts w:ascii="宋体" w:hAnsi="宋体" w:cs="宋体"/>
                <w:color w:val="000000"/>
                <w:sz w:val="30"/>
                <w:szCs w:val="30"/>
              </w:rPr>
            </w:pP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cs="宋体"/>
                <w:color w:val="000000"/>
                <w:sz w:val="30"/>
                <w:szCs w:val="30"/>
              </w:rPr>
            </w:pPr>
            <w:r>
              <w:rPr>
                <w:rFonts w:hint="eastAsia" w:ascii="宋体" w:hAnsi="宋体" w:cs="宋体"/>
                <w:color w:val="000000"/>
                <w:sz w:val="30"/>
                <w:szCs w:val="30"/>
              </w:rPr>
              <w:t>0-10分</w:t>
            </w:r>
          </w:p>
        </w:tc>
      </w:tr>
      <w:tr>
        <w:tblPrEx>
          <w:tblCellMar>
            <w:top w:w="0" w:type="dxa"/>
            <w:left w:w="108" w:type="dxa"/>
            <w:bottom w:w="0" w:type="dxa"/>
            <w:right w:w="108" w:type="dxa"/>
          </w:tblCellMar>
        </w:tblPrEx>
        <w:trPr>
          <w:trHeight w:val="3116" w:hRule="atLeast"/>
        </w:trPr>
        <w:tc>
          <w:tcPr>
            <w:tcW w:w="1701"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技术分</w:t>
            </w:r>
          </w:p>
          <w:p>
            <w:pPr>
              <w:adjustRightInd w:val="0"/>
              <w:snapToGrid w:val="0"/>
              <w:rPr>
                <w:rFonts w:ascii="宋体" w:hAnsi="宋体" w:cs="宋体"/>
                <w:color w:val="000000"/>
                <w:sz w:val="30"/>
                <w:szCs w:val="30"/>
              </w:rPr>
            </w:pPr>
            <w:r>
              <w:rPr>
                <w:rFonts w:hint="eastAsia" w:ascii="宋体" w:hAnsi="宋体" w:cs="宋体"/>
                <w:color w:val="000000"/>
                <w:sz w:val="30"/>
                <w:szCs w:val="30"/>
              </w:rPr>
              <w:t>(60分）</w:t>
            </w: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人员配（7分）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Theme="minorEastAsia" w:hAnsiTheme="minorEastAsia" w:eastAsiaTheme="minorEastAsia"/>
                <w:sz w:val="30"/>
                <w:szCs w:val="30"/>
              </w:rPr>
            </w:pPr>
            <w:r>
              <w:rPr>
                <w:rFonts w:hint="eastAsia" w:asciiTheme="minorEastAsia" w:hAnsiTheme="minorEastAsia" w:eastAsiaTheme="minorEastAsia"/>
                <w:sz w:val="30"/>
                <w:szCs w:val="30"/>
              </w:rPr>
              <w:t>1、投标供应商拥有的执业注册会计师不少于8人，得基本分2分，每增加1名注册会计师加1分，最多加3分，本项最多得5分；2、为本项目拟配备除项目负责人以外的现场注册会计师不少于2人、助审人员不少于4人，得2分。</w:t>
            </w:r>
          </w:p>
          <w:p>
            <w:pPr>
              <w:adjustRightInd w:val="0"/>
              <w:snapToGrid w:val="0"/>
              <w:rPr>
                <w:rFonts w:ascii="宋体" w:hAnsi="宋体" w:cs="宋体"/>
                <w:color w:val="000000"/>
                <w:sz w:val="30"/>
                <w:szCs w:val="30"/>
              </w:rPr>
            </w:pPr>
            <w:r>
              <w:rPr>
                <w:rFonts w:hint="eastAsia" w:asciiTheme="minorEastAsia" w:hAnsiTheme="minorEastAsia" w:eastAsiaTheme="minorEastAsia"/>
                <w:sz w:val="30"/>
                <w:szCs w:val="30"/>
              </w:rPr>
              <w:t>备注：投标供应商须提供为本项目拟配备项目组成员的中华人民共和国注册会计师执业资格证书复印件（原件备查），中华人民共和国注册会计师证书上的工作单位需与供应商单位（或其分所）名称一致，否则本项不予计分。</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cs="宋体"/>
                <w:color w:val="000000"/>
                <w:sz w:val="30"/>
                <w:szCs w:val="30"/>
              </w:rPr>
            </w:pPr>
            <w:r>
              <w:rPr>
                <w:rFonts w:hint="eastAsia" w:ascii="宋体" w:hAnsi="宋体" w:cs="宋体"/>
                <w:color w:val="000000"/>
                <w:sz w:val="30"/>
                <w:szCs w:val="30"/>
              </w:rPr>
              <w:t>0-7分</w:t>
            </w:r>
          </w:p>
        </w:tc>
      </w:tr>
      <w:tr>
        <w:tblPrEx>
          <w:tblCellMar>
            <w:top w:w="0" w:type="dxa"/>
            <w:left w:w="108" w:type="dxa"/>
            <w:bottom w:w="0" w:type="dxa"/>
            <w:right w:w="108" w:type="dxa"/>
          </w:tblCellMar>
        </w:tblPrEx>
        <w:trPr>
          <w:trHeight w:val="679" w:hRule="atLeast"/>
        </w:trPr>
        <w:tc>
          <w:tcPr>
            <w:tcW w:w="170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工作方案（</w:t>
            </w:r>
            <w:r>
              <w:rPr>
                <w:rFonts w:hint="eastAsia" w:ascii="宋体" w:hAnsi="宋体" w:cs="宋体"/>
                <w:color w:val="000000"/>
                <w:sz w:val="30"/>
                <w:szCs w:val="30"/>
                <w:lang w:val="en-US" w:eastAsia="zh-CN"/>
              </w:rPr>
              <w:t>30</w:t>
            </w:r>
            <w:r>
              <w:rPr>
                <w:rFonts w:hint="eastAsia" w:ascii="宋体" w:hAnsi="宋体" w:cs="宋体"/>
                <w:color w:val="000000"/>
                <w:sz w:val="30"/>
                <w:szCs w:val="30"/>
              </w:rPr>
              <w:t>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根据供应商提供的工作方案按照下列标准进行综合评分：方案应体现当前审计形势有效性、与高校实际情况结合有效性、审计沟通协调有效性。应包括服务项目的对象、原则、依据、审计重点内容与角度、方法、组织领导、人员安排、时间安排、工作准备、重大问题的请示报告和审计进展情况汇报等方面。方案细致、操作性强、人员配备强且充足、注册会计师人数多、时间安排合理，质量保证措施强，预计能优质高效完成工作任务的，得20-</w:t>
            </w:r>
            <w:r>
              <w:rPr>
                <w:rFonts w:hint="eastAsia" w:ascii="宋体" w:hAnsi="宋体" w:cs="宋体"/>
                <w:color w:val="000000"/>
                <w:sz w:val="30"/>
                <w:szCs w:val="30"/>
                <w:lang w:val="en-US" w:eastAsia="zh-CN"/>
              </w:rPr>
              <w:t>30</w:t>
            </w:r>
            <w:r>
              <w:rPr>
                <w:rFonts w:hint="eastAsia" w:ascii="宋体" w:hAnsi="宋体" w:cs="宋体"/>
                <w:color w:val="000000"/>
                <w:sz w:val="30"/>
                <w:szCs w:val="30"/>
              </w:rPr>
              <w:t>分；方案较为合理、操作性较好，人员配备充足，时间进度安排较为合理，质量保证措施好，预计能按时保质完成工作任务的，得9-19分；方案一般、操作性一般，人员配备基本完备，时间安排基本合理，有质量保证措施，预计基本能按时完成工作任务的，得3-8分；方案较差、操作性难度较大，人员配备不完备、时间安排不合理，预计完成工作任务质量差的，得2分；未提供工作方案的0分</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cs="宋体"/>
                <w:color w:val="000000"/>
                <w:sz w:val="30"/>
                <w:szCs w:val="30"/>
              </w:rPr>
            </w:pPr>
            <w:r>
              <w:rPr>
                <w:rFonts w:hint="eastAsia" w:ascii="宋体" w:hAnsi="宋体" w:cs="宋体"/>
                <w:color w:val="000000"/>
                <w:sz w:val="30"/>
                <w:szCs w:val="30"/>
              </w:rPr>
              <w:t>0-</w:t>
            </w:r>
            <w:r>
              <w:rPr>
                <w:rFonts w:hint="eastAsia" w:ascii="宋体" w:hAnsi="宋体" w:cs="宋体"/>
                <w:color w:val="000000"/>
                <w:sz w:val="30"/>
                <w:szCs w:val="30"/>
                <w:lang w:val="en-US" w:eastAsia="zh-CN"/>
              </w:rPr>
              <w:t>30</w:t>
            </w:r>
            <w:r>
              <w:rPr>
                <w:rFonts w:hint="eastAsia" w:ascii="宋体" w:hAnsi="宋体" w:cs="宋体"/>
                <w:color w:val="000000"/>
                <w:sz w:val="30"/>
                <w:szCs w:val="30"/>
              </w:rPr>
              <w:t>分</w:t>
            </w:r>
          </w:p>
        </w:tc>
      </w:tr>
      <w:tr>
        <w:tblPrEx>
          <w:tblCellMar>
            <w:top w:w="0" w:type="dxa"/>
            <w:left w:w="108" w:type="dxa"/>
            <w:bottom w:w="0" w:type="dxa"/>
            <w:right w:w="108" w:type="dxa"/>
          </w:tblCellMar>
        </w:tblPrEx>
        <w:trPr>
          <w:trHeight w:val="7144" w:hRule="atLeast"/>
        </w:trPr>
        <w:tc>
          <w:tcPr>
            <w:tcW w:w="170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eastAsiaTheme="minorEastAsia"/>
                <w:color w:val="000000"/>
                <w:sz w:val="30"/>
                <w:szCs w:val="30"/>
              </w:rPr>
            </w:pPr>
            <w:r>
              <w:rPr>
                <w:rFonts w:hint="eastAsia" w:cs="宋体" w:asciiTheme="minorEastAsia" w:hAnsiTheme="minorEastAsia" w:eastAsiaTheme="minorEastAsia"/>
                <w:sz w:val="30"/>
                <w:szCs w:val="30"/>
              </w:rPr>
              <w:t>拟投入专业技术人员资质经验情况（</w:t>
            </w:r>
            <w:r>
              <w:rPr>
                <w:rFonts w:hint="eastAsia" w:cs="宋体" w:asciiTheme="minorEastAsia" w:hAnsiTheme="minorEastAsia" w:eastAsiaTheme="minorEastAsia"/>
                <w:sz w:val="30"/>
                <w:szCs w:val="30"/>
                <w:lang w:val="en-US" w:eastAsia="zh-CN"/>
              </w:rPr>
              <w:t>0-14</w:t>
            </w:r>
            <w:r>
              <w:rPr>
                <w:rFonts w:hint="eastAsia" w:cs="宋体" w:asciiTheme="minorEastAsia" w:hAnsiTheme="minorEastAsia" w:eastAsiaTheme="minorEastAsia"/>
                <w:sz w:val="30"/>
                <w:szCs w:val="30"/>
              </w:rPr>
              <w:t>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hint="default" w:ascii="宋体" w:hAnsi="宋体" w:eastAsia="宋体" w:cs="宋体"/>
                <w:b/>
                <w:bCs/>
                <w:color w:val="000000"/>
                <w:sz w:val="30"/>
                <w:szCs w:val="30"/>
                <w:lang w:val="en-US" w:eastAsia="zh-CN"/>
              </w:rPr>
            </w:pPr>
            <w:r>
              <w:rPr>
                <w:rFonts w:hint="eastAsia" w:ascii="宋体" w:hAnsi="宋体" w:cs="宋体"/>
                <w:b/>
                <w:bCs/>
                <w:color w:val="000000"/>
                <w:sz w:val="30"/>
                <w:szCs w:val="30"/>
              </w:rPr>
              <w:t>审计组项目负责人同时具备注册会计师和高级会计师资格的得6分</w:t>
            </w:r>
            <w:r>
              <w:rPr>
                <w:rFonts w:hint="eastAsia" w:ascii="宋体" w:hAnsi="宋体" w:cs="宋体"/>
                <w:b/>
                <w:bCs/>
                <w:color w:val="000000"/>
                <w:sz w:val="30"/>
                <w:szCs w:val="30"/>
                <w:lang w:val="en-US" w:eastAsia="zh-CN"/>
              </w:rPr>
              <w:t>,每项得3分。</w:t>
            </w:r>
          </w:p>
          <w:p>
            <w:pPr>
              <w:adjustRightInd w:val="0"/>
              <w:snapToGrid w:val="0"/>
              <w:rPr>
                <w:rFonts w:hint="eastAsia" w:ascii="宋体" w:hAnsi="宋体" w:eastAsia="宋体" w:cs="宋体"/>
                <w:b/>
                <w:bCs/>
                <w:color w:val="000000"/>
                <w:sz w:val="30"/>
                <w:szCs w:val="30"/>
                <w:lang w:eastAsia="zh-CN"/>
              </w:rPr>
            </w:pPr>
            <w:r>
              <w:rPr>
                <w:rFonts w:hint="eastAsia" w:ascii="宋体" w:hAnsi="宋体" w:cs="宋体"/>
                <w:b/>
                <w:bCs/>
                <w:color w:val="000000"/>
                <w:sz w:val="30"/>
                <w:szCs w:val="30"/>
              </w:rPr>
              <w:t>审计组项目负责人业绩：项目负责人自2019年1月1日以来负责过高等院校审计的,</w:t>
            </w:r>
          </w:p>
          <w:p>
            <w:pPr>
              <w:adjustRightInd w:val="0"/>
              <w:snapToGrid w:val="0"/>
              <w:rPr>
                <w:rFonts w:hint="eastAsia" w:ascii="宋体" w:hAnsi="宋体" w:eastAsia="宋体" w:cs="宋体"/>
                <w:b/>
                <w:bCs/>
                <w:color w:val="000000"/>
                <w:sz w:val="30"/>
                <w:szCs w:val="30"/>
                <w:lang w:eastAsia="zh-CN"/>
              </w:rPr>
            </w:pPr>
            <w:r>
              <w:rPr>
                <w:rFonts w:hint="eastAsia" w:ascii="宋体" w:hAnsi="宋体" w:cs="宋体"/>
                <w:b/>
                <w:bCs/>
                <w:color w:val="000000"/>
                <w:sz w:val="30"/>
                <w:szCs w:val="30"/>
              </w:rPr>
              <w:t>（1）</w:t>
            </w:r>
            <w:r>
              <w:rPr>
                <w:rFonts w:hint="eastAsia" w:ascii="宋体" w:hAnsi="宋体" w:cs="宋体"/>
                <w:b/>
                <w:bCs/>
                <w:color w:val="000000"/>
                <w:sz w:val="30"/>
                <w:szCs w:val="30"/>
                <w:lang w:eastAsia="zh-CN"/>
              </w:rPr>
              <w:t>事业单位</w:t>
            </w:r>
            <w:r>
              <w:rPr>
                <w:rFonts w:hint="eastAsia" w:ascii="宋体" w:hAnsi="宋体" w:cs="宋体"/>
                <w:b/>
                <w:bCs/>
                <w:color w:val="000000"/>
                <w:sz w:val="30"/>
                <w:szCs w:val="30"/>
              </w:rPr>
              <w:t>经济责任审计服务项目合同金额达10万(含)以上的每提供一个得2分;本项最高得2分</w:t>
            </w:r>
          </w:p>
          <w:p>
            <w:pPr>
              <w:adjustRightInd w:val="0"/>
              <w:snapToGrid w:val="0"/>
              <w:rPr>
                <w:rFonts w:hint="eastAsia" w:ascii="宋体" w:hAnsi="宋体" w:eastAsia="宋体" w:cs="宋体"/>
                <w:color w:val="000000"/>
                <w:sz w:val="30"/>
                <w:szCs w:val="30"/>
                <w:lang w:eastAsia="zh-CN"/>
              </w:rPr>
            </w:pPr>
            <w:r>
              <w:rPr>
                <w:rFonts w:hint="eastAsia" w:ascii="宋体" w:hAnsi="宋体" w:cs="宋体"/>
                <w:color w:val="000000"/>
                <w:sz w:val="30"/>
                <w:szCs w:val="30"/>
              </w:rPr>
              <w:t>（2)高校预算执行与财务收支年度审计服务项目，每提供一个1分，累计最高2分。</w:t>
            </w:r>
          </w:p>
          <w:p>
            <w:pPr>
              <w:adjustRightInd w:val="0"/>
              <w:snapToGrid w:val="0"/>
              <w:rPr>
                <w:rFonts w:hint="eastAsia" w:ascii="宋体" w:hAnsi="宋体" w:eastAsia="宋体" w:cs="宋体"/>
                <w:color w:val="000000"/>
                <w:sz w:val="30"/>
                <w:szCs w:val="30"/>
                <w:lang w:eastAsia="zh-CN"/>
              </w:rPr>
            </w:pPr>
            <w:r>
              <w:rPr>
                <w:rFonts w:hint="eastAsia" w:ascii="宋体" w:hAnsi="宋体" w:cs="宋体"/>
                <w:color w:val="000000"/>
                <w:sz w:val="30"/>
                <w:szCs w:val="30"/>
              </w:rPr>
              <w:t>(3)高校经济鉴证项目每提供一个得1分，累计最高1分。</w:t>
            </w:r>
          </w:p>
          <w:p>
            <w:pPr>
              <w:adjustRightInd w:val="0"/>
              <w:snapToGrid w:val="0"/>
              <w:rPr>
                <w:rFonts w:hint="eastAsia" w:ascii="宋体" w:hAnsi="宋体" w:eastAsia="宋体" w:cs="宋体"/>
                <w:color w:val="000000"/>
                <w:sz w:val="30"/>
                <w:szCs w:val="30"/>
                <w:lang w:eastAsia="zh-CN"/>
              </w:rPr>
            </w:pPr>
            <w:r>
              <w:rPr>
                <w:rFonts w:hint="eastAsia" w:ascii="宋体" w:hAnsi="宋体" w:cs="宋体"/>
                <w:color w:val="000000"/>
                <w:sz w:val="30"/>
                <w:szCs w:val="30"/>
              </w:rPr>
              <w:t>(4)高校科研项目审计服务项目每提供一个得1分，累计最高1分。</w:t>
            </w:r>
          </w:p>
          <w:p>
            <w:pPr>
              <w:adjustRightInd w:val="0"/>
              <w:snapToGrid w:val="0"/>
              <w:rPr>
                <w:rFonts w:hint="eastAsia" w:ascii="宋体" w:hAnsi="宋体" w:eastAsia="宋体" w:cs="宋体"/>
                <w:color w:val="000000"/>
                <w:sz w:val="30"/>
                <w:szCs w:val="30"/>
                <w:lang w:eastAsia="zh-CN"/>
              </w:rPr>
            </w:pPr>
            <w:r>
              <w:rPr>
                <w:rFonts w:hint="eastAsia" w:ascii="宋体" w:hAnsi="宋体" w:cs="宋体"/>
                <w:color w:val="000000"/>
                <w:sz w:val="30"/>
                <w:szCs w:val="30"/>
              </w:rPr>
              <w:t>(5)高校竣工财务决算审计服务项目每提供一个得1分，累计最高1分</w:t>
            </w:r>
          </w:p>
          <w:p>
            <w:pPr>
              <w:adjustRightInd w:val="0"/>
              <w:snapToGrid w:val="0"/>
              <w:rPr>
                <w:rFonts w:hint="eastAsia" w:ascii="宋体" w:hAnsi="宋体" w:eastAsia="宋体" w:cs="宋体"/>
                <w:color w:val="000000"/>
                <w:sz w:val="30"/>
                <w:szCs w:val="30"/>
                <w:lang w:eastAsia="zh-CN"/>
              </w:rPr>
            </w:pPr>
            <w:r>
              <w:rPr>
                <w:rFonts w:hint="eastAsia" w:ascii="宋体" w:hAnsi="宋体" w:cs="宋体"/>
                <w:color w:val="000000"/>
                <w:sz w:val="30"/>
                <w:szCs w:val="30"/>
              </w:rPr>
              <w:t>(6)高校项目支出绩效评价审计服务项目每提供一个得1分，累计最高1分</w:t>
            </w:r>
          </w:p>
          <w:p>
            <w:pPr>
              <w:adjustRightInd w:val="0"/>
              <w:snapToGrid w:val="0"/>
              <w:rPr>
                <w:rFonts w:ascii="宋体" w:hAnsi="宋体" w:cs="宋体"/>
                <w:color w:val="000000"/>
                <w:sz w:val="30"/>
                <w:szCs w:val="30"/>
              </w:rPr>
            </w:pPr>
            <w:r>
              <w:rPr>
                <w:rFonts w:hint="eastAsia" w:ascii="宋体" w:hAnsi="宋体" w:cs="宋体"/>
                <w:color w:val="000000"/>
                <w:sz w:val="30"/>
                <w:szCs w:val="30"/>
              </w:rPr>
              <w:t>注:需提供合同关键页和审计项目详情二维码加盖公章复印件，否则不得分二维码加盖公章复印件，否则不得分。</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hint="eastAsia" w:ascii="宋体" w:hAnsi="宋体" w:eastAsia="宋体" w:cs="宋体"/>
                <w:color w:val="000000"/>
                <w:sz w:val="30"/>
                <w:szCs w:val="30"/>
                <w:lang w:val="en-US" w:eastAsia="zh-CN"/>
              </w:rPr>
            </w:pPr>
            <w:r>
              <w:rPr>
                <w:rFonts w:hint="eastAsia" w:ascii="宋体" w:hAnsi="宋体" w:cs="宋体"/>
                <w:color w:val="000000"/>
                <w:sz w:val="30"/>
                <w:szCs w:val="30"/>
              </w:rPr>
              <w:t>0-</w:t>
            </w:r>
            <w:r>
              <w:rPr>
                <w:rFonts w:hint="eastAsia" w:ascii="宋体" w:hAnsi="宋体" w:cs="宋体"/>
                <w:color w:val="000000"/>
                <w:sz w:val="30"/>
                <w:szCs w:val="30"/>
                <w:lang w:val="en-US" w:eastAsia="zh-CN"/>
              </w:rPr>
              <w:t>14</w:t>
            </w:r>
            <w:r>
              <w:rPr>
                <w:rFonts w:hint="eastAsia" w:ascii="宋体" w:hAnsi="宋体" w:cs="宋体"/>
                <w:color w:val="000000"/>
                <w:sz w:val="30"/>
                <w:szCs w:val="30"/>
                <w:lang w:eastAsia="zh-CN"/>
              </w:rPr>
              <w:t>分</w:t>
            </w:r>
          </w:p>
        </w:tc>
      </w:tr>
      <w:tr>
        <w:tblPrEx>
          <w:tblCellMar>
            <w:top w:w="0" w:type="dxa"/>
            <w:left w:w="108" w:type="dxa"/>
            <w:bottom w:w="0" w:type="dxa"/>
            <w:right w:w="108" w:type="dxa"/>
          </w:tblCellMar>
        </w:tblPrEx>
        <w:trPr>
          <w:trHeight w:val="551" w:hRule="atLeast"/>
        </w:trPr>
        <w:tc>
          <w:tcPr>
            <w:tcW w:w="170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hint="eastAsia" w:cs="宋体" w:asciiTheme="minorEastAsia" w:hAnsiTheme="minorEastAsia" w:eastAsiaTheme="minorEastAsia"/>
                <w:sz w:val="30"/>
                <w:szCs w:val="30"/>
              </w:rPr>
            </w:pPr>
            <w:r>
              <w:rPr>
                <w:rFonts w:hint="eastAsia" w:cs="宋体" w:asciiTheme="minorEastAsia" w:hAnsiTheme="minorEastAsia" w:eastAsiaTheme="minorEastAsia"/>
                <w:sz w:val="30"/>
                <w:szCs w:val="30"/>
                <w:lang w:eastAsia="zh-CN"/>
              </w:rPr>
              <w:t>服</w:t>
            </w:r>
            <w:r>
              <w:rPr>
                <w:rFonts w:hint="eastAsia" w:cs="宋体" w:asciiTheme="minorEastAsia" w:hAnsiTheme="minorEastAsia" w:eastAsiaTheme="minorEastAsia"/>
                <w:sz w:val="30"/>
                <w:szCs w:val="30"/>
              </w:rPr>
              <w:t>务</w:t>
            </w:r>
            <w:r>
              <w:rPr>
                <w:rFonts w:hint="eastAsia" w:cs="宋体" w:asciiTheme="minorEastAsia" w:hAnsiTheme="minorEastAsia" w:eastAsiaTheme="minorEastAsia"/>
                <w:sz w:val="30"/>
                <w:szCs w:val="30"/>
                <w:lang w:val="en-US" w:eastAsia="zh-CN"/>
              </w:rPr>
              <w:t xml:space="preserve">  </w:t>
            </w:r>
            <w:r>
              <w:rPr>
                <w:rFonts w:hint="eastAsia" w:cs="宋体" w:asciiTheme="minorEastAsia" w:hAnsiTheme="minorEastAsia" w:eastAsiaTheme="minorEastAsia"/>
                <w:sz w:val="30"/>
                <w:szCs w:val="30"/>
              </w:rPr>
              <w:t>承诺</w:t>
            </w:r>
          </w:p>
          <w:p>
            <w:pPr>
              <w:adjustRightInd w:val="0"/>
              <w:snapToGrid w:val="0"/>
              <w:rPr>
                <w:rFonts w:ascii="宋体" w:hAnsi="宋体" w:cs="宋体"/>
                <w:color w:val="000000"/>
                <w:sz w:val="30"/>
                <w:szCs w:val="30"/>
              </w:rPr>
            </w:pPr>
            <w:r>
              <w:rPr>
                <w:rFonts w:hint="eastAsia" w:ascii="宋体" w:hAnsi="宋体" w:cs="宋体"/>
                <w:color w:val="000000"/>
                <w:sz w:val="30"/>
                <w:szCs w:val="30"/>
              </w:rPr>
              <w:t>（6分）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质量服务承诺（包括技术保证承诺、工作质量承诺、完成时间承诺）以及违反承诺的处罚措施叙述清楚的，得基本分4分，缺一项就扣一分；可行性，可操作性较强的，加2分；较差或未提供的得0分。</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cs="宋体"/>
                <w:color w:val="000000"/>
                <w:sz w:val="30"/>
                <w:szCs w:val="30"/>
              </w:rPr>
            </w:pPr>
            <w:r>
              <w:rPr>
                <w:rFonts w:hint="eastAsia" w:ascii="宋体" w:hAnsi="宋体" w:cs="宋体"/>
                <w:color w:val="000000"/>
                <w:sz w:val="30"/>
                <w:szCs w:val="30"/>
              </w:rPr>
              <w:t>0-6分</w:t>
            </w:r>
          </w:p>
        </w:tc>
      </w:tr>
      <w:tr>
        <w:tblPrEx>
          <w:tblCellMar>
            <w:top w:w="0" w:type="dxa"/>
            <w:left w:w="108" w:type="dxa"/>
            <w:bottom w:w="0" w:type="dxa"/>
            <w:right w:w="108" w:type="dxa"/>
          </w:tblCellMar>
        </w:tblPrEx>
        <w:trPr>
          <w:trHeight w:val="551" w:hRule="atLeast"/>
        </w:trPr>
        <w:tc>
          <w:tcPr>
            <w:tcW w:w="170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hint="default" w:ascii="宋体" w:hAnsi="宋体" w:eastAsia="宋体" w:cs="宋体"/>
                <w:color w:val="000000"/>
                <w:sz w:val="30"/>
                <w:szCs w:val="30"/>
                <w:lang w:val="en-US" w:eastAsia="zh-CN"/>
              </w:rPr>
            </w:pPr>
            <w:r>
              <w:rPr>
                <w:rFonts w:hint="eastAsia" w:ascii="宋体" w:hAnsi="宋体" w:cs="宋体"/>
                <w:color w:val="000000"/>
                <w:sz w:val="30"/>
                <w:szCs w:val="30"/>
                <w:lang w:eastAsia="zh-CN"/>
              </w:rPr>
              <w:t>本地化服务（</w:t>
            </w:r>
            <w:r>
              <w:rPr>
                <w:rFonts w:hint="eastAsia" w:ascii="宋体" w:hAnsi="宋体" w:cs="宋体"/>
                <w:color w:val="000000"/>
                <w:sz w:val="30"/>
                <w:szCs w:val="30"/>
                <w:lang w:val="en-US" w:eastAsia="zh-CN"/>
              </w:rPr>
              <w:t>3分）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hint="eastAsia" w:ascii="宋体" w:hAnsi="宋体" w:cs="宋体"/>
                <w:color w:val="000000"/>
                <w:sz w:val="30"/>
                <w:szCs w:val="30"/>
              </w:rPr>
            </w:pPr>
            <w:r>
              <w:rPr>
                <w:rFonts w:hint="eastAsia" w:ascii="宋体" w:hAnsi="宋体" w:eastAsia="宋体" w:cs="宋体"/>
                <w:color w:val="000000"/>
                <w:sz w:val="30"/>
                <w:szCs w:val="30"/>
                <w:lang w:val="zh-TW"/>
              </w:rPr>
              <w:t>根据供应商在响应文件中提供的</w:t>
            </w:r>
            <w:r>
              <w:rPr>
                <w:rFonts w:hint="eastAsia" w:ascii="宋体" w:hAnsi="宋体" w:eastAsia="宋体" w:cs="宋体"/>
                <w:color w:val="000000"/>
                <w:sz w:val="30"/>
                <w:szCs w:val="30"/>
                <w:lang w:val="zh-TW" w:eastAsia="zh-CN"/>
              </w:rPr>
              <w:t>本地化服务</w:t>
            </w:r>
            <w:r>
              <w:rPr>
                <w:rFonts w:hint="eastAsia" w:ascii="宋体" w:hAnsi="宋体" w:eastAsia="宋体" w:cs="宋体"/>
                <w:color w:val="000000"/>
                <w:sz w:val="30"/>
                <w:szCs w:val="30"/>
                <w:lang w:val="zh-TW"/>
              </w:rPr>
              <w:t>情况进行综合评分。在芜湖市能提供本地化服务的，得</w:t>
            </w:r>
            <w:r>
              <w:rPr>
                <w:rFonts w:hint="eastAsia" w:ascii="宋体" w:hAnsi="宋体" w:cs="宋体"/>
                <w:color w:val="000000"/>
                <w:sz w:val="30"/>
                <w:szCs w:val="30"/>
                <w:lang w:val="en-US" w:eastAsia="zh-CN"/>
              </w:rPr>
              <w:t>3</w:t>
            </w:r>
            <w:r>
              <w:rPr>
                <w:rFonts w:hint="eastAsia" w:ascii="宋体" w:hAnsi="宋体" w:eastAsia="宋体" w:cs="宋体"/>
                <w:color w:val="000000"/>
                <w:sz w:val="30"/>
                <w:szCs w:val="30"/>
                <w:lang w:val="zh-TW"/>
              </w:rPr>
              <w:t>分；未提供的，不得分。（供应商须在投标文件中提供相关证明材料并加盖供应商公章）</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hint="default" w:ascii="宋体" w:hAnsi="宋体" w:eastAsia="宋体" w:cs="宋体"/>
                <w:color w:val="000000"/>
                <w:sz w:val="30"/>
                <w:szCs w:val="30"/>
                <w:lang w:val="en-US" w:eastAsia="zh-CN"/>
              </w:rPr>
            </w:pPr>
            <w:r>
              <w:rPr>
                <w:rFonts w:hint="eastAsia" w:ascii="宋体" w:hAnsi="宋体" w:cs="宋体"/>
                <w:color w:val="000000"/>
                <w:sz w:val="30"/>
                <w:szCs w:val="30"/>
                <w:lang w:val="en-US" w:eastAsia="zh-CN"/>
              </w:rPr>
              <w:t>0-3分</w:t>
            </w:r>
          </w:p>
        </w:tc>
      </w:tr>
    </w:tbl>
    <w:p>
      <w:pPr>
        <w:snapToGrid w:val="0"/>
        <w:spacing w:before="50" w:after="50" w:line="360" w:lineRule="auto"/>
        <w:rPr>
          <w:rFonts w:ascii="华文中宋" w:hAnsi="华文中宋" w:eastAsia="华文中宋"/>
          <w:b/>
          <w:color w:val="000000"/>
          <w:spacing w:val="-6"/>
          <w:sz w:val="30"/>
          <w:szCs w:val="30"/>
        </w:rPr>
      </w:pPr>
    </w:p>
    <w:p>
      <w:pPr>
        <w:numPr>
          <w:ilvl w:val="0"/>
          <w:numId w:val="0"/>
        </w:numPr>
        <w:ind w:leftChars="0"/>
      </w:pPr>
    </w:p>
    <w:p>
      <w:pPr>
        <w:tabs>
          <w:tab w:val="left" w:pos="720"/>
        </w:tabs>
        <w:spacing w:line="480" w:lineRule="auto"/>
        <w:ind w:firstLine="600"/>
        <w:rPr>
          <w:color w:val="0C0C0C" w:themeColor="text1" w:themeTint="F2"/>
          <w:sz w:val="28"/>
          <w:szCs w:val="28"/>
        </w:rPr>
      </w:pPr>
    </w:p>
    <w:p>
      <w:pPr>
        <w:spacing w:line="480" w:lineRule="auto"/>
        <w:ind w:firstLine="6160" w:firstLineChars="2200"/>
        <w:rPr>
          <w:color w:val="0C0C0C" w:themeColor="text1" w:themeTint="F2"/>
          <w:sz w:val="28"/>
          <w:szCs w:val="28"/>
        </w:rPr>
      </w:pPr>
    </w:p>
    <w:p>
      <w:pPr>
        <w:pStyle w:val="28"/>
        <w:ind w:left="0" w:leftChars="0" w:firstLine="0" w:firstLineChars="0"/>
        <w:jc w:val="center"/>
        <w:rPr>
          <w:sz w:val="44"/>
          <w:szCs w:val="44"/>
        </w:rPr>
      </w:pPr>
      <w:bookmarkStart w:id="111" w:name="_Toc14411"/>
      <w:r>
        <w:rPr>
          <w:rFonts w:hint="eastAsia"/>
          <w:sz w:val="44"/>
          <w:szCs w:val="44"/>
        </w:rPr>
        <w:t xml:space="preserve">第七章  </w:t>
      </w:r>
      <w:bookmarkStart w:id="112" w:name="_Toc403987220"/>
      <w:r>
        <w:rPr>
          <w:rFonts w:hint="eastAsia"/>
          <w:sz w:val="44"/>
          <w:szCs w:val="44"/>
        </w:rPr>
        <w:t>响应文件格式</w:t>
      </w:r>
      <w:bookmarkEnd w:id="111"/>
      <w:bookmarkEnd w:id="112"/>
    </w:p>
    <w:p>
      <w:pPr>
        <w:jc w:val="center"/>
        <w:rPr>
          <w:rFonts w:hAnsi="宋体"/>
          <w:b/>
          <w:sz w:val="72"/>
        </w:rPr>
      </w:pPr>
      <w:bookmarkStart w:id="113" w:name="_Hlt26955039"/>
      <w:bookmarkEnd w:id="113"/>
      <w:bookmarkStart w:id="114" w:name="_Hlt26671244"/>
      <w:bookmarkEnd w:id="114"/>
      <w:bookmarkStart w:id="115" w:name="_Toc120614282"/>
      <w:bookmarkStart w:id="116" w:name="_Toc49090576"/>
      <w:bookmarkStart w:id="117" w:name="_Toc26554094"/>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5"/>
    <w:bookmarkEnd w:id="116"/>
    <w:bookmarkEnd w:id="117"/>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hint="eastAsia" w:ascii="华文中宋" w:hAnsi="华文中宋" w:eastAsia="华文中宋"/>
          <w:b/>
          <w:spacing w:val="-6"/>
          <w:szCs w:val="28"/>
        </w:rPr>
      </w:pP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jc w:val="left"/>
        <w:rPr>
          <w:rFonts w:ascii="仿宋_GB2312" w:hAnsi="宋体" w:eastAsia="仿宋_GB2312" w:cs="宋体"/>
          <w:bCs/>
          <w:color w:val="000000"/>
          <w:sz w:val="30"/>
          <w:szCs w:val="30"/>
        </w:rPr>
      </w:pPr>
      <w:r>
        <w:rPr>
          <w:rFonts w:hint="eastAsia" w:ascii="仿宋_GB2312" w:hAnsi="宋体" w:eastAsia="仿宋_GB2312" w:cs="宋体"/>
          <w:bCs/>
          <w:color w:val="000000"/>
          <w:sz w:val="30"/>
          <w:szCs w:val="30"/>
        </w:rPr>
        <w:t>项目名称：</w:t>
      </w:r>
      <w:r>
        <w:rPr>
          <w:rFonts w:hint="eastAsia" w:ascii="仿宋_GB2312" w:hAnsi="宋体" w:eastAsia="仿宋_GB2312" w:cs="宋体"/>
          <w:bCs/>
          <w:color w:val="000000"/>
          <w:sz w:val="30"/>
          <w:szCs w:val="30"/>
          <w:u w:val="single"/>
        </w:rPr>
        <w:t>2022-2024年度财务审计服务项目</w:t>
      </w:r>
    </w:p>
    <w:p>
      <w:pPr>
        <w:snapToGrid w:val="0"/>
        <w:spacing w:before="50" w:after="50" w:line="360" w:lineRule="auto"/>
        <w:jc w:val="left"/>
        <w:rPr>
          <w:rFonts w:ascii="华文中宋" w:hAnsi="华文中宋" w:eastAsia="华文中宋"/>
          <w:b/>
          <w:color w:val="000000"/>
          <w:spacing w:val="-6"/>
          <w:sz w:val="30"/>
          <w:szCs w:val="30"/>
        </w:rPr>
      </w:pPr>
      <w:r>
        <w:rPr>
          <w:rFonts w:hint="eastAsia" w:ascii="仿宋_GB2312" w:hAnsi="宋体" w:eastAsia="仿宋_GB2312" w:cs="宋体"/>
          <w:bCs/>
          <w:color w:val="000000"/>
          <w:sz w:val="30"/>
          <w:szCs w:val="30"/>
        </w:rPr>
        <w:t>项目编号：</w:t>
      </w:r>
    </w:p>
    <w:p>
      <w:pPr>
        <w:tabs>
          <w:tab w:val="left" w:pos="540"/>
        </w:tabs>
        <w:spacing w:line="520" w:lineRule="exact"/>
        <w:rPr>
          <w:rFonts w:ascii="仿宋_GB2312" w:hAnsi="宋体" w:eastAsia="仿宋_GB2312" w:cs="宋体"/>
          <w:color w:val="000000"/>
          <w:sz w:val="30"/>
          <w:szCs w:val="30"/>
        </w:rPr>
      </w:pPr>
      <w:r>
        <w:rPr>
          <w:rFonts w:hint="eastAsia" w:ascii="仿宋_GB2312" w:hAnsi="宋体" w:eastAsia="仿宋_GB2312" w:cs="宋体"/>
          <w:color w:val="000000"/>
          <w:sz w:val="30"/>
          <w:szCs w:val="30"/>
        </w:rPr>
        <w:t>（一）优惠率报价</w:t>
      </w:r>
    </w:p>
    <w:tbl>
      <w:tblPr>
        <w:tblStyle w:val="22"/>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4822"/>
        <w:gridCol w:w="184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849"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序号</w:t>
            </w:r>
          </w:p>
        </w:tc>
        <w:tc>
          <w:tcPr>
            <w:tcW w:w="4822"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适用审计类型</w:t>
            </w:r>
          </w:p>
        </w:tc>
        <w:tc>
          <w:tcPr>
            <w:tcW w:w="1843"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报价</w:t>
            </w:r>
          </w:p>
        </w:tc>
        <w:tc>
          <w:tcPr>
            <w:tcW w:w="1559"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trPr>
        <w:tc>
          <w:tcPr>
            <w:tcW w:w="849" w:type="dxa"/>
            <w:vAlign w:val="center"/>
          </w:tcPr>
          <w:p>
            <w:pPr>
              <w:pStyle w:val="19"/>
              <w:spacing w:beforeAutospacing="0" w:afterAutospacing="0" w:line="390" w:lineRule="atLeast"/>
              <w:jc w:val="center"/>
              <w:rPr>
                <w:rFonts w:ascii="仿宋_GB2312" w:eastAsia="仿宋_GB2312" w:cs="宋体"/>
                <w:color w:val="333333"/>
                <w:sz w:val="30"/>
                <w:szCs w:val="30"/>
              </w:rPr>
            </w:pPr>
            <w:r>
              <w:rPr>
                <w:rFonts w:hint="eastAsia" w:ascii="仿宋_GB2312" w:eastAsia="仿宋_GB2312" w:cs="宋体"/>
                <w:color w:val="333333"/>
                <w:sz w:val="30"/>
                <w:szCs w:val="30"/>
              </w:rPr>
              <w:t>1</w:t>
            </w:r>
          </w:p>
        </w:tc>
        <w:tc>
          <w:tcPr>
            <w:tcW w:w="4822"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年度预算执行与财务收支审计独立核算下属单位财务收支审计</w:t>
            </w:r>
          </w:p>
        </w:tc>
        <w:tc>
          <w:tcPr>
            <w:tcW w:w="1843" w:type="dxa"/>
            <w:vAlign w:val="center"/>
          </w:tcPr>
          <w:p>
            <w:pPr>
              <w:pStyle w:val="19"/>
              <w:spacing w:beforeAutospacing="0" w:afterAutospacing="0" w:line="390" w:lineRule="atLeast"/>
              <w:jc w:val="center"/>
              <w:rPr>
                <w:rFonts w:ascii="仿宋_GB2312" w:eastAsia="仿宋_GB2312" w:cs="宋体"/>
                <w:color w:val="333333"/>
                <w:sz w:val="30"/>
                <w:szCs w:val="30"/>
                <w:u w:val="single"/>
              </w:rPr>
            </w:pPr>
            <w:r>
              <w:rPr>
                <w:rFonts w:hint="eastAsia" w:ascii="仿宋_GB2312" w:eastAsia="仿宋_GB2312" w:cs="宋体"/>
                <w:color w:val="333333"/>
                <w:sz w:val="30"/>
                <w:szCs w:val="30"/>
              </w:rPr>
              <w:t>%</w:t>
            </w:r>
          </w:p>
        </w:tc>
        <w:tc>
          <w:tcPr>
            <w:tcW w:w="1559"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各投标单位仅报优惠率</w:t>
            </w:r>
          </w:p>
        </w:tc>
      </w:tr>
    </w:tbl>
    <w:p>
      <w:pPr>
        <w:tabs>
          <w:tab w:val="left" w:pos="540"/>
        </w:tabs>
        <w:spacing w:line="520" w:lineRule="exact"/>
        <w:rPr>
          <w:rFonts w:ascii="仿宋_GB2312" w:hAnsi="宋体" w:eastAsia="仿宋_GB2312" w:cs="宋体"/>
          <w:color w:val="000000"/>
          <w:sz w:val="30"/>
          <w:szCs w:val="30"/>
        </w:rPr>
      </w:pPr>
      <w:r>
        <w:rPr>
          <w:rFonts w:hint="eastAsia" w:ascii="仿宋_GB2312" w:hAnsi="宋体" w:eastAsia="仿宋_GB2312" w:cs="宋体"/>
          <w:color w:val="000000"/>
          <w:sz w:val="30"/>
          <w:szCs w:val="30"/>
        </w:rPr>
        <w:t>（二）固定报价</w:t>
      </w:r>
    </w:p>
    <w:tbl>
      <w:tblPr>
        <w:tblStyle w:val="22"/>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2812"/>
        <w:gridCol w:w="819"/>
        <w:gridCol w:w="1005"/>
        <w:gridCol w:w="904"/>
        <w:gridCol w:w="114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32" w:type="dxa"/>
            <w:vAlign w:val="center"/>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lang w:eastAsia="zh-CN"/>
              </w:rPr>
              <w:t>序</w:t>
            </w:r>
            <w:r>
              <w:rPr>
                <w:rFonts w:hint="eastAsia" w:ascii="仿宋_GB2312" w:eastAsia="仿宋_GB2312" w:cs="宋体"/>
                <w:color w:val="333333"/>
                <w:sz w:val="30"/>
                <w:szCs w:val="30"/>
              </w:rPr>
              <w:t>号</w:t>
            </w:r>
          </w:p>
        </w:tc>
        <w:tc>
          <w:tcPr>
            <w:tcW w:w="2812" w:type="dxa"/>
            <w:vAlign w:val="center"/>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rPr>
              <w:t>适用审计类型</w:t>
            </w:r>
          </w:p>
        </w:tc>
        <w:tc>
          <w:tcPr>
            <w:tcW w:w="819" w:type="dxa"/>
            <w:vAlign w:val="center"/>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rPr>
              <w:t>单位</w:t>
            </w:r>
          </w:p>
        </w:tc>
        <w:tc>
          <w:tcPr>
            <w:tcW w:w="1005" w:type="dxa"/>
            <w:vAlign w:val="center"/>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rPr>
              <w:t>数量</w:t>
            </w:r>
          </w:p>
        </w:tc>
        <w:tc>
          <w:tcPr>
            <w:tcW w:w="904" w:type="dxa"/>
            <w:vAlign w:val="center"/>
          </w:tcPr>
          <w:p>
            <w:pPr>
              <w:pStyle w:val="19"/>
              <w:spacing w:beforeAutospacing="0" w:afterAutospacing="0" w:line="390" w:lineRule="atLeast"/>
              <w:ind w:left="0" w:leftChars="0" w:firstLine="0" w:firstLineChars="0"/>
              <w:rPr>
                <w:rFonts w:ascii="仿宋_GB2312" w:eastAsia="仿宋_GB2312" w:cs="宋体"/>
                <w:color w:val="333333"/>
                <w:sz w:val="30"/>
                <w:szCs w:val="30"/>
              </w:rPr>
            </w:pPr>
            <w:r>
              <w:rPr>
                <w:rFonts w:hint="eastAsia" w:ascii="仿宋_GB2312" w:eastAsia="仿宋_GB2312" w:cs="宋体"/>
                <w:color w:val="333333"/>
                <w:sz w:val="30"/>
                <w:szCs w:val="30"/>
              </w:rPr>
              <w:t>单价</w:t>
            </w:r>
          </w:p>
        </w:tc>
        <w:tc>
          <w:tcPr>
            <w:tcW w:w="1142" w:type="dxa"/>
            <w:vAlign w:val="center"/>
          </w:tcPr>
          <w:p>
            <w:pPr>
              <w:pStyle w:val="19"/>
              <w:spacing w:beforeAutospacing="0" w:afterAutospacing="0" w:line="390" w:lineRule="atLeast"/>
              <w:ind w:left="0" w:leftChars="0" w:firstLine="0" w:firstLineChars="0"/>
              <w:rPr>
                <w:rFonts w:ascii="仿宋_GB2312" w:eastAsia="仿宋_GB2312" w:cs="宋体"/>
                <w:color w:val="333333"/>
                <w:sz w:val="30"/>
                <w:szCs w:val="30"/>
              </w:rPr>
            </w:pPr>
            <w:r>
              <w:rPr>
                <w:rFonts w:hint="eastAsia" w:ascii="仿宋_GB2312" w:eastAsia="仿宋_GB2312" w:cs="宋体"/>
                <w:color w:val="333333"/>
                <w:sz w:val="30"/>
                <w:szCs w:val="30"/>
              </w:rPr>
              <w:t>合价</w:t>
            </w:r>
          </w:p>
        </w:tc>
        <w:tc>
          <w:tcPr>
            <w:tcW w:w="1559" w:type="dxa"/>
            <w:vAlign w:val="center"/>
          </w:tcPr>
          <w:p>
            <w:pPr>
              <w:pStyle w:val="19"/>
              <w:spacing w:beforeAutospacing="0" w:afterAutospacing="0" w:line="390" w:lineRule="atLeast"/>
              <w:rPr>
                <w:rFonts w:ascii="仿宋_GB2312" w:eastAsia="仿宋_GB2312" w:cs="宋体"/>
                <w:color w:val="333333"/>
                <w:sz w:val="30"/>
                <w:szCs w:val="30"/>
              </w:rPr>
            </w:pPr>
            <w:r>
              <w:rPr>
                <w:rFonts w:hint="eastAsia" w:ascii="仿宋_GB2312" w:eastAsia="仿宋_GB2312" w:cs="宋体"/>
                <w:color w:val="333333"/>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trPr>
        <w:tc>
          <w:tcPr>
            <w:tcW w:w="832" w:type="dxa"/>
            <w:vAlign w:val="center"/>
          </w:tcPr>
          <w:p>
            <w:pPr>
              <w:pStyle w:val="19"/>
              <w:spacing w:beforeAutospacing="0" w:afterAutospacing="0" w:line="390" w:lineRule="atLeast"/>
              <w:rPr>
                <w:rFonts w:ascii="仿宋_GB2312" w:eastAsia="仿宋_GB2312" w:cs="宋体"/>
                <w:color w:val="333333"/>
                <w:sz w:val="30"/>
                <w:szCs w:val="30"/>
              </w:rPr>
            </w:pPr>
            <w:r>
              <w:rPr>
                <w:rFonts w:hint="eastAsia" w:ascii="仿宋_GB2312" w:eastAsia="仿宋_GB2312" w:cs="宋体"/>
                <w:color w:val="333333"/>
                <w:sz w:val="30"/>
                <w:szCs w:val="30"/>
              </w:rPr>
              <w:t>1</w:t>
            </w:r>
          </w:p>
        </w:tc>
        <w:tc>
          <w:tcPr>
            <w:tcW w:w="2812" w:type="dxa"/>
            <w:vAlign w:val="center"/>
          </w:tcPr>
          <w:p>
            <w:pPr>
              <w:pStyle w:val="19"/>
              <w:spacing w:beforeAutospacing="0" w:afterAutospacing="0" w:line="390" w:lineRule="atLeast"/>
              <w:ind w:firstLine="0"/>
              <w:rPr>
                <w:rFonts w:hint="eastAsia" w:ascii="仿宋_GB2312" w:eastAsia="仿宋_GB2312" w:cs="宋体"/>
                <w:color w:val="333333"/>
                <w:sz w:val="30"/>
                <w:szCs w:val="30"/>
                <w:lang w:eastAsia="zh-CN"/>
              </w:rPr>
            </w:pPr>
            <w:r>
              <w:rPr>
                <w:rFonts w:hint="eastAsia" w:ascii="仿宋_GB2312" w:eastAsia="仿宋_GB2312" w:cs="宋体"/>
                <w:color w:val="333333"/>
                <w:sz w:val="30"/>
                <w:szCs w:val="30"/>
              </w:rPr>
              <w:t>干部经济责任审</w:t>
            </w:r>
            <w:r>
              <w:rPr>
                <w:rFonts w:hint="eastAsia" w:ascii="仿宋_GB2312" w:eastAsia="仿宋_GB2312" w:cs="宋体"/>
                <w:color w:val="333333"/>
                <w:sz w:val="30"/>
                <w:szCs w:val="30"/>
                <w:lang w:eastAsia="zh-CN"/>
              </w:rPr>
              <w:t>计</w:t>
            </w:r>
          </w:p>
        </w:tc>
        <w:tc>
          <w:tcPr>
            <w:tcW w:w="819"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年度</w:t>
            </w:r>
          </w:p>
        </w:tc>
        <w:tc>
          <w:tcPr>
            <w:tcW w:w="1005" w:type="dxa"/>
            <w:vAlign w:val="center"/>
          </w:tcPr>
          <w:p>
            <w:pPr>
              <w:pStyle w:val="19"/>
              <w:spacing w:beforeAutospacing="0" w:afterAutospacing="0" w:line="390" w:lineRule="atLeast"/>
              <w:rPr>
                <w:rFonts w:ascii="仿宋_GB2312" w:eastAsia="仿宋_GB2312" w:cs="宋体"/>
                <w:color w:val="333333"/>
                <w:sz w:val="30"/>
                <w:szCs w:val="30"/>
              </w:rPr>
            </w:pPr>
            <w:r>
              <w:rPr>
                <w:rFonts w:hint="eastAsia" w:ascii="仿宋_GB2312" w:eastAsia="仿宋_GB2312" w:cs="宋体"/>
                <w:color w:val="333333"/>
                <w:sz w:val="30"/>
                <w:szCs w:val="30"/>
              </w:rPr>
              <w:t>4</w:t>
            </w:r>
          </w:p>
        </w:tc>
        <w:tc>
          <w:tcPr>
            <w:tcW w:w="904" w:type="dxa"/>
            <w:vAlign w:val="center"/>
          </w:tcPr>
          <w:p>
            <w:pPr>
              <w:pStyle w:val="19"/>
              <w:spacing w:beforeAutospacing="0" w:afterAutospacing="0" w:line="390" w:lineRule="atLeast"/>
              <w:rPr>
                <w:rFonts w:ascii="仿宋_GB2312" w:eastAsia="仿宋_GB2312" w:cs="宋体"/>
                <w:color w:val="333333"/>
                <w:sz w:val="30"/>
                <w:szCs w:val="30"/>
              </w:rPr>
            </w:pPr>
          </w:p>
        </w:tc>
        <w:tc>
          <w:tcPr>
            <w:tcW w:w="1142" w:type="dxa"/>
            <w:vAlign w:val="center"/>
          </w:tcPr>
          <w:p>
            <w:pPr>
              <w:pStyle w:val="19"/>
              <w:spacing w:beforeAutospacing="0" w:afterAutospacing="0" w:line="390" w:lineRule="atLeast"/>
              <w:rPr>
                <w:rFonts w:ascii="仿宋_GB2312" w:eastAsia="仿宋_GB2312" w:cs="宋体"/>
                <w:color w:val="333333"/>
                <w:sz w:val="30"/>
                <w:szCs w:val="30"/>
              </w:rPr>
            </w:pPr>
          </w:p>
        </w:tc>
        <w:tc>
          <w:tcPr>
            <w:tcW w:w="1559" w:type="dxa"/>
            <w:vAlign w:val="center"/>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rPr>
              <w:t>暂按4个年度报价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32" w:type="dxa"/>
            <w:vAlign w:val="center"/>
          </w:tcPr>
          <w:p>
            <w:pPr>
              <w:pStyle w:val="19"/>
              <w:spacing w:beforeAutospacing="0" w:afterAutospacing="0" w:line="390" w:lineRule="atLeast"/>
              <w:rPr>
                <w:rFonts w:ascii="仿宋_GB2312" w:eastAsia="仿宋_GB2312" w:cs="宋体"/>
                <w:color w:val="333333"/>
                <w:sz w:val="21"/>
                <w:szCs w:val="21"/>
              </w:rPr>
            </w:pPr>
            <w:r>
              <w:rPr>
                <w:rFonts w:hint="eastAsia" w:ascii="仿宋_GB2312" w:eastAsia="仿宋_GB2312" w:cs="宋体"/>
                <w:color w:val="333333"/>
                <w:sz w:val="21"/>
                <w:szCs w:val="21"/>
              </w:rPr>
              <w:t>2</w:t>
            </w:r>
          </w:p>
        </w:tc>
        <w:tc>
          <w:tcPr>
            <w:tcW w:w="2812" w:type="dxa"/>
            <w:vAlign w:val="bottom"/>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rPr>
              <w:t>科研经费审计</w:t>
            </w:r>
          </w:p>
        </w:tc>
        <w:tc>
          <w:tcPr>
            <w:tcW w:w="819" w:type="dxa"/>
            <w:vAlign w:val="center"/>
          </w:tcPr>
          <w:p>
            <w:pPr>
              <w:pStyle w:val="19"/>
              <w:spacing w:beforeAutospacing="0" w:afterAutospacing="0" w:line="390" w:lineRule="atLeast"/>
              <w:ind w:firstLine="0"/>
              <w:jc w:val="center"/>
              <w:rPr>
                <w:rFonts w:ascii="仿宋_GB2312" w:eastAsia="仿宋_GB2312" w:cs="宋体"/>
                <w:color w:val="333333"/>
                <w:sz w:val="21"/>
                <w:szCs w:val="21"/>
              </w:rPr>
            </w:pPr>
            <w:r>
              <w:rPr>
                <w:rFonts w:hint="eastAsia" w:ascii="仿宋_GB2312" w:eastAsia="仿宋_GB2312" w:cs="宋体"/>
                <w:color w:val="333333"/>
                <w:sz w:val="21"/>
                <w:szCs w:val="21"/>
              </w:rPr>
              <w:t>个</w:t>
            </w:r>
          </w:p>
        </w:tc>
        <w:tc>
          <w:tcPr>
            <w:tcW w:w="1005" w:type="dxa"/>
            <w:vAlign w:val="center"/>
          </w:tcPr>
          <w:p>
            <w:pPr>
              <w:pStyle w:val="19"/>
              <w:spacing w:beforeAutospacing="0" w:afterAutospacing="0" w:line="390" w:lineRule="atLeast"/>
              <w:rPr>
                <w:rFonts w:ascii="仿宋_GB2312" w:eastAsia="仿宋_GB2312" w:cs="宋体"/>
                <w:color w:val="333333"/>
                <w:sz w:val="21"/>
                <w:szCs w:val="21"/>
              </w:rPr>
            </w:pPr>
            <w:r>
              <w:rPr>
                <w:rFonts w:hint="eastAsia" w:ascii="仿宋_GB2312" w:eastAsia="仿宋_GB2312" w:cs="宋体"/>
                <w:color w:val="333333"/>
                <w:sz w:val="21"/>
                <w:szCs w:val="21"/>
              </w:rPr>
              <w:t>1</w:t>
            </w:r>
          </w:p>
        </w:tc>
        <w:tc>
          <w:tcPr>
            <w:tcW w:w="904" w:type="dxa"/>
            <w:vAlign w:val="center"/>
          </w:tcPr>
          <w:p>
            <w:pPr>
              <w:pStyle w:val="19"/>
              <w:spacing w:beforeAutospacing="0" w:afterAutospacing="0" w:line="390" w:lineRule="atLeast"/>
              <w:rPr>
                <w:rFonts w:ascii="仿宋_GB2312" w:eastAsia="仿宋_GB2312" w:cs="宋体"/>
                <w:color w:val="333333"/>
                <w:sz w:val="21"/>
                <w:szCs w:val="21"/>
              </w:rPr>
            </w:pPr>
          </w:p>
        </w:tc>
        <w:tc>
          <w:tcPr>
            <w:tcW w:w="1142" w:type="dxa"/>
            <w:vAlign w:val="center"/>
          </w:tcPr>
          <w:p>
            <w:pPr>
              <w:pStyle w:val="19"/>
              <w:spacing w:beforeAutospacing="0" w:afterAutospacing="0" w:line="390" w:lineRule="atLeast"/>
              <w:rPr>
                <w:rFonts w:ascii="仿宋_GB2312" w:eastAsia="仿宋_GB2312" w:cs="宋体"/>
                <w:color w:val="333333"/>
                <w:sz w:val="21"/>
                <w:szCs w:val="21"/>
              </w:rPr>
            </w:pPr>
          </w:p>
        </w:tc>
        <w:tc>
          <w:tcPr>
            <w:tcW w:w="1559" w:type="dxa"/>
            <w:vAlign w:val="center"/>
          </w:tcPr>
          <w:p>
            <w:pPr>
              <w:pStyle w:val="19"/>
              <w:spacing w:beforeAutospacing="0" w:afterAutospacing="0" w:line="390" w:lineRule="atLeast"/>
              <w:rPr>
                <w:rFonts w:ascii="仿宋_GB2312" w:eastAsia="仿宋_GB2312" w:cs="宋体"/>
                <w:color w:val="333333"/>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32" w:type="dxa"/>
            <w:vAlign w:val="center"/>
          </w:tcPr>
          <w:p>
            <w:pPr>
              <w:pStyle w:val="19"/>
              <w:spacing w:beforeAutospacing="0" w:afterAutospacing="0" w:line="390" w:lineRule="atLeast"/>
              <w:rPr>
                <w:rFonts w:ascii="仿宋_GB2312" w:eastAsia="仿宋_GB2312" w:cs="宋体"/>
                <w:color w:val="333333"/>
                <w:sz w:val="21"/>
                <w:szCs w:val="21"/>
              </w:rPr>
            </w:pPr>
          </w:p>
        </w:tc>
        <w:tc>
          <w:tcPr>
            <w:tcW w:w="2812" w:type="dxa"/>
            <w:vAlign w:val="bottom"/>
          </w:tcPr>
          <w:p>
            <w:pPr>
              <w:pStyle w:val="19"/>
              <w:spacing w:beforeAutospacing="0" w:afterAutospacing="0" w:line="390" w:lineRule="atLeast"/>
              <w:ind w:firstLine="0"/>
              <w:rPr>
                <w:rFonts w:ascii="仿宋_GB2312" w:eastAsia="仿宋_GB2312" w:cs="宋体"/>
                <w:color w:val="333333"/>
                <w:sz w:val="21"/>
                <w:szCs w:val="21"/>
              </w:rPr>
            </w:pPr>
            <w:r>
              <w:rPr>
                <w:rFonts w:hint="eastAsia" w:ascii="仿宋_GB2312" w:eastAsia="仿宋_GB2312" w:cs="宋体"/>
                <w:color w:val="333333"/>
                <w:sz w:val="21"/>
                <w:szCs w:val="21"/>
              </w:rPr>
              <w:t>合计：</w:t>
            </w:r>
          </w:p>
        </w:tc>
        <w:tc>
          <w:tcPr>
            <w:tcW w:w="5429" w:type="dxa"/>
            <w:gridSpan w:val="5"/>
            <w:vAlign w:val="center"/>
          </w:tcPr>
          <w:p>
            <w:pPr>
              <w:pStyle w:val="19"/>
              <w:spacing w:beforeAutospacing="0" w:afterAutospacing="0" w:line="390" w:lineRule="atLeast"/>
              <w:rPr>
                <w:rFonts w:ascii="仿宋_GB2312" w:eastAsia="仿宋_GB2312" w:cs="宋体"/>
                <w:color w:val="333333"/>
                <w:sz w:val="21"/>
                <w:szCs w:val="21"/>
              </w:rPr>
            </w:pPr>
            <w:r>
              <w:rPr>
                <w:rFonts w:hint="eastAsia" w:ascii="仿宋_GB2312" w:eastAsia="仿宋_GB2312" w:cs="宋体"/>
                <w:color w:val="333333"/>
                <w:sz w:val="21"/>
                <w:szCs w:val="21"/>
                <w:u w:val="single"/>
              </w:rPr>
              <w:t xml:space="preserve">             </w:t>
            </w:r>
            <w:r>
              <w:rPr>
                <w:rFonts w:hint="eastAsia" w:ascii="仿宋_GB2312" w:eastAsia="仿宋_GB2312" w:cs="宋体"/>
                <w:color w:val="333333"/>
                <w:sz w:val="21"/>
                <w:szCs w:val="21"/>
              </w:rPr>
              <w:t>元</w:t>
            </w:r>
          </w:p>
        </w:tc>
      </w:tr>
    </w:tbl>
    <w:p>
      <w:pPr>
        <w:snapToGrid w:val="0"/>
        <w:spacing w:before="50" w:after="50" w:line="360" w:lineRule="auto"/>
        <w:rPr>
          <w:rFonts w:ascii="宋体" w:hAnsi="宋体"/>
          <w:color w:val="000000"/>
          <w:spacing w:val="-6"/>
          <w:sz w:val="24"/>
        </w:rPr>
      </w:pPr>
      <w:r>
        <w:rPr>
          <w:rFonts w:hint="eastAsia" w:ascii="宋体" w:hAnsi="宋体"/>
          <w:color w:val="000000"/>
          <w:spacing w:val="-6"/>
          <w:sz w:val="24"/>
        </w:rPr>
        <w:t>注: 1、实际费用据实结算。</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2、报价不得涂改否则其投标作无效标处理。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color w:val="000000"/>
          <w:spacing w:val="-6"/>
          <w:sz w:val="24"/>
          <w:szCs w:val="24"/>
        </w:rPr>
      </w:pPr>
      <w:r>
        <w:rPr>
          <w:rFonts w:hint="eastAsia" w:asciiTheme="minorEastAsia" w:hAnsiTheme="minorEastAsia" w:eastAsiaTheme="minorEastAsia"/>
          <w:color w:val="000000"/>
          <w:spacing w:val="-6"/>
          <w:sz w:val="24"/>
          <w:szCs w:val="24"/>
        </w:rPr>
        <w:t>3、</w:t>
      </w:r>
      <w:r>
        <w:rPr>
          <w:rFonts w:hint="eastAsia" w:asciiTheme="minorEastAsia" w:hAnsiTheme="minorEastAsia" w:eastAsiaTheme="minorEastAsia"/>
          <w:color w:val="000000"/>
          <w:sz w:val="24"/>
          <w:szCs w:val="24"/>
        </w:rPr>
        <w:t>磋商报价</w:t>
      </w:r>
      <w:r>
        <w:rPr>
          <w:rFonts w:hint="eastAsia" w:asciiTheme="minorEastAsia" w:hAnsiTheme="minorEastAsia" w:eastAsiaTheme="minorEastAsia"/>
          <w:color w:val="000000"/>
          <w:spacing w:val="-6"/>
          <w:sz w:val="24"/>
          <w:szCs w:val="24"/>
        </w:rPr>
        <w:t>应包括</w:t>
      </w:r>
      <w:r>
        <w:rPr>
          <w:rFonts w:hint="eastAsia" w:asciiTheme="minorEastAsia" w:hAnsiTheme="minorEastAsia" w:eastAsiaTheme="minorEastAsia"/>
          <w:color w:val="000000"/>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color w:val="000000"/>
          <w:spacing w:val="-6"/>
          <w:sz w:val="24"/>
          <w:szCs w:val="24"/>
        </w:rPr>
        <w:t>。</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4、此表在不改变格式要求的情况下，可自行制作。</w:t>
      </w:r>
    </w:p>
    <w:p>
      <w:pPr>
        <w:snapToGrid w:val="0"/>
        <w:spacing w:before="50" w:after="50" w:line="360" w:lineRule="auto"/>
        <w:ind w:right="-1089" w:rightChars="-389"/>
        <w:rPr>
          <w:rFonts w:ascii="宋体" w:hAnsi="宋体"/>
          <w:color w:val="000000"/>
          <w:spacing w:val="-6"/>
          <w:sz w:val="24"/>
        </w:rPr>
      </w:pPr>
      <w:r>
        <w:rPr>
          <w:rFonts w:hint="eastAsia" w:ascii="宋体" w:hAnsi="宋体"/>
          <w:color w:val="000000"/>
          <w:spacing w:val="-6"/>
          <w:sz w:val="24"/>
        </w:rPr>
        <w:t>授权代表签字：</w:t>
      </w:r>
    </w:p>
    <w:p>
      <w:pPr>
        <w:snapToGrid w:val="0"/>
        <w:spacing w:before="50" w:after="50" w:line="360" w:lineRule="auto"/>
        <w:ind w:left="-61" w:leftChars="-72" w:right="-1089" w:rightChars="-389" w:hanging="141" w:hangingChars="62"/>
        <w:rPr>
          <w:rFonts w:ascii="宋体" w:hAnsi="宋体"/>
          <w:color w:val="000000"/>
          <w:spacing w:val="-6"/>
          <w:sz w:val="24"/>
        </w:rPr>
      </w:pPr>
    </w:p>
    <w:p>
      <w:pPr>
        <w:jc w:val="center"/>
      </w:pPr>
      <w:r>
        <w:rPr>
          <w:rFonts w:hint="eastAsia" w:ascii="宋体" w:hAnsi="宋体"/>
          <w:color w:val="000000"/>
          <w:spacing w:val="-6"/>
          <w:sz w:val="24"/>
        </w:rPr>
        <w:t>投标人名称（盖章）：                                 日期：    年   月   日</w:t>
      </w:r>
    </w:p>
    <w:p/>
    <w:p/>
    <w:p>
      <w:pPr>
        <w:jc w:val="both"/>
        <w:rPr>
          <w:rFonts w:ascii="宋体" w:hAnsi="宋体"/>
          <w:spacing w:val="-6"/>
          <w:sz w:val="24"/>
        </w:rPr>
      </w:pPr>
    </w:p>
    <w:p>
      <w:pPr>
        <w:jc w:val="center"/>
        <w:rPr>
          <w:rFonts w:ascii="宋体" w:hAnsi="宋体"/>
          <w:spacing w:val="-6"/>
          <w:sz w:val="24"/>
        </w:rPr>
      </w:pPr>
    </w:p>
    <w:p>
      <w:pPr>
        <w:jc w:val="center"/>
        <w:rPr>
          <w:rStyle w:val="41"/>
          <w:rFonts w:ascii="华文中宋" w:hAnsi="华文中宋" w:eastAsia="华文中宋"/>
          <w:color w:val="auto"/>
          <w:sz w:val="28"/>
          <w:szCs w:val="28"/>
        </w:rPr>
      </w:pPr>
      <w:r>
        <w:rPr>
          <w:rStyle w:val="41"/>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1"/>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1"/>
          <w:rFonts w:ascii="华文中宋" w:hAnsi="华文中宋" w:eastAsia="华文中宋"/>
          <w:color w:val="auto"/>
          <w:sz w:val="28"/>
          <w:szCs w:val="28"/>
        </w:rPr>
      </w:pPr>
      <w:r>
        <w:rPr>
          <w:rFonts w:hAnsi="宋体"/>
          <w:sz w:val="32"/>
          <w:szCs w:val="32"/>
        </w:rPr>
        <w:br w:type="page"/>
      </w:r>
      <w:r>
        <w:rPr>
          <w:rStyle w:val="41"/>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8" w:name="_Toc23828483"/>
      <w:bookmarkStart w:id="119" w:name="_Toc22356583"/>
      <w:bookmarkStart w:id="120" w:name="_Toc24878535"/>
      <w:bookmarkStart w:id="121" w:name="_Toc513029281"/>
      <w:bookmarkStart w:id="122" w:name="_Toc26554103"/>
      <w:bookmarkStart w:id="123" w:name="_Toc49090582"/>
      <w:bookmarkStart w:id="124" w:name="_Toc120614291"/>
      <w:bookmarkStart w:id="125"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18"/>
      <w:bookmarkEnd w:id="119"/>
      <w:bookmarkEnd w:id="120"/>
      <w:bookmarkEnd w:id="121"/>
      <w:bookmarkEnd w:id="122"/>
      <w:bookmarkEnd w:id="123"/>
      <w:bookmarkEnd w:id="124"/>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bCs/>
          <w:sz w:val="24"/>
          <w:szCs w:val="24"/>
        </w:rPr>
        <w:t>皖南医学院2022-2024年财务审计服务项目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1"/>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2"/>
        <w:ind w:firstLine="0" w:firstLineChars="0"/>
        <w:rPr>
          <w:rFonts w:hAnsi="宋体" w:eastAsia="宋体"/>
          <w:sz w:val="24"/>
          <w:szCs w:val="24"/>
        </w:rPr>
      </w:pPr>
    </w:p>
    <w:p>
      <w:pPr>
        <w:pStyle w:val="32"/>
        <w:ind w:firstLine="0" w:firstLineChars="0"/>
        <w:rPr>
          <w:rFonts w:hAnsi="宋体" w:eastAsia="宋体"/>
          <w:sz w:val="24"/>
          <w:szCs w:val="24"/>
        </w:rPr>
      </w:pPr>
    </w:p>
    <w:bookmarkEnd w:id="125"/>
    <w:p>
      <w:pPr>
        <w:jc w:val="center"/>
        <w:rPr>
          <w:rStyle w:val="41"/>
          <w:rFonts w:ascii="华文中宋" w:hAnsi="华文中宋" w:eastAsia="华文中宋"/>
          <w:b w:val="0"/>
          <w:color w:val="auto"/>
          <w:sz w:val="28"/>
          <w:szCs w:val="28"/>
        </w:rPr>
      </w:pPr>
      <w:bookmarkStart w:id="126" w:name="_Toc120614283"/>
      <w:bookmarkStart w:id="127" w:name="_Toc22356580"/>
      <w:bookmarkStart w:id="128" w:name="_Toc513029276"/>
      <w:bookmarkStart w:id="129" w:name="_Toc49090577"/>
      <w:bookmarkStart w:id="130" w:name="_Toc26554095"/>
      <w:bookmarkStart w:id="131" w:name="_Toc23828478"/>
      <w:bookmarkStart w:id="132" w:name="_Toc460901585"/>
      <w:r>
        <w:rPr>
          <w:rFonts w:hint="eastAsia" w:ascii="华文中宋" w:hAnsi="华文中宋" w:eastAsia="华文中宋"/>
          <w:b/>
          <w:spacing w:val="-6"/>
          <w:szCs w:val="28"/>
        </w:rPr>
        <w:t>四、</w:t>
      </w:r>
      <w:r>
        <w:rPr>
          <w:rStyle w:val="41"/>
          <w:rFonts w:hint="eastAsia" w:ascii="华文中宋" w:hAnsi="华文中宋" w:eastAsia="华文中宋"/>
          <w:color w:val="auto"/>
          <w:sz w:val="28"/>
          <w:szCs w:val="28"/>
        </w:rPr>
        <w:t>磋商函格式</w:t>
      </w:r>
    </w:p>
    <w:bookmarkEnd w:id="126"/>
    <w:bookmarkEnd w:id="127"/>
    <w:bookmarkEnd w:id="128"/>
    <w:bookmarkEnd w:id="129"/>
    <w:bookmarkEnd w:id="130"/>
    <w:bookmarkEnd w:id="131"/>
    <w:bookmarkEnd w:id="132"/>
    <w:p>
      <w:pPr>
        <w:tabs>
          <w:tab w:val="left" w:pos="5580"/>
        </w:tabs>
        <w:spacing w:line="480" w:lineRule="exact"/>
        <w:rPr>
          <w:rStyle w:val="41"/>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皖南医学院2022-2024年财务审计服务项目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3"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3"/>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4" w:name="OLE_LINK3"/>
      <w:bookmarkStart w:id="135" w:name="OLE_LINK2"/>
      <w:bookmarkStart w:id="136" w:name="OLE_LINK1"/>
      <w:r>
        <w:rPr>
          <w:rFonts w:hint="eastAsia" w:ascii="仿宋_GB2312" w:eastAsia="仿宋_GB2312" w:cs="宋体" w:hAnsiTheme="minorEastAsia"/>
          <w:sz w:val="24"/>
          <w:szCs w:val="24"/>
        </w:rPr>
        <w:t>学校采购活动</w:t>
      </w:r>
      <w:bookmarkEnd w:id="134"/>
      <w:bookmarkEnd w:id="135"/>
      <w:bookmarkEnd w:id="136"/>
      <w:r>
        <w:rPr>
          <w:rFonts w:hint="eastAsia" w:ascii="仿宋_GB2312" w:eastAsia="仿宋_GB2312" w:cs="宋体" w:hAnsiTheme="minorEastAsia"/>
          <w:sz w:val="24"/>
          <w:szCs w:val="24"/>
        </w:rPr>
        <w:t>质疑的提出和答复、投诉的提起和处理。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7" w:name="OLE_LINK5"/>
      <w:bookmarkStart w:id="138" w:name="OLE_LINK6"/>
      <w:bookmarkStart w:id="139" w:name="OLE_LINK7"/>
      <w:bookmarkStart w:id="140" w:name="OLE_LINK8"/>
      <w:bookmarkStart w:id="141" w:name="OLE_LINK4"/>
      <w:bookmarkStart w:id="142" w:name="OLE_LINK9"/>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37"/>
      <w:bookmarkEnd w:id="138"/>
      <w:bookmarkEnd w:id="139"/>
      <w:bookmarkEnd w:id="140"/>
      <w:bookmarkEnd w:id="141"/>
      <w:bookmarkEnd w:id="142"/>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3" w:name="OLE_LINK78"/>
      <w:bookmarkStart w:id="144" w:name="OLE_LINK77"/>
      <w:bookmarkStart w:id="145" w:name="OLE_LINK76"/>
      <w:r>
        <w:rPr>
          <w:rFonts w:hint="eastAsia" w:ascii="仿宋_GB2312" w:hAnsi="微软雅黑" w:eastAsia="仿宋_GB2312"/>
          <w:sz w:val="24"/>
          <w:szCs w:val="24"/>
        </w:rPr>
        <w:t>国资处、采购代理机构</w:t>
      </w:r>
      <w:bookmarkEnd w:id="143"/>
      <w:bookmarkEnd w:id="144"/>
      <w:bookmarkEnd w:id="145"/>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4"/>
          <w:rFonts w:hint="eastAsia" w:ascii="黑体" w:hAnsi="黑体" w:eastAsia="黑体"/>
          <w:sz w:val="30"/>
          <w:szCs w:val="30"/>
        </w:rPr>
        <w:t xml:space="preserve">第五章 </w:t>
      </w:r>
      <w:r>
        <w:rPr>
          <w:rStyle w:val="24"/>
          <w:rFonts w:hint="eastAsia" w:ascii="微软雅黑" w:hAnsi="微软雅黑" w:eastAsia="黑体"/>
          <w:sz w:val="30"/>
          <w:szCs w:val="30"/>
        </w:rPr>
        <w:t> </w:t>
      </w:r>
      <w:r>
        <w:rPr>
          <w:rStyle w:val="24"/>
          <w:rFonts w:hint="eastAsia" w:ascii="黑体" w:hAnsi="黑体" w:eastAsia="黑体"/>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6" w:name="OLE_LINK13"/>
      <w:bookmarkStart w:id="147" w:name="OLE_LINK11"/>
      <w:bookmarkStart w:id="148" w:name="OLE_LINK12"/>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6"/>
      <w:bookmarkEnd w:id="147"/>
      <w:bookmarkEnd w:id="148"/>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9" w:name="OLE_LINK14"/>
      <w:bookmarkStart w:id="150" w:name="OLE_LINK15"/>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9"/>
    <w:bookmarkEnd w:id="150"/>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Style w:val="24"/>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4"/>
          <w:rFonts w:hint="eastAsia" w:ascii="黑体" w:hAnsi="黑体" w:eastAsia="黑体"/>
          <w:sz w:val="30"/>
          <w:szCs w:val="30"/>
        </w:rPr>
        <w:t xml:space="preserve">第六章 </w:t>
      </w:r>
      <w:r>
        <w:rPr>
          <w:rStyle w:val="24"/>
          <w:rFonts w:hint="eastAsia" w:ascii="微软雅黑" w:hAnsi="微软雅黑" w:eastAsia="黑体"/>
          <w:sz w:val="30"/>
          <w:szCs w:val="30"/>
        </w:rPr>
        <w:t> </w:t>
      </w:r>
      <w:r>
        <w:rPr>
          <w:rStyle w:val="24"/>
          <w:rFonts w:hint="eastAsia" w:ascii="黑体" w:hAnsi="黑体" w:eastAsia="黑体"/>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4"/>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1" w:name="OLE_LINK16"/>
      <w:bookmarkStart w:id="152" w:name="OLE_LINK17"/>
      <w:bookmarkStart w:id="153" w:name="OLE_LINK18"/>
      <w:r>
        <w:rPr>
          <w:rFonts w:hint="eastAsia" w:ascii="仿宋_GB2312" w:hAnsi="宋体" w:eastAsia="仿宋_GB2312" w:cs="宋体"/>
          <w:sz w:val="24"/>
          <w:szCs w:val="24"/>
        </w:rPr>
        <w:t>规</w:t>
      </w:r>
      <w:bookmarkEnd w:id="151"/>
      <w:bookmarkEnd w:id="152"/>
      <w:bookmarkEnd w:id="153"/>
      <w:r>
        <w:rPr>
          <w:rFonts w:hint="eastAsia" w:ascii="仿宋_GB2312" w:hAnsi="宋体" w:eastAsia="仿宋_GB2312" w:cs="宋体"/>
          <w:sz w:val="24"/>
          <w:szCs w:val="24"/>
        </w:rPr>
        <w:t>追究其相应责任。</w:t>
      </w:r>
    </w:p>
    <w:p>
      <w:pPr>
        <w:pStyle w:val="19"/>
        <w:shd w:val="clear" w:color="auto" w:fill="FFFFFF"/>
        <w:adjustRightInd w:val="0"/>
        <w:snapToGrid w:val="0"/>
        <w:spacing w:before="0" w:beforeAutospacing="0" w:after="0" w:afterAutospacing="0" w:line="560" w:lineRule="exact"/>
        <w:ind w:firstLine="482" w:firstLineChars="200"/>
        <w:jc w:val="both"/>
        <w:rPr>
          <w:rStyle w:val="24"/>
          <w:rFonts w:ascii="仿宋_GB2312" w:hAnsi="微软雅黑" w:eastAsia="仿宋_GB2312"/>
          <w:sz w:val="24"/>
          <w:szCs w:val="24"/>
        </w:rPr>
      </w:pPr>
      <w:r>
        <w:rPr>
          <w:rStyle w:val="24"/>
          <w:rFonts w:hint="eastAsia" w:ascii="仿宋_GB2312" w:hAnsi="微软雅黑" w:eastAsia="仿宋_GB2312"/>
          <w:sz w:val="24"/>
          <w:szCs w:val="24"/>
        </w:rPr>
        <w:t>　</w:t>
      </w:r>
    </w:p>
    <w:p>
      <w:pPr>
        <w:pStyle w:val="19"/>
        <w:shd w:val="clear" w:color="auto" w:fill="FFFFFF"/>
        <w:adjustRightInd w:val="0"/>
        <w:snapToGrid w:val="0"/>
        <w:spacing w:before="0" w:beforeAutospacing="0" w:after="0" w:afterAutospacing="0" w:line="560" w:lineRule="exact"/>
        <w:jc w:val="center"/>
        <w:rPr>
          <w:rStyle w:val="24"/>
          <w:rFonts w:ascii="黑体" w:hAnsi="黑体" w:eastAsia="黑体"/>
          <w:sz w:val="24"/>
          <w:szCs w:val="24"/>
        </w:rPr>
      </w:pPr>
      <w:r>
        <w:rPr>
          <w:rStyle w:val="24"/>
          <w:rFonts w:hint="eastAsia" w:ascii="黑体" w:hAnsi="黑体" w:eastAsia="黑体"/>
          <w:sz w:val="24"/>
          <w:szCs w:val="24"/>
        </w:rPr>
        <w:t xml:space="preserve">第七章 </w:t>
      </w:r>
      <w:r>
        <w:rPr>
          <w:rStyle w:val="24"/>
          <w:rFonts w:hint="eastAsia" w:ascii="微软雅黑" w:hAnsi="微软雅黑" w:eastAsia="黑体"/>
          <w:sz w:val="24"/>
          <w:szCs w:val="24"/>
        </w:rPr>
        <w:t> </w:t>
      </w:r>
      <w:r>
        <w:rPr>
          <w:rStyle w:val="24"/>
          <w:rFonts w:hint="eastAsia" w:ascii="黑体" w:hAnsi="黑体" w:eastAsia="黑体"/>
          <w:sz w:val="24"/>
          <w:szCs w:val="24"/>
        </w:rPr>
        <w:t>附则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jc w:val="center"/>
        <w:rPr>
          <w:rFonts w:hint="eastAsia" w:eastAsia="方正小标宋简体" w:cs="方正小标宋简体"/>
          <w:color w:val="000000"/>
          <w:kern w:val="0"/>
          <w:sz w:val="30"/>
          <w:szCs w:val="30"/>
        </w:rPr>
      </w:pPr>
      <w:r>
        <w:rPr>
          <w:rFonts w:hint="eastAsia" w:eastAsia="方正小标宋简体" w:cs="方正小标宋简体"/>
          <w:color w:val="000000"/>
          <w:kern w:val="0"/>
          <w:sz w:val="30"/>
          <w:szCs w:val="30"/>
        </w:rPr>
        <w:t xml:space="preserve">附表1        </w:t>
      </w:r>
    </w:p>
    <w:p>
      <w:pPr>
        <w:jc w:val="center"/>
        <w:rPr>
          <w:rFonts w:ascii="宋体" w:cs="宋体"/>
          <w:b/>
          <w:bCs/>
          <w:sz w:val="35"/>
          <w:szCs w:val="35"/>
        </w:rPr>
      </w:pPr>
      <w:r>
        <w:rPr>
          <w:rFonts w:hint="eastAsia" w:ascii="宋体" w:hAnsi="宋体" w:cs="宋体"/>
          <w:b/>
          <w:bCs/>
          <w:sz w:val="35"/>
          <w:szCs w:val="35"/>
        </w:rPr>
        <w:t>皖南医学院审计处委托社会审计事务所考评表</w:t>
      </w:r>
    </w:p>
    <w:p>
      <w:pPr>
        <w:jc w:val="left"/>
        <w:rPr>
          <w:rFonts w:ascii="宋体" w:cs="宋体"/>
          <w:sz w:val="25"/>
          <w:szCs w:val="25"/>
        </w:rPr>
      </w:pPr>
    </w:p>
    <w:p>
      <w:pPr>
        <w:jc w:val="left"/>
        <w:rPr>
          <w:rFonts w:hint="eastAsia" w:ascii="宋体" w:hAnsi="宋体" w:cs="宋体"/>
          <w:sz w:val="25"/>
          <w:szCs w:val="25"/>
        </w:rPr>
      </w:pPr>
      <w:r>
        <w:rPr>
          <w:rFonts w:hint="eastAsia" w:ascii="宋体" w:hAnsi="宋体" w:cs="宋体"/>
          <w:sz w:val="25"/>
          <w:szCs w:val="25"/>
        </w:rPr>
        <w:t>委托社会审计事务所：</w:t>
      </w:r>
    </w:p>
    <w:p>
      <w:pPr>
        <w:jc w:val="left"/>
        <w:rPr>
          <w:rFonts w:hint="eastAsia" w:ascii="宋体" w:eastAsia="宋体" w:cs="宋体"/>
          <w:sz w:val="25"/>
          <w:szCs w:val="25"/>
          <w:lang w:val="en-US" w:eastAsia="zh-CN"/>
        </w:rPr>
      </w:pPr>
      <w:r>
        <w:rPr>
          <w:rFonts w:hint="eastAsia" w:ascii="宋体" w:hAnsi="宋体" w:cs="宋体"/>
          <w:sz w:val="25"/>
          <w:szCs w:val="25"/>
        </w:rPr>
        <w:t>参与审计项目</w:t>
      </w:r>
      <w:r>
        <w:rPr>
          <w:rFonts w:hint="eastAsia" w:ascii="宋体" w:hAnsi="宋体" w:cs="宋体"/>
          <w:sz w:val="25"/>
          <w:szCs w:val="25"/>
          <w:lang w:val="en-US" w:eastAsia="zh-CN"/>
        </w:rPr>
        <w:t>:</w:t>
      </w:r>
    </w:p>
    <w:tbl>
      <w:tblPr>
        <w:tblStyle w:val="21"/>
        <w:tblW w:w="4998"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 w:type="dxa"/>
          <w:bottom w:w="0" w:type="dxa"/>
          <w:right w:w="10" w:type="dxa"/>
        </w:tblCellMar>
      </w:tblPr>
      <w:tblGrid>
        <w:gridCol w:w="1130"/>
        <w:gridCol w:w="1059"/>
        <w:gridCol w:w="4899"/>
        <w:gridCol w:w="606"/>
        <w:gridCol w:w="62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557" w:hRule="atLeast"/>
        </w:trPr>
        <w:tc>
          <w:tcPr>
            <w:tcW w:w="679" w:type="pct"/>
            <w:vAlign w:val="center"/>
          </w:tcPr>
          <w:p>
            <w:pPr>
              <w:jc w:val="center"/>
              <w:rPr>
                <w:rFonts w:ascii="宋体" w:cs="宋体"/>
                <w:sz w:val="25"/>
                <w:szCs w:val="25"/>
              </w:rPr>
            </w:pPr>
            <w:r>
              <w:rPr>
                <w:rFonts w:hint="eastAsia" w:ascii="宋体" w:hAnsi="宋体" w:cs="宋体"/>
                <w:sz w:val="25"/>
                <w:szCs w:val="25"/>
              </w:rPr>
              <w:t>审计项目</w:t>
            </w:r>
          </w:p>
        </w:tc>
        <w:tc>
          <w:tcPr>
            <w:tcW w:w="636" w:type="pct"/>
            <w:vAlign w:val="center"/>
          </w:tcPr>
          <w:p>
            <w:pPr>
              <w:jc w:val="center"/>
              <w:rPr>
                <w:rFonts w:ascii="宋体" w:cs="宋体"/>
                <w:sz w:val="25"/>
                <w:szCs w:val="25"/>
              </w:rPr>
            </w:pPr>
            <w:r>
              <w:rPr>
                <w:rFonts w:hint="eastAsia" w:ascii="宋体" w:hAnsi="宋体" w:cs="宋体"/>
                <w:sz w:val="25"/>
                <w:szCs w:val="25"/>
              </w:rPr>
              <w:t>分类</w:t>
            </w:r>
          </w:p>
        </w:tc>
        <w:tc>
          <w:tcPr>
            <w:tcW w:w="2943" w:type="pct"/>
            <w:vAlign w:val="center"/>
          </w:tcPr>
          <w:p>
            <w:pPr>
              <w:jc w:val="center"/>
              <w:rPr>
                <w:rFonts w:ascii="宋体" w:cs="宋体"/>
                <w:sz w:val="25"/>
                <w:szCs w:val="25"/>
              </w:rPr>
            </w:pPr>
            <w:r>
              <w:rPr>
                <w:rFonts w:hint="eastAsia" w:ascii="宋体" w:hAnsi="宋体" w:cs="宋体"/>
                <w:sz w:val="25"/>
                <w:szCs w:val="25"/>
              </w:rPr>
              <w:t>考评内容</w:t>
            </w:r>
          </w:p>
        </w:tc>
        <w:tc>
          <w:tcPr>
            <w:tcW w:w="364" w:type="pct"/>
            <w:vAlign w:val="center"/>
          </w:tcPr>
          <w:p>
            <w:pPr>
              <w:jc w:val="center"/>
              <w:rPr>
                <w:rFonts w:ascii="宋体" w:cs="宋体"/>
                <w:sz w:val="25"/>
                <w:szCs w:val="25"/>
              </w:rPr>
            </w:pPr>
            <w:r>
              <w:rPr>
                <w:rFonts w:hint="eastAsia" w:ascii="宋体" w:hAnsi="宋体" w:cs="宋体"/>
                <w:sz w:val="25"/>
                <w:szCs w:val="25"/>
              </w:rPr>
              <w:t>得分</w:t>
            </w:r>
          </w:p>
        </w:tc>
        <w:tc>
          <w:tcPr>
            <w:tcW w:w="375" w:type="pct"/>
            <w:vAlign w:val="center"/>
          </w:tcPr>
          <w:p>
            <w:pPr>
              <w:jc w:val="center"/>
              <w:rPr>
                <w:rFonts w:ascii="宋体" w:cs="宋体"/>
                <w:sz w:val="25"/>
                <w:szCs w:val="25"/>
              </w:rPr>
            </w:pPr>
            <w:r>
              <w:rPr>
                <w:rFonts w:hint="eastAsia" w:ascii="宋体" w:hAnsi="宋体" w:cs="宋体"/>
                <w:sz w:val="25"/>
                <w:szCs w:val="25"/>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557" w:hRule="atLeast"/>
        </w:trPr>
        <w:tc>
          <w:tcPr>
            <w:tcW w:w="679" w:type="pct"/>
            <w:vMerge w:val="restart"/>
            <w:vAlign w:val="center"/>
          </w:tcPr>
          <w:p>
            <w:pPr>
              <w:jc w:val="center"/>
              <w:rPr>
                <w:rFonts w:ascii="宋体" w:cs="宋体"/>
                <w:sz w:val="25"/>
                <w:szCs w:val="25"/>
              </w:rPr>
            </w:pPr>
            <w:r>
              <w:rPr>
                <w:rFonts w:hint="eastAsia" w:ascii="宋体" w:hAnsi="宋体" w:cs="宋体"/>
                <w:sz w:val="25"/>
                <w:szCs w:val="25"/>
              </w:rPr>
              <w:t>人员配备</w:t>
            </w:r>
            <w:r>
              <w:rPr>
                <w:rFonts w:ascii="宋体" w:hAnsi="宋体" w:cs="宋体"/>
                <w:sz w:val="25"/>
                <w:szCs w:val="25"/>
              </w:rPr>
              <w:t>(20</w:t>
            </w:r>
            <w:r>
              <w:rPr>
                <w:rFonts w:hint="eastAsia" w:ascii="宋体" w:hAnsi="宋体" w:cs="宋体"/>
                <w:sz w:val="25"/>
                <w:szCs w:val="25"/>
              </w:rPr>
              <w:t>分</w:t>
            </w:r>
            <w:r>
              <w:rPr>
                <w:rFonts w:ascii="宋体" w:hAnsi="宋体" w:cs="宋体"/>
                <w:sz w:val="25"/>
                <w:szCs w:val="25"/>
              </w:rPr>
              <w:t>)</w:t>
            </w:r>
          </w:p>
        </w:tc>
        <w:tc>
          <w:tcPr>
            <w:tcW w:w="636" w:type="pct"/>
            <w:vAlign w:val="center"/>
          </w:tcPr>
          <w:p>
            <w:pPr>
              <w:jc w:val="center"/>
              <w:rPr>
                <w:rFonts w:ascii="宋体" w:hAnsi="宋体" w:cs="宋体"/>
                <w:sz w:val="25"/>
                <w:szCs w:val="25"/>
              </w:rPr>
            </w:pPr>
            <w:r>
              <w:rPr>
                <w:rFonts w:hint="eastAsia" w:ascii="宋体" w:hAnsi="宋体" w:cs="宋体"/>
                <w:sz w:val="25"/>
                <w:szCs w:val="25"/>
              </w:rPr>
              <w:t>人员资格</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人员职称、资格证书情况</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人员能力</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人员综合素质及能力</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人员分工</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审计小组审核、复核分工、职责等</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时间保证</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项目的时间分配</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557" w:hRule="atLeast"/>
        </w:trPr>
        <w:tc>
          <w:tcPr>
            <w:tcW w:w="679" w:type="pct"/>
            <w:vMerge w:val="restart"/>
            <w:vAlign w:val="center"/>
          </w:tcPr>
          <w:p>
            <w:pPr>
              <w:jc w:val="center"/>
              <w:rPr>
                <w:rFonts w:ascii="宋体" w:cs="宋体"/>
                <w:sz w:val="25"/>
                <w:szCs w:val="25"/>
              </w:rPr>
            </w:pPr>
            <w:r>
              <w:rPr>
                <w:rFonts w:hint="eastAsia" w:ascii="宋体" w:hAnsi="宋体" w:cs="宋体"/>
                <w:sz w:val="25"/>
                <w:szCs w:val="25"/>
              </w:rPr>
              <w:t>审计实施</w:t>
            </w:r>
            <w:r>
              <w:rPr>
                <w:rFonts w:ascii="宋体" w:hAnsi="宋体" w:cs="宋体"/>
                <w:sz w:val="25"/>
                <w:szCs w:val="25"/>
              </w:rPr>
              <w:t>(30</w:t>
            </w:r>
            <w:r>
              <w:rPr>
                <w:rFonts w:hint="eastAsia" w:ascii="宋体" w:hAnsi="宋体" w:cs="宋体"/>
                <w:sz w:val="25"/>
                <w:szCs w:val="25"/>
              </w:rPr>
              <w:t>分</w:t>
            </w:r>
            <w:r>
              <w:rPr>
                <w:rFonts w:ascii="宋体" w:hAnsi="宋体" w:cs="宋体"/>
                <w:sz w:val="25"/>
                <w:szCs w:val="25"/>
              </w:rPr>
              <w:t>)</w:t>
            </w:r>
          </w:p>
        </w:tc>
        <w:tc>
          <w:tcPr>
            <w:tcW w:w="636" w:type="pct"/>
            <w:vAlign w:val="center"/>
          </w:tcPr>
          <w:p>
            <w:pPr>
              <w:jc w:val="center"/>
              <w:rPr>
                <w:rFonts w:ascii="宋体" w:hAnsi="宋体" w:cs="宋体"/>
                <w:sz w:val="25"/>
                <w:szCs w:val="25"/>
              </w:rPr>
            </w:pPr>
            <w:r>
              <w:rPr>
                <w:rFonts w:hint="eastAsia" w:ascii="宋体" w:hAnsi="宋体" w:cs="宋体"/>
                <w:sz w:val="25"/>
                <w:szCs w:val="25"/>
              </w:rPr>
              <w:t>审计方案</w:t>
            </w:r>
            <w:r>
              <w:rPr>
                <w:rFonts w:ascii="宋体" w:hAnsi="宋体" w:cs="宋体"/>
                <w:sz w:val="25"/>
                <w:szCs w:val="25"/>
              </w:rPr>
              <w:t>(10</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方案的可行性、科学性：程序的连续性和可实施性</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沟通协调</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与审计处及被审计单位的沟通交流是否及时通畅</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时间掌握</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是否按时间安排完成项目审计</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审计档案</w:t>
            </w:r>
            <w:r>
              <w:rPr>
                <w:rFonts w:ascii="宋体" w:hAnsi="宋体" w:cs="宋体"/>
                <w:sz w:val="25"/>
                <w:szCs w:val="25"/>
              </w:rPr>
              <w:t>(10</w:t>
            </w:r>
            <w:r>
              <w:rPr>
                <w:rFonts w:hint="eastAsia" w:ascii="宋体" w:hAnsi="宋体" w:cs="宋体"/>
                <w:sz w:val="25"/>
                <w:szCs w:val="25"/>
              </w:rPr>
              <w:t>分</w:t>
            </w:r>
            <w:r>
              <w:rPr>
                <w:rFonts w:ascii="宋体" w:hAnsi="宋体" w:cs="宋体"/>
                <w:sz w:val="25"/>
                <w:szCs w:val="25"/>
              </w:rPr>
              <w:t>)</w:t>
            </w:r>
          </w:p>
        </w:tc>
        <w:tc>
          <w:tcPr>
            <w:tcW w:w="2943" w:type="pct"/>
            <w:vAlign w:val="center"/>
          </w:tcPr>
          <w:p>
            <w:pPr>
              <w:jc w:val="left"/>
              <w:rPr>
                <w:rFonts w:ascii="宋体" w:cs="宋体"/>
                <w:sz w:val="25"/>
                <w:szCs w:val="25"/>
              </w:rPr>
            </w:pPr>
            <w:r>
              <w:rPr>
                <w:rFonts w:hint="eastAsia" w:ascii="宋体" w:hAnsi="宋体" w:cs="宋体"/>
                <w:sz w:val="25"/>
                <w:szCs w:val="25"/>
              </w:rPr>
              <w:t>审计日记、工作底稿及其他审计资料的合规性、可读性、完整性、及时性</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557" w:hRule="atLeast"/>
        </w:trPr>
        <w:tc>
          <w:tcPr>
            <w:tcW w:w="679" w:type="pct"/>
            <w:vMerge w:val="restart"/>
            <w:vAlign w:val="center"/>
          </w:tcPr>
          <w:p>
            <w:pPr>
              <w:jc w:val="center"/>
              <w:rPr>
                <w:rFonts w:ascii="宋体" w:cs="宋体"/>
                <w:sz w:val="25"/>
                <w:szCs w:val="25"/>
              </w:rPr>
            </w:pPr>
            <w:r>
              <w:rPr>
                <w:rFonts w:hint="eastAsia" w:ascii="宋体" w:hAnsi="宋体" w:cs="宋体"/>
                <w:sz w:val="25"/>
                <w:szCs w:val="25"/>
              </w:rPr>
              <w:t>报告质量</w:t>
            </w:r>
            <w:r>
              <w:rPr>
                <w:rFonts w:ascii="宋体" w:hAnsi="宋体" w:cs="宋体"/>
                <w:sz w:val="25"/>
                <w:szCs w:val="25"/>
              </w:rPr>
              <w:t>(30</w:t>
            </w:r>
            <w:r>
              <w:rPr>
                <w:rFonts w:hint="eastAsia" w:ascii="宋体" w:hAnsi="宋体" w:cs="宋体"/>
                <w:sz w:val="25"/>
                <w:szCs w:val="25"/>
              </w:rPr>
              <w:t>分</w:t>
            </w:r>
            <w:r>
              <w:rPr>
                <w:rFonts w:ascii="宋体" w:hAnsi="宋体" w:cs="宋体"/>
                <w:sz w:val="25"/>
                <w:szCs w:val="25"/>
              </w:rPr>
              <w:t>)</w:t>
            </w:r>
          </w:p>
        </w:tc>
        <w:tc>
          <w:tcPr>
            <w:tcW w:w="636" w:type="pct"/>
            <w:vAlign w:val="center"/>
          </w:tcPr>
          <w:p>
            <w:pPr>
              <w:jc w:val="center"/>
              <w:rPr>
                <w:rFonts w:ascii="宋体" w:hAnsi="宋体" w:cs="宋体"/>
                <w:sz w:val="25"/>
                <w:szCs w:val="25"/>
              </w:rPr>
            </w:pPr>
            <w:r>
              <w:rPr>
                <w:rFonts w:hint="eastAsia" w:ascii="宋体" w:hAnsi="宋体" w:cs="宋体"/>
                <w:sz w:val="25"/>
                <w:szCs w:val="25"/>
              </w:rPr>
              <w:t>格式要求</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报告格式美观、层次清晰，无错别字</w:t>
            </w:r>
          </w:p>
        </w:tc>
        <w:tc>
          <w:tcPr>
            <w:tcW w:w="364" w:type="pct"/>
            <w:vAlign w:val="center"/>
          </w:tcPr>
          <w:p>
            <w:pPr>
              <w:jc w:val="center"/>
              <w:rPr>
                <w:rFonts w:asci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遣词造句</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用词准确，语句通顺，整体逻辑性强</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问题建议</w:t>
            </w:r>
            <w:r>
              <w:rPr>
                <w:rFonts w:ascii="宋体" w:hAnsi="宋体" w:cs="宋体"/>
                <w:sz w:val="25"/>
                <w:szCs w:val="25"/>
              </w:rPr>
              <w:t>(10</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发现问题并提出解决问题的合理化建议</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报告水平</w:t>
            </w:r>
            <w:r>
              <w:rPr>
                <w:rFonts w:ascii="宋体" w:hAnsi="宋体" w:cs="宋体"/>
                <w:sz w:val="25"/>
                <w:szCs w:val="25"/>
              </w:rPr>
              <w:t>(10</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报告描述是否清晰、内容是否有明显错漏，问题定性是否准确、建议是否合理</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restart"/>
            <w:vAlign w:val="center"/>
          </w:tcPr>
          <w:p>
            <w:pPr>
              <w:jc w:val="center"/>
              <w:rPr>
                <w:rFonts w:ascii="宋体" w:cs="宋体"/>
                <w:sz w:val="25"/>
                <w:szCs w:val="25"/>
              </w:rPr>
            </w:pPr>
            <w:r>
              <w:rPr>
                <w:rFonts w:hint="eastAsia" w:cs="宋体"/>
              </w:rPr>
              <w:t>奖惩情况</w:t>
            </w:r>
            <w:r>
              <w:t>(20</w:t>
            </w:r>
            <w:r>
              <w:rPr>
                <w:rFonts w:hint="eastAsia" w:cs="宋体"/>
              </w:rPr>
              <w:t>分</w:t>
            </w:r>
            <w:r>
              <w:t>)</w:t>
            </w:r>
          </w:p>
        </w:tc>
        <w:tc>
          <w:tcPr>
            <w:tcW w:w="636" w:type="pct"/>
            <w:vAlign w:val="center"/>
          </w:tcPr>
          <w:p>
            <w:pPr>
              <w:jc w:val="center"/>
              <w:rPr>
                <w:rFonts w:ascii="宋体" w:hAnsi="宋体" w:cs="宋体"/>
                <w:sz w:val="25"/>
                <w:szCs w:val="25"/>
              </w:rPr>
            </w:pPr>
            <w:r>
              <w:rPr>
                <w:rFonts w:hint="eastAsia" w:ascii="宋体" w:hAnsi="宋体" w:cs="宋体"/>
                <w:sz w:val="25"/>
                <w:szCs w:val="25"/>
              </w:rPr>
              <w:t>完善管理</w:t>
            </w:r>
            <w:r>
              <w:rPr>
                <w:rFonts w:ascii="宋体" w:hAnsi="宋体" w:cs="宋体"/>
                <w:sz w:val="25"/>
                <w:szCs w:val="25"/>
              </w:rPr>
              <w:t>(10</w:t>
            </w:r>
            <w:r>
              <w:rPr>
                <w:rFonts w:hint="eastAsia" w:ascii="宋体" w:hAnsi="宋体" w:cs="宋体"/>
                <w:sz w:val="25"/>
                <w:szCs w:val="25"/>
              </w:rPr>
              <w:t>分</w:t>
            </w:r>
            <w:r>
              <w:rPr>
                <w:rFonts w:ascii="宋体" w:hAnsi="宋体" w:cs="宋体"/>
                <w:sz w:val="25"/>
                <w:szCs w:val="25"/>
              </w:rPr>
              <w:t>)</w:t>
            </w:r>
          </w:p>
        </w:tc>
        <w:tc>
          <w:tcPr>
            <w:tcW w:w="2943" w:type="pct"/>
          </w:tcPr>
          <w:p>
            <w:pPr>
              <w:jc w:val="left"/>
              <w:rPr>
                <w:rFonts w:ascii="宋体" w:cs="宋体"/>
                <w:sz w:val="25"/>
                <w:szCs w:val="25"/>
              </w:rPr>
            </w:pPr>
            <w:r>
              <w:rPr>
                <w:rFonts w:hint="eastAsia" w:ascii="宋体" w:hAnsi="宋体" w:cs="宋体"/>
                <w:sz w:val="25"/>
                <w:szCs w:val="25"/>
              </w:rPr>
              <w:t>通过审计，促进相关单位完善内部管理，如完善内部控制，出台有关管理办法等</w:t>
            </w:r>
          </w:p>
        </w:tc>
        <w:tc>
          <w:tcPr>
            <w:tcW w:w="364" w:type="pct"/>
            <w:vAlign w:val="center"/>
          </w:tcPr>
          <w:p>
            <w:pPr>
              <w:jc w:val="center"/>
              <w:rPr>
                <w:rFonts w:asci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607"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其他奖励</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tcPr>
          <w:p>
            <w:pPr>
              <w:jc w:val="left"/>
              <w:rPr>
                <w:rFonts w:ascii="宋体" w:cs="宋体"/>
                <w:sz w:val="25"/>
                <w:szCs w:val="25"/>
              </w:rPr>
            </w:pPr>
            <w:r>
              <w:rPr>
                <w:rFonts w:hint="eastAsia" w:ascii="宋体" w:hAnsi="宋体" w:cs="宋体"/>
                <w:sz w:val="25"/>
                <w:szCs w:val="25"/>
              </w:rPr>
              <w:t>其他可能出现的加分情况</w:t>
            </w:r>
          </w:p>
        </w:tc>
        <w:tc>
          <w:tcPr>
            <w:tcW w:w="364" w:type="pct"/>
            <w:vAlign w:val="center"/>
          </w:tcPr>
          <w:p>
            <w:pPr>
              <w:jc w:val="center"/>
              <w:rPr>
                <w:rFonts w:asci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其他惩处</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tcPr>
          <w:p>
            <w:pPr>
              <w:jc w:val="left"/>
              <w:rPr>
                <w:rFonts w:hint="eastAsia" w:ascii="宋体" w:hAnsi="宋体" w:eastAsia="宋体" w:cs="宋体"/>
                <w:sz w:val="25"/>
                <w:szCs w:val="25"/>
                <w:lang w:eastAsia="zh-CN"/>
              </w:rPr>
            </w:pPr>
            <w:r>
              <w:rPr>
                <w:rFonts w:hint="eastAsia" w:ascii="宋体" w:hAnsi="宋体" w:cs="宋体"/>
                <w:sz w:val="25"/>
                <w:szCs w:val="25"/>
              </w:rPr>
              <w:t>其他可能出现的减分情况</w:t>
            </w:r>
            <w:r>
              <w:rPr>
                <w:rFonts w:ascii="宋体" w:hAnsi="宋体" w:cs="宋体"/>
                <w:sz w:val="25"/>
                <w:szCs w:val="25"/>
              </w:rPr>
              <w:t>(</w:t>
            </w:r>
            <w:r>
              <w:rPr>
                <w:rFonts w:hint="eastAsia" w:ascii="宋体" w:hAnsi="宋体" w:cs="宋体"/>
                <w:sz w:val="25"/>
                <w:szCs w:val="25"/>
              </w:rPr>
              <w:t>有负面行为，该分值为负</w:t>
            </w:r>
            <w:r>
              <w:rPr>
                <w:rFonts w:ascii="宋体" w:hAnsi="宋体" w:cs="宋体"/>
                <w:sz w:val="25"/>
                <w:szCs w:val="25"/>
              </w:rPr>
              <w:t>5</w:t>
            </w:r>
            <w:r>
              <w:rPr>
                <w:rFonts w:hint="eastAsia" w:ascii="宋体" w:hAnsi="宋体" w:cs="宋体"/>
                <w:sz w:val="25"/>
                <w:szCs w:val="25"/>
              </w:rPr>
              <w:t>分：无</w:t>
            </w:r>
          </w:p>
          <w:p>
            <w:pPr>
              <w:jc w:val="left"/>
              <w:rPr>
                <w:rFonts w:ascii="宋体" w:cs="宋体"/>
                <w:sz w:val="25"/>
                <w:szCs w:val="25"/>
              </w:rPr>
            </w:pPr>
            <w:r>
              <w:rPr>
                <w:rFonts w:hint="eastAsia" w:ascii="宋体" w:hAnsi="宋体" w:cs="宋体"/>
                <w:sz w:val="25"/>
                <w:szCs w:val="25"/>
              </w:rPr>
              <w:t>负面行为，该分值为</w:t>
            </w:r>
            <w:r>
              <w:rPr>
                <w:rFonts w:ascii="宋体" w:hAnsi="宋体" w:cs="宋体"/>
                <w:sz w:val="25"/>
                <w:szCs w:val="25"/>
              </w:rPr>
              <w:t>5</w:t>
            </w:r>
            <w:r>
              <w:rPr>
                <w:rFonts w:hint="eastAsia" w:ascii="宋体" w:hAnsi="宋体" w:cs="宋体"/>
                <w:sz w:val="25"/>
                <w:szCs w:val="25"/>
              </w:rPr>
              <w:t>分。</w:t>
            </w:r>
          </w:p>
        </w:tc>
        <w:tc>
          <w:tcPr>
            <w:tcW w:w="364" w:type="pct"/>
            <w:vAlign w:val="center"/>
          </w:tcPr>
          <w:p>
            <w:pPr>
              <w:jc w:val="center"/>
              <w:rPr>
                <w:rFonts w:asci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Align w:val="center"/>
          </w:tcPr>
          <w:p>
            <w:pPr>
              <w:jc w:val="center"/>
              <w:rPr>
                <w:rFonts w:ascii="宋体" w:cs="宋体"/>
                <w:sz w:val="25"/>
                <w:szCs w:val="25"/>
              </w:rPr>
            </w:pPr>
            <w:r>
              <w:rPr>
                <w:rFonts w:hint="eastAsia" w:cs="宋体"/>
              </w:rPr>
              <w:t>合计</w:t>
            </w:r>
          </w:p>
        </w:tc>
        <w:tc>
          <w:tcPr>
            <w:tcW w:w="636" w:type="pct"/>
            <w:vAlign w:val="center"/>
          </w:tcPr>
          <w:p>
            <w:pPr>
              <w:jc w:val="center"/>
              <w:rPr>
                <w:rFonts w:ascii="宋体" w:cs="宋体"/>
                <w:sz w:val="25"/>
                <w:szCs w:val="25"/>
              </w:rPr>
            </w:pPr>
            <w:r>
              <w:rPr>
                <w:rFonts w:ascii="宋体" w:hAnsi="宋体" w:cs="宋体"/>
                <w:sz w:val="25"/>
                <w:szCs w:val="25"/>
              </w:rPr>
              <w:t>100</w:t>
            </w:r>
            <w:r>
              <w:rPr>
                <w:rFonts w:hint="eastAsia" w:ascii="宋体" w:hAnsi="宋体" w:cs="宋体"/>
                <w:sz w:val="25"/>
                <w:szCs w:val="25"/>
              </w:rPr>
              <w:t>分</w:t>
            </w:r>
          </w:p>
        </w:tc>
        <w:tc>
          <w:tcPr>
            <w:tcW w:w="2943" w:type="pct"/>
          </w:tcPr>
          <w:p>
            <w:pPr>
              <w:jc w:val="left"/>
              <w:rPr>
                <w:rFonts w:cs="Times New Roman"/>
              </w:rPr>
            </w:pPr>
          </w:p>
        </w:tc>
        <w:tc>
          <w:tcPr>
            <w:tcW w:w="364" w:type="pct"/>
            <w:vAlign w:val="center"/>
          </w:tcPr>
          <w:p>
            <w:pPr>
              <w:jc w:val="center"/>
              <w:rPr>
                <w:rFonts w:asci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5000" w:type="pct"/>
            <w:gridSpan w:val="5"/>
            <w:vAlign w:val="center"/>
          </w:tcPr>
          <w:p>
            <w:pPr>
              <w:jc w:val="left"/>
              <w:rPr>
                <w:rFonts w:hint="eastAsia" w:ascii="宋体" w:eastAsia="宋体" w:cs="宋体"/>
                <w:sz w:val="25"/>
                <w:szCs w:val="25"/>
                <w:lang w:eastAsia="zh-CN"/>
              </w:rPr>
            </w:pPr>
            <w:r>
              <w:rPr>
                <w:rFonts w:hint="eastAsia" w:ascii="宋体" w:hAnsi="宋体" w:cs="宋体"/>
                <w:sz w:val="25"/>
                <w:szCs w:val="25"/>
              </w:rPr>
              <w:t>备注：每年年终，根据当年完成的所有审计项目进行综合评价，</w:t>
            </w:r>
            <w:r>
              <w:rPr>
                <w:rFonts w:hint="eastAsia" w:ascii="宋体" w:hAnsi="宋体" w:cs="宋体"/>
                <w:sz w:val="25"/>
                <w:szCs w:val="25"/>
                <w:lang w:val="en-US" w:eastAsia="zh-CN"/>
              </w:rPr>
              <w:t>70</w:t>
            </w:r>
            <w:r>
              <w:rPr>
                <w:rFonts w:hint="eastAsia" w:ascii="宋体" w:hAnsi="宋体" w:cs="宋体"/>
                <w:sz w:val="25"/>
                <w:szCs w:val="25"/>
              </w:rPr>
              <w:t>分以下为不合格，不合格将限制其参与学校的审计</w:t>
            </w:r>
            <w:r>
              <w:rPr>
                <w:rFonts w:hint="eastAsia" w:ascii="宋体" w:hAnsi="宋体" w:cs="宋体"/>
                <w:sz w:val="25"/>
                <w:szCs w:val="25"/>
                <w:lang w:eastAsia="zh-CN"/>
              </w:rPr>
              <w:t>，停止次年合同续签。</w:t>
            </w:r>
          </w:p>
        </w:tc>
      </w:tr>
    </w:tbl>
    <w:p>
      <w:pPr>
        <w:rPr>
          <w:rFonts w:ascii="宋体" w:cs="宋体"/>
          <w:sz w:val="25"/>
          <w:szCs w:val="25"/>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9"/>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0"/>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3">
    <w:nsid w:val="733D32BF"/>
    <w:multiLevelType w:val="multilevel"/>
    <w:tmpl w:val="733D32BF"/>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17EF4"/>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0BD"/>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9A2"/>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3C4"/>
    <w:rsid w:val="00C8259E"/>
    <w:rsid w:val="00C86083"/>
    <w:rsid w:val="00C90006"/>
    <w:rsid w:val="00C91A02"/>
    <w:rsid w:val="00C94F66"/>
    <w:rsid w:val="00C95F19"/>
    <w:rsid w:val="00CA1C76"/>
    <w:rsid w:val="00CA7226"/>
    <w:rsid w:val="00CA7F2F"/>
    <w:rsid w:val="00CB3C62"/>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3B4944"/>
    <w:rsid w:val="014F43EC"/>
    <w:rsid w:val="016862B7"/>
    <w:rsid w:val="01987FE8"/>
    <w:rsid w:val="01A86850"/>
    <w:rsid w:val="01B110AA"/>
    <w:rsid w:val="0234138D"/>
    <w:rsid w:val="0291516C"/>
    <w:rsid w:val="029A4FF3"/>
    <w:rsid w:val="029F0AF2"/>
    <w:rsid w:val="02F9098D"/>
    <w:rsid w:val="030D62FF"/>
    <w:rsid w:val="03141F6C"/>
    <w:rsid w:val="03174F3D"/>
    <w:rsid w:val="03311E12"/>
    <w:rsid w:val="03375366"/>
    <w:rsid w:val="03525361"/>
    <w:rsid w:val="039A654E"/>
    <w:rsid w:val="039E6B3C"/>
    <w:rsid w:val="03CD1A41"/>
    <w:rsid w:val="03D51D9B"/>
    <w:rsid w:val="03DA48E8"/>
    <w:rsid w:val="03FC6F84"/>
    <w:rsid w:val="04031D92"/>
    <w:rsid w:val="04161698"/>
    <w:rsid w:val="041D6583"/>
    <w:rsid w:val="04435167"/>
    <w:rsid w:val="0490338C"/>
    <w:rsid w:val="049B5628"/>
    <w:rsid w:val="04A72032"/>
    <w:rsid w:val="04AC0D88"/>
    <w:rsid w:val="04BD144B"/>
    <w:rsid w:val="04C7316C"/>
    <w:rsid w:val="04FF48D9"/>
    <w:rsid w:val="050326C3"/>
    <w:rsid w:val="050D7FCD"/>
    <w:rsid w:val="057B43B4"/>
    <w:rsid w:val="05884CB4"/>
    <w:rsid w:val="0605426F"/>
    <w:rsid w:val="061B6B4D"/>
    <w:rsid w:val="0642001F"/>
    <w:rsid w:val="064603E8"/>
    <w:rsid w:val="06465B2E"/>
    <w:rsid w:val="064E0672"/>
    <w:rsid w:val="068C5C42"/>
    <w:rsid w:val="06A12781"/>
    <w:rsid w:val="06B64A6C"/>
    <w:rsid w:val="06BD229F"/>
    <w:rsid w:val="06BD5FB2"/>
    <w:rsid w:val="073B020F"/>
    <w:rsid w:val="073E427C"/>
    <w:rsid w:val="074C2609"/>
    <w:rsid w:val="075E2A88"/>
    <w:rsid w:val="07846919"/>
    <w:rsid w:val="07C7068F"/>
    <w:rsid w:val="07D433FC"/>
    <w:rsid w:val="07EB29B1"/>
    <w:rsid w:val="07F12200"/>
    <w:rsid w:val="07FA0A50"/>
    <w:rsid w:val="08404F36"/>
    <w:rsid w:val="088E5CA1"/>
    <w:rsid w:val="08994710"/>
    <w:rsid w:val="08B4685D"/>
    <w:rsid w:val="08C11D7D"/>
    <w:rsid w:val="08FD615D"/>
    <w:rsid w:val="092B7994"/>
    <w:rsid w:val="09385DBB"/>
    <w:rsid w:val="0970184A"/>
    <w:rsid w:val="09770B13"/>
    <w:rsid w:val="099E2C10"/>
    <w:rsid w:val="09C504E0"/>
    <w:rsid w:val="0A052A50"/>
    <w:rsid w:val="0A0928C7"/>
    <w:rsid w:val="0A2C5771"/>
    <w:rsid w:val="0A717FE3"/>
    <w:rsid w:val="0A762E91"/>
    <w:rsid w:val="0A8201EC"/>
    <w:rsid w:val="0A9E5C23"/>
    <w:rsid w:val="0AAF0151"/>
    <w:rsid w:val="0ABF60ED"/>
    <w:rsid w:val="0AC8599B"/>
    <w:rsid w:val="0AE02304"/>
    <w:rsid w:val="0AE95411"/>
    <w:rsid w:val="0B01585A"/>
    <w:rsid w:val="0B27418B"/>
    <w:rsid w:val="0B462863"/>
    <w:rsid w:val="0B761E8C"/>
    <w:rsid w:val="0B8A12F6"/>
    <w:rsid w:val="0B9C0669"/>
    <w:rsid w:val="0BD23C85"/>
    <w:rsid w:val="0BD43149"/>
    <w:rsid w:val="0BDE2831"/>
    <w:rsid w:val="0BE711B7"/>
    <w:rsid w:val="0BEB55D7"/>
    <w:rsid w:val="0BEB5B52"/>
    <w:rsid w:val="0C112E71"/>
    <w:rsid w:val="0C2506CA"/>
    <w:rsid w:val="0C384040"/>
    <w:rsid w:val="0C4122C6"/>
    <w:rsid w:val="0C452F99"/>
    <w:rsid w:val="0C48523E"/>
    <w:rsid w:val="0C767683"/>
    <w:rsid w:val="0C9E15BC"/>
    <w:rsid w:val="0CA13D98"/>
    <w:rsid w:val="0CAA1A45"/>
    <w:rsid w:val="0CB101B0"/>
    <w:rsid w:val="0CE916E4"/>
    <w:rsid w:val="0CF27A72"/>
    <w:rsid w:val="0CF4009D"/>
    <w:rsid w:val="0D111D71"/>
    <w:rsid w:val="0D3D494A"/>
    <w:rsid w:val="0D5C636E"/>
    <w:rsid w:val="0D6E60A1"/>
    <w:rsid w:val="0D935B07"/>
    <w:rsid w:val="0D9B5B8B"/>
    <w:rsid w:val="0DA21DF1"/>
    <w:rsid w:val="0DAF2814"/>
    <w:rsid w:val="0DD00D67"/>
    <w:rsid w:val="0DEA2E68"/>
    <w:rsid w:val="0E0A401C"/>
    <w:rsid w:val="0E116BEA"/>
    <w:rsid w:val="0E2974C8"/>
    <w:rsid w:val="0E486157"/>
    <w:rsid w:val="0E533361"/>
    <w:rsid w:val="0EB0555E"/>
    <w:rsid w:val="0EE7194D"/>
    <w:rsid w:val="0F047A55"/>
    <w:rsid w:val="0F17262A"/>
    <w:rsid w:val="0F2C7FC2"/>
    <w:rsid w:val="0F2D2F2A"/>
    <w:rsid w:val="0F335DE5"/>
    <w:rsid w:val="0F3F7CF5"/>
    <w:rsid w:val="0F4437FA"/>
    <w:rsid w:val="0F60075C"/>
    <w:rsid w:val="0FB80153"/>
    <w:rsid w:val="101A1D40"/>
    <w:rsid w:val="1025513D"/>
    <w:rsid w:val="10525806"/>
    <w:rsid w:val="1055212B"/>
    <w:rsid w:val="10765998"/>
    <w:rsid w:val="107C2B34"/>
    <w:rsid w:val="10890C6B"/>
    <w:rsid w:val="109C7EF6"/>
    <w:rsid w:val="10C97052"/>
    <w:rsid w:val="10F36FE9"/>
    <w:rsid w:val="118F2D3B"/>
    <w:rsid w:val="119105B0"/>
    <w:rsid w:val="1209283C"/>
    <w:rsid w:val="12577DE7"/>
    <w:rsid w:val="125C2645"/>
    <w:rsid w:val="12F0682B"/>
    <w:rsid w:val="13067315"/>
    <w:rsid w:val="131245FD"/>
    <w:rsid w:val="131E1E27"/>
    <w:rsid w:val="132F0080"/>
    <w:rsid w:val="13350DDD"/>
    <w:rsid w:val="134A432B"/>
    <w:rsid w:val="13693C7B"/>
    <w:rsid w:val="136A2985"/>
    <w:rsid w:val="13CB41F1"/>
    <w:rsid w:val="14215A6F"/>
    <w:rsid w:val="14447FCD"/>
    <w:rsid w:val="14590ACC"/>
    <w:rsid w:val="145A48EA"/>
    <w:rsid w:val="145D29CB"/>
    <w:rsid w:val="145F6743"/>
    <w:rsid w:val="14691370"/>
    <w:rsid w:val="148F7029"/>
    <w:rsid w:val="14926B19"/>
    <w:rsid w:val="149C4209"/>
    <w:rsid w:val="14B54789"/>
    <w:rsid w:val="14D709D0"/>
    <w:rsid w:val="14F96B98"/>
    <w:rsid w:val="14FE7D0A"/>
    <w:rsid w:val="152572C1"/>
    <w:rsid w:val="153831C7"/>
    <w:rsid w:val="153D4CD7"/>
    <w:rsid w:val="15507A01"/>
    <w:rsid w:val="15543DCE"/>
    <w:rsid w:val="158A3C94"/>
    <w:rsid w:val="158B2D0B"/>
    <w:rsid w:val="158D0CD3"/>
    <w:rsid w:val="159E22A5"/>
    <w:rsid w:val="15A44D56"/>
    <w:rsid w:val="15CE3B81"/>
    <w:rsid w:val="1615277C"/>
    <w:rsid w:val="16936093"/>
    <w:rsid w:val="16CD7B2B"/>
    <w:rsid w:val="16F30C91"/>
    <w:rsid w:val="16F40907"/>
    <w:rsid w:val="17053755"/>
    <w:rsid w:val="17163A31"/>
    <w:rsid w:val="174165D4"/>
    <w:rsid w:val="175B1CF1"/>
    <w:rsid w:val="177E5132"/>
    <w:rsid w:val="178935E9"/>
    <w:rsid w:val="178C57AD"/>
    <w:rsid w:val="17B94649"/>
    <w:rsid w:val="17BD6328"/>
    <w:rsid w:val="17E47C7C"/>
    <w:rsid w:val="17F92C94"/>
    <w:rsid w:val="181D629B"/>
    <w:rsid w:val="183D5197"/>
    <w:rsid w:val="1855311A"/>
    <w:rsid w:val="18645FCC"/>
    <w:rsid w:val="18866995"/>
    <w:rsid w:val="1888270D"/>
    <w:rsid w:val="18AB1F57"/>
    <w:rsid w:val="18BA0052"/>
    <w:rsid w:val="18BB7226"/>
    <w:rsid w:val="19160617"/>
    <w:rsid w:val="192C4113"/>
    <w:rsid w:val="193C6734"/>
    <w:rsid w:val="1981715C"/>
    <w:rsid w:val="19A51228"/>
    <w:rsid w:val="19D00D40"/>
    <w:rsid w:val="19DF19D9"/>
    <w:rsid w:val="1A073FD1"/>
    <w:rsid w:val="1A1E3E96"/>
    <w:rsid w:val="1A29563E"/>
    <w:rsid w:val="1A622AE9"/>
    <w:rsid w:val="1A6738AE"/>
    <w:rsid w:val="1A9E092D"/>
    <w:rsid w:val="1A9E547C"/>
    <w:rsid w:val="1AAA0930"/>
    <w:rsid w:val="1AC75042"/>
    <w:rsid w:val="1B370227"/>
    <w:rsid w:val="1BB94558"/>
    <w:rsid w:val="1BBE6445"/>
    <w:rsid w:val="1BD63C07"/>
    <w:rsid w:val="1C0273B8"/>
    <w:rsid w:val="1C094564"/>
    <w:rsid w:val="1C1D1621"/>
    <w:rsid w:val="1C4A7F6D"/>
    <w:rsid w:val="1C6B3C57"/>
    <w:rsid w:val="1C9C3D0A"/>
    <w:rsid w:val="1CA61D97"/>
    <w:rsid w:val="1CC36D54"/>
    <w:rsid w:val="1CC873F9"/>
    <w:rsid w:val="1CF00880"/>
    <w:rsid w:val="1D0165EA"/>
    <w:rsid w:val="1D152095"/>
    <w:rsid w:val="1D8D3B97"/>
    <w:rsid w:val="1DA353B0"/>
    <w:rsid w:val="1DAF24EA"/>
    <w:rsid w:val="1DB47A3E"/>
    <w:rsid w:val="1DE60AB3"/>
    <w:rsid w:val="1DEC3165"/>
    <w:rsid w:val="1E0D7E12"/>
    <w:rsid w:val="1E104638"/>
    <w:rsid w:val="1E254EF4"/>
    <w:rsid w:val="1E29229C"/>
    <w:rsid w:val="1E5B441F"/>
    <w:rsid w:val="1E6E3532"/>
    <w:rsid w:val="1E74728F"/>
    <w:rsid w:val="1E86350C"/>
    <w:rsid w:val="1EA93F70"/>
    <w:rsid w:val="1ED56DD3"/>
    <w:rsid w:val="1ED83327"/>
    <w:rsid w:val="1EDB753D"/>
    <w:rsid w:val="1EE57DD0"/>
    <w:rsid w:val="1EF01369"/>
    <w:rsid w:val="1F647385"/>
    <w:rsid w:val="1F6D440A"/>
    <w:rsid w:val="1FBE4C66"/>
    <w:rsid w:val="1FD95964"/>
    <w:rsid w:val="20384A18"/>
    <w:rsid w:val="208B083D"/>
    <w:rsid w:val="21224DDA"/>
    <w:rsid w:val="21617F9F"/>
    <w:rsid w:val="216A2301"/>
    <w:rsid w:val="21866903"/>
    <w:rsid w:val="219263AA"/>
    <w:rsid w:val="21983295"/>
    <w:rsid w:val="219C35B5"/>
    <w:rsid w:val="21AF7E11"/>
    <w:rsid w:val="21D87147"/>
    <w:rsid w:val="220646A2"/>
    <w:rsid w:val="22467258"/>
    <w:rsid w:val="225476F0"/>
    <w:rsid w:val="22AC1F99"/>
    <w:rsid w:val="22C0162A"/>
    <w:rsid w:val="232142B6"/>
    <w:rsid w:val="234E2E43"/>
    <w:rsid w:val="235A5649"/>
    <w:rsid w:val="23742E23"/>
    <w:rsid w:val="23752EF5"/>
    <w:rsid w:val="237B0C64"/>
    <w:rsid w:val="239067FA"/>
    <w:rsid w:val="23AD35C5"/>
    <w:rsid w:val="23C55C0A"/>
    <w:rsid w:val="23CC306F"/>
    <w:rsid w:val="23D24DEB"/>
    <w:rsid w:val="23D33CAB"/>
    <w:rsid w:val="23E32EED"/>
    <w:rsid w:val="242263FD"/>
    <w:rsid w:val="24255F8E"/>
    <w:rsid w:val="243C25FD"/>
    <w:rsid w:val="24436BE8"/>
    <w:rsid w:val="244871F4"/>
    <w:rsid w:val="246B5259"/>
    <w:rsid w:val="250A3D72"/>
    <w:rsid w:val="252437BD"/>
    <w:rsid w:val="25304C68"/>
    <w:rsid w:val="25337596"/>
    <w:rsid w:val="253E2C4D"/>
    <w:rsid w:val="25445C0D"/>
    <w:rsid w:val="25466F1A"/>
    <w:rsid w:val="254C5D85"/>
    <w:rsid w:val="25697422"/>
    <w:rsid w:val="257A3122"/>
    <w:rsid w:val="25B42B33"/>
    <w:rsid w:val="25C831C6"/>
    <w:rsid w:val="25DA50B8"/>
    <w:rsid w:val="26013AFE"/>
    <w:rsid w:val="26111954"/>
    <w:rsid w:val="261543E8"/>
    <w:rsid w:val="261E4592"/>
    <w:rsid w:val="26420A5D"/>
    <w:rsid w:val="265A1F39"/>
    <w:rsid w:val="26764AB1"/>
    <w:rsid w:val="26B75F6B"/>
    <w:rsid w:val="26C01D59"/>
    <w:rsid w:val="26FB0214"/>
    <w:rsid w:val="26FD432C"/>
    <w:rsid w:val="270633B2"/>
    <w:rsid w:val="270C052C"/>
    <w:rsid w:val="27116E6C"/>
    <w:rsid w:val="273121C1"/>
    <w:rsid w:val="27430E2D"/>
    <w:rsid w:val="277B5E5A"/>
    <w:rsid w:val="27AE42A3"/>
    <w:rsid w:val="27B4707A"/>
    <w:rsid w:val="27C9064C"/>
    <w:rsid w:val="2815563F"/>
    <w:rsid w:val="281573ED"/>
    <w:rsid w:val="282633A8"/>
    <w:rsid w:val="285917E7"/>
    <w:rsid w:val="286018A1"/>
    <w:rsid w:val="287763BE"/>
    <w:rsid w:val="287F6F5C"/>
    <w:rsid w:val="28884063"/>
    <w:rsid w:val="28AC5FA3"/>
    <w:rsid w:val="28B906C0"/>
    <w:rsid w:val="28EF5E90"/>
    <w:rsid w:val="29573A19"/>
    <w:rsid w:val="2961426B"/>
    <w:rsid w:val="297445E7"/>
    <w:rsid w:val="29770888"/>
    <w:rsid w:val="29A90AA3"/>
    <w:rsid w:val="29D20B71"/>
    <w:rsid w:val="29DB3439"/>
    <w:rsid w:val="2A1262DA"/>
    <w:rsid w:val="2A402E34"/>
    <w:rsid w:val="2A524929"/>
    <w:rsid w:val="2A85258B"/>
    <w:rsid w:val="2AA72378"/>
    <w:rsid w:val="2AD046CD"/>
    <w:rsid w:val="2AFA67C3"/>
    <w:rsid w:val="2B100144"/>
    <w:rsid w:val="2B1240B8"/>
    <w:rsid w:val="2B6A6E5A"/>
    <w:rsid w:val="2B6E5B01"/>
    <w:rsid w:val="2BC058C2"/>
    <w:rsid w:val="2BD06081"/>
    <w:rsid w:val="2C166459"/>
    <w:rsid w:val="2C330A62"/>
    <w:rsid w:val="2C8E5BB9"/>
    <w:rsid w:val="2C972AC7"/>
    <w:rsid w:val="2CE81574"/>
    <w:rsid w:val="2CE90A48"/>
    <w:rsid w:val="2DEB1B80"/>
    <w:rsid w:val="2E026666"/>
    <w:rsid w:val="2E0E0B66"/>
    <w:rsid w:val="2E656F48"/>
    <w:rsid w:val="2E682316"/>
    <w:rsid w:val="2E6966E5"/>
    <w:rsid w:val="2E6B4483"/>
    <w:rsid w:val="2E923CE7"/>
    <w:rsid w:val="2EAE46E1"/>
    <w:rsid w:val="2EB060C2"/>
    <w:rsid w:val="2F1235FA"/>
    <w:rsid w:val="2F155F25"/>
    <w:rsid w:val="2F1F6DA3"/>
    <w:rsid w:val="2F740F38"/>
    <w:rsid w:val="2FA05C87"/>
    <w:rsid w:val="2FBA674A"/>
    <w:rsid w:val="2FEF34C6"/>
    <w:rsid w:val="303139E4"/>
    <w:rsid w:val="30595624"/>
    <w:rsid w:val="30682029"/>
    <w:rsid w:val="306F78B6"/>
    <w:rsid w:val="307C62BC"/>
    <w:rsid w:val="308C7616"/>
    <w:rsid w:val="308F5662"/>
    <w:rsid w:val="30907F59"/>
    <w:rsid w:val="30E6401D"/>
    <w:rsid w:val="30F05E6D"/>
    <w:rsid w:val="31073580"/>
    <w:rsid w:val="31261645"/>
    <w:rsid w:val="312E7229"/>
    <w:rsid w:val="313B730E"/>
    <w:rsid w:val="315B4B3B"/>
    <w:rsid w:val="316656C1"/>
    <w:rsid w:val="318F1FBE"/>
    <w:rsid w:val="31975317"/>
    <w:rsid w:val="319B5DBF"/>
    <w:rsid w:val="31AA504A"/>
    <w:rsid w:val="31CB42E5"/>
    <w:rsid w:val="31CC4FC0"/>
    <w:rsid w:val="31F07E99"/>
    <w:rsid w:val="31F3247F"/>
    <w:rsid w:val="320B60AC"/>
    <w:rsid w:val="32143562"/>
    <w:rsid w:val="3221311C"/>
    <w:rsid w:val="32340DB8"/>
    <w:rsid w:val="325C64CE"/>
    <w:rsid w:val="3284740C"/>
    <w:rsid w:val="32935D9A"/>
    <w:rsid w:val="33175BD1"/>
    <w:rsid w:val="334D0383"/>
    <w:rsid w:val="3370124E"/>
    <w:rsid w:val="33995376"/>
    <w:rsid w:val="33BA11B8"/>
    <w:rsid w:val="33BA52ED"/>
    <w:rsid w:val="33C65C0C"/>
    <w:rsid w:val="33CB74FA"/>
    <w:rsid w:val="33F06ACD"/>
    <w:rsid w:val="34480B4A"/>
    <w:rsid w:val="345117AD"/>
    <w:rsid w:val="34A63463"/>
    <w:rsid w:val="34C32CC7"/>
    <w:rsid w:val="35013235"/>
    <w:rsid w:val="35123632"/>
    <w:rsid w:val="352944D8"/>
    <w:rsid w:val="35383CDF"/>
    <w:rsid w:val="355E5437"/>
    <w:rsid w:val="356B634F"/>
    <w:rsid w:val="35842EDE"/>
    <w:rsid w:val="358D2630"/>
    <w:rsid w:val="35A35214"/>
    <w:rsid w:val="35BB71F1"/>
    <w:rsid w:val="35F77E5F"/>
    <w:rsid w:val="35F9034E"/>
    <w:rsid w:val="360F7B72"/>
    <w:rsid w:val="36177727"/>
    <w:rsid w:val="36440DAE"/>
    <w:rsid w:val="36444CAC"/>
    <w:rsid w:val="365C268B"/>
    <w:rsid w:val="3667620A"/>
    <w:rsid w:val="369264A4"/>
    <w:rsid w:val="3694235F"/>
    <w:rsid w:val="36A13AA4"/>
    <w:rsid w:val="36B32945"/>
    <w:rsid w:val="36C02D57"/>
    <w:rsid w:val="36CD677B"/>
    <w:rsid w:val="36E74AE9"/>
    <w:rsid w:val="3716388D"/>
    <w:rsid w:val="371B2546"/>
    <w:rsid w:val="374B5E63"/>
    <w:rsid w:val="375308B2"/>
    <w:rsid w:val="3761378B"/>
    <w:rsid w:val="376E55E1"/>
    <w:rsid w:val="376F2B88"/>
    <w:rsid w:val="37A75B88"/>
    <w:rsid w:val="37C812AE"/>
    <w:rsid w:val="37F05F4D"/>
    <w:rsid w:val="37FA17BE"/>
    <w:rsid w:val="3813700C"/>
    <w:rsid w:val="38171F12"/>
    <w:rsid w:val="382E5B94"/>
    <w:rsid w:val="3832489A"/>
    <w:rsid w:val="383D471C"/>
    <w:rsid w:val="386553C4"/>
    <w:rsid w:val="386A5B0B"/>
    <w:rsid w:val="388B0C24"/>
    <w:rsid w:val="38975BFC"/>
    <w:rsid w:val="389A279F"/>
    <w:rsid w:val="38C5276A"/>
    <w:rsid w:val="38FE5C7B"/>
    <w:rsid w:val="391D0313"/>
    <w:rsid w:val="391E49EA"/>
    <w:rsid w:val="3923535C"/>
    <w:rsid w:val="394D7456"/>
    <w:rsid w:val="39605DDA"/>
    <w:rsid w:val="39606DBA"/>
    <w:rsid w:val="39664FE9"/>
    <w:rsid w:val="396C5CC7"/>
    <w:rsid w:val="397E3BBA"/>
    <w:rsid w:val="39801F40"/>
    <w:rsid w:val="398114C3"/>
    <w:rsid w:val="39922CF7"/>
    <w:rsid w:val="39CF7895"/>
    <w:rsid w:val="39D215E2"/>
    <w:rsid w:val="39D27D8A"/>
    <w:rsid w:val="39DF785B"/>
    <w:rsid w:val="3A451DB4"/>
    <w:rsid w:val="3A723FE3"/>
    <w:rsid w:val="3AB5795C"/>
    <w:rsid w:val="3AC42FCC"/>
    <w:rsid w:val="3ACE686B"/>
    <w:rsid w:val="3AD5386A"/>
    <w:rsid w:val="3B0065F7"/>
    <w:rsid w:val="3B053544"/>
    <w:rsid w:val="3B1F0857"/>
    <w:rsid w:val="3B267B4A"/>
    <w:rsid w:val="3B2B184D"/>
    <w:rsid w:val="3B2E59BD"/>
    <w:rsid w:val="3B392F9B"/>
    <w:rsid w:val="3B720D3D"/>
    <w:rsid w:val="3BD038FF"/>
    <w:rsid w:val="3BFC0891"/>
    <w:rsid w:val="3C0119CF"/>
    <w:rsid w:val="3C094992"/>
    <w:rsid w:val="3C456F72"/>
    <w:rsid w:val="3C4D62F4"/>
    <w:rsid w:val="3C70758C"/>
    <w:rsid w:val="3CA01523"/>
    <w:rsid w:val="3CA37266"/>
    <w:rsid w:val="3CAA3284"/>
    <w:rsid w:val="3CCF6E69"/>
    <w:rsid w:val="3CD40F3A"/>
    <w:rsid w:val="3D325744"/>
    <w:rsid w:val="3D4A39FD"/>
    <w:rsid w:val="3D5B3CC1"/>
    <w:rsid w:val="3DA2586F"/>
    <w:rsid w:val="3DB53370"/>
    <w:rsid w:val="3DC32E01"/>
    <w:rsid w:val="3DE36A7E"/>
    <w:rsid w:val="3DEF1977"/>
    <w:rsid w:val="3E261BCA"/>
    <w:rsid w:val="3E3C34CE"/>
    <w:rsid w:val="3E4745F6"/>
    <w:rsid w:val="3E593281"/>
    <w:rsid w:val="3E725142"/>
    <w:rsid w:val="3E7D12BC"/>
    <w:rsid w:val="3EC936D6"/>
    <w:rsid w:val="3EE51D6B"/>
    <w:rsid w:val="3EE55913"/>
    <w:rsid w:val="3F2A344A"/>
    <w:rsid w:val="3F3A37F1"/>
    <w:rsid w:val="3F653140"/>
    <w:rsid w:val="3F6902F3"/>
    <w:rsid w:val="3F705C0B"/>
    <w:rsid w:val="3FBE7323"/>
    <w:rsid w:val="3FDD483D"/>
    <w:rsid w:val="400B526A"/>
    <w:rsid w:val="40291830"/>
    <w:rsid w:val="403501D5"/>
    <w:rsid w:val="40366C91"/>
    <w:rsid w:val="404B50C8"/>
    <w:rsid w:val="405373A7"/>
    <w:rsid w:val="405C1C05"/>
    <w:rsid w:val="408E7F02"/>
    <w:rsid w:val="40962D22"/>
    <w:rsid w:val="40C559FD"/>
    <w:rsid w:val="40EE6D55"/>
    <w:rsid w:val="413655D4"/>
    <w:rsid w:val="415162AF"/>
    <w:rsid w:val="418662EF"/>
    <w:rsid w:val="418670FF"/>
    <w:rsid w:val="418F1B67"/>
    <w:rsid w:val="41A43864"/>
    <w:rsid w:val="41C31810"/>
    <w:rsid w:val="41CE268F"/>
    <w:rsid w:val="41E53E7C"/>
    <w:rsid w:val="41F17FDF"/>
    <w:rsid w:val="42076C6C"/>
    <w:rsid w:val="42117F37"/>
    <w:rsid w:val="422624CB"/>
    <w:rsid w:val="424C57A2"/>
    <w:rsid w:val="425E3D7D"/>
    <w:rsid w:val="4268674F"/>
    <w:rsid w:val="427174BE"/>
    <w:rsid w:val="428D2245"/>
    <w:rsid w:val="42982215"/>
    <w:rsid w:val="429B0441"/>
    <w:rsid w:val="42BB0FA3"/>
    <w:rsid w:val="42E27CE8"/>
    <w:rsid w:val="430A3B9B"/>
    <w:rsid w:val="430F11B1"/>
    <w:rsid w:val="433D60F2"/>
    <w:rsid w:val="43491CBA"/>
    <w:rsid w:val="43752E9F"/>
    <w:rsid w:val="43851473"/>
    <w:rsid w:val="438C0A54"/>
    <w:rsid w:val="43975805"/>
    <w:rsid w:val="43A10F29"/>
    <w:rsid w:val="43A722C2"/>
    <w:rsid w:val="43AE20BA"/>
    <w:rsid w:val="43B12268"/>
    <w:rsid w:val="43E75C8A"/>
    <w:rsid w:val="442F455C"/>
    <w:rsid w:val="443156AD"/>
    <w:rsid w:val="445C3546"/>
    <w:rsid w:val="4469669F"/>
    <w:rsid w:val="448259B3"/>
    <w:rsid w:val="44BF09B5"/>
    <w:rsid w:val="44E8660C"/>
    <w:rsid w:val="44ED24F9"/>
    <w:rsid w:val="450E1338"/>
    <w:rsid w:val="45117D80"/>
    <w:rsid w:val="453018B3"/>
    <w:rsid w:val="453C0257"/>
    <w:rsid w:val="45480536"/>
    <w:rsid w:val="45963A0B"/>
    <w:rsid w:val="460C7C2A"/>
    <w:rsid w:val="46114D68"/>
    <w:rsid w:val="464650EE"/>
    <w:rsid w:val="464D67FE"/>
    <w:rsid w:val="46683202"/>
    <w:rsid w:val="4675644E"/>
    <w:rsid w:val="46844BE7"/>
    <w:rsid w:val="46D72281"/>
    <w:rsid w:val="46F26E20"/>
    <w:rsid w:val="46F661E4"/>
    <w:rsid w:val="47196039"/>
    <w:rsid w:val="47280A93"/>
    <w:rsid w:val="472B5A85"/>
    <w:rsid w:val="47571E54"/>
    <w:rsid w:val="476D6EBA"/>
    <w:rsid w:val="478D6B48"/>
    <w:rsid w:val="47956AEB"/>
    <w:rsid w:val="479B635A"/>
    <w:rsid w:val="47A81209"/>
    <w:rsid w:val="47AE2FAC"/>
    <w:rsid w:val="47B14163"/>
    <w:rsid w:val="47B6609F"/>
    <w:rsid w:val="47CF2DE3"/>
    <w:rsid w:val="47E677B3"/>
    <w:rsid w:val="47FD7147"/>
    <w:rsid w:val="481717F0"/>
    <w:rsid w:val="48286871"/>
    <w:rsid w:val="48474F49"/>
    <w:rsid w:val="48643D4D"/>
    <w:rsid w:val="48BD0E84"/>
    <w:rsid w:val="49063724"/>
    <w:rsid w:val="49067070"/>
    <w:rsid w:val="490E3CB9"/>
    <w:rsid w:val="49727DEF"/>
    <w:rsid w:val="497D499A"/>
    <w:rsid w:val="49942410"/>
    <w:rsid w:val="49975779"/>
    <w:rsid w:val="49B02FC2"/>
    <w:rsid w:val="49C634CB"/>
    <w:rsid w:val="49DC5B65"/>
    <w:rsid w:val="4A06781F"/>
    <w:rsid w:val="4A136DA0"/>
    <w:rsid w:val="4A145BA1"/>
    <w:rsid w:val="4A58548E"/>
    <w:rsid w:val="4AA2518A"/>
    <w:rsid w:val="4AC62A9D"/>
    <w:rsid w:val="4AD67CC5"/>
    <w:rsid w:val="4AEB1295"/>
    <w:rsid w:val="4AF62C56"/>
    <w:rsid w:val="4B217CD3"/>
    <w:rsid w:val="4B475260"/>
    <w:rsid w:val="4B49547C"/>
    <w:rsid w:val="4B4F4691"/>
    <w:rsid w:val="4B527B10"/>
    <w:rsid w:val="4B6E6C91"/>
    <w:rsid w:val="4B8935FD"/>
    <w:rsid w:val="4B991F60"/>
    <w:rsid w:val="4B9F32EE"/>
    <w:rsid w:val="4B9F4711"/>
    <w:rsid w:val="4BA104E5"/>
    <w:rsid w:val="4BAB1C93"/>
    <w:rsid w:val="4BD20FCE"/>
    <w:rsid w:val="4BDA1B1F"/>
    <w:rsid w:val="4C0A278F"/>
    <w:rsid w:val="4C147838"/>
    <w:rsid w:val="4C1752E8"/>
    <w:rsid w:val="4C1E2465"/>
    <w:rsid w:val="4C934A75"/>
    <w:rsid w:val="4CC44806"/>
    <w:rsid w:val="4CD01D68"/>
    <w:rsid w:val="4CD92F09"/>
    <w:rsid w:val="4CEC60BF"/>
    <w:rsid w:val="4CF43425"/>
    <w:rsid w:val="4D1421C5"/>
    <w:rsid w:val="4D243AAB"/>
    <w:rsid w:val="4D267823"/>
    <w:rsid w:val="4D555C8B"/>
    <w:rsid w:val="4D6308F3"/>
    <w:rsid w:val="4D695962"/>
    <w:rsid w:val="4D6D1C95"/>
    <w:rsid w:val="4D720CBA"/>
    <w:rsid w:val="4D826A23"/>
    <w:rsid w:val="4DA16EA9"/>
    <w:rsid w:val="4DAD3AA0"/>
    <w:rsid w:val="4DD52FF7"/>
    <w:rsid w:val="4E066723"/>
    <w:rsid w:val="4E08517B"/>
    <w:rsid w:val="4E2234FC"/>
    <w:rsid w:val="4E27437C"/>
    <w:rsid w:val="4E911844"/>
    <w:rsid w:val="4EB3343D"/>
    <w:rsid w:val="4EF745D9"/>
    <w:rsid w:val="4F310701"/>
    <w:rsid w:val="4F4B4713"/>
    <w:rsid w:val="4F4D6CEF"/>
    <w:rsid w:val="4F5D557B"/>
    <w:rsid w:val="4F6750D3"/>
    <w:rsid w:val="4F6D437D"/>
    <w:rsid w:val="4F8B4EB5"/>
    <w:rsid w:val="4F927265"/>
    <w:rsid w:val="50175B49"/>
    <w:rsid w:val="504E4367"/>
    <w:rsid w:val="50885D57"/>
    <w:rsid w:val="50981E5C"/>
    <w:rsid w:val="50BF160A"/>
    <w:rsid w:val="50C75131"/>
    <w:rsid w:val="50F216B9"/>
    <w:rsid w:val="510F685B"/>
    <w:rsid w:val="512B4E2E"/>
    <w:rsid w:val="513B2511"/>
    <w:rsid w:val="51A445C0"/>
    <w:rsid w:val="51A74CAA"/>
    <w:rsid w:val="51A97276"/>
    <w:rsid w:val="52132340"/>
    <w:rsid w:val="52383444"/>
    <w:rsid w:val="52641E2E"/>
    <w:rsid w:val="528704B8"/>
    <w:rsid w:val="52996089"/>
    <w:rsid w:val="52A706A9"/>
    <w:rsid w:val="52B67555"/>
    <w:rsid w:val="52EA4358"/>
    <w:rsid w:val="53320361"/>
    <w:rsid w:val="533662E6"/>
    <w:rsid w:val="536021DF"/>
    <w:rsid w:val="53642888"/>
    <w:rsid w:val="539A0E95"/>
    <w:rsid w:val="53B637A9"/>
    <w:rsid w:val="53B65D6E"/>
    <w:rsid w:val="53B91C07"/>
    <w:rsid w:val="53BA25C2"/>
    <w:rsid w:val="53D77AC9"/>
    <w:rsid w:val="541F321E"/>
    <w:rsid w:val="541F3B19"/>
    <w:rsid w:val="543232F3"/>
    <w:rsid w:val="54464350"/>
    <w:rsid w:val="544B4013"/>
    <w:rsid w:val="546B0211"/>
    <w:rsid w:val="54947454"/>
    <w:rsid w:val="54B419FB"/>
    <w:rsid w:val="54BB52C5"/>
    <w:rsid w:val="54C22377"/>
    <w:rsid w:val="54C84207"/>
    <w:rsid w:val="54EA55DA"/>
    <w:rsid w:val="54FB7F1E"/>
    <w:rsid w:val="552F7491"/>
    <w:rsid w:val="5544780D"/>
    <w:rsid w:val="55477FC1"/>
    <w:rsid w:val="5579789F"/>
    <w:rsid w:val="55D624BF"/>
    <w:rsid w:val="55DB27AC"/>
    <w:rsid w:val="56044479"/>
    <w:rsid w:val="561D6382"/>
    <w:rsid w:val="5628091A"/>
    <w:rsid w:val="562D3258"/>
    <w:rsid w:val="56320B38"/>
    <w:rsid w:val="563B4985"/>
    <w:rsid w:val="56813D1C"/>
    <w:rsid w:val="569F1557"/>
    <w:rsid w:val="56D553A9"/>
    <w:rsid w:val="56FA6E69"/>
    <w:rsid w:val="57007337"/>
    <w:rsid w:val="5727718D"/>
    <w:rsid w:val="574C432A"/>
    <w:rsid w:val="57572801"/>
    <w:rsid w:val="577859F7"/>
    <w:rsid w:val="57CF7087"/>
    <w:rsid w:val="57EB259F"/>
    <w:rsid w:val="580A0881"/>
    <w:rsid w:val="58254B7B"/>
    <w:rsid w:val="58360A82"/>
    <w:rsid w:val="5841294A"/>
    <w:rsid w:val="587B6449"/>
    <w:rsid w:val="587C3A91"/>
    <w:rsid w:val="58C919AA"/>
    <w:rsid w:val="58D00A02"/>
    <w:rsid w:val="58D520FD"/>
    <w:rsid w:val="59012298"/>
    <w:rsid w:val="592E2905"/>
    <w:rsid w:val="593764C8"/>
    <w:rsid w:val="59530390"/>
    <w:rsid w:val="59925604"/>
    <w:rsid w:val="59A36566"/>
    <w:rsid w:val="59C6543A"/>
    <w:rsid w:val="59E314E1"/>
    <w:rsid w:val="5A1751F0"/>
    <w:rsid w:val="5A2E41BB"/>
    <w:rsid w:val="5A4B606B"/>
    <w:rsid w:val="5A7668FF"/>
    <w:rsid w:val="5A8A796A"/>
    <w:rsid w:val="5AC56669"/>
    <w:rsid w:val="5ADF60F3"/>
    <w:rsid w:val="5B001E53"/>
    <w:rsid w:val="5B0D3E3C"/>
    <w:rsid w:val="5B1A473F"/>
    <w:rsid w:val="5B1A53C6"/>
    <w:rsid w:val="5B2E4542"/>
    <w:rsid w:val="5B963814"/>
    <w:rsid w:val="5BAC7B28"/>
    <w:rsid w:val="5BB04D30"/>
    <w:rsid w:val="5BC70423"/>
    <w:rsid w:val="5C1E6F51"/>
    <w:rsid w:val="5C44058D"/>
    <w:rsid w:val="5C526290"/>
    <w:rsid w:val="5C8C341B"/>
    <w:rsid w:val="5C9522CF"/>
    <w:rsid w:val="5C9B6A90"/>
    <w:rsid w:val="5CA50038"/>
    <w:rsid w:val="5CAB11F3"/>
    <w:rsid w:val="5CAB36E0"/>
    <w:rsid w:val="5CBF1B3C"/>
    <w:rsid w:val="5CFB10A2"/>
    <w:rsid w:val="5D177188"/>
    <w:rsid w:val="5D472C12"/>
    <w:rsid w:val="5D5C0DB3"/>
    <w:rsid w:val="5D657164"/>
    <w:rsid w:val="5D833495"/>
    <w:rsid w:val="5DAC2609"/>
    <w:rsid w:val="5DBF1736"/>
    <w:rsid w:val="5DDE32C3"/>
    <w:rsid w:val="5DDF5CD5"/>
    <w:rsid w:val="5E5717C3"/>
    <w:rsid w:val="5E690773"/>
    <w:rsid w:val="5E877A7D"/>
    <w:rsid w:val="5EC46E9C"/>
    <w:rsid w:val="5EC614D8"/>
    <w:rsid w:val="5EC739B8"/>
    <w:rsid w:val="5F065225"/>
    <w:rsid w:val="5F1A4CA9"/>
    <w:rsid w:val="5F3F4AC9"/>
    <w:rsid w:val="5F660F3F"/>
    <w:rsid w:val="5F6662FF"/>
    <w:rsid w:val="5F7F60A4"/>
    <w:rsid w:val="5FCA30FF"/>
    <w:rsid w:val="5FDD22C1"/>
    <w:rsid w:val="600339F4"/>
    <w:rsid w:val="600C4ED2"/>
    <w:rsid w:val="601C4AB5"/>
    <w:rsid w:val="60341DFF"/>
    <w:rsid w:val="60456D6B"/>
    <w:rsid w:val="609C4318"/>
    <w:rsid w:val="609D1752"/>
    <w:rsid w:val="60DF3930"/>
    <w:rsid w:val="60EB6A42"/>
    <w:rsid w:val="61025F9A"/>
    <w:rsid w:val="61132870"/>
    <w:rsid w:val="6116747B"/>
    <w:rsid w:val="61300818"/>
    <w:rsid w:val="61336898"/>
    <w:rsid w:val="61401063"/>
    <w:rsid w:val="614918DA"/>
    <w:rsid w:val="61A73CE8"/>
    <w:rsid w:val="61AA6DA6"/>
    <w:rsid w:val="61C95A0F"/>
    <w:rsid w:val="622B0BAC"/>
    <w:rsid w:val="62404A8B"/>
    <w:rsid w:val="624132BD"/>
    <w:rsid w:val="62A57383"/>
    <w:rsid w:val="62B527DB"/>
    <w:rsid w:val="62F14B14"/>
    <w:rsid w:val="63055F43"/>
    <w:rsid w:val="630C0E11"/>
    <w:rsid w:val="63296BD8"/>
    <w:rsid w:val="632B1E94"/>
    <w:rsid w:val="632E57EF"/>
    <w:rsid w:val="633701CE"/>
    <w:rsid w:val="63466D07"/>
    <w:rsid w:val="639808F7"/>
    <w:rsid w:val="63A96660"/>
    <w:rsid w:val="63E97909"/>
    <w:rsid w:val="64263C05"/>
    <w:rsid w:val="6429426F"/>
    <w:rsid w:val="64294480"/>
    <w:rsid w:val="64782246"/>
    <w:rsid w:val="647C570A"/>
    <w:rsid w:val="64915A72"/>
    <w:rsid w:val="64A07A63"/>
    <w:rsid w:val="64B14FC1"/>
    <w:rsid w:val="64C52428"/>
    <w:rsid w:val="64E8140A"/>
    <w:rsid w:val="659F2350"/>
    <w:rsid w:val="65CB0B10"/>
    <w:rsid w:val="65D025CA"/>
    <w:rsid w:val="65E87914"/>
    <w:rsid w:val="65EA26BD"/>
    <w:rsid w:val="661B62C8"/>
    <w:rsid w:val="66292447"/>
    <w:rsid w:val="664E059A"/>
    <w:rsid w:val="66576211"/>
    <w:rsid w:val="66903B07"/>
    <w:rsid w:val="66DF7FAC"/>
    <w:rsid w:val="66EC7942"/>
    <w:rsid w:val="670B0BA2"/>
    <w:rsid w:val="672032FF"/>
    <w:rsid w:val="673311E6"/>
    <w:rsid w:val="67393EF5"/>
    <w:rsid w:val="67560396"/>
    <w:rsid w:val="67B11FEE"/>
    <w:rsid w:val="67B3300F"/>
    <w:rsid w:val="67F307F2"/>
    <w:rsid w:val="68000A1A"/>
    <w:rsid w:val="68040309"/>
    <w:rsid w:val="68185610"/>
    <w:rsid w:val="682B7A3B"/>
    <w:rsid w:val="683416CD"/>
    <w:rsid w:val="683D2155"/>
    <w:rsid w:val="6841330B"/>
    <w:rsid w:val="68704A27"/>
    <w:rsid w:val="6881195A"/>
    <w:rsid w:val="688A7038"/>
    <w:rsid w:val="69076303"/>
    <w:rsid w:val="690976CF"/>
    <w:rsid w:val="6917406C"/>
    <w:rsid w:val="691B6F1A"/>
    <w:rsid w:val="69390486"/>
    <w:rsid w:val="69431305"/>
    <w:rsid w:val="694B4C0D"/>
    <w:rsid w:val="69651A12"/>
    <w:rsid w:val="69A26F6D"/>
    <w:rsid w:val="69BB32F2"/>
    <w:rsid w:val="69C441F4"/>
    <w:rsid w:val="69E228CC"/>
    <w:rsid w:val="69EA1150"/>
    <w:rsid w:val="69EC4F13"/>
    <w:rsid w:val="6A016CF4"/>
    <w:rsid w:val="6A0E5F3C"/>
    <w:rsid w:val="6A1A027C"/>
    <w:rsid w:val="6A4F103E"/>
    <w:rsid w:val="6A7F45BF"/>
    <w:rsid w:val="6A8F6601"/>
    <w:rsid w:val="6A9218A3"/>
    <w:rsid w:val="6A9A27BB"/>
    <w:rsid w:val="6AB51D8E"/>
    <w:rsid w:val="6AD77F57"/>
    <w:rsid w:val="6B0C7706"/>
    <w:rsid w:val="6B1B6095"/>
    <w:rsid w:val="6B481462"/>
    <w:rsid w:val="6B6C28FE"/>
    <w:rsid w:val="6B8026C9"/>
    <w:rsid w:val="6B923E7E"/>
    <w:rsid w:val="6BA72C9D"/>
    <w:rsid w:val="6BCF07F8"/>
    <w:rsid w:val="6BD54DEF"/>
    <w:rsid w:val="6C044D7B"/>
    <w:rsid w:val="6C1B1B37"/>
    <w:rsid w:val="6C5A2BED"/>
    <w:rsid w:val="6C845C4E"/>
    <w:rsid w:val="6CB30550"/>
    <w:rsid w:val="6CD72490"/>
    <w:rsid w:val="6CE1330F"/>
    <w:rsid w:val="6D0222A2"/>
    <w:rsid w:val="6D251352"/>
    <w:rsid w:val="6D4F0278"/>
    <w:rsid w:val="6D6001EC"/>
    <w:rsid w:val="6D613624"/>
    <w:rsid w:val="6D91263F"/>
    <w:rsid w:val="6DC55B94"/>
    <w:rsid w:val="6DD71A9B"/>
    <w:rsid w:val="6DE21FFF"/>
    <w:rsid w:val="6DF1085F"/>
    <w:rsid w:val="6DFE3A5E"/>
    <w:rsid w:val="6E267403"/>
    <w:rsid w:val="6E6B580B"/>
    <w:rsid w:val="6EA77C40"/>
    <w:rsid w:val="6EAB4F77"/>
    <w:rsid w:val="6EB24C6B"/>
    <w:rsid w:val="6ED443D0"/>
    <w:rsid w:val="6EDD5FA4"/>
    <w:rsid w:val="6EF81F37"/>
    <w:rsid w:val="6F032A2F"/>
    <w:rsid w:val="6F2D534C"/>
    <w:rsid w:val="6F3A0AB4"/>
    <w:rsid w:val="6F3F60CB"/>
    <w:rsid w:val="6F447ED1"/>
    <w:rsid w:val="6F4638AE"/>
    <w:rsid w:val="6F4D07E7"/>
    <w:rsid w:val="6F4F3566"/>
    <w:rsid w:val="6F653D83"/>
    <w:rsid w:val="6F9E06E4"/>
    <w:rsid w:val="6FCD5FD7"/>
    <w:rsid w:val="7014426C"/>
    <w:rsid w:val="701C509C"/>
    <w:rsid w:val="70221C74"/>
    <w:rsid w:val="703B0F88"/>
    <w:rsid w:val="704E0CBB"/>
    <w:rsid w:val="70816354"/>
    <w:rsid w:val="70862203"/>
    <w:rsid w:val="709103B0"/>
    <w:rsid w:val="70AB1C6A"/>
    <w:rsid w:val="70AC5BC0"/>
    <w:rsid w:val="70D311C0"/>
    <w:rsid w:val="70E32271"/>
    <w:rsid w:val="70F2774D"/>
    <w:rsid w:val="71031F5C"/>
    <w:rsid w:val="710903AB"/>
    <w:rsid w:val="711B59D1"/>
    <w:rsid w:val="71505C18"/>
    <w:rsid w:val="71542301"/>
    <w:rsid w:val="71570EDA"/>
    <w:rsid w:val="71792D3A"/>
    <w:rsid w:val="717E112C"/>
    <w:rsid w:val="719B73E5"/>
    <w:rsid w:val="71BB7720"/>
    <w:rsid w:val="71C35DEF"/>
    <w:rsid w:val="71C86E42"/>
    <w:rsid w:val="71CA504D"/>
    <w:rsid w:val="72345C8F"/>
    <w:rsid w:val="7242215A"/>
    <w:rsid w:val="72444124"/>
    <w:rsid w:val="729C3F60"/>
    <w:rsid w:val="72B64B75"/>
    <w:rsid w:val="72E10BC5"/>
    <w:rsid w:val="72EA7F1B"/>
    <w:rsid w:val="72F45BD1"/>
    <w:rsid w:val="72F625E1"/>
    <w:rsid w:val="7306587D"/>
    <w:rsid w:val="73236BEB"/>
    <w:rsid w:val="733A5A8F"/>
    <w:rsid w:val="73611B96"/>
    <w:rsid w:val="73680306"/>
    <w:rsid w:val="737F2386"/>
    <w:rsid w:val="73944C37"/>
    <w:rsid w:val="739C7F8F"/>
    <w:rsid w:val="73A11102"/>
    <w:rsid w:val="73C179F6"/>
    <w:rsid w:val="73C75AC5"/>
    <w:rsid w:val="73CD0DC6"/>
    <w:rsid w:val="73CE5982"/>
    <w:rsid w:val="73CF0426"/>
    <w:rsid w:val="73D76192"/>
    <w:rsid w:val="73E34B8E"/>
    <w:rsid w:val="741100B1"/>
    <w:rsid w:val="74261BA4"/>
    <w:rsid w:val="742D188E"/>
    <w:rsid w:val="743B64E6"/>
    <w:rsid w:val="745368A0"/>
    <w:rsid w:val="745E5245"/>
    <w:rsid w:val="74631066"/>
    <w:rsid w:val="74716D26"/>
    <w:rsid w:val="747F7695"/>
    <w:rsid w:val="74A75798"/>
    <w:rsid w:val="751A50CF"/>
    <w:rsid w:val="751A73BE"/>
    <w:rsid w:val="752D0CA5"/>
    <w:rsid w:val="755873D9"/>
    <w:rsid w:val="75994786"/>
    <w:rsid w:val="75CA7E1A"/>
    <w:rsid w:val="75E8126A"/>
    <w:rsid w:val="75F33D2B"/>
    <w:rsid w:val="75F53987"/>
    <w:rsid w:val="760C5540"/>
    <w:rsid w:val="760E1C9B"/>
    <w:rsid w:val="761622A3"/>
    <w:rsid w:val="762B237E"/>
    <w:rsid w:val="76342F98"/>
    <w:rsid w:val="763B3A90"/>
    <w:rsid w:val="765134FE"/>
    <w:rsid w:val="76520169"/>
    <w:rsid w:val="765C66BE"/>
    <w:rsid w:val="76850AE5"/>
    <w:rsid w:val="769431A0"/>
    <w:rsid w:val="76B760AB"/>
    <w:rsid w:val="76D12C3C"/>
    <w:rsid w:val="76D501AF"/>
    <w:rsid w:val="76F605C0"/>
    <w:rsid w:val="76F72E63"/>
    <w:rsid w:val="76F82A99"/>
    <w:rsid w:val="77494238"/>
    <w:rsid w:val="774A6F53"/>
    <w:rsid w:val="7758241F"/>
    <w:rsid w:val="776C38C3"/>
    <w:rsid w:val="778C5F42"/>
    <w:rsid w:val="778E4093"/>
    <w:rsid w:val="77975072"/>
    <w:rsid w:val="779C055E"/>
    <w:rsid w:val="77B54B7B"/>
    <w:rsid w:val="77BC650A"/>
    <w:rsid w:val="77CD6139"/>
    <w:rsid w:val="77CD73FD"/>
    <w:rsid w:val="77F6065F"/>
    <w:rsid w:val="780D746C"/>
    <w:rsid w:val="78120820"/>
    <w:rsid w:val="78167357"/>
    <w:rsid w:val="782F2C9A"/>
    <w:rsid w:val="784C22F5"/>
    <w:rsid w:val="784D77A7"/>
    <w:rsid w:val="78760DAF"/>
    <w:rsid w:val="787E2228"/>
    <w:rsid w:val="789E00C9"/>
    <w:rsid w:val="78A3798C"/>
    <w:rsid w:val="78A5513F"/>
    <w:rsid w:val="78AF42C1"/>
    <w:rsid w:val="78FD327E"/>
    <w:rsid w:val="79273753"/>
    <w:rsid w:val="79336CA0"/>
    <w:rsid w:val="79560EFA"/>
    <w:rsid w:val="796C3F60"/>
    <w:rsid w:val="79C2618F"/>
    <w:rsid w:val="79DB6C56"/>
    <w:rsid w:val="7A426EF4"/>
    <w:rsid w:val="7A5C6C08"/>
    <w:rsid w:val="7A736669"/>
    <w:rsid w:val="7A911ED0"/>
    <w:rsid w:val="7ABF6110"/>
    <w:rsid w:val="7AD102FF"/>
    <w:rsid w:val="7ADE098E"/>
    <w:rsid w:val="7AF366E7"/>
    <w:rsid w:val="7B260951"/>
    <w:rsid w:val="7B3A62FF"/>
    <w:rsid w:val="7B485D83"/>
    <w:rsid w:val="7B94426E"/>
    <w:rsid w:val="7B950000"/>
    <w:rsid w:val="7B9B540A"/>
    <w:rsid w:val="7BA571B0"/>
    <w:rsid w:val="7BE465DC"/>
    <w:rsid w:val="7BE91FDA"/>
    <w:rsid w:val="7C0A460F"/>
    <w:rsid w:val="7C2C0CD2"/>
    <w:rsid w:val="7C2D6999"/>
    <w:rsid w:val="7C417926"/>
    <w:rsid w:val="7C4249B0"/>
    <w:rsid w:val="7C491964"/>
    <w:rsid w:val="7C51399F"/>
    <w:rsid w:val="7C5D1037"/>
    <w:rsid w:val="7C7B0712"/>
    <w:rsid w:val="7CB15915"/>
    <w:rsid w:val="7CBE2D25"/>
    <w:rsid w:val="7CCE7338"/>
    <w:rsid w:val="7CFE1757"/>
    <w:rsid w:val="7D9A149C"/>
    <w:rsid w:val="7DAE2D99"/>
    <w:rsid w:val="7DC73E5B"/>
    <w:rsid w:val="7DE056DF"/>
    <w:rsid w:val="7DE727DC"/>
    <w:rsid w:val="7E167BC7"/>
    <w:rsid w:val="7E2B263C"/>
    <w:rsid w:val="7E7622AF"/>
    <w:rsid w:val="7E7727BA"/>
    <w:rsid w:val="7EA877E8"/>
    <w:rsid w:val="7EAD578E"/>
    <w:rsid w:val="7EB75C7D"/>
    <w:rsid w:val="7EB77A2B"/>
    <w:rsid w:val="7EF14E89"/>
    <w:rsid w:val="7F3E639F"/>
    <w:rsid w:val="7F5248F2"/>
    <w:rsid w:val="7F6A7194"/>
    <w:rsid w:val="7F741DC0"/>
    <w:rsid w:val="7F89227A"/>
    <w:rsid w:val="7FA7314A"/>
    <w:rsid w:val="7FBB4E71"/>
    <w:rsid w:val="7FC1082D"/>
    <w:rsid w:val="7FEF0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4"/>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4"/>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7"/>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8"/>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49"/>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0"/>
    <w:semiHidden/>
    <w:unhideWhenUsed/>
    <w:qFormat/>
    <w:uiPriority w:val="9"/>
    <w:pPr>
      <w:keepNext/>
      <w:keepLines/>
      <w:spacing w:before="240" w:after="64" w:line="320" w:lineRule="auto"/>
      <w:outlineLvl w:val="6"/>
    </w:pPr>
    <w:rPr>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szCs w:val="20"/>
    </w:rPr>
  </w:style>
  <w:style w:type="paragraph" w:styleId="10">
    <w:name w:val="Body Text Indent"/>
    <w:basedOn w:val="1"/>
    <w:link w:val="37"/>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2"/>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6"/>
    <w:semiHidden/>
    <w:unhideWhenUsed/>
    <w:qFormat/>
    <w:uiPriority w:val="99"/>
    <w:pPr>
      <w:ind w:left="100" w:leftChars="2500"/>
    </w:pPr>
  </w:style>
  <w:style w:type="paragraph" w:styleId="13">
    <w:name w:val="Body Text Indent 2"/>
    <w:basedOn w:val="1"/>
    <w:unhideWhenUsed/>
    <w:qFormat/>
    <w:uiPriority w:val="99"/>
    <w:pPr>
      <w:tabs>
        <w:tab w:val="left" w:pos="540"/>
      </w:tabs>
      <w:spacing w:line="500" w:lineRule="exact"/>
      <w:ind w:firstLine="809" w:firstLineChars="337"/>
    </w:pPr>
    <w:rPr>
      <w:rFonts w:ascii="宋体" w:hAnsi="宋体"/>
      <w:position w:val="2"/>
      <w:sz w:val="24"/>
    </w:rPr>
  </w:style>
  <w:style w:type="paragraph" w:styleId="14">
    <w:name w:val="Balloon Text"/>
    <w:basedOn w:val="1"/>
    <w:link w:val="53"/>
    <w:semiHidden/>
    <w:unhideWhenUsed/>
    <w:qFormat/>
    <w:uiPriority w:val="99"/>
    <w:rPr>
      <w:sz w:val="18"/>
      <w:szCs w:val="18"/>
    </w:rPr>
  </w:style>
  <w:style w:type="paragraph" w:styleId="15">
    <w:name w:val="footer"/>
    <w:basedOn w:val="1"/>
    <w:link w:val="46"/>
    <w:unhideWhenUsed/>
    <w:qFormat/>
    <w:uiPriority w:val="99"/>
    <w:pPr>
      <w:tabs>
        <w:tab w:val="center" w:pos="4153"/>
        <w:tab w:val="right" w:pos="8306"/>
      </w:tabs>
      <w:snapToGrid w:val="0"/>
      <w:jc w:val="left"/>
    </w:pPr>
    <w:rPr>
      <w:sz w:val="18"/>
      <w:szCs w:val="18"/>
    </w:rPr>
  </w:style>
  <w:style w:type="paragraph" w:styleId="16">
    <w:name w:val="header"/>
    <w:basedOn w:val="1"/>
    <w:link w:val="4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5"/>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bCs/>
    </w:rPr>
  </w:style>
  <w:style w:type="character" w:styleId="25">
    <w:name w:val="Hyperlink"/>
    <w:basedOn w:val="23"/>
    <w:unhideWhenUsed/>
    <w:qFormat/>
    <w:uiPriority w:val="99"/>
    <w:rPr>
      <w:color w:val="0000FF" w:themeColor="hyperlink"/>
      <w:u w:val="single"/>
    </w:rPr>
  </w:style>
  <w:style w:type="character" w:customStyle="1" w:styleId="26">
    <w:name w:val="日期 Char"/>
    <w:basedOn w:val="23"/>
    <w:link w:val="12"/>
    <w:semiHidden/>
    <w:qFormat/>
    <w:uiPriority w:val="99"/>
    <w:rPr>
      <w:rFonts w:ascii="Times New Roman" w:hAnsi="Times New Roman" w:eastAsia="宋体" w:cs="Times New Roman"/>
      <w:sz w:val="28"/>
      <w:szCs w:val="20"/>
    </w:rPr>
  </w:style>
  <w:style w:type="paragraph" w:styleId="27">
    <w:name w:val="List Paragraph"/>
    <w:basedOn w:val="1"/>
    <w:link w:val="40"/>
    <w:qFormat/>
    <w:uiPriority w:val="0"/>
    <w:pPr>
      <w:ind w:firstLine="420" w:firstLineChars="200"/>
    </w:pPr>
  </w:style>
  <w:style w:type="paragraph" w:customStyle="1" w:styleId="28">
    <w:name w:val="正文 第一章"/>
    <w:basedOn w:val="1"/>
    <w:next w:val="29"/>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9">
    <w:name w:val="正文 1.1"/>
    <w:basedOn w:val="1"/>
    <w:next w:val="30"/>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0">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1">
    <w:name w:val="第四级"/>
    <w:basedOn w:val="1"/>
    <w:next w:val="32"/>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2">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3">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4">
    <w:name w:val="标题 1 Char"/>
    <w:basedOn w:val="23"/>
    <w:link w:val="3"/>
    <w:qFormat/>
    <w:uiPriority w:val="0"/>
    <w:rPr>
      <w:rFonts w:ascii="宋体" w:hAnsi="Arial" w:eastAsia="黑体" w:cs="Times New Roman"/>
      <w:b/>
      <w:bCs/>
      <w:color w:val="000000"/>
      <w:kern w:val="44"/>
      <w:sz w:val="36"/>
      <w:szCs w:val="32"/>
    </w:rPr>
  </w:style>
  <w:style w:type="character" w:customStyle="1" w:styleId="35">
    <w:name w:val="标题 Char"/>
    <w:basedOn w:val="23"/>
    <w:link w:val="20"/>
    <w:qFormat/>
    <w:uiPriority w:val="10"/>
    <w:rPr>
      <w:rFonts w:eastAsia="宋体" w:asciiTheme="majorHAnsi" w:hAnsiTheme="majorHAnsi" w:cstheme="majorBidi"/>
      <w:b/>
      <w:bCs/>
      <w:sz w:val="32"/>
      <w:szCs w:val="32"/>
    </w:rPr>
  </w:style>
  <w:style w:type="character" w:customStyle="1" w:styleId="36">
    <w:name w:val="标题 2 Char"/>
    <w:basedOn w:val="23"/>
    <w:link w:val="4"/>
    <w:semiHidden/>
    <w:qFormat/>
    <w:uiPriority w:val="9"/>
    <w:rPr>
      <w:rFonts w:asciiTheme="majorHAnsi" w:hAnsiTheme="majorHAnsi" w:eastAsiaTheme="majorEastAsia" w:cstheme="majorBidi"/>
      <w:b/>
      <w:bCs/>
      <w:sz w:val="32"/>
      <w:szCs w:val="32"/>
    </w:rPr>
  </w:style>
  <w:style w:type="character" w:customStyle="1" w:styleId="37">
    <w:name w:val="正文文本缩进 Char"/>
    <w:link w:val="10"/>
    <w:qFormat/>
    <w:locked/>
    <w:uiPriority w:val="0"/>
    <w:rPr>
      <w:rFonts w:ascii="宋体" w:hAnsi="Courier New" w:eastAsia="宋体"/>
      <w:spacing w:val="-4"/>
      <w:sz w:val="18"/>
    </w:rPr>
  </w:style>
  <w:style w:type="character" w:customStyle="1" w:styleId="38">
    <w:name w:val="正文文本缩进 Char1"/>
    <w:basedOn w:val="23"/>
    <w:semiHidden/>
    <w:qFormat/>
    <w:uiPriority w:val="99"/>
    <w:rPr>
      <w:rFonts w:ascii="Times New Roman" w:hAnsi="Times New Roman" w:eastAsia="宋体" w:cs="Times New Roman"/>
      <w:sz w:val="28"/>
      <w:szCs w:val="20"/>
    </w:rPr>
  </w:style>
  <w:style w:type="character" w:customStyle="1" w:styleId="39">
    <w:name w:val="标题 3 Char"/>
    <w:qFormat/>
    <w:uiPriority w:val="0"/>
    <w:rPr>
      <w:rFonts w:eastAsia="宋体"/>
      <w:b/>
      <w:bCs/>
      <w:kern w:val="2"/>
      <w:sz w:val="32"/>
      <w:szCs w:val="32"/>
      <w:lang w:val="en-US" w:eastAsia="zh-CN" w:bidi="ar-SA"/>
    </w:rPr>
  </w:style>
  <w:style w:type="character" w:customStyle="1" w:styleId="40">
    <w:name w:val="列出段落 Char"/>
    <w:link w:val="27"/>
    <w:qFormat/>
    <w:locked/>
    <w:uiPriority w:val="0"/>
    <w:rPr>
      <w:rFonts w:ascii="Times New Roman" w:hAnsi="Times New Roman" w:eastAsia="宋体" w:cs="Times New Roman"/>
      <w:sz w:val="28"/>
      <w:szCs w:val="20"/>
    </w:rPr>
  </w:style>
  <w:style w:type="character" w:customStyle="1" w:styleId="41">
    <w:name w:val="正文 第五章 中间"/>
    <w:qFormat/>
    <w:uiPriority w:val="0"/>
    <w:rPr>
      <w:b/>
      <w:bCs/>
      <w:color w:val="000000"/>
      <w:sz w:val="32"/>
    </w:rPr>
  </w:style>
  <w:style w:type="character" w:customStyle="1" w:styleId="42">
    <w:name w:val="纯文本 Char1"/>
    <w:link w:val="11"/>
    <w:qFormat/>
    <w:uiPriority w:val="0"/>
    <w:rPr>
      <w:rFonts w:ascii="宋体" w:hAnsi="Courier New" w:eastAsia="宋体"/>
      <w:sz w:val="24"/>
    </w:rPr>
  </w:style>
  <w:style w:type="character" w:customStyle="1" w:styleId="43">
    <w:name w:val="纯文本 Char"/>
    <w:basedOn w:val="23"/>
    <w:semiHidden/>
    <w:qFormat/>
    <w:uiPriority w:val="99"/>
    <w:rPr>
      <w:rFonts w:ascii="宋体" w:hAnsi="Courier New" w:eastAsia="宋体" w:cs="Courier New"/>
      <w:szCs w:val="21"/>
    </w:rPr>
  </w:style>
  <w:style w:type="character" w:customStyle="1" w:styleId="44">
    <w:name w:val="标题 3 Char1"/>
    <w:basedOn w:val="23"/>
    <w:link w:val="5"/>
    <w:semiHidden/>
    <w:qFormat/>
    <w:uiPriority w:val="9"/>
    <w:rPr>
      <w:rFonts w:ascii="Times New Roman" w:hAnsi="Times New Roman" w:eastAsia="宋体" w:cs="Times New Roman"/>
      <w:b/>
      <w:bCs/>
      <w:sz w:val="32"/>
      <w:szCs w:val="32"/>
    </w:rPr>
  </w:style>
  <w:style w:type="character" w:customStyle="1" w:styleId="45">
    <w:name w:val="页眉 Char"/>
    <w:basedOn w:val="23"/>
    <w:link w:val="16"/>
    <w:semiHidden/>
    <w:qFormat/>
    <w:uiPriority w:val="99"/>
    <w:rPr>
      <w:rFonts w:ascii="Times New Roman" w:hAnsi="Times New Roman" w:eastAsia="宋体" w:cs="Times New Roman"/>
      <w:sz w:val="18"/>
      <w:szCs w:val="18"/>
    </w:rPr>
  </w:style>
  <w:style w:type="character" w:customStyle="1" w:styleId="46">
    <w:name w:val="页脚 Char"/>
    <w:basedOn w:val="23"/>
    <w:link w:val="15"/>
    <w:qFormat/>
    <w:uiPriority w:val="99"/>
    <w:rPr>
      <w:rFonts w:ascii="Times New Roman" w:hAnsi="Times New Roman" w:eastAsia="宋体" w:cs="Times New Roman"/>
      <w:sz w:val="18"/>
      <w:szCs w:val="18"/>
    </w:rPr>
  </w:style>
  <w:style w:type="character" w:customStyle="1" w:styleId="47">
    <w:name w:val="标题 4 Char"/>
    <w:basedOn w:val="23"/>
    <w:link w:val="6"/>
    <w:semiHidden/>
    <w:qFormat/>
    <w:uiPriority w:val="9"/>
    <w:rPr>
      <w:rFonts w:asciiTheme="majorHAnsi" w:hAnsiTheme="majorHAnsi" w:eastAsiaTheme="majorEastAsia" w:cstheme="majorBidi"/>
      <w:b/>
      <w:bCs/>
      <w:sz w:val="28"/>
      <w:szCs w:val="28"/>
    </w:rPr>
  </w:style>
  <w:style w:type="character" w:customStyle="1" w:styleId="48">
    <w:name w:val="标题 5 Char"/>
    <w:basedOn w:val="23"/>
    <w:link w:val="7"/>
    <w:semiHidden/>
    <w:qFormat/>
    <w:uiPriority w:val="9"/>
    <w:rPr>
      <w:rFonts w:ascii="Times New Roman" w:hAnsi="Times New Roman" w:eastAsia="宋体" w:cs="Times New Roman"/>
      <w:b/>
      <w:bCs/>
      <w:sz w:val="28"/>
      <w:szCs w:val="28"/>
    </w:rPr>
  </w:style>
  <w:style w:type="character" w:customStyle="1" w:styleId="49">
    <w:name w:val="标题 6 Char"/>
    <w:basedOn w:val="23"/>
    <w:link w:val="8"/>
    <w:semiHidden/>
    <w:qFormat/>
    <w:uiPriority w:val="9"/>
    <w:rPr>
      <w:rFonts w:asciiTheme="majorHAnsi" w:hAnsiTheme="majorHAnsi" w:eastAsiaTheme="majorEastAsia" w:cstheme="majorBidi"/>
      <w:b/>
      <w:bCs/>
      <w:sz w:val="24"/>
      <w:szCs w:val="24"/>
    </w:rPr>
  </w:style>
  <w:style w:type="character" w:customStyle="1" w:styleId="50">
    <w:name w:val="标题 7 Char"/>
    <w:basedOn w:val="23"/>
    <w:link w:val="9"/>
    <w:semiHidden/>
    <w:qFormat/>
    <w:uiPriority w:val="9"/>
    <w:rPr>
      <w:rFonts w:ascii="Times New Roman" w:hAnsi="Times New Roman" w:eastAsia="宋体" w:cs="Times New Roman"/>
      <w:b/>
      <w:bCs/>
      <w:sz w:val="24"/>
      <w:szCs w:val="24"/>
    </w:rPr>
  </w:style>
  <w:style w:type="paragraph" w:customStyle="1" w:styleId="51">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2">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3">
    <w:name w:val="批注框文本 Char"/>
    <w:basedOn w:val="23"/>
    <w:link w:val="14"/>
    <w:semiHidden/>
    <w:qFormat/>
    <w:uiPriority w:val="99"/>
    <w:rPr>
      <w:rFonts w:ascii="Times New Roman" w:hAnsi="Times New Roman" w:eastAsia="宋体" w:cs="Times New Roman"/>
      <w:sz w:val="18"/>
      <w:szCs w:val="18"/>
    </w:rPr>
  </w:style>
  <w:style w:type="paragraph" w:customStyle="1" w:styleId="54">
    <w:name w:val="引用1"/>
    <w:basedOn w:val="1"/>
    <w:next w:val="1"/>
    <w:qFormat/>
    <w:uiPriority w:val="0"/>
    <w:pPr>
      <w:spacing w:line="320" w:lineRule="exact"/>
      <w:jc w:val="center"/>
    </w:pPr>
    <w:rPr>
      <w:rFonts w:ascii="仿宋_GB2312" w:eastAsia="仿宋_GB2312"/>
      <w:iCs/>
      <w:color w:val="000000"/>
      <w:szCs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3952</Words>
  <Characters>22527</Characters>
  <Lines>187</Lines>
  <Paragraphs>52</Paragraphs>
  <TotalTime>57</TotalTime>
  <ScaleCrop>false</ScaleCrop>
  <LinksUpToDate>false</LinksUpToDate>
  <CharactersWithSpaces>26427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2022-01-14T02:20:00Z</cp:lastPrinted>
  <dcterms:modified xsi:type="dcterms:W3CDTF">2022-02-17T04:13:58Z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546492E9644C4A108178BCC3F3B75FDC</vt:lpwstr>
  </property>
</Properties>
</file>