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Times New Roman" w:eastAsia="宋体" w:cs="@仿宋_GB2312"/>
          <w:b/>
          <w:sz w:val="28"/>
          <w:szCs w:val="20"/>
          <w:highlight w:val="none"/>
        </w:rPr>
      </w:pPr>
      <w:bookmarkStart w:id="0" w:name="_Toc2994"/>
      <w:bookmarkStart w:id="1" w:name="_Toc23840"/>
      <w:bookmarkStart w:id="2" w:name="_Toc10891"/>
      <w:bookmarkStart w:id="3" w:name="_Toc20877"/>
      <w:bookmarkStart w:id="4" w:name="_Toc76"/>
      <w:r>
        <w:rPr>
          <w:rFonts w:hint="eastAsia" w:ascii="宋体" w:hAnsi="Times New Roman" w:eastAsia="宋体" w:cs="@仿宋_GB2312"/>
          <w:b/>
          <w:sz w:val="28"/>
          <w:szCs w:val="20"/>
          <w:highlight w:val="none"/>
        </w:rPr>
        <w:t>第三章  采购需求</w:t>
      </w:r>
      <w:bookmarkEnd w:id="0"/>
      <w:bookmarkEnd w:id="1"/>
      <w:bookmarkEnd w:id="2"/>
      <w:bookmarkEnd w:id="3"/>
      <w:bookmarkEnd w:id="4"/>
    </w:p>
    <w:p>
      <w:pPr>
        <w:spacing w:line="360" w:lineRule="auto"/>
        <w:rPr>
          <w:rFonts w:ascii="宋体" w:hAnsi="Times New Roman" w:eastAsia="宋体" w:cs="@仿宋_GB2312"/>
          <w:b/>
          <w:sz w:val="24"/>
          <w:szCs w:val="20"/>
          <w:highlight w:val="none"/>
        </w:rPr>
      </w:pPr>
      <w:r>
        <w:rPr>
          <w:rFonts w:hint="eastAsia" w:ascii="宋体" w:hAnsi="Times New Roman" w:eastAsia="宋体" w:cs="@仿宋_GB2312"/>
          <w:b/>
          <w:sz w:val="24"/>
          <w:szCs w:val="20"/>
          <w:highlight w:val="none"/>
        </w:rPr>
        <w:t>前注：</w:t>
      </w:r>
    </w:p>
    <w:p>
      <w:pPr>
        <w:spacing w:line="360" w:lineRule="auto"/>
        <w:ind w:firstLine="435"/>
        <w:rPr>
          <w:rFonts w:ascii="宋体" w:hAnsi="Times New Roman" w:eastAsia="宋体" w:cs="@仿宋_GB2312"/>
          <w:sz w:val="24"/>
          <w:szCs w:val="18"/>
          <w:highlight w:val="none"/>
        </w:rPr>
      </w:pPr>
      <w:r>
        <w:rPr>
          <w:rFonts w:hint="eastAsia" w:ascii="宋体" w:hAnsi="Times New Roman" w:eastAsia="宋体" w:cs="@仿宋_GB2312"/>
          <w:sz w:val="24"/>
          <w:szCs w:val="20"/>
          <w:highlight w:val="none"/>
        </w:rPr>
        <w:t>1.</w:t>
      </w:r>
      <w:r>
        <w:rPr>
          <w:rFonts w:ascii="宋体" w:hAnsi="Times New Roman" w:eastAsia="宋体" w:cs="@仿宋_GB2312"/>
          <w:sz w:val="24"/>
          <w:szCs w:val="18"/>
          <w:highlight w:val="none"/>
        </w:rPr>
        <w:t>根据《</w:t>
      </w:r>
      <w:r>
        <w:rPr>
          <w:rFonts w:hint="eastAsia" w:ascii="宋体" w:hAnsi="Times New Roman" w:eastAsia="宋体" w:cs="@仿宋_GB2312"/>
          <w:sz w:val="24"/>
          <w:szCs w:val="18"/>
          <w:highlight w:val="none"/>
        </w:rPr>
        <w:t>政府采购进口产品管理办法</w:t>
      </w:r>
      <w:r>
        <w:rPr>
          <w:rFonts w:ascii="宋体" w:hAnsi="Times New Roman" w:eastAsia="宋体" w:cs="@仿宋_GB2312"/>
          <w:sz w:val="24"/>
          <w:szCs w:val="18"/>
          <w:highlight w:val="none"/>
        </w:rPr>
        <w:t>》及政府采购管理部门的相关规定，下列采购需求中</w:t>
      </w:r>
      <w:r>
        <w:rPr>
          <w:rFonts w:hint="eastAsia" w:ascii="宋体" w:hAnsi="Times New Roman" w:eastAsia="宋体" w:cs="@仿宋_GB2312"/>
          <w:sz w:val="24"/>
          <w:szCs w:val="18"/>
          <w:highlight w:val="none"/>
        </w:rPr>
        <w:t>标注进口产品的货物均</w:t>
      </w:r>
      <w:r>
        <w:rPr>
          <w:rFonts w:ascii="宋体" w:hAnsi="Times New Roman" w:eastAsia="宋体" w:cs="@仿宋_GB2312"/>
          <w:sz w:val="24"/>
          <w:szCs w:val="18"/>
          <w:highlight w:val="none"/>
        </w:rPr>
        <w:t>已履行相关论证手续，经核准采购进口</w:t>
      </w:r>
      <w:r>
        <w:rPr>
          <w:rFonts w:hint="eastAsia" w:ascii="宋体" w:hAnsi="Times New Roman" w:eastAsia="宋体" w:cs="@仿宋_GB2312"/>
          <w:sz w:val="24"/>
          <w:szCs w:val="18"/>
          <w:highlight w:val="none"/>
        </w:rPr>
        <w:t>产品</w:t>
      </w:r>
      <w:r>
        <w:rPr>
          <w:rFonts w:ascii="宋体" w:hAnsi="Times New Roman" w:eastAsia="宋体" w:cs="@仿宋_GB2312"/>
          <w:sz w:val="24"/>
          <w:szCs w:val="18"/>
          <w:highlight w:val="none"/>
        </w:rPr>
        <w:t>，但不限制满足招标文件要求的国内产品参与竞争</w:t>
      </w:r>
      <w:r>
        <w:rPr>
          <w:rFonts w:hint="eastAsia" w:ascii="宋体" w:hAnsi="Times New Roman" w:eastAsia="宋体" w:cs="@仿宋_GB2312"/>
          <w:sz w:val="24"/>
          <w:szCs w:val="18"/>
          <w:highlight w:val="none"/>
        </w:rPr>
        <w:t>。未标注进口产品的货物均</w:t>
      </w:r>
      <w:r>
        <w:rPr>
          <w:rFonts w:ascii="宋体" w:hAnsi="Times New Roman" w:eastAsia="宋体" w:cs="@仿宋_GB2312"/>
          <w:sz w:val="24"/>
          <w:szCs w:val="18"/>
          <w:highlight w:val="none"/>
        </w:rPr>
        <w:t>为拒绝采购进口产品</w:t>
      </w:r>
      <w:r>
        <w:rPr>
          <w:rFonts w:hint="eastAsia" w:ascii="宋体" w:hAnsi="Times New Roman" w:eastAsia="宋体" w:cs="@仿宋_GB2312"/>
          <w:sz w:val="24"/>
          <w:szCs w:val="18"/>
          <w:highlight w:val="none"/>
        </w:rPr>
        <w:t>。</w:t>
      </w:r>
    </w:p>
    <w:p>
      <w:pPr>
        <w:spacing w:line="360" w:lineRule="auto"/>
        <w:ind w:firstLine="435"/>
        <w:rPr>
          <w:rFonts w:ascii="宋体" w:hAnsi="Times New Roman" w:eastAsia="宋体" w:cs="@仿宋_GB2312"/>
          <w:sz w:val="24"/>
          <w:szCs w:val="18"/>
          <w:highlight w:val="none"/>
        </w:rPr>
      </w:pPr>
      <w:r>
        <w:rPr>
          <w:rFonts w:hint="eastAsia" w:ascii="宋体" w:hAnsi="Times New Roman" w:eastAsia="宋体" w:cs="@仿宋_GB2312"/>
          <w:sz w:val="24"/>
          <w:szCs w:val="18"/>
          <w:highlight w:val="none"/>
        </w:rPr>
        <w:t>2.</w:t>
      </w:r>
      <w:r>
        <w:rPr>
          <w:rFonts w:ascii="宋体" w:hAnsi="Times New Roman" w:eastAsia="宋体" w:cs="宋体"/>
          <w:sz w:val="24"/>
          <w:szCs w:val="24"/>
          <w:highlight w:val="none"/>
        </w:rPr>
        <w:t>政府采购政策（包括但不限于下列具体政策要求</w:t>
      </w:r>
      <w:r>
        <w:rPr>
          <w:rFonts w:hint="eastAsia" w:ascii="宋体" w:hAnsi="Times New Roman" w:eastAsia="宋体" w:cs="宋体"/>
          <w:sz w:val="24"/>
          <w:szCs w:val="24"/>
          <w:highlight w:val="none"/>
        </w:rPr>
        <w:t>）</w:t>
      </w:r>
      <w:r>
        <w:rPr>
          <w:rFonts w:hint="eastAsia" w:ascii="宋体" w:hAnsi="Times New Roman" w:eastAsia="宋体" w:cs="@仿宋_GB2312"/>
          <w:sz w:val="24"/>
          <w:szCs w:val="18"/>
          <w:highlight w:val="none"/>
        </w:rPr>
        <w:t>：</w:t>
      </w:r>
    </w:p>
    <w:p>
      <w:pPr>
        <w:spacing w:line="360" w:lineRule="auto"/>
        <w:ind w:firstLine="435"/>
        <w:rPr>
          <w:rFonts w:ascii="宋体" w:hAnsi="Times New Roman" w:eastAsia="宋体" w:cs="宋体"/>
          <w:sz w:val="24"/>
          <w:szCs w:val="24"/>
          <w:highlight w:val="none"/>
        </w:rPr>
      </w:pPr>
      <w:r>
        <w:rPr>
          <w:rFonts w:hint="eastAsia" w:ascii="宋体" w:hAnsi="Times New Roman"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435"/>
        <w:rPr>
          <w:rFonts w:ascii="宋体" w:hAnsi="Times New Roman" w:eastAsia="宋体" w:cs="宋体"/>
          <w:sz w:val="24"/>
          <w:szCs w:val="24"/>
          <w:highlight w:val="none"/>
        </w:rPr>
      </w:pPr>
      <w:r>
        <w:rPr>
          <w:rFonts w:hint="eastAsia" w:ascii="宋体" w:hAnsi="Times New Roman"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hint="eastAsia" w:ascii="宋体" w:hAnsi="Times New Roman" w:eastAsia="宋体" w:cs="@仿宋_GB2312"/>
          <w:sz w:val="24"/>
          <w:szCs w:val="18"/>
          <w:highlight w:val="none"/>
        </w:rPr>
      </w:pPr>
      <w:r>
        <w:rPr>
          <w:rFonts w:hint="eastAsia" w:ascii="宋体" w:hAnsi="Times New Roman" w:eastAsia="宋体" w:cs="@仿宋_GB2312"/>
          <w:sz w:val="24"/>
          <w:szCs w:val="18"/>
          <w:highlight w:val="none"/>
        </w:rPr>
        <w:t>3.</w:t>
      </w:r>
      <w:r>
        <w:rPr>
          <w:rFonts w:ascii="宋体" w:hAnsi="Times New Roman" w:eastAsia="宋体" w:cs="@仿宋_GB2312"/>
          <w:sz w:val="24"/>
          <w:szCs w:val="18"/>
          <w:highlight w:val="none"/>
        </w:rPr>
        <w:t>下列采购需求中：标注▲的产品</w:t>
      </w:r>
      <w:r>
        <w:rPr>
          <w:rFonts w:hint="eastAsia" w:ascii="宋体" w:hAnsi="Times New Roman" w:eastAsia="宋体" w:cs="@仿宋_GB2312"/>
          <w:sz w:val="24"/>
          <w:szCs w:val="18"/>
          <w:highlight w:val="none"/>
        </w:rPr>
        <w:t>（核心产品）</w:t>
      </w:r>
      <w:r>
        <w:rPr>
          <w:rFonts w:ascii="宋体" w:hAnsi="Times New Roman" w:eastAsia="宋体" w:cs="@仿宋_GB2312"/>
          <w:sz w:val="24"/>
          <w:szCs w:val="18"/>
          <w:highlight w:val="none"/>
        </w:rPr>
        <w:t>，投标</w:t>
      </w:r>
      <w:r>
        <w:rPr>
          <w:rFonts w:hint="eastAsia" w:ascii="宋体" w:hAnsi="Times New Roman" w:eastAsia="宋体" w:cs="@仿宋_GB2312"/>
          <w:sz w:val="24"/>
          <w:szCs w:val="18"/>
          <w:highlight w:val="none"/>
        </w:rPr>
        <w:t>人</w:t>
      </w:r>
      <w:r>
        <w:rPr>
          <w:rFonts w:ascii="宋体" w:hAnsi="Times New Roman" w:eastAsia="宋体" w:cs="@仿宋_GB2312"/>
          <w:sz w:val="24"/>
          <w:szCs w:val="18"/>
          <w:highlight w:val="none"/>
        </w:rPr>
        <w:t>在投标文件《主要</w:t>
      </w:r>
      <w:r>
        <w:rPr>
          <w:rFonts w:hint="eastAsia" w:ascii="宋体" w:hAnsi="Times New Roman" w:eastAsia="宋体" w:cs="@仿宋_GB2312"/>
          <w:sz w:val="24"/>
          <w:szCs w:val="18"/>
          <w:highlight w:val="none"/>
        </w:rPr>
        <w:t>中标</w:t>
      </w:r>
      <w:r>
        <w:rPr>
          <w:rFonts w:ascii="宋体" w:hAnsi="Times New Roman" w:eastAsia="宋体" w:cs="@仿宋_GB2312"/>
          <w:sz w:val="24"/>
          <w:szCs w:val="18"/>
          <w:highlight w:val="none"/>
        </w:rPr>
        <w:t>标的承诺函》中填写名称、</w:t>
      </w:r>
      <w:r>
        <w:rPr>
          <w:rFonts w:hint="eastAsia" w:ascii="宋体" w:hAnsi="Times New Roman" w:eastAsia="宋体" w:cs="@仿宋_GB2312"/>
          <w:sz w:val="24"/>
          <w:szCs w:val="18"/>
          <w:highlight w:val="none"/>
        </w:rPr>
        <w:t>品牌、</w:t>
      </w:r>
      <w:r>
        <w:rPr>
          <w:rFonts w:ascii="宋体" w:hAnsi="Times New Roman" w:eastAsia="宋体" w:cs="@仿宋_GB2312"/>
          <w:sz w:val="24"/>
          <w:szCs w:val="18"/>
          <w:highlight w:val="none"/>
        </w:rPr>
        <w:t>规格、型号、数量、单价等信息</w:t>
      </w:r>
      <w:r>
        <w:rPr>
          <w:rFonts w:hint="eastAsia" w:ascii="宋体" w:hAnsi="Times New Roman" w:eastAsia="宋体" w:cs="@仿宋_GB2312"/>
          <w:sz w:val="24"/>
          <w:szCs w:val="18"/>
          <w:highlight w:val="none"/>
        </w:rPr>
        <w:t>。</w:t>
      </w:r>
    </w:p>
    <w:p>
      <w:pPr>
        <w:spacing w:line="360" w:lineRule="auto"/>
        <w:ind w:firstLine="435"/>
        <w:rPr>
          <w:rFonts w:hint="default" w:ascii="宋体" w:hAnsi="Times New Roman" w:eastAsia="宋体" w:cs="@仿宋_GB2312"/>
          <w:sz w:val="24"/>
          <w:szCs w:val="18"/>
          <w:highlight w:val="none"/>
          <w:lang w:val="en-US" w:eastAsia="zh-CN"/>
        </w:rPr>
      </w:pPr>
      <w:r>
        <w:rPr>
          <w:rFonts w:hint="eastAsia" w:ascii="宋体" w:hAnsi="Times New Roman" w:eastAsia="宋体" w:cs="@仿宋_GB2312"/>
          <w:sz w:val="24"/>
          <w:szCs w:val="18"/>
          <w:highlight w:val="none"/>
          <w:lang w:val="en-US" w:eastAsia="zh-CN"/>
        </w:rPr>
        <w:t xml:space="preserve">4.对于不允许偏离的实质性要求和条件，采购人或者采购代理机构应当在招标文件中规定，并以醒目的方式标明，醒目方式为标注“*”。本章中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 </w:t>
      </w:r>
    </w:p>
    <w:p>
      <w:pPr>
        <w:spacing w:line="360" w:lineRule="auto"/>
        <w:ind w:firstLine="437"/>
        <w:outlineLvl w:val="1"/>
        <w:rPr>
          <w:rFonts w:ascii="宋体" w:hAnsi="Times New Roman" w:eastAsia="宋体" w:cs="@仿宋_GB2312"/>
          <w:b/>
          <w:sz w:val="24"/>
          <w:szCs w:val="18"/>
          <w:highlight w:val="none"/>
        </w:rPr>
      </w:pPr>
      <w:bookmarkStart w:id="5" w:name="_Toc2554"/>
      <w:bookmarkStart w:id="6" w:name="_Toc32151"/>
      <w:bookmarkStart w:id="7" w:name="_Toc25758"/>
      <w:r>
        <w:rPr>
          <w:rFonts w:hint="eastAsia" w:ascii="宋体" w:hAnsi="Times New Roman" w:eastAsia="宋体" w:cs="@仿宋_GB2312"/>
          <w:b/>
          <w:sz w:val="24"/>
          <w:szCs w:val="18"/>
          <w:highlight w:val="none"/>
        </w:rPr>
        <w:t>一、采购需求前附表</w:t>
      </w:r>
      <w:bookmarkEnd w:id="5"/>
      <w:bookmarkEnd w:id="6"/>
      <w:bookmarkEnd w:id="7"/>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
                <w:kern w:val="2"/>
                <w:sz w:val="24"/>
                <w:szCs w:val="20"/>
                <w:highlight w:val="none"/>
                <w:lang w:val="en-US" w:eastAsia="zh-CN" w:bidi="ar-SA"/>
              </w:rPr>
            </w:pPr>
            <w:r>
              <w:rPr>
                <w:rFonts w:hint="eastAsia" w:ascii="宋体" w:hAnsi="Times New Roman" w:eastAsia="宋体" w:cs="@仿宋_GB2312"/>
                <w:b/>
                <w:kern w:val="2"/>
                <w:sz w:val="24"/>
                <w:szCs w:val="20"/>
                <w:highlight w:val="none"/>
                <w:lang w:val="en-US" w:eastAsia="zh-CN" w:bidi="ar-SA"/>
              </w:rPr>
              <w:t>序号</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bCs w:val="0"/>
                <w:kern w:val="0"/>
                <w:sz w:val="24"/>
                <w:szCs w:val="28"/>
                <w:highlight w:val="none"/>
                <w:lang w:val="en-US" w:eastAsia="zh-CN" w:bidi="ar-SA"/>
              </w:rPr>
            </w:pPr>
            <w:r>
              <w:rPr>
                <w:rFonts w:hint="eastAsia" w:ascii="宋体" w:hAnsi="Times New Roman" w:eastAsia="宋体" w:cs="@仿宋_GB2312"/>
                <w:b/>
                <w:bCs w:val="0"/>
                <w:kern w:val="0"/>
                <w:sz w:val="24"/>
                <w:szCs w:val="28"/>
                <w:highlight w:val="none"/>
                <w:lang w:val="en-US" w:eastAsia="zh-CN" w:bidi="ar-SA"/>
              </w:rPr>
              <w:t>条款名称</w:t>
            </w:r>
          </w:p>
        </w:tc>
        <w:tc>
          <w:tcPr>
            <w:tcW w:w="3217" w:type="pct"/>
            <w:vAlign w:val="center"/>
          </w:tcPr>
          <w:p>
            <w:pPr>
              <w:widowControl w:val="0"/>
              <w:spacing w:before="0" w:beforeAutospacing="0" w:after="0" w:afterAutospacing="0" w:line="360" w:lineRule="auto"/>
              <w:jc w:val="center"/>
              <w:rPr>
                <w:rFonts w:ascii="宋体" w:hAnsi="Times New Roman" w:eastAsia="宋体" w:cs="@仿宋_GB2312"/>
                <w:b/>
                <w:bCs w:val="0"/>
                <w:kern w:val="0"/>
                <w:sz w:val="24"/>
                <w:szCs w:val="28"/>
                <w:highlight w:val="none"/>
                <w:lang w:val="en-US" w:eastAsia="zh-CN" w:bidi="ar-SA"/>
              </w:rPr>
            </w:pPr>
            <w:r>
              <w:rPr>
                <w:rFonts w:hint="eastAsia" w:ascii="宋体" w:hAnsi="Times New Roman" w:eastAsia="宋体" w:cs="@仿宋_GB2312"/>
                <w:b/>
                <w:bCs w:val="0"/>
                <w:kern w:val="0"/>
                <w:sz w:val="24"/>
                <w:szCs w:val="28"/>
                <w:highlight w:val="none"/>
                <w:lang w:val="en-US" w:eastAsia="zh-CN" w:bidi="ar-SA"/>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1</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付款方式</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经采购人验收合格后，一次性付清合同价款。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2</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供货及安装地点</w:t>
            </w:r>
          </w:p>
        </w:tc>
        <w:tc>
          <w:tcPr>
            <w:tcW w:w="3217" w:type="pct"/>
            <w:vAlign w:val="center"/>
          </w:tcPr>
          <w:p>
            <w:pPr>
              <w:widowControl w:val="0"/>
              <w:spacing w:before="0" w:beforeAutospacing="0" w:after="0" w:afterAutospacing="0" w:line="360" w:lineRule="auto"/>
              <w:jc w:val="both"/>
              <w:rPr>
                <w:rFonts w:hint="default" w:ascii="宋体" w:hAnsi="Times New Roman" w:eastAsia="宋体" w:cs="@仿宋_GB2312"/>
                <w:b w:val="0"/>
                <w:bCs/>
                <w:kern w:val="0"/>
                <w:sz w:val="24"/>
                <w:szCs w:val="28"/>
                <w:highlight w:val="none"/>
                <w:lang w:val="en-US" w:eastAsia="zh-CN" w:bidi="ar-SA"/>
              </w:rPr>
            </w:pPr>
            <w:r>
              <w:rPr>
                <w:rFonts w:hint="default" w:ascii="宋体" w:hAnsi="Times New Roman" w:eastAsia="宋体" w:cs="@仿宋_GB2312"/>
                <w:b w:val="0"/>
                <w:bCs/>
                <w:kern w:val="0"/>
                <w:sz w:val="24"/>
                <w:szCs w:val="28"/>
                <w:highlight w:val="none"/>
                <w:lang w:val="en-US" w:eastAsia="zh-CN" w:bidi="ar-SA"/>
              </w:rPr>
              <w:t>皖南医学院滨江校区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3</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val="0"/>
                <w:kern w:val="0"/>
                <w:sz w:val="24"/>
                <w:szCs w:val="28"/>
                <w:highlight w:val="none"/>
                <w:lang w:val="en-US" w:eastAsia="zh-CN" w:bidi="ar-SA"/>
              </w:rPr>
            </w:pPr>
            <w:r>
              <w:rPr>
                <w:rFonts w:hint="eastAsia" w:ascii="宋体" w:hAnsi="Times New Roman" w:eastAsia="宋体" w:cs="@仿宋_GB2312"/>
                <w:b w:val="0"/>
                <w:bCs w:val="0"/>
                <w:kern w:val="0"/>
                <w:sz w:val="24"/>
                <w:szCs w:val="28"/>
                <w:highlight w:val="none"/>
                <w:lang w:val="en-US" w:eastAsia="zh-CN" w:bidi="ar-SA"/>
              </w:rPr>
              <w:t>合同履行期限</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val="0"/>
                <w:kern w:val="0"/>
                <w:sz w:val="24"/>
                <w:szCs w:val="28"/>
                <w:highlight w:val="none"/>
                <w:lang w:val="en-US" w:eastAsia="zh-CN" w:bidi="ar-SA"/>
              </w:rPr>
            </w:pPr>
            <w:r>
              <w:rPr>
                <w:rFonts w:hint="eastAsia" w:ascii="宋体" w:hAnsi="Times New Roman" w:eastAsia="宋体" w:cs="@仿宋_GB2312"/>
                <w:b w:val="0"/>
                <w:bCs w:val="0"/>
                <w:kern w:val="0"/>
                <w:sz w:val="24"/>
                <w:szCs w:val="28"/>
                <w:highlight w:val="none"/>
                <w:lang w:val="en-US" w:eastAsia="zh-CN" w:bidi="ar-SA"/>
              </w:rPr>
              <w:t>85日历天。其中</w:t>
            </w:r>
            <w:r>
              <w:rPr>
                <w:rFonts w:hint="eastAsia" w:ascii="宋体" w:hAnsi="Times New Roman" w:eastAsia="宋体" w:cs="@仿宋_GB2312"/>
                <w:b w:val="0"/>
                <w:bCs w:val="0"/>
                <w:kern w:val="0"/>
                <w:sz w:val="24"/>
                <w:szCs w:val="18"/>
                <w:highlight w:val="none"/>
                <w:lang w:val="en-US" w:eastAsia="zh-CN" w:bidi="ar-SA"/>
              </w:rPr>
              <w:t>合同签订后25日历天完成供货安装及调试，安装完成后试运行60天。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widowControl w:val="0"/>
              <w:pBdr>
                <w:bottom w:val="none" w:color="auto" w:sz="0" w:space="0"/>
              </w:pBdr>
              <w:adjustRightInd/>
              <w:snapToGrid/>
              <w:spacing w:line="240" w:lineRule="auto"/>
              <w:jc w:val="center"/>
              <w:textAlignment w:val="auto"/>
              <w:rPr>
                <w:rFonts w:ascii="宋体" w:hAnsi="Times New Roman" w:eastAsia="宋体" w:cs="@仿宋_GB2312"/>
                <w:bCs/>
                <w:kern w:val="2"/>
                <w:sz w:val="24"/>
                <w:szCs w:val="20"/>
                <w:highlight w:val="none"/>
                <w:lang w:val="en-US" w:eastAsia="zh-CN" w:bidi="ar-SA"/>
              </w:rPr>
            </w:pPr>
            <w:r>
              <w:rPr>
                <w:rFonts w:hint="eastAsia" w:ascii="宋体" w:hAnsi="Times New Roman" w:eastAsia="宋体" w:cs="@仿宋_GB2312"/>
                <w:bCs/>
                <w:kern w:val="2"/>
                <w:sz w:val="24"/>
                <w:szCs w:val="20"/>
                <w:highlight w:val="none"/>
                <w:lang w:val="en-US" w:eastAsia="zh-CN" w:bidi="ar-SA"/>
              </w:rPr>
              <w:t>4</w:t>
            </w:r>
          </w:p>
        </w:tc>
        <w:tc>
          <w:tcPr>
            <w:tcW w:w="1192" w:type="pct"/>
            <w:vAlign w:val="center"/>
          </w:tcPr>
          <w:p>
            <w:pPr>
              <w:widowControl w:val="0"/>
              <w:spacing w:before="0" w:beforeAutospacing="0" w:after="0" w:afterAutospacing="0" w:line="360" w:lineRule="auto"/>
              <w:jc w:val="center"/>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免费质保期</w:t>
            </w:r>
          </w:p>
        </w:tc>
        <w:tc>
          <w:tcPr>
            <w:tcW w:w="3217" w:type="pct"/>
            <w:vAlign w:val="center"/>
          </w:tcPr>
          <w:p>
            <w:pPr>
              <w:widowControl w:val="0"/>
              <w:spacing w:before="0" w:beforeAutospacing="0" w:after="0" w:afterAutospacing="0" w:line="360" w:lineRule="auto"/>
              <w:jc w:val="both"/>
              <w:rPr>
                <w:rFonts w:ascii="宋体" w:hAnsi="Times New Roman" w:eastAsia="宋体" w:cs="@仿宋_GB2312"/>
                <w:b w:val="0"/>
                <w:bCs/>
                <w:kern w:val="0"/>
                <w:sz w:val="24"/>
                <w:szCs w:val="28"/>
                <w:highlight w:val="none"/>
                <w:lang w:val="en-US" w:eastAsia="zh-CN" w:bidi="ar-SA"/>
              </w:rPr>
            </w:pPr>
            <w:r>
              <w:rPr>
                <w:rFonts w:hint="eastAsia" w:ascii="宋体" w:hAnsi="Times New Roman" w:eastAsia="宋体" w:cs="@仿宋_GB2312"/>
                <w:b w:val="0"/>
                <w:bCs/>
                <w:kern w:val="0"/>
                <w:sz w:val="24"/>
                <w:szCs w:val="28"/>
                <w:highlight w:val="none"/>
                <w:lang w:val="en-US" w:eastAsia="zh-CN" w:bidi="ar-SA"/>
              </w:rPr>
              <w:t>整体质保期3年</w:t>
            </w:r>
          </w:p>
        </w:tc>
      </w:tr>
    </w:tbl>
    <w:p>
      <w:pPr>
        <w:keepNext/>
        <w:keepLines/>
        <w:numPr>
          <w:ilvl w:val="-1"/>
          <w:numId w:val="0"/>
        </w:numPr>
        <w:spacing w:line="440" w:lineRule="exact"/>
        <w:ind w:left="0" w:firstLine="482" w:firstLineChars="200"/>
        <w:outlineLvl w:val="1"/>
        <w:rPr>
          <w:rFonts w:ascii="宋体" w:hAnsi="宋体" w:eastAsia="宋体" w:cs="宋体"/>
          <w:b/>
          <w:bCs/>
          <w:color w:val="000000"/>
          <w:kern w:val="44"/>
          <w:sz w:val="24"/>
          <w:szCs w:val="24"/>
          <w:lang w:val="en-US" w:eastAsia="zh-CN" w:bidi="ar-SA"/>
        </w:rPr>
      </w:pPr>
      <w:bookmarkStart w:id="8" w:name="_Toc21277"/>
      <w:bookmarkStart w:id="9" w:name="_Hlk104917651"/>
      <w:bookmarkStart w:id="10" w:name="_Toc7421"/>
      <w:bookmarkStart w:id="11" w:name="_Toc4843"/>
      <w:r>
        <w:rPr>
          <w:rFonts w:hint="eastAsia" w:ascii="宋体" w:hAnsi="宋体" w:eastAsia="宋体" w:cs="宋体"/>
          <w:b/>
          <w:bCs/>
          <w:color w:val="000000"/>
          <w:kern w:val="44"/>
          <w:sz w:val="24"/>
          <w:szCs w:val="24"/>
          <w:lang w:val="en-US" w:eastAsia="zh-CN" w:bidi="ar-SA"/>
        </w:rPr>
        <w:t>二、项目概述</w:t>
      </w:r>
      <w:bookmarkEnd w:id="8"/>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本次皖南医学院滨江校区（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）校园综合安防系统升级改造项目主要包括：新建人脸识别门禁系统和车辆管理系统，恢复现有监控点位正常运转。目前综合安防监控中心设在滨江校区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文昌西路22号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）的监控图像通过网络专线传输至滨江校区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文昌西路22号</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文昌西路22号</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和</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文津西路</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号</w:t>
      </w:r>
      <w:r>
        <w:rPr>
          <w:rFonts w:hint="eastAsia" w:ascii="宋体" w:hAnsi="宋体" w:eastAsia="宋体" w:cs="宋体"/>
          <w:kern w:val="0"/>
          <w:sz w:val="24"/>
          <w:szCs w:val="24"/>
        </w:rPr>
        <w:t>）监控中心</w:t>
      </w:r>
      <w:r>
        <w:rPr>
          <w:rFonts w:hint="eastAsia" w:ascii="宋体" w:hAnsi="宋体" w:eastAsia="宋体" w:cs="宋体"/>
          <w:kern w:val="0"/>
          <w:sz w:val="24"/>
          <w:szCs w:val="24"/>
          <w:lang w:val="en-US" w:eastAsia="zh-CN"/>
        </w:rPr>
        <w:t>均可</w:t>
      </w:r>
      <w:r>
        <w:rPr>
          <w:rFonts w:hint="eastAsia" w:ascii="宋体" w:hAnsi="宋体" w:eastAsia="宋体" w:cs="宋体"/>
          <w:kern w:val="0"/>
          <w:sz w:val="24"/>
          <w:szCs w:val="24"/>
        </w:rPr>
        <w:t>集中控制、调度和管理（</w:t>
      </w:r>
      <w:r>
        <w:rPr>
          <w:rFonts w:hint="eastAsia" w:ascii="宋体" w:hAnsi="宋体" w:eastAsia="宋体" w:cs="宋体"/>
          <w:kern w:val="0"/>
          <w:sz w:val="24"/>
          <w:szCs w:val="24"/>
          <w:lang w:eastAsia="zh-CN"/>
        </w:rPr>
        <w:t>文津西路</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eastAsia="zh-CN"/>
        </w:rPr>
        <w:t>号</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内</w:t>
      </w:r>
      <w:r>
        <w:rPr>
          <w:rFonts w:hint="eastAsia" w:ascii="宋体" w:hAnsi="宋体" w:eastAsia="宋体" w:cs="宋体"/>
          <w:kern w:val="0"/>
          <w:sz w:val="24"/>
          <w:szCs w:val="24"/>
        </w:rPr>
        <w:t>所有的</w:t>
      </w:r>
      <w:r>
        <w:rPr>
          <w:rFonts w:hint="eastAsia" w:ascii="宋体" w:hAnsi="宋体" w:eastAsia="宋体" w:cs="宋体"/>
          <w:kern w:val="0"/>
          <w:sz w:val="24"/>
          <w:szCs w:val="24"/>
          <w:lang w:val="en-US" w:eastAsia="zh-CN"/>
        </w:rPr>
        <w:t>安防</w:t>
      </w:r>
      <w:r>
        <w:rPr>
          <w:rFonts w:hint="eastAsia" w:ascii="宋体" w:hAnsi="宋体" w:eastAsia="宋体" w:cs="宋体"/>
          <w:kern w:val="0"/>
          <w:sz w:val="24"/>
          <w:szCs w:val="24"/>
        </w:rPr>
        <w:t>监控设备。</w:t>
      </w:r>
    </w:p>
    <w:bookmarkEnd w:id="9"/>
    <w:p>
      <w:pPr>
        <w:keepNext/>
        <w:keepLines/>
        <w:numPr>
          <w:ilvl w:val="-1"/>
          <w:numId w:val="0"/>
        </w:numPr>
        <w:spacing w:line="440" w:lineRule="exact"/>
        <w:ind w:left="0" w:firstLine="241" w:firstLineChars="100"/>
        <w:outlineLvl w:val="1"/>
        <w:rPr>
          <w:rFonts w:ascii="宋体" w:hAnsi="宋体" w:eastAsia="宋体" w:cs="宋体"/>
          <w:b/>
          <w:bCs/>
          <w:color w:val="000000"/>
          <w:kern w:val="44"/>
          <w:sz w:val="24"/>
          <w:szCs w:val="24"/>
          <w:lang w:val="en-US" w:eastAsia="zh-CN" w:bidi="ar-SA"/>
        </w:rPr>
      </w:pPr>
      <w:bookmarkStart w:id="12" w:name="_Toc17335"/>
      <w:r>
        <w:rPr>
          <w:rFonts w:hint="eastAsia" w:ascii="宋体" w:hAnsi="宋体" w:eastAsia="宋体" w:cs="宋体"/>
          <w:b/>
          <w:bCs/>
          <w:color w:val="000000"/>
          <w:kern w:val="44"/>
          <w:sz w:val="24"/>
          <w:szCs w:val="24"/>
          <w:lang w:val="en-US" w:eastAsia="zh-CN" w:bidi="ar-SA"/>
        </w:rPr>
        <w:t>三、升级改造内容和要求</w:t>
      </w:r>
      <w:bookmarkEnd w:id="12"/>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维修滨江校区（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）现有</w:t>
      </w:r>
      <w:r>
        <w:rPr>
          <w:rFonts w:hint="eastAsia" w:ascii="宋体" w:hAnsi="宋体" w:eastAsia="宋体" w:cs="宋体"/>
          <w:kern w:val="0"/>
          <w:sz w:val="24"/>
          <w:szCs w:val="24"/>
          <w:lang w:val="en-US" w:eastAsia="zh-CN"/>
        </w:rPr>
        <w:t>安防</w:t>
      </w:r>
      <w:r>
        <w:rPr>
          <w:rFonts w:hint="eastAsia" w:ascii="宋体" w:hAnsi="宋体" w:eastAsia="宋体" w:cs="宋体"/>
          <w:kern w:val="0"/>
          <w:sz w:val="24"/>
          <w:szCs w:val="24"/>
        </w:rPr>
        <w:t>监控设施设备及网络传输线路，同时保证</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lang w:val="en-US" w:eastAsia="zh-CN"/>
        </w:rPr>
        <w:t>内</w:t>
      </w:r>
      <w:r>
        <w:rPr>
          <w:rFonts w:hint="eastAsia" w:ascii="宋体" w:hAnsi="宋体" w:eastAsia="宋体" w:cs="宋体"/>
          <w:kern w:val="0"/>
          <w:sz w:val="24"/>
          <w:szCs w:val="24"/>
        </w:rPr>
        <w:t>约327个监控点位正常运行不少于1年。</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）南门、东门、北门建设人脸识别门禁系统和车辆识别管理系统。</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在滨江校区（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）重点区域（如水系）新增</w:t>
      </w:r>
      <w:r>
        <w:rPr>
          <w:rFonts w:hint="eastAsia" w:ascii="宋体" w:hAnsi="宋体" w:eastAsia="宋体" w:cs="宋体"/>
          <w:kern w:val="0"/>
          <w:sz w:val="24"/>
          <w:szCs w:val="24"/>
          <w:lang w:val="en-US" w:eastAsia="zh-CN"/>
        </w:rPr>
        <w:t>不少于15个</w:t>
      </w:r>
      <w:r>
        <w:rPr>
          <w:rFonts w:hint="eastAsia" w:ascii="宋体" w:hAnsi="宋体" w:eastAsia="宋体" w:cs="宋体"/>
          <w:kern w:val="0"/>
          <w:sz w:val="24"/>
          <w:szCs w:val="24"/>
        </w:rPr>
        <w:t>监控点位覆盖。</w:t>
      </w:r>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升级存储，保证滨江校区（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）现有约327个点位和本次新增点位录像存储时间达到30天以上，</w:t>
      </w:r>
      <w:r>
        <w:rPr>
          <w:rFonts w:hint="eastAsia" w:ascii="宋体" w:hAnsi="宋体" w:eastAsia="宋体" w:cs="宋体"/>
          <w:kern w:val="0"/>
          <w:sz w:val="24"/>
          <w:szCs w:val="24"/>
          <w:lang w:val="en-US" w:eastAsia="zh-CN"/>
        </w:rPr>
        <w:t>包含</w:t>
      </w:r>
      <w:r>
        <w:rPr>
          <w:rFonts w:hint="eastAsia" w:ascii="宋体" w:hAnsi="宋体" w:eastAsia="宋体" w:cs="宋体"/>
          <w:kern w:val="0"/>
          <w:sz w:val="24"/>
          <w:szCs w:val="24"/>
        </w:rPr>
        <w:t>网络设备及监控中心</w:t>
      </w:r>
      <w:r>
        <w:rPr>
          <w:rFonts w:hint="eastAsia" w:ascii="宋体" w:hAnsi="宋体" w:eastAsia="宋体" w:cs="宋体"/>
          <w:kern w:val="0"/>
          <w:sz w:val="24"/>
          <w:szCs w:val="24"/>
          <w:lang w:val="en-US" w:eastAsia="zh-CN"/>
        </w:rPr>
        <w:t>设备</w:t>
      </w:r>
      <w:r>
        <w:rPr>
          <w:rFonts w:hint="eastAsia" w:ascii="宋体" w:hAnsi="宋体" w:eastAsia="宋体" w:cs="宋体"/>
          <w:kern w:val="0"/>
          <w:sz w:val="24"/>
          <w:szCs w:val="24"/>
        </w:rPr>
        <w:t>升级改造。</w:t>
      </w:r>
    </w:p>
    <w:p>
      <w:pPr>
        <w:spacing w:line="440" w:lineRule="exact"/>
        <w:ind w:firstLine="482" w:firstLineChars="200"/>
        <w:rPr>
          <w:rFonts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为保证系统稳定性与兼容性，本次项目建设内所有设备均需无缝接入学校现有综合安防管理平台，实现统一管理，对接费用（含对接双方所需费用）由中标方承担。</w:t>
      </w:r>
      <w:r>
        <w:rPr>
          <w:rFonts w:hint="eastAsia" w:ascii="宋体" w:hAnsi="宋体" w:eastAsia="宋体" w:cs="宋体"/>
          <w:b/>
          <w:bCs/>
          <w:kern w:val="0"/>
          <w:sz w:val="24"/>
          <w:szCs w:val="24"/>
        </w:rPr>
        <w:t>（提供承诺函并加盖公章，格式自拟。）</w:t>
      </w:r>
    </w:p>
    <w:p>
      <w:pPr>
        <w:spacing w:line="440" w:lineRule="exact"/>
        <w:ind w:firstLine="482" w:firstLineChars="200"/>
        <w:rPr>
          <w:rFonts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为保证本次采购产品及项目服务质量，本次项目整体质保期3 年。</w:t>
      </w:r>
      <w:r>
        <w:rPr>
          <w:rFonts w:hint="eastAsia" w:ascii="仿宋" w:hAnsi="仿宋" w:eastAsia="仿宋" w:cs="仿宋"/>
          <w:kern w:val="0"/>
          <w:sz w:val="24"/>
          <w:szCs w:val="24"/>
        </w:rPr>
        <w:t>【</w:t>
      </w:r>
      <w:r>
        <w:rPr>
          <w:rFonts w:hint="eastAsia" w:ascii="宋体" w:hAnsi="宋体" w:eastAsia="宋体" w:cs="宋体"/>
          <w:kern w:val="0"/>
          <w:sz w:val="24"/>
          <w:szCs w:val="24"/>
        </w:rPr>
        <w:t>承诺为滨江校区（</w:t>
      </w:r>
      <w:r>
        <w:rPr>
          <w:rFonts w:hint="eastAsia" w:ascii="宋体" w:hAnsi="宋体" w:eastAsia="宋体" w:cs="宋体"/>
          <w:kern w:val="0"/>
          <w:sz w:val="24"/>
          <w:szCs w:val="24"/>
          <w:lang w:eastAsia="zh-CN"/>
        </w:rPr>
        <w:t>文津西路8号</w:t>
      </w:r>
      <w:r>
        <w:rPr>
          <w:rFonts w:hint="eastAsia" w:ascii="宋体" w:hAnsi="宋体" w:eastAsia="宋体" w:cs="宋体"/>
          <w:kern w:val="0"/>
          <w:sz w:val="24"/>
          <w:szCs w:val="24"/>
        </w:rPr>
        <w:t>）现有约327个监控点位</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除新更换监控点位外</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提供免费维保</w:t>
      </w:r>
      <w:r>
        <w:rPr>
          <w:rFonts w:hint="eastAsia" w:ascii="宋体" w:hAnsi="宋体" w:eastAsia="宋体" w:cs="宋体"/>
          <w:sz w:val="24"/>
          <w:szCs w:val="24"/>
          <w:highlight w:val="none"/>
          <w:lang w:val="en-US" w:eastAsia="zh-CN"/>
        </w:rPr>
        <w:t>时间不少于</w:t>
      </w:r>
      <w:r>
        <w:rPr>
          <w:rFonts w:hint="eastAsia" w:ascii="宋体" w:hAnsi="宋体" w:eastAsia="宋体" w:cs="宋体"/>
          <w:sz w:val="24"/>
          <w:szCs w:val="24"/>
          <w:highlight w:val="none"/>
        </w:rPr>
        <w:t>1年</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本项目验收合格之日起</w:t>
      </w:r>
      <w:r>
        <w:rPr>
          <w:rFonts w:hint="eastAsia" w:ascii="宋体" w:hAnsi="宋体" w:eastAsia="宋体" w:cs="宋体"/>
          <w:kern w:val="0"/>
          <w:sz w:val="24"/>
          <w:szCs w:val="24"/>
        </w:rPr>
        <w:t>）</w:t>
      </w:r>
      <w:r>
        <w:rPr>
          <w:rFonts w:hint="eastAsia" w:ascii="仿宋" w:hAnsi="仿宋" w:eastAsia="仿宋" w:cs="仿宋"/>
          <w:kern w:val="0"/>
          <w:sz w:val="24"/>
          <w:szCs w:val="24"/>
        </w:rPr>
        <w:t>】</w:t>
      </w:r>
      <w:r>
        <w:rPr>
          <w:rFonts w:hint="eastAsia" w:ascii="宋体" w:hAnsi="宋体" w:eastAsia="宋体" w:cs="宋体"/>
          <w:kern w:val="0"/>
          <w:sz w:val="24"/>
          <w:szCs w:val="24"/>
        </w:rPr>
        <w:t>。</w:t>
      </w:r>
      <w:r>
        <w:rPr>
          <w:rFonts w:hint="eastAsia" w:ascii="宋体" w:hAnsi="宋体" w:eastAsia="宋体" w:cs="宋体"/>
          <w:b/>
          <w:bCs/>
          <w:kern w:val="0"/>
          <w:sz w:val="24"/>
          <w:szCs w:val="24"/>
        </w:rPr>
        <w:t>（提供承诺函并加盖公章，格式自拟。）</w:t>
      </w:r>
    </w:p>
    <w:p>
      <w:pPr>
        <w:spacing w:line="440" w:lineRule="exact"/>
        <w:ind w:firstLine="482" w:firstLineChars="200"/>
        <w:rPr>
          <w:rFonts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合同履行期限：</w:t>
      </w:r>
      <w:r>
        <w:rPr>
          <w:rFonts w:hint="eastAsia" w:ascii="宋体" w:hAnsi="Times New Roman" w:eastAsia="宋体" w:cs="@仿宋_GB2312"/>
          <w:b w:val="0"/>
          <w:bCs w:val="0"/>
          <w:sz w:val="24"/>
          <w:szCs w:val="20"/>
          <w:highlight w:val="none"/>
          <w:lang w:val="en-US" w:eastAsia="zh-CN"/>
        </w:rPr>
        <w:t>85日历天。其中</w:t>
      </w:r>
      <w:r>
        <w:rPr>
          <w:rFonts w:hint="eastAsia" w:ascii="宋体" w:hAnsi="Times New Roman" w:eastAsia="宋体" w:cs="@仿宋_GB2312"/>
          <w:b w:val="0"/>
          <w:bCs w:val="0"/>
          <w:sz w:val="24"/>
          <w:szCs w:val="18"/>
          <w:highlight w:val="none"/>
        </w:rPr>
        <w:t>合同签订后</w:t>
      </w:r>
      <w:r>
        <w:rPr>
          <w:rFonts w:hint="eastAsia" w:ascii="宋体" w:hAnsi="Times New Roman" w:eastAsia="宋体" w:cs="@仿宋_GB2312"/>
          <w:b w:val="0"/>
          <w:bCs w:val="0"/>
          <w:sz w:val="24"/>
          <w:szCs w:val="18"/>
          <w:highlight w:val="none"/>
          <w:lang w:val="en-US" w:eastAsia="zh-CN"/>
        </w:rPr>
        <w:t>25</w:t>
      </w:r>
      <w:r>
        <w:rPr>
          <w:rFonts w:hint="eastAsia" w:ascii="宋体" w:hAnsi="Times New Roman" w:eastAsia="宋体" w:cs="@仿宋_GB2312"/>
          <w:b w:val="0"/>
          <w:bCs w:val="0"/>
          <w:sz w:val="24"/>
          <w:szCs w:val="18"/>
          <w:highlight w:val="none"/>
        </w:rPr>
        <w:t>日历天完成供货安装</w:t>
      </w:r>
      <w:r>
        <w:rPr>
          <w:rFonts w:hint="eastAsia" w:ascii="宋体" w:hAnsi="Times New Roman" w:eastAsia="宋体" w:cs="@仿宋_GB2312"/>
          <w:b w:val="0"/>
          <w:bCs w:val="0"/>
          <w:sz w:val="24"/>
          <w:szCs w:val="18"/>
          <w:highlight w:val="none"/>
          <w:lang w:val="en-US" w:eastAsia="zh-CN"/>
        </w:rPr>
        <w:t>及调试</w:t>
      </w:r>
      <w:r>
        <w:rPr>
          <w:rFonts w:hint="eastAsia" w:ascii="宋体" w:hAnsi="Times New Roman" w:eastAsia="宋体" w:cs="@仿宋_GB2312"/>
          <w:b w:val="0"/>
          <w:bCs w:val="0"/>
          <w:sz w:val="24"/>
          <w:szCs w:val="18"/>
          <w:highlight w:val="none"/>
          <w:lang w:eastAsia="zh-CN"/>
        </w:rPr>
        <w:t>，</w:t>
      </w:r>
      <w:r>
        <w:rPr>
          <w:rFonts w:hint="eastAsia" w:ascii="宋体" w:hAnsi="Times New Roman" w:eastAsia="宋体" w:cs="@仿宋_GB2312"/>
          <w:b w:val="0"/>
          <w:bCs w:val="0"/>
          <w:sz w:val="24"/>
          <w:szCs w:val="18"/>
          <w:highlight w:val="none"/>
          <w:lang w:val="en-US" w:eastAsia="zh-CN"/>
        </w:rPr>
        <w:t>安装完成后试运行60天</w:t>
      </w:r>
      <w:r>
        <w:rPr>
          <w:rFonts w:hint="eastAsia" w:ascii="宋体" w:hAnsi="Times New Roman" w:eastAsia="宋体" w:cs="@仿宋_GB2312"/>
          <w:b w:val="0"/>
          <w:bCs w:val="0"/>
          <w:sz w:val="24"/>
          <w:szCs w:val="18"/>
          <w:highlight w:val="none"/>
        </w:rPr>
        <w:t>。</w:t>
      </w:r>
      <w:r>
        <w:rPr>
          <w:rFonts w:hint="eastAsia" w:ascii="宋体" w:hAnsi="宋体" w:eastAsia="宋体" w:cs="宋体"/>
          <w:b/>
          <w:bCs/>
          <w:kern w:val="0"/>
          <w:sz w:val="24"/>
          <w:szCs w:val="24"/>
        </w:rPr>
        <w:t>（提供承诺函并加盖公章，格式自拟。）</w:t>
      </w:r>
    </w:p>
    <w:p>
      <w:pPr>
        <w:keepNext/>
        <w:keepLines/>
        <w:numPr>
          <w:ilvl w:val="-1"/>
          <w:numId w:val="0"/>
        </w:numPr>
        <w:spacing w:line="440" w:lineRule="exact"/>
        <w:ind w:left="0" w:firstLine="482" w:firstLineChars="200"/>
        <w:outlineLvl w:val="1"/>
        <w:rPr>
          <w:rFonts w:ascii="宋体" w:hAnsi="宋体" w:eastAsia="宋体" w:cs="宋体"/>
          <w:b/>
          <w:bCs/>
          <w:color w:val="000000"/>
          <w:kern w:val="44"/>
          <w:sz w:val="24"/>
          <w:szCs w:val="24"/>
          <w:lang w:val="en-US" w:eastAsia="zh-CN" w:bidi="ar-SA"/>
        </w:rPr>
      </w:pPr>
      <w:bookmarkStart w:id="13" w:name="_Toc25621"/>
      <w:r>
        <w:rPr>
          <w:rFonts w:hint="eastAsia" w:ascii="宋体" w:hAnsi="宋体" w:eastAsia="宋体" w:cs="宋体"/>
          <w:b/>
          <w:bCs/>
          <w:color w:val="000000"/>
          <w:kern w:val="44"/>
          <w:sz w:val="24"/>
          <w:szCs w:val="24"/>
          <w:lang w:val="en-US" w:eastAsia="zh-CN" w:bidi="ar-SA"/>
        </w:rPr>
        <w:t>四、其他要求：</w:t>
      </w:r>
      <w:bookmarkEnd w:id="13"/>
    </w:p>
    <w:p>
      <w:pPr>
        <w:spacing w:line="44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ascii="宋体" w:hAnsi="宋体" w:eastAsia="宋体" w:cs="宋体"/>
          <w:kern w:val="0"/>
          <w:sz w:val="24"/>
          <w:szCs w:val="24"/>
        </w:rPr>
        <w:t>供应商可自行勘察项目现场，如供应商因未及时</w:t>
      </w:r>
      <w:r>
        <w:rPr>
          <w:rFonts w:hint="eastAsia" w:ascii="宋体" w:hAnsi="宋体" w:eastAsia="宋体" w:cs="宋体"/>
          <w:kern w:val="0"/>
          <w:sz w:val="24"/>
          <w:szCs w:val="24"/>
        </w:rPr>
        <w:t>勘查现场</w:t>
      </w:r>
      <w:r>
        <w:rPr>
          <w:rFonts w:ascii="宋体" w:hAnsi="宋体" w:eastAsia="宋体" w:cs="宋体"/>
          <w:kern w:val="0"/>
          <w:sz w:val="24"/>
          <w:szCs w:val="24"/>
        </w:rPr>
        <w:t>而导致的报价缺项、漏项废标</w:t>
      </w:r>
      <w:r>
        <w:rPr>
          <w:rFonts w:hint="eastAsia" w:ascii="宋体" w:hAnsi="宋体" w:eastAsia="宋体" w:cs="宋体"/>
          <w:kern w:val="0"/>
          <w:sz w:val="24"/>
          <w:szCs w:val="24"/>
        </w:rPr>
        <w:t>或</w:t>
      </w:r>
      <w:r>
        <w:rPr>
          <w:rFonts w:ascii="宋体" w:hAnsi="宋体" w:eastAsia="宋体" w:cs="宋体"/>
          <w:kern w:val="0"/>
          <w:sz w:val="24"/>
          <w:szCs w:val="24"/>
        </w:rPr>
        <w:t>中标后无法完工，供应商自行承担一切后果。</w:t>
      </w:r>
    </w:p>
    <w:p>
      <w:pPr>
        <w:spacing w:line="440" w:lineRule="exact"/>
        <w:ind w:firstLine="482" w:firstLineChars="200"/>
        <w:rPr>
          <w:rFonts w:hint="eastAsia"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本项目售后服务响应时间：30分钟内响应，2小时内到达现场；一般故障4小时内解决，严重故障需向校方报备情况，给出解决方案，并在72小时内解决。</w:t>
      </w:r>
      <w:r>
        <w:rPr>
          <w:rFonts w:hint="eastAsia" w:ascii="宋体" w:hAnsi="宋体" w:eastAsia="宋体" w:cs="宋体"/>
          <w:b/>
          <w:bCs/>
          <w:kern w:val="0"/>
          <w:sz w:val="24"/>
          <w:szCs w:val="24"/>
        </w:rPr>
        <w:t>（提供承诺函并加盖公章，格式自拟。）</w:t>
      </w:r>
    </w:p>
    <w:p>
      <w:pPr>
        <w:spacing w:line="440" w:lineRule="exact"/>
        <w:ind w:firstLine="482" w:firstLineChars="200"/>
        <w:rPr>
          <w:rFonts w:hint="eastAsia" w:ascii="宋体" w:hAnsi="宋体" w:eastAsia="宋体" w:cs="宋体"/>
          <w:b/>
          <w:bCs/>
          <w:kern w:val="0"/>
          <w:sz w:val="24"/>
          <w:szCs w:val="24"/>
        </w:rPr>
      </w:pPr>
      <w:r>
        <w:rPr>
          <w:rFonts w:hint="eastAsia" w:ascii="Calibri" w:hAnsi="Calibri" w:eastAsia="仿宋" w:cs="Times New Roman"/>
          <w:b/>
          <w:bCs/>
          <w:snapToGrid w:val="0"/>
          <w:color w:val="auto"/>
          <w:spacing w:val="0"/>
          <w:kern w:val="0"/>
          <w:sz w:val="24"/>
          <w:szCs w:val="24"/>
          <w:highlight w:val="none"/>
          <w:lang w:val="en-US" w:eastAsia="zh-CN"/>
        </w:rPr>
        <w:t>*3.</w:t>
      </w:r>
      <w:r>
        <w:rPr>
          <w:rFonts w:hint="eastAsia" w:ascii="宋体" w:hAnsi="宋体" w:eastAsia="宋体" w:cs="宋体"/>
          <w:kern w:val="0"/>
          <w:sz w:val="24"/>
          <w:szCs w:val="24"/>
        </w:rPr>
        <w:t>系统集成</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提供所有设备产品的安装、调试以及所有线路线缆的敷设、基础混凝土浇筑、道路开挖和恢复；含安装集成所需线管、水晶头、胶布、扎带、插座等辅材；含校门口道路护栏，厚度不低于0.7mm，数量按现场环境实际需求配置；以及施工后项目现场的整体保洁服务，包含整套软硬件的安装调试。</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所有设备产品运送至指定位置安装；安装调试按国家相关标准、文件要求执行，与其他工程环节或要求衔接好，建立施工档案，含有现场、集中培训方案及其费用等。</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施工规范：施工依照综合布线标准设计，强弱电规范（分离）施工，要具有高扩展性、灵活性、先进性、可管理性。在布线中，所有线路、信息点均有一定编号或颜色标识，以便后期维护。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标后施工要求有系统集成技术方案（含系统施工组织、施工图、详细安装位置示意图、拓扑图、施工管理、系统集成人员名单和资质、售后服务网点分布等详细技术方案），安装调试按工程有关文件要求执行，与其他工程环节衔接好，建立施工档案。</w:t>
      </w:r>
      <w:r>
        <w:rPr>
          <w:rFonts w:hint="eastAsia" w:ascii="宋体" w:hAnsi="宋体" w:eastAsia="宋体" w:cs="宋体"/>
          <w:b/>
          <w:bCs/>
          <w:kern w:val="0"/>
          <w:sz w:val="24"/>
          <w:szCs w:val="24"/>
        </w:rPr>
        <w:t>（提供承诺函并加盖公章，格式自拟。）</w:t>
      </w:r>
    </w:p>
    <w:p>
      <w:pPr>
        <w:keepNext w:val="0"/>
        <w:keepLines w:val="0"/>
        <w:pageBreakBefore w:val="0"/>
        <w:widowControl w:val="0"/>
        <w:kinsoku/>
        <w:wordWrap w:val="0"/>
        <w:overflowPunct/>
        <w:topLinePunct/>
        <w:autoSpaceDE/>
        <w:autoSpaceDN/>
        <w:bidi w:val="0"/>
        <w:adjustRightInd w:val="0"/>
        <w:snapToGrid w:val="0"/>
        <w:spacing w:line="360" w:lineRule="auto"/>
        <w:jc w:val="both"/>
        <w:rPr>
          <w:rFonts w:ascii="Times New Roman" w:hAnsi="Times New Roman" w:eastAsia="仿宋" w:cs="Times New Roman"/>
          <w:b/>
          <w:snapToGrid w:val="0"/>
          <w:color w:val="auto"/>
          <w:spacing w:val="0"/>
          <w:kern w:val="0"/>
          <w:sz w:val="28"/>
          <w:szCs w:val="28"/>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ascii="Times New Roman" w:hAnsi="Times New Roman" w:eastAsia="仿宋" w:cs="Times New Roman"/>
          <w:b/>
          <w:snapToGrid w:val="0"/>
          <w:color w:val="auto"/>
          <w:spacing w:val="0"/>
          <w:kern w:val="0"/>
          <w:sz w:val="28"/>
          <w:szCs w:val="28"/>
          <w:highlight w:val="none"/>
        </w:rPr>
      </w:pPr>
      <w:r>
        <w:rPr>
          <w:rFonts w:hint="eastAsia" w:ascii="Times New Roman" w:hAnsi="Times New Roman" w:eastAsia="仿宋" w:cs="Times New Roman"/>
          <w:b/>
          <w:snapToGrid w:val="0"/>
          <w:color w:val="auto"/>
          <w:spacing w:val="0"/>
          <w:kern w:val="0"/>
          <w:sz w:val="28"/>
          <w:szCs w:val="28"/>
          <w:highlight w:val="none"/>
          <w:lang w:val="en-US" w:eastAsia="zh-CN"/>
        </w:rPr>
        <w:t>设备参数</w:t>
      </w:r>
      <w:r>
        <w:rPr>
          <w:rFonts w:ascii="Times New Roman" w:hAnsi="Times New Roman" w:eastAsia="仿宋" w:cs="Times New Roman"/>
          <w:b/>
          <w:snapToGrid w:val="0"/>
          <w:color w:val="auto"/>
          <w:spacing w:val="0"/>
          <w:kern w:val="0"/>
          <w:sz w:val="28"/>
          <w:szCs w:val="28"/>
          <w:highlight w:val="none"/>
        </w:rPr>
        <w:t>一览表</w:t>
      </w:r>
    </w:p>
    <w:tbl>
      <w:tblPr>
        <w:tblStyle w:val="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3623"/>
        <w:gridCol w:w="636"/>
        <w:gridCol w:w="426"/>
        <w:gridCol w:w="427"/>
        <w:gridCol w:w="426"/>
        <w:gridCol w:w="426"/>
        <w:gridCol w:w="636"/>
        <w:gridCol w:w="63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74"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序号</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名称</w:t>
            </w:r>
          </w:p>
        </w:tc>
        <w:tc>
          <w:tcPr>
            <w:tcW w:w="2573"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技术参数和规格型号</w:t>
            </w:r>
          </w:p>
        </w:tc>
        <w:tc>
          <w:tcPr>
            <w:tcW w:w="250"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数量</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单位</w:t>
            </w:r>
          </w:p>
        </w:tc>
        <w:tc>
          <w:tcPr>
            <w:tcW w:w="424" w:type="pct"/>
            <w:gridSpan w:val="2"/>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lang w:val="en-US" w:eastAsia="zh-CN"/>
              </w:rPr>
              <w:t>是否采购节能产品</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是否为优先采购环境标志产品</w:t>
            </w:r>
          </w:p>
        </w:tc>
        <w:tc>
          <w:tcPr>
            <w:tcW w:w="315"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所属行业（按工信部联企业〔2011〕300号）</w:t>
            </w:r>
          </w:p>
        </w:tc>
        <w:tc>
          <w:tcPr>
            <w:tcW w:w="315"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标的性质（货物/服务）</w:t>
            </w:r>
          </w:p>
        </w:tc>
        <w:tc>
          <w:tcPr>
            <w:tcW w:w="211" w:type="pct"/>
            <w:vMerge w:val="restar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4"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573"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50"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强制采购</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r>
              <w:rPr>
                <w:rFonts w:hint="eastAsia" w:ascii="宋体" w:hAnsi="宋体" w:eastAsia="宋体" w:cs="宋体"/>
                <w:b w:val="0"/>
                <w:bCs w:val="0"/>
                <w:snapToGrid w:val="0"/>
                <w:color w:val="auto"/>
                <w:spacing w:val="0"/>
                <w:kern w:val="0"/>
                <w:sz w:val="21"/>
                <w:szCs w:val="21"/>
                <w:highlight w:val="none"/>
              </w:rPr>
              <w:t>优先采购</w:t>
            </w: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315"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315"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c>
          <w:tcPr>
            <w:tcW w:w="211" w:type="pct"/>
            <w:vMerge w:val="continue"/>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室外摄像机</w:t>
            </w:r>
          </w:p>
        </w:tc>
        <w:tc>
          <w:tcPr>
            <w:tcW w:w="2573" w:type="pct"/>
            <w:noWrap w:val="0"/>
            <w:vAlign w:val="center"/>
          </w:tcPr>
          <w:p>
            <w:pPr>
              <w:widowControl/>
              <w:numPr>
                <w:ilvl w:val="0"/>
                <w:numId w:val="0"/>
              </w:numPr>
              <w:jc w:val="left"/>
              <w:textAlignment w:val="center"/>
              <w:rPr>
                <w:rFonts w:ascii="Calibri" w:hAnsi="Calibri" w:eastAsia="宋体" w:cs="Times New Roman"/>
                <w:szCs w:val="22"/>
              </w:rPr>
            </w:pPr>
            <w:r>
              <w:rPr>
                <w:rFonts w:hint="eastAsia" w:ascii="宋体" w:hAnsi="宋体" w:eastAsia="宋体" w:cs="宋体"/>
                <w:b w:val="0"/>
                <w:bCs w:val="0"/>
                <w:kern w:val="0"/>
                <w:sz w:val="21"/>
                <w:szCs w:val="21"/>
                <w:lang w:val="en-US" w:eastAsia="zh-CN"/>
              </w:rPr>
              <w:t>1.400万高清黑光摄像机，</w:t>
            </w:r>
            <w:r>
              <w:rPr>
                <w:rFonts w:hint="eastAsia" w:ascii="宋体" w:hAnsi="宋体" w:eastAsia="宋体" w:cs="宋体"/>
                <w:b w:val="0"/>
                <w:bCs w:val="0"/>
                <w:kern w:val="0"/>
                <w:sz w:val="21"/>
                <w:szCs w:val="21"/>
              </w:rPr>
              <w:t>最大分辨率均不小于2560*1440</w:t>
            </w:r>
            <w:r>
              <w:rPr>
                <w:rFonts w:hint="eastAsia" w:ascii="宋体" w:hAnsi="宋体" w:eastAsia="宋体" w:cs="宋体"/>
                <w:b w:val="0"/>
                <w:bCs w:val="0"/>
                <w:kern w:val="0"/>
                <w:sz w:val="21"/>
                <w:szCs w:val="21"/>
                <w:lang w:eastAsia="zh-CN"/>
              </w:rPr>
              <w:t>。</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2.内置双镜头，靶面尺寸均不低于1/1.8英寸，内置两个图像传感器，分别输出黑白及彩色图像，可对视频图像进行融合输出。</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3.内置GPU芯片；1个内置麦克风，1个内置扬声器。</w:t>
            </w:r>
          </w:p>
          <w:p>
            <w:pPr>
              <w:widowControl/>
              <w:jc w:val="left"/>
              <w:textAlignment w:val="center"/>
              <w:rPr>
                <w:rFonts w:hint="eastAsia" w:ascii="宋体" w:hAnsi="宋体" w:eastAsia="宋体" w:cs="宋体"/>
                <w:b/>
                <w:bCs/>
                <w:kern w:val="0"/>
                <w:sz w:val="21"/>
                <w:szCs w:val="21"/>
              </w:rPr>
            </w:pPr>
            <w:r>
              <w:rPr>
                <w:rFonts w:hint="eastAsia" w:ascii="宋体" w:hAnsi="宋体" w:eastAsia="宋体" w:cs="宋体"/>
                <w:b w:val="0"/>
                <w:bCs w:val="0"/>
                <w:kern w:val="0"/>
                <w:sz w:val="21"/>
                <w:szCs w:val="21"/>
              </w:rPr>
              <w:t>4.内置混合补光灯，每颗补光灯由红外灯、白光灯组成，可自动或手动调节补光灯的亮度。</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5.动态范围不小于120dB。</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6.最低照度彩色：0.0002 lx，黑白：0.0001 lx，最大亮度鉴别等级（灰度</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等级）不小于11级。</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7.需支持五码流技术，主码流最高≥2560x1440@25fps；子码流≥704x576@25fps；第三码流最高≥1920x1080@8fps；第四码流最高≥704x576@25fps；第五码流最高≥704x576@25fps。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8.支持H.264、H.265、MJPEG视频编码格式，且具有High Profile编码能力。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9.支持检出两眼瞳距19像素点以上的人脸图片。</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10.人脸检出率不小于99%。</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支持固件安全检验功能，摄像机uboot应采用加密存储，通过离线烧写存储器方式写入的uboot执行程序，不能被硬件微引导程序加载执行，支持硬件微引导程序、uboot、OS、应用软件逐级校验功能，非法篡改的uboot、OS、应用软件固件包，不能通过命令行、浏览器、客户端方式进行升级。</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12.具有设备重启和布防动态报警数据感知与记录功能，布防动态报警数据包括异常掉线、历史布防、实时布防3种类型；可记录报警的开始时间、结束时间、布防类型、报警链路地址、端口、链路续传。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default"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显示屏</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lang w:val="en-US" w:eastAsia="zh-CN"/>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1.显示尺寸：46 寸</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提供</w:t>
            </w:r>
            <w:r>
              <w:rPr>
                <w:rFonts w:hint="eastAsia" w:ascii="宋体" w:hAnsi="宋体" w:eastAsia="宋体" w:cs="宋体"/>
                <w:b/>
                <w:bCs/>
                <w:kern w:val="0"/>
                <w:sz w:val="21"/>
                <w:szCs w:val="21"/>
                <w:lang w:eastAsia="zh-CN"/>
              </w:rPr>
              <w:t>制造商公开发布的资料或检测机构出具的检测报告）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2.背光源类型：D-LED</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3.物理拼缝：≦1.7 mm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4.物理分辨率：≥1920 × 1080@60Hz（向下兼容）</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5.亮度：</w:t>
            </w:r>
            <w:r>
              <w:rPr>
                <w:rFonts w:hint="eastAsia" w:ascii="宋体" w:hAnsi="宋体" w:eastAsia="宋体" w:cs="宋体"/>
                <w:b w:val="0"/>
                <w:bCs w:val="0"/>
                <w:kern w:val="0"/>
                <w:sz w:val="21"/>
                <w:szCs w:val="21"/>
                <w:lang w:val="en-US" w:eastAsia="zh-CN"/>
              </w:rPr>
              <w:t>不小于</w:t>
            </w:r>
            <w:r>
              <w:rPr>
                <w:rFonts w:hint="eastAsia" w:ascii="宋体" w:hAnsi="宋体" w:eastAsia="宋体" w:cs="宋体"/>
                <w:b w:val="0"/>
                <w:bCs w:val="0"/>
                <w:kern w:val="0"/>
                <w:sz w:val="21"/>
                <w:szCs w:val="21"/>
              </w:rPr>
              <w:t>500 cd/m²</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6.可视角：178°（水平）/ 178°（垂直）</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7.对比度：</w:t>
            </w:r>
            <w:r>
              <w:rPr>
                <w:rFonts w:hint="eastAsia" w:ascii="宋体" w:hAnsi="宋体" w:eastAsia="宋体" w:cs="宋体"/>
                <w:b w:val="0"/>
                <w:bCs w:val="0"/>
                <w:kern w:val="0"/>
                <w:sz w:val="21"/>
                <w:szCs w:val="21"/>
                <w:lang w:val="en-US" w:eastAsia="zh-CN"/>
              </w:rPr>
              <w:t>不低于</w:t>
            </w:r>
            <w:r>
              <w:rPr>
                <w:rFonts w:hint="eastAsia" w:ascii="宋体" w:hAnsi="宋体" w:eastAsia="宋体" w:cs="宋体"/>
                <w:b w:val="0"/>
                <w:bCs w:val="0"/>
                <w:kern w:val="0"/>
                <w:sz w:val="21"/>
                <w:szCs w:val="21"/>
              </w:rPr>
              <w:t>1000 :1</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注：利旧原有3块显示屏，2*4排列部署</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大屏支架</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1.配套2*4排列支架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组</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4</w:t>
            </w:r>
          </w:p>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监控终端</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1.处理器：i7 12代及以上或同等性能，12 核及以上最高睿频4.9GHz</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2.主板：≥Intel H610芯片组</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3.内存：32GB DDR4，3200MHz频率以上，2个内存插槽，最大可扩展支持64GB DDR4内存</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4.不小于512G SATA SSD；不小于2T机械硬盘；</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5.USB接口≥10个，其中USB3.0接口≥4个，机箱后置USB接口≥6个；1个VGA+1个HDMI+1个DP接口，主板原生接口不可使用转接口；</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6.配置4G独立显卡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7.配置24英寸 IPS显示器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8.操作系统兼容性：支持windows系统、UOS系统、麒麟系统、CentOS系统、Windows 7系统、LINUX系统安装；支持双系统、三系统、四系统安装</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9.硬盘断电保护：可支持硬盘数据及时还原，还原到指定还原点；支持硬盘断电保护；支持双网口绑定、双网口使用。</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10.支持超高清4K、8K解码实景播放，支持3600W鹰眼前端解码播放；支持多显卡调度，可在相同应用里使用双显卡，双显卡同时工作；可通过视频客户端进行画中画显示，把两个IPC的画面合并成一个画面，在一个大画面叠加一个小画面，也可以分两个窗口显示。</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11.支持应用软件向导式启动，支持更新升级；支持应用软件打开即全屏显示；支持windows应用虚拟化；支持双系统同时开机同时使用；支持安装云盘软件，对指定目录进行增备、全备、双向同步；支持对操作系统进行镜像备份和恢复；使用视图播放器对文件进行播放。</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12.倍速播放：支持多窗口播放：可进行16个窗口同时1或2倍速播放，9个窗口同时4倍速播放，4个窗口同时8倍速或16倍速播放，系统需支持GA/T1154.2-2014中4.4.2.1规定的70种视频格式文件等多种安防视频格式文件功能，支持全屏、单屏、2分屏、4分屏、9分屏、16分屏播放，系统支持对GA/T1154.2-2014中4.4.2.1规定的70种视频格式文件转码成MP4，AVI，WMV，GIF。</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bCs/>
                <w:snapToGrid w:val="0"/>
                <w:color w:val="auto"/>
                <w:spacing w:val="0"/>
                <w:kern w:val="0"/>
                <w:sz w:val="21"/>
                <w:szCs w:val="21"/>
                <w:highlight w:val="none"/>
                <w:lang w:val="en-US" w:eastAsia="zh-CN"/>
              </w:rPr>
              <w:t>是</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高清解码器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1.超高清解码器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2.支持电脑、视频会议终端等视频输入信号源，支持2路1080P@50/60 或1路4K@30，通过HDMI 1.4本地输入，HDMI可内嵌音频</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3.支持网络IPC、NVR等设备类型作为网络信号源输入</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4.支持HDMI 1.4视频信号输出，支持4K分辨率（3840 × 2160@30 Hz）超高清输出，输出采用帧同步技术，保证所有输出口的图像完全同步</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5.支持两种音频输出方式：HDMI内嵌音频和外置音频输出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6.采用H.264/H.265编码标准，默认采用H.265，支持子码流及主码流编码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7.支持网络设备解码，支持H.264、H.265、Smart264、Smart265、MJPEG、HIK264等主流码流格式，支持PS、TS、ES、RTP等主流封装格式，支持子码流及主码流切换</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 最大支持3200w分辨率解码，具有64个解码通道，支持64路200W视频同时解码上墙</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9.支持加密码流、多轨码流、智能码流解码；支持码流修改和切换；支持解码异常提示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10.电视墙功能</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11.支持单面电视墙拼接、开窗、窗口跨屏漫游、场景轮巡和窗口轮巡功能，单屏支持3个1080P或2个4K图层，单窗口支持1/4/6/8/9/16/25窗口分屏功能，整机最大支持64个场景，整机支持256个平台预案轮巡组</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12.支持RTP\RTSP协议进行网络源预览，可通过smartwall客户端进行桌面投屏上墙</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13.支持电视墙界面对网络信号源云台八个方向、自动扫描、光圈、调焦、聚焦、调用预置点等操作</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14.支持电视墙窗口开始/停止预览、开始/停止解码、开始/停止轮巡、打开/关闭声音、置顶、置底等操作</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15.视频解码格式：H.264，H.265，Smart264，Smart265，MJPEG</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 解码分辨率：最高3200W像素</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 视频解码通道：不少于128</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18. 视频解码能力：H.264/H.265：支持4路3200 W，或4路2400 W，或8路1200 W，或16路800 W，或20路600W，或32路400W，或64路1080P，或128路720P及以下分辨率实时解码（每4个输出口一组，共享解码能力）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19.MJPEG：8路1080P及以下分辨率实时解码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20.HIK264：4路720P及以下分辨率实时解码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21.单口画面分割数：1,2,4,6,8,9,12,16,25</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22. 场景数量：64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23.视频输出分辨率：3840 × 2160@30 Hz、2560 × 1440@30 Hz、1920 × 1200@60 Hz、1920 × 1080@60 Hz、1920 × 1080@50 Hz、1680 × 1050@60 Hz、1600 × 1200@60 Hz、1280 × 1024@60 Hz、1280 × 720@60 Hz、1280 × 720@50 Hz、1024 × 768@60 Hz</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24. 视频输出接口类型：8路HDMI 1.4，支持4K</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25.视频输入接口：2路HDMI 1.4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26. 视频输入分辨率：3840 × 2160@30 Hz（仅奇数口），1920 × 1080@50 Hz,1920 × 1080@60 Hz, 1280 × 720@50/60 Hz</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27.音频输入接口：2路HDMI内嵌</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28.音频输出接口：8路HDMI内嵌或DB15转BNC独立音频输出</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29.音频解码格式：G711-A, G711-U, G722.1, G726-16/U/A, MPEG, AAC-LC, PCM</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核心交换机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lang w:eastAsia="zh-CN"/>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1.交换容量≥168Tbps，包转发率≥36000Mpps，支持电源以及主控冗余；</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lang w:val="en-US" w:eastAsia="zh-CN"/>
              </w:rPr>
              <w:t>提供</w:t>
            </w:r>
            <w:r>
              <w:rPr>
                <w:rFonts w:hint="eastAsia" w:ascii="宋体" w:hAnsi="宋体" w:eastAsia="宋体" w:cs="宋体"/>
                <w:b/>
                <w:bCs/>
                <w:kern w:val="0"/>
                <w:sz w:val="21"/>
                <w:szCs w:val="21"/>
                <w:lang w:eastAsia="zh-CN"/>
              </w:rPr>
              <w:t>制造商公开发布的资料或检测机构出具的检测报告）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2.主控交换卡、电源、接口模块、风扇、网板等关键部件可热插拔；</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3.单槽位能够同时提供千兆光口、千兆电口、万兆光口，且实际可用端口总数≥48，提高槽位利用率和业务可靠性，提供官网选配信息截图证明；</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4.支持聚合组数≥128组，每组成员≥8个，支持跨设备链路聚合，支持对广播、组播、单播报文的均匀分担；</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5.支持双引擎快速倒换，主备切换时候板内转发无丢包 ，支持热补丁功能，可在线进行补丁升级；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6.支持IPv4 uRPF、DHCP Snooping、广播风暴抑制、IP+MAC+VLAN+PORT的绑定、报文过滤功能，黑洞路由、黑洞MAC等安全特性；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7.支持RIP、OSPF、BGPv4、BGP4+、ISIS、IS-ISv6，支持策略路由；</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w:t>
            </w:r>
            <w:r>
              <w:rPr>
                <w:rFonts w:hint="eastAsia" w:ascii="宋体" w:hAnsi="宋体" w:eastAsia="宋体" w:cs="宋体"/>
                <w:b w:val="0"/>
                <w:bCs w:val="0"/>
                <w:kern w:val="0"/>
                <w:sz w:val="21"/>
                <w:szCs w:val="21"/>
              </w:rPr>
              <w:t>8.支持抗攻击功能、支持用户访问控制和安全审计功能，</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9.配置冗余电源和双主控引擎；</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10.配置≥24端口千兆电口、≥24端口千兆光口、≥8端口万兆光口；</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接入交换机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1.固化10/100/1000M以太网电口≥24，1000M/2.5G SFP千兆光接口≥4个；</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2.交换容量≥336Gbps，包转发率≥51Mpps（以官网指标最小值为准）；</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3.采用绿色环保设计；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4.设备采用静音无风扇节能设计；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5.要求所投产品端口浪涌抗扰度≥10KV（即具备10KV的防雷能力）；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6.支持专门针对CPU的保护机制，能够针对发往CPU处理的各种报文进行流区分和优先级队列分级处理，保护交换机在各种环境下稳定工作；</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7.支持基础网络保护策略，能够限制用户向网络中发送ARP报文、ICMP请求报文、DHCP请求报文等数据包的数率，对超过限速阈值的报文进行丢弃处理，甚至能够识别攻击行为，对有攻击行为的用户进行隔离；</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8.支持生成树协议STP(IEEE 802.1d)，RSTP(IEEE 802.1w）和MSTP(IEEE 802.1s)，完全保证快速收敛，提高容错能力，保证网络的稳定运行和链路的负载均衡，合理使用网络通道，提供冗余链路利用率；</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存储阵列</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1.配置：≥1颗64位多核处理器，≥4GB内存，内存支持扩展到≥256GB，内置SSD固态硬盘（可以扩展到4个SSD作为缓存盘），配置≥3个风扇，支持风扇热插拔冗余温控调速风扇；支持热插拔1+1AC220V</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2.标配≥4个千兆网口，支持4个PCI-E3.0，或可扩展 RS485 接口、eSATA 接口，可扩展至 15个千兆网口，或增配 12个 10Gb /25Gb光纤接口或增配 12 个 8Gb/16Gb/32Gb 光纤接口或增配 12个 HDMI 接口或增配 9 个Mini SAS HD接口，支持GPU智能卡，支持PCI-E X16和PCI-E X8，可支持12GB SAS扩展口</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3.每个控制单元支持双系统应用，系统盘支持RAID1模式，当主系统出现故障时，备用系统可接管工作；支持系统盘为独立的2块HDD（SATA、SAS）或SSD盘，组成RAID1</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4.可2T/3T/4T/6T/8T/10T/12T/14T/16T/18T/20T/25T/26T SATA/SAS硬盘；支持NL-SAS 硬盘、HDD硬盘、SSD硬盘、氦气硬盘、空气硬盘；支持 CMR或SMR硬盘；支持硬盘交错/分时启动，节省功耗，本次配置不低于22块16T硬盘。</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5.具有48块硬盘热插拔插槽；支持硬盘热插拔设备在读写数据时，热插拔设备内的任意块硬盘，设备正常运行不宕机，硬盘不损坏，数据不丢失，业务不中断。</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6.支持视音频、图片、智能数据流进行混合直存，无须存储服务器和图片服务器的参与，平台服务器宕机时，存储业务正常；支持国</w:t>
            </w:r>
            <w:r>
              <w:rPr>
                <w:rFonts w:hint="eastAsia" w:ascii="宋体" w:hAnsi="宋体" w:eastAsia="宋体" w:cs="宋体"/>
                <w:b w:val="0"/>
                <w:bCs w:val="0"/>
                <w:kern w:val="0"/>
                <w:sz w:val="21"/>
                <w:szCs w:val="21"/>
                <w:lang w:val="en-US" w:eastAsia="zh-CN"/>
              </w:rPr>
              <w:t>标</w:t>
            </w:r>
            <w:r>
              <w:rPr>
                <w:rFonts w:hint="eastAsia" w:ascii="宋体" w:hAnsi="宋体" w:eastAsia="宋体" w:cs="宋体"/>
                <w:b w:val="0"/>
                <w:bCs w:val="0"/>
                <w:kern w:val="0"/>
                <w:sz w:val="21"/>
                <w:szCs w:val="21"/>
              </w:rPr>
              <w:t>GB/T 28181和Onvif视频流直存模式；支持iSCSI直存功能，前端网络摄像机和设备之间可直接通过iSCSI协议进行块存储；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8.设备具有多个系统镜像，当主用系统出现故障时，备用系统可接替主用系统工作，且支持通过任一备用系统对原主用系统进行修复</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9.设备支持版本回退功能，在当前版本出现故障或操作失误后，可进行回退到历史版本，回退后录像正常回放，且历史录像完整</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支持硬盘灯提示功能。当系统检查到硬盘损坏、坏块太多、读写大量异常或者无法获取硬盘信息等问题，硬盘会被定义为坏盘，通过用户界面硬盘位标识为灰色，硬件上硬盘灯显示为红色长亮；当硬盘指示灯为蓝色时，硬盘状态正常</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11.Type-C接口支持为具有该接口外设设备供电和数据传输</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支持硬盘的多级工作模式，包括性能模式、空闲模式（A\B\C，A：硬盘短时空闲，可以正常响应IO；B：较多空闲，磁头不再移动，硬盘满转；C：硬盘完全空闲，磁头不再移动，硬盘降速）、休眠模式（硬盘不再旋转，新下发IO需要唤醒）</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13.支持内存资源动态调节，根据业务进行自动分配，当业务压力增加时，内存自动分配</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14.支持较小容量SMR硬盘失效后，可用大容量SMR硬盘替换，不影响业务运行；支持不同品牌、不同容量SMR硬盘混合使用，组成raid</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可对视音频、图片、结构化数据、对象等文件进行混合存储，并可通过http和https方式下载，支持划分多个对象池，支持对象池的独立循环覆盖，并支持多种操作方式，包括创建、查询、编辑、删除等；支持对象文件下载；支持断点续传下载；支持流式视频文件上传、存储，支持点播回放</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16.支持配置多个录像卷、图片卷、文件卷，支持不同的卷，配置不同的覆盖策略</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18.支持页面向导型快速配置，在配置前期，对设备进行全面的检测，包括物理环境，域环境，平台环境进行全面扫描，针对发现的异常，给出对应的提示，会明确指出异常，包括硬盘数量异常、docker服务异常、镜像等情况</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19. 支持http和https传输图片，对报文加密传输，到对端之后解密存储；</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注：含16T企业级专用硬盘22块，满足350路2M码流存储30天以上。</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9</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平台升级扩容</w:t>
            </w:r>
          </w:p>
        </w:tc>
        <w:tc>
          <w:tcPr>
            <w:tcW w:w="2573" w:type="pct"/>
            <w:noWrap w:val="0"/>
            <w:vAlign w:val="center"/>
          </w:tcPr>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1.为保证系统更好的兼容性与稳定性，本次不再新建平台，对学校现有平台进行升级，并扩容</w:t>
            </w:r>
            <w:r>
              <w:rPr>
                <w:rFonts w:hint="eastAsia" w:ascii="宋体" w:hAnsi="宋体" w:eastAsia="宋体" w:cs="宋体"/>
                <w:b/>
                <w:bCs/>
                <w:color w:val="FF0000"/>
                <w:kern w:val="0"/>
                <w:sz w:val="21"/>
                <w:szCs w:val="21"/>
                <w:lang w:val="en-US" w:eastAsia="zh-CN"/>
              </w:rPr>
              <w:t>不低于</w:t>
            </w:r>
            <w:r>
              <w:rPr>
                <w:rFonts w:hint="eastAsia" w:ascii="宋体" w:hAnsi="宋体" w:eastAsia="宋体" w:cs="宋体"/>
                <w:b w:val="0"/>
                <w:bCs w:val="0"/>
                <w:kern w:val="0"/>
                <w:sz w:val="21"/>
                <w:szCs w:val="21"/>
              </w:rPr>
              <w:t>400路监控授权与50路门禁授权</w:t>
            </w:r>
            <w:r>
              <w:rPr>
                <w:rFonts w:hint="eastAsia" w:ascii="宋体" w:hAnsi="宋体" w:eastAsia="宋体" w:cs="宋体"/>
                <w:b w:val="0"/>
                <w:bCs w:val="0"/>
                <w:kern w:val="0"/>
                <w:sz w:val="21"/>
                <w:szCs w:val="21"/>
                <w:lang w:eastAsia="zh-CN"/>
              </w:rPr>
              <w:t>。</w:t>
            </w:r>
            <w:r>
              <w:rPr>
                <w:rFonts w:hint="eastAsia" w:ascii="宋体" w:hAnsi="宋体" w:eastAsia="宋体" w:cs="宋体"/>
                <w:b/>
                <w:bCs/>
                <w:kern w:val="0"/>
                <w:sz w:val="21"/>
                <w:szCs w:val="21"/>
                <w:lang w:eastAsia="zh-CN"/>
              </w:rPr>
              <w:t>（</w:t>
            </w:r>
            <w:r>
              <w:rPr>
                <w:rFonts w:hint="eastAsia" w:ascii="宋体" w:hAnsi="宋体" w:eastAsia="宋体" w:cs="宋体"/>
                <w:b/>
                <w:bCs/>
                <w:kern w:val="0"/>
                <w:szCs w:val="21"/>
              </w:rPr>
              <w:t>提供承诺函并加盖公章，格式自拟）</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2.支持对视频、门禁、停车场、访客等子系统进行报警配置并产生客户端联动、录像联动、云台联动、抓图联动、电视墙联动、IO输出联动、开门联动、短信联动、邮件联动等，并支持模板化联动配置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3.要求支持对用户、角色、组织、区域、人员、车辆、卡片、设备等基础资源进行统一管理调配</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4.要求支持导航视图管理，对系统内各节点进行查看、增加、删除、修改，展示、查找；支持对系统内所有服务器进行监控，包括名称、IP地址、状态、未处理告警数、CPU使用率、内存使用率、磁盘容量等；支持对系统内所有组件信息进行监控，组件信息包含：组件名称、未处理告警数、所属服务器、最近操作时间、授权状态、维保期限、使用期限等</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5.要求能按照指定设备、指定通道进行图像的实时点播，支持点播图像的显示、缩放、抓拍和录像，支持多用户对同一图像资源的同时点播，支持基于GIS地图的图像点播</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6.要求支持按时间、监控点、录像存储方式检索录像；客户端回放支持1/4/6/7/9/16画面分隔模式及全屏显示；支持单帧回放、播放速度控制（1/16、1/8、1/4、1/2、1、2、4、8、16倍速）、同步回放、异步回放</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7.支持多种智能应用模式：支持前端比对或后端比对两种模式；支持签到和考勤两种应用方案，支持宿管考勤规则设置及节假日设置。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8.支持数据权限控制功能：可对不同部门、班级管理人员分配不同的数据查看权限；一键入住：可批量导入入住，支持调宿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9.支持宿管异常预警：查询多日无人脸识别通行记录人员信息、陌生人告警记录</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10.支持车辆检索：基于系统基础数据，根据车牌等查询车辆的车主、联系方式、车牌类型、车辆类型等信息</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11.支持地图上资源点的搜索，实现在地图上资源的快速定位</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12.要求支持对重点人员识别，处于重点人员名单内的人脸出现时，系统自动报警，支持对陌生人识别，人脸不在名单内时，系统自动报警</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13.要求支持以脸搜脸，对人脸图片进行检索，检索结果支持列表模式和地图模式，地图模式可以按照时间顺序形成人脸轨迹，用于描述目标人员在该区域的移动路线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14.支持门禁权限配置和下发；支持卡（含身份证）、人脸、指纹、卡密码等凭证单独或组合使用的认证方式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15.支持访客二维码、身份证、IC卡、人脸等多种介质授权通行门禁、停车场；支持访客身份证人证合一验证</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16.支持多种记录查询包括：过车记录、停车记录、场内车辆记录、充值退款记录、临时车缴费记录、优惠券记录、预约记录、班次记录等；查询结果支持列表和图片两种方式展示</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套</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人脸识别门禁边机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1.闸机通道应为摆闸支持室外环境使用，采用直流无刷伺服电机，编码器及行星减速箱</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2.闸机通道主机应支持不少于6.3万卡片管理和18万事件记录存储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3.闸机无故障运行次数不低于1200万次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4.闸机通道外壳对外界机械碰撞的防护等级最薄弱处不低于IK05要求，其他表面不低于IK07要求</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5.闸机箱体厚度不低于1.5mm的不锈钢板材，不少于20对红外对射，通道宽度满足550mm—1100mm可选</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6.闸机通道物理接口应满足同时可接入RS485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7.闸机通道门翼开/关速度至少支持10档可调，开门速度＜0.5 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8.闸机通道应满足防冲要求，处于关门状态时门翼锁死，如果检测到外力冲撞，除了联动语音播报、指示灯等警示外，需同时上传对应的报警事件。在门翼受到撞击后，需快速恢复到正常状态，时间＜3.5s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9.闸机通道认证通行应支持根据不同场景的权限管理有不同的开启方式，二维码开门、面部识别开门、支持普通卡、来宾卡、胁迫卡等多类型用户权限设置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10.闸机通道应集成语音模块，可满足根据用户需求自定义语音播报内容，同时可设置联动语音提示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12.闸机通道功能应满足单通道反潜回、多通道跨主机反潜回的功能，当检测到任意一种反潜回报警时，除了联动语音播报、指示灯等警示外，需同时上传对应的报警事件，有效防止非授权人员非法入侵。</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13.闸机通道应具备允许通行、禁止通行检查功能，没有经管理人员授权的人员闯入时能够警示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14.闸机通道应支持翻越报警的功能，当检测到有人翻越时，可联动语音播报、指示灯等警示，同时可上传报警事件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15.闸机通道应支持滞留报警、反向闯入报警、通行超时报警、误闯报警等功能，除了联动语音播报、指示灯等警示外，需同时上传对应的报警事件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16.闸机通道应支持防尾随功能，在通道中同时通行人数超过允许通行的人数时，除了联动语音播报、指示灯等警示外，需同时上传对应的报警事件，减小检测距离不大于30mm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17.闸机通道应具备应急放行的功能，支持断电自动开门功能和消防联动开门功能</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▲人脸识别门禁中间机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1.闸机通道应为摆闸支持室外环境使用，采用直流无刷伺服电机，编码器及行星减速箱</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2.闸机通道主机应支持不少于6.3万卡片管理和18万事件记录存储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3.闸机无故障运行次数不低于1200万次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4.闸机通道外壳对外界机械碰撞的防护等级最薄弱处不低于IK05要求，其他表面不低于IK07要求</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5.闸机箱体厚度不低于1.5mm的不锈钢板材，不少于20对红外对射，通道宽度满足550mm—1100mm可选</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w:t>
            </w:r>
            <w:r>
              <w:rPr>
                <w:rFonts w:hint="eastAsia" w:ascii="宋体" w:hAnsi="宋体" w:eastAsia="宋体" w:cs="宋体"/>
                <w:b w:val="0"/>
                <w:bCs w:val="0"/>
                <w:kern w:val="0"/>
                <w:sz w:val="21"/>
                <w:szCs w:val="21"/>
              </w:rPr>
              <w:t>6.闸机通道物理接口应满足同时可接入RS485 和wiegand 接口的读卡器，同时具备TCP/IP接口不少于1个，单独232接口不少于3个，RS485/RS232可切换通讯接口不少于5个，事件输入接口不少于4个，报警输出接口不少于4个，开门按钮接口不少于2个，电锁输出接口不少于2个，CAN接口不少于2个</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7.闸机通道门翼开/关速度至少支持10档可调，开门速度＜0.5 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8.闸机通道应满足防冲要求，处于关门状态时门翼锁死，如果检测到外力冲撞，除了联动语音播报、指示灯等警示外，需同时上传对应的报警事件。在门翼受到撞击后，需快速恢复到正常状态，时间＜3.5s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9.闸机通道认证通行应支持根据不同场景的权限管理有不同的开启方式，二维码开门、面部识别开门、支持普通卡、来宾卡、胁迫卡等多类型用户权限设置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10.闸机通道应集成语音模块，可满足根据用户需求自定义语音播报内容，同时可设置联动语音提示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闸机通道应支持每天不少于8个时间段的常开/常闭管控，设置某时段的通道为常开或常闭，方便管理，同时应支持按时间分时段管控门禁权限，支持不少于128个周计划、不少于1024个节假日、不少于64个假日组、不少于255个计划模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12.闸机通道功能应满足单通道反潜回、多通道跨主机反潜回的功能，当检测到任意一种反潜回报警时，除了联动语音播报、指示灯等警示外，需同时上传对应的报警事件，有效防止非授权人员非法入侵。</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13.闸机通道应具备允许通行、禁止通行检查功能，没有经管理人员授权的人员闯入时能够警示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14.闸机通道应支持翻越报警的功能，当检测到有人翻越时，可联动语音播报、指示灯等警示，同时可上传报警事件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15.闸机通道应支持滞留报警、反向闯入报警、通行超时报警、误闯报警等功能，除了联动语音播报、指示灯等警示外，需同时上传对应的报警事件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16.闸机通道应支持防尾随功能，在通道中同时通行人数超过允许通行的人数时，除了联动语音播报、指示灯等警示外，需同时上传对应的报警事件，减小检测距离不大于30mm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17.闸机通道应具备应急放行的功能，支持断电自动开门功能和消防联动开门功能</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18.闸机通道应具备防夹保护的功能，在门翼动作过程中遇到阻力时门翼应自动停止动作，除了联动语音播报、指示灯等警示外，需同时上传对应的报警事件。人员通行时，红外检测到人员在非安全区域，门翼自动停止动作，人员离开通道后，门翼自动复位。</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人脸识别组件-闸机装</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1.10 英寸 LCD 触摸显示屏，2.5D钢化玻璃显示屏面板，屏幕支持多点触控操作，流明度不低于350cd/㎡；分辨率不小于600×1024，防破坏能力满足IK04的要求，设备的结构后壳防破坏能力应满足IK07的要求，配置防护罩。</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2.设备应采用嵌入式Linux系统；采用双目宽动态相机，最大分辨率：1920×1080，应适应强光、逆光、暗光环境条件的人脸识别。</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3.设备本地人脸库存储容量50000张，本地卡存储容量50000张，本地出入记录存储容量100000条。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5.设备具有丰富的硬件接口，应不少于以下硬件接口及能力：LAN 、 WIFI 双 网 络 ， 支 持 同 时 连 接（10M/100M/1000M 自适应）；RS485*1；韦根*1；USB*1；喇叭扬声器；门锁I/O输出*1； 门磁I/O输入*1；报警I/O输出*1；事件 I/O 输入*2；PSAM*1；红绿双色LED 状态灯提示结果输出接口；机械防拆开关*1。</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设备支持通过WEB进行设备信息查询；支持通过WEB进行用户信息管理；支持通过WEB进行设备时间管理；支持通过WEB进行系统维护；支持通过WEB进行安全操作管理；支持通过WEB进行人脸、指纹等技术参数配置；支持通过WEB进行图像参数配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7.设备支持在 0.001lux 低照度无补光环境下正常实现人脸识别；人脸比对时间：＜175ms；最大人脸识别距离：＞3m；最小人脸识别距离：＜0.2m；人脸识别误识率≤0.01%的条件下，准确率应大于99.9%；支持防假体攻击功能，对视频、电子照片、打印照片中的人脸应不能进行人脸识别。</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设备应支持人脸、二维码、密码识读和人证比对功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远程开门、室内机及管理机远程开门）；设备支持普通卡、来宾卡、胁迫卡、超级卡、巡更卡、黑名单卡等多种类型用户权限设置；支持按时间分时段管控门禁权限，支持 255组时段计划管理，支持 1024 个假日计划管理；支持常开、常闭时段管理；支持反潜回（防尾随）功能。</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9.设备支持多种人脸注册方式：设备本地人脸注册；本地U盘导入人员信息； 远程中心下发人脸；支持包括不限于APP、H5，集成入学校智慧校园平台进行采集人脸并注册下发。</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10.设备支持局域网、互联网环境的网络通信；支持选择无线网络通信传输方式；支持云平台通信，实现视频、对讲及权限管控功能；支持被 4 个客户端软件同时实时监听，在线状态下实时上传比对记录。</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11.设备支持与平台或客户端、室内机、管理机、手机 APP 对讲功能；支持扩展电话网关功能；设备支持管理中心远程视频预览功能； 支持接入NVR设备，实现视频监控录像 。</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12.设备支持中心下发黑名单信息；支持本地黑名单信息比对；支持本地黑名单事件报警功能，报警信息能上传至平台；最大支持50000 个人脸黑名单比对。</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13.设备支持不开启白光补光灯实现人脸识别；支持软硬件低功耗管理模式，设备运行功耗低于 6w。</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设备具备以下报警功能：（当连续若干次在目标信息识读设备或管理/控制部分上实施错误操作时；当未使用授权的钥匙而强行通过出入口时；未经正常操作而使出入口开启时；出入口开启时间超过设定值时；设备被拆除时；胁迫码；黑名单）；设备具有 2 路入侵探测接口，能联动报警输出；设备支持未授权人员刷人脸时，设备能支持抓拍图片并实时上报平台预警。</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  适用温度范围：-40℃至80℃、2h；恒温湿热+40℃±2℃、RH93%、48h。</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13</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人脸识别组件-立柱装</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1.设备外观：采用</w:t>
            </w:r>
            <w:r>
              <w:rPr>
                <w:rFonts w:hint="eastAsia" w:ascii="宋体" w:hAnsi="宋体" w:eastAsia="宋体" w:cs="宋体"/>
                <w:b/>
                <w:bCs/>
                <w:color w:val="FF0000"/>
                <w:kern w:val="0"/>
                <w:sz w:val="21"/>
                <w:szCs w:val="21"/>
                <w:lang w:val="en-US" w:eastAsia="zh-CN"/>
              </w:rPr>
              <w:t>不低于</w:t>
            </w:r>
            <w:r>
              <w:rPr>
                <w:rFonts w:hint="eastAsia" w:ascii="宋体" w:hAnsi="宋体" w:eastAsia="宋体" w:cs="宋体"/>
                <w:b w:val="0"/>
                <w:bCs w:val="0"/>
                <w:kern w:val="0"/>
                <w:sz w:val="21"/>
                <w:szCs w:val="21"/>
              </w:rPr>
              <w:t>10.1英寸LCD触摸显示屏；200万像素双目宽动态摄像头；采用星光级图像传感器，可适应夜间低照度环境；人脸识别距离可大于2m，支持照片视频防假；含立柱支架；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2.设备容量：支持≥50000张人脸白名单，1：N人脸比对时间≤0.2s/人；支持100000笔记录存储；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3.认证方式：支持人脸识别，支持刷卡、刷卡+人脸、人证比对、自动模式（人脸、人证自动切换）；支持身份证阅读器组件；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4.通讯方式：上行通讯为TCP/IP；支持WIFI传输；</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5.视频对讲：支持视频语音对讲功能；可接NVR，支持视频预览；</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6.设备接口： LAN*1；RS485*1；韦根*1；USB *1；门磁*1、开门按钮*1、报警输入*2；电锁*1、报警输出*1；</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14</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车辆抓拍一体机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1.高速车牌识别道闸一体机集成500W实时识别高清摄像机、高速道闸、18.5寸LCD 显示屏、微波车检、闪光灯等为一体。可在各种光线、天气、道路等环境下应用；车牌识别率稳定在 99.9% 以上；金色或银色外观，美观大方；0.6 秒高速道闸，快速通行；LCD 屏既可扫码付，还可播放广告。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2.铝合金外壳：主体采用铝合金开模制作，先进表面处理技术，金色或银色外观，美观大方；机箱采用厚度不低于2.3mm和抗拉强度不小于345Mpa的钢板制成</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3.高速抬杆：自主研发直流变频技术，高速抬杆 0.6 秒（3 米直杆），可分别调节抬杆落杆速度，高速抬杆快速通行，慢速落杆确保安全；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高速识别：具有多种车牌类型的准确认定，包括：蓝牌、绿牌（新能源车）黄牌、军车、警车、WJ车辆、个性化车牌、使领馆车牌、省港两地车牌等。可以解决夜晚大灯情况，及雨雪干扰情况，各种环境下识别率稳定在 99.9%以上；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5.具有联网、可脱机工作的功能，脱机状态下事件记录数为3万条，用户数为3万条。</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6.LCD屏的彩色水平分辨率不应低于500TVL；彩色灰度等级不低于10级</w:t>
            </w:r>
            <w:r>
              <w:rPr>
                <w:rFonts w:hint="eastAsia" w:ascii="宋体" w:hAnsi="宋体" w:eastAsia="宋体" w:cs="宋体"/>
                <w:b/>
                <w:bCs/>
                <w:kern w:val="0"/>
                <w:sz w:val="21"/>
                <w:szCs w:val="21"/>
              </w:rPr>
              <w:t>（提供具有CMA或CAL或CNAS认证章的第三方权威机构检验报告证明）</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7.LCD 广告屏：采用不小于18寸的 LCD 显示屏，可播放视频广告和图片广告、车辆照片识别结果、收费金额、二维码、限行提示、物业信息等；</w:t>
            </w:r>
          </w:p>
          <w:p>
            <w:pPr>
              <w:widowControl/>
              <w:jc w:val="left"/>
              <w:textAlignment w:val="center"/>
              <w:rPr>
                <w:rFonts w:hint="eastAsia" w:ascii="宋体" w:hAnsi="宋体" w:eastAsia="宋体" w:cs="宋体"/>
                <w:b/>
                <w:bCs/>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8.从车辆身份信息确认放行到挡车器开启的响应时间≤1s</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9.LCD屏的彩色水平分辨率不应低于500TVL；彩色灰度等级不低于10级；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10.当电源不正常、掉电时，系统设备的授权信息、设备配置信息及记录信息不得丢失。</w:t>
            </w:r>
          </w:p>
          <w:p>
            <w:pPr>
              <w:widowControl/>
              <w:jc w:val="left"/>
              <w:textAlignment w:val="center"/>
              <w:rPr>
                <w:rFonts w:hint="eastAsia" w:ascii="宋体" w:hAnsi="宋体" w:eastAsia="宋体" w:cs="宋体"/>
                <w:b w:val="0"/>
                <w:bCs w:val="0"/>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11.一体机应具有阻燃功能：非金属外壳的出入口控制设备，其外壳应能阻燃。经火焰烧5次，每次5s不应烧着起火</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12.一体机电动机运转应有过负荷保护功能，包括过流保护、过压保护等，但不应仅使用熔断型保险丝实现保护。当出入口控制设备执行启闭动作的电动或电磁等部件短路时，进行任何开启、关闭操作都不得导致电源损坏，允许更换保险装置；</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高速车牌识别道闸一体机伴侣</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1.高速车牌识别道闸一体机集成实时识别高清摄像机、LCD 显示屏、闪光灯等为一体。可在各种光线、天气、道路等环境下应用；</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2.车牌识别率稳定在 99% 以上；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3.金色或银色外观，美观大方；</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4.LCD 屏既可扫码付，可播放广告</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半球摄像机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1.400万海螺型网络摄像机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2.传感器类型：1/2.7" Progressive Scan CMOS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bCs/>
                <w:color w:val="FF0000"/>
                <w:kern w:val="0"/>
                <w:sz w:val="21"/>
                <w:szCs w:val="21"/>
              </w:rPr>
              <w:t>3. 最大分辨率均不小于2560*1440</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 最低照度：彩色：0.005 Lux @（F1.2, AGC ON），0 Lux with IR</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 宽动态：数字宽动态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6.红外波长范围：850 nm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 防补光过曝：支持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 补光灯类型：红外灯</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 补光距离：最远可达30 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10.视频压缩标准：主码流：H.265/H.264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11.子码流：H.265/H.264/MJPEG</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12.音频：1个内置麦克风</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 网络：1个RJ45 10 M/100 M自适应以太网口</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14.防护：IP66</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枪式摄像机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1.400万白光全彩筒型网络摄像机</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2.传感器类型：1/2.7" Progressive Scan CMOS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 最低照度：彩色：0.005 Lux @（F1.2，AGC ON），0 Lux with Light</w:t>
            </w:r>
          </w:p>
          <w:p>
            <w:pPr>
              <w:widowControl/>
              <w:jc w:val="left"/>
              <w:textAlignment w:val="center"/>
              <w:rPr>
                <w:rFonts w:hint="eastAsia" w:ascii="宋体" w:hAnsi="宋体" w:eastAsia="宋体" w:cs="宋体"/>
                <w:b/>
                <w:bCs/>
                <w:color w:val="FF0000"/>
                <w:kern w:val="0"/>
                <w:sz w:val="21"/>
                <w:szCs w:val="21"/>
              </w:rPr>
            </w:pPr>
            <w:r>
              <w:rPr>
                <w:rFonts w:hint="eastAsia" w:ascii="宋体" w:hAnsi="宋体" w:eastAsia="宋体" w:cs="宋体"/>
                <w:b/>
                <w:bCs/>
                <w:color w:val="FF0000"/>
                <w:kern w:val="0"/>
                <w:sz w:val="21"/>
                <w:szCs w:val="21"/>
              </w:rPr>
              <w:t>4. 最大分辨率均不小于2560*1440</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 宽动态：数字宽动态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 防补光过曝：支持</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 补光灯类型：智能补光，可切换白光灯、红外灯</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 补光距离：红外光最远可达30 m，白光最远可达30 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9.视频压缩标准：主码流：H.265/H.264</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10.子码流：H.265/H.264/MJPEG</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11.音频：1个内置麦克风</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12.防护：IP67</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40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球机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r>
              <w:rPr>
                <w:rFonts w:hint="eastAsia" w:ascii="宋体" w:hAnsi="宋体" w:eastAsia="宋体" w:cs="宋体"/>
                <w:b w:val="0"/>
                <w:bCs w:val="0"/>
                <w:kern w:val="0"/>
                <w:sz w:val="21"/>
                <w:szCs w:val="21"/>
                <w:lang w:val="en-US" w:eastAsia="zh-CN"/>
              </w:rPr>
              <w:t>400万高清球机，</w:t>
            </w:r>
            <w:r>
              <w:rPr>
                <w:rFonts w:hint="eastAsia" w:ascii="宋体" w:hAnsi="宋体" w:eastAsia="宋体" w:cs="宋体"/>
                <w:b w:val="0"/>
                <w:bCs w:val="0"/>
                <w:kern w:val="0"/>
                <w:sz w:val="21"/>
                <w:szCs w:val="21"/>
              </w:rPr>
              <w:t>设备内置不少于2个全景通道和1个细节通道，最大分辨率均不小于2560*1440。</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2.支持最低照度可达彩色0.0002lx，黑白0.0001lx。</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3.全景靶面尺寸不小于1/1.8英寸。</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4.全景通道1、2支持不小于4倍光学变倍，细节通道支持不小于25倍光学变倍。</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5.全景通道1、2：支持水平：0°-190°，垂直-5°-30°，细节通道：水平：0°-340°垂直：-10°-90°，全景通道1，全景通道2和细节通道可分别进行水平垂直方向调节，全景通道1进行水平，垂直调节时，全景通道2可保持不动，全景通道1和全景通道2进行水平调节时，细节摄像机可保持不动。</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6.设备支持不少于300个预置位，可按照所设置的预置位设置不少于8条巡航路径，具有预置位视频冻结功能。</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7.支持H.264、H.265、MJPEG视频编码格式，且具有High Profile编码能力。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8.支持开启白光灯时：2个全景和1个细节通道均可抓拍20m处人脸，开启红外灯时：2个全景和1个细节通道均可识别200m处的人体。</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9.设备支持智能配置示例功能，智能配置界面具备每一步的配置示例。示例中包括检测区域和检测线标识，并具备最小瞳距和规则区域的注释。</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10.支持2个全景通道和1个细节通道分别或同时对行人、非机动车、机动车进行检测、跟随、抓拍，可支持人脸、车牌、非机动车车牌抠图，可将人脸与人体、车牌与车辆关联显示。</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11.样机具有双安装接口，一个为快速旋转安装接口，一个为多孔稳定安装接口。</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12.支持联动功能，全景通道下，触发区域入侵、越界、进入区域、离开区域等事件，且开启细节通道的联动抓拍功能时，可联动细节摄像机进行目标跟随。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13.全景通道1和全景通道2分别支持smart事件和全结构化模式，细节通道支持smart事件、全结构化和普通监控模式。全景通道1、全景通道2和细节通道智能功能可以任意选择并保存生效。</w:t>
            </w:r>
          </w:p>
          <w:p>
            <w:pPr>
              <w:widowControl/>
              <w:jc w:val="left"/>
              <w:textAlignment w:val="center"/>
              <w:rPr>
                <w:rFonts w:hint="eastAsia" w:ascii="宋体" w:hAnsi="宋体" w:eastAsia="宋体" w:cs="宋体"/>
                <w:b/>
                <w:bCs/>
                <w:kern w:val="0"/>
                <w:sz w:val="21"/>
                <w:szCs w:val="21"/>
              </w:rPr>
            </w:pPr>
            <w:r>
              <w:rPr>
                <w:rFonts w:hint="eastAsia" w:ascii="Calibri" w:hAnsi="Calibri" w:eastAsia="仿宋" w:cs="Times New Roman"/>
                <w:b/>
                <w:bCs/>
                <w:snapToGrid w:val="0"/>
                <w:color w:val="auto"/>
                <w:spacing w:val="0"/>
                <w:kern w:val="0"/>
                <w:sz w:val="24"/>
                <w:szCs w:val="24"/>
                <w:highlight w:val="none"/>
                <w:lang w:val="en-US" w:eastAsia="zh-CN"/>
              </w:rPr>
              <w:t>*</w:t>
            </w:r>
            <w:r>
              <w:rPr>
                <w:rFonts w:hint="eastAsia" w:ascii="宋体" w:hAnsi="宋体" w:eastAsia="宋体" w:cs="宋体"/>
                <w:b w:val="0"/>
                <w:bCs w:val="0"/>
                <w:kern w:val="0"/>
                <w:sz w:val="21"/>
                <w:szCs w:val="21"/>
              </w:rPr>
              <w:t>14.设备镜头防护玻璃呈倾斜状，可改变射向镜头的光束的反射光方向；在天气晴朗无雾、辅助照明光照度低的条件下，摄像机镜头前方出现机动车或非机动车补光灯、手机补光灯、手电筒补光灯时，可降低反射光斑对视频画面的影响。</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15.支持通过IE浏览器设置闪光灯闪烁时间1~300可设；闪烁频率高中低、常亮可设；亮度0~100可设；可通过区域入侵侦测、越界侦测、进入区域侦测、离开区域侦测等报警事件联动白光灯闪光报警。</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16.设备支持不少于7路报警输入，不少于2路报警输出，不少于1路音频输入，不少于1路音频输出，不少于1个SD卡槽，不少于1个RJ45网口，不少于1个485接口。</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19</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8口接入交换机</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1.提供不少于8个千兆电口</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2.交换容量：≥16 Gbps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3.包转发率：≥11.90 Mpps</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4.浪涌防护：网口6 kV</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5.千兆网络接入设计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6.线速转发、无阻塞设计</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7.存储转发交换方式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8.坚固式高强度金属外壳</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9.无风扇设计，高可靠性</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10.工作温度：0 °C ~ 40 °C</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11.安装方式：桌面式可壁挂</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网线</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1.6类网线。</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箱</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电源线1</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1.rvv-2*1.0</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电源线2</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1.rvv-3*1.5</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23</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室外光纤</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1.4芯室外单模光纤。外护套材料：聚乙烯（PE）</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24</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光纤收发器</w:t>
            </w:r>
          </w:p>
        </w:tc>
        <w:tc>
          <w:tcPr>
            <w:tcW w:w="2573" w:type="pct"/>
            <w:noWrap w:val="0"/>
            <w:vAlign w:val="center"/>
          </w:tcPr>
          <w:p>
            <w:pPr>
              <w:keepNext w:val="0"/>
              <w:keepLines w:val="0"/>
              <w:pageBreakBefore w:val="0"/>
              <w:widowControl/>
              <w:kinsoku/>
              <w:wordWrap w:val="0"/>
              <w:overflowPunct/>
              <w:topLinePunct w:val="0"/>
              <w:autoSpaceDE/>
              <w:autoSpaceDN/>
              <w:bidi w:val="0"/>
              <w:adjustRightInd/>
              <w:snapToGrid/>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1.能够自动兼容IEEE802.3IEEE802.3U和IEEE802.3X等网络协议；</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2.支持全双工和半双工传输模式，并带有自动协商能力；</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3.符合电信级运营标准，平均无故障工作不低于10万小时；</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4、IPC接入距离最大支持250米。</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5、支持一键划分VLAN，阻断下联端口间相互通讯。</w:t>
            </w:r>
          </w:p>
          <w:p>
            <w:pPr>
              <w:widowControl/>
              <w:jc w:val="left"/>
              <w:textAlignment w:val="center"/>
              <w:rPr>
                <w:rFonts w:hint="eastAsia" w:ascii="宋体" w:hAnsi="宋体" w:eastAsia="宋体" w:cs="宋体"/>
                <w:b w:val="0"/>
                <w:bCs w:val="0"/>
                <w:kern w:val="0"/>
                <w:sz w:val="21"/>
                <w:szCs w:val="21"/>
              </w:rPr>
            </w:pPr>
            <w:r>
              <w:rPr>
                <w:rFonts w:hint="eastAsia" w:ascii="Calibri" w:hAnsi="Calibri" w:eastAsia="宋体" w:cs="Times New Roman"/>
                <w:szCs w:val="22"/>
                <w:lang w:val="en-US" w:eastAsia="zh-CN"/>
              </w:rPr>
              <w:t xml:space="preserve">* </w:t>
            </w:r>
            <w:r>
              <w:rPr>
                <w:rFonts w:hint="eastAsia" w:ascii="宋体" w:hAnsi="宋体" w:eastAsia="宋体" w:cs="宋体"/>
                <w:b w:val="0"/>
                <w:bCs w:val="0"/>
                <w:kern w:val="0"/>
                <w:sz w:val="21"/>
                <w:szCs w:val="21"/>
              </w:rPr>
              <w:t>6、支持CBIT智能视频优化技术，确保流畅的高品质视频传输。</w:t>
            </w:r>
            <w:r>
              <w:rPr>
                <w:rFonts w:hint="eastAsia" w:ascii="宋体" w:hAnsi="宋体" w:eastAsia="宋体" w:cs="宋体"/>
                <w:b/>
                <w:bCs/>
                <w:kern w:val="0"/>
                <w:sz w:val="21"/>
                <w:szCs w:val="21"/>
              </w:rPr>
              <w:t>（提供经CMA或CAL或CNAS认证的</w:t>
            </w:r>
            <w:r>
              <w:rPr>
                <w:rFonts w:hint="eastAsia" w:ascii="宋体" w:hAnsi="宋体" w:eastAsia="宋体" w:cs="宋体"/>
                <w:b/>
                <w:bCs/>
                <w:kern w:val="0"/>
                <w:sz w:val="21"/>
                <w:szCs w:val="21"/>
                <w:lang w:val="en-US" w:eastAsia="zh-CN"/>
              </w:rPr>
              <w:t>第</w:t>
            </w:r>
            <w:r>
              <w:rPr>
                <w:rFonts w:hint="eastAsia" w:ascii="宋体" w:hAnsi="宋体" w:eastAsia="宋体" w:cs="宋体"/>
                <w:b/>
                <w:bCs/>
                <w:kern w:val="0"/>
                <w:sz w:val="21"/>
                <w:szCs w:val="21"/>
              </w:rPr>
              <w:t>三方检测检验机构出具的检测报告扫描件）</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7、工作温度：-20~70°C。</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对</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二合一防雷器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1.电源线路最大放电电流：10KA；</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2.标称放电电流：5KA；</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3.最大负载电流（A）：10A，接口类型：端子；</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4.额定工作电压：5V，最大持续运行电压：8V，电压保护水平（Up）：&lt;30V，响应时间≤1nS，传输速率：100M；</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5.接口类型：RJ45；</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6.工作温度：-25～＋70℃；</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26</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室外防水箱</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1.室外防水箱，定制</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27</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监控立杆</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1.类型：悬臂式</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2.其他：含开挖回填、含地垄、混凝土、接地桩等</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根</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28</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PE管</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1.PE管φ32</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1500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米</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29</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服务器机柜</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1.机柜材质：SPCC优质冷轧钢板</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2.颜色：黑色</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3.门板类型：金属网孔门</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ascii="Arial" w:hAnsi="Arial" w:eastAsia="宋体" w:cs="Arial"/>
                <w:i w:val="0"/>
                <w:iCs w:val="0"/>
                <w:caps w:val="0"/>
                <w:color w:val="333333"/>
                <w:spacing w:val="0"/>
                <w:sz w:val="19"/>
                <w:szCs w:val="19"/>
                <w:shd w:val="clear" w:fill="FFFFFF"/>
              </w:rPr>
              <w:t>空气调节器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1.5P柜式；</w:t>
            </w:r>
          </w:p>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2.制热量≥13000W；</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3.制冷量≥12000W</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台</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bCs/>
                <w:snapToGrid w:val="0"/>
                <w:color w:val="auto"/>
                <w:spacing w:val="0"/>
                <w:kern w:val="0"/>
                <w:sz w:val="21"/>
                <w:szCs w:val="21"/>
                <w:highlight w:val="none"/>
                <w:lang w:val="en-US" w:eastAsia="zh-CN"/>
              </w:rPr>
              <w:t>是</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31</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车辆闸机遥控器</w:t>
            </w:r>
          </w:p>
        </w:tc>
        <w:tc>
          <w:tcPr>
            <w:tcW w:w="2573" w:type="pct"/>
            <w:noWrap w:val="0"/>
            <w:vAlign w:val="center"/>
          </w:tcPr>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车辆抓拍一体机配套遥控器，遥控器可拨码。</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rPr>
            </w:pPr>
            <w:r>
              <w:rPr>
                <w:rFonts w:hint="eastAsia" w:ascii="宋体" w:hAnsi="宋体" w:eastAsia="宋体" w:cs="宋体"/>
                <w:b w:val="0"/>
                <w:bCs w:val="0"/>
                <w:snapToGrid w:val="0"/>
                <w:color w:val="auto"/>
                <w:spacing w:val="0"/>
                <w:kern w:val="0"/>
                <w:sz w:val="21"/>
                <w:szCs w:val="21"/>
                <w:highlight w:val="none"/>
                <w:lang w:val="en-US" w:eastAsia="zh-CN"/>
              </w:rPr>
              <w:t>32</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门禁闸机遥控器</w:t>
            </w:r>
          </w:p>
        </w:tc>
        <w:tc>
          <w:tcPr>
            <w:tcW w:w="2573" w:type="pct"/>
            <w:noWrap w:val="0"/>
            <w:vAlign w:val="center"/>
          </w:tcPr>
          <w:p>
            <w:pPr>
              <w:widowControl/>
              <w:jc w:val="left"/>
              <w:textAlignment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1.支持一对一和一对多对码模式，默认为一对一模式遥控器包含4个按键，分别对应进开门、关门、出开门、常开关门按键长按10s即可进入对码模式，对码成功后指示灯将慢闪3秒。</w:t>
            </w:r>
          </w:p>
          <w:p>
            <w:pPr>
              <w:widowControl/>
              <w:jc w:val="left"/>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2.支持通过组合键进行模式切换：先按“常开”按钮，马上再按“关门”按钮，同时按住保持3秒。切换成功后指示灯将常亮3秒</w:t>
            </w:r>
          </w:p>
        </w:tc>
        <w:tc>
          <w:tcPr>
            <w:tcW w:w="250"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10</w:t>
            </w:r>
          </w:p>
        </w:tc>
        <w:tc>
          <w:tcPr>
            <w:tcW w:w="211" w:type="pct"/>
            <w:noWrap w:val="0"/>
            <w:vAlign w:val="center"/>
          </w:tcPr>
          <w:p>
            <w:pPr>
              <w:widowControl/>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个</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3"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工业</w:t>
            </w:r>
          </w:p>
        </w:tc>
        <w:tc>
          <w:tcPr>
            <w:tcW w:w="315"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lang w:val="en-US" w:eastAsia="zh-CN" w:bidi="ar-SA"/>
              </w:rPr>
            </w:pPr>
            <w:r>
              <w:rPr>
                <w:rFonts w:hint="eastAsia" w:ascii="宋体" w:hAnsi="宋体" w:eastAsia="宋体" w:cs="宋体"/>
                <w:b w:val="0"/>
                <w:bCs w:val="0"/>
                <w:snapToGrid w:val="0"/>
                <w:color w:val="auto"/>
                <w:spacing w:val="0"/>
                <w:kern w:val="0"/>
                <w:sz w:val="21"/>
                <w:szCs w:val="21"/>
                <w:highlight w:val="none"/>
                <w:lang w:val="en-US" w:eastAsia="zh-CN"/>
              </w:rPr>
              <w:t>货物</w:t>
            </w:r>
          </w:p>
        </w:tc>
        <w:tc>
          <w:tcPr>
            <w:tcW w:w="211" w:type="pct"/>
            <w:noWrap w:val="0"/>
            <w:vAlign w:val="center"/>
          </w:tcPr>
          <w:p>
            <w:pPr>
              <w:keepNext w:val="0"/>
              <w:keepLines w:val="0"/>
              <w:pageBreakBefore w:val="0"/>
              <w:widowControl w:val="0"/>
              <w:kinsoku/>
              <w:wordWrap w:val="0"/>
              <w:overflowPunct/>
              <w:topLinePunct/>
              <w:autoSpaceDE/>
              <w:autoSpaceDN/>
              <w:bidi w:val="0"/>
              <w:adjustRightInd w:val="0"/>
              <w:snapToGrid w:val="0"/>
              <w:spacing w:line="360" w:lineRule="auto"/>
              <w:jc w:val="center"/>
              <w:rPr>
                <w:rFonts w:hint="eastAsia" w:ascii="宋体" w:hAnsi="宋体" w:eastAsia="宋体" w:cs="宋体"/>
                <w:b w:val="0"/>
                <w:bCs w:val="0"/>
                <w:snapToGrid w:val="0"/>
                <w:color w:val="auto"/>
                <w:spacing w:val="0"/>
                <w:kern w:val="0"/>
                <w:sz w:val="21"/>
                <w:szCs w:val="21"/>
                <w:highlight w:val="none"/>
              </w:rPr>
            </w:pPr>
          </w:p>
        </w:tc>
      </w:tr>
    </w:tbl>
    <w:p>
      <w:pPr>
        <w:rPr>
          <w:rFonts w:ascii="宋体" w:hAnsi="宋体" w:eastAsia="宋体" w:cs="宋体"/>
          <w:kern w:val="0"/>
          <w:sz w:val="24"/>
          <w:szCs w:val="24"/>
        </w:rPr>
      </w:pPr>
    </w:p>
    <w:p>
      <w:pPr>
        <w:keepNext w:val="0"/>
        <w:keepLines w:val="0"/>
        <w:pageBreakBefore w:val="0"/>
        <w:widowControl w:val="0"/>
        <w:kinsoku/>
        <w:wordWrap w:val="0"/>
        <w:overflowPunct/>
        <w:topLinePunct/>
        <w:autoSpaceDE/>
        <w:autoSpaceDN/>
        <w:bidi w:val="0"/>
        <w:adjustRightInd w:val="0"/>
        <w:snapToGrid w:val="0"/>
        <w:jc w:val="both"/>
        <w:rPr>
          <w:rFonts w:ascii="Times New Roman" w:hAnsi="Times New Roman" w:eastAsia="仿宋" w:cs="Times New Roman"/>
          <w:i w:val="0"/>
          <w:iCs w:val="0"/>
          <w:snapToGrid w:val="0"/>
          <w:color w:val="auto"/>
          <w:spacing w:val="0"/>
          <w:kern w:val="0"/>
          <w:sz w:val="24"/>
          <w:szCs w:val="24"/>
          <w:highlight w:val="none"/>
          <w:lang w:val="en-US" w:eastAsia="zh-CN" w:bidi="ar-SA"/>
        </w:rPr>
      </w:pPr>
      <w:r>
        <w:rPr>
          <w:rFonts w:hint="eastAsia" w:ascii="Times New Roman" w:hAnsi="Times New Roman" w:eastAsia="仿宋" w:cs="Times New Roman"/>
          <w:b/>
          <w:bCs/>
          <w:i w:val="0"/>
          <w:iCs w:val="0"/>
          <w:snapToGrid w:val="0"/>
          <w:color w:val="auto"/>
          <w:spacing w:val="0"/>
          <w:kern w:val="0"/>
          <w:sz w:val="24"/>
          <w:szCs w:val="24"/>
          <w:highlight w:val="none"/>
          <w:lang w:val="en-US" w:eastAsia="zh-CN" w:bidi="ar-SA"/>
        </w:rPr>
        <w:t>注：</w:t>
      </w:r>
      <w:r>
        <w:rPr>
          <w:rFonts w:ascii="Times New Roman" w:hAnsi="Times New Roman" w:eastAsia="仿宋" w:cs="Times New Roman"/>
          <w:b/>
          <w:bCs/>
          <w:i w:val="0"/>
          <w:iCs w:val="0"/>
          <w:snapToGrid w:val="0"/>
          <w:color w:val="auto"/>
          <w:spacing w:val="0"/>
          <w:kern w:val="0"/>
          <w:sz w:val="24"/>
          <w:szCs w:val="24"/>
          <w:highlight w:val="none"/>
          <w:lang w:val="en-US" w:eastAsia="zh-CN" w:bidi="ar-SA"/>
        </w:rPr>
        <w:t>清单内</w:t>
      </w:r>
      <w:r>
        <w:rPr>
          <w:rFonts w:hint="eastAsia" w:ascii="Times New Roman" w:hAnsi="Times New Roman" w:eastAsia="仿宋" w:cs="Times New Roman"/>
          <w:b/>
          <w:bCs/>
          <w:i w:val="0"/>
          <w:iCs w:val="0"/>
          <w:snapToGrid w:val="0"/>
          <w:color w:val="auto"/>
          <w:spacing w:val="0"/>
          <w:kern w:val="0"/>
          <w:sz w:val="24"/>
          <w:szCs w:val="24"/>
          <w:highlight w:val="none"/>
          <w:lang w:val="en-US" w:eastAsia="zh-CN" w:bidi="ar-SA"/>
        </w:rPr>
        <w:t>列为</w:t>
      </w:r>
      <w:r>
        <w:rPr>
          <w:rFonts w:ascii="Times New Roman" w:hAnsi="Times New Roman" w:eastAsia="仿宋" w:cs="Times New Roman"/>
          <w:b/>
          <w:bCs/>
          <w:i w:val="0"/>
          <w:iCs w:val="0"/>
          <w:snapToGrid w:val="0"/>
          <w:color w:val="auto"/>
          <w:spacing w:val="0"/>
          <w:kern w:val="0"/>
          <w:sz w:val="24"/>
          <w:szCs w:val="24"/>
          <w:highlight w:val="none"/>
          <w:lang w:val="en-US" w:eastAsia="zh-CN" w:bidi="ar-SA"/>
        </w:rPr>
        <w:t>强制采购类节能产品</w:t>
      </w:r>
      <w:r>
        <w:rPr>
          <w:rFonts w:hint="eastAsia" w:ascii="Times New Roman" w:hAnsi="Times New Roman" w:eastAsia="仿宋" w:cs="Times New Roman"/>
          <w:b/>
          <w:bCs/>
          <w:i w:val="0"/>
          <w:iCs w:val="0"/>
          <w:snapToGrid w:val="0"/>
          <w:color w:val="auto"/>
          <w:spacing w:val="0"/>
          <w:kern w:val="0"/>
          <w:sz w:val="24"/>
          <w:szCs w:val="24"/>
          <w:highlight w:val="none"/>
          <w:lang w:val="en-US" w:eastAsia="zh-CN" w:bidi="ar-SA"/>
        </w:rPr>
        <w:t>，供应商</w:t>
      </w:r>
      <w:r>
        <w:rPr>
          <w:rFonts w:ascii="Times New Roman" w:hAnsi="Times New Roman" w:eastAsia="仿宋" w:cs="Times New Roman"/>
          <w:b/>
          <w:bCs/>
          <w:i w:val="0"/>
          <w:iCs w:val="0"/>
          <w:snapToGrid w:val="0"/>
          <w:color w:val="auto"/>
          <w:spacing w:val="0"/>
          <w:kern w:val="0"/>
          <w:sz w:val="24"/>
          <w:szCs w:val="24"/>
          <w:highlight w:val="none"/>
          <w:lang w:val="en-US" w:eastAsia="zh-CN" w:bidi="ar-SA"/>
        </w:rPr>
        <w:t>须提供中国政府采购网查询截图或经市场监管总局《参与实施政府采购节能产品认证机构名录》中认证机构出具的有效节能产品认证证书，否则按无效投标处理。</w:t>
      </w:r>
    </w:p>
    <w:p>
      <w:pPr>
        <w:keepNext w:val="0"/>
        <w:keepLines w:val="0"/>
        <w:pageBreakBefore w:val="0"/>
        <w:widowControl w:val="0"/>
        <w:kinsoku/>
        <w:wordWrap w:val="0"/>
        <w:overflowPunct/>
        <w:topLinePunct/>
        <w:autoSpaceDE/>
        <w:autoSpaceDN/>
        <w:bidi w:val="0"/>
        <w:adjustRightInd w:val="0"/>
        <w:snapToGrid w:val="0"/>
        <w:ind w:firstLine="470" w:firstLineChars="196"/>
        <w:jc w:val="center"/>
        <w:rPr>
          <w:rFonts w:ascii="Times New Roman" w:hAnsi="Times New Roman" w:eastAsia="仿宋" w:cs="Times New Roman"/>
          <w:snapToGrid w:val="0"/>
          <w:color w:val="auto"/>
          <w:spacing w:val="0"/>
          <w:kern w:val="0"/>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240" w:lineRule="auto"/>
        <w:jc w:val="left"/>
        <w:outlineLvl w:val="9"/>
        <w:rPr>
          <w:rFonts w:ascii="Calibri" w:hAnsi="Calibri" w:eastAsia="宋体" w:cs="Times New Roman"/>
          <w:szCs w:val="22"/>
        </w:rPr>
      </w:pPr>
    </w:p>
    <w:p>
      <w:pPr>
        <w:keepNext w:val="0"/>
        <w:keepLines w:val="0"/>
        <w:pageBreakBefore w:val="0"/>
        <w:widowControl/>
        <w:kinsoku/>
        <w:wordWrap/>
        <w:overflowPunct/>
        <w:topLinePunct w:val="0"/>
        <w:autoSpaceDE/>
        <w:autoSpaceDN/>
        <w:bidi w:val="0"/>
        <w:adjustRightInd/>
        <w:snapToGrid/>
        <w:spacing w:line="240" w:lineRule="auto"/>
        <w:jc w:val="left"/>
        <w:outlineLvl w:val="9"/>
        <w:rPr>
          <w:rFonts w:ascii="Calibri" w:hAnsi="Calibri" w:eastAsia="宋体" w:cs="Times New Roman"/>
          <w:szCs w:val="22"/>
        </w:rPr>
      </w:pPr>
    </w:p>
    <w:p>
      <w:pPr>
        <w:keepNext w:val="0"/>
        <w:keepLines w:val="0"/>
        <w:pageBreakBefore w:val="0"/>
        <w:widowControl w:val="0"/>
        <w:kinsoku/>
        <w:wordWrap w:val="0"/>
        <w:overflowPunct/>
        <w:topLinePunct/>
        <w:autoSpaceDE/>
        <w:autoSpaceDN/>
        <w:bidi w:val="0"/>
        <w:adjustRightInd w:val="0"/>
        <w:snapToGrid w:val="0"/>
        <w:spacing w:line="360" w:lineRule="auto"/>
        <w:jc w:val="center"/>
        <w:outlineLvl w:val="2"/>
        <w:rPr>
          <w:rFonts w:ascii="Times New Roman" w:hAnsi="Times New Roman" w:eastAsia="仿宋" w:cs="Times New Roman"/>
          <w:snapToGrid w:val="0"/>
          <w:color w:val="auto"/>
          <w:spacing w:val="0"/>
          <w:kern w:val="0"/>
          <w:sz w:val="24"/>
          <w:szCs w:val="24"/>
          <w:highlight w:val="none"/>
        </w:rPr>
      </w:pPr>
      <w:r>
        <w:rPr>
          <w:rFonts w:ascii="Times New Roman" w:hAnsi="Times New Roman" w:eastAsia="仿宋" w:cs="Times New Roman"/>
          <w:b/>
          <w:snapToGrid w:val="0"/>
          <w:color w:val="auto"/>
          <w:spacing w:val="0"/>
          <w:kern w:val="0"/>
          <w:sz w:val="28"/>
          <w:szCs w:val="28"/>
          <w:highlight w:val="none"/>
        </w:rPr>
        <w:t>本项目核心产品一览表</w:t>
      </w:r>
    </w:p>
    <w:tbl>
      <w:tblPr>
        <w:tblStyle w:val="2"/>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ascii="Times New Roman" w:hAnsi="Times New Roman" w:eastAsia="仿宋" w:cs="Times New Roman"/>
                <w:snapToGrid w:val="0"/>
                <w:color w:val="auto"/>
                <w:spacing w:val="0"/>
                <w:kern w:val="0"/>
                <w:szCs w:val="22"/>
                <w:highlight w:val="none"/>
              </w:rPr>
            </w:pPr>
            <w:r>
              <w:rPr>
                <w:rFonts w:ascii="Times New Roman" w:hAnsi="Times New Roman" w:eastAsia="仿宋" w:cs="Times New Roman"/>
                <w:snapToGrid w:val="0"/>
                <w:color w:val="auto"/>
                <w:spacing w:val="0"/>
                <w:kern w:val="0"/>
                <w:szCs w:val="22"/>
                <w:highlight w:val="none"/>
              </w:rPr>
              <w:t>序号</w:t>
            </w:r>
          </w:p>
        </w:tc>
        <w:tc>
          <w:tcPr>
            <w:tcW w:w="6106"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val="0"/>
              <w:kinsoku/>
              <w:wordWrap w:val="0"/>
              <w:overflowPunct/>
              <w:topLinePunct/>
              <w:autoSpaceDE/>
              <w:autoSpaceDN/>
              <w:bidi w:val="0"/>
              <w:adjustRightInd w:val="0"/>
              <w:snapToGrid w:val="0"/>
              <w:jc w:val="center"/>
              <w:rPr>
                <w:rFonts w:ascii="Times New Roman" w:hAnsi="Times New Roman" w:eastAsia="仿宋" w:cs="Times New Roman"/>
                <w:snapToGrid w:val="0"/>
                <w:color w:val="auto"/>
                <w:spacing w:val="0"/>
                <w:kern w:val="0"/>
                <w:szCs w:val="22"/>
                <w:highlight w:val="none"/>
              </w:rPr>
            </w:pPr>
            <w:r>
              <w:rPr>
                <w:rFonts w:ascii="Times New Roman" w:hAnsi="Times New Roman" w:eastAsia="仿宋" w:cs="Times New Roman"/>
                <w:snapToGrid w:val="0"/>
                <w:color w:val="auto"/>
                <w:spacing w:val="0"/>
                <w:kern w:val="0"/>
                <w:szCs w:val="22"/>
                <w:highlight w:val="none"/>
              </w:rPr>
              <w:t>核心产品名称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center"/>
              <w:rPr>
                <w:rFonts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rPr>
              <w:t>11</w:t>
            </w:r>
          </w:p>
        </w:tc>
        <w:tc>
          <w:tcPr>
            <w:tcW w:w="6106" w:type="dxa"/>
            <w:tcBorders>
              <w:top w:val="outset" w:color="auto" w:sz="6" w:space="0"/>
              <w:left w:val="outset" w:color="auto" w:sz="6" w:space="0"/>
              <w:bottom w:val="outset" w:color="auto" w:sz="6" w:space="0"/>
              <w:right w:val="outset" w:color="auto" w:sz="6" w:space="0"/>
            </w:tcBorders>
            <w:noWrap w:val="0"/>
            <w:vAlign w:val="top"/>
          </w:tcPr>
          <w:p>
            <w:pPr>
              <w:widowControl/>
              <w:spacing w:line="360" w:lineRule="auto"/>
              <w:jc w:val="center"/>
              <w:rPr>
                <w:rFonts w:ascii="宋体" w:hAnsi="宋体" w:eastAsia="宋体" w:cs="宋体"/>
                <w:color w:val="000000"/>
                <w:kern w:val="0"/>
                <w:sz w:val="24"/>
                <w:szCs w:val="22"/>
                <w:lang w:val="en-US" w:eastAsia="zh-CN" w:bidi="ar-SA"/>
              </w:rPr>
            </w:pPr>
            <w:r>
              <w:rPr>
                <w:rFonts w:hint="eastAsia" w:ascii="宋体" w:hAnsi="宋体" w:eastAsia="宋体" w:cs="宋体"/>
                <w:color w:val="000000"/>
                <w:kern w:val="0"/>
                <w:sz w:val="24"/>
                <w:szCs w:val="22"/>
              </w:rPr>
              <w:t>▲人脸识别门禁中间机</w:t>
            </w:r>
          </w:p>
        </w:tc>
      </w:tr>
    </w:tbl>
    <w:p>
      <w:pPr>
        <w:keepNext w:val="0"/>
        <w:keepLines w:val="0"/>
        <w:pageBreakBefore w:val="0"/>
        <w:widowControl w:val="0"/>
        <w:kinsoku/>
        <w:wordWrap w:val="0"/>
        <w:overflowPunct/>
        <w:topLinePunct/>
        <w:autoSpaceDE/>
        <w:autoSpaceDN/>
        <w:bidi w:val="0"/>
        <w:adjustRightInd w:val="0"/>
        <w:snapToGrid w:val="0"/>
        <w:ind w:firstLine="470" w:firstLineChars="196"/>
        <w:jc w:val="center"/>
        <w:rPr>
          <w:rFonts w:ascii="Times New Roman" w:hAnsi="Times New Roman" w:eastAsia="仿宋" w:cs="Times New Roman"/>
          <w:snapToGrid w:val="0"/>
          <w:color w:val="auto"/>
          <w:spacing w:val="0"/>
          <w:kern w:val="0"/>
          <w:sz w:val="24"/>
          <w:szCs w:val="24"/>
          <w:highlight w:val="none"/>
          <w:lang w:val="en-US" w:eastAsia="zh-CN" w:bidi="ar-SA"/>
        </w:rPr>
      </w:pPr>
    </w:p>
    <w:p>
      <w:pPr>
        <w:keepNext w:val="0"/>
        <w:keepLines w:val="0"/>
        <w:pageBreakBefore w:val="0"/>
        <w:widowControl w:val="0"/>
        <w:kinsoku/>
        <w:wordWrap w:val="0"/>
        <w:overflowPunct/>
        <w:topLinePunct/>
        <w:autoSpaceDE/>
        <w:autoSpaceDN/>
        <w:bidi w:val="0"/>
        <w:adjustRightInd w:val="0"/>
        <w:snapToGrid w:val="0"/>
        <w:ind w:firstLine="470" w:firstLineChars="196"/>
        <w:jc w:val="both"/>
        <w:rPr>
          <w:rFonts w:ascii="Times New Roman" w:hAnsi="Times New Roman" w:eastAsia="仿宋" w:cs="Times New Roman"/>
          <w:snapToGrid w:val="0"/>
          <w:color w:val="auto"/>
          <w:spacing w:val="0"/>
          <w:kern w:val="0"/>
          <w:sz w:val="24"/>
          <w:szCs w:val="24"/>
          <w:highlight w:val="none"/>
          <w:lang w:val="en-US" w:eastAsia="zh-CN" w:bidi="ar-SA"/>
        </w:rPr>
      </w:pPr>
      <w:r>
        <w:rPr>
          <w:rFonts w:ascii="Times New Roman" w:hAnsi="Times New Roman" w:eastAsia="仿宋" w:cs="Times New Roman"/>
          <w:snapToGrid w:val="0"/>
          <w:color w:val="auto"/>
          <w:spacing w:val="0"/>
          <w:kern w:val="0"/>
          <w:sz w:val="24"/>
          <w:szCs w:val="24"/>
          <w:highlight w:val="none"/>
          <w:lang w:val="en-US" w:eastAsia="zh-CN" w:bidi="ar-SA"/>
        </w:rPr>
        <w:t>备注：1.本表序号为采购需求一览表中对应的产品序号；</w:t>
      </w:r>
    </w:p>
    <w:p>
      <w:pPr>
        <w:keepNext w:val="0"/>
        <w:keepLines w:val="0"/>
        <w:pageBreakBefore w:val="0"/>
        <w:widowControl w:val="0"/>
        <w:kinsoku/>
        <w:wordWrap w:val="0"/>
        <w:overflowPunct/>
        <w:topLinePunct/>
        <w:autoSpaceDE/>
        <w:autoSpaceDN/>
        <w:bidi w:val="0"/>
        <w:adjustRightInd w:val="0"/>
        <w:snapToGrid w:val="0"/>
        <w:ind w:firstLine="1200" w:firstLineChars="500"/>
        <w:jc w:val="both"/>
        <w:rPr>
          <w:rFonts w:ascii="Times New Roman" w:hAnsi="Times New Roman" w:eastAsia="仿宋" w:cs="Times New Roman"/>
          <w:snapToGrid w:val="0"/>
          <w:color w:val="auto"/>
          <w:spacing w:val="0"/>
          <w:kern w:val="0"/>
          <w:sz w:val="24"/>
          <w:szCs w:val="24"/>
          <w:highlight w:val="none"/>
          <w:lang w:val="en-US" w:eastAsia="zh-CN" w:bidi="ar-SA"/>
        </w:rPr>
      </w:pPr>
      <w:r>
        <w:rPr>
          <w:rFonts w:ascii="Times New Roman" w:hAnsi="Times New Roman" w:eastAsia="仿宋" w:cs="Times New Roman"/>
          <w:snapToGrid w:val="0"/>
          <w:color w:val="auto"/>
          <w:spacing w:val="0"/>
          <w:kern w:val="0"/>
          <w:sz w:val="24"/>
          <w:szCs w:val="24"/>
          <w:highlight w:val="none"/>
          <w:lang w:val="en-US" w:eastAsia="zh-CN" w:bidi="ar-SA"/>
        </w:rPr>
        <w:t xml:space="preserve">2.上表应根据具体项目和评标办法合理填写。     </w:t>
      </w:r>
    </w:p>
    <w:p>
      <w:pPr>
        <w:keepNext w:val="0"/>
        <w:keepLines w:val="0"/>
        <w:pageBreakBefore w:val="0"/>
        <w:widowControl w:val="0"/>
        <w:kinsoku/>
        <w:wordWrap w:val="0"/>
        <w:overflowPunct/>
        <w:topLinePunct/>
        <w:autoSpaceDE/>
        <w:autoSpaceDN/>
        <w:bidi w:val="0"/>
        <w:adjustRightInd w:val="0"/>
        <w:snapToGrid w:val="0"/>
        <w:rPr>
          <w:rFonts w:ascii="Times New Roman" w:hAnsi="Times New Roman" w:eastAsia="仿宋" w:cs="Times New Roman"/>
          <w:snapToGrid w:val="0"/>
          <w:color w:val="auto"/>
          <w:spacing w:val="0"/>
          <w:kern w:val="0"/>
          <w:szCs w:val="22"/>
          <w:highlight w:val="none"/>
        </w:rPr>
      </w:pPr>
    </w:p>
    <w:p>
      <w:pPr>
        <w:spacing w:line="360" w:lineRule="auto"/>
        <w:ind w:firstLine="241" w:firstLineChars="100"/>
        <w:outlineLvl w:val="1"/>
        <w:rPr>
          <w:rFonts w:ascii="宋体" w:hAnsi="Times New Roman" w:eastAsia="宋体" w:cs="@仿宋_GB2312"/>
          <w:b/>
          <w:bCs/>
          <w:sz w:val="24"/>
          <w:szCs w:val="18"/>
          <w:highlight w:val="none"/>
        </w:rPr>
      </w:pPr>
      <w:bookmarkStart w:id="14" w:name="_Toc31017"/>
      <w:r>
        <w:rPr>
          <w:rFonts w:hint="eastAsia" w:ascii="宋体" w:hAnsi="Times New Roman" w:eastAsia="宋体" w:cs="@仿宋_GB2312"/>
          <w:b/>
          <w:bCs/>
          <w:sz w:val="24"/>
          <w:szCs w:val="18"/>
          <w:highlight w:val="none"/>
          <w:lang w:val="en-US" w:eastAsia="zh-CN"/>
        </w:rPr>
        <w:t>五</w:t>
      </w:r>
      <w:r>
        <w:rPr>
          <w:rFonts w:hint="eastAsia" w:ascii="宋体" w:hAnsi="Times New Roman" w:eastAsia="宋体" w:cs="@仿宋_GB2312"/>
          <w:b/>
          <w:bCs/>
          <w:sz w:val="24"/>
          <w:szCs w:val="18"/>
          <w:highlight w:val="none"/>
        </w:rPr>
        <w:t>、报价要求</w:t>
      </w:r>
      <w:bookmarkEnd w:id="10"/>
      <w:bookmarkEnd w:id="11"/>
      <w:bookmarkEnd w:id="14"/>
    </w:p>
    <w:p>
      <w:pPr>
        <w:spacing w:line="360" w:lineRule="auto"/>
        <w:ind w:firstLine="437"/>
        <w:rPr>
          <w:rFonts w:ascii="宋体" w:hAnsi="Times New Roman" w:eastAsia="宋体" w:cs="@仿宋_GB2312"/>
          <w:bCs/>
          <w:sz w:val="24"/>
          <w:szCs w:val="18"/>
          <w:highlight w:val="none"/>
        </w:rPr>
      </w:pPr>
      <w:r>
        <w:rPr>
          <w:rFonts w:hint="eastAsia" w:ascii="宋体" w:hAnsi="Times New Roman" w:eastAsia="宋体" w:cs="@仿宋_GB2312"/>
          <w:bCs/>
          <w:sz w:val="24"/>
          <w:szCs w:val="18"/>
          <w:highlight w:val="none"/>
        </w:rPr>
        <w:t>供应商须根据采购需求，报出总价。报价为完成本次项目的全费用价格。</w:t>
      </w:r>
    </w:p>
    <w:p>
      <w:pPr>
        <w:spacing w:line="360" w:lineRule="auto"/>
        <w:ind w:firstLine="480" w:firstLineChars="200"/>
        <w:rPr>
          <w:rFonts w:ascii="宋体" w:hAnsi="Times New Roman" w:eastAsia="宋体" w:cs="@仿宋_GB2312"/>
          <w:sz w:val="24"/>
          <w:szCs w:val="20"/>
          <w:highlight w:val="none"/>
        </w:rPr>
      </w:pPr>
      <w:r>
        <w:rPr>
          <w:rFonts w:ascii="宋体" w:hAnsi="Times New Roman" w:eastAsia="宋体" w:cs="@仿宋_GB2312"/>
          <w:sz w:val="24"/>
          <w:szCs w:val="20"/>
          <w:highlight w:val="none"/>
        </w:rPr>
        <w:br w:type="page"/>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iMTI1NmIzYmI4OTM5MGM0ODQzN2E2MzFiNjM2MDkifQ=="/>
  </w:docVars>
  <w:rsids>
    <w:rsidRoot w:val="0227006F"/>
    <w:rsid w:val="0227006F"/>
    <w:rsid w:val="249D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2024-06-06T12:16:00Z</dcterms:created>
  <dc:creator>许佳佳</dc:creator>
  <cp:lastModifiedBy>许佳佳</cp:lastModifiedBy>
  <dcterms:modified xsi:type="dcterms:W3CDTF">2024-06-06T12:17:04Z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A645EBA49C5B4F8787EB961350E49762_11</vt:lpwstr>
  </property>
</Properties>
</file>