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jc w:val="center"/>
        <w:rPr>
          <w:rFonts w:ascii="华文中宋" w:hAnsi="华文中宋" w:eastAsia="华文中宋"/>
          <w:b/>
          <w:bCs/>
          <w:w w:val="90"/>
          <w:sz w:val="21"/>
          <w:szCs w:val="21"/>
        </w:rPr>
      </w:pPr>
    </w:p>
    <w:p>
      <w:pPr>
        <w:spacing w:line="0" w:lineRule="atLeast"/>
        <w:jc w:val="center"/>
        <w:rPr>
          <w:rFonts w:hint="eastAsia" w:ascii="华文中宋" w:hAnsi="华文中宋" w:eastAsia="华文中宋"/>
          <w:b/>
          <w:bCs/>
          <w:color w:val="000000"/>
          <w:sz w:val="52"/>
          <w:szCs w:val="52"/>
          <w:lang w:eastAsia="zh-CN"/>
        </w:rPr>
      </w:pPr>
      <w:r>
        <w:rPr>
          <w:rFonts w:hint="eastAsia" w:ascii="华文中宋" w:hAnsi="华文中宋" w:eastAsia="华文中宋"/>
          <w:b/>
          <w:bCs/>
          <w:color w:val="000000"/>
          <w:sz w:val="52"/>
          <w:szCs w:val="52"/>
          <w:lang w:eastAsia="zh-CN"/>
        </w:rPr>
        <w:t>皖南医学院脑科学研究院临床研究部办公室装修工程</w:t>
      </w:r>
    </w:p>
    <w:p>
      <w:pPr>
        <w:spacing w:line="0" w:lineRule="atLeast"/>
        <w:jc w:val="center"/>
        <w:rPr>
          <w:rFonts w:hint="eastAsia" w:ascii="华文中宋" w:hAnsi="华文中宋" w:eastAsia="华文中宋"/>
          <w:b/>
          <w:bCs/>
          <w:color w:val="000000"/>
          <w:sz w:val="52"/>
          <w:szCs w:val="52"/>
          <w:lang w:eastAsia="zh-CN"/>
        </w:rPr>
      </w:pPr>
    </w:p>
    <w:p>
      <w:pPr>
        <w:spacing w:line="0" w:lineRule="atLeast"/>
        <w:jc w:val="center"/>
        <w:rPr>
          <w:rFonts w:ascii="华文中宋" w:hAnsi="华文中宋" w:eastAsia="华文中宋"/>
          <w:b/>
          <w:bCs/>
          <w:color w:val="000000"/>
          <w:sz w:val="52"/>
          <w:szCs w:val="52"/>
        </w:rPr>
      </w:pPr>
      <w:r>
        <w:rPr>
          <w:rFonts w:hint="eastAsia" w:ascii="华文中宋" w:hAnsi="华文中宋" w:eastAsia="华文中宋"/>
          <w:b/>
          <w:bCs/>
          <w:color w:val="000000"/>
          <w:sz w:val="52"/>
          <w:szCs w:val="52"/>
        </w:rPr>
        <w:t>磋商文件</w:t>
      </w:r>
    </w:p>
    <w:p>
      <w:pPr>
        <w:jc w:val="center"/>
        <w:rPr>
          <w:rFonts w:ascii="华文中宋" w:hAnsi="华文中宋" w:eastAsia="华文中宋"/>
          <w:sz w:val="52"/>
          <w:szCs w:val="52"/>
        </w:rPr>
      </w:pPr>
    </w:p>
    <w:p>
      <w:pPr>
        <w:jc w:val="center"/>
        <w:rPr>
          <w:rFonts w:hint="eastAsia" w:eastAsia="仿宋_GB2312"/>
          <w:snapToGrid w:val="0"/>
          <w:sz w:val="36"/>
          <w:szCs w:val="36"/>
          <w:lang w:val="en-US" w:eastAsia="zh-CN"/>
        </w:rPr>
      </w:pPr>
      <w:r>
        <w:rPr>
          <w:rFonts w:hint="eastAsia" w:eastAsia="仿宋_GB2312"/>
          <w:snapToGrid w:val="0"/>
          <w:sz w:val="36"/>
          <w:szCs w:val="36"/>
        </w:rPr>
        <w:t>项目编号：</w:t>
      </w:r>
      <w:r>
        <w:rPr>
          <w:rFonts w:hint="eastAsia" w:eastAsia="仿宋_GB2312"/>
          <w:snapToGrid w:val="0"/>
          <w:sz w:val="36"/>
          <w:szCs w:val="36"/>
          <w:lang w:eastAsia="zh-CN"/>
        </w:rPr>
        <w:t>WYGZ2023039</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pStyle w:val="21"/>
        <w:ind w:left="0" w:leftChars="0" w:firstLine="0" w:firstLineChars="0"/>
      </w:pPr>
    </w:p>
    <w:p>
      <w:pPr>
        <w:rPr>
          <w:rFonts w:ascii="仿宋_GB2312" w:eastAsia="仿宋_GB2312"/>
          <w:sz w:val="44"/>
          <w:szCs w:val="44"/>
        </w:rPr>
      </w:pPr>
    </w:p>
    <w:p>
      <w:pPr>
        <w:rPr>
          <w:rFonts w:ascii="仿宋_GB2312" w:eastAsia="仿宋_GB2312"/>
          <w:sz w:val="44"/>
          <w:szCs w:val="44"/>
        </w:rPr>
      </w:pP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采 购 人： 皖南医学院</w:t>
      </w: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代理机构：安徽中技工程咨询有限公司</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202</w:t>
      </w:r>
      <w:r>
        <w:rPr>
          <w:rFonts w:hint="eastAsia" w:ascii="仿宋_GB2312" w:hAnsi="仿宋_GB2312" w:eastAsia="仿宋_GB2312" w:cs="仿宋_GB2312"/>
          <w:b/>
          <w:sz w:val="36"/>
          <w:szCs w:val="36"/>
          <w:lang w:val="en-US" w:eastAsia="zh-CN"/>
        </w:rPr>
        <w:t>3</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07</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spacing w:line="360" w:lineRule="auto"/>
        <w:jc w:val="center"/>
        <w:rPr>
          <w:color w:val="000000"/>
          <w:szCs w:val="28"/>
        </w:rPr>
      </w:pPr>
      <w:r>
        <w:rPr>
          <w:b/>
          <w:color w:val="000000"/>
          <w:sz w:val="36"/>
          <w:szCs w:val="36"/>
        </w:rPr>
        <w:t>服务公开信</w:t>
      </w:r>
    </w:p>
    <w:p>
      <w:pPr>
        <w:pStyle w:val="23"/>
        <w:spacing w:line="360" w:lineRule="auto"/>
        <w:ind w:firstLine="480"/>
        <w:rPr>
          <w:color w:val="000000"/>
          <w:sz w:val="21"/>
          <w:szCs w:val="21"/>
        </w:rPr>
      </w:pPr>
      <w:r>
        <w:rPr>
          <w:color w:val="000000"/>
          <w:sz w:val="21"/>
          <w:szCs w:val="21"/>
        </w:rPr>
        <w:t>尊敬的各社会团体、各界人士：</w:t>
      </w:r>
    </w:p>
    <w:p>
      <w:pPr>
        <w:pStyle w:val="23"/>
        <w:spacing w:line="360" w:lineRule="auto"/>
        <w:ind w:firstLine="480"/>
        <w:rPr>
          <w:color w:val="000000"/>
          <w:sz w:val="21"/>
          <w:szCs w:val="21"/>
        </w:rPr>
      </w:pPr>
      <w:r>
        <w:rPr>
          <w:color w:val="000000"/>
          <w:sz w:val="21"/>
          <w:szCs w:val="21"/>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pPr>
        <w:pStyle w:val="23"/>
        <w:spacing w:line="360" w:lineRule="auto"/>
        <w:ind w:firstLine="480"/>
        <w:rPr>
          <w:color w:val="000000"/>
          <w:sz w:val="21"/>
          <w:szCs w:val="21"/>
        </w:rPr>
      </w:pPr>
      <w:r>
        <w:rPr>
          <w:color w:val="000000"/>
          <w:sz w:val="21"/>
          <w:szCs w:val="21"/>
        </w:rPr>
        <w:t>1、我公司在招投标活动过程中，严格执行国家招投标法等有关法律、法规，遵循“公开、公平、公正和诚实信用”原则，以规范招投标程序，维护法律尊严，维护招标人、投标人及各相关方的合法利益。</w:t>
      </w:r>
    </w:p>
    <w:p>
      <w:pPr>
        <w:pStyle w:val="23"/>
        <w:spacing w:line="360" w:lineRule="auto"/>
        <w:ind w:firstLine="480"/>
        <w:rPr>
          <w:color w:val="000000"/>
          <w:sz w:val="21"/>
          <w:szCs w:val="21"/>
        </w:rPr>
      </w:pPr>
      <w:r>
        <w:rPr>
          <w:color w:val="000000"/>
          <w:sz w:val="21"/>
          <w:szCs w:val="21"/>
        </w:rPr>
        <w:t>2、我公司向招标人、投标人、招投标监管部门出具的各类书面文件均为真实、合法、有效，不伪造变造任何书面文件，遵循符合国家法律、法规、规章及其他规范性文件，杜绝偏向性和歧视性内容。</w:t>
      </w:r>
    </w:p>
    <w:p>
      <w:pPr>
        <w:pStyle w:val="23"/>
        <w:spacing w:line="360" w:lineRule="auto"/>
        <w:ind w:firstLine="480"/>
        <w:rPr>
          <w:color w:val="000000"/>
          <w:sz w:val="21"/>
          <w:szCs w:val="21"/>
        </w:rPr>
      </w:pPr>
      <w:r>
        <w:rPr>
          <w:color w:val="000000"/>
          <w:sz w:val="21"/>
          <w:szCs w:val="21"/>
        </w:rPr>
        <w:t>3、我公司在招投标过程中将信守承诺，积极守约地开展招标代理工作，不向任何第三方泄露招投标活动中应当保密的情况和资料，不私下做任何某种直接或隐含承诺。</w:t>
      </w:r>
    </w:p>
    <w:p>
      <w:pPr>
        <w:pStyle w:val="23"/>
        <w:spacing w:line="360" w:lineRule="auto"/>
        <w:ind w:firstLine="480"/>
        <w:rPr>
          <w:color w:val="000000"/>
          <w:sz w:val="21"/>
          <w:szCs w:val="21"/>
        </w:rPr>
      </w:pPr>
      <w:r>
        <w:rPr>
          <w:color w:val="000000"/>
          <w:sz w:val="21"/>
          <w:szCs w:val="21"/>
        </w:rPr>
        <w:t>4、我公司将严格规范约束自身行为，发挥好招投标中介服务桥梁作用，不接受也不向任何相关单位工作人员及其亲属进行馈赠或非工作场所约见活动；不向任何相关单位工作人员施加任何影响。</w:t>
      </w:r>
    </w:p>
    <w:p>
      <w:pPr>
        <w:pStyle w:val="23"/>
        <w:spacing w:line="360" w:lineRule="auto"/>
        <w:ind w:firstLine="480"/>
        <w:rPr>
          <w:color w:val="000000"/>
          <w:sz w:val="21"/>
          <w:szCs w:val="21"/>
        </w:rPr>
      </w:pPr>
      <w:r>
        <w:rPr>
          <w:color w:val="000000"/>
          <w:sz w:val="21"/>
          <w:szCs w:val="21"/>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pPr>
        <w:pStyle w:val="23"/>
        <w:spacing w:line="360" w:lineRule="auto"/>
        <w:ind w:firstLine="480"/>
        <w:rPr>
          <w:color w:val="000000"/>
          <w:sz w:val="21"/>
          <w:szCs w:val="21"/>
        </w:rPr>
      </w:pPr>
      <w:r>
        <w:rPr>
          <w:color w:val="000000"/>
          <w:sz w:val="21"/>
          <w:szCs w:val="21"/>
        </w:rPr>
        <w:t xml:space="preserve">热忱欢迎社会各界团体组织和人士予以监督，让我们携手为拥有规范的招投标环境而努力！ </w:t>
      </w:r>
    </w:p>
    <w:p>
      <w:pPr>
        <w:adjustRightInd w:val="0"/>
        <w:snapToGrid w:val="0"/>
        <w:jc w:val="right"/>
        <w:rPr>
          <w:rFonts w:ascii="仿宋_GB2312" w:hAnsi="仿宋_GB2312" w:eastAsia="仿宋_GB2312" w:cs="仿宋_GB2312"/>
          <w:b/>
          <w:sz w:val="36"/>
          <w:szCs w:val="36"/>
        </w:rPr>
      </w:pPr>
      <w:r>
        <w:rPr>
          <w:color w:val="000000"/>
          <w:sz w:val="21"/>
          <w:szCs w:val="21"/>
        </w:rPr>
        <w:t>安徽中技工程咨询有限公司</w:t>
      </w:r>
    </w:p>
    <w:p>
      <w:pPr>
        <w:pStyle w:val="20"/>
      </w:pPr>
    </w:p>
    <w:p>
      <w:pPr>
        <w:pStyle w:val="20"/>
      </w:pPr>
    </w:p>
    <w:p>
      <w:pPr>
        <w:pStyle w:val="20"/>
      </w:pPr>
      <w:r>
        <w:rPr>
          <w:rFonts w:hint="eastAsia"/>
        </w:rPr>
        <w:t>目  录</w:t>
      </w:r>
    </w:p>
    <w:p>
      <w:pPr>
        <w:pStyle w:val="20"/>
      </w:pPr>
    </w:p>
    <w:p>
      <w:pPr>
        <w:pStyle w:val="20"/>
        <w:tabs>
          <w:tab w:val="right" w:leader="dot" w:pos="8306"/>
          <w:tab w:val="clear" w:pos="8296"/>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_Toc5937 </w:instrText>
      </w:r>
      <w:r>
        <w:rPr>
          <w:rFonts w:hint="eastAsia" w:ascii="仿宋_GB2312" w:hAnsi="仿宋_GB2312" w:eastAsia="仿宋_GB2312" w:cs="仿宋_GB2312"/>
          <w:szCs w:val="30"/>
        </w:rPr>
        <w:fldChar w:fldCharType="separate"/>
      </w:r>
      <w:r>
        <w:rPr>
          <w:rFonts w:hint="eastAsia" w:ascii="华文中宋" w:hAnsi="华文中宋" w:eastAsia="华文中宋"/>
          <w:szCs w:val="21"/>
        </w:rPr>
        <w:t>第一章  磋商公告</w:t>
      </w:r>
      <w:r>
        <w:tab/>
      </w:r>
      <w:r>
        <w:fldChar w:fldCharType="begin"/>
      </w:r>
      <w:r>
        <w:instrText xml:space="preserve"> PAGEREF _Toc5937 \h </w:instrText>
      </w:r>
      <w:r>
        <w:fldChar w:fldCharType="separate"/>
      </w:r>
      <w:r>
        <w:t>4</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_Toc30394 </w:instrText>
      </w:r>
      <w:r>
        <w:rPr>
          <w:rFonts w:hint="eastAsia" w:ascii="仿宋_GB2312" w:hAnsi="仿宋_GB2312" w:eastAsia="仿宋_GB2312" w:cs="仿宋_GB2312"/>
          <w:szCs w:val="30"/>
        </w:rPr>
        <w:fldChar w:fldCharType="separate"/>
      </w:r>
      <w:r>
        <w:rPr>
          <w:rFonts w:hint="eastAsia" w:ascii="华文中宋" w:hAnsi="华文中宋" w:eastAsia="华文中宋"/>
        </w:rPr>
        <w:t>第二章  磋商须知前附表</w:t>
      </w:r>
      <w:r>
        <w:tab/>
      </w:r>
      <w:r>
        <w:fldChar w:fldCharType="begin"/>
      </w:r>
      <w:r>
        <w:instrText xml:space="preserve"> PAGEREF _Toc30394 \h </w:instrText>
      </w:r>
      <w:r>
        <w:fldChar w:fldCharType="separate"/>
      </w:r>
      <w:r>
        <w:t>6</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_Toc19733 </w:instrText>
      </w:r>
      <w:r>
        <w:rPr>
          <w:rFonts w:hint="eastAsia" w:ascii="仿宋_GB2312" w:hAnsi="仿宋_GB2312" w:eastAsia="仿宋_GB2312" w:cs="仿宋_GB2312"/>
          <w:szCs w:val="30"/>
        </w:rPr>
        <w:fldChar w:fldCharType="separate"/>
      </w:r>
      <w:r>
        <w:rPr>
          <w:rFonts w:hint="eastAsia" w:ascii="华文中宋" w:hAnsi="华文中宋" w:eastAsia="华文中宋"/>
        </w:rPr>
        <w:t>第三章  磋商须知</w:t>
      </w:r>
      <w:r>
        <w:tab/>
      </w:r>
      <w:r>
        <w:fldChar w:fldCharType="begin"/>
      </w:r>
      <w:r>
        <w:instrText xml:space="preserve"> PAGEREF _Toc19733 \h </w:instrText>
      </w:r>
      <w:r>
        <w:fldChar w:fldCharType="separate"/>
      </w:r>
      <w:r>
        <w:t>8</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_Toc14542 </w:instrText>
      </w:r>
      <w:r>
        <w:rPr>
          <w:rFonts w:hint="eastAsia" w:ascii="仿宋_GB2312" w:hAnsi="仿宋_GB2312" w:eastAsia="仿宋_GB2312" w:cs="仿宋_GB2312"/>
          <w:szCs w:val="30"/>
        </w:rPr>
        <w:fldChar w:fldCharType="separate"/>
      </w:r>
      <w:r>
        <w:rPr>
          <w:rFonts w:hint="eastAsia" w:ascii="华文中宋" w:hAnsi="华文中宋" w:eastAsia="华文中宋"/>
        </w:rPr>
        <w:t>第四章 合同主要条款</w:t>
      </w:r>
      <w:r>
        <w:tab/>
      </w:r>
      <w:r>
        <w:fldChar w:fldCharType="begin"/>
      </w:r>
      <w:r>
        <w:instrText xml:space="preserve"> PAGEREF _Toc14542 \h </w:instrText>
      </w:r>
      <w:r>
        <w:fldChar w:fldCharType="separate"/>
      </w:r>
      <w:r>
        <w:t>28</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_Toc57 </w:instrText>
      </w:r>
      <w:r>
        <w:rPr>
          <w:rFonts w:hint="eastAsia" w:ascii="仿宋_GB2312" w:hAnsi="仿宋_GB2312" w:eastAsia="仿宋_GB2312" w:cs="仿宋_GB2312"/>
          <w:szCs w:val="30"/>
        </w:rPr>
        <w:fldChar w:fldCharType="separate"/>
      </w:r>
      <w:r>
        <w:rPr>
          <w:rFonts w:hint="eastAsia" w:ascii="华文中宋" w:hAnsi="华文中宋" w:eastAsia="华文中宋" w:cs="Times New Roman"/>
          <w:lang w:eastAsia="zh-CN"/>
        </w:rPr>
        <w:t>第</w:t>
      </w:r>
      <w:r>
        <w:rPr>
          <w:rFonts w:hint="eastAsia" w:ascii="华文中宋" w:hAnsi="华文中宋" w:eastAsia="华文中宋" w:cs="Times New Roman"/>
          <w:lang w:val="en-US" w:eastAsia="zh-CN"/>
        </w:rPr>
        <w:t>五</w:t>
      </w:r>
      <w:r>
        <w:rPr>
          <w:rFonts w:hint="eastAsia" w:ascii="华文中宋" w:hAnsi="华文中宋" w:eastAsia="华文中宋" w:cs="Times New Roman"/>
          <w:lang w:eastAsia="zh-CN"/>
        </w:rPr>
        <w:t>章  采购项目需求及技术要求</w:t>
      </w:r>
      <w:r>
        <w:tab/>
      </w:r>
      <w:r>
        <w:fldChar w:fldCharType="begin"/>
      </w:r>
      <w:r>
        <w:instrText xml:space="preserve"> PAGEREF _Toc57 \h </w:instrText>
      </w:r>
      <w:r>
        <w:fldChar w:fldCharType="separate"/>
      </w:r>
      <w:r>
        <w:t>33</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_Toc17768 </w:instrText>
      </w:r>
      <w:r>
        <w:rPr>
          <w:rFonts w:hint="eastAsia" w:ascii="仿宋_GB2312" w:hAnsi="仿宋_GB2312" w:eastAsia="仿宋_GB2312" w:cs="仿宋_GB2312"/>
          <w:szCs w:val="30"/>
        </w:rPr>
        <w:fldChar w:fldCharType="separate"/>
      </w:r>
      <w:r>
        <w:rPr>
          <w:rFonts w:hint="eastAsia" w:ascii="华文中宋" w:hAnsi="华文中宋" w:eastAsia="华文中宋"/>
          <w:lang w:val="en-US" w:eastAsia="zh-CN"/>
        </w:rPr>
        <w:t xml:space="preserve">第六章  </w:t>
      </w:r>
      <w:r>
        <w:rPr>
          <w:rFonts w:hint="eastAsia" w:ascii="华文中宋" w:hAnsi="华文中宋" w:eastAsia="华文中宋"/>
          <w:lang w:eastAsia="zh-CN"/>
        </w:rPr>
        <w:t>工程量清单</w:t>
      </w:r>
      <w:r>
        <w:tab/>
      </w:r>
      <w:r>
        <w:fldChar w:fldCharType="begin"/>
      </w:r>
      <w:r>
        <w:instrText xml:space="preserve"> PAGEREF _Toc17768 \h </w:instrText>
      </w:r>
      <w:r>
        <w:fldChar w:fldCharType="separate"/>
      </w:r>
      <w:r>
        <w:t>34</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_Toc12791 </w:instrText>
      </w:r>
      <w:r>
        <w:rPr>
          <w:rFonts w:hint="eastAsia" w:ascii="仿宋_GB2312" w:hAnsi="仿宋_GB2312" w:eastAsia="仿宋_GB2312" w:cs="仿宋_GB2312"/>
          <w:szCs w:val="30"/>
        </w:rPr>
        <w:fldChar w:fldCharType="separate"/>
      </w:r>
      <w:r>
        <w:rPr>
          <w:rFonts w:hint="eastAsia" w:ascii="华文中宋" w:hAnsi="华文中宋" w:eastAsia="华文中宋"/>
          <w:lang w:val="en-US" w:eastAsia="zh-CN"/>
        </w:rPr>
        <w:t>第七章</w:t>
      </w:r>
      <w:r>
        <w:rPr>
          <w:rFonts w:hint="eastAsia" w:ascii="华文中宋" w:hAnsi="华文中宋" w:eastAsia="华文中宋"/>
        </w:rPr>
        <w:t xml:space="preserve"> 评分办法和评分细则</w:t>
      </w:r>
      <w:r>
        <w:tab/>
      </w:r>
      <w:r>
        <w:fldChar w:fldCharType="begin"/>
      </w:r>
      <w:r>
        <w:instrText xml:space="preserve"> PAGEREF _Toc12791 \h </w:instrText>
      </w:r>
      <w:r>
        <w:fldChar w:fldCharType="separate"/>
      </w:r>
      <w:r>
        <w:t>35</w:t>
      </w:r>
      <w:r>
        <w:fldChar w:fldCharType="end"/>
      </w:r>
      <w:r>
        <w:rPr>
          <w:rFonts w:hint="eastAsia" w:ascii="仿宋_GB2312" w:hAnsi="仿宋_GB2312" w:eastAsia="仿宋_GB2312" w:cs="仿宋_GB2312"/>
          <w:szCs w:val="30"/>
        </w:rPr>
        <w:fldChar w:fldCharType="end"/>
      </w:r>
    </w:p>
    <w:p>
      <w:pPr>
        <w:pStyle w:val="20"/>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_Toc19619 </w:instrText>
      </w:r>
      <w:r>
        <w:rPr>
          <w:rFonts w:hint="eastAsia" w:ascii="仿宋_GB2312" w:hAnsi="仿宋_GB2312" w:eastAsia="仿宋_GB2312" w:cs="仿宋_GB2312"/>
          <w:szCs w:val="30"/>
        </w:rPr>
        <w:fldChar w:fldCharType="separate"/>
      </w:r>
      <w:r>
        <w:rPr>
          <w:rFonts w:hint="eastAsia"/>
          <w:szCs w:val="44"/>
        </w:rPr>
        <w:t>第七章  响应文件格式</w:t>
      </w:r>
      <w:r>
        <w:tab/>
      </w:r>
      <w:r>
        <w:fldChar w:fldCharType="begin"/>
      </w:r>
      <w:r>
        <w:instrText xml:space="preserve"> PAGEREF _Toc19619 \h </w:instrText>
      </w:r>
      <w:r>
        <w:fldChar w:fldCharType="separate"/>
      </w:r>
      <w:r>
        <w:t>40</w:t>
      </w:r>
      <w:r>
        <w:fldChar w:fldCharType="end"/>
      </w:r>
      <w:r>
        <w:rPr>
          <w:rFonts w:hint="eastAsia" w:ascii="仿宋_GB2312" w:hAnsi="仿宋_GB2312" w:eastAsia="仿宋_GB2312" w:cs="仿宋_GB2312"/>
          <w:szCs w:val="30"/>
        </w:rPr>
        <w:fldChar w:fldCharType="end"/>
      </w:r>
    </w:p>
    <w:p>
      <w:pPr>
        <w:pStyle w:val="22"/>
        <w:tabs>
          <w:tab w:val="right" w:leader="dot" w:pos="8306"/>
        </w:tabs>
      </w:pPr>
    </w:p>
    <w:p>
      <w:pPr>
        <w:pStyle w:val="22"/>
        <w:tabs>
          <w:tab w:val="right" w:leader="dot" w:pos="8306"/>
        </w:tabs>
      </w:pP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pgNumType w:fmt="decimal"/>
          <w:cols w:space="425" w:num="1"/>
          <w:docGrid w:type="lines" w:linePitch="312" w:charSpace="0"/>
        </w:sectPr>
      </w:pPr>
    </w:p>
    <w:p>
      <w:pPr>
        <w:pStyle w:val="3"/>
        <w:ind w:left="944" w:hanging="944" w:hangingChars="262"/>
        <w:jc w:val="center"/>
        <w:rPr>
          <w:rFonts w:ascii="华文中宋" w:hAnsi="华文中宋" w:eastAsia="华文中宋"/>
          <w:color w:val="auto"/>
          <w:szCs w:val="21"/>
        </w:rPr>
      </w:pPr>
      <w:bookmarkStart w:id="0" w:name="_Toc5937"/>
      <w:r>
        <w:rPr>
          <w:rFonts w:hint="eastAsia" w:ascii="华文中宋" w:hAnsi="华文中宋" w:eastAsia="华文中宋"/>
          <w:color w:val="auto"/>
          <w:szCs w:val="21"/>
        </w:rPr>
        <w:t>第一章  磋商公告</w:t>
      </w:r>
      <w:bookmarkEnd w:id="0"/>
    </w:p>
    <w:p>
      <w:pPr>
        <w:adjustRightInd w:val="0"/>
        <w:snapToGrid w:val="0"/>
        <w:spacing w:line="360" w:lineRule="auto"/>
        <w:ind w:firstLine="453" w:firstLineChars="189"/>
        <w:rPr>
          <w:rFonts w:ascii="仿宋_GB2312" w:eastAsia="仿宋_GB2312"/>
          <w:kern w:val="0"/>
          <w:sz w:val="24"/>
          <w:szCs w:val="24"/>
        </w:rPr>
      </w:pPr>
      <w:bookmarkStart w:id="157" w:name="_GoBack"/>
      <w:r>
        <w:rPr>
          <w:rFonts w:hint="eastAsia" w:ascii="仿宋_GB2312" w:eastAsia="仿宋_GB2312"/>
          <w:sz w:val="24"/>
          <w:szCs w:val="24"/>
        </w:rPr>
        <w:t>安徽中技工程咨询有限公司受皖南医学院委托就</w:t>
      </w:r>
      <w:r>
        <w:rPr>
          <w:rFonts w:hint="eastAsia" w:ascii="仿宋_GB2312" w:eastAsia="仿宋_GB2312"/>
          <w:sz w:val="24"/>
          <w:szCs w:val="24"/>
          <w:lang w:eastAsia="zh-CN"/>
        </w:rPr>
        <w:t>皖南医学院脑科学研究院临床研究部办公室装修工程</w:t>
      </w:r>
      <w:r>
        <w:rPr>
          <w:rFonts w:hint="eastAsia" w:ascii="仿宋_GB2312" w:eastAsia="仿宋_GB2312"/>
          <w:sz w:val="24"/>
          <w:szCs w:val="24"/>
        </w:rPr>
        <w:t xml:space="preserve">项目采取磋商的方式进行采购，现邀请符合资质条件的供应商参加投标和磋商。具体情况如下：    </w:t>
      </w:r>
    </w:p>
    <w:p>
      <w:pPr>
        <w:adjustRightInd w:val="0"/>
        <w:snapToGrid w:val="0"/>
        <w:spacing w:line="360" w:lineRule="auto"/>
        <w:ind w:firstLine="458" w:firstLineChars="190"/>
        <w:rPr>
          <w:rFonts w:ascii="仿宋_GB2312" w:eastAsia="仿宋_GB2312"/>
          <w:sz w:val="24"/>
          <w:szCs w:val="24"/>
        </w:rPr>
      </w:pPr>
      <w:r>
        <w:rPr>
          <w:rFonts w:hint="eastAsia" w:ascii="仿宋_GB2312" w:eastAsia="仿宋_GB2312"/>
          <w:b/>
          <w:sz w:val="24"/>
          <w:szCs w:val="24"/>
        </w:rPr>
        <w:t>一、项目概况</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kern w:val="0"/>
          <w:sz w:val="24"/>
          <w:szCs w:val="24"/>
        </w:rPr>
      </w:pPr>
      <w:r>
        <w:rPr>
          <w:rFonts w:hint="eastAsia" w:ascii="仿宋_GB2312" w:eastAsia="仿宋_GB2312"/>
          <w:sz w:val="24"/>
          <w:szCs w:val="24"/>
        </w:rPr>
        <w:t>（一）项目名称：</w:t>
      </w:r>
      <w:r>
        <w:rPr>
          <w:rFonts w:hint="eastAsia" w:ascii="仿宋_GB2312" w:eastAsia="仿宋_GB2312"/>
          <w:sz w:val="24"/>
          <w:szCs w:val="24"/>
          <w:lang w:eastAsia="zh-CN"/>
        </w:rPr>
        <w:t>皖南医学院脑科学研究院临床研究部办公室装修工程</w:t>
      </w:r>
      <w:r>
        <w:rPr>
          <w:rFonts w:hint="eastAsia" w:ascii="仿宋_GB2312" w:eastAsia="仿宋_GB2312"/>
          <w:sz w:val="24"/>
          <w:szCs w:val="24"/>
        </w:rPr>
        <w:t>项目（本项目投标文件须为纸质文件）；</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（二）项目编号：</w:t>
      </w:r>
      <w:r>
        <w:rPr>
          <w:rFonts w:hint="eastAsia" w:ascii="仿宋_GB2312" w:eastAsia="仿宋_GB2312"/>
          <w:sz w:val="24"/>
          <w:szCs w:val="24"/>
          <w:lang w:eastAsia="zh-CN"/>
        </w:rPr>
        <w:t>WYGZ2023039</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（三）项目内容：</w:t>
      </w:r>
      <w:r>
        <w:rPr>
          <w:rFonts w:hint="eastAsia" w:ascii="仿宋_GB2312" w:eastAsia="仿宋_GB2312"/>
          <w:sz w:val="24"/>
          <w:szCs w:val="24"/>
          <w:lang w:eastAsia="zh-CN"/>
        </w:rPr>
        <w:t>皖南医学院脑科学研究院临床研究部办公室装修工程</w:t>
      </w:r>
      <w:r>
        <w:rPr>
          <w:rFonts w:hint="eastAsia" w:ascii="仿宋_GB2312" w:hAnsi="Times New Roman" w:eastAsia="仿宋_GB2312" w:cs="Times New Roman"/>
          <w:sz w:val="24"/>
          <w:szCs w:val="24"/>
          <w:lang w:eastAsia="zh-CN"/>
        </w:rPr>
        <w:t>，工程地点：皖</w:t>
      </w:r>
      <w:r>
        <w:rPr>
          <w:rFonts w:hint="eastAsia" w:ascii="仿宋_GB2312" w:eastAsia="仿宋_GB2312"/>
          <w:sz w:val="24"/>
          <w:szCs w:val="24"/>
          <w:lang w:eastAsia="zh-CN"/>
        </w:rPr>
        <w:t>南医学院滨江校区</w:t>
      </w:r>
      <w:r>
        <w:rPr>
          <w:rFonts w:hint="eastAsia" w:ascii="仿宋_GB2312" w:eastAsia="仿宋_GB2312"/>
          <w:sz w:val="24"/>
          <w:szCs w:val="24"/>
          <w:lang w:val="en-US" w:eastAsia="zh-CN"/>
        </w:rPr>
        <w:t>。</w:t>
      </w:r>
      <w:r>
        <w:rPr>
          <w:rFonts w:hint="eastAsia" w:ascii="仿宋_GB2312" w:eastAsia="仿宋_GB2312"/>
          <w:sz w:val="24"/>
          <w:szCs w:val="24"/>
        </w:rPr>
        <w:t>具体详见附件。</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（四）项目预算：</w:t>
      </w:r>
      <w:r>
        <w:rPr>
          <w:rFonts w:hint="eastAsia" w:ascii="仿宋_GB2312" w:eastAsia="仿宋_GB2312"/>
          <w:sz w:val="24"/>
          <w:szCs w:val="24"/>
          <w:lang w:eastAsia="zh-CN"/>
        </w:rPr>
        <w:t>129997.67</w:t>
      </w:r>
      <w:r>
        <w:rPr>
          <w:rFonts w:hint="eastAsia" w:ascii="仿宋_GB2312" w:eastAsia="仿宋_GB2312"/>
          <w:sz w:val="24"/>
          <w:szCs w:val="24"/>
        </w:rPr>
        <w:t>元</w:t>
      </w:r>
    </w:p>
    <w:p>
      <w:pPr>
        <w:adjustRightInd w:val="0"/>
        <w:snapToGrid w:val="0"/>
        <w:spacing w:line="360" w:lineRule="auto"/>
        <w:ind w:firstLine="455" w:firstLineChars="189"/>
        <w:rPr>
          <w:rFonts w:ascii="仿宋_GB2312" w:eastAsia="仿宋_GB2312"/>
          <w:sz w:val="24"/>
          <w:szCs w:val="24"/>
        </w:rPr>
      </w:pPr>
      <w:r>
        <w:rPr>
          <w:rFonts w:hint="eastAsia" w:ascii="仿宋_GB2312" w:eastAsia="仿宋_GB2312"/>
          <w:b/>
          <w:sz w:val="24"/>
          <w:szCs w:val="24"/>
        </w:rPr>
        <w:t>二、投标资质</w:t>
      </w:r>
      <w:r>
        <w:rPr>
          <w:rFonts w:hint="eastAsia" w:ascii="仿宋_GB2312" w:eastAsia="仿宋_GB2312"/>
          <w:sz w:val="24"/>
          <w:szCs w:val="24"/>
        </w:rPr>
        <w:t>：</w:t>
      </w:r>
    </w:p>
    <w:p>
      <w:pPr>
        <w:adjustRightInd w:val="0"/>
        <w:snapToGrid w:val="0"/>
        <w:spacing w:line="360" w:lineRule="auto"/>
        <w:ind w:firstLine="453" w:firstLineChars="189"/>
        <w:rPr>
          <w:rFonts w:hint="eastAsia" w:ascii="仿宋_GB2312" w:eastAsia="仿宋_GB2312"/>
          <w:sz w:val="24"/>
          <w:szCs w:val="24"/>
          <w:highlight w:val="none"/>
        </w:rPr>
      </w:pPr>
      <w:r>
        <w:rPr>
          <w:rFonts w:hint="eastAsia" w:ascii="仿宋_GB2312" w:eastAsia="仿宋_GB2312"/>
          <w:sz w:val="24"/>
          <w:szCs w:val="24"/>
          <w:highlight w:val="none"/>
        </w:rPr>
        <w:t>（1）具有独立承担民事责任的能力；</w:t>
      </w:r>
    </w:p>
    <w:p>
      <w:pPr>
        <w:adjustRightInd w:val="0"/>
        <w:snapToGrid w:val="0"/>
        <w:spacing w:line="360" w:lineRule="auto"/>
        <w:ind w:firstLine="453" w:firstLineChars="189"/>
        <w:rPr>
          <w:rFonts w:hint="eastAsia" w:ascii="仿宋_GB2312" w:eastAsia="仿宋_GB2312"/>
          <w:sz w:val="24"/>
          <w:szCs w:val="24"/>
          <w:highlight w:val="yellow"/>
          <w:lang w:eastAsia="zh-CN"/>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rPr>
        <w:t>）投标人须具备建筑装修装饰工程专业承包贰级（或以上）资质</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具备有效的安全生产许可证；</w:t>
      </w:r>
    </w:p>
    <w:p>
      <w:pPr>
        <w:adjustRightInd w:val="0"/>
        <w:snapToGrid w:val="0"/>
        <w:spacing w:line="360" w:lineRule="auto"/>
        <w:ind w:firstLine="453" w:firstLineChars="189"/>
        <w:rPr>
          <w:rFonts w:hint="eastAsia" w:ascii="仿宋_GB2312" w:eastAsia="仿宋_GB2312"/>
          <w:sz w:val="24"/>
          <w:szCs w:val="24"/>
          <w:highlight w:val="none"/>
          <w:lang w:eastAsia="zh-CN"/>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3</w:t>
      </w:r>
      <w:r>
        <w:rPr>
          <w:rFonts w:hint="eastAsia" w:ascii="仿宋_GB2312" w:eastAsia="仿宋_GB2312"/>
          <w:sz w:val="24"/>
          <w:szCs w:val="24"/>
          <w:highlight w:val="none"/>
        </w:rPr>
        <w:t>）投标人拟委任的项目负责人须具备建筑工程专业贰级（或以上）注册建造师执业资格，具备有效的安全生产考核合格证书。</w:t>
      </w:r>
    </w:p>
    <w:p>
      <w:pPr>
        <w:adjustRightInd w:val="0"/>
        <w:snapToGrid w:val="0"/>
        <w:spacing w:line="360" w:lineRule="auto"/>
        <w:ind w:firstLine="453" w:firstLineChars="189"/>
        <w:rPr>
          <w:rFonts w:hint="eastAsia"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）在皖南医学院有项目业绩的单位，被学校以工期延误或决算办理迟缓发函警告的单位禁止参加； </w:t>
      </w:r>
    </w:p>
    <w:p>
      <w:pPr>
        <w:adjustRightInd w:val="0"/>
        <w:snapToGrid w:val="0"/>
        <w:spacing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）本项目不接受联合体投标。</w:t>
      </w:r>
    </w:p>
    <w:p>
      <w:pPr>
        <w:adjustRightInd w:val="0"/>
        <w:snapToGrid w:val="0"/>
        <w:spacing w:line="360" w:lineRule="auto"/>
        <w:ind w:firstLine="455" w:firstLineChars="189"/>
        <w:rPr>
          <w:rFonts w:ascii="仿宋_GB2312" w:hAnsi="宋体" w:eastAsia="仿宋_GB2312" w:cs="宋体"/>
          <w:b/>
          <w:sz w:val="24"/>
          <w:szCs w:val="24"/>
          <w:lang w:val="zh-CN"/>
        </w:rPr>
      </w:pPr>
      <w:r>
        <w:rPr>
          <w:rFonts w:hint="eastAsia" w:ascii="仿宋_GB2312" w:hAnsi="宋体" w:eastAsia="仿宋_GB2312" w:cs="宋体"/>
          <w:b/>
          <w:sz w:val="24"/>
          <w:szCs w:val="24"/>
          <w:lang w:val="zh-CN"/>
        </w:rPr>
        <w:t>三、获取采购文件：</w:t>
      </w:r>
    </w:p>
    <w:p>
      <w:pPr>
        <w:adjustRightInd w:val="0"/>
        <w:snapToGrid w:val="0"/>
        <w:spacing w:line="360" w:lineRule="auto"/>
        <w:ind w:firstLine="453" w:firstLineChars="189"/>
        <w:rPr>
          <w:rFonts w:ascii="仿宋_GB2312" w:hAnsi="宋体" w:eastAsia="仿宋_GB2312" w:cs="宋体"/>
          <w:sz w:val="24"/>
          <w:szCs w:val="24"/>
          <w:lang w:val="zh-CN"/>
        </w:rPr>
      </w:pPr>
      <w:r>
        <w:rPr>
          <w:rFonts w:hint="eastAsia" w:ascii="仿宋_GB2312" w:hAnsi="宋体" w:eastAsia="仿宋_GB2312" w:cs="宋体"/>
          <w:sz w:val="24"/>
          <w:szCs w:val="24"/>
          <w:lang w:val="zh-CN"/>
        </w:rPr>
        <w:t>（一）时间：</w:t>
      </w:r>
      <w:r>
        <w:rPr>
          <w:rFonts w:hint="eastAsia" w:ascii="仿宋_GB2312" w:hAnsi="宋体" w:eastAsia="仿宋_GB2312" w:cs="宋体"/>
          <w:sz w:val="24"/>
          <w:szCs w:val="24"/>
          <w:highlight w:val="none"/>
          <w:lang w:val="zh-CN"/>
        </w:rPr>
        <w:t>2023年</w:t>
      </w:r>
      <w:r>
        <w:rPr>
          <w:rFonts w:hint="eastAsia" w:ascii="仿宋_GB2312" w:hAnsi="宋体" w:eastAsia="仿宋_GB2312" w:cs="宋体"/>
          <w:sz w:val="24"/>
          <w:szCs w:val="24"/>
          <w:highlight w:val="none"/>
          <w:lang w:val="en-US" w:eastAsia="zh-CN"/>
        </w:rPr>
        <w:t>07</w:t>
      </w:r>
      <w:r>
        <w:rPr>
          <w:rFonts w:hint="eastAsia" w:ascii="仿宋_GB2312" w:hAnsi="宋体" w:eastAsia="仿宋_GB2312" w:cs="宋体"/>
          <w:sz w:val="24"/>
          <w:szCs w:val="24"/>
          <w:highlight w:val="none"/>
          <w:lang w:val="zh-CN"/>
        </w:rPr>
        <w:t>月</w:t>
      </w:r>
      <w:r>
        <w:rPr>
          <w:rFonts w:hint="eastAsia" w:ascii="仿宋_GB2312" w:hAnsi="宋体" w:eastAsia="仿宋_GB2312" w:cs="宋体"/>
          <w:sz w:val="24"/>
          <w:szCs w:val="24"/>
          <w:highlight w:val="none"/>
          <w:lang w:val="en-US" w:eastAsia="zh-CN"/>
        </w:rPr>
        <w:t>04</w:t>
      </w:r>
      <w:r>
        <w:rPr>
          <w:rFonts w:hint="eastAsia" w:ascii="仿宋_GB2312" w:hAnsi="宋体" w:eastAsia="仿宋_GB2312" w:cs="宋体"/>
          <w:sz w:val="24"/>
          <w:szCs w:val="24"/>
          <w:highlight w:val="none"/>
          <w:lang w:val="zh-CN"/>
        </w:rPr>
        <w:t>日至2023年</w:t>
      </w:r>
      <w:r>
        <w:rPr>
          <w:rFonts w:hint="eastAsia" w:ascii="仿宋_GB2312" w:hAnsi="宋体" w:eastAsia="仿宋_GB2312" w:cs="宋体"/>
          <w:sz w:val="24"/>
          <w:szCs w:val="24"/>
          <w:highlight w:val="none"/>
          <w:lang w:val="en-US" w:eastAsia="zh-CN"/>
        </w:rPr>
        <w:t>07</w:t>
      </w:r>
      <w:r>
        <w:rPr>
          <w:rFonts w:hint="eastAsia" w:ascii="仿宋_GB2312" w:hAnsi="宋体" w:eastAsia="仿宋_GB2312" w:cs="宋体"/>
          <w:sz w:val="24"/>
          <w:szCs w:val="24"/>
          <w:highlight w:val="none"/>
          <w:lang w:val="zh-CN"/>
        </w:rPr>
        <w:t>月</w:t>
      </w:r>
      <w:r>
        <w:rPr>
          <w:rFonts w:hint="eastAsia" w:ascii="仿宋_GB2312" w:hAnsi="宋体" w:eastAsia="仿宋_GB2312" w:cs="宋体"/>
          <w:sz w:val="24"/>
          <w:szCs w:val="24"/>
          <w:highlight w:val="none"/>
          <w:lang w:val="en-US" w:eastAsia="zh-CN"/>
        </w:rPr>
        <w:t>10</w:t>
      </w:r>
      <w:r>
        <w:rPr>
          <w:rFonts w:hint="eastAsia" w:ascii="仿宋_GB2312" w:hAnsi="宋体" w:eastAsia="仿宋_GB2312" w:cs="宋体"/>
          <w:sz w:val="24"/>
          <w:szCs w:val="24"/>
          <w:highlight w:val="none"/>
          <w:lang w:val="zh-CN"/>
        </w:rPr>
        <w:t>日，</w:t>
      </w:r>
      <w:r>
        <w:rPr>
          <w:rFonts w:hint="eastAsia" w:ascii="仿宋_GB2312" w:hAnsi="宋体" w:eastAsia="仿宋_GB2312" w:cs="宋体"/>
          <w:sz w:val="24"/>
          <w:szCs w:val="24"/>
          <w:lang w:val="zh-CN"/>
        </w:rPr>
        <w:t>每天上午9:00至12:00，下午13:00至17:00（北京时间，法定节假日除外 ）</w:t>
      </w:r>
    </w:p>
    <w:p>
      <w:pPr>
        <w:pStyle w:val="23"/>
        <w:adjustRightInd w:val="0"/>
        <w:snapToGrid w:val="0"/>
        <w:spacing w:before="0" w:beforeAutospacing="0" w:after="0" w:afterAutospacing="0" w:line="360" w:lineRule="auto"/>
        <w:ind w:firstLine="480" w:firstLineChars="200"/>
        <w:jc w:val="both"/>
        <w:rPr>
          <w:rFonts w:ascii="仿宋_GB2312" w:hAnsi="仿宋" w:eastAsia="仿宋_GB2312"/>
          <w:sz w:val="24"/>
          <w:szCs w:val="24"/>
        </w:rPr>
      </w:pPr>
      <w:r>
        <w:rPr>
          <w:rFonts w:hint="eastAsia" w:ascii="仿宋_GB2312" w:eastAsia="仿宋_GB2312" w:cs="宋体"/>
          <w:sz w:val="24"/>
          <w:szCs w:val="24"/>
          <w:lang w:val="zh-CN"/>
        </w:rPr>
        <w:t>（二）</w:t>
      </w:r>
      <w:r>
        <w:rPr>
          <w:rFonts w:hint="eastAsia" w:ascii="仿宋_GB2312" w:eastAsia="仿宋_GB2312" w:cs="宋体"/>
          <w:kern w:val="2"/>
          <w:sz w:val="24"/>
          <w:szCs w:val="24"/>
          <w:lang w:val="zh-CN"/>
        </w:rPr>
        <w:t>方式：凡有意参加投标者，请在规定的报名时间内将报名资料（</w:t>
      </w:r>
      <w:r>
        <w:fldChar w:fldCharType="begin"/>
      </w:r>
      <w:r>
        <w:instrText xml:space="preserve"> HYPERLINK "mailto:上述报名资料加盖公章的扫描件发送至121171377@qq.com" </w:instrText>
      </w:r>
      <w:r>
        <w:fldChar w:fldCharType="separate"/>
      </w:r>
      <w:r>
        <w:rPr>
          <w:rFonts w:hint="eastAsia" w:ascii="仿宋_GB2312" w:eastAsia="仿宋_GB2312" w:cs="宋体"/>
          <w:kern w:val="2"/>
          <w:sz w:val="24"/>
          <w:szCs w:val="24"/>
          <w:lang w:val="zh-CN"/>
        </w:rPr>
        <w:t>单位营业执照复印件加盖公章、授权委托书或法人资格证明原件加盖公章的扫描件）发送至371706228@qq.com</w:t>
      </w:r>
      <w:r>
        <w:rPr>
          <w:rFonts w:hint="eastAsia" w:ascii="仿宋_GB2312" w:eastAsia="仿宋_GB2312" w:cs="宋体"/>
          <w:kern w:val="2"/>
          <w:sz w:val="24"/>
          <w:szCs w:val="24"/>
          <w:lang w:val="zh-CN"/>
        </w:rPr>
        <w:fldChar w:fldCharType="end"/>
      </w:r>
      <w:r>
        <w:rPr>
          <w:rFonts w:hint="eastAsia" w:ascii="仿宋_GB2312" w:eastAsia="仿宋_GB2312" w:cs="宋体"/>
          <w:kern w:val="2"/>
          <w:sz w:val="24"/>
          <w:szCs w:val="24"/>
          <w:lang w:val="zh-CN"/>
        </w:rPr>
        <w:t>邮箱登记报名。报名时留下邮箱及联系方式，报名成功后将由代理机构工作人员将</w:t>
      </w:r>
      <w:r>
        <w:rPr>
          <w:rFonts w:hint="eastAsia" w:ascii="仿宋_GB2312" w:eastAsia="仿宋_GB2312" w:cs="宋体"/>
          <w:kern w:val="2"/>
          <w:sz w:val="24"/>
          <w:szCs w:val="24"/>
        </w:rPr>
        <w:t>磋商</w:t>
      </w:r>
      <w:r>
        <w:rPr>
          <w:rFonts w:hint="eastAsia" w:ascii="仿宋_GB2312" w:eastAsia="仿宋_GB2312" w:cs="宋体"/>
          <w:kern w:val="2"/>
          <w:sz w:val="24"/>
          <w:szCs w:val="24"/>
          <w:lang w:val="zh-CN"/>
        </w:rPr>
        <w:t>文件电子稿发送至投标人电子邮箱。</w:t>
      </w:r>
    </w:p>
    <w:p>
      <w:pPr>
        <w:widowControl/>
        <w:adjustRightInd w:val="0"/>
        <w:snapToGrid w:val="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kern w:val="0"/>
          <w:sz w:val="24"/>
          <w:szCs w:val="24"/>
        </w:rPr>
        <w:t>三）售价：每套人民币0元整。</w:t>
      </w:r>
    </w:p>
    <w:p>
      <w:pPr>
        <w:pStyle w:val="23"/>
        <w:shd w:val="clear" w:color="auto" w:fill="FFFFFF"/>
        <w:spacing w:before="0" w:beforeAutospacing="0" w:after="0" w:afterAutospacing="0" w:line="460" w:lineRule="atLeast"/>
        <w:jc w:val="both"/>
        <w:rPr>
          <w:rFonts w:ascii="仿宋_GB2312" w:eastAsia="仿宋_GB2312"/>
          <w:spacing w:val="-6"/>
          <w:sz w:val="24"/>
          <w:szCs w:val="24"/>
        </w:rPr>
      </w:pPr>
      <w:r>
        <w:rPr>
          <w:rFonts w:hint="eastAsia" w:ascii="仿宋_GB2312" w:eastAsia="仿宋_GB2312"/>
          <w:b/>
          <w:spacing w:val="-6"/>
          <w:sz w:val="24"/>
          <w:szCs w:val="24"/>
        </w:rPr>
        <w:t>四、响应文件提交</w:t>
      </w:r>
      <w:r>
        <w:rPr>
          <w:rFonts w:hint="eastAsia" w:ascii="仿宋_GB2312" w:eastAsia="仿宋_GB2312"/>
          <w:spacing w:val="-6"/>
          <w:sz w:val="24"/>
          <w:szCs w:val="24"/>
        </w:rPr>
        <w:t>：</w:t>
      </w:r>
    </w:p>
    <w:p>
      <w:pPr>
        <w:pStyle w:val="23"/>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hint="eastAsia" w:ascii="仿宋_GB2312" w:eastAsia="仿宋_GB2312" w:cs="宋体"/>
          <w:sz w:val="24"/>
          <w:szCs w:val="24"/>
          <w:lang w:val="zh-CN"/>
        </w:rPr>
        <w:t>截止时间：</w:t>
      </w:r>
      <w:r>
        <w:rPr>
          <w:rFonts w:hint="eastAsia" w:ascii="仿宋_GB2312" w:eastAsia="仿宋_GB2312" w:cs="宋体"/>
          <w:sz w:val="24"/>
          <w:szCs w:val="24"/>
          <w:highlight w:val="none"/>
          <w:lang w:val="zh-CN"/>
        </w:rPr>
        <w:t>2023年</w:t>
      </w:r>
      <w:r>
        <w:rPr>
          <w:rFonts w:hint="eastAsia" w:ascii="仿宋_GB2312" w:eastAsia="仿宋_GB2312" w:cs="宋体"/>
          <w:sz w:val="24"/>
          <w:szCs w:val="24"/>
          <w:highlight w:val="none"/>
          <w:lang w:val="en-US" w:eastAsia="zh-CN"/>
        </w:rPr>
        <w:t>07月13日09</w:t>
      </w:r>
      <w:r>
        <w:rPr>
          <w:rFonts w:hint="eastAsia" w:ascii="仿宋_GB2312" w:eastAsia="仿宋_GB2312" w:cs="宋体"/>
          <w:sz w:val="24"/>
          <w:szCs w:val="24"/>
          <w:highlight w:val="none"/>
          <w:lang w:val="zh-CN"/>
        </w:rPr>
        <w:t>点</w:t>
      </w:r>
      <w:r>
        <w:rPr>
          <w:rFonts w:hint="eastAsia" w:ascii="仿宋_GB2312" w:eastAsia="仿宋_GB2312" w:cs="宋体"/>
          <w:sz w:val="24"/>
          <w:szCs w:val="24"/>
          <w:highlight w:val="none"/>
          <w:lang w:val="en-US" w:eastAsia="zh-CN"/>
        </w:rPr>
        <w:t>30</w:t>
      </w:r>
      <w:r>
        <w:rPr>
          <w:rFonts w:hint="eastAsia" w:ascii="仿宋_GB2312" w:eastAsia="仿宋_GB2312" w:cs="宋体"/>
          <w:sz w:val="24"/>
          <w:szCs w:val="24"/>
          <w:highlight w:val="none"/>
          <w:lang w:val="zh-CN"/>
        </w:rPr>
        <w:t>分（北京时间）</w:t>
      </w:r>
    </w:p>
    <w:p>
      <w:pPr>
        <w:pStyle w:val="23"/>
        <w:adjustRightInd w:val="0"/>
        <w:snapToGrid w:val="0"/>
        <w:spacing w:before="0" w:beforeAutospacing="0" w:after="0" w:afterAutospacing="0" w:line="360" w:lineRule="auto"/>
        <w:jc w:val="both"/>
        <w:rPr>
          <w:rFonts w:ascii="仿宋_GB2312" w:eastAsia="仿宋_GB2312"/>
          <w:spacing w:val="-6"/>
          <w:sz w:val="24"/>
          <w:szCs w:val="24"/>
          <w:highlight w:val="none"/>
        </w:rPr>
      </w:pPr>
      <w:r>
        <w:rPr>
          <w:rFonts w:hint="eastAsia" w:ascii="仿宋_GB2312" w:eastAsia="仿宋_GB2312" w:cs="宋体"/>
          <w:kern w:val="2"/>
          <w:sz w:val="24"/>
          <w:szCs w:val="24"/>
          <w:highlight w:val="none"/>
          <w:lang w:val="zh-CN"/>
        </w:rPr>
        <w:t>地点：芜湖市弋江区文昌西路22号皖南医学院滨江校区图书信息楼东辅楼5楼50</w:t>
      </w:r>
      <w:r>
        <w:rPr>
          <w:rFonts w:hint="eastAsia" w:ascii="仿宋_GB2312" w:eastAsia="仿宋_GB2312" w:cs="宋体"/>
          <w:kern w:val="2"/>
          <w:sz w:val="24"/>
          <w:szCs w:val="24"/>
          <w:highlight w:val="none"/>
          <w:lang w:val="en-US" w:eastAsia="zh-CN"/>
        </w:rPr>
        <w:t>13</w:t>
      </w:r>
      <w:r>
        <w:rPr>
          <w:rFonts w:hint="eastAsia" w:ascii="仿宋_GB2312" w:eastAsia="仿宋_GB2312" w:cs="宋体"/>
          <w:kern w:val="2"/>
          <w:sz w:val="24"/>
          <w:szCs w:val="24"/>
          <w:highlight w:val="none"/>
          <w:lang w:val="zh-CN"/>
        </w:rPr>
        <w:t>室。</w:t>
      </w:r>
    </w:p>
    <w:p>
      <w:pPr>
        <w:adjustRightInd w:val="0"/>
        <w:snapToGrid w:val="0"/>
        <w:spacing w:line="360" w:lineRule="auto"/>
        <w:ind w:firstLine="433" w:firstLineChars="189"/>
        <w:rPr>
          <w:rFonts w:ascii="仿宋_GB2312" w:hAnsi="宋体" w:eastAsia="仿宋_GB2312"/>
          <w:spacing w:val="-6"/>
          <w:sz w:val="24"/>
          <w:szCs w:val="24"/>
          <w:highlight w:val="none"/>
        </w:rPr>
      </w:pPr>
      <w:r>
        <w:rPr>
          <w:rFonts w:hint="eastAsia" w:ascii="仿宋_GB2312" w:hAnsi="宋体" w:eastAsia="仿宋_GB2312"/>
          <w:b/>
          <w:spacing w:val="-6"/>
          <w:sz w:val="24"/>
          <w:szCs w:val="24"/>
          <w:highlight w:val="none"/>
        </w:rPr>
        <w:t>五、响应文件开启时间、地点</w:t>
      </w:r>
      <w:r>
        <w:rPr>
          <w:rFonts w:hint="eastAsia" w:ascii="仿宋_GB2312" w:hAnsi="宋体" w:eastAsia="仿宋_GB2312"/>
          <w:spacing w:val="-6"/>
          <w:sz w:val="24"/>
          <w:szCs w:val="24"/>
          <w:highlight w:val="none"/>
        </w:rPr>
        <w:t>：</w:t>
      </w:r>
    </w:p>
    <w:p>
      <w:pPr>
        <w:adjustRightInd w:val="0"/>
        <w:snapToGrid w:val="0"/>
        <w:spacing w:line="360" w:lineRule="auto"/>
        <w:ind w:firstLine="430" w:firstLineChars="189"/>
        <w:rPr>
          <w:rFonts w:ascii="仿宋_GB2312" w:hAnsi="宋体" w:eastAsia="仿宋_GB2312"/>
          <w:spacing w:val="-6"/>
          <w:sz w:val="24"/>
          <w:szCs w:val="24"/>
        </w:rPr>
      </w:pPr>
      <w:r>
        <w:rPr>
          <w:rFonts w:hint="eastAsia" w:ascii="仿宋_GB2312" w:hAnsi="宋体" w:eastAsia="仿宋_GB2312"/>
          <w:spacing w:val="-6"/>
          <w:sz w:val="24"/>
          <w:szCs w:val="24"/>
          <w:highlight w:val="none"/>
        </w:rPr>
        <w:t>时间：</w:t>
      </w:r>
      <w:r>
        <w:rPr>
          <w:rFonts w:hint="eastAsia" w:ascii="仿宋_GB2312" w:eastAsia="仿宋_GB2312" w:cs="宋体"/>
          <w:sz w:val="24"/>
          <w:szCs w:val="24"/>
          <w:highlight w:val="none"/>
          <w:lang w:val="zh-CN"/>
        </w:rPr>
        <w:t>2023年</w:t>
      </w:r>
      <w:r>
        <w:rPr>
          <w:rFonts w:hint="eastAsia" w:ascii="仿宋_GB2312" w:eastAsia="仿宋_GB2312" w:cs="宋体"/>
          <w:sz w:val="24"/>
          <w:szCs w:val="24"/>
          <w:highlight w:val="none"/>
          <w:lang w:val="en-US" w:eastAsia="zh-CN"/>
        </w:rPr>
        <w:t>07月13日</w:t>
      </w:r>
      <w:r>
        <w:rPr>
          <w:rFonts w:hint="eastAsia" w:ascii="仿宋_GB2312" w:hAnsi="宋体" w:eastAsia="仿宋_GB2312"/>
          <w:spacing w:val="-6"/>
          <w:sz w:val="24"/>
          <w:szCs w:val="24"/>
          <w:highlight w:val="none"/>
          <w:lang w:val="en-US" w:eastAsia="zh-CN"/>
        </w:rPr>
        <w:t>09</w:t>
      </w:r>
      <w:r>
        <w:rPr>
          <w:rFonts w:hint="eastAsia" w:ascii="仿宋_GB2312" w:hAnsi="宋体" w:eastAsia="仿宋_GB2312"/>
          <w:spacing w:val="-6"/>
          <w:sz w:val="24"/>
          <w:szCs w:val="24"/>
          <w:highlight w:val="none"/>
        </w:rPr>
        <w:t>点</w:t>
      </w:r>
      <w:r>
        <w:rPr>
          <w:rFonts w:hint="eastAsia" w:ascii="仿宋_GB2312" w:hAnsi="宋体" w:eastAsia="仿宋_GB2312"/>
          <w:spacing w:val="-6"/>
          <w:sz w:val="24"/>
          <w:szCs w:val="24"/>
          <w:highlight w:val="none"/>
          <w:lang w:val="en-US" w:eastAsia="zh-CN"/>
        </w:rPr>
        <w:t>30</w:t>
      </w:r>
      <w:r>
        <w:rPr>
          <w:rFonts w:hint="eastAsia" w:ascii="仿宋_GB2312" w:hAnsi="宋体" w:eastAsia="仿宋_GB2312"/>
          <w:spacing w:val="-6"/>
          <w:sz w:val="24"/>
          <w:szCs w:val="24"/>
          <w:highlight w:val="none"/>
        </w:rPr>
        <w:t>分（</w:t>
      </w:r>
      <w:r>
        <w:rPr>
          <w:rFonts w:hint="eastAsia" w:ascii="仿宋_GB2312" w:hAnsi="宋体" w:eastAsia="仿宋_GB2312"/>
          <w:spacing w:val="-6"/>
          <w:sz w:val="24"/>
          <w:szCs w:val="24"/>
        </w:rPr>
        <w:t>北京时间）</w:t>
      </w:r>
    </w:p>
    <w:p>
      <w:pPr>
        <w:adjustRightInd w:val="0"/>
        <w:snapToGrid w:val="0"/>
        <w:spacing w:line="360" w:lineRule="auto"/>
        <w:ind w:firstLine="453" w:firstLineChars="189"/>
        <w:rPr>
          <w:rFonts w:ascii="仿宋_GB2312" w:hAnsi="宋体" w:eastAsia="仿宋_GB2312" w:cs="宋体"/>
          <w:sz w:val="24"/>
          <w:szCs w:val="24"/>
          <w:lang w:val="zh-CN"/>
        </w:rPr>
      </w:pPr>
      <w:r>
        <w:rPr>
          <w:rFonts w:hint="eastAsia" w:ascii="仿宋_GB2312" w:hAnsi="宋体" w:eastAsia="仿宋_GB2312" w:cs="宋体"/>
          <w:sz w:val="24"/>
          <w:szCs w:val="24"/>
          <w:lang w:val="zh-CN"/>
        </w:rPr>
        <w:t>地点：芜湖市弋江区文昌西路22号皖南医学院滨江校区图书信息楼东辅楼5楼50</w:t>
      </w:r>
      <w:r>
        <w:rPr>
          <w:rFonts w:hint="eastAsia" w:ascii="仿宋_GB2312" w:hAnsi="宋体" w:eastAsia="仿宋_GB2312" w:cs="宋体"/>
          <w:sz w:val="24"/>
          <w:szCs w:val="24"/>
          <w:lang w:val="en-US" w:eastAsia="zh-CN"/>
        </w:rPr>
        <w:t>13</w:t>
      </w:r>
      <w:r>
        <w:rPr>
          <w:rFonts w:hint="eastAsia" w:ascii="仿宋_GB2312" w:hAnsi="宋体" w:eastAsia="仿宋_GB2312" w:cs="宋体"/>
          <w:sz w:val="24"/>
          <w:szCs w:val="24"/>
          <w:lang w:val="zh-CN"/>
        </w:rPr>
        <w:t>室。</w:t>
      </w:r>
    </w:p>
    <w:p>
      <w:pPr>
        <w:adjustRightInd w:val="0"/>
        <w:snapToGrid w:val="0"/>
        <w:spacing w:line="360" w:lineRule="auto"/>
        <w:ind w:firstLine="455" w:firstLineChars="189"/>
        <w:rPr>
          <w:rFonts w:ascii="仿宋_GB2312" w:eastAsia="仿宋_GB2312"/>
          <w:sz w:val="24"/>
          <w:szCs w:val="24"/>
        </w:rPr>
      </w:pPr>
      <w:r>
        <w:rPr>
          <w:rFonts w:hint="eastAsia" w:ascii="仿宋_GB2312" w:eastAsia="仿宋_GB2312"/>
          <w:b/>
          <w:sz w:val="24"/>
          <w:szCs w:val="24"/>
        </w:rPr>
        <w:t>六、其他补充事宜</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（一）本项目免收磋商保证金。</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（二）代理服务费：</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（1）支付方：</w:t>
      </w:r>
      <w:r>
        <w:rPr>
          <w:rFonts w:hint="eastAsia" w:ascii="仿宋_GB2312" w:hAnsi="仿宋_GB2312" w:eastAsia="仿宋_GB2312" w:cs="仿宋_GB2312"/>
          <w:kern w:val="0"/>
          <w:sz w:val="24"/>
          <w:szCs w:val="24"/>
        </w:rPr>
        <w:t>成交</w:t>
      </w:r>
      <w:r>
        <w:rPr>
          <w:rFonts w:hint="eastAsia" w:ascii="仿宋_GB2312" w:eastAsia="仿宋_GB2312"/>
          <w:sz w:val="24"/>
          <w:szCs w:val="24"/>
        </w:rPr>
        <w:t>供应商。</w:t>
      </w:r>
    </w:p>
    <w:p>
      <w:pPr>
        <w:adjustRightInd w:val="0"/>
        <w:snapToGrid w:val="0"/>
        <w:spacing w:line="360" w:lineRule="auto"/>
        <w:ind w:firstLine="453" w:firstLineChars="189"/>
      </w:pPr>
      <w:r>
        <w:rPr>
          <w:rFonts w:hint="eastAsia" w:ascii="仿宋_GB2312" w:eastAsia="仿宋_GB2312"/>
          <w:sz w:val="24"/>
          <w:szCs w:val="24"/>
        </w:rPr>
        <w:t>（2）支付标准：按照计价格[2002]1980号文件的标准执行。</w:t>
      </w:r>
    </w:p>
    <w:p>
      <w:pPr>
        <w:adjustRightInd w:val="0"/>
        <w:snapToGrid w:val="0"/>
        <w:spacing w:line="360" w:lineRule="auto"/>
        <w:ind w:firstLine="455" w:firstLineChars="189"/>
        <w:rPr>
          <w:rFonts w:ascii="仿宋_GB2312" w:eastAsia="仿宋_GB2312"/>
          <w:b/>
          <w:sz w:val="24"/>
          <w:szCs w:val="24"/>
        </w:rPr>
      </w:pPr>
      <w:r>
        <w:rPr>
          <w:rFonts w:hint="eastAsia" w:ascii="仿宋_GB2312" w:eastAsia="仿宋_GB2312"/>
          <w:b/>
          <w:sz w:val="24"/>
          <w:szCs w:val="24"/>
        </w:rPr>
        <w:t>七、凡对本次谈判提出询问，请按以下方式联系。</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（1）采购人信息</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名称：皖南医学院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地址：安徽省芜湖市弋江区文昌西路 22 号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联系方式：</w:t>
      </w:r>
      <w:r>
        <w:rPr>
          <w:rFonts w:hint="eastAsia" w:ascii="仿宋_GB2312" w:eastAsia="仿宋_GB2312"/>
          <w:sz w:val="24"/>
          <w:szCs w:val="24"/>
          <w:lang w:eastAsia="zh-CN"/>
        </w:rPr>
        <w:t>何老师</w:t>
      </w:r>
      <w:r>
        <w:rPr>
          <w:rFonts w:hint="eastAsia" w:ascii="仿宋_GB2312" w:eastAsia="仿宋_GB2312"/>
          <w:sz w:val="24"/>
          <w:szCs w:val="24"/>
        </w:rPr>
        <w:t>0553-3932052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（2）代理机构信息</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名称：安徽中技工程咨询有限公司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地址：安徽省芜湖市鸠江区中江大道和仁和路交口柏庄财富广场2号办公楼301室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联系方式：</w:t>
      </w:r>
      <w:r>
        <w:rPr>
          <w:rFonts w:hint="eastAsia" w:ascii="仿宋_GB2312" w:eastAsia="仿宋_GB2312"/>
          <w:sz w:val="24"/>
          <w:szCs w:val="24"/>
          <w:lang w:eastAsia="zh-CN"/>
        </w:rPr>
        <w:t>18055360547</w:t>
      </w:r>
      <w:r>
        <w:rPr>
          <w:rFonts w:hint="eastAsia" w:ascii="仿宋_GB2312" w:eastAsia="仿宋_GB2312"/>
          <w:sz w:val="24"/>
          <w:szCs w:val="24"/>
        </w:rPr>
        <w:t>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（3）项目联系方式</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项目联系人：万工 　　　　　　　　　　　 </w:t>
      </w:r>
    </w:p>
    <w:p>
      <w:pPr>
        <w:adjustRightInd w:val="0"/>
        <w:snapToGrid w:val="0"/>
        <w:spacing w:line="360" w:lineRule="auto"/>
        <w:ind w:firstLine="453" w:firstLineChars="189"/>
        <w:rPr>
          <w:rFonts w:hint="eastAsia" w:ascii="仿宋_GB2312" w:eastAsia="仿宋_GB2312"/>
          <w:sz w:val="24"/>
          <w:szCs w:val="24"/>
          <w:lang w:eastAsia="zh-CN"/>
        </w:rPr>
      </w:pPr>
      <w:r>
        <w:rPr>
          <w:rFonts w:hint="eastAsia" w:ascii="仿宋_GB2312" w:eastAsia="仿宋_GB2312"/>
          <w:sz w:val="24"/>
          <w:szCs w:val="24"/>
        </w:rPr>
        <w:t>电话：</w:t>
      </w:r>
      <w:r>
        <w:rPr>
          <w:rFonts w:hint="eastAsia" w:ascii="仿宋_GB2312" w:eastAsia="仿宋_GB2312"/>
          <w:sz w:val="24"/>
          <w:szCs w:val="24"/>
          <w:lang w:eastAsia="zh-CN"/>
        </w:rPr>
        <w:t>18055360547</w:t>
      </w:r>
    </w:p>
    <w:p>
      <w:pPr>
        <w:adjustRightInd w:val="0"/>
        <w:snapToGrid w:val="0"/>
        <w:spacing w:line="360" w:lineRule="auto"/>
        <w:rPr>
          <w:rFonts w:ascii="仿宋_GB2312" w:eastAsia="仿宋_GB2312"/>
          <w:sz w:val="24"/>
          <w:szCs w:val="24"/>
        </w:rPr>
      </w:pPr>
    </w:p>
    <w:p>
      <w:pPr>
        <w:adjustRightInd w:val="0"/>
        <w:snapToGrid w:val="0"/>
        <w:spacing w:line="360" w:lineRule="auto"/>
        <w:ind w:firstLine="453" w:firstLineChars="189"/>
        <w:jc w:val="right"/>
        <w:rPr>
          <w:rFonts w:ascii="仿宋_GB2312" w:eastAsia="仿宋_GB2312"/>
          <w:sz w:val="24"/>
          <w:szCs w:val="24"/>
        </w:rPr>
      </w:pPr>
      <w:r>
        <w:rPr>
          <w:rFonts w:hint="eastAsia" w:ascii="仿宋_GB2312" w:eastAsia="仿宋_GB2312"/>
          <w:sz w:val="24"/>
          <w:szCs w:val="24"/>
        </w:rPr>
        <w:t>采购人：皖南医学院</w:t>
      </w:r>
    </w:p>
    <w:p>
      <w:pPr>
        <w:adjustRightInd w:val="0"/>
        <w:snapToGrid w:val="0"/>
        <w:spacing w:line="360" w:lineRule="auto"/>
        <w:ind w:firstLine="453" w:firstLineChars="189"/>
        <w:jc w:val="right"/>
        <w:rPr>
          <w:rFonts w:ascii="仿宋_GB2312" w:eastAsia="仿宋_GB2312"/>
          <w:sz w:val="24"/>
          <w:szCs w:val="24"/>
        </w:rPr>
      </w:pPr>
      <w:r>
        <w:rPr>
          <w:rFonts w:hint="eastAsia" w:ascii="仿宋_GB2312" w:eastAsia="仿宋_GB2312"/>
          <w:sz w:val="24"/>
          <w:szCs w:val="24"/>
        </w:rPr>
        <w:t>代理机构：安徽中技工程咨询有限公司</w:t>
      </w:r>
    </w:p>
    <w:p>
      <w:pPr>
        <w:adjustRightInd w:val="0"/>
        <w:snapToGrid w:val="0"/>
        <w:spacing w:line="360" w:lineRule="auto"/>
        <w:ind w:firstLine="453" w:firstLineChars="189"/>
        <w:jc w:val="right"/>
        <w:rPr>
          <w:rFonts w:ascii="华文中宋" w:hAnsi="华文中宋" w:eastAsia="华文中宋"/>
        </w:rPr>
      </w:pPr>
      <w:r>
        <w:rPr>
          <w:rFonts w:hint="eastAsia" w:ascii="仿宋_GB2312" w:eastAsia="仿宋_GB2312"/>
          <w:sz w:val="24"/>
          <w:szCs w:val="24"/>
        </w:rPr>
        <w:t> </w:t>
      </w:r>
      <w:r>
        <w:rPr>
          <w:rFonts w:hint="eastAsia" w:ascii="仿宋_GB2312" w:eastAsia="仿宋_GB2312"/>
          <w:sz w:val="24"/>
          <w:szCs w:val="24"/>
          <w:highlight w:val="none"/>
        </w:rPr>
        <w:t xml:space="preserve">        </w:t>
      </w:r>
      <w:r>
        <w:rPr>
          <w:rFonts w:hint="eastAsia" w:ascii="仿宋_GB2312" w:eastAsia="仿宋_GB2312"/>
          <w:sz w:val="24"/>
          <w:szCs w:val="24"/>
          <w:highlight w:val="none"/>
          <w:lang w:eastAsia="zh-CN"/>
        </w:rPr>
        <w:t>2023年</w:t>
      </w:r>
      <w:r>
        <w:rPr>
          <w:rFonts w:hint="eastAsia" w:ascii="仿宋_GB2312" w:eastAsia="仿宋_GB2312"/>
          <w:sz w:val="24"/>
          <w:szCs w:val="24"/>
          <w:highlight w:val="none"/>
          <w:lang w:val="en-US" w:eastAsia="zh-CN"/>
        </w:rPr>
        <w:t>07</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03</w:t>
      </w:r>
      <w:r>
        <w:rPr>
          <w:rFonts w:hint="eastAsia" w:ascii="仿宋_GB2312" w:eastAsia="仿宋_GB2312"/>
          <w:sz w:val="24"/>
          <w:szCs w:val="24"/>
          <w:highlight w:val="none"/>
        </w:rPr>
        <w:t>日</w:t>
      </w:r>
      <w:bookmarkEnd w:id="157"/>
      <w:r>
        <w:rPr>
          <w:rFonts w:hint="eastAsia" w:ascii="华文中宋" w:hAnsi="华文中宋" w:eastAsia="华文中宋"/>
        </w:rPr>
        <w:br w:type="page"/>
      </w:r>
    </w:p>
    <w:p>
      <w:pPr>
        <w:pStyle w:val="3"/>
        <w:snapToGrid w:val="0"/>
        <w:spacing w:before="0" w:after="0"/>
        <w:ind w:left="947" w:firstLine="0"/>
        <w:jc w:val="center"/>
        <w:rPr>
          <w:rFonts w:ascii="华文中宋" w:hAnsi="华文中宋" w:eastAsia="华文中宋"/>
          <w:color w:val="auto"/>
        </w:rPr>
      </w:pPr>
      <w:bookmarkStart w:id="1" w:name="_Toc30394"/>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条款号</w:t>
            </w:r>
          </w:p>
        </w:tc>
        <w:tc>
          <w:tcPr>
            <w:tcW w:w="1635"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条款名称</w:t>
            </w:r>
          </w:p>
        </w:tc>
        <w:tc>
          <w:tcPr>
            <w:tcW w:w="6480"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皖南医学院脑科学研究院临床研究部办公室装修工程</w:t>
            </w:r>
            <w:r>
              <w:rPr>
                <w:rFonts w:hint="eastAsia" w:ascii="仿宋_GB2312" w:hAnsi="仿宋_GB2312" w:eastAsia="仿宋_GB2312" w:cs="仿宋_GB2312"/>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皖南医学院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招标范围</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（具体详见磋商公告和工程量清单）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投标人资质条件、能力和信誉</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分包</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磋商保证金</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磋商保证金的退付</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是否允许递交备选投标方案</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签字或盖章要求</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2.10</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投标文件份数</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纸质响应文件：正本</w:t>
            </w:r>
            <w:r>
              <w:rPr>
                <w:rFonts w:hint="eastAsia" w:ascii="仿宋_GB2312" w:hAnsi="仿宋_GB2312" w:eastAsia="仿宋_GB2312" w:cs="仿宋_GB2312"/>
                <w:kern w:val="0"/>
                <w:sz w:val="24"/>
                <w:szCs w:val="24"/>
                <w:u w:val="single"/>
              </w:rPr>
              <w:t xml:space="preserve"> 壹  </w:t>
            </w:r>
            <w:r>
              <w:rPr>
                <w:rFonts w:hint="eastAsia" w:ascii="仿宋_GB2312" w:hAnsi="仿宋_GB2312" w:eastAsia="仿宋_GB2312" w:cs="仿宋_GB2312"/>
                <w:kern w:val="0"/>
                <w:sz w:val="24"/>
                <w:szCs w:val="24"/>
              </w:rPr>
              <w:t>份，副本</w:t>
            </w:r>
            <w:r>
              <w:rPr>
                <w:rFonts w:hint="eastAsia" w:ascii="仿宋_GB2312" w:hAnsi="仿宋_GB2312" w:eastAsia="仿宋_GB2312" w:cs="仿宋_GB2312"/>
                <w:kern w:val="0"/>
                <w:sz w:val="24"/>
                <w:szCs w:val="24"/>
                <w:u w:val="single"/>
              </w:rPr>
              <w:t xml:space="preserve"> 贰  </w:t>
            </w:r>
            <w:r>
              <w:rPr>
                <w:rFonts w:hint="eastAsia" w:ascii="仿宋_GB2312" w:hAnsi="仿宋_GB2312" w:eastAsia="仿宋_GB2312" w:cs="仿宋_GB2312"/>
                <w:kern w:val="0"/>
                <w:sz w:val="24"/>
                <w:szCs w:val="24"/>
              </w:rPr>
              <w:t>份。</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递交响应文件时提供下列材料，否则投标人的响应文件不予接收：法定代表人或授权委托人身份证明；《法定代表人证明》或《法定代表人授权委托书》。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递交响应文件时间、地点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2.12</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递交响应文件截止和开标时间、地点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2.13</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工期</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lang w:val="en-US" w:eastAsia="zh-CN"/>
              </w:rPr>
              <w:t>工期</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25日历天</w:t>
            </w:r>
            <w:r>
              <w:rPr>
                <w:rFonts w:hint="eastAsia" w:ascii="仿宋_GB2312" w:hAnsi="仿宋_GB2312" w:eastAsia="仿宋_GB2312" w:cs="仿宋_GB2312"/>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2.14</w:t>
            </w:r>
          </w:p>
        </w:tc>
        <w:tc>
          <w:tcPr>
            <w:tcW w:w="1635" w:type="dxa"/>
            <w:vAlign w:val="center"/>
          </w:tcPr>
          <w:p>
            <w:pPr>
              <w:widowControl/>
              <w:spacing w:line="360" w:lineRule="exact"/>
              <w:jc w:val="center"/>
              <w:rPr>
                <w:rFonts w:hint="eastAsia" w:ascii="仿宋" w:hAnsi="仿宋" w:eastAsia="仿宋" w:cs="仿宋"/>
                <w:kern w:val="0"/>
                <w:sz w:val="28"/>
                <w:szCs w:val="21"/>
                <w:lang w:val="en-US" w:eastAsia="zh-CN" w:bidi="ar-SA"/>
              </w:rPr>
            </w:pPr>
            <w:r>
              <w:rPr>
                <w:rFonts w:hint="eastAsia" w:ascii="仿宋_GB2312" w:hAnsi="仿宋_GB2312" w:eastAsia="仿宋_GB2312" w:cs="仿宋_GB2312"/>
                <w:kern w:val="0"/>
                <w:sz w:val="24"/>
                <w:szCs w:val="24"/>
                <w:lang w:val="en-US" w:eastAsia="zh-CN"/>
              </w:rPr>
              <w:t>踏勘现场</w:t>
            </w:r>
          </w:p>
        </w:tc>
        <w:tc>
          <w:tcPr>
            <w:tcW w:w="6480" w:type="dxa"/>
            <w:vAlign w:val="center"/>
          </w:tcPr>
          <w:p>
            <w:pPr>
              <w:spacing w:line="300" w:lineRule="auto"/>
              <w:rPr>
                <w:rFonts w:hint="default" w:ascii="仿宋" w:hAnsi="仿宋" w:eastAsia="仿宋" w:cs="仿宋"/>
                <w:kern w:val="0"/>
                <w:sz w:val="28"/>
                <w:szCs w:val="21"/>
                <w:lang w:val="en-US" w:eastAsia="zh-CN" w:bidi="ar-SA"/>
              </w:rPr>
            </w:pPr>
            <w:r>
              <w:rPr>
                <w:rFonts w:hint="eastAsia" w:ascii="仿宋_GB2312" w:hAnsi="仿宋_GB2312" w:eastAsia="仿宋_GB2312" w:cs="仿宋_GB2312"/>
                <w:kern w:val="0"/>
                <w:sz w:val="24"/>
                <w:szCs w:val="24"/>
                <w:lang w:val="en-US" w:eastAsia="zh-CN"/>
              </w:rPr>
              <w:t>自行踏勘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2.15</w:t>
            </w:r>
          </w:p>
        </w:tc>
        <w:tc>
          <w:tcPr>
            <w:tcW w:w="1635" w:type="dxa"/>
            <w:vAlign w:val="center"/>
          </w:tcPr>
          <w:p>
            <w:pPr>
              <w:widowControl/>
              <w:spacing w:line="3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w:t>
            </w:r>
            <w:r>
              <w:rPr>
                <w:rFonts w:hint="eastAsia" w:ascii="仿宋_GB2312" w:hAnsi="仿宋_GB2312" w:eastAsia="仿宋_GB2312" w:cs="仿宋_GB2312"/>
                <w:kern w:val="0"/>
                <w:sz w:val="24"/>
                <w:szCs w:val="24"/>
              </w:rPr>
              <w:t>地点</w:t>
            </w:r>
          </w:p>
        </w:tc>
        <w:tc>
          <w:tcPr>
            <w:tcW w:w="6480" w:type="dxa"/>
            <w:vAlign w:val="center"/>
          </w:tcPr>
          <w:p>
            <w:pPr>
              <w:snapToGrid w:val="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highlight w:val="none"/>
                <w:lang w:val="en-US" w:eastAsia="zh-CN"/>
              </w:rPr>
              <w:t>皖南医学院滨江校区</w:t>
            </w:r>
            <w:r>
              <w:rPr>
                <w:rFonts w:hint="eastAsia" w:ascii="仿宋_GB2312" w:hAnsi="仿宋_GB2312" w:eastAsia="仿宋_GB2312" w:cs="仿宋_GB2312"/>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80" w:type="dxa"/>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2.16</w:t>
            </w:r>
          </w:p>
        </w:tc>
        <w:tc>
          <w:tcPr>
            <w:tcW w:w="1635" w:type="dxa"/>
            <w:vAlign w:val="center"/>
          </w:tcPr>
          <w:p>
            <w:pPr>
              <w:widowControl/>
              <w:spacing w:line="3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质量标准</w:t>
            </w:r>
          </w:p>
        </w:tc>
        <w:tc>
          <w:tcPr>
            <w:tcW w:w="6480" w:type="dxa"/>
            <w:vAlign w:val="center"/>
          </w:tcPr>
          <w:p>
            <w:pPr>
              <w:snapToGrid w:val="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2.17</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付款方式</w:t>
            </w:r>
          </w:p>
        </w:tc>
        <w:tc>
          <w:tcPr>
            <w:tcW w:w="6480" w:type="dxa"/>
            <w:vAlign w:val="center"/>
          </w:tcPr>
          <w:p>
            <w:pPr>
              <w:pStyle w:val="2"/>
              <w:ind w:left="0" w:leftChars="0" w:firstLine="0" w:firstLineChars="0"/>
            </w:pPr>
            <w:r>
              <w:rPr>
                <w:rFonts w:hint="eastAsia" w:ascii="仿宋_GB2312" w:hAnsi="仿宋_GB2312" w:eastAsia="仿宋_GB2312" w:cs="仿宋_GB2312"/>
                <w:kern w:val="0"/>
                <w:sz w:val="24"/>
                <w:szCs w:val="24"/>
                <w:highlight w:val="none"/>
                <w:lang w:val="en-US" w:eastAsia="zh-CN" w:bidi="ar-SA"/>
              </w:rPr>
              <w:t>本工程不支付进度款，工程完工后由甲方组织验收，验收合格后凭乙方提供的发票支付至合同价（不含暂列金额）的</w:t>
            </w:r>
            <w:r>
              <w:rPr>
                <w:rFonts w:hint="default" w:ascii="仿宋_GB2312" w:hAnsi="仿宋_GB2312" w:eastAsia="仿宋_GB2312" w:cs="仿宋_GB2312"/>
                <w:kern w:val="0"/>
                <w:sz w:val="24"/>
                <w:szCs w:val="24"/>
                <w:highlight w:val="none"/>
                <w:lang w:val="en-US" w:eastAsia="zh-CN" w:bidi="ar-SA"/>
              </w:rPr>
              <w:t>8</w:t>
            </w:r>
            <w:r>
              <w:rPr>
                <w:rFonts w:hint="eastAsia" w:ascii="仿宋_GB2312" w:hAnsi="仿宋_GB2312" w:eastAsia="仿宋_GB2312" w:cs="仿宋_GB2312"/>
                <w:kern w:val="0"/>
                <w:sz w:val="24"/>
                <w:szCs w:val="24"/>
                <w:highlight w:val="none"/>
                <w:lang w:val="en-US" w:eastAsia="zh-CN" w:bidi="ar-SA"/>
              </w:rPr>
              <w:t>5%；审计完成，乙方先将金额为终审价</w:t>
            </w:r>
            <w:r>
              <w:rPr>
                <w:rFonts w:hint="default" w:ascii="仿宋_GB2312" w:hAnsi="仿宋_GB2312" w:eastAsia="仿宋_GB2312" w:cs="仿宋_GB2312"/>
                <w:kern w:val="0"/>
                <w:sz w:val="24"/>
                <w:szCs w:val="24"/>
                <w:highlight w:val="none"/>
                <w:lang w:val="en-US" w:eastAsia="zh-CN" w:bidi="ar-SA"/>
              </w:rPr>
              <w:t>3</w:t>
            </w:r>
            <w:r>
              <w:rPr>
                <w:rFonts w:hint="eastAsia" w:ascii="仿宋_GB2312" w:hAnsi="仿宋_GB2312" w:eastAsia="仿宋_GB2312" w:cs="仿宋_GB2312"/>
                <w:kern w:val="0"/>
                <w:sz w:val="24"/>
                <w:szCs w:val="24"/>
                <w:highlight w:val="none"/>
                <w:lang w:val="en-US" w:eastAsia="zh-CN" w:bidi="ar-SA"/>
              </w:rPr>
              <w:t>%的质保金汇入甲方账户，甲方凭发票及质保金汇款凭证付至终审价的100%；质保期满后无质量问题一次性无息退还质保金（质保期从验收合格之日起计算）。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2.18</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合同履约担保</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金额：成交价的</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形式：从投标单位账户以转账方式汇入到达指定账户（注明“</w:t>
            </w:r>
            <w:r>
              <w:rPr>
                <w:rFonts w:hint="eastAsia" w:ascii="仿宋_GB2312" w:hAnsi="仿宋_GB2312" w:eastAsia="仿宋_GB2312" w:cs="仿宋_GB2312"/>
                <w:kern w:val="0"/>
                <w:sz w:val="24"/>
                <w:szCs w:val="24"/>
                <w:lang w:eastAsia="zh-CN"/>
              </w:rPr>
              <w:t>WYGZ2023039</w:t>
            </w:r>
            <w:r>
              <w:rPr>
                <w:rFonts w:hint="eastAsia" w:ascii="仿宋_GB2312" w:hAnsi="仿宋_GB2312" w:eastAsia="仿宋_GB2312" w:cs="仿宋_GB2312"/>
                <w:kern w:val="0"/>
                <w:sz w:val="24"/>
                <w:szCs w:val="24"/>
              </w:rPr>
              <w:t>履约保证金”）</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 户 名：皖南医学院</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开户银行：安徽省芜湖市建行中山路支行</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帐　　号：34001672208050139762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2.19</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履约保证金交纳及退付</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2.20</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磋商有效期</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自磋商之日起30天内。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2.21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代理服务费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本次招标代理服务费由成交供应商在领取成交通知书时一次性向代理机构支付。代理服务费：</w:t>
            </w:r>
            <w:r>
              <w:rPr>
                <w:rFonts w:hint="eastAsia" w:ascii="仿宋_GB2312" w:eastAsia="仿宋_GB2312"/>
                <w:sz w:val="24"/>
                <w:szCs w:val="24"/>
              </w:rPr>
              <w:t>按照计价格[2002]1980号文件的标准执行</w:t>
            </w:r>
            <w:r>
              <w:rPr>
                <w:rFonts w:hint="eastAsia" w:ascii="仿宋_GB2312" w:hAnsi="仿宋_GB2312" w:eastAsia="仿宋_GB2312" w:cs="仿宋_GB2312"/>
                <w:kern w:val="0"/>
                <w:sz w:val="24"/>
                <w:szCs w:val="24"/>
              </w:rPr>
              <w:t>，专家咨询费由</w:t>
            </w:r>
            <w:r>
              <w:rPr>
                <w:rFonts w:hint="eastAsia" w:ascii="仿宋_GB2312" w:hAnsi="仿宋_GB2312" w:eastAsia="仿宋_GB2312" w:cs="仿宋_GB2312"/>
                <w:kern w:val="0"/>
                <w:sz w:val="24"/>
                <w:szCs w:val="24"/>
                <w:lang w:val="en-US" w:eastAsia="zh-CN"/>
              </w:rPr>
              <w:t>成交</w:t>
            </w:r>
            <w:r>
              <w:rPr>
                <w:rFonts w:hint="eastAsia" w:ascii="仿宋_GB2312" w:hAnsi="仿宋_GB2312" w:eastAsia="仿宋_GB2312" w:cs="仿宋_GB2312"/>
                <w:kern w:val="0"/>
                <w:sz w:val="24"/>
                <w:szCs w:val="24"/>
              </w:rPr>
              <w:t>供应商按实际发放数额支付。（以上费用包含在投标报价中，投标人报价时须充分考虑（不单独报价））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1"/>
                <w:szCs w:val="21"/>
                <w:lang w:val="en-US" w:eastAsia="zh-CN"/>
              </w:rPr>
              <w:t>2.22</w:t>
            </w:r>
          </w:p>
        </w:tc>
        <w:tc>
          <w:tcPr>
            <w:tcW w:w="1635" w:type="dxa"/>
            <w:vAlign w:val="center"/>
          </w:tcPr>
          <w:p>
            <w:pPr>
              <w:widowControl/>
              <w:spacing w:line="3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特别说明</w:t>
            </w:r>
          </w:p>
        </w:tc>
        <w:tc>
          <w:tcPr>
            <w:tcW w:w="6480" w:type="dxa"/>
            <w:vAlign w:val="center"/>
          </w:tcPr>
          <w:p>
            <w:pPr>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1、本文件所称的“营业执照”包括：营业执照、事业单位法人证书、社会团体法人登记证、民办非企业单位登记证书。</w:t>
            </w:r>
          </w:p>
          <w:p>
            <w:pPr>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2、本文件所称的“法定代表人”包括：法定代表人、负责人、经营者。</w:t>
            </w:r>
          </w:p>
          <w:p>
            <w:pPr>
              <w:snapToGrid w:val="0"/>
              <w:rPr>
                <w:rFonts w:hint="eastAsia" w:ascii="Times New Roman" w:hAnsi="Times New Roman" w:eastAsia="仿宋_GB2312" w:cs="Times New Roman"/>
                <w:kern w:val="2"/>
                <w:sz w:val="24"/>
                <w:lang w:val="en-US" w:eastAsia="zh-CN" w:bidi="ar-SA"/>
              </w:rPr>
            </w:pPr>
            <w:r>
              <w:rPr>
                <w:rFonts w:hint="eastAsia" w:ascii="仿宋_GB2312" w:hAnsi="仿宋_GB2312" w:eastAsia="仿宋_GB2312" w:cs="仿宋_GB2312"/>
                <w:kern w:val="0"/>
                <w:sz w:val="24"/>
                <w:szCs w:val="24"/>
              </w:rPr>
              <w:t>3、本文件所称的“投标人”按“供应商”理解，“投标文件”按“响应文件”理解，“招标文件”按“竞争性磋商文件”理解，“投标文件递交截止时间”按“（首次）递交响应文件截止时间”理解，“开标”按“开启响应文件”理解，“评标委员会”按“磋商小组”理解，“投标无效”按“响应文件无效”理解</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2.23</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诚信投标温馨提示：参加本次采购活动的供应商在投标文件中提供的所有资料均应真实，如有虚假，将被取消中标资格并承担不利法律后果。</w:t>
            </w:r>
          </w:p>
        </w:tc>
      </w:tr>
    </w:tbl>
    <w:p>
      <w:pPr>
        <w:pStyle w:val="3"/>
        <w:snapToGrid w:val="0"/>
        <w:spacing w:before="0" w:after="0"/>
        <w:jc w:val="center"/>
        <w:rPr>
          <w:rFonts w:ascii="华文中宋" w:hAnsi="华文中宋" w:eastAsia="华文中宋"/>
          <w:color w:val="auto"/>
        </w:rPr>
      </w:pPr>
    </w:p>
    <w:p>
      <w:pPr>
        <w:rPr>
          <w:rFonts w:ascii="华文中宋" w:hAnsi="华文中宋" w:eastAsia="华文中宋"/>
        </w:rPr>
      </w:pPr>
      <w:r>
        <w:rPr>
          <w:rFonts w:hint="eastAsia" w:ascii="华文中宋" w:hAnsi="华文中宋" w:eastAsia="华文中宋"/>
        </w:rPr>
        <w:br w:type="page"/>
      </w:r>
    </w:p>
    <w:p>
      <w:pPr>
        <w:pStyle w:val="3"/>
        <w:snapToGrid w:val="0"/>
        <w:spacing w:before="0" w:after="0"/>
        <w:jc w:val="center"/>
        <w:rPr>
          <w:rFonts w:ascii="华文中宋" w:hAnsi="华文中宋" w:eastAsia="华文中宋"/>
          <w:color w:val="auto"/>
        </w:rPr>
      </w:pPr>
      <w:bookmarkStart w:id="2" w:name="_Toc19733"/>
      <w:r>
        <w:rPr>
          <w:rFonts w:hint="eastAsia" w:ascii="华文中宋" w:hAnsi="华文中宋" w:eastAsia="华文中宋"/>
          <w:color w:val="auto"/>
        </w:rPr>
        <w:t>第三章  磋商须知</w:t>
      </w:r>
      <w:bookmarkEnd w:id="2"/>
    </w:p>
    <w:p>
      <w:pPr>
        <w:adjustRightInd w:val="0"/>
        <w:snapToGrid w:val="0"/>
        <w:spacing w:line="360" w:lineRule="auto"/>
        <w:ind w:firstLine="480" w:firstLineChars="200"/>
        <w:rPr>
          <w:rFonts w:ascii="仿宋_GB2312" w:hAnsi="宋体" w:eastAsia="仿宋_GB2312"/>
          <w:sz w:val="24"/>
          <w:szCs w:val="24"/>
        </w:rPr>
      </w:pPr>
      <w:bookmarkStart w:id="3" w:name="_Toc16938519"/>
      <w:bookmarkStart w:id="4" w:name="_Toc120614214"/>
      <w:bookmarkStart w:id="5" w:name="_Toc20823275"/>
      <w:bookmarkStart w:id="6" w:name="_Toc513029203"/>
      <w:bookmarkStart w:id="7" w:name="_Toc403987205"/>
      <w:r>
        <w:rPr>
          <w:rFonts w:hint="eastAsia" w:ascii="仿宋_GB2312" w:hAnsi="宋体" w:eastAsia="仿宋_GB2312"/>
          <w:sz w:val="24"/>
          <w:szCs w:val="24"/>
        </w:rPr>
        <w:t>一、总则</w:t>
      </w:r>
      <w:bookmarkEnd w:id="3"/>
      <w:bookmarkEnd w:id="4"/>
      <w:bookmarkEnd w:id="5"/>
      <w:bookmarkEnd w:id="6"/>
      <w:bookmarkEnd w:id="7"/>
    </w:p>
    <w:p>
      <w:pPr>
        <w:adjustRightInd w:val="0"/>
        <w:snapToGrid w:val="0"/>
        <w:spacing w:line="360" w:lineRule="auto"/>
        <w:ind w:firstLine="480" w:firstLineChars="200"/>
        <w:rPr>
          <w:rFonts w:ascii="仿宋_GB2312" w:eastAsia="仿宋_GB2312"/>
          <w:sz w:val="24"/>
          <w:szCs w:val="24"/>
        </w:rPr>
      </w:pPr>
      <w:bookmarkStart w:id="8" w:name="_Hlt16619475"/>
      <w:bookmarkEnd w:id="8"/>
      <w:bookmarkStart w:id="9" w:name="_Toc16938520"/>
      <w:bookmarkStart w:id="10" w:name="_Toc20823276"/>
      <w:bookmarkStart w:id="11" w:name="_Toc513029204"/>
      <w:r>
        <w:rPr>
          <w:rFonts w:hint="eastAsia" w:ascii="仿宋_GB2312" w:eastAsia="仿宋_GB2312"/>
          <w:sz w:val="24"/>
          <w:szCs w:val="24"/>
        </w:rPr>
        <w:t>（一）采购方式</w:t>
      </w:r>
      <w:bookmarkEnd w:id="9"/>
      <w:bookmarkEnd w:id="10"/>
      <w:bookmarkEnd w:id="11"/>
      <w:r>
        <w:rPr>
          <w:rFonts w:hint="eastAsia" w:ascii="仿宋_GB2312" w:eastAsia="仿宋_GB2312"/>
          <w:sz w:val="24"/>
          <w:szCs w:val="24"/>
        </w:rPr>
        <w:t>及定义</w:t>
      </w:r>
    </w:p>
    <w:p>
      <w:pPr>
        <w:pStyle w:val="38"/>
        <w:snapToGrid w:val="0"/>
        <w:rPr>
          <w:rFonts w:ascii="仿宋_GB2312" w:hAnsi="宋体" w:eastAsia="仿宋_GB2312"/>
          <w:sz w:val="24"/>
          <w:szCs w:val="24"/>
        </w:rPr>
      </w:pPr>
      <w:r>
        <w:rPr>
          <w:rFonts w:hint="eastAsia" w:ascii="仿宋_GB2312" w:hAnsi="宋体" w:eastAsia="仿宋_GB2312"/>
          <w:sz w:val="24"/>
          <w:szCs w:val="24"/>
        </w:rPr>
        <w:t>1.本次采购采用磋商方式，本磋商文件仅适用于磋商公告中所述项目。</w:t>
      </w:r>
    </w:p>
    <w:p>
      <w:pPr>
        <w:pStyle w:val="38"/>
        <w:snapToGrid w:val="0"/>
        <w:rPr>
          <w:rFonts w:ascii="仿宋_GB2312" w:hAnsi="宋体" w:eastAsia="仿宋_GB2312"/>
          <w:sz w:val="24"/>
          <w:szCs w:val="24"/>
        </w:rPr>
      </w:pPr>
      <w:r>
        <w:rPr>
          <w:rFonts w:hint="eastAsia" w:ascii="仿宋_GB2312" w:hAnsi="宋体" w:eastAsia="仿宋_GB2312"/>
          <w:sz w:val="24"/>
          <w:szCs w:val="24"/>
        </w:rPr>
        <w:t>2</w:t>
      </w:r>
      <w:r>
        <w:rPr>
          <w:rFonts w:hint="eastAsia" w:ascii="仿宋_GB2312" w:hAnsi="宋体" w:eastAsia="仿宋_GB2312"/>
          <w:sz w:val="24"/>
          <w:szCs w:val="24"/>
          <w:lang w:val="en-US" w:eastAsia="zh-CN"/>
        </w:rPr>
        <w:t>.</w:t>
      </w:r>
      <w:r>
        <w:rPr>
          <w:rFonts w:hint="eastAsia" w:ascii="仿宋_GB2312" w:hAnsi="宋体" w:eastAsia="仿宋_GB2312"/>
          <w:sz w:val="24"/>
          <w:szCs w:val="24"/>
        </w:rPr>
        <w:t>采购人指本项目的需求方皖南医学院。</w:t>
      </w:r>
    </w:p>
    <w:p>
      <w:pPr>
        <w:pStyle w:val="38"/>
        <w:snapToGrid w:val="0"/>
        <w:rPr>
          <w:rFonts w:ascii="仿宋_GB2312" w:hAnsi="宋体" w:eastAsia="仿宋_GB2312"/>
          <w:sz w:val="24"/>
          <w:szCs w:val="24"/>
        </w:rPr>
      </w:pPr>
      <w:r>
        <w:rPr>
          <w:rFonts w:hint="eastAsia" w:ascii="仿宋_GB2312" w:hAnsi="宋体" w:eastAsia="仿宋_GB2312"/>
          <w:sz w:val="24"/>
          <w:szCs w:val="24"/>
        </w:rPr>
        <w:t>3.代理机构指安徽中技工程咨询有限公司。</w:t>
      </w:r>
    </w:p>
    <w:p>
      <w:pPr>
        <w:adjustRightInd w:val="0"/>
        <w:snapToGrid w:val="0"/>
        <w:spacing w:line="360" w:lineRule="auto"/>
        <w:ind w:firstLine="480" w:firstLineChars="200"/>
        <w:rPr>
          <w:rFonts w:ascii="仿宋_GB2312" w:eastAsia="仿宋_GB2312"/>
          <w:sz w:val="24"/>
          <w:szCs w:val="24"/>
        </w:rPr>
      </w:pPr>
      <w:bookmarkStart w:id="12" w:name="_Toc20823277"/>
      <w:bookmarkStart w:id="13" w:name="_Toc513029205"/>
      <w:bookmarkStart w:id="14" w:name="_Toc16938521"/>
      <w:r>
        <w:rPr>
          <w:rFonts w:hint="eastAsia" w:ascii="仿宋_GB2312" w:eastAsia="仿宋_GB2312"/>
          <w:sz w:val="24"/>
          <w:szCs w:val="24"/>
        </w:rPr>
        <w:t>4.合格的供应商</w:t>
      </w:r>
      <w:bookmarkEnd w:id="12"/>
      <w:bookmarkEnd w:id="13"/>
      <w:bookmarkEnd w:id="14"/>
      <w:r>
        <w:rPr>
          <w:rFonts w:hint="eastAsia" w:ascii="仿宋_GB2312" w:eastAsia="仿宋_GB2312"/>
          <w:sz w:val="24"/>
          <w:szCs w:val="24"/>
        </w:rPr>
        <w:tab/>
      </w:r>
    </w:p>
    <w:p>
      <w:pPr>
        <w:pStyle w:val="38"/>
        <w:snapToGrid w:val="0"/>
        <w:ind w:left="560" w:firstLine="0" w:firstLineChars="0"/>
        <w:rPr>
          <w:rFonts w:ascii="仿宋_GB2312" w:hAnsi="宋体" w:eastAsia="仿宋_GB2312"/>
          <w:sz w:val="24"/>
          <w:szCs w:val="24"/>
        </w:rPr>
      </w:pPr>
      <w:r>
        <w:rPr>
          <w:rFonts w:hint="eastAsia" w:ascii="仿宋_GB2312" w:hAnsi="宋体" w:eastAsia="仿宋_GB2312"/>
          <w:sz w:val="24"/>
          <w:szCs w:val="24"/>
        </w:rPr>
        <w:t>（1）满足磋商公告中供应商的资格条件的规定。</w:t>
      </w:r>
    </w:p>
    <w:p>
      <w:pPr>
        <w:pStyle w:val="38"/>
        <w:snapToGrid w:val="0"/>
        <w:rPr>
          <w:rFonts w:ascii="仿宋_GB2312" w:hAnsi="宋体" w:eastAsia="仿宋_GB2312"/>
          <w:sz w:val="24"/>
          <w:szCs w:val="24"/>
        </w:rPr>
      </w:pPr>
      <w:r>
        <w:rPr>
          <w:rFonts w:hint="eastAsia" w:ascii="仿宋_GB2312" w:hAnsi="宋体" w:eastAsia="仿宋_GB2312"/>
          <w:sz w:val="24"/>
          <w:szCs w:val="24"/>
        </w:rPr>
        <w:t>（2）满足本文件实质性条款的规定。</w:t>
      </w:r>
    </w:p>
    <w:p>
      <w:pPr>
        <w:adjustRightInd w:val="0"/>
        <w:snapToGrid w:val="0"/>
        <w:spacing w:line="360" w:lineRule="auto"/>
        <w:ind w:firstLine="480" w:firstLineChars="200"/>
        <w:rPr>
          <w:rFonts w:ascii="仿宋_GB2312" w:eastAsia="仿宋_GB2312"/>
          <w:sz w:val="24"/>
          <w:szCs w:val="24"/>
        </w:rPr>
      </w:pPr>
      <w:bookmarkStart w:id="15" w:name="_Toc16938522"/>
      <w:bookmarkStart w:id="16" w:name="_Toc513029206"/>
      <w:bookmarkStart w:id="17" w:name="_Toc20823278"/>
      <w:r>
        <w:rPr>
          <w:rFonts w:hint="eastAsia" w:ascii="仿宋_GB2312" w:eastAsia="仿宋_GB2312"/>
          <w:sz w:val="24"/>
          <w:szCs w:val="24"/>
        </w:rPr>
        <w:t>5.适用法律</w:t>
      </w:r>
      <w:bookmarkEnd w:id="15"/>
      <w:bookmarkEnd w:id="16"/>
      <w:bookmarkEnd w:id="17"/>
    </w:p>
    <w:p>
      <w:pPr>
        <w:pStyle w:val="38"/>
        <w:snapToGrid w:val="0"/>
        <w:rPr>
          <w:rFonts w:ascii="仿宋_GB2312" w:hAnsi="宋体" w:eastAsia="仿宋_GB2312"/>
          <w:sz w:val="24"/>
          <w:szCs w:val="24"/>
        </w:rPr>
      </w:pPr>
      <w:r>
        <w:rPr>
          <w:rFonts w:hint="eastAsia" w:ascii="仿宋_GB2312" w:hAnsi="宋体" w:eastAsia="仿宋_GB2312"/>
          <w:sz w:val="24"/>
          <w:szCs w:val="24"/>
        </w:rPr>
        <w:t>本次磋商及由此产生的合同受中华人民共和国有关的法律法规制约和保护。</w:t>
      </w:r>
    </w:p>
    <w:p>
      <w:pPr>
        <w:adjustRightInd w:val="0"/>
        <w:snapToGrid w:val="0"/>
        <w:spacing w:line="360" w:lineRule="auto"/>
        <w:ind w:firstLine="480" w:firstLineChars="200"/>
        <w:rPr>
          <w:rFonts w:ascii="仿宋_GB2312" w:eastAsia="仿宋_GB2312"/>
          <w:sz w:val="24"/>
          <w:szCs w:val="24"/>
        </w:rPr>
      </w:pPr>
      <w:bookmarkStart w:id="18" w:name="_Toc20823279"/>
      <w:bookmarkStart w:id="19" w:name="_Toc16938523"/>
      <w:bookmarkStart w:id="20" w:name="_Toc513029207"/>
      <w:bookmarkStart w:id="21" w:name="_Toc462564067"/>
      <w:r>
        <w:rPr>
          <w:rFonts w:hint="eastAsia" w:ascii="仿宋_GB2312" w:eastAsia="仿宋_GB2312"/>
          <w:sz w:val="24"/>
          <w:szCs w:val="24"/>
        </w:rPr>
        <w:t>6.磋商费用</w:t>
      </w:r>
      <w:bookmarkEnd w:id="18"/>
      <w:bookmarkEnd w:id="19"/>
      <w:bookmarkEnd w:id="20"/>
      <w:bookmarkEnd w:id="21"/>
    </w:p>
    <w:p>
      <w:pPr>
        <w:pStyle w:val="38"/>
        <w:snapToGrid w:val="0"/>
        <w:rPr>
          <w:rFonts w:ascii="仿宋_GB2312" w:hAnsi="宋体" w:eastAsia="仿宋_GB2312"/>
          <w:sz w:val="24"/>
          <w:szCs w:val="24"/>
        </w:rPr>
      </w:pPr>
      <w:r>
        <w:rPr>
          <w:rFonts w:hint="eastAsia" w:ascii="仿宋_GB2312" w:hAnsi="宋体" w:eastAsia="仿宋_GB2312"/>
          <w:sz w:val="24"/>
          <w:szCs w:val="24"/>
        </w:rPr>
        <w:t>供应商应自行承担所有与参加</w:t>
      </w:r>
      <w:r>
        <w:rPr>
          <w:rFonts w:hint="eastAsia" w:ascii="仿宋_GB2312" w:eastAsia="仿宋_GB2312"/>
          <w:sz w:val="24"/>
          <w:szCs w:val="24"/>
        </w:rPr>
        <w:t>磋商</w:t>
      </w:r>
      <w:r>
        <w:rPr>
          <w:rFonts w:hint="eastAsia" w:ascii="仿宋_GB2312" w:hAnsi="宋体" w:eastAsia="仿宋_GB2312"/>
          <w:sz w:val="24"/>
          <w:szCs w:val="24"/>
        </w:rPr>
        <w:t>有关的费用，无论</w:t>
      </w:r>
      <w:r>
        <w:rPr>
          <w:rFonts w:hint="eastAsia" w:ascii="仿宋_GB2312" w:eastAsia="仿宋_GB2312"/>
          <w:sz w:val="24"/>
          <w:szCs w:val="24"/>
        </w:rPr>
        <w:t>磋商</w:t>
      </w:r>
      <w:r>
        <w:rPr>
          <w:rFonts w:hint="eastAsia" w:ascii="仿宋_GB2312" w:hAnsi="宋体" w:eastAsia="仿宋_GB2312"/>
          <w:sz w:val="24"/>
          <w:szCs w:val="24"/>
        </w:rPr>
        <w:t>过程中的做法和结果如何，采购人在任何情况下均无义务和责任承担这些费用。</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7.磋商文件的约束力</w:t>
      </w:r>
    </w:p>
    <w:p>
      <w:pPr>
        <w:pStyle w:val="38"/>
        <w:snapToGrid w:val="0"/>
        <w:rPr>
          <w:rFonts w:ascii="仿宋_GB2312" w:hAnsi="宋体" w:eastAsia="仿宋_GB2312"/>
          <w:sz w:val="24"/>
          <w:szCs w:val="24"/>
        </w:rPr>
      </w:pPr>
      <w:r>
        <w:rPr>
          <w:rFonts w:hint="eastAsia" w:ascii="仿宋_GB2312" w:hAnsi="宋体" w:eastAsia="仿宋_GB2312"/>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仿宋_GB2312" w:hAnsi="宋体" w:eastAsia="仿宋_GB2312"/>
          <w:sz w:val="24"/>
          <w:szCs w:val="24"/>
        </w:rPr>
      </w:pPr>
      <w:bookmarkStart w:id="22" w:name="_Toc16938525"/>
      <w:bookmarkStart w:id="23" w:name="_Toc403987206"/>
      <w:bookmarkStart w:id="24" w:name="_Toc20823281"/>
      <w:bookmarkStart w:id="25" w:name="_Toc513029209"/>
      <w:bookmarkStart w:id="26" w:name="_Toc120614215"/>
      <w:r>
        <w:rPr>
          <w:rFonts w:hint="eastAsia" w:ascii="仿宋_GB2312" w:hAnsi="宋体" w:eastAsia="仿宋_GB2312"/>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仿宋_GB2312" w:eastAsia="仿宋_GB2312"/>
          <w:sz w:val="24"/>
          <w:szCs w:val="24"/>
        </w:rPr>
      </w:pPr>
      <w:bookmarkStart w:id="27" w:name="_Toc513029210"/>
      <w:bookmarkStart w:id="28" w:name="_Toc20823282"/>
      <w:bookmarkStart w:id="29" w:name="_Toc16938526"/>
      <w:r>
        <w:rPr>
          <w:rFonts w:hint="eastAsia" w:ascii="仿宋_GB2312" w:eastAsia="仿宋_GB2312"/>
          <w:sz w:val="24"/>
          <w:szCs w:val="24"/>
        </w:rPr>
        <w:t>1.磋商文件构成</w:t>
      </w:r>
      <w:bookmarkEnd w:id="27"/>
      <w:bookmarkEnd w:id="28"/>
      <w:bookmarkEnd w:id="29"/>
    </w:p>
    <w:p>
      <w:pPr>
        <w:pStyle w:val="38"/>
        <w:snapToGrid w:val="0"/>
        <w:rPr>
          <w:rFonts w:ascii="仿宋_GB2312" w:hAnsi="宋体" w:eastAsia="仿宋_GB2312"/>
          <w:sz w:val="24"/>
          <w:szCs w:val="24"/>
        </w:rPr>
      </w:pPr>
      <w:r>
        <w:rPr>
          <w:rFonts w:hint="eastAsia" w:ascii="仿宋_GB2312" w:hAnsi="宋体" w:eastAsia="仿宋_GB2312"/>
          <w:sz w:val="24"/>
          <w:szCs w:val="24"/>
        </w:rPr>
        <w:t>磋商文件有以下部分组成：</w:t>
      </w:r>
    </w:p>
    <w:p>
      <w:pPr>
        <w:pStyle w:val="38"/>
        <w:snapToGrid w:val="0"/>
        <w:rPr>
          <w:rFonts w:ascii="仿宋_GB2312" w:hAnsi="宋体" w:eastAsia="仿宋_GB2312"/>
          <w:sz w:val="24"/>
          <w:szCs w:val="24"/>
        </w:rPr>
      </w:pPr>
      <w:r>
        <w:rPr>
          <w:rFonts w:hint="eastAsia" w:ascii="仿宋_GB2312" w:hAnsi="宋体" w:eastAsia="仿宋_GB2312"/>
          <w:sz w:val="24"/>
          <w:szCs w:val="24"/>
        </w:rPr>
        <w:t>（1）磋商公告</w:t>
      </w:r>
    </w:p>
    <w:p>
      <w:pPr>
        <w:pStyle w:val="38"/>
        <w:snapToGrid w:val="0"/>
        <w:rPr>
          <w:rFonts w:ascii="仿宋_GB2312" w:hAnsi="宋体" w:eastAsia="仿宋_GB2312"/>
          <w:sz w:val="24"/>
          <w:szCs w:val="24"/>
        </w:rPr>
      </w:pPr>
      <w:r>
        <w:rPr>
          <w:rFonts w:hint="eastAsia" w:ascii="仿宋_GB2312" w:hAnsi="宋体" w:eastAsia="仿宋_GB2312"/>
          <w:sz w:val="24"/>
          <w:szCs w:val="24"/>
        </w:rPr>
        <w:t>（2）磋商须知前附表</w:t>
      </w:r>
    </w:p>
    <w:p>
      <w:pPr>
        <w:pStyle w:val="38"/>
        <w:snapToGrid w:val="0"/>
        <w:rPr>
          <w:rFonts w:ascii="仿宋_GB2312" w:hAnsi="宋体" w:eastAsia="仿宋_GB2312"/>
          <w:sz w:val="24"/>
          <w:szCs w:val="24"/>
        </w:rPr>
      </w:pPr>
      <w:r>
        <w:rPr>
          <w:rFonts w:hint="eastAsia" w:ascii="仿宋_GB2312" w:hAnsi="宋体" w:eastAsia="仿宋_GB2312"/>
          <w:sz w:val="24"/>
          <w:szCs w:val="24"/>
        </w:rPr>
        <w:t>（3）磋商须知</w:t>
      </w:r>
    </w:p>
    <w:p>
      <w:pPr>
        <w:pStyle w:val="38"/>
        <w:snapToGrid w:val="0"/>
        <w:rPr>
          <w:rFonts w:ascii="仿宋_GB2312" w:hAnsi="宋体" w:eastAsia="仿宋_GB2312"/>
          <w:sz w:val="24"/>
          <w:szCs w:val="24"/>
        </w:rPr>
      </w:pPr>
      <w:r>
        <w:rPr>
          <w:rFonts w:hint="eastAsia" w:ascii="仿宋_GB2312" w:hAnsi="宋体" w:eastAsia="仿宋_GB2312"/>
          <w:sz w:val="24"/>
          <w:szCs w:val="24"/>
        </w:rPr>
        <w:t>（4）合同主要条款</w:t>
      </w:r>
    </w:p>
    <w:p>
      <w:pPr>
        <w:pStyle w:val="38"/>
        <w:snapToGrid w:val="0"/>
        <w:rPr>
          <w:rFonts w:hint="eastAsia" w:ascii="仿宋_GB2312" w:hAnsi="宋体" w:eastAsia="仿宋_GB2312"/>
          <w:sz w:val="24"/>
          <w:szCs w:val="24"/>
          <w:lang w:eastAsia="zh-CN"/>
        </w:rPr>
      </w:pPr>
      <w:r>
        <w:rPr>
          <w:rFonts w:hint="eastAsia" w:ascii="仿宋_GB2312" w:hAnsi="宋体" w:eastAsia="仿宋_GB2312"/>
          <w:sz w:val="24"/>
          <w:szCs w:val="24"/>
        </w:rPr>
        <w:t>（5）</w:t>
      </w:r>
      <w:r>
        <w:rPr>
          <w:rFonts w:hint="eastAsia" w:ascii="仿宋_GB2312" w:hAnsi="宋体" w:eastAsia="仿宋_GB2312"/>
          <w:sz w:val="24"/>
          <w:szCs w:val="24"/>
          <w:lang w:eastAsia="zh-CN"/>
        </w:rPr>
        <w:t>工程量清单</w:t>
      </w:r>
    </w:p>
    <w:p>
      <w:pPr>
        <w:pStyle w:val="38"/>
        <w:snapToGrid w:val="0"/>
        <w:rPr>
          <w:rFonts w:ascii="仿宋_GB2312" w:hAnsi="宋体" w:eastAsia="仿宋_GB2312"/>
          <w:sz w:val="24"/>
          <w:szCs w:val="24"/>
        </w:rPr>
      </w:pPr>
      <w:r>
        <w:rPr>
          <w:rFonts w:hint="eastAsia" w:ascii="仿宋_GB2312" w:hAnsi="宋体" w:eastAsia="仿宋_GB2312"/>
          <w:sz w:val="24"/>
          <w:szCs w:val="24"/>
        </w:rPr>
        <w:t>（6）评审标准</w:t>
      </w:r>
    </w:p>
    <w:p>
      <w:pPr>
        <w:pStyle w:val="38"/>
        <w:snapToGrid w:val="0"/>
        <w:rPr>
          <w:rFonts w:ascii="仿宋_GB2312" w:hAnsi="宋体" w:eastAsia="仿宋_GB2312"/>
          <w:sz w:val="24"/>
          <w:szCs w:val="24"/>
        </w:rPr>
      </w:pPr>
      <w:r>
        <w:rPr>
          <w:rFonts w:hint="eastAsia" w:ascii="仿宋_GB2312" w:hAnsi="宋体" w:eastAsia="仿宋_GB2312"/>
          <w:sz w:val="24"/>
          <w:szCs w:val="24"/>
        </w:rPr>
        <w:t>（7）响应文件格式</w:t>
      </w:r>
    </w:p>
    <w:p>
      <w:pPr>
        <w:adjustRightInd w:val="0"/>
        <w:snapToGrid w:val="0"/>
        <w:spacing w:line="360" w:lineRule="auto"/>
        <w:ind w:firstLine="480" w:firstLineChars="200"/>
        <w:rPr>
          <w:rFonts w:ascii="仿宋_GB2312" w:eastAsia="仿宋_GB2312"/>
          <w:sz w:val="24"/>
          <w:szCs w:val="24"/>
        </w:rPr>
      </w:pPr>
      <w:bookmarkStart w:id="30" w:name="_Toc462564070"/>
      <w:bookmarkStart w:id="31" w:name="_Toc513029211"/>
      <w:bookmarkStart w:id="32" w:name="_Toc16938527"/>
      <w:bookmarkStart w:id="33" w:name="_Toc20823283"/>
      <w:r>
        <w:rPr>
          <w:rFonts w:hint="eastAsia" w:ascii="仿宋_GB2312" w:eastAsia="仿宋_GB2312"/>
          <w:sz w:val="24"/>
          <w:szCs w:val="24"/>
        </w:rPr>
        <w:t>2.磋商文件的澄清</w:t>
      </w:r>
      <w:bookmarkEnd w:id="30"/>
      <w:bookmarkEnd w:id="31"/>
      <w:bookmarkEnd w:id="32"/>
      <w:bookmarkEnd w:id="33"/>
      <w:r>
        <w:rPr>
          <w:rFonts w:hint="eastAsia" w:ascii="仿宋_GB2312" w:eastAsia="仿宋_GB2312"/>
          <w:sz w:val="24"/>
          <w:szCs w:val="24"/>
        </w:rPr>
        <w:t>及修改</w:t>
      </w:r>
    </w:p>
    <w:p>
      <w:pPr>
        <w:pStyle w:val="38"/>
        <w:snapToGrid w:val="0"/>
        <w:rPr>
          <w:rFonts w:ascii="仿宋_GB2312" w:hAnsi="宋体" w:eastAsia="仿宋_GB2312"/>
          <w:sz w:val="24"/>
          <w:szCs w:val="24"/>
        </w:rPr>
      </w:pPr>
      <w:r>
        <w:rPr>
          <w:rFonts w:hint="eastAsia" w:ascii="仿宋_GB2312" w:hAnsi="宋体" w:eastAsia="仿宋_GB2312"/>
          <w:sz w:val="24"/>
          <w:szCs w:val="24"/>
        </w:rPr>
        <w:t>（1）任何要求对磋商文件进行澄清的供应商，均应在提交首次响应文件截止时间5日前按磋商公告中的通讯地址，以书面形式通知采购人或代理机构，未在约定时间内对磋商文件提出质疑或其他要求的，视为对磋商文件无异议，采购人不再接受任何对磋商文件的质疑或其他要求。提交首次响应文件截止之日前，采购人可以对已发出的磋商文件进行必要的澄清或者修改，澄清或者修改的内容作为磋商文件的组成部分。澄清或者修改的内容可能影响响应文件编制的，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仿宋_GB2312" w:hAnsi="宋体" w:eastAsia="仿宋_GB2312"/>
          <w:sz w:val="24"/>
          <w:szCs w:val="24"/>
        </w:rPr>
      </w:pPr>
      <w:bookmarkStart w:id="34" w:name="_Toc16938529"/>
      <w:bookmarkStart w:id="35" w:name="_Toc20823285"/>
      <w:bookmarkStart w:id="36" w:name="_Toc403987207"/>
      <w:bookmarkStart w:id="37" w:name="_Toc513029213"/>
      <w:bookmarkStart w:id="38" w:name="_Toc120614216"/>
      <w:bookmarkStart w:id="39" w:name="_Toc462564072"/>
      <w:r>
        <w:rPr>
          <w:rFonts w:hint="eastAsia" w:ascii="仿宋_GB2312" w:hAnsi="宋体" w:eastAsia="仿宋_GB2312"/>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供应商应当在磋商文件要求的截止时间前，将响应文件密封送达指定地点。在截止时间后送达的响应文件为无效文件，将被拒收接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2.供应商应当按照磋商文件的要求编制响应文件，并</w:t>
      </w:r>
      <w:bookmarkStart w:id="40" w:name="我"/>
      <w:bookmarkEnd w:id="40"/>
      <w:r>
        <w:rPr>
          <w:rFonts w:hint="eastAsia" w:ascii="仿宋_GB2312" w:eastAsia="仿宋_GB2312"/>
          <w:sz w:val="24"/>
          <w:szCs w:val="24"/>
        </w:rPr>
        <w:t>对其提交的响应文件的真实性、合法性承担法律责任。</w:t>
      </w:r>
    </w:p>
    <w:p>
      <w:pPr>
        <w:adjustRightInd w:val="0"/>
        <w:snapToGrid w:val="0"/>
        <w:spacing w:line="360" w:lineRule="auto"/>
        <w:ind w:firstLine="480" w:firstLineChars="200"/>
        <w:rPr>
          <w:rFonts w:ascii="仿宋_GB2312" w:eastAsia="仿宋_GB2312"/>
          <w:sz w:val="24"/>
          <w:szCs w:val="24"/>
        </w:rPr>
      </w:pPr>
      <w:bookmarkStart w:id="41" w:name="_Toc513029214"/>
      <w:bookmarkStart w:id="42" w:name="_Toc16938530"/>
      <w:bookmarkStart w:id="43" w:name="_Toc462564073"/>
      <w:bookmarkStart w:id="44" w:name="_Toc20823286"/>
      <w:r>
        <w:rPr>
          <w:rFonts w:hint="eastAsia" w:ascii="仿宋_GB2312" w:eastAsia="仿宋_GB2312"/>
          <w:sz w:val="24"/>
          <w:szCs w:val="24"/>
        </w:rPr>
        <w:t>3.响应文件的语言及度量衡单位</w:t>
      </w:r>
      <w:bookmarkEnd w:id="41"/>
      <w:bookmarkEnd w:id="42"/>
      <w:bookmarkEnd w:id="43"/>
      <w:bookmarkEnd w:id="44"/>
    </w:p>
    <w:p>
      <w:pPr>
        <w:pStyle w:val="38"/>
        <w:snapToGrid w:val="0"/>
        <w:rPr>
          <w:rFonts w:ascii="仿宋_GB2312" w:hAnsi="宋体" w:eastAsia="仿宋_GB2312"/>
          <w:sz w:val="24"/>
          <w:szCs w:val="24"/>
        </w:rPr>
      </w:pPr>
      <w:r>
        <w:rPr>
          <w:rFonts w:hint="eastAsia" w:ascii="仿宋_GB2312" w:hAnsi="宋体" w:eastAsia="仿宋_GB2312"/>
          <w:sz w:val="24"/>
          <w:szCs w:val="24"/>
        </w:rPr>
        <w:t>（1）供应商提交的响应文件以及供应商与我校就有关磋商的所有来往通知、函件和文件均应使用</w:t>
      </w:r>
      <w:r>
        <w:rPr>
          <w:rFonts w:hint="eastAsia" w:ascii="仿宋_GB2312" w:hAnsi="宋体" w:eastAsia="仿宋_GB2312"/>
          <w:bCs/>
          <w:sz w:val="24"/>
          <w:szCs w:val="24"/>
        </w:rPr>
        <w:t>简体中文</w:t>
      </w:r>
      <w:r>
        <w:rPr>
          <w:rFonts w:hint="eastAsia" w:ascii="仿宋_GB2312" w:hAnsi="宋体" w:eastAsia="仿宋_GB2312"/>
          <w:sz w:val="24"/>
          <w:szCs w:val="24"/>
        </w:rPr>
        <w:t>。</w:t>
      </w:r>
    </w:p>
    <w:p>
      <w:pPr>
        <w:pStyle w:val="38"/>
        <w:snapToGrid w:val="0"/>
        <w:rPr>
          <w:rFonts w:ascii="仿宋_GB2312" w:hAnsi="宋体" w:eastAsia="仿宋_GB2312"/>
          <w:sz w:val="24"/>
          <w:szCs w:val="24"/>
        </w:rPr>
      </w:pPr>
      <w:r>
        <w:rPr>
          <w:rFonts w:hint="eastAsia" w:ascii="仿宋_GB2312" w:hAnsi="宋体" w:eastAsia="仿宋_GB2312"/>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仿宋_GB2312" w:eastAsia="仿宋_GB2312"/>
          <w:sz w:val="24"/>
          <w:szCs w:val="24"/>
        </w:rPr>
      </w:pPr>
      <w:bookmarkStart w:id="45" w:name="_Toc20823287"/>
      <w:bookmarkStart w:id="46" w:name="_Toc513029215"/>
      <w:bookmarkStart w:id="47" w:name="_Toc16938531"/>
      <w:bookmarkStart w:id="48" w:name="_Toc462564074"/>
      <w:r>
        <w:rPr>
          <w:rFonts w:hint="eastAsia" w:ascii="仿宋_GB2312" w:eastAsia="仿宋_GB2312"/>
          <w:sz w:val="24"/>
          <w:szCs w:val="24"/>
        </w:rPr>
        <w:t>4.响应文件构成</w:t>
      </w:r>
      <w:bookmarkEnd w:id="45"/>
      <w:bookmarkEnd w:id="46"/>
      <w:bookmarkEnd w:id="47"/>
      <w:bookmarkEnd w:id="48"/>
    </w:p>
    <w:p>
      <w:pPr>
        <w:pStyle w:val="38"/>
        <w:snapToGrid w:val="0"/>
        <w:rPr>
          <w:rFonts w:ascii="仿宋_GB2312" w:hAnsi="宋体" w:eastAsia="仿宋_GB2312"/>
          <w:sz w:val="24"/>
          <w:szCs w:val="24"/>
        </w:rPr>
      </w:pPr>
      <w:r>
        <w:rPr>
          <w:rFonts w:hint="eastAsia" w:ascii="仿宋_GB2312" w:hAnsi="宋体" w:eastAsia="仿宋_GB2312"/>
          <w:sz w:val="24"/>
          <w:szCs w:val="24"/>
        </w:rPr>
        <w:t>（1）供应商应该按照磋商文件的要求编写响应文件。</w:t>
      </w:r>
    </w:p>
    <w:p>
      <w:pPr>
        <w:pStyle w:val="38"/>
        <w:snapToGrid w:val="0"/>
        <w:rPr>
          <w:rFonts w:ascii="仿宋_GB2312" w:hAnsi="宋体" w:eastAsia="仿宋_GB2312"/>
          <w:sz w:val="24"/>
          <w:szCs w:val="24"/>
        </w:rPr>
      </w:pPr>
      <w:r>
        <w:rPr>
          <w:rFonts w:hint="eastAsia" w:ascii="仿宋_GB2312" w:hAnsi="宋体" w:eastAsia="仿宋_GB2312"/>
          <w:sz w:val="24"/>
          <w:szCs w:val="24"/>
        </w:rPr>
        <w:t>（2）供应商应将响应文件按顺序装订成册，并编制响应文件资料目录。</w:t>
      </w:r>
    </w:p>
    <w:p>
      <w:pPr>
        <w:adjustRightInd w:val="0"/>
        <w:snapToGrid w:val="0"/>
        <w:spacing w:line="360" w:lineRule="auto"/>
        <w:ind w:firstLine="480" w:firstLineChars="200"/>
        <w:rPr>
          <w:rFonts w:ascii="仿宋_GB2312" w:eastAsia="仿宋_GB2312"/>
          <w:sz w:val="24"/>
          <w:szCs w:val="24"/>
        </w:rPr>
      </w:pPr>
      <w:bookmarkStart w:id="49" w:name="_Hlt26954838"/>
      <w:bookmarkEnd w:id="49"/>
      <w:bookmarkStart w:id="50" w:name="_Hlt26668975"/>
      <w:bookmarkEnd w:id="50"/>
      <w:bookmarkStart w:id="51" w:name="_Hlt26670360"/>
      <w:bookmarkEnd w:id="51"/>
      <w:bookmarkStart w:id="52" w:name="_Toc513029219"/>
      <w:bookmarkStart w:id="53" w:name="_Toc49090509"/>
      <w:bookmarkStart w:id="54" w:name="_Toc14577357"/>
      <w:bookmarkStart w:id="55" w:name="_Toc14577354"/>
      <w:bookmarkStart w:id="56" w:name="_Toc513029216"/>
      <w:bookmarkStart w:id="57" w:name="_Toc49090507"/>
      <w:r>
        <w:rPr>
          <w:rFonts w:hint="eastAsia" w:ascii="仿宋_GB2312" w:eastAsia="仿宋_GB2312"/>
          <w:sz w:val="24"/>
          <w:szCs w:val="24"/>
        </w:rPr>
        <w:t>5.证明供应商资格及符合磋商文件规定的文件</w:t>
      </w:r>
      <w:bookmarkEnd w:id="52"/>
      <w:bookmarkEnd w:id="53"/>
      <w:bookmarkEnd w:id="54"/>
    </w:p>
    <w:p>
      <w:pPr>
        <w:pStyle w:val="38"/>
        <w:snapToGrid w:val="0"/>
        <w:rPr>
          <w:rFonts w:ascii="仿宋_GB2312" w:hAnsi="宋体" w:eastAsia="仿宋_GB2312"/>
          <w:sz w:val="24"/>
          <w:szCs w:val="24"/>
        </w:rPr>
      </w:pPr>
      <w:bookmarkStart w:id="58" w:name="_Hlt26668999"/>
      <w:bookmarkEnd w:id="58"/>
      <w:r>
        <w:rPr>
          <w:rFonts w:hint="eastAsia" w:ascii="仿宋_GB2312" w:hAnsi="宋体" w:eastAsia="仿宋_GB2312"/>
          <w:sz w:val="24"/>
          <w:szCs w:val="24"/>
        </w:rPr>
        <w:t>（1）供应商应按要求提交资格证明文件及符合磋商文件规定的文件。</w:t>
      </w:r>
    </w:p>
    <w:p>
      <w:pPr>
        <w:pStyle w:val="38"/>
        <w:snapToGrid w:val="0"/>
        <w:rPr>
          <w:rFonts w:ascii="仿宋_GB2312" w:hAnsi="宋体" w:eastAsia="仿宋_GB2312"/>
          <w:sz w:val="24"/>
          <w:szCs w:val="24"/>
        </w:rPr>
      </w:pPr>
      <w:r>
        <w:rPr>
          <w:rFonts w:hint="eastAsia" w:ascii="仿宋_GB2312" w:hAnsi="宋体" w:eastAsia="仿宋_GB2312"/>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仿宋_GB2312" w:eastAsia="仿宋_GB2312"/>
          <w:sz w:val="24"/>
          <w:szCs w:val="24"/>
        </w:rPr>
      </w:pPr>
      <w:bookmarkStart w:id="59" w:name="_Toc49090508"/>
      <w:bookmarkStart w:id="60" w:name="_Toc14577355"/>
      <w:r>
        <w:rPr>
          <w:rFonts w:hint="eastAsia" w:ascii="仿宋_GB2312" w:eastAsia="仿宋_GB2312"/>
          <w:sz w:val="24"/>
          <w:szCs w:val="24"/>
        </w:rPr>
        <w:t>6.报价</w:t>
      </w:r>
      <w:bookmarkEnd w:id="59"/>
      <w:bookmarkEnd w:id="60"/>
      <w:bookmarkStart w:id="61" w:name="_Hlt26670373"/>
      <w:bookmarkEnd w:id="61"/>
    </w:p>
    <w:p>
      <w:pPr>
        <w:adjustRightInd w:val="0"/>
        <w:snapToGrid w:val="0"/>
        <w:spacing w:line="360" w:lineRule="auto"/>
        <w:ind w:firstLine="480" w:firstLineChars="200"/>
        <w:rPr>
          <w:rFonts w:ascii="仿宋_GB2312" w:eastAsia="仿宋_GB2312"/>
          <w:bCs/>
          <w:sz w:val="24"/>
          <w:szCs w:val="24"/>
        </w:rPr>
      </w:pPr>
      <w:r>
        <w:rPr>
          <w:rFonts w:hint="eastAsia" w:ascii="仿宋_GB2312" w:eastAsia="仿宋_GB2312"/>
          <w:sz w:val="24"/>
          <w:szCs w:val="24"/>
        </w:rPr>
        <w:t>（1）供应商应按照磋商文件规定格式填报报价</w:t>
      </w:r>
      <w:bookmarkStart w:id="62" w:name="_Hlt26670399"/>
      <w:bookmarkEnd w:id="62"/>
      <w:r>
        <w:rPr>
          <w:rFonts w:hint="eastAsia" w:ascii="仿宋_GB2312" w:eastAsia="仿宋_GB2312"/>
          <w:sz w:val="24"/>
          <w:szCs w:val="24"/>
        </w:rPr>
        <w:t>。每项费用只允许有一个报价，任何有选择的报价将不予接受。（如有）</w:t>
      </w:r>
    </w:p>
    <w:p>
      <w:pPr>
        <w:pStyle w:val="38"/>
        <w:snapToGrid w:val="0"/>
        <w:rPr>
          <w:rFonts w:ascii="仿宋_GB2312" w:hAnsi="宋体" w:eastAsia="仿宋_GB2312"/>
          <w:sz w:val="24"/>
          <w:szCs w:val="24"/>
        </w:rPr>
      </w:pPr>
      <w:r>
        <w:rPr>
          <w:rFonts w:hint="eastAsia" w:ascii="仿宋_GB2312" w:hAnsi="宋体" w:eastAsia="仿宋_GB2312"/>
          <w:bCs/>
          <w:sz w:val="24"/>
          <w:szCs w:val="24"/>
        </w:rPr>
        <w:t>（2）</w:t>
      </w:r>
      <w:r>
        <w:rPr>
          <w:rFonts w:hint="eastAsia" w:ascii="仿宋_GB2312" w:hAnsi="宋体" w:eastAsia="仿宋_GB2312"/>
          <w:sz w:val="24"/>
          <w:szCs w:val="24"/>
        </w:rPr>
        <w:t>磋商报价</w:t>
      </w:r>
      <w:r>
        <w:rPr>
          <w:rFonts w:hint="eastAsia" w:ascii="仿宋_GB2312" w:hAnsi="宋体" w:eastAsia="仿宋_GB2312"/>
          <w:spacing w:val="-6"/>
          <w:sz w:val="24"/>
          <w:szCs w:val="24"/>
        </w:rPr>
        <w:t>应包括</w:t>
      </w:r>
      <w:r>
        <w:rPr>
          <w:rFonts w:hint="eastAsia" w:ascii="仿宋_GB2312" w:hAnsi="宋体" w:eastAsia="仿宋_GB2312"/>
          <w:sz w:val="24"/>
          <w:szCs w:val="24"/>
        </w:rPr>
        <w:t>所需人工费、材料费、其他（保险费，以及合同明示或暗示的风险、责任和义务等）费，以及管理费、利润和规费、税金等一切费用。</w:t>
      </w:r>
    </w:p>
    <w:p>
      <w:pPr>
        <w:pStyle w:val="38"/>
        <w:snapToGrid w:val="0"/>
        <w:ind w:firstLine="482"/>
        <w:rPr>
          <w:rFonts w:ascii="仿宋_GB2312" w:hAnsi="宋体" w:eastAsia="仿宋_GB2312"/>
          <w:bCs/>
          <w:sz w:val="24"/>
          <w:szCs w:val="24"/>
        </w:rPr>
      </w:pPr>
      <w:r>
        <w:rPr>
          <w:rFonts w:hint="eastAsia" w:ascii="仿宋_GB2312" w:hAnsi="宋体" w:eastAsia="仿宋_GB2312"/>
          <w:b/>
          <w:sz w:val="24"/>
          <w:szCs w:val="24"/>
        </w:rPr>
        <w:t>最终报价一经确定不得更改，且不受市场价格波动影响。</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（3）其它费用处理</w:t>
      </w:r>
    </w:p>
    <w:p>
      <w:pPr>
        <w:pStyle w:val="38"/>
        <w:snapToGrid w:val="0"/>
        <w:rPr>
          <w:rFonts w:ascii="仿宋_GB2312" w:hAnsi="宋体" w:eastAsia="仿宋_GB2312"/>
          <w:sz w:val="24"/>
          <w:szCs w:val="24"/>
        </w:rPr>
      </w:pPr>
      <w:r>
        <w:rPr>
          <w:rFonts w:hint="eastAsia" w:ascii="仿宋_GB2312" w:hAnsi="宋体" w:eastAsia="仿宋_GB2312"/>
          <w:sz w:val="24"/>
          <w:szCs w:val="24"/>
        </w:rPr>
        <w:t>磋商文件未列明，而供应商认为必需的费用也需列入报价。</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7.响应文件货币</w:t>
      </w:r>
    </w:p>
    <w:p>
      <w:pPr>
        <w:pStyle w:val="38"/>
        <w:snapToGrid w:val="0"/>
        <w:rPr>
          <w:rFonts w:ascii="仿宋_GB2312" w:hAnsi="宋体" w:eastAsia="仿宋_GB2312"/>
          <w:sz w:val="24"/>
          <w:szCs w:val="24"/>
        </w:rPr>
      </w:pPr>
      <w:r>
        <w:rPr>
          <w:rFonts w:hint="eastAsia" w:ascii="仿宋_GB2312" w:hAnsi="宋体" w:eastAsia="仿宋_GB2312"/>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仿宋_GB2312" w:eastAsia="仿宋_GB2312"/>
          <w:sz w:val="24"/>
          <w:szCs w:val="24"/>
        </w:rPr>
      </w:pPr>
      <w:bookmarkStart w:id="63" w:name="_Hlt26670486"/>
      <w:bookmarkEnd w:id="63"/>
      <w:bookmarkStart w:id="64" w:name="_Hlt26670482"/>
      <w:bookmarkEnd w:id="64"/>
      <w:bookmarkStart w:id="65" w:name="_Hlt26954852"/>
      <w:bookmarkEnd w:id="65"/>
      <w:bookmarkStart w:id="66" w:name="_Hlt26954848"/>
      <w:bookmarkEnd w:id="66"/>
      <w:bookmarkStart w:id="67" w:name="_Hlt26954739"/>
      <w:bookmarkEnd w:id="67"/>
      <w:bookmarkStart w:id="68" w:name="_Hlt26954731"/>
      <w:bookmarkEnd w:id="68"/>
      <w:bookmarkStart w:id="69" w:name="_Hlt26954846"/>
      <w:bookmarkEnd w:id="69"/>
      <w:bookmarkStart w:id="70" w:name="_Toc49090512"/>
      <w:bookmarkStart w:id="71" w:name="_Toc14577361"/>
      <w:r>
        <w:rPr>
          <w:rFonts w:hint="eastAsia" w:ascii="仿宋_GB2312" w:eastAsia="仿宋_GB2312"/>
          <w:sz w:val="24"/>
          <w:szCs w:val="24"/>
        </w:rPr>
        <w:t>8.响应文件份数和签署</w:t>
      </w:r>
      <w:bookmarkEnd w:id="70"/>
      <w:bookmarkEnd w:id="71"/>
    </w:p>
    <w:p>
      <w:pPr>
        <w:pStyle w:val="38"/>
        <w:snapToGrid w:val="0"/>
        <w:rPr>
          <w:rFonts w:ascii="仿宋_GB2312" w:hAnsi="宋体" w:eastAsia="仿宋_GB2312"/>
          <w:sz w:val="24"/>
          <w:szCs w:val="24"/>
        </w:rPr>
      </w:pPr>
      <w:r>
        <w:rPr>
          <w:rFonts w:hint="eastAsia" w:ascii="仿宋_GB2312" w:hAnsi="宋体" w:eastAsia="仿宋_GB2312"/>
          <w:sz w:val="24"/>
          <w:szCs w:val="24"/>
        </w:rPr>
        <w:t>（1）供应商应严格按照磋商公告要求的份数准备响应文件，每份响应文件须清楚地标明“正本”或“副本”字样。一旦正本和副本不符，以正本为准。</w:t>
      </w:r>
    </w:p>
    <w:p>
      <w:pPr>
        <w:pStyle w:val="38"/>
        <w:snapToGrid w:val="0"/>
        <w:rPr>
          <w:rFonts w:ascii="仿宋_GB2312" w:hAnsi="宋体" w:eastAsia="仿宋_GB2312"/>
          <w:sz w:val="24"/>
          <w:szCs w:val="24"/>
        </w:rPr>
      </w:pPr>
      <w:r>
        <w:rPr>
          <w:rFonts w:hint="eastAsia" w:ascii="仿宋_GB2312" w:hAnsi="宋体" w:eastAsia="仿宋_GB2312"/>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ascii="仿宋_GB2312" w:hAnsi="宋体" w:eastAsia="仿宋_GB2312"/>
          <w:sz w:val="24"/>
          <w:szCs w:val="24"/>
        </w:rPr>
      </w:pPr>
      <w:r>
        <w:rPr>
          <w:rFonts w:hint="eastAsia" w:ascii="仿宋_GB2312" w:hAnsi="宋体" w:eastAsia="仿宋_GB2312"/>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仿宋_GB2312" w:hAnsi="宋体" w:eastAsia="仿宋_GB2312"/>
          <w:sz w:val="24"/>
          <w:szCs w:val="24"/>
        </w:rPr>
      </w:pPr>
      <w:bookmarkStart w:id="72" w:name="_Toc403987208"/>
      <w:bookmarkStart w:id="73" w:name="_Toc120614217"/>
      <w:bookmarkStart w:id="74" w:name="_Toc20823296"/>
      <w:bookmarkStart w:id="75" w:name="_Toc16938540"/>
      <w:bookmarkStart w:id="76" w:name="_Toc513029224"/>
      <w:r>
        <w:rPr>
          <w:rFonts w:hint="eastAsia" w:ascii="仿宋_GB2312" w:hAnsi="宋体" w:eastAsia="仿宋_GB2312"/>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仿宋_GB2312" w:eastAsia="仿宋_GB2312"/>
          <w:sz w:val="24"/>
          <w:szCs w:val="24"/>
        </w:rPr>
      </w:pPr>
      <w:bookmarkStart w:id="77" w:name="_Toc16938541"/>
      <w:bookmarkStart w:id="78" w:name="_Toc20823297"/>
      <w:bookmarkStart w:id="79" w:name="_Toc462564084"/>
      <w:bookmarkStart w:id="80" w:name="_Toc513029225"/>
      <w:r>
        <w:rPr>
          <w:rFonts w:hint="eastAsia" w:ascii="仿宋_GB2312" w:eastAsia="仿宋_GB2312"/>
          <w:sz w:val="24"/>
          <w:szCs w:val="24"/>
        </w:rPr>
        <w:t>1.响应文件的密封和标记</w:t>
      </w:r>
      <w:bookmarkEnd w:id="77"/>
      <w:bookmarkEnd w:id="78"/>
      <w:bookmarkEnd w:id="79"/>
      <w:bookmarkEnd w:id="80"/>
    </w:p>
    <w:p>
      <w:pPr>
        <w:pStyle w:val="38"/>
        <w:snapToGrid w:val="0"/>
        <w:rPr>
          <w:rFonts w:ascii="仿宋_GB2312" w:hAnsi="宋体" w:eastAsia="仿宋_GB2312"/>
          <w:sz w:val="24"/>
          <w:szCs w:val="24"/>
        </w:rPr>
      </w:pPr>
      <w:r>
        <w:rPr>
          <w:rFonts w:hint="eastAsia" w:ascii="仿宋_GB2312" w:hAnsi="宋体" w:eastAsia="仿宋_GB2312"/>
          <w:sz w:val="24"/>
          <w:szCs w:val="24"/>
        </w:rPr>
        <w:t>（1）供应商应将响应文件正本和所有副本密封，并加盖供应商公章。不论供应商成交与否，响应文件均不退回。</w:t>
      </w:r>
    </w:p>
    <w:p>
      <w:pPr>
        <w:pStyle w:val="38"/>
        <w:snapToGrid w:val="0"/>
        <w:rPr>
          <w:rFonts w:ascii="仿宋_GB2312" w:hAnsi="宋体" w:eastAsia="仿宋_GB2312"/>
          <w:sz w:val="24"/>
          <w:szCs w:val="24"/>
        </w:rPr>
      </w:pPr>
      <w:r>
        <w:rPr>
          <w:rFonts w:hint="eastAsia" w:ascii="仿宋_GB2312" w:hAnsi="宋体" w:eastAsia="仿宋_GB2312"/>
          <w:sz w:val="24"/>
          <w:szCs w:val="24"/>
        </w:rPr>
        <w:t>（2）密封的响应文件应：</w:t>
      </w:r>
    </w:p>
    <w:p>
      <w:pPr>
        <w:pStyle w:val="38"/>
        <w:snapToGrid w:val="0"/>
        <w:rPr>
          <w:rFonts w:ascii="仿宋_GB2312" w:hAnsi="宋体" w:eastAsia="仿宋_GB2312"/>
          <w:sz w:val="24"/>
          <w:szCs w:val="24"/>
        </w:rPr>
      </w:pPr>
      <w:r>
        <w:rPr>
          <w:rFonts w:hint="eastAsia" w:ascii="仿宋_GB2312" w:hAnsi="宋体" w:eastAsia="仿宋_GB2312"/>
          <w:sz w:val="24"/>
          <w:szCs w:val="24"/>
        </w:rPr>
        <w:t>1）注明供应商名称，如因标注不清而产生的后果由供应商自负。按磋商公告中注明的地址送达；</w:t>
      </w:r>
    </w:p>
    <w:p>
      <w:pPr>
        <w:pStyle w:val="38"/>
        <w:snapToGrid w:val="0"/>
        <w:rPr>
          <w:rFonts w:ascii="仿宋_GB2312" w:hAnsi="宋体" w:eastAsia="仿宋_GB2312"/>
          <w:sz w:val="24"/>
          <w:szCs w:val="24"/>
        </w:rPr>
      </w:pPr>
      <w:r>
        <w:rPr>
          <w:rFonts w:hint="eastAsia" w:ascii="仿宋_GB2312" w:hAnsi="宋体" w:eastAsia="仿宋_GB2312"/>
          <w:sz w:val="24"/>
          <w:szCs w:val="24"/>
        </w:rPr>
        <w:t>2）注明磋商项目名称、项目编号。</w:t>
      </w:r>
    </w:p>
    <w:p>
      <w:pPr>
        <w:pStyle w:val="38"/>
        <w:snapToGrid w:val="0"/>
        <w:rPr>
          <w:rFonts w:ascii="仿宋_GB2312" w:hAnsi="宋体" w:eastAsia="仿宋_GB2312"/>
          <w:sz w:val="24"/>
          <w:szCs w:val="24"/>
        </w:rPr>
      </w:pPr>
      <w:r>
        <w:rPr>
          <w:rFonts w:hint="eastAsia" w:ascii="仿宋_GB2312" w:hAnsi="宋体" w:eastAsia="仿宋_GB2312"/>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仿宋_GB2312" w:eastAsia="仿宋_GB2312"/>
          <w:sz w:val="24"/>
          <w:szCs w:val="24"/>
        </w:rPr>
      </w:pPr>
      <w:bookmarkStart w:id="81" w:name="_Toc20823298"/>
      <w:bookmarkStart w:id="82" w:name="_Toc16938542"/>
      <w:bookmarkStart w:id="83" w:name="_Toc513029226"/>
      <w:r>
        <w:rPr>
          <w:rFonts w:hint="eastAsia" w:ascii="仿宋_GB2312" w:eastAsia="仿宋_GB2312"/>
          <w:sz w:val="24"/>
          <w:szCs w:val="24"/>
        </w:rPr>
        <w:t>2.响应文件提交截止</w:t>
      </w:r>
      <w:bookmarkEnd w:id="81"/>
      <w:bookmarkEnd w:id="82"/>
      <w:bookmarkEnd w:id="83"/>
      <w:r>
        <w:rPr>
          <w:rFonts w:hint="eastAsia" w:ascii="仿宋_GB2312" w:eastAsia="仿宋_GB2312"/>
          <w:sz w:val="24"/>
          <w:szCs w:val="24"/>
        </w:rPr>
        <w:t>时间</w:t>
      </w:r>
    </w:p>
    <w:p>
      <w:pPr>
        <w:pStyle w:val="38"/>
        <w:snapToGrid w:val="0"/>
        <w:rPr>
          <w:rFonts w:ascii="仿宋_GB2312" w:hAnsi="宋体" w:eastAsia="仿宋_GB2312"/>
          <w:sz w:val="24"/>
          <w:szCs w:val="24"/>
        </w:rPr>
      </w:pPr>
      <w:r>
        <w:rPr>
          <w:rFonts w:hint="eastAsia" w:ascii="仿宋_GB2312" w:hAnsi="宋体" w:eastAsia="仿宋_GB2312"/>
          <w:sz w:val="24"/>
          <w:szCs w:val="24"/>
        </w:rPr>
        <w:t>（1）采购人收到响应文件的时间不得迟于磋商公告中规定的截止时间。</w:t>
      </w:r>
    </w:p>
    <w:p>
      <w:pPr>
        <w:pStyle w:val="38"/>
        <w:snapToGrid w:val="0"/>
        <w:rPr>
          <w:rFonts w:ascii="仿宋_GB2312" w:hAnsi="宋体" w:eastAsia="仿宋_GB2312"/>
          <w:sz w:val="24"/>
          <w:szCs w:val="24"/>
        </w:rPr>
      </w:pPr>
      <w:r>
        <w:rPr>
          <w:rFonts w:hint="eastAsia" w:ascii="仿宋_GB2312" w:hAnsi="宋体" w:eastAsia="仿宋_GB2312"/>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（五）磋商与评审</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1.磋商仪式</w:t>
      </w:r>
    </w:p>
    <w:p>
      <w:pPr>
        <w:pStyle w:val="38"/>
        <w:snapToGrid w:val="0"/>
        <w:rPr>
          <w:rFonts w:ascii="仿宋_GB2312" w:hAnsi="宋体" w:eastAsia="仿宋_GB2312"/>
          <w:sz w:val="24"/>
          <w:szCs w:val="24"/>
        </w:rPr>
      </w:pPr>
      <w:r>
        <w:rPr>
          <w:rFonts w:hint="eastAsia" w:ascii="仿宋_GB2312" w:hAnsi="宋体" w:eastAsia="仿宋_GB2312"/>
          <w:bCs/>
          <w:sz w:val="24"/>
          <w:szCs w:val="24"/>
        </w:rPr>
        <w:t>（1）代理机构将在磋商公告中规定的时间和地点组织磋商</w:t>
      </w:r>
      <w:r>
        <w:rPr>
          <w:rFonts w:hint="eastAsia" w:ascii="仿宋_GB2312" w:hAnsi="宋体" w:eastAsia="仿宋_GB2312"/>
          <w:sz w:val="24"/>
          <w:szCs w:val="24"/>
        </w:rPr>
        <w:t>。供应商应委派携带有效证件的代表准时参加，参加磋商的代表需签名以证明其出席。</w:t>
      </w:r>
    </w:p>
    <w:p>
      <w:pPr>
        <w:pStyle w:val="38"/>
        <w:snapToGrid w:val="0"/>
        <w:rPr>
          <w:rFonts w:ascii="仿宋_GB2312" w:hAnsi="宋体" w:eastAsia="仿宋_GB2312"/>
          <w:sz w:val="24"/>
          <w:szCs w:val="24"/>
        </w:rPr>
      </w:pPr>
      <w:r>
        <w:rPr>
          <w:rFonts w:hint="eastAsia" w:ascii="仿宋_GB2312" w:hAnsi="宋体" w:eastAsia="仿宋_GB2312"/>
          <w:sz w:val="24"/>
          <w:szCs w:val="24"/>
        </w:rPr>
        <w:t>（2）磋商仪式由代理机构代表主持，磋商领导小组成员、采购人代表、监督代表、供应商代表以及有关工作人员参加。</w:t>
      </w:r>
    </w:p>
    <w:p>
      <w:pPr>
        <w:pStyle w:val="38"/>
        <w:snapToGrid w:val="0"/>
        <w:rPr>
          <w:rFonts w:ascii="仿宋_GB2312" w:hAnsi="宋体" w:eastAsia="仿宋_GB2312"/>
          <w:sz w:val="24"/>
          <w:szCs w:val="24"/>
        </w:rPr>
      </w:pPr>
      <w:r>
        <w:rPr>
          <w:rFonts w:hint="eastAsia" w:ascii="仿宋_GB2312" w:hAnsi="宋体" w:eastAsia="仿宋_GB2312"/>
          <w:sz w:val="24"/>
          <w:szCs w:val="24"/>
        </w:rPr>
        <w:t>（3）磋商时请供应商代表查验响应文件密封情况，至响应文件开启时间后由代理机构递交给磋商小组开启响应文件。</w:t>
      </w:r>
    </w:p>
    <w:p>
      <w:pPr>
        <w:adjustRightInd w:val="0"/>
        <w:snapToGrid w:val="0"/>
        <w:spacing w:line="360" w:lineRule="auto"/>
        <w:ind w:firstLine="480" w:firstLineChars="200"/>
        <w:rPr>
          <w:rFonts w:ascii="仿宋_GB2312" w:eastAsia="仿宋_GB2312"/>
          <w:sz w:val="24"/>
          <w:szCs w:val="24"/>
        </w:rPr>
      </w:pPr>
      <w:bookmarkStart w:id="84" w:name="_Toc16938547"/>
      <w:bookmarkStart w:id="85" w:name="_Toc20823303"/>
      <w:bookmarkStart w:id="86" w:name="_Toc513029231"/>
      <w:r>
        <w:rPr>
          <w:rFonts w:hint="eastAsia" w:ascii="仿宋_GB2312" w:eastAsia="仿宋_GB2312"/>
          <w:sz w:val="24"/>
          <w:szCs w:val="24"/>
        </w:rPr>
        <w:t>2.磋商小组</w:t>
      </w:r>
    </w:p>
    <w:p>
      <w:pPr>
        <w:pStyle w:val="38"/>
        <w:snapToGrid w:val="0"/>
        <w:rPr>
          <w:rFonts w:ascii="仿宋_GB2312" w:hAnsi="宋体" w:eastAsia="仿宋_GB2312"/>
          <w:sz w:val="24"/>
          <w:szCs w:val="24"/>
        </w:rPr>
      </w:pPr>
      <w:r>
        <w:rPr>
          <w:rFonts w:hint="eastAsia" w:ascii="仿宋_GB2312" w:hAnsi="宋体" w:eastAsia="仿宋_GB2312"/>
          <w:sz w:val="24"/>
          <w:szCs w:val="24"/>
        </w:rPr>
        <w:t>（1）磋商仪式结束后，代理机构将立即组织磋商小组进行磋商。</w:t>
      </w:r>
    </w:p>
    <w:p>
      <w:pPr>
        <w:pStyle w:val="38"/>
        <w:snapToGrid w:val="0"/>
        <w:rPr>
          <w:rFonts w:ascii="仿宋_GB2312" w:hAnsi="宋体" w:eastAsia="仿宋_GB2312"/>
          <w:sz w:val="24"/>
          <w:szCs w:val="24"/>
        </w:rPr>
      </w:pPr>
      <w:r>
        <w:rPr>
          <w:rFonts w:hint="eastAsia" w:ascii="仿宋_GB2312" w:hAnsi="宋体" w:eastAsia="仿宋_GB2312"/>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（3）磋商小组工作原则</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3.响应文件审查</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仿宋_GB2312" w:eastAsia="仿宋_GB2312"/>
          <w:sz w:val="24"/>
          <w:szCs w:val="24"/>
        </w:rPr>
      </w:pPr>
      <w:bookmarkStart w:id="87" w:name="_Toc513029232"/>
      <w:bookmarkStart w:id="88" w:name="_Toc20823304"/>
      <w:bookmarkStart w:id="89" w:name="_Toc16938548"/>
      <w:r>
        <w:rPr>
          <w:rFonts w:hint="eastAsia" w:ascii="仿宋_GB2312" w:eastAsia="仿宋_GB2312"/>
          <w:sz w:val="24"/>
          <w:szCs w:val="24"/>
        </w:rPr>
        <w:t>4.供应商澄清</w:t>
      </w:r>
      <w:bookmarkEnd w:id="87"/>
      <w:bookmarkEnd w:id="88"/>
      <w:bookmarkEnd w:id="89"/>
    </w:p>
    <w:p>
      <w:pPr>
        <w:adjustRightInd w:val="0"/>
        <w:snapToGrid w:val="0"/>
        <w:spacing w:line="360" w:lineRule="auto"/>
        <w:ind w:firstLine="480" w:firstLineChars="200"/>
        <w:rPr>
          <w:rFonts w:ascii="仿宋_GB2312" w:eastAsia="仿宋_GB2312"/>
          <w:sz w:val="24"/>
          <w:szCs w:val="24"/>
        </w:rPr>
      </w:pPr>
      <w:bookmarkStart w:id="90" w:name="_Toc513029233"/>
      <w:bookmarkStart w:id="91" w:name="_Toc20823305"/>
      <w:bookmarkStart w:id="92" w:name="_Toc16938549"/>
      <w:r>
        <w:rPr>
          <w:rFonts w:hint="eastAsia" w:ascii="仿宋_GB2312" w:eastAsia="仿宋_GB2312"/>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5.磋商程序、最后报价、综合评分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（3）磋商文件能够详细列明采购标的的技术、服务要求的，磋商结束后，磋商小组将要求所有实质性响应的供应商在规定时间内提交二次报价函。二次报价函是供应商响应文件的有效组成部分。</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（4）已提交响应文件的供应商，在提交二次报价函之前，可以根据磋商情况退出磋商。采购人将退还退出磋商的供应商的磋商保证金。</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5）经磋商确定最终采购需求和提交二次报价函的供应商后，由磋商小组采用综合评分法对提交二次报价函供应商的响应文件和二次报价函中的优惠服务进行综合评分。综合评分法，是指响应文件满足磋商文件全部实质性要求且按评审因素的量化指标评审得分最高的供应商为成交候选单位的评审方法。</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（7）磋商小组应当根据综合评分情况，按照评审得分由高到低顺序推荐2名成交候选单位，并编写评审报告。评审得分相同的，按照技术得分由高到低的顺序推荐。依然相同的，由磋商小组现场抽签确定顺序。</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6.响应无效和终止磋商活动条款</w:t>
      </w:r>
    </w:p>
    <w:p>
      <w:pPr>
        <w:pStyle w:val="38"/>
        <w:snapToGrid w:val="0"/>
        <w:rPr>
          <w:rFonts w:ascii="仿宋_GB2312" w:hAnsi="宋体" w:eastAsia="仿宋_GB2312"/>
          <w:sz w:val="24"/>
          <w:szCs w:val="24"/>
        </w:rPr>
      </w:pPr>
      <w:bookmarkStart w:id="93" w:name="_Toc513029235"/>
      <w:bookmarkStart w:id="94" w:name="_Toc20823307"/>
      <w:bookmarkStart w:id="95" w:name="_Toc16938551"/>
      <w:r>
        <w:rPr>
          <w:rFonts w:hint="eastAsia" w:ascii="仿宋_GB2312" w:hAnsi="宋体" w:eastAsia="仿宋_GB2312"/>
          <w:sz w:val="24"/>
          <w:szCs w:val="24"/>
        </w:rPr>
        <w:t>（1）响应无效条款</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1）未按照磋商文件规定要求密封、签署、盖章的；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2）供应商不具备磋商文件中规定资格条件的；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3）不符合法律、法规和磋商文件中规定的其他实质性要求的；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4）其他法律、法规及本磋商文件规定的属响应无效的情形。</w:t>
      </w:r>
    </w:p>
    <w:p>
      <w:pPr>
        <w:pStyle w:val="38"/>
        <w:snapToGrid w:val="0"/>
        <w:rPr>
          <w:rFonts w:ascii="仿宋_GB2312" w:hAnsi="宋体" w:eastAsia="仿宋_GB2312"/>
          <w:sz w:val="24"/>
          <w:szCs w:val="24"/>
        </w:rPr>
      </w:pPr>
      <w:r>
        <w:rPr>
          <w:rFonts w:hint="eastAsia" w:ascii="仿宋_GB2312" w:hAnsi="宋体" w:eastAsia="仿宋_GB2312"/>
          <w:sz w:val="24"/>
          <w:szCs w:val="24"/>
        </w:rPr>
        <w:t>7.终止磋商采购活动的条款</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出现下列情形之一的，采购人将终止磋商采购活动，发布项目终止公告并说明原因，重新开展采购活动：</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（1）因情况变化，不再符合规定的磋商采购方式适用情形的；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仿宋_GB2312" w:eastAsia="仿宋_GB2312"/>
          <w:sz w:val="24"/>
          <w:szCs w:val="24"/>
        </w:rPr>
      </w:pPr>
      <w:bookmarkStart w:id="96" w:name="_Toc20823310"/>
      <w:bookmarkStart w:id="97" w:name="_Toc16938554"/>
      <w:r>
        <w:rPr>
          <w:rFonts w:hint="eastAsia" w:ascii="仿宋_GB2312" w:eastAsia="仿宋_GB2312"/>
          <w:sz w:val="24"/>
          <w:szCs w:val="24"/>
        </w:rPr>
        <w:t>8.确定</w:t>
      </w:r>
      <w:bookmarkEnd w:id="96"/>
      <w:bookmarkEnd w:id="97"/>
      <w:r>
        <w:rPr>
          <w:rFonts w:hint="eastAsia" w:ascii="仿宋_GB2312" w:eastAsia="仿宋_GB2312"/>
          <w:sz w:val="24"/>
          <w:szCs w:val="24"/>
        </w:rPr>
        <w:t>成交供应商</w:t>
      </w:r>
    </w:p>
    <w:p>
      <w:pPr>
        <w:pStyle w:val="38"/>
        <w:snapToGrid w:val="0"/>
        <w:rPr>
          <w:rFonts w:ascii="仿宋_GB2312" w:hAnsi="宋体" w:eastAsia="仿宋_GB2312" w:cs="Times New Roman"/>
          <w:sz w:val="24"/>
          <w:szCs w:val="24"/>
        </w:rPr>
      </w:pPr>
      <w:r>
        <w:rPr>
          <w:rFonts w:hint="eastAsia" w:ascii="仿宋_GB2312" w:hAnsi="宋体" w:eastAsia="仿宋_GB2312" w:cs="Times New Roman"/>
          <w:sz w:val="24"/>
          <w:szCs w:val="24"/>
        </w:rPr>
        <w:t>（1）采购人在评审结束后5个工作日内，从评审报告提出的成交候选单位中，按照排序由高到低的原则确定成交候选单位。</w:t>
      </w:r>
    </w:p>
    <w:p>
      <w:pPr>
        <w:pStyle w:val="38"/>
        <w:snapToGrid w:val="0"/>
        <w:rPr>
          <w:rFonts w:ascii="仿宋_GB2312" w:hAnsi="宋体" w:eastAsia="仿宋_GB2312"/>
          <w:sz w:val="24"/>
          <w:szCs w:val="24"/>
        </w:rPr>
      </w:pPr>
      <w:r>
        <w:rPr>
          <w:rFonts w:hint="eastAsia" w:ascii="仿宋_GB2312" w:hAnsi="宋体" w:eastAsia="仿宋_GB2312"/>
          <w:sz w:val="24"/>
          <w:szCs w:val="24"/>
        </w:rPr>
        <w:t>（2）采购人在成交供应商确定后2个工作日内在“皖南医学院校园网”公告成交结果。</w:t>
      </w:r>
    </w:p>
    <w:p>
      <w:pPr>
        <w:adjustRightInd w:val="0"/>
        <w:snapToGrid w:val="0"/>
        <w:spacing w:line="360" w:lineRule="auto"/>
        <w:ind w:firstLine="480" w:firstLineChars="200"/>
        <w:rPr>
          <w:rFonts w:ascii="仿宋_GB2312" w:hAnsi="宋体" w:eastAsia="仿宋_GB2312"/>
          <w:sz w:val="24"/>
          <w:szCs w:val="24"/>
        </w:rPr>
      </w:pPr>
      <w:bookmarkStart w:id="98" w:name="_Toc403987211"/>
      <w:bookmarkStart w:id="99" w:name="_Toc120614220"/>
      <w:bookmarkStart w:id="100" w:name="_Toc20823308"/>
      <w:bookmarkStart w:id="101" w:name="_Toc513029236"/>
      <w:bookmarkStart w:id="102" w:name="_Toc16938552"/>
      <w:r>
        <w:rPr>
          <w:rFonts w:hint="eastAsia" w:ascii="仿宋_GB2312" w:hAnsi="宋体" w:eastAsia="仿宋_GB2312"/>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仿宋_GB2312" w:eastAsia="仿宋_GB2312"/>
          <w:sz w:val="24"/>
          <w:szCs w:val="24"/>
        </w:rPr>
      </w:pPr>
      <w:bookmarkStart w:id="103" w:name="_Toc16938553"/>
      <w:bookmarkStart w:id="104" w:name="_Toc513029237"/>
      <w:bookmarkStart w:id="105" w:name="_Toc20823309"/>
      <w:r>
        <w:rPr>
          <w:rFonts w:hint="eastAsia" w:ascii="仿宋_GB2312" w:eastAsia="仿宋_GB2312"/>
          <w:sz w:val="24"/>
          <w:szCs w:val="24"/>
        </w:rPr>
        <w:t>1.签订合同</w:t>
      </w:r>
    </w:p>
    <w:p>
      <w:pPr>
        <w:pStyle w:val="38"/>
        <w:snapToGrid w:val="0"/>
        <w:rPr>
          <w:rFonts w:ascii="仿宋_GB2312" w:hAnsi="宋体" w:eastAsia="仿宋_GB2312"/>
          <w:sz w:val="24"/>
          <w:szCs w:val="24"/>
        </w:rPr>
      </w:pPr>
      <w:r>
        <w:rPr>
          <w:rFonts w:hint="eastAsia" w:ascii="仿宋_GB2312" w:hAnsi="宋体" w:eastAsia="仿宋_GB2312"/>
          <w:sz w:val="24"/>
          <w:szCs w:val="24"/>
        </w:rPr>
        <w:t>（1）采购人与成交供应商应当在成交通知书发出之日起5日内，按照磋商文件确定的合同文本以及采购标的、采购金额、技术和服务要求等事项签订采购合同。</w:t>
      </w:r>
    </w:p>
    <w:p>
      <w:pPr>
        <w:pStyle w:val="38"/>
        <w:snapToGrid w:val="0"/>
        <w:rPr>
          <w:rFonts w:ascii="仿宋_GB2312" w:hAnsi="宋体" w:eastAsia="仿宋_GB2312"/>
          <w:sz w:val="24"/>
          <w:szCs w:val="24"/>
        </w:rPr>
      </w:pPr>
      <w:r>
        <w:rPr>
          <w:rFonts w:hint="eastAsia" w:ascii="仿宋_GB2312" w:hAnsi="宋体" w:eastAsia="仿宋_GB2312"/>
          <w:sz w:val="24"/>
          <w:szCs w:val="24"/>
        </w:rPr>
        <w:t>（2）成交供应商拒绝签订采购合同的，采购人可以按照从评审报告提出的成交候选单位中，按照排序由高到低的原则重新确定其他供应商作为成交供应商并签订采购合同，也可以重新开展采购活动。拒绝签订采购合同的成交供应商不得参加对该项目重新开展的采购活动。</w:t>
      </w:r>
    </w:p>
    <w:p>
      <w:pPr>
        <w:pStyle w:val="38"/>
        <w:snapToGrid w:val="0"/>
        <w:rPr>
          <w:rFonts w:ascii="仿宋_GB2312" w:hAnsi="宋体" w:eastAsia="仿宋_GB2312"/>
          <w:sz w:val="24"/>
          <w:szCs w:val="24"/>
        </w:rPr>
      </w:pPr>
      <w:r>
        <w:rPr>
          <w:rFonts w:hint="eastAsia" w:ascii="仿宋_GB2312" w:hAnsi="宋体" w:eastAsia="仿宋_GB2312"/>
          <w:sz w:val="24"/>
          <w:szCs w:val="24"/>
        </w:rPr>
        <w:t>（3）磋商文件、</w:t>
      </w:r>
      <w:r>
        <w:rPr>
          <w:rFonts w:hint="eastAsia" w:ascii="仿宋_GB2312" w:hAnsi="仿宋_GB2312" w:eastAsia="仿宋_GB2312" w:cs="仿宋_GB2312"/>
          <w:sz w:val="24"/>
          <w:szCs w:val="24"/>
        </w:rPr>
        <w:t>成交</w:t>
      </w:r>
      <w:r>
        <w:rPr>
          <w:rFonts w:hint="eastAsia" w:ascii="仿宋_GB2312" w:hAnsi="宋体" w:eastAsia="仿宋_GB2312"/>
          <w:sz w:val="24"/>
          <w:szCs w:val="24"/>
        </w:rPr>
        <w:t>供应商的响应文件及磋商过程中有关澄清、承诺文件均应作为合同附件。</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2.履约保证金</w:t>
      </w:r>
    </w:p>
    <w:p>
      <w:pPr>
        <w:pStyle w:val="38"/>
        <w:snapToGrid w:val="0"/>
        <w:rPr>
          <w:rFonts w:ascii="仿宋_GB2312" w:hAnsi="宋体" w:eastAsia="仿宋_GB2312"/>
          <w:sz w:val="24"/>
          <w:szCs w:val="24"/>
        </w:rPr>
      </w:pPr>
      <w:r>
        <w:rPr>
          <w:rFonts w:hint="eastAsia" w:ascii="仿宋_GB2312" w:hAnsi="宋体" w:eastAsia="仿宋_GB2312"/>
          <w:sz w:val="24"/>
          <w:szCs w:val="24"/>
        </w:rPr>
        <w:t>（1）成交供应商在收到</w:t>
      </w:r>
      <w:r>
        <w:rPr>
          <w:rFonts w:hint="eastAsia" w:ascii="仿宋_GB2312" w:hAnsi="仿宋_GB2312" w:eastAsia="仿宋_GB2312" w:cs="仿宋_GB2312"/>
          <w:sz w:val="24"/>
          <w:szCs w:val="24"/>
        </w:rPr>
        <w:t>成交</w:t>
      </w:r>
      <w:r>
        <w:rPr>
          <w:rFonts w:hint="eastAsia" w:ascii="仿宋_GB2312" w:hAnsi="宋体" w:eastAsia="仿宋_GB2312"/>
          <w:sz w:val="24"/>
          <w:szCs w:val="24"/>
        </w:rPr>
        <w:t>通知书后，磋商保证金将自动转为履约保证金</w:t>
      </w:r>
      <w:bookmarkStart w:id="106" w:name="_Toc200451963"/>
      <w:r>
        <w:rPr>
          <w:rFonts w:hint="eastAsia" w:ascii="仿宋_GB2312" w:hAnsi="宋体" w:eastAsia="仿宋_GB2312"/>
          <w:sz w:val="24"/>
          <w:szCs w:val="24"/>
        </w:rPr>
        <w:t>，不足部分在双方签订合同前交齐。</w:t>
      </w:r>
    </w:p>
    <w:bookmarkEnd w:id="106"/>
    <w:p>
      <w:pPr>
        <w:pStyle w:val="38"/>
        <w:snapToGrid w:val="0"/>
        <w:rPr>
          <w:rFonts w:ascii="仿宋_GB2312" w:hAnsi="宋体" w:eastAsia="仿宋_GB2312"/>
          <w:bCs/>
          <w:sz w:val="24"/>
          <w:szCs w:val="24"/>
        </w:rPr>
      </w:pPr>
      <w:r>
        <w:rPr>
          <w:rFonts w:hint="eastAsia" w:ascii="仿宋_GB2312" w:hAnsi="宋体" w:eastAsia="仿宋_GB2312"/>
          <w:bCs/>
          <w:sz w:val="24"/>
          <w:szCs w:val="24"/>
        </w:rPr>
        <w:t>（2）履约保证金的退还：合同有效期截止后，</w:t>
      </w:r>
      <w:r>
        <w:rPr>
          <w:rFonts w:hint="eastAsia" w:ascii="仿宋_GB2312" w:hAnsi="宋体" w:eastAsia="仿宋_GB2312"/>
          <w:sz w:val="24"/>
          <w:szCs w:val="24"/>
        </w:rPr>
        <w:t>成交供应商自行下载、完成《皖南医学院项目履约保证金退付申请表》</w:t>
      </w:r>
      <w:r>
        <w:rPr>
          <w:rFonts w:hint="eastAsia" w:ascii="仿宋_GB2312" w:hAnsi="宋体" w:eastAsia="仿宋_GB2312"/>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仿宋_GB2312" w:hAnsi="宋体" w:eastAsia="仿宋_GB2312" w:cs="宋体"/>
          <w:kern w:val="0"/>
          <w:sz w:val="24"/>
          <w:szCs w:val="24"/>
        </w:rPr>
      </w:pPr>
      <w:r>
        <w:rPr>
          <w:rFonts w:hint="eastAsia" w:ascii="仿宋_GB2312" w:hAnsi="宋体" w:eastAsia="仿宋_GB2312"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eastAsia="仿宋_GB2312"/>
          <w:kern w:val="0"/>
          <w:sz w:val="24"/>
          <w:szCs w:val="24"/>
          <w:shd w:val="clear" w:color="auto" w:fill="FFFFFF"/>
        </w:rPr>
        <w:t>1</w:t>
      </w:r>
      <w:r>
        <w:rPr>
          <w:rFonts w:hint="eastAsia" w:ascii="仿宋_GB2312" w:hAnsi="宋体" w:eastAsia="仿宋_GB2312" w:cs="宋体"/>
          <w:kern w:val="0"/>
          <w:sz w:val="24"/>
          <w:szCs w:val="24"/>
          <w:shd w:val="clear" w:color="auto" w:fill="FFFFFF"/>
        </w:rPr>
        <w:t>、代理机构：安徽中技工程咨询有限公司；</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2、联系方式：万工</w:t>
      </w:r>
      <w:r>
        <w:rPr>
          <w:rFonts w:hint="eastAsia" w:ascii="仿宋_GB2312" w:hAnsi="宋体" w:eastAsia="仿宋_GB2312" w:cs="宋体"/>
          <w:kern w:val="0"/>
          <w:sz w:val="24"/>
          <w:szCs w:val="24"/>
          <w:shd w:val="clear" w:color="auto" w:fill="FFFFFF"/>
          <w:lang w:eastAsia="zh-CN"/>
        </w:rPr>
        <w:t>18055360547</w:t>
      </w:r>
      <w:r>
        <w:rPr>
          <w:rFonts w:hint="eastAsia" w:ascii="仿宋_GB2312" w:hAnsi="宋体" w:eastAsia="仿宋_GB2312"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3、通讯地址：安徽省芜湖市鸠江区中江大道和仁和路交口柏庄财富广场2号办公楼301室。</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1</w:t>
      </w:r>
      <w:r>
        <w:rPr>
          <w:rFonts w:hint="eastAsia" w:ascii="仿宋_GB2312" w:hAnsi="宋体" w:eastAsia="仿宋_GB2312" w:cs="宋体"/>
          <w:kern w:val="0"/>
          <w:sz w:val="24"/>
          <w:szCs w:val="24"/>
          <w:shd w:val="clear" w:color="auto" w:fill="FFFFFF"/>
        </w:rPr>
        <w:t>、联系部门：皖南医学院纪委办公室；</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2</w:t>
      </w:r>
      <w:r>
        <w:rPr>
          <w:rFonts w:hint="eastAsia" w:ascii="仿宋_GB2312" w:hAnsi="宋体" w:eastAsia="仿宋_GB2312" w:cs="宋体"/>
          <w:kern w:val="0"/>
          <w:sz w:val="24"/>
          <w:szCs w:val="24"/>
          <w:shd w:val="clear" w:color="auto" w:fill="FFFFFF"/>
        </w:rPr>
        <w:t>、联系电话：</w:t>
      </w:r>
      <w:r>
        <w:rPr>
          <w:rFonts w:hint="eastAsia" w:ascii="仿宋_GB2312" w:eastAsia="仿宋_GB2312"/>
          <w:kern w:val="0"/>
          <w:sz w:val="24"/>
          <w:szCs w:val="24"/>
          <w:shd w:val="clear" w:color="auto" w:fill="FFFFFF"/>
        </w:rPr>
        <w:t>0553-3932826</w:t>
      </w:r>
      <w:r>
        <w:rPr>
          <w:rFonts w:hint="eastAsia" w:ascii="仿宋_GB2312" w:hAnsi="宋体" w:eastAsia="仿宋_GB2312"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3</w:t>
      </w:r>
      <w:r>
        <w:rPr>
          <w:rFonts w:hint="eastAsia" w:ascii="仿宋_GB2312" w:hAnsi="宋体" w:eastAsia="仿宋_GB2312" w:cs="宋体"/>
          <w:kern w:val="0"/>
          <w:sz w:val="24"/>
          <w:szCs w:val="24"/>
          <w:shd w:val="clear" w:color="auto" w:fill="FFFFFF"/>
        </w:rPr>
        <w:t>、通讯地址：芜湖市高校园区文昌西路</w:t>
      </w:r>
      <w:r>
        <w:rPr>
          <w:rFonts w:hint="eastAsia" w:ascii="仿宋_GB2312" w:eastAsia="仿宋_GB2312"/>
          <w:kern w:val="0"/>
          <w:sz w:val="24"/>
          <w:szCs w:val="24"/>
          <w:shd w:val="clear" w:color="auto" w:fill="FFFFFF"/>
        </w:rPr>
        <w:t>22</w:t>
      </w:r>
      <w:r>
        <w:rPr>
          <w:rFonts w:hint="eastAsia" w:ascii="仿宋_GB2312" w:hAnsi="宋体" w:eastAsia="仿宋_GB2312" w:cs="宋体"/>
          <w:kern w:val="0"/>
          <w:sz w:val="24"/>
          <w:szCs w:val="24"/>
          <w:shd w:val="clear" w:color="auto" w:fill="FFFFFF"/>
        </w:rPr>
        <w:t>号皖南医学院纪委办公室。</w:t>
      </w:r>
    </w:p>
    <w:p>
      <w:pPr>
        <w:pStyle w:val="38"/>
        <w:snapToGrid w:val="0"/>
        <w:ind w:right="280" w:rightChars="100" w:firstLine="0" w:firstLineChars="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rPr>
          <w:rFonts w:ascii="仿宋_GB2312" w:hAnsi="宋体" w:eastAsia="仿宋_GB2312"/>
          <w:bCs/>
          <w:szCs w:val="28"/>
        </w:rPr>
      </w:pPr>
      <w:r>
        <w:rPr>
          <w:rFonts w:ascii="仿宋_GB2312" w:hAnsi="宋体" w:eastAsia="仿宋_GB2312"/>
          <w:bCs/>
          <w:szCs w:val="28"/>
        </w:rPr>
        <w:br w:type="page"/>
      </w:r>
    </w:p>
    <w:p>
      <w:pPr>
        <w:widowControl w:val="0"/>
        <w:adjustRightInd/>
        <w:snapToGrid/>
        <w:spacing w:after="0"/>
        <w:jc w:val="both"/>
        <w:rPr>
          <w:rFonts w:ascii="宋体" w:hAnsi="宋体" w:eastAsia="宋体" w:cs="Times New Roman"/>
          <w:b/>
          <w:kern w:val="2"/>
          <w:sz w:val="24"/>
          <w:szCs w:val="24"/>
        </w:rPr>
      </w:pPr>
      <w:r>
        <w:rPr>
          <w:rFonts w:hint="eastAsia" w:ascii="宋体" w:hAnsi="宋体" w:eastAsia="宋体" w:cs="Times New Roman"/>
          <w:b/>
          <w:kern w:val="2"/>
          <w:sz w:val="24"/>
          <w:szCs w:val="24"/>
        </w:rPr>
        <w:t>附件1：</w:t>
      </w:r>
    </w:p>
    <w:p>
      <w:pPr>
        <w:widowControl w:val="0"/>
        <w:adjustRightInd/>
        <w:snapToGrid/>
        <w:spacing w:after="0" w:line="560" w:lineRule="exact"/>
        <w:jc w:val="both"/>
        <w:rPr>
          <w:rFonts w:hint="eastAsia" w:ascii="华文中宋" w:hAnsi="华文中宋" w:eastAsia="华文中宋" w:cs="Times New Roman"/>
          <w:b/>
          <w:kern w:val="2"/>
          <w:sz w:val="36"/>
          <w:szCs w:val="36"/>
        </w:rPr>
      </w:pPr>
    </w:p>
    <w:p>
      <w:pPr>
        <w:widowControl w:val="0"/>
        <w:adjustRightInd/>
        <w:snapToGrid/>
        <w:spacing w:after="0" w:line="560" w:lineRule="exact"/>
        <w:jc w:val="center"/>
        <w:rPr>
          <w:rFonts w:ascii="华文中宋" w:hAnsi="华文中宋" w:eastAsia="华文中宋" w:cs="Times New Roman"/>
          <w:b/>
          <w:kern w:val="2"/>
          <w:sz w:val="36"/>
          <w:szCs w:val="36"/>
        </w:rPr>
      </w:pPr>
      <w:r>
        <w:rPr>
          <w:rFonts w:hint="eastAsia" w:ascii="华文中宋" w:hAnsi="华文中宋" w:eastAsia="华文中宋" w:cs="Times New Roman"/>
          <w:b/>
          <w:kern w:val="2"/>
          <w:sz w:val="36"/>
          <w:szCs w:val="36"/>
        </w:rPr>
        <w:t>皖南医学院采购质疑与投诉办法（试行）</w:t>
      </w:r>
    </w:p>
    <w:p>
      <w:pPr>
        <w:widowControl w:val="0"/>
        <w:adjustRightInd/>
        <w:snapToGrid/>
        <w:spacing w:after="0" w:line="560" w:lineRule="exact"/>
        <w:ind w:firstLine="600" w:firstLineChars="200"/>
        <w:jc w:val="both"/>
        <w:rPr>
          <w:rFonts w:ascii="Times New Roman" w:hAnsi="Times New Roman" w:eastAsia="宋体" w:cs="Times New Roman"/>
          <w:kern w:val="2"/>
          <w:sz w:val="30"/>
          <w:szCs w:val="30"/>
        </w:rPr>
      </w:pPr>
    </w:p>
    <w:p>
      <w:pPr>
        <w:widowControl w:val="0"/>
        <w:adjustRightInd/>
        <w:snapToGrid/>
        <w:spacing w:after="0" w:line="560" w:lineRule="exact"/>
        <w:jc w:val="center"/>
        <w:rPr>
          <w:rFonts w:ascii="黑体" w:hAnsi="黑体" w:eastAsia="黑体" w:cs="宋体"/>
          <w:kern w:val="2"/>
          <w:sz w:val="30"/>
          <w:szCs w:val="30"/>
        </w:rPr>
      </w:pPr>
      <w:bookmarkStart w:id="107" w:name="_Toc374453341"/>
      <w:r>
        <w:rPr>
          <w:rFonts w:hint="eastAsia" w:ascii="黑体" w:hAnsi="黑体" w:eastAsia="黑体" w:cs="宋体"/>
          <w:b/>
          <w:bCs/>
          <w:kern w:val="2"/>
          <w:sz w:val="30"/>
          <w:szCs w:val="30"/>
        </w:rPr>
        <w:t>第一章</w:t>
      </w:r>
      <w:r>
        <w:rPr>
          <w:rFonts w:hint="eastAsia" w:ascii="宋体" w:hAnsi="宋体" w:eastAsia="黑体" w:cs="Times New Roman"/>
          <w:kern w:val="2"/>
          <w:sz w:val="30"/>
          <w:szCs w:val="30"/>
        </w:rPr>
        <w:t>  </w:t>
      </w:r>
      <w:r>
        <w:rPr>
          <w:rFonts w:hint="eastAsia" w:ascii="黑体" w:hAnsi="黑体" w:eastAsia="黑体" w:cs="宋体"/>
          <w:b/>
          <w:bCs/>
          <w:kern w:val="2"/>
          <w:sz w:val="30"/>
          <w:szCs w:val="30"/>
        </w:rPr>
        <w:t>总 则</w:t>
      </w:r>
      <w:bookmarkEnd w:id="107"/>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宋体" w:hAnsi="宋体" w:eastAsia="仿宋_GB2312" w:cs="Times New Roman"/>
          <w:kern w:val="2"/>
          <w:sz w:val="24"/>
          <w:szCs w:val="24"/>
        </w:rPr>
        <w:t> </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仿宋_GB2312" w:hAnsi="宋体" w:eastAsia="仿宋_GB2312" w:cs="宋体"/>
          <w:kern w:val="2"/>
          <w:sz w:val="24"/>
          <w:szCs w:val="24"/>
        </w:rPr>
        <w:t xml:space="preserve"> </w:t>
      </w:r>
      <w:r>
        <w:rPr>
          <w:rFonts w:hint="eastAsia" w:ascii="仿宋_GB2312" w:hAnsi="宋体" w:eastAsia="仿宋_GB2312" w:cs="宋体"/>
          <w:b/>
          <w:kern w:val="2"/>
          <w:sz w:val="24"/>
          <w:szCs w:val="24"/>
        </w:rPr>
        <w:t>第一条</w:t>
      </w:r>
      <w:r>
        <w:rPr>
          <w:rFonts w:hint="eastAsia" w:ascii="仿宋_GB2312" w:hAnsi="宋体" w:eastAsia="仿宋_GB2312" w:cs="宋体"/>
          <w:kern w:val="2"/>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第二条</w:t>
      </w:r>
      <w:r>
        <w:rPr>
          <w:rFonts w:hint="eastAsia" w:ascii="仿宋_GB2312" w:hAnsi="宋体" w:eastAsia="仿宋_GB2312" w:cs="宋体"/>
          <w:kern w:val="2"/>
          <w:sz w:val="24"/>
          <w:szCs w:val="24"/>
        </w:rPr>
        <w:t xml:space="preserve">  本办法适用于</w:t>
      </w:r>
      <w:bookmarkStart w:id="108" w:name="OLE_LINK2"/>
      <w:bookmarkStart w:id="109" w:name="OLE_LINK3"/>
      <w:bookmarkStart w:id="110" w:name="OLE_LINK1"/>
      <w:r>
        <w:rPr>
          <w:rFonts w:hint="eastAsia" w:ascii="仿宋_GB2312" w:hAnsi="宋体" w:eastAsia="仿宋_GB2312" w:cs="宋体"/>
          <w:kern w:val="2"/>
          <w:sz w:val="24"/>
          <w:szCs w:val="24"/>
        </w:rPr>
        <w:t>学校采购活动</w:t>
      </w:r>
      <w:bookmarkEnd w:id="108"/>
      <w:bookmarkEnd w:id="109"/>
      <w:bookmarkEnd w:id="110"/>
      <w:r>
        <w:rPr>
          <w:rFonts w:hint="eastAsia" w:ascii="仿宋_GB2312" w:hAnsi="宋体" w:eastAsia="仿宋_GB2312" w:cs="宋体"/>
          <w:kern w:val="2"/>
          <w:sz w:val="24"/>
          <w:szCs w:val="24"/>
        </w:rPr>
        <w:t>质疑的提出和答复、投诉的提起和处理。</w:t>
      </w:r>
    </w:p>
    <w:p>
      <w:pPr>
        <w:shd w:val="clear" w:color="auto" w:fill="FFFFFF"/>
        <w:spacing w:after="0" w:line="560" w:lineRule="exact"/>
        <w:ind w:firstLine="482" w:firstLineChars="200"/>
        <w:jc w:val="both"/>
        <w:rPr>
          <w:rFonts w:ascii="仿宋_GB2312" w:hAnsi="宋体" w:eastAsia="仿宋_GB2312" w:cs="Times New Roman"/>
          <w:sz w:val="24"/>
          <w:szCs w:val="24"/>
        </w:rPr>
      </w:pPr>
      <w:r>
        <w:rPr>
          <w:rFonts w:hint="eastAsia" w:ascii="仿宋_GB2312" w:hAnsi="宋体" w:eastAsia="仿宋_GB2312" w:cs="Times New Roman"/>
          <w:b/>
          <w:sz w:val="24"/>
          <w:szCs w:val="24"/>
        </w:rPr>
        <w:t>第三条</w:t>
      </w:r>
      <w:r>
        <w:rPr>
          <w:rFonts w:hint="eastAsia" w:ascii="仿宋_GB2312" w:hAnsi="宋体" w:eastAsia="仿宋_GB2312" w:cs="Times New Roman"/>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第四条</w:t>
      </w:r>
      <w:r>
        <w:rPr>
          <w:rFonts w:hint="eastAsia" w:ascii="仿宋_GB2312" w:hAnsi="宋体" w:eastAsia="仿宋_GB2312" w:cs="宋体"/>
          <w:kern w:val="2"/>
          <w:sz w:val="24"/>
          <w:szCs w:val="24"/>
        </w:rPr>
        <w:t xml:space="preserve">  供应商提出质疑和投诉应当坚持依法依规、诚实信用原则。</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第五条</w:t>
      </w:r>
      <w:r>
        <w:rPr>
          <w:rFonts w:hint="eastAsia" w:ascii="仿宋_GB2312" w:hAnsi="宋体" w:eastAsia="仿宋_GB2312" w:cs="宋体"/>
          <w:kern w:val="2"/>
          <w:sz w:val="24"/>
          <w:szCs w:val="24"/>
        </w:rPr>
        <w:t xml:space="preserve">  采购质疑答复和投诉处理应当坚持依法依规、权责对等、公平公正、简便高效原则。</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第六条</w:t>
      </w:r>
      <w:r>
        <w:rPr>
          <w:rFonts w:hint="eastAsia" w:ascii="仿宋_GB2312" w:hAnsi="宋体" w:eastAsia="仿宋_GB2312" w:cs="宋体"/>
          <w:kern w:val="2"/>
          <w:sz w:val="24"/>
          <w:szCs w:val="24"/>
        </w:rPr>
        <w:t xml:space="preserve">  学校国有资产管理处（以下简称“国资处”）负责供应商质疑答复。学校委托采购代理机构采购的，采购代理机构在委托授权范围内作出答复。</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仿宋_GB2312" w:hAnsi="宋体" w:eastAsia="仿宋_GB2312" w:cs="宋体"/>
          <w:kern w:val="2"/>
          <w:sz w:val="24"/>
          <w:szCs w:val="24"/>
        </w:rPr>
        <w:t>学校监察处负责接受和处理校内自主采购项目的投诉。</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第七条</w:t>
      </w:r>
      <w:r>
        <w:rPr>
          <w:rFonts w:hint="eastAsia" w:ascii="仿宋_GB2312" w:hAnsi="宋体" w:eastAsia="仿宋_GB2312" w:cs="宋体"/>
          <w:kern w:val="2"/>
          <w:sz w:val="24"/>
          <w:szCs w:val="24"/>
        </w:rPr>
        <w:t xml:space="preserve">  国资处、委托采购代理机构应当在采购文件中载明接收质疑函和受理投诉的方式、联系部门、联系电话和通讯地址等信息。</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第八条</w:t>
      </w:r>
      <w:r>
        <w:rPr>
          <w:rFonts w:hint="eastAsia" w:ascii="仿宋_GB2312" w:hAnsi="宋体" w:eastAsia="仿宋_GB2312" w:cs="宋体"/>
          <w:kern w:val="2"/>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仿宋_GB2312" w:hAnsi="宋体" w:eastAsia="仿宋_GB2312" w:cs="宋体"/>
          <w:kern w:val="2"/>
          <w:sz w:val="24"/>
          <w:szCs w:val="24"/>
        </w:rPr>
        <w:t>代理人提出质疑和投诉，应当提交供应商签署的授权委托书。</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第九条</w:t>
      </w:r>
      <w:r>
        <w:rPr>
          <w:rFonts w:hint="eastAsia" w:ascii="仿宋_GB2312" w:hAnsi="宋体" w:eastAsia="仿宋_GB2312" w:cs="宋体"/>
          <w:kern w:val="2"/>
          <w:sz w:val="24"/>
          <w:szCs w:val="24"/>
        </w:rPr>
        <w:t xml:space="preserve">  以联合体形式参加学校采购活动的，其投诉应当由组成联合体的所有供应商共同提出。</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p>
    <w:p>
      <w:pPr>
        <w:widowControl w:val="0"/>
        <w:adjustRightInd/>
        <w:snapToGrid/>
        <w:spacing w:after="0" w:line="560" w:lineRule="exact"/>
        <w:jc w:val="center"/>
        <w:rPr>
          <w:rFonts w:ascii="黑体" w:hAnsi="黑体" w:eastAsia="黑体" w:cs="宋体"/>
          <w:b/>
          <w:kern w:val="2"/>
          <w:sz w:val="30"/>
          <w:szCs w:val="30"/>
        </w:rPr>
      </w:pPr>
      <w:r>
        <w:rPr>
          <w:rFonts w:hint="eastAsia" w:ascii="黑体" w:hAnsi="黑体" w:eastAsia="黑体" w:cs="宋体"/>
          <w:b/>
          <w:kern w:val="2"/>
          <w:sz w:val="30"/>
          <w:szCs w:val="30"/>
        </w:rPr>
        <w:t>第二章 质疑的提出</w:t>
      </w:r>
    </w:p>
    <w:p>
      <w:pPr>
        <w:widowControl w:val="0"/>
        <w:adjustRightInd/>
        <w:snapToGrid/>
        <w:spacing w:after="0" w:line="560" w:lineRule="exact"/>
        <w:ind w:firstLine="600" w:firstLineChars="200"/>
        <w:jc w:val="both"/>
        <w:rPr>
          <w:rFonts w:ascii="仿宋_GB2312" w:hAnsi="宋体" w:eastAsia="仿宋_GB2312" w:cs="宋体"/>
          <w:kern w:val="2"/>
          <w:sz w:val="30"/>
          <w:szCs w:val="30"/>
        </w:rPr>
      </w:pP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第十条</w:t>
      </w:r>
      <w:bookmarkStart w:id="111" w:name="OLE_LINK6"/>
      <w:bookmarkStart w:id="112" w:name="OLE_LINK8"/>
      <w:bookmarkStart w:id="113" w:name="OLE_LINK4"/>
      <w:bookmarkStart w:id="114" w:name="OLE_LINK5"/>
      <w:bookmarkStart w:id="115" w:name="OLE_LINK9"/>
      <w:bookmarkStart w:id="116" w:name="OLE_LINK7"/>
      <w:r>
        <w:rPr>
          <w:rFonts w:hint="eastAsia" w:ascii="仿宋_GB2312" w:hAnsi="微软雅黑" w:eastAsia="仿宋_GB2312" w:cs="Times New Roman"/>
          <w:sz w:val="24"/>
          <w:szCs w:val="24"/>
        </w:rPr>
        <w:t xml:space="preserve">  </w:t>
      </w:r>
      <w:r>
        <w:rPr>
          <w:rFonts w:hint="eastAsia" w:ascii="仿宋_GB2312" w:hAnsi="宋体" w:eastAsia="仿宋_GB2312" w:cs="Times New Roman"/>
          <w:sz w:val="24"/>
          <w:szCs w:val="24"/>
        </w:rPr>
        <w:t>学校自主采购活动</w:t>
      </w:r>
      <w:r>
        <w:rPr>
          <w:rFonts w:hint="eastAsia" w:ascii="仿宋_GB2312" w:hAnsi="微软雅黑" w:eastAsia="仿宋_GB2312" w:cs="Times New Roman"/>
          <w:sz w:val="24"/>
          <w:szCs w:val="24"/>
        </w:rPr>
        <w:t>中</w:t>
      </w:r>
      <w:bookmarkEnd w:id="111"/>
      <w:bookmarkEnd w:id="112"/>
      <w:bookmarkEnd w:id="113"/>
      <w:bookmarkEnd w:id="114"/>
      <w:bookmarkEnd w:id="115"/>
      <w:bookmarkEnd w:id="116"/>
      <w:r>
        <w:rPr>
          <w:rFonts w:hint="eastAsia" w:ascii="仿宋_GB2312" w:hAnsi="微软雅黑" w:eastAsia="仿宋_GB2312" w:cs="Times New Roman"/>
          <w:sz w:val="24"/>
          <w:szCs w:val="24"/>
        </w:rPr>
        <w:t>，供应商认为采购文件、采购过程、中标或者成交结果使自己的权益受到损害的，可以在知道或者应知其权益受到损害之日起5个工作日内，以书面形式向国资处、采购代理机构提出质疑。</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采购文件可以要求供应商在质疑期内一次性提出针对同一采购程序环节的质疑。</w:t>
      </w:r>
    </w:p>
    <w:p>
      <w:pPr>
        <w:shd w:val="clear" w:color="auto" w:fill="FFFFFF"/>
        <w:spacing w:after="0" w:line="560" w:lineRule="exact"/>
        <w:ind w:firstLine="482" w:firstLineChars="200"/>
        <w:jc w:val="both"/>
        <w:rPr>
          <w:rFonts w:ascii="仿宋_GB2312" w:hAnsi="宋体" w:eastAsia="仿宋_GB2312" w:cs="Times New Roman"/>
          <w:sz w:val="24"/>
          <w:szCs w:val="24"/>
        </w:rPr>
      </w:pPr>
      <w:r>
        <w:rPr>
          <w:rFonts w:hint="eastAsia" w:ascii="仿宋_GB2312" w:hAnsi="宋体" w:eastAsia="仿宋_GB2312" w:cs="Times New Roman"/>
          <w:b/>
          <w:sz w:val="24"/>
          <w:szCs w:val="24"/>
        </w:rPr>
        <w:t>第十一条</w:t>
      </w:r>
      <w:r>
        <w:rPr>
          <w:rFonts w:hint="eastAsia" w:ascii="仿宋_GB2312" w:hAnsi="宋体" w:eastAsia="仿宋_GB2312" w:cs="Times New Roman"/>
          <w:sz w:val="24"/>
          <w:szCs w:val="24"/>
        </w:rPr>
        <w:t xml:space="preserve">  学校自主采购活动</w:t>
      </w:r>
      <w:r>
        <w:rPr>
          <w:rFonts w:hint="eastAsia" w:ascii="仿宋_GB2312" w:hAnsi="微软雅黑" w:eastAsia="仿宋_GB2312" w:cs="Times New Roman"/>
          <w:sz w:val="24"/>
          <w:szCs w:val="24"/>
        </w:rPr>
        <w:t>中</w:t>
      </w:r>
      <w:r>
        <w:rPr>
          <w:rFonts w:hint="eastAsia" w:ascii="仿宋_GB2312" w:hAnsi="宋体" w:eastAsia="仿宋_GB2312" w:cs="Times New Roman"/>
          <w:sz w:val="24"/>
          <w:szCs w:val="24"/>
        </w:rPr>
        <w:t>，提出质疑的供应商（以下简称质疑供应商）应当是参与所质疑项目采购活动的供应商。</w:t>
      </w:r>
    </w:p>
    <w:p>
      <w:pPr>
        <w:widowControl w:val="0"/>
        <w:adjustRightInd/>
        <w:snapToGrid/>
        <w:spacing w:after="0" w:line="560" w:lineRule="exact"/>
        <w:ind w:firstLine="480" w:firstLineChars="200"/>
        <w:jc w:val="both"/>
        <w:rPr>
          <w:rFonts w:ascii="仿宋_GB2312" w:hAnsi="宋体" w:eastAsia="仿宋_GB2312" w:cs="Times New Roman"/>
          <w:kern w:val="2"/>
          <w:sz w:val="24"/>
          <w:szCs w:val="24"/>
        </w:rPr>
      </w:pPr>
      <w:r>
        <w:rPr>
          <w:rFonts w:hint="eastAsia" w:ascii="仿宋_GB2312" w:hAnsi="宋体" w:eastAsia="仿宋_GB2312" w:cs="Times New Roman"/>
          <w:kern w:val="2"/>
          <w:sz w:val="24"/>
          <w:szCs w:val="24"/>
        </w:rPr>
        <w:t xml:space="preserve">潜在供应商已依法依规获取其可质疑的采购文件的，可以对该文件提出质疑。对采购文件提出质疑的，应当在采购文件规定的时间内提出。 </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第十二条</w:t>
      </w:r>
      <w:r>
        <w:rPr>
          <w:rFonts w:hint="eastAsia" w:ascii="仿宋_GB2312" w:hAnsi="微软雅黑" w:eastAsia="仿宋_GB2312" w:cs="Times New Roman"/>
          <w:sz w:val="24"/>
          <w:szCs w:val="24"/>
        </w:rPr>
        <w:t xml:space="preserve">  </w:t>
      </w:r>
      <w:r>
        <w:rPr>
          <w:rFonts w:hint="eastAsia" w:ascii="仿宋_GB2312" w:hAnsi="宋体" w:eastAsia="仿宋_GB2312" w:cs="Times New Roman"/>
          <w:sz w:val="24"/>
          <w:szCs w:val="24"/>
        </w:rPr>
        <w:t>学校自主采购活动</w:t>
      </w:r>
      <w:r>
        <w:rPr>
          <w:rFonts w:hint="eastAsia" w:ascii="仿宋_GB2312" w:hAnsi="微软雅黑" w:eastAsia="仿宋_GB2312" w:cs="Times New Roman"/>
          <w:sz w:val="24"/>
          <w:szCs w:val="24"/>
        </w:rPr>
        <w:t>中</w:t>
      </w:r>
      <w:r>
        <w:rPr>
          <w:rFonts w:hint="eastAsia" w:ascii="仿宋_GB2312" w:hAnsi="宋体" w:eastAsia="仿宋_GB2312" w:cs="Times New Roman"/>
          <w:sz w:val="24"/>
          <w:szCs w:val="24"/>
        </w:rPr>
        <w:t>，</w:t>
      </w:r>
      <w:r>
        <w:rPr>
          <w:rFonts w:hint="eastAsia" w:ascii="仿宋_GB2312" w:hAnsi="微软雅黑" w:eastAsia="仿宋_GB2312" w:cs="Times New Roman"/>
          <w:sz w:val="24"/>
          <w:szCs w:val="24"/>
        </w:rPr>
        <w:t>供应商提出质疑应当提交质疑函和必要的证明材料。质疑函应当包括下列内容：</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（一）供应商的姓名或者名称、地址、邮编、联系人及联系电话；</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（二）质疑项目的名称、编号；</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（三）具体、明确的质疑事项和与质疑事项相关的请求；</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（四）事实依据；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（五）必要的法律依据；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（六）提出质疑的日期。</w:t>
      </w:r>
    </w:p>
    <w:p>
      <w:pPr>
        <w:widowControl w:val="0"/>
        <w:adjustRightInd/>
        <w:snapToGrid/>
        <w:spacing w:after="0" w:line="560" w:lineRule="exact"/>
        <w:ind w:firstLine="480" w:firstLineChars="200"/>
        <w:jc w:val="both"/>
        <w:rPr>
          <w:rFonts w:ascii="仿宋_GB2312" w:hAnsi="微软雅黑" w:eastAsia="仿宋_GB2312" w:cs="Times New Roman"/>
          <w:kern w:val="2"/>
          <w:sz w:val="24"/>
          <w:szCs w:val="24"/>
        </w:rPr>
      </w:pPr>
      <w:r>
        <w:rPr>
          <w:rFonts w:hint="eastAsia" w:ascii="仿宋_GB2312" w:hAnsi="微软雅黑" w:eastAsia="仿宋_GB2312" w:cs="Times New Roman"/>
          <w:kern w:val="2"/>
          <w:sz w:val="24"/>
          <w:szCs w:val="24"/>
        </w:rPr>
        <w:t>供应商为自然人的，应当由本人签字；供应商为法人或者其他组织的，应当由法定代表人、主要负责人，或者其授权代表签字或者盖章，并加盖公章。</w:t>
      </w:r>
    </w:p>
    <w:p>
      <w:pPr>
        <w:widowControl w:val="0"/>
        <w:adjustRightInd/>
        <w:snapToGrid/>
        <w:spacing w:after="0" w:line="560" w:lineRule="exact"/>
        <w:ind w:firstLine="482" w:firstLineChars="200"/>
        <w:jc w:val="both"/>
        <w:rPr>
          <w:rFonts w:ascii="仿宋_GB2312" w:hAnsi="微软雅黑" w:eastAsia="仿宋_GB2312" w:cs="Times New Roman"/>
          <w:kern w:val="2"/>
          <w:sz w:val="24"/>
          <w:szCs w:val="24"/>
        </w:rPr>
      </w:pPr>
      <w:r>
        <w:rPr>
          <w:rFonts w:hint="eastAsia" w:ascii="仿宋_GB2312" w:hAnsi="宋体" w:eastAsia="仿宋_GB2312" w:cs="宋体"/>
          <w:b/>
          <w:kern w:val="2"/>
          <w:sz w:val="24"/>
          <w:szCs w:val="24"/>
        </w:rPr>
        <w:t>第十三条</w:t>
      </w:r>
      <w:r>
        <w:rPr>
          <w:rFonts w:hint="eastAsia" w:ascii="仿宋_GB2312" w:hAnsi="宋体" w:eastAsia="仿宋_GB2312" w:cs="宋体"/>
          <w:kern w:val="2"/>
          <w:sz w:val="24"/>
          <w:szCs w:val="24"/>
        </w:rPr>
        <w:t xml:space="preserve">  供应商的书面质疑如不符合本办法第十二条的规定，国资处应及时书面告知其补充或修改书面质疑材料的具体内容，并规定重新提交书面质疑的期限。</w:t>
      </w:r>
    </w:p>
    <w:p>
      <w:pPr>
        <w:widowControl w:val="0"/>
        <w:adjustRightInd/>
        <w:snapToGrid/>
        <w:spacing w:after="0" w:line="560" w:lineRule="exact"/>
        <w:ind w:firstLine="480" w:firstLineChars="200"/>
        <w:jc w:val="both"/>
        <w:rPr>
          <w:rFonts w:ascii="仿宋_GB2312" w:hAnsi="微软雅黑" w:eastAsia="仿宋_GB2312" w:cs="Times New Roman"/>
          <w:kern w:val="2"/>
          <w:sz w:val="24"/>
          <w:szCs w:val="24"/>
        </w:rPr>
      </w:pPr>
    </w:p>
    <w:p>
      <w:pPr>
        <w:widowControl w:val="0"/>
        <w:adjustRightInd/>
        <w:snapToGrid/>
        <w:spacing w:after="0" w:line="560" w:lineRule="exact"/>
        <w:jc w:val="center"/>
        <w:rPr>
          <w:rFonts w:ascii="黑体" w:hAnsi="黑体" w:eastAsia="黑体" w:cs="Times New Roman"/>
          <w:b/>
          <w:kern w:val="2"/>
          <w:sz w:val="30"/>
          <w:szCs w:val="30"/>
        </w:rPr>
      </w:pPr>
      <w:r>
        <w:rPr>
          <w:rFonts w:hint="eastAsia" w:ascii="黑体" w:hAnsi="黑体" w:eastAsia="黑体" w:cs="Times New Roman"/>
          <w:b/>
          <w:kern w:val="2"/>
          <w:sz w:val="30"/>
          <w:szCs w:val="30"/>
        </w:rPr>
        <w:t>第三章  质疑的答复</w:t>
      </w:r>
    </w:p>
    <w:p>
      <w:pPr>
        <w:widowControl w:val="0"/>
        <w:adjustRightInd/>
        <w:snapToGrid/>
        <w:spacing w:after="0" w:line="560" w:lineRule="exact"/>
        <w:ind w:firstLine="600" w:firstLineChars="200"/>
        <w:jc w:val="both"/>
        <w:rPr>
          <w:rFonts w:ascii="仿宋_GB2312" w:hAnsi="微软雅黑" w:eastAsia="仿宋_GB2312" w:cs="Times New Roman"/>
          <w:kern w:val="2"/>
          <w:sz w:val="30"/>
          <w:szCs w:val="30"/>
        </w:rPr>
      </w:pP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微软雅黑" w:eastAsia="仿宋_GB2312" w:cs="Times New Roman"/>
          <w:b/>
          <w:kern w:val="2"/>
          <w:sz w:val="24"/>
          <w:szCs w:val="24"/>
        </w:rPr>
        <w:t>第十四条</w:t>
      </w:r>
      <w:r>
        <w:rPr>
          <w:rFonts w:hint="eastAsia" w:ascii="仿宋_GB2312" w:hAnsi="微软雅黑" w:eastAsia="仿宋_GB2312" w:cs="Times New Roman"/>
          <w:kern w:val="2"/>
          <w:sz w:val="24"/>
          <w:szCs w:val="24"/>
        </w:rPr>
        <w:t xml:space="preserve">  </w:t>
      </w:r>
      <w:r>
        <w:rPr>
          <w:rFonts w:hint="eastAsia" w:ascii="仿宋_GB2312" w:hAnsi="宋体" w:eastAsia="仿宋_GB2312" w:cs="宋体"/>
          <w:kern w:val="2"/>
          <w:sz w:val="24"/>
          <w:szCs w:val="24"/>
        </w:rPr>
        <w:t>供应商对学校</w:t>
      </w:r>
      <w:r>
        <w:rPr>
          <w:rFonts w:hint="eastAsia" w:ascii="仿宋_GB2312" w:hAnsi="宋体" w:eastAsia="仿宋_GB2312" w:cs="Times New Roman"/>
          <w:kern w:val="2"/>
          <w:sz w:val="24"/>
          <w:szCs w:val="24"/>
        </w:rPr>
        <w:t>自主</w:t>
      </w:r>
      <w:r>
        <w:rPr>
          <w:rFonts w:hint="eastAsia" w:ascii="仿宋_GB2312" w:hAnsi="宋体" w:eastAsia="仿宋_GB2312" w:cs="宋体"/>
          <w:kern w:val="2"/>
          <w:sz w:val="24"/>
          <w:szCs w:val="24"/>
        </w:rPr>
        <w:t>采购活动有疑问的，可以向学校国资处、</w:t>
      </w:r>
      <w:r>
        <w:rPr>
          <w:rFonts w:hint="eastAsia" w:ascii="仿宋_GB2312" w:hAnsi="微软雅黑" w:eastAsia="仿宋_GB2312" w:cs="Times New Roman"/>
          <w:kern w:val="2"/>
          <w:sz w:val="24"/>
          <w:szCs w:val="24"/>
        </w:rPr>
        <w:t>采购代理机构</w:t>
      </w:r>
      <w:r>
        <w:rPr>
          <w:rFonts w:hint="eastAsia" w:ascii="仿宋_GB2312" w:hAnsi="宋体" w:eastAsia="仿宋_GB2312" w:cs="宋体"/>
          <w:kern w:val="2"/>
          <w:sz w:val="24"/>
          <w:szCs w:val="24"/>
        </w:rPr>
        <w:t>提出询问，国资处、</w:t>
      </w:r>
      <w:r>
        <w:rPr>
          <w:rFonts w:hint="eastAsia" w:ascii="仿宋_GB2312" w:hAnsi="微软雅黑" w:eastAsia="仿宋_GB2312" w:cs="Times New Roman"/>
          <w:kern w:val="2"/>
          <w:sz w:val="24"/>
          <w:szCs w:val="24"/>
        </w:rPr>
        <w:t>采购代理机构</w:t>
      </w:r>
      <w:r>
        <w:rPr>
          <w:rFonts w:hint="eastAsia" w:ascii="仿宋_GB2312" w:hAnsi="宋体" w:eastAsia="仿宋_GB2312" w:cs="宋体"/>
          <w:kern w:val="2"/>
          <w:sz w:val="24"/>
          <w:szCs w:val="24"/>
        </w:rPr>
        <w:t>应及时口头答复。</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第十五</w:t>
      </w:r>
      <w:r>
        <w:rPr>
          <w:rFonts w:hint="eastAsia" w:ascii="仿宋_GB2312" w:hAnsi="宋体" w:eastAsia="仿宋_GB2312" w:cs="宋体"/>
          <w:kern w:val="2"/>
          <w:sz w:val="24"/>
          <w:szCs w:val="24"/>
        </w:rPr>
        <w:t>条  国资处、采购代理机构对供应商提出的询问，应区别不同情况予以处理：属于工作中的问题，应当及时纠正；属于供应商的误解，应予以解释说明。</w:t>
      </w:r>
    </w:p>
    <w:p>
      <w:pPr>
        <w:widowControl w:val="0"/>
        <w:adjustRightInd/>
        <w:snapToGrid/>
        <w:spacing w:after="0" w:line="560" w:lineRule="exact"/>
        <w:ind w:firstLine="482" w:firstLineChars="200"/>
        <w:jc w:val="both"/>
        <w:rPr>
          <w:rFonts w:ascii="仿宋_GB2312" w:hAnsi="微软雅黑" w:eastAsia="仿宋_GB2312" w:cs="Times New Roman"/>
          <w:kern w:val="2"/>
          <w:sz w:val="24"/>
          <w:szCs w:val="24"/>
        </w:rPr>
      </w:pPr>
      <w:r>
        <w:rPr>
          <w:rFonts w:hint="eastAsia" w:ascii="仿宋_GB2312" w:hAnsi="微软雅黑" w:eastAsia="仿宋_GB2312" w:cs="Times New Roman"/>
          <w:b/>
          <w:kern w:val="2"/>
          <w:sz w:val="24"/>
          <w:szCs w:val="24"/>
        </w:rPr>
        <w:t>第十六</w:t>
      </w:r>
      <w:r>
        <w:rPr>
          <w:rFonts w:hint="eastAsia" w:ascii="仿宋_GB2312" w:hAnsi="微软雅黑" w:eastAsia="仿宋_GB2312" w:cs="Times New Roman"/>
          <w:kern w:val="2"/>
          <w:sz w:val="24"/>
          <w:szCs w:val="24"/>
        </w:rPr>
        <w:t xml:space="preserve">条  </w:t>
      </w:r>
      <w:r>
        <w:rPr>
          <w:rFonts w:hint="eastAsia" w:ascii="仿宋_GB2312" w:hAnsi="宋体" w:eastAsia="仿宋_GB2312" w:cs="宋体"/>
          <w:kern w:val="2"/>
          <w:sz w:val="24"/>
          <w:szCs w:val="24"/>
        </w:rPr>
        <w:t>学校</w:t>
      </w:r>
      <w:r>
        <w:rPr>
          <w:rFonts w:hint="eastAsia" w:ascii="仿宋_GB2312" w:hAnsi="宋体" w:eastAsia="仿宋_GB2312" w:cs="Times New Roman"/>
          <w:kern w:val="2"/>
          <w:sz w:val="24"/>
          <w:szCs w:val="24"/>
        </w:rPr>
        <w:t>自主</w:t>
      </w:r>
      <w:r>
        <w:rPr>
          <w:rFonts w:hint="eastAsia" w:ascii="仿宋_GB2312" w:hAnsi="宋体" w:eastAsia="仿宋_GB2312" w:cs="宋体"/>
          <w:kern w:val="2"/>
          <w:sz w:val="24"/>
          <w:szCs w:val="24"/>
        </w:rPr>
        <w:t>采购活动</w:t>
      </w:r>
      <w:r>
        <w:rPr>
          <w:rFonts w:hint="eastAsia" w:ascii="仿宋_GB2312" w:hAnsi="微软雅黑" w:eastAsia="仿宋_GB2312" w:cs="Times New Roman"/>
          <w:kern w:val="2"/>
          <w:sz w:val="24"/>
          <w:szCs w:val="24"/>
        </w:rPr>
        <w:t>中</w:t>
      </w:r>
      <w:r>
        <w:rPr>
          <w:rFonts w:hint="eastAsia" w:ascii="仿宋_GB2312" w:hAnsi="宋体" w:eastAsia="仿宋_GB2312" w:cs="Times New Roman"/>
          <w:kern w:val="2"/>
          <w:sz w:val="24"/>
          <w:szCs w:val="24"/>
        </w:rPr>
        <w:t>，</w:t>
      </w:r>
      <w:r>
        <w:rPr>
          <w:rFonts w:hint="eastAsia" w:ascii="仿宋_GB2312" w:hAnsi="微软雅黑" w:eastAsia="仿宋_GB2312" w:cs="Times New Roman"/>
          <w:kern w:val="2"/>
          <w:sz w:val="24"/>
          <w:szCs w:val="24"/>
        </w:rPr>
        <w:t>国资处、采购代理机构不得拒收质疑供应商在法定质疑期内发出的质疑函，应当在收到质疑函后7个工作日内（采用招标方式的3日内）作出答复，并以书面形式通知质疑供应商。</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第十七条</w:t>
      </w:r>
      <w:r>
        <w:rPr>
          <w:rFonts w:hint="eastAsia" w:ascii="仿宋_GB2312" w:hAnsi="宋体" w:eastAsia="仿宋_GB2312" w:cs="宋体"/>
          <w:kern w:val="2"/>
          <w:sz w:val="24"/>
          <w:szCs w:val="24"/>
        </w:rPr>
        <w:t xml:space="preserve">  供应商的书面质疑属于下列情形之一的，国资处、采购代理机构可不予受理，并以书面形式告知其不予受理的原因：</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仿宋_GB2312" w:hAnsi="宋体" w:eastAsia="仿宋_GB2312" w:cs="宋体"/>
          <w:kern w:val="2"/>
          <w:sz w:val="24"/>
          <w:szCs w:val="24"/>
        </w:rPr>
        <w:t>（一）未通过资格审核，或未参与该采购项目活动的供应商；</w:t>
      </w:r>
    </w:p>
    <w:p>
      <w:pPr>
        <w:widowControl w:val="0"/>
        <w:adjustRightInd/>
        <w:snapToGrid/>
        <w:spacing w:after="0" w:line="560" w:lineRule="exact"/>
        <w:ind w:firstLine="480" w:firstLineChars="200"/>
        <w:jc w:val="both"/>
        <w:rPr>
          <w:rFonts w:ascii="仿宋_GB2312" w:hAnsi="宋体" w:eastAsia="仿宋_GB2312" w:cs="宋体"/>
          <w:kern w:val="2"/>
          <w:sz w:val="24"/>
          <w:szCs w:val="24"/>
        </w:rPr>
      </w:pPr>
      <w:r>
        <w:rPr>
          <w:rFonts w:hint="eastAsia" w:ascii="仿宋_GB2312" w:hAnsi="宋体" w:eastAsia="仿宋_GB2312" w:cs="宋体"/>
          <w:kern w:val="2"/>
          <w:sz w:val="24"/>
          <w:szCs w:val="24"/>
        </w:rPr>
        <w:t>（二）已超过法律规定或采购文件约定的质疑期限；</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第十八条</w:t>
      </w:r>
      <w:r>
        <w:rPr>
          <w:rFonts w:hint="eastAsia" w:ascii="仿宋_GB2312" w:hAnsi="宋体" w:eastAsia="仿宋_GB2312" w:cs="宋体"/>
          <w:kern w:val="2"/>
          <w:sz w:val="24"/>
          <w:szCs w:val="24"/>
        </w:rPr>
        <w:t xml:space="preserve">  国资处可就供应商的质疑事项进行调查取证，有关当事人应当如实反映情况和提供有关材料。</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第十九条</w:t>
      </w:r>
      <w:r>
        <w:rPr>
          <w:rFonts w:hint="eastAsia" w:ascii="仿宋_GB2312" w:hAnsi="微软雅黑" w:eastAsia="仿宋_GB2312" w:cs="Times New Roman"/>
          <w:sz w:val="24"/>
          <w:szCs w:val="24"/>
        </w:rPr>
        <w:t xml:space="preserve">  </w:t>
      </w:r>
      <w:r>
        <w:rPr>
          <w:rFonts w:hint="eastAsia" w:ascii="仿宋_GB2312" w:hAnsi="宋体" w:eastAsia="仿宋_GB2312" w:cs="Times New Roman"/>
          <w:sz w:val="24"/>
          <w:szCs w:val="24"/>
        </w:rPr>
        <w:t>学校自主采购活动</w:t>
      </w:r>
      <w:r>
        <w:rPr>
          <w:rFonts w:hint="eastAsia" w:ascii="仿宋_GB2312" w:hAnsi="微软雅黑" w:eastAsia="仿宋_GB2312" w:cs="Times New Roman"/>
          <w:sz w:val="24"/>
          <w:szCs w:val="24"/>
        </w:rPr>
        <w:t>中</w:t>
      </w:r>
      <w:r>
        <w:rPr>
          <w:rFonts w:hint="eastAsia" w:ascii="仿宋_GB2312" w:hAnsi="宋体" w:eastAsia="仿宋_GB2312" w:cs="Times New Roman"/>
          <w:sz w:val="24"/>
          <w:szCs w:val="24"/>
        </w:rPr>
        <w:t>，</w:t>
      </w:r>
      <w:r>
        <w:rPr>
          <w:rFonts w:hint="eastAsia" w:ascii="仿宋_GB2312" w:hAnsi="微软雅黑" w:eastAsia="仿宋_GB2312" w:cs="Times New Roman"/>
          <w:sz w:val="24"/>
          <w:szCs w:val="24"/>
        </w:rPr>
        <w:t>供应商对评审过程、中标或者成交结果提出质疑的，国资处、采购代理机构可以组织原评标委员会、谈判小组、询价小组或者磋商小组协助答复质疑。</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宋体" w:eastAsia="仿宋_GB2312" w:cs="Times New Roman"/>
          <w:b/>
          <w:sz w:val="24"/>
          <w:szCs w:val="24"/>
        </w:rPr>
        <w:t>第二十条</w:t>
      </w:r>
      <w:r>
        <w:rPr>
          <w:rFonts w:hint="eastAsia" w:ascii="仿宋_GB2312" w:hAnsi="宋体" w:eastAsia="仿宋_GB2312" w:cs="Times New Roman"/>
          <w:sz w:val="24"/>
          <w:szCs w:val="24"/>
        </w:rPr>
        <w:t xml:space="preserve">  采购评审人员应当积极配合国资处答复质疑供应商提出的质疑。</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第二十一条</w:t>
      </w:r>
      <w:r>
        <w:rPr>
          <w:rFonts w:hint="eastAsia" w:ascii="仿宋_GB2312" w:hAnsi="微软雅黑" w:eastAsia="仿宋_GB2312" w:cs="Times New Roman"/>
          <w:sz w:val="24"/>
          <w:szCs w:val="24"/>
        </w:rPr>
        <w:t xml:space="preserve">  </w:t>
      </w:r>
      <w:r>
        <w:rPr>
          <w:rFonts w:hint="eastAsia" w:ascii="仿宋_GB2312" w:hAnsi="宋体" w:eastAsia="仿宋_GB2312" w:cs="Times New Roman"/>
          <w:sz w:val="24"/>
          <w:szCs w:val="24"/>
        </w:rPr>
        <w:t>学校自主采购活动</w:t>
      </w:r>
      <w:r>
        <w:rPr>
          <w:rFonts w:hint="eastAsia" w:ascii="仿宋_GB2312" w:hAnsi="微软雅黑" w:eastAsia="仿宋_GB2312" w:cs="Times New Roman"/>
          <w:sz w:val="24"/>
          <w:szCs w:val="24"/>
        </w:rPr>
        <w:t>中</w:t>
      </w:r>
      <w:r>
        <w:rPr>
          <w:rFonts w:hint="eastAsia" w:ascii="仿宋_GB2312" w:hAnsi="宋体" w:eastAsia="仿宋_GB2312" w:cs="Times New Roman"/>
          <w:sz w:val="24"/>
          <w:szCs w:val="24"/>
        </w:rPr>
        <w:t>，</w:t>
      </w:r>
      <w:r>
        <w:rPr>
          <w:rFonts w:hint="eastAsia" w:ascii="仿宋_GB2312" w:hAnsi="微软雅黑" w:eastAsia="仿宋_GB2312" w:cs="Times New Roman"/>
          <w:sz w:val="24"/>
          <w:szCs w:val="24"/>
        </w:rPr>
        <w:t>质疑答复应当包括下列内容：</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（一）质疑供应商的姓名或者名称；</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（二）收到质疑函的日期、质疑项目名称及编号；</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（三）质疑事项、质疑答复的具体内容、事实依据和法律及相关政策规定等依据；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（四）告知质疑供应商依法投诉的权利；</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（五）质疑答复人名称；</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（六）答复质疑的日期。</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质疑答复的内容不得涉及商业秘密。</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第二十二条</w:t>
      </w:r>
      <w:r>
        <w:rPr>
          <w:rFonts w:hint="eastAsia" w:ascii="仿宋_GB2312" w:hAnsi="微软雅黑" w:eastAsia="仿宋_GB2312" w:cs="Times New Roman"/>
          <w:sz w:val="24"/>
          <w:szCs w:val="24"/>
        </w:rPr>
        <w:t xml:space="preserve">  </w:t>
      </w:r>
      <w:r>
        <w:rPr>
          <w:rFonts w:hint="eastAsia" w:ascii="仿宋_GB2312" w:hAnsi="宋体" w:eastAsia="仿宋_GB2312" w:cs="Times New Roman"/>
          <w:sz w:val="24"/>
          <w:szCs w:val="24"/>
        </w:rPr>
        <w:t>学校自主采购活动</w:t>
      </w:r>
      <w:r>
        <w:rPr>
          <w:rFonts w:hint="eastAsia" w:ascii="仿宋_GB2312" w:hAnsi="微软雅黑" w:eastAsia="仿宋_GB2312" w:cs="Times New Roman"/>
          <w:sz w:val="24"/>
          <w:szCs w:val="24"/>
        </w:rPr>
        <w:t>中</w:t>
      </w:r>
      <w:r>
        <w:rPr>
          <w:rFonts w:hint="eastAsia" w:ascii="仿宋_GB2312" w:hAnsi="宋体" w:eastAsia="仿宋_GB2312" w:cs="Times New Roman"/>
          <w:sz w:val="24"/>
          <w:szCs w:val="24"/>
        </w:rPr>
        <w:t>，</w:t>
      </w:r>
      <w:r>
        <w:rPr>
          <w:rFonts w:hint="eastAsia" w:ascii="仿宋_GB2312" w:hAnsi="微软雅黑" w:eastAsia="仿宋_GB2312" w:cs="Times New Roman"/>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（一）对采购文件提出的质疑，依法通过澄清或者修改可以继续开展采购活动的，澄清或者修改采购文件后继续开展采购活动；否则应当修改采购文件后重新开展采购活动。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质疑答复导致中标、成交结果改变的，国资处应当将有关情况书面报告监察处。</w:t>
      </w:r>
    </w:p>
    <w:p>
      <w:pPr>
        <w:widowControl w:val="0"/>
        <w:adjustRightInd/>
        <w:snapToGrid/>
        <w:spacing w:after="0" w:line="560" w:lineRule="exact"/>
        <w:ind w:firstLine="600" w:firstLineChars="200"/>
        <w:jc w:val="both"/>
        <w:rPr>
          <w:rFonts w:ascii="仿宋_GB2312" w:hAnsi="宋体" w:eastAsia="仿宋_GB2312" w:cs="宋体"/>
          <w:kern w:val="2"/>
          <w:sz w:val="30"/>
          <w:szCs w:val="30"/>
        </w:rPr>
      </w:pPr>
    </w:p>
    <w:p>
      <w:pPr>
        <w:widowControl w:val="0"/>
        <w:adjustRightInd/>
        <w:snapToGrid/>
        <w:spacing w:after="0" w:line="560" w:lineRule="exact"/>
        <w:jc w:val="center"/>
        <w:rPr>
          <w:rFonts w:ascii="黑体" w:hAnsi="黑体" w:eastAsia="黑体" w:cs="宋体"/>
          <w:b/>
          <w:kern w:val="2"/>
          <w:sz w:val="30"/>
          <w:szCs w:val="30"/>
        </w:rPr>
      </w:pPr>
      <w:r>
        <w:rPr>
          <w:rFonts w:hint="eastAsia" w:ascii="黑体" w:hAnsi="黑体" w:eastAsia="黑体" w:cs="宋体"/>
          <w:b/>
          <w:kern w:val="2"/>
          <w:sz w:val="30"/>
          <w:szCs w:val="30"/>
        </w:rPr>
        <w:t>第四章  投诉的提起</w:t>
      </w:r>
    </w:p>
    <w:p>
      <w:pPr>
        <w:widowControl w:val="0"/>
        <w:adjustRightInd/>
        <w:snapToGrid/>
        <w:spacing w:after="0" w:line="560" w:lineRule="exact"/>
        <w:ind w:firstLine="600" w:firstLineChars="200"/>
        <w:jc w:val="both"/>
        <w:rPr>
          <w:rFonts w:ascii="仿宋_GB2312" w:hAnsi="宋体" w:eastAsia="仿宋_GB2312" w:cs="宋体"/>
          <w:kern w:val="2"/>
          <w:sz w:val="30"/>
          <w:szCs w:val="30"/>
        </w:rPr>
      </w:pP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Times New Roman" w:eastAsia="仿宋_GB2312" w:cs="Times New Roman"/>
          <w:b/>
          <w:kern w:val="2"/>
          <w:sz w:val="24"/>
          <w:szCs w:val="24"/>
        </w:rPr>
        <w:t>第二十三条</w:t>
      </w:r>
      <w:r>
        <w:rPr>
          <w:rFonts w:hint="eastAsia" w:ascii="仿宋_GB2312" w:hAnsi="Times New Roman" w:eastAsia="仿宋_GB2312" w:cs="Times New Roman"/>
          <w:kern w:val="2"/>
          <w:sz w:val="24"/>
          <w:szCs w:val="24"/>
        </w:rPr>
        <w:t xml:space="preserve">  学校</w:t>
      </w:r>
      <w:r>
        <w:rPr>
          <w:rFonts w:hint="eastAsia" w:ascii="仿宋_GB2312" w:hAnsi="宋体" w:eastAsia="仿宋_GB2312" w:cs="Times New Roman"/>
          <w:kern w:val="2"/>
          <w:sz w:val="24"/>
          <w:szCs w:val="24"/>
        </w:rPr>
        <w:t>自主</w:t>
      </w:r>
      <w:r>
        <w:rPr>
          <w:rFonts w:hint="eastAsia" w:ascii="仿宋_GB2312" w:hAnsi="Times New Roman" w:eastAsia="仿宋_GB2312" w:cs="Times New Roman"/>
          <w:kern w:val="2"/>
          <w:sz w:val="24"/>
          <w:szCs w:val="24"/>
        </w:rPr>
        <w:t>采购活动中，</w:t>
      </w:r>
      <w:r>
        <w:rPr>
          <w:rFonts w:hint="eastAsia" w:ascii="仿宋_GB2312" w:hAnsi="微软雅黑" w:eastAsia="仿宋_GB2312" w:cs="Times New Roman"/>
          <w:kern w:val="2"/>
          <w:sz w:val="24"/>
          <w:szCs w:val="24"/>
        </w:rPr>
        <w:t>质疑供应商对国资处、采购代理机构的答复不满意，或者</w:t>
      </w:r>
      <w:bookmarkStart w:id="117" w:name="OLE_LINK76"/>
      <w:bookmarkStart w:id="118" w:name="OLE_LINK77"/>
      <w:bookmarkStart w:id="119" w:name="OLE_LINK78"/>
      <w:r>
        <w:rPr>
          <w:rFonts w:hint="eastAsia" w:ascii="仿宋_GB2312" w:hAnsi="微软雅黑" w:eastAsia="仿宋_GB2312" w:cs="Times New Roman"/>
          <w:kern w:val="2"/>
          <w:sz w:val="24"/>
          <w:szCs w:val="24"/>
        </w:rPr>
        <w:t>国资处、采购代理机构</w:t>
      </w:r>
      <w:bookmarkEnd w:id="117"/>
      <w:bookmarkEnd w:id="118"/>
      <w:bookmarkEnd w:id="119"/>
      <w:r>
        <w:rPr>
          <w:rFonts w:hint="eastAsia" w:ascii="仿宋_GB2312" w:hAnsi="微软雅黑" w:eastAsia="仿宋_GB2312" w:cs="Times New Roman"/>
          <w:kern w:val="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kern w:val="2"/>
          <w:sz w:val="24"/>
          <w:szCs w:val="24"/>
        </w:rPr>
        <w:t> </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宋体" w:eastAsia="仿宋_GB2312" w:cs="Times New Roman"/>
          <w:b/>
          <w:sz w:val="24"/>
          <w:szCs w:val="24"/>
        </w:rPr>
        <w:t>第二十四条</w:t>
      </w:r>
      <w:r>
        <w:rPr>
          <w:rFonts w:hint="eastAsia" w:ascii="仿宋_GB2312" w:hAnsi="宋体" w:eastAsia="仿宋_GB2312" w:cs="Times New Roman"/>
          <w:sz w:val="24"/>
          <w:szCs w:val="24"/>
        </w:rPr>
        <w:t xml:space="preserve">  学校自主采购活动中，</w:t>
      </w:r>
      <w:r>
        <w:rPr>
          <w:rFonts w:hint="eastAsia" w:ascii="仿宋_GB2312" w:hAnsi="微软雅黑" w:eastAsia="仿宋_GB2312" w:cs="Times New Roman"/>
          <w:sz w:val="24"/>
          <w:szCs w:val="24"/>
        </w:rPr>
        <w:t>投诉人投诉时,应当提交投诉书和必要的证明材料。投诉书应当包括下列内容：</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（一）投诉人和被投诉人的姓名或者名称、投诉人的通讯地址、邮编、联系人及联系电话；</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（二）质疑和质疑答复情况说明及相关证明材料；</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（三）具体、明确的投诉事项和与投诉事项相关的投诉请求；</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（四）事实依据；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（五）法律依据；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（六）提起投诉的日期。</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投诉人为自然人的，应当由本人签字；投诉人为法人或者其他组织的，应当由法定代表人、主要负责人，或者其授权代表签字或者盖章，并加盖公章。</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第二十五条</w:t>
      </w:r>
      <w:r>
        <w:rPr>
          <w:rFonts w:hint="eastAsia" w:ascii="仿宋_GB2312" w:hAnsi="微软雅黑" w:eastAsia="仿宋_GB2312" w:cs="Times New Roman"/>
          <w:sz w:val="24"/>
          <w:szCs w:val="24"/>
        </w:rPr>
        <w:t xml:space="preserve">  投诉人应当根据本办法第七条规定的信息内容，并按照其规定的方式提起投诉。</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投诉人提起投诉应当符合下列条件：</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（一）提起投诉前已依法、依规进行质疑；</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（二）投诉书内容符合本办法的规定；</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（三）在投诉有效期限内提起投诉；</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（四）同一投诉事项未经投诉处理。</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第二十六条</w:t>
      </w:r>
      <w:r>
        <w:rPr>
          <w:rFonts w:hint="eastAsia" w:ascii="仿宋_GB2312" w:hAnsi="微软雅黑" w:eastAsia="仿宋_GB2312" w:cs="Times New Roman"/>
          <w:sz w:val="24"/>
          <w:szCs w:val="24"/>
        </w:rPr>
        <w:t xml:space="preserve">  供应商投诉的事项不得超出已质疑事项的范围，但基于质疑答复内容提出的投诉事项除外。</w:t>
      </w:r>
    </w:p>
    <w:p>
      <w:pPr>
        <w:shd w:val="clear" w:color="auto" w:fill="FFFFFF"/>
        <w:spacing w:after="0" w:line="560" w:lineRule="exact"/>
        <w:ind w:firstLine="600" w:firstLineChars="200"/>
        <w:jc w:val="both"/>
        <w:rPr>
          <w:rFonts w:ascii="仿宋_GB2312" w:hAnsi="微软雅黑" w:eastAsia="仿宋_GB2312" w:cs="Times New Roman"/>
          <w:sz w:val="30"/>
          <w:szCs w:val="30"/>
        </w:rPr>
      </w:pPr>
    </w:p>
    <w:p>
      <w:pPr>
        <w:shd w:val="clear" w:color="auto" w:fill="FFFFFF"/>
        <w:spacing w:after="0" w:line="560" w:lineRule="exact"/>
        <w:ind w:firstLine="420"/>
        <w:jc w:val="center"/>
        <w:rPr>
          <w:rFonts w:ascii="黑体" w:hAnsi="黑体" w:eastAsia="黑体" w:cs="Times New Roman"/>
          <w:sz w:val="30"/>
          <w:szCs w:val="30"/>
        </w:rPr>
      </w:pPr>
      <w:r>
        <w:rPr>
          <w:rFonts w:hint="eastAsia" w:ascii="黑体" w:hAnsi="黑体" w:eastAsia="黑体" w:cs="Times New Roman"/>
          <w:b/>
          <w:bCs/>
          <w:sz w:val="30"/>
        </w:rPr>
        <w:t xml:space="preserve">第五章 </w:t>
      </w:r>
      <w:r>
        <w:rPr>
          <w:rFonts w:hint="eastAsia" w:ascii="微软雅黑" w:hAnsi="微软雅黑" w:eastAsia="黑体" w:cs="Times New Roman"/>
          <w:b/>
          <w:bCs/>
          <w:sz w:val="30"/>
        </w:rPr>
        <w:t> </w:t>
      </w:r>
      <w:r>
        <w:rPr>
          <w:rFonts w:hint="eastAsia" w:ascii="黑体" w:hAnsi="黑体" w:eastAsia="黑体" w:cs="Times New Roman"/>
          <w:b/>
          <w:bCs/>
          <w:sz w:val="30"/>
        </w:rPr>
        <w:t>投诉的处理</w:t>
      </w:r>
    </w:p>
    <w:p>
      <w:pPr>
        <w:shd w:val="clear" w:color="auto" w:fill="FFFFFF"/>
        <w:spacing w:after="0" w:line="560" w:lineRule="exact"/>
        <w:ind w:firstLine="602" w:firstLineChars="200"/>
        <w:jc w:val="both"/>
        <w:rPr>
          <w:rFonts w:ascii="仿宋_GB2312" w:hAnsi="微软雅黑" w:eastAsia="仿宋_GB2312" w:cs="Times New Roman"/>
          <w:b/>
          <w:sz w:val="30"/>
          <w:szCs w:val="30"/>
        </w:rPr>
      </w:pP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第二十七条</w:t>
      </w:r>
      <w:r>
        <w:rPr>
          <w:rFonts w:hint="eastAsia" w:ascii="仿宋_GB2312" w:hAnsi="微软雅黑" w:eastAsia="仿宋_GB2312" w:cs="Times New Roman"/>
          <w:sz w:val="24"/>
          <w:szCs w:val="24"/>
        </w:rPr>
        <w:t xml:space="preserve">  监察处收到投诉书后，应当在5个工作日内进行审查，审查后按照下列情况处理：</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（二）投诉不符合本办法第二十五条规定条件的，应当在3个工作日内书面告知投诉人不予受理，并说明理由。</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（三）投诉不属于本部门管辖的，应当在3个工作日内书面告知投诉人向有管辖权的部门提起投诉。</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第二十八条</w:t>
      </w:r>
      <w:r>
        <w:rPr>
          <w:rFonts w:hint="eastAsia" w:ascii="仿宋_GB2312" w:hAnsi="微软雅黑" w:eastAsia="仿宋_GB2312" w:cs="Times New Roman"/>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第二十九条</w:t>
      </w:r>
      <w:r>
        <w:rPr>
          <w:rFonts w:hint="eastAsia" w:ascii="仿宋_GB2312" w:hAnsi="微软雅黑" w:eastAsia="仿宋_GB2312" w:cs="Times New Roman"/>
          <w:sz w:val="24"/>
          <w:szCs w:val="24"/>
        </w:rPr>
        <w:t xml:space="preserve">  监察处处理投诉事项原则上采用书面审查的方式。监察处认为有必要时，可以进行调查取证或者组织质证。</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第三十条</w:t>
      </w:r>
      <w:r>
        <w:rPr>
          <w:rFonts w:hint="eastAsia" w:ascii="仿宋_GB2312" w:hAnsi="微软雅黑" w:eastAsia="仿宋_GB2312" w:cs="Times New Roman"/>
          <w:sz w:val="24"/>
          <w:szCs w:val="24"/>
        </w:rPr>
        <w:t xml:space="preserve">  监察处可以根据法律、法规规定或者职责权限，委托相关单位或者第三方开展调查取证、检验、检测、鉴定。</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质证应当通知相关当事人到场，并制作质证笔录。质证笔录应当由当事人签字确认。</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第三十一条</w:t>
      </w:r>
      <w:r>
        <w:rPr>
          <w:rFonts w:hint="eastAsia" w:ascii="仿宋_GB2312" w:hAnsi="微软雅黑" w:eastAsia="仿宋_GB2312" w:cs="Times New Roman"/>
          <w:sz w:val="24"/>
          <w:szCs w:val="24"/>
        </w:rPr>
        <w:t xml:space="preserve">  监察处依法、依规进行调查取证时，投诉人、国资处以及与投诉事项有关的部门及人员应当如实反映情况，并提供监察处所需要的相关材料。</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第三十二条</w:t>
      </w:r>
      <w:r>
        <w:rPr>
          <w:rFonts w:hint="eastAsia" w:ascii="仿宋_GB2312" w:hAnsi="微软雅黑" w:eastAsia="仿宋_GB2312" w:cs="Times New Roman"/>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第三十三条</w:t>
      </w:r>
      <w:r>
        <w:rPr>
          <w:rFonts w:hint="eastAsia" w:ascii="仿宋_GB2312" w:hAnsi="微软雅黑" w:eastAsia="仿宋_GB2312" w:cs="Times New Roman"/>
          <w:sz w:val="24"/>
          <w:szCs w:val="24"/>
        </w:rPr>
        <w:t xml:space="preserve">  监察处应当自收到投诉之日起30个工作日内，对投诉事项作出处理决定。</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第三十四条</w:t>
      </w:r>
      <w:r>
        <w:rPr>
          <w:rFonts w:hint="eastAsia" w:ascii="仿宋_GB2312" w:hAnsi="微软雅黑" w:eastAsia="仿宋_GB2312" w:cs="Times New Roman"/>
          <w:sz w:val="24"/>
          <w:szCs w:val="24"/>
        </w:rPr>
        <w:t xml:space="preserve">  监察处处理投诉事项，需要检验、检测、鉴定、专家评审以及需要投诉人补正材料的，所需时间不计算在投诉处理期限内。</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前款所称所需时间，是指监察处向相关单位、第三方、投诉人发出相关文书、补正通知之日至收到相关反馈文书或材料之日。</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监察处向相关单位、第三方开展检验、检测、鉴定、专家评审的，应当将所需时间告知投诉人。</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第三十五条</w:t>
      </w:r>
      <w:r>
        <w:rPr>
          <w:rFonts w:hint="eastAsia" w:ascii="仿宋_GB2312" w:hAnsi="微软雅黑" w:eastAsia="仿宋_GB2312" w:cs="Times New Roman"/>
          <w:sz w:val="24"/>
          <w:szCs w:val="24"/>
        </w:rPr>
        <w:t xml:space="preserve">  监察处在处理投诉事项期间，可以视具体情况书面通知国资处暂停采购活动，暂停采购活动时间最长不得超过30日。</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国资处收到暂停采购活动通知后应当立即中止采购活动，在法定的暂停期限结束前或者监察处发出恢复采购活动通知前，不得进行该项采购活动。</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第三十六条</w:t>
      </w:r>
      <w:r>
        <w:rPr>
          <w:rFonts w:hint="eastAsia" w:ascii="仿宋_GB2312" w:hAnsi="微软雅黑" w:eastAsia="仿宋_GB2312" w:cs="Times New Roman"/>
          <w:sz w:val="24"/>
          <w:szCs w:val="24"/>
        </w:rPr>
        <w:t xml:space="preserve">  投诉处理过程中，有下列情形之一的，监察处应当驳回投诉：</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（一）受理后发现投诉不符合受理条件；</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（二）投诉事项缺乏事实依据，投诉事项不成立；</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（三）投诉人捏造事实或者提供虚假材料；</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（四）投诉人以非法手段取得证明材料。证据来源的合法性存在明显疑问，投诉人无法证明其取得方式合法的，视为以非法手段取得证明材料。</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第三十七条</w:t>
      </w:r>
      <w:r>
        <w:rPr>
          <w:rFonts w:hint="eastAsia" w:ascii="仿宋_GB2312" w:hAnsi="微软雅黑" w:eastAsia="仿宋_GB2312" w:cs="Times New Roman"/>
          <w:sz w:val="24"/>
          <w:szCs w:val="24"/>
        </w:rPr>
        <w:t xml:space="preserve">  监察处受理投诉后,投诉人书面申请撤回投诉的，监察处应当终止投诉处理程序，并书面告知相关当事人。</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第三十八条</w:t>
      </w:r>
      <w:r>
        <w:rPr>
          <w:rFonts w:hint="eastAsia" w:ascii="仿宋_GB2312" w:hAnsi="微软雅黑" w:eastAsia="仿宋_GB2312" w:cs="Times New Roman"/>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（一）未确定中标或者成交供应商的，责令重新开展采购活动。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（二）已确定中标或者成交供应商但尚未签订采购合同的，认定中标或者成交结果无效，责令重新开展采购活动。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（三）采购合同已经签订但尚未履行的，撤销合同，责令重新开展采购活动。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（四）采购合同已经履行，给他人造成损失的，相关当事人可依法提起诉讼,由责任人承担赔偿责任。</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第三十九条</w:t>
      </w:r>
      <w:bookmarkStart w:id="120" w:name="OLE_LINK11"/>
      <w:bookmarkStart w:id="121" w:name="OLE_LINK12"/>
      <w:bookmarkStart w:id="122" w:name="OLE_LINK13"/>
      <w:r>
        <w:rPr>
          <w:rFonts w:hint="eastAsia" w:ascii="仿宋_GB2312" w:hAnsi="微软雅黑" w:eastAsia="仿宋_GB2312" w:cs="Times New Roman"/>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20"/>
      <w:bookmarkEnd w:id="121"/>
      <w:bookmarkEnd w:id="122"/>
    </w:p>
    <w:p>
      <w:pPr>
        <w:shd w:val="clear" w:color="auto" w:fill="FFFFFF"/>
        <w:spacing w:after="0" w:line="560" w:lineRule="exact"/>
        <w:ind w:firstLine="480" w:firstLineChars="200"/>
        <w:jc w:val="both"/>
        <w:rPr>
          <w:rFonts w:ascii="仿宋_GB2312" w:hAnsi="微软雅黑" w:eastAsia="仿宋_GB2312" w:cs="Times New Roman"/>
          <w:sz w:val="24"/>
          <w:szCs w:val="24"/>
        </w:rPr>
      </w:pPr>
      <w:bookmarkStart w:id="123" w:name="OLE_LINK14"/>
      <w:bookmarkStart w:id="124" w:name="OLE_LINK15"/>
      <w:r>
        <w:rPr>
          <w:rFonts w:hint="eastAsia" w:ascii="仿宋_GB2312" w:hAnsi="微软雅黑" w:eastAsia="仿宋_GB2312" w:cs="Times New Roman"/>
          <w:sz w:val="24"/>
          <w:szCs w:val="24"/>
        </w:rPr>
        <w:t>（一）未确定中标或者成交供应商的，责令重新开展采购活动。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（四）采购合同已经履行，给他人造成损失的，相关当事人可依法提起诉讼,由责任人承担赔偿责任。</w:t>
      </w:r>
    </w:p>
    <w:bookmarkEnd w:id="123"/>
    <w:bookmarkEnd w:id="124"/>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投诉人对废标行为提起的投诉事项成立的，监察处应当认定废标行为无效。</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第四十条</w:t>
      </w:r>
      <w:r>
        <w:rPr>
          <w:rFonts w:hint="eastAsia" w:ascii="仿宋_GB2312" w:hAnsi="微软雅黑" w:eastAsia="仿宋_GB2312" w:cs="Times New Roman"/>
          <w:sz w:val="24"/>
          <w:szCs w:val="24"/>
        </w:rPr>
        <w:t xml:space="preserve">  监察处作出处理决定，应当制作投诉处理决定书，并加盖公章。投诉处理决定书应当包括下列内容：</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（一）投诉人和被投诉人的姓名或者名称、通讯地址等；</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（二）处理决定查明的事实和相关依据，具体处理决定和法律依据；</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（三）告知相关当事人申请行政复议的权利、行政复议机关和行政复议申请期限，以及提起行政诉讼的权利和起诉期限；</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（四）作出处理决定的日期。</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第四十一条</w:t>
      </w:r>
      <w:r>
        <w:rPr>
          <w:rFonts w:hint="eastAsia" w:ascii="仿宋_GB2312" w:hAnsi="微软雅黑" w:eastAsia="仿宋_GB2312" w:cs="Times New Roman"/>
          <w:sz w:val="24"/>
          <w:szCs w:val="24"/>
        </w:rPr>
        <w:t xml:space="preserve">  监察处应当将投诉处理决定书送达投诉人和与投诉事项有关的当事人，并及时将投诉处理结果在校园网公告。</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第四十二条</w:t>
      </w:r>
      <w:r>
        <w:rPr>
          <w:rFonts w:hint="eastAsia" w:ascii="仿宋_GB2312" w:hAnsi="微软雅黑" w:eastAsia="仿宋_GB2312" w:cs="Times New Roman"/>
          <w:sz w:val="24"/>
          <w:szCs w:val="24"/>
        </w:rPr>
        <w:t xml:space="preserve">  监察处应当建立投诉处理档案管理制度。</w:t>
      </w:r>
    </w:p>
    <w:p>
      <w:pPr>
        <w:shd w:val="clear" w:color="auto" w:fill="FFFFFF"/>
        <w:spacing w:after="0" w:line="560" w:lineRule="exact"/>
        <w:jc w:val="both"/>
        <w:rPr>
          <w:rFonts w:ascii="仿宋_GB2312" w:hAnsi="微软雅黑" w:eastAsia="仿宋_GB2312" w:cs="Times New Roman"/>
          <w:b/>
          <w:bCs/>
          <w:sz w:val="24"/>
        </w:rPr>
      </w:pPr>
    </w:p>
    <w:p>
      <w:pPr>
        <w:shd w:val="clear" w:color="auto" w:fill="FFFFFF"/>
        <w:spacing w:after="0" w:line="560" w:lineRule="exact"/>
        <w:ind w:firstLine="420"/>
        <w:jc w:val="center"/>
        <w:rPr>
          <w:rFonts w:ascii="黑体" w:hAnsi="黑体" w:eastAsia="黑体" w:cs="Times New Roman"/>
          <w:sz w:val="30"/>
          <w:szCs w:val="30"/>
        </w:rPr>
      </w:pPr>
      <w:r>
        <w:rPr>
          <w:rFonts w:hint="eastAsia" w:ascii="黑体" w:hAnsi="黑体" w:eastAsia="黑体" w:cs="Times New Roman"/>
          <w:b/>
          <w:bCs/>
          <w:sz w:val="30"/>
        </w:rPr>
        <w:t xml:space="preserve">第六章 </w:t>
      </w:r>
      <w:r>
        <w:rPr>
          <w:rFonts w:hint="eastAsia" w:ascii="微软雅黑" w:hAnsi="微软雅黑" w:eastAsia="黑体" w:cs="Times New Roman"/>
          <w:b/>
          <w:bCs/>
          <w:sz w:val="30"/>
        </w:rPr>
        <w:t> </w:t>
      </w:r>
      <w:r>
        <w:rPr>
          <w:rFonts w:hint="eastAsia" w:ascii="黑体" w:hAnsi="黑体" w:eastAsia="黑体" w:cs="Times New Roman"/>
          <w:b/>
          <w:bCs/>
          <w:sz w:val="30"/>
        </w:rPr>
        <w:t>法律责任</w:t>
      </w:r>
    </w:p>
    <w:p>
      <w:pPr>
        <w:shd w:val="clear" w:color="auto" w:fill="FFFFFF"/>
        <w:spacing w:after="0" w:line="560" w:lineRule="exact"/>
        <w:ind w:firstLine="602" w:firstLineChars="200"/>
        <w:jc w:val="both"/>
        <w:rPr>
          <w:rFonts w:ascii="仿宋_GB2312" w:hAnsi="微软雅黑" w:eastAsia="仿宋_GB2312" w:cs="Times New Roman"/>
          <w:b/>
          <w:sz w:val="30"/>
          <w:szCs w:val="30"/>
        </w:rPr>
      </w:pP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第四十三条</w:t>
      </w:r>
      <w:r>
        <w:rPr>
          <w:rFonts w:hint="eastAsia" w:ascii="仿宋_GB2312" w:hAnsi="微软雅黑" w:eastAsia="仿宋_GB2312" w:cs="Times New Roman"/>
          <w:sz w:val="24"/>
          <w:szCs w:val="24"/>
        </w:rPr>
        <w:t xml:space="preserve">  国资处、采购代理机构有下列情形之一的，由监察处责令限期改正；情节严重的，给予警告，对直接负责的主管人员和其他直接责任人员依法依规追究相应责任：</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（一）拒收质疑供应商在质疑期内发出的质疑函；</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（二）对质疑不予答复或者答复与事实明显不符，并不能作出合理说明；</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（三）拒绝配合监察处处理投诉事宜。</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第四十四条</w:t>
      </w:r>
      <w:r>
        <w:rPr>
          <w:rFonts w:hint="eastAsia" w:ascii="仿宋_GB2312" w:hAnsi="微软雅黑" w:eastAsia="仿宋_GB2312" w:cs="Times New Roman"/>
          <w:sz w:val="24"/>
          <w:szCs w:val="24"/>
        </w:rPr>
        <w:t xml:space="preserve">  投诉人在学校采购活动中2年内三次以上投诉查无实据的，列入不良行为记录名单。</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投诉人有下列行为之一的，属于虚假、恶意投诉，由国资处、监察处列入不良行为记录名单，禁止其1至3年内参加学校采购活动：</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（一）捏造事实;</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（二）提供虚假材料;</w:t>
      </w:r>
    </w:p>
    <w:p>
      <w:pPr>
        <w:shd w:val="clear" w:color="auto" w:fill="FFFFFF"/>
        <w:spacing w:after="0" w:line="560" w:lineRule="exact"/>
        <w:ind w:firstLine="480" w:firstLineChars="200"/>
        <w:jc w:val="both"/>
        <w:rPr>
          <w:rFonts w:ascii="仿宋_GB2312" w:hAnsi="微软雅黑" w:eastAsia="仿宋_GB2312" w:cs="Times New Roman"/>
          <w:sz w:val="24"/>
          <w:szCs w:val="24"/>
        </w:rPr>
      </w:pPr>
      <w:r>
        <w:rPr>
          <w:rFonts w:hint="eastAsia" w:ascii="仿宋_GB2312" w:hAnsi="微软雅黑" w:eastAsia="仿宋_GB2312" w:cs="Times New Roman"/>
          <w:sz w:val="24"/>
          <w:szCs w:val="24"/>
        </w:rPr>
        <w:t>（三）以非法手段取得证明材料。证据来源的合法性存在明显疑问，投诉人无法证明其取得方式合法的，视为以非法手段取得证明材料。</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微软雅黑" w:eastAsia="仿宋_GB2312" w:cs="Times New Roman"/>
          <w:b/>
          <w:bCs/>
          <w:kern w:val="2"/>
          <w:sz w:val="24"/>
        </w:rPr>
        <w:t xml:space="preserve">第四十五条  </w:t>
      </w:r>
      <w:r>
        <w:rPr>
          <w:rFonts w:hint="eastAsia" w:ascii="仿宋_GB2312" w:hAnsi="宋体" w:eastAsia="仿宋_GB2312" w:cs="宋体"/>
          <w:kern w:val="2"/>
          <w:sz w:val="24"/>
          <w:szCs w:val="24"/>
        </w:rPr>
        <w:t>国资处在处理质疑过程中，发现采购当事人有违法违规行为的，应在规定的权限范围内及时给予处理；无权处理的，应移交有关部门依法依规处理。</w:t>
      </w:r>
    </w:p>
    <w:p>
      <w:pPr>
        <w:widowControl w:val="0"/>
        <w:adjustRightInd/>
        <w:snapToGrid/>
        <w:spacing w:after="0" w:line="560" w:lineRule="exact"/>
        <w:ind w:firstLine="482" w:firstLineChars="200"/>
        <w:jc w:val="both"/>
        <w:rPr>
          <w:rFonts w:ascii="仿宋_GB2312" w:hAnsi="宋体" w:eastAsia="仿宋_GB2312" w:cs="宋体"/>
          <w:kern w:val="2"/>
          <w:sz w:val="24"/>
          <w:szCs w:val="24"/>
        </w:rPr>
      </w:pPr>
      <w:r>
        <w:rPr>
          <w:rFonts w:hint="eastAsia" w:ascii="仿宋_GB2312" w:hAnsi="宋体" w:eastAsia="仿宋_GB2312" w:cs="宋体"/>
          <w:b/>
          <w:kern w:val="2"/>
          <w:sz w:val="24"/>
          <w:szCs w:val="24"/>
        </w:rPr>
        <w:t>第四十六条</w:t>
      </w:r>
      <w:r>
        <w:rPr>
          <w:rFonts w:hint="eastAsia" w:ascii="仿宋_GB2312" w:hAnsi="宋体" w:eastAsia="仿宋_GB2312" w:cs="宋体"/>
          <w:kern w:val="2"/>
          <w:sz w:val="24"/>
          <w:szCs w:val="24"/>
        </w:rPr>
        <w:t xml:space="preserve">  国资处和监察处的工作人员在处理质疑、投诉过程中违反本办法规定及存在滥用职权、玩忽职守、徇私舞弊等行为的，学校将依法依</w:t>
      </w:r>
      <w:bookmarkStart w:id="125" w:name="OLE_LINK17"/>
      <w:bookmarkStart w:id="126" w:name="OLE_LINK16"/>
      <w:bookmarkStart w:id="127" w:name="OLE_LINK18"/>
      <w:r>
        <w:rPr>
          <w:rFonts w:hint="eastAsia" w:ascii="仿宋_GB2312" w:hAnsi="宋体" w:eastAsia="仿宋_GB2312" w:cs="宋体"/>
          <w:kern w:val="2"/>
          <w:sz w:val="24"/>
          <w:szCs w:val="24"/>
        </w:rPr>
        <w:t>规</w:t>
      </w:r>
      <w:bookmarkEnd w:id="125"/>
      <w:bookmarkEnd w:id="126"/>
      <w:bookmarkEnd w:id="127"/>
      <w:r>
        <w:rPr>
          <w:rFonts w:hint="eastAsia" w:ascii="仿宋_GB2312" w:hAnsi="宋体" w:eastAsia="仿宋_GB2312" w:cs="宋体"/>
          <w:kern w:val="2"/>
          <w:sz w:val="24"/>
          <w:szCs w:val="24"/>
        </w:rPr>
        <w:t>追究其相应责任。</w:t>
      </w:r>
    </w:p>
    <w:p>
      <w:pPr>
        <w:shd w:val="clear" w:color="auto" w:fill="FFFFFF"/>
        <w:spacing w:after="0" w:line="560" w:lineRule="exact"/>
        <w:ind w:firstLine="482" w:firstLineChars="200"/>
        <w:jc w:val="both"/>
        <w:rPr>
          <w:rFonts w:ascii="仿宋_GB2312" w:hAnsi="微软雅黑" w:eastAsia="仿宋_GB2312" w:cs="Times New Roman"/>
          <w:b/>
          <w:bCs/>
          <w:sz w:val="24"/>
        </w:rPr>
      </w:pPr>
      <w:r>
        <w:rPr>
          <w:rFonts w:hint="eastAsia" w:ascii="仿宋_GB2312" w:hAnsi="微软雅黑" w:eastAsia="仿宋_GB2312" w:cs="Times New Roman"/>
          <w:b/>
          <w:bCs/>
          <w:sz w:val="24"/>
        </w:rPr>
        <w:t>　</w:t>
      </w:r>
    </w:p>
    <w:p>
      <w:pPr>
        <w:shd w:val="clear" w:color="auto" w:fill="FFFFFF"/>
        <w:spacing w:after="0" w:line="560" w:lineRule="exact"/>
        <w:ind w:firstLine="420"/>
        <w:jc w:val="center"/>
        <w:rPr>
          <w:rFonts w:ascii="黑体" w:hAnsi="黑体" w:eastAsia="黑体" w:cs="Times New Roman"/>
          <w:b/>
          <w:bCs/>
          <w:sz w:val="24"/>
        </w:rPr>
      </w:pPr>
      <w:r>
        <w:rPr>
          <w:rFonts w:hint="eastAsia" w:ascii="黑体" w:hAnsi="黑体" w:eastAsia="黑体" w:cs="Times New Roman"/>
          <w:b/>
          <w:bCs/>
          <w:sz w:val="24"/>
        </w:rPr>
        <w:t xml:space="preserve">第七章 </w:t>
      </w:r>
      <w:r>
        <w:rPr>
          <w:rFonts w:hint="eastAsia" w:ascii="微软雅黑" w:hAnsi="微软雅黑" w:eastAsia="黑体" w:cs="Times New Roman"/>
          <w:b/>
          <w:bCs/>
          <w:sz w:val="24"/>
        </w:rPr>
        <w:t> </w:t>
      </w:r>
      <w:r>
        <w:rPr>
          <w:rFonts w:hint="eastAsia" w:ascii="黑体" w:hAnsi="黑体" w:eastAsia="黑体" w:cs="Times New Roman"/>
          <w:b/>
          <w:bCs/>
          <w:sz w:val="24"/>
        </w:rPr>
        <w:t>附则</w:t>
      </w:r>
    </w:p>
    <w:p>
      <w:pPr>
        <w:shd w:val="clear" w:color="auto" w:fill="FFFFFF"/>
        <w:spacing w:after="0" w:line="560" w:lineRule="exact"/>
        <w:ind w:firstLine="482" w:firstLineChars="200"/>
        <w:jc w:val="both"/>
        <w:rPr>
          <w:rFonts w:ascii="仿宋_GB2312" w:hAnsi="微软雅黑" w:eastAsia="仿宋_GB2312" w:cs="Times New Roman"/>
          <w:b/>
          <w:sz w:val="24"/>
          <w:szCs w:val="24"/>
        </w:rPr>
      </w:pP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第四十七条</w:t>
      </w:r>
      <w:r>
        <w:rPr>
          <w:rFonts w:hint="eastAsia" w:ascii="仿宋_GB2312" w:hAnsi="微软雅黑" w:eastAsia="仿宋_GB2312" w:cs="Times New Roman"/>
          <w:sz w:val="24"/>
          <w:szCs w:val="24"/>
        </w:rPr>
        <w:t xml:space="preserve">  质疑函和投诉书应当使用中文。质疑和投诉文本采用我校制定的范本。</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第四十八条</w:t>
      </w:r>
      <w:r>
        <w:rPr>
          <w:rFonts w:hint="eastAsia" w:ascii="仿宋_GB2312" w:hAnsi="微软雅黑" w:eastAsia="仿宋_GB2312" w:cs="Times New Roman"/>
          <w:sz w:val="24"/>
          <w:szCs w:val="24"/>
        </w:rPr>
        <w:t xml:space="preserve">  本办法由学校国有资产管理处负责解释。</w:t>
      </w:r>
    </w:p>
    <w:p>
      <w:pPr>
        <w:shd w:val="clear" w:color="auto" w:fill="FFFFFF"/>
        <w:spacing w:after="0" w:line="560" w:lineRule="exact"/>
        <w:ind w:firstLine="482" w:firstLineChars="200"/>
        <w:jc w:val="both"/>
        <w:rPr>
          <w:rFonts w:ascii="仿宋_GB2312" w:hAnsi="微软雅黑" w:eastAsia="仿宋_GB2312" w:cs="Times New Roman"/>
          <w:sz w:val="24"/>
          <w:szCs w:val="24"/>
        </w:rPr>
      </w:pPr>
      <w:r>
        <w:rPr>
          <w:rFonts w:hint="eastAsia" w:ascii="仿宋_GB2312" w:hAnsi="微软雅黑" w:eastAsia="仿宋_GB2312" w:cs="Times New Roman"/>
          <w:b/>
          <w:sz w:val="24"/>
          <w:szCs w:val="24"/>
        </w:rPr>
        <w:t xml:space="preserve">第四十九条  </w:t>
      </w:r>
      <w:r>
        <w:rPr>
          <w:rFonts w:hint="eastAsia" w:ascii="仿宋_GB2312" w:hAnsi="微软雅黑" w:eastAsia="仿宋_GB2312" w:cs="Times New Roman"/>
          <w:sz w:val="24"/>
          <w:szCs w:val="24"/>
        </w:rPr>
        <w:t>本办法自发布之日起施行。</w:t>
      </w:r>
    </w:p>
    <w:p>
      <w:pPr>
        <w:shd w:val="clear" w:color="auto" w:fill="FFFFFF"/>
        <w:spacing w:after="0" w:line="560" w:lineRule="exact"/>
        <w:ind w:firstLine="480" w:firstLineChars="200"/>
        <w:jc w:val="both"/>
        <w:rPr>
          <w:rFonts w:ascii="仿宋_GB2312" w:hAnsi="微软雅黑" w:eastAsia="仿宋_GB2312" w:cs="Times New Roman"/>
          <w:sz w:val="24"/>
          <w:szCs w:val="24"/>
        </w:rPr>
      </w:pPr>
    </w:p>
    <w:p>
      <w:pPr>
        <w:widowControl w:val="0"/>
        <w:spacing w:after="0" w:line="360" w:lineRule="auto"/>
        <w:rPr>
          <w:rFonts w:ascii="宋体" w:hAnsi="宋体" w:eastAsia="宋体" w:cs="宋体"/>
          <w:b/>
          <w:bCs/>
          <w:kern w:val="36"/>
          <w:sz w:val="24"/>
          <w:szCs w:val="24"/>
        </w:rPr>
      </w:pPr>
    </w:p>
    <w:p>
      <w:pPr>
        <w:adjustRightInd/>
        <w:snapToGrid/>
        <w:spacing w:after="0"/>
        <w:rPr>
          <w:rFonts w:ascii="宋体" w:hAnsi="宋体" w:eastAsia="宋体" w:cs="宋体"/>
          <w:b/>
          <w:bCs/>
          <w:kern w:val="36"/>
          <w:sz w:val="24"/>
          <w:szCs w:val="24"/>
        </w:rPr>
      </w:pPr>
    </w:p>
    <w:p>
      <w:pPr>
        <w:widowControl w:val="0"/>
        <w:adjustRightInd/>
        <w:snapToGrid/>
        <w:spacing w:after="0"/>
        <w:jc w:val="both"/>
        <w:rPr>
          <w:rFonts w:hint="eastAsia" w:ascii="宋体" w:hAnsi="宋体" w:eastAsia="宋体" w:cs="Times New Roman"/>
          <w:b/>
          <w:kern w:val="2"/>
          <w:sz w:val="24"/>
          <w:szCs w:val="24"/>
        </w:rPr>
      </w:pPr>
    </w:p>
    <w:p>
      <w:pPr>
        <w:widowControl w:val="0"/>
        <w:adjustRightInd/>
        <w:snapToGrid/>
        <w:spacing w:after="0"/>
        <w:jc w:val="both"/>
        <w:rPr>
          <w:rFonts w:hint="eastAsia" w:ascii="宋体" w:hAnsi="宋体" w:eastAsia="宋体" w:cs="Times New Roman"/>
          <w:b/>
          <w:kern w:val="2"/>
          <w:sz w:val="24"/>
          <w:szCs w:val="24"/>
        </w:rPr>
      </w:pPr>
    </w:p>
    <w:p>
      <w:pPr>
        <w:rPr>
          <w:rFonts w:hint="eastAsia" w:ascii="宋体" w:hAnsi="宋体" w:eastAsia="宋体" w:cs="Times New Roman"/>
          <w:b/>
          <w:kern w:val="2"/>
          <w:sz w:val="24"/>
          <w:szCs w:val="24"/>
        </w:rPr>
      </w:pPr>
      <w:r>
        <w:rPr>
          <w:rFonts w:hint="eastAsia" w:ascii="宋体" w:hAnsi="宋体" w:eastAsia="宋体" w:cs="Times New Roman"/>
          <w:b/>
          <w:kern w:val="2"/>
          <w:sz w:val="24"/>
          <w:szCs w:val="24"/>
        </w:rPr>
        <w:br w:type="page"/>
      </w:r>
    </w:p>
    <w:p>
      <w:pPr>
        <w:widowControl w:val="0"/>
        <w:adjustRightInd/>
        <w:snapToGrid/>
        <w:spacing w:after="0"/>
        <w:jc w:val="both"/>
        <w:rPr>
          <w:rFonts w:ascii="宋体" w:hAnsi="宋体" w:eastAsia="宋体" w:cs="Times New Roman"/>
          <w:b/>
          <w:kern w:val="2"/>
          <w:sz w:val="24"/>
          <w:szCs w:val="24"/>
        </w:rPr>
      </w:pPr>
      <w:r>
        <w:rPr>
          <w:rFonts w:hint="eastAsia" w:ascii="宋体" w:hAnsi="宋体" w:eastAsia="宋体" w:cs="Times New Roman"/>
          <w:b/>
          <w:kern w:val="2"/>
          <w:sz w:val="24"/>
          <w:szCs w:val="24"/>
        </w:rPr>
        <w:t>附件2：</w:t>
      </w:r>
    </w:p>
    <w:p>
      <w:pPr>
        <w:widowControl w:val="0"/>
        <w:adjustRightInd/>
        <w:snapToGrid/>
        <w:spacing w:after="0"/>
        <w:jc w:val="center"/>
        <w:rPr>
          <w:rFonts w:ascii="仿宋" w:hAnsi="仿宋" w:eastAsia="仿宋" w:cs="仿宋"/>
          <w:b/>
          <w:bCs/>
          <w:kern w:val="2"/>
          <w:sz w:val="24"/>
          <w:szCs w:val="24"/>
        </w:rPr>
      </w:pPr>
      <w:r>
        <w:rPr>
          <w:rFonts w:hint="eastAsia" w:ascii="仿宋" w:hAnsi="仿宋" w:eastAsia="仿宋" w:cs="仿宋"/>
          <w:b/>
          <w:bCs/>
          <w:kern w:val="2"/>
          <w:sz w:val="24"/>
          <w:szCs w:val="24"/>
        </w:rPr>
        <w:t>质疑函范本</w:t>
      </w:r>
    </w:p>
    <w:p>
      <w:pPr>
        <w:widowControl w:val="0"/>
        <w:spacing w:beforeLines="100" w:after="0" w:line="360" w:lineRule="auto"/>
        <w:jc w:val="both"/>
        <w:rPr>
          <w:rFonts w:ascii="黑体" w:hAnsi="黑体" w:eastAsia="黑体" w:cs="仿宋"/>
          <w:bCs/>
          <w:kern w:val="2"/>
          <w:sz w:val="24"/>
          <w:szCs w:val="24"/>
        </w:rPr>
      </w:pPr>
      <w:r>
        <w:rPr>
          <w:rFonts w:hint="eastAsia" w:ascii="黑体" w:hAnsi="黑体" w:eastAsia="黑体" w:cs="仿宋"/>
          <w:bCs/>
          <w:kern w:val="2"/>
          <w:sz w:val="24"/>
          <w:szCs w:val="24"/>
        </w:rPr>
        <w:t>一、质疑供应商基本信息</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质疑供应商：</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地址：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联系人：</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授权代表：</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r>
        <w:rPr>
          <w:rFonts w:ascii="仿宋" w:hAnsi="仿宋" w:eastAsia="仿宋" w:cs="仿宋"/>
          <w:kern w:val="2"/>
          <w:sz w:val="24"/>
          <w:szCs w:val="24"/>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地址：</w:t>
      </w:r>
      <w:r>
        <w:rPr>
          <w:rFonts w:ascii="仿宋" w:hAnsi="仿宋" w:eastAsia="仿宋" w:cs="仿宋"/>
          <w:kern w:val="2"/>
          <w:sz w:val="24"/>
          <w:szCs w:val="24"/>
        </w:rPr>
        <w:t xml:space="preserve"> </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p>
    <w:p>
      <w:pPr>
        <w:widowControl w:val="0"/>
        <w:spacing w:after="0" w:line="360" w:lineRule="auto"/>
        <w:jc w:val="both"/>
        <w:rPr>
          <w:rFonts w:ascii="黑体" w:hAnsi="黑体" w:eastAsia="黑体" w:cs="仿宋"/>
          <w:bCs/>
          <w:kern w:val="2"/>
          <w:sz w:val="24"/>
          <w:szCs w:val="24"/>
        </w:rPr>
      </w:pPr>
      <w:r>
        <w:rPr>
          <w:rFonts w:hint="eastAsia" w:ascii="黑体" w:hAnsi="黑体" w:eastAsia="黑体" w:cs="仿宋"/>
          <w:bCs/>
          <w:kern w:val="2"/>
          <w:sz w:val="24"/>
          <w:szCs w:val="24"/>
        </w:rPr>
        <w:t>二、质疑项目基本情况</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质疑项目的名称：</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质疑项目的编号：</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包号：</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采购人名称：</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采购文件获取日期：</w:t>
      </w:r>
      <w:r>
        <w:rPr>
          <w:rFonts w:hint="eastAsia" w:ascii="仿宋" w:hAnsi="仿宋" w:eastAsia="仿宋" w:cs="仿宋"/>
          <w:kern w:val="2"/>
          <w:sz w:val="24"/>
          <w:szCs w:val="24"/>
          <w:u w:val="dotted"/>
        </w:rPr>
        <w:t xml:space="preserve">                                           </w:t>
      </w:r>
    </w:p>
    <w:p>
      <w:pPr>
        <w:widowControl w:val="0"/>
        <w:spacing w:after="0" w:line="360" w:lineRule="auto"/>
        <w:jc w:val="both"/>
        <w:rPr>
          <w:rFonts w:ascii="黑体" w:hAnsi="黑体" w:eastAsia="黑体" w:cs="仿宋"/>
          <w:bCs/>
          <w:kern w:val="2"/>
          <w:sz w:val="24"/>
          <w:szCs w:val="24"/>
        </w:rPr>
      </w:pPr>
      <w:r>
        <w:rPr>
          <w:rFonts w:hint="eastAsia" w:ascii="黑体" w:hAnsi="黑体" w:eastAsia="黑体" w:cs="仿宋"/>
          <w:bCs/>
          <w:kern w:val="2"/>
          <w:sz w:val="24"/>
          <w:szCs w:val="24"/>
        </w:rPr>
        <w:t>三、质疑事项具体内容</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质疑事项1：</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事实依据：</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法律依据：</w:t>
      </w:r>
      <w:r>
        <w:rPr>
          <w:rFonts w:hint="eastAsia" w:ascii="仿宋" w:hAnsi="仿宋" w:eastAsia="仿宋" w:cs="仿宋"/>
          <w:kern w:val="2"/>
          <w:sz w:val="24"/>
          <w:szCs w:val="24"/>
          <w:u w:val="dotted"/>
        </w:rPr>
        <w:t xml:space="preserve">                                          </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u w:val="dotted"/>
        </w:rPr>
        <w:t xml:space="preserve">                                                     </w:t>
      </w:r>
    </w:p>
    <w:p>
      <w:pPr>
        <w:widowControl w:val="0"/>
        <w:tabs>
          <w:tab w:val="left" w:pos="2175"/>
        </w:tabs>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质疑事项2</w:t>
      </w:r>
      <w:r>
        <w:rPr>
          <w:rFonts w:ascii="仿宋" w:hAnsi="仿宋" w:eastAsia="仿宋" w:cs="仿宋"/>
          <w:kern w:val="2"/>
          <w:sz w:val="24"/>
          <w:szCs w:val="24"/>
        </w:rPr>
        <w:tab/>
      </w:r>
    </w:p>
    <w:p>
      <w:pPr>
        <w:widowControl w:val="0"/>
        <w:spacing w:after="0" w:line="360" w:lineRule="auto"/>
        <w:jc w:val="both"/>
        <w:rPr>
          <w:rFonts w:ascii="仿宋" w:hAnsi="仿宋" w:eastAsia="仿宋" w:cs="仿宋"/>
          <w:kern w:val="2"/>
          <w:sz w:val="24"/>
          <w:szCs w:val="24"/>
        </w:rPr>
      </w:pPr>
      <w:r>
        <w:rPr>
          <w:rFonts w:hint="eastAsia" w:ascii="仿宋" w:hAnsi="仿宋" w:eastAsia="仿宋" w:cs="仿宋"/>
          <w:kern w:val="2"/>
          <w:sz w:val="24"/>
          <w:szCs w:val="24"/>
        </w:rPr>
        <w:t>……</w:t>
      </w:r>
    </w:p>
    <w:p>
      <w:pPr>
        <w:widowControl w:val="0"/>
        <w:spacing w:after="0" w:line="360" w:lineRule="auto"/>
        <w:jc w:val="both"/>
        <w:rPr>
          <w:rFonts w:ascii="黑体" w:hAnsi="黑体" w:eastAsia="黑体" w:cs="仿宋"/>
          <w:bCs/>
          <w:kern w:val="2"/>
          <w:sz w:val="24"/>
          <w:szCs w:val="24"/>
        </w:rPr>
      </w:pPr>
      <w:r>
        <w:rPr>
          <w:rFonts w:hint="eastAsia" w:ascii="黑体" w:hAnsi="黑体" w:eastAsia="黑体" w:cs="仿宋"/>
          <w:bCs/>
          <w:kern w:val="2"/>
          <w:sz w:val="24"/>
          <w:szCs w:val="24"/>
        </w:rPr>
        <w:t>四、与质疑事项相关的质疑请求</w:t>
      </w:r>
    </w:p>
    <w:p>
      <w:pPr>
        <w:widowControl w:val="0"/>
        <w:spacing w:after="0" w:line="360" w:lineRule="auto"/>
        <w:jc w:val="both"/>
        <w:rPr>
          <w:rFonts w:ascii="仿宋" w:hAnsi="仿宋" w:eastAsia="仿宋" w:cs="仿宋"/>
          <w:kern w:val="2"/>
          <w:sz w:val="24"/>
          <w:szCs w:val="24"/>
          <w:u w:val="dotted"/>
        </w:rPr>
      </w:pPr>
      <w:r>
        <w:rPr>
          <w:rFonts w:hint="eastAsia" w:ascii="仿宋" w:hAnsi="仿宋" w:eastAsia="仿宋" w:cs="仿宋"/>
          <w:kern w:val="2"/>
          <w:sz w:val="24"/>
          <w:szCs w:val="24"/>
        </w:rPr>
        <w:t>请求：</w:t>
      </w:r>
      <w:r>
        <w:rPr>
          <w:rFonts w:hint="eastAsia" w:ascii="仿宋" w:hAnsi="仿宋" w:eastAsia="仿宋" w:cs="仿宋"/>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签字(签章)：                   公章：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日期：    </w:t>
      </w:r>
    </w:p>
    <w:p>
      <w:pPr>
        <w:widowControl w:val="0"/>
        <w:spacing w:after="0" w:line="360" w:lineRule="auto"/>
        <w:jc w:val="both"/>
        <w:rPr>
          <w:rFonts w:ascii="仿宋" w:hAnsi="仿宋" w:eastAsia="仿宋" w:cs="仿宋"/>
          <w:kern w:val="2"/>
          <w:sz w:val="24"/>
          <w:szCs w:val="24"/>
        </w:rPr>
      </w:pPr>
    </w:p>
    <w:p>
      <w:pPr>
        <w:widowControl w:val="0"/>
        <w:spacing w:after="0" w:line="360" w:lineRule="auto"/>
        <w:rPr>
          <w:rFonts w:ascii="宋体" w:hAnsi="宋体" w:eastAsia="宋体" w:cs="宋体"/>
          <w:b/>
          <w:bCs/>
          <w:kern w:val="36"/>
          <w:sz w:val="24"/>
          <w:szCs w:val="24"/>
        </w:rPr>
      </w:pPr>
    </w:p>
    <w:p>
      <w:pPr>
        <w:adjustRightInd/>
        <w:snapToGrid/>
        <w:spacing w:after="0"/>
        <w:rPr>
          <w:rFonts w:ascii="宋体" w:hAnsi="宋体" w:eastAsia="宋体" w:cs="宋体"/>
          <w:b/>
          <w:bCs/>
          <w:kern w:val="36"/>
          <w:sz w:val="24"/>
          <w:szCs w:val="24"/>
        </w:rPr>
      </w:pPr>
      <w:r>
        <w:rPr>
          <w:rFonts w:ascii="宋体" w:hAnsi="宋体" w:eastAsia="宋体" w:cs="宋体"/>
          <w:b/>
          <w:bCs/>
          <w:kern w:val="36"/>
          <w:sz w:val="24"/>
          <w:szCs w:val="24"/>
        </w:rPr>
        <w:br w:type="page"/>
      </w:r>
    </w:p>
    <w:p>
      <w:pPr>
        <w:widowControl w:val="0"/>
        <w:adjustRightInd/>
        <w:snapToGrid/>
        <w:spacing w:after="0"/>
        <w:jc w:val="both"/>
        <w:rPr>
          <w:rFonts w:ascii="黑体" w:hAnsi="黑体" w:eastAsia="黑体" w:cs="Times New Roman"/>
          <w:b/>
          <w:kern w:val="2"/>
          <w:sz w:val="32"/>
          <w:szCs w:val="32"/>
        </w:rPr>
      </w:pPr>
      <w:r>
        <w:rPr>
          <w:rFonts w:hint="eastAsia" w:ascii="黑体" w:hAnsi="黑体" w:eastAsia="黑体" w:cs="Times New Roman"/>
          <w:b/>
          <w:kern w:val="2"/>
          <w:sz w:val="32"/>
          <w:szCs w:val="32"/>
        </w:rPr>
        <w:t>质疑函制作说明：</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1.供应商提出质疑时，应提交质疑函和必要的证明材料。</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3.质疑供应商若对项目的某一分包进行质疑，质疑函中应列明具体分包号。</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4.质疑函的质疑事项应具体、明确，并有必要的事实依据和法律依据。</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5.质疑函的质疑请求应与质疑事项相关。</w:t>
      </w:r>
    </w:p>
    <w:p>
      <w:pPr>
        <w:shd w:val="clear" w:color="auto" w:fill="FFFFFF"/>
        <w:spacing w:after="0" w:line="560" w:lineRule="exact"/>
        <w:ind w:firstLine="480" w:firstLineChars="200"/>
        <w:jc w:val="both"/>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widowControl w:val="0"/>
        <w:spacing w:after="0" w:line="360" w:lineRule="auto"/>
        <w:rPr>
          <w:rFonts w:ascii="宋体" w:hAnsi="宋体" w:eastAsia="宋体" w:cs="宋体"/>
          <w:b/>
          <w:bCs/>
          <w:kern w:val="36"/>
          <w:sz w:val="24"/>
          <w:szCs w:val="24"/>
        </w:rPr>
      </w:pPr>
    </w:p>
    <w:p>
      <w:pPr>
        <w:adjustRightInd/>
        <w:snapToGrid/>
        <w:spacing w:after="0"/>
        <w:rPr>
          <w:rFonts w:ascii="宋体" w:hAnsi="宋体" w:eastAsia="宋体" w:cs="宋体"/>
          <w:b/>
          <w:bCs/>
          <w:kern w:val="36"/>
          <w:sz w:val="24"/>
          <w:szCs w:val="24"/>
        </w:rPr>
      </w:pPr>
      <w:r>
        <w:rPr>
          <w:rFonts w:ascii="宋体" w:hAnsi="宋体" w:eastAsia="宋体" w:cs="宋体"/>
          <w:b/>
          <w:bCs/>
          <w:kern w:val="36"/>
          <w:sz w:val="24"/>
          <w:szCs w:val="24"/>
        </w:rPr>
        <w:br w:type="page"/>
      </w:r>
    </w:p>
    <w:p>
      <w:pPr>
        <w:widowControl w:val="0"/>
        <w:adjustRightInd/>
        <w:snapToGrid/>
        <w:spacing w:after="0"/>
        <w:jc w:val="both"/>
        <w:rPr>
          <w:rFonts w:ascii="宋体" w:hAnsi="宋体" w:eastAsia="宋体" w:cs="Times New Roman"/>
          <w:b/>
          <w:kern w:val="2"/>
          <w:sz w:val="30"/>
          <w:szCs w:val="30"/>
        </w:rPr>
      </w:pPr>
      <w:r>
        <w:rPr>
          <w:rFonts w:hint="eastAsia" w:ascii="宋体" w:hAnsi="宋体" w:eastAsia="宋体" w:cs="Times New Roman"/>
          <w:b/>
          <w:kern w:val="2"/>
          <w:sz w:val="30"/>
          <w:szCs w:val="30"/>
        </w:rPr>
        <w:t>附件3：</w:t>
      </w:r>
    </w:p>
    <w:p>
      <w:pPr>
        <w:widowControl w:val="0"/>
        <w:adjustRightInd/>
        <w:snapToGrid/>
        <w:spacing w:after="0"/>
        <w:jc w:val="center"/>
        <w:rPr>
          <w:rFonts w:ascii="宋体" w:hAnsi="宋体" w:eastAsia="宋体" w:cs="Times New Roman"/>
          <w:b/>
          <w:kern w:val="2"/>
          <w:sz w:val="24"/>
          <w:szCs w:val="24"/>
        </w:rPr>
      </w:pPr>
      <w:r>
        <w:rPr>
          <w:rFonts w:hint="eastAsia" w:ascii="宋体" w:hAnsi="宋体" w:eastAsia="宋体" w:cs="Times New Roman"/>
          <w:b/>
          <w:kern w:val="2"/>
          <w:sz w:val="24"/>
          <w:szCs w:val="24"/>
        </w:rPr>
        <w:t>投诉书范本</w:t>
      </w:r>
    </w:p>
    <w:p>
      <w:pPr>
        <w:widowControl w:val="0"/>
        <w:adjustRightInd/>
        <w:snapToGrid/>
        <w:spacing w:after="0"/>
        <w:jc w:val="both"/>
        <w:rPr>
          <w:rFonts w:ascii="黑体" w:hAnsi="黑体" w:eastAsia="黑体" w:cs="Times New Roman"/>
          <w:kern w:val="2"/>
          <w:sz w:val="24"/>
          <w:szCs w:val="24"/>
        </w:rPr>
      </w:pPr>
      <w:r>
        <w:rPr>
          <w:rFonts w:hint="eastAsia" w:ascii="黑体" w:hAnsi="黑体" w:eastAsia="黑体" w:cs="Times New Roman"/>
          <w:kern w:val="2"/>
          <w:sz w:val="24"/>
          <w:szCs w:val="24"/>
        </w:rPr>
        <w:t>一、投诉相关主体基本情况</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投诉人：</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地     址：</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邮编：</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tabs>
          <w:tab w:val="left" w:pos="6510"/>
        </w:tabs>
        <w:adjustRightInd/>
        <w:snapToGrid/>
        <w:spacing w:after="0"/>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法定代表人/主要负责人：</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 xml:space="preserve">  </w:t>
      </w:r>
    </w:p>
    <w:p>
      <w:pPr>
        <w:widowControl w:val="0"/>
        <w:tabs>
          <w:tab w:val="left" w:pos="6510"/>
        </w:tabs>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联系电话：</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授权代表：</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联系电话</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地     址：</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邮编：</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被投诉人1：</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地     址：</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邮编：</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联系人：</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联系电话：</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被投诉人2</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相关供应商：</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地     址：</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邮编：</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联系人：</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联系电话：</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黑体" w:hAnsi="黑体" w:eastAsia="黑体" w:cs="Times New Roman"/>
          <w:kern w:val="2"/>
          <w:sz w:val="24"/>
          <w:szCs w:val="24"/>
        </w:rPr>
      </w:pPr>
      <w:r>
        <w:rPr>
          <w:rFonts w:hint="eastAsia" w:ascii="黑体" w:hAnsi="黑体" w:eastAsia="黑体" w:cs="Times New Roman"/>
          <w:kern w:val="2"/>
          <w:sz w:val="24"/>
          <w:szCs w:val="24"/>
        </w:rPr>
        <w:t>二、投诉项目基本情况</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采购项目名称：</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采购项目编号：</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包号：</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采购人名称：</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u w:val="single"/>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代理机构名称：</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采购文件公告:</w:t>
      </w:r>
      <w:r>
        <w:rPr>
          <w:rFonts w:hint="eastAsia" w:ascii="仿宋_GB2312" w:hAnsi="Times New Roman" w:eastAsia="仿宋_GB2312" w:cs="Times New Roman"/>
          <w:kern w:val="2"/>
          <w:sz w:val="24"/>
          <w:szCs w:val="24"/>
          <w:u w:val="dotted"/>
        </w:rPr>
        <w:t xml:space="preserve">是/否 </w:t>
      </w:r>
      <w:r>
        <w:rPr>
          <w:rFonts w:hint="eastAsia" w:ascii="仿宋_GB2312" w:hAnsi="Times New Roman" w:eastAsia="仿宋_GB2312" w:cs="Times New Roman"/>
          <w:kern w:val="2"/>
          <w:sz w:val="24"/>
          <w:szCs w:val="24"/>
        </w:rPr>
        <w:t>公告期限：</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采购结果公告:</w:t>
      </w:r>
      <w:r>
        <w:rPr>
          <w:rFonts w:hint="eastAsia" w:ascii="仿宋_GB2312" w:hAnsi="Times New Roman" w:eastAsia="仿宋_GB2312" w:cs="Times New Roman"/>
          <w:kern w:val="2"/>
          <w:sz w:val="24"/>
          <w:szCs w:val="24"/>
          <w:u w:val="dotted"/>
        </w:rPr>
        <w:t xml:space="preserve">是/否 </w:t>
      </w:r>
      <w:r>
        <w:rPr>
          <w:rFonts w:hint="eastAsia" w:ascii="仿宋_GB2312" w:hAnsi="Times New Roman" w:eastAsia="仿宋_GB2312" w:cs="Times New Roman"/>
          <w:kern w:val="2"/>
          <w:sz w:val="24"/>
          <w:szCs w:val="24"/>
        </w:rPr>
        <w:t>公告期限：</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黑体" w:hAnsi="黑体" w:eastAsia="黑体" w:cs="Times New Roman"/>
          <w:kern w:val="2"/>
          <w:sz w:val="24"/>
          <w:szCs w:val="24"/>
        </w:rPr>
      </w:pPr>
      <w:r>
        <w:rPr>
          <w:rFonts w:hint="eastAsia" w:ascii="黑体" w:hAnsi="黑体" w:eastAsia="黑体" w:cs="Times New Roman"/>
          <w:kern w:val="2"/>
          <w:sz w:val="24"/>
          <w:szCs w:val="24"/>
        </w:rPr>
        <w:t>三、质疑基本情况</w:t>
      </w:r>
    </w:p>
    <w:p>
      <w:pPr>
        <w:widowControl w:val="0"/>
        <w:adjustRightInd/>
        <w:snapToGrid/>
        <w:spacing w:after="0"/>
        <w:ind w:firstLine="480" w:firstLineChars="20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投诉人于</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年</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月</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日,向</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提出质疑，质疑事项为：</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 xml:space="preserve">  </w:t>
      </w:r>
    </w:p>
    <w:p>
      <w:pPr>
        <w:widowControl w:val="0"/>
        <w:adjustRightInd/>
        <w:snapToGrid/>
        <w:spacing w:after="0"/>
        <w:ind w:firstLine="360" w:firstLineChars="15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u w:val="dotted"/>
        </w:rPr>
        <w:t>采购人/代理机构</w:t>
      </w:r>
      <w:r>
        <w:rPr>
          <w:rFonts w:hint="eastAsia" w:ascii="仿宋_GB2312" w:hAnsi="Times New Roman" w:eastAsia="仿宋_GB2312" w:cs="Times New Roman"/>
          <w:kern w:val="2"/>
          <w:sz w:val="24"/>
          <w:szCs w:val="24"/>
        </w:rPr>
        <w:t>于</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年</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月</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日,就质疑事项作出了答复/没有在法定期限内作出答复。</w:t>
      </w:r>
    </w:p>
    <w:p>
      <w:pPr>
        <w:widowControl w:val="0"/>
        <w:adjustRightInd/>
        <w:snapToGrid/>
        <w:spacing w:after="0"/>
        <w:jc w:val="both"/>
        <w:rPr>
          <w:rFonts w:ascii="黑体" w:hAnsi="黑体" w:eastAsia="黑体" w:cs="Times New Roman"/>
          <w:kern w:val="2"/>
          <w:sz w:val="24"/>
          <w:szCs w:val="24"/>
        </w:rPr>
      </w:pPr>
      <w:r>
        <w:rPr>
          <w:rFonts w:hint="eastAsia" w:ascii="黑体" w:hAnsi="黑体" w:eastAsia="黑体" w:cs="Times New Roman"/>
          <w:kern w:val="2"/>
          <w:sz w:val="24"/>
          <w:szCs w:val="24"/>
        </w:rPr>
        <w:t>四、投诉事项具体内容</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投诉事项 1：</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事实依据：</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法律依据：</w:t>
      </w: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u w:val="dotted"/>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投诉事项2</w:t>
      </w:r>
    </w:p>
    <w:p>
      <w:pPr>
        <w:widowControl w:val="0"/>
        <w:adjustRightInd/>
        <w:snapToGrid/>
        <w:spacing w:after="0"/>
        <w:jc w:val="both"/>
        <w:rPr>
          <w:rFonts w:ascii="仿宋_GB2312" w:hAnsi="Times New Roman" w:eastAsia="仿宋_GB2312" w:cs="Times New Roman"/>
          <w:kern w:val="2"/>
          <w:sz w:val="24"/>
          <w:szCs w:val="24"/>
          <w:u w:val="dotted"/>
        </w:rPr>
      </w:pPr>
      <w:r>
        <w:rPr>
          <w:rFonts w:hint="eastAsia" w:ascii="仿宋_GB2312" w:hAnsi="Times New Roman" w:eastAsia="仿宋_GB2312" w:cs="Times New Roman"/>
          <w:kern w:val="2"/>
          <w:sz w:val="24"/>
          <w:szCs w:val="24"/>
        </w:rPr>
        <w:t>……</w:t>
      </w:r>
    </w:p>
    <w:p>
      <w:pPr>
        <w:widowControl w:val="0"/>
        <w:adjustRightInd/>
        <w:snapToGrid/>
        <w:spacing w:after="0"/>
        <w:jc w:val="both"/>
        <w:rPr>
          <w:rFonts w:ascii="黑体" w:hAnsi="黑体" w:eastAsia="黑体" w:cs="Times New Roman"/>
          <w:kern w:val="2"/>
          <w:sz w:val="24"/>
          <w:szCs w:val="24"/>
        </w:rPr>
      </w:pPr>
      <w:r>
        <w:rPr>
          <w:rFonts w:hint="eastAsia" w:ascii="黑体" w:hAnsi="黑体" w:eastAsia="黑体" w:cs="Times New Roman"/>
          <w:kern w:val="2"/>
          <w:sz w:val="24"/>
          <w:szCs w:val="24"/>
        </w:rPr>
        <w:t>五、与投诉事项相关的投诉请求</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请求：</w:t>
      </w:r>
      <w:r>
        <w:rPr>
          <w:rFonts w:hint="eastAsia" w:ascii="仿宋_GB2312" w:hAnsi="Times New Roman" w:eastAsia="仿宋_GB2312" w:cs="Times New Roman"/>
          <w:kern w:val="2"/>
          <w:sz w:val="24"/>
          <w:szCs w:val="24"/>
          <w:u w:val="dotted"/>
        </w:rPr>
        <w:t xml:space="preserve">                                              </w:t>
      </w:r>
      <w:r>
        <w:rPr>
          <w:rFonts w:hint="eastAsia" w:ascii="仿宋_GB2312" w:hAnsi="Times New Roman" w:eastAsia="仿宋_GB2312" w:cs="Times New Roman"/>
          <w:kern w:val="2"/>
          <w:sz w:val="24"/>
          <w:szCs w:val="24"/>
        </w:rPr>
        <w:t xml:space="preserve"> </w:t>
      </w:r>
    </w:p>
    <w:p>
      <w:pPr>
        <w:widowControl w:val="0"/>
        <w:adjustRightInd/>
        <w:snapToGrid/>
        <w:spacing w:after="0"/>
        <w:jc w:val="both"/>
        <w:rPr>
          <w:rFonts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rPr>
        <w:t xml:space="preserve">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签字(签章)：                   公章：                      </w:t>
      </w:r>
    </w:p>
    <w:p>
      <w:pPr>
        <w:widowControl w:val="0"/>
        <w:adjustRightInd/>
        <w:snapToGrid/>
        <w:spacing w:after="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日期：    </w:t>
      </w:r>
    </w:p>
    <w:p>
      <w:pPr>
        <w:widowControl w:val="0"/>
        <w:adjustRightInd/>
        <w:snapToGrid/>
        <w:spacing w:after="0"/>
        <w:jc w:val="both"/>
        <w:rPr>
          <w:rFonts w:ascii="黑体" w:hAnsi="黑体" w:eastAsia="黑体" w:cs="Times New Roman"/>
          <w:b/>
          <w:kern w:val="2"/>
          <w:sz w:val="24"/>
          <w:szCs w:val="24"/>
        </w:rPr>
      </w:pPr>
    </w:p>
    <w:p>
      <w:pPr>
        <w:widowControl w:val="0"/>
        <w:spacing w:after="0" w:line="360" w:lineRule="auto"/>
        <w:rPr>
          <w:rFonts w:ascii="宋体" w:hAnsi="宋体" w:eastAsia="宋体" w:cs="宋体"/>
          <w:b/>
          <w:bCs/>
          <w:kern w:val="36"/>
          <w:sz w:val="24"/>
          <w:szCs w:val="24"/>
        </w:rPr>
      </w:pPr>
    </w:p>
    <w:p>
      <w:pPr>
        <w:adjustRightInd/>
        <w:snapToGrid/>
        <w:spacing w:after="0"/>
        <w:rPr>
          <w:rFonts w:ascii="宋体" w:hAnsi="宋体" w:eastAsia="宋体" w:cs="宋体"/>
          <w:b/>
          <w:bCs/>
          <w:kern w:val="36"/>
          <w:sz w:val="24"/>
          <w:szCs w:val="24"/>
        </w:rPr>
      </w:pPr>
    </w:p>
    <w:p>
      <w:pPr>
        <w:widowControl w:val="0"/>
        <w:adjustRightInd/>
        <w:snapToGrid/>
        <w:spacing w:after="0"/>
        <w:jc w:val="both"/>
        <w:rPr>
          <w:rFonts w:ascii="黑体" w:hAnsi="黑体" w:eastAsia="黑体" w:cs="Times New Roman"/>
          <w:b/>
          <w:kern w:val="2"/>
          <w:sz w:val="32"/>
          <w:szCs w:val="32"/>
        </w:rPr>
      </w:pPr>
      <w:r>
        <w:rPr>
          <w:rFonts w:hint="eastAsia" w:ascii="黑体" w:hAnsi="黑体" w:eastAsia="黑体" w:cs="Times New Roman"/>
          <w:b/>
          <w:kern w:val="2"/>
          <w:sz w:val="32"/>
          <w:szCs w:val="32"/>
        </w:rPr>
        <w:t>投诉书制作说明：</w:t>
      </w:r>
    </w:p>
    <w:p>
      <w:pPr>
        <w:adjustRightInd/>
        <w:snapToGrid/>
        <w:spacing w:after="0"/>
        <w:ind w:firstLine="480" w:firstLineChars="200"/>
        <w:jc w:val="both"/>
        <w:rPr>
          <w:rFonts w:ascii="仿宋_GB2312" w:hAnsi="宋体" w:eastAsia="仿宋_GB2312" w:cs="宋体"/>
          <w:sz w:val="24"/>
          <w:szCs w:val="24"/>
        </w:rPr>
      </w:pPr>
      <w:r>
        <w:rPr>
          <w:rFonts w:hint="eastAsia" w:ascii="仿宋_GB2312" w:hAnsi="Times New Roman" w:eastAsia="仿宋_GB2312" w:cs="Times New Roman"/>
          <w:kern w:val="2"/>
          <w:sz w:val="24"/>
          <w:szCs w:val="24"/>
        </w:rPr>
        <w:t>1.投诉人提起投诉时，应当提交投诉书和必要的证明材料，并按照被投诉人和与投诉事项有关的供应商数量提供投诉书副本。</w:t>
      </w:r>
    </w:p>
    <w:p>
      <w:pPr>
        <w:adjustRightInd/>
        <w:snapToGrid/>
        <w:spacing w:after="0"/>
        <w:ind w:firstLine="480" w:firstLineChars="200"/>
        <w:rPr>
          <w:rFonts w:ascii="仿宋_GB2312" w:hAnsi="宋体" w:eastAsia="仿宋_GB2312" w:cs="宋体"/>
          <w:sz w:val="24"/>
          <w:szCs w:val="24"/>
        </w:rPr>
      </w:pPr>
      <w:r>
        <w:rPr>
          <w:rFonts w:hint="eastAsia" w:ascii="仿宋_GB2312" w:hAnsi="Times New Roman" w:eastAsia="仿宋_GB2312" w:cs="Times New Roman"/>
          <w:kern w:val="2"/>
          <w:sz w:val="24"/>
          <w:szCs w:val="24"/>
        </w:rPr>
        <w:t>2.投诉人若委托代理人进行投诉的，投诉书应按照要求列明“授权代表”的有关内容，并在附件中提交由</w:t>
      </w:r>
      <w:r>
        <w:rPr>
          <w:rFonts w:hint="eastAsia" w:ascii="仿宋_GB2312" w:hAnsi="宋体" w:eastAsia="仿宋_GB2312" w:cs="宋体"/>
          <w:sz w:val="24"/>
          <w:szCs w:val="24"/>
        </w:rPr>
        <w:t>投诉人签署的授权委托书。授权委托书应当载明代理人的姓名或者名称、代理事项、具体权限、期限和相关事项。</w:t>
      </w:r>
    </w:p>
    <w:p>
      <w:pPr>
        <w:adjustRightInd/>
        <w:snapToGrid/>
        <w:spacing w:after="0"/>
        <w:ind w:firstLine="480" w:firstLineChars="200"/>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3.投诉人若对项目的某一分包进行投诉，投诉书应列明具体分包号。</w:t>
      </w:r>
    </w:p>
    <w:p>
      <w:pPr>
        <w:adjustRightInd/>
        <w:snapToGrid/>
        <w:spacing w:after="0"/>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adjustRightInd/>
        <w:snapToGrid/>
        <w:spacing w:after="0"/>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adjustRightInd/>
        <w:snapToGrid/>
        <w:spacing w:after="0"/>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adjustRightInd/>
        <w:snapToGrid/>
        <w:spacing w:after="0"/>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widowControl w:val="0"/>
        <w:spacing w:after="0" w:line="360" w:lineRule="auto"/>
        <w:rPr>
          <w:rFonts w:ascii="宋体" w:hAnsi="宋体" w:eastAsia="宋体" w:cs="宋体"/>
          <w:b/>
          <w:bCs/>
          <w:kern w:val="36"/>
          <w:sz w:val="24"/>
          <w:szCs w:val="24"/>
        </w:rPr>
      </w:pPr>
    </w:p>
    <w:p>
      <w:pPr>
        <w:pStyle w:val="38"/>
        <w:snapToGrid w:val="0"/>
        <w:ind w:right="280" w:rightChars="100" w:firstLine="0" w:firstLineChars="0"/>
        <w:rPr>
          <w:rFonts w:ascii="仿宋_GB2312" w:hAnsi="宋体" w:eastAsia="仿宋_GB2312"/>
          <w:bCs/>
          <w:szCs w:val="28"/>
        </w:rPr>
      </w:pPr>
    </w:p>
    <w:p>
      <w:pPr>
        <w:rPr>
          <w:rFonts w:hint="eastAsia" w:ascii="华文中宋" w:hAnsi="华文中宋" w:eastAsia="华文中宋"/>
          <w:color w:val="auto"/>
        </w:rPr>
      </w:pPr>
      <w:bookmarkStart w:id="128" w:name="_Toc14542"/>
      <w:r>
        <w:rPr>
          <w:rFonts w:hint="eastAsia" w:ascii="华文中宋" w:hAnsi="华文中宋" w:eastAsia="华文中宋"/>
          <w:color w:val="auto"/>
        </w:rPr>
        <w:br w:type="page"/>
      </w:r>
    </w:p>
    <w:p>
      <w:pPr>
        <w:pStyle w:val="3"/>
        <w:snapToGrid w:val="0"/>
        <w:spacing w:before="0" w:after="0"/>
        <w:jc w:val="center"/>
        <w:rPr>
          <w:rFonts w:ascii="华文中宋" w:hAnsi="华文中宋" w:eastAsia="华文中宋"/>
          <w:color w:val="auto"/>
        </w:rPr>
      </w:pPr>
      <w:r>
        <w:rPr>
          <w:rFonts w:hint="eastAsia" w:ascii="华文中宋" w:hAnsi="华文中宋" w:eastAsia="华文中宋"/>
          <w:color w:val="auto"/>
        </w:rPr>
        <w:t>第四章 合同主要条款</w:t>
      </w:r>
      <w:bookmarkEnd w:id="128"/>
    </w:p>
    <w:p>
      <w:pPr>
        <w:spacing w:line="360" w:lineRule="auto"/>
        <w:jc w:val="center"/>
        <w:rPr>
          <w:rFonts w:ascii="黑体" w:hAnsi="黑体" w:eastAsia="黑体" w:cs="黑体"/>
          <w:b/>
          <w:spacing w:val="-6"/>
          <w:kern w:val="0"/>
          <w:sz w:val="36"/>
          <w:szCs w:val="36"/>
        </w:rPr>
      </w:pPr>
      <w:r>
        <w:rPr>
          <w:rFonts w:hint="eastAsia" w:ascii="华文中宋" w:hAnsi="华文中宋" w:eastAsia="华文中宋" w:cs="华文中宋"/>
          <w:szCs w:val="36"/>
        </w:rPr>
        <w:tab/>
      </w:r>
      <w:r>
        <w:rPr>
          <w:rFonts w:hint="eastAsia" w:ascii="黑体" w:hAnsi="黑体" w:eastAsia="黑体" w:cs="黑体"/>
          <w:b/>
          <w:spacing w:val="-6"/>
          <w:kern w:val="0"/>
          <w:sz w:val="36"/>
          <w:szCs w:val="36"/>
        </w:rPr>
        <w:t>皖南医学院脑科学研究院临床研究部办公室装修工程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jc w:val="center"/>
        <w:rPr>
          <w:rFonts w:hint="eastAsia" w:ascii="黑体" w:hAnsi="黑体" w:eastAsia="黑体" w:cs="Times New Roman"/>
          <w:sz w:val="28"/>
          <w:szCs w:val="28"/>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建设单位（以下简称“甲方”）：</w:t>
      </w:r>
      <w:r>
        <w:rPr>
          <w:rFonts w:hint="eastAsia" w:ascii="仿宋" w:hAnsi="仿宋" w:eastAsia="仿宋" w:cs="仿宋"/>
          <w:sz w:val="24"/>
          <w:szCs w:val="24"/>
          <w:u w:val="single"/>
        </w:rPr>
        <w:t>皖南医学院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施工单位（以下简称“乙方”）：</w:t>
      </w:r>
      <w:r>
        <w:rPr>
          <w:rFonts w:hint="eastAsia" w:ascii="仿宋" w:hAnsi="仿宋" w:eastAsia="仿宋" w:cs="仿宋"/>
          <w:sz w:val="24"/>
          <w:szCs w:val="24"/>
          <w:u w:val="single"/>
        </w:rPr>
        <w:t xml:space="preserve">          </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根据我国合同、建筑相关法律规定，遵循平等、自愿、公平和诚实信用的原则，双方就</w:t>
      </w:r>
      <w:r>
        <w:rPr>
          <w:rFonts w:hint="eastAsia" w:ascii="仿宋" w:hAnsi="仿宋" w:eastAsia="仿宋" w:cs="仿宋"/>
          <w:sz w:val="24"/>
          <w:szCs w:val="24"/>
          <w:u w:val="single"/>
        </w:rPr>
        <w:t>皖南医学院脑科学研究院临床研究部办公室装修</w:t>
      </w:r>
      <w:r>
        <w:rPr>
          <w:rFonts w:hint="eastAsia" w:ascii="仿宋" w:hAnsi="仿宋" w:eastAsia="仿宋" w:cs="仿宋"/>
          <w:sz w:val="24"/>
          <w:szCs w:val="24"/>
        </w:rPr>
        <w:t>工程施工及有关事项协商一致，共同签订本合同。</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一、工程概况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1.工程名称：</w:t>
      </w:r>
      <w:r>
        <w:rPr>
          <w:rFonts w:hint="eastAsia" w:ascii="仿宋" w:hAnsi="仿宋" w:eastAsia="仿宋" w:cs="仿宋"/>
          <w:spacing w:val="-6"/>
          <w:sz w:val="24"/>
          <w:szCs w:val="24"/>
          <w:u w:val="single"/>
        </w:rPr>
        <w:t>皖南医学院脑科学研究院临床研究部办公室装修工程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2.工程地点：</w:t>
      </w:r>
      <w:r>
        <w:rPr>
          <w:rFonts w:hint="eastAsia" w:ascii="仿宋" w:hAnsi="仿宋" w:eastAsia="仿宋" w:cs="仿宋"/>
          <w:sz w:val="24"/>
          <w:szCs w:val="24"/>
          <w:u w:val="single"/>
        </w:rPr>
        <w:t>皖南医学院滨江校区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3.合同价：</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元）,其中含暂列金额</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4.合同工期：工期</w:t>
      </w:r>
      <w:r>
        <w:rPr>
          <w:rFonts w:hint="eastAsia" w:ascii="仿宋" w:hAnsi="仿宋" w:eastAsia="仿宋" w:cs="仿宋"/>
          <w:sz w:val="24"/>
          <w:szCs w:val="24"/>
          <w:u w:val="single"/>
        </w:rPr>
        <w:t>25</w:t>
      </w:r>
      <w:r>
        <w:rPr>
          <w:rFonts w:hint="eastAsia" w:ascii="仿宋" w:hAnsi="仿宋" w:eastAsia="仿宋" w:cs="仿宋"/>
          <w:sz w:val="24"/>
          <w:szCs w:val="24"/>
        </w:rPr>
        <w:t>日历天，从甲方书面通知进场施工时间开始计算。因乙方原因推迟的按</w:t>
      </w:r>
      <w:r>
        <w:rPr>
          <w:rFonts w:hint="eastAsia" w:ascii="仿宋" w:hAnsi="仿宋" w:eastAsia="仿宋" w:cs="仿宋"/>
          <w:sz w:val="24"/>
          <w:szCs w:val="24"/>
          <w:u w:val="single"/>
        </w:rPr>
        <w:t>300</w:t>
      </w:r>
      <w:r>
        <w:rPr>
          <w:rFonts w:hint="eastAsia" w:ascii="仿宋" w:hAnsi="仿宋" w:eastAsia="仿宋" w:cs="仿宋"/>
          <w:sz w:val="24"/>
          <w:szCs w:val="24"/>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二、合同文件构成</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本合同与下列文件一起构成合同文件：</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1.中标通知书；</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2.采购文件； </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3.投标文件；</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4.图纸；</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5.已标价工程量清单或预算书；</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6.技术要求；</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6.其他合同文件。</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三、工程量结算方式和依据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1.本工程的计价依据是中标通知书、招标技术要求（图纸、工程量清单、工程控制价、隐蔽工程验收记录单、变更签证单）及建设单位书面通知等。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2.本合同履约保证金为</w:t>
      </w:r>
      <w:r>
        <w:rPr>
          <w:rFonts w:hint="eastAsia" w:ascii="仿宋" w:hAnsi="仿宋" w:eastAsia="仿宋" w:cs="仿宋"/>
          <w:sz w:val="24"/>
          <w:szCs w:val="24"/>
          <w:u w:val="single"/>
        </w:rPr>
        <w:t xml:space="preserve">    </w:t>
      </w:r>
      <w:r>
        <w:rPr>
          <w:rFonts w:hint="eastAsia" w:ascii="仿宋" w:hAnsi="仿宋" w:eastAsia="仿宋" w:cs="仿宋"/>
          <w:sz w:val="24"/>
          <w:szCs w:val="24"/>
        </w:rPr>
        <w:t>元。施工结束并经过验收合格后，凭相关凭证（汇款凭证、维修改造工程验收表等）无息退还。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须认真复核工程量清单，如发现工程量清单有漏量、漏项的，应在开工后10日内提出，在规定时间后任何以施工图不详、工程量清单有误等理由提出的索赔要求将不予受理，视为投标报价的优惠，即乙方完全理解并同意施工图纸及工程量清单（含技术要求），施工时须按照施工图纸及工程量清单（含技术要求）执行，施工完成后，必须满足验收规范和使用功能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4.设计变更和甲方提出的变更调整部分，原则上参照投标文件中单价计算。投标文件中没有相同类型的子目，结算时执行</w:t>
      </w:r>
      <w:r>
        <w:rPr>
          <w:rFonts w:hint="eastAsia" w:ascii="仿宋" w:hAnsi="仿宋" w:eastAsia="仿宋" w:cs="仿宋"/>
          <w:spacing w:val="20"/>
          <w:sz w:val="24"/>
          <w:szCs w:val="24"/>
        </w:rPr>
        <w:t>2018版《安徽省建设工程工程量清单计价办法》、2018版《安徽省建设工程工程计价定额》及其配套的费用定额、《建设工程工程量清单计价规范》（GB50500-2013）</w:t>
      </w:r>
      <w:r>
        <w:rPr>
          <w:rFonts w:hint="eastAsia" w:ascii="仿宋" w:hAnsi="仿宋" w:eastAsia="仿宋" w:cs="仿宋"/>
          <w:sz w:val="24"/>
          <w:szCs w:val="24"/>
        </w:rPr>
        <w:t>，相关优惠率同投标优惠率一致；投标文件中没有的主材参考《芜湖工程造价信息》当月信息价计算，信息价中没有的材料结合市场定价。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5.所有变更签证必须按照皖南医学院有关管理文件办理。具体参照《皖南医学院基建维修工程管理办法（修订）》</w:t>
      </w:r>
      <w:bookmarkStart w:id="129" w:name="文号"/>
      <w:r>
        <w:rPr>
          <w:rFonts w:hint="eastAsia" w:ascii="仿宋" w:hAnsi="仿宋" w:eastAsia="仿宋" w:cs="仿宋"/>
          <w:sz w:val="24"/>
          <w:szCs w:val="24"/>
        </w:rPr>
        <w:t>（校政〔2020〕118号</w:t>
      </w:r>
      <w:bookmarkEnd w:id="129"/>
      <w:r>
        <w:rPr>
          <w:rFonts w:hint="eastAsia" w:ascii="仿宋" w:hAnsi="仿宋" w:eastAsia="仿宋" w:cs="仿宋"/>
          <w:sz w:val="24"/>
          <w:szCs w:val="24"/>
        </w:rPr>
        <w:t>）及《后勤管理处基建维修工程变更签证管理规定（修订）》（后勤〔2022〕002号）文件执行。否则，视为该项变更不涉及合同价款的变更，若发生费用由乙方自行承担。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6.所有合同款支付，乙方须提供正规发票。</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四、付款及审计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1.本工程不支付进度款，工程完工后由甲方组织验收，验收合格后凭乙方提供的发票支付至合同价（不含暂列金额）的</w:t>
      </w:r>
      <w:r>
        <w:rPr>
          <w:rFonts w:hint="eastAsia" w:ascii="仿宋" w:hAnsi="仿宋" w:eastAsia="仿宋" w:cs="仿宋"/>
          <w:sz w:val="24"/>
          <w:szCs w:val="24"/>
          <w:u w:val="single"/>
        </w:rPr>
        <w:t>8</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%；审计完成，乙方先将金额为终审价</w:t>
      </w:r>
      <w:r>
        <w:rPr>
          <w:rFonts w:hint="eastAsia" w:ascii="仿宋" w:hAnsi="仿宋" w:eastAsia="仿宋" w:cs="仿宋"/>
          <w:sz w:val="24"/>
          <w:szCs w:val="24"/>
          <w:u w:val="single"/>
        </w:rPr>
        <w:t>3</w:t>
      </w:r>
      <w:r>
        <w:rPr>
          <w:rFonts w:hint="eastAsia" w:ascii="仿宋" w:hAnsi="仿宋" w:eastAsia="仿宋" w:cs="仿宋"/>
          <w:sz w:val="24"/>
          <w:szCs w:val="24"/>
        </w:rPr>
        <w:t>%的质保金汇入甲方账户，甲方凭发票及质保金汇款凭证付至终审价的100%；质保期满后无质量问题一次性无息退还质保金。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2.工程结算审核时，凡审增部分及审减率超过10%（不含10%）以上部分的审计服务费由乙方承担，在审核机构审核时直接扣除。费率参照皖价服[2007]86号文件规定的执行。</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五、质量保证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1.乙方必须严格按照施工图纸、工程量清单及有关规范施工，工程质量须达到</w:t>
      </w:r>
      <w:r>
        <w:rPr>
          <w:rFonts w:hint="eastAsia" w:ascii="仿宋" w:hAnsi="仿宋" w:eastAsia="仿宋" w:cs="仿宋"/>
          <w:sz w:val="24"/>
          <w:szCs w:val="24"/>
          <w:u w:val="single"/>
        </w:rPr>
        <w:t>合格</w:t>
      </w:r>
      <w:r>
        <w:rPr>
          <w:rFonts w:hint="eastAsia" w:ascii="仿宋" w:hAnsi="仿宋" w:eastAsia="仿宋" w:cs="仿宋"/>
          <w:sz w:val="24"/>
          <w:szCs w:val="24"/>
        </w:rPr>
        <w:t>标准，满足国家和地方现行规范要求。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2.涉及隐蔽工程内容的，乙方应在隐蔽工程覆盖、掩埋或拆除前通知甲方项目负责人会同审计处进行现场勘查、确认，并办理《隐蔽工程验收记录单》，未办理的隐蔽工程涉及的工程量不予认定。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3.所有材料进场前需报甲方项目负责人确认，材料</w:t>
      </w:r>
      <w:r>
        <w:rPr>
          <w:rFonts w:hint="eastAsia" w:ascii="仿宋" w:hAnsi="仿宋" w:eastAsia="仿宋" w:cs="仿宋"/>
          <w:sz w:val="24"/>
          <w:szCs w:val="24"/>
          <w:lang w:val="en-US" w:eastAsia="zh-CN"/>
        </w:rPr>
        <w:t>参考</w:t>
      </w:r>
      <w:r>
        <w:rPr>
          <w:rFonts w:hint="eastAsia" w:ascii="仿宋" w:hAnsi="仿宋" w:eastAsia="仿宋" w:cs="仿宋"/>
          <w:sz w:val="24"/>
          <w:szCs w:val="24"/>
        </w:rPr>
        <w:t>品牌范围及要求如下（未列入的见投标文件）。</w:t>
      </w:r>
    </w:p>
    <w:tbl>
      <w:tblPr>
        <w:tblStyle w:val="2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15"/>
        <w:gridCol w:w="3515"/>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515" w:type="dxa"/>
            <w:vAlign w:val="center"/>
          </w:tcPr>
          <w:p>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材料名称</w:t>
            </w:r>
          </w:p>
        </w:tc>
        <w:tc>
          <w:tcPr>
            <w:tcW w:w="3515" w:type="dxa"/>
            <w:vAlign w:val="center"/>
          </w:tcPr>
          <w:p>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品牌范围</w:t>
            </w:r>
          </w:p>
        </w:tc>
        <w:tc>
          <w:tcPr>
            <w:tcW w:w="2667" w:type="dxa"/>
            <w:vAlign w:val="center"/>
          </w:tcPr>
          <w:p>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1</w:t>
            </w:r>
          </w:p>
        </w:tc>
        <w:tc>
          <w:tcPr>
            <w:tcW w:w="1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涂料</w:t>
            </w:r>
          </w:p>
        </w:tc>
        <w:tc>
          <w:tcPr>
            <w:tcW w:w="3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多乐士、立邦、嘉宝莉</w:t>
            </w:r>
          </w:p>
        </w:tc>
        <w:tc>
          <w:tcPr>
            <w:tcW w:w="2667" w:type="dxa"/>
            <w:vAlign w:val="center"/>
          </w:tcPr>
          <w:p>
            <w:pPr>
              <w:pStyle w:val="67"/>
              <w:spacing w:line="500" w:lineRule="exact"/>
              <w:jc w:val="left"/>
              <w:rPr>
                <w:rFonts w:hint="eastAsia" w:ascii="仿宋" w:hAnsi="仿宋" w:eastAsia="仿宋" w:cs="仿宋"/>
                <w:b w:val="0"/>
                <w:kern w:val="0"/>
                <w:sz w:val="24"/>
                <w:szCs w:val="24"/>
              </w:rPr>
            </w:pPr>
            <w:r>
              <w:rPr>
                <w:rFonts w:hint="eastAsia" w:ascii="仿宋" w:hAnsi="仿宋" w:eastAsia="仿宋" w:cs="仿宋"/>
                <w:b w:val="0"/>
                <w:kern w:val="0"/>
                <w:sz w:val="24"/>
                <w:szCs w:val="24"/>
              </w:rPr>
              <w:t>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2</w:t>
            </w:r>
          </w:p>
        </w:tc>
        <w:tc>
          <w:tcPr>
            <w:tcW w:w="1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灯具</w:t>
            </w:r>
          </w:p>
        </w:tc>
        <w:tc>
          <w:tcPr>
            <w:tcW w:w="3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欧普、雷士（非旗下）、飞利浦</w:t>
            </w:r>
          </w:p>
        </w:tc>
        <w:tc>
          <w:tcPr>
            <w:tcW w:w="2667" w:type="dxa"/>
            <w:vAlign w:val="center"/>
          </w:tcPr>
          <w:p>
            <w:pPr>
              <w:pStyle w:val="67"/>
              <w:spacing w:line="500" w:lineRule="exact"/>
              <w:jc w:val="left"/>
              <w:rPr>
                <w:rFonts w:hint="eastAsia" w:ascii="仿宋" w:hAnsi="仿宋" w:eastAsia="仿宋" w:cs="仿宋"/>
                <w:b w:val="0"/>
                <w:kern w:val="0"/>
                <w:sz w:val="24"/>
                <w:szCs w:val="24"/>
              </w:rPr>
            </w:pPr>
            <w:r>
              <w:rPr>
                <w:rFonts w:hint="eastAsia" w:ascii="仿宋" w:hAnsi="仿宋" w:eastAsia="仿宋" w:cs="仿宋"/>
                <w:b w:val="0"/>
                <w:kern w:val="0"/>
                <w:sz w:val="24"/>
                <w:szCs w:val="24"/>
              </w:rPr>
              <w:t>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3</w:t>
            </w:r>
          </w:p>
        </w:tc>
        <w:tc>
          <w:tcPr>
            <w:tcW w:w="1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铝板吊顶</w:t>
            </w:r>
          </w:p>
        </w:tc>
        <w:tc>
          <w:tcPr>
            <w:tcW w:w="3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奥普、奥华、上海吉祥</w:t>
            </w:r>
          </w:p>
        </w:tc>
        <w:tc>
          <w:tcPr>
            <w:tcW w:w="2667" w:type="dxa"/>
            <w:vAlign w:val="center"/>
          </w:tcPr>
          <w:p>
            <w:pPr>
              <w:pStyle w:val="64"/>
              <w:widowControl/>
              <w:spacing w:line="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厚度不小于0.8mm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4</w:t>
            </w:r>
          </w:p>
        </w:tc>
        <w:tc>
          <w:tcPr>
            <w:tcW w:w="1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石膏板</w:t>
            </w:r>
          </w:p>
        </w:tc>
        <w:tc>
          <w:tcPr>
            <w:tcW w:w="3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可耐福、龙牌、圣戈班杰科</w:t>
            </w:r>
          </w:p>
        </w:tc>
        <w:tc>
          <w:tcPr>
            <w:tcW w:w="2667" w:type="dxa"/>
            <w:vAlign w:val="center"/>
          </w:tcPr>
          <w:p>
            <w:pPr>
              <w:pStyle w:val="64"/>
              <w:widowControl/>
              <w:spacing w:line="0" w:lineRule="atLeast"/>
              <w:jc w:val="left"/>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5</w:t>
            </w:r>
          </w:p>
        </w:tc>
        <w:tc>
          <w:tcPr>
            <w:tcW w:w="1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电器元件</w:t>
            </w:r>
          </w:p>
        </w:tc>
        <w:tc>
          <w:tcPr>
            <w:tcW w:w="3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ABB、施耐德、西门子</w:t>
            </w:r>
          </w:p>
        </w:tc>
        <w:tc>
          <w:tcPr>
            <w:tcW w:w="2667" w:type="dxa"/>
            <w:vAlign w:val="center"/>
          </w:tcPr>
          <w:p>
            <w:pPr>
              <w:pStyle w:val="64"/>
              <w:widowControl/>
              <w:spacing w:line="0" w:lineRule="atLeast"/>
              <w:jc w:val="left"/>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6</w:t>
            </w:r>
          </w:p>
        </w:tc>
        <w:tc>
          <w:tcPr>
            <w:tcW w:w="1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开关、插座</w:t>
            </w:r>
          </w:p>
        </w:tc>
        <w:tc>
          <w:tcPr>
            <w:tcW w:w="3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鸿雁、公牛、罗格朗</w:t>
            </w:r>
          </w:p>
        </w:tc>
        <w:tc>
          <w:tcPr>
            <w:tcW w:w="2667" w:type="dxa"/>
            <w:vAlign w:val="center"/>
          </w:tcPr>
          <w:p>
            <w:pPr>
              <w:pStyle w:val="67"/>
              <w:spacing w:line="500" w:lineRule="exact"/>
              <w:jc w:val="left"/>
              <w:rPr>
                <w:rFonts w:hint="eastAsia" w:ascii="仿宋" w:hAnsi="仿宋" w:eastAsia="仿宋" w:cs="仿宋"/>
                <w:b w:val="0"/>
                <w:kern w:val="0"/>
                <w:sz w:val="24"/>
                <w:szCs w:val="24"/>
              </w:rPr>
            </w:pPr>
            <w:r>
              <w:rPr>
                <w:rFonts w:hint="eastAsia" w:ascii="仿宋" w:hAnsi="仿宋" w:eastAsia="仿宋" w:cs="仿宋"/>
                <w:b w:val="0"/>
                <w:kern w:val="0"/>
                <w:sz w:val="24"/>
                <w:szCs w:val="24"/>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7</w:t>
            </w:r>
          </w:p>
        </w:tc>
        <w:tc>
          <w:tcPr>
            <w:tcW w:w="1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电线、电缆</w:t>
            </w:r>
          </w:p>
        </w:tc>
        <w:tc>
          <w:tcPr>
            <w:tcW w:w="3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鑫鸿、绿宝、江苏上上</w:t>
            </w:r>
          </w:p>
        </w:tc>
        <w:tc>
          <w:tcPr>
            <w:tcW w:w="2667" w:type="dxa"/>
            <w:vAlign w:val="center"/>
          </w:tcPr>
          <w:p>
            <w:pPr>
              <w:pStyle w:val="67"/>
              <w:spacing w:line="500" w:lineRule="exact"/>
              <w:jc w:val="left"/>
              <w:rPr>
                <w:rFonts w:hint="eastAsia" w:ascii="仿宋" w:hAnsi="仿宋" w:eastAsia="仿宋" w:cs="仿宋"/>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8</w:t>
            </w:r>
          </w:p>
        </w:tc>
        <w:tc>
          <w:tcPr>
            <w:tcW w:w="1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电话及网络线</w:t>
            </w:r>
          </w:p>
        </w:tc>
        <w:tc>
          <w:tcPr>
            <w:tcW w:w="3515"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普天天纪、康普、普利驰</w:t>
            </w:r>
          </w:p>
        </w:tc>
        <w:tc>
          <w:tcPr>
            <w:tcW w:w="2667" w:type="dxa"/>
            <w:vAlign w:val="center"/>
          </w:tcPr>
          <w:p>
            <w:pPr>
              <w:pStyle w:val="67"/>
              <w:spacing w:line="500" w:lineRule="exact"/>
              <w:jc w:val="left"/>
              <w:rPr>
                <w:rFonts w:hint="eastAsia" w:ascii="仿宋" w:hAnsi="仿宋" w:eastAsia="仿宋" w:cs="仿宋"/>
                <w:b w:val="0"/>
                <w:kern w:val="0"/>
                <w:sz w:val="24"/>
                <w:szCs w:val="24"/>
              </w:rPr>
            </w:pPr>
            <w:r>
              <w:rPr>
                <w:rFonts w:hint="eastAsia" w:ascii="仿宋" w:hAnsi="仿宋" w:eastAsia="仿宋" w:cs="仿宋"/>
                <w:b w:val="0"/>
                <w:kern w:val="0"/>
                <w:sz w:val="24"/>
                <w:szCs w:val="24"/>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9</w:t>
            </w:r>
          </w:p>
        </w:tc>
        <w:tc>
          <w:tcPr>
            <w:tcW w:w="1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强、弱电管</w:t>
            </w:r>
          </w:p>
        </w:tc>
        <w:tc>
          <w:tcPr>
            <w:tcW w:w="3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伟星、金德、华亚</w:t>
            </w:r>
          </w:p>
        </w:tc>
        <w:tc>
          <w:tcPr>
            <w:tcW w:w="2667" w:type="dxa"/>
            <w:vAlign w:val="center"/>
          </w:tcPr>
          <w:p>
            <w:pPr>
              <w:pStyle w:val="64"/>
              <w:widowControl/>
              <w:spacing w:line="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阻燃型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1" w:type="dxa"/>
            <w:vAlign w:val="center"/>
          </w:tcPr>
          <w:p>
            <w:pPr>
              <w:pStyle w:val="67"/>
              <w:spacing w:line="500" w:lineRule="exact"/>
              <w:rPr>
                <w:rFonts w:hint="eastAsia" w:ascii="仿宋" w:hAnsi="仿宋" w:eastAsia="仿宋" w:cs="仿宋"/>
                <w:b w:val="0"/>
                <w:kern w:val="0"/>
                <w:sz w:val="24"/>
                <w:szCs w:val="24"/>
              </w:rPr>
            </w:pPr>
            <w:r>
              <w:rPr>
                <w:rFonts w:hint="eastAsia" w:ascii="仿宋" w:hAnsi="仿宋" w:eastAsia="仿宋" w:cs="仿宋"/>
                <w:b w:val="0"/>
                <w:kern w:val="0"/>
                <w:sz w:val="24"/>
                <w:szCs w:val="24"/>
              </w:rPr>
              <w:t>10</w:t>
            </w:r>
          </w:p>
        </w:tc>
        <w:tc>
          <w:tcPr>
            <w:tcW w:w="1515" w:type="dxa"/>
            <w:vAlign w:val="center"/>
          </w:tcPr>
          <w:p>
            <w:pPr>
              <w:pStyle w:val="64"/>
              <w:widowControl/>
              <w:spacing w:line="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窗帘</w:t>
            </w:r>
          </w:p>
        </w:tc>
        <w:tc>
          <w:tcPr>
            <w:tcW w:w="3515" w:type="dxa"/>
            <w:vAlign w:val="center"/>
          </w:tcPr>
          <w:p>
            <w:pPr>
              <w:pStyle w:val="64"/>
              <w:widowControl/>
              <w:spacing w:line="0" w:lineRule="atLeast"/>
              <w:jc w:val="center"/>
              <w:textAlignment w:val="center"/>
              <w:rPr>
                <w:rFonts w:hint="eastAsia" w:ascii="仿宋" w:hAnsi="仿宋" w:eastAsia="仿宋" w:cs="仿宋"/>
                <w:sz w:val="24"/>
                <w:szCs w:val="24"/>
              </w:rPr>
            </w:pPr>
          </w:p>
        </w:tc>
        <w:tc>
          <w:tcPr>
            <w:tcW w:w="2667" w:type="dxa"/>
            <w:vAlign w:val="center"/>
          </w:tcPr>
          <w:p>
            <w:pPr>
              <w:pStyle w:val="64"/>
              <w:widowControl/>
              <w:spacing w:line="0" w:lineRule="atLeast"/>
              <w:jc w:val="left"/>
              <w:textAlignment w:val="center"/>
              <w:rPr>
                <w:rFonts w:hint="eastAsia" w:ascii="仿宋" w:hAnsi="仿宋" w:eastAsia="仿宋" w:cs="仿宋"/>
                <w:sz w:val="24"/>
                <w:szCs w:val="24"/>
              </w:rPr>
            </w:pPr>
            <w:r>
              <w:rPr>
                <w:rFonts w:hint="eastAsia" w:ascii="仿宋" w:hAnsi="仿宋" w:eastAsia="仿宋" w:cs="仿宋"/>
                <w:bCs/>
                <w:sz w:val="24"/>
                <w:szCs w:val="24"/>
              </w:rPr>
              <w:t>窗帘棉含量不低于40%、遮光率不低于95%、褶皱系数不低于2.0；罗马杆壁厚不小于2.0mm</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承包人所用材料应选择所列参考品牌或技术指标性能不低于参考品牌，并满足其他要求。采购的所有设备、材料进场时要有合格证、检测报告等材料，水电材料需要提供3C认证材料，并符合国家规范要求。所有设备、材料提前送样，且由发包人代表确认后方可进场，否则不支付相应材料的工程款</w:t>
      </w:r>
      <w:r>
        <w:rPr>
          <w:rFonts w:hint="eastAsia" w:ascii="仿宋" w:hAnsi="仿宋" w:eastAsia="仿宋" w:cs="仿宋"/>
          <w:sz w:val="24"/>
          <w:szCs w:val="24"/>
          <w:lang w:val="en-US" w:eastAsia="zh-CN"/>
        </w:rPr>
        <w:t>；发包人保留在承包人进场后施工期间，对承包人进场使用的任何材料因不满足工程质量和功能使用要求，而要求承包人即行调换的权利</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4.本工程质保期</w:t>
      </w:r>
      <w:r>
        <w:rPr>
          <w:rFonts w:hint="eastAsia" w:ascii="仿宋" w:hAnsi="仿宋" w:eastAsia="仿宋" w:cs="仿宋"/>
          <w:sz w:val="24"/>
          <w:szCs w:val="24"/>
          <w:u w:val="single"/>
        </w:rPr>
        <w:t>12</w:t>
      </w:r>
      <w:r>
        <w:rPr>
          <w:rFonts w:hint="eastAsia" w:ascii="仿宋" w:hAnsi="仿宋" w:eastAsia="仿宋" w:cs="仿宋"/>
          <w:sz w:val="24"/>
          <w:szCs w:val="24"/>
        </w:rPr>
        <w:t>个月，质保期自工程竣工验收合格之日起计算。</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六、安全管理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1.乙方必须严格按照《建设工程安全生产管理条例》等法律法规求，安全生产，文明施工。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2.乙方必须完善自身质量安全管理体系和文明施工措施，杜绝野蛮施工和安全事故发生。若发生质量或安全事故，由乙方承担一切责任，造成甲方损失的按实赔偿，并承担相应法律责任。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3.工程材料、设备、构配件及已完工程在竣工验收交付前均由乙方负责看护，丢失、被盗、损坏等责任均由乙方承担。</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七、现场岗位管理与责任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1.甲方需指派专人和乙方联系，并告知联系人联系方式。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2.甲方有义务协调、配合乙方人员进行现场施工。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3.乙方项目经理或授权委托人</w:t>
      </w:r>
      <w:r>
        <w:rPr>
          <w:rFonts w:hint="eastAsia" w:ascii="仿宋" w:hAnsi="仿宋" w:eastAsia="仿宋" w:cs="仿宋"/>
          <w:sz w:val="24"/>
          <w:szCs w:val="24"/>
          <w:u w:val="single"/>
        </w:rPr>
        <w:t xml:space="preserve">    </w:t>
      </w:r>
      <w:r>
        <w:rPr>
          <w:rFonts w:hint="eastAsia" w:ascii="仿宋" w:hAnsi="仿宋" w:eastAsia="仿宋" w:cs="仿宋"/>
          <w:sz w:val="24"/>
          <w:szCs w:val="24"/>
        </w:rPr>
        <w:t>为现场负责人（联系方式：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），是甲方认可的现场负责人，该同志必须常驻现场，负责处理乙方施工过程中发生的一切事项；甲方指定后勤管理处</w:t>
      </w:r>
      <w:r>
        <w:rPr>
          <w:rFonts w:hint="eastAsia" w:ascii="仿宋" w:hAnsi="仿宋" w:eastAsia="仿宋" w:cs="仿宋"/>
          <w:sz w:val="24"/>
          <w:szCs w:val="24"/>
          <w:u w:val="single"/>
        </w:rPr>
        <w:t>杨哲锋</w:t>
      </w:r>
      <w:r>
        <w:rPr>
          <w:rFonts w:hint="eastAsia" w:ascii="仿宋" w:hAnsi="仿宋" w:eastAsia="仿宋" w:cs="仿宋"/>
          <w:sz w:val="24"/>
          <w:szCs w:val="24"/>
        </w:rPr>
        <w:t>（联系方式：</w:t>
      </w:r>
      <w:r>
        <w:rPr>
          <w:rFonts w:hint="eastAsia" w:ascii="仿宋" w:hAnsi="仿宋" w:eastAsia="仿宋" w:cs="仿宋"/>
          <w:sz w:val="24"/>
          <w:szCs w:val="24"/>
          <w:u w:val="single"/>
        </w:rPr>
        <w:t>0553-3932657</w:t>
      </w:r>
      <w:r>
        <w:rPr>
          <w:rFonts w:hint="eastAsia" w:ascii="仿宋" w:hAnsi="仿宋" w:eastAsia="仿宋" w:cs="仿宋"/>
          <w:sz w:val="24"/>
          <w:szCs w:val="24"/>
        </w:rPr>
        <w:t>）为该项目的现场负责人，负责项目管理、结算办理及工程款支付等相关事宜。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5.在施工期间，乙方应每天清理施工现场，垃圾堆放有序并及时（每天）装袋运至校外。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6.施工用水用电装表计量，电费按1.00元/度计取，水费按3.00元/吨计取，按照实际用量按实计费后缴纳至学校账户，无计量或没有缴纳水电费的按照工程结算终审价的千分之七在结算审计时予以扣除。</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八、工程验收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1.工程完工后及时报学校组织验收，验收合格后办理工程结算。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验收时乙方须提供详细的资料清单，验收合格后28日内提交两套工程竣工结算资料（结算书、招投标文件、中标通知书、施工合同、隐蔽工程验收记录单、变更签证单、材料品牌确认表、合格证、维修改造工程验收表、竣工图、水电费缴纳收据等），如延期提交，在结算审计时按300元/天进行扣款，6000元封顶。经甲方发函警告后7日内仍未提交的，将其录入学校黑名单库，3年内禁止参加学校任何招投标活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5.对于重复出现三次及以上的问题，甲方将发函警告乙方，将其录入学校黑名单库，3年内禁止参加学校任何招投标活动。</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九、其他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1.本合同未尽事宜由双方协商解决，如协商不成，双方同意将本合同引起的争议提交工程所在地人民法院诉讼解决。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2.本合同未尽事宜，遵照合同、建筑等法律法规有关条文执行。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本协议壹式</w:t>
      </w:r>
      <w:r>
        <w:rPr>
          <w:rFonts w:hint="eastAsia" w:ascii="仿宋" w:hAnsi="仿宋" w:eastAsia="仿宋" w:cs="仿宋"/>
          <w:sz w:val="24"/>
          <w:szCs w:val="24"/>
          <w:u w:val="single"/>
        </w:rPr>
        <w:t>捌</w:t>
      </w:r>
      <w:r>
        <w:rPr>
          <w:rFonts w:hint="eastAsia" w:ascii="仿宋" w:hAnsi="仿宋" w:eastAsia="仿宋" w:cs="仿宋"/>
          <w:sz w:val="24"/>
          <w:szCs w:val="24"/>
        </w:rPr>
        <w:t>份，均具有同等法律效力，甲方执</w:t>
      </w:r>
      <w:r>
        <w:rPr>
          <w:rFonts w:hint="eastAsia" w:ascii="仿宋" w:hAnsi="仿宋" w:eastAsia="仿宋" w:cs="仿宋"/>
          <w:sz w:val="24"/>
          <w:szCs w:val="24"/>
          <w:u w:val="single"/>
        </w:rPr>
        <w:t>伍</w:t>
      </w:r>
      <w:r>
        <w:rPr>
          <w:rFonts w:hint="eastAsia" w:ascii="仿宋" w:hAnsi="仿宋" w:eastAsia="仿宋" w:cs="仿宋"/>
          <w:sz w:val="24"/>
          <w:szCs w:val="24"/>
        </w:rPr>
        <w:t>份，乙方执</w:t>
      </w:r>
      <w:r>
        <w:rPr>
          <w:rFonts w:hint="eastAsia" w:ascii="仿宋" w:hAnsi="仿宋" w:eastAsia="仿宋" w:cs="仿宋"/>
          <w:sz w:val="24"/>
          <w:szCs w:val="24"/>
          <w:u w:val="single"/>
        </w:rPr>
        <w:t>叁</w:t>
      </w:r>
      <w:r>
        <w:rPr>
          <w:rFonts w:hint="eastAsia" w:ascii="仿宋" w:hAnsi="仿宋" w:eastAsia="仿宋" w:cs="仿宋"/>
          <w:sz w:val="24"/>
          <w:szCs w:val="24"/>
        </w:rPr>
        <w:t>份，甲、乙双方法定代表人或其委托代理人签字盖章后生效。</w:t>
      </w:r>
    </w:p>
    <w:p>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十、合同订立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spacing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2.合同订立地点：皖南医学院滨江校区。</w:t>
      </w: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z w:val="24"/>
                <w:szCs w:val="24"/>
              </w:rPr>
              <w:br w:type="page"/>
            </w:r>
            <w:r>
              <w:rPr>
                <w:rFonts w:hint="eastAsia" w:ascii="仿宋" w:hAnsi="仿宋" w:eastAsia="仿宋" w:cs="仿宋"/>
                <w:spacing w:val="-6"/>
                <w:sz w:val="24"/>
                <w:szCs w:val="24"/>
              </w:rPr>
              <w:t>甲方：</w:t>
            </w:r>
          </w:p>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（公章）</w:t>
            </w:r>
          </w:p>
          <w:p>
            <w:pPr>
              <w:spacing w:line="360" w:lineRule="auto"/>
              <w:rPr>
                <w:rFonts w:hint="eastAsia" w:ascii="仿宋" w:hAnsi="仿宋" w:eastAsia="仿宋" w:cs="仿宋"/>
                <w:spacing w:val="-6"/>
                <w:sz w:val="24"/>
                <w:szCs w:val="24"/>
              </w:rPr>
            </w:pPr>
          </w:p>
          <w:p>
            <w:pPr>
              <w:spacing w:line="360" w:lineRule="auto"/>
              <w:rPr>
                <w:rFonts w:hint="eastAsia" w:ascii="仿宋" w:hAnsi="仿宋" w:eastAsia="仿宋" w:cs="仿宋"/>
                <w:spacing w:val="-6"/>
                <w:sz w:val="24"/>
                <w:szCs w:val="24"/>
              </w:rPr>
            </w:pP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乙方：</w:t>
            </w:r>
          </w:p>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（公章）</w:t>
            </w:r>
          </w:p>
          <w:p>
            <w:pPr>
              <w:spacing w:line="360" w:lineRule="auto"/>
              <w:rPr>
                <w:rFonts w:hint="eastAsia" w:ascii="仿宋" w:hAnsi="仿宋" w:eastAsia="仿宋" w:cs="仿宋"/>
                <w:spacing w:val="-6"/>
                <w:sz w:val="24"/>
                <w:szCs w:val="24"/>
              </w:rPr>
            </w:pPr>
          </w:p>
          <w:p>
            <w:pPr>
              <w:spacing w:line="360" w:lineRule="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法定代表人或其委托代理人：</w:t>
            </w:r>
          </w:p>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（签字）</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法定代表人或其委托代理人：</w:t>
            </w:r>
          </w:p>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地址：芜湖市弋江区文昌西路22号</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邮编：241002</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电话：0553-3932598</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电话：</w:t>
            </w:r>
            <w:r>
              <w:rPr>
                <w:rFonts w:hint="eastAsia" w:ascii="仿宋" w:hAnsi="仿宋" w:eastAsia="仿宋" w:cs="仿宋"/>
                <w:spacing w:val="-6"/>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传真：</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开户银行：中国建设银行芜湖市分行中山路支行</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帐号：34001672208050139762</w:t>
            </w:r>
          </w:p>
        </w:tc>
        <w:tc>
          <w:tcPr>
            <w:tcW w:w="4680" w:type="dxa"/>
            <w:vAlign w:val="center"/>
          </w:tcPr>
          <w:p>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帐号：</w:t>
            </w:r>
          </w:p>
        </w:tc>
      </w:tr>
    </w:tbl>
    <w:p>
      <w:pPr>
        <w:spacing w:line="480" w:lineRule="exact"/>
        <w:rPr>
          <w:rFonts w:ascii="仿宋_GB2312" w:hAnsi="仿宋"/>
          <w:sz w:val="24"/>
          <w:szCs w:val="24"/>
        </w:rPr>
      </w:pPr>
    </w:p>
    <w:p>
      <w:pPr>
        <w:spacing w:line="480" w:lineRule="exact"/>
        <w:rPr>
          <w:rFonts w:ascii="仿宋" w:hAnsi="仿宋" w:eastAsia="仿宋"/>
          <w:szCs w:val="28"/>
        </w:rPr>
      </w:pPr>
    </w:p>
    <w:p/>
    <w:p/>
    <w:p>
      <w:pPr>
        <w:pStyle w:val="3"/>
        <w:numPr>
          <w:ilvl w:val="0"/>
          <w:numId w:val="0"/>
        </w:numPr>
        <w:jc w:val="center"/>
        <w:outlineLvl w:val="0"/>
        <w:rPr>
          <w:rFonts w:hint="eastAsia" w:ascii="华文中宋" w:hAnsi="华文中宋" w:eastAsia="华文中宋" w:cs="Times New Roman"/>
          <w:color w:val="auto"/>
          <w:lang w:eastAsia="zh-CN"/>
        </w:rPr>
      </w:pPr>
      <w:bookmarkStart w:id="130" w:name="_Toc57"/>
      <w:r>
        <w:rPr>
          <w:rFonts w:hint="eastAsia" w:ascii="华文中宋" w:hAnsi="华文中宋" w:eastAsia="华文中宋" w:cs="Times New Roman"/>
          <w:color w:val="auto"/>
          <w:lang w:eastAsia="zh-CN"/>
        </w:rPr>
        <w:fldChar w:fldCharType="begin"/>
      </w:r>
      <w:r>
        <w:rPr>
          <w:rFonts w:hint="eastAsia" w:ascii="华文中宋" w:hAnsi="华文中宋" w:eastAsia="华文中宋" w:cs="Times New Roman"/>
          <w:color w:val="auto"/>
          <w:lang w:eastAsia="zh-CN"/>
        </w:rPr>
        <w:instrText xml:space="preserve"> HYPERLINK \l "_Toc68874274" </w:instrText>
      </w:r>
      <w:r>
        <w:rPr>
          <w:rFonts w:hint="eastAsia" w:ascii="华文中宋" w:hAnsi="华文中宋" w:eastAsia="华文中宋" w:cs="Times New Roman"/>
          <w:color w:val="auto"/>
          <w:lang w:eastAsia="zh-CN"/>
        </w:rPr>
        <w:fldChar w:fldCharType="separate"/>
      </w:r>
      <w:r>
        <w:rPr>
          <w:rFonts w:hint="eastAsia" w:ascii="华文中宋" w:hAnsi="华文中宋" w:eastAsia="华文中宋" w:cs="Times New Roman"/>
          <w:color w:val="auto"/>
          <w:lang w:eastAsia="zh-CN"/>
        </w:rPr>
        <w:t>第</w:t>
      </w:r>
      <w:r>
        <w:rPr>
          <w:rFonts w:hint="eastAsia" w:ascii="华文中宋" w:hAnsi="华文中宋" w:eastAsia="华文中宋" w:cs="Times New Roman"/>
          <w:color w:val="auto"/>
          <w:lang w:val="en-US" w:eastAsia="zh-CN"/>
        </w:rPr>
        <w:t>五</w:t>
      </w:r>
      <w:r>
        <w:rPr>
          <w:rFonts w:hint="eastAsia" w:ascii="华文中宋" w:hAnsi="华文中宋" w:eastAsia="华文中宋" w:cs="Times New Roman"/>
          <w:color w:val="auto"/>
          <w:lang w:eastAsia="zh-CN"/>
        </w:rPr>
        <w:t>章  采购项目需求及技术要求</w:t>
      </w:r>
      <w:r>
        <w:rPr>
          <w:rFonts w:hint="eastAsia" w:ascii="华文中宋" w:hAnsi="华文中宋" w:eastAsia="华文中宋" w:cs="Times New Roman"/>
          <w:color w:val="auto"/>
          <w:lang w:eastAsia="zh-CN"/>
        </w:rPr>
        <w:fldChar w:fldCharType="end"/>
      </w:r>
      <w:bookmarkEnd w:id="130"/>
    </w:p>
    <w:p>
      <w:pPr>
        <w:pStyle w:val="68"/>
        <w:widowControl w:val="0"/>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详见“第四章合同主要条款”</w:t>
      </w:r>
      <w:r>
        <w:rPr>
          <w:rFonts w:hint="eastAsia" w:asciiTheme="majorEastAsia" w:hAnsiTheme="majorEastAsia" w:eastAsiaTheme="majorEastAsia"/>
          <w:lang w:val="en-US" w:eastAsia="zh-CN"/>
        </w:rPr>
        <w:br w:type="page"/>
      </w:r>
    </w:p>
    <w:p>
      <w:pPr>
        <w:pStyle w:val="3"/>
        <w:numPr>
          <w:ilvl w:val="0"/>
          <w:numId w:val="0"/>
        </w:numPr>
        <w:jc w:val="center"/>
        <w:rPr>
          <w:rFonts w:hint="eastAsia" w:ascii="华文中宋" w:hAnsi="华文中宋" w:eastAsia="华文中宋" w:cs="华文中宋"/>
          <w:szCs w:val="36"/>
          <w:highlight w:val="yellow"/>
          <w:lang w:eastAsia="zh-CN"/>
        </w:rPr>
      </w:pPr>
      <w:bookmarkStart w:id="131" w:name="_Toc17768"/>
      <w:r>
        <w:rPr>
          <w:rFonts w:hint="eastAsia" w:ascii="华文中宋" w:hAnsi="华文中宋" w:eastAsia="华文中宋"/>
          <w:color w:val="auto"/>
          <w:lang w:val="en-US" w:eastAsia="zh-CN"/>
        </w:rPr>
        <w:t xml:space="preserve">第六章  </w:t>
      </w:r>
      <w:r>
        <w:rPr>
          <w:rFonts w:hint="eastAsia" w:ascii="华文中宋" w:hAnsi="华文中宋" w:eastAsia="华文中宋"/>
          <w:color w:val="auto"/>
          <w:lang w:eastAsia="zh-CN"/>
        </w:rPr>
        <w:t>工程量清单</w:t>
      </w:r>
      <w:bookmarkEnd w:id="131"/>
    </w:p>
    <w:p>
      <w:pPr>
        <w:pStyle w:val="25"/>
        <w:ind w:firstLine="464"/>
        <w:rPr>
          <w:rFonts w:hint="eastAsia" w:hAnsi="宋体" w:cs="宋体"/>
          <w:sz w:val="24"/>
          <w:szCs w:val="24"/>
        </w:rPr>
      </w:pPr>
      <w:r>
        <w:rPr>
          <w:rFonts w:hint="eastAsia" w:hAnsi="宋体" w:cs="宋体"/>
          <w:sz w:val="24"/>
          <w:szCs w:val="24"/>
        </w:rPr>
        <w:t xml:space="preserve">1. 工程量清单说明通则 </w:t>
      </w:r>
    </w:p>
    <w:p>
      <w:pPr>
        <w:pStyle w:val="25"/>
        <w:ind w:firstLine="464"/>
        <w:rPr>
          <w:rFonts w:hint="eastAsia" w:hAnsi="宋体" w:cs="宋体"/>
          <w:sz w:val="24"/>
          <w:szCs w:val="24"/>
        </w:rPr>
      </w:pPr>
      <w:r>
        <w:rPr>
          <w:rFonts w:hint="eastAsia" w:hAnsi="宋体" w:cs="宋体"/>
          <w:sz w:val="24"/>
          <w:szCs w:val="24"/>
        </w:rPr>
        <w:t xml:space="preserve">1.1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 </w:t>
      </w:r>
    </w:p>
    <w:p>
      <w:pPr>
        <w:pStyle w:val="25"/>
        <w:ind w:firstLine="464"/>
        <w:rPr>
          <w:rFonts w:hint="eastAsia" w:hAnsi="宋体" w:cs="宋体"/>
          <w:sz w:val="24"/>
          <w:szCs w:val="24"/>
        </w:rPr>
      </w:pPr>
      <w:r>
        <w:rPr>
          <w:rFonts w:hint="eastAsia" w:hAnsi="宋体" w:cs="宋体"/>
          <w:sz w:val="24"/>
          <w:szCs w:val="24"/>
        </w:rPr>
        <w:t xml:space="preserve">1.2本工程量清单应与采购文件中的供应商须知、通用合同条款、专用合同条款、技术标准和要求及图纸等一起阅读和理解。 </w:t>
      </w:r>
    </w:p>
    <w:p>
      <w:pPr>
        <w:pStyle w:val="25"/>
        <w:ind w:firstLine="464"/>
        <w:rPr>
          <w:rFonts w:hint="eastAsia" w:hAnsi="宋体" w:cs="宋体"/>
          <w:sz w:val="24"/>
          <w:szCs w:val="24"/>
        </w:rPr>
      </w:pPr>
      <w:r>
        <w:rPr>
          <w:rFonts w:hint="eastAsia" w:hAnsi="宋体" w:cs="宋体"/>
          <w:sz w:val="24"/>
          <w:szCs w:val="24"/>
        </w:rPr>
        <w:t xml:space="preserve">1.3本工程量清单仅是投标报价的共同基础，实际工程计量和工程价款的支付应遵循合同条款的约定。 </w:t>
      </w:r>
    </w:p>
    <w:p>
      <w:pPr>
        <w:pStyle w:val="25"/>
        <w:ind w:firstLine="464"/>
        <w:rPr>
          <w:rFonts w:hint="eastAsia" w:hAnsi="宋体" w:cs="宋体"/>
          <w:sz w:val="24"/>
          <w:szCs w:val="24"/>
        </w:rPr>
      </w:pPr>
      <w:r>
        <w:rPr>
          <w:rFonts w:hint="eastAsia" w:hAnsi="宋体" w:cs="宋体"/>
          <w:sz w:val="24"/>
          <w:szCs w:val="24"/>
        </w:rPr>
        <w:t xml:space="preserve">2. 投标报价说明通则 </w:t>
      </w:r>
    </w:p>
    <w:p>
      <w:pPr>
        <w:pStyle w:val="25"/>
        <w:ind w:firstLine="464"/>
        <w:rPr>
          <w:rFonts w:hint="eastAsia" w:hAnsi="宋体" w:cs="宋体"/>
          <w:sz w:val="24"/>
          <w:szCs w:val="24"/>
        </w:rPr>
      </w:pPr>
      <w:r>
        <w:rPr>
          <w:rFonts w:hint="eastAsia" w:hAnsi="宋体" w:cs="宋体"/>
          <w:sz w:val="24"/>
          <w:szCs w:val="24"/>
        </w:rPr>
        <w:t xml:space="preserve">2.1工程量清单中的每一子目必须填入单价或价格，且只允许有一个报价。 </w:t>
      </w:r>
    </w:p>
    <w:p>
      <w:pPr>
        <w:pStyle w:val="25"/>
        <w:ind w:firstLine="464"/>
        <w:rPr>
          <w:rFonts w:hint="eastAsia" w:hAnsi="宋体" w:cs="宋体"/>
          <w:sz w:val="24"/>
          <w:szCs w:val="24"/>
        </w:rPr>
      </w:pPr>
      <w:r>
        <w:rPr>
          <w:rFonts w:hint="eastAsia" w:hAnsi="宋体" w:cs="宋体"/>
          <w:sz w:val="24"/>
          <w:szCs w:val="24"/>
        </w:rPr>
        <w:t xml:space="preserve">2.2工程量清单中标价的单价或金额，应包括所需人工费、施工机械使用费、材料费、其他（运杂费、质检费、安装费、缺陷修复费、保险费，以及合同明示或暗示的风险、责任和义务等）费，以及管理费、利润、税金等，并考虑风险因素。 </w:t>
      </w:r>
    </w:p>
    <w:p>
      <w:pPr>
        <w:pStyle w:val="25"/>
        <w:ind w:firstLine="464"/>
        <w:rPr>
          <w:rFonts w:hint="eastAsia" w:hAnsi="宋体" w:cs="宋体"/>
          <w:sz w:val="24"/>
          <w:szCs w:val="24"/>
        </w:rPr>
      </w:pPr>
      <w:r>
        <w:rPr>
          <w:rFonts w:hint="eastAsia" w:hAnsi="宋体" w:cs="宋体"/>
          <w:sz w:val="24"/>
          <w:szCs w:val="24"/>
        </w:rPr>
        <w:t xml:space="preserve">2.3工程量清单中供应商没有填入单价或价格的子目，其费用视为已分摊在工程量清单中其他相关子目的单价或价格之中。 </w:t>
      </w:r>
    </w:p>
    <w:p>
      <w:pPr>
        <w:pStyle w:val="25"/>
        <w:ind w:firstLine="464"/>
        <w:rPr>
          <w:rFonts w:hint="eastAsia" w:hAnsi="宋体" w:cs="宋体"/>
          <w:sz w:val="24"/>
          <w:szCs w:val="24"/>
        </w:rPr>
      </w:pPr>
      <w:r>
        <w:rPr>
          <w:rFonts w:hint="eastAsia" w:hAnsi="宋体" w:cs="宋体"/>
          <w:sz w:val="24"/>
          <w:szCs w:val="24"/>
        </w:rPr>
        <w:t>2.4不完全综合单价报价，工程量清单组价。供应商编制响应文件时应对施工期间除可能出现的政策、施工环境和市场的变化以及由于采购人分期付款带来的资金占用风险等可能影响工程造价的因素，作出正确的评估，并体现到投标报价中。否则，造成的经济风险责任自负。尤其是工程材料，无论是政策变化还是市场变化引起的价格变动，工程实施中供应商不得要求调整（除非合同另有约定）。</w:t>
      </w:r>
    </w:p>
    <w:p>
      <w:pPr>
        <w:pStyle w:val="25"/>
        <w:ind w:firstLine="464"/>
        <w:rPr>
          <w:rFonts w:hint="eastAsia" w:hAnsi="宋体" w:cs="宋体"/>
          <w:sz w:val="24"/>
          <w:szCs w:val="24"/>
        </w:rPr>
      </w:pPr>
      <w:r>
        <w:rPr>
          <w:rFonts w:hint="eastAsia" w:hAnsi="宋体" w:cs="宋体"/>
          <w:sz w:val="24"/>
          <w:szCs w:val="24"/>
        </w:rPr>
        <w:t>2.5人工费工资标准应严格执行采购文件及相关规定；</w:t>
      </w:r>
    </w:p>
    <w:p>
      <w:pPr>
        <w:pStyle w:val="25"/>
        <w:ind w:firstLine="464"/>
        <w:rPr>
          <w:rFonts w:hint="eastAsia" w:hAnsi="宋体" w:cs="宋体"/>
          <w:sz w:val="24"/>
          <w:szCs w:val="24"/>
        </w:rPr>
      </w:pPr>
      <w:r>
        <w:rPr>
          <w:rFonts w:hint="eastAsia" w:hAnsi="宋体" w:cs="宋体"/>
          <w:sz w:val="24"/>
          <w:szCs w:val="24"/>
        </w:rPr>
        <w:t>2.6措施费：措施费计算按现行安徽省工程量清单费用标准执行以及采购文件报价格式文件要求计算。</w:t>
      </w:r>
    </w:p>
    <w:p>
      <w:pPr>
        <w:pStyle w:val="25"/>
        <w:ind w:firstLine="464"/>
        <w:rPr>
          <w:rFonts w:hint="eastAsia" w:hAnsi="宋体" w:cs="宋体"/>
          <w:sz w:val="24"/>
          <w:szCs w:val="24"/>
        </w:rPr>
      </w:pPr>
      <w:r>
        <w:rPr>
          <w:rFonts w:hint="eastAsia" w:hAnsi="宋体" w:cs="宋体"/>
          <w:sz w:val="24"/>
          <w:szCs w:val="24"/>
        </w:rPr>
        <w:t>2.7税金：供应商须按采购文件规定计算。</w:t>
      </w:r>
    </w:p>
    <w:p>
      <w:pPr>
        <w:pStyle w:val="25"/>
        <w:ind w:firstLine="464"/>
        <w:rPr>
          <w:rFonts w:hint="eastAsia" w:hAnsi="宋体" w:cs="宋体"/>
          <w:sz w:val="24"/>
          <w:szCs w:val="24"/>
        </w:rPr>
      </w:pPr>
    </w:p>
    <w:p>
      <w:pPr>
        <w:pStyle w:val="25"/>
        <w:ind w:firstLine="464"/>
        <w:rPr>
          <w:rFonts w:hint="eastAsia" w:hAnsi="宋体" w:cs="宋体"/>
          <w:sz w:val="24"/>
          <w:szCs w:val="24"/>
        </w:rPr>
      </w:pPr>
      <w:r>
        <w:rPr>
          <w:rFonts w:hint="eastAsia" w:hAnsi="宋体" w:cs="宋体"/>
          <w:sz w:val="24"/>
          <w:szCs w:val="24"/>
        </w:rPr>
        <w:t>3. 工程量清单编制说明</w:t>
      </w:r>
    </w:p>
    <w:p>
      <w:pPr>
        <w:pStyle w:val="25"/>
        <w:ind w:firstLine="464"/>
        <w:rPr>
          <w:rFonts w:hint="eastAsia" w:hAnsi="宋体" w:cs="宋体"/>
          <w:sz w:val="24"/>
          <w:szCs w:val="24"/>
        </w:rPr>
      </w:pPr>
      <w:r>
        <w:rPr>
          <w:rFonts w:hint="eastAsia" w:hAnsi="宋体" w:cs="宋体"/>
          <w:sz w:val="24"/>
          <w:szCs w:val="24"/>
        </w:rPr>
        <w:t>3.1清单编制说明详见附件：</w:t>
      </w:r>
    </w:p>
    <w:p>
      <w:pPr>
        <w:pStyle w:val="25"/>
        <w:ind w:firstLine="464"/>
        <w:rPr>
          <w:rFonts w:hint="eastAsia" w:hAnsi="宋体" w:cs="宋体"/>
          <w:sz w:val="24"/>
          <w:szCs w:val="24"/>
        </w:rPr>
      </w:pPr>
      <w:r>
        <w:rPr>
          <w:rFonts w:hint="eastAsia" w:hAnsi="宋体" w:cs="宋体"/>
          <w:sz w:val="24"/>
          <w:szCs w:val="24"/>
        </w:rPr>
        <w:t>3.2补充说明：</w:t>
      </w:r>
    </w:p>
    <w:p>
      <w:pPr>
        <w:pStyle w:val="25"/>
        <w:ind w:firstLine="464"/>
        <w:rPr>
          <w:rFonts w:hint="eastAsia" w:hAnsi="宋体" w:cs="宋体"/>
          <w:sz w:val="24"/>
          <w:szCs w:val="24"/>
        </w:rPr>
      </w:pPr>
    </w:p>
    <w:p>
      <w:pPr>
        <w:pStyle w:val="25"/>
        <w:ind w:firstLine="464"/>
        <w:rPr>
          <w:rFonts w:hint="eastAsia" w:hAnsi="宋体" w:cs="宋体"/>
          <w:sz w:val="24"/>
          <w:szCs w:val="24"/>
        </w:rPr>
      </w:pPr>
      <w:r>
        <w:rPr>
          <w:rFonts w:hint="eastAsia" w:hAnsi="宋体" w:cs="宋体"/>
          <w:sz w:val="24"/>
          <w:szCs w:val="24"/>
        </w:rPr>
        <w:t xml:space="preserve">4. 工程量清单 </w:t>
      </w:r>
    </w:p>
    <w:p>
      <w:pPr>
        <w:pStyle w:val="25"/>
        <w:ind w:firstLine="464"/>
        <w:rPr>
          <w:rFonts w:hAnsi="宋体" w:cs="宋体"/>
          <w:sz w:val="24"/>
          <w:szCs w:val="24"/>
        </w:rPr>
      </w:pPr>
      <w:r>
        <w:rPr>
          <w:rFonts w:hint="eastAsia" w:hAnsi="宋体" w:cs="宋体"/>
          <w:sz w:val="24"/>
          <w:szCs w:val="24"/>
        </w:rPr>
        <w:t xml:space="preserve">(详见附件) </w:t>
      </w:r>
    </w:p>
    <w:p>
      <w:pPr>
        <w:pStyle w:val="21"/>
        <w:rPr>
          <w:rFonts w:ascii="宋体" w:hAnsi="宋体" w:cs="宋体"/>
          <w:sz w:val="24"/>
          <w:szCs w:val="24"/>
        </w:rPr>
      </w:pPr>
    </w:p>
    <w:p>
      <w:pPr>
        <w:pStyle w:val="21"/>
        <w:rPr>
          <w:rFonts w:ascii="宋体" w:hAnsi="宋体" w:cs="宋体"/>
          <w:sz w:val="24"/>
          <w:szCs w:val="24"/>
        </w:rPr>
      </w:pPr>
    </w:p>
    <w:p>
      <w:pPr>
        <w:pStyle w:val="21"/>
        <w:rPr>
          <w:rFonts w:ascii="宋体" w:hAnsi="宋体" w:cs="宋体"/>
          <w:sz w:val="24"/>
          <w:szCs w:val="24"/>
        </w:rPr>
      </w:pPr>
    </w:p>
    <w:p>
      <w:pPr>
        <w:rPr>
          <w:rFonts w:ascii="宋体" w:hAnsi="宋体" w:cs="宋体"/>
          <w:sz w:val="24"/>
          <w:szCs w:val="24"/>
          <w:lang w:val="zh-CN"/>
        </w:rPr>
      </w:pPr>
      <w:r>
        <w:rPr>
          <w:rFonts w:hint="eastAsia" w:ascii="宋体" w:hAnsi="宋体" w:cs="宋体"/>
          <w:sz w:val="24"/>
          <w:szCs w:val="24"/>
          <w:lang w:val="zh-CN"/>
        </w:rPr>
        <w:br w:type="page"/>
      </w:r>
    </w:p>
    <w:p>
      <w:pPr>
        <w:pStyle w:val="21"/>
        <w:rPr>
          <w:rFonts w:ascii="宋体" w:hAnsi="宋体" w:cs="宋体"/>
          <w:sz w:val="24"/>
          <w:szCs w:val="24"/>
          <w:lang w:val="zh-CN"/>
        </w:rPr>
      </w:pPr>
    </w:p>
    <w:p>
      <w:pPr>
        <w:pStyle w:val="3"/>
        <w:numPr>
          <w:ilvl w:val="0"/>
          <w:numId w:val="0"/>
        </w:numPr>
        <w:jc w:val="center"/>
        <w:rPr>
          <w:rFonts w:hint="eastAsia" w:ascii="华文中宋" w:hAnsi="华文中宋" w:eastAsia="华文中宋"/>
          <w:color w:val="auto"/>
        </w:rPr>
      </w:pPr>
      <w:bookmarkStart w:id="132" w:name="_Toc12791"/>
      <w:r>
        <w:rPr>
          <w:rFonts w:hint="eastAsia" w:ascii="华文中宋" w:hAnsi="华文中宋" w:eastAsia="华文中宋"/>
          <w:color w:val="auto"/>
          <w:lang w:val="en-US" w:eastAsia="zh-CN"/>
        </w:rPr>
        <w:t>第七章</w:t>
      </w:r>
      <w:r>
        <w:rPr>
          <w:rFonts w:hint="eastAsia" w:ascii="华文中宋" w:hAnsi="华文中宋" w:eastAsia="华文中宋"/>
          <w:color w:val="auto"/>
        </w:rPr>
        <w:t xml:space="preserve"> 评分办法和评分细则</w:t>
      </w:r>
      <w:bookmarkEnd w:id="132"/>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1.评审原则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1.1合法、合规原则。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1.2公平、公正、科学、审慎、择优原则。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1.3 高分优先原则。衡量响应文件满足磋商文件规定的各项评审标准的程度，折算为综合得分分值，依据每个磋商供应商的综合得分由高到低，依次确定排名顺序推荐2名供应商为成交候选供应商。</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2.评审分值分配(满分100分)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2.1商务标（</w:t>
      </w: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2.2技术标（</w:t>
      </w: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lang w:val="en-US" w:eastAsia="zh-CN"/>
        </w:rPr>
        <w:t>3.</w:t>
      </w:r>
      <w:r>
        <w:rPr>
          <w:rFonts w:hint="eastAsia" w:ascii="仿宋_GB2312" w:hAnsi="宋体" w:eastAsia="仿宋_GB2312" w:cs="宋体"/>
          <w:b/>
          <w:bCs/>
          <w:kern w:val="0"/>
          <w:sz w:val="24"/>
          <w:szCs w:val="24"/>
          <w:shd w:val="clear" w:color="auto" w:fill="FFFFFF"/>
        </w:rPr>
        <w:t>评标程序</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3.1初步评审标准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评审委员会依据下列标准对响应文件进行初步评审，审查结论分为“合格”与“不合格”。审查不合格的投标文件，否决其投标，投标文件不再进行后续评审。</w:t>
      </w:r>
    </w:p>
    <w:tbl>
      <w:tblPr>
        <w:tblStyle w:val="26"/>
        <w:tblW w:w="9294"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94"/>
        <w:gridCol w:w="3253"/>
        <w:gridCol w:w="464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647"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评审内容</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restart"/>
            <w:tcBorders>
              <w:left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资格评审</w:t>
            </w: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营业执照</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具备合法有效营业执照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安全生产许可证</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具备合法有效安全生产许可证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企业资质等级</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4"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项目负责人资格</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投标联合体</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符合法律法规和采购文件要求（允许联合体投标的项目）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法定代表人或授权代表资格</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5"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right w:val="single" w:color="auto" w:sz="4"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其他</w:t>
            </w:r>
          </w:p>
        </w:tc>
        <w:tc>
          <w:tcPr>
            <w:tcW w:w="4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符合采购文件第二章供应商须知前附表22.1规定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restart"/>
            <w:tcBorders>
              <w:top w:val="single" w:color="auto" w:sz="6" w:space="0"/>
              <w:left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符合性评审</w:t>
            </w: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供应商名称</w:t>
            </w:r>
          </w:p>
        </w:tc>
        <w:tc>
          <w:tcPr>
            <w:tcW w:w="4647" w:type="dxa"/>
            <w:tcBorders>
              <w:top w:val="single" w:color="auto" w:sz="4"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响应文件签署</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按采购文件要求加盖公章，且有法定代表人或授权代表签字（或签章）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响应文件格式</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报价唯一</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投标有效期</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工期、质量、技术规格等</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采购文件有格式要求的实质性内容须按采购文件规定的内容及格式填写，并须按规定格式签字、盖章</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磋商小组对通过初步评审的响应文件进行评估，确定与各供应商磋商的具体内容。</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围绕磋商要点，磋商小组所有成员集中与单一供应商分别进行磋商。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过程中，磋商小组可以根据磋商文件和招标要求以及合同草案条款，但不得变动磋商文件中的其他内容。实质性变动的内容，须经采购人代表确认，并以书面形式同时通知所有参加磋商的供应商。该变动是磋商文件的有效组成部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磋商供应商按照磋商文件的变动情况和磋商小组的要求，在规定的时间内以书面形式作出响应，并由其法定代表人或授权代表签字或者加盖公章。未按要求作出响应的响应文件，将视为无效响应。</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  磋商结束后，磋商小组将要求实质性响应磋商文件的磋商供应商在规定时间内提交最后报价。在规定的时间内，没有提交最后报价的磋商供应商，视为退出本次招标活动。未实质性响应的磋商供应商将不再进行最后报价。已提交响应文件的供应商，在提交最后报价之前，可以根据磋商情况退出磋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经磋商确定最终采购需求和提交最后报价的供应商后，由磋商小组结合综合评分法对提交最后报价的供应商的响应文件和最后报价进行综合评分。</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3.2商务标评审内容及标准（</w:t>
      </w: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tbl>
      <w:tblPr>
        <w:tblStyle w:val="26"/>
        <w:tblW w:w="9037"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33"/>
        <w:gridCol w:w="1060"/>
        <w:gridCol w:w="604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933"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评审项目</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分值</w:t>
            </w:r>
          </w:p>
        </w:tc>
        <w:tc>
          <w:tcPr>
            <w:tcW w:w="604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9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投标报价</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tc>
        <w:tc>
          <w:tcPr>
            <w:tcW w:w="6044"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1.报价得分的确定：实质性响应竞争性磋商文件要求且最后报价最低的为磋商基准价，得满分；其他报价得分按照下列公式计算：磋商报价得分＝（磋商基准价/最后磋商报价）×</w:t>
            </w:r>
            <w:r>
              <w:rPr>
                <w:rFonts w:hint="eastAsia" w:ascii="仿宋_GB2312" w:hAnsi="宋体" w:eastAsia="仿宋_GB2312" w:cs="宋体"/>
                <w:kern w:val="0"/>
                <w:sz w:val="24"/>
                <w:szCs w:val="24"/>
                <w:shd w:val="clear" w:color="auto" w:fill="FFFFFF"/>
                <w:lang w:val="en-US" w:eastAsia="zh-CN"/>
              </w:rPr>
              <w:t>5</w:t>
            </w:r>
            <w:r>
              <w:rPr>
                <w:rFonts w:hint="eastAsia" w:ascii="仿宋_GB2312" w:hAnsi="宋体" w:eastAsia="仿宋_GB2312" w:cs="宋体"/>
                <w:kern w:val="0"/>
                <w:sz w:val="24"/>
                <w:szCs w:val="24"/>
                <w:shd w:val="clear" w:color="auto" w:fill="FFFFFF"/>
              </w:rPr>
              <w:t>0，得分保留小数点后两位，第三位四舍五入。</w:t>
            </w:r>
          </w:p>
          <w:p>
            <w:pPr>
              <w:jc w:val="lef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2.基准价及报价得分经磋商小组确定后，除计算错误外，不因质疑投诉等事项而改变。</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3.2.1投标报价分项报价评审</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评审委员会进行分项报价评审时，投标报价存在下列情形之一的，应当否决其投标：</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（1）税率不按采购文件规定数值计取的；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（2）不可竞争费不按采购文件规定数值计取的；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（3）暂列金额、专业工程暂估价不按采购文件规定标准计取的；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（4）修改分部分项工程量清单项目或数量的；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（5）人工单价低于相关规定的；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（6）评审委员会认定为重大偏差的其他情形。</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3.3技术标评审内容及标准（</w:t>
      </w: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tbl>
      <w:tblPr>
        <w:tblStyle w:val="26"/>
        <w:tblW w:w="8954"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80"/>
        <w:gridCol w:w="566"/>
        <w:gridCol w:w="1579"/>
        <w:gridCol w:w="771"/>
        <w:gridCol w:w="505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12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评审内容</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分值</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restart"/>
            <w:tcBorders>
              <w:top w:val="single" w:color="auto" w:sz="6" w:space="0"/>
              <w:left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技术标评审（</w:t>
            </w:r>
            <w:r>
              <w:rPr>
                <w:rFonts w:hint="eastAsia" w:ascii="仿宋_GB2312" w:hAnsi="宋体" w:eastAsia="仿宋_GB2312" w:cs="宋体"/>
                <w:kern w:val="0"/>
                <w:sz w:val="24"/>
                <w:szCs w:val="24"/>
                <w:shd w:val="clear" w:color="auto" w:fill="FFFFFF"/>
                <w:lang w:val="en-US" w:eastAsia="zh-CN"/>
              </w:rPr>
              <w:t>50</w:t>
            </w:r>
            <w:r>
              <w:rPr>
                <w:rFonts w:hint="eastAsia" w:ascii="仿宋_GB2312" w:hAnsi="宋体" w:eastAsia="仿宋_GB2312" w:cs="宋体"/>
                <w:kern w:val="0"/>
                <w:sz w:val="24"/>
                <w:szCs w:val="24"/>
                <w:shd w:val="clear" w:color="auto" w:fill="FFFFFF"/>
              </w:rPr>
              <w:t>分）</w:t>
            </w: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szCs w:val="21"/>
              </w:rPr>
              <w:t>1</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kern w:val="2"/>
                <w:sz w:val="28"/>
                <w:szCs w:val="21"/>
                <w:lang w:val="en-US" w:eastAsia="zh-CN" w:bidi="ar-SA"/>
              </w:rPr>
            </w:pPr>
            <w:r>
              <w:rPr>
                <w:rFonts w:hint="eastAsia" w:ascii="仿宋_GB2312" w:hAnsi="宋体" w:eastAsia="仿宋_GB2312" w:cs="宋体"/>
                <w:kern w:val="0"/>
                <w:sz w:val="24"/>
                <w:szCs w:val="24"/>
                <w:shd w:val="clear" w:color="auto" w:fill="FFFFFF"/>
              </w:rPr>
              <w:t>施工组织机构和人员组成</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kern w:val="2"/>
                <w:sz w:val="28"/>
                <w:szCs w:val="21"/>
                <w:lang w:val="en-US" w:eastAsia="zh-CN" w:bidi="ar-SA"/>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组织机构齐全，人员配备合理。</w:t>
            </w:r>
          </w:p>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（1）方案科学有效且具有可操作性的，得8分；（2）方案一般且能满足需要的，得6分；</w:t>
            </w:r>
          </w:p>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（3）方案不完整但能基本满足需要的，得4分。（4）方案存在明显缺陷的，得2分。</w:t>
            </w:r>
          </w:p>
          <w:p>
            <w:pPr>
              <w:spacing w:line="360" w:lineRule="exact"/>
              <w:rPr>
                <w:rFonts w:hint="eastAsia" w:ascii="仿宋" w:hAnsi="仿宋" w:eastAsia="仿宋" w:cs="仿宋"/>
                <w:kern w:val="2"/>
                <w:sz w:val="28"/>
                <w:szCs w:val="21"/>
                <w:lang w:val="en-US" w:eastAsia="zh-CN" w:bidi="ar-SA"/>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2</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资源配备计划</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拟投入的人工、主要材料、主要施工机械、设备有详细计划且计划周密，劳动力安排合理，材料进场时间、数量、批次合理，设备数量、选型配置、进场数量、时间安排合理，满足施工需要。</w:t>
            </w:r>
          </w:p>
          <w:p>
            <w:pPr>
              <w:numPr>
                <w:ilvl w:val="0"/>
                <w:numId w:val="0"/>
              </w:num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1</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方案科学有效且具有可操作性的，得8分；（2）方案一般且能满足需要的，得6分；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3</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方案不完整但能基本满足需要的，得4分。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（4）方案存在明显缺陷的，得2分。</w:t>
            </w:r>
          </w:p>
          <w:p>
            <w:pPr>
              <w:numPr>
                <w:ilvl w:val="0"/>
                <w:numId w:val="0"/>
              </w:numPr>
              <w:spacing w:line="360" w:lineRule="exact"/>
              <w:ind w:leftChars="0"/>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3</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施工进度保障</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总施工工期目标明确，关键节点明确，各分项工程施工顺序安排恰当、工序衔接合理，进度计划安排科学。</w:t>
            </w:r>
          </w:p>
          <w:p>
            <w:pPr>
              <w:numPr>
                <w:ilvl w:val="0"/>
                <w:numId w:val="0"/>
              </w:num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1</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方案科学有效且具有可操作性的，得8分；（2）方案一般且能满足需要的，得6分；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3</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方案不完整但能基本满足需要的，得4分。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方案存在明显缺陷的，得2分。</w:t>
            </w:r>
          </w:p>
          <w:p>
            <w:pPr>
              <w:numPr>
                <w:ilvl w:val="0"/>
                <w:numId w:val="0"/>
              </w:numPr>
              <w:spacing w:line="360" w:lineRule="exact"/>
              <w:ind w:leftChars="0"/>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4</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质量保证体系</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numPr>
                <w:ilvl w:val="0"/>
                <w:numId w:val="0"/>
              </w:num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1</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方案科学有效且具有可操作性的，得8分；（2）方案一般且能满足需要的，得6分；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3</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方案不完整但能基本满足需要的，得4分。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方案存在明显缺陷的，得2分。</w:t>
            </w:r>
          </w:p>
          <w:p>
            <w:pPr>
              <w:numPr>
                <w:ilvl w:val="0"/>
                <w:numId w:val="0"/>
              </w:numPr>
              <w:spacing w:line="360" w:lineRule="exact"/>
              <w:ind w:leftChars="0"/>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5</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安全文明施工</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安全保障体系完善，安全措施或制度健全，有明确的环保及文明施工目标及体系。</w:t>
            </w:r>
          </w:p>
          <w:p>
            <w:pPr>
              <w:numPr>
                <w:ilvl w:val="0"/>
                <w:numId w:val="0"/>
              </w:num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1</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方案科学有效且具有可操作性的，得8分；（2）方案一般且能满足需要的，得6分；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3</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方案不完整但能基本满足需要的，得4分。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方案存在明显缺陷的，得2分。</w:t>
            </w:r>
          </w:p>
          <w:p>
            <w:pPr>
              <w:numPr>
                <w:ilvl w:val="0"/>
                <w:numId w:val="0"/>
              </w:numPr>
              <w:spacing w:line="360" w:lineRule="exact"/>
              <w:ind w:leftChars="0"/>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6</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施工方案</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8分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各主要分部施工方法符合项目实际，须有详尽的施工技术方案，工艺先进，方法科学合理、可行，能指导具体施工并确保质量、进度与安全。</w:t>
            </w:r>
          </w:p>
          <w:p>
            <w:pPr>
              <w:numPr>
                <w:ilvl w:val="0"/>
                <w:numId w:val="0"/>
              </w:numPr>
              <w:spacing w:line="360" w:lineRule="exact"/>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1</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方案科学有效且具有可操作性的，得8分；（2）方案一般且能满足需要的，得6分；</w:t>
            </w:r>
          </w:p>
          <w:p>
            <w:pPr>
              <w:numPr>
                <w:ilvl w:val="-1"/>
                <w:numId w:val="0"/>
              </w:numPr>
              <w:spacing w:line="360" w:lineRule="exact"/>
              <w:ind w:left="0" w:leftChars="0" w:firstLine="0" w:firstLine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3</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方案不完整但能基本满足需要的，得4分。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方案存在明显缺陷的，得2分。</w:t>
            </w:r>
          </w:p>
          <w:p>
            <w:pPr>
              <w:numPr>
                <w:ilvl w:val="0"/>
                <w:numId w:val="0"/>
              </w:numPr>
              <w:spacing w:line="360" w:lineRule="exact"/>
              <w:ind w:leftChars="0"/>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（5）无服务方案的，得0分。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7</w:t>
            </w:r>
          </w:p>
        </w:tc>
        <w:tc>
          <w:tcPr>
            <w:tcW w:w="1579"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rPr>
              <w:t>售后服务承诺</w:t>
            </w:r>
          </w:p>
        </w:tc>
        <w:tc>
          <w:tcPr>
            <w:tcW w:w="771"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2分</w:t>
            </w:r>
          </w:p>
        </w:tc>
        <w:tc>
          <w:tcPr>
            <w:tcW w:w="5058" w:type="dxa"/>
            <w:tcBorders>
              <w:top w:val="single" w:color="auto" w:sz="6" w:space="0"/>
              <w:left w:val="single" w:color="auto" w:sz="6" w:space="0"/>
              <w:bottom w:val="single" w:color="auto" w:sz="6" w:space="0"/>
              <w:right w:val="single" w:color="auto" w:sz="6" w:space="0"/>
            </w:tcBorders>
            <w:vAlign w:val="center"/>
          </w:tcPr>
          <w:p>
            <w:pPr>
              <w:numPr>
                <w:ilvl w:val="-1"/>
                <w:numId w:val="0"/>
              </w:numPr>
              <w:spacing w:line="360" w:lineRule="exact"/>
              <w:ind w:left="0" w:leftChars="0" w:firstLine="0" w:firstLineChars="0"/>
              <w:rPr>
                <w:rFonts w:hint="eastAsia" w:ascii="仿宋_GB2312" w:hAnsi="宋体" w:eastAsia="仿宋_GB2312" w:cs="宋体"/>
                <w:kern w:val="0"/>
                <w:sz w:val="24"/>
                <w:szCs w:val="24"/>
                <w:shd w:val="clear" w:color="auto" w:fill="FFFFFF"/>
                <w:lang w:eastAsia="zh-CN"/>
              </w:rPr>
            </w:pPr>
            <w:r>
              <w:rPr>
                <w:rFonts w:hint="eastAsia" w:ascii="仿宋_GB2312" w:hAnsi="宋体" w:eastAsia="仿宋_GB2312" w:cs="宋体"/>
                <w:kern w:val="0"/>
                <w:sz w:val="24"/>
                <w:szCs w:val="24"/>
                <w:shd w:val="clear" w:color="auto" w:fill="FFFFFF"/>
              </w:rPr>
              <w:t>包括保修年限，服务标准，人员配备，维修及保障措施等</w:t>
            </w:r>
            <w:r>
              <w:rPr>
                <w:rFonts w:hint="eastAsia" w:ascii="仿宋_GB2312" w:hAnsi="宋体" w:eastAsia="仿宋_GB2312" w:cs="宋体"/>
                <w:kern w:val="0"/>
                <w:sz w:val="24"/>
                <w:szCs w:val="24"/>
                <w:shd w:val="clear" w:color="auto" w:fill="FFFFFF"/>
                <w:lang w:eastAsia="zh-CN"/>
              </w:rPr>
              <w:t>。</w:t>
            </w:r>
          </w:p>
          <w:p>
            <w:pPr>
              <w:numPr>
                <w:ilvl w:val="0"/>
                <w:numId w:val="0"/>
              </w:numPr>
              <w:spacing w:line="360" w:lineRule="exact"/>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（1）售后服务承诺中</w:t>
            </w:r>
            <w:r>
              <w:rPr>
                <w:rFonts w:hint="eastAsia" w:ascii="仿宋_GB2312" w:hAnsi="宋体" w:eastAsia="仿宋_GB2312" w:cs="宋体"/>
                <w:kern w:val="0"/>
                <w:sz w:val="24"/>
                <w:szCs w:val="24"/>
                <w:shd w:val="clear" w:color="auto" w:fill="FFFFFF"/>
              </w:rPr>
              <w:t>保修年限，服务标准，人员配备，维修及保障措施</w:t>
            </w:r>
            <w:r>
              <w:rPr>
                <w:rFonts w:hint="eastAsia" w:ascii="仿宋_GB2312" w:hAnsi="宋体" w:eastAsia="仿宋_GB2312" w:cs="宋体"/>
                <w:kern w:val="0"/>
                <w:sz w:val="24"/>
                <w:szCs w:val="24"/>
                <w:shd w:val="clear" w:color="auto" w:fill="FFFFFF"/>
                <w:lang w:val="en-US" w:eastAsia="zh-CN"/>
              </w:rPr>
              <w:t>等有利于项目实施，得2分；</w:t>
            </w:r>
          </w:p>
          <w:p>
            <w:pPr>
              <w:numPr>
                <w:ilvl w:val="0"/>
                <w:numId w:val="0"/>
              </w:numPr>
              <w:spacing w:line="360" w:lineRule="exact"/>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（2）售后服务承诺中</w:t>
            </w:r>
            <w:r>
              <w:rPr>
                <w:rFonts w:hint="eastAsia" w:ascii="仿宋_GB2312" w:hAnsi="宋体" w:eastAsia="仿宋_GB2312" w:cs="宋体"/>
                <w:kern w:val="0"/>
                <w:sz w:val="24"/>
                <w:szCs w:val="24"/>
                <w:shd w:val="clear" w:color="auto" w:fill="FFFFFF"/>
              </w:rPr>
              <w:t>保修年限，服务标准，人员配备，维修及保障措施</w:t>
            </w:r>
            <w:r>
              <w:rPr>
                <w:rFonts w:hint="eastAsia" w:ascii="仿宋_GB2312" w:hAnsi="宋体" w:eastAsia="仿宋_GB2312" w:cs="宋体"/>
                <w:kern w:val="0"/>
                <w:sz w:val="24"/>
                <w:szCs w:val="24"/>
                <w:shd w:val="clear" w:color="auto" w:fill="FFFFFF"/>
                <w:lang w:val="en-US" w:eastAsia="zh-CN"/>
              </w:rPr>
              <w:t>等一般但能满足项目实施，得1.5分；</w:t>
            </w:r>
          </w:p>
          <w:p>
            <w:pPr>
              <w:numPr>
                <w:ilvl w:val="0"/>
                <w:numId w:val="0"/>
              </w:numPr>
              <w:spacing w:line="360" w:lineRule="exact"/>
              <w:rPr>
                <w:rFonts w:hint="eastAsia" w:ascii="仿宋_GB2312" w:hAnsi="宋体" w:eastAsia="仿宋_GB2312" w:cs="宋体"/>
                <w:kern w:val="0"/>
                <w:sz w:val="24"/>
                <w:szCs w:val="24"/>
                <w:shd w:val="clear" w:color="auto" w:fill="FFFFFF"/>
                <w:lang w:val="en-US" w:eastAsia="zh-CN"/>
              </w:rPr>
            </w:pPr>
            <w:r>
              <w:rPr>
                <w:rFonts w:hint="eastAsia" w:ascii="仿宋_GB2312" w:hAnsi="宋体" w:eastAsia="仿宋_GB2312" w:cs="宋体"/>
                <w:kern w:val="0"/>
                <w:sz w:val="24"/>
                <w:szCs w:val="24"/>
                <w:shd w:val="clear" w:color="auto" w:fill="FFFFFF"/>
                <w:lang w:val="en-US" w:eastAsia="zh-CN"/>
              </w:rPr>
              <w:t>（3）售后服务承诺中</w:t>
            </w:r>
            <w:r>
              <w:rPr>
                <w:rFonts w:hint="eastAsia" w:ascii="仿宋_GB2312" w:hAnsi="宋体" w:eastAsia="仿宋_GB2312" w:cs="宋体"/>
                <w:kern w:val="0"/>
                <w:sz w:val="24"/>
                <w:szCs w:val="24"/>
                <w:shd w:val="clear" w:color="auto" w:fill="FFFFFF"/>
              </w:rPr>
              <w:t>保修年限，服务标准，人员配备，维修及保障措施</w:t>
            </w:r>
            <w:r>
              <w:rPr>
                <w:rFonts w:hint="eastAsia" w:ascii="仿宋_GB2312" w:hAnsi="宋体" w:eastAsia="仿宋_GB2312" w:cs="宋体"/>
                <w:kern w:val="0"/>
                <w:sz w:val="24"/>
                <w:szCs w:val="24"/>
                <w:shd w:val="clear" w:color="auto" w:fill="FFFFFF"/>
                <w:lang w:val="en-US" w:eastAsia="zh-CN"/>
              </w:rPr>
              <w:t>等不完整但基本满足项目实施，得1分；</w:t>
            </w:r>
          </w:p>
          <w:p>
            <w:pPr>
              <w:numPr>
                <w:ilvl w:val="0"/>
                <w:numId w:val="0"/>
              </w:numPr>
              <w:spacing w:line="360" w:lineRule="exact"/>
              <w:ind w:leftChars="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lang w:val="en-US" w:eastAsia="zh-CN"/>
              </w:rPr>
              <w:t>售后服务承诺</w:t>
            </w:r>
            <w:r>
              <w:rPr>
                <w:rFonts w:hint="eastAsia" w:ascii="仿宋_GB2312" w:hAnsi="宋体" w:eastAsia="仿宋_GB2312" w:cs="宋体"/>
                <w:kern w:val="0"/>
                <w:sz w:val="24"/>
                <w:szCs w:val="24"/>
                <w:shd w:val="clear" w:color="auto" w:fill="FFFFFF"/>
              </w:rPr>
              <w:t>存在明显缺陷的，得</w:t>
            </w:r>
            <w:r>
              <w:rPr>
                <w:rFonts w:hint="eastAsia" w:ascii="仿宋_GB2312" w:hAnsi="宋体" w:eastAsia="仿宋_GB2312" w:cs="宋体"/>
                <w:kern w:val="0"/>
                <w:sz w:val="24"/>
                <w:szCs w:val="24"/>
                <w:shd w:val="clear" w:color="auto" w:fill="FFFFFF"/>
                <w:lang w:val="en-US" w:eastAsia="zh-CN"/>
              </w:rPr>
              <w:t>0.5</w:t>
            </w:r>
            <w:r>
              <w:rPr>
                <w:rFonts w:hint="eastAsia" w:ascii="仿宋_GB2312" w:hAnsi="宋体" w:eastAsia="仿宋_GB2312" w:cs="宋体"/>
                <w:kern w:val="0"/>
                <w:sz w:val="24"/>
                <w:szCs w:val="24"/>
                <w:shd w:val="clear" w:color="auto" w:fill="FFFFFF"/>
              </w:rPr>
              <w:t>分。</w:t>
            </w:r>
          </w:p>
          <w:p>
            <w:pPr>
              <w:pStyle w:val="2"/>
              <w:ind w:left="0" w:leftChars="0"/>
              <w:rPr>
                <w:rFonts w:hint="default"/>
                <w:lang w:val="en-US" w:eastAsia="zh-CN"/>
              </w:rPr>
            </w:pPr>
            <w:r>
              <w:rPr>
                <w:rFonts w:hint="eastAsia" w:ascii="仿宋_GB2312" w:hAnsi="宋体" w:eastAsia="仿宋_GB2312" w:cs="宋体"/>
                <w:kern w:val="0"/>
                <w:sz w:val="24"/>
                <w:szCs w:val="24"/>
                <w:shd w:val="clear" w:color="auto" w:fill="FFFFFF"/>
              </w:rPr>
              <w:t>（5）无</w:t>
            </w:r>
            <w:r>
              <w:rPr>
                <w:rFonts w:hint="eastAsia" w:ascii="仿宋_GB2312" w:hAnsi="宋体" w:eastAsia="仿宋_GB2312" w:cs="宋体"/>
                <w:kern w:val="0"/>
                <w:sz w:val="24"/>
                <w:szCs w:val="24"/>
                <w:shd w:val="clear" w:color="auto" w:fill="FFFFFF"/>
                <w:lang w:val="en-US" w:eastAsia="zh-CN"/>
              </w:rPr>
              <w:t>售后服务承诺</w:t>
            </w:r>
            <w:r>
              <w:rPr>
                <w:rFonts w:hint="eastAsia" w:ascii="仿宋_GB2312" w:hAnsi="宋体" w:eastAsia="仿宋_GB2312" w:cs="宋体"/>
                <w:kern w:val="0"/>
                <w:sz w:val="24"/>
                <w:szCs w:val="24"/>
                <w:shd w:val="clear" w:color="auto" w:fill="FFFFFF"/>
              </w:rPr>
              <w:t>的，得0分。</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（1）评标委员会在评审前应熟悉图纸和工程量清单，对供应商的技术标各项内容进行独立评审打分，将分项分值填写在技术标评分记录表上。</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（2）当评委对供应商的技术标合计分超出其他成员平均值±50%时，须作出解释说明。</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（3）评标委员会对同一供应商打分值进行平均，平均分作为该供应商技术标得分（计算结果保留小数点后两位，第三位四舍五入）。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评审委员会完成评审后，应当向采购人提交书面评审报告。</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5.例外情况</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5.1当出现供应商综合评审得分相等时，按下列顺序排序：“投标报价”得分高的优先；仍相同时，仍相同时，由评标委员会现场抽签确定顺序。</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5.2采购文件条款存在含义不清或者相互矛盾的，评审委员会应当针对相应条款作出有利于相应供应商的结论。</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lang w:val="en-US" w:eastAsia="zh-CN"/>
        </w:rPr>
        <w:t>6</w:t>
      </w:r>
      <w:r>
        <w:rPr>
          <w:rFonts w:hint="eastAsia" w:ascii="仿宋_GB2312" w:hAnsi="宋体" w:eastAsia="仿宋_GB2312" w:cs="宋体"/>
          <w:kern w:val="0"/>
          <w:sz w:val="24"/>
          <w:szCs w:val="24"/>
          <w:shd w:val="clear" w:color="auto" w:fill="FFFFFF"/>
        </w:rPr>
        <w:t>.否决投标条款</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供应商有以下情形之一的，应当否决其投标：</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（1）串通投标或弄虚作假或有其他违法行为的；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（2）不按评审委员会要求澄清、说明或补正的；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（3）未按规定格式填写，实质性内容不全或关键字迹模糊、无法辨认；</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（4）递交两份或多份内容不同的响应文件，或在一份响应文件中对同一招标项目有两个或多个报价，且未声明哪一个有效的（按采购文件规定提交备选方案的除外）；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（5）报价超最高限价的；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（6）投标文件响应文件中存在采购人不能接受的其他实质性条件；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（7）法律法规规定的其他情形。</w:t>
      </w:r>
    </w:p>
    <w:p>
      <w:pPr>
        <w:tabs>
          <w:tab w:val="left" w:pos="3155"/>
        </w:tabs>
        <w:spacing w:line="360" w:lineRule="auto"/>
        <w:ind w:firstLine="480" w:firstLineChars="200"/>
        <w:rPr>
          <w:rFonts w:ascii="宋体" w:hAnsi="宋体"/>
          <w:sz w:val="24"/>
        </w:rPr>
      </w:pPr>
    </w:p>
    <w:p>
      <w:pPr>
        <w:tabs>
          <w:tab w:val="left" w:pos="720"/>
        </w:tabs>
        <w:spacing w:line="480" w:lineRule="auto"/>
        <w:ind w:firstLine="600"/>
        <w:rPr>
          <w:color w:val="0C0C0C" w:themeColor="text1" w:themeTint="F2"/>
          <w:szCs w:val="28"/>
        </w:rPr>
      </w:pPr>
    </w:p>
    <w:p>
      <w:pPr>
        <w:spacing w:line="480" w:lineRule="auto"/>
        <w:ind w:firstLine="6160" w:firstLineChars="2200"/>
        <w:rPr>
          <w:color w:val="0C0C0C" w:themeColor="text1" w:themeTint="F2"/>
          <w:szCs w:val="28"/>
        </w:rPr>
      </w:pPr>
    </w:p>
    <w:p>
      <w:pPr>
        <w:pStyle w:val="34"/>
        <w:ind w:left="0"/>
        <w:rPr>
          <w:sz w:val="44"/>
          <w:szCs w:val="44"/>
        </w:rPr>
      </w:pPr>
      <w:bookmarkStart w:id="133" w:name="_Toc19619"/>
      <w:r>
        <w:rPr>
          <w:rFonts w:hint="eastAsia"/>
          <w:sz w:val="44"/>
          <w:szCs w:val="44"/>
        </w:rPr>
        <w:t xml:space="preserve">第七章  </w:t>
      </w:r>
      <w:bookmarkStart w:id="134" w:name="_Toc403987220"/>
      <w:r>
        <w:rPr>
          <w:rFonts w:hint="eastAsia"/>
          <w:sz w:val="44"/>
          <w:szCs w:val="44"/>
        </w:rPr>
        <w:t>响应文件格式</w:t>
      </w:r>
      <w:bookmarkEnd w:id="133"/>
      <w:bookmarkEnd w:id="134"/>
    </w:p>
    <w:p>
      <w:pPr>
        <w:jc w:val="center"/>
        <w:rPr>
          <w:rFonts w:ascii="华文中宋" w:hAnsi="华文中宋" w:eastAsia="华文中宋"/>
          <w:b/>
          <w:bCs/>
          <w:color w:val="000000"/>
          <w:sz w:val="52"/>
          <w:szCs w:val="52"/>
        </w:rPr>
      </w:pPr>
      <w:bookmarkStart w:id="135" w:name="_Hlt26671244"/>
      <w:bookmarkEnd w:id="135"/>
      <w:bookmarkStart w:id="136" w:name="_Hlt26955039"/>
      <w:bookmarkEnd w:id="136"/>
      <w:r>
        <w:rPr>
          <w:rFonts w:ascii="华文中宋" w:hAnsi="华文中宋" w:eastAsia="华文中宋"/>
          <w:b/>
          <w:bCs/>
          <w:color w:val="000000"/>
          <w:sz w:val="52"/>
          <w:szCs w:val="52"/>
        </w:rPr>
        <w:drawing>
          <wp:inline distT="0" distB="0" distL="114300" distR="114300">
            <wp:extent cx="3286125" cy="714375"/>
            <wp:effectExtent l="0" t="0" r="3175" b="9525"/>
            <wp:docPr id="4" name="图片 1"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皖南医学院"/>
                    <pic:cNvPicPr>
                      <a:picLocks noChangeAspect="1"/>
                    </pic:cNvPicPr>
                  </pic:nvPicPr>
                  <pic:blipFill>
                    <a:blip r:embed="rId10" cstate="print"/>
                    <a:stretch>
                      <a:fillRect/>
                    </a:stretch>
                  </pic:blipFill>
                  <pic:spPr>
                    <a:xfrm>
                      <a:off x="0" y="0"/>
                      <a:ext cx="3286125" cy="714375"/>
                    </a:xfrm>
                    <a:prstGeom prst="rect">
                      <a:avLst/>
                    </a:prstGeom>
                    <a:noFill/>
                    <a:ln>
                      <a:noFill/>
                    </a:ln>
                  </pic:spPr>
                </pic:pic>
              </a:graphicData>
            </a:graphic>
          </wp:inline>
        </w:drawing>
      </w:r>
    </w:p>
    <w:p>
      <w:pPr>
        <w:jc w:val="center"/>
        <w:rPr>
          <w:rFonts w:ascii="华文中宋" w:hAnsi="华文中宋" w:eastAsia="华文中宋"/>
          <w:b/>
          <w:bCs/>
          <w:color w:val="000000"/>
          <w:sz w:val="52"/>
          <w:szCs w:val="52"/>
        </w:rPr>
      </w:pPr>
    </w:p>
    <w:p>
      <w:pPr>
        <w:ind w:right="-515" w:rightChars="-184"/>
        <w:jc w:val="center"/>
        <w:rPr>
          <w:rFonts w:hint="eastAsia" w:ascii="华文中宋" w:hAnsi="华文中宋" w:eastAsia="华文中宋"/>
          <w:b/>
          <w:bCs/>
          <w:color w:val="000000"/>
          <w:sz w:val="48"/>
          <w:szCs w:val="48"/>
          <w:lang w:eastAsia="zh-CN"/>
        </w:rPr>
      </w:pPr>
      <w:r>
        <w:rPr>
          <w:rFonts w:hint="eastAsia" w:ascii="华文中宋" w:hAnsi="华文中宋" w:eastAsia="华文中宋"/>
          <w:b/>
          <w:bCs/>
          <w:color w:val="000000"/>
          <w:sz w:val="48"/>
          <w:szCs w:val="48"/>
          <w:lang w:eastAsia="zh-CN"/>
        </w:rPr>
        <w:t>皖南医学院脑科学研究院临床研究部办公室装修工程</w:t>
      </w:r>
    </w:p>
    <w:p>
      <w:pPr>
        <w:pStyle w:val="25"/>
        <w:ind w:firstLine="344"/>
      </w:pPr>
    </w:p>
    <w:p>
      <w:pPr>
        <w:pStyle w:val="21"/>
      </w:pPr>
    </w:p>
    <w:p>
      <w:pPr>
        <w:ind w:right="-515" w:rightChars="-184"/>
        <w:jc w:val="center"/>
        <w:rPr>
          <w:rFonts w:ascii="黑体" w:hAnsi="黑体" w:eastAsia="黑体"/>
          <w:b/>
          <w:bCs/>
          <w:sz w:val="72"/>
          <w:szCs w:val="72"/>
        </w:rPr>
      </w:pPr>
      <w:r>
        <w:rPr>
          <w:rFonts w:hint="eastAsia" w:ascii="黑体" w:hAnsi="黑体" w:eastAsia="黑体"/>
          <w:b/>
          <w:bCs/>
          <w:sz w:val="72"/>
          <w:szCs w:val="72"/>
        </w:rPr>
        <w:t>响</w:t>
      </w:r>
    </w:p>
    <w:p>
      <w:pPr>
        <w:jc w:val="center"/>
        <w:rPr>
          <w:rFonts w:ascii="黑体" w:hAnsi="黑体" w:eastAsia="黑体"/>
          <w:b/>
          <w:bCs/>
          <w:sz w:val="72"/>
          <w:szCs w:val="72"/>
        </w:rPr>
      </w:pPr>
      <w:r>
        <w:rPr>
          <w:rFonts w:hint="eastAsia" w:ascii="黑体" w:hAnsi="黑体" w:eastAsia="黑体"/>
          <w:b/>
          <w:bCs/>
          <w:sz w:val="72"/>
          <w:szCs w:val="72"/>
        </w:rPr>
        <w:t xml:space="preserve"> 应</w:t>
      </w:r>
    </w:p>
    <w:p>
      <w:pPr>
        <w:jc w:val="center"/>
        <w:rPr>
          <w:rFonts w:ascii="黑体" w:hAnsi="黑体" w:eastAsia="黑体"/>
          <w:b/>
          <w:bCs/>
          <w:sz w:val="72"/>
          <w:szCs w:val="72"/>
        </w:rPr>
      </w:pPr>
      <w:r>
        <w:rPr>
          <w:rFonts w:hint="eastAsia" w:ascii="黑体" w:hAnsi="黑体" w:eastAsia="黑体"/>
          <w:b/>
          <w:bCs/>
          <w:sz w:val="72"/>
          <w:szCs w:val="72"/>
        </w:rPr>
        <w:t xml:space="preserve"> 文</w:t>
      </w:r>
    </w:p>
    <w:p>
      <w:pPr>
        <w:jc w:val="center"/>
        <w:rPr>
          <w:rFonts w:ascii="黑体" w:hAnsi="黑体" w:eastAsia="黑体"/>
          <w:b/>
          <w:bCs/>
          <w:sz w:val="72"/>
          <w:szCs w:val="72"/>
        </w:rPr>
      </w:pPr>
      <w:r>
        <w:rPr>
          <w:rFonts w:hint="eastAsia" w:ascii="黑体" w:hAnsi="黑体" w:eastAsia="黑体"/>
          <w:b/>
          <w:bCs/>
          <w:sz w:val="72"/>
          <w:szCs w:val="72"/>
        </w:rPr>
        <w:t xml:space="preserve"> 件</w:t>
      </w:r>
    </w:p>
    <w:p>
      <w:pPr>
        <w:rPr>
          <w:rFonts w:ascii="仿宋_GB2312" w:eastAsia="仿宋_GB2312"/>
          <w:sz w:val="48"/>
          <w:szCs w:val="48"/>
        </w:rPr>
      </w:pP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960" w:firstLineChars="300"/>
        <w:jc w:val="center"/>
        <w:rPr>
          <w:sz w:val="32"/>
          <w:szCs w:val="32"/>
        </w:rPr>
      </w:pP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440" w:lineRule="exact"/>
        <w:jc w:val="center"/>
        <w:rPr>
          <w:rFonts w:ascii="仿宋_GB2312" w:hAnsi="仿宋_GB2312" w:eastAsia="仿宋_GB2312" w:cs="仿宋_GB2312"/>
          <w:b/>
          <w:bCs/>
          <w:sz w:val="32"/>
          <w:szCs w:val="32"/>
        </w:rPr>
      </w:pPr>
      <w:r>
        <w:rPr>
          <w:rFonts w:hAnsi="宋体"/>
          <w:b/>
          <w:bCs/>
          <w:sz w:val="32"/>
          <w:szCs w:val="32"/>
        </w:rPr>
        <w:br w:type="page"/>
      </w:r>
      <w:r>
        <w:rPr>
          <w:rFonts w:hint="eastAsia" w:ascii="华文中宋" w:hAnsi="华文中宋" w:eastAsia="华文中宋" w:cs="华文中宋"/>
          <w:b/>
          <w:bCs/>
          <w:sz w:val="32"/>
          <w:szCs w:val="32"/>
        </w:rPr>
        <w:t>响应文件目录</w:t>
      </w:r>
    </w:p>
    <w:p>
      <w:pPr>
        <w:snapToGrid w:val="0"/>
        <w:spacing w:before="50" w:after="50"/>
        <w:rPr>
          <w:rFonts w:ascii="仿宋_GB2312" w:hAnsi="仿宋_GB2312" w:eastAsia="仿宋_GB2312" w:cs="仿宋_GB2312"/>
          <w:sz w:val="24"/>
          <w:szCs w:val="24"/>
        </w:rPr>
      </w:pP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一、磋商函</w:t>
      </w: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二、投标人资格声明书</w:t>
      </w:r>
    </w:p>
    <w:p>
      <w:pPr>
        <w:tabs>
          <w:tab w:val="left" w:pos="5580"/>
        </w:tabs>
        <w:adjustRightInd w:val="0"/>
        <w:snapToGrid w:val="0"/>
        <w:spacing w:line="360" w:lineRule="auto"/>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三、法定代表人授权委托书</w:t>
      </w:r>
      <w:r>
        <w:rPr>
          <w:rFonts w:hint="eastAsia" w:ascii="仿宋_GB2312" w:hAnsi="仿宋_GB2312" w:eastAsia="仿宋_GB2312" w:cs="仿宋_GB2312"/>
          <w:b/>
          <w:sz w:val="24"/>
          <w:szCs w:val="24"/>
          <w:lang w:val="en-US" w:eastAsia="zh-CN"/>
        </w:rPr>
        <w:t>或法定代表人证明</w:t>
      </w: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四、</w:t>
      </w:r>
      <w:r>
        <w:rPr>
          <w:rFonts w:hint="eastAsia" w:ascii="仿宋_GB2312" w:hAnsi="仿宋_GB2312" w:eastAsia="仿宋_GB2312" w:cs="仿宋_GB2312"/>
          <w:b/>
          <w:sz w:val="24"/>
          <w:szCs w:val="24"/>
          <w:lang w:val="en-US" w:eastAsia="zh-CN"/>
        </w:rPr>
        <w:t>投标报价表格式</w:t>
      </w:r>
    </w:p>
    <w:p>
      <w:pPr>
        <w:adjustRightInd w:val="0"/>
        <w:snapToGrid w:val="0"/>
        <w:spacing w:line="360" w:lineRule="auto"/>
        <w:rPr>
          <w:rFonts w:ascii="仿宋_GB2312" w:hAnsi="仿宋_GB2312" w:eastAsia="仿宋_GB2312" w:cs="仿宋_GB2312"/>
          <w:b/>
          <w:sz w:val="24"/>
          <w:szCs w:val="24"/>
          <w:highlight w:val="yellow"/>
        </w:rPr>
      </w:pPr>
      <w:r>
        <w:rPr>
          <w:rFonts w:hint="eastAsia" w:ascii="仿宋_GB2312" w:hAnsi="仿宋_GB2312" w:eastAsia="仿宋_GB2312" w:cs="仿宋_GB2312"/>
          <w:b/>
          <w:sz w:val="24"/>
          <w:szCs w:val="24"/>
        </w:rPr>
        <w:t>五、项目管理机构组成表（框图式）</w:t>
      </w:r>
    </w:p>
    <w:p>
      <w:pPr>
        <w:adjustRightInd w:val="0"/>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六、</w:t>
      </w:r>
      <w:r>
        <w:rPr>
          <w:rFonts w:hint="eastAsia" w:ascii="仿宋_GB2312" w:hAnsi="仿宋_GB2312" w:eastAsia="仿宋_GB2312" w:cs="仿宋_GB2312"/>
          <w:b/>
          <w:sz w:val="24"/>
          <w:szCs w:val="24"/>
          <w:lang w:val="en-US" w:eastAsia="zh-CN"/>
        </w:rPr>
        <w:t>项目管理部人员配置表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七、</w:t>
      </w:r>
      <w:r>
        <w:rPr>
          <w:rFonts w:hint="eastAsia" w:ascii="仿宋_GB2312" w:hAnsi="仿宋_GB2312" w:eastAsia="仿宋_GB2312" w:cs="仿宋_GB2312"/>
          <w:b/>
          <w:sz w:val="24"/>
          <w:szCs w:val="24"/>
          <w:lang w:val="en-US" w:eastAsia="zh-CN"/>
        </w:rPr>
        <w:t>主要人员简历表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八、资格审查资料</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九、材料品牌一览表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十、施工组织设计</w:t>
      </w:r>
    </w:p>
    <w:p>
      <w:pPr>
        <w:adjustRightInd w:val="0"/>
        <w:snapToGrid w:val="0"/>
        <w:spacing w:line="360" w:lineRule="auto"/>
        <w:rPr>
          <w:rFonts w:hint="eastAsia" w:ascii="宋体" w:hAnsi="宋体" w:eastAsia="宋体" w:cs="宋体"/>
          <w:b w:val="0"/>
          <w:bCs/>
          <w:kern w:val="2"/>
          <w:sz w:val="32"/>
          <w:szCs w:val="32"/>
          <w:lang w:val="en-US" w:eastAsia="zh-CN" w:bidi="ar-SA"/>
        </w:rPr>
      </w:pPr>
      <w:r>
        <w:rPr>
          <w:rFonts w:hint="eastAsia" w:ascii="仿宋_GB2312" w:hAnsi="仿宋_GB2312" w:eastAsia="仿宋_GB2312" w:cs="仿宋_GB2312"/>
          <w:b/>
          <w:sz w:val="24"/>
          <w:szCs w:val="24"/>
          <w:lang w:val="en-US" w:eastAsia="zh-CN"/>
        </w:rPr>
        <w:t>十一、供应商二次报价函（格式）</w:t>
      </w:r>
    </w:p>
    <w:p>
      <w:pPr>
        <w:pStyle w:val="2"/>
        <w:rPr>
          <w:rFonts w:hint="eastAsia"/>
          <w:lang w:val="en-US" w:eastAsia="zh-CN"/>
        </w:rPr>
      </w:pPr>
    </w:p>
    <w:p>
      <w:pPr>
        <w:pStyle w:val="25"/>
        <w:rPr>
          <w:rFonts w:hint="default"/>
          <w:lang w:val="en-US" w:eastAsia="zh-CN"/>
        </w:rPr>
      </w:pPr>
    </w:p>
    <w:p>
      <w:pPr>
        <w:adjustRightInd w:val="0"/>
        <w:snapToGrid w:val="0"/>
        <w:spacing w:line="360" w:lineRule="auto"/>
        <w:rPr>
          <w:rFonts w:ascii="仿宋_GB2312" w:hAnsi="仿宋_GB2312" w:eastAsia="仿宋_GB2312" w:cs="仿宋_GB2312"/>
          <w:b/>
          <w:sz w:val="24"/>
          <w:szCs w:val="24"/>
        </w:rPr>
      </w:pP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pStyle w:val="5"/>
        <w:rPr>
          <w:rFonts w:ascii="宋体" w:hAnsi="宋体"/>
        </w:rPr>
      </w:pPr>
      <w:r>
        <w:rPr>
          <w:rFonts w:hint="eastAsia" w:ascii="宋体" w:hAnsi="宋体"/>
        </w:rPr>
        <w:t>一、磋商函</w:t>
      </w:r>
    </w:p>
    <w:p>
      <w:pPr>
        <w:spacing w:line="360" w:lineRule="auto"/>
        <w:jc w:val="center"/>
        <w:rPr>
          <w:rFonts w:ascii="宋体" w:hAnsi="宋体"/>
          <w:b/>
          <w:bCs/>
          <w:szCs w:val="28"/>
        </w:rPr>
      </w:pPr>
      <w:r>
        <w:rPr>
          <w:rFonts w:hint="eastAsia" w:ascii="仿宋_GB2312" w:hAnsi="仿宋_GB2312" w:eastAsia="仿宋_GB2312" w:cs="仿宋_GB2312"/>
          <w:b/>
          <w:szCs w:val="28"/>
        </w:rPr>
        <w:t>磋商函</w:t>
      </w:r>
    </w:p>
    <w:p>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采购人：</w:t>
      </w:r>
      <w:r>
        <w:rPr>
          <w:rFonts w:hint="eastAsia" w:ascii="宋体" w:hAnsi="宋体"/>
          <w:sz w:val="21"/>
          <w:szCs w:val="21"/>
          <w:u w:val="single"/>
        </w:rPr>
        <w:t xml:space="preserve"> 皖南医学院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代理机构：</w:t>
      </w:r>
      <w:r>
        <w:rPr>
          <w:rFonts w:hint="eastAsia" w:ascii="宋体" w:hAnsi="宋体"/>
          <w:sz w:val="21"/>
          <w:szCs w:val="21"/>
          <w:u w:val="single"/>
        </w:rPr>
        <w:t>安徽中技工程咨询有限公司</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1、根据你方招标工程项目编号为</w:t>
      </w:r>
      <w:r>
        <w:rPr>
          <w:rFonts w:hint="eastAsia" w:ascii="宋体" w:hAnsi="宋体"/>
          <w:sz w:val="21"/>
          <w:szCs w:val="21"/>
          <w:u w:val="single"/>
        </w:rPr>
        <w:t>（项目编号）</w:t>
      </w:r>
      <w:r>
        <w:rPr>
          <w:rFonts w:hint="eastAsia" w:ascii="宋体" w:hAnsi="宋体"/>
          <w:sz w:val="21"/>
          <w:szCs w:val="21"/>
          <w:u w:val="single"/>
          <w:lang w:val="en-US" w:eastAsia="zh-CN"/>
        </w:rPr>
        <w:t xml:space="preserve"> WYGZ2023039</w:t>
      </w:r>
      <w:r>
        <w:rPr>
          <w:rFonts w:hint="eastAsia" w:ascii="宋体" w:hAnsi="宋体"/>
          <w:sz w:val="21"/>
          <w:szCs w:val="21"/>
        </w:rPr>
        <w:t xml:space="preserve">的 </w:t>
      </w:r>
      <w:r>
        <w:rPr>
          <w:rFonts w:hint="eastAsia" w:ascii="宋体" w:hAnsi="宋体"/>
          <w:sz w:val="21"/>
          <w:szCs w:val="21"/>
          <w:u w:val="single"/>
        </w:rPr>
        <w:t xml:space="preserve"> （项目名称） </w:t>
      </w:r>
      <w:r>
        <w:rPr>
          <w:rFonts w:hint="eastAsia" w:ascii="宋体" w:hAnsi="宋体"/>
          <w:sz w:val="21"/>
          <w:szCs w:val="21"/>
          <w:u w:val="single"/>
          <w:lang w:eastAsia="zh-CN"/>
        </w:rPr>
        <w:t>皖南医学院脑科学研究院临床研究部办公室装修工程</w:t>
      </w:r>
      <w:r>
        <w:rPr>
          <w:rFonts w:hint="eastAsia" w:ascii="宋体" w:hAnsi="宋体"/>
          <w:sz w:val="21"/>
          <w:szCs w:val="21"/>
          <w:u w:val="single"/>
        </w:rPr>
        <w:t xml:space="preserve"> </w:t>
      </w:r>
      <w:r>
        <w:rPr>
          <w:rFonts w:hint="eastAsia" w:ascii="宋体" w:hAnsi="宋体"/>
          <w:sz w:val="21"/>
          <w:szCs w:val="21"/>
        </w:rPr>
        <w:t>采购文件，经考察项目现场和研究上述工程采购文件的投标须知、图纸、合同条款、工程量清单、相关技术要求及其他招标资料后，我方愿意以人民币（大写）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 xml:space="preserve"> )，并按上述图纸、合同条款、工程量清单技术要求及贵单位提供的其他招标资料要求承包上述工程的施工、竣工并承担任何质量缺陷保修责任。</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2、我方资质为</w:t>
      </w:r>
      <w:r>
        <w:rPr>
          <w:rFonts w:hint="eastAsia" w:ascii="宋体" w:hAnsi="宋体"/>
          <w:sz w:val="21"/>
          <w:szCs w:val="21"/>
          <w:u w:val="single"/>
        </w:rPr>
        <w:t xml:space="preserve">             </w:t>
      </w:r>
      <w:r>
        <w:rPr>
          <w:rFonts w:hint="eastAsia" w:ascii="宋体" w:hAnsi="宋体"/>
          <w:sz w:val="21"/>
          <w:szCs w:val="21"/>
        </w:rPr>
        <w:t xml:space="preserve"> 。如我方中标，我方保证本工程不转包、分包。</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3、如我方中标，我方拟派</w:t>
      </w:r>
      <w:r>
        <w:rPr>
          <w:rFonts w:hint="eastAsia" w:ascii="宋体" w:hAnsi="宋体"/>
          <w:sz w:val="21"/>
          <w:szCs w:val="21"/>
          <w:u w:val="single"/>
        </w:rPr>
        <w:t xml:space="preserve">      </w:t>
      </w:r>
      <w:r>
        <w:rPr>
          <w:rFonts w:hint="eastAsia" w:ascii="宋体" w:hAnsi="宋体"/>
          <w:sz w:val="21"/>
          <w:szCs w:val="21"/>
        </w:rPr>
        <w:t>为本工程项目负责人，其资质为</w:t>
      </w:r>
      <w:r>
        <w:rPr>
          <w:rFonts w:hint="eastAsia" w:ascii="宋体" w:hAnsi="宋体"/>
          <w:sz w:val="21"/>
          <w:szCs w:val="21"/>
          <w:u w:val="single"/>
        </w:rPr>
        <w:t xml:space="preserve">     </w:t>
      </w:r>
      <w:r>
        <w:rPr>
          <w:rFonts w:hint="eastAsia" w:ascii="宋体" w:hAnsi="宋体"/>
          <w:sz w:val="21"/>
          <w:szCs w:val="21"/>
        </w:rPr>
        <w:t xml:space="preserve"> ，在本工程竣工前不予变更。</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4、如我方中标，我方保证按合同中规定的开工日期开始施工，在投标工期</w:t>
      </w:r>
      <w:r>
        <w:rPr>
          <w:rFonts w:hint="eastAsia" w:ascii="宋体" w:hAnsi="宋体"/>
          <w:sz w:val="21"/>
          <w:szCs w:val="21"/>
          <w:u w:val="single"/>
        </w:rPr>
        <w:t xml:space="preserve">      </w:t>
      </w:r>
      <w:r>
        <w:rPr>
          <w:rFonts w:hint="eastAsia" w:ascii="宋体" w:hAnsi="宋体"/>
          <w:sz w:val="21"/>
          <w:szCs w:val="21"/>
        </w:rPr>
        <w:t>日历天内完工并交付全部工程，并确保该工程竣工验收质量达到</w:t>
      </w:r>
      <w:r>
        <w:rPr>
          <w:rFonts w:hint="eastAsia" w:ascii="宋体" w:hAnsi="宋体"/>
          <w:sz w:val="21"/>
          <w:szCs w:val="21"/>
          <w:u w:val="single"/>
        </w:rPr>
        <w:t xml:space="preserve">     </w:t>
      </w:r>
      <w:r>
        <w:rPr>
          <w:rFonts w:hint="eastAsia" w:ascii="宋体" w:hAnsi="宋体"/>
          <w:sz w:val="21"/>
          <w:szCs w:val="21"/>
        </w:rPr>
        <w:t xml:space="preserve">标准。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5、如果我方中标，我方将按照合同条款的规定提交履约保证金，并对此共同地和分别地承担责任。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6、我方同意所提交的响应文件，从采购文件规定的投标截止期开始，在投标有效期内有效，在此期间内如中标，我方将受此约束。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7、你方的中标通知书及采购文件和本响应文件将成为约束双方的合同文件的组成部分。</w:t>
      </w:r>
    </w:p>
    <w:p>
      <w:pPr>
        <w:adjustRightInd w:val="0"/>
        <w:snapToGrid w:val="0"/>
        <w:spacing w:line="360" w:lineRule="auto"/>
        <w:ind w:firstLine="420" w:firstLineChars="200"/>
        <w:rPr>
          <w:rFonts w:ascii="宋体" w:hAnsi="宋体"/>
          <w:sz w:val="21"/>
          <w:szCs w:val="21"/>
        </w:rPr>
      </w:pPr>
    </w:p>
    <w:p>
      <w:pPr>
        <w:pStyle w:val="2"/>
        <w:ind w:left="1680"/>
        <w:rPr>
          <w:sz w:val="24"/>
          <w:szCs w:val="24"/>
        </w:rPr>
      </w:pPr>
    </w:p>
    <w:p>
      <w:pPr>
        <w:adjustRightInd w:val="0"/>
        <w:snapToGrid w:val="0"/>
        <w:spacing w:line="360" w:lineRule="auto"/>
        <w:rPr>
          <w:rFonts w:ascii="宋体" w:hAnsi="宋体"/>
          <w:sz w:val="21"/>
          <w:szCs w:val="21"/>
        </w:rPr>
      </w:pPr>
      <w:r>
        <w:rPr>
          <w:rFonts w:ascii="宋体" w:hAnsi="宋体"/>
          <w:sz w:val="21"/>
          <w:szCs w:val="21"/>
        </w:rPr>
        <w:t>供应商：</w:t>
      </w:r>
      <w:r>
        <w:rPr>
          <w:rFonts w:hint="eastAsia" w:ascii="宋体" w:hAnsi="宋体"/>
          <w:sz w:val="21"/>
          <w:szCs w:val="21"/>
        </w:rPr>
        <w:t>(盖单位公章)</w:t>
      </w:r>
    </w:p>
    <w:p>
      <w:pPr>
        <w:spacing w:line="360" w:lineRule="auto"/>
        <w:rPr>
          <w:rFonts w:ascii="宋体" w:hAnsi="宋体"/>
          <w:sz w:val="21"/>
          <w:szCs w:val="21"/>
        </w:rPr>
      </w:pPr>
      <w:r>
        <w:rPr>
          <w:rFonts w:ascii="宋体" w:hAnsi="宋体"/>
          <w:sz w:val="21"/>
          <w:szCs w:val="21"/>
        </w:rPr>
        <w:t>单位地址及邮政编码：</w:t>
      </w:r>
    </w:p>
    <w:p>
      <w:pPr>
        <w:adjustRightInd w:val="0"/>
        <w:snapToGrid w:val="0"/>
        <w:spacing w:line="360" w:lineRule="auto"/>
        <w:rPr>
          <w:rFonts w:ascii="宋体" w:hAnsi="宋体"/>
          <w:sz w:val="21"/>
          <w:szCs w:val="21"/>
        </w:rPr>
      </w:pPr>
      <w:r>
        <w:rPr>
          <w:rFonts w:hint="eastAsia" w:ascii="宋体" w:hAnsi="宋体"/>
          <w:sz w:val="21"/>
          <w:szCs w:val="21"/>
        </w:rPr>
        <w:t>法定代表人（签字或盖章）：</w:t>
      </w:r>
    </w:p>
    <w:p>
      <w:pPr>
        <w:adjustRightInd w:val="0"/>
        <w:snapToGrid w:val="0"/>
        <w:spacing w:line="360" w:lineRule="auto"/>
        <w:rPr>
          <w:rFonts w:ascii="宋体" w:hAnsi="宋体"/>
          <w:sz w:val="21"/>
          <w:szCs w:val="21"/>
        </w:rPr>
      </w:pPr>
      <w:r>
        <w:rPr>
          <w:rFonts w:ascii="宋体" w:hAnsi="宋体"/>
          <w:sz w:val="21"/>
          <w:szCs w:val="21"/>
        </w:rPr>
        <w:t xml:space="preserve">联系电话（传真）：  </w:t>
      </w:r>
    </w:p>
    <w:p>
      <w:pPr>
        <w:adjustRightInd w:val="0"/>
        <w:snapToGrid w:val="0"/>
        <w:spacing w:line="360" w:lineRule="auto"/>
        <w:rPr>
          <w:rFonts w:ascii="宋体" w:hAnsi="宋体"/>
          <w:sz w:val="21"/>
          <w:szCs w:val="21"/>
        </w:rPr>
      </w:pPr>
      <w:r>
        <w:rPr>
          <w:rFonts w:ascii="宋体" w:hAnsi="宋体"/>
          <w:sz w:val="21"/>
          <w:szCs w:val="21"/>
        </w:rPr>
        <w:t xml:space="preserve">开户银行名称：                      </w:t>
      </w:r>
    </w:p>
    <w:p>
      <w:pPr>
        <w:adjustRightInd w:val="0"/>
        <w:snapToGrid w:val="0"/>
        <w:spacing w:line="360" w:lineRule="auto"/>
        <w:rPr>
          <w:rFonts w:ascii="宋体" w:hAnsi="宋体"/>
          <w:sz w:val="21"/>
          <w:szCs w:val="21"/>
        </w:rPr>
      </w:pPr>
      <w:r>
        <w:rPr>
          <w:rFonts w:hint="eastAsia" w:ascii="宋体" w:hAnsi="宋体"/>
          <w:sz w:val="21"/>
          <w:szCs w:val="21"/>
        </w:rPr>
        <w:t xml:space="preserve">开户银行账号（基本账户）： </w:t>
      </w:r>
    </w:p>
    <w:p>
      <w:pPr>
        <w:adjustRightInd w:val="0"/>
        <w:snapToGrid w:val="0"/>
        <w:spacing w:line="360" w:lineRule="auto"/>
        <w:rPr>
          <w:rFonts w:ascii="宋体" w:hAnsi="宋体"/>
          <w:sz w:val="21"/>
          <w:szCs w:val="21"/>
        </w:rPr>
      </w:pPr>
      <w:r>
        <w:rPr>
          <w:rFonts w:ascii="宋体" w:hAnsi="宋体"/>
          <w:sz w:val="21"/>
          <w:szCs w:val="21"/>
        </w:rPr>
        <w:t>开户银行地址：</w:t>
      </w:r>
    </w:p>
    <w:p>
      <w:pPr>
        <w:adjustRightInd w:val="0"/>
        <w:snapToGrid w:val="0"/>
        <w:spacing w:line="360" w:lineRule="auto"/>
        <w:rPr>
          <w:rFonts w:ascii="宋体" w:hAnsi="宋体"/>
          <w:sz w:val="21"/>
          <w:szCs w:val="21"/>
        </w:rPr>
      </w:pPr>
      <w:r>
        <w:rPr>
          <w:rFonts w:ascii="宋体" w:hAnsi="宋体"/>
          <w:sz w:val="21"/>
          <w:szCs w:val="21"/>
        </w:rPr>
        <w:t>开户银行电话：</w:t>
      </w:r>
    </w:p>
    <w:p>
      <w:pPr>
        <w:adjustRightInd w:val="0"/>
        <w:snapToGrid w:val="0"/>
        <w:spacing w:line="360" w:lineRule="auto"/>
        <w:jc w:val="right"/>
        <w:rPr>
          <w:rFonts w:ascii="宋体" w:hAnsi="宋体"/>
          <w:sz w:val="21"/>
          <w:szCs w:val="21"/>
        </w:rPr>
      </w:pPr>
      <w:r>
        <w:rPr>
          <w:rFonts w:ascii="宋体" w:hAnsi="宋体"/>
          <w:sz w:val="21"/>
          <w:szCs w:val="21"/>
        </w:rPr>
        <w:t xml:space="preserve">                                                          年    月    日</w:t>
      </w:r>
    </w:p>
    <w:p>
      <w:pPr>
        <w:adjustRightInd w:val="0"/>
        <w:snapToGrid w:val="0"/>
        <w:spacing w:line="360" w:lineRule="auto"/>
        <w:jc w:val="right"/>
        <w:rPr>
          <w:rFonts w:ascii="宋体" w:hAnsi="宋体"/>
          <w:sz w:val="21"/>
          <w:szCs w:val="21"/>
        </w:rPr>
        <w:sectPr>
          <w:footerReference r:id="rId3" w:type="default"/>
          <w:pgSz w:w="11906" w:h="16838"/>
          <w:pgMar w:top="1440" w:right="1080" w:bottom="1440" w:left="1080" w:header="851" w:footer="992" w:gutter="0"/>
          <w:pgNumType w:fmt="decimal"/>
          <w:cols w:space="720" w:num="1"/>
          <w:docGrid w:linePitch="315" w:charSpace="0"/>
        </w:sectPr>
      </w:pPr>
    </w:p>
    <w:p>
      <w:pPr>
        <w:jc w:val="center"/>
        <w:rPr>
          <w:rFonts w:hint="eastAsia" w:ascii="宋体" w:hAnsi="宋体" w:eastAsia="宋体" w:cs="宋体"/>
          <w:b/>
          <w:color w:val="000000"/>
          <w:sz w:val="32"/>
          <w:szCs w:val="32"/>
        </w:rPr>
      </w:pPr>
      <w:r>
        <w:rPr>
          <w:rFonts w:hint="eastAsia" w:ascii="宋体" w:hAnsi="宋体" w:eastAsia="宋体" w:cs="宋体"/>
          <w:bCs/>
          <w:sz w:val="32"/>
          <w:szCs w:val="32"/>
        </w:rPr>
        <w:t>二、投标人资格声明书</w:t>
      </w:r>
    </w:p>
    <w:p>
      <w:pPr>
        <w:tabs>
          <w:tab w:val="left" w:pos="5580"/>
        </w:tabs>
        <w:spacing w:line="360" w:lineRule="auto"/>
        <w:rPr>
          <w:sz w:val="24"/>
        </w:rPr>
      </w:pPr>
    </w:p>
    <w:p>
      <w:pPr>
        <w:tabs>
          <w:tab w:val="left" w:pos="5580"/>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b/>
          <w:sz w:val="21"/>
          <w:szCs w:val="21"/>
          <w:highlight w:val="none"/>
          <w:u w:val="single"/>
        </w:rPr>
        <w:t>皖南医学院</w:t>
      </w:r>
    </w:p>
    <w:p>
      <w:pPr>
        <w:spacing w:line="360" w:lineRule="auto"/>
        <w:ind w:firstLine="378"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在参与本次项目投标中，我单位承诺：</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具有良好的商业信誉和健全的财务会计制度；</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具有履行合同所必需的设备和专业技术能力；</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有依法缴纳税收和社会保障资金的良好记录；</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cs="宋体"/>
          <w:sz w:val="21"/>
          <w:szCs w:val="21"/>
          <w:highlight w:val="none"/>
          <w:lang w:eastAsia="zh-CN"/>
        </w:rPr>
        <w:t>我</w:t>
      </w:r>
      <w:r>
        <w:rPr>
          <w:rFonts w:hint="eastAsia" w:ascii="宋体" w:hAnsi="宋体" w:cs="宋体"/>
          <w:sz w:val="21"/>
          <w:szCs w:val="21"/>
          <w:highlight w:val="none"/>
          <w:lang w:val="en-US" w:eastAsia="zh-CN"/>
        </w:rPr>
        <w:t>单位不存</w:t>
      </w:r>
      <w:r>
        <w:rPr>
          <w:rFonts w:hint="eastAsia" w:ascii="宋体" w:hAnsi="宋体" w:eastAsia="宋体" w:cs="宋体"/>
          <w:sz w:val="21"/>
          <w:szCs w:val="21"/>
          <w:highlight w:val="none"/>
        </w:rPr>
        <w:t>在被皖南医学院以工期延误或决算办理迟缓发函警告的</w:t>
      </w:r>
      <w:r>
        <w:rPr>
          <w:rFonts w:hint="eastAsia" w:ascii="宋体" w:hAnsi="宋体" w:cs="宋体"/>
          <w:sz w:val="21"/>
          <w:szCs w:val="21"/>
          <w:highlight w:val="none"/>
          <w:lang w:val="en-US" w:eastAsia="zh-CN"/>
        </w:rPr>
        <w:t>情形；</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与我单位存在“单位负责人为同一人或者存在直接控股、管理关系”的其他法人单位信息如下：</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57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29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p>
    <w:p>
      <w:pPr>
        <w:ind w:firstLine="378" w:firstLineChars="200"/>
        <w:rPr>
          <w:rFonts w:hint="eastAsia" w:ascii="宋体" w:hAnsi="宋体" w:eastAsia="宋体" w:cs="宋体"/>
          <w:sz w:val="21"/>
          <w:szCs w:val="21"/>
        </w:rPr>
      </w:pPr>
      <w:r>
        <w:rPr>
          <w:rFonts w:hint="eastAsia" w:ascii="宋体" w:hAnsi="宋体" w:eastAsia="宋体" w:cs="宋体"/>
          <w:sz w:val="21"/>
          <w:szCs w:val="21"/>
        </w:rPr>
        <w:t>上述声明真实有效，否则我方负全部责任。</w:t>
      </w:r>
    </w:p>
    <w:p>
      <w:pPr>
        <w:spacing w:line="360" w:lineRule="auto"/>
        <w:rPr>
          <w:rFonts w:hint="eastAsia" w:ascii="宋体" w:hAnsi="宋体" w:eastAsia="宋体" w:cs="宋体"/>
          <w:sz w:val="21"/>
          <w:szCs w:val="21"/>
        </w:rPr>
      </w:pPr>
    </w:p>
    <w:p>
      <w:pPr>
        <w:autoSpaceDE w:val="0"/>
        <w:autoSpaceDN w:val="0"/>
        <w:adjustRightInd w:val="0"/>
        <w:snapToGrid w:val="0"/>
        <w:spacing w:before="25" w:after="25" w:line="360" w:lineRule="auto"/>
        <w:jc w:val="right"/>
        <w:rPr>
          <w:rFonts w:hint="eastAsia" w:ascii="宋体" w:hAnsi="宋体" w:eastAsia="宋体" w:cs="宋体"/>
          <w:color w:val="000000"/>
          <w:sz w:val="21"/>
          <w:szCs w:val="21"/>
          <w:lang w:val="zh-CN"/>
        </w:rPr>
      </w:pPr>
      <w:r>
        <w:rPr>
          <w:rFonts w:hint="eastAsia" w:ascii="宋体" w:hAnsi="宋体" w:eastAsia="宋体" w:cs="宋体"/>
          <w:color w:val="000000"/>
          <w:sz w:val="21"/>
          <w:szCs w:val="21"/>
        </w:rPr>
        <w:t>投标人名称（</w:t>
      </w:r>
      <w:r>
        <w:rPr>
          <w:rFonts w:hint="eastAsia" w:ascii="宋体" w:hAnsi="宋体" w:eastAsia="宋体" w:cs="宋体"/>
          <w:sz w:val="21"/>
          <w:szCs w:val="21"/>
        </w:rPr>
        <w:t>盖单位公章</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    ____________</w:t>
      </w:r>
    </w:p>
    <w:p>
      <w:pPr>
        <w:spacing w:line="360" w:lineRule="auto"/>
        <w:ind w:right="360" w:firstLine="480"/>
        <w:jc w:val="right"/>
        <w:rPr>
          <w:rFonts w:hint="eastAsia" w:ascii="宋体" w:hAnsi="宋体" w:eastAsia="宋体" w:cs="宋体"/>
          <w:sz w:val="21"/>
          <w:szCs w:val="21"/>
        </w:rPr>
      </w:pPr>
      <w:r>
        <w:rPr>
          <w:rFonts w:hint="eastAsia" w:ascii="宋体" w:hAnsi="宋体" w:eastAsia="宋体" w:cs="宋体"/>
          <w:color w:val="000000"/>
          <w:sz w:val="21"/>
          <w:szCs w:val="21"/>
        </w:rPr>
        <w:t xml:space="preserve">日期：_____年______月______日   </w:t>
      </w:r>
    </w:p>
    <w:p>
      <w:pPr>
        <w:jc w:val="left"/>
        <w:rPr>
          <w:rFonts w:hint="eastAsia" w:ascii="宋体" w:hAnsi="宋体" w:eastAsia="宋体" w:cs="宋体"/>
          <w:bCs/>
          <w:sz w:val="21"/>
          <w:szCs w:val="21"/>
          <w:lang w:val="en-US" w:eastAsia="zh-CN"/>
        </w:rPr>
      </w:pPr>
      <w:r>
        <w:rPr>
          <w:rFonts w:hint="eastAsia" w:ascii="宋体" w:hAnsi="宋体" w:eastAsia="宋体" w:cs="宋体"/>
          <w:sz w:val="21"/>
          <w:szCs w:val="21"/>
        </w:rPr>
        <w:br w:type="page"/>
      </w:r>
      <w:r>
        <w:rPr>
          <w:rFonts w:hint="eastAsia" w:ascii="宋体" w:hAnsi="宋体" w:eastAsia="宋体" w:cs="宋体"/>
          <w:bCs/>
          <w:sz w:val="32"/>
          <w:szCs w:val="32"/>
        </w:rPr>
        <w:t>三、法定代表人授权委托书</w:t>
      </w:r>
      <w:r>
        <w:rPr>
          <w:rFonts w:hint="eastAsia" w:ascii="宋体" w:hAnsi="宋体" w:cs="宋体"/>
          <w:bCs/>
          <w:sz w:val="32"/>
          <w:szCs w:val="32"/>
          <w:lang w:val="en-US" w:eastAsia="zh-CN"/>
        </w:rPr>
        <w:t>或</w:t>
      </w:r>
      <w:r>
        <w:rPr>
          <w:rFonts w:hint="eastAsia" w:ascii="宋体" w:hAnsi="宋体" w:eastAsia="宋体" w:cs="宋体"/>
          <w:bCs/>
          <w:sz w:val="32"/>
          <w:szCs w:val="32"/>
        </w:rPr>
        <w:t>法定代表人证明</w:t>
      </w:r>
    </w:p>
    <w:p>
      <w:pPr>
        <w:spacing w:line="360" w:lineRule="auto"/>
        <w:jc w:val="center"/>
        <w:rPr>
          <w:rFonts w:hint="eastAsia" w:ascii="宋体" w:hAnsi="宋体" w:eastAsia="宋体" w:cs="宋体"/>
          <w:bCs/>
          <w:sz w:val="32"/>
          <w:szCs w:val="32"/>
        </w:rPr>
      </w:pPr>
    </w:p>
    <w:p>
      <w:pPr>
        <w:spacing w:line="360" w:lineRule="auto"/>
        <w:jc w:val="center"/>
        <w:rPr>
          <w:rFonts w:hint="eastAsia" w:ascii="宋体" w:hAnsi="宋体" w:eastAsia="宋体" w:cs="宋体"/>
          <w:b/>
          <w:bCs/>
          <w:sz w:val="21"/>
          <w:szCs w:val="21"/>
        </w:rPr>
      </w:pPr>
      <w:r>
        <w:rPr>
          <w:rFonts w:hint="eastAsia" w:ascii="宋体" w:hAnsi="宋体" w:eastAsia="宋体" w:cs="宋体"/>
          <w:bCs/>
          <w:sz w:val="32"/>
          <w:szCs w:val="32"/>
        </w:rPr>
        <w:t>法定代表人授权委托书</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（适用于授权委托人参加投标）</w:t>
      </w:r>
    </w:p>
    <w:p>
      <w:pPr>
        <w:widowControl/>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本授权委托书申明，我</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(姓名)系 </w:t>
      </w:r>
      <w:r>
        <w:rPr>
          <w:rFonts w:hint="eastAsia" w:ascii="宋体" w:hAnsi="宋体" w:eastAsia="宋体" w:cs="宋体"/>
          <w:kern w:val="0"/>
          <w:sz w:val="21"/>
          <w:szCs w:val="21"/>
          <w:u w:val="single"/>
        </w:rPr>
        <w:t>         </w:t>
      </w:r>
      <w:r>
        <w:rPr>
          <w:rFonts w:hint="eastAsia" w:ascii="宋体" w:hAnsi="宋体" w:eastAsia="宋体" w:cs="宋体"/>
          <w:kern w:val="0"/>
          <w:sz w:val="21"/>
          <w:szCs w:val="21"/>
        </w:rPr>
        <w:t>(供应商名称)的法定代表人，现授权委托</w:t>
      </w:r>
      <w:r>
        <w:rPr>
          <w:rFonts w:hint="eastAsia" w:ascii="宋体" w:hAnsi="宋体" w:eastAsia="宋体" w:cs="宋体"/>
          <w:kern w:val="0"/>
          <w:sz w:val="21"/>
          <w:szCs w:val="21"/>
          <w:u w:val="single"/>
        </w:rPr>
        <w:t>     </w:t>
      </w:r>
      <w:r>
        <w:rPr>
          <w:rFonts w:hint="eastAsia" w:ascii="宋体" w:hAnsi="宋体" w:eastAsia="宋体" w:cs="宋体"/>
          <w:kern w:val="0"/>
          <w:sz w:val="21"/>
          <w:szCs w:val="21"/>
        </w:rPr>
        <w:t>(姓名)为我方代理人，参加</w:t>
      </w:r>
      <w:r>
        <w:rPr>
          <w:rFonts w:hint="eastAsia" w:ascii="宋体" w:hAnsi="宋体" w:eastAsia="宋体" w:cs="宋体"/>
          <w:kern w:val="0"/>
          <w:sz w:val="21"/>
          <w:szCs w:val="21"/>
          <w:u w:val="single"/>
        </w:rPr>
        <w:t>        </w:t>
      </w:r>
      <w:r>
        <w:rPr>
          <w:rFonts w:hint="eastAsia" w:ascii="宋体" w:hAnsi="宋体" w:eastAsia="宋体" w:cs="宋体"/>
          <w:kern w:val="0"/>
          <w:sz w:val="21"/>
          <w:szCs w:val="21"/>
        </w:rPr>
        <w:t>(采购人名称)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(项目名称) 的投标活动。代理人在本项目的投标、开标、评审、合同谈判及合同的执行和保修保养时签署的一切文件和处理与之有关的一切事物，我均予以承认，并承担其法律后果。委托期限：自本委托书签发之日起，至本招标项目履约结束时止。</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代理人无转委托权，特此委托。</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w:t>
      </w:r>
      <w:r>
        <w:rPr>
          <w:rFonts w:hint="eastAsia" w:ascii="宋体" w:hAnsi="宋体" w:eastAsia="宋体" w:cs="宋体"/>
          <w:kern w:val="0"/>
          <w:sz w:val="21"/>
          <w:szCs w:val="21"/>
          <w:u w:val="single"/>
        </w:rPr>
        <w:t>        </w:t>
      </w:r>
      <w:r>
        <w:rPr>
          <w:rFonts w:hint="eastAsia" w:ascii="宋体" w:hAnsi="宋体" w:eastAsia="宋体" w:cs="宋体"/>
          <w:kern w:val="0"/>
          <w:sz w:val="21"/>
          <w:szCs w:val="21"/>
        </w:rPr>
        <w:t>（签字或盖章）</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代理人身份证号码：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性别: </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年龄：</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供应商：</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r>
        <w:rPr>
          <w:rFonts w:hint="eastAsia" w:ascii="宋体" w:hAnsi="宋体" w:eastAsia="宋体" w:cs="宋体"/>
          <w:sz w:val="21"/>
          <w:szCs w:val="21"/>
        </w:rPr>
        <w:t>加盖单位公章</w:t>
      </w:r>
      <w:r>
        <w:rPr>
          <w:rFonts w:hint="eastAsia" w:ascii="宋体" w:hAnsi="宋体" w:eastAsia="宋体" w:cs="宋体"/>
          <w:kern w:val="0"/>
          <w:sz w:val="21"/>
          <w:szCs w:val="21"/>
        </w:rPr>
        <w:t>)</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（签字或盖章）</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法定代表人身份证号码：</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签发日期:</w:t>
      </w:r>
      <w:r>
        <w:rPr>
          <w:rFonts w:hint="eastAsia" w:ascii="宋体" w:hAnsi="宋体" w:eastAsia="宋体" w:cs="宋体"/>
          <w:kern w:val="0"/>
          <w:sz w:val="21"/>
          <w:szCs w:val="21"/>
          <w:u w:val="single"/>
        </w:rPr>
        <w:t xml:space="preserve">     年   月  日         </w:t>
      </w:r>
    </w:p>
    <w:p>
      <w:pPr>
        <w:spacing w:line="360" w:lineRule="auto"/>
        <w:jc w:val="center"/>
        <w:rPr>
          <w:rFonts w:hint="eastAsia" w:ascii="宋体" w:hAnsi="宋体" w:eastAsia="宋体" w:cs="宋体"/>
          <w:bCs/>
          <w:sz w:val="21"/>
          <w:szCs w:val="21"/>
        </w:rPr>
      </w:pPr>
      <w:r>
        <w:rPr>
          <w:rFonts w:hint="eastAsia" w:ascii="宋体" w:hAnsi="宋体" w:eastAsia="宋体" w:cs="宋体"/>
          <w:bCs/>
          <w:kern w:val="0"/>
          <w:sz w:val="21"/>
          <w:szCs w:val="21"/>
        </w:rPr>
        <w:t>须提供法定代表人及授权委托人身份证正反两面扫描件</w:t>
      </w:r>
      <w:r>
        <w:rPr>
          <w:rFonts w:hint="eastAsia" w:ascii="宋体" w:hAnsi="宋体" w:eastAsia="宋体" w:cs="宋体"/>
          <w:b/>
          <w:sz w:val="21"/>
          <w:szCs w:val="21"/>
        </w:rPr>
        <w:br w:type="page"/>
      </w:r>
      <w:r>
        <w:rPr>
          <w:rFonts w:hint="eastAsia" w:ascii="宋体" w:hAnsi="宋体" w:eastAsia="宋体" w:cs="宋体"/>
          <w:bCs/>
          <w:sz w:val="32"/>
          <w:szCs w:val="32"/>
        </w:rPr>
        <w:t>法定代表人证明</w:t>
      </w:r>
    </w:p>
    <w:p>
      <w:pPr>
        <w:spacing w:line="360" w:lineRule="auto"/>
        <w:jc w:val="center"/>
        <w:rPr>
          <w:rFonts w:hint="eastAsia" w:ascii="宋体" w:hAnsi="宋体" w:eastAsia="宋体" w:cs="宋体"/>
          <w:b/>
          <w:bCs/>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（适用于法定代表人参加投标）</w:t>
      </w:r>
    </w:p>
    <w:p>
      <w:pPr>
        <w:pStyle w:val="61"/>
        <w:ind w:firstLine="378"/>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（法定代表人姓名）系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（供应商名称）法定代表人，职务为</w:t>
      </w:r>
      <w:r>
        <w:rPr>
          <w:rFonts w:hint="eastAsia" w:ascii="宋体" w:hAnsi="宋体" w:eastAsia="宋体" w:cs="宋体"/>
          <w:sz w:val="21"/>
          <w:szCs w:val="21"/>
          <w:u w:val="single"/>
        </w:rPr>
        <w:t xml:space="preserve">             </w:t>
      </w:r>
      <w:r>
        <w:rPr>
          <w:rFonts w:hint="eastAsia" w:ascii="宋体" w:hAnsi="宋体" w:eastAsia="宋体" w:cs="宋体"/>
          <w:sz w:val="21"/>
          <w:szCs w:val="21"/>
        </w:rPr>
        <w:t>（职务名称）。</w:t>
      </w:r>
    </w:p>
    <w:p>
      <w:pPr>
        <w:pStyle w:val="61"/>
        <w:ind w:firstLine="378"/>
        <w:rPr>
          <w:rFonts w:hint="eastAsia" w:ascii="宋体" w:hAnsi="宋体" w:eastAsia="宋体" w:cs="宋体"/>
          <w:sz w:val="21"/>
          <w:szCs w:val="21"/>
        </w:rPr>
      </w:pPr>
      <w:r>
        <w:rPr>
          <w:rFonts w:hint="eastAsia" w:ascii="宋体" w:hAnsi="宋体" w:eastAsia="宋体" w:cs="宋体"/>
          <w:sz w:val="21"/>
          <w:szCs w:val="21"/>
        </w:rPr>
        <w:t>特此证明。</w:t>
      </w:r>
    </w:p>
    <w:p>
      <w:pPr>
        <w:pStyle w:val="61"/>
        <w:ind w:firstLine="378"/>
        <w:rPr>
          <w:rFonts w:hint="eastAsia" w:ascii="宋体" w:hAnsi="宋体" w:eastAsia="宋体" w:cs="宋体"/>
          <w:sz w:val="21"/>
          <w:szCs w:val="21"/>
        </w:rPr>
      </w:pPr>
      <w:r>
        <w:rPr>
          <w:rFonts w:hint="eastAsia" w:ascii="宋体" w:hAnsi="宋体" w:eastAsia="宋体" w:cs="宋体"/>
          <w:sz w:val="21"/>
          <w:szCs w:val="21"/>
        </w:rPr>
        <w:t>附：</w:t>
      </w:r>
    </w:p>
    <w:p>
      <w:pPr>
        <w:pStyle w:val="61"/>
        <w:ind w:firstLine="378"/>
        <w:rPr>
          <w:rFonts w:hint="eastAsia" w:ascii="宋体" w:hAnsi="宋体" w:eastAsia="宋体" w:cs="宋体"/>
          <w:sz w:val="21"/>
          <w:szCs w:val="21"/>
        </w:rPr>
      </w:pPr>
      <w:r>
        <w:rPr>
          <w:rFonts w:hint="eastAsia" w:ascii="宋体" w:hAnsi="宋体" w:eastAsia="宋体" w:cs="宋体"/>
          <w:sz w:val="21"/>
          <w:szCs w:val="21"/>
        </w:rPr>
        <w:t>法定代表人身份证号码：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61"/>
        <w:ind w:firstLine="180" w:firstLineChars="95"/>
        <w:jc w:val="right"/>
        <w:rPr>
          <w:rFonts w:hint="eastAsia" w:ascii="宋体" w:hAnsi="宋体" w:eastAsia="宋体" w:cs="宋体"/>
          <w:sz w:val="21"/>
          <w:szCs w:val="21"/>
        </w:rPr>
      </w:pPr>
      <w:r>
        <w:rPr>
          <w:rFonts w:hint="eastAsia" w:ascii="宋体" w:hAnsi="宋体" w:eastAsia="宋体" w:cs="宋体"/>
          <w:kern w:val="0"/>
          <w:sz w:val="21"/>
          <w:szCs w:val="21"/>
        </w:rPr>
        <w:t>供应商</w:t>
      </w:r>
      <w:r>
        <w:rPr>
          <w:rFonts w:hint="eastAsia" w:ascii="宋体" w:hAnsi="宋体" w:eastAsia="宋体" w:cs="宋体"/>
          <w:sz w:val="21"/>
          <w:szCs w:val="21"/>
        </w:rPr>
        <w:t>全称 (加盖单位公章)</w:t>
      </w:r>
    </w:p>
    <w:p>
      <w:pPr>
        <w:pStyle w:val="61"/>
        <w:ind w:firstLine="945" w:firstLineChars="500"/>
        <w:jc w:val="right"/>
        <w:rPr>
          <w:rFonts w:hint="eastAsia" w:ascii="宋体" w:hAnsi="宋体" w:eastAsia="宋体" w:cs="宋体"/>
          <w:b/>
          <w:sz w:val="21"/>
          <w:szCs w:val="21"/>
        </w:rPr>
      </w:pPr>
      <w:r>
        <w:rPr>
          <w:rFonts w:hint="eastAsia" w:ascii="宋体" w:hAnsi="宋体" w:eastAsia="宋体" w:cs="宋体"/>
          <w:sz w:val="21"/>
          <w:szCs w:val="21"/>
        </w:rPr>
        <w:t>年   月   日</w:t>
      </w:r>
    </w:p>
    <w:p>
      <w:pPr>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须提供法定代表人身份证正反两面扫描件</w:t>
      </w:r>
    </w:p>
    <w:p>
      <w:pPr>
        <w:rPr>
          <w:rFonts w:hint="eastAsia" w:ascii="宋体" w:hAnsi="宋体" w:eastAsia="宋体" w:cs="宋体"/>
          <w:sz w:val="21"/>
          <w:szCs w:val="21"/>
        </w:rPr>
      </w:pPr>
    </w:p>
    <w:p>
      <w:pPr>
        <w:pStyle w:val="4"/>
        <w:rPr>
          <w:rFonts w:hint="eastAsia" w:ascii="宋体" w:hAnsi="宋体" w:eastAsia="宋体" w:cs="宋体"/>
          <w:sz w:val="21"/>
          <w:szCs w:val="21"/>
        </w:rPr>
        <w:sectPr>
          <w:headerReference r:id="rId4" w:type="default"/>
          <w:footerReference r:id="rId5" w:type="default"/>
          <w:pgSz w:w="11906" w:h="16838"/>
          <w:pgMar w:top="1440" w:right="1400" w:bottom="1089" w:left="1418" w:header="851" w:footer="992" w:gutter="0"/>
          <w:pgNumType w:fmt="decimal"/>
          <w:cols w:space="720" w:num="1"/>
          <w:docGrid w:type="linesAndChars" w:linePitch="312" w:charSpace="-4301"/>
        </w:sectPr>
      </w:pPr>
    </w:p>
    <w:p>
      <w:pPr>
        <w:pStyle w:val="4"/>
        <w:pageBreakBefore/>
        <w:jc w:val="center"/>
        <w:rPr>
          <w:rFonts w:hint="eastAsia" w:ascii="宋体" w:hAnsi="宋体" w:eastAsia="宋体" w:cs="宋体"/>
          <w:b w:val="0"/>
          <w:bCs/>
          <w:kern w:val="2"/>
          <w:sz w:val="32"/>
          <w:szCs w:val="32"/>
          <w:lang w:val="en-US" w:eastAsia="zh-CN" w:bidi="ar-SA"/>
        </w:rPr>
      </w:pPr>
      <w:bookmarkStart w:id="137" w:name="_Toc23942"/>
      <w:bookmarkStart w:id="138" w:name="_Toc927"/>
      <w:r>
        <w:rPr>
          <w:rFonts w:hint="eastAsia" w:ascii="宋体" w:hAnsi="宋体" w:eastAsia="宋体" w:cs="宋体"/>
          <w:b w:val="0"/>
          <w:bCs/>
          <w:kern w:val="2"/>
          <w:sz w:val="32"/>
          <w:szCs w:val="32"/>
          <w:lang w:val="en-US" w:eastAsia="zh-CN" w:bidi="ar-SA"/>
        </w:rPr>
        <w:t>四、投标报价表格式</w:t>
      </w:r>
      <w:bookmarkEnd w:id="137"/>
      <w:bookmarkEnd w:id="138"/>
    </w:p>
    <w:p>
      <w:pPr>
        <w:spacing w:line="360" w:lineRule="auto"/>
        <w:rPr>
          <w:rFonts w:hint="eastAsia" w:ascii="宋体" w:hAnsi="宋体" w:eastAsia="宋体" w:cs="宋体"/>
          <w:bCs/>
          <w:sz w:val="21"/>
          <w:szCs w:val="21"/>
        </w:rPr>
      </w:pPr>
      <w:r>
        <w:rPr>
          <w:rFonts w:hint="eastAsia" w:ascii="宋体" w:hAnsi="宋体" w:eastAsia="宋体" w:cs="宋体"/>
          <w:sz w:val="21"/>
          <w:szCs w:val="21"/>
        </w:rPr>
        <w:t>报价表1</w:t>
      </w:r>
    </w:p>
    <w:p>
      <w:pPr>
        <w:spacing w:line="360" w:lineRule="auto"/>
        <w:jc w:val="center"/>
        <w:rPr>
          <w:rFonts w:hint="eastAsia" w:ascii="宋体" w:hAnsi="宋体" w:eastAsia="宋体" w:cs="宋体"/>
          <w:b/>
          <w:sz w:val="36"/>
          <w:szCs w:val="36"/>
        </w:rPr>
      </w:pPr>
      <w:r>
        <w:rPr>
          <w:rFonts w:hint="eastAsia" w:ascii="宋体" w:hAnsi="宋体" w:eastAsia="宋体" w:cs="宋体"/>
          <w:b/>
          <w:kern w:val="0"/>
          <w:sz w:val="36"/>
          <w:szCs w:val="36"/>
          <w:u w:val="single"/>
        </w:rPr>
        <w:t xml:space="preserve">             </w:t>
      </w:r>
      <w:r>
        <w:rPr>
          <w:rFonts w:hint="eastAsia" w:ascii="宋体" w:hAnsi="宋体" w:eastAsia="宋体" w:cs="宋体"/>
          <w:b/>
          <w:kern w:val="0"/>
          <w:sz w:val="36"/>
          <w:szCs w:val="36"/>
        </w:rPr>
        <w:t xml:space="preserve">工程 </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36"/>
          <w:szCs w:val="36"/>
        </w:rPr>
        <w:t>投 标 总 价</w:t>
      </w:r>
    </w:p>
    <w:p>
      <w:pPr>
        <w:spacing w:line="360" w:lineRule="auto"/>
        <w:rPr>
          <w:rFonts w:hint="eastAsia" w:ascii="宋体" w:hAnsi="宋体" w:eastAsia="宋体" w:cs="宋体"/>
          <w:b/>
          <w:kern w:val="0"/>
          <w:sz w:val="21"/>
          <w:szCs w:val="21"/>
        </w:rPr>
      </w:pPr>
    </w:p>
    <w:p>
      <w:pPr>
        <w:spacing w:line="360" w:lineRule="auto"/>
        <w:rPr>
          <w:rFonts w:hint="eastAsia" w:ascii="宋体" w:hAnsi="宋体" w:eastAsia="宋体" w:cs="宋体"/>
          <w:b/>
          <w:kern w:val="0"/>
          <w:sz w:val="21"/>
          <w:szCs w:val="21"/>
        </w:rPr>
      </w:pPr>
    </w:p>
    <w:p>
      <w:pPr>
        <w:spacing w:line="360" w:lineRule="auto"/>
        <w:rPr>
          <w:rFonts w:hint="eastAsia" w:ascii="宋体" w:hAnsi="宋体" w:eastAsia="宋体" w:cs="宋体"/>
          <w:b/>
          <w:kern w:val="0"/>
          <w:sz w:val="24"/>
          <w:szCs w:val="24"/>
        </w:rPr>
      </w:pPr>
    </w:p>
    <w:p>
      <w:pPr>
        <w:spacing w:line="360" w:lineRule="auto"/>
        <w:ind w:left="720" w:leftChars="257"/>
        <w:rPr>
          <w:rFonts w:hint="eastAsia" w:ascii="宋体" w:hAnsi="宋体" w:eastAsia="宋体" w:cs="宋体"/>
          <w:b/>
          <w:kern w:val="0"/>
          <w:sz w:val="24"/>
          <w:szCs w:val="24"/>
          <w:u w:val="single"/>
        </w:rPr>
      </w:pPr>
      <w:r>
        <w:rPr>
          <w:rFonts w:hint="eastAsia" w:ascii="宋体" w:hAnsi="宋体" w:eastAsia="宋体" w:cs="宋体"/>
          <w:b/>
          <w:kern w:val="0"/>
          <w:sz w:val="24"/>
          <w:szCs w:val="24"/>
        </w:rPr>
        <w:t>供应商：</w:t>
      </w:r>
    </w:p>
    <w:p>
      <w:pPr>
        <w:spacing w:line="360" w:lineRule="auto"/>
        <w:ind w:left="720" w:leftChars="257" w:firstLine="3360" w:firstLineChars="1400"/>
        <w:rPr>
          <w:rFonts w:hint="eastAsia" w:ascii="宋体" w:hAnsi="宋体" w:eastAsia="宋体" w:cs="宋体"/>
          <w:sz w:val="24"/>
          <w:szCs w:val="24"/>
        </w:rPr>
      </w:pPr>
      <w:r>
        <w:rPr>
          <w:rFonts w:hint="eastAsia" w:ascii="宋体" w:hAnsi="宋体" w:eastAsia="宋体" w:cs="宋体"/>
          <w:sz w:val="24"/>
          <w:szCs w:val="24"/>
        </w:rPr>
        <w:t>（单位盖章）</w:t>
      </w:r>
    </w:p>
    <w:p>
      <w:pPr>
        <w:spacing w:line="360" w:lineRule="auto"/>
        <w:ind w:left="720" w:leftChars="257" w:firstLine="3360" w:firstLineChars="1400"/>
        <w:rPr>
          <w:rFonts w:hint="eastAsia" w:ascii="宋体" w:hAnsi="宋体" w:eastAsia="宋体" w:cs="宋体"/>
          <w:sz w:val="24"/>
          <w:szCs w:val="24"/>
        </w:rPr>
      </w:pPr>
    </w:p>
    <w:p>
      <w:pPr>
        <w:spacing w:line="360" w:lineRule="auto"/>
        <w:ind w:left="720" w:leftChars="257" w:firstLine="2891" w:firstLineChars="1200"/>
        <w:rPr>
          <w:rFonts w:hint="eastAsia" w:ascii="宋体" w:hAnsi="宋体" w:eastAsia="宋体" w:cs="宋体"/>
          <w:b/>
          <w:sz w:val="24"/>
          <w:szCs w:val="24"/>
          <w:u w:val="single"/>
        </w:rPr>
      </w:pPr>
      <w:r>
        <w:rPr>
          <w:rFonts w:hint="eastAsia" w:ascii="宋体" w:hAnsi="宋体" w:eastAsia="宋体" w:cs="宋体"/>
          <w:b/>
          <w:sz w:val="24"/>
          <w:szCs w:val="24"/>
          <w:u w:val="single"/>
        </w:rPr>
        <w:t>年     月     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5"/>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报价表2</w:t>
      </w:r>
    </w:p>
    <w:tbl>
      <w:tblPr>
        <w:tblStyle w:val="26"/>
        <w:tblW w:w="0" w:type="auto"/>
        <w:jc w:val="center"/>
        <w:tblLayout w:type="fixed"/>
        <w:tblCellMar>
          <w:top w:w="0" w:type="dxa"/>
          <w:left w:w="108" w:type="dxa"/>
          <w:bottom w:w="0" w:type="dxa"/>
          <w:right w:w="108" w:type="dxa"/>
        </w:tblCellMar>
      </w:tblPr>
      <w:tblGrid>
        <w:gridCol w:w="337"/>
        <w:gridCol w:w="426"/>
        <w:gridCol w:w="3174"/>
        <w:gridCol w:w="3963"/>
        <w:gridCol w:w="336"/>
      </w:tblGrid>
      <w:tr>
        <w:tblPrEx>
          <w:tblCellMar>
            <w:top w:w="0" w:type="dxa"/>
            <w:left w:w="108" w:type="dxa"/>
            <w:bottom w:w="0" w:type="dxa"/>
            <w:right w:w="108" w:type="dxa"/>
          </w:tblCellMar>
        </w:tblPrEx>
        <w:trPr>
          <w:trHeight w:val="1055" w:hRule="atLeast"/>
          <w:jc w:val="center"/>
        </w:trPr>
        <w:tc>
          <w:tcPr>
            <w:tcW w:w="8236" w:type="dxa"/>
            <w:gridSpan w:val="5"/>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6"/>
                <w:szCs w:val="36"/>
              </w:rPr>
              <w:t>投标总价</w:t>
            </w:r>
          </w:p>
        </w:tc>
      </w:tr>
      <w:tr>
        <w:tblPrEx>
          <w:tblCellMar>
            <w:top w:w="0" w:type="dxa"/>
            <w:left w:w="108" w:type="dxa"/>
            <w:bottom w:w="0" w:type="dxa"/>
            <w:right w:w="108" w:type="dxa"/>
          </w:tblCellMar>
        </w:tblPrEx>
        <w:trPr>
          <w:trHeight w:val="596" w:hRule="atLeast"/>
          <w:jc w:val="center"/>
        </w:trPr>
        <w:tc>
          <w:tcPr>
            <w:tcW w:w="337" w:type="dxa"/>
            <w:tcBorders>
              <w:top w:val="nil"/>
              <w:left w:val="nil"/>
              <w:bottom w:val="nil"/>
              <w:right w:val="nil"/>
            </w:tcBorders>
            <w:noWrap w:val="0"/>
            <w:vAlign w:val="bottom"/>
          </w:tcPr>
          <w:p>
            <w:pPr>
              <w:widowControl/>
              <w:spacing w:line="360" w:lineRule="auto"/>
              <w:jc w:val="center"/>
              <w:rPr>
                <w:rFonts w:hint="eastAsia" w:ascii="宋体" w:hAnsi="宋体" w:eastAsia="宋体" w:cs="宋体"/>
                <w:b/>
                <w:bCs/>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招  标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 程 名 称：</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39"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63"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投标总价（小写）：</w:t>
            </w:r>
          </w:p>
        </w:tc>
        <w:tc>
          <w:tcPr>
            <w:tcW w:w="3963" w:type="dxa"/>
            <w:tcBorders>
              <w:top w:val="nil"/>
              <w:left w:val="nil"/>
              <w:bottom w:val="single" w:color="000000" w:sz="4" w:space="0"/>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（大写）：</w:t>
            </w:r>
          </w:p>
        </w:tc>
        <w:tc>
          <w:tcPr>
            <w:tcW w:w="3963" w:type="dxa"/>
            <w:tcBorders>
              <w:top w:val="nil"/>
              <w:left w:val="nil"/>
              <w:bottom w:val="single" w:color="000000" w:sz="4" w:space="0"/>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39"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4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  标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（单位盖章）</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3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77"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或其授权人：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63"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（签字或盖章）</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9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编  制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报价表3</w:t>
      </w:r>
    </w:p>
    <w:tbl>
      <w:tblPr>
        <w:tblStyle w:val="26"/>
        <w:tblW w:w="0" w:type="auto"/>
        <w:tblInd w:w="0" w:type="dxa"/>
        <w:tblLayout w:type="fixed"/>
        <w:tblCellMar>
          <w:top w:w="0" w:type="dxa"/>
          <w:left w:w="108" w:type="dxa"/>
          <w:bottom w:w="0" w:type="dxa"/>
          <w:right w:w="108" w:type="dxa"/>
        </w:tblCellMar>
      </w:tblPr>
      <w:tblGrid>
        <w:gridCol w:w="7755"/>
        <w:gridCol w:w="236"/>
        <w:gridCol w:w="1579"/>
      </w:tblGrid>
      <w:tr>
        <w:tblPrEx>
          <w:tblCellMar>
            <w:top w:w="0" w:type="dxa"/>
            <w:left w:w="108" w:type="dxa"/>
            <w:bottom w:w="0" w:type="dxa"/>
            <w:right w:w="108" w:type="dxa"/>
          </w:tblCellMar>
        </w:tblPrEx>
        <w:trPr>
          <w:trHeight w:val="690" w:hRule="atLeast"/>
        </w:trPr>
        <w:tc>
          <w:tcPr>
            <w:tcW w:w="9570" w:type="dxa"/>
            <w:gridSpan w:val="3"/>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6"/>
                <w:szCs w:val="36"/>
              </w:rPr>
              <w:t>总说明</w:t>
            </w:r>
          </w:p>
        </w:tc>
      </w:tr>
      <w:tr>
        <w:tblPrEx>
          <w:tblCellMar>
            <w:top w:w="0" w:type="dxa"/>
            <w:left w:w="108" w:type="dxa"/>
            <w:bottom w:w="0" w:type="dxa"/>
            <w:right w:w="108" w:type="dxa"/>
          </w:tblCellMar>
        </w:tblPrEx>
        <w:trPr>
          <w:trHeight w:val="353" w:hRule="atLeast"/>
        </w:trPr>
        <w:tc>
          <w:tcPr>
            <w:tcW w:w="7991"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79"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458"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017" w:hRule="atLeast"/>
        </w:trPr>
        <w:tc>
          <w:tcPr>
            <w:tcW w:w="7755" w:type="dxa"/>
            <w:tcBorders>
              <w:top w:val="nil"/>
              <w:left w:val="single" w:color="000000" w:sz="8" w:space="0"/>
              <w:bottom w:val="single" w:color="000000" w:sz="8" w:space="0"/>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single" w:color="000000" w:sz="8" w:space="0"/>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17" w:hRule="atLeast"/>
        </w:trPr>
        <w:tc>
          <w:tcPr>
            <w:tcW w:w="7755"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236"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1579"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353" w:hRule="atLeast"/>
        </w:trPr>
        <w:tc>
          <w:tcPr>
            <w:tcW w:w="7755" w:type="dxa"/>
            <w:tcBorders>
              <w:top w:val="nil"/>
              <w:left w:val="nil"/>
              <w:bottom w:val="nil"/>
              <w:right w:val="nil"/>
            </w:tcBorders>
            <w:noWrap w:val="0"/>
            <w:vAlign w:val="bottom"/>
          </w:tcPr>
          <w:p>
            <w:pPr>
              <w:spacing w:line="360" w:lineRule="auto"/>
              <w:rPr>
                <w:rFonts w:hint="eastAsia" w:ascii="宋体" w:hAnsi="宋体" w:eastAsia="宋体" w:cs="宋体"/>
                <w:sz w:val="21"/>
                <w:szCs w:val="21"/>
              </w:rPr>
            </w:pPr>
          </w:p>
        </w:tc>
        <w:tc>
          <w:tcPr>
            <w:tcW w:w="1815" w:type="dxa"/>
            <w:gridSpan w:val="2"/>
            <w:tcBorders>
              <w:top w:val="nil"/>
              <w:left w:val="nil"/>
              <w:bottom w:val="nil"/>
              <w:right w:val="nil"/>
            </w:tcBorders>
            <w:noWrap w:val="0"/>
            <w:vAlign w:val="top"/>
          </w:tcPr>
          <w:p>
            <w:pPr>
              <w:spacing w:line="360" w:lineRule="auto"/>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报价表4</w:t>
      </w:r>
    </w:p>
    <w:tbl>
      <w:tblPr>
        <w:tblStyle w:val="26"/>
        <w:tblW w:w="0" w:type="auto"/>
        <w:tblInd w:w="0" w:type="dxa"/>
        <w:tblLayout w:type="fixed"/>
        <w:tblCellMar>
          <w:top w:w="0" w:type="dxa"/>
          <w:left w:w="108" w:type="dxa"/>
          <w:bottom w:w="0" w:type="dxa"/>
          <w:right w:w="108" w:type="dxa"/>
        </w:tblCellMar>
      </w:tblPr>
      <w:tblGrid>
        <w:gridCol w:w="3554"/>
        <w:gridCol w:w="1414"/>
        <w:gridCol w:w="366"/>
        <w:gridCol w:w="1687"/>
        <w:gridCol w:w="968"/>
        <w:gridCol w:w="292"/>
        <w:gridCol w:w="1289"/>
      </w:tblGrid>
      <w:tr>
        <w:tblPrEx>
          <w:tblCellMar>
            <w:top w:w="0" w:type="dxa"/>
            <w:left w:w="108" w:type="dxa"/>
            <w:bottom w:w="0" w:type="dxa"/>
            <w:right w:w="108" w:type="dxa"/>
          </w:tblCellMar>
        </w:tblPrEx>
        <w:trPr>
          <w:trHeight w:val="690" w:hRule="atLeast"/>
        </w:trPr>
        <w:tc>
          <w:tcPr>
            <w:tcW w:w="9570"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D.1 投标报价汇总表</w:t>
            </w:r>
          </w:p>
        </w:tc>
      </w:tr>
      <w:tr>
        <w:tblPrEx>
          <w:tblCellMar>
            <w:top w:w="0" w:type="dxa"/>
            <w:left w:w="108" w:type="dxa"/>
            <w:bottom w:w="0" w:type="dxa"/>
            <w:right w:w="108" w:type="dxa"/>
          </w:tblCellMar>
        </w:tblPrEx>
        <w:trPr>
          <w:trHeight w:val="353" w:hRule="atLeast"/>
        </w:trPr>
        <w:tc>
          <w:tcPr>
            <w:tcW w:w="5334"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65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338" w:hRule="atLeast"/>
        </w:trPr>
        <w:tc>
          <w:tcPr>
            <w:tcW w:w="3554"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14"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单项工程名称</w:t>
            </w:r>
          </w:p>
        </w:tc>
        <w:tc>
          <w:tcPr>
            <w:tcW w:w="205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549" w:type="dxa"/>
            <w:gridSpan w:val="3"/>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其中：（元）</w:t>
            </w:r>
          </w:p>
        </w:tc>
      </w:tr>
      <w:tr>
        <w:tblPrEx>
          <w:tblCellMar>
            <w:top w:w="0" w:type="dxa"/>
            <w:left w:w="108" w:type="dxa"/>
            <w:bottom w:w="0" w:type="dxa"/>
            <w:right w:w="108" w:type="dxa"/>
          </w:tblCellMar>
        </w:tblPrEx>
        <w:trPr>
          <w:trHeight w:val="353" w:hRule="atLeast"/>
        </w:trPr>
        <w:tc>
          <w:tcPr>
            <w:tcW w:w="3554"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41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205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260" w:type="dxa"/>
            <w:gridSpan w:val="2"/>
            <w:tcBorders>
              <w:top w:val="single" w:color="000000" w:sz="4"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128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auto"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auto"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auto"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auto"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9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5" w:hRule="atLeast"/>
        </w:trPr>
        <w:tc>
          <w:tcPr>
            <w:tcW w:w="9570" w:type="dxa"/>
            <w:gridSpan w:val="7"/>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说明：本表适用于建设项目最高投标限价或投标报价的汇总。暂估价包括分部分项工程中的材料、设备暂估价和专业工程暂估价。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报价表5</w:t>
      </w:r>
    </w:p>
    <w:tbl>
      <w:tblPr>
        <w:tblStyle w:val="26"/>
        <w:tblW w:w="0" w:type="auto"/>
        <w:tblInd w:w="0" w:type="dxa"/>
        <w:tblLayout w:type="fixed"/>
        <w:tblCellMar>
          <w:top w:w="0" w:type="dxa"/>
          <w:left w:w="108" w:type="dxa"/>
          <w:bottom w:w="0" w:type="dxa"/>
          <w:right w:w="108" w:type="dxa"/>
        </w:tblCellMar>
      </w:tblPr>
      <w:tblGrid>
        <w:gridCol w:w="1383"/>
        <w:gridCol w:w="2183"/>
        <w:gridCol w:w="394"/>
        <w:gridCol w:w="802"/>
        <w:gridCol w:w="2421"/>
        <w:gridCol w:w="806"/>
        <w:gridCol w:w="612"/>
        <w:gridCol w:w="969"/>
      </w:tblGrid>
      <w:tr>
        <w:tblPrEx>
          <w:tblCellMar>
            <w:top w:w="0" w:type="dxa"/>
            <w:left w:w="108" w:type="dxa"/>
            <w:bottom w:w="0" w:type="dxa"/>
            <w:right w:w="108" w:type="dxa"/>
          </w:tblCellMar>
        </w:tblPrEx>
        <w:trPr>
          <w:trHeight w:val="405" w:hRule="atLeast"/>
        </w:trPr>
        <w:tc>
          <w:tcPr>
            <w:tcW w:w="9570"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D.2 投标报价汇总表</w:t>
            </w:r>
          </w:p>
        </w:tc>
      </w:tr>
      <w:tr>
        <w:tblPrEx>
          <w:tblCellMar>
            <w:top w:w="0" w:type="dxa"/>
            <w:left w:w="108" w:type="dxa"/>
            <w:bottom w:w="0" w:type="dxa"/>
            <w:right w:w="108" w:type="dxa"/>
          </w:tblCellMar>
        </w:tblPrEx>
        <w:trPr>
          <w:trHeight w:val="255" w:hRule="atLeast"/>
        </w:trPr>
        <w:tc>
          <w:tcPr>
            <w:tcW w:w="396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4029"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255" w:hRule="atLeast"/>
        </w:trPr>
        <w:tc>
          <w:tcPr>
            <w:tcW w:w="1383"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18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单位工程名称</w:t>
            </w:r>
          </w:p>
        </w:tc>
        <w:tc>
          <w:tcPr>
            <w:tcW w:w="361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387" w:type="dxa"/>
            <w:gridSpan w:val="3"/>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其中：（元）</w:t>
            </w:r>
          </w:p>
        </w:tc>
      </w:tr>
      <w:tr>
        <w:tblPrEx>
          <w:tblCellMar>
            <w:top w:w="0" w:type="dxa"/>
            <w:left w:w="108" w:type="dxa"/>
            <w:bottom w:w="0" w:type="dxa"/>
            <w:right w:w="108" w:type="dxa"/>
          </w:tblCellMar>
        </w:tblPrEx>
        <w:trPr>
          <w:trHeight w:val="510" w:hRule="atLeast"/>
        </w:trPr>
        <w:tc>
          <w:tcPr>
            <w:tcW w:w="1383"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218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3617"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418" w:type="dxa"/>
            <w:gridSpan w:val="2"/>
            <w:tcBorders>
              <w:top w:val="single" w:color="000000" w:sz="4"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96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3566" w:type="dxa"/>
            <w:gridSpan w:val="2"/>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3617" w:type="dxa"/>
            <w:gridSpan w:val="3"/>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4"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42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15" w:hRule="atLeast"/>
        </w:trPr>
        <w:tc>
          <w:tcPr>
            <w:tcW w:w="9570" w:type="dxa"/>
            <w:gridSpan w:val="8"/>
            <w:tcBorders>
              <w:top w:val="nil"/>
              <w:left w:val="nil"/>
              <w:bottom w:val="nil"/>
              <w:right w:val="nil"/>
            </w:tcBorders>
            <w:noWrap w:val="0"/>
            <w:vAlign w:val="bottom"/>
          </w:tcPr>
          <w:p>
            <w:pPr>
              <w:spacing w:line="360" w:lineRule="auto"/>
              <w:rPr>
                <w:rFonts w:hint="eastAsia" w:ascii="宋体" w:hAnsi="宋体" w:eastAsia="宋体" w:cs="宋体"/>
                <w:sz w:val="21"/>
                <w:szCs w:val="21"/>
              </w:rPr>
            </w:pPr>
            <w:r>
              <w:rPr>
                <w:rFonts w:hint="eastAsia" w:ascii="宋体" w:hAnsi="宋体" w:eastAsia="宋体" w:cs="宋体"/>
                <w:sz w:val="21"/>
                <w:szCs w:val="21"/>
              </w:rPr>
              <w:t>说明：本表适用于单项工程最高投标限价或投标报价的汇总。暂估价包括分部分项工程中的材料、设备暂估价和专业工程暂估价。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报价表6</w:t>
      </w:r>
    </w:p>
    <w:tbl>
      <w:tblPr>
        <w:tblStyle w:val="26"/>
        <w:tblW w:w="0" w:type="auto"/>
        <w:tblInd w:w="0" w:type="dxa"/>
        <w:tblLayout w:type="fixed"/>
        <w:tblCellMar>
          <w:top w:w="0" w:type="dxa"/>
          <w:left w:w="108" w:type="dxa"/>
          <w:bottom w:w="0" w:type="dxa"/>
          <w:right w:w="108" w:type="dxa"/>
        </w:tblCellMar>
      </w:tblPr>
      <w:tblGrid>
        <w:gridCol w:w="621"/>
        <w:gridCol w:w="1010"/>
        <w:gridCol w:w="1010"/>
        <w:gridCol w:w="1399"/>
        <w:gridCol w:w="620"/>
        <w:gridCol w:w="815"/>
        <w:gridCol w:w="1009"/>
        <w:gridCol w:w="620"/>
        <w:gridCol w:w="822"/>
        <w:gridCol w:w="822"/>
        <w:gridCol w:w="822"/>
      </w:tblGrid>
      <w:tr>
        <w:tblPrEx>
          <w:tblCellMar>
            <w:top w:w="0" w:type="dxa"/>
            <w:left w:w="108" w:type="dxa"/>
            <w:bottom w:w="0" w:type="dxa"/>
            <w:right w:w="108" w:type="dxa"/>
          </w:tblCellMar>
        </w:tblPrEx>
        <w:trPr>
          <w:trHeight w:val="690" w:hRule="atLeast"/>
        </w:trPr>
        <w:tc>
          <w:tcPr>
            <w:tcW w:w="9570" w:type="dxa"/>
            <w:gridSpan w:val="11"/>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E.1 分部分项工程量清单计价表</w:t>
            </w:r>
          </w:p>
        </w:tc>
      </w:tr>
      <w:tr>
        <w:tblPrEx>
          <w:tblCellMar>
            <w:top w:w="0" w:type="dxa"/>
            <w:left w:w="108" w:type="dxa"/>
            <w:bottom w:w="0" w:type="dxa"/>
            <w:right w:w="108" w:type="dxa"/>
          </w:tblCellMar>
        </w:tblPrEx>
        <w:trPr>
          <w:trHeight w:val="353" w:hRule="atLeast"/>
        </w:trPr>
        <w:tc>
          <w:tcPr>
            <w:tcW w:w="5475" w:type="dxa"/>
            <w:gridSpan w:val="6"/>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629"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466" w:type="dxa"/>
            <w:gridSpan w:val="3"/>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263" w:hRule="atLeast"/>
        </w:trPr>
        <w:tc>
          <w:tcPr>
            <w:tcW w:w="621"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1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101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399"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项目特征描述</w:t>
            </w:r>
          </w:p>
        </w:tc>
        <w:tc>
          <w:tcPr>
            <w:tcW w:w="6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单位</w:t>
            </w:r>
          </w:p>
        </w:tc>
        <w:tc>
          <w:tcPr>
            <w:tcW w:w="815"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工程量</w:t>
            </w:r>
          </w:p>
        </w:tc>
        <w:tc>
          <w:tcPr>
            <w:tcW w:w="4095" w:type="dxa"/>
            <w:gridSpan w:val="5"/>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263" w:hRule="atLeast"/>
        </w:trPr>
        <w:tc>
          <w:tcPr>
            <w:tcW w:w="62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39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1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综合单价</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p>
        </w:tc>
        <w:tc>
          <w:tcPr>
            <w:tcW w:w="2466" w:type="dxa"/>
            <w:gridSpan w:val="3"/>
            <w:tcBorders>
              <w:top w:val="single" w:color="000000" w:sz="4"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w:t>
            </w:r>
          </w:p>
        </w:tc>
      </w:tr>
      <w:tr>
        <w:tblPrEx>
          <w:tblCellMar>
            <w:top w:w="0" w:type="dxa"/>
            <w:left w:w="108" w:type="dxa"/>
            <w:bottom w:w="0" w:type="dxa"/>
            <w:right w:w="108" w:type="dxa"/>
          </w:tblCellMar>
        </w:tblPrEx>
        <w:trPr>
          <w:trHeight w:val="499" w:hRule="atLeast"/>
        </w:trPr>
        <w:tc>
          <w:tcPr>
            <w:tcW w:w="62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39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1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2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人工费</w:t>
            </w:r>
          </w:p>
        </w:tc>
        <w:tc>
          <w:tcPr>
            <w:tcW w:w="82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机械费</w:t>
            </w:r>
          </w:p>
        </w:tc>
        <w:tc>
          <w:tcPr>
            <w:tcW w:w="822"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r>
      <w:tr>
        <w:tblPrEx>
          <w:tblCellMar>
            <w:top w:w="0" w:type="dxa"/>
            <w:left w:w="108" w:type="dxa"/>
            <w:bottom w:w="0" w:type="dxa"/>
            <w:right w:w="108" w:type="dxa"/>
          </w:tblCellMar>
        </w:tblPrEx>
        <w:trPr>
          <w:trHeight w:val="514"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14"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报价表7</w:t>
      </w:r>
    </w:p>
    <w:p>
      <w:pPr>
        <w:spacing w:line="360" w:lineRule="auto"/>
        <w:rPr>
          <w:rFonts w:hint="eastAsia" w:ascii="宋体" w:hAnsi="宋体" w:eastAsia="宋体" w:cs="宋体"/>
          <w:sz w:val="21"/>
          <w:szCs w:val="21"/>
        </w:rPr>
      </w:pPr>
    </w:p>
    <w:tbl>
      <w:tblPr>
        <w:tblStyle w:val="26"/>
        <w:tblW w:w="0" w:type="auto"/>
        <w:tblInd w:w="0" w:type="dxa"/>
        <w:tblLayout w:type="fixed"/>
        <w:tblCellMar>
          <w:top w:w="0" w:type="dxa"/>
          <w:left w:w="108" w:type="dxa"/>
          <w:bottom w:w="0" w:type="dxa"/>
          <w:right w:w="108" w:type="dxa"/>
        </w:tblCellMar>
      </w:tblPr>
      <w:tblGrid>
        <w:gridCol w:w="554"/>
        <w:gridCol w:w="933"/>
        <w:gridCol w:w="1579"/>
        <w:gridCol w:w="1963"/>
        <w:gridCol w:w="1963"/>
        <w:gridCol w:w="997"/>
        <w:gridCol w:w="1581"/>
      </w:tblGrid>
      <w:tr>
        <w:tblPrEx>
          <w:tblCellMar>
            <w:top w:w="0" w:type="dxa"/>
            <w:left w:w="108" w:type="dxa"/>
            <w:bottom w:w="0" w:type="dxa"/>
            <w:right w:w="108" w:type="dxa"/>
          </w:tblCellMar>
        </w:tblPrEx>
        <w:trPr>
          <w:trHeight w:val="690" w:hRule="atLeast"/>
        </w:trPr>
        <w:tc>
          <w:tcPr>
            <w:tcW w:w="9570"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附录F 措施项目清单计价表</w:t>
            </w:r>
          </w:p>
        </w:tc>
      </w:tr>
      <w:tr>
        <w:tblPrEx>
          <w:tblCellMar>
            <w:top w:w="0" w:type="dxa"/>
            <w:left w:w="108" w:type="dxa"/>
            <w:bottom w:w="0" w:type="dxa"/>
            <w:right w:w="108" w:type="dxa"/>
          </w:tblCellMar>
        </w:tblPrEx>
        <w:trPr>
          <w:trHeight w:val="353" w:hRule="atLeast"/>
        </w:trPr>
        <w:tc>
          <w:tcPr>
            <w:tcW w:w="5029"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960"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55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933"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157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92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99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58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JC-01</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夜间施工增加费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JC-02</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二次搬运费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JC-03</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冬雨季施工增加费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JC-04</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已完工程及设备保护费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JC-05</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工程定位复测费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JC-06</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非夜间施工照明费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JC-07</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临时保护设施费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JC-08</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赶工措施费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989" w:type="dxa"/>
            <w:gridSpan w:val="6"/>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581"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5"/>
        <w:rPr>
          <w:rFonts w:hint="eastAsia" w:ascii="宋体" w:hAnsi="宋体" w:eastAsia="宋体" w:cs="宋体"/>
          <w:sz w:val="21"/>
          <w:szCs w:val="21"/>
        </w:rPr>
      </w:pPr>
    </w:p>
    <w:p>
      <w:pPr>
        <w:pStyle w:val="21"/>
        <w:rPr>
          <w:rFonts w:hint="eastAsia"/>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报价表8</w:t>
      </w:r>
    </w:p>
    <w:tbl>
      <w:tblPr>
        <w:tblStyle w:val="26"/>
        <w:tblW w:w="9570" w:type="dxa"/>
        <w:tblInd w:w="0" w:type="dxa"/>
        <w:tblLayout w:type="fixed"/>
        <w:tblCellMar>
          <w:top w:w="0" w:type="dxa"/>
          <w:left w:w="108" w:type="dxa"/>
          <w:bottom w:w="0" w:type="dxa"/>
          <w:right w:w="108" w:type="dxa"/>
        </w:tblCellMar>
      </w:tblPr>
      <w:tblGrid>
        <w:gridCol w:w="716"/>
        <w:gridCol w:w="843"/>
        <w:gridCol w:w="692"/>
        <w:gridCol w:w="1324"/>
        <w:gridCol w:w="1409"/>
        <w:gridCol w:w="1904"/>
        <w:gridCol w:w="1101"/>
        <w:gridCol w:w="1581"/>
      </w:tblGrid>
      <w:tr>
        <w:tblPrEx>
          <w:tblCellMar>
            <w:top w:w="0" w:type="dxa"/>
            <w:left w:w="108" w:type="dxa"/>
            <w:bottom w:w="0" w:type="dxa"/>
            <w:right w:w="108" w:type="dxa"/>
          </w:tblCellMar>
        </w:tblPrEx>
        <w:trPr>
          <w:trHeight w:val="690" w:hRule="atLeast"/>
        </w:trPr>
        <w:tc>
          <w:tcPr>
            <w:tcW w:w="9570"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附录G 不可竞争项目清单与计价表</w:t>
            </w:r>
          </w:p>
        </w:tc>
      </w:tr>
      <w:tr>
        <w:tblPrEx>
          <w:tblCellMar>
            <w:top w:w="0" w:type="dxa"/>
            <w:left w:w="108" w:type="dxa"/>
            <w:bottom w:w="0" w:type="dxa"/>
            <w:right w:w="108" w:type="dxa"/>
          </w:tblCellMar>
        </w:tblPrEx>
        <w:trPr>
          <w:trHeight w:val="353" w:hRule="atLeast"/>
        </w:trPr>
        <w:tc>
          <w:tcPr>
            <w:tcW w:w="4984" w:type="dxa"/>
            <w:gridSpan w:val="5"/>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300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7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43"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2016" w:type="dxa"/>
            <w:gridSpan w:val="2"/>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31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1101"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58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690" w:hRule="atLeast"/>
        </w:trPr>
        <w:tc>
          <w:tcPr>
            <w:tcW w:w="1559" w:type="dxa"/>
            <w:gridSpan w:val="2"/>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2016" w:type="dxa"/>
            <w:gridSpan w:val="2"/>
            <w:tcBorders>
              <w:top w:val="nil"/>
              <w:left w:val="nil"/>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安全文明施工费</w:t>
            </w:r>
          </w:p>
        </w:tc>
        <w:tc>
          <w:tcPr>
            <w:tcW w:w="5995"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7" w:hRule="atLeast"/>
        </w:trPr>
        <w:tc>
          <w:tcPr>
            <w:tcW w:w="716" w:type="dxa"/>
            <w:vMerge w:val="restart"/>
            <w:tcBorders>
              <w:top w:val="nil"/>
              <w:left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43" w:type="dxa"/>
            <w:vMerge w:val="restart"/>
            <w:tcBorders>
              <w:top w:val="nil"/>
              <w:left w:val="nil"/>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JF－01</w:t>
            </w:r>
          </w:p>
        </w:tc>
        <w:tc>
          <w:tcPr>
            <w:tcW w:w="692" w:type="dxa"/>
            <w:vMerge w:val="restart"/>
            <w:tcBorders>
              <w:top w:val="nil"/>
              <w:left w:val="nil"/>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环境保护费</w:t>
            </w:r>
          </w:p>
        </w:tc>
        <w:tc>
          <w:tcPr>
            <w:tcW w:w="1324"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市区</w:t>
            </w:r>
          </w:p>
        </w:tc>
        <w:tc>
          <w:tcPr>
            <w:tcW w:w="3313" w:type="dxa"/>
            <w:gridSpan w:val="2"/>
            <w:vMerge w:val="restart"/>
            <w:tcBorders>
              <w:left w:val="nil"/>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定额人工费+定额机械费</w:t>
            </w: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7" w:hRule="atLeast"/>
        </w:trPr>
        <w:tc>
          <w:tcPr>
            <w:tcW w:w="716" w:type="dxa"/>
            <w:vMerge w:val="continue"/>
            <w:tcBorders>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tc>
        <w:tc>
          <w:tcPr>
            <w:tcW w:w="843" w:type="dxa"/>
            <w:vMerge w:val="continue"/>
            <w:tcBorders>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tc>
        <w:tc>
          <w:tcPr>
            <w:tcW w:w="692"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p>
        </w:tc>
        <w:tc>
          <w:tcPr>
            <w:tcW w:w="1324"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非市区</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JF－02</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文明施工费</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JF－03</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安全施工费</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JF－04</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临时设施费</w:t>
            </w:r>
          </w:p>
        </w:tc>
        <w:tc>
          <w:tcPr>
            <w:tcW w:w="3313" w:type="dxa"/>
            <w:gridSpan w:val="2"/>
            <w:vMerge w:val="continue"/>
            <w:tcBorders>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1559" w:type="dxa"/>
            <w:gridSpan w:val="2"/>
            <w:tcBorders>
              <w:top w:val="nil"/>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（二）</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环境保护税</w:t>
            </w:r>
          </w:p>
        </w:tc>
        <w:tc>
          <w:tcPr>
            <w:tcW w:w="5995" w:type="dxa"/>
            <w:gridSpan w:val="4"/>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　</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JF－05</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环境保护税</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989" w:type="dxa"/>
            <w:gridSpan w:val="7"/>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581"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报价表9</w:t>
      </w:r>
    </w:p>
    <w:tbl>
      <w:tblPr>
        <w:tblStyle w:val="26"/>
        <w:tblW w:w="0" w:type="auto"/>
        <w:tblInd w:w="0" w:type="dxa"/>
        <w:tblLayout w:type="fixed"/>
        <w:tblCellMar>
          <w:top w:w="0" w:type="dxa"/>
          <w:left w:w="108" w:type="dxa"/>
          <w:bottom w:w="0" w:type="dxa"/>
          <w:right w:w="108" w:type="dxa"/>
        </w:tblCellMar>
      </w:tblPr>
      <w:tblGrid>
        <w:gridCol w:w="4741"/>
        <w:gridCol w:w="1483"/>
        <w:gridCol w:w="1390"/>
        <w:gridCol w:w="375"/>
        <w:gridCol w:w="1581"/>
      </w:tblGrid>
      <w:tr>
        <w:tblPrEx>
          <w:tblCellMar>
            <w:top w:w="0" w:type="dxa"/>
            <w:left w:w="108" w:type="dxa"/>
            <w:bottom w:w="0" w:type="dxa"/>
            <w:right w:w="108" w:type="dxa"/>
          </w:tblCellMar>
        </w:tblPrEx>
        <w:trPr>
          <w:trHeight w:val="690" w:hRule="atLeast"/>
        </w:trPr>
        <w:tc>
          <w:tcPr>
            <w:tcW w:w="9570" w:type="dxa"/>
            <w:gridSpan w:val="5"/>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H.1 其他项目清单与计价汇总表</w:t>
            </w:r>
          </w:p>
        </w:tc>
      </w:tr>
      <w:tr>
        <w:tblPrEx>
          <w:tblCellMar>
            <w:top w:w="0" w:type="dxa"/>
            <w:left w:w="108" w:type="dxa"/>
            <w:bottom w:w="0" w:type="dxa"/>
            <w:right w:w="108" w:type="dxa"/>
          </w:tblCellMar>
        </w:tblPrEx>
        <w:trPr>
          <w:trHeight w:val="353" w:hRule="atLeast"/>
        </w:trPr>
        <w:tc>
          <w:tcPr>
            <w:tcW w:w="6224"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76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474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7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956" w:type="dxa"/>
            <w:gridSpan w:val="2"/>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暂列金额</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计日工</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总承包服务费</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614"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956" w:type="dxa"/>
            <w:gridSpan w:val="2"/>
            <w:tcBorders>
              <w:top w:val="single" w:color="000000" w:sz="4" w:space="0"/>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报价表10</w:t>
      </w:r>
    </w:p>
    <w:tbl>
      <w:tblPr>
        <w:tblStyle w:val="26"/>
        <w:tblW w:w="0" w:type="auto"/>
        <w:tblInd w:w="108" w:type="dxa"/>
        <w:tblLayout w:type="fixed"/>
        <w:tblCellMar>
          <w:top w:w="0" w:type="dxa"/>
          <w:left w:w="108" w:type="dxa"/>
          <w:bottom w:w="0" w:type="dxa"/>
          <w:right w:w="108" w:type="dxa"/>
        </w:tblCellMar>
      </w:tblPr>
      <w:tblGrid>
        <w:gridCol w:w="1028"/>
        <w:gridCol w:w="1707"/>
        <w:gridCol w:w="1707"/>
        <w:gridCol w:w="786"/>
        <w:gridCol w:w="786"/>
        <w:gridCol w:w="815"/>
        <w:gridCol w:w="1847"/>
      </w:tblGrid>
      <w:tr>
        <w:tblPrEx>
          <w:tblCellMar>
            <w:top w:w="0" w:type="dxa"/>
            <w:left w:w="108" w:type="dxa"/>
            <w:bottom w:w="0" w:type="dxa"/>
            <w:right w:w="108" w:type="dxa"/>
          </w:tblCellMar>
        </w:tblPrEx>
        <w:trPr>
          <w:trHeight w:val="690" w:hRule="atLeast"/>
        </w:trPr>
        <w:tc>
          <w:tcPr>
            <w:tcW w:w="8676"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H.2 暂列金额明细表</w:t>
            </w:r>
          </w:p>
        </w:tc>
      </w:tr>
      <w:tr>
        <w:tblPrEx>
          <w:tblCellMar>
            <w:top w:w="0" w:type="dxa"/>
            <w:left w:w="108" w:type="dxa"/>
            <w:bottom w:w="0" w:type="dxa"/>
            <w:right w:w="108" w:type="dxa"/>
          </w:tblCellMar>
        </w:tblPrEx>
        <w:trPr>
          <w:trHeight w:val="353" w:hRule="atLeast"/>
        </w:trPr>
        <w:tc>
          <w:tcPr>
            <w:tcW w:w="4442"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72"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662"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102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07"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707"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2387"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暂定金额(元)</w:t>
            </w:r>
          </w:p>
        </w:tc>
        <w:tc>
          <w:tcPr>
            <w:tcW w:w="1847"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42" w:type="dxa"/>
            <w:gridSpan w:val="3"/>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2387" w:type="dxa"/>
            <w:gridSpan w:val="3"/>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7" w:hRule="atLeast"/>
        </w:trPr>
        <w:tc>
          <w:tcPr>
            <w:tcW w:w="102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676" w:type="dxa"/>
            <w:gridSpan w:val="7"/>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注：此表由采购人填写，如不能详列，也可只列暂定金额总额，供应商应将上述暂列金额计入投标总价中。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报价表11</w:t>
      </w:r>
    </w:p>
    <w:tbl>
      <w:tblPr>
        <w:tblStyle w:val="26"/>
        <w:tblW w:w="9397" w:type="dxa"/>
        <w:tblInd w:w="108" w:type="dxa"/>
        <w:tblLayout w:type="fixed"/>
        <w:tblCellMar>
          <w:top w:w="0" w:type="dxa"/>
          <w:left w:w="108" w:type="dxa"/>
          <w:bottom w:w="0" w:type="dxa"/>
          <w:right w:w="108" w:type="dxa"/>
        </w:tblCellMar>
      </w:tblPr>
      <w:tblGrid>
        <w:gridCol w:w="1388"/>
        <w:gridCol w:w="1986"/>
        <w:gridCol w:w="662"/>
        <w:gridCol w:w="662"/>
        <w:gridCol w:w="662"/>
        <w:gridCol w:w="801"/>
        <w:gridCol w:w="1185"/>
        <w:gridCol w:w="2051"/>
      </w:tblGrid>
      <w:tr>
        <w:tblPrEx>
          <w:tblCellMar>
            <w:top w:w="0" w:type="dxa"/>
            <w:left w:w="108" w:type="dxa"/>
            <w:bottom w:w="0" w:type="dxa"/>
            <w:right w:w="108" w:type="dxa"/>
          </w:tblCellMar>
        </w:tblPrEx>
        <w:trPr>
          <w:trHeight w:val="690" w:hRule="atLeast"/>
        </w:trPr>
        <w:tc>
          <w:tcPr>
            <w:tcW w:w="9397"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H.3 专业工程暂估价计价表</w:t>
            </w:r>
          </w:p>
        </w:tc>
      </w:tr>
      <w:tr>
        <w:tblPrEx>
          <w:tblCellMar>
            <w:top w:w="0" w:type="dxa"/>
            <w:left w:w="108" w:type="dxa"/>
            <w:bottom w:w="0" w:type="dxa"/>
            <w:right w:w="108" w:type="dxa"/>
          </w:tblCellMar>
        </w:tblPrEx>
        <w:trPr>
          <w:trHeight w:val="353" w:hRule="atLeast"/>
        </w:trPr>
        <w:tc>
          <w:tcPr>
            <w:tcW w:w="4036"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125"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236"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138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98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986"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工程内容</w:t>
            </w:r>
          </w:p>
        </w:tc>
        <w:tc>
          <w:tcPr>
            <w:tcW w:w="198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05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5360" w:type="dxa"/>
            <w:gridSpan w:val="5"/>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986"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7" w:hRule="atLeast"/>
        </w:trPr>
        <w:tc>
          <w:tcPr>
            <w:tcW w:w="138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8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9397" w:type="dxa"/>
            <w:gridSpan w:val="8"/>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注：此表中“金额”由采购人填写。供应商应按采购人所列金额计入投标总价中。结算时按合同约定结算金额填写。</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报价表12</w:t>
      </w:r>
    </w:p>
    <w:tbl>
      <w:tblPr>
        <w:tblStyle w:val="26"/>
        <w:tblW w:w="0" w:type="auto"/>
        <w:tblInd w:w="108" w:type="dxa"/>
        <w:tblLayout w:type="fixed"/>
        <w:tblCellMar>
          <w:top w:w="0" w:type="dxa"/>
          <w:left w:w="108" w:type="dxa"/>
          <w:bottom w:w="0" w:type="dxa"/>
          <w:right w:w="108" w:type="dxa"/>
        </w:tblCellMar>
      </w:tblPr>
      <w:tblGrid>
        <w:gridCol w:w="1137"/>
        <w:gridCol w:w="1890"/>
        <w:gridCol w:w="1138"/>
        <w:gridCol w:w="1514"/>
        <w:gridCol w:w="1890"/>
        <w:gridCol w:w="2265"/>
      </w:tblGrid>
      <w:tr>
        <w:trPr>
          <w:trHeight w:val="704" w:hRule="atLeast"/>
        </w:trPr>
        <w:tc>
          <w:tcPr>
            <w:tcW w:w="9834"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H.4 计日工表</w:t>
            </w:r>
          </w:p>
        </w:tc>
      </w:tr>
      <w:tr>
        <w:tblPrEx>
          <w:tblCellMar>
            <w:top w:w="0" w:type="dxa"/>
            <w:left w:w="108" w:type="dxa"/>
            <w:bottom w:w="0" w:type="dxa"/>
            <w:right w:w="108" w:type="dxa"/>
          </w:tblCellMar>
        </w:tblPrEx>
        <w:trPr>
          <w:trHeight w:val="360" w:hRule="atLeast"/>
        </w:trPr>
        <w:tc>
          <w:tcPr>
            <w:tcW w:w="4165"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14" w:type="dxa"/>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4155"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04" w:hRule="atLeast"/>
        </w:trPr>
        <w:tc>
          <w:tcPr>
            <w:tcW w:w="113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编码</w:t>
            </w:r>
          </w:p>
        </w:tc>
        <w:tc>
          <w:tcPr>
            <w:tcW w:w="1890"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138"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514"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890"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综合单价</w:t>
            </w:r>
          </w:p>
        </w:tc>
        <w:tc>
          <w:tcPr>
            <w:tcW w:w="2265"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合价（元）</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三</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施工机械</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施工机械费小计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78" w:hRule="atLeast"/>
        </w:trPr>
        <w:tc>
          <w:tcPr>
            <w:tcW w:w="7569" w:type="dxa"/>
            <w:gridSpan w:val="5"/>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2265"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报价表13</w:t>
      </w:r>
    </w:p>
    <w:p>
      <w:pPr>
        <w:spacing w:line="360" w:lineRule="auto"/>
        <w:rPr>
          <w:rFonts w:hint="eastAsia" w:ascii="宋体" w:hAnsi="宋体" w:eastAsia="宋体" w:cs="宋体"/>
          <w:sz w:val="21"/>
          <w:szCs w:val="21"/>
        </w:rPr>
      </w:pPr>
    </w:p>
    <w:tbl>
      <w:tblPr>
        <w:tblStyle w:val="26"/>
        <w:tblW w:w="0" w:type="auto"/>
        <w:tblInd w:w="108" w:type="dxa"/>
        <w:tblLayout w:type="fixed"/>
        <w:tblCellMar>
          <w:top w:w="0" w:type="dxa"/>
          <w:left w:w="108" w:type="dxa"/>
          <w:bottom w:w="0" w:type="dxa"/>
          <w:right w:w="108" w:type="dxa"/>
        </w:tblCellMar>
      </w:tblPr>
      <w:tblGrid>
        <w:gridCol w:w="835"/>
        <w:gridCol w:w="2379"/>
        <w:gridCol w:w="1798"/>
        <w:gridCol w:w="393"/>
        <w:gridCol w:w="472"/>
        <w:gridCol w:w="472"/>
        <w:gridCol w:w="559"/>
        <w:gridCol w:w="765"/>
        <w:gridCol w:w="1789"/>
      </w:tblGrid>
      <w:tr>
        <w:tblPrEx>
          <w:tblCellMar>
            <w:top w:w="0" w:type="dxa"/>
            <w:left w:w="108" w:type="dxa"/>
            <w:bottom w:w="0" w:type="dxa"/>
            <w:right w:w="108" w:type="dxa"/>
          </w:tblCellMar>
        </w:tblPrEx>
        <w:trPr>
          <w:trHeight w:val="690" w:hRule="atLeast"/>
        </w:trPr>
        <w:tc>
          <w:tcPr>
            <w:tcW w:w="9462" w:type="dxa"/>
            <w:gridSpan w:val="9"/>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H.5 总承包服务费计价表</w:t>
            </w:r>
          </w:p>
        </w:tc>
      </w:tr>
      <w:tr>
        <w:tblPrEx>
          <w:tblCellMar>
            <w:top w:w="0" w:type="dxa"/>
            <w:left w:w="108" w:type="dxa"/>
            <w:bottom w:w="0" w:type="dxa"/>
            <w:right w:w="108" w:type="dxa"/>
          </w:tblCellMar>
        </w:tblPrEx>
        <w:trPr>
          <w:trHeight w:val="353" w:hRule="atLeast"/>
        </w:trPr>
        <w:tc>
          <w:tcPr>
            <w:tcW w:w="5405"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03"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554"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835"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37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798"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项目价值(元)</w:t>
            </w:r>
          </w:p>
        </w:tc>
        <w:tc>
          <w:tcPr>
            <w:tcW w:w="1337"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服务内容</w:t>
            </w:r>
          </w:p>
        </w:tc>
        <w:tc>
          <w:tcPr>
            <w:tcW w:w="1324"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78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发包人发包专业工程</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发包人供应材料</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835" w:type="dxa"/>
            <w:tcBorders>
              <w:top w:val="nil"/>
              <w:left w:val="single" w:color="000000" w:sz="8" w:space="0"/>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798" w:type="dxa"/>
            <w:tcBorders>
              <w:top w:val="nil"/>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23" w:hRule="atLeast"/>
        </w:trPr>
        <w:tc>
          <w:tcPr>
            <w:tcW w:w="83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5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28" w:hRule="atLeast"/>
        </w:trPr>
        <w:tc>
          <w:tcPr>
            <w:tcW w:w="9462" w:type="dxa"/>
            <w:gridSpan w:val="9"/>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注：此表项目名称、服务内容由采购人填写，编制最高投标限价时，费率及金额由采购人按有关计价规定确定；投标时，费率及金额由供应商自主报价，计入投标总价中。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报价表14</w:t>
      </w:r>
    </w:p>
    <w:tbl>
      <w:tblPr>
        <w:tblStyle w:val="26"/>
        <w:tblW w:w="0" w:type="auto"/>
        <w:tblInd w:w="108" w:type="dxa"/>
        <w:tblLayout w:type="fixed"/>
        <w:tblCellMar>
          <w:top w:w="0" w:type="dxa"/>
          <w:left w:w="108" w:type="dxa"/>
          <w:bottom w:w="0" w:type="dxa"/>
          <w:right w:w="108" w:type="dxa"/>
        </w:tblCellMar>
      </w:tblPr>
      <w:tblGrid>
        <w:gridCol w:w="620"/>
        <w:gridCol w:w="1005"/>
        <w:gridCol w:w="2375"/>
        <w:gridCol w:w="2375"/>
        <w:gridCol w:w="1020"/>
        <w:gridCol w:w="1041"/>
        <w:gridCol w:w="1026"/>
      </w:tblGrid>
      <w:tr>
        <w:tblPrEx>
          <w:tblCellMar>
            <w:top w:w="0" w:type="dxa"/>
            <w:left w:w="108" w:type="dxa"/>
            <w:bottom w:w="0" w:type="dxa"/>
            <w:right w:w="108" w:type="dxa"/>
          </w:tblCellMar>
        </w:tblPrEx>
        <w:trPr>
          <w:trHeight w:val="690" w:hRule="atLeast"/>
        </w:trPr>
        <w:tc>
          <w:tcPr>
            <w:tcW w:w="9462"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附录I 税金计价表</w:t>
            </w:r>
          </w:p>
        </w:tc>
      </w:tr>
      <w:tr>
        <w:tblPrEx>
          <w:tblCellMar>
            <w:top w:w="0" w:type="dxa"/>
            <w:left w:w="108" w:type="dxa"/>
            <w:bottom w:w="0" w:type="dxa"/>
            <w:right w:w="108" w:type="dxa"/>
          </w:tblCellMar>
        </w:tblPrEx>
        <w:trPr>
          <w:trHeight w:val="353" w:hRule="atLeast"/>
        </w:trPr>
        <w:tc>
          <w:tcPr>
            <w:tcW w:w="400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339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067"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62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05"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4750"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1020"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计算基数</w:t>
            </w:r>
          </w:p>
        </w:tc>
        <w:tc>
          <w:tcPr>
            <w:tcW w:w="1041"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02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615"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增值税</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分部分项工程费+措施项目费+不可竞争费+其他项目费-专业工程暂估价</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8436" w:type="dxa"/>
            <w:gridSpan w:val="6"/>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026"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报价表15</w:t>
      </w:r>
    </w:p>
    <w:tbl>
      <w:tblPr>
        <w:tblStyle w:val="26"/>
        <w:tblW w:w="0" w:type="auto"/>
        <w:tblInd w:w="108" w:type="dxa"/>
        <w:tblLayout w:type="fixed"/>
        <w:tblCellMar>
          <w:top w:w="0" w:type="dxa"/>
          <w:left w:w="108" w:type="dxa"/>
          <w:bottom w:w="0" w:type="dxa"/>
          <w:right w:w="108" w:type="dxa"/>
        </w:tblCellMar>
      </w:tblPr>
      <w:tblGrid>
        <w:gridCol w:w="722"/>
        <w:gridCol w:w="3821"/>
        <w:gridCol w:w="599"/>
        <w:gridCol w:w="599"/>
        <w:gridCol w:w="959"/>
        <w:gridCol w:w="1796"/>
      </w:tblGrid>
      <w:tr>
        <w:tblPrEx>
          <w:tblCellMar>
            <w:top w:w="0" w:type="dxa"/>
            <w:left w:w="108" w:type="dxa"/>
            <w:bottom w:w="0" w:type="dxa"/>
            <w:right w:w="108" w:type="dxa"/>
          </w:tblCellMar>
        </w:tblPrEx>
        <w:trPr>
          <w:trHeight w:val="690" w:hRule="atLeast"/>
        </w:trPr>
        <w:tc>
          <w:tcPr>
            <w:tcW w:w="8496"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J.1 材料（工程设备）暂估单价一览表</w:t>
            </w:r>
          </w:p>
        </w:tc>
      </w:tr>
      <w:tr>
        <w:tblPrEx>
          <w:tblCellMar>
            <w:top w:w="0" w:type="dxa"/>
            <w:left w:w="108" w:type="dxa"/>
            <w:bottom w:w="0" w:type="dxa"/>
            <w:right w:w="108" w:type="dxa"/>
          </w:tblCellMar>
        </w:tblPrEx>
        <w:trPr>
          <w:trHeight w:val="353" w:hRule="atLeast"/>
        </w:trPr>
        <w:tc>
          <w:tcPr>
            <w:tcW w:w="5142"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58"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796"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722"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821"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198"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959"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79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77" w:hRule="atLeast"/>
        </w:trPr>
        <w:tc>
          <w:tcPr>
            <w:tcW w:w="8496" w:type="dxa"/>
            <w:gridSpan w:val="6"/>
            <w:tcBorders>
              <w:top w:val="single" w:color="000000" w:sz="4" w:space="0"/>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8496" w:type="dxa"/>
            <w:gridSpan w:val="6"/>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说明：此表由采购人填写，供应商应将上述材料（工程设备）暂估单价计入工程量清单综合单价报价中。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报价表16</w:t>
      </w:r>
    </w:p>
    <w:tbl>
      <w:tblPr>
        <w:tblStyle w:val="26"/>
        <w:tblW w:w="0" w:type="auto"/>
        <w:tblInd w:w="108" w:type="dxa"/>
        <w:tblLayout w:type="fixed"/>
        <w:tblCellMar>
          <w:top w:w="0" w:type="dxa"/>
          <w:left w:w="108" w:type="dxa"/>
          <w:bottom w:w="0" w:type="dxa"/>
          <w:right w:w="108" w:type="dxa"/>
        </w:tblCellMar>
      </w:tblPr>
      <w:tblGrid>
        <w:gridCol w:w="636"/>
        <w:gridCol w:w="3366"/>
        <w:gridCol w:w="1056"/>
        <w:gridCol w:w="318"/>
        <w:gridCol w:w="318"/>
        <w:gridCol w:w="1056"/>
        <w:gridCol w:w="1056"/>
        <w:gridCol w:w="636"/>
      </w:tblGrid>
      <w:tr>
        <w:tblPrEx>
          <w:tblCellMar>
            <w:top w:w="0" w:type="dxa"/>
            <w:left w:w="108" w:type="dxa"/>
            <w:bottom w:w="0" w:type="dxa"/>
            <w:right w:w="108" w:type="dxa"/>
          </w:tblCellMar>
        </w:tblPrEx>
        <w:trPr>
          <w:trHeight w:val="690" w:hRule="atLeast"/>
        </w:trPr>
        <w:tc>
          <w:tcPr>
            <w:tcW w:w="8442"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J.2、发包人提供材料（工程设备）一览表</w:t>
            </w:r>
          </w:p>
        </w:tc>
      </w:tr>
      <w:tr>
        <w:tblPrEx>
          <w:tblCellMar>
            <w:top w:w="0" w:type="dxa"/>
            <w:left w:w="108" w:type="dxa"/>
            <w:bottom w:w="0" w:type="dxa"/>
            <w:right w:w="108" w:type="dxa"/>
          </w:tblCellMar>
        </w:tblPrEx>
        <w:trPr>
          <w:trHeight w:val="353" w:hRule="atLeast"/>
        </w:trPr>
        <w:tc>
          <w:tcPr>
            <w:tcW w:w="5376"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374"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692"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63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36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05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63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056"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05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合价(元)</w:t>
            </w:r>
          </w:p>
        </w:tc>
        <w:tc>
          <w:tcPr>
            <w:tcW w:w="63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8"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77" w:hRule="atLeast"/>
        </w:trPr>
        <w:tc>
          <w:tcPr>
            <w:tcW w:w="8442" w:type="dxa"/>
            <w:gridSpan w:val="8"/>
            <w:tcBorders>
              <w:top w:val="single" w:color="000000" w:sz="4" w:space="0"/>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442" w:type="dxa"/>
            <w:gridSpan w:val="8"/>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说明：此表由采购人填写，供供应商在投标报价、确定总承包服务费时参考</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报价表17</w:t>
      </w:r>
    </w:p>
    <w:tbl>
      <w:tblPr>
        <w:tblStyle w:val="26"/>
        <w:tblW w:w="0" w:type="auto"/>
        <w:tblInd w:w="108" w:type="dxa"/>
        <w:tblLayout w:type="fixed"/>
        <w:tblCellMar>
          <w:top w:w="0" w:type="dxa"/>
          <w:left w:w="108" w:type="dxa"/>
          <w:bottom w:w="0" w:type="dxa"/>
          <w:right w:w="108" w:type="dxa"/>
        </w:tblCellMar>
      </w:tblPr>
      <w:tblGrid>
        <w:gridCol w:w="618"/>
        <w:gridCol w:w="3332"/>
        <w:gridCol w:w="1004"/>
        <w:gridCol w:w="619"/>
        <w:gridCol w:w="599"/>
        <w:gridCol w:w="648"/>
        <w:gridCol w:w="356"/>
        <w:gridCol w:w="356"/>
        <w:gridCol w:w="287"/>
        <w:gridCol w:w="1019"/>
        <w:gridCol w:w="624"/>
      </w:tblGrid>
      <w:tr>
        <w:tblPrEx>
          <w:tblCellMar>
            <w:top w:w="0" w:type="dxa"/>
            <w:left w:w="108" w:type="dxa"/>
            <w:bottom w:w="0" w:type="dxa"/>
            <w:right w:w="108" w:type="dxa"/>
          </w:tblCellMar>
        </w:tblPrEx>
        <w:trPr>
          <w:trHeight w:val="690" w:hRule="atLeast"/>
        </w:trPr>
        <w:tc>
          <w:tcPr>
            <w:tcW w:w="9462" w:type="dxa"/>
            <w:gridSpan w:val="11"/>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J.3 承包人提供材料（工程设备）一览表</w:t>
            </w:r>
          </w:p>
        </w:tc>
      </w:tr>
      <w:tr>
        <w:tblPrEx>
          <w:tblCellMar>
            <w:top w:w="0" w:type="dxa"/>
            <w:left w:w="108" w:type="dxa"/>
            <w:bottom w:w="0" w:type="dxa"/>
            <w:right w:w="108" w:type="dxa"/>
          </w:tblCellMar>
        </w:tblPrEx>
        <w:trPr>
          <w:trHeight w:val="353" w:hRule="atLeast"/>
        </w:trPr>
        <w:tc>
          <w:tcPr>
            <w:tcW w:w="6172" w:type="dxa"/>
            <w:gridSpan w:val="5"/>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36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930" w:type="dxa"/>
            <w:gridSpan w:val="3"/>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50" w:hRule="atLeast"/>
        </w:trPr>
        <w:tc>
          <w:tcPr>
            <w:tcW w:w="61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33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004"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61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247"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风险系数(%)</w:t>
            </w:r>
          </w:p>
        </w:tc>
        <w:tc>
          <w:tcPr>
            <w:tcW w:w="999"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01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投标单价</w:t>
            </w:r>
          </w:p>
        </w:tc>
        <w:tc>
          <w:tcPr>
            <w:tcW w:w="624"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8"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0" w:hRule="atLeast"/>
        </w:trPr>
        <w:tc>
          <w:tcPr>
            <w:tcW w:w="618"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32"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00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1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59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48"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5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5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28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01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2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28" w:hRule="atLeast"/>
        </w:trPr>
        <w:tc>
          <w:tcPr>
            <w:tcW w:w="9462" w:type="dxa"/>
            <w:gridSpan w:val="11"/>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注：1.此表由供应商在投标时自主确定投标单价，其他内容由采购人填写。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2.采购人应优先采用工程造价管理机构发布的单价作为基准单价，未发布的，通过市场调查确定其基准单价。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报价表18</w:t>
      </w:r>
    </w:p>
    <w:tbl>
      <w:tblPr>
        <w:tblStyle w:val="26"/>
        <w:tblW w:w="0" w:type="auto"/>
        <w:tblInd w:w="108" w:type="dxa"/>
        <w:tblLayout w:type="fixed"/>
        <w:tblCellMar>
          <w:top w:w="0" w:type="dxa"/>
          <w:left w:w="108" w:type="dxa"/>
          <w:bottom w:w="0" w:type="dxa"/>
          <w:right w:w="108" w:type="dxa"/>
        </w:tblCellMar>
      </w:tblPr>
      <w:tblGrid>
        <w:gridCol w:w="1407"/>
        <w:gridCol w:w="2766"/>
        <w:gridCol w:w="6"/>
        <w:gridCol w:w="1297"/>
        <w:gridCol w:w="522"/>
        <w:gridCol w:w="3819"/>
      </w:tblGrid>
      <w:tr>
        <w:tblPrEx>
          <w:tblCellMar>
            <w:top w:w="0" w:type="dxa"/>
            <w:left w:w="108" w:type="dxa"/>
            <w:bottom w:w="0" w:type="dxa"/>
            <w:right w:w="108" w:type="dxa"/>
          </w:tblCellMar>
        </w:tblPrEx>
        <w:trPr>
          <w:trHeight w:val="703" w:hRule="atLeast"/>
        </w:trPr>
        <w:tc>
          <w:tcPr>
            <w:tcW w:w="9817"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D.3 单位工程最高投标限价/投标报价汇总表</w:t>
            </w:r>
          </w:p>
        </w:tc>
      </w:tr>
      <w:tr>
        <w:tblPrEx>
          <w:tblCellMar>
            <w:top w:w="0" w:type="dxa"/>
            <w:left w:w="108" w:type="dxa"/>
            <w:bottom w:w="0" w:type="dxa"/>
            <w:right w:w="108" w:type="dxa"/>
          </w:tblCellMar>
        </w:tblPrEx>
        <w:trPr>
          <w:trHeight w:val="360" w:hRule="atLeast"/>
        </w:trPr>
        <w:tc>
          <w:tcPr>
            <w:tcW w:w="4179"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819"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819"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03" w:hRule="atLeast"/>
        </w:trPr>
        <w:tc>
          <w:tcPr>
            <w:tcW w:w="140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6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汇总内容</w:t>
            </w:r>
          </w:p>
        </w:tc>
        <w:tc>
          <w:tcPr>
            <w:tcW w:w="130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4341" w:type="dxa"/>
            <w:gridSpan w:val="2"/>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其中：材料、设备暂估价（元）</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分部分项工程费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定额人工费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定额机械费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综合费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措施项目费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安全文明施工费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工程排污费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其他项目</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暂列金额</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专业工程暂估价</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计日工</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总承包服务费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税金</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7" w:hRule="atLeast"/>
        </w:trPr>
        <w:tc>
          <w:tcPr>
            <w:tcW w:w="4173" w:type="dxa"/>
            <w:gridSpan w:val="2"/>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工程造价=1+2+3+4+5</w:t>
            </w:r>
          </w:p>
        </w:tc>
        <w:tc>
          <w:tcPr>
            <w:tcW w:w="1303"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报价表19</w:t>
      </w:r>
    </w:p>
    <w:tbl>
      <w:tblPr>
        <w:tblStyle w:val="26"/>
        <w:tblW w:w="0" w:type="auto"/>
        <w:tblInd w:w="0" w:type="dxa"/>
        <w:tblLayout w:type="fixed"/>
        <w:tblCellMar>
          <w:top w:w="0" w:type="dxa"/>
          <w:left w:w="108" w:type="dxa"/>
          <w:bottom w:w="0" w:type="dxa"/>
          <w:right w:w="108" w:type="dxa"/>
        </w:tblCellMar>
      </w:tblPr>
      <w:tblGrid>
        <w:gridCol w:w="442"/>
        <w:gridCol w:w="649"/>
        <w:gridCol w:w="649"/>
        <w:gridCol w:w="396"/>
        <w:gridCol w:w="576"/>
        <w:gridCol w:w="756"/>
        <w:gridCol w:w="371"/>
        <w:gridCol w:w="385"/>
        <w:gridCol w:w="371"/>
        <w:gridCol w:w="385"/>
        <w:gridCol w:w="756"/>
        <w:gridCol w:w="295"/>
        <w:gridCol w:w="461"/>
        <w:gridCol w:w="272"/>
        <w:gridCol w:w="1133"/>
        <w:gridCol w:w="896"/>
        <w:gridCol w:w="777"/>
      </w:tblGrid>
      <w:tr>
        <w:tblPrEx>
          <w:tblCellMar>
            <w:top w:w="0" w:type="dxa"/>
            <w:left w:w="108" w:type="dxa"/>
            <w:bottom w:w="0" w:type="dxa"/>
            <w:right w:w="108" w:type="dxa"/>
          </w:tblCellMar>
        </w:tblPrEx>
        <w:trPr>
          <w:trHeight w:val="690" w:hRule="atLeast"/>
        </w:trPr>
        <w:tc>
          <w:tcPr>
            <w:tcW w:w="9570" w:type="dxa"/>
            <w:gridSpan w:val="1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E.2 分部分项工程量清单综合单价分析表</w:t>
            </w:r>
          </w:p>
        </w:tc>
      </w:tr>
      <w:tr>
        <w:tblPrEx>
          <w:tblCellMar>
            <w:top w:w="0" w:type="dxa"/>
            <w:left w:w="108" w:type="dxa"/>
            <w:bottom w:w="0" w:type="dxa"/>
            <w:right w:w="108" w:type="dxa"/>
          </w:tblCellMar>
        </w:tblPrEx>
        <w:trPr>
          <w:trHeight w:val="353" w:hRule="atLeast"/>
        </w:trPr>
        <w:tc>
          <w:tcPr>
            <w:tcW w:w="4595" w:type="dxa"/>
            <w:gridSpan w:val="9"/>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436"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539" w:type="dxa"/>
            <w:gridSpan w:val="5"/>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共6页</w:t>
            </w:r>
          </w:p>
        </w:tc>
      </w:tr>
      <w:tr>
        <w:tblPrEx>
          <w:tblCellMar>
            <w:top w:w="0" w:type="dxa"/>
            <w:left w:w="108" w:type="dxa"/>
            <w:bottom w:w="0" w:type="dxa"/>
            <w:right w:w="108" w:type="dxa"/>
          </w:tblCellMar>
        </w:tblPrEx>
        <w:trPr>
          <w:trHeight w:val="458" w:hRule="atLeast"/>
        </w:trPr>
        <w:tc>
          <w:tcPr>
            <w:tcW w:w="1091"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649"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gridSpan w:val="2"/>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024" w:type="dxa"/>
            <w:gridSpan w:val="6"/>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8" w:type="dxa"/>
            <w:gridSpan w:val="3"/>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1133"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工程量</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9570" w:type="dxa"/>
            <w:gridSpan w:val="17"/>
            <w:tcBorders>
              <w:top w:val="single" w:color="000000" w:sz="4" w:space="0"/>
              <w:left w:val="single" w:color="000000" w:sz="8" w:space="0"/>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清单综合单价组成明细</w:t>
            </w:r>
          </w:p>
        </w:tc>
      </w:tr>
      <w:tr>
        <w:tblPrEx>
          <w:tblCellMar>
            <w:top w:w="0" w:type="dxa"/>
            <w:left w:w="108" w:type="dxa"/>
            <w:bottom w:w="0" w:type="dxa"/>
            <w:right w:w="108" w:type="dxa"/>
          </w:tblCellMar>
        </w:tblPrEx>
        <w:trPr>
          <w:trHeight w:val="458" w:hRule="atLeast"/>
        </w:trPr>
        <w:tc>
          <w:tcPr>
            <w:tcW w:w="442" w:type="dxa"/>
            <w:vMerge w:val="restart"/>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编码</w:t>
            </w:r>
          </w:p>
        </w:tc>
        <w:tc>
          <w:tcPr>
            <w:tcW w:w="129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定额项目名称</w:t>
            </w:r>
          </w:p>
        </w:tc>
        <w:tc>
          <w:tcPr>
            <w:tcW w:w="396"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单位</w:t>
            </w:r>
          </w:p>
        </w:tc>
        <w:tc>
          <w:tcPr>
            <w:tcW w:w="576"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3024"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29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96"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76"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7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机械费</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机械费</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综合费</w:t>
            </w:r>
          </w:p>
        </w:tc>
      </w:tr>
      <w:tr>
        <w:tblPrEx>
          <w:tblCellMar>
            <w:top w:w="0" w:type="dxa"/>
            <w:left w:w="108" w:type="dxa"/>
            <w:bottom w:w="0" w:type="dxa"/>
            <w:right w:w="108" w:type="dxa"/>
          </w:tblCellMar>
        </w:tblPrEx>
        <w:trPr>
          <w:trHeight w:val="428" w:hRule="atLeast"/>
        </w:trPr>
        <w:tc>
          <w:tcPr>
            <w:tcW w:w="44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7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17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人工单价</w:t>
            </w:r>
          </w:p>
        </w:tc>
        <w:tc>
          <w:tcPr>
            <w:tcW w:w="3996" w:type="dxa"/>
            <w:gridSpan w:val="8"/>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小计</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17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96" w:type="dxa"/>
            <w:gridSpan w:val="8"/>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未计价材料费</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5736" w:type="dxa"/>
            <w:gridSpan w:val="11"/>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清单项目综合单价</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810" w:hRule="atLeast"/>
        </w:trPr>
        <w:tc>
          <w:tcPr>
            <w:tcW w:w="442" w:type="dxa"/>
            <w:vMerge w:val="restart"/>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细</w:t>
            </w: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主要材料名称、规格、型号</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合价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294" w:type="dxa"/>
            <w:gridSpan w:val="10"/>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其他材料费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294" w:type="dxa"/>
            <w:gridSpan w:val="10"/>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材料费小计</w:t>
            </w:r>
          </w:p>
        </w:tc>
        <w:tc>
          <w:tcPr>
            <w:tcW w:w="756"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05"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77"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五</w:t>
      </w:r>
      <w:r>
        <w:rPr>
          <w:rFonts w:hint="eastAsia" w:ascii="宋体" w:hAnsi="宋体" w:eastAsia="宋体" w:cs="宋体"/>
          <w:bCs/>
          <w:sz w:val="32"/>
          <w:szCs w:val="32"/>
        </w:rPr>
        <w:t>、项目管理机构组成表（框图式）</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供应商根据其自身法人机构管理情况编制。</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4"/>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39" w:name="_Toc16979"/>
      <w:bookmarkStart w:id="140" w:name="_Toc29115"/>
      <w:r>
        <w:rPr>
          <w:rFonts w:hint="eastAsia" w:ascii="宋体" w:hAnsi="宋体" w:eastAsia="宋体" w:cs="宋体"/>
          <w:b w:val="0"/>
          <w:bCs/>
          <w:kern w:val="2"/>
          <w:sz w:val="32"/>
          <w:szCs w:val="32"/>
          <w:lang w:val="en-US" w:eastAsia="zh-CN" w:bidi="ar-SA"/>
        </w:rPr>
        <w:t>六、项目管理部人员配置表</w:t>
      </w:r>
      <w:bookmarkEnd w:id="139"/>
      <w:bookmarkEnd w:id="140"/>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11"/>
        <w:gridCol w:w="1127"/>
        <w:gridCol w:w="947"/>
        <w:gridCol w:w="1107"/>
        <w:gridCol w:w="961"/>
        <w:gridCol w:w="961"/>
        <w:gridCol w:w="76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序号</w:t>
            </w:r>
          </w:p>
        </w:tc>
        <w:tc>
          <w:tcPr>
            <w:tcW w:w="111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拟任职务</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职称</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执业或职业资格证明</w:t>
            </w:r>
          </w:p>
        </w:tc>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证书名称</w:t>
            </w:r>
          </w:p>
        </w:tc>
        <w:tc>
          <w:tcPr>
            <w:tcW w:w="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级别</w:t>
            </w:r>
          </w:p>
        </w:tc>
        <w:tc>
          <w:tcPr>
            <w:tcW w:w="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证号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专业</w:t>
            </w: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注：上述人员均须附（如果取得）身份证、职称证、学历证、执业证等证书的复印件。其中项目负责人、技术负责人还须填写“主要人员简历表”</w:t>
      </w:r>
    </w:p>
    <w:p>
      <w:pPr>
        <w:rPr>
          <w:rFonts w:hint="eastAsia" w:ascii="宋体" w:hAnsi="宋体" w:eastAsia="宋体" w:cs="宋体"/>
          <w:sz w:val="21"/>
          <w:szCs w:val="21"/>
        </w:rPr>
      </w:pPr>
    </w:p>
    <w:p>
      <w:pPr>
        <w:pStyle w:val="4"/>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41" w:name="_Toc24315"/>
      <w:bookmarkStart w:id="142" w:name="_Toc1857"/>
      <w:r>
        <w:rPr>
          <w:rFonts w:hint="eastAsia" w:ascii="宋体" w:hAnsi="宋体" w:eastAsia="宋体" w:cs="宋体"/>
          <w:b w:val="0"/>
          <w:bCs/>
          <w:kern w:val="2"/>
          <w:sz w:val="32"/>
          <w:szCs w:val="32"/>
          <w:lang w:val="en-US" w:eastAsia="zh-CN" w:bidi="ar-SA"/>
        </w:rPr>
        <w:t>七、主要人员简历表</w:t>
      </w:r>
      <w:bookmarkEnd w:id="141"/>
      <w:bookmarkEnd w:id="142"/>
    </w:p>
    <w:p>
      <w:pPr>
        <w:rPr>
          <w:rFonts w:hint="eastAsia" w:ascii="宋体" w:hAnsi="宋体" w:eastAsia="宋体" w:cs="宋体"/>
          <w:sz w:val="21"/>
          <w:szCs w:val="21"/>
        </w:rPr>
      </w:pPr>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28"/>
        <w:gridCol w:w="1295"/>
        <w:gridCol w:w="1450"/>
        <w:gridCol w:w="176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年龄</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学历</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职务</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拟在本合同任职</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毕业学校</w:t>
            </w:r>
          </w:p>
        </w:tc>
        <w:tc>
          <w:tcPr>
            <w:tcW w:w="729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时间</w:t>
            </w: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参加过的类似项目</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担任职务</w:t>
            </w: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注：项目负责人（或建造师）及项目技术负责人须填此表。</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4"/>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43" w:name="_Toc1173"/>
      <w:bookmarkStart w:id="144" w:name="_Toc13191"/>
      <w:r>
        <w:rPr>
          <w:rFonts w:hint="eastAsia" w:ascii="宋体" w:hAnsi="宋体" w:eastAsia="宋体" w:cs="宋体"/>
          <w:b w:val="0"/>
          <w:bCs/>
          <w:kern w:val="2"/>
          <w:sz w:val="32"/>
          <w:szCs w:val="32"/>
          <w:lang w:val="en-US" w:eastAsia="zh-CN" w:bidi="ar-SA"/>
        </w:rPr>
        <w:t>八、资格审查资料</w:t>
      </w:r>
      <w:bookmarkEnd w:id="143"/>
      <w:bookmarkEnd w:id="144"/>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（一）供应商基本情况表</w:t>
      </w:r>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6"/>
        <w:gridCol w:w="31"/>
        <w:gridCol w:w="1386"/>
        <w:gridCol w:w="673"/>
        <w:gridCol w:w="462"/>
        <w:gridCol w:w="615"/>
        <w:gridCol w:w="1133"/>
        <w:gridCol w:w="67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供应商名称</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注册地址</w:t>
            </w:r>
          </w:p>
        </w:tc>
        <w:tc>
          <w:tcPr>
            <w:tcW w:w="3993"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邮政编码</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联系方式</w:t>
            </w: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313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传真</w:t>
            </w:r>
          </w:p>
        </w:tc>
        <w:tc>
          <w:tcPr>
            <w:tcW w:w="313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网址</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组织结构代码</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法定代表人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技术职称</w:t>
            </w:r>
          </w:p>
        </w:tc>
        <w:tc>
          <w:tcPr>
            <w:tcW w:w="17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技术负责人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技术职称</w:t>
            </w:r>
          </w:p>
        </w:tc>
        <w:tc>
          <w:tcPr>
            <w:tcW w:w="17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成立时间</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0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企业资质等级</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其中</w:t>
            </w: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项目负责人</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营业执照号</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高级职称人员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注册资金</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中级职称人员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开户银行</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初级职称人员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账  号</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  工</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经营范围</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（二）企业相关证书复印件（扫描件）</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企业资质证书（全部内容）复印件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营业执照（全部内容）复印件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企业安全生产许可证（全部内容）复印件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项目负责人证书（全部内容）复印件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其它相关资料复印件（供应商可以增加）</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spacing w:line="500" w:lineRule="exact"/>
        <w:jc w:val="center"/>
        <w:outlineLvl w:val="1"/>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45" w:name="_Toc20145419"/>
      <w:bookmarkStart w:id="146" w:name="_Toc6025"/>
      <w:bookmarkStart w:id="147" w:name="_Toc1270"/>
      <w:bookmarkStart w:id="148" w:name="_Toc16107400"/>
      <w:r>
        <w:rPr>
          <w:rFonts w:hint="eastAsia" w:ascii="宋体" w:hAnsi="宋体" w:eastAsia="宋体" w:cs="宋体"/>
          <w:b w:val="0"/>
          <w:bCs/>
          <w:kern w:val="2"/>
          <w:sz w:val="32"/>
          <w:szCs w:val="32"/>
          <w:lang w:val="en-US" w:eastAsia="zh-CN" w:bidi="ar-SA"/>
        </w:rPr>
        <w:t>九、材料品牌一览表</w:t>
      </w:r>
      <w:bookmarkEnd w:id="145"/>
      <w:bookmarkEnd w:id="146"/>
      <w:bookmarkEnd w:id="147"/>
      <w:bookmarkEnd w:id="148"/>
    </w:p>
    <w:p>
      <w:pPr>
        <w:pStyle w:val="25"/>
        <w:rPr>
          <w:rFonts w:hint="eastAsia"/>
          <w:lang w:val="en-US" w:eastAsia="zh-CN"/>
        </w:rPr>
      </w:pPr>
    </w:p>
    <w:tbl>
      <w:tblPr>
        <w:tblStyle w:val="26"/>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443"/>
        <w:gridCol w:w="2926"/>
        <w:gridCol w:w="158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序号</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材料名称</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参考品牌要求</w:t>
            </w:r>
          </w:p>
        </w:tc>
        <w:tc>
          <w:tcPr>
            <w:tcW w:w="81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响应文件中提供的品牌</w:t>
            </w: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rPr>
            </w:pPr>
            <w:r>
              <w:rPr>
                <w:rFonts w:hint="eastAsia" w:ascii="仿宋" w:hAnsi="仿宋" w:eastAsia="仿宋" w:cs="仿宋"/>
                <w:szCs w:val="21"/>
              </w:rPr>
              <w:t>1</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涂料</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多乐士、立邦、嘉宝莉</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rPr>
            </w:pPr>
            <w:r>
              <w:rPr>
                <w:rFonts w:hint="eastAsia" w:ascii="仿宋" w:hAnsi="仿宋" w:eastAsia="仿宋" w:cs="仿宋"/>
                <w:szCs w:val="21"/>
              </w:rPr>
              <w:t>2</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灯具</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欧普、雷士（非旗下）、飞利浦</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rPr>
            </w:pPr>
            <w:r>
              <w:rPr>
                <w:rFonts w:hint="eastAsia" w:ascii="仿宋" w:hAnsi="仿宋" w:eastAsia="仿宋" w:cs="仿宋"/>
                <w:szCs w:val="21"/>
              </w:rPr>
              <w:t>3</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铝板吊顶</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奥普、奥华、上海吉祥</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厚度不小于0.8mm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rPr>
            </w:pPr>
            <w:r>
              <w:rPr>
                <w:rFonts w:hint="eastAsia" w:ascii="仿宋" w:hAnsi="仿宋" w:eastAsia="仿宋" w:cs="仿宋"/>
                <w:szCs w:val="21"/>
              </w:rPr>
              <w:t>4</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石膏板</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可耐福、龙牌、圣戈班杰科</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rPr>
            </w:pPr>
            <w:r>
              <w:rPr>
                <w:rFonts w:hint="eastAsia" w:ascii="仿宋" w:hAnsi="仿宋" w:eastAsia="仿宋" w:cs="仿宋"/>
                <w:szCs w:val="21"/>
              </w:rPr>
              <w:t>5</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电器元件</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ABB、施耐德、西门子</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开关、插座</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鸿雁、公牛、罗格朗</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电线、电缆</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鑫鸿、绿宝、江苏上上</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电话及网络线</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普天天纪、康普、普利驰</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强、弱电管</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伟星、金德、华亚</w:t>
            </w: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阻燃型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744"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窗帘</w:t>
            </w:r>
          </w:p>
        </w:tc>
        <w:tc>
          <w:tcPr>
            <w:tcW w:w="1508"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p>
        </w:tc>
        <w:tc>
          <w:tcPr>
            <w:tcW w:w="818" w:type="pct"/>
            <w:noWrap w:val="0"/>
            <w:vAlign w:val="center"/>
          </w:tcPr>
          <w:p>
            <w:pPr>
              <w:pStyle w:val="64"/>
              <w:widowControl/>
              <w:spacing w:line="0" w:lineRule="atLeast"/>
              <w:jc w:val="left"/>
              <w:textAlignment w:val="center"/>
              <w:rPr>
                <w:rFonts w:hint="eastAsia" w:ascii="仿宋" w:hAnsi="仿宋" w:eastAsia="仿宋" w:cs="仿宋"/>
                <w:szCs w:val="21"/>
              </w:rPr>
            </w:pPr>
          </w:p>
        </w:tc>
        <w:tc>
          <w:tcPr>
            <w:tcW w:w="1697" w:type="pct"/>
            <w:noWrap w:val="0"/>
            <w:vAlign w:val="center"/>
          </w:tcPr>
          <w:p>
            <w:pPr>
              <w:pStyle w:val="64"/>
              <w:widowControl/>
              <w:spacing w:line="0" w:lineRule="atLeast"/>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窗帘棉含量不低于40%、遮光率不低于95%、褶皱系数不低于2.0；罗马杆壁厚不小于2.0mm</w:t>
            </w:r>
          </w:p>
        </w:tc>
      </w:tr>
    </w:tbl>
    <w:p>
      <w:pPr>
        <w:spacing w:line="300" w:lineRule="auto"/>
        <w:rPr>
          <w:rFonts w:hint="eastAsia" w:ascii="宋体" w:hAnsi="宋体" w:eastAsia="宋体" w:cs="宋体"/>
          <w:sz w:val="21"/>
          <w:szCs w:val="21"/>
        </w:rPr>
      </w:pPr>
    </w:p>
    <w:p>
      <w:pPr>
        <w:spacing w:line="300" w:lineRule="auto"/>
        <w:rPr>
          <w:rFonts w:hint="eastAsia" w:ascii="宋体" w:hAnsi="宋体" w:eastAsia="宋体" w:cs="宋体"/>
          <w:sz w:val="21"/>
          <w:szCs w:val="21"/>
        </w:rPr>
      </w:pPr>
      <w:r>
        <w:rPr>
          <w:rFonts w:hint="eastAsia" w:ascii="宋体" w:hAnsi="宋体" w:eastAsia="宋体" w:cs="宋体"/>
          <w:sz w:val="21"/>
          <w:szCs w:val="21"/>
        </w:rPr>
        <w:t>供应商(盖单位公章)</w:t>
      </w:r>
    </w:p>
    <w:p>
      <w:pPr>
        <w:spacing w:line="300" w:lineRule="auto"/>
        <w:rPr>
          <w:rFonts w:hint="eastAsia" w:ascii="宋体" w:hAnsi="宋体" w:eastAsia="宋体" w:cs="宋体"/>
          <w:sz w:val="21"/>
          <w:szCs w:val="21"/>
        </w:rPr>
      </w:pPr>
      <w:r>
        <w:rPr>
          <w:rFonts w:hint="eastAsia" w:ascii="宋体" w:hAnsi="宋体" w:eastAsia="宋体" w:cs="宋体"/>
          <w:sz w:val="21"/>
          <w:szCs w:val="21"/>
        </w:rPr>
        <w:t>法定代表人（签字或盖章）</w:t>
      </w:r>
    </w:p>
    <w:p>
      <w:pPr>
        <w:spacing w:line="300" w:lineRule="auto"/>
        <w:rPr>
          <w:rFonts w:hint="eastAsia" w:ascii="宋体" w:hAnsi="宋体" w:eastAsia="宋体" w:cs="宋体"/>
          <w:sz w:val="21"/>
          <w:szCs w:val="21"/>
        </w:rPr>
      </w:pPr>
    </w:p>
    <w:p>
      <w:pPr>
        <w:spacing w:line="360" w:lineRule="exact"/>
        <w:ind w:firstLine="405"/>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color w:val="FF0000"/>
          <w:sz w:val="21"/>
          <w:szCs w:val="21"/>
        </w:rPr>
        <w:t>供应商应在“响应文件中提供的品牌”一栏中填写拟在本工程使用的材料品牌（每项材料至少填写一个品牌）。</w:t>
      </w:r>
    </w:p>
    <w:p>
      <w:pPr>
        <w:spacing w:line="360" w:lineRule="exact"/>
        <w:ind w:firstLine="405"/>
        <w:rPr>
          <w:rFonts w:hint="eastAsia" w:ascii="宋体" w:hAnsi="宋体" w:eastAsia="宋体" w:cs="宋体"/>
          <w:sz w:val="21"/>
          <w:szCs w:val="21"/>
        </w:rPr>
      </w:pPr>
      <w:r>
        <w:rPr>
          <w:rFonts w:hint="eastAsia" w:ascii="宋体" w:hAnsi="宋体" w:eastAsia="宋体" w:cs="宋体"/>
          <w:sz w:val="21"/>
          <w:szCs w:val="21"/>
        </w:rPr>
        <w:t>2、供应商施工时，实际所提供的材料必须与响应文件中填写的一致。</w:t>
      </w:r>
    </w:p>
    <w:p>
      <w:pPr>
        <w:spacing w:line="360" w:lineRule="exact"/>
        <w:ind w:firstLine="405"/>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、其余要求详见</w:t>
      </w:r>
      <w:r>
        <w:rPr>
          <w:rFonts w:hint="eastAsia" w:ascii="宋体" w:hAnsi="宋体" w:eastAsia="宋体" w:cs="宋体"/>
          <w:sz w:val="21"/>
          <w:szCs w:val="21"/>
          <w:lang w:eastAsia="zh-CN"/>
        </w:rPr>
        <w:t>采购项目需求及技术要求</w:t>
      </w:r>
      <w:r>
        <w:rPr>
          <w:rFonts w:hint="eastAsia" w:ascii="宋体" w:hAnsi="宋体" w:eastAsia="宋体" w:cs="宋体"/>
          <w:sz w:val="21"/>
          <w:szCs w:val="21"/>
        </w:rPr>
        <w:t>。</w:t>
      </w:r>
    </w:p>
    <w:p>
      <w:pPr>
        <w:spacing w:line="360" w:lineRule="exact"/>
        <w:ind w:firstLine="405"/>
        <w:rPr>
          <w:rFonts w:hint="eastAsia" w:ascii="宋体" w:hAnsi="宋体" w:eastAsia="宋体" w:cs="宋体"/>
          <w:sz w:val="21"/>
          <w:szCs w:val="21"/>
        </w:rPr>
      </w:pPr>
    </w:p>
    <w:p>
      <w:pPr>
        <w:spacing w:line="500" w:lineRule="exact"/>
        <w:jc w:val="center"/>
        <w:outlineLvl w:val="1"/>
        <w:rPr>
          <w:rFonts w:hint="eastAsia" w:ascii="宋体" w:hAnsi="宋体" w:eastAsia="宋体" w:cs="宋体"/>
          <w:b/>
          <w:sz w:val="21"/>
          <w:szCs w:val="21"/>
        </w:rPr>
        <w:sectPr>
          <w:headerReference r:id="rId6" w:type="default"/>
          <w:pgSz w:w="11906" w:h="16838"/>
          <w:pgMar w:top="1247" w:right="1134" w:bottom="794" w:left="1134" w:header="851" w:footer="992" w:gutter="0"/>
          <w:pgNumType w:fmt="decimal"/>
          <w:cols w:space="720" w:num="1"/>
          <w:docGrid w:type="lines" w:linePitch="312" w:charSpace="0"/>
        </w:sectPr>
      </w:pPr>
      <w:bookmarkStart w:id="149" w:name="_Toc20145420"/>
      <w:bookmarkStart w:id="150" w:name="_Toc16107401"/>
    </w:p>
    <w:bookmarkEnd w:id="149"/>
    <w:bookmarkEnd w:id="150"/>
    <w:p>
      <w:pPr>
        <w:spacing w:line="500" w:lineRule="exact"/>
        <w:jc w:val="center"/>
        <w:outlineLvl w:val="1"/>
        <w:rPr>
          <w:rFonts w:hint="eastAsia" w:ascii="宋体" w:hAnsi="宋体" w:eastAsia="宋体" w:cs="宋体"/>
          <w:b w:val="0"/>
          <w:bCs/>
          <w:kern w:val="2"/>
          <w:sz w:val="32"/>
          <w:szCs w:val="32"/>
          <w:lang w:val="en-US" w:eastAsia="zh-CN" w:bidi="ar-SA"/>
        </w:rPr>
      </w:pPr>
      <w:bookmarkStart w:id="151" w:name="_Toc10489"/>
      <w:bookmarkStart w:id="152" w:name="_Toc16769"/>
      <w:r>
        <w:rPr>
          <w:rFonts w:hint="eastAsia" w:ascii="宋体" w:hAnsi="宋体" w:eastAsia="宋体" w:cs="宋体"/>
          <w:b w:val="0"/>
          <w:bCs/>
          <w:kern w:val="2"/>
          <w:sz w:val="32"/>
          <w:szCs w:val="32"/>
          <w:lang w:val="en-US" w:eastAsia="zh-CN" w:bidi="ar-SA"/>
        </w:rPr>
        <w:t>十、施工组织设计</w:t>
      </w:r>
      <w:bookmarkEnd w:id="151"/>
      <w:bookmarkEnd w:id="152"/>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注：1、供应商根据本项目和企业实际情况自行编制，格式自拟。</w:t>
      </w:r>
    </w:p>
    <w:p>
      <w:pPr>
        <w:pStyle w:val="4"/>
        <w:numPr>
          <w:ilvl w:val="0"/>
          <w:numId w:val="3"/>
        </w:numPr>
        <w:jc w:val="center"/>
        <w:rPr>
          <w:rFonts w:hint="eastAsia" w:ascii="宋体" w:hAnsi="宋体" w:eastAsia="宋体" w:cs="宋体"/>
          <w:color w:val="FF0000"/>
          <w:sz w:val="21"/>
          <w:szCs w:val="21"/>
        </w:rPr>
      </w:pPr>
      <w:bookmarkStart w:id="153" w:name="_Toc18921"/>
      <w:bookmarkStart w:id="154" w:name="_Toc19519"/>
      <w:r>
        <w:rPr>
          <w:rFonts w:hint="eastAsia" w:ascii="宋体" w:hAnsi="宋体" w:eastAsia="宋体" w:cs="宋体"/>
          <w:color w:val="FF0000"/>
          <w:sz w:val="21"/>
          <w:szCs w:val="21"/>
        </w:rPr>
        <w:t>供应商按照评审方法和标准慎重编制施工组织设计，此项将直接影响技术标得分。</w:t>
      </w:r>
      <w:bookmarkEnd w:id="153"/>
      <w:bookmarkEnd w:id="154"/>
    </w:p>
    <w:p>
      <w:pPr>
        <w:jc w:val="left"/>
        <w:rPr>
          <w:rFonts w:hint="eastAsia" w:ascii="宋体" w:hAnsi="宋体" w:eastAsia="宋体" w:cs="宋体"/>
          <w:b/>
          <w:sz w:val="21"/>
          <w:szCs w:val="21"/>
        </w:rPr>
      </w:pPr>
      <w:r>
        <w:rPr>
          <w:rFonts w:hint="eastAsia" w:ascii="宋体" w:hAnsi="宋体" w:eastAsia="宋体" w:cs="宋体"/>
          <w:bCs/>
          <w:sz w:val="21"/>
          <w:szCs w:val="21"/>
        </w:rPr>
        <w:br w:type="page"/>
      </w:r>
    </w:p>
    <w:p>
      <w:pPr>
        <w:jc w:val="left"/>
        <w:rPr>
          <w:rFonts w:hint="eastAsia" w:ascii="宋体" w:hAnsi="宋体" w:eastAsia="宋体" w:cs="宋体"/>
          <w:b/>
          <w:sz w:val="21"/>
          <w:szCs w:val="21"/>
        </w:rPr>
      </w:pPr>
    </w:p>
    <w:p>
      <w:pPr>
        <w:rPr>
          <w:rFonts w:hint="eastAsia" w:ascii="宋体" w:hAnsi="宋体" w:eastAsia="宋体" w:cs="宋体"/>
          <w:b/>
          <w:sz w:val="21"/>
          <w:szCs w:val="21"/>
        </w:rPr>
      </w:pPr>
    </w:p>
    <w:p>
      <w:pPr>
        <w:spacing w:line="500" w:lineRule="exact"/>
        <w:jc w:val="left"/>
        <w:outlineLvl w:val="1"/>
        <w:rPr>
          <w:rFonts w:hint="eastAsia" w:ascii="宋体" w:hAnsi="宋体" w:eastAsia="宋体" w:cs="宋体"/>
          <w:b w:val="0"/>
          <w:bCs/>
          <w:kern w:val="2"/>
          <w:sz w:val="32"/>
          <w:szCs w:val="32"/>
          <w:lang w:val="en-US" w:eastAsia="zh-CN" w:bidi="ar-SA"/>
        </w:rPr>
      </w:pPr>
      <w:bookmarkStart w:id="155" w:name="_Toc7814"/>
      <w:bookmarkStart w:id="156" w:name="_Toc27232"/>
      <w:r>
        <w:rPr>
          <w:rFonts w:hint="eastAsia" w:ascii="宋体" w:hAnsi="宋体" w:eastAsia="宋体" w:cs="宋体"/>
          <w:b w:val="0"/>
          <w:bCs/>
          <w:kern w:val="2"/>
          <w:sz w:val="32"/>
          <w:szCs w:val="32"/>
          <w:lang w:val="en-US" w:eastAsia="zh-CN" w:bidi="ar-SA"/>
        </w:rPr>
        <w:t>十</w:t>
      </w:r>
      <w:r>
        <w:rPr>
          <w:rFonts w:hint="eastAsia" w:ascii="宋体" w:hAnsi="宋体" w:cs="宋体"/>
          <w:b w:val="0"/>
          <w:bCs/>
          <w:kern w:val="2"/>
          <w:sz w:val="32"/>
          <w:szCs w:val="32"/>
          <w:lang w:val="en-US" w:eastAsia="zh-CN" w:bidi="ar-SA"/>
        </w:rPr>
        <w:t>一</w:t>
      </w:r>
      <w:r>
        <w:rPr>
          <w:rFonts w:hint="eastAsia" w:ascii="宋体" w:hAnsi="宋体" w:eastAsia="宋体" w:cs="宋体"/>
          <w:b w:val="0"/>
          <w:bCs/>
          <w:kern w:val="2"/>
          <w:sz w:val="32"/>
          <w:szCs w:val="32"/>
          <w:lang w:val="en-US" w:eastAsia="zh-CN" w:bidi="ar-SA"/>
        </w:rPr>
        <w:t>、供应商二次报价函（格式）</w:t>
      </w:r>
      <w:bookmarkEnd w:id="155"/>
      <w:bookmarkEnd w:id="156"/>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二次报价函</w:t>
      </w:r>
    </w:p>
    <w:p>
      <w:pPr>
        <w:spacing w:line="360" w:lineRule="auto"/>
        <w:ind w:left="-131" w:leftChars="-135" w:hanging="247" w:hangingChars="117"/>
        <w:rPr>
          <w:rFonts w:hint="eastAsia" w:ascii="宋体" w:hAnsi="宋体" w:eastAsia="宋体" w:cs="宋体"/>
          <w:b/>
          <w:sz w:val="21"/>
          <w:szCs w:val="21"/>
        </w:rPr>
      </w:pPr>
    </w:p>
    <w:p>
      <w:pPr>
        <w:spacing w:line="360" w:lineRule="auto"/>
        <w:ind w:left="-131" w:leftChars="-135" w:hanging="247" w:hangingChars="117"/>
        <w:rPr>
          <w:rFonts w:hint="eastAsia" w:ascii="宋体" w:hAnsi="宋体" w:eastAsia="宋体" w:cs="宋体"/>
          <w:b/>
          <w:sz w:val="21"/>
          <w:szCs w:val="21"/>
        </w:rPr>
      </w:pPr>
      <w:r>
        <w:rPr>
          <w:rFonts w:hint="eastAsia" w:ascii="宋体" w:hAnsi="宋体" w:eastAsia="宋体" w:cs="宋体"/>
          <w:b/>
          <w:sz w:val="21"/>
          <w:szCs w:val="21"/>
        </w:rPr>
        <w:t>致：皖南医学院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1.在参与了本次招标后，我方愿意按人民币</w:t>
      </w:r>
      <w:r>
        <w:rPr>
          <w:rFonts w:hint="eastAsia" w:ascii="宋体" w:hAnsi="宋体" w:eastAsia="宋体" w:cs="宋体"/>
          <w:sz w:val="21"/>
          <w:szCs w:val="21"/>
          <w:u w:val="single"/>
        </w:rPr>
        <w:t>（大写）      元 (￥        元)</w:t>
      </w:r>
      <w:r>
        <w:rPr>
          <w:rFonts w:hint="eastAsia" w:ascii="宋体" w:hAnsi="宋体" w:eastAsia="宋体" w:cs="宋体"/>
          <w:sz w:val="21"/>
          <w:szCs w:val="21"/>
        </w:rPr>
        <w:t>的总价承担本次</w:t>
      </w:r>
      <w:r>
        <w:rPr>
          <w:rFonts w:hint="eastAsia" w:ascii="宋体" w:hAnsi="宋体" w:eastAsia="宋体" w:cs="宋体"/>
          <w:sz w:val="21"/>
          <w:szCs w:val="21"/>
          <w:lang w:val="en-US" w:eastAsia="zh-CN"/>
        </w:rPr>
        <w:t>磋商</w:t>
      </w:r>
      <w:r>
        <w:rPr>
          <w:rFonts w:hint="eastAsia" w:ascii="宋体" w:hAnsi="宋体" w:eastAsia="宋体" w:cs="宋体"/>
          <w:sz w:val="21"/>
          <w:szCs w:val="21"/>
        </w:rPr>
        <w:t>采购范围的所有内容；</w:t>
      </w:r>
    </w:p>
    <w:p>
      <w:pPr>
        <w:adjustRightInd w:val="0"/>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2.单价按一次报价的同比率下降。</w:t>
      </w:r>
    </w:p>
    <w:p>
      <w:pPr>
        <w:adjustRightInd w:val="0"/>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3.如果我方成交，我方将保证在采购人要求的</w:t>
      </w:r>
      <w:r>
        <w:rPr>
          <w:rFonts w:hint="eastAsia" w:ascii="宋体" w:hAnsi="宋体" w:cs="宋体"/>
          <w:sz w:val="21"/>
          <w:szCs w:val="21"/>
          <w:lang w:val="en-US" w:eastAsia="zh-CN"/>
        </w:rPr>
        <w:t>工</w:t>
      </w:r>
      <w:r>
        <w:rPr>
          <w:rFonts w:hint="eastAsia" w:ascii="宋体" w:hAnsi="宋体" w:eastAsia="宋体" w:cs="宋体"/>
          <w:sz w:val="21"/>
          <w:szCs w:val="21"/>
        </w:rPr>
        <w:t>期内完成本项目的内容，并达到采购规定的要求；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4.在合同书正式签署之前，本报价将构成我们双方之间共同遵守的文件内容，对双方具有约束力；</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5.我方愿意提供</w:t>
      </w:r>
      <w:r>
        <w:rPr>
          <w:rFonts w:hint="eastAsia" w:ascii="宋体" w:hAnsi="宋体" w:eastAsia="宋体" w:cs="宋体"/>
          <w:sz w:val="21"/>
          <w:szCs w:val="21"/>
          <w:lang w:val="en-US" w:eastAsia="zh-CN"/>
        </w:rPr>
        <w:t>磋商</w:t>
      </w:r>
      <w:r>
        <w:rPr>
          <w:rFonts w:hint="eastAsia" w:ascii="宋体" w:hAnsi="宋体" w:eastAsia="宋体" w:cs="宋体"/>
          <w:sz w:val="21"/>
          <w:szCs w:val="21"/>
        </w:rPr>
        <w:t>采购文件可能另外要求的、与报价有关的文件资料，并保证我方已提供和将要提供的文件是真实的、准确的。</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6.我们完全接受</w:t>
      </w:r>
      <w:r>
        <w:rPr>
          <w:rFonts w:hint="eastAsia" w:ascii="宋体" w:hAnsi="宋体" w:eastAsia="宋体" w:cs="宋体"/>
          <w:sz w:val="21"/>
          <w:szCs w:val="21"/>
          <w:lang w:val="en-US" w:eastAsia="zh-CN"/>
        </w:rPr>
        <w:t>磋商</w:t>
      </w:r>
      <w:r>
        <w:rPr>
          <w:rFonts w:hint="eastAsia" w:ascii="宋体" w:hAnsi="宋体" w:eastAsia="宋体" w:cs="宋体"/>
          <w:sz w:val="21"/>
          <w:szCs w:val="21"/>
        </w:rPr>
        <w:t>采购文件中的相关规定。如有违反，贵处有权取消我单位成交资格，另选成交单位。</w:t>
      </w:r>
    </w:p>
    <w:p>
      <w:pPr>
        <w:adjustRightInd w:val="0"/>
        <w:snapToGrid w:val="0"/>
        <w:spacing w:line="360" w:lineRule="auto"/>
        <w:ind w:firstLine="420" w:firstLineChars="200"/>
        <w:rPr>
          <w:rFonts w:hint="eastAsia" w:ascii="宋体" w:hAnsi="宋体" w:eastAsia="宋体" w:cs="宋体"/>
          <w:sz w:val="21"/>
          <w:szCs w:val="21"/>
        </w:rPr>
      </w:pP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供应商(盖单位公章)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法定代表人或授权委托人（签字或盖章）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年  月  日</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注：</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1.本项目以二次报价为最终报价。本报价函未按规定签字或盖章的，视为无效标处理。</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2.每个报价人需打印一份空白报价函，预先加盖单位公章和法定代表人（负责人）或授权委托人签字(手持)，用于磋商后的二次报价。</w:t>
      </w:r>
    </w:p>
    <w:p>
      <w:pPr>
        <w:rPr>
          <w:rFonts w:hint="eastAsia" w:ascii="宋体" w:hAnsi="宋体" w:eastAsia="宋体" w:cs="宋体"/>
          <w:sz w:val="21"/>
          <w:szCs w:val="21"/>
        </w:rPr>
      </w:pPr>
    </w:p>
    <w:p>
      <w:pPr>
        <w:rPr>
          <w:b/>
          <w:bCs/>
          <w:sz w:val="32"/>
          <w:szCs w:val="32"/>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仿宋_GB2312" w:eastAsia="仿宋_GB2312"/>
          <w:sz w:val="24"/>
          <w:szCs w:val="24"/>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b/>
        <w:sz w:val="21"/>
      </w:rPr>
    </w:pPr>
    <w:r>
      <w:rPr>
        <w:sz w:val="21"/>
      </w:rPr>
      <w:pict>
        <v:shape id="文本框 1"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5764"/>
    <w:multiLevelType w:val="singleLevel"/>
    <w:tmpl w:val="85325764"/>
    <w:lvl w:ilvl="0" w:tentative="0">
      <w:start w:val="2"/>
      <w:numFmt w:val="decimal"/>
      <w:suff w:val="nothing"/>
      <w:lvlText w:val="%1、"/>
      <w:lvlJc w:val="left"/>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2ZDJiNDZmYzFlOTU4MzkzOGVhNjk1ZWY2ZThlNzQifQ=="/>
  </w:docVars>
  <w:rsids>
    <w:rsidRoot w:val="00BC5577"/>
    <w:rsid w:val="000014F5"/>
    <w:rsid w:val="00004A55"/>
    <w:rsid w:val="00006724"/>
    <w:rsid w:val="00015D90"/>
    <w:rsid w:val="00016B02"/>
    <w:rsid w:val="00017FCB"/>
    <w:rsid w:val="00022591"/>
    <w:rsid w:val="0002344D"/>
    <w:rsid w:val="00023EED"/>
    <w:rsid w:val="000259F2"/>
    <w:rsid w:val="00025A41"/>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4809"/>
    <w:rsid w:val="00167162"/>
    <w:rsid w:val="001703B9"/>
    <w:rsid w:val="001751ED"/>
    <w:rsid w:val="00175C59"/>
    <w:rsid w:val="001764F4"/>
    <w:rsid w:val="0018074B"/>
    <w:rsid w:val="00180D64"/>
    <w:rsid w:val="00181B67"/>
    <w:rsid w:val="001822F8"/>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1F0FB9"/>
    <w:rsid w:val="00200AAC"/>
    <w:rsid w:val="00204069"/>
    <w:rsid w:val="00206979"/>
    <w:rsid w:val="00206AFC"/>
    <w:rsid w:val="00211520"/>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52EA0"/>
    <w:rsid w:val="00253084"/>
    <w:rsid w:val="002558D5"/>
    <w:rsid w:val="00257024"/>
    <w:rsid w:val="00261227"/>
    <w:rsid w:val="00263614"/>
    <w:rsid w:val="002679E3"/>
    <w:rsid w:val="00270053"/>
    <w:rsid w:val="00270964"/>
    <w:rsid w:val="002715B7"/>
    <w:rsid w:val="00272628"/>
    <w:rsid w:val="002736A2"/>
    <w:rsid w:val="002852CE"/>
    <w:rsid w:val="002872C1"/>
    <w:rsid w:val="0029067B"/>
    <w:rsid w:val="0029196D"/>
    <w:rsid w:val="00292163"/>
    <w:rsid w:val="00292AA6"/>
    <w:rsid w:val="00294697"/>
    <w:rsid w:val="00295D71"/>
    <w:rsid w:val="0029713D"/>
    <w:rsid w:val="002976DF"/>
    <w:rsid w:val="002A6555"/>
    <w:rsid w:val="002A694A"/>
    <w:rsid w:val="002A6B9D"/>
    <w:rsid w:val="002B1C4F"/>
    <w:rsid w:val="002B4D61"/>
    <w:rsid w:val="002C0445"/>
    <w:rsid w:val="002C1E00"/>
    <w:rsid w:val="002C28E5"/>
    <w:rsid w:val="002C5D27"/>
    <w:rsid w:val="002D0555"/>
    <w:rsid w:val="002D6BE2"/>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46E8B"/>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9AF"/>
    <w:rsid w:val="003A3478"/>
    <w:rsid w:val="003A794F"/>
    <w:rsid w:val="003A7DF3"/>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17EF4"/>
    <w:rsid w:val="00420272"/>
    <w:rsid w:val="00420EF2"/>
    <w:rsid w:val="004239F5"/>
    <w:rsid w:val="00423F69"/>
    <w:rsid w:val="0042556D"/>
    <w:rsid w:val="00426F76"/>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7EA0"/>
    <w:rsid w:val="00551FEC"/>
    <w:rsid w:val="00554369"/>
    <w:rsid w:val="00555B79"/>
    <w:rsid w:val="00562D96"/>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591"/>
    <w:rsid w:val="005C7E59"/>
    <w:rsid w:val="005D1546"/>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0BD"/>
    <w:rsid w:val="0063665D"/>
    <w:rsid w:val="00641EB6"/>
    <w:rsid w:val="00642F2F"/>
    <w:rsid w:val="006431B1"/>
    <w:rsid w:val="00646335"/>
    <w:rsid w:val="00647961"/>
    <w:rsid w:val="00647C2E"/>
    <w:rsid w:val="00647F8D"/>
    <w:rsid w:val="006542A8"/>
    <w:rsid w:val="006678CC"/>
    <w:rsid w:val="00670418"/>
    <w:rsid w:val="00672C2F"/>
    <w:rsid w:val="006733DF"/>
    <w:rsid w:val="00673AF2"/>
    <w:rsid w:val="006742A6"/>
    <w:rsid w:val="006774A7"/>
    <w:rsid w:val="00681C46"/>
    <w:rsid w:val="0068287D"/>
    <w:rsid w:val="006844BA"/>
    <w:rsid w:val="0068485A"/>
    <w:rsid w:val="00686A3C"/>
    <w:rsid w:val="0069130E"/>
    <w:rsid w:val="006930D6"/>
    <w:rsid w:val="00694664"/>
    <w:rsid w:val="00696B74"/>
    <w:rsid w:val="006A0842"/>
    <w:rsid w:val="006A1690"/>
    <w:rsid w:val="006A28FE"/>
    <w:rsid w:val="006A44C6"/>
    <w:rsid w:val="006A5E3A"/>
    <w:rsid w:val="006B014D"/>
    <w:rsid w:val="006B2C5F"/>
    <w:rsid w:val="006B3E39"/>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5075"/>
    <w:rsid w:val="006E5253"/>
    <w:rsid w:val="006E5C73"/>
    <w:rsid w:val="006E6048"/>
    <w:rsid w:val="006E7053"/>
    <w:rsid w:val="006F588B"/>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27B45"/>
    <w:rsid w:val="00735788"/>
    <w:rsid w:val="00735BA4"/>
    <w:rsid w:val="00737EC0"/>
    <w:rsid w:val="0074259D"/>
    <w:rsid w:val="0074270E"/>
    <w:rsid w:val="007434E4"/>
    <w:rsid w:val="00744CA7"/>
    <w:rsid w:val="00744F24"/>
    <w:rsid w:val="0075148A"/>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5BDF"/>
    <w:rsid w:val="00797CF0"/>
    <w:rsid w:val="007A4794"/>
    <w:rsid w:val="007B14BE"/>
    <w:rsid w:val="007B2E76"/>
    <w:rsid w:val="007B3D86"/>
    <w:rsid w:val="007B71C1"/>
    <w:rsid w:val="007B7A38"/>
    <w:rsid w:val="007C7664"/>
    <w:rsid w:val="007D2766"/>
    <w:rsid w:val="007D4103"/>
    <w:rsid w:val="007D670C"/>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5ED5"/>
    <w:rsid w:val="00836798"/>
    <w:rsid w:val="00843039"/>
    <w:rsid w:val="008446C2"/>
    <w:rsid w:val="00847CB0"/>
    <w:rsid w:val="00850DAC"/>
    <w:rsid w:val="00853EA8"/>
    <w:rsid w:val="00857597"/>
    <w:rsid w:val="0086035C"/>
    <w:rsid w:val="008631F1"/>
    <w:rsid w:val="00870454"/>
    <w:rsid w:val="008734F8"/>
    <w:rsid w:val="0087389B"/>
    <w:rsid w:val="008740F7"/>
    <w:rsid w:val="00874DC8"/>
    <w:rsid w:val="008818C9"/>
    <w:rsid w:val="00883039"/>
    <w:rsid w:val="00885DDE"/>
    <w:rsid w:val="00887800"/>
    <w:rsid w:val="00890717"/>
    <w:rsid w:val="00891545"/>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3135"/>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704A"/>
    <w:rsid w:val="00931FD5"/>
    <w:rsid w:val="00934AA7"/>
    <w:rsid w:val="00942ACE"/>
    <w:rsid w:val="00942E73"/>
    <w:rsid w:val="00944026"/>
    <w:rsid w:val="00952073"/>
    <w:rsid w:val="00952451"/>
    <w:rsid w:val="00952BDD"/>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533"/>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37E86"/>
    <w:rsid w:val="00A416AA"/>
    <w:rsid w:val="00A46332"/>
    <w:rsid w:val="00A50D5B"/>
    <w:rsid w:val="00A5603D"/>
    <w:rsid w:val="00A60D37"/>
    <w:rsid w:val="00A61ADF"/>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1A91"/>
    <w:rsid w:val="00B62AA7"/>
    <w:rsid w:val="00B64CB0"/>
    <w:rsid w:val="00B67285"/>
    <w:rsid w:val="00B70DEE"/>
    <w:rsid w:val="00B72F7B"/>
    <w:rsid w:val="00B74696"/>
    <w:rsid w:val="00B80E75"/>
    <w:rsid w:val="00B84C86"/>
    <w:rsid w:val="00B9316F"/>
    <w:rsid w:val="00B95C88"/>
    <w:rsid w:val="00B95E11"/>
    <w:rsid w:val="00B96E5A"/>
    <w:rsid w:val="00BA0C7A"/>
    <w:rsid w:val="00BB54AD"/>
    <w:rsid w:val="00BC0D51"/>
    <w:rsid w:val="00BC5577"/>
    <w:rsid w:val="00BD2BDB"/>
    <w:rsid w:val="00BD31C6"/>
    <w:rsid w:val="00BD3362"/>
    <w:rsid w:val="00BD3BF6"/>
    <w:rsid w:val="00BD3C08"/>
    <w:rsid w:val="00BD3E73"/>
    <w:rsid w:val="00BD62D1"/>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46423"/>
    <w:rsid w:val="00C5229F"/>
    <w:rsid w:val="00C52A4C"/>
    <w:rsid w:val="00C549C3"/>
    <w:rsid w:val="00C54B26"/>
    <w:rsid w:val="00C6189A"/>
    <w:rsid w:val="00C74631"/>
    <w:rsid w:val="00C754A0"/>
    <w:rsid w:val="00C800E9"/>
    <w:rsid w:val="00C80D9D"/>
    <w:rsid w:val="00C81119"/>
    <w:rsid w:val="00C8225A"/>
    <w:rsid w:val="00C823C4"/>
    <w:rsid w:val="00C8259E"/>
    <w:rsid w:val="00C86083"/>
    <w:rsid w:val="00C90006"/>
    <w:rsid w:val="00C91A02"/>
    <w:rsid w:val="00C94F66"/>
    <w:rsid w:val="00C95F19"/>
    <w:rsid w:val="00CA1C76"/>
    <w:rsid w:val="00CA7226"/>
    <w:rsid w:val="00CA7F2F"/>
    <w:rsid w:val="00CB3C62"/>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4D4F"/>
    <w:rsid w:val="00D46FE7"/>
    <w:rsid w:val="00D53F1B"/>
    <w:rsid w:val="00D53F7F"/>
    <w:rsid w:val="00D548B2"/>
    <w:rsid w:val="00D56E1B"/>
    <w:rsid w:val="00D5797D"/>
    <w:rsid w:val="00D62A34"/>
    <w:rsid w:val="00D632A9"/>
    <w:rsid w:val="00D67019"/>
    <w:rsid w:val="00D8074E"/>
    <w:rsid w:val="00D837A7"/>
    <w:rsid w:val="00D865A9"/>
    <w:rsid w:val="00D8798C"/>
    <w:rsid w:val="00D87DEB"/>
    <w:rsid w:val="00D916E8"/>
    <w:rsid w:val="00D9231C"/>
    <w:rsid w:val="00D96790"/>
    <w:rsid w:val="00D97314"/>
    <w:rsid w:val="00DA3331"/>
    <w:rsid w:val="00DA38A4"/>
    <w:rsid w:val="00DA555B"/>
    <w:rsid w:val="00DB4103"/>
    <w:rsid w:val="00DB6EA8"/>
    <w:rsid w:val="00DC5C5B"/>
    <w:rsid w:val="00DC71E1"/>
    <w:rsid w:val="00DC73CC"/>
    <w:rsid w:val="00DD0D06"/>
    <w:rsid w:val="00DD11C8"/>
    <w:rsid w:val="00DD3583"/>
    <w:rsid w:val="00DE2318"/>
    <w:rsid w:val="00DF127A"/>
    <w:rsid w:val="00E036D8"/>
    <w:rsid w:val="00E05189"/>
    <w:rsid w:val="00E11000"/>
    <w:rsid w:val="00E11E8C"/>
    <w:rsid w:val="00E14555"/>
    <w:rsid w:val="00E16171"/>
    <w:rsid w:val="00E20202"/>
    <w:rsid w:val="00E2053A"/>
    <w:rsid w:val="00E274A4"/>
    <w:rsid w:val="00E278B4"/>
    <w:rsid w:val="00E27B59"/>
    <w:rsid w:val="00E30B7F"/>
    <w:rsid w:val="00E328EB"/>
    <w:rsid w:val="00E36364"/>
    <w:rsid w:val="00E378C6"/>
    <w:rsid w:val="00E5087F"/>
    <w:rsid w:val="00E50EC0"/>
    <w:rsid w:val="00E5149D"/>
    <w:rsid w:val="00E515A1"/>
    <w:rsid w:val="00E54912"/>
    <w:rsid w:val="00E55313"/>
    <w:rsid w:val="00E622C0"/>
    <w:rsid w:val="00E6360C"/>
    <w:rsid w:val="00E636E6"/>
    <w:rsid w:val="00E643D7"/>
    <w:rsid w:val="00E646B7"/>
    <w:rsid w:val="00E65A46"/>
    <w:rsid w:val="00E70538"/>
    <w:rsid w:val="00E70862"/>
    <w:rsid w:val="00E722C2"/>
    <w:rsid w:val="00E77ACA"/>
    <w:rsid w:val="00E8067F"/>
    <w:rsid w:val="00E806CE"/>
    <w:rsid w:val="00E8143D"/>
    <w:rsid w:val="00E8264E"/>
    <w:rsid w:val="00E85D12"/>
    <w:rsid w:val="00E86793"/>
    <w:rsid w:val="00E87E01"/>
    <w:rsid w:val="00E90128"/>
    <w:rsid w:val="00E92B31"/>
    <w:rsid w:val="00E93B88"/>
    <w:rsid w:val="00EA15B1"/>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470B"/>
    <w:rsid w:val="00EE5CF8"/>
    <w:rsid w:val="00EE7443"/>
    <w:rsid w:val="00EF6465"/>
    <w:rsid w:val="00EF6F08"/>
    <w:rsid w:val="00EF70E5"/>
    <w:rsid w:val="00F05D87"/>
    <w:rsid w:val="00F06A12"/>
    <w:rsid w:val="00F06D65"/>
    <w:rsid w:val="00F12CDE"/>
    <w:rsid w:val="00F12F78"/>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4137"/>
    <w:rsid w:val="00F855B8"/>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3B4944"/>
    <w:rsid w:val="014F43EC"/>
    <w:rsid w:val="016862B7"/>
    <w:rsid w:val="01A86850"/>
    <w:rsid w:val="01B110AA"/>
    <w:rsid w:val="0234138D"/>
    <w:rsid w:val="029A4FF3"/>
    <w:rsid w:val="029F0AF2"/>
    <w:rsid w:val="02F9098D"/>
    <w:rsid w:val="030D62FF"/>
    <w:rsid w:val="03141F6C"/>
    <w:rsid w:val="03174F3D"/>
    <w:rsid w:val="03311E12"/>
    <w:rsid w:val="033239C0"/>
    <w:rsid w:val="03375366"/>
    <w:rsid w:val="03525361"/>
    <w:rsid w:val="039A654E"/>
    <w:rsid w:val="039E6B3C"/>
    <w:rsid w:val="03CD1A41"/>
    <w:rsid w:val="03D51D9B"/>
    <w:rsid w:val="03FC6F84"/>
    <w:rsid w:val="04031D92"/>
    <w:rsid w:val="04161698"/>
    <w:rsid w:val="04435167"/>
    <w:rsid w:val="0490338C"/>
    <w:rsid w:val="049B5628"/>
    <w:rsid w:val="04A72032"/>
    <w:rsid w:val="04AC0D88"/>
    <w:rsid w:val="04BD144B"/>
    <w:rsid w:val="04C7316C"/>
    <w:rsid w:val="04E92909"/>
    <w:rsid w:val="04FF48D9"/>
    <w:rsid w:val="050326C3"/>
    <w:rsid w:val="050D7FCD"/>
    <w:rsid w:val="057B43B4"/>
    <w:rsid w:val="05884CB4"/>
    <w:rsid w:val="0605426F"/>
    <w:rsid w:val="061B6B4D"/>
    <w:rsid w:val="0642001F"/>
    <w:rsid w:val="064603E8"/>
    <w:rsid w:val="06465B2E"/>
    <w:rsid w:val="064E0672"/>
    <w:rsid w:val="068C5C42"/>
    <w:rsid w:val="06A12781"/>
    <w:rsid w:val="06BD5FB2"/>
    <w:rsid w:val="073B020F"/>
    <w:rsid w:val="073E427C"/>
    <w:rsid w:val="074C2609"/>
    <w:rsid w:val="075E2A88"/>
    <w:rsid w:val="07846919"/>
    <w:rsid w:val="07C7068F"/>
    <w:rsid w:val="07D30CB8"/>
    <w:rsid w:val="07D433FC"/>
    <w:rsid w:val="07EB29B1"/>
    <w:rsid w:val="07F12200"/>
    <w:rsid w:val="07FA0A50"/>
    <w:rsid w:val="088E5CA1"/>
    <w:rsid w:val="08994710"/>
    <w:rsid w:val="08B4685D"/>
    <w:rsid w:val="08C11D7D"/>
    <w:rsid w:val="08FD615D"/>
    <w:rsid w:val="09385DBB"/>
    <w:rsid w:val="09770B13"/>
    <w:rsid w:val="099E2C10"/>
    <w:rsid w:val="09C504E0"/>
    <w:rsid w:val="0A052A50"/>
    <w:rsid w:val="0A2C5771"/>
    <w:rsid w:val="0A717FE3"/>
    <w:rsid w:val="0A8201EC"/>
    <w:rsid w:val="0A9E5C23"/>
    <w:rsid w:val="0AAF0151"/>
    <w:rsid w:val="0ABF60ED"/>
    <w:rsid w:val="0AC8599B"/>
    <w:rsid w:val="0AE02304"/>
    <w:rsid w:val="0B01585A"/>
    <w:rsid w:val="0B27418B"/>
    <w:rsid w:val="0B462863"/>
    <w:rsid w:val="0B761E8C"/>
    <w:rsid w:val="0B8A12F6"/>
    <w:rsid w:val="0B9C0669"/>
    <w:rsid w:val="0BD23C85"/>
    <w:rsid w:val="0BD43149"/>
    <w:rsid w:val="0BDE2831"/>
    <w:rsid w:val="0BE711B7"/>
    <w:rsid w:val="0BEB55D7"/>
    <w:rsid w:val="0BEB5B52"/>
    <w:rsid w:val="0C2506CA"/>
    <w:rsid w:val="0C384040"/>
    <w:rsid w:val="0C4122C6"/>
    <w:rsid w:val="0C452F99"/>
    <w:rsid w:val="0C48523E"/>
    <w:rsid w:val="0C767683"/>
    <w:rsid w:val="0C902D0B"/>
    <w:rsid w:val="0CA13D98"/>
    <w:rsid w:val="0CAA1A45"/>
    <w:rsid w:val="0CB101B0"/>
    <w:rsid w:val="0CE916E4"/>
    <w:rsid w:val="0CF27A72"/>
    <w:rsid w:val="0CF4009D"/>
    <w:rsid w:val="0D111D71"/>
    <w:rsid w:val="0D3D494A"/>
    <w:rsid w:val="0D5C636E"/>
    <w:rsid w:val="0D6E60A1"/>
    <w:rsid w:val="0D935B07"/>
    <w:rsid w:val="0D9B5B8B"/>
    <w:rsid w:val="0DA21DF1"/>
    <w:rsid w:val="0DAF2814"/>
    <w:rsid w:val="0DD00D67"/>
    <w:rsid w:val="0DEA2E68"/>
    <w:rsid w:val="0E116BEA"/>
    <w:rsid w:val="0E2974C8"/>
    <w:rsid w:val="0E486157"/>
    <w:rsid w:val="0E533361"/>
    <w:rsid w:val="0EB0555E"/>
    <w:rsid w:val="0EE7194D"/>
    <w:rsid w:val="0F047A55"/>
    <w:rsid w:val="0F17262A"/>
    <w:rsid w:val="0F2C7FC2"/>
    <w:rsid w:val="0F2D2F2A"/>
    <w:rsid w:val="0F335DE5"/>
    <w:rsid w:val="0F3F7CF5"/>
    <w:rsid w:val="0F4437FA"/>
    <w:rsid w:val="0F60075C"/>
    <w:rsid w:val="0FB80153"/>
    <w:rsid w:val="101A1D40"/>
    <w:rsid w:val="1025513D"/>
    <w:rsid w:val="10525806"/>
    <w:rsid w:val="1055212B"/>
    <w:rsid w:val="10765998"/>
    <w:rsid w:val="107C2B34"/>
    <w:rsid w:val="10890C6B"/>
    <w:rsid w:val="109C7EF6"/>
    <w:rsid w:val="10C97052"/>
    <w:rsid w:val="10F36FE9"/>
    <w:rsid w:val="118F2D3B"/>
    <w:rsid w:val="119105B0"/>
    <w:rsid w:val="1209283C"/>
    <w:rsid w:val="12577DE7"/>
    <w:rsid w:val="125C2645"/>
    <w:rsid w:val="12F0682B"/>
    <w:rsid w:val="131245FD"/>
    <w:rsid w:val="131E1E27"/>
    <w:rsid w:val="132F0080"/>
    <w:rsid w:val="134A432B"/>
    <w:rsid w:val="13693C7B"/>
    <w:rsid w:val="136A2985"/>
    <w:rsid w:val="13CB41F1"/>
    <w:rsid w:val="14215A6F"/>
    <w:rsid w:val="14447FCD"/>
    <w:rsid w:val="14590ACC"/>
    <w:rsid w:val="145A48EA"/>
    <w:rsid w:val="145F6743"/>
    <w:rsid w:val="14691370"/>
    <w:rsid w:val="148F7029"/>
    <w:rsid w:val="14926B19"/>
    <w:rsid w:val="149C4209"/>
    <w:rsid w:val="14B54789"/>
    <w:rsid w:val="14D709D0"/>
    <w:rsid w:val="152572C1"/>
    <w:rsid w:val="153831C7"/>
    <w:rsid w:val="153D4CD7"/>
    <w:rsid w:val="15507A01"/>
    <w:rsid w:val="15543DCE"/>
    <w:rsid w:val="158B2D0B"/>
    <w:rsid w:val="158D0CD3"/>
    <w:rsid w:val="159E22A5"/>
    <w:rsid w:val="15CE3B81"/>
    <w:rsid w:val="1615277C"/>
    <w:rsid w:val="16936093"/>
    <w:rsid w:val="16CD7B2B"/>
    <w:rsid w:val="16F30C91"/>
    <w:rsid w:val="16F40907"/>
    <w:rsid w:val="175B1CF1"/>
    <w:rsid w:val="178935E9"/>
    <w:rsid w:val="178C57AD"/>
    <w:rsid w:val="17B94649"/>
    <w:rsid w:val="17BD6328"/>
    <w:rsid w:val="17E47C7C"/>
    <w:rsid w:val="17F92C94"/>
    <w:rsid w:val="181D629B"/>
    <w:rsid w:val="183D5197"/>
    <w:rsid w:val="1855311A"/>
    <w:rsid w:val="18645FCC"/>
    <w:rsid w:val="18866995"/>
    <w:rsid w:val="1888270D"/>
    <w:rsid w:val="18AB1F57"/>
    <w:rsid w:val="18BA0052"/>
    <w:rsid w:val="18BB7226"/>
    <w:rsid w:val="19160617"/>
    <w:rsid w:val="192C4113"/>
    <w:rsid w:val="193C6734"/>
    <w:rsid w:val="1981715C"/>
    <w:rsid w:val="19A51228"/>
    <w:rsid w:val="19D00D40"/>
    <w:rsid w:val="19DF19D9"/>
    <w:rsid w:val="1A073FD1"/>
    <w:rsid w:val="1A1E3E96"/>
    <w:rsid w:val="1A29563E"/>
    <w:rsid w:val="1A6738AE"/>
    <w:rsid w:val="1A9E092D"/>
    <w:rsid w:val="1A9E547C"/>
    <w:rsid w:val="1AAA0930"/>
    <w:rsid w:val="1AC75042"/>
    <w:rsid w:val="1AFF01D9"/>
    <w:rsid w:val="1B370227"/>
    <w:rsid w:val="1BAB04C0"/>
    <w:rsid w:val="1BB94558"/>
    <w:rsid w:val="1BBE6445"/>
    <w:rsid w:val="1BD63C07"/>
    <w:rsid w:val="1C0273B8"/>
    <w:rsid w:val="1C094564"/>
    <w:rsid w:val="1C1D1621"/>
    <w:rsid w:val="1C4A7F6D"/>
    <w:rsid w:val="1C6B3C57"/>
    <w:rsid w:val="1C9C3D0A"/>
    <w:rsid w:val="1CA61D97"/>
    <w:rsid w:val="1CC36D54"/>
    <w:rsid w:val="1CC873F9"/>
    <w:rsid w:val="1CF00880"/>
    <w:rsid w:val="1D0165EA"/>
    <w:rsid w:val="1D152095"/>
    <w:rsid w:val="1D4523D5"/>
    <w:rsid w:val="1D8D3B97"/>
    <w:rsid w:val="1DA353B0"/>
    <w:rsid w:val="1DAF24EA"/>
    <w:rsid w:val="1DB47A3E"/>
    <w:rsid w:val="1DE60AB3"/>
    <w:rsid w:val="1DEC3165"/>
    <w:rsid w:val="1E0D7E12"/>
    <w:rsid w:val="1E104638"/>
    <w:rsid w:val="1E254EF4"/>
    <w:rsid w:val="1E6E3532"/>
    <w:rsid w:val="1E74728F"/>
    <w:rsid w:val="1E86350C"/>
    <w:rsid w:val="1EA93F70"/>
    <w:rsid w:val="1ED56DD3"/>
    <w:rsid w:val="1ED83327"/>
    <w:rsid w:val="1EDB753D"/>
    <w:rsid w:val="1EE57DD0"/>
    <w:rsid w:val="1EF01369"/>
    <w:rsid w:val="1F647385"/>
    <w:rsid w:val="1FBE4C66"/>
    <w:rsid w:val="1FD95964"/>
    <w:rsid w:val="2027280B"/>
    <w:rsid w:val="20C934D8"/>
    <w:rsid w:val="21224DDA"/>
    <w:rsid w:val="216A2301"/>
    <w:rsid w:val="21866903"/>
    <w:rsid w:val="219C35B5"/>
    <w:rsid w:val="21AF7E11"/>
    <w:rsid w:val="21D87147"/>
    <w:rsid w:val="220646A2"/>
    <w:rsid w:val="22467258"/>
    <w:rsid w:val="225476F0"/>
    <w:rsid w:val="22AC1F99"/>
    <w:rsid w:val="22C0162A"/>
    <w:rsid w:val="232142B6"/>
    <w:rsid w:val="234E2E43"/>
    <w:rsid w:val="235A5649"/>
    <w:rsid w:val="23742E23"/>
    <w:rsid w:val="23752EF5"/>
    <w:rsid w:val="237B0C64"/>
    <w:rsid w:val="239067FA"/>
    <w:rsid w:val="23AD35C5"/>
    <w:rsid w:val="23C55C0A"/>
    <w:rsid w:val="23CC306F"/>
    <w:rsid w:val="23D24DEB"/>
    <w:rsid w:val="23D33CAB"/>
    <w:rsid w:val="23E32EED"/>
    <w:rsid w:val="240301FF"/>
    <w:rsid w:val="242263FD"/>
    <w:rsid w:val="24255F8E"/>
    <w:rsid w:val="243C25FD"/>
    <w:rsid w:val="24436BE8"/>
    <w:rsid w:val="246B5259"/>
    <w:rsid w:val="250A3D72"/>
    <w:rsid w:val="252437BD"/>
    <w:rsid w:val="25304C68"/>
    <w:rsid w:val="25337596"/>
    <w:rsid w:val="253E2C4D"/>
    <w:rsid w:val="25466F1A"/>
    <w:rsid w:val="254C5D85"/>
    <w:rsid w:val="25697422"/>
    <w:rsid w:val="257A3122"/>
    <w:rsid w:val="25B42B33"/>
    <w:rsid w:val="25C831C6"/>
    <w:rsid w:val="25DA50B8"/>
    <w:rsid w:val="26013AFE"/>
    <w:rsid w:val="26111954"/>
    <w:rsid w:val="261543E8"/>
    <w:rsid w:val="261E4592"/>
    <w:rsid w:val="26420A5D"/>
    <w:rsid w:val="265A1F39"/>
    <w:rsid w:val="26764AB1"/>
    <w:rsid w:val="26C01D59"/>
    <w:rsid w:val="26FB0214"/>
    <w:rsid w:val="26FD432C"/>
    <w:rsid w:val="270633B2"/>
    <w:rsid w:val="270C052C"/>
    <w:rsid w:val="27116E6C"/>
    <w:rsid w:val="273121C1"/>
    <w:rsid w:val="27430E2D"/>
    <w:rsid w:val="277B5E5A"/>
    <w:rsid w:val="27AE42A3"/>
    <w:rsid w:val="2815563F"/>
    <w:rsid w:val="281573ED"/>
    <w:rsid w:val="282633A8"/>
    <w:rsid w:val="285917E7"/>
    <w:rsid w:val="286018A1"/>
    <w:rsid w:val="287763BE"/>
    <w:rsid w:val="287F6F5C"/>
    <w:rsid w:val="28EF5E90"/>
    <w:rsid w:val="29573A19"/>
    <w:rsid w:val="2961426B"/>
    <w:rsid w:val="297445E7"/>
    <w:rsid w:val="29770888"/>
    <w:rsid w:val="29A90AA3"/>
    <w:rsid w:val="29D20B71"/>
    <w:rsid w:val="29DB3439"/>
    <w:rsid w:val="2A402E34"/>
    <w:rsid w:val="2A524929"/>
    <w:rsid w:val="2A85258B"/>
    <w:rsid w:val="2AA72378"/>
    <w:rsid w:val="2AD046CD"/>
    <w:rsid w:val="2AFA67C3"/>
    <w:rsid w:val="2B100144"/>
    <w:rsid w:val="2B1240B8"/>
    <w:rsid w:val="2B6A6E5A"/>
    <w:rsid w:val="2B6E5B01"/>
    <w:rsid w:val="2BD06081"/>
    <w:rsid w:val="2C166459"/>
    <w:rsid w:val="2C330A62"/>
    <w:rsid w:val="2C8E5BB9"/>
    <w:rsid w:val="2C972AC7"/>
    <w:rsid w:val="2CE81574"/>
    <w:rsid w:val="2CE90A48"/>
    <w:rsid w:val="2DEB1B80"/>
    <w:rsid w:val="2E026666"/>
    <w:rsid w:val="2E0E0B66"/>
    <w:rsid w:val="2E303917"/>
    <w:rsid w:val="2E4B1DBB"/>
    <w:rsid w:val="2E656F48"/>
    <w:rsid w:val="2E682316"/>
    <w:rsid w:val="2E6B4483"/>
    <w:rsid w:val="2E923CE7"/>
    <w:rsid w:val="2EAE46E1"/>
    <w:rsid w:val="2F1235FA"/>
    <w:rsid w:val="2F1F6DA3"/>
    <w:rsid w:val="2F740F38"/>
    <w:rsid w:val="2FA05C87"/>
    <w:rsid w:val="2FBA674A"/>
    <w:rsid w:val="2FEF34C6"/>
    <w:rsid w:val="303139E4"/>
    <w:rsid w:val="30595624"/>
    <w:rsid w:val="30682029"/>
    <w:rsid w:val="306F78B6"/>
    <w:rsid w:val="307C62BC"/>
    <w:rsid w:val="308C7616"/>
    <w:rsid w:val="308F5662"/>
    <w:rsid w:val="30907F59"/>
    <w:rsid w:val="30F05E6D"/>
    <w:rsid w:val="31073580"/>
    <w:rsid w:val="31261645"/>
    <w:rsid w:val="312E7229"/>
    <w:rsid w:val="315B4B3B"/>
    <w:rsid w:val="316656C1"/>
    <w:rsid w:val="31975317"/>
    <w:rsid w:val="31AA504A"/>
    <w:rsid w:val="31CB42E5"/>
    <w:rsid w:val="31CC4FC0"/>
    <w:rsid w:val="31F07E99"/>
    <w:rsid w:val="31F3247F"/>
    <w:rsid w:val="320B60AC"/>
    <w:rsid w:val="32143562"/>
    <w:rsid w:val="3221311C"/>
    <w:rsid w:val="32340DB8"/>
    <w:rsid w:val="325C64CE"/>
    <w:rsid w:val="3284740C"/>
    <w:rsid w:val="32935D9A"/>
    <w:rsid w:val="33175BD1"/>
    <w:rsid w:val="334D0383"/>
    <w:rsid w:val="3370124E"/>
    <w:rsid w:val="33995376"/>
    <w:rsid w:val="33BA11B8"/>
    <w:rsid w:val="33BA52ED"/>
    <w:rsid w:val="33C65C0C"/>
    <w:rsid w:val="33CB74FA"/>
    <w:rsid w:val="33F06ACD"/>
    <w:rsid w:val="34480B4A"/>
    <w:rsid w:val="345117AD"/>
    <w:rsid w:val="34A63463"/>
    <w:rsid w:val="34B00BC9"/>
    <w:rsid w:val="34C32CC7"/>
    <w:rsid w:val="35013235"/>
    <w:rsid w:val="35383CDF"/>
    <w:rsid w:val="355E5437"/>
    <w:rsid w:val="356B634F"/>
    <w:rsid w:val="35842EDE"/>
    <w:rsid w:val="358D2630"/>
    <w:rsid w:val="35A35214"/>
    <w:rsid w:val="35BB71F1"/>
    <w:rsid w:val="35F77E5F"/>
    <w:rsid w:val="35F9034E"/>
    <w:rsid w:val="360F7B72"/>
    <w:rsid w:val="36177727"/>
    <w:rsid w:val="36440DAE"/>
    <w:rsid w:val="36444CAC"/>
    <w:rsid w:val="3667620A"/>
    <w:rsid w:val="369264A4"/>
    <w:rsid w:val="3694235F"/>
    <w:rsid w:val="36A13AA4"/>
    <w:rsid w:val="36B32945"/>
    <w:rsid w:val="36C02D57"/>
    <w:rsid w:val="36CD677B"/>
    <w:rsid w:val="36E74AE9"/>
    <w:rsid w:val="3716388D"/>
    <w:rsid w:val="371B2546"/>
    <w:rsid w:val="374B5E63"/>
    <w:rsid w:val="375308B2"/>
    <w:rsid w:val="3761378B"/>
    <w:rsid w:val="376E55E1"/>
    <w:rsid w:val="376F2B88"/>
    <w:rsid w:val="37A75B88"/>
    <w:rsid w:val="37C812AE"/>
    <w:rsid w:val="37F05F4D"/>
    <w:rsid w:val="37FA17BE"/>
    <w:rsid w:val="3813700C"/>
    <w:rsid w:val="382E5B94"/>
    <w:rsid w:val="3832489A"/>
    <w:rsid w:val="383D471C"/>
    <w:rsid w:val="386553C4"/>
    <w:rsid w:val="386A5B0B"/>
    <w:rsid w:val="388B0C24"/>
    <w:rsid w:val="38975BFC"/>
    <w:rsid w:val="389A279F"/>
    <w:rsid w:val="38FE5C7B"/>
    <w:rsid w:val="391D0313"/>
    <w:rsid w:val="391E49EA"/>
    <w:rsid w:val="3923535C"/>
    <w:rsid w:val="394D7456"/>
    <w:rsid w:val="39605DDA"/>
    <w:rsid w:val="39606DBA"/>
    <w:rsid w:val="39664FE9"/>
    <w:rsid w:val="396C5CC7"/>
    <w:rsid w:val="397E3BBA"/>
    <w:rsid w:val="39801F40"/>
    <w:rsid w:val="398114C3"/>
    <w:rsid w:val="39922CF7"/>
    <w:rsid w:val="39D27D8A"/>
    <w:rsid w:val="3A451DB4"/>
    <w:rsid w:val="3A723FE3"/>
    <w:rsid w:val="3AB5795C"/>
    <w:rsid w:val="3AC42FCC"/>
    <w:rsid w:val="3ACE686B"/>
    <w:rsid w:val="3AD5386A"/>
    <w:rsid w:val="3B053544"/>
    <w:rsid w:val="3B267B4A"/>
    <w:rsid w:val="3B2B184D"/>
    <w:rsid w:val="3B392F9B"/>
    <w:rsid w:val="3B720D3D"/>
    <w:rsid w:val="3BD038FF"/>
    <w:rsid w:val="3BFC0891"/>
    <w:rsid w:val="3C0119CF"/>
    <w:rsid w:val="3C094992"/>
    <w:rsid w:val="3C456F72"/>
    <w:rsid w:val="3C4D62F4"/>
    <w:rsid w:val="3C70758C"/>
    <w:rsid w:val="3C8D4D57"/>
    <w:rsid w:val="3CA01523"/>
    <w:rsid w:val="3CAA3284"/>
    <w:rsid w:val="3CC1567B"/>
    <w:rsid w:val="3CCF6E69"/>
    <w:rsid w:val="3CD40F3A"/>
    <w:rsid w:val="3D325744"/>
    <w:rsid w:val="3D4A39FD"/>
    <w:rsid w:val="3D5B3CC1"/>
    <w:rsid w:val="3DA2586F"/>
    <w:rsid w:val="3DB53370"/>
    <w:rsid w:val="3DC32E01"/>
    <w:rsid w:val="3DE36A7E"/>
    <w:rsid w:val="3DEF1977"/>
    <w:rsid w:val="3E261BCA"/>
    <w:rsid w:val="3E3C34CE"/>
    <w:rsid w:val="3E4745F6"/>
    <w:rsid w:val="3E593281"/>
    <w:rsid w:val="3E7D12BC"/>
    <w:rsid w:val="3EC936D6"/>
    <w:rsid w:val="3EE51D6B"/>
    <w:rsid w:val="3EE55913"/>
    <w:rsid w:val="3F2A344A"/>
    <w:rsid w:val="3F3A37F1"/>
    <w:rsid w:val="3F653140"/>
    <w:rsid w:val="3F6902F3"/>
    <w:rsid w:val="3F705C0B"/>
    <w:rsid w:val="3FBE7323"/>
    <w:rsid w:val="3FDD483D"/>
    <w:rsid w:val="400B526A"/>
    <w:rsid w:val="40366C91"/>
    <w:rsid w:val="404B50C8"/>
    <w:rsid w:val="405373A7"/>
    <w:rsid w:val="405C1C05"/>
    <w:rsid w:val="408E7F02"/>
    <w:rsid w:val="40962D22"/>
    <w:rsid w:val="40C559FD"/>
    <w:rsid w:val="40EB4D37"/>
    <w:rsid w:val="40EE6D55"/>
    <w:rsid w:val="41055DF9"/>
    <w:rsid w:val="413655D4"/>
    <w:rsid w:val="415162AF"/>
    <w:rsid w:val="418662EF"/>
    <w:rsid w:val="418670FF"/>
    <w:rsid w:val="418F1B67"/>
    <w:rsid w:val="41A43864"/>
    <w:rsid w:val="41C31810"/>
    <w:rsid w:val="41CE268F"/>
    <w:rsid w:val="41E53E7C"/>
    <w:rsid w:val="42076C6C"/>
    <w:rsid w:val="422624CB"/>
    <w:rsid w:val="424C57A2"/>
    <w:rsid w:val="425E3D7D"/>
    <w:rsid w:val="4268674F"/>
    <w:rsid w:val="427174BE"/>
    <w:rsid w:val="428D2245"/>
    <w:rsid w:val="42982215"/>
    <w:rsid w:val="429B0441"/>
    <w:rsid w:val="42BB0FA3"/>
    <w:rsid w:val="42E27CE8"/>
    <w:rsid w:val="430F11B1"/>
    <w:rsid w:val="433D60F2"/>
    <w:rsid w:val="43491CBA"/>
    <w:rsid w:val="43752E9F"/>
    <w:rsid w:val="43851473"/>
    <w:rsid w:val="438C0A54"/>
    <w:rsid w:val="43A10F29"/>
    <w:rsid w:val="43A722C2"/>
    <w:rsid w:val="43AE20BA"/>
    <w:rsid w:val="43B12268"/>
    <w:rsid w:val="43DD6F9E"/>
    <w:rsid w:val="43E75C8A"/>
    <w:rsid w:val="442F455C"/>
    <w:rsid w:val="443156AD"/>
    <w:rsid w:val="445C3546"/>
    <w:rsid w:val="4469669F"/>
    <w:rsid w:val="448259B3"/>
    <w:rsid w:val="44BF09B5"/>
    <w:rsid w:val="44E8660C"/>
    <w:rsid w:val="44ED24F9"/>
    <w:rsid w:val="44F068FB"/>
    <w:rsid w:val="45117D80"/>
    <w:rsid w:val="45480536"/>
    <w:rsid w:val="458F3D13"/>
    <w:rsid w:val="45963A0B"/>
    <w:rsid w:val="460C7C2A"/>
    <w:rsid w:val="46114D68"/>
    <w:rsid w:val="464650EE"/>
    <w:rsid w:val="464D67FE"/>
    <w:rsid w:val="46683202"/>
    <w:rsid w:val="4675644E"/>
    <w:rsid w:val="46844BE7"/>
    <w:rsid w:val="46D72281"/>
    <w:rsid w:val="46F26E20"/>
    <w:rsid w:val="47196039"/>
    <w:rsid w:val="47280A93"/>
    <w:rsid w:val="472B5A85"/>
    <w:rsid w:val="473B0AC5"/>
    <w:rsid w:val="47571E54"/>
    <w:rsid w:val="476D6EBA"/>
    <w:rsid w:val="478D6B48"/>
    <w:rsid w:val="479B635A"/>
    <w:rsid w:val="47A81209"/>
    <w:rsid w:val="47AE2FAC"/>
    <w:rsid w:val="47B14163"/>
    <w:rsid w:val="47B6609F"/>
    <w:rsid w:val="47CF2DE3"/>
    <w:rsid w:val="47E677B3"/>
    <w:rsid w:val="47FD7147"/>
    <w:rsid w:val="481717F0"/>
    <w:rsid w:val="48286871"/>
    <w:rsid w:val="48643D4D"/>
    <w:rsid w:val="48BD0E84"/>
    <w:rsid w:val="48E43C93"/>
    <w:rsid w:val="49063724"/>
    <w:rsid w:val="49067070"/>
    <w:rsid w:val="490E3CB9"/>
    <w:rsid w:val="49727DEF"/>
    <w:rsid w:val="497D499A"/>
    <w:rsid w:val="49942410"/>
    <w:rsid w:val="49975779"/>
    <w:rsid w:val="49BB7499"/>
    <w:rsid w:val="49C634CB"/>
    <w:rsid w:val="49DC5B65"/>
    <w:rsid w:val="4A06781F"/>
    <w:rsid w:val="4A136DA0"/>
    <w:rsid w:val="4A145BA1"/>
    <w:rsid w:val="4AA2518A"/>
    <w:rsid w:val="4AD67CC5"/>
    <w:rsid w:val="4AF62C56"/>
    <w:rsid w:val="4B217CD3"/>
    <w:rsid w:val="4B4F4691"/>
    <w:rsid w:val="4B527B10"/>
    <w:rsid w:val="4B6E6C91"/>
    <w:rsid w:val="4B8935FD"/>
    <w:rsid w:val="4B991F60"/>
    <w:rsid w:val="4B9F32EE"/>
    <w:rsid w:val="4B9F4711"/>
    <w:rsid w:val="4BA104E5"/>
    <w:rsid w:val="4BAB1C93"/>
    <w:rsid w:val="4BDA1B1F"/>
    <w:rsid w:val="4C0A278F"/>
    <w:rsid w:val="4C147838"/>
    <w:rsid w:val="4C1752E8"/>
    <w:rsid w:val="4C1E2465"/>
    <w:rsid w:val="4C934A75"/>
    <w:rsid w:val="4CC44806"/>
    <w:rsid w:val="4CD01D68"/>
    <w:rsid w:val="4CD92F09"/>
    <w:rsid w:val="4CF43425"/>
    <w:rsid w:val="4D1421C5"/>
    <w:rsid w:val="4D243AAB"/>
    <w:rsid w:val="4D267823"/>
    <w:rsid w:val="4D555C8B"/>
    <w:rsid w:val="4D6308F3"/>
    <w:rsid w:val="4D695962"/>
    <w:rsid w:val="4D6D1C95"/>
    <w:rsid w:val="4D720CBA"/>
    <w:rsid w:val="4D826A23"/>
    <w:rsid w:val="4DA16EA9"/>
    <w:rsid w:val="4DAD3AA0"/>
    <w:rsid w:val="4DD52FF7"/>
    <w:rsid w:val="4DD609C5"/>
    <w:rsid w:val="4E066723"/>
    <w:rsid w:val="4E08517B"/>
    <w:rsid w:val="4E2234FC"/>
    <w:rsid w:val="4E27437C"/>
    <w:rsid w:val="4E911844"/>
    <w:rsid w:val="4EB3343D"/>
    <w:rsid w:val="4EF745D9"/>
    <w:rsid w:val="4F310701"/>
    <w:rsid w:val="4F4B4713"/>
    <w:rsid w:val="4F4D6CEF"/>
    <w:rsid w:val="4F5D557B"/>
    <w:rsid w:val="4F6750D3"/>
    <w:rsid w:val="4F6D437D"/>
    <w:rsid w:val="4F8B4EB5"/>
    <w:rsid w:val="4F927265"/>
    <w:rsid w:val="504E4367"/>
    <w:rsid w:val="50885D57"/>
    <w:rsid w:val="50981E5C"/>
    <w:rsid w:val="50BF160A"/>
    <w:rsid w:val="50C75131"/>
    <w:rsid w:val="510F685B"/>
    <w:rsid w:val="512B4E2E"/>
    <w:rsid w:val="513B2511"/>
    <w:rsid w:val="51A445C0"/>
    <w:rsid w:val="51A74CAA"/>
    <w:rsid w:val="51A97276"/>
    <w:rsid w:val="52132340"/>
    <w:rsid w:val="52377DDC"/>
    <w:rsid w:val="52383444"/>
    <w:rsid w:val="52641E2E"/>
    <w:rsid w:val="528704B8"/>
    <w:rsid w:val="52996089"/>
    <w:rsid w:val="52A50D8A"/>
    <w:rsid w:val="52A706A9"/>
    <w:rsid w:val="52EA4358"/>
    <w:rsid w:val="53320361"/>
    <w:rsid w:val="533662E6"/>
    <w:rsid w:val="53642888"/>
    <w:rsid w:val="539A0E95"/>
    <w:rsid w:val="53B637A9"/>
    <w:rsid w:val="53B65D6E"/>
    <w:rsid w:val="53B91C07"/>
    <w:rsid w:val="541F321E"/>
    <w:rsid w:val="541F3B19"/>
    <w:rsid w:val="543232F3"/>
    <w:rsid w:val="54464350"/>
    <w:rsid w:val="544B4013"/>
    <w:rsid w:val="546B0211"/>
    <w:rsid w:val="54947454"/>
    <w:rsid w:val="54B419FB"/>
    <w:rsid w:val="54BB52C5"/>
    <w:rsid w:val="54C22377"/>
    <w:rsid w:val="54C84207"/>
    <w:rsid w:val="54EA55DA"/>
    <w:rsid w:val="54FB7F1E"/>
    <w:rsid w:val="552F7491"/>
    <w:rsid w:val="55360903"/>
    <w:rsid w:val="5544780D"/>
    <w:rsid w:val="55477FC1"/>
    <w:rsid w:val="5579789F"/>
    <w:rsid w:val="55D624BF"/>
    <w:rsid w:val="55DB27AC"/>
    <w:rsid w:val="56044479"/>
    <w:rsid w:val="561D6382"/>
    <w:rsid w:val="5628091A"/>
    <w:rsid w:val="562D3258"/>
    <w:rsid w:val="56320B38"/>
    <w:rsid w:val="563B4985"/>
    <w:rsid w:val="56813D1C"/>
    <w:rsid w:val="56D553A9"/>
    <w:rsid w:val="56FA6E69"/>
    <w:rsid w:val="57007337"/>
    <w:rsid w:val="5727718D"/>
    <w:rsid w:val="574C432A"/>
    <w:rsid w:val="57572801"/>
    <w:rsid w:val="577859F7"/>
    <w:rsid w:val="57CF7087"/>
    <w:rsid w:val="57EB259F"/>
    <w:rsid w:val="580A0881"/>
    <w:rsid w:val="58254B7B"/>
    <w:rsid w:val="58360A82"/>
    <w:rsid w:val="5841294A"/>
    <w:rsid w:val="587B6449"/>
    <w:rsid w:val="587C3A91"/>
    <w:rsid w:val="58C919AA"/>
    <w:rsid w:val="58D00A02"/>
    <w:rsid w:val="58D520FD"/>
    <w:rsid w:val="592E2905"/>
    <w:rsid w:val="593764C8"/>
    <w:rsid w:val="59530390"/>
    <w:rsid w:val="59925604"/>
    <w:rsid w:val="59A36566"/>
    <w:rsid w:val="59C6543A"/>
    <w:rsid w:val="59E314E1"/>
    <w:rsid w:val="5A1751F0"/>
    <w:rsid w:val="5A4B606B"/>
    <w:rsid w:val="5A7668FF"/>
    <w:rsid w:val="5A8A796A"/>
    <w:rsid w:val="5AC56669"/>
    <w:rsid w:val="5AD12800"/>
    <w:rsid w:val="5ADF60F3"/>
    <w:rsid w:val="5B001E53"/>
    <w:rsid w:val="5B0D3E3C"/>
    <w:rsid w:val="5B1A473F"/>
    <w:rsid w:val="5B1A53C6"/>
    <w:rsid w:val="5B2E4542"/>
    <w:rsid w:val="5B963814"/>
    <w:rsid w:val="5BAC7B28"/>
    <w:rsid w:val="5BB04D30"/>
    <w:rsid w:val="5C44058D"/>
    <w:rsid w:val="5C526290"/>
    <w:rsid w:val="5C8C341B"/>
    <w:rsid w:val="5C9522CF"/>
    <w:rsid w:val="5C9B6A90"/>
    <w:rsid w:val="5CA50038"/>
    <w:rsid w:val="5CAB11F3"/>
    <w:rsid w:val="5CBF1B3C"/>
    <w:rsid w:val="5CFB10A2"/>
    <w:rsid w:val="5D177188"/>
    <w:rsid w:val="5D472C12"/>
    <w:rsid w:val="5D5C0DB3"/>
    <w:rsid w:val="5D833495"/>
    <w:rsid w:val="5DAC2609"/>
    <w:rsid w:val="5DBF1736"/>
    <w:rsid w:val="5DDE32C3"/>
    <w:rsid w:val="5DDF5CD5"/>
    <w:rsid w:val="5E5717C3"/>
    <w:rsid w:val="5E690773"/>
    <w:rsid w:val="5E6C52B2"/>
    <w:rsid w:val="5E79177D"/>
    <w:rsid w:val="5E877A7D"/>
    <w:rsid w:val="5EC46E9C"/>
    <w:rsid w:val="5EC614D8"/>
    <w:rsid w:val="5EC739B8"/>
    <w:rsid w:val="5F065225"/>
    <w:rsid w:val="5F1A4CA9"/>
    <w:rsid w:val="5F3F4AC9"/>
    <w:rsid w:val="5F660F3F"/>
    <w:rsid w:val="5F6662FF"/>
    <w:rsid w:val="5F7F60A4"/>
    <w:rsid w:val="5FCA30FF"/>
    <w:rsid w:val="5FDD22C1"/>
    <w:rsid w:val="600339F4"/>
    <w:rsid w:val="600C4ED2"/>
    <w:rsid w:val="601C4AB5"/>
    <w:rsid w:val="60341DFF"/>
    <w:rsid w:val="60456D6B"/>
    <w:rsid w:val="609C4318"/>
    <w:rsid w:val="60DF3930"/>
    <w:rsid w:val="60EB6A42"/>
    <w:rsid w:val="61025F9A"/>
    <w:rsid w:val="61132870"/>
    <w:rsid w:val="6116747B"/>
    <w:rsid w:val="61300818"/>
    <w:rsid w:val="61336898"/>
    <w:rsid w:val="61401063"/>
    <w:rsid w:val="614918DA"/>
    <w:rsid w:val="61A73CE8"/>
    <w:rsid w:val="61AA6DA6"/>
    <w:rsid w:val="61B825BC"/>
    <w:rsid w:val="61C95A0F"/>
    <w:rsid w:val="622B0BAC"/>
    <w:rsid w:val="623A1411"/>
    <w:rsid w:val="62404A8B"/>
    <w:rsid w:val="624132BD"/>
    <w:rsid w:val="62A57383"/>
    <w:rsid w:val="62B527DB"/>
    <w:rsid w:val="62F14B14"/>
    <w:rsid w:val="63055F43"/>
    <w:rsid w:val="630C0E11"/>
    <w:rsid w:val="63296BD8"/>
    <w:rsid w:val="632B1E94"/>
    <w:rsid w:val="632E57EF"/>
    <w:rsid w:val="633701CE"/>
    <w:rsid w:val="63466D07"/>
    <w:rsid w:val="639808F7"/>
    <w:rsid w:val="63A8599B"/>
    <w:rsid w:val="63A96660"/>
    <w:rsid w:val="63E97909"/>
    <w:rsid w:val="64263C05"/>
    <w:rsid w:val="64294480"/>
    <w:rsid w:val="64452067"/>
    <w:rsid w:val="64782246"/>
    <w:rsid w:val="647C570A"/>
    <w:rsid w:val="64A07A63"/>
    <w:rsid w:val="64B14FC1"/>
    <w:rsid w:val="64C52428"/>
    <w:rsid w:val="64E8140A"/>
    <w:rsid w:val="659F2350"/>
    <w:rsid w:val="65CB0B10"/>
    <w:rsid w:val="65D025CA"/>
    <w:rsid w:val="65EA26BD"/>
    <w:rsid w:val="661B62C8"/>
    <w:rsid w:val="66292447"/>
    <w:rsid w:val="664E059A"/>
    <w:rsid w:val="66576211"/>
    <w:rsid w:val="66903B07"/>
    <w:rsid w:val="66DF7FAC"/>
    <w:rsid w:val="66EC7942"/>
    <w:rsid w:val="670B0BA2"/>
    <w:rsid w:val="672032FF"/>
    <w:rsid w:val="673311E6"/>
    <w:rsid w:val="67393EF5"/>
    <w:rsid w:val="67B11FEE"/>
    <w:rsid w:val="67B3300F"/>
    <w:rsid w:val="67F307F2"/>
    <w:rsid w:val="67FF2996"/>
    <w:rsid w:val="68000A1A"/>
    <w:rsid w:val="68185610"/>
    <w:rsid w:val="683416CD"/>
    <w:rsid w:val="683D2155"/>
    <w:rsid w:val="6841330B"/>
    <w:rsid w:val="687036C4"/>
    <w:rsid w:val="68704A27"/>
    <w:rsid w:val="6881195A"/>
    <w:rsid w:val="688A7038"/>
    <w:rsid w:val="69076303"/>
    <w:rsid w:val="6909378F"/>
    <w:rsid w:val="690976CF"/>
    <w:rsid w:val="6917406C"/>
    <w:rsid w:val="691B6F1A"/>
    <w:rsid w:val="69390486"/>
    <w:rsid w:val="69431305"/>
    <w:rsid w:val="694B4C0D"/>
    <w:rsid w:val="69651A12"/>
    <w:rsid w:val="698C6808"/>
    <w:rsid w:val="69A26F6D"/>
    <w:rsid w:val="69BB32F2"/>
    <w:rsid w:val="69C441F4"/>
    <w:rsid w:val="69E228CC"/>
    <w:rsid w:val="69EA1150"/>
    <w:rsid w:val="69EC4F13"/>
    <w:rsid w:val="6A016CF4"/>
    <w:rsid w:val="6A0E5F3C"/>
    <w:rsid w:val="6A1A027C"/>
    <w:rsid w:val="6A30796C"/>
    <w:rsid w:val="6A4F103E"/>
    <w:rsid w:val="6A7F45BF"/>
    <w:rsid w:val="6A8F6601"/>
    <w:rsid w:val="6A9A27BB"/>
    <w:rsid w:val="6AB51D8E"/>
    <w:rsid w:val="6AD77F57"/>
    <w:rsid w:val="6B0C7706"/>
    <w:rsid w:val="6B1B6095"/>
    <w:rsid w:val="6B481462"/>
    <w:rsid w:val="6B6C28FE"/>
    <w:rsid w:val="6B8026C9"/>
    <w:rsid w:val="6B923E7E"/>
    <w:rsid w:val="6BA72C9D"/>
    <w:rsid w:val="6BCF07F8"/>
    <w:rsid w:val="6BD54DEF"/>
    <w:rsid w:val="6C044D7B"/>
    <w:rsid w:val="6C1B1B37"/>
    <w:rsid w:val="6C5A2BED"/>
    <w:rsid w:val="6C845C4E"/>
    <w:rsid w:val="6CB30550"/>
    <w:rsid w:val="6CD72490"/>
    <w:rsid w:val="6D0222A2"/>
    <w:rsid w:val="6D251352"/>
    <w:rsid w:val="6D4F0278"/>
    <w:rsid w:val="6D6001EC"/>
    <w:rsid w:val="6D613624"/>
    <w:rsid w:val="6D91263F"/>
    <w:rsid w:val="6DC55B94"/>
    <w:rsid w:val="6DD71A9B"/>
    <w:rsid w:val="6DE21FFF"/>
    <w:rsid w:val="6DF1085F"/>
    <w:rsid w:val="6E267403"/>
    <w:rsid w:val="6E6B580B"/>
    <w:rsid w:val="6EAB4F77"/>
    <w:rsid w:val="6EB24C6B"/>
    <w:rsid w:val="6ED443D0"/>
    <w:rsid w:val="6EDD5FA4"/>
    <w:rsid w:val="6EF81F37"/>
    <w:rsid w:val="6F032A2F"/>
    <w:rsid w:val="6F2D534C"/>
    <w:rsid w:val="6F3F60CB"/>
    <w:rsid w:val="6F447ED1"/>
    <w:rsid w:val="6F4638AE"/>
    <w:rsid w:val="6F4F3566"/>
    <w:rsid w:val="6F653D83"/>
    <w:rsid w:val="6F9E06E4"/>
    <w:rsid w:val="6FCD5FD7"/>
    <w:rsid w:val="7014426C"/>
    <w:rsid w:val="701C509C"/>
    <w:rsid w:val="70221C74"/>
    <w:rsid w:val="70816354"/>
    <w:rsid w:val="70862203"/>
    <w:rsid w:val="709103B0"/>
    <w:rsid w:val="70AB1C6A"/>
    <w:rsid w:val="70AC5BC0"/>
    <w:rsid w:val="70D311C0"/>
    <w:rsid w:val="70E32271"/>
    <w:rsid w:val="70F2774D"/>
    <w:rsid w:val="71031F5C"/>
    <w:rsid w:val="710903AB"/>
    <w:rsid w:val="711B59D1"/>
    <w:rsid w:val="71505C18"/>
    <w:rsid w:val="71570EDA"/>
    <w:rsid w:val="71792D3A"/>
    <w:rsid w:val="717E112C"/>
    <w:rsid w:val="719B73E5"/>
    <w:rsid w:val="71BB7720"/>
    <w:rsid w:val="71C35DEF"/>
    <w:rsid w:val="71C86E42"/>
    <w:rsid w:val="71CA504D"/>
    <w:rsid w:val="720535FB"/>
    <w:rsid w:val="72345C8F"/>
    <w:rsid w:val="72444124"/>
    <w:rsid w:val="729F688A"/>
    <w:rsid w:val="72B64B75"/>
    <w:rsid w:val="72E10BC5"/>
    <w:rsid w:val="72EA7F1B"/>
    <w:rsid w:val="72F45BD1"/>
    <w:rsid w:val="72F625E1"/>
    <w:rsid w:val="7306587D"/>
    <w:rsid w:val="73236BEB"/>
    <w:rsid w:val="733A5A8F"/>
    <w:rsid w:val="73611B96"/>
    <w:rsid w:val="737F2386"/>
    <w:rsid w:val="73944C37"/>
    <w:rsid w:val="73C75AC5"/>
    <w:rsid w:val="73CD0DC6"/>
    <w:rsid w:val="73CE5982"/>
    <w:rsid w:val="73CF0426"/>
    <w:rsid w:val="73D76192"/>
    <w:rsid w:val="73E34B8E"/>
    <w:rsid w:val="73F92CEC"/>
    <w:rsid w:val="741100B1"/>
    <w:rsid w:val="74261BA4"/>
    <w:rsid w:val="742D188E"/>
    <w:rsid w:val="745E5245"/>
    <w:rsid w:val="74631066"/>
    <w:rsid w:val="74716D26"/>
    <w:rsid w:val="747F7695"/>
    <w:rsid w:val="74A75798"/>
    <w:rsid w:val="751A50CF"/>
    <w:rsid w:val="751A73BE"/>
    <w:rsid w:val="752D0CA5"/>
    <w:rsid w:val="755873D9"/>
    <w:rsid w:val="75994786"/>
    <w:rsid w:val="75CA7E1A"/>
    <w:rsid w:val="75E8126A"/>
    <w:rsid w:val="75F33D2B"/>
    <w:rsid w:val="75F53987"/>
    <w:rsid w:val="760C5540"/>
    <w:rsid w:val="760E1C9B"/>
    <w:rsid w:val="761622A3"/>
    <w:rsid w:val="762B237E"/>
    <w:rsid w:val="76342F98"/>
    <w:rsid w:val="765134FE"/>
    <w:rsid w:val="76520169"/>
    <w:rsid w:val="765C66BE"/>
    <w:rsid w:val="76850AE5"/>
    <w:rsid w:val="769431A0"/>
    <w:rsid w:val="76B760AB"/>
    <w:rsid w:val="76D12C3C"/>
    <w:rsid w:val="76D501AF"/>
    <w:rsid w:val="76F605C0"/>
    <w:rsid w:val="76F72E63"/>
    <w:rsid w:val="76F82A99"/>
    <w:rsid w:val="77494238"/>
    <w:rsid w:val="774A6F53"/>
    <w:rsid w:val="7758241F"/>
    <w:rsid w:val="776C38C3"/>
    <w:rsid w:val="778C5F42"/>
    <w:rsid w:val="778E4093"/>
    <w:rsid w:val="77975072"/>
    <w:rsid w:val="77B54B7B"/>
    <w:rsid w:val="77BC650A"/>
    <w:rsid w:val="77CD6139"/>
    <w:rsid w:val="77CD73FD"/>
    <w:rsid w:val="77F6065F"/>
    <w:rsid w:val="780D746C"/>
    <w:rsid w:val="78167357"/>
    <w:rsid w:val="782F2C9A"/>
    <w:rsid w:val="784C22F5"/>
    <w:rsid w:val="784D77A7"/>
    <w:rsid w:val="78760DAF"/>
    <w:rsid w:val="787E2228"/>
    <w:rsid w:val="789E00C9"/>
    <w:rsid w:val="78A3798C"/>
    <w:rsid w:val="78AF42C1"/>
    <w:rsid w:val="79273753"/>
    <w:rsid w:val="79336CA0"/>
    <w:rsid w:val="79560EFA"/>
    <w:rsid w:val="796C3F60"/>
    <w:rsid w:val="79C2618F"/>
    <w:rsid w:val="79DB6C56"/>
    <w:rsid w:val="7A426EF4"/>
    <w:rsid w:val="7A5C6C08"/>
    <w:rsid w:val="7A736669"/>
    <w:rsid w:val="7A911ED0"/>
    <w:rsid w:val="7ABF6110"/>
    <w:rsid w:val="7AD102FF"/>
    <w:rsid w:val="7AF366E7"/>
    <w:rsid w:val="7B073F40"/>
    <w:rsid w:val="7B260951"/>
    <w:rsid w:val="7B3A62FF"/>
    <w:rsid w:val="7B485D83"/>
    <w:rsid w:val="7B950000"/>
    <w:rsid w:val="7B9B540A"/>
    <w:rsid w:val="7BA571B0"/>
    <w:rsid w:val="7BE465DC"/>
    <w:rsid w:val="7BE91FDA"/>
    <w:rsid w:val="7C0A460F"/>
    <w:rsid w:val="7C2C0CD2"/>
    <w:rsid w:val="7C2D6999"/>
    <w:rsid w:val="7C4249B0"/>
    <w:rsid w:val="7C491964"/>
    <w:rsid w:val="7C51399F"/>
    <w:rsid w:val="7C5D1037"/>
    <w:rsid w:val="7C7B0712"/>
    <w:rsid w:val="7CB15915"/>
    <w:rsid w:val="7CBE2D25"/>
    <w:rsid w:val="7CCE7338"/>
    <w:rsid w:val="7CFE1757"/>
    <w:rsid w:val="7D9A149C"/>
    <w:rsid w:val="7DAE2D99"/>
    <w:rsid w:val="7DC73E5B"/>
    <w:rsid w:val="7DE056DF"/>
    <w:rsid w:val="7DE727DC"/>
    <w:rsid w:val="7E01111B"/>
    <w:rsid w:val="7E167BC7"/>
    <w:rsid w:val="7E7622AF"/>
    <w:rsid w:val="7E7727BA"/>
    <w:rsid w:val="7EA877E8"/>
    <w:rsid w:val="7EAD578E"/>
    <w:rsid w:val="7EB75C7D"/>
    <w:rsid w:val="7EB77A2B"/>
    <w:rsid w:val="7EF14E89"/>
    <w:rsid w:val="7F5248F2"/>
    <w:rsid w:val="7F741DC0"/>
    <w:rsid w:val="7F89227A"/>
    <w:rsid w:val="7FA7314A"/>
    <w:rsid w:val="7FB7267C"/>
    <w:rsid w:val="7FBB4E71"/>
    <w:rsid w:val="7FC1082D"/>
    <w:rsid w:val="7FEF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4"/>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56"/>
    <w:semiHidden/>
    <w:unhideWhenUsed/>
    <w:qFormat/>
    <w:uiPriority w:val="9"/>
    <w:pPr>
      <w:keepNext/>
      <w:keepLines/>
      <w:spacing w:before="240" w:after="64" w:line="320" w:lineRule="auto"/>
      <w:outlineLvl w:val="6"/>
    </w:pPr>
    <w:rPr>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ascii="Calibri" w:hAnsi="Calibri"/>
    </w:rPr>
  </w:style>
  <w:style w:type="paragraph" w:styleId="10">
    <w:name w:val="Normal Indent"/>
    <w:basedOn w:val="1"/>
    <w:qFormat/>
    <w:uiPriority w:val="0"/>
    <w:pPr>
      <w:widowControl/>
      <w:adjustRightInd w:val="0"/>
      <w:snapToGrid w:val="0"/>
      <w:spacing w:line="480" w:lineRule="exact"/>
      <w:ind w:firstLine="567"/>
    </w:pPr>
    <w:rPr>
      <w:rFonts w:ascii="宋体"/>
      <w:snapToGrid w:val="0"/>
      <w:color w:val="000000"/>
      <w:kern w:val="28"/>
    </w:rPr>
  </w:style>
  <w:style w:type="paragraph" w:styleId="11">
    <w:name w:val="Body Text"/>
    <w:basedOn w:val="1"/>
    <w:qFormat/>
    <w:uiPriority w:val="0"/>
    <w:pPr>
      <w:spacing w:line="0" w:lineRule="atLeast"/>
    </w:pPr>
    <w:rPr>
      <w:rFonts w:ascii="Arial" w:hAnsi="Arial" w:eastAsia="隶书"/>
      <w:b/>
      <w:spacing w:val="-20"/>
      <w:sz w:val="52"/>
    </w:rPr>
  </w:style>
  <w:style w:type="paragraph" w:styleId="12">
    <w:name w:val="Body Text Indent"/>
    <w:basedOn w:val="1"/>
    <w:next w:val="13"/>
    <w:link w:val="43"/>
    <w:qFormat/>
    <w:uiPriority w:val="0"/>
    <w:pPr>
      <w:spacing w:line="200" w:lineRule="atLeast"/>
      <w:ind w:firstLine="301"/>
    </w:pPr>
    <w:rPr>
      <w:rFonts w:ascii="宋体" w:hAnsi="Courier New" w:cstheme="minorBidi"/>
      <w:spacing w:val="-4"/>
      <w:sz w:val="18"/>
      <w:szCs w:val="22"/>
    </w:rPr>
  </w:style>
  <w:style w:type="paragraph" w:styleId="13">
    <w:name w:val="envelope return"/>
    <w:basedOn w:val="1"/>
    <w:qFormat/>
    <w:uiPriority w:val="0"/>
    <w:pPr>
      <w:snapToGrid w:val="0"/>
    </w:pPr>
    <w:rPr>
      <w:rFonts w:ascii="Arial" w:hAnsi="Arial"/>
    </w:rPr>
  </w:style>
  <w:style w:type="paragraph" w:styleId="14">
    <w:name w:val="Plain Text"/>
    <w:basedOn w:val="1"/>
    <w:link w:val="48"/>
    <w:qFormat/>
    <w:uiPriority w:val="0"/>
    <w:pPr>
      <w:spacing w:beforeLines="50" w:afterLines="50" w:line="400" w:lineRule="atLeast"/>
    </w:pPr>
    <w:rPr>
      <w:rFonts w:ascii="宋体" w:hAnsi="Courier New" w:cstheme="minorBidi"/>
      <w:sz w:val="24"/>
      <w:szCs w:val="22"/>
    </w:rPr>
  </w:style>
  <w:style w:type="paragraph" w:styleId="15">
    <w:name w:val="Date"/>
    <w:basedOn w:val="1"/>
    <w:next w:val="1"/>
    <w:link w:val="32"/>
    <w:semiHidden/>
    <w:unhideWhenUsed/>
    <w:qFormat/>
    <w:uiPriority w:val="99"/>
    <w:pPr>
      <w:ind w:left="100" w:leftChars="2500"/>
    </w:pPr>
  </w:style>
  <w:style w:type="paragraph" w:styleId="16">
    <w:name w:val="Body Text Indent 2"/>
    <w:basedOn w:val="1"/>
    <w:unhideWhenUsed/>
    <w:qFormat/>
    <w:uiPriority w:val="99"/>
    <w:pPr>
      <w:tabs>
        <w:tab w:val="left" w:pos="540"/>
      </w:tabs>
      <w:spacing w:line="500" w:lineRule="exact"/>
      <w:ind w:firstLine="809" w:firstLineChars="337"/>
    </w:pPr>
    <w:rPr>
      <w:rFonts w:ascii="宋体" w:hAnsi="宋体"/>
      <w:position w:val="2"/>
      <w:sz w:val="24"/>
    </w:rPr>
  </w:style>
  <w:style w:type="paragraph" w:styleId="17">
    <w:name w:val="Balloon Text"/>
    <w:basedOn w:val="1"/>
    <w:link w:val="59"/>
    <w:semiHidden/>
    <w:unhideWhenUsed/>
    <w:qFormat/>
    <w:uiPriority w:val="99"/>
    <w:rPr>
      <w:sz w:val="18"/>
      <w:szCs w:val="18"/>
    </w:rPr>
  </w:style>
  <w:style w:type="paragraph" w:styleId="18">
    <w:name w:val="footer"/>
    <w:basedOn w:val="1"/>
    <w:link w:val="52"/>
    <w:unhideWhenUsed/>
    <w:qFormat/>
    <w:uiPriority w:val="99"/>
    <w:pPr>
      <w:tabs>
        <w:tab w:val="center" w:pos="4153"/>
        <w:tab w:val="right" w:pos="8306"/>
      </w:tabs>
      <w:snapToGrid w:val="0"/>
      <w:jc w:val="left"/>
    </w:pPr>
    <w:rPr>
      <w:sz w:val="18"/>
      <w:szCs w:val="18"/>
    </w:rPr>
  </w:style>
  <w:style w:type="paragraph" w:styleId="19">
    <w:name w:val="header"/>
    <w:basedOn w:val="1"/>
    <w:link w:val="5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41"/>
    <w:qFormat/>
    <w:uiPriority w:val="10"/>
    <w:pPr>
      <w:spacing w:before="240" w:after="60"/>
      <w:jc w:val="center"/>
      <w:outlineLvl w:val="0"/>
    </w:pPr>
    <w:rPr>
      <w:rFonts w:asciiTheme="majorHAnsi" w:hAnsiTheme="majorHAnsi" w:cstheme="majorBidi"/>
      <w:b/>
      <w:bCs/>
      <w:sz w:val="32"/>
      <w:szCs w:val="32"/>
    </w:rPr>
  </w:style>
  <w:style w:type="paragraph" w:styleId="25">
    <w:name w:val="Body Text First Indent 2"/>
    <w:basedOn w:val="12"/>
    <w:next w:val="21"/>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qFormat/>
    <w:uiPriority w:val="0"/>
  </w:style>
  <w:style w:type="character" w:styleId="31">
    <w:name w:val="Hyperlink"/>
    <w:basedOn w:val="28"/>
    <w:unhideWhenUsed/>
    <w:qFormat/>
    <w:uiPriority w:val="99"/>
    <w:rPr>
      <w:color w:val="0000FF" w:themeColor="hyperlink"/>
      <w:u w:val="single"/>
    </w:rPr>
  </w:style>
  <w:style w:type="character" w:customStyle="1" w:styleId="32">
    <w:name w:val="日期 Char"/>
    <w:basedOn w:val="28"/>
    <w:link w:val="15"/>
    <w:semiHidden/>
    <w:qFormat/>
    <w:uiPriority w:val="99"/>
    <w:rPr>
      <w:rFonts w:ascii="Times New Roman" w:hAnsi="Times New Roman" w:eastAsia="宋体" w:cs="Times New Roman"/>
      <w:sz w:val="28"/>
      <w:szCs w:val="20"/>
    </w:rPr>
  </w:style>
  <w:style w:type="paragraph" w:styleId="33">
    <w:name w:val="List Paragraph"/>
    <w:basedOn w:val="1"/>
    <w:link w:val="46"/>
    <w:qFormat/>
    <w:uiPriority w:val="0"/>
    <w:pPr>
      <w:ind w:firstLine="420" w:firstLineChars="200"/>
    </w:p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0">
    <w:name w:val="标题 1 Char"/>
    <w:basedOn w:val="28"/>
    <w:link w:val="3"/>
    <w:qFormat/>
    <w:uiPriority w:val="0"/>
    <w:rPr>
      <w:rFonts w:ascii="宋体" w:hAnsi="Arial" w:eastAsia="黑体" w:cs="Times New Roman"/>
      <w:b/>
      <w:bCs/>
      <w:color w:val="000000"/>
      <w:kern w:val="44"/>
      <w:sz w:val="36"/>
      <w:szCs w:val="32"/>
    </w:rPr>
  </w:style>
  <w:style w:type="character" w:customStyle="1" w:styleId="41">
    <w:name w:val="标题 Char"/>
    <w:basedOn w:val="28"/>
    <w:link w:val="24"/>
    <w:qFormat/>
    <w:uiPriority w:val="10"/>
    <w:rPr>
      <w:rFonts w:eastAsia="宋体" w:asciiTheme="majorHAnsi" w:hAnsiTheme="majorHAnsi" w:cstheme="majorBidi"/>
      <w:b/>
      <w:bCs/>
      <w:sz w:val="32"/>
      <w:szCs w:val="32"/>
    </w:rPr>
  </w:style>
  <w:style w:type="character" w:customStyle="1" w:styleId="42">
    <w:name w:val="标题 2 Char"/>
    <w:basedOn w:val="28"/>
    <w:link w:val="4"/>
    <w:semiHidden/>
    <w:qFormat/>
    <w:uiPriority w:val="9"/>
    <w:rPr>
      <w:rFonts w:asciiTheme="majorHAnsi" w:hAnsiTheme="majorHAnsi" w:eastAsiaTheme="majorEastAsia" w:cstheme="majorBidi"/>
      <w:b/>
      <w:bCs/>
      <w:sz w:val="32"/>
      <w:szCs w:val="32"/>
    </w:rPr>
  </w:style>
  <w:style w:type="character" w:customStyle="1" w:styleId="43">
    <w:name w:val="正文文本缩进 Char"/>
    <w:link w:val="12"/>
    <w:qFormat/>
    <w:locked/>
    <w:uiPriority w:val="0"/>
    <w:rPr>
      <w:rFonts w:ascii="宋体" w:hAnsi="Courier New" w:eastAsia="宋体"/>
      <w:spacing w:val="-4"/>
      <w:sz w:val="18"/>
    </w:rPr>
  </w:style>
  <w:style w:type="character" w:customStyle="1" w:styleId="44">
    <w:name w:val="正文文本缩进 Char1"/>
    <w:basedOn w:val="28"/>
    <w:semiHidden/>
    <w:qFormat/>
    <w:uiPriority w:val="99"/>
    <w:rPr>
      <w:rFonts w:ascii="Times New Roman" w:hAnsi="Times New Roman" w:eastAsia="宋体" w:cs="Times New Roman"/>
      <w:sz w:val="28"/>
      <w:szCs w:val="20"/>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列出段落 Char"/>
    <w:link w:val="33"/>
    <w:qFormat/>
    <w:locked/>
    <w:uiPriority w:val="0"/>
    <w:rPr>
      <w:rFonts w:ascii="Times New Roman" w:hAnsi="Times New Roman" w:eastAsia="宋体" w:cs="Times New Roman"/>
      <w:sz w:val="28"/>
      <w:szCs w:val="20"/>
    </w:rPr>
  </w:style>
  <w:style w:type="character" w:customStyle="1" w:styleId="47">
    <w:name w:val="正文 第五章 中间"/>
    <w:qFormat/>
    <w:uiPriority w:val="0"/>
    <w:rPr>
      <w:b/>
      <w:bCs/>
      <w:color w:val="000000"/>
      <w:sz w:val="32"/>
    </w:rPr>
  </w:style>
  <w:style w:type="character" w:customStyle="1" w:styleId="48">
    <w:name w:val="纯文本 Char1"/>
    <w:link w:val="14"/>
    <w:qFormat/>
    <w:uiPriority w:val="0"/>
    <w:rPr>
      <w:rFonts w:ascii="宋体" w:hAnsi="Courier New" w:eastAsia="宋体"/>
      <w:sz w:val="24"/>
    </w:rPr>
  </w:style>
  <w:style w:type="character" w:customStyle="1" w:styleId="49">
    <w:name w:val="纯文本 Char"/>
    <w:basedOn w:val="28"/>
    <w:semiHidden/>
    <w:qFormat/>
    <w:uiPriority w:val="99"/>
    <w:rPr>
      <w:rFonts w:ascii="宋体" w:hAnsi="Courier New" w:eastAsia="宋体" w:cs="Courier New"/>
      <w:szCs w:val="21"/>
    </w:rPr>
  </w:style>
  <w:style w:type="character" w:customStyle="1" w:styleId="50">
    <w:name w:val="标题 3 Char1"/>
    <w:basedOn w:val="28"/>
    <w:link w:val="5"/>
    <w:semiHidden/>
    <w:qFormat/>
    <w:uiPriority w:val="9"/>
    <w:rPr>
      <w:rFonts w:ascii="Times New Roman" w:hAnsi="Times New Roman" w:eastAsia="宋体" w:cs="Times New Roman"/>
      <w:b/>
      <w:bCs/>
      <w:sz w:val="32"/>
      <w:szCs w:val="32"/>
    </w:rPr>
  </w:style>
  <w:style w:type="character" w:customStyle="1" w:styleId="51">
    <w:name w:val="页眉 Char"/>
    <w:basedOn w:val="28"/>
    <w:link w:val="19"/>
    <w:semiHidden/>
    <w:qFormat/>
    <w:uiPriority w:val="99"/>
    <w:rPr>
      <w:rFonts w:ascii="Times New Roman" w:hAnsi="Times New Roman" w:eastAsia="宋体" w:cs="Times New Roman"/>
      <w:sz w:val="18"/>
      <w:szCs w:val="18"/>
    </w:rPr>
  </w:style>
  <w:style w:type="character" w:customStyle="1" w:styleId="52">
    <w:name w:val="页脚 Char"/>
    <w:basedOn w:val="28"/>
    <w:link w:val="18"/>
    <w:qFormat/>
    <w:uiPriority w:val="99"/>
    <w:rPr>
      <w:rFonts w:ascii="Times New Roman" w:hAnsi="Times New Roman" w:eastAsia="宋体" w:cs="Times New Roman"/>
      <w:sz w:val="18"/>
      <w:szCs w:val="18"/>
    </w:rPr>
  </w:style>
  <w:style w:type="character" w:customStyle="1" w:styleId="53">
    <w:name w:val="标题 4 Char"/>
    <w:basedOn w:val="28"/>
    <w:link w:val="6"/>
    <w:semiHidden/>
    <w:qFormat/>
    <w:uiPriority w:val="9"/>
    <w:rPr>
      <w:rFonts w:asciiTheme="majorHAnsi" w:hAnsiTheme="majorHAnsi" w:eastAsiaTheme="majorEastAsia" w:cstheme="majorBidi"/>
      <w:b/>
      <w:bCs/>
      <w:sz w:val="28"/>
      <w:szCs w:val="28"/>
    </w:rPr>
  </w:style>
  <w:style w:type="character" w:customStyle="1" w:styleId="54">
    <w:name w:val="标题 5 Char"/>
    <w:basedOn w:val="28"/>
    <w:link w:val="7"/>
    <w:semiHidden/>
    <w:qFormat/>
    <w:uiPriority w:val="9"/>
    <w:rPr>
      <w:rFonts w:ascii="Times New Roman" w:hAnsi="Times New Roman" w:eastAsia="宋体" w:cs="Times New Roman"/>
      <w:b/>
      <w:bCs/>
      <w:sz w:val="28"/>
      <w:szCs w:val="28"/>
    </w:rPr>
  </w:style>
  <w:style w:type="character" w:customStyle="1" w:styleId="55">
    <w:name w:val="标题 6 Char"/>
    <w:basedOn w:val="28"/>
    <w:link w:val="8"/>
    <w:semiHidden/>
    <w:qFormat/>
    <w:uiPriority w:val="9"/>
    <w:rPr>
      <w:rFonts w:asciiTheme="majorHAnsi" w:hAnsiTheme="majorHAnsi" w:eastAsiaTheme="majorEastAsia" w:cstheme="majorBidi"/>
      <w:b/>
      <w:bCs/>
      <w:sz w:val="24"/>
      <w:szCs w:val="24"/>
    </w:rPr>
  </w:style>
  <w:style w:type="character" w:customStyle="1" w:styleId="56">
    <w:name w:val="标题 7 Char"/>
    <w:basedOn w:val="28"/>
    <w:link w:val="9"/>
    <w:semiHidden/>
    <w:qFormat/>
    <w:uiPriority w:val="9"/>
    <w:rPr>
      <w:rFonts w:ascii="Times New Roman" w:hAnsi="Times New Roman" w:eastAsia="宋体" w:cs="Times New Roman"/>
      <w:b/>
      <w:bCs/>
      <w:sz w:val="24"/>
      <w:szCs w:val="24"/>
    </w:rPr>
  </w:style>
  <w:style w:type="paragraph" w:customStyle="1" w:styleId="5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批注框文本 Char"/>
    <w:basedOn w:val="28"/>
    <w:link w:val="17"/>
    <w:semiHidden/>
    <w:qFormat/>
    <w:uiPriority w:val="99"/>
    <w:rPr>
      <w:rFonts w:ascii="Times New Roman" w:hAnsi="Times New Roman" w:eastAsia="宋体" w:cs="Times New Roman"/>
      <w:sz w:val="18"/>
      <w:szCs w:val="18"/>
    </w:rPr>
  </w:style>
  <w:style w:type="paragraph" w:customStyle="1" w:styleId="60">
    <w:name w:val="引用1"/>
    <w:basedOn w:val="1"/>
    <w:next w:val="1"/>
    <w:qFormat/>
    <w:uiPriority w:val="0"/>
    <w:pPr>
      <w:spacing w:line="320" w:lineRule="exact"/>
      <w:jc w:val="center"/>
    </w:pPr>
    <w:rPr>
      <w:rFonts w:ascii="仿宋_GB2312" w:eastAsia="仿宋_GB2312"/>
      <w:iCs/>
      <w:color w:val="000000"/>
      <w:szCs w:val="30"/>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active"/>
    <w:basedOn w:val="28"/>
    <w:qFormat/>
    <w:uiPriority w:val="0"/>
    <w:rPr>
      <w:shd w:val="clear" w:color="auto" w:fill="EC3535"/>
    </w:rPr>
  </w:style>
  <w:style w:type="paragraph" w:customStyle="1" w:styleId="6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66">
    <w:name w:val="Body text|5"/>
    <w:basedOn w:val="1"/>
    <w:qFormat/>
    <w:uiPriority w:val="0"/>
    <w:pPr>
      <w:ind w:hanging="1840"/>
    </w:pPr>
    <w:rPr>
      <w:sz w:val="10"/>
      <w:szCs w:val="10"/>
      <w:u w:val="single"/>
      <w:lang w:val="zh-CN"/>
    </w:rPr>
  </w:style>
  <w:style w:type="paragraph" w:customStyle="1" w:styleId="67">
    <w:name w:val="正文_3"/>
    <w:qFormat/>
    <w:uiPriority w:val="0"/>
    <w:pPr>
      <w:widowControl w:val="0"/>
      <w:jc w:val="center"/>
    </w:pPr>
    <w:rPr>
      <w:rFonts w:ascii="宋体" w:hAnsi="宋体" w:eastAsia="宋体" w:cs="Times New Roman"/>
      <w:b/>
      <w:kern w:val="2"/>
      <w:sz w:val="44"/>
      <w:szCs w:val="44"/>
      <w:lang w:val="en-US" w:eastAsia="zh-CN" w:bidi="ar-SA"/>
    </w:rPr>
  </w:style>
  <w:style w:type="paragraph" w:customStyle="1" w:styleId="68">
    <w:name w:val="正文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textRotate="1"/>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4F4A2-3207-47DC-BA5C-B9CC092EE4EE}">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72</Pages>
  <Words>25585</Words>
  <Characters>26389</Characters>
  <Lines>188</Lines>
  <Paragraphs>52</Paragraphs>
  <TotalTime>6</TotalTime>
  <ScaleCrop>false</ScaleCrop>
  <LinksUpToDate>false</LinksUpToDate>
  <CharactersWithSpaces>31176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热心市民</cp:lastModifiedBy>
  <cp:lastPrinted>2019-06-10T01:13:00Z</cp:lastPrinted>
  <dcterms:modified xsi:type="dcterms:W3CDTF">2023-07-03T02:43:36Z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F03028DDE7804A9F9FE27D689FCB05C6</vt:lpwstr>
  </property>
</Properties>
</file>