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2023036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val="en-US" w:eastAsia="zh-CN"/>
        </w:rPr>
      </w:pPr>
      <w:r>
        <w:rPr>
          <w:rFonts w:hint="eastAsia" w:ascii="华文中宋" w:hAnsi="华文中宋" w:eastAsia="华文中宋"/>
          <w:b/>
          <w:bCs/>
          <w:sz w:val="52"/>
          <w:szCs w:val="52"/>
          <w:lang w:val="en-US" w:eastAsia="zh-CN"/>
        </w:rPr>
        <w:t>皖南医学院滨江校区1号、2号实验楼消防管道改造项目</w:t>
      </w:r>
    </w:p>
    <w:p>
      <w:pPr>
        <w:jc w:val="center"/>
        <w:rPr>
          <w:rFonts w:hint="eastAsia" w:ascii="华文中宋" w:hAnsi="华文中宋" w:eastAsia="华文中宋"/>
          <w:b/>
          <w:bCs/>
          <w:sz w:val="52"/>
          <w:szCs w:val="52"/>
        </w:rPr>
      </w:pPr>
      <w:bookmarkStart w:id="134" w:name="_GoBack"/>
      <w:bookmarkEnd w:id="134"/>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w:t>
      </w:r>
      <w:r>
        <w:rPr>
          <w:rFonts w:hint="eastAsia" w:ascii="仿宋_GB2312" w:eastAsia="仿宋_GB2312"/>
          <w:b/>
          <w:sz w:val="36"/>
          <w:szCs w:val="36"/>
          <w:lang w:val="en-US" w:eastAsia="zh-CN"/>
        </w:rPr>
        <w:t>6</w:t>
      </w:r>
      <w:r>
        <w:rPr>
          <w:rFonts w:hint="eastAsia" w:ascii="仿宋_GB2312" w:eastAsia="仿宋_GB2312"/>
          <w:b/>
          <w:sz w:val="36"/>
          <w:szCs w:val="36"/>
          <w:lang w:eastAsia="zh-CN"/>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2"/>
      </w:pPr>
      <w:r>
        <w:rPr>
          <w:rFonts w:hint="eastAsia"/>
        </w:rPr>
        <w:t>目  录</w:t>
      </w:r>
    </w:p>
    <w:p>
      <w:pPr>
        <w:pStyle w:val="22"/>
      </w:pPr>
    </w:p>
    <w:p>
      <w:pPr>
        <w:pStyle w:val="22"/>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皖南医学院滨江校区1号、2号实验楼消防管道改造项目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皖南医学院滨江校区1号、2号实验楼（机能实验楼、形态实验楼）消防管道改造项目</w:t>
      </w:r>
      <w:r>
        <w:rPr>
          <w:rFonts w:hint="default" w:ascii="仿宋_GB2312" w:eastAsia="仿宋_GB2312" w:cs="宋体"/>
          <w:sz w:val="24"/>
          <w:szCs w:val="24"/>
          <w:lang w:val="en-US" w:eastAsia="zh-CN"/>
        </w:rPr>
        <w:t>；</w:t>
      </w:r>
    </w:p>
    <w:p>
      <w:pPr>
        <w:pStyle w:val="25"/>
        <w:keepNext w:val="0"/>
        <w:keepLines w:val="0"/>
        <w:pageBreakBefore w:val="0"/>
        <w:kinsoku/>
        <w:wordWrap/>
        <w:overflowPunct/>
        <w:topLinePunct w:val="0"/>
        <w:autoSpaceDE/>
        <w:bidi w:val="0"/>
        <w:adjustRightInd w:val="0"/>
        <w:snapToGrid w:val="0"/>
        <w:spacing w:before="0" w:beforeAutospacing="0" w:after="0" w:afterAutospacing="0" w:line="360" w:lineRule="auto"/>
        <w:ind w:firstLine="480" w:firstLineChars="200"/>
        <w:jc w:val="both"/>
        <w:textAlignment w:val="auto"/>
        <w:rPr>
          <w:rFonts w:hint="eastAsia" w:ascii="仿宋_GB2312" w:hAnsi="宋体" w:eastAsia="仿宋_GB2312" w:cs="宋体"/>
          <w:sz w:val="24"/>
          <w:szCs w:val="24"/>
          <w:lang w:val="zh-CN" w:eastAsia="zh-CN"/>
        </w:rPr>
      </w:pPr>
      <w:r>
        <w:rPr>
          <w:rFonts w:hint="default" w:ascii="仿宋_GB2312" w:hAnsi="宋体" w:eastAsia="仿宋_GB2312" w:cs="宋体"/>
          <w:sz w:val="24"/>
          <w:szCs w:val="24"/>
          <w:lang w:val="en-US" w:eastAsia="zh-CN"/>
        </w:rPr>
        <w:t>（二）项目编号：WYGZ</w:t>
      </w:r>
      <w:r>
        <w:rPr>
          <w:rFonts w:hint="eastAsia" w:ascii="仿宋_GB2312" w:eastAsia="仿宋_GB2312" w:cs="宋体"/>
          <w:sz w:val="24"/>
          <w:szCs w:val="24"/>
          <w:lang w:val="en-US" w:eastAsia="zh-CN"/>
        </w:rPr>
        <w:t>2023036</w:t>
      </w:r>
      <w:r>
        <w:rPr>
          <w:rFonts w:hint="default" w:ascii="仿宋_GB2312" w:hAnsi="宋体" w:eastAsia="仿宋_GB2312" w:cs="宋体"/>
          <w:sz w:val="24"/>
          <w:szCs w:val="24"/>
          <w:lang w:val="en-US" w:eastAsia="zh-CN"/>
        </w:rPr>
        <w:t>;</w:t>
      </w:r>
    </w:p>
    <w:p>
      <w:pPr>
        <w:pStyle w:val="45"/>
        <w:keepNext w:val="0"/>
        <w:keepLines w:val="0"/>
        <w:pageBreakBefore w:val="0"/>
        <w:numPr>
          <w:ilvl w:val="0"/>
          <w:numId w:val="0"/>
        </w:numPr>
        <w:kinsoku/>
        <w:wordWrap/>
        <w:overflowPunct/>
        <w:topLinePunct w:val="0"/>
        <w:autoSpaceDE/>
        <w:autoSpaceDN w:val="0"/>
        <w:bidi w:val="0"/>
        <w:spacing w:line="360" w:lineRule="auto"/>
        <w:ind w:firstLine="480" w:firstLineChars="200"/>
        <w:textAlignment w:val="auto"/>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（三）项目内容：</w:t>
      </w:r>
      <w:r>
        <w:rPr>
          <w:rFonts w:hint="eastAsia" w:ascii="仿宋_GB2312" w:hAnsi="宋体" w:eastAsia="仿宋_GB2312" w:cs="宋体"/>
          <w:kern w:val="0"/>
          <w:sz w:val="24"/>
          <w:szCs w:val="24"/>
          <w:lang w:val="zh-CN" w:eastAsia="zh-CN" w:bidi="ar-SA"/>
        </w:rPr>
        <w:t>皖南医学院滨江校区1号实验楼、2号实验楼消防管道改造工程，施工地点位于皖南医学院滨江校区内。本次改造范围主要包括：（1）采用开挖的方式，从接水点敷设供水管道到1号实验楼、2号实验楼的消防给水管道。详见施工图纸及工程量清单（含技术要求）。（2）消防立管：对1号实验楼、2号实验楼原有的消防立管进行改造，一层原有的100DN消防管道在切断后要进行密封工艺处理确保切口处不渗漏水。（3）室内天花板：1号实验楼、2号实验楼天花板、灯具修复等。（4）景观绿化：对施工中所涉及毁坏的广场、道路、草坪、树木等环境设施进行恢复。（5）各个消防栓箱内安装消防按钮。</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w:t>
      </w:r>
      <w:r>
        <w:rPr>
          <w:rFonts w:hint="default" w:ascii="仿宋_GB2312" w:hAnsi="宋体" w:eastAsia="仿宋_GB2312" w:cs="宋体"/>
          <w:kern w:val="0"/>
          <w:sz w:val="24"/>
          <w:szCs w:val="24"/>
          <w:lang w:val="en-US" w:eastAsia="zh-CN" w:bidi="ar-SA"/>
        </w:rPr>
        <w:t>预算：</w:t>
      </w:r>
      <w:r>
        <w:rPr>
          <w:rFonts w:hint="eastAsia" w:ascii="仿宋_GB2312" w:hAnsi="宋体" w:eastAsia="仿宋_GB2312" w:cs="宋体"/>
          <w:kern w:val="0"/>
          <w:sz w:val="24"/>
          <w:szCs w:val="24"/>
          <w:lang w:val="en-US" w:eastAsia="zh-CN" w:bidi="ar-SA"/>
        </w:rPr>
        <w:t>49万元。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5" w:firstLineChars="189"/>
        <w:rPr>
          <w:rFonts w:hint="default"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lang w:val="en-US" w:eastAsia="zh-CN" w:bidi="ar-SA"/>
        </w:rPr>
        <w:t>6.消防工程施工专业承包企业二级及以上；</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7</w:t>
      </w:r>
      <w:r>
        <w:rPr>
          <w:rFonts w:hint="default" w:ascii="仿宋_GB2312" w:hAnsi="宋体" w:eastAsia="仿宋_GB2312" w:cs="宋体"/>
          <w:kern w:val="0"/>
          <w:sz w:val="24"/>
          <w:szCs w:val="24"/>
          <w:lang w:val="en-US" w:eastAsia="zh-CN" w:bidi="ar-SA"/>
        </w:rPr>
        <w:t>.本项目不接受联合体投标。</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w:t>
      </w:r>
      <w:r>
        <w:rPr>
          <w:rFonts w:hint="eastAsia" w:ascii="仿宋_GB2312" w:eastAsia="仿宋_GB2312" w:cs="宋体"/>
          <w:sz w:val="24"/>
          <w:szCs w:val="24"/>
          <w:highlight w:val="none"/>
          <w:lang w:val="en-US" w:eastAsia="zh-CN"/>
        </w:rPr>
        <w:t>2023年6月29</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2023年7月5</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皖南医学院滨江校区垃圾车清洗台建设项目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2023035</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2023年7月11</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2023年7月11</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（二）联系电话：0553-3932052</w:t>
      </w:r>
      <w:r>
        <w:rPr>
          <w:rFonts w:hint="eastAsia" w:ascii="仿宋_GB2312" w:eastAsia="仿宋_GB2312" w:cs="宋体"/>
          <w:sz w:val="24"/>
          <w:szCs w:val="24"/>
          <w:lang w:val="en-US" w:eastAsia="zh-CN"/>
        </w:rPr>
        <w:t>，19855345130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5"/>
        <w:adjustRightInd w:val="0"/>
        <w:snapToGrid w:val="0"/>
        <w:spacing w:before="0" w:beforeAutospacing="0" w:after="0" w:afterAutospacing="0" w:line="360" w:lineRule="auto"/>
        <w:ind w:firstLine="960" w:firstLineChars="4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5"/>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踏勘报备：自行踏勘。各投标单位提交校外人员入校申请。（受访人：卢老师，受访人电话：13805535350。）</w:t>
      </w:r>
    </w:p>
    <w:p>
      <w:pPr>
        <w:pStyle w:val="25"/>
        <w:adjustRightInd w:val="0"/>
        <w:snapToGrid w:val="0"/>
        <w:spacing w:before="0" w:beforeAutospacing="0" w:after="0" w:afterAutospacing="0" w:line="360" w:lineRule="auto"/>
        <w:ind w:firstLine="480" w:firstLineChars="200"/>
        <w:jc w:val="center"/>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投标报备：各投标单位于2023</w:t>
      </w:r>
      <w:r>
        <w:rPr>
          <w:rFonts w:hint="eastAsia" w:ascii="仿宋_GB2312" w:eastAsia="仿宋_GB2312" w:cs="宋体"/>
          <w:sz w:val="24"/>
          <w:szCs w:val="24"/>
          <w:highlight w:val="none"/>
          <w:lang w:val="en-US" w:eastAsia="zh-CN"/>
        </w:rPr>
        <w:t>年7月10日17</w:t>
      </w:r>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5"/>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5"/>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2023年6月28</w:t>
      </w:r>
      <w:r>
        <w:rPr>
          <w:rFonts w:hint="default" w:ascii="仿宋_GB2312" w:eastAsia="仿宋_GB2312" w:cs="宋体"/>
          <w:sz w:val="24"/>
          <w:szCs w:val="24"/>
          <w:highlight w:val="none"/>
          <w:lang w:val="en-US" w:eastAsia="zh-CN"/>
        </w:rPr>
        <w:t>日</w:t>
      </w:r>
    </w:p>
    <w:p>
      <w:pPr>
        <w:rPr>
          <w:rFonts w:hint="eastAsia" w:ascii="华文中宋" w:hAnsi="华文中宋" w:eastAsia="华文中宋"/>
          <w:color w:val="auto"/>
        </w:rPr>
      </w:pPr>
      <w:bookmarkStart w:id="1" w:name="_Toc49763000"/>
    </w:p>
    <w:p>
      <w:pPr>
        <w:pStyle w:val="6"/>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皖南医学院滨江校区1号、2号实验楼消防管道改造项目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7</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8</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10</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2.1</w:t>
            </w:r>
            <w:r>
              <w:rPr>
                <w:rFonts w:hint="eastAsia" w:ascii="宋体" w:hAnsi="宋体" w:cs="宋体"/>
                <w:kern w:val="0"/>
                <w:sz w:val="21"/>
                <w:szCs w:val="21"/>
                <w:lang w:val="en-US" w:eastAsia="zh-CN"/>
              </w:rPr>
              <w:t>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513029203"/>
      <w:bookmarkStart w:id="4" w:name="_Toc403987205"/>
      <w:bookmarkStart w:id="5" w:name="_Toc16938519"/>
      <w:bookmarkStart w:id="6" w:name="_Toc120614214"/>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2</w:t>
      </w:r>
      <w:r>
        <w:rPr>
          <w:rFonts w:hint="eastAsia" w:hAnsi="宋体" w:eastAsia="宋体"/>
          <w:sz w:val="24"/>
          <w:szCs w:val="24"/>
        </w:rPr>
        <w:t>）供应商不具备磋商文件中规定资格条件的；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3</w:t>
      </w:r>
      <w:r>
        <w:rPr>
          <w:rFonts w:hint="eastAsia" w:hAnsi="宋体" w:eastAsia="宋体"/>
          <w:sz w:val="24"/>
          <w:szCs w:val="24"/>
        </w:rPr>
        <w:t>）不符合法律、法规和磋商文件中规定的其他实质性要求的（本磋商文件中斜体且有下划线部分为实质性要求和条件）；</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4</w:t>
      </w:r>
      <w:r>
        <w:rPr>
          <w:rFonts w:hint="eastAsia" w:hAnsi="宋体" w:eastAsia="宋体"/>
          <w:sz w:val="24"/>
          <w:szCs w:val="24"/>
        </w:rPr>
        <w:t>）其他法律、法规及本磋商文件规定的属响应无效的情形。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pPr>
        <w:pStyle w:val="40"/>
        <w:snapToGrid w:val="0"/>
        <w:ind w:left="0" w:leftChars="0" w:right="280" w:rightChars="100" w:firstLine="0" w:firstLineChars="0"/>
        <w:rPr>
          <w:rFonts w:ascii="仿宋_GB2312" w:hAnsi="宋体" w:eastAsia="仿宋_GB2312"/>
          <w:bCs/>
          <w:szCs w:val="28"/>
        </w:rPr>
      </w:pPr>
    </w:p>
    <w:p>
      <w:pPr>
        <w:rPr>
          <w:rFonts w:hint="eastAsia"/>
        </w:rPr>
      </w:pPr>
      <w:bookmarkStart w:id="107" w:name="_Toc49763002"/>
      <w:r>
        <w:rPr>
          <w:rFonts w:hint="eastAsia" w:ascii="华文中宋" w:hAnsi="华文中宋" w:eastAsia="华文中宋"/>
          <w:bCs w:val="0"/>
          <w:color w:val="auto"/>
          <w:highlight w:val="none"/>
        </w:rPr>
        <w:br w:type="page"/>
      </w:r>
    </w:p>
    <w:p>
      <w:pPr>
        <w:pStyle w:val="6"/>
        <w:numPr>
          <w:ilvl w:val="0"/>
          <w:numId w:val="2"/>
        </w:numPr>
        <w:snapToGrid w:val="0"/>
        <w:spacing w:before="0" w:after="0"/>
        <w:ind w:left="947" w:hanging="947"/>
        <w:jc w:val="center"/>
        <w:rPr>
          <w:rFonts w:hint="eastAsia"/>
        </w:rPr>
      </w:pPr>
      <w:r>
        <w:rPr>
          <w:rFonts w:hint="eastAsia" w:ascii="华文中宋" w:hAnsi="华文中宋" w:eastAsia="华文中宋"/>
          <w:bCs w:val="0"/>
          <w:color w:val="auto"/>
          <w:highlight w:val="none"/>
        </w:rPr>
        <w:t xml:space="preserve"> 合同主要条款</w:t>
      </w:r>
      <w:bookmarkEnd w:id="107"/>
    </w:p>
    <w:p>
      <w:pPr>
        <w:pStyle w:val="8"/>
        <w:autoSpaceDN w:val="0"/>
        <w:jc w:val="center"/>
        <w:rPr>
          <w:rFonts w:ascii="宋体"/>
          <w:color w:val="000000"/>
          <w:sz w:val="24"/>
          <w:szCs w:val="24"/>
        </w:rPr>
      </w:pPr>
      <w:r>
        <w:rPr>
          <w:rFonts w:ascii="宋体"/>
          <w:color w:val="000000"/>
          <w:sz w:val="24"/>
          <w:szCs w:val="24"/>
        </w:rPr>
        <w:t>皖南医学院滨江校区1</w:t>
      </w:r>
      <w:r>
        <w:rPr>
          <w:rFonts w:hint="eastAsia" w:ascii="宋体"/>
          <w:color w:val="000000"/>
          <w:sz w:val="24"/>
          <w:szCs w:val="24"/>
          <w:lang w:eastAsia="zh-CN"/>
        </w:rPr>
        <w:t>号</w:t>
      </w:r>
      <w:r>
        <w:rPr>
          <w:rFonts w:ascii="宋体"/>
          <w:color w:val="000000"/>
          <w:sz w:val="24"/>
          <w:szCs w:val="24"/>
        </w:rPr>
        <w:t>、2</w:t>
      </w:r>
      <w:r>
        <w:rPr>
          <w:rFonts w:hint="eastAsia" w:ascii="宋体"/>
          <w:color w:val="000000"/>
          <w:sz w:val="24"/>
          <w:szCs w:val="24"/>
          <w:lang w:eastAsia="zh-CN"/>
        </w:rPr>
        <w:t>号</w:t>
      </w:r>
      <w:r>
        <w:rPr>
          <w:rFonts w:ascii="宋体"/>
          <w:color w:val="000000"/>
          <w:sz w:val="24"/>
          <w:szCs w:val="24"/>
        </w:rPr>
        <w:t>实验楼消防管道改造工程合同</w:t>
      </w:r>
    </w:p>
    <w:p>
      <w:pPr>
        <w:pStyle w:val="45"/>
        <w:numPr>
          <w:ilvl w:val="0"/>
          <w:numId w:val="3"/>
        </w:numPr>
        <w:autoSpaceDN w:val="0"/>
        <w:spacing w:line="480" w:lineRule="exact"/>
        <w:rPr>
          <w:rFonts w:hint="eastAsia" w:ascii="宋体"/>
          <w:color w:val="000000"/>
          <w:sz w:val="28"/>
          <w:szCs w:val="28"/>
        </w:rPr>
      </w:pPr>
      <w:r>
        <w:rPr>
          <w:rFonts w:hint="eastAsia" w:ascii="宋体"/>
          <w:color w:val="000000"/>
          <w:sz w:val="28"/>
          <w:szCs w:val="28"/>
        </w:rPr>
        <w:t>工程概况：皖南医学院</w:t>
      </w:r>
      <w:r>
        <w:rPr>
          <w:rFonts w:hint="eastAsia" w:ascii="宋体"/>
          <w:color w:val="000000"/>
          <w:sz w:val="28"/>
          <w:szCs w:val="28"/>
          <w:shd w:val="solid" w:color="FFFFFF" w:fill="FFFFFF"/>
        </w:rPr>
        <w:t>滨江校区</w:t>
      </w:r>
      <w:r>
        <w:rPr>
          <w:rFonts w:hint="eastAsia" w:ascii="宋体"/>
          <w:color w:val="000000"/>
          <w:sz w:val="28"/>
          <w:szCs w:val="28"/>
          <w:shd w:val="solid" w:color="FFFFFF" w:fill="FFFFFF"/>
          <w:lang w:eastAsia="zh-CN"/>
        </w:rPr>
        <w:t>1号实验楼</w:t>
      </w:r>
      <w:r>
        <w:rPr>
          <w:rFonts w:ascii="宋体"/>
          <w:color w:val="000000"/>
          <w:sz w:val="28"/>
          <w:szCs w:val="28"/>
          <w:shd w:val="solid" w:color="FFFFFF" w:fill="FFFFFF"/>
        </w:rPr>
        <w:t>、</w:t>
      </w:r>
      <w:r>
        <w:rPr>
          <w:rFonts w:hint="eastAsia" w:ascii="宋体"/>
          <w:color w:val="000000"/>
          <w:sz w:val="28"/>
          <w:szCs w:val="28"/>
          <w:shd w:val="solid" w:color="FFFFFF" w:fill="FFFFFF"/>
          <w:lang w:eastAsia="zh-CN"/>
        </w:rPr>
        <w:t>2号实验楼</w:t>
      </w:r>
      <w:r>
        <w:rPr>
          <w:rFonts w:hint="eastAsia" w:ascii="宋体"/>
          <w:color w:val="000000"/>
          <w:sz w:val="28"/>
          <w:szCs w:val="28"/>
          <w:shd w:val="solid" w:color="FFFFFF" w:fill="FFFFFF"/>
        </w:rPr>
        <w:t>消防管道</w:t>
      </w:r>
      <w:r>
        <w:rPr>
          <w:rFonts w:hint="eastAsia" w:ascii="宋体"/>
          <w:color w:val="000000"/>
          <w:sz w:val="28"/>
          <w:szCs w:val="28"/>
        </w:rPr>
        <w:t>改造工程，施工地点位于皖南医学院滨江校区内。</w:t>
      </w:r>
    </w:p>
    <w:p>
      <w:pPr>
        <w:pStyle w:val="45"/>
        <w:numPr>
          <w:ilvl w:val="0"/>
          <w:numId w:val="0"/>
        </w:numPr>
        <w:autoSpaceDN w:val="0"/>
        <w:spacing w:line="480" w:lineRule="exact"/>
        <w:ind w:firstLine="560" w:firstLineChars="200"/>
        <w:rPr>
          <w:rFonts w:hint="eastAsia" w:ascii="宋体"/>
          <w:color w:val="000000"/>
          <w:sz w:val="28"/>
          <w:szCs w:val="28"/>
          <w:lang w:val="en-US" w:eastAsia="zh-CN"/>
        </w:rPr>
      </w:pPr>
      <w:r>
        <w:rPr>
          <w:rFonts w:hint="eastAsia" w:ascii="宋体"/>
          <w:color w:val="000000"/>
          <w:sz w:val="28"/>
          <w:szCs w:val="28"/>
        </w:rPr>
        <w:t>本次改造范围主要包括：</w:t>
      </w:r>
      <w:r>
        <w:rPr>
          <w:rFonts w:hint="eastAsia" w:ascii="宋体"/>
          <w:color w:val="000000"/>
          <w:sz w:val="28"/>
          <w:szCs w:val="28"/>
          <w:lang w:val="en-US" w:eastAsia="zh-CN"/>
        </w:rPr>
        <w:t xml:space="preserve">   </w:t>
      </w:r>
    </w:p>
    <w:p>
      <w:pPr>
        <w:pStyle w:val="45"/>
        <w:numPr>
          <w:ilvl w:val="0"/>
          <w:numId w:val="4"/>
        </w:numPr>
        <w:autoSpaceDN w:val="0"/>
        <w:spacing w:line="480" w:lineRule="exact"/>
        <w:ind w:firstLine="560" w:firstLineChars="200"/>
        <w:rPr>
          <w:rFonts w:hint="eastAsia" w:ascii="宋体" w:cs="仿宋_GB2312"/>
          <w:bCs/>
          <w:color w:val="000000"/>
          <w:sz w:val="28"/>
          <w:szCs w:val="28"/>
          <w:u w:val="none"/>
          <w:lang w:val="en-US" w:eastAsia="zh-CN"/>
        </w:rPr>
      </w:pPr>
      <w:r>
        <w:rPr>
          <w:rFonts w:hint="eastAsia" w:ascii="宋体" w:cs="仿宋_GB2312"/>
          <w:bCs/>
          <w:color w:val="000000"/>
          <w:sz w:val="28"/>
          <w:szCs w:val="28"/>
          <w:u w:val="none"/>
        </w:rPr>
        <w:t>采用开挖的方式，从接水点敷设供水管道到</w:t>
      </w:r>
      <w:r>
        <w:rPr>
          <w:rFonts w:hint="eastAsia" w:ascii="宋体" w:cs="仿宋_GB2312"/>
          <w:bCs/>
          <w:color w:val="000000"/>
          <w:sz w:val="28"/>
          <w:szCs w:val="28"/>
          <w:u w:val="none"/>
          <w:lang w:eastAsia="zh-CN"/>
        </w:rPr>
        <w:t>1号实验楼、2号实验楼</w:t>
      </w:r>
      <w:r>
        <w:rPr>
          <w:rFonts w:hint="eastAsia" w:ascii="宋体" w:cs="仿宋_GB2312"/>
          <w:bCs/>
          <w:color w:val="000000"/>
          <w:sz w:val="28"/>
          <w:szCs w:val="28"/>
          <w:u w:val="none"/>
        </w:rPr>
        <w:t>的消防给水管道。详见施工图纸及工程量清单（含技术要求）。</w:t>
      </w:r>
      <w:r>
        <w:rPr>
          <w:rFonts w:hint="eastAsia" w:ascii="宋体" w:cs="仿宋_GB2312"/>
          <w:bCs/>
          <w:color w:val="000000"/>
          <w:sz w:val="28"/>
          <w:szCs w:val="28"/>
          <w:u w:val="none"/>
          <w:lang w:val="en-US" w:eastAsia="zh-CN"/>
        </w:rPr>
        <w:t xml:space="preserve"> </w:t>
      </w:r>
    </w:p>
    <w:p>
      <w:pPr>
        <w:pStyle w:val="45"/>
        <w:numPr>
          <w:ilvl w:val="0"/>
          <w:numId w:val="4"/>
        </w:numPr>
        <w:autoSpaceDN w:val="0"/>
        <w:spacing w:line="480" w:lineRule="exact"/>
        <w:ind w:left="0" w:leftChars="0" w:firstLine="560" w:firstLineChars="200"/>
        <w:rPr>
          <w:rFonts w:hint="eastAsia" w:ascii="宋体" w:cs="仿宋_GB2312"/>
          <w:bCs/>
          <w:color w:val="000000"/>
          <w:sz w:val="28"/>
          <w:szCs w:val="28"/>
          <w:u w:val="none"/>
        </w:rPr>
      </w:pPr>
      <w:r>
        <w:rPr>
          <w:rFonts w:hint="eastAsia" w:ascii="宋体" w:cs="仿宋_GB2312"/>
          <w:bCs/>
          <w:color w:val="000000"/>
          <w:sz w:val="28"/>
          <w:szCs w:val="28"/>
          <w:u w:val="none"/>
        </w:rPr>
        <w:t>消防立管：对</w:t>
      </w:r>
      <w:r>
        <w:rPr>
          <w:rFonts w:hint="eastAsia" w:ascii="宋体" w:cs="仿宋_GB2312"/>
          <w:bCs/>
          <w:color w:val="000000"/>
          <w:sz w:val="28"/>
          <w:szCs w:val="28"/>
          <w:u w:val="none"/>
          <w:lang w:eastAsia="zh-CN"/>
        </w:rPr>
        <w:t>1号实验楼、2号实验楼</w:t>
      </w:r>
      <w:r>
        <w:rPr>
          <w:rFonts w:hint="eastAsia" w:ascii="宋体" w:cs="仿宋_GB2312"/>
          <w:bCs/>
          <w:color w:val="000000"/>
          <w:sz w:val="28"/>
          <w:szCs w:val="28"/>
          <w:u w:val="none"/>
        </w:rPr>
        <w:t>原有的消防立管进行改造，一层原有的100DN消防管道在切断后要进行密封工艺处理确保切口处不渗漏水。</w:t>
      </w:r>
    </w:p>
    <w:p>
      <w:pPr>
        <w:pStyle w:val="45"/>
        <w:numPr>
          <w:ilvl w:val="0"/>
          <w:numId w:val="4"/>
        </w:numPr>
        <w:autoSpaceDN w:val="0"/>
        <w:spacing w:line="480" w:lineRule="exact"/>
        <w:ind w:left="0" w:leftChars="0" w:firstLine="560" w:firstLineChars="200"/>
        <w:rPr>
          <w:rFonts w:hint="eastAsia" w:ascii="宋体" w:cs="仿宋_GB2312"/>
          <w:bCs/>
          <w:color w:val="000000"/>
          <w:sz w:val="28"/>
          <w:szCs w:val="28"/>
          <w:u w:val="none"/>
        </w:rPr>
      </w:pPr>
      <w:r>
        <w:rPr>
          <w:rFonts w:hint="eastAsia" w:ascii="宋体" w:cs="仿宋_GB2312"/>
          <w:bCs/>
          <w:color w:val="000000"/>
          <w:sz w:val="28"/>
          <w:szCs w:val="28"/>
          <w:u w:val="none"/>
        </w:rPr>
        <w:t>室内天花板：</w:t>
      </w:r>
      <w:r>
        <w:rPr>
          <w:rFonts w:hint="eastAsia" w:ascii="宋体" w:cs="仿宋_GB2312"/>
          <w:bCs/>
          <w:color w:val="000000"/>
          <w:sz w:val="28"/>
          <w:szCs w:val="28"/>
          <w:u w:val="none"/>
          <w:lang w:eastAsia="zh-CN"/>
        </w:rPr>
        <w:t>1号实验楼、2号实验楼</w:t>
      </w:r>
      <w:r>
        <w:rPr>
          <w:rFonts w:hint="eastAsia" w:ascii="宋体" w:cs="仿宋_GB2312"/>
          <w:bCs/>
          <w:color w:val="000000"/>
          <w:sz w:val="28"/>
          <w:szCs w:val="28"/>
          <w:u w:val="none"/>
        </w:rPr>
        <w:t>天花板、灯具修复等</w:t>
      </w:r>
      <w:r>
        <w:rPr>
          <w:rFonts w:hint="eastAsia" w:ascii="宋体" w:cs="仿宋_GB2312"/>
          <w:bCs/>
          <w:color w:val="000000"/>
          <w:sz w:val="28"/>
          <w:szCs w:val="28"/>
          <w:u w:val="none"/>
          <w:lang w:eastAsia="zh-CN"/>
        </w:rPr>
        <w:t>。</w:t>
      </w:r>
    </w:p>
    <w:p>
      <w:pPr>
        <w:pStyle w:val="45"/>
        <w:numPr>
          <w:ilvl w:val="0"/>
          <w:numId w:val="4"/>
        </w:numPr>
        <w:autoSpaceDN w:val="0"/>
        <w:spacing w:line="480" w:lineRule="exact"/>
        <w:ind w:left="0" w:leftChars="0" w:firstLine="560" w:firstLineChars="200"/>
        <w:rPr>
          <w:sz w:val="28"/>
          <w:szCs w:val="28"/>
          <w:u w:val="single"/>
        </w:rPr>
      </w:pPr>
      <w:r>
        <w:rPr>
          <w:rFonts w:hint="eastAsia" w:ascii="宋体" w:cs="仿宋_GB2312"/>
          <w:bCs/>
          <w:sz w:val="28"/>
          <w:szCs w:val="28"/>
          <w:u w:val="none"/>
        </w:rPr>
        <w:t>景观绿化：对施工中所涉及毁坏的广场、道路、草坪、树木等环境设施进行恢复。</w:t>
      </w:r>
    </w:p>
    <w:p>
      <w:pPr>
        <w:pStyle w:val="45"/>
        <w:numPr>
          <w:ilvl w:val="0"/>
          <w:numId w:val="0"/>
        </w:numPr>
        <w:autoSpaceDN w:val="0"/>
        <w:spacing w:line="480" w:lineRule="exact"/>
        <w:ind w:leftChars="200"/>
        <w:rPr>
          <w:sz w:val="28"/>
          <w:szCs w:val="28"/>
          <w:u w:val="single"/>
        </w:rPr>
      </w:pPr>
      <w:r>
        <w:rPr>
          <w:sz w:val="28"/>
          <w:szCs w:val="28"/>
          <w:u w:val="none"/>
        </w:rPr>
        <w:t>（5）各个消防栓箱内安装消防按钮。</w:t>
      </w:r>
    </w:p>
    <w:p>
      <w:pPr>
        <w:pStyle w:val="45"/>
        <w:autoSpaceDN w:val="0"/>
        <w:spacing w:line="480" w:lineRule="exact"/>
        <w:ind w:firstLine="560" w:firstLineChars="200"/>
        <w:rPr>
          <w:rFonts w:ascii="宋体"/>
          <w:sz w:val="28"/>
          <w:szCs w:val="28"/>
        </w:rPr>
      </w:pPr>
      <w:r>
        <w:rPr>
          <w:rFonts w:hint="eastAsia" w:ascii="宋体"/>
          <w:sz w:val="28"/>
          <w:szCs w:val="28"/>
        </w:rPr>
        <w:t>2.工程现场条件复杂，尤其是地面以下条件更加复杂（水、电、排水、弱电、树根及各种井口相互交叉、高低错落），承包人需仔细勘踏现场，并认真对照图纸及说明，拟订相应避让措施，充分考虑学校作息规律、施工特点及不良天气条件等不利因素，认真撰写施工方案，确保工程施工顺利开展，竣工验收要满足学校消防各项要求。</w:t>
      </w:r>
    </w:p>
    <w:p>
      <w:pPr>
        <w:pStyle w:val="45"/>
        <w:autoSpaceDN w:val="0"/>
        <w:spacing w:line="480" w:lineRule="exact"/>
        <w:ind w:firstLine="560" w:firstLineChars="200"/>
        <w:rPr>
          <w:rFonts w:ascii="宋体"/>
          <w:bCs/>
          <w:sz w:val="28"/>
          <w:szCs w:val="28"/>
        </w:rPr>
      </w:pPr>
      <w:r>
        <w:rPr>
          <w:rFonts w:hint="eastAsia" w:ascii="宋体"/>
          <w:bCs/>
          <w:sz w:val="28"/>
          <w:szCs w:val="28"/>
        </w:rPr>
        <w:t>3.投标供应商拟委任的项目负责人须具备机电工程专业二级及以上注册建造师执业资格，具备有效的安全生产考核合格证书，不满足的其投标将被拒绝。</w:t>
      </w:r>
    </w:p>
    <w:p>
      <w:pPr>
        <w:pStyle w:val="45"/>
        <w:autoSpaceDN w:val="0"/>
        <w:spacing w:line="480" w:lineRule="exact"/>
        <w:ind w:firstLine="560" w:firstLineChars="200"/>
        <w:rPr>
          <w:rFonts w:ascii="宋体"/>
          <w:sz w:val="28"/>
          <w:szCs w:val="28"/>
        </w:rPr>
      </w:pPr>
      <w:r>
        <w:rPr>
          <w:rFonts w:hint="eastAsia" w:ascii="宋体"/>
          <w:sz w:val="28"/>
          <w:szCs w:val="28"/>
        </w:rPr>
        <w:t>二、工期要求</w:t>
      </w:r>
    </w:p>
    <w:p>
      <w:pPr>
        <w:pStyle w:val="45"/>
        <w:autoSpaceDN w:val="0"/>
        <w:spacing w:line="480" w:lineRule="exact"/>
        <w:ind w:firstLine="560" w:firstLineChars="200"/>
        <w:rPr>
          <w:rFonts w:ascii="宋体"/>
          <w:sz w:val="28"/>
          <w:szCs w:val="28"/>
        </w:rPr>
      </w:pPr>
      <w:r>
        <w:rPr>
          <w:rFonts w:hint="eastAsia" w:ascii="宋体"/>
          <w:sz w:val="28"/>
          <w:szCs w:val="28"/>
        </w:rPr>
        <w:t>4.本工程工期为3</w:t>
      </w:r>
      <w:r>
        <w:rPr>
          <w:rFonts w:ascii="宋体"/>
          <w:sz w:val="28"/>
          <w:szCs w:val="28"/>
        </w:rPr>
        <w:t>5</w:t>
      </w:r>
      <w:r>
        <w:rPr>
          <w:rFonts w:hint="eastAsia" w:ascii="宋体"/>
          <w:sz w:val="28"/>
          <w:szCs w:val="28"/>
        </w:rPr>
        <w:t>个日历天，提前不奖，无故推迟每延期1天按施工合同价（不含暂列金额）的1‰处罚，最高处罚金额为合同价（不含暂列金额）的5%，在结算审计时扣除。不可抗力因素除外。</w:t>
      </w:r>
    </w:p>
    <w:p>
      <w:pPr>
        <w:pStyle w:val="45"/>
        <w:autoSpaceDN w:val="0"/>
        <w:spacing w:line="480" w:lineRule="exact"/>
        <w:ind w:firstLine="560" w:firstLineChars="200"/>
        <w:rPr>
          <w:rFonts w:ascii="宋体"/>
          <w:sz w:val="28"/>
          <w:szCs w:val="28"/>
        </w:rPr>
      </w:pPr>
      <w:r>
        <w:rPr>
          <w:rFonts w:hint="eastAsia" w:ascii="宋体"/>
          <w:sz w:val="28"/>
          <w:szCs w:val="28"/>
        </w:rPr>
        <w:t>5.本工程开工日期以监理人下发的开工令或发包人下发的开工通知为准，若无开工令或开工通知，以合同中规定的开工日期为准。</w:t>
      </w:r>
    </w:p>
    <w:p>
      <w:pPr>
        <w:pStyle w:val="45"/>
        <w:autoSpaceDN w:val="0"/>
        <w:spacing w:line="480" w:lineRule="exact"/>
        <w:ind w:firstLine="560" w:firstLineChars="200"/>
        <w:rPr>
          <w:rFonts w:ascii="宋体"/>
          <w:sz w:val="28"/>
          <w:szCs w:val="28"/>
        </w:rPr>
      </w:pPr>
      <w:r>
        <w:rPr>
          <w:rFonts w:hint="eastAsia" w:ascii="宋体"/>
          <w:sz w:val="28"/>
          <w:szCs w:val="28"/>
        </w:rPr>
        <w:t>6.因发包人原因（变更工程量签证审批时间过长、施工方案出现较大调整等）导致工期延误可不予处罚，但需承包人书面提出申请，发包人代表签字确认同意后方可。</w:t>
      </w:r>
    </w:p>
    <w:p>
      <w:pPr>
        <w:pStyle w:val="45"/>
        <w:autoSpaceDN w:val="0"/>
        <w:spacing w:line="480" w:lineRule="exact"/>
        <w:ind w:firstLine="560" w:firstLineChars="200"/>
        <w:rPr>
          <w:rFonts w:ascii="宋体"/>
          <w:color w:val="000000"/>
          <w:sz w:val="28"/>
          <w:szCs w:val="28"/>
        </w:rPr>
      </w:pPr>
      <w:r>
        <w:rPr>
          <w:rFonts w:hint="eastAsia" w:ascii="宋体"/>
          <w:sz w:val="28"/>
          <w:szCs w:val="28"/>
        </w:rPr>
        <w:t>7.本工程因在开学期间施工，因改造范围广、内容多、现场情况复杂，承</w:t>
      </w:r>
      <w:r>
        <w:rPr>
          <w:rFonts w:hint="eastAsia" w:ascii="宋体"/>
          <w:color w:val="000000"/>
          <w:sz w:val="28"/>
          <w:szCs w:val="28"/>
        </w:rPr>
        <w:t>包人须采取相应赶工措施（例如：增加作业班组等）保证在合同工期内完工。若承包人赶工措施不到位，发包人有权另行组织学校协议维修单位协助赶工，发生的费用由承包人承担。</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三、质量标准、材料要求、验收要求、竣工结算资料要求</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8.本工程质量标准为合格，承包人须严格按照施工图（包括图纸审查意见）、工程量清单、招投标文件和国家、省、市现行标准及规范完成施工，并通过设计及发包人的验收。</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9.承包人所用材料应选择所列参考品牌或技术指标性能不低于参考品牌，并满足其他要求。采购的所有设备、材料进场时要有合格证、检测报告等材料，水电材料需要提供3C认证材料，并符合国家规范要求。所有设备、材料提前送样，且由发包人项目负责人签字确认后方可进场，否则不支付相应材料的进度款和工程款。材料参考品牌如下：</w:t>
      </w:r>
    </w:p>
    <w:tbl>
      <w:tblPr>
        <w:tblStyle w:val="27"/>
        <w:tblW w:w="9498" w:type="dxa"/>
        <w:tblInd w:w="-2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884"/>
        <w:gridCol w:w="2835"/>
        <w:gridCol w:w="4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序号</w:t>
            </w:r>
          </w:p>
        </w:tc>
        <w:tc>
          <w:tcPr>
            <w:tcW w:w="18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材料名称</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参考品牌</w:t>
            </w:r>
          </w:p>
        </w:tc>
        <w:tc>
          <w:tcPr>
            <w:tcW w:w="4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strike/>
                <w:dstrike w:val="0"/>
                <w:color w:val="000000"/>
                <w:sz w:val="28"/>
                <w:szCs w:val="28"/>
              </w:rPr>
            </w:pPr>
            <w:r>
              <w:rPr>
                <w:rFonts w:hint="eastAsia" w:ascii="宋体"/>
                <w:strike/>
                <w:dstrike w:val="0"/>
                <w:color w:val="000000"/>
                <w:sz w:val="28"/>
                <w:szCs w:val="28"/>
              </w:rPr>
              <w:t>1</w:t>
            </w:r>
          </w:p>
        </w:tc>
        <w:tc>
          <w:tcPr>
            <w:tcW w:w="18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strike/>
                <w:dstrike w:val="0"/>
                <w:color w:val="000000"/>
                <w:sz w:val="28"/>
                <w:szCs w:val="28"/>
              </w:rPr>
            </w:pPr>
            <w:r>
              <w:rPr>
                <w:rFonts w:hint="eastAsia" w:ascii="宋体"/>
                <w:color w:val="000000"/>
                <w:sz w:val="28"/>
                <w:szCs w:val="28"/>
              </w:rPr>
              <w:t>钢丝骨架PE管</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公元、联塑、中财</w:t>
            </w:r>
          </w:p>
        </w:tc>
        <w:tc>
          <w:tcPr>
            <w:tcW w:w="4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left"/>
              <w:textAlignment w:val="center"/>
              <w:rPr>
                <w:rFonts w:ascii="宋体"/>
                <w:color w:val="000000"/>
                <w:sz w:val="28"/>
                <w:szCs w:val="28"/>
              </w:rPr>
            </w:pPr>
            <w:r>
              <w:rPr>
                <w:rFonts w:hint="eastAsia" w:ascii="宋体"/>
                <w:color w:val="000000"/>
                <w:sz w:val="28"/>
                <w:szCs w:val="28"/>
              </w:rPr>
              <w:t>参照图纸要求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2</w:t>
            </w:r>
          </w:p>
        </w:tc>
        <w:tc>
          <w:tcPr>
            <w:tcW w:w="18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镀锌钢管</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天津友发、河北华岐、浙江金州、</w:t>
            </w:r>
          </w:p>
        </w:tc>
        <w:tc>
          <w:tcPr>
            <w:tcW w:w="4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autoSpaceDN w:val="0"/>
              <w:spacing w:line="0" w:lineRule="atLeast"/>
              <w:jc w:val="left"/>
              <w:rPr>
                <w:rFonts w:ascii="宋体"/>
                <w:color w:val="000000"/>
                <w:sz w:val="28"/>
                <w:szCs w:val="28"/>
              </w:rPr>
            </w:pPr>
            <w:r>
              <w:rPr>
                <w:rFonts w:hint="eastAsia" w:ascii="宋体"/>
                <w:color w:val="000000"/>
                <w:sz w:val="28"/>
                <w:szCs w:val="28"/>
              </w:rPr>
              <w:t>参照图纸要求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3</w:t>
            </w:r>
          </w:p>
        </w:tc>
        <w:tc>
          <w:tcPr>
            <w:tcW w:w="18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闸阀</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安徽白湖、江苏竹箦、河南高山</w:t>
            </w:r>
          </w:p>
        </w:tc>
        <w:tc>
          <w:tcPr>
            <w:tcW w:w="4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autoSpaceDN w:val="0"/>
              <w:spacing w:line="0" w:lineRule="atLeast"/>
              <w:jc w:val="left"/>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4</w:t>
            </w:r>
          </w:p>
        </w:tc>
        <w:tc>
          <w:tcPr>
            <w:tcW w:w="18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灯具</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飞利浦、欧普、雷士</w:t>
            </w:r>
          </w:p>
        </w:tc>
        <w:tc>
          <w:tcPr>
            <w:tcW w:w="4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left"/>
              <w:textAlignment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rPr>
            </w:pPr>
            <w:r>
              <w:rPr>
                <w:rFonts w:hint="eastAsia" w:ascii="宋体"/>
                <w:color w:val="000000"/>
                <w:sz w:val="28"/>
                <w:szCs w:val="28"/>
              </w:rPr>
              <w:t>5</w:t>
            </w:r>
          </w:p>
        </w:tc>
        <w:tc>
          <w:tcPr>
            <w:tcW w:w="18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hint="eastAsia" w:ascii="宋体"/>
                <w:color w:val="000000"/>
                <w:sz w:val="28"/>
                <w:szCs w:val="28"/>
                <w:shd w:val="clear" w:color="auto" w:fill="FFFFFF"/>
              </w:rPr>
              <w:t>三防洁净板</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p>
        </w:tc>
        <w:tc>
          <w:tcPr>
            <w:tcW w:w="4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6"/>
              <w:widowControl/>
              <w:autoSpaceDN w:val="0"/>
              <w:spacing w:line="0" w:lineRule="atLeast"/>
              <w:jc w:val="left"/>
              <w:textAlignment w:val="center"/>
              <w:rPr>
                <w:rFonts w:ascii="宋体"/>
                <w:color w:val="000000"/>
                <w:sz w:val="28"/>
                <w:szCs w:val="28"/>
              </w:rPr>
            </w:pPr>
            <w:r>
              <w:rPr>
                <w:rFonts w:hint="eastAsia" w:ascii="宋体"/>
                <w:color w:val="000000"/>
                <w:sz w:val="28"/>
                <w:szCs w:val="28"/>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rPr>
            </w:pPr>
            <w:r>
              <w:rPr>
                <w:rFonts w:ascii="宋体"/>
                <w:color w:val="000000"/>
                <w:sz w:val="28"/>
                <w:szCs w:val="28"/>
              </w:rPr>
              <w:t>6</w:t>
            </w:r>
          </w:p>
        </w:tc>
        <w:tc>
          <w:tcPr>
            <w:tcW w:w="1884"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ascii="宋体"/>
                <w:color w:val="000000"/>
                <w:sz w:val="28"/>
                <w:szCs w:val="28"/>
                <w:shd w:val="clear" w:color="auto" w:fill="FFFFFF"/>
              </w:rPr>
              <w:t>NHKVV控制电缆线</w:t>
            </w:r>
          </w:p>
        </w:tc>
        <w:tc>
          <w:tcPr>
            <w:tcW w:w="2835"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center"/>
              <w:textAlignment w:val="center"/>
              <w:rPr>
                <w:rFonts w:ascii="宋体"/>
                <w:color w:val="000000"/>
                <w:sz w:val="28"/>
                <w:szCs w:val="28"/>
                <w:shd w:val="clear" w:color="auto" w:fill="FFFFFF"/>
              </w:rPr>
            </w:pPr>
            <w:r>
              <w:rPr>
                <w:rFonts w:ascii="宋体"/>
                <w:color w:val="000000"/>
                <w:sz w:val="28"/>
                <w:szCs w:val="28"/>
                <w:shd w:val="clear" w:color="auto" w:fill="FFFFFF"/>
              </w:rPr>
              <w:t>启航、华东、华电</w:t>
            </w:r>
          </w:p>
        </w:tc>
        <w:tc>
          <w:tcPr>
            <w:tcW w:w="4069" w:type="dxa"/>
            <w:tcBorders>
              <w:top w:val="single" w:color="auto" w:sz="4" w:space="0"/>
              <w:left w:val="single" w:color="auto" w:sz="4" w:space="0"/>
              <w:bottom w:val="single" w:color="auto" w:sz="4" w:space="0"/>
              <w:right w:val="single" w:color="auto" w:sz="4" w:space="0"/>
            </w:tcBorders>
            <w:vAlign w:val="center"/>
          </w:tcPr>
          <w:p>
            <w:pPr>
              <w:pStyle w:val="46"/>
              <w:widowControl/>
              <w:autoSpaceDN w:val="0"/>
              <w:spacing w:line="0" w:lineRule="atLeast"/>
              <w:jc w:val="left"/>
              <w:textAlignment w:val="center"/>
              <w:rPr>
                <w:rFonts w:ascii="宋体"/>
                <w:color w:val="000000"/>
                <w:sz w:val="28"/>
                <w:szCs w:val="28"/>
              </w:rPr>
            </w:pPr>
            <w:r>
              <w:rPr>
                <w:rFonts w:ascii="宋体"/>
                <w:color w:val="000000"/>
                <w:sz w:val="28"/>
                <w:szCs w:val="28"/>
              </w:rPr>
              <w:t>室内、室外均为此型号电缆</w:t>
            </w:r>
          </w:p>
        </w:tc>
      </w:tr>
    </w:tbl>
    <w:p>
      <w:pPr>
        <w:pStyle w:val="69"/>
        <w:autoSpaceDN w:val="0"/>
        <w:spacing w:line="480" w:lineRule="exact"/>
        <w:ind w:firstLine="480"/>
        <w:rPr>
          <w:rFonts w:ascii="宋体"/>
          <w:color w:val="000000"/>
          <w:sz w:val="28"/>
          <w:szCs w:val="28"/>
        </w:rPr>
      </w:pPr>
      <w:r>
        <w:rPr>
          <w:rFonts w:hint="eastAsia" w:ascii="宋体"/>
          <w:color w:val="000000"/>
          <w:sz w:val="28"/>
          <w:szCs w:val="28"/>
        </w:rPr>
        <w:t>10.涉及隐蔽工程内容的，承包人应在隐蔽工程覆盖、掩埋或拆除前通知发包人项目负责人进行现场勘查、确认，并由项目负责人会同审计处，共同做好隐蔽工程记录、核定隐蔽工程量签证单。未按规定办理隐蔽工程记录的，其工程量不予认定。在施工过程中，隐蔽工程必须按以下表格及时通知发包人验收并办理签字手续。</w:t>
      </w:r>
    </w:p>
    <w:p>
      <w:pPr>
        <w:autoSpaceDN w:val="0"/>
        <w:jc w:val="center"/>
        <w:rPr>
          <w:rFonts w:ascii="宋体"/>
          <w:b/>
          <w:bCs/>
          <w:color w:val="000000"/>
          <w:sz w:val="28"/>
          <w:szCs w:val="28"/>
        </w:rPr>
      </w:pPr>
      <w:r>
        <w:rPr>
          <w:rFonts w:hint="eastAsia" w:ascii="宋体"/>
          <w:b/>
          <w:bCs/>
          <w:color w:val="000000"/>
          <w:sz w:val="28"/>
          <w:szCs w:val="28"/>
        </w:rPr>
        <w:t>隐蔽工程验收记录单</w:t>
      </w:r>
    </w:p>
    <w:tbl>
      <w:tblPr>
        <w:tblStyle w:val="27"/>
        <w:tblW w:w="9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8"/>
        <w:gridCol w:w="362"/>
        <w:gridCol w:w="392"/>
        <w:gridCol w:w="833"/>
        <w:gridCol w:w="3402"/>
        <w:gridCol w:w="2571"/>
        <w:gridCol w:w="1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1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工程名称</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c>
          <w:tcPr>
            <w:tcW w:w="2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验收单编号</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21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分项工程名称</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c>
          <w:tcPr>
            <w:tcW w:w="2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隐蔽工程项目</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21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施工单位名称</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c>
          <w:tcPr>
            <w:tcW w:w="2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项目经理</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221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施工标准及编号</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c>
          <w:tcPr>
            <w:tcW w:w="2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施工图名称及编号</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2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隐</w:t>
            </w:r>
          </w:p>
          <w:p>
            <w:pPr>
              <w:autoSpaceDN w:val="0"/>
              <w:spacing w:line="240" w:lineRule="atLeast"/>
              <w:jc w:val="center"/>
              <w:rPr>
                <w:rFonts w:ascii="宋体"/>
                <w:color w:val="000000"/>
                <w:sz w:val="28"/>
                <w:szCs w:val="28"/>
              </w:rPr>
            </w:pPr>
            <w:r>
              <w:rPr>
                <w:rFonts w:hint="eastAsia" w:ascii="宋体"/>
                <w:color w:val="000000"/>
                <w:sz w:val="28"/>
                <w:szCs w:val="28"/>
              </w:rPr>
              <w:t>蔽</w:t>
            </w:r>
          </w:p>
          <w:p>
            <w:pPr>
              <w:autoSpaceDN w:val="0"/>
              <w:spacing w:line="240" w:lineRule="atLeast"/>
              <w:jc w:val="center"/>
              <w:rPr>
                <w:rFonts w:ascii="宋体"/>
                <w:color w:val="000000"/>
                <w:sz w:val="28"/>
                <w:szCs w:val="28"/>
              </w:rPr>
            </w:pPr>
            <w:r>
              <w:rPr>
                <w:rFonts w:hint="eastAsia" w:ascii="宋体"/>
                <w:color w:val="000000"/>
                <w:sz w:val="28"/>
                <w:szCs w:val="28"/>
              </w:rPr>
              <w:t>工</w:t>
            </w:r>
          </w:p>
          <w:p>
            <w:pPr>
              <w:autoSpaceDN w:val="0"/>
              <w:spacing w:line="240" w:lineRule="atLeast"/>
              <w:jc w:val="center"/>
              <w:rPr>
                <w:rFonts w:ascii="宋体"/>
                <w:color w:val="000000"/>
                <w:sz w:val="28"/>
                <w:szCs w:val="28"/>
              </w:rPr>
            </w:pPr>
            <w:r>
              <w:rPr>
                <w:rFonts w:hint="eastAsia" w:ascii="宋体"/>
                <w:color w:val="000000"/>
                <w:sz w:val="28"/>
                <w:szCs w:val="28"/>
              </w:rPr>
              <w:t>程</w:t>
            </w:r>
          </w:p>
          <w:p>
            <w:pPr>
              <w:autoSpaceDN w:val="0"/>
              <w:spacing w:line="240" w:lineRule="atLeast"/>
              <w:jc w:val="center"/>
              <w:rPr>
                <w:rFonts w:ascii="宋体"/>
                <w:color w:val="000000"/>
                <w:sz w:val="28"/>
                <w:szCs w:val="28"/>
              </w:rPr>
            </w:pPr>
            <w:r>
              <w:rPr>
                <w:rFonts w:hint="eastAsia" w:ascii="宋体"/>
                <w:color w:val="000000"/>
                <w:sz w:val="28"/>
                <w:szCs w:val="28"/>
              </w:rPr>
              <w:t>部</w:t>
            </w:r>
          </w:p>
          <w:p>
            <w:pPr>
              <w:autoSpaceDN w:val="0"/>
              <w:spacing w:line="240" w:lineRule="atLeast"/>
              <w:jc w:val="center"/>
              <w:rPr>
                <w:rFonts w:ascii="宋体"/>
                <w:color w:val="000000"/>
                <w:sz w:val="28"/>
                <w:szCs w:val="28"/>
              </w:rPr>
            </w:pPr>
            <w:r>
              <w:rPr>
                <w:rFonts w:hint="eastAsia" w:ascii="宋体"/>
                <w:color w:val="000000"/>
                <w:sz w:val="28"/>
                <w:szCs w:val="28"/>
              </w:rPr>
              <w:t>位</w:t>
            </w:r>
          </w:p>
        </w:tc>
        <w:tc>
          <w:tcPr>
            <w:tcW w:w="75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规</w:t>
            </w:r>
          </w:p>
          <w:p>
            <w:pPr>
              <w:autoSpaceDN w:val="0"/>
              <w:spacing w:line="240" w:lineRule="atLeast"/>
              <w:jc w:val="center"/>
              <w:rPr>
                <w:rFonts w:ascii="宋体"/>
                <w:color w:val="000000"/>
                <w:sz w:val="28"/>
                <w:szCs w:val="28"/>
              </w:rPr>
            </w:pPr>
            <w:r>
              <w:rPr>
                <w:rFonts w:hint="eastAsia" w:ascii="宋体"/>
                <w:color w:val="000000"/>
                <w:sz w:val="28"/>
                <w:szCs w:val="28"/>
              </w:rPr>
              <w:t>范</w:t>
            </w:r>
          </w:p>
          <w:p>
            <w:pPr>
              <w:autoSpaceDN w:val="0"/>
              <w:spacing w:line="240" w:lineRule="atLeast"/>
              <w:jc w:val="center"/>
              <w:rPr>
                <w:rFonts w:ascii="宋体"/>
                <w:color w:val="000000"/>
                <w:sz w:val="28"/>
                <w:szCs w:val="28"/>
              </w:rPr>
            </w:pPr>
            <w:r>
              <w:rPr>
                <w:rFonts w:hint="eastAsia" w:ascii="宋体"/>
                <w:color w:val="000000"/>
                <w:sz w:val="28"/>
                <w:szCs w:val="28"/>
              </w:rPr>
              <w:t>要</w:t>
            </w:r>
          </w:p>
          <w:p>
            <w:pPr>
              <w:autoSpaceDN w:val="0"/>
              <w:spacing w:line="240" w:lineRule="atLeast"/>
              <w:jc w:val="center"/>
              <w:rPr>
                <w:rFonts w:ascii="宋体"/>
                <w:color w:val="000000"/>
                <w:sz w:val="28"/>
                <w:szCs w:val="28"/>
              </w:rPr>
            </w:pPr>
            <w:r>
              <w:rPr>
                <w:rFonts w:hint="eastAsia" w:ascii="宋体"/>
                <w:color w:val="000000"/>
                <w:sz w:val="28"/>
                <w:szCs w:val="28"/>
              </w:rPr>
              <w:t>求</w:t>
            </w:r>
          </w:p>
          <w:p>
            <w:pPr>
              <w:autoSpaceDN w:val="0"/>
              <w:spacing w:line="240" w:lineRule="atLeast"/>
              <w:jc w:val="center"/>
              <w:rPr>
                <w:rFonts w:ascii="宋体"/>
                <w:color w:val="000000"/>
                <w:sz w:val="28"/>
                <w:szCs w:val="28"/>
              </w:rPr>
            </w:pPr>
            <w:r>
              <w:rPr>
                <w:rFonts w:hint="eastAsia" w:ascii="宋体"/>
                <w:color w:val="000000"/>
                <w:sz w:val="28"/>
                <w:szCs w:val="28"/>
              </w:rPr>
              <w:t>及</w:t>
            </w:r>
          </w:p>
          <w:p>
            <w:pPr>
              <w:autoSpaceDN w:val="0"/>
              <w:spacing w:line="240" w:lineRule="atLeast"/>
              <w:jc w:val="center"/>
              <w:rPr>
                <w:rFonts w:ascii="宋体"/>
                <w:color w:val="000000"/>
                <w:sz w:val="28"/>
                <w:szCs w:val="28"/>
              </w:rPr>
            </w:pPr>
            <w:r>
              <w:rPr>
                <w:rFonts w:hint="eastAsia" w:ascii="宋体"/>
                <w:color w:val="000000"/>
                <w:sz w:val="28"/>
                <w:szCs w:val="28"/>
              </w:rPr>
              <w:t>自</w:t>
            </w:r>
          </w:p>
          <w:p>
            <w:pPr>
              <w:autoSpaceDN w:val="0"/>
              <w:spacing w:line="240" w:lineRule="atLeast"/>
              <w:jc w:val="center"/>
              <w:rPr>
                <w:rFonts w:ascii="宋体"/>
                <w:color w:val="000000"/>
                <w:sz w:val="28"/>
                <w:szCs w:val="28"/>
              </w:rPr>
            </w:pPr>
            <w:r>
              <w:rPr>
                <w:rFonts w:hint="eastAsia" w:ascii="宋体"/>
                <w:color w:val="000000"/>
                <w:sz w:val="28"/>
                <w:szCs w:val="28"/>
              </w:rPr>
              <w:t>检</w:t>
            </w:r>
          </w:p>
        </w:tc>
        <w:tc>
          <w:tcPr>
            <w:tcW w:w="423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规范（质量）要求</w:t>
            </w:r>
          </w:p>
        </w:tc>
        <w:tc>
          <w:tcPr>
            <w:tcW w:w="430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施工单位自检记录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6" w:hRule="atLeast"/>
          <w:jc w:val="center"/>
        </w:trPr>
        <w:tc>
          <w:tcPr>
            <w:tcW w:w="62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754"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423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tc>
        <w:tc>
          <w:tcPr>
            <w:tcW w:w="430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jc w:val="center"/>
        </w:trPr>
        <w:tc>
          <w:tcPr>
            <w:tcW w:w="62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隐</w:t>
            </w:r>
          </w:p>
          <w:p>
            <w:pPr>
              <w:autoSpaceDN w:val="0"/>
              <w:spacing w:line="240" w:lineRule="atLeast"/>
              <w:jc w:val="center"/>
              <w:rPr>
                <w:rFonts w:ascii="宋体"/>
                <w:color w:val="000000"/>
                <w:sz w:val="28"/>
                <w:szCs w:val="28"/>
              </w:rPr>
            </w:pPr>
            <w:r>
              <w:rPr>
                <w:rFonts w:hint="eastAsia" w:ascii="宋体"/>
                <w:color w:val="000000"/>
                <w:sz w:val="28"/>
                <w:szCs w:val="28"/>
              </w:rPr>
              <w:t>蔽</w:t>
            </w:r>
          </w:p>
          <w:p>
            <w:pPr>
              <w:autoSpaceDN w:val="0"/>
              <w:spacing w:line="240" w:lineRule="atLeast"/>
              <w:jc w:val="center"/>
              <w:rPr>
                <w:rFonts w:ascii="宋体"/>
                <w:color w:val="000000"/>
                <w:sz w:val="28"/>
                <w:szCs w:val="28"/>
              </w:rPr>
            </w:pPr>
            <w:r>
              <w:rPr>
                <w:rFonts w:hint="eastAsia" w:ascii="宋体"/>
                <w:color w:val="000000"/>
                <w:sz w:val="28"/>
                <w:szCs w:val="28"/>
              </w:rPr>
              <w:t>工</w:t>
            </w:r>
          </w:p>
          <w:p>
            <w:pPr>
              <w:autoSpaceDN w:val="0"/>
              <w:spacing w:line="240" w:lineRule="atLeast"/>
              <w:jc w:val="center"/>
              <w:rPr>
                <w:rFonts w:ascii="宋体"/>
                <w:color w:val="000000"/>
                <w:sz w:val="28"/>
                <w:szCs w:val="28"/>
              </w:rPr>
            </w:pPr>
            <w:r>
              <w:rPr>
                <w:rFonts w:hint="eastAsia" w:ascii="宋体"/>
                <w:color w:val="000000"/>
                <w:sz w:val="28"/>
                <w:szCs w:val="28"/>
              </w:rPr>
              <w:t>程</w:t>
            </w:r>
          </w:p>
          <w:p>
            <w:pPr>
              <w:autoSpaceDN w:val="0"/>
              <w:spacing w:line="240" w:lineRule="atLeast"/>
              <w:jc w:val="center"/>
              <w:rPr>
                <w:rFonts w:ascii="宋体"/>
                <w:color w:val="000000"/>
                <w:sz w:val="28"/>
                <w:szCs w:val="28"/>
              </w:rPr>
            </w:pPr>
            <w:r>
              <w:rPr>
                <w:rFonts w:hint="eastAsia" w:ascii="宋体"/>
                <w:color w:val="000000"/>
                <w:sz w:val="28"/>
                <w:szCs w:val="28"/>
              </w:rPr>
              <w:t>图</w:t>
            </w:r>
          </w:p>
          <w:p>
            <w:pPr>
              <w:autoSpaceDN w:val="0"/>
              <w:spacing w:line="240" w:lineRule="atLeast"/>
              <w:jc w:val="center"/>
              <w:rPr>
                <w:rFonts w:ascii="宋体"/>
                <w:color w:val="000000"/>
                <w:sz w:val="28"/>
                <w:szCs w:val="28"/>
              </w:rPr>
            </w:pPr>
            <w:r>
              <w:rPr>
                <w:rFonts w:hint="eastAsia" w:ascii="宋体"/>
                <w:color w:val="000000"/>
                <w:sz w:val="28"/>
                <w:szCs w:val="28"/>
              </w:rPr>
              <w:t>示</w:t>
            </w:r>
          </w:p>
        </w:tc>
        <w:tc>
          <w:tcPr>
            <w:tcW w:w="8539"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221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施工单位</w:t>
            </w:r>
          </w:p>
          <w:p>
            <w:pPr>
              <w:autoSpaceDN w:val="0"/>
              <w:spacing w:line="240" w:lineRule="atLeast"/>
              <w:jc w:val="center"/>
              <w:rPr>
                <w:rFonts w:ascii="宋体"/>
                <w:color w:val="000000"/>
                <w:sz w:val="28"/>
                <w:szCs w:val="28"/>
              </w:rPr>
            </w:pPr>
            <w:r>
              <w:rPr>
                <w:rFonts w:hint="eastAsia" w:ascii="宋体"/>
                <w:color w:val="000000"/>
                <w:sz w:val="28"/>
                <w:szCs w:val="28"/>
              </w:rPr>
              <w:t>自检结论</w:t>
            </w:r>
          </w:p>
        </w:tc>
        <w:tc>
          <w:tcPr>
            <w:tcW w:w="770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ind w:right="840"/>
              <w:jc w:val="right"/>
              <w:rPr>
                <w:rFonts w:ascii="宋体"/>
                <w:color w:val="000000"/>
                <w:sz w:val="28"/>
                <w:szCs w:val="28"/>
              </w:rPr>
            </w:pPr>
            <w:r>
              <w:rPr>
                <w:rFonts w:hint="eastAsia" w:ascii="宋体"/>
                <w:color w:val="000000"/>
                <w:sz w:val="28"/>
                <w:szCs w:val="28"/>
              </w:rPr>
              <w:t>施工单位项目负责人（签字盖章）：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99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建设单位验收结论</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后勤处</w:t>
            </w:r>
          </w:p>
        </w:tc>
        <w:tc>
          <w:tcPr>
            <w:tcW w:w="770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p>
          <w:p>
            <w:pPr>
              <w:autoSpaceDN w:val="0"/>
              <w:spacing w:line="240" w:lineRule="atLeast"/>
              <w:jc w:val="center"/>
              <w:rPr>
                <w:rFonts w:ascii="宋体"/>
                <w:color w:val="000000"/>
                <w:sz w:val="28"/>
                <w:szCs w:val="28"/>
              </w:rPr>
            </w:pPr>
          </w:p>
          <w:p>
            <w:pPr>
              <w:autoSpaceDN w:val="0"/>
              <w:spacing w:line="240" w:lineRule="atLeast"/>
              <w:ind w:right="140"/>
              <w:jc w:val="right"/>
              <w:rPr>
                <w:rFonts w:ascii="宋体"/>
                <w:color w:val="000000"/>
                <w:sz w:val="28"/>
                <w:szCs w:val="28"/>
              </w:rPr>
            </w:pPr>
            <w:r>
              <w:rPr>
                <w:rFonts w:hint="eastAsia" w:ascii="宋体"/>
                <w:color w:val="000000"/>
                <w:sz w:val="28"/>
                <w:szCs w:val="28"/>
              </w:rPr>
              <w:t>项目负责人（签字盖章）：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4" w:hRule="atLeast"/>
          <w:jc w:val="center"/>
        </w:trPr>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40" w:lineRule="atLeast"/>
              <w:jc w:val="center"/>
              <w:rPr>
                <w:rFonts w:ascii="宋体"/>
                <w:color w:val="000000"/>
                <w:sz w:val="28"/>
                <w:szCs w:val="28"/>
              </w:rPr>
            </w:pPr>
            <w:r>
              <w:rPr>
                <w:rFonts w:hint="eastAsia" w:ascii="宋体"/>
                <w:color w:val="000000"/>
                <w:sz w:val="28"/>
                <w:szCs w:val="28"/>
              </w:rPr>
              <w:t>审计处</w:t>
            </w:r>
          </w:p>
        </w:tc>
        <w:tc>
          <w:tcPr>
            <w:tcW w:w="770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40" w:lineRule="atLeast"/>
              <w:rPr>
                <w:rFonts w:ascii="宋体"/>
                <w:color w:val="000000"/>
                <w:sz w:val="28"/>
                <w:szCs w:val="28"/>
              </w:rPr>
            </w:pPr>
          </w:p>
          <w:p>
            <w:pPr>
              <w:autoSpaceDN w:val="0"/>
              <w:spacing w:line="240" w:lineRule="atLeast"/>
              <w:rPr>
                <w:rFonts w:ascii="宋体"/>
                <w:color w:val="000000"/>
                <w:sz w:val="28"/>
                <w:szCs w:val="28"/>
              </w:rPr>
            </w:pPr>
          </w:p>
          <w:p>
            <w:pPr>
              <w:autoSpaceDN w:val="0"/>
              <w:spacing w:line="240" w:lineRule="atLeast"/>
              <w:ind w:right="560"/>
              <w:jc w:val="center"/>
              <w:rPr>
                <w:rFonts w:ascii="宋体"/>
                <w:color w:val="000000"/>
                <w:sz w:val="28"/>
                <w:szCs w:val="28"/>
              </w:rPr>
            </w:pPr>
            <w:r>
              <w:rPr>
                <w:rFonts w:hint="eastAsia" w:ascii="宋体"/>
                <w:color w:val="000000"/>
                <w:sz w:val="28"/>
                <w:szCs w:val="28"/>
              </w:rPr>
              <w:t xml:space="preserve">    审计部门参与人：　　　　　　   年　　月　　日</w:t>
            </w:r>
          </w:p>
        </w:tc>
      </w:tr>
    </w:tbl>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11.工程完工后，由发包人组织相关人员进行验收，验收提出的整改意见需在7日内整改到位。</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12.工程竣工验收完成后28日内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水电费缴纳证明等。如延期提交，造成的一切后果（含经济损失）均由承包人自行承担。</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四、安全文明施工要求</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13.承包人按照现行国家和省、市、行业安全生产、文明施工有关规定要求和学校相关规定要求，办理相关手续，设置有关围挡、标志等。承包人必须完善自身质量安全管理体系和文明施工措施，杜绝野蛮施工和安全事故发生。承包人若发生质量或安全事故，由承包人承担一切责任，造成发包人损失的按实赔偿，并承担相应法律责任。</w:t>
      </w:r>
    </w:p>
    <w:p>
      <w:pPr>
        <w:pStyle w:val="45"/>
        <w:autoSpaceDN w:val="0"/>
        <w:spacing w:line="480" w:lineRule="exact"/>
        <w:ind w:firstLine="560" w:firstLineChars="200"/>
        <w:rPr>
          <w:rFonts w:ascii="宋体"/>
          <w:sz w:val="28"/>
          <w:szCs w:val="28"/>
        </w:rPr>
      </w:pPr>
      <w:r>
        <w:rPr>
          <w:rFonts w:hint="eastAsia" w:ascii="宋体"/>
          <w:color w:val="000000"/>
          <w:sz w:val="28"/>
          <w:szCs w:val="28"/>
        </w:rPr>
        <w:t>14.承包人（车辆、人员）应服从学校管理，保持施工场所及校园内的环境卫生，施工期间产生的建筑垃圾</w:t>
      </w:r>
      <w:r>
        <w:rPr>
          <w:rFonts w:hint="eastAsia" w:ascii="宋体"/>
          <w:sz w:val="28"/>
          <w:szCs w:val="28"/>
        </w:rPr>
        <w:t>应当日清理并装袋运至校外，运输材料和外运垃圾过程中散落在外的材料和垃圾须当日清理，对于不能及时清理的，发包人将安排物业公司人员清理，发生的费用由承包人承担。工程完工验收前承包人须做好现场保洁工作。</w:t>
      </w:r>
    </w:p>
    <w:p>
      <w:pPr>
        <w:pStyle w:val="45"/>
        <w:autoSpaceDN w:val="0"/>
        <w:spacing w:line="480" w:lineRule="exact"/>
        <w:ind w:firstLine="560" w:firstLineChars="200"/>
        <w:rPr>
          <w:rFonts w:ascii="宋体"/>
          <w:sz w:val="28"/>
          <w:szCs w:val="28"/>
        </w:rPr>
      </w:pPr>
      <w:r>
        <w:rPr>
          <w:rFonts w:hint="eastAsia" w:ascii="宋体"/>
          <w:sz w:val="28"/>
          <w:szCs w:val="28"/>
        </w:rPr>
        <w:t>15.施工期间不得影响学校的正常教学秩序，如遇施工过程与学校的教学、科研等活动出现冲突等情况，承包人必须服从学校管理。承包人</w:t>
      </w:r>
      <w:r>
        <w:rPr>
          <w:rFonts w:hint="eastAsia" w:ascii="宋体" w:cs="宋体"/>
          <w:sz w:val="28"/>
          <w:szCs w:val="28"/>
        </w:rPr>
        <w:t>不得污染或损坏校园其他设施（不得在沥青路面上拌制混凝土及砂浆，直接堆放水泥等），材料及垃圾要注意人工二次倒运，如有损坏，承包人负责按原样修复</w:t>
      </w:r>
      <w:r>
        <w:rPr>
          <w:rFonts w:hint="eastAsia" w:ascii="宋体"/>
          <w:sz w:val="28"/>
          <w:szCs w:val="28"/>
        </w:rPr>
        <w:t>或全额赔偿。</w:t>
      </w:r>
    </w:p>
    <w:p>
      <w:pPr>
        <w:pStyle w:val="45"/>
        <w:autoSpaceDN w:val="0"/>
        <w:spacing w:line="480" w:lineRule="exact"/>
        <w:ind w:firstLine="560" w:firstLineChars="200"/>
        <w:rPr>
          <w:rFonts w:ascii="宋体"/>
          <w:sz w:val="28"/>
          <w:szCs w:val="28"/>
        </w:rPr>
      </w:pPr>
      <w:r>
        <w:rPr>
          <w:rFonts w:hint="eastAsia" w:ascii="宋体"/>
          <w:sz w:val="28"/>
          <w:szCs w:val="28"/>
        </w:rPr>
        <w:t>16.工程材料、设备、构配件及已完工程在竣工验收交付前均由承包人负责看护，丢失、被盗、损坏等</w:t>
      </w:r>
    </w:p>
    <w:p>
      <w:pPr>
        <w:pStyle w:val="45"/>
        <w:autoSpaceDN w:val="0"/>
        <w:spacing w:line="480" w:lineRule="exact"/>
        <w:rPr>
          <w:rFonts w:ascii="宋体"/>
          <w:sz w:val="28"/>
          <w:szCs w:val="28"/>
        </w:rPr>
      </w:pPr>
      <w:r>
        <w:rPr>
          <w:rFonts w:hint="eastAsia" w:ascii="宋体"/>
          <w:sz w:val="28"/>
          <w:szCs w:val="28"/>
        </w:rPr>
        <w:t>责任均由承包人承担。</w:t>
      </w:r>
    </w:p>
    <w:p>
      <w:pPr>
        <w:pStyle w:val="45"/>
        <w:autoSpaceDN w:val="0"/>
        <w:spacing w:line="480" w:lineRule="exact"/>
        <w:ind w:firstLine="560" w:firstLineChars="200"/>
        <w:rPr>
          <w:rFonts w:ascii="宋体"/>
          <w:sz w:val="28"/>
          <w:szCs w:val="28"/>
        </w:rPr>
      </w:pPr>
      <w:r>
        <w:rPr>
          <w:rFonts w:ascii="宋体"/>
          <w:sz w:val="28"/>
          <w:szCs w:val="28"/>
        </w:rPr>
        <w:t>17.项目施工如影响正常教学，施工时间需调整到夜间施工。</w:t>
      </w:r>
    </w:p>
    <w:p>
      <w:pPr>
        <w:pStyle w:val="45"/>
        <w:autoSpaceDN w:val="0"/>
        <w:spacing w:line="480" w:lineRule="exact"/>
        <w:ind w:firstLine="560" w:firstLineChars="200"/>
        <w:rPr>
          <w:rFonts w:ascii="宋体"/>
          <w:sz w:val="28"/>
          <w:szCs w:val="28"/>
        </w:rPr>
      </w:pPr>
      <w:r>
        <w:rPr>
          <w:rFonts w:hint="eastAsia" w:ascii="宋体"/>
          <w:sz w:val="28"/>
          <w:szCs w:val="28"/>
        </w:rPr>
        <w:t>五、合同价款范围</w:t>
      </w:r>
    </w:p>
    <w:p>
      <w:pPr>
        <w:pStyle w:val="45"/>
        <w:autoSpaceDN w:val="0"/>
        <w:spacing w:line="480" w:lineRule="exact"/>
        <w:ind w:firstLine="560" w:firstLineChars="200"/>
        <w:rPr>
          <w:rFonts w:ascii="宋体"/>
          <w:sz w:val="28"/>
          <w:szCs w:val="28"/>
        </w:rPr>
      </w:pPr>
      <w:r>
        <w:rPr>
          <w:rFonts w:hint="eastAsia" w:ascii="宋体"/>
          <w:sz w:val="28"/>
          <w:szCs w:val="28"/>
        </w:rPr>
        <w:t>1</w:t>
      </w:r>
      <w:r>
        <w:rPr>
          <w:rFonts w:ascii="宋体"/>
          <w:sz w:val="28"/>
          <w:szCs w:val="28"/>
        </w:rPr>
        <w:t>8</w:t>
      </w:r>
      <w:r>
        <w:rPr>
          <w:rFonts w:hint="eastAsia" w:ascii="宋体"/>
          <w:sz w:val="28"/>
          <w:szCs w:val="28"/>
        </w:rPr>
        <w:t>.本工程合同价格形式为固定单价合同，合同价款范围为按施工图纸及工程量清单（含技术要求）完成施工所需的全部费用。</w:t>
      </w:r>
    </w:p>
    <w:p>
      <w:pPr>
        <w:pStyle w:val="45"/>
        <w:autoSpaceDN w:val="0"/>
        <w:spacing w:line="480" w:lineRule="exact"/>
        <w:ind w:firstLine="560" w:firstLineChars="200"/>
        <w:rPr>
          <w:rFonts w:ascii="宋体"/>
          <w:sz w:val="28"/>
          <w:szCs w:val="28"/>
        </w:rPr>
      </w:pPr>
      <w:r>
        <w:rPr>
          <w:rFonts w:hint="eastAsia" w:ascii="宋体"/>
          <w:sz w:val="28"/>
          <w:szCs w:val="28"/>
        </w:rPr>
        <w:t>1</w:t>
      </w:r>
      <w:r>
        <w:rPr>
          <w:rFonts w:ascii="宋体"/>
          <w:sz w:val="28"/>
          <w:szCs w:val="28"/>
        </w:rPr>
        <w:t>9</w:t>
      </w:r>
      <w:r>
        <w:rPr>
          <w:rFonts w:hint="eastAsia" w:ascii="宋体"/>
          <w:sz w:val="28"/>
          <w:szCs w:val="28"/>
        </w:rPr>
        <w:t>.承包人在投标时应充分考虑材料（设备）价格上涨等不确定因素，风险自行承担。在工程施工期间，若安徽省或芜湖市政府相关文件规定涉人工费或税金调整，按文件规定办理。</w:t>
      </w:r>
    </w:p>
    <w:p>
      <w:pPr>
        <w:pStyle w:val="45"/>
        <w:autoSpaceDN w:val="0"/>
        <w:spacing w:line="480" w:lineRule="exact"/>
        <w:ind w:firstLine="560" w:firstLineChars="200"/>
        <w:rPr>
          <w:rFonts w:ascii="宋体"/>
          <w:sz w:val="28"/>
          <w:szCs w:val="28"/>
        </w:rPr>
      </w:pPr>
      <w:r>
        <w:rPr>
          <w:rFonts w:ascii="宋体"/>
          <w:sz w:val="28"/>
          <w:szCs w:val="28"/>
        </w:rPr>
        <w:t>20</w:t>
      </w:r>
      <w:r>
        <w:rPr>
          <w:rFonts w:hint="eastAsia" w:ascii="宋体"/>
          <w:sz w:val="28"/>
          <w:szCs w:val="28"/>
        </w:rPr>
        <w:t>.施工用水电费：现场施工由承包人挂表计量水、电用量，所挂水表电表需要发包人确认后方可使用。电费按1.00元/度计取，水费按3.00元/吨计取（施工期间水电费如出现调整，按调整收费执行），抄表完成后，承包人将费用缴纳至发包人指定账户。未挂表计量或现场不具备挂表计量条件的，工程结算审计时按审定金额的7‰在工程造价中予以扣除。</w:t>
      </w:r>
    </w:p>
    <w:p>
      <w:pPr>
        <w:pStyle w:val="45"/>
        <w:autoSpaceDN w:val="0"/>
        <w:spacing w:line="480" w:lineRule="exact"/>
        <w:ind w:firstLine="560" w:firstLineChars="200"/>
        <w:rPr>
          <w:rFonts w:ascii="宋体"/>
          <w:sz w:val="28"/>
          <w:szCs w:val="28"/>
        </w:rPr>
      </w:pPr>
      <w:r>
        <w:rPr>
          <w:rFonts w:hint="eastAsia" w:ascii="宋体"/>
          <w:sz w:val="28"/>
          <w:szCs w:val="28"/>
        </w:rPr>
        <w:t>2</w:t>
      </w:r>
      <w:r>
        <w:rPr>
          <w:rFonts w:ascii="宋体"/>
          <w:sz w:val="28"/>
          <w:szCs w:val="28"/>
        </w:rPr>
        <w:t>1</w:t>
      </w:r>
      <w:r>
        <w:rPr>
          <w:rFonts w:hint="eastAsia" w:ascii="宋体"/>
          <w:sz w:val="28"/>
          <w:szCs w:val="28"/>
        </w:rPr>
        <w:t>.所有辅材及配件均已列入清单和措施费中，工作量及费用不另签证。</w:t>
      </w:r>
    </w:p>
    <w:p>
      <w:pPr>
        <w:pStyle w:val="45"/>
        <w:autoSpaceDN w:val="0"/>
        <w:spacing w:line="480" w:lineRule="exact"/>
        <w:ind w:firstLine="560" w:firstLineChars="200"/>
        <w:rPr>
          <w:rFonts w:ascii="宋体"/>
          <w:sz w:val="28"/>
          <w:szCs w:val="28"/>
        </w:rPr>
      </w:pPr>
      <w:r>
        <w:rPr>
          <w:rFonts w:hint="eastAsia" w:ascii="宋体"/>
          <w:sz w:val="28"/>
          <w:szCs w:val="28"/>
        </w:rPr>
        <w:t>六、变更及签证要求</w:t>
      </w:r>
    </w:p>
    <w:p>
      <w:pPr>
        <w:pStyle w:val="45"/>
        <w:autoSpaceDN w:val="0"/>
        <w:spacing w:line="480" w:lineRule="exact"/>
        <w:ind w:firstLine="560" w:firstLineChars="200"/>
        <w:rPr>
          <w:rFonts w:ascii="宋体"/>
          <w:sz w:val="28"/>
          <w:szCs w:val="28"/>
        </w:rPr>
      </w:pPr>
      <w:r>
        <w:rPr>
          <w:rFonts w:hint="eastAsia" w:ascii="宋体"/>
          <w:sz w:val="28"/>
          <w:szCs w:val="28"/>
        </w:rPr>
        <w:t>22.投标单位结合本项目特点，认真细致踏勘现场，依据施工图纸及工程量清单（含技术要求）综合报价，在投标阶段须认真仔细将设计图纸、工程量清单与现场情况进行核对，如发现工程量清单有漏量、漏项的，须在</w:t>
      </w:r>
      <w:r>
        <w:rPr>
          <w:rFonts w:ascii="宋体"/>
          <w:sz w:val="28"/>
          <w:szCs w:val="28"/>
        </w:rPr>
        <w:t>中标后14日</w:t>
      </w:r>
      <w:r>
        <w:rPr>
          <w:rFonts w:hint="eastAsia" w:ascii="宋体"/>
          <w:sz w:val="28"/>
          <w:szCs w:val="28"/>
        </w:rPr>
        <w:t>内提出，若未在上述规定时间内提出即视为中标人（即承包人）完全理解并同意该施工图纸及工程量清单（含技术要求）等，不得再提出工程量清单漏量、漏项的异议，施工时必须按照施工图纸及工程量清单（含技术要求）执行，施工完成后，必须满足验收规范要求和使用功能。</w:t>
      </w:r>
    </w:p>
    <w:p>
      <w:pPr>
        <w:pStyle w:val="45"/>
        <w:autoSpaceDN w:val="0"/>
        <w:spacing w:line="480" w:lineRule="exact"/>
        <w:ind w:firstLine="560" w:firstLineChars="200"/>
        <w:rPr>
          <w:rFonts w:ascii="宋体"/>
          <w:sz w:val="28"/>
          <w:szCs w:val="28"/>
        </w:rPr>
      </w:pPr>
      <w:r>
        <w:rPr>
          <w:rFonts w:hint="eastAsia" w:ascii="宋体"/>
          <w:sz w:val="28"/>
          <w:szCs w:val="28"/>
        </w:rPr>
        <w:t>23.本工程原则上不办理变更，确因实际需要进行的设计变更和发包人提出的变更调增调减部分，原则上参照投标文件中单价计算。投标文件中没有相同类型的子目，结算时执行</w:t>
      </w:r>
      <w:r>
        <w:rPr>
          <w:rFonts w:hint="eastAsia" w:asci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sz w:val="28"/>
          <w:szCs w:val="28"/>
        </w:rPr>
        <w:t>，相关优惠率同投标优惠率一致。投标文件中没有的主材参考芜湖市建设工程造价管理站发布的当月信息价计算，信息价中没有的材料结合市场定价。</w:t>
      </w:r>
    </w:p>
    <w:p>
      <w:pPr>
        <w:pStyle w:val="45"/>
        <w:autoSpaceDN w:val="0"/>
        <w:spacing w:line="480" w:lineRule="exact"/>
        <w:ind w:firstLine="560" w:firstLineChars="200"/>
        <w:rPr>
          <w:rFonts w:ascii="宋体"/>
          <w:sz w:val="28"/>
          <w:szCs w:val="28"/>
        </w:rPr>
      </w:pPr>
      <w:r>
        <w:rPr>
          <w:rFonts w:hint="eastAsia" w:ascii="宋体"/>
          <w:sz w:val="28"/>
          <w:szCs w:val="28"/>
        </w:rPr>
        <w:t>24.因图纸设计发生变更或调整工作内容需要增加费用的，承包人在双方确定变更后7日内向发包人提出变更工程价款材料，提交发包人签字确认。否则，视为该项变更不涉及合同价款的变更，若发生费用由承包人自行承担。发生经济签证产生的合同价款变更，其最终造价以审计部门核定为准。</w:t>
      </w:r>
    </w:p>
    <w:p>
      <w:pPr>
        <w:pStyle w:val="45"/>
        <w:autoSpaceDN w:val="0"/>
        <w:spacing w:line="480" w:lineRule="exact"/>
        <w:ind w:firstLine="560" w:firstLineChars="200"/>
        <w:rPr>
          <w:rFonts w:ascii="宋体"/>
          <w:color w:val="000000"/>
          <w:sz w:val="28"/>
          <w:szCs w:val="28"/>
        </w:rPr>
      </w:pPr>
      <w:r>
        <w:rPr>
          <w:rFonts w:hint="eastAsia" w:ascii="宋体"/>
          <w:sz w:val="28"/>
          <w:szCs w:val="28"/>
        </w:rPr>
        <w:t>25.所有工程变更必须按照皖南医学院有关管理文件办理，具体参照《皖南医学院基建维修工程管理办法（修订）》</w:t>
      </w:r>
      <w:bookmarkStart w:id="108" w:name="文号"/>
      <w:r>
        <w:rPr>
          <w:rFonts w:hint="eastAsia" w:ascii="宋体"/>
          <w:sz w:val="28"/>
          <w:szCs w:val="28"/>
        </w:rPr>
        <w:t>（校政〔2020〕118号</w:t>
      </w:r>
      <w:bookmarkEnd w:id="108"/>
      <w:r>
        <w:rPr>
          <w:rFonts w:hint="eastAsia" w:ascii="宋体"/>
          <w:sz w:val="28"/>
          <w:szCs w:val="28"/>
        </w:rPr>
        <w:t>）及《后勤管理处基建维修工程变更签证管理规定（修订）》（后勤〔2022〕002号）文件执行，变更签证必须按</w:t>
      </w:r>
      <w:r>
        <w:rPr>
          <w:rFonts w:hint="eastAsia" w:ascii="宋体"/>
          <w:color w:val="000000"/>
          <w:sz w:val="28"/>
          <w:szCs w:val="28"/>
        </w:rPr>
        <w:t>《皖南医学院基建维修工程变更签证审批表》逐级签字盖章后有效。</w:t>
      </w:r>
    </w:p>
    <w:p>
      <w:pPr>
        <w:pStyle w:val="45"/>
        <w:autoSpaceDN w:val="0"/>
        <w:spacing w:line="480" w:lineRule="exact"/>
        <w:jc w:val="center"/>
        <w:rPr>
          <w:rFonts w:ascii="方正小标宋简体" w:eastAsia="方正小标宋简体"/>
          <w:b/>
          <w:bCs/>
          <w:color w:val="000000"/>
          <w:sz w:val="28"/>
          <w:szCs w:val="28"/>
        </w:rPr>
      </w:pPr>
      <w:r>
        <w:rPr>
          <w:rFonts w:hint="eastAsia" w:ascii="方正小标宋简体" w:eastAsia="方正小标宋简体"/>
          <w:b/>
          <w:bCs/>
          <w:color w:val="000000"/>
          <w:sz w:val="28"/>
          <w:szCs w:val="28"/>
        </w:rPr>
        <w:t>皖南医学院基建维修工程变更签证审批表</w:t>
      </w:r>
    </w:p>
    <w:p>
      <w:pPr>
        <w:autoSpaceDN w:val="0"/>
        <w:adjustRightInd w:val="0"/>
        <w:snapToGrid w:val="0"/>
        <w:spacing w:line="360" w:lineRule="auto"/>
        <w:jc w:val="left"/>
        <w:rPr>
          <w:rFonts w:ascii="宋体"/>
          <w:color w:val="000000"/>
          <w:sz w:val="28"/>
          <w:szCs w:val="28"/>
        </w:rPr>
      </w:pPr>
      <w:r>
        <w:rPr>
          <w:rFonts w:hint="eastAsia" w:ascii="宋体"/>
          <w:color w:val="000000"/>
          <w:sz w:val="28"/>
          <w:szCs w:val="28"/>
        </w:rPr>
        <w:t>工程项目名称：                                                 编号：</w:t>
      </w:r>
    </w:p>
    <w:tbl>
      <w:tblPr>
        <w:tblStyle w:val="27"/>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838"/>
        <w:gridCol w:w="2976"/>
        <w:gridCol w:w="519"/>
        <w:gridCol w:w="899"/>
        <w:gridCol w:w="3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ind w:left="90" w:hanging="140" w:hangingChars="50"/>
              <w:rPr>
                <w:rFonts w:ascii="宋体"/>
                <w:color w:val="000000"/>
                <w:sz w:val="28"/>
                <w:szCs w:val="28"/>
              </w:rPr>
            </w:pPr>
            <w:r>
              <w:rPr>
                <w:rFonts w:hint="eastAsia" w:ascii="宋体"/>
                <w:color w:val="000000"/>
                <w:sz w:val="28"/>
                <w:szCs w:val="28"/>
              </w:rPr>
              <w:t>申请（使用）单    位</w:t>
            </w:r>
          </w:p>
        </w:tc>
        <w:tc>
          <w:tcPr>
            <w:tcW w:w="297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r>
              <w:rPr>
                <w:rFonts w:hint="eastAsia" w:ascii="宋体"/>
                <w:color w:val="000000"/>
                <w:sz w:val="28"/>
                <w:szCs w:val="28"/>
              </w:rPr>
              <w:t>施工单位</w:t>
            </w:r>
          </w:p>
        </w:tc>
        <w:tc>
          <w:tcPr>
            <w:tcW w:w="326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r>
              <w:rPr>
                <w:rFonts w:hint="eastAsia" w:ascii="宋体"/>
                <w:color w:val="000000"/>
                <w:sz w:val="28"/>
                <w:szCs w:val="28"/>
              </w:rPr>
              <w:t xml:space="preserve">签证类型       </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r>
              <w:rPr>
                <w:rFonts w:hint="eastAsia" w:ascii="宋体"/>
                <w:color w:val="000000"/>
                <w:sz w:val="28"/>
                <w:szCs w:val="28"/>
              </w:rPr>
              <w:t>□设计变更  □工程量清单漏量漏项  □功能需求变更  □现场变更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r>
              <w:rPr>
                <w:rFonts w:hint="eastAsia" w:ascii="宋体"/>
                <w:color w:val="000000"/>
                <w:sz w:val="28"/>
                <w:szCs w:val="28"/>
              </w:rPr>
              <w:t>变更金额</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3" w:hRule="atLeast"/>
          <w:jc w:val="center"/>
        </w:trPr>
        <w:tc>
          <w:tcPr>
            <w:tcW w:w="9214" w:type="dxa"/>
            <w:gridSpan w:val="6"/>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变更原因及内容：</w:t>
            </w:r>
          </w:p>
          <w:p>
            <w:pPr>
              <w:pStyle w:val="2"/>
              <w:autoSpaceDN w:val="0"/>
              <w:rPr>
                <w:color w:val="000000"/>
                <w:sz w:val="28"/>
                <w:szCs w:val="28"/>
              </w:rPr>
            </w:pPr>
          </w:p>
          <w:p>
            <w:pPr>
              <w:pStyle w:val="2"/>
              <w:autoSpaceDN w:val="0"/>
              <w:rPr>
                <w:color w:val="000000"/>
                <w:sz w:val="28"/>
                <w:szCs w:val="28"/>
              </w:rPr>
            </w:pPr>
          </w:p>
          <w:p>
            <w:pPr>
              <w:pStyle w:val="2"/>
              <w:autoSpaceDN w:val="0"/>
              <w:rPr>
                <w:color w:val="000000"/>
                <w:sz w:val="28"/>
                <w:szCs w:val="28"/>
              </w:rPr>
            </w:pPr>
          </w:p>
          <w:p>
            <w:pPr>
              <w:autoSpaceDN w:val="0"/>
              <w:adjustRightInd w:val="0"/>
              <w:snapToGrid w:val="0"/>
              <w:spacing w:line="360" w:lineRule="auto"/>
              <w:rPr>
                <w:rFonts w:ascii="宋体"/>
                <w:color w:val="000000"/>
                <w:sz w:val="28"/>
                <w:szCs w:val="28"/>
              </w:rPr>
            </w:pPr>
            <w:r>
              <w:rPr>
                <w:rFonts w:hint="eastAsia" w:ascii="宋体"/>
                <w:color w:val="000000"/>
                <w:sz w:val="28"/>
                <w:szCs w:val="28"/>
              </w:rPr>
              <w:t>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jc w:val="center"/>
              <w:rPr>
                <w:rFonts w:ascii="宋体"/>
                <w:color w:val="000000"/>
                <w:sz w:val="28"/>
                <w:szCs w:val="28"/>
              </w:rPr>
            </w:pPr>
            <w:r>
              <w:rPr>
                <w:rFonts w:hint="eastAsia" w:ascii="宋体"/>
                <w:color w:val="000000"/>
                <w:sz w:val="28"/>
                <w:szCs w:val="28"/>
              </w:rPr>
              <w:t>审</w:t>
            </w:r>
          </w:p>
          <w:p>
            <w:pPr>
              <w:autoSpaceDN w:val="0"/>
              <w:adjustRightInd w:val="0"/>
              <w:snapToGrid w:val="0"/>
              <w:spacing w:line="360" w:lineRule="auto"/>
              <w:jc w:val="center"/>
              <w:rPr>
                <w:rFonts w:ascii="宋体"/>
                <w:color w:val="000000"/>
                <w:sz w:val="28"/>
                <w:szCs w:val="28"/>
              </w:rPr>
            </w:pPr>
            <w:r>
              <w:rPr>
                <w:rFonts w:hint="eastAsia" w:ascii="宋体"/>
                <w:color w:val="000000"/>
                <w:sz w:val="28"/>
                <w:szCs w:val="28"/>
              </w:rPr>
              <w:t>批</w:t>
            </w:r>
          </w:p>
          <w:p>
            <w:pPr>
              <w:autoSpaceDN w:val="0"/>
              <w:adjustRightInd w:val="0"/>
              <w:snapToGrid w:val="0"/>
              <w:spacing w:line="360" w:lineRule="auto"/>
              <w:jc w:val="center"/>
              <w:rPr>
                <w:rFonts w:ascii="宋体"/>
                <w:color w:val="000000"/>
                <w:sz w:val="28"/>
                <w:szCs w:val="28"/>
              </w:rPr>
            </w:pPr>
            <w:r>
              <w:rPr>
                <w:rFonts w:hint="eastAsia" w:ascii="宋体"/>
                <w:color w:val="000000"/>
                <w:sz w:val="28"/>
                <w:szCs w:val="28"/>
              </w:rPr>
              <w:t>意</w:t>
            </w:r>
          </w:p>
          <w:p>
            <w:pPr>
              <w:autoSpaceDN w:val="0"/>
              <w:adjustRightInd w:val="0"/>
              <w:snapToGrid w:val="0"/>
              <w:spacing w:line="360" w:lineRule="auto"/>
              <w:jc w:val="center"/>
              <w:rPr>
                <w:rFonts w:ascii="宋体"/>
                <w:color w:val="000000"/>
                <w:sz w:val="28"/>
                <w:szCs w:val="28"/>
              </w:rPr>
            </w:pPr>
            <w:r>
              <w:rPr>
                <w:rFonts w:hint="eastAsia" w:ascii="宋体"/>
                <w:color w:val="000000"/>
                <w:sz w:val="28"/>
                <w:szCs w:val="28"/>
              </w:rPr>
              <w:t>见</w:t>
            </w:r>
          </w:p>
        </w:tc>
        <w:tc>
          <w:tcPr>
            <w:tcW w:w="4333" w:type="dxa"/>
            <w:gridSpan w:val="3"/>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使用（管理）部门联系人（签字）：（仅用于功能需求变更）</w:t>
            </w: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ind w:firstLine="2940" w:firstLineChars="1050"/>
              <w:rPr>
                <w:rFonts w:ascii="宋体"/>
                <w:color w:val="000000"/>
                <w:sz w:val="28"/>
                <w:szCs w:val="28"/>
              </w:rPr>
            </w:pPr>
            <w:r>
              <w:rPr>
                <w:rFonts w:hint="eastAsia" w:ascii="宋体"/>
                <w:color w:val="000000"/>
                <w:sz w:val="28"/>
                <w:szCs w:val="28"/>
              </w:rPr>
              <w:t>年   月   日</w:t>
            </w:r>
          </w:p>
        </w:tc>
        <w:tc>
          <w:tcPr>
            <w:tcW w:w="4159" w:type="dxa"/>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工程现场代表（签字）：（2千元以下）</w:t>
            </w:r>
          </w:p>
          <w:p>
            <w:pPr>
              <w:autoSpaceDN w:val="0"/>
              <w:adjustRightInd w:val="0"/>
              <w:snapToGrid w:val="0"/>
              <w:spacing w:line="360" w:lineRule="auto"/>
              <w:rPr>
                <w:rFonts w:ascii="宋体"/>
                <w:b/>
                <w:bCs/>
                <w:color w:val="000000"/>
                <w:sz w:val="28"/>
                <w:szCs w:val="28"/>
              </w:rPr>
            </w:pP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ind w:firstLine="2800" w:firstLineChars="1000"/>
              <w:rPr>
                <w:rFonts w:ascii="宋体"/>
                <w:color w:val="000000"/>
                <w:sz w:val="28"/>
                <w:szCs w:val="28"/>
              </w:rPr>
            </w:pPr>
            <w:r>
              <w:rPr>
                <w:rFonts w:hint="eastAsia" w:ascii="宋体"/>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9214"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4333" w:type="dxa"/>
            <w:gridSpan w:val="3"/>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基建科科长（签字）：（2千元~5千元）</w:t>
            </w: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ind w:firstLine="2940" w:firstLineChars="1050"/>
              <w:rPr>
                <w:rFonts w:ascii="宋体"/>
                <w:color w:val="000000"/>
                <w:sz w:val="28"/>
                <w:szCs w:val="28"/>
              </w:rPr>
            </w:pPr>
            <w:r>
              <w:rPr>
                <w:rFonts w:hint="eastAsia" w:ascii="宋体"/>
                <w:color w:val="000000"/>
                <w:sz w:val="28"/>
                <w:szCs w:val="28"/>
              </w:rPr>
              <w:t>年   月   日</w:t>
            </w:r>
          </w:p>
        </w:tc>
        <w:tc>
          <w:tcPr>
            <w:tcW w:w="4159" w:type="dxa"/>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后勤处处长（签字）：（5千元~1万元）</w:t>
            </w: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ind w:firstLine="2800" w:firstLineChars="1000"/>
              <w:rPr>
                <w:rFonts w:ascii="宋体"/>
                <w:color w:val="000000"/>
                <w:sz w:val="28"/>
                <w:szCs w:val="28"/>
              </w:rPr>
            </w:pPr>
            <w:r>
              <w:rPr>
                <w:rFonts w:hint="eastAsia" w:ascii="宋体"/>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9214"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4333" w:type="dxa"/>
            <w:gridSpan w:val="3"/>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分管校长（签字）：（1万元~5万元）</w:t>
            </w: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ind w:firstLine="2940" w:firstLineChars="1050"/>
              <w:rPr>
                <w:rFonts w:ascii="宋体"/>
                <w:color w:val="000000"/>
                <w:sz w:val="28"/>
                <w:szCs w:val="28"/>
              </w:rPr>
            </w:pPr>
            <w:r>
              <w:rPr>
                <w:rFonts w:hint="eastAsia" w:ascii="宋体"/>
                <w:color w:val="000000"/>
                <w:sz w:val="28"/>
                <w:szCs w:val="28"/>
              </w:rPr>
              <w:t>年   月   日</w:t>
            </w:r>
          </w:p>
        </w:tc>
        <w:tc>
          <w:tcPr>
            <w:tcW w:w="4159" w:type="dxa"/>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line="360" w:lineRule="auto"/>
              <w:rPr>
                <w:rFonts w:ascii="宋体"/>
                <w:color w:val="000000"/>
                <w:sz w:val="28"/>
                <w:szCs w:val="28"/>
              </w:rPr>
            </w:pPr>
            <w:r>
              <w:rPr>
                <w:rFonts w:hint="eastAsia" w:ascii="宋体"/>
                <w:color w:val="000000"/>
                <w:sz w:val="28"/>
                <w:szCs w:val="28"/>
              </w:rPr>
              <w:t>校长（签字）：（5万元~10万元）</w:t>
            </w: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rPr>
                <w:rFonts w:ascii="宋体"/>
                <w:color w:val="000000"/>
                <w:sz w:val="28"/>
                <w:szCs w:val="28"/>
              </w:rPr>
            </w:pPr>
          </w:p>
          <w:p>
            <w:pPr>
              <w:autoSpaceDN w:val="0"/>
              <w:adjustRightInd w:val="0"/>
              <w:snapToGrid w:val="0"/>
              <w:spacing w:line="360" w:lineRule="auto"/>
              <w:ind w:right="120"/>
              <w:jc w:val="right"/>
              <w:rPr>
                <w:rFonts w:ascii="宋体"/>
                <w:color w:val="000000"/>
                <w:sz w:val="28"/>
                <w:szCs w:val="28"/>
              </w:rPr>
            </w:pPr>
            <w:r>
              <w:rPr>
                <w:rFonts w:hint="eastAsia" w:ascii="宋体"/>
                <w:color w:val="000000"/>
                <w:sz w:val="28"/>
                <w:szCs w:val="28"/>
              </w:rPr>
              <w:t>年   月   日</w:t>
            </w:r>
          </w:p>
        </w:tc>
      </w:tr>
    </w:tbl>
    <w:p>
      <w:pPr>
        <w:autoSpaceDN w:val="0"/>
        <w:adjustRightInd w:val="0"/>
        <w:snapToGrid w:val="0"/>
        <w:spacing w:line="360" w:lineRule="auto"/>
        <w:jc w:val="left"/>
        <w:rPr>
          <w:rFonts w:ascii="宋体"/>
          <w:color w:val="000000"/>
          <w:sz w:val="28"/>
          <w:szCs w:val="28"/>
        </w:rPr>
      </w:pPr>
      <w:r>
        <w:rPr>
          <w:rFonts w:hint="eastAsia" w:ascii="宋体" w:cs="宋体"/>
          <w:color w:val="000000"/>
          <w:sz w:val="28"/>
          <w:szCs w:val="28"/>
        </w:rPr>
        <w:t>备注：</w:t>
      </w:r>
      <w:r>
        <w:rPr>
          <w:rFonts w:hint="eastAsia" w:ascii="宋体"/>
          <w:color w:val="000000"/>
          <w:sz w:val="28"/>
          <w:szCs w:val="28"/>
        </w:rPr>
        <w:t>大额变更报校长办公会（党委会）研究决定。</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七、合同价款支付</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26.本项目无预付款。工程竣工验收合格后支付至已完合同内工程量的70%（不含暂列金额），增加的工程量暂不支付，待审计完成后支付；结算审计完成后，承包人需将审定价3%的质保金汇入发包人指定账户，凭汇款凭证付至审定价的100%；正常使用至质保期满且无质量问题后无息退还质保金。付款前承包人需提供正规发票，且发包人审批后方可办理支付。</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八、工程审计要求</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27.承包人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28.承包人应按照学校审计处相关文件规定，积极配合做好工程结算审计工作，在规定的时间内完成审计报告签字盖章。</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29.工程结算审核时，凡审增部分及审减率超过10%（不含10%）以上部分的审计服务费由承包人承担，在审核机构审核时直接扣除。费率参照皖价服〔2007〕86号文件规定的标准执行。</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九、其他要求</w:t>
      </w:r>
    </w:p>
    <w:p>
      <w:pPr>
        <w:pStyle w:val="45"/>
        <w:autoSpaceDN w:val="0"/>
        <w:spacing w:line="480" w:lineRule="exact"/>
        <w:ind w:firstLine="560" w:firstLineChars="200"/>
        <w:rPr>
          <w:rFonts w:ascii="宋体"/>
          <w:color w:val="000000"/>
          <w:sz w:val="28"/>
          <w:szCs w:val="28"/>
        </w:rPr>
      </w:pPr>
      <w:r>
        <w:rPr>
          <w:rFonts w:hint="eastAsia" w:ascii="宋体"/>
          <w:color w:val="000000"/>
          <w:sz w:val="28"/>
          <w:szCs w:val="28"/>
        </w:rPr>
        <w:t>30.为加强学校基建维修工程现场管理工作，规范施工企业从业行为，督促施工企业落实项目经理质量安全责任，对承包人项目经理的考核按《皖南医学院基建维修工程项目经理、总监理工程师管理办法（试行）》（后勤〔2020〕11号）文件执行。</w:t>
      </w:r>
    </w:p>
    <w:p>
      <w:pPr>
        <w:pStyle w:val="45"/>
        <w:autoSpaceDN w:val="0"/>
        <w:spacing w:line="480" w:lineRule="exact"/>
        <w:ind w:firstLine="560" w:firstLineChars="200"/>
        <w:rPr>
          <w:sz w:val="28"/>
          <w:szCs w:val="28"/>
        </w:rPr>
      </w:pPr>
      <w:r>
        <w:rPr>
          <w:rFonts w:hint="eastAsia" w:ascii="宋体"/>
          <w:color w:val="000000"/>
          <w:sz w:val="28"/>
          <w:szCs w:val="28"/>
        </w:rPr>
        <w:t>31.工程质保期2年，质保期从验收合格之日起计算。工程质保期内出现质量问题，承包人需及时修复，修复完成后发包人再次进行验收，验收合格后质保期顺延一年；如承包人不能修复或修复不及时，发包人可另行安排队伍维修，发生的费用从质保金中扣除；如再次出现质量问题，处理方式同前。对于多次重复出现的问题，发包人将视修复情况通报芜湖市工程质量监督部门和公共资源交易管理中心，并将承包人记入发包人黑名单库，三年内禁止参加发包人组织的校内采购活动。</w:t>
      </w:r>
    </w:p>
    <w:p>
      <w:pPr>
        <w:pStyle w:val="45"/>
        <w:autoSpaceDN w:val="0"/>
        <w:spacing w:line="480" w:lineRule="exact"/>
        <w:ind w:firstLine="300"/>
        <w:rPr>
          <w:rFonts w:ascii="宋体"/>
          <w:color w:val="000000"/>
          <w:sz w:val="28"/>
          <w:szCs w:val="28"/>
        </w:rPr>
      </w:pPr>
      <w:r>
        <w:rPr>
          <w:rFonts w:hint="eastAsia" w:ascii="宋体"/>
          <w:color w:val="000000"/>
          <w:sz w:val="28"/>
          <w:szCs w:val="28"/>
        </w:rPr>
        <w:t>32.室外消防管道采用顶管和开挖相结合的施工方式，顶管和开挖的路径，在施工前需经校方工程管理人员进一步确认后方可施工。</w:t>
      </w:r>
    </w:p>
    <w:p>
      <w:pPr>
        <w:pStyle w:val="45"/>
        <w:autoSpaceDN w:val="0"/>
        <w:spacing w:line="480" w:lineRule="exact"/>
        <w:ind w:firstLine="300"/>
        <w:rPr>
          <w:rFonts w:ascii="宋体"/>
          <w:color w:val="000000"/>
          <w:sz w:val="28"/>
          <w:szCs w:val="28"/>
        </w:rPr>
      </w:pPr>
      <w:r>
        <w:rPr>
          <w:rFonts w:hint="eastAsia" w:ascii="宋体"/>
          <w:color w:val="000000"/>
          <w:sz w:val="28"/>
          <w:szCs w:val="28"/>
        </w:rPr>
        <w:t>33.使用的消防设备和器材要有消防产品使用合格证书，管材焊缝和焊点应平整均匀、焊接牢靠、焊接处严实美观。</w:t>
      </w:r>
    </w:p>
    <w:p>
      <w:pPr>
        <w:pStyle w:val="45"/>
        <w:autoSpaceDN w:val="0"/>
        <w:spacing w:line="480" w:lineRule="exact"/>
        <w:ind w:firstLine="300"/>
        <w:rPr>
          <w:rFonts w:ascii="宋体"/>
          <w:sz w:val="28"/>
          <w:szCs w:val="28"/>
        </w:rPr>
      </w:pPr>
      <w:r>
        <w:rPr>
          <w:rFonts w:hint="eastAsia" w:ascii="宋体"/>
          <w:sz w:val="28"/>
          <w:szCs w:val="28"/>
        </w:rPr>
        <w:t>3</w:t>
      </w:r>
      <w:r>
        <w:rPr>
          <w:rFonts w:ascii="宋体"/>
          <w:sz w:val="28"/>
          <w:szCs w:val="28"/>
        </w:rPr>
        <w:t>4</w:t>
      </w:r>
      <w:r>
        <w:rPr>
          <w:rFonts w:hint="eastAsia" w:ascii="宋体"/>
          <w:sz w:val="28"/>
          <w:szCs w:val="28"/>
        </w:rPr>
        <w:t>.所有管道设备标志要求：按CS13-004〈给水排水管道涂色规定〉。消防管主干管、水泵结合器、报警设备等都应按消防部门规定作好标示。</w:t>
      </w:r>
    </w:p>
    <w:p>
      <w:pPr>
        <w:pStyle w:val="45"/>
        <w:autoSpaceDN w:val="0"/>
        <w:spacing w:line="480" w:lineRule="exact"/>
        <w:ind w:firstLine="300"/>
        <w:rPr>
          <w:rFonts w:ascii="宋体"/>
          <w:sz w:val="28"/>
          <w:szCs w:val="28"/>
        </w:rPr>
      </w:pPr>
      <w:r>
        <w:rPr>
          <w:rFonts w:hint="eastAsia" w:ascii="宋体"/>
          <w:sz w:val="28"/>
          <w:szCs w:val="28"/>
        </w:rPr>
        <w:t>3</w:t>
      </w:r>
      <w:r>
        <w:rPr>
          <w:rFonts w:ascii="宋体"/>
          <w:sz w:val="28"/>
          <w:szCs w:val="28"/>
        </w:rPr>
        <w:t>5</w:t>
      </w:r>
      <w:r>
        <w:rPr>
          <w:rFonts w:hint="eastAsia" w:ascii="宋体"/>
          <w:sz w:val="28"/>
          <w:szCs w:val="28"/>
        </w:rPr>
        <w:t>.售后服务响应时间1小时到达现场。</w:t>
      </w:r>
    </w:p>
    <w:p>
      <w:pPr>
        <w:pStyle w:val="45"/>
        <w:autoSpaceDN w:val="0"/>
        <w:spacing w:line="480" w:lineRule="exact"/>
        <w:ind w:firstLine="300"/>
        <w:rPr>
          <w:rFonts w:ascii="宋体"/>
          <w:sz w:val="28"/>
          <w:szCs w:val="28"/>
        </w:rPr>
      </w:pPr>
      <w:r>
        <w:rPr>
          <w:rFonts w:hint="eastAsia" w:ascii="宋体"/>
          <w:sz w:val="28"/>
          <w:szCs w:val="28"/>
        </w:rPr>
        <w:t>3</w:t>
      </w:r>
      <w:r>
        <w:rPr>
          <w:rFonts w:ascii="宋体"/>
          <w:sz w:val="28"/>
          <w:szCs w:val="28"/>
        </w:rPr>
        <w:t>6</w:t>
      </w:r>
      <w:r>
        <w:rPr>
          <w:rFonts w:hint="eastAsia" w:ascii="宋体"/>
          <w:sz w:val="28"/>
          <w:szCs w:val="28"/>
        </w:rPr>
        <w:t>.本项目施工过程中，投标供应商应对现有消防设施、设备进行保护，新增设施、设备须实现与原有设施、设备连接后的调试、联动并确保运行正常，响应文件中须提供承诺函（承诺函格式自拟），不提供将视为无效响应。</w:t>
      </w:r>
    </w:p>
    <w:p>
      <w:pPr>
        <w:pStyle w:val="45"/>
        <w:autoSpaceDN w:val="0"/>
        <w:spacing w:line="480" w:lineRule="exact"/>
        <w:ind w:firstLine="300"/>
        <w:rPr>
          <w:rFonts w:ascii="宋体"/>
          <w:sz w:val="28"/>
          <w:szCs w:val="28"/>
        </w:rPr>
      </w:pPr>
      <w:r>
        <w:rPr>
          <w:rFonts w:hint="eastAsia" w:ascii="宋体"/>
          <w:sz w:val="28"/>
          <w:szCs w:val="28"/>
        </w:rPr>
        <w:t>3</w:t>
      </w:r>
      <w:r>
        <w:rPr>
          <w:rFonts w:ascii="宋体"/>
          <w:sz w:val="28"/>
          <w:szCs w:val="28"/>
        </w:rPr>
        <w:t>7</w:t>
      </w:r>
      <w:r>
        <w:rPr>
          <w:rFonts w:hint="eastAsia" w:ascii="仿宋" w:eastAsia="仿宋"/>
          <w:sz w:val="28"/>
          <w:szCs w:val="28"/>
        </w:rPr>
        <w:t>.</w:t>
      </w:r>
      <w:r>
        <w:rPr>
          <w:rFonts w:hint="eastAsia" w:ascii="宋体"/>
          <w:sz w:val="28"/>
          <w:szCs w:val="28"/>
        </w:rPr>
        <w:t>由于本项目开挖施工范围，地下管线情况较复杂（如：电缆井、污水井、雨水井、树根等）。投标供应商应自行踏勘现场，认真对照图纸说明，详细了解施工环境条件等要求，作出合理报价，因校园疫情防控要求，校外人员、车辆进校须履行报备手续，投标供应商出入校园联系人：卢老师，联系电话：13805535350。</w:t>
      </w:r>
    </w:p>
    <w:p>
      <w:pPr>
        <w:pStyle w:val="45"/>
        <w:autoSpaceDN w:val="0"/>
        <w:spacing w:line="480" w:lineRule="exact"/>
        <w:ind w:firstLine="300"/>
        <w:rPr>
          <w:rFonts w:ascii="宋体"/>
          <w:color w:val="000000"/>
          <w:sz w:val="28"/>
          <w:szCs w:val="28"/>
          <w:highlight w:val="yellow"/>
        </w:rPr>
      </w:pPr>
      <w:r>
        <w:rPr>
          <w:rFonts w:ascii="宋体"/>
          <w:sz w:val="28"/>
          <w:szCs w:val="28"/>
        </w:rPr>
        <w:t>38</w:t>
      </w:r>
      <w:r>
        <w:rPr>
          <w:rFonts w:hint="eastAsia" w:ascii="宋体"/>
          <w:sz w:val="28"/>
          <w:szCs w:val="28"/>
        </w:rPr>
        <w:t>.投标供应商承诺施工验收合格后，须积极配合学校完成办理房屋产权所必须的消防验收，并对本招标项目包含的全部施工内容负有立即整改、达到消防验收标准的责任。响应文件中须提供承诺函（承诺函格式附后）。</w:t>
      </w:r>
    </w:p>
    <w:p>
      <w:pPr>
        <w:spacing w:line="360" w:lineRule="auto"/>
        <w:ind w:left="0" w:firstLine="141" w:firstLineChars="50"/>
        <w:rPr>
          <w:rFonts w:ascii="仿宋" w:eastAsia="仿宋" w:cs="宋体"/>
          <w:b/>
          <w:sz w:val="28"/>
          <w:szCs w:val="28"/>
        </w:rPr>
      </w:pPr>
      <w:r>
        <w:rPr>
          <w:rFonts w:ascii="仿宋" w:eastAsia="仿宋" w:cs="宋体"/>
          <w:b/>
          <w:sz w:val="28"/>
          <w:szCs w:val="28"/>
        </w:rPr>
        <w:t>十</w:t>
      </w:r>
      <w:r>
        <w:rPr>
          <w:rFonts w:hint="eastAsia" w:ascii="仿宋" w:eastAsia="仿宋" w:cs="宋体"/>
          <w:b/>
          <w:sz w:val="28"/>
          <w:szCs w:val="28"/>
        </w:rPr>
        <w:t>、合同订立</w:t>
      </w:r>
    </w:p>
    <w:p>
      <w:pPr>
        <w:adjustRightInd w:val="0"/>
        <w:snapToGrid w:val="0"/>
        <w:spacing w:line="384" w:lineRule="auto"/>
        <w:ind w:left="0" w:firstLine="420" w:firstLineChars="150"/>
        <w:rPr>
          <w:rFonts w:ascii="宋体"/>
          <w:color w:val="000000"/>
          <w:sz w:val="28"/>
          <w:szCs w:val="28"/>
        </w:rPr>
      </w:pPr>
      <w:r>
        <w:rPr>
          <w:sz w:val="28"/>
          <w:szCs w:val="28"/>
        </w:rPr>
        <w:t>39</w:t>
      </w:r>
      <w:r>
        <w:rPr>
          <w:rFonts w:ascii="宋体"/>
          <w:color w:val="000000"/>
          <w:sz w:val="28"/>
          <w:szCs w:val="28"/>
        </w:rPr>
        <w:t>.签约合同价为：</w:t>
      </w:r>
    </w:p>
    <w:p>
      <w:pPr>
        <w:adjustRightInd w:val="0"/>
        <w:snapToGrid w:val="0"/>
        <w:spacing w:line="384" w:lineRule="auto"/>
        <w:ind w:firstLine="700" w:firstLineChars="250"/>
        <w:rPr>
          <w:rFonts w:ascii="宋体"/>
          <w:color w:val="000000"/>
          <w:sz w:val="28"/>
          <w:szCs w:val="28"/>
          <w:u w:val="single"/>
        </w:rPr>
      </w:pPr>
      <w:r>
        <w:rPr>
          <w:rFonts w:ascii="宋体"/>
          <w:color w:val="000000"/>
          <w:sz w:val="28"/>
          <w:szCs w:val="28"/>
          <w:u w:val="single"/>
        </w:rPr>
        <w:t>人民币（大写）XXXXXXXXXXXXXXXXXX(元)；</w:t>
      </w:r>
    </w:p>
    <w:p>
      <w:pPr>
        <w:adjustRightInd w:val="0"/>
        <w:snapToGrid w:val="0"/>
        <w:spacing w:line="384" w:lineRule="auto"/>
        <w:ind w:firstLine="700" w:firstLineChars="250"/>
        <w:rPr>
          <w:rFonts w:ascii="宋体"/>
          <w:color w:val="000000"/>
          <w:sz w:val="28"/>
          <w:szCs w:val="28"/>
          <w:u w:val="single"/>
        </w:rPr>
      </w:pPr>
      <w:r>
        <w:rPr>
          <w:rFonts w:ascii="宋体"/>
          <w:color w:val="000000"/>
          <w:sz w:val="28"/>
          <w:szCs w:val="28"/>
          <w:u w:val="single"/>
        </w:rPr>
        <w:t>其中暂列金：XXXXXXXXXXX(元)</w:t>
      </w:r>
    </w:p>
    <w:p>
      <w:pPr>
        <w:spacing w:line="360" w:lineRule="auto"/>
        <w:ind w:left="0" w:firstLine="420" w:firstLineChars="150"/>
        <w:rPr>
          <w:rFonts w:hint="eastAsia" w:ascii="宋体" w:cs="宋体"/>
          <w:sz w:val="28"/>
          <w:szCs w:val="28"/>
        </w:rPr>
      </w:pPr>
      <w:r>
        <w:rPr>
          <w:rFonts w:ascii="宋体" w:cs="宋体"/>
          <w:sz w:val="28"/>
          <w:szCs w:val="28"/>
        </w:rPr>
        <w:t>40</w:t>
      </w:r>
      <w:r>
        <w:rPr>
          <w:rFonts w:hint="eastAsia" w:ascii="宋体" w:cs="宋体"/>
          <w:sz w:val="28"/>
          <w:szCs w:val="28"/>
        </w:rPr>
        <w:t>.合同订立时间：</w:t>
      </w:r>
      <w:r>
        <w:rPr>
          <w:rFonts w:hint="eastAsia" w:ascii="宋体" w:cs="宋体"/>
          <w:sz w:val="28"/>
          <w:szCs w:val="28"/>
          <w:u w:val="single"/>
        </w:rPr>
        <w:t xml:space="preserve">      </w:t>
      </w:r>
      <w:r>
        <w:rPr>
          <w:rFonts w:hint="eastAsia" w:ascii="宋体" w:cs="宋体"/>
          <w:sz w:val="28"/>
          <w:szCs w:val="28"/>
        </w:rPr>
        <w:t>年</w:t>
      </w:r>
      <w:r>
        <w:rPr>
          <w:rFonts w:hint="eastAsia" w:ascii="宋体" w:cs="宋体"/>
          <w:sz w:val="28"/>
          <w:szCs w:val="28"/>
          <w:u w:val="single"/>
        </w:rPr>
        <w:t xml:space="preserve">    </w:t>
      </w:r>
      <w:r>
        <w:rPr>
          <w:rFonts w:hint="eastAsia" w:ascii="宋体" w:cs="宋体"/>
          <w:sz w:val="28"/>
          <w:szCs w:val="28"/>
        </w:rPr>
        <w:t>月</w:t>
      </w:r>
      <w:r>
        <w:rPr>
          <w:rFonts w:hint="eastAsia" w:ascii="宋体" w:cs="宋体"/>
          <w:sz w:val="28"/>
          <w:szCs w:val="28"/>
          <w:u w:val="single"/>
        </w:rPr>
        <w:t xml:space="preserve">    </w:t>
      </w:r>
      <w:r>
        <w:rPr>
          <w:rFonts w:hint="eastAsia" w:ascii="宋体" w:cs="宋体"/>
          <w:sz w:val="28"/>
          <w:szCs w:val="28"/>
        </w:rPr>
        <w:t>日</w:t>
      </w:r>
    </w:p>
    <w:p>
      <w:pPr>
        <w:spacing w:line="360" w:lineRule="auto"/>
        <w:ind w:left="0" w:firstLine="420" w:firstLineChars="150"/>
        <w:rPr>
          <w:rFonts w:hint="eastAsia" w:ascii="宋体" w:cs="宋体"/>
          <w:sz w:val="28"/>
          <w:szCs w:val="28"/>
        </w:rPr>
      </w:pPr>
      <w:r>
        <w:rPr>
          <w:rFonts w:hint="eastAsia" w:ascii="宋体" w:cs="宋体"/>
          <w:sz w:val="28"/>
          <w:szCs w:val="28"/>
        </w:rPr>
        <w:t>4</w:t>
      </w:r>
      <w:r>
        <w:rPr>
          <w:rFonts w:ascii="宋体" w:cs="宋体"/>
          <w:sz w:val="28"/>
          <w:szCs w:val="28"/>
        </w:rPr>
        <w:t>1</w:t>
      </w:r>
      <w:r>
        <w:rPr>
          <w:rFonts w:hint="eastAsia" w:ascii="宋体" w:cs="宋体"/>
          <w:sz w:val="28"/>
          <w:szCs w:val="28"/>
        </w:rPr>
        <w:t>.合同订立地点：皖南医学院滨江校区</w:t>
      </w: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hint="eastAsia" w:ascii="宋体" w:cs="宋体"/>
                <w:spacing w:val="-6"/>
                <w:sz w:val="28"/>
                <w:szCs w:val="28"/>
              </w:rPr>
            </w:pPr>
            <w:r>
              <w:rPr>
                <w:rFonts w:hint="eastAsia" w:ascii="宋体" w:cs="宋体"/>
                <w:sz w:val="28"/>
                <w:szCs w:val="28"/>
              </w:rPr>
              <w:br w:type="page"/>
            </w:r>
            <w:r>
              <w:rPr>
                <w:rFonts w:hint="eastAsia" w:ascii="宋体" w:cs="宋体"/>
                <w:spacing w:val="-6"/>
                <w:sz w:val="28"/>
                <w:szCs w:val="28"/>
              </w:rPr>
              <w:t>甲方：</w:t>
            </w:r>
          </w:p>
          <w:p>
            <w:pPr>
              <w:spacing w:line="360" w:lineRule="auto"/>
              <w:rPr>
                <w:rFonts w:hint="eastAsia" w:ascii="宋体" w:cs="宋体"/>
                <w:spacing w:val="-6"/>
                <w:sz w:val="28"/>
                <w:szCs w:val="28"/>
              </w:rPr>
            </w:pPr>
            <w:r>
              <w:rPr>
                <w:rFonts w:hint="eastAsia" w:ascii="宋体" w:cs="宋体"/>
                <w:spacing w:val="-6"/>
                <w:sz w:val="28"/>
                <w:szCs w:val="28"/>
              </w:rPr>
              <w:t>（公章）</w:t>
            </w:r>
          </w:p>
          <w:p>
            <w:pPr>
              <w:spacing w:line="360" w:lineRule="auto"/>
              <w:rPr>
                <w:rFonts w:hint="eastAsia" w:ascii="宋体" w:cs="宋体"/>
                <w:spacing w:val="-6"/>
                <w:sz w:val="28"/>
                <w:szCs w:val="28"/>
              </w:rPr>
            </w:pPr>
          </w:p>
          <w:p>
            <w:pPr>
              <w:spacing w:line="360" w:lineRule="auto"/>
              <w:rPr>
                <w:rFonts w:hint="eastAsia" w:ascii="宋体" w:cs="宋体"/>
                <w:spacing w:val="-6"/>
                <w:sz w:val="28"/>
                <w:szCs w:val="28"/>
              </w:rPr>
            </w:pP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乙方：</w:t>
            </w:r>
          </w:p>
          <w:p>
            <w:pPr>
              <w:spacing w:line="360" w:lineRule="auto"/>
              <w:rPr>
                <w:rFonts w:hint="eastAsia" w:ascii="宋体" w:cs="宋体"/>
                <w:spacing w:val="-6"/>
                <w:sz w:val="28"/>
                <w:szCs w:val="28"/>
              </w:rPr>
            </w:pPr>
            <w:r>
              <w:rPr>
                <w:rFonts w:hint="eastAsia" w:ascii="宋体" w:cs="宋体"/>
                <w:spacing w:val="-6"/>
                <w:sz w:val="28"/>
                <w:szCs w:val="28"/>
              </w:rPr>
              <w:t>（公章）</w:t>
            </w:r>
          </w:p>
          <w:p>
            <w:pPr>
              <w:spacing w:line="360" w:lineRule="auto"/>
              <w:rPr>
                <w:rFonts w:hint="eastAsia" w:ascii="宋体" w:cs="宋体"/>
                <w:spacing w:val="-6"/>
                <w:sz w:val="28"/>
                <w:szCs w:val="28"/>
              </w:rPr>
            </w:pPr>
          </w:p>
          <w:p>
            <w:pPr>
              <w:spacing w:line="360" w:lineRule="auto"/>
              <w:rPr>
                <w:rFonts w:hint="eastAsia" w:asci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法定代表人或其委托代理人：</w:t>
            </w:r>
          </w:p>
          <w:p>
            <w:pPr>
              <w:spacing w:line="360" w:lineRule="auto"/>
              <w:rPr>
                <w:rFonts w:hint="eastAsia" w:ascii="宋体" w:cs="宋体"/>
                <w:spacing w:val="-6"/>
                <w:sz w:val="28"/>
                <w:szCs w:val="28"/>
              </w:rPr>
            </w:pPr>
            <w:r>
              <w:rPr>
                <w:rFonts w:hint="eastAsia" w:ascii="宋体" w:cs="宋体"/>
                <w:spacing w:val="-6"/>
                <w:sz w:val="28"/>
                <w:szCs w:val="28"/>
              </w:rPr>
              <w:t>（签字）</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法定代表人或其委托代理人：</w:t>
            </w:r>
          </w:p>
          <w:p>
            <w:pPr>
              <w:spacing w:line="360" w:lineRule="auto"/>
              <w:rPr>
                <w:rFonts w:hint="eastAsia" w:ascii="宋体" w:cs="宋体"/>
                <w:spacing w:val="-6"/>
                <w:sz w:val="28"/>
                <w:szCs w:val="28"/>
              </w:rPr>
            </w:pPr>
            <w:r>
              <w:rPr>
                <w:rFonts w:hint="eastAsia" w:ascii="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地址：芜湖市弋江区文昌西路22号</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邮编：241002</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电话：</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电话：</w:t>
            </w:r>
            <w:r>
              <w:rPr>
                <w:rFonts w:hint="eastAsia" w:ascii="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传真：/</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开户银行：中国建设银行芜湖市分行中山路支行</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hint="eastAsia" w:ascii="宋体" w:cs="宋体"/>
                <w:spacing w:val="-6"/>
                <w:sz w:val="28"/>
                <w:szCs w:val="28"/>
              </w:rPr>
            </w:pPr>
            <w:r>
              <w:rPr>
                <w:rFonts w:hint="eastAsia" w:ascii="宋体" w:cs="宋体"/>
                <w:spacing w:val="-6"/>
                <w:sz w:val="28"/>
                <w:szCs w:val="28"/>
              </w:rPr>
              <w:t>帐号：34001672208050139762</w:t>
            </w:r>
          </w:p>
        </w:tc>
        <w:tc>
          <w:tcPr>
            <w:tcW w:w="4680" w:type="dxa"/>
            <w:vAlign w:val="center"/>
          </w:tcPr>
          <w:p>
            <w:pPr>
              <w:spacing w:line="360" w:lineRule="auto"/>
              <w:rPr>
                <w:rFonts w:hint="eastAsia" w:ascii="宋体" w:cs="宋体"/>
                <w:spacing w:val="-6"/>
                <w:sz w:val="28"/>
                <w:szCs w:val="28"/>
              </w:rPr>
            </w:pPr>
            <w:r>
              <w:rPr>
                <w:rFonts w:hint="eastAsia" w:ascii="宋体" w:cs="宋体"/>
                <w:spacing w:val="-6"/>
                <w:sz w:val="28"/>
                <w:szCs w:val="28"/>
              </w:rPr>
              <w:t>帐号：</w:t>
            </w:r>
          </w:p>
        </w:tc>
      </w:tr>
    </w:tbl>
    <w:p>
      <w:pPr>
        <w:spacing w:line="360" w:lineRule="auto"/>
        <w:rPr>
          <w:rFonts w:hint="eastAsia" w:ascii="宋体" w:cs="Times New Roman"/>
          <w:sz w:val="28"/>
          <w:szCs w:val="28"/>
        </w:rPr>
      </w:pPr>
    </w:p>
    <w:p/>
    <w:p>
      <w:pPr>
        <w:rPr>
          <w:rFonts w:hint="eastAsia"/>
        </w:rPr>
      </w:pPr>
      <w:r>
        <w:rPr>
          <w:rFonts w:hint="eastAsia" w:ascii="华文中宋" w:hAnsi="华文中宋" w:eastAsia="华文中宋"/>
          <w:bCs/>
          <w:color w:val="auto"/>
          <w:highlight w:val="none"/>
        </w:rPr>
        <w:br w:type="page"/>
      </w:r>
    </w:p>
    <w:p>
      <w:pPr>
        <w:pStyle w:val="2"/>
        <w:rPr>
          <w:rFonts w:hint="eastAsia" w:ascii="华文中宋" w:hAnsi="华文中宋" w:eastAsia="华文中宋"/>
          <w:bCs/>
          <w:color w:val="auto"/>
          <w:highlight w:val="none"/>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9" w:name="_Toc49763003"/>
      <w:r>
        <w:rPr>
          <w:rFonts w:hint="eastAsia" w:ascii="华文中宋" w:hAnsi="华文中宋" w:eastAsia="华文中宋"/>
          <w:bCs w:val="0"/>
          <w:color w:val="auto"/>
        </w:rPr>
        <w:t xml:space="preserve"> 项目需求</w:t>
      </w:r>
      <w:bookmarkEnd w:id="109"/>
    </w:p>
    <w:p>
      <w:pPr>
        <w:rPr>
          <w:rFonts w:hint="eastAsia"/>
        </w:rPr>
      </w:pPr>
      <w:bookmarkStart w:id="110" w:name="_Toc49763004"/>
    </w:p>
    <w:p>
      <w:pPr>
        <w:rPr>
          <w:rFonts w:hint="eastAsia"/>
        </w:rPr>
      </w:pPr>
      <w:r>
        <w:rPr>
          <w:rFonts w:hint="eastAsia"/>
          <w:lang w:val="en-US" w:eastAsia="zh-CN"/>
        </w:rPr>
        <w:t>1</w:t>
      </w:r>
      <w:r>
        <w:rPr>
          <w:rFonts w:hint="eastAsia"/>
        </w:rPr>
        <w:t>、室外消防管道采用开挖施工方式，开挖的路径在施工前，需经校方工程管理人员进一步确认后方可施工。</w:t>
      </w:r>
    </w:p>
    <w:p>
      <w:pPr>
        <w:rPr>
          <w:rFonts w:hint="eastAsia"/>
        </w:rPr>
      </w:pPr>
    </w:p>
    <w:p>
      <w:pPr>
        <w:rPr>
          <w:rFonts w:hint="eastAsia"/>
        </w:rPr>
      </w:pPr>
      <w:r>
        <w:rPr>
          <w:rFonts w:hint="eastAsia"/>
          <w:lang w:val="en-US" w:eastAsia="zh-CN"/>
        </w:rPr>
        <w:t>2</w:t>
      </w:r>
      <w:r>
        <w:rPr>
          <w:rFonts w:hint="eastAsia"/>
        </w:rPr>
        <w:t>、使用的消防设备和器材要有消防产品使用合格证书，管材焊缝和点应均匀、焊接牢靠、焊接处严实美观。</w:t>
      </w:r>
    </w:p>
    <w:p>
      <w:pPr>
        <w:rPr>
          <w:rFonts w:hint="eastAsia"/>
        </w:rPr>
      </w:pPr>
    </w:p>
    <w:p>
      <w:pPr>
        <w:rPr>
          <w:rFonts w:hint="eastAsia"/>
        </w:rPr>
      </w:pPr>
      <w:r>
        <w:rPr>
          <w:rFonts w:hint="eastAsia"/>
          <w:lang w:val="en-US" w:eastAsia="zh-CN"/>
        </w:rPr>
        <w:t>3</w:t>
      </w:r>
      <w:r>
        <w:rPr>
          <w:rFonts w:hint="eastAsia"/>
        </w:rPr>
        <w:t xml:space="preserve">、项目施工如果影响到正常教学，施工时间需要调整到夜间实施，此条如不同意，请勿投标。  </w:t>
      </w:r>
    </w:p>
    <w:p>
      <w:pPr>
        <w:rPr>
          <w:rFonts w:hint="eastAsia"/>
        </w:rPr>
      </w:pPr>
    </w:p>
    <w:p>
      <w:pPr>
        <w:rPr>
          <w:rFonts w:hint="eastAsia"/>
        </w:rPr>
      </w:pPr>
      <w:r>
        <w:rPr>
          <w:rFonts w:hint="eastAsia"/>
          <w:lang w:val="en-US" w:eastAsia="zh-CN"/>
        </w:rPr>
        <w:t>4</w:t>
      </w:r>
      <w:r>
        <w:rPr>
          <w:rFonts w:hint="eastAsia"/>
        </w:rPr>
        <w:t>、因施工现场较为复杂特别是室外（如：开挖现场的电缆井、污水井、雨水井、树根等）。投标供应商应自行踏勘现场，认真详细了解施工环境条件等要求。</w:t>
      </w:r>
    </w:p>
    <w:p>
      <w:pPr>
        <w:rPr>
          <w:rFonts w:hint="eastAsia"/>
        </w:rPr>
      </w:pPr>
    </w:p>
    <w:p>
      <w:pPr>
        <w:rPr>
          <w:rFonts w:hint="eastAsia"/>
        </w:rPr>
      </w:pPr>
      <w:r>
        <w:rPr>
          <w:rFonts w:hint="eastAsia"/>
          <w:lang w:val="en-US" w:eastAsia="zh-CN"/>
        </w:rPr>
        <w:t>5</w:t>
      </w:r>
      <w:r>
        <w:rPr>
          <w:rFonts w:hint="eastAsia"/>
        </w:rPr>
        <w:t>、所有管道设备标志要求：按CS13-004〈给水排水管道涂色规定〉，消防管主干管、水泵结合器、报警设备等都应按消防部门规定作好标示。</w:t>
      </w:r>
    </w:p>
    <w:p>
      <w:pPr>
        <w:rPr>
          <w:rFonts w:hint="eastAsia"/>
        </w:rPr>
      </w:pPr>
    </w:p>
    <w:p>
      <w:pPr>
        <w:rPr>
          <w:rFonts w:hint="eastAsia"/>
        </w:rPr>
      </w:pPr>
      <w:r>
        <w:rPr>
          <w:rFonts w:hint="eastAsia"/>
          <w:lang w:val="en-US" w:eastAsia="zh-CN"/>
        </w:rPr>
        <w:t>6</w:t>
      </w:r>
      <w:r>
        <w:rPr>
          <w:rFonts w:hint="eastAsia"/>
        </w:rPr>
        <w:t>、消防按钮需和现有的消防联动控制柜为同一品牌，品牌为“高新三江”。</w:t>
      </w:r>
    </w:p>
    <w:p>
      <w:pPr>
        <w:rPr>
          <w:rFonts w:hint="eastAsia"/>
        </w:rPr>
      </w:pPr>
    </w:p>
    <w:p>
      <w:pPr>
        <w:rPr>
          <w:rFonts w:hint="eastAsia"/>
        </w:rPr>
      </w:pPr>
      <w:r>
        <w:rPr>
          <w:rFonts w:hint="eastAsia"/>
          <w:lang w:val="en-US" w:eastAsia="zh-CN"/>
        </w:rPr>
        <w:t>7</w:t>
      </w:r>
      <w:r>
        <w:rPr>
          <w:rFonts w:hint="eastAsia"/>
        </w:rPr>
        <w:t>、售后服务响应时间1小时内到达现场。</w:t>
      </w:r>
    </w:p>
    <w:p>
      <w:r>
        <w:rPr>
          <w:rFonts w:hint="eastAsia"/>
        </w:rPr>
        <w:t xml:space="preserve"> </w:t>
      </w:r>
    </w:p>
    <w:p>
      <w:pPr>
        <w:pStyle w:val="6"/>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0"/>
    </w:p>
    <w:p>
      <w:pPr>
        <w:widowControl/>
        <w:shd w:val="clear" w:color="auto" w:fill="FFFFFF"/>
        <w:snapToGrid w:val="0"/>
        <w:spacing w:line="360" w:lineRule="auto"/>
        <w:ind w:firstLine="482"/>
        <w:rPr>
          <w:rFonts w:ascii="宋体" w:hAnsi="宋体" w:cs="Calibri"/>
          <w:color w:val="333333"/>
          <w:kern w:val="0"/>
          <w:szCs w:val="21"/>
        </w:rPr>
      </w:pPr>
      <w:bookmarkStart w:id="111" w:name="_Toc49763005"/>
      <w:r>
        <w:rPr>
          <w:rFonts w:hint="eastAsia" w:ascii="宋体" w:hAnsi="宋体" w:cs="Calibri"/>
          <w:b/>
          <w:bCs/>
          <w:color w:val="000000"/>
          <w:kern w:val="0"/>
          <w:szCs w:val="21"/>
          <w:shd w:val="clear" w:color="auto" w:fill="FFFFFF"/>
        </w:rPr>
        <w:t xml:space="preserve">1.评审原则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1.1合法、合规原则。</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1.</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公平、公正、科学、审慎、择优原则。</w:t>
      </w:r>
    </w:p>
    <w:p>
      <w:pPr>
        <w:widowControl/>
        <w:adjustRightInd w:val="0"/>
        <w:snapToGrid w:val="0"/>
        <w:spacing w:line="360" w:lineRule="auto"/>
        <w:ind w:firstLine="560" w:firstLineChars="200"/>
        <w:rPr>
          <w:rFonts w:ascii="宋体" w:hAnsi="宋体" w:cs="Calibri"/>
          <w:color w:val="333333"/>
          <w:kern w:val="0"/>
          <w:szCs w:val="21"/>
        </w:rPr>
      </w:pPr>
      <w:r>
        <w:rPr>
          <w:rFonts w:hint="eastAsia" w:ascii="宋体" w:hAnsi="宋体" w:cs="Calibri"/>
          <w:color w:val="000000"/>
          <w:kern w:val="0"/>
          <w:szCs w:val="21"/>
          <w:shd w:val="clear" w:color="auto" w:fill="FFFFFF"/>
        </w:rPr>
        <w:t>1.</w:t>
      </w:r>
      <w:r>
        <w:rPr>
          <w:rFonts w:hint="eastAsia" w:ascii="宋体" w:hAnsi="宋体" w:cs="Calibri"/>
          <w:color w:val="000000"/>
          <w:kern w:val="0"/>
          <w:szCs w:val="21"/>
          <w:shd w:val="clear" w:color="auto" w:fill="FFFFFF"/>
          <w:lang w:val="en-US" w:eastAsia="zh-CN"/>
        </w:rPr>
        <w:t>3</w:t>
      </w:r>
      <w:r>
        <w:rPr>
          <w:rFonts w:hint="eastAsia" w:ascii="宋体" w:hAnsi="宋体" w:cs="Calibri"/>
          <w:color w:val="000000"/>
          <w:kern w:val="0"/>
          <w:szCs w:val="21"/>
          <w:shd w:val="clear" w:color="auto" w:fill="FFFFFF"/>
        </w:rPr>
        <w:t>高分优先原则。衡量投标文件满足招标文件规定各项评审标准的程度，折算为综合得分分值，依据每个投标人的综合得分由高到低，依次确定排名顺序</w:t>
      </w:r>
      <w:r>
        <w:rPr>
          <w:rFonts w:hint="eastAsia" w:ascii="宋体" w:hAnsi="宋体" w:eastAsia="宋体" w:cs="Calibri"/>
          <w:color w:val="000000"/>
          <w:kern w:val="0"/>
          <w:szCs w:val="21"/>
          <w:shd w:val="clear" w:color="auto" w:fill="FFFFFF"/>
        </w:rPr>
        <w:t>。满分为100分（数值计算结果均保留两位小数，第三位四舍五入）</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333333"/>
          <w:kern w:val="0"/>
          <w:szCs w:val="21"/>
          <w:shd w:val="clear" w:color="auto" w:fill="FFFFFF"/>
        </w:rPr>
        <w:t>2.评审分值分配(满分100分)</w:t>
      </w:r>
    </w:p>
    <w:p>
      <w:pPr>
        <w:widowControl/>
        <w:adjustRightInd w:val="0"/>
        <w:snapToGrid w:val="0"/>
        <w:spacing w:line="360" w:lineRule="auto"/>
        <w:ind w:firstLine="560" w:firstLineChars="200"/>
        <w:rPr>
          <w:rFonts w:hint="eastAsia"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投标报价得分计算：评标价为评标基准价的得满分60分。其他供应商的投标报价得分统一按下列公式计算：投标报价得分=（磋商基准价/最后磋商报价）* 60；（保留小数点后两位，第三位四舍五入）</w:t>
      </w:r>
    </w:p>
    <w:p>
      <w:pPr>
        <w:pStyle w:val="3"/>
        <w:adjustRightInd w:val="0"/>
        <w:snapToGrid w:val="0"/>
        <w:spacing w:line="460" w:lineRule="exact"/>
        <w:ind w:firstLine="560"/>
        <w:rPr>
          <w:rFonts w:ascii="仿宋" w:eastAsia="仿宋" w:cs="宋体"/>
          <w:b/>
          <w:bCs/>
          <w:spacing w:val="0"/>
          <w:sz w:val="24"/>
          <w:szCs w:val="24"/>
        </w:rPr>
      </w:pPr>
      <w:r>
        <w:rPr>
          <w:rFonts w:hint="eastAsia" w:ascii="仿宋" w:eastAsia="仿宋" w:cs="宋体"/>
          <w:b/>
          <w:bCs/>
          <w:spacing w:val="0"/>
          <w:sz w:val="24"/>
          <w:szCs w:val="24"/>
        </w:rPr>
        <w:t>技术方案得分</w:t>
      </w:r>
      <w:r>
        <w:rPr>
          <w:rFonts w:ascii="仿宋" w:eastAsia="仿宋" w:cs="宋体"/>
          <w:b/>
          <w:bCs/>
          <w:spacing w:val="0"/>
          <w:sz w:val="24"/>
          <w:szCs w:val="24"/>
        </w:rPr>
        <w:t>40分</w:t>
      </w:r>
    </w:p>
    <w:tbl>
      <w:tblPr>
        <w:tblStyle w:val="27"/>
        <w:tblW w:w="8304"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99"/>
        <w:gridCol w:w="1909"/>
        <w:gridCol w:w="539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304"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9"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技术标评审</w:t>
            </w:r>
          </w:p>
          <w:p>
            <w:pPr>
              <w:spacing w:line="360" w:lineRule="exact"/>
              <w:rPr>
                <w:rFonts w:hint="eastAsia" w:ascii="仿宋" w:eastAsia="仿宋" w:cs="仿宋"/>
                <w:szCs w:val="21"/>
              </w:rPr>
            </w:pPr>
            <w:r>
              <w:rPr>
                <w:rFonts w:hint="eastAsia" w:ascii="仿宋" w:eastAsia="仿宋" w:cs="仿宋"/>
                <w:szCs w:val="21"/>
                <w:lang w:eastAsia="zh-CN"/>
              </w:rPr>
              <w:t>（</w:t>
            </w:r>
            <w:r>
              <w:rPr>
                <w:rFonts w:hint="eastAsia" w:ascii="仿宋" w:eastAsia="仿宋" w:cs="仿宋"/>
                <w:szCs w:val="21"/>
                <w:lang w:val="en-US" w:eastAsia="zh-CN"/>
              </w:rPr>
              <w:t>40分</w:t>
            </w:r>
            <w:r>
              <w:rPr>
                <w:rFonts w:hint="eastAsia" w:ascii="仿宋" w:eastAsia="仿宋" w:cs="仿宋"/>
                <w:szCs w:val="21"/>
                <w:lang w:eastAsia="zh-CN"/>
              </w:rPr>
              <w:t>）</w:t>
            </w: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施工部署与方案</w:t>
            </w:r>
          </w:p>
        </w:tc>
        <w:tc>
          <w:tcPr>
            <w:tcW w:w="5396"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ind w:firstLine="560" w:firstLineChars="200"/>
              <w:rPr>
                <w:rFonts w:hint="eastAsia" w:ascii="仿宋" w:eastAsia="仿宋" w:cs="仿宋"/>
                <w:szCs w:val="21"/>
              </w:rPr>
            </w:pPr>
            <w:r>
              <w:rPr>
                <w:rFonts w:hint="eastAsia" w:ascii="仿宋" w:eastAsia="仿宋" w:cs="仿宋"/>
                <w:szCs w:val="21"/>
              </w:rPr>
              <w:t>结合设计图纸和工程量清单，在认真细致踏勘现场的基础上，对本招标项目的施工部署与施工方案的针对性、合理性与科学性，施工方案与项目特征的吻合程度及是否突出本项目的工艺难点等（应充分考虑到学校作息时间、教学生活规律、多雨的天气条件以及地下管线的复杂性等）。</w:t>
            </w:r>
            <w:r>
              <w:rPr>
                <w:rFonts w:hint="eastAsia" w:ascii="仿宋" w:eastAsia="仿宋"/>
                <w:szCs w:val="21"/>
              </w:rPr>
              <w:t>方案科学有效且具有可操作性的</w:t>
            </w:r>
            <w:r>
              <w:rPr>
                <w:rFonts w:hint="eastAsia" w:ascii="仿宋" w:eastAsia="仿宋" w:cs="仿宋"/>
                <w:szCs w:val="21"/>
              </w:rPr>
              <w:t>得</w:t>
            </w:r>
            <w:r>
              <w:rPr>
                <w:rFonts w:ascii="仿宋" w:eastAsia="仿宋" w:cs="仿宋"/>
                <w:szCs w:val="21"/>
              </w:rPr>
              <w:t>10-12</w:t>
            </w:r>
            <w:r>
              <w:rPr>
                <w:rFonts w:hint="eastAsia" w:ascii="仿宋" w:eastAsia="仿宋" w:cs="仿宋"/>
                <w:szCs w:val="21"/>
              </w:rPr>
              <w:t>分，</w:t>
            </w:r>
            <w:r>
              <w:rPr>
                <w:rFonts w:hint="eastAsia" w:ascii="仿宋" w:eastAsia="仿宋"/>
                <w:szCs w:val="21"/>
              </w:rPr>
              <w:t>方案一般且能满足需要的</w:t>
            </w:r>
            <w:r>
              <w:rPr>
                <w:rFonts w:hint="eastAsia" w:ascii="仿宋" w:eastAsia="仿宋" w:cs="仿宋"/>
                <w:szCs w:val="21"/>
              </w:rPr>
              <w:t>得7-9.9分，</w:t>
            </w:r>
            <w:r>
              <w:rPr>
                <w:rFonts w:hint="eastAsia" w:ascii="仿宋" w:eastAsia="仿宋"/>
                <w:szCs w:val="21"/>
              </w:rPr>
              <w:t>方案不完整但能基本满足需要的</w:t>
            </w:r>
            <w:r>
              <w:rPr>
                <w:rFonts w:hint="eastAsia" w:ascii="仿宋" w:eastAsia="仿宋" w:cs="仿宋"/>
                <w:szCs w:val="21"/>
              </w:rPr>
              <w:t>得4-6.9，</w:t>
            </w:r>
            <w:r>
              <w:rPr>
                <w:rFonts w:hint="eastAsia" w:ascii="仿宋" w:eastAsia="仿宋"/>
                <w:szCs w:val="21"/>
              </w:rPr>
              <w:t>方案存在明显缺陷的</w:t>
            </w:r>
            <w:r>
              <w:rPr>
                <w:rFonts w:hint="eastAsia" w:ascii="仿宋" w:eastAsia="仿宋" w:cs="仿宋"/>
                <w:szCs w:val="21"/>
              </w:rPr>
              <w:t>得0.1-3.9分，未提供不得分。（本项最高得</w:t>
            </w:r>
            <w:r>
              <w:rPr>
                <w:rFonts w:ascii="仿宋" w:eastAsia="仿宋" w:cs="仿宋"/>
                <w:szCs w:val="21"/>
              </w:rPr>
              <w:t>12</w:t>
            </w:r>
            <w:r>
              <w:rPr>
                <w:rFonts w:hint="eastAsia" w:ascii="仿宋" w:eastAsia="仿宋" w:cs="仿宋"/>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9"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ascii="仿宋" w:eastAsia="仿宋" w:cs="仿宋"/>
                <w:szCs w:val="21"/>
              </w:rPr>
            </w:pPr>
            <w:r>
              <w:rPr>
                <w:rFonts w:hint="eastAsia" w:ascii="仿宋" w:eastAsia="仿宋" w:cs="仿宋"/>
                <w:szCs w:val="21"/>
              </w:rPr>
              <w:t>施工保障方案</w:t>
            </w:r>
          </w:p>
        </w:tc>
        <w:tc>
          <w:tcPr>
            <w:tcW w:w="5396"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ind w:firstLine="560" w:firstLineChars="200"/>
              <w:rPr>
                <w:rFonts w:hint="eastAsia" w:ascii="仿宋" w:eastAsia="仿宋" w:cs="仿宋"/>
                <w:szCs w:val="21"/>
              </w:rPr>
            </w:pPr>
            <w:r>
              <w:rPr>
                <w:rFonts w:hint="eastAsia" w:ascii="仿宋" w:eastAsia="仿宋" w:cs="仿宋"/>
                <w:szCs w:val="21"/>
              </w:rPr>
              <w:t>结合设计图纸和工程量清单，在认真细致踏勘现场的基础上，对本招标项目的现场实际情况，有切实可行的室内外设施、周边景观保护和保证措施，尤其针对室外绿化、道路、广场、地下管线及室内墙面、桥架、吊项、水电、弱电等设施的保护、原样修复等措施完整、可行、科学，对包含但不仅限于上述各项重点内容、措施有结合现场实际的叙述。</w:t>
            </w:r>
            <w:r>
              <w:rPr>
                <w:rFonts w:hint="eastAsia" w:ascii="仿宋" w:eastAsia="仿宋"/>
                <w:szCs w:val="21"/>
              </w:rPr>
              <w:t>方案科学有效且具有可操作性的</w:t>
            </w:r>
            <w:r>
              <w:rPr>
                <w:rFonts w:hint="eastAsia" w:ascii="仿宋" w:eastAsia="仿宋" w:cs="仿宋"/>
                <w:szCs w:val="21"/>
              </w:rPr>
              <w:t>得</w:t>
            </w:r>
            <w:r>
              <w:rPr>
                <w:rFonts w:ascii="仿宋" w:eastAsia="仿宋" w:cs="仿宋"/>
                <w:szCs w:val="21"/>
              </w:rPr>
              <w:t>8</w:t>
            </w:r>
            <w:r>
              <w:rPr>
                <w:rFonts w:hint="eastAsia" w:ascii="仿宋" w:eastAsia="仿宋" w:cs="仿宋"/>
                <w:szCs w:val="21"/>
              </w:rPr>
              <w:t>-10.00分，</w:t>
            </w:r>
            <w:r>
              <w:rPr>
                <w:rFonts w:hint="eastAsia" w:ascii="仿宋" w:eastAsia="仿宋"/>
                <w:szCs w:val="21"/>
              </w:rPr>
              <w:t>方案一般且能满足需要的</w:t>
            </w:r>
            <w:r>
              <w:rPr>
                <w:rFonts w:hint="eastAsia" w:ascii="仿宋" w:eastAsia="仿宋" w:cs="仿宋"/>
                <w:szCs w:val="21"/>
              </w:rPr>
              <w:t>得</w:t>
            </w:r>
            <w:r>
              <w:rPr>
                <w:rFonts w:ascii="仿宋" w:eastAsia="仿宋" w:cs="仿宋"/>
                <w:szCs w:val="21"/>
              </w:rPr>
              <w:t>6</w:t>
            </w:r>
            <w:r>
              <w:rPr>
                <w:rFonts w:hint="eastAsia" w:ascii="仿宋" w:eastAsia="仿宋" w:cs="仿宋"/>
                <w:szCs w:val="21"/>
              </w:rPr>
              <w:t>-7.</w:t>
            </w:r>
            <w:r>
              <w:rPr>
                <w:rFonts w:ascii="仿宋" w:eastAsia="仿宋" w:cs="仿宋"/>
                <w:szCs w:val="21"/>
              </w:rPr>
              <w:t>9</w:t>
            </w:r>
            <w:r>
              <w:rPr>
                <w:rFonts w:hint="eastAsia" w:ascii="仿宋" w:eastAsia="仿宋" w:cs="仿宋"/>
                <w:szCs w:val="21"/>
              </w:rPr>
              <w:t>分，</w:t>
            </w:r>
            <w:r>
              <w:rPr>
                <w:rFonts w:hint="eastAsia" w:ascii="仿宋" w:eastAsia="仿宋"/>
                <w:szCs w:val="21"/>
              </w:rPr>
              <w:t>方案不完整但能基本满足需要的</w:t>
            </w:r>
            <w:r>
              <w:rPr>
                <w:rFonts w:hint="eastAsia" w:ascii="仿宋" w:eastAsia="仿宋" w:cs="仿宋"/>
                <w:szCs w:val="21"/>
              </w:rPr>
              <w:t>得</w:t>
            </w:r>
            <w:r>
              <w:rPr>
                <w:rFonts w:ascii="仿宋" w:eastAsia="仿宋" w:cs="仿宋"/>
                <w:szCs w:val="21"/>
              </w:rPr>
              <w:t>4</w:t>
            </w:r>
            <w:r>
              <w:rPr>
                <w:rFonts w:hint="eastAsia" w:ascii="仿宋" w:eastAsia="仿宋" w:cs="仿宋"/>
                <w:szCs w:val="21"/>
              </w:rPr>
              <w:t>-5.</w:t>
            </w:r>
            <w:r>
              <w:rPr>
                <w:rFonts w:ascii="仿宋" w:eastAsia="仿宋" w:cs="仿宋"/>
                <w:szCs w:val="21"/>
              </w:rPr>
              <w:t>9</w:t>
            </w:r>
            <w:r>
              <w:rPr>
                <w:rFonts w:hint="eastAsia" w:ascii="仿宋" w:eastAsia="仿宋" w:cs="仿宋"/>
                <w:szCs w:val="21"/>
              </w:rPr>
              <w:t>，</w:t>
            </w:r>
            <w:r>
              <w:rPr>
                <w:rFonts w:hint="eastAsia" w:ascii="仿宋" w:eastAsia="仿宋"/>
                <w:szCs w:val="21"/>
              </w:rPr>
              <w:t>方案存在明显缺陷的</w:t>
            </w:r>
            <w:r>
              <w:rPr>
                <w:rFonts w:hint="eastAsia" w:ascii="仿宋" w:eastAsia="仿宋" w:cs="仿宋"/>
                <w:szCs w:val="21"/>
              </w:rPr>
              <w:t>得0.1-</w:t>
            </w:r>
            <w:r>
              <w:rPr>
                <w:rFonts w:ascii="仿宋" w:eastAsia="仿宋" w:cs="仿宋"/>
                <w:szCs w:val="21"/>
              </w:rPr>
              <w:t>3.9</w:t>
            </w:r>
            <w:r>
              <w:rPr>
                <w:rFonts w:hint="eastAsia" w:ascii="仿宋" w:eastAsia="仿宋" w:cs="仿宋"/>
                <w:szCs w:val="21"/>
              </w:rPr>
              <w:t>分，未提供不得分。（本项最高得10分）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9"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施工进度计划</w:t>
            </w:r>
          </w:p>
        </w:tc>
        <w:tc>
          <w:tcPr>
            <w:tcW w:w="5396"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ind w:firstLine="560" w:firstLineChars="200"/>
              <w:rPr>
                <w:rFonts w:hint="eastAsia" w:ascii="仿宋" w:eastAsia="仿宋" w:cs="仿宋"/>
                <w:szCs w:val="21"/>
              </w:rPr>
            </w:pPr>
            <w:r>
              <w:rPr>
                <w:rFonts w:hint="eastAsia" w:ascii="仿宋" w:eastAsia="仿宋" w:cs="仿宋"/>
                <w:szCs w:val="21"/>
              </w:rPr>
              <w:t xml:space="preserve">结合设计图纸和工程量清单，在认真细致踏勘现场的基础上，对确保项目进度存在的困难和复杂性作出充分预判。    </w:t>
            </w:r>
          </w:p>
          <w:p>
            <w:pPr>
              <w:spacing w:line="360" w:lineRule="exact"/>
              <w:rPr>
                <w:rFonts w:hint="eastAsia" w:ascii="仿宋" w:eastAsia="仿宋" w:cs="仿宋"/>
                <w:szCs w:val="21"/>
              </w:rPr>
            </w:pPr>
            <w:r>
              <w:rPr>
                <w:rFonts w:hint="eastAsia" w:ascii="仿宋" w:eastAsia="仿宋" w:cs="仿宋"/>
                <w:szCs w:val="21"/>
              </w:rPr>
              <w:t>对本招标项目的进度计划的针对性、合理性与科学性，施工计划与项目内容的吻合程度（结合实际描述确保施工进度的难点和重点）。</w:t>
            </w:r>
            <w:r>
              <w:rPr>
                <w:rFonts w:hint="eastAsia" w:ascii="仿宋" w:eastAsia="仿宋"/>
                <w:szCs w:val="21"/>
              </w:rPr>
              <w:t>方案科学有效且具有可操作性的</w:t>
            </w:r>
            <w:r>
              <w:rPr>
                <w:rFonts w:hint="eastAsia" w:ascii="仿宋" w:eastAsia="仿宋" w:cs="仿宋"/>
                <w:szCs w:val="21"/>
              </w:rPr>
              <w:t>得</w:t>
            </w:r>
            <w:r>
              <w:rPr>
                <w:rFonts w:ascii="仿宋" w:eastAsia="仿宋" w:cs="仿宋"/>
                <w:szCs w:val="21"/>
              </w:rPr>
              <w:t>5.5</w:t>
            </w:r>
            <w:r>
              <w:rPr>
                <w:rFonts w:hint="eastAsia" w:ascii="仿宋" w:eastAsia="仿宋" w:cs="仿宋"/>
                <w:szCs w:val="21"/>
              </w:rPr>
              <w:t>-</w:t>
            </w:r>
            <w:r>
              <w:rPr>
                <w:rFonts w:ascii="仿宋" w:eastAsia="仿宋" w:cs="仿宋"/>
                <w:szCs w:val="21"/>
              </w:rPr>
              <w:t>7</w:t>
            </w:r>
            <w:r>
              <w:rPr>
                <w:rFonts w:hint="eastAsia" w:ascii="仿宋" w:eastAsia="仿宋" w:cs="仿宋"/>
                <w:szCs w:val="21"/>
              </w:rPr>
              <w:t>分，</w:t>
            </w:r>
            <w:r>
              <w:rPr>
                <w:rFonts w:hint="eastAsia" w:ascii="仿宋" w:eastAsia="仿宋"/>
                <w:szCs w:val="21"/>
              </w:rPr>
              <w:t>方案一般且能满足需要的</w:t>
            </w:r>
            <w:r>
              <w:rPr>
                <w:rFonts w:hint="eastAsia" w:ascii="仿宋" w:eastAsia="仿宋" w:cs="仿宋"/>
                <w:szCs w:val="21"/>
              </w:rPr>
              <w:t>得</w:t>
            </w:r>
            <w:r>
              <w:rPr>
                <w:rFonts w:ascii="仿宋" w:eastAsia="仿宋" w:cs="仿宋"/>
                <w:szCs w:val="21"/>
              </w:rPr>
              <w:t>4.5</w:t>
            </w:r>
            <w:r>
              <w:rPr>
                <w:rFonts w:hint="eastAsia" w:ascii="仿宋" w:eastAsia="仿宋" w:cs="仿宋"/>
                <w:szCs w:val="21"/>
              </w:rPr>
              <w:t>-</w:t>
            </w:r>
            <w:r>
              <w:rPr>
                <w:rFonts w:ascii="仿宋" w:eastAsia="仿宋" w:cs="仿宋"/>
                <w:szCs w:val="21"/>
              </w:rPr>
              <w:t>5</w:t>
            </w:r>
            <w:r>
              <w:rPr>
                <w:rFonts w:hint="eastAsia" w:ascii="仿宋" w:eastAsia="仿宋" w:cs="仿宋"/>
                <w:szCs w:val="21"/>
              </w:rPr>
              <w:t>.</w:t>
            </w:r>
            <w:r>
              <w:rPr>
                <w:rFonts w:ascii="仿宋" w:eastAsia="仿宋" w:cs="仿宋"/>
                <w:szCs w:val="21"/>
              </w:rPr>
              <w:t>49</w:t>
            </w:r>
            <w:r>
              <w:rPr>
                <w:rFonts w:hint="eastAsia" w:ascii="仿宋" w:eastAsia="仿宋" w:cs="仿宋"/>
                <w:szCs w:val="21"/>
              </w:rPr>
              <w:t>分，</w:t>
            </w:r>
            <w:r>
              <w:rPr>
                <w:rFonts w:hint="eastAsia" w:ascii="仿宋" w:eastAsia="仿宋"/>
                <w:szCs w:val="21"/>
              </w:rPr>
              <w:t>方案不完整但能基本满足需要的</w:t>
            </w:r>
            <w:r>
              <w:rPr>
                <w:rFonts w:hint="eastAsia" w:ascii="仿宋" w:eastAsia="仿宋" w:cs="仿宋"/>
                <w:szCs w:val="21"/>
              </w:rPr>
              <w:t>得</w:t>
            </w:r>
            <w:r>
              <w:rPr>
                <w:rFonts w:ascii="仿宋" w:eastAsia="仿宋" w:cs="仿宋"/>
                <w:szCs w:val="21"/>
              </w:rPr>
              <w:t>3</w:t>
            </w:r>
            <w:r>
              <w:rPr>
                <w:rFonts w:hint="eastAsia" w:ascii="仿宋" w:eastAsia="仿宋" w:cs="仿宋"/>
                <w:szCs w:val="21"/>
              </w:rPr>
              <w:t>-</w:t>
            </w:r>
            <w:r>
              <w:rPr>
                <w:rFonts w:ascii="仿宋" w:eastAsia="仿宋" w:cs="仿宋"/>
                <w:szCs w:val="21"/>
              </w:rPr>
              <w:t>4.49</w:t>
            </w:r>
            <w:r>
              <w:rPr>
                <w:rFonts w:hint="eastAsia" w:ascii="仿宋" w:eastAsia="仿宋" w:cs="仿宋"/>
                <w:szCs w:val="21"/>
              </w:rPr>
              <w:t>，</w:t>
            </w:r>
            <w:r>
              <w:rPr>
                <w:rFonts w:ascii="仿宋" w:eastAsia="仿宋" w:cs="仿宋"/>
                <w:szCs w:val="21"/>
              </w:rPr>
              <w:t>方</w:t>
            </w:r>
            <w:r>
              <w:rPr>
                <w:rFonts w:hint="eastAsia" w:ascii="仿宋" w:eastAsia="仿宋"/>
                <w:szCs w:val="21"/>
              </w:rPr>
              <w:t>案存在明显缺陷的</w:t>
            </w:r>
            <w:r>
              <w:rPr>
                <w:rFonts w:hint="eastAsia" w:ascii="仿宋" w:eastAsia="仿宋" w:cs="仿宋"/>
                <w:szCs w:val="21"/>
              </w:rPr>
              <w:t>得0.1-</w:t>
            </w:r>
            <w:r>
              <w:rPr>
                <w:rFonts w:ascii="仿宋" w:eastAsia="仿宋" w:cs="仿宋"/>
                <w:szCs w:val="21"/>
              </w:rPr>
              <w:t>2</w:t>
            </w:r>
            <w:r>
              <w:rPr>
                <w:rFonts w:hint="eastAsia" w:ascii="仿宋" w:eastAsia="仿宋" w:cs="仿宋"/>
                <w:szCs w:val="21"/>
              </w:rPr>
              <w:t>供不得分。（本项最高得</w:t>
            </w:r>
            <w:r>
              <w:rPr>
                <w:rFonts w:ascii="仿宋" w:eastAsia="仿宋" w:cs="仿宋"/>
                <w:szCs w:val="21"/>
              </w:rPr>
              <w:t>7</w:t>
            </w:r>
            <w:r>
              <w:rPr>
                <w:rFonts w:hint="eastAsia" w:ascii="仿宋" w:eastAsia="仿宋" w:cs="仿宋"/>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9"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施工技术组织措施计划</w:t>
            </w:r>
          </w:p>
        </w:tc>
        <w:tc>
          <w:tcPr>
            <w:tcW w:w="5396"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ind w:firstLine="560" w:firstLineChars="200"/>
              <w:rPr>
                <w:rFonts w:hint="eastAsia" w:ascii="仿宋" w:eastAsia="仿宋" w:cs="仿宋"/>
                <w:szCs w:val="21"/>
              </w:rPr>
            </w:pPr>
            <w:r>
              <w:rPr>
                <w:rFonts w:hint="eastAsia" w:ascii="仿宋" w:eastAsia="仿宋" w:cs="仿宋"/>
                <w:szCs w:val="21"/>
              </w:rPr>
              <w:t>结合设计图纸和工程量清单，在认真细致踏勘现场的基础上，对本招标项目的质量、进度、成本的技术组织措施，分析其管理制度、管理流程、管理表格的完善程度。</w:t>
            </w:r>
            <w:r>
              <w:rPr>
                <w:rFonts w:hint="eastAsia" w:ascii="仿宋" w:eastAsia="仿宋"/>
                <w:szCs w:val="21"/>
              </w:rPr>
              <w:t>方案科学有效且具有可操作性的</w:t>
            </w:r>
            <w:r>
              <w:rPr>
                <w:rFonts w:hint="eastAsia" w:ascii="仿宋" w:eastAsia="仿宋" w:cs="仿宋"/>
                <w:szCs w:val="21"/>
              </w:rPr>
              <w:t>得</w:t>
            </w:r>
            <w:r>
              <w:rPr>
                <w:rFonts w:ascii="仿宋" w:eastAsia="仿宋" w:cs="仿宋"/>
                <w:szCs w:val="21"/>
              </w:rPr>
              <w:t>4</w:t>
            </w:r>
            <w:r>
              <w:rPr>
                <w:rFonts w:hint="eastAsia" w:ascii="仿宋" w:eastAsia="仿宋" w:cs="仿宋"/>
                <w:szCs w:val="21"/>
              </w:rPr>
              <w:t>-</w:t>
            </w:r>
            <w:r>
              <w:rPr>
                <w:rFonts w:ascii="仿宋" w:eastAsia="仿宋" w:cs="仿宋"/>
                <w:szCs w:val="21"/>
              </w:rPr>
              <w:t>5</w:t>
            </w:r>
            <w:r>
              <w:rPr>
                <w:rFonts w:hint="eastAsia" w:ascii="仿宋" w:eastAsia="仿宋" w:cs="仿宋"/>
                <w:szCs w:val="21"/>
              </w:rPr>
              <w:t>分，</w:t>
            </w:r>
            <w:r>
              <w:rPr>
                <w:rFonts w:hint="eastAsia" w:ascii="仿宋" w:eastAsia="仿宋"/>
                <w:szCs w:val="21"/>
              </w:rPr>
              <w:t>方案一般且能满足需要的</w:t>
            </w:r>
            <w:r>
              <w:rPr>
                <w:rFonts w:hint="eastAsia" w:ascii="仿宋" w:eastAsia="仿宋" w:cs="仿宋"/>
                <w:szCs w:val="21"/>
              </w:rPr>
              <w:t>得</w:t>
            </w:r>
            <w:r>
              <w:rPr>
                <w:rFonts w:ascii="仿宋" w:eastAsia="仿宋" w:cs="仿宋"/>
                <w:szCs w:val="21"/>
              </w:rPr>
              <w:t>2</w:t>
            </w:r>
            <w:r>
              <w:rPr>
                <w:rFonts w:hint="eastAsia" w:ascii="仿宋" w:eastAsia="仿宋" w:cs="仿宋"/>
                <w:szCs w:val="21"/>
              </w:rPr>
              <w:t>-</w:t>
            </w:r>
            <w:r>
              <w:rPr>
                <w:rFonts w:ascii="仿宋" w:eastAsia="仿宋" w:cs="仿宋"/>
                <w:szCs w:val="21"/>
              </w:rPr>
              <w:t>3.9</w:t>
            </w:r>
            <w:r>
              <w:rPr>
                <w:rFonts w:hint="eastAsia" w:ascii="仿宋" w:eastAsia="仿宋" w:cs="仿宋"/>
                <w:szCs w:val="21"/>
              </w:rPr>
              <w:t>分，</w:t>
            </w:r>
            <w:r>
              <w:rPr>
                <w:rFonts w:hint="eastAsia" w:ascii="仿宋" w:eastAsia="仿宋"/>
                <w:szCs w:val="21"/>
              </w:rPr>
              <w:t>方案不完整但能基本满足需要的</w:t>
            </w:r>
            <w:r>
              <w:rPr>
                <w:rFonts w:ascii="仿宋" w:eastAsia="仿宋" w:cs="仿宋"/>
                <w:szCs w:val="21"/>
              </w:rPr>
              <w:t>得1-1.9分，方</w:t>
            </w:r>
            <w:r>
              <w:rPr>
                <w:rFonts w:hint="eastAsia" w:ascii="仿宋" w:eastAsia="仿宋"/>
                <w:szCs w:val="21"/>
              </w:rPr>
              <w:t>案存在明显缺陷的</w:t>
            </w:r>
            <w:r>
              <w:rPr>
                <w:rFonts w:hint="eastAsia" w:ascii="仿宋" w:eastAsia="仿宋" w:cs="仿宋"/>
                <w:szCs w:val="21"/>
              </w:rPr>
              <w:t>得0</w:t>
            </w:r>
            <w:r>
              <w:rPr>
                <w:rFonts w:ascii="仿宋" w:eastAsia="仿宋" w:cs="仿宋"/>
                <w:szCs w:val="21"/>
              </w:rPr>
              <w:t>.</w:t>
            </w:r>
            <w:r>
              <w:rPr>
                <w:rFonts w:hint="eastAsia" w:ascii="仿宋" w:eastAsia="仿宋" w:cs="仿宋"/>
                <w:szCs w:val="21"/>
              </w:rPr>
              <w:t>1-0.</w:t>
            </w:r>
            <w:r>
              <w:rPr>
                <w:rFonts w:ascii="仿宋" w:eastAsia="仿宋" w:cs="仿宋"/>
                <w:szCs w:val="21"/>
              </w:rPr>
              <w:t>9</w:t>
            </w:r>
            <w:r>
              <w:rPr>
                <w:rFonts w:hint="eastAsia" w:ascii="仿宋" w:eastAsia="仿宋" w:cs="仿宋"/>
                <w:szCs w:val="21"/>
              </w:rPr>
              <w:t>分，未提供不得分。（本项最高得</w:t>
            </w:r>
            <w:r>
              <w:rPr>
                <w:rFonts w:ascii="仿宋" w:eastAsia="仿宋" w:cs="仿宋"/>
                <w:szCs w:val="21"/>
              </w:rPr>
              <w:t>5</w:t>
            </w:r>
            <w:r>
              <w:rPr>
                <w:rFonts w:hint="eastAsia" w:ascii="仿宋" w:eastAsia="仿宋" w:cs="仿宋"/>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9"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安全文明措施</w:t>
            </w:r>
          </w:p>
        </w:tc>
        <w:tc>
          <w:tcPr>
            <w:tcW w:w="5396"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ind w:firstLine="560" w:firstLineChars="200"/>
              <w:rPr>
                <w:rFonts w:hint="eastAsia" w:ascii="仿宋" w:eastAsia="仿宋" w:cs="仿宋"/>
                <w:szCs w:val="21"/>
              </w:rPr>
            </w:pPr>
            <w:r>
              <w:rPr>
                <w:rFonts w:hint="eastAsia" w:ascii="仿宋" w:eastAsia="仿宋" w:cs="仿宋"/>
                <w:szCs w:val="21"/>
              </w:rPr>
              <w:t>有符合本项目实际的、有针对性的安全目标和保证措施，措施完整、可行、科学，适用规范正确，满足规范要求；对本投标项目的实际情况，有相应的文明目标和保证措施，措施完整、可行、科学。</w:t>
            </w:r>
            <w:r>
              <w:rPr>
                <w:rFonts w:hint="eastAsia" w:ascii="仿宋" w:eastAsia="仿宋"/>
                <w:szCs w:val="21"/>
              </w:rPr>
              <w:t>方案科学有效且具有可操作性的</w:t>
            </w:r>
            <w:r>
              <w:rPr>
                <w:rFonts w:hint="eastAsia" w:ascii="仿宋" w:eastAsia="仿宋" w:cs="仿宋"/>
                <w:szCs w:val="21"/>
              </w:rPr>
              <w:t>得</w:t>
            </w:r>
            <w:r>
              <w:rPr>
                <w:rFonts w:ascii="仿宋" w:eastAsia="仿宋" w:cs="仿宋"/>
                <w:szCs w:val="21"/>
              </w:rPr>
              <w:t>4</w:t>
            </w:r>
            <w:r>
              <w:rPr>
                <w:rFonts w:hint="eastAsia" w:ascii="仿宋" w:eastAsia="仿宋" w:cs="仿宋"/>
                <w:szCs w:val="21"/>
              </w:rPr>
              <w:t>-</w:t>
            </w:r>
            <w:r>
              <w:rPr>
                <w:rFonts w:ascii="仿宋" w:eastAsia="仿宋" w:cs="仿宋"/>
                <w:szCs w:val="21"/>
              </w:rPr>
              <w:t>5</w:t>
            </w:r>
            <w:r>
              <w:rPr>
                <w:rFonts w:hint="eastAsia" w:ascii="仿宋" w:eastAsia="仿宋" w:cs="仿宋"/>
                <w:szCs w:val="21"/>
              </w:rPr>
              <w:t>分，</w:t>
            </w:r>
            <w:r>
              <w:rPr>
                <w:rFonts w:hint="eastAsia" w:ascii="仿宋" w:eastAsia="仿宋"/>
                <w:szCs w:val="21"/>
              </w:rPr>
              <w:t>方案一般且能满足需要的</w:t>
            </w:r>
            <w:r>
              <w:rPr>
                <w:rFonts w:hint="eastAsia" w:ascii="仿宋" w:eastAsia="仿宋" w:cs="仿宋"/>
                <w:szCs w:val="21"/>
              </w:rPr>
              <w:t>得</w:t>
            </w:r>
            <w:r>
              <w:rPr>
                <w:rFonts w:ascii="仿宋" w:eastAsia="仿宋" w:cs="仿宋"/>
                <w:szCs w:val="21"/>
              </w:rPr>
              <w:t>3</w:t>
            </w:r>
            <w:r>
              <w:rPr>
                <w:rFonts w:hint="eastAsia" w:ascii="仿宋" w:eastAsia="仿宋" w:cs="仿宋"/>
                <w:szCs w:val="21"/>
              </w:rPr>
              <w:t>-</w:t>
            </w:r>
            <w:r>
              <w:rPr>
                <w:rFonts w:ascii="仿宋" w:eastAsia="仿宋" w:cs="仿宋"/>
                <w:szCs w:val="21"/>
              </w:rPr>
              <w:t>3.9</w:t>
            </w:r>
            <w:r>
              <w:rPr>
                <w:rFonts w:hint="eastAsia" w:ascii="仿宋" w:eastAsia="仿宋" w:cs="仿宋"/>
                <w:szCs w:val="21"/>
              </w:rPr>
              <w:t>分，</w:t>
            </w:r>
            <w:r>
              <w:rPr>
                <w:rFonts w:hint="eastAsia" w:ascii="仿宋" w:eastAsia="仿宋"/>
                <w:szCs w:val="21"/>
              </w:rPr>
              <w:t>方案不完整但能基本满足需要的</w:t>
            </w:r>
            <w:r>
              <w:rPr>
                <w:rFonts w:ascii="仿宋" w:eastAsia="仿宋" w:cs="仿宋"/>
                <w:szCs w:val="21"/>
              </w:rPr>
              <w:t>得2-2.9.方</w:t>
            </w:r>
            <w:r>
              <w:rPr>
                <w:rFonts w:hint="eastAsia" w:ascii="仿宋" w:eastAsia="仿宋"/>
                <w:szCs w:val="21"/>
              </w:rPr>
              <w:t>案存在明显缺陷的</w:t>
            </w:r>
            <w:r>
              <w:rPr>
                <w:rFonts w:hint="eastAsia" w:ascii="仿宋" w:eastAsia="仿宋" w:cs="仿宋"/>
                <w:szCs w:val="21"/>
              </w:rPr>
              <w:t>得0.1-</w:t>
            </w:r>
            <w:r>
              <w:rPr>
                <w:rFonts w:ascii="仿宋" w:eastAsia="仿宋" w:cs="仿宋"/>
                <w:szCs w:val="21"/>
              </w:rPr>
              <w:t>1.9</w:t>
            </w:r>
            <w:r>
              <w:rPr>
                <w:rFonts w:hint="eastAsia" w:ascii="仿宋" w:eastAsia="仿宋" w:cs="仿宋"/>
                <w:szCs w:val="21"/>
              </w:rPr>
              <w:t>分，未提供不得分。（本项最高得</w:t>
            </w:r>
            <w:r>
              <w:rPr>
                <w:rFonts w:ascii="仿宋" w:eastAsia="仿宋" w:cs="仿宋"/>
                <w:szCs w:val="21"/>
              </w:rPr>
              <w:t>5</w:t>
            </w:r>
            <w:r>
              <w:rPr>
                <w:rFonts w:hint="eastAsia" w:ascii="仿宋" w:eastAsia="仿宋" w:cs="仿宋"/>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9"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9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rPr>
                <w:rFonts w:hint="eastAsia" w:ascii="仿宋" w:eastAsia="仿宋" w:cs="仿宋"/>
                <w:szCs w:val="21"/>
              </w:rPr>
            </w:pPr>
            <w:r>
              <w:rPr>
                <w:rFonts w:hint="eastAsia" w:ascii="仿宋" w:eastAsia="仿宋" w:cs="仿宋"/>
                <w:szCs w:val="21"/>
              </w:rPr>
              <w:t>质量保证与承诺</w:t>
            </w:r>
          </w:p>
        </w:tc>
        <w:tc>
          <w:tcPr>
            <w:tcW w:w="5396"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ind w:firstLine="560" w:firstLineChars="200"/>
              <w:rPr>
                <w:rFonts w:hint="eastAsia" w:ascii="仿宋" w:eastAsia="仿宋" w:cs="仿宋"/>
                <w:szCs w:val="21"/>
              </w:rPr>
            </w:pPr>
            <w:r>
              <w:rPr>
                <w:rFonts w:hint="eastAsia" w:ascii="仿宋" w:eastAsia="仿宋" w:cs="仿宋"/>
                <w:szCs w:val="21"/>
              </w:rPr>
              <w:t>质量承诺明确；针对项目实际情况，有相应的质量保证措施，措施完整。</w:t>
            </w:r>
            <w:r>
              <w:rPr>
                <w:rFonts w:hint="eastAsia" w:ascii="仿宋" w:eastAsia="仿宋"/>
                <w:szCs w:val="21"/>
              </w:rPr>
              <w:t>方案科学有效且具有可操作性的</w:t>
            </w:r>
            <w:r>
              <w:rPr>
                <w:rFonts w:hint="eastAsia" w:ascii="仿宋" w:eastAsia="仿宋" w:cs="仿宋"/>
                <w:szCs w:val="21"/>
              </w:rPr>
              <w:t>得0.71-1.00分，</w:t>
            </w:r>
            <w:r>
              <w:rPr>
                <w:rFonts w:hint="eastAsia" w:ascii="仿宋" w:eastAsia="仿宋"/>
                <w:szCs w:val="21"/>
              </w:rPr>
              <w:t>方案一般且能满足需要的</w:t>
            </w:r>
            <w:r>
              <w:rPr>
                <w:rFonts w:hint="eastAsia" w:ascii="仿宋" w:eastAsia="仿宋" w:cs="仿宋"/>
                <w:szCs w:val="21"/>
              </w:rPr>
              <w:t>得0.31-0.70分，</w:t>
            </w:r>
            <w:r>
              <w:rPr>
                <w:rFonts w:ascii="仿宋" w:eastAsia="仿宋" w:cs="仿宋"/>
                <w:szCs w:val="21"/>
              </w:rPr>
              <w:t>方</w:t>
            </w:r>
            <w:r>
              <w:rPr>
                <w:rFonts w:hint="eastAsia" w:ascii="仿宋" w:eastAsia="仿宋"/>
                <w:szCs w:val="21"/>
              </w:rPr>
              <w:t>案存在明显缺陷的</w:t>
            </w:r>
            <w:r>
              <w:rPr>
                <w:rFonts w:hint="eastAsia" w:ascii="仿宋" w:eastAsia="仿宋" w:cs="仿宋"/>
                <w:szCs w:val="21"/>
              </w:rPr>
              <w:t>得0.1-0.30分，未提供不得分。（本项最高得1分）</w:t>
            </w:r>
          </w:p>
        </w:tc>
      </w:tr>
    </w:tbl>
    <w:p>
      <w:pPr>
        <w:spacing w:line="360" w:lineRule="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sz w:val="28"/>
          <w:szCs w:val="28"/>
          <w:lang w:val="en-US" w:eastAsia="zh-CN"/>
        </w:rPr>
      </w:pPr>
    </w:p>
    <w:p>
      <w:pPr>
        <w:pStyle w:val="47"/>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671244"/>
      <w:bookmarkEnd w:id="113"/>
      <w:bookmarkStart w:id="114" w:name="_Hlt26955039"/>
      <w:bookmarkEnd w:id="114"/>
      <w:bookmarkStart w:id="115" w:name="_Toc120614282"/>
      <w:bookmarkStart w:id="116" w:name="_Toc26554094"/>
      <w:bookmarkStart w:id="117"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皖南医学院滨江校区1号、2号实验楼消防管道改造项目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rPr>
          <w:rStyle w:val="66"/>
          <w:rFonts w:hint="eastAsia"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26554103"/>
      <w:bookmarkStart w:id="119" w:name="_Toc24878535"/>
      <w:bookmarkStart w:id="120" w:name="_Toc49090582"/>
      <w:bookmarkStart w:id="121" w:name="_Toc23828483"/>
      <w:bookmarkStart w:id="122" w:name="_Toc22356583"/>
      <w:bookmarkStart w:id="123" w:name="_Toc513029281"/>
      <w:bookmarkStart w:id="124" w:name="_Toc120614291"/>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25"/>
    <w:p>
      <w:pPr>
        <w:rPr>
          <w:rFonts w:hint="eastAsia" w:ascii="华文中宋" w:hAnsi="华文中宋" w:eastAsia="华文中宋"/>
          <w:b/>
          <w:spacing w:val="-6"/>
          <w:szCs w:val="28"/>
        </w:rPr>
      </w:pPr>
      <w:bookmarkStart w:id="126" w:name="_Toc460901585"/>
      <w:bookmarkStart w:id="127" w:name="_Toc120614283"/>
      <w:bookmarkStart w:id="128" w:name="_Toc22356580"/>
      <w:bookmarkStart w:id="129" w:name="_Toc23828478"/>
      <w:bookmarkStart w:id="130" w:name="_Toc49090577"/>
      <w:bookmarkStart w:id="131" w:name="_Toc513029276"/>
      <w:bookmarkStart w:id="132"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仿宋_GB2312" w:eastAsia="仿宋_GB2312"/>
          <w:b/>
          <w:bCs/>
          <w:sz w:val="28"/>
          <w:szCs w:val="28"/>
          <w:lang w:eastAsia="zh-CN"/>
        </w:rPr>
      </w:pPr>
      <w:r>
        <w:rPr>
          <w:rFonts w:hint="eastAsia" w:ascii="仿宋_GB2312" w:eastAsia="仿宋_GB2312"/>
          <w:b/>
          <w:bCs/>
          <w:sz w:val="28"/>
          <w:szCs w:val="28"/>
        </w:rPr>
        <w:t>五、</w:t>
      </w:r>
      <w:r>
        <w:rPr>
          <w:rFonts w:hint="eastAsia" w:ascii="仿宋" w:eastAsia="仿宋" w:cs="仿宋"/>
          <w:b/>
          <w:bCs/>
          <w:szCs w:val="21"/>
        </w:rPr>
        <w:t>施工部署与方案</w:t>
      </w:r>
      <w:r>
        <w:rPr>
          <w:rFonts w:hint="eastAsia" w:ascii="仿宋_GB2312" w:eastAsia="仿宋_GB2312"/>
          <w:b/>
          <w:bCs/>
          <w:sz w:val="28"/>
          <w:szCs w:val="28"/>
          <w:lang w:eastAsia="zh-CN"/>
        </w:rPr>
        <w:t>、</w:t>
      </w:r>
      <w:r>
        <w:rPr>
          <w:rFonts w:hint="eastAsia" w:ascii="仿宋" w:eastAsia="仿宋" w:cs="仿宋"/>
          <w:b/>
          <w:bCs/>
          <w:szCs w:val="21"/>
        </w:rPr>
        <w:t>施工保障方案</w:t>
      </w:r>
      <w:r>
        <w:rPr>
          <w:rFonts w:hint="eastAsia" w:ascii="仿宋_GB2312" w:hAnsi="宋体" w:eastAsia="仿宋_GB2312"/>
          <w:b/>
          <w:bCs/>
          <w:sz w:val="28"/>
          <w:szCs w:val="28"/>
        </w:rPr>
        <w:t>、</w:t>
      </w:r>
      <w:r>
        <w:rPr>
          <w:rFonts w:hint="eastAsia" w:ascii="仿宋" w:eastAsia="仿宋" w:cs="仿宋"/>
          <w:b/>
          <w:bCs/>
          <w:szCs w:val="21"/>
        </w:rPr>
        <w:t>施工进度计划</w:t>
      </w:r>
      <w:r>
        <w:rPr>
          <w:rFonts w:hint="eastAsia" w:ascii="仿宋_GB2312" w:hAnsi="宋体" w:eastAsia="仿宋_GB2312"/>
          <w:b/>
          <w:bCs/>
          <w:sz w:val="28"/>
          <w:szCs w:val="28"/>
          <w:lang w:eastAsia="zh-CN"/>
        </w:rPr>
        <w:t>、</w:t>
      </w:r>
      <w:r>
        <w:rPr>
          <w:rFonts w:hint="eastAsia" w:ascii="仿宋" w:eastAsia="仿宋" w:cs="仿宋"/>
          <w:b/>
          <w:bCs/>
          <w:szCs w:val="21"/>
        </w:rPr>
        <w:t>施工技术组织措施计划</w:t>
      </w:r>
      <w:r>
        <w:rPr>
          <w:rFonts w:hint="eastAsia" w:ascii="仿宋" w:eastAsia="仿宋" w:cs="仿宋"/>
          <w:b/>
          <w:bCs/>
          <w:szCs w:val="21"/>
          <w:lang w:eastAsia="zh-CN"/>
        </w:rPr>
        <w:t>、</w:t>
      </w:r>
      <w:r>
        <w:rPr>
          <w:rFonts w:hint="eastAsia" w:ascii="仿宋" w:eastAsia="仿宋" w:cs="仿宋"/>
          <w:b/>
          <w:bCs/>
          <w:szCs w:val="21"/>
        </w:rPr>
        <w:t>安全文明措施</w:t>
      </w:r>
      <w:r>
        <w:rPr>
          <w:rFonts w:hint="eastAsia" w:ascii="仿宋" w:eastAsia="仿宋" w:cs="仿宋"/>
          <w:b/>
          <w:bCs/>
          <w:szCs w:val="21"/>
          <w:lang w:eastAsia="zh-CN"/>
        </w:rPr>
        <w:t>、</w:t>
      </w:r>
      <w:r>
        <w:rPr>
          <w:rFonts w:hint="eastAsia" w:ascii="仿宋" w:eastAsia="仿宋" w:cs="仿宋"/>
          <w:b/>
          <w:bCs/>
          <w:szCs w:val="21"/>
        </w:rPr>
        <w:t>质量保证与承诺</w:t>
      </w:r>
      <w:r>
        <w:rPr>
          <w:rFonts w:hint="eastAsia" w:ascii="仿宋" w:eastAsia="仿宋" w:cs="仿宋"/>
          <w:b/>
          <w:bCs/>
          <w:szCs w:val="21"/>
          <w:lang w:eastAsia="zh-CN"/>
        </w:rPr>
        <w:t>等</w:t>
      </w:r>
      <w:r>
        <w:rPr>
          <w:rFonts w:hint="eastAsia" w:ascii="仿宋_GB2312" w:eastAsia="仿宋_GB2312"/>
          <w:b/>
          <w:bCs/>
          <w:sz w:val="28"/>
          <w:szCs w:val="28"/>
        </w:rPr>
        <w:t>投标人需要提供的其它材料</w:t>
      </w:r>
      <w:r>
        <w:rPr>
          <w:rFonts w:hint="eastAsia" w:ascii="仿宋_GB2312" w:eastAsia="仿宋_GB2312"/>
          <w:b/>
          <w:bCs/>
          <w:sz w:val="28"/>
          <w:szCs w:val="28"/>
          <w:lang w:eastAsia="zh-CN"/>
        </w:rPr>
        <w:t>。</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hint="eastAsia" w:ascii="仿宋_GB2312" w:hAnsi="华文中宋" w:eastAsia="仿宋_GB2312"/>
          <w:b/>
          <w:sz w:val="36"/>
          <w:szCs w:val="36"/>
          <w:highlight w:val="none"/>
        </w:rPr>
      </w:pPr>
      <w:r>
        <w:rPr>
          <w:rFonts w:hint="eastAsia" w:ascii="仿宋_GB2312" w:hAnsi="华文中宋" w:eastAsia="仿宋_GB2312"/>
          <w:b/>
          <w:sz w:val="36"/>
          <w:szCs w:val="36"/>
          <w:highlight w:val="none"/>
        </w:rPr>
        <w:t>皖南医学院采购质疑与投诉办法（试行）</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宋体" w:eastAsia="仿宋_GB2312" w:cs="宋体"/>
          <w:color w:val="333333"/>
          <w:sz w:val="28"/>
          <w:szCs w:val="28"/>
          <w:highlight w:val="none"/>
        </w:rPr>
      </w:pPr>
      <w:bookmarkStart w:id="133" w:name="_Toc374453341"/>
      <w:r>
        <w:rPr>
          <w:rFonts w:hint="eastAsia" w:ascii="仿宋_GB2312" w:hAnsi="黑体" w:eastAsia="仿宋_GB2312" w:cs="宋体"/>
          <w:b/>
          <w:bCs/>
          <w:color w:val="333333"/>
          <w:sz w:val="28"/>
          <w:szCs w:val="28"/>
          <w:highlight w:val="none"/>
        </w:rPr>
        <w:t>第一章</w:t>
      </w:r>
      <w:r>
        <w:rPr>
          <w:rFonts w:hint="eastAsia" w:ascii="宋体" w:hAnsi="宋体" w:eastAsia="仿宋_GB2312"/>
          <w:color w:val="333333"/>
          <w:sz w:val="28"/>
          <w:szCs w:val="28"/>
          <w:highlight w:val="none"/>
        </w:rPr>
        <w:t>  </w:t>
      </w:r>
      <w:r>
        <w:rPr>
          <w:rFonts w:hint="eastAsia" w:ascii="仿宋_GB2312" w:hAnsi="黑体" w:eastAsia="仿宋_GB2312" w:cs="宋体"/>
          <w:b/>
          <w:bCs/>
          <w:color w:val="333333"/>
          <w:sz w:val="28"/>
          <w:szCs w:val="28"/>
          <w:highlight w:val="none"/>
        </w:rPr>
        <w:t>总 则</w:t>
      </w:r>
      <w:bookmarkEnd w:id="133"/>
      <w:r>
        <w:rPr>
          <w:rFonts w:hint="eastAsia" w:ascii="宋体" w:hAnsi="宋体" w:eastAsia="仿宋_GB2312"/>
          <w:color w:val="333333"/>
          <w:sz w:val="28"/>
          <w:szCs w:val="28"/>
          <w:highlight w:val="none"/>
        </w:rPr>
        <w:t> </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sz w:val="28"/>
          <w:szCs w:val="28"/>
          <w:highlight w:val="none"/>
        </w:rPr>
      </w:pPr>
      <w:r>
        <w:rPr>
          <w:rFonts w:hint="eastAsia" w:ascii="仿宋_GB2312" w:hAnsi="宋体" w:eastAsia="仿宋_GB2312" w:cs="宋体"/>
          <w:b/>
          <w:bCs/>
          <w:color w:val="333333"/>
          <w:sz w:val="28"/>
          <w:szCs w:val="28"/>
          <w:highlight w:val="none"/>
        </w:rPr>
        <w:t xml:space="preserve"> 第一条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第二条</w:t>
      </w:r>
      <w:r>
        <w:rPr>
          <w:b w:val="0"/>
          <w:bCs w:val="0"/>
          <w:spacing w:val="98"/>
          <w:w w:val="100"/>
          <w:highlight w:val="none"/>
        </w:rPr>
        <w:t xml:space="preserve"> </w:t>
      </w:r>
      <w:r>
        <w:rPr>
          <w:rFonts w:hint="eastAsia" w:ascii="仿宋_GB2312" w:hAnsi="宋体" w:eastAsia="仿宋_GB2312" w:cs="宋体"/>
          <w:color w:val="333333"/>
          <w:kern w:val="2"/>
          <w:sz w:val="28"/>
          <w:szCs w:val="28"/>
          <w:highlight w:val="none"/>
          <w:lang w:val="en-US" w:eastAsia="zh-CN" w:bidi="ar-SA"/>
        </w:rPr>
        <w:t>本办法适用于学校采购活动质疑的提出与答复、投诉的提起与处理。</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第四条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供应商提出质疑和投诉应当坚持依法依规、诚实信用原则。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第五条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采购质疑答复和投诉处理应当坚持依法依规、权责对等、公平公正、简便高效原则。</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第六条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第七条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国资处、项目单位、采购代理机构应当在采购文件中载明接收质疑函和受理投诉的方式、联系部门、联系电话和通讯地址等信息。</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第八条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第九条</w:t>
      </w:r>
      <w:r>
        <w:rPr>
          <w:b w:val="0"/>
          <w:bCs w:val="0"/>
          <w:spacing w:val="97"/>
          <w:w w:val="100"/>
          <w:highlight w:val="none"/>
        </w:rPr>
        <w:t xml:space="preserve"> </w:t>
      </w:r>
      <w:r>
        <w:rPr>
          <w:rFonts w:hint="eastAsia" w:ascii="仿宋_GB2312" w:hAnsi="宋体" w:eastAsia="仿宋_GB2312" w:cs="宋体"/>
          <w:color w:val="333333"/>
          <w:kern w:val="2"/>
          <w:sz w:val="28"/>
          <w:szCs w:val="28"/>
          <w:highlight w:val="none"/>
          <w:lang w:val="en-US" w:eastAsia="zh-CN" w:bidi="ar-SA"/>
        </w:rPr>
        <w:t>以联合体形式参加学校采购活动的，其投诉应当由组成联合体的所有供应商共同提出。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宋体"/>
          <w:b/>
          <w:bCs/>
          <w:color w:val="333333"/>
          <w:sz w:val="28"/>
          <w:szCs w:val="28"/>
          <w:highlight w:val="none"/>
        </w:rPr>
      </w:pPr>
      <w:r>
        <w:rPr>
          <w:rFonts w:hint="eastAsia" w:ascii="仿宋_GB2312" w:hAnsi="黑体" w:eastAsia="仿宋_GB2312" w:cs="宋体"/>
          <w:b/>
          <w:bCs/>
          <w:color w:val="333333"/>
          <w:sz w:val="28"/>
          <w:szCs w:val="28"/>
          <w:highlight w:val="none"/>
        </w:rPr>
        <w:t>第二章 质疑的提出</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default"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b/>
          <w:bCs/>
          <w:color w:val="333333"/>
          <w:sz w:val="28"/>
          <w:szCs w:val="28"/>
          <w:highlight w:val="none"/>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第十二条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校内自主采购活动中，供应商提出质疑应当提交质疑函和必要的证明材料。质疑函应当包括下列内容：</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（一）供应商的姓名或者单位名称、地址、邮编、联系人及联系电话；</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（二）质疑项目的名称、编号；</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（三）具体、明确的质疑事项和与质疑事项相关的请求；</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（五）必要的法律依据；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（六）提出质疑的日期。供应商为自然人的，应当由本人签字；供应商为法人或者其他组织的，应当由法定代表人、主要负责人，或者其授权代表签字或者盖章，并加盖公章。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highlight w:val="none"/>
        </w:rPr>
      </w:pPr>
      <w:r>
        <w:rPr>
          <w:rFonts w:hint="eastAsia" w:ascii="仿宋_GB2312" w:hAnsi="宋体" w:eastAsia="仿宋_GB2312" w:cs="宋体"/>
          <w:b/>
          <w:bCs/>
          <w:color w:val="333333"/>
          <w:sz w:val="28"/>
          <w:szCs w:val="28"/>
          <w:highlight w:val="none"/>
        </w:rPr>
        <w:t>第十三条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供应商的书面质疑如不符合本办法第十二条的规定，国资处、项目单位、采购代理机构应及时书面告知其补充或修改书面质疑材料的具体内容，并规定重新提交书面质疑的期限。</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微软雅黑" w:eastAsia="仿宋_GB2312"/>
          <w:color w:val="3E3E3E"/>
          <w:sz w:val="28"/>
          <w:szCs w:val="28"/>
          <w:highlight w:val="none"/>
        </w:rPr>
      </w:pPr>
      <w:r>
        <w:rPr>
          <w:rFonts w:hint="eastAsia" w:ascii="仿宋_GB2312" w:hAnsi="黑体" w:eastAsia="仿宋_GB2312"/>
          <w:b/>
          <w:color w:val="3E3E3E"/>
          <w:sz w:val="28"/>
          <w:szCs w:val="28"/>
          <w:highlight w:val="none"/>
        </w:rPr>
        <w:t>第三章  质疑的答复</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校内自主采购活动中，国资处、项目单位、采购代理机构不得拒收质疑供应商在法定质疑期内发出的质疑函，应当在收到质疑函后 7 个工作日内作出答复，并以书面形式通知质疑供应商。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供应商的书面质疑属于下列情形之一的，国资处、项目单位、采购代理机构可不予受理，并以书面形式告知其不予受理的原因：</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（一）未通过资格审核，或未参与该采购项目活动的供应商；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b w:val="0"/>
          <w:bCs w:val="0"/>
          <w:spacing w:val="0"/>
          <w:w w:val="99"/>
          <w:highlight w:val="none"/>
        </w:rPr>
      </w:pPr>
      <w:r>
        <w:rPr>
          <w:rFonts w:hint="eastAsia" w:ascii="仿宋_GB2312" w:hAnsi="宋体" w:eastAsia="仿宋_GB2312" w:cs="Calibri"/>
          <w:color w:val="333333"/>
          <w:kern w:val="2"/>
          <w:sz w:val="28"/>
          <w:szCs w:val="28"/>
          <w:highlight w:val="none"/>
          <w:lang w:val="en-US" w:eastAsia="zh-CN" w:bidi="ar-SA"/>
        </w:rPr>
        <w:t>（二）已超过法律规定或采购文件约定的质疑期限。</w:t>
      </w:r>
      <w:r>
        <w:rPr>
          <w:b w:val="0"/>
          <w:bCs w:val="0"/>
          <w:spacing w:val="0"/>
          <w:w w:val="99"/>
          <w:highlight w:val="none"/>
        </w:rPr>
        <w:t xml:space="preserve"> </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国资处、项目单位可就供应商的质疑事项进行调查取证，有关当事人应当如实反映情况和提供有关材料。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校内自主采购活动中，供应商对评审过程、中标或者成交结果提出质疑的，国资处、项目单位、采购代理机构可以组织原采购评审小组共同答复质疑。</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校内自主采购活动中，质疑答复应当包括下列内容：</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（一）质疑供应商的姓名或者单位名称；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（二）收到质疑函的日期、质疑项目名称及编号；</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（三）质疑事项、质疑答复的具体内容、事实依据和法律及相关政策规定等依据；</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（四）告知质疑供应商依法投诉的权利；</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（五）质疑答复人名称；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（六）答复质疑的日期。</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质疑答复的内容不得涉及商业秘密。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5"/>
        <w:keepNext w:val="0"/>
        <w:keepLines w:val="0"/>
        <w:pageBreakBefore w:val="0"/>
        <w:kinsoku/>
        <w:wordWrap/>
        <w:overflowPunct/>
        <w:topLinePunct w:val="0"/>
        <w:autoSpaceDE/>
        <w:autoSpaceDN/>
        <w:bidi w:val="0"/>
        <w:spacing w:after="0" w:line="240" w:lineRule="auto"/>
        <w:ind w:right="247"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5"/>
        <w:keepNext w:val="0"/>
        <w:keepLines w:val="0"/>
        <w:pageBreakBefore w:val="0"/>
        <w:kinsoku/>
        <w:wordWrap/>
        <w:overflowPunct/>
        <w:topLinePunct w:val="0"/>
        <w:autoSpaceDE/>
        <w:autoSpaceDN/>
        <w:bidi w:val="0"/>
        <w:spacing w:after="0" w:line="240" w:lineRule="auto"/>
        <w:ind w:right="0"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质疑答复导致中标、成交结果改变的，国资处、项目单位应当将有关情况书面报告纪委办公室。</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第四章  投诉的提起</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第二十一条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校内自主采购活动中，投诉人投诉时,应当提交投诉书和必要的证明材料。投诉书应当包括下列内容：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 址、邮编、联系人及联系电话；</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（二）质疑和质疑答复情况说明及相关证明材料；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（三）具体、明确的投诉事项和与投诉事项相关的投诉请求；</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 xml:space="preserve">（六）提起投诉的日期。 </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投诉人为自然人的，应当由本人签字；投诉人为法人或者其他组织的，应当由法定代表人、主要负责人，或者其授权代表签字或者盖章，并加盖公章。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第二十二条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投诉人应当根据本办法第七条规定的信息内容，并按照其规定的方式提起投诉。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投诉人提起投诉应当符合下列条件：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（一）提起投诉前已依法、依规进行质疑；</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（二）投诉书内容符合本办法的规定；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（三）在投诉有效期限内提起投诉；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（四）同一投诉事项未经投诉处理。</w:t>
      </w:r>
    </w:p>
    <w:p>
      <w:pPr>
        <w:pStyle w:val="15"/>
        <w:keepNext w:val="0"/>
        <w:keepLines w:val="0"/>
        <w:pageBreakBefore w:val="0"/>
        <w:tabs>
          <w:tab w:val="left" w:pos="2762"/>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第五章  投诉的处理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纪委办公室收到投诉书后，应当在 5 个工作日内进行审查，审查后按照下列情况处理：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（二）投诉不符合本办法第二十二条规定条件的，应当在 3 个工作日内书面告知投诉人不予受理，并说明理由；</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（三）投诉不属于本部门管辖的，应当在 3 个工作日内书面告知投诉人向有管辖权的部门提起投诉；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第二十五条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国资处、项目单位和其他与投诉事项有关的当事人应当在收到投诉答复通知书及投诉书副本之日起 5 个工作日内，以书面形式向纪委办公室作出说明，并提交相关证据、依据和其他有关材料。</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第二十六条</w:t>
      </w:r>
      <w:r>
        <w:rPr>
          <w:b w:val="0"/>
          <w:bCs w:val="0"/>
          <w:spacing w:val="124"/>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纪委办公室处理投诉事项原则上采用书面审查的方式。纪委办公室认为有必要时，可以进行调查取证或者组织质证。</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第二十七条</w:t>
      </w:r>
      <w:r>
        <w:rPr>
          <w:b w:val="0"/>
          <w:bCs w:val="0"/>
          <w:spacing w:val="101"/>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纪委办公室可以根据法律、法规规定或者职责权限，委托相关单位或者第三方开展调查取证、检验、检测、鉴定。质证应当通知相关当事人到场，并制作质证笔录。质证笔录应当由当事人签字确认。</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第二十八条</w:t>
      </w:r>
      <w:r>
        <w:rPr>
          <w:b w:val="0"/>
          <w:bCs w:val="0"/>
          <w:spacing w:val="98"/>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纪委办公室依法、依规进行调查取证时，投诉人、国资处、项目单位以及与投诉事项有关的部门及人员应当如实反映情况，并提供纪委办公室所需要的相关材料。</w:t>
      </w:r>
    </w:p>
    <w:p>
      <w:pPr>
        <w:pStyle w:val="15"/>
        <w:keepNext w:val="0"/>
        <w:keepLines w:val="0"/>
        <w:pageBreakBefore w:val="0"/>
        <w:kinsoku/>
        <w:wordWrap/>
        <w:overflowPunct/>
        <w:topLinePunct w:val="0"/>
        <w:autoSpaceDE/>
        <w:autoSpaceDN/>
        <w:bidi w:val="0"/>
        <w:spacing w:after="0" w:line="240" w:lineRule="auto"/>
        <w:ind w:right="101"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第二十九条</w:t>
      </w:r>
      <w:r>
        <w:rPr>
          <w:b w:val="0"/>
          <w:bCs w:val="0"/>
          <w:spacing w:val="116"/>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第三十条 </w:t>
      </w:r>
      <w:r>
        <w:rPr>
          <w:rFonts w:hint="eastAsia" w:ascii="仿宋_GB2312" w:hAnsi="宋体" w:eastAsia="仿宋_GB2312" w:cs="Calibri"/>
          <w:color w:val="333333"/>
          <w:kern w:val="2"/>
          <w:sz w:val="28"/>
          <w:szCs w:val="28"/>
          <w:highlight w:val="none"/>
          <w:lang w:val="en-US" w:eastAsia="zh-CN" w:bidi="ar-SA"/>
        </w:rPr>
        <w:t>纪委办公室应当自收到投诉之日起 30 个工作日内，对投诉事项作出处理决定。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第三十一条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第三十二条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纪委办公室在处理投诉事项期间，可以视具体情况书面通知国资处、项目单位、采购代理机构暂停采购活动，暂停采购活动时间最长不得超过 30 日。</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国资处、项目单位、采购代理机构收到暂停采购活动通知后应当立即中止采购活动，在法定的暂停期限结束前或者 纪委办公室发出恢复采购活动通知前，不得进行该项采购活动。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第三十三条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投诉处理过程中，有下列情形之一的，纪委办公室应当驳回投诉：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（一）发现投诉不符合受理条件；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（二）投诉事项缺乏事实依据，投诉事项不成立；</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（三）投诉人捏造事实或者提供虚假材料；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纪委办公室受理投诉后,投诉人书面申请撤回投诉的，纪委办公室应当终止投诉处理程序，并书面告知相关当事人。</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（四）采购合同已经履行，给他人造成损失的，相关当事人可依法提起诉讼,由责任人承担赔偿责任。投诉人对废标行为提起的投诉事项成立的，纪委办公室应当认定废标行为无效。</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纪委办公室作出处理决定，应当制作投诉处理决定书，并加盖公章。投诉处理决定书应当包括下列内容：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（一）投诉人和被投诉人的姓名或者单位名称、通讯地址等；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（二）处理决定查明的事实和相关依据，具体处理决定和法律依据；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（三）告知相关当事人向上级主管部门投诉或提起民事诉讼的权利；</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（四）作出处理决定的日期。</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纪委办公室应当将投诉处理决定书送达投诉人和与投诉事项有关的当事人，并及时将投诉处理结果在校园网公告。</w:t>
      </w:r>
    </w:p>
    <w:p>
      <w:pPr>
        <w:pStyle w:val="15"/>
        <w:keepNext w:val="0"/>
        <w:keepLines w:val="0"/>
        <w:pageBreakBefore w:val="0"/>
        <w:tabs>
          <w:tab w:val="left" w:pos="2680"/>
        </w:tabs>
        <w:kinsoku/>
        <w:wordWrap/>
        <w:overflowPunct/>
        <w:topLinePunct w:val="0"/>
        <w:autoSpaceDE/>
        <w:autoSpaceDN/>
        <w:bidi w:val="0"/>
        <w:spacing w:after="0" w:line="240" w:lineRule="auto"/>
        <w:ind w:right="0" w:firstLine="562" w:firstLineChars="20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纪委办公室应当完善投诉处理档案管理。</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第六章  法律责任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国资处、项目部门、采购代理机构有下列情形之一的，由纪委办公室责令限期改正；情节严重的，给予警告，对直接负责的主管人员和其他直接责任人员依法依规追究相应责任：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（一）拒收质疑供应商在质疑期内发出的质疑函；</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（二）对质疑不予答复或者答复与事实明显不符，并不能作出合理说明；</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（三）拒绝配合纪委办公室处理投诉事宜。</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第四十一条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投诉人在学校采购活动中 12 个月内三次以上投诉查无实据的，列入不良行为记录名单。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投诉人有下列行为之一的，属于虚假、恶意投诉，由国资处、项目单位、纪委办公室列入不良行为记录名单，禁止 其 1 至 3 年内参加学校采购活动：</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（一）捏造事实;</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（二）提供虚假材料;</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（三）以非法手段取得证明材料。证据来源的合法性存在明显疑问，投诉人无法证明其取得方式合法的，视为以非法手段取得证明材料。</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第四十二条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国资处、项目单位在处理质疑过程中，发现采购当事人有违法违规行为的，应在规定的权限范围内及时给予处理；无权处理的，应移交有关部门依法依规处理。 </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国资处、项目单位和纪委办公室的工作人员在处理质疑、投诉过程中违反本办法规定及存在滥用职 权、玩忽职守、徇私舞弊等行为的，学校将依法依规追究其相应责任。</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第七章  附则</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质疑函和投诉书应当使用中文。质疑和投诉文本采用我校制定的范本。</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本办法由学校国有资产管理处负责解释。 </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sectPr>
          <w:pgSz w:w="11906" w:h="16840"/>
          <w:pgMar w:top="1500" w:right="1680" w:bottom="1260" w:left="1680" w:header="0" w:footer="1080" w:gutter="0"/>
          <w:cols w:space="720" w:num="1"/>
        </w:sectPr>
      </w:pPr>
      <w:r>
        <w:rPr>
          <w:rFonts w:hint="eastAsia" w:ascii="仿宋_GB2312" w:hAnsi="宋体" w:eastAsia="仿宋_GB2312" w:cs="宋体"/>
          <w:b/>
          <w:bCs/>
          <w:color w:val="333333"/>
          <w:sz w:val="28"/>
          <w:szCs w:val="28"/>
          <w:highlight w:val="none"/>
          <w:lang w:val="en-US" w:eastAsia="zh-CN"/>
        </w:rPr>
        <w:t xml:space="preserve">第四十六条  </w:t>
      </w:r>
      <w:r>
        <w:rPr>
          <w:rFonts w:hint="eastAsia" w:ascii="仿宋_GB2312" w:hAnsi="宋体" w:eastAsia="仿宋_GB2312" w:cs="Calibri"/>
          <w:color w:val="333333"/>
          <w:kern w:val="2"/>
          <w:sz w:val="28"/>
          <w:szCs w:val="28"/>
          <w:highlight w:val="none"/>
          <w:lang w:val="en-US" w:eastAsia="zh-CN" w:bidi="ar-SA"/>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312"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ind w:firstLine="560" w:firstLineChars="200"/>
        <w:jc w:val="left"/>
        <w:rPr>
          <w:rFonts w:hint="eastAsia" w:ascii="仿宋_GB2312" w:hAnsi="宋体" w:eastAsia="仿宋_GB2312"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hint="eastAsia" w:ascii="仿宋_GB2312" w:hAnsi="宋体" w:eastAsia="仿宋_GB2312" w:cs="宋体"/>
          <w:b/>
          <w:bCs/>
          <w:sz w:val="32"/>
          <w:szCs w:val="32"/>
        </w:rPr>
      </w:pPr>
    </w:p>
    <w:p>
      <w:pPr>
        <w:adjustRightInd w:val="0"/>
        <w:snapToGrid w:val="0"/>
        <w:spacing w:line="360" w:lineRule="auto"/>
        <w:rPr>
          <w:rFonts w:hint="eastAsia"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A8C64"/>
    <w:multiLevelType w:val="singleLevel"/>
    <w:tmpl w:val="FCCA8C64"/>
    <w:lvl w:ilvl="0" w:tentative="0">
      <w:start w:val="1"/>
      <w:numFmt w:val="chineseCounting"/>
      <w:suff w:val="nothing"/>
      <w:lvlText w:val="%1、"/>
      <w:lvlJc w:val="left"/>
      <w:rPr>
        <w:rFonts w:hint="eastAsia"/>
      </w:rPr>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33233B86"/>
    <w:multiLevelType w:val="singleLevel"/>
    <w:tmpl w:val="33233B8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BF978D5"/>
    <w:rsid w:val="0C5D773D"/>
    <w:rsid w:val="0D7754CF"/>
    <w:rsid w:val="0D7E2A6A"/>
    <w:rsid w:val="0DA16FB4"/>
    <w:rsid w:val="0DE65A99"/>
    <w:rsid w:val="0E7E3960"/>
    <w:rsid w:val="0ECE2C8D"/>
    <w:rsid w:val="107556EE"/>
    <w:rsid w:val="10A328AC"/>
    <w:rsid w:val="10CA7A92"/>
    <w:rsid w:val="11097CFF"/>
    <w:rsid w:val="117E50E0"/>
    <w:rsid w:val="11A93BAF"/>
    <w:rsid w:val="12A869B3"/>
    <w:rsid w:val="12DB5F87"/>
    <w:rsid w:val="134D6D48"/>
    <w:rsid w:val="13AE4F6A"/>
    <w:rsid w:val="144C1F9A"/>
    <w:rsid w:val="162C38CF"/>
    <w:rsid w:val="171262BF"/>
    <w:rsid w:val="17252284"/>
    <w:rsid w:val="177B58CD"/>
    <w:rsid w:val="18020BC4"/>
    <w:rsid w:val="186500A0"/>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140C99"/>
    <w:rsid w:val="2D31750C"/>
    <w:rsid w:val="2DE634B9"/>
    <w:rsid w:val="2EDF550D"/>
    <w:rsid w:val="2F407445"/>
    <w:rsid w:val="3025527A"/>
    <w:rsid w:val="30C91186"/>
    <w:rsid w:val="31495EDE"/>
    <w:rsid w:val="31921319"/>
    <w:rsid w:val="31BC6863"/>
    <w:rsid w:val="32FA2CBE"/>
    <w:rsid w:val="338B35BF"/>
    <w:rsid w:val="34092461"/>
    <w:rsid w:val="34700F39"/>
    <w:rsid w:val="34EF42C7"/>
    <w:rsid w:val="3531172D"/>
    <w:rsid w:val="35EA3087"/>
    <w:rsid w:val="36607CEC"/>
    <w:rsid w:val="36C46BAE"/>
    <w:rsid w:val="36EF1694"/>
    <w:rsid w:val="388443D5"/>
    <w:rsid w:val="38FB3C73"/>
    <w:rsid w:val="390659FB"/>
    <w:rsid w:val="390D1E7C"/>
    <w:rsid w:val="3A014C0D"/>
    <w:rsid w:val="3A3D3FD1"/>
    <w:rsid w:val="3B0D6490"/>
    <w:rsid w:val="3B6A356D"/>
    <w:rsid w:val="3BAB4838"/>
    <w:rsid w:val="3BF1493F"/>
    <w:rsid w:val="3C460065"/>
    <w:rsid w:val="3E2E563A"/>
    <w:rsid w:val="3E547D6D"/>
    <w:rsid w:val="3EA52FF6"/>
    <w:rsid w:val="3F2969DF"/>
    <w:rsid w:val="3F646DBC"/>
    <w:rsid w:val="43001B9C"/>
    <w:rsid w:val="44E0509A"/>
    <w:rsid w:val="457774F2"/>
    <w:rsid w:val="45C94FEF"/>
    <w:rsid w:val="462D2409"/>
    <w:rsid w:val="468E6891"/>
    <w:rsid w:val="47C1249E"/>
    <w:rsid w:val="481B4427"/>
    <w:rsid w:val="481E3C44"/>
    <w:rsid w:val="485756B9"/>
    <w:rsid w:val="48592ECE"/>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823DEE"/>
    <w:rsid w:val="529C0587"/>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22A6C63"/>
    <w:rsid w:val="62546789"/>
    <w:rsid w:val="62EF21DB"/>
    <w:rsid w:val="631D68AE"/>
    <w:rsid w:val="632D6F40"/>
    <w:rsid w:val="63AF1D1A"/>
    <w:rsid w:val="63F510AA"/>
    <w:rsid w:val="648E32AE"/>
    <w:rsid w:val="64A06B15"/>
    <w:rsid w:val="64D252BD"/>
    <w:rsid w:val="65412DFD"/>
    <w:rsid w:val="657F52AC"/>
    <w:rsid w:val="663A01C8"/>
    <w:rsid w:val="663C37BC"/>
    <w:rsid w:val="668B2466"/>
    <w:rsid w:val="66DB439B"/>
    <w:rsid w:val="66E003B2"/>
    <w:rsid w:val="672F50CE"/>
    <w:rsid w:val="6817729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276222A"/>
    <w:rsid w:val="73197CE0"/>
    <w:rsid w:val="732A1BFA"/>
    <w:rsid w:val="73344FDD"/>
    <w:rsid w:val="73616E39"/>
    <w:rsid w:val="73C0694D"/>
    <w:rsid w:val="74A54B7B"/>
    <w:rsid w:val="751B270C"/>
    <w:rsid w:val="7532635D"/>
    <w:rsid w:val="764364A0"/>
    <w:rsid w:val="768C17FB"/>
    <w:rsid w:val="77722493"/>
    <w:rsid w:val="79002FDD"/>
    <w:rsid w:val="79A864D4"/>
    <w:rsid w:val="7A2C2B5D"/>
    <w:rsid w:val="7A3C397B"/>
    <w:rsid w:val="7CBB28FC"/>
    <w:rsid w:val="7D2106AF"/>
    <w:rsid w:val="7D2D2186"/>
    <w:rsid w:val="7D5371E9"/>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2"/>
    <w:qFormat/>
    <w:uiPriority w:val="9"/>
    <w:pPr>
      <w:keepNext/>
      <w:keepLines/>
      <w:spacing w:before="260" w:after="260" w:line="416" w:lineRule="auto"/>
      <w:outlineLvl w:val="2"/>
    </w:pPr>
    <w:rPr>
      <w:b/>
      <w:bCs/>
      <w:sz w:val="32"/>
      <w:szCs w:val="32"/>
    </w:rPr>
  </w:style>
  <w:style w:type="paragraph" w:styleId="9">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4"/>
    <w:qFormat/>
    <w:uiPriority w:val="9"/>
    <w:pPr>
      <w:keepNext/>
      <w:keepLines/>
      <w:spacing w:before="280" w:after="290" w:line="376" w:lineRule="auto"/>
      <w:outlineLvl w:val="4"/>
    </w:pPr>
    <w:rPr>
      <w:b/>
      <w:bCs/>
      <w:szCs w:val="28"/>
    </w:rPr>
  </w:style>
  <w:style w:type="paragraph" w:styleId="11">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9"/>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Body Text"/>
    <w:basedOn w:val="1"/>
    <w:unhideWhenUsed/>
    <w:qFormat/>
    <w:uiPriority w:val="99"/>
    <w:pPr>
      <w:spacing w:after="120"/>
    </w:pPr>
    <w:rPr>
      <w:rFonts w:cs="Times New Roman"/>
    </w:rPr>
  </w:style>
  <w:style w:type="paragraph" w:styleId="16">
    <w:name w:val="index 4"/>
    <w:basedOn w:val="1"/>
    <w:next w:val="1"/>
    <w:qFormat/>
    <w:uiPriority w:val="99"/>
    <w:pPr>
      <w:ind w:left="600" w:leftChars="600"/>
    </w:pPr>
    <w:rPr>
      <w:szCs w:val="24"/>
    </w:rPr>
  </w:style>
  <w:style w:type="paragraph" w:styleId="17">
    <w:name w:val="Plain Text"/>
    <w:basedOn w:val="1"/>
    <w:link w:val="57"/>
    <w:qFormat/>
    <w:uiPriority w:val="0"/>
    <w:pPr>
      <w:spacing w:beforeLines="50" w:afterLines="50" w:line="400" w:lineRule="atLeast"/>
    </w:pPr>
    <w:rPr>
      <w:rFonts w:ascii="宋体" w:hAnsi="Courier New"/>
      <w:kern w:val="0"/>
      <w:sz w:val="24"/>
    </w:rPr>
  </w:style>
  <w:style w:type="paragraph" w:styleId="18">
    <w:name w:val="Date"/>
    <w:basedOn w:val="1"/>
    <w:next w:val="1"/>
    <w:link w:val="58"/>
    <w:unhideWhenUsed/>
    <w:qFormat/>
    <w:uiPriority w:val="99"/>
    <w:pPr>
      <w:ind w:left="100" w:leftChars="2500"/>
    </w:pPr>
  </w:style>
  <w:style w:type="paragraph" w:styleId="19">
    <w:name w:val="Balloon Text"/>
    <w:basedOn w:val="1"/>
    <w:link w:val="59"/>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2"/>
    <w:qFormat/>
    <w:uiPriority w:val="10"/>
    <w:pPr>
      <w:spacing w:before="240" w:after="60"/>
      <w:jc w:val="center"/>
      <w:outlineLvl w:val="0"/>
    </w:pPr>
    <w:rPr>
      <w:rFonts w:ascii="Cambria" w:hAnsi="Cambria" w:cs="Times New Roman"/>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3"/>
    <w:qFormat/>
    <w:locked/>
    <w:uiPriority w:val="0"/>
    <w:rPr>
      <w:rFonts w:ascii="宋体" w:hAnsi="Courier New" w:eastAsia="宋体"/>
      <w:spacing w:val="-4"/>
      <w:sz w:val="18"/>
    </w:rPr>
  </w:style>
  <w:style w:type="character" w:customStyle="1" w:styleId="50">
    <w:name w:val="标题 1 Char"/>
    <w:basedOn w:val="29"/>
    <w:link w:val="6"/>
    <w:qFormat/>
    <w:uiPriority w:val="0"/>
    <w:rPr>
      <w:rFonts w:ascii="宋体" w:hAnsi="Arial" w:eastAsia="黑体" w:cs="Times New Roman"/>
      <w:b/>
      <w:bCs/>
      <w:color w:val="000000"/>
      <w:kern w:val="44"/>
      <w:sz w:val="36"/>
      <w:szCs w:val="32"/>
    </w:rPr>
  </w:style>
  <w:style w:type="character" w:customStyle="1" w:styleId="51">
    <w:name w:val="标题 2 Char"/>
    <w:basedOn w:val="29"/>
    <w:link w:val="7"/>
    <w:semiHidden/>
    <w:qFormat/>
    <w:uiPriority w:val="9"/>
    <w:rPr>
      <w:rFonts w:ascii="Cambria" w:hAnsi="Cambria" w:eastAsia="宋体" w:cs="Times New Roman"/>
      <w:b/>
      <w:bCs/>
      <w:sz w:val="32"/>
      <w:szCs w:val="32"/>
    </w:rPr>
  </w:style>
  <w:style w:type="character" w:customStyle="1" w:styleId="52">
    <w:name w:val="标题 3 Char1"/>
    <w:basedOn w:val="29"/>
    <w:link w:val="8"/>
    <w:semiHidden/>
    <w:qFormat/>
    <w:uiPriority w:val="9"/>
    <w:rPr>
      <w:rFonts w:ascii="Times New Roman" w:hAnsi="Times New Roman" w:eastAsia="宋体" w:cs="Times New Roman"/>
      <w:b/>
      <w:bCs/>
      <w:sz w:val="32"/>
      <w:szCs w:val="32"/>
    </w:rPr>
  </w:style>
  <w:style w:type="character" w:customStyle="1" w:styleId="53">
    <w:name w:val="标题 4 Char"/>
    <w:basedOn w:val="29"/>
    <w:link w:val="9"/>
    <w:semiHidden/>
    <w:qFormat/>
    <w:uiPriority w:val="9"/>
    <w:rPr>
      <w:rFonts w:ascii="Cambria" w:hAnsi="Cambria" w:eastAsia="宋体" w:cs="Times New Roman"/>
      <w:b/>
      <w:bCs/>
      <w:sz w:val="28"/>
      <w:szCs w:val="28"/>
    </w:rPr>
  </w:style>
  <w:style w:type="character" w:customStyle="1" w:styleId="54">
    <w:name w:val="标题 5 Char"/>
    <w:basedOn w:val="29"/>
    <w:link w:val="10"/>
    <w:semiHidden/>
    <w:qFormat/>
    <w:uiPriority w:val="9"/>
    <w:rPr>
      <w:rFonts w:ascii="Times New Roman" w:hAnsi="Times New Roman" w:eastAsia="宋体" w:cs="Times New Roman"/>
      <w:b/>
      <w:bCs/>
      <w:sz w:val="28"/>
      <w:szCs w:val="28"/>
    </w:rPr>
  </w:style>
  <w:style w:type="character" w:customStyle="1" w:styleId="55">
    <w:name w:val="标题 6 Char"/>
    <w:basedOn w:val="29"/>
    <w:link w:val="11"/>
    <w:semiHidden/>
    <w:qFormat/>
    <w:uiPriority w:val="9"/>
    <w:rPr>
      <w:rFonts w:ascii="Cambria" w:hAnsi="Cambria" w:eastAsia="宋体" w:cs="Times New Roman"/>
      <w:b/>
      <w:bCs/>
      <w:sz w:val="24"/>
      <w:szCs w:val="24"/>
    </w:rPr>
  </w:style>
  <w:style w:type="character" w:customStyle="1" w:styleId="56">
    <w:name w:val="标题 7 Char"/>
    <w:basedOn w:val="29"/>
    <w:link w:val="12"/>
    <w:semiHidden/>
    <w:qFormat/>
    <w:uiPriority w:val="9"/>
    <w:rPr>
      <w:rFonts w:ascii="Times New Roman" w:hAnsi="Times New Roman" w:eastAsia="宋体" w:cs="Times New Roman"/>
      <w:b/>
      <w:bCs/>
      <w:sz w:val="24"/>
      <w:szCs w:val="24"/>
    </w:rPr>
  </w:style>
  <w:style w:type="character" w:customStyle="1" w:styleId="57">
    <w:name w:val="纯文本 Char1"/>
    <w:link w:val="17"/>
    <w:qFormat/>
    <w:uiPriority w:val="0"/>
    <w:rPr>
      <w:rFonts w:ascii="宋体" w:hAnsi="Courier New" w:eastAsia="宋体"/>
      <w:sz w:val="24"/>
    </w:rPr>
  </w:style>
  <w:style w:type="character" w:customStyle="1" w:styleId="58">
    <w:name w:val="日期 Char"/>
    <w:basedOn w:val="29"/>
    <w:link w:val="18"/>
    <w:semiHidden/>
    <w:qFormat/>
    <w:uiPriority w:val="99"/>
    <w:rPr>
      <w:rFonts w:ascii="Times New Roman" w:hAnsi="Times New Roman" w:eastAsia="宋体" w:cs="Times New Roman"/>
      <w:sz w:val="28"/>
      <w:szCs w:val="20"/>
    </w:rPr>
  </w:style>
  <w:style w:type="character" w:customStyle="1" w:styleId="59">
    <w:name w:val="批注框文本 Char"/>
    <w:basedOn w:val="29"/>
    <w:link w:val="19"/>
    <w:semiHidden/>
    <w:qFormat/>
    <w:uiPriority w:val="99"/>
    <w:rPr>
      <w:rFonts w:ascii="Times New Roman" w:hAnsi="Times New Roman" w:eastAsia="宋体" w:cs="Times New Roman"/>
      <w:sz w:val="18"/>
      <w:szCs w:val="18"/>
    </w:rPr>
  </w:style>
  <w:style w:type="character" w:customStyle="1" w:styleId="60">
    <w:name w:val="页脚 Char"/>
    <w:basedOn w:val="29"/>
    <w:link w:val="20"/>
    <w:qFormat/>
    <w:uiPriority w:val="99"/>
    <w:rPr>
      <w:rFonts w:ascii="Times New Roman" w:hAnsi="Times New Roman" w:eastAsia="宋体" w:cs="Times New Roman"/>
      <w:sz w:val="18"/>
      <w:szCs w:val="18"/>
    </w:rPr>
  </w:style>
  <w:style w:type="character" w:customStyle="1" w:styleId="61">
    <w:name w:val="页眉 Char"/>
    <w:basedOn w:val="29"/>
    <w:link w:val="21"/>
    <w:semiHidden/>
    <w:qFormat/>
    <w:uiPriority w:val="99"/>
    <w:rPr>
      <w:rFonts w:ascii="Times New Roman" w:hAnsi="Times New Roman" w:eastAsia="宋体" w:cs="Times New Roman"/>
      <w:sz w:val="18"/>
      <w:szCs w:val="18"/>
    </w:rPr>
  </w:style>
  <w:style w:type="character" w:customStyle="1" w:styleId="62">
    <w:name w:val="标题 Char"/>
    <w:basedOn w:val="29"/>
    <w:link w:val="26"/>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45</Pages>
  <Words>20534</Words>
  <Characters>21244</Characters>
  <Lines>158</Lines>
  <Paragraphs>44</Paragraphs>
  <TotalTime>0</TotalTime>
  <ScaleCrop>false</ScaleCrop>
  <LinksUpToDate>false</LinksUpToDate>
  <CharactersWithSpaces>24220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2023-06-29T01:31:43Z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