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jc w:val="center"/>
        <w:outlineLvl w:val="0"/>
        <w:rPr>
          <w:rFonts w:hint="eastAsia" w:ascii="宋体" w:hAnsi="宋体" w:eastAsia="宋体" w:cs="Times New Roman"/>
          <w:b/>
          <w:color w:val="auto"/>
          <w:kern w:val="0"/>
          <w:sz w:val="28"/>
          <w:szCs w:val="20"/>
          <w:highlight w:val="none"/>
        </w:rPr>
      </w:pPr>
      <w:bookmarkStart w:id="0" w:name="_Toc30873"/>
      <w:r>
        <w:rPr>
          <w:rFonts w:hint="eastAsia" w:ascii="宋体" w:hAnsi="宋体" w:eastAsia="宋体" w:cs="Times New Roman"/>
          <w:b/>
          <w:color w:val="auto"/>
          <w:kern w:val="0"/>
          <w:sz w:val="28"/>
          <w:szCs w:val="20"/>
          <w:highlight w:val="none"/>
          <w:lang w:val="en-US" w:eastAsia="zh-CN" w:bidi="ar-SA"/>
        </w:rPr>
        <w:t>第三章</w:t>
      </w:r>
      <w:r>
        <w:rPr>
          <w:rFonts w:hint="eastAsia" w:ascii="宋体" w:hAnsi="宋体" w:eastAsia="宋体" w:cs="Times New Roman"/>
          <w:b/>
          <w:color w:val="auto"/>
          <w:kern w:val="0"/>
          <w:sz w:val="28"/>
          <w:szCs w:val="20"/>
          <w:highlight w:val="none"/>
        </w:rPr>
        <w:t xml:space="preserve"> 采购需求</w:t>
      </w:r>
      <w:bookmarkEnd w:id="0"/>
    </w:p>
    <w:p>
      <w:pPr>
        <w:widowControl w:val="0"/>
        <w:numPr>
          <w:ilvl w:val="0"/>
          <w:numId w:val="0"/>
        </w:numPr>
        <w:spacing w:after="120"/>
        <w:ind w:left="420" w:leftChars="200" w:firstLine="482" w:firstLineChars="200"/>
        <w:jc w:val="both"/>
        <w:outlineLvl w:val="1"/>
        <w:rPr>
          <w:rFonts w:hint="default" w:ascii="Times New Roman" w:hAnsi="Times New Roman" w:eastAsia="宋体" w:cs="Times New Roman"/>
          <w:b/>
          <w:bCs/>
          <w:kern w:val="2"/>
          <w:sz w:val="24"/>
          <w:szCs w:val="24"/>
          <w:highlight w:val="none"/>
          <w:lang w:val="en-US" w:eastAsia="zh-CN" w:bidi="ar-SA"/>
        </w:rPr>
      </w:pPr>
      <w:r>
        <w:rPr>
          <w:rFonts w:hint="eastAsia" w:ascii="Times New Roman" w:hAnsi="Times New Roman" w:eastAsia="宋体" w:cs="Times New Roman"/>
          <w:b/>
          <w:bCs/>
          <w:kern w:val="2"/>
          <w:sz w:val="24"/>
          <w:szCs w:val="24"/>
          <w:highlight w:val="none"/>
          <w:lang w:val="en-US" w:eastAsia="zh-CN" w:bidi="ar-SA"/>
        </w:rPr>
        <w:t>一、采购需求前附表</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
        <w:gridCol w:w="1277"/>
        <w:gridCol w:w="6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pPr>
              <w:spacing w:line="360" w:lineRule="auto"/>
              <w:jc w:val="center"/>
              <w:rPr>
                <w:rFonts w:ascii="宋体" w:hAnsi="宋体" w:eastAsia="宋体" w:cs="@仿宋_GB2312"/>
                <w:b/>
                <w:color w:val="auto"/>
                <w:kern w:val="2"/>
                <w:sz w:val="24"/>
                <w:szCs w:val="22"/>
                <w:highlight w:val="none"/>
              </w:rPr>
            </w:pPr>
            <w:r>
              <w:rPr>
                <w:rFonts w:hint="eastAsia" w:ascii="宋体" w:hAnsi="宋体" w:eastAsia="宋体" w:cs="@仿宋_GB2312"/>
                <w:b/>
                <w:color w:val="auto"/>
                <w:kern w:val="2"/>
                <w:sz w:val="24"/>
                <w:szCs w:val="22"/>
                <w:highlight w:val="none"/>
              </w:rPr>
              <w:t>序号</w:t>
            </w:r>
          </w:p>
        </w:tc>
        <w:tc>
          <w:tcPr>
            <w:tcW w:w="749" w:type="pct"/>
            <w:vAlign w:val="center"/>
          </w:tcPr>
          <w:p>
            <w:pPr>
              <w:spacing w:line="360" w:lineRule="auto"/>
              <w:ind w:firstLine="435"/>
              <w:jc w:val="center"/>
              <w:rPr>
                <w:rFonts w:ascii="宋体" w:hAnsi="宋体" w:eastAsia="宋体" w:cs="@仿宋_GB2312"/>
                <w:b/>
                <w:color w:val="auto"/>
                <w:kern w:val="2"/>
                <w:sz w:val="24"/>
                <w:szCs w:val="22"/>
                <w:highlight w:val="none"/>
              </w:rPr>
            </w:pPr>
            <w:r>
              <w:rPr>
                <w:rFonts w:hint="eastAsia" w:ascii="宋体" w:hAnsi="宋体" w:eastAsia="宋体" w:cs="@仿宋_GB2312"/>
                <w:b/>
                <w:color w:val="auto"/>
                <w:kern w:val="2"/>
                <w:sz w:val="24"/>
                <w:szCs w:val="22"/>
                <w:highlight w:val="none"/>
              </w:rPr>
              <w:t>内容</w:t>
            </w:r>
          </w:p>
        </w:tc>
        <w:tc>
          <w:tcPr>
            <w:tcW w:w="3688" w:type="pct"/>
            <w:vAlign w:val="center"/>
          </w:tcPr>
          <w:p>
            <w:pPr>
              <w:spacing w:line="360" w:lineRule="auto"/>
              <w:ind w:firstLine="435"/>
              <w:jc w:val="center"/>
              <w:rPr>
                <w:rFonts w:ascii="宋体" w:hAnsi="宋体" w:eastAsia="宋体" w:cs="@仿宋_GB2312"/>
                <w:b/>
                <w:color w:val="auto"/>
                <w:kern w:val="2"/>
                <w:sz w:val="24"/>
                <w:szCs w:val="22"/>
                <w:highlight w:val="none"/>
              </w:rPr>
            </w:pPr>
            <w:r>
              <w:rPr>
                <w:rFonts w:hint="eastAsia" w:ascii="宋体" w:hAnsi="宋体" w:eastAsia="宋体" w:cs="@仿宋_GB2312"/>
                <w:b/>
                <w:color w:val="auto"/>
                <w:kern w:val="2"/>
                <w:sz w:val="24"/>
                <w:szCs w:val="22"/>
                <w:highlight w:val="none"/>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pPr>
              <w:spacing w:line="360" w:lineRule="auto"/>
              <w:jc w:val="center"/>
              <w:rPr>
                <w:rFonts w:hint="eastAsia" w:ascii="宋体" w:hAnsi="宋体" w:eastAsia="宋体" w:cs="@仿宋_GB2312"/>
                <w:color w:val="auto"/>
                <w:kern w:val="2"/>
                <w:sz w:val="24"/>
                <w:szCs w:val="22"/>
                <w:highlight w:val="none"/>
                <w:lang w:eastAsia="zh-CN"/>
              </w:rPr>
            </w:pPr>
            <w:r>
              <w:rPr>
                <w:rFonts w:hint="eastAsia" w:ascii="宋体" w:hAnsi="宋体" w:eastAsia="宋体" w:cs="@仿宋_GB2312"/>
                <w:color w:val="auto"/>
                <w:kern w:val="2"/>
                <w:sz w:val="24"/>
                <w:szCs w:val="22"/>
                <w:highlight w:val="none"/>
                <w:lang w:val="en-US" w:eastAsia="zh-CN"/>
              </w:rPr>
              <w:t>1</w:t>
            </w:r>
          </w:p>
        </w:tc>
        <w:tc>
          <w:tcPr>
            <w:tcW w:w="749" w:type="pct"/>
            <w:vAlign w:val="center"/>
          </w:tcPr>
          <w:p>
            <w:pPr>
              <w:spacing w:line="360" w:lineRule="auto"/>
              <w:rPr>
                <w:rFonts w:ascii="宋体" w:hAnsi="宋体" w:eastAsia="宋体" w:cs="@仿宋_GB2312"/>
                <w:color w:val="auto"/>
                <w:kern w:val="2"/>
                <w:sz w:val="24"/>
                <w:szCs w:val="22"/>
                <w:highlight w:val="none"/>
              </w:rPr>
            </w:pPr>
            <w:r>
              <w:rPr>
                <w:rFonts w:hint="eastAsia" w:ascii="宋体" w:hAnsi="宋体" w:eastAsia="宋体" w:cs="@仿宋_GB2312"/>
                <w:color w:val="auto"/>
                <w:kern w:val="2"/>
                <w:sz w:val="24"/>
                <w:szCs w:val="22"/>
                <w:highlight w:val="none"/>
              </w:rPr>
              <w:t>材料要求</w:t>
            </w:r>
          </w:p>
        </w:tc>
        <w:tc>
          <w:tcPr>
            <w:tcW w:w="3688" w:type="pct"/>
            <w:vAlign w:val="center"/>
          </w:tcPr>
          <w:p>
            <w:pPr>
              <w:spacing w:line="360" w:lineRule="auto"/>
              <w:rPr>
                <w:rFonts w:ascii="宋体" w:hAnsi="宋体" w:eastAsia="宋体" w:cs="@仿宋_GB2312"/>
                <w:color w:val="auto"/>
                <w:kern w:val="2"/>
                <w:sz w:val="24"/>
                <w:szCs w:val="22"/>
                <w:highlight w:val="none"/>
              </w:rPr>
            </w:pPr>
            <w:r>
              <w:rPr>
                <w:rFonts w:hint="eastAsia" w:ascii="宋体" w:hAnsi="宋体" w:eastAsia="宋体" w:cs="宋体"/>
                <w:color w:val="auto"/>
                <w:kern w:val="2"/>
                <w:sz w:val="24"/>
                <w:szCs w:val="24"/>
                <w:highlight w:val="none"/>
              </w:rPr>
              <w:t>所有设备、材料进场时要有合格证、检测报告等材料，水电材料需要提供3C认证材料，并符合国家规范要求。所有设备、材料提前送样，且由发包人代表确认后方可进场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pPr>
              <w:spacing w:line="360" w:lineRule="auto"/>
              <w:jc w:val="center"/>
              <w:rPr>
                <w:rFonts w:hint="eastAsia" w:ascii="宋体" w:hAnsi="宋体" w:eastAsia="宋体" w:cs="@仿宋_GB2312"/>
                <w:color w:val="auto"/>
                <w:kern w:val="2"/>
                <w:sz w:val="24"/>
                <w:szCs w:val="22"/>
                <w:highlight w:val="none"/>
                <w:lang w:eastAsia="zh-CN"/>
              </w:rPr>
            </w:pPr>
            <w:r>
              <w:rPr>
                <w:rFonts w:hint="eastAsia" w:ascii="宋体" w:hAnsi="宋体" w:eastAsia="宋体" w:cs="@仿宋_GB2312"/>
                <w:color w:val="auto"/>
                <w:kern w:val="2"/>
                <w:sz w:val="24"/>
                <w:szCs w:val="22"/>
                <w:highlight w:val="none"/>
                <w:lang w:val="en-US" w:eastAsia="zh-CN"/>
              </w:rPr>
              <w:t>2</w:t>
            </w:r>
          </w:p>
        </w:tc>
        <w:tc>
          <w:tcPr>
            <w:tcW w:w="749" w:type="pct"/>
            <w:vAlign w:val="center"/>
          </w:tcPr>
          <w:p>
            <w:pPr>
              <w:spacing w:line="360" w:lineRule="auto"/>
              <w:rPr>
                <w:rFonts w:ascii="宋体" w:hAnsi="宋体" w:eastAsia="宋体" w:cs="@仿宋_GB2312"/>
                <w:color w:val="auto"/>
                <w:kern w:val="2"/>
                <w:sz w:val="24"/>
                <w:szCs w:val="22"/>
                <w:highlight w:val="none"/>
              </w:rPr>
            </w:pPr>
            <w:r>
              <w:rPr>
                <w:rFonts w:hint="eastAsia" w:ascii="宋体" w:hAnsi="宋体" w:eastAsia="宋体" w:cs="@仿宋_GB2312"/>
                <w:color w:val="auto"/>
                <w:kern w:val="2"/>
                <w:sz w:val="24"/>
                <w:szCs w:val="22"/>
                <w:highlight w:val="none"/>
              </w:rPr>
              <w:t>报价须知</w:t>
            </w:r>
          </w:p>
        </w:tc>
        <w:tc>
          <w:tcPr>
            <w:tcW w:w="3688" w:type="pct"/>
            <w:vAlign w:val="center"/>
          </w:tcPr>
          <w:p>
            <w:pPr>
              <w:numPr>
                <w:ilvl w:val="0"/>
                <w:numId w:val="0"/>
              </w:numPr>
              <w:spacing w:line="360" w:lineRule="auto"/>
              <w:rPr>
                <w:rFonts w:hint="eastAsia" w:ascii="宋体" w:hAnsi="宋体" w:eastAsia="宋体" w:cs="@仿宋_GB2312"/>
                <w:color w:val="auto"/>
                <w:kern w:val="2"/>
                <w:sz w:val="24"/>
                <w:szCs w:val="22"/>
                <w:highlight w:val="none"/>
              </w:rPr>
            </w:pPr>
            <w:r>
              <w:rPr>
                <w:rFonts w:hint="eastAsia" w:ascii="宋体" w:hAnsi="宋体" w:eastAsia="宋体" w:cs="@仿宋_GB2312"/>
                <w:color w:val="auto"/>
                <w:kern w:val="2"/>
                <w:sz w:val="24"/>
                <w:szCs w:val="22"/>
                <w:highlight w:val="none"/>
                <w:lang w:val="en-US" w:eastAsia="zh-CN"/>
              </w:rPr>
              <w:t>1、</w:t>
            </w:r>
            <w:r>
              <w:rPr>
                <w:rFonts w:hint="eastAsia" w:ascii="宋体" w:hAnsi="宋体" w:eastAsia="宋体" w:cs="@仿宋_GB2312"/>
                <w:color w:val="auto"/>
                <w:kern w:val="2"/>
                <w:sz w:val="24"/>
                <w:szCs w:val="22"/>
                <w:highlight w:val="none"/>
              </w:rPr>
              <w:t>供应商最后报价均不得高于磋商文件（公告）列明的项目预算、最高投标限价，否则其响应文件将被认定为响应无效。</w:t>
            </w:r>
          </w:p>
          <w:p>
            <w:pPr>
              <w:numPr>
                <w:ilvl w:val="0"/>
                <w:numId w:val="0"/>
              </w:numPr>
              <w:spacing w:line="360" w:lineRule="auto"/>
              <w:rPr>
                <w:rFonts w:hint="eastAsia" w:ascii="宋体" w:hAnsi="宋体" w:eastAsia="@微软简标宋" w:cs="Times New Roman"/>
                <w:kern w:val="2"/>
                <w:sz w:val="21"/>
                <w:szCs w:val="22"/>
                <w:highlight w:val="none"/>
                <w:lang w:eastAsia="zh-CN"/>
              </w:rPr>
            </w:pPr>
            <w:r>
              <w:rPr>
                <w:rFonts w:hint="eastAsia" w:ascii="宋体" w:hAnsi="宋体" w:eastAsia="宋体" w:cs="@仿宋_GB2312"/>
                <w:color w:val="auto"/>
                <w:kern w:val="2"/>
                <w:sz w:val="24"/>
                <w:szCs w:val="22"/>
                <w:highlight w:val="none"/>
                <w:lang w:val="en-US" w:eastAsia="zh-CN"/>
              </w:rPr>
              <w:t>2、</w:t>
            </w:r>
            <w:r>
              <w:rPr>
                <w:rFonts w:hint="eastAsia" w:ascii="宋体" w:hAnsi="宋体" w:eastAsia="宋体" w:cs="@仿宋_GB2312"/>
                <w:color w:val="auto"/>
                <w:kern w:val="2"/>
                <w:sz w:val="24"/>
                <w:szCs w:val="22"/>
                <w:highlight w:val="none"/>
                <w:u w:val="single"/>
                <w:lang w:val="en-US" w:eastAsia="zh-CN"/>
              </w:rPr>
              <w:t>本项目暂列金：124957.53元（未计税）。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pPr>
              <w:spacing w:line="360" w:lineRule="auto"/>
              <w:jc w:val="center"/>
              <w:rPr>
                <w:rFonts w:hint="eastAsia" w:ascii="宋体" w:hAnsi="宋体" w:eastAsia="宋体" w:cs="@仿宋_GB2312"/>
                <w:color w:val="auto"/>
                <w:kern w:val="2"/>
                <w:sz w:val="24"/>
                <w:szCs w:val="22"/>
                <w:highlight w:val="none"/>
                <w:lang w:eastAsia="zh-CN"/>
              </w:rPr>
            </w:pPr>
            <w:r>
              <w:rPr>
                <w:rFonts w:hint="eastAsia" w:ascii="宋体" w:hAnsi="宋体" w:eastAsia="宋体" w:cs="@仿宋_GB2312"/>
                <w:color w:val="auto"/>
                <w:kern w:val="2"/>
                <w:sz w:val="24"/>
                <w:szCs w:val="22"/>
                <w:highlight w:val="none"/>
                <w:lang w:val="en-US" w:eastAsia="zh-CN"/>
              </w:rPr>
              <w:t>3</w:t>
            </w:r>
          </w:p>
        </w:tc>
        <w:tc>
          <w:tcPr>
            <w:tcW w:w="749" w:type="pct"/>
            <w:vAlign w:val="center"/>
          </w:tcPr>
          <w:p>
            <w:pPr>
              <w:spacing w:line="360" w:lineRule="auto"/>
              <w:rPr>
                <w:rFonts w:ascii="宋体" w:hAnsi="宋体" w:eastAsia="宋体" w:cs="@仿宋_GB2312"/>
                <w:color w:val="auto"/>
                <w:kern w:val="2"/>
                <w:sz w:val="24"/>
                <w:szCs w:val="22"/>
                <w:highlight w:val="none"/>
              </w:rPr>
            </w:pPr>
            <w:r>
              <w:rPr>
                <w:rFonts w:hint="eastAsia" w:ascii="宋体" w:hAnsi="宋体" w:eastAsia="宋体" w:cs="@仿宋_GB2312"/>
                <w:color w:val="auto"/>
                <w:kern w:val="2"/>
                <w:sz w:val="24"/>
                <w:szCs w:val="22"/>
                <w:highlight w:val="none"/>
              </w:rPr>
              <w:t>重要说明</w:t>
            </w:r>
          </w:p>
        </w:tc>
        <w:tc>
          <w:tcPr>
            <w:tcW w:w="3688" w:type="pct"/>
            <w:vAlign w:val="center"/>
          </w:tcPr>
          <w:p>
            <w:pPr>
              <w:spacing w:line="360" w:lineRule="auto"/>
              <w:rPr>
                <w:rFonts w:hint="eastAsia" w:ascii="宋体" w:hAnsi="宋体" w:eastAsia="宋体" w:cs="Times New Roman"/>
                <w:color w:val="auto"/>
                <w:kern w:val="2"/>
                <w:sz w:val="24"/>
                <w:szCs w:val="18"/>
                <w:highlight w:val="none"/>
              </w:rPr>
            </w:pPr>
            <w:r>
              <w:rPr>
                <w:rFonts w:hint="eastAsia" w:ascii="宋体" w:hAnsi="宋体" w:eastAsia="宋体" w:cs="宋体"/>
                <w:kern w:val="2"/>
                <w:sz w:val="24"/>
                <w:szCs w:val="24"/>
                <w:highlight w:val="none"/>
                <w:lang w:val="en-US" w:eastAsia="zh-CN"/>
              </w:rPr>
              <w:t>1、</w:t>
            </w:r>
            <w:r>
              <w:rPr>
                <w:rFonts w:ascii="宋体" w:hAnsi="宋体" w:eastAsia="宋体" w:cs="宋体"/>
                <w:kern w:val="2"/>
                <w:sz w:val="24"/>
                <w:szCs w:val="24"/>
                <w:highlight w:val="none"/>
              </w:rPr>
              <w:t>政府采购政策（包括但不限于下列具体政策要求</w:t>
            </w:r>
            <w:r>
              <w:rPr>
                <w:rFonts w:hint="eastAsia" w:ascii="宋体" w:hAnsi="宋体" w:eastAsia="宋体" w:cs="宋体"/>
                <w:kern w:val="2"/>
                <w:sz w:val="24"/>
                <w:szCs w:val="24"/>
                <w:highlight w:val="none"/>
                <w:lang w:eastAsia="zh-CN"/>
              </w:rPr>
              <w:t>）</w:t>
            </w:r>
            <w:r>
              <w:rPr>
                <w:rFonts w:hint="eastAsia" w:ascii="宋体" w:hAnsi="宋体" w:eastAsia="宋体" w:cs="Times New Roman"/>
                <w:color w:val="auto"/>
                <w:kern w:val="2"/>
                <w:sz w:val="24"/>
                <w:szCs w:val="18"/>
                <w:highlight w:val="none"/>
              </w:rPr>
              <w:t>：</w:t>
            </w:r>
          </w:p>
          <w:p>
            <w:pPr>
              <w:spacing w:line="360" w:lineRule="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（1）如属于《节能产品政府采购品目清单》中政府强制采购的节能产品，则</w:t>
            </w:r>
            <w:r>
              <w:rPr>
                <w:rFonts w:hint="eastAsia" w:ascii="宋体" w:hAnsi="宋体" w:eastAsia="宋体" w:cs="宋体"/>
                <w:color w:val="auto"/>
                <w:kern w:val="2"/>
                <w:sz w:val="24"/>
                <w:szCs w:val="24"/>
                <w:highlight w:val="none"/>
                <w:lang w:val="en-US" w:eastAsia="zh-CN"/>
              </w:rPr>
              <w:t>供应商</w:t>
            </w:r>
            <w:r>
              <w:rPr>
                <w:rFonts w:hint="eastAsia" w:ascii="宋体" w:hAnsi="宋体" w:eastAsia="宋体" w:cs="宋体"/>
                <w:color w:val="auto"/>
                <w:kern w:val="2"/>
                <w:sz w:val="24"/>
                <w:szCs w:val="24"/>
                <w:highlight w:val="none"/>
              </w:rPr>
              <w:t>所投产品须具有市场监管总局公布的《参与实施政府采购节能产品认证机构目录》中的认证机构出具的、处于有效期内的节能产品认证证书。</w:t>
            </w:r>
          </w:p>
          <w:p>
            <w:pPr>
              <w:spacing w:line="360" w:lineRule="auto"/>
              <w:rPr>
                <w:rFonts w:hint="default" w:ascii="宋体" w:hAnsi="宋体" w:eastAsia="宋体" w:cs="@仿宋_GB2312"/>
                <w:color w:val="auto"/>
                <w:kern w:val="2"/>
                <w:sz w:val="24"/>
                <w:szCs w:val="22"/>
                <w:highlight w:val="none"/>
                <w:lang w:val="en-US"/>
              </w:rPr>
            </w:pPr>
            <w:r>
              <w:rPr>
                <w:rFonts w:hint="eastAsia" w:ascii="宋体" w:hAnsi="宋体" w:eastAsia="宋体" w:cs="宋体"/>
                <w:color w:val="auto"/>
                <w:kern w:val="2"/>
                <w:sz w:val="24"/>
                <w:szCs w:val="24"/>
                <w:highlight w:val="none"/>
              </w:rPr>
              <w:t>（2）如涉及商品包装和快递包装，</w:t>
            </w:r>
            <w:r>
              <w:rPr>
                <w:rFonts w:hint="eastAsia" w:ascii="宋体" w:hAnsi="宋体" w:eastAsia="宋体" w:cs="宋体"/>
                <w:color w:val="auto"/>
                <w:kern w:val="2"/>
                <w:sz w:val="24"/>
                <w:szCs w:val="24"/>
                <w:highlight w:val="none"/>
                <w:lang w:val="en-US" w:eastAsia="zh-CN"/>
              </w:rPr>
              <w:t>供应商</w:t>
            </w:r>
            <w:r>
              <w:rPr>
                <w:rFonts w:hint="eastAsia" w:ascii="宋体" w:hAnsi="宋体" w:eastAsia="宋体" w:cs="宋体"/>
                <w:color w:val="auto"/>
                <w:kern w:val="2"/>
                <w:sz w:val="24"/>
                <w:szCs w:val="24"/>
                <w:highlight w:val="none"/>
              </w:rPr>
              <w:t>应当执行《关于印发〈商品包装政府采购需求标准（试行）〉、〈快递包装政府采购需求标准（试行）〉的通知》（财办库〔2020〕123号）、《安徽省财政厅关于贯彻落实政府绿色采购有关政策的通知》（皖财购〔2023〕853号）的要求，提供符合需求标准的绿色包装、绿色运输，同时，采购人将对包装材料和运输环节作为履约验收条款进行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pPr>
              <w:spacing w:line="360" w:lineRule="auto"/>
              <w:jc w:val="center"/>
              <w:rPr>
                <w:rFonts w:hint="eastAsia" w:ascii="宋体" w:hAnsi="宋体" w:eastAsia="宋体" w:cs="@仿宋_GB2312"/>
                <w:color w:val="auto"/>
                <w:kern w:val="2"/>
                <w:sz w:val="24"/>
                <w:szCs w:val="22"/>
                <w:highlight w:val="none"/>
                <w:lang w:eastAsia="zh-CN"/>
              </w:rPr>
            </w:pPr>
            <w:r>
              <w:rPr>
                <w:rFonts w:hint="eastAsia" w:ascii="宋体" w:hAnsi="宋体" w:eastAsia="宋体" w:cs="@仿宋_GB2312"/>
                <w:color w:val="auto"/>
                <w:kern w:val="2"/>
                <w:sz w:val="24"/>
                <w:szCs w:val="22"/>
                <w:highlight w:val="none"/>
                <w:lang w:val="en-US" w:eastAsia="zh-CN"/>
              </w:rPr>
              <w:t>4</w:t>
            </w:r>
          </w:p>
        </w:tc>
        <w:tc>
          <w:tcPr>
            <w:tcW w:w="749" w:type="pct"/>
            <w:vAlign w:val="center"/>
          </w:tcPr>
          <w:p>
            <w:pPr>
              <w:spacing w:line="360" w:lineRule="auto"/>
              <w:rPr>
                <w:rFonts w:ascii="宋体" w:hAnsi="宋体" w:eastAsia="宋体" w:cs="@仿宋_GB2312"/>
                <w:color w:val="auto"/>
                <w:kern w:val="2"/>
                <w:sz w:val="24"/>
                <w:szCs w:val="22"/>
                <w:highlight w:val="none"/>
              </w:rPr>
            </w:pPr>
            <w:r>
              <w:rPr>
                <w:rFonts w:hint="eastAsia" w:ascii="宋体" w:hAnsi="宋体" w:eastAsia="宋体" w:cs="@仿宋_GB2312"/>
                <w:color w:val="auto"/>
                <w:kern w:val="2"/>
                <w:sz w:val="24"/>
                <w:szCs w:val="22"/>
                <w:highlight w:val="none"/>
              </w:rPr>
              <w:t>项目经理</w:t>
            </w:r>
          </w:p>
        </w:tc>
        <w:tc>
          <w:tcPr>
            <w:tcW w:w="3688" w:type="pct"/>
            <w:vAlign w:val="center"/>
          </w:tcPr>
          <w:p>
            <w:pPr>
              <w:spacing w:line="360" w:lineRule="auto"/>
              <w:rPr>
                <w:rFonts w:ascii="宋体" w:hAnsi="宋体" w:eastAsia="宋体" w:cs="@仿宋_GB2312"/>
                <w:color w:val="auto"/>
                <w:kern w:val="2"/>
                <w:sz w:val="24"/>
                <w:szCs w:val="22"/>
                <w:highlight w:val="none"/>
              </w:rPr>
            </w:pPr>
            <w:r>
              <w:rPr>
                <w:rFonts w:hint="eastAsia" w:ascii="宋体" w:hAnsi="宋体" w:eastAsia="宋体" w:cs="Times New Roman"/>
                <w:color w:val="auto"/>
                <w:kern w:val="2"/>
                <w:sz w:val="24"/>
                <w:szCs w:val="22"/>
                <w:highlight w:val="none"/>
                <w:lang w:val="en-US" w:eastAsia="zh-CN"/>
              </w:rPr>
              <w:t>具备建筑工程专业二级（或以上）注册建造师执业资格，具备</w:t>
            </w:r>
            <w:r>
              <w:rPr>
                <w:rFonts w:hint="eastAsia" w:ascii="宋体" w:hAnsi="宋体" w:eastAsia="宋体" w:cs="Times New Roman"/>
                <w:color w:val="auto"/>
                <w:kern w:val="2"/>
                <w:sz w:val="24"/>
                <w:szCs w:val="22"/>
                <w:highlight w:val="none"/>
              </w:rPr>
              <w:t>住房和城乡建设主管部门颁发</w:t>
            </w:r>
            <w:r>
              <w:rPr>
                <w:rFonts w:hint="eastAsia" w:ascii="宋体" w:hAnsi="宋体" w:eastAsia="宋体" w:cs="Times New Roman"/>
                <w:color w:val="auto"/>
                <w:kern w:val="2"/>
                <w:sz w:val="24"/>
                <w:szCs w:val="22"/>
                <w:highlight w:val="none"/>
                <w:lang w:val="en-US" w:eastAsia="zh-CN"/>
              </w:rPr>
              <w:t>的</w:t>
            </w:r>
            <w:r>
              <w:rPr>
                <w:rFonts w:hint="eastAsia" w:ascii="宋体" w:hAnsi="宋体" w:eastAsia="宋体" w:cs="Times New Roman"/>
                <w:color w:val="auto"/>
                <w:kern w:val="2"/>
                <w:sz w:val="24"/>
                <w:szCs w:val="22"/>
                <w:highlight w:val="none"/>
              </w:rPr>
              <w:t>有效期内的</w:t>
            </w:r>
            <w:r>
              <w:rPr>
                <w:rFonts w:hint="eastAsia" w:ascii="宋体" w:hAnsi="宋体" w:eastAsia="宋体" w:cs="Times New Roman"/>
                <w:color w:val="auto"/>
                <w:kern w:val="2"/>
                <w:sz w:val="24"/>
                <w:szCs w:val="22"/>
                <w:highlight w:val="none"/>
                <w:lang w:val="en-US" w:eastAsia="zh-CN"/>
              </w:rPr>
              <w:t>的安全生产考核合格证书。</w:t>
            </w:r>
            <w:r>
              <w:rPr>
                <w:rFonts w:hint="eastAsia" w:ascii="Times New Roman" w:hAnsi="宋体" w:eastAsia="宋体" w:cs="Times New Roman"/>
                <w:b/>
                <w:bCs/>
                <w:color w:val="auto"/>
                <w:kern w:val="2"/>
                <w:sz w:val="24"/>
                <w:szCs w:val="22"/>
                <w:highlight w:val="none"/>
                <w:lang w:val="en-US" w:eastAsia="zh-CN"/>
              </w:rPr>
              <w:t>提供投标人为其缴纳的2023年12月至今任意一个月社保证明扫描件。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pct"/>
            <w:vAlign w:val="center"/>
          </w:tcPr>
          <w:p>
            <w:pPr>
              <w:spacing w:line="360" w:lineRule="auto"/>
              <w:jc w:val="center"/>
              <w:rPr>
                <w:rFonts w:hint="eastAsia" w:ascii="宋体" w:hAnsi="宋体" w:eastAsia="宋体" w:cs="@仿宋_GB2312"/>
                <w:color w:val="auto"/>
                <w:kern w:val="2"/>
                <w:sz w:val="24"/>
                <w:szCs w:val="22"/>
                <w:highlight w:val="none"/>
                <w:lang w:val="en-US" w:eastAsia="zh-CN"/>
              </w:rPr>
            </w:pPr>
            <w:r>
              <w:rPr>
                <w:rFonts w:hint="eastAsia" w:ascii="宋体" w:hAnsi="宋体" w:eastAsia="宋体" w:cs="@仿宋_GB2312"/>
                <w:color w:val="auto"/>
                <w:kern w:val="2"/>
                <w:sz w:val="24"/>
                <w:szCs w:val="22"/>
                <w:highlight w:val="none"/>
                <w:lang w:val="en-US" w:eastAsia="zh-CN"/>
              </w:rPr>
              <w:t>5</w:t>
            </w:r>
          </w:p>
        </w:tc>
        <w:tc>
          <w:tcPr>
            <w:tcW w:w="749" w:type="pct"/>
            <w:vAlign w:val="center"/>
          </w:tcPr>
          <w:p>
            <w:pPr>
              <w:widowControl w:val="0"/>
              <w:spacing w:before="0" w:beforeAutospacing="0" w:after="0" w:afterAutospacing="0" w:line="360" w:lineRule="auto"/>
              <w:jc w:val="center"/>
              <w:rPr>
                <w:rFonts w:ascii="宋体" w:hAnsi="宋体" w:eastAsia="宋体" w:cs="@仿宋_GB2312"/>
                <w:b/>
                <w:bCs/>
                <w:color w:val="auto"/>
                <w:kern w:val="2"/>
                <w:sz w:val="24"/>
                <w:szCs w:val="28"/>
                <w:highlight w:val="none"/>
                <w:lang w:val="en-US" w:eastAsia="zh-CN" w:bidi="ar-SA"/>
              </w:rPr>
            </w:pPr>
            <w:r>
              <w:rPr>
                <w:rFonts w:hint="eastAsia" w:ascii="Calibri" w:hAnsi="Calibri" w:eastAsia="宋体" w:cs="Times New Roman"/>
                <w:b w:val="0"/>
                <w:bCs/>
                <w:color w:val="auto"/>
                <w:kern w:val="2"/>
                <w:sz w:val="24"/>
                <w:szCs w:val="28"/>
                <w:highlight w:val="none"/>
                <w:lang w:val="en-US" w:eastAsia="zh-CN" w:bidi="ar-SA"/>
              </w:rPr>
              <w:t>本项目采购标的名称及所属行业</w:t>
            </w:r>
          </w:p>
        </w:tc>
        <w:tc>
          <w:tcPr>
            <w:tcW w:w="3688" w:type="pct"/>
            <w:vAlign w:val="center"/>
          </w:tcPr>
          <w:p>
            <w:pPr>
              <w:spacing w:line="360" w:lineRule="auto"/>
              <w:jc w:val="left"/>
              <w:rPr>
                <w:rFonts w:ascii="宋体" w:hAnsi="宋体" w:eastAsia="宋体" w:cs="Times New Roman"/>
                <w:color w:val="auto"/>
                <w:kern w:val="2"/>
                <w:sz w:val="24"/>
                <w:szCs w:val="22"/>
                <w:highlight w:val="none"/>
              </w:rPr>
            </w:pPr>
            <w:r>
              <w:rPr>
                <w:rFonts w:hint="eastAsia" w:ascii="宋体" w:hAnsi="宋体" w:eastAsia="宋体" w:cs="Times New Roman"/>
                <w:color w:val="auto"/>
                <w:kern w:val="2"/>
                <w:sz w:val="24"/>
                <w:szCs w:val="22"/>
                <w:highlight w:val="none"/>
              </w:rPr>
              <w:t>标的名称：皖南医学院检验学院实验室维修改造工程</w:t>
            </w:r>
          </w:p>
          <w:p>
            <w:pPr>
              <w:rPr>
                <w:rFonts w:hint="eastAsia" w:ascii="Calibri" w:hAnsi="Calibri" w:eastAsia="宋体" w:cs="Times New Roman"/>
                <w:color w:val="auto"/>
                <w:kern w:val="2"/>
                <w:sz w:val="24"/>
                <w:szCs w:val="22"/>
                <w:highlight w:val="none"/>
                <w:lang w:val="en-US" w:eastAsia="zh-CN"/>
              </w:rPr>
            </w:pPr>
            <w:r>
              <w:rPr>
                <w:rFonts w:hint="eastAsia" w:ascii="宋体" w:hAnsi="宋体" w:eastAsia="宋体" w:cs="Times New Roman"/>
                <w:color w:val="auto"/>
                <w:kern w:val="2"/>
                <w:sz w:val="24"/>
                <w:szCs w:val="22"/>
                <w:highlight w:val="none"/>
              </w:rPr>
              <w:t>所属行业：</w:t>
            </w:r>
            <w:r>
              <w:rPr>
                <w:rFonts w:hint="eastAsia" w:ascii="宋体" w:hAnsi="宋体" w:eastAsia="宋体" w:cs="Times New Roman"/>
                <w:color w:val="auto"/>
                <w:kern w:val="2"/>
                <w:sz w:val="24"/>
                <w:szCs w:val="22"/>
                <w:highlight w:val="none"/>
                <w:lang w:val="en-US" w:eastAsia="zh-CN"/>
              </w:rPr>
              <w:t>建筑业</w:t>
            </w:r>
          </w:p>
        </w:tc>
      </w:tr>
    </w:tbl>
    <w:p>
      <w:pPr>
        <w:widowControl w:val="0"/>
        <w:numPr>
          <w:ilvl w:val="0"/>
          <w:numId w:val="0"/>
        </w:numPr>
        <w:spacing w:after="120"/>
        <w:ind w:left="420" w:leftChars="200" w:firstLine="482" w:firstLineChars="200"/>
        <w:jc w:val="both"/>
        <w:outlineLvl w:val="1"/>
        <w:rPr>
          <w:rFonts w:hint="eastAsia" w:ascii="Times New Roman" w:hAnsi="Times New Roman" w:eastAsia="宋体" w:cs="Times New Roman"/>
          <w:b/>
          <w:bCs/>
          <w:kern w:val="2"/>
          <w:sz w:val="24"/>
          <w:szCs w:val="24"/>
          <w:highlight w:val="none"/>
          <w:lang w:val="en-US" w:eastAsia="zh-CN" w:bidi="ar-SA"/>
        </w:rPr>
      </w:pPr>
      <w:r>
        <w:rPr>
          <w:rFonts w:hint="eastAsia" w:ascii="Times New Roman" w:hAnsi="Times New Roman" w:eastAsia="宋体" w:cs="Times New Roman"/>
          <w:b/>
          <w:bCs/>
          <w:kern w:val="2"/>
          <w:sz w:val="24"/>
          <w:szCs w:val="24"/>
          <w:highlight w:val="none"/>
          <w:lang w:val="en-US" w:eastAsia="zh-CN" w:bidi="ar-SA"/>
        </w:rPr>
        <w:t>二、项目概况</w:t>
      </w:r>
    </w:p>
    <w:p>
      <w:pPr>
        <w:spacing w:line="560" w:lineRule="exact"/>
        <w:ind w:firstLine="480" w:firstLineChars="200"/>
        <w:jc w:val="left"/>
        <w:rPr>
          <w:rFonts w:hint="eastAsia" w:ascii="宋体" w:hAnsi="宋体" w:eastAsia="宋体" w:cs="宋体"/>
          <w:kern w:val="2"/>
          <w:sz w:val="24"/>
          <w:szCs w:val="24"/>
          <w:highlight w:val="none"/>
          <w:u w:val="none"/>
        </w:rPr>
      </w:pPr>
      <w:r>
        <w:rPr>
          <w:rFonts w:hint="eastAsia" w:ascii="宋体" w:hAnsi="宋体" w:eastAsia="宋体" w:cs="宋体"/>
          <w:kern w:val="2"/>
          <w:sz w:val="24"/>
          <w:szCs w:val="24"/>
          <w:highlight w:val="none"/>
          <w:u w:val="none"/>
          <w:lang w:val="en-US" w:eastAsia="zh-CN" w:bidi="ar-SA"/>
        </w:rPr>
        <w:t>皖南医学院检验学院实验室维修改造工程，施工地点位于皖南医学院滨江校区（南区）西二教学楼，改造范围主要为一至三层，建筑面积约2700m</w:t>
      </w:r>
      <w:r>
        <w:rPr>
          <w:rFonts w:hint="eastAsia" w:ascii="宋体" w:hAnsi="宋体" w:eastAsia="宋体" w:cs="宋体"/>
          <w:kern w:val="2"/>
          <w:sz w:val="24"/>
          <w:szCs w:val="24"/>
          <w:highlight w:val="none"/>
          <w:u w:val="none"/>
          <w:vertAlign w:val="baseline"/>
          <w:lang w:val="en-US" w:eastAsia="zh-CN" w:bidi="ar-SA"/>
        </w:rPr>
        <w:t>2</w:t>
      </w:r>
      <w:r>
        <w:rPr>
          <w:rFonts w:hint="eastAsia" w:ascii="宋体" w:hAnsi="宋体" w:eastAsia="宋体" w:cs="宋体"/>
          <w:kern w:val="2"/>
          <w:sz w:val="24"/>
          <w:szCs w:val="24"/>
          <w:highlight w:val="none"/>
          <w:u w:val="none"/>
          <w:lang w:val="en-US" w:eastAsia="zh-CN" w:bidi="ar-SA"/>
        </w:rPr>
        <w:t>，</w:t>
      </w:r>
      <w:r>
        <w:rPr>
          <w:rFonts w:hint="eastAsia" w:ascii="宋体" w:hAnsi="宋体" w:eastAsia="宋体" w:cs="宋体"/>
          <w:bCs w:val="0"/>
          <w:kern w:val="2"/>
          <w:sz w:val="24"/>
          <w:szCs w:val="24"/>
          <w:highlight w:val="none"/>
          <w:u w:val="none"/>
          <w:lang w:val="en-US" w:eastAsia="zh-CN" w:bidi="ar-SA"/>
        </w:rPr>
        <w:t>改造内容主要为拆除部分原装修</w:t>
      </w:r>
      <w:r>
        <w:rPr>
          <w:rFonts w:hint="eastAsia" w:ascii="宋体" w:hAnsi="宋体" w:eastAsia="宋体" w:cs="宋体"/>
          <w:kern w:val="2"/>
          <w:sz w:val="24"/>
          <w:szCs w:val="24"/>
          <w:highlight w:val="none"/>
          <w:u w:val="none"/>
          <w:lang w:val="en-US" w:eastAsia="zh-CN" w:bidi="ar-SA"/>
        </w:rPr>
        <w:t>，</w:t>
      </w:r>
      <w:r>
        <w:rPr>
          <w:rFonts w:hint="eastAsia" w:ascii="宋体" w:hAnsi="宋体" w:eastAsia="宋体" w:cs="宋体"/>
          <w:bCs w:val="0"/>
          <w:kern w:val="2"/>
          <w:sz w:val="24"/>
          <w:szCs w:val="24"/>
          <w:highlight w:val="none"/>
          <w:u w:val="none"/>
          <w:lang w:val="en-US" w:eastAsia="zh-CN" w:bidi="ar-SA"/>
        </w:rPr>
        <w:t>石膏板结合三防洁净板、铝板吊顶，涂料墙面，地面主要有地砖地面、地面修补、防静电活动地板，新做部分实验台，公共卫生间拆除重做，楼梯间出新、楼梯扶手更换，门更换，强弱电改造，上下水改造及配套的污水管网施工，以及部分消防设施维修</w:t>
      </w:r>
      <w:r>
        <w:rPr>
          <w:rFonts w:hint="eastAsia" w:ascii="宋体" w:hAnsi="宋体" w:eastAsia="宋体" w:cs="宋体"/>
          <w:kern w:val="2"/>
          <w:sz w:val="24"/>
          <w:szCs w:val="24"/>
          <w:highlight w:val="none"/>
          <w:u w:val="none"/>
        </w:rPr>
        <w:t>等。</w:t>
      </w:r>
    </w:p>
    <w:p>
      <w:pPr>
        <w:spacing w:line="560" w:lineRule="exact"/>
        <w:ind w:firstLine="480" w:firstLineChars="200"/>
        <w:jc w:val="left"/>
        <w:rPr>
          <w:rFonts w:hint="eastAsia" w:ascii="楷体_GB2312" w:hAnsi="楷体" w:eastAsia="楷体_GB2312" w:cs="Times New Roman"/>
          <w:kern w:val="2"/>
          <w:sz w:val="32"/>
          <w:szCs w:val="32"/>
          <w:highlight w:val="none"/>
        </w:rPr>
      </w:pPr>
      <w:r>
        <w:rPr>
          <w:rFonts w:hint="eastAsia" w:ascii="宋体" w:hAnsi="宋体" w:eastAsia="宋体" w:cs="宋体"/>
          <w:kern w:val="2"/>
          <w:sz w:val="24"/>
          <w:szCs w:val="24"/>
          <w:highlight w:val="none"/>
          <w:u w:val="none"/>
        </w:rPr>
        <w:t>详见施工图纸及工程量清单（含技术要求）。</w:t>
      </w:r>
    </w:p>
    <w:p>
      <w:pPr>
        <w:widowControl w:val="0"/>
        <w:numPr>
          <w:ilvl w:val="0"/>
          <w:numId w:val="0"/>
        </w:numPr>
        <w:spacing w:after="120"/>
        <w:ind w:left="420" w:leftChars="200" w:firstLine="482" w:firstLineChars="200"/>
        <w:jc w:val="both"/>
        <w:outlineLvl w:val="1"/>
        <w:rPr>
          <w:rFonts w:hint="eastAsia" w:ascii="Times New Roman" w:hAnsi="Times New Roman" w:eastAsia="宋体" w:cs="Times New Roman"/>
          <w:b/>
          <w:bCs/>
          <w:kern w:val="2"/>
          <w:sz w:val="24"/>
          <w:szCs w:val="24"/>
          <w:highlight w:val="none"/>
          <w:lang w:val="en-US" w:eastAsia="zh-CN" w:bidi="ar-SA"/>
        </w:rPr>
      </w:pPr>
      <w:r>
        <w:rPr>
          <w:rFonts w:hint="eastAsia" w:ascii="Times New Roman" w:hAnsi="Times New Roman" w:eastAsia="宋体" w:cs="Times New Roman"/>
          <w:b/>
          <w:bCs/>
          <w:kern w:val="2"/>
          <w:sz w:val="24"/>
          <w:szCs w:val="24"/>
          <w:highlight w:val="none"/>
          <w:lang w:val="en-US" w:eastAsia="zh-CN" w:bidi="ar-SA"/>
        </w:rPr>
        <w:t>三、技术商务要求</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bookmarkStart w:id="1" w:name="_Hlk156852909"/>
      <w:r>
        <w:rPr>
          <w:rFonts w:hint="eastAsia" w:ascii="宋体" w:hAnsi="宋体" w:eastAsia="宋体" w:cs="宋体"/>
          <w:kern w:val="2"/>
          <w:sz w:val="24"/>
          <w:szCs w:val="24"/>
          <w:highlight w:val="none"/>
          <w:u w:val="none"/>
          <w:lang w:val="en-US" w:eastAsia="zh-CN"/>
        </w:rPr>
        <w:t>（一）工期要求</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2.本工程工期为45日历天，提前不奖，无故推迟每延期1天按施工合同价（不含暂列金额）的5‰处罚，最高处罚金额为合同价（不含暂列金额）的10%，在结算审计时扣除。不可抗力因素除外。</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3.本工程开工日期以监理人下发的开工令或发包人下发的开工通知为准，若无开工令或开工通知，以合同中规定的开工日期为准。</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4.因发包人原因（变更签证审批时间过长、施工方案出现较大调整等）导致工期延误可不予处罚，但需承包人书面提出申请，发包人代表签字确认。</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5.承包人中标后需提供切实可行的施工进度计划，并配备与进度计划相匹配的施工人员（提供切实可行的劳动力安排计划表）。本工程改造范围广、内容多，承包人须采取相应赶工措施（例如“多班制”、增加作业班组等）保证在合同工期内完工。若承包人赶工措施不到位，发包人有权另行组织学校协议维修单位协助赶工，发生的费用由承包人承担。</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（二）质量标准、材料要求、验收要求、竣工结算资料要求</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6.本工程质量标准为合格，承包人须严格按照施工图、工程量清单、招投标文件和国家、省、市现行标准及规范完成施工，并通过设计、监理及发包人的验收（验收前承包人需委托经发包人认可的第三方检测单位进行民用建筑工程室内环境污染检测，每层不少于一间，检测结果符合国家规范，并提供书面检测报告后方可验收）。</w:t>
      </w:r>
    </w:p>
    <w:p>
      <w:pPr>
        <w:spacing w:line="560" w:lineRule="exact"/>
        <w:ind w:firstLine="480" w:firstLineChars="200"/>
        <w:jc w:val="left"/>
        <w:rPr>
          <w:rFonts w:hint="eastAsia" w:ascii="宋体" w:hAnsi="宋体" w:eastAsia="宋体" w:cs="宋体"/>
          <w:kern w:val="2"/>
          <w:sz w:val="24"/>
          <w:szCs w:val="24"/>
          <w:highlight w:val="none"/>
          <w:u w:val="none"/>
        </w:rPr>
      </w:pPr>
      <w:r>
        <w:rPr>
          <w:rFonts w:hint="eastAsia" w:ascii="宋体" w:hAnsi="宋体" w:eastAsia="宋体" w:cs="宋体"/>
          <w:kern w:val="2"/>
          <w:sz w:val="24"/>
          <w:szCs w:val="24"/>
          <w:highlight w:val="none"/>
          <w:u w:val="none"/>
        </w:rPr>
        <w:t>7.承包人采购的所有设备、材料进场时要有合格证、检测报告等材料，水电材料需要提供3C认证材料，并符合国家规范要求。所有设备、材料提前送样，且由发包人代表确认后方可进场，否则不支付相应材料的工程款。</w:t>
      </w:r>
    </w:p>
    <w:p>
      <w:pPr>
        <w:spacing w:line="560" w:lineRule="exact"/>
        <w:ind w:firstLine="480" w:firstLineChars="200"/>
        <w:jc w:val="left"/>
        <w:rPr>
          <w:rFonts w:hint="eastAsia" w:ascii="宋体" w:hAnsi="宋体" w:eastAsia="宋体" w:cs="宋体"/>
          <w:kern w:val="2"/>
          <w:sz w:val="24"/>
          <w:szCs w:val="24"/>
          <w:highlight w:val="none"/>
          <w:u w:val="none"/>
        </w:rPr>
      </w:pPr>
      <w:r>
        <w:rPr>
          <w:rFonts w:hint="eastAsia" w:ascii="宋体" w:hAnsi="宋体" w:eastAsia="宋体" w:cs="宋体"/>
          <w:kern w:val="2"/>
          <w:sz w:val="24"/>
          <w:szCs w:val="24"/>
          <w:highlight w:val="none"/>
          <w:u w:val="none"/>
          <w:lang w:val="en-US" w:eastAsia="zh-CN"/>
        </w:rPr>
        <w:t>8</w:t>
      </w:r>
      <w:r>
        <w:rPr>
          <w:rFonts w:hint="eastAsia" w:ascii="宋体" w:hAnsi="宋体" w:eastAsia="宋体" w:cs="宋体"/>
          <w:kern w:val="2"/>
          <w:sz w:val="24"/>
          <w:szCs w:val="24"/>
          <w:highlight w:val="none"/>
          <w:u w:val="none"/>
        </w:rPr>
        <w:t>.涉及隐蔽工程内容的，承包人应在隐蔽工程覆盖、掩埋或拆除前通知发包人代表进行现场勘查、确认，并由现场代表会同审计处，共同做好隐蔽工程记录、核定隐蔽工程量签证单。未按规定办理隐蔽工程记录的，其工程量不予认定。在施工过程中，隐蔽工程必须按以下表格及时通知发包人验收并办理签字手续。</w:t>
      </w:r>
    </w:p>
    <w:p>
      <w:pPr>
        <w:jc w:val="center"/>
        <w:rPr>
          <w:rFonts w:ascii="宋体" w:hAnsi="宋体" w:eastAsia="宋体" w:cs="Times New Roman"/>
          <w:b/>
          <w:kern w:val="2"/>
          <w:sz w:val="28"/>
          <w:szCs w:val="28"/>
          <w:highlight w:val="none"/>
        </w:rPr>
      </w:pPr>
      <w:r>
        <w:rPr>
          <w:rFonts w:hint="eastAsia" w:ascii="宋体" w:hAnsi="宋体" w:eastAsia="宋体" w:cs="Times New Roman"/>
          <w:b/>
          <w:kern w:val="2"/>
          <w:sz w:val="28"/>
          <w:szCs w:val="28"/>
          <w:highlight w:val="none"/>
        </w:rPr>
        <w:t>隐蔽工程验收记录单</w:t>
      </w:r>
    </w:p>
    <w:tbl>
      <w:tblPr>
        <w:tblStyle w:val="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9"/>
        <w:gridCol w:w="310"/>
        <w:gridCol w:w="336"/>
        <w:gridCol w:w="717"/>
        <w:gridCol w:w="2921"/>
        <w:gridCol w:w="29"/>
        <w:gridCol w:w="2178"/>
        <w:gridCol w:w="1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工程名称</w:t>
            </w:r>
          </w:p>
        </w:tc>
        <w:tc>
          <w:tcPr>
            <w:tcW w:w="1714" w:type="pct"/>
            <w:noWrap w:val="0"/>
            <w:vAlign w:val="center"/>
          </w:tcPr>
          <w:p>
            <w:pPr>
              <w:spacing w:line="240" w:lineRule="atLeast"/>
              <w:jc w:val="center"/>
              <w:rPr>
                <w:rFonts w:ascii="宋体" w:hAnsi="宋体" w:eastAsia="宋体" w:cs="Times New Roman"/>
                <w:kern w:val="2"/>
                <w:sz w:val="28"/>
                <w:szCs w:val="28"/>
                <w:highlight w:val="none"/>
              </w:rPr>
            </w:pPr>
          </w:p>
        </w:tc>
        <w:tc>
          <w:tcPr>
            <w:tcW w:w="1295"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验收单编号</w:t>
            </w:r>
          </w:p>
        </w:tc>
        <w:tc>
          <w:tcPr>
            <w:tcW w:w="873" w:type="pct"/>
            <w:noWrap w:val="0"/>
            <w:vAlign w:val="center"/>
          </w:tcPr>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分项工程名称</w:t>
            </w:r>
          </w:p>
        </w:tc>
        <w:tc>
          <w:tcPr>
            <w:tcW w:w="1714" w:type="pct"/>
            <w:noWrap w:val="0"/>
            <w:vAlign w:val="center"/>
          </w:tcPr>
          <w:p>
            <w:pPr>
              <w:spacing w:line="240" w:lineRule="atLeast"/>
              <w:jc w:val="center"/>
              <w:rPr>
                <w:rFonts w:ascii="宋体" w:hAnsi="宋体" w:eastAsia="宋体" w:cs="Times New Roman"/>
                <w:kern w:val="2"/>
                <w:sz w:val="28"/>
                <w:szCs w:val="28"/>
                <w:highlight w:val="none"/>
              </w:rPr>
            </w:pPr>
          </w:p>
        </w:tc>
        <w:tc>
          <w:tcPr>
            <w:tcW w:w="1295"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隐蔽工程项目</w:t>
            </w:r>
          </w:p>
        </w:tc>
        <w:tc>
          <w:tcPr>
            <w:tcW w:w="873" w:type="pct"/>
            <w:noWrap w:val="0"/>
            <w:vAlign w:val="center"/>
          </w:tcPr>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施工单位名称</w:t>
            </w:r>
          </w:p>
        </w:tc>
        <w:tc>
          <w:tcPr>
            <w:tcW w:w="1714" w:type="pct"/>
            <w:noWrap w:val="0"/>
            <w:vAlign w:val="center"/>
          </w:tcPr>
          <w:p>
            <w:pPr>
              <w:spacing w:line="240" w:lineRule="atLeast"/>
              <w:jc w:val="center"/>
              <w:rPr>
                <w:rFonts w:ascii="宋体" w:hAnsi="宋体" w:eastAsia="宋体" w:cs="Times New Roman"/>
                <w:kern w:val="2"/>
                <w:sz w:val="28"/>
                <w:szCs w:val="28"/>
                <w:highlight w:val="none"/>
              </w:rPr>
            </w:pPr>
          </w:p>
        </w:tc>
        <w:tc>
          <w:tcPr>
            <w:tcW w:w="1295"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项目经理</w:t>
            </w:r>
          </w:p>
        </w:tc>
        <w:tc>
          <w:tcPr>
            <w:tcW w:w="873" w:type="pct"/>
            <w:noWrap w:val="0"/>
            <w:vAlign w:val="center"/>
          </w:tcPr>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施工标准及编号</w:t>
            </w:r>
          </w:p>
        </w:tc>
        <w:tc>
          <w:tcPr>
            <w:tcW w:w="1714" w:type="pct"/>
            <w:noWrap w:val="0"/>
            <w:vAlign w:val="center"/>
          </w:tcPr>
          <w:p>
            <w:pPr>
              <w:spacing w:line="240" w:lineRule="atLeast"/>
              <w:jc w:val="center"/>
              <w:rPr>
                <w:rFonts w:ascii="宋体" w:hAnsi="宋体" w:eastAsia="宋体" w:cs="Times New Roman"/>
                <w:kern w:val="2"/>
                <w:sz w:val="28"/>
                <w:szCs w:val="28"/>
                <w:highlight w:val="none"/>
              </w:rPr>
            </w:pPr>
          </w:p>
        </w:tc>
        <w:tc>
          <w:tcPr>
            <w:tcW w:w="1295"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施工图名称及编号</w:t>
            </w:r>
          </w:p>
        </w:tc>
        <w:tc>
          <w:tcPr>
            <w:tcW w:w="873" w:type="pct"/>
            <w:noWrap w:val="0"/>
            <w:vAlign w:val="center"/>
          </w:tcPr>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316" w:type="pct"/>
            <w:vMerge w:val="restart"/>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隐</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蔽</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工</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程</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部</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位</w:t>
            </w:r>
          </w:p>
        </w:tc>
        <w:tc>
          <w:tcPr>
            <w:tcW w:w="379" w:type="pct"/>
            <w:gridSpan w:val="2"/>
            <w:vMerge w:val="restart"/>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规</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范</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要</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求</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及</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自</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检</w:t>
            </w:r>
          </w:p>
        </w:tc>
        <w:tc>
          <w:tcPr>
            <w:tcW w:w="2151" w:type="pct"/>
            <w:gridSpan w:val="3"/>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规范（质量）要求</w:t>
            </w:r>
          </w:p>
        </w:tc>
        <w:tc>
          <w:tcPr>
            <w:tcW w:w="2151"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施工单位自检记录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atLeast"/>
          <w:jc w:val="center"/>
        </w:trPr>
        <w:tc>
          <w:tcPr>
            <w:tcW w:w="316" w:type="pct"/>
            <w:vMerge w:val="continue"/>
            <w:noWrap w:val="0"/>
            <w:vAlign w:val="center"/>
          </w:tcPr>
          <w:p>
            <w:pPr>
              <w:spacing w:line="240" w:lineRule="atLeast"/>
              <w:jc w:val="center"/>
              <w:rPr>
                <w:rFonts w:ascii="宋体" w:hAnsi="宋体" w:eastAsia="宋体" w:cs="Times New Roman"/>
                <w:kern w:val="2"/>
                <w:sz w:val="28"/>
                <w:szCs w:val="28"/>
                <w:highlight w:val="none"/>
              </w:rPr>
            </w:pPr>
          </w:p>
        </w:tc>
        <w:tc>
          <w:tcPr>
            <w:tcW w:w="379" w:type="pct"/>
            <w:gridSpan w:val="2"/>
            <w:vMerge w:val="continue"/>
            <w:noWrap w:val="0"/>
            <w:vAlign w:val="center"/>
          </w:tcPr>
          <w:p>
            <w:pPr>
              <w:spacing w:line="240" w:lineRule="atLeast"/>
              <w:jc w:val="center"/>
              <w:rPr>
                <w:rFonts w:ascii="宋体" w:hAnsi="宋体" w:eastAsia="宋体" w:cs="Times New Roman"/>
                <w:kern w:val="2"/>
                <w:sz w:val="28"/>
                <w:szCs w:val="28"/>
                <w:highlight w:val="none"/>
              </w:rPr>
            </w:pPr>
          </w:p>
        </w:tc>
        <w:tc>
          <w:tcPr>
            <w:tcW w:w="2151" w:type="pct"/>
            <w:gridSpan w:val="3"/>
            <w:noWrap w:val="0"/>
            <w:vAlign w:val="center"/>
          </w:tcPr>
          <w:p>
            <w:pPr>
              <w:spacing w:line="240" w:lineRule="atLeast"/>
              <w:jc w:val="center"/>
              <w:rPr>
                <w:rFonts w:ascii="宋体" w:hAnsi="宋体" w:eastAsia="宋体" w:cs="Times New Roman"/>
                <w:kern w:val="2"/>
                <w:sz w:val="28"/>
                <w:szCs w:val="28"/>
                <w:highlight w:val="none"/>
              </w:rPr>
            </w:pPr>
          </w:p>
          <w:p>
            <w:pPr>
              <w:spacing w:line="240" w:lineRule="atLeast"/>
              <w:jc w:val="center"/>
              <w:rPr>
                <w:rFonts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ascii="宋体" w:hAnsi="宋体" w:eastAsia="宋体" w:cs="Times New Roman"/>
                <w:kern w:val="2"/>
                <w:sz w:val="28"/>
                <w:szCs w:val="28"/>
                <w:highlight w:val="none"/>
              </w:rPr>
            </w:pPr>
          </w:p>
        </w:tc>
        <w:tc>
          <w:tcPr>
            <w:tcW w:w="2151" w:type="pct"/>
            <w:gridSpan w:val="2"/>
            <w:noWrap w:val="0"/>
            <w:vAlign w:val="center"/>
          </w:tcPr>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316" w:type="pct"/>
            <w:vMerge w:val="continue"/>
            <w:noWrap w:val="0"/>
            <w:vAlign w:val="center"/>
          </w:tcPr>
          <w:p>
            <w:pPr>
              <w:spacing w:line="240" w:lineRule="atLeast"/>
              <w:jc w:val="center"/>
              <w:rPr>
                <w:rFonts w:ascii="宋体" w:hAnsi="宋体" w:eastAsia="宋体" w:cs="Times New Roman"/>
                <w:kern w:val="2"/>
                <w:sz w:val="28"/>
                <w:szCs w:val="28"/>
                <w:highlight w:val="none"/>
              </w:rPr>
            </w:pPr>
          </w:p>
        </w:tc>
        <w:tc>
          <w:tcPr>
            <w:tcW w:w="379"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隐</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蔽</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工</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程</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图</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示</w:t>
            </w:r>
          </w:p>
        </w:tc>
        <w:tc>
          <w:tcPr>
            <w:tcW w:w="4303" w:type="pct"/>
            <w:gridSpan w:val="5"/>
            <w:noWrap w:val="0"/>
            <w:vAlign w:val="center"/>
          </w:tcPr>
          <w:p>
            <w:pPr>
              <w:spacing w:line="240" w:lineRule="atLeast"/>
              <w:jc w:val="center"/>
              <w:rPr>
                <w:rFonts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hint="eastAsia" w:ascii="宋体" w:hAnsi="宋体" w:eastAsia="宋体" w:cs="Times New Roman"/>
                <w:kern w:val="2"/>
                <w:sz w:val="28"/>
                <w:szCs w:val="28"/>
                <w:highlight w:val="none"/>
              </w:rPr>
            </w:pPr>
          </w:p>
          <w:p>
            <w:pPr>
              <w:spacing w:line="240" w:lineRule="atLeast"/>
              <w:jc w:val="center"/>
              <w:rPr>
                <w:rFonts w:ascii="宋体" w:hAnsi="宋体" w:eastAsia="宋体" w:cs="Times New Roman"/>
                <w:kern w:val="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施工单位</w:t>
            </w:r>
          </w:p>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自检结论</w:t>
            </w:r>
          </w:p>
        </w:tc>
        <w:tc>
          <w:tcPr>
            <w:tcW w:w="3883" w:type="pct"/>
            <w:gridSpan w:val="4"/>
            <w:noWrap w:val="0"/>
            <w:vAlign w:val="center"/>
          </w:tcPr>
          <w:p>
            <w:pPr>
              <w:spacing w:line="240" w:lineRule="atLeast"/>
              <w:jc w:val="left"/>
              <w:rPr>
                <w:rFonts w:hint="eastAsia" w:ascii="宋体" w:hAnsi="宋体" w:eastAsia="宋体" w:cs="Times New Roman"/>
                <w:kern w:val="2"/>
                <w:sz w:val="28"/>
                <w:szCs w:val="28"/>
                <w:highlight w:val="none"/>
              </w:rPr>
            </w:pPr>
          </w:p>
          <w:p>
            <w:pPr>
              <w:spacing w:line="240" w:lineRule="atLeast"/>
              <w:jc w:val="left"/>
              <w:rPr>
                <w:rFonts w:ascii="宋体" w:hAnsi="宋体" w:eastAsia="宋体" w:cs="Times New Roman"/>
                <w:kern w:val="2"/>
                <w:sz w:val="28"/>
                <w:szCs w:val="28"/>
                <w:highlight w:val="none"/>
              </w:rPr>
            </w:pPr>
          </w:p>
          <w:p>
            <w:pPr>
              <w:spacing w:line="240" w:lineRule="atLeast"/>
              <w:ind w:right="-94"/>
              <w:jc w:val="left"/>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项目负责人（签字盖章）：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1116" w:type="pct"/>
            <w:gridSpan w:val="4"/>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rPr>
              <w:t>监理</w:t>
            </w:r>
            <w:r>
              <w:rPr>
                <w:rFonts w:hint="eastAsia" w:ascii="宋体" w:hAnsi="宋体" w:eastAsia="宋体" w:cs="Times New Roman"/>
                <w:kern w:val="2"/>
                <w:sz w:val="28"/>
                <w:szCs w:val="28"/>
                <w:highlight w:val="none"/>
              </w:rPr>
              <w:t>单位</w:t>
            </w:r>
          </w:p>
          <w:p>
            <w:pPr>
              <w:spacing w:line="240" w:lineRule="atLeast"/>
              <w:jc w:val="center"/>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rPr>
              <w:t>验收</w:t>
            </w:r>
            <w:r>
              <w:rPr>
                <w:rFonts w:hint="eastAsia" w:ascii="宋体" w:hAnsi="宋体" w:eastAsia="宋体" w:cs="Times New Roman"/>
                <w:kern w:val="2"/>
                <w:sz w:val="28"/>
                <w:szCs w:val="28"/>
                <w:highlight w:val="none"/>
              </w:rPr>
              <w:t>结论</w:t>
            </w:r>
          </w:p>
        </w:tc>
        <w:tc>
          <w:tcPr>
            <w:tcW w:w="3883" w:type="pct"/>
            <w:gridSpan w:val="4"/>
            <w:noWrap w:val="0"/>
            <w:vAlign w:val="center"/>
          </w:tcPr>
          <w:p>
            <w:pPr>
              <w:spacing w:line="240" w:lineRule="atLeast"/>
              <w:jc w:val="left"/>
              <w:rPr>
                <w:rFonts w:hint="eastAsia" w:ascii="宋体" w:hAnsi="宋体" w:eastAsia="宋体" w:cs="Times New Roman"/>
                <w:kern w:val="2"/>
                <w:sz w:val="28"/>
                <w:szCs w:val="28"/>
                <w:highlight w:val="none"/>
              </w:rPr>
            </w:pPr>
          </w:p>
          <w:p>
            <w:pPr>
              <w:spacing w:line="240" w:lineRule="atLeast"/>
              <w:jc w:val="left"/>
              <w:rPr>
                <w:rFonts w:ascii="宋体" w:hAnsi="宋体" w:eastAsia="宋体" w:cs="Times New Roman"/>
                <w:kern w:val="2"/>
                <w:sz w:val="28"/>
                <w:szCs w:val="28"/>
                <w:highlight w:val="none"/>
              </w:rPr>
            </w:pPr>
          </w:p>
          <w:p>
            <w:pPr>
              <w:spacing w:line="240" w:lineRule="atLeast"/>
              <w:ind w:right="-94" w:rightChars="0"/>
              <w:jc w:val="left"/>
              <w:rPr>
                <w:rFonts w:hint="eastAsia" w:ascii="宋体" w:hAnsi="宋体" w:eastAsia="宋体" w:cs="Times New Roman"/>
                <w:kern w:val="2"/>
                <w:sz w:val="28"/>
                <w:szCs w:val="28"/>
                <w:highlight w:val="none"/>
              </w:rPr>
            </w:pPr>
            <w:r>
              <w:rPr>
                <w:rFonts w:hint="eastAsia" w:ascii="宋体" w:hAnsi="宋体" w:eastAsia="宋体" w:cs="Times New Roman"/>
                <w:kern w:val="2"/>
                <w:sz w:val="28"/>
                <w:szCs w:val="28"/>
                <w:highlight w:val="none"/>
                <w:lang w:val="en-US" w:eastAsia="zh-CN"/>
              </w:rPr>
              <w:t>总监理工程师</w:t>
            </w:r>
            <w:r>
              <w:rPr>
                <w:rFonts w:hint="eastAsia" w:ascii="宋体" w:hAnsi="宋体" w:eastAsia="宋体" w:cs="Times New Roman"/>
                <w:kern w:val="2"/>
                <w:sz w:val="28"/>
                <w:szCs w:val="28"/>
                <w:highlight w:val="none"/>
              </w:rPr>
              <w:t>（签字盖章）：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498" w:type="pct"/>
            <w:gridSpan w:val="2"/>
            <w:vMerge w:val="restart"/>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建设单位验收结论</w:t>
            </w:r>
          </w:p>
        </w:tc>
        <w:tc>
          <w:tcPr>
            <w:tcW w:w="617"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后勤处</w:t>
            </w:r>
          </w:p>
        </w:tc>
        <w:tc>
          <w:tcPr>
            <w:tcW w:w="3883" w:type="pct"/>
            <w:gridSpan w:val="4"/>
            <w:noWrap w:val="0"/>
            <w:vAlign w:val="center"/>
          </w:tcPr>
          <w:p>
            <w:pPr>
              <w:spacing w:line="240" w:lineRule="atLeast"/>
              <w:jc w:val="left"/>
              <w:rPr>
                <w:rFonts w:hint="eastAsia" w:ascii="宋体" w:hAnsi="宋体" w:eastAsia="宋体" w:cs="Times New Roman"/>
                <w:kern w:val="2"/>
                <w:sz w:val="28"/>
                <w:szCs w:val="28"/>
                <w:highlight w:val="none"/>
              </w:rPr>
            </w:pPr>
          </w:p>
          <w:p>
            <w:pPr>
              <w:spacing w:line="240" w:lineRule="atLeast"/>
              <w:jc w:val="left"/>
              <w:rPr>
                <w:rFonts w:ascii="宋体" w:hAnsi="宋体" w:eastAsia="宋体" w:cs="Times New Roman"/>
                <w:kern w:val="2"/>
                <w:sz w:val="28"/>
                <w:szCs w:val="28"/>
                <w:highlight w:val="none"/>
              </w:rPr>
            </w:pPr>
          </w:p>
          <w:p>
            <w:pPr>
              <w:spacing w:line="240" w:lineRule="atLeast"/>
              <w:ind w:right="-94"/>
              <w:jc w:val="left"/>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现场代表（签字盖章）：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498" w:type="pct"/>
            <w:gridSpan w:val="2"/>
            <w:vMerge w:val="continue"/>
            <w:noWrap w:val="0"/>
            <w:vAlign w:val="center"/>
          </w:tcPr>
          <w:p>
            <w:pPr>
              <w:spacing w:line="240" w:lineRule="atLeast"/>
              <w:jc w:val="center"/>
              <w:rPr>
                <w:rFonts w:ascii="宋体" w:hAnsi="宋体" w:eastAsia="宋体" w:cs="Times New Roman"/>
                <w:kern w:val="2"/>
                <w:sz w:val="28"/>
                <w:szCs w:val="28"/>
                <w:highlight w:val="none"/>
              </w:rPr>
            </w:pPr>
          </w:p>
        </w:tc>
        <w:tc>
          <w:tcPr>
            <w:tcW w:w="617" w:type="pct"/>
            <w:gridSpan w:val="2"/>
            <w:noWrap w:val="0"/>
            <w:vAlign w:val="center"/>
          </w:tcPr>
          <w:p>
            <w:pPr>
              <w:spacing w:line="240" w:lineRule="atLeast"/>
              <w:jc w:val="center"/>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审计处</w:t>
            </w:r>
          </w:p>
        </w:tc>
        <w:tc>
          <w:tcPr>
            <w:tcW w:w="3883" w:type="pct"/>
            <w:gridSpan w:val="4"/>
            <w:noWrap w:val="0"/>
            <w:vAlign w:val="center"/>
          </w:tcPr>
          <w:p>
            <w:pPr>
              <w:spacing w:line="240" w:lineRule="atLeast"/>
              <w:rPr>
                <w:rFonts w:hint="eastAsia" w:ascii="宋体" w:hAnsi="宋体" w:eastAsia="宋体" w:cs="Times New Roman"/>
                <w:kern w:val="2"/>
                <w:sz w:val="28"/>
                <w:szCs w:val="28"/>
                <w:highlight w:val="none"/>
              </w:rPr>
            </w:pPr>
          </w:p>
          <w:p>
            <w:pPr>
              <w:spacing w:line="240" w:lineRule="atLeast"/>
              <w:rPr>
                <w:rFonts w:ascii="宋体" w:hAnsi="宋体" w:eastAsia="宋体" w:cs="Times New Roman"/>
                <w:kern w:val="2"/>
                <w:sz w:val="28"/>
                <w:szCs w:val="28"/>
                <w:highlight w:val="none"/>
              </w:rPr>
            </w:pPr>
          </w:p>
          <w:p>
            <w:pPr>
              <w:spacing w:line="240" w:lineRule="atLeast"/>
              <w:ind w:right="-94"/>
              <w:jc w:val="left"/>
              <w:rPr>
                <w:rFonts w:ascii="宋体" w:hAnsi="宋体" w:eastAsia="宋体" w:cs="Times New Roman"/>
                <w:kern w:val="2"/>
                <w:sz w:val="28"/>
                <w:szCs w:val="28"/>
                <w:highlight w:val="none"/>
              </w:rPr>
            </w:pPr>
            <w:r>
              <w:rPr>
                <w:rFonts w:hint="eastAsia" w:ascii="宋体" w:hAnsi="宋体" w:eastAsia="宋体" w:cs="Times New Roman"/>
                <w:kern w:val="2"/>
                <w:sz w:val="28"/>
                <w:szCs w:val="28"/>
                <w:highlight w:val="none"/>
              </w:rPr>
              <w:t>经办人（签字盖章）：　　　　　　        年　　月　　日</w:t>
            </w:r>
          </w:p>
        </w:tc>
      </w:tr>
    </w:tbl>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9.工程竣工后，由发包人组织相关人员进行验收，验收提出的整改意见需在7日内整改到位。</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10.工程竣工后、验收前提交纸质版竣工结算资料2套，同时提供电子版。竣工结算资料需满足审计及档案管理部门的要求，包括结算书、施工图、招投标文件、中标通知书、施工合同、开工令或开工通知、设计变更通知单或技术核定单、变更签证审批表、隐蔽工程验收记录单、合格证、检测报告、竣工验收报告或验收表、竣工图等。</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（三）安全文明施工要求</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11.承包人按照现行国家和省、市、行业安全生产、文明施工有关规定要求和学校相关规定要求，办理相关手续，设置有关围挡、标志等。承包人必须完善自身质量安全管理体系和文明施工措施，杜绝野蛮施工和安全事故发生。严格落实《中华人民共和国消防法》《建设工程安全生产管理条例》《安徽省消防条例》等有关施工现场的消防安全法律法规，严格执行《建筑防火通用规范》（GB55037-2022）等有关施工现场的消防安全技术规范。制定施工期间消防安全管理制度，明确消防安全责任人，签订消防安全责任书。承包人若发生质量或安全事故，由承包人承担一切责任，造成发包人损失的按实赔偿，并承担相应法律责任。</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12.承包人应服从学校管理，保持施工场所及校园内的环境卫生，施工期间产生的建筑垃圾应当日清理并装袋外运，运输材料和外运垃圾过程中散落在外的材料和垃圾须当日清理，对于不能及时清理的，发包人将安排物业公司人员清理，发生的费用由承包人承担。工程完工验收前承包人须做好现场保洁工作，尤其是下水管道的清理，须确保下水管道畅通。</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13.施工期间不得影响学校的正常教学秩序，如遇施工过程与学校的教学、科研等活动出现冲突等情况，承包人必须服从学校管理。承包人不得污染或损坏校园其他设施（不得在沥青路面上拌制混凝土及砂浆，直接堆放水泥等），材料及垃圾要注意人工二次倒运，如有损坏，承包人负责按原样修复或全额赔偿。</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14.工程材料、设备、构配件及已完工程在竣工验收交付前均由承包人负责看护，丢失、被盗、损坏等责任均由承包人承担。</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（四）合同价款范围</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15.本工程合同价格形式为固定单价合同，合同价款范围为按施工图纸及工程量清单（含技术要求）完成施工所需的全部费用。</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16.承包人在投标时应充分考虑材料（设备）价格上涨等不确定因素，风险自行承担。在工程施工期间，若安徽省或芜湖市政府相关文件规定涉人工费或税金调整，按文件规定办理。</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17.按国家建筑法、施工标准及规范的规定，本工程主要建筑材料要进行检测试验（含复试），并提供合格的检测（复试）报告，检测试验发生的费用由承包人承担。</w:t>
      </w:r>
    </w:p>
    <w:p>
      <w:pPr>
        <w:spacing w:line="560" w:lineRule="exact"/>
        <w:ind w:firstLine="480" w:firstLineChars="200"/>
        <w:jc w:val="left"/>
        <w:rPr>
          <w:rFonts w:hint="eastAsia" w:ascii="宋体" w:hAnsi="宋体" w:eastAsia="宋体" w:cs="宋体"/>
          <w:kern w:val="2"/>
          <w:sz w:val="24"/>
          <w:szCs w:val="24"/>
          <w:highlight w:val="none"/>
          <w:u w:val="none"/>
        </w:rPr>
      </w:pPr>
      <w:r>
        <w:rPr>
          <w:rFonts w:hint="eastAsia" w:ascii="宋体" w:hAnsi="宋体" w:eastAsia="宋体" w:cs="宋体"/>
          <w:kern w:val="2"/>
          <w:sz w:val="24"/>
          <w:szCs w:val="24"/>
          <w:highlight w:val="none"/>
          <w:u w:val="none"/>
          <w:lang w:val="en-US" w:eastAsia="zh-CN"/>
        </w:rPr>
        <w:t>18.</w:t>
      </w:r>
      <w:r>
        <w:rPr>
          <w:rFonts w:hint="eastAsia" w:ascii="宋体" w:hAnsi="宋体" w:eastAsia="宋体" w:cs="宋体"/>
          <w:kern w:val="2"/>
          <w:sz w:val="24"/>
          <w:szCs w:val="24"/>
          <w:highlight w:val="none"/>
          <w:u w:val="none"/>
        </w:rPr>
        <w:t>本工程基础配套设施工程进入单体内施工或在单体室外施工时所用水电费、材料堆放占用费、临时工具房使用费等包括但不限于上述所列项的费用投标人须在投标报价时考虑，清单不单独列项，中标后，此部分费用不予增加。</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本工程施工用水电费在竣工结算审计时按审定金额的7‰在工程造价中予以扣除（在发包人与芜湖市建设投资有限公司产权移交前，承包人须预缴部分水电费至原安徽师范大学皖江学院，预缴金额由双方协商确定）。</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19.所有辅材及配件均已列入清单和措施费中，工作量及费用不另签证。</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（五）变更及签证要求</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20.投标单位结合本项目特点，依据施工图纸及工程量清单（含技术要求）综合报价，如发现工程量清单有漏量、漏项的，需在开工后7日内提出，若未在规定时间内提出即视为中标人（即承包人）完全理解并同意该施工图纸及工程量清单（含技术要求）等，施工时必须按照施工图纸及工程量清单（含技术要求）执行，施工完成后，必须满足验收规范要求和使用功能。</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21.本工程确因实际需要进行的设计变更和发包人提出的变更调增调减部分，原则上参照投标文件中单价计算。投标文件中没有相同类型的子目，结算时执行2018版《安徽省建设工程工程量清单计价办法》、2018版《安徽省建设工程工程计价定额》及其配套的费用定额、《建设工程工程量清单计价规范》（GB50500-2013），相关优惠率同投标优惠率一致。投标文件中没有的主材参考芜湖市建设工程造价管理站发布的当月信息价计算，信息价中没有的材料结合市场定价。</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22.因图纸设计发生变更或调整工作内容需要增加费用的，承包人在双方确定变更后3日内向发包人提出变更工程价款材料，提交发包人签字确认。否则，视为该项变更不涉及合同价款的变更，若发生费用由承包人自行承担。发生经济签证产生的合同价款变更，其最终造价以审计部门核定为准。</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23.所有工程变更必须按照皖南医学院有关管理文件办理，具体参照《皖南医学院基建维修工程管理办法（修订）》</w:t>
      </w:r>
      <w:bookmarkStart w:id="2" w:name="文号"/>
      <w:r>
        <w:rPr>
          <w:rFonts w:hint="eastAsia" w:ascii="宋体" w:hAnsi="宋体" w:eastAsia="宋体" w:cs="宋体"/>
          <w:kern w:val="2"/>
          <w:sz w:val="24"/>
          <w:szCs w:val="24"/>
          <w:highlight w:val="none"/>
          <w:u w:val="none"/>
          <w:lang w:val="en-US" w:eastAsia="zh-CN"/>
        </w:rPr>
        <w:t>（校政〔2020〕118号</w:t>
      </w:r>
      <w:bookmarkEnd w:id="2"/>
      <w:r>
        <w:rPr>
          <w:rFonts w:hint="eastAsia" w:ascii="宋体" w:hAnsi="宋体" w:eastAsia="宋体" w:cs="宋体"/>
          <w:kern w:val="2"/>
          <w:sz w:val="24"/>
          <w:szCs w:val="24"/>
          <w:highlight w:val="none"/>
          <w:u w:val="none"/>
          <w:lang w:val="en-US" w:eastAsia="zh-CN"/>
        </w:rPr>
        <w:t>）及《后勤管理处基建维修工程变更签证管理规定（修订）》（后勤〔2023〕15号）文件执行，变更签证必须按《皖南医学院基建维修工程变更签证审批表》逐级签字盖章后有效。</w:t>
      </w:r>
    </w:p>
    <w:p>
      <w:pPr>
        <w:spacing w:line="240" w:lineRule="auto"/>
        <w:ind w:firstLine="0" w:firstLineChars="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br w:type="page"/>
      </w:r>
    </w:p>
    <w:p>
      <w:pPr>
        <w:widowControl w:val="0"/>
        <w:spacing w:after="120"/>
        <w:ind w:left="420" w:leftChars="200" w:firstLine="420" w:firstLineChars="200"/>
        <w:jc w:val="both"/>
        <w:rPr>
          <w:rFonts w:hint="eastAsia" w:ascii="Times New Roman" w:hAnsi="Times New Roman" w:eastAsia="宋体" w:cs="Times New Roman"/>
          <w:kern w:val="2"/>
          <w:sz w:val="21"/>
          <w:szCs w:val="24"/>
          <w:highlight w:val="none"/>
          <w:lang w:val="en-US" w:eastAsia="zh-CN" w:bidi="ar-SA"/>
        </w:rPr>
      </w:pPr>
    </w:p>
    <w:p>
      <w:pPr>
        <w:widowControl w:val="0"/>
        <w:spacing w:line="480" w:lineRule="exact"/>
        <w:jc w:val="center"/>
        <w:rPr>
          <w:rFonts w:ascii="方正小标宋简体" w:hAnsi="黑体" w:eastAsia="方正小标宋简体" w:cs="Times New Roman"/>
          <w:b/>
          <w:kern w:val="2"/>
          <w:sz w:val="32"/>
          <w:szCs w:val="32"/>
          <w:highlight w:val="none"/>
          <w:lang w:val="en-US" w:eastAsia="zh-CN" w:bidi="ar-SA"/>
        </w:rPr>
      </w:pPr>
      <w:r>
        <w:rPr>
          <w:rFonts w:hint="eastAsia" w:ascii="方正小标宋简体" w:hAnsi="黑体" w:eastAsia="方正小标宋简体" w:cs="Times New Roman"/>
          <w:b/>
          <w:kern w:val="2"/>
          <w:sz w:val="32"/>
          <w:szCs w:val="32"/>
          <w:highlight w:val="none"/>
          <w:lang w:val="en-US" w:eastAsia="zh-CN" w:bidi="ar-SA"/>
        </w:rPr>
        <w:t>皖南医学院基建维修工程变更签证审批表</w:t>
      </w:r>
    </w:p>
    <w:p>
      <w:pPr>
        <w:adjustRightInd w:val="0"/>
        <w:snapToGrid w:val="0"/>
        <w:spacing w:line="360" w:lineRule="auto"/>
        <w:jc w:val="left"/>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 xml:space="preserve">工程项目名称：                        </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 xml:space="preserve">   编号：</w:t>
      </w:r>
    </w:p>
    <w:tbl>
      <w:tblPr>
        <w:tblStyle w:val="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775"/>
        <w:gridCol w:w="2752"/>
        <w:gridCol w:w="479"/>
        <w:gridCol w:w="831"/>
        <w:gridCol w:w="3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846" w:type="pct"/>
            <w:gridSpan w:val="2"/>
            <w:noWrap w:val="0"/>
            <w:vAlign w:val="center"/>
          </w:tcPr>
          <w:p>
            <w:pPr>
              <w:adjustRightInd w:val="0"/>
              <w:snapToGrid w:val="0"/>
              <w:spacing w:line="360" w:lineRule="auto"/>
              <w:ind w:left="120" w:hanging="120" w:hangingChars="50"/>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申请（使用）单</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位</w:t>
            </w:r>
          </w:p>
        </w:tc>
        <w:tc>
          <w:tcPr>
            <w:tcW w:w="1615" w:type="pct"/>
            <w:noWrap w:val="0"/>
            <w:vAlign w:val="center"/>
          </w:tcPr>
          <w:p>
            <w:pPr>
              <w:adjustRightInd w:val="0"/>
              <w:snapToGrid w:val="0"/>
              <w:spacing w:line="360" w:lineRule="auto"/>
              <w:rPr>
                <w:rFonts w:ascii="宋体" w:hAnsi="宋体" w:eastAsia="宋体" w:cs="Times New Roman"/>
                <w:kern w:val="2"/>
                <w:sz w:val="24"/>
                <w:szCs w:val="24"/>
                <w:highlight w:val="none"/>
              </w:rPr>
            </w:pPr>
          </w:p>
        </w:tc>
        <w:tc>
          <w:tcPr>
            <w:tcW w:w="769" w:type="pct"/>
            <w:gridSpan w:val="2"/>
            <w:noWrap w:val="0"/>
            <w:vAlign w:val="center"/>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施工单位</w:t>
            </w:r>
          </w:p>
        </w:tc>
        <w:tc>
          <w:tcPr>
            <w:tcW w:w="1769" w:type="pct"/>
            <w:noWrap w:val="0"/>
            <w:vAlign w:val="center"/>
          </w:tcPr>
          <w:p>
            <w:pPr>
              <w:adjustRightInd w:val="0"/>
              <w:snapToGrid w:val="0"/>
              <w:spacing w:line="360" w:lineRule="auto"/>
              <w:jc w:val="right"/>
              <w:rPr>
                <w:rFonts w:hint="eastAsia" w:ascii="宋体" w:hAnsi="宋体" w:eastAsia="宋体" w:cs="Times New Roman"/>
                <w:kern w:val="2"/>
                <w:sz w:val="24"/>
                <w:szCs w:val="24"/>
                <w:highlight w:val="none"/>
                <w:lang w:eastAsia="zh-CN"/>
              </w:rPr>
            </w:pPr>
            <w:r>
              <w:rPr>
                <w:rFonts w:hint="eastAsia" w:ascii="宋体" w:hAnsi="宋体" w:eastAsia="宋体" w:cs="Times New Roman"/>
                <w:kern w:val="2"/>
                <w:sz w:val="24"/>
                <w:szCs w:val="24"/>
                <w:highlight w:val="none"/>
                <w:lang w:eastAsia="zh-CN"/>
              </w:rPr>
              <w:t>（</w:t>
            </w:r>
            <w:r>
              <w:rPr>
                <w:rFonts w:hint="eastAsia" w:ascii="宋体" w:hAnsi="宋体" w:eastAsia="宋体" w:cs="Times New Roman"/>
                <w:kern w:val="2"/>
                <w:sz w:val="24"/>
                <w:szCs w:val="24"/>
                <w:highlight w:val="none"/>
                <w:lang w:val="en-US" w:eastAsia="zh-CN"/>
              </w:rPr>
              <w:t>盖章</w:t>
            </w:r>
            <w:r>
              <w:rPr>
                <w:rFonts w:hint="eastAsia" w:ascii="宋体" w:hAnsi="宋体" w:eastAsia="宋体" w:cs="Times New Roman"/>
                <w:kern w:val="2"/>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846" w:type="pct"/>
            <w:gridSpan w:val="2"/>
            <w:noWrap w:val="0"/>
            <w:vAlign w:val="center"/>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签证类型</w:t>
            </w:r>
            <w:r>
              <w:rPr>
                <w:rFonts w:ascii="宋体" w:hAnsi="宋体" w:eastAsia="宋体" w:cs="Times New Roman"/>
                <w:kern w:val="2"/>
                <w:sz w:val="24"/>
                <w:szCs w:val="24"/>
                <w:highlight w:val="none"/>
              </w:rPr>
              <w:t xml:space="preserve">       </w:t>
            </w:r>
          </w:p>
        </w:tc>
        <w:tc>
          <w:tcPr>
            <w:tcW w:w="4153" w:type="pct"/>
            <w:gridSpan w:val="4"/>
            <w:noWrap w:val="0"/>
            <w:vAlign w:val="center"/>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□设计变更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□工程量清单漏量漏项</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□功能需求变更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□现场变更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846" w:type="pct"/>
            <w:gridSpan w:val="2"/>
            <w:noWrap w:val="0"/>
            <w:vAlign w:val="center"/>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变更金额</w:t>
            </w:r>
          </w:p>
        </w:tc>
        <w:tc>
          <w:tcPr>
            <w:tcW w:w="4153" w:type="pct"/>
            <w:gridSpan w:val="4"/>
            <w:noWrap w:val="0"/>
            <w:vAlign w:val="center"/>
          </w:tcPr>
          <w:p>
            <w:pPr>
              <w:adjustRightInd w:val="0"/>
              <w:snapToGrid w:val="0"/>
              <w:spacing w:line="360" w:lineRule="auto"/>
              <w:rPr>
                <w:rFonts w:ascii="宋体" w:hAnsi="宋体" w:eastAsia="宋体" w:cs="Times New Roman"/>
                <w:kern w:val="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3" w:hRule="atLeast"/>
          <w:jc w:val="center"/>
        </w:trPr>
        <w:tc>
          <w:tcPr>
            <w:tcW w:w="5000" w:type="pct"/>
            <w:gridSpan w:val="6"/>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变更原因及内容：</w:t>
            </w:r>
          </w:p>
          <w:p>
            <w:pPr>
              <w:widowControl w:val="0"/>
              <w:spacing w:after="120"/>
              <w:ind w:left="420" w:leftChars="200" w:firstLine="420" w:firstLineChars="200"/>
              <w:jc w:val="both"/>
              <w:rPr>
                <w:rFonts w:ascii="Times New Roman" w:hAnsi="Times New Roman" w:eastAsia="宋体" w:cs="Times New Roman"/>
                <w:kern w:val="2"/>
                <w:sz w:val="21"/>
                <w:szCs w:val="24"/>
                <w:highlight w:val="none"/>
                <w:lang w:val="en-US" w:eastAsia="zh-CN" w:bidi="ar-SA"/>
              </w:rPr>
            </w:pPr>
          </w:p>
          <w:p>
            <w:pPr>
              <w:widowControl w:val="0"/>
              <w:spacing w:after="120"/>
              <w:ind w:left="420" w:leftChars="200" w:firstLine="420" w:firstLineChars="200"/>
              <w:jc w:val="both"/>
              <w:rPr>
                <w:rFonts w:ascii="Times New Roman" w:hAnsi="Times New Roman" w:eastAsia="宋体" w:cs="Times New Roman"/>
                <w:kern w:val="2"/>
                <w:sz w:val="21"/>
                <w:szCs w:val="24"/>
                <w:highlight w:val="none"/>
                <w:lang w:val="en-US" w:eastAsia="zh-CN" w:bidi="ar-SA"/>
              </w:rPr>
            </w:pPr>
          </w:p>
          <w:p>
            <w:pPr>
              <w:widowControl w:val="0"/>
              <w:spacing w:after="120"/>
              <w:ind w:left="420" w:leftChars="200" w:firstLine="420" w:firstLineChars="200"/>
              <w:jc w:val="both"/>
              <w:rPr>
                <w:rFonts w:ascii="Times New Roman" w:hAnsi="Times New Roman" w:eastAsia="宋体" w:cs="Times New Roman"/>
                <w:kern w:val="2"/>
                <w:sz w:val="21"/>
                <w:szCs w:val="24"/>
                <w:highlight w:val="none"/>
                <w:lang w:val="en-US" w:eastAsia="zh-CN" w:bidi="ar-SA"/>
              </w:rPr>
            </w:pPr>
          </w:p>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391" w:type="pct"/>
            <w:vMerge w:val="restart"/>
            <w:noWrap w:val="0"/>
            <w:vAlign w:val="center"/>
          </w:tcPr>
          <w:p>
            <w:pPr>
              <w:adjustRightInd w:val="0"/>
              <w:snapToGrid w:val="0"/>
              <w:spacing w:line="360" w:lineRule="auto"/>
              <w:jc w:val="center"/>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审</w:t>
            </w:r>
          </w:p>
          <w:p>
            <w:pPr>
              <w:adjustRightInd w:val="0"/>
              <w:snapToGrid w:val="0"/>
              <w:spacing w:line="360" w:lineRule="auto"/>
              <w:jc w:val="center"/>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批</w:t>
            </w:r>
          </w:p>
          <w:p>
            <w:pPr>
              <w:adjustRightInd w:val="0"/>
              <w:snapToGrid w:val="0"/>
              <w:spacing w:line="360" w:lineRule="auto"/>
              <w:jc w:val="center"/>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意</w:t>
            </w:r>
          </w:p>
          <w:p>
            <w:pPr>
              <w:adjustRightInd w:val="0"/>
              <w:snapToGrid w:val="0"/>
              <w:spacing w:line="360" w:lineRule="auto"/>
              <w:jc w:val="center"/>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见</w:t>
            </w:r>
          </w:p>
        </w:tc>
        <w:tc>
          <w:tcPr>
            <w:tcW w:w="2351" w:type="pct"/>
            <w:gridSpan w:val="3"/>
            <w:noWrap w:val="0"/>
            <w:vAlign w:val="top"/>
          </w:tcPr>
          <w:p>
            <w:pPr>
              <w:adjustRightInd w:val="0"/>
              <w:snapToGrid w:val="0"/>
              <w:spacing w:line="360" w:lineRule="auto"/>
              <w:rPr>
                <w:rFonts w:hint="eastAsia" w:ascii="宋体" w:hAnsi="宋体" w:eastAsia="宋体" w:cs="Times New Roman"/>
                <w:kern w:val="2"/>
                <w:sz w:val="24"/>
                <w:szCs w:val="24"/>
                <w:highlight w:val="none"/>
              </w:rPr>
            </w:pPr>
            <w:r>
              <w:rPr>
                <w:rFonts w:hint="eastAsia" w:ascii="宋体" w:hAnsi="宋体" w:eastAsia="宋体" w:cs="Times New Roman"/>
                <w:kern w:val="2"/>
                <w:sz w:val="24"/>
                <w:szCs w:val="24"/>
                <w:highlight w:val="none"/>
                <w:lang w:val="en-US" w:eastAsia="zh-CN"/>
              </w:rPr>
              <w:t>监理单位审核意见</w:t>
            </w:r>
            <w:r>
              <w:rPr>
                <w:rFonts w:hint="eastAsia" w:ascii="宋体" w:hAnsi="宋体" w:eastAsia="宋体" w:cs="Times New Roman"/>
                <w:kern w:val="2"/>
                <w:sz w:val="24"/>
                <w:szCs w:val="24"/>
                <w:highlight w:val="none"/>
              </w:rPr>
              <w:t>（签字</w:t>
            </w:r>
            <w:r>
              <w:rPr>
                <w:rFonts w:hint="eastAsia" w:ascii="宋体" w:hAnsi="宋体" w:eastAsia="宋体" w:cs="Times New Roman"/>
                <w:kern w:val="2"/>
                <w:sz w:val="24"/>
                <w:szCs w:val="24"/>
                <w:highlight w:val="none"/>
                <w:lang w:val="en-US" w:eastAsia="zh-CN"/>
              </w:rPr>
              <w:t>盖章</w:t>
            </w:r>
            <w:r>
              <w:rPr>
                <w:rFonts w:hint="eastAsia" w:ascii="宋体" w:hAnsi="宋体" w:eastAsia="宋体" w:cs="Times New Roman"/>
                <w:kern w:val="2"/>
                <w:sz w:val="24"/>
                <w:szCs w:val="24"/>
                <w:highlight w:val="none"/>
              </w:rPr>
              <w:t>）：</w:t>
            </w:r>
          </w:p>
          <w:p>
            <w:pPr>
              <w:adjustRightInd w:val="0"/>
              <w:snapToGrid w:val="0"/>
              <w:spacing w:line="360" w:lineRule="auto"/>
              <w:rPr>
                <w:rFonts w:hint="eastAsia" w:ascii="宋体" w:hAnsi="宋体" w:eastAsia="宋体" w:cs="Times New Roman"/>
                <w:kern w:val="2"/>
                <w:sz w:val="24"/>
                <w:szCs w:val="24"/>
                <w:highlight w:val="none"/>
              </w:rPr>
            </w:pP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firstLine="2520" w:firstLineChars="1050"/>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c>
          <w:tcPr>
            <w:tcW w:w="2257" w:type="pct"/>
            <w:gridSpan w:val="2"/>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使用（管理）部门联系人（签字）：（仅用于功能需求变更）</w:t>
            </w: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firstLine="2400" w:firstLineChars="1000"/>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391" w:type="pct"/>
            <w:vMerge w:val="continue"/>
            <w:noWrap w:val="0"/>
            <w:vAlign w:val="center"/>
          </w:tcPr>
          <w:p>
            <w:pPr>
              <w:widowControl/>
              <w:adjustRightInd w:val="0"/>
              <w:snapToGrid w:val="0"/>
              <w:spacing w:line="360" w:lineRule="auto"/>
              <w:jc w:val="left"/>
              <w:rPr>
                <w:rFonts w:ascii="宋体" w:hAnsi="宋体" w:eastAsia="宋体" w:cs="Times New Roman"/>
                <w:kern w:val="2"/>
                <w:sz w:val="24"/>
                <w:szCs w:val="24"/>
                <w:highlight w:val="none"/>
              </w:rPr>
            </w:pPr>
          </w:p>
        </w:tc>
        <w:tc>
          <w:tcPr>
            <w:tcW w:w="2351" w:type="pct"/>
            <w:gridSpan w:val="3"/>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工程现场代表（签字）：（</w:t>
            </w:r>
            <w:r>
              <w:rPr>
                <w:rFonts w:ascii="宋体" w:hAnsi="宋体" w:eastAsia="宋体" w:cs="Times New Roman"/>
                <w:kern w:val="2"/>
                <w:sz w:val="24"/>
                <w:szCs w:val="24"/>
                <w:highlight w:val="none"/>
              </w:rPr>
              <w:t>2</w:t>
            </w:r>
            <w:r>
              <w:rPr>
                <w:rFonts w:hint="eastAsia" w:ascii="宋体" w:hAnsi="宋体" w:eastAsia="宋体" w:cs="Times New Roman"/>
                <w:kern w:val="2"/>
                <w:sz w:val="24"/>
                <w:szCs w:val="24"/>
                <w:highlight w:val="none"/>
              </w:rPr>
              <w:t>千元以下）</w:t>
            </w:r>
          </w:p>
          <w:p>
            <w:pPr>
              <w:adjustRightInd w:val="0"/>
              <w:snapToGrid w:val="0"/>
              <w:spacing w:line="360" w:lineRule="auto"/>
              <w:rPr>
                <w:rFonts w:ascii="宋体" w:hAnsi="宋体" w:eastAsia="宋体" w:cs="Times New Roman"/>
                <w:b/>
                <w:kern w:val="2"/>
                <w:sz w:val="24"/>
                <w:szCs w:val="24"/>
                <w:highlight w:val="none"/>
              </w:rPr>
            </w:pP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firstLine="2520" w:firstLineChars="1050"/>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c>
          <w:tcPr>
            <w:tcW w:w="2257" w:type="pct"/>
            <w:gridSpan w:val="2"/>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基建科科长（签字）：（</w:t>
            </w:r>
            <w:r>
              <w:rPr>
                <w:rFonts w:ascii="宋体" w:hAnsi="宋体" w:eastAsia="宋体" w:cs="Times New Roman"/>
                <w:kern w:val="2"/>
                <w:sz w:val="24"/>
                <w:szCs w:val="24"/>
                <w:highlight w:val="none"/>
              </w:rPr>
              <w:t>2</w:t>
            </w:r>
            <w:r>
              <w:rPr>
                <w:rFonts w:hint="eastAsia" w:ascii="宋体" w:hAnsi="宋体" w:eastAsia="宋体" w:cs="Times New Roman"/>
                <w:kern w:val="2"/>
                <w:sz w:val="24"/>
                <w:szCs w:val="24"/>
                <w:highlight w:val="none"/>
              </w:rPr>
              <w:t>千元</w:t>
            </w:r>
            <w:r>
              <w:rPr>
                <w:rFonts w:ascii="宋体" w:hAnsi="宋体" w:eastAsia="宋体" w:cs="Times New Roman"/>
                <w:kern w:val="2"/>
                <w:sz w:val="24"/>
                <w:szCs w:val="24"/>
                <w:highlight w:val="none"/>
              </w:rPr>
              <w:t>~5</w:t>
            </w:r>
            <w:r>
              <w:rPr>
                <w:rFonts w:hint="eastAsia" w:ascii="宋体" w:hAnsi="宋体" w:eastAsia="宋体" w:cs="Times New Roman"/>
                <w:kern w:val="2"/>
                <w:sz w:val="24"/>
                <w:szCs w:val="24"/>
                <w:highlight w:val="none"/>
              </w:rPr>
              <w:t>千元）</w:t>
            </w: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firstLine="2400" w:firstLineChars="1000"/>
              <w:jc w:val="right"/>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391" w:type="pct"/>
            <w:vMerge w:val="continue"/>
            <w:noWrap w:val="0"/>
            <w:vAlign w:val="center"/>
          </w:tcPr>
          <w:p>
            <w:pPr>
              <w:widowControl/>
              <w:adjustRightInd w:val="0"/>
              <w:snapToGrid w:val="0"/>
              <w:spacing w:line="360" w:lineRule="auto"/>
              <w:jc w:val="left"/>
              <w:rPr>
                <w:rFonts w:ascii="宋体" w:hAnsi="宋体" w:eastAsia="宋体" w:cs="Times New Roman"/>
                <w:kern w:val="2"/>
                <w:sz w:val="24"/>
                <w:szCs w:val="24"/>
                <w:highlight w:val="none"/>
              </w:rPr>
            </w:pPr>
          </w:p>
        </w:tc>
        <w:tc>
          <w:tcPr>
            <w:tcW w:w="2351" w:type="pct"/>
            <w:gridSpan w:val="3"/>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后勤处处长（签字）：（</w:t>
            </w:r>
            <w:r>
              <w:rPr>
                <w:rFonts w:ascii="宋体" w:hAnsi="宋体" w:eastAsia="宋体" w:cs="Times New Roman"/>
                <w:kern w:val="2"/>
                <w:sz w:val="24"/>
                <w:szCs w:val="24"/>
                <w:highlight w:val="none"/>
              </w:rPr>
              <w:t>5</w:t>
            </w:r>
            <w:r>
              <w:rPr>
                <w:rFonts w:hint="eastAsia" w:ascii="宋体" w:hAnsi="宋体" w:eastAsia="宋体" w:cs="Times New Roman"/>
                <w:kern w:val="2"/>
                <w:sz w:val="24"/>
                <w:szCs w:val="24"/>
                <w:highlight w:val="none"/>
              </w:rPr>
              <w:t>千元</w:t>
            </w:r>
            <w:r>
              <w:rPr>
                <w:rFonts w:ascii="宋体" w:hAnsi="宋体" w:eastAsia="宋体" w:cs="Times New Roman"/>
                <w:kern w:val="2"/>
                <w:sz w:val="24"/>
                <w:szCs w:val="24"/>
                <w:highlight w:val="none"/>
              </w:rPr>
              <w:t>~</w:t>
            </w:r>
            <w:r>
              <w:rPr>
                <w:rFonts w:hint="eastAsia" w:ascii="宋体" w:hAnsi="宋体" w:eastAsia="宋体" w:cs="Times New Roman"/>
                <w:kern w:val="2"/>
                <w:sz w:val="24"/>
                <w:szCs w:val="24"/>
                <w:highlight w:val="none"/>
              </w:rPr>
              <w:t>1万元）</w:t>
            </w: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firstLine="2400" w:firstLineChars="1000"/>
              <w:jc w:val="right"/>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c>
          <w:tcPr>
            <w:tcW w:w="2257" w:type="pct"/>
            <w:gridSpan w:val="2"/>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分管校长（签字）：（1万元~5万元）</w:t>
            </w: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jc w:val="right"/>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391" w:type="pct"/>
            <w:vMerge w:val="continue"/>
            <w:noWrap w:val="0"/>
            <w:vAlign w:val="center"/>
          </w:tcPr>
          <w:p>
            <w:pPr>
              <w:widowControl/>
              <w:adjustRightInd w:val="0"/>
              <w:snapToGrid w:val="0"/>
              <w:spacing w:line="360" w:lineRule="auto"/>
              <w:jc w:val="left"/>
              <w:rPr>
                <w:rFonts w:ascii="宋体" w:hAnsi="宋体" w:eastAsia="宋体" w:cs="Times New Roman"/>
                <w:kern w:val="2"/>
                <w:sz w:val="24"/>
                <w:szCs w:val="24"/>
                <w:highlight w:val="none"/>
              </w:rPr>
            </w:pPr>
          </w:p>
        </w:tc>
        <w:tc>
          <w:tcPr>
            <w:tcW w:w="4608" w:type="pct"/>
            <w:gridSpan w:val="5"/>
            <w:noWrap w:val="0"/>
            <w:vAlign w:val="top"/>
          </w:tcPr>
          <w:p>
            <w:pPr>
              <w:adjustRightInd w:val="0"/>
              <w:snapToGrid w:val="0"/>
              <w:spacing w:line="360" w:lineRule="auto"/>
              <w:rPr>
                <w:rFonts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校长（签字）：（</w:t>
            </w:r>
            <w:r>
              <w:rPr>
                <w:rFonts w:ascii="宋体" w:hAnsi="宋体" w:eastAsia="宋体" w:cs="Times New Roman"/>
                <w:kern w:val="2"/>
                <w:sz w:val="24"/>
                <w:szCs w:val="24"/>
                <w:highlight w:val="none"/>
              </w:rPr>
              <w:t>5</w:t>
            </w:r>
            <w:r>
              <w:rPr>
                <w:rFonts w:hint="eastAsia" w:ascii="宋体" w:hAnsi="宋体" w:eastAsia="宋体" w:cs="Times New Roman"/>
                <w:kern w:val="2"/>
                <w:sz w:val="24"/>
                <w:szCs w:val="24"/>
                <w:highlight w:val="none"/>
              </w:rPr>
              <w:t>万元</w:t>
            </w:r>
            <w:r>
              <w:rPr>
                <w:rFonts w:ascii="宋体" w:hAnsi="宋体" w:eastAsia="宋体" w:cs="Times New Roman"/>
                <w:kern w:val="2"/>
                <w:sz w:val="24"/>
                <w:szCs w:val="24"/>
                <w:highlight w:val="none"/>
              </w:rPr>
              <w:t>~</w:t>
            </w:r>
            <w:r>
              <w:rPr>
                <w:rFonts w:hint="eastAsia" w:ascii="宋体" w:hAnsi="宋体" w:eastAsia="宋体" w:cs="Times New Roman"/>
                <w:kern w:val="2"/>
                <w:sz w:val="24"/>
                <w:szCs w:val="24"/>
                <w:highlight w:val="none"/>
              </w:rPr>
              <w:t>10万元）</w:t>
            </w: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rPr>
                <w:rFonts w:ascii="宋体" w:hAnsi="宋体" w:eastAsia="宋体" w:cs="Times New Roman"/>
                <w:kern w:val="2"/>
                <w:sz w:val="24"/>
                <w:szCs w:val="24"/>
                <w:highlight w:val="none"/>
              </w:rPr>
            </w:pPr>
          </w:p>
          <w:p>
            <w:pPr>
              <w:adjustRightInd w:val="0"/>
              <w:snapToGrid w:val="0"/>
              <w:spacing w:line="360" w:lineRule="auto"/>
              <w:ind w:right="120" w:rightChars="0"/>
              <w:jc w:val="right"/>
              <w:rPr>
                <w:rFonts w:hint="eastAsia" w:ascii="宋体" w:hAnsi="宋体" w:eastAsia="宋体" w:cs="Times New Roman"/>
                <w:kern w:val="2"/>
                <w:sz w:val="24"/>
                <w:szCs w:val="24"/>
                <w:highlight w:val="none"/>
              </w:rPr>
            </w:pPr>
            <w:r>
              <w:rPr>
                <w:rFonts w:hint="eastAsia" w:ascii="宋体" w:hAnsi="宋体" w:eastAsia="宋体" w:cs="Times New Roman"/>
                <w:kern w:val="2"/>
                <w:sz w:val="24"/>
                <w:szCs w:val="24"/>
                <w:highlight w:val="none"/>
              </w:rPr>
              <w:t>年</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月</w:t>
            </w:r>
            <w:r>
              <w:rPr>
                <w:rFonts w:ascii="宋体" w:hAnsi="宋体" w:eastAsia="宋体" w:cs="Times New Roman"/>
                <w:kern w:val="2"/>
                <w:sz w:val="24"/>
                <w:szCs w:val="24"/>
                <w:highlight w:val="none"/>
              </w:rPr>
              <w:t xml:space="preserve">   </w:t>
            </w:r>
            <w:r>
              <w:rPr>
                <w:rFonts w:hint="eastAsia" w:ascii="宋体" w:hAnsi="宋体" w:eastAsia="宋体" w:cs="Times New Roman"/>
                <w:kern w:val="2"/>
                <w:sz w:val="24"/>
                <w:szCs w:val="24"/>
                <w:highlight w:val="none"/>
              </w:rPr>
              <w:t>日</w:t>
            </w:r>
          </w:p>
        </w:tc>
      </w:tr>
    </w:tbl>
    <w:p>
      <w:pPr>
        <w:adjustRightInd w:val="0"/>
        <w:snapToGrid w:val="0"/>
        <w:spacing w:line="360" w:lineRule="auto"/>
        <w:jc w:val="left"/>
        <w:rPr>
          <w:rFonts w:hint="eastAsia" w:ascii="宋体" w:hAnsi="宋体" w:eastAsia="宋体" w:cs="Times New Roman"/>
          <w:kern w:val="2"/>
          <w:sz w:val="28"/>
          <w:szCs w:val="28"/>
          <w:highlight w:val="none"/>
        </w:rPr>
      </w:pPr>
      <w:r>
        <w:rPr>
          <w:rFonts w:hint="eastAsia" w:ascii="宋体" w:hAnsi="宋体" w:eastAsia="宋体" w:cs="宋体"/>
          <w:kern w:val="2"/>
          <w:sz w:val="24"/>
          <w:szCs w:val="24"/>
          <w:highlight w:val="none"/>
        </w:rPr>
        <w:t>备注：</w:t>
      </w:r>
      <w:r>
        <w:rPr>
          <w:rFonts w:hint="eastAsia" w:ascii="宋体" w:hAnsi="宋体" w:eastAsia="宋体" w:cs="Times New Roman"/>
          <w:kern w:val="2"/>
          <w:sz w:val="24"/>
          <w:szCs w:val="24"/>
          <w:highlight w:val="none"/>
        </w:rPr>
        <w:t>大额变更报校长办公会（党委会）研究决定。</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（六）合同价款支付</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24.付款应按下列条件进行：合同签订后且中标供应商提交的预付款担保措施（等额无条件的“见索即赔”保函（保函最终有效期为该合同工期完毕之后的30日历天，工期内未完成工程的，应按照采购人要求延长保函有效期））生效后支付合同金额的40%作为预付款，工程竣工验收合格后付至合同价款的85%（扣回预付款），结算审核完成后付至结算价款的97%，余款3%作为质保金，待缺陷责任期满后无质量争议一次性付清。付款前提供合格税务发票。</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（七）工程审计要求</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25.承包人对所报送的工程结算资料真实性、完整性、合法性、合格性负责。工程结算资料报送学校委托的审核机构后，审核过程中不得补充新增签证项目。不规范、不完善的工程结算资料，承包人自接到完善资料通知单7日内一次性完善。</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26.承包人应按照学校审计处相关文件规定，积极配合做好工程结算审计工作，在规定的时间内完成审计报告签字盖章。</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27.工程结算审核时，凡审增部分及审减率超过10%（不含10%）以上部分的审计服务费由承包人承担，在审核机构审核时直接扣除。费率参照皖价服〔2007〕86号文件规定的标准执行。</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（八）其他要求</w:t>
      </w:r>
    </w:p>
    <w:p>
      <w:pPr>
        <w:spacing w:line="560" w:lineRule="exact"/>
        <w:ind w:firstLine="480" w:firstLineChars="200"/>
        <w:jc w:val="left"/>
        <w:rPr>
          <w:rFonts w:hint="eastAsia" w:ascii="宋体" w:hAnsi="宋体" w:eastAsia="宋体" w:cs="宋体"/>
          <w:kern w:val="2"/>
          <w:sz w:val="24"/>
          <w:szCs w:val="24"/>
          <w:highlight w:val="none"/>
          <w:u w:val="none"/>
          <w:lang w:val="en-US" w:eastAsia="zh-CN"/>
        </w:rPr>
      </w:pPr>
      <w:r>
        <w:rPr>
          <w:rFonts w:hint="eastAsia" w:ascii="宋体" w:hAnsi="宋体" w:eastAsia="宋体" w:cs="宋体"/>
          <w:kern w:val="2"/>
          <w:sz w:val="24"/>
          <w:szCs w:val="24"/>
          <w:highlight w:val="none"/>
          <w:u w:val="none"/>
          <w:lang w:val="en-US" w:eastAsia="zh-CN"/>
        </w:rPr>
        <w:t>28.为加强学校基建维修工程现场管理工作，规范施工企业从业行为，督促施工企业落实项目经理质量安全责任，对承包人项目经理的考核按《皖南医学院基建维修工程项目经理、总监理工程师管理办法（修订）》（后勤〔2022〕004号）文件执行。</w:t>
      </w:r>
    </w:p>
    <w:p>
      <w:pPr>
        <w:spacing w:line="560" w:lineRule="exact"/>
        <w:ind w:firstLine="480" w:firstLineChars="200"/>
        <w:jc w:val="left"/>
        <w:rPr>
          <w:rFonts w:hint="eastAsia" w:ascii="宋体" w:hAnsi="宋体" w:eastAsia="宋体" w:cs="宋体"/>
          <w:kern w:val="2"/>
          <w:sz w:val="24"/>
          <w:szCs w:val="24"/>
          <w:highlight w:val="none"/>
          <w:u w:val="none"/>
        </w:rPr>
      </w:pPr>
      <w:r>
        <w:rPr>
          <w:rFonts w:hint="eastAsia" w:ascii="宋体" w:hAnsi="宋体" w:eastAsia="宋体" w:cs="宋体"/>
          <w:kern w:val="2"/>
          <w:sz w:val="24"/>
          <w:szCs w:val="24"/>
          <w:highlight w:val="none"/>
          <w:u w:val="none"/>
          <w:lang w:val="en-US" w:eastAsia="zh-CN"/>
        </w:rPr>
        <w:t>29</w:t>
      </w:r>
      <w:r>
        <w:rPr>
          <w:rFonts w:hint="eastAsia" w:ascii="宋体" w:hAnsi="宋体" w:eastAsia="宋体" w:cs="宋体"/>
          <w:kern w:val="2"/>
          <w:sz w:val="24"/>
          <w:szCs w:val="24"/>
          <w:highlight w:val="none"/>
          <w:u w:val="none"/>
        </w:rPr>
        <w:t>.工程</w:t>
      </w:r>
      <w:r>
        <w:rPr>
          <w:rFonts w:hint="eastAsia" w:ascii="宋体" w:hAnsi="宋体" w:eastAsia="宋体" w:cs="宋体"/>
          <w:kern w:val="2"/>
          <w:sz w:val="24"/>
          <w:szCs w:val="24"/>
          <w:highlight w:val="none"/>
          <w:u w:val="none"/>
          <w:lang w:val="en-US" w:eastAsia="zh-CN"/>
        </w:rPr>
        <w:t>缺陷责任期</w:t>
      </w:r>
      <w:r>
        <w:rPr>
          <w:rFonts w:hint="eastAsia" w:ascii="宋体" w:hAnsi="宋体" w:eastAsia="宋体" w:cs="宋体"/>
          <w:kern w:val="2"/>
          <w:sz w:val="24"/>
          <w:szCs w:val="24"/>
          <w:highlight w:val="none"/>
          <w:u w:val="none"/>
        </w:rPr>
        <w:t>2年，</w:t>
      </w:r>
      <w:r>
        <w:rPr>
          <w:rFonts w:hint="eastAsia" w:ascii="宋体" w:hAnsi="宋体" w:eastAsia="宋体" w:cs="宋体"/>
          <w:kern w:val="2"/>
          <w:sz w:val="24"/>
          <w:szCs w:val="24"/>
          <w:highlight w:val="none"/>
          <w:u w:val="none"/>
          <w:lang w:val="en-US" w:eastAsia="zh-CN"/>
        </w:rPr>
        <w:t>缺陷责任期</w:t>
      </w:r>
      <w:r>
        <w:rPr>
          <w:rFonts w:hint="eastAsia" w:ascii="宋体" w:hAnsi="宋体" w:eastAsia="宋体" w:cs="宋体"/>
          <w:kern w:val="2"/>
          <w:sz w:val="24"/>
          <w:szCs w:val="24"/>
          <w:highlight w:val="none"/>
          <w:u w:val="none"/>
        </w:rPr>
        <w:t>从</w:t>
      </w:r>
      <w:r>
        <w:rPr>
          <w:rFonts w:hint="eastAsia" w:ascii="宋体" w:hAnsi="宋体" w:eastAsia="宋体" w:cs="宋体"/>
          <w:kern w:val="2"/>
          <w:sz w:val="24"/>
          <w:szCs w:val="24"/>
          <w:highlight w:val="none"/>
          <w:u w:val="none"/>
          <w:lang w:val="en-US" w:eastAsia="zh-CN"/>
        </w:rPr>
        <w:t>竣工</w:t>
      </w:r>
      <w:r>
        <w:rPr>
          <w:rFonts w:hint="eastAsia" w:ascii="宋体" w:hAnsi="宋体" w:eastAsia="宋体" w:cs="宋体"/>
          <w:kern w:val="2"/>
          <w:sz w:val="24"/>
          <w:szCs w:val="24"/>
          <w:highlight w:val="none"/>
          <w:u w:val="none"/>
        </w:rPr>
        <w:t>验收合格之日起计算。</w:t>
      </w:r>
    </w:p>
    <w:p>
      <w:pPr>
        <w:spacing w:line="560" w:lineRule="exact"/>
        <w:ind w:firstLine="480" w:firstLineChars="200"/>
        <w:jc w:val="left"/>
        <w:rPr>
          <w:rFonts w:hint="eastAsia" w:ascii="宋体" w:hAnsi="宋体" w:eastAsia="宋体" w:cs="宋体"/>
          <w:kern w:val="2"/>
          <w:sz w:val="24"/>
          <w:szCs w:val="24"/>
          <w:highlight w:val="none"/>
          <w:u w:val="none"/>
        </w:rPr>
      </w:pPr>
      <w:r>
        <w:rPr>
          <w:rFonts w:hint="eastAsia" w:ascii="宋体" w:hAnsi="宋体" w:eastAsia="宋体" w:cs="宋体"/>
          <w:kern w:val="2"/>
          <w:sz w:val="24"/>
          <w:szCs w:val="24"/>
          <w:highlight w:val="none"/>
          <w:u w:val="none"/>
          <w:lang w:val="en-US" w:eastAsia="zh-CN"/>
        </w:rPr>
        <w:t>30.</w:t>
      </w:r>
      <w:r>
        <w:rPr>
          <w:rFonts w:hint="eastAsia" w:ascii="宋体" w:hAnsi="宋体" w:eastAsia="宋体" w:cs="宋体"/>
          <w:kern w:val="2"/>
          <w:sz w:val="24"/>
          <w:szCs w:val="24"/>
          <w:highlight w:val="none"/>
          <w:u w:val="none"/>
        </w:rPr>
        <w:t>工程质保期内出现质量问题，承包人需及时修复</w:t>
      </w:r>
      <w:r>
        <w:rPr>
          <w:rFonts w:hint="eastAsia" w:ascii="宋体" w:hAnsi="宋体" w:eastAsia="宋体" w:cs="宋体"/>
          <w:kern w:val="2"/>
          <w:sz w:val="24"/>
          <w:szCs w:val="24"/>
          <w:highlight w:val="none"/>
          <w:u w:val="none"/>
          <w:lang w:eastAsia="zh-CN"/>
        </w:rPr>
        <w:t>，</w:t>
      </w:r>
      <w:r>
        <w:rPr>
          <w:rFonts w:hint="eastAsia" w:ascii="宋体" w:hAnsi="宋体" w:eastAsia="宋体" w:cs="宋体"/>
          <w:kern w:val="2"/>
          <w:sz w:val="24"/>
          <w:szCs w:val="24"/>
          <w:highlight w:val="none"/>
          <w:u w:val="none"/>
        </w:rPr>
        <w:t>如承包人不能修复或修复不及时，发包人可另行安排队伍维修，</w:t>
      </w:r>
      <w:r>
        <w:rPr>
          <w:rFonts w:hint="eastAsia" w:ascii="宋体" w:hAnsi="宋体" w:eastAsia="宋体" w:cs="宋体"/>
          <w:kern w:val="2"/>
          <w:sz w:val="24"/>
          <w:szCs w:val="24"/>
          <w:highlight w:val="none"/>
          <w:u w:val="none"/>
          <w:lang w:val="en-US" w:eastAsia="zh-CN"/>
        </w:rPr>
        <w:t>所产生的费用由承包人承担</w:t>
      </w:r>
      <w:r>
        <w:rPr>
          <w:rFonts w:hint="eastAsia" w:ascii="宋体" w:hAnsi="宋体" w:eastAsia="宋体" w:cs="宋体"/>
          <w:kern w:val="2"/>
          <w:sz w:val="24"/>
          <w:szCs w:val="24"/>
          <w:highlight w:val="none"/>
          <w:u w:val="none"/>
        </w:rPr>
        <w:t>。对于多次重复出现的问题，发包人将视修复情况通报芜湖市工程质量监督部门，并将承包人记入发包人黑名单库，三年内禁止参加发包人组织的校内采购活动。</w:t>
      </w:r>
      <w:bookmarkEnd w:id="1"/>
    </w:p>
    <w:p>
      <w:pPr>
        <w:spacing w:line="360" w:lineRule="auto"/>
        <w:ind w:firstLine="480" w:firstLineChars="200"/>
        <w:rPr>
          <w:rFonts w:ascii="宋体" w:hAnsi="宋体" w:eastAsia="宋体" w:cs="Times New Roman"/>
          <w:color w:val="auto"/>
          <w:kern w:val="0"/>
          <w:sz w:val="24"/>
          <w:szCs w:val="20"/>
          <w:highlight w:val="none"/>
        </w:rPr>
      </w:pPr>
    </w:p>
    <w:p>
      <w:pPr>
        <w:bidi w:val="0"/>
        <w:rPr>
          <w:rFonts w:hint="eastAsia" w:ascii="宋体" w:hAnsi="宋体" w:eastAsia="宋体" w:cs="Times New Roman"/>
          <w:kern w:val="0"/>
          <w:sz w:val="20"/>
          <w:szCs w:val="20"/>
          <w:highlight w:val="none"/>
        </w:rPr>
      </w:pPr>
    </w:p>
    <w:p>
      <w:pPr>
        <w:rPr>
          <w:rFonts w:hint="eastAsia" w:ascii="宋体" w:hAnsi="宋体" w:eastAsia="宋体" w:cs="Times New Roman"/>
          <w:b/>
          <w:color w:val="auto"/>
          <w:kern w:val="0"/>
          <w:sz w:val="28"/>
          <w:szCs w:val="20"/>
          <w:highlight w:val="none"/>
        </w:rPr>
      </w:pPr>
      <w:bookmarkStart w:id="3" w:name="_GoBack"/>
      <w:bookmarkEnd w:id="3"/>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523EB6-BD1A-4545-88DB-86351F5BDA0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27F2B9B-4BBE-43D2-B90D-9DE3A508976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简标宋">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3" w:fontKey="{DE064884-5459-4E60-8BE4-BCC8CD0BDD7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iMTI1NmIzYmI4OTM5MGM0ODQzN2E2MzFiNjM2MDkifQ=="/>
  </w:docVars>
  <w:rsids>
    <w:rsidRoot w:val="0DF951F7"/>
    <w:rsid w:val="0DF951F7"/>
    <w:rsid w:val="249D4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网格型2"/>
    <w:unhideWhenUsed/>
    <w:qFormat/>
    <w:uiPriority w:val="59"/>
    <w:rPr>
      <w:rFonts w:ascii="Calibri" w:hAnsi="Calibri" w:eastAsia="宋体"/>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2024-06-14T10:44:00Z</dcterms:created>
  <dc:creator>许佳佳</dc:creator>
  <cp:lastModifiedBy>许佳佳</cp:lastModifiedBy>
  <dcterms:modified xsi:type="dcterms:W3CDTF">2024-06-14T10:45:14Z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DFE70EA7AA3A45829A7460C5F555BBF1_11</vt:lpwstr>
  </property>
</Properties>
</file>