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项目编号：WYGZ2020</w:t>
      </w:r>
      <w:r>
        <w:rPr>
          <w:rFonts w:hint="eastAsia" w:eastAsia="仿宋_GB2312"/>
          <w:snapToGrid w:val="0"/>
          <w:sz w:val="30"/>
          <w:lang w:val="en-US" w:eastAsia="zh-CN"/>
        </w:rPr>
        <w:t>132</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48"/>
          <w:szCs w:val="48"/>
          <w:lang w:eastAsia="zh-CN"/>
        </w:rPr>
        <w:t>医学寄生虫学教研室学生实验室改造工程</w:t>
      </w:r>
      <w:r>
        <w:rPr>
          <w:rFonts w:hint="eastAsia" w:ascii="华文中宋" w:hAnsi="华文中宋" w:eastAsia="华文中宋"/>
          <w:b/>
          <w:bCs/>
          <w:w w:val="90"/>
          <w:sz w:val="48"/>
          <w:szCs w:val="48"/>
        </w:rPr>
        <w:t xml:space="preserve">          </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11</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"_Toc49763000"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"_Toc49763001"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"_Toc49763002"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"_Toc49763003" </w:instrText>
      </w:r>
      <w:r>
        <w:fldChar w:fldCharType="separate"/>
      </w:r>
      <w:r>
        <w:rPr>
          <w:rStyle w:val="24"/>
          <w:rFonts w:hint="eastAsia"/>
        </w:rPr>
        <w:t>第五章</w:t>
      </w:r>
      <w:r>
        <w:rPr>
          <w:rStyle w:val="24"/>
        </w:rPr>
        <w:t xml:space="preserve">  </w:t>
      </w:r>
      <w:r>
        <w:rPr>
          <w:rStyle w:val="24"/>
          <w:rFonts w:hint="eastAsia"/>
        </w:rPr>
        <w:t>项目需求</w:t>
      </w:r>
      <w:r>
        <w:tab/>
      </w:r>
      <w:r>
        <w:fldChar w:fldCharType="begin"/>
      </w:r>
      <w:r>
        <w:instrText xml:space="preserve"> PAGEREF _Toc49763003 \h </w:instrText>
      </w:r>
      <w:r>
        <w:fldChar w:fldCharType="separate"/>
      </w:r>
      <w:r>
        <w:t>15</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"_Toc49763004" </w:instrText>
      </w:r>
      <w:r>
        <w:fldChar w:fldCharType="separate"/>
      </w:r>
      <w:r>
        <w:rPr>
          <w:rStyle w:val="24"/>
          <w:rFonts w:hint="eastAsia"/>
        </w:rPr>
        <w:t>第六章</w:t>
      </w:r>
      <w:r>
        <w:rPr>
          <w:rStyle w:val="24"/>
        </w:rPr>
        <w:t xml:space="preserve">  </w:t>
      </w:r>
      <w:r>
        <w:rPr>
          <w:rStyle w:val="24"/>
          <w:rFonts w:hint="eastAsia"/>
        </w:rPr>
        <w:t>评分办法和评分细则</w:t>
      </w:r>
      <w:r>
        <w:tab/>
      </w:r>
      <w:r>
        <w:fldChar w:fldCharType="begin"/>
      </w:r>
      <w:r>
        <w:instrText xml:space="preserve"> PAGEREF _Toc49763004 \h </w:instrText>
      </w:r>
      <w:r>
        <w:fldChar w:fldCharType="separate"/>
      </w:r>
      <w:r>
        <w:t>23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"_Toc49763005"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_Toc49763005 \h </w:instrText>
      </w:r>
      <w:r>
        <w:fldChar w:fldCharType="separate"/>
      </w:r>
      <w:r>
        <w:t>26</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我校医学寄生虫学教研室学生实验室改造工程项目采取磋商的方式进行采购，现邀请符合资质条件的供应商参加投标和磋商。具体情况如下：</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kern w:val="0"/>
          <w:sz w:val="24"/>
          <w:szCs w:val="24"/>
        </w:rPr>
        <w:t xml:space="preserve">医学寄生虫学教研室学生实验室改造工程 </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（二）项目编号：WYGZ2020</w:t>
      </w:r>
      <w:r>
        <w:rPr>
          <w:rFonts w:hint="eastAsia" w:ascii="仿宋_GB2312" w:eastAsia="仿宋_GB2312"/>
          <w:sz w:val="24"/>
          <w:szCs w:val="24"/>
          <w:lang w:val="en-US" w:eastAsia="zh-CN"/>
        </w:rPr>
        <w:t>132</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（三）项目内容：</w:t>
      </w:r>
      <w:r>
        <w:rPr>
          <w:rFonts w:hint="eastAsia" w:ascii="仿宋_GB2312" w:eastAsia="仿宋_GB2312"/>
          <w:kern w:val="0"/>
          <w:sz w:val="24"/>
          <w:szCs w:val="24"/>
        </w:rPr>
        <w:t>医学寄生虫学教研室学生实验室改造工程</w:t>
      </w:r>
      <w:r>
        <w:rPr>
          <w:rFonts w:hint="eastAsia" w:ascii="仿宋_GB2312" w:eastAsia="仿宋_GB2312"/>
          <w:sz w:val="24"/>
          <w:szCs w:val="24"/>
        </w:rPr>
        <w:t>。详见项目需求。</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（四）项目预算：</w:t>
      </w:r>
      <w:r>
        <w:rPr>
          <w:rFonts w:hint="eastAsia" w:ascii="仿宋_GB2312" w:eastAsia="仿宋_GB2312"/>
          <w:sz w:val="24"/>
          <w:szCs w:val="24"/>
          <w:lang w:val="en-US" w:eastAsia="zh-CN"/>
        </w:rPr>
        <w:t>21万</w:t>
      </w:r>
      <w:r>
        <w:rPr>
          <w:rFonts w:hint="eastAsia" w:ascii="仿宋_GB2312" w:eastAsia="仿宋_GB2312"/>
          <w:sz w:val="24"/>
          <w:szCs w:val="24"/>
        </w:rPr>
        <w:t>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w:t>
      </w:r>
      <w:r>
        <w:rPr>
          <w:rFonts w:hint="eastAsia" w:ascii="仿宋_GB2312" w:hAnsi="宋体" w:eastAsia="仿宋_GB2312" w:cs="宋体"/>
          <w:kern w:val="0"/>
          <w:sz w:val="24"/>
          <w:szCs w:val="24"/>
        </w:rPr>
        <w:t>符合《中华人民共和国政府采购法》第二十二条规定</w:t>
      </w:r>
      <w:r>
        <w:rPr>
          <w:rFonts w:hint="eastAsia" w:ascii="仿宋_GB2312" w:eastAsia="仿宋_GB2312"/>
          <w:sz w:val="24"/>
          <w:szCs w:val="24"/>
        </w:rPr>
        <w:t>；</w:t>
      </w:r>
    </w:p>
    <w:p>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eastAsia="仿宋_GB2312"/>
          <w:sz w:val="24"/>
          <w:szCs w:val="24"/>
        </w:rPr>
        <w:t>（二）</w:t>
      </w:r>
      <w:r>
        <w:rPr>
          <w:rFonts w:hint="eastAsia" w:ascii="仿宋_GB2312" w:hAnsi="仿宋_GB2312" w:eastAsia="仿宋_GB2312" w:cs="仿宋_GB2312"/>
          <w:sz w:val="24"/>
          <w:szCs w:val="24"/>
        </w:rPr>
        <w:t>具有独立法人资格，具有独立承担民事责任的能力；</w:t>
      </w:r>
    </w:p>
    <w:p>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（三）具有建筑装修装饰工程专业承包</w:t>
      </w:r>
      <w:r>
        <w:rPr>
          <w:rFonts w:hint="eastAsia" w:ascii="仿宋_GB2312" w:hAnsi="仿宋_GB2312" w:eastAsia="仿宋_GB2312" w:cs="仿宋_GB2312"/>
          <w:sz w:val="24"/>
          <w:szCs w:val="24"/>
          <w:lang w:val="en-US" w:eastAsia="zh-CN"/>
        </w:rPr>
        <w:t>二级</w:t>
      </w:r>
      <w:r>
        <w:rPr>
          <w:rFonts w:hint="eastAsia" w:ascii="仿宋_GB2312" w:hAnsi="仿宋_GB2312" w:eastAsia="仿宋_GB2312" w:cs="仿宋_GB2312"/>
          <w:sz w:val="24"/>
          <w:szCs w:val="24"/>
        </w:rPr>
        <w:t>及以上企业。投标单位相关资质须是建设行政主管部门核发的，且经年检合格；</w:t>
      </w:r>
    </w:p>
    <w:p>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kern w:val="0"/>
          <w:sz w:val="24"/>
          <w:szCs w:val="24"/>
        </w:rPr>
        <w:t>四）</w:t>
      </w:r>
      <w:r>
        <w:rPr>
          <w:rFonts w:hint="eastAsia" w:ascii="仿宋_GB2312" w:hAnsi="仿宋_GB2312" w:eastAsia="仿宋_GB2312" w:cs="仿宋_GB2312"/>
          <w:sz w:val="24"/>
          <w:szCs w:val="24"/>
        </w:rPr>
        <w:t>具有良好的商业信誉和优良的售后服务，在近三年的经营活动中没有不良记录。</w:t>
      </w:r>
    </w:p>
    <w:p>
      <w:pPr>
        <w:adjustRightInd w:val="0"/>
        <w:snapToGrid w:val="0"/>
        <w:spacing w:line="360" w:lineRule="auto"/>
        <w:ind w:firstLine="480" w:firstLineChars="200"/>
        <w:rPr>
          <w:rFonts w:ascii="仿宋_GB2312" w:hAnsi="宋体" w:eastAsia="仿宋_GB2312" w:cs="宋体"/>
          <w:kern w:val="0"/>
          <w:sz w:val="24"/>
          <w:szCs w:val="24"/>
        </w:rPr>
      </w:pPr>
      <w:r>
        <w:rPr>
          <w:rFonts w:hint="eastAsia" w:ascii="仿宋_GB2312" w:eastAsia="仿宋_GB2312"/>
          <w:sz w:val="24"/>
          <w:szCs w:val="24"/>
        </w:rPr>
        <w:t>（</w:t>
      </w:r>
      <w:r>
        <w:rPr>
          <w:rFonts w:hint="eastAsia" w:ascii="仿宋_GB2312" w:eastAsia="仿宋_GB2312"/>
          <w:sz w:val="24"/>
          <w:szCs w:val="24"/>
          <w:lang w:eastAsia="zh-CN"/>
        </w:rPr>
        <w:t>五</w:t>
      </w:r>
      <w:r>
        <w:rPr>
          <w:rFonts w:hint="eastAsia" w:ascii="仿宋_GB2312" w:hAnsi="宋体" w:eastAsia="仿宋_GB2312" w:cs="宋体"/>
          <w:kern w:val="0"/>
          <w:sz w:val="24"/>
          <w:szCs w:val="24"/>
        </w:rPr>
        <w:t>）本项目不接受联合体投标。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（一）报名时间：2020年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10</w:t>
      </w:r>
      <w:r>
        <w:rPr>
          <w:rFonts w:hint="eastAsia" w:ascii="仿宋_GB2312" w:hAnsi="宋体" w:eastAsia="仿宋_GB2312" w:cs="宋体"/>
          <w:sz w:val="24"/>
          <w:szCs w:val="24"/>
          <w:lang w:val="zh-CN"/>
        </w:rPr>
        <w:t>日-2020年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16</w:t>
      </w:r>
      <w:r>
        <w:rPr>
          <w:rFonts w:hint="eastAsia" w:ascii="仿宋_GB2312" w:hAnsi="宋体" w:eastAsia="仿宋_GB2312" w:cs="宋体"/>
          <w:sz w:val="24"/>
          <w:szCs w:val="24"/>
          <w:lang w:val="zh-CN"/>
        </w:rPr>
        <w:t>日；</w:t>
      </w:r>
    </w:p>
    <w:p>
      <w:pPr>
        <w:pStyle w:val="18"/>
        <w:adjustRightInd w:val="0"/>
        <w:snapToGrid w:val="0"/>
        <w:spacing w:before="0" w:beforeAutospacing="0" w:after="0" w:afterAutospacing="0" w:line="360" w:lineRule="auto"/>
        <w:ind w:firstLine="480" w:firstLineChars="200"/>
        <w:jc w:val="both"/>
        <w:rPr>
          <w:rFonts w:hint="default" w:ascii="仿宋_GB2312" w:hAnsi="仿宋" w:eastAsia="仿宋_GB2312"/>
          <w:sz w:val="24"/>
          <w:szCs w:val="24"/>
          <w:lang w:val="en-US" w:eastAsia="zh-CN"/>
        </w:rPr>
      </w:pPr>
      <w:r>
        <w:rPr>
          <w:rFonts w:hint="eastAsia" w:ascii="仿宋_GB2312" w:eastAsia="仿宋_GB2312" w:cs="宋体"/>
          <w:sz w:val="24"/>
          <w:szCs w:val="24"/>
          <w:lang w:val="zh-CN"/>
        </w:rPr>
        <w:t>（二）报名方式：网上报名，填写报名表，</w:t>
      </w:r>
      <w:r>
        <w:rPr>
          <w:rFonts w:hint="eastAsia" w:ascii="仿宋_GB2312" w:hAnsi="仿宋" w:eastAsia="仿宋_GB2312"/>
          <w:sz w:val="24"/>
          <w:szCs w:val="24"/>
        </w:rPr>
        <w:t>将营业执照、相关资格证书、法定代表人授权委托书电子版发送至邮箱：</w:t>
      </w:r>
      <w:r>
        <w:rPr>
          <w:rFonts w:hint="eastAsia" w:ascii="仿宋_GB2312" w:hAnsi="仿宋" w:eastAsia="仿宋_GB2312"/>
          <w:sz w:val="24"/>
          <w:szCs w:val="24"/>
          <w:lang w:val="en-US" w:eastAsia="zh-CN"/>
        </w:rPr>
        <w:t>842807551</w:t>
      </w:r>
      <w:r>
        <w:rPr>
          <w:rFonts w:hint="eastAsia" w:ascii="仿宋_GB2312" w:hAnsi="仿宋" w:eastAsia="仿宋_GB2312"/>
          <w:sz w:val="24"/>
          <w:szCs w:val="24"/>
        </w:rPr>
        <w:t xml:space="preserve"> @qq.com,审核通过后方可参与投标；</w:t>
      </w:r>
      <w:r>
        <w:rPr>
          <w:rFonts w:hint="eastAsia" w:ascii="仿宋_GB2312" w:hAnsi="仿宋" w:eastAsia="仿宋_GB2312"/>
          <w:sz w:val="24"/>
          <w:szCs w:val="24"/>
          <w:lang w:val="en-US" w:eastAsia="zh-CN"/>
        </w:rPr>
        <w:t xml:space="preserve">  </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（一）响应文件递交截止时间：2020年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24</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24</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w:t>
      </w:r>
      <w:r>
        <w:rPr>
          <w:rFonts w:hint="eastAsia" w:ascii="仿宋_GB2312" w:eastAsia="仿宋_GB2312"/>
          <w:sz w:val="24"/>
          <w:szCs w:val="24"/>
          <w:lang w:val="en-US" w:eastAsia="zh-CN"/>
        </w:rPr>
        <w:t>方</w:t>
      </w:r>
      <w:r>
        <w:rPr>
          <w:rFonts w:hint="eastAsia" w:ascii="仿宋_GB2312" w:eastAsia="仿宋_GB2312"/>
          <w:sz w:val="24"/>
          <w:szCs w:val="24"/>
        </w:rPr>
        <w:t>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2020年</w:t>
      </w:r>
      <w:r>
        <w:rPr>
          <w:rFonts w:hint="eastAsia" w:ascii="仿宋_GB2312" w:eastAsia="仿宋_GB2312"/>
          <w:sz w:val="24"/>
          <w:szCs w:val="24"/>
          <w:lang w:val="en-US" w:eastAsia="zh-CN"/>
        </w:rPr>
        <w:t>11</w:t>
      </w:r>
      <w:r>
        <w:rPr>
          <w:rFonts w:hint="eastAsia" w:ascii="仿宋_GB2312" w:eastAsia="仿宋_GB2312"/>
          <w:sz w:val="24"/>
          <w:szCs w:val="24"/>
        </w:rPr>
        <w:t>月</w:t>
      </w:r>
      <w:r>
        <w:rPr>
          <w:rFonts w:hint="eastAsia" w:ascii="仿宋_GB2312" w:eastAsia="仿宋_GB2312"/>
          <w:sz w:val="24"/>
          <w:szCs w:val="24"/>
          <w:lang w:val="en-US" w:eastAsia="zh-CN"/>
        </w:rPr>
        <w:t>10</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49763000"/>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2.1</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项目名称</w:t>
            </w:r>
          </w:p>
        </w:tc>
        <w:tc>
          <w:tcPr>
            <w:tcW w:w="6480" w:type="dxa"/>
            <w:vAlign w:val="center"/>
          </w:tcPr>
          <w:p>
            <w:pPr>
              <w:snapToGrid w:val="0"/>
              <w:rPr>
                <w:rFonts w:asciiTheme="majorEastAsia" w:hAnsiTheme="majorEastAsia" w:eastAsiaTheme="majorEastAsia"/>
                <w:kern w:val="0"/>
                <w:sz w:val="24"/>
                <w:szCs w:val="24"/>
              </w:rPr>
            </w:pPr>
            <w:r>
              <w:rPr>
                <w:rFonts w:hint="eastAsia" w:asciiTheme="majorEastAsia" w:hAnsiTheme="majorEastAsia" w:eastAsiaTheme="majorEastAsia"/>
                <w:kern w:val="0"/>
                <w:sz w:val="24"/>
                <w:szCs w:val="24"/>
              </w:rPr>
              <w:t>医学寄生虫学教研室学生实验室改造工程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2.2</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采购</w:t>
            </w:r>
            <w:r>
              <w:rPr>
                <w:rFonts w:ascii="宋体" w:hAnsi="宋体"/>
                <w:kern w:val="0"/>
                <w:sz w:val="24"/>
                <w:szCs w:val="24"/>
              </w:rPr>
              <w:t>人</w:t>
            </w:r>
          </w:p>
        </w:tc>
        <w:tc>
          <w:tcPr>
            <w:tcW w:w="6480" w:type="dxa"/>
            <w:vAlign w:val="center"/>
          </w:tcPr>
          <w:p>
            <w:pPr>
              <w:widowControl/>
              <w:rPr>
                <w:rFonts w:ascii="宋体" w:hAnsi="宋体"/>
                <w:kern w:val="0"/>
                <w:sz w:val="24"/>
                <w:szCs w:val="24"/>
              </w:rPr>
            </w:pPr>
            <w:r>
              <w:rPr>
                <w:rFonts w:hint="eastAsia" w:ascii="宋体" w:hAnsi="宋体"/>
                <w:kern w:val="0"/>
                <w:sz w:val="24"/>
                <w:szCs w:val="24"/>
              </w:rPr>
              <w:t>招标人</w:t>
            </w:r>
            <w:r>
              <w:rPr>
                <w:rFonts w:ascii="宋体" w:hAnsi="宋体"/>
                <w:kern w:val="0"/>
                <w:sz w:val="24"/>
                <w:szCs w:val="24"/>
              </w:rPr>
              <w:t>名称：</w:t>
            </w:r>
            <w:r>
              <w:rPr>
                <w:rFonts w:hint="eastAsia" w:ascii="宋体" w:hAnsi="宋体"/>
                <w:sz w:val="24"/>
                <w:szCs w:val="24"/>
              </w:rPr>
              <w:t>皖南医学院</w:t>
            </w:r>
          </w:p>
          <w:p>
            <w:pPr>
              <w:rPr>
                <w:rFonts w:ascii="宋体" w:hAnsi="宋体"/>
                <w:kern w:val="0"/>
                <w:sz w:val="24"/>
                <w:szCs w:val="24"/>
              </w:rPr>
            </w:pPr>
            <w:r>
              <w:rPr>
                <w:rFonts w:ascii="宋体" w:hAnsi="宋体"/>
                <w:kern w:val="0"/>
                <w:sz w:val="24"/>
                <w:szCs w:val="24"/>
              </w:rPr>
              <w:t>联系人：</w:t>
            </w:r>
            <w:r>
              <w:rPr>
                <w:rFonts w:hint="eastAsia" w:ascii="宋体" w:hAnsi="宋体"/>
                <w:kern w:val="0"/>
                <w:sz w:val="24"/>
                <w:szCs w:val="24"/>
                <w:lang w:val="en-US" w:eastAsia="zh-CN"/>
              </w:rPr>
              <w:t>方</w:t>
            </w:r>
            <w:r>
              <w:rPr>
                <w:rFonts w:hint="eastAsia" w:ascii="宋体" w:hAnsi="宋体"/>
                <w:kern w:val="0"/>
                <w:sz w:val="24"/>
                <w:szCs w:val="24"/>
              </w:rPr>
              <w:t xml:space="preserve">老师   </w:t>
            </w:r>
            <w:r>
              <w:rPr>
                <w:rFonts w:hint="eastAsia" w:ascii="宋体" w:hAnsi="宋体"/>
                <w:b/>
                <w:kern w:val="0"/>
                <w:sz w:val="24"/>
                <w:szCs w:val="24"/>
              </w:rPr>
              <w:t xml:space="preserve"> </w:t>
            </w:r>
            <w:r>
              <w:rPr>
                <w:rFonts w:hint="eastAsia" w:ascii="宋体" w:hAnsi="宋体"/>
                <w:kern w:val="0"/>
                <w:sz w:val="24"/>
                <w:szCs w:val="24"/>
              </w:rPr>
              <w:t xml:space="preserve"> </w:t>
            </w:r>
            <w:r>
              <w:rPr>
                <w:rFonts w:ascii="宋体" w:hAnsi="宋体"/>
                <w:kern w:val="0"/>
                <w:sz w:val="24"/>
                <w:szCs w:val="24"/>
              </w:rPr>
              <w:t>电话：</w:t>
            </w:r>
            <w:r>
              <w:rPr>
                <w:rFonts w:hint="eastAsia" w:ascii="宋体" w:hAnsi="宋体"/>
                <w:kern w:val="0"/>
                <w:sz w:val="24"/>
                <w:szCs w:val="24"/>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2.3</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招标范围</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2.4</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项目工期</w:t>
            </w:r>
            <w:r>
              <w:rPr>
                <w:rFonts w:ascii="宋体" w:hAnsi="宋体"/>
                <w:kern w:val="0"/>
                <w:sz w:val="24"/>
                <w:szCs w:val="24"/>
              </w:rPr>
              <w:t>要求</w:t>
            </w:r>
          </w:p>
        </w:tc>
        <w:tc>
          <w:tcPr>
            <w:tcW w:w="6480" w:type="dxa"/>
            <w:vAlign w:val="center"/>
          </w:tcPr>
          <w:p>
            <w:pPr>
              <w:widowControl/>
              <w:snapToGrid w:val="0"/>
              <w:rPr>
                <w:rFonts w:ascii="宋体" w:hAnsi="宋体"/>
                <w:kern w:val="0"/>
                <w:sz w:val="24"/>
                <w:szCs w:val="24"/>
              </w:rPr>
            </w:pPr>
            <w:r>
              <w:rPr>
                <w:rFonts w:hint="eastAsia" w:ascii="宋体" w:hAnsi="宋体"/>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2.5</w:t>
            </w:r>
          </w:p>
        </w:tc>
        <w:tc>
          <w:tcPr>
            <w:tcW w:w="1635" w:type="dxa"/>
            <w:vAlign w:val="center"/>
          </w:tcPr>
          <w:p>
            <w:pPr>
              <w:widowControl/>
              <w:spacing w:line="300" w:lineRule="exact"/>
              <w:jc w:val="center"/>
              <w:rPr>
                <w:rFonts w:ascii="宋体" w:hAnsi="宋体"/>
                <w:kern w:val="0"/>
                <w:sz w:val="24"/>
                <w:szCs w:val="24"/>
              </w:rPr>
            </w:pPr>
            <w:r>
              <w:rPr>
                <w:rFonts w:ascii="宋体" w:hAnsi="宋体"/>
                <w:kern w:val="0"/>
                <w:sz w:val="24"/>
                <w:szCs w:val="24"/>
              </w:rPr>
              <w:t>投标人资质条件、能力和信誉</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r>
              <w:rPr>
                <w:rFonts w:hint="eastAsia" w:ascii="宋体" w:hAnsi="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现场踏勘</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组织形式：集中踏勘</w:t>
            </w:r>
          </w:p>
          <w:p>
            <w:pPr>
              <w:widowControl/>
              <w:snapToGrid w:val="0"/>
              <w:rPr>
                <w:rFonts w:ascii="宋体" w:hAnsi="宋体"/>
                <w:kern w:val="0"/>
                <w:sz w:val="21"/>
                <w:szCs w:val="21"/>
              </w:rPr>
            </w:pPr>
            <w:r>
              <w:rPr>
                <w:rFonts w:hint="eastAsia" w:ascii="宋体" w:hAnsi="宋体"/>
                <w:kern w:val="0"/>
                <w:sz w:val="21"/>
                <w:szCs w:val="21"/>
              </w:rPr>
              <w:t>时间、地点：2020年</w:t>
            </w:r>
            <w:r>
              <w:rPr>
                <w:rFonts w:hint="eastAsia" w:ascii="宋体" w:hAnsi="宋体"/>
                <w:kern w:val="0"/>
                <w:sz w:val="21"/>
                <w:szCs w:val="21"/>
                <w:lang w:val="en-US" w:eastAsia="zh-CN"/>
              </w:rPr>
              <w:t>11</w:t>
            </w:r>
            <w:r>
              <w:rPr>
                <w:rFonts w:hint="eastAsia" w:ascii="宋体" w:hAnsi="宋体"/>
                <w:kern w:val="0"/>
                <w:sz w:val="21"/>
                <w:szCs w:val="21"/>
              </w:rPr>
              <w:t>月</w:t>
            </w:r>
            <w:r>
              <w:rPr>
                <w:rFonts w:hint="eastAsia" w:ascii="宋体" w:hAnsi="宋体"/>
                <w:kern w:val="0"/>
                <w:sz w:val="21"/>
                <w:szCs w:val="21"/>
                <w:lang w:val="en-US" w:eastAsia="zh-CN"/>
              </w:rPr>
              <w:t>19</w:t>
            </w:r>
            <w:r>
              <w:rPr>
                <w:rFonts w:hint="eastAsia" w:ascii="宋体" w:hAnsi="宋体"/>
                <w:kern w:val="0"/>
                <w:sz w:val="21"/>
                <w:szCs w:val="21"/>
              </w:rPr>
              <w:t>日上午9:30，皖南医学院滨江校区南门集合</w:t>
            </w:r>
          </w:p>
          <w:p>
            <w:pPr>
              <w:widowControl/>
              <w:snapToGrid w:val="0"/>
              <w:rPr>
                <w:rFonts w:ascii="宋体" w:hAnsi="宋体"/>
                <w:kern w:val="0"/>
                <w:sz w:val="21"/>
                <w:szCs w:val="21"/>
              </w:rPr>
            </w:pPr>
            <w:r>
              <w:rPr>
                <w:rFonts w:hint="eastAsia" w:ascii="宋体" w:hAnsi="宋体"/>
                <w:kern w:val="0"/>
                <w:sz w:val="21"/>
                <w:szCs w:val="21"/>
              </w:rPr>
              <w:t>联系人：郑老师，联系方式：0553-3932407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ascii="宋体" w:hAnsi="宋体"/>
                <w:kern w:val="0"/>
                <w:sz w:val="21"/>
                <w:szCs w:val="21"/>
              </w:rPr>
            </w:pPr>
            <w:r>
              <w:rPr>
                <w:rFonts w:ascii="宋体" w:hAnsi="宋体"/>
                <w:kern w:val="0"/>
                <w:sz w:val="21"/>
                <w:szCs w:val="21"/>
              </w:rPr>
              <w:t>金额：</w:t>
            </w:r>
            <w:r>
              <w:rPr>
                <w:rFonts w:hint="eastAsia" w:ascii="宋体" w:hAnsi="宋体"/>
                <w:kern w:val="0"/>
                <w:sz w:val="21"/>
                <w:szCs w:val="21"/>
              </w:rPr>
              <w:t>人民币4</w:t>
            </w:r>
            <w:r>
              <w:rPr>
                <w:rFonts w:hint="eastAsia" w:ascii="宋体" w:hAnsi="宋体"/>
                <w:kern w:val="0"/>
                <w:sz w:val="21"/>
                <w:szCs w:val="21"/>
                <w:lang w:val="en-US" w:eastAsia="zh-CN"/>
              </w:rPr>
              <w:t>000</w:t>
            </w:r>
            <w:r>
              <w:rPr>
                <w:rFonts w:hint="eastAsia" w:ascii="宋体" w:hAnsi="宋体"/>
                <w:kern w:val="0"/>
                <w:sz w:val="21"/>
                <w:szCs w:val="21"/>
              </w:rPr>
              <w:t>元</w:t>
            </w:r>
            <w:r>
              <w:rPr>
                <w:rFonts w:ascii="宋体" w:hAnsi="宋体"/>
                <w:kern w:val="0"/>
                <w:sz w:val="21"/>
                <w:szCs w:val="21"/>
              </w:rPr>
              <w:t>。</w:t>
            </w:r>
          </w:p>
          <w:p>
            <w:pPr>
              <w:rPr>
                <w:rFonts w:ascii="宋体" w:hAnsi="宋体"/>
                <w:bCs/>
                <w:sz w:val="21"/>
                <w:szCs w:val="21"/>
              </w:rPr>
            </w:pPr>
            <w:r>
              <w:rPr>
                <w:rFonts w:hint="eastAsia" w:ascii="宋体" w:hAnsi="宋体"/>
                <w:kern w:val="0"/>
                <w:sz w:val="21"/>
                <w:szCs w:val="21"/>
              </w:rPr>
              <w:t>形式：保证金必须在</w:t>
            </w:r>
            <w:r>
              <w:rPr>
                <w:rFonts w:hint="eastAsia" w:ascii="宋体" w:hAnsi="宋体"/>
                <w:b/>
                <w:kern w:val="0"/>
                <w:sz w:val="21"/>
                <w:szCs w:val="21"/>
              </w:rPr>
              <w:t>磋商前一天下午14:00前</w:t>
            </w:r>
            <w:r>
              <w:rPr>
                <w:rFonts w:hint="eastAsia" w:ascii="宋体" w:hAnsi="宋体"/>
                <w:kern w:val="0"/>
                <w:sz w:val="21"/>
                <w:szCs w:val="21"/>
              </w:rPr>
              <w:t>，</w:t>
            </w:r>
            <w:r>
              <w:rPr>
                <w:rFonts w:hint="eastAsia" w:ascii="宋体" w:hAnsi="宋体"/>
                <w:sz w:val="21"/>
                <w:szCs w:val="21"/>
              </w:rPr>
              <w:t>从投标单位账户以转账方式</w:t>
            </w:r>
            <w:r>
              <w:rPr>
                <w:rFonts w:hint="eastAsia" w:ascii="宋体" w:hAnsi="宋体"/>
                <w:bCs/>
                <w:sz w:val="21"/>
                <w:szCs w:val="21"/>
              </w:rPr>
              <w:t>汇入</w:t>
            </w:r>
            <w:r>
              <w:rPr>
                <w:rFonts w:hint="eastAsia" w:ascii="宋体" w:hAnsi="宋体"/>
                <w:b/>
                <w:bCs/>
                <w:sz w:val="21"/>
                <w:szCs w:val="21"/>
              </w:rPr>
              <w:t>到达</w:t>
            </w:r>
            <w:r>
              <w:rPr>
                <w:rFonts w:hint="eastAsia" w:ascii="宋体" w:hAnsi="宋体"/>
                <w:bCs/>
                <w:sz w:val="21"/>
                <w:szCs w:val="21"/>
              </w:rPr>
              <w:t>指定账户</w:t>
            </w:r>
            <w:r>
              <w:rPr>
                <w:rFonts w:hint="eastAsia" w:ascii="宋体" w:hAnsi="宋体"/>
                <w:b/>
                <w:sz w:val="21"/>
                <w:szCs w:val="21"/>
              </w:rPr>
              <w:t>（注明“WYGZ2020</w:t>
            </w:r>
            <w:r>
              <w:rPr>
                <w:rFonts w:hint="eastAsia" w:ascii="宋体" w:hAnsi="宋体"/>
                <w:b/>
                <w:sz w:val="21"/>
                <w:szCs w:val="21"/>
                <w:lang w:val="en-US" w:eastAsia="zh-CN"/>
              </w:rPr>
              <w:t>132</w:t>
            </w:r>
            <w:r>
              <w:rPr>
                <w:rFonts w:hint="eastAsia" w:ascii="宋体" w:hAnsi="宋体"/>
                <w:b/>
                <w:sz w:val="21"/>
                <w:szCs w:val="21"/>
              </w:rPr>
              <w:t>保证金”）</w:t>
            </w:r>
            <w:bookmarkStart w:id="159" w:name="_GoBack"/>
            <w:bookmarkEnd w:id="159"/>
          </w:p>
          <w:p>
            <w:pPr>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sz w:val="21"/>
                <w:szCs w:val="21"/>
              </w:rPr>
            </w:pPr>
            <w:r>
              <w:rPr>
                <w:rFonts w:hint="eastAsia" w:ascii="宋体" w:hAnsi="宋体"/>
                <w:sz w:val="21"/>
                <w:szCs w:val="21"/>
              </w:rPr>
              <w:t>正本1</w:t>
            </w:r>
            <w:r>
              <w:rPr>
                <w:rFonts w:ascii="宋体" w:hAnsi="宋体"/>
                <w:sz w:val="21"/>
                <w:szCs w:val="21"/>
              </w:rPr>
              <w:t>份，副本</w:t>
            </w:r>
            <w:r>
              <w:rPr>
                <w:rFonts w:hint="eastAsia" w:ascii="宋体" w:hAnsi="宋体"/>
                <w:sz w:val="21"/>
                <w:szCs w:val="21"/>
              </w:rPr>
              <w:t>2</w:t>
            </w:r>
            <w:r>
              <w:rPr>
                <w:rFonts w:ascii="宋体" w:hAnsi="宋体"/>
                <w:sz w:val="21"/>
                <w:szCs w:val="21"/>
              </w:rPr>
              <w:t>份</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rPr>
              <w:t>10</w:t>
            </w:r>
            <w:r>
              <w:rPr>
                <w:rFonts w:hint="eastAsia" w:ascii="宋体" w:hAnsi="宋体"/>
                <w:kern w:val="0"/>
                <w:sz w:val="21"/>
                <w:szCs w:val="21"/>
                <w:lang w:val="en-US" w:eastAsia="zh-CN"/>
              </w:rPr>
              <w:t>000</w:t>
            </w:r>
            <w:r>
              <w:rPr>
                <w:rFonts w:hint="eastAsia" w:ascii="宋体" w:hAnsi="宋体"/>
                <w:kern w:val="0"/>
                <w:sz w:val="21"/>
                <w:szCs w:val="21"/>
              </w:rPr>
              <w:t>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Pr>
        <w:pStyle w:val="3"/>
        <w:snapToGrid w:val="0"/>
        <w:spacing w:before="0" w:after="0"/>
        <w:jc w:val="center"/>
        <w:rPr>
          <w:rFonts w:ascii="华文中宋" w:hAnsi="华文中宋" w:eastAsia="华文中宋"/>
          <w:color w:val="auto"/>
        </w:rPr>
      </w:pPr>
      <w:bookmarkStart w:id="2" w:name="_Toc49763001"/>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20823275"/>
      <w:bookmarkStart w:id="5" w:name="_Toc16938519"/>
      <w:bookmarkStart w:id="6" w:name="_Toc120614214"/>
      <w:bookmarkStart w:id="7" w:name="_Toc513029203"/>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513029204"/>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16938521"/>
      <w:bookmarkStart w:id="13" w:name="_Toc513029205"/>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16938522"/>
      <w:bookmarkStart w:id="17" w:name="_Toc513029206"/>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16938523"/>
      <w:bookmarkStart w:id="19" w:name="_Toc20823279"/>
      <w:bookmarkStart w:id="20" w:name="_Toc462564067"/>
      <w:bookmarkStart w:id="21" w:name="_Toc513029207"/>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20614215"/>
      <w:bookmarkStart w:id="24" w:name="_Toc20823281"/>
      <w:bookmarkStart w:id="25" w:name="_Toc16938525"/>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16938527"/>
      <w:bookmarkStart w:id="32" w:name="_Toc462564070"/>
      <w:bookmarkStart w:id="33" w:name="_Toc513029211"/>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403987207"/>
      <w:bookmarkStart w:id="35" w:name="_Toc120614216"/>
      <w:bookmarkStart w:id="36" w:name="_Toc20823285"/>
      <w:bookmarkStart w:id="37" w:name="_Toc16938529"/>
      <w:bookmarkStart w:id="38" w:name="_Toc462564072"/>
      <w:bookmarkStart w:id="39" w:name="_Toc513029213"/>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20823286"/>
      <w:bookmarkStart w:id="42" w:name="_Toc16938530"/>
      <w:bookmarkStart w:id="43" w:name="_Toc513029214"/>
      <w:bookmarkStart w:id="44" w:name="_Toc462564073"/>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20823287"/>
      <w:bookmarkStart w:id="46" w:name="_Toc16938531"/>
      <w:bookmarkStart w:id="47" w:name="_Toc513029215"/>
      <w:bookmarkStart w:id="48" w:name="_Toc462564074"/>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954731"/>
      <w:bookmarkEnd w:id="64"/>
      <w:bookmarkStart w:id="65" w:name="_Hlt26670486"/>
      <w:bookmarkEnd w:id="65"/>
      <w:bookmarkStart w:id="66" w:name="_Hlt26954846"/>
      <w:bookmarkEnd w:id="66"/>
      <w:bookmarkStart w:id="67" w:name="_Hlt26670482"/>
      <w:bookmarkEnd w:id="67"/>
      <w:bookmarkStart w:id="68" w:name="_Toc49090510"/>
      <w:bookmarkStart w:id="69" w:name="_Toc14577359"/>
      <w:r>
        <w:rPr>
          <w:rFonts w:hint="eastAsia" w:ascii="仿宋_GB2312" w:eastAsia="仿宋_GB2312"/>
          <w:sz w:val="24"/>
          <w:szCs w:val="24"/>
        </w:rPr>
        <w:t>8.磋商保证金</w:t>
      </w:r>
      <w:bookmarkEnd w:id="68"/>
      <w:bookmarkEnd w:id="69"/>
    </w:p>
    <w:p>
      <w:pPr>
        <w:pStyle w:val="31"/>
        <w:snapToGrid w:val="0"/>
        <w:rPr>
          <w:rFonts w:ascii="仿宋_GB2312" w:hAnsi="宋体" w:eastAsia="仿宋_GB2312"/>
          <w:sz w:val="24"/>
          <w:szCs w:val="24"/>
        </w:rPr>
      </w:pPr>
      <w:bookmarkStart w:id="70" w:name="_Hlt26670489"/>
      <w:bookmarkEnd w:id="70"/>
      <w:bookmarkStart w:id="71" w:name="_Hlt26954734"/>
      <w:bookmarkEnd w:id="71"/>
      <w:bookmarkStart w:id="72" w:name="_Hlt26954850"/>
      <w:bookmarkEnd w:id="72"/>
      <w:bookmarkStart w:id="73" w:name="_Toc14577360"/>
      <w:bookmarkStart w:id="74" w:name="_Toc49090511"/>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1"/>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1"/>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14577361"/>
      <w:bookmarkStart w:id="78" w:name="_Toc49090512"/>
      <w:r>
        <w:rPr>
          <w:rFonts w:hint="eastAsia" w:ascii="仿宋_GB2312" w:eastAsia="仿宋_GB2312"/>
          <w:sz w:val="24"/>
          <w:szCs w:val="24"/>
        </w:rPr>
        <w:t>9.响应文件份数和签署</w:t>
      </w:r>
      <w:bookmarkEnd w:id="77"/>
      <w:bookmarkEnd w:id="78"/>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513029224"/>
      <w:bookmarkStart w:id="80" w:name="_Toc16938540"/>
      <w:bookmarkStart w:id="81" w:name="_Toc20823296"/>
      <w:bookmarkStart w:id="82" w:name="_Toc120614217"/>
      <w:bookmarkStart w:id="83" w:name="_Toc403987208"/>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462564084"/>
      <w:bookmarkStart w:id="85" w:name="_Toc513029225"/>
      <w:bookmarkStart w:id="86" w:name="_Toc16938541"/>
      <w:bookmarkStart w:id="87" w:name="_Toc20823297"/>
      <w:r>
        <w:rPr>
          <w:rFonts w:hint="eastAsia" w:ascii="仿宋_GB2312" w:eastAsia="仿宋_GB2312"/>
          <w:sz w:val="24"/>
          <w:szCs w:val="24"/>
        </w:rPr>
        <w:t>1.响应文件的密封和标记</w:t>
      </w:r>
      <w:bookmarkEnd w:id="84"/>
      <w:bookmarkEnd w:id="85"/>
      <w:bookmarkEnd w:id="86"/>
      <w:bookmarkEnd w:id="87"/>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513029226"/>
      <w:bookmarkStart w:id="89" w:name="_Toc16938542"/>
      <w:bookmarkStart w:id="90" w:name="_Toc20823298"/>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513029231"/>
      <w:bookmarkStart w:id="92" w:name="_Toc16938547"/>
      <w:bookmarkStart w:id="93" w:name="_Toc20823303"/>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513029232"/>
      <w:bookmarkStart w:id="95" w:name="_Toc16938548"/>
      <w:bookmarkStart w:id="96" w:name="_Toc20823304"/>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513029233"/>
      <w:bookmarkStart w:id="98" w:name="_Toc16938549"/>
      <w:bookmarkStart w:id="99" w:name="_Toc20823305"/>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100" w:name="_Toc513029235"/>
      <w:bookmarkStart w:id="101" w:name="_Toc16938551"/>
      <w:bookmarkStart w:id="102" w:name="_Toc20823307"/>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4"/>
      <w:bookmarkStart w:id="104" w:name="_Toc20823310"/>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120614220"/>
      <w:bookmarkStart w:id="106" w:name="_Toc403987211"/>
      <w:bookmarkStart w:id="107" w:name="_Toc513029236"/>
      <w:bookmarkStart w:id="108" w:name="_Toc16938552"/>
      <w:bookmarkStart w:id="109" w:name="_Toc20823308"/>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513029237"/>
      <w:bookmarkStart w:id="111" w:name="_Toc16938553"/>
      <w:bookmarkStart w:id="112" w:name="_Toc20823309"/>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w:t>
      </w:r>
      <w:r>
        <w:rPr>
          <w:rFonts w:hint="eastAsia" w:ascii="仿宋_GB2312" w:hAnsi="宋体" w:eastAsia="仿宋_GB2312" w:cs="宋体"/>
          <w:kern w:val="0"/>
          <w:sz w:val="24"/>
          <w:szCs w:val="24"/>
          <w:shd w:val="clear" w:color="auto" w:fill="FFFFFF"/>
          <w:lang w:eastAsia="zh-CN"/>
        </w:rPr>
        <w:t>纪委办公室</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w:t>
      </w:r>
      <w:r>
        <w:rPr>
          <w:rFonts w:hint="eastAsia" w:ascii="仿宋_GB2312" w:hAnsi="宋体" w:eastAsia="仿宋_GB2312" w:cs="宋体"/>
          <w:kern w:val="0"/>
          <w:sz w:val="24"/>
          <w:szCs w:val="24"/>
          <w:shd w:val="clear" w:color="auto" w:fill="FFFFFF"/>
          <w:lang w:eastAsia="zh-CN"/>
        </w:rPr>
        <w:t>纪委办公室</w:t>
      </w:r>
      <w:r>
        <w:rPr>
          <w:rFonts w:hint="eastAsia" w:ascii="仿宋_GB2312" w:hAnsi="宋体" w:eastAsia="仿宋_GB2312" w:cs="宋体"/>
          <w:kern w:val="0"/>
          <w:sz w:val="24"/>
          <w:szCs w:val="24"/>
          <w:shd w:val="clear" w:color="auto" w:fill="FFFFFF"/>
        </w:rPr>
        <w:t>。</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rPr>
          <w:rFonts w:ascii="仿宋_GB2312" w:eastAsia="仿宋_GB2312"/>
          <w:sz w:val="24"/>
          <w:szCs w:val="24"/>
        </w:rPr>
      </w:pPr>
    </w:p>
    <w:p>
      <w:pPr>
        <w:spacing w:line="460" w:lineRule="exact"/>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lang w:eastAsia="zh-CN"/>
        </w:rPr>
        <w:t>第四章</w:t>
      </w:r>
      <w:r>
        <w:rPr>
          <w:rFonts w:hint="eastAsia" w:ascii="黑体" w:hAnsi="黑体" w:eastAsia="黑体" w:cs="黑体"/>
          <w:b/>
          <w:spacing w:val="-6"/>
          <w:kern w:val="0"/>
          <w:sz w:val="36"/>
          <w:szCs w:val="36"/>
          <w:lang w:val="en-US" w:eastAsia="zh-CN"/>
        </w:rPr>
        <w:t xml:space="preserve">   </w:t>
      </w:r>
      <w:r>
        <w:rPr>
          <w:rFonts w:hint="eastAsia" w:ascii="黑体" w:hAnsi="黑体" w:eastAsia="黑体" w:cs="黑体"/>
          <w:b/>
          <w:spacing w:val="-6"/>
          <w:kern w:val="0"/>
          <w:sz w:val="36"/>
          <w:szCs w:val="36"/>
        </w:rPr>
        <w:t>皖南医学院</w:t>
      </w:r>
      <w:r>
        <w:rPr>
          <w:rFonts w:hint="eastAsia" w:ascii="黑体" w:hAnsi="黑体" w:eastAsia="黑体" w:cs="黑体"/>
          <w:b/>
          <w:spacing w:val="-6"/>
          <w:kern w:val="0"/>
          <w:sz w:val="36"/>
          <w:szCs w:val="36"/>
          <w:u w:val="single"/>
        </w:rPr>
        <w:t xml:space="preserve">  医学寄生虫学教研室学生实验室改造  </w:t>
      </w:r>
      <w:r>
        <w:rPr>
          <w:rFonts w:hint="eastAsia" w:ascii="黑体" w:hAnsi="黑体" w:eastAsia="黑体" w:cs="黑体"/>
          <w:b/>
          <w:spacing w:val="-6"/>
          <w:kern w:val="0"/>
          <w:sz w:val="36"/>
          <w:szCs w:val="36"/>
        </w:rPr>
        <w:t>工程</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根据《中华人民共和国合同法》、《中华人民共和国建筑法》及有关法律规定，遵循平等、自愿、公平和诚实信用的原则，双方就</w:t>
      </w:r>
      <w:r>
        <w:rPr>
          <w:rFonts w:hint="eastAsia" w:asciiTheme="majorEastAsia" w:hAnsiTheme="majorEastAsia" w:eastAsiaTheme="majorEastAsia"/>
          <w:sz w:val="28"/>
          <w:szCs w:val="28"/>
          <w:u w:val="single"/>
        </w:rPr>
        <w:t xml:space="preserve"> </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21"/>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566"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2.本合同未尽事宜，遵照《合同法》有关条文执行。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0"/>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spacing w:line="460" w:lineRule="exact"/>
        <w:rPr>
          <w:rFonts w:ascii="仿宋_GB2312" w:hAnsi="宋体"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51"/>
        <w:spacing w:line="380" w:lineRule="exact"/>
        <w:rPr>
          <w:rFonts w:ascii="仿宋_GB2312" w:eastAsia="仿宋_GB2312"/>
          <w:sz w:val="24"/>
          <w:szCs w:val="24"/>
        </w:rPr>
      </w:pPr>
    </w:p>
    <w:p>
      <w:pPr>
        <w:pStyle w:val="3"/>
        <w:snapToGrid w:val="0"/>
        <w:spacing w:before="0" w:after="0"/>
        <w:jc w:val="center"/>
        <w:rPr>
          <w:rFonts w:ascii="华文中宋" w:hAnsi="华文中宋" w:eastAsia="华文中宋"/>
          <w:bCs w:val="0"/>
          <w:color w:val="auto"/>
        </w:rPr>
      </w:pPr>
      <w:bookmarkStart w:id="114" w:name="_Toc49763003"/>
      <w:r>
        <w:rPr>
          <w:rFonts w:hint="eastAsia" w:ascii="华文中宋" w:hAnsi="华文中宋" w:eastAsia="华文中宋"/>
          <w:bCs w:val="0"/>
          <w:color w:val="auto"/>
        </w:rPr>
        <w:t>第五章  项目需求</w:t>
      </w:r>
      <w:bookmarkEnd w:id="114"/>
    </w:p>
    <w:p>
      <w:pPr>
        <w:keepNext w:val="0"/>
        <w:keepLines w:val="0"/>
        <w:pageBreakBefore w:val="0"/>
        <w:widowControl w:val="0"/>
        <w:kinsoku/>
        <w:wordWrap/>
        <w:overflowPunct/>
        <w:topLinePunct w:val="0"/>
        <w:autoSpaceDE/>
        <w:autoSpaceDN/>
        <w:bidi w:val="0"/>
        <w:spacing w:line="360" w:lineRule="exact"/>
        <w:ind w:firstLine="56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我校</w:t>
      </w:r>
      <w:r>
        <w:rPr>
          <w:rFonts w:hint="eastAsia" w:ascii="仿宋_GB2312" w:hAnsi="仿宋_GB2312" w:eastAsia="仿宋_GB2312" w:cs="仿宋_GB2312"/>
          <w:sz w:val="24"/>
          <w:szCs w:val="24"/>
          <w:lang w:val="en-US" w:eastAsia="zh-CN"/>
        </w:rPr>
        <w:t>滨江校区寄生虫学教研室学生实验室改造工程位于2号实验楼3楼，</w:t>
      </w:r>
      <w:r>
        <w:rPr>
          <w:rFonts w:hint="eastAsia" w:ascii="仿宋_GB2312" w:hAnsi="仿宋_GB2312" w:eastAsia="仿宋_GB2312" w:cs="仿宋_GB2312"/>
          <w:color w:val="auto"/>
          <w:sz w:val="24"/>
          <w:szCs w:val="24"/>
        </w:rPr>
        <w:t>改造主</w:t>
      </w:r>
      <w:r>
        <w:rPr>
          <w:rFonts w:hint="eastAsia" w:ascii="仿宋_GB2312" w:hAnsi="仿宋_GB2312" w:eastAsia="仿宋_GB2312" w:cs="仿宋_GB2312"/>
          <w:sz w:val="24"/>
          <w:szCs w:val="24"/>
        </w:rPr>
        <w:t>要内容是</w:t>
      </w:r>
      <w:r>
        <w:rPr>
          <w:rFonts w:hint="eastAsia" w:ascii="仿宋_GB2312" w:hAnsi="仿宋_GB2312" w:eastAsia="仿宋_GB2312" w:cs="仿宋_GB2312"/>
          <w:sz w:val="24"/>
          <w:szCs w:val="24"/>
          <w:lang w:val="en-US" w:eastAsia="zh-CN"/>
        </w:rPr>
        <w:t>实验中央台置物架、实验边台置物架、铝扣板吊顶、PVC塑胶地板</w:t>
      </w:r>
      <w:r>
        <w:rPr>
          <w:rFonts w:hint="eastAsia" w:ascii="仿宋_GB2312" w:hAnsi="仿宋_GB2312" w:eastAsia="仿宋_GB2312" w:cs="仿宋_GB2312"/>
          <w:sz w:val="24"/>
          <w:szCs w:val="24"/>
        </w:rPr>
        <w:t>、格栅灯、强弱电线路改造</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窗帘、实验圆凳</w:t>
      </w:r>
      <w:r>
        <w:rPr>
          <w:rFonts w:hint="eastAsia" w:ascii="仿宋_GB2312" w:hAnsi="仿宋_GB2312" w:eastAsia="仿宋_GB2312" w:cs="仿宋_GB2312"/>
          <w:sz w:val="24"/>
          <w:szCs w:val="24"/>
        </w:rPr>
        <w:t>等</w:t>
      </w:r>
      <w:r>
        <w:rPr>
          <w:rFonts w:hint="eastAsia" w:ascii="仿宋_GB2312" w:hAnsi="仿宋_GB2312" w:eastAsia="仿宋_GB2312" w:cs="仿宋_GB2312"/>
          <w:bCs/>
          <w:sz w:val="24"/>
          <w:szCs w:val="24"/>
        </w:rPr>
        <w:t>。</w:t>
      </w:r>
    </w:p>
    <w:p>
      <w:pPr>
        <w:keepNext w:val="0"/>
        <w:keepLines w:val="0"/>
        <w:pageBreakBefore w:val="0"/>
        <w:widowControl w:val="0"/>
        <w:kinsoku/>
        <w:wordWrap/>
        <w:overflowPunct/>
        <w:topLinePunct w:val="0"/>
        <w:autoSpaceDE/>
        <w:autoSpaceDN/>
        <w:bidi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一、项目名称：</w:t>
      </w:r>
      <w:r>
        <w:rPr>
          <w:rFonts w:hint="eastAsia" w:ascii="仿宋_GB2312" w:hAnsi="仿宋_GB2312" w:eastAsia="仿宋_GB2312" w:cs="仿宋_GB2312"/>
          <w:sz w:val="24"/>
          <w:szCs w:val="24"/>
          <w:lang w:val="en-US" w:eastAsia="zh-CN"/>
        </w:rPr>
        <w:t>滨江校区寄生虫学教研室学生实验室改造工程</w:t>
      </w:r>
    </w:p>
    <w:p>
      <w:pPr>
        <w:keepNext w:val="0"/>
        <w:keepLines w:val="0"/>
        <w:pageBreakBefore w:val="0"/>
        <w:widowControl w:val="0"/>
        <w:kinsoku/>
        <w:wordWrap/>
        <w:overflowPunct/>
        <w:topLinePunct w:val="0"/>
        <w:autoSpaceDE/>
        <w:autoSpaceDN/>
        <w:bidi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二、报名条件：</w:t>
      </w:r>
    </w:p>
    <w:p>
      <w:pPr>
        <w:keepNext w:val="0"/>
        <w:keepLines w:val="0"/>
        <w:pageBreakBefore w:val="0"/>
        <w:widowControl w:val="0"/>
        <w:kinsoku/>
        <w:wordWrap/>
        <w:overflowPunct/>
        <w:topLinePunct w:val="0"/>
        <w:autoSpaceDE/>
        <w:autoSpaceDN/>
        <w:bidi w:val="0"/>
        <w:adjustRightInd w:val="0"/>
        <w:snapToGrid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1.具有独立法人资格，具有独立承担民事责任的能力。</w:t>
      </w:r>
    </w:p>
    <w:p>
      <w:pPr>
        <w:keepNext w:val="0"/>
        <w:keepLines w:val="0"/>
        <w:pageBreakBefore w:val="0"/>
        <w:widowControl w:val="0"/>
        <w:kinsoku/>
        <w:wordWrap/>
        <w:overflowPunct/>
        <w:topLinePunct w:val="0"/>
        <w:autoSpaceDE/>
        <w:autoSpaceDN/>
        <w:bidi w:val="0"/>
        <w:adjustRightInd w:val="0"/>
        <w:snapToGrid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2.具有建筑装修装饰工程专业承包</w:t>
      </w:r>
      <w:r>
        <w:rPr>
          <w:rFonts w:hint="eastAsia" w:ascii="仿宋_GB2312" w:hAnsi="仿宋_GB2312" w:eastAsia="仿宋_GB2312" w:cs="仿宋_GB2312"/>
          <w:sz w:val="24"/>
          <w:szCs w:val="24"/>
          <w:lang w:val="en-US" w:eastAsia="zh-CN"/>
        </w:rPr>
        <w:t>二级</w:t>
      </w:r>
      <w:r>
        <w:rPr>
          <w:rFonts w:hint="eastAsia" w:ascii="仿宋_GB2312" w:hAnsi="仿宋_GB2312" w:eastAsia="仿宋_GB2312" w:cs="仿宋_GB2312"/>
          <w:sz w:val="24"/>
          <w:szCs w:val="24"/>
        </w:rPr>
        <w:t>及以上企业。投标单位相关资质须是建设行政主管部门核发的，且经年检合格。</w:t>
      </w:r>
    </w:p>
    <w:p>
      <w:pPr>
        <w:keepNext w:val="0"/>
        <w:keepLines w:val="0"/>
        <w:pageBreakBefore w:val="0"/>
        <w:widowControl w:val="0"/>
        <w:kinsoku/>
        <w:wordWrap/>
        <w:overflowPunct/>
        <w:topLinePunct w:val="0"/>
        <w:autoSpaceDE/>
        <w:autoSpaceDN/>
        <w:bidi w:val="0"/>
        <w:adjustRightInd w:val="0"/>
        <w:snapToGrid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3.具有良好的商业信誉和优良的售后服务，在近三年的经营活动中没有不良记录。</w:t>
      </w:r>
    </w:p>
    <w:p>
      <w:pPr>
        <w:keepNext w:val="0"/>
        <w:keepLines w:val="0"/>
        <w:pageBreakBefore w:val="0"/>
        <w:widowControl w:val="0"/>
        <w:kinsoku/>
        <w:wordWrap/>
        <w:overflowPunct/>
        <w:topLinePunct w:val="0"/>
        <w:autoSpaceDE/>
        <w:autoSpaceDN/>
        <w:bidi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三、改造主要工作内容及要求</w:t>
      </w:r>
    </w:p>
    <w:p>
      <w:pPr>
        <w:keepNext w:val="0"/>
        <w:keepLines w:val="0"/>
        <w:pageBreakBefore w:val="0"/>
        <w:widowControl w:val="0"/>
        <w:kinsoku/>
        <w:wordWrap/>
        <w:overflowPunct/>
        <w:topLinePunct w:val="0"/>
        <w:autoSpaceDE/>
        <w:autoSpaceDN/>
        <w:bidi w:val="0"/>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一</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中央台试剂架及</w:t>
      </w:r>
      <w:r>
        <w:rPr>
          <w:rFonts w:hint="eastAsia" w:ascii="仿宋_GB2312" w:hAnsi="仿宋_GB2312" w:eastAsia="仿宋_GB2312" w:cs="仿宋_GB2312"/>
          <w:sz w:val="24"/>
          <w:szCs w:val="24"/>
          <w:lang w:val="en-US" w:eastAsia="zh-CN"/>
        </w:rPr>
        <w:t>边台试剂架</w:t>
      </w:r>
      <w:r>
        <w:rPr>
          <w:rFonts w:hint="eastAsia" w:ascii="仿宋_GB2312" w:hAnsi="仿宋_GB2312" w:eastAsia="仿宋_GB2312" w:cs="仿宋_GB2312"/>
          <w:sz w:val="24"/>
          <w:szCs w:val="24"/>
        </w:rPr>
        <w:t>：</w:t>
      </w:r>
    </w:p>
    <w:p>
      <w:pPr>
        <w:pStyle w:val="2"/>
        <w:keepNext w:val="0"/>
        <w:keepLines w:val="0"/>
        <w:pageBreakBefore w:val="0"/>
        <w:widowControl w:val="0"/>
        <w:kinsoku/>
        <w:wordWrap/>
        <w:overflowPunct/>
        <w:topLinePunct w:val="0"/>
        <w:autoSpaceDE/>
        <w:autoSpaceDN/>
        <w:bidi w:val="0"/>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要求拆除原边台及中央台的置物架后，重新按要求制作安装新试剂架（置物架）并清洁、修理原实验台面板，保证洁净美观。</w:t>
      </w:r>
    </w:p>
    <w:p>
      <w:pPr>
        <w:pStyle w:val="2"/>
        <w:keepNext w:val="0"/>
        <w:keepLines w:val="0"/>
        <w:pageBreakBefore w:val="0"/>
        <w:widowControl w:val="0"/>
        <w:kinsoku/>
        <w:wordWrap/>
        <w:overflowPunct/>
        <w:topLinePunct w:val="0"/>
        <w:autoSpaceDE/>
        <w:autoSpaceDN/>
        <w:bidi w:val="0"/>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drawing>
          <wp:anchor distT="0" distB="0" distL="114300" distR="114300" simplePos="0" relativeHeight="251673600" behindDoc="0" locked="0" layoutInCell="1" allowOverlap="1">
            <wp:simplePos x="0" y="0"/>
            <wp:positionH relativeFrom="column">
              <wp:posOffset>-213995</wp:posOffset>
            </wp:positionH>
            <wp:positionV relativeFrom="paragraph">
              <wp:posOffset>579755</wp:posOffset>
            </wp:positionV>
            <wp:extent cx="3029585" cy="2272665"/>
            <wp:effectExtent l="0" t="0" r="8890" b="3810"/>
            <wp:wrapTopAndBottom/>
            <wp:docPr id="5" name="图片 5" descr="微信图片_20201020121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010201216332"/>
                    <pic:cNvPicPr>
                      <a:picLocks noChangeAspect="1"/>
                    </pic:cNvPicPr>
                  </pic:nvPicPr>
                  <pic:blipFill>
                    <a:blip r:embed="rId6"/>
                    <a:stretch>
                      <a:fillRect/>
                    </a:stretch>
                  </pic:blipFill>
                  <pic:spPr>
                    <a:xfrm>
                      <a:off x="0" y="0"/>
                      <a:ext cx="3029585" cy="2272665"/>
                    </a:xfrm>
                    <a:prstGeom prst="rect">
                      <a:avLst/>
                    </a:prstGeom>
                  </pic:spPr>
                </pic:pic>
              </a:graphicData>
            </a:graphic>
          </wp:anchor>
        </w:drawing>
      </w:r>
      <w:r>
        <w:rPr>
          <w:rFonts w:hint="eastAsia" w:ascii="仿宋_GB2312" w:hAnsi="仿宋_GB2312" w:eastAsia="仿宋_GB2312" w:cs="仿宋_GB2312"/>
          <w:sz w:val="24"/>
          <w:szCs w:val="24"/>
          <w:lang w:val="en-US" w:eastAsia="zh-CN"/>
        </w:rPr>
        <w:t>原中央台置物架如图：</w:t>
      </w:r>
    </w:p>
    <w:p>
      <w:pPr>
        <w:keepNext w:val="0"/>
        <w:keepLines w:val="0"/>
        <w:pageBreakBefore w:val="0"/>
        <w:numPr>
          <w:ilvl w:val="0"/>
          <w:numId w:val="0"/>
        </w:numPr>
        <w:tabs>
          <w:tab w:val="left" w:pos="567"/>
        </w:tabs>
        <w:kinsoku/>
        <w:wordWrap/>
        <w:overflowPunct/>
        <w:topLinePunct w:val="0"/>
        <w:autoSpaceDE/>
        <w:autoSpaceDN/>
        <w:bidi w:val="0"/>
        <w:spacing w:line="400" w:lineRule="exact"/>
        <w:ind w:right="-1" w:righ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drawing>
          <wp:anchor distT="0" distB="0" distL="114300" distR="114300" simplePos="0" relativeHeight="251672576" behindDoc="0" locked="0" layoutInCell="1" allowOverlap="1">
            <wp:simplePos x="0" y="0"/>
            <wp:positionH relativeFrom="column">
              <wp:posOffset>2844800</wp:posOffset>
            </wp:positionH>
            <wp:positionV relativeFrom="paragraph">
              <wp:posOffset>193040</wp:posOffset>
            </wp:positionV>
            <wp:extent cx="3030220" cy="2272665"/>
            <wp:effectExtent l="0" t="0" r="8255" b="3810"/>
            <wp:wrapTopAndBottom/>
            <wp:docPr id="2" name="图片 2" descr="微信图片_20201020121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1020121633"/>
                    <pic:cNvPicPr>
                      <a:picLocks noChangeAspect="1"/>
                    </pic:cNvPicPr>
                  </pic:nvPicPr>
                  <pic:blipFill>
                    <a:blip r:embed="rId7"/>
                    <a:stretch>
                      <a:fillRect/>
                    </a:stretch>
                  </pic:blipFill>
                  <pic:spPr>
                    <a:xfrm>
                      <a:off x="0" y="0"/>
                      <a:ext cx="3030220" cy="2272665"/>
                    </a:xfrm>
                    <a:prstGeom prst="rect">
                      <a:avLst/>
                    </a:prstGeom>
                  </pic:spPr>
                </pic:pic>
              </a:graphicData>
            </a:graphic>
          </wp:anchor>
        </w:drawing>
      </w:r>
      <w:r>
        <w:rPr>
          <w:rFonts w:hint="eastAsia" w:ascii="仿宋_GB2312" w:hAnsi="仿宋_GB2312" w:eastAsia="仿宋_GB2312" w:cs="仿宋_GB2312"/>
          <w:sz w:val="24"/>
          <w:szCs w:val="24"/>
          <w:lang w:val="en-US" w:eastAsia="zh-CN"/>
        </w:rPr>
        <w:t>新</w:t>
      </w:r>
      <w:r>
        <w:rPr>
          <w:rFonts w:hint="eastAsia" w:ascii="仿宋_GB2312" w:hAnsi="仿宋_GB2312" w:eastAsia="仿宋_GB2312" w:cs="仿宋_GB2312"/>
          <w:sz w:val="24"/>
          <w:szCs w:val="24"/>
          <w:lang w:eastAsia="zh-CN"/>
        </w:rPr>
        <w:t>中央台</w:t>
      </w:r>
      <w:r>
        <w:rPr>
          <w:rFonts w:hint="eastAsia" w:ascii="仿宋_GB2312" w:hAnsi="仿宋_GB2312" w:eastAsia="仿宋_GB2312" w:cs="仿宋_GB2312"/>
          <w:sz w:val="24"/>
          <w:szCs w:val="24"/>
          <w:lang w:val="en-US" w:eastAsia="zh-CN"/>
        </w:rPr>
        <w:t>置物架</w:t>
      </w:r>
      <w:r>
        <w:rPr>
          <w:rFonts w:hint="eastAsia" w:ascii="仿宋_GB2312" w:hAnsi="仿宋_GB2312" w:eastAsia="仿宋_GB2312" w:cs="仿宋_GB2312"/>
          <w:sz w:val="24"/>
          <w:szCs w:val="24"/>
          <w:lang w:eastAsia="zh-CN"/>
        </w:rPr>
        <w:t>参考图：</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drawing>
          <wp:anchor distT="0" distB="0" distL="114935" distR="114935" simplePos="0" relativeHeight="251671552" behindDoc="0" locked="0" layoutInCell="1" allowOverlap="1">
            <wp:simplePos x="0" y="0"/>
            <wp:positionH relativeFrom="column">
              <wp:posOffset>1058545</wp:posOffset>
            </wp:positionH>
            <wp:positionV relativeFrom="paragraph">
              <wp:posOffset>-6724015</wp:posOffset>
            </wp:positionV>
            <wp:extent cx="2822575" cy="3763645"/>
            <wp:effectExtent l="0" t="0" r="9525" b="8255"/>
            <wp:wrapTopAndBottom/>
            <wp:docPr id="3" name="图片 3" descr="C:/Users/admin7/AppData/Local/Temp/picturescale_20201015142902/output_20201015142906.jpgoutput_2020101514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7/AppData/Local/Temp/picturescale_20201015142902/output_20201015142906.jpgoutput_20201015142906"/>
                    <pic:cNvPicPr>
                      <a:picLocks noChangeAspect="1"/>
                    </pic:cNvPicPr>
                  </pic:nvPicPr>
                  <pic:blipFill>
                    <a:blip r:embed="rId8"/>
                    <a:stretch>
                      <a:fillRect/>
                    </a:stretch>
                  </pic:blipFill>
                  <pic:spPr>
                    <a:xfrm>
                      <a:off x="0" y="0"/>
                      <a:ext cx="2822575" cy="3763645"/>
                    </a:xfrm>
                    <a:prstGeom prst="rect">
                      <a:avLst/>
                    </a:prstGeom>
                  </pic:spPr>
                </pic:pic>
              </a:graphicData>
            </a:graphic>
          </wp:anchor>
        </w:drawing>
      </w:r>
      <w:r>
        <w:rPr>
          <w:rFonts w:hint="eastAsia" w:ascii="仿宋_GB2312" w:hAnsi="仿宋_GB2312" w:eastAsia="仿宋_GB2312" w:cs="仿宋_GB2312"/>
          <w:sz w:val="24"/>
          <w:szCs w:val="24"/>
          <w:lang w:val="en-US" w:eastAsia="zh-CN"/>
        </w:rPr>
        <w:t>具体高度及制作要求详见图纸。</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480" w:firstLineChars="200"/>
        <w:jc w:val="left"/>
        <w:textAlignment w:val="auto"/>
        <w:outlineLvl w:val="9"/>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PVC卷材地面</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所有房间改造须铺设PVC卷材。</w:t>
      </w:r>
      <w:r>
        <w:rPr>
          <w:rFonts w:hint="eastAsia" w:ascii="仿宋_GB2312" w:hAnsi="仿宋_GB2312" w:eastAsia="仿宋_GB2312" w:cs="仿宋_GB2312"/>
          <w:sz w:val="24"/>
          <w:szCs w:val="24"/>
        </w:rPr>
        <w:t>地面开槽预埋号管线后，做自流平地面，然后铺贴PVC卷材，</w:t>
      </w:r>
      <w:r>
        <w:rPr>
          <w:rFonts w:hint="eastAsia" w:ascii="仿宋_GB2312" w:hAnsi="仿宋_GB2312" w:eastAsia="仿宋_GB2312" w:cs="仿宋_GB2312"/>
          <w:sz w:val="24"/>
          <w:szCs w:val="24"/>
          <w:lang w:eastAsia="zh-CN"/>
        </w:rPr>
        <w:t>厚度为</w:t>
      </w:r>
      <w:r>
        <w:rPr>
          <w:rFonts w:hint="eastAsia" w:ascii="仿宋_GB2312" w:hAnsi="仿宋_GB2312" w:eastAsia="仿宋_GB2312" w:cs="仿宋_GB2312"/>
          <w:sz w:val="24"/>
          <w:szCs w:val="24"/>
          <w:lang w:val="en-US" w:eastAsia="zh-CN"/>
        </w:rPr>
        <w:t>2.5mm。</w:t>
      </w:r>
      <w:r>
        <w:rPr>
          <w:rFonts w:hint="eastAsia" w:ascii="仿宋_GB2312" w:hAnsi="仿宋_GB2312" w:eastAsia="仿宋_GB2312" w:cs="仿宋_GB2312"/>
          <w:sz w:val="24"/>
          <w:szCs w:val="24"/>
        </w:rPr>
        <w:t>施工过程中保证地面平整度，保证不起皮、不鼓包，卷材采用进口同质透芯PVC卷材</w:t>
      </w:r>
      <w:r>
        <w:rPr>
          <w:rFonts w:hint="eastAsia" w:ascii="仿宋_GB2312" w:hAnsi="仿宋_GB2312" w:eastAsia="仿宋_GB2312" w:cs="仿宋_GB2312"/>
          <w:sz w:val="24"/>
          <w:szCs w:val="24"/>
          <w:lang w:eastAsia="zh-CN"/>
        </w:rPr>
        <w:t>。房间门口须用压条收口，保证平整。</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铝扣板吊顶</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吊顶为</w:t>
      </w:r>
      <w:r>
        <w:rPr>
          <w:rFonts w:hint="eastAsia" w:ascii="仿宋_GB2312" w:hAnsi="仿宋_GB2312" w:eastAsia="仿宋_GB2312" w:cs="仿宋_GB2312"/>
          <w:sz w:val="24"/>
          <w:szCs w:val="24"/>
          <w:lang w:eastAsia="zh-CN"/>
        </w:rPr>
        <w:t>铝扣</w:t>
      </w:r>
      <w:r>
        <w:rPr>
          <w:rFonts w:hint="eastAsia" w:ascii="仿宋_GB2312" w:hAnsi="仿宋_GB2312" w:eastAsia="仿宋_GB2312" w:cs="仿宋_GB2312"/>
          <w:sz w:val="24"/>
          <w:szCs w:val="24"/>
        </w:rPr>
        <w:t>板吊顶，具体做法见施工图纸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吊顶施工与格栅灯具及窗帘盒共同考虑，确保安全牢固和美观。</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改造其他要求</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该工程中需要出新的墙面均须</w:t>
      </w:r>
      <w:r>
        <w:rPr>
          <w:rFonts w:hint="eastAsia" w:ascii="仿宋_GB2312" w:hAnsi="仿宋_GB2312" w:eastAsia="仿宋_GB2312" w:cs="仿宋_GB2312"/>
          <w:sz w:val="24"/>
          <w:szCs w:val="24"/>
        </w:rPr>
        <w:t>铲除涂料</w:t>
      </w:r>
      <w:r>
        <w:rPr>
          <w:rFonts w:hint="eastAsia" w:ascii="仿宋_GB2312" w:hAnsi="仿宋_GB2312" w:eastAsia="仿宋_GB2312" w:cs="仿宋_GB2312"/>
          <w:sz w:val="24"/>
          <w:szCs w:val="24"/>
          <w:lang w:eastAsia="zh-CN"/>
        </w:rPr>
        <w:t>至基层</w:t>
      </w:r>
      <w:r>
        <w:rPr>
          <w:rFonts w:hint="eastAsia" w:ascii="仿宋_GB2312" w:hAnsi="仿宋_GB2312" w:eastAsia="仿宋_GB2312" w:cs="仿宋_GB2312"/>
          <w:sz w:val="24"/>
          <w:szCs w:val="24"/>
        </w:rPr>
        <w:t>，重新</w:t>
      </w:r>
      <w:r>
        <w:rPr>
          <w:rFonts w:hint="eastAsia" w:ascii="仿宋_GB2312" w:hAnsi="仿宋_GB2312" w:eastAsia="仿宋_GB2312" w:cs="仿宋_GB2312"/>
          <w:sz w:val="24"/>
          <w:szCs w:val="24"/>
          <w:lang w:eastAsia="zh-CN"/>
        </w:rPr>
        <w:t>批刮</w:t>
      </w:r>
      <w:r>
        <w:rPr>
          <w:rFonts w:hint="eastAsia" w:ascii="仿宋_GB2312" w:hAnsi="仿宋_GB2312" w:eastAsia="仿宋_GB2312" w:cs="仿宋_GB2312"/>
          <w:sz w:val="24"/>
          <w:szCs w:val="24"/>
        </w:rPr>
        <w:t>腻子</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砂子</w:t>
      </w:r>
      <w:r>
        <w:rPr>
          <w:rFonts w:hint="eastAsia" w:ascii="仿宋_GB2312" w:hAnsi="仿宋_GB2312" w:eastAsia="仿宋_GB2312" w:cs="仿宋_GB2312"/>
          <w:sz w:val="24"/>
          <w:szCs w:val="24"/>
          <w:lang w:eastAsia="zh-CN"/>
        </w:rPr>
        <w:t>打磨、刷</w:t>
      </w:r>
      <w:r>
        <w:rPr>
          <w:rFonts w:hint="eastAsia" w:ascii="仿宋_GB2312" w:hAnsi="仿宋_GB2312" w:eastAsia="仿宋_GB2312" w:cs="仿宋_GB2312"/>
          <w:sz w:val="24"/>
          <w:szCs w:val="24"/>
        </w:rPr>
        <w:t>涂料</w:t>
      </w:r>
      <w:r>
        <w:rPr>
          <w:rFonts w:hint="eastAsia" w:ascii="仿宋_GB2312" w:hAnsi="仿宋_GB2312" w:eastAsia="仿宋_GB2312" w:cs="仿宋_GB2312"/>
          <w:sz w:val="24"/>
          <w:szCs w:val="24"/>
          <w:lang w:eastAsia="zh-CN"/>
        </w:rPr>
        <w:t>，批腻子二遍、乳胶漆</w:t>
      </w: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lang w:eastAsia="zh-CN"/>
        </w:rPr>
        <w:t>遍</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2.每个房间需在窗户安装3个换气扇。安装换气扇所需电源、布线、玻璃更换等费用已一并列在清单中换气扇安装项目内，不另外支付费用。</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kern w:val="2"/>
          <w:sz w:val="24"/>
          <w:szCs w:val="24"/>
          <w:lang w:val="en-US" w:eastAsia="zh-CN" w:bidi="ar-SA"/>
        </w:rPr>
        <w:t>实验圆凳采购前需提供实物样品供使用部门选择，使用部门确定后方可采购。</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四、现场施工管理、付款及其他要求</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承包人结合项目的特点，依据图纸和清单综合报价，如发现项目清单中有漏量、漏项的，请在开工时提出；施工完成后，必须满足验收规范和使用部门功能要求。</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2.施工严格按照发包人提供的图纸进行，不确定尺寸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颜色</w:t>
      </w:r>
      <w:r>
        <w:rPr>
          <w:rFonts w:hint="eastAsia" w:ascii="仿宋_GB2312" w:hAnsi="仿宋_GB2312" w:eastAsia="仿宋_GB2312" w:cs="仿宋_GB2312"/>
          <w:sz w:val="24"/>
          <w:szCs w:val="24"/>
        </w:rPr>
        <w:t>等要及时与使用部门联系，得到后勤管理处工程项目负责人确认后方可施工。</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3.工程总报价含材料费（主材和辅材）、劳务费、搬运费（二次搬运及垂直运输费）、施工机械费、施工费或安装费、技术服务和售后服务费、综合管理费、利润和税金等一切费用。</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4.本工程工期为</w:t>
      </w:r>
      <w:r>
        <w:rPr>
          <w:rFonts w:hint="eastAsia" w:ascii="仿宋_GB2312" w:hAnsi="仿宋_GB2312" w:eastAsia="仿宋_GB2312" w:cs="仿宋_GB2312"/>
          <w:sz w:val="24"/>
          <w:szCs w:val="24"/>
          <w:lang w:val="en-US" w:eastAsia="zh-CN"/>
        </w:rPr>
        <w:t>40</w:t>
      </w:r>
      <w:r>
        <w:rPr>
          <w:rFonts w:hint="eastAsia" w:ascii="仿宋_GB2312" w:hAnsi="仿宋_GB2312" w:eastAsia="仿宋_GB2312" w:cs="仿宋_GB2312"/>
          <w:sz w:val="24"/>
          <w:szCs w:val="24"/>
        </w:rPr>
        <w:t>个日历天，承包人若不能按工期完成，每延期一天罚款</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00元（发包人原因除外，但需承包人书面提出，发包人现场负责人签字确认），依次类推，</w:t>
      </w:r>
      <w:r>
        <w:rPr>
          <w:rFonts w:hint="eastAsia" w:ascii="仿宋_GB2312" w:hAnsi="仿宋_GB2312" w:eastAsia="仿宋_GB2312" w:cs="仿宋_GB2312"/>
          <w:sz w:val="24"/>
          <w:szCs w:val="24"/>
          <w:lang w:val="en-US" w:eastAsia="zh-CN"/>
        </w:rPr>
        <w:t>推迟10天完工则扣除全部履约保证金</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6.工程完工后，保洁维修改造全部地点，</w:t>
      </w:r>
      <w:r>
        <w:rPr>
          <w:rFonts w:hint="eastAsia" w:ascii="仿宋_GB2312" w:hAnsi="仿宋_GB2312" w:eastAsia="仿宋_GB2312" w:cs="仿宋_GB2312"/>
          <w:sz w:val="24"/>
          <w:szCs w:val="24"/>
          <w:lang w:eastAsia="zh-CN"/>
        </w:rPr>
        <w:t>包括且不限于</w:t>
      </w:r>
      <w:r>
        <w:rPr>
          <w:rFonts w:hint="eastAsia" w:ascii="仿宋_GB2312" w:hAnsi="仿宋_GB2312" w:eastAsia="仿宋_GB2312" w:cs="仿宋_GB2312"/>
          <w:sz w:val="24"/>
          <w:szCs w:val="24"/>
        </w:rPr>
        <w:t>地面、墙面、门窗及玻璃上的油漆和灰尘，垃圾装袋下楼并外运，严禁使用电梯载运材料和建筑垃圾。</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7.本项目不提供预付款，工程完工后由甲方组织验收，验收合格后甲方凭发票支付至</w:t>
      </w:r>
      <w:r>
        <w:rPr>
          <w:rFonts w:hint="eastAsia" w:ascii="仿宋_GB2312" w:hAnsi="仿宋_GB2312" w:eastAsia="仿宋_GB2312" w:cs="仿宋_GB2312"/>
          <w:sz w:val="24"/>
          <w:szCs w:val="24"/>
          <w:lang w:eastAsia="zh-CN"/>
        </w:rPr>
        <w:t>合同价</w:t>
      </w:r>
      <w:r>
        <w:rPr>
          <w:rFonts w:hint="eastAsia" w:ascii="仿宋_GB2312" w:hAnsi="仿宋_GB2312" w:eastAsia="仿宋_GB2312" w:cs="仿宋_GB2312"/>
          <w:sz w:val="24"/>
          <w:szCs w:val="24"/>
        </w:rPr>
        <w:t>（不含</w:t>
      </w:r>
      <w:r>
        <w:rPr>
          <w:rFonts w:hint="eastAsia" w:ascii="仿宋_GB2312" w:hAnsi="仿宋_GB2312" w:eastAsia="仿宋_GB2312" w:cs="仿宋_GB2312"/>
          <w:sz w:val="24"/>
          <w:szCs w:val="24"/>
          <w:lang w:eastAsia="zh-CN"/>
        </w:rPr>
        <w:t>暂列</w:t>
      </w:r>
      <w:r>
        <w:rPr>
          <w:rFonts w:hint="eastAsia" w:ascii="仿宋_GB2312" w:hAnsi="仿宋_GB2312" w:eastAsia="仿宋_GB2312" w:cs="仿宋_GB2312"/>
          <w:sz w:val="24"/>
          <w:szCs w:val="24"/>
        </w:rPr>
        <w:t>金）的70%；余款待审计完成，乙方</w:t>
      </w:r>
      <w:r>
        <w:rPr>
          <w:rFonts w:hint="eastAsia" w:ascii="仿宋_GB2312" w:hAnsi="仿宋_GB2312" w:eastAsia="仿宋_GB2312" w:cs="仿宋_GB2312"/>
          <w:sz w:val="24"/>
          <w:szCs w:val="24"/>
          <w:lang w:eastAsia="zh-CN"/>
        </w:rPr>
        <w:t>将金额为</w:t>
      </w:r>
      <w:r>
        <w:rPr>
          <w:rFonts w:hint="eastAsia" w:ascii="仿宋_GB2312" w:hAnsi="仿宋_GB2312" w:eastAsia="仿宋_GB2312" w:cs="仿宋_GB2312"/>
          <w:sz w:val="24"/>
          <w:szCs w:val="24"/>
        </w:rPr>
        <w:t>终审总造价</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工程质保金汇入甲方账户</w:t>
      </w:r>
      <w:r>
        <w:rPr>
          <w:rFonts w:hint="eastAsia" w:ascii="仿宋_GB2312" w:hAnsi="仿宋_GB2312" w:eastAsia="仿宋_GB2312" w:cs="仿宋_GB2312"/>
          <w:sz w:val="24"/>
          <w:szCs w:val="24"/>
          <w:lang w:val="en-US" w:eastAsia="zh-CN"/>
        </w:rPr>
        <w:t>后</w:t>
      </w:r>
      <w:r>
        <w:rPr>
          <w:rFonts w:hint="eastAsia" w:ascii="仿宋_GB2312" w:hAnsi="仿宋_GB2312" w:eastAsia="仿宋_GB2312" w:cs="仿宋_GB2312"/>
          <w:sz w:val="24"/>
          <w:szCs w:val="24"/>
        </w:rPr>
        <w:t>，甲方将</w:t>
      </w:r>
      <w:r>
        <w:rPr>
          <w:rFonts w:hint="eastAsia" w:ascii="仿宋_GB2312" w:hAnsi="仿宋_GB2312" w:eastAsia="仿宋_GB2312" w:cs="仿宋_GB2312"/>
          <w:sz w:val="24"/>
          <w:szCs w:val="24"/>
          <w:lang w:val="en-US" w:eastAsia="zh-CN"/>
        </w:rPr>
        <w:t>按终审价将剩余金额</w:t>
      </w:r>
      <w:r>
        <w:rPr>
          <w:rFonts w:hint="eastAsia" w:ascii="仿宋_GB2312" w:hAnsi="仿宋_GB2312" w:eastAsia="仿宋_GB2312" w:cs="仿宋_GB2312"/>
          <w:sz w:val="24"/>
          <w:szCs w:val="24"/>
        </w:rPr>
        <w:t>一次性支付给乙方；质保</w:t>
      </w:r>
      <w:r>
        <w:rPr>
          <w:rFonts w:hint="eastAsia" w:ascii="仿宋_GB2312" w:hAnsi="仿宋_GB2312" w:eastAsia="仿宋_GB2312" w:cs="仿宋_GB2312"/>
          <w:sz w:val="24"/>
          <w:szCs w:val="24"/>
          <w:lang w:val="en-US" w:eastAsia="zh-CN"/>
        </w:rPr>
        <w:t>期一</w:t>
      </w:r>
      <w:r>
        <w:rPr>
          <w:rFonts w:hint="eastAsia" w:ascii="仿宋_GB2312" w:hAnsi="仿宋_GB2312" w:eastAsia="仿宋_GB2312" w:cs="仿宋_GB2312"/>
          <w:sz w:val="24"/>
          <w:szCs w:val="24"/>
        </w:rPr>
        <w:t>年期满无质量问题后</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质保金</w:t>
      </w:r>
      <w:r>
        <w:rPr>
          <w:rFonts w:hint="eastAsia" w:ascii="仿宋_GB2312" w:hAnsi="仿宋_GB2312" w:eastAsia="仿宋_GB2312" w:cs="仿宋_GB2312"/>
          <w:sz w:val="24"/>
          <w:szCs w:val="24"/>
        </w:rPr>
        <w:t>一次性</w:t>
      </w:r>
      <w:r>
        <w:rPr>
          <w:rFonts w:hint="eastAsia" w:ascii="仿宋_GB2312" w:hAnsi="仿宋_GB2312" w:eastAsia="仿宋_GB2312" w:cs="仿宋_GB2312"/>
          <w:sz w:val="24"/>
          <w:szCs w:val="24"/>
          <w:lang w:val="en-US" w:eastAsia="zh-CN"/>
        </w:rPr>
        <w:t>退还</w:t>
      </w:r>
      <w:r>
        <w:rPr>
          <w:rFonts w:hint="eastAsia" w:ascii="仿宋_GB2312" w:hAnsi="仿宋_GB2312" w:eastAsia="仿宋_GB2312" w:cs="仿宋_GB2312"/>
          <w:sz w:val="24"/>
          <w:szCs w:val="24"/>
        </w:rPr>
        <w:t>（质保期从验收合格日期开始计算）。</w:t>
      </w:r>
      <w:r>
        <w:rPr>
          <w:rFonts w:hint="eastAsia" w:ascii="仿宋_GB2312" w:hAnsi="仿宋_GB2312" w:eastAsia="仿宋_GB2312" w:cs="仿宋_GB2312"/>
          <w:sz w:val="24"/>
          <w:szCs w:val="24"/>
          <w:lang w:val="en-US" w:eastAsia="zh-CN"/>
        </w:rPr>
        <w:t>如在质保期内出现1次质量问题，则质保期顺延一年；出现2次质量问题则质保期顺延两年，以此类推。</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对于多次重复出现的管理和质量问题，学校将视情况通报芜湖市工程质量监督部门和公共资源交易管理中心。</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8.承包人在验收合格后两周内提交竣工资料贰份(项目决算、水电等图纸、改造竣工平面图、产品使用清单和说明、设备合格证、合格的检测报告等所有竣工资料),逾期造成的经济损失和其他一切后果均</w:t>
      </w:r>
      <w:r>
        <w:rPr>
          <w:rFonts w:hint="eastAsia" w:ascii="仿宋_GB2312" w:hAnsi="仿宋_GB2312" w:eastAsia="仿宋_GB2312" w:cs="仿宋_GB2312"/>
          <w:sz w:val="24"/>
          <w:szCs w:val="24"/>
          <w:lang w:val="en-US" w:eastAsia="zh-CN"/>
        </w:rPr>
        <w:t>由</w:t>
      </w:r>
      <w:r>
        <w:rPr>
          <w:rFonts w:hint="eastAsia" w:ascii="仿宋_GB2312" w:hAnsi="仿宋_GB2312" w:eastAsia="仿宋_GB2312" w:cs="仿宋_GB2312"/>
          <w:sz w:val="24"/>
          <w:szCs w:val="24"/>
        </w:rPr>
        <w:t>承包单位自行承担。</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9.计价规则：设计变更和发包人提出的变更调增调减部分，原则上参照投标文件中单价计算。</w:t>
      </w:r>
      <w:r>
        <w:rPr>
          <w:rFonts w:hint="eastAsia" w:ascii="仿宋_GB2312" w:hAnsi="仿宋_GB2312" w:eastAsia="仿宋_GB2312" w:cs="仿宋_GB2312"/>
          <w:sz w:val="24"/>
          <w:szCs w:val="24"/>
          <w:lang w:eastAsia="zh-CN"/>
        </w:rPr>
        <w:t>若</w:t>
      </w:r>
      <w:r>
        <w:rPr>
          <w:rFonts w:hint="eastAsia" w:ascii="仿宋_GB2312" w:hAnsi="仿宋_GB2312" w:eastAsia="仿宋_GB2312" w:cs="仿宋_GB2312"/>
          <w:sz w:val="24"/>
          <w:szCs w:val="24"/>
        </w:rPr>
        <w:t>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10.工程主要材料规定品牌如下</w:t>
      </w:r>
    </w:p>
    <w:tbl>
      <w:tblPr>
        <w:tblStyle w:val="21"/>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886"/>
        <w:gridCol w:w="1980"/>
        <w:gridCol w:w="356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材料名称</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规格型号</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参考品牌</w:t>
            </w:r>
            <w:r>
              <w:rPr>
                <w:rFonts w:hint="eastAsia" w:ascii="仿宋_GB2312" w:hAnsi="仿宋_GB2312" w:eastAsia="仿宋_GB2312" w:cs="仿宋_GB2312"/>
                <w:b/>
                <w:sz w:val="24"/>
                <w:szCs w:val="24"/>
                <w:lang w:eastAsia="zh-CN"/>
              </w:rPr>
              <w:t>（供货商）</w:t>
            </w:r>
            <w:r>
              <w:rPr>
                <w:rFonts w:hint="eastAsia" w:ascii="仿宋_GB2312" w:hAnsi="仿宋_GB2312" w:eastAsia="仿宋_GB2312" w:cs="仿宋_GB2312"/>
                <w:b/>
                <w:sz w:val="24"/>
                <w:szCs w:val="24"/>
              </w:rPr>
              <w:t>范围</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电线、电缆</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远东、宝胜、绿宝</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电话及网络线</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超六类</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安普、罗森博格、郎讯</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阻燃强弱电管</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伟星、华亚、金德</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PVC排水管</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伟星、华亚、金德</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PP-R给水管</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_GB2312" w:hAnsi="仿宋_GB2312" w:eastAsia="仿宋_GB2312" w:cs="仿宋_GB2312"/>
                <w:sz w:val="24"/>
                <w:szCs w:val="24"/>
              </w:rPr>
            </w:pP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伟星、华亚、金德</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开关、插座</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大板型、万能型插座</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鸿雁、西门子、TCL</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配电箱柜及空气开关、漏电保护开关等元件</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ABB、西门子</w:t>
            </w:r>
            <w:r>
              <w:rPr>
                <w:rFonts w:hint="eastAsia" w:ascii="仿宋_GB2312" w:hAnsi="仿宋_GB2312" w:eastAsia="仿宋_GB2312" w:cs="仿宋_GB2312"/>
                <w:sz w:val="24"/>
                <w:szCs w:val="24"/>
                <w:lang w:eastAsia="zh-CN"/>
              </w:rPr>
              <w:t>、施耐德</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170" w:firstLineChars="7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灯具</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按图纸及清单要求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欧普、飞利浦、雷士</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188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PVC卷材地板</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按图纸及清单要求</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LG</w:t>
            </w:r>
            <w:r>
              <w:rPr>
                <w:rFonts w:hint="eastAsia" w:ascii="仿宋_GB2312" w:hAnsi="仿宋_GB2312" w:eastAsia="仿宋_GB2312" w:cs="仿宋_GB2312"/>
                <w:sz w:val="24"/>
                <w:szCs w:val="24"/>
                <w:lang w:val="en-US" w:eastAsia="zh-CN"/>
              </w:rPr>
              <w:t xml:space="preserve"> Hausys</w:t>
            </w:r>
            <w:r>
              <w:rPr>
                <w:rFonts w:hint="eastAsia" w:ascii="仿宋_GB2312" w:hAnsi="仿宋_GB2312" w:eastAsia="仿宋_GB2312" w:cs="仿宋_GB2312"/>
                <w:sz w:val="24"/>
                <w:szCs w:val="24"/>
                <w:lang w:eastAsia="zh-CN"/>
              </w:rPr>
              <w:t>、洁福（Gerflor）、保丽（Polyflor）</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exact"/>
        <w:ind w:firstLine="56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注：承包人采购的所有设备、材料进场时均要有合格证、检测报告等，水电材料需要提供3C认证，并符合国家规范要求</w:t>
      </w:r>
      <w:r>
        <w:rPr>
          <w:rFonts w:hint="eastAsia" w:ascii="仿宋_GB2312" w:hAnsi="仿宋_GB2312" w:eastAsia="仿宋_GB2312" w:cs="仿宋_GB2312"/>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11.如清单、图纸与技术要求存在出入，以后勤管理处书面解释为准。</w:t>
      </w:r>
    </w:p>
    <w:p>
      <w:pPr>
        <w:spacing w:line="288" w:lineRule="auto"/>
        <w:ind w:firstLine="560"/>
        <w:rPr>
          <w:rFonts w:ascii="仿宋_GB2312" w:hAnsi="楷体" w:eastAsia="仿宋_GB2312"/>
          <w:sz w:val="24"/>
          <w:szCs w:val="24"/>
        </w:rPr>
      </w:pPr>
    </w:p>
    <w:p>
      <w:pPr>
        <w:ind w:firstLine="480" w:firstLineChars="200"/>
        <w:rPr>
          <w:rFonts w:ascii="仿宋_GB2312" w:eastAsia="仿宋_GB2312" w:hAnsiTheme="majorEastAsia" w:cstheme="majorEastAsia"/>
          <w:sz w:val="24"/>
          <w:szCs w:val="24"/>
        </w:rPr>
      </w:pPr>
    </w:p>
    <w:p>
      <w:pPr>
        <w:adjustRightInd w:val="0"/>
        <w:snapToGrid w:val="0"/>
        <w:spacing w:line="500" w:lineRule="exact"/>
        <w:rPr>
          <w:rFonts w:ascii="仿宋_GB2312" w:eastAsia="仿宋_GB2312"/>
          <w:szCs w:val="28"/>
        </w:rPr>
      </w:pPr>
    </w:p>
    <w:p>
      <w:pPr>
        <w:pStyle w:val="3"/>
        <w:snapToGrid w:val="0"/>
        <w:spacing w:before="0" w:after="0"/>
        <w:jc w:val="center"/>
        <w:rPr>
          <w:rFonts w:ascii="华文中宋" w:hAnsi="华文中宋" w:eastAsia="华文中宋"/>
          <w:color w:val="auto"/>
        </w:rPr>
      </w:pPr>
      <w:bookmarkStart w:id="115" w:name="_Toc49763004"/>
      <w:r>
        <w:rPr>
          <w:rFonts w:hint="eastAsia" w:ascii="华文中宋" w:hAnsi="华文中宋" w:eastAsia="华文中宋"/>
          <w:color w:val="auto"/>
        </w:rPr>
        <w:t>第六章  评分办法和评分细则</w:t>
      </w:r>
      <w:bookmarkEnd w:id="115"/>
    </w:p>
    <w:p>
      <w:pPr>
        <w:adjustRightInd w:val="0"/>
        <w:snapToGrid w:val="0"/>
        <w:spacing w:line="460" w:lineRule="exact"/>
        <w:ind w:firstLine="56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一）总则</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本次评标采用综合评分法，总分为100分，其中报价得分</w:t>
      </w:r>
      <w:r>
        <w:rPr>
          <w:rFonts w:hint="eastAsia" w:ascii="仿宋_GB2312" w:hAnsi="仿宋_GB2312" w:eastAsia="仿宋_GB2312" w:cs="仿宋_GB2312"/>
          <w:spacing w:val="0"/>
          <w:sz w:val="24"/>
          <w:szCs w:val="24"/>
          <w:lang w:eastAsia="zh-CN"/>
        </w:rPr>
        <w:t>60</w:t>
      </w:r>
      <w:r>
        <w:rPr>
          <w:rFonts w:hint="eastAsia" w:ascii="仿宋_GB2312" w:hAnsi="仿宋_GB2312" w:eastAsia="仿宋_GB2312" w:cs="仿宋_GB2312"/>
          <w:spacing w:val="0"/>
          <w:sz w:val="24"/>
          <w:szCs w:val="24"/>
        </w:rPr>
        <w:t>分、技术得分</w:t>
      </w:r>
      <w:r>
        <w:rPr>
          <w:rFonts w:hint="eastAsia" w:ascii="仿宋_GB2312" w:hAnsi="仿宋_GB2312" w:eastAsia="仿宋_GB2312" w:cs="仿宋_GB2312"/>
          <w:spacing w:val="0"/>
          <w:sz w:val="24"/>
          <w:szCs w:val="24"/>
          <w:lang w:eastAsia="zh-CN"/>
        </w:rPr>
        <w:t>40</w:t>
      </w:r>
      <w:r>
        <w:rPr>
          <w:rFonts w:hint="eastAsia" w:ascii="仿宋_GB2312" w:hAnsi="仿宋_GB2312" w:eastAsia="仿宋_GB2312" w:cs="仿宋_GB2312"/>
          <w:spacing w:val="0"/>
          <w:sz w:val="24"/>
          <w:szCs w:val="24"/>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投标人评标综合得分=报价得分+技术得分</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二）评标内容及标准</w:t>
      </w:r>
    </w:p>
    <w:p>
      <w:pPr>
        <w:pStyle w:val="10"/>
        <w:adjustRightInd w:val="0"/>
        <w:snapToGrid w:val="0"/>
        <w:spacing w:line="460" w:lineRule="exact"/>
        <w:ind w:firstLine="560"/>
        <w:rPr>
          <w:rFonts w:hint="eastAsia" w:ascii="仿宋_GB2312" w:hAnsi="仿宋_GB2312" w:eastAsia="仿宋_GB2312" w:cs="仿宋_GB2312"/>
          <w:b/>
          <w:bCs/>
          <w:spacing w:val="0"/>
          <w:sz w:val="24"/>
          <w:szCs w:val="24"/>
        </w:rPr>
      </w:pPr>
      <w:r>
        <w:rPr>
          <w:rFonts w:hint="eastAsia" w:ascii="仿宋_GB2312" w:hAnsi="仿宋_GB2312" w:eastAsia="仿宋_GB2312" w:cs="仿宋_GB2312"/>
          <w:b/>
          <w:bCs/>
          <w:spacing w:val="0"/>
          <w:sz w:val="24"/>
          <w:szCs w:val="24"/>
        </w:rPr>
        <w:t>1、报价得分占总分6</w:t>
      </w:r>
      <w:r>
        <w:rPr>
          <w:rFonts w:hint="eastAsia" w:ascii="仿宋_GB2312" w:hAnsi="仿宋_GB2312" w:eastAsia="仿宋_GB2312" w:cs="仿宋_GB2312"/>
          <w:b/>
          <w:bCs/>
          <w:spacing w:val="0"/>
          <w:sz w:val="24"/>
          <w:szCs w:val="24"/>
          <w:lang w:val="en-US" w:eastAsia="zh-CN"/>
        </w:rPr>
        <w:t>0</w:t>
      </w:r>
      <w:r>
        <w:rPr>
          <w:rFonts w:hint="eastAsia" w:ascii="仿宋_GB2312" w:hAnsi="仿宋_GB2312" w:eastAsia="仿宋_GB2312" w:cs="仿宋_GB2312"/>
          <w:b/>
          <w:bCs/>
          <w:spacing w:val="0"/>
          <w:sz w:val="24"/>
          <w:szCs w:val="24"/>
        </w:rPr>
        <w:t>%,分值为6</w:t>
      </w:r>
      <w:r>
        <w:rPr>
          <w:rFonts w:hint="eastAsia" w:ascii="仿宋_GB2312" w:hAnsi="仿宋_GB2312" w:eastAsia="仿宋_GB2312" w:cs="仿宋_GB2312"/>
          <w:b/>
          <w:bCs/>
          <w:spacing w:val="0"/>
          <w:sz w:val="24"/>
          <w:szCs w:val="24"/>
          <w:lang w:val="en-US" w:eastAsia="zh-CN"/>
        </w:rPr>
        <w:t>0</w:t>
      </w:r>
      <w:r>
        <w:rPr>
          <w:rFonts w:hint="eastAsia" w:ascii="仿宋_GB2312" w:hAnsi="仿宋_GB2312" w:eastAsia="仿宋_GB2312" w:cs="仿宋_GB2312"/>
          <w:b/>
          <w:bCs/>
          <w:spacing w:val="0"/>
          <w:sz w:val="24"/>
          <w:szCs w:val="24"/>
        </w:rPr>
        <w:t>分。</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有效投标单位为在10家以内（含）的，各投标单位报价平均值作为基准分；超过10家的，去掉二个最高报价和二个最低报价，其余各投标单位报价平均值作为基准分（</w:t>
      </w:r>
      <w:r>
        <w:rPr>
          <w:rFonts w:hint="eastAsia" w:ascii="仿宋_GB2312" w:hAnsi="仿宋_GB2312" w:eastAsia="仿宋_GB2312" w:cs="仿宋_GB2312"/>
          <w:spacing w:val="0"/>
          <w:sz w:val="24"/>
          <w:szCs w:val="24"/>
          <w:lang w:eastAsia="zh-CN"/>
        </w:rPr>
        <w:t>60</w:t>
      </w:r>
      <w:r>
        <w:rPr>
          <w:rFonts w:hint="eastAsia" w:ascii="仿宋_GB2312" w:hAnsi="仿宋_GB2312" w:eastAsia="仿宋_GB2312" w:cs="仿宋_GB2312"/>
          <w:spacing w:val="0"/>
          <w:sz w:val="24"/>
          <w:szCs w:val="24"/>
        </w:rPr>
        <w:t>分）：</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报价得分＝基准分－|(投标人报价－平均报价）／平均报价|X 100 X B ;（报价得分保留2位小数）</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B取值方式为：</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1）当投标人报价高于平均报价时，B取值为1.0；</w:t>
      </w:r>
    </w:p>
    <w:p>
      <w:pPr>
        <w:pStyle w:val="10"/>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2）当投标人报价低于平均报价时，B取值为0.5。</w:t>
      </w:r>
    </w:p>
    <w:p>
      <w:pPr>
        <w:pStyle w:val="10"/>
        <w:adjustRightInd w:val="0"/>
        <w:snapToGrid w:val="0"/>
        <w:spacing w:line="460" w:lineRule="exact"/>
        <w:ind w:firstLine="560"/>
        <w:rPr>
          <w:rFonts w:hint="eastAsia" w:ascii="仿宋_GB2312" w:hAnsi="仿宋_GB2312" w:eastAsia="仿宋_GB2312" w:cs="仿宋_GB2312"/>
          <w:b/>
          <w:bCs/>
          <w:spacing w:val="0"/>
          <w:sz w:val="24"/>
          <w:szCs w:val="24"/>
        </w:rPr>
      </w:pPr>
      <w:r>
        <w:rPr>
          <w:rFonts w:hint="eastAsia" w:ascii="仿宋_GB2312" w:hAnsi="仿宋_GB2312" w:eastAsia="仿宋_GB2312" w:cs="仿宋_GB2312"/>
          <w:b/>
          <w:bCs/>
          <w:spacing w:val="0"/>
          <w:sz w:val="24"/>
          <w:szCs w:val="24"/>
        </w:rPr>
        <w:t>2、技术得分</w:t>
      </w:r>
      <w:r>
        <w:rPr>
          <w:rFonts w:hint="eastAsia" w:ascii="仿宋_GB2312" w:hAnsi="仿宋_GB2312" w:eastAsia="仿宋_GB2312" w:cs="仿宋_GB2312"/>
          <w:b/>
          <w:bCs/>
          <w:spacing w:val="0"/>
          <w:sz w:val="24"/>
          <w:szCs w:val="24"/>
          <w:lang w:eastAsia="zh-CN"/>
        </w:rPr>
        <w:t>40</w:t>
      </w:r>
      <w:r>
        <w:rPr>
          <w:rFonts w:hint="eastAsia" w:ascii="仿宋_GB2312" w:hAnsi="仿宋_GB2312" w:eastAsia="仿宋_GB2312" w:cs="仿宋_GB2312"/>
          <w:b/>
          <w:bCs/>
          <w:spacing w:val="0"/>
          <w:sz w:val="24"/>
          <w:szCs w:val="24"/>
        </w:rPr>
        <w:t>分</w:t>
      </w:r>
    </w:p>
    <w:tbl>
      <w:tblPr>
        <w:tblStyle w:val="20"/>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932"/>
        <w:gridCol w:w="851"/>
        <w:gridCol w:w="5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评审内容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分值</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施工组织机构和人员组成</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组织机构齐全，人员配备合理得</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施工进度计划</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总施工工期目标明确，关键节点明确，各分项工程施工顺序安排恰当、工序衔接合理，进度计划安排科学，得</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施工质量保证体系</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质量管理体系完善，工程质量措施完善，按单位、分部和分项分解细化,具体明确，制度健全，能确保工程质量的，得</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材料品牌保证</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投标文件中明确所有材料品牌及规格、且是技术要求中所列的品牌的，得</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分；所列品牌不全的，按列的数量酌情给分，给分标准为</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-1分；未列材料品牌或列出的品牌与招标文件要求均不相符得0分</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业    绩</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5276" w:type="dxa"/>
            <w:tcBorders>
              <w:top w:val="single" w:color="auto" w:sz="4" w:space="0"/>
              <w:left w:val="single" w:color="auto" w:sz="4" w:space="0"/>
              <w:bottom w:val="single" w:color="auto" w:sz="4" w:space="0"/>
              <w:right w:val="single" w:color="auto" w:sz="4" w:space="0"/>
            </w:tcBorders>
            <w:vAlign w:val="center"/>
          </w:tcPr>
          <w:p>
            <w:pPr>
              <w:pStyle w:val="10"/>
              <w:snapToGrid w:val="0"/>
              <w:spacing w:line="460" w:lineRule="exact"/>
              <w:ind w:firstLine="0" w:firstLineChars="0"/>
              <w:jc w:val="left"/>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投标单位自201</w:t>
            </w:r>
            <w:r>
              <w:rPr>
                <w:rFonts w:hint="eastAsia" w:ascii="仿宋_GB2312" w:hAnsi="仿宋_GB2312" w:eastAsia="仿宋_GB2312" w:cs="仿宋_GB2312"/>
                <w:spacing w:val="0"/>
                <w:sz w:val="24"/>
                <w:szCs w:val="24"/>
                <w:lang w:val="en-US" w:eastAsia="zh-CN"/>
              </w:rPr>
              <w:t>7</w:t>
            </w:r>
            <w:r>
              <w:rPr>
                <w:rFonts w:hint="eastAsia" w:ascii="仿宋_GB2312" w:hAnsi="仿宋_GB2312" w:eastAsia="仿宋_GB2312" w:cs="仿宋_GB2312"/>
                <w:spacing w:val="0"/>
                <w:sz w:val="24"/>
                <w:szCs w:val="24"/>
              </w:rPr>
              <w:t>年</w:t>
            </w:r>
            <w:r>
              <w:rPr>
                <w:rFonts w:hint="eastAsia" w:ascii="仿宋_GB2312" w:hAnsi="仿宋_GB2312" w:eastAsia="仿宋_GB2312" w:cs="仿宋_GB2312"/>
                <w:spacing w:val="0"/>
                <w:sz w:val="24"/>
                <w:szCs w:val="24"/>
                <w:lang w:val="en-US" w:eastAsia="zh-CN"/>
              </w:rPr>
              <w:t>11</w:t>
            </w:r>
            <w:r>
              <w:rPr>
                <w:rFonts w:hint="eastAsia" w:ascii="仿宋_GB2312" w:hAnsi="仿宋_GB2312" w:eastAsia="仿宋_GB2312" w:cs="仿宋_GB2312"/>
                <w:spacing w:val="0"/>
                <w:sz w:val="24"/>
                <w:szCs w:val="24"/>
              </w:rPr>
              <w:t>月1日至开标之日止承担高等院校</w:t>
            </w:r>
            <w:r>
              <w:rPr>
                <w:rFonts w:hint="eastAsia" w:ascii="仿宋_GB2312" w:hAnsi="仿宋_GB2312" w:eastAsia="仿宋_GB2312" w:cs="仿宋_GB2312"/>
                <w:b/>
                <w:bCs/>
                <w:spacing w:val="0"/>
                <w:sz w:val="24"/>
                <w:szCs w:val="24"/>
                <w:lang w:eastAsia="zh-CN"/>
              </w:rPr>
              <w:t>实验室</w:t>
            </w:r>
            <w:r>
              <w:rPr>
                <w:rFonts w:hint="eastAsia" w:ascii="仿宋_GB2312" w:hAnsi="仿宋_GB2312" w:eastAsia="仿宋_GB2312" w:cs="仿宋_GB2312"/>
                <w:spacing w:val="0"/>
                <w:sz w:val="24"/>
                <w:szCs w:val="24"/>
                <w:lang w:eastAsia="zh-CN"/>
              </w:rPr>
              <w:t>改造</w:t>
            </w:r>
            <w:r>
              <w:rPr>
                <w:rFonts w:hint="eastAsia" w:ascii="仿宋_GB2312" w:hAnsi="仿宋_GB2312" w:eastAsia="仿宋_GB2312" w:cs="仿宋_GB2312"/>
                <w:spacing w:val="0"/>
                <w:sz w:val="24"/>
                <w:szCs w:val="24"/>
              </w:rPr>
              <w:t>工程的业绩，</w:t>
            </w:r>
            <w:r>
              <w:rPr>
                <w:rFonts w:hint="eastAsia" w:ascii="仿宋_GB2312" w:hAnsi="仿宋_GB2312" w:eastAsia="仿宋_GB2312" w:cs="仿宋_GB2312"/>
                <w:spacing w:val="0"/>
                <w:sz w:val="24"/>
                <w:szCs w:val="24"/>
                <w:lang w:eastAsia="zh-CN"/>
              </w:rPr>
              <w:t>且合同价大于</w:t>
            </w:r>
            <w:r>
              <w:rPr>
                <w:rFonts w:hint="eastAsia" w:ascii="仿宋_GB2312" w:hAnsi="仿宋_GB2312" w:eastAsia="仿宋_GB2312" w:cs="仿宋_GB2312"/>
                <w:spacing w:val="0"/>
                <w:sz w:val="24"/>
                <w:szCs w:val="24"/>
                <w:lang w:val="en-US" w:eastAsia="zh-CN"/>
              </w:rPr>
              <w:t>20万的，</w:t>
            </w:r>
            <w:r>
              <w:rPr>
                <w:rFonts w:hint="eastAsia" w:ascii="仿宋_GB2312" w:hAnsi="仿宋_GB2312" w:eastAsia="仿宋_GB2312" w:cs="仿宋_GB2312"/>
                <w:spacing w:val="0"/>
                <w:sz w:val="24"/>
                <w:szCs w:val="24"/>
              </w:rPr>
              <w:t>每提供一项得</w:t>
            </w:r>
            <w:r>
              <w:rPr>
                <w:rFonts w:hint="eastAsia" w:ascii="仿宋_GB2312" w:hAnsi="仿宋_GB2312" w:eastAsia="仿宋_GB2312" w:cs="仿宋_GB2312"/>
                <w:spacing w:val="0"/>
                <w:sz w:val="24"/>
                <w:szCs w:val="24"/>
                <w:lang w:val="en-US" w:eastAsia="zh-CN"/>
              </w:rPr>
              <w:t>5</w:t>
            </w:r>
            <w:r>
              <w:rPr>
                <w:rFonts w:hint="eastAsia" w:ascii="仿宋_GB2312" w:hAnsi="仿宋_GB2312" w:eastAsia="仿宋_GB2312" w:cs="仿宋_GB2312"/>
                <w:spacing w:val="0"/>
                <w:sz w:val="24"/>
                <w:szCs w:val="24"/>
              </w:rPr>
              <w:t>分，最高得</w:t>
            </w:r>
            <w:r>
              <w:rPr>
                <w:rFonts w:hint="eastAsia" w:ascii="仿宋_GB2312" w:hAnsi="仿宋_GB2312" w:eastAsia="仿宋_GB2312" w:cs="仿宋_GB2312"/>
                <w:spacing w:val="0"/>
                <w:sz w:val="24"/>
                <w:szCs w:val="24"/>
                <w:lang w:val="en-US" w:eastAsia="zh-CN"/>
              </w:rPr>
              <w:t>15</w:t>
            </w:r>
            <w:r>
              <w:rPr>
                <w:rFonts w:hint="eastAsia" w:ascii="仿宋_GB2312" w:hAnsi="仿宋_GB2312" w:eastAsia="仿宋_GB2312" w:cs="仿宋_GB2312"/>
                <w:spacing w:val="0"/>
                <w:sz w:val="24"/>
                <w:szCs w:val="24"/>
              </w:rPr>
              <w:t>分。（认定业绩的依据为施工合同，合同的复印件装订在投标文件中，原件用档案袋密封在开标前随投标文件一起递交给监督人员，以供评委核对，未提供原件的业绩为不得分，业绩时间以合同上的时间为准。</w:t>
            </w:r>
            <w:r>
              <w:rPr>
                <w:rFonts w:hint="eastAsia" w:ascii="仿宋_GB2312" w:hAnsi="仿宋_GB2312" w:eastAsia="仿宋_GB2312" w:cs="仿宋_GB2312"/>
                <w:spacing w:val="0"/>
                <w:sz w:val="24"/>
                <w:szCs w:val="24"/>
                <w:lang w:eastAsia="zh-CN"/>
              </w:rPr>
              <w:t>如</w:t>
            </w:r>
            <w:r>
              <w:rPr>
                <w:rFonts w:hint="eastAsia" w:ascii="仿宋_GB2312" w:hAnsi="仿宋_GB2312" w:eastAsia="仿宋_GB2312" w:cs="仿宋_GB2312"/>
                <w:spacing w:val="0"/>
                <w:sz w:val="24"/>
                <w:szCs w:val="24"/>
              </w:rPr>
              <w:t>施工合同中不能反映</w:t>
            </w:r>
            <w:r>
              <w:rPr>
                <w:rFonts w:hint="eastAsia" w:ascii="仿宋_GB2312" w:hAnsi="仿宋_GB2312" w:eastAsia="仿宋_GB2312" w:cs="仿宋_GB2312"/>
                <w:spacing w:val="0"/>
                <w:sz w:val="24"/>
                <w:szCs w:val="24"/>
                <w:lang w:eastAsia="zh-CN"/>
              </w:rPr>
              <w:t>该工程包含</w:t>
            </w:r>
            <w:r>
              <w:rPr>
                <w:rFonts w:hint="eastAsia" w:ascii="仿宋_GB2312" w:hAnsi="仿宋_GB2312" w:eastAsia="仿宋_GB2312" w:cs="仿宋_GB2312"/>
                <w:b/>
                <w:bCs/>
                <w:spacing w:val="0"/>
                <w:sz w:val="24"/>
                <w:szCs w:val="24"/>
                <w:lang w:eastAsia="zh-CN"/>
              </w:rPr>
              <w:t>实验室</w:t>
            </w:r>
            <w:r>
              <w:rPr>
                <w:rFonts w:hint="eastAsia" w:ascii="仿宋_GB2312" w:hAnsi="仿宋_GB2312" w:eastAsia="仿宋_GB2312" w:cs="仿宋_GB2312"/>
                <w:spacing w:val="0"/>
                <w:sz w:val="24"/>
                <w:szCs w:val="24"/>
                <w:lang w:eastAsia="zh-CN"/>
              </w:rPr>
              <w:t>施工，则</w:t>
            </w:r>
            <w:r>
              <w:rPr>
                <w:rFonts w:hint="eastAsia" w:ascii="仿宋_GB2312" w:hAnsi="仿宋_GB2312" w:eastAsia="仿宋_GB2312" w:cs="仿宋_GB2312"/>
                <w:spacing w:val="0"/>
                <w:sz w:val="24"/>
                <w:szCs w:val="24"/>
              </w:rPr>
              <w:t>需提供建设单位证明，否则业绩无效</w:t>
            </w:r>
            <w:r>
              <w:rPr>
                <w:rFonts w:hint="eastAsia" w:ascii="仿宋_GB2312" w:hAnsi="仿宋_GB2312" w:eastAsia="仿宋_GB2312" w:cs="仿宋_GB2312"/>
                <w:spacing w:val="0"/>
                <w:sz w:val="24"/>
                <w:szCs w:val="24"/>
                <w:lang w:eastAsia="zh-CN"/>
              </w:rPr>
              <w:t>。</w:t>
            </w:r>
            <w:r>
              <w:rPr>
                <w:rFonts w:hint="eastAsia" w:ascii="仿宋_GB2312" w:hAnsi="仿宋_GB2312" w:eastAsia="仿宋_GB2312" w:cs="仿宋_GB2312"/>
                <w:spacing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售后承诺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10"/>
              <w:snapToGrid w:val="0"/>
              <w:spacing w:line="460" w:lineRule="exact"/>
              <w:ind w:firstLine="0" w:firstLineChars="0"/>
              <w:jc w:val="left"/>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包括保修年限，服务标准，人员配备，维修及保障措施等，根据投标单位承诺情况由评委给予0-</w:t>
            </w:r>
            <w:r>
              <w:rPr>
                <w:rFonts w:hint="eastAsia" w:ascii="仿宋_GB2312" w:hAnsi="仿宋_GB2312" w:eastAsia="仿宋_GB2312" w:cs="仿宋_GB2312"/>
                <w:spacing w:val="0"/>
                <w:sz w:val="24"/>
                <w:szCs w:val="24"/>
                <w:lang w:val="en-US" w:eastAsia="zh-CN"/>
              </w:rPr>
              <w:t>3</w:t>
            </w:r>
            <w:r>
              <w:rPr>
                <w:rFonts w:hint="eastAsia" w:ascii="仿宋_GB2312" w:hAnsi="仿宋_GB2312" w:eastAsia="仿宋_GB2312" w:cs="仿宋_GB2312"/>
                <w:spacing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踏勘</w:t>
            </w:r>
            <w:r>
              <w:rPr>
                <w:rFonts w:hint="eastAsia" w:ascii="仿宋_GB2312" w:hAnsi="仿宋_GB2312" w:eastAsia="仿宋_GB2312" w:cs="仿宋_GB2312"/>
                <w:sz w:val="24"/>
                <w:szCs w:val="24"/>
              </w:rPr>
              <w:t>现场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10"/>
              <w:snapToGrid w:val="0"/>
              <w:spacing w:line="460" w:lineRule="exact"/>
              <w:ind w:firstLine="0" w:firstLineChars="0"/>
              <w:jc w:val="left"/>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各投标单位按时</w:t>
            </w:r>
            <w:r>
              <w:rPr>
                <w:rFonts w:hint="eastAsia" w:ascii="仿宋_GB2312" w:hAnsi="仿宋_GB2312" w:eastAsia="仿宋_GB2312" w:cs="仿宋_GB2312"/>
                <w:spacing w:val="0"/>
                <w:sz w:val="24"/>
                <w:szCs w:val="24"/>
                <w:lang w:val="en-US" w:eastAsia="zh-CN"/>
              </w:rPr>
              <w:t>踏勘</w:t>
            </w:r>
            <w:r>
              <w:rPr>
                <w:rFonts w:hint="eastAsia" w:ascii="仿宋_GB2312" w:hAnsi="仿宋_GB2312" w:eastAsia="仿宋_GB2312" w:cs="仿宋_GB2312"/>
                <w:spacing w:val="0"/>
                <w:sz w:val="24"/>
                <w:szCs w:val="24"/>
              </w:rPr>
              <w:t>现场，参加现场</w:t>
            </w:r>
            <w:r>
              <w:rPr>
                <w:rFonts w:hint="eastAsia" w:ascii="仿宋_GB2312" w:hAnsi="仿宋_GB2312" w:eastAsia="仿宋_GB2312" w:cs="仿宋_GB2312"/>
                <w:spacing w:val="0"/>
                <w:sz w:val="24"/>
                <w:szCs w:val="24"/>
                <w:lang w:val="en-US" w:eastAsia="zh-CN"/>
              </w:rPr>
              <w:t>踏勘者</w:t>
            </w:r>
            <w:r>
              <w:rPr>
                <w:rFonts w:hint="eastAsia" w:ascii="仿宋_GB2312" w:hAnsi="仿宋_GB2312" w:eastAsia="仿宋_GB2312" w:cs="仿宋_GB2312"/>
                <w:spacing w:val="0"/>
                <w:sz w:val="24"/>
                <w:szCs w:val="24"/>
              </w:rPr>
              <w:t>得</w:t>
            </w:r>
            <w:r>
              <w:rPr>
                <w:rFonts w:hint="eastAsia" w:ascii="仿宋_GB2312" w:hAnsi="仿宋_GB2312" w:eastAsia="仿宋_GB2312" w:cs="仿宋_GB2312"/>
                <w:spacing w:val="0"/>
                <w:sz w:val="24"/>
                <w:szCs w:val="24"/>
                <w:lang w:val="en-US" w:eastAsia="zh-CN"/>
              </w:rPr>
              <w:t>3</w:t>
            </w:r>
            <w:r>
              <w:rPr>
                <w:rFonts w:hint="eastAsia" w:ascii="仿宋_GB2312" w:hAnsi="仿宋_GB2312" w:eastAsia="仿宋_GB2312" w:cs="仿宋_GB2312"/>
                <w:spacing w:val="0"/>
                <w:sz w:val="24"/>
                <w:szCs w:val="24"/>
              </w:rPr>
              <w:t>分，没有</w:t>
            </w:r>
            <w:r>
              <w:rPr>
                <w:rFonts w:hint="eastAsia" w:ascii="仿宋_GB2312" w:hAnsi="仿宋_GB2312" w:eastAsia="仿宋_GB2312" w:cs="仿宋_GB2312"/>
                <w:spacing w:val="0"/>
                <w:sz w:val="24"/>
                <w:szCs w:val="24"/>
                <w:lang w:val="en-US" w:eastAsia="zh-CN"/>
              </w:rPr>
              <w:t>参加者</w:t>
            </w:r>
            <w:r>
              <w:rPr>
                <w:rFonts w:hint="eastAsia" w:ascii="仿宋_GB2312" w:hAnsi="仿宋_GB2312" w:eastAsia="仿宋_GB2312" w:cs="仿宋_GB2312"/>
                <w:spacing w:val="0"/>
                <w:sz w:val="24"/>
                <w:szCs w:val="24"/>
              </w:rPr>
              <w:t>不得分，以</w:t>
            </w:r>
            <w:r>
              <w:rPr>
                <w:rFonts w:hint="eastAsia" w:ascii="仿宋_GB2312" w:hAnsi="仿宋_GB2312" w:eastAsia="仿宋_GB2312" w:cs="仿宋_GB2312"/>
                <w:spacing w:val="0"/>
                <w:sz w:val="24"/>
                <w:szCs w:val="24"/>
                <w:lang w:val="en-US" w:eastAsia="zh-CN"/>
              </w:rPr>
              <w:t>踏勘现场签到表</w:t>
            </w:r>
            <w:r>
              <w:rPr>
                <w:rFonts w:hint="eastAsia" w:ascii="仿宋_GB2312" w:hAnsi="仿宋_GB2312" w:eastAsia="仿宋_GB2312" w:cs="仿宋_GB2312"/>
                <w:spacing w:val="0"/>
                <w:sz w:val="24"/>
                <w:szCs w:val="24"/>
              </w:rPr>
              <w:t>为准。</w:t>
            </w:r>
          </w:p>
        </w:tc>
      </w:tr>
    </w:tbl>
    <w:p>
      <w:pPr>
        <w:adjustRightInd w:val="0"/>
        <w:snapToGrid w:val="0"/>
        <w:spacing w:line="460" w:lineRule="exact"/>
        <w:ind w:firstLine="560"/>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其他：如第一中标人放弃中标,或因不可抗力提出不能履行合同，或者招标文件规定应当提交履约保证金而在规定的期限内未能提交的，招标人可以选择排名第二名中标人进行递补。</w:t>
      </w:r>
    </w:p>
    <w:p>
      <w:pPr>
        <w:adjustRightInd w:val="0"/>
        <w:snapToGrid w:val="0"/>
        <w:spacing w:line="460" w:lineRule="exact"/>
        <w:ind w:firstLine="56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三）确定中标人</w:t>
      </w:r>
    </w:p>
    <w:p>
      <w:pPr>
        <w:adjustRightInd w:val="0"/>
        <w:snapToGrid w:val="0"/>
        <w:spacing w:line="460" w:lineRule="exact"/>
        <w:ind w:firstLine="56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1、中标人一旦确定后，将在网上公布中标人，三个工作日内无异议，发出中标通知书。</w:t>
      </w:r>
    </w:p>
    <w:p>
      <w:pPr>
        <w:ind w:firstLine="420"/>
        <w:rPr>
          <w:rFonts w:hint="eastAsia" w:ascii="仿宋_GB2312" w:hAnsi="仿宋_GB2312" w:eastAsia="仿宋_GB2312" w:cs="仿宋_GB2312"/>
          <w:sz w:val="24"/>
          <w:szCs w:val="24"/>
        </w:rPr>
      </w:pPr>
    </w:p>
    <w:p>
      <w:pPr>
        <w:spacing w:line="460" w:lineRule="exact"/>
        <w:ind w:firstLine="560"/>
        <w:jc w:val="center"/>
        <w:rPr>
          <w:rFonts w:ascii="楷体" w:hAnsi="楷体" w:eastAsia="楷体"/>
          <w:szCs w:val="28"/>
        </w:rPr>
      </w:pPr>
    </w:p>
    <w:p>
      <w:pPr>
        <w:pStyle w:val="27"/>
      </w:pPr>
      <w:bookmarkStart w:id="116" w:name="_Toc49763005"/>
      <w:r>
        <w:rPr>
          <w:rFonts w:hint="eastAsia"/>
        </w:rPr>
        <w:t xml:space="preserve">第七章  </w:t>
      </w:r>
      <w:bookmarkStart w:id="117" w:name="_Toc403987220"/>
      <w:r>
        <w:rPr>
          <w:rFonts w:hint="eastAsia"/>
        </w:rPr>
        <w:t>响应文件格式</w:t>
      </w:r>
      <w:bookmarkEnd w:id="116"/>
      <w:bookmarkEnd w:id="117"/>
    </w:p>
    <w:p>
      <w:pPr>
        <w:jc w:val="center"/>
        <w:rPr>
          <w:rFonts w:hAnsi="宋体"/>
          <w:b/>
          <w:sz w:val="72"/>
        </w:rPr>
      </w:pPr>
      <w:bookmarkStart w:id="118" w:name="_Hlt26671244"/>
      <w:bookmarkEnd w:id="118"/>
      <w:bookmarkStart w:id="119" w:name="_Hlt26955039"/>
      <w:bookmarkEnd w:id="119"/>
      <w:bookmarkStart w:id="120" w:name="_Toc49090576"/>
      <w:bookmarkStart w:id="121" w:name="_Toc26554094"/>
      <w:bookmarkStart w:id="122"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0"/>
    <w:bookmarkEnd w:id="121"/>
    <w:bookmarkEnd w:id="122"/>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五、清单报价明细表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六、施工方案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bCs/>
                <w:sz w:val="24"/>
                <w:szCs w:val="24"/>
              </w:rPr>
            </w:pPr>
            <w:r>
              <w:rPr>
                <w:rFonts w:hint="eastAsia" w:asciiTheme="minorEastAsia" w:hAnsiTheme="minorEastAsia" w:eastAsiaTheme="minorEastAsia"/>
                <w:kern w:val="0"/>
                <w:sz w:val="24"/>
                <w:szCs w:val="24"/>
              </w:rPr>
              <w:t>医学寄生虫学教研室学生实验室改造工程</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ascii="宋体" w:hAnsi="宋体"/>
                <w:spacing w:val="-6"/>
                <w:sz w:val="24"/>
                <w:szCs w:val="24"/>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3、</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40"/>
          <w:rFonts w:hAnsi="宋体"/>
          <w:color w:val="auto"/>
          <w:sz w:val="24"/>
          <w:szCs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Theme="minorEastAsia" w:hAnsiTheme="minorEastAsia" w:eastAsiaTheme="minorEastAsia"/>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3" w:name="_Toc49090582"/>
      <w:bookmarkStart w:id="124" w:name="_Toc513029281"/>
      <w:bookmarkStart w:id="125" w:name="_Toc26554103"/>
      <w:bookmarkStart w:id="126" w:name="_Toc24878535"/>
      <w:bookmarkStart w:id="127" w:name="_Toc23828483"/>
      <w:bookmarkStart w:id="128" w:name="_Toc22356583"/>
      <w:bookmarkStart w:id="129" w:name="_Toc120614291"/>
      <w:bookmarkStart w:id="130"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23"/>
      <w:bookmarkEnd w:id="124"/>
      <w:bookmarkEnd w:id="125"/>
      <w:bookmarkEnd w:id="126"/>
      <w:bookmarkEnd w:id="127"/>
      <w:bookmarkEnd w:id="128"/>
      <w:bookmarkEnd w:id="129"/>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Theme="majorEastAsia" w:hAnsiTheme="majorEastAsia" w:eastAsiaTheme="majorEastAsia"/>
          <w:kern w:val="0"/>
          <w:sz w:val="24"/>
          <w:szCs w:val="24"/>
        </w:rPr>
        <w:t>皖南医学院药学院逸夫科技楼办公室、实验室改造工程</w:t>
      </w:r>
      <w:r>
        <w:rPr>
          <w:rFonts w:hint="eastAsia" w:ascii="宋体" w:hAnsi="宋体"/>
          <w:spacing w:val="-6"/>
          <w:sz w:val="24"/>
          <w:szCs w:val="24"/>
        </w:rPr>
        <w:t>的投标活动，并代表我方全权办理针对上述项目的投标、开标、磋商、签约等具体事务和签署相关文件。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w:pict>
          <v:shape id="_x0000_s1028" o:spid="_x0000_s1028" o:spt="202" type="#_x0000_t202" style="position:absolute;left:0pt;margin-left:244.75pt;margin-top:11.7pt;height:185.85pt;width:238.05pt;z-index:251661312;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w:r>
      <w:r>
        <w:rPr>
          <w:rFonts w:ascii="宋体" w:hAnsi="宋体"/>
          <w:spacing w:val="-6"/>
          <w:sz w:val="24"/>
          <w:szCs w:val="24"/>
        </w:rPr>
        <w:pict>
          <v:shape id="Text Box 3" o:spid="_x0000_s1026" o:spt="202" type="#_x0000_t202" style="position:absolute;left:0pt;margin-left:-12.25pt;margin-top:11.7pt;height:185.85pt;width:241.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1"/>
        <w:snapToGrid w:val="0"/>
        <w:spacing w:beforeLines="0" w:afterLines="0" w:line="360" w:lineRule="auto"/>
        <w:jc w:val="left"/>
        <w:rPr>
          <w:rFonts w:hAnsi="宋体"/>
          <w:szCs w:val="24"/>
        </w:rPr>
      </w:pPr>
    </w:p>
    <w:p>
      <w:pPr>
        <w:pStyle w:val="11"/>
        <w:snapToGrid w:val="0"/>
        <w:spacing w:beforeLines="0" w:afterLines="0" w:line="360" w:lineRule="auto"/>
        <w:jc w:val="left"/>
        <w:rPr>
          <w:rFonts w:hAnsi="宋体"/>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1"/>
        <w:snapToGrid w:val="0"/>
        <w:spacing w:beforeLines="0" w:afterLines="0" w:line="360" w:lineRule="auto"/>
        <w:jc w:val="left"/>
        <w:rPr>
          <w:rFonts w:hAnsi="宋体"/>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30"/>
    <w:p>
      <w:pPr>
        <w:jc w:val="center"/>
        <w:rPr>
          <w:rStyle w:val="40"/>
          <w:rFonts w:ascii="华文中宋" w:hAnsi="华文中宋" w:eastAsia="华文中宋"/>
          <w:b w:val="0"/>
          <w:color w:val="auto"/>
          <w:sz w:val="28"/>
          <w:szCs w:val="28"/>
        </w:rPr>
      </w:pPr>
      <w:bookmarkStart w:id="131" w:name="_Toc26554095"/>
      <w:bookmarkStart w:id="132" w:name="_Toc23828478"/>
      <w:bookmarkStart w:id="133" w:name="_Toc22356580"/>
      <w:bookmarkStart w:id="134" w:name="_Toc513029276"/>
      <w:bookmarkStart w:id="135" w:name="_Toc460901585"/>
      <w:bookmarkStart w:id="136" w:name="_Toc120614283"/>
      <w:bookmarkStart w:id="137" w:name="_Toc49090577"/>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31"/>
    <w:bookmarkEnd w:id="132"/>
    <w:bookmarkEnd w:id="133"/>
    <w:bookmarkEnd w:id="134"/>
    <w:bookmarkEnd w:id="135"/>
    <w:bookmarkEnd w:id="136"/>
    <w:bookmarkEnd w:id="137"/>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皖南医学院医学寄生虫学教研室学生实验室改造工程</w:t>
      </w:r>
      <w:r>
        <w:rPr>
          <w:rFonts w:hint="eastAsia" w:ascii="仿宋_GB2312" w:eastAsia="仿宋_GB2312"/>
          <w:kern w:val="0"/>
          <w:sz w:val="24"/>
          <w:szCs w:val="24"/>
        </w:rPr>
        <w:t>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五、清单报价明细表（结合项目需求自行编制）</w:t>
      </w:r>
    </w:p>
    <w:p>
      <w:pPr>
        <w:rPr>
          <w:rFonts w:ascii="仿宋_GB2312" w:eastAsia="仿宋_GB2312"/>
          <w:sz w:val="24"/>
          <w:szCs w:val="24"/>
        </w:rPr>
      </w:pPr>
      <w:r>
        <w:rPr>
          <w:rFonts w:hint="eastAsia" w:ascii="仿宋_GB2312" w:eastAsia="仿宋_GB2312"/>
          <w:sz w:val="24"/>
          <w:szCs w:val="24"/>
        </w:rPr>
        <w:t>六、施工方案（主要但不限于</w:t>
      </w:r>
      <w:r>
        <w:rPr>
          <w:rFonts w:hint="eastAsia" w:ascii="仿宋_GB2312" w:eastAsia="仿宋_GB2312" w:hAnsiTheme="minorEastAsia"/>
          <w:sz w:val="24"/>
          <w:szCs w:val="24"/>
        </w:rPr>
        <w:t>施工组织机构和人员组成、施工进度计划、施工质量和安全保证体系、售后承诺、业绩等</w:t>
      </w:r>
      <w:r>
        <w:rPr>
          <w:rFonts w:hint="eastAsia" w:ascii="仿宋_GB2312" w:eastAsia="仿宋_GB2312"/>
          <w:sz w:val="24"/>
          <w:szCs w:val="24"/>
        </w:rPr>
        <w:t>）</w:t>
      </w: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仿宋_GB2312" w:eastAsia="仿宋_GB2312"/>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8"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8"/>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9" w:name="OLE_LINK3"/>
      <w:bookmarkStart w:id="140" w:name="OLE_LINK2"/>
      <w:bookmarkStart w:id="141" w:name="OLE_LINK1"/>
      <w:r>
        <w:rPr>
          <w:rFonts w:hint="eastAsia" w:ascii="仿宋_GB2312" w:eastAsia="仿宋_GB2312" w:cs="宋体" w:hAnsiTheme="minorEastAsia"/>
          <w:sz w:val="24"/>
          <w:szCs w:val="24"/>
        </w:rPr>
        <w:t>学校采购活动</w:t>
      </w:r>
      <w:bookmarkEnd w:id="139"/>
      <w:bookmarkEnd w:id="140"/>
      <w:bookmarkEnd w:id="141"/>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2" w:name="OLE_LINK4"/>
      <w:bookmarkStart w:id="143" w:name="OLE_LINK5"/>
      <w:bookmarkStart w:id="144" w:name="OLE_LINK6"/>
      <w:bookmarkStart w:id="145" w:name="OLE_LINK7"/>
      <w:bookmarkStart w:id="146" w:name="OLE_LINK9"/>
      <w:bookmarkStart w:id="147" w:name="OLE_LINK8"/>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2"/>
      <w:bookmarkEnd w:id="143"/>
      <w:bookmarkEnd w:id="144"/>
      <w:bookmarkEnd w:id="145"/>
      <w:bookmarkEnd w:id="146"/>
      <w:bookmarkEnd w:id="147"/>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8" w:name="OLE_LINK76"/>
      <w:bookmarkStart w:id="149" w:name="OLE_LINK77"/>
      <w:bookmarkStart w:id="150" w:name="OLE_LINK78"/>
      <w:r>
        <w:rPr>
          <w:rFonts w:hint="eastAsia" w:ascii="仿宋_GB2312" w:hAnsi="微软雅黑" w:eastAsia="仿宋_GB2312"/>
          <w:sz w:val="24"/>
          <w:szCs w:val="24"/>
        </w:rPr>
        <w:t>国资处、采购代理机构</w:t>
      </w:r>
      <w:bookmarkEnd w:id="148"/>
      <w:bookmarkEnd w:id="149"/>
      <w:bookmarkEnd w:id="150"/>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1" w:name="OLE_LINK11"/>
      <w:bookmarkStart w:id="152" w:name="OLE_LINK13"/>
      <w:bookmarkStart w:id="153"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1"/>
      <w:bookmarkEnd w:id="152"/>
      <w:bookmarkEnd w:id="153"/>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4" w:name="OLE_LINK14"/>
      <w:bookmarkStart w:id="155" w:name="OLE_LINK15"/>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4"/>
    <w:bookmarkEnd w:id="155"/>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6" w:name="OLE_LINK17"/>
      <w:bookmarkStart w:id="157" w:name="OLE_LINK16"/>
      <w:bookmarkStart w:id="158" w:name="OLE_LINK18"/>
      <w:r>
        <w:rPr>
          <w:rFonts w:hint="eastAsia" w:ascii="仿宋_GB2312" w:hAnsi="宋体" w:eastAsia="仿宋_GB2312" w:cs="宋体"/>
          <w:sz w:val="24"/>
          <w:szCs w:val="24"/>
        </w:rPr>
        <w:t>规</w:t>
      </w:r>
      <w:bookmarkEnd w:id="156"/>
      <w:bookmarkEnd w:id="157"/>
      <w:bookmarkEnd w:id="158"/>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docPartObj>
        <w:docPartGallery w:val="autotext"/>
      </w:docPartObj>
    </w:sdtPr>
    <w:sdtContent>
      <w:p>
        <w:pPr>
          <w:pStyle w:val="1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AEB1A3"/>
    <w:multiLevelType w:val="singleLevel"/>
    <w:tmpl w:val="B8AEB1A3"/>
    <w:lvl w:ilvl="0" w:tentative="0">
      <w:start w:val="2"/>
      <w:numFmt w:val="chineseCounting"/>
      <w:suff w:val="nothing"/>
      <w:lvlText w:val="%1）"/>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029A"/>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875F5"/>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2417BA8"/>
    <w:rsid w:val="03141F6C"/>
    <w:rsid w:val="04555CA6"/>
    <w:rsid w:val="046F36D5"/>
    <w:rsid w:val="04AC34BF"/>
    <w:rsid w:val="04EF38FB"/>
    <w:rsid w:val="04F40B79"/>
    <w:rsid w:val="05A82F18"/>
    <w:rsid w:val="05E225D9"/>
    <w:rsid w:val="05EC5E48"/>
    <w:rsid w:val="0642001F"/>
    <w:rsid w:val="06654316"/>
    <w:rsid w:val="06E124B3"/>
    <w:rsid w:val="06F76809"/>
    <w:rsid w:val="07575C43"/>
    <w:rsid w:val="07965198"/>
    <w:rsid w:val="07CA0413"/>
    <w:rsid w:val="07E50B77"/>
    <w:rsid w:val="08183B7F"/>
    <w:rsid w:val="089F4149"/>
    <w:rsid w:val="08C11D7D"/>
    <w:rsid w:val="091B7467"/>
    <w:rsid w:val="09385DBB"/>
    <w:rsid w:val="09416CAF"/>
    <w:rsid w:val="0997255C"/>
    <w:rsid w:val="09C504E0"/>
    <w:rsid w:val="09E34CBD"/>
    <w:rsid w:val="0A1515DD"/>
    <w:rsid w:val="0A45422D"/>
    <w:rsid w:val="0A9E5C23"/>
    <w:rsid w:val="0B1A7F40"/>
    <w:rsid w:val="0B41567A"/>
    <w:rsid w:val="0B437D2B"/>
    <w:rsid w:val="0BCA67A1"/>
    <w:rsid w:val="0BDA1770"/>
    <w:rsid w:val="0C767683"/>
    <w:rsid w:val="0C7C385E"/>
    <w:rsid w:val="0C855AD8"/>
    <w:rsid w:val="0C9C2B78"/>
    <w:rsid w:val="0D01566A"/>
    <w:rsid w:val="0D834AA0"/>
    <w:rsid w:val="0D954560"/>
    <w:rsid w:val="0DA2120E"/>
    <w:rsid w:val="0DFA0235"/>
    <w:rsid w:val="0E7D0AC8"/>
    <w:rsid w:val="0EB0555E"/>
    <w:rsid w:val="0F44366A"/>
    <w:rsid w:val="0F60075C"/>
    <w:rsid w:val="0F903441"/>
    <w:rsid w:val="0F9D02BE"/>
    <w:rsid w:val="0FF14D95"/>
    <w:rsid w:val="10492738"/>
    <w:rsid w:val="108112B5"/>
    <w:rsid w:val="10E602E8"/>
    <w:rsid w:val="11C85315"/>
    <w:rsid w:val="11DF734B"/>
    <w:rsid w:val="12026FA2"/>
    <w:rsid w:val="12152402"/>
    <w:rsid w:val="123D384F"/>
    <w:rsid w:val="1256160E"/>
    <w:rsid w:val="132C607E"/>
    <w:rsid w:val="13377956"/>
    <w:rsid w:val="13A1778A"/>
    <w:rsid w:val="13DA7940"/>
    <w:rsid w:val="14590ACC"/>
    <w:rsid w:val="148C313E"/>
    <w:rsid w:val="14D66BFF"/>
    <w:rsid w:val="14E71593"/>
    <w:rsid w:val="155F4EC5"/>
    <w:rsid w:val="156A11C9"/>
    <w:rsid w:val="16084D4E"/>
    <w:rsid w:val="160E12D5"/>
    <w:rsid w:val="166A5187"/>
    <w:rsid w:val="16936093"/>
    <w:rsid w:val="175B1CF1"/>
    <w:rsid w:val="17997948"/>
    <w:rsid w:val="17E47C7C"/>
    <w:rsid w:val="181862C3"/>
    <w:rsid w:val="183D5197"/>
    <w:rsid w:val="185F6560"/>
    <w:rsid w:val="18F020C0"/>
    <w:rsid w:val="190C4362"/>
    <w:rsid w:val="192653FC"/>
    <w:rsid w:val="19570278"/>
    <w:rsid w:val="1A1E3E96"/>
    <w:rsid w:val="1A29563E"/>
    <w:rsid w:val="1A967782"/>
    <w:rsid w:val="1BA06BD0"/>
    <w:rsid w:val="1BD3737B"/>
    <w:rsid w:val="1BD47165"/>
    <w:rsid w:val="1C285390"/>
    <w:rsid w:val="1C710305"/>
    <w:rsid w:val="1D0D3E96"/>
    <w:rsid w:val="1D297F9B"/>
    <w:rsid w:val="1D2B6098"/>
    <w:rsid w:val="1DA353B0"/>
    <w:rsid w:val="1DA9455F"/>
    <w:rsid w:val="1DAF0FEF"/>
    <w:rsid w:val="1DDD6A44"/>
    <w:rsid w:val="1DF82BBF"/>
    <w:rsid w:val="1E014F92"/>
    <w:rsid w:val="1E094748"/>
    <w:rsid w:val="1E0D7E12"/>
    <w:rsid w:val="1E104638"/>
    <w:rsid w:val="1E2B5D4E"/>
    <w:rsid w:val="1E50040C"/>
    <w:rsid w:val="1E637B11"/>
    <w:rsid w:val="1ECB0C99"/>
    <w:rsid w:val="1F647385"/>
    <w:rsid w:val="206C3AA3"/>
    <w:rsid w:val="20804347"/>
    <w:rsid w:val="20D7573F"/>
    <w:rsid w:val="21156E5F"/>
    <w:rsid w:val="21E116CB"/>
    <w:rsid w:val="22B9523F"/>
    <w:rsid w:val="22D74144"/>
    <w:rsid w:val="232C5394"/>
    <w:rsid w:val="23742E23"/>
    <w:rsid w:val="238D60C5"/>
    <w:rsid w:val="23FA6C8C"/>
    <w:rsid w:val="246B5259"/>
    <w:rsid w:val="24781562"/>
    <w:rsid w:val="24B71E78"/>
    <w:rsid w:val="24BA358E"/>
    <w:rsid w:val="25034B87"/>
    <w:rsid w:val="25B42B33"/>
    <w:rsid w:val="25C831C6"/>
    <w:rsid w:val="25D8710F"/>
    <w:rsid w:val="261543E8"/>
    <w:rsid w:val="26173FD2"/>
    <w:rsid w:val="26FB0214"/>
    <w:rsid w:val="273A7AD6"/>
    <w:rsid w:val="27401312"/>
    <w:rsid w:val="277C56CB"/>
    <w:rsid w:val="27AA7010"/>
    <w:rsid w:val="27D12577"/>
    <w:rsid w:val="27E05393"/>
    <w:rsid w:val="29EF5C82"/>
    <w:rsid w:val="2A703660"/>
    <w:rsid w:val="2A85258B"/>
    <w:rsid w:val="2ACB480B"/>
    <w:rsid w:val="2ACC286B"/>
    <w:rsid w:val="2AD20336"/>
    <w:rsid w:val="2ADF57D8"/>
    <w:rsid w:val="2B551DFA"/>
    <w:rsid w:val="2B6A6E5A"/>
    <w:rsid w:val="2BD44C6A"/>
    <w:rsid w:val="2C166459"/>
    <w:rsid w:val="2C5D3D89"/>
    <w:rsid w:val="2C8E5BB9"/>
    <w:rsid w:val="2D6D7907"/>
    <w:rsid w:val="2EAE46E1"/>
    <w:rsid w:val="2F5D362B"/>
    <w:rsid w:val="2F740F38"/>
    <w:rsid w:val="2FB75902"/>
    <w:rsid w:val="2FB76A63"/>
    <w:rsid w:val="2FE21C59"/>
    <w:rsid w:val="3010074A"/>
    <w:rsid w:val="301664F5"/>
    <w:rsid w:val="3091523B"/>
    <w:rsid w:val="31E45908"/>
    <w:rsid w:val="3284740C"/>
    <w:rsid w:val="329D7AAD"/>
    <w:rsid w:val="331F4FA6"/>
    <w:rsid w:val="33746A85"/>
    <w:rsid w:val="34741216"/>
    <w:rsid w:val="34A63463"/>
    <w:rsid w:val="352D5D11"/>
    <w:rsid w:val="35687DD8"/>
    <w:rsid w:val="35FA42B3"/>
    <w:rsid w:val="36041695"/>
    <w:rsid w:val="361407DA"/>
    <w:rsid w:val="363D0553"/>
    <w:rsid w:val="36B32945"/>
    <w:rsid w:val="36CA3DF1"/>
    <w:rsid w:val="36EA2078"/>
    <w:rsid w:val="376F2B88"/>
    <w:rsid w:val="37C64D1A"/>
    <w:rsid w:val="37FA17BE"/>
    <w:rsid w:val="38270CCF"/>
    <w:rsid w:val="387178F5"/>
    <w:rsid w:val="38D15A80"/>
    <w:rsid w:val="392D508F"/>
    <w:rsid w:val="398528C8"/>
    <w:rsid w:val="39D27D8A"/>
    <w:rsid w:val="3A513AF6"/>
    <w:rsid w:val="3A64588F"/>
    <w:rsid w:val="3A7C1656"/>
    <w:rsid w:val="3A8D4AD4"/>
    <w:rsid w:val="3A912203"/>
    <w:rsid w:val="3AA67AA9"/>
    <w:rsid w:val="3AD5386A"/>
    <w:rsid w:val="3BBD70EC"/>
    <w:rsid w:val="3C1E15CF"/>
    <w:rsid w:val="3C6D0585"/>
    <w:rsid w:val="3C70758C"/>
    <w:rsid w:val="3DFA24A7"/>
    <w:rsid w:val="3DFC1694"/>
    <w:rsid w:val="3E06032E"/>
    <w:rsid w:val="3E1642CB"/>
    <w:rsid w:val="3EB7047C"/>
    <w:rsid w:val="3ECB675B"/>
    <w:rsid w:val="3F1812CB"/>
    <w:rsid w:val="3F35056B"/>
    <w:rsid w:val="3FD045FB"/>
    <w:rsid w:val="404B50C8"/>
    <w:rsid w:val="40507D72"/>
    <w:rsid w:val="41846018"/>
    <w:rsid w:val="41BB624C"/>
    <w:rsid w:val="42233B54"/>
    <w:rsid w:val="423979E0"/>
    <w:rsid w:val="42437C2A"/>
    <w:rsid w:val="427F268D"/>
    <w:rsid w:val="428724F0"/>
    <w:rsid w:val="42A76D87"/>
    <w:rsid w:val="43BD6FBE"/>
    <w:rsid w:val="443B70F9"/>
    <w:rsid w:val="446C762B"/>
    <w:rsid w:val="448306D2"/>
    <w:rsid w:val="448A2ECD"/>
    <w:rsid w:val="44EA3730"/>
    <w:rsid w:val="45117D80"/>
    <w:rsid w:val="45245EFB"/>
    <w:rsid w:val="45A221EA"/>
    <w:rsid w:val="45A94D92"/>
    <w:rsid w:val="4677089E"/>
    <w:rsid w:val="46AA0C17"/>
    <w:rsid w:val="46CB0BE2"/>
    <w:rsid w:val="46E333F5"/>
    <w:rsid w:val="479D2BC4"/>
    <w:rsid w:val="47D74F69"/>
    <w:rsid w:val="47DD133C"/>
    <w:rsid w:val="47E677B3"/>
    <w:rsid w:val="47EE25E4"/>
    <w:rsid w:val="485F0391"/>
    <w:rsid w:val="487E49E3"/>
    <w:rsid w:val="4A481FD0"/>
    <w:rsid w:val="4A926CD6"/>
    <w:rsid w:val="4AB53503"/>
    <w:rsid w:val="4BD50765"/>
    <w:rsid w:val="4C0A278F"/>
    <w:rsid w:val="4C117A78"/>
    <w:rsid w:val="4C1752E8"/>
    <w:rsid w:val="4C505BC9"/>
    <w:rsid w:val="4CD34781"/>
    <w:rsid w:val="4D200B79"/>
    <w:rsid w:val="4D4F6F0C"/>
    <w:rsid w:val="4DC940C7"/>
    <w:rsid w:val="4E24028E"/>
    <w:rsid w:val="4E4D7D57"/>
    <w:rsid w:val="4E5017F5"/>
    <w:rsid w:val="4E911844"/>
    <w:rsid w:val="4E9F6E63"/>
    <w:rsid w:val="4F0C2DC3"/>
    <w:rsid w:val="4F6D437D"/>
    <w:rsid w:val="50010BF8"/>
    <w:rsid w:val="50034A24"/>
    <w:rsid w:val="50397123"/>
    <w:rsid w:val="507E61F8"/>
    <w:rsid w:val="515057EF"/>
    <w:rsid w:val="515E6B2E"/>
    <w:rsid w:val="5172595E"/>
    <w:rsid w:val="51C55E1C"/>
    <w:rsid w:val="521417F8"/>
    <w:rsid w:val="5235323D"/>
    <w:rsid w:val="525210FA"/>
    <w:rsid w:val="53260A4C"/>
    <w:rsid w:val="53320361"/>
    <w:rsid w:val="53327E08"/>
    <w:rsid w:val="53B3344F"/>
    <w:rsid w:val="53B637A9"/>
    <w:rsid w:val="53CC4B91"/>
    <w:rsid w:val="54162445"/>
    <w:rsid w:val="547E0DED"/>
    <w:rsid w:val="54C84207"/>
    <w:rsid w:val="54F06513"/>
    <w:rsid w:val="54FB7F1E"/>
    <w:rsid w:val="55173FDE"/>
    <w:rsid w:val="55373514"/>
    <w:rsid w:val="55511416"/>
    <w:rsid w:val="55E341C2"/>
    <w:rsid w:val="562D3258"/>
    <w:rsid w:val="569B147E"/>
    <w:rsid w:val="575D7829"/>
    <w:rsid w:val="57BC09D5"/>
    <w:rsid w:val="57D21E50"/>
    <w:rsid w:val="58495E4C"/>
    <w:rsid w:val="585D2AF3"/>
    <w:rsid w:val="585E6087"/>
    <w:rsid w:val="58715CC8"/>
    <w:rsid w:val="592E2905"/>
    <w:rsid w:val="593764C8"/>
    <w:rsid w:val="593820AA"/>
    <w:rsid w:val="59557D0A"/>
    <w:rsid w:val="59B742D4"/>
    <w:rsid w:val="5A7C4134"/>
    <w:rsid w:val="5B001E53"/>
    <w:rsid w:val="5B1D3921"/>
    <w:rsid w:val="5B2968A5"/>
    <w:rsid w:val="5B4F6A42"/>
    <w:rsid w:val="5B803260"/>
    <w:rsid w:val="5BC60ECF"/>
    <w:rsid w:val="5C252331"/>
    <w:rsid w:val="5C2B7FC6"/>
    <w:rsid w:val="5CBF1B3C"/>
    <w:rsid w:val="5CFB10A2"/>
    <w:rsid w:val="5D262409"/>
    <w:rsid w:val="5D27077D"/>
    <w:rsid w:val="5DBD0ED4"/>
    <w:rsid w:val="5E426AE0"/>
    <w:rsid w:val="5E4F6DD8"/>
    <w:rsid w:val="5E5717C3"/>
    <w:rsid w:val="5E5936F5"/>
    <w:rsid w:val="5E5F5C3F"/>
    <w:rsid w:val="5E8210C8"/>
    <w:rsid w:val="5EB711F8"/>
    <w:rsid w:val="5F011405"/>
    <w:rsid w:val="5F045DF8"/>
    <w:rsid w:val="5F2969B1"/>
    <w:rsid w:val="5F4D3258"/>
    <w:rsid w:val="5F7F60A4"/>
    <w:rsid w:val="5FE60FA5"/>
    <w:rsid w:val="608436AD"/>
    <w:rsid w:val="60B67727"/>
    <w:rsid w:val="60EB6A42"/>
    <w:rsid w:val="61177C79"/>
    <w:rsid w:val="61A73CE8"/>
    <w:rsid w:val="61B34181"/>
    <w:rsid w:val="622B0BAC"/>
    <w:rsid w:val="62730586"/>
    <w:rsid w:val="62843C70"/>
    <w:rsid w:val="62EA10D0"/>
    <w:rsid w:val="639450FF"/>
    <w:rsid w:val="63A92873"/>
    <w:rsid w:val="63EB39E9"/>
    <w:rsid w:val="64263C05"/>
    <w:rsid w:val="648903DE"/>
    <w:rsid w:val="648D64C1"/>
    <w:rsid w:val="64AE137E"/>
    <w:rsid w:val="64BA0917"/>
    <w:rsid w:val="64D67CAC"/>
    <w:rsid w:val="65534C67"/>
    <w:rsid w:val="65585708"/>
    <w:rsid w:val="661B62C8"/>
    <w:rsid w:val="66203780"/>
    <w:rsid w:val="66BE54F2"/>
    <w:rsid w:val="66D55307"/>
    <w:rsid w:val="66EC7942"/>
    <w:rsid w:val="671910F6"/>
    <w:rsid w:val="67393EF5"/>
    <w:rsid w:val="675D6CAF"/>
    <w:rsid w:val="67D15D91"/>
    <w:rsid w:val="68185610"/>
    <w:rsid w:val="69CC238C"/>
    <w:rsid w:val="69E8439E"/>
    <w:rsid w:val="6A4E2C61"/>
    <w:rsid w:val="6B352A15"/>
    <w:rsid w:val="6B5859E2"/>
    <w:rsid w:val="6BB844FE"/>
    <w:rsid w:val="6C1B1B37"/>
    <w:rsid w:val="6C5376B9"/>
    <w:rsid w:val="6D6965D9"/>
    <w:rsid w:val="6D9F2618"/>
    <w:rsid w:val="6DE1411F"/>
    <w:rsid w:val="6DE21FFF"/>
    <w:rsid w:val="6E0C79EC"/>
    <w:rsid w:val="6E6917CD"/>
    <w:rsid w:val="6ED443D0"/>
    <w:rsid w:val="6EFB1B6B"/>
    <w:rsid w:val="6F815C91"/>
    <w:rsid w:val="70125F51"/>
    <w:rsid w:val="701B67E8"/>
    <w:rsid w:val="7037638D"/>
    <w:rsid w:val="709872BD"/>
    <w:rsid w:val="70AC5BC0"/>
    <w:rsid w:val="70B061D0"/>
    <w:rsid w:val="70EE7952"/>
    <w:rsid w:val="710903AB"/>
    <w:rsid w:val="71860888"/>
    <w:rsid w:val="72666579"/>
    <w:rsid w:val="72EF6F50"/>
    <w:rsid w:val="72F41DE4"/>
    <w:rsid w:val="73132012"/>
    <w:rsid w:val="73443749"/>
    <w:rsid w:val="741100B1"/>
    <w:rsid w:val="74631023"/>
    <w:rsid w:val="75150B6C"/>
    <w:rsid w:val="75B825A9"/>
    <w:rsid w:val="75C0205B"/>
    <w:rsid w:val="760E1C9B"/>
    <w:rsid w:val="764E4386"/>
    <w:rsid w:val="765C66BE"/>
    <w:rsid w:val="76AD76E3"/>
    <w:rsid w:val="76B760AB"/>
    <w:rsid w:val="7784298A"/>
    <w:rsid w:val="79273753"/>
    <w:rsid w:val="79565826"/>
    <w:rsid w:val="79DB6C56"/>
    <w:rsid w:val="7A426EF4"/>
    <w:rsid w:val="7A5C6C08"/>
    <w:rsid w:val="7ADF556A"/>
    <w:rsid w:val="7B0F15A1"/>
    <w:rsid w:val="7B260951"/>
    <w:rsid w:val="7B341CB9"/>
    <w:rsid w:val="7B96365B"/>
    <w:rsid w:val="7C146B85"/>
    <w:rsid w:val="7C2C0CD2"/>
    <w:rsid w:val="7C2D25CF"/>
    <w:rsid w:val="7C2D26C8"/>
    <w:rsid w:val="7C5D1037"/>
    <w:rsid w:val="7C8005B2"/>
    <w:rsid w:val="7C860A60"/>
    <w:rsid w:val="7CCE7338"/>
    <w:rsid w:val="7CFE1757"/>
    <w:rsid w:val="7D796FA7"/>
    <w:rsid w:val="7D8E0142"/>
    <w:rsid w:val="7DF91B49"/>
    <w:rsid w:val="7E167BC7"/>
    <w:rsid w:val="7ECA5CAB"/>
    <w:rsid w:val="7F093905"/>
    <w:rsid w:val="7F496B78"/>
    <w:rsid w:val="7F782AFC"/>
    <w:rsid w:val="7F91057D"/>
    <w:rsid w:val="7FCE3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rPr>
  </w:style>
  <w:style w:type="character" w:customStyle="1" w:styleId="25">
    <w:name w:val="日期 Char"/>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Char"/>
    <w:basedOn w:val="22"/>
    <w:link w:val="3"/>
    <w:qFormat/>
    <w:uiPriority w:val="0"/>
    <w:rPr>
      <w:rFonts w:ascii="宋体" w:hAnsi="Arial" w:eastAsia="黑体" w:cs="Times New Roman"/>
      <w:b/>
      <w:bCs/>
      <w:color w:val="000000"/>
      <w:kern w:val="44"/>
      <w:sz w:val="36"/>
      <w:szCs w:val="32"/>
    </w:rPr>
  </w:style>
  <w:style w:type="character" w:customStyle="1" w:styleId="34">
    <w:name w:val="标题 Char"/>
    <w:basedOn w:val="22"/>
    <w:link w:val="19"/>
    <w:qFormat/>
    <w:uiPriority w:val="10"/>
    <w:rPr>
      <w:rFonts w:eastAsia="宋体" w:asciiTheme="majorHAnsi" w:hAnsiTheme="majorHAnsi" w:cstheme="majorBidi"/>
      <w:b/>
      <w:bCs/>
      <w:sz w:val="32"/>
      <w:szCs w:val="32"/>
    </w:rPr>
  </w:style>
  <w:style w:type="character" w:customStyle="1" w:styleId="35">
    <w:name w:val="标题 2 Char"/>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Char"/>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出段落 Char"/>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Char1"/>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Char1"/>
    <w:basedOn w:val="22"/>
    <w:link w:val="5"/>
    <w:semiHidden/>
    <w:qFormat/>
    <w:uiPriority w:val="9"/>
    <w:rPr>
      <w:rFonts w:ascii="Times New Roman" w:hAnsi="Times New Roman" w:eastAsia="宋体" w:cs="Times New Roman"/>
      <w:b/>
      <w:bCs/>
      <w:sz w:val="32"/>
      <w:szCs w:val="32"/>
    </w:rPr>
  </w:style>
  <w:style w:type="character" w:customStyle="1" w:styleId="44">
    <w:name w:val="页眉 Char"/>
    <w:basedOn w:val="22"/>
    <w:link w:val="15"/>
    <w:semiHidden/>
    <w:qFormat/>
    <w:uiPriority w:val="99"/>
    <w:rPr>
      <w:rFonts w:ascii="Times New Roman" w:hAnsi="Times New Roman" w:eastAsia="宋体" w:cs="Times New Roman"/>
      <w:sz w:val="18"/>
      <w:szCs w:val="18"/>
    </w:rPr>
  </w:style>
  <w:style w:type="character" w:customStyle="1" w:styleId="45">
    <w:name w:val="页脚 Char"/>
    <w:basedOn w:val="22"/>
    <w:link w:val="14"/>
    <w:qFormat/>
    <w:uiPriority w:val="99"/>
    <w:rPr>
      <w:rFonts w:ascii="Times New Roman" w:hAnsi="Times New Roman" w:eastAsia="宋体" w:cs="Times New Roman"/>
      <w:sz w:val="18"/>
      <w:szCs w:val="18"/>
    </w:rPr>
  </w:style>
  <w:style w:type="character" w:customStyle="1" w:styleId="46">
    <w:name w:val="标题 4 Char"/>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Char"/>
    <w:basedOn w:val="22"/>
    <w:link w:val="7"/>
    <w:semiHidden/>
    <w:qFormat/>
    <w:uiPriority w:val="9"/>
    <w:rPr>
      <w:rFonts w:ascii="Times New Roman" w:hAnsi="Times New Roman" w:eastAsia="宋体" w:cs="Times New Roman"/>
      <w:b/>
      <w:bCs/>
      <w:sz w:val="28"/>
      <w:szCs w:val="28"/>
    </w:rPr>
  </w:style>
  <w:style w:type="character" w:customStyle="1" w:styleId="48">
    <w:name w:val="标题 6 Char"/>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Char"/>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Char"/>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090686-B48E-45B1-BD63-0AB77600A51F}">
  <ds:schemaRefs/>
</ds:datastoreItem>
</file>

<file path=docProps/app.xml><?xml version="1.0" encoding="utf-8"?>
<Properties xmlns="http://schemas.openxmlformats.org/officeDocument/2006/extended-properties" xmlns:vt="http://schemas.openxmlformats.org/officeDocument/2006/docPropsVTypes">
  <Template>Normal</Template>
  <Company>wy</Company>
  <Pages>49</Pages>
  <Words>4205</Words>
  <Characters>23971</Characters>
  <Lines>199</Lines>
  <Paragraphs>56</Paragraphs>
  <TotalTime>103</TotalTime>
  <ScaleCrop>false</ScaleCrop>
  <LinksUpToDate>false</LinksUpToDate>
  <CharactersWithSpaces>28120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2020-11-10T01:41:15Z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