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bookmarkStart w:id="134" w:name="_GoBack"/>
      <w:r>
        <w:rPr>
          <w:rFonts w:hint="eastAsia" w:eastAsia="仿宋_GB2312"/>
          <w:snapToGrid w:val="0"/>
          <w:sz w:val="30"/>
        </w:rPr>
        <w:t>项目编号：WYGZ</w:t>
      </w:r>
      <w:r>
        <w:rPr>
          <w:rFonts w:hint="eastAsia" w:eastAsia="仿宋_GB2312"/>
          <w:snapToGrid w:val="0"/>
          <w:sz w:val="30"/>
          <w:lang w:eastAsia="zh-CN"/>
        </w:rPr>
        <w:t>2024084</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滨江校区（南区）篮球、排球、网球场地修缮项目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w:t>
      </w:r>
      <w:ins w:id="0" w:author="hp" w:date="2024-06-27T10:17:53Z">
        <w:r>
          <w:rPr>
            <w:rFonts w:hint="eastAsia" w:ascii="仿宋_GB2312" w:eastAsia="仿宋_GB2312"/>
            <w:b/>
            <w:sz w:val="36"/>
            <w:szCs w:val="36"/>
            <w:highlight w:val="none"/>
            <w:lang w:val="en-US" w:eastAsia="zh-CN"/>
          </w:rPr>
          <w:t>6</w:t>
        </w:r>
      </w:ins>
      <w:r>
        <w:rPr>
          <w:rFonts w:hint="eastAsia" w:ascii="仿宋_GB2312" w:eastAsia="仿宋_GB2312"/>
          <w:b/>
          <w:sz w:val="36"/>
          <w:szCs w:val="36"/>
          <w:lang w:eastAsia="zh-CN"/>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3"/>
          <w:rFonts w:hint="eastAsia"/>
        </w:rPr>
        <w:t>第一章</w:t>
      </w:r>
      <w:r>
        <w:rPr>
          <w:rStyle w:val="33"/>
        </w:rPr>
        <w:t xml:space="preserve">  </w:t>
      </w:r>
      <w:r>
        <w:rPr>
          <w:rStyle w:val="33"/>
          <w:rFonts w:hint="eastAsia"/>
        </w:rPr>
        <w:t>磋商公告</w:t>
      </w:r>
      <w:r>
        <w:tab/>
      </w:r>
      <w:r>
        <w:fldChar w:fldCharType="begin"/>
      </w:r>
      <w:r>
        <w:instrText xml:space="preserve"> PAGEREF _Toc49762999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3"/>
          <w:rFonts w:hint="eastAsia"/>
        </w:rPr>
        <w:t>第二章</w:t>
      </w:r>
      <w:r>
        <w:rPr>
          <w:rStyle w:val="33"/>
        </w:rPr>
        <w:t xml:space="preserve">  </w:t>
      </w:r>
      <w:r>
        <w:rPr>
          <w:rStyle w:val="33"/>
          <w:rFonts w:hint="eastAsia"/>
        </w:rPr>
        <w:t>磋商须知前附表</w:t>
      </w:r>
      <w:r>
        <w:tab/>
      </w:r>
      <w:r>
        <w:fldChar w:fldCharType="begin"/>
      </w:r>
      <w:r>
        <w:instrText xml:space="preserve"> PAGEREF _Toc49763000 \h </w:instrText>
      </w:r>
      <w:r>
        <w:fldChar w:fldCharType="separate"/>
      </w:r>
      <w:r>
        <w:t>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3"/>
          <w:rFonts w:hint="eastAsia"/>
        </w:rPr>
        <w:t>第三章</w:t>
      </w:r>
      <w:r>
        <w:rPr>
          <w:rStyle w:val="33"/>
        </w:rPr>
        <w:t xml:space="preserve">  </w:t>
      </w:r>
      <w:r>
        <w:rPr>
          <w:rStyle w:val="33"/>
          <w:rFonts w:hint="eastAsia"/>
        </w:rPr>
        <w:t>磋商须知</w:t>
      </w:r>
      <w:r>
        <w:tab/>
      </w:r>
      <w:r>
        <w:fldChar w:fldCharType="begin"/>
      </w:r>
      <w:r>
        <w:instrText xml:space="preserve"> PAGEREF _Toc49763001 \h </w:instrText>
      </w:r>
      <w:r>
        <w:fldChar w:fldCharType="separate"/>
      </w:r>
      <w:r>
        <w:t>6</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3"/>
          <w:rFonts w:hint="eastAsia"/>
        </w:rPr>
        <w:t>第四章</w:t>
      </w:r>
      <w:r>
        <w:rPr>
          <w:rStyle w:val="33"/>
        </w:rPr>
        <w:t xml:space="preserve">  </w:t>
      </w:r>
      <w:r>
        <w:rPr>
          <w:rStyle w:val="33"/>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3"/>
          <w:rFonts w:hint="eastAsia"/>
        </w:rPr>
        <w:t>第五章</w:t>
      </w:r>
      <w:r>
        <w:rPr>
          <w:rStyle w:val="33"/>
        </w:rPr>
        <w:t xml:space="preserve">  </w:t>
      </w:r>
      <w:r>
        <w:rPr>
          <w:rStyle w:val="33"/>
          <w:rFonts w:hint="eastAsia"/>
        </w:rPr>
        <w:t>项目需求</w:t>
      </w:r>
      <w:r>
        <w:tab/>
      </w:r>
      <w:r>
        <w:fldChar w:fldCharType="begin"/>
      </w:r>
      <w:r>
        <w:instrText xml:space="preserve"> PAGEREF _Toc49763003 \h </w:instrText>
      </w:r>
      <w:r>
        <w:fldChar w:fldCharType="separate"/>
      </w:r>
      <w:r>
        <w:t>12</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3"/>
          <w:rFonts w:hint="eastAsia"/>
        </w:rPr>
        <w:t>第六章</w:t>
      </w:r>
      <w:r>
        <w:rPr>
          <w:rStyle w:val="33"/>
        </w:rPr>
        <w:t xml:space="preserve">  </w:t>
      </w:r>
      <w:r>
        <w:rPr>
          <w:rStyle w:val="33"/>
          <w:rFonts w:hint="eastAsia"/>
        </w:rPr>
        <w:t>评分办法和评分细则</w:t>
      </w:r>
      <w:r>
        <w:tab/>
      </w:r>
      <w:r>
        <w:fldChar w:fldCharType="begin"/>
      </w:r>
      <w:r>
        <w:instrText xml:space="preserve"> PAGEREF _Toc49763004 \h </w:instrText>
      </w:r>
      <w:r>
        <w:fldChar w:fldCharType="separate"/>
      </w:r>
      <w:r>
        <w:t>23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3"/>
          <w:rFonts w:hint="eastAsia"/>
        </w:rPr>
        <w:t>第七章</w:t>
      </w:r>
      <w:r>
        <w:rPr>
          <w:rStyle w:val="33"/>
        </w:rPr>
        <w:t xml:space="preserve">  </w:t>
      </w:r>
      <w:r>
        <w:rPr>
          <w:rStyle w:val="33"/>
          <w:rFonts w:hint="eastAsia"/>
        </w:rPr>
        <w:t>响应文件格式</w:t>
      </w:r>
      <w:r>
        <w:tab/>
      </w:r>
      <w:r>
        <w:fldChar w:fldCharType="begin"/>
      </w:r>
      <w:r>
        <w:instrText xml:space="preserve"> PAGEREF _Toc49763005 \h </w:instrText>
      </w:r>
      <w:r>
        <w:fldChar w:fldCharType="separate"/>
      </w:r>
      <w:r>
        <w:t>23</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24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皖南医学院滨江校区（南区）篮球、排球、网球场地修缮项目</w:t>
      </w:r>
      <w:r>
        <w:rPr>
          <w:rFonts w:ascii="仿宋_GB2312" w:eastAsia="仿宋_GB2312" w:cs="宋体"/>
          <w:sz w:val="24"/>
          <w:szCs w:val="24"/>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w:t>
      </w:r>
      <w:r>
        <w:rPr>
          <w:rFonts w:hint="eastAsia" w:ascii="仿宋_GB2312" w:eastAsia="仿宋_GB2312" w:cs="宋体"/>
          <w:sz w:val="24"/>
          <w:szCs w:val="24"/>
          <w:lang w:eastAsia="zh-CN"/>
        </w:rPr>
        <w:t>一）项目名称：皖南医学院滨江校区（南区）篮球、排球、网球场地修缮项目；</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hint="eastAsia" w:ascii="仿宋_GB2312" w:eastAsia="仿宋_GB2312" w:cs="宋体"/>
          <w:sz w:val="24"/>
          <w:szCs w:val="24"/>
          <w:lang w:eastAsia="zh-CN"/>
        </w:rPr>
        <w:t>（二）项目编号：WYGZ2024084;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 xml:space="preserve">（三）项目内容：皖南医学院滨江校区（南区）篮球、排球、网球场地修缮项目，主要内容：1.西区球场更换排水明沟混泥土盖板、地沟处杂草清除、拆除原排水沟盖板清理垃圾、篮球架除锈出新、篮球场大门更换链条、购成品网球架（移动式、含球网）4套、4个篮球场地画热熔线条、水泥砂浆找平恢复盖板，2.东区球场更换排水明沟混泥土盖板、地沟处杂草清除、拆除原排水沟盖板清理垃圾、篮球架除锈出新、购成品排球架（移动式、含球网）4套、高低单杠4套、双杠2套、场地硬化除草，东区场地东侧硬化区域机械挖土方，深度约100mm,需满足使用部门的使用要求。详见磋商文件、施工图纸及工程量清单、合同等。 </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（四）项目预算：</w:t>
      </w:r>
      <w:ins w:id="1" w:author="hp" w:date="2024-06-27T10:18:57Z">
        <w:r>
          <w:rPr>
            <w:rFonts w:hint="eastAsia" w:ascii="仿宋_GB2312" w:eastAsia="仿宋_GB2312" w:cs="宋体"/>
            <w:sz w:val="24"/>
            <w:szCs w:val="24"/>
            <w:highlight w:val="yellow"/>
            <w:lang w:val="en-US" w:eastAsia="zh-CN"/>
          </w:rPr>
          <w:t>126387.85</w:t>
        </w:r>
      </w:ins>
      <w:r>
        <w:rPr>
          <w:rFonts w:hint="eastAsia" w:ascii="仿宋_GB2312" w:eastAsia="仿宋_GB2312" w:cs="宋体"/>
          <w:sz w:val="24"/>
          <w:szCs w:val="24"/>
          <w:lang w:val="en-US" w:eastAsia="zh-CN"/>
        </w:rPr>
        <w:t>元</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textAlignment w:val="auto"/>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textAlignment w:val="auto"/>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5" w:firstLineChars="189"/>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6.投标人须具备建筑工程或市政公用工程施工总承包三级及以上资质、具备有效的安全生产许可证；投标人拟委任的项目负责人须具备建筑工程或市政公用工程专业二级及以上注册建造师执业资格，具备有效的安全生产考核合格证书</w:t>
      </w:r>
      <w:r>
        <w:rPr>
          <w:rFonts w:hint="eastAsia" w:ascii="仿宋_GB2312" w:hAnsi="宋体" w:eastAsia="仿宋_GB2312" w:cs="宋体"/>
          <w:b/>
          <w:bCs/>
          <w:kern w:val="0"/>
          <w:sz w:val="24"/>
          <w:szCs w:val="24"/>
        </w:rPr>
        <w:t>。</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7</w:t>
      </w:r>
      <w:r>
        <w:rPr>
          <w:rFonts w:ascii="仿宋_GB2312" w:hAnsi="宋体" w:eastAsia="仿宋_GB2312" w:cs="宋体"/>
          <w:kern w:val="0"/>
          <w:sz w:val="24"/>
          <w:szCs w:val="24"/>
        </w:rPr>
        <w:t>.本项目不接受联合体投标。</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ascii="仿宋_GB2312" w:hAnsi="宋体" w:eastAsia="仿宋_GB2312" w:cs="宋体"/>
          <w:kern w:val="0"/>
          <w:sz w:val="24"/>
          <w:szCs w:val="24"/>
        </w:rPr>
        <w:t>三、</w:t>
      </w:r>
      <w:r>
        <w:rPr>
          <w:rFonts w:hint="eastAsia" w:ascii="仿宋_GB2312" w:hAnsi="宋体" w:eastAsia="仿宋_GB2312" w:cs="宋体"/>
          <w:kern w:val="0"/>
          <w:sz w:val="24"/>
          <w:szCs w:val="24"/>
          <w:lang w:eastAsia="zh-CN"/>
        </w:rPr>
        <w:t>获取文件</w:t>
      </w:r>
      <w:r>
        <w:rPr>
          <w:rFonts w:ascii="仿宋_GB2312" w:hAnsi="宋体" w:eastAsia="仿宋_GB2312" w:cs="宋体"/>
          <w:kern w:val="0"/>
          <w:sz w:val="24"/>
          <w:szCs w:val="24"/>
        </w:rPr>
        <w:t>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ascii="仿宋_GB2312" w:eastAsia="仿宋_GB2312" w:cs="宋体"/>
          <w:sz w:val="24"/>
          <w:szCs w:val="24"/>
        </w:rPr>
        <w:t>（一）</w:t>
      </w:r>
      <w:r>
        <w:rPr>
          <w:rFonts w:hint="eastAsia" w:ascii="仿宋_GB2312" w:eastAsia="仿宋_GB2312" w:cs="宋体"/>
          <w:sz w:val="24"/>
          <w:szCs w:val="24"/>
          <w:lang w:eastAsia="zh-CN"/>
        </w:rPr>
        <w:t>获取文件</w:t>
      </w:r>
      <w:r>
        <w:rPr>
          <w:rFonts w:ascii="仿宋_GB2312" w:eastAsia="仿宋_GB2312" w:cs="宋体"/>
          <w:sz w:val="24"/>
          <w:szCs w:val="24"/>
          <w:highlight w:val="none"/>
        </w:rPr>
        <w:t>时</w:t>
      </w:r>
      <w:r>
        <w:rPr>
          <w:rFonts w:hint="eastAsia" w:ascii="仿宋_GB2312" w:eastAsia="仿宋_GB2312" w:cs="宋体"/>
          <w:sz w:val="24"/>
          <w:szCs w:val="24"/>
          <w:lang w:val="zh-CN"/>
        </w:rPr>
        <w:t>间：</w:t>
      </w:r>
      <w:r>
        <w:rPr>
          <w:rFonts w:hint="eastAsia" w:ascii="仿宋_GB2312" w:eastAsia="仿宋_GB2312" w:cs="宋体"/>
          <w:sz w:val="24"/>
          <w:szCs w:val="24"/>
          <w:lang w:val="en-US" w:eastAsia="zh-CN"/>
        </w:rPr>
        <w:t>2024年6月27日-2024年</w:t>
      </w:r>
      <w:ins w:id="2" w:author="hp" w:date="2024-06-27T10:19:22Z">
        <w:r>
          <w:rPr>
            <w:rFonts w:hint="eastAsia" w:ascii="仿宋_GB2312" w:eastAsia="仿宋_GB2312" w:cs="宋体"/>
            <w:sz w:val="24"/>
            <w:szCs w:val="24"/>
            <w:lang w:val="en-US" w:eastAsia="zh-CN"/>
          </w:rPr>
          <w:t>7</w:t>
        </w:r>
      </w:ins>
      <w:r>
        <w:rPr>
          <w:rFonts w:hint="eastAsia" w:ascii="仿宋_GB2312" w:eastAsia="仿宋_GB2312" w:cs="宋体"/>
          <w:sz w:val="24"/>
          <w:szCs w:val="24"/>
          <w:lang w:val="en-US" w:eastAsia="zh-CN"/>
        </w:rPr>
        <w:t>月10日上午9：00；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（二）获取方式：</w:t>
      </w:r>
      <w:r>
        <w:rPr>
          <w:rFonts w:hint="eastAsia" w:ascii="仿宋_GB2312" w:eastAsia="仿宋_GB2312" w:cs="宋体"/>
          <w:sz w:val="24"/>
          <w:szCs w:val="24"/>
          <w:lang w:val="zh-CN" w:eastAsia="zh-CN"/>
        </w:rPr>
        <w:t>皖南医学院滨江校区（南区）篮球、排球、网球场地修缮项目</w:t>
      </w:r>
      <w:r>
        <w:rPr>
          <w:rFonts w:hint="eastAsia" w:ascii="仿宋_GB2312" w:eastAsia="仿宋_GB2312" w:cs="宋体"/>
          <w:sz w:val="24"/>
          <w:szCs w:val="24"/>
          <w:lang w:val="zh-CN"/>
        </w:rPr>
        <w:t>（项目编号：WYGZ</w:t>
      </w:r>
      <w:r>
        <w:rPr>
          <w:rFonts w:hint="eastAsia" w:ascii="仿宋_GB2312" w:eastAsia="仿宋_GB2312" w:cs="宋体"/>
          <w:sz w:val="24"/>
          <w:szCs w:val="24"/>
          <w:lang w:val="zh-CN" w:eastAsia="zh-CN"/>
        </w:rPr>
        <w:t>2024084</w:t>
      </w:r>
      <w:r>
        <w:rPr>
          <w:rFonts w:hint="eastAsia" w:ascii="仿宋_GB2312" w:eastAsia="仿宋_GB2312" w:cs="宋体"/>
          <w:sz w:val="24"/>
          <w:szCs w:val="24"/>
          <w:lang w:val="zh-CN"/>
        </w:rPr>
        <w:t>）已在皖南医学院</w:t>
      </w:r>
      <w:r>
        <w:rPr>
          <w:rFonts w:hint="eastAsia" w:ascii="仿宋_GB2312" w:eastAsia="仿宋_GB2312" w:cs="宋体"/>
          <w:sz w:val="24"/>
          <w:szCs w:val="24"/>
          <w:lang w:val="zh-CN" w:eastAsia="zh-CN"/>
        </w:rPr>
        <w:t>国资处</w:t>
      </w:r>
      <w:r>
        <w:rPr>
          <w:rFonts w:hint="eastAsia" w:ascii="仿宋_GB2312" w:eastAsia="仿宋_GB2312" w:cs="宋体"/>
          <w:sz w:val="24"/>
          <w:szCs w:val="24"/>
          <w:lang w:val="zh-CN"/>
        </w:rPr>
        <w:t>（https://gzc.wnmc.edu.cn/）发布；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（一）响应文件递交截止时间：</w:t>
      </w:r>
      <w:r>
        <w:rPr>
          <w:rFonts w:hint="eastAsia" w:ascii="仿宋_GB2312" w:eastAsia="仿宋_GB2312" w:cs="宋体"/>
          <w:sz w:val="24"/>
          <w:szCs w:val="24"/>
          <w:lang w:val="zh-CN" w:eastAsia="zh-CN"/>
        </w:rPr>
        <w:t>2024年</w:t>
      </w:r>
      <w:r>
        <w:rPr>
          <w:rFonts w:hint="eastAsia" w:ascii="仿宋_GB2312" w:eastAsia="仿宋_GB2312" w:cs="宋体"/>
          <w:sz w:val="24"/>
          <w:szCs w:val="24"/>
          <w:lang w:val="en-US" w:eastAsia="zh-CN"/>
        </w:rPr>
        <w:t>7月10日上午9：00</w:t>
      </w:r>
      <w:r>
        <w:rPr>
          <w:rFonts w:hint="eastAsia" w:ascii="仿宋_GB2312" w:eastAsia="仿宋_GB2312" w:cs="宋体"/>
          <w:sz w:val="24"/>
          <w:szCs w:val="24"/>
          <w:lang w:val="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（二）响应文件开启时间：</w:t>
      </w:r>
      <w:r>
        <w:rPr>
          <w:rFonts w:hint="eastAsia" w:ascii="仿宋_GB2312" w:eastAsia="仿宋_GB2312" w:cs="宋体"/>
          <w:sz w:val="24"/>
          <w:szCs w:val="24"/>
          <w:lang w:val="zh-CN" w:eastAsia="zh-CN"/>
        </w:rPr>
        <w:t>2024年</w:t>
      </w:r>
      <w:r>
        <w:rPr>
          <w:rFonts w:hint="eastAsia" w:ascii="仿宋_GB2312" w:eastAsia="仿宋_GB2312" w:cs="宋体"/>
          <w:sz w:val="24"/>
          <w:szCs w:val="24"/>
          <w:lang w:val="en-US" w:eastAsia="zh-CN"/>
        </w:rPr>
        <w:t>7月10日上午9：00</w:t>
      </w:r>
      <w:r>
        <w:rPr>
          <w:rFonts w:hint="eastAsia" w:ascii="仿宋_GB2312" w:eastAsia="仿宋_GB2312" w:cs="宋体"/>
          <w:sz w:val="24"/>
          <w:szCs w:val="24"/>
          <w:lang w:val="zh-CN"/>
        </w:rPr>
        <w:t>；</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六、</w:t>
      </w:r>
      <w:r>
        <w:rPr>
          <w:rFonts w:hint="eastAsia" w:ascii="仿宋_GB2312" w:eastAsia="仿宋_GB2312" w:cs="宋体"/>
          <w:sz w:val="24"/>
          <w:szCs w:val="24"/>
          <w:lang w:eastAsia="zh-CN"/>
        </w:rPr>
        <w:t>公告期限</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eastAsia="zh-CN"/>
        </w:rPr>
        <w:t>自本公告发布之日起</w:t>
      </w:r>
      <w:r>
        <w:rPr>
          <w:rFonts w:hint="eastAsia" w:ascii="仿宋_GB2312" w:eastAsia="仿宋_GB2312" w:cs="宋体"/>
          <w:sz w:val="24"/>
          <w:szCs w:val="24"/>
          <w:lang w:val="en-US" w:eastAsia="zh-CN"/>
        </w:rPr>
        <w:t>5个工作日。</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七、</w:t>
      </w:r>
      <w:r>
        <w:rPr>
          <w:rFonts w:ascii="仿宋_GB2312" w:eastAsia="仿宋_GB2312" w:cs="宋体"/>
          <w:sz w:val="24"/>
          <w:szCs w:val="24"/>
        </w:rPr>
        <w:t>联系方式：</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八</w:t>
      </w:r>
      <w:r>
        <w:rPr>
          <w:rFonts w:ascii="仿宋_GB2312" w:eastAsia="仿宋_GB2312" w:cs="宋体"/>
          <w:sz w:val="24"/>
          <w:szCs w:val="24"/>
        </w:rPr>
        <w:t>、备注</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lang w:eastAsia="zh-CN"/>
        </w:rPr>
        <w:t>九</w:t>
      </w:r>
      <w:r>
        <w:rPr>
          <w:rFonts w:hint="eastAsia" w:ascii="仿宋_GB2312" w:eastAsia="仿宋_GB2312" w:cs="宋体"/>
          <w:sz w:val="24"/>
          <w:szCs w:val="24"/>
        </w:rPr>
        <w:t>、温馨提示</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7</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9</w:t>
      </w:r>
      <w:r>
        <w:rPr>
          <w:rFonts w:hint="eastAsia" w:ascii="仿宋_GB2312" w:eastAsia="仿宋_GB2312" w:cs="宋体"/>
          <w:sz w:val="24"/>
          <w:szCs w:val="24"/>
        </w:rPr>
        <w:t>日17：00前如实填写，未按时提交校外人员入校申请的，后果自负（受访人：王凌云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5"/>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5"/>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6</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27</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8"/>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皖南医学院滨江校区（南区）篮球、排球、网球场地修缮项目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7"/>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513029203"/>
      <w:bookmarkStart w:id="4" w:name="_Toc16938519"/>
      <w:bookmarkStart w:id="5" w:name="_Toc20823275"/>
      <w:bookmarkStart w:id="6" w:name="_Toc403987205"/>
      <w:bookmarkStart w:id="7" w:name="_Toc120614214"/>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1"/>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1"/>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16938521"/>
      <w:bookmarkStart w:id="13" w:name="_Toc513029205"/>
      <w:bookmarkStart w:id="14" w:name="_Toc20823277"/>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1"/>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1"/>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41"/>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513029207"/>
      <w:bookmarkStart w:id="19" w:name="_Toc462564067"/>
      <w:bookmarkStart w:id="20" w:name="_Toc20823279"/>
      <w:bookmarkStart w:id="21" w:name="_Toc16938523"/>
      <w:r>
        <w:rPr>
          <w:rFonts w:hint="eastAsia" w:ascii="宋体" w:hAnsi="宋体" w:cs="宋体"/>
          <w:sz w:val="24"/>
          <w:szCs w:val="24"/>
        </w:rPr>
        <w:t>5.磋商费用</w:t>
      </w:r>
      <w:bookmarkEnd w:id="18"/>
      <w:bookmarkEnd w:id="19"/>
      <w:bookmarkEnd w:id="20"/>
      <w:bookmarkEnd w:id="21"/>
    </w:p>
    <w:p>
      <w:pPr>
        <w:pStyle w:val="41"/>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1"/>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1"/>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513029209"/>
      <w:bookmarkStart w:id="23" w:name="_Toc20823281"/>
      <w:bookmarkStart w:id="24" w:name="_Toc120614215"/>
      <w:bookmarkStart w:id="25" w:name="_Toc16938525"/>
      <w:bookmarkStart w:id="26" w:name="_Toc403987206"/>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41"/>
        <w:snapToGrid w:val="0"/>
        <w:rPr>
          <w:rFonts w:hAnsi="宋体" w:eastAsia="宋体"/>
          <w:sz w:val="24"/>
          <w:szCs w:val="24"/>
        </w:rPr>
      </w:pPr>
      <w:r>
        <w:rPr>
          <w:rFonts w:hint="eastAsia" w:hAnsi="宋体" w:eastAsia="宋体"/>
          <w:sz w:val="24"/>
          <w:szCs w:val="24"/>
        </w:rPr>
        <w:t>磋商文件有以下部分组成：</w:t>
      </w:r>
    </w:p>
    <w:p>
      <w:pPr>
        <w:pStyle w:val="41"/>
        <w:snapToGrid w:val="0"/>
        <w:rPr>
          <w:rFonts w:hAnsi="宋体" w:eastAsia="宋体"/>
          <w:sz w:val="24"/>
          <w:szCs w:val="24"/>
        </w:rPr>
      </w:pPr>
      <w:r>
        <w:rPr>
          <w:rFonts w:hint="eastAsia" w:hAnsi="宋体" w:eastAsia="宋体"/>
          <w:sz w:val="24"/>
          <w:szCs w:val="24"/>
        </w:rPr>
        <w:t>（1）磋商公告</w:t>
      </w:r>
    </w:p>
    <w:p>
      <w:pPr>
        <w:pStyle w:val="41"/>
        <w:snapToGrid w:val="0"/>
        <w:rPr>
          <w:rFonts w:hAnsi="宋体" w:eastAsia="宋体"/>
          <w:sz w:val="24"/>
          <w:szCs w:val="24"/>
        </w:rPr>
      </w:pPr>
      <w:r>
        <w:rPr>
          <w:rFonts w:hint="eastAsia" w:hAnsi="宋体" w:eastAsia="宋体"/>
          <w:sz w:val="24"/>
          <w:szCs w:val="24"/>
        </w:rPr>
        <w:t>（2）磋商须知前附表</w:t>
      </w:r>
    </w:p>
    <w:p>
      <w:pPr>
        <w:pStyle w:val="41"/>
        <w:snapToGrid w:val="0"/>
        <w:rPr>
          <w:rFonts w:hAnsi="宋体" w:eastAsia="宋体"/>
          <w:sz w:val="24"/>
          <w:szCs w:val="24"/>
        </w:rPr>
      </w:pPr>
      <w:r>
        <w:rPr>
          <w:rFonts w:hint="eastAsia" w:hAnsi="宋体" w:eastAsia="宋体"/>
          <w:sz w:val="24"/>
          <w:szCs w:val="24"/>
        </w:rPr>
        <w:t>（3）磋商须知</w:t>
      </w:r>
    </w:p>
    <w:p>
      <w:pPr>
        <w:pStyle w:val="41"/>
        <w:snapToGrid w:val="0"/>
        <w:rPr>
          <w:rFonts w:hAnsi="宋体" w:eastAsia="宋体"/>
          <w:sz w:val="24"/>
          <w:szCs w:val="24"/>
        </w:rPr>
      </w:pPr>
      <w:r>
        <w:rPr>
          <w:rFonts w:hint="eastAsia" w:hAnsi="宋体" w:eastAsia="宋体"/>
          <w:sz w:val="24"/>
          <w:szCs w:val="24"/>
        </w:rPr>
        <w:t>（4）合同主要条款</w:t>
      </w:r>
    </w:p>
    <w:p>
      <w:pPr>
        <w:pStyle w:val="41"/>
        <w:snapToGrid w:val="0"/>
        <w:rPr>
          <w:rFonts w:hAnsi="宋体" w:eastAsia="宋体"/>
          <w:sz w:val="24"/>
          <w:szCs w:val="24"/>
        </w:rPr>
      </w:pPr>
      <w:r>
        <w:rPr>
          <w:rFonts w:hint="eastAsia" w:hAnsi="宋体" w:eastAsia="宋体"/>
          <w:sz w:val="24"/>
          <w:szCs w:val="24"/>
        </w:rPr>
        <w:t>（5）项目需求</w:t>
      </w:r>
    </w:p>
    <w:p>
      <w:pPr>
        <w:pStyle w:val="41"/>
        <w:snapToGrid w:val="0"/>
        <w:rPr>
          <w:rFonts w:hAnsi="宋体" w:eastAsia="宋体"/>
          <w:sz w:val="24"/>
          <w:szCs w:val="24"/>
        </w:rPr>
      </w:pPr>
      <w:r>
        <w:rPr>
          <w:rFonts w:hint="eastAsia" w:hAnsi="宋体" w:eastAsia="宋体"/>
          <w:sz w:val="24"/>
          <w:szCs w:val="24"/>
        </w:rPr>
        <w:t>（6）评审标准</w:t>
      </w:r>
    </w:p>
    <w:p>
      <w:pPr>
        <w:pStyle w:val="41"/>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513029211"/>
      <w:bookmarkStart w:id="31" w:name="_Toc462564070"/>
      <w:bookmarkStart w:id="32" w:name="_Toc16938527"/>
      <w:bookmarkStart w:id="33" w:name="_Toc20823283"/>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1"/>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6938529"/>
      <w:bookmarkStart w:id="35" w:name="_Toc20823285"/>
      <w:bookmarkStart w:id="36" w:name="_Toc120614216"/>
      <w:bookmarkStart w:id="37" w:name="_Toc403987207"/>
      <w:bookmarkStart w:id="38" w:name="_Toc513029213"/>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462564073"/>
      <w:bookmarkStart w:id="42" w:name="_Toc513029214"/>
      <w:bookmarkStart w:id="43" w:name="_Toc16938530"/>
      <w:bookmarkStart w:id="44" w:name="_Toc20823286"/>
      <w:r>
        <w:rPr>
          <w:rFonts w:hint="eastAsia" w:ascii="宋体" w:hAnsi="宋体" w:cs="宋体"/>
          <w:sz w:val="24"/>
          <w:szCs w:val="24"/>
        </w:rPr>
        <w:t>3.响应文件的语言及度量衡单位</w:t>
      </w:r>
      <w:bookmarkEnd w:id="41"/>
      <w:bookmarkEnd w:id="42"/>
      <w:bookmarkEnd w:id="43"/>
      <w:bookmarkEnd w:id="44"/>
    </w:p>
    <w:p>
      <w:pPr>
        <w:pStyle w:val="41"/>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1"/>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41"/>
        <w:snapToGrid w:val="0"/>
        <w:rPr>
          <w:rFonts w:hAnsi="宋体" w:eastAsia="宋体"/>
          <w:sz w:val="24"/>
          <w:szCs w:val="24"/>
        </w:rPr>
      </w:pPr>
      <w:r>
        <w:rPr>
          <w:rFonts w:hint="eastAsia" w:hAnsi="宋体" w:eastAsia="宋体"/>
          <w:sz w:val="24"/>
          <w:szCs w:val="24"/>
        </w:rPr>
        <w:t>（1）供应商应该按照磋商文件的要求编写响应文件应。</w:t>
      </w:r>
    </w:p>
    <w:p>
      <w:pPr>
        <w:pStyle w:val="41"/>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68975"/>
      <w:bookmarkEnd w:id="49"/>
      <w:bookmarkStart w:id="50" w:name="_Hlt26954838"/>
      <w:bookmarkEnd w:id="50"/>
      <w:bookmarkStart w:id="51" w:name="_Hlt26670360"/>
      <w:bookmarkEnd w:id="51"/>
      <w:bookmarkStart w:id="52" w:name="_Toc513029219"/>
      <w:bookmarkStart w:id="53" w:name="_Toc14577357"/>
      <w:bookmarkStart w:id="54" w:name="_Toc49090509"/>
      <w:bookmarkStart w:id="55" w:name="_Toc49090507"/>
      <w:bookmarkStart w:id="56" w:name="_Toc513029216"/>
      <w:bookmarkStart w:id="57" w:name="_Toc14577354"/>
      <w:r>
        <w:rPr>
          <w:rFonts w:hint="eastAsia" w:ascii="宋体" w:hAnsi="宋体" w:cs="宋体"/>
          <w:sz w:val="24"/>
          <w:szCs w:val="24"/>
        </w:rPr>
        <w:t>5.证明供应商资格及符合磋商文件规定的文件</w:t>
      </w:r>
      <w:bookmarkEnd w:id="52"/>
      <w:bookmarkEnd w:id="53"/>
      <w:bookmarkEnd w:id="54"/>
    </w:p>
    <w:p>
      <w:pPr>
        <w:pStyle w:val="41"/>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1"/>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1"/>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1"/>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1"/>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1"/>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48"/>
      <w:bookmarkEnd w:id="63"/>
      <w:bookmarkStart w:id="64" w:name="_Hlt26954846"/>
      <w:bookmarkEnd w:id="64"/>
      <w:bookmarkStart w:id="65" w:name="_Hlt26954731"/>
      <w:bookmarkEnd w:id="65"/>
      <w:bookmarkStart w:id="66" w:name="_Hlt26954739"/>
      <w:bookmarkEnd w:id="66"/>
      <w:bookmarkStart w:id="67" w:name="_Hlt26954852"/>
      <w:bookmarkEnd w:id="67"/>
      <w:bookmarkStart w:id="68" w:name="_Hlt26670482"/>
      <w:bookmarkEnd w:id="68"/>
      <w:bookmarkStart w:id="69" w:name="_Hlt26670486"/>
      <w:bookmarkEnd w:id="69"/>
      <w:bookmarkStart w:id="70" w:name="_Toc49090512"/>
      <w:bookmarkStart w:id="71" w:name="_Toc14577361"/>
      <w:r>
        <w:rPr>
          <w:rFonts w:hint="eastAsia" w:ascii="宋体" w:hAnsi="宋体" w:cs="宋体"/>
          <w:sz w:val="24"/>
          <w:szCs w:val="24"/>
        </w:rPr>
        <w:t>8.响应文件份数和签署</w:t>
      </w:r>
      <w:bookmarkEnd w:id="70"/>
      <w:bookmarkEnd w:id="71"/>
    </w:p>
    <w:p>
      <w:pPr>
        <w:pStyle w:val="41"/>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1"/>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1"/>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513029224"/>
      <w:bookmarkStart w:id="73" w:name="_Toc16938540"/>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20823297"/>
      <w:bookmarkStart w:id="78" w:name="_Toc513029225"/>
      <w:bookmarkStart w:id="79" w:name="_Toc16938541"/>
      <w:bookmarkStart w:id="80" w:name="_Toc462564084"/>
      <w:r>
        <w:rPr>
          <w:rFonts w:hint="eastAsia" w:ascii="宋体" w:hAnsi="宋体" w:cs="宋体"/>
          <w:sz w:val="24"/>
          <w:szCs w:val="24"/>
        </w:rPr>
        <w:t>1.响应文件的密封和标记</w:t>
      </w:r>
      <w:bookmarkEnd w:id="77"/>
      <w:bookmarkEnd w:id="78"/>
      <w:bookmarkEnd w:id="79"/>
      <w:bookmarkEnd w:id="80"/>
    </w:p>
    <w:p>
      <w:pPr>
        <w:pStyle w:val="41"/>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1"/>
        <w:snapToGrid w:val="0"/>
        <w:rPr>
          <w:rFonts w:hAnsi="宋体" w:eastAsia="宋体"/>
          <w:sz w:val="24"/>
          <w:szCs w:val="24"/>
        </w:rPr>
      </w:pPr>
      <w:r>
        <w:rPr>
          <w:rFonts w:hint="eastAsia" w:hAnsi="宋体" w:eastAsia="宋体"/>
          <w:sz w:val="24"/>
          <w:szCs w:val="24"/>
        </w:rPr>
        <w:t>（2）密封的响应文件应：</w:t>
      </w:r>
    </w:p>
    <w:p>
      <w:pPr>
        <w:pStyle w:val="41"/>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1"/>
        <w:snapToGrid w:val="0"/>
        <w:rPr>
          <w:rFonts w:hAnsi="宋体" w:eastAsia="宋体"/>
          <w:sz w:val="24"/>
          <w:szCs w:val="24"/>
        </w:rPr>
      </w:pPr>
      <w:r>
        <w:rPr>
          <w:rFonts w:hint="eastAsia" w:hAnsi="宋体" w:eastAsia="宋体"/>
          <w:sz w:val="24"/>
          <w:szCs w:val="24"/>
        </w:rPr>
        <w:t>2）注明磋商项目名称、项目编号。</w:t>
      </w:r>
    </w:p>
    <w:p>
      <w:pPr>
        <w:pStyle w:val="41"/>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1"/>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1"/>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1"/>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1"/>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1"/>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41"/>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1"/>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20823304"/>
      <w:bookmarkStart w:id="88" w:name="_Toc16938548"/>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1"/>
        <w:snapToGrid w:val="0"/>
        <w:rPr>
          <w:rFonts w:hAnsi="宋体" w:eastAsia="宋体"/>
          <w:sz w:val="24"/>
          <w:szCs w:val="24"/>
        </w:rPr>
      </w:pPr>
      <w:bookmarkStart w:id="93" w:name="_Toc16938551"/>
      <w:bookmarkStart w:id="94" w:name="_Toc20823307"/>
      <w:bookmarkStart w:id="95" w:name="_Toc513029235"/>
      <w:r>
        <w:rPr>
          <w:rFonts w:hint="eastAsia" w:hAnsi="宋体" w:eastAsia="宋体"/>
          <w:sz w:val="24"/>
          <w:szCs w:val="24"/>
        </w:rPr>
        <w:t>（1）响应无效条款</w:t>
      </w:r>
    </w:p>
    <w:p>
      <w:pPr>
        <w:pStyle w:val="38"/>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8"/>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8"/>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8"/>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1"/>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8"/>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8"/>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1"/>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1"/>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16938553"/>
      <w:bookmarkStart w:id="104" w:name="_Toc513029237"/>
      <w:bookmarkStart w:id="105" w:name="_Toc20823309"/>
      <w:r>
        <w:rPr>
          <w:rFonts w:hint="eastAsia" w:ascii="宋体" w:hAnsi="宋体" w:cs="宋体"/>
          <w:sz w:val="24"/>
          <w:szCs w:val="24"/>
        </w:rPr>
        <w:t>1.签订合同</w:t>
      </w:r>
    </w:p>
    <w:p>
      <w:pPr>
        <w:pStyle w:val="41"/>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1"/>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1"/>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1"/>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1"/>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1"/>
        <w:snapToGrid w:val="0"/>
        <w:ind w:right="280" w:rightChars="100" w:firstLine="560"/>
        <w:rPr>
          <w:rFonts w:ascii="仿宋_GB2312" w:hAnsi="宋体" w:eastAsia="仿宋_GB2312"/>
          <w:bCs/>
          <w:szCs w:val="28"/>
        </w:rPr>
      </w:pPr>
    </w:p>
    <w:p>
      <w:pPr>
        <w:pStyle w:val="41"/>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spacing w:line="560" w:lineRule="exact"/>
        <w:ind w:firstLine="640" w:firstLineChars="200"/>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技术要求</w:t>
      </w:r>
    </w:p>
    <w:p>
      <w:pPr>
        <w:widowControl/>
        <w:spacing w:after="195"/>
        <w:ind w:firstLine="640" w:firstLineChars="200"/>
        <w:rPr>
          <w:rFonts w:ascii="仿宋" w:hAnsi="仿宋" w:eastAsia="仿宋"/>
          <w:iCs/>
          <w:sz w:val="32"/>
          <w:szCs w:val="32"/>
          <w:u w:val="single"/>
        </w:rPr>
      </w:pPr>
      <w:r>
        <w:rPr>
          <w:rFonts w:hint="eastAsia" w:ascii="仿宋" w:hAnsi="仿宋" w:eastAsia="仿宋"/>
          <w:iCs/>
          <w:sz w:val="32"/>
          <w:szCs w:val="32"/>
          <w:u w:val="single"/>
        </w:rPr>
        <w:t>严格按照图纸</w:t>
      </w:r>
      <w:r>
        <w:rPr>
          <w:rFonts w:ascii="仿宋" w:hAnsi="仿宋" w:eastAsia="仿宋"/>
          <w:iCs/>
          <w:sz w:val="32"/>
          <w:szCs w:val="32"/>
          <w:u w:val="single"/>
        </w:rPr>
        <w:t>、</w:t>
      </w:r>
      <w:r>
        <w:rPr>
          <w:rFonts w:hint="eastAsia" w:ascii="仿宋" w:hAnsi="仿宋" w:eastAsia="仿宋"/>
          <w:iCs/>
          <w:sz w:val="32"/>
          <w:szCs w:val="32"/>
          <w:u w:val="single"/>
        </w:rPr>
        <w:t>工程量清单及有关规范施工，工程质量须达到合格标准，满足国家和地方现行规范要求，</w:t>
      </w:r>
      <w:r>
        <w:rPr>
          <w:rFonts w:hint="eastAsia" w:ascii="仿宋_GB2312" w:hAnsi="黑体" w:eastAsia="仿宋_GB2312"/>
          <w:sz w:val="32"/>
          <w:szCs w:val="32"/>
          <w:u w:val="single"/>
        </w:rPr>
        <w:t>满足使用部门的使用要求</w:t>
      </w:r>
      <w:r>
        <w:rPr>
          <w:rFonts w:hint="eastAsia" w:ascii="仿宋" w:hAnsi="仿宋" w:eastAsia="仿宋"/>
          <w:iCs/>
          <w:sz w:val="32"/>
          <w:szCs w:val="32"/>
          <w:u w:val="single"/>
        </w:rPr>
        <w:t>。</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商务要求</w:t>
      </w:r>
    </w:p>
    <w:p>
      <w:pPr>
        <w:spacing w:line="560" w:lineRule="exact"/>
        <w:ind w:firstLine="640" w:firstLineChars="200"/>
        <w:jc w:val="left"/>
        <w:rPr>
          <w:rFonts w:hint="eastAsia" w:ascii="仿宋" w:hAnsi="仿宋" w:eastAsia="仿宋"/>
          <w:iCs/>
          <w:sz w:val="32"/>
          <w:szCs w:val="32"/>
          <w:u w:val="single"/>
        </w:rPr>
      </w:pPr>
      <w:r>
        <w:rPr>
          <w:rFonts w:hint="eastAsia" w:ascii="Calibri" w:hAnsi="Calibri" w:eastAsia="仿宋" w:cs="Calibri"/>
          <w:sz w:val="32"/>
          <w:szCs w:val="32"/>
          <w:u w:val="single"/>
        </w:rPr>
        <w:t>（1）</w:t>
      </w:r>
      <w:r>
        <w:rPr>
          <w:rFonts w:hint="eastAsia" w:ascii="仿宋" w:hAnsi="仿宋" w:eastAsia="仿宋"/>
          <w:iCs/>
          <w:sz w:val="32"/>
          <w:szCs w:val="32"/>
          <w:u w:val="single"/>
        </w:rPr>
        <w:t>合同工期：工期</w:t>
      </w:r>
      <w:r>
        <w:rPr>
          <w:rFonts w:hint="eastAsia" w:ascii="仿宋" w:hAnsi="仿宋" w:eastAsia="仿宋"/>
          <w:iCs/>
          <w:sz w:val="32"/>
          <w:szCs w:val="32"/>
          <w:u w:val="single"/>
          <w:lang w:val="en-US" w:eastAsia="zh-CN"/>
        </w:rPr>
        <w:t>20</w:t>
      </w:r>
      <w:r>
        <w:rPr>
          <w:rFonts w:hint="eastAsia" w:ascii="仿宋" w:hAnsi="仿宋" w:eastAsia="仿宋"/>
          <w:iCs/>
          <w:sz w:val="32"/>
          <w:szCs w:val="32"/>
          <w:u w:val="single"/>
        </w:rPr>
        <w:t>日历天，从甲方书面通知进场施工时间开始计算。因乙方原因推迟的按500元/天对其进行处罚（甲方原因除外，但需乙方书面提出，甲方现场负责人签字确认）；推迟10天及以上甲方将其录入学校黑名单库，3年内禁止参加学校任何招投标活动。不可抗力因素除外。</w:t>
      </w:r>
    </w:p>
    <w:p>
      <w:pPr>
        <w:spacing w:line="560" w:lineRule="exact"/>
        <w:ind w:firstLine="640" w:firstLineChars="200"/>
        <w:jc w:val="left"/>
        <w:rPr>
          <w:rFonts w:hint="eastAsia" w:ascii="仿宋" w:hAnsi="仿宋" w:eastAsia="仿宋"/>
          <w:iCs/>
          <w:sz w:val="32"/>
          <w:szCs w:val="32"/>
          <w:u w:val="single"/>
        </w:rPr>
      </w:pPr>
      <w:r>
        <w:rPr>
          <w:rFonts w:hint="eastAsia" w:ascii="仿宋" w:hAnsi="仿宋" w:eastAsia="仿宋"/>
          <w:iCs/>
          <w:sz w:val="32"/>
          <w:szCs w:val="32"/>
          <w:u w:val="single"/>
        </w:rPr>
        <w:t>（2）本工程不支付进度款，乙方提交竣工验收申请，递交完整的结算资料，甲方组织验收。验收合格后凭乙方提供的发票支付至合同价（不含暂列金额）的80%；审计完成，乙方先将金额为终审价3%的质保金汇入甲方账户，甲方凭发票及质保金汇款凭证付至终审价的100%；质保期满后无质量问题一次性无息退还质保金。</w:t>
      </w:r>
    </w:p>
    <w:p>
      <w:pPr>
        <w:spacing w:line="560" w:lineRule="exact"/>
        <w:ind w:firstLine="640" w:firstLineChars="200"/>
        <w:jc w:val="left"/>
        <w:rPr>
          <w:rFonts w:hint="eastAsia" w:ascii="仿宋" w:hAnsi="仿宋" w:eastAsia="仿宋"/>
          <w:i/>
          <w:sz w:val="32"/>
          <w:szCs w:val="32"/>
          <w:u w:val="single"/>
        </w:rPr>
      </w:pPr>
    </w:p>
    <w:p>
      <w:pPr>
        <w:ind w:firstLine="960" w:firstLineChars="300"/>
        <w:rPr>
          <w:rFonts w:hint="eastAsia" w:ascii="华文中宋" w:hAnsi="华文中宋" w:eastAsia="华文中宋"/>
          <w:b/>
          <w:kern w:val="0"/>
          <w:sz w:val="36"/>
          <w:szCs w:val="36"/>
        </w:rPr>
      </w:pPr>
      <w:r>
        <w:rPr>
          <w:rFonts w:hint="eastAsia" w:ascii="仿宋_GB2312" w:hAnsi="仿宋" w:eastAsia="仿宋_GB2312"/>
          <w:sz w:val="32"/>
          <w:szCs w:val="32"/>
          <w:u w:val="none"/>
        </w:rPr>
        <w:t xml:space="preserve">     </w:t>
      </w: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皖南医学院滨江校区（南区）篮球、排球、网球场地修缮项目施工合同</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1.工程名称：</w:t>
      </w:r>
      <w:r>
        <w:rPr>
          <w:rFonts w:hint="eastAsia" w:ascii="仿宋" w:hAnsi="仿宋" w:eastAsia="仿宋" w:cs="仿宋"/>
          <w:sz w:val="32"/>
          <w:szCs w:val="32"/>
          <w:u w:val="none"/>
        </w:rPr>
        <w:t>皖南医学院滨江校区（南区）篮球、排球、网球场地修缮项目</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（合同编号：</w:t>
      </w:r>
      <w:r>
        <w:rPr>
          <w:rFonts w:hint="eastAsia" w:ascii="仿宋" w:hAnsi="仿宋" w:eastAsia="仿宋"/>
          <w:iCs/>
          <w:sz w:val="32"/>
          <w:szCs w:val="32"/>
          <w:u w:val="single"/>
        </w:rPr>
        <w:t xml:space="preserve">    </w:t>
      </w:r>
      <w:r>
        <w:rPr>
          <w:rFonts w:hint="eastAsia" w:ascii="仿宋" w:hAnsi="仿宋" w:eastAsia="仿宋"/>
          <w:iCs/>
          <w:sz w:val="32"/>
          <w:szCs w:val="32"/>
          <w:u w:val="none"/>
        </w:rPr>
        <w:t>）</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2.工程地点：皖南医学院滨江校区（南区）</w:t>
      </w:r>
      <w:r>
        <w:rPr>
          <w:rFonts w:hint="eastAsia" w:ascii="仿宋" w:hAnsi="仿宋" w:eastAsia="仿宋" w:cs="仿宋"/>
          <w:sz w:val="32"/>
          <w:szCs w:val="32"/>
          <w:u w:val="none"/>
        </w:rPr>
        <w:t>篮球、排球、网球场</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3.合同价：</w:t>
      </w:r>
      <w:r>
        <w:rPr>
          <w:rFonts w:hint="eastAsia" w:ascii="仿宋" w:hAnsi="仿宋" w:eastAsia="仿宋"/>
          <w:iCs/>
          <w:sz w:val="32"/>
          <w:szCs w:val="32"/>
          <w:u w:val="single"/>
        </w:rPr>
        <w:t xml:space="preserve">    </w:t>
      </w:r>
      <w:r>
        <w:rPr>
          <w:rFonts w:hint="eastAsia" w:ascii="仿宋" w:hAnsi="仿宋" w:eastAsia="仿宋"/>
          <w:iCs/>
          <w:sz w:val="32"/>
          <w:szCs w:val="32"/>
          <w:u w:val="none"/>
        </w:rPr>
        <w:t>（小写：</w:t>
      </w:r>
      <w:r>
        <w:rPr>
          <w:rFonts w:hint="eastAsia" w:ascii="仿宋" w:hAnsi="仿宋" w:eastAsia="仿宋"/>
          <w:iCs/>
          <w:sz w:val="32"/>
          <w:szCs w:val="32"/>
          <w:u w:val="single"/>
          <w:lang w:val="en-US" w:eastAsia="zh-CN"/>
        </w:rPr>
        <w:t xml:space="preserve">    </w:t>
      </w:r>
      <w:r>
        <w:rPr>
          <w:rFonts w:hint="eastAsia" w:ascii="仿宋" w:hAnsi="仿宋" w:eastAsia="仿宋"/>
          <w:iCs/>
          <w:sz w:val="32"/>
          <w:szCs w:val="32"/>
          <w:u w:val="none"/>
        </w:rPr>
        <w:t>元）,其中含暂列金额</w:t>
      </w:r>
      <w:r>
        <w:rPr>
          <w:rFonts w:hint="eastAsia" w:ascii="仿宋" w:hAnsi="仿宋" w:eastAsia="仿宋"/>
          <w:iCs/>
          <w:sz w:val="32"/>
          <w:szCs w:val="32"/>
          <w:u w:val="single"/>
        </w:rPr>
        <w:t xml:space="preserve">    </w:t>
      </w:r>
      <w:r>
        <w:rPr>
          <w:rFonts w:hint="eastAsia" w:ascii="仿宋" w:hAnsi="仿宋" w:eastAsia="仿宋"/>
          <w:iCs/>
          <w:sz w:val="32"/>
          <w:szCs w:val="32"/>
          <w:u w:val="none"/>
        </w:rPr>
        <w:t>元。</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4.合同工期：工期</w:t>
      </w:r>
      <w:r>
        <w:rPr>
          <w:rFonts w:hint="eastAsia" w:ascii="仿宋" w:hAnsi="仿宋" w:eastAsia="仿宋"/>
          <w:iCs/>
          <w:sz w:val="32"/>
          <w:szCs w:val="32"/>
          <w:u w:val="none"/>
          <w:lang w:val="en-US" w:eastAsia="zh-CN"/>
        </w:rPr>
        <w:t>20</w:t>
      </w:r>
      <w:r>
        <w:rPr>
          <w:rFonts w:hint="eastAsia" w:ascii="仿宋" w:hAnsi="仿宋" w:eastAsia="仿宋"/>
          <w:iCs/>
          <w:sz w:val="32"/>
          <w:szCs w:val="32"/>
          <w:u w:val="none"/>
        </w:rPr>
        <w:t>日历天，从甲方书面通知进场施工时间开始计算。因乙方原因推迟的按500元/天对其进行处罚（甲方原因除外，但需乙方书面提出，甲方现场负责人签字确认）；推迟10天及以上甲方将其录入学校黑名单库，3年内禁止参加学校任何招投标活动。不可抗力因素除外。</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二、合同文件构成</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本合同与下列文件一起构成合同文件：</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1.中标通知书；</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 xml:space="preserve">2.采购文件； </w:t>
      </w:r>
    </w:p>
    <w:p>
      <w:pPr>
        <w:spacing w:line="520" w:lineRule="exact"/>
        <w:ind w:firstLine="640" w:firstLineChars="200"/>
        <w:jc w:val="left"/>
        <w:rPr>
          <w:rFonts w:ascii="仿宋" w:hAnsi="仿宋" w:eastAsia="仿宋"/>
          <w:iCs/>
          <w:sz w:val="32"/>
          <w:szCs w:val="32"/>
          <w:u w:val="none"/>
        </w:rPr>
      </w:pPr>
      <w:r>
        <w:rPr>
          <w:rFonts w:hint="eastAsia" w:ascii="仿宋" w:hAnsi="仿宋" w:eastAsia="仿宋"/>
          <w:iCs/>
          <w:sz w:val="32"/>
          <w:szCs w:val="32"/>
          <w:u w:val="none"/>
        </w:rPr>
        <w:t>3.投标文件；</w:t>
      </w:r>
    </w:p>
    <w:p>
      <w:pPr>
        <w:spacing w:line="520" w:lineRule="exact"/>
        <w:ind w:firstLine="640" w:firstLineChars="200"/>
        <w:jc w:val="left"/>
        <w:rPr>
          <w:rFonts w:hint="eastAsia" w:ascii="仿宋" w:hAnsi="仿宋" w:eastAsia="仿宋"/>
          <w:iCs/>
          <w:sz w:val="32"/>
          <w:szCs w:val="32"/>
          <w:u w:val="none"/>
        </w:rPr>
      </w:pPr>
      <w:r>
        <w:rPr>
          <w:rFonts w:ascii="仿宋" w:hAnsi="仿宋" w:eastAsia="仿宋"/>
          <w:iCs/>
          <w:sz w:val="32"/>
          <w:szCs w:val="32"/>
          <w:u w:val="none"/>
        </w:rPr>
        <w:t>4</w:t>
      </w:r>
      <w:r>
        <w:rPr>
          <w:rFonts w:hint="eastAsia" w:ascii="仿宋" w:hAnsi="仿宋" w:eastAsia="仿宋"/>
          <w:iCs/>
          <w:sz w:val="32"/>
          <w:szCs w:val="32"/>
          <w:u w:val="none"/>
        </w:rPr>
        <w:t>.图纸；</w:t>
      </w:r>
    </w:p>
    <w:p>
      <w:pPr>
        <w:spacing w:line="520" w:lineRule="exact"/>
        <w:ind w:firstLine="640" w:firstLineChars="200"/>
        <w:jc w:val="left"/>
        <w:rPr>
          <w:rFonts w:hint="eastAsia" w:ascii="仿宋" w:hAnsi="仿宋" w:eastAsia="仿宋"/>
          <w:iCs/>
          <w:sz w:val="32"/>
          <w:szCs w:val="32"/>
          <w:u w:val="none"/>
        </w:rPr>
      </w:pPr>
      <w:r>
        <w:rPr>
          <w:rFonts w:ascii="仿宋" w:hAnsi="仿宋" w:eastAsia="仿宋"/>
          <w:iCs/>
          <w:sz w:val="32"/>
          <w:szCs w:val="32"/>
          <w:u w:val="none"/>
        </w:rPr>
        <w:t>5</w:t>
      </w:r>
      <w:r>
        <w:rPr>
          <w:rFonts w:hint="eastAsia" w:ascii="仿宋" w:hAnsi="仿宋" w:eastAsia="仿宋"/>
          <w:iCs/>
          <w:sz w:val="32"/>
          <w:szCs w:val="32"/>
          <w:u w:val="none"/>
        </w:rPr>
        <w:t>.已标价工程量清单或预算书；</w:t>
      </w:r>
    </w:p>
    <w:p>
      <w:pPr>
        <w:spacing w:line="520" w:lineRule="exact"/>
        <w:ind w:firstLine="640" w:firstLineChars="200"/>
        <w:jc w:val="left"/>
        <w:rPr>
          <w:rFonts w:hint="eastAsia" w:ascii="仿宋" w:hAnsi="仿宋" w:eastAsia="仿宋"/>
          <w:iCs/>
          <w:sz w:val="32"/>
          <w:szCs w:val="32"/>
          <w:u w:val="none"/>
        </w:rPr>
      </w:pPr>
      <w:r>
        <w:rPr>
          <w:rFonts w:ascii="仿宋" w:hAnsi="仿宋" w:eastAsia="仿宋"/>
          <w:iCs/>
          <w:sz w:val="32"/>
          <w:szCs w:val="32"/>
          <w:u w:val="none"/>
        </w:rPr>
        <w:t>6</w:t>
      </w:r>
      <w:r>
        <w:rPr>
          <w:rFonts w:hint="eastAsia" w:ascii="仿宋" w:hAnsi="仿宋" w:eastAsia="仿宋"/>
          <w:iCs/>
          <w:sz w:val="32"/>
          <w:szCs w:val="32"/>
          <w:u w:val="none"/>
        </w:rPr>
        <w:t>.技术要求；</w:t>
      </w:r>
    </w:p>
    <w:p>
      <w:pPr>
        <w:spacing w:line="520" w:lineRule="exact"/>
        <w:ind w:firstLine="640" w:firstLineChars="200"/>
        <w:jc w:val="left"/>
        <w:rPr>
          <w:rFonts w:hint="eastAsia" w:ascii="仿宋" w:hAnsi="仿宋" w:eastAsia="仿宋"/>
          <w:iCs/>
          <w:sz w:val="32"/>
          <w:szCs w:val="32"/>
          <w:u w:val="none"/>
        </w:rPr>
      </w:pPr>
      <w:r>
        <w:rPr>
          <w:rFonts w:ascii="仿宋" w:hAnsi="仿宋" w:eastAsia="仿宋"/>
          <w:iCs/>
          <w:sz w:val="32"/>
          <w:szCs w:val="32"/>
          <w:u w:val="none"/>
        </w:rPr>
        <w:t>7</w:t>
      </w:r>
      <w:r>
        <w:rPr>
          <w:rFonts w:hint="eastAsia" w:ascii="仿宋" w:hAnsi="仿宋" w:eastAsia="仿宋"/>
          <w:iCs/>
          <w:sz w:val="32"/>
          <w:szCs w:val="32"/>
          <w:u w:val="none"/>
        </w:rPr>
        <w:t>.其他合同文件。</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在合同订立及履行过程中形成的与合同有关的文件均构成合同文件组成部分。</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上述各项合同文件包括合同当事人就该项合同文件所作出的补充和修改，属于同一类内容的文件，应以最新签署的为准。</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三、工程量结算方式和依据</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1.本工程的计价依据是中标通知书、招标技术要求（图纸</w:t>
      </w:r>
      <w:r>
        <w:rPr>
          <w:rFonts w:ascii="仿宋" w:hAnsi="仿宋" w:eastAsia="仿宋"/>
          <w:iCs/>
          <w:sz w:val="32"/>
          <w:szCs w:val="32"/>
          <w:u w:val="none"/>
        </w:rPr>
        <w:t>、</w:t>
      </w:r>
      <w:r>
        <w:rPr>
          <w:rFonts w:hint="eastAsia" w:ascii="仿宋" w:hAnsi="仿宋" w:eastAsia="仿宋"/>
          <w:iCs/>
          <w:sz w:val="32"/>
          <w:szCs w:val="32"/>
          <w:u w:val="none"/>
        </w:rPr>
        <w:t>工程量清单、</w:t>
      </w:r>
      <w:ins w:id="3" w:author="hp" w:date="2024-06-27T10:21:15Z">
        <w:r>
          <w:rPr>
            <w:rFonts w:hint="eastAsia" w:ascii="仿宋" w:hAnsi="仿宋" w:eastAsia="仿宋"/>
            <w:iCs/>
            <w:sz w:val="32"/>
            <w:szCs w:val="32"/>
            <w:highlight w:val="yellow"/>
            <w:u w:val="none"/>
            <w:lang w:val="en-US" w:eastAsia="zh-CN"/>
          </w:rPr>
          <w:t>招标</w:t>
        </w:r>
      </w:ins>
      <w:r>
        <w:rPr>
          <w:rFonts w:hint="eastAsia" w:ascii="仿宋" w:hAnsi="仿宋" w:eastAsia="仿宋"/>
          <w:iCs/>
          <w:sz w:val="32"/>
          <w:szCs w:val="32"/>
          <w:u w:val="none"/>
        </w:rPr>
        <w:t>控制价、隐蔽工程验收记录单、变更签证单）及建设单位书面通知等。</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2.乙方须认真复核工程量清单，如发现工程量清单有漏量、漏项的，应在开工后</w:t>
      </w:r>
      <w:r>
        <w:rPr>
          <w:rFonts w:ascii="仿宋" w:hAnsi="仿宋" w:eastAsia="仿宋"/>
          <w:iCs/>
          <w:sz w:val="32"/>
          <w:szCs w:val="32"/>
          <w:u w:val="none"/>
        </w:rPr>
        <w:t>7</w:t>
      </w:r>
      <w:r>
        <w:rPr>
          <w:rFonts w:hint="eastAsia" w:ascii="仿宋" w:hAnsi="仿宋" w:eastAsia="仿宋"/>
          <w:iCs/>
          <w:sz w:val="32"/>
          <w:szCs w:val="32"/>
          <w:u w:val="none"/>
        </w:rPr>
        <w:t>日内提出，在规定时间后任何以施工图不详、工程量清单有误等理由提出的索赔要求将不予受理，视为投标报价的优惠，即乙方完全理解并同意图纸</w:t>
      </w:r>
      <w:r>
        <w:rPr>
          <w:rFonts w:ascii="仿宋" w:hAnsi="仿宋" w:eastAsia="仿宋"/>
          <w:iCs/>
          <w:sz w:val="32"/>
          <w:szCs w:val="32"/>
          <w:u w:val="none"/>
        </w:rPr>
        <w:t>、</w:t>
      </w:r>
      <w:r>
        <w:rPr>
          <w:rFonts w:hint="eastAsia" w:ascii="仿宋" w:hAnsi="仿宋" w:eastAsia="仿宋"/>
          <w:iCs/>
          <w:sz w:val="32"/>
          <w:szCs w:val="32"/>
          <w:u w:val="none"/>
        </w:rPr>
        <w:t>工程量清单（含技术要求），施工时须按照图纸</w:t>
      </w:r>
      <w:r>
        <w:rPr>
          <w:rFonts w:ascii="仿宋" w:hAnsi="仿宋" w:eastAsia="仿宋"/>
          <w:iCs/>
          <w:sz w:val="32"/>
          <w:szCs w:val="32"/>
          <w:u w:val="none"/>
        </w:rPr>
        <w:t>及</w:t>
      </w:r>
      <w:r>
        <w:rPr>
          <w:rFonts w:hint="eastAsia" w:ascii="仿宋" w:hAnsi="仿宋" w:eastAsia="仿宋"/>
          <w:iCs/>
          <w:sz w:val="32"/>
          <w:szCs w:val="32"/>
          <w:u w:val="none"/>
        </w:rPr>
        <w:t>工程量清单（含技术要求）执行，施工完成后，必须满足验收规范和使用功能的要求。</w:t>
      </w:r>
    </w:p>
    <w:p>
      <w:pPr>
        <w:spacing w:line="520" w:lineRule="exact"/>
        <w:ind w:firstLine="640" w:firstLineChars="200"/>
        <w:jc w:val="left"/>
        <w:rPr>
          <w:rFonts w:hint="eastAsia" w:ascii="仿宋" w:hAnsi="仿宋" w:eastAsia="仿宋"/>
          <w:iCs/>
          <w:sz w:val="32"/>
          <w:szCs w:val="32"/>
          <w:u w:val="none"/>
        </w:rPr>
      </w:pPr>
      <w:r>
        <w:rPr>
          <w:rFonts w:ascii="仿宋" w:hAnsi="仿宋" w:eastAsia="仿宋"/>
          <w:iCs/>
          <w:sz w:val="32"/>
          <w:szCs w:val="32"/>
          <w:u w:val="none"/>
        </w:rPr>
        <w:t>3</w:t>
      </w:r>
      <w:r>
        <w:rPr>
          <w:rFonts w:hint="eastAsia" w:ascii="仿宋" w:hAnsi="仿宋" w:eastAsia="仿宋"/>
          <w:iCs/>
          <w:sz w:val="32"/>
          <w:szCs w:val="32"/>
          <w:u w:val="none"/>
        </w:rPr>
        <w:t>.设计变更和甲方提出的变更调整部分，原则上参照投标文件中单价计算。投标文件中没有相同类型的子目，结算时执行2018版《安徽省建设工程工程量清单计价办法》、2018版《安徽省建设工程工程计价定额》及其配套的费用定额、《建设工程工程量清单计价规范》（GB50500-2013），相关优惠率同投标优惠率一致；投标文件中没有的主材参考《芜湖工程造价信息》当月信息价计算，信息价中没有的材料结合市场定价。</w:t>
      </w:r>
    </w:p>
    <w:p>
      <w:pPr>
        <w:spacing w:line="520" w:lineRule="exact"/>
        <w:ind w:firstLine="640" w:firstLineChars="200"/>
        <w:jc w:val="left"/>
        <w:rPr>
          <w:rFonts w:hint="eastAsia" w:ascii="仿宋" w:hAnsi="仿宋" w:eastAsia="仿宋"/>
          <w:iCs/>
          <w:sz w:val="32"/>
          <w:szCs w:val="32"/>
          <w:u w:val="none"/>
        </w:rPr>
      </w:pPr>
      <w:r>
        <w:rPr>
          <w:rFonts w:ascii="仿宋" w:hAnsi="仿宋" w:eastAsia="仿宋"/>
          <w:iCs/>
          <w:sz w:val="32"/>
          <w:szCs w:val="32"/>
          <w:u w:val="none"/>
        </w:rPr>
        <w:t>4</w:t>
      </w:r>
      <w:r>
        <w:rPr>
          <w:rFonts w:hint="eastAsia" w:ascii="仿宋" w:hAnsi="仿宋" w:eastAsia="仿宋"/>
          <w:iCs/>
          <w:sz w:val="32"/>
          <w:szCs w:val="32"/>
          <w:u w:val="none"/>
        </w:rPr>
        <w:t>.所有变更签证必须按照皖南医学院有关管理文件办理。具体参照《皖南医学院基建维修工程管理办法（修订）》</w:t>
      </w:r>
      <w:bookmarkStart w:id="109" w:name="文号"/>
      <w:r>
        <w:rPr>
          <w:rFonts w:hint="eastAsia" w:ascii="仿宋" w:hAnsi="仿宋" w:eastAsia="仿宋"/>
          <w:iCs/>
          <w:sz w:val="32"/>
          <w:szCs w:val="32"/>
          <w:u w:val="none"/>
        </w:rPr>
        <w:t>（校政〔2020〕118号</w:t>
      </w:r>
      <w:bookmarkEnd w:id="109"/>
      <w:r>
        <w:rPr>
          <w:rFonts w:hint="eastAsia" w:ascii="仿宋" w:hAnsi="仿宋" w:eastAsia="仿宋"/>
          <w:iCs/>
          <w:sz w:val="32"/>
          <w:szCs w:val="32"/>
          <w:u w:val="none"/>
        </w:rPr>
        <w:t>）及《后勤管理处基建维修工程变更签证管理规定（修订）》（后勤〔2023〕15号）文件执行。否则，视为该项变更不涉及合同价款的变更，若发生费用由乙方自行承担。</w:t>
      </w:r>
    </w:p>
    <w:p>
      <w:pPr>
        <w:spacing w:line="520" w:lineRule="exact"/>
        <w:ind w:firstLine="640" w:firstLineChars="200"/>
        <w:jc w:val="left"/>
        <w:rPr>
          <w:rFonts w:hint="eastAsia" w:ascii="仿宋" w:hAnsi="仿宋" w:eastAsia="仿宋"/>
          <w:iCs/>
          <w:sz w:val="32"/>
          <w:szCs w:val="32"/>
          <w:u w:val="none"/>
        </w:rPr>
      </w:pPr>
      <w:r>
        <w:rPr>
          <w:rFonts w:ascii="仿宋" w:hAnsi="仿宋" w:eastAsia="仿宋"/>
          <w:iCs/>
          <w:sz w:val="32"/>
          <w:szCs w:val="32"/>
          <w:u w:val="none"/>
        </w:rPr>
        <w:t>5</w:t>
      </w:r>
      <w:r>
        <w:rPr>
          <w:rFonts w:hint="eastAsia" w:ascii="仿宋" w:hAnsi="仿宋" w:eastAsia="仿宋"/>
          <w:iCs/>
          <w:sz w:val="32"/>
          <w:szCs w:val="32"/>
          <w:u w:val="none"/>
        </w:rPr>
        <w:t>.所有合同款支付，乙方须提供正规发票。</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四、付款及审计</w:t>
      </w:r>
    </w:p>
    <w:p>
      <w:pPr>
        <w:spacing w:line="520" w:lineRule="exact"/>
        <w:ind w:firstLine="640" w:firstLineChars="200"/>
        <w:jc w:val="left"/>
        <w:rPr>
          <w:rFonts w:ascii="仿宋" w:hAnsi="仿宋" w:eastAsia="仿宋"/>
          <w:iCs/>
          <w:sz w:val="32"/>
          <w:szCs w:val="32"/>
          <w:u w:val="none"/>
        </w:rPr>
      </w:pPr>
      <w:r>
        <w:rPr>
          <w:rFonts w:hint="eastAsia" w:ascii="仿宋" w:hAnsi="仿宋" w:eastAsia="仿宋"/>
          <w:iCs/>
          <w:sz w:val="32"/>
          <w:szCs w:val="32"/>
          <w:u w:val="none"/>
        </w:rPr>
        <w:t>1.本工程不支付进度款，乙方提交竣工验收申请，递交完整的结算资料，甲方组织验收。验收合格后凭乙方提供的发票支付至合同价（不含暂列金额）的80%；审计完成，乙方先将金额为终审价3%的质保金汇入甲方账户，甲方凭发票及质保金汇款凭证付至终审价的100%；质保期满后无质量问题一次性无息退还质保金。</w:t>
      </w:r>
    </w:p>
    <w:p>
      <w:pPr>
        <w:widowControl/>
        <w:shd w:val="clear" w:color="auto" w:fill="FFFFFF"/>
        <w:spacing w:line="450" w:lineRule="atLeast"/>
        <w:ind w:firstLine="480"/>
        <w:jc w:val="left"/>
        <w:rPr>
          <w:rFonts w:ascii="仿宋" w:hAnsi="仿宋" w:eastAsia="仿宋"/>
          <w:iCs/>
          <w:sz w:val="32"/>
          <w:szCs w:val="32"/>
          <w:u w:val="none"/>
        </w:rPr>
      </w:pPr>
      <w:r>
        <w:rPr>
          <w:rFonts w:hint="eastAsia" w:ascii="仿宋" w:hAnsi="仿宋" w:eastAsia="仿宋"/>
          <w:iCs/>
          <w:sz w:val="32"/>
          <w:szCs w:val="32"/>
          <w:u w:val="none"/>
        </w:rPr>
        <w:t>2.乙方应积极配合工程结算审计，乙方对竣工结算审核意见有异议的，应在接到该审核意见后7日内向审计处书面提出，逾期未答复的，竣工结算审核意见视为已被认可。</w:t>
      </w:r>
    </w:p>
    <w:p>
      <w:pPr>
        <w:widowControl/>
        <w:shd w:val="clear" w:color="auto" w:fill="FFFFFF"/>
        <w:spacing w:line="450" w:lineRule="atLeast"/>
        <w:ind w:firstLine="480"/>
        <w:jc w:val="left"/>
        <w:rPr>
          <w:rFonts w:ascii="仿宋" w:hAnsi="仿宋" w:eastAsia="仿宋"/>
          <w:iCs/>
          <w:sz w:val="32"/>
          <w:szCs w:val="32"/>
          <w:u w:val="none"/>
        </w:rPr>
      </w:pPr>
      <w:r>
        <w:rPr>
          <w:rFonts w:hint="eastAsia" w:ascii="仿宋" w:hAnsi="仿宋" w:eastAsia="仿宋"/>
          <w:iCs/>
          <w:sz w:val="32"/>
          <w:szCs w:val="32"/>
          <w:u w:val="none"/>
        </w:rPr>
        <w:t>3.工程结算审核时，凡审增部分及审减率超过10%（不含10%）以上部分的审计服务费由乙方承担，在审核机构审核时直接扣除。费率参照皖价服[2007]86号文件规定的执行。</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五、质量保证</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1.乙方必须严格按照图纸</w:t>
      </w:r>
      <w:r>
        <w:rPr>
          <w:rFonts w:ascii="仿宋" w:hAnsi="仿宋" w:eastAsia="仿宋"/>
          <w:iCs/>
          <w:sz w:val="32"/>
          <w:szCs w:val="32"/>
          <w:u w:val="none"/>
        </w:rPr>
        <w:t>、</w:t>
      </w:r>
      <w:r>
        <w:rPr>
          <w:rFonts w:hint="eastAsia" w:ascii="仿宋" w:hAnsi="仿宋" w:eastAsia="仿宋"/>
          <w:iCs/>
          <w:sz w:val="32"/>
          <w:szCs w:val="32"/>
          <w:u w:val="none"/>
        </w:rPr>
        <w:t>工程量清单及有关规范施工，工程质量须达到合格标准，</w:t>
      </w:r>
      <w:r>
        <w:rPr>
          <w:rFonts w:hint="eastAsia" w:ascii="仿宋" w:hAnsi="仿宋" w:eastAsia="仿宋"/>
          <w:iCs/>
          <w:sz w:val="32"/>
          <w:szCs w:val="32"/>
          <w:u w:val="none"/>
          <w:lang w:val="en-US" w:eastAsia="zh-CN"/>
        </w:rPr>
        <w:t>并通过设计、监理及发包人的验收，</w:t>
      </w:r>
      <w:r>
        <w:rPr>
          <w:rFonts w:hint="eastAsia" w:ascii="仿宋" w:hAnsi="仿宋" w:eastAsia="仿宋"/>
          <w:iCs/>
          <w:sz w:val="32"/>
          <w:szCs w:val="32"/>
          <w:u w:val="none"/>
        </w:rPr>
        <w:t>满足国家和地方现行规范要求，满足使用部门的使用要求。</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2.涉及隐蔽工程内容的，乙方应在隐蔽工程覆盖、掩埋或拆除前通知甲方项目负责人会同审计处进行现场勘查、确认，并办理《隐蔽工程验收记录单》，未办理的隐蔽工程涉及的工程量不予认定。</w:t>
      </w:r>
    </w:p>
    <w:p>
      <w:pPr>
        <w:spacing w:line="520" w:lineRule="exact"/>
        <w:ind w:firstLine="640" w:firstLineChars="200"/>
        <w:jc w:val="left"/>
        <w:rPr>
          <w:rFonts w:ascii="仿宋" w:hAnsi="仿宋" w:eastAsia="仿宋"/>
          <w:iCs/>
          <w:sz w:val="32"/>
          <w:szCs w:val="32"/>
          <w:u w:val="none"/>
        </w:rPr>
      </w:pPr>
      <w:r>
        <w:rPr>
          <w:rFonts w:hint="eastAsia" w:ascii="仿宋" w:hAnsi="仿宋" w:eastAsia="仿宋"/>
          <w:iCs/>
          <w:sz w:val="32"/>
          <w:szCs w:val="32"/>
          <w:u w:val="none"/>
        </w:rPr>
        <w:t>3.乙方所用主要材料</w:t>
      </w:r>
      <w:ins w:id="4" w:author="hp" w:date="2024-06-27T10:21:52Z">
        <w:r>
          <w:rPr>
            <w:rFonts w:hint="eastAsia" w:ascii="仿宋" w:hAnsi="仿宋" w:eastAsia="仿宋"/>
            <w:iCs/>
            <w:sz w:val="32"/>
            <w:szCs w:val="32"/>
            <w:highlight w:val="yellow"/>
            <w:u w:val="none"/>
            <w:lang w:val="en-US" w:eastAsia="zh-CN"/>
          </w:rPr>
          <w:t>须</w:t>
        </w:r>
      </w:ins>
      <w:r>
        <w:rPr>
          <w:rFonts w:hint="eastAsia" w:ascii="仿宋" w:hAnsi="仿宋" w:eastAsia="仿宋"/>
          <w:iCs/>
          <w:sz w:val="32"/>
          <w:szCs w:val="32"/>
          <w:u w:val="none"/>
        </w:rPr>
        <w:t>满足技术要求，提前送样，且由甲方项目负责人确认后方可进场，进场时要有合格证、检测报告等材料，水电材料需提供</w:t>
      </w:r>
      <w:r>
        <w:rPr>
          <w:rFonts w:ascii="仿宋" w:hAnsi="仿宋" w:eastAsia="仿宋"/>
          <w:iCs/>
          <w:sz w:val="32"/>
          <w:szCs w:val="32"/>
          <w:u w:val="none"/>
        </w:rPr>
        <w:t>3C</w:t>
      </w:r>
      <w:r>
        <w:rPr>
          <w:rFonts w:hint="eastAsia" w:ascii="仿宋" w:hAnsi="仿宋" w:eastAsia="仿宋"/>
          <w:iCs/>
          <w:sz w:val="32"/>
          <w:szCs w:val="32"/>
          <w:u w:val="none"/>
        </w:rPr>
        <w:t>认证材料，并符合国家规范要求，否则禁止使用、不支付相应材料的工程款。</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4.本工程缺陷责任期</w:t>
      </w:r>
      <w:ins w:id="5" w:author="hp" w:date="2024-06-27T10:22:08Z">
        <w:r>
          <w:rPr>
            <w:rFonts w:hint="eastAsia" w:ascii="仿宋" w:hAnsi="仿宋" w:eastAsia="仿宋"/>
            <w:iCs/>
            <w:sz w:val="32"/>
            <w:szCs w:val="32"/>
            <w:highlight w:val="yellow"/>
            <w:u w:val="none"/>
            <w:lang w:val="en-US" w:eastAsia="zh-CN"/>
          </w:rPr>
          <w:t>12</w:t>
        </w:r>
      </w:ins>
      <w:r>
        <w:rPr>
          <w:rFonts w:hint="eastAsia" w:ascii="仿宋" w:hAnsi="仿宋" w:eastAsia="仿宋"/>
          <w:iCs/>
          <w:sz w:val="32"/>
          <w:szCs w:val="32"/>
          <w:u w:val="none"/>
        </w:rPr>
        <w:t>个月，自工程竣工验收合格之日起计算。</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六、安全管理</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1.乙方必须严格按照《建设工程安全生产管理条例》等法律法规求，安全生产，文明施工。</w:t>
      </w:r>
    </w:p>
    <w:p>
      <w:pPr>
        <w:spacing w:line="520" w:lineRule="exact"/>
        <w:ind w:firstLine="640" w:firstLineChars="200"/>
        <w:jc w:val="left"/>
        <w:rPr>
          <w:ins w:id="6" w:author="王戬" w:date="2021-03-31T14:30:00Z"/>
          <w:rFonts w:hint="eastAsia" w:ascii="仿宋" w:hAnsi="仿宋" w:eastAsia="仿宋"/>
          <w:iCs/>
          <w:sz w:val="32"/>
          <w:szCs w:val="32"/>
          <w:u w:val="none"/>
        </w:rPr>
      </w:pPr>
      <w:r>
        <w:rPr>
          <w:rFonts w:hint="eastAsia" w:ascii="仿宋" w:hAnsi="仿宋" w:eastAsia="仿宋"/>
          <w:iCs/>
          <w:sz w:val="32"/>
          <w:szCs w:val="32"/>
          <w:u w:val="none"/>
        </w:rPr>
        <w:t>2.乙方必须完善自身质量安全管理体系和文明施工措施，杜绝野蛮施工和安全事故发生。严格落实《中华人民共和国消防法》《建设工程安全生产管理条例》《安徽省消防条例》等有关施工现场的消防安全法律法规，严格执行《建筑防火通用规范》（GB55037-2022）等有关施工现场的消防安全技术规范。制定施工期间消防安全管理制度，明确消防安全责任人，签订消防安全责任书。若发生质量或安全事故，由乙方承担一切责任，造成甲方损失的按实赔偿，并承担相应法律责任。</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3.工程材料、设备、构配件及已完工程在竣工验收交付前均由乙方负责看护，丢失、被盗、损坏等责任均由乙方承担。</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七、现场岗位管理与责任</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1.甲方需指派专人和乙方联系，并告知联系人联系方式。</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2.甲方有义务协调、配合乙方人员进行现场施工。</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 xml:space="preserve">3.乙方项目经理或授权委托人    为现场负责人（联系方式： </w:t>
      </w:r>
      <w:r>
        <w:rPr>
          <w:rFonts w:ascii="仿宋" w:hAnsi="仿宋" w:eastAsia="仿宋"/>
          <w:iCs/>
          <w:sz w:val="32"/>
          <w:szCs w:val="32"/>
          <w:u w:val="none"/>
        </w:rPr>
        <w:t xml:space="preserve">   </w:t>
      </w:r>
      <w:r>
        <w:rPr>
          <w:rFonts w:hint="eastAsia" w:ascii="仿宋" w:hAnsi="仿宋" w:eastAsia="仿宋"/>
          <w:iCs/>
          <w:sz w:val="32"/>
          <w:szCs w:val="32"/>
          <w:u w:val="none"/>
        </w:rPr>
        <w:t xml:space="preserve">），是甲方认可的现场负责人，该同志必须常驻现场，负责处理乙方施工过程中发生的一切事项；甲方指定后勤管理处 </w:t>
      </w:r>
      <w:r>
        <w:rPr>
          <w:rFonts w:ascii="仿宋" w:hAnsi="仿宋" w:eastAsia="仿宋"/>
          <w:iCs/>
          <w:sz w:val="32"/>
          <w:szCs w:val="32"/>
          <w:u w:val="none"/>
        </w:rPr>
        <w:t xml:space="preserve"> </w:t>
      </w:r>
      <w:r>
        <w:rPr>
          <w:rFonts w:hint="eastAsia" w:ascii="仿宋" w:hAnsi="仿宋" w:eastAsia="仿宋"/>
          <w:iCs/>
          <w:sz w:val="32"/>
          <w:szCs w:val="32"/>
          <w:u w:val="none"/>
        </w:rPr>
        <w:t>梁勇</w:t>
      </w:r>
      <w:r>
        <w:rPr>
          <w:rFonts w:ascii="仿宋" w:hAnsi="仿宋" w:eastAsia="仿宋"/>
          <w:iCs/>
          <w:sz w:val="32"/>
          <w:szCs w:val="32"/>
          <w:u w:val="none"/>
        </w:rPr>
        <w:t xml:space="preserve">   </w:t>
      </w:r>
      <w:r>
        <w:rPr>
          <w:rFonts w:hint="eastAsia" w:ascii="仿宋" w:hAnsi="仿宋" w:eastAsia="仿宋"/>
          <w:iCs/>
          <w:sz w:val="32"/>
          <w:szCs w:val="32"/>
          <w:u w:val="none"/>
        </w:rPr>
        <w:t xml:space="preserve">（联系方式： </w:t>
      </w:r>
      <w:r>
        <w:rPr>
          <w:rFonts w:ascii="仿宋" w:hAnsi="仿宋" w:eastAsia="仿宋"/>
          <w:iCs/>
          <w:sz w:val="32"/>
          <w:szCs w:val="32"/>
          <w:u w:val="none"/>
        </w:rPr>
        <w:t xml:space="preserve">3932415 </w:t>
      </w:r>
      <w:r>
        <w:rPr>
          <w:rFonts w:hint="eastAsia" w:ascii="仿宋" w:hAnsi="仿宋" w:eastAsia="仿宋"/>
          <w:iCs/>
          <w:sz w:val="32"/>
          <w:szCs w:val="32"/>
          <w:u w:val="none"/>
        </w:rPr>
        <w:t>）为该项目的现场负责人，负责项目管理、结算办理及工程款支付等相关事宜。</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5.在施工期间，乙方应每天清理施工现场，垃圾堆放有序并及时（每天）装袋运至校外。</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6.施工用水用电按照工程结算终审价的千分之七在结算审计时予以扣除。</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八、工程验收</w:t>
      </w:r>
    </w:p>
    <w:p>
      <w:pPr>
        <w:spacing w:line="520" w:lineRule="exact"/>
        <w:ind w:firstLine="640" w:firstLineChars="200"/>
        <w:jc w:val="left"/>
        <w:rPr>
          <w:rFonts w:ascii="仿宋" w:hAnsi="仿宋" w:eastAsia="仿宋"/>
          <w:iCs/>
          <w:sz w:val="32"/>
          <w:szCs w:val="32"/>
          <w:u w:val="none"/>
        </w:rPr>
      </w:pPr>
      <w:r>
        <w:rPr>
          <w:rFonts w:hint="eastAsia" w:ascii="仿宋" w:hAnsi="仿宋" w:eastAsia="仿宋"/>
          <w:iCs/>
          <w:sz w:val="32"/>
          <w:szCs w:val="32"/>
          <w:u w:val="none"/>
        </w:rPr>
        <w:t>1.工程完工后乙方须提交两套工程竣工结算资料（结算书、招投标文件、中标通知书、施工合同、隐蔽工程验收记录单、变更签证单、材料合格证及</w:t>
      </w:r>
      <w:r>
        <w:rPr>
          <w:rFonts w:ascii="仿宋" w:hAnsi="仿宋" w:eastAsia="仿宋"/>
          <w:iCs/>
          <w:sz w:val="32"/>
          <w:szCs w:val="32"/>
          <w:u w:val="none"/>
        </w:rPr>
        <w:t>检测报告</w:t>
      </w:r>
      <w:r>
        <w:rPr>
          <w:rFonts w:hint="eastAsia" w:ascii="仿宋" w:hAnsi="仿宋" w:eastAsia="仿宋"/>
          <w:iCs/>
          <w:sz w:val="32"/>
          <w:szCs w:val="32"/>
          <w:u w:val="none"/>
        </w:rPr>
        <w:t>、维修改造工程验收表、竣工图等）方可申请验收。</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2.工程完工后，由发包人组织相关人员进行验收，验收提出的整改意见需在7日内整改到位。</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4.工程质保期内出现质量问题，及时修复，修复完成后，后勤管理处会同使用部门再次进行验收，验收合格后，质保期顺延一年；一年内无质量问题后退还质保金，如再次出现问题，处理方式同前。</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5.对于重复出现三次及以上的问题，甲方将发函警告乙方，将其录入学校黑名单库，3年内禁止参加学校任何招投标活动。</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九、其他</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1.本合同未尽事宜由双方协商解决，如协商不成，双方同意将本合同引起的争议提交工程所在地人民法院诉讼解决。</w:t>
      </w:r>
    </w:p>
    <w:p>
      <w:pPr>
        <w:spacing w:line="520" w:lineRule="exact"/>
        <w:ind w:firstLine="640" w:firstLineChars="200"/>
        <w:jc w:val="left"/>
        <w:rPr>
          <w:rFonts w:hint="eastAsia" w:ascii="仿宋" w:hAnsi="仿宋" w:eastAsia="仿宋"/>
          <w:iCs/>
          <w:sz w:val="32"/>
          <w:szCs w:val="32"/>
          <w:u w:val="none"/>
        </w:rPr>
      </w:pPr>
      <w:r>
        <w:rPr>
          <w:rFonts w:hint="eastAsia" w:ascii="仿宋" w:hAnsi="仿宋" w:eastAsia="仿宋"/>
          <w:iCs/>
          <w:sz w:val="32"/>
          <w:szCs w:val="32"/>
          <w:u w:val="none"/>
        </w:rPr>
        <w:t>2.本合同未尽事宜，遵照合同、建筑等法律法规有关条文执行。</w:t>
      </w:r>
    </w:p>
    <w:p>
      <w:pPr>
        <w:spacing w:line="520" w:lineRule="exact"/>
        <w:ind w:firstLine="640" w:firstLineChars="200"/>
        <w:jc w:val="left"/>
        <w:rPr>
          <w:rFonts w:ascii="仿宋" w:hAnsi="仿宋" w:eastAsia="仿宋"/>
          <w:iCs/>
          <w:sz w:val="32"/>
          <w:szCs w:val="32"/>
          <w:u w:val="none"/>
        </w:rPr>
      </w:pPr>
      <w:r>
        <w:rPr>
          <w:rFonts w:hint="eastAsia" w:ascii="仿宋" w:hAnsi="仿宋" w:eastAsia="仿宋"/>
          <w:iCs/>
          <w:sz w:val="32"/>
          <w:szCs w:val="32"/>
          <w:u w:val="none"/>
        </w:rPr>
        <w:t>3.本协议壹式捌份，均具有同等法律效力，甲方执伍份，乙方执叁份，甲、乙双方法定代表人或其委托代理人签字盖章后生效。</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3.本协议壹式捌份，均具有同等法律效力，甲方执伍份，乙方执叁份，甲、乙双方法定代表人或其委托代理人签字盖章后生效。</w:t>
      </w:r>
    </w:p>
    <w:p>
      <w:pPr>
        <w:keepNext w:val="0"/>
        <w:keepLines w:val="0"/>
        <w:pageBreakBefore w:val="0"/>
        <w:kinsoku/>
        <w:wordWrap/>
        <w:overflowPunct/>
        <w:topLinePunct w:val="0"/>
        <w:autoSpaceDE/>
        <w:autoSpaceDN/>
        <w:bidi w:val="0"/>
        <w:adjustRightInd/>
        <w:snapToGrid/>
        <w:spacing w:line="560" w:lineRule="exact"/>
        <w:ind w:firstLine="548" w:firstLineChars="196"/>
        <w:textAlignment w:val="auto"/>
        <w:rPr>
          <w:rFonts w:asciiTheme="majorEastAsia" w:hAnsiTheme="majorEastAsia" w:eastAsiaTheme="majorEastAsia"/>
          <w:szCs w:val="28"/>
        </w:rPr>
      </w:pPr>
      <w:r>
        <w:rPr>
          <w:rFonts w:hint="eastAsia" w:asciiTheme="majorEastAsia" w:hAnsiTheme="majorEastAsia" w:eastAsiaTheme="majorEastAsia"/>
          <w:szCs w:val="28"/>
        </w:rPr>
        <w:t>十、合同订立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ajorEastAsia" w:hAnsiTheme="majorEastAsia" w:eastAsiaTheme="majorEastAsia"/>
          <w:szCs w:val="28"/>
        </w:rPr>
      </w:pPr>
      <w:r>
        <w:rPr>
          <w:rFonts w:hint="eastAsia" w:asciiTheme="majorEastAsia" w:hAnsiTheme="majorEastAsia" w:eastAsiaTheme="majorEastAsia"/>
          <w:szCs w:val="28"/>
        </w:rPr>
        <w:t xml:space="preserve">1.合同订立时间：  </w:t>
      </w:r>
      <w:r>
        <w:rPr>
          <w:rFonts w:asciiTheme="majorEastAsia" w:hAnsiTheme="majorEastAsia" w:eastAsiaTheme="majorEastAsia"/>
          <w:szCs w:val="28"/>
        </w:rPr>
        <w:t xml:space="preserve">  </w:t>
      </w:r>
      <w:r>
        <w:rPr>
          <w:rFonts w:hint="eastAsia" w:asciiTheme="majorEastAsia" w:hAnsiTheme="majorEastAsia" w:eastAsiaTheme="majorEastAsia"/>
          <w:szCs w:val="28"/>
        </w:rPr>
        <w:t xml:space="preserve">  年    月    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2.合同订立地点：皖南医学院滨江校区。</w:t>
      </w:r>
    </w:p>
    <w:tbl>
      <w:tblPr>
        <w:tblStyle w:val="2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asciiTheme="majorEastAsia" w:hAnsiTheme="majorEastAsia" w:eastAsiaTheme="majorEastAsia"/>
                <w:szCs w:val="28"/>
              </w:rPr>
            </w:pPr>
            <w:r>
              <w:rPr>
                <w:rFonts w:asciiTheme="majorEastAsia" w:hAnsiTheme="majorEastAsia" w:eastAsiaTheme="majorEastAsia"/>
                <w:szCs w:val="28"/>
              </w:rPr>
              <w:br w:type="page"/>
            </w:r>
            <w:r>
              <w:rPr>
                <w:rFonts w:hint="eastAsia" w:asciiTheme="majorEastAsia" w:hAnsiTheme="majorEastAsia" w:eastAsiaTheme="majorEastAsia"/>
                <w:szCs w:val="28"/>
              </w:rPr>
              <w:t>甲方：</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（公章）</w:t>
            </w:r>
          </w:p>
          <w:p>
            <w:pPr>
              <w:spacing w:line="360" w:lineRule="auto"/>
              <w:rPr>
                <w:rFonts w:asciiTheme="majorEastAsia" w:hAnsiTheme="majorEastAsia" w:eastAsiaTheme="majorEastAsia"/>
                <w:szCs w:val="28"/>
              </w:rPr>
            </w:pPr>
          </w:p>
          <w:p>
            <w:pPr>
              <w:spacing w:line="360" w:lineRule="auto"/>
              <w:rPr>
                <w:rFonts w:asciiTheme="majorEastAsia" w:hAnsiTheme="majorEastAsia" w:eastAsiaTheme="majorEastAsia"/>
                <w:szCs w:val="28"/>
              </w:rPr>
            </w:pP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乙方：</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（公章）</w:t>
            </w:r>
          </w:p>
          <w:p>
            <w:pPr>
              <w:spacing w:line="360" w:lineRule="auto"/>
              <w:rPr>
                <w:rFonts w:asciiTheme="majorEastAsia" w:hAnsiTheme="majorEastAsia" w:eastAsiaTheme="majorEastAsia"/>
                <w:szCs w:val="28"/>
              </w:rPr>
            </w:pPr>
          </w:p>
          <w:p>
            <w:pPr>
              <w:spacing w:line="360" w:lineRule="auto"/>
              <w:rPr>
                <w:rFonts w:asciiTheme="majorEastAsia" w:hAnsiTheme="majorEastAsia" w:eastAsiaTheme="maj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法定代表人或其委托代理人：</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（签字）</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法定代表人或其委托代理人：</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地址：芜湖市弋江区文昌西路22号</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地址：</w:t>
            </w:r>
            <w:r>
              <w:rPr>
                <w:rFonts w:asciiTheme="majorEastAsia" w:hAnsiTheme="majorEastAsia" w:eastAsiaTheme="majorEastAsia"/>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邮编：241002</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电话：0553-3932</w:t>
            </w:r>
            <w:r>
              <w:rPr>
                <w:rFonts w:asciiTheme="majorEastAsia" w:hAnsiTheme="majorEastAsia" w:eastAsiaTheme="majorEastAsia"/>
                <w:szCs w:val="28"/>
              </w:rPr>
              <w:t>598</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传真：</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开户银行：中国建设银行芜湖市分行中山路支行</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开户银行：</w:t>
            </w:r>
            <w:r>
              <w:rPr>
                <w:rFonts w:asciiTheme="majorEastAsia" w:hAnsiTheme="majorEastAsia" w:eastAsiaTheme="majorEastAsia"/>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帐号：34001672208050139762</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帐号：</w:t>
            </w:r>
          </w:p>
        </w:tc>
      </w:tr>
    </w:tbl>
    <w:p>
      <w:pPr>
        <w:rPr>
          <w:rFonts w:ascii="仿宋_GB2312" w:eastAsia="仿宋_GB2312"/>
          <w:sz w:val="24"/>
          <w:szCs w:val="24"/>
        </w:rPr>
      </w:pPr>
    </w:p>
    <w:p>
      <w:pPr>
        <w:spacing w:line="440" w:lineRule="exact"/>
        <w:rPr>
          <w:rFonts w:hint="eastAsia" w:ascii="宋体" w:hAnsi="宋体" w:eastAsia="宋体"/>
          <w:sz w:val="24"/>
          <w:szCs w:val="24"/>
        </w:rPr>
      </w:pPr>
    </w:p>
    <w:p>
      <w:r>
        <w:br w:type="page"/>
      </w: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10" w:name="_Toc49763004"/>
      <w:r>
        <w:rPr>
          <w:rFonts w:hint="eastAsia" w:ascii="华文中宋" w:hAnsi="华文中宋" w:eastAsia="华文中宋"/>
          <w:color w:val="auto"/>
        </w:rPr>
        <w:t xml:space="preserve"> 评分办法和评分细则</w:t>
      </w:r>
      <w:bookmarkEnd w:id="110"/>
    </w:p>
    <w:p>
      <w:pPr>
        <w:adjustRightInd w:val="0"/>
        <w:snapToGrid w:val="0"/>
        <w:spacing w:line="400" w:lineRule="exact"/>
        <w:rPr>
          <w:rFonts w:ascii="Times New Roman" w:hAnsi="Times New Roman" w:eastAsia="宋体"/>
          <w:sz w:val="24"/>
          <w:szCs w:val="24"/>
        </w:rPr>
      </w:pPr>
    </w:p>
    <w:tbl>
      <w:tblPr>
        <w:tblStyle w:val="28"/>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178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2" w:type="dxa"/>
            <w:noWrap w:val="0"/>
            <w:vAlign w:val="center"/>
          </w:tcPr>
          <w:p>
            <w:pPr>
              <w:spacing w:line="520" w:lineRule="exact"/>
              <w:jc w:val="center"/>
              <w:rPr>
                <w:rFonts w:hint="eastAsia" w:ascii="仿宋_GB2312" w:hAnsi="仿宋" w:eastAsia="仿宋_GB2312"/>
                <w:sz w:val="32"/>
                <w:szCs w:val="32"/>
              </w:rPr>
            </w:pPr>
            <w:bookmarkStart w:id="111" w:name="_Toc49763005"/>
            <w:r>
              <w:rPr>
                <w:rFonts w:hint="eastAsia" w:ascii="仿宋_GB2312" w:hAnsi="仿宋" w:eastAsia="仿宋_GB2312"/>
                <w:sz w:val="32"/>
                <w:szCs w:val="32"/>
              </w:rPr>
              <w:t>评标项目</w:t>
            </w:r>
          </w:p>
        </w:tc>
        <w:tc>
          <w:tcPr>
            <w:tcW w:w="1783"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评标分值</w:t>
            </w:r>
          </w:p>
        </w:tc>
        <w:tc>
          <w:tcPr>
            <w:tcW w:w="5954"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jc w:val="center"/>
        </w:trPr>
        <w:tc>
          <w:tcPr>
            <w:tcW w:w="1622"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报价得分</w:t>
            </w:r>
          </w:p>
        </w:tc>
        <w:tc>
          <w:tcPr>
            <w:tcW w:w="1783" w:type="dxa"/>
            <w:noWrap w:val="0"/>
            <w:vAlign w:val="center"/>
          </w:tcPr>
          <w:p>
            <w:pPr>
              <w:spacing w:line="520" w:lineRule="exact"/>
              <w:jc w:val="center"/>
              <w:rPr>
                <w:rFonts w:ascii="仿宋" w:hAnsi="仿宋" w:eastAsia="仿宋"/>
                <w:sz w:val="32"/>
                <w:szCs w:val="32"/>
              </w:rPr>
            </w:pPr>
            <w:r>
              <w:rPr>
                <w:rFonts w:hint="eastAsia" w:ascii="仿宋" w:hAnsi="仿宋" w:eastAsia="仿宋"/>
                <w:sz w:val="32"/>
                <w:szCs w:val="32"/>
              </w:rPr>
              <w:t>40</w:t>
            </w:r>
          </w:p>
        </w:tc>
        <w:tc>
          <w:tcPr>
            <w:tcW w:w="5954" w:type="dxa"/>
            <w:noWrap w:val="0"/>
            <w:vAlign w:val="center"/>
          </w:tcPr>
          <w:p>
            <w:pPr>
              <w:jc w:val="left"/>
              <w:rPr>
                <w:rFonts w:hint="eastAsia" w:ascii="仿宋" w:hAnsi="仿宋" w:eastAsia="仿宋"/>
                <w:szCs w:val="21"/>
              </w:rPr>
            </w:pPr>
            <w:r>
              <w:rPr>
                <w:rFonts w:hint="eastAsia" w:ascii="仿宋" w:hAnsi="仿宋" w:eastAsia="仿宋"/>
                <w:szCs w:val="21"/>
              </w:rPr>
              <w:t>1.各投标单位有效报价最低报价作为基准报价（</w:t>
            </w:r>
            <w:r>
              <w:rPr>
                <w:rFonts w:ascii="仿宋" w:hAnsi="仿宋" w:eastAsia="仿宋"/>
                <w:szCs w:val="21"/>
              </w:rPr>
              <w:t>40</w:t>
            </w:r>
            <w:r>
              <w:rPr>
                <w:rFonts w:hint="eastAsia" w:ascii="仿宋" w:hAnsi="仿宋" w:eastAsia="仿宋"/>
                <w:szCs w:val="21"/>
              </w:rPr>
              <w:t>分）；</w:t>
            </w:r>
          </w:p>
          <w:p>
            <w:pPr>
              <w:jc w:val="left"/>
              <w:rPr>
                <w:rFonts w:hint="eastAsia" w:ascii="仿宋" w:hAnsi="仿宋" w:eastAsia="仿宋"/>
                <w:szCs w:val="21"/>
              </w:rPr>
            </w:pPr>
            <w:r>
              <w:rPr>
                <w:rFonts w:hint="eastAsia" w:ascii="仿宋" w:hAnsi="仿宋" w:eastAsia="仿宋"/>
                <w:szCs w:val="21"/>
              </w:rPr>
              <w:t>2.报价得分＝基准报价／投标人报价×</w:t>
            </w:r>
            <w:r>
              <w:rPr>
                <w:rFonts w:ascii="仿宋" w:hAnsi="仿宋" w:eastAsia="仿宋"/>
                <w:szCs w:val="21"/>
              </w:rPr>
              <w:t>40</w:t>
            </w:r>
            <w:r>
              <w:rPr>
                <w:rFonts w:hint="eastAsia" w:ascii="仿宋" w:hAnsi="仿宋" w:eastAsia="仿宋"/>
                <w:szCs w:val="21"/>
              </w:rPr>
              <w:t>（保留2位小数）。</w:t>
            </w:r>
          </w:p>
          <w:p>
            <w:pPr>
              <w:jc w:val="left"/>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2" w:type="dxa"/>
            <w:noWrap w:val="0"/>
            <w:vAlign w:val="center"/>
          </w:tcPr>
          <w:p>
            <w:pPr>
              <w:spacing w:line="520" w:lineRule="exact"/>
              <w:jc w:val="center"/>
              <w:rPr>
                <w:rFonts w:hint="eastAsia" w:ascii="仿宋" w:hAnsi="仿宋" w:eastAsia="仿宋"/>
                <w:szCs w:val="21"/>
              </w:rPr>
            </w:pPr>
            <w:r>
              <w:rPr>
                <w:rFonts w:hint="eastAsia" w:ascii="仿宋" w:hAnsi="仿宋" w:eastAsia="仿宋"/>
                <w:sz w:val="32"/>
                <w:szCs w:val="32"/>
              </w:rPr>
              <w:t>资源配备计划</w:t>
            </w:r>
          </w:p>
        </w:tc>
        <w:tc>
          <w:tcPr>
            <w:tcW w:w="1783" w:type="dxa"/>
            <w:noWrap w:val="0"/>
            <w:vAlign w:val="center"/>
          </w:tcPr>
          <w:p>
            <w:pPr>
              <w:spacing w:line="520" w:lineRule="exact"/>
              <w:jc w:val="center"/>
              <w:rPr>
                <w:rFonts w:hint="eastAsia" w:ascii="仿宋" w:hAnsi="仿宋" w:eastAsia="仿宋"/>
                <w:sz w:val="32"/>
                <w:szCs w:val="32"/>
              </w:rPr>
            </w:pPr>
            <w:r>
              <w:rPr>
                <w:rFonts w:ascii="仿宋" w:hAnsi="仿宋" w:eastAsia="仿宋"/>
                <w:sz w:val="32"/>
                <w:szCs w:val="32"/>
              </w:rPr>
              <w:t>10</w:t>
            </w:r>
          </w:p>
        </w:tc>
        <w:tc>
          <w:tcPr>
            <w:tcW w:w="5954" w:type="dxa"/>
            <w:noWrap w:val="0"/>
            <w:vAlign w:val="center"/>
          </w:tcPr>
          <w:p>
            <w:pPr>
              <w:jc w:val="left"/>
              <w:rPr>
                <w:rFonts w:hint="eastAsia" w:ascii="仿宋" w:hAnsi="仿宋" w:eastAsia="仿宋"/>
                <w:szCs w:val="21"/>
              </w:rPr>
            </w:pPr>
            <w:r>
              <w:rPr>
                <w:rFonts w:hint="eastAsia" w:ascii="仿宋" w:hAnsi="仿宋" w:eastAsia="仿宋"/>
                <w:szCs w:val="21"/>
              </w:rPr>
              <w:t>拟投入的人工、主要材料、主要施工机械、设备有详细计划且计划周密，劳动力安排合理，材料进场时间、数量、批次合理，设备数量、选型配置、进场数量、时间安排合理，满足施工需要。</w:t>
            </w:r>
          </w:p>
          <w:p>
            <w:pPr>
              <w:jc w:val="left"/>
              <w:rPr>
                <w:rFonts w:hint="eastAsia" w:ascii="仿宋" w:hAnsi="仿宋" w:eastAsia="仿宋"/>
                <w:szCs w:val="21"/>
              </w:rPr>
            </w:pPr>
            <w:r>
              <w:rPr>
                <w:rFonts w:hint="eastAsia" w:ascii="仿宋" w:hAnsi="仿宋" w:eastAsia="仿宋"/>
                <w:szCs w:val="21"/>
              </w:rPr>
              <w:t>（1）方案科学有效且具有可操作性的，得</w:t>
            </w:r>
            <w:r>
              <w:rPr>
                <w:rFonts w:ascii="仿宋" w:hAnsi="仿宋" w:eastAsia="仿宋"/>
                <w:szCs w:val="21"/>
              </w:rPr>
              <w:t>10</w:t>
            </w:r>
            <w:r>
              <w:rPr>
                <w:rFonts w:hint="eastAsia" w:ascii="仿宋" w:hAnsi="仿宋" w:eastAsia="仿宋"/>
                <w:szCs w:val="21"/>
              </w:rPr>
              <w:t>.0分；（2）方案一般且能满足需要的，得</w:t>
            </w:r>
            <w:r>
              <w:rPr>
                <w:rFonts w:ascii="仿宋" w:hAnsi="仿宋" w:eastAsia="仿宋"/>
                <w:szCs w:val="21"/>
              </w:rPr>
              <w:t>8</w:t>
            </w:r>
            <w:r>
              <w:rPr>
                <w:rFonts w:hint="eastAsia" w:ascii="仿宋" w:hAnsi="仿宋" w:eastAsia="仿宋"/>
                <w:szCs w:val="21"/>
              </w:rPr>
              <w:t>.0分；（3）方案不完整但能基本满足需要的，得</w:t>
            </w:r>
            <w:r>
              <w:rPr>
                <w:rFonts w:ascii="仿宋" w:hAnsi="仿宋" w:eastAsia="仿宋"/>
                <w:szCs w:val="21"/>
              </w:rPr>
              <w:t>6</w:t>
            </w:r>
            <w:r>
              <w:rPr>
                <w:rFonts w:hint="eastAsia" w:ascii="仿宋" w:hAnsi="仿宋" w:eastAsia="仿宋"/>
                <w:szCs w:val="21"/>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2" w:type="dxa"/>
            <w:noWrap w:val="0"/>
            <w:vAlign w:val="center"/>
          </w:tcPr>
          <w:p>
            <w:pPr>
              <w:spacing w:line="520" w:lineRule="exact"/>
              <w:jc w:val="center"/>
              <w:rPr>
                <w:rFonts w:hint="eastAsia" w:ascii="仿宋" w:hAnsi="仿宋" w:eastAsia="仿宋"/>
                <w:szCs w:val="21"/>
              </w:rPr>
            </w:pPr>
            <w:r>
              <w:rPr>
                <w:rFonts w:hint="eastAsia" w:ascii="仿宋" w:hAnsi="仿宋" w:eastAsia="仿宋"/>
                <w:sz w:val="32"/>
                <w:szCs w:val="32"/>
              </w:rPr>
              <w:t>施工进度保障</w:t>
            </w:r>
          </w:p>
        </w:tc>
        <w:tc>
          <w:tcPr>
            <w:tcW w:w="1783" w:type="dxa"/>
            <w:noWrap w:val="0"/>
            <w:vAlign w:val="center"/>
          </w:tcPr>
          <w:p>
            <w:pPr>
              <w:spacing w:line="520" w:lineRule="exact"/>
              <w:jc w:val="center"/>
              <w:rPr>
                <w:rFonts w:hint="eastAsia" w:ascii="仿宋" w:hAnsi="仿宋" w:eastAsia="仿宋"/>
                <w:sz w:val="32"/>
                <w:szCs w:val="32"/>
              </w:rPr>
            </w:pPr>
            <w:r>
              <w:rPr>
                <w:rFonts w:ascii="仿宋" w:hAnsi="仿宋" w:eastAsia="仿宋"/>
                <w:sz w:val="32"/>
                <w:szCs w:val="32"/>
              </w:rPr>
              <w:t>10</w:t>
            </w:r>
          </w:p>
        </w:tc>
        <w:tc>
          <w:tcPr>
            <w:tcW w:w="5954" w:type="dxa"/>
            <w:noWrap w:val="0"/>
            <w:vAlign w:val="center"/>
          </w:tcPr>
          <w:p>
            <w:pPr>
              <w:jc w:val="left"/>
              <w:rPr>
                <w:rFonts w:hint="eastAsia" w:ascii="仿宋" w:hAnsi="仿宋" w:eastAsia="仿宋"/>
                <w:szCs w:val="21"/>
              </w:rPr>
            </w:pPr>
            <w:r>
              <w:rPr>
                <w:rFonts w:hint="eastAsia" w:ascii="仿宋" w:hAnsi="仿宋" w:eastAsia="仿宋"/>
                <w:szCs w:val="21"/>
              </w:rPr>
              <w:t>总施工工期目标明确，关键节点明确，各分项工程施工顺序安排恰当、工序衔接合理，进度计划安排科学。</w:t>
            </w:r>
          </w:p>
          <w:p>
            <w:pPr>
              <w:jc w:val="left"/>
              <w:rPr>
                <w:rFonts w:hint="eastAsia" w:ascii="仿宋" w:hAnsi="仿宋" w:eastAsia="仿宋"/>
                <w:szCs w:val="21"/>
              </w:rPr>
            </w:pPr>
            <w:r>
              <w:rPr>
                <w:rFonts w:hint="eastAsia" w:ascii="仿宋" w:hAnsi="仿宋" w:eastAsia="仿宋"/>
                <w:szCs w:val="21"/>
              </w:rPr>
              <w:t>（1）方案科学有效且具有可操作性的，得</w:t>
            </w:r>
            <w:r>
              <w:rPr>
                <w:rFonts w:ascii="仿宋" w:hAnsi="仿宋" w:eastAsia="仿宋"/>
                <w:szCs w:val="21"/>
              </w:rPr>
              <w:t>10</w:t>
            </w:r>
            <w:r>
              <w:rPr>
                <w:rFonts w:hint="eastAsia" w:ascii="仿宋" w:hAnsi="仿宋" w:eastAsia="仿宋"/>
                <w:szCs w:val="21"/>
              </w:rPr>
              <w:t>.0分；（2）方案一般且能满足需要的，得</w:t>
            </w:r>
            <w:r>
              <w:rPr>
                <w:rFonts w:ascii="仿宋" w:hAnsi="仿宋" w:eastAsia="仿宋"/>
                <w:szCs w:val="21"/>
              </w:rPr>
              <w:t>8</w:t>
            </w:r>
            <w:r>
              <w:rPr>
                <w:rFonts w:hint="eastAsia" w:ascii="仿宋" w:hAnsi="仿宋" w:eastAsia="仿宋"/>
                <w:szCs w:val="21"/>
              </w:rPr>
              <w:t>.0分；（3）方案不完整但能基本满足需要的，得</w:t>
            </w:r>
            <w:r>
              <w:rPr>
                <w:rFonts w:ascii="仿宋" w:hAnsi="仿宋" w:eastAsia="仿宋"/>
                <w:szCs w:val="21"/>
              </w:rPr>
              <w:t>6</w:t>
            </w:r>
            <w:r>
              <w:rPr>
                <w:rFonts w:hint="eastAsia" w:ascii="仿宋" w:hAnsi="仿宋" w:eastAsia="仿宋"/>
                <w:szCs w:val="21"/>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2"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质量保证体系</w:t>
            </w:r>
          </w:p>
        </w:tc>
        <w:tc>
          <w:tcPr>
            <w:tcW w:w="1783" w:type="dxa"/>
            <w:noWrap w:val="0"/>
            <w:vAlign w:val="center"/>
          </w:tcPr>
          <w:p>
            <w:pPr>
              <w:spacing w:line="520" w:lineRule="exact"/>
              <w:jc w:val="center"/>
              <w:rPr>
                <w:rFonts w:hint="eastAsia" w:ascii="仿宋" w:hAnsi="仿宋" w:eastAsia="仿宋"/>
                <w:sz w:val="32"/>
                <w:szCs w:val="32"/>
              </w:rPr>
            </w:pPr>
            <w:r>
              <w:rPr>
                <w:rFonts w:ascii="仿宋" w:hAnsi="仿宋" w:eastAsia="仿宋"/>
                <w:sz w:val="32"/>
                <w:szCs w:val="32"/>
              </w:rPr>
              <w:t>10</w:t>
            </w:r>
          </w:p>
        </w:tc>
        <w:tc>
          <w:tcPr>
            <w:tcW w:w="5954" w:type="dxa"/>
            <w:noWrap w:val="0"/>
            <w:vAlign w:val="center"/>
          </w:tcPr>
          <w:p>
            <w:pPr>
              <w:jc w:val="left"/>
              <w:rPr>
                <w:rFonts w:hint="eastAsia" w:ascii="仿宋" w:hAnsi="仿宋" w:eastAsia="仿宋"/>
                <w:szCs w:val="21"/>
              </w:rPr>
            </w:pPr>
            <w:r>
              <w:rPr>
                <w:rFonts w:hint="eastAsia" w:ascii="仿宋" w:hAnsi="仿宋" w:eastAsia="仿宋"/>
                <w:szCs w:val="21"/>
              </w:rPr>
              <w:t>质量管理体系完善，工程质量保证措施完善，按单位、分部和分项分解细化，具体明确，制度健全，能确保工程质量满足要求。对于本工程重点、难点及关键环节的认识，以及对重点、难点及关键环节有应对措施，措施具体可行，并备有必要预案。</w:t>
            </w:r>
          </w:p>
          <w:p>
            <w:pPr>
              <w:jc w:val="left"/>
              <w:rPr>
                <w:rFonts w:hint="eastAsia" w:ascii="仿宋" w:hAnsi="仿宋" w:eastAsia="仿宋"/>
                <w:szCs w:val="21"/>
              </w:rPr>
            </w:pPr>
            <w:r>
              <w:rPr>
                <w:rFonts w:hint="eastAsia" w:ascii="仿宋" w:hAnsi="仿宋" w:eastAsia="仿宋"/>
                <w:szCs w:val="21"/>
              </w:rPr>
              <w:t>（1）方案科学有效且具有可操作性的，得</w:t>
            </w:r>
            <w:r>
              <w:rPr>
                <w:rFonts w:ascii="仿宋" w:hAnsi="仿宋" w:eastAsia="仿宋"/>
                <w:szCs w:val="21"/>
              </w:rPr>
              <w:t>10</w:t>
            </w:r>
            <w:r>
              <w:rPr>
                <w:rFonts w:hint="eastAsia" w:ascii="仿宋" w:hAnsi="仿宋" w:eastAsia="仿宋"/>
                <w:szCs w:val="21"/>
              </w:rPr>
              <w:t>.0分；（2）方案一般且能满足需要的，得</w:t>
            </w:r>
            <w:r>
              <w:rPr>
                <w:rFonts w:ascii="仿宋" w:hAnsi="仿宋" w:eastAsia="仿宋"/>
                <w:szCs w:val="21"/>
              </w:rPr>
              <w:t>8</w:t>
            </w:r>
            <w:r>
              <w:rPr>
                <w:rFonts w:hint="eastAsia" w:ascii="仿宋" w:hAnsi="仿宋" w:eastAsia="仿宋"/>
                <w:szCs w:val="21"/>
              </w:rPr>
              <w:t>.0分；（3）方案不完整但能基本满足需要的，得</w:t>
            </w:r>
            <w:r>
              <w:rPr>
                <w:rFonts w:ascii="仿宋" w:hAnsi="仿宋" w:eastAsia="仿宋"/>
                <w:szCs w:val="21"/>
              </w:rPr>
              <w:t>6</w:t>
            </w:r>
            <w:r>
              <w:rPr>
                <w:rFonts w:hint="eastAsia" w:ascii="仿宋" w:hAnsi="仿宋" w:eastAsia="仿宋"/>
                <w:szCs w:val="21"/>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2"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安全文明施工</w:t>
            </w:r>
          </w:p>
        </w:tc>
        <w:tc>
          <w:tcPr>
            <w:tcW w:w="1783" w:type="dxa"/>
            <w:noWrap w:val="0"/>
            <w:vAlign w:val="center"/>
          </w:tcPr>
          <w:p>
            <w:pPr>
              <w:spacing w:line="520" w:lineRule="exact"/>
              <w:jc w:val="center"/>
              <w:rPr>
                <w:rFonts w:hint="eastAsia" w:ascii="仿宋" w:hAnsi="仿宋" w:eastAsia="仿宋"/>
                <w:sz w:val="32"/>
                <w:szCs w:val="32"/>
              </w:rPr>
            </w:pPr>
            <w:r>
              <w:rPr>
                <w:rFonts w:ascii="仿宋" w:hAnsi="仿宋" w:eastAsia="仿宋"/>
                <w:sz w:val="32"/>
                <w:szCs w:val="32"/>
              </w:rPr>
              <w:t>10</w:t>
            </w:r>
          </w:p>
        </w:tc>
        <w:tc>
          <w:tcPr>
            <w:tcW w:w="5954" w:type="dxa"/>
            <w:noWrap w:val="0"/>
            <w:vAlign w:val="center"/>
          </w:tcPr>
          <w:p>
            <w:pPr>
              <w:jc w:val="left"/>
              <w:rPr>
                <w:rFonts w:hint="eastAsia" w:ascii="仿宋" w:hAnsi="仿宋" w:eastAsia="仿宋"/>
                <w:szCs w:val="21"/>
              </w:rPr>
            </w:pPr>
            <w:r>
              <w:rPr>
                <w:rFonts w:hint="eastAsia" w:ascii="仿宋" w:hAnsi="仿宋" w:eastAsia="仿宋"/>
                <w:szCs w:val="21"/>
              </w:rPr>
              <w:t>安全保障体系完善，安全措施或制度健全，有明确的环保及文明施工目标及体系。</w:t>
            </w:r>
          </w:p>
          <w:p>
            <w:pPr>
              <w:jc w:val="left"/>
              <w:rPr>
                <w:rFonts w:hint="eastAsia" w:ascii="仿宋" w:hAnsi="仿宋" w:eastAsia="仿宋"/>
                <w:szCs w:val="21"/>
              </w:rPr>
            </w:pPr>
            <w:r>
              <w:rPr>
                <w:rFonts w:hint="eastAsia" w:ascii="仿宋" w:hAnsi="仿宋" w:eastAsia="仿宋"/>
                <w:szCs w:val="21"/>
              </w:rPr>
              <w:t>（1）方案科学有效且具有可操作性的，得</w:t>
            </w:r>
            <w:r>
              <w:rPr>
                <w:rFonts w:ascii="仿宋" w:hAnsi="仿宋" w:eastAsia="仿宋"/>
                <w:szCs w:val="21"/>
              </w:rPr>
              <w:t>10</w:t>
            </w:r>
            <w:r>
              <w:rPr>
                <w:rFonts w:hint="eastAsia" w:ascii="仿宋" w:hAnsi="仿宋" w:eastAsia="仿宋"/>
                <w:szCs w:val="21"/>
              </w:rPr>
              <w:t>.0分；（2）方案一般且能满足需要的，得</w:t>
            </w:r>
            <w:r>
              <w:rPr>
                <w:rFonts w:ascii="仿宋" w:hAnsi="仿宋" w:eastAsia="仿宋"/>
                <w:szCs w:val="21"/>
              </w:rPr>
              <w:t>8</w:t>
            </w:r>
            <w:r>
              <w:rPr>
                <w:rFonts w:hint="eastAsia" w:ascii="仿宋" w:hAnsi="仿宋" w:eastAsia="仿宋"/>
                <w:szCs w:val="21"/>
              </w:rPr>
              <w:t>.0分；（3）方案不完整但能基本满足需要的，得</w:t>
            </w:r>
            <w:r>
              <w:rPr>
                <w:rFonts w:ascii="仿宋" w:hAnsi="仿宋" w:eastAsia="仿宋"/>
                <w:szCs w:val="21"/>
              </w:rPr>
              <w:t>6</w:t>
            </w:r>
            <w:r>
              <w:rPr>
                <w:rFonts w:hint="eastAsia" w:ascii="仿宋" w:hAnsi="仿宋" w:eastAsia="仿宋"/>
                <w:szCs w:val="21"/>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2"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施工方案</w:t>
            </w:r>
          </w:p>
        </w:tc>
        <w:tc>
          <w:tcPr>
            <w:tcW w:w="1783"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12</w:t>
            </w:r>
          </w:p>
        </w:tc>
        <w:tc>
          <w:tcPr>
            <w:tcW w:w="5954" w:type="dxa"/>
            <w:noWrap w:val="0"/>
            <w:vAlign w:val="center"/>
          </w:tcPr>
          <w:p>
            <w:pPr>
              <w:jc w:val="left"/>
              <w:rPr>
                <w:rFonts w:hint="eastAsia" w:ascii="仿宋" w:hAnsi="仿宋" w:eastAsia="仿宋"/>
                <w:szCs w:val="21"/>
              </w:rPr>
            </w:pPr>
            <w:r>
              <w:rPr>
                <w:rFonts w:hint="eastAsia" w:ascii="仿宋" w:hAnsi="仿宋" w:eastAsia="仿宋"/>
                <w:szCs w:val="21"/>
              </w:rPr>
              <w:t>各主要分部施工方法符合项目实际，须有详尽的施工技术方案，工艺先进，方法科学合理、可行，能指导具体施工并确保质量、进度与安全。</w:t>
            </w:r>
          </w:p>
          <w:p>
            <w:pPr>
              <w:jc w:val="left"/>
              <w:rPr>
                <w:rFonts w:hint="eastAsia" w:ascii="仿宋" w:hAnsi="仿宋" w:eastAsia="仿宋"/>
                <w:szCs w:val="21"/>
              </w:rPr>
            </w:pPr>
            <w:r>
              <w:rPr>
                <w:rFonts w:hint="eastAsia" w:ascii="仿宋" w:hAnsi="仿宋" w:eastAsia="仿宋"/>
                <w:szCs w:val="21"/>
              </w:rPr>
              <w:t>（1）方案科学有效且具有可操作性的，得12.0分；（2）方案一般且能满足需要的，得9.0分；（3）方案不完整但能基本满足需要的，得6.0分。（4）方案存在明显缺陷的，得3.0分。（5）无服务方案的，得0分。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2"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业绩</w:t>
            </w:r>
          </w:p>
        </w:tc>
        <w:tc>
          <w:tcPr>
            <w:tcW w:w="1783"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6</w:t>
            </w:r>
          </w:p>
        </w:tc>
        <w:tc>
          <w:tcPr>
            <w:tcW w:w="5954" w:type="dxa"/>
            <w:noWrap w:val="0"/>
            <w:vAlign w:val="center"/>
          </w:tcPr>
          <w:p>
            <w:pPr>
              <w:jc w:val="left"/>
              <w:rPr>
                <w:rFonts w:hint="eastAsia" w:ascii="仿宋" w:hAnsi="仿宋" w:eastAsia="仿宋"/>
                <w:szCs w:val="21"/>
              </w:rPr>
            </w:pPr>
            <w:r>
              <w:rPr>
                <w:rFonts w:hint="eastAsia" w:ascii="仿宋" w:hAnsi="仿宋" w:eastAsia="仿宋"/>
                <w:szCs w:val="21"/>
              </w:rPr>
              <w:t>投标人具有相应施工业绩，每提供一项得3分，最多得6分。</w:t>
            </w:r>
          </w:p>
          <w:p>
            <w:pPr>
              <w:jc w:val="left"/>
              <w:rPr>
                <w:rFonts w:hint="eastAsia" w:ascii="仿宋" w:hAnsi="仿宋" w:eastAsia="仿宋"/>
                <w:szCs w:val="21"/>
              </w:rPr>
            </w:pPr>
            <w:r>
              <w:rPr>
                <w:rFonts w:hint="eastAsia" w:ascii="仿宋" w:hAnsi="仿宋" w:eastAsia="仿宋"/>
                <w:szCs w:val="21"/>
              </w:rPr>
              <w:t>1.认定业绩的依据为施工合同和竣工验收报告（或建设单位出具的验收证明），响应文件中须提供上述材料的扫描件或复印件且能辨识买卖双方公章、标的信息。</w:t>
            </w:r>
          </w:p>
          <w:p>
            <w:pPr>
              <w:jc w:val="left"/>
              <w:rPr>
                <w:rFonts w:hint="eastAsia" w:ascii="仿宋" w:hAnsi="仿宋" w:eastAsia="仿宋"/>
                <w:szCs w:val="21"/>
              </w:rPr>
            </w:pPr>
            <w:r>
              <w:rPr>
                <w:rFonts w:hint="eastAsia" w:ascii="仿宋" w:hAnsi="仿宋" w:eastAsia="仿宋"/>
                <w:szCs w:val="21"/>
              </w:rPr>
              <w:t>2.如业绩材料不能反映所需信息，则需提供建设单位加盖公章的证明，否则业绩无效。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2"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售后服务方案</w:t>
            </w:r>
          </w:p>
        </w:tc>
        <w:tc>
          <w:tcPr>
            <w:tcW w:w="1783" w:type="dxa"/>
            <w:noWrap w:val="0"/>
            <w:vAlign w:val="center"/>
          </w:tcPr>
          <w:p>
            <w:pPr>
              <w:spacing w:line="520" w:lineRule="exact"/>
              <w:jc w:val="center"/>
              <w:rPr>
                <w:rFonts w:hint="eastAsia" w:ascii="仿宋" w:hAnsi="仿宋" w:eastAsia="仿宋"/>
                <w:sz w:val="32"/>
                <w:szCs w:val="32"/>
              </w:rPr>
            </w:pPr>
            <w:r>
              <w:rPr>
                <w:rFonts w:hint="eastAsia" w:ascii="仿宋" w:hAnsi="仿宋" w:eastAsia="仿宋"/>
                <w:sz w:val="32"/>
                <w:szCs w:val="32"/>
              </w:rPr>
              <w:t>2</w:t>
            </w:r>
          </w:p>
        </w:tc>
        <w:tc>
          <w:tcPr>
            <w:tcW w:w="5954" w:type="dxa"/>
            <w:noWrap w:val="0"/>
            <w:vAlign w:val="center"/>
          </w:tcPr>
          <w:p>
            <w:pPr>
              <w:jc w:val="left"/>
              <w:rPr>
                <w:rFonts w:hint="eastAsia" w:ascii="仿宋" w:hAnsi="仿宋" w:eastAsia="仿宋"/>
                <w:szCs w:val="21"/>
              </w:rPr>
            </w:pPr>
            <w:r>
              <w:rPr>
                <w:rFonts w:hint="eastAsia" w:ascii="仿宋" w:hAnsi="仿宋" w:eastAsia="仿宋"/>
                <w:szCs w:val="21"/>
              </w:rPr>
              <w:t>包括保修年限、服务标准、人员配备、维修及保障措施等，根据供应商承诺情况得2.0分；无售后服务方案的，得0分。</w:t>
            </w:r>
          </w:p>
        </w:tc>
      </w:tr>
    </w:tbl>
    <w:p>
      <w:pPr>
        <w:widowControl/>
        <w:adjustRightInd w:val="0"/>
        <w:snapToGrid w:val="0"/>
        <w:spacing w:line="360" w:lineRule="auto"/>
        <w:rPr>
          <w:rFonts w:ascii="宋体" w:hAnsi="宋体" w:cs="Calibri"/>
          <w:b/>
          <w:bCs/>
          <w:color w:val="000000"/>
          <w:kern w:val="0"/>
          <w:szCs w:val="21"/>
          <w:shd w:val="clear" w:color="auto" w:fill="FFFFFF"/>
        </w:rPr>
      </w:pPr>
    </w:p>
    <w:p>
      <w:pPr>
        <w:widowControl/>
        <w:adjustRightInd w:val="0"/>
        <w:snapToGrid w:val="0"/>
        <w:spacing w:line="360" w:lineRule="auto"/>
        <w:ind w:firstLine="562" w:firstLineChars="200"/>
        <w:rPr>
          <w:rFonts w:hint="eastAsia" w:ascii="宋体" w:hAnsi="宋体" w:eastAsia="宋体" w:cs="Calibri"/>
          <w:color w:val="333333"/>
          <w:kern w:val="0"/>
          <w:szCs w:val="21"/>
          <w:lang w:eastAsia="zh-CN"/>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w:t>
      </w:r>
      <w:r>
        <w:rPr>
          <w:rFonts w:hint="eastAsia" w:ascii="宋体" w:hAnsi="宋体" w:cs="Calibri"/>
          <w:color w:val="000000"/>
          <w:kern w:val="0"/>
          <w:szCs w:val="21"/>
          <w:shd w:val="clear" w:color="auto" w:fill="FFFFFF"/>
          <w:lang w:eastAsia="zh-CN"/>
        </w:rPr>
        <w:t>若综合得分相同，则按报价分</w:t>
      </w:r>
      <w:r>
        <w:rPr>
          <w:rFonts w:hint="eastAsia" w:ascii="宋体" w:hAnsi="宋体" w:cs="Calibri"/>
          <w:color w:val="000000"/>
          <w:kern w:val="0"/>
          <w:szCs w:val="21"/>
          <w:shd w:val="clear" w:color="auto" w:fill="FFFFFF"/>
        </w:rPr>
        <w:t>由高到低依次确定排名顺序</w:t>
      </w:r>
      <w:r>
        <w:rPr>
          <w:rFonts w:hint="eastAsia" w:ascii="宋体" w:hAnsi="宋体" w:cs="Calibri"/>
          <w:color w:val="000000"/>
          <w:kern w:val="0"/>
          <w:szCs w:val="21"/>
          <w:shd w:val="clear" w:color="auto" w:fill="FFFFFF"/>
          <w:lang w:eastAsia="zh-CN"/>
        </w:rPr>
        <w:t>。</w:t>
      </w:r>
      <w:r>
        <w:rPr>
          <w:rFonts w:hint="eastAsia" w:ascii="宋体" w:hAnsi="宋体" w:cs="Calibri"/>
          <w:color w:val="000000"/>
          <w:kern w:val="0"/>
          <w:szCs w:val="21"/>
          <w:shd w:val="clear" w:color="auto" w:fill="FFFFFF"/>
        </w:rPr>
        <w:t>满分为100分（数值计算结果均保留两位小数，第三位四舍五入）</w:t>
      </w:r>
      <w:r>
        <w:rPr>
          <w:rFonts w:hint="eastAsia" w:ascii="宋体" w:hAnsi="宋体" w:cs="Calibri"/>
          <w:color w:val="000000"/>
          <w:kern w:val="0"/>
          <w:szCs w:val="21"/>
          <w:shd w:val="clear" w:color="auto" w:fill="FFFFFF"/>
          <w:lang w:eastAsia="zh-CN"/>
        </w:rPr>
        <w:t>。</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2" w:name="_Toc403987220"/>
      <w:r>
        <w:rPr>
          <w:rFonts w:hint="eastAsia" w:ascii="华文中宋" w:hAnsi="华文中宋" w:eastAsia="华文中宋"/>
          <w:b/>
          <w:sz w:val="36"/>
          <w:szCs w:val="36"/>
        </w:rPr>
        <w:t>响应文件格式</w:t>
      </w:r>
      <w:bookmarkEnd w:id="111"/>
      <w:bookmarkEnd w:id="112"/>
    </w:p>
    <w:p>
      <w:pPr>
        <w:jc w:val="center"/>
        <w:rPr>
          <w:rFonts w:hAnsi="宋体"/>
          <w:b/>
          <w:sz w:val="72"/>
        </w:rPr>
      </w:pPr>
      <w:bookmarkStart w:id="113" w:name="_Hlt26671244"/>
      <w:bookmarkEnd w:id="113"/>
      <w:bookmarkStart w:id="114" w:name="_Hlt26955039"/>
      <w:bookmarkEnd w:id="114"/>
      <w:bookmarkStart w:id="115" w:name="_Toc120614282"/>
      <w:bookmarkStart w:id="116" w:name="_Toc26554094"/>
      <w:bookmarkStart w:id="117"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5"/>
    <w:bookmarkEnd w:id="116"/>
    <w:bookmarkEnd w:id="117"/>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8"/>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9"/>
        <w:gridCol w:w="7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7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2359"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皖南医学院滨江校区（南区）篮球、排球、网球场地修缮项目</w:t>
            </w:r>
          </w:p>
        </w:tc>
        <w:tc>
          <w:tcPr>
            <w:tcW w:w="7232" w:type="dxa"/>
            <w:tcBorders>
              <w:top w:val="single" w:color="auto" w:sz="4" w:space="0"/>
              <w:left w:val="single" w:color="auto" w:sz="4" w:space="0"/>
              <w:right w:val="single" w:color="auto" w:sz="4" w:space="0"/>
            </w:tcBorders>
            <w:vAlign w:val="center"/>
          </w:tcPr>
          <w:p>
            <w:pPr>
              <w:pStyle w:val="27"/>
              <w:ind w:firstLine="0" w:firstLineChars="0"/>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大写：</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ascii="Times New Roman" w:hAnsi="Times New Roman" w:eastAsia="宋体" w:cs="Times New Roman"/>
                <w:kern w:val="2"/>
                <w:sz w:val="30"/>
                <w:szCs w:val="30"/>
                <w:lang w:val="en-US" w:eastAsia="zh-CN" w:bidi="ar-SA"/>
              </w:rPr>
              <w:t>元</w:t>
            </w:r>
          </w:p>
          <w:p>
            <w:pPr>
              <w:pStyle w:val="22"/>
              <w:rPr>
                <w:rFonts w:hint="default"/>
                <w:lang w:val="en-US" w:eastAsia="zh-CN"/>
              </w:rPr>
            </w:pPr>
            <w:r>
              <w:rPr>
                <w:rFonts w:hint="eastAsia"/>
                <w:sz w:val="30"/>
                <w:szCs w:val="30"/>
                <w:lang w:val="en-US" w:eastAsia="zh-CN"/>
              </w:rPr>
              <w:t>小写：</w:t>
            </w:r>
            <w:r>
              <w:rPr>
                <w:rFonts w:hint="eastAsia" w:ascii="Times New Roman" w:hAnsi="Times New Roman" w:eastAsia="宋体" w:cs="Times New Roman"/>
                <w:kern w:val="2"/>
                <w:sz w:val="30"/>
                <w:szCs w:val="30"/>
                <w:u w:val="single"/>
                <w:lang w:val="en-US" w:eastAsia="zh-CN" w:bidi="ar-SA"/>
              </w:rPr>
              <w:t xml:space="preserve">       </w:t>
            </w:r>
            <w:r>
              <w:rPr>
                <w:rFonts w:hint="eastAsia"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sz w:val="30"/>
                <w:szCs w:val="30"/>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仿宋"/>
                <w:spacing w:val="-6"/>
                <w:sz w:val="24"/>
                <w:szCs w:val="24"/>
                <w:lang w:eastAsia="zh-CN"/>
              </w:rPr>
            </w:pPr>
            <w:r>
              <w:rPr>
                <w:rFonts w:hint="eastAsia"/>
              </w:rPr>
              <w:t>备注：</w:t>
            </w:r>
          </w:p>
        </w:tc>
      </w:tr>
    </w:tbl>
    <w:p>
      <w:pPr>
        <w:snapToGrid w:val="0"/>
        <w:spacing w:before="50" w:after="50" w:line="360" w:lineRule="auto"/>
        <w:jc w:val="left"/>
        <w:rPr>
          <w:rFonts w:ascii="宋体" w:hAnsi="宋体"/>
          <w:spacing w:val="-6"/>
          <w:sz w:val="24"/>
          <w:szCs w:val="24"/>
        </w:rPr>
      </w:pPr>
    </w:p>
    <w:p>
      <w:pPr>
        <w:pStyle w:val="14"/>
        <w:ind w:left="0" w:leftChars="0" w:firstLine="0" w:firstLineChars="0"/>
        <w:jc w:val="both"/>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7"/>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7"/>
          <w:rFonts w:ascii="华文中宋" w:hAnsi="华文中宋" w:eastAsia="华文中宋"/>
          <w:color w:val="auto"/>
          <w:sz w:val="28"/>
          <w:szCs w:val="28"/>
        </w:rPr>
      </w:pPr>
    </w:p>
    <w:p>
      <w:pPr>
        <w:jc w:val="center"/>
        <w:rPr>
          <w:rStyle w:val="67"/>
          <w:rFonts w:hint="eastAsia" w:ascii="华文中宋" w:hAnsi="华文中宋" w:eastAsia="华文中宋"/>
          <w:color w:val="auto"/>
          <w:sz w:val="28"/>
          <w:szCs w:val="28"/>
        </w:rPr>
      </w:pPr>
    </w:p>
    <w:p>
      <w:pPr>
        <w:jc w:val="center"/>
        <w:rPr>
          <w:rStyle w:val="67"/>
          <w:rFonts w:ascii="华文中宋" w:hAnsi="华文中宋" w:eastAsia="华文中宋"/>
          <w:color w:val="auto"/>
          <w:sz w:val="28"/>
          <w:szCs w:val="28"/>
        </w:rPr>
      </w:pPr>
      <w:r>
        <w:rPr>
          <w:rStyle w:val="67"/>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8"/>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7"/>
          <w:rFonts w:ascii="华文中宋" w:hAnsi="华文中宋" w:eastAsia="华文中宋"/>
          <w:color w:val="auto"/>
          <w:sz w:val="28"/>
          <w:szCs w:val="28"/>
        </w:rPr>
      </w:pPr>
      <w:r>
        <w:rPr>
          <w:rFonts w:hAnsi="宋体"/>
          <w:sz w:val="32"/>
          <w:szCs w:val="32"/>
        </w:rPr>
        <w:br w:type="page"/>
      </w:r>
      <w:r>
        <w:rPr>
          <w:rStyle w:val="67"/>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8" w:name="_Toc49090582"/>
      <w:bookmarkStart w:id="119" w:name="_Toc24878535"/>
      <w:bookmarkStart w:id="120" w:name="_Toc22356583"/>
      <w:bookmarkStart w:id="121" w:name="_Toc513029281"/>
      <w:bookmarkStart w:id="122" w:name="_Toc26554103"/>
      <w:bookmarkStart w:id="123" w:name="_Toc23828483"/>
      <w:bookmarkStart w:id="124" w:name="_Toc120614291"/>
      <w:bookmarkStart w:id="125"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8"/>
      <w:bookmarkEnd w:id="119"/>
      <w:bookmarkEnd w:id="120"/>
      <w:bookmarkEnd w:id="121"/>
      <w:bookmarkEnd w:id="122"/>
      <w:bookmarkEnd w:id="123"/>
      <w:bookmarkEnd w:id="124"/>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8"/>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41"/>
        <w:ind w:firstLine="0" w:firstLineChars="0"/>
        <w:rPr>
          <w:rFonts w:hAnsi="宋体" w:eastAsia="宋体"/>
          <w:sz w:val="24"/>
          <w:szCs w:val="24"/>
        </w:rPr>
      </w:pPr>
    </w:p>
    <w:bookmarkEnd w:id="125"/>
    <w:p>
      <w:pPr>
        <w:rPr>
          <w:rFonts w:ascii="华文中宋" w:hAnsi="华文中宋" w:eastAsia="华文中宋"/>
          <w:b/>
          <w:spacing w:val="-6"/>
          <w:szCs w:val="28"/>
        </w:rPr>
      </w:pPr>
      <w:bookmarkStart w:id="126" w:name="_Toc120614283"/>
      <w:bookmarkStart w:id="127" w:name="_Toc23828478"/>
      <w:bookmarkStart w:id="128" w:name="_Toc460901585"/>
      <w:bookmarkStart w:id="129" w:name="_Toc26554095"/>
      <w:bookmarkStart w:id="130" w:name="_Toc513029276"/>
      <w:bookmarkStart w:id="131" w:name="_Toc22356580"/>
      <w:bookmarkStart w:id="132" w:name="_Toc49090577"/>
      <w:r>
        <w:rPr>
          <w:rFonts w:hint="eastAsia" w:ascii="华文中宋" w:hAnsi="华文中宋" w:eastAsia="华文中宋"/>
          <w:b/>
          <w:spacing w:val="-6"/>
          <w:szCs w:val="28"/>
        </w:rPr>
        <w:br w:type="page"/>
      </w:r>
    </w:p>
    <w:p>
      <w:pPr>
        <w:jc w:val="center"/>
        <w:rPr>
          <w:rStyle w:val="67"/>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7"/>
          <w:rFonts w:hint="eastAsia" w:ascii="华文中宋" w:hAnsi="华文中宋" w:eastAsia="华文中宋"/>
          <w:color w:val="auto"/>
          <w:sz w:val="28"/>
          <w:szCs w:val="28"/>
        </w:rPr>
        <w:t>磋商函格式</w:t>
      </w:r>
    </w:p>
    <w:bookmarkEnd w:id="126"/>
    <w:bookmarkEnd w:id="127"/>
    <w:bookmarkEnd w:id="128"/>
    <w:bookmarkEnd w:id="129"/>
    <w:bookmarkEnd w:id="130"/>
    <w:bookmarkEnd w:id="131"/>
    <w:bookmarkEnd w:id="132"/>
    <w:p>
      <w:pPr>
        <w:tabs>
          <w:tab w:val="left" w:pos="5580"/>
        </w:tabs>
        <w:spacing w:line="480" w:lineRule="exact"/>
        <w:rPr>
          <w:rStyle w:val="67"/>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包含资源配备计划</w:t>
      </w:r>
      <w:r>
        <w:rPr>
          <w:rFonts w:hint="eastAsia"/>
          <w:b/>
          <w:bCs/>
          <w:sz w:val="24"/>
          <w:lang w:eastAsia="zh-CN"/>
        </w:rPr>
        <w:t>、</w:t>
      </w:r>
      <w:r>
        <w:rPr>
          <w:rFonts w:hint="eastAsia"/>
          <w:b/>
          <w:bCs/>
          <w:sz w:val="24"/>
        </w:rPr>
        <w:t>施工进度保障</w:t>
      </w:r>
      <w:r>
        <w:rPr>
          <w:rFonts w:hint="eastAsia"/>
          <w:b/>
          <w:bCs/>
          <w:sz w:val="24"/>
          <w:lang w:eastAsia="zh-CN"/>
        </w:rPr>
        <w:t>、</w:t>
      </w:r>
      <w:r>
        <w:rPr>
          <w:rFonts w:hint="eastAsia"/>
          <w:b/>
          <w:bCs/>
          <w:sz w:val="24"/>
        </w:rPr>
        <w:t>质量保证体系</w:t>
      </w:r>
      <w:r>
        <w:rPr>
          <w:rFonts w:hint="eastAsia"/>
          <w:b/>
          <w:bCs/>
          <w:sz w:val="24"/>
          <w:lang w:eastAsia="zh-CN"/>
        </w:rPr>
        <w:t>、</w:t>
      </w:r>
      <w:r>
        <w:rPr>
          <w:rFonts w:hint="eastAsia"/>
          <w:b/>
          <w:bCs/>
          <w:sz w:val="24"/>
        </w:rPr>
        <w:t>安全文明施工</w:t>
      </w:r>
      <w:r>
        <w:rPr>
          <w:rFonts w:hint="eastAsia"/>
          <w:b/>
          <w:bCs/>
          <w:sz w:val="24"/>
          <w:lang w:eastAsia="zh-CN"/>
        </w:rPr>
        <w:t>、</w:t>
      </w:r>
      <w:r>
        <w:rPr>
          <w:rFonts w:hint="eastAsia"/>
          <w:b/>
          <w:bCs/>
          <w:sz w:val="24"/>
        </w:rPr>
        <w:t>施工方案</w:t>
      </w:r>
      <w:r>
        <w:rPr>
          <w:rFonts w:hint="eastAsia"/>
          <w:b/>
          <w:bCs/>
          <w:sz w:val="24"/>
          <w:lang w:eastAsia="zh-CN"/>
        </w:rPr>
        <w:t>、</w:t>
      </w:r>
      <w:r>
        <w:rPr>
          <w:rFonts w:hint="eastAsia"/>
          <w:b/>
          <w:bCs/>
          <w:sz w:val="24"/>
        </w:rPr>
        <w:t>业绩</w:t>
      </w:r>
      <w:r>
        <w:rPr>
          <w:rFonts w:hint="eastAsia"/>
          <w:b/>
          <w:bCs/>
          <w:sz w:val="24"/>
          <w:lang w:eastAsia="zh-CN"/>
        </w:rPr>
        <w:t>、</w:t>
      </w:r>
      <w:r>
        <w:rPr>
          <w:rFonts w:hint="eastAsia"/>
          <w:b/>
          <w:bCs/>
          <w:sz w:val="24"/>
        </w:rPr>
        <w:t>售后服务方案</w:t>
      </w:r>
      <w:r>
        <w:rPr>
          <w:rFonts w:hint="eastAsia"/>
          <w:b/>
          <w:bCs/>
          <w:sz w:val="24"/>
          <w:lang w:eastAsia="zh-CN"/>
        </w:rPr>
        <w:t>等</w:t>
      </w:r>
      <w:r>
        <w:rPr>
          <w:rFonts w:hint="eastAsia"/>
          <w:b/>
          <w:bCs/>
          <w:sz w:val="24"/>
        </w:rPr>
        <w:t>需要提供的其它材料。</w:t>
      </w:r>
    </w:p>
    <w:p>
      <w:pPr>
        <w:rPr>
          <w:rFonts w:hint="eastAsia"/>
          <w:b/>
          <w:bCs/>
          <w:sz w:val="24"/>
        </w:rPr>
      </w:pPr>
      <w:r>
        <w:rPr>
          <w:rFonts w:hint="eastAsia"/>
          <w:b/>
          <w:bCs/>
          <w:sz w:val="24"/>
          <w:lang w:eastAsia="zh-CN"/>
        </w:rPr>
        <w:t>六、</w:t>
      </w:r>
      <w:r>
        <w:rPr>
          <w:rFonts w:hint="eastAsia"/>
          <w:b/>
          <w:bCs/>
          <w:sz w:val="24"/>
        </w:rPr>
        <w:t>投标文件须包含分部分项工程量清单综合单价分析表等《建设工程工程量清单计价规范》（GB 50500-2013）中要求提供的文件。</w:t>
      </w: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3"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3"/>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bookmarkEnd w:id="134"/>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5</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7"/>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rson w15:author="王戬">
    <w15:presenceInfo w15:providerId="None" w15:userId="王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 w:name="KSO_WPS_MARK_KEY" w:val="383aa654-9511-4c2c-805a-398e61c0fb3d"/>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A86794"/>
    <w:rsid w:val="04E55E3A"/>
    <w:rsid w:val="054A30CB"/>
    <w:rsid w:val="055F6389"/>
    <w:rsid w:val="05C96A15"/>
    <w:rsid w:val="078D1C71"/>
    <w:rsid w:val="07AB0349"/>
    <w:rsid w:val="07B62A5A"/>
    <w:rsid w:val="09296F01"/>
    <w:rsid w:val="0940696F"/>
    <w:rsid w:val="09564F15"/>
    <w:rsid w:val="09A84CAA"/>
    <w:rsid w:val="09AC2920"/>
    <w:rsid w:val="09B5725D"/>
    <w:rsid w:val="0A4546CD"/>
    <w:rsid w:val="0A5B7E05"/>
    <w:rsid w:val="0A9D2C05"/>
    <w:rsid w:val="0AD639E4"/>
    <w:rsid w:val="0B7A69B0"/>
    <w:rsid w:val="0BDC31C7"/>
    <w:rsid w:val="0BF978D5"/>
    <w:rsid w:val="0C5D773D"/>
    <w:rsid w:val="0D7754CF"/>
    <w:rsid w:val="0D7E2A6A"/>
    <w:rsid w:val="0DA16FB4"/>
    <w:rsid w:val="0DE65A99"/>
    <w:rsid w:val="0E7E3960"/>
    <w:rsid w:val="0ECE2C8D"/>
    <w:rsid w:val="0FDE7234"/>
    <w:rsid w:val="0FED59A3"/>
    <w:rsid w:val="107556EE"/>
    <w:rsid w:val="10A328AC"/>
    <w:rsid w:val="10CA7A92"/>
    <w:rsid w:val="11097CFF"/>
    <w:rsid w:val="11420EA7"/>
    <w:rsid w:val="11A93BAF"/>
    <w:rsid w:val="126F08F1"/>
    <w:rsid w:val="12A869B3"/>
    <w:rsid w:val="12DB5F87"/>
    <w:rsid w:val="133C6BF2"/>
    <w:rsid w:val="134D6D48"/>
    <w:rsid w:val="13914897"/>
    <w:rsid w:val="13AE4F6A"/>
    <w:rsid w:val="144C1F9A"/>
    <w:rsid w:val="14773A8D"/>
    <w:rsid w:val="14863CD0"/>
    <w:rsid w:val="14FE5F5C"/>
    <w:rsid w:val="15506886"/>
    <w:rsid w:val="159C294C"/>
    <w:rsid w:val="162C38CF"/>
    <w:rsid w:val="171262BF"/>
    <w:rsid w:val="17252284"/>
    <w:rsid w:val="17464FEC"/>
    <w:rsid w:val="177B58CD"/>
    <w:rsid w:val="179606CE"/>
    <w:rsid w:val="18020BC4"/>
    <w:rsid w:val="186500A0"/>
    <w:rsid w:val="18835AD4"/>
    <w:rsid w:val="18B051AF"/>
    <w:rsid w:val="18E70052"/>
    <w:rsid w:val="18F953B8"/>
    <w:rsid w:val="191B5E77"/>
    <w:rsid w:val="19254BEF"/>
    <w:rsid w:val="193E2DCB"/>
    <w:rsid w:val="19DC3498"/>
    <w:rsid w:val="1A07319C"/>
    <w:rsid w:val="1A33516B"/>
    <w:rsid w:val="1B4F4CC3"/>
    <w:rsid w:val="1B7570E3"/>
    <w:rsid w:val="1BA211E7"/>
    <w:rsid w:val="1C88217A"/>
    <w:rsid w:val="1E2D6CC4"/>
    <w:rsid w:val="1E4075E6"/>
    <w:rsid w:val="1F025BBE"/>
    <w:rsid w:val="1FCC554E"/>
    <w:rsid w:val="1FD03D76"/>
    <w:rsid w:val="203877A5"/>
    <w:rsid w:val="20EB3EDD"/>
    <w:rsid w:val="211D3C0E"/>
    <w:rsid w:val="21A428FD"/>
    <w:rsid w:val="21FE134A"/>
    <w:rsid w:val="228869AA"/>
    <w:rsid w:val="22C22324"/>
    <w:rsid w:val="23567244"/>
    <w:rsid w:val="236513B9"/>
    <w:rsid w:val="2426622E"/>
    <w:rsid w:val="24B5162E"/>
    <w:rsid w:val="24D82326"/>
    <w:rsid w:val="261507FA"/>
    <w:rsid w:val="26395046"/>
    <w:rsid w:val="26566759"/>
    <w:rsid w:val="26DD1E76"/>
    <w:rsid w:val="27717DCB"/>
    <w:rsid w:val="281D1648"/>
    <w:rsid w:val="28574F87"/>
    <w:rsid w:val="28AF482A"/>
    <w:rsid w:val="291347BC"/>
    <w:rsid w:val="291D580A"/>
    <w:rsid w:val="29674BDA"/>
    <w:rsid w:val="29831EC9"/>
    <w:rsid w:val="29913DEF"/>
    <w:rsid w:val="29B44350"/>
    <w:rsid w:val="2A30050E"/>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1E30DFA"/>
    <w:rsid w:val="32FA2CBE"/>
    <w:rsid w:val="32FC59EE"/>
    <w:rsid w:val="338B35BF"/>
    <w:rsid w:val="34092461"/>
    <w:rsid w:val="34700F39"/>
    <w:rsid w:val="34E77996"/>
    <w:rsid w:val="34EF42C7"/>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EBE0387"/>
    <w:rsid w:val="3F2969DF"/>
    <w:rsid w:val="3F646DBC"/>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1F3F5B"/>
    <w:rsid w:val="4BF03B4A"/>
    <w:rsid w:val="4C8562A1"/>
    <w:rsid w:val="4CAC2800"/>
    <w:rsid w:val="4CD11285"/>
    <w:rsid w:val="4CFB5EE3"/>
    <w:rsid w:val="4D263AF9"/>
    <w:rsid w:val="4D4B074A"/>
    <w:rsid w:val="4DAD1CF2"/>
    <w:rsid w:val="4EF26D89"/>
    <w:rsid w:val="4FC205E1"/>
    <w:rsid w:val="502C74D1"/>
    <w:rsid w:val="507C6DB1"/>
    <w:rsid w:val="50F02837"/>
    <w:rsid w:val="513242BC"/>
    <w:rsid w:val="516F3CBE"/>
    <w:rsid w:val="517C5E2B"/>
    <w:rsid w:val="51C639B2"/>
    <w:rsid w:val="51F17F8E"/>
    <w:rsid w:val="52823DEE"/>
    <w:rsid w:val="529C0587"/>
    <w:rsid w:val="52EC4B4A"/>
    <w:rsid w:val="532113AD"/>
    <w:rsid w:val="53510242"/>
    <w:rsid w:val="54102DA0"/>
    <w:rsid w:val="54B565B4"/>
    <w:rsid w:val="5517751A"/>
    <w:rsid w:val="55794BB0"/>
    <w:rsid w:val="55C53086"/>
    <w:rsid w:val="56194C24"/>
    <w:rsid w:val="569C48C5"/>
    <w:rsid w:val="56F05266"/>
    <w:rsid w:val="57164C89"/>
    <w:rsid w:val="57350A15"/>
    <w:rsid w:val="575168F3"/>
    <w:rsid w:val="58732C56"/>
    <w:rsid w:val="594D5E25"/>
    <w:rsid w:val="59E14756"/>
    <w:rsid w:val="5A7E4E4D"/>
    <w:rsid w:val="5AB55191"/>
    <w:rsid w:val="5BEF34D6"/>
    <w:rsid w:val="5C957923"/>
    <w:rsid w:val="5CA42F27"/>
    <w:rsid w:val="5CE11CAD"/>
    <w:rsid w:val="5D0F5ABF"/>
    <w:rsid w:val="5D283143"/>
    <w:rsid w:val="5DE021E2"/>
    <w:rsid w:val="5DFA5BF3"/>
    <w:rsid w:val="5E056FE1"/>
    <w:rsid w:val="5E545B85"/>
    <w:rsid w:val="5E6301AB"/>
    <w:rsid w:val="5F765DB0"/>
    <w:rsid w:val="5F7F2DC3"/>
    <w:rsid w:val="5F826CC3"/>
    <w:rsid w:val="608E6286"/>
    <w:rsid w:val="61076011"/>
    <w:rsid w:val="61834DEC"/>
    <w:rsid w:val="61F25ACE"/>
    <w:rsid w:val="620F62B8"/>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9C09D1"/>
    <w:rsid w:val="6BC95110"/>
    <w:rsid w:val="6C2E4C0D"/>
    <w:rsid w:val="6D4C34AB"/>
    <w:rsid w:val="6DA6798D"/>
    <w:rsid w:val="6DED4397"/>
    <w:rsid w:val="6E9A5523"/>
    <w:rsid w:val="6EB04D47"/>
    <w:rsid w:val="6F370FC4"/>
    <w:rsid w:val="6F420D0F"/>
    <w:rsid w:val="6FAA3E8C"/>
    <w:rsid w:val="701B5C41"/>
    <w:rsid w:val="70B34FC2"/>
    <w:rsid w:val="70F2215A"/>
    <w:rsid w:val="71091718"/>
    <w:rsid w:val="71587B7E"/>
    <w:rsid w:val="715E7B64"/>
    <w:rsid w:val="724925BA"/>
    <w:rsid w:val="7276222A"/>
    <w:rsid w:val="73197CE0"/>
    <w:rsid w:val="732A1BFA"/>
    <w:rsid w:val="73344FDD"/>
    <w:rsid w:val="73616E39"/>
    <w:rsid w:val="73C0694D"/>
    <w:rsid w:val="73D94D40"/>
    <w:rsid w:val="74A54B7B"/>
    <w:rsid w:val="751B270C"/>
    <w:rsid w:val="7532635D"/>
    <w:rsid w:val="759D3A0C"/>
    <w:rsid w:val="764364A0"/>
    <w:rsid w:val="768C17FB"/>
    <w:rsid w:val="77722493"/>
    <w:rsid w:val="77B9589C"/>
    <w:rsid w:val="78216CB5"/>
    <w:rsid w:val="78654DF4"/>
    <w:rsid w:val="79002FDD"/>
    <w:rsid w:val="796851DB"/>
    <w:rsid w:val="799534B7"/>
    <w:rsid w:val="79A864D4"/>
    <w:rsid w:val="7A2C2B5D"/>
    <w:rsid w:val="7A3C397B"/>
    <w:rsid w:val="7AAC4F5C"/>
    <w:rsid w:val="7B931C78"/>
    <w:rsid w:val="7BBB4D2B"/>
    <w:rsid w:val="7CBB28FC"/>
    <w:rsid w:val="7D2106AF"/>
    <w:rsid w:val="7D2D2186"/>
    <w:rsid w:val="7E486D4A"/>
    <w:rsid w:val="7E54777A"/>
    <w:rsid w:val="7EAC5BC9"/>
    <w:rsid w:val="7EE8612B"/>
    <w:rsid w:val="7EFE77F8"/>
    <w:rsid w:val="7F38130C"/>
    <w:rsid w:val="7F6041C6"/>
    <w:rsid w:val="7F7B7750"/>
    <w:rsid w:val="7FA2248A"/>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qFormat/>
    <w:uiPriority w:val="9"/>
    <w:pPr>
      <w:keepNext/>
      <w:keepLines/>
      <w:spacing w:before="260" w:after="260" w:line="416" w:lineRule="auto"/>
      <w:outlineLvl w:val="2"/>
    </w:pPr>
    <w:rPr>
      <w:b/>
      <w:bCs/>
      <w:sz w:val="32"/>
      <w:szCs w:val="32"/>
    </w:rPr>
  </w:style>
  <w:style w:type="paragraph" w:styleId="5">
    <w:name w:val="heading 4"/>
    <w:basedOn w:val="1"/>
    <w:next w:val="1"/>
    <w:link w:val="54"/>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5"/>
    <w:qFormat/>
    <w:uiPriority w:val="9"/>
    <w:pPr>
      <w:keepNext/>
      <w:keepLines/>
      <w:spacing w:before="280" w:after="290" w:line="376" w:lineRule="auto"/>
      <w:outlineLvl w:val="4"/>
    </w:pPr>
    <w:rPr>
      <w:b/>
      <w:bCs/>
      <w:szCs w:val="28"/>
    </w:rPr>
  </w:style>
  <w:style w:type="paragraph" w:styleId="7">
    <w:name w:val="heading 6"/>
    <w:basedOn w:val="1"/>
    <w:next w:val="1"/>
    <w:link w:val="56"/>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7"/>
    <w:qFormat/>
    <w:uiPriority w:val="9"/>
    <w:pPr>
      <w:keepNext/>
      <w:keepLines/>
      <w:spacing w:before="240" w:after="64" w:line="320" w:lineRule="auto"/>
      <w:outlineLvl w:val="6"/>
    </w:pPr>
    <w:rPr>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qFormat/>
    <w:uiPriority w:val="0"/>
    <w:pPr>
      <w:jc w:val="left"/>
    </w:pPr>
    <w:rPr>
      <w:kern w:val="0"/>
      <w:sz w:val="21"/>
      <w:szCs w:val="21"/>
    </w:rPr>
  </w:style>
  <w:style w:type="paragraph" w:styleId="11">
    <w:name w:val="Body Text"/>
    <w:basedOn w:val="1"/>
    <w:unhideWhenUsed/>
    <w:qFormat/>
    <w:uiPriority w:val="99"/>
    <w:pPr>
      <w:spacing w:after="120"/>
    </w:pPr>
  </w:style>
  <w:style w:type="paragraph" w:styleId="12">
    <w:name w:val="Body Text Indent"/>
    <w:basedOn w:val="1"/>
    <w:next w:val="13"/>
    <w:link w:val="50"/>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Block Text"/>
    <w:basedOn w:val="1"/>
    <w:unhideWhenUsed/>
    <w:qFormat/>
    <w:uiPriority w:val="0"/>
    <w:pPr>
      <w:spacing w:line="360" w:lineRule="auto"/>
      <w:ind w:left="630" w:right="-609" w:firstLine="420"/>
    </w:pPr>
    <w:rPr>
      <w:rFonts w:ascii="仿宋_GB2312" w:eastAsia="仿宋_GB2312"/>
    </w:rPr>
  </w:style>
  <w:style w:type="paragraph" w:styleId="15">
    <w:name w:val="index 4"/>
    <w:basedOn w:val="1"/>
    <w:next w:val="1"/>
    <w:qFormat/>
    <w:uiPriority w:val="99"/>
    <w:pPr>
      <w:ind w:left="600" w:leftChars="600"/>
    </w:pPr>
    <w:rPr>
      <w:szCs w:val="24"/>
    </w:rPr>
  </w:style>
  <w:style w:type="paragraph" w:styleId="16">
    <w:name w:val="Plain Text"/>
    <w:basedOn w:val="1"/>
    <w:link w:val="58"/>
    <w:qFormat/>
    <w:uiPriority w:val="0"/>
    <w:pPr>
      <w:spacing w:beforeLines="50" w:afterLines="50" w:line="400" w:lineRule="atLeast"/>
    </w:pPr>
    <w:rPr>
      <w:rFonts w:ascii="宋体" w:hAnsi="Courier New"/>
      <w:kern w:val="0"/>
      <w:sz w:val="24"/>
    </w:rPr>
  </w:style>
  <w:style w:type="paragraph" w:styleId="17">
    <w:name w:val="Date"/>
    <w:basedOn w:val="1"/>
    <w:next w:val="1"/>
    <w:link w:val="59"/>
    <w:unhideWhenUsed/>
    <w:qFormat/>
    <w:uiPriority w:val="99"/>
    <w:pPr>
      <w:ind w:left="100" w:leftChars="2500"/>
    </w:pPr>
  </w:style>
  <w:style w:type="paragraph" w:styleId="18">
    <w:name w:val="Balloon Text"/>
    <w:basedOn w:val="1"/>
    <w:link w:val="60"/>
    <w:unhideWhenUsed/>
    <w:qFormat/>
    <w:uiPriority w:val="99"/>
    <w:rPr>
      <w:sz w:val="18"/>
      <w:szCs w:val="18"/>
    </w:rPr>
  </w:style>
  <w:style w:type="paragraph" w:styleId="19">
    <w:name w:val="footer"/>
    <w:basedOn w:val="1"/>
    <w:link w:val="61"/>
    <w:unhideWhenUsed/>
    <w:qFormat/>
    <w:uiPriority w:val="99"/>
    <w:pPr>
      <w:tabs>
        <w:tab w:val="center" w:pos="4153"/>
        <w:tab w:val="right" w:pos="8306"/>
      </w:tabs>
      <w:snapToGrid w:val="0"/>
      <w:jc w:val="left"/>
    </w:pPr>
    <w:rPr>
      <w:sz w:val="18"/>
      <w:szCs w:val="18"/>
    </w:rPr>
  </w:style>
  <w:style w:type="paragraph" w:styleId="20">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List"/>
    <w:basedOn w:val="1"/>
    <w:qFormat/>
    <w:uiPriority w:val="0"/>
    <w:pPr>
      <w:ind w:left="420" w:hanging="420"/>
    </w:pPr>
  </w:style>
  <w:style w:type="paragraph" w:styleId="23">
    <w:name w:val="index 7"/>
    <w:basedOn w:val="1"/>
    <w:next w:val="1"/>
    <w:unhideWhenUsed/>
    <w:qFormat/>
    <w:uiPriority w:val="99"/>
    <w:pPr>
      <w:ind w:left="1200" w:leftChars="1200"/>
    </w:pPr>
  </w:style>
  <w:style w:type="paragraph" w:styleId="24">
    <w:name w:val="toc 2"/>
    <w:basedOn w:val="1"/>
    <w:next w:val="1"/>
    <w:unhideWhenUsed/>
    <w:qFormat/>
    <w:uiPriority w:val="39"/>
    <w:pPr>
      <w:ind w:left="420" w:leftChars="200"/>
    </w:pPr>
  </w:style>
  <w:style w:type="paragraph" w:styleId="25">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3"/>
    <w:qFormat/>
    <w:uiPriority w:val="10"/>
    <w:pPr>
      <w:spacing w:before="240" w:after="60"/>
      <w:jc w:val="center"/>
      <w:outlineLvl w:val="0"/>
    </w:pPr>
    <w:rPr>
      <w:rFonts w:ascii="Cambria" w:hAnsi="Cambria"/>
      <w:b/>
      <w:bCs/>
      <w:sz w:val="32"/>
      <w:szCs w:val="32"/>
    </w:rPr>
  </w:style>
  <w:style w:type="paragraph" w:styleId="27">
    <w:name w:val="Body Text First Indent 2"/>
    <w:basedOn w:val="12"/>
    <w:next w:val="22"/>
    <w:qFormat/>
    <w:uiPriority w:val="0"/>
    <w:pPr>
      <w:ind w:firstLine="420" w:firstLineChars="20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Hyperlink"/>
    <w:basedOn w:val="30"/>
    <w:unhideWhenUsed/>
    <w:qFormat/>
    <w:uiPriority w:val="99"/>
    <w:rPr>
      <w:color w:val="0000FF"/>
      <w:u w:val="single"/>
    </w:rPr>
  </w:style>
  <w:style w:type="paragraph" w:styleId="34">
    <w:name w:val="List Paragraph"/>
    <w:basedOn w:val="1"/>
    <w:link w:val="66"/>
    <w:qFormat/>
    <w:uiPriority w:val="0"/>
    <w:pPr>
      <w:ind w:firstLine="420" w:firstLineChars="200"/>
    </w:pPr>
    <w:rPr>
      <w:kern w:val="0"/>
    </w:rPr>
  </w:style>
  <w:style w:type="paragraph" w:customStyle="1" w:styleId="35">
    <w:name w:val="正文 第一章"/>
    <w:basedOn w:val="1"/>
    <w:next w:val="36"/>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6">
    <w:name w:val="正文 1.1"/>
    <w:basedOn w:val="1"/>
    <w:next w:val="37"/>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7">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8">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9">
    <w:name w:val="首行缩进"/>
    <w:basedOn w:val="1"/>
    <w:next w:val="1"/>
    <w:qFormat/>
    <w:uiPriority w:val="0"/>
    <w:pPr>
      <w:spacing w:line="360" w:lineRule="auto"/>
      <w:ind w:firstLine="200" w:firstLineChars="200"/>
    </w:pPr>
    <w:rPr>
      <w:rFonts w:ascii="Calibri" w:hAnsi="Calibri"/>
      <w:sz w:val="24"/>
      <w:szCs w:val="21"/>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2">
    <w:name w:val="第四级"/>
    <w:basedOn w:val="1"/>
    <w:next w:val="41"/>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标题 2 New"/>
    <w:basedOn w:val="45"/>
    <w:next w:val="45"/>
    <w:qFormat/>
    <w:uiPriority w:val="0"/>
    <w:pPr>
      <w:keepNext/>
      <w:keepLines/>
      <w:spacing w:before="260" w:after="260" w:line="413" w:lineRule="auto"/>
      <w:outlineLvl w:val="1"/>
    </w:pPr>
    <w:rPr>
      <w:rFonts w:ascii="Arial" w:hAnsi="Arial" w:eastAsia="黑体"/>
      <w:b/>
      <w:bCs/>
      <w:sz w:val="32"/>
      <w:szCs w:val="32"/>
    </w:rPr>
  </w:style>
  <w:style w:type="paragraph" w:customStyle="1" w:styleId="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Normal_0"/>
    <w:qFormat/>
    <w:uiPriority w:val="99"/>
    <w:rPr>
      <w:rFonts w:ascii="Calibri" w:hAnsi="Calibri" w:eastAsia="宋体" w:cs="Times New Roman"/>
      <w:sz w:val="24"/>
      <w:szCs w:val="24"/>
      <w:lang w:val="en-US" w:eastAsia="zh-CN" w:bidi="ar-SA"/>
    </w:rPr>
  </w:style>
  <w:style w:type="paragraph" w:customStyle="1" w:styleId="49">
    <w:name w:val="Default"/>
    <w:next w:val="24"/>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50">
    <w:name w:val="正文文本缩进 字符"/>
    <w:link w:val="12"/>
    <w:qFormat/>
    <w:locked/>
    <w:uiPriority w:val="0"/>
    <w:rPr>
      <w:rFonts w:ascii="宋体" w:hAnsi="Courier New" w:eastAsia="宋体"/>
      <w:spacing w:val="-4"/>
      <w:sz w:val="18"/>
    </w:rPr>
  </w:style>
  <w:style w:type="character" w:customStyle="1" w:styleId="51">
    <w:name w:val="标题 1 字符"/>
    <w:basedOn w:val="30"/>
    <w:link w:val="2"/>
    <w:qFormat/>
    <w:uiPriority w:val="0"/>
    <w:rPr>
      <w:rFonts w:ascii="宋体" w:hAnsi="Arial" w:eastAsia="黑体" w:cs="Times New Roman"/>
      <w:b/>
      <w:bCs/>
      <w:color w:val="000000"/>
      <w:kern w:val="44"/>
      <w:sz w:val="36"/>
      <w:szCs w:val="32"/>
    </w:rPr>
  </w:style>
  <w:style w:type="character" w:customStyle="1" w:styleId="52">
    <w:name w:val="标题 2 字符"/>
    <w:basedOn w:val="30"/>
    <w:link w:val="3"/>
    <w:semiHidden/>
    <w:qFormat/>
    <w:uiPriority w:val="9"/>
    <w:rPr>
      <w:rFonts w:ascii="Cambria" w:hAnsi="Cambria" w:eastAsia="宋体" w:cs="Times New Roman"/>
      <w:b/>
      <w:bCs/>
      <w:sz w:val="32"/>
      <w:szCs w:val="32"/>
    </w:rPr>
  </w:style>
  <w:style w:type="character" w:customStyle="1" w:styleId="53">
    <w:name w:val="标题 3 字符"/>
    <w:basedOn w:val="30"/>
    <w:link w:val="4"/>
    <w:semiHidden/>
    <w:qFormat/>
    <w:uiPriority w:val="9"/>
    <w:rPr>
      <w:rFonts w:ascii="Times New Roman" w:hAnsi="Times New Roman" w:eastAsia="宋体" w:cs="Times New Roman"/>
      <w:b/>
      <w:bCs/>
      <w:sz w:val="32"/>
      <w:szCs w:val="32"/>
    </w:rPr>
  </w:style>
  <w:style w:type="character" w:customStyle="1" w:styleId="54">
    <w:name w:val="标题 4 字符"/>
    <w:basedOn w:val="30"/>
    <w:link w:val="5"/>
    <w:semiHidden/>
    <w:qFormat/>
    <w:uiPriority w:val="9"/>
    <w:rPr>
      <w:rFonts w:ascii="Cambria" w:hAnsi="Cambria" w:eastAsia="宋体" w:cs="Times New Roman"/>
      <w:b/>
      <w:bCs/>
      <w:sz w:val="28"/>
      <w:szCs w:val="28"/>
    </w:rPr>
  </w:style>
  <w:style w:type="character" w:customStyle="1" w:styleId="55">
    <w:name w:val="标题 5 字符"/>
    <w:basedOn w:val="30"/>
    <w:link w:val="6"/>
    <w:semiHidden/>
    <w:qFormat/>
    <w:uiPriority w:val="9"/>
    <w:rPr>
      <w:rFonts w:ascii="Times New Roman" w:hAnsi="Times New Roman" w:eastAsia="宋体" w:cs="Times New Roman"/>
      <w:b/>
      <w:bCs/>
      <w:sz w:val="28"/>
      <w:szCs w:val="28"/>
    </w:rPr>
  </w:style>
  <w:style w:type="character" w:customStyle="1" w:styleId="56">
    <w:name w:val="标题 6 字符"/>
    <w:basedOn w:val="30"/>
    <w:link w:val="7"/>
    <w:semiHidden/>
    <w:qFormat/>
    <w:uiPriority w:val="9"/>
    <w:rPr>
      <w:rFonts w:ascii="Cambria" w:hAnsi="Cambria" w:eastAsia="宋体" w:cs="Times New Roman"/>
      <w:b/>
      <w:bCs/>
      <w:sz w:val="24"/>
      <w:szCs w:val="24"/>
    </w:rPr>
  </w:style>
  <w:style w:type="character" w:customStyle="1" w:styleId="57">
    <w:name w:val="标题 7 字符"/>
    <w:basedOn w:val="30"/>
    <w:link w:val="8"/>
    <w:semiHidden/>
    <w:qFormat/>
    <w:uiPriority w:val="9"/>
    <w:rPr>
      <w:rFonts w:ascii="Times New Roman" w:hAnsi="Times New Roman" w:eastAsia="宋体" w:cs="Times New Roman"/>
      <w:b/>
      <w:bCs/>
      <w:sz w:val="24"/>
      <w:szCs w:val="24"/>
    </w:rPr>
  </w:style>
  <w:style w:type="character" w:customStyle="1" w:styleId="58">
    <w:name w:val="纯文本 字符"/>
    <w:link w:val="16"/>
    <w:qFormat/>
    <w:uiPriority w:val="0"/>
    <w:rPr>
      <w:rFonts w:ascii="宋体" w:hAnsi="Courier New" w:eastAsia="宋体"/>
      <w:sz w:val="24"/>
    </w:rPr>
  </w:style>
  <w:style w:type="character" w:customStyle="1" w:styleId="59">
    <w:name w:val="日期 字符"/>
    <w:basedOn w:val="30"/>
    <w:link w:val="17"/>
    <w:semiHidden/>
    <w:qFormat/>
    <w:uiPriority w:val="99"/>
    <w:rPr>
      <w:rFonts w:ascii="Times New Roman" w:hAnsi="Times New Roman" w:eastAsia="宋体" w:cs="Times New Roman"/>
      <w:sz w:val="28"/>
      <w:szCs w:val="20"/>
    </w:rPr>
  </w:style>
  <w:style w:type="character" w:customStyle="1" w:styleId="60">
    <w:name w:val="批注框文本 字符"/>
    <w:basedOn w:val="30"/>
    <w:link w:val="18"/>
    <w:semiHidden/>
    <w:qFormat/>
    <w:uiPriority w:val="99"/>
    <w:rPr>
      <w:rFonts w:ascii="Times New Roman" w:hAnsi="Times New Roman" w:eastAsia="宋体" w:cs="Times New Roman"/>
      <w:sz w:val="18"/>
      <w:szCs w:val="18"/>
    </w:rPr>
  </w:style>
  <w:style w:type="character" w:customStyle="1" w:styleId="61">
    <w:name w:val="页脚 字符"/>
    <w:basedOn w:val="30"/>
    <w:link w:val="19"/>
    <w:qFormat/>
    <w:uiPriority w:val="99"/>
    <w:rPr>
      <w:rFonts w:ascii="Times New Roman" w:hAnsi="Times New Roman" w:eastAsia="宋体" w:cs="Times New Roman"/>
      <w:sz w:val="18"/>
      <w:szCs w:val="18"/>
    </w:rPr>
  </w:style>
  <w:style w:type="character" w:customStyle="1" w:styleId="62">
    <w:name w:val="页眉 字符"/>
    <w:basedOn w:val="30"/>
    <w:link w:val="20"/>
    <w:semiHidden/>
    <w:qFormat/>
    <w:uiPriority w:val="99"/>
    <w:rPr>
      <w:rFonts w:ascii="Times New Roman" w:hAnsi="Times New Roman" w:eastAsia="宋体" w:cs="Times New Roman"/>
      <w:sz w:val="18"/>
      <w:szCs w:val="18"/>
    </w:rPr>
  </w:style>
  <w:style w:type="character" w:customStyle="1" w:styleId="63">
    <w:name w:val="标题 字符"/>
    <w:basedOn w:val="30"/>
    <w:link w:val="26"/>
    <w:qFormat/>
    <w:uiPriority w:val="10"/>
    <w:rPr>
      <w:rFonts w:ascii="Cambria" w:hAnsi="Cambria" w:eastAsia="宋体" w:cs="Times New Roman"/>
      <w:b/>
      <w:bCs/>
      <w:sz w:val="32"/>
      <w:szCs w:val="32"/>
    </w:rPr>
  </w:style>
  <w:style w:type="character" w:customStyle="1" w:styleId="64">
    <w:name w:val="正文文本缩进 Char1"/>
    <w:basedOn w:val="30"/>
    <w:semiHidden/>
    <w:qFormat/>
    <w:uiPriority w:val="99"/>
    <w:rPr>
      <w:rFonts w:ascii="Times New Roman" w:hAnsi="Times New Roman" w:eastAsia="宋体" w:cs="Times New Roman"/>
      <w:sz w:val="28"/>
      <w:szCs w:val="20"/>
    </w:rPr>
  </w:style>
  <w:style w:type="character" w:customStyle="1" w:styleId="65">
    <w:name w:val="纯文本 Char"/>
    <w:basedOn w:val="30"/>
    <w:semiHidden/>
    <w:qFormat/>
    <w:uiPriority w:val="99"/>
    <w:rPr>
      <w:rFonts w:ascii="宋体" w:hAnsi="Courier New" w:eastAsia="宋体" w:cs="Courier New"/>
      <w:szCs w:val="21"/>
    </w:rPr>
  </w:style>
  <w:style w:type="character" w:customStyle="1" w:styleId="66">
    <w:name w:val="列出段落 字符"/>
    <w:link w:val="34"/>
    <w:qFormat/>
    <w:locked/>
    <w:uiPriority w:val="0"/>
    <w:rPr>
      <w:rFonts w:ascii="Times New Roman" w:hAnsi="Times New Roman" w:eastAsia="宋体" w:cs="Times New Roman"/>
      <w:sz w:val="28"/>
      <w:szCs w:val="20"/>
    </w:rPr>
  </w:style>
  <w:style w:type="character" w:customStyle="1" w:styleId="67">
    <w:name w:val="正文 第五章 中间"/>
    <w:qFormat/>
    <w:uiPriority w:val="0"/>
    <w:rPr>
      <w:b/>
      <w:bCs/>
      <w:color w:val="000000"/>
      <w:sz w:val="32"/>
    </w:rPr>
  </w:style>
  <w:style w:type="character" w:customStyle="1" w:styleId="68">
    <w:name w:val="标题 3 Char"/>
    <w:qFormat/>
    <w:uiPriority w:val="0"/>
    <w:rPr>
      <w:rFonts w:eastAsia="宋体"/>
      <w:b/>
      <w:bCs/>
      <w:kern w:val="2"/>
      <w:sz w:val="32"/>
      <w:szCs w:val="32"/>
      <w:lang w:val="en-US" w:eastAsia="zh-CN" w:bidi="ar-SA"/>
    </w:rPr>
  </w:style>
  <w:style w:type="paragraph" w:customStyle="1" w:styleId="69">
    <w:name w:val="xl31"/>
    <w:basedOn w:val="1"/>
    <w:qFormat/>
    <w:uiPriority w:val="0"/>
    <w:pPr>
      <w:widowControl/>
      <w:spacing w:before="100" w:beforeAutospacing="1" w:after="100" w:afterAutospacing="1"/>
      <w:jc w:val="center"/>
    </w:pPr>
    <w:rPr>
      <w:rFonts w:ascii="宋体" w:hAnsi="宋体"/>
      <w:b/>
      <w:bCs/>
      <w:kern w:val="0"/>
      <w:szCs w:val="28"/>
    </w:rPr>
  </w:style>
  <w:style w:type="paragraph" w:customStyle="1" w:styleId="7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3"/>
    <w:basedOn w:val="1"/>
    <w:qFormat/>
    <w:uiPriority w:val="0"/>
    <w:pPr>
      <w:jc w:val="center"/>
    </w:pPr>
    <w:rPr>
      <w:rFonts w:ascii="宋体" w:hAnsi="宋体"/>
      <w:b/>
      <w:sz w:val="44"/>
      <w:szCs w:val="44"/>
    </w:rPr>
  </w:style>
  <w:style w:type="paragraph" w:customStyle="1" w:styleId="72">
    <w:name w:val="text-tag1"/>
    <w:basedOn w:val="1"/>
    <w:qFormat/>
    <w:uiPriority w:val="0"/>
    <w:pPr>
      <w:widowControl/>
      <w:spacing w:before="100" w:beforeAutospacing="1" w:after="100" w:afterAutospacing="1" w:line="357" w:lineRule="atLeast"/>
      <w:jc w:val="left"/>
      <w:textAlignment w:val="baseline"/>
    </w:pPr>
    <w:rPr>
      <w:rFonts w:ascii="宋体" w:hAnsi="宋体" w:cs="宋体"/>
      <w:color w:val="000000"/>
      <w:kern w:val="0"/>
      <w:sz w:val="24"/>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41</Pages>
  <Words>18402</Words>
  <Characters>18947</Characters>
  <Lines>170</Lines>
  <Paragraphs>48</Paragraphs>
  <TotalTime>10</TotalTime>
  <ScaleCrop>false</ScaleCrop>
  <LinksUpToDate>false</LinksUpToDate>
  <CharactersWithSpaces>21795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2024-06-11T08:03:00Z</cp:lastPrinted>
  <dcterms:modified xsi:type="dcterms:W3CDTF">2024-06-27T02:31:33Z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EAC44338E1E24FDEB2DD427574D494DE_13</vt:lpwstr>
  </property>
</Properties>
</file>