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before="312" w:beforeLines="100" w:after="156" w:afterLines="50" w:line="500" w:lineRule="exact"/>
        <w:ind w:right="267" w:rightChars="127"/>
        <w:jc w:val="center"/>
        <w:rPr>
          <w:rFonts w:ascii="宋体" w:eastAsia="宋体"/>
          <w:b/>
          <w:bCs/>
          <w:sz w:val="52"/>
          <w:szCs w:val="52"/>
          <w:highlight w:val="none"/>
        </w:rPr>
      </w:pPr>
    </w:p>
    <w:p>
      <w:pPr>
        <w:tabs>
          <w:tab w:val="left" w:pos="315"/>
          <w:tab w:val="left" w:pos="8820"/>
        </w:tabs>
        <w:spacing w:before="312" w:beforeLines="100" w:after="156" w:afterLines="50" w:line="360" w:lineRule="auto"/>
        <w:ind w:right="267" w:rightChars="127"/>
        <w:jc w:val="center"/>
        <w:rPr>
          <w:rFonts w:hint="eastAsia" w:ascii="宋体" w:eastAsia="宋体"/>
          <w:b/>
          <w:bCs/>
          <w:sz w:val="44"/>
          <w:szCs w:val="44"/>
          <w:highlight w:val="none"/>
          <w:lang w:eastAsia="zh-CN"/>
        </w:rPr>
      </w:pPr>
      <w:r>
        <w:rPr>
          <w:rFonts w:hint="eastAsia" w:ascii="宋体" w:eastAsia="宋体"/>
          <w:b/>
          <w:bCs/>
          <w:sz w:val="44"/>
          <w:szCs w:val="44"/>
          <w:highlight w:val="none"/>
          <w:lang w:eastAsia="zh-CN"/>
        </w:rPr>
        <w:t>皖南医学院滨江校区（文津西路8号）综合安防系统升级改造项目</w:t>
      </w:r>
    </w:p>
    <w:p>
      <w:pPr>
        <w:tabs>
          <w:tab w:val="left" w:pos="315"/>
          <w:tab w:val="left" w:pos="8820"/>
        </w:tabs>
        <w:spacing w:before="312" w:beforeLines="100" w:after="156" w:afterLines="50" w:line="500" w:lineRule="exact"/>
        <w:ind w:right="267" w:rightChars="127"/>
        <w:jc w:val="center"/>
        <w:rPr>
          <w:rFonts w:ascii="宋体" w:eastAsia="宋体"/>
          <w:b/>
          <w:bCs/>
          <w:sz w:val="44"/>
          <w:szCs w:val="44"/>
          <w:highlight w:val="none"/>
        </w:rPr>
      </w:pPr>
      <w:r>
        <w:rPr>
          <w:rFonts w:hint="eastAsia" w:ascii="宋体" w:eastAsia="宋体"/>
          <w:b/>
          <w:bCs/>
          <w:sz w:val="44"/>
          <w:szCs w:val="44"/>
          <w:highlight w:val="none"/>
        </w:rPr>
        <w:t>招标文件</w:t>
      </w:r>
    </w:p>
    <w:p>
      <w:pPr>
        <w:tabs>
          <w:tab w:val="left" w:pos="315"/>
          <w:tab w:val="left" w:pos="8820"/>
        </w:tabs>
        <w:spacing w:before="312" w:beforeLines="100" w:after="156" w:afterLines="50" w:line="500" w:lineRule="exact"/>
        <w:ind w:right="267" w:rightChars="127"/>
        <w:jc w:val="center"/>
        <w:rPr>
          <w:rFonts w:ascii="宋体" w:eastAsia="宋体"/>
          <w:b/>
          <w:bCs/>
          <w:sz w:val="44"/>
          <w:szCs w:val="44"/>
          <w:highlight w:val="none"/>
        </w:rPr>
      </w:pPr>
    </w:p>
    <w:p>
      <w:pPr>
        <w:tabs>
          <w:tab w:val="left" w:pos="315"/>
          <w:tab w:val="left" w:pos="8820"/>
        </w:tabs>
        <w:spacing w:before="312" w:beforeLines="100" w:after="156" w:afterLines="50" w:line="500" w:lineRule="exact"/>
        <w:ind w:right="267" w:rightChars="127"/>
        <w:jc w:val="center"/>
        <w:rPr>
          <w:rFonts w:ascii="宋体" w:eastAsia="宋体"/>
          <w:b/>
          <w:bCs/>
          <w:sz w:val="44"/>
          <w:szCs w:val="44"/>
          <w:highlight w:val="none"/>
        </w:rPr>
      </w:pPr>
    </w:p>
    <w:p>
      <w:pPr>
        <w:tabs>
          <w:tab w:val="left" w:pos="315"/>
          <w:tab w:val="left" w:pos="8820"/>
        </w:tabs>
        <w:spacing w:before="312" w:beforeLines="100" w:after="156" w:afterLines="50" w:line="500" w:lineRule="exact"/>
        <w:ind w:right="267" w:rightChars="127"/>
        <w:jc w:val="center"/>
        <w:rPr>
          <w:rFonts w:ascii="宋体" w:eastAsia="宋体"/>
          <w:b/>
          <w:bCs/>
          <w:sz w:val="44"/>
          <w:szCs w:val="44"/>
          <w:highlight w:val="none"/>
        </w:rPr>
      </w:pPr>
    </w:p>
    <w:p>
      <w:pPr>
        <w:pStyle w:val="4"/>
        <w:rPr>
          <w:rFonts w:ascii="宋体" w:eastAsia="宋体"/>
          <w:b/>
          <w:bCs/>
          <w:sz w:val="44"/>
          <w:szCs w:val="44"/>
          <w:highlight w:val="none"/>
        </w:rPr>
      </w:pPr>
    </w:p>
    <w:p>
      <w:pPr>
        <w:pStyle w:val="4"/>
        <w:rPr>
          <w:rFonts w:ascii="宋体" w:eastAsia="宋体"/>
          <w:b/>
          <w:bCs/>
          <w:sz w:val="44"/>
          <w:szCs w:val="44"/>
          <w:highlight w:val="none"/>
        </w:rPr>
      </w:pPr>
    </w:p>
    <w:p>
      <w:pPr>
        <w:pStyle w:val="4"/>
        <w:rPr>
          <w:rFonts w:ascii="宋体" w:eastAsia="宋体"/>
          <w:b/>
          <w:bCs/>
          <w:sz w:val="44"/>
          <w:szCs w:val="44"/>
          <w:highlight w:val="none"/>
        </w:rPr>
      </w:pPr>
    </w:p>
    <w:p>
      <w:pPr>
        <w:tabs>
          <w:tab w:val="left" w:pos="2410"/>
        </w:tabs>
        <w:autoSpaceDE w:val="0"/>
        <w:autoSpaceDN w:val="0"/>
        <w:adjustRightInd w:val="0"/>
        <w:snapToGrid w:val="0"/>
        <w:spacing w:line="360" w:lineRule="auto"/>
        <w:ind w:firstLine="723" w:firstLineChars="200"/>
        <w:rPr>
          <w:rFonts w:ascii="宋体" w:eastAsia="宋体"/>
          <w:b/>
          <w:spacing w:val="20"/>
          <w:kern w:val="0"/>
          <w:sz w:val="32"/>
          <w:szCs w:val="32"/>
          <w:highlight w:val="none"/>
        </w:rPr>
      </w:pPr>
      <w:r>
        <w:rPr>
          <w:rFonts w:hint="eastAsia" w:ascii="宋体" w:eastAsia="宋体"/>
          <w:b/>
          <w:spacing w:val="20"/>
          <w:kern w:val="0"/>
          <w:sz w:val="32"/>
          <w:szCs w:val="32"/>
          <w:highlight w:val="none"/>
        </w:rPr>
        <w:t>项目名称：</w:t>
      </w:r>
      <w:r>
        <w:rPr>
          <w:rFonts w:hint="eastAsia" w:ascii="宋体" w:eastAsia="宋体"/>
          <w:b/>
          <w:spacing w:val="20"/>
          <w:kern w:val="0"/>
          <w:sz w:val="32"/>
          <w:szCs w:val="32"/>
          <w:highlight w:val="none"/>
          <w:lang w:eastAsia="zh-CN"/>
        </w:rPr>
        <w:t>皖南医学院滨江校区（文津西路8号）综合安防系统升级改造项目</w:t>
      </w:r>
      <w:r>
        <w:rPr>
          <w:rFonts w:hint="eastAsia" w:ascii="宋体" w:eastAsia="宋体"/>
          <w:b/>
          <w:spacing w:val="20"/>
          <w:kern w:val="0"/>
          <w:sz w:val="32"/>
          <w:szCs w:val="32"/>
          <w:highlight w:val="none"/>
        </w:rPr>
        <w:t xml:space="preserve"> </w:t>
      </w:r>
    </w:p>
    <w:p>
      <w:pPr>
        <w:tabs>
          <w:tab w:val="left" w:pos="2410"/>
        </w:tabs>
        <w:autoSpaceDE w:val="0"/>
        <w:autoSpaceDN w:val="0"/>
        <w:adjustRightInd w:val="0"/>
        <w:snapToGrid w:val="0"/>
        <w:spacing w:line="360" w:lineRule="auto"/>
        <w:ind w:firstLine="723" w:firstLineChars="200"/>
        <w:rPr>
          <w:rFonts w:hint="eastAsia" w:ascii="宋体" w:eastAsia="宋体"/>
          <w:b/>
          <w:spacing w:val="20"/>
          <w:kern w:val="0"/>
          <w:sz w:val="32"/>
          <w:szCs w:val="32"/>
          <w:highlight w:val="none"/>
          <w:lang w:eastAsia="zh-CN"/>
        </w:rPr>
      </w:pPr>
      <w:r>
        <w:rPr>
          <w:rFonts w:hint="eastAsia" w:ascii="宋体" w:eastAsia="宋体"/>
          <w:b/>
          <w:spacing w:val="20"/>
          <w:kern w:val="0"/>
          <w:sz w:val="32"/>
          <w:szCs w:val="32"/>
          <w:highlight w:val="none"/>
        </w:rPr>
        <w:t>项目编号：</w:t>
      </w:r>
      <w:r>
        <w:rPr>
          <w:rFonts w:hint="eastAsia" w:ascii="宋体" w:eastAsia="宋体"/>
          <w:b/>
          <w:spacing w:val="20"/>
          <w:kern w:val="0"/>
          <w:sz w:val="32"/>
          <w:szCs w:val="32"/>
          <w:highlight w:val="none"/>
          <w:lang w:eastAsia="zh-CN"/>
        </w:rPr>
        <w:t>FSSD34000120243645号001</w:t>
      </w:r>
    </w:p>
    <w:p>
      <w:pPr>
        <w:tabs>
          <w:tab w:val="left" w:pos="2410"/>
        </w:tabs>
        <w:autoSpaceDE w:val="0"/>
        <w:autoSpaceDN w:val="0"/>
        <w:adjustRightInd w:val="0"/>
        <w:snapToGrid w:val="0"/>
        <w:spacing w:line="360" w:lineRule="auto"/>
        <w:ind w:firstLine="723" w:firstLineChars="200"/>
        <w:rPr>
          <w:rFonts w:ascii="宋体" w:eastAsia="宋体"/>
          <w:b/>
          <w:spacing w:val="20"/>
          <w:kern w:val="0"/>
          <w:sz w:val="32"/>
          <w:szCs w:val="32"/>
          <w:highlight w:val="none"/>
        </w:rPr>
      </w:pPr>
      <w:r>
        <w:rPr>
          <w:rFonts w:hint="eastAsia" w:ascii="宋体" w:eastAsia="宋体"/>
          <w:b/>
          <w:spacing w:val="20"/>
          <w:kern w:val="0"/>
          <w:sz w:val="32"/>
          <w:szCs w:val="32"/>
          <w:highlight w:val="none"/>
        </w:rPr>
        <w:t>采 购 人：皖南医学院</w:t>
      </w:r>
    </w:p>
    <w:p>
      <w:pPr>
        <w:tabs>
          <w:tab w:val="left" w:pos="2410"/>
        </w:tabs>
        <w:autoSpaceDE w:val="0"/>
        <w:autoSpaceDN w:val="0"/>
        <w:adjustRightInd w:val="0"/>
        <w:snapToGrid w:val="0"/>
        <w:spacing w:line="360" w:lineRule="auto"/>
        <w:ind w:firstLine="723" w:firstLineChars="200"/>
        <w:rPr>
          <w:rFonts w:ascii="宋体" w:eastAsia="宋体"/>
          <w:b/>
          <w:spacing w:val="20"/>
          <w:kern w:val="0"/>
          <w:sz w:val="32"/>
          <w:szCs w:val="32"/>
          <w:highlight w:val="none"/>
        </w:rPr>
      </w:pPr>
      <w:r>
        <w:rPr>
          <w:rFonts w:hint="eastAsia" w:ascii="宋体" w:eastAsia="宋体"/>
          <w:b/>
          <w:spacing w:val="20"/>
          <w:kern w:val="0"/>
          <w:sz w:val="32"/>
          <w:szCs w:val="32"/>
          <w:highlight w:val="none"/>
        </w:rPr>
        <w:t>采购代理机构：安徽安兆工程技术咨询服务有限公司</w:t>
      </w:r>
    </w:p>
    <w:p>
      <w:pPr>
        <w:tabs>
          <w:tab w:val="left" w:pos="315"/>
          <w:tab w:val="left" w:pos="8820"/>
        </w:tabs>
        <w:spacing w:before="312" w:beforeLines="100" w:after="156" w:afterLines="50" w:line="500" w:lineRule="exact"/>
        <w:ind w:right="267" w:rightChars="127"/>
        <w:jc w:val="center"/>
        <w:rPr>
          <w:rFonts w:ascii="宋体" w:eastAsia="宋体"/>
          <w:b/>
          <w:bCs/>
          <w:sz w:val="44"/>
          <w:szCs w:val="44"/>
          <w:highlight w:val="none"/>
        </w:rPr>
      </w:pPr>
    </w:p>
    <w:p>
      <w:pPr>
        <w:pStyle w:val="4"/>
        <w:rPr>
          <w:highlight w:val="none"/>
        </w:rPr>
      </w:pPr>
    </w:p>
    <w:p>
      <w:pPr>
        <w:tabs>
          <w:tab w:val="left" w:pos="2410"/>
        </w:tabs>
        <w:autoSpaceDE w:val="0"/>
        <w:autoSpaceDN w:val="0"/>
        <w:adjustRightInd w:val="0"/>
        <w:snapToGrid w:val="0"/>
        <w:spacing w:line="360" w:lineRule="auto"/>
        <w:jc w:val="center"/>
        <w:rPr>
          <w:rFonts w:ascii="宋体" w:eastAsia="宋体"/>
          <w:b/>
          <w:sz w:val="36"/>
          <w:highlight w:val="none"/>
        </w:rPr>
      </w:pPr>
      <w:r>
        <w:rPr>
          <w:rFonts w:hint="eastAsia" w:ascii="宋体" w:eastAsia="宋体"/>
          <w:b/>
          <w:sz w:val="36"/>
          <w:highlight w:val="none"/>
        </w:rPr>
        <w:t>2024年</w:t>
      </w:r>
      <w:r>
        <w:rPr>
          <w:rFonts w:hint="eastAsia" w:ascii="宋体" w:eastAsia="宋体"/>
          <w:b/>
          <w:sz w:val="36"/>
          <w:highlight w:val="none"/>
          <w:lang w:val="en-US" w:eastAsia="zh-CN"/>
        </w:rPr>
        <w:t>6</w:t>
      </w:r>
      <w:r>
        <w:rPr>
          <w:rFonts w:hint="eastAsia" w:ascii="宋体" w:eastAsia="宋体"/>
          <w:b/>
          <w:sz w:val="36"/>
          <w:highlight w:val="none"/>
        </w:rPr>
        <w:t>月</w:t>
      </w:r>
      <w:r>
        <w:rPr>
          <w:rFonts w:ascii="宋体" w:eastAsia="宋体"/>
          <w:b/>
          <w:sz w:val="36"/>
          <w:highlight w:val="none"/>
        </w:rPr>
        <w:br w:type="page"/>
      </w:r>
    </w:p>
    <w:p>
      <w:pPr>
        <w:tabs>
          <w:tab w:val="left" w:pos="2410"/>
        </w:tabs>
        <w:autoSpaceDE w:val="0"/>
        <w:autoSpaceDN w:val="0"/>
        <w:adjustRightInd w:val="0"/>
        <w:snapToGrid w:val="0"/>
        <w:spacing w:line="360" w:lineRule="auto"/>
        <w:jc w:val="center"/>
        <w:rPr>
          <w:rFonts w:ascii="宋体" w:eastAsia="宋体"/>
          <w:b/>
          <w:sz w:val="28"/>
          <w:highlight w:val="none"/>
        </w:rPr>
      </w:pPr>
      <w:r>
        <w:rPr>
          <w:rFonts w:hint="eastAsia" w:ascii="宋体" w:eastAsia="宋体"/>
          <w:b/>
          <w:sz w:val="28"/>
          <w:highlight w:val="none"/>
        </w:rPr>
        <w:t>目  录</w:t>
      </w:r>
    </w:p>
    <w:p>
      <w:pPr>
        <w:pStyle w:val="19"/>
        <w:tabs>
          <w:tab w:val="right" w:leader="dot" w:pos="8306"/>
        </w:tabs>
      </w:pPr>
      <w:r>
        <w:fldChar w:fldCharType="begin"/>
      </w:r>
      <w:r>
        <w:instrText xml:space="preserve">TOC \o "1-1" \h \u </w:instrText>
      </w:r>
      <w:bookmarkStart w:id="0" w:name="_Toc23443"/>
      <w:r>
        <w:fldChar w:fldCharType="separate"/>
      </w:r>
      <w:r>
        <w:fldChar w:fldCharType="begin"/>
      </w:r>
      <w:r>
        <w:instrText xml:space="preserve"> HYPERLINK \l _Toc4570 </w:instrText>
      </w:r>
      <w:r>
        <w:fldChar w:fldCharType="separate"/>
      </w:r>
      <w:r>
        <w:rPr>
          <w:rFonts w:hint="eastAsia" w:ascii="宋体" w:eastAsia="宋体"/>
          <w:highlight w:val="none"/>
        </w:rPr>
        <w:t xml:space="preserve">第一章 </w:t>
      </w:r>
      <w:r>
        <w:rPr>
          <w:rFonts w:ascii="宋体" w:eastAsia="宋体"/>
          <w:highlight w:val="none"/>
        </w:rPr>
        <w:t xml:space="preserve"> 投标邀请</w:t>
      </w:r>
      <w:r>
        <w:tab/>
      </w:r>
      <w:r>
        <w:fldChar w:fldCharType="begin"/>
      </w:r>
      <w:r>
        <w:instrText xml:space="preserve"> PAGEREF _Toc4570 \h </w:instrText>
      </w:r>
      <w:r>
        <w:fldChar w:fldCharType="separate"/>
      </w:r>
      <w:r>
        <w:t>1</w:t>
      </w:r>
      <w:r>
        <w:fldChar w:fldCharType="end"/>
      </w:r>
      <w:r>
        <w:fldChar w:fldCharType="end"/>
      </w:r>
    </w:p>
    <w:p>
      <w:pPr>
        <w:pStyle w:val="19"/>
        <w:tabs>
          <w:tab w:val="right" w:leader="dot" w:pos="8306"/>
        </w:tabs>
      </w:pPr>
      <w:r>
        <w:fldChar w:fldCharType="begin"/>
      </w:r>
      <w:r>
        <w:instrText xml:space="preserve"> HYPERLINK \l _Toc16736 </w:instrText>
      </w:r>
      <w:r>
        <w:fldChar w:fldCharType="separate"/>
      </w:r>
      <w:r>
        <w:rPr>
          <w:rFonts w:hint="eastAsia" w:ascii="宋体" w:eastAsia="宋体"/>
          <w:highlight w:val="none"/>
        </w:rPr>
        <w:t>第二章</w:t>
      </w:r>
      <w:r>
        <w:rPr>
          <w:rFonts w:hint="eastAsia" w:ascii="宋体" w:eastAsia="宋体"/>
          <w:highlight w:val="none"/>
          <w:lang w:val="en-US" w:eastAsia="zh-CN"/>
        </w:rPr>
        <w:t xml:space="preserve">  </w:t>
      </w:r>
      <w:r>
        <w:rPr>
          <w:rFonts w:ascii="宋体" w:eastAsia="宋体"/>
          <w:highlight w:val="none"/>
        </w:rPr>
        <w:t>投标人须知</w:t>
      </w:r>
      <w:r>
        <w:tab/>
      </w:r>
      <w:r>
        <w:fldChar w:fldCharType="begin"/>
      </w:r>
      <w:r>
        <w:instrText xml:space="preserve"> PAGEREF _Toc16736 \h </w:instrText>
      </w:r>
      <w:r>
        <w:fldChar w:fldCharType="separate"/>
      </w:r>
      <w:r>
        <w:t>4</w:t>
      </w:r>
      <w:r>
        <w:fldChar w:fldCharType="end"/>
      </w:r>
      <w:r>
        <w:fldChar w:fldCharType="end"/>
      </w:r>
    </w:p>
    <w:p>
      <w:pPr>
        <w:pStyle w:val="19"/>
        <w:tabs>
          <w:tab w:val="right" w:leader="dot" w:pos="8306"/>
        </w:tabs>
      </w:pPr>
      <w:r>
        <w:fldChar w:fldCharType="begin"/>
      </w:r>
      <w:r>
        <w:instrText xml:space="preserve"> HYPERLINK \l _Toc2994 </w:instrText>
      </w:r>
      <w:r>
        <w:fldChar w:fldCharType="separate"/>
      </w:r>
      <w:r>
        <w:rPr>
          <w:rFonts w:hint="eastAsia" w:ascii="宋体" w:eastAsia="宋体"/>
          <w:highlight w:val="none"/>
        </w:rPr>
        <w:t>第三章  采购需求</w:t>
      </w:r>
      <w:r>
        <w:tab/>
      </w:r>
      <w:r>
        <w:fldChar w:fldCharType="begin"/>
      </w:r>
      <w:r>
        <w:instrText xml:space="preserve"> PAGEREF _Toc2994 \h </w:instrText>
      </w:r>
      <w:r>
        <w:fldChar w:fldCharType="separate"/>
      </w:r>
      <w:r>
        <w:t>22</w:t>
      </w:r>
      <w:r>
        <w:fldChar w:fldCharType="end"/>
      </w:r>
      <w:r>
        <w:fldChar w:fldCharType="end"/>
      </w:r>
    </w:p>
    <w:p>
      <w:pPr>
        <w:pStyle w:val="19"/>
        <w:tabs>
          <w:tab w:val="right" w:leader="dot" w:pos="8306"/>
        </w:tabs>
      </w:pPr>
      <w:r>
        <w:fldChar w:fldCharType="begin"/>
      </w:r>
      <w:r>
        <w:instrText xml:space="preserve"> HYPERLINK \l _Toc30207 </w:instrText>
      </w:r>
      <w:r>
        <w:fldChar w:fldCharType="separate"/>
      </w:r>
      <w:r>
        <w:rPr>
          <w:rFonts w:hint="eastAsia" w:ascii="宋体" w:eastAsia="宋体"/>
          <w:highlight w:val="none"/>
        </w:rPr>
        <w:t>第四章  评标方法和标准（最低评标价法）</w:t>
      </w:r>
      <w:r>
        <w:tab/>
      </w:r>
      <w:r>
        <w:fldChar w:fldCharType="begin"/>
      </w:r>
      <w:r>
        <w:instrText xml:space="preserve"> PAGEREF _Toc30207 \h </w:instrText>
      </w:r>
      <w:r>
        <w:fldChar w:fldCharType="separate"/>
      </w:r>
      <w:r>
        <w:t>48</w:t>
      </w:r>
      <w:r>
        <w:fldChar w:fldCharType="end"/>
      </w:r>
      <w:r>
        <w:fldChar w:fldCharType="end"/>
      </w:r>
    </w:p>
    <w:p>
      <w:pPr>
        <w:pStyle w:val="19"/>
        <w:tabs>
          <w:tab w:val="right" w:leader="dot" w:pos="8306"/>
        </w:tabs>
      </w:pPr>
      <w:r>
        <w:fldChar w:fldCharType="begin"/>
      </w:r>
      <w:r>
        <w:instrText xml:space="preserve"> HYPERLINK \l _Toc8061 </w:instrText>
      </w:r>
      <w:r>
        <w:fldChar w:fldCharType="separate"/>
      </w:r>
      <w:r>
        <w:rPr>
          <w:rFonts w:hint="eastAsia" w:ascii="宋体" w:eastAsia="宋体"/>
          <w:highlight w:val="none"/>
        </w:rPr>
        <w:t xml:space="preserve">第五章  </w:t>
      </w:r>
      <w:r>
        <w:rPr>
          <w:rFonts w:ascii="宋体" w:eastAsia="宋体"/>
          <w:highlight w:val="none"/>
        </w:rPr>
        <w:t>政府采购合同</w:t>
      </w:r>
      <w:r>
        <w:tab/>
      </w:r>
      <w:r>
        <w:fldChar w:fldCharType="begin"/>
      </w:r>
      <w:r>
        <w:instrText xml:space="preserve"> PAGEREF _Toc8061 \h </w:instrText>
      </w:r>
      <w:r>
        <w:fldChar w:fldCharType="separate"/>
      </w:r>
      <w:r>
        <w:t>51</w:t>
      </w:r>
      <w:r>
        <w:fldChar w:fldCharType="end"/>
      </w:r>
      <w:r>
        <w:fldChar w:fldCharType="end"/>
      </w:r>
    </w:p>
    <w:p>
      <w:pPr>
        <w:pStyle w:val="19"/>
        <w:tabs>
          <w:tab w:val="right" w:leader="dot" w:pos="8306"/>
        </w:tabs>
      </w:pPr>
      <w:r>
        <w:fldChar w:fldCharType="begin"/>
      </w:r>
      <w:r>
        <w:instrText xml:space="preserve"> HYPERLINK \l _Toc23872 </w:instrText>
      </w:r>
      <w:r>
        <w:fldChar w:fldCharType="separate"/>
      </w:r>
      <w:r>
        <w:rPr>
          <w:rFonts w:hint="eastAsia" w:ascii="宋体" w:eastAsia="宋体"/>
          <w:highlight w:val="none"/>
        </w:rPr>
        <w:t>第六章  投标文件格式</w:t>
      </w:r>
      <w:r>
        <w:tab/>
      </w:r>
      <w:r>
        <w:fldChar w:fldCharType="begin"/>
      </w:r>
      <w:r>
        <w:instrText xml:space="preserve"> PAGEREF _Toc23872 \h </w:instrText>
      </w:r>
      <w:r>
        <w:fldChar w:fldCharType="separate"/>
      </w:r>
      <w:r>
        <w:t>63</w:t>
      </w:r>
      <w:r>
        <w:fldChar w:fldCharType="end"/>
      </w:r>
      <w:r>
        <w:fldChar w:fldCharType="end"/>
      </w:r>
    </w:p>
    <w:p>
      <w:pPr>
        <w:pStyle w:val="19"/>
        <w:tabs>
          <w:tab w:val="right" w:leader="dot" w:pos="8306"/>
        </w:tabs>
      </w:pPr>
      <w:r>
        <w:fldChar w:fldCharType="begin"/>
      </w:r>
      <w:r>
        <w:instrText xml:space="preserve"> HYPERLINK \l _Toc23278 </w:instrText>
      </w:r>
      <w:r>
        <w:fldChar w:fldCharType="separate"/>
      </w:r>
      <w:r>
        <w:rPr>
          <w:rFonts w:hint="eastAsia" w:ascii="宋体" w:eastAsia="宋体"/>
          <w:highlight w:val="none"/>
        </w:rPr>
        <w:t>第七章</w:t>
      </w:r>
      <w:r>
        <w:rPr>
          <w:rFonts w:hint="eastAsia" w:ascii="宋体" w:eastAsia="宋体"/>
          <w:bCs/>
          <w:highlight w:val="none"/>
        </w:rPr>
        <w:t xml:space="preserve">  政府采购</w:t>
      </w:r>
      <w:r>
        <w:rPr>
          <w:rFonts w:hint="eastAsia" w:ascii="宋体" w:eastAsia="宋体"/>
          <w:highlight w:val="none"/>
        </w:rPr>
        <w:t>供应</w:t>
      </w:r>
      <w:r>
        <w:rPr>
          <w:rFonts w:hint="eastAsia" w:ascii="宋体" w:eastAsia="宋体"/>
          <w:bCs/>
          <w:highlight w:val="none"/>
        </w:rPr>
        <w:t>商询问函和质疑函范本</w:t>
      </w:r>
      <w:r>
        <w:tab/>
      </w:r>
      <w:r>
        <w:fldChar w:fldCharType="begin"/>
      </w:r>
      <w:r>
        <w:instrText xml:space="preserve"> PAGEREF _Toc23278 \h </w:instrText>
      </w:r>
      <w:r>
        <w:fldChar w:fldCharType="separate"/>
      </w:r>
      <w:r>
        <w:t>78</w:t>
      </w:r>
      <w:r>
        <w:fldChar w:fldCharType="end"/>
      </w:r>
      <w:r>
        <w:fldChar w:fldCharType="end"/>
      </w:r>
    </w:p>
    <w:p>
      <w:pPr>
        <w:pStyle w:val="19"/>
        <w:tabs>
          <w:tab w:val="right" w:leader="dot" w:pos="8306"/>
        </w:tabs>
      </w:pPr>
    </w:p>
    <w:p>
      <w:pPr>
        <w:spacing w:line="360" w:lineRule="auto"/>
        <w:jc w:val="center"/>
        <w:outlineLvl w:val="0"/>
        <w:rPr>
          <w:rFonts w:hint="eastAsia" w:ascii="宋体" w:eastAsia="宋体"/>
          <w:b/>
          <w:sz w:val="28"/>
          <w:highlight w:val="none"/>
        </w:rPr>
        <w:sectPr>
          <w:headerReference r:id="rId3" w:type="default"/>
          <w:footerReference r:id="rId4" w:type="default"/>
          <w:pgSz w:w="11906" w:h="16838"/>
          <w:pgMar w:top="1440" w:right="1800" w:bottom="1440" w:left="1800" w:header="851" w:footer="992" w:gutter="0"/>
          <w:cols w:space="720" w:num="1"/>
          <w:docGrid w:type="lines" w:linePitch="312" w:charSpace="0"/>
        </w:sectPr>
      </w:pPr>
      <w:r>
        <w:fldChar w:fldCharType="end"/>
      </w:r>
    </w:p>
    <w:p>
      <w:pPr>
        <w:spacing w:line="360" w:lineRule="auto"/>
        <w:jc w:val="center"/>
        <w:outlineLvl w:val="0"/>
        <w:rPr>
          <w:rFonts w:ascii="宋体" w:eastAsia="宋体"/>
          <w:b/>
          <w:sz w:val="28"/>
          <w:highlight w:val="none"/>
        </w:rPr>
      </w:pPr>
      <w:bookmarkStart w:id="1" w:name="_Toc18468"/>
      <w:bookmarkStart w:id="2" w:name="_Toc13267"/>
      <w:bookmarkStart w:id="3" w:name="_Toc4570"/>
      <w:bookmarkStart w:id="4" w:name="_Toc23185"/>
      <w:r>
        <w:rPr>
          <w:rFonts w:hint="eastAsia" w:ascii="宋体" w:eastAsia="宋体"/>
          <w:b/>
          <w:sz w:val="28"/>
          <w:highlight w:val="none"/>
        </w:rPr>
        <w:t xml:space="preserve">第一章 </w:t>
      </w:r>
      <w:r>
        <w:rPr>
          <w:rFonts w:ascii="宋体" w:eastAsia="宋体"/>
          <w:b/>
          <w:sz w:val="28"/>
          <w:highlight w:val="none"/>
        </w:rPr>
        <w:t xml:space="preserve"> 投标邀请</w:t>
      </w:r>
      <w:bookmarkEnd w:id="0"/>
      <w:bookmarkEnd w:id="1"/>
      <w:bookmarkEnd w:id="2"/>
      <w:bookmarkEnd w:id="3"/>
      <w:bookmarkEnd w:id="4"/>
    </w:p>
    <w:p>
      <w:pPr>
        <w:spacing w:line="360" w:lineRule="auto"/>
        <w:ind w:firstLine="437"/>
        <w:outlineLvl w:val="1"/>
        <w:rPr>
          <w:rFonts w:ascii="宋体" w:eastAsia="宋体"/>
          <w:b/>
          <w:bCs/>
          <w:sz w:val="24"/>
          <w:szCs w:val="18"/>
          <w:highlight w:val="none"/>
        </w:rPr>
      </w:pPr>
      <w:bookmarkStart w:id="5" w:name="_Toc1381"/>
      <w:bookmarkStart w:id="6" w:name="_Toc3712"/>
      <w:bookmarkStart w:id="7" w:name="_Toc5842"/>
      <w:r>
        <w:rPr>
          <w:rFonts w:hint="eastAsia" w:ascii="宋体" w:eastAsia="宋体"/>
          <w:b/>
          <w:bCs/>
          <w:sz w:val="24"/>
          <w:szCs w:val="18"/>
          <w:highlight w:val="none"/>
        </w:rPr>
        <w:t>一、</w:t>
      </w:r>
      <w:bookmarkEnd w:id="5"/>
      <w:r>
        <w:rPr>
          <w:rFonts w:hint="eastAsia" w:ascii="宋体" w:eastAsia="宋体"/>
          <w:b/>
          <w:bCs/>
          <w:sz w:val="24"/>
          <w:szCs w:val="18"/>
          <w:highlight w:val="none"/>
        </w:rPr>
        <w:t>项目基本情况</w:t>
      </w:r>
      <w:bookmarkEnd w:id="6"/>
      <w:bookmarkEnd w:id="7"/>
    </w:p>
    <w:p>
      <w:pPr>
        <w:spacing w:line="360" w:lineRule="auto"/>
        <w:ind w:firstLine="435"/>
        <w:rPr>
          <w:rFonts w:hint="eastAsia" w:ascii="宋体" w:eastAsia="宋体"/>
          <w:sz w:val="24"/>
          <w:highlight w:val="none"/>
          <w:lang w:eastAsia="zh-CN"/>
        </w:rPr>
      </w:pPr>
      <w:r>
        <w:rPr>
          <w:rFonts w:hint="eastAsia" w:ascii="宋体" w:eastAsia="宋体"/>
          <w:sz w:val="24"/>
          <w:highlight w:val="none"/>
        </w:rPr>
        <w:t>1.项目编号：</w:t>
      </w:r>
      <w:r>
        <w:rPr>
          <w:rFonts w:hint="eastAsia" w:ascii="宋体" w:eastAsia="宋体"/>
          <w:sz w:val="24"/>
          <w:szCs w:val="18"/>
          <w:highlight w:val="none"/>
          <w:lang w:eastAsia="zh-CN"/>
        </w:rPr>
        <w:t>FSSD34000120243645号001</w:t>
      </w:r>
    </w:p>
    <w:p>
      <w:pPr>
        <w:spacing w:line="360" w:lineRule="auto"/>
        <w:ind w:firstLine="435"/>
        <w:rPr>
          <w:rFonts w:hint="eastAsia" w:ascii="宋体" w:eastAsia="宋体"/>
          <w:sz w:val="24"/>
          <w:szCs w:val="18"/>
          <w:highlight w:val="none"/>
          <w:lang w:eastAsia="zh-CN"/>
        </w:rPr>
      </w:pPr>
      <w:r>
        <w:rPr>
          <w:rFonts w:hint="eastAsia" w:ascii="宋体" w:eastAsia="宋体"/>
          <w:sz w:val="24"/>
          <w:highlight w:val="none"/>
        </w:rPr>
        <w:t>2.项目名称：</w:t>
      </w:r>
      <w:r>
        <w:rPr>
          <w:rFonts w:hint="eastAsia" w:ascii="宋体" w:eastAsia="宋体"/>
          <w:sz w:val="24"/>
          <w:szCs w:val="18"/>
          <w:highlight w:val="none"/>
          <w:lang w:eastAsia="zh-CN"/>
        </w:rPr>
        <w:t>皖南医学院滨江校区（文津西路8号）综合安防系统升级改造项目</w:t>
      </w:r>
    </w:p>
    <w:p>
      <w:pPr>
        <w:spacing w:line="360" w:lineRule="auto"/>
        <w:ind w:firstLine="435"/>
        <w:rPr>
          <w:rFonts w:ascii="宋体" w:eastAsia="宋体"/>
          <w:sz w:val="24"/>
          <w:highlight w:val="none"/>
        </w:rPr>
      </w:pPr>
      <w:r>
        <w:rPr>
          <w:rFonts w:hint="eastAsia" w:ascii="宋体" w:eastAsia="宋体"/>
          <w:sz w:val="24"/>
          <w:highlight w:val="none"/>
        </w:rPr>
        <w:t>3.预算金额：</w:t>
      </w:r>
      <w:r>
        <w:rPr>
          <w:rFonts w:hint="eastAsia" w:ascii="宋体" w:eastAsia="宋体"/>
          <w:sz w:val="24"/>
          <w:szCs w:val="18"/>
          <w:highlight w:val="none"/>
        </w:rPr>
        <w:t>933</w:t>
      </w:r>
      <w:r>
        <w:rPr>
          <w:rFonts w:hint="eastAsia" w:ascii="宋体" w:eastAsia="宋体"/>
          <w:sz w:val="24"/>
          <w:szCs w:val="18"/>
          <w:highlight w:val="none"/>
          <w:lang w:val="en-US" w:eastAsia="zh-CN"/>
        </w:rPr>
        <w:t>500</w:t>
      </w:r>
      <w:r>
        <w:rPr>
          <w:rFonts w:hint="eastAsia" w:ascii="宋体" w:eastAsia="宋体"/>
          <w:sz w:val="24"/>
          <w:szCs w:val="18"/>
          <w:highlight w:val="none"/>
        </w:rPr>
        <w:t>.00元</w:t>
      </w:r>
    </w:p>
    <w:p>
      <w:pPr>
        <w:spacing w:line="360" w:lineRule="auto"/>
        <w:ind w:firstLine="435"/>
        <w:rPr>
          <w:rFonts w:ascii="宋体" w:eastAsia="宋体"/>
          <w:sz w:val="24"/>
          <w:highlight w:val="none"/>
        </w:rPr>
      </w:pPr>
      <w:r>
        <w:rPr>
          <w:rFonts w:hint="eastAsia" w:ascii="宋体" w:eastAsia="宋体"/>
          <w:sz w:val="24"/>
          <w:highlight w:val="none"/>
        </w:rPr>
        <w:t>4.最高限价：</w:t>
      </w:r>
      <w:r>
        <w:rPr>
          <w:rFonts w:hint="eastAsia" w:ascii="宋体" w:eastAsia="宋体"/>
          <w:sz w:val="24"/>
          <w:szCs w:val="18"/>
          <w:highlight w:val="none"/>
        </w:rPr>
        <w:t>933</w:t>
      </w:r>
      <w:r>
        <w:rPr>
          <w:rFonts w:hint="eastAsia" w:ascii="宋体" w:eastAsia="宋体"/>
          <w:sz w:val="24"/>
          <w:szCs w:val="18"/>
          <w:highlight w:val="none"/>
          <w:lang w:val="en-US" w:eastAsia="zh-CN"/>
        </w:rPr>
        <w:t>500</w:t>
      </w:r>
      <w:r>
        <w:rPr>
          <w:rFonts w:hint="eastAsia" w:ascii="宋体" w:eastAsia="宋体"/>
          <w:sz w:val="24"/>
          <w:szCs w:val="18"/>
          <w:highlight w:val="none"/>
        </w:rPr>
        <w:t>.00元</w:t>
      </w:r>
    </w:p>
    <w:p>
      <w:pPr>
        <w:spacing w:line="360" w:lineRule="auto"/>
        <w:ind w:firstLine="435"/>
        <w:rPr>
          <w:rFonts w:ascii="宋体" w:eastAsia="宋体"/>
          <w:sz w:val="24"/>
          <w:highlight w:val="none"/>
        </w:rPr>
      </w:pPr>
      <w:r>
        <w:rPr>
          <w:rFonts w:hint="eastAsia" w:ascii="宋体" w:eastAsia="宋体"/>
          <w:sz w:val="24"/>
          <w:highlight w:val="none"/>
        </w:rPr>
        <w:t>5.采购需求：</w:t>
      </w:r>
      <w:r>
        <w:rPr>
          <w:rFonts w:hint="eastAsia" w:ascii="宋体" w:eastAsia="宋体"/>
          <w:sz w:val="24"/>
          <w:szCs w:val="18"/>
          <w:highlight w:val="none"/>
        </w:rPr>
        <w:t>对原皖江学院校区现有综合安防监控系统内设施设备进行维修或更换，恢复安防监控系统的正常运转，对监控存储设备进行扩容，录像存储时间不少于30天；原皖江学院校区校门口新增人脸识别门禁系统和车辆识别管理系统；原有监控设备和本次新增设备均并入学校现有安防管理平台统一管理，实现对校园进出人员和车辆的有效管控，提高管理效率，详见采购文件。</w:t>
      </w:r>
    </w:p>
    <w:p>
      <w:pPr>
        <w:spacing w:line="360" w:lineRule="auto"/>
        <w:ind w:firstLine="435"/>
        <w:rPr>
          <w:rFonts w:ascii="宋体" w:eastAsia="宋体"/>
          <w:sz w:val="24"/>
          <w:highlight w:val="none"/>
        </w:rPr>
      </w:pPr>
      <w:r>
        <w:rPr>
          <w:rFonts w:hint="eastAsia" w:ascii="宋体" w:eastAsia="宋体"/>
          <w:sz w:val="24"/>
          <w:highlight w:val="none"/>
        </w:rPr>
        <w:t>6.合同履行期限：</w:t>
      </w:r>
      <w:r>
        <w:rPr>
          <w:rFonts w:hint="eastAsia" w:ascii="宋体" w:eastAsia="宋体"/>
          <w:b w:val="0"/>
          <w:bCs w:val="0"/>
          <w:sz w:val="24"/>
          <w:highlight w:val="none"/>
          <w:lang w:val="en-US" w:eastAsia="zh-CN"/>
        </w:rPr>
        <w:t>85日历天。其中</w:t>
      </w:r>
      <w:r>
        <w:rPr>
          <w:rFonts w:hint="eastAsia" w:ascii="宋体" w:eastAsia="宋体"/>
          <w:b w:val="0"/>
          <w:bCs w:val="0"/>
          <w:sz w:val="24"/>
          <w:szCs w:val="18"/>
          <w:highlight w:val="none"/>
        </w:rPr>
        <w:t>合同签订后</w:t>
      </w:r>
      <w:r>
        <w:rPr>
          <w:rFonts w:hint="eastAsia" w:ascii="宋体" w:eastAsia="宋体"/>
          <w:b w:val="0"/>
          <w:bCs w:val="0"/>
          <w:sz w:val="24"/>
          <w:szCs w:val="18"/>
          <w:highlight w:val="none"/>
          <w:lang w:val="en-US" w:eastAsia="zh-CN"/>
        </w:rPr>
        <w:t>25</w:t>
      </w:r>
      <w:r>
        <w:rPr>
          <w:rFonts w:hint="eastAsia" w:ascii="宋体" w:eastAsia="宋体"/>
          <w:b w:val="0"/>
          <w:bCs w:val="0"/>
          <w:sz w:val="24"/>
          <w:szCs w:val="18"/>
          <w:highlight w:val="none"/>
        </w:rPr>
        <w:t>日历天完成供货安装</w:t>
      </w:r>
      <w:r>
        <w:rPr>
          <w:rFonts w:hint="eastAsia" w:ascii="宋体" w:eastAsia="宋体"/>
          <w:b w:val="0"/>
          <w:bCs w:val="0"/>
          <w:sz w:val="24"/>
          <w:szCs w:val="18"/>
          <w:highlight w:val="none"/>
          <w:lang w:val="en-US" w:eastAsia="zh-CN"/>
        </w:rPr>
        <w:t>及调试</w:t>
      </w:r>
      <w:r>
        <w:rPr>
          <w:rFonts w:hint="eastAsia" w:ascii="宋体" w:eastAsia="宋体"/>
          <w:b w:val="0"/>
          <w:bCs w:val="0"/>
          <w:sz w:val="24"/>
          <w:szCs w:val="18"/>
          <w:highlight w:val="none"/>
          <w:lang w:eastAsia="zh-CN"/>
        </w:rPr>
        <w:t>，</w:t>
      </w:r>
      <w:r>
        <w:rPr>
          <w:rFonts w:hint="eastAsia" w:ascii="宋体" w:eastAsia="宋体"/>
          <w:b w:val="0"/>
          <w:bCs w:val="0"/>
          <w:sz w:val="24"/>
          <w:szCs w:val="18"/>
          <w:highlight w:val="none"/>
          <w:lang w:val="en-US" w:eastAsia="zh-CN"/>
        </w:rPr>
        <w:t>安装完成后试运行60天</w:t>
      </w:r>
      <w:r>
        <w:rPr>
          <w:rFonts w:hint="eastAsia" w:ascii="宋体" w:eastAsia="宋体"/>
          <w:sz w:val="24"/>
          <w:szCs w:val="18"/>
          <w:highlight w:val="none"/>
        </w:rPr>
        <w:t>。</w:t>
      </w:r>
    </w:p>
    <w:p>
      <w:pPr>
        <w:spacing w:line="360" w:lineRule="auto"/>
        <w:ind w:firstLine="435"/>
        <w:rPr>
          <w:rFonts w:ascii="宋体" w:eastAsia="宋体"/>
          <w:sz w:val="24"/>
          <w:highlight w:val="none"/>
        </w:rPr>
      </w:pPr>
      <w:r>
        <w:rPr>
          <w:rFonts w:hint="eastAsia" w:ascii="宋体" w:eastAsia="宋体"/>
          <w:sz w:val="24"/>
          <w:highlight w:val="none"/>
        </w:rPr>
        <w:t>7.本项目不接受联合体投标。</w:t>
      </w:r>
    </w:p>
    <w:p>
      <w:pPr>
        <w:spacing w:line="360" w:lineRule="auto"/>
        <w:ind w:firstLine="437"/>
        <w:outlineLvl w:val="1"/>
        <w:rPr>
          <w:rFonts w:ascii="宋体" w:eastAsia="宋体"/>
          <w:b/>
          <w:bCs/>
          <w:sz w:val="24"/>
          <w:szCs w:val="18"/>
          <w:highlight w:val="none"/>
        </w:rPr>
      </w:pPr>
      <w:bookmarkStart w:id="8" w:name="_Toc13530"/>
      <w:bookmarkStart w:id="9" w:name="_Toc26178"/>
      <w:bookmarkStart w:id="10" w:name="_Toc23195"/>
      <w:r>
        <w:rPr>
          <w:rFonts w:hint="eastAsia" w:ascii="宋体" w:eastAsia="宋体"/>
          <w:b/>
          <w:bCs/>
          <w:sz w:val="24"/>
          <w:szCs w:val="18"/>
          <w:highlight w:val="none"/>
        </w:rPr>
        <w:t>二、</w:t>
      </w:r>
      <w:bookmarkEnd w:id="8"/>
      <w:r>
        <w:rPr>
          <w:rFonts w:hint="eastAsia" w:ascii="宋体" w:eastAsia="宋体"/>
          <w:b/>
          <w:bCs/>
          <w:sz w:val="24"/>
          <w:szCs w:val="18"/>
          <w:highlight w:val="none"/>
        </w:rPr>
        <w:t>申请人的资格要求</w:t>
      </w:r>
      <w:bookmarkEnd w:id="9"/>
      <w:bookmarkEnd w:id="10"/>
    </w:p>
    <w:p>
      <w:pPr>
        <w:spacing w:line="360" w:lineRule="auto"/>
        <w:ind w:firstLine="435"/>
        <w:rPr>
          <w:rFonts w:ascii="宋体" w:eastAsia="宋体"/>
          <w:sz w:val="24"/>
          <w:highlight w:val="none"/>
        </w:rPr>
      </w:pPr>
      <w:bookmarkStart w:id="11" w:name="_Toc30110"/>
      <w:r>
        <w:rPr>
          <w:rFonts w:hint="eastAsia" w:ascii="宋体" w:eastAsia="宋体"/>
          <w:sz w:val="24"/>
          <w:highlight w:val="none"/>
        </w:rPr>
        <w:t>1.满足《中华人民共和国政府采购法》第二十二条规定；</w:t>
      </w:r>
    </w:p>
    <w:p>
      <w:pPr>
        <w:spacing w:line="360" w:lineRule="auto"/>
        <w:ind w:firstLine="435"/>
        <w:rPr>
          <w:rFonts w:ascii="宋体" w:eastAsia="宋体"/>
          <w:sz w:val="24"/>
          <w:highlight w:val="none"/>
        </w:rPr>
      </w:pPr>
      <w:r>
        <w:rPr>
          <w:rFonts w:hint="eastAsia" w:ascii="宋体" w:eastAsia="宋体"/>
          <w:sz w:val="24"/>
          <w:highlight w:val="none"/>
        </w:rPr>
        <w:t>2.落实政府采购政策需满足的资格要求：</w:t>
      </w:r>
    </w:p>
    <w:p>
      <w:pPr>
        <w:spacing w:line="360" w:lineRule="auto"/>
        <w:ind w:firstLine="435"/>
        <w:rPr>
          <w:rFonts w:ascii="宋体" w:eastAsia="宋体"/>
          <w:sz w:val="24"/>
          <w:highlight w:val="none"/>
        </w:rPr>
      </w:pPr>
      <w:r>
        <w:rPr>
          <w:rFonts w:hint="eastAsia" w:ascii="宋体" w:eastAsia="宋体"/>
          <w:sz w:val="24"/>
          <w:highlight w:val="none"/>
        </w:rPr>
        <w:t>2.1中小企业政策</w:t>
      </w:r>
    </w:p>
    <w:p>
      <w:pPr>
        <w:spacing w:line="360" w:lineRule="auto"/>
        <w:ind w:firstLine="435"/>
        <w:rPr>
          <w:rFonts w:ascii="宋体" w:eastAsia="宋体"/>
          <w:sz w:val="24"/>
          <w:highlight w:val="none"/>
        </w:rPr>
      </w:pPr>
      <w:r>
        <w:rPr>
          <w:rFonts w:ascii="宋体" w:eastAsia="宋体"/>
          <w:sz w:val="24"/>
          <w:highlight w:val="none"/>
        </w:rPr>
        <w:sym w:font="Wingdings 2" w:char="00A3"/>
      </w:r>
      <w:r>
        <w:rPr>
          <w:rFonts w:hint="eastAsia" w:ascii="宋体" w:eastAsia="宋体"/>
          <w:sz w:val="24"/>
          <w:highlight w:val="none"/>
        </w:rPr>
        <w:t>本项目不专门面向中小企业预留采购份额。</w:t>
      </w:r>
    </w:p>
    <w:p>
      <w:pPr>
        <w:spacing w:line="360" w:lineRule="auto"/>
        <w:ind w:firstLine="435"/>
        <w:rPr>
          <w:rFonts w:ascii="宋体" w:eastAsia="宋体"/>
          <w:sz w:val="24"/>
          <w:highlight w:val="none"/>
        </w:rPr>
      </w:pPr>
      <w:r>
        <w:rPr>
          <w:rFonts w:hint="eastAsia" w:ascii="宋体" w:eastAsia="宋体"/>
          <w:sz w:val="24"/>
          <w:highlight w:val="none"/>
        </w:rPr>
        <w:t>☑本项目专门面向中小企业采购。即：提供的货物全部由符合政策要求的中小企业制造。</w:t>
      </w:r>
    </w:p>
    <w:p>
      <w:pPr>
        <w:spacing w:line="360" w:lineRule="auto"/>
        <w:ind w:firstLine="435"/>
        <w:rPr>
          <w:highlight w:val="none"/>
        </w:rPr>
      </w:pPr>
      <w:r>
        <w:rPr>
          <w:rFonts w:ascii="宋体" w:eastAsia="宋体"/>
          <w:sz w:val="24"/>
          <w:highlight w:val="none"/>
        </w:rPr>
        <w:t>2.2</w:t>
      </w:r>
      <w:r>
        <w:rPr>
          <w:rFonts w:hint="eastAsia" w:ascii="宋体" w:eastAsia="宋体"/>
          <w:sz w:val="24"/>
          <w:highlight w:val="none"/>
        </w:rPr>
        <w:t>其它落实政府采购政策的资格要求：无。</w:t>
      </w:r>
    </w:p>
    <w:p>
      <w:pPr>
        <w:spacing w:line="360" w:lineRule="auto"/>
        <w:ind w:firstLine="435"/>
        <w:rPr>
          <w:rFonts w:ascii="宋体" w:eastAsia="宋体"/>
          <w:color w:val="auto"/>
          <w:sz w:val="24"/>
          <w:highlight w:val="none"/>
        </w:rPr>
      </w:pPr>
      <w:r>
        <w:rPr>
          <w:rFonts w:hint="eastAsia" w:ascii="宋体" w:eastAsia="宋体"/>
          <w:color w:val="auto"/>
          <w:sz w:val="24"/>
          <w:highlight w:val="none"/>
        </w:rPr>
        <w:t>3.本项目的特定资格要求：</w:t>
      </w:r>
      <w:r>
        <w:rPr>
          <w:rFonts w:hint="eastAsia" w:ascii="宋体" w:eastAsia="宋体"/>
          <w:color w:val="auto"/>
          <w:sz w:val="24"/>
          <w:highlight w:val="none"/>
          <w:lang w:val="en-US" w:eastAsia="zh-CN"/>
        </w:rPr>
        <w:t>/</w:t>
      </w:r>
      <w:r>
        <w:rPr>
          <w:rFonts w:hint="eastAsia" w:ascii="宋体" w:eastAsia="宋体"/>
          <w:color w:val="auto"/>
          <w:sz w:val="24"/>
          <w:highlight w:val="none"/>
        </w:rPr>
        <w:t>。</w:t>
      </w:r>
    </w:p>
    <w:p>
      <w:pPr>
        <w:spacing w:line="360" w:lineRule="auto"/>
        <w:ind w:firstLine="437"/>
        <w:outlineLvl w:val="1"/>
        <w:rPr>
          <w:rFonts w:ascii="宋体" w:eastAsia="宋体"/>
          <w:b/>
          <w:bCs/>
          <w:sz w:val="24"/>
          <w:szCs w:val="18"/>
          <w:highlight w:val="none"/>
        </w:rPr>
      </w:pPr>
      <w:bookmarkStart w:id="12" w:name="_Toc14361"/>
      <w:bookmarkStart w:id="13" w:name="_Toc32089"/>
      <w:r>
        <w:rPr>
          <w:rFonts w:hint="eastAsia" w:ascii="宋体" w:eastAsia="宋体"/>
          <w:b/>
          <w:bCs/>
          <w:sz w:val="24"/>
          <w:szCs w:val="18"/>
          <w:highlight w:val="none"/>
        </w:rPr>
        <w:t>三、</w:t>
      </w:r>
      <w:bookmarkEnd w:id="11"/>
      <w:r>
        <w:rPr>
          <w:rFonts w:hint="eastAsia" w:ascii="宋体" w:eastAsia="宋体"/>
          <w:b/>
          <w:bCs/>
          <w:sz w:val="24"/>
          <w:szCs w:val="18"/>
          <w:highlight w:val="none"/>
        </w:rPr>
        <w:t>获取招标文件</w:t>
      </w:r>
      <w:bookmarkEnd w:id="12"/>
      <w:bookmarkEnd w:id="13"/>
    </w:p>
    <w:p>
      <w:pPr>
        <w:snapToGrid w:val="0"/>
        <w:spacing w:line="500" w:lineRule="exact"/>
        <w:ind w:firstLine="480" w:firstLineChars="200"/>
        <w:jc w:val="left"/>
        <w:rPr>
          <w:rFonts w:ascii="宋体" w:eastAsia="宋体" w:cs="宋体"/>
          <w:sz w:val="24"/>
          <w:szCs w:val="24"/>
          <w:highlight w:val="none"/>
        </w:rPr>
      </w:pPr>
      <w:bookmarkStart w:id="14" w:name="_Toc7957"/>
      <w:bookmarkStart w:id="15" w:name="_Toc19726"/>
      <w:r>
        <w:rPr>
          <w:rFonts w:hint="eastAsia" w:ascii="宋体" w:eastAsia="宋体" w:cs="宋体"/>
          <w:sz w:val="24"/>
          <w:szCs w:val="24"/>
          <w:highlight w:val="none"/>
        </w:rPr>
        <w:t>时间：</w:t>
      </w:r>
      <w:r>
        <w:rPr>
          <w:rFonts w:hint="eastAsia" w:ascii="宋体" w:eastAsia="宋体" w:cs="宋体"/>
          <w:sz w:val="24"/>
          <w:szCs w:val="24"/>
          <w:highlight w:val="none"/>
          <w:u w:val="single"/>
        </w:rPr>
        <w:t>2024年</w:t>
      </w:r>
      <w:r>
        <w:rPr>
          <w:rFonts w:hint="eastAsia" w:ascii="宋体" w:eastAsia="宋体" w:cs="宋体"/>
          <w:sz w:val="24"/>
          <w:szCs w:val="24"/>
          <w:highlight w:val="none"/>
          <w:u w:val="single"/>
          <w:lang w:val="en-US" w:eastAsia="zh-CN"/>
        </w:rPr>
        <w:t>6</w:t>
      </w:r>
      <w:r>
        <w:rPr>
          <w:rFonts w:hint="eastAsia" w:ascii="宋体" w:eastAsia="宋体" w:cs="宋体"/>
          <w:sz w:val="24"/>
          <w:szCs w:val="24"/>
          <w:highlight w:val="none"/>
          <w:u w:val="single"/>
        </w:rPr>
        <w:t>月</w:t>
      </w:r>
      <w:r>
        <w:rPr>
          <w:rFonts w:hint="eastAsia" w:ascii="宋体" w:eastAsia="宋体" w:cs="宋体"/>
          <w:sz w:val="24"/>
          <w:szCs w:val="24"/>
          <w:highlight w:val="none"/>
          <w:u w:val="single"/>
          <w:lang w:val="en-US" w:eastAsia="zh-CN"/>
        </w:rPr>
        <w:t>6</w:t>
      </w:r>
      <w:r>
        <w:rPr>
          <w:rFonts w:hint="eastAsia" w:ascii="宋体" w:eastAsia="宋体" w:cs="宋体"/>
          <w:sz w:val="24"/>
          <w:szCs w:val="24"/>
          <w:highlight w:val="none"/>
          <w:u w:val="single"/>
        </w:rPr>
        <w:t>日至2024年</w:t>
      </w:r>
      <w:r>
        <w:rPr>
          <w:rFonts w:hint="eastAsia" w:ascii="宋体" w:eastAsia="宋体" w:cs="宋体"/>
          <w:sz w:val="24"/>
          <w:szCs w:val="24"/>
          <w:highlight w:val="none"/>
          <w:u w:val="single"/>
          <w:lang w:val="en-US" w:eastAsia="zh-CN"/>
        </w:rPr>
        <w:t>6</w:t>
      </w:r>
      <w:r>
        <w:rPr>
          <w:rFonts w:hint="eastAsia" w:ascii="宋体" w:eastAsia="宋体" w:cs="宋体"/>
          <w:sz w:val="24"/>
          <w:szCs w:val="24"/>
          <w:highlight w:val="none"/>
          <w:u w:val="single"/>
        </w:rPr>
        <w:t>月</w:t>
      </w:r>
      <w:r>
        <w:rPr>
          <w:rFonts w:hint="eastAsia" w:ascii="宋体" w:eastAsia="宋体" w:cs="宋体"/>
          <w:sz w:val="24"/>
          <w:szCs w:val="24"/>
          <w:highlight w:val="none"/>
          <w:u w:val="single"/>
          <w:lang w:val="en-US" w:eastAsia="zh-CN"/>
        </w:rPr>
        <w:t>27</w:t>
      </w:r>
      <w:r>
        <w:rPr>
          <w:rFonts w:hint="eastAsia" w:ascii="宋体" w:eastAsia="宋体" w:cs="宋体"/>
          <w:sz w:val="24"/>
          <w:szCs w:val="24"/>
          <w:highlight w:val="none"/>
          <w:u w:val="single"/>
        </w:rPr>
        <w:t>日上午09:30，每天上午00:00至12:00，下午12:00至23:59</w:t>
      </w:r>
      <w:r>
        <w:rPr>
          <w:rFonts w:hint="eastAsia" w:ascii="宋体" w:eastAsia="宋体" w:cs="宋体"/>
          <w:sz w:val="24"/>
          <w:szCs w:val="24"/>
          <w:highlight w:val="none"/>
        </w:rPr>
        <w:t>（北京时间，法定节假日除外）；</w:t>
      </w:r>
    </w:p>
    <w:p>
      <w:pPr>
        <w:snapToGrid w:val="0"/>
        <w:spacing w:line="500" w:lineRule="exact"/>
        <w:ind w:firstLine="480" w:firstLineChars="200"/>
        <w:jc w:val="left"/>
        <w:rPr>
          <w:rFonts w:ascii="宋体" w:eastAsia="宋体" w:cs="宋体"/>
          <w:sz w:val="24"/>
          <w:szCs w:val="24"/>
          <w:highlight w:val="none"/>
        </w:rPr>
      </w:pPr>
      <w:r>
        <w:rPr>
          <w:rFonts w:hint="eastAsia" w:ascii="宋体" w:eastAsia="宋体" w:cs="宋体"/>
          <w:sz w:val="24"/>
          <w:szCs w:val="24"/>
          <w:highlight w:val="none"/>
        </w:rPr>
        <w:t>地点：在获取时间内登录“徽采云”电子交易系统 下载。供应商登录“徽采云”电子交易系统（https://login.anhui.zcygov.cn/user-login/#/login）在线申请获取采购文件（进入“项目采购”应用，在获取采购文件菜单中选择项目，申请获取采购文件）。登录须持有电子交易系统兼容的数字证书，详情参见“安徽省政府采购网－徽采学院－电子交易系统学习专题－供应商－操作手册”。</w:t>
      </w:r>
    </w:p>
    <w:p>
      <w:pPr>
        <w:widowControl/>
        <w:snapToGrid w:val="0"/>
        <w:spacing w:line="500" w:lineRule="exact"/>
        <w:ind w:firstLine="480" w:firstLineChars="200"/>
        <w:jc w:val="left"/>
        <w:rPr>
          <w:rFonts w:ascii="宋体" w:eastAsia="宋体" w:cs="宋体"/>
          <w:sz w:val="24"/>
          <w:szCs w:val="24"/>
          <w:highlight w:val="none"/>
        </w:rPr>
      </w:pPr>
      <w:r>
        <w:rPr>
          <w:rFonts w:hint="eastAsia" w:ascii="宋体" w:eastAsia="宋体" w:cs="宋体"/>
          <w:sz w:val="24"/>
          <w:szCs w:val="24"/>
          <w:highlight w:val="none"/>
        </w:rPr>
        <w:t>售价：本项目免收招标文件费用。</w:t>
      </w:r>
    </w:p>
    <w:p>
      <w:pPr>
        <w:spacing w:line="360" w:lineRule="auto"/>
        <w:ind w:firstLine="437"/>
        <w:outlineLvl w:val="1"/>
        <w:rPr>
          <w:rFonts w:ascii="宋体" w:eastAsia="宋体"/>
          <w:b/>
          <w:bCs/>
          <w:sz w:val="24"/>
          <w:szCs w:val="18"/>
          <w:highlight w:val="none"/>
        </w:rPr>
      </w:pPr>
      <w:bookmarkStart w:id="16" w:name="_Toc6046"/>
      <w:r>
        <w:rPr>
          <w:rFonts w:hint="eastAsia" w:ascii="宋体" w:eastAsia="宋体"/>
          <w:b/>
          <w:bCs/>
          <w:sz w:val="24"/>
          <w:szCs w:val="18"/>
          <w:highlight w:val="none"/>
        </w:rPr>
        <w:t>四、</w:t>
      </w:r>
      <w:bookmarkEnd w:id="14"/>
      <w:r>
        <w:rPr>
          <w:rFonts w:hint="eastAsia" w:ascii="宋体" w:eastAsia="宋体"/>
          <w:b/>
          <w:bCs/>
          <w:sz w:val="24"/>
          <w:szCs w:val="18"/>
          <w:highlight w:val="none"/>
        </w:rPr>
        <w:t>提交投标文件截止时间、开标时间和地点</w:t>
      </w:r>
      <w:bookmarkEnd w:id="15"/>
      <w:bookmarkEnd w:id="16"/>
    </w:p>
    <w:p>
      <w:pPr>
        <w:snapToGrid w:val="0"/>
        <w:spacing w:line="500" w:lineRule="exact"/>
        <w:ind w:firstLine="480" w:firstLineChars="200"/>
        <w:jc w:val="left"/>
        <w:rPr>
          <w:rFonts w:ascii="宋体" w:eastAsia="宋体" w:cs="宋体"/>
          <w:sz w:val="24"/>
          <w:szCs w:val="24"/>
          <w:highlight w:val="none"/>
        </w:rPr>
      </w:pPr>
      <w:bookmarkStart w:id="17" w:name="_Toc5082"/>
      <w:bookmarkStart w:id="18" w:name="_Toc28531"/>
      <w:r>
        <w:rPr>
          <w:rFonts w:hint="eastAsia" w:ascii="宋体" w:eastAsia="宋体" w:cs="宋体"/>
          <w:sz w:val="24"/>
          <w:szCs w:val="24"/>
          <w:highlight w:val="none"/>
        </w:rPr>
        <w:t>2024年</w:t>
      </w:r>
      <w:r>
        <w:rPr>
          <w:rFonts w:hint="eastAsia" w:ascii="宋体" w:eastAsia="宋体" w:cs="宋体"/>
          <w:sz w:val="24"/>
          <w:szCs w:val="24"/>
          <w:highlight w:val="none"/>
          <w:lang w:val="en-US" w:eastAsia="zh-CN"/>
        </w:rPr>
        <w:t>6</w:t>
      </w:r>
      <w:r>
        <w:rPr>
          <w:rFonts w:hint="eastAsia" w:ascii="宋体" w:eastAsia="宋体" w:cs="宋体"/>
          <w:sz w:val="24"/>
          <w:szCs w:val="24"/>
          <w:highlight w:val="none"/>
        </w:rPr>
        <w:t>月</w:t>
      </w:r>
      <w:r>
        <w:rPr>
          <w:rFonts w:hint="eastAsia" w:ascii="宋体" w:eastAsia="宋体" w:cs="宋体"/>
          <w:sz w:val="24"/>
          <w:szCs w:val="24"/>
          <w:highlight w:val="none"/>
          <w:lang w:val="en-US" w:eastAsia="zh-CN"/>
        </w:rPr>
        <w:t>27</w:t>
      </w:r>
      <w:r>
        <w:rPr>
          <w:rFonts w:hint="eastAsia" w:ascii="宋体" w:eastAsia="宋体" w:cs="宋体"/>
          <w:sz w:val="24"/>
          <w:szCs w:val="24"/>
          <w:highlight w:val="none"/>
        </w:rPr>
        <w:t>日</w:t>
      </w:r>
      <w:r>
        <w:rPr>
          <w:rFonts w:hint="eastAsia" w:ascii="宋体" w:eastAsia="宋体" w:cs="宋体"/>
          <w:sz w:val="24"/>
          <w:szCs w:val="24"/>
          <w:highlight w:val="none"/>
          <w:lang w:val="en-US" w:eastAsia="zh-CN"/>
        </w:rPr>
        <w:t>09</w:t>
      </w:r>
      <w:r>
        <w:rPr>
          <w:rFonts w:hint="eastAsia" w:ascii="宋体" w:eastAsia="宋体" w:cs="宋体"/>
          <w:sz w:val="24"/>
          <w:szCs w:val="24"/>
          <w:highlight w:val="none"/>
        </w:rPr>
        <w:t>点</w:t>
      </w:r>
      <w:r>
        <w:rPr>
          <w:rFonts w:hint="eastAsia" w:ascii="宋体" w:eastAsia="宋体" w:cs="宋体"/>
          <w:sz w:val="24"/>
          <w:szCs w:val="24"/>
          <w:highlight w:val="none"/>
          <w:lang w:val="en-US" w:eastAsia="zh-CN"/>
        </w:rPr>
        <w:t>30</w:t>
      </w:r>
      <w:r>
        <w:rPr>
          <w:rFonts w:hint="eastAsia" w:ascii="宋体" w:eastAsia="宋体" w:cs="宋体"/>
          <w:sz w:val="24"/>
          <w:szCs w:val="24"/>
          <w:highlight w:val="none"/>
        </w:rPr>
        <w:t>分（北京时间）</w:t>
      </w:r>
    </w:p>
    <w:p>
      <w:pPr>
        <w:widowControl/>
        <w:snapToGrid w:val="0"/>
        <w:spacing w:line="500" w:lineRule="exact"/>
        <w:ind w:firstLine="480" w:firstLineChars="200"/>
        <w:jc w:val="left"/>
        <w:rPr>
          <w:rFonts w:ascii="宋体" w:eastAsia="宋体" w:cs="宋体"/>
          <w:sz w:val="24"/>
          <w:szCs w:val="24"/>
          <w:highlight w:val="none"/>
        </w:rPr>
      </w:pPr>
      <w:r>
        <w:rPr>
          <w:rFonts w:hint="eastAsia" w:ascii="宋体" w:eastAsia="宋体" w:cs="宋体"/>
          <w:sz w:val="24"/>
          <w:szCs w:val="24"/>
          <w:highlight w:val="none"/>
        </w:rPr>
        <w:t>地点：在提交截止时间前将加密的电子投标文件上传至电子交易系统，逾期提交的，电子交易系统将拒收。投标文件制作、加密及提交要求详见“安徽省政府采购网- 徽采学院－电子交易系统学习专题－供应商－操作手册”。</w:t>
      </w:r>
    </w:p>
    <w:p>
      <w:pPr>
        <w:spacing w:line="360" w:lineRule="auto"/>
        <w:ind w:firstLine="437"/>
        <w:outlineLvl w:val="1"/>
        <w:rPr>
          <w:rFonts w:ascii="宋体" w:eastAsia="宋体"/>
          <w:b/>
          <w:bCs/>
          <w:sz w:val="24"/>
          <w:szCs w:val="18"/>
          <w:highlight w:val="none"/>
        </w:rPr>
      </w:pPr>
      <w:bookmarkStart w:id="19" w:name="_Toc6340"/>
      <w:r>
        <w:rPr>
          <w:rFonts w:hint="eastAsia" w:ascii="宋体" w:eastAsia="宋体"/>
          <w:b/>
          <w:bCs/>
          <w:sz w:val="24"/>
          <w:szCs w:val="18"/>
          <w:highlight w:val="none"/>
        </w:rPr>
        <w:t>五、</w:t>
      </w:r>
      <w:bookmarkEnd w:id="17"/>
      <w:r>
        <w:rPr>
          <w:rFonts w:hint="eastAsia" w:ascii="宋体" w:eastAsia="宋体"/>
          <w:b/>
          <w:bCs/>
          <w:sz w:val="24"/>
          <w:szCs w:val="18"/>
          <w:highlight w:val="none"/>
        </w:rPr>
        <w:t>公告期限</w:t>
      </w:r>
      <w:bookmarkEnd w:id="18"/>
      <w:bookmarkEnd w:id="19"/>
    </w:p>
    <w:p>
      <w:pPr>
        <w:spacing w:line="360" w:lineRule="auto"/>
        <w:ind w:firstLine="437"/>
        <w:rPr>
          <w:rFonts w:ascii="宋体" w:eastAsia="宋体"/>
          <w:sz w:val="24"/>
          <w:szCs w:val="18"/>
          <w:highlight w:val="none"/>
        </w:rPr>
      </w:pPr>
      <w:bookmarkStart w:id="20" w:name="_Toc1215"/>
      <w:r>
        <w:rPr>
          <w:rFonts w:hint="eastAsia" w:ascii="宋体" w:eastAsia="宋体"/>
          <w:sz w:val="24"/>
          <w:szCs w:val="18"/>
          <w:highlight w:val="none"/>
        </w:rPr>
        <w:t>自本公告发布之日起5个工作日。</w:t>
      </w:r>
    </w:p>
    <w:p>
      <w:pPr>
        <w:spacing w:line="360" w:lineRule="auto"/>
        <w:ind w:firstLine="437"/>
        <w:outlineLvl w:val="1"/>
        <w:rPr>
          <w:rFonts w:ascii="宋体" w:eastAsia="宋体"/>
          <w:b/>
          <w:bCs/>
          <w:sz w:val="24"/>
          <w:szCs w:val="18"/>
          <w:highlight w:val="none"/>
        </w:rPr>
      </w:pPr>
      <w:bookmarkStart w:id="21" w:name="_Toc8807"/>
      <w:bookmarkStart w:id="22" w:name="_Toc24353"/>
      <w:bookmarkStart w:id="23" w:name="_Toc35393795"/>
      <w:bookmarkStart w:id="24" w:name="_Toc35393626"/>
      <w:r>
        <w:rPr>
          <w:rFonts w:hint="eastAsia" w:ascii="宋体" w:eastAsia="宋体"/>
          <w:b/>
          <w:bCs/>
          <w:sz w:val="24"/>
          <w:szCs w:val="18"/>
          <w:highlight w:val="none"/>
        </w:rPr>
        <w:t>六、其他补充事宜</w:t>
      </w:r>
      <w:bookmarkEnd w:id="21"/>
      <w:bookmarkEnd w:id="22"/>
      <w:bookmarkEnd w:id="23"/>
      <w:bookmarkEnd w:id="24"/>
    </w:p>
    <w:bookmarkEnd w:id="20"/>
    <w:p>
      <w:pPr>
        <w:snapToGrid w:val="0"/>
        <w:spacing w:line="500" w:lineRule="exact"/>
        <w:ind w:firstLine="480" w:firstLineChars="200"/>
        <w:jc w:val="left"/>
        <w:rPr>
          <w:rFonts w:ascii="宋体" w:eastAsia="宋体" w:cs="宋体"/>
          <w:sz w:val="24"/>
          <w:szCs w:val="24"/>
          <w:highlight w:val="none"/>
        </w:rPr>
      </w:pPr>
      <w:bookmarkStart w:id="25" w:name="_Toc7265"/>
      <w:bookmarkStart w:id="26" w:name="_Toc3854"/>
      <w:r>
        <w:rPr>
          <w:rFonts w:hint="eastAsia" w:ascii="宋体" w:eastAsia="宋体" w:cs="宋体"/>
          <w:sz w:val="24"/>
          <w:szCs w:val="24"/>
          <w:highlight w:val="none"/>
        </w:rPr>
        <w:t>1.本项目落实节能环保、中小微型企业扶持等相关政府采购政策。</w:t>
      </w:r>
    </w:p>
    <w:p>
      <w:pPr>
        <w:snapToGrid w:val="0"/>
        <w:spacing w:line="500" w:lineRule="exact"/>
        <w:ind w:firstLine="480" w:firstLineChars="200"/>
        <w:jc w:val="left"/>
        <w:rPr>
          <w:rFonts w:ascii="宋体" w:eastAsia="宋体" w:cs="宋体"/>
          <w:sz w:val="24"/>
          <w:szCs w:val="24"/>
          <w:highlight w:val="none"/>
        </w:rPr>
      </w:pPr>
      <w:r>
        <w:rPr>
          <w:rFonts w:hint="eastAsia" w:ascii="宋体" w:eastAsia="宋体" w:cs="宋体"/>
          <w:sz w:val="24"/>
          <w:szCs w:val="24"/>
          <w:highlight w:val="none"/>
        </w:rPr>
        <w:t>2.本次招标公告同时在安徽省政府采购网上发布。</w:t>
      </w:r>
    </w:p>
    <w:p>
      <w:pPr>
        <w:snapToGrid w:val="0"/>
        <w:spacing w:line="500" w:lineRule="exact"/>
        <w:ind w:firstLine="480" w:firstLineChars="200"/>
        <w:jc w:val="left"/>
        <w:rPr>
          <w:rFonts w:ascii="宋体" w:eastAsia="宋体" w:cs="宋体"/>
          <w:sz w:val="24"/>
          <w:szCs w:val="24"/>
          <w:highlight w:val="none"/>
        </w:rPr>
      </w:pPr>
      <w:r>
        <w:rPr>
          <w:rFonts w:hint="eastAsia" w:ascii="宋体" w:eastAsia="宋体" w:cs="宋体"/>
          <w:sz w:val="24"/>
          <w:szCs w:val="24"/>
          <w:highlight w:val="none"/>
        </w:rPr>
        <w:t>3.潜在投标人应合理安排招标文件获取时间，特别是网络速度慢的地区防止在系统关闭前网络拥堵无法操作。如果因计算机及网络故障造成无法完成招标文件获取，责任自负。采购文件获取过程中有任何疑问，请在工作时间（09：00-17:30，节假日休息）拨打技术支持热线（非项目咨询）：95763。项目咨询请拨打代理机构项目联系人电话：0551-65707329。</w:t>
      </w:r>
    </w:p>
    <w:p>
      <w:pPr>
        <w:autoSpaceDE w:val="0"/>
        <w:autoSpaceDN w:val="0"/>
        <w:adjustRightInd w:val="0"/>
        <w:spacing w:line="360" w:lineRule="auto"/>
        <w:ind w:firstLine="420"/>
        <w:jc w:val="left"/>
        <w:rPr>
          <w:rFonts w:ascii="宋体" w:eastAsia="宋体" w:cs="宋体"/>
          <w:sz w:val="24"/>
          <w:szCs w:val="24"/>
          <w:highlight w:val="none"/>
        </w:rPr>
      </w:pPr>
      <w:r>
        <w:rPr>
          <w:rFonts w:hint="eastAsia" w:ascii="宋体" w:eastAsia="宋体" w:cs="宋体"/>
          <w:sz w:val="24"/>
          <w:szCs w:val="24"/>
          <w:highlight w:val="none"/>
        </w:rPr>
        <w:t>4.按照财政部、工业和信息化部制定的《政府采购促进中小企业发展管理办法》，本项目为专门面向中小企业采购项目。企业划型标准按照《关于印发中小企业划型标准规定的通知》（工信部联企业〔2011〕300号）规定执行。</w:t>
      </w:r>
    </w:p>
    <w:p>
      <w:pPr>
        <w:spacing w:line="360" w:lineRule="auto"/>
        <w:ind w:firstLine="437"/>
        <w:outlineLvl w:val="1"/>
        <w:rPr>
          <w:rFonts w:ascii="宋体" w:eastAsia="宋体"/>
          <w:b/>
          <w:bCs/>
          <w:sz w:val="24"/>
          <w:szCs w:val="18"/>
          <w:highlight w:val="none"/>
        </w:rPr>
      </w:pPr>
      <w:bookmarkStart w:id="27" w:name="_Toc29644"/>
      <w:r>
        <w:rPr>
          <w:rFonts w:hint="eastAsia" w:ascii="宋体" w:eastAsia="宋体"/>
          <w:b/>
          <w:bCs/>
          <w:sz w:val="24"/>
          <w:szCs w:val="18"/>
          <w:highlight w:val="none"/>
        </w:rPr>
        <w:t>七、</w:t>
      </w:r>
      <w:bookmarkEnd w:id="25"/>
      <w:r>
        <w:rPr>
          <w:rFonts w:hint="eastAsia" w:ascii="宋体" w:eastAsia="宋体"/>
          <w:b/>
          <w:bCs/>
          <w:sz w:val="24"/>
          <w:szCs w:val="18"/>
          <w:highlight w:val="none"/>
        </w:rPr>
        <w:t>对本次招标提出询问，请按以下方式联系</w:t>
      </w:r>
      <w:bookmarkEnd w:id="26"/>
      <w:bookmarkEnd w:id="27"/>
    </w:p>
    <w:p>
      <w:pPr>
        <w:adjustRightInd w:val="0"/>
        <w:snapToGrid w:val="0"/>
        <w:spacing w:line="500" w:lineRule="exact"/>
        <w:ind w:firstLine="480" w:firstLineChars="200"/>
        <w:jc w:val="left"/>
        <w:rPr>
          <w:rFonts w:ascii="宋体" w:eastAsia="宋体" w:cs="宋体"/>
          <w:sz w:val="24"/>
          <w:szCs w:val="24"/>
          <w:highlight w:val="none"/>
        </w:rPr>
      </w:pPr>
      <w:bookmarkStart w:id="28" w:name="_Toc28359019"/>
      <w:bookmarkStart w:id="29" w:name="_Toc35393637"/>
      <w:bookmarkStart w:id="30" w:name="_Toc35393806"/>
      <w:bookmarkStart w:id="31" w:name="_Toc28359096"/>
      <w:r>
        <w:rPr>
          <w:rFonts w:hint="eastAsia" w:ascii="宋体" w:eastAsia="宋体" w:cs="宋体"/>
          <w:sz w:val="24"/>
          <w:szCs w:val="24"/>
          <w:highlight w:val="none"/>
        </w:rPr>
        <w:t>1.采购人信息</w:t>
      </w:r>
      <w:bookmarkEnd w:id="28"/>
      <w:bookmarkEnd w:id="29"/>
      <w:bookmarkEnd w:id="30"/>
      <w:bookmarkEnd w:id="31"/>
    </w:p>
    <w:p>
      <w:pPr>
        <w:adjustRightInd w:val="0"/>
        <w:snapToGrid w:val="0"/>
        <w:spacing w:line="500" w:lineRule="exact"/>
        <w:ind w:firstLine="480" w:firstLineChars="200"/>
        <w:jc w:val="left"/>
        <w:rPr>
          <w:rFonts w:ascii="宋体" w:eastAsia="宋体" w:cs="宋体"/>
          <w:sz w:val="24"/>
          <w:szCs w:val="24"/>
          <w:highlight w:val="none"/>
        </w:rPr>
      </w:pPr>
      <w:r>
        <w:rPr>
          <w:rFonts w:hint="eastAsia" w:ascii="宋体" w:eastAsia="宋体" w:cs="宋体"/>
          <w:sz w:val="24"/>
          <w:szCs w:val="24"/>
          <w:highlight w:val="none"/>
        </w:rPr>
        <w:t xml:space="preserve">名    称：皖南医学院          </w:t>
      </w:r>
    </w:p>
    <w:p>
      <w:pPr>
        <w:adjustRightInd w:val="0"/>
        <w:snapToGrid w:val="0"/>
        <w:spacing w:line="500" w:lineRule="exact"/>
        <w:ind w:firstLine="480" w:firstLineChars="200"/>
        <w:jc w:val="left"/>
        <w:rPr>
          <w:rFonts w:ascii="宋体" w:eastAsia="宋体" w:cs="宋体"/>
          <w:sz w:val="24"/>
          <w:szCs w:val="24"/>
          <w:highlight w:val="none"/>
        </w:rPr>
      </w:pPr>
      <w:r>
        <w:rPr>
          <w:rFonts w:hint="eastAsia" w:ascii="宋体" w:eastAsia="宋体" w:cs="宋体"/>
          <w:sz w:val="24"/>
          <w:szCs w:val="24"/>
          <w:highlight w:val="none"/>
        </w:rPr>
        <w:t>地    址：芜湖市弋江区文昌西路22号</w:t>
      </w:r>
    </w:p>
    <w:p>
      <w:pPr>
        <w:adjustRightInd w:val="0"/>
        <w:snapToGrid w:val="0"/>
        <w:spacing w:line="500" w:lineRule="exact"/>
        <w:ind w:firstLine="480" w:firstLineChars="200"/>
        <w:jc w:val="left"/>
        <w:rPr>
          <w:rFonts w:ascii="宋体" w:eastAsia="宋体" w:cs="宋体"/>
          <w:sz w:val="24"/>
          <w:szCs w:val="24"/>
          <w:highlight w:val="none"/>
        </w:rPr>
      </w:pPr>
      <w:r>
        <w:rPr>
          <w:rFonts w:hint="eastAsia" w:ascii="宋体" w:eastAsia="宋体" w:cs="宋体"/>
          <w:sz w:val="24"/>
          <w:szCs w:val="24"/>
          <w:highlight w:val="none"/>
        </w:rPr>
        <w:t>联系方式：0553-3932052</w:t>
      </w:r>
    </w:p>
    <w:p>
      <w:pPr>
        <w:adjustRightInd w:val="0"/>
        <w:snapToGrid w:val="0"/>
        <w:spacing w:line="500" w:lineRule="exact"/>
        <w:ind w:firstLine="480" w:firstLineChars="200"/>
        <w:jc w:val="left"/>
        <w:rPr>
          <w:rFonts w:ascii="宋体" w:eastAsia="宋体" w:cs="宋体"/>
          <w:sz w:val="24"/>
          <w:szCs w:val="24"/>
          <w:highlight w:val="none"/>
        </w:rPr>
      </w:pPr>
      <w:bookmarkStart w:id="32" w:name="_Toc35393638"/>
      <w:bookmarkStart w:id="33" w:name="_Toc35393807"/>
      <w:bookmarkStart w:id="34" w:name="_Toc28359020"/>
      <w:bookmarkStart w:id="35" w:name="_Toc28359097"/>
      <w:r>
        <w:rPr>
          <w:rFonts w:hint="eastAsia" w:ascii="宋体" w:eastAsia="宋体" w:cs="宋体"/>
          <w:sz w:val="24"/>
          <w:szCs w:val="24"/>
          <w:highlight w:val="none"/>
        </w:rPr>
        <w:t>2.采购代理机构信息</w:t>
      </w:r>
      <w:bookmarkEnd w:id="32"/>
      <w:bookmarkEnd w:id="33"/>
      <w:bookmarkEnd w:id="34"/>
      <w:bookmarkEnd w:id="35"/>
    </w:p>
    <w:p>
      <w:pPr>
        <w:adjustRightInd w:val="0"/>
        <w:snapToGrid w:val="0"/>
        <w:spacing w:line="500" w:lineRule="exact"/>
        <w:ind w:firstLine="480" w:firstLineChars="200"/>
        <w:jc w:val="left"/>
        <w:rPr>
          <w:rFonts w:ascii="宋体" w:eastAsia="宋体" w:cs="宋体"/>
          <w:sz w:val="24"/>
          <w:szCs w:val="24"/>
          <w:highlight w:val="none"/>
        </w:rPr>
      </w:pPr>
      <w:r>
        <w:rPr>
          <w:rFonts w:hint="eastAsia" w:ascii="宋体" w:eastAsia="宋体" w:cs="宋体"/>
          <w:sz w:val="24"/>
          <w:szCs w:val="24"/>
          <w:highlight w:val="none"/>
        </w:rPr>
        <w:t xml:space="preserve">名    称：安徽安兆工程技术咨询服务有限公司      </w:t>
      </w:r>
    </w:p>
    <w:p>
      <w:pPr>
        <w:adjustRightInd w:val="0"/>
        <w:snapToGrid w:val="0"/>
        <w:spacing w:line="500" w:lineRule="exact"/>
        <w:ind w:firstLine="480" w:firstLineChars="200"/>
        <w:jc w:val="left"/>
        <w:rPr>
          <w:rFonts w:ascii="宋体" w:eastAsia="宋体" w:cs="宋体"/>
          <w:sz w:val="24"/>
          <w:szCs w:val="24"/>
          <w:highlight w:val="none"/>
        </w:rPr>
      </w:pPr>
      <w:r>
        <w:rPr>
          <w:rFonts w:hint="eastAsia" w:ascii="宋体" w:eastAsia="宋体" w:cs="宋体"/>
          <w:sz w:val="24"/>
          <w:szCs w:val="24"/>
          <w:highlight w:val="none"/>
        </w:rPr>
        <w:t>地　　址：安徽省合肥市滨湖新区云谷路2588号淮河科研中心12楼</w:t>
      </w:r>
    </w:p>
    <w:p>
      <w:pPr>
        <w:adjustRightInd w:val="0"/>
        <w:snapToGrid w:val="0"/>
        <w:spacing w:line="500" w:lineRule="exact"/>
        <w:ind w:firstLine="480" w:firstLineChars="200"/>
        <w:jc w:val="left"/>
        <w:rPr>
          <w:rFonts w:ascii="宋体" w:eastAsia="宋体" w:cs="宋体"/>
          <w:sz w:val="24"/>
          <w:szCs w:val="24"/>
          <w:highlight w:val="none"/>
        </w:rPr>
      </w:pPr>
      <w:r>
        <w:rPr>
          <w:rFonts w:hint="eastAsia" w:ascii="宋体" w:eastAsia="宋体" w:cs="宋体"/>
          <w:sz w:val="24"/>
          <w:szCs w:val="24"/>
          <w:highlight w:val="none"/>
        </w:rPr>
        <w:t>联系方式：0551-65707329</w:t>
      </w:r>
      <w:bookmarkStart w:id="36" w:name="_Toc28359021"/>
      <w:bookmarkStart w:id="37" w:name="_Toc35393808"/>
      <w:bookmarkStart w:id="38" w:name="_Toc35393639"/>
      <w:bookmarkStart w:id="39" w:name="_Toc28359098"/>
    </w:p>
    <w:bookmarkEnd w:id="36"/>
    <w:bookmarkEnd w:id="37"/>
    <w:bookmarkEnd w:id="38"/>
    <w:bookmarkEnd w:id="39"/>
    <w:p>
      <w:pPr>
        <w:adjustRightInd w:val="0"/>
        <w:snapToGrid w:val="0"/>
        <w:spacing w:line="500" w:lineRule="exact"/>
        <w:ind w:firstLine="480" w:firstLineChars="200"/>
        <w:jc w:val="left"/>
        <w:rPr>
          <w:rFonts w:ascii="宋体" w:eastAsia="宋体" w:cs="宋体"/>
          <w:sz w:val="24"/>
          <w:szCs w:val="24"/>
          <w:highlight w:val="none"/>
        </w:rPr>
      </w:pPr>
      <w:r>
        <w:rPr>
          <w:rFonts w:hint="eastAsia" w:ascii="宋体" w:eastAsia="宋体" w:cs="宋体"/>
          <w:sz w:val="24"/>
          <w:szCs w:val="24"/>
          <w:highlight w:val="none"/>
        </w:rPr>
        <w:t>3.政府采购监督管理部门</w:t>
      </w:r>
    </w:p>
    <w:p>
      <w:pPr>
        <w:adjustRightInd w:val="0"/>
        <w:snapToGrid w:val="0"/>
        <w:spacing w:line="500" w:lineRule="exact"/>
        <w:ind w:firstLine="480" w:firstLineChars="200"/>
        <w:jc w:val="left"/>
        <w:rPr>
          <w:rFonts w:ascii="宋体" w:eastAsia="宋体" w:cs="宋体"/>
          <w:sz w:val="24"/>
          <w:szCs w:val="24"/>
          <w:highlight w:val="none"/>
        </w:rPr>
      </w:pPr>
      <w:r>
        <w:rPr>
          <w:rFonts w:hint="eastAsia" w:ascii="宋体" w:eastAsia="宋体" w:cs="宋体"/>
          <w:sz w:val="24"/>
          <w:szCs w:val="24"/>
          <w:highlight w:val="none"/>
        </w:rPr>
        <w:t>政府采购监督管理部门：安徽省财政厅</w:t>
      </w:r>
    </w:p>
    <w:p>
      <w:pPr>
        <w:adjustRightInd w:val="0"/>
        <w:snapToGrid w:val="0"/>
        <w:spacing w:line="500" w:lineRule="exact"/>
        <w:ind w:firstLine="480" w:firstLineChars="200"/>
        <w:jc w:val="left"/>
        <w:rPr>
          <w:rFonts w:ascii="宋体" w:eastAsia="宋体" w:cs="宋体"/>
          <w:sz w:val="24"/>
          <w:szCs w:val="24"/>
          <w:highlight w:val="none"/>
        </w:rPr>
      </w:pPr>
      <w:r>
        <w:rPr>
          <w:rFonts w:hint="eastAsia" w:ascii="宋体" w:eastAsia="宋体" w:cs="宋体"/>
          <w:sz w:val="24"/>
          <w:szCs w:val="24"/>
          <w:highlight w:val="none"/>
        </w:rPr>
        <w:t>地  址：合肥市阜南西路238号</w:t>
      </w:r>
    </w:p>
    <w:p>
      <w:pPr>
        <w:adjustRightInd w:val="0"/>
        <w:snapToGrid w:val="0"/>
        <w:spacing w:line="500" w:lineRule="exact"/>
        <w:ind w:firstLine="480" w:firstLineChars="200"/>
        <w:jc w:val="left"/>
        <w:rPr>
          <w:rFonts w:ascii="宋体" w:eastAsia="宋体" w:cs="宋体"/>
          <w:sz w:val="24"/>
          <w:szCs w:val="24"/>
          <w:highlight w:val="none"/>
        </w:rPr>
      </w:pPr>
      <w:r>
        <w:rPr>
          <w:rFonts w:hint="eastAsia" w:ascii="宋体" w:eastAsia="宋体" w:cs="宋体"/>
          <w:sz w:val="24"/>
          <w:szCs w:val="24"/>
          <w:highlight w:val="none"/>
        </w:rPr>
        <w:t xml:space="preserve">电  话：0551-68150309        </w:t>
      </w:r>
    </w:p>
    <w:p>
      <w:pPr>
        <w:adjustRightInd w:val="0"/>
        <w:snapToGrid w:val="0"/>
        <w:spacing w:line="500" w:lineRule="exact"/>
        <w:ind w:firstLine="480" w:firstLineChars="200"/>
        <w:jc w:val="left"/>
        <w:rPr>
          <w:rFonts w:ascii="宋体" w:eastAsia="宋体" w:cs="宋体"/>
          <w:sz w:val="24"/>
          <w:szCs w:val="24"/>
          <w:highlight w:val="none"/>
        </w:rPr>
      </w:pPr>
      <w:r>
        <w:rPr>
          <w:rFonts w:hint="eastAsia" w:ascii="宋体" w:eastAsia="宋体" w:cs="宋体"/>
          <w:sz w:val="24"/>
          <w:szCs w:val="24"/>
          <w:highlight w:val="none"/>
        </w:rPr>
        <w:t>4.项目联系方式</w:t>
      </w:r>
    </w:p>
    <w:p>
      <w:pPr>
        <w:adjustRightInd w:val="0"/>
        <w:snapToGrid w:val="0"/>
        <w:spacing w:line="500" w:lineRule="exact"/>
        <w:ind w:firstLine="480" w:firstLineChars="200"/>
        <w:jc w:val="left"/>
        <w:rPr>
          <w:rFonts w:ascii="宋体" w:eastAsia="宋体" w:cs="宋体"/>
          <w:sz w:val="24"/>
          <w:szCs w:val="24"/>
          <w:highlight w:val="none"/>
        </w:rPr>
      </w:pPr>
      <w:r>
        <w:rPr>
          <w:rFonts w:hint="eastAsia" w:ascii="宋体" w:eastAsia="宋体" w:cs="宋体"/>
          <w:sz w:val="24"/>
          <w:szCs w:val="24"/>
          <w:highlight w:val="none"/>
        </w:rPr>
        <w:t xml:space="preserve">项目联系人：朱工     </w:t>
      </w:r>
    </w:p>
    <w:p>
      <w:pPr>
        <w:adjustRightInd w:val="0"/>
        <w:snapToGrid w:val="0"/>
        <w:spacing w:line="500" w:lineRule="exact"/>
        <w:ind w:firstLine="480" w:firstLineChars="200"/>
        <w:jc w:val="left"/>
        <w:rPr>
          <w:rFonts w:ascii="宋体" w:eastAsia="宋体" w:cs="宋体"/>
          <w:sz w:val="24"/>
          <w:szCs w:val="24"/>
          <w:highlight w:val="none"/>
        </w:rPr>
      </w:pPr>
      <w:r>
        <w:rPr>
          <w:rFonts w:hint="eastAsia" w:ascii="宋体" w:eastAsia="宋体" w:cs="宋体"/>
          <w:sz w:val="24"/>
          <w:szCs w:val="24"/>
          <w:highlight w:val="none"/>
        </w:rPr>
        <w:t>电　　 话：0551-65707329</w:t>
      </w:r>
    </w:p>
    <w:p>
      <w:pPr>
        <w:spacing w:line="360" w:lineRule="auto"/>
        <w:ind w:firstLine="435"/>
        <w:rPr>
          <w:rFonts w:ascii="宋体" w:eastAsia="宋体"/>
          <w:sz w:val="24"/>
          <w:szCs w:val="18"/>
          <w:highlight w:val="none"/>
          <w:u w:val="single"/>
        </w:rPr>
      </w:pPr>
    </w:p>
    <w:p>
      <w:pPr>
        <w:widowControl/>
        <w:jc w:val="left"/>
        <w:rPr>
          <w:rFonts w:ascii="宋体" w:eastAsia="宋体"/>
          <w:sz w:val="24"/>
          <w:szCs w:val="18"/>
          <w:highlight w:val="none"/>
        </w:rPr>
      </w:pPr>
      <w:r>
        <w:rPr>
          <w:rFonts w:ascii="宋体" w:eastAsia="宋体"/>
          <w:sz w:val="24"/>
          <w:szCs w:val="18"/>
          <w:highlight w:val="none"/>
        </w:rPr>
        <w:br w:type="page"/>
      </w:r>
    </w:p>
    <w:p>
      <w:pPr>
        <w:spacing w:line="360" w:lineRule="auto"/>
        <w:jc w:val="center"/>
        <w:outlineLvl w:val="0"/>
        <w:rPr>
          <w:rFonts w:ascii="宋体" w:eastAsia="宋体"/>
          <w:b/>
          <w:sz w:val="28"/>
          <w:highlight w:val="none"/>
        </w:rPr>
      </w:pPr>
      <w:bookmarkStart w:id="40" w:name="_Toc31935"/>
      <w:bookmarkStart w:id="41" w:name="_Toc28408"/>
      <w:bookmarkStart w:id="42" w:name="_Toc25161"/>
      <w:bookmarkStart w:id="43" w:name="_Toc15683"/>
      <w:bookmarkStart w:id="44" w:name="_Toc16736"/>
      <w:r>
        <w:rPr>
          <w:rFonts w:hint="eastAsia" w:ascii="宋体" w:eastAsia="宋体"/>
          <w:b/>
          <w:sz w:val="28"/>
          <w:highlight w:val="none"/>
        </w:rPr>
        <w:t>第二章</w:t>
      </w:r>
      <w:r>
        <w:rPr>
          <w:rFonts w:hint="eastAsia" w:ascii="宋体" w:eastAsia="宋体"/>
          <w:b/>
          <w:sz w:val="28"/>
          <w:highlight w:val="none"/>
          <w:lang w:val="en-US" w:eastAsia="zh-CN"/>
        </w:rPr>
        <w:t xml:space="preserve">  </w:t>
      </w:r>
      <w:r>
        <w:rPr>
          <w:rFonts w:ascii="宋体" w:eastAsia="宋体"/>
          <w:b/>
          <w:sz w:val="28"/>
          <w:highlight w:val="none"/>
        </w:rPr>
        <w:t>投标人须知</w:t>
      </w:r>
      <w:bookmarkEnd w:id="40"/>
      <w:bookmarkEnd w:id="41"/>
      <w:bookmarkEnd w:id="42"/>
      <w:bookmarkEnd w:id="43"/>
      <w:bookmarkEnd w:id="44"/>
    </w:p>
    <w:p>
      <w:pPr>
        <w:spacing w:line="360" w:lineRule="auto"/>
        <w:jc w:val="center"/>
        <w:outlineLvl w:val="1"/>
        <w:rPr>
          <w:rFonts w:ascii="宋体" w:eastAsia="宋体"/>
          <w:b/>
          <w:sz w:val="24"/>
          <w:highlight w:val="none"/>
        </w:rPr>
      </w:pPr>
      <w:bookmarkStart w:id="45" w:name="_Toc7178"/>
      <w:bookmarkStart w:id="46" w:name="_Toc3114"/>
      <w:bookmarkStart w:id="47" w:name="_Toc16544"/>
      <w:r>
        <w:rPr>
          <w:rFonts w:hint="eastAsia" w:ascii="宋体" w:eastAsia="宋体"/>
          <w:b/>
          <w:sz w:val="24"/>
          <w:highlight w:val="none"/>
        </w:rPr>
        <w:t>一、</w:t>
      </w:r>
      <w:r>
        <w:rPr>
          <w:rFonts w:ascii="宋体" w:eastAsia="宋体"/>
          <w:b/>
          <w:sz w:val="24"/>
          <w:highlight w:val="none"/>
        </w:rPr>
        <w:t>投标人须知前附表</w:t>
      </w:r>
      <w:bookmarkEnd w:id="45"/>
      <w:bookmarkEnd w:id="46"/>
      <w:bookmarkEnd w:id="47"/>
    </w:p>
    <w:p>
      <w:pPr>
        <w:spacing w:line="360" w:lineRule="auto"/>
        <w:ind w:firstLine="435"/>
        <w:rPr>
          <w:rFonts w:ascii="宋体" w:eastAsia="宋体"/>
          <w:sz w:val="24"/>
          <w:szCs w:val="18"/>
          <w:highlight w:val="none"/>
        </w:rPr>
      </w:pPr>
      <w:r>
        <w:rPr>
          <w:rFonts w:hint="eastAsia" w:ascii="宋体" w:eastAsia="宋体"/>
          <w:b/>
          <w:bCs/>
          <w:sz w:val="24"/>
          <w:szCs w:val="18"/>
          <w:highlight w:val="none"/>
        </w:rPr>
        <w:t>注：</w:t>
      </w:r>
      <w:r>
        <w:rPr>
          <w:rFonts w:hint="eastAsia" w:ascii="宋体" w:eastAsia="宋体"/>
          <w:sz w:val="24"/>
          <w:szCs w:val="18"/>
          <w:highlight w:val="none"/>
        </w:rPr>
        <w:t>本表是本项目的具体要求，是对投标人须知的具体补充和修改，如有不一致，以本表为准。</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
        <w:gridCol w:w="2001"/>
        <w:gridCol w:w="5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79" w:type="pct"/>
            <w:vAlign w:val="center"/>
          </w:tcPr>
          <w:p>
            <w:pPr>
              <w:pStyle w:val="40"/>
              <w:widowControl w:val="0"/>
              <w:spacing w:before="0" w:beforeAutospacing="0" w:after="0" w:afterAutospacing="0"/>
              <w:rPr>
                <w:rFonts w:ascii="宋体" w:eastAsia="宋体"/>
                <w:bCs w:val="0"/>
                <w:kern w:val="2"/>
                <w:sz w:val="24"/>
                <w:szCs w:val="20"/>
                <w:highlight w:val="none"/>
              </w:rPr>
            </w:pPr>
            <w:r>
              <w:rPr>
                <w:rFonts w:hint="eastAsia" w:ascii="宋体" w:eastAsia="宋体"/>
                <w:bCs w:val="0"/>
                <w:kern w:val="2"/>
                <w:sz w:val="24"/>
                <w:szCs w:val="20"/>
                <w:highlight w:val="none"/>
              </w:rPr>
              <w:t>条款号</w:t>
            </w:r>
          </w:p>
        </w:tc>
        <w:tc>
          <w:tcPr>
            <w:tcW w:w="1174" w:type="pct"/>
            <w:vAlign w:val="center"/>
          </w:tcPr>
          <w:p>
            <w:pPr>
              <w:pStyle w:val="40"/>
              <w:widowControl w:val="0"/>
              <w:spacing w:before="0" w:beforeAutospacing="0" w:after="0" w:afterAutospacing="0"/>
              <w:rPr>
                <w:rFonts w:ascii="宋体" w:eastAsia="宋体"/>
                <w:bCs w:val="0"/>
                <w:kern w:val="2"/>
                <w:sz w:val="24"/>
                <w:szCs w:val="20"/>
                <w:highlight w:val="none"/>
              </w:rPr>
            </w:pPr>
            <w:r>
              <w:rPr>
                <w:rFonts w:hint="eastAsia" w:ascii="宋体" w:eastAsia="宋体"/>
                <w:bCs w:val="0"/>
                <w:kern w:val="2"/>
                <w:sz w:val="24"/>
                <w:szCs w:val="20"/>
                <w:highlight w:val="none"/>
              </w:rPr>
              <w:t>条款名称</w:t>
            </w:r>
          </w:p>
        </w:tc>
        <w:tc>
          <w:tcPr>
            <w:tcW w:w="3246" w:type="pct"/>
            <w:vAlign w:val="center"/>
          </w:tcPr>
          <w:p>
            <w:pPr>
              <w:pStyle w:val="40"/>
              <w:widowControl w:val="0"/>
              <w:spacing w:before="0" w:beforeAutospacing="0" w:after="0" w:afterAutospacing="0"/>
              <w:rPr>
                <w:rFonts w:ascii="宋体" w:eastAsia="宋体"/>
                <w:bCs w:val="0"/>
                <w:kern w:val="2"/>
                <w:sz w:val="24"/>
                <w:szCs w:val="20"/>
                <w:highlight w:val="none"/>
              </w:rPr>
            </w:pPr>
            <w:r>
              <w:rPr>
                <w:rFonts w:hint="eastAsia" w:ascii="宋体" w:eastAsia="宋体"/>
                <w:bCs w:val="0"/>
                <w:kern w:val="2"/>
                <w:sz w:val="24"/>
                <w:szCs w:val="20"/>
                <w:highlight w:val="none"/>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79" w:type="pct"/>
            <w:vAlign w:val="center"/>
          </w:tcPr>
          <w:p>
            <w:pPr>
              <w:pStyle w:val="41"/>
              <w:pBdr>
                <w:bottom w:val="none" w:color="auto" w:sz="0" w:space="0"/>
              </w:pBdr>
              <w:tabs>
                <w:tab w:val="clear" w:pos="4153"/>
                <w:tab w:val="clear" w:pos="8306"/>
              </w:tabs>
              <w:adjustRightInd/>
              <w:snapToGrid/>
              <w:spacing w:line="240" w:lineRule="auto"/>
              <w:textAlignment w:val="auto"/>
              <w:rPr>
                <w:rFonts w:ascii="宋体" w:eastAsia="宋体"/>
                <w:bCs/>
                <w:kern w:val="2"/>
                <w:highlight w:val="none"/>
              </w:rPr>
            </w:pPr>
            <w:r>
              <w:rPr>
                <w:rFonts w:hint="eastAsia" w:ascii="宋体" w:eastAsia="宋体"/>
                <w:bCs/>
                <w:kern w:val="2"/>
                <w:highlight w:val="none"/>
              </w:rPr>
              <w:t>5</w:t>
            </w:r>
            <w:r>
              <w:rPr>
                <w:rFonts w:ascii="宋体" w:eastAsia="宋体"/>
                <w:bCs/>
                <w:kern w:val="2"/>
                <w:highlight w:val="none"/>
              </w:rPr>
              <w:t>.3</w:t>
            </w:r>
          </w:p>
        </w:tc>
        <w:tc>
          <w:tcPr>
            <w:tcW w:w="1174" w:type="pct"/>
            <w:vAlign w:val="center"/>
          </w:tcPr>
          <w:p>
            <w:pPr>
              <w:pStyle w:val="40"/>
              <w:widowControl w:val="0"/>
              <w:spacing w:before="0" w:beforeAutospacing="0" w:after="0" w:afterAutospacing="0"/>
              <w:jc w:val="left"/>
              <w:rPr>
                <w:rFonts w:ascii="宋体" w:eastAsia="宋体"/>
                <w:b w:val="0"/>
                <w:sz w:val="24"/>
                <w:highlight w:val="none"/>
              </w:rPr>
            </w:pPr>
            <w:r>
              <w:rPr>
                <w:rFonts w:hint="eastAsia" w:ascii="宋体" w:eastAsia="宋体"/>
                <w:b w:val="0"/>
                <w:sz w:val="24"/>
                <w:highlight w:val="none"/>
              </w:rPr>
              <w:t>现场考察</w:t>
            </w:r>
          </w:p>
        </w:tc>
        <w:tc>
          <w:tcPr>
            <w:tcW w:w="3246" w:type="pct"/>
            <w:vAlign w:val="center"/>
          </w:tcPr>
          <w:p>
            <w:pPr>
              <w:spacing w:line="360" w:lineRule="auto"/>
              <w:rPr>
                <w:rFonts w:ascii="宋体" w:eastAsia="宋体"/>
                <w:bCs/>
                <w:sz w:val="24"/>
                <w:highlight w:val="none"/>
              </w:rPr>
            </w:pPr>
            <w:r>
              <w:rPr>
                <w:rFonts w:hint="eastAsia" w:ascii="宋体" w:eastAsia="宋体"/>
                <w:bCs/>
                <w:sz w:val="24"/>
                <w:szCs w:val="24"/>
                <w:highlight w:val="none"/>
              </w:rPr>
              <w:t>☑</w:t>
            </w:r>
            <w:r>
              <w:rPr>
                <w:rFonts w:hint="eastAsia" w:ascii="宋体" w:eastAsia="宋体"/>
                <w:sz w:val="24"/>
                <w:highlight w:val="none"/>
              </w:rPr>
              <w:t>不组织，投标人</w:t>
            </w:r>
            <w:r>
              <w:rPr>
                <w:rFonts w:hint="eastAsia" w:ascii="宋体" w:eastAsia="宋体"/>
                <w:bCs/>
                <w:sz w:val="24"/>
                <w:highlight w:val="none"/>
              </w:rPr>
              <w:t>自行考察</w:t>
            </w:r>
          </w:p>
          <w:p>
            <w:pPr>
              <w:spacing w:line="360" w:lineRule="auto"/>
              <w:rPr>
                <w:rFonts w:ascii="宋体" w:eastAsia="宋体"/>
                <w:bCs/>
                <w:sz w:val="24"/>
                <w:highlight w:val="none"/>
              </w:rPr>
            </w:pPr>
            <w:r>
              <w:rPr>
                <w:rFonts w:hint="eastAsia" w:ascii="宋体" w:eastAsia="宋体"/>
                <w:sz w:val="24"/>
                <w:highlight w:val="none"/>
              </w:rPr>
              <w:t>□</w:t>
            </w:r>
            <w:r>
              <w:rPr>
                <w:rFonts w:hint="eastAsia" w:ascii="宋体" w:eastAsia="宋体"/>
                <w:bCs/>
                <w:sz w:val="24"/>
                <w:highlight w:val="none"/>
              </w:rPr>
              <w:t>统一组织</w:t>
            </w:r>
          </w:p>
          <w:p>
            <w:pPr>
              <w:spacing w:line="360" w:lineRule="auto"/>
              <w:rPr>
                <w:rFonts w:ascii="宋体" w:eastAsia="宋体"/>
                <w:bCs/>
                <w:sz w:val="24"/>
                <w:highlight w:val="none"/>
                <w:u w:val="single"/>
              </w:rPr>
            </w:pPr>
            <w:r>
              <w:rPr>
                <w:rFonts w:hint="eastAsia" w:ascii="宋体" w:eastAsia="宋体"/>
                <w:bCs/>
                <w:sz w:val="24"/>
                <w:highlight w:val="none"/>
              </w:rPr>
              <w:t>时间：</w:t>
            </w:r>
            <w:r>
              <w:rPr>
                <w:rFonts w:hint="eastAsia" w:ascii="宋体" w:eastAsia="宋体"/>
                <w:bCs/>
                <w:sz w:val="24"/>
                <w:highlight w:val="none"/>
                <w:lang w:val="en-US" w:eastAsia="zh-CN"/>
              </w:rPr>
              <w:t xml:space="preserve">  </w:t>
            </w:r>
            <w:r>
              <w:rPr>
                <w:rFonts w:hint="eastAsia" w:ascii="宋体" w:eastAsia="宋体"/>
                <w:bCs/>
                <w:sz w:val="24"/>
                <w:highlight w:val="none"/>
              </w:rPr>
              <w:t>年</w:t>
            </w:r>
            <w:r>
              <w:rPr>
                <w:rFonts w:hint="eastAsia" w:ascii="宋体" w:eastAsia="宋体"/>
                <w:bCs/>
                <w:sz w:val="24"/>
                <w:highlight w:val="none"/>
                <w:lang w:val="en-US" w:eastAsia="zh-CN"/>
              </w:rPr>
              <w:t xml:space="preserve">  </w:t>
            </w:r>
            <w:r>
              <w:rPr>
                <w:rFonts w:hint="eastAsia" w:ascii="宋体" w:eastAsia="宋体"/>
                <w:bCs/>
                <w:sz w:val="24"/>
                <w:highlight w:val="none"/>
              </w:rPr>
              <w:t>月</w:t>
            </w:r>
            <w:r>
              <w:rPr>
                <w:rFonts w:hint="eastAsia" w:ascii="宋体" w:eastAsia="宋体"/>
                <w:bCs/>
                <w:sz w:val="24"/>
                <w:highlight w:val="none"/>
                <w:lang w:val="en-US" w:eastAsia="zh-CN"/>
              </w:rPr>
              <w:t xml:space="preserve">  </w:t>
            </w:r>
            <w:r>
              <w:rPr>
                <w:rFonts w:hint="eastAsia" w:ascii="宋体" w:eastAsia="宋体"/>
                <w:bCs/>
                <w:sz w:val="24"/>
                <w:highlight w:val="none"/>
              </w:rPr>
              <w:t>日</w:t>
            </w:r>
            <w:r>
              <w:rPr>
                <w:rFonts w:hint="eastAsia" w:ascii="宋体" w:eastAsia="宋体"/>
                <w:bCs/>
                <w:sz w:val="24"/>
                <w:highlight w:val="none"/>
                <w:lang w:val="en-US" w:eastAsia="zh-CN"/>
              </w:rPr>
              <w:t xml:space="preserve">  </w:t>
            </w:r>
            <w:r>
              <w:rPr>
                <w:rFonts w:hint="eastAsia" w:ascii="宋体" w:eastAsia="宋体"/>
                <w:bCs/>
                <w:sz w:val="24"/>
                <w:highlight w:val="none"/>
              </w:rPr>
              <w:t>时</w:t>
            </w:r>
            <w:r>
              <w:rPr>
                <w:rFonts w:hint="eastAsia" w:ascii="宋体" w:eastAsia="宋体"/>
                <w:bCs/>
                <w:sz w:val="24"/>
                <w:highlight w:val="none"/>
                <w:lang w:val="en-US" w:eastAsia="zh-CN"/>
              </w:rPr>
              <w:t xml:space="preserve">  </w:t>
            </w:r>
            <w:r>
              <w:rPr>
                <w:rFonts w:hint="eastAsia" w:ascii="宋体" w:eastAsia="宋体"/>
                <w:bCs/>
                <w:sz w:val="24"/>
                <w:highlight w:val="none"/>
              </w:rPr>
              <w:t>分</w:t>
            </w:r>
          </w:p>
          <w:p>
            <w:pPr>
              <w:spacing w:line="360" w:lineRule="auto"/>
              <w:rPr>
                <w:rFonts w:ascii="宋体" w:eastAsia="宋体"/>
                <w:bCs/>
                <w:sz w:val="24"/>
                <w:highlight w:val="none"/>
                <w:u w:val="single"/>
              </w:rPr>
            </w:pPr>
            <w:r>
              <w:rPr>
                <w:rFonts w:hint="eastAsia" w:ascii="宋体" w:eastAsia="宋体"/>
                <w:bCs/>
                <w:sz w:val="24"/>
                <w:highlight w:val="none"/>
              </w:rPr>
              <w:t>地点：</w:t>
            </w:r>
          </w:p>
          <w:p>
            <w:pPr>
              <w:spacing w:line="360" w:lineRule="auto"/>
              <w:rPr>
                <w:rFonts w:ascii="宋体" w:eastAsia="宋体"/>
                <w:bCs/>
                <w:sz w:val="24"/>
                <w:highlight w:val="none"/>
                <w:u w:val="single"/>
              </w:rPr>
            </w:pPr>
            <w:r>
              <w:rPr>
                <w:rFonts w:hint="eastAsia" w:ascii="宋体" w:eastAsia="宋体"/>
                <w:bCs/>
                <w:sz w:val="24"/>
                <w:highlight w:val="none"/>
              </w:rPr>
              <w:t>现场考察联系人及联系电话：</w:t>
            </w:r>
          </w:p>
          <w:p>
            <w:pPr>
              <w:pStyle w:val="40"/>
              <w:widowControl w:val="0"/>
              <w:spacing w:before="0" w:beforeAutospacing="0" w:after="0" w:afterAutospacing="0" w:line="360" w:lineRule="auto"/>
              <w:jc w:val="both"/>
              <w:rPr>
                <w:rFonts w:ascii="宋体" w:eastAsia="宋体"/>
                <w:b w:val="0"/>
                <w:sz w:val="24"/>
                <w:highlight w:val="none"/>
              </w:rPr>
            </w:pPr>
            <w:r>
              <w:rPr>
                <w:rFonts w:hint="eastAsia" w:ascii="宋体" w:eastAsia="宋体"/>
                <w:bCs w:val="0"/>
                <w:sz w:val="24"/>
                <w:highlight w:val="none"/>
              </w:rPr>
              <w:t>注：如投标人未参加采购人统一组织的现场考察，视同放弃现场考察，由此引起的一切责任由投标人自行承担。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79" w:type="pct"/>
            <w:vAlign w:val="center"/>
          </w:tcPr>
          <w:p>
            <w:pPr>
              <w:pStyle w:val="41"/>
              <w:pBdr>
                <w:bottom w:val="none" w:color="auto" w:sz="0" w:space="0"/>
              </w:pBdr>
              <w:tabs>
                <w:tab w:val="clear" w:pos="4153"/>
                <w:tab w:val="clear" w:pos="8306"/>
              </w:tabs>
              <w:adjustRightInd/>
              <w:snapToGrid/>
              <w:spacing w:line="240" w:lineRule="auto"/>
              <w:textAlignment w:val="auto"/>
              <w:rPr>
                <w:rFonts w:ascii="宋体" w:eastAsia="宋体"/>
                <w:bCs/>
                <w:kern w:val="2"/>
                <w:highlight w:val="none"/>
              </w:rPr>
            </w:pPr>
            <w:r>
              <w:rPr>
                <w:rFonts w:hint="eastAsia" w:ascii="宋体" w:eastAsia="宋体"/>
                <w:bCs/>
                <w:kern w:val="2"/>
                <w:highlight w:val="none"/>
              </w:rPr>
              <w:t>6</w:t>
            </w:r>
            <w:r>
              <w:rPr>
                <w:rFonts w:ascii="宋体" w:eastAsia="宋体"/>
                <w:bCs/>
                <w:kern w:val="2"/>
                <w:highlight w:val="none"/>
              </w:rPr>
              <w:t>.1</w:t>
            </w:r>
          </w:p>
        </w:tc>
        <w:tc>
          <w:tcPr>
            <w:tcW w:w="1174" w:type="pct"/>
            <w:vAlign w:val="center"/>
          </w:tcPr>
          <w:p>
            <w:pPr>
              <w:pStyle w:val="40"/>
              <w:widowControl w:val="0"/>
              <w:spacing w:before="0" w:beforeAutospacing="0" w:after="0" w:afterAutospacing="0"/>
              <w:jc w:val="left"/>
              <w:rPr>
                <w:rFonts w:ascii="宋体" w:eastAsia="宋体"/>
                <w:b w:val="0"/>
                <w:sz w:val="24"/>
                <w:highlight w:val="none"/>
              </w:rPr>
            </w:pPr>
            <w:r>
              <w:rPr>
                <w:rFonts w:hint="eastAsia" w:ascii="宋体" w:eastAsia="宋体"/>
                <w:b w:val="0"/>
                <w:sz w:val="24"/>
                <w:highlight w:val="none"/>
              </w:rPr>
              <w:t>网上询问截止时间</w:t>
            </w:r>
          </w:p>
        </w:tc>
        <w:tc>
          <w:tcPr>
            <w:tcW w:w="3246" w:type="pct"/>
            <w:vAlign w:val="center"/>
          </w:tcPr>
          <w:p>
            <w:pPr>
              <w:pStyle w:val="40"/>
              <w:widowControl w:val="0"/>
              <w:spacing w:before="0" w:beforeAutospacing="0" w:after="0" w:afterAutospacing="0"/>
              <w:jc w:val="both"/>
              <w:rPr>
                <w:rFonts w:ascii="宋体" w:eastAsia="宋体"/>
                <w:b w:val="0"/>
                <w:sz w:val="24"/>
                <w:highlight w:val="none"/>
              </w:rPr>
            </w:pPr>
            <w:r>
              <w:rPr>
                <w:rFonts w:hint="eastAsia" w:ascii="宋体" w:eastAsia="宋体"/>
                <w:b w:val="0"/>
                <w:sz w:val="24"/>
                <w:highlight w:val="none"/>
                <w:lang w:val="en-US" w:eastAsia="zh-CN"/>
              </w:rPr>
              <w:t>2024</w:t>
            </w:r>
            <w:r>
              <w:rPr>
                <w:rFonts w:ascii="宋体" w:eastAsia="宋体"/>
                <w:b w:val="0"/>
                <w:sz w:val="24"/>
                <w:highlight w:val="none"/>
              </w:rPr>
              <w:t>年</w:t>
            </w:r>
            <w:r>
              <w:rPr>
                <w:rFonts w:hint="eastAsia" w:ascii="宋体" w:eastAsia="宋体"/>
                <w:b w:val="0"/>
                <w:sz w:val="24"/>
                <w:highlight w:val="none"/>
                <w:lang w:val="en-US" w:eastAsia="zh-CN"/>
              </w:rPr>
              <w:t>6</w:t>
            </w:r>
            <w:r>
              <w:rPr>
                <w:rFonts w:ascii="宋体" w:eastAsia="宋体"/>
                <w:b w:val="0"/>
                <w:sz w:val="24"/>
                <w:highlight w:val="none"/>
              </w:rPr>
              <w:t>月</w:t>
            </w:r>
            <w:r>
              <w:rPr>
                <w:rFonts w:hint="eastAsia" w:ascii="宋体" w:eastAsia="宋体"/>
                <w:b w:val="0"/>
                <w:sz w:val="24"/>
                <w:highlight w:val="none"/>
                <w:lang w:val="en-US" w:eastAsia="zh-CN"/>
              </w:rPr>
              <w:t>11</w:t>
            </w:r>
            <w:r>
              <w:rPr>
                <w:rFonts w:ascii="宋体" w:eastAsia="宋体"/>
                <w:b w:val="0"/>
                <w:sz w:val="24"/>
                <w:highlight w:val="none"/>
              </w:rPr>
              <w:t>日</w:t>
            </w:r>
            <w:r>
              <w:rPr>
                <w:rFonts w:hint="eastAsia" w:ascii="宋体" w:eastAsia="宋体"/>
                <w:b w:val="0"/>
                <w:sz w:val="24"/>
                <w:highlight w:val="none"/>
                <w:lang w:val="en-US" w:eastAsia="zh-CN"/>
              </w:rPr>
              <w:t>17</w:t>
            </w:r>
            <w:r>
              <w:rPr>
                <w:rFonts w:ascii="宋体" w:eastAsia="宋体"/>
                <w:b w:val="0"/>
                <w:sz w:val="24"/>
                <w:highlight w:val="none"/>
              </w:rPr>
              <w:t>时</w:t>
            </w:r>
            <w:r>
              <w:rPr>
                <w:rFonts w:hint="eastAsia" w:ascii="宋体" w:eastAsia="宋体"/>
                <w:b w:val="0"/>
                <w:sz w:val="24"/>
                <w:highlight w:val="none"/>
                <w:lang w:val="en-US" w:eastAsia="zh-CN"/>
              </w:rPr>
              <w:t>00</w:t>
            </w:r>
            <w:r>
              <w:rPr>
                <w:rFonts w:hint="eastAsia" w:ascii="宋体" w:eastAsia="宋体"/>
                <w:b w:val="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79" w:type="pct"/>
            <w:vAlign w:val="center"/>
          </w:tcPr>
          <w:p>
            <w:pPr>
              <w:pStyle w:val="41"/>
              <w:pBdr>
                <w:bottom w:val="none" w:color="auto" w:sz="0" w:space="0"/>
              </w:pBdr>
              <w:tabs>
                <w:tab w:val="clear" w:pos="4153"/>
                <w:tab w:val="clear" w:pos="8306"/>
              </w:tabs>
              <w:adjustRightInd/>
              <w:snapToGrid/>
              <w:spacing w:line="240" w:lineRule="auto"/>
              <w:textAlignment w:val="auto"/>
              <w:rPr>
                <w:rFonts w:ascii="宋体" w:eastAsia="宋体"/>
                <w:bCs/>
                <w:kern w:val="2"/>
                <w:highlight w:val="none"/>
              </w:rPr>
            </w:pPr>
            <w:r>
              <w:rPr>
                <w:rFonts w:hint="eastAsia" w:ascii="宋体" w:eastAsia="宋体"/>
                <w:bCs/>
                <w:kern w:val="2"/>
                <w:highlight w:val="none"/>
              </w:rPr>
              <w:t>7</w:t>
            </w:r>
            <w:r>
              <w:rPr>
                <w:rFonts w:ascii="宋体" w:eastAsia="宋体"/>
                <w:bCs/>
                <w:kern w:val="2"/>
                <w:highlight w:val="none"/>
              </w:rPr>
              <w:t>.1</w:t>
            </w:r>
          </w:p>
        </w:tc>
        <w:tc>
          <w:tcPr>
            <w:tcW w:w="1174" w:type="pct"/>
            <w:vAlign w:val="center"/>
          </w:tcPr>
          <w:p>
            <w:pPr>
              <w:pStyle w:val="40"/>
              <w:widowControl w:val="0"/>
              <w:spacing w:before="0" w:beforeAutospacing="0" w:after="0" w:afterAutospacing="0"/>
              <w:jc w:val="left"/>
              <w:rPr>
                <w:rFonts w:ascii="宋体" w:eastAsia="宋体"/>
                <w:b w:val="0"/>
                <w:sz w:val="24"/>
                <w:highlight w:val="none"/>
              </w:rPr>
            </w:pPr>
            <w:r>
              <w:rPr>
                <w:rFonts w:hint="eastAsia" w:ascii="宋体" w:eastAsia="宋体"/>
                <w:b w:val="0"/>
                <w:sz w:val="24"/>
                <w:highlight w:val="none"/>
              </w:rPr>
              <w:t>包别划分</w:t>
            </w:r>
          </w:p>
        </w:tc>
        <w:tc>
          <w:tcPr>
            <w:tcW w:w="3246" w:type="pct"/>
            <w:vAlign w:val="center"/>
          </w:tcPr>
          <w:p>
            <w:pPr>
              <w:pStyle w:val="40"/>
              <w:widowControl w:val="0"/>
              <w:spacing w:before="0" w:beforeAutospacing="0" w:after="0" w:afterAutospacing="0" w:line="360" w:lineRule="auto"/>
              <w:jc w:val="both"/>
              <w:rPr>
                <w:rFonts w:ascii="宋体" w:eastAsia="宋体"/>
                <w:b w:val="0"/>
                <w:sz w:val="24"/>
                <w:highlight w:val="none"/>
              </w:rPr>
            </w:pPr>
            <w:r>
              <w:rPr>
                <w:rFonts w:hint="eastAsia" w:ascii="宋体" w:eastAsia="宋体"/>
                <w:b w:val="0"/>
                <w:bCs w:val="0"/>
                <w:sz w:val="24"/>
                <w:szCs w:val="24"/>
                <w:highlight w:val="none"/>
              </w:rPr>
              <w:t>☑</w:t>
            </w:r>
            <w:r>
              <w:rPr>
                <w:rFonts w:ascii="宋体" w:eastAsia="宋体"/>
                <w:b w:val="0"/>
                <w:sz w:val="24"/>
                <w:highlight w:val="none"/>
              </w:rPr>
              <w:t xml:space="preserve">不分包     </w:t>
            </w:r>
            <w:r>
              <w:rPr>
                <w:rFonts w:hint="eastAsia" w:ascii="宋体" w:eastAsia="宋体"/>
                <w:b w:val="0"/>
                <w:sz w:val="24"/>
                <w:highlight w:val="none"/>
              </w:rPr>
              <w:t>□</w:t>
            </w:r>
            <w:r>
              <w:rPr>
                <w:rFonts w:ascii="宋体" w:eastAsia="宋体"/>
                <w:b w:val="0"/>
                <w:sz w:val="24"/>
                <w:highlight w:val="none"/>
              </w:rPr>
              <w:t>分为  个包</w:t>
            </w:r>
          </w:p>
          <w:p>
            <w:pPr>
              <w:pStyle w:val="40"/>
              <w:widowControl w:val="0"/>
              <w:spacing w:before="0" w:beforeAutospacing="0" w:after="0" w:afterAutospacing="0"/>
              <w:jc w:val="both"/>
              <w:rPr>
                <w:rFonts w:ascii="宋体" w:eastAsia="宋体"/>
                <w:b w:val="0"/>
                <w:sz w:val="24"/>
                <w:highlight w:val="none"/>
                <w:u w:val="single"/>
              </w:rPr>
            </w:pPr>
            <w:r>
              <w:rPr>
                <w:rFonts w:hint="eastAsia" w:ascii="宋体" w:eastAsia="宋体"/>
                <w:b w:val="0"/>
                <w:sz w:val="24"/>
                <w:highlight w:val="none"/>
              </w:rPr>
              <w:t>投标人对多个包进行投标的中标</w:t>
            </w:r>
            <w:r>
              <w:rPr>
                <w:rFonts w:ascii="宋体" w:eastAsia="宋体"/>
                <w:b w:val="0"/>
                <w:sz w:val="24"/>
                <w:highlight w:val="none"/>
              </w:rPr>
              <w:t>包</w:t>
            </w:r>
            <w:r>
              <w:rPr>
                <w:rFonts w:hint="eastAsia" w:ascii="宋体" w:eastAsia="宋体"/>
                <w:b w:val="0"/>
                <w:sz w:val="24"/>
                <w:highlight w:val="none"/>
              </w:rPr>
              <w:t>数规定：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79" w:type="pct"/>
            <w:vAlign w:val="center"/>
          </w:tcPr>
          <w:p>
            <w:pPr>
              <w:pStyle w:val="41"/>
              <w:pBdr>
                <w:bottom w:val="none" w:color="auto" w:sz="0" w:space="0"/>
              </w:pBdr>
              <w:tabs>
                <w:tab w:val="clear" w:pos="4153"/>
                <w:tab w:val="clear" w:pos="8306"/>
              </w:tabs>
              <w:adjustRightInd/>
              <w:snapToGrid/>
              <w:spacing w:line="240" w:lineRule="auto"/>
              <w:textAlignment w:val="auto"/>
              <w:rPr>
                <w:rFonts w:ascii="宋体" w:eastAsia="宋体"/>
                <w:bCs/>
                <w:kern w:val="2"/>
                <w:highlight w:val="none"/>
              </w:rPr>
            </w:pPr>
            <w:r>
              <w:rPr>
                <w:rFonts w:hint="eastAsia" w:ascii="宋体" w:eastAsia="宋体"/>
                <w:bCs/>
                <w:kern w:val="2"/>
                <w:highlight w:val="none"/>
              </w:rPr>
              <w:t>10</w:t>
            </w:r>
            <w:r>
              <w:rPr>
                <w:rFonts w:ascii="宋体" w:eastAsia="宋体"/>
                <w:bCs/>
                <w:kern w:val="2"/>
                <w:highlight w:val="none"/>
              </w:rPr>
              <w:t>.1</w:t>
            </w:r>
          </w:p>
        </w:tc>
        <w:tc>
          <w:tcPr>
            <w:tcW w:w="1174" w:type="pct"/>
            <w:vAlign w:val="center"/>
          </w:tcPr>
          <w:p>
            <w:pPr>
              <w:pStyle w:val="40"/>
              <w:widowControl w:val="0"/>
              <w:spacing w:before="0" w:beforeAutospacing="0" w:after="0" w:afterAutospacing="0" w:line="360" w:lineRule="auto"/>
              <w:jc w:val="left"/>
              <w:rPr>
                <w:rFonts w:ascii="宋体" w:eastAsia="宋体"/>
                <w:b w:val="0"/>
                <w:sz w:val="24"/>
                <w:highlight w:val="none"/>
              </w:rPr>
            </w:pPr>
            <w:r>
              <w:rPr>
                <w:rFonts w:hint="eastAsia" w:ascii="宋体" w:eastAsia="宋体"/>
                <w:b w:val="0"/>
                <w:sz w:val="24"/>
                <w:highlight w:val="none"/>
              </w:rPr>
              <w:t>投标保证金</w:t>
            </w:r>
          </w:p>
        </w:tc>
        <w:tc>
          <w:tcPr>
            <w:tcW w:w="3246" w:type="pct"/>
            <w:vAlign w:val="center"/>
          </w:tcPr>
          <w:p>
            <w:pPr>
              <w:spacing w:line="360" w:lineRule="auto"/>
              <w:rPr>
                <w:highlight w:val="none"/>
              </w:rPr>
            </w:pPr>
            <w:r>
              <w:rPr>
                <w:rFonts w:hint="eastAsia" w:ascii="宋体" w:eastAsia="宋体"/>
                <w:bCs/>
                <w:kern w:val="0"/>
                <w:sz w:val="24"/>
                <w:szCs w:val="24"/>
                <w:highlight w:val="none"/>
              </w:rPr>
              <w:sym w:font="Wingdings" w:char="00FE"/>
            </w:r>
            <w:r>
              <w:rPr>
                <w:rFonts w:hint="eastAsia" w:ascii="宋体" w:eastAsia="宋体"/>
                <w:bCs/>
                <w:kern w:val="0"/>
                <w:sz w:val="24"/>
                <w:szCs w:val="28"/>
                <w:highlight w:val="none"/>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79" w:type="pct"/>
            <w:vAlign w:val="center"/>
          </w:tcPr>
          <w:p>
            <w:pPr>
              <w:pStyle w:val="41"/>
              <w:pBdr>
                <w:bottom w:val="none" w:color="auto" w:sz="0" w:space="0"/>
              </w:pBdr>
              <w:tabs>
                <w:tab w:val="clear" w:pos="4153"/>
                <w:tab w:val="clear" w:pos="8306"/>
              </w:tabs>
              <w:adjustRightInd/>
              <w:snapToGrid/>
              <w:spacing w:line="240" w:lineRule="auto"/>
              <w:textAlignment w:val="auto"/>
              <w:rPr>
                <w:rFonts w:ascii="宋体" w:eastAsia="宋体"/>
                <w:bCs/>
                <w:kern w:val="2"/>
                <w:highlight w:val="none"/>
              </w:rPr>
            </w:pPr>
            <w:r>
              <w:rPr>
                <w:rFonts w:hint="eastAsia" w:ascii="宋体" w:eastAsia="宋体"/>
                <w:bCs/>
                <w:kern w:val="2"/>
                <w:highlight w:val="none"/>
              </w:rPr>
              <w:t>11</w:t>
            </w:r>
            <w:r>
              <w:rPr>
                <w:rFonts w:ascii="宋体" w:eastAsia="宋体"/>
                <w:bCs/>
                <w:kern w:val="2"/>
                <w:highlight w:val="none"/>
              </w:rPr>
              <w:t>.1</w:t>
            </w:r>
          </w:p>
        </w:tc>
        <w:tc>
          <w:tcPr>
            <w:tcW w:w="1174" w:type="pct"/>
            <w:vAlign w:val="center"/>
          </w:tcPr>
          <w:p>
            <w:pPr>
              <w:pStyle w:val="40"/>
              <w:widowControl w:val="0"/>
              <w:spacing w:before="0" w:beforeAutospacing="0" w:after="0" w:afterAutospacing="0" w:line="360" w:lineRule="auto"/>
              <w:jc w:val="both"/>
              <w:rPr>
                <w:rFonts w:ascii="宋体" w:eastAsia="宋体"/>
                <w:b w:val="0"/>
                <w:sz w:val="24"/>
                <w:highlight w:val="none"/>
              </w:rPr>
            </w:pPr>
            <w:r>
              <w:rPr>
                <w:rFonts w:hint="eastAsia" w:ascii="宋体" w:eastAsia="宋体"/>
                <w:b w:val="0"/>
                <w:sz w:val="24"/>
                <w:highlight w:val="none"/>
              </w:rPr>
              <w:t>投标有效期</w:t>
            </w:r>
          </w:p>
        </w:tc>
        <w:tc>
          <w:tcPr>
            <w:tcW w:w="3246" w:type="pct"/>
            <w:vAlign w:val="center"/>
          </w:tcPr>
          <w:p>
            <w:pPr>
              <w:pStyle w:val="40"/>
              <w:widowControl w:val="0"/>
              <w:spacing w:before="0" w:beforeAutospacing="0" w:after="0" w:afterAutospacing="0" w:line="360" w:lineRule="auto"/>
              <w:jc w:val="both"/>
              <w:rPr>
                <w:rFonts w:ascii="宋体" w:eastAsia="宋体"/>
                <w:b w:val="0"/>
                <w:sz w:val="24"/>
                <w:highlight w:val="none"/>
              </w:rPr>
            </w:pPr>
            <w:r>
              <w:rPr>
                <w:rFonts w:hint="eastAsia" w:ascii="宋体" w:eastAsia="宋体"/>
                <w:b w:val="0"/>
                <w:sz w:val="24"/>
                <w:highlight w:val="none"/>
                <w:u w:val="single"/>
              </w:rPr>
              <w:t xml:space="preserve">90 </w:t>
            </w:r>
            <w:r>
              <w:rPr>
                <w:rFonts w:hint="eastAsia" w:ascii="宋体" w:eastAsia="宋体"/>
                <w:b w:val="0"/>
                <w:sz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79" w:type="pct"/>
            <w:vAlign w:val="center"/>
          </w:tcPr>
          <w:p>
            <w:pPr>
              <w:pStyle w:val="41"/>
              <w:pBdr>
                <w:bottom w:val="none" w:color="auto" w:sz="0" w:space="0"/>
              </w:pBdr>
              <w:tabs>
                <w:tab w:val="clear" w:pos="4153"/>
                <w:tab w:val="clear" w:pos="8306"/>
              </w:tabs>
              <w:adjustRightInd/>
              <w:snapToGrid/>
              <w:spacing w:line="240" w:lineRule="auto"/>
              <w:textAlignment w:val="auto"/>
              <w:rPr>
                <w:rFonts w:ascii="宋体" w:eastAsia="宋体"/>
                <w:bCs/>
                <w:kern w:val="2"/>
                <w:highlight w:val="none"/>
              </w:rPr>
            </w:pPr>
            <w:r>
              <w:rPr>
                <w:rFonts w:hint="eastAsia" w:ascii="宋体" w:eastAsia="宋体"/>
                <w:bCs/>
                <w:kern w:val="2"/>
                <w:highlight w:val="none"/>
              </w:rPr>
              <w:t>13</w:t>
            </w:r>
            <w:r>
              <w:rPr>
                <w:rFonts w:ascii="宋体" w:eastAsia="宋体"/>
                <w:bCs/>
                <w:kern w:val="2"/>
                <w:highlight w:val="none"/>
              </w:rPr>
              <w:t>.</w:t>
            </w:r>
            <w:r>
              <w:rPr>
                <w:rFonts w:hint="eastAsia" w:ascii="宋体" w:eastAsia="宋体"/>
                <w:bCs/>
                <w:kern w:val="2"/>
                <w:highlight w:val="none"/>
              </w:rPr>
              <w:t>1</w:t>
            </w:r>
          </w:p>
        </w:tc>
        <w:tc>
          <w:tcPr>
            <w:tcW w:w="1174" w:type="pct"/>
            <w:vAlign w:val="center"/>
          </w:tcPr>
          <w:p>
            <w:pPr>
              <w:pStyle w:val="40"/>
              <w:widowControl w:val="0"/>
              <w:spacing w:before="0" w:beforeAutospacing="0" w:after="0" w:afterAutospacing="0" w:line="360" w:lineRule="auto"/>
              <w:jc w:val="both"/>
              <w:rPr>
                <w:rFonts w:ascii="宋体" w:eastAsia="宋体"/>
                <w:b w:val="0"/>
                <w:sz w:val="24"/>
                <w:highlight w:val="none"/>
              </w:rPr>
            </w:pPr>
            <w:r>
              <w:rPr>
                <w:rFonts w:hint="eastAsia" w:ascii="宋体" w:eastAsia="宋体"/>
                <w:b w:val="0"/>
                <w:sz w:val="24"/>
                <w:highlight w:val="none"/>
              </w:rPr>
              <w:t>投标文件解密时间</w:t>
            </w:r>
          </w:p>
        </w:tc>
        <w:tc>
          <w:tcPr>
            <w:tcW w:w="3246" w:type="pct"/>
            <w:vAlign w:val="center"/>
          </w:tcPr>
          <w:p>
            <w:pPr>
              <w:pStyle w:val="40"/>
              <w:widowControl w:val="0"/>
              <w:spacing w:before="0" w:beforeAutospacing="0" w:after="0" w:afterAutospacing="0" w:line="360" w:lineRule="auto"/>
              <w:jc w:val="both"/>
              <w:rPr>
                <w:rFonts w:ascii="宋体" w:eastAsia="宋体"/>
                <w:b w:val="0"/>
                <w:sz w:val="24"/>
                <w:highlight w:val="none"/>
                <w:u w:val="single"/>
              </w:rPr>
            </w:pPr>
            <w:r>
              <w:rPr>
                <w:rFonts w:hint="eastAsia" w:ascii="宋体" w:eastAsia="宋体"/>
                <w:b w:val="0"/>
                <w:sz w:val="24"/>
                <w:highlight w:val="none"/>
              </w:rPr>
              <w:t>投标截止时间后</w:t>
            </w:r>
            <w:r>
              <w:rPr>
                <w:rFonts w:hint="eastAsia" w:ascii="宋体" w:eastAsia="宋体"/>
                <w:b w:val="0"/>
                <w:sz w:val="24"/>
                <w:highlight w:val="none"/>
                <w:u w:val="single"/>
              </w:rPr>
              <w:t xml:space="preserve"> </w:t>
            </w:r>
            <w:r>
              <w:rPr>
                <w:rFonts w:hint="eastAsia" w:ascii="宋体" w:eastAsia="宋体"/>
                <w:b w:val="0"/>
                <w:sz w:val="24"/>
                <w:highlight w:val="none"/>
                <w:u w:val="single"/>
                <w:lang w:val="en-US" w:eastAsia="zh-CN"/>
              </w:rPr>
              <w:t>60</w:t>
            </w:r>
            <w:r>
              <w:rPr>
                <w:rFonts w:hint="eastAsia" w:ascii="宋体" w:eastAsia="宋体"/>
                <w:b w:val="0"/>
                <w:sz w:val="24"/>
                <w:highlight w:val="none"/>
                <w:u w:val="single"/>
              </w:rPr>
              <w:t xml:space="preserve"> </w:t>
            </w:r>
            <w:r>
              <w:rPr>
                <w:rFonts w:hint="eastAsia" w:ascii="宋体" w:eastAsia="宋体"/>
                <w:b w:val="0"/>
                <w:sz w:val="24"/>
                <w:highlight w:val="none"/>
              </w:rPr>
              <w:t>分钟内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79" w:type="pct"/>
            <w:vAlign w:val="center"/>
          </w:tcPr>
          <w:p>
            <w:pPr>
              <w:pStyle w:val="41"/>
              <w:pBdr>
                <w:bottom w:val="none" w:color="auto" w:sz="0" w:space="0"/>
              </w:pBdr>
              <w:tabs>
                <w:tab w:val="clear" w:pos="4153"/>
                <w:tab w:val="clear" w:pos="8306"/>
              </w:tabs>
              <w:adjustRightInd/>
              <w:snapToGrid/>
              <w:spacing w:line="240" w:lineRule="auto"/>
              <w:textAlignment w:val="auto"/>
              <w:rPr>
                <w:rFonts w:ascii="宋体" w:eastAsia="宋体"/>
                <w:bCs/>
                <w:kern w:val="2"/>
                <w:highlight w:val="none"/>
              </w:rPr>
            </w:pPr>
            <w:r>
              <w:rPr>
                <w:rFonts w:hint="eastAsia" w:ascii="宋体" w:eastAsia="宋体"/>
                <w:bCs/>
                <w:kern w:val="2"/>
                <w:highlight w:val="none"/>
              </w:rPr>
              <w:t>14.1</w:t>
            </w:r>
          </w:p>
        </w:tc>
        <w:tc>
          <w:tcPr>
            <w:tcW w:w="1174" w:type="pct"/>
            <w:vAlign w:val="center"/>
          </w:tcPr>
          <w:p>
            <w:pPr>
              <w:pStyle w:val="40"/>
              <w:widowControl w:val="0"/>
              <w:spacing w:before="0" w:beforeAutospacing="0" w:after="0" w:afterAutospacing="0" w:line="360" w:lineRule="auto"/>
              <w:jc w:val="both"/>
              <w:rPr>
                <w:rFonts w:ascii="宋体" w:eastAsia="宋体"/>
                <w:b w:val="0"/>
                <w:sz w:val="24"/>
                <w:highlight w:val="none"/>
              </w:rPr>
            </w:pPr>
            <w:r>
              <w:rPr>
                <w:rFonts w:hint="eastAsia" w:ascii="宋体" w:eastAsia="宋体"/>
                <w:b w:val="0"/>
                <w:sz w:val="24"/>
                <w:highlight w:val="none"/>
              </w:rPr>
              <w:t>资格审查</w:t>
            </w:r>
          </w:p>
        </w:tc>
        <w:tc>
          <w:tcPr>
            <w:tcW w:w="3246" w:type="pct"/>
            <w:vAlign w:val="center"/>
          </w:tcPr>
          <w:p>
            <w:pPr>
              <w:pStyle w:val="40"/>
              <w:widowControl w:val="0"/>
              <w:spacing w:before="0" w:beforeAutospacing="0" w:after="0" w:afterAutospacing="0" w:line="360" w:lineRule="auto"/>
              <w:jc w:val="both"/>
              <w:rPr>
                <w:rFonts w:ascii="宋体" w:eastAsia="宋体"/>
                <w:b w:val="0"/>
                <w:bCs w:val="0"/>
                <w:sz w:val="24"/>
                <w:highlight w:val="none"/>
              </w:rPr>
            </w:pPr>
            <w:r>
              <w:rPr>
                <w:rFonts w:hint="eastAsia" w:ascii="宋体" w:eastAsia="宋体"/>
                <w:b w:val="0"/>
                <w:bCs w:val="0"/>
                <w:sz w:val="24"/>
                <w:szCs w:val="24"/>
                <w:highlight w:val="none"/>
              </w:rPr>
              <w:t>☑</w:t>
            </w:r>
            <w:r>
              <w:rPr>
                <w:rFonts w:hint="eastAsia" w:ascii="宋体" w:eastAsia="宋体"/>
                <w:b w:val="0"/>
                <w:bCs w:val="0"/>
                <w:sz w:val="24"/>
                <w:highlight w:val="none"/>
              </w:rPr>
              <w:t>采购人审查</w:t>
            </w:r>
          </w:p>
          <w:p>
            <w:pPr>
              <w:pStyle w:val="40"/>
              <w:widowControl w:val="0"/>
              <w:spacing w:before="0" w:beforeAutospacing="0" w:after="0" w:afterAutospacing="0" w:line="360" w:lineRule="auto"/>
              <w:jc w:val="both"/>
              <w:rPr>
                <w:rFonts w:ascii="宋体" w:eastAsia="宋体"/>
                <w:b w:val="0"/>
                <w:sz w:val="24"/>
                <w:highlight w:val="none"/>
                <w:u w:val="single"/>
              </w:rPr>
            </w:pPr>
            <w:r>
              <w:rPr>
                <w:rFonts w:hint="eastAsia" w:ascii="宋体" w:eastAsia="宋体"/>
                <w:b w:val="0"/>
                <w:bCs w:val="0"/>
                <w:sz w:val="24"/>
                <w:szCs w:val="24"/>
                <w:highlight w:val="none"/>
              </w:rPr>
              <w:t>□</w:t>
            </w:r>
            <w:r>
              <w:rPr>
                <w:rFonts w:hint="eastAsia" w:ascii="宋体" w:eastAsia="宋体"/>
                <w:b w:val="0"/>
                <w:bCs w:val="0"/>
                <w:sz w:val="24"/>
                <w:highlight w:val="none"/>
              </w:rPr>
              <w:t>采购人出具委托函委托采购代理机构进行审查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79" w:type="pct"/>
            <w:vAlign w:val="center"/>
          </w:tcPr>
          <w:p>
            <w:pPr>
              <w:pStyle w:val="41"/>
              <w:pBdr>
                <w:bottom w:val="none" w:color="auto" w:sz="0" w:space="0"/>
              </w:pBdr>
              <w:tabs>
                <w:tab w:val="clear" w:pos="4153"/>
                <w:tab w:val="clear" w:pos="8306"/>
              </w:tabs>
              <w:adjustRightInd/>
              <w:snapToGrid/>
              <w:spacing w:line="240" w:lineRule="auto"/>
              <w:textAlignment w:val="auto"/>
              <w:rPr>
                <w:rFonts w:ascii="宋体" w:eastAsia="宋体"/>
                <w:bCs/>
                <w:kern w:val="2"/>
                <w:highlight w:val="none"/>
              </w:rPr>
            </w:pPr>
            <w:r>
              <w:rPr>
                <w:rFonts w:hint="eastAsia" w:ascii="宋体" w:eastAsia="宋体"/>
                <w:bCs/>
                <w:kern w:val="2"/>
                <w:highlight w:val="none"/>
              </w:rPr>
              <w:t>17</w:t>
            </w:r>
            <w:r>
              <w:rPr>
                <w:rFonts w:ascii="宋体" w:eastAsia="宋体"/>
                <w:bCs/>
                <w:kern w:val="2"/>
                <w:highlight w:val="none"/>
              </w:rPr>
              <w:t>.2</w:t>
            </w:r>
          </w:p>
        </w:tc>
        <w:tc>
          <w:tcPr>
            <w:tcW w:w="1174" w:type="pct"/>
            <w:vAlign w:val="center"/>
          </w:tcPr>
          <w:p>
            <w:pPr>
              <w:pStyle w:val="40"/>
              <w:widowControl w:val="0"/>
              <w:spacing w:before="0" w:beforeAutospacing="0" w:after="0" w:afterAutospacing="0" w:line="360" w:lineRule="auto"/>
              <w:jc w:val="both"/>
              <w:rPr>
                <w:rFonts w:ascii="宋体" w:eastAsia="宋体"/>
                <w:b w:val="0"/>
                <w:sz w:val="24"/>
                <w:highlight w:val="none"/>
              </w:rPr>
            </w:pPr>
            <w:r>
              <w:rPr>
                <w:rFonts w:hint="eastAsia" w:ascii="宋体" w:eastAsia="宋体"/>
                <w:b w:val="0"/>
                <w:sz w:val="24"/>
                <w:highlight w:val="none"/>
              </w:rPr>
              <w:t>评标方法</w:t>
            </w:r>
          </w:p>
        </w:tc>
        <w:tc>
          <w:tcPr>
            <w:tcW w:w="3246" w:type="pct"/>
            <w:vAlign w:val="center"/>
          </w:tcPr>
          <w:p>
            <w:pPr>
              <w:pStyle w:val="40"/>
              <w:widowControl w:val="0"/>
              <w:spacing w:before="0" w:beforeAutospacing="0" w:after="0" w:afterAutospacing="0" w:line="360" w:lineRule="auto"/>
              <w:jc w:val="both"/>
              <w:rPr>
                <w:rFonts w:ascii="宋体" w:eastAsia="宋体"/>
                <w:b w:val="0"/>
                <w:sz w:val="24"/>
                <w:highlight w:val="none"/>
              </w:rPr>
            </w:pPr>
            <w:r>
              <w:rPr>
                <w:rFonts w:hint="eastAsia" w:ascii="宋体" w:eastAsia="宋体"/>
                <w:b w:val="0"/>
                <w:sz w:val="24"/>
                <w:highlight w:val="none"/>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79" w:type="pct"/>
            <w:vAlign w:val="center"/>
          </w:tcPr>
          <w:p>
            <w:pPr>
              <w:pStyle w:val="41"/>
              <w:pBdr>
                <w:bottom w:val="none" w:color="auto" w:sz="0" w:space="0"/>
              </w:pBdr>
              <w:tabs>
                <w:tab w:val="clear" w:pos="4153"/>
                <w:tab w:val="clear" w:pos="8306"/>
              </w:tabs>
              <w:adjustRightInd/>
              <w:snapToGrid/>
              <w:spacing w:line="240" w:lineRule="auto"/>
              <w:textAlignment w:val="auto"/>
              <w:rPr>
                <w:rFonts w:ascii="宋体" w:eastAsia="宋体"/>
                <w:bCs/>
                <w:kern w:val="2"/>
                <w:highlight w:val="none"/>
              </w:rPr>
            </w:pPr>
            <w:r>
              <w:rPr>
                <w:rFonts w:hint="eastAsia" w:ascii="宋体" w:eastAsia="宋体"/>
                <w:bCs/>
                <w:kern w:val="2"/>
                <w:highlight w:val="none"/>
              </w:rPr>
              <w:t>17</w:t>
            </w:r>
            <w:r>
              <w:rPr>
                <w:rFonts w:ascii="宋体" w:eastAsia="宋体"/>
                <w:bCs/>
                <w:kern w:val="2"/>
                <w:highlight w:val="none"/>
              </w:rPr>
              <w:t>.3</w:t>
            </w:r>
          </w:p>
        </w:tc>
        <w:tc>
          <w:tcPr>
            <w:tcW w:w="1174" w:type="pct"/>
            <w:vAlign w:val="center"/>
          </w:tcPr>
          <w:p>
            <w:pPr>
              <w:pStyle w:val="40"/>
              <w:widowControl w:val="0"/>
              <w:spacing w:before="0" w:beforeAutospacing="0" w:after="0" w:afterAutospacing="0" w:line="360" w:lineRule="auto"/>
              <w:jc w:val="both"/>
              <w:rPr>
                <w:rFonts w:ascii="宋体" w:eastAsia="宋体"/>
                <w:b w:val="0"/>
                <w:sz w:val="24"/>
                <w:highlight w:val="none"/>
              </w:rPr>
            </w:pPr>
            <w:r>
              <w:rPr>
                <w:rFonts w:hint="eastAsia" w:ascii="宋体" w:eastAsia="宋体"/>
                <w:b w:val="0"/>
                <w:sz w:val="24"/>
                <w:highlight w:val="none"/>
              </w:rPr>
              <w:t>报价扣除</w:t>
            </w:r>
          </w:p>
          <w:p>
            <w:pPr>
              <w:pStyle w:val="40"/>
              <w:widowControl w:val="0"/>
              <w:spacing w:before="0" w:beforeAutospacing="0" w:after="0" w:afterAutospacing="0" w:line="360" w:lineRule="auto"/>
              <w:jc w:val="both"/>
              <w:rPr>
                <w:rFonts w:ascii="宋体" w:eastAsia="宋体"/>
                <w:b w:val="0"/>
                <w:i/>
                <w:sz w:val="24"/>
                <w:highlight w:val="none"/>
              </w:rPr>
            </w:pPr>
            <w:r>
              <w:rPr>
                <w:rFonts w:hint="eastAsia" w:ascii="宋体" w:eastAsia="宋体"/>
                <w:b w:val="0"/>
                <w:i/>
                <w:sz w:val="24"/>
                <w:highlight w:val="none"/>
              </w:rPr>
              <w:t>（</w:t>
            </w:r>
            <w:r>
              <w:rPr>
                <w:rFonts w:hint="eastAsia" w:ascii="宋体" w:eastAsia="宋体"/>
                <w:b w:val="0"/>
                <w:i w:val="0"/>
                <w:iCs/>
                <w:sz w:val="24"/>
                <w:highlight w:val="none"/>
                <w:lang w:val="en-US" w:eastAsia="zh-CN"/>
              </w:rPr>
              <w:t>本项目不适用</w:t>
            </w:r>
            <w:r>
              <w:rPr>
                <w:rFonts w:hint="eastAsia" w:ascii="宋体" w:eastAsia="宋体"/>
                <w:b w:val="0"/>
                <w:i w:val="0"/>
                <w:iCs/>
                <w:sz w:val="24"/>
                <w:highlight w:val="none"/>
              </w:rPr>
              <w:t>）</w:t>
            </w:r>
          </w:p>
        </w:tc>
        <w:tc>
          <w:tcPr>
            <w:tcW w:w="3246" w:type="pct"/>
            <w:vAlign w:val="center"/>
          </w:tcPr>
          <w:p>
            <w:pPr>
              <w:pStyle w:val="40"/>
              <w:widowControl w:val="0"/>
              <w:spacing w:before="0" w:beforeAutospacing="0" w:after="0" w:afterAutospacing="0" w:line="360" w:lineRule="auto"/>
              <w:jc w:val="both"/>
              <w:rPr>
                <w:rFonts w:ascii="宋体" w:eastAsia="宋体"/>
                <w:b w:val="0"/>
                <w:sz w:val="24"/>
                <w:highlight w:val="none"/>
              </w:rPr>
            </w:pPr>
            <w:r>
              <w:rPr>
                <w:rFonts w:hint="eastAsia" w:ascii="宋体" w:eastAsia="宋体"/>
                <w:b w:val="0"/>
                <w:sz w:val="24"/>
                <w:highlight w:val="none"/>
              </w:rPr>
              <w:t>（1）</w:t>
            </w:r>
            <w:r>
              <w:rPr>
                <w:rFonts w:ascii="宋体" w:eastAsia="宋体"/>
                <w:b w:val="0"/>
                <w:sz w:val="24"/>
                <w:highlight w:val="none"/>
              </w:rPr>
              <w:t>小型和微型</w:t>
            </w:r>
            <w:r>
              <w:rPr>
                <w:rFonts w:hint="eastAsia" w:ascii="宋体" w:eastAsia="宋体"/>
                <w:b w:val="0"/>
                <w:sz w:val="24"/>
                <w:highlight w:val="none"/>
              </w:rPr>
              <w:t>企业价格扣除：</w:t>
            </w:r>
            <w:r>
              <w:rPr>
                <w:rFonts w:hint="eastAsia" w:ascii="宋体" w:eastAsia="宋体"/>
                <w:b w:val="0"/>
                <w:sz w:val="24"/>
                <w:highlight w:val="none"/>
                <w:u w:val="single"/>
              </w:rPr>
              <w:t xml:space="preserve">    /    </w:t>
            </w:r>
            <w:r>
              <w:rPr>
                <w:rFonts w:hint="eastAsia" w:ascii="宋体" w:eastAsia="宋体"/>
                <w:b w:val="0"/>
                <w:sz w:val="24"/>
                <w:highlight w:val="none"/>
              </w:rPr>
              <w:t>。</w:t>
            </w:r>
          </w:p>
          <w:p>
            <w:pPr>
              <w:pStyle w:val="40"/>
              <w:widowControl w:val="0"/>
              <w:spacing w:before="0" w:beforeAutospacing="0" w:after="0" w:afterAutospacing="0" w:line="360" w:lineRule="auto"/>
              <w:jc w:val="both"/>
              <w:rPr>
                <w:rFonts w:ascii="宋体" w:eastAsia="宋体"/>
                <w:b w:val="0"/>
                <w:sz w:val="24"/>
                <w:highlight w:val="none"/>
              </w:rPr>
            </w:pPr>
            <w:r>
              <w:rPr>
                <w:rFonts w:hint="eastAsia" w:ascii="宋体" w:eastAsia="宋体"/>
                <w:b w:val="0"/>
                <w:sz w:val="24"/>
                <w:highlight w:val="none"/>
              </w:rPr>
              <w:t>（2）监狱企业价格扣除：同</w:t>
            </w:r>
            <w:r>
              <w:rPr>
                <w:rFonts w:ascii="宋体" w:eastAsia="宋体"/>
                <w:b w:val="0"/>
                <w:sz w:val="24"/>
                <w:highlight w:val="none"/>
              </w:rPr>
              <w:t>小型和微型企业</w:t>
            </w:r>
            <w:r>
              <w:rPr>
                <w:rFonts w:hint="eastAsia" w:ascii="宋体" w:eastAsia="宋体"/>
                <w:b w:val="0"/>
                <w:sz w:val="24"/>
                <w:highlight w:val="none"/>
              </w:rPr>
              <w:t>。</w:t>
            </w:r>
          </w:p>
          <w:p>
            <w:pPr>
              <w:pStyle w:val="40"/>
              <w:widowControl w:val="0"/>
              <w:spacing w:before="0" w:beforeAutospacing="0" w:after="0" w:afterAutospacing="0" w:line="360" w:lineRule="auto"/>
              <w:jc w:val="both"/>
              <w:rPr>
                <w:rFonts w:ascii="宋体" w:eastAsia="宋体"/>
                <w:b w:val="0"/>
                <w:sz w:val="24"/>
                <w:highlight w:val="none"/>
              </w:rPr>
            </w:pPr>
            <w:r>
              <w:rPr>
                <w:rFonts w:hint="eastAsia" w:ascii="宋体" w:eastAsia="宋体"/>
                <w:b w:val="0"/>
                <w:sz w:val="24"/>
                <w:highlight w:val="none"/>
              </w:rPr>
              <w:t>（3）残疾人福利性单位价格扣除：同</w:t>
            </w:r>
            <w:r>
              <w:rPr>
                <w:rFonts w:ascii="宋体" w:eastAsia="宋体"/>
                <w:b w:val="0"/>
                <w:sz w:val="24"/>
                <w:highlight w:val="none"/>
              </w:rPr>
              <w:t>小型和微型企业</w:t>
            </w:r>
            <w:r>
              <w:rPr>
                <w:rFonts w:hint="eastAsia" w:ascii="宋体" w:eastAsia="宋体"/>
                <w:b w:val="0"/>
                <w:sz w:val="24"/>
                <w:highlight w:val="none"/>
              </w:rPr>
              <w:t>。</w:t>
            </w:r>
          </w:p>
          <w:p>
            <w:pPr>
              <w:pStyle w:val="40"/>
              <w:widowControl w:val="0"/>
              <w:spacing w:before="0" w:beforeAutospacing="0" w:after="0" w:afterAutospacing="0" w:line="360" w:lineRule="auto"/>
              <w:jc w:val="both"/>
              <w:rPr>
                <w:rFonts w:ascii="宋体" w:eastAsia="宋体"/>
                <w:b w:val="0"/>
                <w:sz w:val="24"/>
                <w:highlight w:val="none"/>
              </w:rPr>
            </w:pPr>
            <w:r>
              <w:rPr>
                <w:rFonts w:hint="eastAsia" w:ascii="宋体" w:eastAsia="宋体"/>
                <w:b w:val="0"/>
                <w:sz w:val="24"/>
                <w:highlight w:val="none"/>
              </w:rPr>
              <w:t>（4）符合条件的联合体价格扣除：</w:t>
            </w:r>
            <w:r>
              <w:rPr>
                <w:rFonts w:hint="eastAsia" w:ascii="宋体" w:eastAsia="宋体"/>
                <w:b w:val="0"/>
                <w:sz w:val="24"/>
                <w:highlight w:val="none"/>
                <w:u w:val="single"/>
              </w:rPr>
              <w:t xml:space="preserve">  /   </w:t>
            </w:r>
            <w:r>
              <w:rPr>
                <w:rFonts w:hint="eastAsia" w:ascii="宋体" w:eastAsia="宋体"/>
                <w:b w:val="0"/>
                <w:sz w:val="24"/>
                <w:highlight w:val="none"/>
              </w:rPr>
              <w:t>。</w:t>
            </w:r>
          </w:p>
          <w:p>
            <w:pPr>
              <w:pStyle w:val="40"/>
              <w:widowControl w:val="0"/>
              <w:spacing w:before="0" w:beforeAutospacing="0" w:after="0" w:afterAutospacing="0" w:line="360" w:lineRule="auto"/>
              <w:jc w:val="both"/>
              <w:rPr>
                <w:rFonts w:ascii="宋体" w:eastAsia="宋体"/>
                <w:b w:val="0"/>
                <w:sz w:val="24"/>
                <w:highlight w:val="none"/>
              </w:rPr>
            </w:pPr>
            <w:r>
              <w:rPr>
                <w:rFonts w:hint="eastAsia" w:ascii="宋体" w:eastAsia="宋体"/>
                <w:b w:val="0"/>
                <w:sz w:val="24"/>
                <w:highlight w:val="none"/>
              </w:rPr>
              <w:t>（5）符合条件的向小微企业分包的大中型企业价格扣除：</w:t>
            </w:r>
            <w:r>
              <w:rPr>
                <w:rFonts w:hint="eastAsia" w:ascii="宋体" w:eastAsia="宋体"/>
                <w:b w:val="0"/>
                <w:sz w:val="24"/>
                <w:highlight w:val="none"/>
                <w:u w:val="single"/>
              </w:rPr>
              <w:t xml:space="preserve">  /  </w:t>
            </w:r>
            <w:r>
              <w:rPr>
                <w:rFonts w:hint="eastAsia" w:ascii="宋体" w:eastAsia="宋体"/>
                <w:b w:val="0"/>
                <w:sz w:val="24"/>
                <w:highlight w:val="none"/>
              </w:rPr>
              <w:t>。</w:t>
            </w:r>
            <w:r>
              <w:rPr>
                <w:rFonts w:hint="eastAsia" w:ascii="宋体" w:eastAsia="宋体"/>
                <w:b w:val="0"/>
                <w:i/>
                <w:sz w:val="24"/>
                <w:highlight w:val="none"/>
              </w:rPr>
              <w:t>（允许大中型企业向小微企业分包的项目适用）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79" w:type="pct"/>
            <w:vAlign w:val="center"/>
          </w:tcPr>
          <w:p>
            <w:pPr>
              <w:pStyle w:val="41"/>
              <w:pBdr>
                <w:bottom w:val="none" w:color="auto" w:sz="0" w:space="0"/>
              </w:pBdr>
              <w:tabs>
                <w:tab w:val="clear" w:pos="4153"/>
                <w:tab w:val="clear" w:pos="8306"/>
              </w:tabs>
              <w:adjustRightInd/>
              <w:snapToGrid/>
              <w:spacing w:line="240" w:lineRule="auto"/>
              <w:textAlignment w:val="auto"/>
              <w:rPr>
                <w:rFonts w:ascii="宋体" w:eastAsia="宋体"/>
                <w:bCs/>
                <w:kern w:val="2"/>
                <w:highlight w:val="none"/>
              </w:rPr>
            </w:pPr>
            <w:r>
              <w:rPr>
                <w:rFonts w:hint="eastAsia" w:ascii="宋体" w:eastAsia="宋体"/>
                <w:bCs/>
                <w:kern w:val="2"/>
                <w:highlight w:val="none"/>
              </w:rPr>
              <w:t>21</w:t>
            </w:r>
            <w:r>
              <w:rPr>
                <w:rFonts w:ascii="宋体" w:eastAsia="宋体"/>
                <w:bCs/>
                <w:kern w:val="2"/>
                <w:highlight w:val="none"/>
              </w:rPr>
              <w:t>.</w:t>
            </w:r>
            <w:r>
              <w:rPr>
                <w:rFonts w:hint="eastAsia" w:ascii="宋体" w:eastAsia="宋体"/>
                <w:bCs/>
                <w:kern w:val="2"/>
                <w:highlight w:val="none"/>
              </w:rPr>
              <w:t>1</w:t>
            </w:r>
          </w:p>
        </w:tc>
        <w:tc>
          <w:tcPr>
            <w:tcW w:w="1174" w:type="pct"/>
            <w:vAlign w:val="center"/>
          </w:tcPr>
          <w:p>
            <w:pPr>
              <w:pStyle w:val="40"/>
              <w:widowControl w:val="0"/>
              <w:spacing w:before="0" w:beforeAutospacing="0" w:after="0" w:afterAutospacing="0" w:line="360" w:lineRule="auto"/>
              <w:jc w:val="both"/>
              <w:rPr>
                <w:rFonts w:ascii="宋体" w:eastAsia="宋体"/>
                <w:b w:val="0"/>
                <w:sz w:val="24"/>
                <w:highlight w:val="none"/>
              </w:rPr>
            </w:pPr>
            <w:r>
              <w:rPr>
                <w:rFonts w:hint="eastAsia" w:ascii="宋体" w:eastAsia="宋体"/>
                <w:b w:val="0"/>
                <w:sz w:val="24"/>
                <w:highlight w:val="none"/>
              </w:rPr>
              <w:t>评标委员会推荐</w:t>
            </w:r>
            <w:r>
              <w:rPr>
                <w:rFonts w:ascii="宋体" w:eastAsia="宋体"/>
                <w:b w:val="0"/>
                <w:sz w:val="24"/>
                <w:highlight w:val="none"/>
              </w:rPr>
              <w:t>中标候选</w:t>
            </w:r>
            <w:r>
              <w:rPr>
                <w:rFonts w:hint="eastAsia" w:ascii="宋体" w:eastAsia="宋体"/>
                <w:b w:val="0"/>
                <w:sz w:val="24"/>
                <w:highlight w:val="none"/>
              </w:rPr>
              <w:t>人的</w:t>
            </w:r>
            <w:r>
              <w:rPr>
                <w:rFonts w:ascii="宋体" w:eastAsia="宋体"/>
                <w:b w:val="0"/>
                <w:sz w:val="24"/>
                <w:highlight w:val="none"/>
              </w:rPr>
              <w:t>数量</w:t>
            </w:r>
          </w:p>
        </w:tc>
        <w:tc>
          <w:tcPr>
            <w:tcW w:w="3246" w:type="pct"/>
            <w:vAlign w:val="center"/>
          </w:tcPr>
          <w:p>
            <w:pPr>
              <w:pStyle w:val="40"/>
              <w:widowControl w:val="0"/>
              <w:spacing w:before="0" w:beforeAutospacing="0" w:after="0" w:afterAutospacing="0" w:line="360" w:lineRule="auto"/>
              <w:jc w:val="both"/>
              <w:rPr>
                <w:rFonts w:ascii="宋体" w:eastAsia="宋体"/>
                <w:b w:val="0"/>
                <w:sz w:val="24"/>
                <w:highlight w:val="none"/>
                <w:u w:val="single"/>
              </w:rPr>
            </w:pPr>
            <w:r>
              <w:rPr>
                <w:rFonts w:hint="eastAsia" w:ascii="宋体" w:eastAsia="宋体"/>
                <w:b w:val="0"/>
                <w:sz w:val="24"/>
                <w:highlight w:val="none"/>
                <w:u w:val="single"/>
              </w:rPr>
              <w:t xml:space="preserve"> 1-3名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79" w:type="pct"/>
            <w:vAlign w:val="center"/>
          </w:tcPr>
          <w:p>
            <w:pPr>
              <w:pStyle w:val="41"/>
              <w:pBdr>
                <w:bottom w:val="none" w:color="auto" w:sz="0" w:space="0"/>
              </w:pBdr>
              <w:tabs>
                <w:tab w:val="clear" w:pos="4153"/>
                <w:tab w:val="clear" w:pos="8306"/>
              </w:tabs>
              <w:adjustRightInd/>
              <w:snapToGrid/>
              <w:spacing w:line="240" w:lineRule="auto"/>
              <w:textAlignment w:val="auto"/>
              <w:rPr>
                <w:rFonts w:ascii="宋体" w:eastAsia="宋体"/>
                <w:bCs/>
                <w:kern w:val="2"/>
                <w:highlight w:val="none"/>
              </w:rPr>
            </w:pPr>
            <w:r>
              <w:rPr>
                <w:rFonts w:hint="eastAsia" w:ascii="宋体" w:eastAsia="宋体"/>
                <w:bCs/>
                <w:kern w:val="2"/>
                <w:highlight w:val="none"/>
              </w:rPr>
              <w:t>21</w:t>
            </w:r>
            <w:r>
              <w:rPr>
                <w:rFonts w:ascii="宋体" w:eastAsia="宋体"/>
                <w:bCs/>
                <w:kern w:val="2"/>
                <w:highlight w:val="none"/>
              </w:rPr>
              <w:t>.</w:t>
            </w:r>
            <w:r>
              <w:rPr>
                <w:rFonts w:hint="eastAsia" w:ascii="宋体" w:eastAsia="宋体"/>
                <w:bCs/>
                <w:kern w:val="2"/>
                <w:highlight w:val="none"/>
              </w:rPr>
              <w:t>2</w:t>
            </w:r>
          </w:p>
        </w:tc>
        <w:tc>
          <w:tcPr>
            <w:tcW w:w="1174" w:type="pct"/>
            <w:vAlign w:val="center"/>
          </w:tcPr>
          <w:p>
            <w:pPr>
              <w:pStyle w:val="40"/>
              <w:widowControl w:val="0"/>
              <w:spacing w:before="0" w:beforeAutospacing="0" w:after="0" w:afterAutospacing="0" w:line="360" w:lineRule="auto"/>
              <w:jc w:val="both"/>
              <w:rPr>
                <w:rFonts w:ascii="宋体" w:eastAsia="宋体"/>
                <w:b w:val="0"/>
                <w:sz w:val="24"/>
                <w:highlight w:val="none"/>
              </w:rPr>
            </w:pPr>
            <w:r>
              <w:rPr>
                <w:rFonts w:hint="eastAsia" w:ascii="宋体" w:eastAsia="宋体"/>
                <w:b w:val="0"/>
                <w:sz w:val="24"/>
                <w:highlight w:val="none"/>
              </w:rPr>
              <w:t>确定中标人</w:t>
            </w:r>
          </w:p>
        </w:tc>
        <w:tc>
          <w:tcPr>
            <w:tcW w:w="3246" w:type="pct"/>
            <w:vAlign w:val="center"/>
          </w:tcPr>
          <w:p>
            <w:pPr>
              <w:spacing w:line="360" w:lineRule="auto"/>
              <w:rPr>
                <w:rFonts w:ascii="宋体" w:eastAsia="宋体"/>
                <w:sz w:val="24"/>
                <w:highlight w:val="none"/>
              </w:rPr>
            </w:pPr>
            <w:r>
              <w:rPr>
                <w:rFonts w:hint="eastAsia" w:ascii="宋体" w:eastAsia="宋体"/>
                <w:kern w:val="0"/>
                <w:sz w:val="24"/>
                <w:szCs w:val="24"/>
                <w:highlight w:val="none"/>
              </w:rPr>
              <w:sym w:font="Wingdings" w:char="00FE"/>
            </w:r>
            <w:r>
              <w:rPr>
                <w:rFonts w:hint="eastAsia" w:ascii="宋体" w:eastAsia="宋体"/>
                <w:kern w:val="0"/>
                <w:sz w:val="24"/>
                <w:szCs w:val="24"/>
                <w:highlight w:val="none"/>
              </w:rPr>
              <w:t>采购人委托评标委员会确定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79" w:type="pct"/>
            <w:vAlign w:val="center"/>
          </w:tcPr>
          <w:p>
            <w:pPr>
              <w:pStyle w:val="41"/>
              <w:pBdr>
                <w:bottom w:val="none" w:color="auto" w:sz="0" w:space="0"/>
              </w:pBdr>
              <w:tabs>
                <w:tab w:val="clear" w:pos="4153"/>
                <w:tab w:val="clear" w:pos="8306"/>
              </w:tabs>
              <w:adjustRightInd/>
              <w:snapToGrid/>
              <w:spacing w:line="240" w:lineRule="auto"/>
              <w:textAlignment w:val="auto"/>
              <w:rPr>
                <w:rFonts w:ascii="宋体" w:eastAsia="宋体"/>
                <w:bCs/>
                <w:kern w:val="2"/>
                <w:highlight w:val="none"/>
              </w:rPr>
            </w:pPr>
            <w:r>
              <w:rPr>
                <w:rFonts w:ascii="宋体" w:eastAsia="宋体"/>
                <w:bCs/>
                <w:kern w:val="2"/>
                <w:highlight w:val="none"/>
              </w:rPr>
              <w:t>2</w:t>
            </w:r>
            <w:r>
              <w:rPr>
                <w:rFonts w:hint="eastAsia" w:ascii="宋体" w:eastAsia="宋体"/>
                <w:bCs/>
                <w:kern w:val="2"/>
                <w:highlight w:val="none"/>
              </w:rPr>
              <w:t>3</w:t>
            </w:r>
            <w:r>
              <w:rPr>
                <w:rFonts w:ascii="宋体" w:eastAsia="宋体"/>
                <w:bCs/>
                <w:kern w:val="2"/>
                <w:highlight w:val="none"/>
              </w:rPr>
              <w:t>.3</w:t>
            </w:r>
          </w:p>
        </w:tc>
        <w:tc>
          <w:tcPr>
            <w:tcW w:w="1174" w:type="pct"/>
            <w:vAlign w:val="center"/>
          </w:tcPr>
          <w:p>
            <w:pPr>
              <w:pStyle w:val="40"/>
              <w:widowControl w:val="0"/>
              <w:spacing w:before="0" w:beforeAutospacing="0" w:after="0" w:afterAutospacing="0" w:line="360" w:lineRule="auto"/>
              <w:jc w:val="both"/>
              <w:rPr>
                <w:rFonts w:ascii="宋体" w:eastAsia="宋体"/>
                <w:b w:val="0"/>
                <w:sz w:val="24"/>
                <w:highlight w:val="none"/>
              </w:rPr>
            </w:pPr>
            <w:r>
              <w:rPr>
                <w:rFonts w:hint="eastAsia" w:ascii="宋体" w:eastAsia="宋体"/>
                <w:b w:val="0"/>
                <w:sz w:val="24"/>
                <w:highlight w:val="none"/>
              </w:rPr>
              <w:t>随中标结果公告同时公告的内容</w:t>
            </w:r>
          </w:p>
        </w:tc>
        <w:tc>
          <w:tcPr>
            <w:tcW w:w="3246" w:type="pct"/>
            <w:vAlign w:val="center"/>
          </w:tcPr>
          <w:p>
            <w:pPr>
              <w:pStyle w:val="40"/>
              <w:widowControl w:val="0"/>
              <w:spacing w:before="0" w:beforeAutospacing="0" w:after="0" w:afterAutospacing="0" w:line="360" w:lineRule="auto"/>
              <w:jc w:val="both"/>
              <w:rPr>
                <w:rFonts w:ascii="宋体" w:eastAsia="宋体"/>
                <w:b w:val="0"/>
                <w:sz w:val="24"/>
                <w:highlight w:val="none"/>
              </w:rPr>
            </w:pPr>
            <w:r>
              <w:rPr>
                <w:rFonts w:hint="eastAsia" w:ascii="宋体" w:eastAsia="宋体"/>
                <w:b w:val="0"/>
                <w:sz w:val="24"/>
                <w:highlight w:val="none"/>
              </w:rPr>
              <w:t>（1）中小企业声明函；</w:t>
            </w:r>
          </w:p>
          <w:p>
            <w:pPr>
              <w:pStyle w:val="40"/>
              <w:widowControl w:val="0"/>
              <w:spacing w:before="0" w:beforeAutospacing="0" w:after="0" w:afterAutospacing="0" w:line="360" w:lineRule="auto"/>
              <w:jc w:val="both"/>
              <w:rPr>
                <w:rFonts w:ascii="宋体" w:eastAsia="宋体"/>
                <w:b w:val="0"/>
                <w:i/>
                <w:sz w:val="24"/>
                <w:highlight w:val="none"/>
              </w:rPr>
            </w:pPr>
            <w:r>
              <w:rPr>
                <w:rFonts w:hint="eastAsia" w:ascii="宋体" w:eastAsia="宋体"/>
                <w:b w:val="0"/>
                <w:sz w:val="24"/>
                <w:highlight w:val="none"/>
              </w:rPr>
              <w:t>（2）残疾人福利性单位声明函；</w:t>
            </w:r>
            <w:r>
              <w:rPr>
                <w:rFonts w:hint="eastAsia" w:ascii="宋体" w:eastAsia="宋体"/>
                <w:b w:val="0"/>
                <w:i/>
                <w:iCs/>
                <w:sz w:val="24"/>
                <w:highlight w:val="none"/>
              </w:rPr>
              <w:t>（如有）</w:t>
            </w:r>
          </w:p>
          <w:p>
            <w:pPr>
              <w:pStyle w:val="40"/>
              <w:widowControl w:val="0"/>
              <w:spacing w:before="0" w:beforeAutospacing="0" w:after="0" w:afterAutospacing="0" w:line="360" w:lineRule="auto"/>
              <w:jc w:val="both"/>
              <w:rPr>
                <w:rFonts w:ascii="宋体" w:eastAsia="宋体"/>
                <w:b w:val="0"/>
                <w:sz w:val="24"/>
                <w:highlight w:val="none"/>
              </w:rPr>
            </w:pPr>
            <w:r>
              <w:rPr>
                <w:rFonts w:hint="eastAsia" w:ascii="宋体" w:eastAsia="宋体"/>
                <w:b w:val="0"/>
                <w:sz w:val="24"/>
                <w:highlight w:val="none"/>
              </w:rPr>
              <w:t>（3）因落实政府采购政策等原因进行价格扣除后中标（成交）供应商的评审报价</w:t>
            </w:r>
            <w:r>
              <w:rPr>
                <w:rFonts w:hint="eastAsia" w:ascii="宋体" w:eastAsia="宋体"/>
                <w:b w:val="0"/>
                <w:i/>
                <w:iCs/>
                <w:sz w:val="24"/>
                <w:highlight w:val="none"/>
              </w:rPr>
              <w:t>（如有）</w:t>
            </w:r>
          </w:p>
          <w:p>
            <w:pPr>
              <w:pStyle w:val="40"/>
              <w:widowControl w:val="0"/>
              <w:spacing w:before="0" w:beforeAutospacing="0" w:after="0" w:afterAutospacing="0" w:line="360" w:lineRule="auto"/>
              <w:jc w:val="both"/>
              <w:rPr>
                <w:rFonts w:ascii="宋体" w:eastAsia="宋体"/>
                <w:b w:val="0"/>
                <w:bCs w:val="0"/>
                <w:sz w:val="24"/>
                <w:szCs w:val="24"/>
                <w:highlight w:val="none"/>
              </w:rPr>
            </w:pPr>
            <w:r>
              <w:rPr>
                <w:rFonts w:hint="eastAsia" w:ascii="宋体" w:eastAsia="宋体"/>
                <w:b w:val="0"/>
                <w:sz w:val="24"/>
                <w:highlight w:val="none"/>
              </w:rPr>
              <w:t>（4）</w:t>
            </w:r>
            <w:r>
              <w:rPr>
                <w:rFonts w:hint="eastAsia" w:ascii="宋体" w:eastAsia="宋体" w:cs="宋体"/>
                <w:b w:val="0"/>
                <w:sz w:val="24"/>
                <w:szCs w:val="24"/>
                <w:highlight w:val="none"/>
              </w:rPr>
              <w:t>招标文件中规定进行公示的其他内容。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79" w:type="pct"/>
            <w:vAlign w:val="center"/>
          </w:tcPr>
          <w:p>
            <w:pPr>
              <w:pStyle w:val="41"/>
              <w:pBdr>
                <w:bottom w:val="none" w:color="auto" w:sz="0" w:space="0"/>
              </w:pBdr>
              <w:tabs>
                <w:tab w:val="clear" w:pos="4153"/>
                <w:tab w:val="clear" w:pos="8306"/>
              </w:tabs>
              <w:adjustRightInd/>
              <w:snapToGrid/>
              <w:spacing w:line="240" w:lineRule="auto"/>
              <w:textAlignment w:val="auto"/>
              <w:rPr>
                <w:rFonts w:ascii="宋体" w:eastAsia="宋体"/>
                <w:bCs/>
                <w:kern w:val="2"/>
                <w:highlight w:val="none"/>
              </w:rPr>
            </w:pPr>
            <w:r>
              <w:rPr>
                <w:rFonts w:hint="eastAsia" w:ascii="宋体" w:eastAsia="宋体"/>
                <w:bCs/>
                <w:kern w:val="2"/>
                <w:highlight w:val="none"/>
              </w:rPr>
              <w:t>24</w:t>
            </w:r>
            <w:r>
              <w:rPr>
                <w:rFonts w:ascii="宋体" w:eastAsia="宋体"/>
                <w:bCs/>
                <w:kern w:val="2"/>
                <w:highlight w:val="none"/>
              </w:rPr>
              <w:t>.1</w:t>
            </w:r>
          </w:p>
        </w:tc>
        <w:tc>
          <w:tcPr>
            <w:tcW w:w="1174" w:type="pct"/>
            <w:vAlign w:val="center"/>
          </w:tcPr>
          <w:p>
            <w:pPr>
              <w:pStyle w:val="40"/>
              <w:widowControl w:val="0"/>
              <w:spacing w:before="0" w:beforeAutospacing="0" w:after="0" w:afterAutospacing="0" w:line="360" w:lineRule="auto"/>
              <w:jc w:val="both"/>
              <w:rPr>
                <w:rFonts w:ascii="宋体" w:eastAsia="宋体"/>
                <w:b w:val="0"/>
                <w:sz w:val="24"/>
                <w:highlight w:val="none"/>
              </w:rPr>
            </w:pPr>
            <w:r>
              <w:rPr>
                <w:rFonts w:hint="eastAsia" w:ascii="宋体" w:eastAsia="宋体"/>
                <w:b w:val="0"/>
                <w:sz w:val="24"/>
                <w:highlight w:val="none"/>
              </w:rPr>
              <w:t>中标通知书发出的形式</w:t>
            </w:r>
          </w:p>
        </w:tc>
        <w:tc>
          <w:tcPr>
            <w:tcW w:w="3246" w:type="pct"/>
            <w:vAlign w:val="center"/>
          </w:tcPr>
          <w:p>
            <w:pPr>
              <w:pStyle w:val="40"/>
              <w:widowControl w:val="0"/>
              <w:spacing w:before="0" w:beforeAutospacing="0" w:after="0" w:afterAutospacing="0" w:line="360" w:lineRule="auto"/>
              <w:jc w:val="both"/>
              <w:rPr>
                <w:rFonts w:ascii="宋体" w:eastAsia="宋体"/>
                <w:b w:val="0"/>
                <w:bCs w:val="0"/>
                <w:sz w:val="24"/>
                <w:szCs w:val="24"/>
                <w:highlight w:val="none"/>
              </w:rPr>
            </w:pPr>
            <w:r>
              <w:rPr>
                <w:rFonts w:hint="eastAsia" w:ascii="宋体" w:eastAsia="宋体"/>
                <w:b w:val="0"/>
                <w:bCs w:val="0"/>
                <w:sz w:val="24"/>
                <w:szCs w:val="24"/>
                <w:highlight w:val="none"/>
              </w:rPr>
              <w:t xml:space="preserve">□书面 </w:t>
            </w:r>
            <w:r>
              <w:rPr>
                <w:rFonts w:hint="eastAsia" w:ascii="宋体" w:eastAsia="宋体"/>
                <w:b w:val="0"/>
                <w:bCs w:val="0"/>
                <w:sz w:val="24"/>
                <w:szCs w:val="24"/>
                <w:highlight w:val="none"/>
              </w:rPr>
              <w:sym w:font="Wingdings" w:char="00FE"/>
            </w:r>
            <w:r>
              <w:rPr>
                <w:rFonts w:hint="eastAsia" w:ascii="宋体" w:eastAsia="宋体"/>
                <w:b w:val="0"/>
                <w:bCs w:val="0"/>
                <w:sz w:val="24"/>
                <w:szCs w:val="24"/>
                <w:highlight w:val="none"/>
              </w:rPr>
              <w:t>数据电文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79" w:type="pct"/>
            <w:vAlign w:val="center"/>
          </w:tcPr>
          <w:p>
            <w:pPr>
              <w:pStyle w:val="41"/>
              <w:pBdr>
                <w:bottom w:val="none" w:color="auto" w:sz="0" w:space="0"/>
              </w:pBdr>
              <w:tabs>
                <w:tab w:val="clear" w:pos="4153"/>
                <w:tab w:val="clear" w:pos="8306"/>
              </w:tabs>
              <w:adjustRightInd/>
              <w:snapToGrid/>
              <w:spacing w:line="240" w:lineRule="auto"/>
              <w:textAlignment w:val="auto"/>
              <w:rPr>
                <w:rFonts w:ascii="宋体" w:eastAsia="宋体"/>
                <w:bCs/>
                <w:kern w:val="2"/>
                <w:highlight w:val="none"/>
              </w:rPr>
            </w:pPr>
            <w:r>
              <w:rPr>
                <w:rFonts w:hint="eastAsia" w:ascii="宋体" w:eastAsia="宋体"/>
                <w:bCs/>
                <w:kern w:val="2"/>
                <w:highlight w:val="none"/>
              </w:rPr>
              <w:t>25</w:t>
            </w:r>
            <w:r>
              <w:rPr>
                <w:rFonts w:ascii="宋体" w:eastAsia="宋体"/>
                <w:bCs/>
                <w:kern w:val="2"/>
                <w:highlight w:val="none"/>
              </w:rPr>
              <w:t>.1</w:t>
            </w:r>
          </w:p>
        </w:tc>
        <w:tc>
          <w:tcPr>
            <w:tcW w:w="1174" w:type="pct"/>
            <w:vAlign w:val="center"/>
          </w:tcPr>
          <w:p>
            <w:pPr>
              <w:pStyle w:val="40"/>
              <w:widowControl w:val="0"/>
              <w:spacing w:before="0" w:beforeAutospacing="0" w:after="0" w:afterAutospacing="0" w:line="360" w:lineRule="auto"/>
              <w:jc w:val="both"/>
              <w:rPr>
                <w:rFonts w:ascii="宋体" w:eastAsia="宋体"/>
                <w:b w:val="0"/>
                <w:sz w:val="24"/>
                <w:highlight w:val="none"/>
              </w:rPr>
            </w:pPr>
            <w:r>
              <w:rPr>
                <w:rFonts w:hint="eastAsia" w:ascii="宋体" w:eastAsia="宋体"/>
                <w:b w:val="0"/>
                <w:sz w:val="24"/>
                <w:highlight w:val="none"/>
              </w:rPr>
              <w:t>告知招标结果的形式</w:t>
            </w:r>
          </w:p>
        </w:tc>
        <w:tc>
          <w:tcPr>
            <w:tcW w:w="3246" w:type="pct"/>
            <w:vAlign w:val="center"/>
          </w:tcPr>
          <w:p>
            <w:pPr>
              <w:spacing w:line="360" w:lineRule="auto"/>
              <w:rPr>
                <w:rFonts w:ascii="宋体" w:eastAsia="宋体"/>
                <w:kern w:val="0"/>
                <w:sz w:val="24"/>
                <w:szCs w:val="24"/>
                <w:highlight w:val="none"/>
              </w:rPr>
            </w:pPr>
            <w:r>
              <w:rPr>
                <w:rFonts w:hint="eastAsia" w:ascii="宋体" w:eastAsia="宋体"/>
                <w:kern w:val="0"/>
                <w:sz w:val="24"/>
                <w:szCs w:val="24"/>
                <w:highlight w:val="none"/>
              </w:rPr>
              <w:sym w:font="Wingdings" w:char="00FE"/>
            </w:r>
            <w:r>
              <w:rPr>
                <w:rFonts w:hint="eastAsia" w:ascii="宋体" w:eastAsia="宋体"/>
                <w:kern w:val="0"/>
                <w:sz w:val="24"/>
                <w:szCs w:val="24"/>
                <w:highlight w:val="none"/>
              </w:rPr>
              <w:t>投标人自行登录电子</w:t>
            </w:r>
            <w:r>
              <w:rPr>
                <w:rFonts w:hint="eastAsia" w:ascii="宋体" w:eastAsia="宋体" w:cs="宋体"/>
                <w:sz w:val="24"/>
                <w:szCs w:val="24"/>
                <w:highlight w:val="none"/>
              </w:rPr>
              <w:t>交易</w:t>
            </w:r>
            <w:r>
              <w:rPr>
                <w:rFonts w:hint="eastAsia" w:ascii="宋体" w:eastAsia="宋体"/>
                <w:kern w:val="0"/>
                <w:sz w:val="24"/>
                <w:szCs w:val="24"/>
                <w:highlight w:val="none"/>
              </w:rPr>
              <w:t>系统查看</w:t>
            </w:r>
          </w:p>
          <w:p>
            <w:pPr>
              <w:pStyle w:val="40"/>
              <w:widowControl w:val="0"/>
              <w:spacing w:before="0" w:beforeAutospacing="0" w:after="0" w:afterAutospacing="0" w:line="360" w:lineRule="auto"/>
              <w:jc w:val="both"/>
              <w:rPr>
                <w:rFonts w:ascii="宋体" w:eastAsia="宋体"/>
                <w:b w:val="0"/>
                <w:bCs w:val="0"/>
                <w:kern w:val="2"/>
                <w:sz w:val="24"/>
                <w:szCs w:val="24"/>
                <w:highlight w:val="none"/>
              </w:rPr>
            </w:pPr>
            <w:r>
              <w:rPr>
                <w:rFonts w:hint="eastAsia" w:ascii="宋体" w:eastAsia="宋体"/>
                <w:b w:val="0"/>
                <w:bCs w:val="0"/>
                <w:kern w:val="2"/>
                <w:sz w:val="24"/>
                <w:szCs w:val="24"/>
                <w:highlight w:val="none"/>
              </w:rPr>
              <w:t>□评标现场告知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79" w:type="pct"/>
            <w:vAlign w:val="center"/>
          </w:tcPr>
          <w:p>
            <w:pPr>
              <w:pStyle w:val="41"/>
              <w:pBdr>
                <w:bottom w:val="none" w:color="auto" w:sz="0" w:space="0"/>
              </w:pBdr>
              <w:tabs>
                <w:tab w:val="clear" w:pos="4153"/>
                <w:tab w:val="clear" w:pos="8306"/>
              </w:tabs>
              <w:adjustRightInd/>
              <w:snapToGrid/>
              <w:spacing w:line="240" w:lineRule="auto"/>
              <w:textAlignment w:val="auto"/>
              <w:rPr>
                <w:rFonts w:ascii="宋体" w:eastAsia="宋体"/>
                <w:bCs/>
                <w:kern w:val="2"/>
                <w:highlight w:val="none"/>
              </w:rPr>
            </w:pPr>
            <w:r>
              <w:rPr>
                <w:rFonts w:hint="eastAsia" w:ascii="宋体" w:eastAsia="宋体"/>
                <w:bCs/>
                <w:kern w:val="2"/>
                <w:highlight w:val="none"/>
              </w:rPr>
              <w:t>26</w:t>
            </w:r>
            <w:r>
              <w:rPr>
                <w:rFonts w:ascii="宋体" w:eastAsia="宋体"/>
                <w:bCs/>
                <w:kern w:val="2"/>
                <w:highlight w:val="none"/>
              </w:rPr>
              <w:t>.1</w:t>
            </w:r>
          </w:p>
        </w:tc>
        <w:tc>
          <w:tcPr>
            <w:tcW w:w="1174" w:type="pct"/>
            <w:vAlign w:val="center"/>
          </w:tcPr>
          <w:p>
            <w:pPr>
              <w:pStyle w:val="40"/>
              <w:widowControl w:val="0"/>
              <w:spacing w:before="0" w:beforeAutospacing="0" w:after="0" w:afterAutospacing="0" w:line="360" w:lineRule="auto"/>
              <w:jc w:val="both"/>
              <w:rPr>
                <w:rFonts w:ascii="宋体" w:eastAsia="宋体"/>
                <w:b w:val="0"/>
                <w:sz w:val="24"/>
                <w:highlight w:val="none"/>
              </w:rPr>
            </w:pPr>
            <w:r>
              <w:rPr>
                <w:rFonts w:hint="eastAsia" w:ascii="宋体" w:eastAsia="宋体"/>
                <w:b w:val="0"/>
                <w:sz w:val="24"/>
                <w:highlight w:val="none"/>
              </w:rPr>
              <w:t>履约保证金</w:t>
            </w:r>
          </w:p>
        </w:tc>
        <w:tc>
          <w:tcPr>
            <w:tcW w:w="3246" w:type="pct"/>
          </w:tcPr>
          <w:p>
            <w:pPr>
              <w:spacing w:line="360" w:lineRule="auto"/>
              <w:rPr>
                <w:rFonts w:ascii="宋体" w:eastAsia="宋体"/>
                <w:bCs/>
                <w:kern w:val="0"/>
                <w:sz w:val="24"/>
                <w:szCs w:val="28"/>
                <w:highlight w:val="none"/>
              </w:rPr>
            </w:pPr>
            <w:r>
              <w:rPr>
                <w:rFonts w:hint="eastAsia" w:ascii="宋体" w:eastAsia="宋体"/>
                <w:bCs/>
                <w:kern w:val="0"/>
                <w:sz w:val="24"/>
                <w:szCs w:val="28"/>
                <w:highlight w:val="none"/>
              </w:rPr>
              <w:t>（1）金额：</w:t>
            </w:r>
          </w:p>
          <w:p>
            <w:pPr>
              <w:spacing w:line="360" w:lineRule="auto"/>
              <w:rPr>
                <w:rFonts w:ascii="宋体" w:eastAsia="宋体"/>
                <w:bCs/>
                <w:kern w:val="0"/>
                <w:sz w:val="24"/>
                <w:szCs w:val="28"/>
                <w:highlight w:val="none"/>
              </w:rPr>
            </w:pPr>
            <w:r>
              <w:rPr>
                <w:rFonts w:hint="eastAsia" w:ascii="宋体" w:eastAsia="宋体"/>
                <w:bCs/>
                <w:kern w:val="0"/>
                <w:sz w:val="24"/>
                <w:szCs w:val="28"/>
                <w:highlight w:val="none"/>
              </w:rPr>
              <w:t>□免收</w:t>
            </w:r>
          </w:p>
          <w:p>
            <w:pPr>
              <w:spacing w:line="360" w:lineRule="auto"/>
              <w:rPr>
                <w:rFonts w:ascii="宋体" w:eastAsia="宋体"/>
                <w:bCs/>
                <w:kern w:val="0"/>
                <w:sz w:val="24"/>
                <w:szCs w:val="28"/>
                <w:highlight w:val="none"/>
              </w:rPr>
            </w:pPr>
            <w:r>
              <w:rPr>
                <w:rFonts w:hint="eastAsia" w:ascii="宋体" w:eastAsia="宋体"/>
                <w:bCs/>
                <w:kern w:val="0"/>
                <w:sz w:val="24"/>
                <w:szCs w:val="28"/>
                <w:highlight w:val="none"/>
              </w:rPr>
              <w:t>☑合同价的</w:t>
            </w:r>
            <w:r>
              <w:rPr>
                <w:rFonts w:hint="eastAsia" w:ascii="宋体" w:eastAsia="宋体"/>
                <w:bCs/>
                <w:kern w:val="0"/>
                <w:sz w:val="24"/>
                <w:szCs w:val="28"/>
                <w:highlight w:val="none"/>
                <w:u w:val="single"/>
                <w:lang w:val="en-US" w:eastAsia="zh-CN"/>
              </w:rPr>
              <w:t xml:space="preserve"> </w:t>
            </w:r>
            <w:r>
              <w:rPr>
                <w:rFonts w:hint="eastAsia" w:ascii="宋体" w:eastAsia="宋体"/>
                <w:bCs/>
                <w:kern w:val="0"/>
                <w:sz w:val="24"/>
                <w:szCs w:val="28"/>
                <w:highlight w:val="none"/>
                <w:u w:val="single"/>
              </w:rPr>
              <w:t>2</w:t>
            </w:r>
            <w:r>
              <w:rPr>
                <w:rFonts w:hint="eastAsia" w:ascii="宋体" w:eastAsia="宋体"/>
                <w:bCs/>
                <w:kern w:val="0"/>
                <w:sz w:val="24"/>
                <w:szCs w:val="28"/>
                <w:highlight w:val="none"/>
                <w:u w:val="single"/>
                <w:lang w:val="en-US" w:eastAsia="zh-CN"/>
              </w:rPr>
              <w:t xml:space="preserve"> </w:t>
            </w:r>
            <w:r>
              <w:rPr>
                <w:rFonts w:ascii="宋体" w:eastAsia="宋体"/>
                <w:bCs/>
                <w:kern w:val="0"/>
                <w:sz w:val="24"/>
                <w:szCs w:val="28"/>
                <w:highlight w:val="none"/>
              </w:rPr>
              <w:t>%</w:t>
            </w:r>
          </w:p>
          <w:p>
            <w:pPr>
              <w:spacing w:line="360" w:lineRule="auto"/>
              <w:rPr>
                <w:rFonts w:ascii="宋体" w:eastAsia="宋体"/>
                <w:bCs/>
                <w:kern w:val="0"/>
                <w:sz w:val="24"/>
                <w:szCs w:val="28"/>
                <w:highlight w:val="none"/>
              </w:rPr>
            </w:pPr>
            <w:r>
              <w:rPr>
                <w:rFonts w:hint="eastAsia" w:ascii="宋体" w:eastAsia="宋体"/>
                <w:bCs/>
                <w:kern w:val="0"/>
                <w:sz w:val="24"/>
                <w:szCs w:val="28"/>
                <w:highlight w:val="none"/>
              </w:rPr>
              <w:t>定额收取：人民币元</w:t>
            </w:r>
          </w:p>
          <w:p>
            <w:pPr>
              <w:spacing w:line="360" w:lineRule="auto"/>
              <w:rPr>
                <w:rFonts w:ascii="宋体" w:eastAsia="宋体"/>
                <w:bCs/>
                <w:kern w:val="0"/>
                <w:sz w:val="24"/>
                <w:szCs w:val="28"/>
                <w:highlight w:val="none"/>
              </w:rPr>
            </w:pPr>
            <w:r>
              <w:rPr>
                <w:rFonts w:hint="eastAsia" w:ascii="宋体" w:eastAsia="宋体"/>
                <w:bCs/>
                <w:kern w:val="0"/>
                <w:sz w:val="24"/>
                <w:szCs w:val="28"/>
                <w:highlight w:val="none"/>
              </w:rPr>
              <w:t>（2）支付方式：</w:t>
            </w:r>
          </w:p>
          <w:p>
            <w:pPr>
              <w:spacing w:line="360" w:lineRule="auto"/>
              <w:rPr>
                <w:rFonts w:ascii="宋体" w:eastAsia="宋体"/>
                <w:bCs/>
                <w:kern w:val="0"/>
                <w:sz w:val="24"/>
                <w:szCs w:val="28"/>
                <w:highlight w:val="none"/>
              </w:rPr>
            </w:pPr>
            <w:r>
              <w:rPr>
                <w:rFonts w:hint="eastAsia" w:ascii="宋体" w:eastAsia="宋体"/>
                <w:bCs/>
                <w:kern w:val="0"/>
                <w:sz w:val="24"/>
                <w:szCs w:val="28"/>
                <w:highlight w:val="none"/>
              </w:rPr>
              <w:sym w:font="Wingdings" w:char="00FE"/>
            </w:r>
            <w:r>
              <w:rPr>
                <w:rFonts w:ascii="宋体" w:eastAsia="宋体"/>
                <w:bCs/>
                <w:kern w:val="0"/>
                <w:sz w:val="24"/>
                <w:szCs w:val="28"/>
                <w:highlight w:val="none"/>
              </w:rPr>
              <w:t>转账/电汇</w:t>
            </w:r>
            <w:r>
              <w:rPr>
                <w:rFonts w:hint="eastAsia" w:ascii="宋体" w:eastAsia="宋体"/>
                <w:bCs/>
                <w:kern w:val="0"/>
                <w:sz w:val="24"/>
                <w:szCs w:val="28"/>
                <w:highlight w:val="none"/>
              </w:rPr>
              <w:sym w:font="Wingdings" w:char="00FE"/>
            </w:r>
            <w:r>
              <w:rPr>
                <w:rFonts w:ascii="宋体" w:eastAsia="宋体"/>
                <w:bCs/>
                <w:kern w:val="0"/>
                <w:sz w:val="24"/>
                <w:szCs w:val="28"/>
                <w:highlight w:val="none"/>
              </w:rPr>
              <w:t xml:space="preserve">支票 </w:t>
            </w:r>
            <w:r>
              <w:rPr>
                <w:rFonts w:hint="eastAsia" w:ascii="宋体" w:eastAsia="宋体"/>
                <w:bCs/>
                <w:kern w:val="0"/>
                <w:sz w:val="24"/>
                <w:szCs w:val="28"/>
                <w:highlight w:val="none"/>
              </w:rPr>
              <w:sym w:font="Wingdings" w:char="00FE"/>
            </w:r>
            <w:r>
              <w:rPr>
                <w:rFonts w:ascii="宋体" w:eastAsia="宋体"/>
                <w:bCs/>
                <w:kern w:val="0"/>
                <w:sz w:val="24"/>
                <w:szCs w:val="28"/>
                <w:highlight w:val="none"/>
              </w:rPr>
              <w:t>汇票</w:t>
            </w:r>
            <w:r>
              <w:rPr>
                <w:rFonts w:hint="eastAsia" w:ascii="宋体" w:eastAsia="宋体"/>
                <w:bCs/>
                <w:kern w:val="0"/>
                <w:sz w:val="24"/>
                <w:szCs w:val="28"/>
                <w:highlight w:val="none"/>
              </w:rPr>
              <w:sym w:font="Wingdings" w:char="00FE"/>
            </w:r>
            <w:r>
              <w:rPr>
                <w:rFonts w:hint="eastAsia" w:ascii="宋体" w:eastAsia="宋体"/>
                <w:bCs/>
                <w:kern w:val="0"/>
                <w:sz w:val="24"/>
                <w:szCs w:val="28"/>
                <w:highlight w:val="none"/>
              </w:rPr>
              <w:t xml:space="preserve">本票 </w:t>
            </w:r>
            <w:r>
              <w:rPr>
                <w:rFonts w:hint="eastAsia" w:ascii="宋体" w:eastAsia="宋体"/>
                <w:bCs/>
                <w:kern w:val="0"/>
                <w:sz w:val="24"/>
                <w:szCs w:val="28"/>
                <w:highlight w:val="none"/>
              </w:rPr>
              <w:sym w:font="Wingdings" w:char="00FE"/>
            </w:r>
            <w:r>
              <w:rPr>
                <w:rFonts w:ascii="宋体" w:eastAsia="宋体"/>
                <w:bCs/>
                <w:kern w:val="0"/>
                <w:sz w:val="24"/>
                <w:szCs w:val="28"/>
                <w:highlight w:val="none"/>
              </w:rPr>
              <w:t>保</w:t>
            </w:r>
            <w:r>
              <w:rPr>
                <w:rFonts w:hint="eastAsia" w:ascii="宋体" w:eastAsia="宋体"/>
                <w:bCs/>
                <w:kern w:val="0"/>
                <w:sz w:val="24"/>
                <w:szCs w:val="28"/>
                <w:highlight w:val="none"/>
              </w:rPr>
              <w:t xml:space="preserve">险 </w:t>
            </w:r>
            <w:r>
              <w:rPr>
                <w:rFonts w:hint="eastAsia" w:ascii="宋体" w:eastAsia="宋体"/>
                <w:bCs/>
                <w:kern w:val="0"/>
                <w:sz w:val="24"/>
                <w:szCs w:val="28"/>
                <w:highlight w:val="none"/>
              </w:rPr>
              <w:sym w:font="Wingdings" w:char="00FE"/>
            </w:r>
            <w:r>
              <w:rPr>
                <w:rFonts w:hint="eastAsia" w:ascii="宋体" w:eastAsia="宋体"/>
                <w:bCs/>
                <w:kern w:val="0"/>
                <w:sz w:val="24"/>
                <w:szCs w:val="28"/>
                <w:highlight w:val="none"/>
              </w:rPr>
              <w:t>保</w:t>
            </w:r>
            <w:r>
              <w:rPr>
                <w:rFonts w:ascii="宋体" w:eastAsia="宋体"/>
                <w:bCs/>
                <w:kern w:val="0"/>
                <w:sz w:val="24"/>
                <w:szCs w:val="28"/>
                <w:highlight w:val="none"/>
              </w:rPr>
              <w:t>函</w:t>
            </w:r>
          </w:p>
          <w:p>
            <w:pPr>
              <w:spacing w:line="360" w:lineRule="auto"/>
              <w:rPr>
                <w:rFonts w:ascii="宋体" w:eastAsia="宋体"/>
                <w:bCs/>
                <w:kern w:val="0"/>
                <w:sz w:val="24"/>
                <w:szCs w:val="28"/>
                <w:highlight w:val="none"/>
                <w:u w:val="single"/>
              </w:rPr>
            </w:pPr>
            <w:r>
              <w:rPr>
                <w:rFonts w:hint="eastAsia" w:ascii="宋体" w:eastAsia="宋体"/>
                <w:bCs/>
                <w:kern w:val="0"/>
                <w:sz w:val="24"/>
                <w:szCs w:val="28"/>
                <w:highlight w:val="none"/>
              </w:rPr>
              <w:t>（3）收取单位：</w:t>
            </w:r>
            <w:r>
              <w:rPr>
                <w:rFonts w:hint="eastAsia" w:ascii="宋体" w:eastAsia="宋体"/>
                <w:bCs/>
                <w:kern w:val="0"/>
                <w:sz w:val="24"/>
                <w:szCs w:val="28"/>
                <w:highlight w:val="none"/>
                <w:u w:val="single"/>
              </w:rPr>
              <w:t>皖南医学院</w:t>
            </w:r>
          </w:p>
          <w:p>
            <w:pPr>
              <w:spacing w:line="360" w:lineRule="auto"/>
              <w:rPr>
                <w:rFonts w:ascii="宋体" w:eastAsia="宋体"/>
                <w:sz w:val="24"/>
                <w:highlight w:val="none"/>
              </w:rPr>
            </w:pPr>
            <w:r>
              <w:rPr>
                <w:rFonts w:hint="eastAsia" w:ascii="宋体" w:eastAsia="宋体"/>
                <w:bCs/>
                <w:kern w:val="0"/>
                <w:sz w:val="24"/>
                <w:szCs w:val="28"/>
                <w:highlight w:val="none"/>
              </w:rPr>
              <w:t>（4）</w:t>
            </w:r>
            <w:r>
              <w:rPr>
                <w:rFonts w:hint="eastAsia" w:ascii="宋体" w:eastAsia="宋体"/>
                <w:sz w:val="24"/>
                <w:highlight w:val="none"/>
              </w:rPr>
              <w:t>退还时间：</w:t>
            </w:r>
            <w:r>
              <w:rPr>
                <w:rFonts w:hint="eastAsia" w:ascii="宋体" w:eastAsia="宋体"/>
                <w:bCs/>
                <w:kern w:val="0"/>
                <w:sz w:val="24"/>
                <w:szCs w:val="28"/>
                <w:highlight w:val="none"/>
                <w:u w:val="single"/>
              </w:rPr>
              <w:t xml:space="preserve"> 履约保证金在合同生效之日起至项目验收合格前一直有效，验收合格后7个日历日内采购人应将履约保证金款项退还给供应商或者解除履约担保。</w:t>
            </w:r>
          </w:p>
          <w:p>
            <w:pPr>
              <w:spacing w:line="360" w:lineRule="auto"/>
              <w:rPr>
                <w:rFonts w:ascii="宋体" w:eastAsia="宋体"/>
                <w:b/>
                <w:bCs/>
                <w:kern w:val="0"/>
                <w:sz w:val="24"/>
                <w:szCs w:val="24"/>
                <w:highlight w:val="none"/>
              </w:rPr>
            </w:pPr>
            <w:r>
              <w:rPr>
                <w:rFonts w:hint="eastAsia" w:ascii="宋体" w:eastAsia="宋体"/>
                <w:b/>
                <w:bCs/>
                <w:kern w:val="0"/>
                <w:sz w:val="24"/>
                <w:szCs w:val="24"/>
                <w:highlight w:val="none"/>
              </w:rPr>
              <w:t>注意事项：</w:t>
            </w:r>
          </w:p>
          <w:p>
            <w:pPr>
              <w:spacing w:line="360" w:lineRule="auto"/>
              <w:rPr>
                <w:rFonts w:ascii="宋体" w:eastAsia="宋体"/>
                <w:b/>
                <w:bCs/>
                <w:kern w:val="0"/>
                <w:sz w:val="24"/>
                <w:szCs w:val="24"/>
                <w:highlight w:val="none"/>
              </w:rPr>
            </w:pPr>
            <w:r>
              <w:rPr>
                <w:rFonts w:hint="eastAsia" w:ascii="宋体" w:eastAsia="宋体"/>
                <w:b/>
                <w:bCs/>
                <w:kern w:val="0"/>
                <w:sz w:val="24"/>
                <w:szCs w:val="24"/>
                <w:highlight w:val="none"/>
              </w:rPr>
              <w:t>（1）以上各类机构出具的以担保函、保证保险承担责任的方式均须满足无条件见索即付条件。</w:t>
            </w:r>
          </w:p>
          <w:p>
            <w:pPr>
              <w:spacing w:line="360" w:lineRule="auto"/>
              <w:rPr>
                <w:rFonts w:ascii="宋体" w:eastAsia="宋体"/>
                <w:b/>
                <w:bCs/>
                <w:kern w:val="0"/>
                <w:sz w:val="24"/>
                <w:szCs w:val="24"/>
                <w:highlight w:val="none"/>
              </w:rPr>
            </w:pPr>
            <w:r>
              <w:rPr>
                <w:rFonts w:hint="eastAsia" w:ascii="宋体" w:eastAsia="宋体"/>
                <w:b/>
                <w:bCs/>
                <w:kern w:val="0"/>
                <w:sz w:val="24"/>
                <w:szCs w:val="24"/>
                <w:highlight w:val="none"/>
              </w:rPr>
              <w:t>（2）以担保函、保证保险形式缴纳履约保证金的，受益人和收取单位须为采购人。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79" w:type="pct"/>
            <w:vAlign w:val="center"/>
          </w:tcPr>
          <w:p>
            <w:pPr>
              <w:pStyle w:val="41"/>
              <w:pBdr>
                <w:bottom w:val="none" w:color="auto" w:sz="0" w:space="0"/>
              </w:pBdr>
              <w:tabs>
                <w:tab w:val="clear" w:pos="4153"/>
                <w:tab w:val="clear" w:pos="8306"/>
              </w:tabs>
              <w:adjustRightInd/>
              <w:snapToGrid/>
              <w:spacing w:line="240" w:lineRule="auto"/>
              <w:textAlignment w:val="auto"/>
              <w:rPr>
                <w:rFonts w:ascii="宋体" w:eastAsia="宋体"/>
                <w:bCs/>
                <w:kern w:val="2"/>
                <w:highlight w:val="none"/>
              </w:rPr>
            </w:pPr>
            <w:r>
              <w:rPr>
                <w:rFonts w:hint="eastAsia" w:ascii="宋体" w:eastAsia="宋体"/>
                <w:bCs/>
                <w:kern w:val="2"/>
                <w:highlight w:val="none"/>
              </w:rPr>
              <w:t>27</w:t>
            </w:r>
            <w:r>
              <w:rPr>
                <w:rFonts w:ascii="宋体" w:eastAsia="宋体"/>
                <w:bCs/>
                <w:kern w:val="2"/>
                <w:highlight w:val="none"/>
              </w:rPr>
              <w:t>.1</w:t>
            </w:r>
          </w:p>
        </w:tc>
        <w:tc>
          <w:tcPr>
            <w:tcW w:w="1174" w:type="pct"/>
            <w:vAlign w:val="center"/>
          </w:tcPr>
          <w:p>
            <w:pPr>
              <w:pStyle w:val="40"/>
              <w:widowControl w:val="0"/>
              <w:spacing w:before="0" w:beforeAutospacing="0" w:after="0" w:afterAutospacing="0" w:line="360" w:lineRule="auto"/>
              <w:jc w:val="both"/>
              <w:rPr>
                <w:rFonts w:ascii="宋体" w:eastAsia="宋体"/>
                <w:b w:val="0"/>
                <w:sz w:val="24"/>
                <w:highlight w:val="none"/>
              </w:rPr>
            </w:pPr>
            <w:r>
              <w:rPr>
                <w:rFonts w:hint="eastAsia" w:ascii="宋体" w:eastAsia="宋体"/>
                <w:b w:val="0"/>
                <w:sz w:val="24"/>
                <w:highlight w:val="none"/>
              </w:rPr>
              <w:t>签订合同和合同公开时间</w:t>
            </w:r>
          </w:p>
        </w:tc>
        <w:tc>
          <w:tcPr>
            <w:tcW w:w="3246" w:type="pct"/>
          </w:tcPr>
          <w:p>
            <w:pPr>
              <w:adjustRightInd w:val="0"/>
              <w:snapToGrid w:val="0"/>
              <w:spacing w:line="360" w:lineRule="auto"/>
              <w:rPr>
                <w:rFonts w:ascii="宋体" w:eastAsia="宋体"/>
                <w:b/>
                <w:bCs/>
                <w:kern w:val="0"/>
                <w:sz w:val="24"/>
                <w:szCs w:val="24"/>
                <w:highlight w:val="none"/>
              </w:rPr>
            </w:pPr>
            <w:r>
              <w:rPr>
                <w:rFonts w:hint="eastAsia" w:ascii="宋体" w:eastAsia="宋体" w:cs="宋体"/>
                <w:sz w:val="24"/>
                <w:szCs w:val="24"/>
                <w:highlight w:val="none"/>
              </w:rPr>
              <w:t>采购人与中标人应当自发出中标通知书之日起7个工作日内签订合同，采购合同签订之日起2个工作日内完成政府采购合同公开。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79" w:type="pct"/>
            <w:vAlign w:val="center"/>
          </w:tcPr>
          <w:p>
            <w:pPr>
              <w:pStyle w:val="41"/>
              <w:pBdr>
                <w:bottom w:val="none" w:color="auto" w:sz="0" w:space="0"/>
              </w:pBdr>
              <w:tabs>
                <w:tab w:val="clear" w:pos="4153"/>
                <w:tab w:val="clear" w:pos="8306"/>
              </w:tabs>
              <w:adjustRightInd/>
              <w:snapToGrid/>
              <w:spacing w:line="240" w:lineRule="auto"/>
              <w:textAlignment w:val="auto"/>
              <w:rPr>
                <w:rFonts w:ascii="宋体" w:eastAsia="宋体"/>
                <w:bCs/>
                <w:kern w:val="2"/>
                <w:highlight w:val="none"/>
              </w:rPr>
            </w:pPr>
            <w:r>
              <w:rPr>
                <w:rFonts w:hint="eastAsia" w:ascii="宋体" w:eastAsia="宋体"/>
                <w:bCs/>
                <w:kern w:val="2"/>
                <w:highlight w:val="none"/>
              </w:rPr>
              <w:t>28</w:t>
            </w:r>
            <w:r>
              <w:rPr>
                <w:rFonts w:ascii="宋体" w:eastAsia="宋体"/>
                <w:bCs/>
                <w:kern w:val="2"/>
                <w:highlight w:val="none"/>
              </w:rPr>
              <w:t>.1</w:t>
            </w:r>
          </w:p>
        </w:tc>
        <w:tc>
          <w:tcPr>
            <w:tcW w:w="1174" w:type="pct"/>
            <w:vAlign w:val="center"/>
          </w:tcPr>
          <w:p>
            <w:pPr>
              <w:pStyle w:val="40"/>
              <w:widowControl w:val="0"/>
              <w:spacing w:before="0" w:beforeAutospacing="0" w:after="0" w:afterAutospacing="0" w:line="360" w:lineRule="auto"/>
              <w:jc w:val="both"/>
              <w:rPr>
                <w:rFonts w:ascii="宋体" w:eastAsia="宋体"/>
                <w:b w:val="0"/>
                <w:sz w:val="24"/>
                <w:highlight w:val="none"/>
              </w:rPr>
            </w:pPr>
            <w:r>
              <w:rPr>
                <w:rFonts w:hint="eastAsia" w:ascii="宋体" w:eastAsia="宋体"/>
                <w:b w:val="0"/>
                <w:sz w:val="24"/>
                <w:highlight w:val="none"/>
              </w:rPr>
              <w:t>代理费用</w:t>
            </w:r>
          </w:p>
        </w:tc>
        <w:tc>
          <w:tcPr>
            <w:tcW w:w="3246" w:type="pct"/>
            <w:vAlign w:val="center"/>
          </w:tcPr>
          <w:p>
            <w:pPr>
              <w:spacing w:before="39" w:line="360" w:lineRule="auto"/>
              <w:rPr>
                <w:rFonts w:ascii="宋体" w:eastAsia="宋体" w:cs="宋体"/>
                <w:sz w:val="24"/>
                <w:szCs w:val="24"/>
                <w:highlight w:val="none"/>
              </w:rPr>
            </w:pPr>
            <w:r>
              <w:rPr>
                <w:rFonts w:hint="eastAsia" w:ascii="宋体" w:eastAsia="宋体"/>
                <w:bCs/>
                <w:kern w:val="0"/>
                <w:sz w:val="24"/>
                <w:szCs w:val="28"/>
                <w:highlight w:val="none"/>
              </w:rPr>
              <w:t>（1）</w:t>
            </w:r>
            <w:r>
              <w:rPr>
                <w:rFonts w:ascii="宋体" w:eastAsia="宋体"/>
                <w:bCs/>
                <w:kern w:val="0"/>
                <w:sz w:val="24"/>
                <w:szCs w:val="28"/>
                <w:highlight w:val="none"/>
              </w:rPr>
              <w:t>收费对象</w:t>
            </w:r>
            <w:r>
              <w:rPr>
                <w:rFonts w:ascii="宋体" w:eastAsia="宋体" w:cs="宋体"/>
                <w:spacing w:val="-12"/>
                <w:sz w:val="24"/>
                <w:szCs w:val="24"/>
                <w:highlight w:val="none"/>
              </w:rPr>
              <w:t>：</w:t>
            </w:r>
            <w:r>
              <w:rPr>
                <w:rFonts w:hint="eastAsia" w:ascii="宋体" w:eastAsia="宋体"/>
                <w:bCs/>
                <w:kern w:val="0"/>
                <w:sz w:val="24"/>
                <w:szCs w:val="28"/>
                <w:highlight w:val="none"/>
              </w:rPr>
              <w:sym w:font="Wingdings" w:char="00A8"/>
            </w:r>
            <w:r>
              <w:rPr>
                <w:rFonts w:ascii="宋体" w:eastAsia="宋体" w:cs="宋体"/>
                <w:spacing w:val="14"/>
                <w:sz w:val="24"/>
                <w:szCs w:val="24"/>
                <w:highlight w:val="none"/>
              </w:rPr>
              <w:t>采购人</w:t>
            </w:r>
            <w:r>
              <w:rPr>
                <w:rFonts w:hint="eastAsia" w:ascii="宋体" w:eastAsia="宋体"/>
                <w:bCs/>
                <w:kern w:val="0"/>
                <w:sz w:val="24"/>
                <w:szCs w:val="28"/>
                <w:highlight w:val="none"/>
              </w:rPr>
              <w:sym w:font="Wingdings" w:char="00FE"/>
            </w:r>
            <w:r>
              <w:rPr>
                <w:rFonts w:ascii="宋体" w:eastAsia="宋体" w:cs="宋体"/>
                <w:spacing w:val="14"/>
                <w:sz w:val="24"/>
                <w:szCs w:val="24"/>
                <w:highlight w:val="none"/>
              </w:rPr>
              <w:t>中标人</w:t>
            </w:r>
          </w:p>
          <w:p>
            <w:pPr>
              <w:spacing w:before="24" w:line="360" w:lineRule="auto"/>
              <w:rPr>
                <w:rFonts w:ascii="宋体" w:eastAsia="宋体"/>
                <w:bCs/>
                <w:kern w:val="0"/>
                <w:sz w:val="24"/>
                <w:szCs w:val="28"/>
                <w:highlight w:val="none"/>
              </w:rPr>
            </w:pPr>
            <w:r>
              <w:rPr>
                <w:rFonts w:hint="eastAsia" w:ascii="宋体" w:eastAsia="宋体"/>
                <w:bCs/>
                <w:kern w:val="0"/>
                <w:sz w:val="24"/>
                <w:szCs w:val="28"/>
                <w:highlight w:val="none"/>
              </w:rPr>
              <w:t>（2）</w:t>
            </w:r>
            <w:r>
              <w:rPr>
                <w:rFonts w:ascii="宋体" w:eastAsia="宋体"/>
                <w:bCs/>
                <w:kern w:val="0"/>
                <w:sz w:val="24"/>
                <w:szCs w:val="28"/>
                <w:highlight w:val="none"/>
              </w:rPr>
              <w:t>收取方式</w:t>
            </w:r>
            <w:r>
              <w:rPr>
                <w:rFonts w:ascii="宋体" w:eastAsia="宋体" w:cs="宋体"/>
                <w:sz w:val="24"/>
                <w:szCs w:val="24"/>
                <w:highlight w:val="none"/>
              </w:rPr>
              <w:t>：</w:t>
            </w:r>
            <w:r>
              <w:rPr>
                <w:rFonts w:hint="eastAsia" w:ascii="宋体" w:eastAsia="宋体" w:cs="宋体"/>
                <w:sz w:val="24"/>
                <w:szCs w:val="24"/>
                <w:highlight w:val="none"/>
                <w:u w:val="single"/>
              </w:rPr>
              <w:t>转账/电汇</w:t>
            </w:r>
          </w:p>
          <w:p>
            <w:pPr>
              <w:pStyle w:val="40"/>
              <w:widowControl w:val="0"/>
              <w:spacing w:before="0" w:beforeAutospacing="0" w:after="0" w:afterAutospacing="0" w:line="360" w:lineRule="auto"/>
              <w:jc w:val="both"/>
              <w:rPr>
                <w:rFonts w:ascii="宋体" w:eastAsia="宋体" w:cs="宋体"/>
                <w:b w:val="0"/>
                <w:bCs w:val="0"/>
                <w:sz w:val="24"/>
                <w:szCs w:val="24"/>
                <w:highlight w:val="none"/>
                <w:u w:val="single"/>
              </w:rPr>
            </w:pPr>
            <w:r>
              <w:rPr>
                <w:rFonts w:hint="eastAsia" w:ascii="宋体" w:eastAsia="宋体"/>
                <w:b w:val="0"/>
                <w:bCs w:val="0"/>
                <w:sz w:val="24"/>
                <w:highlight w:val="none"/>
              </w:rPr>
              <w:t>（3）</w:t>
            </w:r>
            <w:r>
              <w:rPr>
                <w:rFonts w:ascii="宋体" w:eastAsia="宋体"/>
                <w:b w:val="0"/>
                <w:sz w:val="24"/>
                <w:highlight w:val="none"/>
              </w:rPr>
              <w:t>收费标准：</w:t>
            </w:r>
            <w:r>
              <w:rPr>
                <w:rFonts w:hint="eastAsia" w:ascii="宋体" w:eastAsia="宋体" w:cs="宋体"/>
                <w:b w:val="0"/>
                <w:bCs w:val="0"/>
                <w:sz w:val="24"/>
                <w:szCs w:val="24"/>
                <w:highlight w:val="none"/>
                <w:u w:val="single"/>
              </w:rPr>
              <w:t>若成交价在100-500万元内：代理费=100万元×1.125%+（成交价-100万元）×0.825%；若成交价低于100万，则代理费=成交价×1.5%。</w:t>
            </w:r>
          </w:p>
          <w:p>
            <w:pPr>
              <w:pStyle w:val="40"/>
              <w:widowControl w:val="0"/>
              <w:spacing w:before="0" w:beforeAutospacing="0" w:after="0" w:afterAutospacing="0" w:line="360" w:lineRule="auto"/>
              <w:jc w:val="both"/>
              <w:rPr>
                <w:rFonts w:ascii="宋体" w:eastAsia="宋体" w:cs="宋体"/>
                <w:b w:val="0"/>
                <w:bCs w:val="0"/>
                <w:sz w:val="24"/>
                <w:szCs w:val="24"/>
                <w:highlight w:val="none"/>
                <w:u w:val="single"/>
              </w:rPr>
            </w:pPr>
            <w:r>
              <w:rPr>
                <w:rFonts w:hint="eastAsia" w:ascii="宋体" w:eastAsia="宋体" w:cs="宋体"/>
                <w:b w:val="0"/>
                <w:bCs w:val="0"/>
                <w:sz w:val="24"/>
                <w:szCs w:val="24"/>
                <w:highlight w:val="none"/>
                <w:u w:val="single"/>
              </w:rPr>
              <w:t>（4）安徽安兆工程技术咨询服务有限公司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79" w:type="pct"/>
            <w:vAlign w:val="center"/>
          </w:tcPr>
          <w:p>
            <w:pPr>
              <w:pStyle w:val="41"/>
              <w:pBdr>
                <w:bottom w:val="none" w:color="auto" w:sz="0" w:space="0"/>
              </w:pBdr>
              <w:tabs>
                <w:tab w:val="clear" w:pos="4153"/>
                <w:tab w:val="clear" w:pos="8306"/>
              </w:tabs>
              <w:adjustRightInd/>
              <w:snapToGrid/>
              <w:spacing w:line="240" w:lineRule="auto"/>
              <w:textAlignment w:val="auto"/>
              <w:rPr>
                <w:rFonts w:ascii="宋体" w:eastAsia="宋体"/>
                <w:bCs/>
                <w:kern w:val="2"/>
                <w:highlight w:val="none"/>
              </w:rPr>
            </w:pPr>
            <w:r>
              <w:rPr>
                <w:rFonts w:hint="eastAsia" w:ascii="宋体" w:eastAsia="宋体"/>
                <w:bCs/>
                <w:kern w:val="2"/>
                <w:highlight w:val="none"/>
              </w:rPr>
              <w:t>31</w:t>
            </w:r>
            <w:r>
              <w:rPr>
                <w:rFonts w:ascii="宋体" w:eastAsia="宋体"/>
                <w:bCs/>
                <w:kern w:val="2"/>
                <w:highlight w:val="none"/>
              </w:rPr>
              <w:t>.</w:t>
            </w:r>
            <w:r>
              <w:rPr>
                <w:rFonts w:hint="eastAsia" w:ascii="宋体" w:eastAsia="宋体"/>
                <w:bCs/>
                <w:kern w:val="2"/>
                <w:highlight w:val="none"/>
              </w:rPr>
              <w:t>3</w:t>
            </w:r>
          </w:p>
        </w:tc>
        <w:tc>
          <w:tcPr>
            <w:tcW w:w="1174" w:type="pct"/>
            <w:vAlign w:val="center"/>
          </w:tcPr>
          <w:p>
            <w:pPr>
              <w:pStyle w:val="40"/>
              <w:widowControl w:val="0"/>
              <w:spacing w:before="0" w:beforeAutospacing="0" w:after="0" w:afterAutospacing="0" w:line="360" w:lineRule="auto"/>
              <w:jc w:val="both"/>
              <w:rPr>
                <w:rFonts w:ascii="宋体" w:eastAsia="宋体"/>
                <w:b w:val="0"/>
                <w:sz w:val="24"/>
                <w:highlight w:val="none"/>
              </w:rPr>
            </w:pPr>
            <w:r>
              <w:rPr>
                <w:rFonts w:hint="eastAsia" w:ascii="宋体" w:eastAsia="宋体"/>
                <w:b w:val="0"/>
                <w:sz w:val="24"/>
                <w:highlight w:val="none"/>
              </w:rPr>
              <w:t>质疑函递交方式、接收部门、联系电话和通讯地址</w:t>
            </w:r>
          </w:p>
        </w:tc>
        <w:tc>
          <w:tcPr>
            <w:tcW w:w="3246" w:type="pct"/>
            <w:vAlign w:val="center"/>
          </w:tcPr>
          <w:p>
            <w:pPr>
              <w:pStyle w:val="40"/>
              <w:widowControl w:val="0"/>
              <w:spacing w:before="0" w:beforeAutospacing="0" w:after="0" w:afterAutospacing="0" w:line="360" w:lineRule="auto"/>
              <w:jc w:val="left"/>
              <w:rPr>
                <w:rFonts w:ascii="宋体" w:eastAsia="宋体" w:cs="宋体"/>
                <w:b w:val="0"/>
                <w:sz w:val="24"/>
                <w:szCs w:val="24"/>
                <w:highlight w:val="none"/>
              </w:rPr>
            </w:pPr>
            <w:r>
              <w:rPr>
                <w:rFonts w:hint="eastAsia" w:ascii="宋体" w:eastAsia="宋体" w:cs="宋体"/>
                <w:b w:val="0"/>
                <w:sz w:val="24"/>
                <w:szCs w:val="24"/>
                <w:highlight w:val="none"/>
              </w:rPr>
              <w:t>提交方式：书面形式</w:t>
            </w:r>
          </w:p>
          <w:p>
            <w:pPr>
              <w:pStyle w:val="40"/>
              <w:widowControl w:val="0"/>
              <w:spacing w:before="0" w:beforeAutospacing="0" w:after="0" w:afterAutospacing="0" w:line="360" w:lineRule="auto"/>
              <w:jc w:val="left"/>
              <w:rPr>
                <w:rFonts w:ascii="宋体" w:eastAsia="宋体" w:cs="宋体"/>
                <w:b w:val="0"/>
                <w:bCs w:val="0"/>
                <w:sz w:val="24"/>
                <w:szCs w:val="24"/>
                <w:highlight w:val="none"/>
                <w:u w:val="single"/>
              </w:rPr>
            </w:pPr>
            <w:r>
              <w:rPr>
                <w:rFonts w:hint="eastAsia" w:ascii="宋体" w:eastAsia="宋体" w:cs="宋体"/>
                <w:b w:val="0"/>
                <w:sz w:val="24"/>
                <w:szCs w:val="24"/>
                <w:highlight w:val="none"/>
              </w:rPr>
              <w:t>接收部门：安徽安兆工程技术咨询服务有限公司</w:t>
            </w:r>
          </w:p>
          <w:p>
            <w:pPr>
              <w:pStyle w:val="40"/>
              <w:widowControl w:val="0"/>
              <w:spacing w:before="0" w:beforeAutospacing="0" w:after="0" w:afterAutospacing="0" w:line="360" w:lineRule="auto"/>
              <w:jc w:val="left"/>
              <w:rPr>
                <w:rFonts w:ascii="宋体" w:eastAsia="宋体" w:cs="宋体"/>
                <w:b w:val="0"/>
                <w:bCs w:val="0"/>
                <w:sz w:val="24"/>
                <w:szCs w:val="24"/>
                <w:highlight w:val="none"/>
                <w:u w:val="single"/>
              </w:rPr>
            </w:pPr>
            <w:r>
              <w:rPr>
                <w:rFonts w:hint="eastAsia" w:ascii="宋体" w:eastAsia="宋体" w:cs="宋体"/>
                <w:b w:val="0"/>
                <w:sz w:val="24"/>
                <w:szCs w:val="24"/>
                <w:highlight w:val="none"/>
              </w:rPr>
              <w:t>联系电话：0551-65707329</w:t>
            </w:r>
          </w:p>
          <w:p>
            <w:pPr>
              <w:pStyle w:val="40"/>
              <w:widowControl w:val="0"/>
              <w:spacing w:before="0" w:beforeAutospacing="0" w:after="0" w:afterAutospacing="0" w:line="360" w:lineRule="auto"/>
              <w:jc w:val="left"/>
              <w:rPr>
                <w:rFonts w:ascii="宋体" w:eastAsia="宋体" w:cs="宋体"/>
                <w:b w:val="0"/>
                <w:sz w:val="24"/>
                <w:szCs w:val="24"/>
                <w:highlight w:val="none"/>
              </w:rPr>
            </w:pPr>
            <w:r>
              <w:rPr>
                <w:rFonts w:hint="eastAsia" w:ascii="宋体" w:eastAsia="宋体" w:cs="宋体"/>
                <w:b w:val="0"/>
                <w:sz w:val="24"/>
                <w:szCs w:val="24"/>
                <w:highlight w:val="none"/>
              </w:rPr>
              <w:t>电子邮箱：ahaz7329@163.com</w:t>
            </w:r>
          </w:p>
          <w:p>
            <w:pPr>
              <w:pStyle w:val="40"/>
              <w:widowControl w:val="0"/>
              <w:spacing w:before="0" w:beforeAutospacing="0" w:after="0" w:afterAutospacing="0" w:line="360" w:lineRule="auto"/>
              <w:jc w:val="both"/>
              <w:rPr>
                <w:rFonts w:ascii="宋体" w:eastAsia="宋体"/>
                <w:b w:val="0"/>
                <w:sz w:val="24"/>
                <w:highlight w:val="none"/>
              </w:rPr>
            </w:pPr>
            <w:r>
              <w:rPr>
                <w:rFonts w:hint="eastAsia" w:ascii="宋体" w:eastAsia="宋体" w:cs="宋体"/>
                <w:b w:val="0"/>
                <w:sz w:val="24"/>
                <w:szCs w:val="24"/>
                <w:highlight w:val="none"/>
              </w:rPr>
              <w:t>通讯地址：合肥市包河区云谷路2588号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79" w:type="pct"/>
            <w:vAlign w:val="center"/>
          </w:tcPr>
          <w:p>
            <w:pPr>
              <w:pStyle w:val="41"/>
              <w:pBdr>
                <w:bottom w:val="none" w:color="auto" w:sz="0" w:space="0"/>
              </w:pBdr>
              <w:tabs>
                <w:tab w:val="clear" w:pos="4153"/>
                <w:tab w:val="clear" w:pos="8306"/>
              </w:tabs>
              <w:adjustRightInd/>
              <w:snapToGrid/>
              <w:spacing w:line="240" w:lineRule="auto"/>
              <w:textAlignment w:val="auto"/>
              <w:rPr>
                <w:rFonts w:ascii="宋体" w:eastAsia="宋体"/>
                <w:bCs/>
                <w:kern w:val="2"/>
                <w:highlight w:val="none"/>
              </w:rPr>
            </w:pPr>
            <w:r>
              <w:rPr>
                <w:rFonts w:hint="eastAsia" w:ascii="宋体" w:eastAsia="宋体"/>
                <w:bCs/>
                <w:kern w:val="2"/>
                <w:highlight w:val="none"/>
              </w:rPr>
              <w:t>32</w:t>
            </w:r>
          </w:p>
        </w:tc>
        <w:tc>
          <w:tcPr>
            <w:tcW w:w="1174" w:type="pct"/>
            <w:vAlign w:val="center"/>
          </w:tcPr>
          <w:p>
            <w:pPr>
              <w:pStyle w:val="40"/>
              <w:widowControl w:val="0"/>
              <w:spacing w:before="0" w:beforeAutospacing="0" w:after="0" w:afterAutospacing="0" w:line="360" w:lineRule="auto"/>
              <w:jc w:val="both"/>
              <w:rPr>
                <w:rFonts w:ascii="宋体" w:eastAsia="宋体"/>
                <w:b w:val="0"/>
                <w:sz w:val="24"/>
                <w:highlight w:val="none"/>
              </w:rPr>
            </w:pPr>
            <w:r>
              <w:rPr>
                <w:rFonts w:hint="eastAsia" w:ascii="宋体" w:eastAsia="宋体"/>
                <w:b w:val="0"/>
                <w:sz w:val="24"/>
                <w:highlight w:val="none"/>
              </w:rPr>
              <w:t>其他内容</w:t>
            </w:r>
          </w:p>
        </w:tc>
        <w:tc>
          <w:tcPr>
            <w:tcW w:w="3246" w:type="pct"/>
            <w:vAlign w:val="center"/>
          </w:tcPr>
          <w:p>
            <w:pPr>
              <w:pStyle w:val="40"/>
              <w:widowControl w:val="0"/>
              <w:spacing w:before="0" w:beforeAutospacing="0" w:after="0" w:afterAutospacing="0" w:line="360" w:lineRule="auto"/>
              <w:jc w:val="both"/>
              <w:rPr>
                <w:rFonts w:ascii="宋体" w:eastAsia="宋体"/>
                <w:b w:val="0"/>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79" w:type="pct"/>
            <w:vAlign w:val="center"/>
          </w:tcPr>
          <w:p>
            <w:pPr>
              <w:pStyle w:val="41"/>
              <w:pBdr>
                <w:bottom w:val="none" w:color="auto" w:sz="0" w:space="0"/>
              </w:pBdr>
              <w:tabs>
                <w:tab w:val="clear" w:pos="4153"/>
                <w:tab w:val="clear" w:pos="8306"/>
              </w:tabs>
              <w:adjustRightInd/>
              <w:snapToGrid/>
              <w:spacing w:line="240" w:lineRule="auto"/>
              <w:textAlignment w:val="auto"/>
              <w:rPr>
                <w:rFonts w:ascii="宋体" w:eastAsia="宋体"/>
                <w:bCs/>
                <w:kern w:val="2"/>
                <w:highlight w:val="none"/>
              </w:rPr>
            </w:pPr>
            <w:r>
              <w:rPr>
                <w:rFonts w:hint="eastAsia" w:ascii="宋体" w:eastAsia="宋体"/>
                <w:bCs/>
                <w:kern w:val="2"/>
                <w:highlight w:val="none"/>
              </w:rPr>
              <w:t>32.1</w:t>
            </w:r>
          </w:p>
        </w:tc>
        <w:tc>
          <w:tcPr>
            <w:tcW w:w="1174" w:type="pct"/>
            <w:vAlign w:val="center"/>
          </w:tcPr>
          <w:p>
            <w:pPr>
              <w:pStyle w:val="40"/>
              <w:widowControl w:val="0"/>
              <w:spacing w:before="0" w:beforeAutospacing="0" w:after="0" w:afterAutospacing="0" w:line="360" w:lineRule="auto"/>
              <w:jc w:val="both"/>
              <w:rPr>
                <w:rFonts w:ascii="宋体" w:eastAsia="宋体"/>
                <w:b w:val="0"/>
                <w:sz w:val="24"/>
                <w:highlight w:val="none"/>
              </w:rPr>
            </w:pPr>
            <w:r>
              <w:rPr>
                <w:rFonts w:hint="eastAsia" w:ascii="宋体" w:eastAsia="宋体"/>
                <w:b w:val="0"/>
                <w:sz w:val="24"/>
                <w:highlight w:val="none"/>
              </w:rPr>
              <w:t>补充</w:t>
            </w:r>
          </w:p>
        </w:tc>
        <w:tc>
          <w:tcPr>
            <w:tcW w:w="3246" w:type="pct"/>
            <w:vAlign w:val="center"/>
          </w:tcPr>
          <w:p>
            <w:pPr>
              <w:pStyle w:val="40"/>
              <w:widowControl w:val="0"/>
              <w:spacing w:before="0" w:beforeAutospacing="0" w:after="0" w:afterAutospacing="0" w:line="360" w:lineRule="auto"/>
              <w:jc w:val="both"/>
              <w:rPr>
                <w:rFonts w:ascii="宋体" w:eastAsia="宋体"/>
                <w:b w:val="0"/>
                <w:sz w:val="24"/>
                <w:highlight w:val="none"/>
              </w:rPr>
            </w:pPr>
            <w:r>
              <w:rPr>
                <w:rFonts w:hint="eastAsia" w:ascii="宋体" w:eastAsia="宋体"/>
                <w:b w:val="0"/>
                <w:sz w:val="24"/>
                <w:highlight w:val="none"/>
              </w:rPr>
              <w:t>1、解释权：</w:t>
            </w:r>
          </w:p>
          <w:p>
            <w:pPr>
              <w:spacing w:line="360" w:lineRule="auto"/>
              <w:rPr>
                <w:rFonts w:ascii="宋体" w:eastAsia="宋体"/>
                <w:bCs/>
                <w:sz w:val="24"/>
                <w:szCs w:val="24"/>
                <w:highlight w:val="none"/>
              </w:rPr>
            </w:pPr>
            <w:r>
              <w:rPr>
                <w:rFonts w:hint="eastAsia" w:ascii="宋体" w:eastAsia="宋体"/>
                <w:bCs/>
                <w:sz w:val="24"/>
                <w:szCs w:val="24"/>
                <w:highlight w:val="none"/>
              </w:rPr>
              <w:t>（1）</w:t>
            </w:r>
            <w:r>
              <w:rPr>
                <w:rFonts w:ascii="宋体" w:eastAsia="宋体"/>
                <w:bCs/>
                <w:sz w:val="24"/>
                <w:szCs w:val="24"/>
                <w:highlight w:val="none"/>
              </w:rPr>
              <w:t>构成本招标文件的各个组成文件应互为解释，互为说明；</w:t>
            </w:r>
          </w:p>
          <w:p>
            <w:pPr>
              <w:spacing w:line="360" w:lineRule="auto"/>
              <w:rPr>
                <w:rFonts w:ascii="宋体" w:eastAsia="宋体"/>
                <w:bCs/>
                <w:sz w:val="24"/>
                <w:szCs w:val="24"/>
                <w:highlight w:val="none"/>
              </w:rPr>
            </w:pPr>
            <w:r>
              <w:rPr>
                <w:rFonts w:hint="eastAsia" w:ascii="宋体" w:eastAsia="宋体"/>
                <w:bCs/>
                <w:sz w:val="24"/>
                <w:szCs w:val="24"/>
                <w:highlight w:val="none"/>
              </w:rPr>
              <w:t>（2）</w:t>
            </w:r>
            <w:r>
              <w:rPr>
                <w:rFonts w:ascii="宋体" w:eastAsia="宋体"/>
                <w:bCs/>
                <w:sz w:val="24"/>
                <w:szCs w:val="24"/>
                <w:highlight w:val="none"/>
              </w:rPr>
              <w:t>同一组成文件中就同一事项的规定或约定不一致的，以编排顺序在后者为准；</w:t>
            </w:r>
          </w:p>
          <w:p>
            <w:pPr>
              <w:spacing w:line="360" w:lineRule="auto"/>
              <w:rPr>
                <w:rFonts w:ascii="宋体" w:eastAsia="宋体"/>
                <w:bCs/>
                <w:sz w:val="24"/>
                <w:szCs w:val="24"/>
                <w:highlight w:val="none"/>
              </w:rPr>
            </w:pPr>
            <w:r>
              <w:rPr>
                <w:rFonts w:hint="eastAsia" w:ascii="宋体" w:eastAsia="宋体"/>
                <w:bCs/>
                <w:sz w:val="24"/>
                <w:szCs w:val="24"/>
                <w:highlight w:val="none"/>
              </w:rPr>
              <w:t>（3）</w:t>
            </w:r>
            <w:r>
              <w:rPr>
                <w:rFonts w:ascii="宋体" w:eastAsia="宋体"/>
                <w:bCs/>
                <w:sz w:val="24"/>
                <w:szCs w:val="24"/>
                <w:highlight w:val="none"/>
              </w:rPr>
              <w:t>如有不明确或不一致，构成合同文件组成内容的，以合同文件约定内容为准，且以专用合同条款约定的合同文件优先顺序解释；</w:t>
            </w:r>
          </w:p>
          <w:p>
            <w:pPr>
              <w:spacing w:line="360" w:lineRule="auto"/>
              <w:rPr>
                <w:rFonts w:ascii="宋体" w:eastAsia="宋体"/>
                <w:bCs/>
                <w:sz w:val="24"/>
                <w:szCs w:val="24"/>
                <w:highlight w:val="none"/>
              </w:rPr>
            </w:pPr>
            <w:r>
              <w:rPr>
                <w:rFonts w:hint="eastAsia" w:ascii="宋体" w:eastAsia="宋体"/>
                <w:bCs/>
                <w:sz w:val="24"/>
                <w:szCs w:val="24"/>
                <w:highlight w:val="none"/>
              </w:rPr>
              <w:t>（4）</w:t>
            </w:r>
            <w:r>
              <w:rPr>
                <w:rFonts w:ascii="宋体" w:eastAsia="宋体"/>
                <w:bCs/>
                <w:sz w:val="24"/>
                <w:szCs w:val="24"/>
                <w:highlight w:val="none"/>
              </w:rPr>
              <w:t>除招标文件中有特别规定外，仅适用于招标投标阶段的规定，按招标公告、</w:t>
            </w:r>
            <w:r>
              <w:rPr>
                <w:rFonts w:hint="eastAsia" w:ascii="宋体" w:eastAsia="宋体"/>
                <w:bCs/>
                <w:sz w:val="24"/>
                <w:szCs w:val="24"/>
                <w:highlight w:val="none"/>
              </w:rPr>
              <w:t>投标邀请、</w:t>
            </w:r>
            <w:r>
              <w:rPr>
                <w:rFonts w:ascii="宋体" w:eastAsia="宋体"/>
                <w:bCs/>
                <w:sz w:val="24"/>
                <w:szCs w:val="24"/>
                <w:highlight w:val="none"/>
              </w:rPr>
              <w:t>投标人须知、评标</w:t>
            </w:r>
            <w:r>
              <w:rPr>
                <w:rFonts w:hint="eastAsia" w:ascii="宋体" w:eastAsia="宋体"/>
                <w:bCs/>
                <w:sz w:val="24"/>
                <w:szCs w:val="24"/>
                <w:highlight w:val="none"/>
              </w:rPr>
              <w:t>方</w:t>
            </w:r>
            <w:r>
              <w:rPr>
                <w:rFonts w:ascii="宋体" w:eastAsia="宋体"/>
                <w:bCs/>
                <w:sz w:val="24"/>
                <w:szCs w:val="24"/>
                <w:highlight w:val="none"/>
              </w:rPr>
              <w:t>法</w:t>
            </w:r>
            <w:r>
              <w:rPr>
                <w:rFonts w:hint="eastAsia" w:ascii="宋体" w:eastAsia="宋体"/>
                <w:bCs/>
                <w:sz w:val="24"/>
                <w:szCs w:val="24"/>
                <w:highlight w:val="none"/>
              </w:rPr>
              <w:t>和标准</w:t>
            </w:r>
            <w:r>
              <w:rPr>
                <w:rFonts w:ascii="宋体" w:eastAsia="宋体"/>
                <w:bCs/>
                <w:sz w:val="24"/>
                <w:szCs w:val="24"/>
                <w:highlight w:val="none"/>
              </w:rPr>
              <w:t>、投标文件格式的先后顺序解释；</w:t>
            </w:r>
          </w:p>
          <w:p>
            <w:pPr>
              <w:pStyle w:val="40"/>
              <w:widowControl w:val="0"/>
              <w:spacing w:before="0" w:beforeAutospacing="0" w:after="0" w:afterAutospacing="0" w:line="360" w:lineRule="auto"/>
              <w:jc w:val="both"/>
              <w:rPr>
                <w:rFonts w:ascii="宋体" w:eastAsia="宋体"/>
                <w:b w:val="0"/>
                <w:kern w:val="2"/>
                <w:sz w:val="24"/>
                <w:szCs w:val="24"/>
                <w:highlight w:val="none"/>
              </w:rPr>
            </w:pPr>
            <w:r>
              <w:rPr>
                <w:rFonts w:hint="eastAsia" w:ascii="宋体" w:eastAsia="宋体"/>
                <w:b w:val="0"/>
                <w:kern w:val="2"/>
                <w:sz w:val="24"/>
                <w:szCs w:val="24"/>
                <w:highlight w:val="none"/>
              </w:rPr>
              <w:t>（5）</w:t>
            </w:r>
            <w:r>
              <w:rPr>
                <w:rFonts w:ascii="宋体" w:eastAsia="宋体"/>
                <w:b w:val="0"/>
                <w:kern w:val="2"/>
                <w:sz w:val="24"/>
                <w:szCs w:val="24"/>
                <w:highlight w:val="none"/>
              </w:rPr>
              <w:t>按本款前述规定仍不能形成结论的，由</w:t>
            </w:r>
            <w:r>
              <w:rPr>
                <w:rFonts w:hint="eastAsia" w:ascii="宋体" w:eastAsia="宋体"/>
                <w:b w:val="0"/>
                <w:kern w:val="2"/>
                <w:sz w:val="24"/>
                <w:szCs w:val="24"/>
                <w:highlight w:val="none"/>
              </w:rPr>
              <w:t>采购</w:t>
            </w:r>
            <w:r>
              <w:rPr>
                <w:rFonts w:ascii="宋体" w:eastAsia="宋体"/>
                <w:b w:val="0"/>
                <w:kern w:val="2"/>
                <w:sz w:val="24"/>
                <w:szCs w:val="24"/>
                <w:highlight w:val="none"/>
              </w:rPr>
              <w:t>人负责解释。</w:t>
            </w:r>
          </w:p>
          <w:p>
            <w:pPr>
              <w:spacing w:line="360" w:lineRule="auto"/>
              <w:rPr>
                <w:rFonts w:ascii="宋体" w:eastAsia="宋体"/>
                <w:bCs/>
                <w:sz w:val="24"/>
                <w:szCs w:val="24"/>
                <w:highlight w:val="none"/>
              </w:rPr>
            </w:pPr>
            <w:r>
              <w:rPr>
                <w:rFonts w:hint="eastAsia" w:ascii="宋体" w:eastAsia="宋体"/>
                <w:bCs/>
                <w:sz w:val="24"/>
                <w:szCs w:val="24"/>
                <w:highlight w:val="none"/>
              </w:rPr>
              <w:t>2、“政采贷”融资指引：有融资需求的</w:t>
            </w:r>
            <w:r>
              <w:rPr>
                <w:rFonts w:hint="eastAsia" w:ascii="宋体" w:eastAsia="宋体" w:cs="宋体"/>
                <w:sz w:val="24"/>
                <w:szCs w:val="24"/>
                <w:highlight w:val="none"/>
              </w:rPr>
              <w:t>中</w:t>
            </w:r>
            <w:r>
              <w:rPr>
                <w:rFonts w:ascii="宋体" w:eastAsia="宋体" w:cs="宋体"/>
                <w:sz w:val="24"/>
                <w:szCs w:val="24"/>
                <w:highlight w:val="none"/>
              </w:rPr>
              <w:t>标人</w:t>
            </w:r>
            <w:r>
              <w:rPr>
                <w:rFonts w:hint="eastAsia" w:ascii="宋体" w:eastAsia="宋体"/>
                <w:bCs/>
                <w:sz w:val="24"/>
                <w:szCs w:val="24"/>
                <w:highlight w:val="none"/>
              </w:rPr>
              <w:t>在取得政府采购中标或成交通知书后，可访问安徽省政府采购网“政采贷”栏目，查看和联系第三方平台或者金融机构，商洽融资事项，确定融资意向。</w:t>
            </w:r>
            <w:r>
              <w:rPr>
                <w:rFonts w:hint="eastAsia" w:ascii="宋体" w:eastAsia="宋体" w:cs="宋体"/>
                <w:sz w:val="24"/>
                <w:szCs w:val="24"/>
                <w:highlight w:val="none"/>
              </w:rPr>
              <w:t>中</w:t>
            </w:r>
            <w:r>
              <w:rPr>
                <w:rFonts w:ascii="宋体" w:eastAsia="宋体" w:cs="宋体"/>
                <w:sz w:val="24"/>
                <w:szCs w:val="24"/>
                <w:highlight w:val="none"/>
              </w:rPr>
              <w:t>标人</w:t>
            </w:r>
            <w:r>
              <w:rPr>
                <w:rFonts w:hint="eastAsia" w:ascii="宋体" w:eastAsia="宋体"/>
                <w:bCs/>
                <w:sz w:val="24"/>
                <w:szCs w:val="24"/>
                <w:highlight w:val="none"/>
              </w:rPr>
              <w:t>签署政府采购中标（成交）合同后，登录“徽采云”金融服务模块，选择意向产品进行申请，并填写相关信息，“徽采云”金融服务模块将</w:t>
            </w:r>
            <w:r>
              <w:rPr>
                <w:rFonts w:hint="eastAsia" w:ascii="宋体" w:eastAsia="宋体" w:cs="宋体"/>
                <w:sz w:val="24"/>
                <w:szCs w:val="24"/>
                <w:highlight w:val="none"/>
              </w:rPr>
              <w:t>中</w:t>
            </w:r>
            <w:r>
              <w:rPr>
                <w:rFonts w:ascii="宋体" w:eastAsia="宋体" w:cs="宋体"/>
                <w:sz w:val="24"/>
                <w:szCs w:val="24"/>
                <w:highlight w:val="none"/>
              </w:rPr>
              <w:t>标人</w:t>
            </w:r>
            <w:r>
              <w:rPr>
                <w:rFonts w:hint="eastAsia" w:ascii="宋体" w:eastAsia="宋体"/>
                <w:bCs/>
                <w:sz w:val="24"/>
                <w:szCs w:val="24"/>
                <w:highlight w:val="none"/>
              </w:rPr>
              <w:t>融资申请信息推送第三方平台、意向金融机构。</w:t>
            </w:r>
          </w:p>
          <w:p>
            <w:pPr>
              <w:pStyle w:val="40"/>
              <w:widowControl w:val="0"/>
              <w:spacing w:before="0" w:beforeAutospacing="0" w:after="0" w:afterAutospacing="0" w:line="360" w:lineRule="auto"/>
              <w:jc w:val="both"/>
              <w:rPr>
                <w:rFonts w:ascii="宋体" w:eastAsia="宋体"/>
                <w:b w:val="0"/>
                <w:kern w:val="2"/>
                <w:sz w:val="24"/>
                <w:szCs w:val="24"/>
                <w:highlight w:val="none"/>
              </w:rPr>
            </w:pPr>
            <w:r>
              <w:rPr>
                <w:rFonts w:hint="eastAsia" w:ascii="宋体" w:eastAsia="宋体"/>
                <w:b w:val="0"/>
                <w:kern w:val="2"/>
                <w:sz w:val="24"/>
                <w:szCs w:val="24"/>
                <w:highlight w:val="none"/>
              </w:rPr>
              <w:t>3、电子保函指引：中标人可访问安徽省政府采购网“融资/保函”栏目，申请办理电子保函（包括：履约保函、预付款保函）。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79" w:type="pct"/>
            <w:vAlign w:val="center"/>
          </w:tcPr>
          <w:p>
            <w:pPr>
              <w:pStyle w:val="41"/>
              <w:pBdr>
                <w:bottom w:val="none" w:color="auto" w:sz="0" w:space="0"/>
              </w:pBdr>
              <w:tabs>
                <w:tab w:val="clear" w:pos="4153"/>
                <w:tab w:val="clear" w:pos="8306"/>
              </w:tabs>
              <w:adjustRightInd/>
              <w:snapToGrid/>
              <w:spacing w:line="240" w:lineRule="auto"/>
              <w:textAlignment w:val="auto"/>
              <w:rPr>
                <w:rFonts w:ascii="宋体" w:eastAsia="宋体"/>
                <w:bCs/>
                <w:kern w:val="2"/>
                <w:highlight w:val="none"/>
              </w:rPr>
            </w:pPr>
            <w:r>
              <w:rPr>
                <w:rFonts w:hint="eastAsia" w:ascii="宋体" w:eastAsia="宋体"/>
                <w:bCs/>
                <w:kern w:val="2"/>
                <w:highlight w:val="none"/>
              </w:rPr>
              <w:t>32.2</w:t>
            </w:r>
          </w:p>
        </w:tc>
        <w:tc>
          <w:tcPr>
            <w:tcW w:w="1174" w:type="pct"/>
            <w:vAlign w:val="center"/>
          </w:tcPr>
          <w:p>
            <w:pPr>
              <w:pStyle w:val="40"/>
              <w:widowControl w:val="0"/>
              <w:spacing w:before="0" w:beforeAutospacing="0" w:after="0" w:afterAutospacing="0" w:line="360" w:lineRule="auto"/>
              <w:jc w:val="both"/>
              <w:rPr>
                <w:rFonts w:ascii="宋体" w:eastAsia="宋体"/>
                <w:b w:val="0"/>
                <w:sz w:val="24"/>
                <w:highlight w:val="none"/>
              </w:rPr>
            </w:pPr>
            <w:r>
              <w:rPr>
                <w:rFonts w:hint="eastAsia" w:ascii="宋体" w:eastAsia="宋体"/>
                <w:b w:val="0"/>
                <w:kern w:val="2"/>
                <w:sz w:val="24"/>
                <w:szCs w:val="24"/>
                <w:highlight w:val="none"/>
              </w:rPr>
              <w:t>社保证明材料（如有）</w:t>
            </w:r>
          </w:p>
        </w:tc>
        <w:tc>
          <w:tcPr>
            <w:tcW w:w="3246" w:type="pct"/>
            <w:vAlign w:val="center"/>
          </w:tcPr>
          <w:p>
            <w:pPr>
              <w:pStyle w:val="40"/>
              <w:widowControl w:val="0"/>
              <w:spacing w:before="0" w:beforeAutospacing="0" w:after="0" w:afterAutospacing="0" w:line="360" w:lineRule="auto"/>
              <w:jc w:val="left"/>
              <w:rPr>
                <w:rFonts w:ascii="宋体" w:eastAsia="宋体" w:cs="宋体"/>
                <w:b w:val="0"/>
                <w:sz w:val="24"/>
                <w:szCs w:val="24"/>
                <w:highlight w:val="none"/>
              </w:rPr>
            </w:pPr>
            <w:r>
              <w:rPr>
                <w:rFonts w:hint="eastAsia" w:ascii="宋体" w:eastAsia="宋体" w:cs="宋体"/>
                <w:b w:val="0"/>
                <w:sz w:val="24"/>
                <w:szCs w:val="24"/>
                <w:highlight w:val="none"/>
              </w:rPr>
              <w:t>本项目招标文件中要求提供的社保证明材料为下述形式之一：</w:t>
            </w:r>
          </w:p>
          <w:p>
            <w:pPr>
              <w:pStyle w:val="40"/>
              <w:widowControl w:val="0"/>
              <w:spacing w:before="0" w:beforeAutospacing="0" w:after="0" w:afterAutospacing="0" w:line="360" w:lineRule="auto"/>
              <w:jc w:val="left"/>
              <w:rPr>
                <w:rFonts w:ascii="宋体" w:eastAsia="宋体" w:cs="宋体"/>
                <w:b w:val="0"/>
                <w:sz w:val="24"/>
                <w:szCs w:val="24"/>
                <w:highlight w:val="none"/>
              </w:rPr>
            </w:pPr>
            <w:r>
              <w:rPr>
                <w:rFonts w:hint="eastAsia" w:ascii="宋体" w:eastAsia="宋体" w:cs="宋体"/>
                <w:b w:val="0"/>
                <w:sz w:val="24"/>
                <w:szCs w:val="24"/>
                <w:highlight w:val="none"/>
              </w:rPr>
              <w:t>（1）社保局官方网站查询的缴费记录截图；</w:t>
            </w:r>
          </w:p>
          <w:p>
            <w:pPr>
              <w:pStyle w:val="40"/>
              <w:widowControl w:val="0"/>
              <w:spacing w:before="0" w:beforeAutospacing="0" w:after="0" w:afterAutospacing="0" w:line="360" w:lineRule="auto"/>
              <w:jc w:val="left"/>
              <w:rPr>
                <w:rFonts w:ascii="宋体" w:eastAsia="宋体" w:cs="宋体"/>
                <w:b w:val="0"/>
                <w:sz w:val="24"/>
                <w:szCs w:val="24"/>
                <w:highlight w:val="none"/>
              </w:rPr>
            </w:pPr>
            <w:r>
              <w:rPr>
                <w:rFonts w:hint="eastAsia" w:ascii="宋体" w:eastAsia="宋体" w:cs="宋体"/>
                <w:b w:val="0"/>
                <w:sz w:val="24"/>
                <w:szCs w:val="24"/>
                <w:highlight w:val="none"/>
              </w:rPr>
              <w:t>（2）社保局的书面证明材料；</w:t>
            </w:r>
          </w:p>
          <w:p>
            <w:pPr>
              <w:pStyle w:val="40"/>
              <w:widowControl w:val="0"/>
              <w:spacing w:before="0" w:beforeAutospacing="0" w:after="0" w:afterAutospacing="0" w:line="360" w:lineRule="auto"/>
              <w:jc w:val="left"/>
              <w:rPr>
                <w:rFonts w:ascii="宋体" w:eastAsia="宋体" w:cs="宋体"/>
                <w:b w:val="0"/>
                <w:sz w:val="24"/>
                <w:szCs w:val="24"/>
                <w:highlight w:val="none"/>
              </w:rPr>
            </w:pPr>
            <w:r>
              <w:rPr>
                <w:rFonts w:hint="eastAsia" w:ascii="宋体" w:eastAsia="宋体" w:cs="宋体"/>
                <w:b w:val="0"/>
                <w:sz w:val="24"/>
                <w:szCs w:val="24"/>
                <w:highlight w:val="none"/>
              </w:rPr>
              <w:t>（3）经投标人委托的第三方人力资源服务机构或与投标人有直接隶属关系的机构可以代缴社保，但须提供有关证明材料并经评标委员会确认。</w:t>
            </w:r>
          </w:p>
          <w:p>
            <w:pPr>
              <w:pStyle w:val="40"/>
              <w:widowControl w:val="0"/>
              <w:spacing w:before="0" w:beforeAutospacing="0" w:after="0" w:afterAutospacing="0" w:line="360" w:lineRule="auto"/>
              <w:jc w:val="left"/>
              <w:rPr>
                <w:rFonts w:ascii="宋体" w:eastAsia="宋体" w:cs="宋体"/>
                <w:b w:val="0"/>
                <w:sz w:val="24"/>
                <w:szCs w:val="24"/>
                <w:highlight w:val="none"/>
              </w:rPr>
            </w:pPr>
            <w:r>
              <w:rPr>
                <w:rFonts w:hint="eastAsia" w:ascii="宋体" w:eastAsia="宋体" w:cs="宋体"/>
                <w:b w:val="0"/>
                <w:sz w:val="24"/>
                <w:szCs w:val="24"/>
                <w:highlight w:val="none"/>
              </w:rPr>
              <w:t>（4）参与投标的院校，社保证明可以用以下任意一种：</w:t>
            </w:r>
          </w:p>
          <w:p>
            <w:pPr>
              <w:pStyle w:val="40"/>
              <w:widowControl w:val="0"/>
              <w:spacing w:before="0" w:beforeAutospacing="0" w:after="0" w:afterAutospacing="0" w:line="360" w:lineRule="auto"/>
              <w:jc w:val="left"/>
              <w:rPr>
                <w:rFonts w:ascii="宋体" w:eastAsia="宋体" w:cs="宋体"/>
                <w:b w:val="0"/>
                <w:sz w:val="24"/>
                <w:szCs w:val="24"/>
                <w:highlight w:val="none"/>
              </w:rPr>
            </w:pPr>
            <w:r>
              <w:rPr>
                <w:rFonts w:hint="eastAsia" w:ascii="宋体" w:eastAsia="宋体" w:cs="宋体"/>
                <w:b w:val="0"/>
                <w:sz w:val="24"/>
                <w:szCs w:val="24"/>
                <w:highlight w:val="none"/>
              </w:rPr>
              <w:t>①加盖投标人公章的教师证（须为本单位人员）；</w:t>
            </w:r>
          </w:p>
          <w:p>
            <w:pPr>
              <w:pStyle w:val="40"/>
              <w:widowControl w:val="0"/>
              <w:spacing w:before="0" w:beforeAutospacing="0" w:after="0" w:afterAutospacing="0" w:line="360" w:lineRule="auto"/>
              <w:jc w:val="left"/>
              <w:rPr>
                <w:rFonts w:ascii="宋体" w:eastAsia="宋体" w:cs="宋体"/>
                <w:b w:val="0"/>
                <w:sz w:val="24"/>
                <w:szCs w:val="24"/>
                <w:highlight w:val="none"/>
              </w:rPr>
            </w:pPr>
            <w:r>
              <w:rPr>
                <w:rFonts w:hint="eastAsia" w:ascii="宋体" w:eastAsia="宋体" w:cs="宋体"/>
                <w:b w:val="0"/>
                <w:sz w:val="24"/>
                <w:szCs w:val="24"/>
                <w:highlight w:val="none"/>
              </w:rPr>
              <w:t>②医保证明材料。</w:t>
            </w:r>
          </w:p>
          <w:p>
            <w:pPr>
              <w:pStyle w:val="40"/>
              <w:widowControl w:val="0"/>
              <w:spacing w:before="0" w:beforeAutospacing="0" w:after="0" w:afterAutospacing="0" w:line="360" w:lineRule="auto"/>
              <w:jc w:val="left"/>
              <w:rPr>
                <w:rFonts w:ascii="宋体" w:eastAsia="宋体" w:cs="宋体"/>
                <w:b w:val="0"/>
                <w:sz w:val="24"/>
                <w:szCs w:val="24"/>
                <w:highlight w:val="none"/>
              </w:rPr>
            </w:pPr>
            <w:r>
              <w:rPr>
                <w:rFonts w:hint="eastAsia" w:ascii="宋体" w:eastAsia="宋体" w:cs="宋体"/>
                <w:b w:val="0"/>
                <w:sz w:val="24"/>
                <w:szCs w:val="24"/>
                <w:highlight w:val="none"/>
              </w:rPr>
              <w:t>（5）其他经评标委员会认可的证明材料。</w:t>
            </w:r>
          </w:p>
          <w:p>
            <w:pPr>
              <w:pStyle w:val="40"/>
              <w:widowControl w:val="0"/>
              <w:spacing w:before="0" w:beforeAutospacing="0" w:after="0" w:afterAutospacing="0" w:line="360" w:lineRule="auto"/>
              <w:jc w:val="both"/>
              <w:rPr>
                <w:rFonts w:ascii="宋体" w:eastAsia="宋体"/>
                <w:b w:val="0"/>
                <w:kern w:val="2"/>
                <w:sz w:val="24"/>
                <w:szCs w:val="24"/>
                <w:highlight w:val="none"/>
              </w:rPr>
            </w:pPr>
            <w:r>
              <w:rPr>
                <w:rFonts w:hint="eastAsia" w:ascii="宋体" w:eastAsia="宋体" w:cs="宋体"/>
                <w:b w:val="0"/>
                <w:sz w:val="24"/>
                <w:szCs w:val="24"/>
                <w:highlight w:val="none"/>
              </w:rPr>
              <w:t>（6）法定代表人参与项目的，无需提供社保证明材料，提供身份证明材料即可。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79" w:type="pct"/>
            <w:vAlign w:val="center"/>
          </w:tcPr>
          <w:p>
            <w:pPr>
              <w:pStyle w:val="41"/>
              <w:pBdr>
                <w:bottom w:val="none" w:color="auto" w:sz="0" w:space="0"/>
              </w:pBdr>
              <w:tabs>
                <w:tab w:val="clear" w:pos="4153"/>
                <w:tab w:val="clear" w:pos="8306"/>
              </w:tabs>
              <w:adjustRightInd/>
              <w:snapToGrid/>
              <w:spacing w:line="240" w:lineRule="auto"/>
              <w:textAlignment w:val="auto"/>
              <w:rPr>
                <w:rFonts w:ascii="宋体" w:eastAsia="宋体"/>
                <w:bCs/>
                <w:kern w:val="2"/>
                <w:highlight w:val="none"/>
              </w:rPr>
            </w:pPr>
            <w:r>
              <w:rPr>
                <w:rFonts w:hint="eastAsia" w:ascii="宋体" w:eastAsia="宋体"/>
                <w:bCs/>
                <w:kern w:val="2"/>
                <w:highlight w:val="none"/>
              </w:rPr>
              <w:t>32.3</w:t>
            </w:r>
          </w:p>
        </w:tc>
        <w:tc>
          <w:tcPr>
            <w:tcW w:w="1174" w:type="pct"/>
            <w:vAlign w:val="center"/>
          </w:tcPr>
          <w:p>
            <w:pPr>
              <w:pStyle w:val="40"/>
              <w:widowControl w:val="0"/>
              <w:spacing w:before="0" w:beforeAutospacing="0" w:after="0" w:afterAutospacing="0" w:line="360" w:lineRule="auto"/>
              <w:rPr>
                <w:rFonts w:ascii="宋体" w:eastAsia="宋体" w:cs="宋体"/>
                <w:b w:val="0"/>
                <w:sz w:val="24"/>
                <w:szCs w:val="24"/>
                <w:highlight w:val="none"/>
              </w:rPr>
            </w:pPr>
            <w:r>
              <w:rPr>
                <w:rFonts w:hint="eastAsia" w:ascii="宋体" w:eastAsia="宋体" w:cs="宋体"/>
                <w:b w:val="0"/>
                <w:sz w:val="24"/>
                <w:szCs w:val="24"/>
                <w:highlight w:val="none"/>
              </w:rPr>
              <w:t>重要提示</w:t>
            </w:r>
          </w:p>
        </w:tc>
        <w:tc>
          <w:tcPr>
            <w:tcW w:w="3246" w:type="pct"/>
            <w:vAlign w:val="center"/>
          </w:tcPr>
          <w:p>
            <w:pPr>
              <w:spacing w:line="360" w:lineRule="auto"/>
              <w:rPr>
                <w:rFonts w:ascii="宋体" w:eastAsia="宋体" w:cs="宋体"/>
                <w:bCs/>
                <w:sz w:val="24"/>
                <w:szCs w:val="24"/>
                <w:highlight w:val="none"/>
              </w:rPr>
            </w:pPr>
            <w:r>
              <w:rPr>
                <w:rFonts w:hint="eastAsia" w:ascii="宋体" w:eastAsia="宋体" w:cs="宋体"/>
                <w:bCs/>
                <w:sz w:val="24"/>
                <w:szCs w:val="24"/>
                <w:highlight w:val="none"/>
              </w:rPr>
              <w:t>1.中标人应在规定期限内领取《中标通知书》，若中标人未在规定期限内领取《中标通知书》，采购人有权取消中标人中标资格，并将相关违约行为报送监管部门，实施信用惩戒；</w:t>
            </w:r>
          </w:p>
          <w:p>
            <w:pPr>
              <w:spacing w:line="360" w:lineRule="auto"/>
              <w:rPr>
                <w:rFonts w:ascii="宋体" w:eastAsia="宋体" w:cs="宋体"/>
                <w:bCs/>
                <w:sz w:val="24"/>
                <w:szCs w:val="24"/>
                <w:highlight w:val="none"/>
              </w:rPr>
            </w:pPr>
            <w:r>
              <w:rPr>
                <w:rFonts w:hint="eastAsia" w:ascii="宋体" w:eastAsia="宋体" w:cs="宋体"/>
                <w:bCs/>
                <w:sz w:val="24"/>
                <w:szCs w:val="24"/>
                <w:highlight w:val="none"/>
              </w:rPr>
              <w:t>2.中标人应在规定期限内提交履约担保并与采购人签订合同，若中标人未能在规定期限内提交履约担保或签订合同，采购人有权取消中标人中标资格，并将相关违约行为报送监管部门，实施信用惩戒；</w:t>
            </w:r>
          </w:p>
          <w:p>
            <w:pPr>
              <w:spacing w:line="360" w:lineRule="auto"/>
              <w:rPr>
                <w:rFonts w:ascii="宋体" w:eastAsia="宋体" w:cs="宋体"/>
                <w:bCs/>
                <w:sz w:val="24"/>
                <w:szCs w:val="24"/>
                <w:highlight w:val="none"/>
              </w:rPr>
            </w:pPr>
            <w:r>
              <w:rPr>
                <w:rFonts w:hint="eastAsia" w:ascii="宋体" w:eastAsia="宋体" w:cs="宋体"/>
                <w:bCs/>
                <w:sz w:val="24"/>
                <w:szCs w:val="24"/>
                <w:highlight w:val="none"/>
              </w:rPr>
              <w:t>3.合同签订后，中标人存在规定时间内不组织人员进场开工，不履行供货、安装或服务义务等情况，采购人有权解除合同，并追究违约责任，同时将相关违约行为报送监管部门，记不良行为记录，实施信用惩戒；</w:t>
            </w:r>
          </w:p>
          <w:p>
            <w:pPr>
              <w:spacing w:line="360" w:lineRule="auto"/>
              <w:rPr>
                <w:rFonts w:ascii="宋体" w:eastAsia="宋体" w:cs="宋体"/>
                <w:bCs/>
                <w:sz w:val="24"/>
                <w:szCs w:val="24"/>
                <w:highlight w:val="none"/>
              </w:rPr>
            </w:pPr>
            <w:r>
              <w:rPr>
                <w:rFonts w:hint="eastAsia" w:ascii="宋体" w:eastAsia="宋体" w:cs="宋体"/>
                <w:bCs/>
                <w:sz w:val="24"/>
                <w:szCs w:val="24"/>
                <w:highlight w:val="none"/>
              </w:rPr>
              <w:t>4.中标人中标后被监管部门查实存在违法行为，不满足中标条件的或经查实不具备供应商参加政府采购活动应当具备的法定条件，或要求的特殊资格的，由采购人取消中标资格或有权解除合同（并做好项目后续工作），并追究其法律责任。</w:t>
            </w:r>
          </w:p>
          <w:p>
            <w:pPr>
              <w:spacing w:line="360" w:lineRule="auto"/>
              <w:rPr>
                <w:rFonts w:ascii="宋体" w:eastAsia="宋体" w:cs="宋体"/>
                <w:sz w:val="24"/>
                <w:szCs w:val="24"/>
                <w:highlight w:val="none"/>
              </w:rPr>
            </w:pPr>
            <w:r>
              <w:rPr>
                <w:rFonts w:hint="eastAsia" w:ascii="宋体" w:eastAsia="宋体" w:cs="宋体"/>
                <w:bCs/>
                <w:sz w:val="24"/>
                <w:szCs w:val="24"/>
                <w:highlight w:val="none"/>
              </w:rPr>
              <w:t>5.中标人在中标项目发生投诉、信访举报案件、履约存在争议时，拒绝协助配合执法部门调查案件的，采购人可以取消其中标资格或解除合同，并追究其违约责任。</w:t>
            </w:r>
          </w:p>
        </w:tc>
      </w:tr>
    </w:tbl>
    <w:p>
      <w:pPr>
        <w:spacing w:line="360" w:lineRule="auto"/>
        <w:jc w:val="center"/>
        <w:outlineLvl w:val="1"/>
        <w:rPr>
          <w:rFonts w:ascii="宋体" w:eastAsia="宋体"/>
          <w:b/>
          <w:sz w:val="24"/>
          <w:highlight w:val="none"/>
        </w:rPr>
      </w:pPr>
      <w:r>
        <w:rPr>
          <w:rFonts w:ascii="宋体" w:eastAsia="宋体"/>
          <w:b/>
          <w:sz w:val="28"/>
          <w:highlight w:val="none"/>
        </w:rPr>
        <w:br w:type="page"/>
      </w:r>
      <w:bookmarkStart w:id="48" w:name="_Toc24882"/>
      <w:bookmarkStart w:id="49" w:name="_Toc30227"/>
      <w:bookmarkStart w:id="50" w:name="_Toc14880"/>
      <w:r>
        <w:rPr>
          <w:rFonts w:hint="eastAsia" w:ascii="宋体" w:eastAsia="宋体"/>
          <w:b/>
          <w:sz w:val="24"/>
          <w:szCs w:val="24"/>
          <w:highlight w:val="none"/>
        </w:rPr>
        <w:t>二、</w:t>
      </w:r>
      <w:r>
        <w:rPr>
          <w:rFonts w:ascii="宋体" w:eastAsia="宋体"/>
          <w:b/>
          <w:sz w:val="24"/>
          <w:szCs w:val="24"/>
          <w:highlight w:val="none"/>
        </w:rPr>
        <w:t>投标人须知</w:t>
      </w:r>
      <w:r>
        <w:rPr>
          <w:rFonts w:hint="eastAsia" w:ascii="宋体" w:eastAsia="宋体"/>
          <w:b/>
          <w:sz w:val="24"/>
          <w:szCs w:val="24"/>
          <w:highlight w:val="none"/>
        </w:rPr>
        <w:t>正文</w:t>
      </w:r>
      <w:bookmarkEnd w:id="48"/>
      <w:bookmarkEnd w:id="49"/>
      <w:bookmarkEnd w:id="50"/>
    </w:p>
    <w:p>
      <w:pPr>
        <w:spacing w:line="360" w:lineRule="auto"/>
        <w:ind w:firstLine="437"/>
        <w:outlineLvl w:val="2"/>
        <w:rPr>
          <w:rFonts w:ascii="宋体" w:eastAsia="宋体"/>
          <w:b/>
          <w:sz w:val="24"/>
          <w:highlight w:val="none"/>
        </w:rPr>
      </w:pPr>
      <w:r>
        <w:rPr>
          <w:rFonts w:hint="eastAsia" w:ascii="宋体" w:eastAsia="宋体"/>
          <w:b/>
          <w:sz w:val="24"/>
          <w:highlight w:val="none"/>
        </w:rPr>
        <w:t>1.采购人、采购代理机构及投标人</w:t>
      </w:r>
    </w:p>
    <w:p>
      <w:pPr>
        <w:spacing w:line="360" w:lineRule="auto"/>
        <w:ind w:firstLine="435"/>
        <w:rPr>
          <w:rFonts w:ascii="宋体" w:eastAsia="宋体"/>
          <w:sz w:val="24"/>
          <w:highlight w:val="none"/>
        </w:rPr>
      </w:pPr>
      <w:r>
        <w:rPr>
          <w:rFonts w:hint="eastAsia" w:ascii="宋体" w:eastAsia="宋体"/>
          <w:sz w:val="24"/>
          <w:highlight w:val="none"/>
        </w:rPr>
        <w:t>1</w:t>
      </w:r>
      <w:r>
        <w:rPr>
          <w:rFonts w:ascii="宋体" w:eastAsia="宋体"/>
          <w:sz w:val="24"/>
          <w:highlight w:val="none"/>
        </w:rPr>
        <w:t>.1采购人：是指依法开展政府采购活动的国家机关、事业单位、团体组织。</w:t>
      </w:r>
    </w:p>
    <w:p>
      <w:pPr>
        <w:spacing w:line="360" w:lineRule="auto"/>
        <w:ind w:firstLine="435"/>
        <w:rPr>
          <w:rFonts w:ascii="宋体" w:eastAsia="宋体"/>
          <w:sz w:val="24"/>
          <w:highlight w:val="none"/>
        </w:rPr>
      </w:pPr>
      <w:r>
        <w:rPr>
          <w:rFonts w:hint="eastAsia" w:ascii="宋体" w:eastAsia="宋体"/>
          <w:sz w:val="24"/>
          <w:highlight w:val="none"/>
        </w:rPr>
        <w:t>1</w:t>
      </w:r>
      <w:r>
        <w:rPr>
          <w:rFonts w:ascii="宋体" w:eastAsia="宋体"/>
          <w:sz w:val="24"/>
          <w:highlight w:val="none"/>
        </w:rPr>
        <w:t>.2采购代理机构：是指集中采购机构或从事采购代理业务的社会中介机构。</w:t>
      </w:r>
    </w:p>
    <w:p>
      <w:pPr>
        <w:spacing w:line="360" w:lineRule="auto"/>
        <w:ind w:firstLine="435"/>
        <w:rPr>
          <w:rFonts w:ascii="宋体" w:eastAsia="宋体"/>
          <w:sz w:val="24"/>
          <w:highlight w:val="none"/>
        </w:rPr>
      </w:pPr>
      <w:r>
        <w:rPr>
          <w:rFonts w:hint="eastAsia" w:ascii="宋体" w:eastAsia="宋体"/>
          <w:sz w:val="24"/>
          <w:highlight w:val="none"/>
        </w:rPr>
        <w:t>1</w:t>
      </w:r>
      <w:r>
        <w:rPr>
          <w:rFonts w:ascii="宋体" w:eastAsia="宋体"/>
          <w:sz w:val="24"/>
          <w:highlight w:val="none"/>
        </w:rPr>
        <w:t>.3政府采购监督管理部门：</w:t>
      </w:r>
      <w:r>
        <w:rPr>
          <w:rFonts w:hint="eastAsia" w:ascii="宋体" w:eastAsia="宋体"/>
          <w:sz w:val="24"/>
          <w:highlight w:val="none"/>
        </w:rPr>
        <w:t>各级人民政府指定的有关部门依法履行与政府采购活动有关的监督管理职责。</w:t>
      </w:r>
    </w:p>
    <w:p>
      <w:pPr>
        <w:spacing w:line="360" w:lineRule="auto"/>
        <w:ind w:firstLine="435"/>
        <w:rPr>
          <w:rFonts w:ascii="宋体" w:eastAsia="宋体"/>
          <w:sz w:val="24"/>
          <w:highlight w:val="none"/>
        </w:rPr>
      </w:pPr>
      <w:r>
        <w:rPr>
          <w:rFonts w:hint="eastAsia" w:ascii="宋体" w:eastAsia="宋体"/>
          <w:sz w:val="24"/>
          <w:highlight w:val="none"/>
        </w:rPr>
        <w:t>1</w:t>
      </w:r>
      <w:r>
        <w:rPr>
          <w:rFonts w:ascii="宋体" w:eastAsia="宋体"/>
          <w:sz w:val="24"/>
          <w:highlight w:val="none"/>
        </w:rPr>
        <w:t>.4投标人：是指向采购人提供货物、工程或者服务的法人、非法人组织或者自然人。</w:t>
      </w:r>
      <w:r>
        <w:rPr>
          <w:rFonts w:hint="eastAsia" w:ascii="宋体" w:eastAsia="宋体"/>
          <w:sz w:val="24"/>
          <w:highlight w:val="none"/>
        </w:rPr>
        <w:t>分支机构不得参加政府采购活动，但银行、保险、石油石化、电力、电信等特殊行业除外。</w:t>
      </w:r>
      <w:r>
        <w:rPr>
          <w:rFonts w:ascii="宋体" w:eastAsia="宋体"/>
          <w:sz w:val="24"/>
          <w:highlight w:val="none"/>
        </w:rPr>
        <w:t>本项目的投标人须满足以下条件：</w:t>
      </w:r>
    </w:p>
    <w:p>
      <w:pPr>
        <w:spacing w:line="360" w:lineRule="auto"/>
        <w:ind w:firstLine="435"/>
        <w:rPr>
          <w:rFonts w:ascii="宋体" w:eastAsia="宋体"/>
          <w:sz w:val="24"/>
          <w:highlight w:val="none"/>
        </w:rPr>
      </w:pPr>
      <w:r>
        <w:rPr>
          <w:rFonts w:hint="eastAsia" w:ascii="宋体" w:eastAsia="宋体"/>
          <w:sz w:val="24"/>
          <w:highlight w:val="none"/>
        </w:rPr>
        <w:t>1.</w:t>
      </w:r>
      <w:r>
        <w:rPr>
          <w:rFonts w:ascii="宋体" w:eastAsia="宋体"/>
          <w:sz w:val="24"/>
          <w:highlight w:val="none"/>
        </w:rPr>
        <w:t>4.</w:t>
      </w:r>
      <w:r>
        <w:rPr>
          <w:rFonts w:hint="eastAsia" w:ascii="宋体" w:eastAsia="宋体"/>
          <w:sz w:val="24"/>
          <w:highlight w:val="none"/>
        </w:rPr>
        <w:t>1</w:t>
      </w:r>
      <w:r>
        <w:rPr>
          <w:rFonts w:ascii="宋体" w:eastAsia="宋体"/>
          <w:sz w:val="24"/>
          <w:highlight w:val="none"/>
        </w:rPr>
        <w:t>具备《中华人民共和国政府采购法》第二十二条关于供应商条件的规定，遵守本项目采购人本级和上级财政部门政府采购的有关规定。</w:t>
      </w:r>
    </w:p>
    <w:p>
      <w:pPr>
        <w:spacing w:line="360" w:lineRule="auto"/>
        <w:ind w:firstLine="435"/>
        <w:rPr>
          <w:rFonts w:ascii="宋体" w:eastAsia="宋体"/>
          <w:sz w:val="24"/>
          <w:highlight w:val="none"/>
        </w:rPr>
      </w:pPr>
      <w:r>
        <w:rPr>
          <w:rFonts w:hint="eastAsia" w:ascii="宋体" w:eastAsia="宋体"/>
          <w:sz w:val="24"/>
          <w:highlight w:val="none"/>
        </w:rPr>
        <w:t>1.</w:t>
      </w:r>
      <w:r>
        <w:rPr>
          <w:rFonts w:ascii="宋体" w:eastAsia="宋体"/>
          <w:sz w:val="24"/>
          <w:highlight w:val="none"/>
        </w:rPr>
        <w:t>4.</w:t>
      </w:r>
      <w:r>
        <w:rPr>
          <w:rFonts w:hint="eastAsia" w:ascii="宋体" w:eastAsia="宋体"/>
          <w:sz w:val="24"/>
          <w:highlight w:val="none"/>
        </w:rPr>
        <w:t>2</w:t>
      </w:r>
      <w:r>
        <w:rPr>
          <w:rFonts w:ascii="宋体" w:eastAsia="宋体"/>
          <w:sz w:val="24"/>
          <w:highlight w:val="none"/>
        </w:rPr>
        <w:t>以采购代理机构认可的方式获得了本项目的招标文件。</w:t>
      </w:r>
    </w:p>
    <w:p>
      <w:pPr>
        <w:spacing w:line="360" w:lineRule="auto"/>
        <w:ind w:firstLine="435"/>
        <w:rPr>
          <w:rFonts w:ascii="宋体" w:eastAsia="宋体"/>
          <w:sz w:val="24"/>
          <w:highlight w:val="none"/>
        </w:rPr>
      </w:pPr>
      <w:r>
        <w:rPr>
          <w:rFonts w:hint="eastAsia" w:ascii="宋体" w:eastAsia="宋体"/>
          <w:sz w:val="24"/>
          <w:highlight w:val="none"/>
        </w:rPr>
        <w:t>1.</w:t>
      </w:r>
      <w:r>
        <w:rPr>
          <w:rFonts w:ascii="宋体" w:eastAsia="宋体"/>
          <w:sz w:val="24"/>
          <w:highlight w:val="none"/>
        </w:rPr>
        <w:t>4.</w:t>
      </w:r>
      <w:r>
        <w:rPr>
          <w:rFonts w:hint="eastAsia" w:ascii="宋体" w:eastAsia="宋体"/>
          <w:sz w:val="24"/>
          <w:highlight w:val="none"/>
        </w:rPr>
        <w:t>3</w:t>
      </w:r>
      <w:r>
        <w:rPr>
          <w:rFonts w:ascii="宋体" w:eastAsia="宋体"/>
          <w:sz w:val="24"/>
          <w:highlight w:val="none"/>
        </w:rPr>
        <w:t>若</w:t>
      </w:r>
      <w:r>
        <w:rPr>
          <w:rFonts w:hint="eastAsia" w:ascii="宋体" w:eastAsia="宋体"/>
          <w:sz w:val="24"/>
          <w:highlight w:val="none"/>
        </w:rPr>
        <w:t>采购需求</w:t>
      </w:r>
      <w:r>
        <w:rPr>
          <w:rFonts w:ascii="宋体" w:eastAsia="宋体"/>
          <w:sz w:val="24"/>
          <w:highlight w:val="none"/>
        </w:rPr>
        <w:t>中写明允许采购进口产品，投标人应保证所投产品可履行合法报通关手续进入中国关境内。</w:t>
      </w:r>
    </w:p>
    <w:p>
      <w:pPr>
        <w:spacing w:line="360" w:lineRule="auto"/>
        <w:ind w:firstLine="435"/>
        <w:rPr>
          <w:rFonts w:ascii="宋体" w:eastAsia="宋体"/>
          <w:sz w:val="24"/>
          <w:highlight w:val="none"/>
        </w:rPr>
      </w:pPr>
      <w:r>
        <w:rPr>
          <w:rFonts w:hint="eastAsia" w:ascii="宋体" w:eastAsia="宋体"/>
          <w:sz w:val="24"/>
          <w:highlight w:val="none"/>
        </w:rPr>
        <w:t>若采购需求中未写明允许采购进口产品，如投标人所投产品为进口产品，其投标将被认定为</w:t>
      </w:r>
      <w:r>
        <w:rPr>
          <w:rFonts w:hint="eastAsia" w:ascii="宋体" w:eastAsia="宋体"/>
          <w:b/>
          <w:sz w:val="24"/>
          <w:highlight w:val="none"/>
        </w:rPr>
        <w:t>投标无效</w:t>
      </w:r>
      <w:r>
        <w:rPr>
          <w:rFonts w:hint="eastAsia" w:ascii="宋体" w:eastAsia="宋体"/>
          <w:sz w:val="24"/>
          <w:highlight w:val="none"/>
        </w:rPr>
        <w:t>。</w:t>
      </w:r>
    </w:p>
    <w:p>
      <w:pPr>
        <w:spacing w:line="360" w:lineRule="auto"/>
        <w:ind w:firstLine="435"/>
        <w:rPr>
          <w:rFonts w:ascii="宋体" w:eastAsia="宋体"/>
          <w:sz w:val="24"/>
          <w:highlight w:val="none"/>
        </w:rPr>
      </w:pPr>
      <w:r>
        <w:rPr>
          <w:rFonts w:hint="eastAsia" w:ascii="宋体" w:eastAsia="宋体"/>
          <w:sz w:val="24"/>
          <w:highlight w:val="none"/>
        </w:rPr>
        <w:t>1.</w:t>
      </w:r>
      <w:r>
        <w:rPr>
          <w:rFonts w:ascii="宋体" w:eastAsia="宋体"/>
          <w:sz w:val="24"/>
          <w:highlight w:val="none"/>
        </w:rPr>
        <w:t>5</w:t>
      </w:r>
      <w:r>
        <w:rPr>
          <w:rFonts w:hint="eastAsia" w:ascii="宋体" w:eastAsia="宋体"/>
          <w:sz w:val="24"/>
          <w:highlight w:val="none"/>
        </w:rPr>
        <w:t>若招标公告</w:t>
      </w:r>
      <w:r>
        <w:rPr>
          <w:rFonts w:ascii="宋体" w:eastAsia="宋体"/>
          <w:sz w:val="24"/>
          <w:highlight w:val="none"/>
        </w:rPr>
        <w:t>中允许联合体投标，对联合体规定如下：</w:t>
      </w:r>
    </w:p>
    <w:p>
      <w:pPr>
        <w:spacing w:line="360" w:lineRule="auto"/>
        <w:ind w:firstLine="480" w:firstLineChars="200"/>
        <w:rPr>
          <w:rFonts w:ascii="宋体" w:eastAsia="宋体"/>
          <w:sz w:val="24"/>
          <w:highlight w:val="none"/>
        </w:rPr>
      </w:pPr>
      <w:r>
        <w:rPr>
          <w:rFonts w:hint="eastAsia" w:ascii="宋体" w:eastAsia="宋体"/>
          <w:sz w:val="24"/>
          <w:highlight w:val="none"/>
        </w:rPr>
        <w:t>1.</w:t>
      </w:r>
      <w:r>
        <w:rPr>
          <w:rFonts w:ascii="宋体" w:eastAsia="宋体"/>
          <w:sz w:val="24"/>
          <w:highlight w:val="none"/>
        </w:rPr>
        <w:t>5.1两个以上供应商可以组成一个投标联合体，以一个投标人的身份投标。联合体投标的，</w:t>
      </w:r>
      <w:r>
        <w:rPr>
          <w:rFonts w:hint="eastAsia" w:ascii="宋体" w:eastAsia="宋体"/>
          <w:sz w:val="24"/>
          <w:highlight w:val="none"/>
        </w:rPr>
        <w:t>招标文件获取</w:t>
      </w:r>
      <w:r>
        <w:rPr>
          <w:rFonts w:ascii="宋体" w:eastAsia="宋体"/>
          <w:sz w:val="24"/>
          <w:highlight w:val="none"/>
        </w:rPr>
        <w:t>手续由联合体</w:t>
      </w:r>
      <w:r>
        <w:rPr>
          <w:rFonts w:hint="eastAsia" w:ascii="宋体" w:eastAsia="宋体"/>
          <w:sz w:val="24"/>
          <w:highlight w:val="none"/>
        </w:rPr>
        <w:t>中</w:t>
      </w:r>
      <w:r>
        <w:rPr>
          <w:rFonts w:ascii="宋体" w:eastAsia="宋体"/>
          <w:sz w:val="24"/>
          <w:highlight w:val="none"/>
        </w:rPr>
        <w:t>任</w:t>
      </w:r>
      <w:r>
        <w:rPr>
          <w:rFonts w:hint="eastAsia" w:ascii="宋体" w:eastAsia="宋体"/>
          <w:sz w:val="24"/>
          <w:highlight w:val="none"/>
        </w:rPr>
        <w:t>一成员单位</w:t>
      </w:r>
      <w:r>
        <w:rPr>
          <w:rFonts w:ascii="宋体" w:eastAsia="宋体"/>
          <w:sz w:val="24"/>
          <w:highlight w:val="none"/>
        </w:rPr>
        <w:t>办理均可。</w:t>
      </w:r>
    </w:p>
    <w:p>
      <w:pPr>
        <w:spacing w:line="360" w:lineRule="auto"/>
        <w:ind w:firstLine="435"/>
        <w:rPr>
          <w:rFonts w:ascii="宋体" w:eastAsia="宋体"/>
          <w:sz w:val="24"/>
          <w:highlight w:val="none"/>
        </w:rPr>
      </w:pPr>
      <w:r>
        <w:rPr>
          <w:rFonts w:hint="eastAsia" w:ascii="宋体" w:eastAsia="宋体"/>
          <w:sz w:val="24"/>
          <w:highlight w:val="none"/>
        </w:rPr>
        <w:t>1.</w:t>
      </w:r>
      <w:r>
        <w:rPr>
          <w:rFonts w:ascii="宋体" w:eastAsia="宋体"/>
          <w:sz w:val="24"/>
          <w:highlight w:val="none"/>
        </w:rPr>
        <w:t>5.2联合体各方均应符合《中华人民共和国政府采购法》第二十二条规定的条件。</w:t>
      </w:r>
    </w:p>
    <w:p>
      <w:pPr>
        <w:spacing w:line="360" w:lineRule="auto"/>
        <w:ind w:firstLine="435"/>
        <w:rPr>
          <w:rFonts w:ascii="宋体" w:eastAsia="宋体"/>
          <w:sz w:val="24"/>
          <w:highlight w:val="none"/>
        </w:rPr>
      </w:pPr>
      <w:r>
        <w:rPr>
          <w:rFonts w:hint="eastAsia" w:ascii="宋体" w:eastAsia="宋体"/>
          <w:sz w:val="24"/>
          <w:highlight w:val="none"/>
        </w:rPr>
        <w:t>1.</w:t>
      </w:r>
      <w:r>
        <w:rPr>
          <w:rFonts w:ascii="宋体" w:eastAsia="宋体"/>
          <w:sz w:val="24"/>
          <w:highlight w:val="none"/>
        </w:rPr>
        <w:t>5.3采购人根据采购项目对投标人的特殊要求，联合体中至少应当有一方符合相关规定。</w:t>
      </w:r>
    </w:p>
    <w:p>
      <w:pPr>
        <w:spacing w:line="360" w:lineRule="auto"/>
        <w:ind w:firstLine="435"/>
        <w:rPr>
          <w:rFonts w:ascii="宋体" w:eastAsia="宋体"/>
          <w:sz w:val="24"/>
          <w:highlight w:val="none"/>
        </w:rPr>
      </w:pPr>
      <w:r>
        <w:rPr>
          <w:rFonts w:hint="eastAsia" w:ascii="宋体" w:eastAsia="宋体"/>
          <w:sz w:val="24"/>
          <w:highlight w:val="none"/>
        </w:rPr>
        <w:t>1.</w:t>
      </w:r>
      <w:r>
        <w:rPr>
          <w:rFonts w:ascii="宋体" w:eastAsia="宋体"/>
          <w:sz w:val="24"/>
          <w:highlight w:val="none"/>
        </w:rPr>
        <w:t>5.4联合体各方应签订</w:t>
      </w:r>
      <w:r>
        <w:rPr>
          <w:rFonts w:hint="eastAsia" w:ascii="宋体" w:eastAsia="宋体"/>
          <w:sz w:val="24"/>
          <w:highlight w:val="none"/>
        </w:rPr>
        <w:t>联合协议</w:t>
      </w:r>
      <w:r>
        <w:rPr>
          <w:rFonts w:ascii="宋体" w:eastAsia="宋体"/>
          <w:sz w:val="24"/>
          <w:highlight w:val="none"/>
        </w:rPr>
        <w:t>，明确约定联合体各方承担的工作和相应的责任，并将</w:t>
      </w:r>
      <w:r>
        <w:rPr>
          <w:rFonts w:hint="eastAsia" w:ascii="宋体" w:eastAsia="宋体"/>
          <w:sz w:val="24"/>
          <w:highlight w:val="none"/>
        </w:rPr>
        <w:t>联合协议</w:t>
      </w:r>
      <w:r>
        <w:rPr>
          <w:rFonts w:ascii="宋体" w:eastAsia="宋体"/>
          <w:sz w:val="24"/>
          <w:highlight w:val="none"/>
        </w:rPr>
        <w:t>作为投标文件</w:t>
      </w:r>
      <w:r>
        <w:rPr>
          <w:rFonts w:hint="eastAsia" w:ascii="宋体" w:eastAsia="宋体"/>
          <w:sz w:val="24"/>
          <w:highlight w:val="none"/>
        </w:rPr>
        <w:t>的</w:t>
      </w:r>
      <w:r>
        <w:rPr>
          <w:rFonts w:ascii="宋体" w:eastAsia="宋体"/>
          <w:sz w:val="24"/>
          <w:highlight w:val="none"/>
        </w:rPr>
        <w:t>一部分提交。</w:t>
      </w:r>
    </w:p>
    <w:p>
      <w:pPr>
        <w:spacing w:line="360" w:lineRule="auto"/>
        <w:ind w:firstLine="435"/>
        <w:rPr>
          <w:rFonts w:ascii="宋体" w:eastAsia="宋体"/>
          <w:sz w:val="24"/>
          <w:highlight w:val="none"/>
        </w:rPr>
      </w:pPr>
      <w:r>
        <w:rPr>
          <w:rFonts w:hint="eastAsia" w:ascii="宋体" w:eastAsia="宋体"/>
          <w:sz w:val="24"/>
          <w:highlight w:val="none"/>
        </w:rPr>
        <w:t>1.</w:t>
      </w:r>
      <w:r>
        <w:rPr>
          <w:rFonts w:ascii="宋体" w:eastAsia="宋体"/>
          <w:sz w:val="24"/>
          <w:highlight w:val="none"/>
        </w:rPr>
        <w:t>5.5大中型企业、其他自然人、法人或者非法人组织与小型、微型企业组成联合体共同参加投标，</w:t>
      </w:r>
      <w:r>
        <w:rPr>
          <w:rFonts w:hint="eastAsia" w:ascii="宋体" w:eastAsia="宋体"/>
          <w:sz w:val="24"/>
          <w:highlight w:val="none"/>
        </w:rPr>
        <w:t>联合协议中</w:t>
      </w:r>
      <w:r>
        <w:rPr>
          <w:rFonts w:ascii="宋体" w:eastAsia="宋体"/>
          <w:sz w:val="24"/>
          <w:highlight w:val="none"/>
        </w:rPr>
        <w:t>应写明小型、微型企业的协议合同金额占到</w:t>
      </w:r>
      <w:r>
        <w:rPr>
          <w:rFonts w:hint="eastAsia" w:ascii="宋体" w:eastAsia="宋体"/>
          <w:sz w:val="24"/>
          <w:highlight w:val="none"/>
        </w:rPr>
        <w:t>联合协议</w:t>
      </w:r>
      <w:r>
        <w:rPr>
          <w:rFonts w:ascii="宋体" w:eastAsia="宋体"/>
          <w:sz w:val="24"/>
          <w:highlight w:val="none"/>
        </w:rPr>
        <w:t>投标总金额的比例。</w:t>
      </w:r>
    </w:p>
    <w:p>
      <w:pPr>
        <w:spacing w:line="360" w:lineRule="auto"/>
        <w:ind w:firstLine="435"/>
        <w:rPr>
          <w:rFonts w:ascii="宋体" w:eastAsia="宋体"/>
          <w:sz w:val="24"/>
          <w:highlight w:val="none"/>
        </w:rPr>
      </w:pPr>
      <w:r>
        <w:rPr>
          <w:rFonts w:hint="eastAsia" w:ascii="宋体" w:eastAsia="宋体"/>
          <w:sz w:val="24"/>
          <w:highlight w:val="none"/>
        </w:rPr>
        <w:t>1.</w:t>
      </w:r>
      <w:r>
        <w:rPr>
          <w:rFonts w:ascii="宋体" w:eastAsia="宋体"/>
          <w:sz w:val="24"/>
          <w:highlight w:val="none"/>
        </w:rPr>
        <w:t>5.6</w:t>
      </w:r>
      <w:r>
        <w:rPr>
          <w:rFonts w:hint="eastAsia" w:ascii="宋体" w:eastAsia="宋体"/>
          <w:sz w:val="24"/>
          <w:highlight w:val="none"/>
        </w:rPr>
        <w:t>联合体中有同类资质的供应商按照联合体分工承担相同工作的，</w:t>
      </w:r>
      <w:r>
        <w:rPr>
          <w:rFonts w:ascii="宋体" w:eastAsia="宋体"/>
          <w:sz w:val="24"/>
          <w:highlight w:val="none"/>
        </w:rPr>
        <w:t>应当按照</w:t>
      </w:r>
      <w:r>
        <w:rPr>
          <w:rFonts w:hint="eastAsia" w:ascii="宋体" w:eastAsia="宋体"/>
          <w:sz w:val="24"/>
          <w:highlight w:val="none"/>
        </w:rPr>
        <w:t>资质等级较低的供应商确定资质等级。</w:t>
      </w:r>
    </w:p>
    <w:p>
      <w:pPr>
        <w:spacing w:line="360" w:lineRule="auto"/>
        <w:ind w:firstLine="435"/>
        <w:rPr>
          <w:rFonts w:ascii="宋体" w:eastAsia="宋体"/>
          <w:sz w:val="24"/>
          <w:highlight w:val="none"/>
        </w:rPr>
      </w:pPr>
      <w:r>
        <w:rPr>
          <w:rFonts w:hint="eastAsia" w:ascii="宋体" w:eastAsia="宋体"/>
          <w:sz w:val="24"/>
          <w:highlight w:val="none"/>
        </w:rPr>
        <w:t>1.</w:t>
      </w:r>
      <w:r>
        <w:rPr>
          <w:rFonts w:ascii="宋体" w:eastAsia="宋体"/>
          <w:sz w:val="24"/>
          <w:highlight w:val="none"/>
        </w:rPr>
        <w:t>5.7以联合体形式参加政府采购活动的，联合体各方不得再单独参加或者与其他供应商另外组成联合体参加本项目投标，否则相关投标将被认定为</w:t>
      </w:r>
      <w:r>
        <w:rPr>
          <w:rFonts w:ascii="宋体" w:eastAsia="宋体"/>
          <w:b/>
          <w:sz w:val="24"/>
          <w:highlight w:val="none"/>
        </w:rPr>
        <w:t>投标无效</w:t>
      </w:r>
      <w:r>
        <w:rPr>
          <w:rFonts w:ascii="宋体" w:eastAsia="宋体"/>
          <w:sz w:val="24"/>
          <w:highlight w:val="none"/>
        </w:rPr>
        <w:t>。</w:t>
      </w:r>
    </w:p>
    <w:p>
      <w:pPr>
        <w:spacing w:line="360" w:lineRule="auto"/>
        <w:ind w:firstLine="435"/>
        <w:rPr>
          <w:rFonts w:ascii="宋体" w:eastAsia="宋体"/>
          <w:sz w:val="24"/>
          <w:highlight w:val="none"/>
        </w:rPr>
      </w:pPr>
      <w:r>
        <w:rPr>
          <w:rFonts w:hint="eastAsia" w:ascii="宋体" w:eastAsia="宋体"/>
          <w:sz w:val="24"/>
          <w:highlight w:val="none"/>
        </w:rPr>
        <w:t>1.</w:t>
      </w:r>
      <w:r>
        <w:rPr>
          <w:rFonts w:ascii="宋体" w:eastAsia="宋体"/>
          <w:sz w:val="24"/>
          <w:highlight w:val="none"/>
        </w:rPr>
        <w:t>5.8对联合体投标的其他资格要求见</w:t>
      </w:r>
      <w:r>
        <w:rPr>
          <w:rFonts w:hint="eastAsia" w:ascii="宋体" w:eastAsia="宋体"/>
          <w:sz w:val="24"/>
          <w:highlight w:val="none"/>
        </w:rPr>
        <w:t>申请人的资格要求</w:t>
      </w:r>
      <w:r>
        <w:rPr>
          <w:rFonts w:ascii="宋体" w:eastAsia="宋体"/>
          <w:sz w:val="24"/>
          <w:highlight w:val="none"/>
        </w:rPr>
        <w:t>。</w:t>
      </w:r>
    </w:p>
    <w:p>
      <w:pPr>
        <w:spacing w:line="360" w:lineRule="auto"/>
        <w:ind w:firstLine="437"/>
        <w:outlineLvl w:val="2"/>
        <w:rPr>
          <w:rFonts w:ascii="宋体" w:eastAsia="宋体"/>
          <w:b/>
          <w:sz w:val="24"/>
          <w:highlight w:val="none"/>
        </w:rPr>
      </w:pPr>
      <w:r>
        <w:rPr>
          <w:rFonts w:hint="eastAsia" w:ascii="宋体" w:eastAsia="宋体"/>
          <w:b/>
          <w:sz w:val="24"/>
          <w:highlight w:val="none"/>
        </w:rPr>
        <w:t>2.资金来源</w:t>
      </w:r>
    </w:p>
    <w:p>
      <w:pPr>
        <w:spacing w:line="360" w:lineRule="auto"/>
        <w:ind w:firstLine="435"/>
        <w:rPr>
          <w:rFonts w:ascii="宋体" w:eastAsia="宋体"/>
          <w:sz w:val="24"/>
          <w:highlight w:val="none"/>
        </w:rPr>
      </w:pPr>
      <w:r>
        <w:rPr>
          <w:rFonts w:hint="eastAsia" w:ascii="宋体" w:eastAsia="宋体"/>
          <w:sz w:val="24"/>
          <w:highlight w:val="none"/>
        </w:rPr>
        <w:t>2</w:t>
      </w:r>
      <w:r>
        <w:rPr>
          <w:rFonts w:ascii="宋体" w:eastAsia="宋体"/>
          <w:sz w:val="24"/>
          <w:highlight w:val="none"/>
        </w:rPr>
        <w:t>.1</w:t>
      </w:r>
      <w:r>
        <w:rPr>
          <w:rFonts w:hint="eastAsia" w:ascii="宋体" w:eastAsia="宋体"/>
          <w:sz w:val="24"/>
          <w:highlight w:val="none"/>
        </w:rPr>
        <w:t>本项目的采购人已获得足以支付本次招标后所签订的合同项下的资金。</w:t>
      </w:r>
    </w:p>
    <w:p>
      <w:pPr>
        <w:spacing w:line="360" w:lineRule="auto"/>
        <w:ind w:firstLine="437"/>
        <w:outlineLvl w:val="2"/>
        <w:rPr>
          <w:rFonts w:ascii="宋体" w:eastAsia="宋体"/>
          <w:b/>
          <w:sz w:val="24"/>
          <w:highlight w:val="none"/>
        </w:rPr>
      </w:pPr>
      <w:r>
        <w:rPr>
          <w:rFonts w:hint="eastAsia" w:ascii="宋体" w:eastAsia="宋体"/>
          <w:b/>
          <w:sz w:val="24"/>
          <w:highlight w:val="none"/>
        </w:rPr>
        <w:t>3.投标费用</w:t>
      </w:r>
    </w:p>
    <w:p>
      <w:pPr>
        <w:spacing w:line="360" w:lineRule="auto"/>
        <w:ind w:firstLine="435"/>
        <w:rPr>
          <w:rFonts w:ascii="宋体" w:eastAsia="宋体"/>
          <w:sz w:val="24"/>
          <w:highlight w:val="none"/>
        </w:rPr>
      </w:pPr>
      <w:r>
        <w:rPr>
          <w:rFonts w:hint="eastAsia" w:ascii="宋体" w:eastAsia="宋体"/>
          <w:sz w:val="24"/>
          <w:highlight w:val="none"/>
        </w:rPr>
        <w:t>不论投标的结果如何，投标人应承担所有与准备和参加投标有关的费用。</w:t>
      </w:r>
    </w:p>
    <w:p>
      <w:pPr>
        <w:spacing w:line="360" w:lineRule="auto"/>
        <w:ind w:firstLine="437"/>
        <w:outlineLvl w:val="2"/>
        <w:rPr>
          <w:rFonts w:ascii="宋体" w:eastAsia="宋体"/>
          <w:b/>
          <w:sz w:val="24"/>
          <w:highlight w:val="none"/>
        </w:rPr>
      </w:pPr>
      <w:r>
        <w:rPr>
          <w:rFonts w:hint="eastAsia" w:ascii="宋体" w:eastAsia="宋体"/>
          <w:b/>
          <w:sz w:val="24"/>
          <w:highlight w:val="none"/>
        </w:rPr>
        <w:t>4.适用法律</w:t>
      </w:r>
    </w:p>
    <w:p>
      <w:pPr>
        <w:spacing w:line="360" w:lineRule="auto"/>
        <w:ind w:firstLine="435"/>
        <w:rPr>
          <w:rFonts w:ascii="宋体" w:eastAsia="宋体"/>
          <w:sz w:val="24"/>
          <w:highlight w:val="none"/>
        </w:rPr>
      </w:pPr>
      <w:r>
        <w:rPr>
          <w:rFonts w:hint="eastAsia" w:ascii="宋体" w:eastAsia="宋体"/>
          <w:sz w:val="24"/>
          <w:highlight w:val="none"/>
        </w:rPr>
        <w:t>本项目采购人、采购代理机构、投标人、评标委员会的相关行为均受《中华人民共和国政府采购法》、《中华人民共和国政府采购法实施条例》及本项目本级和上级财政部门、政府采购监督管理部门的政府采购有关规定的约束，其权利受到上述法律法规的保护。</w:t>
      </w:r>
    </w:p>
    <w:p>
      <w:pPr>
        <w:spacing w:line="360" w:lineRule="auto"/>
        <w:ind w:firstLine="437"/>
        <w:outlineLvl w:val="2"/>
        <w:rPr>
          <w:rFonts w:ascii="宋体" w:eastAsia="宋体"/>
          <w:b/>
          <w:sz w:val="24"/>
          <w:highlight w:val="none"/>
        </w:rPr>
      </w:pPr>
      <w:r>
        <w:rPr>
          <w:rFonts w:hint="eastAsia" w:ascii="宋体" w:eastAsia="宋体"/>
          <w:b/>
          <w:sz w:val="24"/>
          <w:highlight w:val="none"/>
        </w:rPr>
        <w:t>5.招标文件构成</w:t>
      </w:r>
    </w:p>
    <w:p>
      <w:pPr>
        <w:spacing w:line="360" w:lineRule="auto"/>
        <w:ind w:firstLine="435"/>
        <w:rPr>
          <w:rFonts w:ascii="宋体" w:eastAsia="宋体"/>
          <w:sz w:val="24"/>
          <w:highlight w:val="none"/>
        </w:rPr>
      </w:pPr>
      <w:r>
        <w:rPr>
          <w:rFonts w:hint="eastAsia" w:ascii="宋体" w:eastAsia="宋体"/>
          <w:sz w:val="24"/>
          <w:highlight w:val="none"/>
        </w:rPr>
        <w:t>5.1招标文件包括下列内容：</w:t>
      </w:r>
    </w:p>
    <w:p>
      <w:pPr>
        <w:spacing w:line="360" w:lineRule="auto"/>
        <w:ind w:firstLine="840" w:firstLineChars="350"/>
        <w:rPr>
          <w:rFonts w:ascii="宋体" w:eastAsia="宋体"/>
          <w:sz w:val="24"/>
          <w:highlight w:val="none"/>
        </w:rPr>
      </w:pPr>
      <w:r>
        <w:rPr>
          <w:rFonts w:hint="eastAsia" w:ascii="宋体" w:eastAsia="宋体"/>
          <w:sz w:val="24"/>
          <w:highlight w:val="none"/>
        </w:rPr>
        <w:t>第一章</w:t>
      </w:r>
      <w:r>
        <w:rPr>
          <w:rFonts w:ascii="宋体" w:eastAsia="宋体"/>
          <w:sz w:val="24"/>
          <w:highlight w:val="none"/>
        </w:rPr>
        <w:t xml:space="preserve">  投标邀请</w:t>
      </w:r>
    </w:p>
    <w:p>
      <w:pPr>
        <w:spacing w:line="360" w:lineRule="auto"/>
        <w:ind w:firstLine="840" w:firstLineChars="350"/>
        <w:rPr>
          <w:rFonts w:ascii="宋体" w:eastAsia="宋体"/>
          <w:sz w:val="24"/>
          <w:highlight w:val="none"/>
        </w:rPr>
      </w:pPr>
      <w:r>
        <w:rPr>
          <w:rFonts w:hint="eastAsia" w:ascii="宋体" w:eastAsia="宋体"/>
          <w:sz w:val="24"/>
          <w:highlight w:val="none"/>
        </w:rPr>
        <w:t>第二章</w:t>
      </w:r>
      <w:r>
        <w:rPr>
          <w:rFonts w:ascii="宋体" w:eastAsia="宋体"/>
          <w:sz w:val="24"/>
          <w:highlight w:val="none"/>
        </w:rPr>
        <w:t xml:space="preserve">  投标人须知</w:t>
      </w:r>
    </w:p>
    <w:p>
      <w:pPr>
        <w:spacing w:line="360" w:lineRule="auto"/>
        <w:ind w:firstLine="840" w:firstLineChars="350"/>
        <w:rPr>
          <w:rFonts w:ascii="宋体" w:eastAsia="宋体"/>
          <w:sz w:val="24"/>
          <w:highlight w:val="none"/>
        </w:rPr>
      </w:pPr>
      <w:r>
        <w:rPr>
          <w:rFonts w:hint="eastAsia" w:ascii="宋体" w:eastAsia="宋体"/>
          <w:sz w:val="24"/>
          <w:highlight w:val="none"/>
        </w:rPr>
        <w:t>第三章</w:t>
      </w:r>
      <w:r>
        <w:rPr>
          <w:rFonts w:ascii="宋体" w:eastAsia="宋体"/>
          <w:sz w:val="24"/>
          <w:highlight w:val="none"/>
        </w:rPr>
        <w:t xml:space="preserve">  采购需求</w:t>
      </w:r>
    </w:p>
    <w:p>
      <w:pPr>
        <w:spacing w:line="360" w:lineRule="auto"/>
        <w:ind w:firstLine="840" w:firstLineChars="350"/>
        <w:rPr>
          <w:rFonts w:ascii="宋体" w:eastAsia="宋体"/>
          <w:sz w:val="24"/>
          <w:highlight w:val="none"/>
        </w:rPr>
      </w:pPr>
      <w:r>
        <w:rPr>
          <w:rFonts w:hint="eastAsia" w:ascii="宋体" w:eastAsia="宋体"/>
          <w:sz w:val="24"/>
          <w:highlight w:val="none"/>
        </w:rPr>
        <w:t>第四章</w:t>
      </w:r>
      <w:r>
        <w:rPr>
          <w:rFonts w:ascii="宋体" w:eastAsia="宋体"/>
          <w:sz w:val="24"/>
          <w:highlight w:val="none"/>
        </w:rPr>
        <w:t xml:space="preserve">  评标</w:t>
      </w:r>
      <w:r>
        <w:rPr>
          <w:rFonts w:hint="eastAsia" w:ascii="宋体" w:eastAsia="宋体"/>
          <w:sz w:val="24"/>
          <w:highlight w:val="none"/>
        </w:rPr>
        <w:t>方法</w:t>
      </w:r>
      <w:r>
        <w:rPr>
          <w:rFonts w:ascii="宋体" w:eastAsia="宋体"/>
          <w:sz w:val="24"/>
          <w:highlight w:val="none"/>
        </w:rPr>
        <w:t>和标准</w:t>
      </w:r>
    </w:p>
    <w:p>
      <w:pPr>
        <w:spacing w:line="360" w:lineRule="auto"/>
        <w:ind w:firstLine="840" w:firstLineChars="350"/>
        <w:rPr>
          <w:rFonts w:ascii="宋体" w:eastAsia="宋体"/>
          <w:sz w:val="24"/>
          <w:highlight w:val="none"/>
        </w:rPr>
      </w:pPr>
      <w:r>
        <w:rPr>
          <w:rFonts w:hint="eastAsia" w:ascii="宋体" w:eastAsia="宋体"/>
          <w:sz w:val="24"/>
          <w:highlight w:val="none"/>
        </w:rPr>
        <w:t>第五章</w:t>
      </w:r>
      <w:r>
        <w:rPr>
          <w:rFonts w:ascii="宋体" w:eastAsia="宋体"/>
          <w:sz w:val="24"/>
          <w:highlight w:val="none"/>
        </w:rPr>
        <w:t xml:space="preserve">  政府采购合同</w:t>
      </w:r>
    </w:p>
    <w:p>
      <w:pPr>
        <w:spacing w:line="360" w:lineRule="auto"/>
        <w:ind w:firstLine="840" w:firstLineChars="350"/>
        <w:rPr>
          <w:rFonts w:ascii="宋体" w:eastAsia="宋体"/>
          <w:sz w:val="24"/>
          <w:highlight w:val="none"/>
        </w:rPr>
      </w:pPr>
      <w:r>
        <w:rPr>
          <w:rFonts w:hint="eastAsia" w:ascii="宋体" w:eastAsia="宋体"/>
          <w:sz w:val="24"/>
          <w:highlight w:val="none"/>
        </w:rPr>
        <w:t>第六章</w:t>
      </w:r>
      <w:r>
        <w:rPr>
          <w:rFonts w:ascii="宋体" w:eastAsia="宋体"/>
          <w:sz w:val="24"/>
          <w:highlight w:val="none"/>
        </w:rPr>
        <w:t xml:space="preserve">  投标文件格式</w:t>
      </w:r>
    </w:p>
    <w:p>
      <w:pPr>
        <w:spacing w:line="360" w:lineRule="auto"/>
        <w:ind w:firstLine="840" w:firstLineChars="350"/>
        <w:rPr>
          <w:rFonts w:ascii="宋体" w:eastAsia="宋体"/>
          <w:sz w:val="24"/>
          <w:highlight w:val="none"/>
        </w:rPr>
      </w:pPr>
      <w:r>
        <w:rPr>
          <w:rFonts w:hint="eastAsia" w:ascii="宋体" w:eastAsia="宋体"/>
          <w:sz w:val="24"/>
          <w:highlight w:val="none"/>
        </w:rPr>
        <w:t>第七章</w:t>
      </w:r>
      <w:r>
        <w:rPr>
          <w:rFonts w:ascii="宋体" w:eastAsia="宋体"/>
          <w:sz w:val="24"/>
          <w:highlight w:val="none"/>
        </w:rPr>
        <w:t xml:space="preserve">  政府采购</w:t>
      </w:r>
      <w:r>
        <w:rPr>
          <w:rFonts w:hint="eastAsia" w:ascii="宋体" w:eastAsia="宋体"/>
          <w:sz w:val="24"/>
          <w:highlight w:val="none"/>
        </w:rPr>
        <w:t>询问函和</w:t>
      </w:r>
      <w:r>
        <w:rPr>
          <w:rFonts w:ascii="宋体" w:eastAsia="宋体"/>
          <w:sz w:val="24"/>
          <w:highlight w:val="none"/>
        </w:rPr>
        <w:t>质疑函范本</w:t>
      </w:r>
    </w:p>
    <w:p>
      <w:pPr>
        <w:spacing w:line="360" w:lineRule="auto"/>
        <w:ind w:firstLine="435"/>
        <w:rPr>
          <w:rFonts w:ascii="宋体" w:eastAsia="宋体"/>
          <w:sz w:val="24"/>
          <w:highlight w:val="none"/>
        </w:rPr>
      </w:pPr>
      <w:r>
        <w:rPr>
          <w:rFonts w:hint="eastAsia" w:ascii="宋体" w:eastAsia="宋体"/>
          <w:sz w:val="24"/>
          <w:highlight w:val="none"/>
        </w:rPr>
        <w:t>5</w:t>
      </w:r>
      <w:r>
        <w:rPr>
          <w:rFonts w:ascii="宋体" w:eastAsia="宋体"/>
          <w:sz w:val="24"/>
          <w:highlight w:val="none"/>
        </w:rPr>
        <w:t>.2招标文件中有不一致的，有</w:t>
      </w:r>
      <w:r>
        <w:rPr>
          <w:rFonts w:hint="eastAsia" w:ascii="宋体" w:eastAsia="宋体"/>
          <w:sz w:val="24"/>
          <w:highlight w:val="none"/>
        </w:rPr>
        <w:t>澄清</w:t>
      </w:r>
      <w:r>
        <w:rPr>
          <w:rFonts w:ascii="宋体" w:eastAsia="宋体"/>
          <w:sz w:val="24"/>
          <w:highlight w:val="none"/>
        </w:rPr>
        <w:t>的部分以最终的</w:t>
      </w:r>
      <w:r>
        <w:rPr>
          <w:rFonts w:hint="eastAsia" w:ascii="宋体" w:eastAsia="宋体"/>
          <w:sz w:val="24"/>
          <w:highlight w:val="none"/>
        </w:rPr>
        <w:t>澄清更正</w:t>
      </w:r>
      <w:r>
        <w:rPr>
          <w:rFonts w:ascii="宋体" w:eastAsia="宋体"/>
          <w:sz w:val="24"/>
          <w:highlight w:val="none"/>
        </w:rPr>
        <w:t>内容为准</w:t>
      </w:r>
      <w:r>
        <w:rPr>
          <w:rFonts w:hint="eastAsia" w:ascii="宋体" w:eastAsia="宋体"/>
          <w:sz w:val="24"/>
          <w:highlight w:val="none"/>
        </w:rPr>
        <w:t>。</w:t>
      </w:r>
    </w:p>
    <w:p>
      <w:pPr>
        <w:spacing w:line="360" w:lineRule="auto"/>
        <w:ind w:firstLine="435"/>
        <w:rPr>
          <w:rFonts w:ascii="宋体" w:eastAsia="宋体"/>
          <w:sz w:val="24"/>
          <w:highlight w:val="none"/>
        </w:rPr>
      </w:pPr>
      <w:r>
        <w:rPr>
          <w:rFonts w:hint="eastAsia" w:ascii="宋体" w:eastAsia="宋体"/>
          <w:sz w:val="24"/>
          <w:highlight w:val="none"/>
        </w:rPr>
        <w:t>5</w:t>
      </w:r>
      <w:r>
        <w:rPr>
          <w:rFonts w:ascii="宋体" w:eastAsia="宋体"/>
          <w:sz w:val="24"/>
          <w:highlight w:val="none"/>
        </w:rPr>
        <w:t>.3现场</w:t>
      </w:r>
      <w:r>
        <w:rPr>
          <w:rFonts w:hint="eastAsia" w:ascii="宋体" w:eastAsia="宋体"/>
          <w:sz w:val="24"/>
          <w:highlight w:val="none"/>
        </w:rPr>
        <w:t>考察</w:t>
      </w:r>
      <w:r>
        <w:rPr>
          <w:rFonts w:ascii="宋体" w:eastAsia="宋体"/>
          <w:sz w:val="24"/>
          <w:highlight w:val="none"/>
        </w:rPr>
        <w:t>及相关事项见</w:t>
      </w:r>
      <w:r>
        <w:rPr>
          <w:rFonts w:ascii="宋体" w:eastAsia="宋体"/>
          <w:sz w:val="24"/>
          <w:highlight w:val="none"/>
          <w:u w:val="single"/>
        </w:rPr>
        <w:t>投标</w:t>
      </w:r>
      <w:r>
        <w:rPr>
          <w:rFonts w:hint="eastAsia" w:ascii="宋体" w:eastAsia="宋体"/>
          <w:sz w:val="24"/>
          <w:highlight w:val="none"/>
          <w:u w:val="single"/>
        </w:rPr>
        <w:t>人</w:t>
      </w:r>
      <w:r>
        <w:rPr>
          <w:rFonts w:ascii="宋体" w:eastAsia="宋体"/>
          <w:sz w:val="24"/>
          <w:highlight w:val="none"/>
          <w:u w:val="single"/>
        </w:rPr>
        <w:t>须知前附表</w:t>
      </w:r>
      <w:r>
        <w:rPr>
          <w:rFonts w:ascii="宋体" w:eastAsia="宋体"/>
          <w:sz w:val="24"/>
          <w:highlight w:val="none"/>
        </w:rPr>
        <w:t>。</w:t>
      </w:r>
    </w:p>
    <w:p>
      <w:pPr>
        <w:spacing w:line="360" w:lineRule="auto"/>
        <w:ind w:firstLine="435"/>
        <w:rPr>
          <w:rFonts w:ascii="宋体" w:eastAsia="宋体"/>
          <w:sz w:val="24"/>
          <w:highlight w:val="none"/>
        </w:rPr>
      </w:pPr>
      <w:r>
        <w:rPr>
          <w:rFonts w:hint="eastAsia" w:ascii="宋体" w:eastAsia="宋体"/>
          <w:sz w:val="24"/>
          <w:highlight w:val="none"/>
        </w:rPr>
        <w:t>5</w:t>
      </w:r>
      <w:r>
        <w:rPr>
          <w:rFonts w:ascii="宋体" w:eastAsia="宋体"/>
          <w:sz w:val="24"/>
          <w:highlight w:val="none"/>
        </w:rPr>
        <w:t>.4原则上采购人、采购代理机构不要求投标人提供样品。除仅凭书面方式不能准确描述采购需求，或者需要对样品进行主观判断以确认是否满足采购需求等特殊情况除外。</w:t>
      </w:r>
    </w:p>
    <w:p>
      <w:pPr>
        <w:spacing w:line="360" w:lineRule="auto"/>
        <w:ind w:firstLine="435"/>
        <w:rPr>
          <w:rFonts w:ascii="宋体" w:eastAsia="宋体"/>
          <w:sz w:val="24"/>
          <w:highlight w:val="none"/>
        </w:rPr>
      </w:pPr>
      <w:r>
        <w:rPr>
          <w:rFonts w:ascii="宋体" w:eastAsia="宋体"/>
          <w:sz w:val="24"/>
          <w:highlight w:val="none"/>
        </w:rPr>
        <w:t>如需提供样品，对样品相关要求见</w:t>
      </w:r>
      <w:r>
        <w:rPr>
          <w:rFonts w:hint="eastAsia" w:ascii="宋体" w:eastAsia="宋体"/>
          <w:sz w:val="24"/>
          <w:highlight w:val="none"/>
        </w:rPr>
        <w:t>采购需求</w:t>
      </w:r>
      <w:r>
        <w:rPr>
          <w:rFonts w:ascii="宋体" w:eastAsia="宋体"/>
          <w:sz w:val="24"/>
          <w:highlight w:val="none"/>
        </w:rPr>
        <w:t>，对样品的评审方法及评审标准见招标文件第</w:t>
      </w:r>
      <w:r>
        <w:rPr>
          <w:rFonts w:hint="eastAsia" w:ascii="宋体" w:eastAsia="宋体"/>
          <w:sz w:val="24"/>
          <w:highlight w:val="none"/>
        </w:rPr>
        <w:t>四</w:t>
      </w:r>
      <w:r>
        <w:rPr>
          <w:rFonts w:ascii="宋体" w:eastAsia="宋体"/>
          <w:sz w:val="24"/>
          <w:highlight w:val="none"/>
        </w:rPr>
        <w:t>章。</w:t>
      </w:r>
    </w:p>
    <w:p>
      <w:pPr>
        <w:spacing w:line="360" w:lineRule="auto"/>
        <w:ind w:firstLine="435"/>
        <w:rPr>
          <w:rFonts w:ascii="宋体" w:eastAsia="宋体"/>
          <w:sz w:val="24"/>
          <w:highlight w:val="none"/>
        </w:rPr>
      </w:pPr>
      <w:r>
        <w:rPr>
          <w:rFonts w:hint="eastAsia" w:ascii="宋体" w:eastAsia="宋体"/>
          <w:sz w:val="24"/>
          <w:highlight w:val="none"/>
        </w:rPr>
        <w:t>5</w:t>
      </w:r>
      <w:r>
        <w:rPr>
          <w:rFonts w:ascii="宋体" w:eastAsia="宋体"/>
          <w:sz w:val="24"/>
          <w:highlight w:val="none"/>
        </w:rPr>
        <w:t>.5投标人应认真阅读招标文件所有的事项、格式、条款和技术规范等。</w:t>
      </w:r>
    </w:p>
    <w:p>
      <w:pPr>
        <w:spacing w:line="360" w:lineRule="auto"/>
        <w:ind w:firstLine="437"/>
        <w:outlineLvl w:val="2"/>
        <w:rPr>
          <w:rFonts w:ascii="宋体" w:eastAsia="宋体"/>
          <w:b/>
          <w:sz w:val="24"/>
          <w:highlight w:val="none"/>
        </w:rPr>
      </w:pPr>
      <w:r>
        <w:rPr>
          <w:rFonts w:hint="eastAsia" w:ascii="宋体" w:eastAsia="宋体"/>
          <w:b/>
          <w:sz w:val="24"/>
          <w:highlight w:val="none"/>
        </w:rPr>
        <w:t>6.招标文件的澄清与修改</w:t>
      </w:r>
    </w:p>
    <w:p>
      <w:pPr>
        <w:spacing w:line="360" w:lineRule="auto"/>
        <w:ind w:firstLine="435"/>
        <w:rPr>
          <w:rFonts w:ascii="宋体" w:eastAsia="宋体"/>
          <w:sz w:val="24"/>
          <w:highlight w:val="none"/>
        </w:rPr>
      </w:pPr>
      <w:r>
        <w:rPr>
          <w:rFonts w:hint="eastAsia" w:ascii="宋体" w:eastAsia="宋体"/>
          <w:sz w:val="24"/>
          <w:highlight w:val="none"/>
        </w:rPr>
        <w:t>6</w:t>
      </w:r>
      <w:r>
        <w:rPr>
          <w:rFonts w:ascii="宋体" w:eastAsia="宋体"/>
          <w:sz w:val="24"/>
          <w:highlight w:val="none"/>
        </w:rPr>
        <w:t>.</w:t>
      </w:r>
      <w:r>
        <w:rPr>
          <w:rFonts w:hint="eastAsia" w:ascii="宋体" w:eastAsia="宋体"/>
          <w:sz w:val="24"/>
          <w:highlight w:val="none"/>
        </w:rPr>
        <w:t>1</w:t>
      </w:r>
      <w:r>
        <w:rPr>
          <w:rFonts w:ascii="宋体" w:eastAsia="宋体"/>
          <w:sz w:val="24"/>
          <w:highlight w:val="none"/>
        </w:rPr>
        <w:t>投标人如对招标文件内容有疑问，必须在</w:t>
      </w:r>
      <w:r>
        <w:rPr>
          <w:rFonts w:ascii="宋体" w:eastAsia="宋体"/>
          <w:sz w:val="24"/>
          <w:highlight w:val="none"/>
          <w:u w:val="single"/>
        </w:rPr>
        <w:t>投标人须知前附表</w:t>
      </w:r>
      <w:r>
        <w:rPr>
          <w:rFonts w:ascii="宋体" w:eastAsia="宋体"/>
          <w:sz w:val="24"/>
          <w:highlight w:val="none"/>
        </w:rPr>
        <w:t>规定的</w:t>
      </w:r>
      <w:r>
        <w:rPr>
          <w:rFonts w:hint="eastAsia" w:ascii="宋体" w:eastAsia="宋体"/>
          <w:sz w:val="24"/>
          <w:highlight w:val="none"/>
        </w:rPr>
        <w:t>网上询问</w:t>
      </w:r>
      <w:r>
        <w:rPr>
          <w:rFonts w:ascii="宋体" w:eastAsia="宋体"/>
          <w:sz w:val="24"/>
          <w:highlight w:val="none"/>
        </w:rPr>
        <w:t>截止时间前以网上提问形式</w:t>
      </w:r>
      <w:r>
        <w:rPr>
          <w:rFonts w:hint="eastAsia" w:ascii="宋体" w:eastAsia="宋体"/>
          <w:sz w:val="24"/>
          <w:highlight w:val="none"/>
        </w:rPr>
        <w:t>（电子交易系统）</w:t>
      </w:r>
      <w:r>
        <w:rPr>
          <w:rFonts w:ascii="宋体" w:eastAsia="宋体"/>
          <w:sz w:val="24"/>
          <w:highlight w:val="none"/>
        </w:rPr>
        <w:t>提交给采购代理机构。</w:t>
      </w:r>
    </w:p>
    <w:p>
      <w:pPr>
        <w:spacing w:line="360" w:lineRule="auto"/>
        <w:ind w:firstLine="435"/>
        <w:rPr>
          <w:rFonts w:ascii="宋体" w:eastAsia="宋体"/>
          <w:sz w:val="24"/>
          <w:highlight w:val="none"/>
        </w:rPr>
      </w:pPr>
      <w:r>
        <w:rPr>
          <w:rFonts w:hint="eastAsia" w:ascii="宋体" w:eastAsia="宋体"/>
          <w:sz w:val="24"/>
          <w:highlight w:val="none"/>
        </w:rPr>
        <w:t>6</w:t>
      </w:r>
      <w:r>
        <w:rPr>
          <w:rFonts w:ascii="宋体" w:eastAsia="宋体"/>
          <w:sz w:val="24"/>
          <w:highlight w:val="none"/>
        </w:rPr>
        <w:t>.</w:t>
      </w:r>
      <w:r>
        <w:rPr>
          <w:rFonts w:hint="eastAsia" w:ascii="宋体" w:eastAsia="宋体"/>
          <w:sz w:val="24"/>
          <w:highlight w:val="none"/>
        </w:rPr>
        <w:t>2采购人可主动地或在解答投标人提出的问题时对招标文件进行澄清与修改。</w:t>
      </w:r>
      <w:r>
        <w:rPr>
          <w:rFonts w:ascii="宋体" w:eastAsia="宋体"/>
          <w:sz w:val="24"/>
          <w:highlight w:val="none"/>
        </w:rPr>
        <w:t>采购代理机构将</w:t>
      </w:r>
      <w:r>
        <w:rPr>
          <w:rFonts w:hint="eastAsia" w:ascii="宋体" w:eastAsia="宋体"/>
          <w:sz w:val="24"/>
          <w:highlight w:val="none"/>
        </w:rPr>
        <w:t>在安徽省政府采购网以发布更正公告的方式</w:t>
      </w:r>
      <w:r>
        <w:rPr>
          <w:rFonts w:ascii="宋体" w:eastAsia="宋体"/>
          <w:sz w:val="24"/>
          <w:highlight w:val="none"/>
        </w:rPr>
        <w:t>，</w:t>
      </w:r>
      <w:r>
        <w:rPr>
          <w:rFonts w:hint="eastAsia" w:ascii="宋体" w:eastAsia="宋体"/>
          <w:sz w:val="24"/>
          <w:highlight w:val="none"/>
        </w:rPr>
        <w:t>澄清或修改招标文件，更正公告的</w:t>
      </w:r>
      <w:r>
        <w:rPr>
          <w:rFonts w:ascii="宋体" w:eastAsia="宋体"/>
          <w:sz w:val="24"/>
          <w:highlight w:val="none"/>
        </w:rPr>
        <w:t>内容</w:t>
      </w:r>
      <w:r>
        <w:rPr>
          <w:rFonts w:hint="eastAsia" w:ascii="宋体" w:eastAsia="宋体"/>
          <w:sz w:val="24"/>
          <w:highlight w:val="none"/>
        </w:rPr>
        <w:t>作</w:t>
      </w:r>
      <w:r>
        <w:rPr>
          <w:rFonts w:ascii="宋体" w:eastAsia="宋体"/>
          <w:sz w:val="24"/>
          <w:highlight w:val="none"/>
        </w:rPr>
        <w:t>为招标文件</w:t>
      </w:r>
      <w:r>
        <w:rPr>
          <w:rFonts w:hint="eastAsia" w:ascii="宋体" w:eastAsia="宋体"/>
          <w:sz w:val="24"/>
          <w:highlight w:val="none"/>
        </w:rPr>
        <w:t>的</w:t>
      </w:r>
      <w:r>
        <w:rPr>
          <w:rFonts w:ascii="宋体" w:eastAsia="宋体"/>
          <w:sz w:val="24"/>
          <w:highlight w:val="none"/>
        </w:rPr>
        <w:t>组成部分，对投标人起约束作用</w:t>
      </w:r>
      <w:r>
        <w:rPr>
          <w:rFonts w:hint="eastAsia" w:ascii="宋体" w:eastAsia="宋体"/>
          <w:sz w:val="24"/>
          <w:highlight w:val="none"/>
        </w:rPr>
        <w:t>。投标人应主动上网查询。采购代理机构不承担投标人未及时关注相关信息引发的相关责任。</w:t>
      </w:r>
    </w:p>
    <w:p>
      <w:pPr>
        <w:spacing w:line="360" w:lineRule="auto"/>
        <w:ind w:firstLine="435"/>
        <w:rPr>
          <w:rFonts w:ascii="宋体" w:eastAsia="宋体"/>
          <w:sz w:val="24"/>
          <w:highlight w:val="none"/>
        </w:rPr>
      </w:pPr>
      <w:r>
        <w:rPr>
          <w:rFonts w:hint="eastAsia" w:ascii="宋体" w:eastAsia="宋体"/>
          <w:sz w:val="24"/>
          <w:highlight w:val="none"/>
        </w:rPr>
        <w:t>6.3任何人或任何组织向投标人提供的任何书面或口头资料，未经采购代理机构在网上发布或书面通知，均作无效处理，不得作为招标文件的组成部分。采购代理机构对投标人由此而做出的推论、理解和结论概不负责。</w:t>
      </w:r>
    </w:p>
    <w:p>
      <w:pPr>
        <w:spacing w:line="360" w:lineRule="auto"/>
        <w:ind w:firstLine="435"/>
        <w:rPr>
          <w:rFonts w:ascii="宋体" w:eastAsia="宋体"/>
          <w:i/>
          <w:iCs/>
          <w:sz w:val="24"/>
          <w:highlight w:val="none"/>
        </w:rPr>
      </w:pPr>
      <w:r>
        <w:rPr>
          <w:rFonts w:hint="eastAsia" w:ascii="宋体" w:eastAsia="宋体"/>
          <w:sz w:val="24"/>
          <w:highlight w:val="none"/>
        </w:rPr>
        <w:t>6</w:t>
      </w:r>
      <w:r>
        <w:rPr>
          <w:rFonts w:ascii="宋体" w:eastAsia="宋体"/>
          <w:sz w:val="24"/>
          <w:highlight w:val="none"/>
        </w:rPr>
        <w:t>.</w:t>
      </w:r>
      <w:r>
        <w:rPr>
          <w:rFonts w:hint="eastAsia" w:ascii="宋体" w:eastAsia="宋体"/>
          <w:sz w:val="24"/>
          <w:highlight w:val="none"/>
        </w:rPr>
        <w:t>4</w:t>
      </w:r>
      <w:r>
        <w:rPr>
          <w:rFonts w:ascii="宋体" w:eastAsia="宋体"/>
          <w:sz w:val="24"/>
          <w:highlight w:val="none"/>
        </w:rPr>
        <w:t>对于没有提出</w:t>
      </w:r>
      <w:r>
        <w:rPr>
          <w:rFonts w:hint="eastAsia" w:ascii="宋体" w:eastAsia="宋体"/>
          <w:sz w:val="24"/>
          <w:highlight w:val="none"/>
        </w:rPr>
        <w:t>疑问</w:t>
      </w:r>
      <w:r>
        <w:rPr>
          <w:rFonts w:ascii="宋体" w:eastAsia="宋体"/>
          <w:sz w:val="24"/>
          <w:highlight w:val="none"/>
        </w:rPr>
        <w:t>又参与了</w:t>
      </w:r>
      <w:r>
        <w:rPr>
          <w:rFonts w:hint="eastAsia" w:ascii="宋体" w:eastAsia="宋体"/>
          <w:sz w:val="24"/>
          <w:highlight w:val="none"/>
        </w:rPr>
        <w:t>本</w:t>
      </w:r>
      <w:r>
        <w:rPr>
          <w:rFonts w:ascii="宋体" w:eastAsia="宋体"/>
          <w:sz w:val="24"/>
          <w:highlight w:val="none"/>
        </w:rPr>
        <w:t>项目投标的</w:t>
      </w:r>
      <w:r>
        <w:rPr>
          <w:rFonts w:hint="eastAsia" w:ascii="宋体" w:eastAsia="宋体"/>
          <w:sz w:val="24"/>
          <w:highlight w:val="none"/>
        </w:rPr>
        <w:t>投标人</w:t>
      </w:r>
      <w:r>
        <w:rPr>
          <w:rFonts w:ascii="宋体" w:eastAsia="宋体"/>
          <w:sz w:val="24"/>
          <w:highlight w:val="none"/>
        </w:rPr>
        <w:t>将被视为完全认同</w:t>
      </w:r>
      <w:r>
        <w:rPr>
          <w:rFonts w:hint="eastAsia" w:ascii="宋体" w:eastAsia="宋体"/>
          <w:sz w:val="24"/>
          <w:highlight w:val="none"/>
        </w:rPr>
        <w:t>本</w:t>
      </w:r>
      <w:r>
        <w:rPr>
          <w:rFonts w:ascii="宋体" w:eastAsia="宋体"/>
          <w:sz w:val="24"/>
          <w:highlight w:val="none"/>
        </w:rPr>
        <w:t>招标文件（含</w:t>
      </w:r>
      <w:r>
        <w:rPr>
          <w:rFonts w:hint="eastAsia" w:ascii="宋体" w:eastAsia="宋体"/>
          <w:sz w:val="24"/>
          <w:highlight w:val="none"/>
        </w:rPr>
        <w:t>更正公告的</w:t>
      </w:r>
      <w:r>
        <w:rPr>
          <w:rFonts w:ascii="宋体" w:eastAsia="宋体"/>
          <w:sz w:val="24"/>
          <w:highlight w:val="none"/>
        </w:rPr>
        <w:t>内容）</w:t>
      </w:r>
      <w:r>
        <w:rPr>
          <w:rFonts w:hint="eastAsia" w:ascii="宋体" w:eastAsia="宋体"/>
          <w:i/>
          <w:sz w:val="24"/>
          <w:highlight w:val="none"/>
        </w:rPr>
        <w:t>。</w:t>
      </w:r>
    </w:p>
    <w:p>
      <w:pPr>
        <w:spacing w:line="360" w:lineRule="auto"/>
        <w:ind w:firstLine="437"/>
        <w:outlineLvl w:val="2"/>
        <w:rPr>
          <w:rFonts w:ascii="宋体" w:eastAsia="宋体"/>
          <w:b/>
          <w:sz w:val="24"/>
          <w:highlight w:val="none"/>
        </w:rPr>
      </w:pPr>
      <w:r>
        <w:rPr>
          <w:rFonts w:hint="eastAsia" w:ascii="宋体" w:eastAsia="宋体"/>
          <w:b/>
          <w:sz w:val="24"/>
          <w:highlight w:val="none"/>
        </w:rPr>
        <w:t>7.投标范围及投标文件中标准和计量单位的使用</w:t>
      </w:r>
    </w:p>
    <w:p>
      <w:pPr>
        <w:spacing w:line="360" w:lineRule="auto"/>
        <w:ind w:firstLine="435"/>
        <w:rPr>
          <w:rFonts w:ascii="宋体" w:eastAsia="宋体"/>
          <w:sz w:val="24"/>
          <w:highlight w:val="none"/>
        </w:rPr>
      </w:pPr>
      <w:r>
        <w:rPr>
          <w:rFonts w:hint="eastAsia" w:ascii="宋体" w:eastAsia="宋体"/>
          <w:sz w:val="24"/>
          <w:highlight w:val="none"/>
        </w:rPr>
        <w:t>7</w:t>
      </w:r>
      <w:r>
        <w:rPr>
          <w:rFonts w:ascii="宋体" w:eastAsia="宋体"/>
          <w:sz w:val="24"/>
          <w:highlight w:val="none"/>
        </w:rPr>
        <w:t>.1项目有分包的，投标人可对招标文件其中某一个或几个分包进行投标，除非在</w:t>
      </w:r>
      <w:r>
        <w:rPr>
          <w:rFonts w:ascii="宋体" w:eastAsia="宋体"/>
          <w:sz w:val="24"/>
          <w:highlight w:val="none"/>
          <w:u w:val="single"/>
        </w:rPr>
        <w:t>投标人须知前附表</w:t>
      </w:r>
      <w:r>
        <w:rPr>
          <w:rFonts w:ascii="宋体" w:eastAsia="宋体"/>
          <w:sz w:val="24"/>
          <w:highlight w:val="none"/>
        </w:rPr>
        <w:t>中另有规定。</w:t>
      </w:r>
    </w:p>
    <w:p>
      <w:pPr>
        <w:spacing w:line="360" w:lineRule="auto"/>
        <w:ind w:firstLine="435"/>
        <w:rPr>
          <w:rFonts w:ascii="宋体" w:eastAsia="宋体"/>
          <w:sz w:val="24"/>
          <w:highlight w:val="none"/>
        </w:rPr>
      </w:pPr>
      <w:r>
        <w:rPr>
          <w:rFonts w:hint="eastAsia" w:ascii="宋体" w:eastAsia="宋体"/>
          <w:sz w:val="24"/>
          <w:highlight w:val="none"/>
        </w:rPr>
        <w:t>7</w:t>
      </w:r>
      <w:r>
        <w:rPr>
          <w:rFonts w:ascii="宋体" w:eastAsia="宋体"/>
          <w:sz w:val="24"/>
          <w:highlight w:val="none"/>
        </w:rPr>
        <w:t>.2投标人应当对所投分包招标文件中“</w:t>
      </w:r>
      <w:r>
        <w:rPr>
          <w:rFonts w:hint="eastAsia" w:ascii="宋体" w:eastAsia="宋体"/>
          <w:sz w:val="24"/>
          <w:highlight w:val="none"/>
        </w:rPr>
        <w:t>采购</w:t>
      </w:r>
      <w:r>
        <w:rPr>
          <w:rFonts w:ascii="宋体" w:eastAsia="宋体"/>
          <w:sz w:val="24"/>
          <w:highlight w:val="none"/>
        </w:rPr>
        <w:t>需求”所列的所有内容进行投标，如仅响应</w:t>
      </w:r>
      <w:r>
        <w:rPr>
          <w:rFonts w:hint="eastAsia" w:ascii="宋体" w:eastAsia="宋体"/>
          <w:sz w:val="24"/>
          <w:highlight w:val="none"/>
        </w:rPr>
        <w:t>所投包别</w:t>
      </w:r>
      <w:r>
        <w:rPr>
          <w:rFonts w:ascii="宋体" w:eastAsia="宋体"/>
          <w:sz w:val="24"/>
          <w:highlight w:val="none"/>
        </w:rPr>
        <w:t>中的部分内容，其</w:t>
      </w:r>
      <w:r>
        <w:rPr>
          <w:rFonts w:hint="eastAsia" w:ascii="宋体" w:eastAsia="宋体"/>
          <w:sz w:val="24"/>
          <w:highlight w:val="none"/>
        </w:rPr>
        <w:t>所投包别的</w:t>
      </w:r>
      <w:r>
        <w:rPr>
          <w:rFonts w:ascii="宋体" w:eastAsia="宋体"/>
          <w:sz w:val="24"/>
          <w:highlight w:val="none"/>
        </w:rPr>
        <w:t>投标将被认定为</w:t>
      </w:r>
      <w:r>
        <w:rPr>
          <w:rFonts w:ascii="宋体" w:eastAsia="宋体"/>
          <w:b/>
          <w:sz w:val="24"/>
          <w:highlight w:val="none"/>
        </w:rPr>
        <w:t>投标无效</w:t>
      </w:r>
      <w:r>
        <w:rPr>
          <w:rFonts w:ascii="宋体" w:eastAsia="宋体"/>
          <w:sz w:val="24"/>
          <w:highlight w:val="none"/>
        </w:rPr>
        <w:t>。</w:t>
      </w:r>
    </w:p>
    <w:p>
      <w:pPr>
        <w:spacing w:line="360" w:lineRule="auto"/>
        <w:ind w:firstLine="435"/>
        <w:rPr>
          <w:rFonts w:ascii="宋体" w:eastAsia="宋体"/>
          <w:sz w:val="24"/>
          <w:highlight w:val="none"/>
        </w:rPr>
      </w:pPr>
      <w:bookmarkStart w:id="51" w:name="_Hlk16458980"/>
      <w:r>
        <w:rPr>
          <w:rFonts w:hint="eastAsia" w:ascii="宋体" w:eastAsia="宋体"/>
          <w:sz w:val="24"/>
          <w:highlight w:val="none"/>
        </w:rPr>
        <w:t>7</w:t>
      </w:r>
      <w:r>
        <w:rPr>
          <w:rFonts w:ascii="宋体" w:eastAsia="宋体"/>
          <w:sz w:val="24"/>
          <w:highlight w:val="none"/>
        </w:rPr>
        <w:t>.3无论招标文件中是否要求，</w:t>
      </w:r>
      <w:r>
        <w:rPr>
          <w:rFonts w:hint="eastAsia" w:ascii="宋体" w:eastAsia="宋体"/>
          <w:sz w:val="24"/>
          <w:highlight w:val="none"/>
        </w:rPr>
        <w:t>投标人所投货物及伴随的服务和工程均应符合国家强制性标准。</w:t>
      </w:r>
    </w:p>
    <w:bookmarkEnd w:id="51"/>
    <w:p>
      <w:pPr>
        <w:spacing w:line="360" w:lineRule="auto"/>
        <w:ind w:firstLine="435"/>
        <w:rPr>
          <w:rFonts w:ascii="宋体" w:eastAsia="宋体"/>
          <w:sz w:val="24"/>
          <w:highlight w:val="none"/>
        </w:rPr>
      </w:pPr>
      <w:r>
        <w:rPr>
          <w:rFonts w:hint="eastAsia" w:ascii="宋体" w:eastAsia="宋体"/>
          <w:sz w:val="24"/>
          <w:highlight w:val="none"/>
        </w:rPr>
        <w:t>7</w:t>
      </w:r>
      <w:r>
        <w:rPr>
          <w:rFonts w:ascii="宋体" w:eastAsia="宋体"/>
          <w:sz w:val="24"/>
          <w:highlight w:val="none"/>
        </w:rPr>
        <w:t>.</w:t>
      </w:r>
      <w:r>
        <w:rPr>
          <w:rFonts w:hint="eastAsia" w:ascii="宋体" w:eastAsia="宋体"/>
          <w:sz w:val="24"/>
          <w:highlight w:val="none"/>
        </w:rPr>
        <w:t>4</w:t>
      </w:r>
      <w:r>
        <w:rPr>
          <w:rFonts w:ascii="宋体" w:eastAsia="宋体"/>
          <w:sz w:val="24"/>
          <w:highlight w:val="none"/>
        </w:rPr>
        <w:t>投标人与采购</w:t>
      </w:r>
      <w:r>
        <w:rPr>
          <w:rFonts w:hint="eastAsia" w:ascii="宋体" w:eastAsia="宋体"/>
          <w:sz w:val="24"/>
          <w:highlight w:val="none"/>
        </w:rPr>
        <w:t>代理</w:t>
      </w:r>
      <w:r>
        <w:rPr>
          <w:rFonts w:ascii="宋体" w:eastAsia="宋体"/>
          <w:sz w:val="24"/>
          <w:highlight w:val="none"/>
        </w:rPr>
        <w:t>机构之间与投标有关的所有往来通知、函件和投标文件均用中文表述。投标人随投标文件提供的证明文件和资料可以为其它语言，但必须附中文译文。翻译的中文资料与外文资料出现差异时，以中文为准。</w:t>
      </w:r>
    </w:p>
    <w:p>
      <w:pPr>
        <w:spacing w:line="360" w:lineRule="auto"/>
        <w:ind w:firstLine="435"/>
        <w:rPr>
          <w:rFonts w:ascii="宋体" w:eastAsia="宋体"/>
          <w:sz w:val="24"/>
          <w:highlight w:val="none"/>
        </w:rPr>
      </w:pPr>
      <w:r>
        <w:rPr>
          <w:rFonts w:hint="eastAsia" w:ascii="宋体" w:eastAsia="宋体"/>
          <w:sz w:val="24"/>
          <w:highlight w:val="none"/>
        </w:rPr>
        <w:t>7</w:t>
      </w:r>
      <w:r>
        <w:rPr>
          <w:rFonts w:ascii="宋体" w:eastAsia="宋体"/>
          <w:sz w:val="24"/>
          <w:highlight w:val="none"/>
        </w:rPr>
        <w:t>.</w:t>
      </w:r>
      <w:r>
        <w:rPr>
          <w:rFonts w:hint="eastAsia" w:ascii="宋体" w:eastAsia="宋体"/>
          <w:sz w:val="24"/>
          <w:highlight w:val="none"/>
        </w:rPr>
        <w:t>5</w:t>
      </w:r>
      <w:r>
        <w:rPr>
          <w:rFonts w:ascii="宋体" w:eastAsia="宋体"/>
          <w:sz w:val="24"/>
          <w:highlight w:val="none"/>
        </w:rPr>
        <w:t>除招标文件中有特殊要求外，投标文件中所使用的计量单位，应采用中华人民共和国法定计量单位。</w:t>
      </w:r>
    </w:p>
    <w:p>
      <w:pPr>
        <w:spacing w:line="360" w:lineRule="auto"/>
        <w:ind w:firstLine="437"/>
        <w:outlineLvl w:val="2"/>
        <w:rPr>
          <w:rFonts w:ascii="宋体" w:eastAsia="宋体"/>
          <w:b/>
          <w:sz w:val="24"/>
          <w:highlight w:val="none"/>
        </w:rPr>
      </w:pPr>
      <w:r>
        <w:rPr>
          <w:rFonts w:hint="eastAsia" w:ascii="宋体" w:eastAsia="宋体"/>
          <w:b/>
          <w:sz w:val="24"/>
          <w:highlight w:val="none"/>
        </w:rPr>
        <w:t>8</w:t>
      </w:r>
      <w:r>
        <w:rPr>
          <w:rFonts w:ascii="宋体" w:eastAsia="宋体"/>
          <w:b/>
          <w:sz w:val="24"/>
          <w:highlight w:val="none"/>
        </w:rPr>
        <w:t>.</w:t>
      </w:r>
      <w:r>
        <w:rPr>
          <w:rFonts w:hint="eastAsia" w:ascii="宋体" w:eastAsia="宋体"/>
          <w:b/>
          <w:sz w:val="24"/>
          <w:highlight w:val="none"/>
        </w:rPr>
        <w:t>投标文件构成</w:t>
      </w:r>
    </w:p>
    <w:p>
      <w:pPr>
        <w:spacing w:line="360" w:lineRule="auto"/>
        <w:ind w:firstLine="435"/>
        <w:rPr>
          <w:rFonts w:ascii="宋体" w:eastAsia="宋体"/>
          <w:sz w:val="24"/>
          <w:highlight w:val="none"/>
        </w:rPr>
      </w:pPr>
      <w:r>
        <w:rPr>
          <w:rFonts w:hint="eastAsia" w:ascii="宋体" w:eastAsia="宋体"/>
          <w:sz w:val="24"/>
          <w:highlight w:val="none"/>
        </w:rPr>
        <w:t>8</w:t>
      </w:r>
      <w:r>
        <w:rPr>
          <w:rFonts w:ascii="宋体" w:eastAsia="宋体"/>
          <w:sz w:val="24"/>
          <w:highlight w:val="none"/>
        </w:rPr>
        <w:t>.1投标人应完整地按招标文件提供的投标文件格式及要求</w:t>
      </w:r>
      <w:r>
        <w:rPr>
          <w:rFonts w:hint="eastAsia" w:ascii="宋体" w:eastAsia="宋体"/>
          <w:sz w:val="24"/>
          <w:highlight w:val="none"/>
        </w:rPr>
        <w:t>编</w:t>
      </w:r>
      <w:r>
        <w:rPr>
          <w:rFonts w:ascii="宋体" w:eastAsia="宋体"/>
          <w:sz w:val="24"/>
          <w:highlight w:val="none"/>
        </w:rPr>
        <w:t>写投标文件，</w:t>
      </w:r>
      <w:r>
        <w:rPr>
          <w:rFonts w:hint="eastAsia" w:ascii="宋体" w:eastAsia="宋体"/>
          <w:sz w:val="24"/>
          <w:highlight w:val="none"/>
        </w:rPr>
        <w:t>具体内容详见本项目投标文件格式的相关内容。</w:t>
      </w:r>
    </w:p>
    <w:p>
      <w:pPr>
        <w:spacing w:line="360" w:lineRule="auto"/>
        <w:ind w:firstLine="435"/>
        <w:rPr>
          <w:rFonts w:ascii="宋体" w:eastAsia="宋体"/>
          <w:sz w:val="24"/>
          <w:highlight w:val="none"/>
        </w:rPr>
      </w:pPr>
      <w:r>
        <w:rPr>
          <w:rFonts w:hint="eastAsia" w:ascii="宋体" w:eastAsia="宋体"/>
          <w:sz w:val="24"/>
          <w:highlight w:val="none"/>
        </w:rPr>
        <w:t>8.2</w:t>
      </w:r>
      <w:r>
        <w:rPr>
          <w:rFonts w:ascii="宋体" w:eastAsia="宋体"/>
          <w:sz w:val="24"/>
          <w:highlight w:val="none"/>
        </w:rPr>
        <w:t>投标人应提交</w:t>
      </w:r>
      <w:r>
        <w:rPr>
          <w:rFonts w:hint="eastAsia" w:ascii="宋体" w:eastAsia="宋体"/>
          <w:sz w:val="24"/>
          <w:highlight w:val="none"/>
        </w:rPr>
        <w:t>招标文件要求的</w:t>
      </w:r>
      <w:r>
        <w:rPr>
          <w:rFonts w:ascii="宋体" w:eastAsia="宋体"/>
          <w:sz w:val="24"/>
          <w:highlight w:val="none"/>
        </w:rPr>
        <w:t>证明文件，证明其投标内容符合招标文件规定</w:t>
      </w:r>
      <w:r>
        <w:rPr>
          <w:rFonts w:hint="eastAsia" w:ascii="宋体" w:eastAsia="宋体"/>
          <w:sz w:val="24"/>
          <w:highlight w:val="none"/>
        </w:rPr>
        <w:t>，</w:t>
      </w:r>
      <w:r>
        <w:rPr>
          <w:rFonts w:ascii="宋体" w:eastAsia="宋体"/>
          <w:sz w:val="24"/>
          <w:highlight w:val="none"/>
        </w:rPr>
        <w:t>该证明文件是投标文件的一部分</w:t>
      </w:r>
      <w:r>
        <w:rPr>
          <w:rFonts w:hint="eastAsia" w:ascii="宋体" w:eastAsia="宋体"/>
          <w:sz w:val="24"/>
          <w:highlight w:val="none"/>
        </w:rPr>
        <w:t>。</w:t>
      </w:r>
      <w:r>
        <w:rPr>
          <w:rFonts w:ascii="宋体" w:eastAsia="宋体"/>
          <w:sz w:val="24"/>
          <w:highlight w:val="none"/>
        </w:rPr>
        <w:t>证明文件</w:t>
      </w:r>
      <w:r>
        <w:rPr>
          <w:rFonts w:hint="eastAsia" w:ascii="宋体" w:eastAsia="宋体"/>
          <w:sz w:val="24"/>
          <w:highlight w:val="none"/>
        </w:rPr>
        <w:t>形式</w:t>
      </w:r>
      <w:r>
        <w:rPr>
          <w:rFonts w:ascii="宋体" w:eastAsia="宋体"/>
          <w:sz w:val="24"/>
          <w:highlight w:val="none"/>
        </w:rPr>
        <w:t>可以是文字资料、图纸和数据</w:t>
      </w:r>
      <w:bookmarkStart w:id="52" w:name="_Hlk11703583"/>
      <w:r>
        <w:rPr>
          <w:rFonts w:hint="eastAsia" w:ascii="宋体" w:eastAsia="宋体"/>
          <w:sz w:val="24"/>
          <w:highlight w:val="none"/>
        </w:rPr>
        <w:t>等。</w:t>
      </w:r>
    </w:p>
    <w:bookmarkEnd w:id="52"/>
    <w:p>
      <w:pPr>
        <w:spacing w:line="360" w:lineRule="auto"/>
        <w:ind w:firstLine="435"/>
        <w:rPr>
          <w:rFonts w:ascii="宋体" w:eastAsia="宋体"/>
          <w:sz w:val="24"/>
          <w:highlight w:val="none"/>
        </w:rPr>
      </w:pPr>
      <w:r>
        <w:rPr>
          <w:rFonts w:hint="eastAsia" w:ascii="宋体" w:eastAsia="宋体"/>
          <w:sz w:val="24"/>
          <w:highlight w:val="none"/>
        </w:rPr>
        <w:t>8.3</w:t>
      </w:r>
      <w:r>
        <w:rPr>
          <w:rFonts w:ascii="宋体" w:eastAsia="宋体"/>
          <w:sz w:val="24"/>
          <w:highlight w:val="none"/>
        </w:rPr>
        <w:t>为保证公平公正，除非另有规定或说明，投标人对同一项目投标时，不得同时提供</w:t>
      </w:r>
      <w:r>
        <w:rPr>
          <w:rFonts w:hint="eastAsia" w:ascii="宋体" w:eastAsia="宋体"/>
          <w:sz w:val="24"/>
          <w:highlight w:val="none"/>
        </w:rPr>
        <w:t>备选</w:t>
      </w:r>
      <w:r>
        <w:rPr>
          <w:rFonts w:ascii="宋体" w:eastAsia="宋体"/>
          <w:sz w:val="24"/>
          <w:highlight w:val="none"/>
        </w:rPr>
        <w:t>投标方案。</w:t>
      </w:r>
    </w:p>
    <w:p>
      <w:pPr>
        <w:spacing w:line="360" w:lineRule="auto"/>
        <w:ind w:firstLine="437"/>
        <w:outlineLvl w:val="2"/>
        <w:rPr>
          <w:rFonts w:ascii="宋体" w:eastAsia="宋体"/>
          <w:b/>
          <w:sz w:val="24"/>
          <w:highlight w:val="none"/>
        </w:rPr>
      </w:pPr>
      <w:r>
        <w:rPr>
          <w:rFonts w:hint="eastAsia" w:ascii="宋体" w:eastAsia="宋体"/>
          <w:b/>
          <w:sz w:val="24"/>
          <w:highlight w:val="none"/>
        </w:rPr>
        <w:t>9</w:t>
      </w:r>
      <w:r>
        <w:rPr>
          <w:rFonts w:ascii="宋体" w:eastAsia="宋体"/>
          <w:b/>
          <w:sz w:val="24"/>
          <w:highlight w:val="none"/>
        </w:rPr>
        <w:t>.</w:t>
      </w:r>
      <w:r>
        <w:rPr>
          <w:rFonts w:hint="eastAsia" w:ascii="宋体" w:eastAsia="宋体"/>
          <w:b/>
          <w:sz w:val="24"/>
          <w:highlight w:val="none"/>
        </w:rPr>
        <w:t>投标报价</w:t>
      </w:r>
    </w:p>
    <w:p>
      <w:pPr>
        <w:spacing w:line="360" w:lineRule="auto"/>
        <w:ind w:firstLine="435"/>
        <w:rPr>
          <w:rFonts w:ascii="宋体" w:eastAsia="宋体"/>
          <w:sz w:val="24"/>
          <w:highlight w:val="none"/>
        </w:rPr>
      </w:pPr>
      <w:r>
        <w:rPr>
          <w:rFonts w:hint="eastAsia" w:ascii="宋体" w:eastAsia="宋体"/>
          <w:sz w:val="24"/>
          <w:highlight w:val="none"/>
        </w:rPr>
        <w:t>9</w:t>
      </w:r>
      <w:r>
        <w:rPr>
          <w:rFonts w:ascii="宋体" w:eastAsia="宋体"/>
          <w:sz w:val="24"/>
          <w:highlight w:val="none"/>
        </w:rPr>
        <w:t>.1投标人的报价应当包括满足本次招标全部采购需求</w:t>
      </w:r>
      <w:r>
        <w:rPr>
          <w:rFonts w:hint="eastAsia" w:ascii="宋体" w:eastAsia="宋体"/>
          <w:sz w:val="24"/>
          <w:highlight w:val="none"/>
        </w:rPr>
        <w:t>。除招标文件另有规定外，所有投标均应以人民币报价。投标人的投标报价应遵守《中华人民共和国价格法》。</w:t>
      </w:r>
    </w:p>
    <w:p>
      <w:pPr>
        <w:spacing w:line="360" w:lineRule="auto"/>
        <w:ind w:firstLine="435"/>
        <w:rPr>
          <w:rFonts w:ascii="宋体" w:eastAsia="宋体"/>
          <w:sz w:val="24"/>
          <w:highlight w:val="none"/>
        </w:rPr>
      </w:pPr>
      <w:r>
        <w:rPr>
          <w:rFonts w:hint="eastAsia" w:ascii="宋体" w:eastAsia="宋体"/>
          <w:sz w:val="24"/>
          <w:highlight w:val="none"/>
        </w:rPr>
        <w:t>9</w:t>
      </w:r>
      <w:r>
        <w:rPr>
          <w:rFonts w:ascii="宋体" w:eastAsia="宋体"/>
          <w:sz w:val="24"/>
          <w:highlight w:val="none"/>
        </w:rPr>
        <w:t>.2投标人报价超过招标文件规定的预算金额或者分项、分包最高限价，其投标将被认定为</w:t>
      </w:r>
      <w:r>
        <w:rPr>
          <w:rFonts w:ascii="宋体" w:eastAsia="宋体"/>
          <w:b/>
          <w:bCs/>
          <w:sz w:val="24"/>
          <w:highlight w:val="none"/>
        </w:rPr>
        <w:t>投标无效</w:t>
      </w:r>
      <w:r>
        <w:rPr>
          <w:rFonts w:ascii="宋体" w:eastAsia="宋体"/>
          <w:sz w:val="24"/>
          <w:highlight w:val="none"/>
        </w:rPr>
        <w:t>。</w:t>
      </w:r>
    </w:p>
    <w:p>
      <w:pPr>
        <w:spacing w:line="360" w:lineRule="auto"/>
        <w:ind w:firstLine="435"/>
        <w:rPr>
          <w:rFonts w:ascii="宋体" w:eastAsia="宋体"/>
          <w:sz w:val="24"/>
          <w:highlight w:val="none"/>
        </w:rPr>
      </w:pPr>
      <w:r>
        <w:rPr>
          <w:rFonts w:hint="eastAsia" w:ascii="宋体" w:eastAsia="宋体"/>
          <w:sz w:val="24"/>
          <w:highlight w:val="none"/>
        </w:rPr>
        <w:t>9</w:t>
      </w:r>
      <w:r>
        <w:rPr>
          <w:rFonts w:ascii="宋体" w:eastAsia="宋体"/>
          <w:sz w:val="24"/>
          <w:highlight w:val="none"/>
        </w:rPr>
        <w:t>.</w:t>
      </w:r>
      <w:r>
        <w:rPr>
          <w:rFonts w:hint="eastAsia" w:ascii="宋体" w:eastAsia="宋体"/>
          <w:sz w:val="24"/>
          <w:highlight w:val="none"/>
        </w:rPr>
        <w:t>3投标报价</w:t>
      </w:r>
      <w:r>
        <w:rPr>
          <w:rFonts w:ascii="宋体" w:eastAsia="宋体"/>
          <w:sz w:val="24"/>
          <w:highlight w:val="none"/>
        </w:rPr>
        <w:t>在合同履行过程中是固定不变的，不得以任何理由予以变更。任何包含价格调整要求的投标，其投标将被认定为</w:t>
      </w:r>
      <w:r>
        <w:rPr>
          <w:rFonts w:ascii="宋体" w:eastAsia="宋体"/>
          <w:b/>
          <w:sz w:val="24"/>
          <w:highlight w:val="none"/>
        </w:rPr>
        <w:t>投标无效</w:t>
      </w:r>
      <w:r>
        <w:rPr>
          <w:rFonts w:ascii="宋体" w:eastAsia="宋体"/>
          <w:sz w:val="24"/>
          <w:highlight w:val="none"/>
        </w:rPr>
        <w:t>。</w:t>
      </w:r>
    </w:p>
    <w:p>
      <w:pPr>
        <w:spacing w:line="360" w:lineRule="auto"/>
        <w:ind w:firstLine="435"/>
        <w:rPr>
          <w:rFonts w:ascii="宋体" w:eastAsia="宋体"/>
          <w:sz w:val="24"/>
          <w:highlight w:val="none"/>
        </w:rPr>
      </w:pPr>
      <w:r>
        <w:rPr>
          <w:rFonts w:hint="eastAsia" w:ascii="宋体" w:eastAsia="宋体"/>
          <w:sz w:val="24"/>
          <w:highlight w:val="none"/>
        </w:rPr>
        <w:t>9</w:t>
      </w:r>
      <w:r>
        <w:rPr>
          <w:rFonts w:ascii="宋体" w:eastAsia="宋体"/>
          <w:sz w:val="24"/>
          <w:highlight w:val="none"/>
        </w:rPr>
        <w:t>.</w:t>
      </w:r>
      <w:r>
        <w:rPr>
          <w:rFonts w:hint="eastAsia" w:ascii="宋体" w:eastAsia="宋体"/>
          <w:sz w:val="24"/>
          <w:highlight w:val="none"/>
        </w:rPr>
        <w:t>4评标委员会认为投标人的报价明显低于其他通过符合性审查投标人的报价，有可能影响产品质量或者不能诚信履约的，应当要求其在合理的时间内提供书面说明，</w:t>
      </w:r>
      <w:r>
        <w:rPr>
          <w:rFonts w:ascii="宋体" w:eastAsia="宋体"/>
          <w:sz w:val="24"/>
          <w:highlight w:val="none"/>
        </w:rPr>
        <w:t>必要时提交相关证明材料；投标人不能证明其报价合理性的，其投标将被认定为</w:t>
      </w:r>
      <w:r>
        <w:rPr>
          <w:rFonts w:ascii="宋体" w:eastAsia="宋体"/>
          <w:b/>
          <w:sz w:val="24"/>
          <w:highlight w:val="none"/>
        </w:rPr>
        <w:t>投标无效</w:t>
      </w:r>
      <w:r>
        <w:rPr>
          <w:rFonts w:hint="eastAsia" w:ascii="宋体" w:eastAsia="宋体"/>
          <w:sz w:val="24"/>
          <w:highlight w:val="none"/>
        </w:rPr>
        <w:t>。</w:t>
      </w:r>
    </w:p>
    <w:p>
      <w:pPr>
        <w:spacing w:line="360" w:lineRule="auto"/>
        <w:ind w:firstLine="435"/>
        <w:rPr>
          <w:rFonts w:ascii="宋体" w:eastAsia="宋体"/>
          <w:sz w:val="24"/>
          <w:highlight w:val="none"/>
        </w:rPr>
      </w:pPr>
      <w:r>
        <w:rPr>
          <w:rFonts w:hint="eastAsia" w:ascii="宋体" w:eastAsia="宋体"/>
          <w:sz w:val="24"/>
          <w:highlight w:val="none"/>
        </w:rPr>
        <w:t>9</w:t>
      </w:r>
      <w:r>
        <w:rPr>
          <w:rFonts w:ascii="宋体" w:eastAsia="宋体"/>
          <w:sz w:val="24"/>
          <w:highlight w:val="none"/>
        </w:rPr>
        <w:t>.</w:t>
      </w:r>
      <w:r>
        <w:rPr>
          <w:rFonts w:hint="eastAsia" w:ascii="宋体" w:eastAsia="宋体"/>
          <w:sz w:val="24"/>
          <w:highlight w:val="none"/>
        </w:rPr>
        <w:t>5</w:t>
      </w:r>
      <w:r>
        <w:rPr>
          <w:rFonts w:ascii="宋体" w:eastAsia="宋体"/>
          <w:sz w:val="24"/>
          <w:highlight w:val="none"/>
        </w:rPr>
        <w:t>采购人不接受具有附加条件的报价。</w:t>
      </w:r>
    </w:p>
    <w:p>
      <w:pPr>
        <w:spacing w:line="360" w:lineRule="auto"/>
        <w:ind w:firstLine="437"/>
        <w:outlineLvl w:val="2"/>
        <w:rPr>
          <w:rFonts w:ascii="宋体" w:eastAsia="宋体"/>
          <w:b/>
          <w:sz w:val="24"/>
          <w:highlight w:val="none"/>
        </w:rPr>
      </w:pPr>
      <w:r>
        <w:rPr>
          <w:rFonts w:hint="eastAsia" w:ascii="宋体" w:eastAsia="宋体"/>
          <w:b/>
          <w:sz w:val="24"/>
          <w:highlight w:val="none"/>
        </w:rPr>
        <w:t>10</w:t>
      </w:r>
      <w:r>
        <w:rPr>
          <w:rFonts w:ascii="宋体" w:eastAsia="宋体"/>
          <w:b/>
          <w:sz w:val="24"/>
          <w:highlight w:val="none"/>
        </w:rPr>
        <w:t>.</w:t>
      </w:r>
      <w:r>
        <w:rPr>
          <w:rFonts w:hint="eastAsia" w:ascii="宋体" w:eastAsia="宋体"/>
          <w:b/>
          <w:sz w:val="24"/>
          <w:highlight w:val="none"/>
        </w:rPr>
        <w:t>投标保证金</w:t>
      </w:r>
    </w:p>
    <w:p>
      <w:pPr>
        <w:spacing w:line="360" w:lineRule="auto"/>
        <w:ind w:firstLine="435"/>
        <w:rPr>
          <w:rFonts w:ascii="宋体" w:eastAsia="宋体"/>
          <w:sz w:val="24"/>
          <w:highlight w:val="none"/>
        </w:rPr>
      </w:pPr>
      <w:r>
        <w:rPr>
          <w:rFonts w:hint="eastAsia" w:ascii="宋体" w:eastAsia="宋体"/>
          <w:sz w:val="24"/>
          <w:highlight w:val="none"/>
        </w:rPr>
        <w:t>10.1本项目不收取投标保证金。</w:t>
      </w:r>
    </w:p>
    <w:p>
      <w:pPr>
        <w:spacing w:line="360" w:lineRule="auto"/>
        <w:ind w:firstLine="437"/>
        <w:outlineLvl w:val="2"/>
        <w:rPr>
          <w:rFonts w:ascii="宋体" w:eastAsia="宋体"/>
          <w:b/>
          <w:sz w:val="24"/>
          <w:highlight w:val="none"/>
        </w:rPr>
      </w:pPr>
      <w:r>
        <w:rPr>
          <w:rFonts w:hint="eastAsia" w:ascii="宋体" w:eastAsia="宋体"/>
          <w:b/>
          <w:sz w:val="24"/>
          <w:highlight w:val="none"/>
        </w:rPr>
        <w:t>11</w:t>
      </w:r>
      <w:r>
        <w:rPr>
          <w:rFonts w:ascii="宋体" w:eastAsia="宋体"/>
          <w:b/>
          <w:sz w:val="24"/>
          <w:highlight w:val="none"/>
        </w:rPr>
        <w:t>.</w:t>
      </w:r>
      <w:r>
        <w:rPr>
          <w:rFonts w:hint="eastAsia" w:ascii="宋体" w:eastAsia="宋体"/>
          <w:b/>
          <w:sz w:val="24"/>
          <w:highlight w:val="none"/>
        </w:rPr>
        <w:t>投标有效期</w:t>
      </w:r>
    </w:p>
    <w:p>
      <w:pPr>
        <w:spacing w:line="360" w:lineRule="auto"/>
        <w:ind w:firstLine="435"/>
        <w:rPr>
          <w:rFonts w:ascii="宋体" w:eastAsia="宋体"/>
          <w:sz w:val="24"/>
          <w:highlight w:val="none"/>
        </w:rPr>
      </w:pPr>
      <w:r>
        <w:rPr>
          <w:rFonts w:hint="eastAsia" w:ascii="宋体" w:eastAsia="宋体"/>
          <w:sz w:val="24"/>
          <w:highlight w:val="none"/>
        </w:rPr>
        <w:t>11.1投标有效期为从投标截止之日算起的日历天数，投标有效期详见</w:t>
      </w:r>
      <w:r>
        <w:rPr>
          <w:rFonts w:hint="eastAsia" w:ascii="宋体" w:eastAsia="宋体"/>
          <w:sz w:val="24"/>
          <w:highlight w:val="none"/>
          <w:u w:val="single"/>
        </w:rPr>
        <w:t>投标人须知前附表</w:t>
      </w:r>
      <w:r>
        <w:rPr>
          <w:rFonts w:hint="eastAsia" w:ascii="宋体" w:eastAsia="宋体"/>
          <w:sz w:val="24"/>
          <w:highlight w:val="none"/>
        </w:rPr>
        <w:t>。</w:t>
      </w:r>
    </w:p>
    <w:p>
      <w:pPr>
        <w:spacing w:line="360" w:lineRule="auto"/>
        <w:ind w:firstLine="435"/>
        <w:rPr>
          <w:rFonts w:ascii="宋体" w:eastAsia="宋体"/>
          <w:sz w:val="24"/>
          <w:highlight w:val="none"/>
        </w:rPr>
      </w:pPr>
      <w:r>
        <w:rPr>
          <w:rFonts w:hint="eastAsia" w:ascii="宋体" w:eastAsia="宋体"/>
          <w:sz w:val="24"/>
          <w:highlight w:val="none"/>
        </w:rPr>
        <w:t>11.2在投标有效期内，投标人的投标保持有效，投标人不得要求撤销或修改其投标文件。投标有效期不满足要求的投标，其投标将被认定为</w:t>
      </w:r>
      <w:r>
        <w:rPr>
          <w:rFonts w:hint="eastAsia" w:ascii="宋体" w:eastAsia="宋体"/>
          <w:b/>
          <w:sz w:val="24"/>
          <w:highlight w:val="none"/>
        </w:rPr>
        <w:t>投标无效</w:t>
      </w:r>
      <w:r>
        <w:rPr>
          <w:rFonts w:hint="eastAsia" w:ascii="宋体" w:eastAsia="宋体"/>
          <w:sz w:val="24"/>
          <w:highlight w:val="none"/>
        </w:rPr>
        <w:t>。</w:t>
      </w:r>
    </w:p>
    <w:p>
      <w:pPr>
        <w:spacing w:line="360" w:lineRule="auto"/>
        <w:ind w:firstLine="435"/>
        <w:rPr>
          <w:rFonts w:ascii="宋体" w:eastAsia="宋体"/>
          <w:sz w:val="24"/>
          <w:highlight w:val="none"/>
        </w:rPr>
      </w:pPr>
      <w:r>
        <w:rPr>
          <w:rFonts w:ascii="宋体" w:eastAsia="宋体"/>
          <w:sz w:val="24"/>
          <w:highlight w:val="none"/>
        </w:rPr>
        <w:t>1</w:t>
      </w:r>
      <w:r>
        <w:rPr>
          <w:rFonts w:hint="eastAsia" w:ascii="宋体" w:eastAsia="宋体"/>
          <w:sz w:val="24"/>
          <w:highlight w:val="none"/>
        </w:rPr>
        <w:t>1</w:t>
      </w:r>
      <w:r>
        <w:rPr>
          <w:rFonts w:ascii="宋体" w:eastAsia="宋体"/>
          <w:sz w:val="24"/>
          <w:highlight w:val="none"/>
        </w:rPr>
        <w:t>.3</w:t>
      </w:r>
      <w:r>
        <w:rPr>
          <w:rFonts w:hint="eastAsia" w:ascii="宋体" w:eastAsia="宋体"/>
          <w:sz w:val="24"/>
          <w:highlight w:val="none"/>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pPr>
        <w:spacing w:line="360" w:lineRule="auto"/>
        <w:ind w:firstLine="437"/>
        <w:outlineLvl w:val="2"/>
        <w:rPr>
          <w:rFonts w:ascii="宋体" w:eastAsia="宋体"/>
          <w:b/>
          <w:sz w:val="24"/>
          <w:highlight w:val="none"/>
        </w:rPr>
      </w:pPr>
      <w:r>
        <w:rPr>
          <w:rFonts w:hint="eastAsia" w:ascii="宋体" w:eastAsia="宋体"/>
          <w:b/>
          <w:sz w:val="24"/>
          <w:highlight w:val="none"/>
        </w:rPr>
        <w:t>12</w:t>
      </w:r>
      <w:r>
        <w:rPr>
          <w:rFonts w:ascii="宋体" w:eastAsia="宋体"/>
          <w:b/>
          <w:sz w:val="24"/>
          <w:highlight w:val="none"/>
        </w:rPr>
        <w:t>.</w:t>
      </w:r>
      <w:r>
        <w:rPr>
          <w:rFonts w:hint="eastAsia" w:ascii="宋体" w:eastAsia="宋体"/>
          <w:b/>
          <w:sz w:val="24"/>
          <w:highlight w:val="none"/>
        </w:rPr>
        <w:t>投标文件的递交、修改与撤回</w:t>
      </w:r>
    </w:p>
    <w:p>
      <w:pPr>
        <w:spacing w:line="360" w:lineRule="auto"/>
        <w:ind w:firstLine="435"/>
        <w:rPr>
          <w:rFonts w:ascii="宋体" w:eastAsia="宋体"/>
          <w:sz w:val="24"/>
          <w:highlight w:val="none"/>
        </w:rPr>
      </w:pPr>
      <w:r>
        <w:rPr>
          <w:rFonts w:ascii="宋体" w:eastAsia="宋体"/>
          <w:sz w:val="24"/>
          <w:highlight w:val="none"/>
        </w:rPr>
        <w:t>1</w:t>
      </w:r>
      <w:r>
        <w:rPr>
          <w:rFonts w:hint="eastAsia" w:ascii="宋体" w:eastAsia="宋体"/>
          <w:sz w:val="24"/>
          <w:highlight w:val="none"/>
        </w:rPr>
        <w:t>2.1投标人应当在招标公告规定的投标截止时间前</w:t>
      </w:r>
      <w:r>
        <w:rPr>
          <w:rFonts w:ascii="宋体" w:eastAsia="宋体"/>
          <w:sz w:val="24"/>
          <w:highlight w:val="none"/>
        </w:rPr>
        <w:t>，将加密的投标文件</w:t>
      </w:r>
      <w:r>
        <w:rPr>
          <w:rFonts w:hint="eastAsia" w:ascii="宋体" w:eastAsia="宋体"/>
          <w:sz w:val="24"/>
          <w:highlight w:val="none"/>
        </w:rPr>
        <w:t>在电子交易系统</w:t>
      </w:r>
      <w:r>
        <w:rPr>
          <w:rFonts w:ascii="宋体" w:eastAsia="宋体"/>
          <w:sz w:val="24"/>
          <w:highlight w:val="none"/>
        </w:rPr>
        <w:t>上传。</w:t>
      </w:r>
    </w:p>
    <w:p>
      <w:pPr>
        <w:spacing w:line="360" w:lineRule="auto"/>
        <w:ind w:firstLine="435"/>
        <w:rPr>
          <w:rFonts w:ascii="宋体" w:eastAsia="宋体"/>
          <w:sz w:val="24"/>
          <w:highlight w:val="none"/>
        </w:rPr>
      </w:pPr>
      <w:r>
        <w:rPr>
          <w:rFonts w:ascii="宋体" w:eastAsia="宋体"/>
          <w:sz w:val="24"/>
          <w:highlight w:val="none"/>
        </w:rPr>
        <w:t>1</w:t>
      </w:r>
      <w:r>
        <w:rPr>
          <w:rFonts w:hint="eastAsia" w:ascii="宋体" w:eastAsia="宋体"/>
          <w:sz w:val="24"/>
          <w:highlight w:val="none"/>
        </w:rPr>
        <w:t>2.2投标人应当在投标截止时间前完成投标文件的传输递交（以接收到电子签收凭证为准），并可以补充、修改或者撤回投标文件。投标截止时间前未完成投标文件传输的，视为撤回投标文件。未按规定加密或投标截止时间后送达的投标文件，电子交易系统应当拒收。</w:t>
      </w:r>
    </w:p>
    <w:p>
      <w:pPr>
        <w:spacing w:line="360" w:lineRule="auto"/>
        <w:ind w:firstLine="437"/>
        <w:outlineLvl w:val="2"/>
        <w:rPr>
          <w:rFonts w:ascii="宋体" w:eastAsia="宋体"/>
          <w:b/>
          <w:sz w:val="24"/>
          <w:highlight w:val="none"/>
        </w:rPr>
      </w:pPr>
      <w:r>
        <w:rPr>
          <w:rFonts w:hint="eastAsia" w:ascii="宋体" w:eastAsia="宋体"/>
          <w:b/>
          <w:sz w:val="24"/>
          <w:highlight w:val="none"/>
        </w:rPr>
        <w:t>13</w:t>
      </w:r>
      <w:r>
        <w:rPr>
          <w:rFonts w:ascii="宋体" w:eastAsia="宋体"/>
          <w:b/>
          <w:sz w:val="24"/>
          <w:highlight w:val="none"/>
        </w:rPr>
        <w:t>.</w:t>
      </w:r>
      <w:r>
        <w:rPr>
          <w:rFonts w:hint="eastAsia" w:ascii="宋体" w:eastAsia="宋体"/>
          <w:b/>
          <w:sz w:val="24"/>
          <w:highlight w:val="none"/>
        </w:rPr>
        <w:t>开标</w:t>
      </w:r>
    </w:p>
    <w:p>
      <w:pPr>
        <w:spacing w:line="360" w:lineRule="auto"/>
        <w:ind w:firstLine="435"/>
        <w:rPr>
          <w:rFonts w:ascii="宋体" w:eastAsia="宋体"/>
          <w:sz w:val="24"/>
          <w:highlight w:val="none"/>
        </w:rPr>
      </w:pPr>
      <w:r>
        <w:rPr>
          <w:rFonts w:hint="eastAsia" w:ascii="宋体" w:eastAsia="宋体"/>
          <w:sz w:val="24"/>
          <w:highlight w:val="none"/>
        </w:rPr>
        <w:t>13</w:t>
      </w:r>
      <w:r>
        <w:rPr>
          <w:rFonts w:ascii="宋体" w:eastAsia="宋体"/>
          <w:sz w:val="24"/>
          <w:highlight w:val="none"/>
        </w:rPr>
        <w:t>.</w:t>
      </w:r>
      <w:r>
        <w:rPr>
          <w:rFonts w:hint="eastAsia" w:ascii="宋体" w:eastAsia="宋体"/>
          <w:sz w:val="24"/>
          <w:highlight w:val="none"/>
        </w:rPr>
        <w:t>1</w:t>
      </w:r>
      <w:r>
        <w:rPr>
          <w:rFonts w:ascii="宋体" w:eastAsia="宋体"/>
          <w:sz w:val="24"/>
          <w:highlight w:val="none"/>
        </w:rPr>
        <w:t>开标时，</w:t>
      </w:r>
      <w:r>
        <w:rPr>
          <w:rFonts w:ascii="宋体" w:eastAsia="宋体" w:cs="宋体"/>
          <w:sz w:val="24"/>
          <w:szCs w:val="24"/>
          <w:highlight w:val="none"/>
        </w:rPr>
        <w:t>各投标人应在</w:t>
      </w:r>
      <w:r>
        <w:rPr>
          <w:rFonts w:ascii="宋体" w:eastAsia="宋体" w:cs="宋体"/>
          <w:sz w:val="24"/>
          <w:szCs w:val="24"/>
          <w:highlight w:val="none"/>
          <w:u w:val="single"/>
        </w:rPr>
        <w:t>投标人须知前附表</w:t>
      </w:r>
      <w:r>
        <w:rPr>
          <w:rFonts w:ascii="宋体" w:eastAsia="宋体" w:cs="宋体"/>
          <w:sz w:val="24"/>
          <w:szCs w:val="24"/>
          <w:highlight w:val="none"/>
        </w:rPr>
        <w:t>规定的解密时间前</w:t>
      </w:r>
      <w:r>
        <w:rPr>
          <w:rFonts w:ascii="宋体" w:eastAsia="宋体"/>
          <w:sz w:val="24"/>
          <w:highlight w:val="none"/>
        </w:rPr>
        <w:t>对</w:t>
      </w:r>
      <w:r>
        <w:rPr>
          <w:rFonts w:hint="eastAsia" w:ascii="宋体" w:eastAsia="宋体" w:cs="宋体"/>
          <w:sz w:val="24"/>
          <w:szCs w:val="24"/>
          <w:highlight w:val="none"/>
        </w:rPr>
        <w:t>其</w:t>
      </w:r>
      <w:r>
        <w:rPr>
          <w:rFonts w:ascii="宋体" w:eastAsia="宋体"/>
          <w:sz w:val="24"/>
          <w:highlight w:val="none"/>
        </w:rPr>
        <w:t>投标文件</w:t>
      </w:r>
      <w:r>
        <w:rPr>
          <w:rFonts w:hint="eastAsia" w:ascii="宋体" w:eastAsia="宋体"/>
          <w:sz w:val="24"/>
          <w:highlight w:val="none"/>
        </w:rPr>
        <w:t>进行</w:t>
      </w:r>
      <w:r>
        <w:rPr>
          <w:rFonts w:ascii="宋体" w:eastAsia="宋体"/>
          <w:sz w:val="24"/>
          <w:highlight w:val="none"/>
        </w:rPr>
        <w:t>解密。</w:t>
      </w:r>
    </w:p>
    <w:p>
      <w:pPr>
        <w:spacing w:line="360" w:lineRule="auto"/>
        <w:ind w:firstLine="435"/>
        <w:rPr>
          <w:rFonts w:ascii="宋体" w:eastAsia="宋体"/>
          <w:sz w:val="24"/>
          <w:highlight w:val="none"/>
        </w:rPr>
      </w:pPr>
      <w:r>
        <w:rPr>
          <w:rFonts w:hint="eastAsia" w:ascii="宋体" w:eastAsia="宋体"/>
          <w:sz w:val="24"/>
          <w:highlight w:val="none"/>
        </w:rPr>
        <w:t>13</w:t>
      </w:r>
      <w:r>
        <w:rPr>
          <w:rFonts w:ascii="宋体" w:eastAsia="宋体"/>
          <w:sz w:val="24"/>
          <w:highlight w:val="none"/>
        </w:rPr>
        <w:t>.</w:t>
      </w:r>
      <w:r>
        <w:rPr>
          <w:rFonts w:hint="eastAsia" w:ascii="宋体" w:eastAsia="宋体"/>
          <w:sz w:val="24"/>
          <w:highlight w:val="none"/>
        </w:rPr>
        <w:t>2</w:t>
      </w:r>
      <w:r>
        <w:rPr>
          <w:rFonts w:ascii="宋体" w:eastAsia="宋体"/>
          <w:sz w:val="24"/>
          <w:highlight w:val="none"/>
        </w:rPr>
        <w:t>开标时，采购代理机构将通过网上开标系统公布</w:t>
      </w:r>
      <w:r>
        <w:rPr>
          <w:rFonts w:hint="eastAsia" w:ascii="宋体" w:eastAsia="宋体"/>
          <w:sz w:val="24"/>
          <w:highlight w:val="none"/>
        </w:rPr>
        <w:t>开标结果，公布内容包括投标人名称、投标价格及招标文件规定的内容。</w:t>
      </w:r>
    </w:p>
    <w:p>
      <w:pPr>
        <w:spacing w:line="360" w:lineRule="auto"/>
        <w:ind w:firstLine="435"/>
        <w:rPr>
          <w:rFonts w:ascii="宋体" w:eastAsia="宋体"/>
          <w:sz w:val="24"/>
          <w:highlight w:val="none"/>
        </w:rPr>
      </w:pPr>
      <w:r>
        <w:rPr>
          <w:rFonts w:hint="eastAsia" w:ascii="宋体" w:eastAsia="宋体"/>
          <w:sz w:val="24"/>
          <w:highlight w:val="none"/>
        </w:rPr>
        <w:t>13.3采购人或采购代理机构将对开标过程进行记录，由参加开标的各投标人代表和相关工作人员签字确认，并存档备查。</w:t>
      </w:r>
    </w:p>
    <w:p>
      <w:pPr>
        <w:spacing w:line="360" w:lineRule="auto"/>
        <w:ind w:firstLine="435"/>
        <w:rPr>
          <w:rFonts w:ascii="宋体" w:eastAsia="宋体"/>
          <w:sz w:val="24"/>
          <w:highlight w:val="none"/>
        </w:rPr>
      </w:pPr>
      <w:r>
        <w:rPr>
          <w:rFonts w:hint="eastAsia" w:ascii="宋体" w:eastAsia="宋体"/>
          <w:sz w:val="24"/>
          <w:highlight w:val="none"/>
        </w:rPr>
        <w:t>投标人未派代表参加开标的，视同投标人认可开标结果。</w:t>
      </w:r>
    </w:p>
    <w:p>
      <w:pPr>
        <w:spacing w:line="360" w:lineRule="auto"/>
        <w:ind w:firstLine="435"/>
        <w:rPr>
          <w:rFonts w:ascii="宋体" w:eastAsia="宋体"/>
          <w:sz w:val="28"/>
          <w:highlight w:val="none"/>
        </w:rPr>
      </w:pPr>
      <w:r>
        <w:rPr>
          <w:rFonts w:hint="eastAsia" w:ascii="宋体" w:eastAsia="宋体"/>
          <w:sz w:val="24"/>
          <w:highlight w:val="none"/>
        </w:rPr>
        <w:t>13.4投标人代表对开标过程和开标记录有疑义，以及认为采购人、采购代理机构相关工作人员有需要回避的情形的，应当场提出询问或者回避申请。</w:t>
      </w:r>
    </w:p>
    <w:p>
      <w:pPr>
        <w:spacing w:line="360" w:lineRule="auto"/>
        <w:ind w:firstLine="437"/>
        <w:outlineLvl w:val="2"/>
        <w:rPr>
          <w:rFonts w:ascii="宋体" w:eastAsia="宋体"/>
          <w:b/>
          <w:sz w:val="24"/>
          <w:highlight w:val="none"/>
        </w:rPr>
      </w:pPr>
      <w:r>
        <w:rPr>
          <w:rFonts w:hint="eastAsia" w:ascii="宋体" w:eastAsia="宋体"/>
          <w:b/>
          <w:sz w:val="24"/>
          <w:highlight w:val="none"/>
        </w:rPr>
        <w:t>14</w:t>
      </w:r>
      <w:r>
        <w:rPr>
          <w:rFonts w:ascii="宋体" w:eastAsia="宋体"/>
          <w:b/>
          <w:sz w:val="24"/>
          <w:highlight w:val="none"/>
        </w:rPr>
        <w:t>.</w:t>
      </w:r>
      <w:r>
        <w:rPr>
          <w:rFonts w:hint="eastAsia" w:ascii="宋体" w:eastAsia="宋体"/>
          <w:b/>
          <w:sz w:val="24"/>
          <w:highlight w:val="none"/>
        </w:rPr>
        <w:t>资格审查及组建评标委员会</w:t>
      </w:r>
    </w:p>
    <w:p>
      <w:pPr>
        <w:spacing w:line="360" w:lineRule="auto"/>
        <w:ind w:firstLine="435"/>
        <w:rPr>
          <w:rFonts w:ascii="宋体" w:eastAsia="宋体"/>
          <w:sz w:val="24"/>
          <w:highlight w:val="none"/>
        </w:rPr>
      </w:pPr>
      <w:r>
        <w:rPr>
          <w:rFonts w:hint="eastAsia" w:ascii="宋体" w:eastAsia="宋体"/>
          <w:sz w:val="24"/>
          <w:highlight w:val="none"/>
        </w:rPr>
        <w:t>14.1采购人或采购代理机构依据法律法规和招标文件中规定的内</w:t>
      </w:r>
      <w:r>
        <w:rPr>
          <w:rFonts w:ascii="宋体" w:eastAsia="宋体"/>
          <w:sz w:val="24"/>
          <w:highlight w:val="none"/>
        </w:rPr>
        <w:t>容</w:t>
      </w:r>
      <w:r>
        <w:rPr>
          <w:rFonts w:hint="eastAsia" w:ascii="宋体" w:eastAsia="宋体"/>
          <w:sz w:val="24"/>
          <w:highlight w:val="none"/>
        </w:rPr>
        <w:t>，对投标人资格进行审查，未</w:t>
      </w:r>
      <w:r>
        <w:rPr>
          <w:rFonts w:ascii="宋体" w:eastAsia="宋体"/>
          <w:sz w:val="24"/>
          <w:highlight w:val="none"/>
        </w:rPr>
        <w:t>通过资格审查的投标人</w:t>
      </w:r>
      <w:r>
        <w:rPr>
          <w:rFonts w:hint="eastAsia" w:ascii="宋体" w:eastAsia="宋体"/>
          <w:sz w:val="24"/>
          <w:highlight w:val="none"/>
        </w:rPr>
        <w:t>不</w:t>
      </w:r>
      <w:r>
        <w:rPr>
          <w:rFonts w:ascii="宋体" w:eastAsia="宋体"/>
          <w:sz w:val="24"/>
          <w:highlight w:val="none"/>
        </w:rPr>
        <w:t>进入评标</w:t>
      </w:r>
      <w:r>
        <w:rPr>
          <w:rFonts w:hint="eastAsia" w:ascii="宋体" w:eastAsia="宋体"/>
          <w:sz w:val="24"/>
          <w:highlight w:val="none"/>
        </w:rPr>
        <w:t>。</w:t>
      </w:r>
    </w:p>
    <w:p>
      <w:pPr>
        <w:spacing w:line="360" w:lineRule="auto"/>
        <w:ind w:firstLine="435"/>
        <w:rPr>
          <w:rFonts w:ascii="宋体" w:eastAsia="宋体" w:cs="宋体"/>
          <w:sz w:val="24"/>
          <w:szCs w:val="24"/>
          <w:highlight w:val="none"/>
        </w:rPr>
      </w:pPr>
      <w:bookmarkStart w:id="53" w:name="_Hlk24663244"/>
      <w:r>
        <w:rPr>
          <w:rFonts w:hint="eastAsia" w:ascii="宋体" w:eastAsia="宋体" w:cs="宋体"/>
          <w:sz w:val="24"/>
          <w:szCs w:val="24"/>
          <w:highlight w:val="none"/>
        </w:rPr>
        <w:t>14.2采购人或采购代理机构将在投标截止时间后至评审结束前通过“信用中国”网站(www.creditchina.gov.cn)、中国政府采购网(www.ccgp.gov.cn)查询相关投标人信用记录，并对投标人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投标将被认定为</w:t>
      </w:r>
      <w:r>
        <w:rPr>
          <w:rFonts w:hint="eastAsia" w:ascii="宋体" w:eastAsia="宋体" w:cs="宋体"/>
          <w:b/>
          <w:sz w:val="24"/>
          <w:szCs w:val="24"/>
          <w:highlight w:val="none"/>
        </w:rPr>
        <w:t>投标无效</w:t>
      </w:r>
      <w:r>
        <w:rPr>
          <w:rFonts w:hint="eastAsia" w:ascii="宋体" w:eastAsia="宋体" w:cs="宋体"/>
          <w:sz w:val="24"/>
          <w:szCs w:val="24"/>
          <w:highlight w:val="none"/>
        </w:rPr>
        <w:t>。</w:t>
      </w:r>
    </w:p>
    <w:p>
      <w:pPr>
        <w:spacing w:line="360" w:lineRule="auto"/>
        <w:ind w:firstLine="435"/>
        <w:rPr>
          <w:rFonts w:ascii="宋体" w:eastAsia="宋体" w:cs="宋体"/>
          <w:sz w:val="24"/>
          <w:szCs w:val="24"/>
          <w:highlight w:val="none"/>
        </w:rPr>
      </w:pPr>
      <w:r>
        <w:rPr>
          <w:rFonts w:hint="eastAsia" w:ascii="宋体" w:eastAsia="宋体" w:cs="宋体"/>
          <w:sz w:val="24"/>
          <w:szCs w:val="24"/>
          <w:highlight w:val="none"/>
        </w:rPr>
        <w:t>以联合体形式参加投标的，联合体成员存在以上不良信用记录的，联合体投标将被认定为</w:t>
      </w:r>
      <w:r>
        <w:rPr>
          <w:rFonts w:hint="eastAsia" w:ascii="宋体" w:eastAsia="宋体" w:cs="宋体"/>
          <w:b/>
          <w:sz w:val="24"/>
          <w:szCs w:val="24"/>
          <w:highlight w:val="none"/>
        </w:rPr>
        <w:t>投标无效</w:t>
      </w:r>
      <w:r>
        <w:rPr>
          <w:rFonts w:hint="eastAsia" w:ascii="宋体" w:eastAsia="宋体" w:cs="宋体"/>
          <w:sz w:val="24"/>
          <w:szCs w:val="24"/>
          <w:highlight w:val="none"/>
        </w:rPr>
        <w:t>。</w:t>
      </w:r>
    </w:p>
    <w:p>
      <w:pPr>
        <w:spacing w:line="360" w:lineRule="auto"/>
        <w:ind w:firstLine="435"/>
        <w:rPr>
          <w:rFonts w:ascii="宋体" w:eastAsia="宋体"/>
          <w:sz w:val="24"/>
          <w:highlight w:val="none"/>
        </w:rPr>
      </w:pPr>
      <w:r>
        <w:rPr>
          <w:rFonts w:hint="eastAsia" w:ascii="宋体" w:eastAsia="宋体" w:cs="宋体"/>
          <w:sz w:val="24"/>
          <w:szCs w:val="24"/>
          <w:highlight w:val="none"/>
        </w:rPr>
        <w:t>以上信用查询记录，采购人或采购代理机构将下载查询结果页面后与其他采购文件一并保存。投标人不良信用记录以采购人或采购代理机构查询结果为准。在本招标文件规定的查询时间之外，网站信息发生的任何变更均不作为资格审查依据。投标人自行提供的与网站信息不一致的其他证明材料亦不作为资格审查依据。</w:t>
      </w:r>
    </w:p>
    <w:bookmarkEnd w:id="53"/>
    <w:p>
      <w:pPr>
        <w:spacing w:line="360" w:lineRule="auto"/>
        <w:ind w:firstLine="435"/>
        <w:rPr>
          <w:rFonts w:ascii="宋体" w:eastAsia="宋体"/>
          <w:b/>
          <w:sz w:val="24"/>
          <w:highlight w:val="none"/>
        </w:rPr>
      </w:pPr>
      <w:r>
        <w:rPr>
          <w:rFonts w:hint="eastAsia" w:ascii="宋体" w:eastAsia="宋体"/>
          <w:sz w:val="24"/>
          <w:highlight w:val="none"/>
        </w:rPr>
        <w:t>14.3按照《</w:t>
      </w:r>
      <w:r>
        <w:rPr>
          <w:rFonts w:ascii="宋体" w:eastAsia="宋体"/>
          <w:sz w:val="24"/>
          <w:highlight w:val="none"/>
        </w:rPr>
        <w:t>中华人民共和国政府采购法》</w:t>
      </w:r>
      <w:r>
        <w:rPr>
          <w:rFonts w:hint="eastAsia" w:ascii="宋体" w:eastAsia="宋体"/>
          <w:sz w:val="24"/>
          <w:highlight w:val="none"/>
        </w:rPr>
        <w:t>、</w:t>
      </w:r>
      <w:r>
        <w:rPr>
          <w:rFonts w:ascii="宋体" w:eastAsia="宋体"/>
          <w:sz w:val="24"/>
          <w:highlight w:val="none"/>
        </w:rPr>
        <w:t>《中华人民共和国政府采购</w:t>
      </w:r>
      <w:r>
        <w:rPr>
          <w:rFonts w:hint="eastAsia" w:ascii="宋体" w:eastAsia="宋体"/>
          <w:sz w:val="24"/>
          <w:highlight w:val="none"/>
        </w:rPr>
        <w:t>法</w:t>
      </w:r>
      <w:r>
        <w:rPr>
          <w:rFonts w:ascii="宋体" w:eastAsia="宋体"/>
          <w:sz w:val="24"/>
          <w:highlight w:val="none"/>
        </w:rPr>
        <w:t>实施条例》</w:t>
      </w:r>
      <w:r>
        <w:rPr>
          <w:rFonts w:hint="eastAsia" w:ascii="宋体" w:eastAsia="宋体"/>
          <w:sz w:val="24"/>
          <w:highlight w:val="none"/>
        </w:rPr>
        <w:t>及本项目本级</w:t>
      </w:r>
      <w:r>
        <w:rPr>
          <w:rFonts w:ascii="宋体" w:eastAsia="宋体"/>
          <w:sz w:val="24"/>
          <w:highlight w:val="none"/>
        </w:rPr>
        <w:t>和上级财政部门</w:t>
      </w:r>
      <w:r>
        <w:rPr>
          <w:rFonts w:hint="eastAsia" w:ascii="宋体" w:eastAsia="宋体"/>
          <w:sz w:val="24"/>
          <w:highlight w:val="none"/>
        </w:rPr>
        <w:t>、政府采购监督管理部门的有关规定依法组建的</w:t>
      </w:r>
      <w:r>
        <w:rPr>
          <w:rFonts w:ascii="宋体" w:eastAsia="宋体"/>
          <w:sz w:val="24"/>
          <w:highlight w:val="none"/>
        </w:rPr>
        <w:t>评标委员会</w:t>
      </w:r>
      <w:r>
        <w:rPr>
          <w:rFonts w:hint="eastAsia" w:ascii="宋体" w:eastAsia="宋体"/>
          <w:sz w:val="24"/>
          <w:highlight w:val="none"/>
        </w:rPr>
        <w:t>，负责本项目评标工作。</w:t>
      </w:r>
    </w:p>
    <w:p>
      <w:pPr>
        <w:spacing w:line="360" w:lineRule="auto"/>
        <w:ind w:firstLine="437"/>
        <w:outlineLvl w:val="2"/>
        <w:rPr>
          <w:rFonts w:ascii="宋体" w:eastAsia="宋体"/>
          <w:b/>
          <w:sz w:val="24"/>
          <w:highlight w:val="none"/>
        </w:rPr>
      </w:pPr>
      <w:r>
        <w:rPr>
          <w:rFonts w:hint="eastAsia" w:ascii="宋体" w:eastAsia="宋体"/>
          <w:b/>
          <w:sz w:val="24"/>
          <w:highlight w:val="none"/>
        </w:rPr>
        <w:t>15</w:t>
      </w:r>
      <w:r>
        <w:rPr>
          <w:rFonts w:ascii="宋体" w:eastAsia="宋体"/>
          <w:b/>
          <w:sz w:val="24"/>
          <w:highlight w:val="none"/>
        </w:rPr>
        <w:t>.</w:t>
      </w:r>
      <w:r>
        <w:rPr>
          <w:rFonts w:hint="eastAsia" w:ascii="宋体" w:eastAsia="宋体"/>
          <w:b/>
          <w:sz w:val="24"/>
          <w:highlight w:val="none"/>
        </w:rPr>
        <w:t>投标文件符合性审查与澄清</w:t>
      </w:r>
    </w:p>
    <w:p>
      <w:pPr>
        <w:spacing w:line="360" w:lineRule="auto"/>
        <w:ind w:firstLine="435"/>
        <w:rPr>
          <w:rFonts w:ascii="宋体" w:eastAsia="宋体"/>
          <w:sz w:val="24"/>
          <w:highlight w:val="none"/>
        </w:rPr>
      </w:pPr>
      <w:r>
        <w:rPr>
          <w:rFonts w:hint="eastAsia" w:ascii="宋体" w:eastAsia="宋体"/>
          <w:sz w:val="24"/>
          <w:highlight w:val="none"/>
        </w:rPr>
        <w:t>15</w:t>
      </w:r>
      <w:r>
        <w:rPr>
          <w:rFonts w:ascii="宋体" w:eastAsia="宋体"/>
          <w:sz w:val="24"/>
          <w:highlight w:val="none"/>
        </w:rPr>
        <w:t>.1符合性审查是指依据招标文件的规定，从投标文件的有效性和完整性对招标文件的响应程度进行审查，以确定是否对招标文件的实质性要求做出响应。</w:t>
      </w:r>
    </w:p>
    <w:p>
      <w:pPr>
        <w:spacing w:line="360" w:lineRule="auto"/>
        <w:ind w:firstLine="435"/>
        <w:rPr>
          <w:rFonts w:ascii="宋体" w:eastAsia="宋体"/>
          <w:sz w:val="24"/>
          <w:highlight w:val="none"/>
        </w:rPr>
      </w:pPr>
      <w:r>
        <w:rPr>
          <w:rFonts w:hint="eastAsia" w:ascii="宋体" w:eastAsia="宋体"/>
          <w:sz w:val="24"/>
          <w:highlight w:val="none"/>
        </w:rPr>
        <w:t>15</w:t>
      </w:r>
      <w:r>
        <w:rPr>
          <w:rFonts w:ascii="宋体" w:eastAsia="宋体"/>
          <w:sz w:val="24"/>
          <w:highlight w:val="none"/>
        </w:rPr>
        <w:t>.2如一个分包内只有一种产品，不同投标人所投产品为同一品牌的，按如下方式处理：</w:t>
      </w:r>
    </w:p>
    <w:p>
      <w:pPr>
        <w:spacing w:line="360" w:lineRule="auto"/>
        <w:ind w:firstLine="435"/>
        <w:rPr>
          <w:rFonts w:ascii="宋体" w:eastAsia="宋体"/>
          <w:sz w:val="24"/>
          <w:highlight w:val="none"/>
        </w:rPr>
      </w:pPr>
      <w:r>
        <w:rPr>
          <w:rFonts w:hint="eastAsia" w:ascii="宋体" w:eastAsia="宋体"/>
          <w:sz w:val="24"/>
          <w:highlight w:val="none"/>
        </w:rPr>
        <w:t>15</w:t>
      </w:r>
      <w:r>
        <w:rPr>
          <w:rFonts w:ascii="宋体" w:eastAsia="宋体"/>
          <w:sz w:val="24"/>
          <w:highlight w:val="none"/>
        </w:rPr>
        <w:t>.2.1如本项目使用最低评标价法，提供相同品牌产品的不同投标人以其中通过资格审查、符合性审查且报价最低的参加评标；报价相同的，由采购人或者采购人委托评标委员会按照招标文件中评标</w:t>
      </w:r>
      <w:r>
        <w:rPr>
          <w:rFonts w:hint="eastAsia" w:ascii="宋体" w:eastAsia="宋体"/>
          <w:sz w:val="24"/>
          <w:highlight w:val="none"/>
        </w:rPr>
        <w:t>方</w:t>
      </w:r>
      <w:r>
        <w:rPr>
          <w:rFonts w:ascii="宋体" w:eastAsia="宋体"/>
          <w:sz w:val="24"/>
          <w:highlight w:val="none"/>
        </w:rPr>
        <w:t>法</w:t>
      </w:r>
      <w:r>
        <w:rPr>
          <w:rFonts w:hint="eastAsia" w:ascii="宋体" w:eastAsia="宋体"/>
          <w:sz w:val="24"/>
          <w:highlight w:val="none"/>
        </w:rPr>
        <w:t>和标准</w:t>
      </w:r>
      <w:r>
        <w:rPr>
          <w:rFonts w:ascii="宋体" w:eastAsia="宋体"/>
          <w:sz w:val="24"/>
          <w:highlight w:val="none"/>
        </w:rPr>
        <w:t>规定的方式确定一个参加评标的投标人；未规定的采取随机抽取方式确定，其他投标将被认定为</w:t>
      </w:r>
      <w:r>
        <w:rPr>
          <w:rFonts w:ascii="宋体" w:eastAsia="宋体"/>
          <w:b/>
          <w:sz w:val="24"/>
          <w:highlight w:val="none"/>
        </w:rPr>
        <w:t>投标无效</w:t>
      </w:r>
      <w:r>
        <w:rPr>
          <w:rFonts w:ascii="宋体" w:eastAsia="宋体"/>
          <w:sz w:val="24"/>
          <w:highlight w:val="none"/>
        </w:rPr>
        <w:t>。</w:t>
      </w:r>
    </w:p>
    <w:p>
      <w:pPr>
        <w:spacing w:line="360" w:lineRule="auto"/>
        <w:ind w:firstLine="435"/>
        <w:rPr>
          <w:rFonts w:ascii="宋体" w:eastAsia="宋体"/>
          <w:sz w:val="24"/>
          <w:highlight w:val="none"/>
        </w:rPr>
      </w:pPr>
      <w:r>
        <w:rPr>
          <w:rFonts w:hint="eastAsia" w:ascii="宋体" w:eastAsia="宋体"/>
          <w:sz w:val="24"/>
          <w:highlight w:val="none"/>
        </w:rPr>
        <w:t>15</w:t>
      </w:r>
      <w:r>
        <w:rPr>
          <w:rFonts w:ascii="宋体" w:eastAsia="宋体"/>
          <w:sz w:val="24"/>
          <w:highlight w:val="none"/>
        </w:rPr>
        <w:t>.2.2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w:t>
      </w:r>
      <w:r>
        <w:rPr>
          <w:rFonts w:hint="eastAsia" w:ascii="宋体" w:eastAsia="宋体"/>
          <w:sz w:val="24"/>
          <w:highlight w:val="none"/>
        </w:rPr>
        <w:t>方</w:t>
      </w:r>
      <w:r>
        <w:rPr>
          <w:rFonts w:ascii="宋体" w:eastAsia="宋体"/>
          <w:sz w:val="24"/>
          <w:highlight w:val="none"/>
        </w:rPr>
        <w:t>法</w:t>
      </w:r>
      <w:r>
        <w:rPr>
          <w:rFonts w:hint="eastAsia" w:ascii="宋体" w:eastAsia="宋体"/>
          <w:sz w:val="24"/>
          <w:highlight w:val="none"/>
        </w:rPr>
        <w:t>和标准</w:t>
      </w:r>
      <w:r>
        <w:rPr>
          <w:rFonts w:ascii="宋体" w:eastAsia="宋体"/>
          <w:sz w:val="24"/>
          <w:highlight w:val="none"/>
        </w:rPr>
        <w:t>规定的方式确定一个投标人获得中标人推荐资格；未规定的采取随机抽取方式确定，其他同品牌投标人不作为中标候选人。</w:t>
      </w:r>
    </w:p>
    <w:p>
      <w:pPr>
        <w:spacing w:line="360" w:lineRule="auto"/>
        <w:ind w:firstLine="435"/>
        <w:rPr>
          <w:rFonts w:ascii="宋体" w:eastAsia="宋体"/>
          <w:sz w:val="24"/>
          <w:highlight w:val="none"/>
        </w:rPr>
      </w:pPr>
      <w:r>
        <w:rPr>
          <w:rFonts w:hint="eastAsia" w:ascii="宋体" w:eastAsia="宋体"/>
          <w:sz w:val="24"/>
          <w:highlight w:val="none"/>
        </w:rPr>
        <w:t>15</w:t>
      </w:r>
      <w:r>
        <w:rPr>
          <w:rFonts w:ascii="宋体" w:eastAsia="宋体"/>
          <w:sz w:val="24"/>
          <w:highlight w:val="none"/>
        </w:rPr>
        <w:t>.3如一个分包内包含多种产品的，采购人或采购代理机构将在</w:t>
      </w:r>
      <w:r>
        <w:rPr>
          <w:rFonts w:hint="eastAsia" w:ascii="宋体" w:eastAsia="宋体"/>
          <w:sz w:val="24"/>
          <w:highlight w:val="none"/>
        </w:rPr>
        <w:t>采购需求</w:t>
      </w:r>
      <w:r>
        <w:rPr>
          <w:rFonts w:ascii="宋体" w:eastAsia="宋体"/>
          <w:sz w:val="24"/>
          <w:highlight w:val="none"/>
        </w:rPr>
        <w:t>中载明核心产品，多家投标人提供的核心产品品牌相同的，按第</w:t>
      </w:r>
      <w:r>
        <w:rPr>
          <w:rFonts w:hint="eastAsia" w:ascii="宋体" w:eastAsia="宋体"/>
          <w:sz w:val="24"/>
          <w:highlight w:val="none"/>
        </w:rPr>
        <w:t>15</w:t>
      </w:r>
      <w:r>
        <w:rPr>
          <w:rFonts w:ascii="宋体" w:eastAsia="宋体"/>
          <w:sz w:val="24"/>
          <w:highlight w:val="none"/>
        </w:rPr>
        <w:t>.2</w:t>
      </w:r>
      <w:r>
        <w:rPr>
          <w:rFonts w:hint="eastAsia" w:ascii="宋体" w:eastAsia="宋体"/>
          <w:sz w:val="24"/>
          <w:highlight w:val="none"/>
        </w:rPr>
        <w:t>款</w:t>
      </w:r>
      <w:r>
        <w:rPr>
          <w:rFonts w:ascii="宋体" w:eastAsia="宋体"/>
          <w:sz w:val="24"/>
          <w:highlight w:val="none"/>
        </w:rPr>
        <w:t>规定处理。</w:t>
      </w:r>
    </w:p>
    <w:p>
      <w:pPr>
        <w:spacing w:line="360" w:lineRule="auto"/>
        <w:ind w:firstLine="435"/>
        <w:rPr>
          <w:rFonts w:ascii="宋体" w:eastAsia="宋体"/>
          <w:sz w:val="24"/>
          <w:highlight w:val="none"/>
        </w:rPr>
      </w:pPr>
      <w:r>
        <w:rPr>
          <w:rFonts w:hint="eastAsia" w:ascii="宋体" w:eastAsia="宋体"/>
          <w:sz w:val="24"/>
          <w:highlight w:val="none"/>
        </w:rPr>
        <w:t>15</w:t>
      </w:r>
      <w:r>
        <w:rPr>
          <w:rFonts w:ascii="宋体" w:eastAsia="宋体"/>
          <w:sz w:val="24"/>
          <w:highlight w:val="none"/>
        </w:rPr>
        <w:t>.4</w:t>
      </w:r>
      <w:r>
        <w:rPr>
          <w:rFonts w:hint="eastAsia" w:ascii="宋体" w:eastAsia="宋体"/>
          <w:sz w:val="24"/>
          <w:highlight w:val="none"/>
        </w:rPr>
        <w:t>投标文件的澄清</w:t>
      </w:r>
    </w:p>
    <w:p>
      <w:pPr>
        <w:spacing w:line="360" w:lineRule="auto"/>
        <w:ind w:firstLine="435"/>
        <w:rPr>
          <w:rFonts w:ascii="宋体" w:eastAsia="宋体"/>
          <w:sz w:val="24"/>
          <w:highlight w:val="none"/>
        </w:rPr>
      </w:pPr>
      <w:r>
        <w:rPr>
          <w:rFonts w:hint="eastAsia" w:ascii="宋体" w:eastAsia="宋体"/>
          <w:sz w:val="24"/>
          <w:highlight w:val="none"/>
        </w:rPr>
        <w:t>15</w:t>
      </w:r>
      <w:r>
        <w:rPr>
          <w:rFonts w:ascii="宋体" w:eastAsia="宋体"/>
          <w:sz w:val="24"/>
          <w:highlight w:val="none"/>
        </w:rPr>
        <w:t>.4.1为有助于投标</w:t>
      </w:r>
      <w:r>
        <w:rPr>
          <w:rFonts w:hint="eastAsia" w:ascii="宋体" w:eastAsia="宋体"/>
          <w:sz w:val="24"/>
          <w:highlight w:val="none"/>
        </w:rPr>
        <w:t>文件</w:t>
      </w:r>
      <w:r>
        <w:rPr>
          <w:rFonts w:ascii="宋体" w:eastAsia="宋体"/>
          <w:sz w:val="24"/>
          <w:highlight w:val="none"/>
        </w:rPr>
        <w:t>的审查、评价和比较，在评标期间，评标委员会将以书面</w:t>
      </w:r>
      <w:r>
        <w:rPr>
          <w:rFonts w:hint="eastAsia" w:ascii="宋体" w:eastAsia="宋体"/>
          <w:sz w:val="24"/>
          <w:highlight w:val="none"/>
        </w:rPr>
        <w:t>方式（询标）</w:t>
      </w:r>
      <w:r>
        <w:rPr>
          <w:rFonts w:ascii="宋体" w:eastAsia="宋体"/>
          <w:sz w:val="24"/>
          <w:highlight w:val="none"/>
        </w:rPr>
        <w:t>要求投标人对其投标文件中含义不明确、对同类问题表述不一致或者有明显文字和计算错误的内容，以及评标委员会认为投标人的报价明显低于其他通过符合性</w:t>
      </w:r>
      <w:r>
        <w:rPr>
          <w:rFonts w:hint="eastAsia" w:ascii="宋体" w:eastAsia="宋体"/>
          <w:sz w:val="24"/>
          <w:highlight w:val="none"/>
        </w:rPr>
        <w:t>审</w:t>
      </w:r>
      <w:r>
        <w:rPr>
          <w:rFonts w:ascii="宋体" w:eastAsia="宋体"/>
          <w:sz w:val="24"/>
          <w:highlight w:val="none"/>
        </w:rPr>
        <w:t>查投标人的报价，有可能影响履约的情况作必要的澄清、说明或补正。投标人的澄清、说明或补正应在评标委员会规定的时间内以书面</w:t>
      </w:r>
      <w:r>
        <w:rPr>
          <w:rFonts w:hint="eastAsia" w:ascii="宋体" w:eastAsia="宋体"/>
          <w:sz w:val="24"/>
          <w:highlight w:val="none"/>
        </w:rPr>
        <w:t>方式</w:t>
      </w:r>
      <w:r>
        <w:rPr>
          <w:rFonts w:ascii="宋体" w:eastAsia="宋体"/>
          <w:sz w:val="24"/>
          <w:highlight w:val="none"/>
        </w:rPr>
        <w:t>进行，并不得超出投标文件范围或者改变投标文件的实质性内容。</w:t>
      </w:r>
    </w:p>
    <w:p>
      <w:pPr>
        <w:spacing w:line="360" w:lineRule="auto"/>
        <w:ind w:firstLine="435"/>
        <w:rPr>
          <w:rFonts w:ascii="宋体" w:eastAsia="宋体"/>
          <w:sz w:val="24"/>
          <w:highlight w:val="none"/>
        </w:rPr>
      </w:pPr>
      <w:r>
        <w:rPr>
          <w:rFonts w:hint="eastAsia" w:ascii="宋体" w:eastAsia="宋体"/>
          <w:sz w:val="24"/>
          <w:highlight w:val="none"/>
        </w:rPr>
        <w:t>如有询标，投标人授权代表（或法定代表人）可通过远程登录的方式接受网上询标，也可凭本人有效身份证明参加询标。因投标人授权代表联系不上、没有及时登录系统等情形而无法接受评标委员会询标的，投标人自行承担相关风险。</w:t>
      </w:r>
    </w:p>
    <w:p>
      <w:pPr>
        <w:spacing w:line="360" w:lineRule="auto"/>
        <w:ind w:firstLine="435"/>
        <w:rPr>
          <w:rFonts w:ascii="宋体" w:eastAsia="宋体"/>
          <w:sz w:val="24"/>
          <w:highlight w:val="none"/>
        </w:rPr>
      </w:pPr>
      <w:r>
        <w:rPr>
          <w:rFonts w:hint="eastAsia" w:ascii="宋体" w:eastAsia="宋体"/>
          <w:sz w:val="24"/>
          <w:highlight w:val="none"/>
        </w:rPr>
        <w:t>15.</w:t>
      </w:r>
      <w:r>
        <w:rPr>
          <w:rFonts w:ascii="宋体" w:eastAsia="宋体"/>
          <w:sz w:val="24"/>
          <w:highlight w:val="none"/>
        </w:rPr>
        <w:t>4.2</w:t>
      </w:r>
      <w:r>
        <w:rPr>
          <w:rFonts w:hint="eastAsia" w:ascii="宋体" w:eastAsia="宋体"/>
          <w:sz w:val="24"/>
          <w:highlight w:val="none"/>
        </w:rPr>
        <w:t>投标人的澄清、说明或补正将作为投标文件的一部分。</w:t>
      </w:r>
    </w:p>
    <w:p>
      <w:pPr>
        <w:spacing w:line="360" w:lineRule="auto"/>
        <w:ind w:firstLine="435"/>
        <w:rPr>
          <w:rFonts w:ascii="宋体" w:eastAsia="宋体"/>
          <w:sz w:val="24"/>
          <w:highlight w:val="none"/>
        </w:rPr>
      </w:pPr>
      <w:r>
        <w:rPr>
          <w:rFonts w:hint="eastAsia" w:ascii="宋体" w:eastAsia="宋体"/>
          <w:sz w:val="24"/>
          <w:highlight w:val="none"/>
        </w:rPr>
        <w:t>15.</w:t>
      </w:r>
      <w:r>
        <w:rPr>
          <w:rFonts w:ascii="宋体" w:eastAsia="宋体"/>
          <w:sz w:val="24"/>
          <w:highlight w:val="none"/>
        </w:rPr>
        <w:t>4.3评标委员会对投标人提交的澄清、说明或补正有疑问的，可以要求投标人进一步澄清、说明或补正，直至满足评标委员会的要求。</w:t>
      </w:r>
    </w:p>
    <w:p>
      <w:pPr>
        <w:spacing w:line="360" w:lineRule="auto"/>
        <w:ind w:firstLine="435"/>
        <w:rPr>
          <w:rFonts w:ascii="宋体" w:eastAsia="宋体"/>
          <w:sz w:val="24"/>
          <w:highlight w:val="none"/>
        </w:rPr>
      </w:pPr>
      <w:r>
        <w:rPr>
          <w:rFonts w:hint="eastAsia" w:ascii="宋体" w:eastAsia="宋体"/>
          <w:sz w:val="24"/>
          <w:highlight w:val="none"/>
        </w:rPr>
        <w:t>15.</w:t>
      </w:r>
      <w:r>
        <w:rPr>
          <w:rFonts w:ascii="宋体" w:eastAsia="宋体"/>
          <w:sz w:val="24"/>
          <w:highlight w:val="none"/>
        </w:rPr>
        <w:t>5投标文件报价出现前后不一致的，按照下列规定修正：</w:t>
      </w:r>
    </w:p>
    <w:p>
      <w:pPr>
        <w:spacing w:line="360" w:lineRule="auto"/>
        <w:ind w:firstLine="435"/>
        <w:rPr>
          <w:rFonts w:ascii="宋体" w:eastAsia="宋体"/>
          <w:sz w:val="24"/>
          <w:highlight w:val="none"/>
        </w:rPr>
      </w:pPr>
      <w:r>
        <w:rPr>
          <w:rFonts w:ascii="宋体" w:eastAsia="宋体"/>
          <w:sz w:val="24"/>
          <w:highlight w:val="none"/>
        </w:rPr>
        <w:t>（</w:t>
      </w:r>
      <w:r>
        <w:rPr>
          <w:rFonts w:hint="eastAsia" w:ascii="宋体" w:eastAsia="宋体"/>
          <w:sz w:val="24"/>
          <w:highlight w:val="none"/>
        </w:rPr>
        <w:t>1</w:t>
      </w:r>
      <w:r>
        <w:rPr>
          <w:rFonts w:ascii="宋体" w:eastAsia="宋体"/>
          <w:sz w:val="24"/>
          <w:highlight w:val="none"/>
        </w:rPr>
        <w:t>）投标文件中开标一览表内容与投标文件中相应内容不一致的，以开标一览表为准；</w:t>
      </w:r>
    </w:p>
    <w:p>
      <w:pPr>
        <w:spacing w:line="360" w:lineRule="auto"/>
        <w:ind w:firstLine="435"/>
        <w:rPr>
          <w:rFonts w:ascii="宋体" w:eastAsia="宋体"/>
          <w:sz w:val="24"/>
          <w:highlight w:val="none"/>
        </w:rPr>
      </w:pPr>
      <w:r>
        <w:rPr>
          <w:rFonts w:ascii="宋体" w:eastAsia="宋体"/>
          <w:sz w:val="24"/>
          <w:highlight w:val="none"/>
        </w:rPr>
        <w:t>（</w:t>
      </w:r>
      <w:r>
        <w:rPr>
          <w:rFonts w:hint="eastAsia" w:ascii="宋体" w:eastAsia="宋体"/>
          <w:sz w:val="24"/>
          <w:highlight w:val="none"/>
        </w:rPr>
        <w:t>2</w:t>
      </w:r>
      <w:r>
        <w:rPr>
          <w:rFonts w:ascii="宋体" w:eastAsia="宋体"/>
          <w:sz w:val="24"/>
          <w:highlight w:val="none"/>
        </w:rPr>
        <w:t>）大写金额和小写金额不一致的，以大写金额为准；</w:t>
      </w:r>
    </w:p>
    <w:p>
      <w:pPr>
        <w:spacing w:line="360" w:lineRule="auto"/>
        <w:ind w:firstLine="435"/>
        <w:rPr>
          <w:rFonts w:ascii="宋体" w:eastAsia="宋体"/>
          <w:sz w:val="24"/>
          <w:highlight w:val="none"/>
        </w:rPr>
      </w:pPr>
      <w:r>
        <w:rPr>
          <w:rFonts w:ascii="宋体" w:eastAsia="宋体"/>
          <w:sz w:val="24"/>
          <w:highlight w:val="none"/>
        </w:rPr>
        <w:t>（</w:t>
      </w:r>
      <w:r>
        <w:rPr>
          <w:rFonts w:hint="eastAsia" w:ascii="宋体" w:eastAsia="宋体"/>
          <w:sz w:val="24"/>
          <w:highlight w:val="none"/>
        </w:rPr>
        <w:t>3</w:t>
      </w:r>
      <w:r>
        <w:rPr>
          <w:rFonts w:ascii="宋体" w:eastAsia="宋体"/>
          <w:sz w:val="24"/>
          <w:highlight w:val="none"/>
        </w:rPr>
        <w:t>）单价金额小数点或者百分比有明显错位的，以开标一览表的总价为准，并修改单价；</w:t>
      </w:r>
    </w:p>
    <w:p>
      <w:pPr>
        <w:spacing w:line="360" w:lineRule="auto"/>
        <w:ind w:firstLine="435"/>
        <w:rPr>
          <w:rFonts w:ascii="宋体" w:eastAsia="宋体"/>
          <w:sz w:val="24"/>
          <w:highlight w:val="none"/>
        </w:rPr>
      </w:pPr>
      <w:r>
        <w:rPr>
          <w:rFonts w:ascii="宋体" w:eastAsia="宋体"/>
          <w:sz w:val="24"/>
          <w:highlight w:val="none"/>
        </w:rPr>
        <w:t>（</w:t>
      </w:r>
      <w:r>
        <w:rPr>
          <w:rFonts w:hint="eastAsia" w:ascii="宋体" w:eastAsia="宋体"/>
          <w:sz w:val="24"/>
          <w:highlight w:val="none"/>
        </w:rPr>
        <w:t>4</w:t>
      </w:r>
      <w:r>
        <w:rPr>
          <w:rFonts w:ascii="宋体" w:eastAsia="宋体"/>
          <w:sz w:val="24"/>
          <w:highlight w:val="none"/>
        </w:rPr>
        <w:t>）总价金额与按单价汇总金额不一致的，以单价金额计算结果为准。</w:t>
      </w:r>
    </w:p>
    <w:p>
      <w:pPr>
        <w:spacing w:line="360" w:lineRule="auto"/>
        <w:ind w:firstLine="435"/>
        <w:rPr>
          <w:rFonts w:ascii="宋体" w:eastAsia="宋体"/>
          <w:sz w:val="24"/>
          <w:highlight w:val="none"/>
        </w:rPr>
      </w:pPr>
      <w:r>
        <w:rPr>
          <w:rFonts w:ascii="宋体" w:eastAsia="宋体"/>
          <w:sz w:val="24"/>
          <w:highlight w:val="none"/>
        </w:rPr>
        <w:t>同时出现两种以上不一致的，按照前款规定的顺序修正。修正后的报价按照第</w:t>
      </w:r>
      <w:r>
        <w:rPr>
          <w:rFonts w:hint="eastAsia" w:ascii="宋体" w:eastAsia="宋体"/>
          <w:sz w:val="24"/>
          <w:highlight w:val="none"/>
        </w:rPr>
        <w:t>15.</w:t>
      </w:r>
      <w:r>
        <w:rPr>
          <w:rFonts w:ascii="宋体" w:eastAsia="宋体"/>
          <w:sz w:val="24"/>
          <w:highlight w:val="none"/>
        </w:rPr>
        <w:t>4条的规定经投标人确认后产生约束力，投标人不确认的，其投标将被认定为</w:t>
      </w:r>
      <w:r>
        <w:rPr>
          <w:rFonts w:ascii="宋体" w:eastAsia="宋体"/>
          <w:b/>
          <w:sz w:val="24"/>
          <w:highlight w:val="none"/>
        </w:rPr>
        <w:t>投标无效</w:t>
      </w:r>
      <w:r>
        <w:rPr>
          <w:rFonts w:ascii="宋体" w:eastAsia="宋体"/>
          <w:sz w:val="24"/>
          <w:highlight w:val="none"/>
        </w:rPr>
        <w:t>。</w:t>
      </w:r>
    </w:p>
    <w:p>
      <w:pPr>
        <w:spacing w:line="360" w:lineRule="auto"/>
        <w:ind w:firstLine="435"/>
        <w:rPr>
          <w:rFonts w:ascii="宋体" w:eastAsia="宋体"/>
          <w:b/>
          <w:sz w:val="24"/>
          <w:highlight w:val="none"/>
        </w:rPr>
      </w:pPr>
      <w:r>
        <w:rPr>
          <w:rFonts w:hint="eastAsia" w:ascii="宋体" w:eastAsia="宋体"/>
          <w:sz w:val="24"/>
          <w:highlight w:val="none"/>
        </w:rPr>
        <w:t>对不同文字文本投标文件的解释发生异议的，以中文文本为准。</w:t>
      </w:r>
    </w:p>
    <w:p>
      <w:pPr>
        <w:spacing w:line="360" w:lineRule="auto"/>
        <w:ind w:firstLine="437"/>
        <w:outlineLvl w:val="2"/>
        <w:rPr>
          <w:rFonts w:ascii="宋体" w:eastAsia="宋体"/>
          <w:b/>
          <w:sz w:val="24"/>
          <w:highlight w:val="none"/>
        </w:rPr>
      </w:pPr>
      <w:r>
        <w:rPr>
          <w:rFonts w:hint="eastAsia" w:ascii="宋体" w:eastAsia="宋体"/>
          <w:b/>
          <w:sz w:val="24"/>
          <w:highlight w:val="none"/>
        </w:rPr>
        <w:t>16.投标无效</w:t>
      </w:r>
    </w:p>
    <w:p>
      <w:pPr>
        <w:spacing w:line="360" w:lineRule="auto"/>
        <w:ind w:firstLine="435"/>
        <w:rPr>
          <w:rFonts w:ascii="宋体" w:eastAsia="宋体"/>
          <w:sz w:val="24"/>
          <w:highlight w:val="none"/>
        </w:rPr>
      </w:pPr>
      <w:r>
        <w:rPr>
          <w:rFonts w:hint="eastAsia" w:ascii="宋体" w:eastAsia="宋体"/>
          <w:sz w:val="24"/>
          <w:highlight w:val="none"/>
        </w:rPr>
        <w:t>16.</w:t>
      </w:r>
      <w:r>
        <w:rPr>
          <w:rFonts w:ascii="宋体" w:eastAsia="宋体"/>
          <w:sz w:val="24"/>
          <w:highlight w:val="none"/>
        </w:rPr>
        <w:t>1根据本</w:t>
      </w:r>
      <w:r>
        <w:rPr>
          <w:rFonts w:hint="eastAsia" w:ascii="宋体" w:eastAsia="宋体"/>
          <w:sz w:val="24"/>
          <w:highlight w:val="none"/>
        </w:rPr>
        <w:t>招标文件</w:t>
      </w:r>
      <w:r>
        <w:rPr>
          <w:rFonts w:ascii="宋体" w:eastAsia="宋体"/>
          <w:sz w:val="24"/>
          <w:highlight w:val="none"/>
        </w:rPr>
        <w:t>的规定，评标委员会要审查每份投标文件是否实质上响应了招标文件的要求。投标人不得通过修正或撤销不符合要求的偏离，从而使其投标成为实质上响应的投标。</w:t>
      </w:r>
    </w:p>
    <w:p>
      <w:pPr>
        <w:spacing w:line="360" w:lineRule="auto"/>
        <w:ind w:firstLine="435"/>
        <w:rPr>
          <w:rFonts w:ascii="宋体" w:eastAsia="宋体"/>
          <w:sz w:val="24"/>
          <w:highlight w:val="none"/>
        </w:rPr>
      </w:pPr>
      <w:r>
        <w:rPr>
          <w:rFonts w:hint="eastAsia" w:ascii="宋体" w:eastAsia="宋体"/>
          <w:sz w:val="24"/>
          <w:highlight w:val="none"/>
        </w:rPr>
        <w:t>评标委员会决定投标的响应性只根据招标文件要求和投标文件内容。</w:t>
      </w:r>
    </w:p>
    <w:p>
      <w:pPr>
        <w:spacing w:line="360" w:lineRule="auto"/>
        <w:ind w:firstLine="435"/>
        <w:rPr>
          <w:rFonts w:ascii="宋体" w:eastAsia="宋体"/>
          <w:sz w:val="24"/>
          <w:highlight w:val="none"/>
        </w:rPr>
      </w:pPr>
      <w:r>
        <w:rPr>
          <w:rFonts w:hint="eastAsia" w:ascii="宋体" w:eastAsia="宋体"/>
          <w:sz w:val="24"/>
          <w:highlight w:val="none"/>
        </w:rPr>
        <w:t>无论何种原因，即使投标人投标时携带了证书材料的原件，但投标文件中未提供与之内容完全一致的扫描件的，评标委员会视同其未提供。</w:t>
      </w:r>
    </w:p>
    <w:p>
      <w:pPr>
        <w:spacing w:line="360" w:lineRule="auto"/>
        <w:ind w:firstLine="435"/>
        <w:rPr>
          <w:rFonts w:ascii="宋体" w:eastAsia="宋体"/>
          <w:sz w:val="24"/>
          <w:highlight w:val="none"/>
        </w:rPr>
      </w:pPr>
      <w:r>
        <w:rPr>
          <w:rFonts w:hint="eastAsia" w:ascii="宋体" w:eastAsia="宋体"/>
          <w:sz w:val="24"/>
          <w:highlight w:val="none"/>
        </w:rPr>
        <w:t>16.</w:t>
      </w:r>
      <w:r>
        <w:rPr>
          <w:rFonts w:ascii="宋体" w:eastAsia="宋体"/>
          <w:sz w:val="24"/>
          <w:highlight w:val="none"/>
        </w:rPr>
        <w:t>2如发现下列情况之一的，其投标将被认定为</w:t>
      </w:r>
      <w:r>
        <w:rPr>
          <w:rFonts w:ascii="宋体" w:eastAsia="宋体"/>
          <w:b/>
          <w:sz w:val="24"/>
          <w:highlight w:val="none"/>
        </w:rPr>
        <w:t>投标无效</w:t>
      </w:r>
      <w:r>
        <w:rPr>
          <w:rFonts w:ascii="宋体" w:eastAsia="宋体"/>
          <w:sz w:val="24"/>
          <w:highlight w:val="none"/>
        </w:rPr>
        <w:t>：</w:t>
      </w:r>
    </w:p>
    <w:p>
      <w:pPr>
        <w:spacing w:line="360" w:lineRule="auto"/>
        <w:ind w:firstLine="435"/>
        <w:rPr>
          <w:rFonts w:ascii="宋体" w:eastAsia="宋体"/>
          <w:sz w:val="24"/>
          <w:highlight w:val="none"/>
        </w:rPr>
      </w:pPr>
      <w:r>
        <w:rPr>
          <w:rFonts w:hint="eastAsia" w:ascii="宋体" w:eastAsia="宋体"/>
          <w:sz w:val="24"/>
          <w:highlight w:val="none"/>
        </w:rPr>
        <w:t>（</w:t>
      </w:r>
      <w:r>
        <w:rPr>
          <w:rFonts w:ascii="宋体" w:eastAsia="宋体"/>
          <w:sz w:val="24"/>
          <w:highlight w:val="none"/>
        </w:rPr>
        <w:t>1）投标文件未按照招标文件规定要求签署、盖章的；</w:t>
      </w:r>
    </w:p>
    <w:p>
      <w:pPr>
        <w:spacing w:line="360" w:lineRule="auto"/>
        <w:ind w:firstLine="435"/>
        <w:rPr>
          <w:rFonts w:ascii="宋体" w:eastAsia="宋体"/>
          <w:sz w:val="24"/>
          <w:highlight w:val="none"/>
        </w:rPr>
      </w:pPr>
      <w:r>
        <w:rPr>
          <w:rFonts w:hint="eastAsia" w:ascii="宋体" w:eastAsia="宋体"/>
          <w:sz w:val="24"/>
          <w:highlight w:val="none"/>
        </w:rPr>
        <w:t>（</w:t>
      </w:r>
      <w:r>
        <w:rPr>
          <w:rFonts w:ascii="宋体" w:eastAsia="宋体"/>
          <w:sz w:val="24"/>
          <w:highlight w:val="none"/>
        </w:rPr>
        <w:t>2）不具备招标文件中规定的资格要求的；</w:t>
      </w:r>
    </w:p>
    <w:p>
      <w:pPr>
        <w:spacing w:line="360" w:lineRule="auto"/>
        <w:ind w:firstLine="435"/>
        <w:rPr>
          <w:rFonts w:ascii="宋体" w:eastAsia="宋体"/>
          <w:sz w:val="24"/>
          <w:highlight w:val="none"/>
        </w:rPr>
      </w:pPr>
      <w:r>
        <w:rPr>
          <w:rFonts w:hint="eastAsia" w:ascii="宋体" w:eastAsia="宋体"/>
          <w:sz w:val="24"/>
          <w:highlight w:val="none"/>
        </w:rPr>
        <w:t>（</w:t>
      </w:r>
      <w:r>
        <w:rPr>
          <w:rFonts w:ascii="宋体" w:eastAsia="宋体"/>
          <w:sz w:val="24"/>
          <w:highlight w:val="none"/>
        </w:rPr>
        <w:t>3）报价超过招标文件中规定的预算金额或者最高限价的；</w:t>
      </w:r>
    </w:p>
    <w:p>
      <w:pPr>
        <w:spacing w:line="360" w:lineRule="auto"/>
        <w:ind w:firstLine="435"/>
        <w:rPr>
          <w:rFonts w:ascii="宋体" w:eastAsia="宋体"/>
          <w:sz w:val="24"/>
          <w:highlight w:val="none"/>
        </w:rPr>
      </w:pPr>
      <w:r>
        <w:rPr>
          <w:rFonts w:hint="eastAsia" w:ascii="宋体" w:eastAsia="宋体"/>
          <w:sz w:val="24"/>
          <w:highlight w:val="none"/>
        </w:rPr>
        <w:t>（</w:t>
      </w:r>
      <w:r>
        <w:rPr>
          <w:rFonts w:ascii="宋体" w:eastAsia="宋体"/>
          <w:sz w:val="24"/>
          <w:highlight w:val="none"/>
        </w:rPr>
        <w:t>4）投标文件含有采购人不能接受的附加条件的；</w:t>
      </w:r>
    </w:p>
    <w:p>
      <w:pPr>
        <w:spacing w:line="360" w:lineRule="auto"/>
        <w:ind w:firstLine="435"/>
        <w:rPr>
          <w:rFonts w:ascii="宋体" w:eastAsia="宋体"/>
          <w:sz w:val="24"/>
          <w:highlight w:val="none"/>
        </w:rPr>
      </w:pPr>
      <w:r>
        <w:rPr>
          <w:rFonts w:hint="eastAsia" w:ascii="宋体" w:eastAsia="宋体"/>
          <w:sz w:val="24"/>
          <w:highlight w:val="none"/>
        </w:rPr>
        <w:t>（</w:t>
      </w:r>
      <w:r>
        <w:rPr>
          <w:rFonts w:ascii="宋体" w:eastAsia="宋体"/>
          <w:sz w:val="24"/>
          <w:highlight w:val="none"/>
        </w:rPr>
        <w:t>5）法律、法规和招标文件规定的其他无效情形。</w:t>
      </w:r>
    </w:p>
    <w:p>
      <w:pPr>
        <w:spacing w:line="360" w:lineRule="auto"/>
        <w:ind w:firstLine="437"/>
        <w:outlineLvl w:val="2"/>
        <w:rPr>
          <w:rFonts w:ascii="宋体" w:eastAsia="宋体"/>
          <w:b/>
          <w:sz w:val="24"/>
          <w:highlight w:val="none"/>
        </w:rPr>
      </w:pPr>
      <w:r>
        <w:rPr>
          <w:rFonts w:hint="eastAsia" w:ascii="宋体" w:eastAsia="宋体"/>
          <w:b/>
          <w:sz w:val="24"/>
          <w:highlight w:val="none"/>
        </w:rPr>
        <w:t>17.比较与评价</w:t>
      </w:r>
    </w:p>
    <w:p>
      <w:pPr>
        <w:spacing w:line="360" w:lineRule="auto"/>
        <w:ind w:firstLine="435"/>
        <w:rPr>
          <w:rFonts w:ascii="宋体" w:eastAsia="宋体"/>
          <w:sz w:val="24"/>
          <w:highlight w:val="none"/>
        </w:rPr>
      </w:pPr>
      <w:r>
        <w:rPr>
          <w:rFonts w:hint="eastAsia" w:ascii="宋体" w:eastAsia="宋体"/>
          <w:sz w:val="24"/>
          <w:highlight w:val="none"/>
        </w:rPr>
        <w:t>17.1经符合性审查合格的投标文件，评标委员会将根据招标文件确定的评标方法和标准，对其投标文件作进一步的比较与评价。</w:t>
      </w:r>
    </w:p>
    <w:p>
      <w:pPr>
        <w:spacing w:line="360" w:lineRule="auto"/>
        <w:ind w:firstLine="435"/>
        <w:rPr>
          <w:rFonts w:ascii="宋体" w:eastAsia="宋体"/>
          <w:sz w:val="24"/>
          <w:highlight w:val="none"/>
        </w:rPr>
      </w:pPr>
      <w:r>
        <w:rPr>
          <w:rFonts w:hint="eastAsia" w:ascii="宋体" w:eastAsia="宋体"/>
          <w:sz w:val="24"/>
          <w:highlight w:val="none"/>
        </w:rPr>
        <w:t>17.2评标严格按照招标文件的要求和条件进行。根据实际情况，在</w:t>
      </w:r>
      <w:r>
        <w:rPr>
          <w:rFonts w:hint="eastAsia" w:ascii="宋体" w:eastAsia="宋体"/>
          <w:sz w:val="24"/>
          <w:highlight w:val="none"/>
          <w:u w:val="single"/>
        </w:rPr>
        <w:t>投标人须知前附表</w:t>
      </w:r>
      <w:r>
        <w:rPr>
          <w:rFonts w:hint="eastAsia" w:ascii="宋体" w:eastAsia="宋体"/>
          <w:sz w:val="24"/>
          <w:highlight w:val="none"/>
        </w:rPr>
        <w:t>中规定采用下列一种评标方法，详细评标方法和标准见招标文件第四章：</w:t>
      </w:r>
    </w:p>
    <w:p>
      <w:pPr>
        <w:spacing w:line="360" w:lineRule="auto"/>
        <w:ind w:firstLine="435"/>
        <w:rPr>
          <w:rFonts w:ascii="宋体" w:eastAsia="宋体"/>
          <w:sz w:val="24"/>
          <w:highlight w:val="none"/>
        </w:rPr>
      </w:pPr>
      <w:r>
        <w:rPr>
          <w:rFonts w:hint="eastAsia" w:ascii="宋体" w:eastAsia="宋体"/>
          <w:sz w:val="24"/>
          <w:highlight w:val="none"/>
        </w:rPr>
        <w:t>（1）最低评标价法，是指</w:t>
      </w:r>
      <w:r>
        <w:rPr>
          <w:rFonts w:ascii="宋体" w:eastAsia="宋体"/>
          <w:sz w:val="24"/>
          <w:highlight w:val="none"/>
        </w:rPr>
        <w:t>投标文件满足招标文件全部实质性要求</w:t>
      </w:r>
      <w:r>
        <w:rPr>
          <w:rFonts w:hint="eastAsia" w:ascii="宋体" w:eastAsia="宋体"/>
          <w:sz w:val="24"/>
          <w:highlight w:val="none"/>
        </w:rPr>
        <w:t>，</w:t>
      </w:r>
      <w:r>
        <w:rPr>
          <w:rFonts w:ascii="宋体" w:eastAsia="宋体"/>
          <w:sz w:val="24"/>
          <w:highlight w:val="none"/>
        </w:rPr>
        <w:t>且投标报价最低的</w:t>
      </w:r>
      <w:r>
        <w:rPr>
          <w:rFonts w:hint="eastAsia" w:ascii="宋体" w:eastAsia="宋体"/>
          <w:sz w:val="24"/>
          <w:highlight w:val="none"/>
        </w:rPr>
        <w:t>投标人</w:t>
      </w:r>
      <w:r>
        <w:rPr>
          <w:rFonts w:ascii="宋体" w:eastAsia="宋体"/>
          <w:sz w:val="24"/>
          <w:highlight w:val="none"/>
        </w:rPr>
        <w:t>为中标</w:t>
      </w:r>
      <w:r>
        <w:rPr>
          <w:rFonts w:hint="eastAsia" w:ascii="宋体" w:eastAsia="宋体"/>
          <w:sz w:val="24"/>
          <w:highlight w:val="none"/>
        </w:rPr>
        <w:t>候选</w:t>
      </w:r>
      <w:r>
        <w:rPr>
          <w:rFonts w:ascii="宋体" w:eastAsia="宋体"/>
          <w:sz w:val="24"/>
          <w:highlight w:val="none"/>
        </w:rPr>
        <w:t>人的评标方法</w:t>
      </w:r>
      <w:r>
        <w:rPr>
          <w:rFonts w:hint="eastAsia" w:ascii="宋体" w:eastAsia="宋体"/>
          <w:sz w:val="24"/>
          <w:highlight w:val="none"/>
        </w:rPr>
        <w:t>。</w:t>
      </w:r>
    </w:p>
    <w:p>
      <w:pPr>
        <w:spacing w:line="360" w:lineRule="auto"/>
        <w:ind w:firstLine="435"/>
        <w:rPr>
          <w:rFonts w:ascii="宋体" w:eastAsia="宋体"/>
          <w:sz w:val="24"/>
          <w:highlight w:val="none"/>
        </w:rPr>
      </w:pPr>
      <w:r>
        <w:rPr>
          <w:rFonts w:hint="eastAsia" w:ascii="宋体" w:eastAsia="宋体"/>
          <w:sz w:val="24"/>
          <w:highlight w:val="none"/>
        </w:rPr>
        <w:t>（2）综合评分法，是</w:t>
      </w:r>
      <w:r>
        <w:rPr>
          <w:rFonts w:ascii="宋体" w:eastAsia="宋体"/>
          <w:sz w:val="24"/>
          <w:highlight w:val="none"/>
        </w:rPr>
        <w:t>指投标文件满足招标</w:t>
      </w:r>
      <w:r>
        <w:rPr>
          <w:rFonts w:hint="eastAsia" w:ascii="宋体" w:eastAsia="宋体"/>
          <w:sz w:val="24"/>
          <w:highlight w:val="none"/>
        </w:rPr>
        <w:t>文件</w:t>
      </w:r>
      <w:r>
        <w:rPr>
          <w:rFonts w:ascii="宋体" w:eastAsia="宋体"/>
          <w:sz w:val="24"/>
          <w:highlight w:val="none"/>
        </w:rPr>
        <w:t>全部实质性要求</w:t>
      </w:r>
      <w:r>
        <w:rPr>
          <w:rFonts w:hint="eastAsia" w:ascii="宋体" w:eastAsia="宋体"/>
          <w:sz w:val="24"/>
          <w:highlight w:val="none"/>
        </w:rPr>
        <w:t>，</w:t>
      </w:r>
      <w:r>
        <w:rPr>
          <w:rFonts w:ascii="宋体" w:eastAsia="宋体"/>
          <w:sz w:val="24"/>
          <w:highlight w:val="none"/>
        </w:rPr>
        <w:t>且按照评审因素的</w:t>
      </w:r>
      <w:r>
        <w:rPr>
          <w:rFonts w:hint="eastAsia" w:ascii="宋体" w:eastAsia="宋体"/>
          <w:sz w:val="24"/>
          <w:highlight w:val="none"/>
        </w:rPr>
        <w:t>量化</w:t>
      </w:r>
      <w:r>
        <w:rPr>
          <w:rFonts w:ascii="宋体" w:eastAsia="宋体"/>
          <w:sz w:val="24"/>
          <w:highlight w:val="none"/>
        </w:rPr>
        <w:t>指标评审得分最高的</w:t>
      </w:r>
      <w:r>
        <w:rPr>
          <w:rFonts w:hint="eastAsia" w:ascii="宋体" w:eastAsia="宋体"/>
          <w:sz w:val="24"/>
          <w:highlight w:val="none"/>
        </w:rPr>
        <w:t>投标人</w:t>
      </w:r>
      <w:r>
        <w:rPr>
          <w:rFonts w:ascii="宋体" w:eastAsia="宋体"/>
          <w:sz w:val="24"/>
          <w:highlight w:val="none"/>
        </w:rPr>
        <w:t>为中标候选人的评标方法。</w:t>
      </w:r>
    </w:p>
    <w:p>
      <w:pPr>
        <w:spacing w:line="360" w:lineRule="auto"/>
        <w:ind w:firstLine="435"/>
        <w:rPr>
          <w:rFonts w:ascii="宋体" w:eastAsia="宋体"/>
          <w:sz w:val="24"/>
          <w:highlight w:val="none"/>
        </w:rPr>
      </w:pPr>
      <w:r>
        <w:rPr>
          <w:rFonts w:hint="eastAsia" w:ascii="宋体" w:eastAsia="宋体"/>
          <w:sz w:val="24"/>
          <w:highlight w:val="none"/>
        </w:rPr>
        <w:t>17.</w:t>
      </w:r>
      <w:r>
        <w:rPr>
          <w:rFonts w:ascii="宋体" w:eastAsia="宋体"/>
          <w:sz w:val="24"/>
          <w:highlight w:val="none"/>
        </w:rPr>
        <w:t>3根据《政府采购促进中小企业发展管理办法》（财库〔2020〕46号）、《财政部 司法部关于政府采购支持监狱企业发展有关问题的通知》（财库〔2014〕68号）和《三部门联合发布关于促进残疾人就业政府采购政策的通知》（财库〔2017〕141号）的规定，对满足价格扣除条件且在投标文件中提交了《中小企业声明函》、《残疾人福利性单位声明函》或省级以上监狱管理局、戒毒管理局（含新疆生产建设兵团）出具的属于监狱企业的证明文件的投标人，其投标报价按照</w:t>
      </w:r>
      <w:r>
        <w:rPr>
          <w:rFonts w:ascii="宋体" w:eastAsia="宋体"/>
          <w:sz w:val="24"/>
          <w:highlight w:val="none"/>
          <w:u w:val="single"/>
        </w:rPr>
        <w:t>投标人须知前附表</w:t>
      </w:r>
      <w:r>
        <w:rPr>
          <w:rFonts w:ascii="宋体" w:eastAsia="宋体"/>
          <w:sz w:val="24"/>
          <w:highlight w:val="none"/>
        </w:rPr>
        <w:t>中规定的标准扣除后的价格参与评审。对于同时属于小微企</w:t>
      </w:r>
      <w:r>
        <w:rPr>
          <w:rFonts w:hint="eastAsia" w:ascii="宋体" w:eastAsia="宋体"/>
          <w:sz w:val="24"/>
          <w:highlight w:val="none"/>
        </w:rPr>
        <w:t>业、监狱企业或残疾人福利性单位的，不重复进行投标报价扣除。</w:t>
      </w:r>
    </w:p>
    <w:p>
      <w:pPr>
        <w:spacing w:line="360" w:lineRule="auto"/>
        <w:ind w:firstLine="435"/>
        <w:rPr>
          <w:rFonts w:ascii="宋体" w:eastAsia="宋体"/>
          <w:sz w:val="24"/>
          <w:highlight w:val="none"/>
        </w:rPr>
      </w:pPr>
      <w:r>
        <w:rPr>
          <w:rFonts w:hint="eastAsia" w:ascii="宋体" w:eastAsia="宋体"/>
          <w:sz w:val="24"/>
          <w:highlight w:val="none"/>
        </w:rPr>
        <w:t>接受大中型企业与小微企业组成联合体或者允许大中型企业向一家或者多家小微企业分包的，对于联合协议或者分包意向协议约定小微企业的合同份额占到合同总金额</w:t>
      </w:r>
      <w:r>
        <w:rPr>
          <w:rFonts w:ascii="宋体" w:eastAsia="宋体"/>
          <w:sz w:val="24"/>
          <w:highlight w:val="none"/>
        </w:rPr>
        <w:t>30%以上的，可给予联合体或者大中型企业的投标报价按照</w:t>
      </w:r>
      <w:r>
        <w:rPr>
          <w:rFonts w:ascii="宋体" w:eastAsia="宋体"/>
          <w:sz w:val="24"/>
          <w:highlight w:val="none"/>
          <w:u w:val="single"/>
        </w:rPr>
        <w:t>投标人须知前附表</w:t>
      </w:r>
      <w:r>
        <w:rPr>
          <w:rFonts w:ascii="宋体" w:eastAsia="宋体"/>
          <w:sz w:val="24"/>
          <w:highlight w:val="none"/>
        </w:rPr>
        <w:t>中规定的标准扣除后的价格参与评审。组成联合体或者接受分包的小微企业与联合体内其他企业、分包企业之间存在直接控股、管理关系的，不享受价格扣除优惠政策。</w:t>
      </w:r>
    </w:p>
    <w:p>
      <w:pPr>
        <w:spacing w:line="360" w:lineRule="auto"/>
        <w:ind w:firstLine="435"/>
        <w:rPr>
          <w:rFonts w:ascii="宋体" w:eastAsia="宋体"/>
          <w:sz w:val="24"/>
          <w:highlight w:val="none"/>
        </w:rPr>
      </w:pPr>
      <w:r>
        <w:rPr>
          <w:rFonts w:hint="eastAsia" w:ascii="宋体" w:eastAsia="宋体"/>
          <w:sz w:val="24"/>
          <w:highlight w:val="none"/>
        </w:rPr>
        <w:t>以联合体形式参加政府采购活动，联合体各方均为中小企业的，联合体视同中小企业。其中，联合体各方均为小微企业的，联合体视同小微企业。</w:t>
      </w:r>
    </w:p>
    <w:p>
      <w:pPr>
        <w:spacing w:line="360" w:lineRule="auto"/>
        <w:ind w:firstLine="437"/>
        <w:outlineLvl w:val="2"/>
        <w:rPr>
          <w:rFonts w:ascii="宋体" w:eastAsia="宋体"/>
          <w:b/>
          <w:sz w:val="24"/>
          <w:highlight w:val="none"/>
        </w:rPr>
      </w:pPr>
      <w:r>
        <w:rPr>
          <w:rFonts w:hint="eastAsia" w:ascii="宋体" w:eastAsia="宋体"/>
          <w:b/>
          <w:sz w:val="24"/>
          <w:highlight w:val="none"/>
        </w:rPr>
        <w:t>18</w:t>
      </w:r>
      <w:r>
        <w:rPr>
          <w:rFonts w:ascii="宋体" w:eastAsia="宋体"/>
          <w:b/>
          <w:sz w:val="24"/>
          <w:highlight w:val="none"/>
        </w:rPr>
        <w:t>.</w:t>
      </w:r>
      <w:r>
        <w:rPr>
          <w:rFonts w:hint="eastAsia" w:ascii="宋体" w:eastAsia="宋体"/>
          <w:b/>
          <w:sz w:val="24"/>
          <w:highlight w:val="none"/>
        </w:rPr>
        <w:t>废标、重新招标与变更采购方式</w:t>
      </w:r>
    </w:p>
    <w:p>
      <w:pPr>
        <w:spacing w:line="360" w:lineRule="auto"/>
        <w:ind w:firstLine="435"/>
        <w:rPr>
          <w:rFonts w:ascii="宋体" w:eastAsia="宋体"/>
          <w:sz w:val="24"/>
          <w:highlight w:val="none"/>
        </w:rPr>
      </w:pPr>
      <w:r>
        <w:rPr>
          <w:rFonts w:hint="eastAsia" w:ascii="宋体" w:eastAsia="宋体"/>
          <w:sz w:val="24"/>
          <w:highlight w:val="none"/>
        </w:rPr>
        <w:t>18.1出现下列情形之一，将导致项目废标：</w:t>
      </w:r>
    </w:p>
    <w:p>
      <w:pPr>
        <w:spacing w:line="360" w:lineRule="auto"/>
        <w:ind w:firstLine="435"/>
        <w:rPr>
          <w:rFonts w:ascii="宋体" w:eastAsia="宋体"/>
          <w:sz w:val="24"/>
          <w:highlight w:val="none"/>
        </w:rPr>
      </w:pPr>
      <w:r>
        <w:rPr>
          <w:rFonts w:hint="eastAsia" w:ascii="宋体" w:eastAsia="宋体"/>
          <w:sz w:val="24"/>
          <w:highlight w:val="none"/>
        </w:rPr>
        <w:t>（1）符合专业条件的供应商或者对招标文件做实质性响应的供应商不足规定数量的；</w:t>
      </w:r>
    </w:p>
    <w:p>
      <w:pPr>
        <w:spacing w:line="360" w:lineRule="auto"/>
        <w:ind w:firstLine="435"/>
        <w:rPr>
          <w:rFonts w:ascii="宋体" w:eastAsia="宋体"/>
          <w:sz w:val="24"/>
          <w:highlight w:val="none"/>
        </w:rPr>
      </w:pPr>
      <w:r>
        <w:rPr>
          <w:rFonts w:hint="eastAsia" w:ascii="宋体" w:eastAsia="宋体"/>
          <w:sz w:val="24"/>
          <w:highlight w:val="none"/>
        </w:rPr>
        <w:t>（2）出现影响采购公正的违法、违规行为的；</w:t>
      </w:r>
    </w:p>
    <w:p>
      <w:pPr>
        <w:spacing w:line="360" w:lineRule="auto"/>
        <w:ind w:firstLine="435"/>
        <w:rPr>
          <w:rFonts w:ascii="宋体" w:eastAsia="宋体"/>
          <w:sz w:val="24"/>
          <w:highlight w:val="none"/>
        </w:rPr>
      </w:pPr>
      <w:r>
        <w:rPr>
          <w:rFonts w:hint="eastAsia" w:ascii="宋体" w:eastAsia="宋体"/>
          <w:sz w:val="24"/>
          <w:highlight w:val="none"/>
        </w:rPr>
        <w:t>（3）投标人的报价均超过了采购预算，采购人不能支付的；</w:t>
      </w:r>
    </w:p>
    <w:p>
      <w:pPr>
        <w:spacing w:line="360" w:lineRule="auto"/>
        <w:ind w:firstLine="435"/>
        <w:rPr>
          <w:rFonts w:ascii="宋体" w:eastAsia="宋体"/>
          <w:sz w:val="24"/>
          <w:highlight w:val="none"/>
        </w:rPr>
      </w:pPr>
      <w:r>
        <w:rPr>
          <w:rFonts w:hint="eastAsia" w:ascii="宋体" w:eastAsia="宋体"/>
          <w:sz w:val="24"/>
          <w:highlight w:val="none"/>
        </w:rPr>
        <w:t>（4）因重大变故，采购任务取消的。</w:t>
      </w:r>
    </w:p>
    <w:p>
      <w:pPr>
        <w:spacing w:line="360" w:lineRule="auto"/>
        <w:ind w:firstLine="435"/>
        <w:rPr>
          <w:rFonts w:ascii="宋体" w:eastAsia="宋体"/>
          <w:sz w:val="24"/>
          <w:highlight w:val="none"/>
        </w:rPr>
      </w:pPr>
      <w:r>
        <w:rPr>
          <w:rFonts w:hint="eastAsia" w:ascii="宋体" w:eastAsia="宋体"/>
          <w:sz w:val="24"/>
          <w:highlight w:val="none"/>
        </w:rPr>
        <w:t>18.2公开招标数额标准以上的采购项目，投标截止后投标人不足</w:t>
      </w:r>
      <w:r>
        <w:rPr>
          <w:rFonts w:ascii="宋体" w:eastAsia="宋体"/>
          <w:sz w:val="24"/>
          <w:highlight w:val="none"/>
        </w:rPr>
        <w:t>3家或者通过</w:t>
      </w:r>
      <w:r>
        <w:rPr>
          <w:rFonts w:hint="eastAsia" w:ascii="宋体" w:eastAsia="宋体"/>
          <w:sz w:val="24"/>
          <w:highlight w:val="none"/>
        </w:rPr>
        <w:t>资格审查或符合性审查的投标人不足</w:t>
      </w:r>
      <w:r>
        <w:rPr>
          <w:rFonts w:ascii="宋体" w:eastAsia="宋体"/>
          <w:sz w:val="24"/>
          <w:highlight w:val="none"/>
        </w:rPr>
        <w:t>3家的，除采购任务取消情形外，按照以下方式处理：</w:t>
      </w:r>
    </w:p>
    <w:p>
      <w:pPr>
        <w:spacing w:line="360" w:lineRule="auto"/>
        <w:ind w:firstLine="435"/>
        <w:rPr>
          <w:rFonts w:ascii="宋体" w:eastAsia="宋体"/>
          <w:sz w:val="24"/>
          <w:highlight w:val="none"/>
        </w:rPr>
      </w:pPr>
      <w:r>
        <w:rPr>
          <w:rFonts w:hint="eastAsia" w:ascii="宋体" w:eastAsia="宋体"/>
          <w:sz w:val="24"/>
          <w:highlight w:val="none"/>
        </w:rPr>
        <w:t>（1）招标文件存在不合理条款或者招标程序不符合规定的，采购人、采购代理机构改正后依法重新招标；</w:t>
      </w:r>
    </w:p>
    <w:p>
      <w:pPr>
        <w:spacing w:line="360" w:lineRule="auto"/>
        <w:ind w:firstLine="435"/>
        <w:rPr>
          <w:rFonts w:ascii="宋体" w:eastAsia="宋体"/>
          <w:sz w:val="24"/>
          <w:highlight w:val="none"/>
        </w:rPr>
      </w:pPr>
      <w:r>
        <w:rPr>
          <w:rFonts w:hint="eastAsia" w:ascii="宋体" w:eastAsia="宋体"/>
          <w:sz w:val="24"/>
          <w:highlight w:val="none"/>
        </w:rPr>
        <w:t>（2）招标文件没有不合理条款、招标程序符合规定，需要采用其他采购方式采购的，采购人应当依法报财政部门批准。</w:t>
      </w:r>
    </w:p>
    <w:p>
      <w:pPr>
        <w:spacing w:line="360" w:lineRule="auto"/>
        <w:ind w:firstLine="437"/>
        <w:outlineLvl w:val="2"/>
        <w:rPr>
          <w:rFonts w:ascii="宋体" w:eastAsia="宋体"/>
          <w:b/>
          <w:sz w:val="24"/>
          <w:highlight w:val="none"/>
        </w:rPr>
      </w:pPr>
      <w:r>
        <w:rPr>
          <w:rFonts w:hint="eastAsia" w:ascii="宋体" w:eastAsia="宋体"/>
          <w:b/>
          <w:sz w:val="24"/>
          <w:highlight w:val="none"/>
        </w:rPr>
        <w:t>19</w:t>
      </w:r>
      <w:r>
        <w:rPr>
          <w:rFonts w:ascii="宋体" w:eastAsia="宋体"/>
          <w:b/>
          <w:sz w:val="24"/>
          <w:highlight w:val="none"/>
        </w:rPr>
        <w:t>.</w:t>
      </w:r>
      <w:r>
        <w:rPr>
          <w:rFonts w:hint="eastAsia" w:ascii="宋体" w:eastAsia="宋体"/>
          <w:b/>
          <w:sz w:val="24"/>
          <w:highlight w:val="none"/>
        </w:rPr>
        <w:t>保密要求</w:t>
      </w:r>
    </w:p>
    <w:p>
      <w:pPr>
        <w:spacing w:line="360" w:lineRule="auto"/>
        <w:ind w:firstLine="435"/>
        <w:rPr>
          <w:rFonts w:ascii="宋体" w:eastAsia="宋体"/>
          <w:sz w:val="24"/>
          <w:highlight w:val="none"/>
        </w:rPr>
      </w:pPr>
      <w:r>
        <w:rPr>
          <w:rFonts w:hint="eastAsia" w:ascii="宋体" w:eastAsia="宋体"/>
          <w:sz w:val="24"/>
          <w:highlight w:val="none"/>
        </w:rPr>
        <w:t>19.1评标将在严格保密的情况下进行。</w:t>
      </w:r>
    </w:p>
    <w:p>
      <w:pPr>
        <w:spacing w:line="360" w:lineRule="auto"/>
        <w:ind w:firstLine="435"/>
        <w:rPr>
          <w:rFonts w:ascii="宋体" w:eastAsia="宋体"/>
          <w:sz w:val="24"/>
          <w:highlight w:val="none"/>
        </w:rPr>
      </w:pPr>
      <w:r>
        <w:rPr>
          <w:rFonts w:hint="eastAsia" w:ascii="宋体" w:eastAsia="宋体"/>
          <w:sz w:val="24"/>
          <w:highlight w:val="none"/>
        </w:rPr>
        <w:t>19.2有关人员</w:t>
      </w:r>
      <w:r>
        <w:rPr>
          <w:rFonts w:ascii="宋体" w:eastAsia="宋体"/>
          <w:sz w:val="24"/>
          <w:highlight w:val="none"/>
        </w:rPr>
        <w:t>应当</w:t>
      </w:r>
      <w:r>
        <w:rPr>
          <w:rFonts w:hint="eastAsia" w:ascii="宋体" w:eastAsia="宋体"/>
          <w:sz w:val="24"/>
          <w:highlight w:val="none"/>
        </w:rPr>
        <w:t>遵</w:t>
      </w:r>
      <w:r>
        <w:rPr>
          <w:rFonts w:ascii="宋体" w:eastAsia="宋体"/>
          <w:sz w:val="24"/>
          <w:highlight w:val="none"/>
        </w:rPr>
        <w:t>守评</w:t>
      </w:r>
      <w:r>
        <w:rPr>
          <w:rFonts w:hint="eastAsia" w:ascii="宋体" w:eastAsia="宋体"/>
          <w:sz w:val="24"/>
          <w:highlight w:val="none"/>
        </w:rPr>
        <w:t>标</w:t>
      </w:r>
      <w:r>
        <w:rPr>
          <w:rFonts w:ascii="宋体" w:eastAsia="宋体"/>
          <w:sz w:val="24"/>
          <w:highlight w:val="none"/>
        </w:rPr>
        <w:t>工作纪律，不得</w:t>
      </w:r>
      <w:r>
        <w:rPr>
          <w:rFonts w:hint="eastAsia" w:ascii="宋体" w:eastAsia="宋体"/>
          <w:sz w:val="24"/>
          <w:highlight w:val="none"/>
        </w:rPr>
        <w:t>泄露</w:t>
      </w:r>
      <w:r>
        <w:rPr>
          <w:rFonts w:ascii="宋体" w:eastAsia="宋体"/>
          <w:sz w:val="24"/>
          <w:highlight w:val="none"/>
        </w:rPr>
        <w:t>评</w:t>
      </w:r>
      <w:r>
        <w:rPr>
          <w:rFonts w:hint="eastAsia" w:ascii="宋体" w:eastAsia="宋体"/>
          <w:sz w:val="24"/>
          <w:highlight w:val="none"/>
        </w:rPr>
        <w:t>标文件</w:t>
      </w:r>
      <w:r>
        <w:rPr>
          <w:rFonts w:ascii="宋体" w:eastAsia="宋体"/>
          <w:sz w:val="24"/>
          <w:highlight w:val="none"/>
        </w:rPr>
        <w:t>、评</w:t>
      </w:r>
      <w:r>
        <w:rPr>
          <w:rFonts w:hint="eastAsia" w:ascii="宋体" w:eastAsia="宋体"/>
          <w:sz w:val="24"/>
          <w:highlight w:val="none"/>
        </w:rPr>
        <w:t>标</w:t>
      </w:r>
      <w:r>
        <w:rPr>
          <w:rFonts w:ascii="宋体" w:eastAsia="宋体"/>
          <w:sz w:val="24"/>
          <w:highlight w:val="none"/>
        </w:rPr>
        <w:t>情况和评</w:t>
      </w:r>
      <w:r>
        <w:rPr>
          <w:rFonts w:hint="eastAsia" w:ascii="宋体" w:eastAsia="宋体"/>
          <w:sz w:val="24"/>
          <w:highlight w:val="none"/>
        </w:rPr>
        <w:t>标</w:t>
      </w:r>
      <w:r>
        <w:rPr>
          <w:rFonts w:ascii="宋体" w:eastAsia="宋体"/>
          <w:sz w:val="24"/>
          <w:highlight w:val="none"/>
        </w:rPr>
        <w:t>中获悉的</w:t>
      </w:r>
      <w:r>
        <w:rPr>
          <w:rFonts w:hint="eastAsia" w:ascii="宋体" w:eastAsia="宋体"/>
          <w:sz w:val="24"/>
          <w:highlight w:val="none"/>
        </w:rPr>
        <w:t>国家秘密、</w:t>
      </w:r>
      <w:r>
        <w:rPr>
          <w:rFonts w:ascii="宋体" w:eastAsia="宋体"/>
          <w:sz w:val="24"/>
          <w:highlight w:val="none"/>
        </w:rPr>
        <w:t>商业秘密。</w:t>
      </w:r>
    </w:p>
    <w:p>
      <w:pPr>
        <w:spacing w:line="360" w:lineRule="auto"/>
        <w:ind w:firstLine="437"/>
        <w:outlineLvl w:val="2"/>
        <w:rPr>
          <w:rFonts w:ascii="宋体" w:eastAsia="宋体"/>
          <w:b/>
          <w:sz w:val="24"/>
          <w:highlight w:val="none"/>
        </w:rPr>
      </w:pPr>
      <w:r>
        <w:rPr>
          <w:rFonts w:hint="eastAsia" w:ascii="宋体" w:eastAsia="宋体"/>
          <w:b/>
          <w:sz w:val="24"/>
          <w:highlight w:val="none"/>
        </w:rPr>
        <w:t>20</w:t>
      </w:r>
      <w:r>
        <w:rPr>
          <w:rFonts w:ascii="宋体" w:eastAsia="宋体"/>
          <w:b/>
          <w:sz w:val="24"/>
          <w:highlight w:val="none"/>
        </w:rPr>
        <w:t>.</w:t>
      </w:r>
      <w:r>
        <w:rPr>
          <w:rFonts w:hint="eastAsia" w:ascii="宋体" w:eastAsia="宋体"/>
          <w:b/>
          <w:sz w:val="24"/>
          <w:highlight w:val="none"/>
        </w:rPr>
        <w:t>中标候选人的确定原则及标准</w:t>
      </w:r>
    </w:p>
    <w:p>
      <w:pPr>
        <w:spacing w:line="360" w:lineRule="auto"/>
        <w:ind w:firstLine="435"/>
        <w:rPr>
          <w:rFonts w:ascii="宋体" w:eastAsia="宋体"/>
          <w:sz w:val="24"/>
          <w:highlight w:val="none"/>
        </w:rPr>
      </w:pPr>
      <w:r>
        <w:rPr>
          <w:rFonts w:ascii="宋体" w:eastAsia="宋体"/>
          <w:sz w:val="24"/>
          <w:highlight w:val="none"/>
        </w:rPr>
        <w:t>2</w:t>
      </w:r>
      <w:r>
        <w:rPr>
          <w:rFonts w:hint="eastAsia" w:ascii="宋体" w:eastAsia="宋体"/>
          <w:sz w:val="24"/>
          <w:highlight w:val="none"/>
        </w:rPr>
        <w:t>0</w:t>
      </w:r>
      <w:r>
        <w:rPr>
          <w:rFonts w:ascii="宋体" w:eastAsia="宋体"/>
          <w:sz w:val="24"/>
          <w:highlight w:val="none"/>
        </w:rPr>
        <w:t>.1评</w:t>
      </w:r>
      <w:r>
        <w:rPr>
          <w:rFonts w:hint="eastAsia" w:ascii="宋体" w:eastAsia="宋体"/>
          <w:sz w:val="24"/>
          <w:highlight w:val="none"/>
        </w:rPr>
        <w:t>标</w:t>
      </w:r>
      <w:r>
        <w:rPr>
          <w:rFonts w:ascii="宋体" w:eastAsia="宋体"/>
          <w:sz w:val="24"/>
          <w:highlight w:val="none"/>
        </w:rPr>
        <w:t>委员会依据本项目招标文件所约定的评标方法，对实质上响应招标文件的投标人按下列方法进行排序</w:t>
      </w:r>
      <w:r>
        <w:rPr>
          <w:rFonts w:hint="eastAsia" w:ascii="宋体" w:eastAsia="宋体"/>
          <w:sz w:val="24"/>
          <w:highlight w:val="none"/>
        </w:rPr>
        <w:t>，确定中标候选人</w:t>
      </w:r>
      <w:r>
        <w:rPr>
          <w:rFonts w:ascii="宋体" w:eastAsia="宋体"/>
          <w:sz w:val="24"/>
          <w:highlight w:val="none"/>
        </w:rPr>
        <w:t>：</w:t>
      </w:r>
    </w:p>
    <w:p>
      <w:pPr>
        <w:spacing w:line="360" w:lineRule="auto"/>
        <w:ind w:firstLine="435"/>
        <w:rPr>
          <w:rFonts w:ascii="宋体" w:eastAsia="宋体"/>
          <w:sz w:val="24"/>
          <w:highlight w:val="none"/>
        </w:rPr>
      </w:pPr>
      <w:r>
        <w:rPr>
          <w:rFonts w:hint="eastAsia" w:ascii="宋体" w:eastAsia="宋体"/>
          <w:sz w:val="24"/>
          <w:highlight w:val="none"/>
        </w:rPr>
        <w:t>（</w:t>
      </w:r>
      <w:r>
        <w:rPr>
          <w:rFonts w:ascii="宋体" w:eastAsia="宋体"/>
          <w:sz w:val="24"/>
          <w:highlight w:val="none"/>
        </w:rPr>
        <w:t>1）采用最低评标价法的，除了算术修正和落实政府采购政策需进行的价格扣除外，不对投标人的投标价格进行任何调整。评标结果按修正和扣除后的投标报价由低到高顺序排列。修正和扣除后的投标报价</w:t>
      </w:r>
      <w:r>
        <w:rPr>
          <w:rFonts w:hint="eastAsia" w:ascii="宋体" w:eastAsia="宋体"/>
          <w:sz w:val="24"/>
          <w:highlight w:val="none"/>
        </w:rPr>
        <w:t>出现两家或两家以上相同者，则所投产品为节能产品、环境标志产品、不发达地区或少数民族地区产品者优先；若报价相同且所投产品同为节能产品、环境标志产品、不发达地区或少数民族地区产品的，则采取评标委员会随机抽取的方式确定中标候选顺序。</w:t>
      </w:r>
    </w:p>
    <w:p>
      <w:pPr>
        <w:spacing w:line="360" w:lineRule="auto"/>
        <w:ind w:firstLine="437"/>
        <w:outlineLvl w:val="2"/>
        <w:rPr>
          <w:rFonts w:ascii="宋体" w:eastAsia="宋体"/>
          <w:b/>
          <w:sz w:val="24"/>
          <w:highlight w:val="none"/>
        </w:rPr>
      </w:pPr>
      <w:r>
        <w:rPr>
          <w:rFonts w:hint="eastAsia" w:ascii="宋体" w:eastAsia="宋体"/>
          <w:b/>
          <w:sz w:val="24"/>
          <w:highlight w:val="none"/>
        </w:rPr>
        <w:t>21</w:t>
      </w:r>
      <w:r>
        <w:rPr>
          <w:rFonts w:ascii="宋体" w:eastAsia="宋体"/>
          <w:b/>
          <w:sz w:val="24"/>
          <w:highlight w:val="none"/>
        </w:rPr>
        <w:t>.</w:t>
      </w:r>
      <w:r>
        <w:rPr>
          <w:rFonts w:hint="eastAsia" w:ascii="宋体" w:eastAsia="宋体"/>
          <w:b/>
          <w:sz w:val="24"/>
          <w:highlight w:val="none"/>
        </w:rPr>
        <w:t>确定中标候选人和中标人</w:t>
      </w:r>
    </w:p>
    <w:p>
      <w:pPr>
        <w:spacing w:line="360" w:lineRule="auto"/>
        <w:ind w:firstLine="435"/>
        <w:rPr>
          <w:rFonts w:ascii="宋体" w:eastAsia="宋体"/>
          <w:sz w:val="24"/>
          <w:highlight w:val="none"/>
        </w:rPr>
      </w:pPr>
      <w:r>
        <w:rPr>
          <w:rFonts w:ascii="宋体" w:eastAsia="宋体"/>
          <w:sz w:val="24"/>
          <w:highlight w:val="none"/>
        </w:rPr>
        <w:t>2</w:t>
      </w:r>
      <w:r>
        <w:rPr>
          <w:rFonts w:hint="eastAsia" w:ascii="宋体" w:eastAsia="宋体"/>
          <w:sz w:val="24"/>
          <w:highlight w:val="none"/>
        </w:rPr>
        <w:t>1</w:t>
      </w:r>
      <w:r>
        <w:rPr>
          <w:rFonts w:ascii="宋体" w:eastAsia="宋体"/>
          <w:sz w:val="24"/>
          <w:highlight w:val="none"/>
        </w:rPr>
        <w:t>.1评标委员会将根据评标标准，按</w:t>
      </w:r>
      <w:r>
        <w:rPr>
          <w:rFonts w:ascii="宋体" w:eastAsia="宋体"/>
          <w:sz w:val="24"/>
          <w:highlight w:val="none"/>
          <w:u w:val="single"/>
        </w:rPr>
        <w:t>投标</w:t>
      </w:r>
      <w:r>
        <w:rPr>
          <w:rFonts w:hint="eastAsia" w:ascii="宋体" w:eastAsia="宋体"/>
          <w:sz w:val="24"/>
          <w:highlight w:val="none"/>
          <w:u w:val="single"/>
        </w:rPr>
        <w:t>人</w:t>
      </w:r>
      <w:r>
        <w:rPr>
          <w:rFonts w:ascii="宋体" w:eastAsia="宋体"/>
          <w:sz w:val="24"/>
          <w:highlight w:val="none"/>
          <w:u w:val="single"/>
        </w:rPr>
        <w:t>须知前附表</w:t>
      </w:r>
      <w:r>
        <w:rPr>
          <w:rFonts w:ascii="宋体" w:eastAsia="宋体"/>
          <w:sz w:val="24"/>
          <w:highlight w:val="none"/>
        </w:rPr>
        <w:t>中规定数量推荐中标候选人。</w:t>
      </w:r>
    </w:p>
    <w:p>
      <w:pPr>
        <w:spacing w:line="360" w:lineRule="auto"/>
        <w:ind w:firstLine="435"/>
        <w:rPr>
          <w:rFonts w:ascii="宋体" w:eastAsia="宋体"/>
          <w:sz w:val="24"/>
          <w:highlight w:val="none"/>
        </w:rPr>
      </w:pPr>
      <w:r>
        <w:rPr>
          <w:rFonts w:hint="eastAsia" w:ascii="宋体" w:eastAsia="宋体"/>
          <w:sz w:val="24"/>
          <w:highlight w:val="none"/>
        </w:rPr>
        <w:t>21.2按</w:t>
      </w:r>
      <w:r>
        <w:rPr>
          <w:rFonts w:ascii="宋体" w:eastAsia="宋体"/>
          <w:sz w:val="24"/>
          <w:highlight w:val="none"/>
          <w:u w:val="single"/>
        </w:rPr>
        <w:t>投标</w:t>
      </w:r>
      <w:r>
        <w:rPr>
          <w:rFonts w:hint="eastAsia" w:ascii="宋体" w:eastAsia="宋体"/>
          <w:sz w:val="24"/>
          <w:highlight w:val="none"/>
          <w:u w:val="single"/>
        </w:rPr>
        <w:t>人</w:t>
      </w:r>
      <w:r>
        <w:rPr>
          <w:rFonts w:ascii="宋体" w:eastAsia="宋体"/>
          <w:sz w:val="24"/>
          <w:highlight w:val="none"/>
          <w:u w:val="single"/>
        </w:rPr>
        <w:t>须知前附表</w:t>
      </w:r>
      <w:r>
        <w:rPr>
          <w:rFonts w:hint="eastAsia" w:ascii="宋体" w:eastAsia="宋体"/>
          <w:sz w:val="24"/>
          <w:highlight w:val="none"/>
        </w:rPr>
        <w:t>中规定，</w:t>
      </w:r>
      <w:r>
        <w:rPr>
          <w:rFonts w:ascii="宋体" w:eastAsia="宋体"/>
          <w:sz w:val="24"/>
          <w:highlight w:val="none"/>
        </w:rPr>
        <w:t>由评标委员会或采购人确定中标人。</w:t>
      </w:r>
    </w:p>
    <w:p>
      <w:pPr>
        <w:spacing w:line="360" w:lineRule="auto"/>
        <w:ind w:firstLine="435"/>
        <w:rPr>
          <w:rFonts w:ascii="宋体" w:eastAsia="宋体"/>
          <w:sz w:val="24"/>
          <w:highlight w:val="none"/>
        </w:rPr>
      </w:pPr>
      <w:r>
        <w:rPr>
          <w:rFonts w:hint="eastAsia" w:ascii="宋体" w:eastAsia="宋体"/>
          <w:sz w:val="24"/>
          <w:highlight w:val="none"/>
        </w:rPr>
        <w:t>21</w:t>
      </w:r>
      <w:r>
        <w:rPr>
          <w:rFonts w:ascii="宋体" w:eastAsia="宋体"/>
          <w:sz w:val="24"/>
          <w:highlight w:val="none"/>
        </w:rPr>
        <w:t>.3</w:t>
      </w:r>
      <w:r>
        <w:rPr>
          <w:rFonts w:hint="eastAsia" w:ascii="宋体" w:eastAsia="宋体"/>
          <w:sz w:val="24"/>
          <w:highlight w:val="none"/>
        </w:rPr>
        <w:t>因重大变故采购任务取消时，采购人有权拒绝任何投标人中标，且对受影响的投标人不承担任何责任。</w:t>
      </w:r>
    </w:p>
    <w:p>
      <w:pPr>
        <w:spacing w:line="360" w:lineRule="auto"/>
        <w:ind w:firstLine="437"/>
        <w:outlineLvl w:val="2"/>
        <w:rPr>
          <w:rFonts w:ascii="宋体" w:eastAsia="宋体"/>
          <w:b/>
          <w:sz w:val="24"/>
          <w:highlight w:val="none"/>
        </w:rPr>
      </w:pPr>
      <w:r>
        <w:rPr>
          <w:rFonts w:hint="eastAsia" w:ascii="宋体" w:eastAsia="宋体"/>
          <w:b/>
          <w:sz w:val="24"/>
          <w:highlight w:val="none"/>
        </w:rPr>
        <w:t>22</w:t>
      </w:r>
      <w:r>
        <w:rPr>
          <w:rFonts w:ascii="宋体" w:eastAsia="宋体"/>
          <w:b/>
          <w:sz w:val="24"/>
          <w:highlight w:val="none"/>
        </w:rPr>
        <w:t>.</w:t>
      </w:r>
      <w:r>
        <w:rPr>
          <w:rFonts w:hint="eastAsia" w:ascii="宋体" w:eastAsia="宋体"/>
          <w:b/>
          <w:sz w:val="24"/>
          <w:highlight w:val="none"/>
        </w:rPr>
        <w:t>编写评标报告</w:t>
      </w:r>
    </w:p>
    <w:p>
      <w:pPr>
        <w:spacing w:line="360" w:lineRule="auto"/>
        <w:ind w:firstLine="435"/>
        <w:rPr>
          <w:rFonts w:ascii="宋体" w:eastAsia="宋体"/>
          <w:sz w:val="24"/>
          <w:highlight w:val="none"/>
        </w:rPr>
      </w:pPr>
      <w:r>
        <w:rPr>
          <w:rFonts w:hint="eastAsia" w:ascii="宋体" w:eastAsia="宋体"/>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pPr>
        <w:spacing w:line="360" w:lineRule="auto"/>
        <w:ind w:firstLine="437"/>
        <w:outlineLvl w:val="2"/>
        <w:rPr>
          <w:rFonts w:ascii="宋体" w:eastAsia="宋体"/>
          <w:b/>
          <w:sz w:val="24"/>
          <w:highlight w:val="none"/>
        </w:rPr>
      </w:pPr>
      <w:r>
        <w:rPr>
          <w:rFonts w:hint="eastAsia" w:ascii="宋体" w:eastAsia="宋体"/>
          <w:b/>
          <w:sz w:val="24"/>
          <w:highlight w:val="none"/>
        </w:rPr>
        <w:t>23</w:t>
      </w:r>
      <w:r>
        <w:rPr>
          <w:rFonts w:ascii="宋体" w:eastAsia="宋体"/>
          <w:b/>
          <w:sz w:val="24"/>
          <w:highlight w:val="none"/>
        </w:rPr>
        <w:t>.</w:t>
      </w:r>
      <w:r>
        <w:rPr>
          <w:rFonts w:hint="eastAsia" w:ascii="宋体" w:eastAsia="宋体"/>
          <w:b/>
          <w:sz w:val="24"/>
          <w:highlight w:val="none"/>
        </w:rPr>
        <w:t>中标结果公告</w:t>
      </w:r>
    </w:p>
    <w:p>
      <w:pPr>
        <w:spacing w:line="360" w:lineRule="auto"/>
        <w:ind w:firstLine="435"/>
        <w:rPr>
          <w:rFonts w:ascii="宋体" w:eastAsia="宋体"/>
          <w:sz w:val="24"/>
          <w:highlight w:val="none"/>
        </w:rPr>
      </w:pPr>
      <w:r>
        <w:rPr>
          <w:rFonts w:hint="eastAsia" w:ascii="宋体" w:eastAsia="宋体"/>
          <w:sz w:val="24"/>
          <w:highlight w:val="none"/>
        </w:rPr>
        <w:t>23</w:t>
      </w:r>
      <w:r>
        <w:rPr>
          <w:rFonts w:ascii="宋体" w:eastAsia="宋体"/>
          <w:sz w:val="24"/>
          <w:highlight w:val="none"/>
        </w:rPr>
        <w:t>.1</w:t>
      </w:r>
      <w:r>
        <w:rPr>
          <w:rFonts w:hint="eastAsia" w:ascii="宋体" w:eastAsia="宋体"/>
          <w:sz w:val="24"/>
          <w:highlight w:val="none"/>
        </w:rPr>
        <w:t>除</w:t>
      </w:r>
      <w:r>
        <w:rPr>
          <w:rFonts w:ascii="宋体" w:eastAsia="宋体"/>
          <w:sz w:val="24"/>
          <w:highlight w:val="none"/>
          <w:u w:val="single"/>
        </w:rPr>
        <w:t>投标</w:t>
      </w:r>
      <w:r>
        <w:rPr>
          <w:rFonts w:hint="eastAsia" w:ascii="宋体" w:eastAsia="宋体"/>
          <w:sz w:val="24"/>
          <w:highlight w:val="none"/>
          <w:u w:val="single"/>
        </w:rPr>
        <w:t>人</w:t>
      </w:r>
      <w:r>
        <w:rPr>
          <w:rFonts w:ascii="宋体" w:eastAsia="宋体"/>
          <w:sz w:val="24"/>
          <w:highlight w:val="none"/>
          <w:u w:val="single"/>
        </w:rPr>
        <w:t>须知前附表</w:t>
      </w:r>
      <w:r>
        <w:rPr>
          <w:rFonts w:ascii="宋体" w:eastAsia="宋体"/>
          <w:sz w:val="24"/>
          <w:highlight w:val="none"/>
        </w:rPr>
        <w:t>规定由评标委员会直接确定中标</w:t>
      </w:r>
      <w:r>
        <w:rPr>
          <w:rFonts w:hint="eastAsia" w:ascii="宋体" w:eastAsia="宋体"/>
          <w:sz w:val="24"/>
          <w:highlight w:val="none"/>
        </w:rPr>
        <w:t>人外，</w:t>
      </w:r>
      <w:r>
        <w:rPr>
          <w:rFonts w:ascii="宋体" w:eastAsia="宋体"/>
          <w:sz w:val="24"/>
          <w:highlight w:val="none"/>
        </w:rPr>
        <w:t>在评标结束后2个工作日内</w:t>
      </w:r>
      <w:r>
        <w:rPr>
          <w:rFonts w:hint="eastAsia" w:ascii="宋体" w:eastAsia="宋体"/>
          <w:sz w:val="24"/>
          <w:highlight w:val="none"/>
        </w:rPr>
        <w:t>，</w:t>
      </w:r>
      <w:r>
        <w:rPr>
          <w:rFonts w:ascii="宋体" w:eastAsia="宋体"/>
          <w:sz w:val="24"/>
          <w:highlight w:val="none"/>
        </w:rPr>
        <w:t>采购代理机构将评标报告送采购人。采购人应当自收到评标报告之日起</w:t>
      </w:r>
      <w:r>
        <w:rPr>
          <w:rFonts w:hint="eastAsia" w:ascii="宋体" w:eastAsia="宋体"/>
          <w:sz w:val="24"/>
          <w:highlight w:val="none"/>
        </w:rPr>
        <w:t>5</w:t>
      </w:r>
      <w:r>
        <w:rPr>
          <w:rFonts w:ascii="宋体" w:eastAsia="宋体"/>
          <w:sz w:val="24"/>
          <w:highlight w:val="none"/>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pacing w:line="360" w:lineRule="auto"/>
        <w:ind w:firstLine="435"/>
        <w:rPr>
          <w:rFonts w:ascii="宋体" w:eastAsia="宋体"/>
          <w:sz w:val="24"/>
          <w:szCs w:val="18"/>
          <w:highlight w:val="none"/>
        </w:rPr>
      </w:pPr>
      <w:r>
        <w:rPr>
          <w:rFonts w:hint="eastAsia" w:ascii="宋体" w:eastAsia="宋体"/>
          <w:sz w:val="24"/>
          <w:highlight w:val="none"/>
        </w:rPr>
        <w:t>23</w:t>
      </w:r>
      <w:r>
        <w:rPr>
          <w:rFonts w:ascii="宋体" w:eastAsia="宋体"/>
          <w:sz w:val="24"/>
          <w:highlight w:val="none"/>
        </w:rPr>
        <w:t>.2</w:t>
      </w:r>
      <w:r>
        <w:rPr>
          <w:rFonts w:hint="eastAsia" w:ascii="宋体" w:eastAsia="宋体"/>
          <w:sz w:val="24"/>
          <w:szCs w:val="18"/>
          <w:highlight w:val="none"/>
        </w:rPr>
        <w:t>自中标人确定之日起2个工作日内，采购代理机构将在安徽省政府采购网（www.ccgp-anhui.gov.cn）上发布中标结果公告。</w:t>
      </w:r>
    </w:p>
    <w:p>
      <w:pPr>
        <w:spacing w:line="360" w:lineRule="auto"/>
        <w:ind w:firstLine="435"/>
        <w:rPr>
          <w:rFonts w:ascii="宋体" w:eastAsia="宋体"/>
          <w:sz w:val="24"/>
          <w:highlight w:val="none"/>
        </w:rPr>
      </w:pPr>
      <w:r>
        <w:rPr>
          <w:rFonts w:hint="eastAsia" w:ascii="宋体" w:eastAsia="宋体"/>
          <w:sz w:val="24"/>
          <w:highlight w:val="none"/>
        </w:rPr>
        <w:t>23.3</w:t>
      </w:r>
      <w:r>
        <w:rPr>
          <w:rFonts w:ascii="宋体" w:eastAsia="宋体"/>
          <w:sz w:val="24"/>
          <w:highlight w:val="none"/>
        </w:rPr>
        <w:t>中标结果公告内容应当包括采购人及其委托的采购代理机构的名称、地址、联系方式，项目名称和项目编号，中标人名称、地址和中标金额，主要中标标的的名称、规格型号、数量、单价、服务要求，中标公告期限、评审专家名单以及</w:t>
      </w:r>
      <w:r>
        <w:rPr>
          <w:rFonts w:hint="eastAsia" w:ascii="宋体" w:eastAsia="宋体"/>
          <w:sz w:val="24"/>
          <w:highlight w:val="none"/>
          <w:u w:val="single"/>
        </w:rPr>
        <w:t>投标人须知前附表</w:t>
      </w:r>
      <w:r>
        <w:rPr>
          <w:rFonts w:ascii="宋体" w:eastAsia="宋体"/>
          <w:sz w:val="24"/>
          <w:highlight w:val="none"/>
        </w:rPr>
        <w:t>中约定进行公告的内容。中标公告期限为1个工作日。</w:t>
      </w:r>
    </w:p>
    <w:p>
      <w:pPr>
        <w:spacing w:line="360" w:lineRule="auto"/>
        <w:ind w:firstLine="437"/>
        <w:outlineLvl w:val="2"/>
        <w:rPr>
          <w:rFonts w:ascii="宋体" w:eastAsia="宋体"/>
          <w:b/>
          <w:sz w:val="24"/>
          <w:highlight w:val="none"/>
        </w:rPr>
      </w:pPr>
      <w:r>
        <w:rPr>
          <w:rFonts w:hint="eastAsia" w:ascii="宋体" w:eastAsia="宋体"/>
          <w:b/>
          <w:sz w:val="24"/>
          <w:highlight w:val="none"/>
        </w:rPr>
        <w:t>24</w:t>
      </w:r>
      <w:r>
        <w:rPr>
          <w:rFonts w:ascii="宋体" w:eastAsia="宋体"/>
          <w:b/>
          <w:sz w:val="24"/>
          <w:highlight w:val="none"/>
        </w:rPr>
        <w:t>.</w:t>
      </w:r>
      <w:r>
        <w:rPr>
          <w:rFonts w:hint="eastAsia" w:ascii="宋体" w:eastAsia="宋体"/>
          <w:b/>
          <w:sz w:val="24"/>
          <w:highlight w:val="none"/>
        </w:rPr>
        <w:t>中标通知书</w:t>
      </w:r>
    </w:p>
    <w:p>
      <w:pPr>
        <w:spacing w:line="360" w:lineRule="auto"/>
        <w:ind w:firstLine="435"/>
        <w:rPr>
          <w:rFonts w:ascii="宋体" w:eastAsia="宋体"/>
          <w:sz w:val="24"/>
          <w:highlight w:val="none"/>
        </w:rPr>
      </w:pPr>
      <w:r>
        <w:rPr>
          <w:rFonts w:ascii="宋体" w:eastAsia="宋体"/>
          <w:sz w:val="24"/>
          <w:highlight w:val="none"/>
        </w:rPr>
        <w:t>2</w:t>
      </w:r>
      <w:r>
        <w:rPr>
          <w:rFonts w:hint="eastAsia" w:ascii="宋体" w:eastAsia="宋体"/>
          <w:sz w:val="24"/>
          <w:highlight w:val="none"/>
        </w:rPr>
        <w:t>4</w:t>
      </w:r>
      <w:r>
        <w:rPr>
          <w:rFonts w:ascii="宋体" w:eastAsia="宋体"/>
          <w:sz w:val="24"/>
          <w:highlight w:val="none"/>
        </w:rPr>
        <w:t>.1采购代理机构发布中标结果公告</w:t>
      </w:r>
      <w:r>
        <w:rPr>
          <w:rFonts w:hint="eastAsia" w:ascii="宋体" w:eastAsia="宋体"/>
          <w:iCs/>
          <w:sz w:val="24"/>
          <w:highlight w:val="none"/>
        </w:rPr>
        <w:t>的</w:t>
      </w:r>
      <w:r>
        <w:rPr>
          <w:rFonts w:ascii="宋体" w:eastAsia="宋体"/>
          <w:sz w:val="24"/>
          <w:highlight w:val="none"/>
        </w:rPr>
        <w:t>同时以</w:t>
      </w:r>
      <w:r>
        <w:rPr>
          <w:rFonts w:hint="eastAsia" w:ascii="宋体" w:eastAsia="宋体"/>
          <w:sz w:val="24"/>
          <w:highlight w:val="none"/>
          <w:u w:val="single"/>
        </w:rPr>
        <w:t>投标人须知前附表</w:t>
      </w:r>
      <w:r>
        <w:rPr>
          <w:rFonts w:hint="eastAsia" w:ascii="宋体" w:eastAsia="宋体"/>
          <w:sz w:val="24"/>
          <w:highlight w:val="none"/>
        </w:rPr>
        <w:t>规定的</w:t>
      </w:r>
      <w:r>
        <w:rPr>
          <w:rFonts w:ascii="宋体" w:eastAsia="宋体"/>
          <w:sz w:val="24"/>
          <w:highlight w:val="none"/>
        </w:rPr>
        <w:t>形式向中标人发出中标通知书。</w:t>
      </w:r>
    </w:p>
    <w:p>
      <w:pPr>
        <w:spacing w:line="360" w:lineRule="auto"/>
        <w:ind w:firstLine="435"/>
        <w:rPr>
          <w:rFonts w:ascii="宋体" w:eastAsia="宋体"/>
          <w:sz w:val="24"/>
          <w:highlight w:val="none"/>
        </w:rPr>
      </w:pPr>
      <w:r>
        <w:rPr>
          <w:rFonts w:ascii="宋体" w:eastAsia="宋体"/>
          <w:sz w:val="24"/>
          <w:highlight w:val="none"/>
        </w:rPr>
        <w:t>2</w:t>
      </w:r>
      <w:r>
        <w:rPr>
          <w:rFonts w:hint="eastAsia" w:ascii="宋体" w:eastAsia="宋体"/>
          <w:sz w:val="24"/>
          <w:highlight w:val="none"/>
        </w:rPr>
        <w:t>4</w:t>
      </w:r>
      <w:r>
        <w:rPr>
          <w:rFonts w:ascii="宋体" w:eastAsia="宋体"/>
          <w:sz w:val="24"/>
          <w:highlight w:val="none"/>
        </w:rPr>
        <w:t>.2中标通知书对采购人和中标</w:t>
      </w:r>
      <w:r>
        <w:rPr>
          <w:rFonts w:hint="eastAsia" w:ascii="宋体" w:eastAsia="宋体"/>
          <w:sz w:val="24"/>
          <w:highlight w:val="none"/>
        </w:rPr>
        <w:t>人</w:t>
      </w:r>
      <w:r>
        <w:rPr>
          <w:rFonts w:ascii="宋体" w:eastAsia="宋体"/>
          <w:sz w:val="24"/>
          <w:highlight w:val="none"/>
        </w:rPr>
        <w:t>具有同等法律效力。中标通知书发出以后，采购人改变中标结果或者中标</w:t>
      </w:r>
      <w:r>
        <w:rPr>
          <w:rFonts w:hint="eastAsia" w:ascii="宋体" w:eastAsia="宋体"/>
          <w:sz w:val="24"/>
          <w:highlight w:val="none"/>
        </w:rPr>
        <w:t>人</w:t>
      </w:r>
      <w:r>
        <w:rPr>
          <w:rFonts w:ascii="宋体" w:eastAsia="宋体"/>
          <w:sz w:val="24"/>
          <w:highlight w:val="none"/>
        </w:rPr>
        <w:t>放弃中标，应当承担相应的法律责任。</w:t>
      </w:r>
    </w:p>
    <w:p>
      <w:pPr>
        <w:spacing w:line="360" w:lineRule="auto"/>
        <w:ind w:firstLine="435"/>
        <w:rPr>
          <w:rFonts w:ascii="宋体" w:eastAsia="宋体"/>
          <w:sz w:val="24"/>
          <w:highlight w:val="none"/>
        </w:rPr>
      </w:pPr>
      <w:r>
        <w:rPr>
          <w:rFonts w:ascii="宋体" w:eastAsia="宋体"/>
          <w:sz w:val="24"/>
          <w:highlight w:val="none"/>
        </w:rPr>
        <w:t>2</w:t>
      </w:r>
      <w:r>
        <w:rPr>
          <w:rFonts w:hint="eastAsia" w:ascii="宋体" w:eastAsia="宋体"/>
          <w:sz w:val="24"/>
          <w:highlight w:val="none"/>
        </w:rPr>
        <w:t>4</w:t>
      </w:r>
      <w:r>
        <w:rPr>
          <w:rFonts w:ascii="宋体" w:eastAsia="宋体"/>
          <w:sz w:val="24"/>
          <w:highlight w:val="none"/>
        </w:rPr>
        <w:t>.3中标通知书是合同的组成部分。</w:t>
      </w:r>
    </w:p>
    <w:p>
      <w:pPr>
        <w:spacing w:line="360" w:lineRule="auto"/>
        <w:ind w:firstLine="437"/>
        <w:outlineLvl w:val="2"/>
        <w:rPr>
          <w:rFonts w:ascii="宋体" w:eastAsia="宋体"/>
          <w:b/>
          <w:sz w:val="24"/>
          <w:highlight w:val="none"/>
        </w:rPr>
      </w:pPr>
      <w:r>
        <w:rPr>
          <w:rFonts w:hint="eastAsia" w:ascii="宋体" w:eastAsia="宋体"/>
          <w:b/>
          <w:sz w:val="24"/>
          <w:highlight w:val="none"/>
        </w:rPr>
        <w:t>25</w:t>
      </w:r>
      <w:r>
        <w:rPr>
          <w:rFonts w:ascii="宋体" w:eastAsia="宋体"/>
          <w:b/>
          <w:sz w:val="24"/>
          <w:highlight w:val="none"/>
        </w:rPr>
        <w:t>.</w:t>
      </w:r>
      <w:r>
        <w:rPr>
          <w:rFonts w:hint="eastAsia" w:ascii="宋体" w:eastAsia="宋体"/>
          <w:b/>
          <w:sz w:val="24"/>
          <w:highlight w:val="none"/>
        </w:rPr>
        <w:t>告知招标结果</w:t>
      </w:r>
    </w:p>
    <w:p>
      <w:pPr>
        <w:spacing w:line="360" w:lineRule="auto"/>
        <w:ind w:firstLine="435"/>
        <w:rPr>
          <w:rFonts w:ascii="宋体" w:eastAsia="宋体"/>
          <w:sz w:val="24"/>
          <w:highlight w:val="none"/>
        </w:rPr>
      </w:pPr>
      <w:r>
        <w:rPr>
          <w:rFonts w:hint="eastAsia" w:ascii="宋体" w:eastAsia="宋体"/>
          <w:sz w:val="24"/>
          <w:highlight w:val="none"/>
        </w:rPr>
        <w:t>25</w:t>
      </w:r>
      <w:r>
        <w:rPr>
          <w:rFonts w:ascii="宋体" w:eastAsia="宋体"/>
          <w:sz w:val="24"/>
          <w:highlight w:val="none"/>
        </w:rPr>
        <w:t>.1</w:t>
      </w:r>
      <w:r>
        <w:rPr>
          <w:rFonts w:hint="eastAsia" w:ascii="宋体" w:eastAsia="宋体"/>
          <w:sz w:val="24"/>
          <w:highlight w:val="none"/>
        </w:rPr>
        <w:t>在公告</w:t>
      </w:r>
      <w:r>
        <w:rPr>
          <w:rFonts w:ascii="宋体" w:eastAsia="宋体"/>
          <w:sz w:val="24"/>
          <w:highlight w:val="none"/>
        </w:rPr>
        <w:t>中标结果的同时，采购代理机构同时以</w:t>
      </w:r>
      <w:r>
        <w:rPr>
          <w:rFonts w:hint="eastAsia" w:ascii="宋体" w:eastAsia="宋体"/>
          <w:sz w:val="24"/>
          <w:highlight w:val="none"/>
          <w:u w:val="single"/>
        </w:rPr>
        <w:t>投标人须知前附表</w:t>
      </w:r>
      <w:r>
        <w:rPr>
          <w:rFonts w:hint="eastAsia" w:ascii="宋体" w:eastAsia="宋体"/>
          <w:sz w:val="24"/>
          <w:highlight w:val="none"/>
        </w:rPr>
        <w:t>规定的</w:t>
      </w:r>
      <w:r>
        <w:rPr>
          <w:rFonts w:ascii="宋体" w:eastAsia="宋体"/>
          <w:sz w:val="24"/>
          <w:highlight w:val="none"/>
        </w:rPr>
        <w:t>形式</w:t>
      </w:r>
      <w:r>
        <w:rPr>
          <w:rFonts w:hint="eastAsia" w:ascii="宋体" w:eastAsia="宋体"/>
          <w:sz w:val="24"/>
          <w:highlight w:val="none"/>
        </w:rPr>
        <w:t>告知未通过资格审查的投标人未通过的原因；采用综合评分法评审的，还将告知未中标人本人的评审得分和排序。</w:t>
      </w:r>
    </w:p>
    <w:p>
      <w:pPr>
        <w:spacing w:line="360" w:lineRule="auto"/>
        <w:ind w:firstLine="437"/>
        <w:outlineLvl w:val="2"/>
        <w:rPr>
          <w:rFonts w:ascii="宋体" w:eastAsia="宋体"/>
          <w:b/>
          <w:sz w:val="24"/>
          <w:highlight w:val="none"/>
        </w:rPr>
      </w:pPr>
      <w:r>
        <w:rPr>
          <w:rFonts w:hint="eastAsia" w:ascii="宋体" w:eastAsia="宋体"/>
          <w:b/>
          <w:sz w:val="24"/>
          <w:highlight w:val="none"/>
        </w:rPr>
        <w:t>26</w:t>
      </w:r>
      <w:r>
        <w:rPr>
          <w:rFonts w:ascii="宋体" w:eastAsia="宋体"/>
          <w:b/>
          <w:sz w:val="24"/>
          <w:highlight w:val="none"/>
        </w:rPr>
        <w:t>.</w:t>
      </w:r>
      <w:r>
        <w:rPr>
          <w:rFonts w:hint="eastAsia" w:ascii="宋体" w:eastAsia="宋体"/>
          <w:b/>
          <w:sz w:val="24"/>
          <w:highlight w:val="none"/>
        </w:rPr>
        <w:t>履约保证金</w:t>
      </w:r>
    </w:p>
    <w:p>
      <w:pPr>
        <w:spacing w:line="360" w:lineRule="auto"/>
        <w:ind w:firstLine="435"/>
        <w:rPr>
          <w:rFonts w:ascii="宋体" w:eastAsia="宋体"/>
          <w:sz w:val="24"/>
          <w:highlight w:val="none"/>
        </w:rPr>
      </w:pPr>
      <w:r>
        <w:rPr>
          <w:rFonts w:hint="eastAsia" w:ascii="宋体" w:eastAsia="宋体"/>
          <w:sz w:val="24"/>
          <w:highlight w:val="none"/>
        </w:rPr>
        <w:t>26.1中标人应按照</w:t>
      </w:r>
      <w:r>
        <w:rPr>
          <w:rFonts w:hint="eastAsia" w:ascii="宋体" w:eastAsia="宋体"/>
          <w:sz w:val="24"/>
          <w:highlight w:val="none"/>
          <w:u w:val="single"/>
        </w:rPr>
        <w:t>投标人须知前附表</w:t>
      </w:r>
      <w:r>
        <w:rPr>
          <w:rFonts w:hint="eastAsia" w:ascii="宋体" w:eastAsia="宋体"/>
          <w:sz w:val="24"/>
          <w:highlight w:val="none"/>
        </w:rPr>
        <w:t>规定缴纳履约保证金。</w:t>
      </w:r>
    </w:p>
    <w:p>
      <w:pPr>
        <w:spacing w:line="360" w:lineRule="auto"/>
        <w:ind w:firstLine="435"/>
        <w:rPr>
          <w:rFonts w:ascii="宋体" w:eastAsia="宋体"/>
          <w:b/>
          <w:sz w:val="24"/>
          <w:highlight w:val="none"/>
        </w:rPr>
      </w:pPr>
      <w:r>
        <w:rPr>
          <w:rFonts w:hint="eastAsia" w:ascii="宋体" w:eastAsia="宋体"/>
          <w:sz w:val="24"/>
          <w:highlight w:val="none"/>
        </w:rPr>
        <w:t>26.</w:t>
      </w:r>
      <w:r>
        <w:rPr>
          <w:rFonts w:ascii="宋体" w:eastAsia="宋体"/>
          <w:sz w:val="24"/>
          <w:highlight w:val="none"/>
        </w:rPr>
        <w:t>2</w:t>
      </w:r>
      <w:r>
        <w:rPr>
          <w:rFonts w:hint="eastAsia" w:ascii="宋体" w:eastAsia="宋体"/>
          <w:sz w:val="24"/>
          <w:highlight w:val="none"/>
        </w:rPr>
        <w:t>如果中标人没有按照上述履约保证金的规定执行，将视为放弃中标资格。在此情况下，采购人可</w:t>
      </w:r>
      <w:r>
        <w:rPr>
          <w:rFonts w:ascii="宋体" w:eastAsia="宋体"/>
          <w:sz w:val="24"/>
          <w:highlight w:val="none"/>
        </w:rPr>
        <w:t>确定下一</w:t>
      </w:r>
      <w:r>
        <w:rPr>
          <w:rFonts w:hint="eastAsia" w:ascii="宋体" w:eastAsia="宋体"/>
          <w:sz w:val="24"/>
          <w:highlight w:val="none"/>
        </w:rPr>
        <w:t>中标候选</w:t>
      </w:r>
      <w:r>
        <w:rPr>
          <w:rFonts w:ascii="宋体" w:eastAsia="宋体"/>
          <w:sz w:val="24"/>
          <w:highlight w:val="none"/>
        </w:rPr>
        <w:t>人为中标</w:t>
      </w:r>
      <w:r>
        <w:rPr>
          <w:rFonts w:hint="eastAsia" w:ascii="宋体" w:eastAsia="宋体"/>
          <w:sz w:val="24"/>
          <w:highlight w:val="none"/>
        </w:rPr>
        <w:t>人</w:t>
      </w:r>
      <w:r>
        <w:rPr>
          <w:rFonts w:ascii="宋体" w:eastAsia="宋体"/>
          <w:sz w:val="24"/>
          <w:highlight w:val="none"/>
        </w:rPr>
        <w:t>，也可以重新开展采购活动。</w:t>
      </w:r>
    </w:p>
    <w:p>
      <w:pPr>
        <w:spacing w:line="360" w:lineRule="auto"/>
        <w:ind w:firstLine="437"/>
        <w:outlineLvl w:val="2"/>
        <w:rPr>
          <w:rFonts w:ascii="宋体" w:eastAsia="宋体"/>
          <w:b/>
          <w:sz w:val="24"/>
          <w:highlight w:val="none"/>
        </w:rPr>
      </w:pPr>
      <w:r>
        <w:rPr>
          <w:rFonts w:hint="eastAsia" w:ascii="宋体" w:eastAsia="宋体"/>
          <w:b/>
          <w:sz w:val="24"/>
          <w:highlight w:val="none"/>
        </w:rPr>
        <w:t>27</w:t>
      </w:r>
      <w:r>
        <w:rPr>
          <w:rFonts w:ascii="宋体" w:eastAsia="宋体"/>
          <w:b/>
          <w:sz w:val="24"/>
          <w:highlight w:val="none"/>
        </w:rPr>
        <w:t>.</w:t>
      </w:r>
      <w:r>
        <w:rPr>
          <w:rFonts w:hint="eastAsia" w:ascii="宋体" w:eastAsia="宋体"/>
          <w:b/>
          <w:sz w:val="24"/>
          <w:highlight w:val="none"/>
        </w:rPr>
        <w:t>签订合同</w:t>
      </w:r>
    </w:p>
    <w:p>
      <w:pPr>
        <w:spacing w:line="360" w:lineRule="auto"/>
        <w:ind w:firstLine="435"/>
        <w:rPr>
          <w:rFonts w:ascii="宋体" w:eastAsia="宋体"/>
          <w:sz w:val="24"/>
          <w:highlight w:val="none"/>
        </w:rPr>
      </w:pPr>
      <w:r>
        <w:rPr>
          <w:rFonts w:hint="eastAsia" w:ascii="宋体" w:eastAsia="宋体"/>
          <w:sz w:val="24"/>
          <w:highlight w:val="none"/>
        </w:rPr>
        <w:t>27.1</w:t>
      </w:r>
      <w:r>
        <w:rPr>
          <w:rFonts w:hint="eastAsia" w:ascii="宋体" w:eastAsia="宋体" w:cs="宋体"/>
          <w:sz w:val="24"/>
          <w:szCs w:val="24"/>
          <w:highlight w:val="none"/>
        </w:rPr>
        <w:t>采购人与中标人应当按照</w:t>
      </w:r>
      <w:r>
        <w:rPr>
          <w:rFonts w:hint="eastAsia" w:ascii="宋体" w:eastAsia="宋体" w:cs="宋体"/>
          <w:sz w:val="24"/>
          <w:szCs w:val="24"/>
          <w:highlight w:val="none"/>
          <w:u w:val="single"/>
        </w:rPr>
        <w:t>投标人须知前附表</w:t>
      </w:r>
      <w:r>
        <w:rPr>
          <w:rFonts w:hint="eastAsia" w:ascii="宋体" w:eastAsia="宋体" w:cs="宋体"/>
          <w:sz w:val="24"/>
          <w:szCs w:val="24"/>
          <w:highlight w:val="none"/>
        </w:rPr>
        <w:t>规定的时间内完成政府采购合同签订及合同公开。</w:t>
      </w:r>
    </w:p>
    <w:p>
      <w:pPr>
        <w:spacing w:line="360" w:lineRule="auto"/>
        <w:ind w:firstLine="435"/>
        <w:rPr>
          <w:rFonts w:ascii="宋体" w:eastAsia="宋体"/>
          <w:sz w:val="24"/>
          <w:highlight w:val="none"/>
        </w:rPr>
      </w:pPr>
      <w:r>
        <w:rPr>
          <w:rFonts w:hint="eastAsia" w:ascii="宋体" w:eastAsia="宋体"/>
          <w:sz w:val="24"/>
          <w:highlight w:val="none"/>
        </w:rPr>
        <w:t>27.2招标文件、中标人的投标文件及其澄清文件等，均为签订合同的依据。</w:t>
      </w:r>
    </w:p>
    <w:p>
      <w:pPr>
        <w:spacing w:line="360" w:lineRule="auto"/>
        <w:ind w:firstLine="435"/>
        <w:rPr>
          <w:rFonts w:ascii="宋体" w:eastAsia="宋体"/>
          <w:sz w:val="24"/>
          <w:highlight w:val="none"/>
        </w:rPr>
      </w:pPr>
      <w:r>
        <w:rPr>
          <w:rFonts w:hint="eastAsia" w:ascii="宋体" w:eastAsia="宋体"/>
          <w:sz w:val="24"/>
          <w:highlight w:val="none"/>
        </w:rPr>
        <w:t>27.3中</w:t>
      </w:r>
      <w:r>
        <w:rPr>
          <w:rFonts w:ascii="宋体" w:eastAsia="宋体"/>
          <w:sz w:val="24"/>
          <w:highlight w:val="none"/>
        </w:rPr>
        <w:t>标</w:t>
      </w:r>
      <w:r>
        <w:rPr>
          <w:rFonts w:hint="eastAsia" w:ascii="宋体" w:eastAsia="宋体"/>
          <w:sz w:val="24"/>
          <w:highlight w:val="none"/>
        </w:rPr>
        <w:t>人</w:t>
      </w:r>
      <w:r>
        <w:rPr>
          <w:rFonts w:ascii="宋体" w:eastAsia="宋体"/>
          <w:sz w:val="24"/>
          <w:highlight w:val="none"/>
        </w:rPr>
        <w:t>拒绝与采购人签订合同的，采购人可以按照评审报告推荐的中标候选人</w:t>
      </w:r>
      <w:r>
        <w:rPr>
          <w:rFonts w:hint="eastAsia" w:ascii="宋体" w:eastAsia="宋体"/>
          <w:sz w:val="24"/>
          <w:highlight w:val="none"/>
        </w:rPr>
        <w:t>名单</w:t>
      </w:r>
      <w:r>
        <w:rPr>
          <w:rFonts w:ascii="宋体" w:eastAsia="宋体"/>
          <w:sz w:val="24"/>
          <w:highlight w:val="none"/>
        </w:rPr>
        <w:t>排序</w:t>
      </w:r>
      <w:r>
        <w:rPr>
          <w:rFonts w:hint="eastAsia" w:ascii="宋体" w:eastAsia="宋体"/>
          <w:sz w:val="24"/>
          <w:highlight w:val="none"/>
        </w:rPr>
        <w:t>，</w:t>
      </w:r>
      <w:r>
        <w:rPr>
          <w:rFonts w:ascii="宋体" w:eastAsia="宋体"/>
          <w:sz w:val="24"/>
          <w:highlight w:val="none"/>
        </w:rPr>
        <w:t>确定下一</w:t>
      </w:r>
      <w:r>
        <w:rPr>
          <w:rFonts w:hint="eastAsia" w:ascii="宋体" w:eastAsia="宋体"/>
          <w:sz w:val="24"/>
          <w:highlight w:val="none"/>
        </w:rPr>
        <w:t>中标候选</w:t>
      </w:r>
      <w:r>
        <w:rPr>
          <w:rFonts w:ascii="宋体" w:eastAsia="宋体"/>
          <w:sz w:val="24"/>
          <w:highlight w:val="none"/>
        </w:rPr>
        <w:t>人为中标</w:t>
      </w:r>
      <w:r>
        <w:rPr>
          <w:rFonts w:hint="eastAsia" w:ascii="宋体" w:eastAsia="宋体"/>
          <w:sz w:val="24"/>
          <w:highlight w:val="none"/>
        </w:rPr>
        <w:t>人</w:t>
      </w:r>
      <w:r>
        <w:rPr>
          <w:rFonts w:ascii="宋体" w:eastAsia="宋体"/>
          <w:sz w:val="24"/>
          <w:highlight w:val="none"/>
        </w:rPr>
        <w:t>，也可以重新开展政府采购活动。</w:t>
      </w:r>
    </w:p>
    <w:p>
      <w:pPr>
        <w:spacing w:line="360" w:lineRule="auto"/>
        <w:ind w:firstLine="435"/>
        <w:rPr>
          <w:rFonts w:ascii="宋体" w:eastAsia="宋体"/>
          <w:sz w:val="24"/>
          <w:highlight w:val="none"/>
        </w:rPr>
      </w:pPr>
      <w:r>
        <w:rPr>
          <w:rFonts w:hint="eastAsia" w:ascii="宋体" w:eastAsia="宋体"/>
          <w:sz w:val="24"/>
          <w:highlight w:val="none"/>
        </w:rPr>
        <w:t>27.4当出现法规规定的中标无效或中标结果无效情形时，采购人可依法与排名下一位的中标候选人另行签订合同，或依法重新开展采购活动。</w:t>
      </w:r>
    </w:p>
    <w:p>
      <w:pPr>
        <w:spacing w:line="360" w:lineRule="auto"/>
        <w:ind w:firstLine="435"/>
        <w:rPr>
          <w:rFonts w:ascii="宋体" w:eastAsia="宋体"/>
          <w:sz w:val="24"/>
          <w:highlight w:val="none"/>
        </w:rPr>
      </w:pPr>
      <w:r>
        <w:rPr>
          <w:rFonts w:hint="eastAsia" w:ascii="宋体" w:eastAsia="宋体"/>
          <w:sz w:val="24"/>
          <w:highlight w:val="none"/>
        </w:rPr>
        <w:t>27.5依据《政府采购促进中小企业发展管理办法》（财库〔</w:t>
      </w:r>
      <w:r>
        <w:rPr>
          <w:rFonts w:ascii="宋体" w:eastAsia="宋体"/>
          <w:sz w:val="24"/>
          <w:highlight w:val="none"/>
        </w:rPr>
        <w:t>2020〕46号</w:t>
      </w:r>
      <w:r>
        <w:rPr>
          <w:rFonts w:hint="eastAsia" w:ascii="宋体" w:eastAsia="宋体"/>
          <w:sz w:val="24"/>
          <w:highlight w:val="none"/>
        </w:rPr>
        <w:t>）规定享受扶持政策获得政府采购合同的，小微企业不得将合同分包给大中型企业，中型企业不得将合同分包给大型企业。</w:t>
      </w:r>
    </w:p>
    <w:p>
      <w:pPr>
        <w:spacing w:line="360" w:lineRule="auto"/>
        <w:ind w:firstLine="437"/>
        <w:outlineLvl w:val="2"/>
        <w:rPr>
          <w:rFonts w:ascii="宋体" w:eastAsia="宋体"/>
          <w:b/>
          <w:sz w:val="24"/>
          <w:highlight w:val="none"/>
        </w:rPr>
      </w:pPr>
      <w:r>
        <w:rPr>
          <w:rFonts w:hint="eastAsia" w:ascii="宋体" w:eastAsia="宋体"/>
          <w:b/>
          <w:sz w:val="24"/>
          <w:highlight w:val="none"/>
        </w:rPr>
        <w:t>28</w:t>
      </w:r>
      <w:r>
        <w:rPr>
          <w:rFonts w:ascii="宋体" w:eastAsia="宋体"/>
          <w:b/>
          <w:sz w:val="24"/>
          <w:highlight w:val="none"/>
        </w:rPr>
        <w:t>.</w:t>
      </w:r>
      <w:r>
        <w:rPr>
          <w:rFonts w:hint="eastAsia" w:ascii="宋体" w:eastAsia="宋体"/>
          <w:b/>
          <w:sz w:val="24"/>
          <w:highlight w:val="none"/>
        </w:rPr>
        <w:t>代理费用</w:t>
      </w:r>
    </w:p>
    <w:p>
      <w:pPr>
        <w:spacing w:line="360" w:lineRule="auto"/>
        <w:ind w:firstLine="435"/>
        <w:rPr>
          <w:rFonts w:ascii="宋体" w:eastAsia="宋体"/>
          <w:sz w:val="24"/>
          <w:highlight w:val="none"/>
        </w:rPr>
      </w:pPr>
      <w:r>
        <w:rPr>
          <w:rFonts w:hint="eastAsia" w:ascii="宋体" w:eastAsia="宋体"/>
          <w:sz w:val="24"/>
          <w:highlight w:val="none"/>
        </w:rPr>
        <w:t>28</w:t>
      </w:r>
      <w:r>
        <w:rPr>
          <w:rFonts w:ascii="宋体" w:eastAsia="宋体"/>
          <w:sz w:val="24"/>
          <w:highlight w:val="none"/>
        </w:rPr>
        <w:t>.1</w:t>
      </w:r>
      <w:r>
        <w:rPr>
          <w:rFonts w:hint="eastAsia" w:ascii="宋体" w:eastAsia="宋体"/>
          <w:sz w:val="24"/>
          <w:highlight w:val="none"/>
        </w:rPr>
        <w:t>本项目代理费用的收取按</w:t>
      </w:r>
      <w:r>
        <w:rPr>
          <w:rFonts w:hint="eastAsia" w:ascii="宋体" w:eastAsia="宋体"/>
          <w:sz w:val="24"/>
          <w:highlight w:val="none"/>
          <w:u w:val="single"/>
        </w:rPr>
        <w:t>投标人须知前附表的</w:t>
      </w:r>
      <w:r>
        <w:rPr>
          <w:rFonts w:hint="eastAsia" w:ascii="宋体" w:eastAsia="宋体"/>
          <w:sz w:val="24"/>
          <w:highlight w:val="none"/>
        </w:rPr>
        <w:t>规定执行。</w:t>
      </w:r>
    </w:p>
    <w:p>
      <w:pPr>
        <w:spacing w:line="360" w:lineRule="auto"/>
        <w:ind w:firstLine="437"/>
        <w:outlineLvl w:val="2"/>
        <w:rPr>
          <w:rFonts w:ascii="宋体" w:eastAsia="宋体"/>
          <w:b/>
          <w:sz w:val="24"/>
          <w:highlight w:val="none"/>
        </w:rPr>
      </w:pPr>
      <w:bookmarkStart w:id="54" w:name="_Toc518923100"/>
      <w:bookmarkStart w:id="55" w:name="_Toc2583661"/>
      <w:r>
        <w:rPr>
          <w:rFonts w:hint="eastAsia" w:ascii="宋体" w:eastAsia="宋体"/>
          <w:b/>
          <w:sz w:val="24"/>
          <w:highlight w:val="none"/>
        </w:rPr>
        <w:t>29.廉洁自律</w:t>
      </w:r>
      <w:r>
        <w:rPr>
          <w:rFonts w:ascii="宋体" w:eastAsia="宋体"/>
          <w:b/>
          <w:sz w:val="24"/>
          <w:highlight w:val="none"/>
        </w:rPr>
        <w:t>规定</w:t>
      </w:r>
      <w:bookmarkEnd w:id="54"/>
      <w:bookmarkEnd w:id="55"/>
    </w:p>
    <w:p>
      <w:pPr>
        <w:spacing w:line="360" w:lineRule="auto"/>
        <w:ind w:firstLine="435"/>
        <w:rPr>
          <w:rFonts w:ascii="宋体" w:eastAsia="宋体"/>
          <w:sz w:val="24"/>
          <w:highlight w:val="none"/>
        </w:rPr>
      </w:pPr>
      <w:r>
        <w:rPr>
          <w:rFonts w:hint="eastAsia" w:ascii="宋体" w:eastAsia="宋体"/>
          <w:sz w:val="24"/>
          <w:highlight w:val="none"/>
        </w:rPr>
        <w:t>29.1采购代理机构</w:t>
      </w:r>
      <w:r>
        <w:rPr>
          <w:rFonts w:ascii="宋体" w:eastAsia="宋体"/>
          <w:sz w:val="24"/>
          <w:highlight w:val="none"/>
        </w:rPr>
        <w:t>工作人员</w:t>
      </w:r>
      <w:r>
        <w:rPr>
          <w:rFonts w:hint="eastAsia" w:ascii="宋体" w:eastAsia="宋体"/>
          <w:sz w:val="24"/>
          <w:highlight w:val="none"/>
        </w:rPr>
        <w:t>不得以不正当手段获取政府采购代理业务，不得与采购人、供应商恶意串通。</w:t>
      </w:r>
    </w:p>
    <w:p>
      <w:pPr>
        <w:spacing w:line="360" w:lineRule="auto"/>
        <w:ind w:firstLine="435"/>
        <w:rPr>
          <w:rFonts w:ascii="宋体" w:eastAsia="宋体"/>
          <w:sz w:val="24"/>
          <w:highlight w:val="none"/>
        </w:rPr>
      </w:pPr>
      <w:r>
        <w:rPr>
          <w:rFonts w:hint="eastAsia" w:ascii="宋体" w:eastAsia="宋体"/>
          <w:sz w:val="24"/>
          <w:highlight w:val="none"/>
        </w:rPr>
        <w:t>29.</w:t>
      </w:r>
      <w:r>
        <w:rPr>
          <w:rFonts w:ascii="宋体" w:eastAsia="宋体"/>
          <w:sz w:val="24"/>
          <w:highlight w:val="none"/>
        </w:rPr>
        <w:t>2</w:t>
      </w:r>
      <w:r>
        <w:rPr>
          <w:rFonts w:hint="eastAsia" w:ascii="宋体" w:eastAsia="宋体"/>
          <w:sz w:val="24"/>
          <w:highlight w:val="none"/>
        </w:rPr>
        <w:t>采购代理机构工作人员不得接受采购人或者供应商组织的宴请、旅游、娱乐，不得收受礼品、现金、有价证券等，不得向采购人或者供应商报销应当由个人承担的费用。</w:t>
      </w:r>
    </w:p>
    <w:p>
      <w:pPr>
        <w:spacing w:line="360" w:lineRule="auto"/>
        <w:ind w:firstLine="437"/>
        <w:outlineLvl w:val="2"/>
        <w:rPr>
          <w:rFonts w:ascii="宋体" w:eastAsia="宋体"/>
          <w:b/>
          <w:sz w:val="24"/>
          <w:highlight w:val="none"/>
        </w:rPr>
      </w:pPr>
      <w:bookmarkStart w:id="56" w:name="_Toc2583662"/>
      <w:bookmarkStart w:id="57" w:name="_Toc518923101"/>
      <w:r>
        <w:rPr>
          <w:rFonts w:hint="eastAsia" w:ascii="宋体" w:eastAsia="宋体"/>
          <w:b/>
          <w:sz w:val="24"/>
          <w:highlight w:val="none"/>
        </w:rPr>
        <w:t>30.人员回避</w:t>
      </w:r>
      <w:bookmarkEnd w:id="56"/>
      <w:bookmarkEnd w:id="57"/>
    </w:p>
    <w:p>
      <w:pPr>
        <w:spacing w:line="360" w:lineRule="auto"/>
        <w:ind w:firstLine="435"/>
        <w:rPr>
          <w:rFonts w:ascii="仿宋_GB2312" w:eastAsia="仿宋_GB2312"/>
          <w:sz w:val="24"/>
          <w:highlight w:val="none"/>
        </w:rPr>
      </w:pPr>
      <w:r>
        <w:rPr>
          <w:rFonts w:hint="eastAsia" w:ascii="宋体" w:eastAsia="宋体"/>
          <w:sz w:val="24"/>
          <w:highlight w:val="none"/>
        </w:rPr>
        <w:t>投标人</w:t>
      </w:r>
      <w:r>
        <w:rPr>
          <w:rFonts w:ascii="宋体" w:eastAsia="宋体"/>
          <w:sz w:val="24"/>
          <w:highlight w:val="none"/>
        </w:rPr>
        <w:t>认为采购人员</w:t>
      </w:r>
      <w:r>
        <w:rPr>
          <w:rFonts w:hint="eastAsia" w:ascii="宋体" w:eastAsia="宋体"/>
          <w:sz w:val="24"/>
          <w:highlight w:val="none"/>
        </w:rPr>
        <w:t>及其</w:t>
      </w:r>
      <w:r>
        <w:rPr>
          <w:rFonts w:ascii="宋体" w:eastAsia="宋体"/>
          <w:sz w:val="24"/>
          <w:highlight w:val="none"/>
        </w:rPr>
        <w:t>相关人员有</w:t>
      </w:r>
      <w:r>
        <w:rPr>
          <w:rFonts w:hint="eastAsia" w:ascii="宋体" w:eastAsia="宋体"/>
          <w:sz w:val="24"/>
          <w:highlight w:val="none"/>
        </w:rPr>
        <w:t>法律</w:t>
      </w:r>
      <w:r>
        <w:rPr>
          <w:rFonts w:ascii="宋体" w:eastAsia="宋体"/>
          <w:sz w:val="24"/>
          <w:highlight w:val="none"/>
        </w:rPr>
        <w:t>法规所列与其他供应商</w:t>
      </w:r>
      <w:r>
        <w:rPr>
          <w:rFonts w:hint="eastAsia" w:ascii="宋体" w:eastAsia="宋体"/>
          <w:sz w:val="24"/>
          <w:highlight w:val="none"/>
        </w:rPr>
        <w:t>有</w:t>
      </w:r>
      <w:r>
        <w:rPr>
          <w:rFonts w:ascii="宋体" w:eastAsia="宋体"/>
          <w:sz w:val="24"/>
          <w:highlight w:val="none"/>
        </w:rPr>
        <w:t>利害关系的，可以向</w:t>
      </w:r>
      <w:r>
        <w:rPr>
          <w:rFonts w:hint="eastAsia" w:ascii="宋体" w:eastAsia="宋体"/>
          <w:sz w:val="24"/>
          <w:highlight w:val="none"/>
        </w:rPr>
        <w:t>采购人或</w:t>
      </w:r>
      <w:r>
        <w:rPr>
          <w:rFonts w:ascii="宋体" w:eastAsia="宋体"/>
          <w:sz w:val="24"/>
          <w:highlight w:val="none"/>
        </w:rPr>
        <w:t>采购代理机构书面提出回避申请，并说明理由。</w:t>
      </w:r>
    </w:p>
    <w:p>
      <w:pPr>
        <w:spacing w:line="360" w:lineRule="auto"/>
        <w:ind w:firstLine="437"/>
        <w:outlineLvl w:val="2"/>
        <w:rPr>
          <w:rFonts w:ascii="宋体" w:eastAsia="宋体"/>
          <w:b/>
          <w:sz w:val="24"/>
          <w:highlight w:val="none"/>
        </w:rPr>
      </w:pPr>
      <w:r>
        <w:rPr>
          <w:rFonts w:hint="eastAsia" w:ascii="宋体" w:eastAsia="宋体"/>
          <w:b/>
          <w:sz w:val="24"/>
          <w:highlight w:val="none"/>
        </w:rPr>
        <w:t>31</w:t>
      </w:r>
      <w:r>
        <w:rPr>
          <w:rFonts w:ascii="宋体" w:eastAsia="宋体"/>
          <w:b/>
          <w:sz w:val="24"/>
          <w:highlight w:val="none"/>
        </w:rPr>
        <w:t>.</w:t>
      </w:r>
      <w:r>
        <w:rPr>
          <w:rFonts w:hint="eastAsia" w:ascii="宋体" w:eastAsia="宋体"/>
          <w:b/>
          <w:sz w:val="24"/>
          <w:highlight w:val="none"/>
        </w:rPr>
        <w:t>质疑的提出与接收</w:t>
      </w:r>
    </w:p>
    <w:p>
      <w:pPr>
        <w:spacing w:line="360" w:lineRule="auto"/>
        <w:ind w:firstLine="435"/>
        <w:rPr>
          <w:rFonts w:ascii="宋体" w:eastAsia="宋体"/>
          <w:sz w:val="24"/>
          <w:highlight w:val="none"/>
        </w:rPr>
      </w:pPr>
      <w:r>
        <w:rPr>
          <w:rFonts w:hint="eastAsia" w:ascii="宋体" w:eastAsia="宋体"/>
          <w:sz w:val="24"/>
          <w:highlight w:val="none"/>
        </w:rPr>
        <w:t>31.1投标人认为招标文件、招标过程和中标结果使自己的权益受到损害的，可以在知道或者应知其权益受到损害之日起七个工作日内，以书面形式向采购人或其委托的采购代理机构提出质疑。</w:t>
      </w:r>
    </w:p>
    <w:p>
      <w:pPr>
        <w:spacing w:line="360" w:lineRule="auto"/>
        <w:ind w:firstLine="435"/>
        <w:rPr>
          <w:rFonts w:ascii="宋体" w:eastAsia="宋体"/>
          <w:sz w:val="24"/>
          <w:highlight w:val="none"/>
        </w:rPr>
      </w:pPr>
      <w:r>
        <w:rPr>
          <w:rFonts w:hint="eastAsia" w:ascii="宋体" w:eastAsia="宋体"/>
          <w:sz w:val="24"/>
          <w:highlight w:val="none"/>
        </w:rPr>
        <w:t>31.2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pPr>
        <w:spacing w:line="360" w:lineRule="auto"/>
        <w:ind w:firstLine="435"/>
        <w:rPr>
          <w:rFonts w:ascii="宋体" w:eastAsia="宋体"/>
          <w:sz w:val="24"/>
          <w:highlight w:val="none"/>
        </w:rPr>
      </w:pPr>
      <w:r>
        <w:rPr>
          <w:rFonts w:hint="eastAsia" w:ascii="宋体" w:eastAsia="宋体"/>
          <w:sz w:val="24"/>
          <w:highlight w:val="none"/>
        </w:rPr>
        <w:t>31.3采购代理机构质疑函接收部门、联系电话和通讯地址，见</w:t>
      </w:r>
      <w:r>
        <w:rPr>
          <w:rFonts w:hint="eastAsia" w:ascii="宋体" w:eastAsia="宋体"/>
          <w:sz w:val="24"/>
          <w:highlight w:val="none"/>
          <w:u w:val="single"/>
        </w:rPr>
        <w:t>投标人须知前附表</w:t>
      </w:r>
      <w:r>
        <w:rPr>
          <w:rFonts w:hint="eastAsia" w:ascii="宋体" w:eastAsia="宋体"/>
          <w:sz w:val="24"/>
          <w:highlight w:val="none"/>
        </w:rPr>
        <w:t>。</w:t>
      </w:r>
    </w:p>
    <w:p>
      <w:pPr>
        <w:spacing w:line="360" w:lineRule="auto"/>
        <w:ind w:firstLine="435"/>
        <w:rPr>
          <w:rFonts w:ascii="宋体" w:eastAsia="宋体"/>
          <w:sz w:val="24"/>
          <w:highlight w:val="none"/>
        </w:rPr>
      </w:pPr>
      <w:r>
        <w:rPr>
          <w:rFonts w:hint="eastAsia" w:ascii="宋体" w:eastAsia="宋体"/>
          <w:sz w:val="24"/>
          <w:highlight w:val="none"/>
        </w:rPr>
        <w:t>注：上述条款中所要求的书面形式包含通过电子交易系统递交方式。</w:t>
      </w:r>
    </w:p>
    <w:p>
      <w:pPr>
        <w:spacing w:line="360" w:lineRule="auto"/>
        <w:ind w:firstLine="437"/>
        <w:outlineLvl w:val="2"/>
        <w:rPr>
          <w:rFonts w:ascii="宋体" w:eastAsia="宋体"/>
          <w:b/>
          <w:sz w:val="24"/>
          <w:highlight w:val="none"/>
        </w:rPr>
      </w:pPr>
      <w:r>
        <w:rPr>
          <w:rFonts w:hint="eastAsia" w:ascii="宋体" w:eastAsia="宋体"/>
          <w:b/>
          <w:sz w:val="24"/>
          <w:highlight w:val="none"/>
        </w:rPr>
        <w:t>32</w:t>
      </w:r>
      <w:r>
        <w:rPr>
          <w:rFonts w:ascii="宋体" w:eastAsia="宋体"/>
          <w:b/>
          <w:sz w:val="24"/>
          <w:highlight w:val="none"/>
        </w:rPr>
        <w:t>.</w:t>
      </w:r>
      <w:r>
        <w:rPr>
          <w:rFonts w:hint="eastAsia" w:ascii="宋体" w:eastAsia="宋体"/>
          <w:b/>
          <w:sz w:val="24"/>
          <w:highlight w:val="none"/>
        </w:rPr>
        <w:t>需要补充的其他内容</w:t>
      </w:r>
    </w:p>
    <w:p>
      <w:pPr>
        <w:spacing w:line="360" w:lineRule="auto"/>
        <w:ind w:firstLine="435"/>
        <w:rPr>
          <w:rFonts w:ascii="宋体" w:eastAsia="宋体"/>
          <w:sz w:val="24"/>
          <w:highlight w:val="none"/>
        </w:rPr>
      </w:pPr>
      <w:r>
        <w:rPr>
          <w:rFonts w:hint="eastAsia" w:ascii="宋体" w:eastAsia="宋体"/>
          <w:sz w:val="24"/>
          <w:highlight w:val="none"/>
        </w:rPr>
        <w:t>需要补充的其他内容，见</w:t>
      </w:r>
      <w:r>
        <w:rPr>
          <w:rFonts w:hint="eastAsia" w:ascii="宋体" w:eastAsia="宋体"/>
          <w:sz w:val="24"/>
          <w:highlight w:val="none"/>
          <w:u w:val="single"/>
        </w:rPr>
        <w:t>投标人须知前附表</w:t>
      </w:r>
      <w:r>
        <w:rPr>
          <w:rFonts w:hint="eastAsia" w:ascii="宋体" w:eastAsia="宋体"/>
          <w:sz w:val="24"/>
          <w:highlight w:val="none"/>
        </w:rPr>
        <w:t>。</w:t>
      </w:r>
    </w:p>
    <w:p>
      <w:pPr>
        <w:rPr>
          <w:rFonts w:ascii="宋体" w:eastAsia="宋体"/>
          <w:sz w:val="24"/>
          <w:highlight w:val="none"/>
        </w:rPr>
      </w:pPr>
      <w:r>
        <w:rPr>
          <w:rFonts w:hint="eastAsia" w:ascii="宋体" w:eastAsia="宋体"/>
          <w:sz w:val="24"/>
          <w:highlight w:val="none"/>
        </w:rPr>
        <w:br w:type="page"/>
      </w:r>
    </w:p>
    <w:p>
      <w:pPr>
        <w:keepNext/>
        <w:keepLines/>
        <w:widowControl w:val="0"/>
        <w:spacing w:before="240" w:line="360" w:lineRule="auto"/>
        <w:ind w:firstLine="560" w:firstLineChars="200"/>
        <w:jc w:val="center"/>
        <w:outlineLvl w:val="1"/>
        <w:rPr>
          <w:rFonts w:ascii="Arial" w:hAnsi="Arial" w:eastAsia="方正黑体_GBK" w:cs="Arial"/>
          <w:bCs/>
          <w:sz w:val="28"/>
          <w:szCs w:val="32"/>
          <w:highlight w:val="none"/>
        </w:rPr>
      </w:pPr>
      <w:bookmarkStart w:id="58" w:name="_Toc703926946_WPSOffice_Level2"/>
      <w:bookmarkStart w:id="59" w:name="_Toc178090216"/>
      <w:bookmarkStart w:id="60" w:name="_Toc947433833"/>
      <w:bookmarkStart w:id="61" w:name="_Toc946810653"/>
      <w:bookmarkStart w:id="62" w:name="_Toc15016"/>
      <w:bookmarkStart w:id="63" w:name="_Toc731250774"/>
      <w:bookmarkStart w:id="64" w:name="_Toc1891953086"/>
      <w:bookmarkStart w:id="65" w:name="_Toc2103184424"/>
      <w:bookmarkStart w:id="66" w:name="_Toc27866461"/>
      <w:r>
        <w:rPr>
          <w:rFonts w:hint="eastAsia" w:ascii="Arial" w:hAnsi="Arial" w:eastAsia="方正黑体_GBK" w:cs="Arial"/>
          <w:bCs/>
          <w:sz w:val="28"/>
          <w:szCs w:val="32"/>
          <w:highlight w:val="none"/>
        </w:rPr>
        <w:t>附   电子交易系统操作指南</w:t>
      </w:r>
      <w:bookmarkEnd w:id="58"/>
      <w:bookmarkEnd w:id="59"/>
      <w:bookmarkEnd w:id="60"/>
      <w:bookmarkEnd w:id="61"/>
      <w:bookmarkEnd w:id="62"/>
      <w:bookmarkEnd w:id="63"/>
      <w:bookmarkEnd w:id="64"/>
      <w:bookmarkEnd w:id="65"/>
      <w:bookmarkEnd w:id="66"/>
    </w:p>
    <w:p>
      <w:pPr>
        <w:snapToGrid w:val="0"/>
        <w:spacing w:line="500" w:lineRule="exact"/>
        <w:ind w:firstLine="480" w:firstLineChars="200"/>
        <w:jc w:val="left"/>
        <w:rPr>
          <w:rFonts w:ascii="宋体" w:eastAsia="宋体" w:cs="宋体"/>
          <w:sz w:val="24"/>
          <w:szCs w:val="24"/>
          <w:highlight w:val="none"/>
        </w:rPr>
      </w:pPr>
      <w:r>
        <w:rPr>
          <w:rFonts w:hint="eastAsia" w:ascii="宋体" w:eastAsia="宋体" w:cs="宋体"/>
          <w:sz w:val="24"/>
          <w:szCs w:val="24"/>
          <w:highlight w:val="none"/>
        </w:rPr>
        <w:t>1.电子招投标：本项目以数据电文形式，依托“徽采云”电子交易系统进行招投标活动；</w:t>
      </w:r>
    </w:p>
    <w:p>
      <w:pPr>
        <w:wordWrap w:val="0"/>
        <w:adjustRightInd w:val="0"/>
        <w:snapToGrid w:val="0"/>
        <w:spacing w:line="500" w:lineRule="exact"/>
        <w:ind w:firstLine="480" w:firstLineChars="200"/>
        <w:jc w:val="left"/>
        <w:rPr>
          <w:rFonts w:ascii="宋体" w:eastAsia="宋体" w:cs="宋体"/>
          <w:sz w:val="24"/>
          <w:szCs w:val="24"/>
          <w:highlight w:val="none"/>
        </w:rPr>
      </w:pPr>
      <w:r>
        <w:rPr>
          <w:rFonts w:hint="eastAsia" w:ascii="宋体" w:eastAsia="宋体" w:cs="宋体"/>
          <w:sz w:val="24"/>
          <w:szCs w:val="24"/>
          <w:highlight w:val="none"/>
        </w:rPr>
        <w:t>2.投标准备：注册账号－－详情参见“徽采云”平台供应商注册与配置手册 “第2章入驻操作流程”（https://sitecdn.zcycdn.com/f2e-assets/a2d7b18f-adb6-47d9-8fb3-cb8632b8fffc.pdf?utm=a0017.b1884.cl28.topic.1a7c2150533811ed990f05d85dda49f6）；申领CA数字证书---申领流程详见安徽省政府采购网-下载专区-其他-供应商CA驱动下载-安徽省各市CA办理服务指南（已有安徽CA和翔晟CA无需重复申领）；安装“徽采云”投标客户端----前往“安徽省政府采购网-下载专区-电子交易系统专区”进行下载并安装（http://www.ccgp-anhui.gov.cn/anhuiCategory15/anhuiCategory119/9396667.html）；</w:t>
      </w:r>
    </w:p>
    <w:p>
      <w:pPr>
        <w:snapToGrid w:val="0"/>
        <w:spacing w:line="500" w:lineRule="exact"/>
        <w:ind w:firstLine="480" w:firstLineChars="200"/>
        <w:jc w:val="left"/>
        <w:rPr>
          <w:rFonts w:ascii="宋体" w:eastAsia="宋体" w:cs="宋体"/>
          <w:sz w:val="24"/>
          <w:szCs w:val="24"/>
          <w:highlight w:val="none"/>
        </w:rPr>
      </w:pPr>
      <w:r>
        <w:rPr>
          <w:rFonts w:hint="eastAsia" w:ascii="宋体" w:eastAsia="宋体" w:cs="宋体"/>
          <w:sz w:val="24"/>
          <w:szCs w:val="24"/>
          <w:highlight w:val="none"/>
        </w:rPr>
        <w:t>3.招标文件的获取：使用 CA 登录“徽采云”电子交易系统；进入“项目采购”应用，在获取采购文件菜单中选择项目，获取招标文件；</w:t>
      </w:r>
    </w:p>
    <w:p>
      <w:pPr>
        <w:snapToGrid w:val="0"/>
        <w:spacing w:line="500" w:lineRule="exact"/>
        <w:ind w:firstLine="480" w:firstLineChars="200"/>
        <w:jc w:val="left"/>
        <w:rPr>
          <w:rFonts w:ascii="宋体" w:eastAsia="宋体" w:cs="宋体"/>
          <w:sz w:val="24"/>
          <w:szCs w:val="24"/>
          <w:highlight w:val="none"/>
        </w:rPr>
      </w:pPr>
      <w:r>
        <w:rPr>
          <w:rFonts w:hint="eastAsia" w:ascii="宋体" w:eastAsia="宋体" w:cs="宋体"/>
          <w:sz w:val="24"/>
          <w:szCs w:val="24"/>
          <w:highlight w:val="none"/>
        </w:rPr>
        <w:t>4.投标文件的制作：在“徽采云投标客户端”中完成“填写基本信息”、 “制作和导入投标（响应）文件”、“标书关联”、“标书检查”、“电子签名”、 “生成电子标书”等操作；</w:t>
      </w:r>
    </w:p>
    <w:p>
      <w:pPr>
        <w:snapToGrid w:val="0"/>
        <w:spacing w:line="500" w:lineRule="exact"/>
        <w:ind w:firstLine="480" w:firstLineChars="200"/>
        <w:jc w:val="left"/>
        <w:rPr>
          <w:rFonts w:ascii="宋体" w:eastAsia="宋体" w:cs="宋体"/>
          <w:sz w:val="24"/>
          <w:szCs w:val="24"/>
          <w:highlight w:val="none"/>
        </w:rPr>
      </w:pPr>
      <w:r>
        <w:rPr>
          <w:rFonts w:hint="eastAsia" w:ascii="宋体" w:eastAsia="宋体" w:cs="宋体"/>
          <w:sz w:val="24"/>
          <w:szCs w:val="24"/>
          <w:highlight w:val="none"/>
        </w:rPr>
        <w:t>5.投标文件的上传：使用CA登录“徽采云”电子交易系统；进入“项目采购”应用，在投标文件上传菜单中选择项目，上传加密的投标文件（*.jmbs）；</w:t>
      </w:r>
    </w:p>
    <w:p>
      <w:pPr>
        <w:snapToGrid w:val="0"/>
        <w:spacing w:line="500" w:lineRule="exact"/>
        <w:ind w:firstLine="480" w:firstLineChars="200"/>
        <w:jc w:val="left"/>
        <w:rPr>
          <w:rFonts w:ascii="宋体" w:eastAsia="宋体" w:cs="宋体"/>
          <w:sz w:val="24"/>
          <w:szCs w:val="24"/>
          <w:highlight w:val="none"/>
        </w:rPr>
      </w:pPr>
      <w:r>
        <w:rPr>
          <w:rFonts w:hint="eastAsia" w:ascii="宋体" w:eastAsia="宋体" w:cs="宋体"/>
          <w:sz w:val="24"/>
          <w:szCs w:val="24"/>
          <w:highlight w:val="none"/>
        </w:rPr>
        <w:t>6.投标文件的解密：投标人按照系统提示和招标文件规定，在规定时间内完成在线解密；</w:t>
      </w:r>
    </w:p>
    <w:p>
      <w:pPr>
        <w:snapToGrid w:val="0"/>
        <w:spacing w:line="500" w:lineRule="exact"/>
        <w:ind w:firstLine="480" w:firstLineChars="200"/>
        <w:jc w:val="left"/>
        <w:rPr>
          <w:rFonts w:ascii="宋体" w:eastAsia="宋体" w:cs="宋体"/>
          <w:sz w:val="24"/>
          <w:szCs w:val="24"/>
          <w:highlight w:val="none"/>
        </w:rPr>
      </w:pPr>
      <w:r>
        <w:rPr>
          <w:rFonts w:hint="eastAsia" w:ascii="宋体" w:eastAsia="宋体" w:cs="宋体"/>
          <w:sz w:val="24"/>
          <w:szCs w:val="24"/>
          <w:highlight w:val="none"/>
        </w:rPr>
        <w:t>7.“徽采云”电子交易系统具体操作指南：详见安徽省政府采购网-徽采学院－电子交易系统学习专题－供应商－操作手册。</w:t>
      </w:r>
    </w:p>
    <w:p>
      <w:pPr>
        <w:snapToGrid w:val="0"/>
        <w:spacing w:line="500" w:lineRule="exact"/>
        <w:ind w:firstLine="480" w:firstLineChars="200"/>
        <w:jc w:val="left"/>
        <w:rPr>
          <w:highlight w:val="none"/>
        </w:rPr>
      </w:pPr>
      <w:r>
        <w:rPr>
          <w:rFonts w:hint="eastAsia" w:ascii="宋体" w:eastAsia="宋体" w:cs="宋体"/>
          <w:sz w:val="24"/>
          <w:szCs w:val="24"/>
          <w:highlight w:val="none"/>
        </w:rPr>
        <w:t>8. CA问题联系电话：安徽CA 400-880-4959 ；翔晟CA 0551-68105136。</w:t>
      </w:r>
    </w:p>
    <w:p>
      <w:pPr>
        <w:spacing w:line="360" w:lineRule="auto"/>
        <w:ind w:firstLine="435"/>
        <w:rPr>
          <w:rFonts w:ascii="宋体" w:eastAsia="宋体"/>
          <w:sz w:val="24"/>
          <w:highlight w:val="none"/>
        </w:rPr>
      </w:pPr>
    </w:p>
    <w:p>
      <w:pPr>
        <w:widowControl/>
        <w:jc w:val="left"/>
        <w:rPr>
          <w:rFonts w:ascii="宋体" w:eastAsia="宋体"/>
          <w:b/>
          <w:sz w:val="28"/>
          <w:highlight w:val="none"/>
        </w:rPr>
      </w:pPr>
      <w:r>
        <w:rPr>
          <w:rFonts w:ascii="宋体" w:eastAsia="宋体"/>
          <w:sz w:val="24"/>
          <w:highlight w:val="none"/>
        </w:rPr>
        <w:br w:type="page"/>
      </w:r>
    </w:p>
    <w:p>
      <w:pPr>
        <w:spacing w:line="360" w:lineRule="auto"/>
        <w:jc w:val="center"/>
        <w:outlineLvl w:val="0"/>
        <w:rPr>
          <w:rFonts w:ascii="宋体" w:eastAsia="宋体"/>
          <w:b/>
          <w:sz w:val="28"/>
          <w:highlight w:val="none"/>
        </w:rPr>
      </w:pPr>
      <w:bookmarkStart w:id="67" w:name="_Toc76"/>
      <w:bookmarkStart w:id="68" w:name="_Toc10891"/>
      <w:bookmarkStart w:id="69" w:name="_Toc20877"/>
      <w:bookmarkStart w:id="70" w:name="_Toc2994"/>
      <w:bookmarkStart w:id="71" w:name="_Toc23840"/>
      <w:r>
        <w:rPr>
          <w:rFonts w:hint="eastAsia" w:ascii="宋体" w:eastAsia="宋体"/>
          <w:b/>
          <w:sz w:val="28"/>
          <w:highlight w:val="none"/>
        </w:rPr>
        <w:t>第三章  采购需求</w:t>
      </w:r>
      <w:bookmarkEnd w:id="67"/>
      <w:bookmarkEnd w:id="68"/>
      <w:bookmarkEnd w:id="69"/>
      <w:bookmarkEnd w:id="70"/>
      <w:bookmarkEnd w:id="71"/>
    </w:p>
    <w:p>
      <w:pPr>
        <w:spacing w:line="360" w:lineRule="auto"/>
        <w:rPr>
          <w:rFonts w:ascii="宋体" w:eastAsia="宋体"/>
          <w:b/>
          <w:sz w:val="24"/>
          <w:highlight w:val="none"/>
        </w:rPr>
      </w:pPr>
      <w:r>
        <w:rPr>
          <w:rFonts w:hint="eastAsia" w:ascii="宋体" w:eastAsia="宋体"/>
          <w:b/>
          <w:sz w:val="24"/>
          <w:highlight w:val="none"/>
        </w:rPr>
        <w:t>前注：</w:t>
      </w:r>
    </w:p>
    <w:p>
      <w:pPr>
        <w:spacing w:line="360" w:lineRule="auto"/>
        <w:ind w:firstLine="435"/>
        <w:rPr>
          <w:rFonts w:ascii="宋体" w:eastAsia="宋体"/>
          <w:sz w:val="24"/>
          <w:szCs w:val="18"/>
          <w:highlight w:val="none"/>
        </w:rPr>
      </w:pPr>
      <w:r>
        <w:rPr>
          <w:rFonts w:hint="eastAsia" w:ascii="宋体" w:eastAsia="宋体"/>
          <w:sz w:val="24"/>
          <w:highlight w:val="none"/>
        </w:rPr>
        <w:t>1.</w:t>
      </w:r>
      <w:r>
        <w:rPr>
          <w:rFonts w:ascii="宋体" w:eastAsia="宋体"/>
          <w:sz w:val="24"/>
          <w:szCs w:val="18"/>
          <w:highlight w:val="none"/>
        </w:rPr>
        <w:t>根据《</w:t>
      </w:r>
      <w:r>
        <w:rPr>
          <w:rFonts w:hint="eastAsia" w:ascii="宋体" w:eastAsia="宋体"/>
          <w:sz w:val="24"/>
          <w:szCs w:val="18"/>
          <w:highlight w:val="none"/>
        </w:rPr>
        <w:t>政府采购进口产品管理办法</w:t>
      </w:r>
      <w:r>
        <w:rPr>
          <w:rFonts w:ascii="宋体" w:eastAsia="宋体"/>
          <w:sz w:val="24"/>
          <w:szCs w:val="18"/>
          <w:highlight w:val="none"/>
        </w:rPr>
        <w:t>》及政府采购管理部门的相关规定，下列采购需求中</w:t>
      </w:r>
      <w:r>
        <w:rPr>
          <w:rFonts w:hint="eastAsia" w:ascii="宋体" w:eastAsia="宋体"/>
          <w:sz w:val="24"/>
          <w:szCs w:val="18"/>
          <w:highlight w:val="none"/>
        </w:rPr>
        <w:t>标注进口产品的货物均</w:t>
      </w:r>
      <w:r>
        <w:rPr>
          <w:rFonts w:ascii="宋体" w:eastAsia="宋体"/>
          <w:sz w:val="24"/>
          <w:szCs w:val="18"/>
          <w:highlight w:val="none"/>
        </w:rPr>
        <w:t>已履行相关论证手续，经核准采购进口</w:t>
      </w:r>
      <w:r>
        <w:rPr>
          <w:rFonts w:hint="eastAsia" w:ascii="宋体" w:eastAsia="宋体"/>
          <w:sz w:val="24"/>
          <w:szCs w:val="18"/>
          <w:highlight w:val="none"/>
        </w:rPr>
        <w:t>产品</w:t>
      </w:r>
      <w:r>
        <w:rPr>
          <w:rFonts w:ascii="宋体" w:eastAsia="宋体"/>
          <w:sz w:val="24"/>
          <w:szCs w:val="18"/>
          <w:highlight w:val="none"/>
        </w:rPr>
        <w:t>，但不限制满足招标文件要求的国内产品参与竞争</w:t>
      </w:r>
      <w:r>
        <w:rPr>
          <w:rFonts w:hint="eastAsia" w:ascii="宋体" w:eastAsia="宋体"/>
          <w:sz w:val="24"/>
          <w:szCs w:val="18"/>
          <w:highlight w:val="none"/>
        </w:rPr>
        <w:t>。未标注进口产品的货物均</w:t>
      </w:r>
      <w:r>
        <w:rPr>
          <w:rFonts w:ascii="宋体" w:eastAsia="宋体"/>
          <w:sz w:val="24"/>
          <w:szCs w:val="18"/>
          <w:highlight w:val="none"/>
        </w:rPr>
        <w:t>为拒绝采购进口产品</w:t>
      </w:r>
      <w:r>
        <w:rPr>
          <w:rFonts w:hint="eastAsia" w:ascii="宋体" w:eastAsia="宋体"/>
          <w:sz w:val="24"/>
          <w:szCs w:val="18"/>
          <w:highlight w:val="none"/>
        </w:rPr>
        <w:t>。</w:t>
      </w:r>
    </w:p>
    <w:p>
      <w:pPr>
        <w:spacing w:line="360" w:lineRule="auto"/>
        <w:ind w:firstLine="435"/>
        <w:rPr>
          <w:rFonts w:ascii="宋体" w:eastAsia="宋体"/>
          <w:sz w:val="24"/>
          <w:szCs w:val="18"/>
          <w:highlight w:val="none"/>
        </w:rPr>
      </w:pPr>
      <w:r>
        <w:rPr>
          <w:rFonts w:hint="eastAsia" w:ascii="宋体" w:eastAsia="宋体"/>
          <w:sz w:val="24"/>
          <w:szCs w:val="18"/>
          <w:highlight w:val="none"/>
        </w:rPr>
        <w:t>2.</w:t>
      </w:r>
      <w:r>
        <w:rPr>
          <w:rFonts w:ascii="宋体" w:eastAsia="宋体" w:cs="宋体"/>
          <w:sz w:val="24"/>
          <w:szCs w:val="24"/>
          <w:highlight w:val="none"/>
        </w:rPr>
        <w:t>政府采购政策（包括但不限于下列具体政策要求</w:t>
      </w:r>
      <w:r>
        <w:rPr>
          <w:rFonts w:hint="eastAsia" w:ascii="宋体" w:eastAsia="宋体" w:cs="宋体"/>
          <w:sz w:val="24"/>
          <w:szCs w:val="24"/>
          <w:highlight w:val="none"/>
        </w:rPr>
        <w:t>）</w:t>
      </w:r>
      <w:r>
        <w:rPr>
          <w:rFonts w:hint="eastAsia" w:ascii="宋体" w:eastAsia="宋体"/>
          <w:sz w:val="24"/>
          <w:szCs w:val="18"/>
          <w:highlight w:val="none"/>
        </w:rPr>
        <w:t>：</w:t>
      </w:r>
    </w:p>
    <w:p>
      <w:pPr>
        <w:spacing w:line="360" w:lineRule="auto"/>
        <w:ind w:firstLine="435"/>
        <w:rPr>
          <w:rFonts w:ascii="宋体" w:eastAsia="宋体" w:cs="宋体"/>
          <w:sz w:val="24"/>
          <w:szCs w:val="24"/>
          <w:highlight w:val="none"/>
        </w:rPr>
      </w:pPr>
      <w:r>
        <w:rPr>
          <w:rFonts w:hint="eastAsia" w:ascii="宋体" w:eastAsia="宋体" w:cs="宋体"/>
          <w:sz w:val="24"/>
          <w:szCs w:val="24"/>
          <w:highlight w:val="none"/>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pPr>
        <w:spacing w:line="360" w:lineRule="auto"/>
        <w:ind w:firstLine="435"/>
        <w:rPr>
          <w:rFonts w:ascii="宋体" w:eastAsia="宋体" w:cs="宋体"/>
          <w:sz w:val="24"/>
          <w:szCs w:val="24"/>
          <w:highlight w:val="none"/>
        </w:rPr>
      </w:pPr>
      <w:r>
        <w:rPr>
          <w:rFonts w:hint="eastAsia" w:ascii="宋体" w:eastAsia="宋体" w:cs="宋体"/>
          <w:sz w:val="24"/>
          <w:szCs w:val="24"/>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pPr>
        <w:spacing w:line="360" w:lineRule="auto"/>
        <w:ind w:firstLine="435"/>
        <w:rPr>
          <w:rFonts w:hint="eastAsia" w:ascii="宋体" w:eastAsia="宋体"/>
          <w:sz w:val="24"/>
          <w:szCs w:val="18"/>
          <w:highlight w:val="none"/>
        </w:rPr>
      </w:pPr>
      <w:r>
        <w:rPr>
          <w:rFonts w:hint="eastAsia" w:ascii="宋体" w:eastAsia="宋体"/>
          <w:sz w:val="24"/>
          <w:szCs w:val="18"/>
          <w:highlight w:val="none"/>
        </w:rPr>
        <w:t>3.</w:t>
      </w:r>
      <w:r>
        <w:rPr>
          <w:rFonts w:ascii="宋体" w:eastAsia="宋体"/>
          <w:sz w:val="24"/>
          <w:szCs w:val="18"/>
          <w:highlight w:val="none"/>
        </w:rPr>
        <w:t>下列采购需求中：标注▲的产品</w:t>
      </w:r>
      <w:r>
        <w:rPr>
          <w:rFonts w:hint="eastAsia" w:ascii="宋体" w:eastAsia="宋体"/>
          <w:sz w:val="24"/>
          <w:szCs w:val="18"/>
          <w:highlight w:val="none"/>
        </w:rPr>
        <w:t>（核心产品）</w:t>
      </w:r>
      <w:r>
        <w:rPr>
          <w:rFonts w:ascii="宋体" w:eastAsia="宋体"/>
          <w:sz w:val="24"/>
          <w:szCs w:val="18"/>
          <w:highlight w:val="none"/>
        </w:rPr>
        <w:t>，投标</w:t>
      </w:r>
      <w:r>
        <w:rPr>
          <w:rFonts w:hint="eastAsia" w:ascii="宋体" w:eastAsia="宋体"/>
          <w:sz w:val="24"/>
          <w:szCs w:val="18"/>
          <w:highlight w:val="none"/>
        </w:rPr>
        <w:t>人</w:t>
      </w:r>
      <w:r>
        <w:rPr>
          <w:rFonts w:ascii="宋体" w:eastAsia="宋体"/>
          <w:sz w:val="24"/>
          <w:szCs w:val="18"/>
          <w:highlight w:val="none"/>
        </w:rPr>
        <w:t>在投标文件《主要</w:t>
      </w:r>
      <w:r>
        <w:rPr>
          <w:rFonts w:hint="eastAsia" w:ascii="宋体" w:eastAsia="宋体"/>
          <w:sz w:val="24"/>
          <w:szCs w:val="18"/>
          <w:highlight w:val="none"/>
        </w:rPr>
        <w:t>中标</w:t>
      </w:r>
      <w:r>
        <w:rPr>
          <w:rFonts w:ascii="宋体" w:eastAsia="宋体"/>
          <w:sz w:val="24"/>
          <w:szCs w:val="18"/>
          <w:highlight w:val="none"/>
        </w:rPr>
        <w:t>标的承诺函》中填写名称、</w:t>
      </w:r>
      <w:r>
        <w:rPr>
          <w:rFonts w:hint="eastAsia" w:ascii="宋体" w:eastAsia="宋体"/>
          <w:sz w:val="24"/>
          <w:szCs w:val="18"/>
          <w:highlight w:val="none"/>
        </w:rPr>
        <w:t>品牌、</w:t>
      </w:r>
      <w:r>
        <w:rPr>
          <w:rFonts w:ascii="宋体" w:eastAsia="宋体"/>
          <w:sz w:val="24"/>
          <w:szCs w:val="18"/>
          <w:highlight w:val="none"/>
        </w:rPr>
        <w:t>规格、型号、数量、单价等信息</w:t>
      </w:r>
      <w:r>
        <w:rPr>
          <w:rFonts w:hint="eastAsia" w:ascii="宋体" w:eastAsia="宋体"/>
          <w:sz w:val="24"/>
          <w:szCs w:val="18"/>
          <w:highlight w:val="none"/>
        </w:rPr>
        <w:t>。</w:t>
      </w:r>
    </w:p>
    <w:p>
      <w:pPr>
        <w:spacing w:line="360" w:lineRule="auto"/>
        <w:ind w:firstLine="435"/>
        <w:rPr>
          <w:rFonts w:hint="default" w:ascii="宋体" w:eastAsia="宋体"/>
          <w:sz w:val="24"/>
          <w:szCs w:val="18"/>
          <w:highlight w:val="none"/>
          <w:lang w:val="en-US" w:eastAsia="zh-CN"/>
        </w:rPr>
      </w:pPr>
      <w:r>
        <w:rPr>
          <w:rFonts w:hint="eastAsia" w:ascii="宋体" w:eastAsia="宋体"/>
          <w:sz w:val="24"/>
          <w:szCs w:val="18"/>
          <w:highlight w:val="none"/>
          <w:lang w:val="en-US" w:eastAsia="zh-CN"/>
        </w:rPr>
        <w:t xml:space="preserve">4.对于不允许偏离的实质性要求和条件，采购人或者采购代理机构应当在招标文件中规定，并以醒目的方式标明，醒目方式为标注“*”。本章中标注“*”的参数为实质性参数，供应商必须满足并提供招标文件规定的证明材料。若招标文件未明确要求何种证明材料，则以制造商公开发布的资料或检测机构出具的检测报告为准。若制造商公开发布的资料与检测机构出具的检测报告不一致，以检测机构出具的检测报告为准。 </w:t>
      </w:r>
    </w:p>
    <w:p>
      <w:pPr>
        <w:spacing w:line="360" w:lineRule="auto"/>
        <w:ind w:firstLine="437"/>
        <w:outlineLvl w:val="1"/>
        <w:rPr>
          <w:rFonts w:ascii="宋体" w:eastAsia="宋体"/>
          <w:b/>
          <w:sz w:val="24"/>
          <w:szCs w:val="18"/>
          <w:highlight w:val="none"/>
        </w:rPr>
      </w:pPr>
      <w:bookmarkStart w:id="72" w:name="_Toc32151"/>
      <w:bookmarkStart w:id="73" w:name="_Toc2554"/>
      <w:bookmarkStart w:id="74" w:name="_Toc25758"/>
      <w:r>
        <w:rPr>
          <w:rFonts w:hint="eastAsia" w:ascii="宋体" w:eastAsia="宋体"/>
          <w:b/>
          <w:sz w:val="24"/>
          <w:szCs w:val="18"/>
          <w:highlight w:val="none"/>
        </w:rPr>
        <w:t>一、采购需求前附表</w:t>
      </w:r>
      <w:bookmarkEnd w:id="72"/>
      <w:bookmarkEnd w:id="73"/>
      <w:bookmarkEnd w:id="74"/>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41"/>
              <w:pBdr>
                <w:bottom w:val="none" w:color="auto" w:sz="0" w:space="0"/>
              </w:pBdr>
              <w:tabs>
                <w:tab w:val="clear" w:pos="4153"/>
                <w:tab w:val="clear" w:pos="8306"/>
              </w:tabs>
              <w:adjustRightInd/>
              <w:snapToGrid/>
              <w:spacing w:line="240" w:lineRule="auto"/>
              <w:textAlignment w:val="auto"/>
              <w:rPr>
                <w:rFonts w:ascii="宋体" w:eastAsia="宋体"/>
                <w:b/>
                <w:kern w:val="2"/>
                <w:highlight w:val="none"/>
              </w:rPr>
            </w:pPr>
            <w:r>
              <w:rPr>
                <w:rFonts w:hint="eastAsia" w:ascii="宋体" w:eastAsia="宋体"/>
                <w:b/>
                <w:kern w:val="2"/>
                <w:highlight w:val="none"/>
              </w:rPr>
              <w:t>序号</w:t>
            </w:r>
          </w:p>
        </w:tc>
        <w:tc>
          <w:tcPr>
            <w:tcW w:w="1192" w:type="pct"/>
            <w:vAlign w:val="center"/>
          </w:tcPr>
          <w:p>
            <w:pPr>
              <w:pStyle w:val="40"/>
              <w:widowControl w:val="0"/>
              <w:spacing w:before="0" w:beforeAutospacing="0" w:after="0" w:afterAutospacing="0" w:line="360" w:lineRule="auto"/>
              <w:rPr>
                <w:rFonts w:ascii="宋体" w:eastAsia="宋体"/>
                <w:bCs w:val="0"/>
                <w:sz w:val="24"/>
                <w:highlight w:val="none"/>
              </w:rPr>
            </w:pPr>
            <w:r>
              <w:rPr>
                <w:rFonts w:hint="eastAsia" w:ascii="宋体" w:eastAsia="宋体"/>
                <w:bCs w:val="0"/>
                <w:sz w:val="24"/>
                <w:highlight w:val="none"/>
              </w:rPr>
              <w:t>条款名称</w:t>
            </w:r>
          </w:p>
        </w:tc>
        <w:tc>
          <w:tcPr>
            <w:tcW w:w="3217" w:type="pct"/>
            <w:vAlign w:val="center"/>
          </w:tcPr>
          <w:p>
            <w:pPr>
              <w:pStyle w:val="40"/>
              <w:widowControl w:val="0"/>
              <w:spacing w:before="0" w:beforeAutospacing="0" w:after="0" w:afterAutospacing="0" w:line="360" w:lineRule="auto"/>
              <w:rPr>
                <w:rFonts w:ascii="宋体" w:eastAsia="宋体"/>
                <w:bCs w:val="0"/>
                <w:sz w:val="24"/>
                <w:highlight w:val="none"/>
              </w:rPr>
            </w:pPr>
            <w:r>
              <w:rPr>
                <w:rFonts w:hint="eastAsia" w:ascii="宋体" w:eastAsia="宋体"/>
                <w:bCs w:val="0"/>
                <w:sz w:val="24"/>
                <w:highlight w:val="none"/>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41"/>
              <w:pBdr>
                <w:bottom w:val="none" w:color="auto" w:sz="0" w:space="0"/>
              </w:pBdr>
              <w:tabs>
                <w:tab w:val="clear" w:pos="4153"/>
                <w:tab w:val="clear" w:pos="8306"/>
              </w:tabs>
              <w:adjustRightInd/>
              <w:snapToGrid/>
              <w:spacing w:line="240" w:lineRule="auto"/>
              <w:textAlignment w:val="auto"/>
              <w:rPr>
                <w:rFonts w:ascii="宋体" w:eastAsia="宋体"/>
                <w:bCs/>
                <w:kern w:val="2"/>
                <w:highlight w:val="none"/>
              </w:rPr>
            </w:pPr>
            <w:r>
              <w:rPr>
                <w:rFonts w:hint="eastAsia" w:ascii="宋体" w:eastAsia="宋体"/>
                <w:bCs/>
                <w:kern w:val="2"/>
                <w:highlight w:val="none"/>
              </w:rPr>
              <w:t>1</w:t>
            </w:r>
          </w:p>
        </w:tc>
        <w:tc>
          <w:tcPr>
            <w:tcW w:w="1192" w:type="pct"/>
            <w:vAlign w:val="center"/>
          </w:tcPr>
          <w:p>
            <w:pPr>
              <w:pStyle w:val="40"/>
              <w:widowControl w:val="0"/>
              <w:spacing w:before="0" w:beforeAutospacing="0" w:after="0" w:afterAutospacing="0" w:line="360" w:lineRule="auto"/>
              <w:rPr>
                <w:rFonts w:ascii="宋体" w:eastAsia="宋体"/>
                <w:b w:val="0"/>
                <w:sz w:val="24"/>
                <w:highlight w:val="none"/>
              </w:rPr>
            </w:pPr>
            <w:r>
              <w:rPr>
                <w:rFonts w:hint="eastAsia" w:ascii="宋体" w:eastAsia="宋体"/>
                <w:b w:val="0"/>
                <w:sz w:val="24"/>
                <w:highlight w:val="none"/>
              </w:rPr>
              <w:t>付款方式</w:t>
            </w:r>
          </w:p>
        </w:tc>
        <w:tc>
          <w:tcPr>
            <w:tcW w:w="3217" w:type="pct"/>
            <w:vAlign w:val="center"/>
          </w:tcPr>
          <w:p>
            <w:pPr>
              <w:pStyle w:val="40"/>
              <w:widowControl w:val="0"/>
              <w:spacing w:before="0" w:beforeAutospacing="0" w:after="0" w:afterAutospacing="0" w:line="360" w:lineRule="auto"/>
              <w:jc w:val="both"/>
              <w:rPr>
                <w:rFonts w:ascii="宋体" w:eastAsia="宋体"/>
                <w:b w:val="0"/>
                <w:sz w:val="24"/>
                <w:highlight w:val="none"/>
              </w:rPr>
            </w:pPr>
            <w:r>
              <w:rPr>
                <w:rFonts w:hint="eastAsia" w:ascii="宋体" w:eastAsia="宋体"/>
                <w:b w:val="0"/>
                <w:sz w:val="24"/>
                <w:highlight w:val="none"/>
              </w:rPr>
              <w:t>经采购人验收合格后，一次性付清合同价款。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41"/>
              <w:pBdr>
                <w:bottom w:val="none" w:color="auto" w:sz="0" w:space="0"/>
              </w:pBdr>
              <w:tabs>
                <w:tab w:val="clear" w:pos="4153"/>
                <w:tab w:val="clear" w:pos="8306"/>
              </w:tabs>
              <w:adjustRightInd/>
              <w:snapToGrid/>
              <w:spacing w:line="240" w:lineRule="auto"/>
              <w:textAlignment w:val="auto"/>
              <w:rPr>
                <w:rFonts w:ascii="宋体" w:eastAsia="宋体"/>
                <w:bCs/>
                <w:kern w:val="2"/>
                <w:highlight w:val="none"/>
              </w:rPr>
            </w:pPr>
            <w:r>
              <w:rPr>
                <w:rFonts w:hint="eastAsia" w:ascii="宋体" w:eastAsia="宋体"/>
                <w:bCs/>
                <w:kern w:val="2"/>
                <w:highlight w:val="none"/>
              </w:rPr>
              <w:t>2</w:t>
            </w:r>
          </w:p>
        </w:tc>
        <w:tc>
          <w:tcPr>
            <w:tcW w:w="1192" w:type="pct"/>
            <w:vAlign w:val="center"/>
          </w:tcPr>
          <w:p>
            <w:pPr>
              <w:pStyle w:val="40"/>
              <w:widowControl w:val="0"/>
              <w:spacing w:before="0" w:beforeAutospacing="0" w:after="0" w:afterAutospacing="0" w:line="360" w:lineRule="auto"/>
              <w:rPr>
                <w:rFonts w:ascii="宋体" w:eastAsia="宋体"/>
                <w:b w:val="0"/>
                <w:sz w:val="24"/>
                <w:highlight w:val="none"/>
              </w:rPr>
            </w:pPr>
            <w:r>
              <w:rPr>
                <w:rFonts w:hint="eastAsia" w:ascii="宋体" w:eastAsia="宋体"/>
                <w:b w:val="0"/>
                <w:sz w:val="24"/>
                <w:highlight w:val="none"/>
              </w:rPr>
              <w:t>供货及安装地点</w:t>
            </w:r>
          </w:p>
        </w:tc>
        <w:tc>
          <w:tcPr>
            <w:tcW w:w="3217" w:type="pct"/>
            <w:vAlign w:val="center"/>
          </w:tcPr>
          <w:p>
            <w:pPr>
              <w:pStyle w:val="40"/>
              <w:widowControl w:val="0"/>
              <w:spacing w:before="0" w:beforeAutospacing="0" w:after="0" w:afterAutospacing="0" w:line="360" w:lineRule="auto"/>
              <w:jc w:val="both"/>
              <w:rPr>
                <w:rFonts w:hint="default" w:ascii="宋体" w:eastAsia="宋体"/>
                <w:b w:val="0"/>
                <w:sz w:val="24"/>
                <w:highlight w:val="none"/>
                <w:lang w:val="en-US" w:eastAsia="zh-CN"/>
              </w:rPr>
            </w:pPr>
            <w:r>
              <w:rPr>
                <w:rFonts w:hint="default" w:ascii="宋体" w:eastAsia="宋体"/>
                <w:b w:val="0"/>
                <w:sz w:val="24"/>
                <w:highlight w:val="none"/>
                <w:lang w:val="en-US" w:eastAsia="zh-CN"/>
              </w:rPr>
              <w:t>皖南医学院滨江校区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41"/>
              <w:pBdr>
                <w:bottom w:val="none" w:color="auto" w:sz="0" w:space="0"/>
              </w:pBdr>
              <w:tabs>
                <w:tab w:val="clear" w:pos="4153"/>
                <w:tab w:val="clear" w:pos="8306"/>
              </w:tabs>
              <w:adjustRightInd/>
              <w:snapToGrid/>
              <w:spacing w:line="240" w:lineRule="auto"/>
              <w:textAlignment w:val="auto"/>
              <w:rPr>
                <w:rFonts w:ascii="宋体" w:eastAsia="宋体"/>
                <w:bCs/>
                <w:kern w:val="2"/>
                <w:highlight w:val="none"/>
              </w:rPr>
            </w:pPr>
            <w:r>
              <w:rPr>
                <w:rFonts w:hint="eastAsia" w:ascii="宋体" w:eastAsia="宋体"/>
                <w:bCs/>
                <w:kern w:val="2"/>
                <w:highlight w:val="none"/>
              </w:rPr>
              <w:t>3</w:t>
            </w:r>
          </w:p>
        </w:tc>
        <w:tc>
          <w:tcPr>
            <w:tcW w:w="1192" w:type="pct"/>
            <w:vAlign w:val="center"/>
          </w:tcPr>
          <w:p>
            <w:pPr>
              <w:pStyle w:val="40"/>
              <w:widowControl w:val="0"/>
              <w:spacing w:before="0" w:beforeAutospacing="0" w:after="0" w:afterAutospacing="0" w:line="360" w:lineRule="auto"/>
              <w:rPr>
                <w:rFonts w:ascii="宋体" w:eastAsia="宋体"/>
                <w:b w:val="0"/>
                <w:bCs w:val="0"/>
                <w:sz w:val="24"/>
                <w:highlight w:val="none"/>
              </w:rPr>
            </w:pPr>
            <w:r>
              <w:rPr>
                <w:rFonts w:hint="eastAsia" w:ascii="宋体" w:eastAsia="宋体"/>
                <w:b w:val="0"/>
                <w:bCs w:val="0"/>
                <w:sz w:val="24"/>
                <w:highlight w:val="none"/>
              </w:rPr>
              <w:t>合同履行期限</w:t>
            </w:r>
          </w:p>
        </w:tc>
        <w:tc>
          <w:tcPr>
            <w:tcW w:w="3217" w:type="pct"/>
            <w:vAlign w:val="center"/>
          </w:tcPr>
          <w:p>
            <w:pPr>
              <w:pStyle w:val="40"/>
              <w:widowControl w:val="0"/>
              <w:spacing w:before="0" w:beforeAutospacing="0" w:after="0" w:afterAutospacing="0" w:line="360" w:lineRule="auto"/>
              <w:jc w:val="both"/>
              <w:rPr>
                <w:rFonts w:ascii="宋体" w:eastAsia="宋体"/>
                <w:b w:val="0"/>
                <w:bCs w:val="0"/>
                <w:sz w:val="24"/>
                <w:highlight w:val="none"/>
              </w:rPr>
            </w:pPr>
            <w:r>
              <w:rPr>
                <w:rFonts w:hint="eastAsia" w:ascii="宋体" w:eastAsia="宋体"/>
                <w:b w:val="0"/>
                <w:bCs w:val="0"/>
                <w:sz w:val="24"/>
                <w:highlight w:val="none"/>
                <w:lang w:val="en-US" w:eastAsia="zh-CN"/>
              </w:rPr>
              <w:t>85日历天。其中</w:t>
            </w:r>
            <w:r>
              <w:rPr>
                <w:rFonts w:hint="eastAsia" w:ascii="宋体" w:eastAsia="宋体"/>
                <w:b w:val="0"/>
                <w:bCs w:val="0"/>
                <w:sz w:val="24"/>
                <w:szCs w:val="18"/>
                <w:highlight w:val="none"/>
              </w:rPr>
              <w:t>合同签订后</w:t>
            </w:r>
            <w:r>
              <w:rPr>
                <w:rFonts w:hint="eastAsia" w:ascii="宋体" w:eastAsia="宋体"/>
                <w:b w:val="0"/>
                <w:bCs w:val="0"/>
                <w:sz w:val="24"/>
                <w:szCs w:val="18"/>
                <w:highlight w:val="none"/>
                <w:lang w:val="en-US" w:eastAsia="zh-CN"/>
              </w:rPr>
              <w:t>25</w:t>
            </w:r>
            <w:r>
              <w:rPr>
                <w:rFonts w:hint="eastAsia" w:ascii="宋体" w:eastAsia="宋体"/>
                <w:b w:val="0"/>
                <w:bCs w:val="0"/>
                <w:sz w:val="24"/>
                <w:szCs w:val="18"/>
                <w:highlight w:val="none"/>
              </w:rPr>
              <w:t>日历天完成供货安装</w:t>
            </w:r>
            <w:r>
              <w:rPr>
                <w:rFonts w:hint="eastAsia" w:ascii="宋体" w:eastAsia="宋体"/>
                <w:b w:val="0"/>
                <w:bCs w:val="0"/>
                <w:sz w:val="24"/>
                <w:szCs w:val="18"/>
                <w:highlight w:val="none"/>
                <w:lang w:val="en-US" w:eastAsia="zh-CN"/>
              </w:rPr>
              <w:t>及调试</w:t>
            </w:r>
            <w:r>
              <w:rPr>
                <w:rFonts w:hint="eastAsia" w:ascii="宋体" w:eastAsia="宋体"/>
                <w:b w:val="0"/>
                <w:bCs w:val="0"/>
                <w:sz w:val="24"/>
                <w:szCs w:val="18"/>
                <w:highlight w:val="none"/>
                <w:lang w:eastAsia="zh-CN"/>
              </w:rPr>
              <w:t>，</w:t>
            </w:r>
            <w:r>
              <w:rPr>
                <w:rFonts w:hint="eastAsia" w:ascii="宋体" w:eastAsia="宋体"/>
                <w:b w:val="0"/>
                <w:bCs w:val="0"/>
                <w:sz w:val="24"/>
                <w:szCs w:val="18"/>
                <w:highlight w:val="none"/>
                <w:lang w:val="en-US" w:eastAsia="zh-CN"/>
              </w:rPr>
              <w:t>安装完成后试运行60天</w:t>
            </w:r>
            <w:r>
              <w:rPr>
                <w:rFonts w:hint="eastAsia" w:ascii="宋体" w:eastAsia="宋体"/>
                <w:b w:val="0"/>
                <w:bCs w:val="0"/>
                <w:sz w:val="24"/>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41"/>
              <w:pBdr>
                <w:bottom w:val="none" w:color="auto" w:sz="0" w:space="0"/>
              </w:pBdr>
              <w:tabs>
                <w:tab w:val="clear" w:pos="4153"/>
                <w:tab w:val="clear" w:pos="8306"/>
              </w:tabs>
              <w:adjustRightInd/>
              <w:snapToGrid/>
              <w:spacing w:line="240" w:lineRule="auto"/>
              <w:textAlignment w:val="auto"/>
              <w:rPr>
                <w:rFonts w:ascii="宋体" w:eastAsia="宋体"/>
                <w:bCs/>
                <w:kern w:val="2"/>
                <w:highlight w:val="none"/>
              </w:rPr>
            </w:pPr>
            <w:r>
              <w:rPr>
                <w:rFonts w:hint="eastAsia" w:ascii="宋体" w:eastAsia="宋体"/>
                <w:bCs/>
                <w:kern w:val="2"/>
                <w:highlight w:val="none"/>
              </w:rPr>
              <w:t>4</w:t>
            </w:r>
          </w:p>
        </w:tc>
        <w:tc>
          <w:tcPr>
            <w:tcW w:w="1192" w:type="pct"/>
            <w:vAlign w:val="center"/>
          </w:tcPr>
          <w:p>
            <w:pPr>
              <w:pStyle w:val="40"/>
              <w:widowControl w:val="0"/>
              <w:spacing w:before="0" w:beforeAutospacing="0" w:after="0" w:afterAutospacing="0" w:line="360" w:lineRule="auto"/>
              <w:rPr>
                <w:rFonts w:ascii="宋体" w:eastAsia="宋体"/>
                <w:b w:val="0"/>
                <w:sz w:val="24"/>
                <w:highlight w:val="none"/>
              </w:rPr>
            </w:pPr>
            <w:r>
              <w:rPr>
                <w:rFonts w:hint="eastAsia" w:ascii="宋体" w:eastAsia="宋体"/>
                <w:b w:val="0"/>
                <w:sz w:val="24"/>
                <w:highlight w:val="none"/>
              </w:rPr>
              <w:t>免费质保期</w:t>
            </w:r>
          </w:p>
        </w:tc>
        <w:tc>
          <w:tcPr>
            <w:tcW w:w="3217" w:type="pct"/>
            <w:vAlign w:val="center"/>
          </w:tcPr>
          <w:p>
            <w:pPr>
              <w:pStyle w:val="40"/>
              <w:widowControl w:val="0"/>
              <w:spacing w:before="0" w:beforeAutospacing="0" w:after="0" w:afterAutospacing="0" w:line="360" w:lineRule="auto"/>
              <w:jc w:val="both"/>
              <w:rPr>
                <w:rFonts w:ascii="宋体" w:eastAsia="宋体"/>
                <w:b w:val="0"/>
                <w:sz w:val="24"/>
                <w:highlight w:val="none"/>
              </w:rPr>
            </w:pPr>
            <w:r>
              <w:rPr>
                <w:rFonts w:hint="eastAsia" w:ascii="宋体" w:eastAsia="宋体"/>
                <w:b w:val="0"/>
                <w:sz w:val="24"/>
                <w:highlight w:val="none"/>
              </w:rPr>
              <w:t>整体质保期3年</w:t>
            </w:r>
          </w:p>
        </w:tc>
      </w:tr>
    </w:tbl>
    <w:p>
      <w:pPr>
        <w:keepNext/>
        <w:keepLines/>
        <w:numPr>
          <w:ilvl w:val="-1"/>
          <w:numId w:val="0"/>
        </w:numPr>
        <w:spacing w:line="440" w:lineRule="exact"/>
        <w:ind w:left="0" w:firstLine="482" w:firstLineChars="200"/>
        <w:outlineLvl w:val="1"/>
        <w:rPr>
          <w:rFonts w:ascii="宋体" w:hAnsi="宋体" w:eastAsia="宋体" w:cs="宋体"/>
          <w:b/>
          <w:bCs/>
          <w:color w:val="000000"/>
          <w:kern w:val="44"/>
          <w:sz w:val="24"/>
          <w:szCs w:val="24"/>
          <w:lang w:val="en-US" w:eastAsia="zh-CN" w:bidi="ar-SA"/>
        </w:rPr>
      </w:pPr>
      <w:bookmarkStart w:id="75" w:name="_Toc21277"/>
      <w:bookmarkStart w:id="76" w:name="_Hlk104917651"/>
      <w:bookmarkStart w:id="77" w:name="_Toc4843"/>
      <w:bookmarkStart w:id="78" w:name="_Toc7421"/>
      <w:r>
        <w:rPr>
          <w:rFonts w:hint="eastAsia" w:ascii="宋体" w:hAnsi="宋体" w:eastAsia="宋体" w:cs="宋体"/>
          <w:b/>
          <w:bCs/>
          <w:color w:val="000000"/>
          <w:kern w:val="44"/>
          <w:sz w:val="24"/>
          <w:szCs w:val="24"/>
          <w:lang w:val="en-US" w:eastAsia="zh-CN" w:bidi="ar-SA"/>
        </w:rPr>
        <w:t>二、项目概述</w:t>
      </w:r>
      <w:bookmarkEnd w:id="75"/>
    </w:p>
    <w:p>
      <w:pPr>
        <w:spacing w:line="44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本次皖南医学院滨江校区（</w:t>
      </w:r>
      <w:r>
        <w:rPr>
          <w:rFonts w:hint="eastAsia" w:ascii="宋体" w:hAnsi="宋体" w:eastAsia="宋体" w:cs="宋体"/>
          <w:kern w:val="0"/>
          <w:sz w:val="24"/>
          <w:szCs w:val="24"/>
          <w:lang w:eastAsia="zh-CN"/>
        </w:rPr>
        <w:t>文津西路8号</w:t>
      </w:r>
      <w:r>
        <w:rPr>
          <w:rFonts w:hint="eastAsia" w:ascii="宋体" w:hAnsi="宋体" w:eastAsia="宋体" w:cs="宋体"/>
          <w:kern w:val="0"/>
          <w:sz w:val="24"/>
          <w:szCs w:val="24"/>
        </w:rPr>
        <w:t>）校园综合安防系统升级改造项目主要包括：新建人脸识别门禁系统和车辆管理系统，恢复现有监控点位正常运转。目前综合安防监控中心设在滨江校区</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文昌西路22号</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，滨江校区（</w:t>
      </w:r>
      <w:r>
        <w:rPr>
          <w:rFonts w:hint="eastAsia" w:ascii="宋体" w:hAnsi="宋体" w:eastAsia="宋体" w:cs="宋体"/>
          <w:kern w:val="0"/>
          <w:sz w:val="24"/>
          <w:szCs w:val="24"/>
          <w:lang w:eastAsia="zh-CN"/>
        </w:rPr>
        <w:t>文津西路8号</w:t>
      </w:r>
      <w:r>
        <w:rPr>
          <w:rFonts w:hint="eastAsia" w:ascii="宋体" w:hAnsi="宋体" w:eastAsia="宋体" w:cs="宋体"/>
          <w:kern w:val="0"/>
          <w:sz w:val="24"/>
          <w:szCs w:val="24"/>
        </w:rPr>
        <w:t>）的监控图像通过网络专线传输至滨江校区</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文昌西路22号</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，滨江校区</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文昌西路22号</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和</w:t>
      </w:r>
      <w:r>
        <w:rPr>
          <w:rFonts w:hint="eastAsia" w:ascii="宋体" w:hAnsi="宋体" w:eastAsia="宋体" w:cs="宋体"/>
          <w:kern w:val="0"/>
          <w:sz w:val="24"/>
          <w:szCs w:val="24"/>
        </w:rPr>
        <w:t>滨江校区（</w:t>
      </w:r>
      <w:r>
        <w:rPr>
          <w:rFonts w:hint="eastAsia" w:ascii="宋体" w:hAnsi="宋体" w:eastAsia="宋体" w:cs="宋体"/>
          <w:kern w:val="0"/>
          <w:sz w:val="24"/>
          <w:szCs w:val="24"/>
          <w:lang w:eastAsia="zh-CN"/>
        </w:rPr>
        <w:t>文津西路</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lang w:eastAsia="zh-CN"/>
        </w:rPr>
        <w:t>号</w:t>
      </w:r>
      <w:r>
        <w:rPr>
          <w:rFonts w:hint="eastAsia" w:ascii="宋体" w:hAnsi="宋体" w:eastAsia="宋体" w:cs="宋体"/>
          <w:kern w:val="0"/>
          <w:sz w:val="24"/>
          <w:szCs w:val="24"/>
        </w:rPr>
        <w:t>）监控中心</w:t>
      </w:r>
      <w:r>
        <w:rPr>
          <w:rFonts w:hint="eastAsia" w:ascii="宋体" w:hAnsi="宋体" w:eastAsia="宋体" w:cs="宋体"/>
          <w:kern w:val="0"/>
          <w:sz w:val="24"/>
          <w:szCs w:val="24"/>
          <w:lang w:val="en-US" w:eastAsia="zh-CN"/>
        </w:rPr>
        <w:t>均可</w:t>
      </w:r>
      <w:r>
        <w:rPr>
          <w:rFonts w:hint="eastAsia" w:ascii="宋体" w:hAnsi="宋体" w:eastAsia="宋体" w:cs="宋体"/>
          <w:kern w:val="0"/>
          <w:sz w:val="24"/>
          <w:szCs w:val="24"/>
        </w:rPr>
        <w:t>集中控制、调度和管理（</w:t>
      </w:r>
      <w:r>
        <w:rPr>
          <w:rFonts w:hint="eastAsia" w:ascii="宋体" w:hAnsi="宋体" w:eastAsia="宋体" w:cs="宋体"/>
          <w:kern w:val="0"/>
          <w:sz w:val="24"/>
          <w:szCs w:val="24"/>
          <w:lang w:eastAsia="zh-CN"/>
        </w:rPr>
        <w:t>文津西路</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lang w:eastAsia="zh-CN"/>
        </w:rPr>
        <w:t>号</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内</w:t>
      </w:r>
      <w:r>
        <w:rPr>
          <w:rFonts w:hint="eastAsia" w:ascii="宋体" w:hAnsi="宋体" w:eastAsia="宋体" w:cs="宋体"/>
          <w:kern w:val="0"/>
          <w:sz w:val="24"/>
          <w:szCs w:val="24"/>
        </w:rPr>
        <w:t>所有的</w:t>
      </w:r>
      <w:r>
        <w:rPr>
          <w:rFonts w:hint="eastAsia" w:ascii="宋体" w:hAnsi="宋体" w:eastAsia="宋体" w:cs="宋体"/>
          <w:kern w:val="0"/>
          <w:sz w:val="24"/>
          <w:szCs w:val="24"/>
          <w:lang w:val="en-US" w:eastAsia="zh-CN"/>
        </w:rPr>
        <w:t>安防</w:t>
      </w:r>
      <w:r>
        <w:rPr>
          <w:rFonts w:hint="eastAsia" w:ascii="宋体" w:hAnsi="宋体" w:eastAsia="宋体" w:cs="宋体"/>
          <w:kern w:val="0"/>
          <w:sz w:val="24"/>
          <w:szCs w:val="24"/>
        </w:rPr>
        <w:t>监控设备。</w:t>
      </w:r>
    </w:p>
    <w:bookmarkEnd w:id="76"/>
    <w:p>
      <w:pPr>
        <w:keepNext/>
        <w:keepLines/>
        <w:numPr>
          <w:ilvl w:val="-1"/>
          <w:numId w:val="0"/>
        </w:numPr>
        <w:spacing w:line="440" w:lineRule="exact"/>
        <w:ind w:left="0" w:firstLine="241" w:firstLineChars="100"/>
        <w:outlineLvl w:val="1"/>
        <w:rPr>
          <w:rFonts w:ascii="宋体" w:hAnsi="宋体" w:eastAsia="宋体" w:cs="宋体"/>
          <w:b/>
          <w:bCs/>
          <w:color w:val="000000"/>
          <w:kern w:val="44"/>
          <w:sz w:val="24"/>
          <w:szCs w:val="24"/>
          <w:lang w:val="en-US" w:eastAsia="zh-CN" w:bidi="ar-SA"/>
        </w:rPr>
      </w:pPr>
      <w:bookmarkStart w:id="79" w:name="_Toc17335"/>
      <w:r>
        <w:rPr>
          <w:rFonts w:hint="eastAsia" w:ascii="宋体" w:hAnsi="宋体" w:eastAsia="宋体" w:cs="宋体"/>
          <w:b/>
          <w:bCs/>
          <w:color w:val="000000"/>
          <w:kern w:val="44"/>
          <w:sz w:val="24"/>
          <w:szCs w:val="24"/>
          <w:lang w:val="en-US" w:eastAsia="zh-CN" w:bidi="ar-SA"/>
        </w:rPr>
        <w:t>三、升级改造内容和要求</w:t>
      </w:r>
      <w:bookmarkEnd w:id="79"/>
    </w:p>
    <w:p>
      <w:pPr>
        <w:spacing w:line="44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维修滨江校区（</w:t>
      </w:r>
      <w:r>
        <w:rPr>
          <w:rFonts w:hint="eastAsia" w:ascii="宋体" w:hAnsi="宋体" w:eastAsia="宋体" w:cs="宋体"/>
          <w:kern w:val="0"/>
          <w:sz w:val="24"/>
          <w:szCs w:val="24"/>
          <w:lang w:eastAsia="zh-CN"/>
        </w:rPr>
        <w:t>文津西路8号</w:t>
      </w:r>
      <w:r>
        <w:rPr>
          <w:rFonts w:hint="eastAsia" w:ascii="宋体" w:hAnsi="宋体" w:eastAsia="宋体" w:cs="宋体"/>
          <w:kern w:val="0"/>
          <w:sz w:val="24"/>
          <w:szCs w:val="24"/>
        </w:rPr>
        <w:t>）现有</w:t>
      </w:r>
      <w:r>
        <w:rPr>
          <w:rFonts w:hint="eastAsia" w:ascii="宋体" w:hAnsi="宋体" w:eastAsia="宋体" w:cs="宋体"/>
          <w:kern w:val="0"/>
          <w:sz w:val="24"/>
          <w:szCs w:val="24"/>
          <w:lang w:val="en-US" w:eastAsia="zh-CN"/>
        </w:rPr>
        <w:t>安防</w:t>
      </w:r>
      <w:r>
        <w:rPr>
          <w:rFonts w:hint="eastAsia" w:ascii="宋体" w:hAnsi="宋体" w:eastAsia="宋体" w:cs="宋体"/>
          <w:kern w:val="0"/>
          <w:sz w:val="24"/>
          <w:szCs w:val="24"/>
        </w:rPr>
        <w:t>监控设施设备及网络传输线路，同时保证</w:t>
      </w:r>
      <w:r>
        <w:rPr>
          <w:rFonts w:hint="eastAsia" w:ascii="宋体" w:hAnsi="宋体" w:eastAsia="宋体" w:cs="宋体"/>
          <w:kern w:val="0"/>
          <w:sz w:val="24"/>
          <w:szCs w:val="24"/>
          <w:lang w:eastAsia="zh-CN"/>
        </w:rPr>
        <w:t>文津西路8号</w:t>
      </w:r>
      <w:r>
        <w:rPr>
          <w:rFonts w:hint="eastAsia" w:ascii="宋体" w:hAnsi="宋体" w:eastAsia="宋体" w:cs="宋体"/>
          <w:kern w:val="0"/>
          <w:sz w:val="24"/>
          <w:szCs w:val="24"/>
          <w:lang w:val="en-US" w:eastAsia="zh-CN"/>
        </w:rPr>
        <w:t>内</w:t>
      </w:r>
      <w:r>
        <w:rPr>
          <w:rFonts w:hint="eastAsia" w:ascii="宋体" w:hAnsi="宋体" w:eastAsia="宋体" w:cs="宋体"/>
          <w:kern w:val="0"/>
          <w:sz w:val="24"/>
          <w:szCs w:val="24"/>
        </w:rPr>
        <w:t>约327个监控点位正常运行不少于1年。</w:t>
      </w:r>
    </w:p>
    <w:p>
      <w:pPr>
        <w:spacing w:line="44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滨江校区（</w:t>
      </w:r>
      <w:r>
        <w:rPr>
          <w:rFonts w:hint="eastAsia" w:ascii="宋体" w:hAnsi="宋体" w:eastAsia="宋体" w:cs="宋体"/>
          <w:kern w:val="0"/>
          <w:sz w:val="24"/>
          <w:szCs w:val="24"/>
          <w:lang w:eastAsia="zh-CN"/>
        </w:rPr>
        <w:t>文津西路8号</w:t>
      </w:r>
      <w:r>
        <w:rPr>
          <w:rFonts w:hint="eastAsia" w:ascii="宋体" w:hAnsi="宋体" w:eastAsia="宋体" w:cs="宋体"/>
          <w:kern w:val="0"/>
          <w:sz w:val="24"/>
          <w:szCs w:val="24"/>
        </w:rPr>
        <w:t>）南门、东门、北门建设人脸识别门禁系统和车辆识别管理系统。</w:t>
      </w:r>
    </w:p>
    <w:p>
      <w:pPr>
        <w:spacing w:line="44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在滨江校区（</w:t>
      </w:r>
      <w:r>
        <w:rPr>
          <w:rFonts w:hint="eastAsia" w:ascii="宋体" w:hAnsi="宋体" w:eastAsia="宋体" w:cs="宋体"/>
          <w:kern w:val="0"/>
          <w:sz w:val="24"/>
          <w:szCs w:val="24"/>
          <w:lang w:eastAsia="zh-CN"/>
        </w:rPr>
        <w:t>文津西路8号</w:t>
      </w:r>
      <w:r>
        <w:rPr>
          <w:rFonts w:hint="eastAsia" w:ascii="宋体" w:hAnsi="宋体" w:eastAsia="宋体" w:cs="宋体"/>
          <w:kern w:val="0"/>
          <w:sz w:val="24"/>
          <w:szCs w:val="24"/>
        </w:rPr>
        <w:t>）重点区域（如水系）新增</w:t>
      </w:r>
      <w:r>
        <w:rPr>
          <w:rFonts w:hint="eastAsia" w:ascii="宋体" w:hAnsi="宋体" w:eastAsia="宋体" w:cs="宋体"/>
          <w:kern w:val="0"/>
          <w:sz w:val="24"/>
          <w:szCs w:val="24"/>
          <w:lang w:val="en-US" w:eastAsia="zh-CN"/>
        </w:rPr>
        <w:t>不少于15个</w:t>
      </w:r>
      <w:r>
        <w:rPr>
          <w:rFonts w:hint="eastAsia" w:ascii="宋体" w:hAnsi="宋体" w:eastAsia="宋体" w:cs="宋体"/>
          <w:kern w:val="0"/>
          <w:sz w:val="24"/>
          <w:szCs w:val="24"/>
        </w:rPr>
        <w:t>监控点位覆盖。</w:t>
      </w:r>
    </w:p>
    <w:p>
      <w:pPr>
        <w:spacing w:line="44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4</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升级存储，保证滨江校区（</w:t>
      </w:r>
      <w:r>
        <w:rPr>
          <w:rFonts w:hint="eastAsia" w:ascii="宋体" w:hAnsi="宋体" w:eastAsia="宋体" w:cs="宋体"/>
          <w:kern w:val="0"/>
          <w:sz w:val="24"/>
          <w:szCs w:val="24"/>
          <w:lang w:eastAsia="zh-CN"/>
        </w:rPr>
        <w:t>文津西路8号</w:t>
      </w:r>
      <w:r>
        <w:rPr>
          <w:rFonts w:hint="eastAsia" w:ascii="宋体" w:hAnsi="宋体" w:eastAsia="宋体" w:cs="宋体"/>
          <w:kern w:val="0"/>
          <w:sz w:val="24"/>
          <w:szCs w:val="24"/>
        </w:rPr>
        <w:t>）现有约327个点位和本次新增点位录像存储时间达到30天以上，</w:t>
      </w:r>
      <w:r>
        <w:rPr>
          <w:rFonts w:hint="eastAsia" w:ascii="宋体" w:hAnsi="宋体" w:eastAsia="宋体" w:cs="宋体"/>
          <w:kern w:val="0"/>
          <w:sz w:val="24"/>
          <w:szCs w:val="24"/>
          <w:lang w:val="en-US" w:eastAsia="zh-CN"/>
        </w:rPr>
        <w:t>包含</w:t>
      </w:r>
      <w:r>
        <w:rPr>
          <w:rFonts w:hint="eastAsia" w:ascii="宋体" w:hAnsi="宋体" w:eastAsia="宋体" w:cs="宋体"/>
          <w:kern w:val="0"/>
          <w:sz w:val="24"/>
          <w:szCs w:val="24"/>
        </w:rPr>
        <w:t>网络设备及监控中心</w:t>
      </w:r>
      <w:r>
        <w:rPr>
          <w:rFonts w:hint="eastAsia" w:ascii="宋体" w:hAnsi="宋体" w:eastAsia="宋体" w:cs="宋体"/>
          <w:kern w:val="0"/>
          <w:sz w:val="24"/>
          <w:szCs w:val="24"/>
          <w:lang w:val="en-US" w:eastAsia="zh-CN"/>
        </w:rPr>
        <w:t>设备</w:t>
      </w:r>
      <w:r>
        <w:rPr>
          <w:rFonts w:hint="eastAsia" w:ascii="宋体" w:hAnsi="宋体" w:eastAsia="宋体" w:cs="宋体"/>
          <w:kern w:val="0"/>
          <w:sz w:val="24"/>
          <w:szCs w:val="24"/>
        </w:rPr>
        <w:t>升级改造。</w:t>
      </w:r>
    </w:p>
    <w:p>
      <w:pPr>
        <w:spacing w:line="440" w:lineRule="exact"/>
        <w:ind w:firstLine="482" w:firstLineChars="200"/>
        <w:rPr>
          <w:rFonts w:ascii="宋体" w:hAnsi="宋体" w:eastAsia="宋体" w:cs="宋体"/>
          <w:b/>
          <w:bCs/>
          <w:kern w:val="0"/>
          <w:sz w:val="24"/>
          <w:szCs w:val="24"/>
        </w:rPr>
      </w:pPr>
      <w:r>
        <w:rPr>
          <w:rFonts w:hint="eastAsia" w:ascii="Calibri" w:hAnsi="Calibri" w:eastAsia="仿宋" w:cs="Times New Roman"/>
          <w:b/>
          <w:bCs/>
          <w:snapToGrid w:val="0"/>
          <w:color w:val="auto"/>
          <w:spacing w:val="0"/>
          <w:kern w:val="0"/>
          <w:sz w:val="24"/>
          <w:szCs w:val="24"/>
          <w:highlight w:val="none"/>
          <w:lang w:val="en-US" w:eastAsia="zh-CN"/>
        </w:rPr>
        <w:t>*</w:t>
      </w:r>
      <w:r>
        <w:rPr>
          <w:rFonts w:hint="eastAsia" w:ascii="宋体" w:hAnsi="宋体" w:eastAsia="宋体" w:cs="宋体"/>
          <w:kern w:val="0"/>
          <w:sz w:val="24"/>
          <w:szCs w:val="24"/>
        </w:rPr>
        <w:t>5</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为保证系统稳定性与兼容性，本次项目建设内所有设备均需无缝接入学校现有综合安防管理平台，实现统一管理，对接费用（含对接双方所需费用）由中标方承担。</w:t>
      </w:r>
      <w:r>
        <w:rPr>
          <w:rFonts w:hint="eastAsia" w:ascii="宋体" w:hAnsi="宋体" w:eastAsia="宋体" w:cs="宋体"/>
          <w:b/>
          <w:bCs/>
          <w:kern w:val="0"/>
          <w:sz w:val="24"/>
          <w:szCs w:val="24"/>
        </w:rPr>
        <w:t>（提供承诺函并加盖公章，格式自拟。）</w:t>
      </w:r>
    </w:p>
    <w:p>
      <w:pPr>
        <w:spacing w:line="440" w:lineRule="exact"/>
        <w:ind w:firstLine="482" w:firstLineChars="200"/>
        <w:rPr>
          <w:rFonts w:ascii="宋体" w:hAnsi="宋体" w:eastAsia="宋体" w:cs="宋体"/>
          <w:b/>
          <w:bCs/>
          <w:kern w:val="0"/>
          <w:sz w:val="24"/>
          <w:szCs w:val="24"/>
        </w:rPr>
      </w:pPr>
      <w:r>
        <w:rPr>
          <w:rFonts w:hint="eastAsia" w:ascii="Calibri" w:hAnsi="Calibri" w:eastAsia="仿宋" w:cs="Times New Roman"/>
          <w:b/>
          <w:bCs/>
          <w:snapToGrid w:val="0"/>
          <w:color w:val="auto"/>
          <w:spacing w:val="0"/>
          <w:kern w:val="0"/>
          <w:sz w:val="24"/>
          <w:szCs w:val="24"/>
          <w:highlight w:val="none"/>
          <w:lang w:val="en-US" w:eastAsia="zh-CN"/>
        </w:rPr>
        <w:t>*</w:t>
      </w:r>
      <w:r>
        <w:rPr>
          <w:rFonts w:hint="eastAsia" w:ascii="宋体" w:hAnsi="宋体" w:eastAsia="宋体" w:cs="宋体"/>
          <w:kern w:val="0"/>
          <w:sz w:val="24"/>
          <w:szCs w:val="24"/>
        </w:rPr>
        <w:t>6</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为保证本次采购产品及项目服务质量，本次项目整体质保期3 年。</w:t>
      </w:r>
      <w:r>
        <w:rPr>
          <w:rFonts w:hint="eastAsia" w:ascii="仿宋" w:hAnsi="仿宋" w:eastAsia="仿宋" w:cs="仿宋"/>
          <w:kern w:val="0"/>
          <w:sz w:val="24"/>
          <w:szCs w:val="24"/>
        </w:rPr>
        <w:t>【</w:t>
      </w:r>
      <w:r>
        <w:rPr>
          <w:rFonts w:hint="eastAsia" w:ascii="宋体" w:hAnsi="宋体" w:eastAsia="宋体" w:cs="宋体"/>
          <w:kern w:val="0"/>
          <w:sz w:val="24"/>
          <w:szCs w:val="24"/>
        </w:rPr>
        <w:t>承诺为滨江校区（</w:t>
      </w:r>
      <w:r>
        <w:rPr>
          <w:rFonts w:hint="eastAsia" w:ascii="宋体" w:hAnsi="宋体" w:eastAsia="宋体" w:cs="宋体"/>
          <w:kern w:val="0"/>
          <w:sz w:val="24"/>
          <w:szCs w:val="24"/>
          <w:lang w:eastAsia="zh-CN"/>
        </w:rPr>
        <w:t>文津西路8号</w:t>
      </w:r>
      <w:r>
        <w:rPr>
          <w:rFonts w:hint="eastAsia" w:ascii="宋体" w:hAnsi="宋体" w:eastAsia="宋体" w:cs="宋体"/>
          <w:kern w:val="0"/>
          <w:sz w:val="24"/>
          <w:szCs w:val="24"/>
        </w:rPr>
        <w:t>）现有约327个监控点位</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除新更换监控点位外</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提供免费维保</w:t>
      </w:r>
      <w:r>
        <w:rPr>
          <w:rFonts w:hint="eastAsia" w:ascii="宋体" w:hAnsi="宋体" w:eastAsia="宋体" w:cs="宋体"/>
          <w:sz w:val="24"/>
          <w:szCs w:val="24"/>
          <w:highlight w:val="none"/>
          <w:lang w:val="en-US" w:eastAsia="zh-CN"/>
        </w:rPr>
        <w:t>时间不少于</w:t>
      </w:r>
      <w:r>
        <w:rPr>
          <w:rFonts w:hint="eastAsia" w:ascii="宋体" w:hAnsi="宋体" w:eastAsia="宋体" w:cs="宋体"/>
          <w:sz w:val="24"/>
          <w:szCs w:val="24"/>
          <w:highlight w:val="none"/>
        </w:rPr>
        <w:t>1年</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本项目验收合格之日起</w:t>
      </w:r>
      <w:r>
        <w:rPr>
          <w:rFonts w:hint="eastAsia" w:ascii="宋体" w:hAnsi="宋体" w:eastAsia="宋体" w:cs="宋体"/>
          <w:kern w:val="0"/>
          <w:sz w:val="24"/>
          <w:szCs w:val="24"/>
        </w:rPr>
        <w:t>）</w:t>
      </w:r>
      <w:r>
        <w:rPr>
          <w:rFonts w:hint="eastAsia" w:ascii="仿宋" w:hAnsi="仿宋" w:eastAsia="仿宋" w:cs="仿宋"/>
          <w:kern w:val="0"/>
          <w:sz w:val="24"/>
          <w:szCs w:val="24"/>
        </w:rPr>
        <w:t>】</w:t>
      </w:r>
      <w:r>
        <w:rPr>
          <w:rFonts w:hint="eastAsia" w:ascii="宋体" w:hAnsi="宋体" w:eastAsia="宋体" w:cs="宋体"/>
          <w:kern w:val="0"/>
          <w:sz w:val="24"/>
          <w:szCs w:val="24"/>
        </w:rPr>
        <w:t>。</w:t>
      </w:r>
      <w:r>
        <w:rPr>
          <w:rFonts w:hint="eastAsia" w:ascii="宋体" w:hAnsi="宋体" w:eastAsia="宋体" w:cs="宋体"/>
          <w:b/>
          <w:bCs/>
          <w:kern w:val="0"/>
          <w:sz w:val="24"/>
          <w:szCs w:val="24"/>
        </w:rPr>
        <w:t>（提供承诺函并加盖公章，格式自拟。）</w:t>
      </w:r>
    </w:p>
    <w:p>
      <w:pPr>
        <w:spacing w:line="440" w:lineRule="exact"/>
        <w:ind w:firstLine="482" w:firstLineChars="200"/>
        <w:rPr>
          <w:rFonts w:ascii="宋体" w:hAnsi="宋体" w:eastAsia="宋体" w:cs="宋体"/>
          <w:b/>
          <w:bCs/>
          <w:kern w:val="0"/>
          <w:sz w:val="24"/>
          <w:szCs w:val="24"/>
        </w:rPr>
      </w:pPr>
      <w:r>
        <w:rPr>
          <w:rFonts w:hint="eastAsia" w:ascii="Calibri" w:hAnsi="Calibri" w:eastAsia="仿宋" w:cs="Times New Roman"/>
          <w:b/>
          <w:bCs/>
          <w:snapToGrid w:val="0"/>
          <w:color w:val="auto"/>
          <w:spacing w:val="0"/>
          <w:kern w:val="0"/>
          <w:sz w:val="24"/>
          <w:szCs w:val="24"/>
          <w:highlight w:val="none"/>
          <w:lang w:val="en-US" w:eastAsia="zh-CN"/>
        </w:rPr>
        <w:t>*</w:t>
      </w:r>
      <w:r>
        <w:rPr>
          <w:rFonts w:hint="eastAsia" w:ascii="宋体" w:hAnsi="宋体" w:eastAsia="宋体" w:cs="宋体"/>
          <w:kern w:val="0"/>
          <w:sz w:val="24"/>
          <w:szCs w:val="24"/>
        </w:rPr>
        <w:t>7</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合同履行期限：</w:t>
      </w:r>
      <w:r>
        <w:rPr>
          <w:rFonts w:hint="eastAsia" w:ascii="宋体" w:eastAsia="宋体"/>
          <w:b w:val="0"/>
          <w:bCs w:val="0"/>
          <w:sz w:val="24"/>
          <w:highlight w:val="none"/>
          <w:lang w:val="en-US" w:eastAsia="zh-CN"/>
        </w:rPr>
        <w:t>85日历天。其中</w:t>
      </w:r>
      <w:r>
        <w:rPr>
          <w:rFonts w:hint="eastAsia" w:ascii="宋体" w:eastAsia="宋体"/>
          <w:b w:val="0"/>
          <w:bCs w:val="0"/>
          <w:sz w:val="24"/>
          <w:szCs w:val="18"/>
          <w:highlight w:val="none"/>
        </w:rPr>
        <w:t>合同签订后</w:t>
      </w:r>
      <w:r>
        <w:rPr>
          <w:rFonts w:hint="eastAsia" w:ascii="宋体" w:eastAsia="宋体"/>
          <w:b w:val="0"/>
          <w:bCs w:val="0"/>
          <w:sz w:val="24"/>
          <w:szCs w:val="18"/>
          <w:highlight w:val="none"/>
          <w:lang w:val="en-US" w:eastAsia="zh-CN"/>
        </w:rPr>
        <w:t>25</w:t>
      </w:r>
      <w:r>
        <w:rPr>
          <w:rFonts w:hint="eastAsia" w:ascii="宋体" w:eastAsia="宋体"/>
          <w:b w:val="0"/>
          <w:bCs w:val="0"/>
          <w:sz w:val="24"/>
          <w:szCs w:val="18"/>
          <w:highlight w:val="none"/>
        </w:rPr>
        <w:t>日历天完成供货安装</w:t>
      </w:r>
      <w:r>
        <w:rPr>
          <w:rFonts w:hint="eastAsia" w:ascii="宋体" w:eastAsia="宋体"/>
          <w:b w:val="0"/>
          <w:bCs w:val="0"/>
          <w:sz w:val="24"/>
          <w:szCs w:val="18"/>
          <w:highlight w:val="none"/>
          <w:lang w:val="en-US" w:eastAsia="zh-CN"/>
        </w:rPr>
        <w:t>及调试</w:t>
      </w:r>
      <w:r>
        <w:rPr>
          <w:rFonts w:hint="eastAsia" w:ascii="宋体" w:eastAsia="宋体"/>
          <w:b w:val="0"/>
          <w:bCs w:val="0"/>
          <w:sz w:val="24"/>
          <w:szCs w:val="18"/>
          <w:highlight w:val="none"/>
          <w:lang w:eastAsia="zh-CN"/>
        </w:rPr>
        <w:t>，</w:t>
      </w:r>
      <w:r>
        <w:rPr>
          <w:rFonts w:hint="eastAsia" w:ascii="宋体" w:eastAsia="宋体"/>
          <w:b w:val="0"/>
          <w:bCs w:val="0"/>
          <w:sz w:val="24"/>
          <w:szCs w:val="18"/>
          <w:highlight w:val="none"/>
          <w:lang w:val="en-US" w:eastAsia="zh-CN"/>
        </w:rPr>
        <w:t>安装完成后试运行60天</w:t>
      </w:r>
      <w:r>
        <w:rPr>
          <w:rFonts w:hint="eastAsia" w:ascii="宋体" w:eastAsia="宋体"/>
          <w:b w:val="0"/>
          <w:bCs w:val="0"/>
          <w:sz w:val="24"/>
          <w:szCs w:val="18"/>
          <w:highlight w:val="none"/>
        </w:rPr>
        <w:t>。</w:t>
      </w:r>
      <w:r>
        <w:rPr>
          <w:rFonts w:hint="eastAsia" w:ascii="宋体" w:hAnsi="宋体" w:eastAsia="宋体" w:cs="宋体"/>
          <w:b/>
          <w:bCs/>
          <w:kern w:val="0"/>
          <w:sz w:val="24"/>
          <w:szCs w:val="24"/>
        </w:rPr>
        <w:t>（提供承诺函并加盖公章，格式自拟。）</w:t>
      </w:r>
    </w:p>
    <w:p>
      <w:pPr>
        <w:keepNext/>
        <w:keepLines/>
        <w:numPr>
          <w:ilvl w:val="-1"/>
          <w:numId w:val="0"/>
        </w:numPr>
        <w:spacing w:line="440" w:lineRule="exact"/>
        <w:ind w:left="0" w:firstLine="482" w:firstLineChars="200"/>
        <w:outlineLvl w:val="1"/>
        <w:rPr>
          <w:rFonts w:ascii="宋体" w:hAnsi="宋体" w:eastAsia="宋体" w:cs="宋体"/>
          <w:b/>
          <w:bCs/>
          <w:color w:val="000000"/>
          <w:kern w:val="44"/>
          <w:sz w:val="24"/>
          <w:szCs w:val="24"/>
          <w:lang w:val="en-US" w:eastAsia="zh-CN" w:bidi="ar-SA"/>
        </w:rPr>
      </w:pPr>
      <w:bookmarkStart w:id="80" w:name="_Toc25621"/>
      <w:r>
        <w:rPr>
          <w:rFonts w:hint="eastAsia" w:ascii="宋体" w:hAnsi="宋体" w:eastAsia="宋体" w:cs="宋体"/>
          <w:b/>
          <w:bCs/>
          <w:color w:val="000000"/>
          <w:kern w:val="44"/>
          <w:sz w:val="24"/>
          <w:szCs w:val="24"/>
          <w:lang w:val="en-US" w:eastAsia="zh-CN" w:bidi="ar-SA"/>
        </w:rPr>
        <w:t>四、其他要求：</w:t>
      </w:r>
      <w:bookmarkEnd w:id="80"/>
    </w:p>
    <w:p>
      <w:pPr>
        <w:spacing w:line="44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w:t>
      </w:r>
      <w:r>
        <w:rPr>
          <w:rFonts w:ascii="宋体" w:hAnsi="宋体" w:eastAsia="宋体" w:cs="宋体"/>
          <w:kern w:val="0"/>
          <w:sz w:val="24"/>
          <w:szCs w:val="24"/>
        </w:rPr>
        <w:t>供应商可自行勘察项目现场，如供应商因未及时</w:t>
      </w:r>
      <w:r>
        <w:rPr>
          <w:rFonts w:hint="eastAsia" w:ascii="宋体" w:hAnsi="宋体" w:eastAsia="宋体" w:cs="宋体"/>
          <w:kern w:val="0"/>
          <w:sz w:val="24"/>
          <w:szCs w:val="24"/>
        </w:rPr>
        <w:t>勘查现场</w:t>
      </w:r>
      <w:r>
        <w:rPr>
          <w:rFonts w:ascii="宋体" w:hAnsi="宋体" w:eastAsia="宋体" w:cs="宋体"/>
          <w:kern w:val="0"/>
          <w:sz w:val="24"/>
          <w:szCs w:val="24"/>
        </w:rPr>
        <w:t>而导致的报价缺项、漏项废标</w:t>
      </w:r>
      <w:r>
        <w:rPr>
          <w:rFonts w:hint="eastAsia" w:ascii="宋体" w:hAnsi="宋体" w:eastAsia="宋体" w:cs="宋体"/>
          <w:kern w:val="0"/>
          <w:sz w:val="24"/>
          <w:szCs w:val="24"/>
        </w:rPr>
        <w:t>或</w:t>
      </w:r>
      <w:r>
        <w:rPr>
          <w:rFonts w:ascii="宋体" w:hAnsi="宋体" w:eastAsia="宋体" w:cs="宋体"/>
          <w:kern w:val="0"/>
          <w:sz w:val="24"/>
          <w:szCs w:val="24"/>
        </w:rPr>
        <w:t>中标后无法完工，供应商自行承担一切后果。</w:t>
      </w:r>
    </w:p>
    <w:p>
      <w:pPr>
        <w:spacing w:line="440" w:lineRule="exact"/>
        <w:ind w:firstLine="482" w:firstLineChars="200"/>
        <w:rPr>
          <w:rFonts w:hint="eastAsia" w:ascii="宋体" w:hAnsi="宋体" w:eastAsia="宋体" w:cs="宋体"/>
          <w:b/>
          <w:bCs/>
          <w:kern w:val="0"/>
          <w:sz w:val="24"/>
          <w:szCs w:val="24"/>
        </w:rPr>
      </w:pPr>
      <w:r>
        <w:rPr>
          <w:rFonts w:hint="eastAsia" w:ascii="Calibri" w:hAnsi="Calibri" w:eastAsia="仿宋" w:cs="Times New Roman"/>
          <w:b/>
          <w:bCs/>
          <w:snapToGrid w:val="0"/>
          <w:color w:val="auto"/>
          <w:spacing w:val="0"/>
          <w:kern w:val="0"/>
          <w:sz w:val="24"/>
          <w:szCs w:val="24"/>
          <w:highlight w:val="none"/>
          <w:lang w:val="en-US" w:eastAsia="zh-CN"/>
        </w:rPr>
        <w:t>*</w:t>
      </w: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本项目售后服务响应时间：30分钟内响应，2小时内到达现场；一般故障4小时内解决，严重故障需向校方报备情况，给出解决方案，并在72小时内解决。</w:t>
      </w:r>
      <w:r>
        <w:rPr>
          <w:rFonts w:hint="eastAsia" w:ascii="宋体" w:hAnsi="宋体" w:eastAsia="宋体" w:cs="宋体"/>
          <w:b/>
          <w:bCs/>
          <w:kern w:val="0"/>
          <w:sz w:val="24"/>
          <w:szCs w:val="24"/>
        </w:rPr>
        <w:t>（提供承诺函并加盖公章，格式自拟。）</w:t>
      </w:r>
    </w:p>
    <w:p>
      <w:pPr>
        <w:spacing w:line="440" w:lineRule="exact"/>
        <w:ind w:firstLine="482" w:firstLineChars="200"/>
        <w:rPr>
          <w:rFonts w:hint="eastAsia" w:ascii="宋体" w:hAnsi="宋体" w:eastAsia="宋体" w:cs="宋体"/>
          <w:b/>
          <w:bCs/>
          <w:kern w:val="0"/>
          <w:sz w:val="24"/>
          <w:szCs w:val="24"/>
        </w:rPr>
      </w:pPr>
      <w:r>
        <w:rPr>
          <w:rFonts w:hint="eastAsia" w:ascii="Calibri" w:hAnsi="Calibri" w:eastAsia="仿宋" w:cs="Times New Roman"/>
          <w:b/>
          <w:bCs/>
          <w:snapToGrid w:val="0"/>
          <w:color w:val="auto"/>
          <w:spacing w:val="0"/>
          <w:kern w:val="0"/>
          <w:sz w:val="24"/>
          <w:szCs w:val="24"/>
          <w:highlight w:val="none"/>
          <w:lang w:val="en-US" w:eastAsia="zh-CN"/>
        </w:rPr>
        <w:t>*3.</w:t>
      </w:r>
      <w:r>
        <w:rPr>
          <w:rFonts w:hint="eastAsia" w:ascii="宋体" w:hAnsi="宋体" w:eastAsia="宋体" w:cs="宋体"/>
          <w:kern w:val="0"/>
          <w:sz w:val="24"/>
          <w:szCs w:val="24"/>
        </w:rPr>
        <w:t>系统集成</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提供所有设备产品的安装、调试以及所有线路线缆的敷设、基础混凝土浇筑、道路开挖和恢复；含安装集成所需线管、水晶头、胶布、扎带、插座等辅材；含校门口道路护栏，厚度不低于0.7mm，数量按现场环境实际需求配置；以及施工后项目现场的整体保洁服务，包含整套软硬件的安装调试。</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所有设备产品运送至指定位置安装；安装调试按国家相关标准、文件要求执行，与其他工程环节或要求衔接好，建立施工档案，含有现场、集中培训方案及其费用等。</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施工规范：施工依照综合布线标准设计，强弱电规范（分离）施工，要具有高扩展性、灵活性、先进性、可管理性。在布线中，所有线路、信息点均有一定编号或颜色标识，以便后期维护。</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中标后施工要求有系统集成技术方案（含系统施工组织、施工图、详细安装位置示意图、拓扑图、施工管理、系统集成人员名单和资质、售后服务网点分布等详细技术方案），安装调试按工程有关文件要求执行，与其他工程环节衔接好，建立施工档案。</w:t>
      </w:r>
      <w:r>
        <w:rPr>
          <w:rFonts w:hint="eastAsia" w:ascii="宋体" w:hAnsi="宋体" w:eastAsia="宋体" w:cs="宋体"/>
          <w:b/>
          <w:bCs/>
          <w:kern w:val="0"/>
          <w:sz w:val="24"/>
          <w:szCs w:val="24"/>
        </w:rPr>
        <w:t>（提供承诺函并加盖公章，格式自拟。）</w:t>
      </w:r>
    </w:p>
    <w:p>
      <w:pPr>
        <w:keepNext w:val="0"/>
        <w:keepLines w:val="0"/>
        <w:pageBreakBefore w:val="0"/>
        <w:widowControl w:val="0"/>
        <w:kinsoku/>
        <w:wordWrap w:val="0"/>
        <w:overflowPunct/>
        <w:topLinePunct/>
        <w:autoSpaceDE/>
        <w:autoSpaceDN/>
        <w:bidi w:val="0"/>
        <w:adjustRightInd w:val="0"/>
        <w:snapToGrid w:val="0"/>
        <w:spacing w:line="360" w:lineRule="auto"/>
        <w:jc w:val="both"/>
        <w:rPr>
          <w:rFonts w:ascii="Times New Roman" w:hAnsi="Times New Roman" w:eastAsia="仿宋" w:cs="Times New Roman"/>
          <w:b/>
          <w:snapToGrid w:val="0"/>
          <w:color w:val="auto"/>
          <w:spacing w:val="0"/>
          <w:kern w:val="0"/>
          <w:sz w:val="28"/>
          <w:szCs w:val="28"/>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jc w:val="center"/>
        <w:outlineLvl w:val="2"/>
        <w:rPr>
          <w:rFonts w:ascii="Times New Roman" w:hAnsi="Times New Roman" w:eastAsia="仿宋" w:cs="Times New Roman"/>
          <w:b/>
          <w:snapToGrid w:val="0"/>
          <w:color w:val="auto"/>
          <w:spacing w:val="0"/>
          <w:kern w:val="0"/>
          <w:sz w:val="28"/>
          <w:szCs w:val="28"/>
          <w:highlight w:val="none"/>
        </w:rPr>
      </w:pPr>
      <w:r>
        <w:rPr>
          <w:rFonts w:hint="eastAsia" w:ascii="Times New Roman" w:eastAsia="仿宋" w:cs="Times New Roman"/>
          <w:b/>
          <w:snapToGrid w:val="0"/>
          <w:color w:val="auto"/>
          <w:spacing w:val="0"/>
          <w:kern w:val="0"/>
          <w:sz w:val="28"/>
          <w:szCs w:val="28"/>
          <w:highlight w:val="none"/>
          <w:lang w:val="en-US" w:eastAsia="zh-CN"/>
        </w:rPr>
        <w:t>设备参数</w:t>
      </w:r>
      <w:r>
        <w:rPr>
          <w:rFonts w:ascii="Times New Roman" w:hAnsi="Times New Roman" w:eastAsia="仿宋" w:cs="Times New Roman"/>
          <w:b/>
          <w:snapToGrid w:val="0"/>
          <w:color w:val="auto"/>
          <w:spacing w:val="0"/>
          <w:kern w:val="0"/>
          <w:sz w:val="28"/>
          <w:szCs w:val="28"/>
          <w:highlight w:val="none"/>
        </w:rPr>
        <w:t>一览表</w:t>
      </w:r>
    </w:p>
    <w:tbl>
      <w:tblPr>
        <w:tblStyle w:val="24"/>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426"/>
        <w:gridCol w:w="3623"/>
        <w:gridCol w:w="636"/>
        <w:gridCol w:w="426"/>
        <w:gridCol w:w="427"/>
        <w:gridCol w:w="426"/>
        <w:gridCol w:w="426"/>
        <w:gridCol w:w="636"/>
        <w:gridCol w:w="636"/>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274" w:type="pct"/>
            <w:vMerge w:val="restar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r>
              <w:rPr>
                <w:rFonts w:hint="eastAsia" w:ascii="宋体" w:hAnsi="宋体" w:eastAsia="宋体" w:cs="宋体"/>
                <w:b w:val="0"/>
                <w:bCs w:val="0"/>
                <w:snapToGrid w:val="0"/>
                <w:color w:val="auto"/>
                <w:spacing w:val="0"/>
                <w:kern w:val="0"/>
                <w:sz w:val="21"/>
                <w:szCs w:val="21"/>
                <w:highlight w:val="none"/>
              </w:rPr>
              <w:t>序号</w:t>
            </w:r>
          </w:p>
        </w:tc>
        <w:tc>
          <w:tcPr>
            <w:tcW w:w="211" w:type="pct"/>
            <w:vMerge w:val="restar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r>
              <w:rPr>
                <w:rFonts w:hint="eastAsia" w:ascii="宋体" w:hAnsi="宋体" w:eastAsia="宋体" w:cs="宋体"/>
                <w:b w:val="0"/>
                <w:bCs w:val="0"/>
                <w:snapToGrid w:val="0"/>
                <w:color w:val="auto"/>
                <w:spacing w:val="0"/>
                <w:kern w:val="0"/>
                <w:sz w:val="21"/>
                <w:szCs w:val="21"/>
                <w:highlight w:val="none"/>
              </w:rPr>
              <w:t>名称</w:t>
            </w:r>
          </w:p>
        </w:tc>
        <w:tc>
          <w:tcPr>
            <w:tcW w:w="2573" w:type="pct"/>
            <w:vMerge w:val="restar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r>
              <w:rPr>
                <w:rFonts w:hint="eastAsia" w:ascii="宋体" w:hAnsi="宋体" w:eastAsia="宋体" w:cs="宋体"/>
                <w:b w:val="0"/>
                <w:bCs w:val="0"/>
                <w:snapToGrid w:val="0"/>
                <w:color w:val="auto"/>
                <w:spacing w:val="0"/>
                <w:kern w:val="0"/>
                <w:sz w:val="21"/>
                <w:szCs w:val="21"/>
                <w:highlight w:val="none"/>
              </w:rPr>
              <w:t>技术参数和规格型号</w:t>
            </w:r>
          </w:p>
        </w:tc>
        <w:tc>
          <w:tcPr>
            <w:tcW w:w="250" w:type="pct"/>
            <w:vMerge w:val="restart"/>
            <w:noWrap w:val="0"/>
            <w:vAlign w:val="center"/>
          </w:tcPr>
          <w:p>
            <w:pPr>
              <w:keepNext w:val="0"/>
              <w:keepLines w:val="0"/>
              <w:pageBreakBefore w:val="0"/>
              <w:widowControl w:val="0"/>
              <w:kinsoku/>
              <w:wordWrap w:val="0"/>
              <w:overflowPunct/>
              <w:topLinePunct/>
              <w:autoSpaceDE/>
              <w:autoSpaceDN/>
              <w:bidi w:val="0"/>
              <w:adjustRightInd w:val="0"/>
              <w:snapToGrid w:val="0"/>
              <w:jc w:val="center"/>
              <w:rPr>
                <w:rFonts w:hint="eastAsia" w:ascii="宋体" w:hAnsi="宋体" w:eastAsia="宋体" w:cs="宋体"/>
                <w:b w:val="0"/>
                <w:bCs w:val="0"/>
                <w:snapToGrid w:val="0"/>
                <w:color w:val="auto"/>
                <w:spacing w:val="0"/>
                <w:kern w:val="0"/>
                <w:sz w:val="21"/>
                <w:szCs w:val="21"/>
                <w:highlight w:val="none"/>
              </w:rPr>
            </w:pPr>
            <w:r>
              <w:rPr>
                <w:rFonts w:hint="eastAsia" w:ascii="宋体" w:hAnsi="宋体" w:eastAsia="宋体" w:cs="宋体"/>
                <w:b w:val="0"/>
                <w:bCs w:val="0"/>
                <w:snapToGrid w:val="0"/>
                <w:color w:val="auto"/>
                <w:spacing w:val="0"/>
                <w:kern w:val="0"/>
                <w:sz w:val="21"/>
                <w:szCs w:val="21"/>
                <w:highlight w:val="none"/>
              </w:rPr>
              <w:t>数量</w:t>
            </w:r>
          </w:p>
        </w:tc>
        <w:tc>
          <w:tcPr>
            <w:tcW w:w="211" w:type="pct"/>
            <w:vMerge w:val="restart"/>
            <w:noWrap w:val="0"/>
            <w:vAlign w:val="center"/>
          </w:tcPr>
          <w:p>
            <w:pPr>
              <w:keepNext w:val="0"/>
              <w:keepLines w:val="0"/>
              <w:pageBreakBefore w:val="0"/>
              <w:widowControl w:val="0"/>
              <w:kinsoku/>
              <w:wordWrap w:val="0"/>
              <w:overflowPunct/>
              <w:topLinePunct/>
              <w:autoSpaceDE/>
              <w:autoSpaceDN/>
              <w:bidi w:val="0"/>
              <w:adjustRightInd w:val="0"/>
              <w:snapToGrid w:val="0"/>
              <w:jc w:val="center"/>
              <w:rPr>
                <w:rFonts w:hint="eastAsia" w:ascii="宋体" w:hAnsi="宋体" w:eastAsia="宋体" w:cs="宋体"/>
                <w:b w:val="0"/>
                <w:bCs w:val="0"/>
                <w:snapToGrid w:val="0"/>
                <w:color w:val="auto"/>
                <w:spacing w:val="0"/>
                <w:kern w:val="0"/>
                <w:sz w:val="21"/>
                <w:szCs w:val="21"/>
                <w:highlight w:val="none"/>
              </w:rPr>
            </w:pPr>
            <w:r>
              <w:rPr>
                <w:rFonts w:hint="eastAsia" w:ascii="宋体" w:hAnsi="宋体" w:eastAsia="宋体" w:cs="宋体"/>
                <w:b w:val="0"/>
                <w:bCs w:val="0"/>
                <w:snapToGrid w:val="0"/>
                <w:color w:val="auto"/>
                <w:spacing w:val="0"/>
                <w:kern w:val="0"/>
                <w:sz w:val="21"/>
                <w:szCs w:val="21"/>
                <w:highlight w:val="none"/>
              </w:rPr>
              <w:t>单位</w:t>
            </w:r>
          </w:p>
        </w:tc>
        <w:tc>
          <w:tcPr>
            <w:tcW w:w="424" w:type="pct"/>
            <w:gridSpan w:val="2"/>
            <w:noWrap w:val="0"/>
            <w:vAlign w:val="center"/>
          </w:tcPr>
          <w:p>
            <w:pPr>
              <w:keepNext w:val="0"/>
              <w:keepLines w:val="0"/>
              <w:pageBreakBefore w:val="0"/>
              <w:widowControl w:val="0"/>
              <w:kinsoku/>
              <w:wordWrap w:val="0"/>
              <w:overflowPunct/>
              <w:topLinePunct/>
              <w:autoSpaceDE/>
              <w:autoSpaceDN/>
              <w:bidi w:val="0"/>
              <w:adjustRightInd w:val="0"/>
              <w:snapToGrid w:val="0"/>
              <w:jc w:val="center"/>
              <w:rPr>
                <w:rFonts w:hint="eastAsia" w:ascii="宋体" w:hAnsi="宋体" w:eastAsia="宋体" w:cs="宋体"/>
                <w:b w:val="0"/>
                <w:bCs w:val="0"/>
                <w:snapToGrid w:val="0"/>
                <w:color w:val="auto"/>
                <w:spacing w:val="0"/>
                <w:kern w:val="0"/>
                <w:sz w:val="21"/>
                <w:szCs w:val="21"/>
                <w:highlight w:val="none"/>
              </w:rPr>
            </w:pPr>
            <w:r>
              <w:rPr>
                <w:rFonts w:hint="eastAsia" w:ascii="宋体" w:hAnsi="宋体" w:eastAsia="宋体" w:cs="宋体"/>
                <w:b w:val="0"/>
                <w:bCs w:val="0"/>
                <w:snapToGrid w:val="0"/>
                <w:color w:val="auto"/>
                <w:spacing w:val="0"/>
                <w:kern w:val="0"/>
                <w:sz w:val="21"/>
                <w:szCs w:val="21"/>
                <w:highlight w:val="none"/>
                <w:lang w:val="en-US" w:eastAsia="zh-CN"/>
              </w:rPr>
              <w:t>是否采购节能产品</w:t>
            </w:r>
          </w:p>
        </w:tc>
        <w:tc>
          <w:tcPr>
            <w:tcW w:w="211" w:type="pct"/>
            <w:vMerge w:val="restart"/>
            <w:noWrap w:val="0"/>
            <w:vAlign w:val="center"/>
          </w:tcPr>
          <w:p>
            <w:pPr>
              <w:keepNext w:val="0"/>
              <w:keepLines w:val="0"/>
              <w:pageBreakBefore w:val="0"/>
              <w:widowControl w:val="0"/>
              <w:kinsoku/>
              <w:wordWrap w:val="0"/>
              <w:overflowPunct/>
              <w:topLinePunct/>
              <w:autoSpaceDE/>
              <w:autoSpaceDN/>
              <w:bidi w:val="0"/>
              <w:adjustRightInd w:val="0"/>
              <w:snapToGrid w:val="0"/>
              <w:jc w:val="center"/>
              <w:rPr>
                <w:rFonts w:hint="eastAsia" w:ascii="宋体" w:hAnsi="宋体" w:eastAsia="宋体" w:cs="宋体"/>
                <w:b w:val="0"/>
                <w:bCs w:val="0"/>
                <w:snapToGrid w:val="0"/>
                <w:color w:val="auto"/>
                <w:spacing w:val="0"/>
                <w:kern w:val="0"/>
                <w:sz w:val="21"/>
                <w:szCs w:val="21"/>
                <w:highlight w:val="none"/>
              </w:rPr>
            </w:pPr>
            <w:r>
              <w:rPr>
                <w:rFonts w:hint="eastAsia" w:ascii="宋体" w:hAnsi="宋体" w:eastAsia="宋体" w:cs="宋体"/>
                <w:b w:val="0"/>
                <w:bCs w:val="0"/>
                <w:snapToGrid w:val="0"/>
                <w:color w:val="auto"/>
                <w:spacing w:val="0"/>
                <w:kern w:val="0"/>
                <w:sz w:val="21"/>
                <w:szCs w:val="21"/>
                <w:highlight w:val="none"/>
              </w:rPr>
              <w:t>是否为优先采购环境标志产品</w:t>
            </w:r>
          </w:p>
        </w:tc>
        <w:tc>
          <w:tcPr>
            <w:tcW w:w="315" w:type="pct"/>
            <w:vMerge w:val="restart"/>
            <w:noWrap w:val="0"/>
            <w:vAlign w:val="center"/>
          </w:tcPr>
          <w:p>
            <w:pPr>
              <w:keepNext w:val="0"/>
              <w:keepLines w:val="0"/>
              <w:pageBreakBefore w:val="0"/>
              <w:widowControl w:val="0"/>
              <w:kinsoku/>
              <w:wordWrap w:val="0"/>
              <w:overflowPunct/>
              <w:topLinePunct/>
              <w:autoSpaceDE/>
              <w:autoSpaceDN/>
              <w:bidi w:val="0"/>
              <w:adjustRightInd w:val="0"/>
              <w:snapToGrid w:val="0"/>
              <w:jc w:val="center"/>
              <w:rPr>
                <w:rFonts w:hint="eastAsia" w:ascii="宋体" w:hAnsi="宋体" w:eastAsia="宋体" w:cs="宋体"/>
                <w:b w:val="0"/>
                <w:bCs w:val="0"/>
                <w:snapToGrid w:val="0"/>
                <w:color w:val="auto"/>
                <w:spacing w:val="0"/>
                <w:kern w:val="0"/>
                <w:sz w:val="21"/>
                <w:szCs w:val="21"/>
                <w:highlight w:val="none"/>
              </w:rPr>
            </w:pPr>
            <w:r>
              <w:rPr>
                <w:rFonts w:hint="eastAsia" w:ascii="宋体" w:hAnsi="宋体" w:eastAsia="宋体" w:cs="宋体"/>
                <w:b w:val="0"/>
                <w:bCs w:val="0"/>
                <w:snapToGrid w:val="0"/>
                <w:color w:val="auto"/>
                <w:spacing w:val="0"/>
                <w:kern w:val="0"/>
                <w:sz w:val="21"/>
                <w:szCs w:val="21"/>
                <w:highlight w:val="none"/>
              </w:rPr>
              <w:t>所属行业（按工信部联企业〔2011〕300号）</w:t>
            </w:r>
          </w:p>
        </w:tc>
        <w:tc>
          <w:tcPr>
            <w:tcW w:w="315" w:type="pct"/>
            <w:vMerge w:val="restart"/>
            <w:noWrap w:val="0"/>
            <w:vAlign w:val="center"/>
          </w:tcPr>
          <w:p>
            <w:pPr>
              <w:keepNext w:val="0"/>
              <w:keepLines w:val="0"/>
              <w:pageBreakBefore w:val="0"/>
              <w:widowControl w:val="0"/>
              <w:kinsoku/>
              <w:wordWrap w:val="0"/>
              <w:overflowPunct/>
              <w:topLinePunct/>
              <w:autoSpaceDE/>
              <w:autoSpaceDN/>
              <w:bidi w:val="0"/>
              <w:adjustRightInd w:val="0"/>
              <w:snapToGrid w:val="0"/>
              <w:jc w:val="center"/>
              <w:rPr>
                <w:rFonts w:hint="eastAsia" w:ascii="宋体" w:hAnsi="宋体" w:eastAsia="宋体" w:cs="宋体"/>
                <w:b w:val="0"/>
                <w:bCs w:val="0"/>
                <w:snapToGrid w:val="0"/>
                <w:color w:val="auto"/>
                <w:spacing w:val="0"/>
                <w:kern w:val="0"/>
                <w:sz w:val="21"/>
                <w:szCs w:val="21"/>
                <w:highlight w:val="none"/>
              </w:rPr>
            </w:pPr>
            <w:r>
              <w:rPr>
                <w:rFonts w:hint="eastAsia" w:ascii="宋体" w:hAnsi="宋体" w:eastAsia="宋体" w:cs="宋体"/>
                <w:b w:val="0"/>
                <w:bCs w:val="0"/>
                <w:snapToGrid w:val="0"/>
                <w:color w:val="auto"/>
                <w:spacing w:val="0"/>
                <w:kern w:val="0"/>
                <w:sz w:val="21"/>
                <w:szCs w:val="21"/>
                <w:highlight w:val="none"/>
              </w:rPr>
              <w:t>标的性质（货物/服务）</w:t>
            </w:r>
          </w:p>
        </w:tc>
        <w:tc>
          <w:tcPr>
            <w:tcW w:w="211" w:type="pct"/>
            <w:vMerge w:val="restart"/>
            <w:noWrap w:val="0"/>
            <w:vAlign w:val="center"/>
          </w:tcPr>
          <w:p>
            <w:pPr>
              <w:keepNext w:val="0"/>
              <w:keepLines w:val="0"/>
              <w:pageBreakBefore w:val="0"/>
              <w:widowControl w:val="0"/>
              <w:kinsoku/>
              <w:wordWrap w:val="0"/>
              <w:overflowPunct/>
              <w:topLinePunct/>
              <w:autoSpaceDE/>
              <w:autoSpaceDN/>
              <w:bidi w:val="0"/>
              <w:adjustRightInd w:val="0"/>
              <w:snapToGrid w:val="0"/>
              <w:jc w:val="center"/>
              <w:rPr>
                <w:rFonts w:hint="eastAsia" w:ascii="宋体" w:hAnsi="宋体" w:eastAsia="宋体" w:cs="宋体"/>
                <w:b w:val="0"/>
                <w:bCs w:val="0"/>
                <w:snapToGrid w:val="0"/>
                <w:color w:val="auto"/>
                <w:spacing w:val="0"/>
                <w:kern w:val="0"/>
                <w:sz w:val="21"/>
                <w:szCs w:val="21"/>
                <w:highlight w:val="none"/>
              </w:rPr>
            </w:pPr>
            <w:r>
              <w:rPr>
                <w:rFonts w:hint="eastAsia" w:ascii="宋体" w:hAnsi="宋体" w:eastAsia="宋体" w:cs="宋体"/>
                <w:b w:val="0"/>
                <w:bCs w:val="0"/>
                <w:snapToGrid w:val="0"/>
                <w:color w:val="auto"/>
                <w:spacing w:val="0"/>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74" w:type="pct"/>
            <w:vMerge w:val="continue"/>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c>
          <w:tcPr>
            <w:tcW w:w="211" w:type="pct"/>
            <w:vMerge w:val="continue"/>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c>
          <w:tcPr>
            <w:tcW w:w="2573" w:type="pct"/>
            <w:vMerge w:val="continue"/>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c>
          <w:tcPr>
            <w:tcW w:w="250" w:type="pct"/>
            <w:vMerge w:val="continue"/>
            <w:noWrap w:val="0"/>
            <w:vAlign w:val="center"/>
          </w:tcPr>
          <w:p>
            <w:pPr>
              <w:keepNext w:val="0"/>
              <w:keepLines w:val="0"/>
              <w:pageBreakBefore w:val="0"/>
              <w:widowControl w:val="0"/>
              <w:kinsoku/>
              <w:wordWrap w:val="0"/>
              <w:overflowPunct/>
              <w:topLinePunct/>
              <w:autoSpaceDE/>
              <w:autoSpaceDN/>
              <w:bidi w:val="0"/>
              <w:adjustRightInd w:val="0"/>
              <w:snapToGrid w:val="0"/>
              <w:jc w:val="center"/>
              <w:rPr>
                <w:rFonts w:hint="eastAsia" w:ascii="宋体" w:hAnsi="宋体" w:eastAsia="宋体" w:cs="宋体"/>
                <w:b w:val="0"/>
                <w:bCs w:val="0"/>
                <w:snapToGrid w:val="0"/>
                <w:color w:val="auto"/>
                <w:spacing w:val="0"/>
                <w:kern w:val="0"/>
                <w:sz w:val="21"/>
                <w:szCs w:val="21"/>
                <w:highlight w:val="none"/>
              </w:rPr>
            </w:pPr>
          </w:p>
        </w:tc>
        <w:tc>
          <w:tcPr>
            <w:tcW w:w="211" w:type="pct"/>
            <w:vMerge w:val="continue"/>
            <w:noWrap w:val="0"/>
            <w:vAlign w:val="center"/>
          </w:tcPr>
          <w:p>
            <w:pPr>
              <w:keepNext w:val="0"/>
              <w:keepLines w:val="0"/>
              <w:pageBreakBefore w:val="0"/>
              <w:widowControl w:val="0"/>
              <w:kinsoku/>
              <w:wordWrap w:val="0"/>
              <w:overflowPunct/>
              <w:topLinePunct/>
              <w:autoSpaceDE/>
              <w:autoSpaceDN/>
              <w:bidi w:val="0"/>
              <w:adjustRightInd w:val="0"/>
              <w:snapToGrid w:val="0"/>
              <w:jc w:val="center"/>
              <w:rPr>
                <w:rFonts w:hint="eastAsia" w:ascii="宋体" w:hAnsi="宋体" w:eastAsia="宋体" w:cs="宋体"/>
                <w:b w:val="0"/>
                <w:bCs w:val="0"/>
                <w:snapToGrid w:val="0"/>
                <w:color w:val="auto"/>
                <w:spacing w:val="0"/>
                <w:kern w:val="0"/>
                <w:sz w:val="21"/>
                <w:szCs w:val="21"/>
                <w:highlight w:val="none"/>
              </w:rPr>
            </w:pP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jc w:val="center"/>
              <w:rPr>
                <w:rFonts w:hint="eastAsia" w:ascii="宋体" w:hAnsi="宋体" w:eastAsia="宋体" w:cs="宋体"/>
                <w:b w:val="0"/>
                <w:bCs w:val="0"/>
                <w:snapToGrid w:val="0"/>
                <w:color w:val="auto"/>
                <w:spacing w:val="0"/>
                <w:kern w:val="0"/>
                <w:sz w:val="21"/>
                <w:szCs w:val="21"/>
                <w:highlight w:val="none"/>
              </w:rPr>
            </w:pPr>
            <w:r>
              <w:rPr>
                <w:rFonts w:hint="eastAsia" w:ascii="宋体" w:hAnsi="宋体" w:eastAsia="宋体" w:cs="宋体"/>
                <w:b w:val="0"/>
                <w:bCs w:val="0"/>
                <w:snapToGrid w:val="0"/>
                <w:color w:val="auto"/>
                <w:spacing w:val="0"/>
                <w:kern w:val="0"/>
                <w:sz w:val="21"/>
                <w:szCs w:val="21"/>
                <w:highlight w:val="none"/>
              </w:rPr>
              <w:t>强制采购</w:t>
            </w:r>
          </w:p>
        </w:tc>
        <w:tc>
          <w:tcPr>
            <w:tcW w:w="213" w:type="pct"/>
            <w:noWrap w:val="0"/>
            <w:vAlign w:val="center"/>
          </w:tcPr>
          <w:p>
            <w:pPr>
              <w:keepNext w:val="0"/>
              <w:keepLines w:val="0"/>
              <w:pageBreakBefore w:val="0"/>
              <w:widowControl w:val="0"/>
              <w:kinsoku/>
              <w:wordWrap w:val="0"/>
              <w:overflowPunct/>
              <w:topLinePunct/>
              <w:autoSpaceDE/>
              <w:autoSpaceDN/>
              <w:bidi w:val="0"/>
              <w:adjustRightInd w:val="0"/>
              <w:snapToGrid w:val="0"/>
              <w:jc w:val="center"/>
              <w:rPr>
                <w:rFonts w:hint="eastAsia" w:ascii="宋体" w:hAnsi="宋体" w:eastAsia="宋体" w:cs="宋体"/>
                <w:b w:val="0"/>
                <w:bCs w:val="0"/>
                <w:snapToGrid w:val="0"/>
                <w:color w:val="auto"/>
                <w:spacing w:val="0"/>
                <w:kern w:val="0"/>
                <w:sz w:val="21"/>
                <w:szCs w:val="21"/>
                <w:highlight w:val="none"/>
              </w:rPr>
            </w:pPr>
            <w:r>
              <w:rPr>
                <w:rFonts w:hint="eastAsia" w:ascii="宋体" w:hAnsi="宋体" w:eastAsia="宋体" w:cs="宋体"/>
                <w:b w:val="0"/>
                <w:bCs w:val="0"/>
                <w:snapToGrid w:val="0"/>
                <w:color w:val="auto"/>
                <w:spacing w:val="0"/>
                <w:kern w:val="0"/>
                <w:sz w:val="21"/>
                <w:szCs w:val="21"/>
                <w:highlight w:val="none"/>
              </w:rPr>
              <w:t>优先采购</w:t>
            </w:r>
          </w:p>
        </w:tc>
        <w:tc>
          <w:tcPr>
            <w:tcW w:w="211" w:type="pct"/>
            <w:vMerge w:val="continue"/>
            <w:noWrap w:val="0"/>
            <w:vAlign w:val="center"/>
          </w:tcPr>
          <w:p>
            <w:pPr>
              <w:keepNext w:val="0"/>
              <w:keepLines w:val="0"/>
              <w:pageBreakBefore w:val="0"/>
              <w:widowControl w:val="0"/>
              <w:kinsoku/>
              <w:wordWrap w:val="0"/>
              <w:overflowPunct/>
              <w:topLinePunct/>
              <w:autoSpaceDE/>
              <w:autoSpaceDN/>
              <w:bidi w:val="0"/>
              <w:adjustRightInd w:val="0"/>
              <w:snapToGrid w:val="0"/>
              <w:jc w:val="center"/>
              <w:rPr>
                <w:rFonts w:hint="eastAsia" w:ascii="宋体" w:hAnsi="宋体" w:eastAsia="宋体" w:cs="宋体"/>
                <w:b w:val="0"/>
                <w:bCs w:val="0"/>
                <w:snapToGrid w:val="0"/>
                <w:color w:val="auto"/>
                <w:spacing w:val="0"/>
                <w:kern w:val="0"/>
                <w:sz w:val="21"/>
                <w:szCs w:val="21"/>
                <w:highlight w:val="none"/>
              </w:rPr>
            </w:pPr>
          </w:p>
        </w:tc>
        <w:tc>
          <w:tcPr>
            <w:tcW w:w="315" w:type="pct"/>
            <w:vMerge w:val="continue"/>
            <w:noWrap w:val="0"/>
            <w:vAlign w:val="center"/>
          </w:tcPr>
          <w:p>
            <w:pPr>
              <w:keepNext w:val="0"/>
              <w:keepLines w:val="0"/>
              <w:pageBreakBefore w:val="0"/>
              <w:widowControl w:val="0"/>
              <w:kinsoku/>
              <w:wordWrap w:val="0"/>
              <w:overflowPunct/>
              <w:topLinePunct/>
              <w:autoSpaceDE/>
              <w:autoSpaceDN/>
              <w:bidi w:val="0"/>
              <w:adjustRightInd w:val="0"/>
              <w:snapToGrid w:val="0"/>
              <w:jc w:val="center"/>
              <w:rPr>
                <w:rFonts w:hint="eastAsia" w:ascii="宋体" w:hAnsi="宋体" w:eastAsia="宋体" w:cs="宋体"/>
                <w:b w:val="0"/>
                <w:bCs w:val="0"/>
                <w:snapToGrid w:val="0"/>
                <w:color w:val="auto"/>
                <w:spacing w:val="0"/>
                <w:kern w:val="0"/>
                <w:sz w:val="21"/>
                <w:szCs w:val="21"/>
                <w:highlight w:val="none"/>
              </w:rPr>
            </w:pPr>
          </w:p>
        </w:tc>
        <w:tc>
          <w:tcPr>
            <w:tcW w:w="315" w:type="pct"/>
            <w:vMerge w:val="continue"/>
            <w:noWrap w:val="0"/>
            <w:vAlign w:val="center"/>
          </w:tcPr>
          <w:p>
            <w:pPr>
              <w:keepNext w:val="0"/>
              <w:keepLines w:val="0"/>
              <w:pageBreakBefore w:val="0"/>
              <w:widowControl w:val="0"/>
              <w:kinsoku/>
              <w:wordWrap w:val="0"/>
              <w:overflowPunct/>
              <w:topLinePunct/>
              <w:autoSpaceDE/>
              <w:autoSpaceDN/>
              <w:bidi w:val="0"/>
              <w:adjustRightInd w:val="0"/>
              <w:snapToGrid w:val="0"/>
              <w:jc w:val="center"/>
              <w:rPr>
                <w:rFonts w:hint="eastAsia" w:ascii="宋体" w:hAnsi="宋体" w:eastAsia="宋体" w:cs="宋体"/>
                <w:b w:val="0"/>
                <w:bCs w:val="0"/>
                <w:snapToGrid w:val="0"/>
                <w:color w:val="auto"/>
                <w:spacing w:val="0"/>
                <w:kern w:val="0"/>
                <w:sz w:val="21"/>
                <w:szCs w:val="21"/>
                <w:highlight w:val="none"/>
              </w:rPr>
            </w:pPr>
          </w:p>
        </w:tc>
        <w:tc>
          <w:tcPr>
            <w:tcW w:w="211" w:type="pct"/>
            <w:vMerge w:val="continue"/>
            <w:noWrap w:val="0"/>
            <w:vAlign w:val="center"/>
          </w:tcPr>
          <w:p>
            <w:pPr>
              <w:keepNext w:val="0"/>
              <w:keepLines w:val="0"/>
              <w:pageBreakBefore w:val="0"/>
              <w:widowControl w:val="0"/>
              <w:kinsoku/>
              <w:wordWrap w:val="0"/>
              <w:overflowPunct/>
              <w:topLinePunct/>
              <w:autoSpaceDE/>
              <w:autoSpaceDN/>
              <w:bidi w:val="0"/>
              <w:adjustRightInd w:val="0"/>
              <w:snapToGrid w:val="0"/>
              <w:jc w:val="center"/>
              <w:rPr>
                <w:rFonts w:hint="eastAsia" w:ascii="宋体" w:hAnsi="宋体" w:eastAsia="宋体" w:cs="宋体"/>
                <w:b w:val="0"/>
                <w:bCs w:val="0"/>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4"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rPr>
            </w:pPr>
            <w:r>
              <w:rPr>
                <w:rFonts w:hint="eastAsia" w:ascii="宋体" w:hAnsi="宋体" w:eastAsia="宋体" w:cs="宋体"/>
                <w:b w:val="0"/>
                <w:bCs w:val="0"/>
                <w:snapToGrid w:val="0"/>
                <w:color w:val="auto"/>
                <w:spacing w:val="0"/>
                <w:kern w:val="0"/>
                <w:sz w:val="21"/>
                <w:szCs w:val="21"/>
                <w:highlight w:val="none"/>
                <w:lang w:val="en-US" w:eastAsia="zh-CN"/>
              </w:rPr>
              <w:t>1</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室外摄像机</w:t>
            </w:r>
          </w:p>
        </w:tc>
        <w:tc>
          <w:tcPr>
            <w:tcW w:w="2573" w:type="pct"/>
            <w:noWrap w:val="0"/>
            <w:vAlign w:val="center"/>
          </w:tcPr>
          <w:p>
            <w:pPr>
              <w:widowControl/>
              <w:numPr>
                <w:ilvl w:val="0"/>
                <w:numId w:val="0"/>
              </w:numPr>
              <w:jc w:val="left"/>
              <w:textAlignment w:val="center"/>
              <w:rPr>
                <w:rFonts w:ascii="Calibri" w:hAnsi="Calibri" w:eastAsia="宋体" w:cs="Times New Roman"/>
                <w:szCs w:val="22"/>
              </w:rPr>
            </w:pPr>
            <w:r>
              <w:rPr>
                <w:rFonts w:hint="eastAsia" w:ascii="宋体" w:hAnsi="宋体" w:eastAsia="宋体" w:cs="宋体"/>
                <w:b w:val="0"/>
                <w:bCs w:val="0"/>
                <w:kern w:val="0"/>
                <w:sz w:val="21"/>
                <w:szCs w:val="21"/>
                <w:lang w:val="en-US" w:eastAsia="zh-CN"/>
              </w:rPr>
              <w:t>1.400万高清黑光摄像机，</w:t>
            </w:r>
            <w:r>
              <w:rPr>
                <w:rFonts w:hint="eastAsia" w:ascii="宋体" w:hAnsi="宋体" w:eastAsia="宋体" w:cs="宋体"/>
                <w:b w:val="0"/>
                <w:bCs w:val="0"/>
                <w:kern w:val="0"/>
                <w:sz w:val="21"/>
                <w:szCs w:val="21"/>
              </w:rPr>
              <w:t>最大分辨率均不小于2560*1440</w:t>
            </w:r>
            <w:r>
              <w:rPr>
                <w:rFonts w:hint="eastAsia" w:ascii="宋体" w:hAnsi="宋体" w:eastAsia="宋体" w:cs="宋体"/>
                <w:b w:val="0"/>
                <w:bCs w:val="0"/>
                <w:kern w:val="0"/>
                <w:sz w:val="21"/>
                <w:szCs w:val="21"/>
                <w:lang w:eastAsia="zh-CN"/>
              </w:rPr>
              <w:t>。</w:t>
            </w:r>
          </w:p>
          <w:p>
            <w:pPr>
              <w:widowControl/>
              <w:jc w:val="left"/>
              <w:textAlignment w:val="center"/>
              <w:rPr>
                <w:rFonts w:hint="eastAsia" w:ascii="宋体" w:hAnsi="宋体" w:eastAsia="宋体" w:cs="宋体"/>
                <w:b/>
                <w:bCs/>
                <w:kern w:val="0"/>
                <w:sz w:val="21"/>
                <w:szCs w:val="21"/>
              </w:rPr>
            </w:pPr>
            <w:r>
              <w:rPr>
                <w:rFonts w:hint="eastAsia" w:ascii="Calibri" w:hAnsi="Calibri" w:eastAsia="仿宋" w:cs="Times New Roman"/>
                <w:b/>
                <w:bCs/>
                <w:snapToGrid w:val="0"/>
                <w:color w:val="auto"/>
                <w:spacing w:val="0"/>
                <w:kern w:val="0"/>
                <w:sz w:val="24"/>
                <w:szCs w:val="24"/>
                <w:highlight w:val="none"/>
                <w:lang w:val="en-US" w:eastAsia="zh-CN"/>
              </w:rPr>
              <w:t>*</w:t>
            </w:r>
            <w:r>
              <w:rPr>
                <w:rFonts w:hint="eastAsia" w:ascii="宋体" w:hAnsi="宋体" w:eastAsia="宋体" w:cs="宋体"/>
                <w:b w:val="0"/>
                <w:bCs w:val="0"/>
                <w:kern w:val="0"/>
                <w:sz w:val="21"/>
                <w:szCs w:val="21"/>
              </w:rPr>
              <w:t>2.内置双镜头，靶面尺寸均不低于1/1.8英寸，内置两个图像传感器，分别输出黑白及彩色图像，可对视频图像进行融合输出。</w:t>
            </w:r>
            <w:r>
              <w:rPr>
                <w:rFonts w:hint="eastAsia" w:ascii="宋体" w:hAnsi="宋体" w:eastAsia="宋体" w:cs="宋体"/>
                <w:b/>
                <w:bCs/>
                <w:kern w:val="0"/>
                <w:sz w:val="21"/>
                <w:szCs w:val="21"/>
              </w:rPr>
              <w:t>（提供经CMA或CAL或CNAS认证的</w:t>
            </w:r>
            <w:r>
              <w:rPr>
                <w:rFonts w:hint="eastAsia" w:ascii="宋体" w:hAnsi="宋体" w:eastAsia="宋体" w:cs="宋体"/>
                <w:b/>
                <w:bCs/>
                <w:kern w:val="0"/>
                <w:sz w:val="21"/>
                <w:szCs w:val="21"/>
                <w:lang w:val="en-US" w:eastAsia="zh-CN"/>
              </w:rPr>
              <w:t>第</w:t>
            </w:r>
            <w:r>
              <w:rPr>
                <w:rFonts w:hint="eastAsia" w:ascii="宋体" w:hAnsi="宋体" w:eastAsia="宋体" w:cs="宋体"/>
                <w:b/>
                <w:bCs/>
                <w:kern w:val="0"/>
                <w:sz w:val="21"/>
                <w:szCs w:val="21"/>
              </w:rPr>
              <w:t>三方检测检验机构出具的检测报告扫描件）</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3.内置GPU芯片；1个内置麦克风，1个内置扬声器。</w:t>
            </w:r>
          </w:p>
          <w:p>
            <w:pPr>
              <w:widowControl/>
              <w:jc w:val="left"/>
              <w:textAlignment w:val="center"/>
              <w:rPr>
                <w:rFonts w:hint="eastAsia" w:ascii="宋体" w:hAnsi="宋体" w:eastAsia="宋体" w:cs="宋体"/>
                <w:b/>
                <w:bCs/>
                <w:kern w:val="0"/>
                <w:sz w:val="21"/>
                <w:szCs w:val="21"/>
              </w:rPr>
            </w:pPr>
            <w:r>
              <w:rPr>
                <w:rFonts w:hint="eastAsia" w:ascii="宋体" w:hAnsi="宋体" w:eastAsia="宋体" w:cs="宋体"/>
                <w:b w:val="0"/>
                <w:bCs w:val="0"/>
                <w:kern w:val="0"/>
                <w:sz w:val="21"/>
                <w:szCs w:val="21"/>
              </w:rPr>
              <w:t>4.内置混合补光灯，每颗补光灯由红外灯、白光灯组成，可自动或手动调节补光灯的亮度。</w:t>
            </w:r>
            <w:r>
              <w:rPr>
                <w:rFonts w:hint="eastAsia" w:ascii="宋体" w:hAnsi="宋体" w:eastAsia="宋体" w:cs="宋体"/>
                <w:b/>
                <w:bCs/>
                <w:kern w:val="0"/>
                <w:sz w:val="21"/>
                <w:szCs w:val="21"/>
              </w:rPr>
              <w:t>（提供经CMA或CAL或CNAS认证的</w:t>
            </w:r>
            <w:r>
              <w:rPr>
                <w:rFonts w:hint="eastAsia" w:ascii="宋体" w:hAnsi="宋体" w:eastAsia="宋体" w:cs="宋体"/>
                <w:b/>
                <w:bCs/>
                <w:kern w:val="0"/>
                <w:sz w:val="21"/>
                <w:szCs w:val="21"/>
                <w:lang w:val="en-US" w:eastAsia="zh-CN"/>
              </w:rPr>
              <w:t>第</w:t>
            </w:r>
            <w:r>
              <w:rPr>
                <w:rFonts w:hint="eastAsia" w:ascii="宋体" w:hAnsi="宋体" w:eastAsia="宋体" w:cs="宋体"/>
                <w:b/>
                <w:bCs/>
                <w:kern w:val="0"/>
                <w:sz w:val="21"/>
                <w:szCs w:val="21"/>
              </w:rPr>
              <w:t>三方检测检验机构出具的检测报告扫描件）</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5.动态范围不小于120dB。</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6.最低照度彩色：0.0002 lx，黑白：0.0001 lx，最大亮度鉴别等级（灰度</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等级）不小于11级。</w:t>
            </w:r>
          </w:p>
          <w:p>
            <w:pPr>
              <w:keepNext w:val="0"/>
              <w:keepLines w:val="0"/>
              <w:pageBreakBefore w:val="0"/>
              <w:widowControl/>
              <w:kinsoku/>
              <w:wordWrap w:val="0"/>
              <w:overflowPunct/>
              <w:topLinePunct w:val="0"/>
              <w:autoSpaceDE/>
              <w:autoSpaceDN/>
              <w:bidi w:val="0"/>
              <w:adjustRightInd/>
              <w:snapToGrid/>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7.需支持五码流技术，主码流最高≥2560x1440@25fps；子码流≥704x576@25fps；第三码流最高≥1920x1080@8fps；第四码流最高≥704x576@25fps；第五码流最高≥704x576@25fps。</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8.支持H.264、H.265、MJPEG视频编码格式，且具有High Profile编码能力。</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9.支持检出两眼瞳距19像素点以上的人脸图片。</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10.人脸检出率不小于99%。</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11.支持固件安全检验功能，摄像机uboot应采用加密存储，通过离线烧写存储器方式写入的uboot执行程序，不能被硬件微引导程序加载执行，支持硬件微引导程序、uboot、OS、应用软件逐级校验功能，非法篡改的uboot、OS、应用软件固件包，不能通过命令行、浏览器、客户端方式进行升级。</w:t>
            </w:r>
          </w:p>
          <w:p>
            <w:pPr>
              <w:widowControl/>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12.具有设备重启和布防动态报警数据感知与记录功能，布防动态报警数据包括异常掉线、历史布防、实时布防3种类型；可记录报警的开始时间、结束时间、布防类型、报警链路地址、端口、链路续传。</w:t>
            </w:r>
            <w:r>
              <w:rPr>
                <w:rFonts w:hint="eastAsia" w:ascii="宋体" w:hAnsi="宋体" w:eastAsia="宋体" w:cs="宋体"/>
                <w:b/>
                <w:bCs/>
                <w:kern w:val="0"/>
                <w:sz w:val="21"/>
                <w:szCs w:val="21"/>
              </w:rPr>
              <w:t>（提供经CMA或CAL或CNAS认证的</w:t>
            </w:r>
            <w:r>
              <w:rPr>
                <w:rFonts w:hint="eastAsia" w:ascii="宋体" w:hAnsi="宋体" w:eastAsia="宋体" w:cs="宋体"/>
                <w:b/>
                <w:bCs/>
                <w:kern w:val="0"/>
                <w:sz w:val="21"/>
                <w:szCs w:val="21"/>
                <w:lang w:val="en-US" w:eastAsia="zh-CN"/>
              </w:rPr>
              <w:t>第</w:t>
            </w:r>
            <w:r>
              <w:rPr>
                <w:rFonts w:hint="eastAsia" w:ascii="宋体" w:hAnsi="宋体" w:eastAsia="宋体" w:cs="宋体"/>
                <w:b/>
                <w:bCs/>
                <w:kern w:val="0"/>
                <w:sz w:val="21"/>
                <w:szCs w:val="21"/>
              </w:rPr>
              <w:t>三方检测检验机构出具的检测报告扫描件）</w:t>
            </w:r>
          </w:p>
        </w:tc>
        <w:tc>
          <w:tcPr>
            <w:tcW w:w="250"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15</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台</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3"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default" w:ascii="宋体" w:hAnsi="宋体" w:eastAsia="宋体" w:cs="宋体"/>
                <w:b w:val="0"/>
                <w:bCs w:val="0"/>
                <w:snapToGrid w:val="0"/>
                <w:color w:val="auto"/>
                <w:spacing w:val="0"/>
                <w:kern w:val="0"/>
                <w:sz w:val="21"/>
                <w:szCs w:val="21"/>
                <w:highlight w:val="none"/>
                <w:lang w:val="en-US" w:eastAsia="zh-CN"/>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default" w:ascii="宋体" w:hAnsi="宋体" w:eastAsia="宋体" w:cs="宋体"/>
                <w:b w:val="0"/>
                <w:bCs w:val="0"/>
                <w:snapToGrid w:val="0"/>
                <w:color w:val="auto"/>
                <w:spacing w:val="0"/>
                <w:kern w:val="0"/>
                <w:sz w:val="21"/>
                <w:szCs w:val="21"/>
                <w:highlight w:val="none"/>
                <w:lang w:val="en-US" w:eastAsia="zh-CN"/>
              </w:rPr>
            </w:pPr>
            <w:r>
              <w:rPr>
                <w:rFonts w:hint="eastAsia" w:ascii="宋体" w:hAnsi="宋体" w:eastAsia="宋体" w:cs="宋体"/>
                <w:b w:val="0"/>
                <w:bCs w:val="0"/>
                <w:snapToGrid w:val="0"/>
                <w:color w:val="auto"/>
                <w:spacing w:val="0"/>
                <w:kern w:val="0"/>
                <w:sz w:val="21"/>
                <w:szCs w:val="21"/>
                <w:highlight w:val="none"/>
                <w:lang w:val="en-US" w:eastAsia="zh-CN"/>
              </w:rPr>
              <w:t>工业</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rPr>
            </w:pPr>
            <w:r>
              <w:rPr>
                <w:rFonts w:hint="eastAsia" w:ascii="宋体" w:hAnsi="宋体" w:eastAsia="宋体" w:cs="宋体"/>
                <w:b w:val="0"/>
                <w:bCs w:val="0"/>
                <w:snapToGrid w:val="0"/>
                <w:color w:val="auto"/>
                <w:spacing w:val="0"/>
                <w:kern w:val="0"/>
                <w:sz w:val="21"/>
                <w:szCs w:val="21"/>
                <w:highlight w:val="none"/>
                <w:lang w:val="en-US" w:eastAsia="zh-CN"/>
              </w:rPr>
              <w:t>货物</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rPr>
            </w:pPr>
            <w:r>
              <w:rPr>
                <w:rFonts w:hint="eastAsia" w:ascii="宋体" w:hAnsi="宋体" w:eastAsia="宋体" w:cs="宋体"/>
                <w:b w:val="0"/>
                <w:bCs w:val="0"/>
                <w:snapToGrid w:val="0"/>
                <w:color w:val="auto"/>
                <w:spacing w:val="0"/>
                <w:kern w:val="0"/>
                <w:sz w:val="21"/>
                <w:szCs w:val="21"/>
                <w:highlight w:val="none"/>
                <w:lang w:val="en-US" w:eastAsia="zh-CN"/>
              </w:rPr>
              <w:t>2</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显示屏</w:t>
            </w:r>
          </w:p>
        </w:tc>
        <w:tc>
          <w:tcPr>
            <w:tcW w:w="2573" w:type="pct"/>
            <w:noWrap w:val="0"/>
            <w:vAlign w:val="center"/>
          </w:tcPr>
          <w:p>
            <w:pPr>
              <w:widowControl/>
              <w:jc w:val="left"/>
              <w:textAlignment w:val="center"/>
              <w:rPr>
                <w:rFonts w:hint="eastAsia" w:ascii="宋体" w:hAnsi="宋体" w:eastAsia="宋体" w:cs="宋体"/>
                <w:b w:val="0"/>
                <w:bCs w:val="0"/>
                <w:kern w:val="0"/>
                <w:sz w:val="21"/>
                <w:szCs w:val="21"/>
                <w:lang w:val="en-US" w:eastAsia="zh-CN"/>
              </w:rPr>
            </w:pPr>
            <w:r>
              <w:rPr>
                <w:rFonts w:hint="eastAsia" w:ascii="Calibri" w:hAnsi="Calibri" w:eastAsia="仿宋" w:cs="Times New Roman"/>
                <w:b/>
                <w:bCs/>
                <w:snapToGrid w:val="0"/>
                <w:color w:val="auto"/>
                <w:spacing w:val="0"/>
                <w:kern w:val="0"/>
                <w:sz w:val="24"/>
                <w:szCs w:val="24"/>
                <w:highlight w:val="none"/>
                <w:lang w:val="en-US" w:eastAsia="zh-CN"/>
              </w:rPr>
              <w:t>*</w:t>
            </w:r>
            <w:r>
              <w:rPr>
                <w:rFonts w:hint="eastAsia" w:ascii="宋体" w:hAnsi="宋体" w:eastAsia="宋体" w:cs="宋体"/>
                <w:b w:val="0"/>
                <w:bCs w:val="0"/>
                <w:kern w:val="0"/>
                <w:sz w:val="21"/>
                <w:szCs w:val="21"/>
              </w:rPr>
              <w:t>1.显示尺寸：46 寸</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提供</w:t>
            </w:r>
            <w:r>
              <w:rPr>
                <w:rFonts w:hint="eastAsia" w:ascii="宋体" w:hAnsi="宋体" w:eastAsia="宋体" w:cs="宋体"/>
                <w:b/>
                <w:bCs/>
                <w:kern w:val="0"/>
                <w:sz w:val="21"/>
                <w:szCs w:val="21"/>
                <w:lang w:eastAsia="zh-CN"/>
              </w:rPr>
              <w:t>制造商公开发布的资料或检测机构出具的检测报告）</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2.背光源类型：D-LED</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3.物理拼缝：≦1.7 mm</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4.物理分辨率：≥1920 × 1080@60Hz（向下兼容）</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5.亮度：</w:t>
            </w:r>
            <w:r>
              <w:rPr>
                <w:rFonts w:hint="eastAsia" w:ascii="宋体" w:hAnsi="宋体" w:eastAsia="宋体" w:cs="宋体"/>
                <w:b w:val="0"/>
                <w:bCs w:val="0"/>
                <w:kern w:val="0"/>
                <w:sz w:val="21"/>
                <w:szCs w:val="21"/>
                <w:lang w:val="en-US" w:eastAsia="zh-CN"/>
              </w:rPr>
              <w:t>不小于</w:t>
            </w:r>
            <w:r>
              <w:rPr>
                <w:rFonts w:hint="eastAsia" w:ascii="宋体" w:hAnsi="宋体" w:eastAsia="宋体" w:cs="宋体"/>
                <w:b w:val="0"/>
                <w:bCs w:val="0"/>
                <w:kern w:val="0"/>
                <w:sz w:val="21"/>
                <w:szCs w:val="21"/>
              </w:rPr>
              <w:t>500 cd/m²</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6.可视角：178°（水平）/ 178°（垂直）</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7.对比度：</w:t>
            </w:r>
            <w:r>
              <w:rPr>
                <w:rFonts w:hint="eastAsia" w:ascii="宋体" w:hAnsi="宋体" w:eastAsia="宋体" w:cs="宋体"/>
                <w:b w:val="0"/>
                <w:bCs w:val="0"/>
                <w:kern w:val="0"/>
                <w:sz w:val="21"/>
                <w:szCs w:val="21"/>
                <w:lang w:val="en-US" w:eastAsia="zh-CN"/>
              </w:rPr>
              <w:t>不低于</w:t>
            </w:r>
            <w:r>
              <w:rPr>
                <w:rFonts w:hint="eastAsia" w:ascii="宋体" w:hAnsi="宋体" w:eastAsia="宋体" w:cs="宋体"/>
                <w:b w:val="0"/>
                <w:bCs w:val="0"/>
                <w:kern w:val="0"/>
                <w:sz w:val="21"/>
                <w:szCs w:val="21"/>
              </w:rPr>
              <w:t>1000 :1</w:t>
            </w:r>
          </w:p>
          <w:p>
            <w:pPr>
              <w:widowControl/>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注：利旧原有3块显示屏，2*4排列部署</w:t>
            </w:r>
          </w:p>
        </w:tc>
        <w:tc>
          <w:tcPr>
            <w:tcW w:w="250"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5</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台</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3"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工业</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货物</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rPr>
            </w:pPr>
            <w:r>
              <w:rPr>
                <w:rFonts w:hint="eastAsia" w:ascii="宋体" w:hAnsi="宋体" w:eastAsia="宋体" w:cs="宋体"/>
                <w:b w:val="0"/>
                <w:bCs w:val="0"/>
                <w:snapToGrid w:val="0"/>
                <w:color w:val="auto"/>
                <w:spacing w:val="0"/>
                <w:kern w:val="0"/>
                <w:sz w:val="21"/>
                <w:szCs w:val="21"/>
                <w:highlight w:val="none"/>
                <w:lang w:val="en-US" w:eastAsia="zh-CN"/>
              </w:rPr>
              <w:t>3</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大屏支架</w:t>
            </w:r>
          </w:p>
        </w:tc>
        <w:tc>
          <w:tcPr>
            <w:tcW w:w="2573" w:type="pct"/>
            <w:noWrap w:val="0"/>
            <w:vAlign w:val="center"/>
          </w:tcPr>
          <w:p>
            <w:pPr>
              <w:widowControl/>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1.配套2*4排列支架</w:t>
            </w:r>
          </w:p>
        </w:tc>
        <w:tc>
          <w:tcPr>
            <w:tcW w:w="250"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1</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组</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3"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工业</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货物</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rPr>
            </w:pPr>
            <w:r>
              <w:rPr>
                <w:rFonts w:hint="eastAsia" w:ascii="宋体" w:hAnsi="宋体" w:eastAsia="宋体" w:cs="宋体"/>
                <w:b w:val="0"/>
                <w:bCs w:val="0"/>
                <w:snapToGrid w:val="0"/>
                <w:color w:val="auto"/>
                <w:spacing w:val="0"/>
                <w:kern w:val="0"/>
                <w:sz w:val="21"/>
                <w:szCs w:val="21"/>
                <w:highlight w:val="none"/>
                <w:lang w:val="en-US" w:eastAsia="zh-CN"/>
              </w:rPr>
              <w:t>4</w:t>
            </w:r>
          </w:p>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监控终端</w:t>
            </w:r>
          </w:p>
        </w:tc>
        <w:tc>
          <w:tcPr>
            <w:tcW w:w="2573" w:type="pct"/>
            <w:noWrap w:val="0"/>
            <w:vAlign w:val="center"/>
          </w:tcPr>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1.处理器：i7 12代及以上或同等性能，12 核及以上最高睿频4.9GHz</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2.主板：≥Intel H610芯片组</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3.内存：32GB DDR4，3200MHz频率以上，2个内存插槽，最大可扩展支持64GB DDR4内存</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4.不小于512G SATA SSD；不小于2T机械硬盘；</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5.USB接口≥10个，其中USB3.0接口≥4个，机箱后置USB接口≥6个；1个VGA+1个HDMI+1个DP接口，主板原生接口不可使用转接口；</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6.配置4G独立显卡</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7.配置24英寸 IPS显示器</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8.操作系统兼容性：支持windows系统、UOS系统、麒麟系统、CentOS系统、Windows 7系统、LINUX系统安装；支持双系统、三系统、四系统安装</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9.硬盘断电保护：可支持硬盘数据及时还原，还原到指定还原点；支持硬盘断电保护；支持双网口绑定、双网口使用。</w:t>
            </w:r>
          </w:p>
          <w:p>
            <w:pPr>
              <w:widowControl/>
              <w:jc w:val="left"/>
              <w:textAlignment w:val="center"/>
              <w:rPr>
                <w:rFonts w:hint="eastAsia" w:ascii="宋体" w:hAnsi="宋体" w:eastAsia="宋体" w:cs="宋体"/>
                <w:b/>
                <w:bCs/>
                <w:kern w:val="0"/>
                <w:sz w:val="21"/>
                <w:szCs w:val="21"/>
              </w:rPr>
            </w:pPr>
            <w:r>
              <w:rPr>
                <w:rFonts w:hint="eastAsia" w:ascii="Calibri" w:hAnsi="Calibri" w:eastAsia="仿宋" w:cs="Times New Roman"/>
                <w:b/>
                <w:bCs/>
                <w:snapToGrid w:val="0"/>
                <w:color w:val="auto"/>
                <w:spacing w:val="0"/>
                <w:kern w:val="0"/>
                <w:sz w:val="24"/>
                <w:szCs w:val="24"/>
                <w:highlight w:val="none"/>
                <w:lang w:val="en-US" w:eastAsia="zh-CN"/>
              </w:rPr>
              <w:t>*</w:t>
            </w:r>
            <w:r>
              <w:rPr>
                <w:rFonts w:hint="eastAsia" w:ascii="宋体" w:hAnsi="宋体" w:eastAsia="宋体" w:cs="宋体"/>
                <w:b w:val="0"/>
                <w:bCs w:val="0"/>
                <w:kern w:val="0"/>
                <w:sz w:val="21"/>
                <w:szCs w:val="21"/>
              </w:rPr>
              <w:t>10.支持超高清4K、8K解码实景播放，支持3600W鹰眼前端解码播放；支持多显卡调度，可在相同应用里使用双显卡，双显卡同时工作；可通过视频客户端进行画中画显示，把两个IPC的画面合并成一个画面，在一个大画面叠加一个小画面，也可以分两个窗口显示。</w:t>
            </w:r>
            <w:r>
              <w:rPr>
                <w:rFonts w:hint="eastAsia" w:ascii="宋体" w:hAnsi="宋体" w:eastAsia="宋体" w:cs="宋体"/>
                <w:b/>
                <w:bCs/>
                <w:kern w:val="0"/>
                <w:sz w:val="21"/>
                <w:szCs w:val="21"/>
              </w:rPr>
              <w:t>（提供经CMA或CAL或CNAS认证的</w:t>
            </w:r>
            <w:r>
              <w:rPr>
                <w:rFonts w:hint="eastAsia" w:ascii="宋体" w:hAnsi="宋体" w:eastAsia="宋体" w:cs="宋体"/>
                <w:b/>
                <w:bCs/>
                <w:kern w:val="0"/>
                <w:sz w:val="21"/>
                <w:szCs w:val="21"/>
                <w:lang w:val="en-US" w:eastAsia="zh-CN"/>
              </w:rPr>
              <w:t>第</w:t>
            </w:r>
            <w:r>
              <w:rPr>
                <w:rFonts w:hint="eastAsia" w:ascii="宋体" w:hAnsi="宋体" w:eastAsia="宋体" w:cs="宋体"/>
                <w:b/>
                <w:bCs/>
                <w:kern w:val="0"/>
                <w:sz w:val="21"/>
                <w:szCs w:val="21"/>
              </w:rPr>
              <w:t>三方检测检验机构出具的检测报告扫描件）</w:t>
            </w:r>
          </w:p>
          <w:p>
            <w:pPr>
              <w:widowControl/>
              <w:jc w:val="left"/>
              <w:textAlignment w:val="center"/>
              <w:rPr>
                <w:rFonts w:hint="eastAsia" w:ascii="宋体" w:hAnsi="宋体" w:eastAsia="宋体" w:cs="宋体"/>
                <w:b/>
                <w:bCs/>
                <w:kern w:val="0"/>
                <w:sz w:val="21"/>
                <w:szCs w:val="21"/>
              </w:rPr>
            </w:pPr>
            <w:r>
              <w:rPr>
                <w:rFonts w:hint="eastAsia" w:ascii="Calibri" w:hAnsi="Calibri" w:eastAsia="仿宋" w:cs="Times New Roman"/>
                <w:b/>
                <w:bCs/>
                <w:snapToGrid w:val="0"/>
                <w:color w:val="auto"/>
                <w:spacing w:val="0"/>
                <w:kern w:val="0"/>
                <w:sz w:val="24"/>
                <w:szCs w:val="24"/>
                <w:highlight w:val="none"/>
                <w:lang w:val="en-US" w:eastAsia="zh-CN"/>
              </w:rPr>
              <w:t>*</w:t>
            </w:r>
            <w:r>
              <w:rPr>
                <w:rFonts w:hint="eastAsia" w:ascii="宋体" w:hAnsi="宋体" w:eastAsia="宋体" w:cs="宋体"/>
                <w:b w:val="0"/>
                <w:bCs w:val="0"/>
                <w:kern w:val="0"/>
                <w:sz w:val="21"/>
                <w:szCs w:val="21"/>
              </w:rPr>
              <w:t>11.支持应用软件向导式启动，支持更新升级；支持应用软件打开即全屏显示；支持windows应用虚拟化；支持双系统同时开机同时使用；支持安装云盘软件，对指定目录进行增备、全备、双向同步；支持对操作系统进行镜像备份和恢复；使用视图播放器对文件进行播放。</w:t>
            </w:r>
            <w:r>
              <w:rPr>
                <w:rFonts w:hint="eastAsia" w:ascii="宋体" w:hAnsi="宋体" w:eastAsia="宋体" w:cs="宋体"/>
                <w:b/>
                <w:bCs/>
                <w:kern w:val="0"/>
                <w:sz w:val="21"/>
                <w:szCs w:val="21"/>
              </w:rPr>
              <w:t>（提供经CMA或CAL或CNAS认证的</w:t>
            </w:r>
            <w:r>
              <w:rPr>
                <w:rFonts w:hint="eastAsia" w:ascii="宋体" w:hAnsi="宋体" w:eastAsia="宋体" w:cs="宋体"/>
                <w:b/>
                <w:bCs/>
                <w:kern w:val="0"/>
                <w:sz w:val="21"/>
                <w:szCs w:val="21"/>
                <w:lang w:val="en-US" w:eastAsia="zh-CN"/>
              </w:rPr>
              <w:t>第</w:t>
            </w:r>
            <w:r>
              <w:rPr>
                <w:rFonts w:hint="eastAsia" w:ascii="宋体" w:hAnsi="宋体" w:eastAsia="宋体" w:cs="宋体"/>
                <w:b/>
                <w:bCs/>
                <w:kern w:val="0"/>
                <w:sz w:val="21"/>
                <w:szCs w:val="21"/>
              </w:rPr>
              <w:t>三方检测检验机构出具的检测报告扫描件）</w:t>
            </w:r>
          </w:p>
          <w:p>
            <w:pPr>
              <w:widowControl/>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12.倍速播放：支持多窗口播放：可进行16个窗口同时1或2倍速播放，9个窗口同时4倍速播放，4个窗口同时8倍速或16倍速播放，系统需支持GA/T1154.2-2014中4.4.2.1规定的70种视频格式文件等多种安防视频格式文件功能，支持全屏、单屏、2分屏、4分屏、9分屏、16分屏播放，系统支持对GA/T1154.2-2014中4.4.2.1规定的70种视频格式文件转码成MP4，AVI，WMV，GIF。</w:t>
            </w:r>
            <w:r>
              <w:rPr>
                <w:rFonts w:hint="eastAsia" w:ascii="宋体" w:hAnsi="宋体" w:eastAsia="宋体" w:cs="宋体"/>
                <w:b/>
                <w:bCs/>
                <w:kern w:val="0"/>
                <w:sz w:val="21"/>
                <w:szCs w:val="21"/>
              </w:rPr>
              <w:t>（提供经CMA或CAL或CNAS认证的</w:t>
            </w:r>
            <w:r>
              <w:rPr>
                <w:rFonts w:hint="eastAsia" w:ascii="宋体" w:hAnsi="宋体" w:eastAsia="宋体" w:cs="宋体"/>
                <w:b/>
                <w:bCs/>
                <w:kern w:val="0"/>
                <w:sz w:val="21"/>
                <w:szCs w:val="21"/>
                <w:lang w:val="en-US" w:eastAsia="zh-CN"/>
              </w:rPr>
              <w:t>第</w:t>
            </w:r>
            <w:r>
              <w:rPr>
                <w:rFonts w:hint="eastAsia" w:ascii="宋体" w:hAnsi="宋体" w:eastAsia="宋体" w:cs="宋体"/>
                <w:b/>
                <w:bCs/>
                <w:kern w:val="0"/>
                <w:sz w:val="21"/>
                <w:szCs w:val="21"/>
              </w:rPr>
              <w:t>三方检测检验机构出具的检测报告扫描件）</w:t>
            </w:r>
          </w:p>
        </w:tc>
        <w:tc>
          <w:tcPr>
            <w:tcW w:w="250"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2</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台</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bCs/>
                <w:snapToGrid w:val="0"/>
                <w:color w:val="auto"/>
                <w:spacing w:val="0"/>
                <w:kern w:val="0"/>
                <w:sz w:val="21"/>
                <w:szCs w:val="21"/>
                <w:highlight w:val="none"/>
                <w:lang w:val="en-US" w:eastAsia="zh-CN"/>
              </w:rPr>
              <w:t>是</w:t>
            </w:r>
          </w:p>
        </w:tc>
        <w:tc>
          <w:tcPr>
            <w:tcW w:w="213"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工业</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货物</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rPr>
            </w:pPr>
            <w:r>
              <w:rPr>
                <w:rFonts w:hint="eastAsia" w:ascii="宋体" w:hAnsi="宋体" w:eastAsia="宋体" w:cs="宋体"/>
                <w:b w:val="0"/>
                <w:bCs w:val="0"/>
                <w:snapToGrid w:val="0"/>
                <w:color w:val="auto"/>
                <w:spacing w:val="0"/>
                <w:kern w:val="0"/>
                <w:sz w:val="21"/>
                <w:szCs w:val="21"/>
                <w:highlight w:val="none"/>
                <w:lang w:val="en-US" w:eastAsia="zh-CN"/>
              </w:rPr>
              <w:t>5</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高清解码器</w:t>
            </w:r>
          </w:p>
        </w:tc>
        <w:tc>
          <w:tcPr>
            <w:tcW w:w="2573" w:type="pct"/>
            <w:noWrap w:val="0"/>
            <w:vAlign w:val="center"/>
          </w:tcPr>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1.超高清解码器</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2.支持电脑、视频会议终端等视频输入信号源，支持2路1080P@50/60 或1路4K@30，通过HDMI 1.4本地输入，HDMI可内嵌音频</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3.支持网络IPC、NVR等设备类型作为网络信号源输入</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4.支持HDMI 1.4视频信号输出，支持4K分辨率（3840 × 2160@30 Hz）超高清输出，输出采用帧同步技术，保证所有输出口的图像完全同步</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5.支持两种音频输出方式：HDMI内嵌音频和外置音频输出</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6.采用H.264/H.265编码标准，默认采用H.265，支持子码流及主码流编码</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7.支持网络设备解码，支持H.264、H.265、Smart264、Smart265、MJPEG、HIK264等主流码流格式，支持PS、TS、ES、RTP等主流封装格式，支持子码流及主码流切换</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8. 最大支持3200w分辨率解码，具有64个解码通道，支持64路200W视频同时解码上墙</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9.支持加密码流、多轨码流、智能码流解码；支持码流修改和切换；支持解码异常提示</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10.电视墙功能</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11.支持单面电视墙拼接、开窗、窗口跨屏漫游、场景轮巡和窗口轮巡功能，单屏支持3个1080P或2个4K图层，单窗口支持1/4/6/8/9/16/25窗口分屏功能，整机最大支持64个场景，整机支持256个平台预案轮巡组</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12.支持RTP\RTSP协议进行网络源预览，可通过smartwall客户端进行桌面投屏上墙</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13.支持电视墙界面对网络信号源云台八个方向、自动扫描、光圈、调焦、聚焦、调用预置点等操作</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14.支持电视墙窗口开始/停止预览、开始/停止解码、开始/停止轮巡、打开/关闭声音、置顶、置底等操作</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15.视频解码格式：H.264，H.265，Smart264，Smart265，MJPEG</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16. 解码分辨率：最高3200W像素</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17. 视频解码通道：不少于128</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18. 视频解码能力：H.264/H.265：支持4路3200 W，或4路2400 W，或8路1200 W，或16路800 W，或20路600W，或32路400W，或64路1080P，或128路720P及以下分辨率实时解码（每4个输出口一组，共享解码能力）</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19.MJPEG：8路1080P及以下分辨率实时解码</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20.HIK264：4路720P及以下分辨率实时解码</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21.单口画面分割数：1,2,4,6,8,9,12,16,25</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22. 场景数量：64</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23.视频输出分辨率：3840 × 2160@30 Hz、2560 × 1440@30 Hz、1920 × 1200@60 Hz、1920 × 1080@60 Hz、1920 × 1080@50 Hz、1680 × 1050@60 Hz、1600 × 1200@60 Hz、1280 × 1024@60 Hz、1280 × 720@60 Hz、1280 × 720@50 Hz、1024 × 768@60 Hz</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24. 视频输出接口类型：8路HDMI 1.4，支持4K</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25.视频输入接口：2路HDMI 1.4</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26. 视频输入分辨率：3840 × 2160@30 Hz（仅奇数口），1920 × 1080@50 Hz,1920 × 1080@60 Hz, 1280 × 720@50/60 Hz</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27.音频输入接口：2路HDMI内嵌</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28.音频输出接口：8路HDMI内嵌或DB15转BNC独立音频输出</w:t>
            </w:r>
          </w:p>
          <w:p>
            <w:pPr>
              <w:widowControl/>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29.音频解码格式：G711-A, G711-U, G722.1, G726-16/U/A, MPEG, AAC-LC, PCM</w:t>
            </w:r>
          </w:p>
        </w:tc>
        <w:tc>
          <w:tcPr>
            <w:tcW w:w="250"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1</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台</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3"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工业</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货物</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rPr>
            </w:pPr>
            <w:r>
              <w:rPr>
                <w:rFonts w:hint="eastAsia" w:ascii="宋体" w:hAnsi="宋体" w:eastAsia="宋体" w:cs="宋体"/>
                <w:b w:val="0"/>
                <w:bCs w:val="0"/>
                <w:snapToGrid w:val="0"/>
                <w:color w:val="auto"/>
                <w:spacing w:val="0"/>
                <w:kern w:val="0"/>
                <w:sz w:val="21"/>
                <w:szCs w:val="21"/>
                <w:highlight w:val="none"/>
                <w:lang w:val="en-US" w:eastAsia="zh-CN"/>
              </w:rPr>
              <w:t>6</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核心交换机</w:t>
            </w:r>
          </w:p>
        </w:tc>
        <w:tc>
          <w:tcPr>
            <w:tcW w:w="2573" w:type="pct"/>
            <w:noWrap w:val="0"/>
            <w:vAlign w:val="center"/>
          </w:tcPr>
          <w:p>
            <w:pPr>
              <w:widowControl/>
              <w:jc w:val="left"/>
              <w:textAlignment w:val="center"/>
              <w:rPr>
                <w:rFonts w:hint="eastAsia" w:ascii="宋体" w:hAnsi="宋体" w:eastAsia="宋体" w:cs="宋体"/>
                <w:b w:val="0"/>
                <w:bCs w:val="0"/>
                <w:kern w:val="0"/>
                <w:sz w:val="21"/>
                <w:szCs w:val="21"/>
                <w:lang w:eastAsia="zh-CN"/>
              </w:rPr>
            </w:pPr>
            <w:r>
              <w:rPr>
                <w:rFonts w:hint="eastAsia" w:ascii="Calibri" w:hAnsi="Calibri" w:eastAsia="仿宋" w:cs="Times New Roman"/>
                <w:b/>
                <w:bCs/>
                <w:snapToGrid w:val="0"/>
                <w:color w:val="auto"/>
                <w:spacing w:val="0"/>
                <w:kern w:val="0"/>
                <w:sz w:val="24"/>
                <w:szCs w:val="24"/>
                <w:highlight w:val="none"/>
                <w:lang w:val="en-US" w:eastAsia="zh-CN"/>
              </w:rPr>
              <w:t>*</w:t>
            </w:r>
            <w:r>
              <w:rPr>
                <w:rFonts w:hint="eastAsia" w:ascii="宋体" w:hAnsi="宋体" w:eastAsia="宋体" w:cs="宋体"/>
                <w:b w:val="0"/>
                <w:bCs w:val="0"/>
                <w:kern w:val="0"/>
                <w:sz w:val="21"/>
                <w:szCs w:val="21"/>
              </w:rPr>
              <w:t>1.交换容量≥168Tbps，包转发率≥36000Mpps，支持电源以及主控冗余；</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提供</w:t>
            </w:r>
            <w:r>
              <w:rPr>
                <w:rFonts w:hint="eastAsia" w:ascii="宋体" w:hAnsi="宋体" w:eastAsia="宋体" w:cs="宋体"/>
                <w:b/>
                <w:bCs/>
                <w:kern w:val="0"/>
                <w:sz w:val="21"/>
                <w:szCs w:val="21"/>
                <w:lang w:eastAsia="zh-CN"/>
              </w:rPr>
              <w:t>制造商公开发布的资料或检测机构出具的检测报告）</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2.主控交换卡、电源、接口模块、风扇、网板等关键部件可热插拔；</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3.单槽位能够同时提供千兆光口、千兆电口、万兆光口，且实际可用端口总数≥48，提高槽位利用率和业务可靠性，提供官网选配信息截图证明；</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4.支持聚合组数≥128组，每组成员≥8个，支持跨设备链路聚合，支持对广播、组播、单播报文的均匀分担；</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5.支持双引擎快速倒换，主备切换时候板内转发无丢包 ，支持热补丁功能，可在线进行补丁升级；</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6.支持IPv4 uRPF、DHCP Snooping、广播风暴抑制、IP+MAC+VLAN+PORT的绑定、报文过滤功能，黑洞路由、黑洞MAC等安全特性；</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7.支持RIP、OSPF、BGPv4、BGP4+、ISIS、IS-ISv6，支持策略路由；</w:t>
            </w:r>
          </w:p>
          <w:p>
            <w:pPr>
              <w:widowControl/>
              <w:jc w:val="left"/>
              <w:textAlignment w:val="center"/>
              <w:rPr>
                <w:rFonts w:hint="eastAsia" w:ascii="宋体" w:hAnsi="宋体" w:eastAsia="宋体" w:cs="宋体"/>
                <w:b/>
                <w:bCs/>
                <w:kern w:val="0"/>
                <w:sz w:val="21"/>
                <w:szCs w:val="21"/>
              </w:rPr>
            </w:pPr>
            <w:r>
              <w:rPr>
                <w:rFonts w:hint="eastAsia" w:ascii="Calibri" w:hAnsi="Calibri" w:eastAsia="宋体" w:cs="Times New Roman"/>
                <w:szCs w:val="22"/>
                <w:lang w:val="en-US" w:eastAsia="zh-CN"/>
              </w:rPr>
              <w:t>*</w:t>
            </w:r>
            <w:r>
              <w:rPr>
                <w:rFonts w:hint="eastAsia" w:ascii="宋体" w:hAnsi="宋体" w:eastAsia="宋体" w:cs="宋体"/>
                <w:b w:val="0"/>
                <w:bCs w:val="0"/>
                <w:kern w:val="0"/>
                <w:sz w:val="21"/>
                <w:szCs w:val="21"/>
              </w:rPr>
              <w:t>8.支持抗攻击功能、支持用户访问控制和安全审计功能，</w:t>
            </w:r>
            <w:r>
              <w:rPr>
                <w:rFonts w:hint="eastAsia" w:ascii="宋体" w:hAnsi="宋体" w:eastAsia="宋体" w:cs="宋体"/>
                <w:b/>
                <w:bCs/>
                <w:kern w:val="0"/>
                <w:sz w:val="21"/>
                <w:szCs w:val="21"/>
              </w:rPr>
              <w:t>（提供经CMA或CAL或CNAS认证的</w:t>
            </w:r>
            <w:r>
              <w:rPr>
                <w:rFonts w:hint="eastAsia" w:ascii="宋体" w:hAnsi="宋体" w:eastAsia="宋体" w:cs="宋体"/>
                <w:b/>
                <w:bCs/>
                <w:kern w:val="0"/>
                <w:sz w:val="21"/>
                <w:szCs w:val="21"/>
                <w:lang w:val="en-US" w:eastAsia="zh-CN"/>
              </w:rPr>
              <w:t>第</w:t>
            </w:r>
            <w:r>
              <w:rPr>
                <w:rFonts w:hint="eastAsia" w:ascii="宋体" w:hAnsi="宋体" w:eastAsia="宋体" w:cs="宋体"/>
                <w:b/>
                <w:bCs/>
                <w:kern w:val="0"/>
                <w:sz w:val="21"/>
                <w:szCs w:val="21"/>
              </w:rPr>
              <w:t>三方检测检验机构出具的检测报告扫描件）</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9.配置冗余电源和双主控引擎；</w:t>
            </w:r>
          </w:p>
          <w:p>
            <w:pPr>
              <w:widowControl/>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10.配置≥24端口千兆电口、≥24端口千兆光口、≥8端口万兆光口；</w:t>
            </w:r>
          </w:p>
        </w:tc>
        <w:tc>
          <w:tcPr>
            <w:tcW w:w="250"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1</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台</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3"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工业</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货物</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rPr>
            </w:pPr>
            <w:r>
              <w:rPr>
                <w:rFonts w:hint="eastAsia" w:ascii="宋体" w:hAnsi="宋体" w:eastAsia="宋体" w:cs="宋体"/>
                <w:b w:val="0"/>
                <w:bCs w:val="0"/>
                <w:snapToGrid w:val="0"/>
                <w:color w:val="auto"/>
                <w:spacing w:val="0"/>
                <w:kern w:val="0"/>
                <w:sz w:val="21"/>
                <w:szCs w:val="21"/>
                <w:highlight w:val="none"/>
                <w:lang w:val="en-US" w:eastAsia="zh-CN"/>
              </w:rPr>
              <w:t>7</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接入交换机</w:t>
            </w:r>
          </w:p>
        </w:tc>
        <w:tc>
          <w:tcPr>
            <w:tcW w:w="2573" w:type="pct"/>
            <w:noWrap w:val="0"/>
            <w:vAlign w:val="center"/>
          </w:tcPr>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1.固化10/100/1000M以太网电口≥24，1000M/2.5G SFP千兆光接口≥4个；</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2.交换容量≥336Gbps，包转发率≥51Mpps（以官网指标最小值为准）；</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3.采用绿色环保设计；</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4.设备采用静音无风扇节能设计；</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5.要求所投产品端口浪涌抗扰度≥10KV（即具备10KV的防雷能力）；</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6.支持专门针对CPU的保护机制，能够针对发往CPU处理的各种报文进行流区分和优先级队列分级处理，保护交换机在各种环境下稳定工作；</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7.支持基础网络保护策略，能够限制用户向网络中发送ARP报文、ICMP请求报文、DHCP请求报文等数据包的数率，对超过限速阈值的报文进行丢弃处理，甚至能够识别攻击行为，对有攻击行为的用户进行隔离；</w:t>
            </w:r>
          </w:p>
          <w:p>
            <w:pPr>
              <w:widowControl/>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8.支持生成树协议STP(IEEE 802.1d)，RSTP(IEEE 802.1w）和MSTP(IEEE 802.1s)，完全保证快速收敛，提高容错能力，保证网络的稳定运行和链路的负载均衡，合理使用网络通道，提供冗余链路利用率；</w:t>
            </w:r>
          </w:p>
        </w:tc>
        <w:tc>
          <w:tcPr>
            <w:tcW w:w="250"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2</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个</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c>
          <w:tcPr>
            <w:tcW w:w="213"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rPr>
            </w:pPr>
            <w:r>
              <w:rPr>
                <w:rFonts w:hint="eastAsia" w:ascii="宋体" w:hAnsi="宋体" w:eastAsia="宋体" w:cs="宋体"/>
                <w:b w:val="0"/>
                <w:bCs w:val="0"/>
                <w:snapToGrid w:val="0"/>
                <w:color w:val="auto"/>
                <w:spacing w:val="0"/>
                <w:kern w:val="0"/>
                <w:sz w:val="21"/>
                <w:szCs w:val="21"/>
                <w:highlight w:val="none"/>
                <w:lang w:val="en-US" w:eastAsia="zh-CN"/>
              </w:rPr>
              <w:t>8</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存储阵列</w:t>
            </w:r>
          </w:p>
        </w:tc>
        <w:tc>
          <w:tcPr>
            <w:tcW w:w="2573" w:type="pct"/>
            <w:noWrap w:val="0"/>
            <w:vAlign w:val="center"/>
          </w:tcPr>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1.配置：≥1颗64位多核处理器，≥4GB内存，内存支持扩展到≥256GB，内置SSD固态硬盘（可以扩展到4个SSD作为缓存盘），配置≥3个风扇，支持风扇热插拔冗余温控调速风扇；支持热插拔1+1AC220V</w:t>
            </w:r>
          </w:p>
          <w:p>
            <w:pPr>
              <w:widowControl/>
              <w:jc w:val="left"/>
              <w:textAlignment w:val="center"/>
              <w:rPr>
                <w:rFonts w:hint="eastAsia" w:ascii="宋体" w:hAnsi="宋体" w:eastAsia="宋体" w:cs="宋体"/>
                <w:b/>
                <w:bCs/>
                <w:kern w:val="0"/>
                <w:sz w:val="21"/>
                <w:szCs w:val="21"/>
              </w:rPr>
            </w:pPr>
            <w:r>
              <w:rPr>
                <w:rFonts w:hint="eastAsia" w:ascii="Calibri" w:hAnsi="Calibri" w:eastAsia="仿宋" w:cs="Times New Roman"/>
                <w:b/>
                <w:bCs/>
                <w:snapToGrid w:val="0"/>
                <w:color w:val="auto"/>
                <w:spacing w:val="0"/>
                <w:kern w:val="0"/>
                <w:sz w:val="24"/>
                <w:szCs w:val="24"/>
                <w:highlight w:val="none"/>
                <w:lang w:val="en-US" w:eastAsia="zh-CN"/>
              </w:rPr>
              <w:t>*</w:t>
            </w:r>
            <w:r>
              <w:rPr>
                <w:rFonts w:hint="eastAsia" w:ascii="宋体" w:hAnsi="宋体" w:eastAsia="宋体" w:cs="宋体"/>
                <w:b w:val="0"/>
                <w:bCs w:val="0"/>
                <w:kern w:val="0"/>
                <w:sz w:val="21"/>
                <w:szCs w:val="21"/>
              </w:rPr>
              <w:t>2.标配≥4个千兆网口，支持4个PCI-E3.0，或可扩展 RS485 接口、eSATA 接口，可扩展至 15个千兆网口，或增配 12个 10Gb /25Gb光纤接口或增配 12 个 8Gb/16Gb/32Gb 光纤接口或增配 12个 HDMI 接口或增配 9 个Mini SAS HD接口，支持GPU智能卡，支持PCI-E X16和PCI-E X8，可支持12GB SAS扩展口</w:t>
            </w:r>
            <w:r>
              <w:rPr>
                <w:rFonts w:hint="eastAsia" w:ascii="宋体" w:hAnsi="宋体" w:eastAsia="宋体" w:cs="宋体"/>
                <w:b/>
                <w:bCs/>
                <w:kern w:val="0"/>
                <w:sz w:val="21"/>
                <w:szCs w:val="21"/>
              </w:rPr>
              <w:t>（提供经CMA或CAL或CNAS认证的</w:t>
            </w:r>
            <w:r>
              <w:rPr>
                <w:rFonts w:hint="eastAsia" w:ascii="宋体" w:hAnsi="宋体" w:eastAsia="宋体" w:cs="宋体"/>
                <w:b/>
                <w:bCs/>
                <w:kern w:val="0"/>
                <w:sz w:val="21"/>
                <w:szCs w:val="21"/>
                <w:lang w:val="en-US" w:eastAsia="zh-CN"/>
              </w:rPr>
              <w:t>第</w:t>
            </w:r>
            <w:r>
              <w:rPr>
                <w:rFonts w:hint="eastAsia" w:ascii="宋体" w:hAnsi="宋体" w:eastAsia="宋体" w:cs="宋体"/>
                <w:b/>
                <w:bCs/>
                <w:kern w:val="0"/>
                <w:sz w:val="21"/>
                <w:szCs w:val="21"/>
              </w:rPr>
              <w:t>三方检测检验机构出具的检测报告扫描件）</w:t>
            </w:r>
          </w:p>
          <w:p>
            <w:pPr>
              <w:widowControl/>
              <w:jc w:val="left"/>
              <w:textAlignment w:val="center"/>
              <w:rPr>
                <w:rFonts w:hint="eastAsia" w:ascii="宋体" w:hAnsi="宋体" w:eastAsia="宋体" w:cs="宋体"/>
                <w:b w:val="0"/>
                <w:bCs w:val="0"/>
                <w:kern w:val="0"/>
                <w:sz w:val="21"/>
                <w:szCs w:val="21"/>
              </w:rPr>
            </w:pPr>
            <w:r>
              <w:rPr>
                <w:rFonts w:hint="eastAsia" w:ascii="Calibri" w:hAnsi="Calibri" w:eastAsia="仿宋" w:cs="Times New Roman"/>
                <w:b/>
                <w:bCs/>
                <w:snapToGrid w:val="0"/>
                <w:color w:val="auto"/>
                <w:spacing w:val="0"/>
                <w:kern w:val="0"/>
                <w:sz w:val="24"/>
                <w:szCs w:val="24"/>
                <w:highlight w:val="none"/>
                <w:lang w:val="en-US" w:eastAsia="zh-CN"/>
              </w:rPr>
              <w:t>*</w:t>
            </w:r>
            <w:r>
              <w:rPr>
                <w:rFonts w:hint="eastAsia" w:ascii="宋体" w:hAnsi="宋体" w:eastAsia="宋体" w:cs="宋体"/>
                <w:b w:val="0"/>
                <w:bCs w:val="0"/>
                <w:kern w:val="0"/>
                <w:sz w:val="21"/>
                <w:szCs w:val="21"/>
              </w:rPr>
              <w:t>3.每个控制单元支持双系统应用，系统盘支持RAID1模式，当主系统出现故障时，备用系统可接管工作；支持系统盘为独立的2块HDD（SATA、SAS）或SSD盘，组成RAID1</w:t>
            </w:r>
            <w:r>
              <w:rPr>
                <w:rFonts w:hint="eastAsia" w:ascii="宋体" w:hAnsi="宋体" w:eastAsia="宋体" w:cs="宋体"/>
                <w:b/>
                <w:bCs/>
                <w:kern w:val="0"/>
                <w:sz w:val="21"/>
                <w:szCs w:val="21"/>
              </w:rPr>
              <w:t>（提供经CMA或CAL或CNAS认证的</w:t>
            </w:r>
            <w:r>
              <w:rPr>
                <w:rFonts w:hint="eastAsia" w:ascii="宋体" w:hAnsi="宋体" w:eastAsia="宋体" w:cs="宋体"/>
                <w:b/>
                <w:bCs/>
                <w:kern w:val="0"/>
                <w:sz w:val="21"/>
                <w:szCs w:val="21"/>
                <w:lang w:val="en-US" w:eastAsia="zh-CN"/>
              </w:rPr>
              <w:t>第</w:t>
            </w:r>
            <w:r>
              <w:rPr>
                <w:rFonts w:hint="eastAsia" w:ascii="宋体" w:hAnsi="宋体" w:eastAsia="宋体" w:cs="宋体"/>
                <w:b/>
                <w:bCs/>
                <w:kern w:val="0"/>
                <w:sz w:val="21"/>
                <w:szCs w:val="21"/>
              </w:rPr>
              <w:t>三方检测检验机构出具的检测报告扫描件）</w:t>
            </w:r>
          </w:p>
          <w:p>
            <w:pPr>
              <w:keepNext w:val="0"/>
              <w:keepLines w:val="0"/>
              <w:pageBreakBefore w:val="0"/>
              <w:widowControl/>
              <w:kinsoku/>
              <w:wordWrap w:val="0"/>
              <w:overflowPunct/>
              <w:topLinePunct w:val="0"/>
              <w:autoSpaceDE/>
              <w:autoSpaceDN/>
              <w:bidi w:val="0"/>
              <w:adjustRightInd/>
              <w:snapToGrid/>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4.可2T/3T/4T/6T/8T/10T/12T/14T/16T/18T/20T/25T/26T SATA/SAS硬盘；支持NL-SAS 硬盘、HDD硬盘、SSD硬盘、氦气硬盘、空气硬盘；支持 CMR或SMR硬盘；支持硬盘交错/分时启动，节省功耗，本次配置不低于22块16T硬盘。</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5.具有48块硬盘热插拔插槽；支持硬盘热插拔设备在读写数据时，热插拔设备内的任意块硬盘，设备正常运行不宕机，硬盘不损坏，数据不丢失，业务不中断。</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6.支持视音频、图片、智能数据流进行混合直存，无须存储服务器和图片服务器的参与，平台服务器宕机时，存储业务正常；支持国</w:t>
            </w:r>
            <w:r>
              <w:rPr>
                <w:rFonts w:hint="eastAsia" w:ascii="宋体" w:hAnsi="宋体" w:eastAsia="宋体" w:cs="宋体"/>
                <w:b w:val="0"/>
                <w:bCs w:val="0"/>
                <w:kern w:val="0"/>
                <w:sz w:val="21"/>
                <w:szCs w:val="21"/>
                <w:lang w:val="en-US" w:eastAsia="zh-CN"/>
              </w:rPr>
              <w:t>标</w:t>
            </w:r>
            <w:r>
              <w:rPr>
                <w:rFonts w:hint="eastAsia" w:ascii="宋体" w:hAnsi="宋体" w:eastAsia="宋体" w:cs="宋体"/>
                <w:b w:val="0"/>
                <w:bCs w:val="0"/>
                <w:kern w:val="0"/>
                <w:sz w:val="21"/>
                <w:szCs w:val="21"/>
              </w:rPr>
              <w:t>GB/T 28181和Onvif视频流直存模式；支持iSCSI直存功能，前端网络摄像机和设备之间可直接通过iSCSI协议进行块存储；</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7.支持查看硬盘体检报告、硬盘深度体检和磁盘档案；支持下载单个硬盘或批量硬盘的报告，支持按时间显示硬盘的坏扇区、温度、振动变化趋势的曲线图；可通过硬盘深度体检查看硬盘原始数据读取错误率、上电时间、上电时长计数、意外断电计数、重映射扇区数、磁盘振动等多种硬盘相关健康值；支持查看硬盘体检的历史记录、硬盘健康状态，并对硬盘健康状态进行分级分类，包括健康（良好、正常）、亚健康（警告、即将损坏）、故障（错误、损坏）等；支持硬盘体检报告打印输出；</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8.设备具有多个系统镜像，当主用系统出现故障时，备用系统可接替主用系统工作，且支持通过任一备用系统对原主用系统进行修复</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9.设备支持版本回退功能，在当前版本出现故障或操作失误后，可进行回退到历史版本，回退后录像正常回放，且历史录像完整</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10.支持硬盘灯提示功能。当系统检查到硬盘损坏、坏块太多、读写大量异常或者无法获取硬盘信息等问题，硬盘会被定义为坏盘，通过用户界面硬盘位标识为灰色，硬件上硬盘灯显示为红色长亮；当硬盘指示灯为蓝色时，硬盘状态正常</w:t>
            </w:r>
          </w:p>
          <w:p>
            <w:pPr>
              <w:widowControl/>
              <w:jc w:val="left"/>
              <w:textAlignment w:val="center"/>
              <w:rPr>
                <w:rFonts w:hint="eastAsia" w:ascii="宋体" w:hAnsi="宋体" w:eastAsia="宋体" w:cs="宋体"/>
                <w:b/>
                <w:bCs/>
                <w:kern w:val="0"/>
                <w:sz w:val="21"/>
                <w:szCs w:val="21"/>
              </w:rPr>
            </w:pPr>
            <w:r>
              <w:rPr>
                <w:rFonts w:hint="eastAsia" w:ascii="Calibri" w:hAnsi="Calibri" w:eastAsia="仿宋" w:cs="Times New Roman"/>
                <w:b/>
                <w:bCs/>
                <w:snapToGrid w:val="0"/>
                <w:color w:val="auto"/>
                <w:spacing w:val="0"/>
                <w:kern w:val="0"/>
                <w:sz w:val="24"/>
                <w:szCs w:val="24"/>
                <w:highlight w:val="none"/>
                <w:lang w:val="en-US" w:eastAsia="zh-CN"/>
              </w:rPr>
              <w:t>*</w:t>
            </w:r>
            <w:r>
              <w:rPr>
                <w:rFonts w:hint="eastAsia" w:ascii="宋体" w:hAnsi="宋体" w:eastAsia="宋体" w:cs="宋体"/>
                <w:b w:val="0"/>
                <w:bCs w:val="0"/>
                <w:kern w:val="0"/>
                <w:sz w:val="21"/>
                <w:szCs w:val="21"/>
              </w:rPr>
              <w:t>11.Type-C接口支持为具有该接口外设设备供电和数据传输</w:t>
            </w:r>
            <w:r>
              <w:rPr>
                <w:rFonts w:hint="eastAsia" w:ascii="宋体" w:hAnsi="宋体" w:eastAsia="宋体" w:cs="宋体"/>
                <w:b/>
                <w:bCs/>
                <w:kern w:val="0"/>
                <w:sz w:val="21"/>
                <w:szCs w:val="21"/>
              </w:rPr>
              <w:t>（提供经CMA或CAL或CNAS认证的</w:t>
            </w:r>
            <w:r>
              <w:rPr>
                <w:rFonts w:hint="eastAsia" w:ascii="宋体" w:hAnsi="宋体" w:eastAsia="宋体" w:cs="宋体"/>
                <w:b/>
                <w:bCs/>
                <w:kern w:val="0"/>
                <w:sz w:val="21"/>
                <w:szCs w:val="21"/>
                <w:lang w:val="en-US" w:eastAsia="zh-CN"/>
              </w:rPr>
              <w:t>第</w:t>
            </w:r>
            <w:r>
              <w:rPr>
                <w:rFonts w:hint="eastAsia" w:ascii="宋体" w:hAnsi="宋体" w:eastAsia="宋体" w:cs="宋体"/>
                <w:b/>
                <w:bCs/>
                <w:kern w:val="0"/>
                <w:sz w:val="21"/>
                <w:szCs w:val="21"/>
              </w:rPr>
              <w:t>三方检测检验机构出具的检测报告扫描件）</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12.支持硬盘的多级工作模式，包括性能模式、空闲模式（A\B\C，A：硬盘短时空闲，可以正常响应IO；B：较多空闲，磁头不再移动，硬盘满转；C：硬盘完全空闲，磁头不再移动，硬盘降速）、休眠模式（硬盘不再旋转，新下发IO需要唤醒）</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13.支持内存资源动态调节，根据业务进行自动分配，当业务压力增加时，内存自动分配</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14.支持较小容量SMR硬盘失效后，可用大容量SMR硬盘替换，不影响业务运行；支持不同品牌、不同容量SMR硬盘混合使用，组成raid</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15.可对视音频、图片、结构化数据、对象等文件进行混合存储，并可通过http和https方式下载，支持划分多个对象池，支持对象池的独立循环覆盖，并支持多种操作方式，包括创建、查询、编辑、删除等；支持对象文件下载；支持断点续传下载；支持流式视频文件上传、存储，支持点播回放</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16.支持配置多个录像卷、图片卷、文件卷，支持不同的卷，配置不同的覆盖策略</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17.在web页面可以指定归档路径，支持实时流同时录像和归档，归档的数据可以使用通用播放器播放；归档路径在web页面可以灵活配置，支持多级目录管理模式，针对不同目录，可以配置不同权限；支持视频、图片、文件多种数据类型归档</w:t>
            </w:r>
          </w:p>
          <w:p>
            <w:pPr>
              <w:widowControl/>
              <w:jc w:val="left"/>
              <w:textAlignment w:val="center"/>
              <w:rPr>
                <w:rFonts w:hint="eastAsia" w:ascii="宋体" w:hAnsi="宋体" w:eastAsia="宋体" w:cs="宋体"/>
                <w:b/>
                <w:bCs/>
                <w:kern w:val="0"/>
                <w:sz w:val="21"/>
                <w:szCs w:val="21"/>
              </w:rPr>
            </w:pPr>
            <w:r>
              <w:rPr>
                <w:rFonts w:hint="eastAsia" w:ascii="Calibri" w:hAnsi="Calibri" w:eastAsia="仿宋" w:cs="Times New Roman"/>
                <w:b/>
                <w:bCs/>
                <w:snapToGrid w:val="0"/>
                <w:color w:val="auto"/>
                <w:spacing w:val="0"/>
                <w:kern w:val="0"/>
                <w:sz w:val="24"/>
                <w:szCs w:val="24"/>
                <w:highlight w:val="none"/>
                <w:lang w:val="en-US" w:eastAsia="zh-CN"/>
              </w:rPr>
              <w:t>*</w:t>
            </w:r>
            <w:r>
              <w:rPr>
                <w:rFonts w:hint="eastAsia" w:ascii="宋体" w:hAnsi="宋体" w:eastAsia="宋体" w:cs="宋体"/>
                <w:b w:val="0"/>
                <w:bCs w:val="0"/>
                <w:kern w:val="0"/>
                <w:sz w:val="21"/>
                <w:szCs w:val="21"/>
              </w:rPr>
              <w:t>18.支持页面向导型快速配置，在配置前期，对设备进行全面的检测，包括物理环境，域环境，平台环境进行全面扫描，针对发现的异常，给出对应的提示，会明确指出异常，包括硬盘数量异常、docker服务异常、镜像等情况</w:t>
            </w:r>
            <w:r>
              <w:rPr>
                <w:rFonts w:hint="eastAsia" w:ascii="宋体" w:hAnsi="宋体" w:eastAsia="宋体" w:cs="宋体"/>
                <w:b/>
                <w:bCs/>
                <w:kern w:val="0"/>
                <w:sz w:val="21"/>
                <w:szCs w:val="21"/>
              </w:rPr>
              <w:t>（提供经CMA或CAL或CNAS认证的</w:t>
            </w:r>
            <w:r>
              <w:rPr>
                <w:rFonts w:hint="eastAsia" w:ascii="宋体" w:hAnsi="宋体" w:eastAsia="宋体" w:cs="宋体"/>
                <w:b/>
                <w:bCs/>
                <w:kern w:val="0"/>
                <w:sz w:val="21"/>
                <w:szCs w:val="21"/>
                <w:lang w:val="en-US" w:eastAsia="zh-CN"/>
              </w:rPr>
              <w:t>第</w:t>
            </w:r>
            <w:r>
              <w:rPr>
                <w:rFonts w:hint="eastAsia" w:ascii="宋体" w:hAnsi="宋体" w:eastAsia="宋体" w:cs="宋体"/>
                <w:b/>
                <w:bCs/>
                <w:kern w:val="0"/>
                <w:sz w:val="21"/>
                <w:szCs w:val="21"/>
              </w:rPr>
              <w:t>三方检测检验机构出具的检测报告扫描件）</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19. 支持http和https传输图片，对报文加密传输，到对端之后解密存储；</w:t>
            </w:r>
          </w:p>
          <w:p>
            <w:pPr>
              <w:widowControl/>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注：含16T企业级专用硬盘22块，满足350路2M码流存储30天以上。</w:t>
            </w:r>
          </w:p>
        </w:tc>
        <w:tc>
          <w:tcPr>
            <w:tcW w:w="250"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1</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台</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3"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工业</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货物</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rPr>
            </w:pPr>
            <w:r>
              <w:rPr>
                <w:rFonts w:hint="eastAsia" w:ascii="宋体" w:hAnsi="宋体" w:eastAsia="宋体" w:cs="宋体"/>
                <w:b w:val="0"/>
                <w:bCs w:val="0"/>
                <w:snapToGrid w:val="0"/>
                <w:color w:val="auto"/>
                <w:spacing w:val="0"/>
                <w:kern w:val="0"/>
                <w:sz w:val="21"/>
                <w:szCs w:val="21"/>
                <w:highlight w:val="none"/>
                <w:lang w:val="en-US" w:eastAsia="zh-CN"/>
              </w:rPr>
              <w:t>9</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平台升级扩容</w:t>
            </w:r>
          </w:p>
        </w:tc>
        <w:tc>
          <w:tcPr>
            <w:tcW w:w="2573" w:type="pct"/>
            <w:noWrap w:val="0"/>
            <w:vAlign w:val="center"/>
          </w:tcPr>
          <w:p>
            <w:pPr>
              <w:keepNext w:val="0"/>
              <w:keepLines w:val="0"/>
              <w:pageBreakBefore w:val="0"/>
              <w:widowControl/>
              <w:kinsoku/>
              <w:wordWrap w:val="0"/>
              <w:overflowPunct/>
              <w:topLinePunct w:val="0"/>
              <w:autoSpaceDE/>
              <w:autoSpaceDN/>
              <w:bidi w:val="0"/>
              <w:adjustRightInd/>
              <w:snapToGrid/>
              <w:jc w:val="left"/>
              <w:textAlignment w:val="center"/>
              <w:rPr>
                <w:rFonts w:hint="eastAsia" w:ascii="宋体" w:hAnsi="宋体" w:eastAsia="宋体" w:cs="宋体"/>
                <w:b/>
                <w:bCs/>
                <w:kern w:val="0"/>
                <w:sz w:val="21"/>
                <w:szCs w:val="21"/>
              </w:rPr>
            </w:pPr>
            <w:r>
              <w:rPr>
                <w:rFonts w:hint="eastAsia" w:ascii="Calibri" w:hAnsi="Calibri" w:eastAsia="仿宋" w:cs="Times New Roman"/>
                <w:b/>
                <w:bCs/>
                <w:snapToGrid w:val="0"/>
                <w:color w:val="auto"/>
                <w:spacing w:val="0"/>
                <w:kern w:val="0"/>
                <w:sz w:val="24"/>
                <w:szCs w:val="24"/>
                <w:highlight w:val="none"/>
                <w:lang w:val="en-US" w:eastAsia="zh-CN"/>
              </w:rPr>
              <w:t>*</w:t>
            </w:r>
            <w:r>
              <w:rPr>
                <w:rFonts w:hint="eastAsia" w:ascii="宋体" w:hAnsi="宋体" w:eastAsia="宋体" w:cs="宋体"/>
                <w:b w:val="0"/>
                <w:bCs w:val="0"/>
                <w:kern w:val="0"/>
                <w:sz w:val="21"/>
                <w:szCs w:val="21"/>
              </w:rPr>
              <w:t>1.为保证系统更好的兼容性与稳定性，本次不再新建平台，对学校现有平台进行升级，并扩容</w:t>
            </w:r>
            <w:r>
              <w:rPr>
                <w:rFonts w:hint="eastAsia" w:ascii="宋体" w:hAnsi="宋体" w:eastAsia="宋体" w:cs="宋体"/>
                <w:b/>
                <w:bCs/>
                <w:color w:val="FF0000"/>
                <w:kern w:val="0"/>
                <w:sz w:val="21"/>
                <w:szCs w:val="21"/>
                <w:lang w:val="en-US" w:eastAsia="zh-CN"/>
              </w:rPr>
              <w:t>不低于</w:t>
            </w:r>
            <w:r>
              <w:rPr>
                <w:rFonts w:hint="eastAsia" w:ascii="宋体" w:hAnsi="宋体" w:eastAsia="宋体" w:cs="宋体"/>
                <w:b w:val="0"/>
                <w:bCs w:val="0"/>
                <w:kern w:val="0"/>
                <w:sz w:val="21"/>
                <w:szCs w:val="21"/>
              </w:rPr>
              <w:t>400路监控授权与50路门禁授权</w:t>
            </w:r>
            <w:r>
              <w:rPr>
                <w:rFonts w:hint="eastAsia" w:ascii="宋体" w:hAnsi="宋体" w:eastAsia="宋体" w:cs="宋体"/>
                <w:b w:val="0"/>
                <w:bCs w:val="0"/>
                <w:kern w:val="0"/>
                <w:sz w:val="21"/>
                <w:szCs w:val="21"/>
                <w:lang w:eastAsia="zh-CN"/>
              </w:rPr>
              <w:t>。</w:t>
            </w:r>
            <w:r>
              <w:rPr>
                <w:rFonts w:hint="eastAsia" w:ascii="宋体" w:hAnsi="宋体" w:eastAsia="宋体" w:cs="宋体"/>
                <w:b/>
                <w:bCs/>
                <w:kern w:val="0"/>
                <w:sz w:val="21"/>
                <w:szCs w:val="21"/>
                <w:lang w:eastAsia="zh-CN"/>
              </w:rPr>
              <w:t>（</w:t>
            </w:r>
            <w:r>
              <w:rPr>
                <w:rFonts w:hint="eastAsia" w:ascii="宋体" w:hAnsi="宋体" w:eastAsia="宋体" w:cs="宋体"/>
                <w:b/>
                <w:bCs/>
                <w:kern w:val="0"/>
                <w:szCs w:val="21"/>
              </w:rPr>
              <w:t>提供承诺函并加盖公章，格式自拟）</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2.支持对视频、门禁、停车场、访客等子系统进行报警配置并产生客户端联动、录像联动、云台联动、抓图联动、电视墙联动、IO输出联动、开门联动、短信联动、邮件联动等，并支持模板化联动配置</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3.要求支持对用户、角色、组织、区域、人员、车辆、卡片、设备等基础资源进行统一管理调配</w:t>
            </w:r>
          </w:p>
          <w:p>
            <w:pPr>
              <w:widowControl/>
              <w:jc w:val="left"/>
              <w:textAlignment w:val="center"/>
              <w:rPr>
                <w:rFonts w:hint="eastAsia" w:ascii="宋体" w:hAnsi="宋体" w:eastAsia="宋体" w:cs="宋体"/>
                <w:b/>
                <w:bCs/>
                <w:kern w:val="0"/>
                <w:sz w:val="21"/>
                <w:szCs w:val="21"/>
              </w:rPr>
            </w:pPr>
            <w:r>
              <w:rPr>
                <w:rFonts w:hint="eastAsia" w:ascii="Calibri" w:hAnsi="Calibri" w:eastAsia="仿宋" w:cs="Times New Roman"/>
                <w:b/>
                <w:bCs/>
                <w:snapToGrid w:val="0"/>
                <w:color w:val="auto"/>
                <w:spacing w:val="0"/>
                <w:kern w:val="0"/>
                <w:sz w:val="24"/>
                <w:szCs w:val="24"/>
                <w:highlight w:val="none"/>
                <w:lang w:val="en-US" w:eastAsia="zh-CN"/>
              </w:rPr>
              <w:t>*</w:t>
            </w:r>
            <w:r>
              <w:rPr>
                <w:rFonts w:hint="eastAsia" w:ascii="宋体" w:hAnsi="宋体" w:eastAsia="宋体" w:cs="宋体"/>
                <w:b w:val="0"/>
                <w:bCs w:val="0"/>
                <w:kern w:val="0"/>
                <w:sz w:val="21"/>
                <w:szCs w:val="21"/>
              </w:rPr>
              <w:t>4.要求支持导航视图管理，对系统内各节点进行查看、增加、删除、修改，展示、查找；支持对系统内所有服务器进行监控，包括名称、IP地址、状态、未处理告警数、CPU使用率、内存使用率、磁盘容量等；支持对系统内所有组件信息进行监控，组件信息包含：组件名称、未处理告警数、所属服务器、最近操作时间、授权状态、维保期限、使用期限等</w:t>
            </w:r>
            <w:r>
              <w:rPr>
                <w:rFonts w:hint="eastAsia" w:ascii="宋体" w:hAnsi="宋体" w:eastAsia="宋体" w:cs="宋体"/>
                <w:b/>
                <w:bCs/>
                <w:kern w:val="0"/>
                <w:sz w:val="21"/>
                <w:szCs w:val="21"/>
              </w:rPr>
              <w:t>（提供经CMA或CAL或CNAS认证的</w:t>
            </w:r>
            <w:r>
              <w:rPr>
                <w:rFonts w:hint="eastAsia" w:ascii="宋体" w:hAnsi="宋体" w:eastAsia="宋体" w:cs="宋体"/>
                <w:b/>
                <w:bCs/>
                <w:kern w:val="0"/>
                <w:sz w:val="21"/>
                <w:szCs w:val="21"/>
                <w:lang w:val="en-US" w:eastAsia="zh-CN"/>
              </w:rPr>
              <w:t>第</w:t>
            </w:r>
            <w:r>
              <w:rPr>
                <w:rFonts w:hint="eastAsia" w:ascii="宋体" w:hAnsi="宋体" w:eastAsia="宋体" w:cs="宋体"/>
                <w:b/>
                <w:bCs/>
                <w:kern w:val="0"/>
                <w:sz w:val="21"/>
                <w:szCs w:val="21"/>
              </w:rPr>
              <w:t>三方检测检验机构出具的检测报告扫描件）</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5.要求能按照指定设备、指定通道进行图像的实时点播，支持点播图像的显示、缩放、抓拍和录像，支持多用户对同一图像资源的同时点播，支持基于GIS地图的图像点播</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6.要求支持按时间、监控点、录像存储方式检索录像；客户端回放支持1/4/6/7/9/16画面分隔模式及全屏显示；支持单帧回放、播放速度控制（1/16、1/8、1/4、1/2、1、2、4、8、16倍速）、同步回放、异步回放</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7.支持多种智能应用模式：支持前端比对或后端比对两种模式；支持签到和考勤两种应用方案，支持宿管考勤规则设置及节假日设置。</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8.支持数据权限控制功能：可对不同部门、班级管理人员分配不同的数据查看权限；一键入住：可批量导入入住，支持调宿</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9.支持宿管异常预警：查询多日无人脸识别通行记录人员信息、陌生人告警记录</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10.支持车辆检索：基于系统基础数据，根据车牌等查询车辆的车主、联系方式、车牌类型、车辆类型等信息</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11.支持地图上资源点的搜索，实现在地图上资源的快速定位</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12.要求支持对重点人员识别，处于重点人员名单内的人脸出现时，系统自动报警，支持对陌生人识别，人脸不在名单内时，系统自动报警</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13.要求支持以脸搜脸，对人脸图片进行检索，检索结果支持列表模式和地图模式，地图模式可以按照时间顺序形成人脸轨迹，用于描述目标人员在该区域的移动路线</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14.支持门禁权限配置和下发；支持卡（含身份证）、人脸、指纹、卡密码等凭证单独或组合使用的认证方式</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15.支持访客二维码、身份证、IC卡、人脸等多种介质授权通行门禁、停车场；支持访客身份证人证合一验证</w:t>
            </w:r>
          </w:p>
          <w:p>
            <w:pPr>
              <w:widowControl/>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16.支持多种记录查询包括：过车记录、停车记录、场内车辆记录、充值退款记录、临时车缴费记录、优惠券记录、预约记录、班次记录等；查询结果支持列表和图片两种方式展示</w:t>
            </w:r>
          </w:p>
        </w:tc>
        <w:tc>
          <w:tcPr>
            <w:tcW w:w="250"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1</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套</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3"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工业</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货物</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rPr>
            </w:pPr>
            <w:r>
              <w:rPr>
                <w:rFonts w:hint="eastAsia" w:ascii="宋体" w:hAnsi="宋体" w:eastAsia="宋体" w:cs="宋体"/>
                <w:b w:val="0"/>
                <w:bCs w:val="0"/>
                <w:snapToGrid w:val="0"/>
                <w:color w:val="auto"/>
                <w:spacing w:val="0"/>
                <w:kern w:val="0"/>
                <w:sz w:val="21"/>
                <w:szCs w:val="21"/>
                <w:highlight w:val="none"/>
                <w:lang w:val="en-US" w:eastAsia="zh-CN"/>
              </w:rPr>
              <w:t>10</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人脸识别门禁边机</w:t>
            </w:r>
          </w:p>
        </w:tc>
        <w:tc>
          <w:tcPr>
            <w:tcW w:w="2573" w:type="pct"/>
            <w:noWrap w:val="0"/>
            <w:vAlign w:val="center"/>
          </w:tcPr>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1.闸机通道应为摆闸支持室外环境使用，采用直流无刷伺服电机，编码器及行星减速箱</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2.闸机通道主机应支持不少于6.3万卡片管理和18万事件记录存储</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3.闸机无故障运行次数不低于1200万次</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4.闸机通道外壳对外界机械碰撞的防护等级最薄弱处不低于IK05要求，其他表面不低于IK07要求</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5.闸机箱体厚度不低于1.5mm的不锈钢板材，不少于20对红外对射，通道宽度满足550mm—1100mm可选</w:t>
            </w:r>
          </w:p>
          <w:p>
            <w:pPr>
              <w:widowControl/>
              <w:jc w:val="left"/>
              <w:textAlignment w:val="center"/>
              <w:rPr>
                <w:rFonts w:hint="eastAsia" w:ascii="宋体" w:hAnsi="宋体" w:eastAsia="宋体" w:cs="宋体"/>
                <w:b/>
                <w:bCs/>
                <w:kern w:val="0"/>
                <w:sz w:val="21"/>
                <w:szCs w:val="21"/>
              </w:rPr>
            </w:pPr>
            <w:r>
              <w:rPr>
                <w:rFonts w:hint="eastAsia" w:ascii="Calibri" w:hAnsi="Calibri" w:eastAsia="仿宋" w:cs="Times New Roman"/>
                <w:b/>
                <w:bCs/>
                <w:snapToGrid w:val="0"/>
                <w:color w:val="auto"/>
                <w:spacing w:val="0"/>
                <w:kern w:val="0"/>
                <w:sz w:val="24"/>
                <w:szCs w:val="24"/>
                <w:highlight w:val="none"/>
                <w:lang w:val="en-US" w:eastAsia="zh-CN"/>
              </w:rPr>
              <w:t>*</w:t>
            </w:r>
            <w:r>
              <w:rPr>
                <w:rFonts w:hint="eastAsia" w:ascii="宋体" w:hAnsi="宋体" w:eastAsia="宋体" w:cs="宋体"/>
                <w:b w:val="0"/>
                <w:bCs w:val="0"/>
                <w:kern w:val="0"/>
                <w:sz w:val="21"/>
                <w:szCs w:val="21"/>
              </w:rPr>
              <w:t>6.闸机通道物理接口应满足同时可接入RS485 和wiegand 接口的读卡器，同时具备TCP/IP接口不少于1个，单独232接口不少于3个，RS485/RS232可切换通讯接口不少于5个，事件输入接口不少于4个，报警输出接口不少于4个，开门按钮接口不少于2个，电锁输出接口不少于2个，CAN接口不少于2个</w:t>
            </w:r>
            <w:r>
              <w:rPr>
                <w:rFonts w:hint="eastAsia" w:ascii="宋体" w:hAnsi="宋体" w:eastAsia="宋体" w:cs="宋体"/>
                <w:b/>
                <w:bCs/>
                <w:kern w:val="0"/>
                <w:sz w:val="21"/>
                <w:szCs w:val="21"/>
              </w:rPr>
              <w:t>（提供经CMA或CAL或CNAS认证的</w:t>
            </w:r>
            <w:r>
              <w:rPr>
                <w:rFonts w:hint="eastAsia" w:ascii="宋体" w:hAnsi="宋体" w:eastAsia="宋体" w:cs="宋体"/>
                <w:b/>
                <w:bCs/>
                <w:kern w:val="0"/>
                <w:sz w:val="21"/>
                <w:szCs w:val="21"/>
                <w:lang w:val="en-US" w:eastAsia="zh-CN"/>
              </w:rPr>
              <w:t>第</w:t>
            </w:r>
            <w:r>
              <w:rPr>
                <w:rFonts w:hint="eastAsia" w:ascii="宋体" w:hAnsi="宋体" w:eastAsia="宋体" w:cs="宋体"/>
                <w:b/>
                <w:bCs/>
                <w:kern w:val="0"/>
                <w:sz w:val="21"/>
                <w:szCs w:val="21"/>
              </w:rPr>
              <w:t>三方检测检验机构出具的检测报告扫描件）</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7.闸机通道门翼开/关速度至少支持10档可调，开门速度＜0.5 s</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8.闸机通道应满足防冲要求，处于关门状态时门翼锁死，如果检测到外力冲撞，除了联动语音播报、指示灯等警示外，需同时上传对应的报警事件。在门翼受到撞击后，需快速恢复到正常状态，时间＜3.5s</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9.闸机通道认证通行应支持根据不同场景的权限管理有不同的开启方式，二维码开门、面部识别开门、支持普通卡、来宾卡、胁迫卡等多类型用户权限设置</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10.闸机通道应集成语音模块，可满足根据用户需求自定义语音播报内容，同时可设置联动语音提示</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11.闸机通道应支持每天不少于8个时间段的常开/常闭管控，设置某时段的通道为常开或常闭，方便管理，同时应支持按时间分时段管控门禁权限，支持不少于128个周计划、不少于1024个节假日、不少于64个假日组、不少于255个计划模板</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12.闸机通道功能应满足单通道反潜回、多通道跨主机反潜回的功能，当检测到任意一种反潜回报警时，除了联动语音播报、指示灯等警示外，需同时上传对应的报警事件，有效防止非授权人员非法入侵。</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13.闸机通道应具备允许通行、禁止通行检查功能，没有经管理人员授权的人员闯入时能够警示</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14.闸机通道应支持翻越报警的功能，当检测到有人翻越时，可联动语音播报、指示灯等警示，同时可上传报警事件</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15.闸机通道应支持滞留报警、反向闯入报警、通行超时报警、误闯报警等功能，除了联动语音播报、指示灯等警示外，需同时上传对应的报警事件</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16.闸机通道应支持防尾随功能，在通道中同时通行人数超过允许通行的人数时，除了联动语音播报、指示灯等警示外，需同时上传对应的报警事件，减小检测距离不大于30mm</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17.闸机通道应具备应急放行的功能，支持断电自动开门功能和消防联动开门功能</w:t>
            </w:r>
          </w:p>
          <w:p>
            <w:pPr>
              <w:widowControl/>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18.闸机通道应具备防夹保护的功能，在门翼动作过程中遇到阻力时门翼应自动停止动作，除了联动语音播报、指示灯等警示外，需同时上传对应的报警事件。人员通行时，红外检测到人员在非安全区域，门翼自动停止动作，人员离开通道后，门翼自动复位。</w:t>
            </w:r>
          </w:p>
        </w:tc>
        <w:tc>
          <w:tcPr>
            <w:tcW w:w="250"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8</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台</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3"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工业</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货物</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rPr>
            </w:pPr>
            <w:r>
              <w:rPr>
                <w:rFonts w:hint="eastAsia" w:ascii="宋体" w:hAnsi="宋体" w:eastAsia="宋体" w:cs="宋体"/>
                <w:b w:val="0"/>
                <w:bCs w:val="0"/>
                <w:snapToGrid w:val="0"/>
                <w:color w:val="auto"/>
                <w:spacing w:val="0"/>
                <w:kern w:val="0"/>
                <w:sz w:val="21"/>
                <w:szCs w:val="21"/>
                <w:highlight w:val="none"/>
                <w:lang w:val="en-US" w:eastAsia="zh-CN"/>
              </w:rPr>
              <w:t>11</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▲人脸识别门禁中间机</w:t>
            </w:r>
          </w:p>
        </w:tc>
        <w:tc>
          <w:tcPr>
            <w:tcW w:w="2573" w:type="pct"/>
            <w:noWrap w:val="0"/>
            <w:vAlign w:val="center"/>
          </w:tcPr>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1.闸机通道应为摆闸支持室外环境使用，采用直流无刷伺服电机，编码器及行星减速箱</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2.闸机通道主机应支持不少于6.3万卡片管理和18万事件记录存储</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3.闸机无故障运行次数不低于1200万次</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4.闸机通道外壳对外界机械碰撞的防护等级最薄弱处不低于IK05要求，其他表面不低于IK07要求</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5.闸机箱体厚度不低于1.5mm的不锈钢板材，不少于20对红外对射，通道宽度满足550mm—1100mm可选</w:t>
            </w:r>
          </w:p>
          <w:p>
            <w:pPr>
              <w:widowControl/>
              <w:jc w:val="left"/>
              <w:textAlignment w:val="center"/>
              <w:rPr>
                <w:rFonts w:hint="eastAsia" w:ascii="宋体" w:hAnsi="宋体" w:eastAsia="宋体" w:cs="宋体"/>
                <w:b/>
                <w:bCs/>
                <w:kern w:val="0"/>
                <w:sz w:val="21"/>
                <w:szCs w:val="21"/>
              </w:rPr>
            </w:pPr>
            <w:r>
              <w:rPr>
                <w:rFonts w:hint="eastAsia" w:ascii="Calibri" w:hAnsi="Calibri" w:eastAsia="宋体" w:cs="Times New Roman"/>
                <w:szCs w:val="22"/>
                <w:lang w:val="en-US" w:eastAsia="zh-CN"/>
              </w:rPr>
              <w:t>*</w:t>
            </w:r>
            <w:r>
              <w:rPr>
                <w:rFonts w:hint="eastAsia" w:ascii="宋体" w:hAnsi="宋体" w:eastAsia="宋体" w:cs="宋体"/>
                <w:b w:val="0"/>
                <w:bCs w:val="0"/>
                <w:kern w:val="0"/>
                <w:sz w:val="21"/>
                <w:szCs w:val="21"/>
              </w:rPr>
              <w:t>6.闸机通道物理接口应满足同时可接入RS485 和wiegand 接口的读卡器，同时具备TCP/IP接口不少于1个，单独232接口不少于3个，RS485/RS232可切换通讯接口不少于5个，事件输入接口不少于4个，报警输出接口不少于4个，开门按钮接口不少于2个，电锁输出接口不少于2个，CAN接口不少于2个</w:t>
            </w:r>
            <w:r>
              <w:rPr>
                <w:rFonts w:hint="eastAsia" w:ascii="宋体" w:hAnsi="宋体" w:eastAsia="宋体" w:cs="宋体"/>
                <w:b/>
                <w:bCs/>
                <w:kern w:val="0"/>
                <w:sz w:val="21"/>
                <w:szCs w:val="21"/>
              </w:rPr>
              <w:t>（提供经CMA或CAL或CNAS认证的</w:t>
            </w:r>
            <w:r>
              <w:rPr>
                <w:rFonts w:hint="eastAsia" w:ascii="宋体" w:hAnsi="宋体" w:eastAsia="宋体" w:cs="宋体"/>
                <w:b/>
                <w:bCs/>
                <w:kern w:val="0"/>
                <w:sz w:val="21"/>
                <w:szCs w:val="21"/>
                <w:lang w:val="en-US" w:eastAsia="zh-CN"/>
              </w:rPr>
              <w:t>第</w:t>
            </w:r>
            <w:r>
              <w:rPr>
                <w:rFonts w:hint="eastAsia" w:ascii="宋体" w:hAnsi="宋体" w:eastAsia="宋体" w:cs="宋体"/>
                <w:b/>
                <w:bCs/>
                <w:kern w:val="0"/>
                <w:sz w:val="21"/>
                <w:szCs w:val="21"/>
              </w:rPr>
              <w:t>三方检测检验机构出具的检测报告扫描件）</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7.闸机通道门翼开/关速度至少支持10档可调，开门速度＜0.5 s；</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8.闸机通道应满足防冲要求，处于关门状态时门翼锁死，如果检测到外力冲撞，除了联动语音播报、指示灯等警示外，需同时上传对应的报警事件。在门翼受到撞击后，需快速恢复到正常状态，时间＜3.5s</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9.闸机通道认证通行应支持根据不同场景的权限管理有不同的开启方式，二维码开门、面部识别开门、支持普通卡、来宾卡、胁迫卡等多类型用户权限设置</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10.闸机通道应集成语音模块，可满足根据用户需求自定义语音播报内容，同时可设置联动语音提示</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11.闸机通道应支持每天不少于8个时间段的常开/常闭管控，设置某时段的通道为常开或常闭，方便管理，同时应支持按时间分时段管控门禁权限，支持不少于128个周计划、不少于1024个节假日、不少于64个假日组、不少于255个计划模板</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12.闸机通道功能应满足单通道反潜回、多通道跨主机反潜回的功能，当检测到任意一种反潜回报警时，除了联动语音播报、指示灯等警示外，需同时上传对应的报警事件，有效防止非授权人员非法入侵。</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13.闸机通道应具备允许通行、禁止通行检查功能，没有经管理人员授权的人员闯入时能够警示</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14.闸机通道应支持翻越报警的功能，当检测到有人翻越时，可联动语音播报、指示灯等警示，同时可上传报警事件</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15.闸机通道应支持滞留报警、反向闯入报警、通行超时报警、误闯报警等功能，除了联动语音播报、指示灯等警示外，需同时上传对应的报警事件</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16.闸机通道应支持防尾随功能，在通道中同时通行人数超过允许通行的人数时，除了联动语音播报、指示灯等警示外，需同时上传对应的报警事件，减小检测距离不大于30mm</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17.闸机通道应具备应急放行的功能，支持断电自动开门功能和消防联动开门功能</w:t>
            </w:r>
          </w:p>
          <w:p>
            <w:pPr>
              <w:widowControl/>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18.闸机通道应具备防夹保护的功能，在门翼动作过程中遇到阻力时门翼应自动停止动作，除了联动语音播报、指示灯等警示外，需同时上传对应的报警事件。人员通行时，红外检测到人员在非安全区域，门翼自动停止动作，人员离开通道后，门翼自动复位。</w:t>
            </w:r>
          </w:p>
        </w:tc>
        <w:tc>
          <w:tcPr>
            <w:tcW w:w="250"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7</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台</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3"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工业</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货物</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rPr>
            </w:pPr>
            <w:r>
              <w:rPr>
                <w:rFonts w:hint="eastAsia" w:ascii="宋体" w:hAnsi="宋体" w:eastAsia="宋体" w:cs="宋体"/>
                <w:b w:val="0"/>
                <w:bCs w:val="0"/>
                <w:snapToGrid w:val="0"/>
                <w:color w:val="auto"/>
                <w:spacing w:val="0"/>
                <w:kern w:val="0"/>
                <w:sz w:val="21"/>
                <w:szCs w:val="21"/>
                <w:highlight w:val="none"/>
                <w:lang w:val="en-US" w:eastAsia="zh-CN"/>
              </w:rPr>
              <w:t>12</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人脸识别组件-闸机装</w:t>
            </w:r>
          </w:p>
        </w:tc>
        <w:tc>
          <w:tcPr>
            <w:tcW w:w="2573" w:type="pct"/>
            <w:noWrap w:val="0"/>
            <w:vAlign w:val="center"/>
          </w:tcPr>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1.10 英寸 LCD 触摸显示屏，2.5D钢化玻璃显示屏面板，屏幕支持多点触控操作，流明度不低于350cd/㎡；分辨率不小于600×1024，防破坏能力满足IK04的要求，设备的结构后壳防破坏能力应满足IK07的要求，配置防护罩。</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2.设备应采用嵌入式Linux系统；采用双目宽动态相机，最大分辨率：1920×1080，应适应强光、逆光、暗光环境条件的人脸识别。</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3.设备本地人脸库存储容量50000张，本地卡存储容量50000张，本地出入记录存储容量100000条。</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4.设备口罩佩戴监测功能：设备应支持口罩佩戴监测模式并提示未佩戴口罩，应能配置提醒模式、强制模式；提醒模式：未佩戴口罩时，应能做身份验证及考勤签到，身份验证通过后提醒佩戴口罩；强制模式：未佩戴口罩时，应无法做身份验证，并提醒佩戴口罩；设备应支持佩戴口罩情况下的人脸识别功能。</w:t>
            </w:r>
          </w:p>
          <w:p>
            <w:pPr>
              <w:widowControl/>
              <w:jc w:val="left"/>
              <w:textAlignment w:val="center"/>
              <w:rPr>
                <w:rFonts w:hint="eastAsia" w:ascii="宋体" w:hAnsi="宋体" w:eastAsia="宋体" w:cs="宋体"/>
                <w:b/>
                <w:bCs/>
                <w:kern w:val="0"/>
                <w:sz w:val="21"/>
                <w:szCs w:val="21"/>
              </w:rPr>
            </w:pPr>
            <w:r>
              <w:rPr>
                <w:rFonts w:hint="eastAsia" w:ascii="Calibri" w:hAnsi="Calibri" w:eastAsia="仿宋" w:cs="Times New Roman"/>
                <w:b/>
                <w:bCs/>
                <w:snapToGrid w:val="0"/>
                <w:color w:val="auto"/>
                <w:spacing w:val="0"/>
                <w:kern w:val="0"/>
                <w:sz w:val="24"/>
                <w:szCs w:val="24"/>
                <w:highlight w:val="none"/>
                <w:lang w:val="en-US" w:eastAsia="zh-CN"/>
              </w:rPr>
              <w:t>*</w:t>
            </w:r>
            <w:r>
              <w:rPr>
                <w:rFonts w:hint="eastAsia" w:ascii="宋体" w:hAnsi="宋体" w:eastAsia="宋体" w:cs="宋体"/>
                <w:b w:val="0"/>
                <w:bCs w:val="0"/>
                <w:kern w:val="0"/>
                <w:sz w:val="21"/>
                <w:szCs w:val="21"/>
              </w:rPr>
              <w:t>5.设备具有丰富的硬件接口，应不少于以下硬件接口及能力：LAN 、 WIFI 双 网 络 ， 支 持 同 时 连 接（10M/100M/1000M 自适应）；RS485*1；韦根*1；USB*1；喇叭扬声器；门锁I/O输出*1； 门磁I/O输入*1；报警I/O输出*1；事件 I/O 输入*2；PSAM*1；红绿双色LED 状态灯提示结果输出接口；机械防拆开关*1。</w:t>
            </w:r>
            <w:r>
              <w:rPr>
                <w:rFonts w:hint="eastAsia" w:ascii="宋体" w:hAnsi="宋体" w:eastAsia="宋体" w:cs="宋体"/>
                <w:b/>
                <w:bCs/>
                <w:kern w:val="0"/>
                <w:sz w:val="21"/>
                <w:szCs w:val="21"/>
              </w:rPr>
              <w:t>（提供经CMA或CAL或CNAS认证的</w:t>
            </w:r>
            <w:r>
              <w:rPr>
                <w:rFonts w:hint="eastAsia" w:ascii="宋体" w:hAnsi="宋体" w:eastAsia="宋体" w:cs="宋体"/>
                <w:b/>
                <w:bCs/>
                <w:kern w:val="0"/>
                <w:sz w:val="21"/>
                <w:szCs w:val="21"/>
                <w:lang w:val="en-US" w:eastAsia="zh-CN"/>
              </w:rPr>
              <w:t>第</w:t>
            </w:r>
            <w:r>
              <w:rPr>
                <w:rFonts w:hint="eastAsia" w:ascii="宋体" w:hAnsi="宋体" w:eastAsia="宋体" w:cs="宋体"/>
                <w:b/>
                <w:bCs/>
                <w:kern w:val="0"/>
                <w:sz w:val="21"/>
                <w:szCs w:val="21"/>
              </w:rPr>
              <w:t>三方检测检验机构出具的检测报告扫描件）</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6.设备支持通过WEB进行设备信息查询；支持通过WEB进行用户信息管理；支持通过WEB进行设备时间管理；支持通过WEB进行系统维护；支持通过WEB进行安全操作管理；支持通过WEB进行人脸、指纹等技术参数配置；支持通过WEB进行图像参数配置。</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7.设备支持在 0.001lux 低照度无补光环境下正常实现人脸识别；人脸比对时间：＜175ms；最大人脸识别距离：＞3m；最小人脸识别距离：＜0.2m；人脸识别误识率≤0.01%的条件下，准确率应大于99.9%；支持防假体攻击功能，对视频、电子照片、打印照片中的人脸应不能进行人脸识别。</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8.设备应支持人脸、二维码、密码识读和人证比对功能，对门的开启方式，卡（人脸、密码）的各种使用权限进行组合设置，实现不同场景的权限管理：（多重卡认证开门、多重卡+中心远程认证开门、多重卡+超级密码开门、多重卡+超级卡开门、首卡开门、超级权限开门、管理中心远程开门、APP 远程开门、室内机及管理机远程开门）；设备支持普通卡、来宾卡、胁迫卡、超级卡、巡更卡、黑名单卡等多种类型用户权限设置；支持按时间分时段管控门禁权限，支持 255组时段计划管理，支持 1024 个假日计划管理；支持常开、常闭时段管理；支持反潜回（防尾随）功能。</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9.设备支持多种人脸注册方式：设备本地人脸注册；本地U盘导入人员信息； 远程中心下发人脸；支持包括不限于APP、H5，集成入学校智慧校园平台进行采集人脸并注册下发。</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10.设备支持局域网、互联网环境的网络通信；支持选择无线网络通信传输方式；支持云平台通信，实现视频、对讲及权限管控功能；支持被 4 个客户端软件同时实时监听，在线状态下实时上传比对记录。</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11.设备支持与平台或客户端、室内机、管理机、手机 APP 对讲功能；支持扩展电话网关功能；设备支持管理中心远程视频预览功能； 支持接入NVR设备，实现视频监控录像 。</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12.设备支持中心下发黑名单信息；支持本地黑名单信息比对；支持本地黑名单事件报警功能，报警信息能上传至平台；最大支持50000 个人脸黑名单比对。</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13.设备支持不开启白光补光灯实现人脸识别；支持软硬件低功耗管理模式，设备运行功耗低于 6w。</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14.设备具备以下报警功能：（当连续若干次在目标信息识读设备或管理/控制部分上实施错误操作时；当未使用授权的钥匙而强行通过出入口时；未经正常操作而使出入口开启时；出入口开启时间超过设定值时；设备被拆除时；胁迫码；黑名单）；设备具有 2 路入侵探测接口，能联动报警输出；设备支持未授权人员刷人脸时，设备能支持抓拍图片并实时上报平台预警。</w:t>
            </w:r>
          </w:p>
          <w:p>
            <w:pPr>
              <w:widowControl/>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15.  适用温度范围：-40℃至80℃、2h；恒温湿热+40℃±2℃、RH93%、48h。</w:t>
            </w:r>
          </w:p>
        </w:tc>
        <w:tc>
          <w:tcPr>
            <w:tcW w:w="250"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10</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个</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3"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工业</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货物</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rPr>
            </w:pPr>
            <w:r>
              <w:rPr>
                <w:rFonts w:hint="eastAsia" w:ascii="宋体" w:hAnsi="宋体" w:eastAsia="宋体" w:cs="宋体"/>
                <w:b w:val="0"/>
                <w:bCs w:val="0"/>
                <w:snapToGrid w:val="0"/>
                <w:color w:val="auto"/>
                <w:spacing w:val="0"/>
                <w:kern w:val="0"/>
                <w:sz w:val="21"/>
                <w:szCs w:val="21"/>
                <w:highlight w:val="none"/>
                <w:lang w:val="en-US" w:eastAsia="zh-CN"/>
              </w:rPr>
              <w:t>13</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人脸识别组件-立柱装</w:t>
            </w:r>
          </w:p>
        </w:tc>
        <w:tc>
          <w:tcPr>
            <w:tcW w:w="2573" w:type="pct"/>
            <w:noWrap w:val="0"/>
            <w:vAlign w:val="center"/>
          </w:tcPr>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1.设备外观：采用</w:t>
            </w:r>
            <w:r>
              <w:rPr>
                <w:rFonts w:hint="eastAsia" w:ascii="宋体" w:hAnsi="宋体" w:eastAsia="宋体" w:cs="宋体"/>
                <w:b/>
                <w:bCs/>
                <w:color w:val="FF0000"/>
                <w:kern w:val="0"/>
                <w:sz w:val="21"/>
                <w:szCs w:val="21"/>
                <w:lang w:val="en-US" w:eastAsia="zh-CN"/>
              </w:rPr>
              <w:t>不低于</w:t>
            </w:r>
            <w:r>
              <w:rPr>
                <w:rFonts w:hint="eastAsia" w:ascii="宋体" w:hAnsi="宋体" w:eastAsia="宋体" w:cs="宋体"/>
                <w:b w:val="0"/>
                <w:bCs w:val="0"/>
                <w:kern w:val="0"/>
                <w:sz w:val="21"/>
                <w:szCs w:val="21"/>
              </w:rPr>
              <w:t>10.1英寸LCD触摸显示屏；200万像素双目宽动态摄像头；采用星光级图像传感器，可适应夜间低照度环境；人脸识别距离可大于2m，支持照片视频防假；含立柱支架；</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2.设备容量：支持≥50000张人脸白名单，1：N人脸比对时间≤0.2s/人；支持100000笔记录存储；</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3.认证方式：支持人脸识别，支持刷卡、刷卡+人脸、人证比对、自动模式（人脸、人证自动切换）；支持身份证阅读器组件；</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4.通讯方式：上行通讯为TCP/IP；支持WIFI传输；</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5.视频对讲：支持视频语音对讲功能；可接NVR，支持视频预览；</w:t>
            </w:r>
          </w:p>
          <w:p>
            <w:pPr>
              <w:widowControl/>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6.设备接口： LAN*1；RS485*1；韦根*1；USB *1；门磁*1、开门按钮*1、报警输入*2；电锁*1、报警输出*1；</w:t>
            </w:r>
          </w:p>
        </w:tc>
        <w:tc>
          <w:tcPr>
            <w:tcW w:w="250"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6</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个</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3"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工业</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货物</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rPr>
            </w:pPr>
            <w:r>
              <w:rPr>
                <w:rFonts w:hint="eastAsia" w:ascii="宋体" w:hAnsi="宋体" w:eastAsia="宋体" w:cs="宋体"/>
                <w:b w:val="0"/>
                <w:bCs w:val="0"/>
                <w:snapToGrid w:val="0"/>
                <w:color w:val="auto"/>
                <w:spacing w:val="0"/>
                <w:kern w:val="0"/>
                <w:sz w:val="21"/>
                <w:szCs w:val="21"/>
                <w:highlight w:val="none"/>
                <w:lang w:val="en-US" w:eastAsia="zh-CN"/>
              </w:rPr>
              <w:t>14</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车辆抓拍一体机</w:t>
            </w:r>
          </w:p>
        </w:tc>
        <w:tc>
          <w:tcPr>
            <w:tcW w:w="2573" w:type="pct"/>
            <w:noWrap w:val="0"/>
            <w:vAlign w:val="center"/>
          </w:tcPr>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1.高速车牌识别道闸一体机集成500W实时识别高清摄像机、高速道闸、18.5寸LCD 显示屏、微波车检、闪光灯等为一体。可在各种光线、天气、道路等环境下应用；车牌识别率稳定在 99.9% 以上；金色或银色外观，美观大方；0.6 秒高速道闸，快速通行；LCD 屏既可扫码付，还可播放广告。</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2.铝合金外壳：主体采用铝合金开模制作，先进表面处理技术，金色或银色外观，美观大方；机箱采用厚度不低于2.3mm和抗拉强度不小于345Mpa的钢板制成</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3.高速抬杆：自主研发直流变频技术，高速抬杆 0.6 秒（3 米直杆），可分别调节抬杆落杆速度，高速抬杆快速通行，慢速落杆确保安全；</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4.高速识别：具有多种车牌类型的准确认定，包括：蓝牌、绿牌（新能源车）黄牌、军车、警车、WJ车辆、个性化车牌、使领馆车牌、省港两地车牌等。可以解决夜晚大灯情况，及雨雪干扰情况，各种环境下识别率稳定在 99.9%以上；</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5.具有联网、可脱机工作的功能，脱机状态下事件记录数为3万条，用户数为3万条。</w:t>
            </w:r>
          </w:p>
          <w:p>
            <w:pPr>
              <w:widowControl/>
              <w:jc w:val="left"/>
              <w:textAlignment w:val="center"/>
              <w:rPr>
                <w:rFonts w:hint="eastAsia" w:ascii="宋体" w:hAnsi="宋体" w:eastAsia="宋体" w:cs="宋体"/>
                <w:b/>
                <w:bCs/>
                <w:kern w:val="0"/>
                <w:sz w:val="21"/>
                <w:szCs w:val="21"/>
              </w:rPr>
            </w:pPr>
            <w:r>
              <w:rPr>
                <w:rFonts w:hint="eastAsia" w:ascii="Calibri" w:hAnsi="Calibri" w:eastAsia="宋体" w:cs="Times New Roman"/>
                <w:szCs w:val="22"/>
                <w:lang w:val="en-US" w:eastAsia="zh-CN"/>
              </w:rPr>
              <w:t xml:space="preserve">* </w:t>
            </w:r>
            <w:r>
              <w:rPr>
                <w:rFonts w:hint="eastAsia" w:ascii="宋体" w:hAnsi="宋体" w:eastAsia="宋体" w:cs="宋体"/>
                <w:b w:val="0"/>
                <w:bCs w:val="0"/>
                <w:kern w:val="0"/>
                <w:sz w:val="21"/>
                <w:szCs w:val="21"/>
              </w:rPr>
              <w:t>6.LCD屏的彩色水平分辨率不应低于500TVL；彩色灰度等级不低于10级</w:t>
            </w:r>
            <w:r>
              <w:rPr>
                <w:rFonts w:hint="eastAsia" w:ascii="宋体" w:hAnsi="宋体" w:eastAsia="宋体" w:cs="宋体"/>
                <w:b/>
                <w:bCs/>
                <w:kern w:val="0"/>
                <w:sz w:val="21"/>
                <w:szCs w:val="21"/>
              </w:rPr>
              <w:t>（提供具有CMA或CAL或CNAS认证章的第三方权威机构检验报告证明）</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7.LCD 广告屏：采用不小于18寸的 LCD 显示屏，可播放视频广告和图片广告、车辆照片识别结果、收费金额、二维码、限行提示、物业信息等；</w:t>
            </w:r>
          </w:p>
          <w:p>
            <w:pPr>
              <w:widowControl/>
              <w:jc w:val="left"/>
              <w:textAlignment w:val="center"/>
              <w:rPr>
                <w:rFonts w:hint="eastAsia" w:ascii="宋体" w:hAnsi="宋体" w:eastAsia="宋体" w:cs="宋体"/>
                <w:b/>
                <w:bCs/>
                <w:kern w:val="0"/>
                <w:sz w:val="21"/>
                <w:szCs w:val="21"/>
              </w:rPr>
            </w:pPr>
            <w:r>
              <w:rPr>
                <w:rFonts w:hint="eastAsia" w:ascii="Calibri" w:hAnsi="Calibri" w:eastAsia="宋体" w:cs="Times New Roman"/>
                <w:szCs w:val="22"/>
                <w:lang w:val="en-US" w:eastAsia="zh-CN"/>
              </w:rPr>
              <w:t xml:space="preserve">* </w:t>
            </w:r>
            <w:r>
              <w:rPr>
                <w:rFonts w:hint="eastAsia" w:ascii="宋体" w:hAnsi="宋体" w:eastAsia="宋体" w:cs="宋体"/>
                <w:b w:val="0"/>
                <w:bCs w:val="0"/>
                <w:kern w:val="0"/>
                <w:sz w:val="21"/>
                <w:szCs w:val="21"/>
              </w:rPr>
              <w:t>8.从车辆身份信息确认放行到挡车器开启的响应时间≤1s</w:t>
            </w:r>
            <w:r>
              <w:rPr>
                <w:rFonts w:hint="eastAsia" w:ascii="宋体" w:hAnsi="宋体" w:eastAsia="宋体" w:cs="宋体"/>
                <w:b/>
                <w:bCs/>
                <w:kern w:val="0"/>
                <w:sz w:val="21"/>
                <w:szCs w:val="21"/>
              </w:rPr>
              <w:t>（提供经CMA或CAL或CNAS认证的</w:t>
            </w:r>
            <w:r>
              <w:rPr>
                <w:rFonts w:hint="eastAsia" w:ascii="宋体" w:hAnsi="宋体" w:eastAsia="宋体" w:cs="宋体"/>
                <w:b/>
                <w:bCs/>
                <w:kern w:val="0"/>
                <w:sz w:val="21"/>
                <w:szCs w:val="21"/>
                <w:lang w:val="en-US" w:eastAsia="zh-CN"/>
              </w:rPr>
              <w:t>第</w:t>
            </w:r>
            <w:r>
              <w:rPr>
                <w:rFonts w:hint="eastAsia" w:ascii="宋体" w:hAnsi="宋体" w:eastAsia="宋体" w:cs="宋体"/>
                <w:b/>
                <w:bCs/>
                <w:kern w:val="0"/>
                <w:sz w:val="21"/>
                <w:szCs w:val="21"/>
              </w:rPr>
              <w:t>三方检测检验机构出具的检测报告扫描件）</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9.LCD屏的彩色水平分辨率不应低于500TVL；彩色灰度等级不低于10级；</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10.当电源不正常、掉电时，系统设备的授权信息、设备配置信息及记录信息不得丢失。</w:t>
            </w:r>
          </w:p>
          <w:p>
            <w:pPr>
              <w:widowControl/>
              <w:jc w:val="left"/>
              <w:textAlignment w:val="center"/>
              <w:rPr>
                <w:rFonts w:hint="eastAsia" w:ascii="宋体" w:hAnsi="宋体" w:eastAsia="宋体" w:cs="宋体"/>
                <w:b w:val="0"/>
                <w:bCs w:val="0"/>
                <w:kern w:val="0"/>
                <w:sz w:val="21"/>
                <w:szCs w:val="21"/>
              </w:rPr>
            </w:pPr>
            <w:r>
              <w:rPr>
                <w:rFonts w:hint="eastAsia" w:ascii="Calibri" w:hAnsi="Calibri" w:eastAsia="宋体" w:cs="Times New Roman"/>
                <w:szCs w:val="22"/>
                <w:lang w:val="en-US" w:eastAsia="zh-CN"/>
              </w:rPr>
              <w:t xml:space="preserve">* </w:t>
            </w:r>
            <w:r>
              <w:rPr>
                <w:rFonts w:hint="eastAsia" w:ascii="宋体" w:hAnsi="宋体" w:eastAsia="宋体" w:cs="宋体"/>
                <w:b w:val="0"/>
                <w:bCs w:val="0"/>
                <w:kern w:val="0"/>
                <w:sz w:val="21"/>
                <w:szCs w:val="21"/>
              </w:rPr>
              <w:t>11.一体机应具有阻燃功能：非金属外壳的出入口控制设备，其外壳应能阻燃。经火焰烧5次，每次5s不应烧着起火</w:t>
            </w:r>
            <w:r>
              <w:rPr>
                <w:rFonts w:hint="eastAsia" w:ascii="宋体" w:hAnsi="宋体" w:eastAsia="宋体" w:cs="宋体"/>
                <w:b/>
                <w:bCs/>
                <w:kern w:val="0"/>
                <w:sz w:val="21"/>
                <w:szCs w:val="21"/>
              </w:rPr>
              <w:t>（提供经CMA或CAL或CNAS认证的</w:t>
            </w:r>
            <w:r>
              <w:rPr>
                <w:rFonts w:hint="eastAsia" w:ascii="宋体" w:hAnsi="宋体" w:eastAsia="宋体" w:cs="宋体"/>
                <w:b/>
                <w:bCs/>
                <w:kern w:val="0"/>
                <w:sz w:val="21"/>
                <w:szCs w:val="21"/>
                <w:lang w:val="en-US" w:eastAsia="zh-CN"/>
              </w:rPr>
              <w:t>第</w:t>
            </w:r>
            <w:r>
              <w:rPr>
                <w:rFonts w:hint="eastAsia" w:ascii="宋体" w:hAnsi="宋体" w:eastAsia="宋体" w:cs="宋体"/>
                <w:b/>
                <w:bCs/>
                <w:kern w:val="0"/>
                <w:sz w:val="21"/>
                <w:szCs w:val="21"/>
              </w:rPr>
              <w:t>三方检测检验机构出具的检测报告扫描件）</w:t>
            </w:r>
          </w:p>
          <w:p>
            <w:pPr>
              <w:widowControl/>
              <w:jc w:val="left"/>
              <w:textAlignment w:val="center"/>
              <w:rPr>
                <w:rFonts w:hint="eastAsia" w:ascii="宋体" w:hAnsi="宋体" w:eastAsia="宋体" w:cs="宋体"/>
                <w:b w:val="0"/>
                <w:bCs w:val="0"/>
                <w:kern w:val="2"/>
                <w:sz w:val="21"/>
                <w:szCs w:val="21"/>
                <w:lang w:val="en-US" w:eastAsia="zh-CN" w:bidi="ar-SA"/>
              </w:rPr>
            </w:pPr>
            <w:r>
              <w:rPr>
                <w:rFonts w:hint="eastAsia" w:ascii="Calibri" w:hAnsi="Calibri" w:eastAsia="宋体" w:cs="Times New Roman"/>
                <w:szCs w:val="22"/>
                <w:lang w:val="en-US" w:eastAsia="zh-CN"/>
              </w:rPr>
              <w:t xml:space="preserve">* </w:t>
            </w:r>
            <w:r>
              <w:rPr>
                <w:rFonts w:hint="eastAsia" w:ascii="宋体" w:hAnsi="宋体" w:eastAsia="宋体" w:cs="宋体"/>
                <w:b w:val="0"/>
                <w:bCs w:val="0"/>
                <w:kern w:val="0"/>
                <w:sz w:val="21"/>
                <w:szCs w:val="21"/>
              </w:rPr>
              <w:t>12.一体机电动机运转应有过负荷保护功能，包括过流保护、过压保护等，但不应仅使用熔断型保险丝实现保护。当出入口控制设备执行启闭动作的电动或电磁等部件短路时，进行任何开启、关闭操作都不得导致电源损坏，允许更换保险装置；</w:t>
            </w:r>
            <w:r>
              <w:rPr>
                <w:rFonts w:hint="eastAsia" w:ascii="宋体" w:hAnsi="宋体" w:eastAsia="宋体" w:cs="宋体"/>
                <w:b/>
                <w:bCs/>
                <w:kern w:val="0"/>
                <w:sz w:val="21"/>
                <w:szCs w:val="21"/>
              </w:rPr>
              <w:t>（提供经CMA或CAL或CNAS认证的</w:t>
            </w:r>
            <w:r>
              <w:rPr>
                <w:rFonts w:hint="eastAsia" w:ascii="宋体" w:hAnsi="宋体" w:eastAsia="宋体" w:cs="宋体"/>
                <w:b/>
                <w:bCs/>
                <w:kern w:val="0"/>
                <w:sz w:val="21"/>
                <w:szCs w:val="21"/>
                <w:lang w:val="en-US" w:eastAsia="zh-CN"/>
              </w:rPr>
              <w:t>第</w:t>
            </w:r>
            <w:r>
              <w:rPr>
                <w:rFonts w:hint="eastAsia" w:ascii="宋体" w:hAnsi="宋体" w:eastAsia="宋体" w:cs="宋体"/>
                <w:b/>
                <w:bCs/>
                <w:kern w:val="0"/>
                <w:sz w:val="21"/>
                <w:szCs w:val="21"/>
              </w:rPr>
              <w:t>三方检测检验机构出具的检测报告扫描件）</w:t>
            </w:r>
          </w:p>
        </w:tc>
        <w:tc>
          <w:tcPr>
            <w:tcW w:w="250"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7</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台</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3"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工业</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货物</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rPr>
            </w:pPr>
            <w:r>
              <w:rPr>
                <w:rFonts w:hint="eastAsia" w:ascii="宋体" w:hAnsi="宋体" w:eastAsia="宋体" w:cs="宋体"/>
                <w:b w:val="0"/>
                <w:bCs w:val="0"/>
                <w:snapToGrid w:val="0"/>
                <w:color w:val="auto"/>
                <w:spacing w:val="0"/>
                <w:kern w:val="0"/>
                <w:sz w:val="21"/>
                <w:szCs w:val="21"/>
                <w:highlight w:val="none"/>
                <w:lang w:val="en-US" w:eastAsia="zh-CN"/>
              </w:rPr>
              <w:t>15</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高速车牌识别道闸一体机伴侣</w:t>
            </w:r>
          </w:p>
        </w:tc>
        <w:tc>
          <w:tcPr>
            <w:tcW w:w="2573" w:type="pct"/>
            <w:noWrap w:val="0"/>
            <w:vAlign w:val="center"/>
          </w:tcPr>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1.高速车牌识别道闸一体机集成实时识别高清摄像机、LCD 显示屏、闪光灯等为一体。可在各种光线、天气、道路等环境下应用；</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2.车牌识别率稳定在 99% 以上；</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3.金色或银色外观，美观大方；</w:t>
            </w:r>
          </w:p>
          <w:p>
            <w:pPr>
              <w:widowControl/>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4.LCD 屏既可扫码付，可播放广告</w:t>
            </w:r>
          </w:p>
        </w:tc>
        <w:tc>
          <w:tcPr>
            <w:tcW w:w="250"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1</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台</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c>
          <w:tcPr>
            <w:tcW w:w="213"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rPr>
            </w:pPr>
            <w:r>
              <w:rPr>
                <w:rFonts w:hint="eastAsia" w:ascii="宋体" w:hAnsi="宋体" w:eastAsia="宋体" w:cs="宋体"/>
                <w:b w:val="0"/>
                <w:bCs w:val="0"/>
                <w:snapToGrid w:val="0"/>
                <w:color w:val="auto"/>
                <w:spacing w:val="0"/>
                <w:kern w:val="0"/>
                <w:sz w:val="21"/>
                <w:szCs w:val="21"/>
                <w:highlight w:val="none"/>
                <w:lang w:val="en-US" w:eastAsia="zh-CN"/>
              </w:rPr>
              <w:t>16</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半球摄像机</w:t>
            </w:r>
          </w:p>
        </w:tc>
        <w:tc>
          <w:tcPr>
            <w:tcW w:w="2573" w:type="pct"/>
            <w:noWrap w:val="0"/>
            <w:vAlign w:val="center"/>
          </w:tcPr>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1.400万海螺型网络摄像机</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2.传感器类型：1/2.7" Progressive Scan CMOS</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bCs/>
                <w:color w:val="FF0000"/>
                <w:kern w:val="0"/>
                <w:sz w:val="21"/>
                <w:szCs w:val="21"/>
              </w:rPr>
              <w:t>3. 最大分辨率均不小于2560*1440</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4. 最低照度：彩色：0.005 Lux @（F1.2, AGC ON），0 Lux with IR</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5. 宽动态：数字宽动态</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6.红外波长范围：850 nm</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7. 防补光过曝：支持</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8. 补光灯类型：红外灯</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9. 补光距离：最远可达30 m</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10.视频压缩标准：主码流：H.265/H.264</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11.子码流：H.265/H.264/MJPEG</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12.音频：1个内置麦克风</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13. 网络：1个RJ45 10 M/100 M自适应以太网口</w:t>
            </w:r>
          </w:p>
          <w:p>
            <w:pPr>
              <w:widowControl/>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14.防护：IP66</w:t>
            </w:r>
          </w:p>
        </w:tc>
        <w:tc>
          <w:tcPr>
            <w:tcW w:w="250"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20</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台</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3"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工业</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货物</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rPr>
            </w:pPr>
            <w:r>
              <w:rPr>
                <w:rFonts w:hint="eastAsia" w:ascii="宋体" w:hAnsi="宋体" w:eastAsia="宋体" w:cs="宋体"/>
                <w:b w:val="0"/>
                <w:bCs w:val="0"/>
                <w:snapToGrid w:val="0"/>
                <w:color w:val="auto"/>
                <w:spacing w:val="0"/>
                <w:kern w:val="0"/>
                <w:sz w:val="21"/>
                <w:szCs w:val="21"/>
                <w:highlight w:val="none"/>
                <w:lang w:val="en-US" w:eastAsia="zh-CN"/>
              </w:rPr>
              <w:t>17</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枪式摄像机</w:t>
            </w:r>
          </w:p>
        </w:tc>
        <w:tc>
          <w:tcPr>
            <w:tcW w:w="2573" w:type="pct"/>
            <w:noWrap w:val="0"/>
            <w:vAlign w:val="center"/>
          </w:tcPr>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1.400万白光全彩筒型网络摄像机</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2.传感器类型：1/2.7" Progressive Scan CMOS</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3. 最低照度：彩色：0.005 Lux @（F1.2，AGC ON），0 Lux with Light</w:t>
            </w:r>
          </w:p>
          <w:p>
            <w:pPr>
              <w:widowControl/>
              <w:jc w:val="left"/>
              <w:textAlignment w:val="center"/>
              <w:rPr>
                <w:rFonts w:hint="eastAsia" w:ascii="宋体" w:hAnsi="宋体" w:eastAsia="宋体" w:cs="宋体"/>
                <w:b/>
                <w:bCs/>
                <w:color w:val="FF0000"/>
                <w:kern w:val="0"/>
                <w:sz w:val="21"/>
                <w:szCs w:val="21"/>
              </w:rPr>
            </w:pPr>
            <w:r>
              <w:rPr>
                <w:rFonts w:hint="eastAsia" w:ascii="宋体" w:hAnsi="宋体" w:eastAsia="宋体" w:cs="宋体"/>
                <w:b/>
                <w:bCs/>
                <w:color w:val="FF0000"/>
                <w:kern w:val="0"/>
                <w:sz w:val="21"/>
                <w:szCs w:val="21"/>
              </w:rPr>
              <w:t>4. 最大分辨率均不小于2560*1440</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5. 宽动态：数字宽动态</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6. 防补光过曝：支持</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7. 补光灯类型：智能补光，可切换白光灯、红外灯</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8. 补光距离：红外光最远可达30 m，白光最远可达30 m</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9.视频压缩标准：主码流：H.265/H.264</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10.子码流：H.265/H.264/MJPEG</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11.音频：1个内置麦克风</w:t>
            </w:r>
          </w:p>
          <w:p>
            <w:pPr>
              <w:widowControl/>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12.防护：IP67</w:t>
            </w:r>
          </w:p>
        </w:tc>
        <w:tc>
          <w:tcPr>
            <w:tcW w:w="250"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40</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台</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3"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工业</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货物</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74"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rPr>
            </w:pPr>
            <w:r>
              <w:rPr>
                <w:rFonts w:hint="eastAsia" w:ascii="宋体" w:hAnsi="宋体" w:eastAsia="宋体" w:cs="宋体"/>
                <w:b w:val="0"/>
                <w:bCs w:val="0"/>
                <w:snapToGrid w:val="0"/>
                <w:color w:val="auto"/>
                <w:spacing w:val="0"/>
                <w:kern w:val="0"/>
                <w:sz w:val="21"/>
                <w:szCs w:val="21"/>
                <w:highlight w:val="none"/>
                <w:lang w:val="en-US" w:eastAsia="zh-CN"/>
              </w:rPr>
              <w:t>18</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球机</w:t>
            </w:r>
          </w:p>
        </w:tc>
        <w:tc>
          <w:tcPr>
            <w:tcW w:w="2573" w:type="pct"/>
            <w:noWrap w:val="0"/>
            <w:vAlign w:val="center"/>
          </w:tcPr>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w:t>
            </w:r>
            <w:r>
              <w:rPr>
                <w:rFonts w:hint="eastAsia" w:ascii="宋体" w:hAnsi="宋体" w:eastAsia="宋体" w:cs="宋体"/>
                <w:b w:val="0"/>
                <w:bCs w:val="0"/>
                <w:kern w:val="0"/>
                <w:sz w:val="21"/>
                <w:szCs w:val="21"/>
                <w:lang w:val="en-US" w:eastAsia="zh-CN"/>
              </w:rPr>
              <w:t>400万高清球机，</w:t>
            </w:r>
            <w:r>
              <w:rPr>
                <w:rFonts w:hint="eastAsia" w:ascii="宋体" w:hAnsi="宋体" w:eastAsia="宋体" w:cs="宋体"/>
                <w:b w:val="0"/>
                <w:bCs w:val="0"/>
                <w:kern w:val="0"/>
                <w:sz w:val="21"/>
                <w:szCs w:val="21"/>
              </w:rPr>
              <w:t>设备内置不少于2个全景通道和1个细节通道，最大分辨率均不小于2560*1440。</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2.支持最低照度可达彩色0.0002lx，黑白0.0001lx。</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3.全景靶面尺寸不小于1/1.8英寸。</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4.全景通道1、2支持不小于4倍光学变倍，细节通道支持不小于25倍光学变倍。</w:t>
            </w:r>
          </w:p>
          <w:p>
            <w:pPr>
              <w:widowControl/>
              <w:jc w:val="left"/>
              <w:textAlignment w:val="center"/>
              <w:rPr>
                <w:rFonts w:hint="eastAsia" w:ascii="宋体" w:hAnsi="宋体" w:eastAsia="宋体" w:cs="宋体"/>
                <w:b/>
                <w:bCs/>
                <w:kern w:val="0"/>
                <w:sz w:val="21"/>
                <w:szCs w:val="21"/>
              </w:rPr>
            </w:pPr>
            <w:r>
              <w:rPr>
                <w:rFonts w:hint="eastAsia" w:ascii="Calibri" w:hAnsi="Calibri" w:eastAsia="仿宋" w:cs="Times New Roman"/>
                <w:b/>
                <w:bCs/>
                <w:snapToGrid w:val="0"/>
                <w:color w:val="auto"/>
                <w:spacing w:val="0"/>
                <w:kern w:val="0"/>
                <w:sz w:val="24"/>
                <w:szCs w:val="24"/>
                <w:highlight w:val="none"/>
                <w:lang w:val="en-US" w:eastAsia="zh-CN"/>
              </w:rPr>
              <w:t>*</w:t>
            </w:r>
            <w:r>
              <w:rPr>
                <w:rFonts w:hint="eastAsia" w:ascii="宋体" w:hAnsi="宋体" w:eastAsia="宋体" w:cs="宋体"/>
                <w:b w:val="0"/>
                <w:bCs w:val="0"/>
                <w:kern w:val="0"/>
                <w:sz w:val="21"/>
                <w:szCs w:val="21"/>
              </w:rPr>
              <w:t>5.全景通道1、2：支持水平：0°-190°，垂直-5°-30°，细节通道：水平：0°-340°垂直：-10°-90°，全景通道1，全景通道2和细节通道可分别进行水平垂直方向调节，全景通道1进行水平，垂直调节时，全景通道2可保持不动，全景通道1和全景通道2进行水平调节时，细节摄像机可保持不动。</w:t>
            </w:r>
            <w:r>
              <w:rPr>
                <w:rFonts w:hint="eastAsia" w:ascii="宋体" w:hAnsi="宋体" w:eastAsia="宋体" w:cs="宋体"/>
                <w:b/>
                <w:bCs/>
                <w:kern w:val="0"/>
                <w:sz w:val="21"/>
                <w:szCs w:val="21"/>
              </w:rPr>
              <w:t>（提供经CMA或CAL或CNAS认证的</w:t>
            </w:r>
            <w:r>
              <w:rPr>
                <w:rFonts w:hint="eastAsia" w:ascii="宋体" w:hAnsi="宋体" w:eastAsia="宋体" w:cs="宋体"/>
                <w:b/>
                <w:bCs/>
                <w:kern w:val="0"/>
                <w:sz w:val="21"/>
                <w:szCs w:val="21"/>
                <w:lang w:val="en-US" w:eastAsia="zh-CN"/>
              </w:rPr>
              <w:t>第</w:t>
            </w:r>
            <w:r>
              <w:rPr>
                <w:rFonts w:hint="eastAsia" w:ascii="宋体" w:hAnsi="宋体" w:eastAsia="宋体" w:cs="宋体"/>
                <w:b/>
                <w:bCs/>
                <w:kern w:val="0"/>
                <w:sz w:val="21"/>
                <w:szCs w:val="21"/>
              </w:rPr>
              <w:t>三方检测检验机构出具的检测报告扫描件）</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6.设备支持不少于300个预置位，可按照所设置的预置位设置不少于8条巡航路径，具有预置位视频冻结功能。</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7.支持H.264、H.265、MJPEG视频编码格式，且具有High Profile编码能力。</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8.支持开启白光灯时：2个全景和1个细节通道均可抓拍20m处人脸，开启红外灯时：2个全景和1个细节通道均可识别200m处的人体。</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9.设备支持智能配置示例功能，智能配置界面具备每一步的配置示例。示例中包括检测区域和检测线标识，并具备最小瞳距和规则区域的注释。</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10.支持2个全景通道和1个细节通道分别或同时对行人、非机动车、机动车进行检测、跟随、抓拍，可支持人脸、车牌、非机动车车牌抠图，可将人脸与人体、车牌与车辆关联显示。</w:t>
            </w:r>
          </w:p>
          <w:p>
            <w:pPr>
              <w:widowControl/>
              <w:jc w:val="left"/>
              <w:textAlignment w:val="center"/>
              <w:rPr>
                <w:rFonts w:hint="eastAsia" w:ascii="宋体" w:hAnsi="宋体" w:eastAsia="宋体" w:cs="宋体"/>
                <w:b/>
                <w:bCs/>
                <w:kern w:val="0"/>
                <w:sz w:val="21"/>
                <w:szCs w:val="21"/>
              </w:rPr>
            </w:pPr>
            <w:r>
              <w:rPr>
                <w:rFonts w:hint="eastAsia" w:ascii="Calibri" w:hAnsi="Calibri" w:eastAsia="仿宋" w:cs="Times New Roman"/>
                <w:b/>
                <w:bCs/>
                <w:snapToGrid w:val="0"/>
                <w:color w:val="auto"/>
                <w:spacing w:val="0"/>
                <w:kern w:val="0"/>
                <w:sz w:val="24"/>
                <w:szCs w:val="24"/>
                <w:highlight w:val="none"/>
                <w:lang w:val="en-US" w:eastAsia="zh-CN"/>
              </w:rPr>
              <w:t>*</w:t>
            </w:r>
            <w:r>
              <w:rPr>
                <w:rFonts w:hint="eastAsia" w:ascii="宋体" w:hAnsi="宋体" w:eastAsia="宋体" w:cs="宋体"/>
                <w:b w:val="0"/>
                <w:bCs w:val="0"/>
                <w:kern w:val="0"/>
                <w:sz w:val="21"/>
                <w:szCs w:val="21"/>
              </w:rPr>
              <w:t>11.样机具有双安装接口，一个为快速旋转安装接口，一个为多孔稳定安装接口。</w:t>
            </w:r>
            <w:r>
              <w:rPr>
                <w:rFonts w:hint="eastAsia" w:ascii="宋体" w:hAnsi="宋体" w:eastAsia="宋体" w:cs="宋体"/>
                <w:b/>
                <w:bCs/>
                <w:kern w:val="0"/>
                <w:sz w:val="21"/>
                <w:szCs w:val="21"/>
              </w:rPr>
              <w:t>（提供经CMA或CAL或CNAS认证的</w:t>
            </w:r>
            <w:r>
              <w:rPr>
                <w:rFonts w:hint="eastAsia" w:ascii="宋体" w:hAnsi="宋体" w:eastAsia="宋体" w:cs="宋体"/>
                <w:b/>
                <w:bCs/>
                <w:kern w:val="0"/>
                <w:sz w:val="21"/>
                <w:szCs w:val="21"/>
                <w:lang w:val="en-US" w:eastAsia="zh-CN"/>
              </w:rPr>
              <w:t>第</w:t>
            </w:r>
            <w:r>
              <w:rPr>
                <w:rFonts w:hint="eastAsia" w:ascii="宋体" w:hAnsi="宋体" w:eastAsia="宋体" w:cs="宋体"/>
                <w:b/>
                <w:bCs/>
                <w:kern w:val="0"/>
                <w:sz w:val="21"/>
                <w:szCs w:val="21"/>
              </w:rPr>
              <w:t>三方检测检验机构出具的检测报告扫描件）</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12.支持联动功能，全景通道下，触发区域入侵、越界、进入区域、离开区域等事件，且开启细节通道的联动抓拍功能时，可联动细节摄像机进行目标跟随。</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13.全景通道1和全景通道2分别支持smart事件和全结构化模式，细节通道支持smart事件、全结构化和普通监控模式。全景通道1、全景通道2和细节通道智能功能可以任意选择并保存生效。</w:t>
            </w:r>
          </w:p>
          <w:p>
            <w:pPr>
              <w:widowControl/>
              <w:jc w:val="left"/>
              <w:textAlignment w:val="center"/>
              <w:rPr>
                <w:rFonts w:hint="eastAsia" w:ascii="宋体" w:hAnsi="宋体" w:eastAsia="宋体" w:cs="宋体"/>
                <w:b/>
                <w:bCs/>
                <w:kern w:val="0"/>
                <w:sz w:val="21"/>
                <w:szCs w:val="21"/>
              </w:rPr>
            </w:pPr>
            <w:r>
              <w:rPr>
                <w:rFonts w:hint="eastAsia" w:ascii="Calibri" w:hAnsi="Calibri" w:eastAsia="仿宋" w:cs="Times New Roman"/>
                <w:b/>
                <w:bCs/>
                <w:snapToGrid w:val="0"/>
                <w:color w:val="auto"/>
                <w:spacing w:val="0"/>
                <w:kern w:val="0"/>
                <w:sz w:val="24"/>
                <w:szCs w:val="24"/>
                <w:highlight w:val="none"/>
                <w:lang w:val="en-US" w:eastAsia="zh-CN"/>
              </w:rPr>
              <w:t>*</w:t>
            </w:r>
            <w:r>
              <w:rPr>
                <w:rFonts w:hint="eastAsia" w:ascii="宋体" w:hAnsi="宋体" w:eastAsia="宋体" w:cs="宋体"/>
                <w:b w:val="0"/>
                <w:bCs w:val="0"/>
                <w:kern w:val="0"/>
                <w:sz w:val="21"/>
                <w:szCs w:val="21"/>
              </w:rPr>
              <w:t>14.设备镜头防护玻璃呈倾斜状，可改变射向镜头的光束的反射光方向；在天气晴朗无雾、辅助照明光照度低的条件下，摄像机镜头前方出现机动车或非机动车补光灯、手机补光灯、手电筒补光灯时，可降低反射光斑对视频画面的影响。</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rPr>
              <w:t>提供经CMA或CAL或CNAS认证的</w:t>
            </w:r>
            <w:r>
              <w:rPr>
                <w:rFonts w:hint="eastAsia" w:ascii="宋体" w:hAnsi="宋体" w:eastAsia="宋体" w:cs="宋体"/>
                <w:b/>
                <w:bCs/>
                <w:kern w:val="0"/>
                <w:sz w:val="21"/>
                <w:szCs w:val="21"/>
                <w:lang w:val="en-US" w:eastAsia="zh-CN"/>
              </w:rPr>
              <w:t>第</w:t>
            </w:r>
            <w:r>
              <w:rPr>
                <w:rFonts w:hint="eastAsia" w:ascii="宋体" w:hAnsi="宋体" w:eastAsia="宋体" w:cs="宋体"/>
                <w:b/>
                <w:bCs/>
                <w:kern w:val="0"/>
                <w:sz w:val="21"/>
                <w:szCs w:val="21"/>
              </w:rPr>
              <w:t>三方检测检验机构出具的检测报告扫描件）</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15.支持通过IE浏览器设置闪光灯闪烁时间1~300可设；闪烁频率高中低、常亮可设；亮度0~100可设；可通过区域入侵侦测、越界侦测、进入区域侦测、离开区域侦测等报警事件联动白光灯闪光报警。</w:t>
            </w:r>
          </w:p>
          <w:p>
            <w:pPr>
              <w:widowControl/>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16.设备支持不少于7路报警输入，不少于2路报警输出，不少于1路音频输入，不少于1路音频输出，不少于1个SD卡槽，不少于1个RJ45网口，不少于1个485接口。</w:t>
            </w:r>
          </w:p>
        </w:tc>
        <w:tc>
          <w:tcPr>
            <w:tcW w:w="250"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2</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台</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3"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工业</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货物</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rPr>
            </w:pPr>
            <w:r>
              <w:rPr>
                <w:rFonts w:hint="eastAsia" w:ascii="宋体" w:hAnsi="宋体" w:eastAsia="宋体" w:cs="宋体"/>
                <w:b w:val="0"/>
                <w:bCs w:val="0"/>
                <w:snapToGrid w:val="0"/>
                <w:color w:val="auto"/>
                <w:spacing w:val="0"/>
                <w:kern w:val="0"/>
                <w:sz w:val="21"/>
                <w:szCs w:val="21"/>
                <w:highlight w:val="none"/>
                <w:lang w:val="en-US" w:eastAsia="zh-CN"/>
              </w:rPr>
              <w:t>19</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8口接入交换机</w:t>
            </w:r>
          </w:p>
        </w:tc>
        <w:tc>
          <w:tcPr>
            <w:tcW w:w="2573" w:type="pct"/>
            <w:noWrap w:val="0"/>
            <w:vAlign w:val="center"/>
          </w:tcPr>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1.提供不少于8个千兆电口</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2.交换容量：≥16 Gbps</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3.包转发率：≥11.90 Mpps</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4.浪涌防护：网口6 kV</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5.千兆网络接入设计</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6.线速转发、无阻塞设计</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7.存储转发交换方式</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8.坚固式高强度金属外壳</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9.无风扇设计，高可靠性</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10.工作温度：0 °C ~ 40 °C</w:t>
            </w:r>
          </w:p>
          <w:p>
            <w:pPr>
              <w:widowControl/>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11.安装方式：桌面式可壁挂</w:t>
            </w:r>
          </w:p>
        </w:tc>
        <w:tc>
          <w:tcPr>
            <w:tcW w:w="250"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10</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台</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3"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工业</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货物</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rPr>
            </w:pPr>
            <w:r>
              <w:rPr>
                <w:rFonts w:hint="eastAsia" w:ascii="宋体" w:hAnsi="宋体" w:eastAsia="宋体" w:cs="宋体"/>
                <w:b w:val="0"/>
                <w:bCs w:val="0"/>
                <w:snapToGrid w:val="0"/>
                <w:color w:val="auto"/>
                <w:spacing w:val="0"/>
                <w:kern w:val="0"/>
                <w:sz w:val="21"/>
                <w:szCs w:val="21"/>
                <w:highlight w:val="none"/>
                <w:lang w:val="en-US" w:eastAsia="zh-CN"/>
              </w:rPr>
              <w:t>20</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网线</w:t>
            </w:r>
          </w:p>
        </w:tc>
        <w:tc>
          <w:tcPr>
            <w:tcW w:w="2573" w:type="pct"/>
            <w:noWrap w:val="0"/>
            <w:vAlign w:val="center"/>
          </w:tcPr>
          <w:p>
            <w:pPr>
              <w:widowControl/>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1.6类网线。</w:t>
            </w:r>
          </w:p>
        </w:tc>
        <w:tc>
          <w:tcPr>
            <w:tcW w:w="250"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10</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箱</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3"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工业</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货物</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rPr>
            </w:pPr>
            <w:r>
              <w:rPr>
                <w:rFonts w:hint="eastAsia" w:ascii="宋体" w:hAnsi="宋体" w:eastAsia="宋体" w:cs="宋体"/>
                <w:b w:val="0"/>
                <w:bCs w:val="0"/>
                <w:snapToGrid w:val="0"/>
                <w:color w:val="auto"/>
                <w:spacing w:val="0"/>
                <w:kern w:val="0"/>
                <w:sz w:val="21"/>
                <w:szCs w:val="21"/>
                <w:highlight w:val="none"/>
                <w:lang w:val="en-US" w:eastAsia="zh-CN"/>
              </w:rPr>
              <w:t>21</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电源线1</w:t>
            </w:r>
          </w:p>
        </w:tc>
        <w:tc>
          <w:tcPr>
            <w:tcW w:w="2573" w:type="pct"/>
            <w:noWrap w:val="0"/>
            <w:vAlign w:val="center"/>
          </w:tcPr>
          <w:p>
            <w:pPr>
              <w:widowControl/>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1.rvv-2*1.0</w:t>
            </w:r>
          </w:p>
        </w:tc>
        <w:tc>
          <w:tcPr>
            <w:tcW w:w="250"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1500</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米</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3"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工业</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货物</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rPr>
            </w:pPr>
            <w:r>
              <w:rPr>
                <w:rFonts w:hint="eastAsia" w:ascii="宋体" w:hAnsi="宋体" w:eastAsia="宋体" w:cs="宋体"/>
                <w:b w:val="0"/>
                <w:bCs w:val="0"/>
                <w:snapToGrid w:val="0"/>
                <w:color w:val="auto"/>
                <w:spacing w:val="0"/>
                <w:kern w:val="0"/>
                <w:sz w:val="21"/>
                <w:szCs w:val="21"/>
                <w:highlight w:val="none"/>
                <w:lang w:val="en-US" w:eastAsia="zh-CN"/>
              </w:rPr>
              <w:t>22</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电源线2</w:t>
            </w:r>
          </w:p>
        </w:tc>
        <w:tc>
          <w:tcPr>
            <w:tcW w:w="2573" w:type="pct"/>
            <w:noWrap w:val="0"/>
            <w:vAlign w:val="center"/>
          </w:tcPr>
          <w:p>
            <w:pPr>
              <w:widowControl/>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1.rvv-3*1.5</w:t>
            </w:r>
          </w:p>
        </w:tc>
        <w:tc>
          <w:tcPr>
            <w:tcW w:w="250"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800</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米</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3"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工业</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货物</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rPr>
            </w:pPr>
            <w:r>
              <w:rPr>
                <w:rFonts w:hint="eastAsia" w:ascii="宋体" w:hAnsi="宋体" w:eastAsia="宋体" w:cs="宋体"/>
                <w:b w:val="0"/>
                <w:bCs w:val="0"/>
                <w:snapToGrid w:val="0"/>
                <w:color w:val="auto"/>
                <w:spacing w:val="0"/>
                <w:kern w:val="0"/>
                <w:sz w:val="21"/>
                <w:szCs w:val="21"/>
                <w:highlight w:val="none"/>
                <w:lang w:val="en-US" w:eastAsia="zh-CN"/>
              </w:rPr>
              <w:t>23</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室外光纤</w:t>
            </w:r>
          </w:p>
        </w:tc>
        <w:tc>
          <w:tcPr>
            <w:tcW w:w="2573" w:type="pct"/>
            <w:noWrap w:val="0"/>
            <w:vAlign w:val="center"/>
          </w:tcPr>
          <w:p>
            <w:pPr>
              <w:widowControl/>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1.4芯室外单模光纤。外护套材料：聚乙烯（PE）</w:t>
            </w:r>
          </w:p>
        </w:tc>
        <w:tc>
          <w:tcPr>
            <w:tcW w:w="250"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1000</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米</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3"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工业</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货物</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rPr>
            </w:pPr>
            <w:r>
              <w:rPr>
                <w:rFonts w:hint="eastAsia" w:ascii="宋体" w:hAnsi="宋体" w:eastAsia="宋体" w:cs="宋体"/>
                <w:b w:val="0"/>
                <w:bCs w:val="0"/>
                <w:snapToGrid w:val="0"/>
                <w:color w:val="auto"/>
                <w:spacing w:val="0"/>
                <w:kern w:val="0"/>
                <w:sz w:val="21"/>
                <w:szCs w:val="21"/>
                <w:highlight w:val="none"/>
                <w:lang w:val="en-US" w:eastAsia="zh-CN"/>
              </w:rPr>
              <w:t>24</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光纤收发器</w:t>
            </w:r>
          </w:p>
        </w:tc>
        <w:tc>
          <w:tcPr>
            <w:tcW w:w="2573" w:type="pct"/>
            <w:noWrap w:val="0"/>
            <w:vAlign w:val="center"/>
          </w:tcPr>
          <w:p>
            <w:pPr>
              <w:keepNext w:val="0"/>
              <w:keepLines w:val="0"/>
              <w:pageBreakBefore w:val="0"/>
              <w:widowControl/>
              <w:kinsoku/>
              <w:wordWrap w:val="0"/>
              <w:overflowPunct/>
              <w:topLinePunct w:val="0"/>
              <w:autoSpaceDE/>
              <w:autoSpaceDN/>
              <w:bidi w:val="0"/>
              <w:adjustRightInd/>
              <w:snapToGrid/>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1.能够自动兼容IEEE802.3IEEE802.3U和IEEE802.3X等网络协议；</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2.支持全双工和半双工传输模式，并带有自动协商能力；</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3.符合电信级运营标准，平均无故障工作不低于10万小时；</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4、IPC接入距离最大支持250米。</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5、支持一键划分VLAN，阻断下联端口间相互通讯。</w:t>
            </w:r>
          </w:p>
          <w:p>
            <w:pPr>
              <w:widowControl/>
              <w:jc w:val="left"/>
              <w:textAlignment w:val="center"/>
              <w:rPr>
                <w:rFonts w:hint="eastAsia" w:ascii="宋体" w:hAnsi="宋体" w:eastAsia="宋体" w:cs="宋体"/>
                <w:b w:val="0"/>
                <w:bCs w:val="0"/>
                <w:kern w:val="0"/>
                <w:sz w:val="21"/>
                <w:szCs w:val="21"/>
              </w:rPr>
            </w:pPr>
            <w:r>
              <w:rPr>
                <w:rFonts w:hint="eastAsia" w:ascii="Calibri" w:hAnsi="Calibri" w:eastAsia="宋体" w:cs="Times New Roman"/>
                <w:szCs w:val="22"/>
                <w:lang w:val="en-US" w:eastAsia="zh-CN"/>
              </w:rPr>
              <w:t xml:space="preserve">* </w:t>
            </w:r>
            <w:r>
              <w:rPr>
                <w:rFonts w:hint="eastAsia" w:ascii="宋体" w:hAnsi="宋体" w:eastAsia="宋体" w:cs="宋体"/>
                <w:b w:val="0"/>
                <w:bCs w:val="0"/>
                <w:kern w:val="0"/>
                <w:sz w:val="21"/>
                <w:szCs w:val="21"/>
              </w:rPr>
              <w:t>6、支持CBIT智能视频优化技术，确保流畅的高品质视频传输。</w:t>
            </w:r>
            <w:r>
              <w:rPr>
                <w:rFonts w:hint="eastAsia" w:ascii="宋体" w:hAnsi="宋体" w:eastAsia="宋体" w:cs="宋体"/>
                <w:b/>
                <w:bCs/>
                <w:kern w:val="0"/>
                <w:sz w:val="21"/>
                <w:szCs w:val="21"/>
              </w:rPr>
              <w:t>（提供经CMA或CAL或CNAS认证的</w:t>
            </w:r>
            <w:r>
              <w:rPr>
                <w:rFonts w:hint="eastAsia" w:ascii="宋体" w:hAnsi="宋体" w:eastAsia="宋体" w:cs="宋体"/>
                <w:b/>
                <w:bCs/>
                <w:kern w:val="0"/>
                <w:sz w:val="21"/>
                <w:szCs w:val="21"/>
                <w:lang w:val="en-US" w:eastAsia="zh-CN"/>
              </w:rPr>
              <w:t>第</w:t>
            </w:r>
            <w:r>
              <w:rPr>
                <w:rFonts w:hint="eastAsia" w:ascii="宋体" w:hAnsi="宋体" w:eastAsia="宋体" w:cs="宋体"/>
                <w:b/>
                <w:bCs/>
                <w:kern w:val="0"/>
                <w:sz w:val="21"/>
                <w:szCs w:val="21"/>
              </w:rPr>
              <w:t>三方检测检验机构出具的检测报告扫描件）</w:t>
            </w:r>
          </w:p>
          <w:p>
            <w:pPr>
              <w:widowControl/>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7、工作温度：-20~70°C。</w:t>
            </w:r>
          </w:p>
        </w:tc>
        <w:tc>
          <w:tcPr>
            <w:tcW w:w="250"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5</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对</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3"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工业</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货物</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rPr>
            </w:pPr>
            <w:r>
              <w:rPr>
                <w:rFonts w:hint="eastAsia" w:ascii="宋体" w:hAnsi="宋体" w:eastAsia="宋体" w:cs="宋体"/>
                <w:b w:val="0"/>
                <w:bCs w:val="0"/>
                <w:snapToGrid w:val="0"/>
                <w:color w:val="auto"/>
                <w:spacing w:val="0"/>
                <w:kern w:val="0"/>
                <w:sz w:val="21"/>
                <w:szCs w:val="21"/>
                <w:highlight w:val="none"/>
                <w:lang w:val="en-US" w:eastAsia="zh-CN"/>
              </w:rPr>
              <w:t>25</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二合一防雷器</w:t>
            </w:r>
          </w:p>
        </w:tc>
        <w:tc>
          <w:tcPr>
            <w:tcW w:w="2573" w:type="pct"/>
            <w:noWrap w:val="0"/>
            <w:vAlign w:val="center"/>
          </w:tcPr>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1.电源线路最大放电电流：10KA；</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2.标称放电电流：5KA；</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3.最大负载电流（A）：10A，接口类型：端子；</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4.额定工作电压：5V，最大持续运行电压：8V，电压保护水平（Up）：&lt;30V，响应时间≤1nS，传输速率：100M；</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5.接口类型：RJ45；</w:t>
            </w:r>
          </w:p>
          <w:p>
            <w:pPr>
              <w:widowControl/>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6.工作温度：-25～＋70℃；</w:t>
            </w:r>
          </w:p>
        </w:tc>
        <w:tc>
          <w:tcPr>
            <w:tcW w:w="250"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5</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个</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3"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工业</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货物</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rPr>
            </w:pPr>
            <w:r>
              <w:rPr>
                <w:rFonts w:hint="eastAsia" w:ascii="宋体" w:hAnsi="宋体" w:eastAsia="宋体" w:cs="宋体"/>
                <w:b w:val="0"/>
                <w:bCs w:val="0"/>
                <w:snapToGrid w:val="0"/>
                <w:color w:val="auto"/>
                <w:spacing w:val="0"/>
                <w:kern w:val="0"/>
                <w:sz w:val="21"/>
                <w:szCs w:val="21"/>
                <w:highlight w:val="none"/>
                <w:lang w:val="en-US" w:eastAsia="zh-CN"/>
              </w:rPr>
              <w:t>26</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室外防水箱</w:t>
            </w:r>
          </w:p>
        </w:tc>
        <w:tc>
          <w:tcPr>
            <w:tcW w:w="2573" w:type="pct"/>
            <w:noWrap w:val="0"/>
            <w:vAlign w:val="center"/>
          </w:tcPr>
          <w:p>
            <w:pPr>
              <w:widowControl/>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1.室外防水箱，定制</w:t>
            </w:r>
          </w:p>
        </w:tc>
        <w:tc>
          <w:tcPr>
            <w:tcW w:w="250"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8</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个</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3"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工业</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货物</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rPr>
            </w:pPr>
            <w:r>
              <w:rPr>
                <w:rFonts w:hint="eastAsia" w:ascii="宋体" w:hAnsi="宋体" w:eastAsia="宋体" w:cs="宋体"/>
                <w:b w:val="0"/>
                <w:bCs w:val="0"/>
                <w:snapToGrid w:val="0"/>
                <w:color w:val="auto"/>
                <w:spacing w:val="0"/>
                <w:kern w:val="0"/>
                <w:sz w:val="21"/>
                <w:szCs w:val="21"/>
                <w:highlight w:val="none"/>
                <w:lang w:val="en-US" w:eastAsia="zh-CN"/>
              </w:rPr>
              <w:t>27</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监控立杆</w:t>
            </w:r>
          </w:p>
        </w:tc>
        <w:tc>
          <w:tcPr>
            <w:tcW w:w="2573" w:type="pct"/>
            <w:noWrap w:val="0"/>
            <w:vAlign w:val="center"/>
          </w:tcPr>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1.类型：悬臂式</w:t>
            </w:r>
          </w:p>
          <w:p>
            <w:pPr>
              <w:widowControl/>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2.其他：含开挖回填、含地垄、混凝土、接地桩等</w:t>
            </w:r>
          </w:p>
        </w:tc>
        <w:tc>
          <w:tcPr>
            <w:tcW w:w="250"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8</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根</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3"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工业</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货物</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rPr>
            </w:pPr>
            <w:r>
              <w:rPr>
                <w:rFonts w:hint="eastAsia" w:ascii="宋体" w:hAnsi="宋体" w:eastAsia="宋体" w:cs="宋体"/>
                <w:b w:val="0"/>
                <w:bCs w:val="0"/>
                <w:snapToGrid w:val="0"/>
                <w:color w:val="auto"/>
                <w:spacing w:val="0"/>
                <w:kern w:val="0"/>
                <w:sz w:val="21"/>
                <w:szCs w:val="21"/>
                <w:highlight w:val="none"/>
                <w:lang w:val="en-US" w:eastAsia="zh-CN"/>
              </w:rPr>
              <w:t>28</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PE管</w:t>
            </w:r>
          </w:p>
        </w:tc>
        <w:tc>
          <w:tcPr>
            <w:tcW w:w="2573" w:type="pct"/>
            <w:noWrap w:val="0"/>
            <w:vAlign w:val="center"/>
          </w:tcPr>
          <w:p>
            <w:pPr>
              <w:widowControl/>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1.PE管φ32</w:t>
            </w:r>
          </w:p>
        </w:tc>
        <w:tc>
          <w:tcPr>
            <w:tcW w:w="250"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1500</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米</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3"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工业</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货物</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rPr>
            </w:pPr>
            <w:r>
              <w:rPr>
                <w:rFonts w:hint="eastAsia" w:ascii="宋体" w:hAnsi="宋体" w:eastAsia="宋体" w:cs="宋体"/>
                <w:b w:val="0"/>
                <w:bCs w:val="0"/>
                <w:snapToGrid w:val="0"/>
                <w:color w:val="auto"/>
                <w:spacing w:val="0"/>
                <w:kern w:val="0"/>
                <w:sz w:val="21"/>
                <w:szCs w:val="21"/>
                <w:highlight w:val="none"/>
                <w:lang w:val="en-US" w:eastAsia="zh-CN"/>
              </w:rPr>
              <w:t>29</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服务器机柜</w:t>
            </w:r>
          </w:p>
        </w:tc>
        <w:tc>
          <w:tcPr>
            <w:tcW w:w="2573" w:type="pct"/>
            <w:noWrap w:val="0"/>
            <w:vAlign w:val="center"/>
          </w:tcPr>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1.机柜材质：SPCC优质冷轧钢板</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2.颜色：黑色</w:t>
            </w:r>
          </w:p>
          <w:p>
            <w:pPr>
              <w:widowControl/>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3.门板类型：金属网孔门</w:t>
            </w:r>
          </w:p>
        </w:tc>
        <w:tc>
          <w:tcPr>
            <w:tcW w:w="250"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1</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台</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3"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工业</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货物</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rPr>
            </w:pPr>
            <w:r>
              <w:rPr>
                <w:rFonts w:hint="eastAsia" w:ascii="宋体" w:hAnsi="宋体" w:eastAsia="宋体" w:cs="宋体"/>
                <w:b w:val="0"/>
                <w:bCs w:val="0"/>
                <w:snapToGrid w:val="0"/>
                <w:color w:val="auto"/>
                <w:spacing w:val="0"/>
                <w:kern w:val="0"/>
                <w:sz w:val="21"/>
                <w:szCs w:val="21"/>
                <w:highlight w:val="none"/>
                <w:lang w:val="en-US" w:eastAsia="zh-CN"/>
              </w:rPr>
              <w:t>30</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ascii="Arial" w:hAnsi="Arial" w:eastAsia="宋体" w:cs="Arial"/>
                <w:i w:val="0"/>
                <w:iCs w:val="0"/>
                <w:caps w:val="0"/>
                <w:color w:val="333333"/>
                <w:spacing w:val="0"/>
                <w:sz w:val="19"/>
                <w:szCs w:val="19"/>
                <w:shd w:val="clear" w:fill="FFFFFF"/>
              </w:rPr>
              <w:t>空气调节器</w:t>
            </w:r>
          </w:p>
        </w:tc>
        <w:tc>
          <w:tcPr>
            <w:tcW w:w="2573" w:type="pct"/>
            <w:noWrap w:val="0"/>
            <w:vAlign w:val="center"/>
          </w:tcPr>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1.5P柜式；</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2.制热量≥13000W；</w:t>
            </w:r>
          </w:p>
          <w:p>
            <w:pPr>
              <w:widowControl/>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3.制冷量≥12000W</w:t>
            </w:r>
          </w:p>
        </w:tc>
        <w:tc>
          <w:tcPr>
            <w:tcW w:w="250"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1</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台</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bCs/>
                <w:snapToGrid w:val="0"/>
                <w:color w:val="auto"/>
                <w:spacing w:val="0"/>
                <w:kern w:val="0"/>
                <w:sz w:val="21"/>
                <w:szCs w:val="21"/>
                <w:highlight w:val="none"/>
                <w:lang w:val="en-US" w:eastAsia="zh-CN"/>
              </w:rPr>
              <w:t>是</w:t>
            </w:r>
          </w:p>
        </w:tc>
        <w:tc>
          <w:tcPr>
            <w:tcW w:w="213"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工业</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货物</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rPr>
            </w:pPr>
            <w:r>
              <w:rPr>
                <w:rFonts w:hint="eastAsia" w:ascii="宋体" w:hAnsi="宋体" w:eastAsia="宋体" w:cs="宋体"/>
                <w:b w:val="0"/>
                <w:bCs w:val="0"/>
                <w:snapToGrid w:val="0"/>
                <w:color w:val="auto"/>
                <w:spacing w:val="0"/>
                <w:kern w:val="0"/>
                <w:sz w:val="21"/>
                <w:szCs w:val="21"/>
                <w:highlight w:val="none"/>
                <w:lang w:val="en-US" w:eastAsia="zh-CN"/>
              </w:rPr>
              <w:t>31</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车辆闸机遥控器</w:t>
            </w:r>
          </w:p>
        </w:tc>
        <w:tc>
          <w:tcPr>
            <w:tcW w:w="2573" w:type="pct"/>
            <w:noWrap w:val="0"/>
            <w:vAlign w:val="center"/>
          </w:tcPr>
          <w:p>
            <w:pPr>
              <w:widowControl/>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车辆抓拍一体机配套遥控器，遥控器可拨码。</w:t>
            </w:r>
          </w:p>
        </w:tc>
        <w:tc>
          <w:tcPr>
            <w:tcW w:w="250"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10</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个</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3"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工业</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货物</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rPr>
            </w:pPr>
            <w:r>
              <w:rPr>
                <w:rFonts w:hint="eastAsia" w:ascii="宋体" w:hAnsi="宋体" w:eastAsia="宋体" w:cs="宋体"/>
                <w:b w:val="0"/>
                <w:bCs w:val="0"/>
                <w:snapToGrid w:val="0"/>
                <w:color w:val="auto"/>
                <w:spacing w:val="0"/>
                <w:kern w:val="0"/>
                <w:sz w:val="21"/>
                <w:szCs w:val="21"/>
                <w:highlight w:val="none"/>
                <w:lang w:val="en-US" w:eastAsia="zh-CN"/>
              </w:rPr>
              <w:t>32</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门禁闸机遥控器</w:t>
            </w:r>
          </w:p>
        </w:tc>
        <w:tc>
          <w:tcPr>
            <w:tcW w:w="2573" w:type="pct"/>
            <w:noWrap w:val="0"/>
            <w:vAlign w:val="center"/>
          </w:tcPr>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1.支持一对一和一对多对码模式，默认为一对一模式遥控器包含4个按键，分别对应进开门、关门、出开门、常开关门按键长按10s即可进入对码模式，对码成功后指示灯将慢闪3秒。</w:t>
            </w:r>
          </w:p>
          <w:p>
            <w:pPr>
              <w:widowControl/>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2.支持通过组合键进行模式切换：先按“常开”按钮，马上再按“关门”按钮，同时按住保持3秒。切换成功后指示灯将常亮3秒</w:t>
            </w:r>
          </w:p>
        </w:tc>
        <w:tc>
          <w:tcPr>
            <w:tcW w:w="250"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10</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个</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3"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工业</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货物</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r>
    </w:tbl>
    <w:p>
      <w:pPr>
        <w:rPr>
          <w:rFonts w:ascii="宋体" w:hAnsi="宋体" w:eastAsia="宋体" w:cs="宋体"/>
          <w:kern w:val="0"/>
          <w:sz w:val="24"/>
          <w:szCs w:val="24"/>
        </w:rPr>
      </w:pPr>
    </w:p>
    <w:p>
      <w:pPr>
        <w:pStyle w:val="60"/>
        <w:keepNext w:val="0"/>
        <w:keepLines w:val="0"/>
        <w:pageBreakBefore w:val="0"/>
        <w:widowControl w:val="0"/>
        <w:kinsoku/>
        <w:wordWrap w:val="0"/>
        <w:overflowPunct/>
        <w:topLinePunct/>
        <w:autoSpaceDE/>
        <w:autoSpaceDN/>
        <w:bidi w:val="0"/>
        <w:adjustRightInd w:val="0"/>
        <w:snapToGrid w:val="0"/>
        <w:jc w:val="both"/>
        <w:rPr>
          <w:rFonts w:ascii="Times New Roman" w:hAnsi="Times New Roman" w:eastAsia="仿宋" w:cs="Times New Roman"/>
          <w:i w:val="0"/>
          <w:iCs w:val="0"/>
          <w:snapToGrid w:val="0"/>
          <w:color w:val="auto"/>
          <w:spacing w:val="0"/>
          <w:kern w:val="0"/>
          <w:sz w:val="24"/>
          <w:szCs w:val="24"/>
          <w:highlight w:val="none"/>
        </w:rPr>
      </w:pPr>
      <w:r>
        <w:rPr>
          <w:rFonts w:hint="eastAsia" w:ascii="Times New Roman" w:hAnsi="Times New Roman" w:eastAsia="仿宋" w:cs="Times New Roman"/>
          <w:b/>
          <w:bCs/>
          <w:i w:val="0"/>
          <w:iCs w:val="0"/>
          <w:snapToGrid w:val="0"/>
          <w:color w:val="auto"/>
          <w:spacing w:val="0"/>
          <w:kern w:val="0"/>
          <w:sz w:val="24"/>
          <w:szCs w:val="24"/>
          <w:highlight w:val="none"/>
          <w:lang w:val="en-US" w:eastAsia="zh-CN"/>
        </w:rPr>
        <w:t>注：</w:t>
      </w:r>
      <w:r>
        <w:rPr>
          <w:rFonts w:ascii="Times New Roman" w:hAnsi="Times New Roman" w:eastAsia="仿宋" w:cs="Times New Roman"/>
          <w:b/>
          <w:bCs/>
          <w:i w:val="0"/>
          <w:iCs w:val="0"/>
          <w:snapToGrid w:val="0"/>
          <w:color w:val="auto"/>
          <w:spacing w:val="0"/>
          <w:kern w:val="0"/>
          <w:sz w:val="24"/>
          <w:szCs w:val="24"/>
          <w:highlight w:val="none"/>
        </w:rPr>
        <w:t>清单内</w:t>
      </w:r>
      <w:r>
        <w:rPr>
          <w:rFonts w:hint="eastAsia" w:ascii="Times New Roman" w:hAnsi="Times New Roman" w:eastAsia="仿宋" w:cs="Times New Roman"/>
          <w:b/>
          <w:bCs/>
          <w:i w:val="0"/>
          <w:iCs w:val="0"/>
          <w:snapToGrid w:val="0"/>
          <w:color w:val="auto"/>
          <w:spacing w:val="0"/>
          <w:kern w:val="0"/>
          <w:sz w:val="24"/>
          <w:szCs w:val="24"/>
          <w:highlight w:val="none"/>
          <w:lang w:val="en-US" w:eastAsia="zh-CN"/>
        </w:rPr>
        <w:t>列为</w:t>
      </w:r>
      <w:r>
        <w:rPr>
          <w:rFonts w:ascii="Times New Roman" w:hAnsi="Times New Roman" w:eastAsia="仿宋" w:cs="Times New Roman"/>
          <w:b/>
          <w:bCs/>
          <w:i w:val="0"/>
          <w:iCs w:val="0"/>
          <w:snapToGrid w:val="0"/>
          <w:color w:val="auto"/>
          <w:spacing w:val="0"/>
          <w:kern w:val="0"/>
          <w:sz w:val="24"/>
          <w:szCs w:val="24"/>
          <w:highlight w:val="none"/>
        </w:rPr>
        <w:t>强制采购类节能产品</w:t>
      </w:r>
      <w:r>
        <w:rPr>
          <w:rFonts w:hint="eastAsia" w:ascii="Times New Roman" w:hAnsi="Times New Roman" w:eastAsia="仿宋" w:cs="Times New Roman"/>
          <w:b/>
          <w:bCs/>
          <w:i w:val="0"/>
          <w:iCs w:val="0"/>
          <w:snapToGrid w:val="0"/>
          <w:color w:val="auto"/>
          <w:spacing w:val="0"/>
          <w:kern w:val="0"/>
          <w:sz w:val="24"/>
          <w:szCs w:val="24"/>
          <w:highlight w:val="none"/>
          <w:lang w:eastAsia="zh-CN"/>
        </w:rPr>
        <w:t>，供应商</w:t>
      </w:r>
      <w:r>
        <w:rPr>
          <w:rFonts w:ascii="Times New Roman" w:hAnsi="Times New Roman" w:eastAsia="仿宋" w:cs="Times New Roman"/>
          <w:b/>
          <w:bCs/>
          <w:i w:val="0"/>
          <w:iCs w:val="0"/>
          <w:snapToGrid w:val="0"/>
          <w:color w:val="auto"/>
          <w:spacing w:val="0"/>
          <w:kern w:val="0"/>
          <w:sz w:val="24"/>
          <w:szCs w:val="24"/>
          <w:highlight w:val="none"/>
        </w:rPr>
        <w:t>须提供中国政府采购网查询截图或经市场监管总局《参与实施政府采购节能产品认证机构名录》中认证机构出具的有效节能产品认证证书，否则按无效投标处理。</w:t>
      </w:r>
    </w:p>
    <w:p>
      <w:pPr>
        <w:pStyle w:val="60"/>
        <w:keepNext w:val="0"/>
        <w:keepLines w:val="0"/>
        <w:pageBreakBefore w:val="0"/>
        <w:widowControl w:val="0"/>
        <w:kinsoku/>
        <w:wordWrap w:val="0"/>
        <w:overflowPunct/>
        <w:topLinePunct/>
        <w:autoSpaceDE/>
        <w:autoSpaceDN/>
        <w:bidi w:val="0"/>
        <w:adjustRightInd w:val="0"/>
        <w:snapToGrid w:val="0"/>
        <w:ind w:firstLine="470" w:firstLineChars="196"/>
        <w:jc w:val="center"/>
        <w:rPr>
          <w:rFonts w:ascii="Times New Roman" w:hAnsi="Times New Roman" w:eastAsia="仿宋" w:cs="Times New Roman"/>
          <w:snapToGrid w:val="0"/>
          <w:color w:val="auto"/>
          <w:spacing w:val="0"/>
          <w:kern w:val="0"/>
          <w:sz w:val="24"/>
          <w:szCs w:val="24"/>
          <w:highlight w:val="none"/>
        </w:rPr>
      </w:pPr>
    </w:p>
    <w:p>
      <w:pPr>
        <w:keepNext w:val="0"/>
        <w:keepLines w:val="0"/>
        <w:pageBreakBefore w:val="0"/>
        <w:widowControl/>
        <w:kinsoku/>
        <w:wordWrap/>
        <w:overflowPunct/>
        <w:topLinePunct w:val="0"/>
        <w:autoSpaceDE/>
        <w:autoSpaceDN/>
        <w:bidi w:val="0"/>
        <w:adjustRightInd/>
        <w:snapToGrid/>
        <w:spacing w:line="240" w:lineRule="auto"/>
        <w:jc w:val="left"/>
        <w:outlineLvl w:val="9"/>
        <w:rPr>
          <w:rFonts w:ascii="Calibri" w:hAnsi="Calibri" w:eastAsia="宋体" w:cs="Times New Roman"/>
          <w:szCs w:val="22"/>
        </w:rPr>
      </w:pPr>
    </w:p>
    <w:p>
      <w:pPr>
        <w:keepNext w:val="0"/>
        <w:keepLines w:val="0"/>
        <w:pageBreakBefore w:val="0"/>
        <w:widowControl/>
        <w:kinsoku/>
        <w:wordWrap/>
        <w:overflowPunct/>
        <w:topLinePunct w:val="0"/>
        <w:autoSpaceDE/>
        <w:autoSpaceDN/>
        <w:bidi w:val="0"/>
        <w:adjustRightInd/>
        <w:snapToGrid/>
        <w:spacing w:line="240" w:lineRule="auto"/>
        <w:jc w:val="left"/>
        <w:outlineLvl w:val="9"/>
        <w:rPr>
          <w:rFonts w:ascii="Calibri" w:hAnsi="Calibri" w:eastAsia="宋体" w:cs="Times New Roman"/>
          <w:szCs w:val="22"/>
        </w:rPr>
      </w:pPr>
    </w:p>
    <w:p>
      <w:pPr>
        <w:keepNext w:val="0"/>
        <w:keepLines w:val="0"/>
        <w:pageBreakBefore w:val="0"/>
        <w:widowControl w:val="0"/>
        <w:kinsoku/>
        <w:wordWrap w:val="0"/>
        <w:overflowPunct/>
        <w:topLinePunct/>
        <w:autoSpaceDE/>
        <w:autoSpaceDN/>
        <w:bidi w:val="0"/>
        <w:adjustRightInd w:val="0"/>
        <w:snapToGrid w:val="0"/>
        <w:spacing w:line="360" w:lineRule="auto"/>
        <w:jc w:val="center"/>
        <w:outlineLvl w:val="2"/>
        <w:rPr>
          <w:rFonts w:ascii="Times New Roman" w:hAnsi="Times New Roman" w:eastAsia="仿宋" w:cs="Times New Roman"/>
          <w:snapToGrid w:val="0"/>
          <w:color w:val="auto"/>
          <w:spacing w:val="0"/>
          <w:kern w:val="0"/>
          <w:sz w:val="24"/>
          <w:szCs w:val="24"/>
          <w:highlight w:val="none"/>
        </w:rPr>
      </w:pPr>
      <w:r>
        <w:rPr>
          <w:rFonts w:ascii="Times New Roman" w:hAnsi="Times New Roman" w:eastAsia="仿宋" w:cs="Times New Roman"/>
          <w:b/>
          <w:snapToGrid w:val="0"/>
          <w:color w:val="auto"/>
          <w:spacing w:val="0"/>
          <w:kern w:val="0"/>
          <w:sz w:val="28"/>
          <w:szCs w:val="28"/>
          <w:highlight w:val="none"/>
        </w:rPr>
        <w:t>本项目核心产品一览表</w:t>
      </w:r>
    </w:p>
    <w:tbl>
      <w:tblPr>
        <w:tblStyle w:val="24"/>
        <w:tblW w:w="0" w:type="auto"/>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527"/>
        <w:gridCol w:w="6106"/>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rPr>
          <w:jc w:val="center"/>
        </w:trPr>
        <w:tc>
          <w:tcPr>
            <w:tcW w:w="152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val="0"/>
              <w:overflowPunct/>
              <w:topLinePunct/>
              <w:autoSpaceDE/>
              <w:autoSpaceDN/>
              <w:bidi w:val="0"/>
              <w:adjustRightInd w:val="0"/>
              <w:snapToGrid w:val="0"/>
              <w:jc w:val="center"/>
              <w:rPr>
                <w:rFonts w:ascii="Times New Roman" w:hAnsi="Times New Roman" w:eastAsia="仿宋" w:cs="Times New Roman"/>
                <w:snapToGrid w:val="0"/>
                <w:color w:val="auto"/>
                <w:spacing w:val="0"/>
                <w:kern w:val="0"/>
                <w:szCs w:val="22"/>
                <w:highlight w:val="none"/>
              </w:rPr>
            </w:pPr>
            <w:r>
              <w:rPr>
                <w:rFonts w:ascii="Times New Roman" w:hAnsi="Times New Roman" w:eastAsia="仿宋" w:cs="Times New Roman"/>
                <w:snapToGrid w:val="0"/>
                <w:color w:val="auto"/>
                <w:spacing w:val="0"/>
                <w:kern w:val="0"/>
                <w:szCs w:val="22"/>
                <w:highlight w:val="none"/>
              </w:rPr>
              <w:t>序号</w:t>
            </w:r>
          </w:p>
        </w:tc>
        <w:tc>
          <w:tcPr>
            <w:tcW w:w="610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val="0"/>
              <w:overflowPunct/>
              <w:topLinePunct/>
              <w:autoSpaceDE/>
              <w:autoSpaceDN/>
              <w:bidi w:val="0"/>
              <w:adjustRightInd w:val="0"/>
              <w:snapToGrid w:val="0"/>
              <w:jc w:val="center"/>
              <w:rPr>
                <w:rFonts w:ascii="Times New Roman" w:hAnsi="Times New Roman" w:eastAsia="仿宋" w:cs="Times New Roman"/>
                <w:snapToGrid w:val="0"/>
                <w:color w:val="auto"/>
                <w:spacing w:val="0"/>
                <w:kern w:val="0"/>
                <w:szCs w:val="22"/>
                <w:highlight w:val="none"/>
              </w:rPr>
            </w:pPr>
            <w:r>
              <w:rPr>
                <w:rFonts w:ascii="Times New Roman" w:hAnsi="Times New Roman" w:eastAsia="仿宋" w:cs="Times New Roman"/>
                <w:snapToGrid w:val="0"/>
                <w:color w:val="auto"/>
                <w:spacing w:val="0"/>
                <w:kern w:val="0"/>
                <w:szCs w:val="22"/>
                <w:highlight w:val="none"/>
              </w:rPr>
              <w:t>核心产品名称</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1527" w:type="dxa"/>
            <w:tcBorders>
              <w:top w:val="outset" w:color="auto" w:sz="6" w:space="0"/>
              <w:left w:val="outset" w:color="auto" w:sz="6" w:space="0"/>
              <w:bottom w:val="outset" w:color="auto" w:sz="6" w:space="0"/>
              <w:right w:val="outset" w:color="auto" w:sz="6" w:space="0"/>
            </w:tcBorders>
            <w:noWrap w:val="0"/>
            <w:vAlign w:val="top"/>
          </w:tcPr>
          <w:p>
            <w:pPr>
              <w:widowControl/>
              <w:spacing w:line="360" w:lineRule="auto"/>
              <w:jc w:val="center"/>
              <w:rPr>
                <w:rFonts w:ascii="宋体" w:hAnsi="宋体" w:eastAsia="宋体" w:cs="宋体"/>
                <w:color w:val="000000"/>
                <w:kern w:val="0"/>
                <w:sz w:val="24"/>
                <w:szCs w:val="22"/>
                <w:lang w:val="en-US" w:eastAsia="zh-CN" w:bidi="ar-SA"/>
              </w:rPr>
            </w:pPr>
            <w:r>
              <w:rPr>
                <w:rFonts w:hint="eastAsia" w:ascii="宋体" w:hAnsi="宋体" w:eastAsia="宋体" w:cs="宋体"/>
                <w:color w:val="000000"/>
                <w:kern w:val="0"/>
                <w:sz w:val="24"/>
                <w:szCs w:val="22"/>
              </w:rPr>
              <w:t>11</w:t>
            </w:r>
          </w:p>
        </w:tc>
        <w:tc>
          <w:tcPr>
            <w:tcW w:w="6106" w:type="dxa"/>
            <w:tcBorders>
              <w:top w:val="outset" w:color="auto" w:sz="6" w:space="0"/>
              <w:left w:val="outset" w:color="auto" w:sz="6" w:space="0"/>
              <w:bottom w:val="outset" w:color="auto" w:sz="6" w:space="0"/>
              <w:right w:val="outset" w:color="auto" w:sz="6" w:space="0"/>
            </w:tcBorders>
            <w:noWrap w:val="0"/>
            <w:vAlign w:val="top"/>
          </w:tcPr>
          <w:p>
            <w:pPr>
              <w:widowControl/>
              <w:spacing w:line="360" w:lineRule="auto"/>
              <w:jc w:val="center"/>
              <w:rPr>
                <w:rFonts w:ascii="宋体" w:hAnsi="宋体" w:eastAsia="宋体" w:cs="宋体"/>
                <w:color w:val="000000"/>
                <w:kern w:val="0"/>
                <w:sz w:val="24"/>
                <w:szCs w:val="22"/>
                <w:lang w:val="en-US" w:eastAsia="zh-CN" w:bidi="ar-SA"/>
              </w:rPr>
            </w:pPr>
            <w:r>
              <w:rPr>
                <w:rFonts w:hint="eastAsia" w:ascii="宋体" w:hAnsi="宋体" w:eastAsia="宋体" w:cs="宋体"/>
                <w:color w:val="000000"/>
                <w:kern w:val="0"/>
                <w:sz w:val="24"/>
                <w:szCs w:val="22"/>
              </w:rPr>
              <w:t>▲人脸识别门禁中间机</w:t>
            </w:r>
          </w:p>
        </w:tc>
      </w:tr>
    </w:tbl>
    <w:p>
      <w:pPr>
        <w:pStyle w:val="60"/>
        <w:keepNext w:val="0"/>
        <w:keepLines w:val="0"/>
        <w:pageBreakBefore w:val="0"/>
        <w:widowControl w:val="0"/>
        <w:kinsoku/>
        <w:wordWrap w:val="0"/>
        <w:overflowPunct/>
        <w:topLinePunct/>
        <w:autoSpaceDE/>
        <w:autoSpaceDN/>
        <w:bidi w:val="0"/>
        <w:adjustRightInd w:val="0"/>
        <w:snapToGrid w:val="0"/>
        <w:ind w:firstLine="470" w:firstLineChars="196"/>
        <w:jc w:val="center"/>
        <w:rPr>
          <w:rFonts w:ascii="Times New Roman" w:hAnsi="Times New Roman" w:eastAsia="仿宋" w:cs="Times New Roman"/>
          <w:snapToGrid w:val="0"/>
          <w:color w:val="auto"/>
          <w:spacing w:val="0"/>
          <w:kern w:val="0"/>
          <w:sz w:val="24"/>
          <w:szCs w:val="24"/>
          <w:highlight w:val="none"/>
        </w:rPr>
      </w:pPr>
    </w:p>
    <w:p>
      <w:pPr>
        <w:pStyle w:val="60"/>
        <w:keepNext w:val="0"/>
        <w:keepLines w:val="0"/>
        <w:pageBreakBefore w:val="0"/>
        <w:widowControl w:val="0"/>
        <w:kinsoku/>
        <w:wordWrap w:val="0"/>
        <w:overflowPunct/>
        <w:topLinePunct/>
        <w:autoSpaceDE/>
        <w:autoSpaceDN/>
        <w:bidi w:val="0"/>
        <w:adjustRightInd w:val="0"/>
        <w:snapToGrid w:val="0"/>
        <w:ind w:firstLine="470" w:firstLineChars="196"/>
        <w:rPr>
          <w:rFonts w:ascii="Times New Roman" w:hAnsi="Times New Roman" w:eastAsia="仿宋" w:cs="Times New Roman"/>
          <w:snapToGrid w:val="0"/>
          <w:color w:val="auto"/>
          <w:spacing w:val="0"/>
          <w:kern w:val="0"/>
          <w:sz w:val="24"/>
          <w:szCs w:val="24"/>
          <w:highlight w:val="none"/>
        </w:rPr>
      </w:pPr>
      <w:r>
        <w:rPr>
          <w:rFonts w:ascii="Times New Roman" w:hAnsi="Times New Roman" w:eastAsia="仿宋" w:cs="Times New Roman"/>
          <w:snapToGrid w:val="0"/>
          <w:color w:val="auto"/>
          <w:spacing w:val="0"/>
          <w:kern w:val="0"/>
          <w:sz w:val="24"/>
          <w:szCs w:val="24"/>
          <w:highlight w:val="none"/>
        </w:rPr>
        <w:t>备注：1.本表序号为采购需求一览表中对应的产品序号；</w:t>
      </w:r>
    </w:p>
    <w:p>
      <w:pPr>
        <w:pStyle w:val="60"/>
        <w:keepNext w:val="0"/>
        <w:keepLines w:val="0"/>
        <w:pageBreakBefore w:val="0"/>
        <w:widowControl w:val="0"/>
        <w:kinsoku/>
        <w:wordWrap w:val="0"/>
        <w:overflowPunct/>
        <w:topLinePunct/>
        <w:autoSpaceDE/>
        <w:autoSpaceDN/>
        <w:bidi w:val="0"/>
        <w:adjustRightInd w:val="0"/>
        <w:snapToGrid w:val="0"/>
        <w:ind w:firstLine="1200" w:firstLineChars="500"/>
        <w:rPr>
          <w:rFonts w:ascii="Times New Roman" w:hAnsi="Times New Roman" w:eastAsia="仿宋" w:cs="Times New Roman"/>
          <w:snapToGrid w:val="0"/>
          <w:color w:val="auto"/>
          <w:spacing w:val="0"/>
          <w:kern w:val="0"/>
          <w:sz w:val="24"/>
          <w:szCs w:val="24"/>
          <w:highlight w:val="none"/>
        </w:rPr>
      </w:pPr>
      <w:r>
        <w:rPr>
          <w:rFonts w:ascii="Times New Roman" w:hAnsi="Times New Roman" w:eastAsia="仿宋" w:cs="Times New Roman"/>
          <w:snapToGrid w:val="0"/>
          <w:color w:val="auto"/>
          <w:spacing w:val="0"/>
          <w:kern w:val="0"/>
          <w:sz w:val="24"/>
          <w:szCs w:val="24"/>
          <w:highlight w:val="none"/>
        </w:rPr>
        <w:t xml:space="preserve">2.上表应根据具体项目和评标办法合理填写。     </w:t>
      </w:r>
    </w:p>
    <w:p>
      <w:pPr>
        <w:keepNext w:val="0"/>
        <w:keepLines w:val="0"/>
        <w:pageBreakBefore w:val="0"/>
        <w:widowControl w:val="0"/>
        <w:kinsoku/>
        <w:wordWrap w:val="0"/>
        <w:overflowPunct/>
        <w:topLinePunct/>
        <w:autoSpaceDE/>
        <w:autoSpaceDN/>
        <w:bidi w:val="0"/>
        <w:adjustRightInd w:val="0"/>
        <w:snapToGrid w:val="0"/>
        <w:rPr>
          <w:rFonts w:ascii="Times New Roman" w:hAnsi="Times New Roman" w:eastAsia="仿宋" w:cs="Times New Roman"/>
          <w:snapToGrid w:val="0"/>
          <w:color w:val="auto"/>
          <w:spacing w:val="0"/>
          <w:kern w:val="0"/>
          <w:szCs w:val="22"/>
          <w:highlight w:val="none"/>
        </w:rPr>
      </w:pPr>
    </w:p>
    <w:p>
      <w:pPr>
        <w:spacing w:line="360" w:lineRule="auto"/>
        <w:ind w:firstLine="241" w:firstLineChars="100"/>
        <w:outlineLvl w:val="1"/>
        <w:rPr>
          <w:rFonts w:ascii="宋体" w:eastAsia="宋体"/>
          <w:b/>
          <w:bCs/>
          <w:sz w:val="24"/>
          <w:szCs w:val="18"/>
          <w:highlight w:val="none"/>
        </w:rPr>
      </w:pPr>
      <w:bookmarkStart w:id="81" w:name="_Toc31017"/>
      <w:r>
        <w:rPr>
          <w:rFonts w:hint="eastAsia" w:ascii="宋体" w:eastAsia="宋体"/>
          <w:b/>
          <w:bCs/>
          <w:sz w:val="24"/>
          <w:szCs w:val="18"/>
          <w:highlight w:val="none"/>
          <w:lang w:val="en-US" w:eastAsia="zh-CN"/>
        </w:rPr>
        <w:t>五</w:t>
      </w:r>
      <w:r>
        <w:rPr>
          <w:rFonts w:hint="eastAsia" w:ascii="宋体" w:eastAsia="宋体"/>
          <w:b/>
          <w:bCs/>
          <w:sz w:val="24"/>
          <w:szCs w:val="18"/>
          <w:highlight w:val="none"/>
        </w:rPr>
        <w:t>、报价要求</w:t>
      </w:r>
      <w:bookmarkEnd w:id="77"/>
      <w:bookmarkEnd w:id="78"/>
      <w:bookmarkEnd w:id="81"/>
    </w:p>
    <w:p>
      <w:pPr>
        <w:spacing w:line="360" w:lineRule="auto"/>
        <w:ind w:firstLine="437"/>
        <w:rPr>
          <w:rFonts w:ascii="宋体" w:eastAsia="宋体"/>
          <w:bCs/>
          <w:sz w:val="24"/>
          <w:szCs w:val="18"/>
          <w:highlight w:val="none"/>
        </w:rPr>
      </w:pPr>
      <w:r>
        <w:rPr>
          <w:rFonts w:hint="eastAsia" w:ascii="宋体" w:eastAsia="宋体"/>
          <w:bCs/>
          <w:sz w:val="24"/>
          <w:szCs w:val="18"/>
          <w:highlight w:val="none"/>
        </w:rPr>
        <w:t>供应商须根据采购需求，报出总价。报价为完成本次项目的全费用价格。</w:t>
      </w:r>
    </w:p>
    <w:p>
      <w:pPr>
        <w:spacing w:line="360" w:lineRule="auto"/>
        <w:ind w:firstLine="480" w:firstLineChars="200"/>
        <w:rPr>
          <w:rFonts w:ascii="宋体" w:eastAsia="宋体"/>
          <w:sz w:val="24"/>
          <w:highlight w:val="none"/>
        </w:rPr>
      </w:pPr>
      <w:r>
        <w:rPr>
          <w:rFonts w:ascii="宋体" w:eastAsia="宋体"/>
          <w:sz w:val="24"/>
          <w:highlight w:val="none"/>
        </w:rPr>
        <w:br w:type="page"/>
      </w:r>
    </w:p>
    <w:p>
      <w:pPr>
        <w:spacing w:line="360" w:lineRule="auto"/>
        <w:jc w:val="center"/>
        <w:outlineLvl w:val="0"/>
        <w:rPr>
          <w:rFonts w:ascii="宋体" w:eastAsia="宋体"/>
          <w:b/>
          <w:sz w:val="28"/>
          <w:highlight w:val="none"/>
        </w:rPr>
      </w:pPr>
      <w:bookmarkStart w:id="82" w:name="_Toc7390"/>
      <w:bookmarkStart w:id="83" w:name="_Toc4328"/>
      <w:bookmarkStart w:id="84" w:name="_Toc27168"/>
      <w:bookmarkStart w:id="85" w:name="_Toc30207"/>
      <w:bookmarkStart w:id="86" w:name="_Toc12627"/>
      <w:r>
        <w:rPr>
          <w:rFonts w:hint="eastAsia" w:ascii="宋体" w:eastAsia="宋体"/>
          <w:b/>
          <w:sz w:val="28"/>
          <w:highlight w:val="none"/>
        </w:rPr>
        <w:t>第四章  评标方法和标准（最低评标价法）</w:t>
      </w:r>
      <w:bookmarkEnd w:id="82"/>
      <w:bookmarkEnd w:id="83"/>
      <w:bookmarkEnd w:id="84"/>
      <w:bookmarkEnd w:id="85"/>
      <w:bookmarkEnd w:id="86"/>
    </w:p>
    <w:p>
      <w:pPr>
        <w:spacing w:line="360" w:lineRule="auto"/>
        <w:ind w:firstLine="437"/>
        <w:outlineLvl w:val="1"/>
        <w:rPr>
          <w:rFonts w:ascii="宋体" w:eastAsia="宋体"/>
          <w:b/>
          <w:sz w:val="24"/>
          <w:highlight w:val="none"/>
        </w:rPr>
      </w:pPr>
      <w:bookmarkStart w:id="87" w:name="_Toc22115"/>
      <w:bookmarkStart w:id="88" w:name="_Toc6560"/>
      <w:bookmarkStart w:id="89" w:name="_Toc21712"/>
      <w:r>
        <w:rPr>
          <w:rFonts w:hint="eastAsia" w:ascii="宋体" w:eastAsia="宋体"/>
          <w:b/>
          <w:sz w:val="24"/>
          <w:highlight w:val="none"/>
        </w:rPr>
        <w:t>一、总则</w:t>
      </w:r>
      <w:bookmarkEnd w:id="87"/>
      <w:bookmarkEnd w:id="88"/>
      <w:bookmarkEnd w:id="89"/>
    </w:p>
    <w:p>
      <w:pPr>
        <w:spacing w:line="360" w:lineRule="auto"/>
        <w:ind w:firstLine="435"/>
        <w:rPr>
          <w:rFonts w:ascii="宋体" w:eastAsia="宋体"/>
          <w:sz w:val="24"/>
          <w:highlight w:val="none"/>
        </w:rPr>
      </w:pPr>
      <w:r>
        <w:rPr>
          <w:rFonts w:hint="eastAsia" w:ascii="宋体" w:eastAsia="宋体"/>
          <w:sz w:val="24"/>
          <w:highlight w:val="none"/>
        </w:rPr>
        <w:t>本项目将按照招标文件第二章投标人须知的相关要求</w:t>
      </w:r>
      <w:r>
        <w:rPr>
          <w:rFonts w:ascii="宋体" w:eastAsia="宋体"/>
          <w:sz w:val="24"/>
          <w:highlight w:val="none"/>
        </w:rPr>
        <w:t>及本章的规定评标。</w:t>
      </w:r>
    </w:p>
    <w:p>
      <w:pPr>
        <w:spacing w:line="360" w:lineRule="auto"/>
        <w:ind w:firstLine="437"/>
        <w:outlineLvl w:val="1"/>
        <w:rPr>
          <w:rFonts w:ascii="宋体" w:eastAsia="宋体"/>
          <w:b/>
          <w:sz w:val="24"/>
          <w:highlight w:val="none"/>
        </w:rPr>
      </w:pPr>
      <w:bookmarkStart w:id="90" w:name="_Toc12247"/>
      <w:bookmarkStart w:id="91" w:name="_Toc27343"/>
      <w:bookmarkStart w:id="92" w:name="_Toc28533"/>
      <w:r>
        <w:rPr>
          <w:rFonts w:hint="eastAsia" w:ascii="宋体" w:eastAsia="宋体"/>
          <w:b/>
          <w:sz w:val="24"/>
          <w:highlight w:val="none"/>
        </w:rPr>
        <w:t>二、评标方法</w:t>
      </w:r>
      <w:bookmarkEnd w:id="90"/>
      <w:bookmarkEnd w:id="91"/>
      <w:bookmarkEnd w:id="92"/>
    </w:p>
    <w:p>
      <w:pPr>
        <w:spacing w:line="360" w:lineRule="auto"/>
        <w:ind w:firstLine="437"/>
        <w:outlineLvl w:val="2"/>
        <w:rPr>
          <w:rFonts w:ascii="宋体" w:eastAsia="宋体"/>
          <w:sz w:val="24"/>
          <w:highlight w:val="none"/>
        </w:rPr>
      </w:pPr>
      <w:r>
        <w:rPr>
          <w:rFonts w:hint="eastAsia" w:ascii="宋体" w:eastAsia="宋体"/>
          <w:sz w:val="24"/>
          <w:highlight w:val="none"/>
        </w:rPr>
        <w:t>2.1资格审查</w:t>
      </w:r>
    </w:p>
    <w:tbl>
      <w:tblPr>
        <w:tblStyle w:val="24"/>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1651"/>
        <w:gridCol w:w="4556"/>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pPr>
              <w:adjustRightInd w:val="0"/>
              <w:snapToGrid w:val="0"/>
              <w:spacing w:line="360" w:lineRule="auto"/>
              <w:ind w:right="-10"/>
              <w:jc w:val="center"/>
              <w:rPr>
                <w:rFonts w:ascii="宋体" w:eastAsia="宋体"/>
                <w:sz w:val="24"/>
                <w:highlight w:val="none"/>
              </w:rPr>
            </w:pPr>
            <w:r>
              <w:rPr>
                <w:rFonts w:hint="eastAsia" w:ascii="宋体" w:eastAsia="宋体"/>
                <w:b/>
                <w:sz w:val="24"/>
                <w:szCs w:val="22"/>
                <w:highlight w:val="none"/>
              </w:rPr>
              <w:t>资格审查表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Borders>
              <w:bottom w:val="single" w:color="auto" w:sz="4" w:space="0"/>
            </w:tcBorders>
            <w:vAlign w:val="center"/>
          </w:tcPr>
          <w:p>
            <w:pPr>
              <w:adjustRightInd w:val="0"/>
              <w:snapToGrid w:val="0"/>
              <w:spacing w:line="360" w:lineRule="auto"/>
              <w:ind w:right="-10"/>
              <w:jc w:val="center"/>
              <w:rPr>
                <w:rFonts w:ascii="宋体" w:eastAsia="宋体"/>
                <w:sz w:val="24"/>
                <w:highlight w:val="none"/>
              </w:rPr>
            </w:pPr>
            <w:r>
              <w:rPr>
                <w:rFonts w:hint="eastAsia" w:ascii="宋体" w:eastAsia="宋体"/>
                <w:sz w:val="24"/>
                <w:highlight w:val="none"/>
              </w:rPr>
              <w:t>序号</w:t>
            </w:r>
          </w:p>
        </w:tc>
        <w:tc>
          <w:tcPr>
            <w:tcW w:w="942" w:type="pct"/>
            <w:tcBorders>
              <w:bottom w:val="single" w:color="auto" w:sz="4" w:space="0"/>
            </w:tcBorders>
            <w:vAlign w:val="center"/>
          </w:tcPr>
          <w:p>
            <w:pPr>
              <w:pStyle w:val="41"/>
              <w:pBdr>
                <w:bottom w:val="none" w:color="auto" w:sz="0" w:space="0"/>
              </w:pBdr>
              <w:tabs>
                <w:tab w:val="clear" w:pos="4153"/>
                <w:tab w:val="clear" w:pos="8306"/>
              </w:tabs>
              <w:adjustRightInd w:val="0"/>
              <w:snapToGrid w:val="0"/>
              <w:spacing w:line="360" w:lineRule="auto"/>
              <w:ind w:right="-10"/>
              <w:textAlignment w:val="auto"/>
              <w:rPr>
                <w:rFonts w:ascii="宋体" w:eastAsia="宋体"/>
                <w:kern w:val="2"/>
                <w:szCs w:val="24"/>
                <w:highlight w:val="none"/>
              </w:rPr>
            </w:pPr>
            <w:r>
              <w:rPr>
                <w:rFonts w:hint="eastAsia" w:ascii="宋体" w:eastAsia="宋体"/>
                <w:kern w:val="2"/>
                <w:szCs w:val="24"/>
                <w:highlight w:val="none"/>
              </w:rPr>
              <w:t>审查指标</w:t>
            </w:r>
          </w:p>
        </w:tc>
        <w:tc>
          <w:tcPr>
            <w:tcW w:w="2600" w:type="pct"/>
            <w:tcBorders>
              <w:bottom w:val="single" w:color="auto" w:sz="4" w:space="0"/>
            </w:tcBorders>
            <w:vAlign w:val="center"/>
          </w:tcPr>
          <w:p>
            <w:pPr>
              <w:adjustRightInd w:val="0"/>
              <w:snapToGrid w:val="0"/>
              <w:spacing w:line="360" w:lineRule="auto"/>
              <w:ind w:right="-10"/>
              <w:jc w:val="center"/>
              <w:rPr>
                <w:rFonts w:ascii="宋体" w:eastAsia="宋体"/>
                <w:sz w:val="24"/>
                <w:highlight w:val="none"/>
              </w:rPr>
            </w:pPr>
            <w:r>
              <w:rPr>
                <w:rFonts w:hint="eastAsia" w:ascii="宋体" w:eastAsia="宋体"/>
                <w:sz w:val="24"/>
                <w:highlight w:val="none"/>
              </w:rPr>
              <w:t>审查标准</w:t>
            </w:r>
          </w:p>
        </w:tc>
        <w:tc>
          <w:tcPr>
            <w:tcW w:w="1080" w:type="pct"/>
            <w:tcBorders>
              <w:bottom w:val="single" w:color="auto" w:sz="4" w:space="0"/>
            </w:tcBorders>
            <w:vAlign w:val="center"/>
          </w:tcPr>
          <w:p>
            <w:pPr>
              <w:adjustRightInd w:val="0"/>
              <w:snapToGrid w:val="0"/>
              <w:spacing w:line="360" w:lineRule="auto"/>
              <w:ind w:right="-10"/>
              <w:jc w:val="center"/>
              <w:rPr>
                <w:rFonts w:ascii="宋体" w:eastAsia="宋体"/>
                <w:sz w:val="24"/>
                <w:highlight w:val="none"/>
              </w:rPr>
            </w:pPr>
            <w:r>
              <w:rPr>
                <w:rFonts w:hint="eastAsia" w:ascii="宋体" w:eastAsia="宋体"/>
                <w:sz w:val="24"/>
                <w:highlight w:val="none"/>
              </w:rPr>
              <w:t>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76" w:type="pct"/>
            <w:tcBorders>
              <w:bottom w:val="single" w:color="auto" w:sz="4" w:space="0"/>
            </w:tcBorders>
            <w:vAlign w:val="center"/>
          </w:tcPr>
          <w:p>
            <w:pPr>
              <w:adjustRightInd w:val="0"/>
              <w:snapToGrid w:val="0"/>
              <w:spacing w:line="360" w:lineRule="auto"/>
              <w:ind w:right="-10"/>
              <w:jc w:val="center"/>
              <w:rPr>
                <w:rFonts w:ascii="宋体" w:eastAsia="宋体"/>
                <w:sz w:val="24"/>
                <w:highlight w:val="none"/>
              </w:rPr>
            </w:pPr>
            <w:r>
              <w:rPr>
                <w:rFonts w:hint="eastAsia" w:ascii="宋体" w:eastAsia="宋体"/>
                <w:sz w:val="24"/>
                <w:highlight w:val="none"/>
              </w:rPr>
              <w:t>1</w:t>
            </w:r>
          </w:p>
        </w:tc>
        <w:tc>
          <w:tcPr>
            <w:tcW w:w="942" w:type="pct"/>
            <w:tcBorders>
              <w:bottom w:val="single" w:color="auto" w:sz="4" w:space="0"/>
            </w:tcBorders>
            <w:vAlign w:val="center"/>
          </w:tcPr>
          <w:p>
            <w:pPr>
              <w:spacing w:after="50" w:line="360" w:lineRule="auto"/>
              <w:ind w:right="-10"/>
              <w:jc w:val="center"/>
              <w:rPr>
                <w:rFonts w:ascii="宋体" w:eastAsia="宋体"/>
                <w:sz w:val="24"/>
                <w:szCs w:val="28"/>
                <w:highlight w:val="none"/>
              </w:rPr>
            </w:pPr>
            <w:r>
              <w:rPr>
                <w:rFonts w:ascii="宋体" w:eastAsia="宋体" w:cs="宋体"/>
                <w:spacing w:val="9"/>
                <w:sz w:val="24"/>
                <w:szCs w:val="24"/>
                <w:highlight w:val="none"/>
              </w:rPr>
              <w:t>营业执照等证明</w:t>
            </w:r>
            <w:r>
              <w:rPr>
                <w:rFonts w:ascii="宋体" w:eastAsia="宋体" w:cs="宋体"/>
                <w:spacing w:val="-3"/>
                <w:sz w:val="24"/>
                <w:szCs w:val="24"/>
                <w:highlight w:val="none"/>
              </w:rPr>
              <w:t>文件</w:t>
            </w:r>
          </w:p>
        </w:tc>
        <w:tc>
          <w:tcPr>
            <w:tcW w:w="2600" w:type="pct"/>
            <w:tcBorders>
              <w:bottom w:val="single" w:color="auto" w:sz="4" w:space="0"/>
            </w:tcBorders>
            <w:vAlign w:val="center"/>
          </w:tcPr>
          <w:p>
            <w:pPr>
              <w:spacing w:after="50" w:line="360" w:lineRule="auto"/>
              <w:ind w:right="-10"/>
              <w:jc w:val="left"/>
              <w:rPr>
                <w:rFonts w:ascii="宋体" w:eastAsia="宋体" w:cs="宋体"/>
                <w:sz w:val="24"/>
                <w:szCs w:val="24"/>
                <w:highlight w:val="none"/>
              </w:rPr>
            </w:pPr>
            <w:r>
              <w:rPr>
                <w:rFonts w:hint="eastAsia" w:ascii="宋体" w:eastAsia="宋体" w:cs="宋体"/>
                <w:sz w:val="24"/>
                <w:szCs w:val="24"/>
                <w:highlight w:val="none"/>
              </w:rPr>
              <w:t>（1）</w:t>
            </w:r>
            <w:r>
              <w:rPr>
                <w:rFonts w:ascii="宋体" w:eastAsia="宋体" w:cs="宋体"/>
                <w:sz w:val="24"/>
                <w:szCs w:val="24"/>
                <w:highlight w:val="none"/>
              </w:rPr>
              <w:t>投标人为企业（包括合伙企业）的，应</w:t>
            </w:r>
            <w:r>
              <w:rPr>
                <w:rFonts w:hint="eastAsia" w:ascii="宋体" w:eastAsia="宋体" w:cs="宋体"/>
                <w:sz w:val="24"/>
                <w:szCs w:val="24"/>
                <w:highlight w:val="none"/>
              </w:rPr>
              <w:t>提</w:t>
            </w:r>
            <w:r>
              <w:rPr>
                <w:rFonts w:ascii="宋体" w:eastAsia="宋体" w:cs="宋体"/>
                <w:sz w:val="24"/>
                <w:szCs w:val="24"/>
                <w:highlight w:val="none"/>
              </w:rPr>
              <w:t>供有效的营业执照；</w:t>
            </w:r>
          </w:p>
          <w:p>
            <w:pPr>
              <w:spacing w:after="50" w:line="360" w:lineRule="auto"/>
              <w:ind w:right="-10"/>
              <w:jc w:val="left"/>
              <w:rPr>
                <w:rFonts w:ascii="宋体" w:eastAsia="宋体" w:cs="宋体"/>
                <w:sz w:val="24"/>
                <w:szCs w:val="24"/>
                <w:highlight w:val="none"/>
              </w:rPr>
            </w:pPr>
            <w:r>
              <w:rPr>
                <w:rFonts w:hint="eastAsia" w:ascii="宋体" w:eastAsia="宋体" w:cs="宋体"/>
                <w:sz w:val="24"/>
                <w:szCs w:val="24"/>
                <w:highlight w:val="none"/>
              </w:rPr>
              <w:t>（2）</w:t>
            </w:r>
            <w:r>
              <w:rPr>
                <w:rFonts w:ascii="宋体" w:eastAsia="宋体" w:cs="宋体"/>
                <w:sz w:val="24"/>
                <w:szCs w:val="24"/>
                <w:highlight w:val="none"/>
              </w:rPr>
              <w:t>投标人为事业单位的，应</w:t>
            </w:r>
            <w:r>
              <w:rPr>
                <w:rFonts w:hint="eastAsia" w:ascii="宋体" w:eastAsia="宋体" w:cs="宋体"/>
                <w:sz w:val="24"/>
                <w:szCs w:val="24"/>
                <w:highlight w:val="none"/>
              </w:rPr>
              <w:t>提</w:t>
            </w:r>
            <w:r>
              <w:rPr>
                <w:rFonts w:ascii="宋体" w:eastAsia="宋体" w:cs="宋体"/>
                <w:sz w:val="24"/>
                <w:szCs w:val="24"/>
                <w:highlight w:val="none"/>
              </w:rPr>
              <w:t>供有效的事业单位法人证书；</w:t>
            </w:r>
          </w:p>
          <w:p>
            <w:pPr>
              <w:spacing w:after="50" w:line="360" w:lineRule="auto"/>
              <w:ind w:right="-10"/>
              <w:jc w:val="left"/>
              <w:rPr>
                <w:rFonts w:ascii="宋体" w:eastAsia="宋体" w:cs="宋体"/>
                <w:sz w:val="24"/>
                <w:szCs w:val="24"/>
                <w:highlight w:val="none"/>
              </w:rPr>
            </w:pPr>
            <w:r>
              <w:rPr>
                <w:rFonts w:hint="eastAsia" w:ascii="宋体" w:eastAsia="宋体" w:cs="宋体"/>
                <w:sz w:val="24"/>
                <w:szCs w:val="24"/>
                <w:highlight w:val="none"/>
              </w:rPr>
              <w:t>（3）</w:t>
            </w:r>
            <w:r>
              <w:rPr>
                <w:rFonts w:ascii="宋体" w:eastAsia="宋体" w:cs="宋体"/>
                <w:sz w:val="24"/>
                <w:szCs w:val="24"/>
                <w:highlight w:val="none"/>
              </w:rPr>
              <w:t>投标人是非企业机构的，应</w:t>
            </w:r>
            <w:r>
              <w:rPr>
                <w:rFonts w:hint="eastAsia" w:ascii="宋体" w:eastAsia="宋体" w:cs="宋体"/>
                <w:sz w:val="24"/>
                <w:szCs w:val="24"/>
                <w:highlight w:val="none"/>
              </w:rPr>
              <w:t>提</w:t>
            </w:r>
            <w:r>
              <w:rPr>
                <w:rFonts w:ascii="宋体" w:eastAsia="宋体" w:cs="宋体"/>
                <w:sz w:val="24"/>
                <w:szCs w:val="24"/>
                <w:highlight w:val="none"/>
              </w:rPr>
              <w:t>供有效的执业许可证</w:t>
            </w:r>
            <w:r>
              <w:rPr>
                <w:rFonts w:hint="eastAsia" w:ascii="宋体" w:eastAsia="宋体" w:cs="宋体"/>
                <w:sz w:val="24"/>
                <w:szCs w:val="24"/>
                <w:highlight w:val="none"/>
              </w:rPr>
              <w:t>或</w:t>
            </w:r>
            <w:r>
              <w:rPr>
                <w:rFonts w:ascii="宋体" w:eastAsia="宋体" w:cs="宋体"/>
                <w:sz w:val="24"/>
                <w:szCs w:val="24"/>
                <w:highlight w:val="none"/>
              </w:rPr>
              <w:t>登记证书等证明文件；</w:t>
            </w:r>
          </w:p>
          <w:p>
            <w:pPr>
              <w:spacing w:after="50" w:line="360" w:lineRule="auto"/>
              <w:ind w:right="-10"/>
              <w:jc w:val="left"/>
              <w:rPr>
                <w:rFonts w:ascii="宋体" w:eastAsia="宋体" w:cs="宋体"/>
                <w:sz w:val="24"/>
                <w:szCs w:val="24"/>
                <w:highlight w:val="none"/>
              </w:rPr>
            </w:pPr>
            <w:r>
              <w:rPr>
                <w:rFonts w:hint="eastAsia" w:ascii="宋体" w:eastAsia="宋体" w:cs="宋体"/>
                <w:sz w:val="24"/>
                <w:szCs w:val="24"/>
                <w:highlight w:val="none"/>
              </w:rPr>
              <w:t>（4）</w:t>
            </w:r>
            <w:r>
              <w:rPr>
                <w:rFonts w:ascii="宋体" w:eastAsia="宋体" w:cs="宋体"/>
                <w:sz w:val="24"/>
                <w:szCs w:val="24"/>
                <w:highlight w:val="none"/>
              </w:rPr>
              <w:t>投标人是个体工商户的，应</w:t>
            </w:r>
            <w:r>
              <w:rPr>
                <w:rFonts w:hint="eastAsia" w:ascii="宋体" w:eastAsia="宋体" w:cs="宋体"/>
                <w:sz w:val="24"/>
                <w:szCs w:val="24"/>
                <w:highlight w:val="none"/>
              </w:rPr>
              <w:t>提</w:t>
            </w:r>
            <w:r>
              <w:rPr>
                <w:rFonts w:ascii="宋体" w:eastAsia="宋体" w:cs="宋体"/>
                <w:sz w:val="24"/>
                <w:szCs w:val="24"/>
                <w:highlight w:val="none"/>
              </w:rPr>
              <w:t>供有效的个体工商户营业执照；</w:t>
            </w:r>
          </w:p>
          <w:p>
            <w:pPr>
              <w:spacing w:after="50" w:line="360" w:lineRule="auto"/>
              <w:ind w:right="-10"/>
              <w:jc w:val="left"/>
              <w:rPr>
                <w:rFonts w:ascii="宋体" w:eastAsia="宋体"/>
                <w:sz w:val="24"/>
                <w:szCs w:val="28"/>
                <w:highlight w:val="none"/>
              </w:rPr>
            </w:pPr>
            <w:r>
              <w:rPr>
                <w:rFonts w:hint="eastAsia" w:ascii="宋体" w:eastAsia="宋体" w:cs="宋体"/>
                <w:sz w:val="24"/>
                <w:szCs w:val="24"/>
                <w:highlight w:val="none"/>
              </w:rPr>
              <w:t>（5）</w:t>
            </w:r>
            <w:r>
              <w:rPr>
                <w:rFonts w:ascii="宋体" w:eastAsia="宋体" w:cs="宋体"/>
                <w:sz w:val="24"/>
                <w:szCs w:val="24"/>
                <w:highlight w:val="none"/>
              </w:rPr>
              <w:t>投标人是自然人的，应</w:t>
            </w:r>
            <w:r>
              <w:rPr>
                <w:rFonts w:hint="eastAsia" w:ascii="宋体" w:eastAsia="宋体" w:cs="宋体"/>
                <w:sz w:val="24"/>
                <w:szCs w:val="24"/>
                <w:highlight w:val="none"/>
              </w:rPr>
              <w:t>提</w:t>
            </w:r>
            <w:r>
              <w:rPr>
                <w:rFonts w:ascii="宋体" w:eastAsia="宋体" w:cs="宋体"/>
                <w:sz w:val="24"/>
                <w:szCs w:val="24"/>
                <w:highlight w:val="none"/>
              </w:rPr>
              <w:t>供有效的自然人身份证明</w:t>
            </w:r>
            <w:r>
              <w:rPr>
                <w:rFonts w:hint="eastAsia" w:ascii="宋体" w:eastAsia="宋体" w:cs="宋体"/>
                <w:sz w:val="24"/>
                <w:szCs w:val="24"/>
                <w:highlight w:val="none"/>
              </w:rPr>
              <w:t>；</w:t>
            </w:r>
          </w:p>
        </w:tc>
        <w:tc>
          <w:tcPr>
            <w:tcW w:w="1080" w:type="pct"/>
            <w:vAlign w:val="center"/>
          </w:tcPr>
          <w:p>
            <w:pPr>
              <w:spacing w:line="360" w:lineRule="auto"/>
              <w:jc w:val="left"/>
              <w:rPr>
                <w:rFonts w:ascii="宋体" w:eastAsia="宋体"/>
                <w:sz w:val="24"/>
                <w:highlight w:val="none"/>
              </w:rPr>
            </w:pPr>
            <w:r>
              <w:rPr>
                <w:rFonts w:hint="eastAsia" w:ascii="宋体" w:eastAsia="宋体" w:cs="宋体"/>
                <w:sz w:val="24"/>
                <w:szCs w:val="24"/>
                <w:highlight w:val="none"/>
              </w:rPr>
              <w:t>提供材料扫描件或电子证照，应完整的体现出材料或电子证照全部内容。联合体投标的联合体各方均须提供。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76" w:type="pct"/>
            <w:tcBorders>
              <w:bottom w:val="single" w:color="auto" w:sz="4" w:space="0"/>
            </w:tcBorders>
            <w:vAlign w:val="center"/>
          </w:tcPr>
          <w:p>
            <w:pPr>
              <w:adjustRightInd w:val="0"/>
              <w:snapToGrid w:val="0"/>
              <w:spacing w:line="360" w:lineRule="auto"/>
              <w:ind w:right="-10"/>
              <w:jc w:val="center"/>
              <w:rPr>
                <w:rFonts w:ascii="宋体" w:eastAsia="宋体"/>
                <w:sz w:val="24"/>
                <w:highlight w:val="none"/>
              </w:rPr>
            </w:pPr>
            <w:r>
              <w:rPr>
                <w:rFonts w:hint="eastAsia" w:ascii="宋体" w:eastAsia="宋体"/>
                <w:sz w:val="24"/>
                <w:highlight w:val="none"/>
              </w:rPr>
              <w:t>2</w:t>
            </w:r>
          </w:p>
        </w:tc>
        <w:tc>
          <w:tcPr>
            <w:tcW w:w="942" w:type="pct"/>
            <w:tcBorders>
              <w:bottom w:val="single" w:color="auto" w:sz="4" w:space="0"/>
            </w:tcBorders>
            <w:vAlign w:val="center"/>
          </w:tcPr>
          <w:p>
            <w:pPr>
              <w:spacing w:after="50" w:line="360" w:lineRule="auto"/>
              <w:ind w:right="-10"/>
              <w:jc w:val="center"/>
              <w:rPr>
                <w:rFonts w:ascii="宋体" w:eastAsia="宋体"/>
                <w:sz w:val="24"/>
                <w:szCs w:val="28"/>
                <w:highlight w:val="none"/>
              </w:rPr>
            </w:pPr>
            <w:r>
              <w:rPr>
                <w:rFonts w:hint="eastAsia" w:ascii="宋体" w:eastAsia="宋体"/>
                <w:sz w:val="24"/>
                <w:szCs w:val="18"/>
                <w:highlight w:val="none"/>
              </w:rPr>
              <w:t>投标人资格声明书</w:t>
            </w:r>
          </w:p>
        </w:tc>
        <w:tc>
          <w:tcPr>
            <w:tcW w:w="2600" w:type="pct"/>
            <w:tcBorders>
              <w:bottom w:val="single" w:color="auto" w:sz="4" w:space="0"/>
            </w:tcBorders>
            <w:vAlign w:val="center"/>
          </w:tcPr>
          <w:p>
            <w:pPr>
              <w:spacing w:after="50" w:line="360" w:lineRule="auto"/>
              <w:ind w:right="-10"/>
              <w:jc w:val="left"/>
              <w:rPr>
                <w:rFonts w:ascii="宋体" w:eastAsia="宋体"/>
                <w:sz w:val="24"/>
                <w:szCs w:val="28"/>
                <w:highlight w:val="none"/>
              </w:rPr>
            </w:pPr>
            <w:r>
              <w:rPr>
                <w:rFonts w:hint="eastAsia" w:ascii="宋体" w:eastAsia="宋体" w:cs="宋体"/>
                <w:sz w:val="24"/>
                <w:szCs w:val="24"/>
                <w:highlight w:val="none"/>
              </w:rPr>
              <w:t>提</w:t>
            </w:r>
            <w:r>
              <w:rPr>
                <w:rFonts w:ascii="宋体" w:eastAsia="宋体" w:cs="宋体"/>
                <w:sz w:val="24"/>
                <w:szCs w:val="24"/>
                <w:highlight w:val="none"/>
              </w:rPr>
              <w:t>供符合招标文件要求的《投标人资格声明书》</w:t>
            </w:r>
            <w:r>
              <w:rPr>
                <w:rFonts w:hint="eastAsia" w:ascii="宋体" w:eastAsia="宋体" w:cs="宋体"/>
                <w:sz w:val="24"/>
                <w:szCs w:val="24"/>
                <w:highlight w:val="none"/>
              </w:rPr>
              <w:t>。</w:t>
            </w:r>
          </w:p>
        </w:tc>
        <w:tc>
          <w:tcPr>
            <w:tcW w:w="1080" w:type="pct"/>
            <w:vAlign w:val="center"/>
          </w:tcPr>
          <w:p>
            <w:pPr>
              <w:spacing w:line="360" w:lineRule="auto"/>
              <w:jc w:val="left"/>
              <w:rPr>
                <w:rFonts w:ascii="宋体" w:eastAsia="宋体" w:cs="宋体"/>
                <w:sz w:val="24"/>
                <w:szCs w:val="24"/>
                <w:highlight w:val="none"/>
              </w:rPr>
            </w:pPr>
            <w:r>
              <w:rPr>
                <w:rFonts w:hint="eastAsia" w:ascii="宋体" w:eastAsia="宋体"/>
                <w:sz w:val="24"/>
                <w:highlight w:val="none"/>
              </w:rPr>
              <w:t>详见第六章投标文件格式。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Borders>
              <w:bottom w:val="single" w:color="auto" w:sz="4" w:space="0"/>
            </w:tcBorders>
            <w:vAlign w:val="center"/>
          </w:tcPr>
          <w:p>
            <w:pPr>
              <w:adjustRightInd w:val="0"/>
              <w:snapToGrid w:val="0"/>
              <w:spacing w:line="360" w:lineRule="auto"/>
              <w:ind w:right="-10"/>
              <w:jc w:val="center"/>
              <w:rPr>
                <w:rFonts w:ascii="宋体" w:eastAsia="宋体"/>
                <w:sz w:val="24"/>
                <w:highlight w:val="none"/>
              </w:rPr>
            </w:pPr>
            <w:r>
              <w:rPr>
                <w:rFonts w:hint="eastAsia" w:ascii="宋体" w:eastAsia="宋体"/>
                <w:sz w:val="24"/>
                <w:highlight w:val="none"/>
              </w:rPr>
              <w:t>3</w:t>
            </w:r>
          </w:p>
        </w:tc>
        <w:tc>
          <w:tcPr>
            <w:tcW w:w="942" w:type="pct"/>
            <w:tcBorders>
              <w:bottom w:val="single" w:color="auto" w:sz="4" w:space="0"/>
            </w:tcBorders>
            <w:vAlign w:val="center"/>
          </w:tcPr>
          <w:p>
            <w:pPr>
              <w:spacing w:after="50" w:line="360" w:lineRule="auto"/>
              <w:ind w:right="-10"/>
              <w:jc w:val="center"/>
              <w:rPr>
                <w:rFonts w:ascii="宋体" w:eastAsia="宋体"/>
                <w:sz w:val="24"/>
                <w:szCs w:val="28"/>
                <w:highlight w:val="none"/>
              </w:rPr>
            </w:pPr>
            <w:r>
              <w:rPr>
                <w:rFonts w:hint="eastAsia" w:ascii="宋体" w:eastAsia="宋体" w:cs="宋体"/>
                <w:sz w:val="24"/>
                <w:szCs w:val="24"/>
                <w:highlight w:val="none"/>
              </w:rPr>
              <w:t>投标人信用记录</w:t>
            </w:r>
          </w:p>
        </w:tc>
        <w:tc>
          <w:tcPr>
            <w:tcW w:w="2600" w:type="pct"/>
            <w:tcBorders>
              <w:bottom w:val="single" w:color="auto" w:sz="4" w:space="0"/>
            </w:tcBorders>
            <w:vAlign w:val="center"/>
          </w:tcPr>
          <w:p>
            <w:pPr>
              <w:spacing w:after="50" w:line="360" w:lineRule="auto"/>
              <w:ind w:right="-10"/>
              <w:jc w:val="left"/>
              <w:rPr>
                <w:highlight w:val="none"/>
              </w:rPr>
            </w:pPr>
            <w:r>
              <w:rPr>
                <w:rFonts w:hint="eastAsia" w:ascii="宋体" w:eastAsia="宋体" w:cs="宋体"/>
                <w:sz w:val="24"/>
                <w:szCs w:val="24"/>
                <w:highlight w:val="none"/>
                <w:lang w:val="zh-CN"/>
              </w:rPr>
              <w:t>投标人不得存在投标人须知正文第1</w:t>
            </w:r>
            <w:r>
              <w:rPr>
                <w:rFonts w:hint="eastAsia" w:ascii="宋体" w:eastAsia="宋体" w:cs="宋体"/>
                <w:sz w:val="24"/>
                <w:szCs w:val="24"/>
                <w:highlight w:val="none"/>
              </w:rPr>
              <w:t>4</w:t>
            </w:r>
            <w:r>
              <w:rPr>
                <w:rFonts w:hint="eastAsia" w:ascii="宋体" w:eastAsia="宋体" w:cs="宋体"/>
                <w:sz w:val="24"/>
                <w:szCs w:val="24"/>
                <w:highlight w:val="none"/>
                <w:lang w:val="zh-CN"/>
              </w:rPr>
              <w:t>.2</w:t>
            </w:r>
            <w:r>
              <w:rPr>
                <w:rFonts w:hint="eastAsia" w:ascii="宋体" w:eastAsia="宋体" w:cs="宋体"/>
                <w:sz w:val="24"/>
                <w:szCs w:val="24"/>
                <w:highlight w:val="none"/>
              </w:rPr>
              <w:t>条中</w:t>
            </w:r>
            <w:r>
              <w:rPr>
                <w:rFonts w:hint="eastAsia" w:ascii="宋体" w:eastAsia="宋体"/>
                <w:sz w:val="24"/>
                <w:szCs w:val="28"/>
                <w:highlight w:val="none"/>
              </w:rPr>
              <w:t>的</w:t>
            </w:r>
            <w:r>
              <w:rPr>
                <w:rFonts w:hint="eastAsia" w:ascii="宋体" w:eastAsia="宋体"/>
                <w:sz w:val="24"/>
                <w:szCs w:val="18"/>
                <w:highlight w:val="none"/>
              </w:rPr>
              <w:t>不良信用记录情形</w:t>
            </w:r>
          </w:p>
        </w:tc>
        <w:tc>
          <w:tcPr>
            <w:tcW w:w="1080" w:type="pct"/>
            <w:tcBorders>
              <w:bottom w:val="single" w:color="auto" w:sz="4" w:space="0"/>
            </w:tcBorders>
            <w:vAlign w:val="center"/>
          </w:tcPr>
          <w:p>
            <w:pPr>
              <w:spacing w:line="360" w:lineRule="auto"/>
              <w:jc w:val="left"/>
              <w:rPr>
                <w:highlight w:val="none"/>
              </w:rPr>
            </w:pPr>
            <w:r>
              <w:rPr>
                <w:rFonts w:hint="eastAsia" w:ascii="宋体" w:eastAsia="宋体" w:cs="宋体"/>
                <w:sz w:val="24"/>
                <w:szCs w:val="24"/>
                <w:highlight w:val="none"/>
              </w:rPr>
              <w:t>无须投标人提供，由采购人或采购代理机构查询。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Align w:val="center"/>
          </w:tcPr>
          <w:p>
            <w:pPr>
              <w:adjustRightInd w:val="0"/>
              <w:snapToGrid w:val="0"/>
              <w:spacing w:line="360" w:lineRule="auto"/>
              <w:ind w:right="-10"/>
              <w:jc w:val="center"/>
              <w:rPr>
                <w:rFonts w:ascii="宋体" w:eastAsia="宋体"/>
                <w:sz w:val="24"/>
                <w:highlight w:val="none"/>
              </w:rPr>
            </w:pPr>
            <w:r>
              <w:rPr>
                <w:rFonts w:hint="eastAsia" w:ascii="宋体" w:eastAsia="宋体"/>
                <w:sz w:val="24"/>
                <w:highlight w:val="none"/>
              </w:rPr>
              <w:t>4</w:t>
            </w:r>
          </w:p>
        </w:tc>
        <w:tc>
          <w:tcPr>
            <w:tcW w:w="942" w:type="pct"/>
            <w:vAlign w:val="center"/>
          </w:tcPr>
          <w:p>
            <w:pPr>
              <w:spacing w:after="50" w:line="360" w:lineRule="auto"/>
              <w:ind w:right="-10"/>
              <w:jc w:val="center"/>
              <w:rPr>
                <w:rFonts w:ascii="宋体" w:eastAsia="宋体" w:cs="宋体"/>
                <w:sz w:val="24"/>
                <w:szCs w:val="24"/>
                <w:highlight w:val="none"/>
              </w:rPr>
            </w:pPr>
            <w:r>
              <w:rPr>
                <w:rFonts w:hint="eastAsia" w:ascii="宋体" w:eastAsia="宋体" w:cs="宋体"/>
                <w:sz w:val="24"/>
                <w:szCs w:val="24"/>
                <w:highlight w:val="none"/>
              </w:rPr>
              <w:t>中小企业证明文件</w:t>
            </w:r>
          </w:p>
        </w:tc>
        <w:tc>
          <w:tcPr>
            <w:tcW w:w="2600" w:type="pct"/>
          </w:tcPr>
          <w:p>
            <w:pPr>
              <w:spacing w:after="50" w:line="360" w:lineRule="auto"/>
              <w:ind w:right="-10"/>
              <w:jc w:val="left"/>
              <w:rPr>
                <w:rFonts w:ascii="宋体" w:eastAsia="宋体" w:cs="宋体"/>
                <w:sz w:val="24"/>
                <w:szCs w:val="24"/>
                <w:highlight w:val="none"/>
              </w:rPr>
            </w:pPr>
            <w:r>
              <w:rPr>
                <w:rFonts w:hint="eastAsia" w:ascii="宋体" w:eastAsia="宋体"/>
                <w:sz w:val="24"/>
                <w:szCs w:val="28"/>
                <w:highlight w:val="none"/>
              </w:rPr>
              <w:t>符合申请人的资格要求中落实政府采购政策需满足的资格要求：</w:t>
            </w:r>
          </w:p>
          <w:p>
            <w:pPr>
              <w:spacing w:after="50" w:line="360" w:lineRule="auto"/>
              <w:ind w:right="-10"/>
              <w:jc w:val="left"/>
              <w:rPr>
                <w:rFonts w:ascii="宋体" w:eastAsia="宋体" w:cs="宋体"/>
                <w:sz w:val="24"/>
                <w:szCs w:val="24"/>
                <w:highlight w:val="none"/>
              </w:rPr>
            </w:pPr>
            <w:r>
              <w:rPr>
                <w:rFonts w:hint="eastAsia" w:ascii="宋体" w:eastAsia="宋体" w:cs="宋体"/>
                <w:sz w:val="24"/>
                <w:szCs w:val="24"/>
                <w:highlight w:val="none"/>
              </w:rPr>
              <w:t>（1）专门面向中小企业采购的，</w:t>
            </w:r>
            <w:r>
              <w:rPr>
                <w:rFonts w:hint="eastAsia" w:ascii="宋体" w:eastAsia="宋体" w:cs="宋体"/>
                <w:sz w:val="24"/>
                <w:szCs w:val="24"/>
                <w:highlight w:val="none"/>
                <w:lang w:val="zh-CN"/>
              </w:rPr>
              <w:t>投标人</w:t>
            </w:r>
            <w:r>
              <w:rPr>
                <w:rFonts w:hint="eastAsia" w:ascii="宋体" w:eastAsia="宋体" w:cs="宋体"/>
                <w:sz w:val="24"/>
                <w:szCs w:val="24"/>
                <w:highlight w:val="none"/>
              </w:rPr>
              <w:t>应提供《中小企业声明函》或《残疾人福利性单位声明函》或由省级以上监狱管理局、戒毒管理局（含新疆生产建设兵团）出具的属于监狱企业的证明文件。</w:t>
            </w:r>
          </w:p>
          <w:p>
            <w:pPr>
              <w:spacing w:after="50" w:line="360" w:lineRule="auto"/>
              <w:ind w:right="-10"/>
              <w:jc w:val="left"/>
              <w:rPr>
                <w:rFonts w:ascii="宋体" w:eastAsia="宋体" w:cs="宋体"/>
                <w:sz w:val="24"/>
                <w:szCs w:val="24"/>
                <w:highlight w:val="none"/>
              </w:rPr>
            </w:pPr>
            <w:r>
              <w:rPr>
                <w:rFonts w:hint="eastAsia" w:ascii="宋体" w:eastAsia="宋体" w:cs="宋体"/>
                <w:sz w:val="24"/>
                <w:szCs w:val="24"/>
                <w:highlight w:val="none"/>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080" w:type="pct"/>
            <w:vAlign w:val="center"/>
          </w:tcPr>
          <w:p>
            <w:pPr>
              <w:spacing w:after="50" w:line="360" w:lineRule="auto"/>
              <w:ind w:right="-10"/>
              <w:jc w:val="center"/>
              <w:rPr>
                <w:rFonts w:ascii="宋体" w:eastAsia="宋体" w:cs="宋体"/>
                <w:sz w:val="24"/>
                <w:szCs w:val="24"/>
                <w:highlight w:val="none"/>
              </w:rPr>
            </w:pPr>
            <w:r>
              <w:rPr>
                <w:rFonts w:hint="eastAsia" w:ascii="宋体" w:eastAsia="宋体"/>
                <w:sz w:val="24"/>
                <w:highlight w:val="none"/>
              </w:rPr>
              <w:t>详见第六章投标文件格式。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Borders>
              <w:bottom w:val="single" w:color="auto" w:sz="4" w:space="0"/>
            </w:tcBorders>
            <w:vAlign w:val="center"/>
          </w:tcPr>
          <w:p>
            <w:pPr>
              <w:adjustRightInd w:val="0"/>
              <w:snapToGrid w:val="0"/>
              <w:spacing w:line="360" w:lineRule="auto"/>
              <w:ind w:right="-10" w:rightChars="0"/>
              <w:jc w:val="center"/>
              <w:rPr>
                <w:rFonts w:hint="eastAsia" w:ascii="宋体" w:hAnsi="宋体" w:eastAsia="宋体" w:cs="@仿宋_GB2312"/>
                <w:kern w:val="2"/>
                <w:sz w:val="24"/>
                <w:szCs w:val="20"/>
                <w:highlight w:val="none"/>
                <w:lang w:val="en-US" w:eastAsia="zh-CN" w:bidi="ar-SA"/>
              </w:rPr>
            </w:pPr>
            <w:bookmarkStart w:id="93" w:name="_Hlk16461707"/>
            <w:r>
              <w:rPr>
                <w:rFonts w:hint="eastAsia" w:ascii="宋体" w:hAnsi="宋体" w:eastAsia="宋体"/>
                <w:sz w:val="24"/>
                <w:highlight w:val="none"/>
              </w:rPr>
              <w:t>5</w:t>
            </w:r>
          </w:p>
        </w:tc>
        <w:tc>
          <w:tcPr>
            <w:tcW w:w="942" w:type="pct"/>
            <w:tcBorders>
              <w:bottom w:val="single" w:color="auto" w:sz="4" w:space="0"/>
            </w:tcBorders>
            <w:vAlign w:val="center"/>
          </w:tcPr>
          <w:p>
            <w:pPr>
              <w:spacing w:after="0" w:line="240" w:lineRule="auto"/>
              <w:ind w:right="0" w:rightChars="0"/>
              <w:jc w:val="center"/>
              <w:rPr>
                <w:rFonts w:hint="eastAsia" w:ascii="宋体" w:hAnsi="宋体" w:eastAsia="宋体" w:cs="@仿宋_GB2312"/>
                <w:kern w:val="2"/>
                <w:sz w:val="24"/>
                <w:szCs w:val="28"/>
                <w:highlight w:val="none"/>
                <w:lang w:val="en-US" w:eastAsia="zh-CN" w:bidi="ar-SA"/>
              </w:rPr>
            </w:pPr>
            <w:r>
              <w:rPr>
                <w:rFonts w:hint="eastAsia" w:ascii="宋体" w:hAnsi="宋体" w:eastAsia="宋体"/>
                <w:sz w:val="24"/>
                <w:szCs w:val="28"/>
                <w:highlight w:val="none"/>
              </w:rPr>
              <w:t>其他特定资格要求</w:t>
            </w:r>
          </w:p>
        </w:tc>
        <w:tc>
          <w:tcPr>
            <w:tcW w:w="2600" w:type="pct"/>
            <w:tcBorders>
              <w:bottom w:val="single" w:color="auto" w:sz="4" w:space="0"/>
            </w:tcBorders>
            <w:vAlign w:val="center"/>
          </w:tcPr>
          <w:p>
            <w:pPr>
              <w:spacing w:after="50" w:line="360" w:lineRule="auto"/>
              <w:ind w:right="-10" w:rightChars="0"/>
              <w:jc w:val="center"/>
              <w:rPr>
                <w:rFonts w:hint="eastAsia" w:ascii="宋体" w:hAnsi="宋体" w:eastAsia="宋体" w:cs="@仿宋_GB2312"/>
                <w:kern w:val="2"/>
                <w:sz w:val="24"/>
                <w:szCs w:val="28"/>
                <w:highlight w:val="none"/>
                <w:lang w:val="en-US" w:eastAsia="zh-CN" w:bidi="ar-SA"/>
              </w:rPr>
            </w:pPr>
            <w:r>
              <w:rPr>
                <w:rFonts w:hint="eastAsia" w:ascii="宋体" w:hAnsi="宋体" w:eastAsia="宋体"/>
                <w:sz w:val="24"/>
                <w:szCs w:val="28"/>
                <w:highlight w:val="none"/>
              </w:rPr>
              <w:t>如有，见第一章《投标邀请》</w:t>
            </w:r>
          </w:p>
        </w:tc>
        <w:tc>
          <w:tcPr>
            <w:tcW w:w="1080" w:type="pct"/>
            <w:tcBorders>
              <w:bottom w:val="single" w:color="auto" w:sz="4" w:space="0"/>
            </w:tcBorders>
            <w:vAlign w:val="center"/>
          </w:tcPr>
          <w:p>
            <w:pPr>
              <w:adjustRightInd/>
              <w:snapToGrid/>
              <w:spacing w:line="240" w:lineRule="auto"/>
              <w:ind w:right="0" w:rightChars="0"/>
              <w:jc w:val="left"/>
              <w:rPr>
                <w:rFonts w:hint="eastAsia" w:ascii="宋体" w:hAnsi="宋体" w:eastAsia="宋体" w:cs="@仿宋_GB2312"/>
                <w:kern w:val="2"/>
                <w:sz w:val="24"/>
                <w:szCs w:val="20"/>
                <w:highlight w:val="none"/>
                <w:lang w:val="en-US" w:eastAsia="zh-CN" w:bidi="ar-SA"/>
              </w:rPr>
            </w:pPr>
            <w:r>
              <w:rPr>
                <w:rFonts w:hint="eastAsia" w:ascii="宋体" w:hAnsi="宋体" w:eastAsia="宋体"/>
                <w:sz w:val="24"/>
                <w:highlight w:val="none"/>
              </w:rPr>
              <w:t>提供材料扫描件或电子证照，应完整的体现出材料或电子证照全部内容。</w:t>
            </w:r>
          </w:p>
        </w:tc>
      </w:tr>
    </w:tbl>
    <w:p>
      <w:pPr>
        <w:spacing w:line="360" w:lineRule="auto"/>
        <w:ind w:firstLine="435"/>
        <w:rPr>
          <w:rFonts w:ascii="宋体" w:eastAsia="宋体"/>
          <w:sz w:val="24"/>
          <w:highlight w:val="none"/>
        </w:rPr>
      </w:pPr>
      <w:r>
        <w:rPr>
          <w:rFonts w:hint="eastAsia" w:ascii="宋体" w:eastAsia="宋体"/>
          <w:b/>
          <w:bCs/>
          <w:sz w:val="24"/>
          <w:highlight w:val="none"/>
        </w:rPr>
        <w:t>资格审查指标通过标准：</w:t>
      </w:r>
      <w:r>
        <w:rPr>
          <w:rFonts w:hint="eastAsia" w:ascii="宋体" w:eastAsia="宋体"/>
          <w:sz w:val="24"/>
          <w:highlight w:val="none"/>
        </w:rPr>
        <w:t>投标人必须通过资格审查表中的全部评审指标。</w:t>
      </w:r>
    </w:p>
    <w:bookmarkEnd w:id="93"/>
    <w:p>
      <w:pPr>
        <w:spacing w:line="360" w:lineRule="auto"/>
        <w:ind w:firstLine="437"/>
        <w:outlineLvl w:val="2"/>
        <w:rPr>
          <w:rFonts w:ascii="宋体" w:eastAsia="宋体"/>
          <w:sz w:val="24"/>
          <w:highlight w:val="none"/>
        </w:rPr>
      </w:pPr>
      <w:r>
        <w:rPr>
          <w:rFonts w:hint="eastAsia" w:ascii="宋体" w:eastAsia="宋体"/>
          <w:sz w:val="24"/>
          <w:highlight w:val="none"/>
        </w:rPr>
        <w:t>2.2符合性审查</w:t>
      </w:r>
    </w:p>
    <w:p>
      <w:pPr>
        <w:spacing w:line="360" w:lineRule="auto"/>
        <w:ind w:firstLine="435"/>
        <w:rPr>
          <w:rFonts w:ascii="宋体" w:eastAsia="宋体"/>
          <w:sz w:val="24"/>
          <w:highlight w:val="none"/>
        </w:rPr>
      </w:pPr>
      <w:r>
        <w:rPr>
          <w:rFonts w:hint="eastAsia" w:ascii="宋体" w:eastAsia="宋体"/>
          <w:sz w:val="24"/>
          <w:highlight w:val="none"/>
        </w:rPr>
        <w:t>评标委员会对通过资格审查的投标人的投标文件进行符合性审查，以确定其是否满足招标文件的实质性要求。符合性审查表如下：</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2117"/>
        <w:gridCol w:w="3128"/>
        <w:gridCol w:w="2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pPr>
              <w:adjustRightInd w:val="0"/>
              <w:snapToGrid w:val="0"/>
              <w:spacing w:line="360" w:lineRule="auto"/>
              <w:ind w:right="-10"/>
              <w:jc w:val="center"/>
              <w:rPr>
                <w:rFonts w:ascii="宋体" w:eastAsia="宋体"/>
                <w:b/>
                <w:bCs/>
                <w:sz w:val="24"/>
                <w:highlight w:val="none"/>
              </w:rPr>
            </w:pPr>
            <w:r>
              <w:rPr>
                <w:rFonts w:hint="eastAsia" w:ascii="宋体" w:eastAsia="宋体"/>
                <w:b/>
                <w:bCs/>
                <w:sz w:val="24"/>
                <w:highlight w:val="none"/>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49" w:type="pct"/>
            <w:tcBorders>
              <w:bottom w:val="single" w:color="auto" w:sz="4" w:space="0"/>
            </w:tcBorders>
            <w:vAlign w:val="center"/>
          </w:tcPr>
          <w:p>
            <w:pPr>
              <w:adjustRightInd w:val="0"/>
              <w:snapToGrid w:val="0"/>
              <w:spacing w:line="360" w:lineRule="auto"/>
              <w:ind w:right="-10"/>
              <w:jc w:val="center"/>
              <w:rPr>
                <w:rFonts w:ascii="宋体" w:eastAsia="宋体"/>
                <w:sz w:val="24"/>
                <w:highlight w:val="none"/>
              </w:rPr>
            </w:pPr>
            <w:r>
              <w:rPr>
                <w:rFonts w:hint="eastAsia" w:ascii="宋体" w:eastAsia="宋体"/>
                <w:sz w:val="24"/>
                <w:highlight w:val="none"/>
              </w:rPr>
              <w:t>序号</w:t>
            </w:r>
          </w:p>
        </w:tc>
        <w:tc>
          <w:tcPr>
            <w:tcW w:w="1242" w:type="pct"/>
            <w:tcBorders>
              <w:bottom w:val="single" w:color="auto" w:sz="4" w:space="0"/>
            </w:tcBorders>
            <w:vAlign w:val="center"/>
          </w:tcPr>
          <w:p>
            <w:pPr>
              <w:pStyle w:val="41"/>
              <w:pBdr>
                <w:bottom w:val="none" w:color="auto" w:sz="0" w:space="0"/>
              </w:pBdr>
              <w:tabs>
                <w:tab w:val="clear" w:pos="4153"/>
                <w:tab w:val="clear" w:pos="8306"/>
              </w:tabs>
              <w:adjustRightInd w:val="0"/>
              <w:snapToGrid w:val="0"/>
              <w:spacing w:line="360" w:lineRule="auto"/>
              <w:ind w:right="-10"/>
              <w:textAlignment w:val="auto"/>
              <w:rPr>
                <w:rFonts w:ascii="宋体" w:eastAsia="宋体"/>
                <w:kern w:val="2"/>
                <w:highlight w:val="none"/>
              </w:rPr>
            </w:pPr>
            <w:r>
              <w:rPr>
                <w:rFonts w:hint="eastAsia" w:ascii="宋体" w:eastAsia="宋体"/>
                <w:kern w:val="2"/>
                <w:highlight w:val="none"/>
              </w:rPr>
              <w:t>审查指标</w:t>
            </w:r>
          </w:p>
        </w:tc>
        <w:tc>
          <w:tcPr>
            <w:tcW w:w="1835" w:type="pct"/>
            <w:tcBorders>
              <w:bottom w:val="single" w:color="auto" w:sz="4" w:space="0"/>
            </w:tcBorders>
            <w:vAlign w:val="center"/>
          </w:tcPr>
          <w:p>
            <w:pPr>
              <w:adjustRightInd w:val="0"/>
              <w:snapToGrid w:val="0"/>
              <w:spacing w:line="360" w:lineRule="auto"/>
              <w:ind w:right="-10"/>
              <w:jc w:val="center"/>
              <w:rPr>
                <w:rFonts w:ascii="宋体" w:eastAsia="宋体"/>
                <w:sz w:val="24"/>
                <w:highlight w:val="none"/>
              </w:rPr>
            </w:pPr>
            <w:r>
              <w:rPr>
                <w:rFonts w:hint="eastAsia" w:ascii="宋体" w:eastAsia="宋体"/>
                <w:sz w:val="24"/>
                <w:highlight w:val="none"/>
              </w:rPr>
              <w:t>审查标准</w:t>
            </w:r>
          </w:p>
        </w:tc>
        <w:tc>
          <w:tcPr>
            <w:tcW w:w="1473" w:type="pct"/>
            <w:tcBorders>
              <w:bottom w:val="single" w:color="auto" w:sz="4" w:space="0"/>
            </w:tcBorders>
            <w:vAlign w:val="center"/>
          </w:tcPr>
          <w:p>
            <w:pPr>
              <w:adjustRightInd w:val="0"/>
              <w:snapToGrid w:val="0"/>
              <w:spacing w:line="360" w:lineRule="auto"/>
              <w:ind w:right="-10"/>
              <w:jc w:val="center"/>
              <w:rPr>
                <w:rFonts w:ascii="宋体" w:eastAsia="宋体"/>
                <w:sz w:val="24"/>
                <w:highlight w:val="none"/>
              </w:rPr>
            </w:pPr>
            <w:r>
              <w:rPr>
                <w:rFonts w:hint="eastAsia" w:ascii="宋体" w:eastAsia="宋体"/>
                <w:sz w:val="24"/>
                <w:highlight w:val="none"/>
              </w:rPr>
              <w:t>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pPr>
              <w:adjustRightInd w:val="0"/>
              <w:snapToGrid w:val="0"/>
              <w:spacing w:line="360" w:lineRule="auto"/>
              <w:ind w:right="-10"/>
              <w:jc w:val="center"/>
              <w:rPr>
                <w:rFonts w:ascii="宋体" w:eastAsia="宋体"/>
                <w:sz w:val="24"/>
                <w:highlight w:val="none"/>
              </w:rPr>
            </w:pPr>
            <w:r>
              <w:rPr>
                <w:rFonts w:hint="eastAsia" w:ascii="宋体" w:eastAsia="宋体"/>
                <w:sz w:val="24"/>
                <w:highlight w:val="none"/>
              </w:rPr>
              <w:t>1</w:t>
            </w:r>
          </w:p>
        </w:tc>
        <w:tc>
          <w:tcPr>
            <w:tcW w:w="1242" w:type="pct"/>
            <w:vAlign w:val="center"/>
          </w:tcPr>
          <w:p>
            <w:pPr>
              <w:spacing w:after="50" w:line="360" w:lineRule="auto"/>
              <w:ind w:right="-10"/>
              <w:jc w:val="center"/>
              <w:rPr>
                <w:rFonts w:ascii="宋体" w:eastAsia="宋体"/>
                <w:sz w:val="24"/>
                <w:szCs w:val="28"/>
                <w:highlight w:val="none"/>
              </w:rPr>
            </w:pPr>
            <w:r>
              <w:rPr>
                <w:rFonts w:hint="eastAsia" w:ascii="宋体" w:eastAsia="宋体"/>
                <w:sz w:val="24"/>
                <w:highlight w:val="none"/>
              </w:rPr>
              <w:t>开标一览表</w:t>
            </w:r>
          </w:p>
        </w:tc>
        <w:tc>
          <w:tcPr>
            <w:tcW w:w="1835" w:type="pct"/>
            <w:vAlign w:val="center"/>
          </w:tcPr>
          <w:p>
            <w:pPr>
              <w:spacing w:after="50" w:line="360" w:lineRule="auto"/>
              <w:ind w:right="-10"/>
              <w:jc w:val="center"/>
              <w:rPr>
                <w:rFonts w:ascii="宋体" w:eastAsia="宋体"/>
                <w:sz w:val="24"/>
                <w:szCs w:val="28"/>
                <w:highlight w:val="none"/>
              </w:rPr>
            </w:pPr>
            <w:r>
              <w:rPr>
                <w:rFonts w:hint="eastAsia" w:ascii="宋体" w:eastAsia="宋体"/>
                <w:sz w:val="24"/>
                <w:szCs w:val="28"/>
                <w:highlight w:val="none"/>
              </w:rPr>
              <w:t>格式、填写要求符合招标文件规定并加盖投标人电子签章</w:t>
            </w:r>
          </w:p>
        </w:tc>
        <w:tc>
          <w:tcPr>
            <w:tcW w:w="1473" w:type="pct"/>
            <w:vAlign w:val="center"/>
          </w:tcPr>
          <w:p>
            <w:pPr>
              <w:adjustRightInd w:val="0"/>
              <w:snapToGrid w:val="0"/>
              <w:spacing w:line="360" w:lineRule="auto"/>
              <w:ind w:right="-10"/>
              <w:jc w:val="center"/>
              <w:rPr>
                <w:rFonts w:ascii="宋体" w:eastAsia="宋体"/>
                <w:sz w:val="24"/>
                <w:highlight w:val="none"/>
              </w:rPr>
            </w:pPr>
            <w:r>
              <w:rPr>
                <w:rFonts w:hint="eastAsia" w:ascii="宋体" w:eastAsia="宋体"/>
                <w:sz w:val="24"/>
                <w:highlight w:val="none"/>
              </w:rPr>
              <w:t>详见第六章投标文件格式。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pPr>
              <w:adjustRightInd w:val="0"/>
              <w:snapToGrid w:val="0"/>
              <w:spacing w:line="360" w:lineRule="auto"/>
              <w:ind w:right="-10"/>
              <w:jc w:val="center"/>
              <w:rPr>
                <w:rFonts w:ascii="宋体" w:eastAsia="宋体"/>
                <w:sz w:val="24"/>
                <w:highlight w:val="none"/>
              </w:rPr>
            </w:pPr>
            <w:r>
              <w:rPr>
                <w:rFonts w:hint="eastAsia" w:ascii="宋体" w:eastAsia="宋体"/>
                <w:sz w:val="24"/>
                <w:highlight w:val="none"/>
              </w:rPr>
              <w:t>2</w:t>
            </w:r>
          </w:p>
        </w:tc>
        <w:tc>
          <w:tcPr>
            <w:tcW w:w="1242" w:type="pct"/>
            <w:vAlign w:val="center"/>
          </w:tcPr>
          <w:p>
            <w:pPr>
              <w:spacing w:after="50" w:line="360" w:lineRule="auto"/>
              <w:ind w:right="-10"/>
              <w:jc w:val="center"/>
              <w:rPr>
                <w:rFonts w:ascii="宋体" w:eastAsia="宋体"/>
                <w:sz w:val="24"/>
                <w:szCs w:val="28"/>
                <w:highlight w:val="none"/>
              </w:rPr>
            </w:pPr>
            <w:r>
              <w:rPr>
                <w:rFonts w:hint="eastAsia" w:ascii="宋体" w:eastAsia="宋体"/>
                <w:sz w:val="24"/>
                <w:szCs w:val="28"/>
                <w:highlight w:val="none"/>
              </w:rPr>
              <w:t>投标函</w:t>
            </w:r>
          </w:p>
        </w:tc>
        <w:tc>
          <w:tcPr>
            <w:tcW w:w="1835" w:type="pct"/>
            <w:vAlign w:val="center"/>
          </w:tcPr>
          <w:p>
            <w:pPr>
              <w:spacing w:after="50" w:line="360" w:lineRule="auto"/>
              <w:ind w:right="-10"/>
              <w:jc w:val="center"/>
              <w:rPr>
                <w:rFonts w:ascii="宋体" w:eastAsia="宋体"/>
                <w:sz w:val="24"/>
                <w:szCs w:val="28"/>
                <w:highlight w:val="none"/>
              </w:rPr>
            </w:pPr>
            <w:r>
              <w:rPr>
                <w:rFonts w:hint="eastAsia" w:ascii="宋体" w:eastAsia="宋体"/>
                <w:sz w:val="24"/>
                <w:szCs w:val="28"/>
                <w:highlight w:val="none"/>
              </w:rPr>
              <w:t>格式、填写要求符合招标文件规定并加盖投标人电子签章</w:t>
            </w:r>
          </w:p>
        </w:tc>
        <w:tc>
          <w:tcPr>
            <w:tcW w:w="1473" w:type="pct"/>
            <w:vAlign w:val="center"/>
          </w:tcPr>
          <w:p>
            <w:pPr>
              <w:adjustRightInd w:val="0"/>
              <w:snapToGrid w:val="0"/>
              <w:spacing w:line="360" w:lineRule="auto"/>
              <w:ind w:right="-10"/>
              <w:jc w:val="center"/>
              <w:rPr>
                <w:rFonts w:ascii="宋体" w:eastAsia="宋体"/>
                <w:sz w:val="24"/>
                <w:highlight w:val="none"/>
              </w:rPr>
            </w:pPr>
            <w:r>
              <w:rPr>
                <w:rFonts w:hint="eastAsia" w:ascii="宋体" w:eastAsia="宋体"/>
                <w:sz w:val="24"/>
                <w:highlight w:val="none"/>
              </w:rPr>
              <w:t>详见第六章投标文件格式。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pPr>
              <w:adjustRightInd w:val="0"/>
              <w:snapToGrid w:val="0"/>
              <w:spacing w:line="360" w:lineRule="auto"/>
              <w:ind w:right="-10"/>
              <w:jc w:val="center"/>
              <w:rPr>
                <w:rFonts w:ascii="宋体" w:eastAsia="宋体"/>
                <w:sz w:val="24"/>
                <w:highlight w:val="none"/>
              </w:rPr>
            </w:pPr>
            <w:r>
              <w:rPr>
                <w:rFonts w:ascii="宋体" w:eastAsia="宋体"/>
                <w:sz w:val="24"/>
                <w:highlight w:val="none"/>
              </w:rPr>
              <w:t>3</w:t>
            </w:r>
          </w:p>
        </w:tc>
        <w:tc>
          <w:tcPr>
            <w:tcW w:w="1242" w:type="pct"/>
            <w:vAlign w:val="center"/>
          </w:tcPr>
          <w:p>
            <w:pPr>
              <w:spacing w:after="50" w:line="360" w:lineRule="auto"/>
              <w:ind w:right="-10"/>
              <w:jc w:val="center"/>
              <w:rPr>
                <w:rFonts w:ascii="宋体" w:eastAsia="宋体"/>
                <w:sz w:val="24"/>
                <w:szCs w:val="28"/>
                <w:highlight w:val="none"/>
              </w:rPr>
            </w:pPr>
            <w:r>
              <w:rPr>
                <w:rFonts w:hint="eastAsia" w:ascii="宋体" w:eastAsia="宋体"/>
                <w:sz w:val="24"/>
                <w:szCs w:val="28"/>
                <w:highlight w:val="none"/>
              </w:rPr>
              <w:t>授权书</w:t>
            </w:r>
          </w:p>
        </w:tc>
        <w:tc>
          <w:tcPr>
            <w:tcW w:w="1835" w:type="pct"/>
            <w:vAlign w:val="center"/>
          </w:tcPr>
          <w:p>
            <w:pPr>
              <w:spacing w:after="50" w:line="360" w:lineRule="auto"/>
              <w:ind w:right="-10"/>
              <w:jc w:val="center"/>
              <w:rPr>
                <w:rFonts w:ascii="宋体" w:eastAsia="宋体"/>
                <w:sz w:val="24"/>
                <w:szCs w:val="28"/>
                <w:highlight w:val="none"/>
              </w:rPr>
            </w:pPr>
            <w:r>
              <w:rPr>
                <w:rFonts w:hint="eastAsia" w:ascii="宋体" w:eastAsia="宋体"/>
                <w:sz w:val="24"/>
                <w:szCs w:val="28"/>
                <w:highlight w:val="none"/>
              </w:rPr>
              <w:t>格式、填写要求符合招标文件规定并加盖投标人电子签章</w:t>
            </w:r>
          </w:p>
        </w:tc>
        <w:tc>
          <w:tcPr>
            <w:tcW w:w="1473" w:type="pct"/>
            <w:vAlign w:val="center"/>
          </w:tcPr>
          <w:p>
            <w:pPr>
              <w:adjustRightInd w:val="0"/>
              <w:snapToGrid w:val="0"/>
              <w:spacing w:line="360" w:lineRule="auto"/>
              <w:ind w:right="-10"/>
              <w:jc w:val="center"/>
              <w:rPr>
                <w:rFonts w:ascii="宋体" w:eastAsia="宋体"/>
                <w:sz w:val="24"/>
                <w:highlight w:val="none"/>
              </w:rPr>
            </w:pPr>
            <w:r>
              <w:rPr>
                <w:rFonts w:hint="eastAsia" w:ascii="宋体" w:eastAsia="宋体"/>
                <w:sz w:val="24"/>
                <w:highlight w:val="none"/>
              </w:rPr>
              <w:t>法定代表人参加投标的无需此件，提供身份证明即可。详见第六章投标文件格式。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pPr>
              <w:adjustRightInd w:val="0"/>
              <w:snapToGrid w:val="0"/>
              <w:spacing w:line="360" w:lineRule="auto"/>
              <w:ind w:right="-10"/>
              <w:jc w:val="center"/>
              <w:rPr>
                <w:rFonts w:ascii="宋体" w:eastAsia="宋体"/>
                <w:sz w:val="24"/>
                <w:highlight w:val="none"/>
              </w:rPr>
            </w:pPr>
            <w:r>
              <w:rPr>
                <w:rFonts w:hint="eastAsia" w:ascii="宋体" w:eastAsia="宋体"/>
                <w:sz w:val="24"/>
                <w:highlight w:val="none"/>
              </w:rPr>
              <w:t>4</w:t>
            </w:r>
          </w:p>
        </w:tc>
        <w:tc>
          <w:tcPr>
            <w:tcW w:w="1242" w:type="pct"/>
            <w:vAlign w:val="center"/>
          </w:tcPr>
          <w:p>
            <w:pPr>
              <w:spacing w:after="50" w:line="360" w:lineRule="auto"/>
              <w:ind w:right="-10"/>
              <w:jc w:val="center"/>
              <w:rPr>
                <w:rFonts w:ascii="宋体" w:eastAsia="宋体"/>
                <w:sz w:val="24"/>
                <w:szCs w:val="28"/>
                <w:highlight w:val="none"/>
              </w:rPr>
            </w:pPr>
            <w:r>
              <w:rPr>
                <w:rFonts w:hint="eastAsia" w:ascii="宋体" w:eastAsia="宋体"/>
                <w:sz w:val="24"/>
                <w:szCs w:val="28"/>
                <w:highlight w:val="none"/>
              </w:rPr>
              <w:t>投标报价</w:t>
            </w:r>
          </w:p>
        </w:tc>
        <w:tc>
          <w:tcPr>
            <w:tcW w:w="1835" w:type="pct"/>
            <w:vAlign w:val="center"/>
          </w:tcPr>
          <w:p>
            <w:pPr>
              <w:spacing w:after="50" w:line="360" w:lineRule="auto"/>
              <w:ind w:right="-10"/>
              <w:jc w:val="center"/>
              <w:rPr>
                <w:rFonts w:ascii="宋体" w:eastAsia="宋体"/>
                <w:sz w:val="24"/>
                <w:szCs w:val="28"/>
                <w:highlight w:val="none"/>
              </w:rPr>
            </w:pPr>
            <w:r>
              <w:rPr>
                <w:rFonts w:hint="eastAsia" w:ascii="宋体" w:eastAsia="宋体"/>
                <w:sz w:val="24"/>
                <w:szCs w:val="28"/>
                <w:highlight w:val="none"/>
              </w:rPr>
              <w:t>符合</w:t>
            </w:r>
            <w:r>
              <w:rPr>
                <w:rFonts w:hint="eastAsia" w:ascii="宋体" w:eastAsia="宋体"/>
                <w:sz w:val="24"/>
                <w:highlight w:val="none"/>
              </w:rPr>
              <w:t>招标文件投标人须知正文第9条要求</w:t>
            </w:r>
          </w:p>
        </w:tc>
        <w:tc>
          <w:tcPr>
            <w:tcW w:w="1473" w:type="pct"/>
            <w:vAlign w:val="center"/>
          </w:tcPr>
          <w:p>
            <w:pPr>
              <w:adjustRightInd w:val="0"/>
              <w:snapToGrid w:val="0"/>
              <w:spacing w:line="360" w:lineRule="auto"/>
              <w:ind w:right="-10"/>
              <w:jc w:val="center"/>
              <w:rPr>
                <w:rFonts w:ascii="宋体" w:eastAsia="宋体"/>
                <w:sz w:val="24"/>
                <w:highlight w:val="none"/>
              </w:rPr>
            </w:pPr>
            <w:r>
              <w:rPr>
                <w:rFonts w:hint="eastAsia" w:ascii="宋体" w:eastAsia="宋体"/>
                <w:sz w:val="24"/>
                <w:highlight w:val="none"/>
              </w:rPr>
              <w:t>详见第六章投标文件格式。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pPr>
              <w:adjustRightInd w:val="0"/>
              <w:snapToGrid w:val="0"/>
              <w:spacing w:line="360" w:lineRule="auto"/>
              <w:ind w:right="-10"/>
              <w:jc w:val="center"/>
              <w:rPr>
                <w:rFonts w:ascii="宋体" w:eastAsia="宋体"/>
                <w:sz w:val="24"/>
                <w:highlight w:val="none"/>
              </w:rPr>
            </w:pPr>
            <w:r>
              <w:rPr>
                <w:rFonts w:hint="eastAsia" w:ascii="宋体" w:eastAsia="宋体"/>
                <w:sz w:val="24"/>
                <w:highlight w:val="none"/>
              </w:rPr>
              <w:t>5</w:t>
            </w:r>
          </w:p>
        </w:tc>
        <w:tc>
          <w:tcPr>
            <w:tcW w:w="1242" w:type="pct"/>
            <w:vAlign w:val="center"/>
          </w:tcPr>
          <w:p>
            <w:pPr>
              <w:spacing w:after="50" w:line="360" w:lineRule="auto"/>
              <w:ind w:right="-10"/>
              <w:jc w:val="center"/>
              <w:rPr>
                <w:rFonts w:ascii="宋体" w:eastAsia="宋体"/>
                <w:sz w:val="24"/>
                <w:szCs w:val="28"/>
                <w:highlight w:val="none"/>
              </w:rPr>
            </w:pPr>
            <w:r>
              <w:rPr>
                <w:rFonts w:hint="eastAsia" w:ascii="宋体" w:eastAsia="宋体"/>
                <w:sz w:val="24"/>
                <w:szCs w:val="28"/>
                <w:highlight w:val="none"/>
              </w:rPr>
              <w:t>商务响应情况</w:t>
            </w:r>
          </w:p>
        </w:tc>
        <w:tc>
          <w:tcPr>
            <w:tcW w:w="1835" w:type="pct"/>
            <w:vAlign w:val="center"/>
          </w:tcPr>
          <w:p>
            <w:pPr>
              <w:spacing w:after="50" w:line="360" w:lineRule="auto"/>
              <w:ind w:right="-10"/>
              <w:jc w:val="center"/>
              <w:rPr>
                <w:rFonts w:ascii="宋体" w:eastAsia="宋体"/>
                <w:sz w:val="24"/>
                <w:szCs w:val="28"/>
                <w:highlight w:val="none"/>
              </w:rPr>
            </w:pPr>
            <w:r>
              <w:rPr>
                <w:rFonts w:hint="eastAsia" w:ascii="宋体" w:eastAsia="宋体"/>
                <w:sz w:val="24"/>
                <w:szCs w:val="28"/>
                <w:highlight w:val="none"/>
              </w:rPr>
              <w:t>符合招标文件采购需求中对付款方式、供货及安装期限、供货及安装地点、免费质保期的要求</w:t>
            </w:r>
          </w:p>
        </w:tc>
        <w:tc>
          <w:tcPr>
            <w:tcW w:w="1473" w:type="pct"/>
            <w:vAlign w:val="center"/>
          </w:tcPr>
          <w:p>
            <w:pPr>
              <w:adjustRightInd w:val="0"/>
              <w:snapToGrid w:val="0"/>
              <w:spacing w:line="360" w:lineRule="auto"/>
              <w:ind w:right="-10"/>
              <w:jc w:val="center"/>
              <w:rPr>
                <w:rFonts w:ascii="宋体" w:eastAsia="宋体"/>
                <w:sz w:val="24"/>
                <w:highlight w:val="none"/>
              </w:rPr>
            </w:pPr>
            <w:r>
              <w:rPr>
                <w:rFonts w:hint="eastAsia" w:ascii="宋体" w:eastAsia="宋体"/>
                <w:sz w:val="24"/>
                <w:highlight w:val="none"/>
              </w:rPr>
              <w:t>详见第六章投标文件格式。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pPr>
              <w:adjustRightInd w:val="0"/>
              <w:snapToGrid w:val="0"/>
              <w:spacing w:line="360" w:lineRule="auto"/>
              <w:ind w:right="-10"/>
              <w:jc w:val="center"/>
              <w:rPr>
                <w:rFonts w:ascii="宋体" w:eastAsia="宋体"/>
                <w:sz w:val="24"/>
                <w:highlight w:val="none"/>
              </w:rPr>
            </w:pPr>
            <w:r>
              <w:rPr>
                <w:rFonts w:hint="eastAsia" w:ascii="宋体" w:eastAsia="宋体"/>
                <w:sz w:val="24"/>
                <w:highlight w:val="none"/>
              </w:rPr>
              <w:t>6</w:t>
            </w:r>
          </w:p>
        </w:tc>
        <w:tc>
          <w:tcPr>
            <w:tcW w:w="1242" w:type="pct"/>
            <w:vAlign w:val="center"/>
          </w:tcPr>
          <w:p>
            <w:pPr>
              <w:spacing w:after="50" w:line="360" w:lineRule="auto"/>
              <w:ind w:right="-10"/>
              <w:jc w:val="center"/>
              <w:rPr>
                <w:rFonts w:ascii="宋体" w:eastAsia="宋体"/>
                <w:sz w:val="24"/>
                <w:szCs w:val="28"/>
                <w:highlight w:val="none"/>
              </w:rPr>
            </w:pPr>
            <w:r>
              <w:rPr>
                <w:rFonts w:hint="eastAsia" w:ascii="宋体" w:eastAsia="宋体"/>
                <w:sz w:val="24"/>
                <w:szCs w:val="28"/>
                <w:highlight w:val="none"/>
              </w:rPr>
              <w:t>技术响应情况</w:t>
            </w:r>
          </w:p>
        </w:tc>
        <w:tc>
          <w:tcPr>
            <w:tcW w:w="1835" w:type="pct"/>
            <w:vAlign w:val="center"/>
          </w:tcPr>
          <w:p>
            <w:pPr>
              <w:spacing w:after="50" w:line="360" w:lineRule="auto"/>
              <w:ind w:right="-10"/>
              <w:jc w:val="center"/>
              <w:rPr>
                <w:rFonts w:ascii="宋体" w:eastAsia="宋体"/>
                <w:sz w:val="24"/>
                <w:szCs w:val="28"/>
                <w:highlight w:val="none"/>
              </w:rPr>
            </w:pPr>
            <w:r>
              <w:rPr>
                <w:rFonts w:hint="eastAsia" w:ascii="宋体" w:eastAsia="宋体"/>
                <w:sz w:val="24"/>
                <w:szCs w:val="28"/>
                <w:highlight w:val="none"/>
              </w:rPr>
              <w:t>符合招标文件采购需求中货物技术参数及要求</w:t>
            </w:r>
          </w:p>
        </w:tc>
        <w:tc>
          <w:tcPr>
            <w:tcW w:w="1473" w:type="pct"/>
            <w:vAlign w:val="center"/>
          </w:tcPr>
          <w:p>
            <w:pPr>
              <w:adjustRightInd w:val="0"/>
              <w:snapToGrid w:val="0"/>
              <w:spacing w:line="360" w:lineRule="auto"/>
              <w:ind w:right="-10"/>
              <w:jc w:val="center"/>
              <w:rPr>
                <w:rFonts w:ascii="宋体" w:eastAsia="宋体"/>
                <w:sz w:val="24"/>
                <w:highlight w:val="none"/>
              </w:rPr>
            </w:pPr>
            <w:r>
              <w:rPr>
                <w:rFonts w:hint="eastAsia" w:ascii="宋体" w:eastAsia="宋体"/>
                <w:sz w:val="24"/>
                <w:highlight w:val="none"/>
              </w:rPr>
              <w:t>详见第六章投标文件格式。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pPr>
              <w:adjustRightInd w:val="0"/>
              <w:snapToGrid w:val="0"/>
              <w:spacing w:line="360" w:lineRule="auto"/>
              <w:ind w:right="-10"/>
              <w:jc w:val="center"/>
              <w:rPr>
                <w:rFonts w:hint="eastAsia" w:ascii="宋体" w:eastAsia="宋体"/>
                <w:sz w:val="24"/>
                <w:highlight w:val="none"/>
                <w:lang w:val="en-US" w:eastAsia="zh-CN"/>
              </w:rPr>
            </w:pPr>
            <w:r>
              <w:rPr>
                <w:rFonts w:hint="eastAsia" w:ascii="宋体" w:eastAsia="宋体"/>
                <w:sz w:val="24"/>
                <w:highlight w:val="none"/>
                <w:lang w:val="en-US" w:eastAsia="zh-CN"/>
              </w:rPr>
              <w:t>7</w:t>
            </w:r>
          </w:p>
        </w:tc>
        <w:tc>
          <w:tcPr>
            <w:tcW w:w="1242" w:type="pct"/>
            <w:vAlign w:val="center"/>
          </w:tcPr>
          <w:p>
            <w:pPr>
              <w:spacing w:after="50" w:line="360" w:lineRule="auto"/>
              <w:ind w:right="-10"/>
              <w:jc w:val="center"/>
              <w:rPr>
                <w:rFonts w:hint="default" w:ascii="宋体" w:eastAsia="宋体"/>
                <w:sz w:val="24"/>
                <w:szCs w:val="28"/>
                <w:highlight w:val="none"/>
                <w:lang w:val="en-US" w:eastAsia="zh-CN"/>
              </w:rPr>
            </w:pPr>
            <w:r>
              <w:rPr>
                <w:rFonts w:hint="eastAsia" w:ascii="宋体" w:eastAsia="宋体"/>
                <w:sz w:val="24"/>
                <w:szCs w:val="28"/>
                <w:highlight w:val="none"/>
              </w:rPr>
              <w:t>诚信履约承诺函</w:t>
            </w:r>
          </w:p>
        </w:tc>
        <w:tc>
          <w:tcPr>
            <w:tcW w:w="1835" w:type="pct"/>
            <w:vAlign w:val="center"/>
          </w:tcPr>
          <w:p>
            <w:pPr>
              <w:spacing w:after="50" w:line="360" w:lineRule="auto"/>
              <w:ind w:right="-10"/>
              <w:jc w:val="center"/>
              <w:rPr>
                <w:rFonts w:hint="eastAsia" w:ascii="宋体" w:eastAsia="宋体"/>
                <w:sz w:val="24"/>
                <w:szCs w:val="28"/>
                <w:highlight w:val="none"/>
              </w:rPr>
            </w:pPr>
            <w:r>
              <w:rPr>
                <w:rFonts w:hint="eastAsia" w:ascii="宋体" w:eastAsia="宋体"/>
                <w:sz w:val="24"/>
                <w:szCs w:val="28"/>
                <w:highlight w:val="none"/>
              </w:rPr>
              <w:t>格式、填写要求符合磋商文件规定并加盖供应商电子签章</w:t>
            </w:r>
          </w:p>
        </w:tc>
        <w:tc>
          <w:tcPr>
            <w:tcW w:w="1473" w:type="pct"/>
            <w:vAlign w:val="center"/>
          </w:tcPr>
          <w:p>
            <w:pPr>
              <w:adjustRightInd w:val="0"/>
              <w:snapToGrid w:val="0"/>
              <w:spacing w:line="360" w:lineRule="auto"/>
              <w:ind w:right="-10"/>
              <w:jc w:val="center"/>
              <w:rPr>
                <w:rFonts w:hint="eastAsia" w:ascii="宋体" w:eastAsia="宋体"/>
                <w:sz w:val="24"/>
                <w:highlight w:val="none"/>
              </w:rPr>
            </w:pPr>
            <w:r>
              <w:rPr>
                <w:rFonts w:hint="eastAsia" w:ascii="宋体" w:eastAsia="宋体"/>
                <w:sz w:val="24"/>
                <w:highlight w:val="none"/>
              </w:rPr>
              <w:t>详见第六章响应文件格式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pPr>
              <w:adjustRightInd w:val="0"/>
              <w:snapToGrid w:val="0"/>
              <w:spacing w:line="360" w:lineRule="auto"/>
              <w:ind w:right="-10"/>
              <w:jc w:val="center"/>
              <w:rPr>
                <w:rFonts w:hint="eastAsia" w:ascii="宋体" w:eastAsia="宋体"/>
                <w:sz w:val="24"/>
                <w:highlight w:val="none"/>
                <w:lang w:eastAsia="zh-CN"/>
              </w:rPr>
            </w:pPr>
            <w:r>
              <w:rPr>
                <w:rFonts w:hint="eastAsia" w:ascii="宋体" w:eastAsia="宋体"/>
                <w:sz w:val="24"/>
                <w:highlight w:val="none"/>
                <w:lang w:val="en-US" w:eastAsia="zh-CN"/>
              </w:rPr>
              <w:t>8</w:t>
            </w:r>
          </w:p>
        </w:tc>
        <w:tc>
          <w:tcPr>
            <w:tcW w:w="1242" w:type="pct"/>
            <w:vAlign w:val="center"/>
          </w:tcPr>
          <w:p>
            <w:pPr>
              <w:spacing w:after="50" w:line="360" w:lineRule="auto"/>
              <w:ind w:right="-10"/>
              <w:jc w:val="center"/>
              <w:rPr>
                <w:rFonts w:ascii="宋体" w:eastAsia="宋体"/>
                <w:sz w:val="24"/>
                <w:szCs w:val="28"/>
                <w:highlight w:val="none"/>
              </w:rPr>
            </w:pPr>
            <w:r>
              <w:rPr>
                <w:rFonts w:hint="eastAsia" w:ascii="宋体" w:eastAsia="宋体"/>
                <w:sz w:val="24"/>
                <w:szCs w:val="28"/>
                <w:highlight w:val="none"/>
              </w:rPr>
              <w:t>其他要求</w:t>
            </w:r>
          </w:p>
        </w:tc>
        <w:tc>
          <w:tcPr>
            <w:tcW w:w="1835" w:type="pct"/>
            <w:vAlign w:val="center"/>
          </w:tcPr>
          <w:p>
            <w:pPr>
              <w:spacing w:after="50" w:line="360" w:lineRule="auto"/>
              <w:ind w:right="-10"/>
              <w:jc w:val="center"/>
              <w:rPr>
                <w:rFonts w:ascii="宋体" w:eastAsia="宋体"/>
                <w:sz w:val="24"/>
                <w:szCs w:val="28"/>
                <w:highlight w:val="none"/>
              </w:rPr>
            </w:pPr>
            <w:r>
              <w:rPr>
                <w:rFonts w:hint="eastAsia" w:ascii="宋体" w:eastAsia="宋体"/>
                <w:sz w:val="24"/>
                <w:szCs w:val="28"/>
                <w:highlight w:val="none"/>
              </w:rPr>
              <w:t>符合法律、行政法规规定的其他条件或招标文件列明的其他要求</w:t>
            </w:r>
          </w:p>
        </w:tc>
        <w:tc>
          <w:tcPr>
            <w:tcW w:w="1473" w:type="pct"/>
            <w:vAlign w:val="center"/>
          </w:tcPr>
          <w:p>
            <w:pPr>
              <w:adjustRightInd w:val="0"/>
              <w:snapToGrid w:val="0"/>
              <w:spacing w:line="360" w:lineRule="auto"/>
              <w:ind w:right="-10"/>
              <w:jc w:val="center"/>
              <w:rPr>
                <w:rFonts w:ascii="宋体" w:eastAsia="宋体"/>
                <w:sz w:val="24"/>
                <w:highlight w:val="none"/>
              </w:rPr>
            </w:pPr>
          </w:p>
        </w:tc>
      </w:tr>
    </w:tbl>
    <w:p>
      <w:pPr>
        <w:spacing w:line="360" w:lineRule="auto"/>
        <w:ind w:firstLine="435"/>
        <w:rPr>
          <w:rFonts w:ascii="宋体" w:eastAsia="宋体"/>
          <w:sz w:val="24"/>
          <w:highlight w:val="none"/>
        </w:rPr>
      </w:pPr>
      <w:r>
        <w:rPr>
          <w:rFonts w:hint="eastAsia" w:ascii="宋体" w:eastAsia="宋体"/>
          <w:b/>
          <w:bCs/>
          <w:sz w:val="24"/>
          <w:highlight w:val="none"/>
        </w:rPr>
        <w:t>符合性审查指标通过标准：</w:t>
      </w:r>
      <w:r>
        <w:rPr>
          <w:rFonts w:hint="eastAsia" w:ascii="宋体" w:eastAsia="宋体"/>
          <w:sz w:val="24"/>
          <w:highlight w:val="none"/>
        </w:rPr>
        <w:t>投标人必须通过符合性审查表中的全部评审指标。</w:t>
      </w:r>
    </w:p>
    <w:p>
      <w:pPr>
        <w:widowControl/>
        <w:jc w:val="left"/>
        <w:rPr>
          <w:rFonts w:ascii="宋体" w:eastAsia="宋体"/>
          <w:bCs/>
          <w:sz w:val="24"/>
          <w:highlight w:val="none"/>
        </w:rPr>
      </w:pPr>
      <w:r>
        <w:rPr>
          <w:rFonts w:ascii="宋体" w:eastAsia="宋体"/>
          <w:bCs/>
          <w:sz w:val="24"/>
          <w:highlight w:val="none"/>
        </w:rPr>
        <w:br w:type="page"/>
      </w:r>
    </w:p>
    <w:p>
      <w:pPr>
        <w:spacing w:line="360" w:lineRule="auto"/>
        <w:jc w:val="center"/>
        <w:outlineLvl w:val="0"/>
        <w:rPr>
          <w:rFonts w:ascii="宋体" w:eastAsia="宋体"/>
          <w:b/>
          <w:sz w:val="28"/>
          <w:highlight w:val="none"/>
        </w:rPr>
      </w:pPr>
      <w:bookmarkStart w:id="94" w:name="_Toc4682"/>
      <w:bookmarkStart w:id="95" w:name="_Toc4605"/>
      <w:bookmarkStart w:id="96" w:name="_Toc8061"/>
      <w:bookmarkStart w:id="97" w:name="_Toc1400"/>
      <w:bookmarkStart w:id="98" w:name="_Toc23064"/>
      <w:r>
        <w:rPr>
          <w:rFonts w:hint="eastAsia" w:ascii="宋体" w:eastAsia="宋体"/>
          <w:b/>
          <w:sz w:val="28"/>
          <w:highlight w:val="none"/>
        </w:rPr>
        <w:t xml:space="preserve">第五章  </w:t>
      </w:r>
      <w:r>
        <w:rPr>
          <w:rFonts w:ascii="宋体" w:eastAsia="宋体"/>
          <w:b/>
          <w:sz w:val="28"/>
          <w:highlight w:val="none"/>
        </w:rPr>
        <w:t>政府采购合同</w:t>
      </w:r>
      <w:bookmarkEnd w:id="94"/>
      <w:bookmarkEnd w:id="95"/>
      <w:bookmarkEnd w:id="96"/>
      <w:bookmarkEnd w:id="97"/>
      <w:bookmarkEnd w:id="98"/>
    </w:p>
    <w:p>
      <w:pPr>
        <w:spacing w:line="480" w:lineRule="auto"/>
        <w:jc w:val="center"/>
        <w:rPr>
          <w:rFonts w:ascii="宋体" w:eastAsia="宋体" w:cs="Times New Roman"/>
          <w:b/>
          <w:color w:val="000000"/>
          <w:sz w:val="28"/>
          <w:szCs w:val="28"/>
          <w:highlight w:val="none"/>
        </w:rPr>
      </w:pPr>
    </w:p>
    <w:p>
      <w:pPr>
        <w:spacing w:line="480" w:lineRule="auto"/>
        <w:jc w:val="center"/>
        <w:rPr>
          <w:rFonts w:ascii="宋体" w:eastAsia="宋体" w:cs="Times New Roman"/>
          <w:b/>
          <w:color w:val="000000"/>
          <w:sz w:val="28"/>
          <w:szCs w:val="28"/>
          <w:highlight w:val="none"/>
        </w:rPr>
      </w:pPr>
    </w:p>
    <w:p>
      <w:pPr>
        <w:spacing w:line="480" w:lineRule="auto"/>
        <w:jc w:val="center"/>
        <w:rPr>
          <w:rFonts w:ascii="宋体" w:eastAsia="宋体" w:cs="Times New Roman"/>
          <w:b/>
          <w:color w:val="000000"/>
          <w:sz w:val="28"/>
          <w:szCs w:val="28"/>
          <w:highlight w:val="none"/>
        </w:rPr>
      </w:pPr>
    </w:p>
    <w:p>
      <w:pPr>
        <w:spacing w:line="480" w:lineRule="auto"/>
        <w:jc w:val="center"/>
        <w:outlineLvl w:val="1"/>
        <w:rPr>
          <w:rFonts w:ascii="宋体" w:eastAsia="宋体" w:cs="Times New Roman"/>
          <w:b/>
          <w:color w:val="000000"/>
          <w:sz w:val="28"/>
          <w:szCs w:val="28"/>
          <w:highlight w:val="none"/>
        </w:rPr>
      </w:pPr>
      <w:bookmarkStart w:id="99" w:name="_Toc22228"/>
      <w:bookmarkStart w:id="100" w:name="_Toc1745"/>
      <w:r>
        <w:rPr>
          <w:rFonts w:ascii="宋体" w:eastAsia="宋体" w:cs="Times New Roman"/>
          <w:b/>
          <w:color w:val="000000"/>
          <w:sz w:val="28"/>
          <w:szCs w:val="28"/>
          <w:highlight w:val="none"/>
        </w:rPr>
        <w:t>政府采购合同</w:t>
      </w:r>
      <w:r>
        <w:rPr>
          <w:rFonts w:hint="eastAsia" w:ascii="宋体" w:eastAsia="宋体" w:cs="Times New Roman"/>
          <w:b/>
          <w:color w:val="000000"/>
          <w:sz w:val="28"/>
          <w:szCs w:val="28"/>
          <w:highlight w:val="none"/>
        </w:rPr>
        <w:t>参考范本</w:t>
      </w:r>
      <w:bookmarkEnd w:id="99"/>
      <w:bookmarkEnd w:id="100"/>
    </w:p>
    <w:p>
      <w:pPr>
        <w:spacing w:line="480" w:lineRule="auto"/>
        <w:jc w:val="center"/>
        <w:outlineLvl w:val="1"/>
        <w:rPr>
          <w:rFonts w:ascii="宋体" w:eastAsia="宋体" w:cs="Times New Roman"/>
          <w:b/>
          <w:color w:val="000000"/>
          <w:sz w:val="28"/>
          <w:szCs w:val="28"/>
          <w:highlight w:val="none"/>
        </w:rPr>
      </w:pPr>
      <w:bookmarkStart w:id="101" w:name="_Toc17299"/>
      <w:bookmarkStart w:id="102" w:name="_Toc14257"/>
      <w:r>
        <w:rPr>
          <w:rFonts w:hint="eastAsia" w:ascii="宋体" w:eastAsia="宋体" w:cs="Times New Roman"/>
          <w:b/>
          <w:color w:val="000000"/>
          <w:sz w:val="28"/>
          <w:szCs w:val="28"/>
          <w:highlight w:val="none"/>
        </w:rPr>
        <w:t>（货物类）</w:t>
      </w:r>
      <w:bookmarkEnd w:id="101"/>
      <w:bookmarkEnd w:id="102"/>
    </w:p>
    <w:p>
      <w:pPr>
        <w:spacing w:line="480" w:lineRule="auto"/>
        <w:jc w:val="center"/>
        <w:rPr>
          <w:rFonts w:ascii="宋体" w:eastAsia="宋体" w:cs="Times New Roman"/>
          <w:b/>
          <w:color w:val="000000"/>
          <w:sz w:val="24"/>
          <w:szCs w:val="24"/>
          <w:highlight w:val="none"/>
        </w:rPr>
      </w:pPr>
    </w:p>
    <w:p>
      <w:pPr>
        <w:spacing w:line="480" w:lineRule="auto"/>
        <w:jc w:val="center"/>
        <w:rPr>
          <w:rFonts w:ascii="宋体" w:eastAsia="宋体" w:cs="Times New Roman"/>
          <w:b/>
          <w:color w:val="000000"/>
          <w:sz w:val="24"/>
          <w:szCs w:val="24"/>
          <w:highlight w:val="none"/>
        </w:rPr>
      </w:pPr>
    </w:p>
    <w:p>
      <w:pPr>
        <w:spacing w:line="480" w:lineRule="auto"/>
        <w:jc w:val="center"/>
        <w:rPr>
          <w:rFonts w:ascii="宋体" w:eastAsia="宋体" w:cs="Times New Roman"/>
          <w:b/>
          <w:color w:val="000000"/>
          <w:sz w:val="24"/>
          <w:szCs w:val="24"/>
          <w:highlight w:val="none"/>
        </w:rPr>
      </w:pPr>
    </w:p>
    <w:p>
      <w:pPr>
        <w:spacing w:line="360" w:lineRule="auto"/>
        <w:jc w:val="center"/>
        <w:outlineLvl w:val="1"/>
        <w:rPr>
          <w:rFonts w:ascii="宋体" w:eastAsia="宋体"/>
          <w:b/>
          <w:color w:val="000000"/>
          <w:sz w:val="24"/>
          <w:highlight w:val="none"/>
        </w:rPr>
      </w:pPr>
      <w:bookmarkStart w:id="103" w:name="_Toc4971"/>
      <w:bookmarkStart w:id="104" w:name="_Toc28655"/>
      <w:r>
        <w:rPr>
          <w:rFonts w:hint="eastAsia" w:ascii="宋体" w:eastAsia="宋体"/>
          <w:b/>
          <w:color w:val="000000"/>
          <w:sz w:val="24"/>
          <w:highlight w:val="none"/>
        </w:rPr>
        <w:t>第一部分 合同书</w:t>
      </w:r>
      <w:bookmarkEnd w:id="103"/>
      <w:bookmarkEnd w:id="104"/>
    </w:p>
    <w:p>
      <w:pPr>
        <w:spacing w:line="480" w:lineRule="auto"/>
        <w:jc w:val="center"/>
        <w:rPr>
          <w:rFonts w:ascii="宋体" w:eastAsia="宋体" w:cs="Times New Roman"/>
          <w:b/>
          <w:color w:val="000000"/>
          <w:sz w:val="24"/>
          <w:szCs w:val="24"/>
          <w:highlight w:val="none"/>
        </w:rPr>
      </w:pPr>
    </w:p>
    <w:p>
      <w:pPr>
        <w:spacing w:line="480" w:lineRule="auto"/>
        <w:jc w:val="center"/>
        <w:rPr>
          <w:rFonts w:ascii="宋体" w:eastAsia="宋体" w:cs="Times New Roman"/>
          <w:b/>
          <w:color w:val="000000"/>
          <w:sz w:val="24"/>
          <w:szCs w:val="24"/>
          <w:highlight w:val="none"/>
        </w:rPr>
      </w:pPr>
    </w:p>
    <w:p>
      <w:pPr>
        <w:spacing w:line="480" w:lineRule="auto"/>
        <w:jc w:val="center"/>
        <w:rPr>
          <w:rFonts w:ascii="宋体" w:eastAsia="宋体" w:cs="Times New Roman"/>
          <w:b/>
          <w:color w:val="000000"/>
          <w:sz w:val="24"/>
          <w:szCs w:val="24"/>
          <w:highlight w:val="none"/>
        </w:rPr>
      </w:pPr>
    </w:p>
    <w:p>
      <w:pPr>
        <w:spacing w:before="120" w:line="480" w:lineRule="auto"/>
        <w:ind w:left="960"/>
        <w:rPr>
          <w:rFonts w:hint="eastAsia" w:ascii="宋体" w:eastAsia="宋体"/>
          <w:sz w:val="24"/>
          <w:szCs w:val="18"/>
          <w:highlight w:val="none"/>
          <w:u w:val="single"/>
          <w:lang w:eastAsia="zh-CN"/>
        </w:rPr>
      </w:pPr>
      <w:r>
        <w:rPr>
          <w:rFonts w:hint="eastAsia" w:ascii="宋体" w:eastAsia="宋体" w:cs="Times New Roman"/>
          <w:color w:val="000000"/>
          <w:sz w:val="24"/>
          <w:szCs w:val="24"/>
          <w:highlight w:val="none"/>
        </w:rPr>
        <w:t>项目名称：</w:t>
      </w:r>
      <w:r>
        <w:rPr>
          <w:rFonts w:hint="eastAsia" w:ascii="宋体" w:eastAsia="宋体"/>
          <w:sz w:val="24"/>
          <w:szCs w:val="18"/>
          <w:highlight w:val="none"/>
          <w:u w:val="single"/>
          <w:lang w:eastAsia="zh-CN"/>
        </w:rPr>
        <w:t>皖南医学院滨江校区（文津西路8号）综合安防系统升级改造项目</w:t>
      </w:r>
    </w:p>
    <w:p>
      <w:pPr>
        <w:spacing w:before="120" w:line="480" w:lineRule="auto"/>
        <w:ind w:left="960"/>
        <w:rPr>
          <w:rFonts w:hint="eastAsia" w:ascii="宋体" w:eastAsia="宋体" w:cs="Times New Roman"/>
          <w:color w:val="000000"/>
          <w:sz w:val="24"/>
          <w:szCs w:val="24"/>
          <w:highlight w:val="none"/>
          <w:lang w:eastAsia="zh-CN"/>
        </w:rPr>
      </w:pPr>
      <w:r>
        <w:rPr>
          <w:rFonts w:hint="eastAsia" w:ascii="宋体" w:eastAsia="宋体" w:cs="Times New Roman"/>
          <w:color w:val="000000"/>
          <w:sz w:val="24"/>
          <w:szCs w:val="24"/>
          <w:highlight w:val="none"/>
        </w:rPr>
        <w:t>项目编号：</w:t>
      </w:r>
      <w:r>
        <w:rPr>
          <w:rFonts w:hint="eastAsia" w:ascii="宋体" w:eastAsia="宋体" w:cs="Times New Roman"/>
          <w:color w:val="000000"/>
          <w:sz w:val="24"/>
          <w:szCs w:val="24"/>
          <w:highlight w:val="none"/>
          <w:lang w:eastAsia="zh-CN"/>
        </w:rPr>
        <w:t>FSSD34000120243645号001</w:t>
      </w:r>
    </w:p>
    <w:p>
      <w:pPr>
        <w:spacing w:before="120" w:line="480" w:lineRule="auto"/>
        <w:ind w:left="960"/>
        <w:rPr>
          <w:rFonts w:ascii="宋体" w:eastAsia="宋体" w:cs="Times New Roman"/>
          <w:color w:val="000000"/>
          <w:sz w:val="24"/>
          <w:szCs w:val="24"/>
          <w:highlight w:val="none"/>
          <w:u w:val="single"/>
        </w:rPr>
      </w:pPr>
      <w:r>
        <w:rPr>
          <w:rFonts w:hint="eastAsia" w:ascii="宋体" w:eastAsia="宋体" w:cs="Times New Roman"/>
          <w:color w:val="000000"/>
          <w:sz w:val="24"/>
          <w:szCs w:val="24"/>
          <w:highlight w:val="none"/>
        </w:rPr>
        <w:t>甲方（采购人）：</w:t>
      </w:r>
      <w:r>
        <w:rPr>
          <w:rFonts w:hint="eastAsia" w:ascii="宋体" w:eastAsia="宋体" w:cs="Times New Roman"/>
          <w:color w:val="000000"/>
          <w:sz w:val="24"/>
          <w:szCs w:val="24"/>
          <w:highlight w:val="none"/>
          <w:u w:val="single"/>
        </w:rPr>
        <w:t xml:space="preserve"> 皖南医学院  </w:t>
      </w:r>
    </w:p>
    <w:p>
      <w:pPr>
        <w:spacing w:before="120" w:line="480" w:lineRule="auto"/>
        <w:ind w:left="960"/>
        <w:rPr>
          <w:rFonts w:ascii="宋体" w:eastAsia="宋体" w:cs="Times New Roman"/>
          <w:color w:val="000000"/>
          <w:sz w:val="24"/>
          <w:szCs w:val="24"/>
          <w:highlight w:val="none"/>
          <w:u w:val="single"/>
        </w:rPr>
      </w:pPr>
      <w:r>
        <w:rPr>
          <w:rFonts w:hint="eastAsia" w:ascii="宋体" w:eastAsia="宋体" w:cs="Times New Roman"/>
          <w:color w:val="000000"/>
          <w:sz w:val="24"/>
          <w:szCs w:val="24"/>
          <w:highlight w:val="none"/>
        </w:rPr>
        <w:t>乙方（中标人）：</w:t>
      </w:r>
    </w:p>
    <w:p>
      <w:pPr>
        <w:spacing w:before="120" w:line="480" w:lineRule="auto"/>
        <w:ind w:firstLine="960" w:firstLineChars="400"/>
        <w:rPr>
          <w:rFonts w:ascii="宋体" w:eastAsia="宋体" w:cs="Times New Roman"/>
          <w:color w:val="000000"/>
          <w:sz w:val="24"/>
          <w:szCs w:val="24"/>
          <w:highlight w:val="none"/>
          <w:u w:val="single"/>
        </w:rPr>
      </w:pPr>
      <w:r>
        <w:rPr>
          <w:rFonts w:hint="eastAsia" w:ascii="宋体" w:eastAsia="宋体" w:cs="Times New Roman"/>
          <w:color w:val="000000"/>
          <w:sz w:val="24"/>
          <w:szCs w:val="24"/>
          <w:highlight w:val="none"/>
        </w:rPr>
        <w:t>签订地：</w:t>
      </w:r>
    </w:p>
    <w:p>
      <w:pPr>
        <w:spacing w:before="120" w:line="480" w:lineRule="auto"/>
        <w:ind w:firstLine="960" w:firstLineChars="400"/>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签订日期：</w:t>
      </w:r>
      <w:r>
        <w:rPr>
          <w:rFonts w:hint="eastAsia" w:ascii="宋体" w:eastAsia="宋体" w:cs="Times New Roman"/>
          <w:color w:val="000000"/>
          <w:sz w:val="24"/>
          <w:szCs w:val="24"/>
          <w:highlight w:val="none"/>
          <w:lang w:val="en-US" w:eastAsia="zh-CN"/>
        </w:rPr>
        <w:t xml:space="preserve">     </w:t>
      </w:r>
      <w:r>
        <w:rPr>
          <w:rFonts w:hint="eastAsia" w:ascii="宋体" w:eastAsia="宋体" w:cs="Times New Roman"/>
          <w:color w:val="000000"/>
          <w:sz w:val="24"/>
          <w:szCs w:val="24"/>
          <w:highlight w:val="none"/>
        </w:rPr>
        <w:t>年</w:t>
      </w:r>
      <w:r>
        <w:rPr>
          <w:rFonts w:hint="eastAsia" w:ascii="宋体" w:eastAsia="宋体" w:cs="Times New Roman"/>
          <w:color w:val="000000"/>
          <w:sz w:val="24"/>
          <w:szCs w:val="24"/>
          <w:highlight w:val="none"/>
          <w:lang w:val="en-US" w:eastAsia="zh-CN"/>
        </w:rPr>
        <w:t xml:space="preserve">   </w:t>
      </w:r>
      <w:r>
        <w:rPr>
          <w:rFonts w:hint="eastAsia" w:ascii="宋体" w:eastAsia="宋体" w:cs="Times New Roman"/>
          <w:color w:val="000000"/>
          <w:sz w:val="24"/>
          <w:szCs w:val="24"/>
          <w:highlight w:val="none"/>
        </w:rPr>
        <w:t>月</w:t>
      </w:r>
      <w:r>
        <w:rPr>
          <w:rFonts w:hint="eastAsia" w:ascii="宋体" w:eastAsia="宋体" w:cs="Times New Roman"/>
          <w:color w:val="000000"/>
          <w:sz w:val="24"/>
          <w:szCs w:val="24"/>
          <w:highlight w:val="none"/>
          <w:lang w:val="en-US" w:eastAsia="zh-CN"/>
        </w:rPr>
        <w:t xml:space="preserve">     </w:t>
      </w:r>
      <w:r>
        <w:rPr>
          <w:rFonts w:hint="eastAsia" w:ascii="宋体" w:eastAsia="宋体" w:cs="Times New Roman"/>
          <w:color w:val="000000"/>
          <w:sz w:val="24"/>
          <w:szCs w:val="24"/>
          <w:highlight w:val="none"/>
        </w:rPr>
        <w:t>日</w:t>
      </w:r>
    </w:p>
    <w:p>
      <w:pPr>
        <w:widowControl/>
        <w:jc w:val="left"/>
        <w:rPr>
          <w:rFonts w:ascii="宋体" w:eastAsia="宋体" w:cs="Times New Roman"/>
          <w:color w:val="000000"/>
          <w:sz w:val="24"/>
          <w:szCs w:val="24"/>
          <w:highlight w:val="none"/>
        </w:rPr>
      </w:pPr>
      <w:r>
        <w:rPr>
          <w:rFonts w:ascii="宋体" w:eastAsia="宋体" w:cs="Times New Roman"/>
          <w:color w:val="000000"/>
          <w:sz w:val="24"/>
          <w:szCs w:val="24"/>
          <w:highlight w:val="none"/>
        </w:rPr>
        <w:br w:type="page"/>
      </w:r>
    </w:p>
    <w:p>
      <w:pPr>
        <w:spacing w:line="360" w:lineRule="auto"/>
        <w:ind w:firstLine="435"/>
        <w:rPr>
          <w:rFonts w:ascii="宋体" w:eastAsia="宋体"/>
          <w:color w:val="000000"/>
          <w:sz w:val="24"/>
          <w:highlight w:val="none"/>
        </w:rPr>
      </w:pPr>
      <w:r>
        <w:rPr>
          <w:rFonts w:hint="eastAsia" w:ascii="宋体" w:eastAsia="宋体"/>
          <w:color w:val="000000"/>
          <w:sz w:val="24"/>
          <w:highlight w:val="none"/>
          <w:u w:val="single"/>
        </w:rPr>
        <w:t xml:space="preserve"> 皖南医学院  </w:t>
      </w:r>
      <w:r>
        <w:rPr>
          <w:rFonts w:hint="eastAsia" w:ascii="宋体" w:eastAsia="宋体"/>
          <w:color w:val="000000"/>
          <w:sz w:val="24"/>
          <w:highlight w:val="none"/>
        </w:rPr>
        <w:t>（</w:t>
      </w:r>
      <w:r>
        <w:rPr>
          <w:rFonts w:hint="eastAsia" w:ascii="宋体" w:eastAsia="宋体" w:cs="Times New Roman"/>
          <w:color w:val="000000"/>
          <w:sz w:val="24"/>
          <w:szCs w:val="24"/>
          <w:highlight w:val="none"/>
          <w:lang w:val="zh-CN"/>
        </w:rPr>
        <w:t>以下简称：甲方</w:t>
      </w:r>
      <w:r>
        <w:rPr>
          <w:rFonts w:hint="eastAsia" w:ascii="宋体" w:eastAsia="宋体"/>
          <w:color w:val="000000"/>
          <w:sz w:val="24"/>
          <w:highlight w:val="none"/>
        </w:rPr>
        <w:t>）通过</w:t>
      </w:r>
      <w:r>
        <w:rPr>
          <w:rFonts w:hint="eastAsia" w:ascii="宋体" w:eastAsia="宋体"/>
          <w:color w:val="000000"/>
          <w:sz w:val="24"/>
          <w:highlight w:val="none"/>
          <w:u w:val="single"/>
        </w:rPr>
        <w:t xml:space="preserve"> 安徽安兆工程技术咨询服务有限公司 </w:t>
      </w:r>
      <w:r>
        <w:rPr>
          <w:rFonts w:hint="eastAsia" w:ascii="宋体" w:eastAsia="宋体"/>
          <w:color w:val="000000"/>
          <w:sz w:val="24"/>
          <w:highlight w:val="none"/>
        </w:rPr>
        <w:t>组织的公开招标方式采购活动，经评标委员会评定，（</w:t>
      </w:r>
      <w:r>
        <w:rPr>
          <w:rFonts w:hint="eastAsia" w:ascii="宋体" w:eastAsia="宋体" w:cs="Times New Roman"/>
          <w:color w:val="000000"/>
          <w:sz w:val="24"/>
          <w:szCs w:val="24"/>
          <w:highlight w:val="none"/>
          <w:lang w:val="zh-CN"/>
        </w:rPr>
        <w:t>以下简称：乙方</w:t>
      </w:r>
      <w:r>
        <w:rPr>
          <w:rFonts w:hint="eastAsia" w:ascii="宋体" w:eastAsia="宋体"/>
          <w:color w:val="000000"/>
          <w:sz w:val="24"/>
          <w:highlight w:val="none"/>
        </w:rPr>
        <w:t>）为本项目中标人，现</w:t>
      </w:r>
      <w:r>
        <w:rPr>
          <w:rFonts w:hint="eastAsia" w:ascii="宋体" w:eastAsia="宋体" w:cs="Times New Roman"/>
          <w:color w:val="000000"/>
          <w:sz w:val="24"/>
          <w:szCs w:val="24"/>
          <w:highlight w:val="none"/>
        </w:rPr>
        <w:t>按照采购文件确定的事项签订本合同。</w:t>
      </w:r>
    </w:p>
    <w:p>
      <w:pPr>
        <w:spacing w:line="360" w:lineRule="auto"/>
        <w:ind w:firstLine="435"/>
        <w:rPr>
          <w:rFonts w:ascii="宋体" w:eastAsia="宋体" w:cs="Times New Roman"/>
          <w:color w:val="000000"/>
          <w:sz w:val="24"/>
          <w:szCs w:val="24"/>
          <w:highlight w:val="none"/>
          <w:lang w:val="zh-CN"/>
        </w:rPr>
      </w:pPr>
      <w:r>
        <w:rPr>
          <w:rFonts w:hint="eastAsia" w:ascii="宋体" w:eastAsia="宋体"/>
          <w:color w:val="000000"/>
          <w:sz w:val="24"/>
          <w:highlight w:val="none"/>
        </w:rPr>
        <w:t>根据《中华人民共和国民法典》、《中华人民共和国政府采购法》等相关法律法规之规定，按照平等、自愿、公平和诚实信用的原则，经甲方和乙方协商一致，约定以下合同条款，以兹共同遵守、全面履行。</w:t>
      </w:r>
    </w:p>
    <w:p>
      <w:pPr>
        <w:spacing w:line="360" w:lineRule="auto"/>
        <w:ind w:firstLine="437"/>
        <w:outlineLvl w:val="2"/>
        <w:rPr>
          <w:rFonts w:ascii="宋体" w:eastAsia="宋体" w:cs="Times New Roman"/>
          <w:b/>
          <w:bCs/>
          <w:color w:val="000000"/>
          <w:sz w:val="24"/>
          <w:szCs w:val="24"/>
          <w:highlight w:val="none"/>
          <w:lang w:val="zh-CN"/>
        </w:rPr>
      </w:pPr>
      <w:bookmarkStart w:id="105" w:name="_Toc2232"/>
      <w:bookmarkStart w:id="106" w:name="_Toc24059"/>
      <w:bookmarkStart w:id="107" w:name="_Toc3029"/>
      <w:r>
        <w:rPr>
          <w:rFonts w:hint="eastAsia" w:ascii="宋体" w:eastAsia="宋体" w:cs="Times New Roman"/>
          <w:b/>
          <w:bCs/>
          <w:color w:val="000000"/>
          <w:sz w:val="24"/>
          <w:szCs w:val="24"/>
          <w:highlight w:val="none"/>
          <w:lang w:val="zh-CN"/>
        </w:rPr>
        <w:t>1.1合同组成部分</w:t>
      </w:r>
      <w:bookmarkEnd w:id="105"/>
      <w:bookmarkEnd w:id="106"/>
      <w:bookmarkEnd w:id="107"/>
    </w:p>
    <w:p>
      <w:pPr>
        <w:spacing w:line="360" w:lineRule="auto"/>
        <w:ind w:firstLine="435"/>
        <w:rPr>
          <w:rFonts w:ascii="宋体" w:eastAsia="宋体" w:cs="Times New Roman"/>
          <w:color w:val="000000"/>
          <w:sz w:val="24"/>
          <w:szCs w:val="24"/>
          <w:highlight w:val="none"/>
          <w:lang w:val="zh-CN"/>
        </w:rPr>
      </w:pPr>
      <w:r>
        <w:rPr>
          <w:rFonts w:hint="eastAsia" w:ascii="宋体" w:eastAsia="宋体" w:cs="Times New Roman"/>
          <w:color w:val="000000"/>
          <w:sz w:val="24"/>
          <w:szCs w:val="24"/>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pPr>
        <w:spacing w:line="360" w:lineRule="auto"/>
        <w:ind w:firstLine="435"/>
        <w:rPr>
          <w:rFonts w:ascii="宋体" w:eastAsia="宋体" w:cs="Times New Roman"/>
          <w:color w:val="000000"/>
          <w:sz w:val="24"/>
          <w:szCs w:val="24"/>
          <w:highlight w:val="none"/>
          <w:lang w:val="zh-CN"/>
        </w:rPr>
      </w:pPr>
      <w:r>
        <w:rPr>
          <w:rFonts w:hint="eastAsia" w:ascii="宋体" w:eastAsia="宋体" w:cs="Times New Roman"/>
          <w:color w:val="000000"/>
          <w:sz w:val="24"/>
          <w:szCs w:val="24"/>
          <w:highlight w:val="none"/>
          <w:lang w:val="zh-CN"/>
        </w:rPr>
        <w:t>1.1.1本合同及其补充合同、变更协议；</w:t>
      </w:r>
    </w:p>
    <w:p>
      <w:pPr>
        <w:spacing w:line="360" w:lineRule="auto"/>
        <w:ind w:firstLine="435"/>
        <w:rPr>
          <w:rFonts w:ascii="宋体" w:eastAsia="宋体" w:cs="Times New Roman"/>
          <w:color w:val="000000"/>
          <w:sz w:val="24"/>
          <w:szCs w:val="24"/>
          <w:highlight w:val="none"/>
          <w:lang w:val="zh-CN"/>
        </w:rPr>
      </w:pPr>
      <w:r>
        <w:rPr>
          <w:rFonts w:hint="eastAsia" w:ascii="宋体" w:eastAsia="宋体" w:cs="Times New Roman"/>
          <w:color w:val="000000"/>
          <w:sz w:val="24"/>
          <w:szCs w:val="24"/>
          <w:highlight w:val="none"/>
          <w:lang w:val="zh-CN"/>
        </w:rPr>
        <w:t>1.1.2中标通知书；</w:t>
      </w:r>
    </w:p>
    <w:p>
      <w:pPr>
        <w:spacing w:line="360" w:lineRule="auto"/>
        <w:ind w:firstLine="435"/>
        <w:rPr>
          <w:rFonts w:ascii="宋体" w:eastAsia="宋体" w:cs="Times New Roman"/>
          <w:color w:val="000000"/>
          <w:sz w:val="24"/>
          <w:szCs w:val="24"/>
          <w:highlight w:val="none"/>
          <w:lang w:val="zh-CN"/>
        </w:rPr>
      </w:pPr>
      <w:r>
        <w:rPr>
          <w:rFonts w:hint="eastAsia" w:ascii="宋体" w:eastAsia="宋体" w:cs="Times New Roman"/>
          <w:color w:val="000000"/>
          <w:sz w:val="24"/>
          <w:szCs w:val="24"/>
          <w:highlight w:val="none"/>
          <w:lang w:val="zh-CN"/>
        </w:rPr>
        <w:t>1.1.3投标文件（含澄清或者说明文件）；</w:t>
      </w:r>
    </w:p>
    <w:p>
      <w:pPr>
        <w:spacing w:line="360" w:lineRule="auto"/>
        <w:ind w:firstLine="435"/>
        <w:rPr>
          <w:rFonts w:ascii="宋体" w:eastAsia="宋体" w:cs="Times New Roman"/>
          <w:color w:val="000000"/>
          <w:sz w:val="24"/>
          <w:szCs w:val="24"/>
          <w:highlight w:val="none"/>
          <w:lang w:val="zh-CN"/>
        </w:rPr>
      </w:pPr>
      <w:r>
        <w:rPr>
          <w:rFonts w:hint="eastAsia" w:ascii="宋体" w:eastAsia="宋体" w:cs="Times New Roman"/>
          <w:color w:val="000000"/>
          <w:sz w:val="24"/>
          <w:szCs w:val="24"/>
          <w:highlight w:val="none"/>
          <w:lang w:val="zh-CN"/>
        </w:rPr>
        <w:t>1.1.4招标文件（含澄清或者修改文件）；</w:t>
      </w:r>
    </w:p>
    <w:p>
      <w:pPr>
        <w:spacing w:line="360" w:lineRule="auto"/>
        <w:ind w:firstLine="435"/>
        <w:rPr>
          <w:rFonts w:ascii="宋体" w:eastAsia="宋体" w:cs="Times New Roman"/>
          <w:color w:val="000000"/>
          <w:sz w:val="24"/>
          <w:szCs w:val="24"/>
          <w:highlight w:val="none"/>
          <w:lang w:val="zh-CN"/>
        </w:rPr>
      </w:pPr>
      <w:r>
        <w:rPr>
          <w:rFonts w:hint="eastAsia" w:ascii="宋体" w:eastAsia="宋体" w:cs="Times New Roman"/>
          <w:color w:val="000000"/>
          <w:sz w:val="24"/>
          <w:szCs w:val="24"/>
          <w:highlight w:val="none"/>
          <w:lang w:val="zh-CN"/>
        </w:rPr>
        <w:t>1.1.5其他相关采购文件。</w:t>
      </w:r>
    </w:p>
    <w:p>
      <w:pPr>
        <w:spacing w:line="360" w:lineRule="auto"/>
        <w:ind w:firstLine="437"/>
        <w:outlineLvl w:val="2"/>
        <w:rPr>
          <w:rFonts w:ascii="宋体" w:eastAsia="宋体" w:cs="Times New Roman"/>
          <w:b/>
          <w:bCs/>
          <w:color w:val="000000"/>
          <w:sz w:val="24"/>
          <w:szCs w:val="24"/>
          <w:highlight w:val="none"/>
          <w:lang w:val="zh-CN"/>
        </w:rPr>
      </w:pPr>
      <w:bookmarkStart w:id="108" w:name="_Toc21295"/>
      <w:bookmarkStart w:id="109" w:name="_Toc27126"/>
      <w:bookmarkStart w:id="110" w:name="_Toc24300"/>
      <w:r>
        <w:rPr>
          <w:rFonts w:hint="eastAsia" w:ascii="宋体" w:eastAsia="宋体" w:cs="Times New Roman"/>
          <w:b/>
          <w:bCs/>
          <w:color w:val="000000"/>
          <w:sz w:val="24"/>
          <w:szCs w:val="24"/>
          <w:highlight w:val="none"/>
          <w:lang w:val="zh-CN"/>
        </w:rPr>
        <w:t>1.2货物</w:t>
      </w:r>
      <w:bookmarkEnd w:id="108"/>
      <w:bookmarkEnd w:id="109"/>
      <w:bookmarkEnd w:id="110"/>
    </w:p>
    <w:tbl>
      <w:tblPr>
        <w:tblStyle w:val="2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515"/>
        <w:gridCol w:w="1515"/>
        <w:gridCol w:w="1512"/>
        <w:gridCol w:w="1512"/>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tcPr>
          <w:p>
            <w:pPr>
              <w:jc w:val="center"/>
              <w:rPr>
                <w:rFonts w:ascii="宋体" w:eastAsia="宋体" w:cs="Times New Roman"/>
                <w:color w:val="000000"/>
                <w:sz w:val="24"/>
                <w:szCs w:val="24"/>
                <w:highlight w:val="none"/>
                <w:lang w:val="zh-CN"/>
              </w:rPr>
            </w:pPr>
            <w:r>
              <w:rPr>
                <w:rFonts w:hint="eastAsia" w:ascii="宋体" w:eastAsia="宋体" w:cs="Times New Roman"/>
                <w:color w:val="000000"/>
                <w:sz w:val="24"/>
                <w:szCs w:val="24"/>
                <w:highlight w:val="none"/>
                <w:lang w:val="zh-CN"/>
              </w:rPr>
              <w:t>序号</w:t>
            </w:r>
          </w:p>
        </w:tc>
        <w:tc>
          <w:tcPr>
            <w:tcW w:w="1515" w:type="dxa"/>
            <w:vAlign w:val="center"/>
          </w:tcPr>
          <w:p>
            <w:pPr>
              <w:jc w:val="center"/>
              <w:rPr>
                <w:rFonts w:ascii="宋体" w:eastAsia="宋体" w:cs="Times New Roman"/>
                <w:color w:val="000000"/>
                <w:sz w:val="24"/>
                <w:szCs w:val="24"/>
                <w:highlight w:val="none"/>
                <w:lang w:val="zh-CN"/>
              </w:rPr>
            </w:pPr>
            <w:r>
              <w:rPr>
                <w:rFonts w:hint="eastAsia" w:ascii="宋体" w:eastAsia="宋体" w:cs="Times New Roman"/>
                <w:color w:val="000000"/>
                <w:sz w:val="24"/>
                <w:szCs w:val="24"/>
                <w:highlight w:val="none"/>
                <w:lang w:val="zh-CN"/>
              </w:rPr>
              <w:t>货物名称</w:t>
            </w:r>
          </w:p>
        </w:tc>
        <w:tc>
          <w:tcPr>
            <w:tcW w:w="1515" w:type="dxa"/>
            <w:vAlign w:val="center"/>
          </w:tcPr>
          <w:p>
            <w:pPr>
              <w:jc w:val="center"/>
              <w:rPr>
                <w:rFonts w:ascii="宋体" w:eastAsia="宋体" w:cs="Times New Roman"/>
                <w:color w:val="000000"/>
                <w:sz w:val="24"/>
                <w:szCs w:val="24"/>
                <w:highlight w:val="none"/>
                <w:lang w:val="zh-CN"/>
              </w:rPr>
            </w:pPr>
            <w:r>
              <w:rPr>
                <w:rFonts w:hint="eastAsia" w:ascii="宋体" w:eastAsia="宋体" w:cs="Times New Roman"/>
                <w:color w:val="000000"/>
                <w:sz w:val="24"/>
                <w:szCs w:val="24"/>
                <w:highlight w:val="none"/>
                <w:lang w:val="zh-CN"/>
              </w:rPr>
              <w:t>规格型号</w:t>
            </w:r>
          </w:p>
        </w:tc>
        <w:tc>
          <w:tcPr>
            <w:tcW w:w="1512" w:type="dxa"/>
            <w:vAlign w:val="center"/>
          </w:tcPr>
          <w:p>
            <w:pPr>
              <w:jc w:val="center"/>
              <w:rPr>
                <w:rFonts w:ascii="宋体" w:eastAsia="宋体" w:cs="Times New Roman"/>
                <w:color w:val="000000"/>
                <w:sz w:val="24"/>
                <w:szCs w:val="24"/>
                <w:highlight w:val="none"/>
                <w:lang w:val="zh-CN"/>
              </w:rPr>
            </w:pPr>
            <w:r>
              <w:rPr>
                <w:rFonts w:hint="eastAsia" w:ascii="宋体" w:eastAsia="宋体" w:cs="Times New Roman"/>
                <w:color w:val="000000"/>
                <w:sz w:val="24"/>
                <w:szCs w:val="24"/>
                <w:highlight w:val="none"/>
                <w:lang w:val="zh-CN"/>
              </w:rPr>
              <w:t>单位</w:t>
            </w:r>
          </w:p>
        </w:tc>
        <w:tc>
          <w:tcPr>
            <w:tcW w:w="1512" w:type="dxa"/>
            <w:vAlign w:val="center"/>
          </w:tcPr>
          <w:p>
            <w:pPr>
              <w:jc w:val="center"/>
              <w:rPr>
                <w:rFonts w:ascii="宋体" w:eastAsia="宋体" w:cs="Times New Roman"/>
                <w:color w:val="000000"/>
                <w:sz w:val="24"/>
                <w:szCs w:val="24"/>
                <w:highlight w:val="none"/>
                <w:lang w:val="zh-CN"/>
              </w:rPr>
            </w:pPr>
            <w:r>
              <w:rPr>
                <w:rFonts w:hint="eastAsia" w:ascii="宋体" w:eastAsia="宋体" w:cs="Times New Roman"/>
                <w:color w:val="000000"/>
                <w:sz w:val="24"/>
                <w:szCs w:val="24"/>
                <w:highlight w:val="none"/>
                <w:lang w:val="zh-CN"/>
              </w:rPr>
              <w:t>数量</w:t>
            </w:r>
          </w:p>
        </w:tc>
        <w:tc>
          <w:tcPr>
            <w:tcW w:w="1508" w:type="dxa"/>
            <w:vAlign w:val="center"/>
          </w:tcPr>
          <w:p>
            <w:pPr>
              <w:jc w:val="center"/>
              <w:rPr>
                <w:rFonts w:ascii="宋体" w:eastAsia="宋体" w:cs="Times New Roman"/>
                <w:color w:val="000000"/>
                <w:sz w:val="24"/>
                <w:szCs w:val="24"/>
                <w:highlight w:val="none"/>
                <w:lang w:val="zh-CN"/>
              </w:rPr>
            </w:pPr>
            <w:r>
              <w:rPr>
                <w:rFonts w:hint="eastAsia" w:ascii="宋体" w:eastAsia="宋体" w:cs="Times New Roman"/>
                <w:color w:val="000000"/>
                <w:sz w:val="24"/>
                <w:szCs w:val="24"/>
                <w:highlight w:val="none"/>
                <w:lang w:val="zh-CN"/>
              </w:rPr>
              <w:t>生产厂商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tcPr>
          <w:p>
            <w:pPr>
              <w:jc w:val="center"/>
              <w:rPr>
                <w:rFonts w:ascii="宋体" w:eastAsia="宋体" w:cs="Times New Roman"/>
                <w:color w:val="000000"/>
                <w:sz w:val="24"/>
                <w:szCs w:val="24"/>
                <w:highlight w:val="none"/>
                <w:lang w:val="zh-CN"/>
              </w:rPr>
            </w:pPr>
          </w:p>
        </w:tc>
        <w:tc>
          <w:tcPr>
            <w:tcW w:w="1515" w:type="dxa"/>
            <w:vAlign w:val="center"/>
          </w:tcPr>
          <w:p>
            <w:pPr>
              <w:jc w:val="center"/>
              <w:rPr>
                <w:rFonts w:ascii="宋体" w:eastAsia="宋体" w:cs="仿宋"/>
                <w:snapToGrid w:val="0"/>
                <w:kern w:val="0"/>
                <w:sz w:val="20"/>
                <w:szCs w:val="13"/>
                <w:highlight w:val="none"/>
              </w:rPr>
            </w:pPr>
          </w:p>
        </w:tc>
        <w:tc>
          <w:tcPr>
            <w:tcW w:w="1515" w:type="dxa"/>
            <w:vAlign w:val="center"/>
          </w:tcPr>
          <w:p>
            <w:pPr>
              <w:jc w:val="center"/>
              <w:rPr>
                <w:rFonts w:ascii="宋体" w:eastAsia="宋体" w:cs="仿宋"/>
                <w:snapToGrid w:val="0"/>
                <w:kern w:val="0"/>
                <w:sz w:val="20"/>
                <w:szCs w:val="13"/>
                <w:highlight w:val="none"/>
              </w:rPr>
            </w:pPr>
          </w:p>
        </w:tc>
        <w:tc>
          <w:tcPr>
            <w:tcW w:w="1512" w:type="dxa"/>
            <w:vAlign w:val="center"/>
          </w:tcPr>
          <w:p>
            <w:pPr>
              <w:jc w:val="center"/>
              <w:rPr>
                <w:rFonts w:ascii="宋体" w:eastAsia="宋体" w:cs="Times New Roman"/>
                <w:color w:val="000000"/>
                <w:sz w:val="24"/>
                <w:szCs w:val="24"/>
                <w:highlight w:val="none"/>
              </w:rPr>
            </w:pPr>
          </w:p>
        </w:tc>
        <w:tc>
          <w:tcPr>
            <w:tcW w:w="1512" w:type="dxa"/>
            <w:vAlign w:val="center"/>
          </w:tcPr>
          <w:p>
            <w:pPr>
              <w:jc w:val="center"/>
              <w:rPr>
                <w:rFonts w:ascii="宋体" w:eastAsia="宋体" w:cs="Times New Roman"/>
                <w:color w:val="000000"/>
                <w:sz w:val="24"/>
                <w:szCs w:val="24"/>
                <w:highlight w:val="none"/>
              </w:rPr>
            </w:pPr>
          </w:p>
        </w:tc>
        <w:tc>
          <w:tcPr>
            <w:tcW w:w="1508" w:type="dxa"/>
            <w:vAlign w:val="center"/>
          </w:tcPr>
          <w:p>
            <w:pPr>
              <w:jc w:val="center"/>
              <w:rPr>
                <w:rFonts w:ascii="宋体" w:eastAsia="宋体" w:cs="Times New Roman"/>
                <w:color w:val="00000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tcPr>
          <w:p>
            <w:pPr>
              <w:jc w:val="center"/>
              <w:rPr>
                <w:rFonts w:ascii="宋体" w:eastAsia="宋体" w:cs="Times New Roman"/>
                <w:color w:val="000000"/>
                <w:sz w:val="24"/>
                <w:szCs w:val="24"/>
                <w:highlight w:val="none"/>
                <w:lang w:val="zh-CN"/>
              </w:rPr>
            </w:pPr>
          </w:p>
        </w:tc>
        <w:tc>
          <w:tcPr>
            <w:tcW w:w="1515" w:type="dxa"/>
            <w:vAlign w:val="center"/>
          </w:tcPr>
          <w:p>
            <w:pPr>
              <w:jc w:val="center"/>
              <w:rPr>
                <w:rFonts w:ascii="宋体" w:eastAsia="宋体" w:cs="仿宋"/>
                <w:snapToGrid w:val="0"/>
                <w:kern w:val="0"/>
                <w:sz w:val="20"/>
                <w:szCs w:val="13"/>
                <w:highlight w:val="none"/>
              </w:rPr>
            </w:pPr>
          </w:p>
        </w:tc>
        <w:tc>
          <w:tcPr>
            <w:tcW w:w="1515" w:type="dxa"/>
            <w:vAlign w:val="center"/>
          </w:tcPr>
          <w:p>
            <w:pPr>
              <w:jc w:val="center"/>
              <w:rPr>
                <w:rFonts w:ascii="宋体" w:eastAsia="宋体" w:cs="仿宋"/>
                <w:snapToGrid w:val="0"/>
                <w:kern w:val="0"/>
                <w:sz w:val="20"/>
                <w:szCs w:val="13"/>
                <w:highlight w:val="none"/>
              </w:rPr>
            </w:pPr>
          </w:p>
        </w:tc>
        <w:tc>
          <w:tcPr>
            <w:tcW w:w="1512" w:type="dxa"/>
            <w:vAlign w:val="center"/>
          </w:tcPr>
          <w:p>
            <w:pPr>
              <w:jc w:val="center"/>
              <w:rPr>
                <w:rFonts w:ascii="宋体" w:eastAsia="宋体" w:cs="Times New Roman"/>
                <w:color w:val="000000"/>
                <w:sz w:val="24"/>
                <w:szCs w:val="24"/>
                <w:highlight w:val="none"/>
                <w:lang w:val="zh-CN"/>
              </w:rPr>
            </w:pPr>
          </w:p>
        </w:tc>
        <w:tc>
          <w:tcPr>
            <w:tcW w:w="1512" w:type="dxa"/>
            <w:vAlign w:val="center"/>
          </w:tcPr>
          <w:p>
            <w:pPr>
              <w:jc w:val="center"/>
              <w:rPr>
                <w:rFonts w:ascii="宋体" w:eastAsia="宋体" w:cs="Times New Roman"/>
                <w:color w:val="000000"/>
                <w:sz w:val="24"/>
                <w:szCs w:val="24"/>
                <w:highlight w:val="none"/>
              </w:rPr>
            </w:pPr>
          </w:p>
        </w:tc>
        <w:tc>
          <w:tcPr>
            <w:tcW w:w="1508" w:type="dxa"/>
            <w:vAlign w:val="center"/>
          </w:tcPr>
          <w:p>
            <w:pPr>
              <w:jc w:val="center"/>
              <w:rPr>
                <w:rFonts w:ascii="宋体" w:eastAsia="宋体" w:cs="Times New Roman"/>
                <w:color w:val="00000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tcPr>
          <w:p>
            <w:pPr>
              <w:jc w:val="center"/>
              <w:rPr>
                <w:rFonts w:ascii="宋体" w:eastAsia="宋体" w:cs="Times New Roman"/>
                <w:color w:val="000000"/>
                <w:sz w:val="24"/>
                <w:szCs w:val="24"/>
                <w:highlight w:val="none"/>
                <w:lang w:val="zh-CN"/>
              </w:rPr>
            </w:pPr>
          </w:p>
        </w:tc>
        <w:tc>
          <w:tcPr>
            <w:tcW w:w="1515" w:type="dxa"/>
            <w:vAlign w:val="center"/>
          </w:tcPr>
          <w:p>
            <w:pPr>
              <w:jc w:val="center"/>
              <w:rPr>
                <w:rFonts w:ascii="宋体" w:eastAsia="宋体" w:cs="仿宋"/>
                <w:snapToGrid w:val="0"/>
                <w:kern w:val="0"/>
                <w:sz w:val="20"/>
                <w:szCs w:val="13"/>
                <w:highlight w:val="none"/>
              </w:rPr>
            </w:pPr>
          </w:p>
        </w:tc>
        <w:tc>
          <w:tcPr>
            <w:tcW w:w="1515" w:type="dxa"/>
            <w:vAlign w:val="center"/>
          </w:tcPr>
          <w:p>
            <w:pPr>
              <w:jc w:val="center"/>
              <w:rPr>
                <w:rFonts w:ascii="宋体" w:eastAsia="宋体" w:cs="仿宋"/>
                <w:snapToGrid w:val="0"/>
                <w:kern w:val="0"/>
                <w:sz w:val="20"/>
                <w:szCs w:val="13"/>
                <w:highlight w:val="none"/>
              </w:rPr>
            </w:pPr>
          </w:p>
        </w:tc>
        <w:tc>
          <w:tcPr>
            <w:tcW w:w="1512" w:type="dxa"/>
            <w:vAlign w:val="center"/>
          </w:tcPr>
          <w:p>
            <w:pPr>
              <w:jc w:val="center"/>
              <w:rPr>
                <w:rFonts w:ascii="宋体" w:eastAsia="宋体" w:cs="Times New Roman"/>
                <w:color w:val="000000"/>
                <w:sz w:val="24"/>
                <w:szCs w:val="24"/>
                <w:highlight w:val="none"/>
                <w:lang w:val="zh-CN"/>
              </w:rPr>
            </w:pPr>
          </w:p>
        </w:tc>
        <w:tc>
          <w:tcPr>
            <w:tcW w:w="1512" w:type="dxa"/>
            <w:vAlign w:val="center"/>
          </w:tcPr>
          <w:p>
            <w:pPr>
              <w:jc w:val="center"/>
              <w:rPr>
                <w:rFonts w:ascii="宋体" w:eastAsia="宋体" w:cs="Times New Roman"/>
                <w:color w:val="000000"/>
                <w:sz w:val="24"/>
                <w:szCs w:val="24"/>
                <w:highlight w:val="none"/>
              </w:rPr>
            </w:pPr>
          </w:p>
        </w:tc>
        <w:tc>
          <w:tcPr>
            <w:tcW w:w="1508" w:type="dxa"/>
            <w:vAlign w:val="center"/>
          </w:tcPr>
          <w:p>
            <w:pPr>
              <w:jc w:val="center"/>
              <w:rPr>
                <w:rFonts w:ascii="宋体" w:eastAsia="宋体" w:cs="Times New Roman"/>
                <w:color w:val="00000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tcPr>
          <w:p>
            <w:pPr>
              <w:jc w:val="center"/>
              <w:rPr>
                <w:rFonts w:hint="default" w:ascii="宋体" w:eastAsia="宋体" w:cs="Times New Roman"/>
                <w:color w:val="000000"/>
                <w:sz w:val="24"/>
                <w:szCs w:val="24"/>
                <w:highlight w:val="none"/>
                <w:lang w:val="en-US" w:eastAsia="zh-CN"/>
              </w:rPr>
            </w:pPr>
            <w:r>
              <w:rPr>
                <w:rFonts w:hint="eastAsia" w:ascii="宋体" w:eastAsia="宋体" w:cs="Times New Roman"/>
                <w:color w:val="000000"/>
                <w:sz w:val="24"/>
                <w:szCs w:val="24"/>
                <w:highlight w:val="none"/>
                <w:lang w:val="en-US" w:eastAsia="zh-CN"/>
              </w:rPr>
              <w:t>...</w:t>
            </w:r>
          </w:p>
        </w:tc>
        <w:tc>
          <w:tcPr>
            <w:tcW w:w="1515" w:type="dxa"/>
            <w:vAlign w:val="center"/>
          </w:tcPr>
          <w:p>
            <w:pPr>
              <w:jc w:val="center"/>
              <w:rPr>
                <w:rFonts w:hint="eastAsia" w:ascii="宋体" w:eastAsia="宋体" w:cs="仿宋"/>
                <w:snapToGrid w:val="0"/>
                <w:kern w:val="0"/>
                <w:sz w:val="20"/>
                <w:szCs w:val="13"/>
                <w:highlight w:val="none"/>
              </w:rPr>
            </w:pPr>
          </w:p>
        </w:tc>
        <w:tc>
          <w:tcPr>
            <w:tcW w:w="1515" w:type="dxa"/>
            <w:vAlign w:val="center"/>
          </w:tcPr>
          <w:p>
            <w:pPr>
              <w:jc w:val="center"/>
              <w:rPr>
                <w:rFonts w:hint="eastAsia" w:ascii="宋体" w:eastAsia="宋体" w:cs="仿宋"/>
                <w:snapToGrid w:val="0"/>
                <w:kern w:val="0"/>
                <w:sz w:val="20"/>
                <w:szCs w:val="13"/>
                <w:highlight w:val="none"/>
              </w:rPr>
            </w:pPr>
          </w:p>
        </w:tc>
        <w:tc>
          <w:tcPr>
            <w:tcW w:w="1512" w:type="dxa"/>
            <w:vAlign w:val="center"/>
          </w:tcPr>
          <w:p>
            <w:pPr>
              <w:jc w:val="center"/>
              <w:rPr>
                <w:rFonts w:hint="eastAsia" w:ascii="宋体" w:eastAsia="宋体" w:cs="Times New Roman"/>
                <w:color w:val="000000"/>
                <w:sz w:val="24"/>
                <w:szCs w:val="24"/>
                <w:highlight w:val="none"/>
              </w:rPr>
            </w:pPr>
          </w:p>
        </w:tc>
        <w:tc>
          <w:tcPr>
            <w:tcW w:w="1512" w:type="dxa"/>
            <w:vAlign w:val="center"/>
          </w:tcPr>
          <w:p>
            <w:pPr>
              <w:jc w:val="center"/>
              <w:rPr>
                <w:rFonts w:hint="eastAsia" w:ascii="宋体" w:eastAsia="宋体" w:cs="Times New Roman"/>
                <w:color w:val="000000"/>
                <w:sz w:val="24"/>
                <w:szCs w:val="24"/>
                <w:highlight w:val="none"/>
              </w:rPr>
            </w:pPr>
          </w:p>
        </w:tc>
        <w:tc>
          <w:tcPr>
            <w:tcW w:w="1508" w:type="dxa"/>
            <w:vAlign w:val="center"/>
          </w:tcPr>
          <w:p>
            <w:pPr>
              <w:jc w:val="center"/>
              <w:rPr>
                <w:rFonts w:ascii="宋体" w:eastAsia="宋体" w:cs="Times New Roman"/>
                <w:color w:val="00000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tcPr>
          <w:p>
            <w:pPr>
              <w:jc w:val="left"/>
              <w:rPr>
                <w:rFonts w:ascii="宋体" w:eastAsia="宋体" w:cs="Times New Roman"/>
                <w:color w:val="000000"/>
                <w:sz w:val="24"/>
                <w:szCs w:val="24"/>
                <w:highlight w:val="none"/>
                <w:lang w:val="zh-CN"/>
              </w:rPr>
            </w:pPr>
          </w:p>
        </w:tc>
      </w:tr>
    </w:tbl>
    <w:p>
      <w:pPr>
        <w:spacing w:line="360" w:lineRule="auto"/>
        <w:ind w:firstLine="437"/>
        <w:outlineLvl w:val="2"/>
        <w:rPr>
          <w:rFonts w:ascii="宋体" w:eastAsia="宋体" w:cs="Times New Roman"/>
          <w:b/>
          <w:bCs/>
          <w:color w:val="000000"/>
          <w:sz w:val="24"/>
          <w:szCs w:val="24"/>
          <w:highlight w:val="none"/>
          <w:lang w:val="zh-CN"/>
        </w:rPr>
      </w:pPr>
      <w:bookmarkStart w:id="111" w:name="_Toc21551"/>
      <w:bookmarkStart w:id="112" w:name="_Toc21631"/>
      <w:bookmarkStart w:id="113" w:name="_Toc23292"/>
      <w:r>
        <w:rPr>
          <w:rFonts w:hint="eastAsia" w:ascii="宋体" w:eastAsia="宋体" w:cs="Times New Roman"/>
          <w:b/>
          <w:bCs/>
          <w:color w:val="000000"/>
          <w:sz w:val="24"/>
          <w:szCs w:val="24"/>
          <w:highlight w:val="none"/>
          <w:lang w:val="zh-CN"/>
        </w:rPr>
        <w:t>1.</w:t>
      </w:r>
      <w:r>
        <w:rPr>
          <w:rFonts w:ascii="宋体" w:eastAsia="宋体" w:cs="Times New Roman"/>
          <w:b/>
          <w:bCs/>
          <w:color w:val="000000"/>
          <w:sz w:val="24"/>
          <w:szCs w:val="24"/>
          <w:highlight w:val="none"/>
          <w:lang w:val="zh-CN"/>
        </w:rPr>
        <w:t xml:space="preserve">3 </w:t>
      </w:r>
      <w:r>
        <w:rPr>
          <w:rFonts w:hint="eastAsia" w:ascii="宋体" w:eastAsia="宋体" w:cs="Times New Roman"/>
          <w:b/>
          <w:bCs/>
          <w:color w:val="000000"/>
          <w:sz w:val="24"/>
          <w:szCs w:val="24"/>
          <w:highlight w:val="none"/>
          <w:lang w:val="zh-CN"/>
        </w:rPr>
        <w:t>价款</w:t>
      </w:r>
      <w:bookmarkEnd w:id="111"/>
      <w:bookmarkEnd w:id="112"/>
      <w:bookmarkEnd w:id="113"/>
    </w:p>
    <w:p>
      <w:pPr>
        <w:spacing w:line="360" w:lineRule="auto"/>
        <w:ind w:firstLine="435"/>
        <w:rPr>
          <w:rFonts w:ascii="宋体" w:eastAsia="宋体" w:cs="Times New Roman"/>
          <w:color w:val="000000"/>
          <w:sz w:val="24"/>
          <w:szCs w:val="24"/>
          <w:highlight w:val="none"/>
        </w:rPr>
      </w:pPr>
      <w:r>
        <w:rPr>
          <w:rFonts w:ascii="宋体" w:eastAsia="宋体" w:cs="Times New Roman"/>
          <w:color w:val="000000"/>
          <w:sz w:val="24"/>
          <w:szCs w:val="24"/>
          <w:highlight w:val="none"/>
        </w:rPr>
        <w:t>本合同总价为</w:t>
      </w:r>
      <w:r>
        <w:rPr>
          <w:rFonts w:hint="eastAsia" w:ascii="宋体" w:eastAsia="宋体" w:cs="Times New Roman"/>
          <w:color w:val="000000"/>
          <w:sz w:val="24"/>
          <w:szCs w:val="24"/>
          <w:highlight w:val="none"/>
          <w:u w:val="single"/>
        </w:rPr>
        <w:t>：</w:t>
      </w:r>
      <w:r>
        <w:rPr>
          <w:rFonts w:hint="eastAsia" w:ascii="宋体" w:eastAsia="宋体" w:cs="Times New Roman"/>
          <w:color w:val="000000"/>
          <w:sz w:val="24"/>
          <w:szCs w:val="24"/>
          <w:highlight w:val="none"/>
          <w:u w:val="single"/>
          <w:lang w:val="en-US" w:eastAsia="zh-CN"/>
        </w:rPr>
        <w:t xml:space="preserve">¥          </w:t>
      </w:r>
      <w:r>
        <w:rPr>
          <w:rFonts w:ascii="宋体" w:eastAsia="宋体" w:cs="Times New Roman"/>
          <w:color w:val="000000"/>
          <w:sz w:val="24"/>
          <w:szCs w:val="24"/>
          <w:highlight w:val="none"/>
        </w:rPr>
        <w:t>元</w:t>
      </w:r>
      <w:r>
        <w:rPr>
          <w:rFonts w:hint="eastAsia" w:ascii="宋体" w:eastAsia="宋体" w:cs="Times New Roman"/>
          <w:color w:val="000000"/>
          <w:sz w:val="24"/>
          <w:szCs w:val="24"/>
          <w:highlight w:val="none"/>
        </w:rPr>
        <w:t>（大写：人民币</w:t>
      </w:r>
      <w:r>
        <w:rPr>
          <w:rFonts w:hint="eastAsia" w:ascii="宋体" w:eastAsia="宋体" w:cs="Times New Roman"/>
          <w:color w:val="000000"/>
          <w:sz w:val="24"/>
          <w:szCs w:val="24"/>
          <w:highlight w:val="none"/>
          <w:u w:val="single"/>
          <w:lang w:val="en-US" w:eastAsia="zh-CN"/>
        </w:rPr>
        <w:t xml:space="preserve">           </w:t>
      </w:r>
      <w:r>
        <w:rPr>
          <w:rFonts w:hint="eastAsia" w:ascii="宋体" w:eastAsia="宋体" w:cs="Times New Roman"/>
          <w:color w:val="000000"/>
          <w:sz w:val="24"/>
          <w:szCs w:val="24"/>
          <w:highlight w:val="none"/>
          <w:lang w:val="en-US" w:eastAsia="zh-CN"/>
        </w:rPr>
        <w:t xml:space="preserve"> </w:t>
      </w:r>
      <w:r>
        <w:rPr>
          <w:rFonts w:hint="eastAsia" w:ascii="宋体" w:eastAsia="宋体" w:cs="Times New Roman"/>
          <w:color w:val="000000"/>
          <w:sz w:val="24"/>
          <w:szCs w:val="24"/>
          <w:highlight w:val="none"/>
        </w:rPr>
        <w:t>元）</w:t>
      </w:r>
      <w:r>
        <w:rPr>
          <w:rFonts w:ascii="宋体" w:eastAsia="宋体" w:cs="Times New Roman"/>
          <w:color w:val="000000"/>
          <w:sz w:val="24"/>
          <w:szCs w:val="24"/>
          <w:highlight w:val="none"/>
        </w:rPr>
        <w:t>。</w:t>
      </w:r>
    </w:p>
    <w:p>
      <w:pPr>
        <w:spacing w:line="360" w:lineRule="auto"/>
        <w:ind w:firstLine="435"/>
        <w:rPr>
          <w:rFonts w:ascii="宋体" w:eastAsia="宋体" w:cs="Times New Roman"/>
          <w:color w:val="000000"/>
          <w:sz w:val="24"/>
          <w:szCs w:val="24"/>
          <w:highlight w:val="none"/>
          <w:u w:val="single"/>
        </w:rPr>
      </w:pPr>
      <w:r>
        <w:rPr>
          <w:rFonts w:ascii="宋体" w:eastAsia="宋体" w:cs="Times New Roman"/>
          <w:color w:val="000000"/>
          <w:sz w:val="24"/>
          <w:szCs w:val="24"/>
          <w:highlight w:val="none"/>
        </w:rPr>
        <w:t>分项价格：</w:t>
      </w:r>
    </w:p>
    <w:tbl>
      <w:tblPr>
        <w:tblStyle w:val="2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4316"/>
        <w:gridCol w:w="12"/>
        <w:gridCol w:w="3225"/>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vAlign w:val="center"/>
          </w:tcPr>
          <w:p>
            <w:pPr>
              <w:jc w:val="center"/>
              <w:rPr>
                <w:rFonts w:ascii="宋体" w:eastAsia="宋体" w:cs="Times New Roman"/>
                <w:color w:val="000000"/>
                <w:sz w:val="24"/>
                <w:szCs w:val="24"/>
                <w:highlight w:val="none"/>
                <w:lang w:val="zh-CN"/>
              </w:rPr>
            </w:pPr>
            <w:r>
              <w:rPr>
                <w:rFonts w:ascii="宋体" w:eastAsia="宋体" w:cs="Times New Roman"/>
                <w:color w:val="000000"/>
                <w:sz w:val="24"/>
                <w:szCs w:val="24"/>
                <w:highlight w:val="none"/>
                <w:lang w:val="zh-CN"/>
              </w:rPr>
              <w:t>序号</w:t>
            </w:r>
          </w:p>
        </w:tc>
        <w:tc>
          <w:tcPr>
            <w:tcW w:w="4316" w:type="dxa"/>
            <w:vAlign w:val="center"/>
          </w:tcPr>
          <w:p>
            <w:pPr>
              <w:ind w:firstLine="200"/>
              <w:jc w:val="center"/>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分项名称</w:t>
            </w:r>
          </w:p>
        </w:tc>
        <w:tc>
          <w:tcPr>
            <w:tcW w:w="3237" w:type="dxa"/>
            <w:gridSpan w:val="2"/>
            <w:vAlign w:val="center"/>
          </w:tcPr>
          <w:p>
            <w:pPr>
              <w:jc w:val="center"/>
              <w:rPr>
                <w:rFonts w:ascii="宋体" w:eastAsia="宋体" w:cs="Times New Roman"/>
                <w:color w:val="000000"/>
                <w:sz w:val="24"/>
                <w:szCs w:val="24"/>
                <w:highlight w:val="none"/>
              </w:rPr>
            </w:pPr>
            <w:r>
              <w:rPr>
                <w:rFonts w:ascii="宋体" w:eastAsia="宋体" w:cs="Times New Roman"/>
                <w:color w:val="000000"/>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pPr>
              <w:jc w:val="center"/>
              <w:rPr>
                <w:rFonts w:ascii="宋体" w:eastAsia="宋体" w:cs="Times New Roman"/>
                <w:color w:val="000000"/>
                <w:sz w:val="24"/>
                <w:szCs w:val="24"/>
                <w:highlight w:val="none"/>
                <w:lang w:val="zh-CN"/>
              </w:rPr>
            </w:pPr>
          </w:p>
        </w:tc>
        <w:tc>
          <w:tcPr>
            <w:tcW w:w="4316" w:type="dxa"/>
            <w:vAlign w:val="center"/>
          </w:tcPr>
          <w:p>
            <w:pPr>
              <w:jc w:val="center"/>
              <w:rPr>
                <w:rFonts w:ascii="宋体" w:eastAsia="宋体" w:cs="Times New Roman"/>
                <w:color w:val="000000"/>
                <w:sz w:val="24"/>
                <w:szCs w:val="24"/>
                <w:highlight w:val="none"/>
              </w:rPr>
            </w:pPr>
          </w:p>
        </w:tc>
        <w:tc>
          <w:tcPr>
            <w:tcW w:w="3237" w:type="dxa"/>
            <w:gridSpan w:val="2"/>
            <w:vAlign w:val="center"/>
          </w:tcPr>
          <w:p>
            <w:pPr>
              <w:ind w:firstLine="200"/>
              <w:jc w:val="center"/>
              <w:rPr>
                <w:rFonts w:ascii="宋体" w:eastAsia="宋体"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pPr>
              <w:jc w:val="center"/>
              <w:rPr>
                <w:rFonts w:ascii="宋体" w:eastAsia="宋体" w:cs="Times New Roman"/>
                <w:color w:val="000000"/>
                <w:sz w:val="24"/>
                <w:szCs w:val="24"/>
                <w:highlight w:val="none"/>
                <w:lang w:val="zh-CN"/>
              </w:rPr>
            </w:pPr>
          </w:p>
        </w:tc>
        <w:tc>
          <w:tcPr>
            <w:tcW w:w="4316" w:type="dxa"/>
            <w:vAlign w:val="center"/>
          </w:tcPr>
          <w:p>
            <w:pPr>
              <w:jc w:val="center"/>
              <w:rPr>
                <w:rFonts w:ascii="宋体" w:eastAsia="宋体" w:cs="Times New Roman"/>
                <w:color w:val="000000"/>
                <w:sz w:val="24"/>
                <w:szCs w:val="24"/>
                <w:highlight w:val="none"/>
              </w:rPr>
            </w:pPr>
          </w:p>
        </w:tc>
        <w:tc>
          <w:tcPr>
            <w:tcW w:w="3237" w:type="dxa"/>
            <w:gridSpan w:val="2"/>
            <w:vAlign w:val="center"/>
          </w:tcPr>
          <w:p>
            <w:pPr>
              <w:ind w:firstLine="200"/>
              <w:jc w:val="center"/>
              <w:rPr>
                <w:rFonts w:ascii="宋体" w:eastAsia="宋体"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pPr>
              <w:jc w:val="center"/>
              <w:rPr>
                <w:rFonts w:ascii="宋体" w:eastAsia="宋体" w:cs="Times New Roman"/>
                <w:color w:val="000000"/>
                <w:sz w:val="24"/>
                <w:szCs w:val="24"/>
                <w:highlight w:val="none"/>
                <w:lang w:val="zh-CN"/>
              </w:rPr>
            </w:pPr>
          </w:p>
        </w:tc>
        <w:tc>
          <w:tcPr>
            <w:tcW w:w="4316" w:type="dxa"/>
            <w:vAlign w:val="center"/>
          </w:tcPr>
          <w:p>
            <w:pPr>
              <w:jc w:val="center"/>
              <w:rPr>
                <w:rFonts w:ascii="宋体" w:eastAsia="宋体" w:cs="Times New Roman"/>
                <w:color w:val="000000"/>
                <w:sz w:val="24"/>
                <w:szCs w:val="24"/>
                <w:highlight w:val="none"/>
              </w:rPr>
            </w:pPr>
          </w:p>
        </w:tc>
        <w:tc>
          <w:tcPr>
            <w:tcW w:w="3237" w:type="dxa"/>
            <w:gridSpan w:val="2"/>
            <w:vAlign w:val="center"/>
          </w:tcPr>
          <w:p>
            <w:pPr>
              <w:ind w:firstLine="200"/>
              <w:jc w:val="center"/>
              <w:rPr>
                <w:rFonts w:ascii="宋体" w:eastAsia="宋体"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pPr>
              <w:jc w:val="center"/>
              <w:rPr>
                <w:rFonts w:hint="default" w:ascii="宋体" w:eastAsia="宋体" w:cs="Times New Roman"/>
                <w:color w:val="000000"/>
                <w:sz w:val="24"/>
                <w:szCs w:val="24"/>
                <w:highlight w:val="none"/>
                <w:lang w:val="en-US" w:eastAsia="zh-CN"/>
              </w:rPr>
            </w:pPr>
            <w:r>
              <w:rPr>
                <w:rFonts w:hint="eastAsia" w:ascii="宋体" w:eastAsia="宋体" w:cs="Times New Roman"/>
                <w:color w:val="000000"/>
                <w:sz w:val="24"/>
                <w:szCs w:val="24"/>
                <w:highlight w:val="none"/>
                <w:lang w:val="en-US" w:eastAsia="zh-CN"/>
              </w:rPr>
              <w:t>...</w:t>
            </w:r>
          </w:p>
        </w:tc>
        <w:tc>
          <w:tcPr>
            <w:tcW w:w="4316" w:type="dxa"/>
            <w:vAlign w:val="center"/>
          </w:tcPr>
          <w:p>
            <w:pPr>
              <w:jc w:val="center"/>
              <w:rPr>
                <w:rFonts w:hint="eastAsia" w:ascii="宋体" w:eastAsia="宋体" w:cs="仿宋"/>
                <w:snapToGrid w:val="0"/>
                <w:kern w:val="0"/>
                <w:sz w:val="20"/>
                <w:szCs w:val="13"/>
                <w:highlight w:val="none"/>
              </w:rPr>
            </w:pPr>
          </w:p>
        </w:tc>
        <w:tc>
          <w:tcPr>
            <w:tcW w:w="3237" w:type="dxa"/>
            <w:gridSpan w:val="2"/>
            <w:vAlign w:val="center"/>
          </w:tcPr>
          <w:p>
            <w:pPr>
              <w:ind w:firstLine="200"/>
              <w:jc w:val="center"/>
              <w:rPr>
                <w:rFonts w:ascii="宋体" w:eastAsia="宋体"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85" w:type="dxa"/>
            <w:gridSpan w:val="3"/>
            <w:vAlign w:val="center"/>
          </w:tcPr>
          <w:p>
            <w:pPr>
              <w:ind w:firstLine="200"/>
              <w:jc w:val="center"/>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总价（含税价）</w:t>
            </w:r>
          </w:p>
        </w:tc>
        <w:tc>
          <w:tcPr>
            <w:tcW w:w="3237" w:type="dxa"/>
            <w:gridSpan w:val="2"/>
            <w:vAlign w:val="center"/>
          </w:tcPr>
          <w:p>
            <w:pPr>
              <w:ind w:firstLine="200"/>
              <w:jc w:val="center"/>
              <w:rPr>
                <w:rFonts w:ascii="宋体" w:eastAsia="宋体" w:cs="Times New Roman"/>
                <w:color w:val="000000"/>
                <w:sz w:val="24"/>
                <w:szCs w:val="24"/>
                <w:highlight w:val="none"/>
              </w:rPr>
            </w:pPr>
          </w:p>
        </w:tc>
      </w:tr>
    </w:tbl>
    <w:p>
      <w:pPr>
        <w:spacing w:line="360" w:lineRule="auto"/>
        <w:ind w:firstLine="437"/>
        <w:outlineLvl w:val="2"/>
        <w:rPr>
          <w:rFonts w:ascii="宋体" w:eastAsia="宋体" w:cs="Times New Roman"/>
          <w:b/>
          <w:bCs/>
          <w:color w:val="000000"/>
          <w:sz w:val="24"/>
          <w:szCs w:val="24"/>
          <w:highlight w:val="none"/>
          <w:lang w:val="zh-CN"/>
        </w:rPr>
      </w:pPr>
      <w:bookmarkStart w:id="114" w:name="_Toc10340"/>
      <w:bookmarkStart w:id="115" w:name="_Toc1814"/>
      <w:bookmarkStart w:id="116" w:name="_Toc22618"/>
      <w:r>
        <w:rPr>
          <w:rFonts w:hint="eastAsia" w:ascii="宋体" w:eastAsia="宋体" w:cs="Times New Roman"/>
          <w:b/>
          <w:bCs/>
          <w:color w:val="000000"/>
          <w:sz w:val="24"/>
          <w:szCs w:val="24"/>
          <w:highlight w:val="none"/>
          <w:lang w:val="zh-CN"/>
        </w:rPr>
        <w:t>1.</w:t>
      </w:r>
      <w:r>
        <w:rPr>
          <w:rFonts w:ascii="宋体" w:eastAsia="宋体" w:cs="Times New Roman"/>
          <w:b/>
          <w:bCs/>
          <w:color w:val="000000"/>
          <w:sz w:val="24"/>
          <w:szCs w:val="24"/>
          <w:highlight w:val="none"/>
          <w:lang w:val="zh-CN"/>
        </w:rPr>
        <w:t>4 付款方式和发票开具方式</w:t>
      </w:r>
      <w:bookmarkEnd w:id="114"/>
      <w:bookmarkEnd w:id="115"/>
      <w:bookmarkEnd w:id="116"/>
    </w:p>
    <w:p>
      <w:pPr>
        <w:spacing w:line="360" w:lineRule="auto"/>
        <w:ind w:firstLine="435"/>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1.4.1</w:t>
      </w:r>
      <w:r>
        <w:rPr>
          <w:rFonts w:ascii="宋体" w:eastAsia="宋体" w:cs="Times New Roman"/>
          <w:color w:val="000000"/>
          <w:sz w:val="24"/>
          <w:szCs w:val="24"/>
          <w:highlight w:val="none"/>
        </w:rPr>
        <w:t>付款方式：</w:t>
      </w:r>
      <w:r>
        <w:rPr>
          <w:rFonts w:hint="eastAsia" w:ascii="宋体" w:eastAsia="宋体" w:cs="Times New Roman"/>
          <w:color w:val="000000"/>
          <w:sz w:val="24"/>
          <w:szCs w:val="24"/>
          <w:highlight w:val="none"/>
        </w:rPr>
        <w:t>经甲方验收合格后，一次性付清合同价款；</w:t>
      </w:r>
    </w:p>
    <w:p>
      <w:pPr>
        <w:spacing w:line="360" w:lineRule="auto"/>
        <w:ind w:firstLine="435"/>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1.4.2发票开具方式：</w:t>
      </w:r>
      <w:r>
        <w:rPr>
          <w:rFonts w:hint="eastAsia" w:ascii="宋体" w:eastAsia="宋体" w:cs="Times New Roman"/>
          <w:color w:val="000000"/>
          <w:sz w:val="24"/>
          <w:szCs w:val="24"/>
          <w:highlight w:val="none"/>
          <w:u w:val="single"/>
          <w:lang w:val="en-US" w:eastAsia="zh-CN"/>
        </w:rPr>
        <w:t xml:space="preserve"> </w:t>
      </w:r>
      <w:r>
        <w:rPr>
          <w:rFonts w:hint="eastAsia" w:ascii="宋体" w:hAnsi="宋体" w:eastAsia="宋体" w:cs="宋体"/>
          <w:sz w:val="24"/>
          <w:szCs w:val="24"/>
          <w:u w:val="single"/>
        </w:rPr>
        <w:t>乙方按国家有关财税规定为甲方开具正规发票</w:t>
      </w:r>
      <w:r>
        <w:rPr>
          <w:rFonts w:hint="eastAsia" w:ascii="宋体" w:eastAsia="宋体" w:cs="Times New Roman"/>
          <w:color w:val="000000"/>
          <w:sz w:val="24"/>
          <w:szCs w:val="24"/>
          <w:highlight w:val="none"/>
          <w:u w:val="single"/>
          <w:lang w:val="en-US" w:eastAsia="zh-CN"/>
        </w:rPr>
        <w:t xml:space="preserve">    </w:t>
      </w:r>
      <w:r>
        <w:rPr>
          <w:rFonts w:hint="eastAsia" w:ascii="宋体" w:eastAsia="宋体" w:cs="Times New Roman"/>
          <w:color w:val="000000"/>
          <w:sz w:val="24"/>
          <w:szCs w:val="24"/>
          <w:highlight w:val="none"/>
        </w:rPr>
        <w:t>。</w:t>
      </w:r>
    </w:p>
    <w:p>
      <w:pPr>
        <w:spacing w:line="360" w:lineRule="auto"/>
        <w:ind w:firstLine="437"/>
        <w:outlineLvl w:val="2"/>
        <w:rPr>
          <w:rFonts w:ascii="宋体" w:eastAsia="宋体" w:cs="Times New Roman"/>
          <w:b/>
          <w:bCs/>
          <w:color w:val="000000"/>
          <w:sz w:val="24"/>
          <w:szCs w:val="24"/>
          <w:highlight w:val="none"/>
          <w:lang w:val="zh-CN"/>
        </w:rPr>
      </w:pPr>
      <w:bookmarkStart w:id="117" w:name="_Toc19304"/>
      <w:bookmarkStart w:id="118" w:name="_Toc32071"/>
      <w:bookmarkStart w:id="119" w:name="_Toc2846"/>
      <w:r>
        <w:rPr>
          <w:rFonts w:hint="eastAsia" w:ascii="宋体" w:eastAsia="宋体" w:cs="Times New Roman"/>
          <w:b/>
          <w:bCs/>
          <w:color w:val="000000"/>
          <w:sz w:val="24"/>
          <w:szCs w:val="24"/>
          <w:highlight w:val="none"/>
          <w:lang w:val="zh-CN"/>
        </w:rPr>
        <w:t>1.</w:t>
      </w:r>
      <w:r>
        <w:rPr>
          <w:rFonts w:ascii="宋体" w:eastAsia="宋体" w:cs="Times New Roman"/>
          <w:b/>
          <w:bCs/>
          <w:color w:val="000000"/>
          <w:sz w:val="24"/>
          <w:szCs w:val="24"/>
          <w:highlight w:val="none"/>
          <w:lang w:val="zh-CN"/>
        </w:rPr>
        <w:t>5 货物交付期限</w:t>
      </w:r>
      <w:r>
        <w:rPr>
          <w:rFonts w:hint="eastAsia" w:ascii="宋体" w:eastAsia="宋体" w:cs="Times New Roman"/>
          <w:b/>
          <w:bCs/>
          <w:color w:val="000000"/>
          <w:sz w:val="24"/>
          <w:szCs w:val="24"/>
          <w:highlight w:val="none"/>
          <w:lang w:val="zh-CN"/>
        </w:rPr>
        <w:t>、地点和方式</w:t>
      </w:r>
      <w:bookmarkEnd w:id="117"/>
      <w:bookmarkEnd w:id="118"/>
      <w:bookmarkEnd w:id="119"/>
    </w:p>
    <w:p>
      <w:pPr>
        <w:spacing w:line="360" w:lineRule="auto"/>
        <w:ind w:firstLine="435"/>
        <w:rPr>
          <w:rFonts w:ascii="宋体" w:eastAsia="宋体" w:cs="Times New Roman"/>
          <w:color w:val="000000"/>
          <w:sz w:val="24"/>
          <w:szCs w:val="24"/>
          <w:highlight w:val="none"/>
          <w:u w:val="single"/>
        </w:rPr>
      </w:pPr>
      <w:r>
        <w:rPr>
          <w:rFonts w:hint="eastAsia" w:ascii="宋体" w:eastAsia="宋体" w:cs="Times New Roman"/>
          <w:color w:val="000000"/>
          <w:sz w:val="24"/>
          <w:szCs w:val="24"/>
          <w:highlight w:val="none"/>
        </w:rPr>
        <w:t>1.5.1交付期限</w:t>
      </w:r>
      <w:r>
        <w:rPr>
          <w:rFonts w:hint="eastAsia" w:ascii="宋体" w:eastAsia="宋体" w:cs="Times New Roman"/>
          <w:color w:val="000000"/>
          <w:sz w:val="24"/>
          <w:szCs w:val="24"/>
          <w:highlight w:val="none"/>
          <w:lang w:eastAsia="zh-CN"/>
        </w:rPr>
        <w:t>（</w:t>
      </w:r>
      <w:r>
        <w:rPr>
          <w:rFonts w:hint="eastAsia" w:ascii="宋体" w:eastAsia="宋体" w:cs="Times New Roman"/>
          <w:color w:val="000000"/>
          <w:sz w:val="24"/>
          <w:szCs w:val="24"/>
          <w:highlight w:val="none"/>
          <w:lang w:val="en-US" w:eastAsia="zh-CN"/>
        </w:rPr>
        <w:t>合同履行期限</w:t>
      </w:r>
      <w:r>
        <w:rPr>
          <w:rFonts w:hint="eastAsia" w:ascii="宋体" w:eastAsia="宋体" w:cs="Times New Roman"/>
          <w:color w:val="000000"/>
          <w:sz w:val="24"/>
          <w:szCs w:val="24"/>
          <w:highlight w:val="none"/>
          <w:lang w:eastAsia="zh-CN"/>
        </w:rPr>
        <w:t>）</w:t>
      </w:r>
      <w:r>
        <w:rPr>
          <w:rFonts w:ascii="宋体" w:eastAsia="宋体" w:cs="Times New Roman"/>
          <w:color w:val="000000"/>
          <w:sz w:val="24"/>
          <w:szCs w:val="24"/>
          <w:highlight w:val="none"/>
        </w:rPr>
        <w:t>：</w:t>
      </w:r>
      <w:r>
        <w:rPr>
          <w:rFonts w:hint="eastAsia" w:ascii="宋体" w:eastAsia="宋体"/>
          <w:b w:val="0"/>
          <w:bCs w:val="0"/>
          <w:sz w:val="24"/>
          <w:highlight w:val="none"/>
          <w:lang w:val="en-US" w:eastAsia="zh-CN"/>
        </w:rPr>
        <w:t>85日历天。其中</w:t>
      </w:r>
      <w:r>
        <w:rPr>
          <w:rFonts w:hint="eastAsia" w:ascii="宋体" w:eastAsia="宋体"/>
          <w:b w:val="0"/>
          <w:bCs w:val="0"/>
          <w:sz w:val="24"/>
          <w:szCs w:val="18"/>
          <w:highlight w:val="none"/>
        </w:rPr>
        <w:t>合同签订后</w:t>
      </w:r>
      <w:r>
        <w:rPr>
          <w:rFonts w:hint="eastAsia" w:ascii="宋体" w:eastAsia="宋体"/>
          <w:b w:val="0"/>
          <w:bCs w:val="0"/>
          <w:sz w:val="24"/>
          <w:szCs w:val="18"/>
          <w:highlight w:val="none"/>
          <w:lang w:val="en-US" w:eastAsia="zh-CN"/>
        </w:rPr>
        <w:t>25</w:t>
      </w:r>
      <w:r>
        <w:rPr>
          <w:rFonts w:hint="eastAsia" w:ascii="宋体" w:eastAsia="宋体"/>
          <w:b w:val="0"/>
          <w:bCs w:val="0"/>
          <w:sz w:val="24"/>
          <w:szCs w:val="18"/>
          <w:highlight w:val="none"/>
        </w:rPr>
        <w:t>日历天完成供货安装</w:t>
      </w:r>
      <w:r>
        <w:rPr>
          <w:rFonts w:hint="eastAsia" w:ascii="宋体" w:eastAsia="宋体"/>
          <w:b w:val="0"/>
          <w:bCs w:val="0"/>
          <w:sz w:val="24"/>
          <w:szCs w:val="18"/>
          <w:highlight w:val="none"/>
          <w:lang w:val="en-US" w:eastAsia="zh-CN"/>
        </w:rPr>
        <w:t>及调试</w:t>
      </w:r>
      <w:r>
        <w:rPr>
          <w:rFonts w:hint="eastAsia" w:ascii="宋体" w:eastAsia="宋体"/>
          <w:b w:val="0"/>
          <w:bCs w:val="0"/>
          <w:sz w:val="24"/>
          <w:szCs w:val="18"/>
          <w:highlight w:val="none"/>
          <w:lang w:eastAsia="zh-CN"/>
        </w:rPr>
        <w:t>，</w:t>
      </w:r>
      <w:r>
        <w:rPr>
          <w:rFonts w:hint="eastAsia" w:ascii="宋体" w:eastAsia="宋体"/>
          <w:b w:val="0"/>
          <w:bCs w:val="0"/>
          <w:sz w:val="24"/>
          <w:szCs w:val="18"/>
          <w:highlight w:val="none"/>
          <w:lang w:val="en-US" w:eastAsia="zh-CN"/>
        </w:rPr>
        <w:t>安装完成后试运行60天</w:t>
      </w:r>
      <w:r>
        <w:rPr>
          <w:rFonts w:hint="eastAsia" w:ascii="宋体" w:eastAsia="宋体" w:cs="Times New Roman"/>
          <w:color w:val="000000"/>
          <w:sz w:val="24"/>
          <w:szCs w:val="24"/>
          <w:highlight w:val="none"/>
        </w:rPr>
        <w:t>；</w:t>
      </w:r>
    </w:p>
    <w:p>
      <w:pPr>
        <w:spacing w:line="360" w:lineRule="auto"/>
        <w:ind w:firstLine="435"/>
        <w:rPr>
          <w:rFonts w:ascii="宋体" w:eastAsia="宋体" w:cs="Times New Roman"/>
          <w:color w:val="000000"/>
          <w:sz w:val="24"/>
          <w:szCs w:val="24"/>
          <w:highlight w:val="none"/>
          <w:u w:val="single"/>
        </w:rPr>
      </w:pPr>
      <w:r>
        <w:rPr>
          <w:rFonts w:hint="eastAsia" w:ascii="宋体" w:eastAsia="宋体" w:cs="Times New Roman"/>
          <w:color w:val="000000"/>
          <w:sz w:val="24"/>
          <w:szCs w:val="24"/>
          <w:highlight w:val="none"/>
        </w:rPr>
        <w:t>1.5.2交付地点</w:t>
      </w:r>
      <w:r>
        <w:rPr>
          <w:rFonts w:ascii="宋体" w:eastAsia="宋体" w:cs="Times New Roman"/>
          <w:color w:val="000000"/>
          <w:sz w:val="24"/>
          <w:szCs w:val="24"/>
          <w:highlight w:val="none"/>
        </w:rPr>
        <w:t>：</w:t>
      </w:r>
      <w:r>
        <w:rPr>
          <w:rFonts w:hint="eastAsia" w:ascii="宋体" w:eastAsia="宋体" w:cs="Times New Roman"/>
          <w:color w:val="000000"/>
          <w:sz w:val="24"/>
          <w:szCs w:val="24"/>
          <w:highlight w:val="none"/>
          <w:u w:val="single"/>
        </w:rPr>
        <w:t xml:space="preserve"> 采购人指定地点；</w:t>
      </w:r>
    </w:p>
    <w:p>
      <w:pPr>
        <w:spacing w:line="360" w:lineRule="auto"/>
        <w:ind w:firstLine="435"/>
        <w:rPr>
          <w:rFonts w:ascii="宋体" w:eastAsia="宋体" w:cs="Times New Roman"/>
          <w:color w:val="000000"/>
          <w:sz w:val="24"/>
          <w:szCs w:val="24"/>
          <w:highlight w:val="none"/>
          <w:u w:val="single"/>
        </w:rPr>
      </w:pPr>
      <w:r>
        <w:rPr>
          <w:rFonts w:hint="eastAsia" w:ascii="宋体" w:eastAsia="宋体" w:cs="Times New Roman"/>
          <w:color w:val="000000"/>
          <w:sz w:val="24"/>
          <w:szCs w:val="24"/>
          <w:highlight w:val="none"/>
        </w:rPr>
        <w:t>1.5.3交付方式：</w:t>
      </w:r>
      <w:r>
        <w:rPr>
          <w:rFonts w:hint="eastAsia" w:ascii="宋体" w:eastAsia="宋体"/>
          <w:sz w:val="24"/>
          <w:highlight w:val="none"/>
          <w:u w:val="single"/>
        </w:rPr>
        <w:t xml:space="preserve">  </w:t>
      </w:r>
      <w:r>
        <w:rPr>
          <w:rFonts w:hint="eastAsia" w:ascii="宋体" w:hAnsi="宋体" w:eastAsia="宋体" w:cs="宋体"/>
          <w:sz w:val="24"/>
          <w:szCs w:val="24"/>
          <w:u w:val="single"/>
        </w:rPr>
        <w:t>乙方送货上门</w:t>
      </w:r>
      <w:r>
        <w:rPr>
          <w:rFonts w:hint="eastAsia" w:ascii="宋体" w:eastAsia="宋体"/>
          <w:sz w:val="24"/>
          <w:highlight w:val="none"/>
          <w:u w:val="single"/>
        </w:rPr>
        <w:t>。</w:t>
      </w:r>
    </w:p>
    <w:p>
      <w:pPr>
        <w:spacing w:line="360" w:lineRule="auto"/>
        <w:ind w:firstLine="437"/>
        <w:outlineLvl w:val="2"/>
        <w:rPr>
          <w:rFonts w:ascii="宋体" w:eastAsia="宋体" w:cs="Times New Roman"/>
          <w:b/>
          <w:bCs/>
          <w:color w:val="000000"/>
          <w:sz w:val="24"/>
          <w:szCs w:val="24"/>
          <w:highlight w:val="none"/>
          <w:lang w:val="zh-CN"/>
        </w:rPr>
      </w:pPr>
      <w:bookmarkStart w:id="120" w:name="_Toc21423"/>
      <w:bookmarkStart w:id="121" w:name="_Toc19554"/>
      <w:bookmarkStart w:id="122" w:name="_Toc27250"/>
      <w:r>
        <w:rPr>
          <w:rFonts w:hint="eastAsia" w:ascii="宋体" w:eastAsia="宋体" w:cs="Times New Roman"/>
          <w:b/>
          <w:bCs/>
          <w:color w:val="000000"/>
          <w:sz w:val="24"/>
          <w:szCs w:val="24"/>
          <w:highlight w:val="none"/>
          <w:lang w:val="zh-CN"/>
        </w:rPr>
        <w:t>1.6 违约责任</w:t>
      </w:r>
      <w:bookmarkEnd w:id="120"/>
      <w:bookmarkEnd w:id="121"/>
      <w:bookmarkEnd w:id="122"/>
    </w:p>
    <w:p>
      <w:pPr>
        <w:spacing w:line="360" w:lineRule="auto"/>
        <w:ind w:firstLine="435"/>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1.6.1</w:t>
      </w:r>
      <w:r>
        <w:rPr>
          <w:rFonts w:ascii="宋体" w:eastAsia="宋体" w:cs="Times New Roman"/>
          <w:color w:val="000000"/>
          <w:sz w:val="24"/>
          <w:szCs w:val="24"/>
          <w:highlight w:val="none"/>
        </w:rPr>
        <w:t>除不可抗力外，如果乙方没有按照本合同约定的期限</w:t>
      </w:r>
      <w:r>
        <w:rPr>
          <w:rFonts w:hint="eastAsia" w:ascii="宋体" w:eastAsia="宋体" w:cs="Times New Roman"/>
          <w:color w:val="000000"/>
          <w:sz w:val="24"/>
          <w:szCs w:val="24"/>
          <w:highlight w:val="none"/>
        </w:rPr>
        <w:t>、</w:t>
      </w:r>
      <w:r>
        <w:rPr>
          <w:rFonts w:ascii="宋体" w:eastAsia="宋体" w:cs="Times New Roman"/>
          <w:color w:val="000000"/>
          <w:sz w:val="24"/>
          <w:szCs w:val="24"/>
          <w:highlight w:val="none"/>
        </w:rPr>
        <w:t>地点和方式交付货物，那么甲方可要求乙方支付违约金</w:t>
      </w:r>
      <w:r>
        <w:rPr>
          <w:rFonts w:hint="eastAsia" w:ascii="宋体" w:eastAsia="宋体" w:cs="Times New Roman"/>
          <w:color w:val="000000"/>
          <w:sz w:val="24"/>
          <w:szCs w:val="24"/>
          <w:highlight w:val="none"/>
        </w:rPr>
        <w:t>，</w:t>
      </w:r>
      <w:r>
        <w:rPr>
          <w:rFonts w:ascii="宋体" w:eastAsia="宋体" w:cs="Times New Roman"/>
          <w:color w:val="000000"/>
          <w:sz w:val="24"/>
          <w:szCs w:val="24"/>
          <w:highlight w:val="none"/>
        </w:rPr>
        <w:t>违约金按每迟延交付货物一日的应交付而未交付货物价格的</w:t>
      </w:r>
      <w:r>
        <w:rPr>
          <w:rFonts w:hint="eastAsia" w:ascii="宋体" w:eastAsia="宋体" w:cs="Times New Roman"/>
          <w:color w:val="000000"/>
          <w:sz w:val="24"/>
          <w:szCs w:val="24"/>
          <w:highlight w:val="none"/>
          <w:u w:val="single"/>
        </w:rPr>
        <w:t>3</w:t>
      </w:r>
      <w:r>
        <w:rPr>
          <w:rFonts w:hint="eastAsia" w:ascii="宋体" w:eastAsia="宋体" w:cs="Times New Roman"/>
          <w:color w:val="000000"/>
          <w:sz w:val="24"/>
          <w:szCs w:val="24"/>
          <w:highlight w:val="none"/>
          <w:u w:val="single"/>
          <w:lang w:val="en-US" w:eastAsia="zh-CN"/>
        </w:rPr>
        <w:t xml:space="preserve"> </w:t>
      </w:r>
      <w:r>
        <w:rPr>
          <w:rFonts w:hint="eastAsia" w:ascii="宋体" w:eastAsia="宋体"/>
          <w:color w:val="000000"/>
          <w:sz w:val="24"/>
          <w:highlight w:val="none"/>
        </w:rPr>
        <w:t>‰</w:t>
      </w:r>
      <w:r>
        <w:rPr>
          <w:rFonts w:ascii="宋体" w:eastAsia="宋体" w:cs="Times New Roman"/>
          <w:color w:val="000000"/>
          <w:sz w:val="24"/>
          <w:szCs w:val="24"/>
          <w:highlight w:val="none"/>
        </w:rPr>
        <w:t>计算</w:t>
      </w:r>
      <w:r>
        <w:rPr>
          <w:rFonts w:hint="eastAsia" w:ascii="宋体" w:eastAsia="宋体" w:cs="Times New Roman"/>
          <w:color w:val="000000"/>
          <w:sz w:val="24"/>
          <w:szCs w:val="24"/>
          <w:highlight w:val="none"/>
        </w:rPr>
        <w:t>，</w:t>
      </w:r>
      <w:r>
        <w:rPr>
          <w:rFonts w:ascii="宋体" w:eastAsia="宋体" w:cs="Times New Roman"/>
          <w:color w:val="000000"/>
          <w:sz w:val="24"/>
          <w:szCs w:val="24"/>
          <w:highlight w:val="none"/>
        </w:rPr>
        <w:t>最高限额为</w:t>
      </w:r>
      <w:r>
        <w:rPr>
          <w:rFonts w:hint="eastAsia" w:ascii="宋体" w:eastAsia="宋体" w:cs="Times New Roman"/>
          <w:color w:val="000000"/>
          <w:sz w:val="24"/>
          <w:szCs w:val="24"/>
          <w:highlight w:val="none"/>
        </w:rPr>
        <w:t>本</w:t>
      </w:r>
      <w:r>
        <w:rPr>
          <w:rFonts w:ascii="宋体" w:eastAsia="宋体" w:cs="Times New Roman"/>
          <w:color w:val="000000"/>
          <w:sz w:val="24"/>
          <w:szCs w:val="24"/>
          <w:highlight w:val="none"/>
        </w:rPr>
        <w:t>合同总价的</w:t>
      </w:r>
      <w:r>
        <w:rPr>
          <w:rFonts w:hint="eastAsia" w:ascii="宋体" w:eastAsia="宋体" w:cs="Times New Roman"/>
          <w:color w:val="000000"/>
          <w:sz w:val="24"/>
          <w:szCs w:val="24"/>
          <w:highlight w:val="none"/>
          <w:lang w:val="en-US" w:eastAsia="zh-CN"/>
        </w:rPr>
        <w:t xml:space="preserve">  </w:t>
      </w:r>
      <w:r>
        <w:rPr>
          <w:rFonts w:hint="eastAsia" w:ascii="宋体" w:eastAsia="宋体" w:cs="Times New Roman"/>
          <w:color w:val="000000"/>
          <w:sz w:val="24"/>
          <w:szCs w:val="24"/>
          <w:highlight w:val="none"/>
          <w:u w:val="single"/>
        </w:rPr>
        <w:t>5</w:t>
      </w:r>
      <w:r>
        <w:rPr>
          <w:rFonts w:hint="eastAsia" w:ascii="宋体" w:eastAsia="宋体" w:cs="Times New Roman"/>
          <w:color w:val="000000"/>
          <w:sz w:val="24"/>
          <w:szCs w:val="24"/>
          <w:highlight w:val="none"/>
          <w:u w:val="single"/>
          <w:lang w:val="en-US" w:eastAsia="zh-CN"/>
        </w:rPr>
        <w:t xml:space="preserve"> </w:t>
      </w:r>
      <w:r>
        <w:rPr>
          <w:rFonts w:ascii="宋体" w:eastAsia="宋体" w:cs="Times New Roman"/>
          <w:color w:val="000000"/>
          <w:sz w:val="24"/>
          <w:szCs w:val="24"/>
          <w:highlight w:val="none"/>
        </w:rPr>
        <w:t>%</w:t>
      </w:r>
      <w:r>
        <w:rPr>
          <w:rFonts w:hint="eastAsia" w:ascii="宋体" w:eastAsia="宋体" w:cs="Times New Roman"/>
          <w:color w:val="000000"/>
          <w:sz w:val="24"/>
          <w:szCs w:val="24"/>
          <w:highlight w:val="none"/>
        </w:rPr>
        <w:t>；</w:t>
      </w:r>
      <w:r>
        <w:rPr>
          <w:rFonts w:ascii="宋体" w:eastAsia="宋体" w:cs="Times New Roman"/>
          <w:color w:val="000000"/>
          <w:sz w:val="24"/>
          <w:szCs w:val="24"/>
          <w:highlight w:val="none"/>
        </w:rPr>
        <w:t>迟延交付货物的违约金计算数额达到前述最高限额之日起</w:t>
      </w:r>
      <w:r>
        <w:rPr>
          <w:rFonts w:hint="eastAsia" w:ascii="宋体" w:eastAsia="宋体" w:cs="Times New Roman"/>
          <w:color w:val="000000"/>
          <w:sz w:val="24"/>
          <w:szCs w:val="24"/>
          <w:highlight w:val="none"/>
        </w:rPr>
        <w:t>，</w:t>
      </w:r>
      <w:r>
        <w:rPr>
          <w:rFonts w:ascii="宋体" w:eastAsia="宋体" w:cs="Times New Roman"/>
          <w:color w:val="000000"/>
          <w:sz w:val="24"/>
          <w:szCs w:val="24"/>
          <w:highlight w:val="none"/>
        </w:rPr>
        <w:t>甲方有权在要求乙方支付违约金的同时</w:t>
      </w:r>
      <w:r>
        <w:rPr>
          <w:rFonts w:hint="eastAsia" w:ascii="宋体" w:eastAsia="宋体" w:cs="Times New Roman"/>
          <w:color w:val="000000"/>
          <w:sz w:val="24"/>
          <w:szCs w:val="24"/>
          <w:highlight w:val="none"/>
        </w:rPr>
        <w:t>，书面通知乙方</w:t>
      </w:r>
      <w:r>
        <w:rPr>
          <w:rFonts w:ascii="宋体" w:eastAsia="宋体" w:cs="Times New Roman"/>
          <w:color w:val="000000"/>
          <w:sz w:val="24"/>
          <w:szCs w:val="24"/>
          <w:highlight w:val="none"/>
        </w:rPr>
        <w:t>解除本合同</w:t>
      </w:r>
      <w:r>
        <w:rPr>
          <w:rFonts w:hint="eastAsia" w:ascii="宋体" w:eastAsia="宋体" w:cs="Times New Roman"/>
          <w:color w:val="000000"/>
          <w:sz w:val="24"/>
          <w:szCs w:val="24"/>
          <w:highlight w:val="none"/>
        </w:rPr>
        <w:t>；</w:t>
      </w:r>
    </w:p>
    <w:p>
      <w:pPr>
        <w:spacing w:line="360" w:lineRule="auto"/>
        <w:ind w:firstLine="435"/>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1.6.2</w:t>
      </w:r>
      <w:r>
        <w:rPr>
          <w:rFonts w:ascii="宋体" w:eastAsia="宋体" w:cs="Times New Roman"/>
          <w:color w:val="000000"/>
          <w:sz w:val="24"/>
          <w:szCs w:val="24"/>
          <w:highlight w:val="none"/>
        </w:rPr>
        <w:t>除不可抗力外，如果甲方没有按照本合同约定的付款方式付款，那么乙方可要求甲方支付违约金</w:t>
      </w:r>
      <w:r>
        <w:rPr>
          <w:rFonts w:hint="eastAsia" w:ascii="宋体" w:eastAsia="宋体" w:cs="Times New Roman"/>
          <w:color w:val="000000"/>
          <w:sz w:val="24"/>
          <w:szCs w:val="24"/>
          <w:highlight w:val="none"/>
        </w:rPr>
        <w:t>，</w:t>
      </w:r>
      <w:r>
        <w:rPr>
          <w:rFonts w:ascii="宋体" w:eastAsia="宋体" w:cs="Times New Roman"/>
          <w:color w:val="000000"/>
          <w:sz w:val="24"/>
          <w:szCs w:val="24"/>
          <w:highlight w:val="none"/>
        </w:rPr>
        <w:t>违约金按每迟延</w:t>
      </w:r>
      <w:r>
        <w:rPr>
          <w:rFonts w:hint="eastAsia" w:ascii="宋体" w:eastAsia="宋体" w:cs="Times New Roman"/>
          <w:color w:val="000000"/>
          <w:sz w:val="24"/>
          <w:szCs w:val="24"/>
          <w:highlight w:val="none"/>
        </w:rPr>
        <w:t>付款</w:t>
      </w:r>
      <w:r>
        <w:rPr>
          <w:rFonts w:ascii="宋体" w:eastAsia="宋体" w:cs="Times New Roman"/>
          <w:color w:val="000000"/>
          <w:sz w:val="24"/>
          <w:szCs w:val="24"/>
          <w:highlight w:val="none"/>
        </w:rPr>
        <w:t>一日的应付而未付款的</w:t>
      </w:r>
      <w:r>
        <w:rPr>
          <w:rFonts w:hint="eastAsia" w:ascii="宋体" w:eastAsia="宋体" w:cs="Times New Roman"/>
          <w:color w:val="000000"/>
          <w:sz w:val="24"/>
          <w:szCs w:val="24"/>
          <w:highlight w:val="none"/>
          <w:lang w:val="en-US" w:eastAsia="zh-CN"/>
        </w:rPr>
        <w:t xml:space="preserve"> </w:t>
      </w:r>
      <w:r>
        <w:rPr>
          <w:rFonts w:hint="eastAsia" w:ascii="宋体" w:eastAsia="宋体" w:cs="Times New Roman"/>
          <w:color w:val="000000"/>
          <w:sz w:val="24"/>
          <w:szCs w:val="24"/>
          <w:highlight w:val="none"/>
          <w:u w:val="single"/>
        </w:rPr>
        <w:t>3</w:t>
      </w:r>
      <w:r>
        <w:rPr>
          <w:rFonts w:hint="eastAsia" w:ascii="宋体" w:eastAsia="宋体" w:cs="Times New Roman"/>
          <w:color w:val="000000"/>
          <w:sz w:val="24"/>
          <w:szCs w:val="24"/>
          <w:highlight w:val="none"/>
          <w:u w:val="single"/>
          <w:lang w:val="en-US" w:eastAsia="zh-CN"/>
        </w:rPr>
        <w:t xml:space="preserve"> </w:t>
      </w:r>
      <w:r>
        <w:rPr>
          <w:rFonts w:hint="eastAsia" w:ascii="宋体" w:eastAsia="宋体"/>
          <w:color w:val="000000"/>
          <w:sz w:val="24"/>
          <w:highlight w:val="none"/>
        </w:rPr>
        <w:t>‰</w:t>
      </w:r>
      <w:r>
        <w:rPr>
          <w:rFonts w:ascii="宋体" w:eastAsia="宋体" w:cs="Times New Roman"/>
          <w:color w:val="000000"/>
          <w:sz w:val="24"/>
          <w:szCs w:val="24"/>
          <w:highlight w:val="none"/>
        </w:rPr>
        <w:t>计算</w:t>
      </w:r>
      <w:r>
        <w:rPr>
          <w:rFonts w:hint="eastAsia" w:ascii="宋体" w:eastAsia="宋体" w:cs="Times New Roman"/>
          <w:color w:val="000000"/>
          <w:sz w:val="24"/>
          <w:szCs w:val="24"/>
          <w:highlight w:val="none"/>
        </w:rPr>
        <w:t>，</w:t>
      </w:r>
      <w:r>
        <w:rPr>
          <w:rFonts w:ascii="宋体" w:eastAsia="宋体" w:cs="Times New Roman"/>
          <w:color w:val="000000"/>
          <w:sz w:val="24"/>
          <w:szCs w:val="24"/>
          <w:highlight w:val="none"/>
        </w:rPr>
        <w:t>最高限额为</w:t>
      </w:r>
      <w:r>
        <w:rPr>
          <w:rFonts w:hint="eastAsia" w:ascii="宋体" w:eastAsia="宋体" w:cs="Times New Roman"/>
          <w:color w:val="000000"/>
          <w:sz w:val="24"/>
          <w:szCs w:val="24"/>
          <w:highlight w:val="none"/>
        </w:rPr>
        <w:t>本</w:t>
      </w:r>
      <w:r>
        <w:rPr>
          <w:rFonts w:ascii="宋体" w:eastAsia="宋体" w:cs="Times New Roman"/>
          <w:color w:val="000000"/>
          <w:sz w:val="24"/>
          <w:szCs w:val="24"/>
          <w:highlight w:val="none"/>
        </w:rPr>
        <w:t>合同总价的</w:t>
      </w:r>
      <w:r>
        <w:rPr>
          <w:rFonts w:hint="eastAsia" w:ascii="宋体" w:eastAsia="宋体" w:cs="Times New Roman"/>
          <w:color w:val="000000"/>
          <w:sz w:val="24"/>
          <w:szCs w:val="24"/>
          <w:highlight w:val="none"/>
          <w:lang w:val="en-US" w:eastAsia="zh-CN"/>
        </w:rPr>
        <w:t xml:space="preserve"> </w:t>
      </w:r>
      <w:r>
        <w:rPr>
          <w:rFonts w:hint="eastAsia" w:ascii="宋体" w:eastAsia="宋体" w:cs="Times New Roman"/>
          <w:color w:val="000000"/>
          <w:sz w:val="24"/>
          <w:szCs w:val="24"/>
          <w:highlight w:val="none"/>
          <w:u w:val="single"/>
        </w:rPr>
        <w:t>5</w:t>
      </w:r>
      <w:r>
        <w:rPr>
          <w:rFonts w:hint="eastAsia" w:ascii="宋体" w:eastAsia="宋体" w:cs="Times New Roman"/>
          <w:color w:val="000000"/>
          <w:sz w:val="24"/>
          <w:szCs w:val="24"/>
          <w:highlight w:val="none"/>
          <w:u w:val="single"/>
          <w:lang w:val="en-US" w:eastAsia="zh-CN"/>
        </w:rPr>
        <w:t xml:space="preserve">  </w:t>
      </w:r>
      <w:r>
        <w:rPr>
          <w:rFonts w:ascii="宋体" w:eastAsia="宋体" w:cs="Times New Roman"/>
          <w:color w:val="000000"/>
          <w:sz w:val="24"/>
          <w:szCs w:val="24"/>
          <w:highlight w:val="none"/>
        </w:rPr>
        <w:t>%</w:t>
      </w:r>
      <w:r>
        <w:rPr>
          <w:rFonts w:hint="eastAsia" w:ascii="宋体" w:eastAsia="宋体" w:cs="Times New Roman"/>
          <w:color w:val="000000"/>
          <w:sz w:val="24"/>
          <w:szCs w:val="24"/>
          <w:highlight w:val="none"/>
        </w:rPr>
        <w:t>；</w:t>
      </w:r>
      <w:r>
        <w:rPr>
          <w:rFonts w:ascii="宋体" w:eastAsia="宋体" w:cs="Times New Roman"/>
          <w:color w:val="000000"/>
          <w:sz w:val="24"/>
          <w:szCs w:val="24"/>
          <w:highlight w:val="none"/>
        </w:rPr>
        <w:t>迟延</w:t>
      </w:r>
      <w:r>
        <w:rPr>
          <w:rFonts w:hint="eastAsia" w:ascii="宋体" w:eastAsia="宋体" w:cs="Times New Roman"/>
          <w:color w:val="000000"/>
          <w:sz w:val="24"/>
          <w:szCs w:val="24"/>
          <w:highlight w:val="none"/>
        </w:rPr>
        <w:t>付款</w:t>
      </w:r>
      <w:r>
        <w:rPr>
          <w:rFonts w:ascii="宋体" w:eastAsia="宋体" w:cs="Times New Roman"/>
          <w:color w:val="000000"/>
          <w:sz w:val="24"/>
          <w:szCs w:val="24"/>
          <w:highlight w:val="none"/>
        </w:rPr>
        <w:t>的违约金计算数额达到前述最高限额之日起</w:t>
      </w:r>
      <w:r>
        <w:rPr>
          <w:rFonts w:hint="eastAsia" w:ascii="宋体" w:eastAsia="宋体" w:cs="Times New Roman"/>
          <w:color w:val="000000"/>
          <w:sz w:val="24"/>
          <w:szCs w:val="24"/>
          <w:highlight w:val="none"/>
        </w:rPr>
        <w:t>，乙</w:t>
      </w:r>
      <w:r>
        <w:rPr>
          <w:rFonts w:ascii="宋体" w:eastAsia="宋体" w:cs="Times New Roman"/>
          <w:color w:val="000000"/>
          <w:sz w:val="24"/>
          <w:szCs w:val="24"/>
          <w:highlight w:val="none"/>
        </w:rPr>
        <w:t>方有权在要求甲方支付违约金的同时</w:t>
      </w:r>
      <w:r>
        <w:rPr>
          <w:rFonts w:hint="eastAsia" w:ascii="宋体" w:eastAsia="宋体" w:cs="Times New Roman"/>
          <w:color w:val="000000"/>
          <w:sz w:val="24"/>
          <w:szCs w:val="24"/>
          <w:highlight w:val="none"/>
        </w:rPr>
        <w:t>，书面通知甲方</w:t>
      </w:r>
      <w:r>
        <w:rPr>
          <w:rFonts w:ascii="宋体" w:eastAsia="宋体" w:cs="Times New Roman"/>
          <w:color w:val="000000"/>
          <w:sz w:val="24"/>
          <w:szCs w:val="24"/>
          <w:highlight w:val="none"/>
        </w:rPr>
        <w:t>解除本合同</w:t>
      </w:r>
      <w:r>
        <w:rPr>
          <w:rFonts w:hint="eastAsia" w:ascii="宋体" w:eastAsia="宋体" w:cs="Times New Roman"/>
          <w:color w:val="000000"/>
          <w:sz w:val="24"/>
          <w:szCs w:val="24"/>
          <w:highlight w:val="none"/>
        </w:rPr>
        <w:t>；</w:t>
      </w:r>
    </w:p>
    <w:p>
      <w:pPr>
        <w:spacing w:line="360" w:lineRule="auto"/>
        <w:ind w:firstLine="435"/>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35"/>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35"/>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35"/>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1.6.6如果出现政府采购监督管理部门在处理投诉事项期间，书面通知甲方暂停采购活动的情形，或者询问或质疑事项可能影响中标结果的，导致甲方中止履行合同的情形，均不视为甲方违约。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firstLine="435"/>
        <w:rPr>
          <w:rFonts w:ascii="宋体" w:eastAsia="宋体" w:cs="Times New Roman"/>
          <w:color w:val="000000"/>
          <w:sz w:val="24"/>
          <w:szCs w:val="24"/>
          <w:highlight w:val="none"/>
        </w:rPr>
      </w:pPr>
      <w:r>
        <w:rPr>
          <w:rFonts w:ascii="宋体" w:eastAsia="宋体" w:cs="Times New Roman"/>
          <w:color w:val="000000"/>
          <w:sz w:val="24"/>
          <w:szCs w:val="24"/>
          <w:highlight w:val="none"/>
        </w:rPr>
        <w:t>1.6.7因甲方未按合同约定支付价款、未按合同约定受领标的物、擅自解除合同</w:t>
      </w:r>
      <w:r>
        <w:rPr>
          <w:rFonts w:hint="eastAsia" w:ascii="宋体" w:eastAsia="宋体" w:cs="Times New Roman"/>
          <w:color w:val="000000"/>
          <w:sz w:val="24"/>
          <w:szCs w:val="24"/>
          <w:highlight w:val="none"/>
        </w:rPr>
        <w:t>、</w:t>
      </w:r>
      <w:r>
        <w:rPr>
          <w:rFonts w:hint="eastAsia" w:ascii="宋体" w:eastAsia="宋体" w:cs="Times New Roman"/>
          <w:sz w:val="24"/>
          <w:szCs w:val="24"/>
          <w:highlight w:val="none"/>
        </w:rPr>
        <w:t>逾期退还履约保证金</w:t>
      </w:r>
      <w:r>
        <w:rPr>
          <w:rFonts w:ascii="宋体" w:eastAsia="宋体" w:cs="Times New Roman"/>
          <w:color w:val="000000"/>
          <w:sz w:val="24"/>
          <w:szCs w:val="24"/>
          <w:highlight w:val="none"/>
        </w:rPr>
        <w:t>导致乙方遭受的直接损失，乙方可向甲方申请赔偿，赔偿金额由双方协商一致；</w:t>
      </w:r>
      <w:r>
        <w:rPr>
          <w:rFonts w:hint="eastAsia" w:ascii="宋体" w:eastAsia="宋体" w:cs="Times New Roman"/>
          <w:color w:val="000000"/>
          <w:sz w:val="24"/>
          <w:szCs w:val="24"/>
          <w:highlight w:val="none"/>
        </w:rPr>
        <w:t>针对因政策变化等原因不能签订合同或解除合同时，造成乙方合法利益受损的情形，可以给予乙方合理补偿，补偿金额不得超过乙方的直接损失。</w:t>
      </w:r>
    </w:p>
    <w:p>
      <w:pPr>
        <w:spacing w:line="560" w:lineRule="exact"/>
        <w:ind w:left="425" w:hanging="314"/>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1.6.8由于乙方原因不能按照约定交货的，在甲方书面通知7日内乙方仍未履行或采取补救措施的，甲方有权终止合同，乙方须按合同总金额的30%向甲方支付违约赔偿金，并全额退还甲方已付给乙方的货款。</w:t>
      </w:r>
    </w:p>
    <w:p>
      <w:pPr>
        <w:spacing w:line="560" w:lineRule="exact"/>
        <w:ind w:left="425" w:hanging="314"/>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乙方所交付的设备品种、型号、规格、质量不符合合同约定、国家标准，所供设备达不到约定技术要求的，乙方必须无条件在甲方规定的时间内换货，如乙方不能在规定时间内完成换货，或换货后仍达不到合同交付的质量约定，乙方须退回全部货款，并向甲方支付合同总金额的20%的赔偿金。</w:t>
      </w:r>
    </w:p>
    <w:p>
      <w:pPr>
        <w:spacing w:line="560" w:lineRule="exact"/>
        <w:ind w:left="425" w:hanging="314"/>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1.6.9甲方在以下情况下可向乙方发出书面通知，终止部分或全部合同：</w:t>
      </w:r>
    </w:p>
    <w:p>
      <w:pPr>
        <w:spacing w:line="560" w:lineRule="exact"/>
        <w:ind w:left="426"/>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①乙方未能在合同规定的期限或甲方同意延长的限期内提供全部或部分货物。</w:t>
      </w:r>
    </w:p>
    <w:p>
      <w:pPr>
        <w:spacing w:line="560" w:lineRule="exact"/>
        <w:ind w:left="426"/>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②如果乙方未能履行合同规定的其他义务，乙方在收到甲方发出的违约通知后7天内，或经甲方书面认可延长的时间内未能纠正其过失。</w:t>
      </w:r>
    </w:p>
    <w:p>
      <w:pPr>
        <w:spacing w:line="360" w:lineRule="auto"/>
        <w:ind w:firstLine="435"/>
        <w:rPr>
          <w:rFonts w:ascii="宋体" w:eastAsia="宋体" w:cs="Times New Roman"/>
          <w:color w:val="000000"/>
          <w:sz w:val="24"/>
          <w:szCs w:val="24"/>
          <w:highlight w:val="none"/>
        </w:rPr>
      </w:pPr>
    </w:p>
    <w:p>
      <w:pPr>
        <w:spacing w:line="360" w:lineRule="auto"/>
        <w:ind w:firstLine="437"/>
        <w:outlineLvl w:val="2"/>
        <w:rPr>
          <w:rFonts w:ascii="宋体" w:eastAsia="宋体" w:cs="Times New Roman"/>
          <w:b/>
          <w:bCs/>
          <w:color w:val="000000"/>
          <w:sz w:val="24"/>
          <w:szCs w:val="24"/>
          <w:highlight w:val="none"/>
          <w:lang w:val="zh-CN"/>
        </w:rPr>
      </w:pPr>
      <w:bookmarkStart w:id="123" w:name="_Toc28375"/>
      <w:bookmarkStart w:id="124" w:name="_Toc16021"/>
      <w:bookmarkStart w:id="125" w:name="_Toc15583"/>
      <w:r>
        <w:rPr>
          <w:rFonts w:hint="eastAsia" w:ascii="宋体" w:eastAsia="宋体" w:cs="Times New Roman"/>
          <w:b/>
          <w:bCs/>
          <w:color w:val="000000"/>
          <w:sz w:val="24"/>
          <w:szCs w:val="24"/>
          <w:highlight w:val="none"/>
          <w:lang w:val="zh-CN"/>
        </w:rPr>
        <w:t>1.7合同</w:t>
      </w:r>
      <w:r>
        <w:rPr>
          <w:rFonts w:ascii="宋体" w:eastAsia="宋体" w:cs="Times New Roman"/>
          <w:b/>
          <w:bCs/>
          <w:color w:val="000000"/>
          <w:sz w:val="24"/>
          <w:szCs w:val="24"/>
          <w:highlight w:val="none"/>
          <w:lang w:val="zh-CN"/>
        </w:rPr>
        <w:t>争议的解决</w:t>
      </w:r>
      <w:bookmarkEnd w:id="123"/>
      <w:bookmarkEnd w:id="124"/>
      <w:bookmarkEnd w:id="125"/>
    </w:p>
    <w:p>
      <w:pPr>
        <w:spacing w:line="360" w:lineRule="auto"/>
        <w:ind w:firstLine="435"/>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本合</w:t>
      </w:r>
      <w:r>
        <w:rPr>
          <w:rFonts w:ascii="宋体" w:eastAsia="宋体" w:cs="Times New Roman"/>
          <w:color w:val="000000"/>
          <w:sz w:val="24"/>
          <w:szCs w:val="24"/>
          <w:highlight w:val="none"/>
        </w:rPr>
        <w:t>同履行过程中发生的任何争议，双方当事人均可</w:t>
      </w:r>
      <w:r>
        <w:rPr>
          <w:rFonts w:hint="eastAsia" w:ascii="宋体" w:eastAsia="宋体" w:cs="Times New Roman"/>
          <w:color w:val="000000"/>
          <w:sz w:val="24"/>
          <w:szCs w:val="24"/>
          <w:highlight w:val="none"/>
        </w:rPr>
        <w:t>通过和解或者调解解决；不愿和解、调解或者和解、调解不成的，可以选择下列第</w:t>
      </w:r>
      <w:r>
        <w:rPr>
          <w:rFonts w:hint="eastAsia" w:ascii="宋体" w:eastAsia="宋体" w:cs="Times New Roman"/>
          <w:color w:val="000000"/>
          <w:sz w:val="24"/>
          <w:szCs w:val="24"/>
          <w:highlight w:val="none"/>
          <w:u w:val="single"/>
        </w:rPr>
        <w:t>2</w:t>
      </w:r>
      <w:r>
        <w:rPr>
          <w:rFonts w:hint="eastAsia" w:ascii="宋体" w:eastAsia="宋体" w:cs="Times New Roman"/>
          <w:color w:val="000000"/>
          <w:sz w:val="24"/>
          <w:szCs w:val="24"/>
          <w:highlight w:val="none"/>
        </w:rPr>
        <w:t>种方式解决：</w:t>
      </w:r>
    </w:p>
    <w:p>
      <w:pPr>
        <w:spacing w:line="360" w:lineRule="auto"/>
        <w:ind w:firstLine="435"/>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1.7.1将争议提交</w:t>
      </w:r>
      <w:r>
        <w:rPr>
          <w:rFonts w:hint="eastAsia" w:ascii="宋体" w:eastAsia="宋体" w:cs="Times New Roman"/>
          <w:color w:val="000000"/>
          <w:sz w:val="24"/>
          <w:szCs w:val="24"/>
          <w:highlight w:val="none"/>
          <w:u w:val="single"/>
        </w:rPr>
        <w:t>/</w:t>
      </w:r>
      <w:r>
        <w:rPr>
          <w:rFonts w:hint="eastAsia" w:ascii="宋体" w:eastAsia="宋体" w:cs="Times New Roman"/>
          <w:color w:val="000000"/>
          <w:sz w:val="24"/>
          <w:szCs w:val="24"/>
          <w:highlight w:val="none"/>
        </w:rPr>
        <w:t>仲裁委员会依申请仲裁时其现行有效的仲裁规则裁决；</w:t>
      </w:r>
    </w:p>
    <w:p>
      <w:pPr>
        <w:spacing w:line="360" w:lineRule="auto"/>
        <w:ind w:firstLine="435"/>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1.7.2向</w:t>
      </w:r>
      <w:r>
        <w:rPr>
          <w:rFonts w:hint="eastAsia" w:ascii="宋体" w:eastAsia="宋体" w:cs="Times New Roman"/>
          <w:color w:val="000000"/>
          <w:sz w:val="24"/>
          <w:szCs w:val="24"/>
          <w:highlight w:val="none"/>
          <w:u w:val="single"/>
        </w:rPr>
        <w:t xml:space="preserve">甲方所在地 </w:t>
      </w:r>
      <w:r>
        <w:rPr>
          <w:rFonts w:hint="eastAsia" w:ascii="宋体" w:eastAsia="宋体" w:cs="Times New Roman"/>
          <w:color w:val="000000"/>
          <w:sz w:val="24"/>
          <w:szCs w:val="24"/>
          <w:highlight w:val="none"/>
        </w:rPr>
        <w:t>人民法院起诉。</w:t>
      </w:r>
    </w:p>
    <w:p>
      <w:pPr>
        <w:spacing w:line="360" w:lineRule="auto"/>
        <w:ind w:firstLine="437"/>
        <w:outlineLvl w:val="2"/>
        <w:rPr>
          <w:rFonts w:ascii="宋体" w:eastAsia="宋体" w:cs="Times New Roman"/>
          <w:b/>
          <w:bCs/>
          <w:color w:val="000000"/>
          <w:sz w:val="24"/>
          <w:szCs w:val="24"/>
          <w:highlight w:val="none"/>
          <w:lang w:val="zh-CN"/>
        </w:rPr>
      </w:pPr>
      <w:bookmarkStart w:id="126" w:name="_Toc11173"/>
      <w:bookmarkStart w:id="127" w:name="_Toc7245"/>
      <w:bookmarkStart w:id="128" w:name="_Toc15322"/>
      <w:r>
        <w:rPr>
          <w:rFonts w:hint="eastAsia" w:ascii="宋体" w:eastAsia="宋体" w:cs="Times New Roman"/>
          <w:b/>
          <w:bCs/>
          <w:color w:val="000000"/>
          <w:sz w:val="24"/>
          <w:szCs w:val="24"/>
          <w:highlight w:val="none"/>
          <w:lang w:val="zh-CN"/>
        </w:rPr>
        <w:t>1.8</w:t>
      </w:r>
      <w:r>
        <w:rPr>
          <w:rFonts w:ascii="宋体" w:eastAsia="宋体" w:cs="Times New Roman"/>
          <w:b/>
          <w:bCs/>
          <w:color w:val="000000"/>
          <w:sz w:val="24"/>
          <w:szCs w:val="24"/>
          <w:highlight w:val="none"/>
          <w:lang w:val="zh-CN"/>
        </w:rPr>
        <w:t xml:space="preserve"> 合同生效</w:t>
      </w:r>
      <w:bookmarkEnd w:id="126"/>
      <w:bookmarkEnd w:id="127"/>
      <w:bookmarkEnd w:id="128"/>
    </w:p>
    <w:p>
      <w:pPr>
        <w:spacing w:line="360" w:lineRule="auto"/>
        <w:ind w:firstLine="435"/>
        <w:rPr>
          <w:rFonts w:ascii="宋体" w:eastAsia="宋体" w:cs="Times New Roman"/>
          <w:color w:val="000000"/>
          <w:sz w:val="24"/>
          <w:szCs w:val="24"/>
          <w:highlight w:val="none"/>
        </w:rPr>
      </w:pPr>
      <w:r>
        <w:rPr>
          <w:rFonts w:ascii="宋体" w:eastAsia="宋体" w:cs="Times New Roman"/>
          <w:color w:val="000000"/>
          <w:sz w:val="24"/>
          <w:szCs w:val="24"/>
          <w:highlight w:val="none"/>
        </w:rPr>
        <w:t>本合同自</w:t>
      </w:r>
      <w:r>
        <w:rPr>
          <w:rFonts w:hint="eastAsia" w:ascii="宋体" w:eastAsia="宋体" w:cs="Times New Roman"/>
          <w:color w:val="000000"/>
          <w:sz w:val="24"/>
          <w:szCs w:val="24"/>
          <w:highlight w:val="none"/>
        </w:rPr>
        <w:t>双方当事人盖章时</w:t>
      </w:r>
      <w:r>
        <w:rPr>
          <w:rFonts w:ascii="宋体" w:eastAsia="宋体" w:cs="Times New Roman"/>
          <w:color w:val="000000"/>
          <w:sz w:val="24"/>
          <w:szCs w:val="24"/>
          <w:highlight w:val="none"/>
        </w:rPr>
        <w:t>生效。</w:t>
      </w:r>
    </w:p>
    <w:p>
      <w:pPr>
        <w:autoSpaceDE w:val="0"/>
        <w:autoSpaceDN w:val="0"/>
        <w:adjustRightInd w:val="0"/>
        <w:spacing w:line="560" w:lineRule="exact"/>
        <w:rPr>
          <w:rFonts w:ascii="宋体" w:eastAsia="宋体" w:cs="Times New Roman"/>
          <w:color w:val="000000"/>
          <w:sz w:val="24"/>
          <w:szCs w:val="24"/>
          <w:highlight w:val="none"/>
          <w:lang w:val="zh-CN"/>
        </w:rPr>
      </w:pPr>
    </w:p>
    <w:p>
      <w:pPr>
        <w:autoSpaceDE w:val="0"/>
        <w:autoSpaceDN w:val="0"/>
        <w:adjustRightInd w:val="0"/>
        <w:spacing w:line="560" w:lineRule="exact"/>
        <w:rPr>
          <w:rFonts w:ascii="宋体" w:eastAsia="宋体" w:cs="Times New Roman"/>
          <w:bCs/>
          <w:color w:val="000000"/>
          <w:sz w:val="24"/>
          <w:szCs w:val="24"/>
          <w:highlight w:val="none"/>
          <w:lang w:val="zh-CN"/>
        </w:rPr>
      </w:pPr>
      <w:r>
        <w:rPr>
          <w:rFonts w:hint="eastAsia" w:ascii="宋体" w:eastAsia="宋体" w:cs="Times New Roman"/>
          <w:bCs/>
          <w:color w:val="000000"/>
          <w:sz w:val="24"/>
          <w:szCs w:val="24"/>
          <w:highlight w:val="none"/>
          <w:lang w:val="zh-CN"/>
        </w:rPr>
        <w:t>甲 方：</w:t>
      </w:r>
      <w:r>
        <w:rPr>
          <w:rFonts w:hint="eastAsia" w:ascii="宋体" w:eastAsia="宋体" w:cs="Times New Roman"/>
          <w:bCs/>
          <w:color w:val="000000"/>
          <w:sz w:val="24"/>
          <w:szCs w:val="24"/>
          <w:highlight w:val="none"/>
          <w:u w:val="single"/>
          <w:lang w:val="zh-CN"/>
        </w:rPr>
        <w:t xml:space="preserve">    （单位盖章）     </w:t>
      </w:r>
      <w:r>
        <w:rPr>
          <w:rFonts w:hint="eastAsia" w:ascii="宋体" w:eastAsia="宋体" w:cs="Times New Roman"/>
          <w:bCs/>
          <w:color w:val="000000"/>
          <w:sz w:val="24"/>
          <w:szCs w:val="24"/>
          <w:highlight w:val="none"/>
          <w:lang w:val="zh-CN"/>
        </w:rPr>
        <w:t xml:space="preserve">          乙方：</w:t>
      </w:r>
      <w:r>
        <w:rPr>
          <w:rFonts w:hint="eastAsia" w:ascii="宋体" w:eastAsia="宋体" w:cs="Times New Roman"/>
          <w:bCs/>
          <w:color w:val="000000"/>
          <w:sz w:val="24"/>
          <w:szCs w:val="24"/>
          <w:highlight w:val="none"/>
          <w:u w:val="single"/>
          <w:lang w:val="zh-CN"/>
        </w:rPr>
        <w:t xml:space="preserve">    （单位盖章）     </w:t>
      </w:r>
    </w:p>
    <w:p>
      <w:pPr>
        <w:autoSpaceDE w:val="0"/>
        <w:autoSpaceDN w:val="0"/>
        <w:adjustRightInd w:val="0"/>
        <w:spacing w:line="560" w:lineRule="exact"/>
        <w:rPr>
          <w:rFonts w:ascii="宋体" w:eastAsia="宋体" w:cs="Times New Roman"/>
          <w:color w:val="000000"/>
          <w:sz w:val="24"/>
          <w:szCs w:val="24"/>
          <w:highlight w:val="none"/>
          <w:lang w:val="zh-CN"/>
        </w:rPr>
      </w:pPr>
      <w:r>
        <w:rPr>
          <w:rFonts w:hint="eastAsia" w:ascii="宋体" w:eastAsia="宋体" w:cs="Times New Roman"/>
          <w:color w:val="000000"/>
          <w:sz w:val="24"/>
          <w:szCs w:val="24"/>
          <w:highlight w:val="none"/>
          <w:lang w:val="zh-CN"/>
        </w:rPr>
        <w:t>法定代表人                             法定代表人</w:t>
      </w:r>
    </w:p>
    <w:p>
      <w:pPr>
        <w:autoSpaceDE w:val="0"/>
        <w:autoSpaceDN w:val="0"/>
        <w:adjustRightInd w:val="0"/>
        <w:spacing w:line="560" w:lineRule="exact"/>
        <w:rPr>
          <w:rFonts w:ascii="宋体" w:eastAsia="宋体" w:cs="Times New Roman"/>
          <w:color w:val="000000"/>
          <w:sz w:val="24"/>
          <w:szCs w:val="24"/>
          <w:highlight w:val="none"/>
          <w:lang w:val="zh-CN"/>
        </w:rPr>
      </w:pPr>
      <w:r>
        <w:rPr>
          <w:rFonts w:hint="eastAsia" w:ascii="宋体" w:eastAsia="宋体" w:cs="Times New Roman"/>
          <w:color w:val="000000"/>
          <w:sz w:val="24"/>
          <w:szCs w:val="24"/>
          <w:highlight w:val="none"/>
          <w:lang w:val="zh-CN"/>
        </w:rPr>
        <w:t>或授权代表（签字）：                      或授权代表（签字）：</w:t>
      </w:r>
    </w:p>
    <w:p>
      <w:pPr>
        <w:widowControl/>
        <w:spacing w:line="560" w:lineRule="exact"/>
        <w:jc w:val="left"/>
        <w:rPr>
          <w:rFonts w:ascii="宋体" w:eastAsia="宋体" w:cs="Times New Roman"/>
          <w:bCs/>
          <w:color w:val="000000"/>
          <w:sz w:val="24"/>
          <w:szCs w:val="24"/>
          <w:highlight w:val="none"/>
        </w:rPr>
      </w:pPr>
      <w:bookmarkStart w:id="129" w:name="_Toc331685783"/>
      <w:r>
        <w:rPr>
          <w:rFonts w:hint="eastAsia" w:ascii="宋体" w:eastAsia="宋体" w:cs="Times New Roman"/>
          <w:bCs/>
          <w:color w:val="000000"/>
          <w:sz w:val="24"/>
          <w:szCs w:val="24"/>
          <w:highlight w:val="none"/>
        </w:rPr>
        <w:t>时间：年月日               时间：年月日</w:t>
      </w:r>
    </w:p>
    <w:p>
      <w:pPr>
        <w:spacing w:line="560" w:lineRule="exact"/>
        <w:rPr>
          <w:rFonts w:ascii="宋体" w:eastAsia="宋体"/>
          <w:color w:val="000000"/>
          <w:sz w:val="24"/>
          <w:szCs w:val="24"/>
          <w:highlight w:val="none"/>
        </w:rPr>
      </w:pPr>
      <w:r>
        <w:rPr>
          <w:rFonts w:hint="eastAsia" w:ascii="宋体" w:eastAsia="宋体"/>
          <w:color w:val="000000"/>
          <w:sz w:val="24"/>
          <w:szCs w:val="24"/>
          <w:highlight w:val="none"/>
        </w:rPr>
        <w:t xml:space="preserve"> 乙方账户信息</w:t>
      </w:r>
    </w:p>
    <w:p>
      <w:pPr>
        <w:spacing w:line="560" w:lineRule="exact"/>
        <w:rPr>
          <w:rFonts w:ascii="宋体" w:eastAsia="宋体"/>
          <w:color w:val="000000"/>
          <w:sz w:val="24"/>
          <w:szCs w:val="24"/>
          <w:highlight w:val="none"/>
        </w:rPr>
      </w:pPr>
      <w:r>
        <w:rPr>
          <w:rFonts w:hint="eastAsia" w:ascii="宋体" w:eastAsia="宋体"/>
          <w:color w:val="000000"/>
          <w:sz w:val="24"/>
          <w:szCs w:val="24"/>
          <w:highlight w:val="none"/>
        </w:rPr>
        <w:t xml:space="preserve"> 户名：</w:t>
      </w:r>
    </w:p>
    <w:p>
      <w:pPr>
        <w:spacing w:line="560" w:lineRule="exact"/>
        <w:rPr>
          <w:rFonts w:ascii="宋体" w:eastAsia="宋体"/>
          <w:color w:val="000000"/>
          <w:sz w:val="24"/>
          <w:szCs w:val="24"/>
          <w:highlight w:val="none"/>
        </w:rPr>
      </w:pPr>
      <w:r>
        <w:rPr>
          <w:rFonts w:hint="eastAsia" w:ascii="宋体" w:eastAsia="宋体"/>
          <w:color w:val="000000"/>
          <w:sz w:val="24"/>
          <w:szCs w:val="24"/>
          <w:highlight w:val="none"/>
        </w:rPr>
        <w:t xml:space="preserve">                                         账号：</w:t>
      </w:r>
    </w:p>
    <w:p>
      <w:pPr>
        <w:spacing w:line="560" w:lineRule="exact"/>
        <w:rPr>
          <w:rFonts w:ascii="宋体" w:eastAsia="宋体"/>
          <w:color w:val="000000"/>
          <w:sz w:val="24"/>
          <w:szCs w:val="24"/>
          <w:highlight w:val="none"/>
        </w:rPr>
      </w:pPr>
      <w:r>
        <w:rPr>
          <w:rFonts w:hint="eastAsia" w:ascii="宋体" w:eastAsia="宋体"/>
          <w:color w:val="000000"/>
          <w:sz w:val="24"/>
          <w:szCs w:val="24"/>
          <w:highlight w:val="none"/>
        </w:rPr>
        <w:t>开户银行：</w:t>
      </w:r>
    </w:p>
    <w:p>
      <w:pPr>
        <w:widowControl/>
        <w:jc w:val="left"/>
        <w:rPr>
          <w:rFonts w:ascii="宋体" w:eastAsia="宋体" w:cs="Times New Roman"/>
          <w:b/>
          <w:color w:val="000000"/>
          <w:sz w:val="24"/>
          <w:szCs w:val="24"/>
          <w:highlight w:val="none"/>
        </w:rPr>
      </w:pPr>
      <w:r>
        <w:rPr>
          <w:rFonts w:ascii="宋体" w:eastAsia="宋体" w:cs="Times New Roman"/>
          <w:b/>
          <w:color w:val="000000"/>
          <w:sz w:val="24"/>
          <w:szCs w:val="24"/>
          <w:highlight w:val="none"/>
        </w:rPr>
        <w:br w:type="page"/>
      </w:r>
    </w:p>
    <w:p>
      <w:pPr>
        <w:spacing w:line="360" w:lineRule="auto"/>
        <w:jc w:val="center"/>
        <w:outlineLvl w:val="1"/>
        <w:rPr>
          <w:rFonts w:ascii="宋体" w:eastAsia="宋体"/>
          <w:b/>
          <w:color w:val="000000"/>
          <w:sz w:val="24"/>
          <w:highlight w:val="none"/>
        </w:rPr>
      </w:pPr>
      <w:bookmarkStart w:id="130" w:name="_Toc8155"/>
      <w:bookmarkStart w:id="131" w:name="_Toc28159"/>
      <w:r>
        <w:rPr>
          <w:rFonts w:hint="eastAsia" w:ascii="宋体" w:eastAsia="宋体"/>
          <w:b/>
          <w:color w:val="000000"/>
          <w:sz w:val="24"/>
          <w:highlight w:val="none"/>
        </w:rPr>
        <w:t>第二部分合同一般条款</w:t>
      </w:r>
      <w:bookmarkEnd w:id="129"/>
      <w:bookmarkEnd w:id="130"/>
      <w:bookmarkEnd w:id="131"/>
    </w:p>
    <w:p>
      <w:pPr>
        <w:spacing w:line="360" w:lineRule="auto"/>
        <w:ind w:firstLine="437"/>
        <w:outlineLvl w:val="2"/>
        <w:rPr>
          <w:rFonts w:ascii="宋体" w:eastAsia="宋体" w:cs="Times New Roman"/>
          <w:b/>
          <w:bCs/>
          <w:color w:val="000000"/>
          <w:sz w:val="24"/>
          <w:szCs w:val="24"/>
          <w:highlight w:val="none"/>
          <w:lang w:val="zh-CN"/>
        </w:rPr>
      </w:pPr>
      <w:bookmarkStart w:id="132" w:name="_Toc279701240"/>
      <w:bookmarkStart w:id="133" w:name="_Toc16917"/>
      <w:bookmarkStart w:id="134" w:name="_Ref467379109"/>
      <w:bookmarkStart w:id="135" w:name="_Toc19614"/>
      <w:bookmarkStart w:id="136" w:name="_Ref467379205"/>
      <w:bookmarkStart w:id="137" w:name="_Ref467379195"/>
      <w:bookmarkStart w:id="138" w:name="_Toc28763"/>
      <w:bookmarkStart w:id="139" w:name="_Ref467379225"/>
      <w:bookmarkStart w:id="140" w:name="_Ref467379214"/>
      <w:bookmarkStart w:id="141" w:name="_Ref467378463"/>
      <w:bookmarkStart w:id="142" w:name="_Ref467379094"/>
      <w:bookmarkStart w:id="143" w:name="_Toc259093669"/>
      <w:bookmarkStart w:id="144" w:name="_Ref467379101"/>
      <w:bookmarkStart w:id="145" w:name="_Ref467378499"/>
      <w:bookmarkStart w:id="146" w:name="_Toc487900349"/>
      <w:bookmarkStart w:id="147" w:name="_Ref467378404"/>
      <w:r>
        <w:rPr>
          <w:rFonts w:hint="eastAsia" w:ascii="宋体" w:eastAsia="宋体" w:cs="Times New Roman"/>
          <w:b/>
          <w:bCs/>
          <w:color w:val="000000"/>
          <w:sz w:val="24"/>
          <w:szCs w:val="24"/>
          <w:highlight w:val="none"/>
          <w:lang w:val="zh-CN"/>
        </w:rPr>
        <w:t>2.1</w:t>
      </w:r>
      <w:r>
        <w:rPr>
          <w:rFonts w:ascii="宋体" w:eastAsia="宋体" w:cs="Times New Roman"/>
          <w:b/>
          <w:bCs/>
          <w:color w:val="000000"/>
          <w:sz w:val="24"/>
          <w:szCs w:val="24"/>
          <w:highlight w:val="none"/>
          <w:lang w:val="zh-CN"/>
        </w:rPr>
        <w:t xml:space="preserve"> 定义</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pPr>
        <w:spacing w:line="360" w:lineRule="auto"/>
        <w:ind w:firstLine="435"/>
        <w:rPr>
          <w:rFonts w:ascii="宋体" w:eastAsia="宋体" w:cs="Times New Roman"/>
          <w:color w:val="000000"/>
          <w:sz w:val="24"/>
          <w:szCs w:val="24"/>
          <w:highlight w:val="none"/>
        </w:rPr>
      </w:pPr>
      <w:r>
        <w:rPr>
          <w:rFonts w:ascii="宋体" w:eastAsia="宋体" w:cs="Times New Roman"/>
          <w:color w:val="000000"/>
          <w:sz w:val="24"/>
          <w:szCs w:val="24"/>
          <w:highlight w:val="none"/>
        </w:rPr>
        <w:t>本合同中的下列</w:t>
      </w:r>
      <w:r>
        <w:rPr>
          <w:rFonts w:hint="eastAsia" w:ascii="宋体" w:eastAsia="宋体" w:cs="Times New Roman"/>
          <w:color w:val="000000"/>
          <w:sz w:val="24"/>
          <w:szCs w:val="24"/>
          <w:highlight w:val="none"/>
        </w:rPr>
        <w:t>词</w:t>
      </w:r>
      <w:r>
        <w:rPr>
          <w:rFonts w:ascii="宋体" w:eastAsia="宋体" w:cs="Times New Roman"/>
          <w:color w:val="000000"/>
          <w:sz w:val="24"/>
          <w:szCs w:val="24"/>
          <w:highlight w:val="none"/>
        </w:rPr>
        <w:t>语应</w:t>
      </w:r>
      <w:r>
        <w:rPr>
          <w:rFonts w:hint="eastAsia" w:ascii="宋体" w:eastAsia="宋体" w:cs="Times New Roman"/>
          <w:color w:val="000000"/>
          <w:sz w:val="24"/>
          <w:szCs w:val="24"/>
          <w:highlight w:val="none"/>
        </w:rPr>
        <w:t>按以下内容进行</w:t>
      </w:r>
      <w:r>
        <w:rPr>
          <w:rFonts w:ascii="宋体" w:eastAsia="宋体" w:cs="Times New Roman"/>
          <w:color w:val="000000"/>
          <w:sz w:val="24"/>
          <w:szCs w:val="24"/>
          <w:highlight w:val="none"/>
        </w:rPr>
        <w:t>解释：</w:t>
      </w:r>
    </w:p>
    <w:p>
      <w:pPr>
        <w:spacing w:line="360" w:lineRule="auto"/>
        <w:ind w:firstLine="435"/>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2</w:t>
      </w:r>
      <w:r>
        <w:rPr>
          <w:rFonts w:ascii="宋体" w:eastAsia="宋体" w:cs="Times New Roman"/>
          <w:color w:val="000000"/>
          <w:sz w:val="24"/>
          <w:szCs w:val="24"/>
          <w:highlight w:val="none"/>
        </w:rPr>
        <w:t>.1</w:t>
      </w:r>
      <w:r>
        <w:rPr>
          <w:rFonts w:hint="eastAsia" w:ascii="宋体" w:eastAsia="宋体" w:cs="Times New Roman"/>
          <w:color w:val="000000"/>
          <w:sz w:val="24"/>
          <w:szCs w:val="24"/>
          <w:highlight w:val="none"/>
        </w:rPr>
        <w:t>.1</w:t>
      </w:r>
      <w:r>
        <w:rPr>
          <w:rFonts w:ascii="宋体" w:eastAsia="宋体" w:cs="Times New Roman"/>
          <w:color w:val="000000"/>
          <w:sz w:val="24"/>
          <w:szCs w:val="24"/>
          <w:highlight w:val="none"/>
        </w:rPr>
        <w:t>“合同”系指采购人和中标人签订的载明双方当事人所达成的协议，并包括所有的附件、附录和构成合同的其他文件。</w:t>
      </w:r>
    </w:p>
    <w:p>
      <w:pPr>
        <w:spacing w:line="360" w:lineRule="auto"/>
        <w:ind w:firstLine="435"/>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2.</w:t>
      </w:r>
      <w:r>
        <w:rPr>
          <w:rFonts w:ascii="宋体" w:eastAsia="宋体" w:cs="Times New Roman"/>
          <w:color w:val="000000"/>
          <w:sz w:val="24"/>
          <w:szCs w:val="24"/>
          <w:highlight w:val="none"/>
        </w:rPr>
        <w:t>1.2“合同价”系指根据合同约定，中标人在完全履行合同义务后</w:t>
      </w:r>
      <w:r>
        <w:rPr>
          <w:rFonts w:hint="eastAsia" w:ascii="宋体" w:eastAsia="宋体" w:cs="Times New Roman"/>
          <w:color w:val="000000"/>
          <w:sz w:val="24"/>
          <w:szCs w:val="24"/>
          <w:highlight w:val="none"/>
        </w:rPr>
        <w:t>，</w:t>
      </w:r>
      <w:r>
        <w:rPr>
          <w:rFonts w:ascii="宋体" w:eastAsia="宋体" w:cs="Times New Roman"/>
          <w:color w:val="000000"/>
          <w:sz w:val="24"/>
          <w:szCs w:val="24"/>
          <w:highlight w:val="none"/>
        </w:rPr>
        <w:t>采购人应支付给中标人的价格。</w:t>
      </w:r>
    </w:p>
    <w:p>
      <w:pPr>
        <w:spacing w:line="360" w:lineRule="auto"/>
        <w:ind w:firstLine="435"/>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2.</w:t>
      </w:r>
      <w:r>
        <w:rPr>
          <w:rFonts w:ascii="宋体" w:eastAsia="宋体" w:cs="Times New Roman"/>
          <w:color w:val="000000"/>
          <w:sz w:val="24"/>
          <w:szCs w:val="24"/>
          <w:highlight w:val="none"/>
        </w:rPr>
        <w:t>1.3“货物”系指</w:t>
      </w:r>
      <w:r>
        <w:rPr>
          <w:rFonts w:hint="eastAsia" w:ascii="宋体" w:eastAsia="宋体" w:cs="Times New Roman"/>
          <w:color w:val="000000"/>
          <w:sz w:val="24"/>
          <w:szCs w:val="24"/>
          <w:highlight w:val="none"/>
        </w:rPr>
        <w:t>中标人</w:t>
      </w:r>
      <w:r>
        <w:rPr>
          <w:rFonts w:ascii="宋体" w:eastAsia="宋体" w:cs="Times New Roman"/>
          <w:color w:val="000000"/>
          <w:sz w:val="24"/>
          <w:szCs w:val="24"/>
          <w:highlight w:val="none"/>
        </w:rPr>
        <w:t>根据合同约定应向采购人交付的一切</w:t>
      </w:r>
      <w:r>
        <w:rPr>
          <w:rFonts w:hint="eastAsia" w:ascii="宋体" w:eastAsia="宋体" w:cs="Times New Roman"/>
          <w:color w:val="000000"/>
          <w:sz w:val="24"/>
          <w:szCs w:val="24"/>
          <w:highlight w:val="none"/>
        </w:rPr>
        <w:t>各种形态和种类的物品，包括原材料、燃料、设备、</w:t>
      </w:r>
      <w:r>
        <w:rPr>
          <w:rFonts w:ascii="宋体" w:eastAsia="宋体" w:cs="Times New Roman"/>
          <w:color w:val="000000"/>
          <w:sz w:val="24"/>
          <w:szCs w:val="24"/>
          <w:highlight w:val="none"/>
        </w:rPr>
        <w:t>机械、仪表、备件</w:t>
      </w:r>
      <w:r>
        <w:rPr>
          <w:rFonts w:hint="eastAsia" w:ascii="宋体" w:eastAsia="宋体" w:cs="Times New Roman"/>
          <w:color w:val="000000"/>
          <w:sz w:val="24"/>
          <w:szCs w:val="24"/>
          <w:highlight w:val="none"/>
        </w:rPr>
        <w:t>、计算机软件、产品等</w:t>
      </w:r>
      <w:r>
        <w:rPr>
          <w:rFonts w:ascii="宋体" w:eastAsia="宋体" w:cs="Times New Roman"/>
          <w:color w:val="000000"/>
          <w:sz w:val="24"/>
          <w:szCs w:val="24"/>
          <w:highlight w:val="none"/>
        </w:rPr>
        <w:t>，并包括工具、手册等其他相关资料。</w:t>
      </w:r>
    </w:p>
    <w:p>
      <w:pPr>
        <w:spacing w:line="360" w:lineRule="auto"/>
        <w:ind w:firstLine="435"/>
        <w:rPr>
          <w:rFonts w:ascii="宋体" w:eastAsia="宋体" w:cs="Times New Roman"/>
          <w:color w:val="000000"/>
          <w:sz w:val="24"/>
          <w:szCs w:val="24"/>
          <w:highlight w:val="none"/>
        </w:rPr>
      </w:pPr>
      <w:bookmarkStart w:id="148" w:name="_Ref467378840"/>
      <w:r>
        <w:rPr>
          <w:rFonts w:hint="eastAsia" w:ascii="宋体" w:eastAsia="宋体" w:cs="Times New Roman"/>
          <w:color w:val="000000"/>
          <w:sz w:val="24"/>
          <w:szCs w:val="24"/>
          <w:highlight w:val="none"/>
        </w:rPr>
        <w:t>2.</w:t>
      </w:r>
      <w:r>
        <w:rPr>
          <w:rFonts w:ascii="宋体" w:eastAsia="宋体" w:cs="Times New Roman"/>
          <w:color w:val="000000"/>
          <w:sz w:val="24"/>
          <w:szCs w:val="24"/>
          <w:highlight w:val="none"/>
        </w:rPr>
        <w:t>1.</w:t>
      </w:r>
      <w:r>
        <w:rPr>
          <w:rFonts w:hint="eastAsia" w:ascii="宋体" w:eastAsia="宋体" w:cs="Times New Roman"/>
          <w:color w:val="000000"/>
          <w:sz w:val="24"/>
          <w:szCs w:val="24"/>
          <w:highlight w:val="none"/>
        </w:rPr>
        <w:t>4</w:t>
      </w:r>
      <w:r>
        <w:rPr>
          <w:rFonts w:ascii="宋体" w:eastAsia="宋体" w:cs="Times New Roman"/>
          <w:color w:val="000000"/>
          <w:sz w:val="24"/>
          <w:szCs w:val="24"/>
          <w:highlight w:val="none"/>
        </w:rPr>
        <w:t>“</w:t>
      </w:r>
      <w:r>
        <w:rPr>
          <w:rFonts w:hint="eastAsia" w:ascii="宋体" w:eastAsia="宋体" w:cs="Times New Roman"/>
          <w:color w:val="000000"/>
          <w:sz w:val="24"/>
          <w:szCs w:val="24"/>
          <w:highlight w:val="none"/>
        </w:rPr>
        <w:t>甲方</w:t>
      </w:r>
      <w:r>
        <w:rPr>
          <w:rFonts w:ascii="宋体" w:eastAsia="宋体" w:cs="Times New Roman"/>
          <w:color w:val="000000"/>
          <w:sz w:val="24"/>
          <w:szCs w:val="24"/>
          <w:highlight w:val="none"/>
        </w:rPr>
        <w:t>”系指与</w:t>
      </w:r>
      <w:r>
        <w:rPr>
          <w:rFonts w:hint="eastAsia" w:ascii="宋体" w:eastAsia="宋体" w:cs="Times New Roman"/>
          <w:color w:val="000000"/>
          <w:sz w:val="24"/>
          <w:szCs w:val="24"/>
          <w:highlight w:val="none"/>
        </w:rPr>
        <w:t>中标人</w:t>
      </w:r>
      <w:r>
        <w:rPr>
          <w:rFonts w:ascii="宋体" w:eastAsia="宋体" w:cs="Times New Roman"/>
          <w:color w:val="000000"/>
          <w:sz w:val="24"/>
          <w:szCs w:val="24"/>
          <w:highlight w:val="none"/>
        </w:rPr>
        <w:t>签署合同的采购人</w:t>
      </w:r>
      <w:bookmarkEnd w:id="148"/>
      <w:r>
        <w:rPr>
          <w:rFonts w:hint="eastAsia" w:ascii="宋体" w:eastAsia="宋体" w:cs="Times New Roman"/>
          <w:color w:val="000000"/>
          <w:sz w:val="24"/>
          <w:szCs w:val="24"/>
          <w:highlight w:val="none"/>
        </w:rPr>
        <w:t>；采购人委托采购代理机构代表其与乙方签订合同的，采购人的授权委托书作为合同附件。</w:t>
      </w:r>
    </w:p>
    <w:p>
      <w:pPr>
        <w:spacing w:line="360" w:lineRule="auto"/>
        <w:ind w:firstLine="435"/>
        <w:rPr>
          <w:rFonts w:ascii="宋体" w:eastAsia="宋体" w:cs="Times New Roman"/>
          <w:color w:val="000000"/>
          <w:sz w:val="24"/>
          <w:szCs w:val="24"/>
          <w:highlight w:val="none"/>
        </w:rPr>
      </w:pPr>
      <w:bookmarkStart w:id="149" w:name="_Ref467379400"/>
      <w:r>
        <w:rPr>
          <w:rFonts w:hint="eastAsia" w:ascii="宋体" w:eastAsia="宋体" w:cs="Times New Roman"/>
          <w:color w:val="000000"/>
          <w:sz w:val="24"/>
          <w:szCs w:val="24"/>
          <w:highlight w:val="none"/>
        </w:rPr>
        <w:t>2.</w:t>
      </w:r>
      <w:r>
        <w:rPr>
          <w:rFonts w:ascii="宋体" w:eastAsia="宋体" w:cs="Times New Roman"/>
          <w:color w:val="000000"/>
          <w:sz w:val="24"/>
          <w:szCs w:val="24"/>
          <w:highlight w:val="none"/>
        </w:rPr>
        <w:t>1.</w:t>
      </w:r>
      <w:r>
        <w:rPr>
          <w:rFonts w:hint="eastAsia" w:ascii="宋体" w:eastAsia="宋体" w:cs="Times New Roman"/>
          <w:color w:val="000000"/>
          <w:sz w:val="24"/>
          <w:szCs w:val="24"/>
          <w:highlight w:val="none"/>
        </w:rPr>
        <w:t>5</w:t>
      </w:r>
      <w:r>
        <w:rPr>
          <w:rFonts w:ascii="宋体" w:eastAsia="宋体" w:cs="Times New Roman"/>
          <w:color w:val="000000"/>
          <w:sz w:val="24"/>
          <w:szCs w:val="24"/>
          <w:highlight w:val="none"/>
        </w:rPr>
        <w:t>“乙方”系指根据合同约定交付货物的中标人</w:t>
      </w:r>
      <w:bookmarkEnd w:id="149"/>
      <w:r>
        <w:rPr>
          <w:rFonts w:hint="eastAsia" w:ascii="宋体" w:eastAsia="宋体" w:cs="Times New Roman"/>
          <w:color w:val="000000"/>
          <w:sz w:val="24"/>
          <w:szCs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35"/>
        <w:rPr>
          <w:rFonts w:ascii="宋体" w:eastAsia="宋体" w:cs="Times New Roman"/>
          <w:color w:val="000000"/>
          <w:sz w:val="24"/>
          <w:szCs w:val="24"/>
          <w:highlight w:val="none"/>
        </w:rPr>
      </w:pPr>
      <w:bookmarkStart w:id="150" w:name="_Ref467379436"/>
      <w:r>
        <w:rPr>
          <w:rFonts w:hint="eastAsia" w:ascii="宋体" w:eastAsia="宋体" w:cs="Times New Roman"/>
          <w:color w:val="000000"/>
          <w:sz w:val="24"/>
          <w:szCs w:val="24"/>
          <w:highlight w:val="none"/>
        </w:rPr>
        <w:t>2.</w:t>
      </w:r>
      <w:r>
        <w:rPr>
          <w:rFonts w:ascii="宋体" w:eastAsia="宋体" w:cs="Times New Roman"/>
          <w:color w:val="000000"/>
          <w:sz w:val="24"/>
          <w:szCs w:val="24"/>
          <w:highlight w:val="none"/>
        </w:rPr>
        <w:t>1.</w:t>
      </w:r>
      <w:r>
        <w:rPr>
          <w:rFonts w:hint="eastAsia" w:ascii="宋体" w:eastAsia="宋体" w:cs="Times New Roman"/>
          <w:color w:val="000000"/>
          <w:sz w:val="24"/>
          <w:szCs w:val="24"/>
          <w:highlight w:val="none"/>
        </w:rPr>
        <w:t>6</w:t>
      </w:r>
      <w:r>
        <w:rPr>
          <w:rFonts w:ascii="宋体" w:eastAsia="宋体" w:cs="Times New Roman"/>
          <w:color w:val="000000"/>
          <w:sz w:val="24"/>
          <w:szCs w:val="24"/>
          <w:highlight w:val="none"/>
        </w:rPr>
        <w:t>“现场”系指合同约定货物将要运至</w:t>
      </w:r>
      <w:r>
        <w:rPr>
          <w:rFonts w:hint="eastAsia" w:ascii="宋体" w:eastAsia="宋体" w:cs="Times New Roman"/>
          <w:color w:val="000000"/>
          <w:sz w:val="24"/>
          <w:szCs w:val="24"/>
          <w:highlight w:val="none"/>
        </w:rPr>
        <w:t>或者</w:t>
      </w:r>
      <w:r>
        <w:rPr>
          <w:rFonts w:ascii="宋体" w:eastAsia="宋体" w:cs="Times New Roman"/>
          <w:color w:val="000000"/>
          <w:sz w:val="24"/>
          <w:szCs w:val="24"/>
          <w:highlight w:val="none"/>
        </w:rPr>
        <w:t>安装的地点。</w:t>
      </w:r>
      <w:bookmarkEnd w:id="150"/>
    </w:p>
    <w:p>
      <w:pPr>
        <w:spacing w:line="360" w:lineRule="auto"/>
        <w:ind w:firstLine="437"/>
        <w:outlineLvl w:val="2"/>
        <w:rPr>
          <w:rFonts w:ascii="宋体" w:eastAsia="宋体" w:cs="Times New Roman"/>
          <w:b/>
          <w:bCs/>
          <w:color w:val="000000"/>
          <w:sz w:val="24"/>
          <w:szCs w:val="24"/>
          <w:highlight w:val="none"/>
          <w:lang w:val="zh-CN"/>
        </w:rPr>
      </w:pPr>
      <w:bookmarkStart w:id="151" w:name="_Toc259093670"/>
      <w:bookmarkStart w:id="152" w:name="_Toc487900350"/>
      <w:bookmarkStart w:id="153" w:name="_Toc27635"/>
      <w:bookmarkStart w:id="154" w:name="_Toc279701241"/>
      <w:bookmarkStart w:id="155" w:name="_Toc32504"/>
      <w:bookmarkStart w:id="156" w:name="_Toc13336"/>
      <w:r>
        <w:rPr>
          <w:rFonts w:hint="eastAsia" w:ascii="宋体" w:eastAsia="宋体" w:cs="Times New Roman"/>
          <w:b/>
          <w:bCs/>
          <w:color w:val="000000"/>
          <w:sz w:val="24"/>
          <w:szCs w:val="24"/>
          <w:highlight w:val="none"/>
          <w:lang w:val="zh-CN"/>
        </w:rPr>
        <w:t>2.</w:t>
      </w:r>
      <w:r>
        <w:rPr>
          <w:rFonts w:ascii="宋体" w:eastAsia="宋体" w:cs="Times New Roman"/>
          <w:b/>
          <w:bCs/>
          <w:color w:val="000000"/>
          <w:sz w:val="24"/>
          <w:szCs w:val="24"/>
          <w:highlight w:val="none"/>
          <w:lang w:val="zh-CN"/>
        </w:rPr>
        <w:t>2 技术规范</w:t>
      </w:r>
      <w:bookmarkEnd w:id="151"/>
      <w:bookmarkEnd w:id="152"/>
      <w:bookmarkEnd w:id="153"/>
      <w:bookmarkEnd w:id="154"/>
      <w:bookmarkEnd w:id="155"/>
      <w:bookmarkEnd w:id="156"/>
    </w:p>
    <w:p>
      <w:pPr>
        <w:spacing w:line="360" w:lineRule="auto"/>
        <w:ind w:firstLine="435"/>
        <w:rPr>
          <w:rFonts w:ascii="宋体" w:eastAsia="宋体" w:cs="Times New Roman"/>
          <w:color w:val="000000"/>
          <w:sz w:val="24"/>
          <w:szCs w:val="24"/>
          <w:highlight w:val="none"/>
        </w:rPr>
      </w:pPr>
      <w:r>
        <w:rPr>
          <w:rFonts w:ascii="宋体" w:eastAsia="宋体" w:cs="Times New Roman"/>
          <w:color w:val="000000"/>
          <w:sz w:val="24"/>
          <w:szCs w:val="24"/>
          <w:highlight w:val="none"/>
        </w:rPr>
        <w:t>货物所应遵守的技术规范应与采购文件规定的技术规范和技术规范附件(如果有的话)及其技术规范偏差表(如果被甲方接受的话)相一致</w:t>
      </w:r>
      <w:r>
        <w:rPr>
          <w:rFonts w:hint="eastAsia" w:ascii="宋体" w:eastAsia="宋体" w:cs="Times New Roman"/>
          <w:color w:val="000000"/>
          <w:sz w:val="24"/>
          <w:szCs w:val="24"/>
          <w:highlight w:val="none"/>
        </w:rPr>
        <w:t>；</w:t>
      </w:r>
      <w:r>
        <w:rPr>
          <w:rFonts w:ascii="宋体" w:eastAsia="宋体" w:cs="Times New Roman"/>
          <w:color w:val="000000"/>
          <w:sz w:val="24"/>
          <w:szCs w:val="24"/>
          <w:highlight w:val="none"/>
        </w:rPr>
        <w:t>如果采购文件中没有技术规范的相应说明，那么应以国家有关部门最新颁布的相应标准</w:t>
      </w:r>
      <w:r>
        <w:rPr>
          <w:rFonts w:hint="eastAsia" w:ascii="宋体" w:eastAsia="宋体" w:cs="Times New Roman"/>
          <w:color w:val="000000"/>
          <w:sz w:val="24"/>
          <w:szCs w:val="24"/>
          <w:highlight w:val="none"/>
        </w:rPr>
        <w:t>和</w:t>
      </w:r>
      <w:r>
        <w:rPr>
          <w:rFonts w:ascii="宋体" w:eastAsia="宋体" w:cs="Times New Roman"/>
          <w:color w:val="000000"/>
          <w:sz w:val="24"/>
          <w:szCs w:val="24"/>
          <w:highlight w:val="none"/>
        </w:rPr>
        <w:t>规范为准。</w:t>
      </w:r>
    </w:p>
    <w:p>
      <w:pPr>
        <w:spacing w:line="360" w:lineRule="auto"/>
        <w:ind w:firstLine="437"/>
        <w:outlineLvl w:val="2"/>
        <w:rPr>
          <w:rFonts w:ascii="宋体" w:eastAsia="宋体" w:cs="Times New Roman"/>
          <w:b/>
          <w:bCs/>
          <w:color w:val="000000"/>
          <w:sz w:val="24"/>
          <w:szCs w:val="24"/>
          <w:highlight w:val="none"/>
          <w:lang w:val="zh-CN"/>
        </w:rPr>
      </w:pPr>
      <w:bookmarkStart w:id="157" w:name="_Toc9829"/>
      <w:bookmarkStart w:id="158" w:name="_Toc279701242"/>
      <w:bookmarkStart w:id="159" w:name="_Toc259093671"/>
      <w:bookmarkStart w:id="160" w:name="_Toc27853"/>
      <w:bookmarkStart w:id="161" w:name="_Toc31634"/>
      <w:bookmarkStart w:id="162" w:name="_Toc487900351"/>
      <w:r>
        <w:rPr>
          <w:rFonts w:hint="eastAsia" w:ascii="宋体" w:eastAsia="宋体" w:cs="Times New Roman"/>
          <w:b/>
          <w:bCs/>
          <w:color w:val="000000"/>
          <w:sz w:val="24"/>
          <w:szCs w:val="24"/>
          <w:highlight w:val="none"/>
          <w:lang w:val="zh-CN"/>
        </w:rPr>
        <w:t>2.</w:t>
      </w:r>
      <w:r>
        <w:rPr>
          <w:rFonts w:ascii="宋体" w:eastAsia="宋体" w:cs="Times New Roman"/>
          <w:b/>
          <w:bCs/>
          <w:color w:val="000000"/>
          <w:sz w:val="24"/>
          <w:szCs w:val="24"/>
          <w:highlight w:val="none"/>
          <w:lang w:val="zh-CN"/>
        </w:rPr>
        <w:t>3 知识产权</w:t>
      </w:r>
      <w:bookmarkEnd w:id="157"/>
      <w:bookmarkEnd w:id="158"/>
      <w:bookmarkEnd w:id="159"/>
      <w:bookmarkEnd w:id="160"/>
      <w:bookmarkEnd w:id="161"/>
      <w:bookmarkEnd w:id="162"/>
    </w:p>
    <w:p>
      <w:pPr>
        <w:spacing w:line="360" w:lineRule="auto"/>
        <w:ind w:firstLine="435"/>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2.3.1乙</w:t>
      </w:r>
      <w:r>
        <w:rPr>
          <w:rFonts w:ascii="宋体" w:eastAsia="宋体" w:cs="Times New Roman"/>
          <w:color w:val="000000"/>
          <w:sz w:val="24"/>
          <w:szCs w:val="24"/>
          <w:highlight w:val="none"/>
        </w:rPr>
        <w:t>方应保证甲方在使用该货物或其任何一部分时不受任何第三方提出的侵犯其著作权、商标权、专利权等知识产权方面的起诉</w:t>
      </w:r>
      <w:r>
        <w:rPr>
          <w:rFonts w:hint="eastAsia" w:ascii="宋体" w:eastAsia="宋体" w:cs="Times New Roman"/>
          <w:color w:val="000000"/>
          <w:sz w:val="24"/>
          <w:szCs w:val="24"/>
          <w:highlight w:val="none"/>
        </w:rPr>
        <w:t>；</w:t>
      </w:r>
      <w:r>
        <w:rPr>
          <w:rFonts w:ascii="宋体" w:eastAsia="宋体" w:cs="Times New Roman"/>
          <w:color w:val="000000"/>
          <w:sz w:val="24"/>
          <w:szCs w:val="24"/>
          <w:highlight w:val="none"/>
        </w:rPr>
        <w:t>如果任何第三方提出侵权</w:t>
      </w:r>
      <w:r>
        <w:rPr>
          <w:rFonts w:hint="eastAsia" w:ascii="宋体" w:eastAsia="宋体" w:cs="Times New Roman"/>
          <w:color w:val="000000"/>
          <w:sz w:val="24"/>
          <w:szCs w:val="24"/>
          <w:highlight w:val="none"/>
        </w:rPr>
        <w:t>指控</w:t>
      </w:r>
      <w:r>
        <w:rPr>
          <w:rFonts w:ascii="宋体" w:eastAsia="宋体" w:cs="Times New Roman"/>
          <w:color w:val="000000"/>
          <w:sz w:val="24"/>
          <w:szCs w:val="24"/>
          <w:highlight w:val="none"/>
        </w:rPr>
        <w:t>，那么乙方须与该第三方交涉并承担由此发生的一切责任、费用和赔偿</w:t>
      </w:r>
      <w:r>
        <w:rPr>
          <w:rFonts w:hint="eastAsia" w:ascii="宋体" w:eastAsia="宋体" w:cs="Times New Roman"/>
          <w:color w:val="000000"/>
          <w:sz w:val="24"/>
          <w:szCs w:val="24"/>
          <w:highlight w:val="none"/>
        </w:rPr>
        <w:t>；</w:t>
      </w:r>
    </w:p>
    <w:p>
      <w:pPr>
        <w:spacing w:line="360" w:lineRule="auto"/>
        <w:ind w:firstLine="435"/>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2.3.2具有知识产权的计算机软件等货物的知识产权归属，</w:t>
      </w:r>
      <w:r>
        <w:rPr>
          <w:rFonts w:ascii="宋体" w:eastAsia="宋体" w:cs="Times New Roman"/>
          <w:color w:val="000000"/>
          <w:sz w:val="24"/>
          <w:szCs w:val="24"/>
          <w:highlight w:val="none"/>
        </w:rPr>
        <w:t>详见</w:t>
      </w:r>
      <w:r>
        <w:rPr>
          <w:rFonts w:ascii="宋体" w:eastAsia="宋体" w:cs="Times New Roman"/>
          <w:b/>
          <w:i/>
          <w:color w:val="000000"/>
          <w:sz w:val="24"/>
          <w:szCs w:val="24"/>
          <w:highlight w:val="none"/>
          <w:u w:val="single"/>
        </w:rPr>
        <w:t>合同专用条款</w:t>
      </w:r>
      <w:r>
        <w:rPr>
          <w:rFonts w:ascii="宋体" w:eastAsia="宋体" w:cs="Times New Roman"/>
          <w:color w:val="000000"/>
          <w:sz w:val="24"/>
          <w:szCs w:val="24"/>
          <w:highlight w:val="none"/>
        </w:rPr>
        <w:t>。</w:t>
      </w:r>
    </w:p>
    <w:p>
      <w:pPr>
        <w:spacing w:line="360" w:lineRule="auto"/>
        <w:ind w:firstLine="437"/>
        <w:outlineLvl w:val="2"/>
        <w:rPr>
          <w:rFonts w:ascii="宋体" w:eastAsia="宋体" w:cs="Times New Roman"/>
          <w:b/>
          <w:color w:val="000000"/>
          <w:sz w:val="24"/>
          <w:szCs w:val="24"/>
          <w:highlight w:val="none"/>
        </w:rPr>
      </w:pPr>
      <w:bookmarkStart w:id="163" w:name="_Toc11932"/>
      <w:bookmarkStart w:id="164" w:name="_Toc29149"/>
      <w:bookmarkStart w:id="165" w:name="_Toc4194"/>
      <w:r>
        <w:rPr>
          <w:rFonts w:hint="eastAsia" w:ascii="宋体" w:eastAsia="宋体" w:cs="Times New Roman"/>
          <w:b/>
          <w:bCs/>
          <w:color w:val="000000"/>
          <w:sz w:val="24"/>
          <w:szCs w:val="24"/>
          <w:highlight w:val="none"/>
          <w:lang w:val="zh-CN"/>
        </w:rPr>
        <w:t>2.4包装和装运</w:t>
      </w:r>
      <w:bookmarkEnd w:id="163"/>
      <w:bookmarkEnd w:id="164"/>
      <w:bookmarkEnd w:id="165"/>
    </w:p>
    <w:p>
      <w:pPr>
        <w:spacing w:line="360" w:lineRule="auto"/>
        <w:ind w:firstLine="435"/>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2.4.1除</w:t>
      </w:r>
      <w:r>
        <w:rPr>
          <w:rFonts w:ascii="宋体" w:eastAsia="宋体" w:cs="Times New Roman"/>
          <w:b/>
          <w:i/>
          <w:color w:val="000000"/>
          <w:sz w:val="24"/>
          <w:szCs w:val="24"/>
          <w:highlight w:val="none"/>
          <w:u w:val="single"/>
        </w:rPr>
        <w:t>合同专用条款</w:t>
      </w:r>
      <w:r>
        <w:rPr>
          <w:rFonts w:hint="eastAsia" w:ascii="宋体" w:eastAsia="宋体" w:cs="Times New Roman"/>
          <w:color w:val="000000"/>
          <w:sz w:val="24"/>
          <w:szCs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360" w:lineRule="auto"/>
        <w:ind w:firstLine="435"/>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2.4.2装运货物的要求和通知，详见</w:t>
      </w:r>
      <w:r>
        <w:rPr>
          <w:rFonts w:ascii="宋体" w:eastAsia="宋体" w:cs="Times New Roman"/>
          <w:b/>
          <w:i/>
          <w:color w:val="000000"/>
          <w:sz w:val="24"/>
          <w:szCs w:val="24"/>
          <w:highlight w:val="none"/>
          <w:u w:val="single"/>
        </w:rPr>
        <w:t>合同专用条款</w:t>
      </w:r>
      <w:r>
        <w:rPr>
          <w:rFonts w:hint="eastAsia" w:ascii="宋体" w:eastAsia="宋体" w:cs="Times New Roman"/>
          <w:color w:val="000000"/>
          <w:sz w:val="24"/>
          <w:szCs w:val="24"/>
          <w:highlight w:val="none"/>
        </w:rPr>
        <w:t>。</w:t>
      </w:r>
    </w:p>
    <w:p>
      <w:pPr>
        <w:spacing w:line="360" w:lineRule="auto"/>
        <w:ind w:firstLine="437"/>
        <w:outlineLvl w:val="2"/>
        <w:rPr>
          <w:rFonts w:ascii="宋体" w:eastAsia="宋体" w:cs="Times New Roman"/>
          <w:b/>
          <w:bCs/>
          <w:color w:val="000000"/>
          <w:sz w:val="24"/>
          <w:szCs w:val="24"/>
          <w:highlight w:val="none"/>
          <w:lang w:val="zh-CN"/>
        </w:rPr>
      </w:pPr>
      <w:bookmarkStart w:id="166" w:name="_Toc487900354"/>
      <w:bookmarkStart w:id="167" w:name="_Ref467379536"/>
      <w:bookmarkStart w:id="168" w:name="_Toc279701245"/>
      <w:bookmarkStart w:id="169" w:name="_Ref467378591"/>
      <w:bookmarkStart w:id="170" w:name="_Ref467378541"/>
      <w:bookmarkStart w:id="171" w:name="_Ref467379527"/>
      <w:bookmarkStart w:id="172" w:name="_Toc259093674"/>
      <w:bookmarkStart w:id="173" w:name="_Ref467379542"/>
      <w:bookmarkStart w:id="174" w:name="_Toc30272"/>
      <w:bookmarkStart w:id="175" w:name="_Toc26182"/>
      <w:bookmarkStart w:id="176" w:name="_Toc19074"/>
      <w:r>
        <w:rPr>
          <w:rFonts w:hint="eastAsia" w:ascii="宋体" w:eastAsia="宋体" w:cs="Times New Roman"/>
          <w:b/>
          <w:bCs/>
          <w:color w:val="000000"/>
          <w:sz w:val="24"/>
          <w:szCs w:val="24"/>
          <w:highlight w:val="none"/>
          <w:lang w:val="zh-CN"/>
        </w:rPr>
        <w:t>2.</w:t>
      </w:r>
      <w:bookmarkEnd w:id="166"/>
      <w:bookmarkEnd w:id="167"/>
      <w:bookmarkEnd w:id="168"/>
      <w:bookmarkEnd w:id="169"/>
      <w:bookmarkEnd w:id="170"/>
      <w:bookmarkEnd w:id="171"/>
      <w:bookmarkEnd w:id="172"/>
      <w:bookmarkEnd w:id="173"/>
      <w:r>
        <w:rPr>
          <w:rFonts w:hint="eastAsia" w:ascii="宋体" w:eastAsia="宋体" w:cs="Times New Roman"/>
          <w:b/>
          <w:bCs/>
          <w:color w:val="000000"/>
          <w:sz w:val="24"/>
          <w:szCs w:val="24"/>
          <w:highlight w:val="none"/>
          <w:lang w:val="zh-CN"/>
        </w:rPr>
        <w:t>5履约检查和问题反馈</w:t>
      </w:r>
      <w:bookmarkEnd w:id="174"/>
      <w:bookmarkEnd w:id="175"/>
      <w:bookmarkEnd w:id="176"/>
    </w:p>
    <w:p>
      <w:pPr>
        <w:spacing w:line="360" w:lineRule="auto"/>
        <w:ind w:firstLine="435"/>
        <w:rPr>
          <w:rFonts w:ascii="宋体" w:eastAsia="宋体" w:cs="Times New Roman"/>
          <w:color w:val="000000"/>
          <w:sz w:val="24"/>
          <w:szCs w:val="24"/>
          <w:highlight w:val="none"/>
        </w:rPr>
      </w:pPr>
      <w:bookmarkStart w:id="177" w:name="_Ref467379657"/>
      <w:r>
        <w:rPr>
          <w:rFonts w:hint="eastAsia" w:ascii="宋体" w:eastAsia="宋体" w:cs="Times New Roman"/>
          <w:color w:val="000000"/>
          <w:sz w:val="24"/>
          <w:szCs w:val="24"/>
          <w:highlight w:val="none"/>
        </w:rPr>
        <w:t>2.5</w:t>
      </w:r>
      <w:r>
        <w:rPr>
          <w:rFonts w:ascii="宋体" w:eastAsia="宋体" w:cs="Times New Roman"/>
          <w:color w:val="000000"/>
          <w:sz w:val="24"/>
          <w:szCs w:val="24"/>
          <w:highlight w:val="none"/>
        </w:rPr>
        <w:t>.1</w:t>
      </w:r>
      <w:bookmarkEnd w:id="177"/>
      <w:bookmarkStart w:id="178" w:name="_Toc186431854"/>
      <w:bookmarkStart w:id="179" w:name="_Toc487900357"/>
      <w:bookmarkStart w:id="180" w:name="_Ref467379793"/>
      <w:bookmarkStart w:id="181" w:name="_Ref467379807"/>
      <w:bookmarkStart w:id="182" w:name="_Toc259093676"/>
      <w:bookmarkStart w:id="183" w:name="_Toc279701247"/>
      <w:r>
        <w:rPr>
          <w:rFonts w:ascii="宋体" w:eastAsia="宋体" w:cs="Times New Roman"/>
          <w:color w:val="000000"/>
          <w:sz w:val="24"/>
          <w:szCs w:val="24"/>
          <w:highlight w:val="none"/>
        </w:rPr>
        <w:t>甲方</w:t>
      </w:r>
      <w:r>
        <w:rPr>
          <w:rFonts w:hint="eastAsia" w:ascii="宋体" w:eastAsia="宋体" w:cs="Times New Roman"/>
          <w:color w:val="000000"/>
          <w:sz w:val="24"/>
          <w:szCs w:val="24"/>
          <w:highlight w:val="none"/>
        </w:rPr>
        <w:t>有权</w:t>
      </w:r>
      <w:r>
        <w:rPr>
          <w:rFonts w:ascii="宋体" w:eastAsia="宋体" w:cs="Times New Roman"/>
          <w:color w:val="000000"/>
          <w:sz w:val="24"/>
          <w:szCs w:val="24"/>
          <w:highlight w:val="none"/>
        </w:rPr>
        <w:t>在其认为必要时</w:t>
      </w:r>
      <w:r>
        <w:rPr>
          <w:rFonts w:hint="eastAsia" w:ascii="宋体" w:eastAsia="宋体" w:cs="Times New Roman"/>
          <w:color w:val="000000"/>
          <w:sz w:val="24"/>
          <w:szCs w:val="24"/>
          <w:highlight w:val="none"/>
        </w:rPr>
        <w:t>，对乙方是否能够按照合同约定交付货物进行履约检查，以确保乙方所交付的货物能够依约满足甲方项目需求，但不得因履约检查妨碍乙方的正常工作，乙方应予积极配合；</w:t>
      </w:r>
    </w:p>
    <w:p>
      <w:pPr>
        <w:spacing w:line="360" w:lineRule="auto"/>
        <w:ind w:firstLine="435"/>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2.5.2合同履行期间，甲方有权将履行过程中出现的问题反馈给乙方，双方当事人应以书面形式约定需要完善和改进的内容</w:t>
      </w:r>
      <w:bookmarkEnd w:id="178"/>
      <w:bookmarkStart w:id="184" w:name="_Toc186431855"/>
      <w:r>
        <w:rPr>
          <w:rFonts w:hint="eastAsia" w:ascii="宋体" w:eastAsia="宋体" w:cs="Times New Roman"/>
          <w:color w:val="000000"/>
          <w:sz w:val="24"/>
          <w:szCs w:val="24"/>
          <w:highlight w:val="none"/>
        </w:rPr>
        <w:t>。</w:t>
      </w:r>
    </w:p>
    <w:bookmarkEnd w:id="184"/>
    <w:p>
      <w:pPr>
        <w:spacing w:line="360" w:lineRule="auto"/>
        <w:ind w:firstLine="437"/>
        <w:outlineLvl w:val="2"/>
        <w:rPr>
          <w:rFonts w:ascii="宋体" w:eastAsia="宋体" w:cs="Times New Roman"/>
          <w:b/>
          <w:bCs/>
          <w:color w:val="000000"/>
          <w:sz w:val="24"/>
          <w:szCs w:val="24"/>
          <w:highlight w:val="none"/>
          <w:lang w:val="zh-CN"/>
        </w:rPr>
      </w:pPr>
      <w:bookmarkStart w:id="185" w:name="_Toc7836"/>
      <w:bookmarkStart w:id="186" w:name="_Toc28451"/>
      <w:bookmarkStart w:id="187" w:name="_Toc19219"/>
      <w:r>
        <w:rPr>
          <w:rFonts w:hint="eastAsia" w:ascii="宋体" w:eastAsia="宋体" w:cs="Times New Roman"/>
          <w:b/>
          <w:bCs/>
          <w:color w:val="000000"/>
          <w:sz w:val="24"/>
          <w:szCs w:val="24"/>
          <w:highlight w:val="none"/>
          <w:lang w:val="zh-CN"/>
        </w:rPr>
        <w:t xml:space="preserve">2.6 </w:t>
      </w:r>
      <w:r>
        <w:rPr>
          <w:rFonts w:ascii="宋体" w:eastAsia="宋体" w:cs="Times New Roman"/>
          <w:b/>
          <w:bCs/>
          <w:color w:val="000000"/>
          <w:sz w:val="24"/>
          <w:szCs w:val="24"/>
          <w:highlight w:val="none"/>
          <w:lang w:val="zh-CN"/>
        </w:rPr>
        <w:t>结算方式和付款条件</w:t>
      </w:r>
      <w:bookmarkEnd w:id="179"/>
      <w:bookmarkEnd w:id="180"/>
      <w:bookmarkEnd w:id="181"/>
      <w:bookmarkEnd w:id="182"/>
      <w:bookmarkEnd w:id="183"/>
      <w:bookmarkEnd w:id="185"/>
      <w:bookmarkEnd w:id="186"/>
      <w:bookmarkEnd w:id="187"/>
    </w:p>
    <w:p>
      <w:pPr>
        <w:spacing w:line="360" w:lineRule="auto"/>
        <w:ind w:firstLine="435"/>
        <w:rPr>
          <w:rFonts w:ascii="宋体" w:eastAsia="宋体" w:cs="Times New Roman"/>
          <w:color w:val="000000"/>
          <w:sz w:val="24"/>
          <w:szCs w:val="24"/>
          <w:highlight w:val="none"/>
        </w:rPr>
      </w:pPr>
      <w:r>
        <w:rPr>
          <w:rFonts w:ascii="宋体" w:eastAsia="宋体" w:cs="Times New Roman"/>
          <w:color w:val="000000"/>
          <w:sz w:val="24"/>
          <w:szCs w:val="24"/>
          <w:highlight w:val="none"/>
        </w:rPr>
        <w:t>详见</w:t>
      </w:r>
      <w:r>
        <w:rPr>
          <w:rFonts w:ascii="宋体" w:eastAsia="宋体" w:cs="Times New Roman"/>
          <w:b/>
          <w:i/>
          <w:color w:val="000000"/>
          <w:sz w:val="24"/>
          <w:szCs w:val="24"/>
          <w:highlight w:val="none"/>
          <w:u w:val="single"/>
        </w:rPr>
        <w:t>合同专用条款</w:t>
      </w:r>
      <w:r>
        <w:rPr>
          <w:rFonts w:ascii="宋体" w:eastAsia="宋体" w:cs="Times New Roman"/>
          <w:color w:val="000000"/>
          <w:sz w:val="24"/>
          <w:szCs w:val="24"/>
          <w:highlight w:val="none"/>
        </w:rPr>
        <w:t>。</w:t>
      </w:r>
    </w:p>
    <w:p>
      <w:pPr>
        <w:spacing w:line="360" w:lineRule="auto"/>
        <w:ind w:firstLine="437"/>
        <w:outlineLvl w:val="2"/>
        <w:rPr>
          <w:rFonts w:ascii="宋体" w:eastAsia="宋体" w:cs="Times New Roman"/>
          <w:b/>
          <w:bCs/>
          <w:color w:val="000000"/>
          <w:sz w:val="24"/>
          <w:szCs w:val="24"/>
          <w:highlight w:val="none"/>
          <w:lang w:val="zh-CN"/>
        </w:rPr>
      </w:pPr>
      <w:bookmarkStart w:id="188" w:name="_Toc279701248"/>
      <w:bookmarkStart w:id="189" w:name="_Toc259093677"/>
      <w:bookmarkStart w:id="190" w:name="_Ref467379863"/>
      <w:bookmarkStart w:id="191" w:name="_Toc487900358"/>
      <w:bookmarkStart w:id="192" w:name="_Ref467379923"/>
      <w:bookmarkStart w:id="193" w:name="_Ref467379852"/>
      <w:bookmarkStart w:id="194" w:name="_Toc3225"/>
      <w:bookmarkStart w:id="195" w:name="_Toc16110"/>
      <w:bookmarkStart w:id="196" w:name="_Toc774"/>
      <w:r>
        <w:rPr>
          <w:rFonts w:hint="eastAsia" w:ascii="宋体" w:eastAsia="宋体" w:cs="Times New Roman"/>
          <w:b/>
          <w:bCs/>
          <w:color w:val="000000"/>
          <w:sz w:val="24"/>
          <w:szCs w:val="24"/>
          <w:highlight w:val="none"/>
          <w:lang w:val="zh-CN"/>
        </w:rPr>
        <w:t xml:space="preserve">2.7 </w:t>
      </w:r>
      <w:r>
        <w:rPr>
          <w:rFonts w:ascii="宋体" w:eastAsia="宋体" w:cs="Times New Roman"/>
          <w:b/>
          <w:bCs/>
          <w:color w:val="000000"/>
          <w:sz w:val="24"/>
          <w:szCs w:val="24"/>
          <w:highlight w:val="none"/>
          <w:lang w:val="zh-CN"/>
        </w:rPr>
        <w:t>技术资料</w:t>
      </w:r>
      <w:bookmarkEnd w:id="188"/>
      <w:bookmarkEnd w:id="189"/>
      <w:bookmarkEnd w:id="190"/>
      <w:bookmarkEnd w:id="191"/>
      <w:bookmarkEnd w:id="192"/>
      <w:bookmarkEnd w:id="193"/>
      <w:r>
        <w:rPr>
          <w:rFonts w:ascii="宋体" w:eastAsia="宋体" w:cs="Times New Roman"/>
          <w:b/>
          <w:bCs/>
          <w:color w:val="000000"/>
          <w:sz w:val="24"/>
          <w:szCs w:val="24"/>
          <w:highlight w:val="none"/>
          <w:lang w:val="zh-CN"/>
        </w:rPr>
        <w:t>和保密义务</w:t>
      </w:r>
      <w:bookmarkEnd w:id="194"/>
      <w:bookmarkEnd w:id="195"/>
      <w:bookmarkEnd w:id="196"/>
    </w:p>
    <w:p>
      <w:pPr>
        <w:spacing w:line="360" w:lineRule="auto"/>
        <w:ind w:firstLine="435"/>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2.7</w:t>
      </w:r>
      <w:r>
        <w:rPr>
          <w:rFonts w:ascii="宋体" w:eastAsia="宋体" w:cs="Times New Roman"/>
          <w:color w:val="000000"/>
          <w:sz w:val="24"/>
          <w:szCs w:val="24"/>
          <w:highlight w:val="none"/>
        </w:rPr>
        <w:t>.1</w:t>
      </w:r>
      <w:r>
        <w:rPr>
          <w:rFonts w:hint="eastAsia" w:ascii="宋体" w:eastAsia="宋体" w:cs="Times New Roman"/>
          <w:color w:val="000000"/>
          <w:sz w:val="24"/>
          <w:szCs w:val="24"/>
          <w:highlight w:val="none"/>
        </w:rPr>
        <w:t>乙方有权依据合同约定和项目需要，向甲方了解有关情况，调阅有关资料等，甲方应予积极配合；</w:t>
      </w:r>
    </w:p>
    <w:p>
      <w:pPr>
        <w:spacing w:line="360" w:lineRule="auto"/>
        <w:ind w:firstLine="435"/>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2.7.2乙方有义务妥善保管和保护由甲方提供的前款信息和资料等；</w:t>
      </w:r>
    </w:p>
    <w:p>
      <w:pPr>
        <w:spacing w:line="360" w:lineRule="auto"/>
        <w:ind w:firstLine="435"/>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2.7</w:t>
      </w:r>
      <w:r>
        <w:rPr>
          <w:rFonts w:ascii="宋体" w:eastAsia="宋体" w:cs="Times New Roman"/>
          <w:color w:val="000000"/>
          <w:sz w:val="24"/>
          <w:szCs w:val="24"/>
          <w:highlight w:val="none"/>
        </w:rPr>
        <w:t>.</w:t>
      </w:r>
      <w:r>
        <w:rPr>
          <w:rFonts w:hint="eastAsia" w:ascii="宋体" w:eastAsia="宋体" w:cs="Times New Roman"/>
          <w:color w:val="000000"/>
          <w:sz w:val="24"/>
          <w:szCs w:val="24"/>
          <w:highlight w:val="none"/>
        </w:rPr>
        <w:t>3除非依照法律规定或者对方当事人的书面同意，任何一方均应保证不向任何第三方提供或披露有关合同的或者履行合同过程中知悉的对方当事人任何未公开的信息和资料，包括但不限于</w:t>
      </w:r>
      <w:r>
        <w:rPr>
          <w:rFonts w:ascii="宋体" w:eastAsia="宋体" w:cs="Times New Roman"/>
          <w:color w:val="000000"/>
          <w:sz w:val="24"/>
          <w:szCs w:val="24"/>
          <w:highlight w:val="none"/>
        </w:rPr>
        <w:t>技术情报</w:t>
      </w:r>
      <w:r>
        <w:rPr>
          <w:rFonts w:hint="eastAsia" w:ascii="宋体" w:eastAsia="宋体" w:cs="Times New Roman"/>
          <w:color w:val="000000"/>
          <w:sz w:val="24"/>
          <w:szCs w:val="24"/>
          <w:highlight w:val="none"/>
        </w:rPr>
        <w:t>、</w:t>
      </w:r>
      <w:r>
        <w:rPr>
          <w:rFonts w:ascii="宋体" w:eastAsia="宋体" w:cs="Times New Roman"/>
          <w:color w:val="000000"/>
          <w:sz w:val="24"/>
          <w:szCs w:val="24"/>
          <w:highlight w:val="none"/>
        </w:rPr>
        <w:t>技术资料</w:t>
      </w:r>
      <w:r>
        <w:rPr>
          <w:rFonts w:hint="eastAsia" w:ascii="宋体" w:eastAsia="宋体" w:cs="Times New Roman"/>
          <w:color w:val="000000"/>
          <w:sz w:val="24"/>
          <w:szCs w:val="24"/>
          <w:highlight w:val="none"/>
        </w:rPr>
        <w:t>、商业秘密和商业信息等，并采取一切合理和必要措施和方式防止任何第三方接触到对方当事人的上述保密信息和资料。</w:t>
      </w:r>
    </w:p>
    <w:p>
      <w:pPr>
        <w:spacing w:line="360" w:lineRule="auto"/>
        <w:ind w:firstLine="437"/>
        <w:outlineLvl w:val="2"/>
        <w:rPr>
          <w:rFonts w:ascii="宋体" w:eastAsia="宋体" w:cs="Times New Roman"/>
          <w:b/>
          <w:bCs/>
          <w:color w:val="000000"/>
          <w:sz w:val="24"/>
          <w:szCs w:val="24"/>
          <w:highlight w:val="none"/>
          <w:lang w:val="zh-CN"/>
        </w:rPr>
      </w:pPr>
      <w:bookmarkStart w:id="197" w:name="_Toc7860"/>
      <w:r>
        <w:rPr>
          <w:rFonts w:ascii="宋体" w:eastAsia="宋体" w:cs="Times New Roman"/>
          <w:b/>
          <w:bCs/>
          <w:color w:val="000000"/>
          <w:sz w:val="24"/>
          <w:szCs w:val="24"/>
          <w:highlight w:val="none"/>
          <w:lang w:val="zh-CN"/>
        </w:rPr>
        <w:t>2.8 质量保证</w:t>
      </w:r>
      <w:bookmarkEnd w:id="197"/>
    </w:p>
    <w:p>
      <w:pPr>
        <w:spacing w:line="360" w:lineRule="auto"/>
        <w:ind w:firstLine="435"/>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2.8.1乙方应建立和完善履行合同的内部质量保证体系，并提供相关内部规章制度给甲方，以便甲方进行监督检查；</w:t>
      </w:r>
    </w:p>
    <w:p>
      <w:pPr>
        <w:spacing w:line="360" w:lineRule="auto"/>
        <w:ind w:firstLine="435"/>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2.8.2乙方应保证履行合同的人员数量和素质、软件和硬件设备的配置、场地、环境和设施等满足全面履行合同的要求，并应接受甲方的监督检查。</w:t>
      </w:r>
    </w:p>
    <w:p>
      <w:pPr>
        <w:spacing w:line="360" w:lineRule="auto"/>
        <w:ind w:firstLine="437"/>
        <w:outlineLvl w:val="2"/>
        <w:rPr>
          <w:rFonts w:ascii="宋体" w:eastAsia="宋体" w:cs="Times New Roman"/>
          <w:b/>
          <w:bCs/>
          <w:color w:val="000000"/>
          <w:sz w:val="24"/>
          <w:szCs w:val="24"/>
          <w:highlight w:val="none"/>
          <w:lang w:val="zh-CN"/>
        </w:rPr>
      </w:pPr>
      <w:bookmarkStart w:id="198" w:name="_Toc17244"/>
      <w:bookmarkStart w:id="199" w:name="_Toc487900362"/>
      <w:bookmarkStart w:id="200" w:name="_Toc279701252"/>
      <w:bookmarkStart w:id="201" w:name="_Toc259093681"/>
      <w:r>
        <w:rPr>
          <w:rFonts w:ascii="宋体" w:eastAsia="宋体" w:cs="Times New Roman"/>
          <w:b/>
          <w:bCs/>
          <w:color w:val="000000"/>
          <w:sz w:val="24"/>
          <w:szCs w:val="24"/>
          <w:highlight w:val="none"/>
          <w:lang w:val="zh-CN"/>
        </w:rPr>
        <w:t>2.9 货物的风险负担</w:t>
      </w:r>
      <w:bookmarkEnd w:id="198"/>
    </w:p>
    <w:p>
      <w:pPr>
        <w:spacing w:line="360" w:lineRule="auto"/>
        <w:ind w:firstLine="435"/>
        <w:rPr>
          <w:rFonts w:ascii="宋体" w:eastAsia="宋体" w:cs="Times New Roman"/>
          <w:b/>
          <w:color w:val="000000"/>
          <w:sz w:val="24"/>
          <w:szCs w:val="24"/>
          <w:highlight w:val="none"/>
        </w:rPr>
      </w:pPr>
      <w:r>
        <w:rPr>
          <w:rFonts w:hint="eastAsia" w:ascii="宋体" w:eastAsia="宋体" w:cs="Times New Roman"/>
          <w:color w:val="000000"/>
          <w:sz w:val="24"/>
          <w:szCs w:val="24"/>
          <w:highlight w:val="none"/>
        </w:rPr>
        <w:t>货物或者在途货物或者交付给第一承运人后的货物毁损、灭失的风险负担</w:t>
      </w:r>
      <w:r>
        <w:rPr>
          <w:rFonts w:ascii="宋体" w:eastAsia="宋体" w:cs="Times New Roman"/>
          <w:color w:val="000000"/>
          <w:sz w:val="24"/>
          <w:szCs w:val="24"/>
          <w:highlight w:val="none"/>
        </w:rPr>
        <w:t>详见</w:t>
      </w:r>
      <w:r>
        <w:rPr>
          <w:rFonts w:ascii="宋体" w:eastAsia="宋体" w:cs="Times New Roman"/>
          <w:b/>
          <w:i/>
          <w:color w:val="000000"/>
          <w:sz w:val="24"/>
          <w:szCs w:val="24"/>
          <w:highlight w:val="none"/>
          <w:u w:val="single"/>
        </w:rPr>
        <w:t>合同专用条款</w:t>
      </w:r>
      <w:r>
        <w:rPr>
          <w:rFonts w:ascii="宋体" w:eastAsia="宋体" w:cs="Times New Roman"/>
          <w:color w:val="000000"/>
          <w:sz w:val="24"/>
          <w:szCs w:val="24"/>
          <w:highlight w:val="none"/>
        </w:rPr>
        <w:t>。</w:t>
      </w:r>
    </w:p>
    <w:p>
      <w:pPr>
        <w:spacing w:line="360" w:lineRule="auto"/>
        <w:ind w:firstLine="437"/>
        <w:outlineLvl w:val="2"/>
        <w:rPr>
          <w:rFonts w:ascii="宋体" w:eastAsia="宋体" w:cs="Times New Roman"/>
          <w:b/>
          <w:bCs/>
          <w:color w:val="000000"/>
          <w:sz w:val="24"/>
          <w:szCs w:val="24"/>
          <w:highlight w:val="none"/>
          <w:lang w:val="zh-CN"/>
        </w:rPr>
      </w:pPr>
      <w:bookmarkStart w:id="202" w:name="_Toc14055"/>
      <w:r>
        <w:rPr>
          <w:rFonts w:ascii="宋体" w:eastAsia="宋体" w:cs="Times New Roman"/>
          <w:b/>
          <w:bCs/>
          <w:color w:val="000000"/>
          <w:sz w:val="24"/>
          <w:szCs w:val="24"/>
          <w:highlight w:val="none"/>
          <w:lang w:val="zh-CN"/>
        </w:rPr>
        <w:t>2.10 延迟交货</w:t>
      </w:r>
      <w:bookmarkEnd w:id="199"/>
      <w:bookmarkEnd w:id="200"/>
      <w:bookmarkEnd w:id="201"/>
      <w:bookmarkEnd w:id="202"/>
    </w:p>
    <w:p>
      <w:pPr>
        <w:spacing w:line="360" w:lineRule="auto"/>
        <w:ind w:firstLine="435"/>
        <w:rPr>
          <w:rFonts w:ascii="宋体" w:eastAsia="宋体" w:cs="Times New Roman"/>
          <w:color w:val="000000"/>
          <w:sz w:val="24"/>
          <w:szCs w:val="24"/>
          <w:highlight w:val="none"/>
        </w:rPr>
      </w:pPr>
      <w:r>
        <w:rPr>
          <w:rFonts w:ascii="宋体" w:eastAsia="宋体" w:cs="Times New Roman"/>
          <w:color w:val="000000"/>
          <w:sz w:val="24"/>
          <w:szCs w:val="24"/>
          <w:highlight w:val="none"/>
        </w:rPr>
        <w:t>在合同履行过程中，如果乙方遇到不能按时交付货物的情况，应及时以书面形式将不能按时</w:t>
      </w:r>
      <w:r>
        <w:rPr>
          <w:rFonts w:hint="eastAsia" w:ascii="宋体" w:eastAsia="宋体" w:cs="Times New Roman"/>
          <w:color w:val="000000"/>
          <w:sz w:val="24"/>
          <w:szCs w:val="24"/>
          <w:highlight w:val="none"/>
        </w:rPr>
        <w:t>交付货物</w:t>
      </w:r>
      <w:r>
        <w:rPr>
          <w:rFonts w:ascii="宋体" w:eastAsia="宋体" w:cs="Times New Roman"/>
          <w:color w:val="000000"/>
          <w:sz w:val="24"/>
          <w:szCs w:val="24"/>
          <w:highlight w:val="none"/>
        </w:rPr>
        <w:t>的理由、预期延误时间通知甲方</w:t>
      </w:r>
      <w:r>
        <w:rPr>
          <w:rFonts w:hint="eastAsia" w:ascii="宋体" w:eastAsia="宋体" w:cs="Times New Roman"/>
          <w:color w:val="000000"/>
          <w:sz w:val="24"/>
          <w:szCs w:val="24"/>
          <w:highlight w:val="none"/>
        </w:rPr>
        <w:t>；甲</w:t>
      </w:r>
      <w:r>
        <w:rPr>
          <w:rFonts w:ascii="宋体" w:eastAsia="宋体" w:cs="Times New Roman"/>
          <w:color w:val="000000"/>
          <w:sz w:val="24"/>
          <w:szCs w:val="24"/>
          <w:highlight w:val="none"/>
        </w:rPr>
        <w:t>方收到乙方通知后，认为其理由正当的，可以书面形式酌情同意乙方可以延长交货的具体时间。</w:t>
      </w:r>
    </w:p>
    <w:p>
      <w:pPr>
        <w:spacing w:line="360" w:lineRule="auto"/>
        <w:ind w:firstLine="437"/>
        <w:outlineLvl w:val="2"/>
        <w:rPr>
          <w:rFonts w:ascii="宋体" w:eastAsia="宋体" w:cs="Times New Roman"/>
          <w:b/>
          <w:bCs/>
          <w:color w:val="000000"/>
          <w:sz w:val="24"/>
          <w:szCs w:val="24"/>
          <w:highlight w:val="none"/>
          <w:lang w:val="zh-CN"/>
        </w:rPr>
      </w:pPr>
      <w:bookmarkStart w:id="203" w:name="_Toc7502"/>
      <w:bookmarkStart w:id="204" w:name="_Toc279701254"/>
      <w:bookmarkStart w:id="205" w:name="_Ref467378121"/>
      <w:bookmarkStart w:id="206" w:name="_Toc487900364"/>
      <w:bookmarkStart w:id="207" w:name="_Toc259093683"/>
      <w:r>
        <w:rPr>
          <w:rFonts w:ascii="宋体" w:eastAsia="宋体" w:cs="Times New Roman"/>
          <w:b/>
          <w:bCs/>
          <w:color w:val="000000"/>
          <w:sz w:val="24"/>
          <w:szCs w:val="24"/>
          <w:highlight w:val="none"/>
          <w:lang w:val="zh-CN"/>
        </w:rPr>
        <w:t>2.11 合同变更</w:t>
      </w:r>
      <w:bookmarkEnd w:id="203"/>
    </w:p>
    <w:p>
      <w:pPr>
        <w:spacing w:line="360" w:lineRule="auto"/>
        <w:ind w:firstLine="435"/>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2.11.1双方当事人协商一致，可以签订书面补充合同的形式变更合同，但不得违背采购文件确定的事项；</w:t>
      </w:r>
    </w:p>
    <w:p>
      <w:pPr>
        <w:spacing w:line="360" w:lineRule="auto"/>
        <w:ind w:firstLine="435"/>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2.11.2合同继续履行将损害国家利益和社会公共利益的，双方当事人应当以书面形式变更合同。有过错的一方应当承担赔偿责任，双方当事人都有过错的，各自承担相应的责任。</w:t>
      </w:r>
      <w:bookmarkStart w:id="208" w:name="_Toc487900369"/>
      <w:bookmarkStart w:id="209" w:name="_Toc279701259"/>
      <w:bookmarkStart w:id="210" w:name="_Toc259093688"/>
    </w:p>
    <w:p>
      <w:pPr>
        <w:spacing w:line="360" w:lineRule="auto"/>
        <w:ind w:firstLine="437"/>
        <w:outlineLvl w:val="2"/>
        <w:rPr>
          <w:rFonts w:ascii="宋体" w:eastAsia="宋体" w:cs="Times New Roman"/>
          <w:b/>
          <w:bCs/>
          <w:color w:val="000000"/>
          <w:sz w:val="24"/>
          <w:szCs w:val="24"/>
          <w:highlight w:val="none"/>
          <w:lang w:val="zh-CN"/>
        </w:rPr>
      </w:pPr>
      <w:bookmarkStart w:id="211" w:name="_Toc10366"/>
      <w:bookmarkStart w:id="212" w:name="_Toc22955"/>
      <w:bookmarkStart w:id="213" w:name="_Toc15237"/>
      <w:r>
        <w:rPr>
          <w:rFonts w:hint="eastAsia" w:ascii="宋体" w:eastAsia="宋体" w:cs="Times New Roman"/>
          <w:b/>
          <w:bCs/>
          <w:color w:val="000000"/>
          <w:sz w:val="24"/>
          <w:szCs w:val="24"/>
          <w:highlight w:val="none"/>
          <w:lang w:val="zh-CN"/>
        </w:rPr>
        <w:t xml:space="preserve">2.12 </w:t>
      </w:r>
      <w:r>
        <w:rPr>
          <w:rFonts w:ascii="宋体" w:eastAsia="宋体" w:cs="Times New Roman"/>
          <w:b/>
          <w:bCs/>
          <w:color w:val="000000"/>
          <w:sz w:val="24"/>
          <w:szCs w:val="24"/>
          <w:highlight w:val="none"/>
          <w:lang w:val="zh-CN"/>
        </w:rPr>
        <w:t>合同转让</w:t>
      </w:r>
      <w:bookmarkEnd w:id="208"/>
      <w:bookmarkEnd w:id="209"/>
      <w:bookmarkEnd w:id="210"/>
      <w:r>
        <w:rPr>
          <w:rFonts w:ascii="宋体" w:eastAsia="宋体" w:cs="Times New Roman"/>
          <w:b/>
          <w:bCs/>
          <w:color w:val="000000"/>
          <w:sz w:val="24"/>
          <w:szCs w:val="24"/>
          <w:highlight w:val="none"/>
          <w:lang w:val="zh-CN"/>
        </w:rPr>
        <w:t>和分包</w:t>
      </w:r>
      <w:bookmarkEnd w:id="211"/>
      <w:bookmarkEnd w:id="212"/>
      <w:bookmarkEnd w:id="213"/>
    </w:p>
    <w:p>
      <w:pPr>
        <w:spacing w:line="360" w:lineRule="auto"/>
        <w:ind w:firstLine="435"/>
        <w:rPr>
          <w:rFonts w:ascii="宋体" w:eastAsia="宋体" w:cs="Times New Roman"/>
          <w:color w:val="000000"/>
          <w:sz w:val="24"/>
          <w:szCs w:val="24"/>
          <w:highlight w:val="none"/>
        </w:rPr>
      </w:pPr>
      <w:r>
        <w:rPr>
          <w:rFonts w:ascii="宋体" w:eastAsia="宋体" w:cs="Times New Roman"/>
          <w:color w:val="000000"/>
          <w:sz w:val="24"/>
          <w:szCs w:val="24"/>
          <w:highlight w:val="none"/>
        </w:rPr>
        <w:t>合同的权利义务依法不</w:t>
      </w:r>
      <w:r>
        <w:rPr>
          <w:rFonts w:hint="eastAsia" w:ascii="宋体" w:eastAsia="宋体" w:cs="Times New Roman"/>
          <w:color w:val="000000"/>
          <w:sz w:val="24"/>
          <w:szCs w:val="24"/>
          <w:highlight w:val="none"/>
        </w:rPr>
        <w:t>得</w:t>
      </w:r>
      <w:r>
        <w:rPr>
          <w:rFonts w:ascii="宋体" w:eastAsia="宋体" w:cs="Times New Roman"/>
          <w:color w:val="000000"/>
          <w:sz w:val="24"/>
          <w:szCs w:val="24"/>
          <w:highlight w:val="none"/>
        </w:rPr>
        <w:t>转让</w:t>
      </w:r>
      <w:r>
        <w:rPr>
          <w:rFonts w:hint="eastAsia" w:ascii="宋体" w:eastAsia="宋体" w:cs="Times New Roman"/>
          <w:color w:val="000000"/>
          <w:sz w:val="24"/>
          <w:szCs w:val="24"/>
          <w:highlight w:val="none"/>
        </w:rPr>
        <w:t>，</w:t>
      </w:r>
      <w:r>
        <w:rPr>
          <w:rFonts w:ascii="宋体" w:eastAsia="宋体" w:cs="Times New Roman"/>
          <w:color w:val="000000"/>
          <w:sz w:val="24"/>
          <w:szCs w:val="24"/>
          <w:highlight w:val="none"/>
        </w:rPr>
        <w:t>但经甲方</w:t>
      </w:r>
      <w:r>
        <w:rPr>
          <w:rFonts w:hint="eastAsia" w:ascii="宋体" w:eastAsia="宋体" w:cs="Times New Roman"/>
          <w:color w:val="000000"/>
          <w:sz w:val="24"/>
          <w:szCs w:val="24"/>
          <w:highlight w:val="none"/>
        </w:rPr>
        <w:t>同意，乙方可以依法采取分包方式履行合同，即：依法可以</w:t>
      </w:r>
      <w:r>
        <w:rPr>
          <w:rFonts w:ascii="宋体" w:eastAsia="宋体" w:cs="Times New Roman"/>
          <w:color w:val="000000"/>
          <w:sz w:val="24"/>
          <w:szCs w:val="24"/>
          <w:highlight w:val="none"/>
        </w:rPr>
        <w:t>将合同项下的部分非主体、非关键性工作分包给他人完成</w:t>
      </w:r>
      <w:r>
        <w:rPr>
          <w:rFonts w:hint="eastAsia" w:ascii="宋体" w:eastAsia="宋体" w:cs="Times New Roman"/>
          <w:color w:val="000000"/>
          <w:sz w:val="24"/>
          <w:szCs w:val="24"/>
          <w:highlight w:val="none"/>
        </w:rPr>
        <w:t>，</w:t>
      </w:r>
      <w:r>
        <w:rPr>
          <w:rFonts w:ascii="宋体" w:eastAsia="宋体" w:cs="Times New Roman"/>
          <w:color w:val="000000"/>
          <w:sz w:val="24"/>
          <w:szCs w:val="24"/>
          <w:highlight w:val="none"/>
        </w:rPr>
        <w:t>接受分包的人应当具备相应的资格条件，并不得再次分包</w:t>
      </w:r>
      <w:r>
        <w:rPr>
          <w:rFonts w:hint="eastAsia" w:ascii="宋体" w:eastAsia="宋体" w:cs="Times New Roman"/>
          <w:color w:val="000000"/>
          <w:sz w:val="24"/>
          <w:szCs w:val="24"/>
          <w:highlight w:val="none"/>
        </w:rPr>
        <w:t>，</w:t>
      </w:r>
      <w:r>
        <w:rPr>
          <w:rFonts w:ascii="宋体" w:eastAsia="宋体" w:cs="Times New Roman"/>
          <w:color w:val="000000"/>
          <w:sz w:val="24"/>
          <w:szCs w:val="24"/>
          <w:highlight w:val="none"/>
        </w:rPr>
        <w:t>且乙方应就分包项目向甲方负责</w:t>
      </w:r>
      <w:r>
        <w:rPr>
          <w:rFonts w:hint="eastAsia" w:ascii="宋体" w:eastAsia="宋体" w:cs="Times New Roman"/>
          <w:color w:val="000000"/>
          <w:sz w:val="24"/>
          <w:szCs w:val="24"/>
          <w:highlight w:val="none"/>
        </w:rPr>
        <w:t>，</w:t>
      </w:r>
      <w:r>
        <w:rPr>
          <w:rFonts w:ascii="宋体" w:eastAsia="宋体" w:cs="Times New Roman"/>
          <w:color w:val="000000"/>
          <w:sz w:val="24"/>
          <w:szCs w:val="24"/>
          <w:highlight w:val="none"/>
        </w:rPr>
        <w:t>并</w:t>
      </w:r>
      <w:r>
        <w:rPr>
          <w:rFonts w:hint="eastAsia" w:ascii="宋体" w:eastAsia="宋体" w:cs="Times New Roman"/>
          <w:color w:val="000000"/>
          <w:sz w:val="24"/>
          <w:szCs w:val="24"/>
          <w:highlight w:val="none"/>
        </w:rPr>
        <w:t>与分包供应商就分包项目向甲方承担连带责任。</w:t>
      </w:r>
    </w:p>
    <w:p>
      <w:pPr>
        <w:spacing w:line="360" w:lineRule="auto"/>
        <w:ind w:firstLine="437"/>
        <w:outlineLvl w:val="2"/>
        <w:rPr>
          <w:rFonts w:ascii="宋体" w:eastAsia="宋体" w:cs="Times New Roman"/>
          <w:b/>
          <w:bCs/>
          <w:color w:val="000000"/>
          <w:sz w:val="24"/>
          <w:szCs w:val="24"/>
          <w:highlight w:val="none"/>
          <w:lang w:val="zh-CN"/>
        </w:rPr>
      </w:pPr>
      <w:bookmarkStart w:id="214" w:name="_Toc16508"/>
      <w:bookmarkStart w:id="215" w:name="_Toc13566"/>
      <w:bookmarkStart w:id="216" w:name="_Toc14066"/>
      <w:r>
        <w:rPr>
          <w:rFonts w:hint="eastAsia" w:ascii="宋体" w:eastAsia="宋体" w:cs="Times New Roman"/>
          <w:b/>
          <w:bCs/>
          <w:color w:val="000000"/>
          <w:sz w:val="24"/>
          <w:szCs w:val="24"/>
          <w:highlight w:val="none"/>
          <w:lang w:val="zh-CN"/>
        </w:rPr>
        <w:t>2.13</w:t>
      </w:r>
      <w:r>
        <w:rPr>
          <w:rFonts w:ascii="宋体" w:eastAsia="宋体" w:cs="Times New Roman"/>
          <w:b/>
          <w:bCs/>
          <w:color w:val="000000"/>
          <w:sz w:val="24"/>
          <w:szCs w:val="24"/>
          <w:highlight w:val="none"/>
          <w:lang w:val="zh-CN"/>
        </w:rPr>
        <w:t xml:space="preserve"> 不可抗力</w:t>
      </w:r>
      <w:bookmarkEnd w:id="214"/>
      <w:bookmarkEnd w:id="215"/>
      <w:bookmarkEnd w:id="216"/>
    </w:p>
    <w:p>
      <w:pPr>
        <w:spacing w:line="360" w:lineRule="auto"/>
        <w:ind w:firstLine="435"/>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2.13</w:t>
      </w:r>
      <w:r>
        <w:rPr>
          <w:rFonts w:ascii="宋体" w:eastAsia="宋体" w:cs="Times New Roman"/>
          <w:color w:val="000000"/>
          <w:sz w:val="24"/>
          <w:szCs w:val="24"/>
          <w:highlight w:val="none"/>
        </w:rPr>
        <w:t>.1如果任何一方遭遇法律规定的不可抗力，致使合同履行受阻时，履行合同的期限应予延长，延长的期限应相当于不可抗力所影响的时间</w:t>
      </w:r>
      <w:r>
        <w:rPr>
          <w:rFonts w:hint="eastAsia" w:ascii="宋体" w:eastAsia="宋体" w:cs="Times New Roman"/>
          <w:color w:val="000000"/>
          <w:sz w:val="24"/>
          <w:szCs w:val="24"/>
          <w:highlight w:val="none"/>
        </w:rPr>
        <w:t>；</w:t>
      </w:r>
    </w:p>
    <w:p>
      <w:pPr>
        <w:spacing w:line="360" w:lineRule="auto"/>
        <w:ind w:firstLine="435"/>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2.13.2因不可抗力致使不能实现合同目的的，当事人可以解除合同；</w:t>
      </w:r>
    </w:p>
    <w:p>
      <w:pPr>
        <w:spacing w:line="360" w:lineRule="auto"/>
        <w:ind w:firstLine="435"/>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2.13.3因</w:t>
      </w:r>
      <w:r>
        <w:rPr>
          <w:rFonts w:ascii="宋体" w:eastAsia="宋体" w:cs="Times New Roman"/>
          <w:color w:val="000000"/>
          <w:sz w:val="24"/>
          <w:szCs w:val="24"/>
          <w:highlight w:val="none"/>
        </w:rPr>
        <w:t>不可抗力致使合同有变更必要的，双方当事人应在</w:t>
      </w:r>
      <w:r>
        <w:rPr>
          <w:rFonts w:ascii="宋体" w:eastAsia="宋体" w:cs="Times New Roman"/>
          <w:b/>
          <w:i/>
          <w:color w:val="000000"/>
          <w:sz w:val="24"/>
          <w:szCs w:val="24"/>
          <w:highlight w:val="none"/>
          <w:u w:val="single"/>
        </w:rPr>
        <w:t>合同专用条款</w:t>
      </w:r>
      <w:r>
        <w:rPr>
          <w:rFonts w:ascii="宋体" w:eastAsia="宋体" w:cs="Times New Roman"/>
          <w:color w:val="000000"/>
          <w:sz w:val="24"/>
          <w:szCs w:val="24"/>
          <w:highlight w:val="none"/>
        </w:rPr>
        <w:t>约定时间内以书面形式变更合同</w:t>
      </w:r>
      <w:r>
        <w:rPr>
          <w:rFonts w:hint="eastAsia" w:ascii="宋体" w:eastAsia="宋体" w:cs="Times New Roman"/>
          <w:color w:val="000000"/>
          <w:sz w:val="24"/>
          <w:szCs w:val="24"/>
          <w:highlight w:val="none"/>
        </w:rPr>
        <w:t>；</w:t>
      </w:r>
    </w:p>
    <w:p>
      <w:pPr>
        <w:spacing w:line="360" w:lineRule="auto"/>
        <w:ind w:firstLine="435"/>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2.13</w:t>
      </w:r>
      <w:r>
        <w:rPr>
          <w:rFonts w:ascii="宋体" w:eastAsia="宋体" w:cs="Times New Roman"/>
          <w:color w:val="000000"/>
          <w:sz w:val="24"/>
          <w:szCs w:val="24"/>
          <w:highlight w:val="none"/>
        </w:rPr>
        <w:t>.</w:t>
      </w:r>
      <w:r>
        <w:rPr>
          <w:rFonts w:hint="eastAsia" w:ascii="宋体" w:eastAsia="宋体" w:cs="Times New Roman"/>
          <w:color w:val="000000"/>
          <w:sz w:val="24"/>
          <w:szCs w:val="24"/>
          <w:highlight w:val="none"/>
        </w:rPr>
        <w:t>4</w:t>
      </w:r>
      <w:r>
        <w:rPr>
          <w:rFonts w:ascii="宋体" w:eastAsia="宋体" w:cs="Times New Roman"/>
          <w:color w:val="000000"/>
          <w:sz w:val="24"/>
          <w:szCs w:val="24"/>
          <w:highlight w:val="none"/>
        </w:rPr>
        <w:t>受</w:t>
      </w:r>
      <w:r>
        <w:rPr>
          <w:rFonts w:hint="eastAsia" w:ascii="宋体" w:eastAsia="宋体" w:cs="Times New Roman"/>
          <w:color w:val="000000"/>
          <w:sz w:val="24"/>
          <w:szCs w:val="24"/>
          <w:highlight w:val="none"/>
        </w:rPr>
        <w:t>不可抗力</w:t>
      </w:r>
      <w:r>
        <w:rPr>
          <w:rFonts w:ascii="宋体" w:eastAsia="宋体" w:cs="Times New Roman"/>
          <w:color w:val="000000"/>
          <w:sz w:val="24"/>
          <w:szCs w:val="24"/>
          <w:highlight w:val="none"/>
        </w:rPr>
        <w:t>影响的一方在不可抗力发生后</w:t>
      </w:r>
      <w:r>
        <w:rPr>
          <w:rFonts w:hint="eastAsia" w:ascii="宋体" w:eastAsia="宋体" w:cs="Times New Roman"/>
          <w:color w:val="000000"/>
          <w:sz w:val="24"/>
          <w:szCs w:val="24"/>
          <w:highlight w:val="none"/>
        </w:rPr>
        <w:t>，</w:t>
      </w:r>
      <w:r>
        <w:rPr>
          <w:rFonts w:ascii="宋体" w:eastAsia="宋体" w:cs="Times New Roman"/>
          <w:color w:val="000000"/>
          <w:sz w:val="24"/>
          <w:szCs w:val="24"/>
          <w:highlight w:val="none"/>
        </w:rPr>
        <w:t>应在</w:t>
      </w:r>
      <w:r>
        <w:rPr>
          <w:rFonts w:ascii="宋体" w:eastAsia="宋体" w:cs="Times New Roman"/>
          <w:b/>
          <w:i/>
          <w:color w:val="000000"/>
          <w:sz w:val="24"/>
          <w:szCs w:val="24"/>
          <w:highlight w:val="none"/>
          <w:u w:val="single"/>
        </w:rPr>
        <w:t>合同专用条款</w:t>
      </w:r>
      <w:r>
        <w:rPr>
          <w:rFonts w:ascii="宋体" w:eastAsia="宋体" w:cs="Times New Roman"/>
          <w:color w:val="000000"/>
          <w:sz w:val="24"/>
          <w:szCs w:val="24"/>
          <w:highlight w:val="none"/>
        </w:rPr>
        <w:t>约定时间内以书面形式通知</w:t>
      </w:r>
      <w:r>
        <w:rPr>
          <w:rFonts w:hint="eastAsia" w:ascii="宋体" w:eastAsia="宋体" w:cs="Times New Roman"/>
          <w:color w:val="000000"/>
          <w:sz w:val="24"/>
          <w:szCs w:val="24"/>
          <w:highlight w:val="none"/>
        </w:rPr>
        <w:t>对</w:t>
      </w:r>
      <w:r>
        <w:rPr>
          <w:rFonts w:ascii="宋体" w:eastAsia="宋体" w:cs="Times New Roman"/>
          <w:color w:val="000000"/>
          <w:sz w:val="24"/>
          <w:szCs w:val="24"/>
          <w:highlight w:val="none"/>
        </w:rPr>
        <w:t>方当事人，并在</w:t>
      </w:r>
      <w:r>
        <w:rPr>
          <w:rFonts w:ascii="宋体" w:eastAsia="宋体" w:cs="Times New Roman"/>
          <w:b/>
          <w:i/>
          <w:color w:val="000000"/>
          <w:sz w:val="24"/>
          <w:szCs w:val="24"/>
          <w:highlight w:val="none"/>
          <w:u w:val="single"/>
        </w:rPr>
        <w:t>合同专用条款</w:t>
      </w:r>
      <w:r>
        <w:rPr>
          <w:rFonts w:ascii="宋体" w:eastAsia="宋体" w:cs="Times New Roman"/>
          <w:color w:val="000000"/>
          <w:sz w:val="24"/>
          <w:szCs w:val="24"/>
          <w:highlight w:val="none"/>
        </w:rPr>
        <w:t>约定时间内，将有关部门出具的证明文件送达</w:t>
      </w:r>
      <w:r>
        <w:rPr>
          <w:rFonts w:hint="eastAsia" w:ascii="宋体" w:eastAsia="宋体" w:cs="Times New Roman"/>
          <w:color w:val="000000"/>
          <w:sz w:val="24"/>
          <w:szCs w:val="24"/>
          <w:highlight w:val="none"/>
        </w:rPr>
        <w:t>对方当事人</w:t>
      </w:r>
      <w:r>
        <w:rPr>
          <w:rFonts w:ascii="宋体" w:eastAsia="宋体" w:cs="Times New Roman"/>
          <w:color w:val="000000"/>
          <w:sz w:val="24"/>
          <w:szCs w:val="24"/>
          <w:highlight w:val="none"/>
        </w:rPr>
        <w:t>。</w:t>
      </w:r>
    </w:p>
    <w:p>
      <w:pPr>
        <w:spacing w:line="360" w:lineRule="auto"/>
        <w:ind w:firstLine="437"/>
        <w:outlineLvl w:val="2"/>
        <w:rPr>
          <w:rFonts w:ascii="宋体" w:eastAsia="宋体" w:cs="Times New Roman"/>
          <w:b/>
          <w:bCs/>
          <w:color w:val="000000"/>
          <w:sz w:val="24"/>
          <w:szCs w:val="24"/>
          <w:highlight w:val="none"/>
          <w:lang w:val="zh-CN"/>
        </w:rPr>
      </w:pPr>
      <w:bookmarkStart w:id="217" w:name="_Toc279701255"/>
      <w:bookmarkStart w:id="218" w:name="_Toc487900365"/>
      <w:bookmarkStart w:id="219" w:name="_Toc30676"/>
      <w:bookmarkStart w:id="220" w:name="_Toc689"/>
      <w:bookmarkStart w:id="221" w:name="_Toc259093684"/>
      <w:bookmarkStart w:id="222" w:name="_Toc6969"/>
      <w:r>
        <w:rPr>
          <w:rFonts w:hint="eastAsia" w:ascii="宋体" w:eastAsia="宋体" w:cs="Times New Roman"/>
          <w:b/>
          <w:bCs/>
          <w:color w:val="000000"/>
          <w:sz w:val="24"/>
          <w:szCs w:val="24"/>
          <w:highlight w:val="none"/>
          <w:lang w:val="zh-CN"/>
        </w:rPr>
        <w:t>2.</w:t>
      </w:r>
      <w:r>
        <w:rPr>
          <w:rFonts w:ascii="宋体" w:eastAsia="宋体" w:cs="Times New Roman"/>
          <w:b/>
          <w:bCs/>
          <w:color w:val="000000"/>
          <w:sz w:val="24"/>
          <w:szCs w:val="24"/>
          <w:highlight w:val="none"/>
          <w:lang w:val="zh-CN"/>
        </w:rPr>
        <w:t>1</w:t>
      </w:r>
      <w:r>
        <w:rPr>
          <w:rFonts w:hint="eastAsia" w:ascii="宋体" w:eastAsia="宋体" w:cs="Times New Roman"/>
          <w:b/>
          <w:bCs/>
          <w:color w:val="000000"/>
          <w:sz w:val="24"/>
          <w:szCs w:val="24"/>
          <w:highlight w:val="none"/>
          <w:lang w:val="zh-CN"/>
        </w:rPr>
        <w:t xml:space="preserve">4 </w:t>
      </w:r>
      <w:r>
        <w:rPr>
          <w:rFonts w:ascii="宋体" w:eastAsia="宋体" w:cs="Times New Roman"/>
          <w:b/>
          <w:bCs/>
          <w:color w:val="000000"/>
          <w:sz w:val="24"/>
          <w:szCs w:val="24"/>
          <w:highlight w:val="none"/>
          <w:lang w:val="zh-CN"/>
        </w:rPr>
        <w:t>税费</w:t>
      </w:r>
      <w:bookmarkEnd w:id="217"/>
      <w:bookmarkEnd w:id="218"/>
      <w:bookmarkEnd w:id="219"/>
      <w:bookmarkEnd w:id="220"/>
      <w:bookmarkEnd w:id="221"/>
      <w:bookmarkEnd w:id="222"/>
    </w:p>
    <w:p>
      <w:pPr>
        <w:spacing w:line="360" w:lineRule="auto"/>
        <w:ind w:firstLine="435"/>
        <w:rPr>
          <w:rFonts w:ascii="宋体" w:eastAsia="宋体" w:cs="Times New Roman"/>
          <w:color w:val="000000"/>
          <w:sz w:val="24"/>
          <w:szCs w:val="24"/>
          <w:highlight w:val="none"/>
        </w:rPr>
      </w:pPr>
      <w:r>
        <w:rPr>
          <w:rFonts w:ascii="宋体" w:eastAsia="宋体" w:cs="Times New Roman"/>
          <w:color w:val="000000"/>
          <w:sz w:val="24"/>
          <w:szCs w:val="24"/>
          <w:highlight w:val="none"/>
        </w:rPr>
        <w:t>与合同有关的一切税费</w:t>
      </w:r>
      <w:r>
        <w:rPr>
          <w:rFonts w:hint="eastAsia" w:ascii="宋体" w:eastAsia="宋体" w:cs="Times New Roman"/>
          <w:color w:val="000000"/>
          <w:sz w:val="24"/>
          <w:szCs w:val="24"/>
          <w:highlight w:val="none"/>
        </w:rPr>
        <w:t>，</w:t>
      </w:r>
      <w:r>
        <w:rPr>
          <w:rFonts w:ascii="宋体" w:eastAsia="宋体" w:cs="Times New Roman"/>
          <w:color w:val="000000"/>
          <w:sz w:val="24"/>
          <w:szCs w:val="24"/>
          <w:highlight w:val="none"/>
        </w:rPr>
        <w:t>均按照中华人民共和国法律的相关规定</w:t>
      </w:r>
      <w:r>
        <w:rPr>
          <w:rFonts w:hint="eastAsia" w:ascii="宋体" w:eastAsia="宋体" w:cs="Times New Roman"/>
          <w:color w:val="000000"/>
          <w:sz w:val="24"/>
          <w:szCs w:val="24"/>
          <w:highlight w:val="none"/>
        </w:rPr>
        <w:t>缴纳</w:t>
      </w:r>
      <w:r>
        <w:rPr>
          <w:rFonts w:ascii="宋体" w:eastAsia="宋体" w:cs="Times New Roman"/>
          <w:color w:val="000000"/>
          <w:sz w:val="24"/>
          <w:szCs w:val="24"/>
          <w:highlight w:val="none"/>
        </w:rPr>
        <w:t>。</w:t>
      </w:r>
    </w:p>
    <w:p>
      <w:pPr>
        <w:spacing w:line="360" w:lineRule="auto"/>
        <w:ind w:firstLine="437"/>
        <w:outlineLvl w:val="2"/>
        <w:rPr>
          <w:rFonts w:ascii="宋体" w:eastAsia="宋体" w:cs="Times New Roman"/>
          <w:b/>
          <w:bCs/>
          <w:color w:val="000000"/>
          <w:sz w:val="24"/>
          <w:szCs w:val="24"/>
          <w:highlight w:val="none"/>
          <w:lang w:val="zh-CN"/>
        </w:rPr>
      </w:pPr>
      <w:bookmarkStart w:id="223" w:name="_Toc16959"/>
      <w:bookmarkStart w:id="224" w:name="_Toc8298"/>
      <w:bookmarkStart w:id="225" w:name="_Toc279701258"/>
      <w:bookmarkStart w:id="226" w:name="_Toc7102"/>
      <w:bookmarkStart w:id="227" w:name="_Toc259093687"/>
      <w:bookmarkStart w:id="228" w:name="_Toc487900368"/>
      <w:r>
        <w:rPr>
          <w:rFonts w:hint="eastAsia" w:ascii="宋体" w:eastAsia="宋体" w:cs="Times New Roman"/>
          <w:b/>
          <w:bCs/>
          <w:color w:val="000000"/>
          <w:sz w:val="24"/>
          <w:szCs w:val="24"/>
          <w:highlight w:val="none"/>
          <w:lang w:val="zh-CN"/>
        </w:rPr>
        <w:t>2.</w:t>
      </w:r>
      <w:r>
        <w:rPr>
          <w:rFonts w:ascii="宋体" w:eastAsia="宋体" w:cs="Times New Roman"/>
          <w:b/>
          <w:bCs/>
          <w:color w:val="000000"/>
          <w:sz w:val="24"/>
          <w:szCs w:val="24"/>
          <w:highlight w:val="none"/>
          <w:lang w:val="zh-CN"/>
        </w:rPr>
        <w:t>1</w:t>
      </w:r>
      <w:r>
        <w:rPr>
          <w:rFonts w:hint="eastAsia" w:ascii="宋体" w:eastAsia="宋体" w:cs="Times New Roman"/>
          <w:b/>
          <w:bCs/>
          <w:color w:val="000000"/>
          <w:sz w:val="24"/>
          <w:szCs w:val="24"/>
          <w:highlight w:val="none"/>
          <w:lang w:val="zh-CN"/>
        </w:rPr>
        <w:t xml:space="preserve">5 </w:t>
      </w:r>
      <w:r>
        <w:rPr>
          <w:rFonts w:ascii="宋体" w:eastAsia="宋体" w:cs="Times New Roman"/>
          <w:b/>
          <w:bCs/>
          <w:color w:val="000000"/>
          <w:sz w:val="24"/>
          <w:szCs w:val="24"/>
          <w:highlight w:val="none"/>
          <w:lang w:val="zh-CN"/>
        </w:rPr>
        <w:t>乙方破产</w:t>
      </w:r>
      <w:bookmarkEnd w:id="223"/>
      <w:bookmarkEnd w:id="224"/>
      <w:bookmarkEnd w:id="225"/>
      <w:bookmarkEnd w:id="226"/>
      <w:bookmarkEnd w:id="227"/>
      <w:bookmarkEnd w:id="228"/>
    </w:p>
    <w:p>
      <w:pPr>
        <w:spacing w:line="360" w:lineRule="auto"/>
        <w:ind w:firstLine="435"/>
        <w:rPr>
          <w:rFonts w:ascii="宋体" w:eastAsia="宋体" w:cs="Times New Roman"/>
          <w:color w:val="000000"/>
          <w:sz w:val="24"/>
          <w:szCs w:val="24"/>
          <w:highlight w:val="none"/>
        </w:rPr>
      </w:pPr>
      <w:r>
        <w:rPr>
          <w:rFonts w:ascii="宋体" w:eastAsia="宋体" w:cs="Times New Roman"/>
          <w:color w:val="000000"/>
          <w:sz w:val="24"/>
          <w:szCs w:val="24"/>
          <w:highlight w:val="none"/>
        </w:rPr>
        <w:t>如果乙方破产导致合同无法履行时，甲方可以书面形式通知乙方终止合同且不给予乙方任何补偿和赔偿</w:t>
      </w:r>
      <w:r>
        <w:rPr>
          <w:rFonts w:hint="eastAsia" w:ascii="宋体" w:eastAsia="宋体" w:cs="Times New Roman"/>
          <w:color w:val="000000"/>
          <w:sz w:val="24"/>
          <w:szCs w:val="24"/>
          <w:highlight w:val="none"/>
        </w:rPr>
        <w:t>，但合同的</w:t>
      </w:r>
      <w:r>
        <w:rPr>
          <w:rFonts w:ascii="宋体" w:eastAsia="宋体" w:cs="Times New Roman"/>
          <w:color w:val="000000"/>
          <w:sz w:val="24"/>
          <w:szCs w:val="24"/>
          <w:highlight w:val="none"/>
        </w:rPr>
        <w:t>终止不损害或不影响甲方已经采取或将要采取的任何要求乙方支付违约金</w:t>
      </w:r>
      <w:r>
        <w:rPr>
          <w:rFonts w:hint="eastAsia" w:ascii="宋体" w:eastAsia="宋体" w:cs="Times New Roman"/>
          <w:color w:val="000000"/>
          <w:sz w:val="24"/>
          <w:szCs w:val="24"/>
          <w:highlight w:val="none"/>
        </w:rPr>
        <w:t>、</w:t>
      </w:r>
      <w:r>
        <w:rPr>
          <w:rFonts w:ascii="宋体" w:eastAsia="宋体" w:cs="Times New Roman"/>
          <w:color w:val="000000"/>
          <w:sz w:val="24"/>
          <w:szCs w:val="24"/>
          <w:highlight w:val="none"/>
        </w:rPr>
        <w:t>赔偿损失等的行动或补救措施的权利</w:t>
      </w:r>
      <w:r>
        <w:rPr>
          <w:rFonts w:hint="eastAsia" w:ascii="宋体" w:eastAsia="宋体" w:cs="Times New Roman"/>
          <w:color w:val="000000"/>
          <w:sz w:val="24"/>
          <w:szCs w:val="24"/>
          <w:highlight w:val="none"/>
        </w:rPr>
        <w:t>。</w:t>
      </w:r>
    </w:p>
    <w:p>
      <w:pPr>
        <w:spacing w:line="360" w:lineRule="auto"/>
        <w:ind w:firstLine="437"/>
        <w:outlineLvl w:val="2"/>
        <w:rPr>
          <w:rFonts w:ascii="宋体" w:eastAsia="宋体" w:cs="Times New Roman"/>
          <w:b/>
          <w:color w:val="000000"/>
          <w:sz w:val="24"/>
          <w:szCs w:val="24"/>
          <w:highlight w:val="none"/>
        </w:rPr>
      </w:pPr>
      <w:bookmarkStart w:id="229" w:name="_Toc15387"/>
      <w:bookmarkStart w:id="230" w:name="_Toc29333"/>
      <w:bookmarkStart w:id="231" w:name="_Toc6134"/>
      <w:r>
        <w:rPr>
          <w:rFonts w:hint="eastAsia" w:ascii="宋体" w:eastAsia="宋体" w:cs="Times New Roman"/>
          <w:b/>
          <w:bCs/>
          <w:color w:val="000000"/>
          <w:sz w:val="24"/>
          <w:szCs w:val="24"/>
          <w:highlight w:val="none"/>
          <w:lang w:val="zh-CN"/>
        </w:rPr>
        <w:t>2.16 合同中止、终止</w:t>
      </w:r>
      <w:bookmarkEnd w:id="229"/>
      <w:bookmarkEnd w:id="230"/>
      <w:bookmarkEnd w:id="231"/>
    </w:p>
    <w:p>
      <w:pPr>
        <w:spacing w:line="360" w:lineRule="auto"/>
        <w:ind w:firstLine="435"/>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2.16.1双方当事人不得擅自中止或者终止合同；</w:t>
      </w:r>
    </w:p>
    <w:p>
      <w:pPr>
        <w:spacing w:line="360" w:lineRule="auto"/>
        <w:ind w:firstLine="435"/>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2.16.2合同继续履行将损害国家利益和社会公共利益的，双方当事人应当中止或者终止合同。有过错的一方应当承担赔偿责任，双方当事人都有过错的，各自承担相应的责任。</w:t>
      </w:r>
    </w:p>
    <w:p>
      <w:pPr>
        <w:spacing w:line="360" w:lineRule="auto"/>
        <w:ind w:firstLine="437"/>
        <w:outlineLvl w:val="2"/>
        <w:rPr>
          <w:rFonts w:ascii="宋体" w:eastAsia="宋体" w:cs="Times New Roman"/>
          <w:b/>
          <w:bCs/>
          <w:color w:val="000000"/>
          <w:sz w:val="24"/>
          <w:szCs w:val="24"/>
          <w:highlight w:val="none"/>
          <w:lang w:val="zh-CN"/>
        </w:rPr>
      </w:pPr>
      <w:bookmarkStart w:id="232" w:name="_Toc14563"/>
      <w:bookmarkStart w:id="233" w:name="_Toc1125"/>
      <w:bookmarkStart w:id="234" w:name="_Toc6596"/>
      <w:r>
        <w:rPr>
          <w:rFonts w:hint="eastAsia" w:ascii="宋体" w:eastAsia="宋体" w:cs="Times New Roman"/>
          <w:b/>
          <w:bCs/>
          <w:color w:val="000000"/>
          <w:sz w:val="24"/>
          <w:szCs w:val="24"/>
          <w:highlight w:val="none"/>
          <w:lang w:val="zh-CN"/>
        </w:rPr>
        <w:t>2.17 检验和验收</w:t>
      </w:r>
      <w:bookmarkEnd w:id="232"/>
      <w:bookmarkEnd w:id="233"/>
      <w:bookmarkEnd w:id="234"/>
    </w:p>
    <w:p>
      <w:pPr>
        <w:spacing w:line="360" w:lineRule="auto"/>
        <w:ind w:firstLine="435"/>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2.</w:t>
      </w:r>
      <w:r>
        <w:rPr>
          <w:rFonts w:ascii="宋体" w:eastAsia="宋体" w:cs="Times New Roman"/>
          <w:color w:val="000000"/>
          <w:sz w:val="24"/>
          <w:szCs w:val="24"/>
          <w:highlight w:val="none"/>
        </w:rPr>
        <w:t>1</w:t>
      </w:r>
      <w:r>
        <w:rPr>
          <w:rFonts w:hint="eastAsia" w:ascii="宋体" w:eastAsia="宋体" w:cs="Times New Roman"/>
          <w:color w:val="000000"/>
          <w:sz w:val="24"/>
          <w:szCs w:val="24"/>
          <w:highlight w:val="none"/>
        </w:rPr>
        <w:t>7</w:t>
      </w:r>
      <w:r>
        <w:rPr>
          <w:rFonts w:ascii="宋体" w:eastAsia="宋体" w:cs="Times New Roman"/>
          <w:color w:val="000000"/>
          <w:sz w:val="24"/>
          <w:szCs w:val="24"/>
          <w:highlight w:val="none"/>
        </w:rPr>
        <w:t>.</w:t>
      </w:r>
      <w:r>
        <w:rPr>
          <w:rFonts w:hint="eastAsia" w:ascii="宋体" w:eastAsia="宋体" w:cs="Times New Roman"/>
          <w:color w:val="000000"/>
          <w:sz w:val="24"/>
          <w:szCs w:val="24"/>
          <w:highlight w:val="none"/>
        </w:rPr>
        <w:t>1货物交付前，乙方应对货物的质量、数量等方面进行详细、全面的检验，并向甲方出具证明货物符合合同约定的文件；货物交付时，乙方在</w:t>
      </w:r>
      <w:r>
        <w:rPr>
          <w:rFonts w:hint="eastAsia" w:ascii="宋体" w:eastAsia="宋体" w:cs="Times New Roman"/>
          <w:b/>
          <w:i/>
          <w:color w:val="000000"/>
          <w:sz w:val="24"/>
          <w:szCs w:val="24"/>
          <w:highlight w:val="none"/>
          <w:u w:val="single"/>
        </w:rPr>
        <w:t>合同专用条款</w:t>
      </w:r>
      <w:r>
        <w:rPr>
          <w:rFonts w:hint="eastAsia" w:ascii="宋体" w:eastAsia="宋体" w:cs="Times New Roman"/>
          <w:color w:val="000000"/>
          <w:sz w:val="24"/>
          <w:szCs w:val="24"/>
          <w:highlight w:val="none"/>
        </w:rPr>
        <w:t>约定时间内组织验收，并可依法邀请相关方参加，验收应出具验收书。</w:t>
      </w:r>
    </w:p>
    <w:p>
      <w:pPr>
        <w:spacing w:line="360" w:lineRule="auto"/>
        <w:ind w:firstLine="435"/>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360" w:lineRule="auto"/>
        <w:ind w:firstLine="435"/>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2.17.3检验和验收标准、程序等具体内容以及前述验收书的效力详见</w:t>
      </w:r>
      <w:r>
        <w:rPr>
          <w:rFonts w:ascii="宋体" w:eastAsia="宋体" w:cs="Times New Roman"/>
          <w:b/>
          <w:i/>
          <w:color w:val="000000"/>
          <w:sz w:val="24"/>
          <w:szCs w:val="24"/>
          <w:highlight w:val="none"/>
          <w:u w:val="single"/>
        </w:rPr>
        <w:t>合同专用条款</w:t>
      </w:r>
      <w:r>
        <w:rPr>
          <w:rFonts w:hint="eastAsia" w:ascii="宋体" w:eastAsia="宋体" w:cs="Times New Roman"/>
          <w:i/>
          <w:color w:val="000000"/>
          <w:sz w:val="24"/>
          <w:szCs w:val="24"/>
          <w:highlight w:val="none"/>
        </w:rPr>
        <w:t>。</w:t>
      </w:r>
    </w:p>
    <w:bookmarkEnd w:id="204"/>
    <w:bookmarkEnd w:id="205"/>
    <w:bookmarkEnd w:id="206"/>
    <w:bookmarkEnd w:id="207"/>
    <w:p>
      <w:pPr>
        <w:spacing w:line="360" w:lineRule="auto"/>
        <w:ind w:firstLine="437"/>
        <w:outlineLvl w:val="2"/>
        <w:rPr>
          <w:rFonts w:ascii="宋体" w:eastAsia="宋体" w:cs="Times New Roman"/>
          <w:b/>
          <w:color w:val="000000"/>
          <w:sz w:val="24"/>
          <w:szCs w:val="24"/>
          <w:highlight w:val="none"/>
        </w:rPr>
      </w:pPr>
      <w:bookmarkStart w:id="235" w:name="_Toc4355"/>
      <w:bookmarkStart w:id="236" w:name="_Toc487900372"/>
      <w:bookmarkStart w:id="237" w:name="_Toc259093691"/>
      <w:bookmarkStart w:id="238" w:name="_Toc18540"/>
      <w:bookmarkStart w:id="239" w:name="_Toc30599"/>
      <w:bookmarkStart w:id="240" w:name="_Toc279701262"/>
      <w:r>
        <w:rPr>
          <w:rFonts w:hint="eastAsia" w:ascii="宋体" w:eastAsia="宋体" w:cs="Times New Roman"/>
          <w:b/>
          <w:bCs/>
          <w:color w:val="000000"/>
          <w:sz w:val="24"/>
          <w:szCs w:val="24"/>
          <w:highlight w:val="none"/>
          <w:lang w:val="zh-CN"/>
        </w:rPr>
        <w:t>2.1</w:t>
      </w:r>
      <w:r>
        <w:rPr>
          <w:rFonts w:ascii="宋体" w:eastAsia="宋体" w:cs="Times New Roman"/>
          <w:b/>
          <w:bCs/>
          <w:color w:val="000000"/>
          <w:sz w:val="24"/>
          <w:szCs w:val="24"/>
          <w:highlight w:val="none"/>
          <w:lang w:val="zh-CN"/>
        </w:rPr>
        <w:t>8计量单位</w:t>
      </w:r>
      <w:bookmarkEnd w:id="235"/>
      <w:bookmarkEnd w:id="236"/>
      <w:bookmarkEnd w:id="237"/>
      <w:bookmarkEnd w:id="238"/>
      <w:bookmarkEnd w:id="239"/>
      <w:bookmarkEnd w:id="240"/>
    </w:p>
    <w:p>
      <w:pPr>
        <w:spacing w:line="360" w:lineRule="auto"/>
        <w:ind w:firstLine="435"/>
        <w:rPr>
          <w:rFonts w:ascii="宋体" w:eastAsia="宋体" w:cs="Times New Roman"/>
          <w:color w:val="000000"/>
          <w:sz w:val="24"/>
          <w:szCs w:val="24"/>
          <w:highlight w:val="none"/>
        </w:rPr>
      </w:pPr>
      <w:r>
        <w:rPr>
          <w:rFonts w:ascii="宋体" w:eastAsia="宋体" w:cs="Times New Roman"/>
          <w:color w:val="000000"/>
          <w:sz w:val="24"/>
          <w:szCs w:val="24"/>
          <w:highlight w:val="none"/>
        </w:rPr>
        <w:t>除技术规范中另有规定外,合同的计量单位均使用国家法定计量单位。</w:t>
      </w:r>
    </w:p>
    <w:p>
      <w:pPr>
        <w:spacing w:line="360" w:lineRule="auto"/>
        <w:ind w:firstLine="437"/>
        <w:outlineLvl w:val="2"/>
        <w:rPr>
          <w:rFonts w:ascii="宋体" w:eastAsia="宋体" w:cs="Times New Roman"/>
          <w:b/>
          <w:bCs/>
          <w:color w:val="000000"/>
          <w:sz w:val="24"/>
          <w:szCs w:val="24"/>
          <w:highlight w:val="none"/>
        </w:rPr>
      </w:pPr>
      <w:bookmarkStart w:id="241" w:name="_Toc487900373"/>
      <w:bookmarkStart w:id="242" w:name="_Toc18567"/>
      <w:bookmarkStart w:id="243" w:name="_Toc12773"/>
      <w:bookmarkStart w:id="244" w:name="_Toc10330"/>
      <w:bookmarkStart w:id="245" w:name="_Toc279701263"/>
      <w:bookmarkStart w:id="246" w:name="_Toc259093692"/>
      <w:r>
        <w:rPr>
          <w:rFonts w:hint="eastAsia" w:ascii="宋体" w:eastAsia="宋体" w:cs="Times New Roman"/>
          <w:b/>
          <w:bCs/>
          <w:color w:val="000000"/>
          <w:sz w:val="24"/>
          <w:szCs w:val="24"/>
          <w:highlight w:val="none"/>
        </w:rPr>
        <w:t>2.</w:t>
      </w:r>
      <w:r>
        <w:rPr>
          <w:rFonts w:ascii="宋体" w:eastAsia="宋体" w:cs="Times New Roman"/>
          <w:b/>
          <w:bCs/>
          <w:color w:val="000000"/>
          <w:sz w:val="24"/>
          <w:szCs w:val="24"/>
          <w:highlight w:val="none"/>
        </w:rPr>
        <w:t>19</w:t>
      </w:r>
      <w:r>
        <w:rPr>
          <w:rFonts w:hint="eastAsia" w:ascii="宋体" w:eastAsia="宋体" w:cs="Times New Roman"/>
          <w:b/>
          <w:bCs/>
          <w:color w:val="000000"/>
          <w:sz w:val="24"/>
          <w:szCs w:val="24"/>
          <w:highlight w:val="none"/>
          <w:lang w:val="zh-CN"/>
        </w:rPr>
        <w:t>合同使用的文字和</w:t>
      </w:r>
      <w:r>
        <w:rPr>
          <w:rFonts w:ascii="宋体" w:eastAsia="宋体" w:cs="Times New Roman"/>
          <w:b/>
          <w:bCs/>
          <w:color w:val="000000"/>
          <w:sz w:val="24"/>
          <w:szCs w:val="24"/>
          <w:highlight w:val="none"/>
          <w:lang w:val="zh-CN"/>
        </w:rPr>
        <w:t>适用的法律</w:t>
      </w:r>
      <w:bookmarkEnd w:id="241"/>
      <w:bookmarkEnd w:id="242"/>
      <w:bookmarkEnd w:id="243"/>
      <w:bookmarkEnd w:id="244"/>
      <w:bookmarkEnd w:id="245"/>
      <w:bookmarkEnd w:id="246"/>
    </w:p>
    <w:p>
      <w:pPr>
        <w:spacing w:line="360" w:lineRule="auto"/>
        <w:ind w:firstLine="435"/>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2.</w:t>
      </w:r>
      <w:r>
        <w:rPr>
          <w:rFonts w:ascii="宋体" w:eastAsia="宋体" w:cs="Times New Roman"/>
          <w:color w:val="000000"/>
          <w:sz w:val="24"/>
          <w:szCs w:val="24"/>
          <w:highlight w:val="none"/>
        </w:rPr>
        <w:t>19.1合同使用汉语书就</w:t>
      </w:r>
      <w:r>
        <w:rPr>
          <w:rFonts w:hint="eastAsia" w:ascii="宋体" w:eastAsia="宋体" w:cs="Times New Roman"/>
          <w:color w:val="000000"/>
          <w:sz w:val="24"/>
          <w:szCs w:val="24"/>
          <w:highlight w:val="none"/>
        </w:rPr>
        <w:t>、</w:t>
      </w:r>
      <w:r>
        <w:rPr>
          <w:rFonts w:ascii="宋体" w:eastAsia="宋体" w:cs="Times New Roman"/>
          <w:color w:val="000000"/>
          <w:sz w:val="24"/>
          <w:szCs w:val="24"/>
          <w:highlight w:val="none"/>
        </w:rPr>
        <w:t>变更和解释</w:t>
      </w:r>
      <w:r>
        <w:rPr>
          <w:rFonts w:hint="eastAsia" w:ascii="宋体" w:eastAsia="宋体" w:cs="Times New Roman"/>
          <w:color w:val="000000"/>
          <w:sz w:val="24"/>
          <w:szCs w:val="24"/>
          <w:highlight w:val="none"/>
        </w:rPr>
        <w:t>；</w:t>
      </w:r>
    </w:p>
    <w:p>
      <w:pPr>
        <w:spacing w:line="360" w:lineRule="auto"/>
        <w:ind w:firstLine="435"/>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2.</w:t>
      </w:r>
      <w:r>
        <w:rPr>
          <w:rFonts w:ascii="宋体" w:eastAsia="宋体" w:cs="Times New Roman"/>
          <w:color w:val="000000"/>
          <w:sz w:val="24"/>
          <w:szCs w:val="24"/>
          <w:highlight w:val="none"/>
        </w:rPr>
        <w:t>19</w:t>
      </w:r>
      <w:r>
        <w:rPr>
          <w:rFonts w:hint="eastAsia" w:ascii="宋体" w:eastAsia="宋体" w:cs="Times New Roman"/>
          <w:color w:val="000000"/>
          <w:sz w:val="24"/>
          <w:szCs w:val="24"/>
          <w:highlight w:val="none"/>
        </w:rPr>
        <w:t>.2合同适用</w:t>
      </w:r>
      <w:r>
        <w:rPr>
          <w:rFonts w:ascii="宋体" w:eastAsia="宋体" w:cs="Times New Roman"/>
          <w:color w:val="000000"/>
          <w:sz w:val="24"/>
          <w:szCs w:val="24"/>
          <w:highlight w:val="none"/>
        </w:rPr>
        <w:t>中华人民共和国法律。</w:t>
      </w:r>
    </w:p>
    <w:p>
      <w:pPr>
        <w:spacing w:line="360" w:lineRule="auto"/>
        <w:ind w:firstLine="437"/>
        <w:outlineLvl w:val="2"/>
        <w:rPr>
          <w:rFonts w:ascii="宋体" w:eastAsia="宋体" w:cs="Times New Roman"/>
          <w:b/>
          <w:color w:val="000000"/>
          <w:sz w:val="24"/>
          <w:szCs w:val="24"/>
          <w:highlight w:val="none"/>
        </w:rPr>
      </w:pPr>
      <w:bookmarkStart w:id="247" w:name="_Toc12004"/>
      <w:bookmarkStart w:id="248" w:name="_Toc16673"/>
      <w:bookmarkStart w:id="249" w:name="_Toc259093693"/>
      <w:bookmarkStart w:id="250" w:name="_Toc3148"/>
      <w:bookmarkStart w:id="251" w:name="_Toc279701264"/>
      <w:bookmarkStart w:id="252" w:name="_Toc487900374"/>
      <w:r>
        <w:rPr>
          <w:rFonts w:hint="eastAsia" w:ascii="宋体" w:eastAsia="宋体" w:cs="Times New Roman"/>
          <w:b/>
          <w:bCs/>
          <w:color w:val="000000"/>
          <w:sz w:val="24"/>
          <w:szCs w:val="24"/>
          <w:highlight w:val="none"/>
          <w:lang w:val="zh-CN"/>
        </w:rPr>
        <w:t>2.2</w:t>
      </w:r>
      <w:r>
        <w:rPr>
          <w:rFonts w:ascii="宋体" w:eastAsia="宋体" w:cs="Times New Roman"/>
          <w:b/>
          <w:bCs/>
          <w:color w:val="000000"/>
          <w:sz w:val="24"/>
          <w:szCs w:val="24"/>
          <w:highlight w:val="none"/>
          <w:lang w:val="zh-CN"/>
        </w:rPr>
        <w:t>0履约保证金</w:t>
      </w:r>
      <w:bookmarkEnd w:id="247"/>
      <w:bookmarkEnd w:id="248"/>
      <w:bookmarkEnd w:id="249"/>
      <w:bookmarkEnd w:id="250"/>
      <w:bookmarkEnd w:id="251"/>
    </w:p>
    <w:p>
      <w:pPr>
        <w:spacing w:line="360" w:lineRule="auto"/>
        <w:ind w:firstLine="435"/>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2.2</w:t>
      </w:r>
      <w:r>
        <w:rPr>
          <w:rFonts w:ascii="宋体" w:eastAsia="宋体" w:cs="Times New Roman"/>
          <w:color w:val="000000"/>
          <w:sz w:val="24"/>
          <w:szCs w:val="24"/>
          <w:highlight w:val="none"/>
        </w:rPr>
        <w:t>0</w:t>
      </w:r>
      <w:r>
        <w:rPr>
          <w:rFonts w:hint="eastAsia" w:ascii="宋体" w:eastAsia="宋体" w:cs="Times New Roman"/>
          <w:color w:val="000000"/>
          <w:sz w:val="24"/>
          <w:szCs w:val="24"/>
          <w:highlight w:val="none"/>
        </w:rPr>
        <w:t>.1采购文件要求乙方提交履约保证金的，乙方</w:t>
      </w:r>
      <w:r>
        <w:rPr>
          <w:rFonts w:ascii="宋体" w:eastAsia="宋体" w:cs="Times New Roman"/>
          <w:color w:val="000000"/>
          <w:sz w:val="24"/>
          <w:szCs w:val="24"/>
          <w:highlight w:val="none"/>
        </w:rPr>
        <w:t>应按</w:t>
      </w:r>
      <w:r>
        <w:rPr>
          <w:rFonts w:ascii="宋体" w:eastAsia="宋体" w:cs="Times New Roman"/>
          <w:b/>
          <w:i/>
          <w:color w:val="000000"/>
          <w:sz w:val="24"/>
          <w:szCs w:val="24"/>
          <w:highlight w:val="none"/>
          <w:u w:val="single"/>
        </w:rPr>
        <w:t>合同专用条款</w:t>
      </w:r>
      <w:r>
        <w:rPr>
          <w:rFonts w:ascii="宋体" w:eastAsia="宋体" w:cs="Times New Roman"/>
          <w:color w:val="000000"/>
          <w:sz w:val="24"/>
          <w:szCs w:val="24"/>
          <w:highlight w:val="none"/>
        </w:rPr>
        <w:t>约</w:t>
      </w:r>
      <w:bookmarkStart w:id="339" w:name="_GoBack"/>
      <w:bookmarkEnd w:id="339"/>
      <w:r>
        <w:rPr>
          <w:rFonts w:ascii="宋体" w:eastAsia="宋体" w:cs="Times New Roman"/>
          <w:color w:val="000000"/>
          <w:sz w:val="24"/>
          <w:szCs w:val="24"/>
          <w:highlight w:val="none"/>
        </w:rPr>
        <w:t>定的方式</w:t>
      </w:r>
      <w:r>
        <w:rPr>
          <w:rFonts w:hint="eastAsia" w:ascii="宋体" w:eastAsia="宋体" w:cs="Times New Roman"/>
          <w:color w:val="000000"/>
          <w:sz w:val="24"/>
          <w:szCs w:val="24"/>
          <w:highlight w:val="none"/>
        </w:rPr>
        <w:t>，以支票、汇票、本票或者金融机构、担保机构出具的保函等非现金形式提交；</w:t>
      </w:r>
    </w:p>
    <w:p>
      <w:pPr>
        <w:spacing w:line="360" w:lineRule="auto"/>
        <w:ind w:firstLine="435"/>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2.2</w:t>
      </w:r>
      <w:r>
        <w:rPr>
          <w:rFonts w:ascii="宋体" w:eastAsia="宋体" w:cs="Times New Roman"/>
          <w:color w:val="000000"/>
          <w:sz w:val="24"/>
          <w:szCs w:val="24"/>
          <w:highlight w:val="none"/>
        </w:rPr>
        <w:t>0.2履约保证金在</w:t>
      </w:r>
      <w:r>
        <w:rPr>
          <w:rFonts w:ascii="宋体" w:eastAsia="宋体" w:cs="Times New Roman"/>
          <w:b/>
          <w:i/>
          <w:color w:val="000000"/>
          <w:sz w:val="24"/>
          <w:szCs w:val="24"/>
          <w:highlight w:val="none"/>
          <w:u w:val="single"/>
        </w:rPr>
        <w:t>合同专用条款</w:t>
      </w:r>
      <w:r>
        <w:rPr>
          <w:rFonts w:ascii="宋体" w:eastAsia="宋体" w:cs="Times New Roman"/>
          <w:color w:val="000000"/>
          <w:sz w:val="24"/>
          <w:szCs w:val="24"/>
          <w:highlight w:val="none"/>
        </w:rPr>
        <w:t>约定期间内或者货物质量保证期内不予退还或者应完全有效</w:t>
      </w:r>
      <w:r>
        <w:rPr>
          <w:rFonts w:hint="eastAsia" w:ascii="宋体" w:eastAsia="宋体" w:cs="Times New Roman"/>
          <w:color w:val="000000"/>
          <w:sz w:val="24"/>
          <w:szCs w:val="24"/>
          <w:highlight w:val="none"/>
        </w:rPr>
        <w:t>，前述约定期间届满或者</w:t>
      </w:r>
      <w:r>
        <w:rPr>
          <w:rFonts w:ascii="宋体" w:eastAsia="宋体" w:cs="Times New Roman"/>
          <w:color w:val="000000"/>
          <w:sz w:val="24"/>
          <w:szCs w:val="24"/>
          <w:highlight w:val="none"/>
        </w:rPr>
        <w:t>货物质量保证期届满之日起</w:t>
      </w:r>
      <w:r>
        <w:rPr>
          <w:rFonts w:hint="eastAsia" w:ascii="宋体" w:eastAsia="宋体" w:cs="Times New Roman"/>
          <w:color w:val="000000"/>
          <w:sz w:val="24"/>
          <w:szCs w:val="24"/>
          <w:highlight w:val="none"/>
        </w:rPr>
        <w:t>个</w:t>
      </w:r>
      <w:r>
        <w:rPr>
          <w:rFonts w:ascii="宋体" w:eastAsia="宋体" w:cs="Times New Roman"/>
          <w:color w:val="000000"/>
          <w:sz w:val="24"/>
          <w:szCs w:val="24"/>
          <w:highlight w:val="none"/>
        </w:rPr>
        <w:t>工作日内，甲方应将履约保证金退还乙方</w:t>
      </w:r>
      <w:r>
        <w:rPr>
          <w:rFonts w:hint="eastAsia" w:ascii="宋体" w:eastAsia="宋体" w:cs="Times New Roman"/>
          <w:color w:val="000000"/>
          <w:sz w:val="24"/>
          <w:szCs w:val="24"/>
          <w:highlight w:val="none"/>
        </w:rPr>
        <w:t>，甲方逾期退还履约保证金应承担违约责任。</w:t>
      </w:r>
    </w:p>
    <w:p>
      <w:pPr>
        <w:spacing w:line="360" w:lineRule="auto"/>
        <w:ind w:firstLine="435"/>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2.2</w:t>
      </w:r>
      <w:r>
        <w:rPr>
          <w:rFonts w:ascii="宋体" w:eastAsia="宋体" w:cs="Times New Roman"/>
          <w:color w:val="000000"/>
          <w:sz w:val="24"/>
          <w:szCs w:val="24"/>
          <w:highlight w:val="none"/>
        </w:rPr>
        <w:t>0</w:t>
      </w:r>
      <w:r>
        <w:rPr>
          <w:rFonts w:hint="eastAsia" w:ascii="宋体" w:eastAsia="宋体" w:cs="Times New Roman"/>
          <w:color w:val="000000"/>
          <w:sz w:val="24"/>
          <w:szCs w:val="24"/>
          <w:highlight w:val="none"/>
        </w:rPr>
        <w:t>.3</w:t>
      </w:r>
      <w:r>
        <w:rPr>
          <w:rFonts w:ascii="宋体" w:eastAsia="宋体" w:cs="Times New Roman"/>
          <w:color w:val="000000"/>
          <w:sz w:val="24"/>
          <w:szCs w:val="24"/>
          <w:highlight w:val="none"/>
        </w:rPr>
        <w:t>如果乙方不履行合同</w:t>
      </w:r>
      <w:r>
        <w:rPr>
          <w:rFonts w:hint="eastAsia" w:ascii="宋体" w:eastAsia="宋体" w:cs="Times New Roman"/>
          <w:color w:val="000000"/>
          <w:sz w:val="24"/>
          <w:szCs w:val="24"/>
          <w:highlight w:val="none"/>
        </w:rPr>
        <w:t>，履约保证金不予退还；如果乙方</w:t>
      </w:r>
      <w:r>
        <w:rPr>
          <w:rFonts w:ascii="宋体" w:eastAsia="宋体" w:cs="Times New Roman"/>
          <w:color w:val="000000"/>
          <w:sz w:val="24"/>
          <w:szCs w:val="24"/>
          <w:highlight w:val="none"/>
        </w:rPr>
        <w:t>未能按合同</w:t>
      </w:r>
      <w:r>
        <w:rPr>
          <w:rFonts w:hint="eastAsia" w:ascii="宋体" w:eastAsia="宋体" w:cs="Times New Roman"/>
          <w:color w:val="000000"/>
          <w:sz w:val="24"/>
          <w:szCs w:val="24"/>
          <w:highlight w:val="none"/>
        </w:rPr>
        <w:t>约</w:t>
      </w:r>
      <w:r>
        <w:rPr>
          <w:rFonts w:ascii="宋体" w:eastAsia="宋体" w:cs="Times New Roman"/>
          <w:color w:val="000000"/>
          <w:sz w:val="24"/>
          <w:szCs w:val="24"/>
          <w:highlight w:val="none"/>
        </w:rPr>
        <w:t>定全面履行义务，那么甲方有权从履约保证金中取得补偿或赔偿</w:t>
      </w:r>
      <w:r>
        <w:rPr>
          <w:rFonts w:hint="eastAsia" w:ascii="宋体" w:eastAsia="宋体" w:cs="Times New Roman"/>
          <w:color w:val="000000"/>
          <w:sz w:val="24"/>
          <w:szCs w:val="24"/>
          <w:highlight w:val="none"/>
        </w:rPr>
        <w:t>，同时不影响甲方要求乙方承担合同约定的超过履约保证金的违约责任的权利。</w:t>
      </w:r>
    </w:p>
    <w:bookmarkEnd w:id="252"/>
    <w:p>
      <w:pPr>
        <w:spacing w:line="360" w:lineRule="auto"/>
        <w:ind w:firstLine="437"/>
        <w:outlineLvl w:val="2"/>
        <w:rPr>
          <w:rFonts w:ascii="宋体" w:eastAsia="宋体" w:cs="Times New Roman"/>
          <w:b/>
          <w:color w:val="000000"/>
          <w:sz w:val="24"/>
          <w:szCs w:val="24"/>
          <w:highlight w:val="none"/>
        </w:rPr>
      </w:pPr>
      <w:bookmarkStart w:id="253" w:name="_Toc14001"/>
      <w:bookmarkStart w:id="254" w:name="_Toc19890"/>
      <w:bookmarkStart w:id="255" w:name="_Toc6885"/>
      <w:r>
        <w:rPr>
          <w:rFonts w:hint="eastAsia" w:ascii="宋体" w:eastAsia="宋体" w:cs="Times New Roman"/>
          <w:b/>
          <w:bCs/>
          <w:color w:val="000000"/>
          <w:sz w:val="24"/>
          <w:szCs w:val="24"/>
          <w:highlight w:val="none"/>
          <w:lang w:val="zh-CN"/>
        </w:rPr>
        <w:t>2.2</w:t>
      </w:r>
      <w:r>
        <w:rPr>
          <w:rFonts w:ascii="宋体" w:eastAsia="宋体" w:cs="Times New Roman"/>
          <w:b/>
          <w:bCs/>
          <w:color w:val="000000"/>
          <w:sz w:val="24"/>
          <w:szCs w:val="24"/>
          <w:highlight w:val="none"/>
          <w:lang w:val="zh-CN"/>
        </w:rPr>
        <w:t>1</w:t>
      </w:r>
      <w:r>
        <w:rPr>
          <w:rFonts w:hint="eastAsia" w:ascii="宋体" w:eastAsia="宋体" w:cs="Times New Roman"/>
          <w:b/>
          <w:bCs/>
          <w:color w:val="000000"/>
          <w:sz w:val="24"/>
          <w:szCs w:val="24"/>
          <w:highlight w:val="none"/>
          <w:lang w:val="zh-CN"/>
        </w:rPr>
        <w:t xml:space="preserve"> 合同份数</w:t>
      </w:r>
      <w:bookmarkEnd w:id="253"/>
      <w:bookmarkEnd w:id="254"/>
      <w:bookmarkEnd w:id="255"/>
    </w:p>
    <w:p>
      <w:pPr>
        <w:spacing w:line="360" w:lineRule="auto"/>
        <w:ind w:firstLine="435"/>
        <w:rPr>
          <w:rFonts w:ascii="宋体" w:eastAsia="宋体" w:cs="Times New Roman"/>
          <w:color w:val="000000"/>
          <w:sz w:val="24"/>
          <w:szCs w:val="24"/>
          <w:highlight w:val="none"/>
        </w:rPr>
      </w:pPr>
      <w:r>
        <w:rPr>
          <w:rFonts w:ascii="宋体" w:eastAsia="宋体" w:cs="Times New Roman"/>
          <w:color w:val="000000"/>
          <w:sz w:val="24"/>
          <w:szCs w:val="24"/>
          <w:highlight w:val="none"/>
        </w:rPr>
        <w:t>合同份数按</w:t>
      </w:r>
      <w:r>
        <w:rPr>
          <w:rFonts w:ascii="宋体" w:eastAsia="宋体" w:cs="Times New Roman"/>
          <w:b/>
          <w:i/>
          <w:color w:val="000000"/>
          <w:sz w:val="24"/>
          <w:szCs w:val="24"/>
          <w:highlight w:val="none"/>
          <w:u w:val="single"/>
        </w:rPr>
        <w:t>合同专用条款</w:t>
      </w:r>
      <w:r>
        <w:rPr>
          <w:rFonts w:ascii="宋体" w:eastAsia="宋体" w:cs="Times New Roman"/>
          <w:color w:val="000000"/>
          <w:sz w:val="24"/>
          <w:szCs w:val="24"/>
          <w:highlight w:val="none"/>
        </w:rPr>
        <w:t>规定</w:t>
      </w:r>
      <w:r>
        <w:rPr>
          <w:rFonts w:hint="eastAsia" w:ascii="宋体" w:eastAsia="宋体" w:cs="Times New Roman"/>
          <w:color w:val="000000"/>
          <w:sz w:val="24"/>
          <w:szCs w:val="24"/>
          <w:highlight w:val="none"/>
        </w:rPr>
        <w:t>，</w:t>
      </w:r>
      <w:r>
        <w:rPr>
          <w:rFonts w:ascii="宋体" w:eastAsia="宋体" w:cs="Times New Roman"/>
          <w:color w:val="000000"/>
          <w:sz w:val="24"/>
          <w:szCs w:val="24"/>
          <w:highlight w:val="none"/>
        </w:rPr>
        <w:t>每份均具有同等法律效力</w:t>
      </w:r>
      <w:r>
        <w:rPr>
          <w:rFonts w:hint="eastAsia" w:ascii="宋体" w:eastAsia="宋体" w:cs="Times New Roman"/>
          <w:color w:val="000000"/>
          <w:sz w:val="24"/>
          <w:szCs w:val="24"/>
          <w:highlight w:val="none"/>
        </w:rPr>
        <w:t>。</w:t>
      </w:r>
    </w:p>
    <w:p>
      <w:pPr>
        <w:spacing w:line="360" w:lineRule="auto"/>
        <w:jc w:val="center"/>
        <w:outlineLvl w:val="1"/>
        <w:rPr>
          <w:rFonts w:ascii="宋体" w:eastAsia="宋体"/>
          <w:b/>
          <w:color w:val="000000"/>
          <w:sz w:val="24"/>
          <w:highlight w:val="none"/>
        </w:rPr>
      </w:pPr>
      <w:r>
        <w:rPr>
          <w:rFonts w:ascii="宋体" w:eastAsia="宋体" w:cs="Times New Roman"/>
          <w:color w:val="000000"/>
          <w:sz w:val="24"/>
          <w:szCs w:val="24"/>
          <w:highlight w:val="none"/>
        </w:rPr>
        <w:br w:type="page"/>
      </w:r>
      <w:bookmarkStart w:id="256" w:name="_Toc6553"/>
      <w:bookmarkStart w:id="257" w:name="_Toc331685784"/>
      <w:bookmarkStart w:id="258" w:name="_Toc7070"/>
      <w:r>
        <w:rPr>
          <w:rFonts w:hint="eastAsia" w:ascii="宋体" w:eastAsia="宋体"/>
          <w:b/>
          <w:color w:val="000000"/>
          <w:sz w:val="24"/>
          <w:highlight w:val="none"/>
        </w:rPr>
        <w:t>第三部分合同专用条款</w:t>
      </w:r>
      <w:bookmarkEnd w:id="256"/>
      <w:bookmarkEnd w:id="257"/>
      <w:bookmarkEnd w:id="258"/>
    </w:p>
    <w:p>
      <w:pPr>
        <w:spacing w:line="360" w:lineRule="auto"/>
        <w:ind w:firstLine="435"/>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本部分</w:t>
      </w:r>
      <w:r>
        <w:rPr>
          <w:rFonts w:ascii="宋体" w:eastAsia="宋体" w:cs="Times New Roman"/>
          <w:color w:val="000000"/>
          <w:sz w:val="24"/>
          <w:szCs w:val="24"/>
          <w:highlight w:val="none"/>
        </w:rPr>
        <w:t>是对</w:t>
      </w:r>
      <w:r>
        <w:rPr>
          <w:rFonts w:hint="eastAsia" w:ascii="宋体" w:eastAsia="宋体" w:cs="Times New Roman"/>
          <w:color w:val="000000"/>
          <w:sz w:val="24"/>
          <w:szCs w:val="24"/>
          <w:highlight w:val="none"/>
        </w:rPr>
        <w:t>前两</w:t>
      </w:r>
      <w:r>
        <w:rPr>
          <w:rFonts w:ascii="宋体" w:eastAsia="宋体" w:cs="Times New Roman"/>
          <w:color w:val="000000"/>
          <w:sz w:val="24"/>
          <w:szCs w:val="24"/>
          <w:highlight w:val="none"/>
        </w:rPr>
        <w:t>部分的补充和修改</w:t>
      </w:r>
      <w:r>
        <w:rPr>
          <w:rFonts w:hint="eastAsia" w:ascii="宋体" w:eastAsia="宋体" w:cs="Times New Roman"/>
          <w:color w:val="000000"/>
          <w:sz w:val="24"/>
          <w:szCs w:val="24"/>
          <w:highlight w:val="none"/>
        </w:rPr>
        <w:t>，</w:t>
      </w:r>
      <w:r>
        <w:rPr>
          <w:rFonts w:ascii="宋体" w:eastAsia="宋体" w:cs="Times New Roman"/>
          <w:color w:val="000000"/>
          <w:sz w:val="24"/>
          <w:szCs w:val="24"/>
          <w:highlight w:val="none"/>
        </w:rPr>
        <w:t>如果</w:t>
      </w:r>
      <w:r>
        <w:rPr>
          <w:rFonts w:hint="eastAsia" w:ascii="宋体" w:eastAsia="宋体" w:cs="Times New Roman"/>
          <w:color w:val="000000"/>
          <w:sz w:val="24"/>
          <w:szCs w:val="24"/>
          <w:highlight w:val="none"/>
        </w:rPr>
        <w:t>前两</w:t>
      </w:r>
      <w:r>
        <w:rPr>
          <w:rFonts w:ascii="宋体" w:eastAsia="宋体" w:cs="Times New Roman"/>
          <w:color w:val="000000"/>
          <w:sz w:val="24"/>
          <w:szCs w:val="24"/>
          <w:highlight w:val="none"/>
        </w:rPr>
        <w:t>部分和本部分的约定不一致</w:t>
      </w:r>
      <w:r>
        <w:rPr>
          <w:rFonts w:hint="eastAsia" w:ascii="宋体" w:eastAsia="宋体" w:cs="Times New Roman"/>
          <w:color w:val="000000"/>
          <w:sz w:val="24"/>
          <w:szCs w:val="24"/>
          <w:highlight w:val="none"/>
        </w:rPr>
        <w:t>，</w:t>
      </w:r>
      <w:r>
        <w:rPr>
          <w:rFonts w:ascii="宋体" w:eastAsia="宋体" w:cs="Times New Roman"/>
          <w:color w:val="000000"/>
          <w:sz w:val="24"/>
          <w:szCs w:val="24"/>
          <w:highlight w:val="none"/>
        </w:rPr>
        <w:t>应以本部分的约定为准</w:t>
      </w:r>
      <w:r>
        <w:rPr>
          <w:rFonts w:hint="eastAsia" w:ascii="宋体" w:eastAsia="宋体" w:cs="Times New Roman"/>
          <w:color w:val="000000"/>
          <w:sz w:val="24"/>
          <w:szCs w:val="24"/>
          <w:highlight w:val="none"/>
        </w:rPr>
        <w:t>。</w:t>
      </w:r>
      <w:r>
        <w:rPr>
          <w:rFonts w:ascii="宋体" w:eastAsia="宋体" w:cs="Times New Roman"/>
          <w:color w:val="000000"/>
          <w:sz w:val="24"/>
          <w:szCs w:val="24"/>
          <w:highlight w:val="none"/>
        </w:rPr>
        <w:t>本部分的条款号应与</w:t>
      </w:r>
      <w:r>
        <w:rPr>
          <w:rFonts w:hint="eastAsia" w:ascii="宋体" w:eastAsia="宋体" w:cs="Times New Roman"/>
          <w:color w:val="000000"/>
          <w:sz w:val="24"/>
          <w:szCs w:val="24"/>
          <w:highlight w:val="none"/>
        </w:rPr>
        <w:t>前两部分</w:t>
      </w:r>
      <w:r>
        <w:rPr>
          <w:rFonts w:ascii="宋体" w:eastAsia="宋体" w:cs="Times New Roman"/>
          <w:color w:val="000000"/>
          <w:sz w:val="24"/>
          <w:szCs w:val="24"/>
          <w:highlight w:val="none"/>
        </w:rPr>
        <w:t>的条款号保持对应</w:t>
      </w:r>
      <w:r>
        <w:rPr>
          <w:rFonts w:hint="eastAsia" w:ascii="宋体" w:eastAsia="宋体" w:cs="Times New Roman"/>
          <w:color w:val="000000"/>
          <w:sz w:val="24"/>
          <w:szCs w:val="24"/>
          <w:highlight w:val="none"/>
        </w:rPr>
        <w:t>；与前两部分</w:t>
      </w:r>
      <w:r>
        <w:rPr>
          <w:rFonts w:ascii="宋体" w:eastAsia="宋体" w:cs="Times New Roman"/>
          <w:color w:val="000000"/>
          <w:sz w:val="24"/>
          <w:szCs w:val="24"/>
          <w:highlight w:val="none"/>
        </w:rPr>
        <w:t>无对应关系的内容可另行编制条款号</w:t>
      </w:r>
      <w:r>
        <w:rPr>
          <w:rFonts w:hint="eastAsia" w:ascii="宋体" w:eastAsia="宋体" w:cs="Times New Roman"/>
          <w:color w:val="000000"/>
          <w:sz w:val="24"/>
          <w:szCs w:val="24"/>
          <w:highlight w:val="none"/>
        </w:rPr>
        <w:t>。</w:t>
      </w:r>
    </w:p>
    <w:tbl>
      <w:tblPr>
        <w:tblStyle w:val="24"/>
        <w:tblW w:w="83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4"/>
        <w:gridCol w:w="75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794" w:type="dxa"/>
            <w:tcBorders>
              <w:left w:val="single" w:color="auto" w:sz="4" w:space="0"/>
            </w:tcBorders>
            <w:vAlign w:val="center"/>
          </w:tcPr>
          <w:p>
            <w:pPr>
              <w:jc w:val="center"/>
              <w:rPr>
                <w:rFonts w:ascii="宋体" w:eastAsia="宋体" w:cs="Times New Roman"/>
                <w:b/>
                <w:color w:val="000000"/>
                <w:sz w:val="24"/>
                <w:szCs w:val="24"/>
                <w:highlight w:val="none"/>
              </w:rPr>
            </w:pPr>
            <w:r>
              <w:rPr>
                <w:rFonts w:ascii="宋体" w:eastAsia="宋体" w:cs="Times New Roman"/>
                <w:b/>
                <w:color w:val="000000"/>
                <w:sz w:val="24"/>
                <w:szCs w:val="24"/>
                <w:highlight w:val="none"/>
              </w:rPr>
              <w:t>条款号</w:t>
            </w:r>
          </w:p>
        </w:tc>
        <w:tc>
          <w:tcPr>
            <w:tcW w:w="7568" w:type="dxa"/>
            <w:vAlign w:val="center"/>
          </w:tcPr>
          <w:p>
            <w:pPr>
              <w:jc w:val="center"/>
              <w:rPr>
                <w:rFonts w:ascii="宋体" w:eastAsia="宋体" w:cs="Times New Roman"/>
                <w:b/>
                <w:color w:val="000000"/>
                <w:sz w:val="24"/>
                <w:szCs w:val="24"/>
                <w:highlight w:val="none"/>
              </w:rPr>
            </w:pPr>
            <w:r>
              <w:rPr>
                <w:rFonts w:ascii="宋体" w:eastAsia="宋体" w:cs="Times New Roman"/>
                <w:b/>
                <w:color w:val="000000"/>
                <w:sz w:val="24"/>
                <w:szCs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4" w:type="dxa"/>
            <w:tcBorders>
              <w:left w:val="single" w:color="auto" w:sz="4" w:space="0"/>
            </w:tcBorders>
            <w:vAlign w:val="center"/>
          </w:tcPr>
          <w:p>
            <w:pPr>
              <w:spacing w:line="560" w:lineRule="exact"/>
              <w:jc w:val="center"/>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1</w:t>
            </w:r>
          </w:p>
        </w:tc>
        <w:tc>
          <w:tcPr>
            <w:tcW w:w="7568" w:type="dxa"/>
            <w:vAlign w:val="center"/>
          </w:tcPr>
          <w:p>
            <w:pPr>
              <w:spacing w:line="560" w:lineRule="exact"/>
              <w:rPr>
                <w:rFonts w:ascii="宋体" w:eastAsia="宋体" w:cs="Times New Roman"/>
                <w:sz w:val="24"/>
                <w:szCs w:val="24"/>
                <w:highlight w:val="none"/>
              </w:rPr>
            </w:pPr>
            <w:r>
              <w:rPr>
                <w:rFonts w:ascii="宋体" w:eastAsia="宋体" w:cs="Times New Roman"/>
                <w:sz w:val="24"/>
                <w:szCs w:val="24"/>
                <w:highlight w:val="none"/>
              </w:rPr>
              <w:t>物品质量要求</w:t>
            </w:r>
          </w:p>
          <w:p>
            <w:pPr>
              <w:spacing w:line="560" w:lineRule="exact"/>
              <w:rPr>
                <w:rFonts w:ascii="宋体" w:eastAsia="宋体" w:cs="Times New Roman"/>
                <w:sz w:val="24"/>
                <w:szCs w:val="24"/>
                <w:highlight w:val="none"/>
              </w:rPr>
            </w:pPr>
            <w:r>
              <w:rPr>
                <w:rFonts w:ascii="宋体" w:eastAsia="宋体" w:cs="Times New Roman"/>
                <w:sz w:val="24"/>
                <w:szCs w:val="24"/>
                <w:highlight w:val="none"/>
              </w:rPr>
              <w:t>1.</w:t>
            </w:r>
            <w:r>
              <w:rPr>
                <w:rFonts w:hint="eastAsia" w:ascii="宋体" w:eastAsia="宋体" w:cs="Times New Roman"/>
                <w:sz w:val="24"/>
                <w:szCs w:val="24"/>
                <w:highlight w:val="none"/>
              </w:rPr>
              <w:t>乙方提供的物品必须符合中华人民共和国国家及行业有关标准。</w:t>
            </w:r>
          </w:p>
          <w:p>
            <w:pPr>
              <w:spacing w:line="560" w:lineRule="exact"/>
              <w:rPr>
                <w:rFonts w:ascii="宋体" w:eastAsia="宋体" w:cs="Times New Roman"/>
                <w:sz w:val="24"/>
                <w:szCs w:val="24"/>
                <w:highlight w:val="none"/>
              </w:rPr>
            </w:pPr>
            <w:r>
              <w:rPr>
                <w:rFonts w:ascii="宋体" w:eastAsia="宋体" w:cs="Times New Roman"/>
                <w:sz w:val="24"/>
                <w:szCs w:val="24"/>
                <w:highlight w:val="none"/>
              </w:rPr>
              <w:t>2.</w:t>
            </w:r>
            <w:r>
              <w:rPr>
                <w:rFonts w:hint="eastAsia" w:ascii="宋体" w:eastAsia="宋体" w:cs="Times New Roman"/>
                <w:sz w:val="24"/>
                <w:szCs w:val="24"/>
                <w:highlight w:val="none"/>
              </w:rPr>
              <w:t>乙方提供的物品必须是全新产品（含零部件、配件等）。</w:t>
            </w:r>
          </w:p>
          <w:p>
            <w:pPr>
              <w:spacing w:line="560" w:lineRule="exact"/>
              <w:rPr>
                <w:rFonts w:ascii="宋体" w:eastAsia="宋体" w:cs="Times New Roman"/>
                <w:color w:val="000000"/>
                <w:sz w:val="24"/>
                <w:szCs w:val="24"/>
                <w:highlight w:val="none"/>
              </w:rPr>
            </w:pPr>
            <w:r>
              <w:rPr>
                <w:rFonts w:ascii="宋体" w:eastAsia="宋体" w:cs="Times New Roman"/>
                <w:sz w:val="24"/>
                <w:szCs w:val="24"/>
                <w:highlight w:val="none"/>
              </w:rPr>
              <w:t>3.</w:t>
            </w:r>
            <w:r>
              <w:rPr>
                <w:rFonts w:hint="eastAsia" w:ascii="宋体" w:eastAsia="宋体" w:cs="Times New Roman"/>
                <w:sz w:val="24"/>
                <w:szCs w:val="24"/>
                <w:highlight w:val="none"/>
              </w:rPr>
              <w:t>因物品的质量问题发生争议，由市级质检部门或者第三方鉴定机构进行质量鉴定。物品符合质量标准的，鉴定费由甲方承担；物品不符合质量标准的，鉴定费由乙方承担。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pPr>
              <w:spacing w:line="560" w:lineRule="exact"/>
              <w:jc w:val="center"/>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2</w:t>
            </w:r>
          </w:p>
        </w:tc>
        <w:tc>
          <w:tcPr>
            <w:tcW w:w="7568" w:type="dxa"/>
            <w:vAlign w:val="center"/>
          </w:tcPr>
          <w:p>
            <w:pPr>
              <w:spacing w:line="560" w:lineRule="exact"/>
              <w:ind w:left="465" w:hanging="360"/>
              <w:jc w:val="left"/>
              <w:rPr>
                <w:rFonts w:ascii="宋体" w:eastAsia="宋体" w:cs="Times New Roman"/>
                <w:sz w:val="24"/>
                <w:szCs w:val="24"/>
                <w:highlight w:val="none"/>
              </w:rPr>
            </w:pPr>
            <w:r>
              <w:rPr>
                <w:rFonts w:hint="eastAsia" w:ascii="宋体" w:eastAsia="宋体" w:cs="Times New Roman"/>
                <w:sz w:val="24"/>
                <w:szCs w:val="24"/>
                <w:highlight w:val="none"/>
              </w:rPr>
              <w:t>交货及验收：</w:t>
            </w:r>
          </w:p>
          <w:p>
            <w:pPr>
              <w:numPr>
                <w:ilvl w:val="-1"/>
                <w:numId w:val="0"/>
              </w:numPr>
              <w:spacing w:line="560" w:lineRule="exact"/>
              <w:rPr>
                <w:rFonts w:ascii="宋体" w:eastAsia="宋体" w:cs="Times New Roman"/>
                <w:sz w:val="24"/>
                <w:szCs w:val="24"/>
                <w:highlight w:val="none"/>
              </w:rPr>
            </w:pPr>
            <w:r>
              <w:rPr>
                <w:rFonts w:hint="eastAsia" w:ascii="宋体" w:eastAsia="宋体"/>
                <w:b w:val="0"/>
                <w:bCs w:val="0"/>
                <w:sz w:val="24"/>
                <w:highlight w:val="none"/>
                <w:lang w:val="en-US" w:eastAsia="zh-CN"/>
              </w:rPr>
              <w:t>1.合同履行期限：85日历天。其中</w:t>
            </w:r>
            <w:r>
              <w:rPr>
                <w:rFonts w:hint="eastAsia" w:ascii="宋体" w:eastAsia="宋体"/>
                <w:b w:val="0"/>
                <w:bCs w:val="0"/>
                <w:sz w:val="24"/>
                <w:szCs w:val="18"/>
                <w:highlight w:val="none"/>
              </w:rPr>
              <w:t>合同签订后</w:t>
            </w:r>
            <w:r>
              <w:rPr>
                <w:rFonts w:hint="eastAsia" w:ascii="宋体" w:eastAsia="宋体"/>
                <w:b w:val="0"/>
                <w:bCs w:val="0"/>
                <w:sz w:val="24"/>
                <w:szCs w:val="18"/>
                <w:highlight w:val="none"/>
                <w:lang w:val="en-US" w:eastAsia="zh-CN"/>
              </w:rPr>
              <w:t>25</w:t>
            </w:r>
            <w:r>
              <w:rPr>
                <w:rFonts w:hint="eastAsia" w:ascii="宋体" w:eastAsia="宋体"/>
                <w:b w:val="0"/>
                <w:bCs w:val="0"/>
                <w:sz w:val="24"/>
                <w:szCs w:val="18"/>
                <w:highlight w:val="none"/>
              </w:rPr>
              <w:t>日历天完成供货安装</w:t>
            </w:r>
            <w:r>
              <w:rPr>
                <w:rFonts w:hint="eastAsia" w:ascii="宋体" w:eastAsia="宋体"/>
                <w:b w:val="0"/>
                <w:bCs w:val="0"/>
                <w:sz w:val="24"/>
                <w:szCs w:val="18"/>
                <w:highlight w:val="none"/>
                <w:lang w:val="en-US" w:eastAsia="zh-CN"/>
              </w:rPr>
              <w:t>及调试</w:t>
            </w:r>
            <w:r>
              <w:rPr>
                <w:rFonts w:hint="eastAsia" w:ascii="宋体" w:eastAsia="宋体"/>
                <w:b w:val="0"/>
                <w:bCs w:val="0"/>
                <w:sz w:val="24"/>
                <w:szCs w:val="18"/>
                <w:highlight w:val="none"/>
                <w:lang w:eastAsia="zh-CN"/>
              </w:rPr>
              <w:t>，</w:t>
            </w:r>
            <w:r>
              <w:rPr>
                <w:rFonts w:hint="eastAsia" w:ascii="宋体" w:eastAsia="宋体"/>
                <w:b w:val="0"/>
                <w:bCs w:val="0"/>
                <w:sz w:val="24"/>
                <w:szCs w:val="18"/>
                <w:highlight w:val="none"/>
                <w:lang w:val="en-US" w:eastAsia="zh-CN"/>
              </w:rPr>
              <w:t>安装完成后试运行60天</w:t>
            </w:r>
            <w:r>
              <w:rPr>
                <w:rFonts w:hint="eastAsia" w:ascii="宋体" w:eastAsia="宋体"/>
                <w:b w:val="0"/>
                <w:bCs w:val="0"/>
                <w:sz w:val="24"/>
                <w:szCs w:val="18"/>
                <w:highlight w:val="none"/>
              </w:rPr>
              <w:t>。</w:t>
            </w:r>
          </w:p>
          <w:p>
            <w:pPr>
              <w:spacing w:line="560" w:lineRule="exact"/>
              <w:rPr>
                <w:rFonts w:ascii="宋体" w:eastAsia="宋体" w:cs="Times New Roman"/>
                <w:sz w:val="24"/>
                <w:szCs w:val="24"/>
                <w:highlight w:val="none"/>
              </w:rPr>
            </w:pPr>
            <w:r>
              <w:rPr>
                <w:rFonts w:hint="eastAsia" w:ascii="宋体" w:eastAsia="宋体" w:cs="Times New Roman"/>
                <w:sz w:val="24"/>
                <w:szCs w:val="24"/>
                <w:highlight w:val="none"/>
              </w:rPr>
              <w:t>2.交货地址：皖南医学院滨江校区</w:t>
            </w:r>
          </w:p>
          <w:p>
            <w:pPr>
              <w:spacing w:line="560" w:lineRule="exact"/>
              <w:rPr>
                <w:rFonts w:hint="default" w:ascii="宋体" w:eastAsia="宋体" w:cs="Times New Roman"/>
                <w:sz w:val="24"/>
                <w:szCs w:val="24"/>
                <w:highlight w:val="none"/>
                <w:lang w:val="en-US" w:eastAsia="zh-CN"/>
              </w:rPr>
            </w:pPr>
            <w:r>
              <w:rPr>
                <w:rFonts w:hint="eastAsia" w:ascii="宋体" w:eastAsia="宋体" w:cs="Times New Roman"/>
                <w:sz w:val="24"/>
                <w:szCs w:val="24"/>
                <w:highlight w:val="none"/>
              </w:rPr>
              <w:t>3.收货人及电话：</w:t>
            </w:r>
            <w:r>
              <w:rPr>
                <w:rFonts w:hint="eastAsia" w:ascii="宋体" w:eastAsia="宋体" w:cs="Times New Roman"/>
                <w:sz w:val="24"/>
                <w:szCs w:val="24"/>
                <w:highlight w:val="none"/>
                <w:u w:val="single"/>
                <w:lang w:val="en-US" w:eastAsia="zh-CN"/>
              </w:rPr>
              <w:t xml:space="preserve">     </w:t>
            </w:r>
          </w:p>
          <w:p>
            <w:pPr>
              <w:spacing w:line="560" w:lineRule="exact"/>
              <w:rPr>
                <w:rFonts w:hint="default" w:ascii="宋体" w:eastAsia="宋体" w:cs="Times New Roman"/>
                <w:sz w:val="24"/>
                <w:szCs w:val="24"/>
                <w:highlight w:val="none"/>
                <w:lang w:val="en-US" w:eastAsia="zh-CN"/>
              </w:rPr>
            </w:pPr>
            <w:r>
              <w:rPr>
                <w:rFonts w:hint="eastAsia" w:ascii="宋体" w:eastAsia="宋体" w:cs="Times New Roman"/>
                <w:sz w:val="24"/>
                <w:szCs w:val="24"/>
                <w:highlight w:val="none"/>
              </w:rPr>
              <w:t>4.安装调试：乙方负责安装</w:t>
            </w:r>
            <w:r>
              <w:rPr>
                <w:rFonts w:hint="eastAsia" w:ascii="宋体" w:eastAsia="宋体" w:cs="Times New Roman"/>
                <w:sz w:val="24"/>
                <w:szCs w:val="24"/>
                <w:highlight w:val="none"/>
                <w:lang w:eastAsia="zh-CN"/>
              </w:rPr>
              <w:t>、</w:t>
            </w:r>
            <w:r>
              <w:rPr>
                <w:rFonts w:hint="eastAsia" w:ascii="宋体" w:eastAsia="宋体" w:cs="Times New Roman"/>
                <w:sz w:val="24"/>
                <w:szCs w:val="24"/>
                <w:highlight w:val="none"/>
                <w:lang w:val="en-US" w:eastAsia="zh-CN"/>
              </w:rPr>
              <w:t>调试及运行；</w:t>
            </w:r>
          </w:p>
          <w:p>
            <w:pPr>
              <w:spacing w:line="560" w:lineRule="exact"/>
              <w:rPr>
                <w:rFonts w:ascii="宋体" w:eastAsia="宋体" w:cs="Times New Roman"/>
                <w:sz w:val="24"/>
                <w:szCs w:val="24"/>
                <w:highlight w:val="none"/>
              </w:rPr>
            </w:pPr>
            <w:r>
              <w:rPr>
                <w:rFonts w:hint="eastAsia" w:ascii="宋体" w:eastAsia="宋体" w:cs="Times New Roman"/>
                <w:sz w:val="24"/>
                <w:szCs w:val="24"/>
                <w:highlight w:val="none"/>
              </w:rPr>
              <w:t>5.乙方应将所供物品的用户手册、有关资料及配件等交付给甲方；</w:t>
            </w:r>
          </w:p>
          <w:p>
            <w:pPr>
              <w:spacing w:line="560" w:lineRule="exact"/>
              <w:rPr>
                <w:rFonts w:ascii="宋体" w:eastAsia="宋体" w:cs="Times New Roman"/>
                <w:sz w:val="24"/>
                <w:szCs w:val="24"/>
                <w:highlight w:val="none"/>
              </w:rPr>
            </w:pPr>
            <w:r>
              <w:rPr>
                <w:rFonts w:hint="eastAsia" w:ascii="宋体" w:eastAsia="宋体" w:cs="Times New Roman"/>
                <w:sz w:val="24"/>
                <w:szCs w:val="24"/>
                <w:highlight w:val="none"/>
              </w:rPr>
              <w:t>6.甲方按采购需求和供货清单进行验收。</w:t>
            </w:r>
          </w:p>
          <w:p>
            <w:pPr>
              <w:spacing w:line="560" w:lineRule="exact"/>
              <w:rPr>
                <w:rFonts w:ascii="宋体" w:eastAsia="宋体" w:cs="Times New Roman"/>
                <w:color w:val="000000"/>
                <w:sz w:val="24"/>
                <w:szCs w:val="24"/>
                <w:highlight w:val="none"/>
              </w:rPr>
            </w:pPr>
            <w:r>
              <w:rPr>
                <w:rFonts w:hint="eastAsia" w:ascii="宋体" w:eastAsia="宋体" w:cs="Times New Roman"/>
                <w:sz w:val="24"/>
                <w:szCs w:val="24"/>
                <w:highlight w:val="none"/>
              </w:rPr>
              <w:t>7.结算金额最终已货物发生量为准。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pPr>
              <w:spacing w:line="560" w:lineRule="exact"/>
              <w:jc w:val="center"/>
              <w:rPr>
                <w:rFonts w:hint="eastAsia" w:ascii="宋体" w:eastAsia="宋体" w:cs="Times New Roman"/>
                <w:color w:val="000000"/>
                <w:sz w:val="24"/>
                <w:szCs w:val="24"/>
                <w:highlight w:val="none"/>
                <w:lang w:val="en-US" w:eastAsia="zh-CN"/>
              </w:rPr>
            </w:pPr>
            <w:r>
              <w:rPr>
                <w:rFonts w:hint="eastAsia" w:ascii="宋体" w:eastAsia="宋体" w:cs="Times New Roman"/>
                <w:color w:val="000000"/>
                <w:sz w:val="24"/>
                <w:szCs w:val="24"/>
                <w:highlight w:val="none"/>
                <w:lang w:val="en-US" w:eastAsia="zh-CN"/>
              </w:rPr>
              <w:t>3</w:t>
            </w:r>
          </w:p>
        </w:tc>
        <w:tc>
          <w:tcPr>
            <w:tcW w:w="7568" w:type="dxa"/>
            <w:vAlign w:val="center"/>
          </w:tcPr>
          <w:p>
            <w:pPr>
              <w:spacing w:line="560" w:lineRule="exact"/>
              <w:rPr>
                <w:rFonts w:hint="eastAsia" w:ascii="宋体" w:eastAsia="宋体" w:cs="Times New Roman"/>
                <w:sz w:val="24"/>
                <w:szCs w:val="24"/>
                <w:highlight w:val="none"/>
              </w:rPr>
            </w:pPr>
            <w:r>
              <w:rPr>
                <w:rFonts w:hint="eastAsia" w:ascii="宋体" w:eastAsia="宋体"/>
                <w:b w:val="0"/>
                <w:sz w:val="24"/>
                <w:highlight w:val="none"/>
              </w:rPr>
              <w:t>付款方式</w:t>
            </w:r>
            <w:r>
              <w:rPr>
                <w:rFonts w:hint="eastAsia" w:ascii="宋体" w:eastAsia="宋体"/>
                <w:b w:val="0"/>
                <w:sz w:val="24"/>
                <w:highlight w:val="none"/>
                <w:lang w:eastAsia="zh-CN"/>
              </w:rPr>
              <w:t>：</w:t>
            </w:r>
            <w:r>
              <w:rPr>
                <w:rFonts w:hint="eastAsia" w:ascii="宋体" w:eastAsia="宋体"/>
                <w:b w:val="0"/>
                <w:sz w:val="24"/>
                <w:highlight w:val="none"/>
              </w:rPr>
              <w:t>经采购人验收合格后，一次性付清合同价款。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pPr>
              <w:spacing w:line="560" w:lineRule="exact"/>
              <w:jc w:val="center"/>
              <w:rPr>
                <w:rFonts w:hint="default" w:ascii="宋体" w:eastAsia="宋体" w:cs="Times New Roman"/>
                <w:color w:val="000000"/>
                <w:sz w:val="24"/>
                <w:szCs w:val="24"/>
                <w:highlight w:val="none"/>
                <w:lang w:val="en-US" w:eastAsia="zh-CN"/>
              </w:rPr>
            </w:pPr>
            <w:r>
              <w:rPr>
                <w:rFonts w:hint="eastAsia" w:ascii="宋体" w:eastAsia="宋体" w:cs="Times New Roman"/>
                <w:color w:val="000000"/>
                <w:sz w:val="24"/>
                <w:szCs w:val="24"/>
                <w:highlight w:val="none"/>
                <w:lang w:val="en-US" w:eastAsia="zh-CN"/>
              </w:rPr>
              <w:t>4</w:t>
            </w:r>
          </w:p>
        </w:tc>
        <w:tc>
          <w:tcPr>
            <w:tcW w:w="7568" w:type="dxa"/>
            <w:vAlign w:val="center"/>
          </w:tcPr>
          <w:p>
            <w:pPr>
              <w:spacing w:line="560" w:lineRule="exact"/>
              <w:rPr>
                <w:rFonts w:hint="eastAsia" w:ascii="宋体" w:eastAsia="宋体" w:cs="Times New Roman"/>
                <w:b/>
                <w:bCs/>
                <w:color w:val="000000"/>
                <w:sz w:val="24"/>
                <w:szCs w:val="24"/>
                <w:highlight w:val="none"/>
                <w:lang w:val="zh-CN"/>
              </w:rPr>
            </w:pPr>
            <w:r>
              <w:rPr>
                <w:rFonts w:ascii="宋体" w:eastAsia="宋体" w:cs="Times New Roman"/>
                <w:b/>
                <w:bCs/>
                <w:color w:val="000000"/>
                <w:sz w:val="24"/>
                <w:szCs w:val="24"/>
                <w:highlight w:val="none"/>
                <w:lang w:val="zh-CN"/>
              </w:rPr>
              <w:t>履约保证金</w:t>
            </w:r>
            <w:r>
              <w:rPr>
                <w:rFonts w:hint="eastAsia" w:ascii="宋体" w:eastAsia="宋体" w:cs="Times New Roman"/>
                <w:b/>
                <w:bCs/>
                <w:color w:val="000000"/>
                <w:sz w:val="24"/>
                <w:szCs w:val="24"/>
                <w:highlight w:val="none"/>
                <w:lang w:val="zh-CN"/>
              </w:rPr>
              <w:t>：</w:t>
            </w:r>
          </w:p>
          <w:p>
            <w:pPr>
              <w:widowControl w:val="0"/>
              <w:spacing w:before="0" w:beforeAutospacing="0" w:after="0" w:afterAutospacing="0" w:line="360" w:lineRule="auto"/>
              <w:jc w:val="both"/>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rPr>
              <w:t>（1）金额：</w:t>
            </w:r>
            <w:r>
              <w:rPr>
                <w:rFonts w:hint="eastAsia" w:ascii="宋体" w:hAnsi="宋体" w:eastAsia="宋体" w:cs="@仿宋_GB2312"/>
                <w:bCs/>
                <w:color w:val="auto"/>
                <w:kern w:val="0"/>
                <w:sz w:val="24"/>
                <w:szCs w:val="28"/>
                <w:highlight w:val="none"/>
              </w:rPr>
              <w:sym w:font="Wingdings" w:char="00FE"/>
            </w:r>
            <w:r>
              <w:rPr>
                <w:rFonts w:hint="eastAsia" w:ascii="宋体" w:hAnsi="宋体" w:eastAsia="宋体" w:cs="@仿宋_GB2312"/>
                <w:bCs/>
                <w:color w:val="auto"/>
                <w:kern w:val="0"/>
                <w:sz w:val="24"/>
                <w:szCs w:val="28"/>
                <w:highlight w:val="none"/>
              </w:rPr>
              <w:t>签约合同价</w:t>
            </w:r>
            <w:r>
              <w:rPr>
                <w:rFonts w:hint="eastAsia" w:ascii="宋体" w:hAnsi="宋体" w:eastAsia="宋体" w:cs="@仿宋_GB2312"/>
                <w:b w:val="0"/>
                <w:bCs/>
                <w:color w:val="auto"/>
                <w:kern w:val="0"/>
                <w:sz w:val="24"/>
                <w:szCs w:val="28"/>
                <w:highlight w:val="none"/>
                <w:lang w:val="en-US" w:eastAsia="zh-CN" w:bidi="ar-SA"/>
              </w:rPr>
              <w:t>的</w:t>
            </w:r>
            <w:r>
              <w:rPr>
                <w:rFonts w:hint="eastAsia" w:ascii="宋体" w:hAnsi="宋体" w:eastAsia="宋体" w:cs="@仿宋_GB2312"/>
                <w:b w:val="0"/>
                <w:bCs/>
                <w:color w:val="auto"/>
                <w:kern w:val="0"/>
                <w:sz w:val="24"/>
                <w:szCs w:val="28"/>
                <w:highlight w:val="none"/>
                <w:u w:val="none"/>
                <w:lang w:val="en-US" w:eastAsia="zh-CN" w:bidi="ar-SA"/>
              </w:rPr>
              <w:t xml:space="preserve"> 2 </w:t>
            </w:r>
            <w:r>
              <w:rPr>
                <w:rFonts w:hint="eastAsia" w:ascii="宋体" w:hAnsi="宋体" w:eastAsia="宋体" w:cs="@仿宋_GB2312"/>
                <w:b w:val="0"/>
                <w:bCs/>
                <w:color w:val="auto"/>
                <w:kern w:val="0"/>
                <w:sz w:val="24"/>
                <w:szCs w:val="28"/>
                <w:highlight w:val="none"/>
                <w:lang w:val="en-US" w:eastAsia="zh-CN" w:bidi="ar-SA"/>
              </w:rPr>
              <w:t>%</w:t>
            </w:r>
          </w:p>
          <w:p>
            <w:pPr>
              <w:spacing w:line="360" w:lineRule="auto"/>
              <w:rPr>
                <w:rFonts w:ascii="宋体" w:hAnsi="宋体" w:eastAsia="宋体" w:cs="@仿宋_GB2312"/>
                <w:bCs/>
                <w:color w:val="auto"/>
                <w:kern w:val="0"/>
                <w:sz w:val="24"/>
                <w:szCs w:val="28"/>
                <w:highlight w:val="none"/>
              </w:rPr>
            </w:pPr>
            <w:r>
              <w:rPr>
                <w:rFonts w:hint="eastAsia" w:ascii="宋体" w:hAnsi="宋体" w:eastAsia="宋体" w:cs="@仿宋_GB2312"/>
                <w:bCs/>
                <w:color w:val="auto"/>
                <w:kern w:val="0"/>
                <w:sz w:val="24"/>
                <w:szCs w:val="28"/>
                <w:highlight w:val="none"/>
              </w:rPr>
              <w:t>（2）支付方式：</w:t>
            </w:r>
          </w:p>
          <w:p>
            <w:pPr>
              <w:spacing w:line="360" w:lineRule="auto"/>
              <w:rPr>
                <w:rFonts w:hint="eastAsia" w:ascii="宋体" w:hAnsi="宋体" w:eastAsia="宋体" w:cs="@仿宋_GB2312"/>
                <w:bCs/>
                <w:color w:val="auto"/>
                <w:kern w:val="0"/>
                <w:sz w:val="24"/>
                <w:szCs w:val="28"/>
                <w:highlight w:val="none"/>
                <w:lang w:val="en-US" w:eastAsia="zh-CN"/>
              </w:rPr>
            </w:pPr>
            <w:r>
              <w:rPr>
                <w:rFonts w:hint="eastAsia" w:ascii="宋体" w:hAnsi="宋体" w:eastAsia="宋体" w:cs="@仿宋_GB2312"/>
                <w:sz w:val="24"/>
                <w:szCs w:val="20"/>
                <w:highlight w:val="none"/>
              </w:rPr>
              <w:sym w:font="Wingdings" w:char="00FE"/>
            </w:r>
            <w:r>
              <w:rPr>
                <w:rFonts w:ascii="宋体" w:hAnsi="宋体" w:eastAsia="宋体" w:cs="@仿宋_GB2312"/>
                <w:bCs/>
                <w:color w:val="auto"/>
                <w:kern w:val="0"/>
                <w:sz w:val="24"/>
                <w:szCs w:val="28"/>
                <w:highlight w:val="none"/>
              </w:rPr>
              <w:t>转账/电汇</w:t>
            </w:r>
            <w:r>
              <w:rPr>
                <w:rFonts w:hint="eastAsia" w:ascii="宋体" w:hAnsi="宋体" w:eastAsia="宋体" w:cs="@仿宋_GB2312"/>
                <w:bCs/>
                <w:color w:val="auto"/>
                <w:kern w:val="0"/>
                <w:sz w:val="24"/>
                <w:szCs w:val="28"/>
                <w:highlight w:val="none"/>
              </w:rPr>
              <w:t xml:space="preserve"> </w:t>
            </w:r>
            <w:r>
              <w:rPr>
                <w:rFonts w:hint="eastAsia" w:ascii="宋体" w:hAnsi="宋体" w:eastAsia="宋体" w:cs="@仿宋_GB2312"/>
                <w:sz w:val="24"/>
                <w:szCs w:val="20"/>
                <w:highlight w:val="none"/>
              </w:rPr>
              <w:sym w:font="Wingdings" w:char="00FE"/>
            </w:r>
            <w:r>
              <w:rPr>
                <w:rFonts w:ascii="宋体" w:hAnsi="宋体" w:eastAsia="宋体" w:cs="@仿宋_GB2312"/>
                <w:bCs/>
                <w:color w:val="auto"/>
                <w:kern w:val="0"/>
                <w:sz w:val="24"/>
                <w:szCs w:val="28"/>
                <w:highlight w:val="none"/>
              </w:rPr>
              <w:t xml:space="preserve">支票 </w:t>
            </w:r>
            <w:r>
              <w:rPr>
                <w:rFonts w:hint="eastAsia" w:ascii="宋体" w:hAnsi="宋体" w:eastAsia="宋体" w:cs="@仿宋_GB2312"/>
                <w:sz w:val="24"/>
                <w:szCs w:val="20"/>
                <w:highlight w:val="none"/>
              </w:rPr>
              <w:sym w:font="Wingdings" w:char="00FE"/>
            </w:r>
            <w:r>
              <w:rPr>
                <w:rFonts w:ascii="宋体" w:hAnsi="宋体" w:eastAsia="宋体" w:cs="@仿宋_GB2312"/>
                <w:bCs/>
                <w:color w:val="auto"/>
                <w:kern w:val="0"/>
                <w:sz w:val="24"/>
                <w:szCs w:val="28"/>
                <w:highlight w:val="none"/>
              </w:rPr>
              <w:t>汇票</w:t>
            </w:r>
            <w:r>
              <w:rPr>
                <w:rFonts w:hint="eastAsia" w:ascii="宋体" w:hAnsi="宋体" w:eastAsia="宋体" w:cs="@仿宋_GB2312"/>
                <w:bCs/>
                <w:color w:val="auto"/>
                <w:kern w:val="0"/>
                <w:sz w:val="24"/>
                <w:szCs w:val="28"/>
                <w:highlight w:val="none"/>
              </w:rPr>
              <w:t xml:space="preserve"> </w:t>
            </w:r>
            <w:r>
              <w:rPr>
                <w:rFonts w:hint="eastAsia" w:ascii="宋体" w:hAnsi="宋体" w:eastAsia="宋体" w:cs="@仿宋_GB2312"/>
                <w:sz w:val="24"/>
                <w:szCs w:val="20"/>
                <w:highlight w:val="none"/>
              </w:rPr>
              <w:sym w:font="Wingdings" w:char="00FE"/>
            </w:r>
            <w:r>
              <w:rPr>
                <w:rFonts w:hint="eastAsia" w:ascii="宋体" w:hAnsi="宋体" w:eastAsia="宋体" w:cs="@仿宋_GB2312"/>
                <w:bCs/>
                <w:color w:val="auto"/>
                <w:kern w:val="0"/>
                <w:sz w:val="24"/>
                <w:szCs w:val="28"/>
                <w:highlight w:val="none"/>
              </w:rPr>
              <w:t xml:space="preserve">本票 </w:t>
            </w:r>
            <w:r>
              <w:rPr>
                <w:rFonts w:hint="eastAsia" w:ascii="宋体" w:hAnsi="宋体" w:eastAsia="宋体" w:cs="@仿宋_GB2312"/>
                <w:sz w:val="24"/>
                <w:szCs w:val="20"/>
                <w:highlight w:val="none"/>
              </w:rPr>
              <w:sym w:font="Wingdings" w:char="00FE"/>
            </w:r>
            <w:r>
              <w:rPr>
                <w:rFonts w:hint="eastAsia" w:ascii="宋体" w:hAnsi="宋体" w:eastAsia="宋体" w:cs="@仿宋_GB2312"/>
                <w:bCs/>
                <w:color w:val="auto"/>
                <w:kern w:val="0"/>
                <w:sz w:val="24"/>
                <w:szCs w:val="28"/>
                <w:highlight w:val="none"/>
              </w:rPr>
              <w:t>保</w:t>
            </w:r>
            <w:r>
              <w:rPr>
                <w:rFonts w:ascii="宋体" w:hAnsi="宋体" w:eastAsia="宋体" w:cs="@仿宋_GB2312"/>
                <w:bCs/>
                <w:color w:val="auto"/>
                <w:kern w:val="0"/>
                <w:sz w:val="24"/>
                <w:szCs w:val="28"/>
                <w:highlight w:val="none"/>
              </w:rPr>
              <w:t>函</w:t>
            </w:r>
            <w:r>
              <w:rPr>
                <w:rFonts w:hint="eastAsia" w:ascii="宋体" w:hAnsi="宋体" w:eastAsia="宋体" w:cs="@仿宋_GB2312"/>
                <w:bCs/>
                <w:color w:val="auto"/>
                <w:kern w:val="0"/>
                <w:sz w:val="24"/>
                <w:szCs w:val="28"/>
                <w:highlight w:val="none"/>
                <w:lang w:val="en-US" w:eastAsia="zh-CN"/>
              </w:rPr>
              <w:t xml:space="preserve"> </w:t>
            </w:r>
            <w:r>
              <w:rPr>
                <w:rFonts w:hint="eastAsia" w:ascii="宋体" w:hAnsi="宋体" w:eastAsia="宋体" w:cs="@仿宋_GB2312"/>
                <w:sz w:val="24"/>
                <w:szCs w:val="20"/>
                <w:highlight w:val="none"/>
              </w:rPr>
              <w:sym w:font="Wingdings" w:char="00FE"/>
            </w:r>
            <w:r>
              <w:rPr>
                <w:rFonts w:hint="eastAsia" w:ascii="宋体" w:hAnsi="宋体" w:eastAsia="宋体" w:cs="@仿宋_GB2312"/>
                <w:bCs/>
                <w:color w:val="auto"/>
                <w:kern w:val="0"/>
                <w:sz w:val="24"/>
                <w:szCs w:val="28"/>
                <w:highlight w:val="none"/>
                <w:lang w:val="en-US" w:eastAsia="zh-CN"/>
              </w:rPr>
              <w:t>保证保险</w:t>
            </w:r>
          </w:p>
          <w:p>
            <w:pPr>
              <w:numPr>
                <w:ilvl w:val="-1"/>
                <w:numId w:val="0"/>
              </w:numPr>
              <w:spacing w:line="360" w:lineRule="auto"/>
              <w:rPr>
                <w:rFonts w:hint="eastAsia" w:ascii="宋体" w:hAnsi="宋体" w:eastAsia="宋体" w:cs="@仿宋_GB2312"/>
                <w:bCs/>
                <w:color w:val="auto"/>
                <w:kern w:val="0"/>
                <w:sz w:val="24"/>
                <w:szCs w:val="28"/>
                <w:highlight w:val="none"/>
              </w:rPr>
            </w:pPr>
            <w:r>
              <w:rPr>
                <w:rFonts w:hint="eastAsia" w:ascii="宋体" w:hAnsi="宋体" w:eastAsia="宋体" w:cs="@仿宋_GB2312"/>
                <w:bCs/>
                <w:color w:val="auto"/>
                <w:kern w:val="0"/>
                <w:sz w:val="24"/>
                <w:szCs w:val="28"/>
                <w:highlight w:val="none"/>
                <w:lang w:val="en-US" w:eastAsia="zh-CN"/>
              </w:rPr>
              <w:t>注：①</w:t>
            </w:r>
            <w:r>
              <w:rPr>
                <w:rFonts w:hint="eastAsia" w:ascii="宋体" w:hAnsi="宋体" w:eastAsia="宋体" w:cs="@仿宋_GB2312"/>
                <w:bCs/>
                <w:color w:val="auto"/>
                <w:kern w:val="0"/>
                <w:sz w:val="24"/>
                <w:szCs w:val="28"/>
                <w:highlight w:val="none"/>
              </w:rPr>
              <w:t>以上各类机构出具的以担保函、保证保险承担责任的方式均须满足无条件见索即付条件。</w:t>
            </w:r>
          </w:p>
          <w:p>
            <w:pPr>
              <w:widowControl/>
              <w:numPr>
                <w:ilvl w:val="-1"/>
                <w:numId w:val="0"/>
              </w:numPr>
              <w:spacing w:before="0" w:beforeAutospacing="0" w:after="0" w:afterAutospacing="0" w:line="360" w:lineRule="auto"/>
              <w:jc w:val="left"/>
              <w:rPr>
                <w:rFonts w:hint="eastAsia" w:ascii="宋体" w:hAnsi="宋体" w:eastAsia="宋体" w:cs="@仿宋_GB2312"/>
                <w:b w:val="0"/>
                <w:bCs/>
                <w:i w:val="0"/>
                <w:iCs w:val="0"/>
                <w:color w:val="auto"/>
                <w:kern w:val="0"/>
                <w:sz w:val="24"/>
                <w:szCs w:val="28"/>
                <w:highlight w:val="none"/>
                <w:lang w:val="en-US" w:eastAsia="zh-CN" w:bidi="ar-SA"/>
              </w:rPr>
            </w:pPr>
            <w:r>
              <w:rPr>
                <w:rFonts w:hint="eastAsia" w:ascii="宋体" w:hAnsi="宋体" w:eastAsia="宋体" w:cs="@仿宋_GB2312"/>
                <w:bCs/>
                <w:color w:val="auto"/>
                <w:kern w:val="0"/>
                <w:sz w:val="24"/>
                <w:szCs w:val="28"/>
                <w:highlight w:val="none"/>
                <w:lang w:val="en-US" w:eastAsia="zh-CN"/>
              </w:rPr>
              <w:t>②</w:t>
            </w:r>
            <w:r>
              <w:rPr>
                <w:rFonts w:hint="eastAsia" w:ascii="宋体" w:hAnsi="宋体" w:eastAsia="宋体" w:cs="@仿宋_GB2312"/>
                <w:bCs/>
                <w:color w:val="auto"/>
                <w:kern w:val="0"/>
                <w:sz w:val="24"/>
                <w:szCs w:val="28"/>
                <w:highlight w:val="none"/>
              </w:rPr>
              <w:t>以担保函、保证保险形式缴纳履约保证金的，受益人和收取单位须为采购人。</w:t>
            </w:r>
          </w:p>
          <w:p>
            <w:pPr>
              <w:widowControl w:val="0"/>
              <w:numPr>
                <w:ilvl w:val="0"/>
                <w:numId w:val="0"/>
              </w:numPr>
              <w:spacing w:before="0" w:beforeAutospacing="0" w:after="0" w:afterAutospacing="0" w:line="360" w:lineRule="auto"/>
              <w:jc w:val="both"/>
              <w:rPr>
                <w:rFonts w:ascii="宋体" w:hAnsi="宋体" w:eastAsia="宋体" w:cs="@仿宋_GB2312"/>
                <w:b w:val="0"/>
                <w:bCs/>
                <w:color w:val="auto"/>
                <w:kern w:val="0"/>
                <w:sz w:val="24"/>
                <w:szCs w:val="28"/>
                <w:highlight w:val="none"/>
                <w:lang w:val="en-US" w:eastAsia="zh-CN" w:bidi="ar-SA"/>
              </w:rPr>
            </w:pPr>
            <w:r>
              <w:rPr>
                <w:rFonts w:ascii="宋体" w:hAnsi="宋体" w:eastAsia="宋体" w:cs="@仿宋_GB2312"/>
                <w:b w:val="0"/>
                <w:bCs/>
                <w:color w:val="auto"/>
                <w:kern w:val="0"/>
                <w:sz w:val="24"/>
                <w:szCs w:val="28"/>
                <w:highlight w:val="none"/>
                <w:lang w:val="en-US" w:eastAsia="zh-CN" w:bidi="ar-SA"/>
              </w:rPr>
              <w:t>（</w:t>
            </w:r>
            <w:r>
              <w:rPr>
                <w:rFonts w:hint="eastAsia" w:ascii="宋体" w:hAnsi="宋体" w:eastAsia="宋体" w:cs="@仿宋_GB2312"/>
                <w:b w:val="0"/>
                <w:bCs/>
                <w:color w:val="auto"/>
                <w:kern w:val="0"/>
                <w:sz w:val="24"/>
                <w:szCs w:val="28"/>
                <w:highlight w:val="none"/>
                <w:lang w:val="en-US" w:eastAsia="zh-CN" w:bidi="ar-SA"/>
              </w:rPr>
              <w:t>3</w:t>
            </w:r>
            <w:r>
              <w:rPr>
                <w:rFonts w:ascii="宋体" w:hAnsi="宋体" w:eastAsia="宋体" w:cs="@仿宋_GB2312"/>
                <w:b w:val="0"/>
                <w:bCs/>
                <w:color w:val="auto"/>
                <w:kern w:val="0"/>
                <w:sz w:val="24"/>
                <w:szCs w:val="28"/>
                <w:highlight w:val="none"/>
                <w:lang w:val="en-US" w:eastAsia="zh-CN" w:bidi="ar-SA"/>
              </w:rPr>
              <w:t>）</w:t>
            </w:r>
            <w:r>
              <w:rPr>
                <w:rFonts w:hint="eastAsia" w:ascii="宋体" w:hAnsi="宋体" w:eastAsia="宋体" w:cs="@仿宋_GB2312"/>
                <w:b w:val="0"/>
                <w:bCs/>
                <w:color w:val="auto"/>
                <w:kern w:val="0"/>
                <w:sz w:val="24"/>
                <w:szCs w:val="28"/>
                <w:highlight w:val="none"/>
                <w:lang w:val="en-US" w:eastAsia="zh-CN" w:bidi="ar-SA"/>
              </w:rPr>
              <w:t>缴纳时间：</w:t>
            </w:r>
            <w:r>
              <w:rPr>
                <w:rFonts w:ascii="宋体" w:hAnsi="宋体" w:eastAsia="宋体" w:cs="@仿宋_GB2312"/>
                <w:b w:val="0"/>
                <w:bCs/>
                <w:color w:val="auto"/>
                <w:kern w:val="0"/>
                <w:sz w:val="24"/>
                <w:szCs w:val="28"/>
                <w:highlight w:val="none"/>
                <w:u w:val="single"/>
                <w:lang w:val="en-US" w:eastAsia="zh-CN" w:bidi="ar-SA"/>
              </w:rPr>
              <w:t>合同签订前</w:t>
            </w:r>
          </w:p>
          <w:p>
            <w:pPr>
              <w:widowControl w:val="0"/>
              <w:spacing w:before="0" w:beforeAutospacing="0" w:after="0" w:afterAutospacing="0" w:line="360" w:lineRule="auto"/>
              <w:jc w:val="both"/>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（4）退还时间：履约保证金在合同生效之日起至项目验收合格前一直有效，验收合格后7个日历日内采购人应将履约保证金款项退还给供应商或者解除履约担保。</w:t>
            </w:r>
          </w:p>
          <w:p>
            <w:pPr>
              <w:spacing w:line="560" w:lineRule="exact"/>
              <w:rPr>
                <w:rFonts w:hint="eastAsia" w:ascii="宋体" w:eastAsia="宋体" w:cs="Times New Roman"/>
                <w:b/>
                <w:bCs/>
                <w:color w:val="000000"/>
                <w:sz w:val="24"/>
                <w:szCs w:val="24"/>
                <w:highlight w:val="none"/>
                <w:lang w:val="zh-CN"/>
              </w:rPr>
            </w:pPr>
            <w:r>
              <w:rPr>
                <w:rFonts w:hint="eastAsia" w:ascii="宋体" w:hAnsi="宋体" w:eastAsia="宋体" w:cs="@仿宋_GB2312"/>
                <w:b w:val="0"/>
                <w:color w:val="auto"/>
                <w:sz w:val="24"/>
                <w:szCs w:val="20"/>
                <w:highlight w:val="none"/>
              </w:rPr>
              <w:t>如果供应商不履行合同，履约保证金不予退还；如果供应商未能按合同约定全面履行义务，采购人有权从履约保证金中取得补偿或赔偿，同时不影响采购人要求供应商承担合同约定的超过履约保证金的违约责任的权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pPr>
              <w:spacing w:line="560" w:lineRule="exact"/>
              <w:jc w:val="center"/>
              <w:rPr>
                <w:rFonts w:hint="eastAsia" w:ascii="宋体" w:eastAsia="宋体" w:cs="Times New Roman"/>
                <w:color w:val="000000"/>
                <w:sz w:val="24"/>
                <w:szCs w:val="24"/>
                <w:highlight w:val="none"/>
                <w:lang w:eastAsia="zh-CN"/>
              </w:rPr>
            </w:pPr>
            <w:r>
              <w:rPr>
                <w:rFonts w:hint="eastAsia" w:ascii="宋体" w:eastAsia="宋体" w:cs="Times New Roman"/>
                <w:color w:val="000000"/>
                <w:sz w:val="24"/>
                <w:szCs w:val="24"/>
                <w:highlight w:val="none"/>
                <w:lang w:val="en-US" w:eastAsia="zh-CN"/>
              </w:rPr>
              <w:t>5</w:t>
            </w:r>
          </w:p>
        </w:tc>
        <w:tc>
          <w:tcPr>
            <w:tcW w:w="7568" w:type="dxa"/>
            <w:vAlign w:val="center"/>
          </w:tcPr>
          <w:p>
            <w:pPr>
              <w:spacing w:line="560" w:lineRule="exact"/>
              <w:rPr>
                <w:rFonts w:ascii="宋体" w:eastAsia="宋体" w:cs="Times New Roman"/>
                <w:color w:val="000000"/>
                <w:sz w:val="24"/>
                <w:szCs w:val="24"/>
                <w:highlight w:val="none"/>
              </w:rPr>
            </w:pPr>
            <w:r>
              <w:rPr>
                <w:rFonts w:hint="eastAsia" w:ascii="宋体" w:eastAsia="宋体" w:cs="Times New Roman"/>
                <w:color w:val="000000"/>
                <w:sz w:val="24"/>
                <w:szCs w:val="24"/>
                <w:highlight w:val="none"/>
                <w:lang w:val="en-US" w:eastAsia="zh-CN"/>
              </w:rPr>
              <w:t>1.</w:t>
            </w:r>
            <w:r>
              <w:rPr>
                <w:rFonts w:hint="eastAsia" w:ascii="宋体" w:eastAsia="宋体" w:cs="Times New Roman"/>
                <w:color w:val="000000"/>
                <w:sz w:val="24"/>
                <w:szCs w:val="24"/>
                <w:highlight w:val="none"/>
              </w:rPr>
              <w:t>履约验收方案</w:t>
            </w:r>
          </w:p>
          <w:p>
            <w:pPr>
              <w:spacing w:line="560" w:lineRule="exact"/>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履约验收主体：甲方</w:t>
            </w:r>
          </w:p>
          <w:p>
            <w:pPr>
              <w:spacing w:line="560" w:lineRule="exact"/>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 xml:space="preserve">供应商参与验收：  </w:t>
            </w:r>
            <w:r>
              <w:rPr>
                <w:rFonts w:hint="eastAsia" w:ascii="宋体" w:eastAsia="宋体" w:cs="Times New Roman"/>
                <w:color w:val="000000"/>
                <w:sz w:val="24"/>
                <w:szCs w:val="24"/>
                <w:highlight w:val="none"/>
                <w:lang w:eastAsia="zh-CN"/>
              </w:rPr>
              <w:t>□</w:t>
            </w:r>
            <w:r>
              <w:rPr>
                <w:rFonts w:hint="eastAsia" w:ascii="宋体" w:eastAsia="宋体" w:cs="Times New Roman"/>
                <w:color w:val="000000"/>
                <w:sz w:val="24"/>
                <w:szCs w:val="24"/>
                <w:highlight w:val="none"/>
              </w:rPr>
              <w:t xml:space="preserve">需要     </w:t>
            </w:r>
            <w:r>
              <w:rPr>
                <w:rFonts w:hint="eastAsia" w:ascii="宋体" w:eastAsia="宋体" w:cs="Times New Roman"/>
                <w:color w:val="000000"/>
                <w:sz w:val="24"/>
                <w:szCs w:val="24"/>
                <w:highlight w:val="none"/>
                <w:lang w:eastAsia="zh-CN"/>
              </w:rPr>
              <w:t>☑</w:t>
            </w:r>
            <w:r>
              <w:rPr>
                <w:rFonts w:hint="eastAsia" w:ascii="宋体" w:eastAsia="宋体" w:cs="Times New Roman"/>
                <w:color w:val="000000"/>
                <w:sz w:val="24"/>
                <w:szCs w:val="24"/>
                <w:highlight w:val="none"/>
              </w:rPr>
              <w:t>不需要</w:t>
            </w:r>
          </w:p>
          <w:p>
            <w:pPr>
              <w:spacing w:line="560" w:lineRule="exact"/>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 xml:space="preserve">第三方机构参与验收：□需要     </w:t>
            </w:r>
            <w:r>
              <w:rPr>
                <w:rFonts w:hint="eastAsia" w:ascii="宋体" w:eastAsia="宋体" w:cs="Times New Roman"/>
                <w:color w:val="000000"/>
                <w:sz w:val="24"/>
                <w:szCs w:val="24"/>
                <w:highlight w:val="none"/>
                <w:lang w:eastAsia="zh-CN"/>
              </w:rPr>
              <w:t>☑</w:t>
            </w:r>
            <w:r>
              <w:rPr>
                <w:rFonts w:hint="eastAsia" w:ascii="宋体" w:eastAsia="宋体" w:cs="Times New Roman"/>
                <w:color w:val="000000"/>
                <w:sz w:val="24"/>
                <w:szCs w:val="24"/>
                <w:highlight w:val="none"/>
              </w:rPr>
              <w:t>不需要</w:t>
            </w:r>
          </w:p>
          <w:p>
            <w:pPr>
              <w:spacing w:line="560" w:lineRule="exact"/>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2.履约验收时间</w:t>
            </w:r>
          </w:p>
          <w:p>
            <w:pPr>
              <w:spacing w:line="560" w:lineRule="exact"/>
              <w:rPr>
                <w:rFonts w:ascii="宋体" w:eastAsia="宋体" w:cs="Times New Roman"/>
                <w:color w:val="000000"/>
                <w:sz w:val="24"/>
                <w:szCs w:val="24"/>
                <w:highlight w:val="none"/>
              </w:rPr>
            </w:pPr>
            <w:r>
              <w:rPr>
                <w:rFonts w:hint="eastAsia" w:ascii="宋体" w:eastAsia="宋体"/>
                <w:bCs/>
                <w:kern w:val="0"/>
                <w:sz w:val="24"/>
                <w:szCs w:val="28"/>
                <w:highlight w:val="none"/>
              </w:rPr>
              <w:t>履行</w:t>
            </w:r>
            <w:r>
              <w:rPr>
                <w:rFonts w:hint="eastAsia" w:ascii="宋体" w:eastAsia="宋体"/>
                <w:bCs/>
                <w:kern w:val="0"/>
                <w:sz w:val="24"/>
                <w:szCs w:val="28"/>
                <w:highlight w:val="none"/>
                <w:lang w:val="en-US" w:eastAsia="zh-CN"/>
              </w:rPr>
              <w:t>完成</w:t>
            </w:r>
            <w:r>
              <w:rPr>
                <w:rFonts w:hint="eastAsia" w:ascii="宋体" w:eastAsia="宋体"/>
                <w:bCs/>
                <w:kern w:val="0"/>
                <w:sz w:val="24"/>
                <w:szCs w:val="28"/>
                <w:highlight w:val="none"/>
              </w:rPr>
              <w:t>后7日内甲方组织验收</w:t>
            </w:r>
            <w:r>
              <w:rPr>
                <w:rFonts w:hint="eastAsia" w:ascii="宋体" w:eastAsia="宋体" w:cs="Times New Roman"/>
                <w:color w:val="000000"/>
                <w:sz w:val="24"/>
                <w:szCs w:val="24"/>
                <w:highlight w:val="none"/>
              </w:rPr>
              <w:t>。</w:t>
            </w:r>
          </w:p>
          <w:p>
            <w:pPr>
              <w:spacing w:line="560" w:lineRule="exact"/>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3.履约验收方式</w:t>
            </w:r>
            <w:r>
              <w:rPr>
                <w:rFonts w:hint="eastAsia" w:ascii="宋体" w:eastAsia="宋体" w:cs="Times New Roman"/>
                <w:color w:val="000000"/>
                <w:sz w:val="24"/>
                <w:szCs w:val="24"/>
                <w:highlight w:val="none"/>
                <w:lang w:eastAsia="zh-CN"/>
              </w:rPr>
              <w:t>：</w:t>
            </w:r>
            <w:r>
              <w:rPr>
                <w:rFonts w:hint="eastAsia" w:ascii="宋体" w:eastAsia="宋体" w:cs="Times New Roman"/>
                <w:color w:val="000000"/>
                <w:sz w:val="24"/>
                <w:szCs w:val="24"/>
                <w:highlight w:val="none"/>
              </w:rPr>
              <w:t xml:space="preserve">甲方组织验收 </w:t>
            </w:r>
          </w:p>
          <w:p>
            <w:pPr>
              <w:spacing w:line="560" w:lineRule="exact"/>
              <w:rPr>
                <w:rFonts w:hint="default" w:ascii="宋体" w:eastAsia="宋体" w:cs="Times New Roman"/>
                <w:color w:val="000000"/>
                <w:sz w:val="24"/>
                <w:szCs w:val="24"/>
                <w:highlight w:val="none"/>
                <w:lang w:val="en-US" w:eastAsia="zh-CN"/>
              </w:rPr>
            </w:pPr>
            <w:r>
              <w:rPr>
                <w:rFonts w:hint="eastAsia" w:ascii="宋体" w:eastAsia="宋体" w:cs="Times New Roman"/>
                <w:color w:val="000000"/>
                <w:sz w:val="24"/>
                <w:szCs w:val="24"/>
                <w:highlight w:val="none"/>
              </w:rPr>
              <w:t>4.履约验收内容</w:t>
            </w:r>
            <w:r>
              <w:rPr>
                <w:rFonts w:hint="eastAsia" w:ascii="宋体" w:eastAsia="宋体" w:cs="Times New Roman"/>
                <w:color w:val="000000"/>
                <w:sz w:val="24"/>
                <w:szCs w:val="24"/>
                <w:highlight w:val="none"/>
                <w:lang w:eastAsia="zh-CN"/>
              </w:rPr>
              <w:t>：</w:t>
            </w:r>
            <w:r>
              <w:rPr>
                <w:rFonts w:hint="eastAsia" w:ascii="宋体" w:eastAsia="宋体" w:cs="Times New Roman"/>
                <w:color w:val="000000"/>
                <w:sz w:val="24"/>
                <w:szCs w:val="24"/>
                <w:highlight w:val="none"/>
                <w:u w:val="single"/>
                <w:lang w:val="en-US" w:eastAsia="zh-CN"/>
              </w:rPr>
              <w:t xml:space="preserve">   </w:t>
            </w:r>
          </w:p>
          <w:p>
            <w:pPr>
              <w:spacing w:line="560" w:lineRule="exact"/>
              <w:rPr>
                <w:rFonts w:ascii="宋体" w:eastAsia="宋体" w:cs="Times New Roman"/>
                <w:color w:val="000000"/>
                <w:sz w:val="24"/>
                <w:szCs w:val="24"/>
                <w:highlight w:val="none"/>
              </w:rPr>
            </w:pPr>
            <w:r>
              <w:rPr>
                <w:rFonts w:hint="eastAsia" w:ascii="宋体" w:eastAsia="宋体" w:cs="Times New Roman"/>
                <w:color w:val="000000"/>
                <w:sz w:val="24"/>
                <w:szCs w:val="24"/>
                <w:highlight w:val="none"/>
                <w:lang w:val="en-US" w:eastAsia="zh-CN"/>
              </w:rPr>
              <w:t>5</w:t>
            </w:r>
            <w:r>
              <w:rPr>
                <w:rFonts w:hint="eastAsia" w:ascii="宋体" w:eastAsia="宋体" w:cs="Times New Roman"/>
                <w:color w:val="000000"/>
                <w:sz w:val="24"/>
                <w:szCs w:val="24"/>
                <w:highlight w:val="none"/>
              </w:rPr>
              <w:t>.履约验收验收标准</w:t>
            </w:r>
            <w:r>
              <w:rPr>
                <w:rFonts w:hint="eastAsia" w:ascii="宋体" w:eastAsia="宋体" w:cs="Times New Roman"/>
                <w:color w:val="000000"/>
                <w:sz w:val="24"/>
                <w:szCs w:val="24"/>
                <w:highlight w:val="none"/>
                <w:lang w:eastAsia="zh-CN"/>
              </w:rPr>
              <w:t>：</w:t>
            </w:r>
            <w:r>
              <w:rPr>
                <w:rFonts w:hint="eastAsia" w:ascii="宋体" w:eastAsia="宋体" w:cs="Times New Roman"/>
                <w:color w:val="000000"/>
                <w:sz w:val="24"/>
                <w:szCs w:val="24"/>
                <w:highlight w:val="none"/>
              </w:rPr>
              <w:t>合格</w:t>
            </w:r>
          </w:p>
        </w:tc>
      </w:tr>
    </w:tbl>
    <w:p>
      <w:pPr>
        <w:widowControl/>
        <w:jc w:val="left"/>
        <w:rPr>
          <w:rFonts w:ascii="宋体" w:eastAsia="宋体"/>
          <w:color w:val="000000"/>
          <w:sz w:val="24"/>
          <w:highlight w:val="none"/>
        </w:rPr>
      </w:pPr>
      <w:r>
        <w:rPr>
          <w:rFonts w:ascii="宋体" w:eastAsia="宋体"/>
          <w:color w:val="000000"/>
          <w:sz w:val="24"/>
          <w:highlight w:val="none"/>
        </w:rPr>
        <w:br w:type="page"/>
      </w:r>
    </w:p>
    <w:p>
      <w:pPr>
        <w:spacing w:line="360" w:lineRule="auto"/>
        <w:jc w:val="center"/>
        <w:outlineLvl w:val="0"/>
        <w:rPr>
          <w:rFonts w:ascii="宋体" w:eastAsia="宋体"/>
          <w:b/>
          <w:sz w:val="28"/>
          <w:highlight w:val="none"/>
        </w:rPr>
      </w:pPr>
      <w:bookmarkStart w:id="259" w:name="_Toc1358"/>
      <w:bookmarkStart w:id="260" w:name="_Toc31651"/>
      <w:bookmarkStart w:id="261" w:name="_Toc23995"/>
      <w:bookmarkStart w:id="262" w:name="_Toc22492"/>
      <w:bookmarkStart w:id="263" w:name="_Toc23872"/>
      <w:r>
        <w:rPr>
          <w:rFonts w:hint="eastAsia" w:ascii="宋体" w:eastAsia="宋体"/>
          <w:b/>
          <w:sz w:val="28"/>
          <w:highlight w:val="none"/>
        </w:rPr>
        <w:t>第六章  投标文件格式</w:t>
      </w:r>
      <w:bookmarkEnd w:id="259"/>
      <w:bookmarkEnd w:id="260"/>
      <w:bookmarkEnd w:id="261"/>
      <w:bookmarkEnd w:id="262"/>
      <w:bookmarkEnd w:id="263"/>
    </w:p>
    <w:p>
      <w:pPr>
        <w:spacing w:line="900" w:lineRule="exact"/>
        <w:jc w:val="center"/>
        <w:rPr>
          <w:rFonts w:ascii="宋体" w:eastAsia="宋体"/>
          <w:b/>
          <w:sz w:val="72"/>
          <w:highlight w:val="none"/>
        </w:rPr>
      </w:pPr>
    </w:p>
    <w:p>
      <w:pPr>
        <w:spacing w:line="900" w:lineRule="exact"/>
        <w:jc w:val="center"/>
        <w:rPr>
          <w:rFonts w:ascii="宋体" w:eastAsia="宋体"/>
          <w:b/>
          <w:sz w:val="72"/>
          <w:highlight w:val="none"/>
        </w:rPr>
      </w:pPr>
      <w:bookmarkStart w:id="264" w:name="_Toc651"/>
      <w:r>
        <w:rPr>
          <w:rFonts w:hint="eastAsia" w:ascii="宋体" w:eastAsia="宋体"/>
          <w:b/>
          <w:sz w:val="72"/>
          <w:highlight w:val="none"/>
        </w:rPr>
        <w:t>投</w:t>
      </w:r>
      <w:bookmarkEnd w:id="264"/>
    </w:p>
    <w:p>
      <w:pPr>
        <w:spacing w:line="900" w:lineRule="exact"/>
        <w:jc w:val="center"/>
        <w:rPr>
          <w:rFonts w:ascii="宋体" w:eastAsia="宋体"/>
          <w:b/>
          <w:sz w:val="72"/>
          <w:highlight w:val="none"/>
        </w:rPr>
      </w:pPr>
    </w:p>
    <w:p>
      <w:pPr>
        <w:spacing w:line="900" w:lineRule="exact"/>
        <w:jc w:val="center"/>
        <w:rPr>
          <w:rFonts w:ascii="宋体" w:eastAsia="宋体"/>
          <w:b/>
          <w:sz w:val="72"/>
          <w:highlight w:val="none"/>
        </w:rPr>
      </w:pPr>
      <w:bookmarkStart w:id="265" w:name="_Toc6148"/>
      <w:r>
        <w:rPr>
          <w:rFonts w:hint="eastAsia" w:ascii="宋体" w:eastAsia="宋体"/>
          <w:b/>
          <w:sz w:val="72"/>
          <w:highlight w:val="none"/>
        </w:rPr>
        <w:t>标</w:t>
      </w:r>
      <w:bookmarkEnd w:id="265"/>
    </w:p>
    <w:p>
      <w:pPr>
        <w:spacing w:line="900" w:lineRule="exact"/>
        <w:jc w:val="center"/>
        <w:rPr>
          <w:rFonts w:ascii="宋体" w:eastAsia="宋体"/>
          <w:b/>
          <w:sz w:val="72"/>
          <w:highlight w:val="none"/>
        </w:rPr>
      </w:pPr>
    </w:p>
    <w:p>
      <w:pPr>
        <w:spacing w:line="900" w:lineRule="exact"/>
        <w:jc w:val="center"/>
        <w:rPr>
          <w:rFonts w:ascii="宋体" w:eastAsia="宋体"/>
          <w:b/>
          <w:sz w:val="72"/>
          <w:highlight w:val="none"/>
        </w:rPr>
      </w:pPr>
      <w:bookmarkStart w:id="266" w:name="_Toc1338"/>
      <w:r>
        <w:rPr>
          <w:rFonts w:hint="eastAsia" w:ascii="宋体" w:eastAsia="宋体"/>
          <w:b/>
          <w:sz w:val="72"/>
          <w:highlight w:val="none"/>
        </w:rPr>
        <w:t>文</w:t>
      </w:r>
      <w:bookmarkEnd w:id="266"/>
    </w:p>
    <w:p>
      <w:pPr>
        <w:spacing w:line="900" w:lineRule="exact"/>
        <w:jc w:val="center"/>
        <w:rPr>
          <w:rFonts w:ascii="宋体" w:eastAsia="宋体"/>
          <w:b/>
          <w:sz w:val="72"/>
          <w:highlight w:val="none"/>
        </w:rPr>
      </w:pPr>
    </w:p>
    <w:p>
      <w:pPr>
        <w:jc w:val="center"/>
        <w:rPr>
          <w:rFonts w:ascii="宋体" w:eastAsia="宋体"/>
          <w:b/>
          <w:sz w:val="72"/>
          <w:highlight w:val="none"/>
        </w:rPr>
      </w:pPr>
      <w:bookmarkStart w:id="267" w:name="_Toc10796"/>
      <w:r>
        <w:rPr>
          <w:rFonts w:hint="eastAsia" w:ascii="宋体" w:eastAsia="宋体"/>
          <w:b/>
          <w:sz w:val="72"/>
          <w:highlight w:val="none"/>
        </w:rPr>
        <w:t>件</w:t>
      </w:r>
      <w:bookmarkEnd w:id="267"/>
    </w:p>
    <w:p>
      <w:pPr>
        <w:spacing w:after="156" w:afterLines="50"/>
        <w:jc w:val="center"/>
        <w:rPr>
          <w:rFonts w:ascii="宋体" w:eastAsia="宋体"/>
          <w:b/>
          <w:sz w:val="72"/>
          <w:highlight w:val="none"/>
        </w:rPr>
      </w:pPr>
    </w:p>
    <w:p>
      <w:pPr>
        <w:spacing w:before="156" w:beforeLines="50" w:after="156" w:afterLines="50"/>
        <w:jc w:val="center"/>
        <w:rPr>
          <w:rFonts w:ascii="宋体" w:eastAsia="宋体"/>
          <w:b/>
          <w:sz w:val="32"/>
          <w:szCs w:val="32"/>
          <w:highlight w:val="none"/>
        </w:rPr>
      </w:pPr>
    </w:p>
    <w:p>
      <w:pPr>
        <w:spacing w:after="156" w:afterLines="50" w:line="500" w:lineRule="exact"/>
        <w:jc w:val="center"/>
        <w:rPr>
          <w:rFonts w:ascii="宋体" w:eastAsia="宋体"/>
          <w:b/>
          <w:sz w:val="28"/>
          <w:szCs w:val="28"/>
          <w:highlight w:val="none"/>
        </w:rPr>
      </w:pPr>
    </w:p>
    <w:p>
      <w:pPr>
        <w:tabs>
          <w:tab w:val="left" w:pos="2410"/>
        </w:tabs>
        <w:autoSpaceDE w:val="0"/>
        <w:autoSpaceDN w:val="0"/>
        <w:adjustRightInd w:val="0"/>
        <w:snapToGrid w:val="0"/>
        <w:spacing w:line="360" w:lineRule="auto"/>
        <w:ind w:firstLine="643" w:firstLineChars="200"/>
        <w:rPr>
          <w:rFonts w:hint="eastAsia" w:ascii="宋体" w:eastAsia="宋体"/>
          <w:b/>
          <w:spacing w:val="20"/>
          <w:kern w:val="0"/>
          <w:sz w:val="32"/>
          <w:szCs w:val="32"/>
          <w:highlight w:val="none"/>
          <w:lang w:eastAsia="zh-CN"/>
        </w:rPr>
      </w:pPr>
      <w:r>
        <w:rPr>
          <w:rFonts w:hint="eastAsia" w:ascii="宋体" w:eastAsia="宋体"/>
          <w:b/>
          <w:sz w:val="32"/>
          <w:highlight w:val="none"/>
        </w:rPr>
        <w:t>项目名称：</w:t>
      </w:r>
      <w:r>
        <w:rPr>
          <w:rFonts w:hint="eastAsia" w:ascii="宋体" w:eastAsia="宋体"/>
          <w:b/>
          <w:sz w:val="32"/>
          <w:highlight w:val="none"/>
          <w:lang w:eastAsia="zh-CN"/>
        </w:rPr>
        <w:t>皖南医学院滨江校区（文津西路8号）综合安防系统升级改造项目</w:t>
      </w:r>
    </w:p>
    <w:p>
      <w:pPr>
        <w:tabs>
          <w:tab w:val="left" w:pos="2410"/>
        </w:tabs>
        <w:autoSpaceDE w:val="0"/>
        <w:autoSpaceDN w:val="0"/>
        <w:adjustRightInd w:val="0"/>
        <w:snapToGrid w:val="0"/>
        <w:spacing w:line="360" w:lineRule="auto"/>
        <w:ind w:firstLine="643" w:firstLineChars="200"/>
        <w:rPr>
          <w:rFonts w:hint="eastAsia" w:ascii="宋体" w:eastAsia="宋体"/>
          <w:b/>
          <w:sz w:val="32"/>
          <w:highlight w:val="none"/>
          <w:u w:val="single"/>
          <w:lang w:eastAsia="zh-CN"/>
        </w:rPr>
      </w:pPr>
      <w:r>
        <w:rPr>
          <w:rFonts w:hint="eastAsia" w:ascii="宋体" w:eastAsia="宋体"/>
          <w:b/>
          <w:sz w:val="32"/>
          <w:highlight w:val="none"/>
        </w:rPr>
        <w:t>项目编号：</w:t>
      </w:r>
      <w:r>
        <w:rPr>
          <w:rFonts w:hint="eastAsia" w:ascii="宋体" w:eastAsia="宋体"/>
          <w:b/>
          <w:sz w:val="32"/>
          <w:highlight w:val="none"/>
          <w:lang w:eastAsia="zh-CN"/>
        </w:rPr>
        <w:t>FSSD34000120243645号001</w:t>
      </w:r>
    </w:p>
    <w:p>
      <w:pPr>
        <w:tabs>
          <w:tab w:val="left" w:pos="2410"/>
        </w:tabs>
        <w:autoSpaceDE w:val="0"/>
        <w:autoSpaceDN w:val="0"/>
        <w:adjustRightInd w:val="0"/>
        <w:snapToGrid w:val="0"/>
        <w:spacing w:line="360" w:lineRule="auto"/>
        <w:ind w:firstLine="643" w:firstLineChars="200"/>
        <w:rPr>
          <w:rFonts w:ascii="宋体" w:eastAsia="宋体"/>
          <w:b/>
          <w:sz w:val="32"/>
          <w:highlight w:val="none"/>
          <w:u w:val="single"/>
        </w:rPr>
      </w:pPr>
      <w:r>
        <w:rPr>
          <w:rFonts w:hint="eastAsia" w:ascii="宋体" w:eastAsia="宋体"/>
          <w:b/>
          <w:sz w:val="32"/>
          <w:highlight w:val="none"/>
        </w:rPr>
        <w:t>投 标</w:t>
      </w:r>
      <w:r>
        <w:rPr>
          <w:rFonts w:hint="eastAsia" w:ascii="宋体" w:eastAsia="宋体"/>
          <w:b/>
          <w:sz w:val="32"/>
          <w:highlight w:val="none"/>
          <w:lang w:val="en-US" w:eastAsia="zh-CN"/>
        </w:rPr>
        <w:t xml:space="preserve"> </w:t>
      </w:r>
      <w:r>
        <w:rPr>
          <w:rFonts w:hint="eastAsia" w:ascii="宋体" w:eastAsia="宋体"/>
          <w:b/>
          <w:sz w:val="32"/>
          <w:highlight w:val="none"/>
        </w:rPr>
        <w:t>人：</w:t>
      </w:r>
    </w:p>
    <w:p>
      <w:pPr>
        <w:spacing w:after="156" w:afterLines="50" w:line="500" w:lineRule="exact"/>
        <w:jc w:val="center"/>
        <w:rPr>
          <w:rFonts w:ascii="宋体" w:eastAsia="宋体"/>
          <w:b/>
          <w:sz w:val="32"/>
          <w:highlight w:val="none"/>
        </w:rPr>
      </w:pPr>
      <w:bookmarkStart w:id="268" w:name="_Toc9994"/>
      <w:bookmarkStart w:id="269" w:name="_Toc8037"/>
      <w:r>
        <w:rPr>
          <w:rFonts w:hint="eastAsia" w:ascii="宋体" w:eastAsia="宋体"/>
          <w:b/>
          <w:sz w:val="32"/>
          <w:highlight w:val="none"/>
          <w:lang w:val="en-US" w:eastAsia="zh-CN"/>
        </w:rPr>
        <w:t xml:space="preserve">   </w:t>
      </w:r>
      <w:r>
        <w:rPr>
          <w:rFonts w:hint="eastAsia" w:ascii="宋体" w:eastAsia="宋体"/>
          <w:b/>
          <w:sz w:val="32"/>
          <w:highlight w:val="none"/>
        </w:rPr>
        <w:t>年</w:t>
      </w:r>
      <w:r>
        <w:rPr>
          <w:rFonts w:hint="eastAsia" w:ascii="宋体" w:eastAsia="宋体"/>
          <w:b/>
          <w:sz w:val="32"/>
          <w:highlight w:val="none"/>
          <w:lang w:val="en-US" w:eastAsia="zh-CN"/>
        </w:rPr>
        <w:t xml:space="preserve">   </w:t>
      </w:r>
      <w:r>
        <w:rPr>
          <w:rFonts w:hint="eastAsia" w:ascii="宋体" w:eastAsia="宋体"/>
          <w:b/>
          <w:sz w:val="32"/>
          <w:highlight w:val="none"/>
        </w:rPr>
        <w:t>月</w:t>
      </w:r>
      <w:r>
        <w:rPr>
          <w:rFonts w:hint="eastAsia" w:ascii="宋体" w:eastAsia="宋体"/>
          <w:b/>
          <w:sz w:val="32"/>
          <w:highlight w:val="none"/>
          <w:lang w:val="en-US" w:eastAsia="zh-CN"/>
        </w:rPr>
        <w:t xml:space="preserve">    </w:t>
      </w:r>
      <w:r>
        <w:rPr>
          <w:rFonts w:hint="eastAsia" w:ascii="宋体" w:eastAsia="宋体"/>
          <w:b/>
          <w:sz w:val="32"/>
          <w:highlight w:val="none"/>
        </w:rPr>
        <w:t>日</w:t>
      </w:r>
      <w:bookmarkEnd w:id="268"/>
      <w:bookmarkEnd w:id="269"/>
    </w:p>
    <w:p>
      <w:pPr>
        <w:widowControl/>
        <w:jc w:val="left"/>
        <w:rPr>
          <w:rFonts w:ascii="宋体" w:eastAsia="宋体"/>
          <w:b/>
          <w:sz w:val="28"/>
          <w:highlight w:val="none"/>
        </w:rPr>
      </w:pPr>
      <w:r>
        <w:rPr>
          <w:rFonts w:ascii="宋体" w:eastAsia="宋体"/>
          <w:b/>
          <w:sz w:val="28"/>
          <w:highlight w:val="none"/>
        </w:rPr>
        <w:br w:type="page"/>
      </w:r>
    </w:p>
    <w:p>
      <w:pPr>
        <w:spacing w:line="360" w:lineRule="auto"/>
        <w:jc w:val="center"/>
        <w:outlineLvl w:val="1"/>
        <w:rPr>
          <w:rFonts w:ascii="宋体" w:eastAsia="宋体"/>
          <w:b/>
          <w:sz w:val="24"/>
          <w:highlight w:val="none"/>
        </w:rPr>
      </w:pPr>
      <w:bookmarkStart w:id="270" w:name="_Toc28960"/>
      <w:bookmarkStart w:id="271" w:name="_Toc5555"/>
      <w:bookmarkStart w:id="272" w:name="_Toc12485"/>
      <w:r>
        <w:rPr>
          <w:rFonts w:hint="eastAsia" w:ascii="宋体" w:eastAsia="宋体"/>
          <w:b/>
          <w:sz w:val="24"/>
          <w:highlight w:val="none"/>
        </w:rPr>
        <w:t>一、开标一览表</w:t>
      </w:r>
      <w:bookmarkEnd w:id="270"/>
      <w:bookmarkEnd w:id="271"/>
      <w:bookmarkEnd w:id="272"/>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6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352" w:type="pct"/>
            <w:tcBorders>
              <w:top w:val="single" w:color="auto" w:sz="4" w:space="0"/>
              <w:bottom w:val="single" w:color="auto" w:sz="4" w:space="0"/>
              <w:right w:val="single" w:color="auto" w:sz="4" w:space="0"/>
            </w:tcBorders>
            <w:vAlign w:val="center"/>
          </w:tcPr>
          <w:p>
            <w:pPr>
              <w:widowControl/>
              <w:spacing w:line="360" w:lineRule="exact"/>
              <w:jc w:val="center"/>
              <w:rPr>
                <w:rFonts w:ascii="宋体" w:eastAsia="宋体"/>
                <w:b/>
                <w:sz w:val="24"/>
                <w:highlight w:val="none"/>
              </w:rPr>
            </w:pPr>
            <w:r>
              <w:rPr>
                <w:rFonts w:hint="eastAsia" w:ascii="宋体" w:eastAsia="宋体"/>
                <w:b/>
                <w:sz w:val="24"/>
                <w:highlight w:val="none"/>
              </w:rPr>
              <w:t>项目名称</w:t>
            </w:r>
          </w:p>
        </w:tc>
        <w:tc>
          <w:tcPr>
            <w:tcW w:w="3648" w:type="pct"/>
            <w:tcBorders>
              <w:top w:val="single" w:color="auto" w:sz="4" w:space="0"/>
              <w:bottom w:val="single" w:color="auto" w:sz="4" w:space="0"/>
              <w:right w:val="single" w:color="auto" w:sz="4" w:space="0"/>
            </w:tcBorders>
            <w:vAlign w:val="center"/>
          </w:tcPr>
          <w:p>
            <w:pPr>
              <w:spacing w:line="360" w:lineRule="exact"/>
              <w:rPr>
                <w:rFonts w:hint="eastAsia" w:ascii="宋体" w:eastAsia="宋体"/>
                <w:bCs/>
                <w:sz w:val="24"/>
                <w:highlight w:val="none"/>
                <w:u w:val="single"/>
                <w:lang w:eastAsia="zh-CN"/>
              </w:rPr>
            </w:pPr>
            <w:r>
              <w:rPr>
                <w:rFonts w:hint="eastAsia" w:ascii="宋体" w:eastAsia="宋体"/>
                <w:bCs/>
                <w:sz w:val="24"/>
                <w:highlight w:val="none"/>
                <w:u w:val="single"/>
                <w:lang w:eastAsia="zh-CN"/>
              </w:rPr>
              <w:t>皖南医学院滨江校区（文津西路8号）综合安防系统升级改造项目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pPr>
              <w:spacing w:line="360" w:lineRule="exact"/>
              <w:jc w:val="center"/>
              <w:rPr>
                <w:rFonts w:ascii="宋体" w:eastAsia="宋体"/>
                <w:b/>
                <w:sz w:val="24"/>
                <w:highlight w:val="none"/>
              </w:rPr>
            </w:pPr>
            <w:r>
              <w:rPr>
                <w:rFonts w:hint="eastAsia" w:ascii="宋体" w:eastAsia="宋体"/>
                <w:b/>
                <w:sz w:val="24"/>
                <w:highlight w:val="none"/>
              </w:rPr>
              <w:t>投标人全称</w:t>
            </w:r>
          </w:p>
        </w:tc>
        <w:tc>
          <w:tcPr>
            <w:tcW w:w="3648" w:type="pct"/>
            <w:tcBorders>
              <w:top w:val="nil"/>
            </w:tcBorders>
            <w:vAlign w:val="center"/>
          </w:tcPr>
          <w:p>
            <w:pPr>
              <w:spacing w:line="360" w:lineRule="auto"/>
              <w:rPr>
                <w:rFonts w:ascii="宋体" w:eastAsia="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pPr>
              <w:spacing w:line="360" w:lineRule="exact"/>
              <w:jc w:val="center"/>
              <w:rPr>
                <w:rFonts w:ascii="宋体" w:eastAsia="宋体"/>
                <w:b/>
                <w:sz w:val="24"/>
                <w:highlight w:val="none"/>
              </w:rPr>
            </w:pPr>
            <w:r>
              <w:rPr>
                <w:rFonts w:hint="eastAsia" w:ascii="宋体" w:eastAsia="宋体"/>
                <w:b/>
                <w:sz w:val="24"/>
                <w:highlight w:val="none"/>
              </w:rPr>
              <w:t>投标范围</w:t>
            </w:r>
          </w:p>
        </w:tc>
        <w:tc>
          <w:tcPr>
            <w:tcW w:w="3648" w:type="pct"/>
            <w:tcBorders>
              <w:top w:val="nil"/>
            </w:tcBorders>
            <w:vAlign w:val="center"/>
          </w:tcPr>
          <w:p>
            <w:pPr>
              <w:widowControl/>
              <w:spacing w:line="360" w:lineRule="auto"/>
              <w:rPr>
                <w:rFonts w:ascii="宋体" w:eastAsia="宋体"/>
                <w:sz w:val="24"/>
                <w:highlight w:val="none"/>
              </w:rPr>
            </w:pPr>
            <w:r>
              <w:rPr>
                <w:rFonts w:hint="eastAsia" w:ascii="宋体" w:eastAsia="宋体"/>
                <w:sz w:val="24"/>
                <w:szCs w:val="28"/>
                <w:highlight w:val="none"/>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pPr>
              <w:spacing w:line="360" w:lineRule="exact"/>
              <w:jc w:val="center"/>
              <w:rPr>
                <w:rFonts w:ascii="宋体" w:eastAsia="宋体"/>
                <w:b/>
                <w:sz w:val="24"/>
                <w:highlight w:val="none"/>
              </w:rPr>
            </w:pPr>
            <w:r>
              <w:rPr>
                <w:rFonts w:hint="eastAsia" w:ascii="宋体" w:eastAsia="宋体"/>
                <w:b/>
                <w:sz w:val="24"/>
                <w:highlight w:val="none"/>
              </w:rPr>
              <w:t>投标报价</w:t>
            </w:r>
          </w:p>
        </w:tc>
        <w:tc>
          <w:tcPr>
            <w:tcW w:w="3648" w:type="pct"/>
            <w:tcBorders>
              <w:top w:val="nil"/>
            </w:tcBorders>
            <w:vAlign w:val="center"/>
          </w:tcPr>
          <w:p>
            <w:pPr>
              <w:snapToGrid w:val="0"/>
              <w:spacing w:line="360" w:lineRule="auto"/>
              <w:jc w:val="left"/>
              <w:rPr>
                <w:rFonts w:ascii="宋体" w:eastAsia="宋体" w:cs="宋体"/>
                <w:bCs/>
                <w:sz w:val="24"/>
                <w:szCs w:val="24"/>
                <w:highlight w:val="none"/>
                <w:u w:val="single"/>
              </w:rPr>
            </w:pPr>
            <w:r>
              <w:rPr>
                <w:rFonts w:hint="eastAsia" w:ascii="宋体" w:eastAsia="宋体" w:cs="宋体"/>
                <w:bCs/>
                <w:sz w:val="24"/>
                <w:szCs w:val="24"/>
                <w:highlight w:val="none"/>
              </w:rPr>
              <w:t>人民币大写：</w:t>
            </w:r>
          </w:p>
          <w:p>
            <w:pPr>
              <w:spacing w:line="360" w:lineRule="auto"/>
              <w:ind w:right="-670"/>
              <w:rPr>
                <w:rFonts w:ascii="宋体" w:eastAsia="宋体"/>
                <w:sz w:val="24"/>
                <w:highlight w:val="none"/>
              </w:rPr>
            </w:pPr>
            <w:r>
              <w:rPr>
                <w:rFonts w:hint="eastAsia" w:ascii="宋体" w:eastAsia="宋体" w:cs="宋体"/>
                <w:bCs/>
                <w:sz w:val="24"/>
                <w:szCs w:val="24"/>
                <w:highlight w:val="none"/>
              </w:rPr>
              <w:t>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1352" w:type="pct"/>
            <w:tcBorders>
              <w:top w:val="nil"/>
            </w:tcBorders>
            <w:vAlign w:val="center"/>
          </w:tcPr>
          <w:p>
            <w:pPr>
              <w:spacing w:line="360" w:lineRule="auto"/>
              <w:jc w:val="center"/>
              <w:rPr>
                <w:rFonts w:ascii="宋体" w:eastAsia="宋体"/>
                <w:b/>
                <w:sz w:val="24"/>
                <w:highlight w:val="none"/>
              </w:rPr>
            </w:pPr>
            <w:r>
              <w:rPr>
                <w:rFonts w:hint="eastAsia" w:ascii="宋体" w:eastAsia="宋体"/>
                <w:b/>
                <w:sz w:val="24"/>
                <w:highlight w:val="none"/>
              </w:rPr>
              <w:t>其他</w:t>
            </w:r>
          </w:p>
        </w:tc>
        <w:tc>
          <w:tcPr>
            <w:tcW w:w="3648" w:type="pct"/>
            <w:tcBorders>
              <w:top w:val="nil"/>
            </w:tcBorders>
            <w:vAlign w:val="center"/>
          </w:tcPr>
          <w:p>
            <w:pPr>
              <w:spacing w:line="360" w:lineRule="auto"/>
              <w:jc w:val="left"/>
              <w:rPr>
                <w:rFonts w:hint="eastAsia" w:ascii="宋体" w:eastAsia="宋体"/>
                <w:sz w:val="24"/>
                <w:szCs w:val="28"/>
                <w:highlight w:val="none"/>
                <w:lang w:eastAsia="zh-CN"/>
              </w:rPr>
            </w:pPr>
            <w:r>
              <w:rPr>
                <w:rFonts w:hint="eastAsia" w:ascii="宋体" w:eastAsia="宋体"/>
                <w:bCs/>
                <w:sz w:val="24"/>
                <w:szCs w:val="18"/>
                <w:highlight w:val="none"/>
              </w:rPr>
              <w:t>供应商须根据采购需求，报出总价。报价为完成本次项目的全费用价格，包含不限于采购、运输、人工、安装、售后、税费等所有费用</w:t>
            </w:r>
            <w:r>
              <w:rPr>
                <w:rFonts w:hint="eastAsia" w:ascii="宋体" w:eastAsia="宋体"/>
                <w:bCs/>
                <w:sz w:val="24"/>
                <w:szCs w:val="18"/>
                <w:highlight w:val="none"/>
                <w:lang w:eastAsia="zh-CN"/>
              </w:rPr>
              <w:t>。</w:t>
            </w:r>
          </w:p>
        </w:tc>
      </w:tr>
    </w:tbl>
    <w:p>
      <w:pPr>
        <w:spacing w:line="360" w:lineRule="auto"/>
        <w:rPr>
          <w:rFonts w:ascii="宋体" w:eastAsia="宋体"/>
          <w:sz w:val="24"/>
          <w:highlight w:val="none"/>
        </w:rPr>
      </w:pPr>
      <w:r>
        <w:rPr>
          <w:rFonts w:hint="eastAsia" w:ascii="宋体" w:eastAsia="宋体"/>
          <w:sz w:val="24"/>
          <w:highlight w:val="none"/>
        </w:rPr>
        <w:t>投标人电子签章：</w:t>
      </w:r>
    </w:p>
    <w:p>
      <w:pPr>
        <w:spacing w:line="360" w:lineRule="auto"/>
        <w:ind w:firstLine="360" w:firstLineChars="150"/>
        <w:rPr>
          <w:rFonts w:ascii="宋体" w:eastAsia="宋体"/>
          <w:sz w:val="24"/>
          <w:highlight w:val="none"/>
        </w:rPr>
      </w:pPr>
    </w:p>
    <w:p>
      <w:pPr>
        <w:spacing w:line="360" w:lineRule="auto"/>
        <w:rPr>
          <w:rFonts w:ascii="宋体" w:eastAsia="宋体"/>
          <w:b/>
          <w:sz w:val="24"/>
          <w:highlight w:val="none"/>
        </w:rPr>
      </w:pPr>
      <w:r>
        <w:rPr>
          <w:rFonts w:hint="eastAsia" w:ascii="宋体" w:eastAsia="宋体"/>
          <w:b/>
          <w:sz w:val="24"/>
          <w:highlight w:val="none"/>
        </w:rPr>
        <w:t>注：</w:t>
      </w:r>
    </w:p>
    <w:p>
      <w:pPr>
        <w:spacing w:line="360" w:lineRule="auto"/>
        <w:ind w:firstLine="435"/>
        <w:rPr>
          <w:rFonts w:ascii="宋体" w:eastAsia="宋体"/>
          <w:sz w:val="24"/>
          <w:highlight w:val="none"/>
        </w:rPr>
      </w:pPr>
      <w:r>
        <w:rPr>
          <w:rFonts w:ascii="宋体" w:eastAsia="宋体"/>
          <w:sz w:val="24"/>
          <w:highlight w:val="none"/>
        </w:rPr>
        <w:t>1</w:t>
      </w:r>
      <w:r>
        <w:rPr>
          <w:rFonts w:hint="eastAsia" w:ascii="宋体" w:eastAsia="宋体"/>
          <w:sz w:val="24"/>
          <w:highlight w:val="none"/>
        </w:rPr>
        <w:t>.</w:t>
      </w:r>
      <w:r>
        <w:rPr>
          <w:rFonts w:ascii="宋体" w:eastAsia="宋体"/>
          <w:sz w:val="24"/>
          <w:highlight w:val="none"/>
        </w:rPr>
        <w:t>此表用于开标唱标之用。</w:t>
      </w:r>
    </w:p>
    <w:p>
      <w:pPr>
        <w:spacing w:line="360" w:lineRule="auto"/>
        <w:ind w:firstLine="435"/>
        <w:rPr>
          <w:rFonts w:ascii="宋体" w:eastAsia="宋体"/>
          <w:sz w:val="24"/>
          <w:highlight w:val="none"/>
        </w:rPr>
      </w:pPr>
      <w:r>
        <w:rPr>
          <w:rFonts w:ascii="宋体" w:eastAsia="宋体"/>
          <w:sz w:val="24"/>
          <w:highlight w:val="none"/>
        </w:rPr>
        <w:t>2</w:t>
      </w:r>
      <w:r>
        <w:rPr>
          <w:rFonts w:hint="eastAsia" w:ascii="宋体" w:eastAsia="宋体"/>
          <w:sz w:val="24"/>
          <w:highlight w:val="none"/>
        </w:rPr>
        <w:t>.</w:t>
      </w:r>
      <w:r>
        <w:rPr>
          <w:rFonts w:ascii="宋体" w:eastAsia="宋体"/>
          <w:sz w:val="24"/>
          <w:highlight w:val="none"/>
        </w:rPr>
        <w:t>表中投标报价即为优惠后报价，并作为评审及定标依据。任何有选择或有条件的投标报价，或者表中某一包别填写多个报价，均为无效报价。</w:t>
      </w:r>
    </w:p>
    <w:p>
      <w:pPr>
        <w:spacing w:line="360" w:lineRule="auto"/>
        <w:ind w:firstLine="435"/>
        <w:rPr>
          <w:rFonts w:ascii="宋体" w:eastAsia="宋体"/>
          <w:sz w:val="24"/>
          <w:highlight w:val="none"/>
        </w:rPr>
      </w:pPr>
      <w:r>
        <w:rPr>
          <w:rFonts w:hint="eastAsia" w:ascii="宋体" w:eastAsia="宋体"/>
          <w:sz w:val="24"/>
          <w:highlight w:val="none"/>
        </w:rPr>
        <w:t>3.表中大写金额与小写金额不一致的，以大写金额为准。</w:t>
      </w:r>
      <w:r>
        <w:rPr>
          <w:rFonts w:ascii="宋体" w:eastAsia="宋体"/>
          <w:sz w:val="24"/>
          <w:highlight w:val="none"/>
        </w:rPr>
        <w:br w:type="page"/>
      </w:r>
    </w:p>
    <w:p>
      <w:pPr>
        <w:spacing w:line="360" w:lineRule="auto"/>
        <w:jc w:val="center"/>
        <w:outlineLvl w:val="1"/>
        <w:rPr>
          <w:rFonts w:ascii="宋体" w:eastAsia="宋体"/>
          <w:b/>
          <w:sz w:val="24"/>
          <w:highlight w:val="none"/>
        </w:rPr>
      </w:pPr>
      <w:bookmarkStart w:id="273" w:name="_Toc18010"/>
      <w:bookmarkStart w:id="274" w:name="_Toc6441"/>
      <w:bookmarkStart w:id="275" w:name="_Toc13953"/>
      <w:r>
        <w:rPr>
          <w:rFonts w:hint="eastAsia" w:ascii="宋体" w:eastAsia="宋体"/>
          <w:b/>
          <w:sz w:val="24"/>
          <w:highlight w:val="none"/>
        </w:rPr>
        <w:t>二、投标函</w:t>
      </w:r>
      <w:bookmarkEnd w:id="273"/>
      <w:bookmarkEnd w:id="274"/>
      <w:bookmarkEnd w:id="275"/>
    </w:p>
    <w:p>
      <w:pPr>
        <w:pStyle w:val="17"/>
        <w:spacing w:line="360" w:lineRule="auto"/>
        <w:rPr>
          <w:rFonts w:ascii="宋体"/>
          <w:sz w:val="24"/>
          <w:highlight w:val="none"/>
          <w:u w:val="single"/>
        </w:rPr>
      </w:pPr>
      <w:r>
        <w:rPr>
          <w:rFonts w:hint="eastAsia" w:ascii="宋体"/>
          <w:sz w:val="24"/>
          <w:highlight w:val="none"/>
        </w:rPr>
        <w:t>致：</w:t>
      </w:r>
      <w:r>
        <w:rPr>
          <w:rFonts w:hint="eastAsia" w:ascii="宋体" w:eastAsia="宋体"/>
          <w:bCs/>
          <w:sz w:val="24"/>
          <w:highlight w:val="none"/>
          <w:u w:val="single"/>
        </w:rPr>
        <w:t>皖南医学院</w:t>
      </w:r>
    </w:p>
    <w:p>
      <w:pPr>
        <w:spacing w:line="360" w:lineRule="auto"/>
        <w:ind w:firstLine="435"/>
        <w:rPr>
          <w:rFonts w:ascii="宋体" w:eastAsia="宋体"/>
          <w:sz w:val="24"/>
          <w:highlight w:val="none"/>
        </w:rPr>
      </w:pPr>
      <w:r>
        <w:rPr>
          <w:rFonts w:hint="eastAsia" w:ascii="宋体" w:eastAsia="宋体"/>
          <w:sz w:val="24"/>
          <w:highlight w:val="none"/>
        </w:rPr>
        <w:t>根据贵方的招标公告和投标邀请，我方兹宣布同意如下：</w:t>
      </w:r>
    </w:p>
    <w:p>
      <w:pPr>
        <w:spacing w:line="360" w:lineRule="auto"/>
        <w:ind w:firstLine="435"/>
        <w:rPr>
          <w:rFonts w:ascii="宋体" w:eastAsia="宋体"/>
          <w:sz w:val="24"/>
          <w:highlight w:val="none"/>
        </w:rPr>
      </w:pPr>
      <w:r>
        <w:rPr>
          <w:rFonts w:hint="eastAsia" w:ascii="宋体" w:eastAsia="宋体"/>
          <w:sz w:val="24"/>
          <w:highlight w:val="none"/>
        </w:rPr>
        <w:t>1.</w:t>
      </w:r>
      <w:r>
        <w:rPr>
          <w:rFonts w:hint="eastAsia" w:ascii="宋体" w:eastAsia="宋体" w:cs="宋体"/>
          <w:sz w:val="24"/>
          <w:szCs w:val="24"/>
          <w:highlight w:val="none"/>
        </w:rPr>
        <w:t>我方根据招标文件的规定，严格履行合同的责任和义务,并保证于买方要求的日期内完成，并通过买方验收。</w:t>
      </w:r>
    </w:p>
    <w:p>
      <w:pPr>
        <w:spacing w:line="360" w:lineRule="auto"/>
        <w:ind w:firstLine="435"/>
        <w:rPr>
          <w:rFonts w:ascii="宋体" w:eastAsia="宋体"/>
          <w:sz w:val="24"/>
          <w:highlight w:val="none"/>
        </w:rPr>
      </w:pPr>
      <w:r>
        <w:rPr>
          <w:rFonts w:hint="eastAsia" w:ascii="宋体" w:eastAsia="宋体"/>
          <w:sz w:val="24"/>
          <w:highlight w:val="none"/>
        </w:rPr>
        <w:t>2.我方已详细审核全部招标文件，包括招标文件附件及更正公告（如有），我方正式认可并遵守本次招标文件，并对招标文件各项条款、规定及要求均无异议。</w:t>
      </w:r>
    </w:p>
    <w:p>
      <w:pPr>
        <w:spacing w:line="360" w:lineRule="auto"/>
        <w:ind w:firstLine="435"/>
        <w:rPr>
          <w:rFonts w:ascii="宋体" w:eastAsia="宋体"/>
          <w:sz w:val="24"/>
          <w:highlight w:val="none"/>
        </w:rPr>
      </w:pPr>
      <w:r>
        <w:rPr>
          <w:rFonts w:hint="eastAsia" w:ascii="宋体" w:eastAsia="宋体"/>
          <w:sz w:val="24"/>
          <w:highlight w:val="none"/>
        </w:rPr>
        <w:t>3.我方同意从招标文件规定的开标日期起遵循本招标文件，并在招标文件规定的投标有效期之前均具有约束力。</w:t>
      </w:r>
    </w:p>
    <w:p>
      <w:pPr>
        <w:spacing w:line="360" w:lineRule="auto"/>
        <w:ind w:firstLine="435"/>
        <w:rPr>
          <w:rFonts w:ascii="宋体" w:eastAsia="宋体"/>
          <w:sz w:val="24"/>
          <w:highlight w:val="none"/>
        </w:rPr>
      </w:pPr>
      <w:r>
        <w:rPr>
          <w:rFonts w:hint="eastAsia" w:ascii="宋体" w:eastAsia="宋体"/>
          <w:sz w:val="24"/>
          <w:highlight w:val="none"/>
        </w:rPr>
        <w:t>4.我方声明投标文件所提供的一切资料均真实无误、及时、有效，企业运营正常。由于我方提供资料不实而造成的责任和后果由我方承担。我方同意按照贵方提出的要求，提供与投标有关的任何证据、数据或资料。</w:t>
      </w:r>
    </w:p>
    <w:p>
      <w:pPr>
        <w:spacing w:line="360" w:lineRule="auto"/>
        <w:ind w:firstLine="4800" w:firstLineChars="2000"/>
        <w:rPr>
          <w:rFonts w:ascii="宋体" w:eastAsia="宋体"/>
          <w:sz w:val="24"/>
          <w:highlight w:val="none"/>
        </w:rPr>
      </w:pPr>
    </w:p>
    <w:p>
      <w:pPr>
        <w:spacing w:line="360" w:lineRule="auto"/>
        <w:ind w:firstLine="4800" w:firstLineChars="2000"/>
        <w:rPr>
          <w:rFonts w:ascii="宋体" w:eastAsia="宋体"/>
          <w:sz w:val="24"/>
          <w:highlight w:val="none"/>
          <w:u w:val="single"/>
        </w:rPr>
      </w:pPr>
      <w:r>
        <w:rPr>
          <w:rFonts w:hint="eastAsia" w:ascii="宋体" w:eastAsia="宋体"/>
          <w:sz w:val="24"/>
          <w:highlight w:val="none"/>
        </w:rPr>
        <w:t>投标人电子签章：</w:t>
      </w:r>
    </w:p>
    <w:p>
      <w:pPr>
        <w:spacing w:line="360" w:lineRule="auto"/>
        <w:ind w:firstLine="4800" w:firstLineChars="2000"/>
        <w:rPr>
          <w:rFonts w:ascii="宋体" w:eastAsia="宋体"/>
          <w:sz w:val="24"/>
          <w:highlight w:val="none"/>
          <w:u w:val="single"/>
        </w:rPr>
      </w:pPr>
      <w:r>
        <w:rPr>
          <w:rFonts w:hint="eastAsia" w:ascii="宋体" w:eastAsia="宋体"/>
          <w:sz w:val="24"/>
          <w:highlight w:val="none"/>
        </w:rPr>
        <w:t>日          期：</w:t>
      </w:r>
    </w:p>
    <w:p>
      <w:pPr>
        <w:widowControl/>
        <w:jc w:val="left"/>
        <w:rPr>
          <w:rFonts w:ascii="宋体" w:eastAsia="宋体"/>
          <w:sz w:val="24"/>
          <w:highlight w:val="none"/>
          <w:u w:val="single"/>
        </w:rPr>
      </w:pPr>
      <w:r>
        <w:rPr>
          <w:rFonts w:ascii="宋体" w:eastAsia="宋体"/>
          <w:sz w:val="24"/>
          <w:highlight w:val="none"/>
          <w:u w:val="single"/>
        </w:rPr>
        <w:br w:type="page"/>
      </w:r>
    </w:p>
    <w:p>
      <w:pPr>
        <w:spacing w:line="360" w:lineRule="auto"/>
        <w:jc w:val="center"/>
        <w:outlineLvl w:val="1"/>
        <w:rPr>
          <w:rFonts w:ascii="宋体" w:eastAsia="宋体"/>
          <w:b/>
          <w:sz w:val="24"/>
          <w:highlight w:val="none"/>
        </w:rPr>
      </w:pPr>
      <w:bookmarkStart w:id="276" w:name="_Toc2007"/>
      <w:bookmarkStart w:id="277" w:name="_Toc1328"/>
      <w:r>
        <w:rPr>
          <w:rFonts w:hint="eastAsia" w:ascii="宋体" w:eastAsia="宋体"/>
          <w:b/>
          <w:sz w:val="24"/>
          <w:highlight w:val="none"/>
        </w:rPr>
        <w:t>三．投标人资格声明书</w:t>
      </w:r>
      <w:bookmarkEnd w:id="276"/>
      <w:bookmarkEnd w:id="277"/>
    </w:p>
    <w:p>
      <w:pPr>
        <w:pStyle w:val="17"/>
        <w:spacing w:line="360" w:lineRule="auto"/>
        <w:rPr>
          <w:rFonts w:ascii="宋体" w:cs="宋体"/>
          <w:sz w:val="24"/>
          <w:szCs w:val="24"/>
          <w:highlight w:val="none"/>
        </w:rPr>
      </w:pPr>
      <w:r>
        <w:rPr>
          <w:rFonts w:hint="eastAsia" w:ascii="宋体"/>
          <w:sz w:val="24"/>
          <w:highlight w:val="none"/>
        </w:rPr>
        <w:t>致：</w:t>
      </w:r>
      <w:r>
        <w:rPr>
          <w:rFonts w:hint="eastAsia" w:ascii="宋体" w:eastAsia="宋体"/>
          <w:bCs/>
          <w:sz w:val="24"/>
          <w:highlight w:val="none"/>
          <w:u w:val="single"/>
        </w:rPr>
        <w:t>皖南医学院</w:t>
      </w:r>
    </w:p>
    <w:p>
      <w:pPr>
        <w:widowControl/>
        <w:spacing w:line="360" w:lineRule="auto"/>
        <w:ind w:firstLine="480" w:firstLineChars="200"/>
        <w:jc w:val="left"/>
        <w:rPr>
          <w:rFonts w:ascii="宋体" w:eastAsia="宋体" w:cs="宋体"/>
          <w:sz w:val="24"/>
          <w:szCs w:val="24"/>
          <w:highlight w:val="none"/>
        </w:rPr>
      </w:pPr>
      <w:r>
        <w:rPr>
          <w:rFonts w:hint="eastAsia" w:ascii="宋体" w:eastAsia="宋体" w:cs="宋体"/>
          <w:color w:val="000000"/>
          <w:kern w:val="0"/>
          <w:sz w:val="24"/>
          <w:szCs w:val="24"/>
          <w:highlight w:val="none"/>
        </w:rPr>
        <w:t>在参与本次项目投标中，我单位承诺：</w:t>
      </w:r>
    </w:p>
    <w:p>
      <w:pPr>
        <w:widowControl/>
        <w:spacing w:line="360" w:lineRule="auto"/>
        <w:ind w:firstLine="480" w:firstLineChars="200"/>
        <w:jc w:val="left"/>
        <w:rPr>
          <w:rFonts w:ascii="宋体" w:eastAsia="宋体" w:cs="宋体"/>
          <w:sz w:val="24"/>
          <w:szCs w:val="24"/>
          <w:highlight w:val="none"/>
        </w:rPr>
      </w:pPr>
      <w:r>
        <w:rPr>
          <w:rFonts w:hint="eastAsia" w:ascii="宋体" w:eastAsia="宋体" w:cs="宋体"/>
          <w:color w:val="000000"/>
          <w:kern w:val="0"/>
          <w:sz w:val="24"/>
          <w:szCs w:val="24"/>
          <w:highlight w:val="none"/>
        </w:rPr>
        <w:t>（一）具有良好的商业信誉和健全的财务会计制度；</w:t>
      </w:r>
    </w:p>
    <w:p>
      <w:pPr>
        <w:widowControl/>
        <w:spacing w:line="360" w:lineRule="auto"/>
        <w:ind w:firstLine="480" w:firstLineChars="200"/>
        <w:jc w:val="left"/>
        <w:rPr>
          <w:rFonts w:ascii="宋体" w:eastAsia="宋体" w:cs="宋体"/>
          <w:sz w:val="24"/>
          <w:szCs w:val="24"/>
          <w:highlight w:val="none"/>
        </w:rPr>
      </w:pPr>
      <w:r>
        <w:rPr>
          <w:rFonts w:hint="eastAsia" w:ascii="宋体" w:eastAsia="宋体" w:cs="宋体"/>
          <w:color w:val="000000"/>
          <w:kern w:val="0"/>
          <w:sz w:val="24"/>
          <w:szCs w:val="24"/>
          <w:highlight w:val="none"/>
        </w:rPr>
        <w:t>（二）具有履行合同所必需的设备和专业技术能力；</w:t>
      </w:r>
    </w:p>
    <w:p>
      <w:pPr>
        <w:widowControl/>
        <w:spacing w:line="360" w:lineRule="auto"/>
        <w:ind w:firstLine="480" w:firstLineChars="200"/>
        <w:jc w:val="left"/>
        <w:rPr>
          <w:rFonts w:ascii="宋体" w:eastAsia="宋体" w:cs="宋体"/>
          <w:sz w:val="24"/>
          <w:szCs w:val="24"/>
          <w:highlight w:val="none"/>
        </w:rPr>
      </w:pPr>
      <w:r>
        <w:rPr>
          <w:rFonts w:hint="eastAsia" w:ascii="宋体" w:eastAsia="宋体" w:cs="宋体"/>
          <w:color w:val="000000"/>
          <w:kern w:val="0"/>
          <w:sz w:val="24"/>
          <w:szCs w:val="24"/>
          <w:highlight w:val="none"/>
        </w:rPr>
        <w:t>（三）有依法缴纳税收和社会保障资金的良好记录；</w:t>
      </w:r>
    </w:p>
    <w:p>
      <w:pPr>
        <w:widowControl/>
        <w:spacing w:line="360" w:lineRule="auto"/>
        <w:ind w:firstLine="480" w:firstLineChars="200"/>
        <w:jc w:val="left"/>
        <w:rPr>
          <w:rFonts w:ascii="宋体" w:eastAsia="宋体" w:cs="宋体"/>
          <w:sz w:val="24"/>
          <w:szCs w:val="24"/>
          <w:highlight w:val="none"/>
        </w:rPr>
      </w:pPr>
      <w:r>
        <w:rPr>
          <w:rFonts w:hint="eastAsia" w:ascii="宋体" w:eastAsia="宋体" w:cs="宋体"/>
          <w:color w:val="000000"/>
          <w:kern w:val="0"/>
          <w:sz w:val="24"/>
          <w:szCs w:val="24"/>
          <w:highlight w:val="none"/>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widowControl/>
        <w:spacing w:line="360" w:lineRule="auto"/>
        <w:ind w:firstLine="480" w:firstLineChars="200"/>
        <w:jc w:val="left"/>
        <w:rPr>
          <w:rFonts w:ascii="宋体" w:eastAsia="宋体" w:cs="宋体"/>
          <w:sz w:val="24"/>
          <w:szCs w:val="24"/>
          <w:highlight w:val="none"/>
        </w:rPr>
      </w:pPr>
      <w:r>
        <w:rPr>
          <w:rFonts w:hint="eastAsia" w:ascii="宋体" w:eastAsia="宋体" w:cs="宋体"/>
          <w:color w:val="000000"/>
          <w:kern w:val="0"/>
          <w:sz w:val="24"/>
          <w:szCs w:val="24"/>
          <w:highlight w:val="none"/>
        </w:rPr>
        <w:t>（五）我单位不存在为采购项目提供整体设计、规范编制或者项目管理、监理、检测等服务后，再参加该采购项目的其他采购活动的情形（单一来源采购项目除外）；</w:t>
      </w:r>
    </w:p>
    <w:p>
      <w:pPr>
        <w:widowControl/>
        <w:spacing w:line="360" w:lineRule="auto"/>
        <w:ind w:firstLine="480" w:firstLineChars="200"/>
        <w:jc w:val="left"/>
        <w:rPr>
          <w:rFonts w:ascii="宋体" w:eastAsia="宋体" w:cs="宋体"/>
          <w:color w:val="000000"/>
          <w:kern w:val="0"/>
          <w:sz w:val="24"/>
          <w:szCs w:val="24"/>
          <w:highlight w:val="none"/>
        </w:rPr>
      </w:pPr>
      <w:r>
        <w:rPr>
          <w:rFonts w:hint="eastAsia" w:ascii="宋体" w:eastAsia="宋体" w:cs="宋体"/>
          <w:color w:val="000000"/>
          <w:kern w:val="0"/>
          <w:sz w:val="24"/>
          <w:szCs w:val="24"/>
          <w:highlight w:val="none"/>
        </w:rPr>
        <w:t>（六）与我单位存在单位负责人为同一人或者存在直接控股、管理关系的其他法人单位信息如下（如有，不论其是否参加同一合同项下的政府采购活动均须填写）：</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widowControl/>
              <w:spacing w:before="156" w:beforeLines="50" w:after="10"/>
              <w:jc w:val="center"/>
              <w:rPr>
                <w:rFonts w:ascii="宋体" w:eastAsia="宋体" w:cs="宋体"/>
                <w:color w:val="000000"/>
                <w:kern w:val="0"/>
                <w:sz w:val="24"/>
                <w:szCs w:val="24"/>
                <w:highlight w:val="none"/>
              </w:rPr>
            </w:pPr>
            <w:r>
              <w:rPr>
                <w:rFonts w:hint="eastAsia" w:ascii="宋体" w:eastAsia="宋体" w:cs="宋体"/>
                <w:color w:val="000000"/>
                <w:kern w:val="0"/>
                <w:sz w:val="24"/>
                <w:szCs w:val="24"/>
                <w:highlight w:val="none"/>
              </w:rPr>
              <w:t>序号</w:t>
            </w:r>
          </w:p>
        </w:tc>
        <w:tc>
          <w:tcPr>
            <w:tcW w:w="2841" w:type="dxa"/>
          </w:tcPr>
          <w:p>
            <w:pPr>
              <w:pStyle w:val="4"/>
              <w:spacing w:before="156" w:beforeLines="50" w:after="10"/>
              <w:jc w:val="center"/>
              <w:rPr>
                <w:rFonts w:ascii="宋体" w:eastAsia="宋体" w:cs="宋体"/>
                <w:color w:val="000000"/>
                <w:kern w:val="0"/>
                <w:sz w:val="24"/>
                <w:highlight w:val="none"/>
                <w:lang w:val="en-US"/>
              </w:rPr>
            </w:pPr>
            <w:r>
              <w:rPr>
                <w:rFonts w:hint="eastAsia" w:ascii="宋体" w:eastAsia="宋体" w:cs="宋体"/>
                <w:color w:val="000000"/>
                <w:kern w:val="0"/>
                <w:sz w:val="24"/>
                <w:highlight w:val="none"/>
                <w:lang w:val="en-US"/>
              </w:rPr>
              <w:t>单位名称</w:t>
            </w:r>
          </w:p>
        </w:tc>
        <w:tc>
          <w:tcPr>
            <w:tcW w:w="2841" w:type="dxa"/>
          </w:tcPr>
          <w:p>
            <w:pPr>
              <w:pStyle w:val="4"/>
              <w:spacing w:before="156" w:beforeLines="50" w:after="10"/>
              <w:jc w:val="center"/>
              <w:rPr>
                <w:rFonts w:ascii="宋体" w:eastAsia="宋体" w:cs="宋体"/>
                <w:color w:val="000000"/>
                <w:kern w:val="0"/>
                <w:sz w:val="24"/>
                <w:highlight w:val="none"/>
                <w:lang w:val="en-US"/>
              </w:rPr>
            </w:pPr>
            <w:r>
              <w:rPr>
                <w:rFonts w:hint="eastAsia" w:ascii="宋体" w:eastAsia="宋体" w:cs="宋体"/>
                <w:color w:val="000000"/>
                <w:kern w:val="0"/>
                <w:sz w:val="24"/>
                <w:highlight w:val="none"/>
                <w:lang w:val="en-US"/>
              </w:rPr>
              <w:t>相互关系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4"/>
              <w:spacing w:before="156" w:beforeLines="50" w:after="10"/>
              <w:jc w:val="center"/>
              <w:rPr>
                <w:rFonts w:ascii="宋体" w:eastAsia="宋体" w:cs="宋体"/>
                <w:color w:val="000000"/>
                <w:kern w:val="0"/>
                <w:sz w:val="24"/>
                <w:highlight w:val="none"/>
                <w:lang w:val="en-US"/>
              </w:rPr>
            </w:pPr>
            <w:r>
              <w:rPr>
                <w:rFonts w:hint="eastAsia" w:ascii="宋体" w:eastAsia="宋体" w:cs="宋体"/>
                <w:color w:val="000000"/>
                <w:kern w:val="0"/>
                <w:sz w:val="24"/>
                <w:highlight w:val="none"/>
                <w:lang w:val="en-US"/>
              </w:rPr>
              <w:t>1</w:t>
            </w:r>
          </w:p>
        </w:tc>
        <w:tc>
          <w:tcPr>
            <w:tcW w:w="2841" w:type="dxa"/>
          </w:tcPr>
          <w:p>
            <w:pPr>
              <w:pStyle w:val="4"/>
              <w:spacing w:before="156" w:beforeLines="50" w:after="10"/>
              <w:jc w:val="center"/>
              <w:rPr>
                <w:rFonts w:ascii="宋体" w:eastAsia="宋体" w:cs="宋体"/>
                <w:color w:val="000000"/>
                <w:kern w:val="0"/>
                <w:sz w:val="24"/>
                <w:highlight w:val="none"/>
                <w:lang w:val="en-US"/>
              </w:rPr>
            </w:pPr>
          </w:p>
        </w:tc>
        <w:tc>
          <w:tcPr>
            <w:tcW w:w="2841" w:type="dxa"/>
          </w:tcPr>
          <w:p>
            <w:pPr>
              <w:pStyle w:val="4"/>
              <w:spacing w:before="156" w:beforeLines="50" w:after="10"/>
              <w:jc w:val="center"/>
              <w:rPr>
                <w:rFonts w:ascii="宋体" w:eastAsia="宋体" w:cs="宋体"/>
                <w:color w:val="000000"/>
                <w:kern w:val="0"/>
                <w:sz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4"/>
              <w:spacing w:before="156" w:beforeLines="50" w:after="10"/>
              <w:jc w:val="center"/>
              <w:rPr>
                <w:rFonts w:ascii="宋体" w:eastAsia="宋体" w:cs="宋体"/>
                <w:color w:val="000000"/>
                <w:kern w:val="0"/>
                <w:sz w:val="24"/>
                <w:highlight w:val="none"/>
                <w:lang w:val="en-US"/>
              </w:rPr>
            </w:pPr>
            <w:r>
              <w:rPr>
                <w:rFonts w:hint="eastAsia" w:ascii="宋体" w:eastAsia="宋体" w:cs="宋体"/>
                <w:color w:val="000000"/>
                <w:kern w:val="0"/>
                <w:sz w:val="24"/>
                <w:highlight w:val="none"/>
                <w:lang w:val="en-US"/>
              </w:rPr>
              <w:t>2</w:t>
            </w:r>
          </w:p>
        </w:tc>
        <w:tc>
          <w:tcPr>
            <w:tcW w:w="2841" w:type="dxa"/>
          </w:tcPr>
          <w:p>
            <w:pPr>
              <w:pStyle w:val="4"/>
              <w:spacing w:before="156" w:beforeLines="50" w:after="10"/>
              <w:jc w:val="center"/>
              <w:rPr>
                <w:rFonts w:ascii="宋体" w:eastAsia="宋体" w:cs="宋体"/>
                <w:color w:val="000000"/>
                <w:kern w:val="0"/>
                <w:sz w:val="24"/>
                <w:highlight w:val="none"/>
                <w:lang w:val="en-US"/>
              </w:rPr>
            </w:pPr>
          </w:p>
        </w:tc>
        <w:tc>
          <w:tcPr>
            <w:tcW w:w="2841" w:type="dxa"/>
          </w:tcPr>
          <w:p>
            <w:pPr>
              <w:pStyle w:val="4"/>
              <w:spacing w:before="156" w:beforeLines="50" w:after="10"/>
              <w:jc w:val="center"/>
              <w:rPr>
                <w:rFonts w:ascii="宋体" w:eastAsia="宋体" w:cs="宋体"/>
                <w:color w:val="000000"/>
                <w:kern w:val="0"/>
                <w:sz w:val="24"/>
                <w:highlight w:val="none"/>
                <w:lang w:val="en-US"/>
              </w:rPr>
            </w:pPr>
          </w:p>
        </w:tc>
      </w:tr>
    </w:tbl>
    <w:p>
      <w:pPr>
        <w:spacing w:line="360" w:lineRule="auto"/>
        <w:ind w:firstLine="435"/>
        <w:rPr>
          <w:rFonts w:ascii="宋体" w:eastAsia="宋体"/>
          <w:sz w:val="24"/>
          <w:highlight w:val="none"/>
        </w:rPr>
      </w:pPr>
      <w:r>
        <w:rPr>
          <w:rFonts w:hint="eastAsia" w:ascii="宋体" w:eastAsia="宋体"/>
          <w:sz w:val="24"/>
          <w:highlight w:val="none"/>
        </w:rPr>
        <w:t>本单位对上述声明的真实性负责。如有虚假，将依法承担相应责任。</w:t>
      </w:r>
    </w:p>
    <w:p>
      <w:pPr>
        <w:spacing w:line="360" w:lineRule="auto"/>
        <w:ind w:firstLine="4800" w:firstLineChars="2000"/>
        <w:rPr>
          <w:rFonts w:ascii="宋体" w:eastAsia="宋体"/>
          <w:sz w:val="24"/>
          <w:highlight w:val="none"/>
          <w:u w:val="single"/>
        </w:rPr>
      </w:pPr>
      <w:r>
        <w:rPr>
          <w:rFonts w:hint="eastAsia" w:ascii="宋体" w:eastAsia="宋体"/>
          <w:sz w:val="24"/>
          <w:highlight w:val="none"/>
        </w:rPr>
        <w:t>投标人电子签章：</w:t>
      </w:r>
    </w:p>
    <w:p>
      <w:pPr>
        <w:tabs>
          <w:tab w:val="left" w:pos="630"/>
        </w:tabs>
        <w:spacing w:line="360" w:lineRule="auto"/>
        <w:ind w:firstLine="4800" w:firstLineChars="2000"/>
        <w:rPr>
          <w:rFonts w:ascii="宋体" w:eastAsia="宋体"/>
          <w:sz w:val="24"/>
          <w:highlight w:val="none"/>
          <w:u w:val="single"/>
        </w:rPr>
      </w:pPr>
      <w:r>
        <w:rPr>
          <w:rFonts w:hint="eastAsia" w:ascii="宋体" w:eastAsia="宋体"/>
          <w:sz w:val="24"/>
          <w:highlight w:val="none"/>
        </w:rPr>
        <w:t>日      期：</w:t>
      </w:r>
    </w:p>
    <w:p>
      <w:pPr>
        <w:pStyle w:val="4"/>
        <w:rPr>
          <w:rFonts w:ascii="宋体" w:eastAsia="宋体" w:cs="宋体"/>
          <w:color w:val="000000"/>
          <w:kern w:val="0"/>
          <w:sz w:val="24"/>
          <w:highlight w:val="none"/>
          <w:lang w:val="en-US"/>
        </w:rPr>
      </w:pPr>
    </w:p>
    <w:p>
      <w:pPr>
        <w:pStyle w:val="4"/>
        <w:rPr>
          <w:rFonts w:ascii="宋体" w:eastAsia="宋体" w:cs="宋体"/>
          <w:color w:val="000000"/>
          <w:kern w:val="0"/>
          <w:sz w:val="24"/>
          <w:highlight w:val="none"/>
          <w:lang w:val="en-US"/>
        </w:rPr>
      </w:pPr>
    </w:p>
    <w:p>
      <w:pPr>
        <w:pStyle w:val="4"/>
        <w:rPr>
          <w:rFonts w:ascii="宋体" w:eastAsia="宋体" w:cs="宋体"/>
          <w:color w:val="000000"/>
          <w:kern w:val="0"/>
          <w:sz w:val="24"/>
          <w:highlight w:val="none"/>
          <w:lang w:val="en-US"/>
        </w:rPr>
      </w:pPr>
    </w:p>
    <w:p>
      <w:pPr>
        <w:rPr>
          <w:rFonts w:ascii="宋体" w:eastAsia="宋体"/>
          <w:b/>
          <w:sz w:val="24"/>
          <w:highlight w:val="none"/>
        </w:rPr>
      </w:pPr>
      <w:bookmarkStart w:id="278" w:name="_Toc11607"/>
      <w:r>
        <w:rPr>
          <w:rFonts w:hint="eastAsia" w:ascii="宋体" w:eastAsia="宋体"/>
          <w:b/>
          <w:sz w:val="24"/>
          <w:highlight w:val="none"/>
        </w:rPr>
        <w:br w:type="page"/>
      </w:r>
    </w:p>
    <w:p>
      <w:pPr>
        <w:spacing w:line="360" w:lineRule="auto"/>
        <w:jc w:val="center"/>
        <w:outlineLvl w:val="1"/>
        <w:rPr>
          <w:rFonts w:ascii="宋体" w:eastAsia="宋体"/>
          <w:b/>
          <w:sz w:val="24"/>
          <w:highlight w:val="none"/>
        </w:rPr>
      </w:pPr>
      <w:bookmarkStart w:id="279" w:name="_Toc15208"/>
      <w:bookmarkStart w:id="280" w:name="_Toc16960"/>
      <w:r>
        <w:rPr>
          <w:rFonts w:hint="eastAsia" w:ascii="宋体" w:eastAsia="宋体"/>
          <w:b/>
          <w:sz w:val="24"/>
          <w:highlight w:val="none"/>
        </w:rPr>
        <w:t>四、授权书</w:t>
      </w:r>
      <w:bookmarkEnd w:id="278"/>
      <w:bookmarkEnd w:id="279"/>
      <w:bookmarkEnd w:id="280"/>
    </w:p>
    <w:p>
      <w:pPr>
        <w:pStyle w:val="14"/>
        <w:snapToGrid w:val="0"/>
        <w:spacing w:line="360" w:lineRule="auto"/>
        <w:ind w:firstLine="480" w:firstLineChars="200"/>
        <w:jc w:val="left"/>
        <w:rPr>
          <w:rFonts w:eastAsia="宋体"/>
          <w:sz w:val="24"/>
          <w:szCs w:val="28"/>
          <w:highlight w:val="none"/>
        </w:rPr>
      </w:pPr>
    </w:p>
    <w:p>
      <w:pPr>
        <w:spacing w:line="360" w:lineRule="auto"/>
        <w:ind w:firstLine="435"/>
        <w:rPr>
          <w:rFonts w:eastAsia="宋体"/>
          <w:sz w:val="24"/>
          <w:szCs w:val="28"/>
          <w:highlight w:val="none"/>
        </w:rPr>
      </w:pPr>
      <w:r>
        <w:rPr>
          <w:rFonts w:hint="eastAsia" w:eastAsia="宋体"/>
          <w:sz w:val="24"/>
          <w:szCs w:val="28"/>
          <w:highlight w:val="none"/>
        </w:rPr>
        <w:t>本</w:t>
      </w:r>
      <w:r>
        <w:rPr>
          <w:rFonts w:hint="eastAsia" w:ascii="宋体" w:eastAsia="宋体"/>
          <w:sz w:val="24"/>
          <w:highlight w:val="none"/>
        </w:rPr>
        <w:t>授权</w:t>
      </w:r>
      <w:r>
        <w:rPr>
          <w:rFonts w:hint="eastAsia" w:eastAsia="宋体"/>
          <w:sz w:val="24"/>
          <w:szCs w:val="28"/>
          <w:highlight w:val="none"/>
        </w:rPr>
        <w:t>书声明：（投标人名称）授权（投标人授权代表姓名）代表我方参加本项目</w:t>
      </w:r>
      <w:r>
        <w:rPr>
          <w:rFonts w:hint="eastAsia" w:eastAsia="宋体"/>
          <w:bCs/>
          <w:sz w:val="24"/>
          <w:szCs w:val="28"/>
          <w:highlight w:val="none"/>
        </w:rPr>
        <w:t>采购活动</w:t>
      </w:r>
      <w:r>
        <w:rPr>
          <w:rFonts w:hint="eastAsia" w:eastAsia="宋体"/>
          <w:sz w:val="24"/>
          <w:szCs w:val="28"/>
          <w:highlight w:val="none"/>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pPr>
        <w:spacing w:line="360" w:lineRule="auto"/>
        <w:ind w:firstLine="435"/>
        <w:rPr>
          <w:rFonts w:eastAsia="宋体"/>
          <w:sz w:val="24"/>
          <w:szCs w:val="28"/>
          <w:highlight w:val="none"/>
        </w:rPr>
      </w:pPr>
      <w:r>
        <w:rPr>
          <w:rFonts w:hint="eastAsia" w:eastAsia="宋体"/>
          <w:sz w:val="24"/>
          <w:szCs w:val="28"/>
          <w:highlight w:val="none"/>
        </w:rPr>
        <w:t>本授权书自出具之日起生效。</w:t>
      </w:r>
    </w:p>
    <w:p>
      <w:pPr>
        <w:spacing w:line="360" w:lineRule="auto"/>
        <w:ind w:firstLine="435"/>
        <w:rPr>
          <w:rFonts w:eastAsia="宋体"/>
          <w:sz w:val="24"/>
          <w:highlight w:val="none"/>
        </w:rPr>
      </w:pPr>
      <w:r>
        <w:rPr>
          <w:rFonts w:hint="eastAsia" w:eastAsia="宋体"/>
          <w:sz w:val="24"/>
          <w:szCs w:val="28"/>
          <w:highlight w:val="none"/>
        </w:rPr>
        <w:t>授权</w:t>
      </w:r>
      <w:r>
        <w:rPr>
          <w:rFonts w:hint="eastAsia" w:ascii="宋体" w:eastAsia="宋体"/>
          <w:sz w:val="24"/>
          <w:highlight w:val="none"/>
        </w:rPr>
        <w:t>代表</w:t>
      </w:r>
      <w:r>
        <w:rPr>
          <w:rFonts w:hint="eastAsia" w:eastAsia="宋体"/>
          <w:sz w:val="24"/>
          <w:highlight w:val="none"/>
        </w:rPr>
        <w:t>身份证明扫描件：</w:t>
      </w:r>
    </w:p>
    <w:p>
      <w:pPr>
        <w:spacing w:line="360" w:lineRule="auto"/>
        <w:ind w:firstLine="435"/>
        <w:rPr>
          <w:rFonts w:ascii="宋体" w:eastAsia="宋体"/>
          <w:sz w:val="24"/>
          <w:highlight w:val="none"/>
        </w:rPr>
      </w:pPr>
    </w:p>
    <w:p>
      <w:pPr>
        <w:spacing w:line="360" w:lineRule="auto"/>
        <w:ind w:firstLine="435"/>
        <w:rPr>
          <w:rFonts w:ascii="宋体" w:eastAsia="宋体"/>
          <w:sz w:val="24"/>
          <w:highlight w:val="none"/>
        </w:rPr>
      </w:pPr>
    </w:p>
    <w:p>
      <w:pPr>
        <w:spacing w:line="360" w:lineRule="auto"/>
        <w:ind w:firstLine="435"/>
        <w:rPr>
          <w:rFonts w:ascii="宋体" w:eastAsia="宋体"/>
          <w:sz w:val="24"/>
          <w:highlight w:val="none"/>
        </w:rPr>
      </w:pPr>
    </w:p>
    <w:p>
      <w:pPr>
        <w:spacing w:line="360" w:lineRule="auto"/>
        <w:ind w:firstLine="435"/>
        <w:rPr>
          <w:rFonts w:eastAsia="宋体"/>
          <w:sz w:val="24"/>
          <w:szCs w:val="28"/>
          <w:highlight w:val="none"/>
          <w:u w:val="single"/>
          <w:lang w:val="zh-CN"/>
        </w:rPr>
      </w:pPr>
      <w:r>
        <w:rPr>
          <w:rFonts w:hint="eastAsia" w:eastAsia="宋体"/>
          <w:sz w:val="24"/>
          <w:szCs w:val="28"/>
          <w:highlight w:val="none"/>
        </w:rPr>
        <w:t>授权代表联系方式：</w:t>
      </w:r>
      <w:r>
        <w:rPr>
          <w:rFonts w:hint="eastAsia" w:eastAsia="宋体"/>
          <w:sz w:val="24"/>
          <w:szCs w:val="28"/>
          <w:highlight w:val="none"/>
          <w:u w:val="single"/>
        </w:rPr>
        <w:t xml:space="preserve">          （请填写手机号码）</w:t>
      </w:r>
    </w:p>
    <w:p>
      <w:pPr>
        <w:spacing w:line="360" w:lineRule="auto"/>
        <w:ind w:firstLine="435"/>
        <w:rPr>
          <w:rFonts w:eastAsia="宋体"/>
          <w:sz w:val="24"/>
          <w:szCs w:val="28"/>
          <w:highlight w:val="none"/>
          <w:lang w:val="zh-CN"/>
        </w:rPr>
      </w:pPr>
    </w:p>
    <w:p>
      <w:pPr>
        <w:spacing w:line="360" w:lineRule="auto"/>
        <w:ind w:firstLine="435"/>
        <w:rPr>
          <w:rFonts w:ascii="宋体" w:eastAsia="宋体"/>
          <w:sz w:val="24"/>
          <w:szCs w:val="28"/>
          <w:highlight w:val="none"/>
        </w:rPr>
      </w:pPr>
      <w:r>
        <w:rPr>
          <w:rFonts w:hint="eastAsia" w:ascii="宋体" w:eastAsia="宋体"/>
          <w:sz w:val="24"/>
          <w:highlight w:val="none"/>
        </w:rPr>
        <w:t>特此</w:t>
      </w:r>
      <w:r>
        <w:rPr>
          <w:rFonts w:hint="eastAsia" w:ascii="宋体" w:eastAsia="宋体"/>
          <w:sz w:val="24"/>
          <w:szCs w:val="28"/>
          <w:highlight w:val="none"/>
        </w:rPr>
        <w:t>声明。</w:t>
      </w:r>
    </w:p>
    <w:p>
      <w:pPr>
        <w:spacing w:line="360" w:lineRule="auto"/>
        <w:rPr>
          <w:rFonts w:ascii="宋体" w:eastAsia="宋体"/>
          <w:sz w:val="24"/>
          <w:szCs w:val="28"/>
          <w:highlight w:val="none"/>
        </w:rPr>
      </w:pPr>
    </w:p>
    <w:p>
      <w:pPr>
        <w:spacing w:line="360" w:lineRule="auto"/>
        <w:ind w:firstLine="435"/>
        <w:jc w:val="center"/>
        <w:rPr>
          <w:rFonts w:ascii="宋体" w:eastAsia="宋体"/>
          <w:bCs/>
          <w:sz w:val="24"/>
          <w:szCs w:val="28"/>
          <w:highlight w:val="none"/>
        </w:rPr>
      </w:pPr>
      <w:r>
        <w:rPr>
          <w:rFonts w:hint="eastAsia" w:ascii="宋体" w:eastAsia="宋体"/>
          <w:bCs/>
          <w:sz w:val="24"/>
          <w:szCs w:val="28"/>
          <w:highlight w:val="none"/>
        </w:rPr>
        <w:t>投标人电子签章：</w:t>
      </w:r>
    </w:p>
    <w:p>
      <w:pPr>
        <w:spacing w:line="360" w:lineRule="auto"/>
        <w:ind w:firstLine="435"/>
        <w:jc w:val="center"/>
        <w:rPr>
          <w:rFonts w:ascii="宋体" w:eastAsia="宋体"/>
          <w:sz w:val="24"/>
          <w:szCs w:val="28"/>
          <w:highlight w:val="none"/>
        </w:rPr>
      </w:pPr>
      <w:r>
        <w:rPr>
          <w:rFonts w:hint="eastAsia" w:ascii="宋体" w:eastAsia="宋体"/>
          <w:sz w:val="24"/>
          <w:szCs w:val="28"/>
          <w:highlight w:val="none"/>
        </w:rPr>
        <w:t>日          期：</w:t>
      </w:r>
    </w:p>
    <w:p>
      <w:pPr>
        <w:spacing w:line="360" w:lineRule="auto"/>
        <w:ind w:firstLine="435"/>
        <w:rPr>
          <w:rFonts w:ascii="宋体" w:eastAsia="宋体"/>
          <w:sz w:val="24"/>
          <w:highlight w:val="none"/>
        </w:rPr>
      </w:pPr>
    </w:p>
    <w:p>
      <w:pPr>
        <w:spacing w:line="360" w:lineRule="auto"/>
        <w:ind w:firstLine="435"/>
        <w:rPr>
          <w:rFonts w:ascii="宋体" w:eastAsia="宋体"/>
          <w:sz w:val="24"/>
          <w:highlight w:val="none"/>
        </w:rPr>
      </w:pPr>
    </w:p>
    <w:p>
      <w:pPr>
        <w:spacing w:line="360" w:lineRule="auto"/>
        <w:rPr>
          <w:rFonts w:ascii="宋体" w:eastAsia="宋体"/>
          <w:sz w:val="24"/>
          <w:highlight w:val="none"/>
        </w:rPr>
      </w:pPr>
      <w:r>
        <w:rPr>
          <w:rFonts w:hint="eastAsia" w:ascii="宋体" w:eastAsia="宋体"/>
          <w:sz w:val="24"/>
          <w:highlight w:val="none"/>
        </w:rPr>
        <w:t>注：</w:t>
      </w:r>
    </w:p>
    <w:p>
      <w:pPr>
        <w:spacing w:line="360" w:lineRule="auto"/>
        <w:ind w:firstLine="435"/>
        <w:rPr>
          <w:rFonts w:ascii="宋体" w:eastAsia="宋体"/>
          <w:sz w:val="24"/>
          <w:highlight w:val="none"/>
        </w:rPr>
      </w:pPr>
      <w:r>
        <w:rPr>
          <w:rFonts w:hint="eastAsia" w:ascii="宋体" w:eastAsia="宋体"/>
          <w:sz w:val="24"/>
          <w:highlight w:val="none"/>
        </w:rPr>
        <w:t>1.本项目只允许有唯一的投标人授权代表，提供身份证明扫描件；</w:t>
      </w:r>
    </w:p>
    <w:p>
      <w:pPr>
        <w:spacing w:line="360" w:lineRule="auto"/>
        <w:ind w:firstLine="435"/>
        <w:rPr>
          <w:rFonts w:ascii="宋体" w:eastAsia="宋体"/>
          <w:sz w:val="24"/>
          <w:highlight w:val="none"/>
        </w:rPr>
      </w:pPr>
      <w:r>
        <w:rPr>
          <w:rFonts w:hint="eastAsia" w:ascii="宋体" w:eastAsia="宋体"/>
          <w:sz w:val="24"/>
          <w:highlight w:val="none"/>
        </w:rPr>
        <w:t>2.法定代表人参加投标的无需提供授权书，提供身份证明扫描件。</w:t>
      </w:r>
    </w:p>
    <w:p>
      <w:pPr>
        <w:widowControl/>
        <w:jc w:val="left"/>
        <w:rPr>
          <w:rFonts w:ascii="宋体" w:eastAsia="宋体"/>
          <w:sz w:val="24"/>
          <w:highlight w:val="none"/>
        </w:rPr>
      </w:pPr>
      <w:r>
        <w:rPr>
          <w:rFonts w:ascii="宋体" w:eastAsia="宋体"/>
          <w:sz w:val="24"/>
          <w:highlight w:val="none"/>
        </w:rPr>
        <w:br w:type="page"/>
      </w:r>
    </w:p>
    <w:p>
      <w:pPr>
        <w:spacing w:line="360" w:lineRule="auto"/>
        <w:jc w:val="center"/>
        <w:outlineLvl w:val="1"/>
        <w:rPr>
          <w:rFonts w:ascii="宋体" w:eastAsia="宋体"/>
          <w:b/>
          <w:sz w:val="24"/>
          <w:highlight w:val="none"/>
        </w:rPr>
      </w:pPr>
      <w:bookmarkStart w:id="281" w:name="_Toc6796"/>
      <w:bookmarkStart w:id="282" w:name="_Toc31855"/>
      <w:bookmarkStart w:id="283" w:name="_Toc31991"/>
      <w:r>
        <w:rPr>
          <w:rFonts w:hint="eastAsia" w:ascii="宋体" w:eastAsia="宋体"/>
          <w:b/>
          <w:sz w:val="24"/>
          <w:highlight w:val="none"/>
        </w:rPr>
        <w:t>五、投标分项报价表</w:t>
      </w:r>
      <w:bookmarkEnd w:id="281"/>
      <w:bookmarkEnd w:id="282"/>
      <w:bookmarkEnd w:id="283"/>
    </w:p>
    <w:p>
      <w:pPr>
        <w:spacing w:line="360" w:lineRule="auto"/>
        <w:ind w:firstLine="435"/>
        <w:rPr>
          <w:rFonts w:ascii="宋体" w:eastAsia="宋体"/>
          <w:b/>
          <w:sz w:val="24"/>
          <w:highlight w:val="none"/>
        </w:rPr>
      </w:pP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5"/>
        <w:gridCol w:w="1999"/>
        <w:gridCol w:w="1206"/>
        <w:gridCol w:w="1206"/>
        <w:gridCol w:w="560"/>
        <w:gridCol w:w="560"/>
        <w:gridCol w:w="939"/>
        <w:gridCol w:w="939"/>
        <w:gridCol w:w="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26" w:type="pct"/>
            <w:vAlign w:val="center"/>
          </w:tcPr>
          <w:p>
            <w:pPr>
              <w:pStyle w:val="40"/>
              <w:widowControl w:val="0"/>
              <w:spacing w:before="0" w:beforeAutospacing="0" w:after="0" w:afterAutospacing="0"/>
              <w:rPr>
                <w:rFonts w:ascii="宋体" w:eastAsia="宋体"/>
                <w:bCs w:val="0"/>
                <w:kern w:val="2"/>
                <w:sz w:val="24"/>
                <w:szCs w:val="20"/>
                <w:highlight w:val="none"/>
              </w:rPr>
            </w:pPr>
            <w:r>
              <w:rPr>
                <w:rFonts w:hint="eastAsia" w:ascii="宋体" w:eastAsia="宋体"/>
                <w:bCs w:val="0"/>
                <w:kern w:val="2"/>
                <w:sz w:val="24"/>
                <w:szCs w:val="20"/>
                <w:highlight w:val="none"/>
              </w:rPr>
              <w:t>序号</w:t>
            </w:r>
          </w:p>
        </w:tc>
        <w:tc>
          <w:tcPr>
            <w:tcW w:w="1171" w:type="pct"/>
            <w:vAlign w:val="center"/>
          </w:tcPr>
          <w:p>
            <w:pPr>
              <w:jc w:val="center"/>
              <w:rPr>
                <w:rFonts w:ascii="宋体" w:eastAsia="宋体"/>
                <w:b/>
                <w:sz w:val="24"/>
                <w:highlight w:val="none"/>
              </w:rPr>
            </w:pPr>
            <w:r>
              <w:rPr>
                <w:rFonts w:hint="eastAsia" w:ascii="宋体" w:eastAsia="宋体"/>
                <w:b/>
                <w:sz w:val="24"/>
                <w:highlight w:val="none"/>
              </w:rPr>
              <w:t>货物名称</w:t>
            </w:r>
          </w:p>
        </w:tc>
        <w:tc>
          <w:tcPr>
            <w:tcW w:w="707" w:type="pct"/>
            <w:vAlign w:val="center"/>
          </w:tcPr>
          <w:p>
            <w:pPr>
              <w:jc w:val="center"/>
              <w:rPr>
                <w:rFonts w:ascii="宋体" w:eastAsia="宋体"/>
                <w:b/>
                <w:sz w:val="24"/>
                <w:highlight w:val="none"/>
              </w:rPr>
            </w:pPr>
            <w:r>
              <w:rPr>
                <w:rFonts w:hint="eastAsia" w:ascii="宋体" w:eastAsia="宋体"/>
                <w:b/>
                <w:sz w:val="24"/>
                <w:highlight w:val="none"/>
              </w:rPr>
              <w:t>品牌、型</w:t>
            </w:r>
          </w:p>
          <w:p>
            <w:pPr>
              <w:jc w:val="center"/>
              <w:rPr>
                <w:rFonts w:ascii="宋体" w:eastAsia="宋体"/>
                <w:b/>
                <w:sz w:val="24"/>
                <w:highlight w:val="none"/>
              </w:rPr>
            </w:pPr>
            <w:r>
              <w:rPr>
                <w:rFonts w:hint="eastAsia" w:ascii="宋体" w:eastAsia="宋体"/>
                <w:b/>
                <w:sz w:val="24"/>
                <w:highlight w:val="none"/>
              </w:rPr>
              <w:t>号</w:t>
            </w:r>
          </w:p>
        </w:tc>
        <w:tc>
          <w:tcPr>
            <w:tcW w:w="707" w:type="pct"/>
            <w:vAlign w:val="center"/>
          </w:tcPr>
          <w:p>
            <w:pPr>
              <w:jc w:val="center"/>
              <w:rPr>
                <w:rFonts w:ascii="宋体" w:eastAsia="宋体"/>
                <w:b/>
                <w:sz w:val="24"/>
                <w:highlight w:val="none"/>
              </w:rPr>
            </w:pPr>
            <w:r>
              <w:rPr>
                <w:rFonts w:hint="eastAsia" w:ascii="宋体" w:eastAsia="宋体"/>
                <w:b/>
                <w:sz w:val="24"/>
                <w:highlight w:val="none"/>
              </w:rPr>
              <w:t>原产地及</w:t>
            </w:r>
          </w:p>
          <w:p>
            <w:pPr>
              <w:jc w:val="center"/>
              <w:rPr>
                <w:rFonts w:ascii="宋体" w:eastAsia="宋体"/>
                <w:b/>
                <w:sz w:val="24"/>
                <w:highlight w:val="none"/>
              </w:rPr>
            </w:pPr>
            <w:r>
              <w:rPr>
                <w:rFonts w:hint="eastAsia" w:ascii="宋体" w:eastAsia="宋体"/>
                <w:b/>
                <w:sz w:val="24"/>
                <w:highlight w:val="none"/>
              </w:rPr>
              <w:t>生产厂商</w:t>
            </w:r>
          </w:p>
        </w:tc>
        <w:tc>
          <w:tcPr>
            <w:tcW w:w="328" w:type="pct"/>
            <w:vAlign w:val="center"/>
          </w:tcPr>
          <w:p>
            <w:pPr>
              <w:jc w:val="center"/>
              <w:rPr>
                <w:rFonts w:ascii="宋体" w:eastAsia="宋体"/>
                <w:b/>
                <w:sz w:val="24"/>
                <w:highlight w:val="none"/>
              </w:rPr>
            </w:pPr>
            <w:r>
              <w:rPr>
                <w:rFonts w:hint="eastAsia" w:ascii="宋体" w:eastAsia="宋体"/>
                <w:b/>
                <w:sz w:val="24"/>
                <w:highlight w:val="none"/>
              </w:rPr>
              <w:t>单位</w:t>
            </w:r>
          </w:p>
        </w:tc>
        <w:tc>
          <w:tcPr>
            <w:tcW w:w="328" w:type="pct"/>
            <w:vAlign w:val="center"/>
          </w:tcPr>
          <w:p>
            <w:pPr>
              <w:jc w:val="center"/>
              <w:rPr>
                <w:rFonts w:ascii="宋体" w:eastAsia="宋体"/>
                <w:b/>
                <w:sz w:val="24"/>
                <w:highlight w:val="none"/>
              </w:rPr>
            </w:pPr>
            <w:r>
              <w:rPr>
                <w:rFonts w:hint="eastAsia" w:ascii="宋体" w:eastAsia="宋体"/>
                <w:b/>
                <w:sz w:val="24"/>
                <w:highlight w:val="none"/>
              </w:rPr>
              <w:t>数量</w:t>
            </w:r>
          </w:p>
        </w:tc>
        <w:tc>
          <w:tcPr>
            <w:tcW w:w="550" w:type="pct"/>
            <w:vAlign w:val="center"/>
          </w:tcPr>
          <w:p>
            <w:pPr>
              <w:jc w:val="center"/>
              <w:rPr>
                <w:rFonts w:ascii="宋体" w:eastAsia="宋体"/>
                <w:b/>
                <w:sz w:val="24"/>
                <w:highlight w:val="none"/>
              </w:rPr>
            </w:pPr>
            <w:r>
              <w:rPr>
                <w:rFonts w:hint="eastAsia" w:ascii="宋体" w:eastAsia="宋体"/>
                <w:b/>
                <w:sz w:val="24"/>
                <w:highlight w:val="none"/>
              </w:rPr>
              <w:t>单价</w:t>
            </w:r>
          </w:p>
          <w:p>
            <w:pPr>
              <w:jc w:val="center"/>
              <w:rPr>
                <w:rFonts w:ascii="宋体" w:eastAsia="宋体"/>
                <w:b/>
                <w:sz w:val="24"/>
                <w:highlight w:val="none"/>
              </w:rPr>
            </w:pPr>
            <w:r>
              <w:rPr>
                <w:rFonts w:hint="eastAsia" w:ascii="宋体" w:eastAsia="宋体"/>
                <w:b/>
                <w:sz w:val="24"/>
                <w:highlight w:val="none"/>
              </w:rPr>
              <w:t>（元）</w:t>
            </w:r>
          </w:p>
        </w:tc>
        <w:tc>
          <w:tcPr>
            <w:tcW w:w="550" w:type="pct"/>
            <w:vAlign w:val="center"/>
          </w:tcPr>
          <w:p>
            <w:pPr>
              <w:jc w:val="center"/>
              <w:rPr>
                <w:rFonts w:ascii="宋体" w:eastAsia="宋体"/>
                <w:b/>
                <w:sz w:val="24"/>
                <w:highlight w:val="none"/>
              </w:rPr>
            </w:pPr>
            <w:r>
              <w:rPr>
                <w:rFonts w:hint="eastAsia" w:ascii="宋体" w:eastAsia="宋体"/>
                <w:b/>
                <w:sz w:val="24"/>
                <w:highlight w:val="none"/>
              </w:rPr>
              <w:t>小计</w:t>
            </w:r>
          </w:p>
          <w:p>
            <w:pPr>
              <w:jc w:val="center"/>
              <w:rPr>
                <w:rFonts w:ascii="宋体" w:eastAsia="宋体"/>
                <w:b/>
                <w:sz w:val="24"/>
                <w:highlight w:val="none"/>
              </w:rPr>
            </w:pPr>
            <w:r>
              <w:rPr>
                <w:rFonts w:hint="eastAsia" w:ascii="宋体" w:eastAsia="宋体"/>
                <w:b/>
                <w:sz w:val="24"/>
                <w:highlight w:val="none"/>
              </w:rPr>
              <w:t>（元）</w:t>
            </w:r>
          </w:p>
        </w:tc>
        <w:tc>
          <w:tcPr>
            <w:tcW w:w="327" w:type="pct"/>
            <w:vAlign w:val="center"/>
          </w:tcPr>
          <w:p>
            <w:pPr>
              <w:jc w:val="center"/>
              <w:rPr>
                <w:rFonts w:ascii="宋体" w:eastAsia="宋体"/>
                <w:b/>
                <w:sz w:val="24"/>
                <w:highlight w:val="none"/>
              </w:rPr>
            </w:pPr>
            <w:r>
              <w:rPr>
                <w:rFonts w:hint="eastAsia" w:ascii="宋体" w:eastAsia="宋体"/>
                <w:b/>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26" w:type="pct"/>
            <w:tcBorders>
              <w:bottom w:val="single" w:color="auto" w:sz="4" w:space="0"/>
            </w:tcBorders>
          </w:tcPr>
          <w:p>
            <w:pPr>
              <w:jc w:val="center"/>
              <w:rPr>
                <w:rFonts w:ascii="宋体" w:eastAsia="宋体"/>
                <w:sz w:val="24"/>
                <w:highlight w:val="none"/>
              </w:rPr>
            </w:pPr>
            <w:r>
              <w:rPr>
                <w:rFonts w:hint="eastAsia" w:ascii="宋体" w:eastAsia="宋体"/>
                <w:sz w:val="24"/>
                <w:highlight w:val="none"/>
              </w:rPr>
              <w:t>1</w:t>
            </w:r>
          </w:p>
        </w:tc>
        <w:tc>
          <w:tcPr>
            <w:tcW w:w="1171" w:type="pct"/>
            <w:vAlign w:val="center"/>
          </w:tcPr>
          <w:p>
            <w:pPr>
              <w:kinsoku w:val="0"/>
              <w:autoSpaceDE w:val="0"/>
              <w:autoSpaceDN w:val="0"/>
              <w:adjustRightInd w:val="0"/>
              <w:snapToGrid w:val="0"/>
              <w:spacing w:before="78" w:line="247" w:lineRule="auto"/>
              <w:ind w:left="164" w:right="135" w:hanging="18"/>
              <w:jc w:val="center"/>
              <w:textAlignment w:val="baseline"/>
              <w:rPr>
                <w:rFonts w:ascii="宋体" w:eastAsia="宋体"/>
                <w:sz w:val="24"/>
                <w:highlight w:val="none"/>
              </w:rPr>
            </w:pPr>
          </w:p>
        </w:tc>
        <w:tc>
          <w:tcPr>
            <w:tcW w:w="707" w:type="pct"/>
          </w:tcPr>
          <w:p>
            <w:pPr>
              <w:rPr>
                <w:rFonts w:ascii="宋体" w:eastAsia="宋体"/>
                <w:sz w:val="24"/>
                <w:highlight w:val="none"/>
              </w:rPr>
            </w:pPr>
          </w:p>
        </w:tc>
        <w:tc>
          <w:tcPr>
            <w:tcW w:w="707" w:type="pct"/>
          </w:tcPr>
          <w:p>
            <w:pPr>
              <w:rPr>
                <w:rFonts w:ascii="宋体" w:eastAsia="宋体"/>
                <w:sz w:val="24"/>
                <w:highlight w:val="none"/>
              </w:rPr>
            </w:pPr>
          </w:p>
        </w:tc>
        <w:tc>
          <w:tcPr>
            <w:tcW w:w="328" w:type="pct"/>
          </w:tcPr>
          <w:p>
            <w:pPr>
              <w:rPr>
                <w:rFonts w:ascii="宋体" w:eastAsia="宋体"/>
                <w:sz w:val="24"/>
                <w:highlight w:val="none"/>
              </w:rPr>
            </w:pPr>
          </w:p>
        </w:tc>
        <w:tc>
          <w:tcPr>
            <w:tcW w:w="328" w:type="pct"/>
          </w:tcPr>
          <w:p>
            <w:pPr>
              <w:rPr>
                <w:rFonts w:ascii="宋体" w:eastAsia="宋体"/>
                <w:sz w:val="24"/>
                <w:highlight w:val="none"/>
              </w:rPr>
            </w:pPr>
          </w:p>
        </w:tc>
        <w:tc>
          <w:tcPr>
            <w:tcW w:w="550" w:type="pct"/>
          </w:tcPr>
          <w:p>
            <w:pPr>
              <w:rPr>
                <w:rFonts w:ascii="宋体" w:eastAsia="宋体"/>
                <w:sz w:val="24"/>
                <w:highlight w:val="none"/>
              </w:rPr>
            </w:pPr>
          </w:p>
        </w:tc>
        <w:tc>
          <w:tcPr>
            <w:tcW w:w="550" w:type="pct"/>
          </w:tcPr>
          <w:p>
            <w:pPr>
              <w:rPr>
                <w:rFonts w:ascii="宋体" w:eastAsia="宋体"/>
                <w:sz w:val="24"/>
                <w:highlight w:val="none"/>
              </w:rPr>
            </w:pPr>
          </w:p>
        </w:tc>
        <w:tc>
          <w:tcPr>
            <w:tcW w:w="327" w:type="pct"/>
          </w:tcPr>
          <w:p>
            <w:pPr>
              <w:rPr>
                <w:rFonts w:ascii="宋体" w:eastAsia="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26" w:type="pct"/>
          </w:tcPr>
          <w:p>
            <w:pPr>
              <w:jc w:val="center"/>
              <w:rPr>
                <w:rFonts w:ascii="宋体" w:eastAsia="宋体"/>
                <w:sz w:val="24"/>
                <w:highlight w:val="none"/>
              </w:rPr>
            </w:pPr>
            <w:r>
              <w:rPr>
                <w:rFonts w:hint="eastAsia" w:ascii="宋体" w:eastAsia="宋体"/>
                <w:sz w:val="24"/>
                <w:highlight w:val="none"/>
              </w:rPr>
              <w:t>2</w:t>
            </w:r>
          </w:p>
        </w:tc>
        <w:tc>
          <w:tcPr>
            <w:tcW w:w="1171" w:type="pct"/>
            <w:vAlign w:val="center"/>
          </w:tcPr>
          <w:p>
            <w:pPr>
              <w:kinsoku w:val="0"/>
              <w:autoSpaceDE w:val="0"/>
              <w:autoSpaceDN w:val="0"/>
              <w:adjustRightInd w:val="0"/>
              <w:snapToGrid w:val="0"/>
              <w:spacing w:before="58" w:line="264" w:lineRule="auto"/>
              <w:ind w:left="367" w:right="147" w:hanging="209"/>
              <w:jc w:val="center"/>
              <w:textAlignment w:val="baseline"/>
              <w:rPr>
                <w:rFonts w:ascii="宋体" w:eastAsia="宋体"/>
                <w:sz w:val="24"/>
                <w:highlight w:val="none"/>
              </w:rPr>
            </w:pPr>
          </w:p>
        </w:tc>
        <w:tc>
          <w:tcPr>
            <w:tcW w:w="707" w:type="pct"/>
          </w:tcPr>
          <w:p>
            <w:pPr>
              <w:rPr>
                <w:rFonts w:ascii="宋体" w:eastAsia="宋体"/>
                <w:sz w:val="24"/>
                <w:highlight w:val="none"/>
              </w:rPr>
            </w:pPr>
          </w:p>
        </w:tc>
        <w:tc>
          <w:tcPr>
            <w:tcW w:w="707" w:type="pct"/>
          </w:tcPr>
          <w:p>
            <w:pPr>
              <w:rPr>
                <w:rFonts w:ascii="宋体" w:eastAsia="宋体"/>
                <w:sz w:val="24"/>
                <w:highlight w:val="none"/>
              </w:rPr>
            </w:pPr>
          </w:p>
        </w:tc>
        <w:tc>
          <w:tcPr>
            <w:tcW w:w="328" w:type="pct"/>
          </w:tcPr>
          <w:p>
            <w:pPr>
              <w:rPr>
                <w:rFonts w:ascii="宋体" w:eastAsia="宋体"/>
                <w:sz w:val="24"/>
                <w:highlight w:val="none"/>
              </w:rPr>
            </w:pPr>
          </w:p>
        </w:tc>
        <w:tc>
          <w:tcPr>
            <w:tcW w:w="328" w:type="pct"/>
          </w:tcPr>
          <w:p>
            <w:pPr>
              <w:rPr>
                <w:rFonts w:ascii="宋体" w:eastAsia="宋体"/>
                <w:sz w:val="24"/>
                <w:highlight w:val="none"/>
              </w:rPr>
            </w:pPr>
          </w:p>
        </w:tc>
        <w:tc>
          <w:tcPr>
            <w:tcW w:w="550" w:type="pct"/>
          </w:tcPr>
          <w:p>
            <w:pPr>
              <w:rPr>
                <w:rFonts w:ascii="宋体" w:eastAsia="宋体"/>
                <w:sz w:val="24"/>
                <w:highlight w:val="none"/>
              </w:rPr>
            </w:pPr>
          </w:p>
        </w:tc>
        <w:tc>
          <w:tcPr>
            <w:tcW w:w="550" w:type="pct"/>
          </w:tcPr>
          <w:p>
            <w:pPr>
              <w:rPr>
                <w:rFonts w:ascii="宋体" w:eastAsia="宋体"/>
                <w:sz w:val="24"/>
                <w:highlight w:val="none"/>
              </w:rPr>
            </w:pPr>
          </w:p>
        </w:tc>
        <w:tc>
          <w:tcPr>
            <w:tcW w:w="327" w:type="pct"/>
          </w:tcPr>
          <w:p>
            <w:pPr>
              <w:rPr>
                <w:rFonts w:ascii="宋体" w:eastAsia="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26" w:type="pct"/>
          </w:tcPr>
          <w:p>
            <w:pPr>
              <w:jc w:val="center"/>
              <w:rPr>
                <w:rFonts w:ascii="宋体" w:eastAsia="宋体"/>
                <w:sz w:val="24"/>
                <w:highlight w:val="none"/>
              </w:rPr>
            </w:pPr>
            <w:r>
              <w:rPr>
                <w:rFonts w:hint="eastAsia" w:ascii="宋体" w:eastAsia="宋体"/>
                <w:sz w:val="24"/>
                <w:highlight w:val="none"/>
              </w:rPr>
              <w:t>3</w:t>
            </w:r>
          </w:p>
        </w:tc>
        <w:tc>
          <w:tcPr>
            <w:tcW w:w="1171" w:type="pct"/>
            <w:vAlign w:val="center"/>
          </w:tcPr>
          <w:p>
            <w:pPr>
              <w:kinsoku w:val="0"/>
              <w:autoSpaceDE w:val="0"/>
              <w:autoSpaceDN w:val="0"/>
              <w:adjustRightInd w:val="0"/>
              <w:snapToGrid w:val="0"/>
              <w:spacing w:before="58" w:line="266" w:lineRule="auto"/>
              <w:ind w:left="372" w:right="147" w:hanging="213"/>
              <w:jc w:val="center"/>
              <w:textAlignment w:val="baseline"/>
              <w:rPr>
                <w:rFonts w:ascii="宋体" w:eastAsia="宋体"/>
                <w:sz w:val="24"/>
                <w:highlight w:val="none"/>
              </w:rPr>
            </w:pPr>
          </w:p>
        </w:tc>
        <w:tc>
          <w:tcPr>
            <w:tcW w:w="707" w:type="pct"/>
          </w:tcPr>
          <w:p>
            <w:pPr>
              <w:rPr>
                <w:rFonts w:ascii="宋体" w:eastAsia="宋体"/>
                <w:sz w:val="24"/>
                <w:highlight w:val="none"/>
              </w:rPr>
            </w:pPr>
          </w:p>
        </w:tc>
        <w:tc>
          <w:tcPr>
            <w:tcW w:w="707" w:type="pct"/>
          </w:tcPr>
          <w:p>
            <w:pPr>
              <w:rPr>
                <w:rFonts w:ascii="宋体" w:eastAsia="宋体"/>
                <w:sz w:val="24"/>
                <w:highlight w:val="none"/>
              </w:rPr>
            </w:pPr>
          </w:p>
        </w:tc>
        <w:tc>
          <w:tcPr>
            <w:tcW w:w="328" w:type="pct"/>
          </w:tcPr>
          <w:p>
            <w:pPr>
              <w:rPr>
                <w:rFonts w:ascii="宋体" w:eastAsia="宋体"/>
                <w:sz w:val="24"/>
                <w:highlight w:val="none"/>
              </w:rPr>
            </w:pPr>
          </w:p>
        </w:tc>
        <w:tc>
          <w:tcPr>
            <w:tcW w:w="328" w:type="pct"/>
          </w:tcPr>
          <w:p>
            <w:pPr>
              <w:rPr>
                <w:rFonts w:ascii="宋体" w:eastAsia="宋体"/>
                <w:sz w:val="24"/>
                <w:highlight w:val="none"/>
              </w:rPr>
            </w:pPr>
          </w:p>
        </w:tc>
        <w:tc>
          <w:tcPr>
            <w:tcW w:w="550" w:type="pct"/>
          </w:tcPr>
          <w:p>
            <w:pPr>
              <w:rPr>
                <w:rFonts w:ascii="宋体" w:eastAsia="宋体"/>
                <w:sz w:val="24"/>
                <w:highlight w:val="none"/>
              </w:rPr>
            </w:pPr>
          </w:p>
        </w:tc>
        <w:tc>
          <w:tcPr>
            <w:tcW w:w="550" w:type="pct"/>
          </w:tcPr>
          <w:p>
            <w:pPr>
              <w:rPr>
                <w:rFonts w:ascii="宋体" w:eastAsia="宋体"/>
                <w:sz w:val="24"/>
                <w:highlight w:val="none"/>
              </w:rPr>
            </w:pPr>
          </w:p>
        </w:tc>
        <w:tc>
          <w:tcPr>
            <w:tcW w:w="327" w:type="pct"/>
          </w:tcPr>
          <w:p>
            <w:pPr>
              <w:rPr>
                <w:rFonts w:ascii="宋体" w:eastAsia="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26" w:type="pct"/>
          </w:tcPr>
          <w:p>
            <w:pPr>
              <w:jc w:val="center"/>
              <w:rPr>
                <w:rFonts w:ascii="宋体" w:eastAsia="宋体"/>
                <w:sz w:val="24"/>
                <w:highlight w:val="none"/>
              </w:rPr>
            </w:pPr>
          </w:p>
        </w:tc>
        <w:tc>
          <w:tcPr>
            <w:tcW w:w="1171" w:type="pct"/>
          </w:tcPr>
          <w:p>
            <w:pPr>
              <w:rPr>
                <w:rFonts w:ascii="宋体" w:eastAsia="宋体"/>
                <w:sz w:val="24"/>
                <w:highlight w:val="none"/>
              </w:rPr>
            </w:pPr>
            <w:r>
              <w:rPr>
                <w:rFonts w:hint="eastAsia" w:ascii="宋体" w:eastAsia="宋体"/>
                <w:sz w:val="24"/>
                <w:highlight w:val="none"/>
              </w:rPr>
              <w:t>…</w:t>
            </w:r>
          </w:p>
        </w:tc>
        <w:tc>
          <w:tcPr>
            <w:tcW w:w="707" w:type="pct"/>
          </w:tcPr>
          <w:p>
            <w:pPr>
              <w:rPr>
                <w:rFonts w:ascii="宋体" w:eastAsia="宋体"/>
                <w:sz w:val="24"/>
                <w:highlight w:val="none"/>
              </w:rPr>
            </w:pPr>
          </w:p>
        </w:tc>
        <w:tc>
          <w:tcPr>
            <w:tcW w:w="707" w:type="pct"/>
          </w:tcPr>
          <w:p>
            <w:pPr>
              <w:rPr>
                <w:rFonts w:ascii="宋体" w:eastAsia="宋体"/>
                <w:sz w:val="24"/>
                <w:highlight w:val="none"/>
              </w:rPr>
            </w:pPr>
          </w:p>
        </w:tc>
        <w:tc>
          <w:tcPr>
            <w:tcW w:w="328" w:type="pct"/>
          </w:tcPr>
          <w:p>
            <w:pPr>
              <w:rPr>
                <w:rFonts w:ascii="宋体" w:eastAsia="宋体"/>
                <w:sz w:val="24"/>
                <w:highlight w:val="none"/>
              </w:rPr>
            </w:pPr>
          </w:p>
        </w:tc>
        <w:tc>
          <w:tcPr>
            <w:tcW w:w="328" w:type="pct"/>
          </w:tcPr>
          <w:p>
            <w:pPr>
              <w:rPr>
                <w:rFonts w:ascii="宋体" w:eastAsia="宋体"/>
                <w:sz w:val="24"/>
                <w:highlight w:val="none"/>
              </w:rPr>
            </w:pPr>
          </w:p>
        </w:tc>
        <w:tc>
          <w:tcPr>
            <w:tcW w:w="550" w:type="pct"/>
          </w:tcPr>
          <w:p>
            <w:pPr>
              <w:rPr>
                <w:rFonts w:ascii="宋体" w:eastAsia="宋体"/>
                <w:sz w:val="24"/>
                <w:highlight w:val="none"/>
              </w:rPr>
            </w:pPr>
          </w:p>
        </w:tc>
        <w:tc>
          <w:tcPr>
            <w:tcW w:w="550" w:type="pct"/>
          </w:tcPr>
          <w:p>
            <w:pPr>
              <w:rPr>
                <w:rFonts w:ascii="宋体" w:eastAsia="宋体"/>
                <w:sz w:val="24"/>
                <w:highlight w:val="none"/>
              </w:rPr>
            </w:pPr>
          </w:p>
        </w:tc>
        <w:tc>
          <w:tcPr>
            <w:tcW w:w="327" w:type="pct"/>
          </w:tcPr>
          <w:p>
            <w:pPr>
              <w:rPr>
                <w:rFonts w:ascii="宋体" w:eastAsia="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26" w:type="pct"/>
          </w:tcPr>
          <w:p>
            <w:pPr>
              <w:jc w:val="center"/>
              <w:rPr>
                <w:rFonts w:ascii="宋体" w:eastAsia="宋体"/>
                <w:sz w:val="24"/>
                <w:highlight w:val="none"/>
              </w:rPr>
            </w:pPr>
          </w:p>
        </w:tc>
        <w:tc>
          <w:tcPr>
            <w:tcW w:w="1171" w:type="pct"/>
          </w:tcPr>
          <w:p>
            <w:pPr>
              <w:pStyle w:val="45"/>
              <w:rPr>
                <w:rFonts w:ascii="宋体" w:eastAsia="宋体"/>
                <w:highlight w:val="none"/>
              </w:rPr>
            </w:pPr>
            <w:r>
              <w:rPr>
                <w:rFonts w:hint="eastAsia" w:ascii="宋体" w:eastAsia="宋体"/>
                <w:highlight w:val="none"/>
              </w:rPr>
              <w:t>…</w:t>
            </w:r>
          </w:p>
        </w:tc>
        <w:tc>
          <w:tcPr>
            <w:tcW w:w="707" w:type="pct"/>
          </w:tcPr>
          <w:p>
            <w:pPr>
              <w:rPr>
                <w:rFonts w:ascii="宋体" w:eastAsia="宋体"/>
                <w:sz w:val="24"/>
                <w:highlight w:val="none"/>
              </w:rPr>
            </w:pPr>
          </w:p>
        </w:tc>
        <w:tc>
          <w:tcPr>
            <w:tcW w:w="707" w:type="pct"/>
          </w:tcPr>
          <w:p>
            <w:pPr>
              <w:rPr>
                <w:rFonts w:ascii="宋体" w:eastAsia="宋体"/>
                <w:sz w:val="24"/>
                <w:highlight w:val="none"/>
              </w:rPr>
            </w:pPr>
          </w:p>
        </w:tc>
        <w:tc>
          <w:tcPr>
            <w:tcW w:w="328" w:type="pct"/>
          </w:tcPr>
          <w:p>
            <w:pPr>
              <w:rPr>
                <w:rFonts w:ascii="宋体" w:eastAsia="宋体"/>
                <w:sz w:val="24"/>
                <w:highlight w:val="none"/>
              </w:rPr>
            </w:pPr>
          </w:p>
        </w:tc>
        <w:tc>
          <w:tcPr>
            <w:tcW w:w="328" w:type="pct"/>
          </w:tcPr>
          <w:p>
            <w:pPr>
              <w:rPr>
                <w:rFonts w:ascii="宋体" w:eastAsia="宋体"/>
                <w:sz w:val="24"/>
                <w:highlight w:val="none"/>
              </w:rPr>
            </w:pPr>
          </w:p>
        </w:tc>
        <w:tc>
          <w:tcPr>
            <w:tcW w:w="550" w:type="pct"/>
          </w:tcPr>
          <w:p>
            <w:pPr>
              <w:rPr>
                <w:rFonts w:ascii="宋体" w:eastAsia="宋体"/>
                <w:sz w:val="24"/>
                <w:highlight w:val="none"/>
              </w:rPr>
            </w:pPr>
          </w:p>
        </w:tc>
        <w:tc>
          <w:tcPr>
            <w:tcW w:w="550" w:type="pct"/>
          </w:tcPr>
          <w:p>
            <w:pPr>
              <w:rPr>
                <w:rFonts w:ascii="宋体" w:eastAsia="宋体"/>
                <w:sz w:val="24"/>
                <w:highlight w:val="none"/>
              </w:rPr>
            </w:pPr>
          </w:p>
        </w:tc>
        <w:tc>
          <w:tcPr>
            <w:tcW w:w="327" w:type="pct"/>
          </w:tcPr>
          <w:p>
            <w:pPr>
              <w:rPr>
                <w:rFonts w:ascii="宋体" w:eastAsia="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26" w:type="pct"/>
          </w:tcPr>
          <w:p>
            <w:pPr>
              <w:jc w:val="center"/>
              <w:rPr>
                <w:rFonts w:ascii="宋体" w:eastAsia="宋体"/>
                <w:sz w:val="24"/>
                <w:highlight w:val="none"/>
              </w:rPr>
            </w:pPr>
          </w:p>
        </w:tc>
        <w:tc>
          <w:tcPr>
            <w:tcW w:w="1171" w:type="pct"/>
          </w:tcPr>
          <w:p>
            <w:pPr>
              <w:rPr>
                <w:rFonts w:ascii="宋体" w:eastAsia="宋体"/>
                <w:sz w:val="24"/>
                <w:highlight w:val="none"/>
              </w:rPr>
            </w:pPr>
            <w:r>
              <w:rPr>
                <w:rFonts w:hint="eastAsia" w:ascii="宋体" w:eastAsia="宋体"/>
                <w:sz w:val="24"/>
                <w:highlight w:val="none"/>
              </w:rPr>
              <w:t>…</w:t>
            </w:r>
          </w:p>
        </w:tc>
        <w:tc>
          <w:tcPr>
            <w:tcW w:w="707" w:type="pct"/>
          </w:tcPr>
          <w:p>
            <w:pPr>
              <w:rPr>
                <w:rFonts w:ascii="宋体" w:eastAsia="宋体"/>
                <w:sz w:val="24"/>
                <w:highlight w:val="none"/>
              </w:rPr>
            </w:pPr>
          </w:p>
        </w:tc>
        <w:tc>
          <w:tcPr>
            <w:tcW w:w="707" w:type="pct"/>
          </w:tcPr>
          <w:p>
            <w:pPr>
              <w:rPr>
                <w:rFonts w:ascii="宋体" w:eastAsia="宋体"/>
                <w:sz w:val="24"/>
                <w:highlight w:val="none"/>
              </w:rPr>
            </w:pPr>
          </w:p>
        </w:tc>
        <w:tc>
          <w:tcPr>
            <w:tcW w:w="328" w:type="pct"/>
          </w:tcPr>
          <w:p>
            <w:pPr>
              <w:rPr>
                <w:rFonts w:ascii="宋体" w:eastAsia="宋体"/>
                <w:sz w:val="24"/>
                <w:highlight w:val="none"/>
              </w:rPr>
            </w:pPr>
          </w:p>
        </w:tc>
        <w:tc>
          <w:tcPr>
            <w:tcW w:w="328" w:type="pct"/>
          </w:tcPr>
          <w:p>
            <w:pPr>
              <w:rPr>
                <w:rFonts w:ascii="宋体" w:eastAsia="宋体"/>
                <w:sz w:val="24"/>
                <w:highlight w:val="none"/>
              </w:rPr>
            </w:pPr>
          </w:p>
        </w:tc>
        <w:tc>
          <w:tcPr>
            <w:tcW w:w="550" w:type="pct"/>
          </w:tcPr>
          <w:p>
            <w:pPr>
              <w:rPr>
                <w:rFonts w:ascii="宋体" w:eastAsia="宋体"/>
                <w:sz w:val="24"/>
                <w:highlight w:val="none"/>
              </w:rPr>
            </w:pPr>
          </w:p>
        </w:tc>
        <w:tc>
          <w:tcPr>
            <w:tcW w:w="550" w:type="pct"/>
          </w:tcPr>
          <w:p>
            <w:pPr>
              <w:rPr>
                <w:rFonts w:ascii="宋体" w:eastAsia="宋体"/>
                <w:sz w:val="24"/>
                <w:highlight w:val="none"/>
              </w:rPr>
            </w:pPr>
          </w:p>
        </w:tc>
        <w:tc>
          <w:tcPr>
            <w:tcW w:w="327" w:type="pct"/>
          </w:tcPr>
          <w:p>
            <w:pPr>
              <w:rPr>
                <w:rFonts w:ascii="宋体" w:eastAsia="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498" w:type="pct"/>
            <w:gridSpan w:val="2"/>
            <w:vAlign w:val="center"/>
          </w:tcPr>
          <w:p>
            <w:pPr>
              <w:pStyle w:val="45"/>
              <w:jc w:val="center"/>
              <w:rPr>
                <w:rFonts w:ascii="宋体" w:eastAsia="宋体"/>
                <w:highlight w:val="none"/>
              </w:rPr>
            </w:pPr>
            <w:r>
              <w:rPr>
                <w:rFonts w:hint="eastAsia" w:ascii="宋体" w:eastAsia="宋体"/>
                <w:highlight w:val="none"/>
              </w:rPr>
              <w:t>合计（元）</w:t>
            </w:r>
          </w:p>
        </w:tc>
        <w:tc>
          <w:tcPr>
            <w:tcW w:w="707" w:type="pct"/>
          </w:tcPr>
          <w:p>
            <w:pPr>
              <w:rPr>
                <w:rFonts w:ascii="宋体" w:eastAsia="宋体"/>
                <w:sz w:val="24"/>
                <w:highlight w:val="none"/>
              </w:rPr>
            </w:pPr>
          </w:p>
        </w:tc>
        <w:tc>
          <w:tcPr>
            <w:tcW w:w="707" w:type="pct"/>
          </w:tcPr>
          <w:p>
            <w:pPr>
              <w:rPr>
                <w:rFonts w:ascii="宋体" w:eastAsia="宋体"/>
                <w:sz w:val="24"/>
                <w:highlight w:val="none"/>
              </w:rPr>
            </w:pPr>
          </w:p>
        </w:tc>
        <w:tc>
          <w:tcPr>
            <w:tcW w:w="328" w:type="pct"/>
          </w:tcPr>
          <w:p>
            <w:pPr>
              <w:rPr>
                <w:rFonts w:ascii="宋体" w:eastAsia="宋体"/>
                <w:sz w:val="24"/>
                <w:highlight w:val="none"/>
              </w:rPr>
            </w:pPr>
          </w:p>
        </w:tc>
        <w:tc>
          <w:tcPr>
            <w:tcW w:w="328" w:type="pct"/>
          </w:tcPr>
          <w:p>
            <w:pPr>
              <w:rPr>
                <w:rFonts w:ascii="宋体" w:eastAsia="宋体"/>
                <w:sz w:val="24"/>
                <w:highlight w:val="none"/>
              </w:rPr>
            </w:pPr>
          </w:p>
        </w:tc>
        <w:tc>
          <w:tcPr>
            <w:tcW w:w="550" w:type="pct"/>
          </w:tcPr>
          <w:p>
            <w:pPr>
              <w:rPr>
                <w:rFonts w:ascii="宋体" w:eastAsia="宋体"/>
                <w:sz w:val="24"/>
                <w:highlight w:val="none"/>
              </w:rPr>
            </w:pPr>
          </w:p>
        </w:tc>
        <w:tc>
          <w:tcPr>
            <w:tcW w:w="550" w:type="pct"/>
          </w:tcPr>
          <w:p>
            <w:pPr>
              <w:rPr>
                <w:rFonts w:ascii="宋体" w:eastAsia="宋体"/>
                <w:sz w:val="24"/>
                <w:highlight w:val="none"/>
              </w:rPr>
            </w:pPr>
          </w:p>
        </w:tc>
        <w:tc>
          <w:tcPr>
            <w:tcW w:w="327" w:type="pct"/>
          </w:tcPr>
          <w:p>
            <w:pPr>
              <w:rPr>
                <w:rFonts w:ascii="宋体" w:eastAsia="宋体"/>
                <w:sz w:val="24"/>
                <w:highlight w:val="none"/>
              </w:rPr>
            </w:pPr>
          </w:p>
        </w:tc>
      </w:tr>
    </w:tbl>
    <w:p>
      <w:pPr>
        <w:pStyle w:val="17"/>
        <w:spacing w:line="360" w:lineRule="auto"/>
        <w:rPr>
          <w:rFonts w:ascii="宋体" w:eastAsia="宋体"/>
          <w:b w:val="0"/>
          <w:bCs/>
          <w:sz w:val="24"/>
          <w:szCs w:val="28"/>
          <w:highlight w:val="none"/>
        </w:rPr>
      </w:pPr>
      <w:r>
        <w:rPr>
          <w:rFonts w:hint="eastAsia" w:ascii="宋体" w:eastAsia="宋体"/>
          <w:b w:val="0"/>
          <w:sz w:val="24"/>
          <w:highlight w:val="none"/>
        </w:rPr>
        <w:t>投标人电子签章：</w:t>
      </w:r>
    </w:p>
    <w:p>
      <w:pPr>
        <w:adjustRightInd w:val="0"/>
        <w:snapToGrid w:val="0"/>
        <w:spacing w:line="360" w:lineRule="auto"/>
        <w:rPr>
          <w:rFonts w:ascii="宋体" w:eastAsia="宋体"/>
          <w:b/>
          <w:bCs/>
          <w:sz w:val="24"/>
          <w:szCs w:val="28"/>
          <w:highlight w:val="none"/>
        </w:rPr>
      </w:pPr>
    </w:p>
    <w:p>
      <w:pPr>
        <w:adjustRightInd w:val="0"/>
        <w:snapToGrid w:val="0"/>
        <w:spacing w:line="360" w:lineRule="auto"/>
        <w:rPr>
          <w:rFonts w:ascii="宋体" w:eastAsia="宋体"/>
          <w:b/>
          <w:bCs/>
          <w:sz w:val="24"/>
          <w:szCs w:val="28"/>
          <w:highlight w:val="none"/>
        </w:rPr>
      </w:pPr>
      <w:r>
        <w:rPr>
          <w:rFonts w:hint="eastAsia" w:ascii="宋体" w:eastAsia="宋体"/>
          <w:b/>
          <w:bCs/>
          <w:sz w:val="24"/>
          <w:szCs w:val="28"/>
          <w:highlight w:val="none"/>
        </w:rPr>
        <w:t>注：</w:t>
      </w:r>
    </w:p>
    <w:p>
      <w:pPr>
        <w:spacing w:line="360" w:lineRule="auto"/>
        <w:ind w:firstLine="435"/>
        <w:rPr>
          <w:rFonts w:ascii="宋体" w:eastAsia="宋体"/>
          <w:sz w:val="24"/>
          <w:highlight w:val="none"/>
        </w:rPr>
      </w:pPr>
      <w:r>
        <w:rPr>
          <w:rFonts w:hint="eastAsia" w:ascii="宋体" w:eastAsia="宋体"/>
          <w:sz w:val="24"/>
          <w:highlight w:val="none"/>
        </w:rPr>
        <w:t>1.表中所列货物为对应本项目需求的全部货物及所需附件购置费、包装费、运输费、人工费、保险费、安装调试费、系统集成</w:t>
      </w:r>
      <w:r>
        <w:rPr>
          <w:rFonts w:hint="eastAsia" w:ascii="宋体" w:eastAsia="宋体"/>
          <w:sz w:val="24"/>
          <w:highlight w:val="none"/>
          <w:lang w:eastAsia="zh-CN"/>
        </w:rPr>
        <w:t>、</w:t>
      </w:r>
      <w:r>
        <w:rPr>
          <w:rFonts w:hint="eastAsia" w:ascii="宋体" w:eastAsia="宋体"/>
          <w:sz w:val="24"/>
          <w:highlight w:val="none"/>
        </w:rPr>
        <w:t>各种税费、资料费、售后服务费及完成项目应有的全部费用。如有漏项或缺项，投标人承担全部责任。</w:t>
      </w:r>
    </w:p>
    <w:p>
      <w:pPr>
        <w:spacing w:line="360" w:lineRule="auto"/>
        <w:ind w:firstLine="435"/>
        <w:rPr>
          <w:highlight w:val="none"/>
        </w:rPr>
      </w:pPr>
      <w:r>
        <w:rPr>
          <w:rFonts w:hint="eastAsia" w:ascii="宋体" w:eastAsia="宋体"/>
          <w:sz w:val="24"/>
          <w:highlight w:val="none"/>
        </w:rPr>
        <w:t>2.表中须明确列出所投产品的货物名称、品牌、型号规格、原产地及生产厂商，否则可能导致</w:t>
      </w:r>
      <w:r>
        <w:rPr>
          <w:rFonts w:hint="eastAsia" w:ascii="宋体" w:eastAsia="宋体"/>
          <w:b/>
          <w:bCs/>
          <w:sz w:val="24"/>
          <w:highlight w:val="none"/>
        </w:rPr>
        <w:t>投标无效</w:t>
      </w:r>
      <w:r>
        <w:rPr>
          <w:rFonts w:hint="eastAsia" w:ascii="宋体" w:eastAsia="宋体"/>
          <w:sz w:val="24"/>
          <w:highlight w:val="none"/>
        </w:rPr>
        <w:t>。</w:t>
      </w:r>
    </w:p>
    <w:p>
      <w:pPr>
        <w:widowControl/>
        <w:jc w:val="left"/>
        <w:rPr>
          <w:rFonts w:ascii="宋体" w:eastAsia="宋体"/>
          <w:sz w:val="24"/>
          <w:highlight w:val="none"/>
        </w:rPr>
      </w:pPr>
      <w:r>
        <w:rPr>
          <w:rFonts w:ascii="宋体" w:eastAsia="宋体"/>
          <w:sz w:val="24"/>
          <w:highlight w:val="none"/>
        </w:rPr>
        <w:br w:type="page"/>
      </w:r>
    </w:p>
    <w:p>
      <w:pPr>
        <w:spacing w:line="360" w:lineRule="auto"/>
        <w:jc w:val="center"/>
        <w:outlineLvl w:val="1"/>
        <w:rPr>
          <w:rFonts w:ascii="宋体" w:eastAsia="宋体"/>
          <w:b/>
          <w:sz w:val="24"/>
          <w:highlight w:val="none"/>
        </w:rPr>
      </w:pPr>
      <w:bookmarkStart w:id="284" w:name="_Toc20329"/>
      <w:bookmarkStart w:id="285" w:name="_Toc11940"/>
      <w:bookmarkStart w:id="286" w:name="_Toc28377"/>
      <w:r>
        <w:rPr>
          <w:rFonts w:hint="eastAsia" w:ascii="宋体" w:eastAsia="宋体"/>
          <w:b/>
          <w:sz w:val="24"/>
          <w:highlight w:val="none"/>
        </w:rPr>
        <w:t>六、投标响应表</w:t>
      </w:r>
      <w:bookmarkEnd w:id="284"/>
      <w:bookmarkEnd w:id="285"/>
      <w:bookmarkEnd w:id="286"/>
    </w:p>
    <w:p>
      <w:pPr>
        <w:spacing w:line="360" w:lineRule="auto"/>
        <w:ind w:firstLine="435"/>
        <w:outlineLvl w:val="2"/>
        <w:rPr>
          <w:rFonts w:ascii="宋体" w:eastAsia="宋体"/>
          <w:b/>
          <w:sz w:val="24"/>
          <w:highlight w:val="none"/>
        </w:rPr>
      </w:pPr>
      <w:r>
        <w:rPr>
          <w:rFonts w:hint="eastAsia" w:ascii="宋体" w:eastAsia="宋体"/>
          <w:b/>
          <w:sz w:val="24"/>
          <w:highlight w:val="none"/>
        </w:rPr>
        <w:t>6</w:t>
      </w:r>
      <w:r>
        <w:rPr>
          <w:rFonts w:ascii="宋体" w:eastAsia="宋体"/>
          <w:b/>
          <w:sz w:val="24"/>
          <w:highlight w:val="none"/>
        </w:rPr>
        <w:t>.1</w:t>
      </w:r>
      <w:r>
        <w:rPr>
          <w:rFonts w:hint="eastAsia" w:ascii="宋体" w:eastAsia="宋体"/>
          <w:b/>
          <w:sz w:val="24"/>
          <w:highlight w:val="none"/>
        </w:rPr>
        <w:t>商务响应表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916"/>
        <w:gridCol w:w="2498"/>
        <w:gridCol w:w="257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pPr>
              <w:pStyle w:val="14"/>
              <w:jc w:val="center"/>
              <w:rPr>
                <w:rFonts w:ascii="宋体" w:cs="Wingdings"/>
                <w:b/>
                <w:sz w:val="24"/>
                <w:highlight w:val="none"/>
              </w:rPr>
            </w:pPr>
            <w:r>
              <w:rPr>
                <w:rFonts w:hint="eastAsia" w:ascii="宋体" w:cs="Wingdings"/>
                <w:b/>
                <w:sz w:val="24"/>
                <w:highlight w:val="none"/>
              </w:rPr>
              <w:t>序号</w:t>
            </w:r>
          </w:p>
        </w:tc>
        <w:tc>
          <w:tcPr>
            <w:tcW w:w="1124" w:type="pct"/>
            <w:vAlign w:val="center"/>
          </w:tcPr>
          <w:p>
            <w:pPr>
              <w:pStyle w:val="14"/>
              <w:jc w:val="center"/>
              <w:rPr>
                <w:rFonts w:ascii="宋体" w:cs="Wingdings"/>
                <w:b/>
                <w:sz w:val="24"/>
                <w:highlight w:val="none"/>
              </w:rPr>
            </w:pPr>
            <w:r>
              <w:rPr>
                <w:rFonts w:hint="eastAsia" w:ascii="宋体"/>
                <w:b/>
                <w:bCs/>
                <w:sz w:val="24"/>
                <w:szCs w:val="24"/>
                <w:highlight w:val="none"/>
              </w:rPr>
              <w:t>商务条款</w:t>
            </w:r>
          </w:p>
        </w:tc>
        <w:tc>
          <w:tcPr>
            <w:tcW w:w="1465" w:type="pct"/>
            <w:vAlign w:val="center"/>
          </w:tcPr>
          <w:p>
            <w:pPr>
              <w:pStyle w:val="14"/>
              <w:jc w:val="center"/>
              <w:rPr>
                <w:rFonts w:ascii="宋体" w:cs="Wingdings"/>
                <w:b/>
                <w:sz w:val="24"/>
                <w:highlight w:val="none"/>
              </w:rPr>
            </w:pPr>
            <w:r>
              <w:rPr>
                <w:rFonts w:hint="eastAsia" w:ascii="宋体" w:cs="Wingdings"/>
                <w:b/>
                <w:sz w:val="24"/>
                <w:highlight w:val="none"/>
              </w:rPr>
              <w:t>招标文件要求</w:t>
            </w:r>
          </w:p>
        </w:tc>
        <w:tc>
          <w:tcPr>
            <w:tcW w:w="1510" w:type="pct"/>
            <w:vAlign w:val="center"/>
          </w:tcPr>
          <w:p>
            <w:pPr>
              <w:pStyle w:val="14"/>
              <w:jc w:val="center"/>
              <w:rPr>
                <w:rFonts w:ascii="宋体" w:cs="Wingdings"/>
                <w:b/>
                <w:sz w:val="24"/>
                <w:highlight w:val="none"/>
              </w:rPr>
            </w:pPr>
            <w:r>
              <w:rPr>
                <w:rFonts w:hint="eastAsia" w:ascii="宋体" w:cs="Wingdings"/>
                <w:b/>
                <w:sz w:val="24"/>
                <w:highlight w:val="none"/>
              </w:rPr>
              <w:t>投标人承诺</w:t>
            </w:r>
          </w:p>
        </w:tc>
        <w:tc>
          <w:tcPr>
            <w:tcW w:w="475" w:type="pct"/>
            <w:vAlign w:val="center"/>
          </w:tcPr>
          <w:p>
            <w:pPr>
              <w:pStyle w:val="14"/>
              <w:jc w:val="center"/>
              <w:rPr>
                <w:rFonts w:ascii="宋体" w:cs="Wingdings"/>
                <w:b/>
                <w:sz w:val="24"/>
                <w:highlight w:val="none"/>
              </w:rPr>
            </w:pPr>
            <w:r>
              <w:rPr>
                <w:rFonts w:hint="eastAsia" w:ascii="宋体" w:cs="Wingdings"/>
                <w:b/>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pPr>
              <w:jc w:val="center"/>
              <w:rPr>
                <w:rFonts w:ascii="宋体" w:eastAsia="宋体"/>
                <w:sz w:val="24"/>
                <w:highlight w:val="none"/>
              </w:rPr>
            </w:pPr>
            <w:r>
              <w:rPr>
                <w:rFonts w:ascii="宋体" w:eastAsia="宋体"/>
                <w:sz w:val="24"/>
                <w:highlight w:val="none"/>
              </w:rPr>
              <w:t>1</w:t>
            </w:r>
          </w:p>
        </w:tc>
        <w:tc>
          <w:tcPr>
            <w:tcW w:w="1124" w:type="pct"/>
            <w:vAlign w:val="center"/>
          </w:tcPr>
          <w:p>
            <w:pPr>
              <w:jc w:val="center"/>
              <w:rPr>
                <w:rFonts w:ascii="宋体" w:eastAsia="宋体"/>
                <w:sz w:val="24"/>
                <w:highlight w:val="none"/>
              </w:rPr>
            </w:pPr>
            <w:r>
              <w:rPr>
                <w:rFonts w:ascii="宋体" w:eastAsia="宋体"/>
                <w:sz w:val="24"/>
                <w:highlight w:val="none"/>
              </w:rPr>
              <w:t>付款方式</w:t>
            </w:r>
          </w:p>
        </w:tc>
        <w:tc>
          <w:tcPr>
            <w:tcW w:w="1465" w:type="pct"/>
            <w:vAlign w:val="center"/>
          </w:tcPr>
          <w:p>
            <w:pPr>
              <w:pStyle w:val="40"/>
              <w:widowControl w:val="0"/>
              <w:spacing w:before="0" w:beforeAutospacing="0" w:after="0" w:afterAutospacing="0" w:line="360" w:lineRule="auto"/>
              <w:jc w:val="both"/>
              <w:rPr>
                <w:rFonts w:ascii="宋体" w:eastAsia="宋体"/>
                <w:sz w:val="24"/>
                <w:highlight w:val="none"/>
              </w:rPr>
            </w:pPr>
            <w:r>
              <w:rPr>
                <w:rFonts w:hint="eastAsia" w:ascii="宋体" w:eastAsia="宋体"/>
                <w:b w:val="0"/>
                <w:sz w:val="24"/>
                <w:highlight w:val="none"/>
              </w:rPr>
              <w:t>经采购人验收合格后，一次性付清合同价款。</w:t>
            </w:r>
          </w:p>
        </w:tc>
        <w:tc>
          <w:tcPr>
            <w:tcW w:w="1510" w:type="pct"/>
            <w:vAlign w:val="center"/>
          </w:tcPr>
          <w:p>
            <w:pPr>
              <w:jc w:val="center"/>
              <w:rPr>
                <w:rFonts w:ascii="宋体" w:eastAsia="宋体"/>
                <w:sz w:val="24"/>
                <w:highlight w:val="none"/>
              </w:rPr>
            </w:pPr>
          </w:p>
        </w:tc>
        <w:tc>
          <w:tcPr>
            <w:tcW w:w="475" w:type="pct"/>
            <w:vAlign w:val="center"/>
          </w:tcPr>
          <w:p>
            <w:pPr>
              <w:jc w:val="center"/>
              <w:rPr>
                <w:rFonts w:ascii="宋体" w:eastAsia="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pPr>
              <w:jc w:val="center"/>
              <w:rPr>
                <w:rFonts w:ascii="宋体" w:eastAsia="宋体"/>
                <w:sz w:val="24"/>
                <w:highlight w:val="none"/>
              </w:rPr>
            </w:pPr>
            <w:r>
              <w:rPr>
                <w:rFonts w:hint="eastAsia" w:ascii="宋体" w:eastAsia="宋体"/>
                <w:sz w:val="24"/>
                <w:highlight w:val="none"/>
              </w:rPr>
              <w:t>2</w:t>
            </w:r>
          </w:p>
        </w:tc>
        <w:tc>
          <w:tcPr>
            <w:tcW w:w="1124" w:type="pct"/>
            <w:vAlign w:val="center"/>
          </w:tcPr>
          <w:p>
            <w:pPr>
              <w:jc w:val="center"/>
              <w:rPr>
                <w:rFonts w:ascii="宋体" w:eastAsia="宋体"/>
                <w:sz w:val="24"/>
                <w:highlight w:val="none"/>
              </w:rPr>
            </w:pPr>
            <w:r>
              <w:rPr>
                <w:rFonts w:hint="eastAsia" w:ascii="宋体" w:eastAsia="宋体"/>
                <w:sz w:val="24"/>
                <w:highlight w:val="none"/>
              </w:rPr>
              <w:t>供货及安装地点</w:t>
            </w:r>
          </w:p>
        </w:tc>
        <w:tc>
          <w:tcPr>
            <w:tcW w:w="1465" w:type="pct"/>
            <w:vAlign w:val="center"/>
          </w:tcPr>
          <w:p>
            <w:pPr>
              <w:pStyle w:val="40"/>
              <w:widowControl w:val="0"/>
              <w:spacing w:before="0" w:beforeAutospacing="0" w:after="0" w:afterAutospacing="0" w:line="360" w:lineRule="auto"/>
              <w:jc w:val="both"/>
              <w:rPr>
                <w:rFonts w:ascii="宋体" w:eastAsia="宋体"/>
                <w:sz w:val="24"/>
                <w:highlight w:val="none"/>
              </w:rPr>
            </w:pPr>
            <w:r>
              <w:rPr>
                <w:rFonts w:hint="default" w:ascii="宋体" w:eastAsia="宋体"/>
                <w:b w:val="0"/>
                <w:sz w:val="24"/>
                <w:highlight w:val="none"/>
                <w:lang w:val="en-US" w:eastAsia="zh-CN"/>
              </w:rPr>
              <w:t>皖南医学院滨江校区</w:t>
            </w:r>
          </w:p>
        </w:tc>
        <w:tc>
          <w:tcPr>
            <w:tcW w:w="1510" w:type="pct"/>
            <w:vAlign w:val="center"/>
          </w:tcPr>
          <w:p>
            <w:pPr>
              <w:jc w:val="center"/>
              <w:rPr>
                <w:rFonts w:ascii="宋体" w:eastAsia="宋体"/>
                <w:sz w:val="24"/>
                <w:highlight w:val="none"/>
              </w:rPr>
            </w:pPr>
          </w:p>
        </w:tc>
        <w:tc>
          <w:tcPr>
            <w:tcW w:w="475" w:type="pct"/>
            <w:vAlign w:val="center"/>
          </w:tcPr>
          <w:p>
            <w:pPr>
              <w:jc w:val="center"/>
              <w:rPr>
                <w:rFonts w:ascii="宋体" w:eastAsia="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pPr>
              <w:jc w:val="center"/>
              <w:rPr>
                <w:rFonts w:ascii="宋体" w:eastAsia="宋体"/>
                <w:sz w:val="24"/>
                <w:highlight w:val="none"/>
              </w:rPr>
            </w:pPr>
            <w:r>
              <w:rPr>
                <w:rFonts w:hint="eastAsia" w:ascii="宋体" w:eastAsia="宋体"/>
                <w:sz w:val="24"/>
                <w:highlight w:val="none"/>
              </w:rPr>
              <w:t>3</w:t>
            </w:r>
          </w:p>
        </w:tc>
        <w:tc>
          <w:tcPr>
            <w:tcW w:w="1124" w:type="pct"/>
            <w:vAlign w:val="center"/>
          </w:tcPr>
          <w:p>
            <w:pPr>
              <w:jc w:val="center"/>
              <w:rPr>
                <w:rFonts w:ascii="宋体" w:eastAsia="宋体"/>
                <w:sz w:val="24"/>
                <w:highlight w:val="none"/>
              </w:rPr>
            </w:pPr>
            <w:r>
              <w:rPr>
                <w:rFonts w:hint="eastAsia" w:ascii="宋体" w:eastAsia="宋体"/>
                <w:b w:val="0"/>
                <w:bCs w:val="0"/>
                <w:sz w:val="24"/>
                <w:highlight w:val="none"/>
                <w:lang w:val="en-US" w:eastAsia="zh-CN"/>
              </w:rPr>
              <w:t>合同履行期限</w:t>
            </w:r>
          </w:p>
        </w:tc>
        <w:tc>
          <w:tcPr>
            <w:tcW w:w="1465" w:type="pct"/>
            <w:vAlign w:val="center"/>
          </w:tcPr>
          <w:p>
            <w:pPr>
              <w:pStyle w:val="40"/>
              <w:widowControl w:val="0"/>
              <w:spacing w:before="0" w:beforeAutospacing="0" w:after="0" w:afterAutospacing="0" w:line="360" w:lineRule="auto"/>
              <w:jc w:val="both"/>
              <w:rPr>
                <w:rFonts w:ascii="宋体" w:eastAsia="宋体"/>
                <w:sz w:val="24"/>
                <w:highlight w:val="none"/>
              </w:rPr>
            </w:pPr>
            <w:r>
              <w:rPr>
                <w:rFonts w:hint="eastAsia" w:ascii="宋体" w:eastAsia="宋体"/>
                <w:b w:val="0"/>
                <w:bCs w:val="0"/>
                <w:sz w:val="24"/>
                <w:highlight w:val="none"/>
                <w:lang w:val="en-US" w:eastAsia="zh-CN"/>
              </w:rPr>
              <w:t>85日历天。其中</w:t>
            </w:r>
            <w:r>
              <w:rPr>
                <w:rFonts w:hint="eastAsia" w:ascii="宋体" w:eastAsia="宋体"/>
                <w:b w:val="0"/>
                <w:bCs w:val="0"/>
                <w:sz w:val="24"/>
                <w:szCs w:val="18"/>
                <w:highlight w:val="none"/>
              </w:rPr>
              <w:t>合同签订后</w:t>
            </w:r>
            <w:r>
              <w:rPr>
                <w:rFonts w:hint="eastAsia" w:ascii="宋体" w:eastAsia="宋体"/>
                <w:b w:val="0"/>
                <w:bCs w:val="0"/>
                <w:sz w:val="24"/>
                <w:szCs w:val="18"/>
                <w:highlight w:val="none"/>
                <w:lang w:val="en-US" w:eastAsia="zh-CN"/>
              </w:rPr>
              <w:t>25</w:t>
            </w:r>
            <w:r>
              <w:rPr>
                <w:rFonts w:hint="eastAsia" w:ascii="宋体" w:eastAsia="宋体"/>
                <w:b w:val="0"/>
                <w:bCs w:val="0"/>
                <w:sz w:val="24"/>
                <w:szCs w:val="18"/>
                <w:highlight w:val="none"/>
              </w:rPr>
              <w:t>日历天完成供货安装</w:t>
            </w:r>
            <w:r>
              <w:rPr>
                <w:rFonts w:hint="eastAsia" w:ascii="宋体" w:eastAsia="宋体"/>
                <w:b w:val="0"/>
                <w:bCs w:val="0"/>
                <w:sz w:val="24"/>
                <w:szCs w:val="18"/>
                <w:highlight w:val="none"/>
                <w:lang w:val="en-US" w:eastAsia="zh-CN"/>
              </w:rPr>
              <w:t>及调试</w:t>
            </w:r>
            <w:r>
              <w:rPr>
                <w:rFonts w:hint="eastAsia" w:ascii="宋体" w:eastAsia="宋体"/>
                <w:b w:val="0"/>
                <w:bCs w:val="0"/>
                <w:sz w:val="24"/>
                <w:szCs w:val="18"/>
                <w:highlight w:val="none"/>
                <w:lang w:eastAsia="zh-CN"/>
              </w:rPr>
              <w:t>，</w:t>
            </w:r>
            <w:r>
              <w:rPr>
                <w:rFonts w:hint="eastAsia" w:ascii="宋体" w:eastAsia="宋体"/>
                <w:b w:val="0"/>
                <w:bCs w:val="0"/>
                <w:sz w:val="24"/>
                <w:szCs w:val="18"/>
                <w:highlight w:val="none"/>
                <w:lang w:val="en-US" w:eastAsia="zh-CN"/>
              </w:rPr>
              <w:t>安装完成后试运行60天</w:t>
            </w:r>
            <w:r>
              <w:rPr>
                <w:rFonts w:hint="eastAsia" w:ascii="宋体" w:eastAsia="宋体"/>
                <w:b w:val="0"/>
                <w:bCs w:val="0"/>
                <w:sz w:val="24"/>
                <w:szCs w:val="18"/>
                <w:highlight w:val="none"/>
              </w:rPr>
              <w:t>。</w:t>
            </w:r>
          </w:p>
        </w:tc>
        <w:tc>
          <w:tcPr>
            <w:tcW w:w="1510" w:type="pct"/>
            <w:vAlign w:val="center"/>
          </w:tcPr>
          <w:p>
            <w:pPr>
              <w:pStyle w:val="45"/>
              <w:jc w:val="center"/>
              <w:rPr>
                <w:rFonts w:ascii="宋体" w:eastAsia="宋体"/>
                <w:highlight w:val="none"/>
              </w:rPr>
            </w:pPr>
          </w:p>
        </w:tc>
        <w:tc>
          <w:tcPr>
            <w:tcW w:w="475" w:type="pct"/>
            <w:vAlign w:val="center"/>
          </w:tcPr>
          <w:p>
            <w:pPr>
              <w:jc w:val="center"/>
              <w:rPr>
                <w:rFonts w:ascii="宋体" w:eastAsia="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pPr>
              <w:jc w:val="center"/>
              <w:rPr>
                <w:rFonts w:ascii="宋体" w:eastAsia="宋体"/>
                <w:sz w:val="24"/>
                <w:highlight w:val="none"/>
              </w:rPr>
            </w:pPr>
            <w:r>
              <w:rPr>
                <w:rFonts w:hint="eastAsia" w:ascii="宋体" w:eastAsia="宋体"/>
                <w:sz w:val="24"/>
                <w:highlight w:val="none"/>
              </w:rPr>
              <w:t>4</w:t>
            </w:r>
          </w:p>
        </w:tc>
        <w:tc>
          <w:tcPr>
            <w:tcW w:w="1124" w:type="pct"/>
            <w:vAlign w:val="center"/>
          </w:tcPr>
          <w:p>
            <w:pPr>
              <w:jc w:val="center"/>
              <w:rPr>
                <w:rFonts w:ascii="宋体" w:eastAsia="宋体"/>
                <w:sz w:val="24"/>
                <w:highlight w:val="none"/>
              </w:rPr>
            </w:pPr>
            <w:r>
              <w:rPr>
                <w:rFonts w:hint="eastAsia" w:ascii="宋体" w:eastAsia="宋体"/>
                <w:sz w:val="24"/>
                <w:highlight w:val="none"/>
              </w:rPr>
              <w:t>免费质保期</w:t>
            </w:r>
          </w:p>
        </w:tc>
        <w:tc>
          <w:tcPr>
            <w:tcW w:w="1465" w:type="pct"/>
            <w:vAlign w:val="center"/>
          </w:tcPr>
          <w:p>
            <w:pPr>
              <w:pStyle w:val="40"/>
              <w:widowControl w:val="0"/>
              <w:spacing w:before="0" w:beforeAutospacing="0" w:after="0" w:afterAutospacing="0" w:line="360" w:lineRule="auto"/>
              <w:jc w:val="both"/>
              <w:rPr>
                <w:rFonts w:ascii="宋体" w:eastAsia="宋体"/>
                <w:sz w:val="24"/>
                <w:highlight w:val="none"/>
              </w:rPr>
            </w:pPr>
            <w:r>
              <w:rPr>
                <w:rFonts w:hint="eastAsia" w:ascii="宋体" w:eastAsia="宋体"/>
                <w:b w:val="0"/>
                <w:sz w:val="24"/>
                <w:highlight w:val="none"/>
              </w:rPr>
              <w:t>整体质保期3年</w:t>
            </w:r>
          </w:p>
        </w:tc>
        <w:tc>
          <w:tcPr>
            <w:tcW w:w="1510" w:type="pct"/>
            <w:vAlign w:val="center"/>
          </w:tcPr>
          <w:p>
            <w:pPr>
              <w:jc w:val="center"/>
              <w:rPr>
                <w:rFonts w:ascii="宋体" w:eastAsia="宋体"/>
                <w:sz w:val="24"/>
                <w:highlight w:val="none"/>
              </w:rPr>
            </w:pPr>
          </w:p>
        </w:tc>
        <w:tc>
          <w:tcPr>
            <w:tcW w:w="475" w:type="pct"/>
            <w:vAlign w:val="center"/>
          </w:tcPr>
          <w:p>
            <w:pPr>
              <w:jc w:val="center"/>
              <w:rPr>
                <w:rFonts w:ascii="宋体" w:eastAsia="宋体"/>
                <w:sz w:val="24"/>
                <w:highlight w:val="none"/>
              </w:rPr>
            </w:pPr>
          </w:p>
        </w:tc>
      </w:tr>
    </w:tbl>
    <w:p>
      <w:pPr>
        <w:spacing w:line="360" w:lineRule="auto"/>
        <w:ind w:firstLine="435"/>
        <w:outlineLvl w:val="2"/>
        <w:rPr>
          <w:rFonts w:ascii="宋体" w:eastAsia="宋体"/>
          <w:b/>
          <w:sz w:val="24"/>
          <w:highlight w:val="none"/>
        </w:rPr>
      </w:pPr>
      <w:r>
        <w:rPr>
          <w:rFonts w:hint="eastAsia" w:ascii="宋体" w:eastAsia="宋体"/>
          <w:b/>
          <w:sz w:val="24"/>
          <w:highlight w:val="none"/>
        </w:rPr>
        <w:t>6</w:t>
      </w:r>
      <w:r>
        <w:rPr>
          <w:rFonts w:ascii="宋体" w:eastAsia="宋体"/>
          <w:b/>
          <w:sz w:val="24"/>
          <w:highlight w:val="none"/>
        </w:rPr>
        <w:t>.2</w:t>
      </w:r>
      <w:r>
        <w:rPr>
          <w:rFonts w:hint="eastAsia" w:ascii="宋体" w:eastAsia="宋体"/>
          <w:b/>
          <w:sz w:val="24"/>
          <w:highlight w:val="none"/>
        </w:rPr>
        <w:t>技术响应表</w:t>
      </w:r>
    </w:p>
    <w:p>
      <w:pPr>
        <w:spacing w:line="360" w:lineRule="auto"/>
        <w:rPr>
          <w:rFonts w:ascii="宋体" w:eastAsia="宋体"/>
          <w:b/>
          <w:sz w:val="24"/>
          <w:highlight w:val="none"/>
        </w:rPr>
      </w:pPr>
      <w:r>
        <w:rPr>
          <w:rFonts w:hint="eastAsia" w:ascii="宋体" w:eastAsia="宋体"/>
          <w:b/>
          <w:sz w:val="24"/>
          <w:highlight w:val="none"/>
        </w:rPr>
        <w:t>经过认真研究本项目招标文件中所列技术参数和规格型号，我方确认，除下列偏离表所列情况外，我方响应情况全部为“符合”。</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1560"/>
        <w:gridCol w:w="2863"/>
        <w:gridCol w:w="2482"/>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45" w:type="pct"/>
            <w:vAlign w:val="center"/>
          </w:tcPr>
          <w:p>
            <w:pPr>
              <w:pStyle w:val="14"/>
              <w:jc w:val="center"/>
              <w:rPr>
                <w:rFonts w:ascii="宋体" w:cs="Wingdings"/>
                <w:b/>
                <w:sz w:val="24"/>
                <w:highlight w:val="none"/>
              </w:rPr>
            </w:pPr>
            <w:r>
              <w:rPr>
                <w:rFonts w:hint="eastAsia" w:ascii="宋体" w:cs="Wingdings"/>
                <w:b/>
                <w:sz w:val="24"/>
                <w:highlight w:val="none"/>
              </w:rPr>
              <w:t>序号</w:t>
            </w:r>
          </w:p>
        </w:tc>
        <w:tc>
          <w:tcPr>
            <w:tcW w:w="915" w:type="pct"/>
            <w:vAlign w:val="center"/>
          </w:tcPr>
          <w:p>
            <w:pPr>
              <w:pStyle w:val="14"/>
              <w:jc w:val="center"/>
              <w:rPr>
                <w:rFonts w:ascii="宋体" w:cs="Wingdings"/>
                <w:b/>
                <w:sz w:val="24"/>
                <w:highlight w:val="none"/>
              </w:rPr>
            </w:pPr>
            <w:r>
              <w:rPr>
                <w:rFonts w:hint="eastAsia" w:ascii="宋体"/>
                <w:b/>
                <w:bCs/>
                <w:sz w:val="24"/>
                <w:szCs w:val="24"/>
                <w:highlight w:val="none"/>
              </w:rPr>
              <w:t>货物名称</w:t>
            </w:r>
          </w:p>
        </w:tc>
        <w:tc>
          <w:tcPr>
            <w:tcW w:w="1680" w:type="pct"/>
            <w:vAlign w:val="center"/>
          </w:tcPr>
          <w:p>
            <w:pPr>
              <w:pStyle w:val="14"/>
              <w:jc w:val="center"/>
              <w:rPr>
                <w:rFonts w:ascii="宋体" w:cs="Wingdings"/>
                <w:b/>
                <w:sz w:val="24"/>
                <w:highlight w:val="none"/>
              </w:rPr>
            </w:pPr>
            <w:r>
              <w:rPr>
                <w:rFonts w:hint="eastAsia" w:ascii="宋体" w:cs="Wingdings"/>
                <w:b/>
                <w:sz w:val="24"/>
                <w:highlight w:val="none"/>
              </w:rPr>
              <w:t>招标文件规定的技术参数及要求</w:t>
            </w:r>
          </w:p>
        </w:tc>
        <w:tc>
          <w:tcPr>
            <w:tcW w:w="1456" w:type="pct"/>
            <w:vAlign w:val="center"/>
          </w:tcPr>
          <w:p>
            <w:pPr>
              <w:pStyle w:val="14"/>
              <w:jc w:val="center"/>
              <w:rPr>
                <w:rFonts w:ascii="宋体" w:cs="Wingdings"/>
                <w:b/>
                <w:sz w:val="24"/>
                <w:highlight w:val="none"/>
              </w:rPr>
            </w:pPr>
            <w:r>
              <w:rPr>
                <w:rFonts w:hint="eastAsia" w:ascii="宋体" w:cs="Wingdings"/>
                <w:b/>
                <w:sz w:val="24"/>
                <w:highlight w:val="none"/>
              </w:rPr>
              <w:t>所投产品的品牌、型号及技术参数</w:t>
            </w:r>
          </w:p>
        </w:tc>
        <w:tc>
          <w:tcPr>
            <w:tcW w:w="502" w:type="pct"/>
            <w:vAlign w:val="center"/>
          </w:tcPr>
          <w:p>
            <w:pPr>
              <w:pStyle w:val="14"/>
              <w:jc w:val="center"/>
              <w:rPr>
                <w:rFonts w:ascii="宋体" w:cs="Wingdings"/>
                <w:b/>
                <w:sz w:val="24"/>
                <w:highlight w:val="none"/>
              </w:rPr>
            </w:pPr>
            <w:r>
              <w:rPr>
                <w:rFonts w:hint="eastAsia" w:ascii="宋体" w:cs="Wingdings"/>
                <w:b/>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5" w:type="pct"/>
            <w:vAlign w:val="center"/>
          </w:tcPr>
          <w:p>
            <w:pPr>
              <w:jc w:val="center"/>
              <w:rPr>
                <w:rFonts w:ascii="宋体" w:eastAsia="宋体"/>
                <w:sz w:val="24"/>
                <w:highlight w:val="none"/>
              </w:rPr>
            </w:pPr>
            <w:r>
              <w:rPr>
                <w:rFonts w:hint="eastAsia" w:ascii="宋体" w:eastAsia="宋体"/>
                <w:sz w:val="24"/>
                <w:highlight w:val="none"/>
              </w:rPr>
              <w:t>1</w:t>
            </w:r>
          </w:p>
        </w:tc>
        <w:tc>
          <w:tcPr>
            <w:tcW w:w="915" w:type="pct"/>
            <w:vAlign w:val="center"/>
          </w:tcPr>
          <w:p>
            <w:pPr>
              <w:jc w:val="center"/>
              <w:rPr>
                <w:rFonts w:ascii="宋体" w:eastAsia="宋体"/>
                <w:sz w:val="24"/>
                <w:highlight w:val="none"/>
              </w:rPr>
            </w:pPr>
          </w:p>
        </w:tc>
        <w:tc>
          <w:tcPr>
            <w:tcW w:w="1680" w:type="pct"/>
            <w:vAlign w:val="center"/>
          </w:tcPr>
          <w:p>
            <w:pPr>
              <w:jc w:val="center"/>
              <w:rPr>
                <w:rFonts w:ascii="宋体" w:eastAsia="宋体"/>
                <w:sz w:val="24"/>
                <w:highlight w:val="none"/>
              </w:rPr>
            </w:pPr>
          </w:p>
        </w:tc>
        <w:tc>
          <w:tcPr>
            <w:tcW w:w="1456" w:type="pct"/>
            <w:vAlign w:val="center"/>
          </w:tcPr>
          <w:p>
            <w:pPr>
              <w:jc w:val="center"/>
              <w:rPr>
                <w:rFonts w:ascii="宋体" w:eastAsia="宋体"/>
                <w:sz w:val="24"/>
                <w:highlight w:val="none"/>
              </w:rPr>
            </w:pPr>
          </w:p>
        </w:tc>
        <w:tc>
          <w:tcPr>
            <w:tcW w:w="2347" w:type="pct"/>
            <w:vAlign w:val="center"/>
          </w:tcPr>
          <w:p>
            <w:pPr>
              <w:wordWrap w:val="0"/>
              <w:topLinePunct/>
              <w:adjustRightInd w:val="0"/>
              <w:snapToGrid w:val="0"/>
              <w:jc w:val="center"/>
              <w:rPr>
                <w:rFonts w:ascii="宋体" w:eastAsia="宋体"/>
                <w:sz w:val="24"/>
                <w:highlight w:val="none"/>
              </w:rPr>
            </w:pPr>
            <w:r>
              <w:rPr>
                <w:rFonts w:ascii="Times New Roman" w:hAnsi="Times New Roman" w:eastAsia="仿宋"/>
                <w:snapToGrid w:val="0"/>
                <w:kern w:val="0"/>
                <w:szCs w:val="21"/>
                <w:highlight w:val="none"/>
              </w:rPr>
              <w:t>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5" w:type="pct"/>
            <w:vAlign w:val="center"/>
          </w:tcPr>
          <w:p>
            <w:pPr>
              <w:jc w:val="center"/>
              <w:rPr>
                <w:rFonts w:ascii="宋体" w:eastAsia="宋体"/>
                <w:sz w:val="24"/>
                <w:highlight w:val="none"/>
              </w:rPr>
            </w:pPr>
            <w:r>
              <w:rPr>
                <w:rFonts w:hint="eastAsia" w:ascii="宋体" w:eastAsia="宋体"/>
                <w:sz w:val="24"/>
                <w:highlight w:val="none"/>
              </w:rPr>
              <w:t>2</w:t>
            </w:r>
          </w:p>
        </w:tc>
        <w:tc>
          <w:tcPr>
            <w:tcW w:w="915" w:type="pct"/>
            <w:vAlign w:val="center"/>
          </w:tcPr>
          <w:p>
            <w:pPr>
              <w:jc w:val="center"/>
              <w:rPr>
                <w:rFonts w:ascii="宋体" w:eastAsia="宋体"/>
                <w:sz w:val="24"/>
                <w:highlight w:val="none"/>
              </w:rPr>
            </w:pPr>
          </w:p>
        </w:tc>
        <w:tc>
          <w:tcPr>
            <w:tcW w:w="1680" w:type="pct"/>
            <w:vAlign w:val="center"/>
          </w:tcPr>
          <w:p>
            <w:pPr>
              <w:jc w:val="center"/>
              <w:rPr>
                <w:rFonts w:ascii="宋体" w:eastAsia="宋体"/>
                <w:sz w:val="24"/>
                <w:highlight w:val="none"/>
              </w:rPr>
            </w:pPr>
          </w:p>
        </w:tc>
        <w:tc>
          <w:tcPr>
            <w:tcW w:w="1456" w:type="pct"/>
            <w:vAlign w:val="center"/>
          </w:tcPr>
          <w:p>
            <w:pPr>
              <w:jc w:val="center"/>
              <w:rPr>
                <w:rFonts w:ascii="宋体" w:eastAsia="宋体"/>
                <w:sz w:val="24"/>
                <w:highlight w:val="none"/>
              </w:rPr>
            </w:pPr>
          </w:p>
        </w:tc>
        <w:tc>
          <w:tcPr>
            <w:tcW w:w="2347" w:type="pct"/>
            <w:vAlign w:val="center"/>
          </w:tcPr>
          <w:p>
            <w:pPr>
              <w:wordWrap w:val="0"/>
              <w:topLinePunct/>
              <w:adjustRightInd w:val="0"/>
              <w:snapToGrid w:val="0"/>
              <w:jc w:val="center"/>
              <w:rPr>
                <w:rFonts w:ascii="宋体" w:eastAsia="宋体"/>
                <w:sz w:val="24"/>
                <w:highlight w:val="none"/>
              </w:rPr>
            </w:pPr>
            <w:r>
              <w:rPr>
                <w:rFonts w:ascii="Times New Roman" w:hAnsi="Times New Roman" w:eastAsia="仿宋"/>
                <w:snapToGrid w:val="0"/>
                <w:kern w:val="0"/>
                <w:szCs w:val="21"/>
                <w:highlight w:val="none"/>
              </w:rPr>
              <w:t>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5" w:type="pct"/>
            <w:vAlign w:val="center"/>
          </w:tcPr>
          <w:p>
            <w:pPr>
              <w:jc w:val="center"/>
              <w:rPr>
                <w:rFonts w:ascii="宋体" w:eastAsia="宋体"/>
                <w:sz w:val="24"/>
                <w:highlight w:val="none"/>
              </w:rPr>
            </w:pPr>
            <w:r>
              <w:rPr>
                <w:rFonts w:hint="eastAsia" w:ascii="宋体" w:eastAsia="宋体"/>
                <w:sz w:val="24"/>
                <w:highlight w:val="none"/>
              </w:rPr>
              <w:t>3</w:t>
            </w:r>
          </w:p>
        </w:tc>
        <w:tc>
          <w:tcPr>
            <w:tcW w:w="915" w:type="pct"/>
            <w:vAlign w:val="center"/>
          </w:tcPr>
          <w:p>
            <w:pPr>
              <w:jc w:val="center"/>
              <w:rPr>
                <w:rFonts w:ascii="宋体" w:eastAsia="宋体"/>
                <w:sz w:val="24"/>
                <w:highlight w:val="none"/>
              </w:rPr>
            </w:pPr>
          </w:p>
        </w:tc>
        <w:tc>
          <w:tcPr>
            <w:tcW w:w="1680" w:type="pct"/>
            <w:vAlign w:val="center"/>
          </w:tcPr>
          <w:p>
            <w:pPr>
              <w:jc w:val="center"/>
              <w:rPr>
                <w:rFonts w:ascii="宋体" w:eastAsia="宋体"/>
                <w:sz w:val="24"/>
                <w:highlight w:val="none"/>
              </w:rPr>
            </w:pPr>
          </w:p>
        </w:tc>
        <w:tc>
          <w:tcPr>
            <w:tcW w:w="1456" w:type="pct"/>
            <w:vAlign w:val="center"/>
          </w:tcPr>
          <w:p>
            <w:pPr>
              <w:pStyle w:val="45"/>
              <w:jc w:val="center"/>
              <w:rPr>
                <w:rFonts w:ascii="宋体" w:eastAsia="宋体"/>
                <w:highlight w:val="none"/>
              </w:rPr>
            </w:pPr>
          </w:p>
        </w:tc>
        <w:tc>
          <w:tcPr>
            <w:tcW w:w="2347" w:type="pct"/>
            <w:vAlign w:val="center"/>
          </w:tcPr>
          <w:p>
            <w:pPr>
              <w:wordWrap w:val="0"/>
              <w:topLinePunct/>
              <w:adjustRightInd w:val="0"/>
              <w:snapToGrid w:val="0"/>
              <w:jc w:val="center"/>
              <w:rPr>
                <w:rFonts w:ascii="宋体" w:eastAsia="宋体"/>
                <w:sz w:val="24"/>
                <w:highlight w:val="none"/>
              </w:rPr>
            </w:pPr>
            <w:r>
              <w:rPr>
                <w:rFonts w:ascii="Times New Roman" w:hAnsi="Times New Roman" w:eastAsia="仿宋"/>
                <w:snapToGrid w:val="0"/>
                <w:kern w:val="0"/>
                <w:szCs w:val="21"/>
                <w:highlight w:val="none"/>
              </w:rPr>
              <w:t>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5" w:type="pct"/>
            <w:vAlign w:val="center"/>
          </w:tcPr>
          <w:p>
            <w:pPr>
              <w:jc w:val="center"/>
              <w:rPr>
                <w:rFonts w:hint="default" w:ascii="宋体" w:eastAsia="宋体"/>
                <w:sz w:val="24"/>
                <w:highlight w:val="none"/>
                <w:lang w:val="en-US" w:eastAsia="zh-CN"/>
              </w:rPr>
            </w:pPr>
            <w:r>
              <w:rPr>
                <w:rFonts w:hint="eastAsia" w:ascii="宋体" w:eastAsia="宋体"/>
                <w:sz w:val="24"/>
                <w:highlight w:val="none"/>
                <w:lang w:val="en-US" w:eastAsia="zh-CN"/>
              </w:rPr>
              <w:t>...</w:t>
            </w:r>
          </w:p>
        </w:tc>
        <w:tc>
          <w:tcPr>
            <w:tcW w:w="915" w:type="pct"/>
            <w:vAlign w:val="center"/>
          </w:tcPr>
          <w:p>
            <w:pPr>
              <w:jc w:val="center"/>
              <w:rPr>
                <w:rFonts w:ascii="宋体" w:eastAsia="宋体"/>
                <w:sz w:val="24"/>
                <w:highlight w:val="none"/>
              </w:rPr>
            </w:pPr>
          </w:p>
        </w:tc>
        <w:tc>
          <w:tcPr>
            <w:tcW w:w="1680" w:type="pct"/>
            <w:vAlign w:val="center"/>
          </w:tcPr>
          <w:p>
            <w:pPr>
              <w:jc w:val="center"/>
              <w:rPr>
                <w:rFonts w:ascii="宋体" w:eastAsia="宋体"/>
                <w:sz w:val="24"/>
                <w:highlight w:val="none"/>
              </w:rPr>
            </w:pPr>
          </w:p>
        </w:tc>
        <w:tc>
          <w:tcPr>
            <w:tcW w:w="1456" w:type="pct"/>
            <w:vAlign w:val="center"/>
          </w:tcPr>
          <w:p>
            <w:pPr>
              <w:pStyle w:val="45"/>
              <w:jc w:val="center"/>
              <w:rPr>
                <w:rFonts w:ascii="宋体" w:eastAsia="宋体"/>
                <w:highlight w:val="none"/>
              </w:rPr>
            </w:pPr>
          </w:p>
        </w:tc>
        <w:tc>
          <w:tcPr>
            <w:tcW w:w="2347" w:type="pct"/>
            <w:vAlign w:val="center"/>
          </w:tcPr>
          <w:p>
            <w:pPr>
              <w:wordWrap w:val="0"/>
              <w:topLinePunct/>
              <w:adjustRightInd w:val="0"/>
              <w:snapToGrid w:val="0"/>
              <w:jc w:val="center"/>
              <w:rPr>
                <w:rFonts w:ascii="Times New Roman" w:hAnsi="Times New Roman" w:eastAsia="仿宋"/>
                <w:snapToGrid w:val="0"/>
                <w:kern w:val="0"/>
                <w:szCs w:val="21"/>
                <w:highlight w:val="none"/>
              </w:rPr>
            </w:pPr>
          </w:p>
        </w:tc>
      </w:tr>
    </w:tbl>
    <w:p>
      <w:pPr>
        <w:pStyle w:val="17"/>
        <w:spacing w:line="360" w:lineRule="auto"/>
        <w:rPr>
          <w:rFonts w:ascii="宋体" w:eastAsia="宋体"/>
          <w:b w:val="0"/>
          <w:sz w:val="21"/>
          <w:szCs w:val="21"/>
          <w:highlight w:val="none"/>
        </w:rPr>
      </w:pPr>
      <w:r>
        <w:rPr>
          <w:rFonts w:hint="eastAsia" w:ascii="宋体" w:eastAsia="宋体"/>
          <w:b w:val="0"/>
          <w:sz w:val="21"/>
          <w:szCs w:val="21"/>
          <w:highlight w:val="none"/>
        </w:rPr>
        <w:t>注：投标人仅需列明存在偏离（包含正偏离和负偏离）的内容，除列明的偏离外，视为全部符合招标文件技术参数和规格型号要求。“符合”指与招标文件要求一致，“正偏离”指优于招标文件要求；“负偏离”指低于招标文件要求。</w:t>
      </w:r>
    </w:p>
    <w:p>
      <w:pPr>
        <w:pStyle w:val="17"/>
        <w:spacing w:line="360" w:lineRule="auto"/>
        <w:rPr>
          <w:rFonts w:ascii="宋体" w:eastAsia="宋体"/>
          <w:b w:val="0"/>
          <w:sz w:val="24"/>
          <w:highlight w:val="none"/>
        </w:rPr>
      </w:pPr>
    </w:p>
    <w:p>
      <w:pPr>
        <w:pStyle w:val="17"/>
        <w:spacing w:line="360" w:lineRule="auto"/>
        <w:rPr>
          <w:rFonts w:ascii="宋体" w:eastAsia="宋体"/>
          <w:b w:val="0"/>
          <w:sz w:val="24"/>
          <w:highlight w:val="none"/>
        </w:rPr>
      </w:pPr>
    </w:p>
    <w:p>
      <w:pPr>
        <w:pStyle w:val="17"/>
        <w:spacing w:line="360" w:lineRule="auto"/>
        <w:rPr>
          <w:rFonts w:ascii="宋体" w:eastAsia="宋体"/>
          <w:b w:val="0"/>
          <w:sz w:val="24"/>
          <w:highlight w:val="none"/>
        </w:rPr>
      </w:pPr>
      <w:r>
        <w:rPr>
          <w:rFonts w:hint="eastAsia" w:ascii="宋体" w:eastAsia="宋体"/>
          <w:b w:val="0"/>
          <w:sz w:val="24"/>
          <w:highlight w:val="none"/>
        </w:rPr>
        <w:t>投标人电子签章：</w:t>
      </w:r>
    </w:p>
    <w:p>
      <w:pPr>
        <w:spacing w:line="360" w:lineRule="auto"/>
        <w:rPr>
          <w:rFonts w:ascii="宋体" w:eastAsia="宋体"/>
          <w:sz w:val="24"/>
          <w:highlight w:val="none"/>
        </w:rPr>
      </w:pPr>
      <w:r>
        <w:rPr>
          <w:rFonts w:hint="eastAsia" w:ascii="宋体" w:eastAsia="宋体"/>
          <w:sz w:val="24"/>
          <w:highlight w:val="none"/>
        </w:rPr>
        <w:br w:type="page"/>
      </w:r>
    </w:p>
    <w:p>
      <w:pPr>
        <w:jc w:val="left"/>
        <w:rPr>
          <w:rFonts w:ascii="宋体" w:eastAsia="宋体"/>
          <w:sz w:val="24"/>
          <w:highlight w:val="none"/>
        </w:rPr>
      </w:pPr>
    </w:p>
    <w:p>
      <w:pPr>
        <w:keepNext/>
        <w:keepLines/>
        <w:widowControl w:val="0"/>
        <w:spacing w:before="240"/>
        <w:jc w:val="center"/>
        <w:outlineLvl w:val="1"/>
        <w:rPr>
          <w:rFonts w:ascii="宋体" w:eastAsia="宋体" w:cs="宋体"/>
          <w:b/>
          <w:bCs/>
          <w:sz w:val="24"/>
          <w:szCs w:val="24"/>
          <w:highlight w:val="none"/>
        </w:rPr>
      </w:pPr>
      <w:bookmarkStart w:id="287" w:name="_Toc180623263"/>
      <w:bookmarkStart w:id="288" w:name="_Toc2026689841"/>
      <w:bookmarkStart w:id="289" w:name="_Toc1743650410"/>
      <w:bookmarkStart w:id="290" w:name="_Toc27915312_WPSOffice_Level1"/>
      <w:bookmarkStart w:id="291" w:name="_Toc23817"/>
      <w:bookmarkStart w:id="292" w:name="_Toc1049370585"/>
      <w:bookmarkStart w:id="293" w:name="_Toc1679018405"/>
      <w:bookmarkStart w:id="294" w:name="_Toc1130168119"/>
      <w:bookmarkStart w:id="295" w:name="_Toc1200677206"/>
      <w:bookmarkStart w:id="296" w:name="_Hlk11531103"/>
      <w:r>
        <w:rPr>
          <w:rFonts w:hint="eastAsia" w:ascii="宋体" w:eastAsia="宋体" w:cs="宋体"/>
          <w:b/>
          <w:bCs/>
          <w:sz w:val="24"/>
          <w:szCs w:val="24"/>
          <w:highlight w:val="none"/>
        </w:rPr>
        <w:t>七、主要中标标的承诺函</w:t>
      </w:r>
      <w:bookmarkEnd w:id="287"/>
      <w:bookmarkEnd w:id="288"/>
      <w:bookmarkEnd w:id="289"/>
      <w:bookmarkEnd w:id="290"/>
      <w:bookmarkEnd w:id="291"/>
      <w:bookmarkEnd w:id="292"/>
      <w:bookmarkEnd w:id="293"/>
      <w:bookmarkEnd w:id="294"/>
      <w:bookmarkEnd w:id="295"/>
    </w:p>
    <w:p>
      <w:pPr>
        <w:spacing w:line="360" w:lineRule="auto"/>
        <w:ind w:firstLine="435"/>
        <w:rPr>
          <w:rFonts w:ascii="Arial" w:hAnsi="Arial" w:eastAsia="宋体" w:cs="Arial"/>
          <w:sz w:val="24"/>
          <w:szCs w:val="24"/>
          <w:highlight w:val="none"/>
        </w:rPr>
      </w:pPr>
    </w:p>
    <w:p>
      <w:pPr>
        <w:spacing w:line="360" w:lineRule="auto"/>
        <w:ind w:firstLine="435"/>
        <w:rPr>
          <w:rFonts w:ascii="Arial" w:hAnsi="Arial" w:eastAsia="宋体" w:cs="Arial"/>
          <w:sz w:val="24"/>
          <w:szCs w:val="24"/>
          <w:highlight w:val="none"/>
        </w:rPr>
      </w:pPr>
      <w:r>
        <w:rPr>
          <w:rFonts w:ascii="Arial" w:hAnsi="Arial" w:eastAsia="宋体" w:cs="Arial"/>
          <w:sz w:val="24"/>
          <w:szCs w:val="24"/>
          <w:highlight w:val="none"/>
        </w:rPr>
        <w:t>我单位</w:t>
      </w:r>
      <w:r>
        <w:rPr>
          <w:rFonts w:ascii="Arial" w:hAnsi="Arial" w:eastAsia="宋体" w:cs="Arial"/>
          <w:sz w:val="24"/>
          <w:highlight w:val="none"/>
        </w:rPr>
        <w:t>同意中标</w:t>
      </w:r>
      <w:r>
        <w:rPr>
          <w:rFonts w:ascii="Arial" w:hAnsi="Arial" w:eastAsia="宋体" w:cs="Arial"/>
          <w:sz w:val="24"/>
          <w:szCs w:val="24"/>
          <w:highlight w:val="none"/>
        </w:rPr>
        <w:t>公告中公示以下主要中标标的并承诺：投标文件中所提供的主要中标标的均</w:t>
      </w:r>
      <w:r>
        <w:rPr>
          <w:rFonts w:hint="eastAsia" w:ascii="Arial" w:hAnsi="Arial" w:eastAsia="宋体" w:cs="Arial"/>
          <w:sz w:val="24"/>
          <w:szCs w:val="24"/>
          <w:highlight w:val="none"/>
        </w:rPr>
        <w:t>合法、</w:t>
      </w:r>
      <w:r>
        <w:rPr>
          <w:rFonts w:ascii="Arial" w:hAnsi="Arial" w:eastAsia="宋体" w:cs="Arial"/>
          <w:sz w:val="24"/>
          <w:szCs w:val="24"/>
          <w:highlight w:val="none"/>
        </w:rPr>
        <w:t>真实有效。若被发现存在任何虚假、隐瞒情况，我单位承担由此产生的一切后果。</w:t>
      </w:r>
    </w:p>
    <w:tbl>
      <w:tblPr>
        <w:tblStyle w:val="2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303"/>
        <w:gridCol w:w="2633"/>
        <w:gridCol w:w="1560"/>
        <w:gridCol w:w="1490"/>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08" w:type="dxa"/>
            <w:noWrap/>
            <w:vAlign w:val="center"/>
          </w:tcPr>
          <w:p>
            <w:pPr>
              <w:widowControl/>
              <w:jc w:val="center"/>
              <w:rPr>
                <w:rFonts w:ascii="宋体" w:eastAsia="宋体" w:cs="宋体"/>
                <w:sz w:val="24"/>
                <w:szCs w:val="24"/>
                <w:highlight w:val="none"/>
              </w:rPr>
            </w:pPr>
            <w:r>
              <w:rPr>
                <w:rFonts w:hint="eastAsia" w:ascii="宋体" w:eastAsia="宋体" w:cs="宋体"/>
                <w:sz w:val="24"/>
                <w:szCs w:val="24"/>
                <w:highlight w:val="none"/>
              </w:rPr>
              <w:t>序号</w:t>
            </w:r>
          </w:p>
        </w:tc>
        <w:tc>
          <w:tcPr>
            <w:tcW w:w="1303" w:type="dxa"/>
            <w:noWrap/>
            <w:vAlign w:val="center"/>
          </w:tcPr>
          <w:p>
            <w:pPr>
              <w:widowControl/>
              <w:jc w:val="center"/>
              <w:rPr>
                <w:rFonts w:ascii="宋体" w:eastAsia="宋体" w:cs="宋体"/>
                <w:sz w:val="24"/>
                <w:szCs w:val="24"/>
                <w:highlight w:val="none"/>
              </w:rPr>
            </w:pPr>
            <w:r>
              <w:rPr>
                <w:rFonts w:hint="eastAsia" w:ascii="宋体" w:eastAsia="宋体" w:cs="宋体"/>
                <w:sz w:val="24"/>
                <w:szCs w:val="24"/>
                <w:highlight w:val="none"/>
              </w:rPr>
              <w:t>货物名称</w:t>
            </w:r>
          </w:p>
        </w:tc>
        <w:tc>
          <w:tcPr>
            <w:tcW w:w="2633" w:type="dxa"/>
            <w:noWrap/>
            <w:vAlign w:val="center"/>
          </w:tcPr>
          <w:p>
            <w:pPr>
              <w:widowControl/>
              <w:jc w:val="center"/>
              <w:rPr>
                <w:rFonts w:ascii="宋体" w:eastAsia="宋体" w:cs="宋体"/>
                <w:sz w:val="24"/>
                <w:szCs w:val="24"/>
                <w:highlight w:val="none"/>
              </w:rPr>
            </w:pPr>
            <w:r>
              <w:rPr>
                <w:rFonts w:hint="eastAsia" w:ascii="宋体" w:eastAsia="宋体" w:cs="宋体"/>
                <w:sz w:val="24"/>
                <w:szCs w:val="24"/>
                <w:highlight w:val="none"/>
              </w:rPr>
              <w:t>品牌及规格型号</w:t>
            </w:r>
          </w:p>
        </w:tc>
        <w:tc>
          <w:tcPr>
            <w:tcW w:w="1560" w:type="dxa"/>
            <w:noWrap/>
            <w:vAlign w:val="center"/>
          </w:tcPr>
          <w:p>
            <w:pPr>
              <w:widowControl/>
              <w:jc w:val="center"/>
              <w:rPr>
                <w:rFonts w:ascii="宋体" w:eastAsia="宋体" w:cs="宋体"/>
                <w:sz w:val="24"/>
                <w:szCs w:val="24"/>
                <w:highlight w:val="none"/>
              </w:rPr>
            </w:pPr>
            <w:r>
              <w:rPr>
                <w:rFonts w:hint="eastAsia" w:ascii="宋体" w:eastAsia="宋体" w:cs="宋体"/>
                <w:sz w:val="24"/>
                <w:szCs w:val="24"/>
                <w:highlight w:val="none"/>
              </w:rPr>
              <w:t>数量</w:t>
            </w:r>
          </w:p>
        </w:tc>
        <w:tc>
          <w:tcPr>
            <w:tcW w:w="1490" w:type="dxa"/>
            <w:noWrap/>
            <w:vAlign w:val="center"/>
          </w:tcPr>
          <w:p>
            <w:pPr>
              <w:widowControl/>
              <w:jc w:val="center"/>
              <w:rPr>
                <w:rFonts w:ascii="宋体" w:eastAsia="宋体" w:cs="宋体"/>
                <w:sz w:val="24"/>
                <w:szCs w:val="24"/>
                <w:highlight w:val="none"/>
              </w:rPr>
            </w:pPr>
            <w:r>
              <w:rPr>
                <w:rFonts w:hint="eastAsia" w:ascii="宋体" w:eastAsia="宋体" w:cs="宋体"/>
                <w:sz w:val="24"/>
                <w:szCs w:val="24"/>
                <w:highlight w:val="none"/>
              </w:rPr>
              <w:t>单价</w:t>
            </w:r>
          </w:p>
        </w:tc>
        <w:tc>
          <w:tcPr>
            <w:tcW w:w="828" w:type="dxa"/>
            <w:noWrap/>
            <w:vAlign w:val="center"/>
          </w:tcPr>
          <w:p>
            <w:pPr>
              <w:widowControl/>
              <w:jc w:val="center"/>
              <w:rPr>
                <w:rFonts w:ascii="宋体" w:eastAsia="宋体" w:cs="宋体"/>
                <w:sz w:val="24"/>
                <w:szCs w:val="24"/>
                <w:highlight w:val="none"/>
              </w:rPr>
            </w:pPr>
            <w:r>
              <w:rPr>
                <w:rFonts w:hint="eastAsia" w:ascii="宋体" w:eastAsia="宋体" w:cs="宋体"/>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ign w:val="center"/>
          </w:tcPr>
          <w:p>
            <w:pPr>
              <w:spacing w:line="360" w:lineRule="auto"/>
              <w:jc w:val="center"/>
              <w:rPr>
                <w:rFonts w:ascii="宋体" w:eastAsia="宋体" w:cs="宋体"/>
                <w:sz w:val="24"/>
                <w:szCs w:val="24"/>
                <w:highlight w:val="none"/>
              </w:rPr>
            </w:pPr>
            <w:r>
              <w:rPr>
                <w:rFonts w:hint="eastAsia" w:ascii="宋体" w:eastAsia="宋体" w:cs="宋体"/>
                <w:sz w:val="24"/>
                <w:szCs w:val="24"/>
                <w:highlight w:val="none"/>
              </w:rPr>
              <w:t>1</w:t>
            </w:r>
          </w:p>
        </w:tc>
        <w:tc>
          <w:tcPr>
            <w:tcW w:w="1303" w:type="dxa"/>
            <w:noWrap/>
            <w:vAlign w:val="center"/>
          </w:tcPr>
          <w:p>
            <w:pPr>
              <w:widowControl/>
              <w:jc w:val="center"/>
              <w:textAlignment w:val="center"/>
              <w:rPr>
                <w:rFonts w:ascii="宋体" w:eastAsia="宋体" w:cs="宋体"/>
                <w:sz w:val="24"/>
                <w:szCs w:val="24"/>
                <w:highlight w:val="none"/>
              </w:rPr>
            </w:pPr>
            <w:r>
              <w:rPr>
                <w:rFonts w:ascii="宋体" w:eastAsia="宋体"/>
                <w:szCs w:val="21"/>
                <w:highlight w:val="none"/>
              </w:rPr>
              <w:t>▲</w:t>
            </w:r>
            <w:r>
              <w:rPr>
                <w:rFonts w:hint="eastAsia" w:ascii="宋体" w:eastAsia="宋体" w:cs="仿宋"/>
                <w:snapToGrid w:val="0"/>
                <w:kern w:val="0"/>
                <w:szCs w:val="21"/>
                <w:highlight w:val="none"/>
              </w:rPr>
              <w:t>人脸识别门禁中间机</w:t>
            </w:r>
          </w:p>
        </w:tc>
        <w:tc>
          <w:tcPr>
            <w:tcW w:w="2633" w:type="dxa"/>
            <w:noWrap/>
            <w:vAlign w:val="center"/>
          </w:tcPr>
          <w:p>
            <w:pPr>
              <w:widowControl/>
              <w:jc w:val="center"/>
              <w:textAlignment w:val="center"/>
              <w:rPr>
                <w:rFonts w:ascii="宋体" w:eastAsia="宋体" w:cs="宋体"/>
                <w:sz w:val="24"/>
                <w:szCs w:val="24"/>
                <w:highlight w:val="none"/>
              </w:rPr>
            </w:pPr>
          </w:p>
        </w:tc>
        <w:tc>
          <w:tcPr>
            <w:tcW w:w="1560" w:type="dxa"/>
            <w:noWrap/>
            <w:vAlign w:val="center"/>
          </w:tcPr>
          <w:p>
            <w:pPr>
              <w:spacing w:line="360" w:lineRule="auto"/>
              <w:jc w:val="center"/>
              <w:rPr>
                <w:rFonts w:ascii="宋体" w:eastAsia="宋体" w:cs="宋体"/>
                <w:sz w:val="24"/>
                <w:szCs w:val="24"/>
                <w:highlight w:val="none"/>
              </w:rPr>
            </w:pPr>
            <w:r>
              <w:rPr>
                <w:rFonts w:hint="eastAsia" w:ascii="宋体" w:hAnsi="宋体" w:eastAsia="宋体" w:cs="宋体"/>
                <w:b w:val="0"/>
                <w:bCs w:val="0"/>
                <w:kern w:val="0"/>
                <w:sz w:val="21"/>
                <w:szCs w:val="21"/>
              </w:rPr>
              <w:t>7</w:t>
            </w:r>
          </w:p>
        </w:tc>
        <w:tc>
          <w:tcPr>
            <w:tcW w:w="1490" w:type="dxa"/>
            <w:noWrap/>
            <w:vAlign w:val="center"/>
          </w:tcPr>
          <w:p>
            <w:pPr>
              <w:spacing w:line="360" w:lineRule="auto"/>
              <w:rPr>
                <w:rFonts w:ascii="宋体" w:eastAsia="宋体" w:cs="宋体"/>
                <w:sz w:val="24"/>
                <w:szCs w:val="24"/>
                <w:highlight w:val="none"/>
              </w:rPr>
            </w:pPr>
          </w:p>
        </w:tc>
        <w:tc>
          <w:tcPr>
            <w:tcW w:w="828" w:type="dxa"/>
            <w:noWrap/>
            <w:vAlign w:val="center"/>
          </w:tcPr>
          <w:p>
            <w:pPr>
              <w:spacing w:line="360" w:lineRule="auto"/>
              <w:rPr>
                <w:rFonts w:ascii="宋体" w:eastAsia="宋体" w:cs="宋体"/>
                <w:sz w:val="24"/>
                <w:szCs w:val="24"/>
                <w:highlight w:val="none"/>
              </w:rPr>
            </w:pPr>
          </w:p>
        </w:tc>
      </w:tr>
    </w:tbl>
    <w:p>
      <w:pPr>
        <w:spacing w:line="360" w:lineRule="auto"/>
        <w:ind w:firstLine="4245" w:firstLineChars="1762"/>
        <w:rPr>
          <w:rFonts w:ascii="Arial" w:hAnsi="Arial" w:eastAsia="宋体" w:cs="Arial"/>
          <w:b/>
          <w:sz w:val="24"/>
          <w:highlight w:val="none"/>
        </w:rPr>
      </w:pPr>
    </w:p>
    <w:p>
      <w:pPr>
        <w:spacing w:line="360" w:lineRule="auto"/>
        <w:jc w:val="right"/>
        <w:rPr>
          <w:rFonts w:ascii="Arial" w:hAnsi="Arial" w:eastAsia="宋体" w:cs="Arial"/>
          <w:sz w:val="24"/>
          <w:highlight w:val="none"/>
        </w:rPr>
      </w:pPr>
      <w:r>
        <w:rPr>
          <w:rFonts w:ascii="Arial" w:hAnsi="Arial" w:eastAsia="宋体" w:cs="Arial"/>
          <w:sz w:val="24"/>
          <w:highlight w:val="none"/>
        </w:rPr>
        <w:t>投标人：</w:t>
      </w:r>
      <w:r>
        <w:rPr>
          <w:rFonts w:hint="eastAsia" w:ascii="Arial" w:hAnsi="Arial" w:eastAsia="宋体" w:cs="Arial"/>
          <w:sz w:val="24"/>
          <w:highlight w:val="none"/>
        </w:rPr>
        <w:t>（盖单位章）</w:t>
      </w:r>
    </w:p>
    <w:p>
      <w:pPr>
        <w:tabs>
          <w:tab w:val="left" w:pos="630"/>
        </w:tabs>
        <w:spacing w:line="360" w:lineRule="auto"/>
        <w:ind w:firstLine="4228" w:firstLineChars="1762"/>
        <w:jc w:val="right"/>
        <w:rPr>
          <w:rFonts w:ascii="Arial" w:hAnsi="Arial" w:eastAsia="宋体" w:cs="Arial"/>
          <w:sz w:val="24"/>
          <w:highlight w:val="none"/>
          <w:u w:val="single"/>
        </w:rPr>
      </w:pPr>
      <w:r>
        <w:rPr>
          <w:rFonts w:hint="eastAsia" w:ascii="宋体" w:eastAsia="宋体"/>
          <w:sz w:val="24"/>
          <w:szCs w:val="24"/>
          <w:highlight w:val="none"/>
        </w:rPr>
        <w:t>日    期：年月 日</w:t>
      </w:r>
    </w:p>
    <w:p>
      <w:pPr>
        <w:adjustRightInd w:val="0"/>
        <w:snapToGrid w:val="0"/>
        <w:spacing w:line="360" w:lineRule="auto"/>
        <w:rPr>
          <w:rFonts w:ascii="Arial" w:hAnsi="Arial" w:eastAsia="宋体" w:cs="Arial"/>
          <w:b/>
          <w:bCs/>
          <w:sz w:val="24"/>
          <w:szCs w:val="24"/>
          <w:highlight w:val="none"/>
        </w:rPr>
      </w:pPr>
    </w:p>
    <w:p>
      <w:pPr>
        <w:adjustRightInd w:val="0"/>
        <w:snapToGrid w:val="0"/>
        <w:spacing w:line="360" w:lineRule="auto"/>
        <w:rPr>
          <w:rFonts w:ascii="Arial" w:hAnsi="Arial" w:eastAsia="宋体" w:cs="Arial"/>
          <w:b/>
          <w:bCs/>
          <w:szCs w:val="21"/>
          <w:highlight w:val="none"/>
        </w:rPr>
      </w:pPr>
      <w:r>
        <w:rPr>
          <w:rFonts w:ascii="Arial" w:hAnsi="Arial" w:eastAsia="宋体" w:cs="Arial"/>
          <w:b/>
          <w:bCs/>
          <w:szCs w:val="21"/>
          <w:highlight w:val="none"/>
        </w:rPr>
        <w:t>备注：</w:t>
      </w:r>
    </w:p>
    <w:p>
      <w:pPr>
        <w:spacing w:line="360" w:lineRule="auto"/>
        <w:ind w:firstLine="435"/>
        <w:rPr>
          <w:rFonts w:ascii="宋体" w:eastAsia="宋体" w:cs="宋体"/>
          <w:bCs/>
          <w:szCs w:val="21"/>
          <w:highlight w:val="none"/>
        </w:rPr>
      </w:pPr>
      <w:r>
        <w:rPr>
          <w:rFonts w:hint="eastAsia" w:ascii="宋体" w:eastAsia="宋体" w:cs="宋体"/>
          <w:bCs/>
          <w:szCs w:val="21"/>
          <w:highlight w:val="none"/>
        </w:rPr>
        <w:t>1.</w:t>
      </w:r>
      <w:r>
        <w:rPr>
          <w:rFonts w:hint="eastAsia" w:ascii="宋体" w:eastAsia="宋体" w:cs="宋体"/>
          <w:szCs w:val="21"/>
          <w:highlight w:val="none"/>
        </w:rPr>
        <w:t>表中所列内容为满足本项目要求的</w:t>
      </w:r>
      <w:r>
        <w:rPr>
          <w:rFonts w:hint="eastAsia" w:ascii="宋体" w:eastAsia="宋体" w:cs="宋体"/>
          <w:bCs/>
          <w:szCs w:val="21"/>
          <w:highlight w:val="none"/>
        </w:rPr>
        <w:t>主要中标标的；</w:t>
      </w:r>
    </w:p>
    <w:p>
      <w:pPr>
        <w:spacing w:line="360" w:lineRule="auto"/>
        <w:ind w:firstLine="435"/>
        <w:rPr>
          <w:rFonts w:ascii="宋体" w:eastAsia="宋体" w:cs="宋体"/>
          <w:szCs w:val="21"/>
          <w:highlight w:val="none"/>
        </w:rPr>
      </w:pPr>
      <w:r>
        <w:rPr>
          <w:rFonts w:hint="eastAsia" w:ascii="宋体" w:eastAsia="宋体" w:cs="宋体"/>
          <w:bCs/>
          <w:szCs w:val="21"/>
          <w:highlight w:val="none"/>
        </w:rPr>
        <w:t>2.</w:t>
      </w:r>
      <w:r>
        <w:rPr>
          <w:rFonts w:hint="eastAsia" w:ascii="宋体" w:eastAsia="宋体" w:cs="宋体"/>
          <w:szCs w:val="21"/>
          <w:highlight w:val="none"/>
        </w:rPr>
        <w:t>中标人提供的以上承诺情况（含货物名称、品牌、规格、型号、数量、单价），将按约定随中标结果公告同时公告。</w:t>
      </w:r>
    </w:p>
    <w:p>
      <w:pPr>
        <w:spacing w:line="360" w:lineRule="auto"/>
        <w:ind w:firstLine="435"/>
        <w:rPr>
          <w:rFonts w:ascii="宋体" w:eastAsia="宋体" w:cs="宋体"/>
          <w:bCs/>
          <w:szCs w:val="21"/>
          <w:highlight w:val="none"/>
        </w:rPr>
      </w:pPr>
      <w:r>
        <w:rPr>
          <w:rFonts w:hint="eastAsia" w:ascii="宋体" w:eastAsia="宋体" w:cs="宋体"/>
          <w:szCs w:val="21"/>
          <w:highlight w:val="none"/>
        </w:rPr>
        <w:t>3.</w:t>
      </w:r>
      <w:r>
        <w:rPr>
          <w:rFonts w:hint="eastAsia" w:ascii="宋体" w:eastAsia="宋体" w:cs="宋体"/>
          <w:bCs/>
          <w:szCs w:val="21"/>
          <w:highlight w:val="none"/>
        </w:rPr>
        <w:t>本页</w:t>
      </w:r>
      <w:r>
        <w:rPr>
          <w:rFonts w:hint="eastAsia" w:ascii="宋体" w:eastAsia="宋体" w:cs="宋体"/>
          <w:szCs w:val="21"/>
          <w:highlight w:val="none"/>
        </w:rPr>
        <w:t>《主要中标标的承诺函》</w:t>
      </w:r>
      <w:r>
        <w:rPr>
          <w:rFonts w:hint="eastAsia" w:ascii="宋体" w:eastAsia="宋体" w:cs="宋体"/>
          <w:bCs/>
          <w:szCs w:val="21"/>
          <w:highlight w:val="none"/>
        </w:rPr>
        <w:t>由投标人准确填写。</w:t>
      </w:r>
    </w:p>
    <w:bookmarkEnd w:id="296"/>
    <w:p>
      <w:pPr>
        <w:rPr>
          <w:rFonts w:ascii="宋体" w:eastAsia="宋体" w:cs="宋体"/>
          <w:highlight w:val="none"/>
        </w:rPr>
      </w:pPr>
    </w:p>
    <w:p>
      <w:pPr>
        <w:rPr>
          <w:rFonts w:ascii="宋体" w:eastAsia="宋体" w:cs="宋体"/>
          <w:highlight w:val="none"/>
        </w:rPr>
      </w:pPr>
      <w:r>
        <w:rPr>
          <w:rFonts w:hint="eastAsia" w:ascii="宋体" w:eastAsia="宋体" w:cs="宋体"/>
          <w:highlight w:val="none"/>
        </w:rPr>
        <w:br w:type="page"/>
      </w:r>
    </w:p>
    <w:p>
      <w:pPr>
        <w:spacing w:line="360" w:lineRule="auto"/>
        <w:jc w:val="center"/>
        <w:outlineLvl w:val="1"/>
        <w:rPr>
          <w:rFonts w:ascii="宋体" w:eastAsia="宋体"/>
          <w:b/>
          <w:sz w:val="24"/>
          <w:highlight w:val="none"/>
        </w:rPr>
      </w:pPr>
      <w:bookmarkStart w:id="297" w:name="_Toc20576"/>
      <w:r>
        <w:rPr>
          <w:rFonts w:hint="eastAsia" w:ascii="宋体" w:eastAsia="宋体"/>
          <w:b/>
          <w:bCs/>
          <w:sz w:val="24"/>
          <w:highlight w:val="none"/>
          <w:u w:val="single"/>
        </w:rPr>
        <w:t>八</w:t>
      </w:r>
      <w:bookmarkStart w:id="298" w:name="_Toc9573"/>
      <w:bookmarkStart w:id="299" w:name="_Toc31244"/>
      <w:bookmarkStart w:id="300" w:name="OLE_LINK14"/>
      <w:bookmarkStart w:id="301" w:name="OLE_LINK13"/>
      <w:r>
        <w:rPr>
          <w:rFonts w:hint="eastAsia" w:ascii="宋体" w:eastAsia="宋体"/>
          <w:b/>
          <w:bCs/>
          <w:sz w:val="24"/>
          <w:highlight w:val="none"/>
          <w:u w:val="single"/>
        </w:rPr>
        <w:t>、</w:t>
      </w:r>
      <w:r>
        <w:rPr>
          <w:rFonts w:hint="eastAsia" w:ascii="宋体" w:eastAsia="宋体"/>
          <w:b/>
          <w:sz w:val="24"/>
          <w:highlight w:val="none"/>
        </w:rPr>
        <w:t>中小企业声明函</w:t>
      </w:r>
      <w:bookmarkEnd w:id="297"/>
      <w:bookmarkEnd w:id="298"/>
      <w:bookmarkEnd w:id="299"/>
    </w:p>
    <w:p>
      <w:pPr>
        <w:rPr>
          <w:rFonts w:ascii="宋体" w:eastAsia="宋体"/>
          <w:sz w:val="24"/>
          <w:szCs w:val="24"/>
          <w:highlight w:val="none"/>
        </w:rPr>
      </w:pPr>
    </w:p>
    <w:p>
      <w:pPr>
        <w:spacing w:line="360" w:lineRule="auto"/>
        <w:ind w:firstLine="435"/>
        <w:rPr>
          <w:rFonts w:ascii="宋体" w:eastAsia="宋体"/>
          <w:sz w:val="24"/>
          <w:szCs w:val="24"/>
          <w:highlight w:val="none"/>
          <w:lang w:val="zh-CN"/>
        </w:rPr>
      </w:pPr>
      <w:r>
        <w:rPr>
          <w:rFonts w:hint="eastAsia" w:ascii="宋体" w:eastAsia="宋体"/>
          <w:sz w:val="24"/>
          <w:szCs w:val="24"/>
          <w:highlight w:val="none"/>
          <w:lang w:val="zh-CN"/>
        </w:rPr>
        <w:t>本公司（联合体）郑重声明，根据《政府采购促进中小企业发展管理办法》（财库﹝2020﹞46号）的规定，本公司（联合体）参加（</w:t>
      </w:r>
      <w:r>
        <w:rPr>
          <w:rFonts w:hint="eastAsia" w:ascii="宋体" w:eastAsia="宋体"/>
          <w:sz w:val="24"/>
          <w:szCs w:val="24"/>
          <w:highlight w:val="none"/>
          <w:u w:val="single"/>
          <w:lang w:val="zh-CN"/>
        </w:rPr>
        <w:t>单位</w:t>
      </w:r>
      <w:r>
        <w:rPr>
          <w:rFonts w:hint="eastAsia" w:ascii="宋体" w:eastAsia="宋体"/>
          <w:sz w:val="24"/>
          <w:szCs w:val="24"/>
          <w:highlight w:val="none"/>
          <w:u w:val="single"/>
        </w:rPr>
        <w:t>名称</w:t>
      </w:r>
      <w:r>
        <w:rPr>
          <w:rFonts w:hint="eastAsia" w:ascii="宋体" w:eastAsia="宋体"/>
          <w:sz w:val="24"/>
          <w:szCs w:val="24"/>
          <w:highlight w:val="none"/>
          <w:lang w:val="zh-CN"/>
        </w:rPr>
        <w:t>）的（</w:t>
      </w:r>
      <w:r>
        <w:rPr>
          <w:rFonts w:hint="eastAsia" w:ascii="宋体" w:eastAsia="宋体"/>
          <w:sz w:val="24"/>
          <w:szCs w:val="24"/>
          <w:highlight w:val="none"/>
          <w:u w:val="single"/>
          <w:lang w:val="zh-CN"/>
        </w:rPr>
        <w:t>项目</w:t>
      </w:r>
      <w:r>
        <w:rPr>
          <w:rFonts w:hint="eastAsia" w:ascii="宋体" w:eastAsia="宋体"/>
          <w:sz w:val="24"/>
          <w:szCs w:val="24"/>
          <w:highlight w:val="none"/>
          <w:u w:val="single"/>
        </w:rPr>
        <w:t>名称</w:t>
      </w:r>
      <w:r>
        <w:rPr>
          <w:rFonts w:hint="eastAsia" w:ascii="宋体" w:eastAsia="宋体"/>
          <w:sz w:val="24"/>
          <w:szCs w:val="24"/>
          <w:highlight w:val="none"/>
          <w:lang w:val="zh-CN"/>
        </w:rPr>
        <w:t xml:space="preserve">）采购活动，提供的货物全部由符合政策要求的中小企业制造。相关企业（含联合体中的中小企业、签订分包意向协议的中小企业）的具体情况如下： </w:t>
      </w:r>
    </w:p>
    <w:p>
      <w:pPr>
        <w:spacing w:line="360" w:lineRule="auto"/>
        <w:ind w:firstLine="435"/>
        <w:rPr>
          <w:rFonts w:ascii="宋体" w:eastAsia="宋体"/>
          <w:sz w:val="24"/>
          <w:szCs w:val="24"/>
          <w:highlight w:val="none"/>
          <w:lang w:val="zh-CN"/>
        </w:rPr>
      </w:pPr>
      <w:r>
        <w:rPr>
          <w:rFonts w:hint="eastAsia" w:ascii="宋体" w:eastAsia="宋体"/>
          <w:sz w:val="24"/>
          <w:szCs w:val="24"/>
          <w:highlight w:val="none"/>
          <w:lang w:val="zh-CN"/>
        </w:rPr>
        <w:t>1.</w:t>
      </w:r>
      <w:r>
        <w:rPr>
          <w:rFonts w:hint="eastAsia" w:ascii="宋体" w:eastAsia="宋体"/>
          <w:sz w:val="24"/>
          <w:szCs w:val="24"/>
          <w:highlight w:val="none"/>
          <w:u w:val="single"/>
          <w:lang w:val="zh-CN"/>
        </w:rPr>
        <w:t xml:space="preserve"> （标的名称） </w:t>
      </w:r>
      <w:r>
        <w:rPr>
          <w:rFonts w:hint="eastAsia" w:ascii="宋体" w:eastAsia="宋体"/>
          <w:sz w:val="24"/>
          <w:szCs w:val="24"/>
          <w:highlight w:val="none"/>
          <w:lang w:val="zh-CN"/>
        </w:rPr>
        <w:t>，属于</w:t>
      </w:r>
      <w:r>
        <w:rPr>
          <w:rFonts w:hint="eastAsia" w:ascii="宋体" w:eastAsia="宋体"/>
          <w:sz w:val="24"/>
          <w:szCs w:val="24"/>
          <w:highlight w:val="none"/>
          <w:u w:val="single"/>
          <w:lang w:val="zh-CN"/>
        </w:rPr>
        <w:t>（采购文件中明确的所属行业）</w:t>
      </w:r>
      <w:r>
        <w:rPr>
          <w:rFonts w:hint="eastAsia" w:ascii="宋体" w:eastAsia="宋体"/>
          <w:sz w:val="24"/>
          <w:szCs w:val="24"/>
          <w:highlight w:val="none"/>
          <w:lang w:val="zh-CN"/>
        </w:rPr>
        <w:t>行业；制造商为</w:t>
      </w:r>
      <w:r>
        <w:rPr>
          <w:rFonts w:hint="eastAsia" w:ascii="宋体" w:eastAsia="宋体"/>
          <w:sz w:val="24"/>
          <w:szCs w:val="24"/>
          <w:highlight w:val="none"/>
          <w:u w:val="single"/>
          <w:lang w:val="zh-CN"/>
        </w:rPr>
        <w:t>（企业名称）</w:t>
      </w:r>
      <w:r>
        <w:rPr>
          <w:rFonts w:hint="eastAsia" w:ascii="宋体" w:eastAsia="宋体"/>
          <w:sz w:val="24"/>
          <w:szCs w:val="24"/>
          <w:highlight w:val="none"/>
          <w:lang w:val="zh-CN"/>
        </w:rPr>
        <w:t>，从业人员人，营业收入为万元，资产总额为万元，属于</w:t>
      </w:r>
      <w:r>
        <w:rPr>
          <w:rFonts w:hint="eastAsia" w:ascii="宋体" w:eastAsia="宋体"/>
          <w:sz w:val="24"/>
          <w:szCs w:val="24"/>
          <w:highlight w:val="none"/>
          <w:u w:val="single"/>
          <w:lang w:val="zh-CN"/>
        </w:rPr>
        <w:t>（中型企业、小型企业、微型企业）</w:t>
      </w:r>
      <w:r>
        <w:rPr>
          <w:rFonts w:hint="eastAsia" w:ascii="宋体" w:eastAsia="宋体"/>
          <w:sz w:val="24"/>
          <w:szCs w:val="24"/>
          <w:highlight w:val="none"/>
          <w:lang w:val="zh-CN"/>
        </w:rPr>
        <w:t xml:space="preserve">； </w:t>
      </w:r>
    </w:p>
    <w:p>
      <w:pPr>
        <w:spacing w:line="360" w:lineRule="auto"/>
        <w:ind w:firstLine="435"/>
        <w:rPr>
          <w:rFonts w:ascii="宋体" w:eastAsia="宋体"/>
          <w:sz w:val="24"/>
          <w:szCs w:val="24"/>
          <w:highlight w:val="none"/>
          <w:lang w:val="zh-CN"/>
        </w:rPr>
      </w:pPr>
      <w:r>
        <w:rPr>
          <w:rFonts w:hint="eastAsia" w:ascii="宋体" w:eastAsia="宋体"/>
          <w:sz w:val="24"/>
          <w:szCs w:val="24"/>
          <w:highlight w:val="none"/>
          <w:lang w:val="zh-CN"/>
        </w:rPr>
        <w:t>2.</w:t>
      </w:r>
      <w:r>
        <w:rPr>
          <w:rFonts w:hint="eastAsia" w:ascii="宋体" w:eastAsia="宋体"/>
          <w:sz w:val="24"/>
          <w:szCs w:val="24"/>
          <w:highlight w:val="none"/>
          <w:u w:val="single"/>
          <w:lang w:val="zh-CN"/>
        </w:rPr>
        <w:t xml:space="preserve"> （标的名称） </w:t>
      </w:r>
      <w:r>
        <w:rPr>
          <w:rFonts w:hint="eastAsia" w:ascii="宋体" w:eastAsia="宋体"/>
          <w:sz w:val="24"/>
          <w:szCs w:val="24"/>
          <w:highlight w:val="none"/>
          <w:lang w:val="zh-CN"/>
        </w:rPr>
        <w:t>，属于</w:t>
      </w:r>
      <w:r>
        <w:rPr>
          <w:rFonts w:hint="eastAsia" w:ascii="宋体" w:eastAsia="宋体"/>
          <w:sz w:val="24"/>
          <w:szCs w:val="24"/>
          <w:highlight w:val="none"/>
          <w:u w:val="single"/>
          <w:lang w:val="zh-CN"/>
        </w:rPr>
        <w:t>（采购文件中明确的所属行业）</w:t>
      </w:r>
      <w:r>
        <w:rPr>
          <w:rFonts w:hint="eastAsia" w:ascii="宋体" w:eastAsia="宋体"/>
          <w:sz w:val="24"/>
          <w:szCs w:val="24"/>
          <w:highlight w:val="none"/>
          <w:lang w:val="zh-CN"/>
        </w:rPr>
        <w:t>行业；制造商为</w:t>
      </w:r>
      <w:r>
        <w:rPr>
          <w:rFonts w:hint="eastAsia" w:ascii="宋体" w:eastAsia="宋体"/>
          <w:sz w:val="24"/>
          <w:szCs w:val="24"/>
          <w:highlight w:val="none"/>
          <w:u w:val="single"/>
          <w:lang w:val="zh-CN"/>
        </w:rPr>
        <w:t>（企业名称）</w:t>
      </w:r>
      <w:r>
        <w:rPr>
          <w:rFonts w:hint="eastAsia" w:ascii="宋体" w:eastAsia="宋体"/>
          <w:sz w:val="24"/>
          <w:szCs w:val="24"/>
          <w:highlight w:val="none"/>
          <w:lang w:val="zh-CN"/>
        </w:rPr>
        <w:t>，从业人员人，营业收入为万元，资产总额为万元，属于</w:t>
      </w:r>
      <w:r>
        <w:rPr>
          <w:rFonts w:hint="eastAsia" w:ascii="宋体" w:eastAsia="宋体"/>
          <w:sz w:val="24"/>
          <w:szCs w:val="24"/>
          <w:highlight w:val="none"/>
          <w:u w:val="single"/>
          <w:lang w:val="zh-CN"/>
        </w:rPr>
        <w:t>（中型企业、小型企业、微型企业）</w:t>
      </w:r>
      <w:r>
        <w:rPr>
          <w:rFonts w:hint="eastAsia" w:ascii="宋体" w:eastAsia="宋体"/>
          <w:sz w:val="24"/>
          <w:szCs w:val="24"/>
          <w:highlight w:val="none"/>
          <w:lang w:val="zh-CN"/>
        </w:rPr>
        <w:t xml:space="preserve">； </w:t>
      </w:r>
    </w:p>
    <w:p>
      <w:pPr>
        <w:spacing w:line="360" w:lineRule="auto"/>
        <w:ind w:firstLine="435"/>
        <w:rPr>
          <w:rFonts w:ascii="宋体" w:eastAsia="宋体"/>
          <w:sz w:val="24"/>
          <w:szCs w:val="24"/>
          <w:highlight w:val="none"/>
          <w:lang w:val="zh-CN"/>
        </w:rPr>
      </w:pPr>
      <w:r>
        <w:rPr>
          <w:rFonts w:hint="eastAsia" w:ascii="宋体" w:eastAsia="宋体"/>
          <w:sz w:val="24"/>
          <w:szCs w:val="24"/>
          <w:highlight w:val="none"/>
          <w:lang w:val="zh-CN"/>
        </w:rPr>
        <w:t>……</w:t>
      </w:r>
    </w:p>
    <w:p>
      <w:pPr>
        <w:spacing w:line="360" w:lineRule="auto"/>
        <w:ind w:firstLine="435"/>
        <w:rPr>
          <w:rFonts w:ascii="宋体" w:eastAsia="宋体"/>
          <w:sz w:val="24"/>
          <w:szCs w:val="24"/>
          <w:highlight w:val="none"/>
          <w:lang w:val="zh-CN"/>
        </w:rPr>
      </w:pPr>
      <w:r>
        <w:rPr>
          <w:rFonts w:hint="eastAsia" w:ascii="宋体" w:eastAsia="宋体"/>
          <w:sz w:val="24"/>
          <w:szCs w:val="24"/>
          <w:highlight w:val="none"/>
          <w:lang w:val="zh-CN"/>
        </w:rPr>
        <w:t>以上企业，不属于大企业的分支机构，不存在控股股东为大企业的情形，也不存在与大企业的负责人为同一人的情形。</w:t>
      </w:r>
    </w:p>
    <w:p>
      <w:pPr>
        <w:spacing w:line="360" w:lineRule="auto"/>
        <w:ind w:firstLine="435"/>
        <w:rPr>
          <w:rFonts w:ascii="宋体" w:eastAsia="宋体"/>
          <w:sz w:val="24"/>
          <w:szCs w:val="24"/>
          <w:highlight w:val="none"/>
          <w:lang w:val="zh-CN"/>
        </w:rPr>
      </w:pPr>
      <w:r>
        <w:rPr>
          <w:rFonts w:hint="eastAsia" w:ascii="宋体" w:eastAsia="宋体"/>
          <w:sz w:val="24"/>
          <w:szCs w:val="24"/>
          <w:highlight w:val="none"/>
          <w:lang w:val="zh-CN"/>
        </w:rPr>
        <w:t xml:space="preserve">本企业对上述声明内容的真实性负责。如有虚假，将依法承担相应责任。 </w:t>
      </w:r>
    </w:p>
    <w:p>
      <w:pPr>
        <w:spacing w:line="360" w:lineRule="auto"/>
        <w:ind w:firstLine="435"/>
        <w:rPr>
          <w:rFonts w:ascii="宋体" w:eastAsia="宋体"/>
          <w:sz w:val="24"/>
          <w:szCs w:val="24"/>
          <w:highlight w:val="none"/>
        </w:rPr>
      </w:pPr>
    </w:p>
    <w:p>
      <w:pPr>
        <w:spacing w:line="360" w:lineRule="auto"/>
        <w:ind w:firstLine="435"/>
        <w:rPr>
          <w:rFonts w:ascii="宋体" w:eastAsia="宋体"/>
          <w:sz w:val="24"/>
          <w:szCs w:val="24"/>
          <w:highlight w:val="none"/>
        </w:rPr>
      </w:pPr>
    </w:p>
    <w:p>
      <w:pPr>
        <w:spacing w:line="360" w:lineRule="auto"/>
        <w:ind w:firstLine="4228" w:firstLineChars="1762"/>
        <w:rPr>
          <w:rFonts w:ascii="宋体" w:eastAsia="宋体"/>
          <w:sz w:val="24"/>
          <w:szCs w:val="24"/>
          <w:highlight w:val="none"/>
          <w:u w:val="single"/>
        </w:rPr>
      </w:pPr>
      <w:r>
        <w:rPr>
          <w:rFonts w:hint="eastAsia" w:ascii="宋体" w:eastAsia="宋体"/>
          <w:sz w:val="24"/>
          <w:szCs w:val="24"/>
          <w:highlight w:val="none"/>
        </w:rPr>
        <w:t>投标人</w:t>
      </w:r>
      <w:r>
        <w:rPr>
          <w:rFonts w:ascii="宋体" w:eastAsia="宋体"/>
          <w:sz w:val="24"/>
          <w:szCs w:val="24"/>
          <w:highlight w:val="none"/>
        </w:rPr>
        <w:t>电子签章</w:t>
      </w:r>
      <w:r>
        <w:rPr>
          <w:rFonts w:hint="eastAsia" w:ascii="宋体" w:eastAsia="宋体"/>
          <w:sz w:val="24"/>
          <w:szCs w:val="24"/>
          <w:highlight w:val="none"/>
        </w:rPr>
        <w:t>：</w:t>
      </w:r>
    </w:p>
    <w:p>
      <w:pPr>
        <w:tabs>
          <w:tab w:val="left" w:pos="4620"/>
        </w:tabs>
        <w:spacing w:line="360" w:lineRule="auto"/>
        <w:ind w:firstLine="4250" w:firstLineChars="1771"/>
        <w:rPr>
          <w:rFonts w:ascii="宋体" w:eastAsia="宋体"/>
          <w:sz w:val="24"/>
          <w:szCs w:val="24"/>
          <w:highlight w:val="none"/>
          <w:u w:val="single"/>
        </w:rPr>
      </w:pPr>
      <w:r>
        <w:rPr>
          <w:rFonts w:hint="eastAsia" w:ascii="宋体" w:eastAsia="宋体"/>
          <w:sz w:val="24"/>
          <w:szCs w:val="24"/>
          <w:highlight w:val="none"/>
        </w:rPr>
        <w:t>日    期：</w:t>
      </w:r>
    </w:p>
    <w:p>
      <w:pPr>
        <w:tabs>
          <w:tab w:val="left" w:pos="4620"/>
        </w:tabs>
        <w:spacing w:line="360" w:lineRule="auto"/>
        <w:jc w:val="left"/>
        <w:rPr>
          <w:rFonts w:ascii="宋体" w:eastAsia="宋体"/>
          <w:sz w:val="24"/>
          <w:szCs w:val="24"/>
          <w:highlight w:val="none"/>
        </w:rPr>
      </w:pPr>
    </w:p>
    <w:p>
      <w:pPr>
        <w:tabs>
          <w:tab w:val="left" w:pos="4620"/>
        </w:tabs>
        <w:spacing w:line="360" w:lineRule="auto"/>
        <w:jc w:val="left"/>
        <w:rPr>
          <w:rFonts w:ascii="宋体" w:eastAsia="宋体"/>
          <w:sz w:val="24"/>
          <w:szCs w:val="24"/>
          <w:highlight w:val="none"/>
        </w:rPr>
      </w:pPr>
    </w:p>
    <w:p>
      <w:pPr>
        <w:tabs>
          <w:tab w:val="left" w:pos="4620"/>
        </w:tabs>
        <w:spacing w:line="360" w:lineRule="auto"/>
        <w:jc w:val="left"/>
        <w:rPr>
          <w:rFonts w:ascii="宋体" w:eastAsia="宋体"/>
          <w:sz w:val="24"/>
          <w:szCs w:val="24"/>
          <w:highlight w:val="none"/>
        </w:rPr>
      </w:pPr>
    </w:p>
    <w:p>
      <w:pPr>
        <w:tabs>
          <w:tab w:val="left" w:pos="4620"/>
        </w:tabs>
        <w:spacing w:line="360" w:lineRule="auto"/>
        <w:jc w:val="left"/>
        <w:rPr>
          <w:rFonts w:ascii="宋体" w:eastAsia="宋体"/>
          <w:sz w:val="24"/>
          <w:szCs w:val="24"/>
          <w:highlight w:val="none"/>
        </w:rPr>
      </w:pPr>
    </w:p>
    <w:p>
      <w:pPr>
        <w:tabs>
          <w:tab w:val="left" w:pos="4620"/>
        </w:tabs>
        <w:spacing w:line="360" w:lineRule="auto"/>
        <w:jc w:val="left"/>
        <w:rPr>
          <w:rFonts w:ascii="宋体" w:eastAsia="宋体"/>
          <w:sz w:val="24"/>
          <w:szCs w:val="24"/>
          <w:highlight w:val="none"/>
        </w:rPr>
      </w:pPr>
    </w:p>
    <w:p>
      <w:pPr>
        <w:tabs>
          <w:tab w:val="left" w:pos="4620"/>
        </w:tabs>
        <w:spacing w:line="360" w:lineRule="auto"/>
        <w:jc w:val="left"/>
        <w:rPr>
          <w:rFonts w:ascii="宋体" w:eastAsia="宋体"/>
          <w:b/>
          <w:szCs w:val="24"/>
          <w:highlight w:val="none"/>
        </w:rPr>
      </w:pPr>
      <w:r>
        <w:rPr>
          <w:rFonts w:hint="eastAsia" w:ascii="宋体" w:eastAsia="宋体"/>
          <w:b/>
          <w:szCs w:val="24"/>
          <w:highlight w:val="none"/>
        </w:rPr>
        <w:t>注：</w:t>
      </w:r>
    </w:p>
    <w:p>
      <w:pPr>
        <w:tabs>
          <w:tab w:val="left" w:pos="4620"/>
        </w:tabs>
        <w:spacing w:line="360" w:lineRule="auto"/>
        <w:jc w:val="left"/>
        <w:rPr>
          <w:rFonts w:ascii="宋体" w:eastAsia="宋体"/>
          <w:szCs w:val="24"/>
          <w:highlight w:val="none"/>
        </w:rPr>
      </w:pPr>
      <w:r>
        <w:rPr>
          <w:rFonts w:ascii="宋体" w:eastAsia="宋体"/>
          <w:szCs w:val="24"/>
          <w:highlight w:val="none"/>
        </w:rPr>
        <w:t>1.从业人员、营业收入、资产总额填报上一年数据，无上一年数据的新成立企业可不填报。</w:t>
      </w:r>
    </w:p>
    <w:p>
      <w:pPr>
        <w:tabs>
          <w:tab w:val="left" w:pos="4620"/>
        </w:tabs>
        <w:spacing w:line="360" w:lineRule="auto"/>
        <w:jc w:val="left"/>
        <w:rPr>
          <w:rFonts w:ascii="宋体" w:eastAsia="宋体" w:cs="宋体"/>
          <w:b/>
          <w:bCs/>
          <w:szCs w:val="21"/>
          <w:highlight w:val="none"/>
        </w:rPr>
      </w:pPr>
      <w:r>
        <w:rPr>
          <w:rFonts w:hint="eastAsia" w:ascii="宋体" w:eastAsia="宋体" w:cs="宋体"/>
          <w:b/>
          <w:bCs/>
          <w:szCs w:val="21"/>
          <w:highlight w:val="none"/>
        </w:rPr>
        <w:t>2.投标人应根据《政府采购促进中小企业发展管理办法》（财库﹝2020﹞46号）和《关于印发中小企业划型标准规定的通知》(工信部联企业〔2011〕300号)相关规定，如实填写中小企业声明函。</w:t>
      </w:r>
      <w:r>
        <w:rPr>
          <w:rFonts w:hint="eastAsia" w:ascii="宋体" w:eastAsia="宋体" w:cs="宋体"/>
          <w:b/>
          <w:bCs/>
          <w:szCs w:val="21"/>
          <w:highlight w:val="none"/>
          <w:lang w:val="zh-CN"/>
        </w:rPr>
        <w:t>如有虚假，将依法承担相应责任。</w:t>
      </w:r>
      <w:r>
        <w:rPr>
          <w:rFonts w:hint="eastAsia" w:ascii="宋体" w:eastAsia="宋体" w:cs="宋体"/>
          <w:b/>
          <w:bCs/>
          <w:szCs w:val="21"/>
          <w:highlight w:val="none"/>
        </w:rPr>
        <w:t>投标人自行登录工业和信息化部官网进行中小企业规模类型自测（查询网址https://www.miit.gov.cn/）。</w:t>
      </w:r>
    </w:p>
    <w:p>
      <w:pPr>
        <w:tabs>
          <w:tab w:val="left" w:pos="4620"/>
        </w:tabs>
        <w:spacing w:line="360" w:lineRule="auto"/>
        <w:jc w:val="left"/>
        <w:rPr>
          <w:rFonts w:ascii="宋体" w:eastAsia="宋体" w:cs="宋体"/>
          <w:b/>
          <w:bCs/>
          <w:szCs w:val="21"/>
          <w:highlight w:val="none"/>
        </w:rPr>
      </w:pPr>
      <w:r>
        <w:rPr>
          <w:rFonts w:hint="eastAsia" w:ascii="宋体" w:eastAsia="宋体" w:cs="宋体"/>
          <w:b/>
          <w:bCs/>
          <w:szCs w:val="21"/>
          <w:highlight w:val="none"/>
        </w:rPr>
        <w:t>3.上述“</w:t>
      </w:r>
      <w:r>
        <w:rPr>
          <w:rFonts w:hint="eastAsia" w:ascii="宋体" w:eastAsia="宋体" w:cs="宋体"/>
          <w:b/>
          <w:bCs/>
          <w:szCs w:val="21"/>
          <w:highlight w:val="none"/>
          <w:u w:val="single"/>
          <w:lang w:val="zh-CN"/>
        </w:rPr>
        <w:t>标的名称</w:t>
      </w:r>
      <w:r>
        <w:rPr>
          <w:rFonts w:hint="eastAsia" w:ascii="宋体" w:eastAsia="宋体" w:cs="宋体"/>
          <w:b/>
          <w:bCs/>
          <w:szCs w:val="21"/>
          <w:highlight w:val="none"/>
        </w:rPr>
        <w:t>”，详见第三章采购需求中明确的“货物名称”。</w:t>
      </w:r>
    </w:p>
    <w:p>
      <w:pPr>
        <w:tabs>
          <w:tab w:val="left" w:pos="4620"/>
        </w:tabs>
        <w:spacing w:line="360" w:lineRule="auto"/>
        <w:jc w:val="left"/>
        <w:rPr>
          <w:rFonts w:ascii="宋体" w:eastAsia="宋体" w:cs="宋体"/>
          <w:b/>
          <w:bCs/>
          <w:szCs w:val="21"/>
          <w:highlight w:val="none"/>
        </w:rPr>
      </w:pPr>
      <w:r>
        <w:rPr>
          <w:rFonts w:hint="eastAsia" w:ascii="宋体" w:eastAsia="宋体" w:cs="宋体"/>
          <w:b/>
          <w:bCs/>
          <w:szCs w:val="21"/>
          <w:highlight w:val="none"/>
        </w:rPr>
        <w:t>4.上述“</w:t>
      </w:r>
      <w:r>
        <w:rPr>
          <w:rFonts w:hint="eastAsia" w:ascii="宋体" w:eastAsia="宋体" w:cs="宋体"/>
          <w:b/>
          <w:bCs/>
          <w:szCs w:val="21"/>
          <w:highlight w:val="none"/>
          <w:u w:val="single"/>
        </w:rPr>
        <w:t>采购文件中明确的所属行业</w:t>
      </w:r>
      <w:r>
        <w:rPr>
          <w:rFonts w:hint="eastAsia" w:ascii="宋体" w:eastAsia="宋体" w:cs="宋体"/>
          <w:b/>
          <w:bCs/>
          <w:szCs w:val="21"/>
          <w:highlight w:val="none"/>
        </w:rPr>
        <w:t>”，详见第三章采购需求中明确的“所属行业”。</w:t>
      </w:r>
    </w:p>
    <w:p>
      <w:pPr>
        <w:tabs>
          <w:tab w:val="left" w:pos="4620"/>
        </w:tabs>
        <w:spacing w:line="360" w:lineRule="auto"/>
        <w:jc w:val="left"/>
        <w:rPr>
          <w:rFonts w:ascii="宋体" w:eastAsia="宋体" w:cs="宋体"/>
          <w:b/>
          <w:bCs/>
          <w:szCs w:val="21"/>
          <w:highlight w:val="none"/>
        </w:rPr>
      </w:pPr>
      <w:r>
        <w:rPr>
          <w:rFonts w:hint="eastAsia" w:ascii="宋体" w:eastAsia="宋体" w:cs="宋体"/>
          <w:b/>
          <w:bCs/>
          <w:szCs w:val="21"/>
          <w:highlight w:val="none"/>
        </w:rPr>
        <w:t>5．填写示例：</w:t>
      </w:r>
      <w:r>
        <w:rPr>
          <w:rFonts w:hint="eastAsia" w:ascii="宋体" w:eastAsia="宋体" w:cs="宋体"/>
          <w:b/>
          <w:bCs/>
          <w:szCs w:val="21"/>
          <w:highlight w:val="none"/>
          <w:u w:val="single"/>
          <w:lang w:val="zh-CN"/>
        </w:rPr>
        <w:t>某设备</w:t>
      </w:r>
      <w:r>
        <w:rPr>
          <w:rFonts w:hint="eastAsia" w:ascii="宋体" w:eastAsia="宋体" w:cs="宋体"/>
          <w:b/>
          <w:bCs/>
          <w:szCs w:val="21"/>
          <w:highlight w:val="none"/>
        </w:rPr>
        <w:t>，</w:t>
      </w:r>
      <w:r>
        <w:rPr>
          <w:rFonts w:hint="eastAsia" w:ascii="宋体" w:eastAsia="宋体" w:cs="宋体"/>
          <w:b/>
          <w:bCs/>
          <w:szCs w:val="21"/>
          <w:highlight w:val="none"/>
          <w:lang w:val="zh-CN"/>
        </w:rPr>
        <w:t>属于</w:t>
      </w:r>
      <w:r>
        <w:rPr>
          <w:rFonts w:hint="eastAsia" w:ascii="宋体" w:eastAsia="宋体" w:cs="宋体"/>
          <w:b/>
          <w:bCs/>
          <w:szCs w:val="21"/>
          <w:highlight w:val="none"/>
          <w:u w:val="single"/>
        </w:rPr>
        <w:t>（填写第三章采购需求中对应货物的“所属行业”，如工业）</w:t>
      </w:r>
      <w:r>
        <w:rPr>
          <w:rFonts w:hint="eastAsia" w:ascii="宋体" w:eastAsia="宋体" w:cs="宋体"/>
          <w:b/>
          <w:bCs/>
          <w:szCs w:val="21"/>
          <w:highlight w:val="none"/>
          <w:lang w:val="zh-CN"/>
        </w:rPr>
        <w:t>行业</w:t>
      </w:r>
      <w:r>
        <w:rPr>
          <w:rFonts w:hint="eastAsia" w:ascii="宋体" w:eastAsia="宋体" w:cs="宋体"/>
          <w:b/>
          <w:bCs/>
          <w:szCs w:val="21"/>
          <w:highlight w:val="none"/>
        </w:rPr>
        <w:t>；</w:t>
      </w:r>
      <w:r>
        <w:rPr>
          <w:rFonts w:hint="eastAsia" w:ascii="宋体" w:eastAsia="宋体" w:cs="宋体"/>
          <w:b/>
          <w:bCs/>
          <w:szCs w:val="21"/>
          <w:highlight w:val="none"/>
          <w:lang w:val="zh-CN"/>
        </w:rPr>
        <w:t>承接企业为</w:t>
      </w:r>
      <w:r>
        <w:rPr>
          <w:rFonts w:hint="eastAsia" w:ascii="宋体" w:eastAsia="宋体" w:cs="宋体"/>
          <w:b/>
          <w:bCs/>
          <w:szCs w:val="21"/>
          <w:highlight w:val="none"/>
          <w:u w:val="single"/>
          <w:lang w:val="zh-CN"/>
        </w:rPr>
        <w:t>某</w:t>
      </w:r>
      <w:r>
        <w:rPr>
          <w:rFonts w:hint="eastAsia" w:ascii="宋体" w:eastAsia="宋体" w:cs="宋体"/>
          <w:b/>
          <w:bCs/>
          <w:szCs w:val="21"/>
          <w:highlight w:val="none"/>
          <w:u w:val="single"/>
        </w:rPr>
        <w:t>企业</w:t>
      </w:r>
      <w:r>
        <w:rPr>
          <w:rFonts w:hint="eastAsia" w:ascii="宋体" w:eastAsia="宋体" w:cs="宋体"/>
          <w:b/>
          <w:bCs/>
          <w:szCs w:val="21"/>
          <w:highlight w:val="none"/>
        </w:rPr>
        <w:t>，</w:t>
      </w:r>
      <w:r>
        <w:rPr>
          <w:rFonts w:hint="eastAsia" w:ascii="宋体" w:eastAsia="宋体" w:cs="宋体"/>
          <w:b/>
          <w:bCs/>
          <w:szCs w:val="21"/>
          <w:highlight w:val="none"/>
          <w:lang w:val="zh-CN"/>
        </w:rPr>
        <w:t>从业人员</w:t>
      </w:r>
      <w:r>
        <w:rPr>
          <w:rFonts w:hint="eastAsia" w:ascii="宋体" w:eastAsia="宋体" w:cs="宋体"/>
          <w:b/>
          <w:bCs/>
          <w:szCs w:val="21"/>
          <w:highlight w:val="none"/>
          <w:u w:val="single"/>
        </w:rPr>
        <w:t>100</w:t>
      </w:r>
      <w:r>
        <w:rPr>
          <w:rFonts w:hint="eastAsia" w:ascii="宋体" w:eastAsia="宋体" w:cs="宋体"/>
          <w:b/>
          <w:bCs/>
          <w:szCs w:val="21"/>
          <w:highlight w:val="none"/>
          <w:lang w:val="zh-CN"/>
        </w:rPr>
        <w:t>人</w:t>
      </w:r>
      <w:r>
        <w:rPr>
          <w:rFonts w:hint="eastAsia" w:ascii="宋体" w:eastAsia="宋体" w:cs="宋体"/>
          <w:b/>
          <w:bCs/>
          <w:szCs w:val="21"/>
          <w:highlight w:val="none"/>
        </w:rPr>
        <w:t>，</w:t>
      </w:r>
      <w:r>
        <w:rPr>
          <w:rFonts w:hint="eastAsia" w:ascii="宋体" w:eastAsia="宋体" w:cs="宋体"/>
          <w:b/>
          <w:bCs/>
          <w:szCs w:val="21"/>
          <w:highlight w:val="none"/>
          <w:lang w:val="zh-CN"/>
        </w:rPr>
        <w:t>营业收入为</w:t>
      </w:r>
      <w:r>
        <w:rPr>
          <w:rFonts w:hint="eastAsia" w:ascii="宋体" w:eastAsia="宋体" w:cs="宋体"/>
          <w:b/>
          <w:bCs/>
          <w:szCs w:val="21"/>
          <w:highlight w:val="none"/>
          <w:u w:val="single"/>
        </w:rPr>
        <w:t>10000</w:t>
      </w:r>
      <w:r>
        <w:rPr>
          <w:rFonts w:hint="eastAsia" w:ascii="宋体" w:eastAsia="宋体" w:cs="宋体"/>
          <w:b/>
          <w:bCs/>
          <w:szCs w:val="21"/>
          <w:highlight w:val="none"/>
          <w:lang w:val="zh-CN"/>
        </w:rPr>
        <w:t>万元</w:t>
      </w:r>
      <w:r>
        <w:rPr>
          <w:rFonts w:hint="eastAsia" w:ascii="宋体" w:eastAsia="宋体" w:cs="宋体"/>
          <w:b/>
          <w:bCs/>
          <w:szCs w:val="21"/>
          <w:highlight w:val="none"/>
        </w:rPr>
        <w:t>，</w:t>
      </w:r>
      <w:r>
        <w:rPr>
          <w:rFonts w:hint="eastAsia" w:ascii="宋体" w:eastAsia="宋体" w:cs="宋体"/>
          <w:b/>
          <w:bCs/>
          <w:szCs w:val="21"/>
          <w:highlight w:val="none"/>
          <w:lang w:val="zh-CN"/>
        </w:rPr>
        <w:t>资产总额为</w:t>
      </w:r>
      <w:r>
        <w:rPr>
          <w:rFonts w:hint="eastAsia" w:ascii="宋体" w:eastAsia="宋体" w:cs="宋体"/>
          <w:b/>
          <w:bCs/>
          <w:szCs w:val="21"/>
          <w:highlight w:val="none"/>
          <w:u w:val="single"/>
        </w:rPr>
        <w:t>5000</w:t>
      </w:r>
      <w:r>
        <w:rPr>
          <w:rFonts w:hint="eastAsia" w:ascii="宋体" w:eastAsia="宋体" w:cs="宋体"/>
          <w:b/>
          <w:bCs/>
          <w:szCs w:val="21"/>
          <w:highlight w:val="none"/>
          <w:lang w:val="zh-CN"/>
        </w:rPr>
        <w:t>万元</w:t>
      </w:r>
      <w:r>
        <w:rPr>
          <w:rFonts w:hint="eastAsia" w:ascii="宋体" w:eastAsia="宋体" w:cs="宋体"/>
          <w:b/>
          <w:bCs/>
          <w:szCs w:val="21"/>
          <w:highlight w:val="none"/>
        </w:rPr>
        <w:t>，</w:t>
      </w:r>
      <w:r>
        <w:rPr>
          <w:rFonts w:hint="eastAsia" w:ascii="宋体" w:eastAsia="宋体" w:cs="宋体"/>
          <w:b/>
          <w:bCs/>
          <w:szCs w:val="21"/>
          <w:highlight w:val="none"/>
          <w:lang w:val="zh-CN"/>
        </w:rPr>
        <w:t>属于</w:t>
      </w:r>
      <w:r>
        <w:rPr>
          <w:rFonts w:hint="eastAsia" w:ascii="宋体" w:eastAsia="宋体" w:cs="宋体"/>
          <w:b/>
          <w:bCs/>
          <w:szCs w:val="21"/>
          <w:highlight w:val="none"/>
          <w:u w:val="single"/>
          <w:lang w:val="zh-CN"/>
        </w:rPr>
        <w:t>小型</w:t>
      </w:r>
      <w:r>
        <w:rPr>
          <w:rFonts w:hint="eastAsia" w:ascii="宋体" w:eastAsia="宋体" w:cs="宋体"/>
          <w:b/>
          <w:bCs/>
          <w:szCs w:val="21"/>
          <w:highlight w:val="none"/>
          <w:lang w:val="zh-CN"/>
        </w:rPr>
        <w:t>企业</w:t>
      </w:r>
      <w:r>
        <w:rPr>
          <w:rFonts w:hint="eastAsia" w:ascii="宋体" w:eastAsia="宋体" w:cs="宋体"/>
          <w:b/>
          <w:bCs/>
          <w:szCs w:val="21"/>
          <w:highlight w:val="none"/>
        </w:rPr>
        <w:t>[投标人自行登录工业和信息化部官网进行中小企业规模类型自测（查询网址https://www.miit.gov.cn/）]</w:t>
      </w:r>
      <w:r>
        <w:rPr>
          <w:rFonts w:hint="eastAsia" w:ascii="宋体" w:eastAsia="宋体" w:cs="宋体"/>
          <w:b/>
          <w:bCs/>
          <w:szCs w:val="21"/>
          <w:highlight w:val="none"/>
          <w:lang w:val="zh-CN"/>
        </w:rPr>
        <w:t>。</w:t>
      </w:r>
    </w:p>
    <w:p>
      <w:pPr>
        <w:rPr>
          <w:rFonts w:ascii="宋体" w:eastAsia="宋体"/>
          <w:b/>
          <w:bCs/>
          <w:szCs w:val="24"/>
          <w:highlight w:val="none"/>
        </w:rPr>
      </w:pPr>
      <w:r>
        <w:rPr>
          <w:rFonts w:hint="eastAsia" w:ascii="宋体" w:eastAsia="宋体"/>
          <w:b/>
          <w:bCs/>
          <w:szCs w:val="24"/>
          <w:highlight w:val="none"/>
        </w:rPr>
        <w:br w:type="page"/>
      </w:r>
      <w:bookmarkEnd w:id="300"/>
      <w:bookmarkEnd w:id="301"/>
    </w:p>
    <w:p>
      <w:pPr>
        <w:spacing w:line="360" w:lineRule="auto"/>
        <w:jc w:val="center"/>
        <w:outlineLvl w:val="1"/>
        <w:rPr>
          <w:rFonts w:ascii="宋体" w:eastAsia="宋体"/>
          <w:b/>
          <w:sz w:val="24"/>
          <w:highlight w:val="none"/>
        </w:rPr>
      </w:pPr>
      <w:bookmarkStart w:id="302" w:name="_Toc16713"/>
      <w:bookmarkStart w:id="303" w:name="_Toc21014"/>
      <w:bookmarkStart w:id="304" w:name="_Toc24563"/>
      <w:r>
        <w:rPr>
          <w:rFonts w:hint="eastAsia" w:ascii="宋体" w:eastAsia="宋体"/>
          <w:b/>
          <w:sz w:val="24"/>
          <w:highlight w:val="none"/>
        </w:rPr>
        <w:t>九、残疾人福利性单位声明函</w:t>
      </w:r>
      <w:bookmarkEnd w:id="302"/>
      <w:bookmarkEnd w:id="303"/>
      <w:bookmarkEnd w:id="304"/>
    </w:p>
    <w:p>
      <w:pPr>
        <w:pStyle w:val="4"/>
        <w:jc w:val="center"/>
        <w:rPr>
          <w:rFonts w:ascii="宋体" w:eastAsia="宋体"/>
          <w:i/>
          <w:color w:val="FF0000"/>
          <w:sz w:val="24"/>
          <w:highlight w:val="none"/>
          <w:lang w:val="en-US"/>
        </w:rPr>
      </w:pPr>
      <w:r>
        <w:rPr>
          <w:rFonts w:hint="eastAsia" w:ascii="宋体" w:eastAsia="宋体"/>
          <w:i/>
          <w:color w:val="FF0000"/>
          <w:sz w:val="24"/>
          <w:highlight w:val="none"/>
          <w:lang w:val="en-US"/>
        </w:rPr>
        <w:t>（请完整填写声明函内容，否则不予认可；非残疾人福利性单位投标，请删去“残疾人福利性单位声明函”；残疾人福利性单位</w:t>
      </w:r>
      <w:r>
        <w:rPr>
          <w:rFonts w:hint="eastAsia" w:ascii="宋体" w:eastAsia="宋体"/>
          <w:i/>
          <w:color w:val="FF0000"/>
          <w:sz w:val="24"/>
          <w:highlight w:val="none"/>
        </w:rPr>
        <w:t>投标</w:t>
      </w:r>
      <w:r>
        <w:rPr>
          <w:rFonts w:hint="eastAsia" w:ascii="宋体" w:eastAsia="宋体"/>
          <w:i/>
          <w:color w:val="FF0000"/>
          <w:sz w:val="24"/>
          <w:highlight w:val="none"/>
          <w:lang w:val="en-US"/>
        </w:rPr>
        <w:t>，请删去本提示内容）</w:t>
      </w:r>
    </w:p>
    <w:p>
      <w:pPr>
        <w:spacing w:line="360" w:lineRule="auto"/>
        <w:ind w:firstLine="435"/>
        <w:rPr>
          <w:rFonts w:ascii="宋体" w:eastAsia="宋体"/>
          <w:spacing w:val="6"/>
          <w:sz w:val="24"/>
          <w:szCs w:val="24"/>
          <w:highlight w:val="none"/>
        </w:rPr>
      </w:pPr>
      <w:r>
        <w:rPr>
          <w:rFonts w:hint="eastAsia" w:ascii="宋体" w:eastAsia="宋体"/>
          <w:spacing w:val="6"/>
          <w:sz w:val="24"/>
          <w:szCs w:val="24"/>
          <w:highlight w:val="none"/>
        </w:rPr>
        <w:t>本单位</w:t>
      </w:r>
      <w:r>
        <w:rPr>
          <w:rFonts w:hint="eastAsia" w:ascii="宋体" w:eastAsia="宋体"/>
          <w:sz w:val="24"/>
          <w:highlight w:val="none"/>
        </w:rPr>
        <w:t>郑重</w:t>
      </w:r>
      <w:r>
        <w:rPr>
          <w:rFonts w:hint="eastAsia" w:ascii="宋体" w:eastAsia="宋体"/>
          <w:spacing w:val="6"/>
          <w:sz w:val="24"/>
          <w:szCs w:val="24"/>
          <w:highlight w:val="none"/>
        </w:rPr>
        <w:t>声明，根据《财政部 民政部 中国残疾人联合会关于促进残疾人就业政府采购政策的通知》（财库</w:t>
      </w:r>
      <w:r>
        <w:rPr>
          <w:rFonts w:hint="eastAsia" w:ascii="宋体" w:eastAsia="宋体"/>
          <w:sz w:val="24"/>
          <w:szCs w:val="24"/>
          <w:highlight w:val="none"/>
        </w:rPr>
        <w:t>〔2017〕141</w:t>
      </w:r>
      <w:r>
        <w:rPr>
          <w:rFonts w:hint="eastAsia" w:ascii="宋体" w:eastAsia="宋体"/>
          <w:spacing w:val="6"/>
          <w:sz w:val="24"/>
          <w:szCs w:val="24"/>
          <w:highlight w:val="none"/>
        </w:rPr>
        <w:t>号）的规定，本单位为</w:t>
      </w:r>
      <w:r>
        <w:rPr>
          <w:rFonts w:hint="eastAsia" w:ascii="宋体" w:eastAsia="宋体"/>
          <w:bCs/>
          <w:sz w:val="24"/>
          <w:szCs w:val="24"/>
          <w:highlight w:val="none"/>
        </w:rPr>
        <w:t>符合</w:t>
      </w:r>
      <w:r>
        <w:rPr>
          <w:rFonts w:hint="eastAsia" w:ascii="宋体" w:eastAsia="宋体"/>
          <w:spacing w:val="6"/>
          <w:sz w:val="24"/>
          <w:szCs w:val="24"/>
          <w:highlight w:val="none"/>
        </w:rPr>
        <w:t>条件的残疾人福利性单位，且本单位参加单位的项目采购活动提供本单位制造的货物，或者提供其他残疾人福利性单位制造的货物（不包括使用非残疾人福利性单位注册商标的货物）。</w:t>
      </w:r>
    </w:p>
    <w:p>
      <w:pPr>
        <w:spacing w:line="360" w:lineRule="auto"/>
        <w:ind w:firstLine="435"/>
        <w:rPr>
          <w:rFonts w:ascii="宋体" w:eastAsia="宋体"/>
          <w:spacing w:val="6"/>
          <w:sz w:val="24"/>
          <w:szCs w:val="24"/>
          <w:highlight w:val="none"/>
        </w:rPr>
      </w:pPr>
      <w:r>
        <w:rPr>
          <w:rFonts w:hint="eastAsia" w:ascii="宋体" w:eastAsia="宋体"/>
          <w:spacing w:val="6"/>
          <w:sz w:val="24"/>
          <w:szCs w:val="24"/>
          <w:highlight w:val="none"/>
        </w:rPr>
        <w:t>本单位对上述声明的真实性负责。如有虚假，将依法承担相应责任。</w:t>
      </w:r>
    </w:p>
    <w:p>
      <w:pPr>
        <w:spacing w:line="360" w:lineRule="auto"/>
        <w:ind w:firstLine="4228" w:firstLineChars="1762"/>
        <w:rPr>
          <w:rFonts w:ascii="宋体" w:eastAsia="宋体"/>
          <w:sz w:val="24"/>
          <w:szCs w:val="24"/>
          <w:highlight w:val="none"/>
        </w:rPr>
      </w:pPr>
    </w:p>
    <w:p>
      <w:pPr>
        <w:spacing w:line="360" w:lineRule="auto"/>
        <w:ind w:firstLine="4228" w:firstLineChars="1762"/>
        <w:rPr>
          <w:rFonts w:ascii="宋体" w:eastAsia="宋体"/>
          <w:sz w:val="24"/>
          <w:szCs w:val="24"/>
          <w:highlight w:val="none"/>
        </w:rPr>
      </w:pPr>
    </w:p>
    <w:p>
      <w:pPr>
        <w:spacing w:line="360" w:lineRule="auto"/>
        <w:ind w:firstLine="4228" w:firstLineChars="1762"/>
        <w:rPr>
          <w:rFonts w:ascii="宋体" w:eastAsia="宋体"/>
          <w:sz w:val="24"/>
          <w:szCs w:val="24"/>
          <w:highlight w:val="none"/>
          <w:u w:val="single"/>
        </w:rPr>
      </w:pPr>
      <w:r>
        <w:rPr>
          <w:rFonts w:hint="eastAsia" w:ascii="宋体" w:eastAsia="宋体"/>
          <w:sz w:val="24"/>
          <w:szCs w:val="24"/>
          <w:highlight w:val="none"/>
        </w:rPr>
        <w:t>投标人</w:t>
      </w:r>
      <w:r>
        <w:rPr>
          <w:rFonts w:ascii="宋体" w:eastAsia="宋体"/>
          <w:sz w:val="24"/>
          <w:szCs w:val="24"/>
          <w:highlight w:val="none"/>
        </w:rPr>
        <w:t>电子签章</w:t>
      </w:r>
      <w:r>
        <w:rPr>
          <w:rFonts w:hint="eastAsia" w:ascii="宋体" w:eastAsia="宋体"/>
          <w:sz w:val="24"/>
          <w:szCs w:val="24"/>
          <w:highlight w:val="none"/>
        </w:rPr>
        <w:t>：</w:t>
      </w:r>
    </w:p>
    <w:p>
      <w:pPr>
        <w:tabs>
          <w:tab w:val="left" w:pos="4620"/>
        </w:tabs>
        <w:spacing w:line="360" w:lineRule="auto"/>
        <w:ind w:firstLine="4250" w:firstLineChars="1771"/>
        <w:rPr>
          <w:rFonts w:ascii="宋体" w:eastAsia="宋体"/>
          <w:sz w:val="24"/>
          <w:szCs w:val="24"/>
          <w:highlight w:val="none"/>
          <w:u w:val="single"/>
        </w:rPr>
      </w:pPr>
      <w:r>
        <w:rPr>
          <w:rFonts w:hint="eastAsia" w:ascii="宋体" w:eastAsia="宋体"/>
          <w:sz w:val="24"/>
          <w:szCs w:val="24"/>
          <w:highlight w:val="none"/>
        </w:rPr>
        <w:t>日    期：</w:t>
      </w:r>
    </w:p>
    <w:p>
      <w:pPr>
        <w:widowControl/>
        <w:jc w:val="left"/>
        <w:rPr>
          <w:rFonts w:ascii="宋体" w:eastAsia="宋体"/>
          <w:sz w:val="24"/>
          <w:highlight w:val="none"/>
        </w:rPr>
      </w:pPr>
      <w:r>
        <w:rPr>
          <w:rFonts w:ascii="宋体" w:eastAsia="宋体"/>
          <w:sz w:val="24"/>
          <w:highlight w:val="none"/>
        </w:rPr>
        <w:br w:type="page"/>
      </w:r>
    </w:p>
    <w:p>
      <w:pPr>
        <w:spacing w:line="360" w:lineRule="auto"/>
        <w:jc w:val="center"/>
        <w:outlineLvl w:val="1"/>
        <w:rPr>
          <w:rFonts w:ascii="宋体" w:eastAsia="宋体"/>
          <w:b/>
          <w:sz w:val="24"/>
          <w:highlight w:val="none"/>
        </w:rPr>
      </w:pPr>
      <w:bookmarkStart w:id="305" w:name="_Toc520299348"/>
      <w:bookmarkStart w:id="306" w:name="_Toc457768004"/>
      <w:bookmarkStart w:id="307" w:name="_Toc300210382"/>
      <w:bookmarkStart w:id="308" w:name="_Toc25813"/>
      <w:bookmarkStart w:id="309" w:name="_Toc14705"/>
      <w:bookmarkStart w:id="310" w:name="_Toc26536"/>
      <w:bookmarkStart w:id="311" w:name="_Hlk11701496"/>
      <w:r>
        <w:rPr>
          <w:rFonts w:hint="eastAsia" w:ascii="宋体" w:eastAsia="宋体"/>
          <w:b/>
          <w:sz w:val="24"/>
          <w:highlight w:val="none"/>
        </w:rPr>
        <w:t>十、</w:t>
      </w:r>
      <w:bookmarkEnd w:id="305"/>
      <w:bookmarkEnd w:id="306"/>
      <w:bookmarkEnd w:id="307"/>
      <w:r>
        <w:rPr>
          <w:rFonts w:hint="eastAsia" w:ascii="宋体" w:eastAsia="宋体"/>
          <w:b/>
          <w:sz w:val="24"/>
          <w:highlight w:val="none"/>
        </w:rPr>
        <w:t>承诺函</w:t>
      </w:r>
      <w:bookmarkEnd w:id="308"/>
      <w:bookmarkEnd w:id="309"/>
      <w:bookmarkEnd w:id="310"/>
    </w:p>
    <w:p>
      <w:pPr>
        <w:spacing w:line="360" w:lineRule="auto"/>
        <w:rPr>
          <w:rFonts w:hint="default" w:ascii="宋体" w:eastAsia="宋体"/>
          <w:b/>
          <w:bCs/>
          <w:sz w:val="24"/>
          <w:highlight w:val="none"/>
          <w:lang w:val="en-US" w:eastAsia="zh-CN"/>
        </w:rPr>
      </w:pPr>
      <w:r>
        <w:rPr>
          <w:rFonts w:hint="eastAsia" w:ascii="宋体" w:eastAsia="宋体"/>
          <w:b/>
          <w:bCs/>
          <w:sz w:val="24"/>
          <w:highlight w:val="none"/>
          <w:lang w:val="en-US" w:eastAsia="zh-CN"/>
        </w:rPr>
        <w:t>10.1</w:t>
      </w:r>
      <w:r>
        <w:rPr>
          <w:rFonts w:hint="eastAsia" w:ascii="宋体" w:eastAsia="宋体"/>
          <w:b/>
          <w:sz w:val="24"/>
          <w:highlight w:val="none"/>
        </w:rPr>
        <w:t>诚信履约承诺函</w:t>
      </w:r>
    </w:p>
    <w:p>
      <w:pPr>
        <w:spacing w:line="360" w:lineRule="auto"/>
        <w:rPr>
          <w:rFonts w:ascii="宋体" w:eastAsia="宋体"/>
          <w:b/>
          <w:bCs/>
          <w:sz w:val="24"/>
          <w:highlight w:val="none"/>
          <w:u w:val="single"/>
        </w:rPr>
      </w:pPr>
      <w:r>
        <w:rPr>
          <w:rFonts w:hint="eastAsia" w:ascii="宋体" w:eastAsia="宋体"/>
          <w:b/>
          <w:bCs/>
          <w:sz w:val="24"/>
          <w:highlight w:val="none"/>
          <w:u w:val="single"/>
        </w:rPr>
        <w:t>致：皖南医学院</w:t>
      </w:r>
    </w:p>
    <w:p>
      <w:pPr>
        <w:spacing w:line="360" w:lineRule="auto"/>
        <w:ind w:firstLine="480" w:firstLineChars="200"/>
        <w:rPr>
          <w:rFonts w:ascii="宋体" w:eastAsia="宋体"/>
          <w:bCs/>
          <w:sz w:val="24"/>
          <w:highlight w:val="none"/>
        </w:rPr>
      </w:pPr>
      <w:r>
        <w:rPr>
          <w:rFonts w:hint="eastAsia" w:ascii="宋体" w:eastAsia="宋体"/>
          <w:bCs/>
          <w:sz w:val="24"/>
          <w:highlight w:val="none"/>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pPr>
        <w:spacing w:line="360" w:lineRule="auto"/>
        <w:ind w:firstLine="480" w:firstLineChars="200"/>
        <w:rPr>
          <w:rFonts w:ascii="宋体" w:eastAsia="宋体"/>
          <w:bCs/>
          <w:sz w:val="24"/>
          <w:highlight w:val="none"/>
        </w:rPr>
      </w:pPr>
      <w:r>
        <w:rPr>
          <w:rFonts w:hint="eastAsia" w:ascii="宋体" w:eastAsia="宋体"/>
          <w:bCs/>
          <w:sz w:val="24"/>
          <w:highlight w:val="none"/>
        </w:rPr>
        <w:t>（1）中标或者成交后无正当理由拒不与采购人签订政府采购合同；</w:t>
      </w:r>
    </w:p>
    <w:p>
      <w:pPr>
        <w:spacing w:line="360" w:lineRule="auto"/>
        <w:ind w:firstLine="480" w:firstLineChars="200"/>
        <w:rPr>
          <w:rFonts w:ascii="宋体" w:eastAsia="宋体"/>
          <w:bCs/>
          <w:sz w:val="24"/>
          <w:highlight w:val="none"/>
        </w:rPr>
      </w:pPr>
      <w:r>
        <w:rPr>
          <w:rFonts w:hint="eastAsia" w:ascii="宋体" w:eastAsia="宋体"/>
          <w:bCs/>
          <w:sz w:val="24"/>
          <w:highlight w:val="none"/>
        </w:rPr>
        <w:t>（2）未按照采购文件确定的事项签订政府采购合同；</w:t>
      </w:r>
    </w:p>
    <w:p>
      <w:pPr>
        <w:spacing w:line="360" w:lineRule="auto"/>
        <w:ind w:firstLine="480" w:firstLineChars="200"/>
        <w:rPr>
          <w:rFonts w:ascii="宋体" w:eastAsia="宋体"/>
          <w:bCs/>
          <w:sz w:val="24"/>
          <w:highlight w:val="none"/>
        </w:rPr>
      </w:pPr>
      <w:r>
        <w:rPr>
          <w:rFonts w:hint="eastAsia" w:ascii="宋体" w:eastAsia="宋体"/>
          <w:bCs/>
          <w:sz w:val="24"/>
          <w:highlight w:val="none"/>
        </w:rPr>
        <w:t>（3）将政府采购合同转包；</w:t>
      </w:r>
    </w:p>
    <w:p>
      <w:pPr>
        <w:spacing w:line="360" w:lineRule="auto"/>
        <w:ind w:firstLine="480" w:firstLineChars="200"/>
        <w:rPr>
          <w:rFonts w:ascii="宋体" w:eastAsia="宋体"/>
          <w:bCs/>
          <w:sz w:val="24"/>
          <w:highlight w:val="none"/>
        </w:rPr>
      </w:pPr>
      <w:r>
        <w:rPr>
          <w:rFonts w:hint="eastAsia" w:ascii="宋体" w:eastAsia="宋体"/>
          <w:bCs/>
          <w:sz w:val="24"/>
          <w:highlight w:val="none"/>
        </w:rPr>
        <w:t>（4）提供假冒伪劣产品；</w:t>
      </w:r>
    </w:p>
    <w:p>
      <w:pPr>
        <w:spacing w:line="360" w:lineRule="auto"/>
        <w:ind w:firstLine="480" w:firstLineChars="200"/>
        <w:rPr>
          <w:rFonts w:ascii="宋体" w:eastAsia="宋体"/>
          <w:bCs/>
          <w:sz w:val="24"/>
          <w:highlight w:val="none"/>
        </w:rPr>
      </w:pPr>
      <w:r>
        <w:rPr>
          <w:rFonts w:hint="eastAsia" w:ascii="宋体" w:eastAsia="宋体"/>
          <w:bCs/>
          <w:sz w:val="24"/>
          <w:highlight w:val="none"/>
        </w:rPr>
        <w:t>（5）擅自变更、中止或者终止政府采购合同。</w:t>
      </w:r>
    </w:p>
    <w:p>
      <w:pPr>
        <w:spacing w:line="360" w:lineRule="auto"/>
        <w:ind w:firstLine="480" w:firstLineChars="200"/>
        <w:rPr>
          <w:rFonts w:ascii="宋体" w:eastAsia="宋体"/>
          <w:bCs/>
          <w:sz w:val="24"/>
          <w:highlight w:val="none"/>
        </w:rPr>
      </w:pPr>
      <w:r>
        <w:rPr>
          <w:rFonts w:hint="eastAsia" w:ascii="宋体" w:eastAsia="宋体"/>
          <w:bCs/>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rPr>
          <w:rFonts w:ascii="宋体" w:eastAsia="宋体"/>
          <w:bCs/>
          <w:sz w:val="24"/>
          <w:highlight w:val="none"/>
        </w:rPr>
      </w:pPr>
    </w:p>
    <w:p>
      <w:pPr>
        <w:spacing w:line="360" w:lineRule="auto"/>
        <w:rPr>
          <w:rFonts w:ascii="宋体" w:eastAsia="宋体"/>
          <w:bCs/>
          <w:sz w:val="24"/>
          <w:highlight w:val="none"/>
        </w:rPr>
      </w:pPr>
    </w:p>
    <w:p>
      <w:pPr>
        <w:spacing w:line="360" w:lineRule="auto"/>
        <w:ind w:firstLine="4320" w:firstLineChars="1800"/>
        <w:rPr>
          <w:rFonts w:ascii="宋体" w:eastAsia="宋体"/>
          <w:bCs/>
          <w:sz w:val="24"/>
          <w:highlight w:val="none"/>
          <w:u w:val="single"/>
        </w:rPr>
      </w:pPr>
      <w:r>
        <w:rPr>
          <w:rFonts w:hint="eastAsia" w:ascii="宋体" w:eastAsia="宋体"/>
          <w:bCs/>
          <w:sz w:val="24"/>
          <w:highlight w:val="none"/>
        </w:rPr>
        <w:t>投标人电子签章：</w:t>
      </w:r>
    </w:p>
    <w:p>
      <w:pPr>
        <w:spacing w:line="360" w:lineRule="auto"/>
        <w:ind w:firstLine="4320" w:firstLineChars="1800"/>
        <w:rPr>
          <w:rFonts w:ascii="宋体" w:eastAsia="宋体"/>
          <w:bCs/>
          <w:sz w:val="24"/>
          <w:highlight w:val="none"/>
        </w:rPr>
      </w:pPr>
      <w:r>
        <w:rPr>
          <w:rFonts w:hint="eastAsia" w:ascii="宋体" w:eastAsia="宋体"/>
          <w:bCs/>
          <w:sz w:val="24"/>
          <w:highlight w:val="none"/>
        </w:rPr>
        <w:t>日          期：</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ascii="Times New Roman" w:hAnsi="Times New Roman" w:eastAsia="仿宋" w:cs="Times New Roman"/>
          <w:sz w:val="24"/>
          <w:szCs w:val="24"/>
          <w:highlight w:val="none"/>
        </w:rPr>
      </w:pPr>
      <w:r>
        <w:rPr>
          <w:rFonts w:ascii="宋体" w:eastAsia="宋体" w:cs="Arial"/>
          <w:sz w:val="24"/>
          <w:highlight w:val="none"/>
        </w:rPr>
        <w:br w:type="page"/>
      </w:r>
      <w:r>
        <w:rPr>
          <w:rFonts w:hint="eastAsia" w:ascii="宋体" w:eastAsia="宋体"/>
          <w:b/>
          <w:bCs/>
          <w:sz w:val="24"/>
          <w:highlight w:val="none"/>
          <w:lang w:val="en-US" w:eastAsia="zh-CN"/>
        </w:rPr>
        <w:t>10.2</w:t>
      </w:r>
      <w:r>
        <w:rPr>
          <w:rFonts w:hint="eastAsia" w:ascii="宋体" w:hAnsi="Times New Roman" w:eastAsia="宋体" w:cs="@仿宋_GB2312"/>
          <w:b/>
          <w:bCs/>
          <w:snapToGrid/>
          <w:color w:val="auto"/>
          <w:spacing w:val="0"/>
          <w:kern w:val="2"/>
          <w:sz w:val="24"/>
          <w:szCs w:val="20"/>
          <w:highlight w:val="none"/>
          <w:lang w:val="en-US" w:eastAsia="zh-CN"/>
        </w:rPr>
        <w:t>采购文件采购需求要求提供的相关承诺</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sz w:val="24"/>
          <w:szCs w:val="24"/>
          <w:highlight w:val="none"/>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Times New Roman" w:hAnsi="Times New Roman" w:eastAsia="仿宋" w:cs="Times New Roman"/>
          <w:sz w:val="24"/>
          <w:szCs w:val="24"/>
          <w:highlight w:val="none"/>
        </w:rPr>
      </w:pPr>
      <w:r>
        <w:rPr>
          <w:rFonts w:hint="eastAsia" w:ascii="宋体" w:hAnsi="宋体" w:eastAsia="宋体" w:cs="宋体"/>
          <w:b/>
          <w:bCs/>
          <w:sz w:val="24"/>
          <w:szCs w:val="24"/>
          <w:highlight w:val="none"/>
        </w:rPr>
        <w:t>承诺函</w:t>
      </w:r>
      <w:r>
        <w:rPr>
          <w:rFonts w:hint="eastAsia" w:ascii="宋体" w:hAnsi="Times New Roman" w:eastAsia="宋体" w:cs="@仿宋_GB2312"/>
          <w:b/>
          <w:bCs/>
          <w:snapToGrid/>
          <w:spacing w:val="0"/>
          <w:kern w:val="2"/>
          <w:sz w:val="24"/>
          <w:szCs w:val="20"/>
          <w:highlight w:val="none"/>
          <w:lang w:val="en-US" w:eastAsia="zh-CN"/>
        </w:rPr>
        <w:t>（供参考）</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我单位参与本项目</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，承诺如下：</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如</w:t>
      </w:r>
      <w:r>
        <w:rPr>
          <w:rFonts w:hint="eastAsia" w:ascii="宋体" w:hAnsi="宋体" w:eastAsia="宋体" w:cs="宋体"/>
          <w:sz w:val="24"/>
          <w:szCs w:val="24"/>
          <w:highlight w:val="none"/>
          <w:lang w:val="en-US" w:eastAsia="zh-CN"/>
        </w:rPr>
        <w:t>我单位中标（成交），</w:t>
      </w:r>
      <w:r>
        <w:rPr>
          <w:rFonts w:hint="eastAsia" w:ascii="宋体" w:hAnsi="宋体" w:eastAsia="宋体" w:cs="宋体"/>
          <w:sz w:val="24"/>
          <w:szCs w:val="24"/>
          <w:highlight w:val="none"/>
        </w:rPr>
        <w:t>为保证系统稳定性与兼容性，本次项目建设内所有设备均需无缝接入学校现有综合安防管理平台，实现统一管理，对接费用（含对接双方所需费用）由</w:t>
      </w:r>
      <w:r>
        <w:rPr>
          <w:rFonts w:hint="eastAsia" w:ascii="宋体" w:hAnsi="宋体" w:eastAsia="宋体" w:cs="宋体"/>
          <w:sz w:val="24"/>
          <w:szCs w:val="24"/>
          <w:highlight w:val="none"/>
          <w:lang w:val="en-US" w:eastAsia="zh-CN"/>
        </w:rPr>
        <w:t>我</w:t>
      </w:r>
      <w:r>
        <w:rPr>
          <w:rFonts w:hint="eastAsia" w:ascii="宋体" w:hAnsi="宋体" w:eastAsia="宋体" w:cs="宋体"/>
          <w:sz w:val="24"/>
          <w:szCs w:val="24"/>
          <w:highlight w:val="none"/>
        </w:rPr>
        <w:t>方承担。</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如</w:t>
      </w:r>
      <w:r>
        <w:rPr>
          <w:rFonts w:hint="eastAsia" w:ascii="宋体" w:hAnsi="宋体" w:eastAsia="宋体" w:cs="宋体"/>
          <w:sz w:val="24"/>
          <w:szCs w:val="24"/>
          <w:highlight w:val="none"/>
          <w:lang w:val="en-US" w:eastAsia="zh-CN"/>
        </w:rPr>
        <w:t>我单位中标（成交），</w:t>
      </w:r>
      <w:r>
        <w:rPr>
          <w:rFonts w:hint="eastAsia" w:ascii="宋体" w:hAnsi="宋体" w:eastAsia="宋体" w:cs="宋体"/>
          <w:sz w:val="24"/>
          <w:szCs w:val="24"/>
          <w:highlight w:val="none"/>
        </w:rPr>
        <w:t>为保证本次采购产品及项目服务质量，本次项目整体质保期3 年。</w:t>
      </w:r>
      <w:r>
        <w:rPr>
          <w:rFonts w:hint="eastAsia" w:ascii="宋体" w:hAnsi="宋体" w:eastAsia="宋体" w:cs="宋体"/>
          <w:sz w:val="24"/>
          <w:szCs w:val="24"/>
          <w:highlight w:val="none"/>
          <w:lang w:val="en-US" w:eastAsia="zh-CN"/>
        </w:rPr>
        <w:t>并</w:t>
      </w:r>
      <w:r>
        <w:rPr>
          <w:rFonts w:hint="eastAsia" w:ascii="宋体" w:hAnsi="宋体" w:eastAsia="宋体" w:cs="宋体"/>
          <w:sz w:val="24"/>
          <w:szCs w:val="24"/>
          <w:highlight w:val="none"/>
        </w:rPr>
        <w:t>承诺为滨江校区（</w:t>
      </w:r>
      <w:r>
        <w:rPr>
          <w:rFonts w:hint="eastAsia" w:ascii="宋体" w:hAnsi="宋体" w:eastAsia="宋体" w:cs="宋体"/>
          <w:sz w:val="24"/>
          <w:szCs w:val="24"/>
          <w:highlight w:val="none"/>
          <w:lang w:eastAsia="zh-CN"/>
        </w:rPr>
        <w:t>文津西路8号</w:t>
      </w:r>
      <w:r>
        <w:rPr>
          <w:rFonts w:hint="eastAsia" w:ascii="宋体" w:hAnsi="宋体" w:eastAsia="宋体" w:cs="宋体"/>
          <w:sz w:val="24"/>
          <w:szCs w:val="24"/>
          <w:highlight w:val="none"/>
        </w:rPr>
        <w:t>）现有约327个监控点位</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除新更换监控点位外</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提供免费维保</w:t>
      </w:r>
      <w:r>
        <w:rPr>
          <w:rFonts w:hint="eastAsia" w:ascii="宋体" w:hAnsi="宋体" w:eastAsia="宋体" w:cs="宋体"/>
          <w:sz w:val="24"/>
          <w:szCs w:val="24"/>
          <w:highlight w:val="none"/>
          <w:lang w:val="en-US" w:eastAsia="zh-CN"/>
        </w:rPr>
        <w:t>时间不少于</w:t>
      </w:r>
      <w:r>
        <w:rPr>
          <w:rFonts w:hint="eastAsia" w:ascii="宋体" w:hAnsi="宋体" w:eastAsia="宋体" w:cs="宋体"/>
          <w:sz w:val="24"/>
          <w:szCs w:val="24"/>
          <w:highlight w:val="none"/>
        </w:rPr>
        <w:t>1年（</w:t>
      </w:r>
      <w:r>
        <w:rPr>
          <w:rFonts w:hint="eastAsia" w:ascii="宋体" w:hAnsi="宋体" w:eastAsia="宋体" w:cs="宋体"/>
          <w:sz w:val="24"/>
          <w:szCs w:val="24"/>
          <w:highlight w:val="none"/>
          <w:lang w:val="en-US" w:eastAsia="zh-CN"/>
        </w:rPr>
        <w:t>验收合格之日</w:t>
      </w:r>
      <w:r>
        <w:rPr>
          <w:rFonts w:hint="eastAsia" w:ascii="宋体" w:hAnsi="宋体" w:eastAsia="宋体" w:cs="宋体"/>
          <w:sz w:val="24"/>
          <w:szCs w:val="24"/>
          <w:highlight w:val="none"/>
        </w:rPr>
        <w:t>起）</w:t>
      </w:r>
      <w:r>
        <w:rPr>
          <w:rFonts w:hint="eastAsia" w:ascii="宋体" w:hAnsi="宋体" w:eastAsia="宋体" w:cs="宋体"/>
          <w:sz w:val="24"/>
          <w:szCs w:val="24"/>
          <w:highlight w:val="none"/>
          <w:lang w:eastAsia="zh-CN"/>
        </w:rPr>
        <w:t>。</w:t>
      </w:r>
    </w:p>
    <w:p>
      <w:pPr>
        <w:spacing w:line="360" w:lineRule="auto"/>
        <w:ind w:firstLine="480" w:firstLineChars="200"/>
        <w:rPr>
          <w:rFonts w:hint="eastAsia" w:ascii="宋体" w:eastAsia="宋体"/>
          <w:b w:val="0"/>
          <w:bCs w:val="0"/>
          <w:sz w:val="24"/>
          <w:szCs w:val="18"/>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合同履行期限：</w:t>
      </w:r>
      <w:r>
        <w:rPr>
          <w:rFonts w:hint="eastAsia" w:ascii="宋体" w:eastAsia="宋体"/>
          <w:b w:val="0"/>
          <w:bCs w:val="0"/>
          <w:sz w:val="24"/>
          <w:highlight w:val="none"/>
          <w:lang w:val="en-US" w:eastAsia="zh-CN"/>
        </w:rPr>
        <w:t>85日历天。其中</w:t>
      </w:r>
      <w:r>
        <w:rPr>
          <w:rFonts w:hint="eastAsia" w:ascii="宋体" w:eastAsia="宋体"/>
          <w:b w:val="0"/>
          <w:bCs w:val="0"/>
          <w:sz w:val="24"/>
          <w:szCs w:val="18"/>
          <w:highlight w:val="none"/>
        </w:rPr>
        <w:t>合同签订后</w:t>
      </w:r>
      <w:r>
        <w:rPr>
          <w:rFonts w:hint="eastAsia" w:ascii="宋体" w:eastAsia="宋体"/>
          <w:b w:val="0"/>
          <w:bCs w:val="0"/>
          <w:sz w:val="24"/>
          <w:szCs w:val="18"/>
          <w:highlight w:val="none"/>
          <w:lang w:val="en-US" w:eastAsia="zh-CN"/>
        </w:rPr>
        <w:t>25</w:t>
      </w:r>
      <w:r>
        <w:rPr>
          <w:rFonts w:hint="eastAsia" w:ascii="宋体" w:eastAsia="宋体"/>
          <w:b w:val="0"/>
          <w:bCs w:val="0"/>
          <w:sz w:val="24"/>
          <w:szCs w:val="18"/>
          <w:highlight w:val="none"/>
        </w:rPr>
        <w:t>日历天完成供货安装</w:t>
      </w:r>
      <w:r>
        <w:rPr>
          <w:rFonts w:hint="eastAsia" w:ascii="宋体" w:eastAsia="宋体"/>
          <w:b w:val="0"/>
          <w:bCs w:val="0"/>
          <w:sz w:val="24"/>
          <w:szCs w:val="18"/>
          <w:highlight w:val="none"/>
          <w:lang w:val="en-US" w:eastAsia="zh-CN"/>
        </w:rPr>
        <w:t>及调试</w:t>
      </w:r>
      <w:r>
        <w:rPr>
          <w:rFonts w:hint="eastAsia" w:ascii="宋体" w:eastAsia="宋体"/>
          <w:b w:val="0"/>
          <w:bCs w:val="0"/>
          <w:sz w:val="24"/>
          <w:szCs w:val="18"/>
          <w:highlight w:val="none"/>
          <w:lang w:eastAsia="zh-CN"/>
        </w:rPr>
        <w:t>，</w:t>
      </w:r>
      <w:r>
        <w:rPr>
          <w:rFonts w:hint="eastAsia" w:ascii="宋体" w:eastAsia="宋体"/>
          <w:b w:val="0"/>
          <w:bCs w:val="0"/>
          <w:sz w:val="24"/>
          <w:szCs w:val="18"/>
          <w:highlight w:val="none"/>
          <w:lang w:val="en-US" w:eastAsia="zh-CN"/>
        </w:rPr>
        <w:t>安装完成后试运行60天</w:t>
      </w:r>
      <w:r>
        <w:rPr>
          <w:rFonts w:hint="eastAsia" w:ascii="宋体" w:eastAsia="宋体"/>
          <w:b w:val="0"/>
          <w:bCs w:val="0"/>
          <w:sz w:val="24"/>
          <w:szCs w:val="18"/>
          <w:highlight w:val="none"/>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如</w:t>
      </w:r>
      <w:r>
        <w:rPr>
          <w:rFonts w:hint="eastAsia" w:ascii="宋体" w:hAnsi="宋体" w:eastAsia="宋体" w:cs="宋体"/>
          <w:sz w:val="24"/>
          <w:szCs w:val="24"/>
          <w:highlight w:val="none"/>
          <w:lang w:val="en-US" w:eastAsia="zh-CN"/>
        </w:rPr>
        <w:t>我单位中标（成交），</w:t>
      </w:r>
      <w:r>
        <w:rPr>
          <w:rFonts w:hint="eastAsia" w:ascii="宋体" w:hAnsi="宋体" w:eastAsia="宋体" w:cs="宋体"/>
          <w:sz w:val="24"/>
          <w:szCs w:val="24"/>
          <w:highlight w:val="none"/>
        </w:rPr>
        <w:t>本项目售后服务响应时间：30分钟内响应，2小时内到达现场；一般故障4小时内解决，严重故障需向校方报备情况，给出解决方案，并在72小时内解决。</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如</w:t>
      </w:r>
      <w:r>
        <w:rPr>
          <w:rFonts w:hint="eastAsia" w:ascii="宋体" w:hAnsi="宋体" w:eastAsia="宋体" w:cs="宋体"/>
          <w:sz w:val="24"/>
          <w:szCs w:val="24"/>
          <w:highlight w:val="none"/>
          <w:lang w:val="en-US" w:eastAsia="zh-CN"/>
        </w:rPr>
        <w:t>我单位中标（成交），</w:t>
      </w:r>
      <w:r>
        <w:rPr>
          <w:rFonts w:hint="eastAsia" w:ascii="宋体" w:hAnsi="宋体" w:eastAsia="宋体" w:cs="宋体"/>
          <w:sz w:val="24"/>
          <w:szCs w:val="24"/>
          <w:highlight w:val="none"/>
        </w:rPr>
        <w:t>系统集成</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提供所有设备产品的安装、调试以及所有线路线缆的敷设、基础混凝土浇筑、道路开挖和恢复；含安装集成所需线管、水晶头、胶布、扎带、插座等辅材；含校门口道路护栏，厚度不低于0.7mm，数量按现场环境实际需求配置；以及施工后项目现场的整体保洁服务，包含整套软硬件的安装调试。</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所有设备产品运送至指定位置安装；安装调试按国家相关标准、文件要求执行，与其他工程环节或要求衔接好，建立施工档案，含有现场、集中培训方案及其费用等。</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施工规范：施工依照综合布线标准设计，强弱电规范（分离）施工，要具有高扩展性、灵活性、先进性、可管理性。在布线中，所有线路、信息点均有一定编号或颜色标识，以便后期维护。</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中标后施工要求有系统集成技术方案（含系统施工组织、施工图、详细安装位置示意图、拓扑图、施工管理、系统集成人员名单和资质、售后服务网点分布等详细技术方案），安装调试按工程有关文件要求执行，与其他工程环节衔接好，建立施工档案。</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eastAsia="zh-CN"/>
        </w:rPr>
        <w:t>如</w:t>
      </w:r>
      <w:r>
        <w:rPr>
          <w:rFonts w:hint="eastAsia" w:ascii="宋体" w:hAnsi="宋体" w:eastAsia="宋体" w:cs="宋体"/>
          <w:sz w:val="24"/>
          <w:szCs w:val="24"/>
          <w:highlight w:val="none"/>
          <w:lang w:val="en-US" w:eastAsia="zh-CN"/>
        </w:rPr>
        <w:t>我单位中标（成交），为保证系统更好的兼容性与稳定性，对学校现有平台进行升级，并扩容不低于400路监控授权与50路门禁授权。</w:t>
      </w:r>
    </w:p>
    <w:p>
      <w:pPr>
        <w:spacing w:line="360" w:lineRule="auto"/>
        <w:ind w:firstLine="480" w:firstLineChars="200"/>
        <w:jc w:val="right"/>
        <w:rPr>
          <w:rFonts w:hint="eastAsia" w:ascii="宋体" w:hAnsi="宋体" w:eastAsia="宋体" w:cs="宋体"/>
          <w:sz w:val="24"/>
          <w:szCs w:val="24"/>
          <w:highlight w:val="none"/>
        </w:rPr>
      </w:pPr>
    </w:p>
    <w:p>
      <w:pPr>
        <w:spacing w:line="360" w:lineRule="auto"/>
        <w:ind w:firstLine="480" w:firstLineChars="2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供应商：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（盖单位电子印章) </w:t>
      </w:r>
    </w:p>
    <w:p>
      <w:pPr>
        <w:widowControl/>
        <w:jc w:val="right"/>
        <w:rPr>
          <w:rFonts w:hint="eastAsia" w:ascii="宋体" w:hAnsi="宋体" w:eastAsia="宋体" w:cs="宋体"/>
          <w:sz w:val="24"/>
          <w:highlight w:val="none"/>
        </w:rPr>
      </w:pPr>
      <w:r>
        <w:rPr>
          <w:rFonts w:hint="eastAsia" w:ascii="宋体" w:hAnsi="宋体" w:eastAsia="宋体" w:cs="宋体"/>
          <w:sz w:val="24"/>
          <w:szCs w:val="24"/>
          <w:highlight w:val="none"/>
        </w:rPr>
        <w:t xml:space="preserve"> 年   月   日</w:t>
      </w:r>
    </w:p>
    <w:bookmarkEnd w:id="311"/>
    <w:p>
      <w:pPr>
        <w:spacing w:line="240" w:lineRule="auto"/>
        <w:jc w:val="left"/>
        <w:outlineLvl w:val="9"/>
        <w:rPr>
          <w:rFonts w:hint="eastAsia" w:ascii="宋体" w:eastAsia="宋体"/>
          <w:b/>
          <w:sz w:val="24"/>
          <w:highlight w:val="none"/>
        </w:rPr>
      </w:pPr>
      <w:bookmarkStart w:id="312" w:name="_Toc32633"/>
      <w:bookmarkStart w:id="313" w:name="_Toc2683"/>
      <w:r>
        <w:rPr>
          <w:rFonts w:hint="eastAsia" w:ascii="宋体" w:eastAsia="宋体"/>
          <w:b/>
          <w:sz w:val="24"/>
          <w:highlight w:val="none"/>
        </w:rPr>
        <w:br w:type="page"/>
      </w:r>
    </w:p>
    <w:p>
      <w:pPr>
        <w:spacing w:line="360" w:lineRule="auto"/>
        <w:jc w:val="center"/>
        <w:outlineLvl w:val="1"/>
        <w:rPr>
          <w:rFonts w:ascii="宋体" w:eastAsia="宋体"/>
          <w:b/>
          <w:sz w:val="24"/>
          <w:highlight w:val="none"/>
        </w:rPr>
      </w:pPr>
      <w:bookmarkStart w:id="314" w:name="_Toc32478"/>
      <w:r>
        <w:rPr>
          <w:rFonts w:hint="eastAsia" w:ascii="宋体" w:eastAsia="宋体"/>
          <w:b/>
          <w:sz w:val="24"/>
          <w:highlight w:val="none"/>
        </w:rPr>
        <w:t>十一、其他相关证明材料</w:t>
      </w:r>
      <w:bookmarkEnd w:id="312"/>
      <w:bookmarkEnd w:id="313"/>
      <w:bookmarkEnd w:id="314"/>
    </w:p>
    <w:p>
      <w:pPr>
        <w:spacing w:line="360" w:lineRule="auto"/>
        <w:ind w:firstLine="435"/>
        <w:rPr>
          <w:rFonts w:ascii="宋体" w:eastAsia="宋体"/>
          <w:sz w:val="24"/>
          <w:highlight w:val="none"/>
        </w:rPr>
      </w:pPr>
      <w:r>
        <w:rPr>
          <w:rFonts w:hint="eastAsia" w:ascii="宋体" w:eastAsia="宋体"/>
          <w:sz w:val="24"/>
          <w:highlight w:val="none"/>
        </w:rPr>
        <w:t>提供符合投标邀请、采购需求及评标方法和标准规定的相关证明文件。</w:t>
      </w:r>
    </w:p>
    <w:p>
      <w:pPr>
        <w:spacing w:line="360" w:lineRule="auto"/>
        <w:ind w:firstLine="480" w:firstLineChars="200"/>
        <w:rPr>
          <w:rFonts w:ascii="宋体" w:eastAsia="宋体"/>
          <w:sz w:val="24"/>
          <w:highlight w:val="none"/>
        </w:rPr>
      </w:pPr>
    </w:p>
    <w:p>
      <w:pPr>
        <w:spacing w:line="360" w:lineRule="auto"/>
        <w:ind w:firstLine="435"/>
        <w:rPr>
          <w:rFonts w:ascii="宋体" w:eastAsia="宋体"/>
          <w:b/>
          <w:sz w:val="24"/>
          <w:highlight w:val="none"/>
        </w:rPr>
      </w:pPr>
      <w:r>
        <w:rPr>
          <w:rFonts w:hint="eastAsia" w:ascii="宋体" w:eastAsia="宋体"/>
          <w:b/>
          <w:sz w:val="24"/>
          <w:highlight w:val="none"/>
        </w:rPr>
        <w:t>特别提示：</w:t>
      </w:r>
    </w:p>
    <w:p>
      <w:pPr>
        <w:spacing w:line="360" w:lineRule="auto"/>
        <w:ind w:firstLine="435"/>
        <w:rPr>
          <w:rFonts w:ascii="宋体" w:eastAsia="宋体"/>
          <w:sz w:val="24"/>
          <w:highlight w:val="none"/>
        </w:rPr>
      </w:pPr>
      <w:r>
        <w:rPr>
          <w:rFonts w:hint="eastAsia" w:ascii="宋体" w:eastAsia="宋体"/>
          <w:sz w:val="24"/>
          <w:highlight w:val="none"/>
        </w:rPr>
        <w:t>投标人在投标文件制作时可在此栏内上传</w:t>
      </w:r>
      <w:r>
        <w:rPr>
          <w:rFonts w:ascii="宋体" w:eastAsia="宋体"/>
          <w:sz w:val="24"/>
          <w:highlight w:val="none"/>
        </w:rPr>
        <w:t>招标文件要求上传的证明资料</w:t>
      </w:r>
      <w:r>
        <w:rPr>
          <w:rFonts w:hint="eastAsia" w:ascii="宋体" w:eastAsia="宋体"/>
          <w:sz w:val="24"/>
          <w:highlight w:val="none"/>
        </w:rPr>
        <w:t>，如营业执照、证书</w:t>
      </w:r>
      <w:r>
        <w:rPr>
          <w:rFonts w:ascii="宋体" w:eastAsia="宋体"/>
          <w:sz w:val="24"/>
          <w:highlight w:val="none"/>
        </w:rPr>
        <w:t>等，应将上述证明材料制作成扫描件上传。</w:t>
      </w:r>
    </w:p>
    <w:p>
      <w:pPr>
        <w:widowControl/>
        <w:jc w:val="left"/>
        <w:rPr>
          <w:rFonts w:ascii="宋体" w:eastAsia="宋体"/>
          <w:bCs/>
          <w:sz w:val="24"/>
          <w:highlight w:val="none"/>
        </w:rPr>
      </w:pPr>
      <w:r>
        <w:rPr>
          <w:rFonts w:ascii="宋体" w:eastAsia="宋体"/>
          <w:bCs/>
          <w:sz w:val="24"/>
          <w:highlight w:val="none"/>
        </w:rPr>
        <w:br w:type="page"/>
      </w:r>
    </w:p>
    <w:p>
      <w:pPr>
        <w:spacing w:line="360" w:lineRule="auto"/>
        <w:jc w:val="center"/>
        <w:outlineLvl w:val="0"/>
        <w:rPr>
          <w:rFonts w:ascii="宋体" w:eastAsia="宋体"/>
          <w:b/>
          <w:bCs/>
          <w:sz w:val="28"/>
          <w:highlight w:val="none"/>
        </w:rPr>
      </w:pPr>
      <w:bookmarkStart w:id="315" w:name="_Toc18131"/>
      <w:bookmarkStart w:id="316" w:name="_Toc20172"/>
      <w:bookmarkStart w:id="317" w:name="_Toc2175"/>
      <w:bookmarkStart w:id="318" w:name="_Toc6435"/>
      <w:bookmarkStart w:id="319" w:name="_Toc23278"/>
      <w:bookmarkStart w:id="320" w:name="_Toc14670"/>
      <w:r>
        <w:rPr>
          <w:rFonts w:hint="eastAsia" w:ascii="宋体" w:eastAsia="宋体"/>
          <w:b/>
          <w:sz w:val="28"/>
          <w:highlight w:val="none"/>
        </w:rPr>
        <w:t>第七章</w:t>
      </w:r>
      <w:r>
        <w:rPr>
          <w:rFonts w:hint="eastAsia" w:ascii="宋体" w:eastAsia="宋体"/>
          <w:b/>
          <w:bCs/>
          <w:sz w:val="28"/>
          <w:highlight w:val="none"/>
        </w:rPr>
        <w:t xml:space="preserve">  政府采购</w:t>
      </w:r>
      <w:r>
        <w:rPr>
          <w:rFonts w:hint="eastAsia" w:ascii="宋体" w:eastAsia="宋体"/>
          <w:b/>
          <w:sz w:val="28"/>
          <w:highlight w:val="none"/>
        </w:rPr>
        <w:t>供应</w:t>
      </w:r>
      <w:r>
        <w:rPr>
          <w:rFonts w:hint="eastAsia" w:ascii="宋体" w:eastAsia="宋体"/>
          <w:b/>
          <w:bCs/>
          <w:sz w:val="28"/>
          <w:highlight w:val="none"/>
        </w:rPr>
        <w:t>商询问函和质疑函范本</w:t>
      </w:r>
      <w:bookmarkEnd w:id="315"/>
      <w:bookmarkEnd w:id="316"/>
      <w:bookmarkEnd w:id="317"/>
      <w:bookmarkEnd w:id="318"/>
      <w:bookmarkEnd w:id="319"/>
      <w:bookmarkEnd w:id="320"/>
    </w:p>
    <w:p>
      <w:pPr>
        <w:spacing w:line="360" w:lineRule="auto"/>
        <w:jc w:val="center"/>
        <w:outlineLvl w:val="1"/>
        <w:rPr>
          <w:rFonts w:ascii="仿宋" w:eastAsia="仿宋" w:cs="仿宋"/>
          <w:b/>
          <w:bCs/>
          <w:sz w:val="32"/>
          <w:szCs w:val="44"/>
          <w:highlight w:val="none"/>
        </w:rPr>
      </w:pPr>
      <w:bookmarkStart w:id="321" w:name="_Toc27489"/>
      <w:bookmarkStart w:id="322" w:name="_Toc27159"/>
      <w:bookmarkStart w:id="323" w:name="_Toc12872"/>
      <w:r>
        <w:rPr>
          <w:rFonts w:hint="eastAsia" w:ascii="仿宋" w:eastAsia="仿宋" w:cs="仿宋"/>
          <w:b/>
          <w:bCs/>
          <w:sz w:val="32"/>
          <w:szCs w:val="44"/>
          <w:highlight w:val="none"/>
        </w:rPr>
        <w:t>询问函范本</w:t>
      </w:r>
      <w:bookmarkEnd w:id="321"/>
      <w:bookmarkEnd w:id="322"/>
      <w:bookmarkEnd w:id="323"/>
    </w:p>
    <w:p>
      <w:pPr>
        <w:adjustRightInd w:val="0"/>
        <w:snapToGrid w:val="0"/>
        <w:spacing w:line="360" w:lineRule="auto"/>
        <w:ind w:firstLine="480" w:firstLineChars="200"/>
        <w:jc w:val="center"/>
        <w:rPr>
          <w:rFonts w:ascii="仿宋" w:eastAsia="仿宋" w:cs="仿宋"/>
          <w:b/>
          <w:bCs/>
          <w:sz w:val="32"/>
          <w:szCs w:val="44"/>
          <w:highlight w:val="none"/>
        </w:rPr>
      </w:pPr>
      <w:r>
        <w:rPr>
          <w:rFonts w:hint="eastAsia" w:ascii="宋体" w:eastAsia="宋体" w:cs="仿宋"/>
          <w:i/>
          <w:iCs/>
          <w:sz w:val="24"/>
          <w:szCs w:val="24"/>
          <w:highlight w:val="none"/>
        </w:rPr>
        <w:t>（如为对采购文件或采购程序的询问或疑问，请按询问函范本或电子交易系统中网上询问格式附件进行提交）</w:t>
      </w:r>
    </w:p>
    <w:p>
      <w:pPr>
        <w:adjustRightInd w:val="0"/>
        <w:snapToGrid w:val="0"/>
        <w:spacing w:line="360" w:lineRule="auto"/>
        <w:rPr>
          <w:rFonts w:ascii="宋体" w:eastAsia="宋体" w:cs="仿宋"/>
          <w:b/>
          <w:bCs/>
          <w:sz w:val="24"/>
          <w:szCs w:val="24"/>
          <w:highlight w:val="none"/>
          <w:u w:val="single"/>
        </w:rPr>
      </w:pPr>
      <w:r>
        <w:rPr>
          <w:rFonts w:hint="eastAsia" w:ascii="宋体" w:eastAsia="宋体" w:cs="仿宋"/>
          <w:b/>
          <w:bCs/>
          <w:sz w:val="24"/>
          <w:szCs w:val="24"/>
          <w:highlight w:val="none"/>
        </w:rPr>
        <w:t>致：采购人</w:t>
      </w:r>
    </w:p>
    <w:p>
      <w:pPr>
        <w:adjustRightInd w:val="0"/>
        <w:snapToGrid w:val="0"/>
        <w:spacing w:line="360" w:lineRule="auto"/>
        <w:ind w:firstLine="480" w:firstLineChars="200"/>
        <w:rPr>
          <w:rFonts w:ascii="宋体" w:eastAsia="宋体" w:cs="仿宋"/>
          <w:sz w:val="24"/>
          <w:szCs w:val="24"/>
          <w:highlight w:val="none"/>
        </w:rPr>
      </w:pPr>
      <w:r>
        <w:rPr>
          <w:rFonts w:hint="eastAsia" w:ascii="宋体" w:eastAsia="宋体" w:cs="仿宋"/>
          <w:sz w:val="24"/>
          <w:szCs w:val="24"/>
          <w:highlight w:val="none"/>
        </w:rPr>
        <w:t>我单位拟参与（</w:t>
      </w:r>
      <w:r>
        <w:rPr>
          <w:rFonts w:hint="eastAsia" w:ascii="宋体" w:eastAsia="宋体" w:cs="仿宋"/>
          <w:i/>
          <w:iCs/>
          <w:sz w:val="24"/>
          <w:szCs w:val="24"/>
          <w:highlight w:val="none"/>
        </w:rPr>
        <w:t>项目名称、编号</w:t>
      </w:r>
      <w:r>
        <w:rPr>
          <w:rFonts w:hint="eastAsia" w:ascii="宋体" w:eastAsia="宋体" w:cs="仿宋"/>
          <w:sz w:val="24"/>
          <w:szCs w:val="24"/>
          <w:highlight w:val="none"/>
        </w:rPr>
        <w:t>）的采购活动，现有以下内容(或条款)存在疑问(或无法理解)，特提出询问。</w:t>
      </w:r>
    </w:p>
    <w:p>
      <w:pPr>
        <w:adjustRightInd w:val="0"/>
        <w:snapToGrid w:val="0"/>
        <w:spacing w:line="360" w:lineRule="auto"/>
        <w:ind w:firstLine="480" w:firstLineChars="200"/>
        <w:rPr>
          <w:rFonts w:ascii="宋体" w:eastAsia="宋体" w:cs="仿宋"/>
          <w:sz w:val="24"/>
          <w:szCs w:val="24"/>
          <w:highlight w:val="none"/>
        </w:rPr>
      </w:pPr>
      <w:bookmarkStart w:id="324" w:name="_Toc13899"/>
      <w:r>
        <w:rPr>
          <w:rFonts w:hint="eastAsia" w:ascii="宋体" w:eastAsia="宋体" w:cs="仿宋"/>
          <w:sz w:val="24"/>
          <w:szCs w:val="24"/>
          <w:highlight w:val="none"/>
        </w:rPr>
        <w:t>一、(事项一)</w:t>
      </w:r>
      <w:bookmarkEnd w:id="324"/>
    </w:p>
    <w:p>
      <w:pPr>
        <w:adjustRightInd w:val="0"/>
        <w:snapToGrid w:val="0"/>
        <w:spacing w:line="360" w:lineRule="auto"/>
        <w:ind w:firstLine="480" w:firstLineChars="200"/>
        <w:rPr>
          <w:rFonts w:ascii="宋体" w:eastAsia="宋体" w:cs="仿宋"/>
          <w:sz w:val="24"/>
          <w:szCs w:val="24"/>
          <w:highlight w:val="none"/>
        </w:rPr>
      </w:pPr>
      <w:r>
        <w:rPr>
          <w:rFonts w:hint="eastAsia" w:ascii="宋体" w:eastAsia="宋体" w:cs="仿宋"/>
          <w:sz w:val="24"/>
          <w:szCs w:val="24"/>
          <w:highlight w:val="none"/>
        </w:rPr>
        <w:t>1、(内容或条款)</w:t>
      </w:r>
    </w:p>
    <w:p>
      <w:pPr>
        <w:adjustRightInd w:val="0"/>
        <w:snapToGrid w:val="0"/>
        <w:spacing w:line="360" w:lineRule="auto"/>
        <w:ind w:firstLine="480" w:firstLineChars="200"/>
        <w:rPr>
          <w:rFonts w:ascii="宋体" w:eastAsia="宋体" w:cs="仿宋"/>
          <w:sz w:val="24"/>
          <w:szCs w:val="24"/>
          <w:highlight w:val="none"/>
        </w:rPr>
      </w:pPr>
      <w:r>
        <w:rPr>
          <w:rFonts w:hint="eastAsia" w:ascii="宋体" w:eastAsia="宋体" w:cs="仿宋"/>
          <w:sz w:val="24"/>
          <w:szCs w:val="24"/>
          <w:highlight w:val="none"/>
        </w:rPr>
        <w:t>2、(说明疑问或无法理解原因)</w:t>
      </w:r>
    </w:p>
    <w:p>
      <w:pPr>
        <w:adjustRightInd w:val="0"/>
        <w:snapToGrid w:val="0"/>
        <w:spacing w:line="360" w:lineRule="auto"/>
        <w:ind w:firstLine="480" w:firstLineChars="200"/>
        <w:rPr>
          <w:rFonts w:ascii="宋体" w:eastAsia="宋体" w:cs="仿宋"/>
          <w:sz w:val="24"/>
          <w:szCs w:val="24"/>
          <w:highlight w:val="none"/>
        </w:rPr>
      </w:pPr>
      <w:r>
        <w:rPr>
          <w:rFonts w:hint="eastAsia" w:ascii="宋体" w:eastAsia="宋体" w:cs="仿宋"/>
          <w:sz w:val="24"/>
          <w:szCs w:val="24"/>
          <w:highlight w:val="none"/>
        </w:rPr>
        <w:t>3、(建议)</w:t>
      </w:r>
    </w:p>
    <w:p>
      <w:pPr>
        <w:adjustRightInd w:val="0"/>
        <w:snapToGrid w:val="0"/>
        <w:spacing w:line="360" w:lineRule="auto"/>
        <w:ind w:firstLine="480" w:firstLineChars="200"/>
        <w:rPr>
          <w:rFonts w:ascii="宋体" w:eastAsia="宋体" w:cs="仿宋"/>
          <w:sz w:val="24"/>
          <w:szCs w:val="24"/>
          <w:highlight w:val="none"/>
        </w:rPr>
      </w:pPr>
      <w:bookmarkStart w:id="325" w:name="_Toc3352"/>
      <w:r>
        <w:rPr>
          <w:rFonts w:hint="eastAsia" w:ascii="宋体" w:eastAsia="宋体" w:cs="仿宋"/>
          <w:sz w:val="24"/>
          <w:szCs w:val="24"/>
          <w:highlight w:val="none"/>
        </w:rPr>
        <w:t>二、(事项二)</w:t>
      </w:r>
      <w:bookmarkEnd w:id="325"/>
    </w:p>
    <w:p>
      <w:pPr>
        <w:adjustRightInd w:val="0"/>
        <w:snapToGrid w:val="0"/>
        <w:spacing w:line="360" w:lineRule="auto"/>
        <w:ind w:firstLine="480" w:firstLineChars="200"/>
        <w:rPr>
          <w:rFonts w:ascii="宋体" w:eastAsia="宋体" w:cs="仿宋"/>
          <w:sz w:val="24"/>
          <w:szCs w:val="24"/>
          <w:highlight w:val="none"/>
        </w:rPr>
      </w:pPr>
      <w:r>
        <w:rPr>
          <w:rFonts w:hint="eastAsia" w:ascii="宋体" w:eastAsia="宋体" w:cs="仿宋"/>
          <w:sz w:val="24"/>
          <w:szCs w:val="24"/>
          <w:highlight w:val="none"/>
        </w:rPr>
        <w:t>...</w:t>
      </w:r>
    </w:p>
    <w:p>
      <w:pPr>
        <w:adjustRightInd w:val="0"/>
        <w:snapToGrid w:val="0"/>
        <w:spacing w:line="360" w:lineRule="auto"/>
        <w:ind w:firstLine="480" w:firstLineChars="200"/>
        <w:rPr>
          <w:rFonts w:ascii="宋体" w:eastAsia="宋体" w:cs="仿宋"/>
          <w:sz w:val="24"/>
          <w:szCs w:val="24"/>
          <w:highlight w:val="none"/>
        </w:rPr>
      </w:pPr>
      <w:r>
        <w:rPr>
          <w:rFonts w:hint="eastAsia" w:ascii="宋体" w:eastAsia="宋体" w:cs="仿宋"/>
          <w:sz w:val="24"/>
          <w:szCs w:val="24"/>
          <w:highlight w:val="none"/>
        </w:rPr>
        <w:t xml:space="preserve">随附相关证明材料如下： </w:t>
      </w:r>
    </w:p>
    <w:p>
      <w:pPr>
        <w:spacing w:line="360" w:lineRule="auto"/>
        <w:ind w:firstLine="4228" w:firstLineChars="1762"/>
        <w:rPr>
          <w:rFonts w:ascii="宋体" w:eastAsia="宋体"/>
          <w:sz w:val="24"/>
          <w:highlight w:val="none"/>
          <w:u w:val="single"/>
        </w:rPr>
      </w:pPr>
      <w:r>
        <w:rPr>
          <w:rFonts w:hint="eastAsia" w:ascii="宋体" w:eastAsia="宋体"/>
          <w:sz w:val="24"/>
          <w:highlight w:val="none"/>
        </w:rPr>
        <w:t>联 系 人：</w:t>
      </w:r>
    </w:p>
    <w:p>
      <w:pPr>
        <w:spacing w:line="360" w:lineRule="auto"/>
        <w:ind w:firstLine="4228" w:firstLineChars="1762"/>
        <w:rPr>
          <w:rFonts w:ascii="宋体" w:eastAsia="宋体"/>
          <w:sz w:val="24"/>
          <w:highlight w:val="none"/>
          <w:u w:val="single"/>
        </w:rPr>
      </w:pPr>
      <w:r>
        <w:rPr>
          <w:rFonts w:hint="eastAsia" w:ascii="宋体" w:eastAsia="宋体"/>
          <w:sz w:val="24"/>
          <w:highlight w:val="none"/>
        </w:rPr>
        <w:t>联系电话：</w:t>
      </w:r>
    </w:p>
    <w:p>
      <w:pPr>
        <w:tabs>
          <w:tab w:val="left" w:pos="630"/>
        </w:tabs>
        <w:spacing w:line="360" w:lineRule="auto"/>
        <w:ind w:firstLine="4228" w:firstLineChars="1762"/>
        <w:rPr>
          <w:rFonts w:ascii="宋体" w:eastAsia="宋体"/>
          <w:sz w:val="24"/>
          <w:highlight w:val="none"/>
          <w:u w:val="single"/>
        </w:rPr>
      </w:pPr>
      <w:r>
        <w:rPr>
          <w:rFonts w:hint="eastAsia" w:ascii="宋体" w:eastAsia="宋体"/>
          <w:sz w:val="24"/>
          <w:highlight w:val="none"/>
        </w:rPr>
        <w:t>日    期：</w:t>
      </w:r>
    </w:p>
    <w:p>
      <w:pPr>
        <w:rPr>
          <w:rFonts w:ascii="仿宋" w:eastAsia="仿宋" w:cs="仿宋"/>
          <w:b/>
          <w:bCs/>
          <w:sz w:val="32"/>
          <w:szCs w:val="44"/>
          <w:highlight w:val="none"/>
        </w:rPr>
      </w:pPr>
      <w:r>
        <w:rPr>
          <w:rFonts w:hint="eastAsia" w:ascii="仿宋" w:eastAsia="仿宋" w:cs="仿宋"/>
          <w:b/>
          <w:bCs/>
          <w:sz w:val="32"/>
          <w:szCs w:val="44"/>
          <w:highlight w:val="none"/>
        </w:rPr>
        <w:br w:type="page"/>
      </w:r>
    </w:p>
    <w:p>
      <w:pPr>
        <w:jc w:val="center"/>
        <w:outlineLvl w:val="1"/>
        <w:rPr>
          <w:rFonts w:ascii="仿宋" w:eastAsia="仿宋" w:cs="仿宋"/>
          <w:b/>
          <w:bCs/>
          <w:sz w:val="32"/>
          <w:szCs w:val="44"/>
          <w:highlight w:val="none"/>
        </w:rPr>
      </w:pPr>
      <w:bookmarkStart w:id="326" w:name="_Toc1575"/>
      <w:bookmarkStart w:id="327" w:name="_Toc3245"/>
      <w:bookmarkStart w:id="328" w:name="_Toc13611"/>
      <w:r>
        <w:rPr>
          <w:rFonts w:hint="eastAsia" w:ascii="仿宋" w:eastAsia="仿宋" w:cs="仿宋"/>
          <w:b/>
          <w:bCs/>
          <w:sz w:val="32"/>
          <w:szCs w:val="44"/>
          <w:highlight w:val="none"/>
        </w:rPr>
        <w:t>质疑函范本</w:t>
      </w:r>
      <w:bookmarkEnd w:id="326"/>
      <w:bookmarkEnd w:id="327"/>
      <w:bookmarkEnd w:id="328"/>
    </w:p>
    <w:p>
      <w:pPr>
        <w:adjustRightInd w:val="0"/>
        <w:snapToGrid w:val="0"/>
        <w:spacing w:before="312" w:beforeLines="100" w:line="360" w:lineRule="auto"/>
        <w:rPr>
          <w:rFonts w:ascii="宋体" w:eastAsia="宋体" w:cs="仿宋"/>
          <w:b/>
          <w:bCs/>
          <w:sz w:val="24"/>
          <w:szCs w:val="24"/>
          <w:highlight w:val="none"/>
        </w:rPr>
      </w:pPr>
      <w:bookmarkStart w:id="329" w:name="_Toc21381"/>
      <w:r>
        <w:rPr>
          <w:rFonts w:hint="eastAsia" w:ascii="宋体" w:eastAsia="宋体" w:cs="仿宋"/>
          <w:b/>
          <w:bCs/>
          <w:sz w:val="24"/>
          <w:szCs w:val="24"/>
          <w:highlight w:val="none"/>
        </w:rPr>
        <w:t>一、质疑供应商基本信息</w:t>
      </w:r>
      <w:bookmarkEnd w:id="329"/>
    </w:p>
    <w:p>
      <w:pPr>
        <w:adjustRightInd w:val="0"/>
        <w:snapToGrid w:val="0"/>
        <w:spacing w:line="360" w:lineRule="auto"/>
        <w:rPr>
          <w:rFonts w:ascii="宋体" w:eastAsia="宋体" w:cs="仿宋"/>
          <w:sz w:val="24"/>
          <w:szCs w:val="24"/>
          <w:highlight w:val="none"/>
          <w:u w:val="dotted"/>
        </w:rPr>
      </w:pPr>
      <w:r>
        <w:rPr>
          <w:rFonts w:hint="eastAsia" w:ascii="宋体" w:eastAsia="宋体" w:cs="仿宋"/>
          <w:sz w:val="24"/>
          <w:szCs w:val="24"/>
          <w:highlight w:val="none"/>
        </w:rPr>
        <w:t>质疑供应商：</w:t>
      </w:r>
    </w:p>
    <w:p>
      <w:pPr>
        <w:adjustRightInd w:val="0"/>
        <w:snapToGrid w:val="0"/>
        <w:spacing w:line="360" w:lineRule="auto"/>
        <w:rPr>
          <w:rFonts w:ascii="宋体" w:eastAsia="宋体" w:cs="仿宋"/>
          <w:sz w:val="24"/>
          <w:szCs w:val="24"/>
          <w:highlight w:val="none"/>
        </w:rPr>
      </w:pPr>
      <w:r>
        <w:rPr>
          <w:rFonts w:hint="eastAsia" w:ascii="宋体" w:eastAsia="宋体" w:cs="仿宋"/>
          <w:sz w:val="24"/>
          <w:szCs w:val="24"/>
          <w:highlight w:val="none"/>
        </w:rPr>
        <w:t>地址：邮编：</w:t>
      </w:r>
    </w:p>
    <w:p>
      <w:pPr>
        <w:adjustRightInd w:val="0"/>
        <w:snapToGrid w:val="0"/>
        <w:spacing w:line="360" w:lineRule="auto"/>
        <w:rPr>
          <w:rFonts w:ascii="宋体" w:eastAsia="宋体" w:cs="仿宋"/>
          <w:sz w:val="24"/>
          <w:szCs w:val="24"/>
          <w:highlight w:val="none"/>
        </w:rPr>
      </w:pPr>
      <w:r>
        <w:rPr>
          <w:rFonts w:hint="eastAsia" w:ascii="宋体" w:eastAsia="宋体" w:cs="仿宋"/>
          <w:sz w:val="24"/>
          <w:szCs w:val="24"/>
          <w:highlight w:val="none"/>
        </w:rPr>
        <w:t>联系人：联系电话：</w:t>
      </w:r>
    </w:p>
    <w:p>
      <w:pPr>
        <w:adjustRightInd w:val="0"/>
        <w:snapToGrid w:val="0"/>
        <w:spacing w:line="360" w:lineRule="auto"/>
        <w:rPr>
          <w:rFonts w:ascii="宋体" w:eastAsia="宋体" w:cs="仿宋"/>
          <w:sz w:val="24"/>
          <w:szCs w:val="24"/>
          <w:highlight w:val="none"/>
          <w:u w:val="dotted"/>
        </w:rPr>
      </w:pPr>
      <w:r>
        <w:rPr>
          <w:rFonts w:hint="eastAsia" w:ascii="宋体" w:eastAsia="宋体" w:cs="仿宋"/>
          <w:sz w:val="24"/>
          <w:szCs w:val="24"/>
          <w:highlight w:val="none"/>
        </w:rPr>
        <w:t>授权代表：</w:t>
      </w:r>
    </w:p>
    <w:p>
      <w:pPr>
        <w:adjustRightInd w:val="0"/>
        <w:snapToGrid w:val="0"/>
        <w:spacing w:line="360" w:lineRule="auto"/>
        <w:rPr>
          <w:rFonts w:ascii="宋体" w:eastAsia="宋体" w:cs="仿宋"/>
          <w:sz w:val="24"/>
          <w:szCs w:val="24"/>
          <w:highlight w:val="none"/>
        </w:rPr>
      </w:pPr>
      <w:r>
        <w:rPr>
          <w:rFonts w:hint="eastAsia" w:ascii="宋体" w:eastAsia="宋体" w:cs="仿宋"/>
          <w:sz w:val="24"/>
          <w:szCs w:val="24"/>
          <w:highlight w:val="none"/>
        </w:rPr>
        <w:t>联系电话：</w:t>
      </w:r>
    </w:p>
    <w:p>
      <w:pPr>
        <w:adjustRightInd w:val="0"/>
        <w:snapToGrid w:val="0"/>
        <w:spacing w:line="360" w:lineRule="auto"/>
        <w:rPr>
          <w:rFonts w:ascii="宋体" w:eastAsia="宋体" w:cs="仿宋"/>
          <w:sz w:val="24"/>
          <w:szCs w:val="24"/>
          <w:highlight w:val="none"/>
        </w:rPr>
      </w:pPr>
      <w:r>
        <w:rPr>
          <w:rFonts w:hint="eastAsia" w:ascii="宋体" w:eastAsia="宋体" w:cs="仿宋"/>
          <w:sz w:val="24"/>
          <w:szCs w:val="24"/>
          <w:highlight w:val="none"/>
        </w:rPr>
        <w:t>地址：邮编：</w:t>
      </w:r>
    </w:p>
    <w:p>
      <w:pPr>
        <w:adjustRightInd w:val="0"/>
        <w:snapToGrid w:val="0"/>
        <w:spacing w:line="360" w:lineRule="auto"/>
        <w:rPr>
          <w:rFonts w:ascii="宋体" w:eastAsia="宋体" w:cs="仿宋"/>
          <w:b/>
          <w:bCs/>
          <w:sz w:val="24"/>
          <w:szCs w:val="24"/>
          <w:highlight w:val="none"/>
        </w:rPr>
      </w:pPr>
      <w:bookmarkStart w:id="330" w:name="_Toc28415"/>
      <w:r>
        <w:rPr>
          <w:rFonts w:hint="eastAsia" w:ascii="宋体" w:eastAsia="宋体" w:cs="仿宋"/>
          <w:b/>
          <w:bCs/>
          <w:sz w:val="24"/>
          <w:szCs w:val="24"/>
          <w:highlight w:val="none"/>
        </w:rPr>
        <w:t>二、质疑项目基本情况</w:t>
      </w:r>
      <w:bookmarkEnd w:id="330"/>
    </w:p>
    <w:p>
      <w:pPr>
        <w:adjustRightInd w:val="0"/>
        <w:snapToGrid w:val="0"/>
        <w:spacing w:line="360" w:lineRule="auto"/>
        <w:rPr>
          <w:rFonts w:ascii="宋体" w:eastAsia="宋体" w:cs="仿宋"/>
          <w:sz w:val="24"/>
          <w:szCs w:val="24"/>
          <w:highlight w:val="none"/>
        </w:rPr>
      </w:pPr>
      <w:r>
        <w:rPr>
          <w:rFonts w:hint="eastAsia" w:ascii="宋体" w:eastAsia="宋体" w:cs="仿宋"/>
          <w:sz w:val="24"/>
          <w:szCs w:val="24"/>
          <w:highlight w:val="none"/>
        </w:rPr>
        <w:t>质疑项目的名称：</w:t>
      </w:r>
    </w:p>
    <w:p>
      <w:pPr>
        <w:adjustRightInd w:val="0"/>
        <w:snapToGrid w:val="0"/>
        <w:spacing w:line="360" w:lineRule="auto"/>
        <w:rPr>
          <w:rFonts w:ascii="宋体" w:eastAsia="宋体" w:cs="仿宋"/>
          <w:sz w:val="24"/>
          <w:szCs w:val="24"/>
          <w:highlight w:val="none"/>
        </w:rPr>
      </w:pPr>
      <w:r>
        <w:rPr>
          <w:rFonts w:hint="eastAsia" w:ascii="宋体" w:eastAsia="宋体" w:cs="仿宋"/>
          <w:sz w:val="24"/>
          <w:szCs w:val="24"/>
          <w:highlight w:val="none"/>
        </w:rPr>
        <w:t>质疑项目的编号：包号：</w:t>
      </w:r>
    </w:p>
    <w:p>
      <w:pPr>
        <w:adjustRightInd w:val="0"/>
        <w:snapToGrid w:val="0"/>
        <w:spacing w:line="360" w:lineRule="auto"/>
        <w:rPr>
          <w:rFonts w:ascii="宋体" w:eastAsia="宋体" w:cs="仿宋"/>
          <w:sz w:val="24"/>
          <w:szCs w:val="24"/>
          <w:highlight w:val="none"/>
          <w:u w:val="dotted"/>
        </w:rPr>
      </w:pPr>
      <w:r>
        <w:rPr>
          <w:rFonts w:hint="eastAsia" w:ascii="宋体" w:eastAsia="宋体" w:cs="仿宋"/>
          <w:sz w:val="24"/>
          <w:szCs w:val="24"/>
          <w:highlight w:val="none"/>
        </w:rPr>
        <w:t>采购人名称：</w:t>
      </w:r>
    </w:p>
    <w:p>
      <w:pPr>
        <w:adjustRightInd w:val="0"/>
        <w:snapToGrid w:val="0"/>
        <w:spacing w:line="360" w:lineRule="auto"/>
        <w:rPr>
          <w:rFonts w:ascii="宋体" w:eastAsia="宋体" w:cs="仿宋"/>
          <w:sz w:val="24"/>
          <w:szCs w:val="24"/>
          <w:highlight w:val="none"/>
        </w:rPr>
      </w:pPr>
      <w:r>
        <w:rPr>
          <w:rFonts w:hint="eastAsia" w:ascii="宋体" w:eastAsia="宋体" w:cs="仿宋"/>
          <w:sz w:val="24"/>
          <w:szCs w:val="24"/>
          <w:highlight w:val="none"/>
        </w:rPr>
        <w:t>采购文件获取日期：</w:t>
      </w:r>
    </w:p>
    <w:p>
      <w:pPr>
        <w:adjustRightInd w:val="0"/>
        <w:snapToGrid w:val="0"/>
        <w:spacing w:line="360" w:lineRule="auto"/>
        <w:rPr>
          <w:rFonts w:ascii="宋体" w:eastAsia="宋体" w:cs="仿宋"/>
          <w:b/>
          <w:bCs/>
          <w:sz w:val="24"/>
          <w:szCs w:val="24"/>
          <w:highlight w:val="none"/>
        </w:rPr>
      </w:pPr>
      <w:bookmarkStart w:id="331" w:name="_Toc19014"/>
      <w:r>
        <w:rPr>
          <w:rFonts w:hint="eastAsia" w:ascii="宋体" w:eastAsia="宋体" w:cs="仿宋"/>
          <w:b/>
          <w:bCs/>
          <w:sz w:val="24"/>
          <w:szCs w:val="24"/>
          <w:highlight w:val="none"/>
        </w:rPr>
        <w:t>三、质疑事项具体内容</w:t>
      </w:r>
      <w:bookmarkEnd w:id="331"/>
    </w:p>
    <w:p>
      <w:pPr>
        <w:adjustRightInd w:val="0"/>
        <w:snapToGrid w:val="0"/>
        <w:spacing w:line="360" w:lineRule="auto"/>
        <w:rPr>
          <w:rFonts w:ascii="宋体" w:eastAsia="宋体" w:cs="仿宋"/>
          <w:sz w:val="24"/>
          <w:szCs w:val="24"/>
          <w:highlight w:val="none"/>
          <w:u w:val="dotted"/>
        </w:rPr>
      </w:pPr>
      <w:r>
        <w:rPr>
          <w:rFonts w:hint="eastAsia" w:ascii="宋体" w:eastAsia="宋体" w:cs="仿宋"/>
          <w:sz w:val="24"/>
          <w:szCs w:val="24"/>
          <w:highlight w:val="none"/>
        </w:rPr>
        <w:t>质疑事项1：</w:t>
      </w:r>
    </w:p>
    <w:p>
      <w:pPr>
        <w:adjustRightInd w:val="0"/>
        <w:snapToGrid w:val="0"/>
        <w:spacing w:line="360" w:lineRule="auto"/>
        <w:rPr>
          <w:rFonts w:ascii="宋体" w:eastAsia="宋体" w:cs="仿宋"/>
          <w:sz w:val="24"/>
          <w:szCs w:val="24"/>
          <w:highlight w:val="none"/>
          <w:u w:val="dotted"/>
        </w:rPr>
      </w:pPr>
      <w:r>
        <w:rPr>
          <w:rFonts w:hint="eastAsia" w:ascii="宋体" w:eastAsia="宋体" w:cs="仿宋"/>
          <w:sz w:val="24"/>
          <w:szCs w:val="24"/>
          <w:highlight w:val="none"/>
        </w:rPr>
        <w:t>事实依据：</w:t>
      </w:r>
    </w:p>
    <w:p>
      <w:pPr>
        <w:adjustRightInd w:val="0"/>
        <w:snapToGrid w:val="0"/>
        <w:spacing w:line="360" w:lineRule="auto"/>
        <w:rPr>
          <w:rFonts w:ascii="宋体" w:eastAsia="宋体" w:cs="仿宋"/>
          <w:sz w:val="24"/>
          <w:szCs w:val="24"/>
          <w:highlight w:val="none"/>
        </w:rPr>
      </w:pPr>
    </w:p>
    <w:p>
      <w:pPr>
        <w:adjustRightInd w:val="0"/>
        <w:snapToGrid w:val="0"/>
        <w:spacing w:line="360" w:lineRule="auto"/>
        <w:rPr>
          <w:rFonts w:ascii="宋体" w:eastAsia="宋体" w:cs="仿宋"/>
          <w:sz w:val="24"/>
          <w:szCs w:val="24"/>
          <w:highlight w:val="none"/>
          <w:u w:val="dotted"/>
        </w:rPr>
      </w:pPr>
      <w:r>
        <w:rPr>
          <w:rFonts w:hint="eastAsia" w:ascii="宋体" w:eastAsia="宋体" w:cs="仿宋"/>
          <w:sz w:val="24"/>
          <w:szCs w:val="24"/>
          <w:highlight w:val="none"/>
        </w:rPr>
        <w:t>法律依据：</w:t>
      </w:r>
    </w:p>
    <w:p>
      <w:pPr>
        <w:adjustRightInd w:val="0"/>
        <w:snapToGrid w:val="0"/>
        <w:spacing w:line="360" w:lineRule="auto"/>
        <w:rPr>
          <w:rFonts w:ascii="宋体" w:eastAsia="宋体" w:cs="仿宋"/>
          <w:sz w:val="24"/>
          <w:szCs w:val="24"/>
          <w:highlight w:val="none"/>
          <w:u w:val="dotted"/>
        </w:rPr>
      </w:pPr>
    </w:p>
    <w:p>
      <w:pPr>
        <w:adjustRightInd w:val="0"/>
        <w:snapToGrid w:val="0"/>
        <w:spacing w:line="360" w:lineRule="auto"/>
        <w:rPr>
          <w:rFonts w:ascii="宋体" w:eastAsia="宋体" w:cs="仿宋"/>
          <w:sz w:val="24"/>
          <w:szCs w:val="24"/>
          <w:highlight w:val="none"/>
          <w:u w:val="dotted"/>
        </w:rPr>
      </w:pPr>
      <w:r>
        <w:rPr>
          <w:rFonts w:hint="eastAsia" w:ascii="宋体" w:eastAsia="宋体" w:cs="仿宋"/>
          <w:sz w:val="24"/>
          <w:szCs w:val="24"/>
          <w:highlight w:val="none"/>
        </w:rPr>
        <w:t>质疑事项2</w:t>
      </w:r>
    </w:p>
    <w:p>
      <w:pPr>
        <w:adjustRightInd w:val="0"/>
        <w:snapToGrid w:val="0"/>
        <w:spacing w:line="360" w:lineRule="auto"/>
        <w:rPr>
          <w:rFonts w:ascii="宋体" w:eastAsia="宋体" w:cs="仿宋"/>
          <w:sz w:val="24"/>
          <w:szCs w:val="24"/>
          <w:highlight w:val="none"/>
        </w:rPr>
      </w:pPr>
      <w:r>
        <w:rPr>
          <w:rFonts w:hint="eastAsia" w:ascii="宋体" w:eastAsia="宋体" w:cs="仿宋"/>
          <w:sz w:val="24"/>
          <w:szCs w:val="24"/>
          <w:highlight w:val="none"/>
        </w:rPr>
        <w:t>……</w:t>
      </w:r>
    </w:p>
    <w:p>
      <w:pPr>
        <w:adjustRightInd w:val="0"/>
        <w:snapToGrid w:val="0"/>
        <w:spacing w:line="360" w:lineRule="auto"/>
        <w:rPr>
          <w:rFonts w:ascii="宋体" w:eastAsia="宋体" w:cs="仿宋"/>
          <w:b/>
          <w:bCs/>
          <w:sz w:val="24"/>
          <w:szCs w:val="24"/>
          <w:highlight w:val="none"/>
        </w:rPr>
      </w:pPr>
      <w:bookmarkStart w:id="332" w:name="_Toc17919"/>
      <w:r>
        <w:rPr>
          <w:rFonts w:hint="eastAsia" w:ascii="宋体" w:eastAsia="宋体" w:cs="仿宋"/>
          <w:b/>
          <w:bCs/>
          <w:sz w:val="24"/>
          <w:szCs w:val="24"/>
          <w:highlight w:val="none"/>
        </w:rPr>
        <w:t>四、与质疑事项相关的质疑请求</w:t>
      </w:r>
      <w:bookmarkEnd w:id="332"/>
    </w:p>
    <w:p>
      <w:pPr>
        <w:adjustRightInd w:val="0"/>
        <w:snapToGrid w:val="0"/>
        <w:spacing w:line="360" w:lineRule="auto"/>
        <w:rPr>
          <w:rFonts w:ascii="宋体" w:eastAsia="宋体" w:cs="仿宋"/>
          <w:sz w:val="24"/>
          <w:szCs w:val="24"/>
          <w:highlight w:val="none"/>
          <w:u w:val="dotted"/>
        </w:rPr>
      </w:pPr>
      <w:r>
        <w:rPr>
          <w:rFonts w:hint="eastAsia" w:ascii="宋体" w:eastAsia="宋体" w:cs="仿宋"/>
          <w:sz w:val="24"/>
          <w:szCs w:val="24"/>
          <w:highlight w:val="none"/>
        </w:rPr>
        <w:t>请求：</w:t>
      </w:r>
    </w:p>
    <w:p>
      <w:pPr>
        <w:spacing w:line="360" w:lineRule="auto"/>
        <w:rPr>
          <w:rFonts w:ascii="宋体" w:eastAsia="宋体"/>
          <w:sz w:val="24"/>
          <w:szCs w:val="24"/>
          <w:highlight w:val="none"/>
        </w:rPr>
      </w:pPr>
      <w:r>
        <w:rPr>
          <w:rFonts w:hint="eastAsia" w:ascii="宋体" w:eastAsia="宋体"/>
          <w:sz w:val="24"/>
          <w:szCs w:val="24"/>
          <w:highlight w:val="none"/>
        </w:rPr>
        <w:t xml:space="preserve">签字(签章)：                   公章：                      </w:t>
      </w:r>
    </w:p>
    <w:p>
      <w:pPr>
        <w:spacing w:line="360" w:lineRule="auto"/>
        <w:rPr>
          <w:rFonts w:ascii="宋体" w:eastAsia="宋体"/>
          <w:sz w:val="24"/>
          <w:szCs w:val="24"/>
          <w:highlight w:val="none"/>
        </w:rPr>
      </w:pPr>
      <w:r>
        <w:rPr>
          <w:rFonts w:hint="eastAsia" w:ascii="宋体" w:eastAsia="宋体"/>
          <w:sz w:val="24"/>
          <w:szCs w:val="24"/>
          <w:highlight w:val="none"/>
        </w:rPr>
        <w:t xml:space="preserve">日期：    </w:t>
      </w:r>
    </w:p>
    <w:p>
      <w:pPr>
        <w:widowControl/>
        <w:jc w:val="left"/>
        <w:rPr>
          <w:rFonts w:ascii="仿宋" w:eastAsia="仿宋" w:cs="仿宋"/>
          <w:sz w:val="32"/>
          <w:szCs w:val="32"/>
          <w:highlight w:val="none"/>
        </w:rPr>
      </w:pPr>
      <w:r>
        <w:rPr>
          <w:rFonts w:ascii="仿宋" w:eastAsia="仿宋" w:cs="仿宋"/>
          <w:sz w:val="32"/>
          <w:szCs w:val="32"/>
          <w:highlight w:val="none"/>
        </w:rPr>
        <w:br w:type="page"/>
      </w:r>
    </w:p>
    <w:p>
      <w:pPr>
        <w:outlineLvl w:val="0"/>
        <w:rPr>
          <w:rFonts w:ascii="宋体" w:eastAsia="宋体"/>
          <w:b/>
          <w:sz w:val="28"/>
          <w:szCs w:val="32"/>
          <w:highlight w:val="none"/>
        </w:rPr>
      </w:pPr>
      <w:bookmarkStart w:id="333" w:name="_Toc26836"/>
      <w:bookmarkStart w:id="334" w:name="_Toc31749"/>
      <w:bookmarkStart w:id="335" w:name="_Toc28412"/>
      <w:bookmarkStart w:id="336" w:name="_Toc9754"/>
      <w:bookmarkStart w:id="337" w:name="_Toc19439"/>
      <w:bookmarkStart w:id="338" w:name="_Toc15840"/>
      <w:r>
        <w:rPr>
          <w:rFonts w:hint="eastAsia" w:ascii="宋体" w:eastAsia="宋体"/>
          <w:b/>
          <w:sz w:val="28"/>
          <w:szCs w:val="32"/>
          <w:highlight w:val="none"/>
        </w:rPr>
        <w:t>质疑函制作说明：</w:t>
      </w:r>
      <w:bookmarkEnd w:id="333"/>
      <w:bookmarkEnd w:id="334"/>
      <w:bookmarkEnd w:id="335"/>
      <w:bookmarkEnd w:id="336"/>
      <w:bookmarkEnd w:id="337"/>
      <w:bookmarkEnd w:id="338"/>
    </w:p>
    <w:p>
      <w:pPr>
        <w:spacing w:line="360" w:lineRule="auto"/>
        <w:ind w:firstLine="435"/>
        <w:rPr>
          <w:rFonts w:ascii="宋体" w:eastAsia="宋体"/>
          <w:sz w:val="24"/>
          <w:highlight w:val="none"/>
        </w:rPr>
      </w:pPr>
      <w:r>
        <w:rPr>
          <w:rFonts w:hint="eastAsia" w:ascii="宋体" w:eastAsia="宋体"/>
          <w:sz w:val="24"/>
          <w:highlight w:val="none"/>
        </w:rPr>
        <w:t>1.供应商提出质疑时，应提交质疑函和必要的证明材料。</w:t>
      </w:r>
    </w:p>
    <w:p>
      <w:pPr>
        <w:spacing w:line="360" w:lineRule="auto"/>
        <w:ind w:firstLine="435"/>
        <w:rPr>
          <w:rFonts w:ascii="宋体" w:eastAsia="宋体"/>
          <w:sz w:val="24"/>
          <w:highlight w:val="none"/>
        </w:rPr>
      </w:pPr>
      <w:r>
        <w:rPr>
          <w:rFonts w:hint="eastAsia" w:ascii="宋体" w:eastAsia="宋体"/>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360" w:lineRule="auto"/>
        <w:ind w:firstLine="435"/>
        <w:rPr>
          <w:rFonts w:ascii="宋体" w:eastAsia="宋体"/>
          <w:sz w:val="24"/>
          <w:highlight w:val="none"/>
        </w:rPr>
      </w:pPr>
      <w:r>
        <w:rPr>
          <w:rFonts w:hint="eastAsia" w:ascii="宋体" w:eastAsia="宋体"/>
          <w:sz w:val="24"/>
          <w:highlight w:val="none"/>
        </w:rPr>
        <w:t>3.质疑供应商若对项目的某一分包进行质疑，质疑函中应列明具体分包号。</w:t>
      </w:r>
    </w:p>
    <w:p>
      <w:pPr>
        <w:spacing w:line="360" w:lineRule="auto"/>
        <w:ind w:firstLine="435"/>
        <w:rPr>
          <w:rFonts w:ascii="宋体" w:eastAsia="宋体"/>
          <w:sz w:val="24"/>
          <w:highlight w:val="none"/>
        </w:rPr>
      </w:pPr>
      <w:r>
        <w:rPr>
          <w:rFonts w:hint="eastAsia" w:ascii="宋体" w:eastAsia="宋体"/>
          <w:sz w:val="24"/>
          <w:highlight w:val="none"/>
        </w:rPr>
        <w:t>4.质疑函的质疑事项应具体、明确，并有必要的事实依据和法律依据。</w:t>
      </w:r>
    </w:p>
    <w:p>
      <w:pPr>
        <w:spacing w:line="360" w:lineRule="auto"/>
        <w:ind w:firstLine="435"/>
        <w:rPr>
          <w:rFonts w:ascii="宋体" w:eastAsia="宋体"/>
          <w:sz w:val="24"/>
          <w:highlight w:val="none"/>
        </w:rPr>
      </w:pPr>
      <w:r>
        <w:rPr>
          <w:rFonts w:hint="eastAsia" w:ascii="宋体" w:eastAsia="宋体"/>
          <w:sz w:val="24"/>
          <w:highlight w:val="none"/>
        </w:rPr>
        <w:t>5.质疑函的质疑请求应与质疑事项相关。</w:t>
      </w:r>
    </w:p>
    <w:p>
      <w:pPr>
        <w:spacing w:line="360" w:lineRule="auto"/>
        <w:ind w:firstLine="435"/>
        <w:rPr>
          <w:rFonts w:ascii="宋体" w:eastAsia="宋体"/>
          <w:sz w:val="24"/>
          <w:highlight w:val="none"/>
        </w:rPr>
      </w:pPr>
      <w:r>
        <w:rPr>
          <w:rFonts w:hint="eastAsia" w:ascii="宋体" w:eastAsia="宋体"/>
          <w:sz w:val="24"/>
          <w:highlight w:val="none"/>
        </w:rPr>
        <w:t>6.质疑供应商为自然人的，质疑函应由本人签字；质疑供应商为法人或者其他组织的，质疑函应由法定代表人、主要负责人，或者其授权代表签字或者盖章，并加盖公章。</w:t>
      </w:r>
    </w:p>
    <w:sectPr>
      <w:footerReference r:id="rId5"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monospace">
    <w:altName w:val="Times New Roman"/>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-19740245</wp:posOffset>
              </wp:positionV>
              <wp:extent cx="1133475" cy="172720"/>
              <wp:effectExtent l="0" t="0" r="0" b="0"/>
              <wp:wrapNone/>
              <wp:docPr id="1" name="_x0000_s1026"/>
              <wp:cNvGraphicFramePr/>
              <a:graphic xmlns:a="http://schemas.openxmlformats.org/drawingml/2006/main">
                <a:graphicData uri="http://schemas.microsoft.com/office/word/2010/wordprocessingShape">
                  <wps:wsp>
                    <wps:cNvSpPr/>
                    <wps:spPr>
                      <a:xfrm>
                        <a:off x="0" y="0"/>
                        <a:ext cx="1133474" cy="172687"/>
                      </a:xfrm>
                      <a:prstGeom prst="rect">
                        <a:avLst/>
                      </a:prstGeom>
                      <a:noFill/>
                      <a:ln w="9525" cap="flat" cmpd="sng">
                        <a:noFill/>
                        <a:prstDash val="solid"/>
                        <a:miter/>
                      </a:ln>
                    </wps:spPr>
                    <wps:txbx>
                      <w:txbxContent>
                        <w:p>
                          <w:pPr>
                            <w:pStyle w:val="16"/>
                            <w:rPr>
                              <w:rFonts w:ascii="宋体" w:eastAsia="宋体" w:cs="宋体"/>
                              <w:sz w:val="21"/>
                              <w:szCs w:val="21"/>
                            </w:rPr>
                          </w:pPr>
                          <w:r>
                            <w:rPr>
                              <w:rFonts w:hint="eastAsia" w:ascii="宋体" w:eastAsia="宋体" w:cs="宋体"/>
                              <w:sz w:val="21"/>
                              <w:szCs w:val="21"/>
                            </w:rPr>
                            <w:t xml:space="preserve">第 </w:t>
                          </w:r>
                          <w:r>
                            <w:rPr>
                              <w:rFonts w:hint="eastAsia" w:ascii="宋体" w:eastAsia="宋体" w:cs="宋体"/>
                              <w:sz w:val="21"/>
                              <w:szCs w:val="21"/>
                            </w:rPr>
                            <w:fldChar w:fldCharType="begin"/>
                          </w:r>
                          <w:r>
                            <w:rPr>
                              <w:rFonts w:hint="eastAsia" w:ascii="宋体" w:eastAsia="宋体" w:cs="宋体"/>
                              <w:sz w:val="21"/>
                              <w:szCs w:val="21"/>
                            </w:rPr>
                            <w:instrText xml:space="preserve"> PAGE  \* MERGEFORMAT </w:instrText>
                          </w:r>
                          <w:r>
                            <w:rPr>
                              <w:rFonts w:hint="eastAsia" w:ascii="宋体" w:eastAsia="宋体" w:cs="宋体"/>
                              <w:sz w:val="21"/>
                              <w:szCs w:val="21"/>
                            </w:rPr>
                            <w:fldChar w:fldCharType="separate"/>
                          </w:r>
                          <w:r>
                            <w:rPr>
                              <w:rFonts w:ascii="宋体" w:eastAsia="宋体" w:cs="宋体"/>
                              <w:sz w:val="21"/>
                              <w:szCs w:val="21"/>
                            </w:rPr>
                            <w:t>34</w:t>
                          </w:r>
                          <w:r>
                            <w:rPr>
                              <w:rFonts w:hint="eastAsia" w:ascii="宋体" w:eastAsia="宋体" w:cs="宋体"/>
                              <w:sz w:val="21"/>
                              <w:szCs w:val="21"/>
                            </w:rPr>
                            <w:fldChar w:fldCharType="end"/>
                          </w:r>
                          <w:r>
                            <w:rPr>
                              <w:rFonts w:hint="eastAsia" w:ascii="宋体" w:eastAsia="宋体" w:cs="宋体"/>
                              <w:sz w:val="21"/>
                              <w:szCs w:val="21"/>
                            </w:rPr>
                            <w:t xml:space="preserve"> 页 共 </w:t>
                          </w:r>
                          <w:r>
                            <w:fldChar w:fldCharType="begin"/>
                          </w:r>
                          <w:r>
                            <w:instrText xml:space="preserve"> NUMPAGES  \* MERGEFORMAT </w:instrText>
                          </w:r>
                          <w:r>
                            <w:fldChar w:fldCharType="separate"/>
                          </w:r>
                          <w:r>
                            <w:rPr>
                              <w:rFonts w:ascii="宋体" w:eastAsia="宋体" w:cs="宋体"/>
                              <w:sz w:val="21"/>
                              <w:szCs w:val="21"/>
                            </w:rPr>
                            <w:t>63</w:t>
                          </w:r>
                          <w:r>
                            <w:fldChar w:fldCharType="end"/>
                          </w:r>
                          <w:r>
                            <w:rPr>
                              <w:rFonts w:hint="eastAsia" w:ascii="宋体" w:eastAsia="宋体" w:cs="宋体"/>
                              <w:sz w:val="21"/>
                              <w:szCs w:val="21"/>
                            </w:rPr>
                            <w:t xml:space="preserve"> 页</w:t>
                          </w:r>
                        </w:p>
                      </w:txbxContent>
                    </wps:txbx>
                    <wps:bodyPr vert="horz" wrap="none" lIns="0" tIns="0" rIns="0" bIns="0" anchor="t" anchorCtr="0" upright="1">
                      <a:spAutoFit/>
                    </wps:bodyPr>
                  </wps:wsp>
                </a:graphicData>
              </a:graphic>
            </wp:anchor>
          </w:drawing>
        </mc:Choice>
        <mc:Fallback>
          <w:pict>
            <v:rect id="_x0000_s1026" o:spid="_x0000_s1026" o:spt="1" style="position:absolute;left:0pt;margin-top:-1554.35pt;height:13.6pt;width:89.25pt;mso-position-horizontal:center;mso-position-horizontal-relative:margin;mso-wrap-style:none;z-index:251659264;mso-width-relative:page;mso-height-relative:page;" filled="f" stroked="f" coordsize="21600,21600" o:gfxdata="UEsDBAoAAAAAAIdO4kAAAAAAAAAAAAAAAAAEAAAAZHJzL1BLAwQUAAAACACHTuJAf3JcvNgAAAAM&#10;AQAADwAAAGRycy9kb3ducmV2LnhtbE2PzU7DMBCE70i8g7VI3Fo7RaVWiNMDUiVAXJryAG68+RH2&#10;OrLdprw9zgmOszOa/aba35xlVwxx9KSgWAtgSK03I/UKvk6HlQQWkyajrSdU8IMR9vX9XaVL42c6&#10;4rVJPcslFEutYEhpKjmP7YBOx7WfkLLX+eB0yjL03AQ953Jn+UaIZ+70SPnDoCd8HbD9bi5OAT81&#10;h1k2Ngj/sek+7fvbsUOv1ONDIV6AJbylvzAs+Bkd6sx09hcykVkFeUhSsHoqhNwBWwI7uQV2Xm5C&#10;FlvgdcX/j6h/AVBLAwQUAAAACACHTuJAsVN3xfkBAAD2AwAADgAAAGRycy9lMm9Eb2MueG1srVPL&#10;btswELwX6D8QvNd6JLETwXJQ1EhRoGgDJD0HNEVJBPgCl7bkfn2XlGwH6SWH6CANydVwZzhc349a&#10;kYPwIK2pabHIKRGG20aarqZ/nh++3FICgZmGKWtETY8C6P3m86f14CpR2t6qRniCJAaqwdW0D8FV&#10;WQa8F5rBwjphcLG1XrOAQ99ljWcDsmuVlXm+zAbrG+ctFwA4u50W6czo30No21ZysbV8r4UJE6sX&#10;igWUBL10QDep27YVPPxuWxCBqJqi0pDeuAniXXxnmzWrOs9cL/ncAntPC280aSYNbnqm2rLAyN7L&#10;/6i05N6CbcOCW51NQpIjqKLI33jz1DMnkha0GtzZdPg4Wv7r8OiJbDAJlBim8cBfxhyfFyjychn9&#10;GRxUWPbkHv08AoRR7Nh6Hb8og4zJ0+PZUzEGwnGyKK6urlfXlHBcK1bl8nYVSbPL385D+C6sJhHU&#10;1OOZJSvZ4SeEqfRUEjcz9kEqhfOsUoYMNb27KW+QnmEWW8wAQu1QD5gu0byqjzRbBj05MIwDWCWb&#10;KQBaBhHFYVfK4CdKnkRGFMbdiIsR7mxzRL/w+mCnvfV/KRkwPDU1eFcoUT8Mnk3M2Qn4E9idADMc&#10;f6wpNjrBb2HK49552fXIW6S+wX3dB9SaLLjsPXeHcUjtztGNeXs9TlWX67r5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9yXLzYAAAADAEAAA8AAAAAAAAAAQAgAAAAIgAAAGRycy9kb3ducmV2Lnht&#10;bFBLAQIUABQAAAAIAIdO4kCxU3fF+QEAAPYDAAAOAAAAAAAAAAEAIAAAACcBAABkcnMvZTJvRG9j&#10;LnhtbFBLBQYAAAAABgAGAFkBAACSBQAAAAA=&#10;">
              <v:fill on="f" focussize="0,0"/>
              <v:stroke on="f" joinstyle="miter"/>
              <v:imagedata o:title=""/>
              <o:lock v:ext="edit" aspectratio="f"/>
              <v:textbox inset="0mm,0mm,0mm,0mm" style="mso-fit-shape-to-text:t;">
                <w:txbxContent>
                  <w:p>
                    <w:pPr>
                      <w:pStyle w:val="16"/>
                      <w:rPr>
                        <w:rFonts w:ascii="宋体" w:eastAsia="宋体" w:cs="宋体"/>
                        <w:sz w:val="21"/>
                        <w:szCs w:val="21"/>
                      </w:rPr>
                    </w:pPr>
                    <w:r>
                      <w:rPr>
                        <w:rFonts w:hint="eastAsia" w:ascii="宋体" w:eastAsia="宋体" w:cs="宋体"/>
                        <w:sz w:val="21"/>
                        <w:szCs w:val="21"/>
                      </w:rPr>
                      <w:t xml:space="preserve">第 </w:t>
                    </w:r>
                    <w:r>
                      <w:rPr>
                        <w:rFonts w:hint="eastAsia" w:ascii="宋体" w:eastAsia="宋体" w:cs="宋体"/>
                        <w:sz w:val="21"/>
                        <w:szCs w:val="21"/>
                      </w:rPr>
                      <w:fldChar w:fldCharType="begin"/>
                    </w:r>
                    <w:r>
                      <w:rPr>
                        <w:rFonts w:hint="eastAsia" w:ascii="宋体" w:eastAsia="宋体" w:cs="宋体"/>
                        <w:sz w:val="21"/>
                        <w:szCs w:val="21"/>
                      </w:rPr>
                      <w:instrText xml:space="preserve"> PAGE  \* MERGEFORMAT </w:instrText>
                    </w:r>
                    <w:r>
                      <w:rPr>
                        <w:rFonts w:hint="eastAsia" w:ascii="宋体" w:eastAsia="宋体" w:cs="宋体"/>
                        <w:sz w:val="21"/>
                        <w:szCs w:val="21"/>
                      </w:rPr>
                      <w:fldChar w:fldCharType="separate"/>
                    </w:r>
                    <w:r>
                      <w:rPr>
                        <w:rFonts w:ascii="宋体" w:eastAsia="宋体" w:cs="宋体"/>
                        <w:sz w:val="21"/>
                        <w:szCs w:val="21"/>
                      </w:rPr>
                      <w:t>34</w:t>
                    </w:r>
                    <w:r>
                      <w:rPr>
                        <w:rFonts w:hint="eastAsia" w:ascii="宋体" w:eastAsia="宋体" w:cs="宋体"/>
                        <w:sz w:val="21"/>
                        <w:szCs w:val="21"/>
                      </w:rPr>
                      <w:fldChar w:fldCharType="end"/>
                    </w:r>
                    <w:r>
                      <w:rPr>
                        <w:rFonts w:hint="eastAsia" w:ascii="宋体" w:eastAsia="宋体" w:cs="宋体"/>
                        <w:sz w:val="21"/>
                        <w:szCs w:val="21"/>
                      </w:rPr>
                      <w:t xml:space="preserve"> 页 共 </w:t>
                    </w:r>
                    <w:r>
                      <w:fldChar w:fldCharType="begin"/>
                    </w:r>
                    <w:r>
                      <w:instrText xml:space="preserve"> NUMPAGES  \* MERGEFORMAT </w:instrText>
                    </w:r>
                    <w:r>
                      <w:fldChar w:fldCharType="separate"/>
                    </w:r>
                    <w:r>
                      <w:rPr>
                        <w:rFonts w:ascii="宋体" w:eastAsia="宋体" w:cs="宋体"/>
                        <w:sz w:val="21"/>
                        <w:szCs w:val="21"/>
                      </w:rPr>
                      <w:t>63</w:t>
                    </w:r>
                    <w:r>
                      <w:fldChar w:fldCharType="end"/>
                    </w:r>
                    <w:r>
                      <w:rPr>
                        <w:rFonts w:hint="eastAsia" w:ascii="宋体" w:eastAsia="宋体" w:cs="宋体"/>
                        <w:sz w:val="21"/>
                        <w:szCs w:val="21"/>
                      </w:rPr>
                      <w:t xml:space="preserve"> 页</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pict>
        <v:rect id="_x0000_s4097" o:spid="_x0000_s4097" o:spt="1" style="position:absolute;left:0pt;margin-top:0pt;height:13.6pt;width:89.25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6"/>
                  <w:rPr>
                    <w:rFonts w:ascii="宋体" w:eastAsia="宋体" w:cs="宋体"/>
                    <w:sz w:val="21"/>
                    <w:szCs w:val="21"/>
                  </w:rPr>
                </w:pPr>
                <w:r>
                  <w:rPr>
                    <w:rFonts w:hint="eastAsia" w:ascii="宋体" w:eastAsia="宋体" w:cs="宋体"/>
                    <w:sz w:val="21"/>
                    <w:szCs w:val="21"/>
                  </w:rPr>
                  <w:t xml:space="preserve">第 </w:t>
                </w:r>
                <w:r>
                  <w:rPr>
                    <w:rFonts w:hint="eastAsia" w:ascii="宋体" w:eastAsia="宋体" w:cs="宋体"/>
                    <w:sz w:val="21"/>
                    <w:szCs w:val="21"/>
                  </w:rPr>
                  <w:fldChar w:fldCharType="begin"/>
                </w:r>
                <w:r>
                  <w:rPr>
                    <w:rFonts w:hint="eastAsia" w:ascii="宋体" w:eastAsia="宋体" w:cs="宋体"/>
                    <w:sz w:val="21"/>
                    <w:szCs w:val="21"/>
                  </w:rPr>
                  <w:instrText xml:space="preserve"> PAGE  \* MERGEFORMAT </w:instrText>
                </w:r>
                <w:r>
                  <w:rPr>
                    <w:rFonts w:hint="eastAsia" w:ascii="宋体" w:eastAsia="宋体" w:cs="宋体"/>
                    <w:sz w:val="21"/>
                    <w:szCs w:val="21"/>
                  </w:rPr>
                  <w:fldChar w:fldCharType="separate"/>
                </w:r>
                <w:r>
                  <w:rPr>
                    <w:rFonts w:ascii="宋体" w:eastAsia="宋体" w:cs="宋体"/>
                    <w:sz w:val="21"/>
                    <w:szCs w:val="21"/>
                  </w:rPr>
                  <w:t>34</w:t>
                </w:r>
                <w:r>
                  <w:rPr>
                    <w:rFonts w:hint="eastAsia" w:ascii="宋体" w:eastAsia="宋体" w:cs="宋体"/>
                    <w:sz w:val="21"/>
                    <w:szCs w:val="21"/>
                  </w:rPr>
                  <w:fldChar w:fldCharType="end"/>
                </w:r>
                <w:r>
                  <w:rPr>
                    <w:rFonts w:hint="eastAsia" w:ascii="宋体" w:eastAsia="宋体" w:cs="宋体"/>
                    <w:sz w:val="21"/>
                    <w:szCs w:val="21"/>
                  </w:rPr>
                  <w:t xml:space="preserve"> 页 共 </w:t>
                </w:r>
                <w:r>
                  <w:fldChar w:fldCharType="begin"/>
                </w:r>
                <w:r>
                  <w:instrText xml:space="preserve"> NUMPAGES  \* MERGEFORMAT </w:instrText>
                </w:r>
                <w:r>
                  <w:fldChar w:fldCharType="separate"/>
                </w:r>
                <w:r>
                  <w:rPr>
                    <w:rFonts w:ascii="宋体" w:eastAsia="宋体" w:cs="宋体"/>
                    <w:sz w:val="21"/>
                    <w:szCs w:val="21"/>
                  </w:rPr>
                  <w:t>63</w:t>
                </w:r>
                <w:r>
                  <w:fldChar w:fldCharType="end"/>
                </w:r>
                <w:r>
                  <w:rPr>
                    <w:rFonts w:hint="eastAsia" w:ascii="宋体" w:eastAsia="宋体" w:cs="宋体"/>
                    <w:sz w:val="21"/>
                    <w:szCs w:val="21"/>
                  </w:rPr>
                  <w:t xml:space="preserve"> 页</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rPr>
        <w:rFonts w:hint="eastAsia" w:ascii="宋体" w:hAnsi="宋体" w:eastAsia="宋体" w:cs="宋体"/>
      </w:rPr>
    </w:pPr>
    <w:r>
      <w:rPr>
        <w:rFonts w:hint="eastAsia" w:ascii="宋体" w:hAnsi="宋体" w:eastAsia="宋体" w:cs="宋体"/>
      </w:rPr>
      <w:t>皖南医学院滨江校区（文津西路8号）综合安防系统升级改造项目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JiMTI1NmIzYmI4OTM5MGM0ODQzN2E2MzFiNjM2MDkifQ=="/>
  </w:docVars>
  <w:rsids>
    <w:rsidRoot w:val="00000000"/>
    <w:rsid w:val="02C62032"/>
    <w:rsid w:val="04243256"/>
    <w:rsid w:val="08DE05B9"/>
    <w:rsid w:val="09354C31"/>
    <w:rsid w:val="0C6C7D8B"/>
    <w:rsid w:val="0E7D4740"/>
    <w:rsid w:val="13206F70"/>
    <w:rsid w:val="19545B5F"/>
    <w:rsid w:val="1960656A"/>
    <w:rsid w:val="229451EC"/>
    <w:rsid w:val="2BBF36E1"/>
    <w:rsid w:val="2D095047"/>
    <w:rsid w:val="304C5976"/>
    <w:rsid w:val="30CB0F91"/>
    <w:rsid w:val="333E6EFF"/>
    <w:rsid w:val="33D77C4D"/>
    <w:rsid w:val="35E63317"/>
    <w:rsid w:val="398A5D52"/>
    <w:rsid w:val="3A43428E"/>
    <w:rsid w:val="3BAD14A4"/>
    <w:rsid w:val="3C873AA9"/>
    <w:rsid w:val="409050AD"/>
    <w:rsid w:val="48A30C89"/>
    <w:rsid w:val="4A437027"/>
    <w:rsid w:val="4E940CC8"/>
    <w:rsid w:val="565E6083"/>
    <w:rsid w:val="56C95217"/>
    <w:rsid w:val="56F76A86"/>
    <w:rsid w:val="58B1121E"/>
    <w:rsid w:val="599448C4"/>
    <w:rsid w:val="5C227EFE"/>
    <w:rsid w:val="5CC01BD3"/>
    <w:rsid w:val="5DF768E9"/>
    <w:rsid w:val="62A44F1A"/>
    <w:rsid w:val="6568653D"/>
    <w:rsid w:val="660A5ADC"/>
    <w:rsid w:val="67605741"/>
    <w:rsid w:val="6A366774"/>
    <w:rsid w:val="6C0D0F69"/>
    <w:rsid w:val="6E105FBD"/>
    <w:rsid w:val="6EDF4ED5"/>
    <w:rsid w:val="727231A7"/>
    <w:rsid w:val="74E947DD"/>
    <w:rsid w:val="75C45C40"/>
    <w:rsid w:val="75CD3BF1"/>
    <w:rsid w:val="76D14FEE"/>
    <w:rsid w:val="788C160C"/>
    <w:rsid w:val="78DE2448"/>
    <w:rsid w:val="79305402"/>
    <w:rsid w:val="7A3E3B4E"/>
    <w:rsid w:val="7B7F69A7"/>
    <w:rsid w:val="7E420C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仿宋_GB2312" w:hAnsi="Times New Roman" w:eastAsia="@仿宋_GB2312" w:cs="@仿宋_GB2312"/>
      <w:kern w:val="2"/>
      <w:sz w:val="21"/>
      <w:szCs w:val="20"/>
      <w:lang w:val="en-US" w:eastAsia="zh-CN" w:bidi="ar-SA"/>
    </w:rPr>
  </w:style>
  <w:style w:type="paragraph" w:styleId="5">
    <w:name w:val="heading 1"/>
    <w:basedOn w:val="1"/>
    <w:next w:val="1"/>
    <w:autoRedefine/>
    <w:qFormat/>
    <w:uiPriority w:val="0"/>
    <w:pPr>
      <w:keepNext/>
      <w:keepLines/>
      <w:widowControl w:val="0"/>
      <w:spacing w:before="340" w:after="330" w:line="578" w:lineRule="auto"/>
      <w:outlineLvl w:val="0"/>
    </w:pPr>
    <w:rPr>
      <w:b/>
      <w:bCs/>
      <w:kern w:val="44"/>
      <w:sz w:val="44"/>
      <w:szCs w:val="44"/>
    </w:rPr>
  </w:style>
  <w:style w:type="paragraph" w:styleId="6">
    <w:name w:val="heading 2"/>
    <w:basedOn w:val="1"/>
    <w:next w:val="1"/>
    <w:autoRedefine/>
    <w:qFormat/>
    <w:uiPriority w:val="0"/>
    <w:pPr>
      <w:keepNext/>
      <w:keepLines/>
      <w:widowControl w:val="0"/>
      <w:spacing w:before="260" w:after="260" w:line="415" w:lineRule="auto"/>
      <w:outlineLvl w:val="1"/>
    </w:pPr>
    <w:rPr>
      <w:rFonts w:ascii="Arial" w:hAnsi="Arial" w:eastAsia="黑体" w:cs="Arial"/>
      <w:b/>
      <w:bCs/>
      <w:sz w:val="32"/>
      <w:szCs w:val="32"/>
    </w:rPr>
  </w:style>
  <w:style w:type="paragraph" w:styleId="7">
    <w:name w:val="heading 3"/>
    <w:basedOn w:val="1"/>
    <w:next w:val="1"/>
    <w:autoRedefine/>
    <w:qFormat/>
    <w:uiPriority w:val="0"/>
    <w:pPr>
      <w:keepNext/>
      <w:keepLines/>
      <w:widowControl w:val="0"/>
      <w:spacing w:before="260" w:after="260" w:line="415" w:lineRule="auto"/>
      <w:outlineLvl w:val="2"/>
    </w:pPr>
    <w:rPr>
      <w:b/>
      <w:bCs/>
      <w:sz w:val="32"/>
      <w:szCs w:val="32"/>
    </w:rPr>
  </w:style>
  <w:style w:type="paragraph" w:styleId="8">
    <w:name w:val="heading 4"/>
    <w:basedOn w:val="1"/>
    <w:next w:val="1"/>
    <w:autoRedefine/>
    <w:qFormat/>
    <w:uiPriority w:val="0"/>
    <w:pPr>
      <w:keepNext/>
      <w:keepLines/>
      <w:widowControl w:val="0"/>
      <w:spacing w:before="280" w:after="290" w:line="377" w:lineRule="auto"/>
      <w:outlineLvl w:val="3"/>
    </w:pPr>
    <w:rPr>
      <w:b/>
      <w:bCs/>
      <w:sz w:val="28"/>
      <w:szCs w:val="28"/>
    </w:rPr>
  </w:style>
  <w:style w:type="character" w:default="1" w:styleId="25">
    <w:name w:val="Default Paragraph Font"/>
    <w:autoRedefine/>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2">
    <w:name w:val="Body Text First Indent 2"/>
    <w:next w:val="3"/>
    <w:autoRedefine/>
    <w:qFormat/>
    <w:uiPriority w:val="0"/>
    <w:pPr>
      <w:widowControl w:val="0"/>
      <w:ind w:left="420" w:firstLine="200" w:firstLineChars="200"/>
      <w:jc w:val="both"/>
    </w:pPr>
    <w:rPr>
      <w:rFonts w:ascii="Times New Roman" w:hAnsi="Times New Roman" w:eastAsia="楷体_GB2312" w:cs="Times New Roman"/>
      <w:kern w:val="2"/>
      <w:sz w:val="32"/>
      <w:szCs w:val="20"/>
      <w:lang w:val="en-US" w:eastAsia="zh-CN" w:bidi="ar-SA"/>
    </w:rPr>
  </w:style>
  <w:style w:type="paragraph" w:styleId="3">
    <w:name w:val="Body Text First Indent"/>
    <w:basedOn w:val="4"/>
    <w:autoRedefine/>
    <w:qFormat/>
    <w:uiPriority w:val="0"/>
    <w:pPr>
      <w:ind w:firstLine="100" w:firstLineChars="100"/>
    </w:pPr>
  </w:style>
  <w:style w:type="paragraph" w:styleId="4">
    <w:name w:val="Body Text"/>
    <w:basedOn w:val="1"/>
    <w:autoRedefine/>
    <w:qFormat/>
    <w:uiPriority w:val="0"/>
    <w:pPr>
      <w:spacing w:after="120"/>
    </w:pPr>
    <w:rPr>
      <w:rFonts w:ascii="@微软简标宋" w:eastAsia="@微软简标宋" w:cs="@微软简标宋"/>
      <w:szCs w:val="24"/>
      <w:lang w:val="zh-CN"/>
    </w:rPr>
  </w:style>
  <w:style w:type="paragraph" w:styleId="9">
    <w:name w:val="Normal Indent"/>
    <w:basedOn w:val="1"/>
    <w:next w:val="1"/>
    <w:autoRedefine/>
    <w:qFormat/>
    <w:uiPriority w:val="0"/>
    <w:pPr>
      <w:autoSpaceDE w:val="0"/>
      <w:autoSpaceDN w:val="0"/>
      <w:adjustRightInd w:val="0"/>
      <w:ind w:firstLine="420"/>
      <w:jc w:val="left"/>
    </w:pPr>
    <w:rPr>
      <w:rFonts w:ascii="宋体" w:eastAsia="宋体" w:cs="Times New Roman"/>
      <w:kern w:val="0"/>
      <w:sz w:val="24"/>
    </w:rPr>
  </w:style>
  <w:style w:type="paragraph" w:styleId="10">
    <w:name w:val="annotation text"/>
    <w:basedOn w:val="1"/>
    <w:autoRedefine/>
    <w:qFormat/>
    <w:uiPriority w:val="0"/>
    <w:pPr>
      <w:jc w:val="left"/>
    </w:pPr>
    <w:rPr>
      <w:rFonts w:ascii="Arial" w:hAnsi="Arial" w:eastAsia="黑体" w:cs="Arial"/>
    </w:rPr>
  </w:style>
  <w:style w:type="paragraph" w:styleId="11">
    <w:name w:val="Body Text Indent"/>
    <w:next w:val="12"/>
    <w:autoRedefine/>
    <w:qFormat/>
    <w:uiPriority w:val="0"/>
    <w:pPr>
      <w:widowControl w:val="0"/>
      <w:ind w:firstLine="645"/>
      <w:jc w:val="both"/>
    </w:pPr>
    <w:rPr>
      <w:rFonts w:ascii="楷体_GB2312" w:hAnsi="Times New Roman" w:eastAsia="楷体_GB2312" w:cs="@仿宋_GB2312"/>
      <w:kern w:val="2"/>
      <w:sz w:val="32"/>
      <w:szCs w:val="20"/>
      <w:lang w:val="en-US" w:eastAsia="zh-CN" w:bidi="ar-SA"/>
    </w:rPr>
  </w:style>
  <w:style w:type="paragraph" w:styleId="12">
    <w:name w:val="envelope return"/>
    <w:autoRedefine/>
    <w:qFormat/>
    <w:uiPriority w:val="0"/>
    <w:pPr>
      <w:widowControl w:val="0"/>
      <w:snapToGrid w:val="0"/>
      <w:jc w:val="both"/>
    </w:pPr>
    <w:rPr>
      <w:rFonts w:ascii="Arial" w:hAnsi="Arial" w:eastAsia="@仿宋_GB2312" w:cs="Arial"/>
      <w:kern w:val="2"/>
      <w:sz w:val="21"/>
      <w:szCs w:val="20"/>
      <w:lang w:val="en-US" w:eastAsia="zh-CN" w:bidi="ar-SA"/>
    </w:rPr>
  </w:style>
  <w:style w:type="paragraph" w:styleId="13">
    <w:name w:val="toc 3"/>
    <w:basedOn w:val="1"/>
    <w:next w:val="1"/>
    <w:autoRedefine/>
    <w:qFormat/>
    <w:uiPriority w:val="0"/>
    <w:pPr>
      <w:widowControl/>
      <w:spacing w:after="100" w:line="276" w:lineRule="auto"/>
      <w:ind w:left="440"/>
      <w:jc w:val="left"/>
    </w:pPr>
    <w:rPr>
      <w:rFonts w:ascii="Calibri" w:hAnsi="Calibri" w:eastAsia="宋体" w:cs="Arial"/>
      <w:kern w:val="0"/>
      <w:sz w:val="22"/>
      <w:szCs w:val="22"/>
    </w:rPr>
  </w:style>
  <w:style w:type="paragraph" w:styleId="14">
    <w:name w:val="Plain Text"/>
    <w:basedOn w:val="1"/>
    <w:next w:val="15"/>
    <w:autoRedefine/>
    <w:qFormat/>
    <w:uiPriority w:val="0"/>
    <w:rPr>
      <w:rFonts w:ascii="宋体" w:eastAsia="宋体" w:cs="Arial"/>
      <w:szCs w:val="22"/>
    </w:rPr>
  </w:style>
  <w:style w:type="paragraph" w:styleId="15">
    <w:name w:val="Balloon Text"/>
    <w:basedOn w:val="1"/>
    <w:next w:val="16"/>
    <w:autoRedefine/>
    <w:qFormat/>
    <w:uiPriority w:val="0"/>
    <w:rPr>
      <w:sz w:val="18"/>
      <w:szCs w:val="18"/>
    </w:rPr>
  </w:style>
  <w:style w:type="paragraph" w:styleId="16">
    <w:name w:val="footer"/>
    <w:basedOn w:val="1"/>
    <w:autoRedefine/>
    <w:qFormat/>
    <w:uiPriority w:val="0"/>
    <w:pPr>
      <w:tabs>
        <w:tab w:val="center" w:pos="4153"/>
        <w:tab w:val="right" w:pos="8306"/>
      </w:tabs>
      <w:snapToGrid w:val="0"/>
      <w:jc w:val="left"/>
    </w:pPr>
    <w:rPr>
      <w:sz w:val="18"/>
      <w:szCs w:val="18"/>
    </w:rPr>
  </w:style>
  <w:style w:type="paragraph" w:styleId="17">
    <w:name w:val="Date"/>
    <w:basedOn w:val="1"/>
    <w:next w:val="1"/>
    <w:autoRedefine/>
    <w:qFormat/>
    <w:uiPriority w:val="0"/>
    <w:rPr>
      <w:rFonts w:ascii="Arial" w:hAnsi="Arial" w:eastAsia="宋体" w:cs="Arial"/>
      <w:b/>
      <w:sz w:val="28"/>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0"/>
    <w:pPr>
      <w:widowControl/>
      <w:spacing w:after="100" w:line="276" w:lineRule="auto"/>
      <w:jc w:val="left"/>
    </w:pPr>
    <w:rPr>
      <w:rFonts w:ascii="Calibri" w:hAnsi="Calibri" w:eastAsia="宋体" w:cs="Arial"/>
      <w:kern w:val="0"/>
      <w:sz w:val="22"/>
      <w:szCs w:val="22"/>
    </w:rPr>
  </w:style>
  <w:style w:type="paragraph" w:styleId="20">
    <w:name w:val="toc 2"/>
    <w:basedOn w:val="1"/>
    <w:next w:val="1"/>
    <w:autoRedefine/>
    <w:qFormat/>
    <w:uiPriority w:val="0"/>
    <w:pPr>
      <w:widowControl/>
      <w:spacing w:after="100" w:line="276" w:lineRule="auto"/>
      <w:ind w:left="220"/>
      <w:jc w:val="left"/>
    </w:pPr>
    <w:rPr>
      <w:rFonts w:ascii="Calibri" w:hAnsi="Calibri" w:eastAsia="宋体" w:cs="Arial"/>
      <w:kern w:val="0"/>
      <w:sz w:val="22"/>
      <w:szCs w:val="22"/>
    </w:rPr>
  </w:style>
  <w:style w:type="paragraph" w:styleId="21">
    <w:name w:val="Normal (Web)"/>
    <w:basedOn w:val="1"/>
    <w:autoRedefine/>
    <w:qFormat/>
    <w:uiPriority w:val="0"/>
    <w:pPr>
      <w:spacing w:before="100" w:beforeAutospacing="1" w:after="100" w:afterAutospacing="1"/>
      <w:jc w:val="left"/>
    </w:pPr>
    <w:rPr>
      <w:rFonts w:cs="Times New Roman"/>
      <w:kern w:val="0"/>
      <w:sz w:val="24"/>
    </w:rPr>
  </w:style>
  <w:style w:type="paragraph" w:styleId="22">
    <w:name w:val="index 1"/>
    <w:basedOn w:val="1"/>
    <w:next w:val="1"/>
    <w:autoRedefine/>
    <w:qFormat/>
    <w:uiPriority w:val="0"/>
    <w:pPr>
      <w:jc w:val="center"/>
    </w:pPr>
    <w:rPr>
      <w:rFonts w:ascii="Arial" w:hAnsi="Arial" w:eastAsia="Arial" w:cs="Arial"/>
      <w:b/>
      <w:bCs/>
      <w:sz w:val="28"/>
    </w:rPr>
  </w:style>
  <w:style w:type="paragraph" w:styleId="23">
    <w:name w:val="annotation subject"/>
    <w:basedOn w:val="10"/>
    <w:next w:val="10"/>
    <w:autoRedefine/>
    <w:qFormat/>
    <w:uiPriority w:val="0"/>
    <w:rPr>
      <w:rFonts w:ascii="@仿宋_GB2312" w:eastAsia="@仿宋_GB2312" w:cs="@仿宋_GB2312"/>
      <w:b/>
      <w:bCs/>
    </w:rPr>
  </w:style>
  <w:style w:type="character" w:styleId="26">
    <w:name w:val="Strong"/>
    <w:autoRedefine/>
    <w:qFormat/>
    <w:uiPriority w:val="0"/>
    <w:rPr>
      <w:b/>
      <w:bCs/>
    </w:rPr>
  </w:style>
  <w:style w:type="character" w:styleId="27">
    <w:name w:val="FollowedHyperlink"/>
    <w:basedOn w:val="25"/>
    <w:autoRedefine/>
    <w:qFormat/>
    <w:uiPriority w:val="0"/>
    <w:rPr>
      <w:color w:val="800080"/>
      <w:u w:val="none"/>
    </w:rPr>
  </w:style>
  <w:style w:type="character" w:styleId="28">
    <w:name w:val="Emphasis"/>
    <w:basedOn w:val="25"/>
    <w:autoRedefine/>
    <w:qFormat/>
    <w:uiPriority w:val="0"/>
    <w:rPr>
      <w:i/>
    </w:rPr>
  </w:style>
  <w:style w:type="character" w:styleId="29">
    <w:name w:val="HTML Definition"/>
    <w:basedOn w:val="25"/>
    <w:autoRedefine/>
    <w:qFormat/>
    <w:uiPriority w:val="0"/>
  </w:style>
  <w:style w:type="character" w:styleId="30">
    <w:name w:val="HTML Typewriter"/>
    <w:basedOn w:val="25"/>
    <w:autoRedefine/>
    <w:qFormat/>
    <w:uiPriority w:val="0"/>
    <w:rPr>
      <w:rFonts w:ascii="monospace" w:hAnsi="monospace" w:eastAsia="monospace" w:cs="monospace"/>
      <w:sz w:val="20"/>
    </w:rPr>
  </w:style>
  <w:style w:type="character" w:styleId="31">
    <w:name w:val="HTML Acronym"/>
    <w:basedOn w:val="25"/>
    <w:autoRedefine/>
    <w:qFormat/>
    <w:uiPriority w:val="0"/>
  </w:style>
  <w:style w:type="character" w:styleId="32">
    <w:name w:val="HTML Variable"/>
    <w:basedOn w:val="25"/>
    <w:autoRedefine/>
    <w:qFormat/>
    <w:uiPriority w:val="0"/>
  </w:style>
  <w:style w:type="character" w:styleId="33">
    <w:name w:val="Hyperlink"/>
    <w:basedOn w:val="25"/>
    <w:autoRedefine/>
    <w:qFormat/>
    <w:uiPriority w:val="0"/>
    <w:rPr>
      <w:color w:val="0000FF"/>
      <w:u w:val="single"/>
    </w:rPr>
  </w:style>
  <w:style w:type="character" w:styleId="34">
    <w:name w:val="HTML Code"/>
    <w:basedOn w:val="25"/>
    <w:autoRedefine/>
    <w:qFormat/>
    <w:uiPriority w:val="0"/>
    <w:rPr>
      <w:rFonts w:ascii="monospace" w:hAnsi="monospace" w:eastAsia="monospace" w:cs="monospace"/>
      <w:sz w:val="20"/>
    </w:rPr>
  </w:style>
  <w:style w:type="character" w:styleId="35">
    <w:name w:val="annotation reference"/>
    <w:basedOn w:val="25"/>
    <w:autoRedefine/>
    <w:qFormat/>
    <w:uiPriority w:val="0"/>
    <w:rPr>
      <w:sz w:val="21"/>
      <w:szCs w:val="21"/>
    </w:rPr>
  </w:style>
  <w:style w:type="character" w:styleId="36">
    <w:name w:val="HTML Cite"/>
    <w:basedOn w:val="25"/>
    <w:autoRedefine/>
    <w:qFormat/>
    <w:uiPriority w:val="0"/>
  </w:style>
  <w:style w:type="character" w:styleId="37">
    <w:name w:val="HTML Keyboard"/>
    <w:basedOn w:val="25"/>
    <w:autoRedefine/>
    <w:qFormat/>
    <w:uiPriority w:val="0"/>
    <w:rPr>
      <w:rFonts w:ascii="monospace" w:hAnsi="monospace" w:eastAsia="monospace" w:cs="monospace"/>
      <w:sz w:val="20"/>
    </w:rPr>
  </w:style>
  <w:style w:type="character" w:styleId="38">
    <w:name w:val="HTML Sample"/>
    <w:basedOn w:val="25"/>
    <w:autoRedefine/>
    <w:qFormat/>
    <w:uiPriority w:val="0"/>
    <w:rPr>
      <w:rFonts w:ascii="monospace" w:hAnsi="monospace" w:eastAsia="monospace" w:cs="monospace"/>
    </w:rPr>
  </w:style>
  <w:style w:type="paragraph" w:customStyle="1" w:styleId="39">
    <w:name w:val="正文（缩进）"/>
    <w:basedOn w:val="1"/>
    <w:autoRedefine/>
    <w:qFormat/>
    <w:uiPriority w:val="0"/>
    <w:pPr>
      <w:widowControl/>
      <w:spacing w:before="156" w:after="156"/>
      <w:ind w:firstLine="200" w:firstLineChars="200"/>
      <w:jc w:val="left"/>
    </w:pPr>
    <w:rPr>
      <w:kern w:val="0"/>
      <w:sz w:val="24"/>
      <w:szCs w:val="24"/>
    </w:rPr>
  </w:style>
  <w:style w:type="paragraph" w:customStyle="1" w:styleId="40">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41">
    <w:name w:val="D&amp;L"/>
    <w:basedOn w:val="18"/>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42">
    <w:name w:val="纯文本 字符1"/>
    <w:basedOn w:val="25"/>
    <w:autoRedefine/>
    <w:qFormat/>
    <w:uiPriority w:val="0"/>
    <w:rPr>
      <w:rFonts w:ascii="宋体" w:cs="Courier New"/>
      <w:szCs w:val="20"/>
    </w:rPr>
  </w:style>
  <w:style w:type="character" w:customStyle="1" w:styleId="43">
    <w:name w:val="未处理的提及1"/>
    <w:basedOn w:val="25"/>
    <w:autoRedefine/>
    <w:qFormat/>
    <w:uiPriority w:val="0"/>
    <w:rPr>
      <w:color w:val="605E5C"/>
      <w:shd w:val="clear" w:color="auto" w:fill="E1DFDD"/>
    </w:rPr>
  </w:style>
  <w:style w:type="paragraph" w:styleId="44">
    <w:name w:val="List Paragraph"/>
    <w:basedOn w:val="1"/>
    <w:autoRedefine/>
    <w:qFormat/>
    <w:uiPriority w:val="0"/>
    <w:pPr>
      <w:ind w:firstLine="200" w:firstLineChars="200"/>
    </w:pPr>
  </w:style>
  <w:style w:type="paragraph" w:customStyle="1" w:styleId="45">
    <w:name w:val="Char Char Char Char Char Char Char1 Char"/>
    <w:basedOn w:val="1"/>
    <w:autoRedefine/>
    <w:qFormat/>
    <w:uiPriority w:val="0"/>
    <w:rPr>
      <w:rFonts w:ascii="Arial" w:hAnsi="Arial" w:eastAsia="宋体" w:cs="Arial"/>
      <w:sz w:val="24"/>
    </w:rPr>
  </w:style>
  <w:style w:type="character" w:customStyle="1" w:styleId="46">
    <w:name w:val="日期 字符"/>
    <w:basedOn w:val="25"/>
    <w:autoRedefine/>
    <w:qFormat/>
    <w:uiPriority w:val="0"/>
    <w:rPr>
      <w:rFonts w:ascii="@仿宋_GB2312" w:eastAsia="@仿宋_GB2312" w:cs="@仿宋_GB2312"/>
      <w:szCs w:val="20"/>
    </w:rPr>
  </w:style>
  <w:style w:type="character" w:customStyle="1" w:styleId="47">
    <w:name w:val="纯文本 Char1"/>
    <w:autoRedefine/>
    <w:qFormat/>
    <w:locked/>
    <w:uiPriority w:val="0"/>
    <w:rPr>
      <w:rFonts w:ascii="Arial" w:hAnsi="Arial" w:eastAsia="Arial"/>
      <w:kern w:val="2"/>
      <w:sz w:val="21"/>
      <w:lang w:val="en-US" w:eastAsia="zh-CN" w:bidi="ar-SA"/>
    </w:rPr>
  </w:style>
  <w:style w:type="character" w:customStyle="1" w:styleId="48">
    <w:name w:val="批注文字 Char"/>
    <w:basedOn w:val="25"/>
    <w:autoRedefine/>
    <w:qFormat/>
    <w:uiPriority w:val="0"/>
    <w:rPr>
      <w:rFonts w:ascii="@仿宋_GB2312" w:eastAsia="@仿宋_GB2312" w:cs="@仿宋_GB2312"/>
      <w:szCs w:val="20"/>
    </w:rPr>
  </w:style>
  <w:style w:type="paragraph" w:customStyle="1" w:styleId="49">
    <w:name w:val="TOC 标题1"/>
    <w:basedOn w:val="5"/>
    <w:next w:val="1"/>
    <w:autoRedefine/>
    <w:qFormat/>
    <w:uiPriority w:val="0"/>
    <w:pPr>
      <w:keepNext/>
      <w:keepLines/>
      <w:widowControl/>
      <w:spacing w:before="480" w:after="0" w:line="276" w:lineRule="auto"/>
      <w:jc w:val="left"/>
      <w:outlineLvl w:val="9"/>
    </w:pPr>
    <w:rPr>
      <w:rFonts w:ascii="Cambria" w:hAnsi="Cambria" w:eastAsia="宋体" w:cs="Times New Roman"/>
      <w:color w:val="365F91"/>
      <w:kern w:val="0"/>
      <w:sz w:val="28"/>
      <w:szCs w:val="28"/>
    </w:rPr>
  </w:style>
  <w:style w:type="character" w:customStyle="1" w:styleId="50">
    <w:name w:val="fontstyle01"/>
    <w:basedOn w:val="25"/>
    <w:autoRedefine/>
    <w:qFormat/>
    <w:uiPriority w:val="0"/>
    <w:rPr>
      <w:rFonts w:ascii="宋体" w:eastAsia="宋体"/>
      <w:color w:val="000000"/>
      <w:sz w:val="22"/>
      <w:szCs w:val="22"/>
    </w:rPr>
  </w:style>
  <w:style w:type="character" w:customStyle="1" w:styleId="51">
    <w:name w:val="fontstyle21"/>
    <w:basedOn w:val="25"/>
    <w:autoRedefine/>
    <w:qFormat/>
    <w:uiPriority w:val="0"/>
    <w:rPr>
      <w:rFonts w:ascii="TimesNewRomanPSMT" w:hAnsi="TimesNewRomanPSMT"/>
      <w:color w:val="000000"/>
      <w:sz w:val="22"/>
      <w:szCs w:val="22"/>
    </w:rPr>
  </w:style>
  <w:style w:type="character" w:customStyle="1" w:styleId="52">
    <w:name w:val="正文文本 (2) + Sylfaen2"/>
    <w:autoRedefine/>
    <w:qFormat/>
    <w:uiPriority w:val="0"/>
    <w:rPr>
      <w:rFonts w:ascii="Sylfaen" w:hAnsi="Sylfaen" w:eastAsia="MingLiU" w:cs="Sylfaen"/>
      <w:spacing w:val="0"/>
      <w:sz w:val="23"/>
      <w:szCs w:val="23"/>
      <w:shd w:val="clear" w:color="auto" w:fill="FFFFFF"/>
      <w:lang w:val="en-US"/>
    </w:rPr>
  </w:style>
  <w:style w:type="character" w:customStyle="1" w:styleId="53">
    <w:name w:val="标题 4 字符"/>
    <w:basedOn w:val="25"/>
    <w:autoRedefine/>
    <w:qFormat/>
    <w:uiPriority w:val="0"/>
    <w:rPr>
      <w:rFonts w:ascii="Cambria" w:hAnsi="Cambria" w:eastAsia="宋体" w:cs="Times New Roman"/>
      <w:b/>
      <w:bCs/>
      <w:sz w:val="28"/>
      <w:szCs w:val="28"/>
    </w:rPr>
  </w:style>
  <w:style w:type="character" w:customStyle="1" w:styleId="54">
    <w:name w:val="标题 4 Char"/>
    <w:autoRedefine/>
    <w:qFormat/>
    <w:uiPriority w:val="0"/>
    <w:rPr>
      <w:rFonts w:ascii="Arial" w:hAnsi="Arial" w:eastAsia="Arial"/>
      <w:b/>
      <w:bCs/>
      <w:kern w:val="2"/>
      <w:sz w:val="28"/>
      <w:szCs w:val="28"/>
      <w:lang w:val="en-US" w:eastAsia="zh-CN" w:bidi="ar-SA"/>
    </w:rPr>
  </w:style>
  <w:style w:type="paragraph" w:customStyle="1" w:styleId="55">
    <w:name w:val="Table Text"/>
    <w:basedOn w:val="1"/>
    <w:autoRedefine/>
    <w:qFormat/>
    <w:uiPriority w:val="0"/>
    <w:rPr>
      <w:rFonts w:ascii="Arial" w:hAnsi="Arial" w:eastAsia="Arial" w:cs="Arial"/>
      <w:szCs w:val="21"/>
    </w:rPr>
  </w:style>
  <w:style w:type="paragraph" w:customStyle="1" w:styleId="56">
    <w:name w:val="样式6"/>
    <w:autoRedefine/>
    <w:qFormat/>
    <w:uiPriority w:val="0"/>
    <w:pPr>
      <w:widowControl w:val="0"/>
      <w:topLinePunct/>
      <w:spacing w:before="160" w:after="60"/>
      <w:jc w:val="center"/>
    </w:pPr>
    <w:rPr>
      <w:rFonts w:ascii="Times New Roman" w:hAnsi="Times New Roman" w:eastAsia="黑体" w:cs="Times New Roman"/>
      <w:kern w:val="2"/>
      <w:sz w:val="21"/>
      <w:szCs w:val="21"/>
      <w:lang w:val="en-US" w:eastAsia="zh-CN" w:bidi="ar-SA"/>
    </w:rPr>
  </w:style>
  <w:style w:type="paragraph" w:customStyle="1" w:styleId="57">
    <w:name w:val="Char"/>
    <w:autoRedefine/>
    <w:qFormat/>
    <w:uiPriority w:val="0"/>
    <w:pPr>
      <w:widowControl w:val="0"/>
      <w:jc w:val="both"/>
    </w:pPr>
    <w:rPr>
      <w:rFonts w:ascii="Times New Roman" w:hAnsi="Times New Roman" w:eastAsia="宋体" w:cs="Times New Roman"/>
      <w:kern w:val="2"/>
      <w:sz w:val="18"/>
      <w:szCs w:val="20"/>
      <w:lang w:val="en-US" w:eastAsia="zh-CN" w:bidi="ar-SA"/>
    </w:rPr>
  </w:style>
  <w:style w:type="character" w:customStyle="1" w:styleId="58">
    <w:name w:val="font11"/>
    <w:autoRedefine/>
    <w:qFormat/>
    <w:uiPriority w:val="0"/>
    <w:rPr>
      <w:rFonts w:ascii="宋体" w:eastAsia="宋体" w:cs="宋体"/>
      <w:color w:val="000000"/>
      <w:sz w:val="22"/>
      <w:szCs w:val="22"/>
      <w:u w:val="none"/>
    </w:rPr>
  </w:style>
  <w:style w:type="character" w:customStyle="1" w:styleId="59">
    <w:name w:val="font31"/>
    <w:autoRedefine/>
    <w:qFormat/>
    <w:uiPriority w:val="0"/>
    <w:rPr>
      <w:rFonts w:ascii="宋体" w:eastAsia="宋体" w:cs="宋体"/>
      <w:color w:val="000000"/>
      <w:sz w:val="22"/>
      <w:szCs w:val="22"/>
      <w:u w:val="none"/>
    </w:rPr>
  </w:style>
  <w:style w:type="paragraph" w:customStyle="1" w:styleId="60">
    <w:name w:val="正文_0_0"/>
    <w:autoRedefine/>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akoosky</Company>
  <Pages>82</Pages>
  <Words>40513</Words>
  <Characters>44818</Characters>
  <Lines>0</Lines>
  <Paragraphs>692</Paragraphs>
  <TotalTime>14</TotalTime>
  <ScaleCrop>false</ScaleCrop>
  <LinksUpToDate>false</LinksUpToDate>
  <CharactersWithSpaces>45658</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许佳佳</cp:lastModifiedBy>
  <cp:lastPrinted>2019-12-07T15:18:00Z</cp:lastPrinted>
  <dcterms:modified xsi:type="dcterms:W3CDTF">2024-06-06T12:30:51Z</dcterms:modified>
  <cp:revision>389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1ECEA165F94845FFAF35C1C96E4FB9B0_12</vt:lpwstr>
  </property>
</Properties>
</file>