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w:t>
      </w:r>
      <w:r>
        <w:rPr>
          <w:rFonts w:hint="eastAsia" w:eastAsia="仿宋_GB2312"/>
          <w:snapToGrid w:val="0"/>
          <w:sz w:val="30"/>
          <w:lang w:val="en-US" w:eastAsia="zh-CN"/>
        </w:rPr>
        <w:t>3</w:t>
      </w:r>
      <w:r>
        <w:rPr>
          <w:rFonts w:hint="eastAsia" w:eastAsia="仿宋_GB2312"/>
          <w:snapToGrid w:val="0"/>
          <w:sz w:val="30"/>
          <w:lang w:eastAsia="zh-CN"/>
        </w:rPr>
        <w:t>0</w:t>
      </w:r>
      <w:r>
        <w:rPr>
          <w:rFonts w:hint="eastAsia" w:eastAsia="仿宋_GB2312"/>
          <w:snapToGrid w:val="0"/>
          <w:sz w:val="30"/>
          <w:lang w:val="en-US" w:eastAsia="zh-CN"/>
        </w:rPr>
        <w:t>43</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hint="eastAsia" w:asciiTheme="majorEastAsia" w:hAnsiTheme="majorEastAsia" w:eastAsiaTheme="majorEastAsia" w:cstheme="majorEastAsia"/>
          <w:b/>
          <w:bCs/>
          <w:w w:val="90"/>
          <w:sz w:val="48"/>
          <w:szCs w:val="48"/>
        </w:rPr>
      </w:pPr>
      <w:r>
        <w:rPr>
          <w:rFonts w:hint="eastAsia" w:asciiTheme="majorEastAsia" w:hAnsiTheme="majorEastAsia" w:eastAsiaTheme="majorEastAsia" w:cstheme="majorEastAsia"/>
          <w:b/>
          <w:bCs/>
          <w:sz w:val="52"/>
          <w:szCs w:val="52"/>
          <w:lang w:val="en-US" w:eastAsia="zh-CN"/>
        </w:rPr>
        <w:t>皖南医学院赭麓校区电房加盖层拆除及围墙维修工程项目</w:t>
      </w:r>
      <w:r>
        <w:rPr>
          <w:rFonts w:hint="eastAsia" w:asciiTheme="majorEastAsia" w:hAnsiTheme="majorEastAsia" w:eastAsiaTheme="majorEastAsia" w:cstheme="majorEastAsia"/>
          <w:b/>
          <w:bCs/>
          <w:sz w:val="52"/>
          <w:szCs w:val="52"/>
        </w:rPr>
        <w:t xml:space="preserve">    </w:t>
      </w:r>
      <w:r>
        <w:rPr>
          <w:rFonts w:hint="eastAsia" w:asciiTheme="majorEastAsia" w:hAnsiTheme="majorEastAsia" w:eastAsiaTheme="majorEastAsia" w:cstheme="majorEastAsia"/>
          <w:b/>
          <w:bCs/>
          <w:w w:val="90"/>
          <w:sz w:val="48"/>
          <w:szCs w:val="48"/>
        </w:rPr>
        <w:t xml:space="preserve">  </w:t>
      </w:r>
    </w:p>
    <w:p>
      <w:pPr>
        <w:jc w:val="center"/>
        <w:rPr>
          <w:rFonts w:hint="eastAsia" w:asciiTheme="majorEastAsia" w:hAnsiTheme="majorEastAsia" w:eastAsiaTheme="majorEastAsia" w:cstheme="majorEastAsia"/>
          <w:sz w:val="52"/>
          <w:szCs w:val="52"/>
        </w:rPr>
      </w:pPr>
      <w:r>
        <w:rPr>
          <w:rFonts w:hint="eastAsia" w:asciiTheme="majorEastAsia" w:hAnsiTheme="majorEastAsia" w:eastAsiaTheme="majorEastAsia" w:cstheme="majorEastAsia"/>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3</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7</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0"/>
      </w:pPr>
      <w:r>
        <w:rPr>
          <w:rFonts w:hint="eastAsia"/>
        </w:rPr>
        <w:t>目  录</w:t>
      </w:r>
    </w:p>
    <w:p>
      <w:pPr>
        <w:pStyle w:val="20"/>
      </w:pPr>
    </w:p>
    <w:p>
      <w:pPr>
        <w:pStyle w:val="20"/>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2"/>
          <w:rFonts w:hint="eastAsia"/>
        </w:rPr>
        <w:t>第一章</w:t>
      </w:r>
      <w:r>
        <w:rPr>
          <w:rStyle w:val="32"/>
        </w:rPr>
        <w:t xml:space="preserve">  </w:t>
      </w:r>
      <w:r>
        <w:rPr>
          <w:rStyle w:val="32"/>
          <w:rFonts w:hint="eastAsia" w:ascii="宋体" w:hAnsi="宋体" w:eastAsia="宋体" w:cs="宋体"/>
        </w:rPr>
        <w:t>磋</w:t>
      </w:r>
      <w:r>
        <w:rPr>
          <w:rStyle w:val="32"/>
          <w:rFonts w:hint="eastAsia"/>
        </w:rPr>
        <w:t>商公告</w:t>
      </w:r>
      <w:r>
        <w:tab/>
      </w:r>
      <w:r>
        <w:fldChar w:fldCharType="begin"/>
      </w:r>
      <w:r>
        <w:instrText xml:space="preserve"> PAGEREF _Toc49762999 \h </w:instrText>
      </w:r>
      <w:r>
        <w:fldChar w:fldCharType="separate"/>
      </w:r>
      <w:r>
        <w:t>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"_Toc49763000" </w:instrText>
      </w:r>
      <w:r>
        <w:fldChar w:fldCharType="separate"/>
      </w:r>
      <w:r>
        <w:rPr>
          <w:rStyle w:val="32"/>
          <w:rFonts w:hint="eastAsia"/>
        </w:rPr>
        <w:t>第二章</w:t>
      </w:r>
      <w:r>
        <w:rPr>
          <w:rStyle w:val="32"/>
        </w:rPr>
        <w:t xml:space="preserve">  </w:t>
      </w:r>
      <w:r>
        <w:rPr>
          <w:rStyle w:val="32"/>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"_Toc49763001" </w:instrText>
      </w:r>
      <w:r>
        <w:fldChar w:fldCharType="separate"/>
      </w:r>
      <w:r>
        <w:rPr>
          <w:rStyle w:val="32"/>
          <w:rFonts w:hint="eastAsia"/>
        </w:rPr>
        <w:t>第三章</w:t>
      </w:r>
      <w:r>
        <w:rPr>
          <w:rStyle w:val="32"/>
        </w:rPr>
        <w:t xml:space="preserve">  </w:t>
      </w:r>
      <w:r>
        <w:rPr>
          <w:rStyle w:val="32"/>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"_Toc49763002" </w:instrText>
      </w:r>
      <w:r>
        <w:fldChar w:fldCharType="separate"/>
      </w:r>
      <w:r>
        <w:rPr>
          <w:rStyle w:val="32"/>
          <w:rFonts w:hint="eastAsia"/>
        </w:rPr>
        <w:t>第四章</w:t>
      </w:r>
      <w:r>
        <w:rPr>
          <w:rStyle w:val="32"/>
        </w:rPr>
        <w:t xml:space="preserve">  </w:t>
      </w:r>
      <w:r>
        <w:rPr>
          <w:rStyle w:val="32"/>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"_Toc49763003" </w:instrText>
      </w:r>
      <w:r>
        <w:fldChar w:fldCharType="separate"/>
      </w:r>
      <w:r>
        <w:rPr>
          <w:rStyle w:val="32"/>
          <w:rFonts w:hint="eastAsia"/>
        </w:rPr>
        <w:t>第五章</w:t>
      </w:r>
      <w:r>
        <w:rPr>
          <w:rStyle w:val="32"/>
        </w:rPr>
        <w:t xml:space="preserve">  </w:t>
      </w:r>
      <w:r>
        <w:rPr>
          <w:rStyle w:val="32"/>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"_Toc49763004" </w:instrText>
      </w:r>
      <w:r>
        <w:fldChar w:fldCharType="separate"/>
      </w:r>
      <w:r>
        <w:rPr>
          <w:rStyle w:val="32"/>
          <w:rFonts w:hint="eastAsia"/>
        </w:rPr>
        <w:t>第六章</w:t>
      </w:r>
      <w:r>
        <w:rPr>
          <w:rStyle w:val="32"/>
        </w:rPr>
        <w:t xml:space="preserve">  </w:t>
      </w:r>
      <w:r>
        <w:rPr>
          <w:rStyle w:val="32"/>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0"/>
        <w:rPr>
          <w:rFonts w:ascii="Calibri" w:hAnsi="Calibri" w:eastAsia="宋体"/>
          <w:b w:val="0"/>
          <w:sz w:val="21"/>
          <w:szCs w:val="22"/>
        </w:rPr>
      </w:pPr>
      <w:r>
        <w:fldChar w:fldCharType="begin"/>
      </w:r>
      <w:r>
        <w:instrText xml:space="preserve"> HYPERLINK \l "_Toc49763005" </w:instrText>
      </w:r>
      <w:r>
        <w:fldChar w:fldCharType="separate"/>
      </w:r>
      <w:r>
        <w:rPr>
          <w:rStyle w:val="32"/>
          <w:rFonts w:hint="eastAsia"/>
        </w:rPr>
        <w:t>第七章</w:t>
      </w:r>
      <w:r>
        <w:rPr>
          <w:rStyle w:val="32"/>
        </w:rPr>
        <w:t xml:space="preserve">  </w:t>
      </w:r>
      <w:r>
        <w:rPr>
          <w:rStyle w:val="32"/>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3"/>
        <w:ind w:firstLine="1446" w:firstLineChars="400"/>
        <w:rPr>
          <w:rFonts w:hint="eastAsia" w:ascii="宋体" w:hAnsi="宋体" w:eastAsia="宋体" w:cs="宋体"/>
          <w:color w:val="auto"/>
          <w:szCs w:val="21"/>
        </w:rPr>
      </w:pPr>
      <w:bookmarkStart w:id="0" w:name="_Toc49762999"/>
      <w:r>
        <w:rPr>
          <w:rFonts w:hint="eastAsia" w:ascii="宋体" w:hAnsi="宋体" w:eastAsia="宋体" w:cs="宋体"/>
          <w:color w:val="auto"/>
          <w:szCs w:val="21"/>
        </w:rPr>
        <w:t>第一章  磋商公告</w:t>
      </w:r>
      <w:bookmarkEnd w:id="0"/>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赭麓校区电房加盖层拆除及围墙维修工程项目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 xml:space="preserve">赭麓校区电房加盖层拆除及围墙维修工程项目 </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2023043</w:t>
      </w:r>
      <w:r>
        <w:rPr>
          <w:rFonts w:hint="default" w:ascii="仿宋_GB2312" w:eastAsia="仿宋_GB2312" w:cs="宋体"/>
          <w:sz w:val="24"/>
          <w:szCs w:val="24"/>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194529.78元。</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1.具有独立承担民事责任的能力。</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2.具有建筑工程施工总承包三级及以上资质企业。投标单位相关资质须是建设行政主管部门核发的，且经年检合格。</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3.具有良好的商业信誉和优良的售后服务，在近三年的经营活动中没有不良记录。</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kern w:val="0"/>
          <w:sz w:val="24"/>
          <w:szCs w:val="24"/>
          <w:lang w:val="en-US" w:eastAsia="zh-CN" w:bidi="ar-SA"/>
        </w:rPr>
      </w:pPr>
      <w:r>
        <w:rPr>
          <w:rFonts w:hint="eastAsia" w:ascii="仿宋_GB2312" w:eastAsia="仿宋_GB2312" w:cs="宋体"/>
          <w:kern w:val="0"/>
          <w:sz w:val="24"/>
          <w:szCs w:val="24"/>
          <w:lang w:val="en-US" w:eastAsia="zh-CN" w:bidi="ar-SA"/>
        </w:rPr>
        <w:t>4.本项目不接受联合体投标</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三、报名时间及方式：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19</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25</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赭麓校区电房加盖层拆除及围墙维修工程项目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2023043</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5"/>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8</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8</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日</w:t>
      </w:r>
      <w:r>
        <w:rPr>
          <w:rFonts w:hint="eastAsia" w:ascii="仿宋_GB2312" w:eastAsia="仿宋_GB2312" w:cs="宋体"/>
          <w:sz w:val="24"/>
          <w:szCs w:val="24"/>
          <w:highlight w:val="none"/>
          <w:lang w:val="en-US" w:eastAsia="zh-CN"/>
        </w:rPr>
        <w:t>下</w:t>
      </w:r>
      <w:r>
        <w:rPr>
          <w:rFonts w:hint="default" w:ascii="仿宋_GB2312" w:eastAsia="仿宋_GB2312" w:cs="宋体"/>
          <w:sz w:val="24"/>
          <w:szCs w:val="24"/>
          <w:highlight w:val="none"/>
          <w:lang w:val="en-US" w:eastAsia="zh-CN"/>
        </w:rPr>
        <w:t>午</w:t>
      </w:r>
      <w:r>
        <w:rPr>
          <w:rFonts w:hint="eastAsia" w:ascii="仿宋_GB2312" w:eastAsia="仿宋_GB2312" w:cs="宋体"/>
          <w:sz w:val="24"/>
          <w:szCs w:val="24"/>
          <w:highlight w:val="none"/>
          <w:lang w:val="en-US" w:eastAsia="zh-CN"/>
        </w:rPr>
        <w:t>14</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5"/>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14"/>
        <w:ind w:left="0" w:leftChars="0" w:firstLine="560" w:firstLineChars="200"/>
        <w:rPr>
          <w:rFonts w:hint="eastAsia" w:ascii="仿宋_GB2312" w:hAnsi="仿宋_GB2312" w:eastAsia="仿宋_GB2312" w:cs="仿宋_GB2312"/>
          <w:i w:val="0"/>
          <w:iCs w:val="0"/>
          <w:caps w:val="0"/>
          <w:color w:val="333333"/>
          <w:spacing w:val="0"/>
          <w:sz w:val="28"/>
          <w:szCs w:val="28"/>
          <w:shd w:val="clear" w:fill="FFFFFF"/>
        </w:rPr>
      </w:pPr>
      <w:r>
        <w:rPr>
          <w:rFonts w:hint="eastAsia" w:ascii="仿宋_GB2312" w:hAnsi="仿宋_GB2312" w:eastAsia="仿宋_GB2312" w:cs="仿宋_GB2312"/>
          <w:i w:val="0"/>
          <w:iCs w:val="0"/>
          <w:caps w:val="0"/>
          <w:color w:val="333333"/>
          <w:spacing w:val="0"/>
          <w:sz w:val="28"/>
          <w:szCs w:val="28"/>
          <w:shd w:val="clear" w:fill="FFFFFF"/>
        </w:rPr>
        <w:t>因学校要求，校外人员进校需扫码登记。请各投标单位如实填写，并于2023年</w:t>
      </w:r>
      <w:r>
        <w:rPr>
          <w:rFonts w:hint="eastAsia" w:hAnsi="仿宋_GB2312" w:cs="仿宋_GB2312"/>
          <w:i w:val="0"/>
          <w:iCs w:val="0"/>
          <w:caps w:val="0"/>
          <w:color w:val="333333"/>
          <w:spacing w:val="0"/>
          <w:sz w:val="28"/>
          <w:szCs w:val="28"/>
          <w:shd w:val="clear" w:fill="FFFFFF"/>
          <w:lang w:val="en-US" w:eastAsia="zh-CN"/>
        </w:rPr>
        <w:t>8</w:t>
      </w:r>
      <w:r>
        <w:rPr>
          <w:rFonts w:hint="eastAsia" w:ascii="仿宋_GB2312" w:hAnsi="仿宋_GB2312" w:eastAsia="仿宋_GB2312" w:cs="仿宋_GB2312"/>
          <w:i w:val="0"/>
          <w:iCs w:val="0"/>
          <w:caps w:val="0"/>
          <w:color w:val="333333"/>
          <w:spacing w:val="0"/>
          <w:sz w:val="28"/>
          <w:szCs w:val="28"/>
          <w:shd w:val="clear" w:fill="FFFFFF"/>
        </w:rPr>
        <w:t>月</w:t>
      </w:r>
      <w:r>
        <w:rPr>
          <w:rFonts w:hint="eastAsia" w:hAnsi="仿宋_GB2312" w:cs="仿宋_GB2312"/>
          <w:i w:val="0"/>
          <w:iCs w:val="0"/>
          <w:caps w:val="0"/>
          <w:color w:val="333333"/>
          <w:spacing w:val="0"/>
          <w:sz w:val="28"/>
          <w:szCs w:val="28"/>
          <w:shd w:val="clear" w:fill="FFFFFF"/>
          <w:lang w:val="en-US" w:eastAsia="zh-CN"/>
        </w:rPr>
        <w:t>2</w:t>
      </w:r>
      <w:r>
        <w:rPr>
          <w:rFonts w:hint="eastAsia" w:ascii="仿宋_GB2312" w:hAnsi="仿宋_GB2312" w:eastAsia="仿宋_GB2312" w:cs="仿宋_GB2312"/>
          <w:i w:val="0"/>
          <w:iCs w:val="0"/>
          <w:caps w:val="0"/>
          <w:color w:val="333333"/>
          <w:spacing w:val="0"/>
          <w:sz w:val="28"/>
          <w:szCs w:val="28"/>
          <w:shd w:val="clear" w:fill="FFFFFF"/>
        </w:rPr>
        <w:t>日12：00前完成登记申请（其中受访人姓名：王凌云，电话：13505596369），未按时提交申请的，后果自负。</w:t>
      </w:r>
    </w:p>
    <w:p>
      <w:pPr>
        <w:pStyle w:val="14"/>
        <w:ind w:left="0" w:leftChars="0" w:firstLine="560" w:firstLineChars="200"/>
      </w:pPr>
      <w:r>
        <w:rPr>
          <w:rFonts w:hint="eastAsia" w:ascii="仿宋_GB2312" w:hAnsi="仿宋_GB2312" w:eastAsia="仿宋_GB2312" w:cs="仿宋_GB2312"/>
          <w:i w:val="0"/>
          <w:iCs w:val="0"/>
          <w:caps w:val="0"/>
          <w:color w:val="333333"/>
          <w:spacing w:val="0"/>
          <w:sz w:val="28"/>
          <w:szCs w:val="28"/>
          <w:shd w:val="clear" w:fill="FFFFFF"/>
        </w:rPr>
        <w:t> </w:t>
      </w:r>
      <w:r>
        <w:drawing>
          <wp:inline distT="0" distB="0" distL="114300" distR="114300">
            <wp:extent cx="1781175" cy="1914525"/>
            <wp:effectExtent l="0" t="0" r="9525"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1781175" cy="1914525"/>
                    </a:xfrm>
                    <a:prstGeom prst="rect">
                      <a:avLst/>
                    </a:prstGeom>
                    <a:noFill/>
                    <a:ln>
                      <a:noFill/>
                    </a:ln>
                  </pic:spPr>
                </pic:pic>
              </a:graphicData>
            </a:graphic>
          </wp:inline>
        </w:drawing>
      </w:r>
      <w:r>
        <w:rPr>
          <w:rFonts w:hint="eastAsia" w:ascii="仿宋_GB2312" w:hAnsi="仿宋_GB2312" w:eastAsia="仿宋_GB2312" w:cs="仿宋_GB2312"/>
          <w:i w:val="0"/>
          <w:iCs w:val="0"/>
          <w:caps w:val="0"/>
          <w:color w:val="333333"/>
          <w:spacing w:val="0"/>
          <w:sz w:val="28"/>
          <w:szCs w:val="28"/>
          <w:shd w:val="clear" w:fill="FFFFFF"/>
        </w:rPr>
        <w:t>。</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eastAsia="仿宋_GB2312" w:cs="宋体"/>
          <w:sz w:val="24"/>
          <w:szCs w:val="24"/>
          <w:lang w:val="en-US" w:eastAsia="zh-CN"/>
        </w:rPr>
        <w:t> 。</w:t>
      </w: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5"/>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5"/>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3</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7</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19</w:t>
      </w:r>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3"/>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Theme="majorEastAsia" w:hAnsiTheme="majorEastAsia" w:eastAsiaTheme="majorEastAsia" w:cstheme="majorEastAsia"/>
          <w:color w:val="auto"/>
        </w:rPr>
        <w:t>第二章  磋商须知前附表</w:t>
      </w:r>
      <w:bookmarkEnd w:id="1"/>
    </w:p>
    <w:tbl>
      <w:tblPr>
        <w:tblStyle w:val="28"/>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仿宋_GB2312" w:eastAsia="仿宋_GB2312" w:cs="宋体"/>
                <w:sz w:val="24"/>
                <w:szCs w:val="24"/>
                <w:lang w:val="en-US" w:eastAsia="zh-CN"/>
              </w:rPr>
              <w:t>赭麓校区电房加盖层拆除及围墙维修工程项目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7"/>
              <w:ind w:left="0" w:leftChars="0" w:firstLine="0" w:firstLineChars="0"/>
              <w:rPr>
                <w:rFonts w:hint="default"/>
                <w:lang w:val="en-US" w:eastAsia="zh-CN"/>
              </w:rPr>
            </w:pPr>
            <w:r>
              <w:rPr>
                <w:rFonts w:hint="eastAsia"/>
                <w:b/>
                <w:bCs/>
                <w:sz w:val="21"/>
                <w:szCs w:val="21"/>
                <w:lang w:val="en-US" w:eastAsia="zh-CN"/>
              </w:rPr>
              <w:t>踏勘联系人：郑老师 ；自主踏勘。踏勘联系方式：0553-3932415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4000元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7"/>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Theme="majorEastAsia" w:hAnsiTheme="majorEastAsia" w:eastAsiaTheme="majorEastAsia" w:cstheme="majorEastAsia"/>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120614214"/>
      <w:bookmarkStart w:id="4" w:name="_Toc403987205"/>
      <w:bookmarkStart w:id="5" w:name="_Toc16938519"/>
      <w:bookmarkStart w:id="6" w:name="_Toc20823275"/>
      <w:bookmarkStart w:id="7" w:name="_Toc513029203"/>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20823276"/>
      <w:bookmarkStart w:id="10" w:name="_Toc16938520"/>
      <w:bookmarkStart w:id="11" w:name="_Toc513029204"/>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0"/>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40"/>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513029205"/>
      <w:bookmarkStart w:id="13" w:name="_Toc20823277"/>
      <w:bookmarkStart w:id="14" w:name="_Toc16938521"/>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0"/>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40"/>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20823278"/>
      <w:bookmarkStart w:id="16" w:name="_Toc513029206"/>
      <w:bookmarkStart w:id="17" w:name="_Toc16938522"/>
      <w:r>
        <w:rPr>
          <w:rFonts w:hint="eastAsia" w:ascii="宋体" w:hAnsi="宋体" w:cs="宋体"/>
          <w:sz w:val="24"/>
          <w:szCs w:val="24"/>
        </w:rPr>
        <w:t>4.适用法律</w:t>
      </w:r>
      <w:bookmarkEnd w:id="15"/>
      <w:bookmarkEnd w:id="16"/>
      <w:bookmarkEnd w:id="17"/>
    </w:p>
    <w:p>
      <w:pPr>
        <w:pStyle w:val="40"/>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20823279"/>
      <w:bookmarkStart w:id="19" w:name="_Toc462564067"/>
      <w:bookmarkStart w:id="20" w:name="_Toc513029207"/>
      <w:bookmarkStart w:id="21" w:name="_Toc16938523"/>
      <w:r>
        <w:rPr>
          <w:rFonts w:hint="eastAsia" w:ascii="宋体" w:hAnsi="宋体" w:cs="宋体"/>
          <w:sz w:val="24"/>
          <w:szCs w:val="24"/>
        </w:rPr>
        <w:t>5.磋商费用</w:t>
      </w:r>
      <w:bookmarkEnd w:id="18"/>
      <w:bookmarkEnd w:id="19"/>
      <w:bookmarkEnd w:id="20"/>
      <w:bookmarkEnd w:id="21"/>
    </w:p>
    <w:p>
      <w:pPr>
        <w:pStyle w:val="40"/>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0"/>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40"/>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403987206"/>
      <w:bookmarkStart w:id="23" w:name="_Toc120614215"/>
      <w:bookmarkStart w:id="24" w:name="_Toc20823281"/>
      <w:bookmarkStart w:id="25" w:name="_Toc513029209"/>
      <w:bookmarkStart w:id="26" w:name="_Toc16938525"/>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513029210"/>
      <w:bookmarkStart w:id="28" w:name="_Toc16938526"/>
      <w:bookmarkStart w:id="29" w:name="_Toc20823282"/>
      <w:r>
        <w:rPr>
          <w:rFonts w:hint="eastAsia" w:ascii="宋体" w:hAnsi="宋体" w:cs="宋体"/>
          <w:sz w:val="24"/>
          <w:szCs w:val="24"/>
        </w:rPr>
        <w:t>1.磋商文件构成</w:t>
      </w:r>
      <w:bookmarkEnd w:id="27"/>
      <w:bookmarkEnd w:id="28"/>
      <w:bookmarkEnd w:id="29"/>
    </w:p>
    <w:p>
      <w:pPr>
        <w:pStyle w:val="40"/>
        <w:snapToGrid w:val="0"/>
        <w:rPr>
          <w:rFonts w:hint="eastAsia" w:hAnsi="宋体" w:eastAsia="宋体"/>
          <w:sz w:val="24"/>
          <w:szCs w:val="24"/>
        </w:rPr>
      </w:pPr>
      <w:r>
        <w:rPr>
          <w:rFonts w:hint="eastAsia" w:hAnsi="宋体" w:eastAsia="宋体"/>
          <w:sz w:val="24"/>
          <w:szCs w:val="24"/>
        </w:rPr>
        <w:t>磋商文件有以下部分组成：</w:t>
      </w:r>
    </w:p>
    <w:p>
      <w:pPr>
        <w:pStyle w:val="40"/>
        <w:snapToGrid w:val="0"/>
        <w:rPr>
          <w:rFonts w:hint="eastAsia" w:hAnsi="宋体" w:eastAsia="宋体"/>
          <w:sz w:val="24"/>
          <w:szCs w:val="24"/>
        </w:rPr>
      </w:pPr>
      <w:r>
        <w:rPr>
          <w:rFonts w:hint="eastAsia" w:hAnsi="宋体" w:eastAsia="宋体"/>
          <w:sz w:val="24"/>
          <w:szCs w:val="24"/>
        </w:rPr>
        <w:t>（1）磋商公告</w:t>
      </w:r>
    </w:p>
    <w:p>
      <w:pPr>
        <w:pStyle w:val="40"/>
        <w:snapToGrid w:val="0"/>
        <w:rPr>
          <w:rFonts w:hint="eastAsia" w:hAnsi="宋体" w:eastAsia="宋体"/>
          <w:sz w:val="24"/>
          <w:szCs w:val="24"/>
        </w:rPr>
      </w:pPr>
      <w:r>
        <w:rPr>
          <w:rFonts w:hint="eastAsia" w:hAnsi="宋体" w:eastAsia="宋体"/>
          <w:sz w:val="24"/>
          <w:szCs w:val="24"/>
        </w:rPr>
        <w:t>（2）磋商须知前附表</w:t>
      </w:r>
    </w:p>
    <w:p>
      <w:pPr>
        <w:pStyle w:val="40"/>
        <w:snapToGrid w:val="0"/>
        <w:rPr>
          <w:rFonts w:hint="eastAsia" w:hAnsi="宋体" w:eastAsia="宋体"/>
          <w:sz w:val="24"/>
          <w:szCs w:val="24"/>
        </w:rPr>
      </w:pPr>
      <w:r>
        <w:rPr>
          <w:rFonts w:hint="eastAsia" w:hAnsi="宋体" w:eastAsia="宋体"/>
          <w:sz w:val="24"/>
          <w:szCs w:val="24"/>
        </w:rPr>
        <w:t>（3）磋商须知</w:t>
      </w:r>
    </w:p>
    <w:p>
      <w:pPr>
        <w:pStyle w:val="40"/>
        <w:snapToGrid w:val="0"/>
        <w:rPr>
          <w:rFonts w:hint="eastAsia" w:hAnsi="宋体" w:eastAsia="宋体"/>
          <w:sz w:val="24"/>
          <w:szCs w:val="24"/>
        </w:rPr>
      </w:pPr>
      <w:r>
        <w:rPr>
          <w:rFonts w:hint="eastAsia" w:hAnsi="宋体" w:eastAsia="宋体"/>
          <w:sz w:val="24"/>
          <w:szCs w:val="24"/>
        </w:rPr>
        <w:t>（4）合同主要条款</w:t>
      </w:r>
    </w:p>
    <w:p>
      <w:pPr>
        <w:pStyle w:val="40"/>
        <w:snapToGrid w:val="0"/>
        <w:rPr>
          <w:rFonts w:hint="eastAsia" w:hAnsi="宋体" w:eastAsia="宋体"/>
          <w:sz w:val="24"/>
          <w:szCs w:val="24"/>
        </w:rPr>
      </w:pPr>
      <w:r>
        <w:rPr>
          <w:rFonts w:hint="eastAsia" w:hAnsi="宋体" w:eastAsia="宋体"/>
          <w:sz w:val="24"/>
          <w:szCs w:val="24"/>
        </w:rPr>
        <w:t>（5）项目需求</w:t>
      </w:r>
    </w:p>
    <w:p>
      <w:pPr>
        <w:pStyle w:val="40"/>
        <w:snapToGrid w:val="0"/>
        <w:rPr>
          <w:rFonts w:hint="eastAsia" w:hAnsi="宋体" w:eastAsia="宋体"/>
          <w:sz w:val="24"/>
          <w:szCs w:val="24"/>
        </w:rPr>
      </w:pPr>
      <w:r>
        <w:rPr>
          <w:rFonts w:hint="eastAsia" w:hAnsi="宋体" w:eastAsia="宋体"/>
          <w:sz w:val="24"/>
          <w:szCs w:val="24"/>
        </w:rPr>
        <w:t>（6）评审标准</w:t>
      </w:r>
    </w:p>
    <w:p>
      <w:pPr>
        <w:pStyle w:val="40"/>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513029211"/>
      <w:bookmarkStart w:id="31" w:name="_Toc462564070"/>
      <w:bookmarkStart w:id="32" w:name="_Toc16938527"/>
      <w:bookmarkStart w:id="33" w:name="_Toc20823283"/>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0"/>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513029213"/>
      <w:bookmarkStart w:id="35" w:name="_Toc120614216"/>
      <w:bookmarkStart w:id="36" w:name="_Toc16938529"/>
      <w:bookmarkStart w:id="37" w:name="_Toc462564072"/>
      <w:bookmarkStart w:id="38" w:name="_Toc403987207"/>
      <w:bookmarkStart w:id="39" w:name="_Toc20823285"/>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16938530"/>
      <w:bookmarkStart w:id="42" w:name="_Toc20823286"/>
      <w:bookmarkStart w:id="43" w:name="_Toc462564073"/>
      <w:bookmarkStart w:id="44" w:name="_Toc513029214"/>
      <w:r>
        <w:rPr>
          <w:rFonts w:hint="eastAsia" w:ascii="宋体" w:hAnsi="宋体" w:cs="宋体"/>
          <w:sz w:val="24"/>
          <w:szCs w:val="24"/>
        </w:rPr>
        <w:t>3.响应文件的语言及度量衡单位</w:t>
      </w:r>
      <w:bookmarkEnd w:id="41"/>
      <w:bookmarkEnd w:id="42"/>
      <w:bookmarkEnd w:id="43"/>
      <w:bookmarkEnd w:id="44"/>
    </w:p>
    <w:p>
      <w:pPr>
        <w:pStyle w:val="40"/>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0"/>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462564074"/>
      <w:bookmarkStart w:id="46" w:name="_Toc20823287"/>
      <w:bookmarkStart w:id="47" w:name="_Toc16938531"/>
      <w:bookmarkStart w:id="48" w:name="_Toc513029215"/>
      <w:r>
        <w:rPr>
          <w:rFonts w:hint="eastAsia" w:ascii="宋体" w:hAnsi="宋体" w:cs="宋体"/>
          <w:sz w:val="24"/>
          <w:szCs w:val="24"/>
        </w:rPr>
        <w:t>4.响应文件构成</w:t>
      </w:r>
      <w:bookmarkEnd w:id="45"/>
      <w:bookmarkEnd w:id="46"/>
      <w:bookmarkEnd w:id="47"/>
      <w:bookmarkEnd w:id="48"/>
    </w:p>
    <w:p>
      <w:pPr>
        <w:pStyle w:val="40"/>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40"/>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954838"/>
      <w:bookmarkEnd w:id="49"/>
      <w:bookmarkStart w:id="50" w:name="_Hlt26670360"/>
      <w:bookmarkEnd w:id="50"/>
      <w:bookmarkStart w:id="51" w:name="_Hlt26668975"/>
      <w:bookmarkEnd w:id="51"/>
      <w:bookmarkStart w:id="52" w:name="_Toc49090509"/>
      <w:bookmarkStart w:id="53" w:name="_Toc14577357"/>
      <w:bookmarkStart w:id="54" w:name="_Toc513029219"/>
      <w:bookmarkStart w:id="55" w:name="_Toc513029216"/>
      <w:bookmarkStart w:id="56" w:name="_Toc14577354"/>
      <w:bookmarkStart w:id="57" w:name="_Toc49090507"/>
      <w:r>
        <w:rPr>
          <w:rFonts w:hint="eastAsia" w:ascii="宋体" w:hAnsi="宋体" w:cs="宋体"/>
          <w:sz w:val="24"/>
          <w:szCs w:val="24"/>
        </w:rPr>
        <w:t>5.证明供应商资格及符合磋商文件规定的文件</w:t>
      </w:r>
      <w:bookmarkEnd w:id="52"/>
      <w:bookmarkEnd w:id="53"/>
      <w:bookmarkEnd w:id="54"/>
    </w:p>
    <w:p>
      <w:pPr>
        <w:pStyle w:val="40"/>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0"/>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40"/>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0"/>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40"/>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40"/>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670482"/>
      <w:bookmarkEnd w:id="63"/>
      <w:bookmarkStart w:id="64" w:name="_Hlt26954846"/>
      <w:bookmarkEnd w:id="64"/>
      <w:bookmarkStart w:id="65" w:name="_Hlt26670486"/>
      <w:bookmarkEnd w:id="65"/>
      <w:bookmarkStart w:id="66" w:name="_Hlt26954731"/>
      <w:bookmarkEnd w:id="66"/>
      <w:bookmarkStart w:id="67" w:name="_Hlt26954739"/>
      <w:bookmarkEnd w:id="67"/>
      <w:bookmarkStart w:id="68" w:name="_Hlt26954852"/>
      <w:bookmarkEnd w:id="68"/>
      <w:bookmarkStart w:id="69" w:name="_Hlt26954848"/>
      <w:bookmarkEnd w:id="69"/>
      <w:bookmarkStart w:id="70" w:name="_Toc49090512"/>
      <w:bookmarkStart w:id="71" w:name="_Toc14577361"/>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40"/>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0"/>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0"/>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20823296"/>
      <w:bookmarkStart w:id="73" w:name="_Toc120614217"/>
      <w:bookmarkStart w:id="74" w:name="_Toc16938540"/>
      <w:bookmarkStart w:id="75" w:name="_Toc403987208"/>
      <w:bookmarkStart w:id="76" w:name="_Toc513029224"/>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462564084"/>
      <w:bookmarkStart w:id="78" w:name="_Toc513029225"/>
      <w:bookmarkStart w:id="79" w:name="_Toc20823297"/>
      <w:bookmarkStart w:id="80" w:name="_Toc16938541"/>
      <w:r>
        <w:rPr>
          <w:rFonts w:hint="eastAsia" w:ascii="宋体" w:hAnsi="宋体" w:cs="宋体"/>
          <w:sz w:val="24"/>
          <w:szCs w:val="24"/>
        </w:rPr>
        <w:t>1.响应文件的密封和标记</w:t>
      </w:r>
      <w:bookmarkEnd w:id="77"/>
      <w:bookmarkEnd w:id="78"/>
      <w:bookmarkEnd w:id="79"/>
      <w:bookmarkEnd w:id="80"/>
    </w:p>
    <w:p>
      <w:pPr>
        <w:pStyle w:val="40"/>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0"/>
        <w:snapToGrid w:val="0"/>
        <w:rPr>
          <w:rFonts w:hint="eastAsia" w:hAnsi="宋体" w:eastAsia="宋体"/>
          <w:sz w:val="24"/>
          <w:szCs w:val="24"/>
        </w:rPr>
      </w:pPr>
      <w:r>
        <w:rPr>
          <w:rFonts w:hint="eastAsia" w:hAnsi="宋体" w:eastAsia="宋体"/>
          <w:sz w:val="24"/>
          <w:szCs w:val="24"/>
        </w:rPr>
        <w:t>（2）密封的响应文件应：</w:t>
      </w:r>
    </w:p>
    <w:p>
      <w:pPr>
        <w:pStyle w:val="40"/>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0"/>
        <w:snapToGrid w:val="0"/>
        <w:rPr>
          <w:rFonts w:hint="eastAsia" w:hAnsi="宋体" w:eastAsia="宋体"/>
          <w:sz w:val="24"/>
          <w:szCs w:val="24"/>
        </w:rPr>
      </w:pPr>
      <w:r>
        <w:rPr>
          <w:rFonts w:hint="eastAsia" w:hAnsi="宋体" w:eastAsia="宋体"/>
          <w:sz w:val="24"/>
          <w:szCs w:val="24"/>
        </w:rPr>
        <w:t>2）注明磋商项目名称、项目编号。</w:t>
      </w:r>
    </w:p>
    <w:p>
      <w:pPr>
        <w:pStyle w:val="40"/>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16938542"/>
      <w:bookmarkStart w:id="82" w:name="_Toc513029226"/>
      <w:bookmarkStart w:id="83" w:name="_Toc20823298"/>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0"/>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40"/>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40"/>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0"/>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40"/>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513029231"/>
      <w:bookmarkStart w:id="85" w:name="_Toc16938547"/>
      <w:bookmarkStart w:id="86" w:name="_Toc20823303"/>
      <w:r>
        <w:rPr>
          <w:rFonts w:hint="eastAsia" w:ascii="宋体" w:hAnsi="宋体" w:cs="宋体"/>
          <w:sz w:val="24"/>
          <w:szCs w:val="24"/>
        </w:rPr>
        <w:t>2.磋商小组</w:t>
      </w:r>
    </w:p>
    <w:p>
      <w:pPr>
        <w:pStyle w:val="40"/>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40"/>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16938548"/>
      <w:bookmarkStart w:id="88" w:name="_Toc20823304"/>
      <w:bookmarkStart w:id="89" w:name="_Toc513029232"/>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16938549"/>
      <w:bookmarkStart w:id="92" w:name="_Toc20823305"/>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40"/>
        <w:snapToGrid w:val="0"/>
        <w:rPr>
          <w:rFonts w:hint="eastAsia" w:hAnsi="宋体" w:eastAsia="宋体"/>
          <w:sz w:val="24"/>
          <w:szCs w:val="24"/>
        </w:rPr>
      </w:pPr>
      <w:bookmarkStart w:id="93" w:name="_Toc513029235"/>
      <w:bookmarkStart w:id="94" w:name="_Toc16938551"/>
      <w:bookmarkStart w:id="95" w:name="_Toc20823307"/>
      <w:r>
        <w:rPr>
          <w:rFonts w:hint="eastAsia" w:hAnsi="宋体" w:eastAsia="宋体"/>
          <w:sz w:val="24"/>
          <w:szCs w:val="24"/>
        </w:rPr>
        <w:t>（1）响应无效条款</w:t>
      </w:r>
    </w:p>
    <w:p>
      <w:pPr>
        <w:pStyle w:val="37"/>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7"/>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7"/>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7"/>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40"/>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7"/>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7"/>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20823310"/>
      <w:bookmarkStart w:id="97" w:name="_Toc16938554"/>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0"/>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0"/>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120614220"/>
      <w:bookmarkStart w:id="99" w:name="_Toc403987211"/>
      <w:bookmarkStart w:id="100" w:name="_Toc513029236"/>
      <w:bookmarkStart w:id="101" w:name="_Toc16938552"/>
      <w:bookmarkStart w:id="102" w:name="_Toc20823308"/>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16938553"/>
      <w:bookmarkStart w:id="104" w:name="_Toc513029237"/>
      <w:bookmarkStart w:id="105" w:name="_Toc20823309"/>
      <w:r>
        <w:rPr>
          <w:rFonts w:hint="eastAsia" w:ascii="宋体" w:hAnsi="宋体" w:cs="宋体"/>
          <w:sz w:val="24"/>
          <w:szCs w:val="24"/>
        </w:rPr>
        <w:t>1.签订合同</w:t>
      </w:r>
    </w:p>
    <w:p>
      <w:pPr>
        <w:pStyle w:val="40"/>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0"/>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0"/>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40"/>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40"/>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40"/>
        <w:snapToGrid w:val="0"/>
        <w:ind w:left="0" w:leftChars="0" w:right="280" w:rightChars="100" w:firstLine="0" w:firstLineChars="0"/>
        <w:rPr>
          <w:rFonts w:ascii="仿宋_GB2312" w:hAnsi="宋体" w:eastAsia="仿宋_GB2312"/>
          <w:bCs/>
          <w:szCs w:val="28"/>
        </w:rPr>
      </w:pPr>
    </w:p>
    <w:p>
      <w:pPr>
        <w:pStyle w:val="3"/>
        <w:numPr>
          <w:ilvl w:val="0"/>
          <w:numId w:val="2"/>
        </w:numPr>
        <w:snapToGrid w:val="0"/>
        <w:spacing w:before="0" w:after="0"/>
        <w:ind w:left="947" w:hanging="947"/>
        <w:jc w:val="center"/>
        <w:rPr>
          <w:rFonts w:hint="eastAsia" w:asciiTheme="majorEastAsia" w:hAnsiTheme="majorEastAsia" w:eastAsiaTheme="majorEastAsia" w:cstheme="majorEastAsia"/>
        </w:rPr>
      </w:pPr>
      <w:bookmarkStart w:id="107" w:name="_Toc49763002"/>
      <w:r>
        <w:rPr>
          <w:rFonts w:hint="eastAsia" w:asciiTheme="majorEastAsia" w:hAnsiTheme="majorEastAsia" w:eastAsiaTheme="majorEastAsia" w:cstheme="majorEastAsia"/>
          <w:bCs w:val="0"/>
          <w:color w:val="auto"/>
          <w:highlight w:val="none"/>
        </w:rPr>
        <w:t xml:space="preserve"> 合同主要条款</w:t>
      </w:r>
      <w:bookmarkEnd w:id="107"/>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赭麓校区电房加盖层拆除及围墙维修工程项目合同</w:t>
      </w:r>
    </w:p>
    <w:p>
      <w:pPr>
        <w:spacing w:line="360" w:lineRule="auto"/>
        <w:rPr>
          <w:rFonts w:ascii="黑体" w:hAnsi="黑体" w:eastAsia="黑体" w:cs="Times New Roman"/>
          <w:sz w:val="28"/>
          <w:szCs w:val="28"/>
        </w:rPr>
      </w:pP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w:t>
      </w:r>
      <w:r>
        <w:rPr>
          <w:rFonts w:hint="eastAsia" w:ascii="宋体" w:hAnsi="宋体" w:eastAsia="宋体" w:cs="宋体"/>
          <w:sz w:val="28"/>
          <w:szCs w:val="28"/>
          <w:u w:val="single"/>
        </w:rPr>
        <w:t>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宋体" w:hAnsi="宋体" w:eastAsia="宋体" w:cs="宋体"/>
          <w:sz w:val="28"/>
          <w:szCs w:val="28"/>
          <w:u w:val="single"/>
          <w:lang w:eastAsia="zh-CN"/>
        </w:rPr>
        <w:t>皖南医学院赭麓校区电房加盖层拆除及围墙维修</w:t>
      </w:r>
      <w:r>
        <w:rPr>
          <w:rFonts w:hint="eastAsia"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1.工程名称：</w:t>
      </w:r>
      <w:r>
        <w:rPr>
          <w:rFonts w:hint="eastAsia" w:ascii="宋体" w:hAnsi="宋体" w:eastAsia="宋体" w:cs="宋体"/>
          <w:sz w:val="28"/>
          <w:szCs w:val="28"/>
          <w:u w:val="single"/>
          <w:lang w:eastAsia="zh-CN"/>
        </w:rPr>
        <w:t>皖南医学院赭麓校区电房加盖层拆除及围墙维修工程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皖南医学院</w:t>
      </w:r>
      <w:r>
        <w:rPr>
          <w:rFonts w:hint="eastAsia" w:ascii="宋体" w:hAnsi="宋体" w:eastAsia="宋体" w:cs="宋体"/>
          <w:sz w:val="28"/>
          <w:szCs w:val="28"/>
          <w:u w:val="single"/>
          <w:lang w:val="en-US" w:eastAsia="zh-CN"/>
        </w:rPr>
        <w:t>赭麓</w:t>
      </w:r>
      <w:r>
        <w:rPr>
          <w:rFonts w:hint="eastAsia" w:ascii="宋体" w:hAnsi="宋体" w:eastAsia="宋体" w:cs="宋体"/>
          <w:sz w:val="28"/>
          <w:szCs w:val="28"/>
          <w:u w:val="single"/>
        </w:rPr>
        <w:t>校区</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元</w:t>
      </w:r>
      <w:r>
        <w:rPr>
          <w:rFonts w:hint="eastAsia" w:ascii="宋体" w:hAnsi="宋体" w:eastAsia="宋体" w:cs="宋体"/>
          <w:sz w:val="28"/>
          <w:szCs w:val="28"/>
        </w:rPr>
        <w:t>（小写：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元）,其中含暂列金额</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ascii="宋体" w:hAnsi="宋体" w:eastAsia="宋体" w:cs="宋体"/>
          <w:sz w:val="28"/>
          <w:szCs w:val="28"/>
          <w:u w:val="single"/>
        </w:rPr>
        <w:t>30</w:t>
      </w:r>
      <w:r>
        <w:rPr>
          <w:rFonts w:hint="eastAsia" w:ascii="宋体" w:hAnsi="宋体" w:eastAsia="宋体" w:cs="宋体"/>
          <w:sz w:val="28"/>
          <w:szCs w:val="28"/>
        </w:rPr>
        <w:t>日历天，从甲方书面通知进场施工时间开始计算。因乙方原因推迟的按</w:t>
      </w:r>
      <w:r>
        <w:rPr>
          <w:rFonts w:ascii="宋体" w:hAnsi="宋体" w:eastAsia="宋体" w:cs="宋体"/>
          <w:sz w:val="28"/>
          <w:szCs w:val="28"/>
          <w:u w:val="single"/>
        </w:rPr>
        <w:t>500</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w:t>
      </w:r>
      <w:r>
        <w:rPr>
          <w:rFonts w:hint="eastAsia" w:asciiTheme="minorEastAsia" w:hAnsiTheme="minorEastAsia"/>
          <w:color w:val="000000"/>
          <w:sz w:val="28"/>
          <w:szCs w:val="28"/>
        </w:rPr>
        <w:t>技术要求；</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5.</w:t>
      </w:r>
      <w:r>
        <w:rPr>
          <w:rFonts w:hint="eastAsia"/>
          <w:sz w:val="28"/>
          <w:szCs w:val="28"/>
        </w:rPr>
        <w:t>所有变更签证必须按照皖南医学院有关管理文件办理。具体参照《皖南医学院基建维修工程管理办法（修订）》</w:t>
      </w:r>
      <w:bookmarkStart w:id="108" w:name="文号"/>
      <w:r>
        <w:rPr>
          <w:rFonts w:hint="eastAsia"/>
          <w:sz w:val="28"/>
          <w:szCs w:val="28"/>
        </w:rPr>
        <w:t>（校政〔2020〕118号</w:t>
      </w:r>
      <w:bookmarkEnd w:id="108"/>
      <w:r>
        <w:rPr>
          <w:rFonts w:hint="eastAsia"/>
          <w:sz w:val="28"/>
          <w:szCs w:val="28"/>
        </w:rPr>
        <w:t>）及《后勤管理处基建维修工程变更签证管理规定（修订）》（后勤〔2022〕002号）文件执行。</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ascii="宋体" w:hAnsi="宋体" w:eastAsia="宋体" w:cs="宋体"/>
          <w:sz w:val="28"/>
          <w:szCs w:val="28"/>
          <w:u w:val="single"/>
        </w:rPr>
        <w:t>80</w:t>
      </w:r>
      <w:r>
        <w:rPr>
          <w:rFonts w:hint="eastAsia" w:ascii="宋体" w:hAnsi="宋体" w:eastAsia="宋体" w:cs="宋体"/>
          <w:sz w:val="28"/>
          <w:szCs w:val="28"/>
        </w:rPr>
        <w:t>%；审计完成，乙方先将金额为终审价</w:t>
      </w:r>
      <w:r>
        <w:rPr>
          <w:rFonts w:ascii="宋体" w:hAnsi="宋体" w:eastAsia="宋体" w:cs="宋体"/>
          <w:sz w:val="28"/>
          <w:szCs w:val="28"/>
          <w:u w:val="single"/>
        </w:rPr>
        <w:t>3</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合格</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3.所有材料进场前需报甲方项目负责人确认，材料品牌范围及要求如下（未列入的见投标文件）。</w:t>
      </w:r>
    </w:p>
    <w:tbl>
      <w:tblPr>
        <w:tblStyle w:val="29"/>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1440"/>
        <w:gridCol w:w="1545"/>
        <w:gridCol w:w="1758"/>
        <w:gridCol w:w="2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845"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材料名称</w:t>
            </w:r>
          </w:p>
        </w:tc>
        <w:tc>
          <w:tcPr>
            <w:tcW w:w="907"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规格型号</w:t>
            </w:r>
          </w:p>
        </w:tc>
        <w:tc>
          <w:tcPr>
            <w:tcW w:w="1032"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品牌范围</w:t>
            </w:r>
          </w:p>
        </w:tc>
        <w:tc>
          <w:tcPr>
            <w:tcW w:w="1732"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81"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rPr>
            </w:pPr>
            <w:r>
              <w:rPr>
                <w:rFonts w:hint="eastAsia" w:ascii="宋体" w:hAnsi="宋体" w:eastAsia="宋体" w:cs="宋体"/>
                <w:sz w:val="28"/>
                <w:szCs w:val="28"/>
              </w:rPr>
              <w:t>1</w:t>
            </w:r>
          </w:p>
        </w:tc>
        <w:tc>
          <w:tcPr>
            <w:tcW w:w="845"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rPr>
            </w:pPr>
            <w:r>
              <w:rPr>
                <w:rFonts w:hint="eastAsia" w:ascii="宋体" w:hAnsi="宋体" w:eastAsia="宋体" w:cs="宋体"/>
                <w:sz w:val="28"/>
                <w:szCs w:val="28"/>
              </w:rPr>
              <w:t>涂料</w:t>
            </w:r>
          </w:p>
        </w:tc>
        <w:tc>
          <w:tcPr>
            <w:tcW w:w="907"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rPr>
            </w:pPr>
            <w:r>
              <w:rPr>
                <w:rFonts w:hint="eastAsia" w:ascii="宋体" w:hAnsi="宋体" w:eastAsia="宋体" w:cs="宋体"/>
                <w:sz w:val="28"/>
                <w:szCs w:val="28"/>
              </w:rPr>
              <w:t>满足图纸设计要求</w:t>
            </w:r>
          </w:p>
        </w:tc>
        <w:tc>
          <w:tcPr>
            <w:tcW w:w="1032"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rPr>
            </w:pPr>
            <w:r>
              <w:rPr>
                <w:rFonts w:hint="eastAsia" w:ascii="宋体" w:hAnsi="宋体" w:eastAsia="宋体" w:cs="宋体"/>
                <w:sz w:val="28"/>
                <w:szCs w:val="28"/>
              </w:rPr>
              <w:t>立邦、嘉宝莉、华润、三棵树</w:t>
            </w:r>
          </w:p>
        </w:tc>
        <w:tc>
          <w:tcPr>
            <w:tcW w:w="1732"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81"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rPr>
            </w:pPr>
            <w:r>
              <w:rPr>
                <w:rFonts w:hint="eastAsia" w:ascii="宋体" w:hAnsi="宋体" w:eastAsia="宋体" w:cs="宋体"/>
                <w:sz w:val="28"/>
                <w:szCs w:val="28"/>
              </w:rPr>
              <w:t>2</w:t>
            </w:r>
          </w:p>
        </w:tc>
        <w:tc>
          <w:tcPr>
            <w:tcW w:w="845"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防水卷材</w:t>
            </w:r>
          </w:p>
        </w:tc>
        <w:tc>
          <w:tcPr>
            <w:tcW w:w="907"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rPr>
            </w:pPr>
            <w:r>
              <w:rPr>
                <w:rFonts w:hint="eastAsia" w:ascii="宋体" w:hAnsi="宋体" w:eastAsia="宋体" w:cs="宋体"/>
                <w:sz w:val="28"/>
                <w:szCs w:val="28"/>
              </w:rPr>
              <w:t>满足图纸设计要求</w:t>
            </w:r>
          </w:p>
        </w:tc>
        <w:tc>
          <w:tcPr>
            <w:tcW w:w="1032"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禹王、雨虹、星月旺</w:t>
            </w:r>
          </w:p>
        </w:tc>
        <w:tc>
          <w:tcPr>
            <w:tcW w:w="1732" w:type="pct"/>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8"/>
                <w:szCs w:val="28"/>
                <w:lang w:val="en-US" w:eastAsia="zh-CN"/>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lang w:val="en-US" w:eastAsia="zh-CN"/>
        </w:rPr>
        <w:t>24</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ins w:id="0" w:author="王戬" w:date="2021-03-31T14:30:00Z"/>
          <w:rFonts w:ascii="宋体" w:hAnsi="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60" w:firstLineChars="200"/>
        <w:rPr>
          <w:rFonts w:ascii="宋体" w:hAnsi="宋体" w:eastAsia="宋体" w:cs="宋体"/>
          <w:sz w:val="28"/>
          <w:szCs w:val="28"/>
        </w:rPr>
      </w:pPr>
      <w:r>
        <w:rPr>
          <w:rFonts w:hint="eastAsia" w:ascii="宋体" w:hAnsi="宋体"/>
          <w:sz w:val="28"/>
          <w:szCs w:val="28"/>
        </w:rPr>
        <w:t>3.</w:t>
      </w:r>
      <w:r>
        <w:rPr>
          <w:rFonts w:hint="eastAsia"/>
          <w:sz w:val="28"/>
          <w:szCs w:val="28"/>
        </w:rPr>
        <w:t>工程材料、设备、构配件及已完工程在竣工验收交付前均由乙方负责看护，丢失、被盗、损坏等责任均由乙方承担。</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lang w:val="en-US" w:eastAsia="zh-CN"/>
        </w:rPr>
        <w:t>郑逸凡</w:t>
      </w:r>
      <w:r>
        <w:rPr>
          <w:rFonts w:hint="eastAsia" w:ascii="宋体" w:hAnsi="宋体" w:eastAsia="宋体" w:cs="宋体"/>
          <w:sz w:val="28"/>
          <w:szCs w:val="28"/>
        </w:rPr>
        <w:t>（联系方式：</w:t>
      </w:r>
      <w:r>
        <w:rPr>
          <w:rFonts w:hint="eastAsia" w:ascii="宋体" w:hAnsi="宋体" w:eastAsia="宋体" w:cs="宋体"/>
          <w:sz w:val="28"/>
          <w:szCs w:val="28"/>
          <w:u w:val="single"/>
          <w:lang w:val="en-US" w:eastAsia="zh-CN"/>
        </w:rPr>
        <w:t>13965158012</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w:t>
      </w:r>
      <w:r>
        <w:rPr>
          <w:rFonts w:hint="eastAsia" w:ascii="宋体" w:hAnsi="宋体"/>
          <w:sz w:val="28"/>
          <w:szCs w:val="28"/>
        </w:rPr>
        <w:t>电费按1.00元/度计取，水费按3.00元/吨计取，</w:t>
      </w:r>
      <w:r>
        <w:rPr>
          <w:rFonts w:hint="eastAsia" w:ascii="宋体" w:hAnsi="宋体" w:eastAsia="宋体" w:cs="宋体"/>
          <w:sz w:val="28"/>
          <w:szCs w:val="28"/>
        </w:rPr>
        <w:t>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w:t>
      </w:r>
      <w:r>
        <w:rPr>
          <w:rFonts w:ascii="宋体" w:hAnsi="宋体" w:eastAsia="宋体" w:cs="宋体"/>
          <w:sz w:val="28"/>
          <w:szCs w:val="28"/>
        </w:rPr>
        <w:t>28</w:t>
      </w:r>
      <w:r>
        <w:rPr>
          <w:rFonts w:hint="eastAsia" w:ascii="宋体" w:hAnsi="宋体" w:eastAsia="宋体" w:cs="宋体"/>
          <w:sz w:val="28"/>
          <w:szCs w:val="28"/>
        </w:rPr>
        <w:t>日内提交两套工程竣工结算资料（结算书、招投标文件、中标通知书、施工合同、隐蔽工程验收记录单、变更签证单、材料品牌确认表、合格证、维修改造工程验收表、竣工图、水电费缴纳收据等），如延期提交，</w:t>
      </w:r>
      <w:r>
        <w:rPr>
          <w:rFonts w:hint="eastAsia" w:ascii="宋体" w:hAnsi="宋体"/>
          <w:sz w:val="28"/>
          <w:szCs w:val="28"/>
        </w:rPr>
        <w:t>在结算审计时按</w:t>
      </w:r>
      <w:r>
        <w:rPr>
          <w:rFonts w:ascii="宋体" w:hAnsi="宋体"/>
          <w:sz w:val="28"/>
          <w:szCs w:val="28"/>
        </w:rPr>
        <w:t>500</w:t>
      </w:r>
      <w:r>
        <w:rPr>
          <w:rFonts w:hint="eastAsia" w:ascii="宋体" w:hAnsi="宋体"/>
          <w:sz w:val="28"/>
          <w:szCs w:val="28"/>
        </w:rPr>
        <w:t>元/天进行扣款，1万元封顶。</w:t>
      </w:r>
      <w:r>
        <w:rPr>
          <w:rFonts w:hint="eastAsia" w:ascii="宋体" w:hAnsi="宋体" w:eastAsia="宋体" w:cs="宋体"/>
          <w:sz w:val="28"/>
          <w:szCs w:val="28"/>
        </w:rPr>
        <w:t>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 本协议壹式</w:t>
      </w:r>
      <w:r>
        <w:rPr>
          <w:rFonts w:hint="eastAsia" w:ascii="宋体" w:hAnsi="宋体" w:eastAsia="宋体" w:cs="宋体"/>
          <w:sz w:val="28"/>
          <w:szCs w:val="28"/>
          <w:u w:val="single"/>
        </w:rPr>
        <w:t>捌</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伍</w:t>
      </w:r>
      <w:r>
        <w:rPr>
          <w:rFonts w:hint="eastAsia" w:ascii="宋体" w:hAnsi="宋体" w:eastAsia="宋体" w:cs="宋体"/>
          <w:sz w:val="28"/>
          <w:szCs w:val="28"/>
        </w:rPr>
        <w:t>份，乙方执</w:t>
      </w:r>
      <w:r>
        <w:rPr>
          <w:rFonts w:hint="eastAsia" w:ascii="宋体" w:hAnsi="宋体" w:eastAsia="宋体" w:cs="宋体"/>
          <w:sz w:val="28"/>
          <w:szCs w:val="28"/>
          <w:u w:val="single"/>
        </w:rPr>
        <w:t>叁</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widowControl/>
        <w:ind w:firstLine="560" w:firstLineChars="200"/>
        <w:jc w:val="left"/>
        <w:rPr>
          <w:rFonts w:ascii="宋体" w:hAnsi="宋体" w:eastAsia="宋体" w:cs="宋体"/>
          <w:sz w:val="28"/>
          <w:szCs w:val="28"/>
        </w:rPr>
      </w:pPr>
      <w:r>
        <w:rPr>
          <w:rFonts w:hint="eastAsia" w:ascii="宋体" w:hAnsi="宋体" w:eastAsia="宋体" w:cs="宋体"/>
          <w:sz w:val="28"/>
          <w:szCs w:val="28"/>
        </w:rPr>
        <w:t>2.合同订立地点：皖南医学院滨江校区。</w:t>
      </w:r>
      <w:r>
        <w:rPr>
          <w:rFonts w:ascii="宋体" w:hAnsi="宋体" w:eastAsia="宋体" w:cs="宋体"/>
          <w:sz w:val="28"/>
          <w:szCs w:val="28"/>
        </w:rPr>
        <w:br w:type="page"/>
      </w:r>
    </w:p>
    <w:p>
      <w:pPr>
        <w:spacing w:line="360" w:lineRule="auto"/>
        <w:ind w:firstLine="560" w:firstLineChars="200"/>
        <w:rPr>
          <w:rFonts w:ascii="宋体" w:hAnsi="宋体" w:eastAsia="宋体" w:cs="宋体"/>
          <w:sz w:val="28"/>
          <w:szCs w:val="28"/>
        </w:rPr>
      </w:pPr>
    </w:p>
    <w:tbl>
      <w:tblPr>
        <w:tblStyle w:val="28"/>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pStyle w:val="21"/>
        <w:rPr>
          <w:rFonts w:hint="eastAsia"/>
        </w:rPr>
      </w:pPr>
    </w:p>
    <w:p>
      <w:pPr>
        <w:pStyle w:val="21"/>
        <w:rPr>
          <w:rFonts w:hint="eastAsia"/>
        </w:rPr>
      </w:pPr>
    </w:p>
    <w:p>
      <w:pPr>
        <w:pStyle w:val="21"/>
        <w:ind w:left="0" w:leftChars="0" w:firstLine="0" w:firstLineChars="0"/>
        <w:rPr>
          <w:rFonts w:hint="eastAsia"/>
        </w:rPr>
      </w:pPr>
    </w:p>
    <w:p>
      <w:pPr>
        <w:pStyle w:val="21"/>
        <w:ind w:left="0" w:leftChars="0" w:firstLine="0" w:firstLineChars="0"/>
        <w:rPr>
          <w:rFonts w:hint="eastAsia"/>
        </w:rPr>
      </w:pPr>
    </w:p>
    <w:p>
      <w:pPr>
        <w:pStyle w:val="21"/>
        <w:ind w:left="0" w:leftChars="0" w:firstLine="0" w:firstLineChars="0"/>
        <w:rPr>
          <w:rFonts w:hint="eastAsia"/>
        </w:rPr>
      </w:pPr>
    </w:p>
    <w:p>
      <w:pPr>
        <w:pStyle w:val="21"/>
        <w:ind w:left="0" w:leftChars="0" w:firstLine="0" w:firstLineChars="0"/>
        <w:rPr>
          <w:rFonts w:hint="eastAsia"/>
        </w:rPr>
      </w:pPr>
    </w:p>
    <w:p>
      <w:pPr>
        <w:pStyle w:val="3"/>
        <w:numPr>
          <w:ilvl w:val="0"/>
          <w:numId w:val="2"/>
        </w:numPr>
        <w:snapToGrid w:val="0"/>
        <w:spacing w:before="0" w:after="0"/>
        <w:ind w:left="947" w:leftChars="0" w:hanging="947" w:firstLineChars="0"/>
        <w:jc w:val="center"/>
        <w:rPr>
          <w:rFonts w:hint="eastAsia" w:ascii="宋体" w:hAnsi="宋体" w:eastAsia="宋体" w:cs="宋体"/>
          <w:bCs w:val="0"/>
          <w:color w:val="auto"/>
        </w:rPr>
      </w:pPr>
      <w:bookmarkStart w:id="109" w:name="_Toc49763003"/>
      <w:r>
        <w:rPr>
          <w:rFonts w:hint="eastAsia" w:ascii="宋体" w:hAnsi="宋体" w:eastAsia="宋体" w:cs="宋体"/>
          <w:bCs w:val="0"/>
          <w:color w:val="auto"/>
        </w:rPr>
        <w:t xml:space="preserve"> 项目需求</w:t>
      </w:r>
      <w:bookmarkEnd w:id="109"/>
    </w:p>
    <w:p>
      <w:pPr>
        <w:spacing w:line="500" w:lineRule="exact"/>
        <w:jc w:val="center"/>
        <w:rPr>
          <w:rFonts w:hint="eastAsia" w:asciiTheme="minorEastAsia" w:hAnsiTheme="minorEastAsia" w:eastAsiaTheme="minorEastAsia"/>
          <w:sz w:val="28"/>
          <w:szCs w:val="28"/>
        </w:rPr>
      </w:pPr>
    </w:p>
    <w:p>
      <w:pPr>
        <w:numPr>
          <w:ilvl w:val="0"/>
          <w:numId w:val="3"/>
        </w:numPr>
        <w:spacing w:line="520" w:lineRule="exact"/>
        <w:ind w:firstLine="480"/>
        <w:rPr>
          <w:rFonts w:ascii="仿宋_GB2312" w:hAnsi="仿宋_GB2312" w:eastAsia="仿宋_GB2312" w:cs="仿宋_GB2312"/>
          <w:sz w:val="24"/>
          <w:szCs w:val="24"/>
        </w:rPr>
      </w:pPr>
      <w:bookmarkStart w:id="110" w:name="_Toc49763004"/>
      <w:r>
        <w:rPr>
          <w:rFonts w:hint="eastAsia" w:ascii="仿宋_GB2312" w:hAnsi="仿宋_GB2312" w:eastAsia="仿宋_GB2312" w:cs="仿宋_GB2312"/>
          <w:sz w:val="24"/>
          <w:szCs w:val="24"/>
        </w:rPr>
        <w:t>项目名称：赭麓校区老电房加盖层拆除维修工程</w:t>
      </w:r>
    </w:p>
    <w:p>
      <w:pPr>
        <w:numPr>
          <w:ilvl w:val="0"/>
          <w:numId w:val="3"/>
        </w:numPr>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报名条件：</w:t>
      </w:r>
    </w:p>
    <w:p>
      <w:pPr>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1.具有独立承担民事责任的能力。</w:t>
      </w:r>
    </w:p>
    <w:p>
      <w:pPr>
        <w:adjustRightInd w:val="0"/>
        <w:snapToGrid w:val="0"/>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2.具有建筑工程施工总承包三级及以上资质企业。投标单位相关资质须是建设行政主管部门核发的，且经年检合格。</w:t>
      </w:r>
    </w:p>
    <w:p>
      <w:pPr>
        <w:adjustRightInd w:val="0"/>
        <w:snapToGrid w:val="0"/>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3.具有良好的商业信誉和优良的售后服务，在近三年的经营活动中没有不良记录。</w:t>
      </w:r>
    </w:p>
    <w:p>
      <w:pPr>
        <w:adjustRightInd w:val="0"/>
        <w:snapToGrid w:val="0"/>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三、施工要点</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1.施工前，应根据图纸、清单要求完成对影响范围内的管线、设施和树木等的保护措施；如对现场建筑物、构筑物及其他任意设施造成破坏，须立刻原样修复。</w:t>
      </w:r>
    </w:p>
    <w:p>
      <w:pPr>
        <w:adjustRightInd w:val="0"/>
        <w:snapToGrid w:val="0"/>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2.当拟拆除物与毗邻建筑及设施的安全距离不能满足要求时，必须采取相应的有效安全防护措施。</w:t>
      </w:r>
    </w:p>
    <w:p>
      <w:pPr>
        <w:adjustRightInd w:val="0"/>
        <w:snapToGrid w:val="0"/>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3.在施工现场周围设置封闭围挡和安全警示标志，严禁无关人员进入施工区域。</w:t>
      </w:r>
    </w:p>
    <w:p>
      <w:pPr>
        <w:adjustRightInd w:val="0"/>
        <w:snapToGrid w:val="0"/>
        <w:spacing w:line="520" w:lineRule="exact"/>
        <w:ind w:firstLine="48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4.注意施工人员自身安全，根据《建筑拆除工程安全技术规范》（JGJ147-2016）等国家法律法规要求做好保护措施。</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四、注意事项</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乙方须认真复核工程量清单，如发现工程量清单有漏量、漏项的，应在开工后14日内提出，在规定时间后任何以施工图不详、工程量清单有误等理由提出的索赔要求将不予受理，视为投标报价的优惠，即乙方完全理解并同意施工图纸及工程量清单（含技术要求），施工时须按照施工图纸及工程量清单（含技术要求）执行，施工完成后，必须满足验收规范和使用功能的要求。</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2.施工严格按照发包人提供的图纸进行，如有不确定尺寸、颜色、清单未明确制作工艺等情况要及时与后勤管理处及使用部门联系，得到后勤管理处工程项目负责人确认后方可施工。</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3.工程总报价含材料费（主材和辅材）、劳务费、搬运费（二次搬运及垂直运输费）、施工机械费、施工费或安装费、技术服务和售后服务费、综合管理费、检测检验、利润和税金等一切费用。</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4.本工程工期为30个日历天（含法定节假日），从甲方书面通知进场施工时间开始计算。因乙方原因推迟的按 500 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5.承包人必须完善自身质量安全管理体系和文明施工措施，杜绝野蛮施工和安全事故发生。承包人若发生质量或安全事故，均由承包人自行承担一切后果，造成发包人损失的按实赔偿，并承担相应法律责任。禁止高空抛物。在施工过程中须对现场环境进行保护，如对现场建筑物、构筑物及其他任意设施造成破坏须原样修复或照价赔偿。</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6.工程施工中，垃圾须运输至校方指定地点临时覆盖堆放并按时清运出校外，运输需要符合环保、市政要求；完工后，保洁维修改造全部地点，清洁地面、墙面、门窗及玻璃上的油漆和灰尘，垃圾装袋并外运。</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7.本工程不支付进度款，工程完工后由甲方组织验收，验收合格后凭乙方提供的发票支付至合同价（不含暂列金额）的 80  %；审计完成，乙方先将金额为终审价 3 %的质保金汇入甲方账户，甲方凭发票及质保金汇款凭证付至终审价的100%；质保期满后无质量问题一次性无息退还质保金。</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工程质保期内出现质量问题，及时修复，修复完成后，后勤管理处会同使用部门再次进行验收，验收合格后，质保期顺延一年；一年内无质量问题后退还质保金，如再次出现问题，处理方式同前。</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对于重复出现三次及以上的问题，甲方将发函警告乙方，将其录入学校黑名单库，3年内禁止参加学校任何招投标活动。</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9.工程主要材料规定品牌如下</w:t>
      </w:r>
    </w:p>
    <w:tbl>
      <w:tblPr>
        <w:tblStyle w:val="2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1203"/>
        <w:gridCol w:w="1573"/>
        <w:gridCol w:w="1563"/>
        <w:gridCol w:w="3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2" w:type="pct"/>
            <w:vAlign w:val="center"/>
          </w:tcPr>
          <w:p>
            <w:pPr>
              <w:tabs>
                <w:tab w:val="left" w:pos="567"/>
              </w:tabs>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706" w:type="pct"/>
            <w:vAlign w:val="center"/>
          </w:tcPr>
          <w:p>
            <w:pPr>
              <w:tabs>
                <w:tab w:val="left" w:pos="567"/>
              </w:tabs>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材料名称</w:t>
            </w:r>
          </w:p>
        </w:tc>
        <w:tc>
          <w:tcPr>
            <w:tcW w:w="923" w:type="pct"/>
            <w:vAlign w:val="center"/>
          </w:tcPr>
          <w:p>
            <w:pPr>
              <w:tabs>
                <w:tab w:val="left" w:pos="567"/>
              </w:tabs>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规格型号</w:t>
            </w:r>
          </w:p>
        </w:tc>
        <w:tc>
          <w:tcPr>
            <w:tcW w:w="917" w:type="pct"/>
            <w:vAlign w:val="center"/>
          </w:tcPr>
          <w:p>
            <w:pPr>
              <w:tabs>
                <w:tab w:val="left" w:pos="567"/>
              </w:tabs>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品牌范围</w:t>
            </w:r>
          </w:p>
        </w:tc>
        <w:tc>
          <w:tcPr>
            <w:tcW w:w="1971" w:type="pct"/>
            <w:vAlign w:val="center"/>
          </w:tcPr>
          <w:p>
            <w:pPr>
              <w:tabs>
                <w:tab w:val="left" w:pos="567"/>
              </w:tabs>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82" w:type="pct"/>
            <w:vAlign w:val="center"/>
          </w:tcPr>
          <w:p>
            <w:pPr>
              <w:tabs>
                <w:tab w:val="left" w:pos="567"/>
              </w:tabs>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706" w:type="pct"/>
            <w:vAlign w:val="center"/>
          </w:tcPr>
          <w:p>
            <w:pPr>
              <w:tabs>
                <w:tab w:val="left" w:pos="567"/>
              </w:tabs>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涂料</w:t>
            </w:r>
          </w:p>
        </w:tc>
        <w:tc>
          <w:tcPr>
            <w:tcW w:w="923" w:type="pct"/>
            <w:vAlign w:val="center"/>
          </w:tcPr>
          <w:p>
            <w:pPr>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满足图纸设计要求</w:t>
            </w:r>
          </w:p>
        </w:tc>
        <w:tc>
          <w:tcPr>
            <w:tcW w:w="917" w:type="pct"/>
            <w:vAlign w:val="center"/>
          </w:tcPr>
          <w:p>
            <w:pPr>
              <w:tabs>
                <w:tab w:val="left" w:pos="567"/>
              </w:tabs>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立邦、嘉宝莉、华润、三棵树</w:t>
            </w:r>
          </w:p>
        </w:tc>
        <w:tc>
          <w:tcPr>
            <w:tcW w:w="1971" w:type="pct"/>
            <w:vAlign w:val="center"/>
          </w:tcPr>
          <w:p>
            <w:pPr>
              <w:tabs>
                <w:tab w:val="left" w:pos="567"/>
              </w:tabs>
              <w:spacing w:line="520" w:lineRule="exact"/>
              <w:ind w:firstLine="0" w:firstLineChars="0"/>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82" w:type="pct"/>
            <w:vAlign w:val="center"/>
          </w:tcPr>
          <w:p>
            <w:pPr>
              <w:tabs>
                <w:tab w:val="left" w:pos="567"/>
              </w:tabs>
              <w:spacing w:line="520" w:lineRule="exact"/>
              <w:ind w:firstLine="0" w:firstLineChars="0"/>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204" w:type="dxa"/>
            <w:vAlign w:val="center"/>
          </w:tcPr>
          <w:p>
            <w:pPr>
              <w:spacing w:line="52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防水卷材</w:t>
            </w:r>
          </w:p>
        </w:tc>
        <w:tc>
          <w:tcPr>
            <w:tcW w:w="1574" w:type="dxa"/>
            <w:vAlign w:val="center"/>
          </w:tcPr>
          <w:p>
            <w:pPr>
              <w:spacing w:line="52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满足图纸设计要求</w:t>
            </w:r>
          </w:p>
        </w:tc>
        <w:tc>
          <w:tcPr>
            <w:tcW w:w="1563" w:type="dxa"/>
            <w:vAlign w:val="center"/>
          </w:tcPr>
          <w:p>
            <w:pPr>
              <w:spacing w:line="52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禹王、雨虹、星月旺</w:t>
            </w:r>
          </w:p>
        </w:tc>
        <w:tc>
          <w:tcPr>
            <w:tcW w:w="3361" w:type="dxa"/>
            <w:vAlign w:val="center"/>
          </w:tcPr>
          <w:p>
            <w:pPr>
              <w:spacing w:line="520" w:lineRule="exact"/>
              <w:ind w:firstLine="0" w:firstLineChars="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防水卷材</w:t>
            </w:r>
          </w:p>
        </w:tc>
      </w:tr>
    </w:tbl>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注：承包人采购的所有设备、材料进场时均要有合格证、检测报告等，证明该产品符合校方要求；水电材料需要提供3C认证，并符合国家规范要求；必须由建设单位项目负责人签字确认后方可进场安装，否则不支付材料款；发包人保留在承包人进场后施工期间，对承包人进场使用的任何材料因不满足工程质量和功能使用要求，而要求承包人即行调换的权利。</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10.如图纸、清单与本技术要求有矛盾之处，以后勤管理处书面解释为准。</w:t>
      </w:r>
    </w:p>
    <w:p>
      <w:pPr>
        <w:tabs>
          <w:tab w:val="left" w:pos="567"/>
        </w:tabs>
        <w:spacing w:line="52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11.投标文件须包含分部分项工程量清单综合单价分析表等《建设工程工程量清单计价规范》（GB 50500-2013）中要求提供的文件。</w:t>
      </w:r>
    </w:p>
    <w:p>
      <w:pPr>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24"/>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hint="eastAsia" w:asciiTheme="majorEastAsia" w:hAnsiTheme="majorEastAsia" w:eastAsiaTheme="majorEastAsia" w:cstheme="majorEastAsia"/>
          <w:color w:val="auto"/>
        </w:rPr>
      </w:pPr>
    </w:p>
    <w:p>
      <w:pPr>
        <w:pStyle w:val="3"/>
        <w:snapToGrid w:val="0"/>
        <w:spacing w:before="0" w:after="0"/>
        <w:ind w:left="0" w:leftChars="0" w:firstLine="0" w:firstLineChars="0"/>
        <w:jc w:val="center"/>
        <w:rPr>
          <w:rFonts w:ascii="楷体" w:hAnsi="楷体" w:eastAsia="楷体"/>
          <w:szCs w:val="28"/>
        </w:rPr>
      </w:pPr>
      <w:r>
        <w:rPr>
          <w:rFonts w:hint="eastAsia" w:asciiTheme="majorEastAsia" w:hAnsiTheme="majorEastAsia" w:eastAsiaTheme="majorEastAsia" w:cstheme="majorEastAsia"/>
          <w:color w:val="auto"/>
        </w:rPr>
        <w:t>第六章  评分办法和评分细则</w:t>
      </w:r>
      <w:bookmarkEnd w:id="110"/>
    </w:p>
    <w:p>
      <w:pPr>
        <w:spacing w:line="360" w:lineRule="auto"/>
        <w:rPr>
          <w:rFonts w:ascii="宋体" w:hAnsi="宋体" w:cs="宋体"/>
          <w:b/>
          <w:color w:val="000000"/>
          <w:sz w:val="24"/>
        </w:rPr>
      </w:pPr>
      <w:bookmarkStart w:id="111" w:name="_Toc49763005"/>
      <w:r>
        <w:rPr>
          <w:rFonts w:hint="eastAsia" w:ascii="宋体" w:hAnsi="宋体" w:cs="宋体"/>
          <w:b/>
          <w:color w:val="000000"/>
          <w:sz w:val="24"/>
        </w:rPr>
        <w:t>一、评审方法和标准</w:t>
      </w:r>
    </w:p>
    <w:p>
      <w:pPr>
        <w:spacing w:line="360" w:lineRule="auto"/>
        <w:rPr>
          <w:rFonts w:ascii="宋体" w:hAnsi="宋体" w:cs="宋体"/>
          <w:b/>
          <w:color w:val="000000"/>
          <w:sz w:val="24"/>
        </w:rPr>
      </w:pPr>
      <w:r>
        <w:rPr>
          <w:rFonts w:hint="eastAsia" w:ascii="宋体" w:hAnsi="宋体" w:cs="宋体"/>
          <w:b/>
          <w:color w:val="000000"/>
          <w:sz w:val="24"/>
        </w:rPr>
        <w:t>（一）评审方法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1、本项目采用综合评分法，总分100分。综合评分法是指响应文件满足竞争性磋商文件全部实质性要求且按评审因素的量化指标评审得分最高的供应商为成交候选供应商的方法。</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小组按照磋商文件的要求和条件，根据各磋商供应商的技术、商务、价格、对磋商文件的响应程度等进行综合评价、评分，将评审总得分按照从高到低的顺序排列，并依此顺序推荐2名成交候选供应商。排名第一的为首选成交候选人，排名第二为第二成交候选人。</w:t>
      </w:r>
    </w:p>
    <w:p>
      <w:pPr>
        <w:spacing w:line="360" w:lineRule="auto"/>
        <w:ind w:firstLine="480" w:firstLineChars="200"/>
        <w:rPr>
          <w:rFonts w:ascii="宋体" w:hAnsi="宋体" w:cs="宋体"/>
          <w:color w:val="000000"/>
          <w:sz w:val="24"/>
        </w:rPr>
      </w:pPr>
      <w:r>
        <w:rPr>
          <w:rFonts w:hint="eastAsia" w:ascii="宋体" w:hAnsi="宋体" w:cs="宋体"/>
          <w:color w:val="000000"/>
          <w:sz w:val="24"/>
        </w:rPr>
        <w:t>3、做无效响应处理的供应商响应文件不参与各项评分。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4、例外情况</w:t>
      </w:r>
    </w:p>
    <w:p>
      <w:pPr>
        <w:spacing w:line="360" w:lineRule="auto"/>
        <w:ind w:firstLine="480" w:firstLineChars="200"/>
        <w:rPr>
          <w:rFonts w:ascii="宋体" w:hAnsi="宋体" w:cs="宋体"/>
          <w:color w:val="000000"/>
          <w:sz w:val="24"/>
        </w:rPr>
      </w:pPr>
      <w:r>
        <w:rPr>
          <w:rFonts w:hint="eastAsia" w:ascii="宋体" w:hAnsi="宋体" w:cs="宋体"/>
          <w:color w:val="000000"/>
          <w:sz w:val="24"/>
        </w:rPr>
        <w:t>（1）评审总得分相同的，按最后报价由低到高的顺序排序；依然相同的，由磋商小组现场抽签确定顺序。</w:t>
      </w:r>
    </w:p>
    <w:p>
      <w:pPr>
        <w:spacing w:line="360" w:lineRule="auto"/>
        <w:ind w:firstLine="480" w:firstLineChars="200"/>
        <w:rPr>
          <w:rFonts w:ascii="宋体" w:hAnsi="宋体" w:cs="宋体"/>
          <w:color w:val="000000"/>
          <w:sz w:val="24"/>
        </w:rPr>
      </w:pPr>
      <w:r>
        <w:rPr>
          <w:rFonts w:hint="eastAsia" w:ascii="宋体" w:hAnsi="宋体" w:cs="宋体"/>
          <w:color w:val="000000"/>
          <w:sz w:val="24"/>
        </w:rPr>
        <w:t>（2）磋商文件条款存在含义不清或者相互矛盾的，磋商小组应当针对相应条款作出有利于相应供应商的结论。</w:t>
      </w:r>
    </w:p>
    <w:p>
      <w:pPr>
        <w:rPr>
          <w:rFonts w:ascii="Times New Roman" w:hAnsi="Times New Roman" w:eastAsia="宋体"/>
          <w:b/>
          <w:sz w:val="24"/>
          <w:szCs w:val="24"/>
        </w:rPr>
      </w:pPr>
      <w:r>
        <w:rPr>
          <w:rFonts w:hint="eastAsia" w:ascii="Times New Roman" w:hAnsi="Times New Roman" w:eastAsia="宋体"/>
          <w:b/>
          <w:sz w:val="24"/>
          <w:szCs w:val="24"/>
        </w:rPr>
        <w:t>二、评标办法</w:t>
      </w:r>
    </w:p>
    <w:p>
      <w:pPr>
        <w:ind w:firstLine="480" w:firstLineChars="200"/>
        <w:rPr>
          <w:rFonts w:ascii="Times New Roman" w:hAnsi="Times New Roman" w:eastAsia="宋体"/>
          <w:sz w:val="24"/>
          <w:szCs w:val="24"/>
        </w:rPr>
      </w:pPr>
      <w:r>
        <w:rPr>
          <w:rFonts w:ascii="Times New Roman" w:hAnsi="Times New Roman" w:eastAsia="宋体"/>
          <w:sz w:val="24"/>
          <w:szCs w:val="24"/>
        </w:rPr>
        <w:t>1</w:t>
      </w:r>
      <w:r>
        <w:rPr>
          <w:rFonts w:hint="eastAsia" w:ascii="Times New Roman" w:hAnsi="Times New Roman" w:eastAsia="宋体"/>
          <w:sz w:val="24"/>
          <w:szCs w:val="24"/>
        </w:rPr>
        <w:t>.</w:t>
      </w:r>
      <w:r>
        <w:rPr>
          <w:rFonts w:ascii="Times New Roman" w:hAnsi="Times New Roman" w:eastAsia="宋体"/>
          <w:sz w:val="24"/>
          <w:szCs w:val="24"/>
        </w:rPr>
        <w:t>商务标评审内容及标准（</w:t>
      </w:r>
      <w:r>
        <w:rPr>
          <w:rFonts w:hint="eastAsia" w:ascii="Times New Roman" w:hAnsi="Times New Roman" w:eastAsia="宋体"/>
          <w:sz w:val="24"/>
          <w:szCs w:val="24"/>
        </w:rPr>
        <w:t>50</w:t>
      </w:r>
      <w:r>
        <w:rPr>
          <w:rFonts w:ascii="Times New Roman" w:hAnsi="Times New Roman" w:eastAsia="宋体"/>
          <w:sz w:val="24"/>
          <w:szCs w:val="24"/>
        </w:rPr>
        <w:t>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992"/>
        <w:gridCol w:w="6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评审项目</w:t>
            </w:r>
          </w:p>
        </w:tc>
        <w:tc>
          <w:tcPr>
            <w:tcW w:w="992" w:type="dxa"/>
          </w:tcPr>
          <w:p>
            <w:pPr>
              <w:rPr>
                <w:rFonts w:ascii="Times New Roman" w:hAnsi="Times New Roman" w:eastAsia="宋体"/>
                <w:sz w:val="24"/>
                <w:szCs w:val="24"/>
              </w:rPr>
            </w:pPr>
            <w:r>
              <w:rPr>
                <w:rFonts w:ascii="Times New Roman" w:hAnsi="Times New Roman" w:eastAsia="宋体"/>
                <w:sz w:val="24"/>
                <w:szCs w:val="24"/>
              </w:rPr>
              <w:t>分值</w:t>
            </w:r>
          </w:p>
        </w:tc>
        <w:tc>
          <w:tcPr>
            <w:tcW w:w="6033" w:type="dxa"/>
          </w:tcPr>
          <w:p>
            <w:pPr>
              <w:rPr>
                <w:rFonts w:ascii="Times New Roman" w:hAnsi="Times New Roman" w:eastAsia="宋体"/>
                <w:sz w:val="24"/>
                <w:szCs w:val="24"/>
              </w:rPr>
            </w:pPr>
            <w:r>
              <w:rPr>
                <w:rFonts w:ascii="Times New Roman" w:hAnsi="Times New Roman" w:eastAsia="宋体"/>
                <w:sz w:val="24"/>
                <w:szCs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pPr>
              <w:rPr>
                <w:rFonts w:ascii="Times New Roman" w:hAnsi="Times New Roman" w:eastAsia="宋体"/>
                <w:sz w:val="24"/>
                <w:szCs w:val="24"/>
              </w:rPr>
            </w:pPr>
            <w:r>
              <w:rPr>
                <w:rFonts w:ascii="Times New Roman" w:hAnsi="Times New Roman" w:eastAsia="宋体"/>
                <w:sz w:val="24"/>
                <w:szCs w:val="24"/>
              </w:rPr>
              <w:t>投标报价</w:t>
            </w:r>
          </w:p>
        </w:tc>
        <w:tc>
          <w:tcPr>
            <w:tcW w:w="992" w:type="dxa"/>
          </w:tcPr>
          <w:p>
            <w:pPr>
              <w:rPr>
                <w:rFonts w:ascii="Times New Roman" w:hAnsi="Times New Roman" w:eastAsia="宋体"/>
                <w:sz w:val="24"/>
                <w:szCs w:val="24"/>
              </w:rPr>
            </w:pPr>
            <w:r>
              <w:rPr>
                <w:rFonts w:hint="eastAsia" w:ascii="Times New Roman" w:hAnsi="Times New Roman" w:eastAsia="宋体"/>
                <w:sz w:val="24"/>
                <w:szCs w:val="24"/>
              </w:rPr>
              <w:t>50</w:t>
            </w:r>
            <w:r>
              <w:rPr>
                <w:rFonts w:ascii="Times New Roman" w:hAnsi="Times New Roman" w:eastAsia="宋体"/>
                <w:sz w:val="24"/>
                <w:szCs w:val="24"/>
              </w:rPr>
              <w:t>分</w:t>
            </w:r>
          </w:p>
        </w:tc>
        <w:tc>
          <w:tcPr>
            <w:tcW w:w="6033" w:type="dxa"/>
          </w:tcPr>
          <w:p>
            <w:pPr>
              <w:rPr>
                <w:rFonts w:ascii="Times New Roman" w:hAnsi="Times New Roman" w:eastAsia="宋体"/>
                <w:sz w:val="24"/>
                <w:szCs w:val="24"/>
              </w:rPr>
            </w:pPr>
            <w:r>
              <w:rPr>
                <w:rFonts w:hint="eastAsia" w:ascii="Times New Roman" w:hAnsi="Times New Roman" w:eastAsia="宋体"/>
                <w:sz w:val="24"/>
                <w:szCs w:val="24"/>
              </w:rPr>
              <w:t>满足招标文件要求且投标价格最低的投标报价为评标基准价，其价格分为满分。其他投标人的价格分统一按照下列公式计算：投标报价得分</w:t>
            </w:r>
            <w:r>
              <w:rPr>
                <w:rFonts w:ascii="Times New Roman" w:hAnsi="Times New Roman" w:eastAsia="宋体"/>
                <w:sz w:val="24"/>
                <w:szCs w:val="24"/>
              </w:rPr>
              <w:t>=(评标基准价／投标报价)×</w:t>
            </w:r>
            <w:r>
              <w:rPr>
                <w:rFonts w:hint="eastAsia" w:ascii="Times New Roman" w:hAnsi="Times New Roman" w:eastAsia="宋体"/>
                <w:sz w:val="24"/>
                <w:szCs w:val="24"/>
              </w:rPr>
              <w:t>5</w:t>
            </w:r>
            <w:r>
              <w:rPr>
                <w:rFonts w:ascii="Times New Roman" w:hAnsi="Times New Roman" w:eastAsia="宋体"/>
                <w:sz w:val="24"/>
                <w:szCs w:val="24"/>
              </w:rPr>
              <w:t>0。</w:t>
            </w:r>
          </w:p>
        </w:tc>
      </w:tr>
    </w:tbl>
    <w:p>
      <w:pPr>
        <w:ind w:firstLine="480" w:firstLineChars="200"/>
        <w:rPr>
          <w:rFonts w:ascii="Times New Roman" w:hAnsi="Times New Roman" w:eastAsia="宋体"/>
          <w:sz w:val="24"/>
          <w:szCs w:val="24"/>
        </w:rPr>
      </w:pPr>
      <w:r>
        <w:rPr>
          <w:rFonts w:ascii="Times New Roman" w:hAnsi="Times New Roman" w:eastAsia="宋体"/>
          <w:sz w:val="24"/>
          <w:szCs w:val="24"/>
        </w:rPr>
        <w:t>2.技术标评审内容及标准（</w:t>
      </w:r>
      <w:r>
        <w:rPr>
          <w:rFonts w:hint="eastAsia" w:ascii="Times New Roman" w:hAnsi="Times New Roman" w:eastAsia="宋体"/>
          <w:sz w:val="24"/>
          <w:szCs w:val="24"/>
        </w:rPr>
        <w:t>50</w:t>
      </w:r>
      <w:r>
        <w:rPr>
          <w:rFonts w:ascii="Times New Roman" w:hAnsi="Times New Roman" w:eastAsia="宋体"/>
          <w:sz w:val="24"/>
          <w:szCs w:val="24"/>
        </w:rPr>
        <w:t>分）</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567"/>
        <w:gridCol w:w="1701"/>
        <w:gridCol w:w="1134"/>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gridSpan w:val="3"/>
            <w:vAlign w:val="center"/>
          </w:tcPr>
          <w:p>
            <w:pPr>
              <w:rPr>
                <w:rFonts w:ascii="Times New Roman" w:hAnsi="Times New Roman" w:eastAsia="宋体"/>
                <w:sz w:val="24"/>
                <w:szCs w:val="24"/>
              </w:rPr>
            </w:pPr>
            <w:r>
              <w:rPr>
                <w:rFonts w:ascii="Times New Roman" w:hAnsi="Times New Roman" w:eastAsia="宋体"/>
                <w:sz w:val="24"/>
                <w:szCs w:val="24"/>
              </w:rPr>
              <w:t>评审内容</w:t>
            </w:r>
          </w:p>
        </w:tc>
        <w:tc>
          <w:tcPr>
            <w:tcW w:w="1134" w:type="dxa"/>
            <w:vAlign w:val="center"/>
          </w:tcPr>
          <w:p>
            <w:pPr>
              <w:rPr>
                <w:rFonts w:ascii="Times New Roman" w:hAnsi="Times New Roman" w:eastAsia="宋体"/>
                <w:sz w:val="24"/>
                <w:szCs w:val="24"/>
              </w:rPr>
            </w:pPr>
            <w:r>
              <w:rPr>
                <w:rFonts w:ascii="Times New Roman" w:hAnsi="Times New Roman" w:eastAsia="宋体"/>
                <w:sz w:val="24"/>
                <w:szCs w:val="24"/>
              </w:rPr>
              <w:t>分值</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restart"/>
            <w:vAlign w:val="center"/>
          </w:tcPr>
          <w:p>
            <w:pPr>
              <w:rPr>
                <w:rFonts w:ascii="Times New Roman" w:hAnsi="Times New Roman" w:eastAsia="宋体"/>
                <w:sz w:val="24"/>
                <w:szCs w:val="24"/>
              </w:rPr>
            </w:pPr>
            <w:r>
              <w:rPr>
                <w:rFonts w:ascii="Times New Roman" w:hAnsi="Times New Roman" w:eastAsia="宋体"/>
                <w:sz w:val="24"/>
                <w:szCs w:val="24"/>
              </w:rPr>
              <w:t>技术标评审（</w:t>
            </w:r>
            <w:r>
              <w:rPr>
                <w:rFonts w:hint="eastAsia" w:ascii="Times New Roman" w:hAnsi="Times New Roman" w:eastAsia="宋体"/>
                <w:sz w:val="24"/>
                <w:szCs w:val="24"/>
              </w:rPr>
              <w:t>50</w:t>
            </w:r>
            <w:r>
              <w:rPr>
                <w:rFonts w:ascii="Times New Roman" w:hAnsi="Times New Roman" w:eastAsia="宋体"/>
                <w:sz w:val="24"/>
                <w:szCs w:val="24"/>
              </w:rPr>
              <w:t>分）</w:t>
            </w: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1</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施工组织机构和人员组成</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组织机构齐全，人员配备合理。</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2</w:t>
            </w:r>
          </w:p>
        </w:tc>
        <w:tc>
          <w:tcPr>
            <w:tcW w:w="1701" w:type="dxa"/>
            <w:vAlign w:val="center"/>
          </w:tcPr>
          <w:p>
            <w:pPr>
              <w:rPr>
                <w:rFonts w:ascii="Times New Roman" w:hAnsi="Times New Roman" w:eastAsia="宋体"/>
                <w:sz w:val="24"/>
                <w:szCs w:val="24"/>
              </w:rPr>
            </w:pPr>
            <w:r>
              <w:rPr>
                <w:rFonts w:hint="eastAsia" w:ascii="Times New Roman" w:hAnsi="Times New Roman" w:eastAsia="宋体"/>
                <w:sz w:val="24"/>
                <w:szCs w:val="24"/>
              </w:rPr>
              <w:t>资源配备计划</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8分</w:t>
            </w:r>
          </w:p>
        </w:tc>
        <w:tc>
          <w:tcPr>
            <w:tcW w:w="4048" w:type="dxa"/>
            <w:vAlign w:val="center"/>
          </w:tcPr>
          <w:p>
            <w:pPr>
              <w:rPr>
                <w:rFonts w:ascii="Times New Roman" w:hAnsi="Times New Roman" w:eastAsia="宋体"/>
                <w:sz w:val="24"/>
                <w:szCs w:val="24"/>
              </w:rPr>
            </w:pPr>
            <w:r>
              <w:rPr>
                <w:rFonts w:hint="eastAsia" w:ascii="Times New Roman" w:hAnsi="Times New Roman" w:eastAsia="宋体"/>
                <w:sz w:val="24"/>
                <w:szCs w:val="24"/>
              </w:rPr>
              <w:t>拟投入的人工、主要材料、主要施工机械、设备有详细计划且计划周密，劳动力安排合理，材料进场时间、数量、批次合理，设备数量、选型配置、进场数量、时间安排合理，满足施工需要。</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3</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施工进度</w:t>
            </w:r>
            <w:r>
              <w:rPr>
                <w:rFonts w:hint="eastAsia" w:ascii="Times New Roman" w:hAnsi="Times New Roman" w:eastAsia="宋体"/>
                <w:sz w:val="24"/>
                <w:szCs w:val="24"/>
              </w:rPr>
              <w:t>保障</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总施工工期目标明确，关键节点明确，各分项工程施工顺序安排恰当、工序衔接合理，进度计划安排科学。</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4</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质量保证体系</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质量管理体系完善，工程质量</w:t>
            </w:r>
            <w:r>
              <w:rPr>
                <w:rFonts w:hint="eastAsia" w:ascii="Times New Roman" w:hAnsi="Times New Roman" w:eastAsia="宋体"/>
                <w:sz w:val="24"/>
                <w:szCs w:val="24"/>
              </w:rPr>
              <w:t>保证</w:t>
            </w:r>
            <w:r>
              <w:rPr>
                <w:rFonts w:ascii="Times New Roman" w:hAnsi="Times New Roman" w:eastAsia="宋体"/>
                <w:sz w:val="24"/>
                <w:szCs w:val="24"/>
              </w:rPr>
              <w:t>措施完善，按单位、分部和分项分解细化</w:t>
            </w:r>
            <w:r>
              <w:rPr>
                <w:rFonts w:hint="eastAsia" w:ascii="Times New Roman" w:hAnsi="Times New Roman" w:eastAsia="宋体"/>
                <w:sz w:val="24"/>
                <w:szCs w:val="24"/>
              </w:rPr>
              <w:t>，</w:t>
            </w:r>
            <w:r>
              <w:rPr>
                <w:rFonts w:ascii="Times New Roman" w:hAnsi="Times New Roman" w:eastAsia="宋体"/>
                <w:sz w:val="24"/>
                <w:szCs w:val="24"/>
              </w:rPr>
              <w:t>具体明确，制度健全，能确保工程质量</w:t>
            </w:r>
            <w:r>
              <w:rPr>
                <w:rFonts w:hint="eastAsia" w:ascii="Times New Roman" w:hAnsi="Times New Roman" w:eastAsia="宋体"/>
                <w:sz w:val="24"/>
                <w:szCs w:val="24"/>
              </w:rPr>
              <w:t>满足要求。</w:t>
            </w:r>
            <w:r>
              <w:rPr>
                <w:rFonts w:ascii="Times New Roman" w:hAnsi="Times New Roman" w:eastAsia="宋体"/>
                <w:sz w:val="24"/>
                <w:szCs w:val="24"/>
              </w:rPr>
              <w:t>对于本工程重点、难点及关键环节的认识，以及对重点、难点及关键环节有应对措施，措施具体可行，并备有必要预案。</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5</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安全文明施工</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rPr>
              <w:t>8</w:t>
            </w:r>
            <w:r>
              <w:rPr>
                <w:rFonts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安全保障体系完善，安全措施或制度健全</w:t>
            </w:r>
            <w:r>
              <w:rPr>
                <w:rFonts w:hint="eastAsia" w:ascii="Times New Roman" w:hAnsi="Times New Roman" w:eastAsia="宋体"/>
                <w:sz w:val="24"/>
                <w:szCs w:val="24"/>
              </w:rPr>
              <w:t>，</w:t>
            </w:r>
            <w:r>
              <w:rPr>
                <w:rFonts w:ascii="Times New Roman" w:hAnsi="Times New Roman" w:eastAsia="宋体"/>
                <w:sz w:val="24"/>
                <w:szCs w:val="24"/>
              </w:rPr>
              <w:t>有明确的环保及文明施工目标及体系。</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rPr>
              <w:t>4</w:t>
            </w:r>
            <w:r>
              <w:rPr>
                <w:rFonts w:ascii="Times New Roman" w:hAnsi="Times New Roman" w:eastAsia="宋体"/>
                <w:sz w:val="24"/>
                <w:szCs w:val="24"/>
              </w:rPr>
              <w:t>分。（4）方案存在明显缺陷的，得</w:t>
            </w:r>
            <w:r>
              <w:rPr>
                <w:rFonts w:hint="eastAsia" w:ascii="Times New Roman" w:hAnsi="Times New Roman" w:eastAsia="宋体"/>
                <w:sz w:val="24"/>
                <w:szCs w:val="24"/>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6</w:t>
            </w:r>
          </w:p>
        </w:tc>
        <w:tc>
          <w:tcPr>
            <w:tcW w:w="1701" w:type="dxa"/>
            <w:vAlign w:val="center"/>
          </w:tcPr>
          <w:p>
            <w:pPr>
              <w:rPr>
                <w:rFonts w:ascii="Times New Roman" w:hAnsi="Times New Roman" w:eastAsia="宋体"/>
                <w:sz w:val="24"/>
                <w:szCs w:val="24"/>
              </w:rPr>
            </w:pPr>
            <w:r>
              <w:rPr>
                <w:rFonts w:hint="eastAsia" w:ascii="Times New Roman" w:hAnsi="Times New Roman" w:eastAsia="宋体"/>
                <w:sz w:val="24"/>
                <w:szCs w:val="24"/>
              </w:rPr>
              <w:t>施工方案</w:t>
            </w:r>
          </w:p>
        </w:tc>
        <w:tc>
          <w:tcPr>
            <w:tcW w:w="1134" w:type="dxa"/>
            <w:vAlign w:val="center"/>
          </w:tcPr>
          <w:p>
            <w:pPr>
              <w:rPr>
                <w:rFonts w:ascii="Times New Roman" w:hAnsi="Times New Roman" w:eastAsia="宋体"/>
                <w:sz w:val="24"/>
                <w:szCs w:val="24"/>
              </w:rPr>
            </w:pPr>
            <w:r>
              <w:rPr>
                <w:rFonts w:hint="eastAsia" w:ascii="Times New Roman" w:hAnsi="Times New Roman" w:eastAsia="宋体"/>
                <w:sz w:val="24"/>
                <w:szCs w:val="24"/>
                <w:lang w:val="en-US" w:eastAsia="zh-CN"/>
              </w:rPr>
              <w:t>8</w:t>
            </w:r>
            <w:r>
              <w:rPr>
                <w:rFonts w:hint="eastAsia" w:ascii="Times New Roman" w:hAnsi="Times New Roman" w:eastAsia="宋体"/>
                <w:sz w:val="24"/>
                <w:szCs w:val="24"/>
              </w:rPr>
              <w:t>分</w:t>
            </w:r>
          </w:p>
        </w:tc>
        <w:tc>
          <w:tcPr>
            <w:tcW w:w="4048" w:type="dxa"/>
            <w:vAlign w:val="center"/>
          </w:tcPr>
          <w:p>
            <w:pPr>
              <w:rPr>
                <w:rFonts w:ascii="Times New Roman" w:hAnsi="Times New Roman" w:eastAsia="宋体"/>
                <w:sz w:val="24"/>
                <w:szCs w:val="24"/>
              </w:rPr>
            </w:pPr>
            <w:r>
              <w:rPr>
                <w:rFonts w:hint="eastAsia" w:ascii="Times New Roman" w:hAnsi="Times New Roman" w:eastAsia="宋体"/>
                <w:sz w:val="24"/>
                <w:szCs w:val="24"/>
              </w:rPr>
              <w:t>各主要分部施工方法符合项目实际，须有详尽的施工技术方案，工艺先进，方法科学合理、可行，能指导具体施工并确保质量、进度与安全。</w:t>
            </w:r>
          </w:p>
          <w:p>
            <w:pPr>
              <w:rPr>
                <w:rFonts w:ascii="Times New Roman" w:hAnsi="Times New Roman" w:eastAsia="宋体"/>
                <w:sz w:val="24"/>
                <w:szCs w:val="24"/>
              </w:rPr>
            </w:pPr>
            <w:r>
              <w:rPr>
                <w:rFonts w:hint="eastAsia" w:ascii="Times New Roman" w:hAnsi="Times New Roman" w:eastAsia="宋体"/>
                <w:sz w:val="24"/>
                <w:szCs w:val="24"/>
              </w:rPr>
              <w:t>（</w:t>
            </w:r>
            <w:r>
              <w:rPr>
                <w:rFonts w:ascii="Times New Roman" w:hAnsi="Times New Roman" w:eastAsia="宋体"/>
                <w:sz w:val="24"/>
                <w:szCs w:val="24"/>
              </w:rPr>
              <w:t>1）方案科学有效且具有可操作性的，得</w:t>
            </w:r>
            <w:r>
              <w:rPr>
                <w:rFonts w:hint="eastAsia" w:ascii="Times New Roman" w:hAnsi="Times New Roman" w:eastAsia="宋体"/>
                <w:sz w:val="24"/>
                <w:szCs w:val="24"/>
                <w:lang w:val="en-US" w:eastAsia="zh-CN"/>
              </w:rPr>
              <w:t>8</w:t>
            </w:r>
            <w:r>
              <w:rPr>
                <w:rFonts w:ascii="Times New Roman" w:hAnsi="Times New Roman" w:eastAsia="宋体"/>
                <w:sz w:val="24"/>
                <w:szCs w:val="24"/>
              </w:rPr>
              <w:t>分；（2）方案一般且能满足需要的，得</w:t>
            </w:r>
            <w:r>
              <w:rPr>
                <w:rFonts w:hint="eastAsia" w:ascii="Times New Roman" w:hAnsi="Times New Roman" w:eastAsia="宋体"/>
                <w:sz w:val="24"/>
                <w:szCs w:val="24"/>
                <w:lang w:val="en-US" w:eastAsia="zh-CN"/>
              </w:rPr>
              <w:t>6</w:t>
            </w:r>
            <w:r>
              <w:rPr>
                <w:rFonts w:ascii="Times New Roman" w:hAnsi="Times New Roman" w:eastAsia="宋体"/>
                <w:sz w:val="24"/>
                <w:szCs w:val="24"/>
              </w:rPr>
              <w:t>分；（3）方案不完整但能基本满足需要的，得</w:t>
            </w:r>
            <w:r>
              <w:rPr>
                <w:rFonts w:hint="eastAsia" w:ascii="Times New Roman" w:hAnsi="Times New Roman" w:eastAsia="宋体"/>
                <w:sz w:val="24"/>
                <w:szCs w:val="24"/>
                <w:lang w:val="en-US" w:eastAsia="zh-CN"/>
              </w:rPr>
              <w:t>4</w:t>
            </w:r>
            <w:r>
              <w:rPr>
                <w:rFonts w:ascii="Times New Roman" w:hAnsi="Times New Roman" w:eastAsia="宋体"/>
                <w:sz w:val="24"/>
                <w:szCs w:val="24"/>
              </w:rPr>
              <w:t>分。（4）方案存在明显缺陷的，得</w:t>
            </w:r>
            <w:r>
              <w:rPr>
                <w:rFonts w:hint="eastAsia" w:ascii="Times New Roman" w:hAnsi="Times New Roman" w:eastAsia="宋体"/>
                <w:sz w:val="24"/>
                <w:szCs w:val="24"/>
                <w:lang w:val="en-US" w:eastAsia="zh-CN"/>
              </w:rPr>
              <w:t>2</w:t>
            </w:r>
            <w:r>
              <w:rPr>
                <w:rFonts w:ascii="Times New Roman" w:hAnsi="Times New Roman" w:eastAsia="宋体"/>
                <w:sz w:val="24"/>
                <w:szCs w:val="24"/>
              </w:rPr>
              <w:t>分。</w:t>
            </w:r>
            <w:r>
              <w:rPr>
                <w:rFonts w:hint="eastAsia" w:ascii="Times New Roman" w:hAnsi="Times New Roman" w:eastAsia="宋体"/>
                <w:sz w:val="24"/>
                <w:szCs w:val="24"/>
              </w:rPr>
              <w:t>（5）无服务方案的，得0分。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continue"/>
            <w:vAlign w:val="center"/>
          </w:tcPr>
          <w:p>
            <w:pPr>
              <w:rPr>
                <w:rFonts w:ascii="Times New Roman" w:hAnsi="Times New Roman" w:eastAsia="宋体"/>
                <w:sz w:val="24"/>
                <w:szCs w:val="24"/>
              </w:rPr>
            </w:pPr>
          </w:p>
        </w:tc>
        <w:tc>
          <w:tcPr>
            <w:tcW w:w="567" w:type="dxa"/>
            <w:vAlign w:val="center"/>
          </w:tcPr>
          <w:p>
            <w:pPr>
              <w:rPr>
                <w:rFonts w:ascii="Times New Roman" w:hAnsi="Times New Roman" w:eastAsia="宋体"/>
                <w:sz w:val="24"/>
                <w:szCs w:val="24"/>
              </w:rPr>
            </w:pPr>
            <w:r>
              <w:rPr>
                <w:rFonts w:hint="eastAsia" w:ascii="Times New Roman" w:hAnsi="Times New Roman" w:eastAsia="宋体"/>
                <w:sz w:val="24"/>
                <w:szCs w:val="24"/>
              </w:rPr>
              <w:t>7</w:t>
            </w:r>
          </w:p>
        </w:tc>
        <w:tc>
          <w:tcPr>
            <w:tcW w:w="1701" w:type="dxa"/>
            <w:vAlign w:val="center"/>
          </w:tcPr>
          <w:p>
            <w:pPr>
              <w:rPr>
                <w:rFonts w:ascii="Times New Roman" w:hAnsi="Times New Roman" w:eastAsia="宋体"/>
                <w:sz w:val="24"/>
                <w:szCs w:val="24"/>
              </w:rPr>
            </w:pPr>
            <w:r>
              <w:rPr>
                <w:rFonts w:ascii="Times New Roman" w:hAnsi="Times New Roman" w:eastAsia="宋体"/>
                <w:sz w:val="24"/>
                <w:szCs w:val="24"/>
              </w:rPr>
              <w:t>售后</w:t>
            </w:r>
            <w:r>
              <w:rPr>
                <w:rFonts w:hint="eastAsia" w:ascii="Times New Roman" w:hAnsi="Times New Roman" w:eastAsia="宋体"/>
                <w:sz w:val="24"/>
                <w:szCs w:val="24"/>
              </w:rPr>
              <w:t>服务</w:t>
            </w:r>
            <w:r>
              <w:rPr>
                <w:rFonts w:ascii="Times New Roman" w:hAnsi="Times New Roman" w:eastAsia="宋体"/>
                <w:sz w:val="24"/>
                <w:szCs w:val="24"/>
              </w:rPr>
              <w:t>承诺</w:t>
            </w:r>
          </w:p>
        </w:tc>
        <w:tc>
          <w:tcPr>
            <w:tcW w:w="1134" w:type="dxa"/>
            <w:vAlign w:val="center"/>
          </w:tcPr>
          <w:p>
            <w:pPr>
              <w:rPr>
                <w:rFonts w:ascii="Times New Roman" w:hAnsi="Times New Roman" w:eastAsia="宋体"/>
                <w:sz w:val="24"/>
                <w:szCs w:val="24"/>
              </w:rPr>
            </w:pPr>
            <w:r>
              <w:rPr>
                <w:rFonts w:ascii="Times New Roman" w:hAnsi="Times New Roman" w:eastAsia="宋体"/>
                <w:sz w:val="24"/>
                <w:szCs w:val="24"/>
              </w:rPr>
              <w:t>2分</w:t>
            </w:r>
          </w:p>
        </w:tc>
        <w:tc>
          <w:tcPr>
            <w:tcW w:w="4048" w:type="dxa"/>
            <w:vAlign w:val="center"/>
          </w:tcPr>
          <w:p>
            <w:pPr>
              <w:rPr>
                <w:rFonts w:ascii="Times New Roman" w:hAnsi="Times New Roman" w:eastAsia="宋体"/>
                <w:sz w:val="24"/>
                <w:szCs w:val="24"/>
              </w:rPr>
            </w:pPr>
            <w:r>
              <w:rPr>
                <w:rFonts w:ascii="Times New Roman" w:hAnsi="Times New Roman" w:eastAsia="宋体"/>
                <w:sz w:val="24"/>
                <w:szCs w:val="24"/>
              </w:rPr>
              <w:t>包括保修年限，服务标准，人员配备，维修及保障措施等，根据供应商承诺情况满分2分，存在缺陷或不足的，酌情减分。</w:t>
            </w:r>
          </w:p>
        </w:tc>
      </w:tr>
    </w:tbl>
    <w:p>
      <w:pPr>
        <w:ind w:firstLine="480" w:firstLineChars="200"/>
        <w:rPr>
          <w:rFonts w:ascii="Times New Roman" w:hAnsi="Times New Roman" w:eastAsia="宋体"/>
          <w:sz w:val="24"/>
          <w:szCs w:val="24"/>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pStyle w:val="2"/>
        <w:rPr>
          <w:rFonts w:hint="eastAsia" w:asciiTheme="majorEastAsia" w:hAnsiTheme="majorEastAsia" w:eastAsiaTheme="majorEastAsia" w:cstheme="majorEastAsia"/>
          <w:b/>
          <w:sz w:val="36"/>
          <w:szCs w:val="36"/>
        </w:rPr>
      </w:pPr>
    </w:p>
    <w:p>
      <w:pPr>
        <w:rPr>
          <w:rFonts w:hint="eastAsia"/>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Theme="majorEastAsia" w:hAnsiTheme="majorEastAsia" w:eastAsiaTheme="majorEastAsia" w:cstheme="majorEastAsia"/>
          <w:b/>
          <w:sz w:val="36"/>
          <w:szCs w:val="36"/>
        </w:rPr>
      </w:pPr>
    </w:p>
    <w:p>
      <w:pPr>
        <w:jc w:val="center"/>
        <w:rPr>
          <w:rFonts w:hint="eastAsia" w:ascii="华文中宋" w:hAnsi="华文中宋" w:eastAsia="华文中宋"/>
          <w:b/>
          <w:sz w:val="36"/>
          <w:szCs w:val="36"/>
        </w:rPr>
      </w:pPr>
      <w:r>
        <w:rPr>
          <w:rFonts w:hint="eastAsia" w:asciiTheme="majorEastAsia" w:hAnsiTheme="majorEastAsia" w:eastAsiaTheme="majorEastAsia" w:cstheme="majorEastAsia"/>
          <w:b/>
          <w:sz w:val="36"/>
          <w:szCs w:val="36"/>
        </w:rPr>
        <w:t xml:space="preserve">第七章  </w:t>
      </w:r>
      <w:bookmarkStart w:id="112" w:name="_Toc403987220"/>
      <w:r>
        <w:rPr>
          <w:rFonts w:hint="eastAsia" w:asciiTheme="majorEastAsia" w:hAnsiTheme="majorEastAsia" w:eastAsiaTheme="majorEastAsia" w:cstheme="majorEastAsia"/>
          <w:b/>
          <w:sz w:val="36"/>
          <w:szCs w:val="36"/>
        </w:rPr>
        <w:t>响应文件格式</w:t>
      </w:r>
      <w:bookmarkEnd w:id="111"/>
      <w:bookmarkEnd w:id="112"/>
    </w:p>
    <w:p>
      <w:pPr>
        <w:jc w:val="center"/>
        <w:rPr>
          <w:rFonts w:hAnsi="宋体"/>
          <w:b/>
          <w:sz w:val="72"/>
        </w:rPr>
      </w:pPr>
      <w:bookmarkStart w:id="113" w:name="_Hlt26671244"/>
      <w:bookmarkEnd w:id="113"/>
      <w:bookmarkStart w:id="114" w:name="_Hlt26955039"/>
      <w:bookmarkEnd w:id="114"/>
      <w:bookmarkStart w:id="115" w:name="_Toc120614282"/>
      <w:bookmarkStart w:id="116" w:name="_Toc26554094"/>
      <w:bookmarkStart w:id="117"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hint="eastAsia" w:ascii="宋体" w:hAnsi="宋体"/>
          <w:b/>
          <w:sz w:val="24"/>
          <w:szCs w:val="24"/>
          <w:lang w:val="en-US" w:eastAsia="zh-CN"/>
        </w:rPr>
      </w:pPr>
      <w:r>
        <w:rPr>
          <w:rFonts w:hint="eastAsia" w:ascii="宋体" w:hAnsi="宋体"/>
          <w:b/>
          <w:sz w:val="24"/>
          <w:szCs w:val="24"/>
        </w:rPr>
        <w:t>五、</w:t>
      </w:r>
      <w:r>
        <w:rPr>
          <w:rFonts w:hint="eastAsia" w:ascii="宋体" w:hAnsi="宋体"/>
          <w:b/>
          <w:sz w:val="24"/>
          <w:szCs w:val="24"/>
          <w:lang w:val="en-US" w:eastAsia="zh-CN"/>
        </w:rPr>
        <w:t>投标文件须包含分部分项工程量清单综合单价分析表等《建设工程工程量清单计价规范》(GB 50500-2013）中要求提供的文件。</w:t>
      </w:r>
    </w:p>
    <w:p>
      <w:pPr>
        <w:adjustRightInd w:val="0"/>
        <w:snapToGrid w:val="0"/>
        <w:spacing w:line="360" w:lineRule="auto"/>
        <w:rPr>
          <w:rFonts w:hint="default" w:ascii="宋体" w:hAnsi="宋体" w:eastAsia="宋体"/>
          <w:b/>
          <w:sz w:val="24"/>
          <w:szCs w:val="24"/>
          <w:lang w:val="en-US" w:eastAsia="zh-CN"/>
        </w:rPr>
      </w:pPr>
      <w:r>
        <w:rPr>
          <w:rFonts w:hint="eastAsia" w:ascii="宋体" w:hAnsi="宋体"/>
          <w:b/>
          <w:sz w:val="24"/>
          <w:szCs w:val="24"/>
        </w:rPr>
        <w:t>六、施工</w:t>
      </w:r>
      <w:r>
        <w:rPr>
          <w:rFonts w:hint="eastAsia" w:ascii="宋体" w:hAnsi="宋体"/>
          <w:b/>
          <w:sz w:val="24"/>
          <w:szCs w:val="24"/>
          <w:lang w:val="en-US" w:eastAsia="zh-CN"/>
        </w:rPr>
        <w:t>组织设计</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hint="eastAsia" w:ascii="宋体" w:hAnsi="宋体" w:eastAsia="宋体" w:cs="宋体"/>
          <w:b/>
          <w:spacing w:val="-6"/>
          <w:szCs w:val="28"/>
        </w:rPr>
      </w:pPr>
      <w:r>
        <w:rPr>
          <w:rFonts w:hint="eastAsia" w:ascii="宋体" w:hAnsi="宋体" w:eastAsia="宋体" w:cs="宋体"/>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8"/>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皖南医学院赭麓校区电房加盖层拆除及围墙维修工程项目</w:t>
            </w:r>
            <w:bookmarkStart w:id="154" w:name="_GoBack"/>
            <w:bookmarkEnd w:id="154"/>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7"/>
              <w:numPr>
                <w:ilvl w:val="0"/>
                <w:numId w:val="0"/>
              </w:numPr>
              <w:rPr>
                <w:rFonts w:hint="eastAsia"/>
                <w:lang w:val="en-US" w:eastAsia="zh-CN"/>
              </w:rPr>
            </w:pPr>
          </w:p>
          <w:p>
            <w:pPr>
              <w:pStyle w:val="27"/>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6"/>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7"/>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pStyle w:val="21"/>
        <w:rPr>
          <w:rFonts w:ascii="宋体" w:hAnsi="宋体"/>
          <w:spacing w:val="-6"/>
          <w:sz w:val="24"/>
        </w:rPr>
      </w:pPr>
    </w:p>
    <w:p>
      <w:pPr>
        <w:jc w:val="center"/>
        <w:rPr>
          <w:rStyle w:val="66"/>
          <w:rFonts w:hint="eastAsia" w:asciiTheme="majorEastAsia" w:hAnsiTheme="majorEastAsia" w:eastAsiaTheme="majorEastAsia" w:cstheme="majorEastAsia"/>
          <w:color w:val="auto"/>
          <w:sz w:val="28"/>
          <w:szCs w:val="28"/>
        </w:rPr>
      </w:pPr>
      <w:r>
        <w:rPr>
          <w:rStyle w:val="66"/>
          <w:rFonts w:hint="eastAsia" w:asciiTheme="majorEastAsia" w:hAnsiTheme="majorEastAsia" w:eastAsiaTheme="majorEastAsia" w:cstheme="majorEastAsia"/>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8"/>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6"/>
          <w:rFonts w:ascii="华文中宋" w:hAnsi="华文中宋" w:eastAsia="华文中宋"/>
          <w:color w:val="auto"/>
          <w:sz w:val="28"/>
          <w:szCs w:val="28"/>
        </w:rPr>
      </w:pPr>
      <w:r>
        <w:rPr>
          <w:rFonts w:hAnsi="宋体"/>
          <w:sz w:val="32"/>
          <w:szCs w:val="32"/>
        </w:rPr>
        <w:br w:type="page"/>
      </w:r>
      <w:r>
        <w:rPr>
          <w:rStyle w:val="66"/>
          <w:rFonts w:hint="eastAsia" w:asciiTheme="majorEastAsia" w:hAnsiTheme="majorEastAsia" w:eastAsiaTheme="majorEastAsia" w:cstheme="majorEastAsia"/>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8" w:name="_Toc49090582"/>
      <w:bookmarkStart w:id="119" w:name="_Toc513029281"/>
      <w:bookmarkStart w:id="120" w:name="_Toc23828483"/>
      <w:bookmarkStart w:id="121" w:name="_Toc24878535"/>
      <w:bookmarkStart w:id="122" w:name="_Toc22356583"/>
      <w:bookmarkStart w:id="123" w:name="_Toc120614291"/>
      <w:bookmarkStart w:id="124" w:name="_Toc26554103"/>
      <w:bookmarkStart w:id="12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8"/>
      <w:bookmarkEnd w:id="119"/>
      <w:bookmarkEnd w:id="120"/>
      <w:bookmarkEnd w:id="121"/>
      <w:bookmarkEnd w:id="122"/>
      <w:bookmarkEnd w:id="123"/>
      <w:bookmarkEnd w:id="124"/>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8"/>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5"/>
        <w:snapToGrid w:val="0"/>
        <w:spacing w:beforeLines="0" w:afterLines="0" w:line="360" w:lineRule="auto"/>
        <w:jc w:val="left"/>
        <w:rPr>
          <w:rFonts w:hAnsi="宋体"/>
          <w:szCs w:val="24"/>
        </w:rPr>
      </w:pPr>
    </w:p>
    <w:p>
      <w:pPr>
        <w:pStyle w:val="15"/>
        <w:snapToGrid w:val="0"/>
        <w:spacing w:beforeLines="0" w:afterLines="0" w:line="360" w:lineRule="auto"/>
        <w:jc w:val="left"/>
        <w:rPr>
          <w:rFonts w:hAnsi="宋体"/>
          <w:spacing w:val="-6"/>
        </w:rPr>
      </w:pPr>
      <w:r>
        <w:rPr>
          <w:rFonts w:hint="eastAsia" w:hAnsi="宋体"/>
          <w:spacing w:val="-6"/>
        </w:rPr>
        <w:t xml:space="preserve"> </w:t>
      </w:r>
    </w:p>
    <w:p>
      <w:pPr>
        <w:pStyle w:val="40"/>
        <w:ind w:firstLine="0" w:firstLineChars="0"/>
        <w:rPr>
          <w:rFonts w:hint="eastAsia" w:hAnsi="宋体" w:eastAsia="宋体"/>
          <w:sz w:val="24"/>
          <w:szCs w:val="24"/>
        </w:rPr>
      </w:pPr>
    </w:p>
    <w:bookmarkEnd w:id="125"/>
    <w:p>
      <w:pPr>
        <w:jc w:val="center"/>
        <w:rPr>
          <w:rStyle w:val="66"/>
          <w:rFonts w:ascii="华文中宋" w:hAnsi="华文中宋" w:eastAsia="华文中宋"/>
          <w:b w:val="0"/>
          <w:color w:val="auto"/>
          <w:sz w:val="28"/>
          <w:szCs w:val="28"/>
        </w:rPr>
      </w:pPr>
      <w:bookmarkStart w:id="126" w:name="_Toc49090577"/>
      <w:bookmarkStart w:id="127" w:name="_Toc23828478"/>
      <w:bookmarkStart w:id="128" w:name="_Toc26554095"/>
      <w:bookmarkStart w:id="129" w:name="_Toc460901585"/>
      <w:bookmarkStart w:id="130" w:name="_Toc22356580"/>
      <w:bookmarkStart w:id="131" w:name="_Toc513029276"/>
      <w:bookmarkStart w:id="132" w:name="_Toc120614283"/>
      <w:r>
        <w:rPr>
          <w:rFonts w:hint="eastAsia" w:ascii="华文中宋" w:hAnsi="华文中宋" w:eastAsia="华文中宋"/>
          <w:b/>
          <w:spacing w:val="-6"/>
          <w:szCs w:val="28"/>
        </w:rPr>
        <w:t>四、</w:t>
      </w:r>
      <w:r>
        <w:rPr>
          <w:rStyle w:val="66"/>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66"/>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i/>
          <w:sz w:val="24"/>
          <w:szCs w:val="24"/>
          <w:u w:val="single"/>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numPr>
          <w:ilvl w:val="0"/>
          <w:numId w:val="4"/>
        </w:numPr>
        <w:rPr>
          <w:rFonts w:hint="eastAsia" w:ascii="仿宋_GB2312" w:eastAsia="仿宋_GB2312"/>
          <w:b/>
          <w:bCs/>
          <w:sz w:val="28"/>
          <w:szCs w:val="28"/>
        </w:rPr>
      </w:pPr>
      <w:r>
        <w:rPr>
          <w:rFonts w:hint="eastAsia" w:ascii="仿宋_GB2312" w:eastAsia="仿宋_GB2312"/>
          <w:b/>
          <w:bCs/>
          <w:sz w:val="28"/>
          <w:szCs w:val="28"/>
        </w:rPr>
        <w:t>投标文件须包含分部分项工程量清单综合单价分析表等《建设工程工程量清单计价规范》(GB 50500-2013）中要求提供的文件。</w:t>
      </w:r>
    </w:p>
    <w:p>
      <w:pPr>
        <w:numPr>
          <w:ilvl w:val="0"/>
          <w:numId w:val="4"/>
        </w:numPr>
        <w:rPr>
          <w:rFonts w:ascii="仿宋_GB2312" w:eastAsia="仿宋_GB2312"/>
          <w:b/>
          <w:bCs/>
          <w:sz w:val="28"/>
          <w:szCs w:val="28"/>
        </w:rPr>
      </w:pPr>
      <w:r>
        <w:rPr>
          <w:rFonts w:hint="eastAsia" w:ascii="仿宋_GB2312" w:eastAsia="仿宋_GB2312"/>
          <w:b/>
          <w:bCs/>
          <w:sz w:val="28"/>
          <w:szCs w:val="28"/>
        </w:rPr>
        <w:t>施工组织设计（主要但不限于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3"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3"/>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4" w:name="OLE_LINK3"/>
      <w:bookmarkStart w:id="135" w:name="OLE_LINK1"/>
      <w:bookmarkStart w:id="136" w:name="OLE_LINK2"/>
      <w:r>
        <w:rPr>
          <w:rFonts w:hint="eastAsia" w:ascii="仿宋_GB2312" w:hAnsi="宋体" w:eastAsia="仿宋_GB2312" w:cs="宋体"/>
          <w:sz w:val="24"/>
          <w:szCs w:val="24"/>
        </w:rPr>
        <w:t>学校采购活动</w:t>
      </w:r>
      <w:bookmarkEnd w:id="134"/>
      <w:bookmarkEnd w:id="135"/>
      <w:bookmarkEnd w:id="136"/>
      <w:r>
        <w:rPr>
          <w:rFonts w:hint="eastAsia" w:ascii="仿宋_GB2312" w:hAnsi="宋体" w:eastAsia="仿宋_GB2312" w:cs="宋体"/>
          <w:sz w:val="24"/>
          <w:szCs w:val="24"/>
        </w:rPr>
        <w:t>质疑的提出和答复、投诉的提起和处理。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7" w:name="OLE_LINK4"/>
      <w:bookmarkStart w:id="138" w:name="OLE_LINK7"/>
      <w:bookmarkStart w:id="139" w:name="OLE_LINK8"/>
      <w:bookmarkStart w:id="140" w:name="OLE_LINK9"/>
      <w:bookmarkStart w:id="141" w:name="OLE_LINK5"/>
      <w:bookmarkStart w:id="142" w:name="OLE_LINK6"/>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7"/>
      <w:bookmarkEnd w:id="138"/>
      <w:bookmarkEnd w:id="139"/>
      <w:bookmarkEnd w:id="140"/>
      <w:bookmarkEnd w:id="141"/>
      <w:bookmarkEnd w:id="142"/>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3" w:name="OLE_LINK77"/>
      <w:bookmarkStart w:id="144" w:name="OLE_LINK78"/>
      <w:bookmarkStart w:id="145" w:name="OLE_LINK76"/>
      <w:r>
        <w:rPr>
          <w:rFonts w:hint="eastAsia" w:ascii="仿宋_GB2312" w:hAnsi="微软雅黑" w:eastAsia="仿宋_GB2312"/>
          <w:sz w:val="24"/>
          <w:szCs w:val="24"/>
        </w:rPr>
        <w:t>国资处、采购代理机构</w:t>
      </w:r>
      <w:bookmarkEnd w:id="143"/>
      <w:bookmarkEnd w:id="144"/>
      <w:bookmarkEnd w:id="145"/>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5"/>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第五章 </w:t>
      </w:r>
      <w:r>
        <w:rPr>
          <w:rStyle w:val="31"/>
          <w:rFonts w:hint="eastAsia" w:ascii="微软雅黑" w:hAnsi="微软雅黑" w:eastAsia="黑体"/>
          <w:sz w:val="30"/>
          <w:szCs w:val="30"/>
        </w:rPr>
        <w:t> </w:t>
      </w:r>
      <w:r>
        <w:rPr>
          <w:rStyle w:val="31"/>
          <w:rFonts w:hint="eastAsia" w:ascii="黑体" w:hAnsi="黑体" w:eastAsia="黑体"/>
          <w:sz w:val="30"/>
          <w:szCs w:val="30"/>
        </w:rPr>
        <w:t>投诉的处理</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6" w:name="OLE_LINK11"/>
      <w:bookmarkStart w:id="147" w:name="OLE_LINK12"/>
      <w:bookmarkStart w:id="148"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6"/>
      <w:bookmarkEnd w:id="147"/>
      <w:bookmarkEnd w:id="148"/>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9" w:name="OLE_LINK15"/>
      <w:bookmarkStart w:id="150" w:name="OLE_LINK14"/>
      <w:r>
        <w:rPr>
          <w:rFonts w:hint="eastAsia" w:ascii="仿宋_GB2312" w:hAnsi="微软雅黑" w:eastAsia="仿宋_GB2312"/>
          <w:sz w:val="24"/>
          <w:szCs w:val="24"/>
        </w:rPr>
        <w:t>（一）未确定中标或者成交供应商的，责令重新开展采购活动。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9"/>
    <w:bookmarkEnd w:id="150"/>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Style w:val="31"/>
          <w:rFonts w:ascii="仿宋_GB2312" w:hAnsi="微软雅黑" w:eastAsia="仿宋_GB2312"/>
          <w:sz w:val="24"/>
          <w:szCs w:val="24"/>
        </w:rPr>
      </w:pPr>
    </w:p>
    <w:p>
      <w:pPr>
        <w:pStyle w:val="25"/>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31"/>
          <w:rFonts w:hint="eastAsia" w:ascii="黑体" w:hAnsi="黑体" w:eastAsia="黑体"/>
          <w:sz w:val="30"/>
          <w:szCs w:val="30"/>
        </w:rPr>
        <w:t xml:space="preserve">第六章 </w:t>
      </w:r>
      <w:r>
        <w:rPr>
          <w:rStyle w:val="31"/>
          <w:rFonts w:hint="eastAsia" w:ascii="微软雅黑" w:hAnsi="微软雅黑" w:eastAsia="黑体"/>
          <w:sz w:val="30"/>
          <w:szCs w:val="30"/>
        </w:rPr>
        <w:t> </w:t>
      </w:r>
      <w:r>
        <w:rPr>
          <w:rStyle w:val="31"/>
          <w:rFonts w:hint="eastAsia" w:ascii="黑体" w:hAnsi="黑体" w:eastAsia="黑体"/>
          <w:sz w:val="30"/>
          <w:szCs w:val="30"/>
        </w:rPr>
        <w:t>法律责任</w:t>
      </w:r>
    </w:p>
    <w:p>
      <w:pPr>
        <w:pStyle w:val="25"/>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31"/>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1" w:name="OLE_LINK18"/>
      <w:bookmarkStart w:id="152" w:name="OLE_LINK16"/>
      <w:bookmarkStart w:id="153" w:name="OLE_LINK17"/>
      <w:r>
        <w:rPr>
          <w:rFonts w:hint="eastAsia" w:ascii="仿宋_GB2312" w:hAnsi="宋体" w:eastAsia="仿宋_GB2312" w:cs="宋体"/>
          <w:sz w:val="24"/>
          <w:szCs w:val="24"/>
        </w:rPr>
        <w:t>规</w:t>
      </w:r>
      <w:bookmarkEnd w:id="151"/>
      <w:bookmarkEnd w:id="152"/>
      <w:bookmarkEnd w:id="153"/>
      <w:r>
        <w:rPr>
          <w:rFonts w:hint="eastAsia" w:ascii="仿宋_GB2312" w:hAnsi="宋体" w:eastAsia="仿宋_GB2312" w:cs="宋体"/>
          <w:sz w:val="24"/>
          <w:szCs w:val="24"/>
        </w:rPr>
        <w:t>追究其相应责任。</w:t>
      </w:r>
    </w:p>
    <w:p>
      <w:pPr>
        <w:pStyle w:val="25"/>
        <w:shd w:val="clear" w:color="auto" w:fill="FFFFFF"/>
        <w:adjustRightInd w:val="0"/>
        <w:snapToGrid w:val="0"/>
        <w:spacing w:before="0" w:beforeAutospacing="0" w:after="0" w:afterAutospacing="0" w:line="560" w:lineRule="exact"/>
        <w:ind w:firstLine="482" w:firstLineChars="200"/>
        <w:jc w:val="both"/>
        <w:rPr>
          <w:rStyle w:val="31"/>
          <w:rFonts w:ascii="仿宋_GB2312" w:hAnsi="微软雅黑" w:eastAsia="仿宋_GB2312"/>
          <w:sz w:val="24"/>
          <w:szCs w:val="24"/>
        </w:rPr>
      </w:pPr>
      <w:r>
        <w:rPr>
          <w:rStyle w:val="31"/>
          <w:rFonts w:hint="eastAsia" w:ascii="仿宋_GB2312" w:hAnsi="微软雅黑" w:eastAsia="仿宋_GB2312"/>
          <w:sz w:val="24"/>
          <w:szCs w:val="24"/>
        </w:rPr>
        <w:t>　</w:t>
      </w:r>
    </w:p>
    <w:p>
      <w:pPr>
        <w:pStyle w:val="25"/>
        <w:shd w:val="clear" w:color="auto" w:fill="FFFFFF"/>
        <w:adjustRightInd w:val="0"/>
        <w:snapToGrid w:val="0"/>
        <w:spacing w:before="0" w:beforeAutospacing="0" w:after="0" w:afterAutospacing="0" w:line="560" w:lineRule="exact"/>
        <w:jc w:val="center"/>
        <w:rPr>
          <w:rStyle w:val="31"/>
          <w:rFonts w:ascii="黑体" w:hAnsi="黑体" w:eastAsia="黑体"/>
          <w:sz w:val="24"/>
          <w:szCs w:val="24"/>
        </w:rPr>
      </w:pPr>
      <w:r>
        <w:rPr>
          <w:rStyle w:val="31"/>
          <w:rFonts w:hint="eastAsia" w:ascii="黑体" w:hAnsi="黑体" w:eastAsia="黑体"/>
          <w:sz w:val="24"/>
          <w:szCs w:val="24"/>
        </w:rPr>
        <w:t xml:space="preserve">第七章 </w:t>
      </w:r>
      <w:r>
        <w:rPr>
          <w:rStyle w:val="31"/>
          <w:rFonts w:hint="eastAsia" w:ascii="微软雅黑" w:hAnsi="微软雅黑" w:eastAsia="黑体"/>
          <w:sz w:val="24"/>
          <w:szCs w:val="24"/>
        </w:rPr>
        <w:t> </w:t>
      </w:r>
      <w:r>
        <w:rPr>
          <w:rStyle w:val="31"/>
          <w:rFonts w:hint="eastAsia" w:ascii="黑体" w:hAnsi="黑体" w:eastAsia="黑体"/>
          <w:sz w:val="24"/>
          <w:szCs w:val="24"/>
        </w:rPr>
        <w:t>附则</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5"/>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5"/>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 PAGE   \* MERGEFORMAT </w:instrText>
    </w:r>
    <w:r>
      <w:fldChar w:fldCharType="separate"/>
    </w:r>
    <w:r>
      <w:rPr>
        <w:lang w:val="zh-CN"/>
      </w:rPr>
      <w:t>1</w:t>
    </w:r>
    <w:r>
      <w:rPr>
        <w:lang w:val="zh-CN"/>
      </w:rPr>
      <w:fldChar w:fldCharType="end"/>
    </w:r>
  </w:p>
  <w:p>
    <w:pPr>
      <w:pStyle w:val="1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07FA6FDA"/>
    <w:multiLevelType w:val="singleLevel"/>
    <w:tmpl w:val="07FA6FDA"/>
    <w:lvl w:ilvl="0" w:tentative="0">
      <w:start w:val="5"/>
      <w:numFmt w:val="chineseCounting"/>
      <w:suff w:val="nothing"/>
      <w:lvlText w:val="%1、"/>
      <w:lvlJc w:val="left"/>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2761CB9B"/>
    <w:multiLevelType w:val="singleLevel"/>
    <w:tmpl w:val="2761CB9B"/>
    <w:lvl w:ilvl="0" w:tentative="0">
      <w:start w:val="1"/>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戬">
    <w15:presenceInfo w15:providerId="None" w15:userId="王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B44D3"/>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761"/>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1709"/>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0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CF5500"/>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0C0502"/>
    <w:rsid w:val="01157CCA"/>
    <w:rsid w:val="011949CD"/>
    <w:rsid w:val="014B1C38"/>
    <w:rsid w:val="01543C57"/>
    <w:rsid w:val="0156352C"/>
    <w:rsid w:val="01EE5E5A"/>
    <w:rsid w:val="023A4BFB"/>
    <w:rsid w:val="02702D13"/>
    <w:rsid w:val="027E6FC9"/>
    <w:rsid w:val="02857DF9"/>
    <w:rsid w:val="02A97FD3"/>
    <w:rsid w:val="02EB0F66"/>
    <w:rsid w:val="03084CFA"/>
    <w:rsid w:val="030B1590"/>
    <w:rsid w:val="03164992"/>
    <w:rsid w:val="03345AEF"/>
    <w:rsid w:val="033B177D"/>
    <w:rsid w:val="034C612E"/>
    <w:rsid w:val="03600692"/>
    <w:rsid w:val="03667C72"/>
    <w:rsid w:val="0388408C"/>
    <w:rsid w:val="03A01301"/>
    <w:rsid w:val="03A2514E"/>
    <w:rsid w:val="03B31109"/>
    <w:rsid w:val="03B66375"/>
    <w:rsid w:val="03B86720"/>
    <w:rsid w:val="03D835EA"/>
    <w:rsid w:val="03E434EA"/>
    <w:rsid w:val="04071455"/>
    <w:rsid w:val="0432311F"/>
    <w:rsid w:val="04446205"/>
    <w:rsid w:val="047A5783"/>
    <w:rsid w:val="047D1717"/>
    <w:rsid w:val="04910E13"/>
    <w:rsid w:val="04B844FD"/>
    <w:rsid w:val="04E55E3A"/>
    <w:rsid w:val="04FC43EA"/>
    <w:rsid w:val="051A6F66"/>
    <w:rsid w:val="055661F0"/>
    <w:rsid w:val="055A508B"/>
    <w:rsid w:val="055F6389"/>
    <w:rsid w:val="05BE78F1"/>
    <w:rsid w:val="05CA098C"/>
    <w:rsid w:val="05E05ABA"/>
    <w:rsid w:val="06982838"/>
    <w:rsid w:val="06A05249"/>
    <w:rsid w:val="06A411DD"/>
    <w:rsid w:val="06E43FCE"/>
    <w:rsid w:val="06EC66E0"/>
    <w:rsid w:val="07247C28"/>
    <w:rsid w:val="073154DA"/>
    <w:rsid w:val="07320597"/>
    <w:rsid w:val="073A744C"/>
    <w:rsid w:val="075179DA"/>
    <w:rsid w:val="07AF559C"/>
    <w:rsid w:val="07D4164E"/>
    <w:rsid w:val="07E40CC7"/>
    <w:rsid w:val="084A1910"/>
    <w:rsid w:val="088A4403"/>
    <w:rsid w:val="08CE609D"/>
    <w:rsid w:val="09296F01"/>
    <w:rsid w:val="092E1276"/>
    <w:rsid w:val="09412D13"/>
    <w:rsid w:val="09564F15"/>
    <w:rsid w:val="097C01EF"/>
    <w:rsid w:val="09A84CAA"/>
    <w:rsid w:val="09AC2920"/>
    <w:rsid w:val="09D15446"/>
    <w:rsid w:val="0A037FC9"/>
    <w:rsid w:val="0A2E773B"/>
    <w:rsid w:val="0A4546CD"/>
    <w:rsid w:val="0A9926DB"/>
    <w:rsid w:val="0A9D2C05"/>
    <w:rsid w:val="0AC41E4E"/>
    <w:rsid w:val="0B0264D2"/>
    <w:rsid w:val="0B0E131B"/>
    <w:rsid w:val="0B13248D"/>
    <w:rsid w:val="0B381EF4"/>
    <w:rsid w:val="0B416FFB"/>
    <w:rsid w:val="0B6B22C9"/>
    <w:rsid w:val="0B73117E"/>
    <w:rsid w:val="0BDC6D23"/>
    <w:rsid w:val="0C5D773D"/>
    <w:rsid w:val="0C632FA1"/>
    <w:rsid w:val="0CA710DF"/>
    <w:rsid w:val="0CD520F0"/>
    <w:rsid w:val="0CFB4C03"/>
    <w:rsid w:val="0D294166"/>
    <w:rsid w:val="0D2C5EE3"/>
    <w:rsid w:val="0D7754CF"/>
    <w:rsid w:val="0D7C07BE"/>
    <w:rsid w:val="0D7E2A6A"/>
    <w:rsid w:val="0DA16FB4"/>
    <w:rsid w:val="0DAD78C9"/>
    <w:rsid w:val="0DB37F58"/>
    <w:rsid w:val="0DCD3373"/>
    <w:rsid w:val="0DED16BC"/>
    <w:rsid w:val="0DF465A6"/>
    <w:rsid w:val="0E2C58F9"/>
    <w:rsid w:val="0E417312"/>
    <w:rsid w:val="0E7E3960"/>
    <w:rsid w:val="0E903DF5"/>
    <w:rsid w:val="0EA63619"/>
    <w:rsid w:val="0ECE2C8D"/>
    <w:rsid w:val="0EE04D7C"/>
    <w:rsid w:val="0EEC54CF"/>
    <w:rsid w:val="0F20786F"/>
    <w:rsid w:val="0F2C7FC2"/>
    <w:rsid w:val="0F2E7896"/>
    <w:rsid w:val="0F587009"/>
    <w:rsid w:val="0F627A8E"/>
    <w:rsid w:val="0FBA55CD"/>
    <w:rsid w:val="0FD1712A"/>
    <w:rsid w:val="10152804"/>
    <w:rsid w:val="1021564D"/>
    <w:rsid w:val="10563548"/>
    <w:rsid w:val="107556EE"/>
    <w:rsid w:val="10853E2D"/>
    <w:rsid w:val="10A32505"/>
    <w:rsid w:val="10A328AC"/>
    <w:rsid w:val="10B85C94"/>
    <w:rsid w:val="10E8616A"/>
    <w:rsid w:val="11097CFF"/>
    <w:rsid w:val="110A7E8F"/>
    <w:rsid w:val="11407D54"/>
    <w:rsid w:val="11725165"/>
    <w:rsid w:val="1182036D"/>
    <w:rsid w:val="11916802"/>
    <w:rsid w:val="119836EC"/>
    <w:rsid w:val="11A93BAF"/>
    <w:rsid w:val="11E44B84"/>
    <w:rsid w:val="11EB5F12"/>
    <w:rsid w:val="11FD5C45"/>
    <w:rsid w:val="1283614B"/>
    <w:rsid w:val="12A869B3"/>
    <w:rsid w:val="12C66037"/>
    <w:rsid w:val="12DA0610"/>
    <w:rsid w:val="12FE1C75"/>
    <w:rsid w:val="13085987"/>
    <w:rsid w:val="13196AAF"/>
    <w:rsid w:val="132536A6"/>
    <w:rsid w:val="1331204B"/>
    <w:rsid w:val="13405DEA"/>
    <w:rsid w:val="13C92283"/>
    <w:rsid w:val="13E0137B"/>
    <w:rsid w:val="13FF3EF7"/>
    <w:rsid w:val="14092680"/>
    <w:rsid w:val="143811B7"/>
    <w:rsid w:val="143F60A1"/>
    <w:rsid w:val="144B713C"/>
    <w:rsid w:val="14863CD0"/>
    <w:rsid w:val="148D505F"/>
    <w:rsid w:val="14B922F8"/>
    <w:rsid w:val="14D709D0"/>
    <w:rsid w:val="14DC7D94"/>
    <w:rsid w:val="14E1184E"/>
    <w:rsid w:val="150E0804"/>
    <w:rsid w:val="15475B55"/>
    <w:rsid w:val="155618F4"/>
    <w:rsid w:val="15973CBB"/>
    <w:rsid w:val="15B36D47"/>
    <w:rsid w:val="16113A6D"/>
    <w:rsid w:val="16192806"/>
    <w:rsid w:val="16225734"/>
    <w:rsid w:val="162437A1"/>
    <w:rsid w:val="162C38CF"/>
    <w:rsid w:val="1647748F"/>
    <w:rsid w:val="1653052A"/>
    <w:rsid w:val="168023D9"/>
    <w:rsid w:val="168E50BE"/>
    <w:rsid w:val="1695644C"/>
    <w:rsid w:val="16C17241"/>
    <w:rsid w:val="16C805D0"/>
    <w:rsid w:val="16F21AF1"/>
    <w:rsid w:val="17252284"/>
    <w:rsid w:val="175D4E15"/>
    <w:rsid w:val="177B58CD"/>
    <w:rsid w:val="1787048B"/>
    <w:rsid w:val="17A032FB"/>
    <w:rsid w:val="17B1375A"/>
    <w:rsid w:val="18020BC4"/>
    <w:rsid w:val="180513B0"/>
    <w:rsid w:val="18057602"/>
    <w:rsid w:val="180E64B6"/>
    <w:rsid w:val="183F2B14"/>
    <w:rsid w:val="184C3483"/>
    <w:rsid w:val="18624A54"/>
    <w:rsid w:val="1869193F"/>
    <w:rsid w:val="18B051AF"/>
    <w:rsid w:val="18CD0120"/>
    <w:rsid w:val="18D05E62"/>
    <w:rsid w:val="18E70052"/>
    <w:rsid w:val="19081158"/>
    <w:rsid w:val="191F64A1"/>
    <w:rsid w:val="19254BEF"/>
    <w:rsid w:val="19464AA9"/>
    <w:rsid w:val="19466124"/>
    <w:rsid w:val="19836A30"/>
    <w:rsid w:val="19962C07"/>
    <w:rsid w:val="199C5D44"/>
    <w:rsid w:val="19D43730"/>
    <w:rsid w:val="19DC3498"/>
    <w:rsid w:val="19FE255B"/>
    <w:rsid w:val="1A07319C"/>
    <w:rsid w:val="1A3146DE"/>
    <w:rsid w:val="1A33516B"/>
    <w:rsid w:val="1A361CF4"/>
    <w:rsid w:val="1A393593"/>
    <w:rsid w:val="1A954C6D"/>
    <w:rsid w:val="1B1E1106"/>
    <w:rsid w:val="1B4A1EFB"/>
    <w:rsid w:val="1B4F4CC3"/>
    <w:rsid w:val="1B75684C"/>
    <w:rsid w:val="1B7570E3"/>
    <w:rsid w:val="1B776A68"/>
    <w:rsid w:val="1B8D1DE8"/>
    <w:rsid w:val="1BA211E7"/>
    <w:rsid w:val="1BC03A01"/>
    <w:rsid w:val="1BFB31F6"/>
    <w:rsid w:val="1C125497"/>
    <w:rsid w:val="1C8651B5"/>
    <w:rsid w:val="1CA613B3"/>
    <w:rsid w:val="1CB3762C"/>
    <w:rsid w:val="1CDA72AF"/>
    <w:rsid w:val="1CEB14BC"/>
    <w:rsid w:val="1CF10155"/>
    <w:rsid w:val="1CF71C0F"/>
    <w:rsid w:val="1D1502E7"/>
    <w:rsid w:val="1D1A4E10"/>
    <w:rsid w:val="1D28001A"/>
    <w:rsid w:val="1D5C1A72"/>
    <w:rsid w:val="1D862F93"/>
    <w:rsid w:val="1D8B67FB"/>
    <w:rsid w:val="1D992CC6"/>
    <w:rsid w:val="1D9A259A"/>
    <w:rsid w:val="1DA67191"/>
    <w:rsid w:val="1DD65CC8"/>
    <w:rsid w:val="1E0740D4"/>
    <w:rsid w:val="1E116D00"/>
    <w:rsid w:val="1E2D6CC4"/>
    <w:rsid w:val="1E62755C"/>
    <w:rsid w:val="1E965458"/>
    <w:rsid w:val="1EA01E32"/>
    <w:rsid w:val="1EB37D7A"/>
    <w:rsid w:val="1ECE699F"/>
    <w:rsid w:val="1ED32208"/>
    <w:rsid w:val="1ED57D2E"/>
    <w:rsid w:val="1F025BBE"/>
    <w:rsid w:val="1F3802BD"/>
    <w:rsid w:val="1FAD4807"/>
    <w:rsid w:val="1FC35DD8"/>
    <w:rsid w:val="1FD03D76"/>
    <w:rsid w:val="1FF40688"/>
    <w:rsid w:val="20020FF7"/>
    <w:rsid w:val="201077AA"/>
    <w:rsid w:val="20340A84"/>
    <w:rsid w:val="203877A5"/>
    <w:rsid w:val="20670E5A"/>
    <w:rsid w:val="20895274"/>
    <w:rsid w:val="20BD316F"/>
    <w:rsid w:val="20E56222"/>
    <w:rsid w:val="20EB3EDD"/>
    <w:rsid w:val="20F52909"/>
    <w:rsid w:val="210F504D"/>
    <w:rsid w:val="214E2D29"/>
    <w:rsid w:val="215869F4"/>
    <w:rsid w:val="2164183D"/>
    <w:rsid w:val="21740C77"/>
    <w:rsid w:val="21A428FD"/>
    <w:rsid w:val="21A96154"/>
    <w:rsid w:val="21AB2FC8"/>
    <w:rsid w:val="21FC1A76"/>
    <w:rsid w:val="221C3EC6"/>
    <w:rsid w:val="223905D4"/>
    <w:rsid w:val="224F6049"/>
    <w:rsid w:val="227B299A"/>
    <w:rsid w:val="228869AA"/>
    <w:rsid w:val="22C22324"/>
    <w:rsid w:val="22CC31F6"/>
    <w:rsid w:val="22D95913"/>
    <w:rsid w:val="23103A2A"/>
    <w:rsid w:val="231A35D4"/>
    <w:rsid w:val="23294AEC"/>
    <w:rsid w:val="232A43C0"/>
    <w:rsid w:val="23567244"/>
    <w:rsid w:val="236513B9"/>
    <w:rsid w:val="238910E7"/>
    <w:rsid w:val="23B25F07"/>
    <w:rsid w:val="23C10881"/>
    <w:rsid w:val="23CD191B"/>
    <w:rsid w:val="243674C1"/>
    <w:rsid w:val="243F3E9B"/>
    <w:rsid w:val="24466FD8"/>
    <w:rsid w:val="245060A9"/>
    <w:rsid w:val="245142FB"/>
    <w:rsid w:val="24855D52"/>
    <w:rsid w:val="24961D0D"/>
    <w:rsid w:val="24EE3E19"/>
    <w:rsid w:val="2527505B"/>
    <w:rsid w:val="25744B73"/>
    <w:rsid w:val="25900E53"/>
    <w:rsid w:val="25AB7A3A"/>
    <w:rsid w:val="25F72C80"/>
    <w:rsid w:val="261507FA"/>
    <w:rsid w:val="264F486A"/>
    <w:rsid w:val="26566759"/>
    <w:rsid w:val="26791E4E"/>
    <w:rsid w:val="26997893"/>
    <w:rsid w:val="269E134D"/>
    <w:rsid w:val="26EA27E4"/>
    <w:rsid w:val="26FE1DEC"/>
    <w:rsid w:val="27225ADA"/>
    <w:rsid w:val="275814FC"/>
    <w:rsid w:val="27717DCB"/>
    <w:rsid w:val="278C389C"/>
    <w:rsid w:val="281D1648"/>
    <w:rsid w:val="283261F1"/>
    <w:rsid w:val="28574F87"/>
    <w:rsid w:val="28AF482A"/>
    <w:rsid w:val="291D580A"/>
    <w:rsid w:val="29312005"/>
    <w:rsid w:val="29674BDA"/>
    <w:rsid w:val="2973261D"/>
    <w:rsid w:val="297E0FC2"/>
    <w:rsid w:val="297F3987"/>
    <w:rsid w:val="29826D04"/>
    <w:rsid w:val="29831EC9"/>
    <w:rsid w:val="298A7967"/>
    <w:rsid w:val="29913DEF"/>
    <w:rsid w:val="29A924E3"/>
    <w:rsid w:val="29AF73CD"/>
    <w:rsid w:val="29B44350"/>
    <w:rsid w:val="2A067935"/>
    <w:rsid w:val="2A202079"/>
    <w:rsid w:val="2A377AEF"/>
    <w:rsid w:val="2A557F75"/>
    <w:rsid w:val="2A677CA8"/>
    <w:rsid w:val="2AB7478C"/>
    <w:rsid w:val="2ADF5772"/>
    <w:rsid w:val="2B08148B"/>
    <w:rsid w:val="2B51698E"/>
    <w:rsid w:val="2B595843"/>
    <w:rsid w:val="2B6B6C58"/>
    <w:rsid w:val="2B8D373E"/>
    <w:rsid w:val="2B911481"/>
    <w:rsid w:val="2B9343A5"/>
    <w:rsid w:val="2B9D7E25"/>
    <w:rsid w:val="2B9E76FA"/>
    <w:rsid w:val="2BA70961"/>
    <w:rsid w:val="2BAC0068"/>
    <w:rsid w:val="2BC07E5E"/>
    <w:rsid w:val="2BF80131"/>
    <w:rsid w:val="2C167BD8"/>
    <w:rsid w:val="2C231C3E"/>
    <w:rsid w:val="2C43766C"/>
    <w:rsid w:val="2C5007D8"/>
    <w:rsid w:val="2C7C3EDF"/>
    <w:rsid w:val="2CA554CE"/>
    <w:rsid w:val="2CB52F4D"/>
    <w:rsid w:val="2CC82C80"/>
    <w:rsid w:val="2D31750C"/>
    <w:rsid w:val="2D5704A8"/>
    <w:rsid w:val="2D5B1D46"/>
    <w:rsid w:val="2DCA2A28"/>
    <w:rsid w:val="2DE634B9"/>
    <w:rsid w:val="2DED6716"/>
    <w:rsid w:val="2E3D58F0"/>
    <w:rsid w:val="2E5D1AEE"/>
    <w:rsid w:val="2E813A2E"/>
    <w:rsid w:val="2E821554"/>
    <w:rsid w:val="2E826240"/>
    <w:rsid w:val="2EAE5EA6"/>
    <w:rsid w:val="2EC1207D"/>
    <w:rsid w:val="2EDF550D"/>
    <w:rsid w:val="2EE45D6B"/>
    <w:rsid w:val="2EFE507F"/>
    <w:rsid w:val="2F1F0B51"/>
    <w:rsid w:val="2F4F6B3A"/>
    <w:rsid w:val="2F61427A"/>
    <w:rsid w:val="2F633134"/>
    <w:rsid w:val="2F81180C"/>
    <w:rsid w:val="2F8B61E7"/>
    <w:rsid w:val="2FA572A9"/>
    <w:rsid w:val="2FA84FEB"/>
    <w:rsid w:val="2FC516F9"/>
    <w:rsid w:val="30354AD0"/>
    <w:rsid w:val="303D4A56"/>
    <w:rsid w:val="30403475"/>
    <w:rsid w:val="305B205D"/>
    <w:rsid w:val="30963095"/>
    <w:rsid w:val="309D61D2"/>
    <w:rsid w:val="30B359F5"/>
    <w:rsid w:val="30C91186"/>
    <w:rsid w:val="30DA5678"/>
    <w:rsid w:val="31344D88"/>
    <w:rsid w:val="31495EDE"/>
    <w:rsid w:val="314D7BF8"/>
    <w:rsid w:val="31921319"/>
    <w:rsid w:val="31BC6863"/>
    <w:rsid w:val="31C205E6"/>
    <w:rsid w:val="31CF685F"/>
    <w:rsid w:val="31D200FD"/>
    <w:rsid w:val="31EE13DB"/>
    <w:rsid w:val="320A7897"/>
    <w:rsid w:val="320F4EAD"/>
    <w:rsid w:val="32116E77"/>
    <w:rsid w:val="32B67A1F"/>
    <w:rsid w:val="32BA4FA1"/>
    <w:rsid w:val="32C520EC"/>
    <w:rsid w:val="32FA2CBE"/>
    <w:rsid w:val="3304078A"/>
    <w:rsid w:val="330B38C7"/>
    <w:rsid w:val="331C3D26"/>
    <w:rsid w:val="33386686"/>
    <w:rsid w:val="333B788C"/>
    <w:rsid w:val="33400AAD"/>
    <w:rsid w:val="33501C21"/>
    <w:rsid w:val="335214F5"/>
    <w:rsid w:val="33613E2E"/>
    <w:rsid w:val="336E4255"/>
    <w:rsid w:val="336F02F9"/>
    <w:rsid w:val="33833DA5"/>
    <w:rsid w:val="338B35BF"/>
    <w:rsid w:val="33DF6B01"/>
    <w:rsid w:val="34092461"/>
    <w:rsid w:val="34117602"/>
    <w:rsid w:val="341449FD"/>
    <w:rsid w:val="3434509F"/>
    <w:rsid w:val="343D03F7"/>
    <w:rsid w:val="34525525"/>
    <w:rsid w:val="34675474"/>
    <w:rsid w:val="347B2CCE"/>
    <w:rsid w:val="34B72DA6"/>
    <w:rsid w:val="34EE16F2"/>
    <w:rsid w:val="34EF42C7"/>
    <w:rsid w:val="35066A3B"/>
    <w:rsid w:val="3569521C"/>
    <w:rsid w:val="35941F30"/>
    <w:rsid w:val="35E04617"/>
    <w:rsid w:val="35EA3087"/>
    <w:rsid w:val="35F25212"/>
    <w:rsid w:val="360C62D3"/>
    <w:rsid w:val="365657D0"/>
    <w:rsid w:val="36607CEC"/>
    <w:rsid w:val="36785717"/>
    <w:rsid w:val="367E2601"/>
    <w:rsid w:val="368A544A"/>
    <w:rsid w:val="369B31B3"/>
    <w:rsid w:val="36A302BA"/>
    <w:rsid w:val="36A93B22"/>
    <w:rsid w:val="36AA33F6"/>
    <w:rsid w:val="36BD75CE"/>
    <w:rsid w:val="36C97D20"/>
    <w:rsid w:val="36DD557A"/>
    <w:rsid w:val="36EF1694"/>
    <w:rsid w:val="36F823B4"/>
    <w:rsid w:val="37164F30"/>
    <w:rsid w:val="372907BF"/>
    <w:rsid w:val="37503F9E"/>
    <w:rsid w:val="376712E7"/>
    <w:rsid w:val="37C30C14"/>
    <w:rsid w:val="37E33064"/>
    <w:rsid w:val="38451629"/>
    <w:rsid w:val="38455ACD"/>
    <w:rsid w:val="385B0E4C"/>
    <w:rsid w:val="38653581"/>
    <w:rsid w:val="388443D5"/>
    <w:rsid w:val="38FB3C73"/>
    <w:rsid w:val="390659FB"/>
    <w:rsid w:val="390D1E7C"/>
    <w:rsid w:val="396A50BF"/>
    <w:rsid w:val="399F120C"/>
    <w:rsid w:val="39BD1693"/>
    <w:rsid w:val="39D013C6"/>
    <w:rsid w:val="39F23A32"/>
    <w:rsid w:val="3A014C0D"/>
    <w:rsid w:val="3A0D261A"/>
    <w:rsid w:val="3A306308"/>
    <w:rsid w:val="3A331955"/>
    <w:rsid w:val="3A3556CD"/>
    <w:rsid w:val="3A3D3FD1"/>
    <w:rsid w:val="3A465B2C"/>
    <w:rsid w:val="3A922B1F"/>
    <w:rsid w:val="3B005CDB"/>
    <w:rsid w:val="3B163750"/>
    <w:rsid w:val="3B1654FE"/>
    <w:rsid w:val="3B581673"/>
    <w:rsid w:val="3B6A356D"/>
    <w:rsid w:val="3B7F0DA7"/>
    <w:rsid w:val="3BAB4838"/>
    <w:rsid w:val="3BF1493F"/>
    <w:rsid w:val="3C0E4427"/>
    <w:rsid w:val="3C2E5433"/>
    <w:rsid w:val="3C3A6FCB"/>
    <w:rsid w:val="3C474EBB"/>
    <w:rsid w:val="3C6B7ACC"/>
    <w:rsid w:val="3C7C3A87"/>
    <w:rsid w:val="3C7F726B"/>
    <w:rsid w:val="3C8A7F52"/>
    <w:rsid w:val="3CBC20D5"/>
    <w:rsid w:val="3CD218F9"/>
    <w:rsid w:val="3D202664"/>
    <w:rsid w:val="3D3103CE"/>
    <w:rsid w:val="3D7A0677"/>
    <w:rsid w:val="3D8726E3"/>
    <w:rsid w:val="3DA74B34"/>
    <w:rsid w:val="3DAA0180"/>
    <w:rsid w:val="3E2241BA"/>
    <w:rsid w:val="3E2E563A"/>
    <w:rsid w:val="3E547D6D"/>
    <w:rsid w:val="3E9F0F73"/>
    <w:rsid w:val="3EA52FF6"/>
    <w:rsid w:val="3EB47508"/>
    <w:rsid w:val="3EBB0897"/>
    <w:rsid w:val="3EC314F9"/>
    <w:rsid w:val="3ED951C1"/>
    <w:rsid w:val="3EE50F86"/>
    <w:rsid w:val="3EF67B21"/>
    <w:rsid w:val="3EFC727D"/>
    <w:rsid w:val="3F012022"/>
    <w:rsid w:val="3F0E4CF0"/>
    <w:rsid w:val="3F2969DF"/>
    <w:rsid w:val="3F646DBC"/>
    <w:rsid w:val="3F7D3D9E"/>
    <w:rsid w:val="3F980BD8"/>
    <w:rsid w:val="3FAE21A9"/>
    <w:rsid w:val="3FCF3ECE"/>
    <w:rsid w:val="40022750"/>
    <w:rsid w:val="40061FE5"/>
    <w:rsid w:val="40273D0A"/>
    <w:rsid w:val="40387CC5"/>
    <w:rsid w:val="40E165AE"/>
    <w:rsid w:val="41384420"/>
    <w:rsid w:val="419D24D5"/>
    <w:rsid w:val="41D81760"/>
    <w:rsid w:val="41FA170B"/>
    <w:rsid w:val="420D1EA5"/>
    <w:rsid w:val="421A1D78"/>
    <w:rsid w:val="421D0D8D"/>
    <w:rsid w:val="42402E61"/>
    <w:rsid w:val="42980EEF"/>
    <w:rsid w:val="42E67EAC"/>
    <w:rsid w:val="42F06635"/>
    <w:rsid w:val="43001B9C"/>
    <w:rsid w:val="43056584"/>
    <w:rsid w:val="432F1853"/>
    <w:rsid w:val="43301127"/>
    <w:rsid w:val="43672D9B"/>
    <w:rsid w:val="43721740"/>
    <w:rsid w:val="439C056B"/>
    <w:rsid w:val="43A86F10"/>
    <w:rsid w:val="43D9531B"/>
    <w:rsid w:val="43DF68BA"/>
    <w:rsid w:val="442C18EF"/>
    <w:rsid w:val="44613C8E"/>
    <w:rsid w:val="44A771C7"/>
    <w:rsid w:val="44BC0EC5"/>
    <w:rsid w:val="44C63AF1"/>
    <w:rsid w:val="44E0509A"/>
    <w:rsid w:val="44E328F5"/>
    <w:rsid w:val="44E6705D"/>
    <w:rsid w:val="44E73A68"/>
    <w:rsid w:val="45085EB8"/>
    <w:rsid w:val="450C5FC9"/>
    <w:rsid w:val="45120AE5"/>
    <w:rsid w:val="45294080"/>
    <w:rsid w:val="455B692F"/>
    <w:rsid w:val="457774F2"/>
    <w:rsid w:val="45C94FEF"/>
    <w:rsid w:val="45E22BAD"/>
    <w:rsid w:val="462D2409"/>
    <w:rsid w:val="463D2F25"/>
    <w:rsid w:val="463D6035"/>
    <w:rsid w:val="465F5FAB"/>
    <w:rsid w:val="47462CC7"/>
    <w:rsid w:val="477F61D9"/>
    <w:rsid w:val="47892A70"/>
    <w:rsid w:val="479559FD"/>
    <w:rsid w:val="47B95B8F"/>
    <w:rsid w:val="47C1249E"/>
    <w:rsid w:val="47C702AC"/>
    <w:rsid w:val="47D604EF"/>
    <w:rsid w:val="47DD7AD0"/>
    <w:rsid w:val="481B4427"/>
    <w:rsid w:val="4828061F"/>
    <w:rsid w:val="482F19AD"/>
    <w:rsid w:val="483B0352"/>
    <w:rsid w:val="485756B9"/>
    <w:rsid w:val="485D29BF"/>
    <w:rsid w:val="48822127"/>
    <w:rsid w:val="48835154"/>
    <w:rsid w:val="488C6E00"/>
    <w:rsid w:val="48B12D0A"/>
    <w:rsid w:val="48B3438D"/>
    <w:rsid w:val="48D04F3E"/>
    <w:rsid w:val="48E00EFA"/>
    <w:rsid w:val="4939003C"/>
    <w:rsid w:val="493F3E72"/>
    <w:rsid w:val="494871CB"/>
    <w:rsid w:val="4950607F"/>
    <w:rsid w:val="495D254A"/>
    <w:rsid w:val="496E4757"/>
    <w:rsid w:val="49A34401"/>
    <w:rsid w:val="49C8030C"/>
    <w:rsid w:val="49E60792"/>
    <w:rsid w:val="4A010EEA"/>
    <w:rsid w:val="4A280A90"/>
    <w:rsid w:val="4A634EC5"/>
    <w:rsid w:val="4AAA17BF"/>
    <w:rsid w:val="4AFB201B"/>
    <w:rsid w:val="4AFF1B0B"/>
    <w:rsid w:val="4B054C48"/>
    <w:rsid w:val="4B1B446B"/>
    <w:rsid w:val="4B9304A5"/>
    <w:rsid w:val="4BA91521"/>
    <w:rsid w:val="4BDE5BC4"/>
    <w:rsid w:val="4BE17463"/>
    <w:rsid w:val="4C0B2731"/>
    <w:rsid w:val="4C2A2BB8"/>
    <w:rsid w:val="4C3457E4"/>
    <w:rsid w:val="4C5939BE"/>
    <w:rsid w:val="4C76404F"/>
    <w:rsid w:val="4C8F3363"/>
    <w:rsid w:val="4C9149E5"/>
    <w:rsid w:val="4CAC2800"/>
    <w:rsid w:val="4CFB5EE3"/>
    <w:rsid w:val="4D263AF9"/>
    <w:rsid w:val="4D333CEE"/>
    <w:rsid w:val="4D4B074A"/>
    <w:rsid w:val="4E151645"/>
    <w:rsid w:val="4E467A51"/>
    <w:rsid w:val="4E6C395B"/>
    <w:rsid w:val="4E7C16C5"/>
    <w:rsid w:val="4E944C60"/>
    <w:rsid w:val="4ECC264C"/>
    <w:rsid w:val="4EF26D89"/>
    <w:rsid w:val="4F367AC5"/>
    <w:rsid w:val="4F8922EB"/>
    <w:rsid w:val="4F9667B6"/>
    <w:rsid w:val="4FC205E1"/>
    <w:rsid w:val="4FC926E8"/>
    <w:rsid w:val="4FDC68BF"/>
    <w:rsid w:val="4FE45773"/>
    <w:rsid w:val="4FF85042"/>
    <w:rsid w:val="50175B49"/>
    <w:rsid w:val="501871CB"/>
    <w:rsid w:val="501E2A33"/>
    <w:rsid w:val="502C74D1"/>
    <w:rsid w:val="507C6DB1"/>
    <w:rsid w:val="50F02837"/>
    <w:rsid w:val="50F36BB7"/>
    <w:rsid w:val="510819DD"/>
    <w:rsid w:val="510A2FB8"/>
    <w:rsid w:val="514069D9"/>
    <w:rsid w:val="51417EB7"/>
    <w:rsid w:val="516F3CBE"/>
    <w:rsid w:val="517C5E2B"/>
    <w:rsid w:val="517C782D"/>
    <w:rsid w:val="518A5EA7"/>
    <w:rsid w:val="51C25640"/>
    <w:rsid w:val="51C639B2"/>
    <w:rsid w:val="51DF61F2"/>
    <w:rsid w:val="51F17F8E"/>
    <w:rsid w:val="52195BA8"/>
    <w:rsid w:val="522B58DB"/>
    <w:rsid w:val="5234643D"/>
    <w:rsid w:val="52823DEE"/>
    <w:rsid w:val="52860D64"/>
    <w:rsid w:val="52EC4B4A"/>
    <w:rsid w:val="53051C89"/>
    <w:rsid w:val="53081779"/>
    <w:rsid w:val="531B76FE"/>
    <w:rsid w:val="53510242"/>
    <w:rsid w:val="536F17F8"/>
    <w:rsid w:val="53733096"/>
    <w:rsid w:val="538A6632"/>
    <w:rsid w:val="54102DA0"/>
    <w:rsid w:val="541128AF"/>
    <w:rsid w:val="546926EB"/>
    <w:rsid w:val="54745318"/>
    <w:rsid w:val="54B25E40"/>
    <w:rsid w:val="54B565B4"/>
    <w:rsid w:val="54BC6CBF"/>
    <w:rsid w:val="54D2203E"/>
    <w:rsid w:val="54DE6C35"/>
    <w:rsid w:val="54EF499E"/>
    <w:rsid w:val="54FA3343"/>
    <w:rsid w:val="551663CF"/>
    <w:rsid w:val="5517751A"/>
    <w:rsid w:val="551E7032"/>
    <w:rsid w:val="55436A98"/>
    <w:rsid w:val="55524F2D"/>
    <w:rsid w:val="558A46C7"/>
    <w:rsid w:val="55AD03B6"/>
    <w:rsid w:val="56194C24"/>
    <w:rsid w:val="564725B8"/>
    <w:rsid w:val="566B274A"/>
    <w:rsid w:val="56B714EC"/>
    <w:rsid w:val="56BE6D1E"/>
    <w:rsid w:val="56F05266"/>
    <w:rsid w:val="57174680"/>
    <w:rsid w:val="57325016"/>
    <w:rsid w:val="57350A15"/>
    <w:rsid w:val="574A05B2"/>
    <w:rsid w:val="575168F3"/>
    <w:rsid w:val="577E025B"/>
    <w:rsid w:val="57931A9B"/>
    <w:rsid w:val="57A53A3A"/>
    <w:rsid w:val="57AA2DFF"/>
    <w:rsid w:val="57AC6B77"/>
    <w:rsid w:val="57C245EC"/>
    <w:rsid w:val="57C87729"/>
    <w:rsid w:val="580C3AB9"/>
    <w:rsid w:val="583152CE"/>
    <w:rsid w:val="58732C56"/>
    <w:rsid w:val="58767185"/>
    <w:rsid w:val="58A957AC"/>
    <w:rsid w:val="58D02D39"/>
    <w:rsid w:val="58D45083"/>
    <w:rsid w:val="58FC1D80"/>
    <w:rsid w:val="5910419F"/>
    <w:rsid w:val="594D5E25"/>
    <w:rsid w:val="59556A2A"/>
    <w:rsid w:val="59670749"/>
    <w:rsid w:val="59C363FA"/>
    <w:rsid w:val="59CC52AE"/>
    <w:rsid w:val="59D93D40"/>
    <w:rsid w:val="59E14756"/>
    <w:rsid w:val="59FD3647"/>
    <w:rsid w:val="5A13112F"/>
    <w:rsid w:val="5A1924BD"/>
    <w:rsid w:val="5A4E03B9"/>
    <w:rsid w:val="5A737E20"/>
    <w:rsid w:val="5A7E4E4D"/>
    <w:rsid w:val="5A876F07"/>
    <w:rsid w:val="5A9009D2"/>
    <w:rsid w:val="5AB55191"/>
    <w:rsid w:val="5ABA15AB"/>
    <w:rsid w:val="5AC97A40"/>
    <w:rsid w:val="5ACE14FA"/>
    <w:rsid w:val="5AF727FF"/>
    <w:rsid w:val="5B152C85"/>
    <w:rsid w:val="5B2B06FA"/>
    <w:rsid w:val="5B3A2360"/>
    <w:rsid w:val="5B495E80"/>
    <w:rsid w:val="5B5163B3"/>
    <w:rsid w:val="5B7C0F56"/>
    <w:rsid w:val="5B871DD5"/>
    <w:rsid w:val="5BAF6C35"/>
    <w:rsid w:val="5BC70423"/>
    <w:rsid w:val="5BD13050"/>
    <w:rsid w:val="5BD4669C"/>
    <w:rsid w:val="5BF44F90"/>
    <w:rsid w:val="5BFB2CB6"/>
    <w:rsid w:val="5C4750C0"/>
    <w:rsid w:val="5C531704"/>
    <w:rsid w:val="5C6B34A4"/>
    <w:rsid w:val="5C7D31D8"/>
    <w:rsid w:val="5C957923"/>
    <w:rsid w:val="5CA42F27"/>
    <w:rsid w:val="5CAC38D8"/>
    <w:rsid w:val="5CB0535B"/>
    <w:rsid w:val="5CDC0F56"/>
    <w:rsid w:val="5CE11CAD"/>
    <w:rsid w:val="5D0336DD"/>
    <w:rsid w:val="5D0F5ABF"/>
    <w:rsid w:val="5D101956"/>
    <w:rsid w:val="5D257215"/>
    <w:rsid w:val="5D2B6790"/>
    <w:rsid w:val="5DC32E6C"/>
    <w:rsid w:val="5DC76880"/>
    <w:rsid w:val="5DE021E2"/>
    <w:rsid w:val="5DF41277"/>
    <w:rsid w:val="5DFA5BF3"/>
    <w:rsid w:val="5E545B85"/>
    <w:rsid w:val="5E6C12B6"/>
    <w:rsid w:val="5E734892"/>
    <w:rsid w:val="5EC40C4A"/>
    <w:rsid w:val="5ECC7AFE"/>
    <w:rsid w:val="5EF37781"/>
    <w:rsid w:val="5F765DB0"/>
    <w:rsid w:val="5F942D12"/>
    <w:rsid w:val="60200102"/>
    <w:rsid w:val="60343BAD"/>
    <w:rsid w:val="60CA62C0"/>
    <w:rsid w:val="60F35816"/>
    <w:rsid w:val="610C29F3"/>
    <w:rsid w:val="611E0D6E"/>
    <w:rsid w:val="61371BA7"/>
    <w:rsid w:val="613D4CE3"/>
    <w:rsid w:val="614D13CA"/>
    <w:rsid w:val="617F70AA"/>
    <w:rsid w:val="61891CD7"/>
    <w:rsid w:val="62257C51"/>
    <w:rsid w:val="622A6C63"/>
    <w:rsid w:val="623B56C7"/>
    <w:rsid w:val="623D10A6"/>
    <w:rsid w:val="62EF21DB"/>
    <w:rsid w:val="630C7063"/>
    <w:rsid w:val="631D68AE"/>
    <w:rsid w:val="632D6F40"/>
    <w:rsid w:val="634E31D8"/>
    <w:rsid w:val="635F53E5"/>
    <w:rsid w:val="63A454EE"/>
    <w:rsid w:val="63A66B70"/>
    <w:rsid w:val="63A728E8"/>
    <w:rsid w:val="63AF1D1A"/>
    <w:rsid w:val="63EF4ADB"/>
    <w:rsid w:val="63F510AA"/>
    <w:rsid w:val="63F773CC"/>
    <w:rsid w:val="640146EE"/>
    <w:rsid w:val="645760BC"/>
    <w:rsid w:val="6468651B"/>
    <w:rsid w:val="646E5794"/>
    <w:rsid w:val="648275DD"/>
    <w:rsid w:val="648570CD"/>
    <w:rsid w:val="648E32AE"/>
    <w:rsid w:val="64A06B15"/>
    <w:rsid w:val="64A31301"/>
    <w:rsid w:val="64B928D3"/>
    <w:rsid w:val="64BC084D"/>
    <w:rsid w:val="64D252BD"/>
    <w:rsid w:val="64E77440"/>
    <w:rsid w:val="65000502"/>
    <w:rsid w:val="65363F24"/>
    <w:rsid w:val="65412DFD"/>
    <w:rsid w:val="65426D6C"/>
    <w:rsid w:val="65444892"/>
    <w:rsid w:val="654E5711"/>
    <w:rsid w:val="656E5DB3"/>
    <w:rsid w:val="657F52AC"/>
    <w:rsid w:val="659B647C"/>
    <w:rsid w:val="65B14293"/>
    <w:rsid w:val="65BC08CD"/>
    <w:rsid w:val="65C23A09"/>
    <w:rsid w:val="65ED3907"/>
    <w:rsid w:val="66214BD4"/>
    <w:rsid w:val="663742F4"/>
    <w:rsid w:val="663A01C8"/>
    <w:rsid w:val="663C486E"/>
    <w:rsid w:val="6647199B"/>
    <w:rsid w:val="664A237C"/>
    <w:rsid w:val="66703465"/>
    <w:rsid w:val="66846F11"/>
    <w:rsid w:val="668B2466"/>
    <w:rsid w:val="669673D0"/>
    <w:rsid w:val="66DB439B"/>
    <w:rsid w:val="66E003B2"/>
    <w:rsid w:val="672C55DE"/>
    <w:rsid w:val="673B7F17"/>
    <w:rsid w:val="67825B46"/>
    <w:rsid w:val="67971B84"/>
    <w:rsid w:val="67B37AAD"/>
    <w:rsid w:val="67B57CC9"/>
    <w:rsid w:val="680E73DA"/>
    <w:rsid w:val="6817729A"/>
    <w:rsid w:val="685F19E3"/>
    <w:rsid w:val="68B65AA7"/>
    <w:rsid w:val="693469CC"/>
    <w:rsid w:val="69731BEA"/>
    <w:rsid w:val="699A7177"/>
    <w:rsid w:val="699C195F"/>
    <w:rsid w:val="699E695C"/>
    <w:rsid w:val="69BF7E12"/>
    <w:rsid w:val="6A22716C"/>
    <w:rsid w:val="6A407083"/>
    <w:rsid w:val="6A4470E3"/>
    <w:rsid w:val="6A4E61B3"/>
    <w:rsid w:val="6A8B383A"/>
    <w:rsid w:val="6AB204F0"/>
    <w:rsid w:val="6AB75B07"/>
    <w:rsid w:val="6ACB15B2"/>
    <w:rsid w:val="6AE14931"/>
    <w:rsid w:val="6AE461D0"/>
    <w:rsid w:val="6B0A20DA"/>
    <w:rsid w:val="6B2F1B41"/>
    <w:rsid w:val="6B4078AA"/>
    <w:rsid w:val="6B5E1C10"/>
    <w:rsid w:val="6B8278FE"/>
    <w:rsid w:val="6B8C2AEF"/>
    <w:rsid w:val="6B9B0F84"/>
    <w:rsid w:val="6B9C09D1"/>
    <w:rsid w:val="6BAD1411"/>
    <w:rsid w:val="6BC04E8F"/>
    <w:rsid w:val="6BC54253"/>
    <w:rsid w:val="6BC86475"/>
    <w:rsid w:val="6C0D40F8"/>
    <w:rsid w:val="6C0F54CE"/>
    <w:rsid w:val="6C13111E"/>
    <w:rsid w:val="6C2E4C0D"/>
    <w:rsid w:val="6C823EF2"/>
    <w:rsid w:val="6C993B98"/>
    <w:rsid w:val="6CA420BB"/>
    <w:rsid w:val="6CC00430"/>
    <w:rsid w:val="6D394EF9"/>
    <w:rsid w:val="6D5B4E6F"/>
    <w:rsid w:val="6D9C0FE4"/>
    <w:rsid w:val="6DA6798D"/>
    <w:rsid w:val="6DAF0D17"/>
    <w:rsid w:val="6DED4397"/>
    <w:rsid w:val="6DF40E20"/>
    <w:rsid w:val="6E313E22"/>
    <w:rsid w:val="6E9817AB"/>
    <w:rsid w:val="6EAD16FA"/>
    <w:rsid w:val="6EB72579"/>
    <w:rsid w:val="6EEA55F9"/>
    <w:rsid w:val="6F101C89"/>
    <w:rsid w:val="6F33254C"/>
    <w:rsid w:val="6F370FC4"/>
    <w:rsid w:val="6F420D0F"/>
    <w:rsid w:val="6FAC19B2"/>
    <w:rsid w:val="6FB22D40"/>
    <w:rsid w:val="6FB2689C"/>
    <w:rsid w:val="6FC0720B"/>
    <w:rsid w:val="6FC54822"/>
    <w:rsid w:val="701B5C41"/>
    <w:rsid w:val="704626B8"/>
    <w:rsid w:val="707B3132"/>
    <w:rsid w:val="70967F6C"/>
    <w:rsid w:val="70EC5DDE"/>
    <w:rsid w:val="70F50A78"/>
    <w:rsid w:val="71091718"/>
    <w:rsid w:val="714A76D4"/>
    <w:rsid w:val="71587B7E"/>
    <w:rsid w:val="71816E6E"/>
    <w:rsid w:val="71940950"/>
    <w:rsid w:val="71C34D91"/>
    <w:rsid w:val="71E371E1"/>
    <w:rsid w:val="72192C03"/>
    <w:rsid w:val="722515A8"/>
    <w:rsid w:val="7249173A"/>
    <w:rsid w:val="7276222A"/>
    <w:rsid w:val="72D134DE"/>
    <w:rsid w:val="730D09BA"/>
    <w:rsid w:val="73197CE0"/>
    <w:rsid w:val="732A1BFA"/>
    <w:rsid w:val="73344FDD"/>
    <w:rsid w:val="734343DB"/>
    <w:rsid w:val="73616E39"/>
    <w:rsid w:val="73942E89"/>
    <w:rsid w:val="73C0694D"/>
    <w:rsid w:val="74404DBF"/>
    <w:rsid w:val="74827185"/>
    <w:rsid w:val="74A54B7B"/>
    <w:rsid w:val="74FC6F38"/>
    <w:rsid w:val="74FF4332"/>
    <w:rsid w:val="751B270C"/>
    <w:rsid w:val="7532635D"/>
    <w:rsid w:val="75395703"/>
    <w:rsid w:val="753D00DE"/>
    <w:rsid w:val="753D4E5A"/>
    <w:rsid w:val="756845CD"/>
    <w:rsid w:val="7577036C"/>
    <w:rsid w:val="75D66156"/>
    <w:rsid w:val="75DC28C5"/>
    <w:rsid w:val="75F0011F"/>
    <w:rsid w:val="7601057E"/>
    <w:rsid w:val="760B4F58"/>
    <w:rsid w:val="761C7166"/>
    <w:rsid w:val="761E2EDE"/>
    <w:rsid w:val="76312C11"/>
    <w:rsid w:val="76381436"/>
    <w:rsid w:val="764364A0"/>
    <w:rsid w:val="7682521B"/>
    <w:rsid w:val="768C17FB"/>
    <w:rsid w:val="76E539FB"/>
    <w:rsid w:val="76E66842"/>
    <w:rsid w:val="76EE465E"/>
    <w:rsid w:val="77040325"/>
    <w:rsid w:val="770B16B4"/>
    <w:rsid w:val="773D55E5"/>
    <w:rsid w:val="774B1AB0"/>
    <w:rsid w:val="77722493"/>
    <w:rsid w:val="77A25449"/>
    <w:rsid w:val="77AB07A1"/>
    <w:rsid w:val="77C93AFF"/>
    <w:rsid w:val="780659D7"/>
    <w:rsid w:val="781529D2"/>
    <w:rsid w:val="783267CC"/>
    <w:rsid w:val="78370287"/>
    <w:rsid w:val="783E1615"/>
    <w:rsid w:val="78436C2C"/>
    <w:rsid w:val="786D5A56"/>
    <w:rsid w:val="787D213D"/>
    <w:rsid w:val="78AA6CAB"/>
    <w:rsid w:val="78EE4DE9"/>
    <w:rsid w:val="79002FDD"/>
    <w:rsid w:val="790E7239"/>
    <w:rsid w:val="790F7714"/>
    <w:rsid w:val="791A3E30"/>
    <w:rsid w:val="792F0F5E"/>
    <w:rsid w:val="795D5ACB"/>
    <w:rsid w:val="798474FC"/>
    <w:rsid w:val="79A33E26"/>
    <w:rsid w:val="79B17BC5"/>
    <w:rsid w:val="79EB3639"/>
    <w:rsid w:val="79F521A7"/>
    <w:rsid w:val="7A0E5017"/>
    <w:rsid w:val="7A2C2B5D"/>
    <w:rsid w:val="7A3C397B"/>
    <w:rsid w:val="7A4256DD"/>
    <w:rsid w:val="7A5F5873"/>
    <w:rsid w:val="7A675A03"/>
    <w:rsid w:val="7A811C8D"/>
    <w:rsid w:val="7A8C48BA"/>
    <w:rsid w:val="7AA17C39"/>
    <w:rsid w:val="7ACD0A2E"/>
    <w:rsid w:val="7ADF16C7"/>
    <w:rsid w:val="7AE123AE"/>
    <w:rsid w:val="7AF1471D"/>
    <w:rsid w:val="7AF64429"/>
    <w:rsid w:val="7AFD5101"/>
    <w:rsid w:val="7B247399"/>
    <w:rsid w:val="7B424F78"/>
    <w:rsid w:val="7B672C31"/>
    <w:rsid w:val="7BC57958"/>
    <w:rsid w:val="7BDF4EBD"/>
    <w:rsid w:val="7BE40725"/>
    <w:rsid w:val="7C684EB3"/>
    <w:rsid w:val="7C7C270C"/>
    <w:rsid w:val="7C88056F"/>
    <w:rsid w:val="7CB974BC"/>
    <w:rsid w:val="7CBB28FC"/>
    <w:rsid w:val="7CC85951"/>
    <w:rsid w:val="7CD460A4"/>
    <w:rsid w:val="7CDB38D7"/>
    <w:rsid w:val="7CEA1D6C"/>
    <w:rsid w:val="7D072290"/>
    <w:rsid w:val="7D0D15B6"/>
    <w:rsid w:val="7D1D3EEF"/>
    <w:rsid w:val="7D2106AF"/>
    <w:rsid w:val="7D2D1C58"/>
    <w:rsid w:val="7D2D2186"/>
    <w:rsid w:val="7D3E3E65"/>
    <w:rsid w:val="7D787377"/>
    <w:rsid w:val="7E002EC9"/>
    <w:rsid w:val="7E1D3A7B"/>
    <w:rsid w:val="7E3808B5"/>
    <w:rsid w:val="7E505BFE"/>
    <w:rsid w:val="7E54777A"/>
    <w:rsid w:val="7E611BB9"/>
    <w:rsid w:val="7E825C71"/>
    <w:rsid w:val="7EA85A3A"/>
    <w:rsid w:val="7EA96758"/>
    <w:rsid w:val="7EAC5BC9"/>
    <w:rsid w:val="7EB048EF"/>
    <w:rsid w:val="7EBE525E"/>
    <w:rsid w:val="7ECA59B1"/>
    <w:rsid w:val="7ED405DD"/>
    <w:rsid w:val="7EE8612B"/>
    <w:rsid w:val="7EFE77F8"/>
    <w:rsid w:val="7F0D1D41"/>
    <w:rsid w:val="7F3B240A"/>
    <w:rsid w:val="7F5870F3"/>
    <w:rsid w:val="7F6041C6"/>
    <w:rsid w:val="7F692AD8"/>
    <w:rsid w:val="7F7B7750"/>
    <w:rsid w:val="7FCB5E84"/>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5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51"/>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link w:val="52"/>
    <w:qFormat/>
    <w:uiPriority w:val="9"/>
    <w:pPr>
      <w:keepNext/>
      <w:keepLines/>
      <w:spacing w:before="260" w:after="260" w:line="416" w:lineRule="auto"/>
      <w:outlineLvl w:val="2"/>
    </w:pPr>
    <w:rPr>
      <w:b/>
      <w:bCs/>
      <w:sz w:val="32"/>
      <w:szCs w:val="32"/>
    </w:rPr>
  </w:style>
  <w:style w:type="paragraph" w:styleId="6">
    <w:name w:val="heading 4"/>
    <w:basedOn w:val="1"/>
    <w:next w:val="1"/>
    <w:link w:val="53"/>
    <w:qFormat/>
    <w:uiPriority w:val="9"/>
    <w:pPr>
      <w:keepNext/>
      <w:keepLines/>
      <w:spacing w:before="280" w:after="290" w:line="376" w:lineRule="auto"/>
      <w:outlineLvl w:val="3"/>
    </w:pPr>
    <w:rPr>
      <w:rFonts w:ascii="Cambria" w:hAnsi="Cambria" w:eastAsia="宋体" w:cs="Times New Roman"/>
      <w:b/>
      <w:bCs/>
      <w:szCs w:val="28"/>
    </w:rPr>
  </w:style>
  <w:style w:type="paragraph" w:styleId="7">
    <w:name w:val="heading 5"/>
    <w:basedOn w:val="1"/>
    <w:next w:val="1"/>
    <w:link w:val="54"/>
    <w:qFormat/>
    <w:uiPriority w:val="9"/>
    <w:pPr>
      <w:keepNext/>
      <w:keepLines/>
      <w:spacing w:before="280" w:after="290" w:line="376" w:lineRule="auto"/>
      <w:outlineLvl w:val="4"/>
    </w:pPr>
    <w:rPr>
      <w:b/>
      <w:bCs/>
      <w:szCs w:val="28"/>
    </w:rPr>
  </w:style>
  <w:style w:type="paragraph" w:styleId="8">
    <w:name w:val="heading 6"/>
    <w:basedOn w:val="1"/>
    <w:next w:val="1"/>
    <w:link w:val="55"/>
    <w:qFormat/>
    <w:uiPriority w:val="9"/>
    <w:pPr>
      <w:keepNext/>
      <w:keepLines/>
      <w:spacing w:before="240" w:after="64" w:line="320" w:lineRule="auto"/>
      <w:outlineLvl w:val="5"/>
    </w:pPr>
    <w:rPr>
      <w:rFonts w:ascii="Cambria" w:hAnsi="Cambria" w:eastAsia="宋体" w:cs="Times New Roman"/>
      <w:b/>
      <w:bCs/>
      <w:sz w:val="24"/>
      <w:szCs w:val="24"/>
    </w:rPr>
  </w:style>
  <w:style w:type="paragraph" w:styleId="9">
    <w:name w:val="heading 7"/>
    <w:basedOn w:val="1"/>
    <w:next w:val="1"/>
    <w:link w:val="56"/>
    <w:qFormat/>
    <w:uiPriority w:val="9"/>
    <w:pPr>
      <w:keepNext/>
      <w:keepLines/>
      <w:spacing w:before="240" w:after="64" w:line="320" w:lineRule="auto"/>
      <w:outlineLvl w:val="6"/>
    </w:pPr>
    <w:rPr>
      <w:b/>
      <w:bCs/>
      <w:sz w:val="24"/>
      <w:szCs w:val="24"/>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rPr>
      <w:rFonts w:ascii="Calibri" w:hAnsi="Calibri"/>
      <w:szCs w:val="24"/>
    </w:rPr>
  </w:style>
  <w:style w:type="paragraph" w:styleId="10">
    <w:name w:val="Normal Indent"/>
    <w:basedOn w:val="1"/>
    <w:qFormat/>
    <w:uiPriority w:val="0"/>
    <w:pPr>
      <w:ind w:firstLine="420"/>
    </w:pPr>
    <w:rPr>
      <w:rFonts w:ascii="Times New Roman" w:hAnsi="Times New Roman" w:cs="Times New Roman"/>
      <w:szCs w:val="20"/>
    </w:rPr>
  </w:style>
  <w:style w:type="paragraph" w:styleId="11">
    <w:name w:val="annotation text"/>
    <w:basedOn w:val="1"/>
    <w:qFormat/>
    <w:uiPriority w:val="0"/>
    <w:pPr>
      <w:jc w:val="left"/>
    </w:pPr>
    <w:rPr>
      <w:kern w:val="0"/>
      <w:sz w:val="21"/>
      <w:szCs w:val="21"/>
    </w:rPr>
  </w:style>
  <w:style w:type="paragraph" w:styleId="12">
    <w:name w:val="Body Text Indent"/>
    <w:basedOn w:val="1"/>
    <w:next w:val="13"/>
    <w:link w:val="49"/>
    <w:qFormat/>
    <w:uiPriority w:val="0"/>
    <w:pPr>
      <w:spacing w:line="200" w:lineRule="atLeast"/>
      <w:ind w:firstLine="301"/>
    </w:pPr>
    <w:rPr>
      <w:rFonts w:ascii="宋体" w:hAnsi="Courier New"/>
      <w:spacing w:val="-4"/>
      <w:kern w:val="0"/>
      <w:sz w:val="18"/>
    </w:rPr>
  </w:style>
  <w:style w:type="paragraph" w:styleId="13">
    <w:name w:val="envelope return"/>
    <w:basedOn w:val="1"/>
    <w:qFormat/>
    <w:uiPriority w:val="0"/>
    <w:pPr>
      <w:snapToGrid w:val="0"/>
    </w:pPr>
    <w:rPr>
      <w:rFonts w:ascii="Arial" w:hAnsi="Arial"/>
    </w:rPr>
  </w:style>
  <w:style w:type="paragraph" w:styleId="14">
    <w:name w:val="Block Text"/>
    <w:basedOn w:val="1"/>
    <w:qFormat/>
    <w:uiPriority w:val="0"/>
    <w:pPr>
      <w:spacing w:line="360" w:lineRule="auto"/>
      <w:ind w:left="630" w:right="-609" w:firstLine="420"/>
    </w:pPr>
    <w:rPr>
      <w:rFonts w:ascii="仿宋_GB2312" w:eastAsia="仿宋_GB2312"/>
    </w:rPr>
  </w:style>
  <w:style w:type="paragraph" w:styleId="15">
    <w:name w:val="Plain Text"/>
    <w:basedOn w:val="1"/>
    <w:link w:val="57"/>
    <w:qFormat/>
    <w:uiPriority w:val="0"/>
    <w:pPr>
      <w:spacing w:beforeLines="50" w:afterLines="50" w:line="400" w:lineRule="atLeast"/>
    </w:pPr>
    <w:rPr>
      <w:rFonts w:ascii="宋体" w:hAnsi="Courier New"/>
      <w:kern w:val="0"/>
      <w:sz w:val="24"/>
    </w:rPr>
  </w:style>
  <w:style w:type="paragraph" w:styleId="16">
    <w:name w:val="Date"/>
    <w:basedOn w:val="1"/>
    <w:next w:val="1"/>
    <w:link w:val="58"/>
    <w:unhideWhenUsed/>
    <w:qFormat/>
    <w:uiPriority w:val="99"/>
    <w:pPr>
      <w:ind w:left="100" w:leftChars="2500"/>
    </w:pPr>
  </w:style>
  <w:style w:type="paragraph" w:styleId="17">
    <w:name w:val="Balloon Text"/>
    <w:basedOn w:val="1"/>
    <w:link w:val="59"/>
    <w:unhideWhenUsed/>
    <w:qFormat/>
    <w:uiPriority w:val="99"/>
    <w:rPr>
      <w:sz w:val="18"/>
      <w:szCs w:val="18"/>
    </w:rPr>
  </w:style>
  <w:style w:type="paragraph" w:styleId="18">
    <w:name w:val="footer"/>
    <w:basedOn w:val="1"/>
    <w:link w:val="60"/>
    <w:unhideWhenUsed/>
    <w:qFormat/>
    <w:uiPriority w:val="99"/>
    <w:pPr>
      <w:tabs>
        <w:tab w:val="center" w:pos="4153"/>
        <w:tab w:val="right" w:pos="8306"/>
      </w:tabs>
      <w:snapToGrid w:val="0"/>
      <w:jc w:val="left"/>
    </w:pPr>
    <w:rPr>
      <w:sz w:val="18"/>
      <w:szCs w:val="18"/>
    </w:rPr>
  </w:style>
  <w:style w:type="paragraph" w:styleId="19">
    <w:name w:val="header"/>
    <w:basedOn w:val="1"/>
    <w:link w:val="61"/>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1">
    <w:name w:val="List"/>
    <w:basedOn w:val="1"/>
    <w:qFormat/>
    <w:uiPriority w:val="0"/>
    <w:pPr>
      <w:ind w:left="420" w:hanging="420"/>
    </w:p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Body Text 2"/>
    <w:basedOn w:val="1"/>
    <w:semiHidden/>
    <w:unhideWhenUsed/>
    <w:qFormat/>
    <w:uiPriority w:val="99"/>
    <w:pPr>
      <w:spacing w:after="120" w:line="480" w:lineRule="auto"/>
    </w:pPr>
  </w:style>
  <w:style w:type="paragraph" w:styleId="25">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6">
    <w:name w:val="Title"/>
    <w:basedOn w:val="1"/>
    <w:next w:val="1"/>
    <w:link w:val="62"/>
    <w:qFormat/>
    <w:uiPriority w:val="10"/>
    <w:pPr>
      <w:spacing w:before="240" w:after="60"/>
      <w:jc w:val="center"/>
      <w:outlineLvl w:val="0"/>
    </w:pPr>
    <w:rPr>
      <w:rFonts w:ascii="Cambria" w:hAnsi="Cambria" w:cs="Times New Roman"/>
      <w:b/>
      <w:bCs/>
      <w:sz w:val="32"/>
      <w:szCs w:val="32"/>
    </w:rPr>
  </w:style>
  <w:style w:type="paragraph" w:styleId="27">
    <w:name w:val="Body Text First Indent 2"/>
    <w:basedOn w:val="12"/>
    <w:next w:val="21"/>
    <w:qFormat/>
    <w:uiPriority w:val="0"/>
    <w:pPr>
      <w:ind w:firstLine="420" w:firstLineChars="200"/>
    </w:pPr>
  </w:style>
  <w:style w:type="table" w:styleId="29">
    <w:name w:val="Table Grid"/>
    <w:basedOn w:val="2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basedOn w:val="30"/>
    <w:qFormat/>
    <w:uiPriority w:val="0"/>
    <w:rPr>
      <w:b/>
      <w:bCs/>
    </w:rPr>
  </w:style>
  <w:style w:type="character" w:styleId="32">
    <w:name w:val="Hyperlink"/>
    <w:basedOn w:val="30"/>
    <w:unhideWhenUsed/>
    <w:qFormat/>
    <w:uiPriority w:val="99"/>
    <w:rPr>
      <w:color w:val="0000FF"/>
      <w:u w:val="single"/>
    </w:rPr>
  </w:style>
  <w:style w:type="paragraph" w:styleId="33">
    <w:name w:val="List Paragraph"/>
    <w:basedOn w:val="1"/>
    <w:link w:val="65"/>
    <w:qFormat/>
    <w:uiPriority w:val="0"/>
    <w:pPr>
      <w:ind w:firstLine="420" w:firstLineChars="200"/>
    </w:pPr>
    <w:rPr>
      <w:kern w:val="0"/>
    </w:r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8">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1">
    <w:name w:val="第四级"/>
    <w:basedOn w:val="1"/>
    <w:next w:val="40"/>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标题 2 New"/>
    <w:basedOn w:val="44"/>
    <w:next w:val="44"/>
    <w:qFormat/>
    <w:uiPriority w:val="0"/>
    <w:pPr>
      <w:keepNext/>
      <w:keepLines/>
      <w:spacing w:before="260" w:after="260" w:line="413" w:lineRule="auto"/>
      <w:outlineLvl w:val="1"/>
    </w:pPr>
    <w:rPr>
      <w:rFonts w:ascii="Arial" w:hAnsi="Arial" w:eastAsia="黑体"/>
      <w:b/>
      <w:bCs/>
      <w:sz w:val="32"/>
      <w:szCs w:val="32"/>
    </w:rPr>
  </w:style>
  <w:style w:type="paragraph" w:customStyle="1" w:styleId="4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Normal_0"/>
    <w:qFormat/>
    <w:uiPriority w:val="99"/>
    <w:rPr>
      <w:rFonts w:ascii="Calibri" w:hAnsi="Calibri" w:eastAsia="宋体" w:cs="Times New Roman"/>
      <w:sz w:val="24"/>
      <w:szCs w:val="24"/>
      <w:lang w:val="en-US" w:eastAsia="zh-CN" w:bidi="ar-SA"/>
    </w:rPr>
  </w:style>
  <w:style w:type="paragraph" w:customStyle="1" w:styleId="48">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9">
    <w:name w:val="正文文本缩进 Char"/>
    <w:link w:val="12"/>
    <w:qFormat/>
    <w:locked/>
    <w:uiPriority w:val="0"/>
    <w:rPr>
      <w:rFonts w:ascii="宋体" w:hAnsi="Courier New" w:eastAsia="宋体"/>
      <w:spacing w:val="-4"/>
      <w:sz w:val="18"/>
    </w:rPr>
  </w:style>
  <w:style w:type="character" w:customStyle="1" w:styleId="50">
    <w:name w:val="标题 1 Char"/>
    <w:basedOn w:val="30"/>
    <w:link w:val="3"/>
    <w:qFormat/>
    <w:uiPriority w:val="0"/>
    <w:rPr>
      <w:rFonts w:ascii="宋体" w:hAnsi="Arial" w:eastAsia="黑体" w:cs="Times New Roman"/>
      <w:b/>
      <w:bCs/>
      <w:color w:val="000000"/>
      <w:kern w:val="44"/>
      <w:sz w:val="36"/>
      <w:szCs w:val="32"/>
    </w:rPr>
  </w:style>
  <w:style w:type="character" w:customStyle="1" w:styleId="51">
    <w:name w:val="标题 2 Char"/>
    <w:basedOn w:val="30"/>
    <w:link w:val="4"/>
    <w:semiHidden/>
    <w:qFormat/>
    <w:uiPriority w:val="9"/>
    <w:rPr>
      <w:rFonts w:ascii="Cambria" w:hAnsi="Cambria" w:eastAsia="宋体" w:cs="Times New Roman"/>
      <w:b/>
      <w:bCs/>
      <w:sz w:val="32"/>
      <w:szCs w:val="32"/>
    </w:rPr>
  </w:style>
  <w:style w:type="character" w:customStyle="1" w:styleId="52">
    <w:name w:val="标题 3 Char1"/>
    <w:basedOn w:val="30"/>
    <w:link w:val="5"/>
    <w:semiHidden/>
    <w:qFormat/>
    <w:uiPriority w:val="9"/>
    <w:rPr>
      <w:rFonts w:ascii="Times New Roman" w:hAnsi="Times New Roman" w:eastAsia="宋体" w:cs="Times New Roman"/>
      <w:b/>
      <w:bCs/>
      <w:sz w:val="32"/>
      <w:szCs w:val="32"/>
    </w:rPr>
  </w:style>
  <w:style w:type="character" w:customStyle="1" w:styleId="53">
    <w:name w:val="标题 4 Char"/>
    <w:basedOn w:val="30"/>
    <w:link w:val="6"/>
    <w:semiHidden/>
    <w:qFormat/>
    <w:uiPriority w:val="9"/>
    <w:rPr>
      <w:rFonts w:ascii="Cambria" w:hAnsi="Cambria" w:eastAsia="宋体" w:cs="Times New Roman"/>
      <w:b/>
      <w:bCs/>
      <w:sz w:val="28"/>
      <w:szCs w:val="28"/>
    </w:rPr>
  </w:style>
  <w:style w:type="character" w:customStyle="1" w:styleId="54">
    <w:name w:val="标题 5 Char"/>
    <w:basedOn w:val="30"/>
    <w:link w:val="7"/>
    <w:semiHidden/>
    <w:qFormat/>
    <w:uiPriority w:val="9"/>
    <w:rPr>
      <w:rFonts w:ascii="Times New Roman" w:hAnsi="Times New Roman" w:eastAsia="宋体" w:cs="Times New Roman"/>
      <w:b/>
      <w:bCs/>
      <w:sz w:val="28"/>
      <w:szCs w:val="28"/>
    </w:rPr>
  </w:style>
  <w:style w:type="character" w:customStyle="1" w:styleId="55">
    <w:name w:val="标题 6 Char"/>
    <w:basedOn w:val="30"/>
    <w:link w:val="8"/>
    <w:semiHidden/>
    <w:qFormat/>
    <w:uiPriority w:val="9"/>
    <w:rPr>
      <w:rFonts w:ascii="Cambria" w:hAnsi="Cambria" w:eastAsia="宋体" w:cs="Times New Roman"/>
      <w:b/>
      <w:bCs/>
      <w:sz w:val="24"/>
      <w:szCs w:val="24"/>
    </w:rPr>
  </w:style>
  <w:style w:type="character" w:customStyle="1" w:styleId="56">
    <w:name w:val="标题 7 Char"/>
    <w:basedOn w:val="30"/>
    <w:link w:val="9"/>
    <w:semiHidden/>
    <w:qFormat/>
    <w:uiPriority w:val="9"/>
    <w:rPr>
      <w:rFonts w:ascii="Times New Roman" w:hAnsi="Times New Roman" w:eastAsia="宋体" w:cs="Times New Roman"/>
      <w:b/>
      <w:bCs/>
      <w:sz w:val="24"/>
      <w:szCs w:val="24"/>
    </w:rPr>
  </w:style>
  <w:style w:type="character" w:customStyle="1" w:styleId="57">
    <w:name w:val="纯文本 Char1"/>
    <w:link w:val="15"/>
    <w:qFormat/>
    <w:uiPriority w:val="0"/>
    <w:rPr>
      <w:rFonts w:ascii="宋体" w:hAnsi="Courier New" w:eastAsia="宋体"/>
      <w:sz w:val="24"/>
    </w:rPr>
  </w:style>
  <w:style w:type="character" w:customStyle="1" w:styleId="58">
    <w:name w:val="日期 Char"/>
    <w:basedOn w:val="30"/>
    <w:link w:val="16"/>
    <w:semiHidden/>
    <w:qFormat/>
    <w:uiPriority w:val="99"/>
    <w:rPr>
      <w:rFonts w:ascii="Times New Roman" w:hAnsi="Times New Roman" w:eastAsia="宋体" w:cs="Times New Roman"/>
      <w:sz w:val="28"/>
      <w:szCs w:val="20"/>
    </w:rPr>
  </w:style>
  <w:style w:type="character" w:customStyle="1" w:styleId="59">
    <w:name w:val="批注框文本 Char"/>
    <w:basedOn w:val="30"/>
    <w:link w:val="17"/>
    <w:semiHidden/>
    <w:qFormat/>
    <w:uiPriority w:val="99"/>
    <w:rPr>
      <w:rFonts w:ascii="Times New Roman" w:hAnsi="Times New Roman" w:eastAsia="宋体" w:cs="Times New Roman"/>
      <w:sz w:val="18"/>
      <w:szCs w:val="18"/>
    </w:rPr>
  </w:style>
  <w:style w:type="character" w:customStyle="1" w:styleId="60">
    <w:name w:val="页脚 Char"/>
    <w:basedOn w:val="30"/>
    <w:link w:val="18"/>
    <w:qFormat/>
    <w:uiPriority w:val="99"/>
    <w:rPr>
      <w:rFonts w:ascii="Times New Roman" w:hAnsi="Times New Roman" w:eastAsia="宋体" w:cs="Times New Roman"/>
      <w:sz w:val="18"/>
      <w:szCs w:val="18"/>
    </w:rPr>
  </w:style>
  <w:style w:type="character" w:customStyle="1" w:styleId="61">
    <w:name w:val="页眉 Char"/>
    <w:basedOn w:val="30"/>
    <w:link w:val="19"/>
    <w:semiHidden/>
    <w:qFormat/>
    <w:uiPriority w:val="99"/>
    <w:rPr>
      <w:rFonts w:ascii="Times New Roman" w:hAnsi="Times New Roman" w:eastAsia="宋体" w:cs="Times New Roman"/>
      <w:sz w:val="18"/>
      <w:szCs w:val="18"/>
    </w:rPr>
  </w:style>
  <w:style w:type="character" w:customStyle="1" w:styleId="62">
    <w:name w:val="标题 Char"/>
    <w:basedOn w:val="30"/>
    <w:link w:val="26"/>
    <w:qFormat/>
    <w:uiPriority w:val="10"/>
    <w:rPr>
      <w:rFonts w:ascii="Cambria" w:hAnsi="Cambria" w:eastAsia="宋体" w:cs="Times New Roman"/>
      <w:b/>
      <w:bCs/>
      <w:sz w:val="32"/>
      <w:szCs w:val="32"/>
    </w:rPr>
  </w:style>
  <w:style w:type="character" w:customStyle="1" w:styleId="63">
    <w:name w:val="正文文本缩进 Char1"/>
    <w:basedOn w:val="30"/>
    <w:semiHidden/>
    <w:qFormat/>
    <w:uiPriority w:val="99"/>
    <w:rPr>
      <w:rFonts w:ascii="Times New Roman" w:hAnsi="Times New Roman" w:eastAsia="宋体" w:cs="Times New Roman"/>
      <w:sz w:val="28"/>
      <w:szCs w:val="20"/>
    </w:rPr>
  </w:style>
  <w:style w:type="character" w:customStyle="1" w:styleId="64">
    <w:name w:val="纯文本 Char"/>
    <w:basedOn w:val="30"/>
    <w:semiHidden/>
    <w:qFormat/>
    <w:uiPriority w:val="99"/>
    <w:rPr>
      <w:rFonts w:ascii="宋体" w:hAnsi="Courier New" w:eastAsia="宋体" w:cs="Courier New"/>
      <w:szCs w:val="21"/>
    </w:rPr>
  </w:style>
  <w:style w:type="character" w:customStyle="1" w:styleId="65">
    <w:name w:val="列出段落 Char"/>
    <w:link w:val="33"/>
    <w:qFormat/>
    <w:locked/>
    <w:uiPriority w:val="0"/>
    <w:rPr>
      <w:rFonts w:ascii="Times New Roman" w:hAnsi="Times New Roman" w:eastAsia="宋体" w:cs="Times New Roman"/>
      <w:sz w:val="28"/>
      <w:szCs w:val="20"/>
    </w:rPr>
  </w:style>
  <w:style w:type="character" w:customStyle="1" w:styleId="66">
    <w:name w:val="正文 第五章 中间"/>
    <w:qFormat/>
    <w:uiPriority w:val="0"/>
    <w:rPr>
      <w:b/>
      <w:bCs/>
      <w:color w:val="000000"/>
      <w:sz w:val="32"/>
    </w:rPr>
  </w:style>
  <w:style w:type="character" w:customStyle="1" w:styleId="67">
    <w:name w:val="标题 3 Char"/>
    <w:qFormat/>
    <w:uiPriority w:val="0"/>
    <w:rPr>
      <w:rFonts w:eastAsia="宋体"/>
      <w:b/>
      <w:bCs/>
      <w:kern w:val="2"/>
      <w:sz w:val="32"/>
      <w:szCs w:val="32"/>
      <w:lang w:val="en-US" w:eastAsia="zh-CN" w:bidi="ar-SA"/>
    </w:rPr>
  </w:style>
  <w:style w:type="paragraph" w:customStyle="1" w:styleId="68">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9">
    <w:name w:val="_Style 13"/>
    <w:basedOn w:val="1"/>
    <w:next w:val="33"/>
    <w:qFormat/>
    <w:uiPriority w:val="99"/>
    <w:pPr>
      <w:ind w:firstLine="420" w:firstLineChars="200"/>
    </w:pPr>
  </w:style>
  <w:style w:type="paragraph" w:customStyle="1" w:styleId="70">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1">
    <w:name w:val="正文_3"/>
    <w:qFormat/>
    <w:uiPriority w:val="0"/>
    <w:pPr>
      <w:widowControl w:val="0"/>
      <w:jc w:val="center"/>
    </w:pPr>
    <w:rPr>
      <w:rFonts w:ascii="宋体" w:hAnsi="宋体" w:eastAsia="宋体" w:cs="Times New Roman"/>
      <w:b/>
      <w:kern w:val="2"/>
      <w:sz w:val="44"/>
      <w:szCs w:val="4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47</Pages>
  <Words>19865</Words>
  <Characters>20459</Characters>
  <Lines>158</Lines>
  <Paragraphs>44</Paragraphs>
  <TotalTime>1</TotalTime>
  <ScaleCrop>false</ScaleCrop>
  <LinksUpToDate>false</LinksUpToDate>
  <CharactersWithSpaces>23372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2023-07-18T07:57:54Z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EC2D55065EE9410B8AC07D03BAF4E20B</vt:lpwstr>
  </property>
</Properties>
</file>