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2024085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滨江校区（南区）基础医学院大学生创新实验室改造项目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highlight w:val="none"/>
          <w:lang w:val="en-US" w:eastAsia="zh-CN"/>
        </w:rPr>
        <w:t>7</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3"/>
          <w:rFonts w:hint="eastAsia"/>
        </w:rPr>
        <w:t>第一章</w:t>
      </w:r>
      <w:r>
        <w:rPr>
          <w:rStyle w:val="33"/>
        </w:rPr>
        <w:t xml:space="preserve">  </w:t>
      </w:r>
      <w:r>
        <w:rPr>
          <w:rStyle w:val="33"/>
          <w:rFonts w:hint="eastAsia"/>
        </w:rPr>
        <w:t>磋商公告</w:t>
      </w:r>
      <w:r>
        <w:tab/>
      </w:r>
      <w:r>
        <w:fldChar w:fldCharType="begin"/>
      </w:r>
      <w:r>
        <w:instrText xml:space="preserve"> PAGEREF _Toc49762999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3"/>
          <w:rFonts w:hint="eastAsia"/>
        </w:rPr>
        <w:t>第二章</w:t>
      </w:r>
      <w:r>
        <w:rPr>
          <w:rStyle w:val="33"/>
        </w:rPr>
        <w:t xml:space="preserve">  </w:t>
      </w:r>
      <w:r>
        <w:rPr>
          <w:rStyle w:val="33"/>
          <w:rFonts w:hint="eastAsia"/>
        </w:rPr>
        <w:t>磋商须知前附表</w:t>
      </w:r>
      <w:r>
        <w:tab/>
      </w:r>
      <w:r>
        <w:fldChar w:fldCharType="begin"/>
      </w:r>
      <w:r>
        <w:instrText xml:space="preserve"> PAGEREF _Toc49763000 \h </w:instrText>
      </w:r>
      <w:r>
        <w:fldChar w:fldCharType="separate"/>
      </w:r>
      <w:r>
        <w:t>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3"/>
          <w:rFonts w:hint="eastAsia"/>
        </w:rPr>
        <w:t>第三章</w:t>
      </w:r>
      <w:r>
        <w:rPr>
          <w:rStyle w:val="33"/>
        </w:rPr>
        <w:t xml:space="preserve">  </w:t>
      </w:r>
      <w:r>
        <w:rPr>
          <w:rStyle w:val="33"/>
          <w:rFonts w:hint="eastAsia"/>
        </w:rPr>
        <w:t>磋商须知</w:t>
      </w:r>
      <w:r>
        <w:tab/>
      </w:r>
      <w:r>
        <w:fldChar w:fldCharType="begin"/>
      </w:r>
      <w:r>
        <w:instrText xml:space="preserve"> PAGEREF _Toc49763001 \h </w:instrText>
      </w:r>
      <w:r>
        <w:fldChar w:fldCharType="separate"/>
      </w:r>
      <w:r>
        <w:t>6</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3"/>
          <w:rFonts w:hint="eastAsia"/>
        </w:rPr>
        <w:t>第四章</w:t>
      </w:r>
      <w:r>
        <w:rPr>
          <w:rStyle w:val="33"/>
        </w:rPr>
        <w:t xml:space="preserve">  </w:t>
      </w:r>
      <w:r>
        <w:rPr>
          <w:rStyle w:val="33"/>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3"/>
          <w:rFonts w:hint="eastAsia"/>
        </w:rPr>
        <w:t>第五章</w:t>
      </w:r>
      <w:r>
        <w:rPr>
          <w:rStyle w:val="33"/>
        </w:rPr>
        <w:t xml:space="preserve">  </w:t>
      </w:r>
      <w:r>
        <w:rPr>
          <w:rStyle w:val="33"/>
          <w:rFonts w:hint="eastAsia"/>
        </w:rPr>
        <w:t>项目需求</w:t>
      </w:r>
      <w:r>
        <w:tab/>
      </w:r>
      <w:r>
        <w:fldChar w:fldCharType="begin"/>
      </w:r>
      <w:r>
        <w:instrText xml:space="preserve"> PAGEREF _Toc49763003 \h </w:instrText>
      </w:r>
      <w:r>
        <w:fldChar w:fldCharType="separate"/>
      </w:r>
      <w:r>
        <w:t>12</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3"/>
          <w:rFonts w:hint="eastAsia"/>
        </w:rPr>
        <w:t>第六章</w:t>
      </w:r>
      <w:r>
        <w:rPr>
          <w:rStyle w:val="33"/>
        </w:rPr>
        <w:t xml:space="preserve">  </w:t>
      </w:r>
      <w:r>
        <w:rPr>
          <w:rStyle w:val="33"/>
          <w:rFonts w:hint="eastAsia"/>
        </w:rPr>
        <w:t>评分办法和评分细则</w:t>
      </w:r>
      <w:r>
        <w:tab/>
      </w:r>
      <w:r>
        <w:fldChar w:fldCharType="begin"/>
      </w:r>
      <w:r>
        <w:instrText xml:space="preserve"> PAGEREF _Toc49763004 \h </w:instrText>
      </w:r>
      <w:r>
        <w:fldChar w:fldCharType="separate"/>
      </w:r>
      <w:r>
        <w:t>23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3"/>
          <w:rFonts w:hint="eastAsia"/>
        </w:rPr>
        <w:t>第七章</w:t>
      </w:r>
      <w:r>
        <w:rPr>
          <w:rStyle w:val="33"/>
        </w:rPr>
        <w:t xml:space="preserve">  </w:t>
      </w:r>
      <w:r>
        <w:rPr>
          <w:rStyle w:val="33"/>
          <w:rFonts w:hint="eastAsia"/>
        </w:rPr>
        <w:t>响应文件格式</w:t>
      </w:r>
      <w:r>
        <w:tab/>
      </w:r>
      <w:r>
        <w:fldChar w:fldCharType="begin"/>
      </w:r>
      <w:r>
        <w:instrText xml:space="preserve"> PAGEREF _Toc49763005 \h </w:instrText>
      </w:r>
      <w:r>
        <w:fldChar w:fldCharType="separate"/>
      </w:r>
      <w:r>
        <w:t>23</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24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皖南医学院滨江校区（南区）基础医学院大学生创新实验室改造项目</w:t>
      </w:r>
      <w:r>
        <w:rPr>
          <w:rFonts w:ascii="仿宋_GB2312" w:eastAsia="仿宋_GB2312" w:cs="宋体"/>
          <w:sz w:val="24"/>
          <w:szCs w:val="24"/>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w:t>
      </w:r>
      <w:r>
        <w:rPr>
          <w:rFonts w:hint="eastAsia" w:ascii="仿宋_GB2312" w:eastAsia="仿宋_GB2312" w:cs="宋体"/>
          <w:sz w:val="24"/>
          <w:szCs w:val="24"/>
          <w:lang w:eastAsia="zh-CN"/>
        </w:rPr>
        <w:t>一）项目名称：皖南医学院滨江校区（南区）基础医学院大学生创新实验室改造项目；</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hint="eastAsia" w:ascii="仿宋_GB2312" w:eastAsia="仿宋_GB2312" w:cs="宋体"/>
          <w:sz w:val="24"/>
          <w:szCs w:val="24"/>
          <w:lang w:eastAsia="zh-CN"/>
        </w:rPr>
        <w:t>（二）项目编号：WYGZ2024085;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（三）项目内容：基础医学院大学生创新实验室改造项目实施地点在皖南医学院滨江校区一号实验楼二层，主要改造内容为实验室装修改造，包括实验台新增，水电线路改造等</w:t>
      </w:r>
      <w:r>
        <w:rPr>
          <w:rFonts w:hint="eastAsia" w:ascii="仿宋_GB2312" w:eastAsia="仿宋_GB2312" w:cs="宋体"/>
          <w:sz w:val="24"/>
          <w:szCs w:val="24"/>
          <w:lang w:val="en-US" w:eastAsia="zh-CN"/>
        </w:rPr>
        <w:t xml:space="preserve">。详见磋商文件、施工图纸及工程量清单、合同等。 </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（四）项目预算</w:t>
      </w:r>
      <w:r>
        <w:rPr>
          <w:rFonts w:hint="eastAsia"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40万</w:t>
      </w:r>
      <w:r>
        <w:rPr>
          <w:rFonts w:hint="eastAsia" w:ascii="仿宋_GB2312" w:eastAsia="仿宋_GB2312" w:cs="宋体"/>
          <w:sz w:val="24"/>
          <w:szCs w:val="24"/>
          <w:highlight w:val="none"/>
          <w:lang w:val="en-US" w:eastAsia="zh-CN"/>
        </w:rPr>
        <w:t>元</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textAlignment w:val="auto"/>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textAlignment w:val="auto"/>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6.</w:t>
      </w:r>
      <w:r>
        <w:rPr>
          <w:rFonts w:hint="eastAsia" w:ascii="仿宋_GB2312" w:hAnsi="宋体" w:eastAsia="仿宋_GB2312" w:cs="宋体"/>
          <w:b/>
          <w:bCs/>
          <w:kern w:val="0"/>
          <w:sz w:val="24"/>
          <w:szCs w:val="24"/>
          <w:lang w:val="en-US" w:eastAsia="zh-CN"/>
        </w:rPr>
        <w:t>投标人须具备建筑装修装饰工程专业承包二级及以上资质、具备有效的安全生产许可证；投标人拟委任的项目负责人须具备建筑工程专业二级及以上注册建造师执业资格，具备有效的安全生产考核合格证书。</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ascii="仿宋_GB2312" w:hAnsi="宋体" w:eastAsia="仿宋_GB2312" w:cs="宋体"/>
          <w:kern w:val="0"/>
          <w:sz w:val="24"/>
          <w:szCs w:val="24"/>
        </w:rPr>
        <w:t>三、</w:t>
      </w:r>
      <w:r>
        <w:rPr>
          <w:rFonts w:hint="eastAsia" w:ascii="仿宋_GB2312" w:hAnsi="宋体" w:eastAsia="仿宋_GB2312" w:cs="宋体"/>
          <w:kern w:val="0"/>
          <w:sz w:val="24"/>
          <w:szCs w:val="24"/>
          <w:lang w:eastAsia="zh-CN"/>
        </w:rPr>
        <w:t>获取文件</w:t>
      </w:r>
      <w:r>
        <w:rPr>
          <w:rFonts w:ascii="仿宋_GB2312" w:hAnsi="宋体" w:eastAsia="仿宋_GB2312" w:cs="宋体"/>
          <w:kern w:val="0"/>
          <w:sz w:val="24"/>
          <w:szCs w:val="24"/>
        </w:rPr>
        <w:t>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w:t>
      </w:r>
      <w:r>
        <w:rPr>
          <w:rFonts w:hint="eastAsia" w:ascii="仿宋_GB2312" w:eastAsia="仿宋_GB2312" w:cs="宋体"/>
          <w:sz w:val="24"/>
          <w:szCs w:val="24"/>
          <w:lang w:val="zh-CN"/>
        </w:rPr>
        <w:t>间：</w:t>
      </w:r>
      <w:r>
        <w:rPr>
          <w:rFonts w:hint="eastAsia" w:ascii="仿宋_GB2312" w:eastAsia="仿宋_GB2312" w:cs="宋体"/>
          <w:sz w:val="24"/>
          <w:szCs w:val="24"/>
          <w:lang w:val="en-US" w:eastAsia="zh-CN"/>
        </w:rPr>
        <w:t>2024年7月1日-2024年7月16日下午2：30；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（二）获取方式：</w:t>
      </w:r>
      <w:r>
        <w:rPr>
          <w:rFonts w:hint="eastAsia" w:ascii="仿宋_GB2312" w:eastAsia="仿宋_GB2312" w:cs="宋体"/>
          <w:sz w:val="24"/>
          <w:szCs w:val="24"/>
          <w:lang w:val="zh-CN" w:eastAsia="zh-CN"/>
        </w:rPr>
        <w:t>皖南医学院滨江校区（南区）基础医学院大学生创新实验室改造项目</w:t>
      </w:r>
      <w:r>
        <w:rPr>
          <w:rFonts w:hint="eastAsia" w:ascii="仿宋_GB2312" w:eastAsia="仿宋_GB2312" w:cs="宋体"/>
          <w:sz w:val="24"/>
          <w:szCs w:val="24"/>
          <w:lang w:val="zh-CN"/>
        </w:rPr>
        <w:t>（项目编号：WYGZ</w:t>
      </w:r>
      <w:r>
        <w:rPr>
          <w:rFonts w:hint="eastAsia" w:ascii="仿宋_GB2312" w:eastAsia="仿宋_GB2312" w:cs="宋体"/>
          <w:sz w:val="24"/>
          <w:szCs w:val="24"/>
          <w:lang w:val="zh-CN" w:eastAsia="zh-CN"/>
        </w:rPr>
        <w:t>2024085</w:t>
      </w:r>
      <w:r>
        <w:rPr>
          <w:rFonts w:hint="eastAsia" w:ascii="仿宋_GB2312" w:eastAsia="仿宋_GB2312" w:cs="宋体"/>
          <w:sz w:val="24"/>
          <w:szCs w:val="24"/>
          <w:lang w:val="zh-CN"/>
        </w:rPr>
        <w:t>）已在皖南医学院</w:t>
      </w:r>
      <w:r>
        <w:rPr>
          <w:rFonts w:hint="eastAsia" w:ascii="仿宋_GB2312" w:eastAsia="仿宋_GB2312" w:cs="宋体"/>
          <w:sz w:val="24"/>
          <w:szCs w:val="24"/>
          <w:lang w:val="zh-CN" w:eastAsia="zh-CN"/>
        </w:rPr>
        <w:t>国资处</w:t>
      </w:r>
      <w:r>
        <w:rPr>
          <w:rFonts w:hint="eastAsia" w:ascii="仿宋_GB2312" w:eastAsia="仿宋_GB2312" w:cs="宋体"/>
          <w:sz w:val="24"/>
          <w:szCs w:val="24"/>
          <w:lang w:val="zh-CN"/>
        </w:rPr>
        <w:t>（https://gzc.wnmc.edu.cn/）发布；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（一）响应文件递交截止时间：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7月16日下午2：30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zh-CN"/>
        </w:rPr>
        <w:t>（二）响应文件开启时间：</w:t>
      </w:r>
      <w:r>
        <w:rPr>
          <w:rFonts w:hint="eastAsia" w:ascii="仿宋_GB2312" w:eastAsia="仿宋_GB2312" w:cs="宋体"/>
          <w:sz w:val="24"/>
          <w:szCs w:val="24"/>
          <w:lang w:val="zh-CN" w:eastAsia="zh-CN"/>
        </w:rPr>
        <w:t>2024年</w:t>
      </w:r>
      <w:r>
        <w:rPr>
          <w:rFonts w:hint="eastAsia" w:ascii="仿宋_GB2312" w:eastAsia="仿宋_GB2312" w:cs="宋体"/>
          <w:sz w:val="24"/>
          <w:szCs w:val="24"/>
          <w:lang w:val="en-US" w:eastAsia="zh-CN"/>
        </w:rPr>
        <w:t>7月16日下午2：30</w:t>
      </w:r>
      <w:r>
        <w:rPr>
          <w:rFonts w:hint="eastAsia" w:ascii="仿宋_GB2312" w:eastAsia="仿宋_GB2312" w:cs="宋体"/>
          <w:sz w:val="24"/>
          <w:szCs w:val="24"/>
          <w:lang w:val="zh-CN"/>
        </w:rPr>
        <w:t>；</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eastAsia="zh-CN"/>
        </w:rPr>
      </w:pPr>
      <w:r>
        <w:rPr>
          <w:rFonts w:ascii="仿宋_GB2312" w:eastAsia="仿宋_GB2312" w:cs="宋体"/>
          <w:sz w:val="24"/>
          <w:szCs w:val="24"/>
        </w:rPr>
        <w:t>六、</w:t>
      </w:r>
      <w:r>
        <w:rPr>
          <w:rFonts w:hint="eastAsia" w:ascii="仿宋_GB2312" w:eastAsia="仿宋_GB2312" w:cs="宋体"/>
          <w:sz w:val="24"/>
          <w:szCs w:val="24"/>
          <w:lang w:eastAsia="zh-CN"/>
        </w:rPr>
        <w:t>公告期限</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eastAsia="zh-CN"/>
        </w:rPr>
        <w:t>自本公告发布之日起</w:t>
      </w:r>
      <w:r>
        <w:rPr>
          <w:rFonts w:hint="eastAsia" w:ascii="仿宋_GB2312" w:eastAsia="仿宋_GB2312" w:cs="宋体"/>
          <w:sz w:val="24"/>
          <w:szCs w:val="24"/>
          <w:lang w:val="en-US" w:eastAsia="zh-CN"/>
        </w:rPr>
        <w:t>5个工作日。</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七、</w:t>
      </w:r>
      <w:r>
        <w:rPr>
          <w:rFonts w:ascii="仿宋_GB2312" w:eastAsia="仿宋_GB2312" w:cs="宋体"/>
          <w:sz w:val="24"/>
          <w:szCs w:val="24"/>
        </w:rPr>
        <w:t>联系方式：</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eastAsia="zh-CN"/>
        </w:rPr>
        <w:t>八</w:t>
      </w:r>
      <w:r>
        <w:rPr>
          <w:rFonts w:ascii="仿宋_GB2312" w:eastAsia="仿宋_GB2312" w:cs="宋体"/>
          <w:sz w:val="24"/>
          <w:szCs w:val="24"/>
        </w:rPr>
        <w:t>、备注</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lang w:eastAsia="zh-CN"/>
        </w:rPr>
        <w:t>九</w:t>
      </w:r>
      <w:r>
        <w:rPr>
          <w:rFonts w:hint="eastAsia" w:ascii="仿宋_GB2312" w:eastAsia="仿宋_GB2312" w:cs="宋体"/>
          <w:sz w:val="24"/>
          <w:szCs w:val="24"/>
        </w:rPr>
        <w:t>、温馨提示</w:t>
      </w:r>
    </w:p>
    <w:p>
      <w:pPr>
        <w:pStyle w:val="25"/>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7</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15</w:t>
      </w:r>
      <w:r>
        <w:rPr>
          <w:rFonts w:hint="eastAsia" w:ascii="仿宋_GB2312" w:eastAsia="仿宋_GB2312" w:cs="宋体"/>
          <w:sz w:val="24"/>
          <w:szCs w:val="24"/>
        </w:rPr>
        <w:t>日17：00前如实填写，未按时提交校外人员入校申请的，后果自负（受访人：王凌云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5"/>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5"/>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7</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1</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8"/>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皖南医学院滨江校区（南区）基础医学院大学生创新实验室改造项目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7"/>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513029203"/>
      <w:bookmarkStart w:id="4" w:name="_Toc403987205"/>
      <w:bookmarkStart w:id="5" w:name="_Toc16938519"/>
      <w:bookmarkStart w:id="6" w:name="_Toc20823275"/>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1"/>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1"/>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513029205"/>
      <w:bookmarkStart w:id="14" w:name="_Toc20823277"/>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1"/>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1"/>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41"/>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513029207"/>
      <w:bookmarkStart w:id="19" w:name="_Toc462564067"/>
      <w:bookmarkStart w:id="20" w:name="_Toc20823279"/>
      <w:bookmarkStart w:id="21" w:name="_Toc16938523"/>
      <w:r>
        <w:rPr>
          <w:rFonts w:hint="eastAsia" w:ascii="宋体" w:hAnsi="宋体" w:cs="宋体"/>
          <w:sz w:val="24"/>
          <w:szCs w:val="24"/>
        </w:rPr>
        <w:t>5.磋商费用</w:t>
      </w:r>
      <w:bookmarkEnd w:id="18"/>
      <w:bookmarkEnd w:id="19"/>
      <w:bookmarkEnd w:id="20"/>
      <w:bookmarkEnd w:id="21"/>
    </w:p>
    <w:p>
      <w:pPr>
        <w:pStyle w:val="41"/>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1"/>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1"/>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513029209"/>
      <w:bookmarkStart w:id="23" w:name="_Toc20823281"/>
      <w:bookmarkStart w:id="24" w:name="_Toc120614215"/>
      <w:bookmarkStart w:id="25" w:name="_Toc16938525"/>
      <w:bookmarkStart w:id="26" w:name="_Toc403987206"/>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41"/>
        <w:snapToGrid w:val="0"/>
        <w:rPr>
          <w:rFonts w:hAnsi="宋体" w:eastAsia="宋体"/>
          <w:sz w:val="24"/>
          <w:szCs w:val="24"/>
        </w:rPr>
      </w:pPr>
      <w:r>
        <w:rPr>
          <w:rFonts w:hint="eastAsia" w:hAnsi="宋体" w:eastAsia="宋体"/>
          <w:sz w:val="24"/>
          <w:szCs w:val="24"/>
        </w:rPr>
        <w:t>磋商文件有以下部分组成：</w:t>
      </w:r>
    </w:p>
    <w:p>
      <w:pPr>
        <w:pStyle w:val="41"/>
        <w:snapToGrid w:val="0"/>
        <w:rPr>
          <w:rFonts w:hAnsi="宋体" w:eastAsia="宋体"/>
          <w:sz w:val="24"/>
          <w:szCs w:val="24"/>
        </w:rPr>
      </w:pPr>
      <w:r>
        <w:rPr>
          <w:rFonts w:hint="eastAsia" w:hAnsi="宋体" w:eastAsia="宋体"/>
          <w:sz w:val="24"/>
          <w:szCs w:val="24"/>
        </w:rPr>
        <w:t>（1）磋商公告</w:t>
      </w:r>
    </w:p>
    <w:p>
      <w:pPr>
        <w:pStyle w:val="41"/>
        <w:snapToGrid w:val="0"/>
        <w:rPr>
          <w:rFonts w:hAnsi="宋体" w:eastAsia="宋体"/>
          <w:sz w:val="24"/>
          <w:szCs w:val="24"/>
        </w:rPr>
      </w:pPr>
      <w:r>
        <w:rPr>
          <w:rFonts w:hint="eastAsia" w:hAnsi="宋体" w:eastAsia="宋体"/>
          <w:sz w:val="24"/>
          <w:szCs w:val="24"/>
        </w:rPr>
        <w:t>（2）磋商须知前附表</w:t>
      </w:r>
    </w:p>
    <w:p>
      <w:pPr>
        <w:pStyle w:val="41"/>
        <w:snapToGrid w:val="0"/>
        <w:rPr>
          <w:rFonts w:hAnsi="宋体" w:eastAsia="宋体"/>
          <w:sz w:val="24"/>
          <w:szCs w:val="24"/>
        </w:rPr>
      </w:pPr>
      <w:r>
        <w:rPr>
          <w:rFonts w:hint="eastAsia" w:hAnsi="宋体" w:eastAsia="宋体"/>
          <w:sz w:val="24"/>
          <w:szCs w:val="24"/>
        </w:rPr>
        <w:t>（3）磋商须知</w:t>
      </w:r>
    </w:p>
    <w:p>
      <w:pPr>
        <w:pStyle w:val="41"/>
        <w:snapToGrid w:val="0"/>
        <w:rPr>
          <w:rFonts w:hAnsi="宋体" w:eastAsia="宋体"/>
          <w:sz w:val="24"/>
          <w:szCs w:val="24"/>
        </w:rPr>
      </w:pPr>
      <w:r>
        <w:rPr>
          <w:rFonts w:hint="eastAsia" w:hAnsi="宋体" w:eastAsia="宋体"/>
          <w:sz w:val="24"/>
          <w:szCs w:val="24"/>
        </w:rPr>
        <w:t>（4）合同主要条款</w:t>
      </w:r>
    </w:p>
    <w:p>
      <w:pPr>
        <w:pStyle w:val="41"/>
        <w:snapToGrid w:val="0"/>
        <w:rPr>
          <w:rFonts w:hAnsi="宋体" w:eastAsia="宋体"/>
          <w:sz w:val="24"/>
          <w:szCs w:val="24"/>
        </w:rPr>
      </w:pPr>
      <w:r>
        <w:rPr>
          <w:rFonts w:hint="eastAsia" w:hAnsi="宋体" w:eastAsia="宋体"/>
          <w:sz w:val="24"/>
          <w:szCs w:val="24"/>
        </w:rPr>
        <w:t>（5）项目需求</w:t>
      </w:r>
    </w:p>
    <w:p>
      <w:pPr>
        <w:pStyle w:val="41"/>
        <w:snapToGrid w:val="0"/>
        <w:rPr>
          <w:rFonts w:hAnsi="宋体" w:eastAsia="宋体"/>
          <w:sz w:val="24"/>
          <w:szCs w:val="24"/>
        </w:rPr>
      </w:pPr>
      <w:r>
        <w:rPr>
          <w:rFonts w:hint="eastAsia" w:hAnsi="宋体" w:eastAsia="宋体"/>
          <w:sz w:val="24"/>
          <w:szCs w:val="24"/>
        </w:rPr>
        <w:t>（6）评审标准</w:t>
      </w:r>
    </w:p>
    <w:p>
      <w:pPr>
        <w:pStyle w:val="41"/>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513029211"/>
      <w:bookmarkStart w:id="31" w:name="_Toc462564070"/>
      <w:bookmarkStart w:id="32" w:name="_Toc16938527"/>
      <w:bookmarkStart w:id="33" w:name="_Toc20823283"/>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1"/>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6938529"/>
      <w:bookmarkStart w:id="35" w:name="_Toc20823285"/>
      <w:bookmarkStart w:id="36" w:name="_Toc120614216"/>
      <w:bookmarkStart w:id="37" w:name="_Toc403987207"/>
      <w:bookmarkStart w:id="38" w:name="_Toc513029213"/>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513029214"/>
      <w:bookmarkStart w:id="43" w:name="_Toc16938530"/>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41"/>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1"/>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1"/>
        <w:snapToGrid w:val="0"/>
        <w:rPr>
          <w:rFonts w:hAnsi="宋体" w:eastAsia="宋体"/>
          <w:sz w:val="24"/>
          <w:szCs w:val="24"/>
        </w:rPr>
      </w:pPr>
      <w:r>
        <w:rPr>
          <w:rFonts w:hint="eastAsia" w:hAnsi="宋体" w:eastAsia="宋体"/>
          <w:sz w:val="24"/>
          <w:szCs w:val="24"/>
        </w:rPr>
        <w:t>（1）供应商应该按照磋商文件的要求编写响应文件应。</w:t>
      </w:r>
    </w:p>
    <w:p>
      <w:pPr>
        <w:pStyle w:val="41"/>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68975"/>
      <w:bookmarkEnd w:id="49"/>
      <w:bookmarkStart w:id="50" w:name="_Hlt26954838"/>
      <w:bookmarkEnd w:id="50"/>
      <w:bookmarkStart w:id="51" w:name="_Hlt26670360"/>
      <w:bookmarkEnd w:id="51"/>
      <w:bookmarkStart w:id="52" w:name="_Toc513029219"/>
      <w:bookmarkStart w:id="53" w:name="_Toc14577357"/>
      <w:bookmarkStart w:id="54" w:name="_Toc49090509"/>
      <w:bookmarkStart w:id="55" w:name="_Toc49090507"/>
      <w:bookmarkStart w:id="56" w:name="_Toc513029216"/>
      <w:bookmarkStart w:id="57" w:name="_Toc14577354"/>
      <w:r>
        <w:rPr>
          <w:rFonts w:hint="eastAsia" w:ascii="宋体" w:hAnsi="宋体" w:cs="宋体"/>
          <w:sz w:val="24"/>
          <w:szCs w:val="24"/>
        </w:rPr>
        <w:t>5.证明供应商资格及符合磋商文件规定的文件</w:t>
      </w:r>
      <w:bookmarkEnd w:id="52"/>
      <w:bookmarkEnd w:id="53"/>
      <w:bookmarkEnd w:id="54"/>
    </w:p>
    <w:p>
      <w:pPr>
        <w:pStyle w:val="41"/>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1"/>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1"/>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1"/>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1"/>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1"/>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8"/>
      <w:bookmarkEnd w:id="63"/>
      <w:bookmarkStart w:id="64" w:name="_Hlt26954846"/>
      <w:bookmarkEnd w:id="64"/>
      <w:bookmarkStart w:id="65" w:name="_Hlt26954731"/>
      <w:bookmarkEnd w:id="65"/>
      <w:bookmarkStart w:id="66" w:name="_Hlt26954739"/>
      <w:bookmarkEnd w:id="66"/>
      <w:bookmarkStart w:id="67" w:name="_Hlt26954852"/>
      <w:bookmarkEnd w:id="67"/>
      <w:bookmarkStart w:id="68" w:name="_Hlt26670482"/>
      <w:bookmarkEnd w:id="68"/>
      <w:bookmarkStart w:id="69" w:name="_Hlt26670486"/>
      <w:bookmarkEnd w:id="69"/>
      <w:bookmarkStart w:id="70" w:name="_Toc49090512"/>
      <w:bookmarkStart w:id="71" w:name="_Toc14577361"/>
      <w:r>
        <w:rPr>
          <w:rFonts w:hint="eastAsia" w:ascii="宋体" w:hAnsi="宋体" w:cs="宋体"/>
          <w:sz w:val="24"/>
          <w:szCs w:val="24"/>
        </w:rPr>
        <w:t>8.响应文件份数和签署</w:t>
      </w:r>
      <w:bookmarkEnd w:id="70"/>
      <w:bookmarkEnd w:id="71"/>
    </w:p>
    <w:p>
      <w:pPr>
        <w:pStyle w:val="41"/>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1"/>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1"/>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20823297"/>
      <w:bookmarkStart w:id="78" w:name="_Toc513029225"/>
      <w:bookmarkStart w:id="79" w:name="_Toc16938541"/>
      <w:bookmarkStart w:id="80" w:name="_Toc462564084"/>
      <w:r>
        <w:rPr>
          <w:rFonts w:hint="eastAsia" w:ascii="宋体" w:hAnsi="宋体" w:cs="宋体"/>
          <w:sz w:val="24"/>
          <w:szCs w:val="24"/>
        </w:rPr>
        <w:t>1.响应文件的密封和标记</w:t>
      </w:r>
      <w:bookmarkEnd w:id="77"/>
      <w:bookmarkEnd w:id="78"/>
      <w:bookmarkEnd w:id="79"/>
      <w:bookmarkEnd w:id="80"/>
    </w:p>
    <w:p>
      <w:pPr>
        <w:pStyle w:val="41"/>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1"/>
        <w:snapToGrid w:val="0"/>
        <w:rPr>
          <w:rFonts w:hAnsi="宋体" w:eastAsia="宋体"/>
          <w:sz w:val="24"/>
          <w:szCs w:val="24"/>
        </w:rPr>
      </w:pPr>
      <w:r>
        <w:rPr>
          <w:rFonts w:hint="eastAsia" w:hAnsi="宋体" w:eastAsia="宋体"/>
          <w:sz w:val="24"/>
          <w:szCs w:val="24"/>
        </w:rPr>
        <w:t>（2）密封的响应文件应：</w:t>
      </w:r>
    </w:p>
    <w:p>
      <w:pPr>
        <w:pStyle w:val="41"/>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1"/>
        <w:snapToGrid w:val="0"/>
        <w:rPr>
          <w:rFonts w:hAnsi="宋体" w:eastAsia="宋体"/>
          <w:sz w:val="24"/>
          <w:szCs w:val="24"/>
        </w:rPr>
      </w:pPr>
      <w:r>
        <w:rPr>
          <w:rFonts w:hint="eastAsia" w:hAnsi="宋体" w:eastAsia="宋体"/>
          <w:sz w:val="24"/>
          <w:szCs w:val="24"/>
        </w:rPr>
        <w:t>2）注明磋商项目名称、项目编号。</w:t>
      </w:r>
    </w:p>
    <w:p>
      <w:pPr>
        <w:pStyle w:val="41"/>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20823298"/>
      <w:bookmarkStart w:id="82" w:name="_Toc16938542"/>
      <w:bookmarkStart w:id="83" w:name="_Toc513029226"/>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1"/>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1"/>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1"/>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1"/>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1"/>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1"/>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1"/>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16938548"/>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1"/>
        <w:snapToGrid w:val="0"/>
        <w:rPr>
          <w:rFonts w:hAnsi="宋体" w:eastAsia="宋体"/>
          <w:sz w:val="24"/>
          <w:szCs w:val="24"/>
        </w:rPr>
      </w:pPr>
      <w:bookmarkStart w:id="93" w:name="_Toc16938551"/>
      <w:bookmarkStart w:id="94" w:name="_Toc20823307"/>
      <w:bookmarkStart w:id="95" w:name="_Toc513029235"/>
      <w:r>
        <w:rPr>
          <w:rFonts w:hint="eastAsia" w:hAnsi="宋体" w:eastAsia="宋体"/>
          <w:sz w:val="24"/>
          <w:szCs w:val="24"/>
        </w:rPr>
        <w:t>（1）响应无效条款</w:t>
      </w:r>
    </w:p>
    <w:p>
      <w:pPr>
        <w:pStyle w:val="38"/>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8"/>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8"/>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8"/>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1"/>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8"/>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8"/>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1"/>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1"/>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513029237"/>
      <w:bookmarkStart w:id="105" w:name="_Toc20823309"/>
      <w:r>
        <w:rPr>
          <w:rFonts w:hint="eastAsia" w:ascii="宋体" w:hAnsi="宋体" w:cs="宋体"/>
          <w:sz w:val="24"/>
          <w:szCs w:val="24"/>
        </w:rPr>
        <w:t>1.签订合同</w:t>
      </w:r>
    </w:p>
    <w:p>
      <w:pPr>
        <w:pStyle w:val="41"/>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1"/>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1"/>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1"/>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1"/>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1"/>
        <w:snapToGrid w:val="0"/>
        <w:ind w:right="280" w:rightChars="100" w:firstLine="560"/>
        <w:rPr>
          <w:rFonts w:ascii="仿宋_GB2312" w:hAnsi="宋体" w:eastAsia="仿宋_GB2312"/>
          <w:bCs/>
          <w:szCs w:val="28"/>
        </w:rPr>
      </w:pPr>
    </w:p>
    <w:p>
      <w:pPr>
        <w:pStyle w:val="41"/>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
          <w:sz w:val="28"/>
          <w:szCs w:val="28"/>
        </w:rPr>
      </w:pPr>
      <w:r>
        <w:rPr>
          <w:rFonts w:hint="eastAsia" w:eastAsia="仿宋"/>
          <w:sz w:val="28"/>
          <w:szCs w:val="28"/>
        </w:rPr>
        <w:t>（1）严格按照图纸、工程量清单及有关规范施工，工程质量须达到合格标准，满足国家和地方现行规范要求，满足设计使用要求。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
          <w:sz w:val="28"/>
          <w:szCs w:val="28"/>
        </w:rPr>
      </w:pPr>
      <w:r>
        <w:rPr>
          <w:rFonts w:hint="eastAsia" w:eastAsia="仿宋"/>
          <w:sz w:val="28"/>
          <w:szCs w:val="28"/>
        </w:rPr>
        <w:t>（2）墙面乳胶漆环保净味，甲醛释放量达到国家标准</w:t>
      </w:r>
      <w:r>
        <w:rPr>
          <w:rFonts w:hint="eastAsia" w:eastAsia="仿宋"/>
          <w:sz w:val="28"/>
          <w:szCs w:val="28"/>
          <w:lang w:eastAsia="zh-CN"/>
        </w:rPr>
        <w:t>，</w:t>
      </w:r>
      <w:r>
        <w:rPr>
          <w:rFonts w:hint="eastAsia" w:eastAsia="仿宋"/>
          <w:sz w:val="28"/>
          <w:szCs w:val="28"/>
        </w:rPr>
        <w:t>如有必要需提供现场检测报告。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 中央实验台为钢木结合结构，规格：尺寸:4800*1500*800mm，台面采用20mm</w:t>
      </w:r>
      <w:r>
        <w:rPr>
          <w:rFonts w:hint="eastAsia" w:ascii="仿宋_GB2312" w:hAnsi="仿宋" w:eastAsia="仿宋_GB2312" w:cs="Times New Roman"/>
          <w:sz w:val="28"/>
          <w:szCs w:val="28"/>
          <w:lang w:val="en-US" w:eastAsia="zh-CN"/>
        </w:rPr>
        <w:t>厚一体实芯黑色坯体带单边</w:t>
      </w:r>
      <w:r>
        <w:rPr>
          <w:rFonts w:hint="eastAsia" w:ascii="仿宋_GB2312" w:hAnsi="仿宋" w:eastAsia="仿宋_GB2312"/>
          <w:sz w:val="28"/>
          <w:szCs w:val="28"/>
          <w:lang w:val="en-US" w:eastAsia="zh-CN"/>
        </w:rPr>
        <w:t>凹</w:t>
      </w:r>
      <w:r>
        <w:rPr>
          <w:rFonts w:hint="eastAsia" w:ascii="仿宋_GB2312" w:hAnsi="仿宋" w:eastAsia="仿宋_GB2312" w:cs="Times New Roman"/>
          <w:sz w:val="28"/>
          <w:szCs w:val="28"/>
          <w:lang w:val="en-US" w:eastAsia="zh-CN"/>
        </w:rPr>
        <w:t>槽的实验室专用陶瓷台面含柜体、门板及抽屉等制作安装</w:t>
      </w:r>
      <w:r>
        <w:rPr>
          <w:rFonts w:hint="eastAsia" w:ascii="仿宋_GB2312" w:hAnsi="仿宋" w:eastAsia="仿宋_GB2312"/>
          <w:sz w:val="28"/>
          <w:szCs w:val="28"/>
          <w:lang w:val="en-US" w:eastAsia="zh-CN"/>
        </w:rPr>
        <w:t>,柜体材料为环保材料，环保等级为E1级，满足业主使用要求；试剂架为钢玻结构，规格：4800*350*750mm，80*100铝合金立柱、40*20铝合金横梁制作安装，分上下两层，层板采用≥12mm厚优质钢化玻璃，玻璃边缘光滑处理，整体美观，跨度合理，边缘配Φ12 mm不锈钢管护栏。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 塑胶楼地面,采用2mm同质透芯实验室专用改性强化PVC地面。必须满足以下全部技术指标：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1、表面耐污染性：至少包括氢氧化钠40%，硝酸65%，高氯酸90%等至少12种化学物质的测试无明显变化。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2、有害物质释放：可溶性铅、氯乙烯单体和挥发物释放符合国家标准。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3、耐化学性能：污染物包括硫酸98%，碘酒2%，碘伏0.5%，过氧化氢30%，84消毒液、氢氧化钠50%等至少，接触时间2小时无影响。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4、弯曲性：无开裂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5、燃烧等级：B1 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（5）实验室吸附装置参数为：活性炭吸附箱，1800风量，规格:600*520*500，项目质保期内的耗材由中标人提供更换。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（6）施工过程中，要求施工单位根据使用部门要求无条件做好改造范围内的仪器设备的搬迁工作。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中标人在施工进场前提供塑胶楼地面的检测报告、质量保证书等材料，经使用部门确认后方可使用。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 xml:space="preserve"> 2.</w:t>
      </w:r>
      <w:r>
        <w:rPr>
          <w:rFonts w:hint="eastAsia" w:ascii="仿宋_GB2312" w:hAnsi="仿宋" w:eastAsia="仿宋_GB2312"/>
          <w:sz w:val="28"/>
          <w:szCs w:val="28"/>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（1）合同工期：工期35日历天，</w:t>
      </w:r>
      <w:r>
        <w:rPr>
          <w:rFonts w:hint="eastAsia" w:ascii="仿宋_GB2312" w:hAnsi="仿宋" w:eastAsia="仿宋_GB2312"/>
          <w:sz w:val="28"/>
          <w:szCs w:val="28"/>
          <w:lang w:val="en-US" w:eastAsia="zh-CN"/>
        </w:rPr>
        <w:t>从甲方书面通知进场施工时间开始计算。因乙方原因推迟的按300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2）本工程不支付进度款，工程完工后由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3）涉及隐蔽工程内容的，承包人应在隐蔽工程覆盖、掩埋或拆除前通知发包人代表进行现场勘查、确认，并由现场代表会同审计处，共同做好隐蔽工程记录、核定隐蔽工程量签证单。未按规定办理隐蔽工程记录的，其工程量不予认定。在施工过程中，隐蔽工程必须按以下表格及时通知发包人验收并办理签字手续。</w:t>
      </w:r>
    </w:p>
    <w:p>
      <w:pPr>
        <w:jc w:val="center"/>
        <w:rPr>
          <w:rFonts w:hint="eastAsia" w:ascii="宋体" w:hAnsi="宋体"/>
          <w:b/>
          <w:szCs w:val="28"/>
        </w:rPr>
      </w:pPr>
      <w:r>
        <w:rPr>
          <w:rFonts w:hint="eastAsia" w:ascii="宋体" w:hAnsi="宋体"/>
          <w:b/>
          <w:szCs w:val="28"/>
        </w:rPr>
        <w:t>隐蔽工程验收记录单</w:t>
      </w:r>
    </w:p>
    <w:tbl>
      <w:tblPr>
        <w:tblStyle w:val="28"/>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362"/>
        <w:gridCol w:w="392"/>
        <w:gridCol w:w="833"/>
        <w:gridCol w:w="3402"/>
        <w:gridCol w:w="34"/>
        <w:gridCol w:w="253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5" w:type="dxa"/>
            <w:gridSpan w:val="4"/>
            <w:noWrap w:val="0"/>
            <w:vAlign w:val="center"/>
          </w:tcPr>
          <w:p>
            <w:pPr>
              <w:jc w:val="left"/>
              <w:rPr>
                <w:rFonts w:hint="eastAsia" w:ascii="宋体" w:hAnsi="宋体"/>
                <w:b/>
                <w:szCs w:val="28"/>
              </w:rPr>
            </w:pPr>
            <w:r>
              <w:rPr>
                <w:rFonts w:hint="eastAsia" w:ascii="宋体" w:hAnsi="宋体"/>
                <w:b/>
                <w:szCs w:val="28"/>
              </w:rPr>
              <w:t>工程名称</w:t>
            </w:r>
          </w:p>
        </w:tc>
        <w:tc>
          <w:tcPr>
            <w:tcW w:w="3402" w:type="dxa"/>
            <w:noWrap w:val="0"/>
            <w:vAlign w:val="center"/>
          </w:tcPr>
          <w:p>
            <w:pPr>
              <w:jc w:val="left"/>
              <w:rPr>
                <w:rFonts w:hint="eastAsia" w:ascii="宋体" w:hAnsi="宋体"/>
                <w:b/>
                <w:szCs w:val="28"/>
              </w:rPr>
            </w:pPr>
          </w:p>
        </w:tc>
        <w:tc>
          <w:tcPr>
            <w:tcW w:w="2571" w:type="dxa"/>
            <w:gridSpan w:val="2"/>
            <w:noWrap w:val="0"/>
            <w:vAlign w:val="center"/>
          </w:tcPr>
          <w:p>
            <w:pPr>
              <w:jc w:val="left"/>
              <w:rPr>
                <w:rFonts w:hint="eastAsia" w:ascii="宋体" w:hAnsi="宋体"/>
                <w:b/>
                <w:szCs w:val="28"/>
              </w:rPr>
            </w:pPr>
            <w:r>
              <w:rPr>
                <w:rFonts w:hint="eastAsia" w:ascii="宋体" w:hAnsi="宋体"/>
                <w:b/>
                <w:szCs w:val="28"/>
              </w:rPr>
              <w:t>验收单编号</w:t>
            </w:r>
          </w:p>
        </w:tc>
        <w:tc>
          <w:tcPr>
            <w:tcW w:w="1733" w:type="dxa"/>
            <w:noWrap w:val="0"/>
            <w:vAlign w:val="center"/>
          </w:tcPr>
          <w:p>
            <w:pPr>
              <w:jc w:val="left"/>
              <w:rPr>
                <w:rFonts w:hint="eastAsia"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15" w:type="dxa"/>
            <w:gridSpan w:val="4"/>
            <w:noWrap w:val="0"/>
            <w:vAlign w:val="center"/>
          </w:tcPr>
          <w:p>
            <w:pPr>
              <w:jc w:val="left"/>
              <w:rPr>
                <w:rFonts w:hint="eastAsia" w:ascii="宋体" w:hAnsi="宋体"/>
                <w:b/>
                <w:szCs w:val="28"/>
              </w:rPr>
            </w:pPr>
            <w:r>
              <w:rPr>
                <w:rFonts w:hint="eastAsia" w:ascii="宋体" w:hAnsi="宋体"/>
                <w:b/>
                <w:szCs w:val="28"/>
              </w:rPr>
              <w:t>分项工程名称</w:t>
            </w:r>
          </w:p>
        </w:tc>
        <w:tc>
          <w:tcPr>
            <w:tcW w:w="3402" w:type="dxa"/>
            <w:noWrap w:val="0"/>
            <w:vAlign w:val="center"/>
          </w:tcPr>
          <w:p>
            <w:pPr>
              <w:jc w:val="left"/>
              <w:rPr>
                <w:rFonts w:hint="eastAsia" w:ascii="宋体" w:hAnsi="宋体"/>
                <w:b/>
                <w:szCs w:val="28"/>
              </w:rPr>
            </w:pPr>
          </w:p>
        </w:tc>
        <w:tc>
          <w:tcPr>
            <w:tcW w:w="2571" w:type="dxa"/>
            <w:gridSpan w:val="2"/>
            <w:noWrap w:val="0"/>
            <w:vAlign w:val="center"/>
          </w:tcPr>
          <w:p>
            <w:pPr>
              <w:jc w:val="left"/>
              <w:rPr>
                <w:rFonts w:hint="eastAsia" w:ascii="宋体" w:hAnsi="宋体"/>
                <w:b/>
                <w:szCs w:val="28"/>
              </w:rPr>
            </w:pPr>
            <w:r>
              <w:rPr>
                <w:rFonts w:hint="eastAsia" w:ascii="宋体" w:hAnsi="宋体"/>
                <w:b/>
                <w:szCs w:val="28"/>
              </w:rPr>
              <w:t>隐蔽工程项目</w:t>
            </w:r>
          </w:p>
        </w:tc>
        <w:tc>
          <w:tcPr>
            <w:tcW w:w="1733" w:type="dxa"/>
            <w:noWrap w:val="0"/>
            <w:vAlign w:val="center"/>
          </w:tcPr>
          <w:p>
            <w:pPr>
              <w:jc w:val="left"/>
              <w:rPr>
                <w:rFonts w:hint="eastAsia"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15" w:type="dxa"/>
            <w:gridSpan w:val="4"/>
            <w:noWrap w:val="0"/>
            <w:vAlign w:val="center"/>
          </w:tcPr>
          <w:p>
            <w:pPr>
              <w:jc w:val="left"/>
              <w:rPr>
                <w:rFonts w:hint="eastAsia" w:ascii="宋体" w:hAnsi="宋体"/>
                <w:b/>
                <w:szCs w:val="28"/>
              </w:rPr>
            </w:pPr>
            <w:r>
              <w:rPr>
                <w:rFonts w:hint="eastAsia" w:ascii="宋体" w:hAnsi="宋体"/>
                <w:b/>
                <w:szCs w:val="28"/>
              </w:rPr>
              <w:t>施工单位名称</w:t>
            </w:r>
          </w:p>
        </w:tc>
        <w:tc>
          <w:tcPr>
            <w:tcW w:w="3402" w:type="dxa"/>
            <w:noWrap w:val="0"/>
            <w:vAlign w:val="center"/>
          </w:tcPr>
          <w:p>
            <w:pPr>
              <w:jc w:val="left"/>
              <w:rPr>
                <w:rFonts w:hint="eastAsia" w:ascii="宋体" w:hAnsi="宋体"/>
                <w:b/>
                <w:szCs w:val="28"/>
              </w:rPr>
            </w:pPr>
          </w:p>
        </w:tc>
        <w:tc>
          <w:tcPr>
            <w:tcW w:w="2571" w:type="dxa"/>
            <w:gridSpan w:val="2"/>
            <w:noWrap w:val="0"/>
            <w:vAlign w:val="center"/>
          </w:tcPr>
          <w:p>
            <w:pPr>
              <w:jc w:val="left"/>
              <w:rPr>
                <w:rFonts w:hint="eastAsia" w:ascii="宋体" w:hAnsi="宋体"/>
                <w:b/>
                <w:szCs w:val="28"/>
              </w:rPr>
            </w:pPr>
            <w:r>
              <w:rPr>
                <w:rFonts w:hint="eastAsia" w:ascii="宋体" w:hAnsi="宋体"/>
                <w:b/>
                <w:szCs w:val="28"/>
              </w:rPr>
              <w:t>项目经理</w:t>
            </w:r>
          </w:p>
        </w:tc>
        <w:tc>
          <w:tcPr>
            <w:tcW w:w="1733" w:type="dxa"/>
            <w:noWrap w:val="0"/>
            <w:vAlign w:val="center"/>
          </w:tcPr>
          <w:p>
            <w:pPr>
              <w:jc w:val="left"/>
              <w:rPr>
                <w:rFonts w:hint="eastAsia"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15" w:type="dxa"/>
            <w:gridSpan w:val="4"/>
            <w:noWrap w:val="0"/>
            <w:vAlign w:val="center"/>
          </w:tcPr>
          <w:p>
            <w:pPr>
              <w:jc w:val="left"/>
              <w:rPr>
                <w:rFonts w:hint="eastAsia" w:ascii="宋体" w:hAnsi="宋体"/>
                <w:b/>
                <w:szCs w:val="28"/>
              </w:rPr>
            </w:pPr>
            <w:r>
              <w:rPr>
                <w:rFonts w:hint="eastAsia" w:ascii="宋体" w:hAnsi="宋体"/>
                <w:b/>
                <w:szCs w:val="28"/>
              </w:rPr>
              <w:t>施工标准及编号</w:t>
            </w:r>
          </w:p>
        </w:tc>
        <w:tc>
          <w:tcPr>
            <w:tcW w:w="3402" w:type="dxa"/>
            <w:noWrap w:val="0"/>
            <w:vAlign w:val="center"/>
          </w:tcPr>
          <w:p>
            <w:pPr>
              <w:jc w:val="left"/>
              <w:rPr>
                <w:rFonts w:hint="eastAsia" w:ascii="宋体" w:hAnsi="宋体"/>
                <w:b/>
                <w:szCs w:val="28"/>
              </w:rPr>
            </w:pPr>
          </w:p>
        </w:tc>
        <w:tc>
          <w:tcPr>
            <w:tcW w:w="2571" w:type="dxa"/>
            <w:gridSpan w:val="2"/>
            <w:noWrap w:val="0"/>
            <w:vAlign w:val="center"/>
          </w:tcPr>
          <w:p>
            <w:pPr>
              <w:jc w:val="left"/>
              <w:rPr>
                <w:rFonts w:hint="eastAsia" w:ascii="宋体" w:hAnsi="宋体"/>
                <w:b/>
                <w:szCs w:val="28"/>
              </w:rPr>
            </w:pPr>
            <w:r>
              <w:rPr>
                <w:rFonts w:hint="eastAsia" w:ascii="宋体" w:hAnsi="宋体"/>
                <w:b/>
                <w:szCs w:val="28"/>
              </w:rPr>
              <w:t>施工图名称及编号</w:t>
            </w:r>
          </w:p>
        </w:tc>
        <w:tc>
          <w:tcPr>
            <w:tcW w:w="1733" w:type="dxa"/>
            <w:noWrap w:val="0"/>
            <w:vAlign w:val="center"/>
          </w:tcPr>
          <w:p>
            <w:pPr>
              <w:jc w:val="left"/>
              <w:rPr>
                <w:rFonts w:hint="eastAsia"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28" w:type="dxa"/>
            <w:vMerge w:val="restart"/>
            <w:noWrap w:val="0"/>
            <w:vAlign w:val="center"/>
          </w:tcPr>
          <w:p>
            <w:pPr>
              <w:jc w:val="left"/>
              <w:rPr>
                <w:rFonts w:hint="eastAsia" w:ascii="宋体" w:hAnsi="宋体"/>
                <w:b/>
                <w:szCs w:val="28"/>
              </w:rPr>
            </w:pPr>
            <w:r>
              <w:rPr>
                <w:rFonts w:hint="eastAsia" w:ascii="宋体" w:hAnsi="宋体"/>
                <w:b/>
                <w:szCs w:val="28"/>
              </w:rPr>
              <w:t>隐</w:t>
            </w:r>
          </w:p>
          <w:p>
            <w:pPr>
              <w:jc w:val="left"/>
              <w:rPr>
                <w:rFonts w:hint="eastAsia" w:ascii="宋体" w:hAnsi="宋体"/>
                <w:b/>
                <w:szCs w:val="28"/>
              </w:rPr>
            </w:pPr>
            <w:r>
              <w:rPr>
                <w:rFonts w:hint="eastAsia" w:ascii="宋体" w:hAnsi="宋体"/>
                <w:b/>
                <w:szCs w:val="28"/>
              </w:rPr>
              <w:t>蔽</w:t>
            </w:r>
          </w:p>
          <w:p>
            <w:pPr>
              <w:jc w:val="left"/>
              <w:rPr>
                <w:rFonts w:hint="eastAsia" w:ascii="宋体" w:hAnsi="宋体"/>
                <w:b/>
                <w:szCs w:val="28"/>
              </w:rPr>
            </w:pPr>
            <w:r>
              <w:rPr>
                <w:rFonts w:hint="eastAsia" w:ascii="宋体" w:hAnsi="宋体"/>
                <w:b/>
                <w:szCs w:val="28"/>
              </w:rPr>
              <w:t>工</w:t>
            </w:r>
          </w:p>
          <w:p>
            <w:pPr>
              <w:jc w:val="left"/>
              <w:rPr>
                <w:rFonts w:hint="eastAsia" w:ascii="宋体" w:hAnsi="宋体"/>
                <w:b/>
                <w:szCs w:val="28"/>
              </w:rPr>
            </w:pPr>
            <w:r>
              <w:rPr>
                <w:rFonts w:hint="eastAsia" w:ascii="宋体" w:hAnsi="宋体"/>
                <w:b/>
                <w:szCs w:val="28"/>
              </w:rPr>
              <w:t>程</w:t>
            </w:r>
          </w:p>
          <w:p>
            <w:pPr>
              <w:jc w:val="left"/>
              <w:rPr>
                <w:rFonts w:hint="eastAsia" w:ascii="宋体" w:hAnsi="宋体"/>
                <w:b/>
                <w:szCs w:val="28"/>
              </w:rPr>
            </w:pPr>
            <w:r>
              <w:rPr>
                <w:rFonts w:hint="eastAsia" w:ascii="宋体" w:hAnsi="宋体"/>
                <w:b/>
                <w:szCs w:val="28"/>
              </w:rPr>
              <w:t>部</w:t>
            </w:r>
          </w:p>
          <w:p>
            <w:pPr>
              <w:jc w:val="left"/>
              <w:rPr>
                <w:rFonts w:hint="eastAsia" w:ascii="宋体" w:hAnsi="宋体"/>
                <w:b/>
                <w:szCs w:val="28"/>
              </w:rPr>
            </w:pPr>
            <w:r>
              <w:rPr>
                <w:rFonts w:hint="eastAsia" w:ascii="宋体" w:hAnsi="宋体"/>
                <w:b/>
                <w:szCs w:val="28"/>
              </w:rPr>
              <w:t>位</w:t>
            </w:r>
          </w:p>
        </w:tc>
        <w:tc>
          <w:tcPr>
            <w:tcW w:w="754" w:type="dxa"/>
            <w:gridSpan w:val="2"/>
            <w:vMerge w:val="restart"/>
            <w:noWrap w:val="0"/>
            <w:vAlign w:val="center"/>
          </w:tcPr>
          <w:p>
            <w:pPr>
              <w:jc w:val="left"/>
              <w:rPr>
                <w:rFonts w:hint="eastAsia" w:ascii="宋体" w:hAnsi="宋体"/>
                <w:b/>
                <w:szCs w:val="28"/>
              </w:rPr>
            </w:pPr>
            <w:r>
              <w:rPr>
                <w:rFonts w:hint="eastAsia" w:ascii="宋体" w:hAnsi="宋体"/>
                <w:b/>
                <w:szCs w:val="28"/>
              </w:rPr>
              <w:t>规</w:t>
            </w:r>
          </w:p>
          <w:p>
            <w:pPr>
              <w:jc w:val="left"/>
              <w:rPr>
                <w:rFonts w:hint="eastAsia" w:ascii="宋体" w:hAnsi="宋体"/>
                <w:b/>
                <w:szCs w:val="28"/>
              </w:rPr>
            </w:pPr>
            <w:r>
              <w:rPr>
                <w:rFonts w:hint="eastAsia" w:ascii="宋体" w:hAnsi="宋体"/>
                <w:b/>
                <w:szCs w:val="28"/>
              </w:rPr>
              <w:t>范</w:t>
            </w:r>
          </w:p>
          <w:p>
            <w:pPr>
              <w:jc w:val="left"/>
              <w:rPr>
                <w:rFonts w:hint="eastAsia" w:ascii="宋体" w:hAnsi="宋体"/>
                <w:b/>
                <w:szCs w:val="28"/>
              </w:rPr>
            </w:pPr>
            <w:r>
              <w:rPr>
                <w:rFonts w:hint="eastAsia" w:ascii="宋体" w:hAnsi="宋体"/>
                <w:b/>
                <w:szCs w:val="28"/>
              </w:rPr>
              <w:t>要</w:t>
            </w:r>
          </w:p>
          <w:p>
            <w:pPr>
              <w:jc w:val="left"/>
              <w:rPr>
                <w:rFonts w:hint="eastAsia" w:ascii="宋体" w:hAnsi="宋体"/>
                <w:b/>
                <w:szCs w:val="28"/>
              </w:rPr>
            </w:pPr>
            <w:r>
              <w:rPr>
                <w:rFonts w:hint="eastAsia" w:ascii="宋体" w:hAnsi="宋体"/>
                <w:b/>
                <w:szCs w:val="28"/>
              </w:rPr>
              <w:t>求</w:t>
            </w:r>
          </w:p>
          <w:p>
            <w:pPr>
              <w:jc w:val="left"/>
              <w:rPr>
                <w:rFonts w:hint="eastAsia" w:ascii="宋体" w:hAnsi="宋体"/>
                <w:b/>
                <w:szCs w:val="28"/>
              </w:rPr>
            </w:pPr>
            <w:r>
              <w:rPr>
                <w:rFonts w:hint="eastAsia" w:ascii="宋体" w:hAnsi="宋体"/>
                <w:b/>
                <w:szCs w:val="28"/>
              </w:rPr>
              <w:t>及</w:t>
            </w:r>
          </w:p>
          <w:p>
            <w:pPr>
              <w:jc w:val="left"/>
              <w:rPr>
                <w:rFonts w:hint="eastAsia" w:ascii="宋体" w:hAnsi="宋体"/>
                <w:b/>
                <w:szCs w:val="28"/>
              </w:rPr>
            </w:pPr>
            <w:r>
              <w:rPr>
                <w:rFonts w:hint="eastAsia" w:ascii="宋体" w:hAnsi="宋体"/>
                <w:b/>
                <w:szCs w:val="28"/>
              </w:rPr>
              <w:t>自</w:t>
            </w:r>
          </w:p>
          <w:p>
            <w:pPr>
              <w:jc w:val="left"/>
              <w:rPr>
                <w:rFonts w:hint="eastAsia" w:ascii="宋体" w:hAnsi="宋体"/>
                <w:b/>
                <w:szCs w:val="28"/>
              </w:rPr>
            </w:pPr>
            <w:r>
              <w:rPr>
                <w:rFonts w:hint="eastAsia" w:ascii="宋体" w:hAnsi="宋体"/>
                <w:b/>
                <w:szCs w:val="28"/>
              </w:rPr>
              <w:t>检</w:t>
            </w:r>
          </w:p>
        </w:tc>
        <w:tc>
          <w:tcPr>
            <w:tcW w:w="4269" w:type="dxa"/>
            <w:gridSpan w:val="3"/>
            <w:noWrap w:val="0"/>
            <w:vAlign w:val="center"/>
          </w:tcPr>
          <w:p>
            <w:pPr>
              <w:jc w:val="left"/>
              <w:rPr>
                <w:rFonts w:hint="eastAsia" w:ascii="宋体" w:hAnsi="宋体"/>
                <w:b/>
                <w:szCs w:val="28"/>
              </w:rPr>
            </w:pPr>
            <w:r>
              <w:rPr>
                <w:rFonts w:hint="eastAsia" w:ascii="宋体" w:hAnsi="宋体"/>
                <w:b/>
                <w:szCs w:val="28"/>
              </w:rPr>
              <w:t>规范（质量）要求</w:t>
            </w:r>
          </w:p>
        </w:tc>
        <w:tc>
          <w:tcPr>
            <w:tcW w:w="4270" w:type="dxa"/>
            <w:gridSpan w:val="2"/>
            <w:noWrap w:val="0"/>
            <w:vAlign w:val="center"/>
          </w:tcPr>
          <w:p>
            <w:pPr>
              <w:jc w:val="left"/>
              <w:rPr>
                <w:rFonts w:hint="eastAsia" w:ascii="宋体" w:hAnsi="宋体"/>
                <w:b/>
                <w:szCs w:val="28"/>
              </w:rPr>
            </w:pPr>
            <w:r>
              <w:rPr>
                <w:rFonts w:hint="eastAsia" w:ascii="宋体" w:hAnsi="宋体"/>
                <w:b/>
                <w:szCs w:val="28"/>
              </w:rPr>
              <w:t>施工单位自检记录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628" w:type="dxa"/>
            <w:vMerge w:val="continue"/>
            <w:noWrap w:val="0"/>
            <w:vAlign w:val="center"/>
          </w:tcPr>
          <w:p>
            <w:pPr>
              <w:jc w:val="left"/>
              <w:rPr>
                <w:rFonts w:hint="eastAsia" w:ascii="宋体" w:hAnsi="宋体"/>
                <w:b/>
                <w:szCs w:val="28"/>
              </w:rPr>
            </w:pPr>
          </w:p>
        </w:tc>
        <w:tc>
          <w:tcPr>
            <w:tcW w:w="754" w:type="dxa"/>
            <w:gridSpan w:val="2"/>
            <w:vMerge w:val="continue"/>
            <w:noWrap w:val="0"/>
            <w:vAlign w:val="center"/>
          </w:tcPr>
          <w:p>
            <w:pPr>
              <w:jc w:val="left"/>
              <w:rPr>
                <w:rFonts w:hint="eastAsia" w:ascii="宋体" w:hAnsi="宋体"/>
                <w:b/>
                <w:szCs w:val="28"/>
              </w:rPr>
            </w:pPr>
          </w:p>
        </w:tc>
        <w:tc>
          <w:tcPr>
            <w:tcW w:w="4269" w:type="dxa"/>
            <w:gridSpan w:val="3"/>
            <w:noWrap w:val="0"/>
            <w:vAlign w:val="center"/>
          </w:tcPr>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tc>
        <w:tc>
          <w:tcPr>
            <w:tcW w:w="4270" w:type="dxa"/>
            <w:gridSpan w:val="2"/>
            <w:noWrap w:val="0"/>
            <w:vAlign w:val="center"/>
          </w:tcPr>
          <w:p>
            <w:pPr>
              <w:jc w:val="left"/>
              <w:rPr>
                <w:rFonts w:hint="eastAsia"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628" w:type="dxa"/>
            <w:vMerge w:val="continue"/>
            <w:noWrap w:val="0"/>
            <w:vAlign w:val="center"/>
          </w:tcPr>
          <w:p>
            <w:pPr>
              <w:jc w:val="left"/>
              <w:rPr>
                <w:rFonts w:hint="eastAsia" w:ascii="宋体" w:hAnsi="宋体"/>
                <w:b/>
                <w:szCs w:val="28"/>
              </w:rPr>
            </w:pPr>
          </w:p>
        </w:tc>
        <w:tc>
          <w:tcPr>
            <w:tcW w:w="754" w:type="dxa"/>
            <w:gridSpan w:val="2"/>
            <w:noWrap w:val="0"/>
            <w:vAlign w:val="center"/>
          </w:tcPr>
          <w:p>
            <w:pPr>
              <w:jc w:val="left"/>
              <w:rPr>
                <w:rFonts w:hint="eastAsia" w:ascii="宋体" w:hAnsi="宋体"/>
                <w:b/>
                <w:szCs w:val="28"/>
              </w:rPr>
            </w:pPr>
            <w:r>
              <w:rPr>
                <w:rFonts w:hint="eastAsia" w:ascii="宋体" w:hAnsi="宋体"/>
                <w:b/>
                <w:szCs w:val="28"/>
              </w:rPr>
              <w:t>隐</w:t>
            </w:r>
          </w:p>
          <w:p>
            <w:pPr>
              <w:jc w:val="left"/>
              <w:rPr>
                <w:rFonts w:hint="eastAsia" w:ascii="宋体" w:hAnsi="宋体"/>
                <w:b/>
                <w:szCs w:val="28"/>
              </w:rPr>
            </w:pPr>
            <w:r>
              <w:rPr>
                <w:rFonts w:hint="eastAsia" w:ascii="宋体" w:hAnsi="宋体"/>
                <w:b/>
                <w:szCs w:val="28"/>
              </w:rPr>
              <w:t>蔽</w:t>
            </w:r>
          </w:p>
          <w:p>
            <w:pPr>
              <w:jc w:val="left"/>
              <w:rPr>
                <w:rFonts w:hint="eastAsia" w:ascii="宋体" w:hAnsi="宋体"/>
                <w:b/>
                <w:szCs w:val="28"/>
              </w:rPr>
            </w:pPr>
            <w:r>
              <w:rPr>
                <w:rFonts w:hint="eastAsia" w:ascii="宋体" w:hAnsi="宋体"/>
                <w:b/>
                <w:szCs w:val="28"/>
              </w:rPr>
              <w:t>工</w:t>
            </w:r>
          </w:p>
          <w:p>
            <w:pPr>
              <w:jc w:val="left"/>
              <w:rPr>
                <w:rFonts w:hint="eastAsia" w:ascii="宋体" w:hAnsi="宋体"/>
                <w:b/>
                <w:szCs w:val="28"/>
              </w:rPr>
            </w:pPr>
            <w:r>
              <w:rPr>
                <w:rFonts w:hint="eastAsia" w:ascii="宋体" w:hAnsi="宋体"/>
                <w:b/>
                <w:szCs w:val="28"/>
              </w:rPr>
              <w:t>程</w:t>
            </w:r>
          </w:p>
          <w:p>
            <w:pPr>
              <w:jc w:val="left"/>
              <w:rPr>
                <w:rFonts w:hint="eastAsia" w:ascii="宋体" w:hAnsi="宋体"/>
                <w:b/>
                <w:szCs w:val="28"/>
              </w:rPr>
            </w:pPr>
            <w:r>
              <w:rPr>
                <w:rFonts w:hint="eastAsia" w:ascii="宋体" w:hAnsi="宋体"/>
                <w:b/>
                <w:szCs w:val="28"/>
              </w:rPr>
              <w:t>图</w:t>
            </w:r>
          </w:p>
          <w:p>
            <w:pPr>
              <w:jc w:val="left"/>
              <w:rPr>
                <w:rFonts w:hint="eastAsia" w:ascii="宋体" w:hAnsi="宋体"/>
                <w:b/>
                <w:szCs w:val="28"/>
              </w:rPr>
            </w:pPr>
            <w:r>
              <w:rPr>
                <w:rFonts w:hint="eastAsia" w:ascii="宋体" w:hAnsi="宋体"/>
                <w:b/>
                <w:szCs w:val="28"/>
              </w:rPr>
              <w:t>示</w:t>
            </w:r>
          </w:p>
        </w:tc>
        <w:tc>
          <w:tcPr>
            <w:tcW w:w="8539" w:type="dxa"/>
            <w:gridSpan w:val="5"/>
            <w:noWrap w:val="0"/>
            <w:vAlign w:val="center"/>
          </w:tcPr>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215" w:type="dxa"/>
            <w:gridSpan w:val="4"/>
            <w:noWrap w:val="0"/>
            <w:vAlign w:val="center"/>
          </w:tcPr>
          <w:p>
            <w:pPr>
              <w:jc w:val="left"/>
              <w:rPr>
                <w:rFonts w:hint="eastAsia" w:ascii="宋体" w:hAnsi="宋体"/>
                <w:b/>
                <w:szCs w:val="28"/>
              </w:rPr>
            </w:pPr>
            <w:r>
              <w:rPr>
                <w:rFonts w:hint="eastAsia" w:ascii="宋体" w:hAnsi="宋体"/>
                <w:b/>
                <w:szCs w:val="28"/>
              </w:rPr>
              <w:t>施工单位</w:t>
            </w:r>
          </w:p>
          <w:p>
            <w:pPr>
              <w:jc w:val="left"/>
              <w:rPr>
                <w:rFonts w:hint="eastAsia" w:ascii="宋体" w:hAnsi="宋体"/>
                <w:b/>
                <w:szCs w:val="28"/>
              </w:rPr>
            </w:pPr>
            <w:r>
              <w:rPr>
                <w:rFonts w:hint="eastAsia" w:ascii="宋体" w:hAnsi="宋体"/>
                <w:b/>
                <w:szCs w:val="28"/>
              </w:rPr>
              <w:t>自检结论</w:t>
            </w:r>
          </w:p>
        </w:tc>
        <w:tc>
          <w:tcPr>
            <w:tcW w:w="7706" w:type="dxa"/>
            <w:gridSpan w:val="4"/>
            <w:noWrap w:val="0"/>
            <w:vAlign w:val="center"/>
          </w:tcPr>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r>
              <w:rPr>
                <w:rFonts w:hint="eastAsia" w:ascii="宋体" w:hAnsi="宋体"/>
                <w:b/>
                <w:szCs w:val="28"/>
              </w:rPr>
              <w:t>项目负责人（签字盖章）：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90" w:type="dxa"/>
            <w:gridSpan w:val="2"/>
            <w:vMerge w:val="restart"/>
            <w:noWrap w:val="0"/>
            <w:vAlign w:val="center"/>
          </w:tcPr>
          <w:p>
            <w:pPr>
              <w:jc w:val="left"/>
              <w:rPr>
                <w:rFonts w:hint="eastAsia" w:ascii="宋体" w:hAnsi="宋体"/>
                <w:b/>
                <w:szCs w:val="28"/>
              </w:rPr>
            </w:pPr>
            <w:r>
              <w:rPr>
                <w:rFonts w:hint="eastAsia" w:ascii="宋体" w:hAnsi="宋体"/>
                <w:b/>
                <w:szCs w:val="28"/>
              </w:rPr>
              <w:t>建设单位验收结论</w:t>
            </w:r>
          </w:p>
        </w:tc>
        <w:tc>
          <w:tcPr>
            <w:tcW w:w="1225" w:type="dxa"/>
            <w:gridSpan w:val="2"/>
            <w:noWrap w:val="0"/>
            <w:vAlign w:val="center"/>
          </w:tcPr>
          <w:p>
            <w:pPr>
              <w:jc w:val="left"/>
              <w:rPr>
                <w:rFonts w:hint="eastAsia" w:ascii="宋体" w:hAnsi="宋体"/>
                <w:b/>
                <w:szCs w:val="28"/>
              </w:rPr>
            </w:pPr>
            <w:r>
              <w:rPr>
                <w:rFonts w:hint="eastAsia" w:ascii="宋体" w:hAnsi="宋体"/>
                <w:b/>
                <w:szCs w:val="28"/>
              </w:rPr>
              <w:t>后勤处</w:t>
            </w:r>
          </w:p>
        </w:tc>
        <w:tc>
          <w:tcPr>
            <w:tcW w:w="7706" w:type="dxa"/>
            <w:gridSpan w:val="4"/>
            <w:noWrap w:val="0"/>
            <w:vAlign w:val="center"/>
          </w:tcPr>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r>
              <w:rPr>
                <w:rFonts w:hint="eastAsia" w:ascii="宋体" w:hAnsi="宋体"/>
                <w:b/>
                <w:szCs w:val="28"/>
              </w:rPr>
              <w:t>现场代表（签字盖章）：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90" w:type="dxa"/>
            <w:gridSpan w:val="2"/>
            <w:vMerge w:val="continue"/>
            <w:noWrap w:val="0"/>
            <w:vAlign w:val="center"/>
          </w:tcPr>
          <w:p>
            <w:pPr>
              <w:jc w:val="left"/>
              <w:rPr>
                <w:rFonts w:hint="eastAsia" w:ascii="宋体" w:hAnsi="宋体"/>
                <w:b/>
                <w:szCs w:val="28"/>
              </w:rPr>
            </w:pPr>
          </w:p>
        </w:tc>
        <w:tc>
          <w:tcPr>
            <w:tcW w:w="1225" w:type="dxa"/>
            <w:gridSpan w:val="2"/>
            <w:noWrap w:val="0"/>
            <w:vAlign w:val="center"/>
          </w:tcPr>
          <w:p>
            <w:pPr>
              <w:jc w:val="left"/>
              <w:rPr>
                <w:rFonts w:hint="eastAsia" w:ascii="宋体" w:hAnsi="宋体"/>
                <w:b/>
                <w:szCs w:val="28"/>
              </w:rPr>
            </w:pPr>
            <w:r>
              <w:rPr>
                <w:rFonts w:hint="eastAsia" w:ascii="宋体" w:hAnsi="宋体"/>
                <w:b/>
                <w:szCs w:val="28"/>
              </w:rPr>
              <w:t>审计处</w:t>
            </w:r>
          </w:p>
        </w:tc>
        <w:tc>
          <w:tcPr>
            <w:tcW w:w="7706" w:type="dxa"/>
            <w:gridSpan w:val="4"/>
            <w:noWrap w:val="0"/>
            <w:vAlign w:val="center"/>
          </w:tcPr>
          <w:p>
            <w:pPr>
              <w:jc w:val="left"/>
              <w:rPr>
                <w:rFonts w:hint="eastAsia" w:ascii="宋体" w:hAnsi="宋体"/>
                <w:b/>
                <w:szCs w:val="28"/>
              </w:rPr>
            </w:pPr>
          </w:p>
          <w:p>
            <w:pPr>
              <w:jc w:val="left"/>
              <w:rPr>
                <w:rFonts w:hint="eastAsia" w:ascii="宋体" w:hAnsi="宋体"/>
                <w:b/>
                <w:szCs w:val="28"/>
              </w:rPr>
            </w:pPr>
          </w:p>
          <w:p>
            <w:pPr>
              <w:jc w:val="left"/>
              <w:rPr>
                <w:rFonts w:hint="eastAsia" w:ascii="宋体" w:hAnsi="宋体"/>
                <w:b/>
                <w:szCs w:val="28"/>
              </w:rPr>
            </w:pPr>
            <w:r>
              <w:rPr>
                <w:rFonts w:hint="eastAsia" w:ascii="宋体" w:hAnsi="宋体"/>
                <w:b/>
                <w:szCs w:val="28"/>
              </w:rPr>
              <w:t>经办人（签字盖章）：　　　　　　        年　　月　　日</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（4）工程完工后，由发包人组织相关人员进行验收，验收提出的整改意见需在7日内整改到位。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5）工程完工后、验收前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水电费缴纳证明等。</w:t>
      </w:r>
    </w:p>
    <w:p>
      <w:pPr>
        <w:spacing w:line="560" w:lineRule="exact"/>
        <w:ind w:firstLine="640" w:firstLineChars="200"/>
        <w:jc w:val="left"/>
        <w:rPr>
          <w:rFonts w:hint="eastAsia" w:ascii="仿宋" w:hAnsi="仿宋" w:eastAsia="仿宋"/>
          <w:i/>
          <w:sz w:val="32"/>
          <w:szCs w:val="32"/>
          <w:u w:val="single"/>
        </w:rPr>
      </w:pPr>
    </w:p>
    <w:p>
      <w:pPr>
        <w:ind w:firstLine="960" w:firstLineChars="300"/>
        <w:rPr>
          <w:rFonts w:hint="eastAsia" w:ascii="华文中宋" w:hAnsi="华文中宋" w:eastAsia="华文中宋"/>
          <w:b/>
          <w:kern w:val="0"/>
          <w:sz w:val="36"/>
          <w:szCs w:val="36"/>
        </w:rPr>
      </w:pPr>
      <w:r>
        <w:rPr>
          <w:rFonts w:hint="eastAsia" w:ascii="仿宋_GB2312" w:hAnsi="仿宋" w:eastAsia="仿宋_GB2312"/>
          <w:sz w:val="32"/>
          <w:szCs w:val="32"/>
          <w:u w:val="none"/>
        </w:rPr>
        <w:t xml:space="preserve">     </w:t>
      </w: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w:t>
      </w:r>
      <w:r>
        <w:rPr>
          <w:rFonts w:hint="eastAsia" w:ascii="宋体" w:hAnsi="宋体" w:eastAsia="宋体" w:cs="宋体"/>
          <w:sz w:val="28"/>
          <w:szCs w:val="28"/>
          <w:u w:val="single"/>
        </w:rPr>
        <w:t>皖南医学院</w:t>
      </w:r>
    </w:p>
    <w:p>
      <w:pPr>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施工单位（以下简称“乙方”）：</w:t>
      </w:r>
      <w:r>
        <w:rPr>
          <w:rFonts w:ascii="宋体" w:hAnsi="宋体" w:eastAsia="宋体" w:cs="宋体"/>
          <w:sz w:val="28"/>
          <w:szCs w:val="28"/>
        </w:rPr>
        <w:t xml:space="preserve">          </w:t>
      </w:r>
    </w:p>
    <w:p>
      <w:pPr>
        <w:spacing w:line="360" w:lineRule="auto"/>
        <w:ind w:firstLine="548" w:firstLineChars="196"/>
        <w:rPr>
          <w:rFonts w:ascii="宋体" w:hAnsi="宋体" w:eastAsia="宋体" w:cs="宋体"/>
          <w:sz w:val="28"/>
          <w:szCs w:val="28"/>
        </w:rPr>
      </w:pPr>
      <w:r>
        <w:rPr>
          <w:rFonts w:ascii="宋体" w:hAnsi="宋体" w:eastAsia="宋体"/>
          <w:sz w:val="28"/>
          <w:szCs w:val="28"/>
        </w:rPr>
        <w:t>根据</w:t>
      </w:r>
      <w:r>
        <w:rPr>
          <w:rFonts w:hint="eastAsia" w:ascii="宋体" w:hAnsi="宋体" w:eastAsia="宋体"/>
          <w:sz w:val="28"/>
          <w:szCs w:val="28"/>
        </w:rPr>
        <w:t>我国合同、建筑相关</w:t>
      </w:r>
      <w:r>
        <w:rPr>
          <w:rFonts w:ascii="宋体" w:hAnsi="宋体" w:eastAsia="宋体"/>
          <w:sz w:val="28"/>
          <w:szCs w:val="28"/>
        </w:rPr>
        <w:t>法律规定，遵循平等、自愿、公平和诚实信用的原则，双方就</w:t>
      </w:r>
      <w:r>
        <w:rPr>
          <w:rFonts w:hint="eastAsia" w:ascii="宋体" w:hAnsi="宋体" w:eastAsia="宋体"/>
          <w:sz w:val="28"/>
          <w:szCs w:val="28"/>
          <w:u w:val="single"/>
        </w:rPr>
        <w:t xml:space="preserve"> 基础医学院大学生创新实验室改造项目</w:t>
      </w:r>
      <w:r>
        <w:rPr>
          <w:rFonts w:ascii="宋体" w:hAnsi="宋体" w:eastAsia="宋体"/>
          <w:sz w:val="28"/>
          <w:szCs w:val="28"/>
          <w:u w:val="single"/>
        </w:rPr>
        <w:t xml:space="preserve"> </w:t>
      </w:r>
      <w:r>
        <w:rPr>
          <w:rFonts w:ascii="宋体" w:hAnsi="宋体" w:eastAsia="宋体"/>
          <w:sz w:val="28"/>
          <w:szCs w:val="28"/>
        </w:rPr>
        <w:t>工程施工及有关事项协商一致</w:t>
      </w:r>
      <w:r>
        <w:rPr>
          <w:rFonts w:hint="eastAsia" w:ascii="宋体" w:hAnsi="宋体" w:eastAsia="宋体"/>
          <w:sz w:val="28"/>
          <w:szCs w:val="28"/>
        </w:rPr>
        <w:t>，</w:t>
      </w:r>
      <w:r>
        <w:rPr>
          <w:rFonts w:ascii="宋体" w:hAnsi="宋体" w:eastAsia="宋体"/>
          <w:sz w:val="28"/>
          <w:szCs w:val="28"/>
        </w:rPr>
        <w:t>共同</w:t>
      </w:r>
      <w:r>
        <w:rPr>
          <w:rFonts w:hint="eastAsia" w:ascii="宋体" w:hAnsi="宋体" w:eastAsia="宋体"/>
          <w:sz w:val="28"/>
          <w:szCs w:val="28"/>
        </w:rPr>
        <w:t>签订本合同</w:t>
      </w:r>
      <w:r>
        <w:rPr>
          <w:rFonts w:hint="eastAsia" w:ascii="宋体" w:hAnsi="宋体" w:eastAsia="宋体" w:cs="宋体"/>
          <w:sz w:val="28"/>
          <w:szCs w:val="28"/>
        </w:rPr>
        <w:t>。</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一、工程概况</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1.工程名称：基础医学院大学生创新实验室改造项目（合同编号：    ）</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2.工程地点：皖南医学院滨江校区</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3.合同价：    （小写：  元）,其中含暂列金额    元。</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4.合同工期：工期</w:t>
      </w:r>
      <w:r>
        <w:rPr>
          <w:rFonts w:hint="eastAsia" w:ascii="宋体" w:hAnsi="宋体" w:eastAsia="宋体"/>
          <w:sz w:val="28"/>
          <w:szCs w:val="28"/>
          <w:shd w:val="clear" w:color="auto" w:fill="FFFF00"/>
          <w:lang w:val="en-US" w:eastAsia="zh-CN"/>
        </w:rPr>
        <w:t>35</w:t>
      </w:r>
      <w:r>
        <w:rPr>
          <w:rFonts w:hint="eastAsia" w:ascii="宋体" w:hAnsi="宋体" w:eastAsia="宋体"/>
          <w:sz w:val="28"/>
          <w:szCs w:val="28"/>
          <w:shd w:val="clear" w:color="auto" w:fill="FFFF00"/>
        </w:rPr>
        <w:t>日历天</w:t>
      </w:r>
      <w:r>
        <w:rPr>
          <w:rFonts w:hint="eastAsia" w:ascii="宋体" w:hAnsi="宋体" w:eastAsia="宋体"/>
          <w:sz w:val="28"/>
          <w:szCs w:val="28"/>
        </w:rPr>
        <w:t>，从甲方书面通知进场施工时间开始计算。因乙方原因推迟的按</w:t>
      </w:r>
      <w:r>
        <w:rPr>
          <w:rFonts w:hint="eastAsia" w:ascii="宋体" w:hAnsi="宋体" w:eastAsia="宋体"/>
          <w:sz w:val="28"/>
          <w:szCs w:val="28"/>
          <w:lang w:val="en-US" w:eastAsia="zh-CN"/>
        </w:rPr>
        <w:t>300</w:t>
      </w:r>
      <w:r>
        <w:rPr>
          <w:rFonts w:hint="eastAsia" w:ascii="宋体" w:hAnsi="宋体" w:eastAsia="宋体"/>
          <w:sz w:val="28"/>
          <w:szCs w:val="28"/>
        </w:rPr>
        <w:t>元/天对其进行处罚（甲方原因除外，但需乙方书面提出，甲方现场负责人签字确认）；推迟10天及以上甲方将其录入学校黑名单库，3年内禁止参加学校任何招投标活动。不可抗力因素除外。</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二、合同文件构成</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本合同与下列文件一起构成合同文件：</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1.中标通知书；</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 xml:space="preserve">2.采购文件； </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3.投标文件；</w:t>
      </w:r>
    </w:p>
    <w:p>
      <w:pPr>
        <w:spacing w:line="520" w:lineRule="exact"/>
        <w:ind w:firstLine="560" w:firstLineChars="200"/>
        <w:jc w:val="lef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.图纸；</w:t>
      </w:r>
    </w:p>
    <w:p>
      <w:pPr>
        <w:spacing w:line="520" w:lineRule="exact"/>
        <w:ind w:firstLine="560" w:firstLineChars="200"/>
        <w:jc w:val="left"/>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.已标价工程量清单或预算书；</w:t>
      </w:r>
    </w:p>
    <w:p>
      <w:pPr>
        <w:spacing w:line="520" w:lineRule="exact"/>
        <w:ind w:firstLine="560" w:firstLineChars="200"/>
        <w:jc w:val="left"/>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.技术要求；</w:t>
      </w:r>
    </w:p>
    <w:p>
      <w:pPr>
        <w:spacing w:line="520" w:lineRule="exact"/>
        <w:ind w:firstLine="560" w:firstLineChars="200"/>
        <w:jc w:val="left"/>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.其他合同文件。</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在合同订立及履行过程中形成的与合同有关的文件均构成合同文件组成部分。</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上述各项合同文件包括合同当事人就该项合同文件所作出的补充和修改，属于同一类内容的文件，应以最新签署的为准。</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三、工程量结算方式和依据</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1.本工程的计价依据是中标通知书、招标技术要求（图纸</w:t>
      </w:r>
      <w:r>
        <w:rPr>
          <w:rFonts w:ascii="宋体" w:hAnsi="宋体" w:eastAsia="宋体"/>
          <w:sz w:val="28"/>
          <w:szCs w:val="28"/>
        </w:rPr>
        <w:t>、</w:t>
      </w:r>
      <w:r>
        <w:rPr>
          <w:rFonts w:hint="eastAsia" w:ascii="宋体" w:hAnsi="宋体" w:eastAsia="宋体"/>
          <w:sz w:val="28"/>
          <w:szCs w:val="28"/>
        </w:rPr>
        <w:t>工程量清单、工程控制价、隐蔽工程验收记录单、变更签证单）及建设单位书面通知等。</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2.乙方须认真复核工程量清单，如发现工程量清单有漏量、漏项的，应在开工后</w:t>
      </w:r>
      <w:r>
        <w:rPr>
          <w:rFonts w:ascii="宋体" w:hAnsi="宋体" w:eastAsia="宋体"/>
          <w:sz w:val="28"/>
          <w:szCs w:val="28"/>
        </w:rPr>
        <w:t>7</w:t>
      </w:r>
      <w:r>
        <w:rPr>
          <w:rFonts w:hint="eastAsia" w:ascii="宋体" w:hAnsi="宋体" w:eastAsia="宋体"/>
          <w:sz w:val="28"/>
          <w:szCs w:val="28"/>
        </w:rPr>
        <w:t>日内提出，在规定时间后任何以施工图不详、工程量清单有误等理由提出的索赔要求将不予受理，视为投标报价的优惠，即乙方完全理解并同意图纸</w:t>
      </w:r>
      <w:r>
        <w:rPr>
          <w:rFonts w:ascii="宋体" w:hAnsi="宋体" w:eastAsia="宋体"/>
          <w:sz w:val="28"/>
          <w:szCs w:val="28"/>
        </w:rPr>
        <w:t>、</w:t>
      </w:r>
      <w:r>
        <w:rPr>
          <w:rFonts w:hint="eastAsia" w:ascii="宋体" w:hAnsi="宋体" w:eastAsia="宋体"/>
          <w:sz w:val="28"/>
          <w:szCs w:val="28"/>
        </w:rPr>
        <w:t>工程量清单（含技术要求），施工时须按照图纸</w:t>
      </w:r>
      <w:r>
        <w:rPr>
          <w:rFonts w:ascii="宋体" w:hAnsi="宋体" w:eastAsia="宋体"/>
          <w:sz w:val="28"/>
          <w:szCs w:val="28"/>
        </w:rPr>
        <w:t>及</w:t>
      </w:r>
      <w:r>
        <w:rPr>
          <w:rFonts w:hint="eastAsia" w:ascii="宋体" w:hAnsi="宋体" w:eastAsia="宋体"/>
          <w:sz w:val="28"/>
          <w:szCs w:val="28"/>
        </w:rPr>
        <w:t>工程量清单（含技术要求）执行，施工完成后，必须满足验收规范和使用功能的要求。</w:t>
      </w:r>
    </w:p>
    <w:p>
      <w:pPr>
        <w:spacing w:line="520" w:lineRule="exact"/>
        <w:ind w:firstLine="560" w:firstLineChars="200"/>
        <w:jc w:val="left"/>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计算，信息价中没有的材料结合市场定价。</w:t>
      </w:r>
    </w:p>
    <w:p>
      <w:pPr>
        <w:spacing w:line="520" w:lineRule="exact"/>
        <w:ind w:firstLine="560" w:firstLineChars="200"/>
        <w:jc w:val="lef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所有变更签证必须按照皖南医学院有关管理文件办理。具体参照《皖南医学院基建维修工程管理办法（修订）》（校政〔2020〕118号）及《后勤管理处基建维修工程变更签证管理规定（修订）》（后勤〔2023〕15号）文件执行。否则，视为该项变更不涉及合同价款的变更，若发生费用由乙方自行承担。</w:t>
      </w:r>
    </w:p>
    <w:p>
      <w:pPr>
        <w:spacing w:line="520" w:lineRule="exact"/>
        <w:ind w:firstLine="560" w:firstLineChars="200"/>
        <w:jc w:val="left"/>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.所有合同款支付，乙方须提供正规发票。</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四、付款及审计</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本工程不支付进度款，乙方提交竣工验收申请，递交完整的结算资料，甲方组织验收。验收合格后凭乙方提供的发票支付至合同价（不含暂列金额）的80%；审计完成，乙方先将金额为终审价3%的质保金汇入甲方账户，甲方凭发票及质保金汇款凭证付至终审价的100%；质保期满后无质量问题一次性无息退还质保金。</w:t>
      </w:r>
    </w:p>
    <w:p>
      <w:pPr>
        <w:widowControl/>
        <w:shd w:val="clear" w:color="auto" w:fill="FFFFFF"/>
        <w:spacing w:line="450" w:lineRule="atLeast"/>
        <w:ind w:firstLine="480"/>
        <w:jc w:val="left"/>
        <w:rPr>
          <w:rFonts w:ascii="宋体" w:hAnsi="宋体" w:eastAsia="宋体"/>
          <w:sz w:val="28"/>
          <w:szCs w:val="28"/>
        </w:rPr>
      </w:pPr>
      <w:r>
        <w:rPr>
          <w:rFonts w:hint="eastAsia" w:ascii="宋体" w:hAnsi="宋体" w:eastAsia="宋体"/>
          <w:sz w:val="28"/>
          <w:szCs w:val="28"/>
        </w:rPr>
        <w:t>2.乙方应积极配合工程结算审计，乙方对竣工结算审核意见有异议的，应在接到该审核意见后7日内向审计处书面提出，逾期未答复的，竣工结算审核意见视为已被认可。</w:t>
      </w:r>
    </w:p>
    <w:p>
      <w:pPr>
        <w:widowControl/>
        <w:shd w:val="clear" w:color="auto" w:fill="FFFFFF"/>
        <w:spacing w:line="450" w:lineRule="atLeast"/>
        <w:ind w:firstLine="480"/>
        <w:jc w:val="left"/>
        <w:rPr>
          <w:rFonts w:ascii="微软雅黑" w:hAnsi="微软雅黑" w:eastAsia="微软雅黑" w:cs="宋体"/>
          <w:b/>
          <w:color w:val="FF0000"/>
          <w:kern w:val="0"/>
          <w:sz w:val="24"/>
        </w:rPr>
      </w:pPr>
      <w:r>
        <w:rPr>
          <w:rFonts w:hint="eastAsia" w:ascii="宋体" w:hAnsi="宋体" w:eastAsia="宋体"/>
          <w:sz w:val="28"/>
          <w:szCs w:val="28"/>
        </w:rPr>
        <w:t>3.工程结算审核时，凡审增部分及审减率超过10%（不含10%）以上部分的审计服务费由乙方承担，在审核机构审核时直接扣除。费率参照皖价服[2007]86号文件规定的执行。</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五、质量保证</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1.乙方必须严格按照图纸</w:t>
      </w:r>
      <w:r>
        <w:rPr>
          <w:rFonts w:ascii="宋体" w:hAnsi="宋体" w:eastAsia="宋体"/>
          <w:sz w:val="28"/>
          <w:szCs w:val="28"/>
        </w:rPr>
        <w:t>、</w:t>
      </w:r>
      <w:r>
        <w:rPr>
          <w:rFonts w:hint="eastAsia" w:ascii="宋体" w:hAnsi="宋体" w:eastAsia="宋体"/>
          <w:sz w:val="28"/>
          <w:szCs w:val="28"/>
        </w:rPr>
        <w:t>工程量清单及有关规范施工，工程质量须达到合格标准，满足国家和地方现行规范要求，满足使用部门的使用要求。</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2.涉及隐蔽工程内容的，乙方应在隐蔽工程覆盖、掩埋或拆除前通知甲方项目负责人会同审计处进行现场勘查、确认，并办理《隐蔽工程验收记录单》，未办理的隐蔽工程涉及的工程量不予认定。</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3.乙方所用主要材料品牌满足技术要求，提前送样，且由甲方项目负责人确认后方可进场，进场时要有合格证、检测报告等材料，水电材料需提供</w:t>
      </w:r>
      <w:r>
        <w:rPr>
          <w:rFonts w:ascii="宋体" w:hAnsi="宋体" w:eastAsia="宋体"/>
          <w:sz w:val="28"/>
          <w:szCs w:val="28"/>
        </w:rPr>
        <w:t>3C</w:t>
      </w:r>
      <w:r>
        <w:rPr>
          <w:rFonts w:hint="eastAsia" w:ascii="宋体" w:hAnsi="宋体" w:eastAsia="宋体"/>
          <w:sz w:val="28"/>
          <w:szCs w:val="28"/>
        </w:rPr>
        <w:t>认证材料，并符合国家规范要求，否则禁止使用、不支付相应材料的工程款。</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4.本工程质保期12个月，质保期自工程竣工验收合格之日起计算。</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六、安全管理</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1.乙方必须严格按照《建设工程安全生产管理条例》等法律法规求，安全生产，文明施工。</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乙方必须完善自身质量安全管理体系和文明施工措施，杜绝野蛮施工和安全事故发生。严格落实《中华人民共和国消防法》《建设工程安全生产管理条例》《安徽省消防条例》等有关施工现场的消防安全法律法规，严格执行《建筑防火通用规范》（GB55037-2022）等有关施工现场的消防安全技术规范。制定施工期间消防安全管理制度，明确消防安全责任人，签订消防安全责任书。若发生质量或安全事故，由乙方承担一切责任，造成甲方损失的按实赔偿，并承担相应法律责任。</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3.工程材料、设备、构配件及已完工程在竣工验收交付前均由乙方负责看护，丢失、被盗、损坏等责任均由乙方承担。</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七、现场岗位管理与责任</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1.甲方需指派专人和乙方联系，并告知联系人联系方式。</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2.甲方有义务协调、配合乙方人员进行现场施工。</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 xml:space="preserve">3.乙方项目经理或授权委托人    为现场负责人（联系方式：    ），是甲方认可的现场负责人，该同志必须常驻现场，负责处理乙方施工过程中发生的一切事项；甲方指定后勤管理处 </w:t>
      </w:r>
      <w:r>
        <w:rPr>
          <w:rFonts w:hint="eastAsia" w:ascii="宋体" w:hAnsi="宋体" w:eastAsia="宋体"/>
          <w:sz w:val="28"/>
          <w:szCs w:val="28"/>
          <w:lang w:eastAsia="zh-CN"/>
        </w:rPr>
        <w:t>江艳华</w:t>
      </w:r>
      <w:r>
        <w:rPr>
          <w:rFonts w:ascii="宋体" w:hAnsi="宋体" w:eastAsia="宋体"/>
          <w:sz w:val="28"/>
          <w:szCs w:val="28"/>
        </w:rPr>
        <w:t xml:space="preserve">  </w:t>
      </w:r>
      <w:r>
        <w:rPr>
          <w:rFonts w:hint="eastAsia" w:ascii="宋体" w:hAnsi="宋体" w:eastAsia="宋体"/>
          <w:sz w:val="28"/>
          <w:szCs w:val="28"/>
        </w:rPr>
        <w:t>（联系方式：3932</w:t>
      </w:r>
      <w:r>
        <w:rPr>
          <w:rFonts w:hint="eastAsia" w:ascii="宋体" w:hAnsi="宋体" w:eastAsia="宋体"/>
          <w:sz w:val="28"/>
          <w:szCs w:val="28"/>
          <w:lang w:val="en-US" w:eastAsia="zh-CN"/>
        </w:rPr>
        <w:t>089</w:t>
      </w:r>
      <w:r>
        <w:rPr>
          <w:rFonts w:ascii="宋体" w:hAnsi="宋体" w:eastAsia="宋体"/>
          <w:sz w:val="28"/>
          <w:szCs w:val="28"/>
        </w:rPr>
        <w:t xml:space="preserve"> </w:t>
      </w:r>
      <w:r>
        <w:rPr>
          <w:rFonts w:hint="eastAsia" w:ascii="宋体" w:hAnsi="宋体" w:eastAsia="宋体"/>
          <w:sz w:val="28"/>
          <w:szCs w:val="28"/>
        </w:rPr>
        <w:t>）为该项目的现场负责人，负责项目管理、结算办理及工程款支付等相关事宜。</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5.在施工期间，乙方应每天清理施工现场，垃圾堆放有序并及时（每天）装袋运至校外。</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6.施工用水用电按照工程结算终审价的千分之七在结算审计时予以扣除。</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八、工程验收</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1.工程完工后乙方须提交两套工程竣工结算资料（结算书、招投标文件、中标通知书、施工合同、隐蔽工程验收记录单、变更签证单、材料合格证及</w:t>
      </w:r>
      <w:r>
        <w:rPr>
          <w:rFonts w:ascii="宋体" w:hAnsi="宋体" w:eastAsia="宋体"/>
          <w:sz w:val="28"/>
          <w:szCs w:val="28"/>
        </w:rPr>
        <w:t>检测报告</w:t>
      </w:r>
      <w:r>
        <w:rPr>
          <w:rFonts w:hint="eastAsia" w:ascii="宋体" w:hAnsi="宋体" w:eastAsia="宋体"/>
          <w:sz w:val="28"/>
          <w:szCs w:val="28"/>
        </w:rPr>
        <w:t>、维修改造工程验收表、竣工图等）方可申请验收。</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2.工程完工后，由发包人组织相关人员进行验收，验收提出的整改意见需在7日内整改到位。</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5.对于重复出现三次及以上的问题，甲方将发函警告乙方，将其录入学校黑名单库，3年内禁止参加学校任何招投标活动。</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九、其他</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1.本合同未尽事宜由双方协商解决，如协商不成，双方同意将本合同引起的争议提交工程所在地人民法院诉讼解决。</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2.本合同未尽事宜，遵照合同、建筑等法律法规有关条文执行。</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3.本协议壹式捌份，均具有同等法律效力，甲方执伍份，乙方执叁份，甲、乙双方法定代表人或其委托代理人签字盖章后生效。</w:t>
      </w:r>
    </w:p>
    <w:p>
      <w:pPr>
        <w:spacing w:line="360" w:lineRule="auto"/>
        <w:ind w:firstLine="548" w:firstLineChars="196"/>
        <w:rPr>
          <w:rFonts w:ascii="宋体" w:hAnsi="宋体" w:eastAsia="宋体"/>
          <w:sz w:val="28"/>
          <w:szCs w:val="28"/>
        </w:rPr>
      </w:pPr>
      <w:r>
        <w:rPr>
          <w:rFonts w:hint="eastAsia" w:ascii="宋体" w:hAnsi="宋体" w:eastAsia="宋体"/>
          <w:sz w:val="28"/>
          <w:szCs w:val="28"/>
        </w:rPr>
        <w:t>十、合同订立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 xml:space="preserve">1.合同订立时间：  </w:t>
      </w:r>
      <w:r>
        <w:rPr>
          <w:rFonts w:ascii="宋体" w:hAnsi="宋体" w:eastAsia="宋体"/>
          <w:sz w:val="28"/>
          <w:szCs w:val="28"/>
        </w:rPr>
        <w:t xml:space="preserve">  </w:t>
      </w:r>
      <w:r>
        <w:rPr>
          <w:rFonts w:hint="eastAsia" w:ascii="宋体" w:hAnsi="宋体" w:eastAsia="宋体"/>
          <w:sz w:val="28"/>
          <w:szCs w:val="28"/>
        </w:rPr>
        <w:t xml:space="preserve">  年    月    日。</w:t>
      </w:r>
    </w:p>
    <w:p>
      <w:pPr>
        <w:ind w:firstLine="560" w:firstLineChars="200"/>
        <w:rPr>
          <w:rFonts w:hint="eastAsia" w:ascii="宋体" w:hAnsi="宋体" w:eastAsia="宋体"/>
          <w:sz w:val="28"/>
          <w:szCs w:val="28"/>
        </w:rPr>
      </w:pPr>
      <w:r>
        <w:rPr>
          <w:rFonts w:hint="eastAsia" w:ascii="宋体" w:hAnsi="宋体" w:eastAsia="宋体"/>
          <w:sz w:val="28"/>
          <w:szCs w:val="28"/>
        </w:rPr>
        <w:t>2.合同订立地点：皖南医学院滨江校区。</w:t>
      </w:r>
    </w:p>
    <w:tbl>
      <w:tblPr>
        <w:tblStyle w:val="2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noWrap w:val="0"/>
            <w:vAlign w:val="center"/>
          </w:tcPr>
          <w:p>
            <w:pPr>
              <w:spacing w:line="360" w:lineRule="auto"/>
              <w:rPr>
                <w:rFonts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甲方：</w:t>
            </w:r>
          </w:p>
          <w:p>
            <w:pPr>
              <w:spacing w:line="360" w:lineRule="auto"/>
              <w:rPr>
                <w:rFonts w:ascii="宋体" w:hAnsi="宋体" w:eastAsia="宋体"/>
                <w:sz w:val="28"/>
                <w:szCs w:val="28"/>
              </w:rPr>
            </w:pPr>
            <w:r>
              <w:rPr>
                <w:rFonts w:hint="eastAsia" w:ascii="宋体" w:hAnsi="宋体" w:eastAsia="宋体"/>
                <w:sz w:val="28"/>
                <w:szCs w:val="28"/>
              </w:rPr>
              <w:t>（公章）</w:t>
            </w:r>
          </w:p>
          <w:p>
            <w:pPr>
              <w:spacing w:line="360" w:lineRule="auto"/>
              <w:rPr>
                <w:rFonts w:ascii="宋体" w:hAnsi="宋体" w:eastAsia="宋体"/>
                <w:sz w:val="28"/>
                <w:szCs w:val="28"/>
              </w:rPr>
            </w:pPr>
          </w:p>
          <w:p>
            <w:pPr>
              <w:spacing w:line="360" w:lineRule="auto"/>
              <w:rPr>
                <w:rFonts w:ascii="宋体" w:hAnsi="宋体" w:eastAsia="宋体"/>
                <w:sz w:val="28"/>
                <w:szCs w:val="28"/>
              </w:rPr>
            </w:pP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乙方：</w:t>
            </w:r>
          </w:p>
          <w:p>
            <w:pPr>
              <w:spacing w:line="360" w:lineRule="auto"/>
              <w:rPr>
                <w:rFonts w:ascii="宋体" w:hAnsi="宋体" w:eastAsia="宋体"/>
                <w:sz w:val="28"/>
                <w:szCs w:val="28"/>
              </w:rPr>
            </w:pPr>
            <w:r>
              <w:rPr>
                <w:rFonts w:hint="eastAsia" w:ascii="宋体" w:hAnsi="宋体" w:eastAsia="宋体"/>
                <w:sz w:val="28"/>
                <w:szCs w:val="28"/>
              </w:rPr>
              <w:t>（公章）</w:t>
            </w:r>
          </w:p>
          <w:p>
            <w:pPr>
              <w:spacing w:line="360" w:lineRule="auto"/>
              <w:rPr>
                <w:rFonts w:ascii="宋体" w:hAnsi="宋体" w:eastAsia="宋体"/>
                <w:sz w:val="28"/>
                <w:szCs w:val="28"/>
              </w:rPr>
            </w:pPr>
          </w:p>
          <w:p>
            <w:pPr>
              <w:spacing w:line="36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法定代表人或其委托代理人：</w:t>
            </w:r>
          </w:p>
          <w:p>
            <w:pPr>
              <w:spacing w:line="360" w:lineRule="auto"/>
              <w:rPr>
                <w:rFonts w:ascii="宋体" w:hAnsi="宋体" w:eastAsia="宋体"/>
                <w:sz w:val="28"/>
                <w:szCs w:val="28"/>
              </w:rPr>
            </w:pPr>
            <w:r>
              <w:rPr>
                <w:rFonts w:hint="eastAsia" w:ascii="宋体" w:hAnsi="宋体" w:eastAsia="宋体"/>
                <w:sz w:val="28"/>
                <w:szCs w:val="28"/>
              </w:rPr>
              <w:t>（签字）</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法定代表人或其委托代理人：</w:t>
            </w:r>
          </w:p>
          <w:p>
            <w:pPr>
              <w:spacing w:line="360" w:lineRule="auto"/>
              <w:rPr>
                <w:rFonts w:ascii="宋体" w:hAnsi="宋体" w:eastAsia="宋体"/>
                <w:sz w:val="28"/>
                <w:szCs w:val="28"/>
              </w:rPr>
            </w:pPr>
            <w:r>
              <w:rPr>
                <w:rFonts w:hint="eastAsia" w:ascii="宋体" w:hAnsi="宋体" w:eastAsia="宋体"/>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地址：芜湖市弋江区文昌西路22号</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邮编：241002</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电话：0553-3932598</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电话：</w:t>
            </w:r>
            <w:r>
              <w:rPr>
                <w:rFonts w:hint="eastAsia" w:ascii="宋体" w:hAnsi="宋体" w:eastAsia="宋体"/>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传真：</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开户银行：中国建设银行芜湖市分行中山路支行</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开户银行：</w:t>
            </w: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0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帐号：34001672208050139762</w:t>
            </w:r>
          </w:p>
        </w:tc>
        <w:tc>
          <w:tcPr>
            <w:tcW w:w="4680" w:type="dxa"/>
            <w:noWrap w:val="0"/>
            <w:vAlign w:val="center"/>
          </w:tcPr>
          <w:p>
            <w:pPr>
              <w:spacing w:line="360" w:lineRule="auto"/>
              <w:rPr>
                <w:rFonts w:ascii="宋体" w:hAnsi="宋体" w:eastAsia="宋体"/>
                <w:sz w:val="28"/>
                <w:szCs w:val="28"/>
              </w:rPr>
            </w:pPr>
            <w:r>
              <w:rPr>
                <w:rFonts w:hint="eastAsia" w:ascii="宋体" w:hAnsi="宋体" w:eastAsia="宋体"/>
                <w:sz w:val="28"/>
                <w:szCs w:val="28"/>
              </w:rPr>
              <w:t>帐号：</w:t>
            </w:r>
          </w:p>
        </w:tc>
      </w:tr>
    </w:tbl>
    <w:p>
      <w:pPr>
        <w:rPr>
          <w:rFonts w:ascii="仿宋_GB2312" w:eastAsia="仿宋_GB2312"/>
          <w:sz w:val="24"/>
          <w:szCs w:val="24"/>
        </w:rPr>
      </w:pPr>
    </w:p>
    <w:p>
      <w:pPr>
        <w:spacing w:line="440" w:lineRule="exact"/>
        <w:rPr>
          <w:rFonts w:hint="eastAsia" w:ascii="宋体" w:hAnsi="宋体" w:eastAsia="宋体"/>
          <w:sz w:val="24"/>
          <w:szCs w:val="24"/>
        </w:rPr>
      </w:pPr>
    </w:p>
    <w:p>
      <w:r>
        <w:br w:type="page"/>
      </w: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09" w:name="_Toc49763004"/>
      <w:r>
        <w:rPr>
          <w:rFonts w:hint="eastAsia" w:ascii="华文中宋" w:hAnsi="华文中宋" w:eastAsia="华文中宋"/>
          <w:color w:val="auto"/>
        </w:rPr>
        <w:t xml:space="preserve"> 评分办法和评分细则</w:t>
      </w:r>
      <w:bookmarkEnd w:id="109"/>
    </w:p>
    <w:p>
      <w:pPr>
        <w:adjustRightInd w:val="0"/>
        <w:snapToGrid w:val="0"/>
        <w:spacing w:line="400" w:lineRule="exact"/>
        <w:rPr>
          <w:rFonts w:ascii="Times New Roman" w:hAnsi="Times New Roman" w:eastAsia="宋体"/>
          <w:sz w:val="24"/>
          <w:szCs w:val="24"/>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ind w:firstLine="480" w:firstLineChars="200"/>
              <w:jc w:val="left"/>
              <w:rPr>
                <w:rFonts w:hint="eastAsia" w:ascii="宋体" w:hAnsi="宋体"/>
                <w:sz w:val="24"/>
              </w:rPr>
            </w:pPr>
            <w:bookmarkStart w:id="110" w:name="_Toc49763005"/>
            <w:r>
              <w:rPr>
                <w:rFonts w:hint="eastAsia" w:ascii="宋体" w:hAnsi="宋体"/>
                <w:sz w:val="24"/>
              </w:rPr>
              <w:t>评标项目</w:t>
            </w:r>
          </w:p>
        </w:tc>
        <w:tc>
          <w:tcPr>
            <w:tcW w:w="1826" w:type="dxa"/>
            <w:noWrap w:val="0"/>
            <w:vAlign w:val="center"/>
          </w:tcPr>
          <w:p>
            <w:pPr>
              <w:spacing w:line="520" w:lineRule="exact"/>
              <w:ind w:firstLine="480" w:firstLineChars="200"/>
              <w:jc w:val="left"/>
              <w:rPr>
                <w:rFonts w:hint="eastAsia" w:ascii="宋体" w:hAnsi="宋体"/>
                <w:sz w:val="24"/>
              </w:rPr>
            </w:pPr>
            <w:r>
              <w:rPr>
                <w:rFonts w:hint="eastAsia" w:ascii="宋体" w:hAnsi="宋体"/>
                <w:sz w:val="24"/>
              </w:rPr>
              <w:t>评标分值</w:t>
            </w:r>
          </w:p>
        </w:tc>
        <w:tc>
          <w:tcPr>
            <w:tcW w:w="4870" w:type="dxa"/>
            <w:noWrap w:val="0"/>
            <w:vAlign w:val="center"/>
          </w:tcPr>
          <w:p>
            <w:pPr>
              <w:spacing w:line="520" w:lineRule="exact"/>
              <w:ind w:firstLine="480" w:firstLineChars="200"/>
              <w:jc w:val="left"/>
              <w:rPr>
                <w:rFonts w:hint="eastAsia" w:ascii="宋体" w:hAnsi="宋体"/>
                <w:sz w:val="24"/>
              </w:rPr>
            </w:pPr>
            <w:r>
              <w:rPr>
                <w:rFonts w:hint="eastAsia" w:ascii="宋体" w:hAnsi="宋体"/>
                <w:sz w:val="24"/>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jc w:val="center"/>
        </w:trPr>
        <w:tc>
          <w:tcPr>
            <w:tcW w:w="1826" w:type="dxa"/>
            <w:noWrap w:val="0"/>
            <w:vAlign w:val="center"/>
          </w:tcPr>
          <w:p>
            <w:pPr>
              <w:spacing w:line="520" w:lineRule="exact"/>
              <w:ind w:firstLine="480" w:firstLineChars="200"/>
              <w:jc w:val="left"/>
              <w:rPr>
                <w:rFonts w:hint="eastAsia" w:ascii="宋体" w:hAnsi="宋体"/>
                <w:sz w:val="24"/>
              </w:rPr>
            </w:pPr>
            <w:r>
              <w:rPr>
                <w:rFonts w:hint="eastAsia" w:ascii="宋体" w:hAnsi="宋体"/>
                <w:sz w:val="24"/>
              </w:rPr>
              <w:t>报价得分</w:t>
            </w:r>
          </w:p>
        </w:tc>
        <w:tc>
          <w:tcPr>
            <w:tcW w:w="1826" w:type="dxa"/>
            <w:noWrap w:val="0"/>
            <w:vAlign w:val="center"/>
          </w:tcPr>
          <w:p>
            <w:pPr>
              <w:spacing w:line="520" w:lineRule="exact"/>
              <w:ind w:firstLine="480" w:firstLineChars="200"/>
              <w:jc w:val="left"/>
              <w:rPr>
                <w:rFonts w:hint="eastAsia" w:ascii="宋体" w:hAnsi="宋体"/>
                <w:sz w:val="24"/>
              </w:rPr>
            </w:pPr>
            <w:r>
              <w:rPr>
                <w:rFonts w:hint="eastAsia" w:ascii="宋体" w:hAnsi="宋体"/>
                <w:sz w:val="24"/>
              </w:rPr>
              <w:t>40</w:t>
            </w:r>
          </w:p>
        </w:tc>
        <w:tc>
          <w:tcPr>
            <w:tcW w:w="4870" w:type="dxa"/>
            <w:noWrap w:val="0"/>
            <w:vAlign w:val="center"/>
          </w:tcPr>
          <w:p>
            <w:pPr>
              <w:spacing w:line="520" w:lineRule="exact"/>
              <w:ind w:firstLine="480" w:firstLineChars="200"/>
              <w:jc w:val="left"/>
              <w:rPr>
                <w:rFonts w:hint="eastAsia" w:ascii="宋体" w:hAnsi="宋体"/>
                <w:sz w:val="24"/>
              </w:rPr>
            </w:pPr>
            <w:r>
              <w:rPr>
                <w:rFonts w:hint="eastAsia" w:ascii="宋体" w:hAnsi="宋体"/>
                <w:sz w:val="24"/>
              </w:rPr>
              <w:t>1.各投标单位有效报价最低报价作为基准报价（40分）；</w:t>
            </w:r>
          </w:p>
          <w:p>
            <w:pPr>
              <w:spacing w:line="520" w:lineRule="exact"/>
              <w:ind w:firstLine="480" w:firstLineChars="200"/>
              <w:jc w:val="left"/>
              <w:rPr>
                <w:rFonts w:hint="eastAsia" w:ascii="宋体" w:hAnsi="宋体"/>
                <w:sz w:val="24"/>
              </w:rPr>
            </w:pPr>
            <w:r>
              <w:rPr>
                <w:rFonts w:hint="eastAsia" w:ascii="宋体" w:hAnsi="宋体"/>
                <w:sz w:val="24"/>
              </w:rPr>
              <w:t>2.报价得分＝基准报价／投标人报价×40（保留2位小数）。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left"/>
              <w:rPr>
                <w:rFonts w:hint="eastAsia" w:ascii="宋体" w:hAnsi="宋体" w:eastAsia="宋体" w:cs="Times New Roman"/>
                <w:sz w:val="24"/>
              </w:rPr>
            </w:pPr>
            <w:r>
              <w:rPr>
                <w:rFonts w:hint="eastAsia" w:ascii="宋体" w:hAnsi="宋体" w:eastAsia="宋体" w:cs="Times New Roman"/>
                <w:sz w:val="24"/>
              </w:rPr>
              <w:t>资源配备计划</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10</w:t>
            </w:r>
          </w:p>
        </w:tc>
        <w:tc>
          <w:tcPr>
            <w:tcW w:w="4870"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拟投入的人工、主要材料、主要施工机械、设备有详细计划且计划周密，劳动力安排合理，材料进场时间、数量、批次合理，设备数量、选型配置、进场数量、时间安排合理，满足施工需要。</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（1）方案</w:t>
            </w:r>
            <w:r>
              <w:rPr>
                <w:rFonts w:hint="eastAsia" w:ascii="宋体" w:hAnsi="宋体" w:eastAsia="宋体" w:cs="Times New Roman"/>
                <w:sz w:val="24"/>
                <w:lang w:val="en-US" w:eastAsia="zh-CN"/>
              </w:rPr>
              <w:t>涵盖上述要求，</w:t>
            </w:r>
            <w:r>
              <w:rPr>
                <w:rFonts w:hint="eastAsia" w:ascii="宋体" w:hAnsi="宋体" w:eastAsia="宋体" w:cs="Times New Roman"/>
                <w:sz w:val="24"/>
              </w:rPr>
              <w:t>科学有效且具有可操作性的，得</w:t>
            </w:r>
            <w:r>
              <w:rPr>
                <w:rFonts w:hint="eastAsia" w:ascii="宋体" w:hAnsi="宋体" w:eastAsia="宋体" w:cs="Times New Roman"/>
                <w:sz w:val="24"/>
                <w:lang w:val="en-US" w:eastAsia="zh-CN"/>
              </w:rPr>
              <w:t>10</w:t>
            </w:r>
            <w:r>
              <w:rPr>
                <w:rFonts w:hint="eastAsia" w:ascii="宋体" w:hAnsi="宋体" w:eastAsia="宋体" w:cs="Times New Roman"/>
                <w:sz w:val="24"/>
              </w:rPr>
              <w:t>.0分；（2）方案一般且能满足需要的，得</w:t>
            </w:r>
            <w:r>
              <w:rPr>
                <w:rFonts w:hint="eastAsia" w:ascii="宋体" w:hAnsi="宋体" w:eastAsia="宋体" w:cs="Times New Roman"/>
                <w:sz w:val="24"/>
                <w:lang w:val="en-US" w:eastAsia="zh-CN"/>
              </w:rPr>
              <w:t>8</w:t>
            </w:r>
            <w:r>
              <w:rPr>
                <w:rFonts w:hint="eastAsia" w:ascii="宋体" w:hAnsi="宋体" w:eastAsia="宋体" w:cs="Times New Roman"/>
                <w:sz w:val="24"/>
              </w:rPr>
              <w:t>.0分；（3）方案不完整但能基本满足需要的，得</w:t>
            </w:r>
            <w:r>
              <w:rPr>
                <w:rFonts w:hint="eastAsia" w:ascii="宋体" w:hAnsi="宋体" w:eastAsia="宋体" w:cs="Times New Roman"/>
                <w:sz w:val="24"/>
                <w:lang w:val="en-US" w:eastAsia="zh-CN"/>
              </w:rPr>
              <w:t>6</w:t>
            </w:r>
            <w:r>
              <w:rPr>
                <w:rFonts w:hint="eastAsia" w:ascii="宋体" w:hAnsi="宋体" w:eastAsia="宋体" w:cs="Times New Roman"/>
                <w:sz w:val="24"/>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left"/>
              <w:rPr>
                <w:rFonts w:hint="eastAsia" w:ascii="宋体" w:hAnsi="宋体" w:eastAsia="宋体" w:cs="Times New Roman"/>
                <w:sz w:val="24"/>
              </w:rPr>
            </w:pPr>
            <w:r>
              <w:rPr>
                <w:rFonts w:hint="eastAsia" w:ascii="宋体" w:hAnsi="宋体" w:eastAsia="宋体" w:cs="Times New Roman"/>
                <w:sz w:val="24"/>
              </w:rPr>
              <w:t>施工进度保障</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10</w:t>
            </w:r>
          </w:p>
        </w:tc>
        <w:tc>
          <w:tcPr>
            <w:tcW w:w="4870"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总施工工期目标明确，关键节点明确，各分项工程施工顺序安排恰当、工序衔接合理，进度计划安排科学。</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（1）方案</w:t>
            </w:r>
            <w:r>
              <w:rPr>
                <w:rFonts w:hint="eastAsia" w:ascii="宋体" w:hAnsi="宋体" w:eastAsia="宋体" w:cs="Times New Roman"/>
                <w:sz w:val="24"/>
                <w:lang w:val="en-US" w:eastAsia="zh-CN"/>
              </w:rPr>
              <w:t>涵盖上述要求，</w:t>
            </w:r>
            <w:r>
              <w:rPr>
                <w:rFonts w:hint="eastAsia" w:ascii="宋体" w:hAnsi="宋体" w:eastAsia="宋体" w:cs="Times New Roman"/>
                <w:sz w:val="24"/>
              </w:rPr>
              <w:t>科学有效且具有可操作性的，得</w:t>
            </w:r>
            <w:r>
              <w:rPr>
                <w:rFonts w:hint="eastAsia" w:ascii="宋体" w:hAnsi="宋体" w:eastAsia="宋体" w:cs="Times New Roman"/>
                <w:sz w:val="24"/>
                <w:lang w:val="en-US" w:eastAsia="zh-CN"/>
              </w:rPr>
              <w:t>10</w:t>
            </w:r>
            <w:r>
              <w:rPr>
                <w:rFonts w:hint="eastAsia" w:ascii="宋体" w:hAnsi="宋体" w:eastAsia="宋体" w:cs="Times New Roman"/>
                <w:sz w:val="24"/>
              </w:rPr>
              <w:t>.0分；（2）方案一般且能满足需要的，得</w:t>
            </w:r>
            <w:r>
              <w:rPr>
                <w:rFonts w:hint="eastAsia" w:ascii="宋体" w:hAnsi="宋体" w:eastAsia="宋体" w:cs="Times New Roman"/>
                <w:sz w:val="24"/>
                <w:lang w:val="en-US" w:eastAsia="zh-CN"/>
              </w:rPr>
              <w:t>8</w:t>
            </w:r>
            <w:r>
              <w:rPr>
                <w:rFonts w:hint="eastAsia" w:ascii="宋体" w:hAnsi="宋体" w:eastAsia="宋体" w:cs="Times New Roman"/>
                <w:sz w:val="24"/>
              </w:rPr>
              <w:t>.0分；（3）方案不完整但能基本满足需要的，得</w:t>
            </w:r>
            <w:r>
              <w:rPr>
                <w:rFonts w:hint="eastAsia" w:ascii="宋体" w:hAnsi="宋体" w:eastAsia="宋体" w:cs="Times New Roman"/>
                <w:sz w:val="24"/>
                <w:lang w:val="en-US" w:eastAsia="zh-CN"/>
              </w:rPr>
              <w:t>6</w:t>
            </w:r>
            <w:r>
              <w:rPr>
                <w:rFonts w:hint="eastAsia" w:ascii="宋体" w:hAnsi="宋体" w:eastAsia="宋体" w:cs="Times New Roman"/>
                <w:sz w:val="24"/>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left"/>
              <w:rPr>
                <w:rFonts w:hint="eastAsia" w:ascii="宋体" w:hAnsi="宋体" w:eastAsia="宋体" w:cs="Times New Roman"/>
                <w:sz w:val="24"/>
              </w:rPr>
            </w:pPr>
            <w:r>
              <w:rPr>
                <w:rFonts w:hint="eastAsia" w:ascii="宋体" w:hAnsi="宋体" w:eastAsia="宋体" w:cs="Times New Roman"/>
                <w:sz w:val="24"/>
              </w:rPr>
              <w:t>质量保证体系</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10</w:t>
            </w:r>
          </w:p>
        </w:tc>
        <w:tc>
          <w:tcPr>
            <w:tcW w:w="4870"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质量管理体系完善，工程质量保证措施完善，按单位、分部和分项分解细化，具体明确，制度健全，能确保工程质量满足要求。对于本工程重点、难点及关键环节的认识，以及对重点、难点及关键环节有应对措施，措施具体可行，并备有必要预案。</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（1）方案</w:t>
            </w:r>
            <w:r>
              <w:rPr>
                <w:rFonts w:hint="eastAsia" w:ascii="宋体" w:hAnsi="宋体" w:eastAsia="宋体" w:cs="Times New Roman"/>
                <w:sz w:val="24"/>
                <w:lang w:val="en-US" w:eastAsia="zh-CN"/>
              </w:rPr>
              <w:t>涵盖上述要求，</w:t>
            </w:r>
            <w:r>
              <w:rPr>
                <w:rFonts w:hint="eastAsia" w:ascii="宋体" w:hAnsi="宋体" w:eastAsia="宋体" w:cs="Times New Roman"/>
                <w:sz w:val="24"/>
              </w:rPr>
              <w:t>科学有效且具有可操作性的，得</w:t>
            </w:r>
            <w:r>
              <w:rPr>
                <w:rFonts w:hint="eastAsia" w:ascii="宋体" w:hAnsi="宋体" w:eastAsia="宋体" w:cs="Times New Roman"/>
                <w:sz w:val="24"/>
                <w:lang w:val="en-US" w:eastAsia="zh-CN"/>
              </w:rPr>
              <w:t>10</w:t>
            </w:r>
            <w:r>
              <w:rPr>
                <w:rFonts w:hint="eastAsia" w:ascii="宋体" w:hAnsi="宋体" w:eastAsia="宋体" w:cs="Times New Roman"/>
                <w:sz w:val="24"/>
              </w:rPr>
              <w:t>.0分；（2）方案一般且能满足需要的，得</w:t>
            </w:r>
            <w:r>
              <w:rPr>
                <w:rFonts w:hint="eastAsia" w:ascii="宋体" w:hAnsi="宋体" w:eastAsia="宋体" w:cs="Times New Roman"/>
                <w:sz w:val="24"/>
                <w:lang w:val="en-US" w:eastAsia="zh-CN"/>
              </w:rPr>
              <w:t>8</w:t>
            </w:r>
            <w:r>
              <w:rPr>
                <w:rFonts w:hint="eastAsia" w:ascii="宋体" w:hAnsi="宋体" w:eastAsia="宋体" w:cs="Times New Roman"/>
                <w:sz w:val="24"/>
              </w:rPr>
              <w:t>.0分；（3）方案不完整但能基本满足需要的，得</w:t>
            </w:r>
            <w:r>
              <w:rPr>
                <w:rFonts w:hint="eastAsia" w:ascii="宋体" w:hAnsi="宋体" w:eastAsia="宋体" w:cs="Times New Roman"/>
                <w:sz w:val="24"/>
                <w:lang w:val="en-US" w:eastAsia="zh-CN"/>
              </w:rPr>
              <w:t>6</w:t>
            </w:r>
            <w:r>
              <w:rPr>
                <w:rFonts w:hint="eastAsia" w:ascii="宋体" w:hAnsi="宋体" w:eastAsia="宋体" w:cs="Times New Roman"/>
                <w:sz w:val="24"/>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left"/>
              <w:rPr>
                <w:rFonts w:hint="eastAsia" w:ascii="宋体" w:hAnsi="宋体" w:eastAsia="宋体" w:cs="Times New Roman"/>
                <w:sz w:val="24"/>
              </w:rPr>
            </w:pPr>
            <w:r>
              <w:rPr>
                <w:rFonts w:hint="eastAsia" w:ascii="宋体" w:hAnsi="宋体" w:eastAsia="宋体" w:cs="Times New Roman"/>
                <w:sz w:val="24"/>
              </w:rPr>
              <w:t>安全文明施工</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10</w:t>
            </w:r>
          </w:p>
        </w:tc>
        <w:tc>
          <w:tcPr>
            <w:tcW w:w="4870"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安全保障体系完善，安全措施或制度健全，有明确的环保及文明施工目标及体系。</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（1）方案</w:t>
            </w:r>
            <w:r>
              <w:rPr>
                <w:rFonts w:hint="eastAsia" w:ascii="宋体" w:hAnsi="宋体" w:eastAsia="宋体" w:cs="Times New Roman"/>
                <w:sz w:val="24"/>
                <w:lang w:val="en-US" w:eastAsia="zh-CN"/>
              </w:rPr>
              <w:t>涵盖上述要求，</w:t>
            </w:r>
            <w:r>
              <w:rPr>
                <w:rFonts w:hint="eastAsia" w:ascii="宋体" w:hAnsi="宋体" w:eastAsia="宋体" w:cs="Times New Roman"/>
                <w:sz w:val="24"/>
              </w:rPr>
              <w:t>科学有效且具有可操作性的，得</w:t>
            </w:r>
            <w:r>
              <w:rPr>
                <w:rFonts w:hint="eastAsia" w:ascii="宋体" w:hAnsi="宋体" w:eastAsia="宋体" w:cs="Times New Roman"/>
                <w:sz w:val="24"/>
                <w:lang w:val="en-US" w:eastAsia="zh-CN"/>
              </w:rPr>
              <w:t>10</w:t>
            </w:r>
            <w:r>
              <w:rPr>
                <w:rFonts w:hint="eastAsia" w:ascii="宋体" w:hAnsi="宋体" w:eastAsia="宋体" w:cs="Times New Roman"/>
                <w:sz w:val="24"/>
              </w:rPr>
              <w:t>.0分；（2）方案一般且能满足需要的，得</w:t>
            </w:r>
            <w:r>
              <w:rPr>
                <w:rFonts w:hint="eastAsia" w:ascii="宋体" w:hAnsi="宋体" w:eastAsia="宋体" w:cs="Times New Roman"/>
                <w:sz w:val="24"/>
                <w:lang w:val="en-US" w:eastAsia="zh-CN"/>
              </w:rPr>
              <w:t>8</w:t>
            </w:r>
            <w:r>
              <w:rPr>
                <w:rFonts w:hint="eastAsia" w:ascii="宋体" w:hAnsi="宋体" w:eastAsia="宋体" w:cs="Times New Roman"/>
                <w:sz w:val="24"/>
              </w:rPr>
              <w:t>.0分；（3）方案不完整但能基本满足需要的，得</w:t>
            </w:r>
            <w:r>
              <w:rPr>
                <w:rFonts w:hint="eastAsia" w:ascii="宋体" w:hAnsi="宋体" w:eastAsia="宋体" w:cs="Times New Roman"/>
                <w:sz w:val="24"/>
                <w:lang w:val="en-US" w:eastAsia="zh-CN"/>
              </w:rPr>
              <w:t>6</w:t>
            </w:r>
            <w:r>
              <w:rPr>
                <w:rFonts w:hint="eastAsia" w:ascii="宋体" w:hAnsi="宋体" w:eastAsia="宋体" w:cs="Times New Roman"/>
                <w:sz w:val="24"/>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施工方案</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10</w:t>
            </w:r>
          </w:p>
        </w:tc>
        <w:tc>
          <w:tcPr>
            <w:tcW w:w="4870"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各主要分部施工方法符合项目实际，须有详尽的施工技术方案，工艺先进，方法科学合理、可行，能指导具体施工并确保质量、进度与安全。</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（1）方案</w:t>
            </w:r>
            <w:r>
              <w:rPr>
                <w:rFonts w:hint="eastAsia" w:ascii="宋体" w:hAnsi="宋体" w:eastAsia="宋体" w:cs="Times New Roman"/>
                <w:sz w:val="24"/>
                <w:lang w:val="en-US" w:eastAsia="zh-CN"/>
              </w:rPr>
              <w:t>涵盖上述要求，</w:t>
            </w:r>
            <w:r>
              <w:rPr>
                <w:rFonts w:hint="eastAsia" w:ascii="宋体" w:hAnsi="宋体" w:eastAsia="宋体" w:cs="Times New Roman"/>
                <w:sz w:val="24"/>
              </w:rPr>
              <w:t>科学有效且具有可操作性的，得</w:t>
            </w:r>
            <w:r>
              <w:rPr>
                <w:rFonts w:hint="eastAsia" w:ascii="宋体" w:hAnsi="宋体" w:eastAsia="宋体" w:cs="Times New Roman"/>
                <w:sz w:val="24"/>
                <w:lang w:val="en-US" w:eastAsia="zh-CN"/>
              </w:rPr>
              <w:t>10</w:t>
            </w:r>
            <w:r>
              <w:rPr>
                <w:rFonts w:hint="eastAsia" w:ascii="宋体" w:hAnsi="宋体" w:eastAsia="宋体" w:cs="Times New Roman"/>
                <w:sz w:val="24"/>
              </w:rPr>
              <w:t>.0分；（2）方案一般且能满足需要的，得</w:t>
            </w:r>
            <w:r>
              <w:rPr>
                <w:rFonts w:hint="eastAsia" w:ascii="宋体" w:hAnsi="宋体" w:eastAsia="宋体" w:cs="Times New Roman"/>
                <w:sz w:val="24"/>
                <w:lang w:val="en-US" w:eastAsia="zh-CN"/>
              </w:rPr>
              <w:t>8</w:t>
            </w:r>
            <w:r>
              <w:rPr>
                <w:rFonts w:hint="eastAsia" w:ascii="宋体" w:hAnsi="宋体" w:eastAsia="宋体" w:cs="Times New Roman"/>
                <w:sz w:val="24"/>
              </w:rPr>
              <w:t>.0分；（3）方案不完整但能基本满足需要的，得</w:t>
            </w:r>
            <w:r>
              <w:rPr>
                <w:rFonts w:hint="eastAsia" w:ascii="宋体" w:hAnsi="宋体" w:eastAsia="宋体" w:cs="Times New Roman"/>
                <w:sz w:val="24"/>
                <w:lang w:val="en-US" w:eastAsia="zh-CN"/>
              </w:rPr>
              <w:t>6</w:t>
            </w:r>
            <w:r>
              <w:rPr>
                <w:rFonts w:hint="eastAsia" w:ascii="宋体" w:hAnsi="宋体" w:eastAsia="宋体" w:cs="Times New Roman"/>
                <w:sz w:val="24"/>
              </w:rPr>
              <w:t>.0分。（4）方案存在明显缺陷的，得2.0分。（5）无服务方案的，得0分。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业绩</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6</w:t>
            </w:r>
          </w:p>
        </w:tc>
        <w:tc>
          <w:tcPr>
            <w:tcW w:w="4870" w:type="dxa"/>
            <w:noWrap w:val="0"/>
            <w:vAlign w:val="center"/>
          </w:tcPr>
          <w:p>
            <w:pPr>
              <w:spacing w:line="520" w:lineRule="exact"/>
              <w:jc w:val="left"/>
              <w:rPr>
                <w:rFonts w:hint="eastAsia" w:ascii="宋体" w:hAnsi="宋体" w:eastAsia="宋体" w:cs="Times New Roman"/>
                <w:sz w:val="24"/>
              </w:rPr>
            </w:pPr>
            <w:r>
              <w:rPr>
                <w:rFonts w:hint="eastAsia" w:ascii="宋体" w:hAnsi="宋体" w:eastAsia="宋体" w:cs="Times New Roman"/>
                <w:sz w:val="24"/>
              </w:rPr>
              <w:t>投标人具有装饰装修施工业绩，每提供一项得3分，最多得6分。</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1.认定业绩的依据为施工合同和竣工验收报告（或建设单位出具的验收证明），响应文件中须提供上述材料的扫描件或复印件且能辨识买卖双方公章、标的信息。</w:t>
            </w:r>
          </w:p>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2.如业绩材料不能反映所需信息，则需提供建设单位加盖公章的证明，否则业绩无效。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left"/>
              <w:rPr>
                <w:rFonts w:hint="eastAsia" w:ascii="宋体" w:hAnsi="宋体" w:eastAsia="宋体" w:cs="Times New Roman"/>
                <w:sz w:val="24"/>
              </w:rPr>
            </w:pPr>
            <w:r>
              <w:rPr>
                <w:rFonts w:hint="eastAsia" w:ascii="宋体" w:hAnsi="宋体" w:eastAsia="宋体" w:cs="Times New Roman"/>
                <w:sz w:val="24"/>
              </w:rPr>
              <w:t>售后服务方案</w:t>
            </w:r>
          </w:p>
        </w:tc>
        <w:tc>
          <w:tcPr>
            <w:tcW w:w="1826"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4</w:t>
            </w:r>
          </w:p>
        </w:tc>
        <w:tc>
          <w:tcPr>
            <w:tcW w:w="4870" w:type="dxa"/>
            <w:noWrap w:val="0"/>
            <w:vAlign w:val="center"/>
          </w:tcPr>
          <w:p>
            <w:pPr>
              <w:spacing w:line="5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包括保修年限、服务标准、人员配备、维修及保障措施等，根据供应商承诺情况得</w:t>
            </w:r>
            <w:r>
              <w:rPr>
                <w:rFonts w:hint="eastAsia" w:ascii="宋体" w:hAnsi="宋体" w:eastAsia="宋体" w:cs="Times New Roman"/>
                <w:sz w:val="24"/>
                <w:lang w:val="en-US" w:eastAsia="zh-CN"/>
              </w:rPr>
              <w:t>4</w:t>
            </w:r>
            <w:r>
              <w:rPr>
                <w:rFonts w:hint="eastAsia" w:ascii="宋体" w:hAnsi="宋体" w:eastAsia="宋体" w:cs="Times New Roman"/>
                <w:sz w:val="24"/>
              </w:rPr>
              <w:t>.0分；无售后服务方案的，得0分。</w:t>
            </w:r>
          </w:p>
        </w:tc>
      </w:tr>
    </w:tbl>
    <w:p>
      <w:pPr>
        <w:widowControl/>
        <w:adjustRightInd w:val="0"/>
        <w:snapToGrid w:val="0"/>
        <w:spacing w:line="360" w:lineRule="auto"/>
        <w:rPr>
          <w:rFonts w:ascii="宋体" w:hAnsi="宋体" w:cs="Calibri"/>
          <w:b/>
          <w:bCs/>
          <w:color w:val="000000"/>
          <w:kern w:val="0"/>
          <w:szCs w:val="21"/>
          <w:shd w:val="clear" w:color="auto" w:fill="FFFFFF"/>
        </w:rPr>
      </w:pPr>
      <w:bookmarkStart w:id="133" w:name="_GoBack"/>
      <w:bookmarkEnd w:id="133"/>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8"/>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7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7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359"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皖南医学院滨江校区（南区）基础医学院大学生创新实验室改造项目</w:t>
            </w:r>
          </w:p>
        </w:tc>
        <w:tc>
          <w:tcPr>
            <w:tcW w:w="7232" w:type="dxa"/>
            <w:tcBorders>
              <w:top w:val="single" w:color="auto" w:sz="4" w:space="0"/>
              <w:left w:val="single" w:color="auto" w:sz="4" w:space="0"/>
              <w:right w:val="single" w:color="auto" w:sz="4" w:space="0"/>
            </w:tcBorders>
            <w:vAlign w:val="center"/>
          </w:tcPr>
          <w:p>
            <w:pPr>
              <w:pStyle w:val="27"/>
              <w:ind w:firstLine="0" w:firstLineChars="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大写：</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ascii="Times New Roman" w:hAnsi="Times New Roman" w:eastAsia="宋体" w:cs="Times New Roman"/>
                <w:kern w:val="2"/>
                <w:sz w:val="30"/>
                <w:szCs w:val="30"/>
                <w:lang w:val="en-US" w:eastAsia="zh-CN" w:bidi="ar-SA"/>
              </w:rPr>
              <w:t>元</w:t>
            </w:r>
          </w:p>
          <w:p>
            <w:pPr>
              <w:pStyle w:val="22"/>
              <w:rPr>
                <w:rFonts w:hint="default"/>
                <w:lang w:val="en-US" w:eastAsia="zh-CN"/>
              </w:rPr>
            </w:pPr>
            <w:r>
              <w:rPr>
                <w:rFonts w:hint="eastAsia"/>
                <w:sz w:val="30"/>
                <w:szCs w:val="30"/>
                <w:lang w:val="en-US" w:eastAsia="zh-CN"/>
              </w:rPr>
              <w:t>小写：</w:t>
            </w:r>
            <w:r>
              <w:rPr>
                <w:rFonts w:hint="eastAsia" w:ascii="Times New Roman" w:hAnsi="Times New Roman" w:eastAsia="宋体" w:cs="Times New Roman"/>
                <w:kern w:val="2"/>
                <w:sz w:val="30"/>
                <w:szCs w:val="30"/>
                <w:u w:val="single"/>
                <w:lang w:val="en-US" w:eastAsia="zh-CN" w:bidi="ar-SA"/>
              </w:rPr>
              <w:t xml:space="preserve">       </w:t>
            </w:r>
            <w:r>
              <w:rPr>
                <w:rFonts w:hint="eastAsia" w:cs="Times New Roman"/>
                <w:kern w:val="2"/>
                <w:sz w:val="30"/>
                <w:szCs w:val="30"/>
                <w:u w:val="single"/>
                <w:lang w:val="en-US" w:eastAsia="zh-CN" w:bidi="ar-SA"/>
              </w:rPr>
              <w:t xml:space="preserve">   </w:t>
            </w:r>
            <w:r>
              <w:rPr>
                <w:rFonts w:hint="eastAsia" w:ascii="Times New Roman" w:hAnsi="Times New Roman" w:cs="Times New Roman"/>
                <w:kern w:val="2"/>
                <w:sz w:val="30"/>
                <w:szCs w:val="30"/>
                <w:u w:val="single"/>
                <w:lang w:val="en-US" w:eastAsia="zh-CN" w:bidi="ar-SA"/>
              </w:rPr>
              <w:t xml:space="preserve"> </w:t>
            </w:r>
            <w:r>
              <w:rPr>
                <w:rFonts w:hint="eastAsia"/>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仿宋"/>
                <w:spacing w:val="-6"/>
                <w:sz w:val="24"/>
                <w:szCs w:val="24"/>
                <w:lang w:eastAsia="zh-CN"/>
              </w:rPr>
            </w:pPr>
            <w:r>
              <w:rPr>
                <w:rFonts w:hint="eastAsia"/>
              </w:rPr>
              <w:t>备注：</w:t>
            </w:r>
          </w:p>
        </w:tc>
      </w:tr>
    </w:tbl>
    <w:p>
      <w:pPr>
        <w:snapToGrid w:val="0"/>
        <w:spacing w:before="50" w:after="50" w:line="360" w:lineRule="auto"/>
        <w:jc w:val="left"/>
        <w:rPr>
          <w:rFonts w:ascii="宋体" w:hAnsi="宋体"/>
          <w:spacing w:val="-6"/>
          <w:sz w:val="24"/>
          <w:szCs w:val="24"/>
        </w:rPr>
      </w:pPr>
    </w:p>
    <w:p>
      <w:pPr>
        <w:pStyle w:val="14"/>
        <w:ind w:left="0" w:leftChars="0" w:firstLine="0" w:firstLineChars="0"/>
        <w:jc w:val="both"/>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7"/>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7"/>
          <w:rFonts w:ascii="华文中宋" w:hAnsi="华文中宋" w:eastAsia="华文中宋"/>
          <w:color w:val="auto"/>
          <w:sz w:val="28"/>
          <w:szCs w:val="28"/>
        </w:rPr>
      </w:pPr>
    </w:p>
    <w:p>
      <w:pPr>
        <w:jc w:val="center"/>
        <w:rPr>
          <w:rStyle w:val="67"/>
          <w:rFonts w:hint="eastAsia" w:ascii="华文中宋" w:hAnsi="华文中宋" w:eastAsia="华文中宋"/>
          <w:color w:val="auto"/>
          <w:sz w:val="28"/>
          <w:szCs w:val="28"/>
        </w:rPr>
      </w:pPr>
    </w:p>
    <w:p>
      <w:pPr>
        <w:jc w:val="center"/>
        <w:rPr>
          <w:rStyle w:val="67"/>
          <w:rFonts w:ascii="华文中宋" w:hAnsi="华文中宋" w:eastAsia="华文中宋"/>
          <w:color w:val="auto"/>
          <w:sz w:val="28"/>
          <w:szCs w:val="28"/>
        </w:rPr>
      </w:pPr>
      <w:r>
        <w:rPr>
          <w:rStyle w:val="67"/>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8"/>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7"/>
          <w:rFonts w:ascii="华文中宋" w:hAnsi="华文中宋" w:eastAsia="华文中宋"/>
          <w:color w:val="auto"/>
          <w:sz w:val="28"/>
          <w:szCs w:val="28"/>
        </w:rPr>
      </w:pPr>
      <w:r>
        <w:rPr>
          <w:rFonts w:hAnsi="宋体"/>
          <w:sz w:val="32"/>
          <w:szCs w:val="32"/>
        </w:rPr>
        <w:br w:type="page"/>
      </w:r>
      <w:r>
        <w:rPr>
          <w:rStyle w:val="67"/>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49090582"/>
      <w:bookmarkStart w:id="118" w:name="_Toc22356583"/>
      <w:bookmarkStart w:id="119" w:name="_Toc24878535"/>
      <w:bookmarkStart w:id="120" w:name="_Toc513029281"/>
      <w:bookmarkStart w:id="121" w:name="_Toc26554103"/>
      <w:bookmarkStart w:id="122" w:name="_Toc238284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8"/>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41"/>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120614283"/>
      <w:bookmarkStart w:id="126" w:name="_Toc23828478"/>
      <w:bookmarkStart w:id="127" w:name="_Toc460901585"/>
      <w:bookmarkStart w:id="128" w:name="_Toc26554095"/>
      <w:bookmarkStart w:id="129" w:name="_Toc513029276"/>
      <w:bookmarkStart w:id="130" w:name="_Toc22356580"/>
      <w:bookmarkStart w:id="131" w:name="_Toc49090577"/>
      <w:r>
        <w:rPr>
          <w:rFonts w:hint="eastAsia" w:ascii="华文中宋" w:hAnsi="华文中宋" w:eastAsia="华文中宋"/>
          <w:b/>
          <w:spacing w:val="-6"/>
          <w:szCs w:val="28"/>
        </w:rPr>
        <w:br w:type="page"/>
      </w:r>
    </w:p>
    <w:p>
      <w:pPr>
        <w:jc w:val="center"/>
        <w:rPr>
          <w:rStyle w:val="67"/>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7"/>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7"/>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包含资源配备计划</w:t>
      </w:r>
      <w:r>
        <w:rPr>
          <w:rFonts w:hint="eastAsia"/>
          <w:b/>
          <w:bCs/>
          <w:sz w:val="24"/>
          <w:lang w:eastAsia="zh-CN"/>
        </w:rPr>
        <w:t>、</w:t>
      </w:r>
      <w:r>
        <w:rPr>
          <w:rFonts w:hint="eastAsia"/>
          <w:b/>
          <w:bCs/>
          <w:sz w:val="24"/>
        </w:rPr>
        <w:t>施工进度保障</w:t>
      </w:r>
      <w:r>
        <w:rPr>
          <w:rFonts w:hint="eastAsia"/>
          <w:b/>
          <w:bCs/>
          <w:sz w:val="24"/>
          <w:lang w:eastAsia="zh-CN"/>
        </w:rPr>
        <w:t>、</w:t>
      </w:r>
      <w:r>
        <w:rPr>
          <w:rFonts w:hint="eastAsia"/>
          <w:b/>
          <w:bCs/>
          <w:sz w:val="24"/>
        </w:rPr>
        <w:t>质量保证体系</w:t>
      </w:r>
      <w:r>
        <w:rPr>
          <w:rFonts w:hint="eastAsia"/>
          <w:b/>
          <w:bCs/>
          <w:sz w:val="24"/>
          <w:lang w:eastAsia="zh-CN"/>
        </w:rPr>
        <w:t>、</w:t>
      </w:r>
      <w:r>
        <w:rPr>
          <w:rFonts w:hint="eastAsia"/>
          <w:b/>
          <w:bCs/>
          <w:sz w:val="24"/>
        </w:rPr>
        <w:t>安全文明施工</w:t>
      </w:r>
      <w:r>
        <w:rPr>
          <w:rFonts w:hint="eastAsia"/>
          <w:b/>
          <w:bCs/>
          <w:sz w:val="24"/>
          <w:lang w:eastAsia="zh-CN"/>
        </w:rPr>
        <w:t>、</w:t>
      </w:r>
      <w:r>
        <w:rPr>
          <w:rFonts w:hint="eastAsia"/>
          <w:b/>
          <w:bCs/>
          <w:sz w:val="24"/>
        </w:rPr>
        <w:t>施工方案</w:t>
      </w:r>
      <w:r>
        <w:rPr>
          <w:rFonts w:hint="eastAsia"/>
          <w:b/>
          <w:bCs/>
          <w:sz w:val="24"/>
          <w:lang w:eastAsia="zh-CN"/>
        </w:rPr>
        <w:t>、</w:t>
      </w:r>
      <w:r>
        <w:rPr>
          <w:rFonts w:hint="eastAsia"/>
          <w:b/>
          <w:bCs/>
          <w:sz w:val="24"/>
        </w:rPr>
        <w:t>业绩</w:t>
      </w:r>
      <w:r>
        <w:rPr>
          <w:rFonts w:hint="eastAsia"/>
          <w:b/>
          <w:bCs/>
          <w:sz w:val="24"/>
          <w:lang w:eastAsia="zh-CN"/>
        </w:rPr>
        <w:t>、</w:t>
      </w:r>
      <w:r>
        <w:rPr>
          <w:rFonts w:hint="eastAsia"/>
          <w:b/>
          <w:bCs/>
          <w:sz w:val="24"/>
        </w:rPr>
        <w:t>售后服务方案</w:t>
      </w:r>
      <w:r>
        <w:rPr>
          <w:rFonts w:hint="eastAsia"/>
          <w:b/>
          <w:bCs/>
          <w:sz w:val="24"/>
          <w:lang w:eastAsia="zh-CN"/>
        </w:rPr>
        <w:t>等</w:t>
      </w:r>
      <w:r>
        <w:rPr>
          <w:rFonts w:hint="eastAsia"/>
          <w:b/>
          <w:bCs/>
          <w:sz w:val="24"/>
        </w:rPr>
        <w:t>需要提供的其它材料。</w:t>
      </w:r>
    </w:p>
    <w:p>
      <w:pPr>
        <w:rPr>
          <w:rFonts w:hint="eastAsia"/>
          <w:b/>
          <w:bCs/>
          <w:sz w:val="24"/>
        </w:rPr>
      </w:pPr>
      <w:r>
        <w:rPr>
          <w:rFonts w:hint="eastAsia"/>
          <w:b/>
          <w:bCs/>
          <w:sz w:val="24"/>
          <w:lang w:eastAsia="zh-CN"/>
        </w:rPr>
        <w:t>六、</w:t>
      </w:r>
      <w:r>
        <w:rPr>
          <w:rFonts w:hint="eastAsia"/>
          <w:b/>
          <w:bCs/>
          <w:sz w:val="24"/>
        </w:rPr>
        <w:t>投标文件须包含分部分项工程量清单综合单价分析表等《建设工程工程量清单计价规范》（GB 50500-2013）中要求提供的文件。</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5</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7"/>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 w:name="KSO_WPS_MARK_KEY" w:val="383aa654-9511-4c2c-805a-398e61c0fb3d"/>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A86794"/>
    <w:rsid w:val="04E55E3A"/>
    <w:rsid w:val="054A30CB"/>
    <w:rsid w:val="055F6389"/>
    <w:rsid w:val="05C96A15"/>
    <w:rsid w:val="078D1C71"/>
    <w:rsid w:val="07AB0349"/>
    <w:rsid w:val="07B62A5A"/>
    <w:rsid w:val="09296F01"/>
    <w:rsid w:val="0940696F"/>
    <w:rsid w:val="09564F15"/>
    <w:rsid w:val="09A84CAA"/>
    <w:rsid w:val="09AC2920"/>
    <w:rsid w:val="09B5725D"/>
    <w:rsid w:val="0A4546CD"/>
    <w:rsid w:val="0A5B7E05"/>
    <w:rsid w:val="0A9D2C05"/>
    <w:rsid w:val="0AD639E4"/>
    <w:rsid w:val="0B7A69B0"/>
    <w:rsid w:val="0BDC31C7"/>
    <w:rsid w:val="0BF978D5"/>
    <w:rsid w:val="0C2B1A59"/>
    <w:rsid w:val="0C5D773D"/>
    <w:rsid w:val="0D7754CF"/>
    <w:rsid w:val="0D7E2A6A"/>
    <w:rsid w:val="0DA16FB4"/>
    <w:rsid w:val="0DE65A99"/>
    <w:rsid w:val="0E7E3960"/>
    <w:rsid w:val="0ECE2C8D"/>
    <w:rsid w:val="0FDE7234"/>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4773A8D"/>
    <w:rsid w:val="14863CD0"/>
    <w:rsid w:val="14FE5F5C"/>
    <w:rsid w:val="15506886"/>
    <w:rsid w:val="159C294C"/>
    <w:rsid w:val="162C38CF"/>
    <w:rsid w:val="171262BF"/>
    <w:rsid w:val="17252284"/>
    <w:rsid w:val="17464FEC"/>
    <w:rsid w:val="177B58CD"/>
    <w:rsid w:val="179606CE"/>
    <w:rsid w:val="18020BC4"/>
    <w:rsid w:val="186500A0"/>
    <w:rsid w:val="18835AD4"/>
    <w:rsid w:val="18B051AF"/>
    <w:rsid w:val="18E70052"/>
    <w:rsid w:val="18F953B8"/>
    <w:rsid w:val="191B5E77"/>
    <w:rsid w:val="19254BEF"/>
    <w:rsid w:val="193E2DCB"/>
    <w:rsid w:val="19DC3498"/>
    <w:rsid w:val="1A07319C"/>
    <w:rsid w:val="1A33516B"/>
    <w:rsid w:val="1B4F4CC3"/>
    <w:rsid w:val="1B7570E3"/>
    <w:rsid w:val="1BA211E7"/>
    <w:rsid w:val="1C88217A"/>
    <w:rsid w:val="1E2D6CC4"/>
    <w:rsid w:val="1E4075E6"/>
    <w:rsid w:val="1F025BBE"/>
    <w:rsid w:val="1F9E3108"/>
    <w:rsid w:val="1FCC554E"/>
    <w:rsid w:val="1FD03D76"/>
    <w:rsid w:val="203877A5"/>
    <w:rsid w:val="20EB3EDD"/>
    <w:rsid w:val="211D3C0E"/>
    <w:rsid w:val="21A428FD"/>
    <w:rsid w:val="21FE134A"/>
    <w:rsid w:val="228869AA"/>
    <w:rsid w:val="22C22324"/>
    <w:rsid w:val="23567244"/>
    <w:rsid w:val="236513B9"/>
    <w:rsid w:val="2426622E"/>
    <w:rsid w:val="24B5162E"/>
    <w:rsid w:val="24D82326"/>
    <w:rsid w:val="261507FA"/>
    <w:rsid w:val="26395046"/>
    <w:rsid w:val="26566759"/>
    <w:rsid w:val="26DD1E76"/>
    <w:rsid w:val="27717DCB"/>
    <w:rsid w:val="281D1648"/>
    <w:rsid w:val="28574F87"/>
    <w:rsid w:val="28AF482A"/>
    <w:rsid w:val="291347BC"/>
    <w:rsid w:val="291D580A"/>
    <w:rsid w:val="29674BDA"/>
    <w:rsid w:val="29831EC9"/>
    <w:rsid w:val="29913DEF"/>
    <w:rsid w:val="29B44350"/>
    <w:rsid w:val="2A30050E"/>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1E30DFA"/>
    <w:rsid w:val="32FA2CBE"/>
    <w:rsid w:val="32FC59EE"/>
    <w:rsid w:val="338B35BF"/>
    <w:rsid w:val="34092461"/>
    <w:rsid w:val="34700F39"/>
    <w:rsid w:val="34E77996"/>
    <w:rsid w:val="34EF42C7"/>
    <w:rsid w:val="35610116"/>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EBE0387"/>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1F3F5B"/>
    <w:rsid w:val="4BF03B4A"/>
    <w:rsid w:val="4C8562A1"/>
    <w:rsid w:val="4CAC2800"/>
    <w:rsid w:val="4CD11285"/>
    <w:rsid w:val="4CFB5EE3"/>
    <w:rsid w:val="4D263AF9"/>
    <w:rsid w:val="4D4B074A"/>
    <w:rsid w:val="4DAD1CF2"/>
    <w:rsid w:val="4E28581D"/>
    <w:rsid w:val="4EF26D89"/>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5C53086"/>
    <w:rsid w:val="56194C24"/>
    <w:rsid w:val="569C48C5"/>
    <w:rsid w:val="56F05266"/>
    <w:rsid w:val="57164C89"/>
    <w:rsid w:val="57350A15"/>
    <w:rsid w:val="575168F3"/>
    <w:rsid w:val="58732C56"/>
    <w:rsid w:val="594D5E25"/>
    <w:rsid w:val="59E14756"/>
    <w:rsid w:val="5A7E4E4D"/>
    <w:rsid w:val="5AB55191"/>
    <w:rsid w:val="5BEF34D6"/>
    <w:rsid w:val="5C957923"/>
    <w:rsid w:val="5CA42F27"/>
    <w:rsid w:val="5CE11CAD"/>
    <w:rsid w:val="5D0F5ABF"/>
    <w:rsid w:val="5D283143"/>
    <w:rsid w:val="5DE021E2"/>
    <w:rsid w:val="5DFA5BF3"/>
    <w:rsid w:val="5E056FE1"/>
    <w:rsid w:val="5E545B85"/>
    <w:rsid w:val="5E6301AB"/>
    <w:rsid w:val="5F765DB0"/>
    <w:rsid w:val="5F7F2DC3"/>
    <w:rsid w:val="5F826CC3"/>
    <w:rsid w:val="608E6286"/>
    <w:rsid w:val="61076011"/>
    <w:rsid w:val="61834DEC"/>
    <w:rsid w:val="61F25ACE"/>
    <w:rsid w:val="620F62B8"/>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827EC3"/>
    <w:rsid w:val="6B9C09D1"/>
    <w:rsid w:val="6BC95110"/>
    <w:rsid w:val="6C2E4C0D"/>
    <w:rsid w:val="6D4C34AB"/>
    <w:rsid w:val="6DA6798D"/>
    <w:rsid w:val="6DED4397"/>
    <w:rsid w:val="6E9A5523"/>
    <w:rsid w:val="6EB04D47"/>
    <w:rsid w:val="6F370FC4"/>
    <w:rsid w:val="6F420D0F"/>
    <w:rsid w:val="6FAA3E8C"/>
    <w:rsid w:val="701B5C41"/>
    <w:rsid w:val="70B34FC2"/>
    <w:rsid w:val="70F2215A"/>
    <w:rsid w:val="71091718"/>
    <w:rsid w:val="71587B7E"/>
    <w:rsid w:val="715E7B64"/>
    <w:rsid w:val="724925BA"/>
    <w:rsid w:val="7276222A"/>
    <w:rsid w:val="73197CE0"/>
    <w:rsid w:val="732A1BFA"/>
    <w:rsid w:val="73344FDD"/>
    <w:rsid w:val="73616E39"/>
    <w:rsid w:val="73C0694D"/>
    <w:rsid w:val="73D94D40"/>
    <w:rsid w:val="74A54B7B"/>
    <w:rsid w:val="751B270C"/>
    <w:rsid w:val="7532635D"/>
    <w:rsid w:val="759D3A0C"/>
    <w:rsid w:val="764364A0"/>
    <w:rsid w:val="768C17FB"/>
    <w:rsid w:val="77722493"/>
    <w:rsid w:val="77B9589C"/>
    <w:rsid w:val="78216CB5"/>
    <w:rsid w:val="78654DF4"/>
    <w:rsid w:val="79002FDD"/>
    <w:rsid w:val="796851DB"/>
    <w:rsid w:val="799534B7"/>
    <w:rsid w:val="79A864D4"/>
    <w:rsid w:val="7A2C2B5D"/>
    <w:rsid w:val="7A3C397B"/>
    <w:rsid w:val="7AAC4F5C"/>
    <w:rsid w:val="7B931C78"/>
    <w:rsid w:val="7BBB4D2B"/>
    <w:rsid w:val="7CBB28FC"/>
    <w:rsid w:val="7D2106AF"/>
    <w:rsid w:val="7D2D2186"/>
    <w:rsid w:val="7E486D4A"/>
    <w:rsid w:val="7E54777A"/>
    <w:rsid w:val="7EAC5BC9"/>
    <w:rsid w:val="7EE8612B"/>
    <w:rsid w:val="7EFE77F8"/>
    <w:rsid w:val="7F38130C"/>
    <w:rsid w:val="7F6041C6"/>
    <w:rsid w:val="7F7B7750"/>
    <w:rsid w:val="7FA2248A"/>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uiPriority w:val="9"/>
    <w:pPr>
      <w:keepNext/>
      <w:keepLines/>
      <w:spacing w:before="260" w:after="260" w:line="416" w:lineRule="auto"/>
      <w:outlineLvl w:val="2"/>
    </w:pPr>
    <w:rPr>
      <w:b/>
      <w:bCs/>
      <w:sz w:val="32"/>
      <w:szCs w:val="32"/>
    </w:rPr>
  </w:style>
  <w:style w:type="paragraph" w:styleId="5">
    <w:name w:val="heading 4"/>
    <w:basedOn w:val="1"/>
    <w:next w:val="1"/>
    <w:link w:val="54"/>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5"/>
    <w:qFormat/>
    <w:uiPriority w:val="9"/>
    <w:pPr>
      <w:keepNext/>
      <w:keepLines/>
      <w:spacing w:before="280" w:after="290" w:line="376" w:lineRule="auto"/>
      <w:outlineLvl w:val="4"/>
    </w:pPr>
    <w:rPr>
      <w:b/>
      <w:bCs/>
      <w:szCs w:val="28"/>
    </w:rPr>
  </w:style>
  <w:style w:type="paragraph" w:styleId="7">
    <w:name w:val="heading 6"/>
    <w:basedOn w:val="1"/>
    <w:next w:val="1"/>
    <w:link w:val="56"/>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7"/>
    <w:qFormat/>
    <w:uiPriority w:val="9"/>
    <w:pPr>
      <w:keepNext/>
      <w:keepLines/>
      <w:spacing w:before="240" w:after="64" w:line="320" w:lineRule="auto"/>
      <w:outlineLvl w:val="6"/>
    </w:pPr>
    <w:rPr>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50"/>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Block Text"/>
    <w:basedOn w:val="1"/>
    <w:unhideWhenUsed/>
    <w:qFormat/>
    <w:uiPriority w:val="0"/>
    <w:pPr>
      <w:spacing w:line="360" w:lineRule="auto"/>
      <w:ind w:left="630" w:right="-609" w:firstLine="420"/>
    </w:pPr>
    <w:rPr>
      <w:rFonts w:ascii="仿宋_GB2312" w:eastAsia="仿宋_GB2312"/>
    </w:rPr>
  </w:style>
  <w:style w:type="paragraph" w:styleId="15">
    <w:name w:val="index 4"/>
    <w:basedOn w:val="1"/>
    <w:next w:val="1"/>
    <w:qFormat/>
    <w:uiPriority w:val="99"/>
    <w:pPr>
      <w:ind w:left="600" w:leftChars="600"/>
    </w:pPr>
    <w:rPr>
      <w:szCs w:val="24"/>
    </w:rPr>
  </w:style>
  <w:style w:type="paragraph" w:styleId="16">
    <w:name w:val="Plain Text"/>
    <w:basedOn w:val="1"/>
    <w:link w:val="58"/>
    <w:qFormat/>
    <w:uiPriority w:val="0"/>
    <w:pPr>
      <w:spacing w:beforeLines="50" w:afterLines="50" w:line="400" w:lineRule="atLeast"/>
    </w:pPr>
    <w:rPr>
      <w:rFonts w:ascii="宋体" w:hAnsi="Courier New"/>
      <w:kern w:val="0"/>
      <w:sz w:val="24"/>
    </w:rPr>
  </w:style>
  <w:style w:type="paragraph" w:styleId="17">
    <w:name w:val="Date"/>
    <w:basedOn w:val="1"/>
    <w:next w:val="1"/>
    <w:link w:val="59"/>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61"/>
    <w:unhideWhenUsed/>
    <w:qFormat/>
    <w:uiPriority w:val="99"/>
    <w:pPr>
      <w:tabs>
        <w:tab w:val="center" w:pos="4153"/>
        <w:tab w:val="right" w:pos="8306"/>
      </w:tabs>
      <w:snapToGrid w:val="0"/>
      <w:jc w:val="left"/>
    </w:pPr>
    <w:rPr>
      <w:sz w:val="18"/>
      <w:szCs w:val="18"/>
    </w:rPr>
  </w:style>
  <w:style w:type="paragraph" w:styleId="20">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qFormat/>
    <w:uiPriority w:val="0"/>
    <w:pPr>
      <w:ind w:left="420" w:hanging="420"/>
    </w:p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3"/>
    <w:qFormat/>
    <w:uiPriority w:val="10"/>
    <w:pPr>
      <w:spacing w:before="240" w:after="60"/>
      <w:jc w:val="center"/>
      <w:outlineLvl w:val="0"/>
    </w:pPr>
    <w:rPr>
      <w:rFonts w:ascii="Cambria" w:hAnsi="Cambria"/>
      <w:b/>
      <w:bCs/>
      <w:sz w:val="32"/>
      <w:szCs w:val="32"/>
    </w:rPr>
  </w:style>
  <w:style w:type="paragraph" w:styleId="27">
    <w:name w:val="Body Text First Indent 2"/>
    <w:basedOn w:val="12"/>
    <w:next w:val="22"/>
    <w:qFormat/>
    <w:uiPriority w:val="0"/>
    <w:pPr>
      <w:ind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basedOn w:val="30"/>
    <w:unhideWhenUsed/>
    <w:qFormat/>
    <w:uiPriority w:val="99"/>
    <w:rPr>
      <w:color w:val="0000FF"/>
      <w:u w:val="single"/>
    </w:rPr>
  </w:style>
  <w:style w:type="paragraph" w:styleId="34">
    <w:name w:val="List Paragraph"/>
    <w:basedOn w:val="1"/>
    <w:link w:val="66"/>
    <w:qFormat/>
    <w:uiPriority w:val="0"/>
    <w:pPr>
      <w:ind w:firstLine="420" w:firstLineChars="200"/>
    </w:pPr>
    <w:rPr>
      <w:kern w:val="0"/>
    </w:rPr>
  </w:style>
  <w:style w:type="paragraph" w:customStyle="1" w:styleId="35">
    <w:name w:val="正文 第一章"/>
    <w:basedOn w:val="1"/>
    <w:next w:val="36"/>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6">
    <w:name w:val="正文 1.1"/>
    <w:basedOn w:val="1"/>
    <w:next w:val="37"/>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7">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8">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9">
    <w:name w:val="首行缩进"/>
    <w:basedOn w:val="1"/>
    <w:next w:val="1"/>
    <w:qFormat/>
    <w:uiPriority w:val="0"/>
    <w:pPr>
      <w:spacing w:line="360" w:lineRule="auto"/>
      <w:ind w:firstLine="200" w:firstLineChars="200"/>
    </w:pPr>
    <w:rPr>
      <w:rFonts w:ascii="Calibri" w:hAnsi="Calibri"/>
      <w:sz w:val="24"/>
      <w:szCs w:val="21"/>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2">
    <w:name w:val="第四级"/>
    <w:basedOn w:val="1"/>
    <w:next w:val="41"/>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标题 2 New"/>
    <w:basedOn w:val="45"/>
    <w:next w:val="45"/>
    <w:qFormat/>
    <w:uiPriority w:val="0"/>
    <w:pPr>
      <w:keepNext/>
      <w:keepLines/>
      <w:spacing w:before="260" w:after="260" w:line="413" w:lineRule="auto"/>
      <w:outlineLvl w:val="1"/>
    </w:pPr>
    <w:rPr>
      <w:rFonts w:ascii="Arial" w:hAnsi="Arial" w:eastAsia="黑体"/>
      <w:b/>
      <w:bCs/>
      <w:sz w:val="32"/>
      <w:szCs w:val="32"/>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0"/>
    <w:qFormat/>
    <w:uiPriority w:val="99"/>
    <w:rPr>
      <w:rFonts w:ascii="Calibri" w:hAnsi="Calibri" w:eastAsia="宋体" w:cs="Times New Roman"/>
      <w:sz w:val="24"/>
      <w:szCs w:val="24"/>
      <w:lang w:val="en-US" w:eastAsia="zh-CN" w:bidi="ar-SA"/>
    </w:rPr>
  </w:style>
  <w:style w:type="paragraph" w:customStyle="1" w:styleId="49">
    <w:name w:val="Default"/>
    <w:next w:val="24"/>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50">
    <w:name w:val="正文文本缩进 字符"/>
    <w:link w:val="12"/>
    <w:qFormat/>
    <w:locked/>
    <w:uiPriority w:val="0"/>
    <w:rPr>
      <w:rFonts w:ascii="宋体" w:hAnsi="Courier New" w:eastAsia="宋体"/>
      <w:spacing w:val="-4"/>
      <w:sz w:val="18"/>
    </w:rPr>
  </w:style>
  <w:style w:type="character" w:customStyle="1" w:styleId="51">
    <w:name w:val="标题 1 字符"/>
    <w:basedOn w:val="30"/>
    <w:link w:val="2"/>
    <w:qFormat/>
    <w:uiPriority w:val="0"/>
    <w:rPr>
      <w:rFonts w:ascii="宋体" w:hAnsi="Arial" w:eastAsia="黑体" w:cs="Times New Roman"/>
      <w:b/>
      <w:bCs/>
      <w:color w:val="000000"/>
      <w:kern w:val="44"/>
      <w:sz w:val="36"/>
      <w:szCs w:val="32"/>
    </w:rPr>
  </w:style>
  <w:style w:type="character" w:customStyle="1" w:styleId="52">
    <w:name w:val="标题 2 字符"/>
    <w:basedOn w:val="30"/>
    <w:link w:val="3"/>
    <w:semiHidden/>
    <w:qFormat/>
    <w:uiPriority w:val="9"/>
    <w:rPr>
      <w:rFonts w:ascii="Cambria" w:hAnsi="Cambria" w:eastAsia="宋体" w:cs="Times New Roman"/>
      <w:b/>
      <w:bCs/>
      <w:sz w:val="32"/>
      <w:szCs w:val="32"/>
    </w:rPr>
  </w:style>
  <w:style w:type="character" w:customStyle="1" w:styleId="53">
    <w:name w:val="标题 3 字符"/>
    <w:basedOn w:val="30"/>
    <w:link w:val="4"/>
    <w:semiHidden/>
    <w:qFormat/>
    <w:uiPriority w:val="9"/>
    <w:rPr>
      <w:rFonts w:ascii="Times New Roman" w:hAnsi="Times New Roman" w:eastAsia="宋体" w:cs="Times New Roman"/>
      <w:b/>
      <w:bCs/>
      <w:sz w:val="32"/>
      <w:szCs w:val="32"/>
    </w:rPr>
  </w:style>
  <w:style w:type="character" w:customStyle="1" w:styleId="54">
    <w:name w:val="标题 4 字符"/>
    <w:basedOn w:val="30"/>
    <w:link w:val="5"/>
    <w:semiHidden/>
    <w:qFormat/>
    <w:uiPriority w:val="9"/>
    <w:rPr>
      <w:rFonts w:ascii="Cambria" w:hAnsi="Cambria" w:eastAsia="宋体" w:cs="Times New Roman"/>
      <w:b/>
      <w:bCs/>
      <w:sz w:val="28"/>
      <w:szCs w:val="28"/>
    </w:rPr>
  </w:style>
  <w:style w:type="character" w:customStyle="1" w:styleId="55">
    <w:name w:val="标题 5 字符"/>
    <w:basedOn w:val="30"/>
    <w:link w:val="6"/>
    <w:semiHidden/>
    <w:qFormat/>
    <w:uiPriority w:val="9"/>
    <w:rPr>
      <w:rFonts w:ascii="Times New Roman" w:hAnsi="Times New Roman" w:eastAsia="宋体" w:cs="Times New Roman"/>
      <w:b/>
      <w:bCs/>
      <w:sz w:val="28"/>
      <w:szCs w:val="28"/>
    </w:rPr>
  </w:style>
  <w:style w:type="character" w:customStyle="1" w:styleId="56">
    <w:name w:val="标题 6 字符"/>
    <w:basedOn w:val="30"/>
    <w:link w:val="7"/>
    <w:semiHidden/>
    <w:qFormat/>
    <w:uiPriority w:val="9"/>
    <w:rPr>
      <w:rFonts w:ascii="Cambria" w:hAnsi="Cambria" w:eastAsia="宋体" w:cs="Times New Roman"/>
      <w:b/>
      <w:bCs/>
      <w:sz w:val="24"/>
      <w:szCs w:val="24"/>
    </w:rPr>
  </w:style>
  <w:style w:type="character" w:customStyle="1" w:styleId="57">
    <w:name w:val="标题 7 字符"/>
    <w:basedOn w:val="30"/>
    <w:link w:val="8"/>
    <w:semiHidden/>
    <w:qFormat/>
    <w:uiPriority w:val="9"/>
    <w:rPr>
      <w:rFonts w:ascii="Times New Roman" w:hAnsi="Times New Roman" w:eastAsia="宋体" w:cs="Times New Roman"/>
      <w:b/>
      <w:bCs/>
      <w:sz w:val="24"/>
      <w:szCs w:val="24"/>
    </w:rPr>
  </w:style>
  <w:style w:type="character" w:customStyle="1" w:styleId="58">
    <w:name w:val="纯文本 字符"/>
    <w:link w:val="16"/>
    <w:qFormat/>
    <w:uiPriority w:val="0"/>
    <w:rPr>
      <w:rFonts w:ascii="宋体" w:hAnsi="Courier New" w:eastAsia="宋体"/>
      <w:sz w:val="24"/>
    </w:rPr>
  </w:style>
  <w:style w:type="character" w:customStyle="1" w:styleId="59">
    <w:name w:val="日期 字符"/>
    <w:basedOn w:val="30"/>
    <w:link w:val="17"/>
    <w:semiHidden/>
    <w:qFormat/>
    <w:uiPriority w:val="99"/>
    <w:rPr>
      <w:rFonts w:ascii="Times New Roman" w:hAnsi="Times New Roman" w:eastAsia="宋体" w:cs="Times New Roman"/>
      <w:sz w:val="28"/>
      <w:szCs w:val="20"/>
    </w:rPr>
  </w:style>
  <w:style w:type="character" w:customStyle="1" w:styleId="60">
    <w:name w:val="批注框文本 字符"/>
    <w:basedOn w:val="30"/>
    <w:link w:val="18"/>
    <w:semiHidden/>
    <w:qFormat/>
    <w:uiPriority w:val="99"/>
    <w:rPr>
      <w:rFonts w:ascii="Times New Roman" w:hAnsi="Times New Roman" w:eastAsia="宋体" w:cs="Times New Roman"/>
      <w:sz w:val="18"/>
      <w:szCs w:val="18"/>
    </w:rPr>
  </w:style>
  <w:style w:type="character" w:customStyle="1" w:styleId="61">
    <w:name w:val="页脚 字符"/>
    <w:basedOn w:val="30"/>
    <w:link w:val="19"/>
    <w:qFormat/>
    <w:uiPriority w:val="99"/>
    <w:rPr>
      <w:rFonts w:ascii="Times New Roman" w:hAnsi="Times New Roman" w:eastAsia="宋体" w:cs="Times New Roman"/>
      <w:sz w:val="18"/>
      <w:szCs w:val="18"/>
    </w:rPr>
  </w:style>
  <w:style w:type="character" w:customStyle="1" w:styleId="62">
    <w:name w:val="页眉 字符"/>
    <w:basedOn w:val="30"/>
    <w:link w:val="20"/>
    <w:semiHidden/>
    <w:qFormat/>
    <w:uiPriority w:val="99"/>
    <w:rPr>
      <w:rFonts w:ascii="Times New Roman" w:hAnsi="Times New Roman" w:eastAsia="宋体" w:cs="Times New Roman"/>
      <w:sz w:val="18"/>
      <w:szCs w:val="18"/>
    </w:rPr>
  </w:style>
  <w:style w:type="character" w:customStyle="1" w:styleId="63">
    <w:name w:val="标题 字符"/>
    <w:basedOn w:val="30"/>
    <w:link w:val="26"/>
    <w:qFormat/>
    <w:uiPriority w:val="10"/>
    <w:rPr>
      <w:rFonts w:ascii="Cambria" w:hAnsi="Cambria" w:eastAsia="宋体" w:cs="Times New Roman"/>
      <w:b/>
      <w:bCs/>
      <w:sz w:val="32"/>
      <w:szCs w:val="32"/>
    </w:rPr>
  </w:style>
  <w:style w:type="character" w:customStyle="1" w:styleId="64">
    <w:name w:val="正文文本缩进 Char1"/>
    <w:basedOn w:val="30"/>
    <w:semiHidden/>
    <w:qFormat/>
    <w:uiPriority w:val="99"/>
    <w:rPr>
      <w:rFonts w:ascii="Times New Roman" w:hAnsi="Times New Roman" w:eastAsia="宋体" w:cs="Times New Roman"/>
      <w:sz w:val="28"/>
      <w:szCs w:val="20"/>
    </w:rPr>
  </w:style>
  <w:style w:type="character" w:customStyle="1" w:styleId="65">
    <w:name w:val="纯文本 Char"/>
    <w:basedOn w:val="30"/>
    <w:semiHidden/>
    <w:qFormat/>
    <w:uiPriority w:val="99"/>
    <w:rPr>
      <w:rFonts w:ascii="宋体" w:hAnsi="Courier New" w:eastAsia="宋体" w:cs="Courier New"/>
      <w:szCs w:val="21"/>
    </w:rPr>
  </w:style>
  <w:style w:type="character" w:customStyle="1" w:styleId="66">
    <w:name w:val="列出段落 字符"/>
    <w:link w:val="34"/>
    <w:qFormat/>
    <w:locked/>
    <w:uiPriority w:val="0"/>
    <w:rPr>
      <w:rFonts w:ascii="Times New Roman" w:hAnsi="Times New Roman" w:eastAsia="宋体" w:cs="Times New Roman"/>
      <w:sz w:val="28"/>
      <w:szCs w:val="20"/>
    </w:rPr>
  </w:style>
  <w:style w:type="character" w:customStyle="1" w:styleId="67">
    <w:name w:val="正文 第五章 中间"/>
    <w:qFormat/>
    <w:uiPriority w:val="0"/>
    <w:rPr>
      <w:b/>
      <w:bCs/>
      <w:color w:val="000000"/>
      <w:sz w:val="32"/>
    </w:rPr>
  </w:style>
  <w:style w:type="character" w:customStyle="1" w:styleId="68">
    <w:name w:val="标题 3 Char"/>
    <w:qFormat/>
    <w:uiPriority w:val="0"/>
    <w:rPr>
      <w:rFonts w:eastAsia="宋体"/>
      <w:b/>
      <w:bCs/>
      <w:kern w:val="2"/>
      <w:sz w:val="32"/>
      <w:szCs w:val="32"/>
      <w:lang w:val="en-US" w:eastAsia="zh-CN" w:bidi="ar-SA"/>
    </w:rPr>
  </w:style>
  <w:style w:type="paragraph" w:customStyle="1" w:styleId="69">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7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basedOn w:val="1"/>
    <w:qFormat/>
    <w:uiPriority w:val="0"/>
    <w:pPr>
      <w:jc w:val="center"/>
    </w:pPr>
    <w:rPr>
      <w:rFonts w:ascii="宋体" w:hAnsi="宋体"/>
      <w:b/>
      <w:sz w:val="44"/>
      <w:szCs w:val="44"/>
    </w:rPr>
  </w:style>
  <w:style w:type="paragraph" w:customStyle="1" w:styleId="72">
    <w:name w:val="text-tag1"/>
    <w:basedOn w:val="1"/>
    <w:qFormat/>
    <w:uiPriority w:val="0"/>
    <w:pPr>
      <w:widowControl/>
      <w:spacing w:before="100" w:beforeAutospacing="1" w:after="100" w:afterAutospacing="1" w:line="357" w:lineRule="atLeast"/>
      <w:jc w:val="left"/>
      <w:textAlignment w:val="baseline"/>
    </w:pPr>
    <w:rPr>
      <w:rFonts w:ascii="宋体" w:hAnsi="宋体" w:cs="宋体"/>
      <w:color w:val="000000"/>
      <w:kern w:val="0"/>
      <w:sz w:val="24"/>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43</Pages>
  <Words>18402</Words>
  <Characters>18947</Characters>
  <Lines>170</Lines>
  <Paragraphs>48</Paragraphs>
  <TotalTime>0</TotalTime>
  <ScaleCrop>false</ScaleCrop>
  <LinksUpToDate>false</LinksUpToDate>
  <CharactersWithSpaces>21795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2024-06-11T08:03:00Z</cp:lastPrinted>
  <dcterms:modified xsi:type="dcterms:W3CDTF">2024-07-01T06:55:46Z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EAC44338E1E24FDEB2DD427574D494DE_13</vt:lpwstr>
  </property>
</Properties>
</file>