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3025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val="en-US" w:eastAsia="zh-CN"/>
        </w:rPr>
      </w:pPr>
      <w:r>
        <w:rPr>
          <w:rFonts w:hint="eastAsia" w:asciiTheme="majorEastAsia" w:hAnsiTheme="majorEastAsia" w:eastAsiaTheme="majorEastAsia" w:cstheme="majorEastAsia"/>
          <w:b/>
          <w:bCs/>
          <w:w w:val="90"/>
          <w:sz w:val="48"/>
          <w:szCs w:val="48"/>
          <w:lang w:eastAsia="zh-CN"/>
        </w:rPr>
        <w:t>皖南医学院</w:t>
      </w:r>
      <w:r>
        <w:rPr>
          <w:rFonts w:hint="eastAsia" w:asciiTheme="majorEastAsia" w:hAnsiTheme="majorEastAsia" w:eastAsiaTheme="majorEastAsia" w:cstheme="majorEastAsia"/>
          <w:b/>
          <w:bCs/>
          <w:w w:val="90"/>
          <w:sz w:val="48"/>
          <w:szCs w:val="48"/>
          <w:lang w:val="en-US" w:eastAsia="zh-CN"/>
        </w:rPr>
        <w:t>2023年线下普教招生宣传服务</w:t>
      </w:r>
    </w:p>
    <w:p>
      <w:pPr>
        <w:jc w:val="center"/>
        <w:rPr>
          <w:rFonts w:hint="eastAsia" w:asciiTheme="majorEastAsia" w:hAnsiTheme="majorEastAsia" w:eastAsiaTheme="majorEastAsia" w:cstheme="majorEastAsia"/>
          <w:b/>
          <w:bCs/>
          <w:w w:val="90"/>
          <w:sz w:val="48"/>
          <w:szCs w:val="48"/>
        </w:rPr>
      </w:pPr>
      <w:r>
        <w:rPr>
          <w:rFonts w:hint="eastAsia" w:asciiTheme="majorEastAsia" w:hAnsiTheme="majorEastAsia" w:eastAsiaTheme="majorEastAsia" w:cstheme="majorEastAsia"/>
          <w:b/>
          <w:bCs/>
          <w:w w:val="90"/>
          <w:sz w:val="48"/>
          <w:szCs w:val="48"/>
          <w:lang w:eastAsia="zh-CN"/>
        </w:rPr>
        <w:t>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3</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18"/>
      </w:pPr>
      <w:r>
        <w:rPr>
          <w:rFonts w:hint="eastAsia"/>
        </w:rPr>
        <w:t>目  录</w:t>
      </w:r>
    </w:p>
    <w:p>
      <w:pPr>
        <w:pStyle w:val="18"/>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58"/>
          </w:pPr>
        </w:p>
        <w:p>
          <w:pPr>
            <w:pStyle w:val="18"/>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28"/>
              <w:rFonts w:hint="eastAsia"/>
              <w:b w:val="0"/>
              <w:sz w:val="28"/>
              <w:szCs w:val="28"/>
            </w:rPr>
            <w:t>第一章</w:t>
          </w:r>
          <w:r>
            <w:rPr>
              <w:rStyle w:val="28"/>
              <w:b w:val="0"/>
              <w:sz w:val="28"/>
              <w:szCs w:val="28"/>
            </w:rPr>
            <w:t xml:space="preserve">  </w:t>
          </w:r>
          <w:r>
            <w:rPr>
              <w:rStyle w:val="28"/>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18"/>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28"/>
              <w:rFonts w:hint="eastAsia"/>
              <w:b w:val="0"/>
              <w:sz w:val="28"/>
              <w:szCs w:val="28"/>
            </w:rPr>
            <w:t>第二章</w:t>
          </w:r>
          <w:r>
            <w:rPr>
              <w:rStyle w:val="28"/>
              <w:b w:val="0"/>
              <w:sz w:val="28"/>
              <w:szCs w:val="28"/>
            </w:rPr>
            <w:t xml:space="preserve">  </w:t>
          </w:r>
          <w:r>
            <w:rPr>
              <w:rStyle w:val="28"/>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18"/>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28"/>
              <w:rFonts w:hint="eastAsia"/>
              <w:b w:val="0"/>
              <w:sz w:val="28"/>
              <w:szCs w:val="28"/>
            </w:rPr>
            <w:t>第三章</w:t>
          </w:r>
          <w:r>
            <w:rPr>
              <w:rStyle w:val="28"/>
              <w:b w:val="0"/>
              <w:sz w:val="28"/>
              <w:szCs w:val="28"/>
            </w:rPr>
            <w:t xml:space="preserve">  </w:t>
          </w:r>
          <w:r>
            <w:rPr>
              <w:rStyle w:val="28"/>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8"/>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28"/>
              <w:rFonts w:hint="eastAsia"/>
              <w:b w:val="0"/>
              <w:sz w:val="28"/>
              <w:szCs w:val="28"/>
            </w:rPr>
            <w:t>第四章</w:t>
          </w:r>
          <w:r>
            <w:rPr>
              <w:rStyle w:val="28"/>
              <w:b w:val="0"/>
              <w:sz w:val="28"/>
              <w:szCs w:val="28"/>
            </w:rPr>
            <w:t xml:space="preserve">  </w:t>
          </w:r>
          <w:r>
            <w:rPr>
              <w:rStyle w:val="28"/>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18"/>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28"/>
              <w:rFonts w:hint="eastAsia"/>
              <w:b w:val="0"/>
              <w:sz w:val="28"/>
              <w:szCs w:val="28"/>
            </w:rPr>
            <w:t>第五章</w:t>
          </w:r>
          <w:r>
            <w:rPr>
              <w:rStyle w:val="28"/>
              <w:b w:val="0"/>
              <w:sz w:val="28"/>
              <w:szCs w:val="28"/>
            </w:rPr>
            <w:t xml:space="preserve">  </w:t>
          </w:r>
          <w:r>
            <w:rPr>
              <w:rStyle w:val="28"/>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18"/>
            <w:rPr>
              <w:rFonts w:asciiTheme="minorHAnsi" w:hAnsiTheme="minorHAnsi" w:cstheme="minorBidi"/>
              <w:b w:val="0"/>
              <w:sz w:val="28"/>
              <w:szCs w:val="28"/>
            </w:rPr>
          </w:pPr>
          <w:r>
            <w:fldChar w:fldCharType="begin"/>
          </w:r>
          <w:r>
            <w:instrText xml:space="preserve"> HYPERLINK \l "_Toc516580574" </w:instrText>
          </w:r>
          <w:r>
            <w:fldChar w:fldCharType="separate"/>
          </w:r>
          <w:r>
            <w:rPr>
              <w:rStyle w:val="28"/>
              <w:rFonts w:hint="eastAsia"/>
              <w:b w:val="0"/>
              <w:sz w:val="28"/>
              <w:szCs w:val="28"/>
            </w:rPr>
            <w:t>第六章</w:t>
          </w:r>
          <w:r>
            <w:rPr>
              <w:rStyle w:val="28"/>
              <w:b w:val="0"/>
              <w:sz w:val="28"/>
              <w:szCs w:val="28"/>
            </w:rPr>
            <w:t xml:space="preserve">  </w:t>
          </w:r>
          <w:r>
            <w:rPr>
              <w:rStyle w:val="28"/>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18"/>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28"/>
              <w:rFonts w:hint="eastAsia"/>
              <w:b w:val="0"/>
              <w:sz w:val="28"/>
              <w:szCs w:val="28"/>
            </w:rPr>
            <w:t>第七章</w:t>
          </w:r>
          <w:r>
            <w:rPr>
              <w:rStyle w:val="28"/>
              <w:b w:val="0"/>
              <w:sz w:val="28"/>
              <w:szCs w:val="28"/>
            </w:rPr>
            <w:t xml:space="preserve">  </w:t>
          </w:r>
          <w:r>
            <w:rPr>
              <w:rStyle w:val="28"/>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3"/>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479170299"/>
      <w:bookmarkStart w:id="1" w:name="_Toc51658056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2"/>
      <w:bookmarkStart w:id="3" w:name="OLE_LINK21"/>
      <w:r>
        <w:rPr>
          <w:rFonts w:hint="eastAsia" w:ascii="仿宋_GB2312" w:eastAsia="仿宋_GB2312"/>
          <w:szCs w:val="28"/>
          <w:lang w:eastAsia="zh-CN"/>
        </w:rPr>
        <w:t>皖南医学院202</w:t>
      </w:r>
      <w:r>
        <w:rPr>
          <w:rFonts w:hint="eastAsia" w:ascii="仿宋_GB2312" w:eastAsia="仿宋_GB2312"/>
          <w:szCs w:val="28"/>
          <w:lang w:val="en-US" w:eastAsia="zh-CN"/>
        </w:rPr>
        <w:t>3</w:t>
      </w:r>
      <w:r>
        <w:rPr>
          <w:rFonts w:hint="eastAsia" w:ascii="仿宋_GB2312" w:eastAsia="仿宋_GB2312"/>
          <w:szCs w:val="28"/>
          <w:lang w:eastAsia="zh-CN"/>
        </w:rPr>
        <w:t>年</w:t>
      </w:r>
      <w:r>
        <w:rPr>
          <w:rFonts w:hint="eastAsia" w:ascii="仿宋_GB2312" w:eastAsia="仿宋_GB2312"/>
          <w:szCs w:val="28"/>
          <w:lang w:val="en-US" w:eastAsia="zh-CN"/>
        </w:rPr>
        <w:t>线下</w:t>
      </w:r>
      <w:r>
        <w:rPr>
          <w:rFonts w:hint="eastAsia" w:ascii="仿宋_GB2312" w:eastAsia="仿宋_GB2312"/>
          <w:szCs w:val="28"/>
          <w:lang w:eastAsia="zh-CN"/>
        </w:rPr>
        <w:t>普教招生宣传服务项目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（一）项目名称：2023年线下普教招生宣传服务项目；</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3025</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8.2</w:t>
      </w:r>
      <w:r>
        <w:rPr>
          <w:rFonts w:hint="eastAsia" w:ascii="仿宋_GB2312" w:eastAsia="仿宋_GB2312"/>
          <w:szCs w:val="28"/>
        </w:rPr>
        <w:t>万元；</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rPr>
      </w:pPr>
      <w:r>
        <w:rPr>
          <w:rFonts w:hint="eastAsia" w:ascii="仿宋_GB2312" w:eastAsia="仿宋_GB2312"/>
          <w:szCs w:val="28"/>
          <w:lang w:val="en-US" w:eastAsia="zh-CN"/>
        </w:rPr>
        <w:t>4.</w:t>
      </w:r>
      <w:r>
        <w:rPr>
          <w:rFonts w:hint="eastAsia" w:ascii="仿宋_GB2312" w:eastAsia="仿宋_GB2312"/>
          <w:szCs w:val="28"/>
        </w:rPr>
        <w:t>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、报名时间及方式：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（一）报名时间：202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8</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宋体" w:eastAsia="仿宋_GB2312" w:cs="宋体"/>
          <w:szCs w:val="28"/>
          <w:lang w:val="zh-CN"/>
        </w:rPr>
      </w:pPr>
      <w:r>
        <w:rPr>
          <w:rFonts w:hint="eastAsia" w:ascii="仿宋_GB2312" w:hAnsi="宋体" w:eastAsia="仿宋_GB2312" w:cs="宋体"/>
          <w:szCs w:val="28"/>
          <w:lang w:val="zh-CN"/>
        </w:rPr>
        <w:t>（二）报名方式：2023年线下普教招生宣传服务项目已在皖南医学院网上采购平台（http://wnmc.youzhicai.com/）发布，请潜在供应商在皖南医学院网上采购平台参与项目报名。</w:t>
      </w:r>
    </w:p>
    <w:p>
      <w:pPr>
        <w:widowControl/>
        <w:adjustRightInd w:val="0"/>
        <w:snapToGrid w:val="0"/>
        <w:spacing w:line="500" w:lineRule="atLeast"/>
        <w:ind w:firstLine="562" w:firstLineChars="200"/>
        <w:rPr>
          <w:rFonts w:ascii="仿宋_GB2312" w:hAnsi="仿宋" w:eastAsia="仿宋_GB2312"/>
          <w:b/>
          <w:szCs w:val="28"/>
        </w:rPr>
      </w:pPr>
      <w:r>
        <w:rPr>
          <w:rFonts w:hint="eastAsia" w:ascii="仿宋_GB2312" w:hAnsi="宋体" w:eastAsia="仿宋_GB2312" w:cs="宋体"/>
          <w:b/>
          <w:szCs w:val="28"/>
          <w:lang w:val="zh-CN"/>
        </w:rPr>
        <w:t>未进行网上报名的单位，不得参与本项目投标。</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6</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日上午9：30；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6</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日上午9：30；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2"/>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（四）因学校防控要求，校外人员进校需扫码登记。请各投标单位如实填写，并于2023年6月</w:t>
      </w:r>
      <w:r>
        <w:rPr>
          <w:rFonts w:hint="eastAsia" w:hAnsi="仿宋_GB2312" w:cs="仿宋_GB2312"/>
          <w:i w:val="0"/>
          <w:iCs w:val="0"/>
          <w:caps w:val="0"/>
          <w:color w:val="333333"/>
          <w:spacing w:val="0"/>
          <w:sz w:val="28"/>
          <w:szCs w:val="28"/>
          <w:shd w:val="clear" w:fill="FFFFFF"/>
          <w:lang w:val="en-US" w:eastAsia="zh-CN"/>
        </w:rPr>
        <w:t>13</w:t>
      </w:r>
      <w:bookmarkStart w:id="154" w:name="_GoBack"/>
      <w:bookmarkEnd w:id="154"/>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2"/>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2</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6</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2</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r>
        <w:rPr>
          <w:rFonts w:ascii="仿宋_GB2312" w:hAnsi="宋体" w:eastAsia="仿宋_GB2312" w:cs="宋体"/>
          <w:color w:val="000000"/>
          <w:kern w:val="0"/>
          <w:szCs w:val="28"/>
        </w:rPr>
        <w:br w:type="page"/>
      </w: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pStyle w:val="3"/>
        <w:snapToGrid w:val="0"/>
        <w:spacing w:before="0" w:after="0"/>
        <w:ind w:left="947" w:firstLine="0"/>
        <w:jc w:val="center"/>
        <w:rPr>
          <w:rFonts w:ascii="华文中宋" w:hAnsi="华文中宋" w:eastAsia="华文中宋"/>
        </w:rPr>
      </w:pPr>
      <w:bookmarkStart w:id="4" w:name="_Toc516580570"/>
      <w:bookmarkStart w:id="5" w:name="_Toc479170300"/>
      <w:r>
        <w:rPr>
          <w:rFonts w:hint="eastAsia" w:ascii="华文中宋" w:hAnsi="华文中宋" w:eastAsia="华文中宋"/>
        </w:rPr>
        <w:t>第二章  磋商须知前附表</w:t>
      </w:r>
      <w:bookmarkEnd w:id="4"/>
      <w:bookmarkEnd w:id="5"/>
    </w:p>
    <w:tbl>
      <w:tblPr>
        <w:tblStyle w:val="23"/>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2023年线下普教招生宣传服务项目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eastAsia="宋体"/>
                <w:kern w:val="0"/>
                <w:sz w:val="21"/>
                <w:szCs w:val="21"/>
                <w:lang w:val="en-US" w:eastAsia="zh-CN"/>
              </w:rPr>
            </w:pPr>
            <w:r>
              <w:rPr>
                <w:rFonts w:hint="eastAsia" w:ascii="宋体" w:hAnsi="宋体"/>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b/>
                <w:kern w:val="0"/>
                <w:sz w:val="21"/>
                <w:szCs w:val="21"/>
              </w:rPr>
              <w:t>本项目履约保证金：</w:t>
            </w:r>
            <w:r>
              <w:rPr>
                <w:rFonts w:hint="eastAsia" w:ascii="宋体" w:hAnsi="宋体"/>
                <w:b/>
                <w:kern w:val="0"/>
                <w:sz w:val="21"/>
                <w:szCs w:val="21"/>
                <w:lang w:val="en-US" w:eastAsia="zh-CN"/>
              </w:rPr>
              <w:t>1600</w:t>
            </w:r>
            <w:r>
              <w:rPr>
                <w:rFonts w:hint="eastAsia" w:ascii="宋体" w:hAnsi="宋体"/>
                <w:b/>
                <w:kern w:val="0"/>
                <w:sz w:val="21"/>
                <w:szCs w:val="21"/>
              </w:rPr>
              <w:t>元</w:t>
            </w:r>
          </w:p>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bookmarkStart w:id="6" w:name="_Toc516580571"/>
      <w:bookmarkStart w:id="7" w:name="_Toc479170301"/>
    </w:p>
    <w:p/>
    <w:p/>
    <w:p>
      <w:pPr>
        <w:pStyle w:val="10"/>
      </w:pPr>
    </w:p>
    <w:p>
      <w:pPr>
        <w:pStyle w:val="10"/>
      </w:pPr>
    </w:p>
    <w:p>
      <w:pPr>
        <w:pStyle w:val="10"/>
      </w:pPr>
    </w:p>
    <w:p>
      <w:pPr>
        <w:pStyle w:val="10"/>
        <w:ind w:left="0" w:leftChars="0" w:firstLine="0" w:firstLineChars="0"/>
      </w:pPr>
    </w:p>
    <w:p/>
    <w:p>
      <w:pPr>
        <w:pStyle w:val="3"/>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20823276"/>
      <w:bookmarkStart w:id="10" w:name="_Toc513029204"/>
      <w:bookmarkStart w:id="11" w:name="_Toc16938520"/>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16938521"/>
      <w:bookmarkStart w:id="13" w:name="_Toc513029205"/>
      <w:bookmarkStart w:id="14" w:name="_Toc20823277"/>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36"/>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513029206"/>
      <w:bookmarkStart w:id="16" w:name="_Toc20823278"/>
      <w:bookmarkStart w:id="17" w:name="_Toc16938522"/>
      <w:r>
        <w:rPr>
          <w:rFonts w:hint="eastAsia" w:ascii="仿宋_GB2312" w:eastAsia="仿宋_GB2312"/>
          <w:color w:val="000000"/>
          <w:szCs w:val="28"/>
        </w:rPr>
        <w:t>4.适用法律</w:t>
      </w:r>
      <w:bookmarkEnd w:id="15"/>
      <w:bookmarkEnd w:id="16"/>
      <w:bookmarkEnd w:id="17"/>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16938523"/>
      <w:bookmarkStart w:id="19" w:name="_Toc462564067"/>
      <w:bookmarkStart w:id="20" w:name="_Toc20823279"/>
      <w:bookmarkStart w:id="21" w:name="_Toc513029207"/>
      <w:r>
        <w:rPr>
          <w:rFonts w:hint="eastAsia" w:ascii="仿宋_GB2312" w:eastAsia="仿宋_GB2312"/>
          <w:color w:val="000000"/>
          <w:szCs w:val="28"/>
        </w:rPr>
        <w:t>5.磋商费用</w:t>
      </w:r>
      <w:bookmarkEnd w:id="18"/>
      <w:bookmarkEnd w:id="19"/>
      <w:bookmarkEnd w:id="20"/>
      <w:bookmarkEnd w:id="21"/>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403987206"/>
      <w:bookmarkStart w:id="23" w:name="_Toc513029209"/>
      <w:bookmarkStart w:id="24" w:name="_Toc120614215"/>
      <w:bookmarkStart w:id="25" w:name="_Toc16938525"/>
      <w:bookmarkStart w:id="26" w:name="_Toc20823281"/>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513029210"/>
      <w:bookmarkStart w:id="28" w:name="_Toc16938526"/>
      <w:bookmarkStart w:id="29" w:name="_Toc20823282"/>
      <w:r>
        <w:rPr>
          <w:rFonts w:hint="eastAsia" w:ascii="仿宋_GB2312" w:eastAsia="仿宋_GB2312"/>
          <w:color w:val="000000"/>
          <w:szCs w:val="28"/>
        </w:rPr>
        <w:t>1.磋商文件构成</w:t>
      </w:r>
      <w:bookmarkEnd w:id="27"/>
      <w:bookmarkEnd w:id="28"/>
      <w:bookmarkEnd w:id="29"/>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462564070"/>
      <w:bookmarkStart w:id="31" w:name="_Toc16938527"/>
      <w:bookmarkStart w:id="32" w:name="_Toc20823283"/>
      <w:bookmarkStart w:id="33" w:name="_Toc513029211"/>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20823285"/>
      <w:bookmarkStart w:id="35" w:name="_Toc462564072"/>
      <w:bookmarkStart w:id="36" w:name="_Toc120614216"/>
      <w:bookmarkStart w:id="37" w:name="_Toc513029213"/>
      <w:bookmarkStart w:id="38" w:name="_Toc403987207"/>
      <w:bookmarkStart w:id="39" w:name="_Toc16938529"/>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20823286"/>
      <w:bookmarkStart w:id="42" w:name="_Toc462564073"/>
      <w:bookmarkStart w:id="43" w:name="_Toc513029214"/>
      <w:bookmarkStart w:id="44" w:name="_Toc16938530"/>
      <w:r>
        <w:rPr>
          <w:rFonts w:hint="eastAsia" w:ascii="仿宋_GB2312" w:eastAsia="仿宋_GB2312"/>
          <w:color w:val="000000"/>
          <w:szCs w:val="28"/>
        </w:rPr>
        <w:t>3.响应文件的语言及度量衡单位</w:t>
      </w:r>
      <w:bookmarkEnd w:id="41"/>
      <w:bookmarkEnd w:id="42"/>
      <w:bookmarkEnd w:id="43"/>
      <w:bookmarkEnd w:id="44"/>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16938531"/>
      <w:bookmarkStart w:id="47" w:name="_Toc20823287"/>
      <w:bookmarkStart w:id="48" w:name="_Toc462564074"/>
      <w:r>
        <w:rPr>
          <w:rFonts w:hint="eastAsia" w:ascii="仿宋_GB2312" w:eastAsia="仿宋_GB2312"/>
          <w:color w:val="000000"/>
          <w:szCs w:val="28"/>
        </w:rPr>
        <w:t>4.响应文件构成</w:t>
      </w:r>
      <w:bookmarkEnd w:id="45"/>
      <w:bookmarkEnd w:id="46"/>
      <w:bookmarkEnd w:id="47"/>
      <w:bookmarkEnd w:id="48"/>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36"/>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68975"/>
      <w:bookmarkEnd w:id="49"/>
      <w:bookmarkStart w:id="50" w:name="_Hlt26954838"/>
      <w:bookmarkEnd w:id="50"/>
      <w:bookmarkStart w:id="51" w:name="_Hlt26670360"/>
      <w:bookmarkEnd w:id="51"/>
      <w:bookmarkStart w:id="52" w:name="_Toc49090509"/>
      <w:bookmarkStart w:id="53" w:name="_Toc513029219"/>
      <w:bookmarkStart w:id="54" w:name="_Toc14577357"/>
      <w:bookmarkStart w:id="55" w:name="_Toc513029216"/>
      <w:bookmarkStart w:id="56" w:name="_Toc14577354"/>
      <w:bookmarkStart w:id="57" w:name="_Toc49090507"/>
      <w:r>
        <w:rPr>
          <w:rFonts w:hint="eastAsia" w:ascii="仿宋_GB2312" w:eastAsia="仿宋_GB2312"/>
          <w:color w:val="000000"/>
          <w:szCs w:val="28"/>
        </w:rPr>
        <w:t>5.证明供应商资格及符合磋商文件规定的文件</w:t>
      </w:r>
      <w:bookmarkEnd w:id="52"/>
      <w:bookmarkEnd w:id="53"/>
      <w:bookmarkEnd w:id="54"/>
    </w:p>
    <w:p>
      <w:pPr>
        <w:pStyle w:val="36"/>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费率。每项费用只允许有一个报价，任何有选择的报价将不予接受。（如有）</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36"/>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739"/>
      <w:bookmarkEnd w:id="63"/>
      <w:bookmarkStart w:id="64" w:name="_Hlt26954846"/>
      <w:bookmarkEnd w:id="64"/>
      <w:bookmarkStart w:id="65" w:name="_Hlt26954848"/>
      <w:bookmarkEnd w:id="65"/>
      <w:bookmarkStart w:id="66" w:name="_Hlt26954731"/>
      <w:bookmarkEnd w:id="66"/>
      <w:bookmarkStart w:id="67" w:name="_Hlt26954852"/>
      <w:bookmarkEnd w:id="67"/>
      <w:bookmarkStart w:id="68" w:name="_Hlt26670482"/>
      <w:bookmarkEnd w:id="68"/>
      <w:bookmarkStart w:id="69" w:name="_Hlt26670486"/>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403987208"/>
      <w:bookmarkStart w:id="73" w:name="_Toc20823296"/>
      <w:bookmarkStart w:id="74" w:name="_Toc16938540"/>
      <w:bookmarkStart w:id="75" w:name="_Toc513029224"/>
      <w:bookmarkStart w:id="76" w:name="_Toc120614217"/>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513029225"/>
      <w:bookmarkStart w:id="78" w:name="_Toc16938541"/>
      <w:bookmarkStart w:id="79" w:name="_Toc462564084"/>
      <w:bookmarkStart w:id="80" w:name="_Toc20823297"/>
      <w:r>
        <w:rPr>
          <w:rFonts w:hint="eastAsia" w:ascii="仿宋_GB2312" w:eastAsia="仿宋_GB2312"/>
          <w:color w:val="000000"/>
          <w:szCs w:val="28"/>
        </w:rPr>
        <w:t>1.响应文件的密封和标记</w:t>
      </w:r>
      <w:bookmarkEnd w:id="77"/>
      <w:bookmarkEnd w:id="78"/>
      <w:bookmarkEnd w:id="79"/>
      <w:bookmarkEnd w:id="80"/>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20823298"/>
      <w:bookmarkStart w:id="82" w:name="_Toc513029226"/>
      <w:bookmarkStart w:id="83" w:name="_Toc16938542"/>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513029231"/>
      <w:bookmarkStart w:id="85" w:name="_Toc20823303"/>
      <w:bookmarkStart w:id="86" w:name="_Toc16938547"/>
      <w:r>
        <w:rPr>
          <w:rFonts w:hint="eastAsia" w:ascii="仿宋_GB2312" w:eastAsia="仿宋_GB2312"/>
          <w:color w:val="000000"/>
          <w:szCs w:val="28"/>
        </w:rPr>
        <w:t>2.磋商小组</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513029232"/>
      <w:bookmarkStart w:id="88" w:name="_Toc20823304"/>
      <w:bookmarkStart w:id="89" w:name="_Toc16938548"/>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20823305"/>
      <w:bookmarkStart w:id="91" w:name="_Toc16938549"/>
      <w:bookmarkStart w:id="92" w:name="_Toc513029233"/>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20823307"/>
      <w:bookmarkStart w:id="94" w:name="_Toc513029235"/>
      <w:bookmarkStart w:id="95" w:name="_Toc16938551"/>
      <w:r>
        <w:rPr>
          <w:rFonts w:hint="eastAsia" w:ascii="仿宋_GB2312" w:hAnsi="宋体" w:eastAsia="仿宋_GB2312"/>
          <w:color w:val="000000"/>
          <w:szCs w:val="28"/>
        </w:rPr>
        <w:t>响应无效条款</w:t>
      </w:r>
    </w:p>
    <w:p>
      <w:pPr>
        <w:pStyle w:val="37"/>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37"/>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37"/>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37"/>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37"/>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37"/>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36"/>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403987211"/>
      <w:bookmarkStart w:id="99" w:name="_Toc120614220"/>
      <w:bookmarkStart w:id="100" w:name="_Toc16938552"/>
      <w:bookmarkStart w:id="101" w:name="_Toc513029236"/>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16938553"/>
      <w:bookmarkStart w:id="104" w:name="_Toc20823309"/>
      <w:bookmarkStart w:id="105" w:name="_Toc513029237"/>
      <w:r>
        <w:rPr>
          <w:rFonts w:hint="eastAsia" w:ascii="仿宋_GB2312" w:eastAsia="仿宋_GB2312"/>
          <w:color w:val="000000"/>
          <w:szCs w:val="28"/>
        </w:rPr>
        <w:t>1.签订合同</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（1）采购人与成交单位应当在中标通知书发出之日起5日内，按照磋商文件确定的合同文本以及采购标的、采购金额、技术和服务要求等事项签订采购合同。</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36"/>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（1）成交单位在收到成交通知书后，磋商保证金将自动转为履约保证金</w:t>
      </w:r>
      <w:bookmarkStart w:id="106" w:name="_Toc200451963"/>
      <w:r>
        <w:rPr>
          <w:rFonts w:hint="eastAsia" w:ascii="仿宋_GB2312" w:hAnsi="宋体" w:eastAsia="仿宋_GB2312"/>
          <w:color w:val="000000"/>
          <w:szCs w:val="28"/>
        </w:rPr>
        <w:t>，不足的在中标公示结束后3日内补齐。</w:t>
      </w:r>
    </w:p>
    <w:bookmarkEnd w:id="106"/>
    <w:p>
      <w:pPr>
        <w:pStyle w:val="36"/>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36"/>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 xml:space="preserve">（一）质疑联系方式： </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2.联系电话：0553-3932052；</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（二）投诉联系方式：</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2.联系电话：0553-3932826</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3.通讯地址：芜湖市高校园区文昌西路22号皖南医学院巡察工作办公室</w:t>
      </w:r>
    </w:p>
    <w:p>
      <w:pPr>
        <w:pStyle w:val="36"/>
        <w:snapToGrid w:val="0"/>
        <w:ind w:right="280" w:rightChars="100" w:firstLine="560"/>
        <w:rPr>
          <w:rFonts w:ascii="仿宋_GB2312" w:hAnsi="宋体" w:eastAsia="仿宋_GB2312"/>
          <w:bCs/>
          <w:color w:val="000000"/>
          <w:szCs w:val="28"/>
        </w:rPr>
      </w:pPr>
    </w:p>
    <w:p>
      <w:pPr>
        <w:pStyle w:val="36"/>
        <w:snapToGrid w:val="0"/>
        <w:ind w:left="0" w:leftChars="0" w:right="280" w:rightChars="100" w:firstLine="0" w:firstLineChars="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6"/>
        <w:snapToGrid w:val="0"/>
        <w:ind w:right="280" w:rightChars="100" w:firstLine="560"/>
        <w:rPr>
          <w:rFonts w:ascii="仿宋_GB2312" w:hAnsi="宋体" w:eastAsia="仿宋_GB2312"/>
          <w:bCs/>
          <w:color w:val="000000"/>
          <w:szCs w:val="28"/>
        </w:rPr>
      </w:pPr>
    </w:p>
    <w:p>
      <w:pPr>
        <w:pStyle w:val="3"/>
        <w:snapToGrid w:val="0"/>
        <w:spacing w:before="0" w:after="0" w:line="240" w:lineRule="atLeast"/>
        <w:ind w:left="947" w:hanging="947"/>
        <w:jc w:val="center"/>
        <w:rPr>
          <w:rFonts w:ascii="华文中宋" w:hAnsi="华文中宋" w:eastAsia="华文中宋"/>
          <w:bCs w:val="0"/>
          <w:color w:val="000000" w:themeColor="text1"/>
        </w:rPr>
      </w:pPr>
      <w:bookmarkStart w:id="107" w:name="_Toc479170302"/>
      <w:bookmarkStart w:id="108" w:name="_Toc516580572"/>
      <w:r>
        <w:rPr>
          <w:rFonts w:hint="eastAsia" w:ascii="华文中宋" w:hAnsi="华文中宋" w:eastAsia="华文中宋"/>
          <w:bCs w:val="0"/>
          <w:color w:val="000000" w:themeColor="text1"/>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买  方：皖南医学院                        电话：XXX-XXXXXX</w:t>
      </w:r>
    </w:p>
    <w:p>
      <w:pPr>
        <w:spacing w:line="480" w:lineRule="exact"/>
        <w:rPr>
          <w:rFonts w:hint="eastAsia" w:ascii="仿宋_GB2312" w:hAnsi="仿宋" w:eastAsia="仿宋_GB2312"/>
          <w:szCs w:val="28"/>
        </w:rPr>
      </w:pPr>
      <w:r>
        <w:rPr>
          <w:rFonts w:hint="eastAsia" w:ascii="仿宋_GB2312" w:hAnsi="仿宋" w:eastAsia="仿宋_GB2312"/>
          <w:szCs w:val="28"/>
        </w:rPr>
        <w:t>卖  方：XXXXXXXXXXXX                      电话： XXX-XXXXXX</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p>
    <w:p>
      <w:pPr>
        <w:spacing w:line="480" w:lineRule="exact"/>
        <w:rPr>
          <w:rFonts w:hint="eastAsia" w:ascii="仿宋_GB2312" w:hAnsi="仿宋" w:eastAsia="仿宋_GB2312"/>
          <w:szCs w:val="28"/>
        </w:rPr>
      </w:pPr>
      <w:r>
        <w:rPr>
          <w:rFonts w:hint="eastAsia" w:ascii="仿宋_GB2312" w:hAnsi="仿宋" w:eastAsia="仿宋_GB2312"/>
          <w:szCs w:val="28"/>
        </w:rPr>
        <w:t>买方通过        组织的          方式采购活动，经评审，决定将本项目采购合同授予卖方。为进一步明确双方的责任，确保合同的顺利履行，根据我国合同等法律法规规定，遵循平等、自愿、公平和诚实信用的原则，买卖双方协商一致同意按如下条款签订本合同：</w:t>
      </w:r>
    </w:p>
    <w:p>
      <w:pPr>
        <w:spacing w:line="480" w:lineRule="exact"/>
        <w:rPr>
          <w:rFonts w:hint="eastAsia" w:ascii="仿宋_GB2312" w:hAnsi="仿宋" w:eastAsia="仿宋_GB2312"/>
          <w:szCs w:val="28"/>
        </w:rPr>
      </w:pPr>
      <w:r>
        <w:rPr>
          <w:rFonts w:hint="eastAsia" w:ascii="仿宋_GB2312" w:hAnsi="仿宋" w:eastAsia="仿宋_GB2312"/>
          <w:szCs w:val="28"/>
        </w:rPr>
        <w:t>一、服务名称及内容</w:t>
      </w:r>
    </w:p>
    <w:p>
      <w:pPr>
        <w:spacing w:line="480" w:lineRule="exact"/>
        <w:rPr>
          <w:rFonts w:hint="eastAsia" w:ascii="仿宋_GB2312" w:hAnsi="仿宋" w:eastAsia="仿宋_GB2312"/>
          <w:szCs w:val="28"/>
        </w:rPr>
      </w:pPr>
      <w:r>
        <w:rPr>
          <w:rFonts w:hint="eastAsia" w:ascii="仿宋_GB2312" w:hAnsi="仿宋" w:eastAsia="仿宋_GB2312"/>
          <w:szCs w:val="28"/>
        </w:rPr>
        <w:t>本合同采购服务名称和内容同采购文件规定。</w:t>
      </w:r>
    </w:p>
    <w:p>
      <w:pPr>
        <w:spacing w:line="480" w:lineRule="exact"/>
        <w:rPr>
          <w:rFonts w:hint="eastAsia" w:ascii="仿宋_GB2312" w:hAnsi="仿宋" w:eastAsia="仿宋_GB2312"/>
          <w:szCs w:val="28"/>
        </w:rPr>
      </w:pPr>
      <w:r>
        <w:rPr>
          <w:rFonts w:hint="eastAsia" w:ascii="仿宋_GB2312" w:hAnsi="仿宋" w:eastAsia="仿宋_GB2312"/>
          <w:szCs w:val="28"/>
        </w:rPr>
        <w:t>二、组成合同的文件</w:t>
      </w:r>
    </w:p>
    <w:p>
      <w:pPr>
        <w:spacing w:line="480" w:lineRule="exact"/>
        <w:rPr>
          <w:rFonts w:hint="eastAsia" w:ascii="仿宋_GB2312" w:hAnsi="仿宋" w:eastAsia="仿宋_GB2312"/>
          <w:szCs w:val="28"/>
        </w:rPr>
      </w:pPr>
      <w:r>
        <w:rPr>
          <w:rFonts w:hint="eastAsia" w:ascii="仿宋_GB2312" w:hAnsi="仿宋" w:eastAsia="仿宋_GB2312"/>
          <w:szCs w:val="28"/>
        </w:rPr>
        <w:t>组成本合同的文件包括：</w:t>
      </w:r>
    </w:p>
    <w:p>
      <w:pPr>
        <w:spacing w:line="480" w:lineRule="exact"/>
        <w:rPr>
          <w:rFonts w:hint="eastAsia" w:ascii="仿宋_GB2312" w:hAnsi="仿宋" w:eastAsia="仿宋_GB2312"/>
          <w:szCs w:val="28"/>
        </w:rPr>
      </w:pPr>
      <w:r>
        <w:rPr>
          <w:rFonts w:hint="eastAsia" w:ascii="仿宋_GB2312" w:hAnsi="仿宋" w:eastAsia="仿宋_GB2312"/>
          <w:szCs w:val="28"/>
        </w:rPr>
        <w:t>(一)采购文件及答疑、更正公告;</w:t>
      </w:r>
    </w:p>
    <w:p>
      <w:pPr>
        <w:spacing w:line="480" w:lineRule="exact"/>
        <w:rPr>
          <w:rFonts w:hint="eastAsia" w:ascii="仿宋_GB2312" w:hAnsi="仿宋" w:eastAsia="仿宋_GB2312"/>
          <w:szCs w:val="28"/>
        </w:rPr>
      </w:pPr>
      <w:r>
        <w:rPr>
          <w:rFonts w:hint="eastAsia" w:ascii="仿宋_GB2312" w:hAnsi="仿宋" w:eastAsia="仿宋_GB2312"/>
          <w:szCs w:val="28"/>
        </w:rPr>
        <w:t>(二)采购文件标准文本中的“合同条款”；</w:t>
      </w:r>
    </w:p>
    <w:p>
      <w:pPr>
        <w:spacing w:line="480" w:lineRule="exact"/>
        <w:rPr>
          <w:rFonts w:hint="eastAsia" w:ascii="仿宋_GB2312" w:hAnsi="仿宋" w:eastAsia="仿宋_GB2312"/>
          <w:szCs w:val="28"/>
        </w:rPr>
      </w:pPr>
      <w:r>
        <w:rPr>
          <w:rFonts w:hint="eastAsia" w:ascii="仿宋_GB2312" w:hAnsi="仿宋" w:eastAsia="仿宋_GB2312"/>
          <w:szCs w:val="28"/>
        </w:rPr>
        <w:t>(三)中标或成交公告；</w:t>
      </w:r>
    </w:p>
    <w:p>
      <w:pPr>
        <w:spacing w:line="480" w:lineRule="exact"/>
        <w:rPr>
          <w:rFonts w:hint="eastAsia" w:ascii="仿宋_GB2312" w:hAnsi="仿宋" w:eastAsia="仿宋_GB2312"/>
          <w:szCs w:val="28"/>
        </w:rPr>
      </w:pPr>
      <w:r>
        <w:rPr>
          <w:rFonts w:hint="eastAsia" w:ascii="仿宋_GB2312" w:hAnsi="仿宋" w:eastAsia="仿宋_GB2312"/>
          <w:szCs w:val="28"/>
        </w:rPr>
        <w:t>(四)卖方提交的投标文件及书面承诺函；</w:t>
      </w:r>
    </w:p>
    <w:p>
      <w:pPr>
        <w:spacing w:line="480" w:lineRule="exact"/>
        <w:rPr>
          <w:rFonts w:hint="eastAsia" w:ascii="仿宋_GB2312" w:hAnsi="仿宋" w:eastAsia="仿宋_GB2312"/>
          <w:szCs w:val="28"/>
        </w:rPr>
      </w:pPr>
      <w:r>
        <w:rPr>
          <w:rFonts w:hint="eastAsia" w:ascii="仿宋_GB2312" w:hAnsi="仿宋" w:eastAsia="仿宋_GB2312"/>
          <w:szCs w:val="28"/>
        </w:rPr>
        <w:t>(五)双方另行签订的补充协议。</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三、 本合同的总金额为￥       元(人民币大写：        )。</w:t>
      </w:r>
    </w:p>
    <w:p>
      <w:pPr>
        <w:spacing w:line="480" w:lineRule="exact"/>
        <w:rPr>
          <w:rFonts w:hint="eastAsia" w:ascii="仿宋_GB2312" w:hAnsi="仿宋" w:eastAsia="仿宋_GB2312"/>
          <w:szCs w:val="28"/>
        </w:rPr>
      </w:pPr>
      <w:r>
        <w:rPr>
          <w:rFonts w:hint="eastAsia" w:ascii="仿宋_GB2312" w:hAnsi="仿宋" w:eastAsia="仿宋_GB2312"/>
          <w:szCs w:val="28"/>
        </w:rPr>
        <w:t>四、服务期限</w:t>
      </w:r>
    </w:p>
    <w:p>
      <w:pPr>
        <w:spacing w:line="480" w:lineRule="exact"/>
        <w:rPr>
          <w:rFonts w:hint="eastAsia" w:ascii="仿宋_GB2312" w:hAnsi="仿宋" w:eastAsia="仿宋_GB2312"/>
          <w:szCs w:val="28"/>
        </w:rPr>
      </w:pPr>
      <w:r>
        <w:rPr>
          <w:rFonts w:hint="eastAsia" w:ascii="仿宋_GB2312" w:hAnsi="仿宋" w:eastAsia="仿宋_GB2312"/>
          <w:szCs w:val="28"/>
        </w:rPr>
        <w:t>卖方应于合同签字生效后开始计算的    日内完成合同规定的服务内容，由买方进行验收。</w:t>
      </w:r>
    </w:p>
    <w:p>
      <w:pPr>
        <w:spacing w:line="480" w:lineRule="exact"/>
        <w:rPr>
          <w:rFonts w:hint="eastAsia" w:ascii="仿宋_GB2312" w:hAnsi="仿宋" w:eastAsia="仿宋_GB2312"/>
          <w:szCs w:val="28"/>
        </w:rPr>
      </w:pPr>
      <w:r>
        <w:rPr>
          <w:rFonts w:hint="eastAsia" w:ascii="仿宋_GB2312" w:hAnsi="仿宋" w:eastAsia="仿宋_GB2312"/>
          <w:szCs w:val="28"/>
        </w:rPr>
        <w:t>五、验收要求</w:t>
      </w:r>
    </w:p>
    <w:p>
      <w:pPr>
        <w:spacing w:line="480" w:lineRule="exact"/>
        <w:rPr>
          <w:rFonts w:hint="eastAsia" w:ascii="仿宋_GB2312" w:hAnsi="仿宋" w:eastAsia="仿宋_GB2312"/>
          <w:szCs w:val="28"/>
        </w:rPr>
      </w:pPr>
      <w:r>
        <w:rPr>
          <w:rFonts w:hint="eastAsia" w:ascii="仿宋_GB2312" w:hAnsi="仿宋" w:eastAsia="仿宋_GB2312"/>
          <w:szCs w:val="28"/>
        </w:rPr>
        <w:t>（一）质量标准</w:t>
      </w:r>
    </w:p>
    <w:p>
      <w:pPr>
        <w:spacing w:line="480" w:lineRule="exact"/>
        <w:rPr>
          <w:rFonts w:hint="eastAsia" w:ascii="仿宋_GB2312" w:hAnsi="仿宋" w:eastAsia="仿宋_GB2312"/>
          <w:szCs w:val="28"/>
        </w:rPr>
      </w:pPr>
      <w:r>
        <w:rPr>
          <w:rFonts w:hint="eastAsia" w:ascii="仿宋_GB2312" w:hAnsi="仿宋" w:eastAsia="仿宋_GB2312"/>
          <w:szCs w:val="28"/>
        </w:rPr>
        <w:t>卖方保证提供的服务质量应符合中华人民共和国相关标准及相应的技术规范、本次采购相关文件中的全部相关要求及卖方相关服务标准及相应的技术规范中之较高者。</w:t>
      </w:r>
    </w:p>
    <w:p>
      <w:pPr>
        <w:spacing w:line="480" w:lineRule="exact"/>
        <w:rPr>
          <w:rFonts w:hint="eastAsia" w:ascii="仿宋_GB2312" w:hAnsi="仿宋" w:eastAsia="仿宋_GB2312"/>
          <w:szCs w:val="28"/>
        </w:rPr>
      </w:pPr>
      <w:r>
        <w:rPr>
          <w:rFonts w:hint="eastAsia" w:ascii="仿宋_GB2312" w:hAnsi="仿宋" w:eastAsia="仿宋_GB2312"/>
          <w:szCs w:val="28"/>
        </w:rPr>
        <w:t>（二）验收组织</w:t>
      </w:r>
    </w:p>
    <w:p>
      <w:pPr>
        <w:spacing w:line="480" w:lineRule="exact"/>
        <w:rPr>
          <w:rFonts w:hint="eastAsia" w:ascii="仿宋_GB2312" w:hAnsi="仿宋" w:eastAsia="仿宋_GB2312"/>
          <w:szCs w:val="28"/>
        </w:rPr>
      </w:pPr>
      <w:r>
        <w:rPr>
          <w:rFonts w:hint="eastAsia" w:ascii="仿宋_GB2312" w:hAnsi="仿宋" w:eastAsia="仿宋_GB2312"/>
          <w:szCs w:val="28"/>
        </w:rPr>
        <w:t>买方负责组织验收工作。</w:t>
      </w:r>
    </w:p>
    <w:p>
      <w:pPr>
        <w:spacing w:line="480" w:lineRule="exact"/>
        <w:rPr>
          <w:rFonts w:hint="eastAsia" w:ascii="仿宋_GB2312" w:hAnsi="仿宋" w:eastAsia="仿宋_GB2312"/>
          <w:szCs w:val="28"/>
        </w:rPr>
      </w:pPr>
      <w:r>
        <w:rPr>
          <w:rFonts w:hint="eastAsia" w:ascii="仿宋_GB2312" w:hAnsi="仿宋" w:eastAsia="仿宋_GB2312"/>
          <w:szCs w:val="28"/>
        </w:rPr>
        <w:t>（三）验收程序</w:t>
      </w:r>
    </w:p>
    <w:p>
      <w:pPr>
        <w:spacing w:line="480" w:lineRule="exact"/>
        <w:rPr>
          <w:rFonts w:hint="eastAsia" w:ascii="仿宋_GB2312" w:hAnsi="仿宋" w:eastAsia="仿宋_GB2312"/>
          <w:szCs w:val="28"/>
        </w:rPr>
      </w:pPr>
      <w:r>
        <w:rPr>
          <w:rFonts w:hint="eastAsia" w:ascii="仿宋_GB2312" w:hAnsi="仿宋" w:eastAsia="仿宋_GB2312"/>
          <w:szCs w:val="28"/>
        </w:rPr>
        <w:t>1、成立验收小组，验收人员应由买方代表和技术专家组成。</w:t>
      </w:r>
    </w:p>
    <w:p>
      <w:pPr>
        <w:spacing w:line="480" w:lineRule="exact"/>
        <w:rPr>
          <w:rFonts w:hint="eastAsia" w:ascii="仿宋_GB2312" w:hAnsi="仿宋" w:eastAsia="仿宋_GB2312"/>
          <w:szCs w:val="28"/>
        </w:rPr>
      </w:pPr>
      <w:r>
        <w:rPr>
          <w:rFonts w:hint="eastAsia" w:ascii="仿宋_GB2312" w:hAnsi="仿宋" w:eastAsia="仿宋_GB2312"/>
          <w:szCs w:val="28"/>
        </w:rPr>
        <w:t>2、验收方出具验收报告。</w:t>
      </w:r>
    </w:p>
    <w:p>
      <w:pPr>
        <w:spacing w:line="480" w:lineRule="exact"/>
        <w:rPr>
          <w:rFonts w:hint="eastAsia" w:ascii="仿宋_GB2312" w:hAnsi="仿宋" w:eastAsia="仿宋_GB2312"/>
          <w:szCs w:val="28"/>
        </w:rPr>
      </w:pPr>
      <w:r>
        <w:rPr>
          <w:rFonts w:hint="eastAsia" w:ascii="仿宋_GB2312" w:hAnsi="仿宋" w:eastAsia="仿宋_GB2312"/>
          <w:szCs w:val="28"/>
        </w:rPr>
        <w:t>六、付款方式</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(可编辑) </w:t>
      </w:r>
    </w:p>
    <w:p>
      <w:pPr>
        <w:spacing w:line="480" w:lineRule="exact"/>
        <w:rPr>
          <w:rFonts w:hint="eastAsia" w:ascii="仿宋_GB2312" w:hAnsi="仿宋" w:eastAsia="仿宋_GB2312"/>
          <w:szCs w:val="28"/>
        </w:rPr>
      </w:pPr>
      <w:r>
        <w:rPr>
          <w:rFonts w:hint="eastAsia" w:ascii="仿宋_GB2312" w:hAnsi="仿宋" w:eastAsia="仿宋_GB2312"/>
          <w:szCs w:val="28"/>
        </w:rPr>
        <w:t>七、售后服务</w:t>
      </w:r>
    </w:p>
    <w:p>
      <w:pPr>
        <w:spacing w:line="480" w:lineRule="exact"/>
        <w:rPr>
          <w:rFonts w:hint="eastAsia" w:ascii="仿宋_GB2312" w:hAnsi="仿宋" w:eastAsia="仿宋_GB2312"/>
          <w:szCs w:val="28"/>
        </w:rPr>
      </w:pPr>
      <w:r>
        <w:rPr>
          <w:rFonts w:hint="eastAsia" w:ascii="仿宋_GB2312" w:hAnsi="仿宋" w:eastAsia="仿宋_GB2312"/>
          <w:szCs w:val="28"/>
        </w:rPr>
        <w:t>（一）卖方对合同服务的质量保修期为验收报告签署之日起   个月。</w:t>
      </w:r>
    </w:p>
    <w:p>
      <w:pPr>
        <w:spacing w:line="480" w:lineRule="exact"/>
        <w:rPr>
          <w:rFonts w:hint="eastAsia" w:ascii="仿宋_GB2312" w:hAnsi="仿宋" w:eastAsia="仿宋_GB2312"/>
          <w:szCs w:val="28"/>
        </w:rPr>
      </w:pPr>
      <w:r>
        <w:rPr>
          <w:rFonts w:hint="eastAsia" w:ascii="仿宋_GB2312" w:hAnsi="仿宋" w:eastAsia="仿宋_GB2312"/>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     天内免费维修或更换有缺陷的部分。</w:t>
      </w:r>
    </w:p>
    <w:p>
      <w:pPr>
        <w:spacing w:line="480" w:lineRule="exact"/>
        <w:rPr>
          <w:rFonts w:hint="eastAsia" w:ascii="仿宋_GB2312" w:hAnsi="仿宋" w:eastAsia="仿宋_GB2312"/>
          <w:szCs w:val="28"/>
        </w:rPr>
      </w:pPr>
      <w:r>
        <w:rPr>
          <w:rFonts w:hint="eastAsia" w:ascii="仿宋_GB2312" w:hAnsi="仿宋" w:eastAsia="仿宋_GB2312"/>
          <w:szCs w:val="28"/>
        </w:rPr>
        <w:t>（三）如卖方在收到通知后在合同规定时间内，没有弥补缺陷，买方可采取必要的补救措施，但由此引发的风险和费用将由卖方承担。</w:t>
      </w:r>
    </w:p>
    <w:p>
      <w:pPr>
        <w:spacing w:line="480" w:lineRule="exact"/>
        <w:rPr>
          <w:rFonts w:hint="eastAsia" w:ascii="仿宋_GB2312" w:hAnsi="仿宋" w:eastAsia="仿宋_GB2312"/>
          <w:szCs w:val="28"/>
        </w:rPr>
      </w:pPr>
      <w:r>
        <w:rPr>
          <w:rFonts w:hint="eastAsia" w:ascii="仿宋_GB2312" w:hAnsi="仿宋" w:eastAsia="仿宋_GB2312"/>
          <w:szCs w:val="28"/>
        </w:rPr>
        <w:t>八、履约保证金</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本项目履约保证金为￥           元(人民币大写：       )，收受人为           ，期限为验收合格后     。如卖方未能按期履行合同，买方可从履约保证金中获得经济上的赔偿。</w:t>
      </w:r>
    </w:p>
    <w:p>
      <w:pPr>
        <w:spacing w:line="480" w:lineRule="exact"/>
        <w:rPr>
          <w:rFonts w:hint="eastAsia" w:ascii="仿宋_GB2312" w:hAnsi="仿宋" w:eastAsia="仿宋_GB2312"/>
          <w:szCs w:val="28"/>
        </w:rPr>
      </w:pPr>
      <w:r>
        <w:rPr>
          <w:rFonts w:hint="eastAsia" w:ascii="仿宋_GB2312" w:hAnsi="仿宋" w:eastAsia="仿宋_GB2312"/>
          <w:szCs w:val="28"/>
        </w:rPr>
        <w:t>九、违约责任</w:t>
      </w:r>
    </w:p>
    <w:p>
      <w:pPr>
        <w:spacing w:line="480" w:lineRule="exact"/>
        <w:rPr>
          <w:rFonts w:hint="eastAsia" w:ascii="仿宋_GB2312" w:hAnsi="仿宋" w:eastAsia="仿宋_GB2312"/>
          <w:szCs w:val="28"/>
        </w:rPr>
      </w:pPr>
      <w:r>
        <w:rPr>
          <w:rFonts w:hint="eastAsia" w:ascii="仿宋_GB2312" w:hAnsi="仿宋" w:eastAsia="仿宋_GB2312"/>
          <w:szCs w:val="28"/>
        </w:rPr>
        <w:t>（一）卖方服务期限超过合同约定服务期限。如果卖方由于自身的原因未能按期履行完合同，买方可从履约保证金中获得经济上的赔偿。其标准为按每延期一周收取合同金额的      %，但误期赔偿费总额不得超过履约保证金总额。一周按7天计算，不足7天按一周计算。在此情况下，卖方不得要求买方退还其履约保证金。</w:t>
      </w:r>
    </w:p>
    <w:p>
      <w:pPr>
        <w:spacing w:line="480" w:lineRule="exact"/>
        <w:rPr>
          <w:rFonts w:hint="eastAsia" w:ascii="仿宋_GB2312" w:hAnsi="仿宋" w:eastAsia="仿宋_GB2312"/>
          <w:szCs w:val="28"/>
        </w:rPr>
      </w:pPr>
      <w:r>
        <w:rPr>
          <w:rFonts w:hint="eastAsia" w:ascii="仿宋_GB2312" w:hAnsi="仿宋" w:eastAsia="仿宋_GB2312"/>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并追究对学校造成的经济损失。</w:t>
      </w:r>
    </w:p>
    <w:p>
      <w:pPr>
        <w:spacing w:line="480" w:lineRule="exact"/>
        <w:rPr>
          <w:rFonts w:hint="eastAsia" w:ascii="仿宋_GB2312" w:hAnsi="仿宋" w:eastAsia="仿宋_GB2312"/>
          <w:szCs w:val="28"/>
        </w:rPr>
      </w:pPr>
      <w:r>
        <w:rPr>
          <w:rFonts w:hint="eastAsia" w:ascii="仿宋_GB2312" w:hAnsi="仿宋" w:eastAsia="仿宋_GB2312"/>
          <w:szCs w:val="28"/>
        </w:rPr>
        <w:t>（四）卖方将合同转包、擅自变更、中止或者终止合同的，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（五）买方违反合同规定拒绝接收服务的，应当承担由此造成的损失。</w:t>
      </w:r>
    </w:p>
    <w:p>
      <w:pPr>
        <w:spacing w:line="480" w:lineRule="exact"/>
        <w:rPr>
          <w:rFonts w:hint="eastAsia" w:ascii="仿宋_GB2312" w:hAnsi="仿宋" w:eastAsia="仿宋_GB2312"/>
          <w:szCs w:val="28"/>
        </w:rPr>
      </w:pPr>
      <w:r>
        <w:rPr>
          <w:rFonts w:hint="eastAsia" w:ascii="仿宋_GB2312" w:hAnsi="仿宋" w:eastAsia="仿宋_GB2312"/>
          <w:szCs w:val="28"/>
        </w:rPr>
        <w:t>十、合同签订地点</w:t>
      </w:r>
    </w:p>
    <w:p>
      <w:pPr>
        <w:spacing w:line="480" w:lineRule="exact"/>
        <w:rPr>
          <w:rFonts w:hint="eastAsia" w:ascii="仿宋_GB2312" w:hAnsi="仿宋" w:eastAsia="仿宋_GB2312"/>
          <w:szCs w:val="28"/>
        </w:rPr>
      </w:pPr>
      <w:r>
        <w:rPr>
          <w:rFonts w:hint="eastAsia" w:ascii="仿宋_GB2312" w:hAnsi="仿宋" w:eastAsia="仿宋_GB2312"/>
          <w:szCs w:val="28"/>
        </w:rPr>
        <w:t>本合同在皖南医学院滨江校区签订。</w:t>
      </w:r>
    </w:p>
    <w:p>
      <w:pPr>
        <w:spacing w:line="480" w:lineRule="exact"/>
        <w:rPr>
          <w:rFonts w:hint="eastAsia" w:ascii="仿宋_GB2312" w:hAnsi="仿宋" w:eastAsia="仿宋_GB2312"/>
          <w:szCs w:val="28"/>
        </w:rPr>
      </w:pPr>
      <w:r>
        <w:rPr>
          <w:rFonts w:hint="eastAsia" w:ascii="仿宋_GB2312" w:hAnsi="仿宋" w:eastAsia="仿宋_GB2312"/>
          <w:szCs w:val="28"/>
        </w:rPr>
        <w:t>十一、合同的终止</w:t>
      </w:r>
    </w:p>
    <w:p>
      <w:pPr>
        <w:spacing w:line="480" w:lineRule="exact"/>
        <w:rPr>
          <w:rFonts w:hint="eastAsia" w:ascii="仿宋_GB2312" w:hAnsi="仿宋" w:eastAsia="仿宋_GB2312"/>
          <w:szCs w:val="28"/>
        </w:rPr>
      </w:pPr>
      <w:r>
        <w:rPr>
          <w:rFonts w:hint="eastAsia" w:ascii="仿宋_GB2312" w:hAnsi="仿宋" w:eastAsia="仿宋_GB2312"/>
          <w:szCs w:val="28"/>
        </w:rPr>
        <w:t>（一）本合同因下列原因而终止：</w:t>
      </w:r>
    </w:p>
    <w:p>
      <w:pPr>
        <w:spacing w:line="480" w:lineRule="exact"/>
        <w:rPr>
          <w:rFonts w:hint="eastAsia" w:ascii="仿宋_GB2312" w:hAnsi="仿宋" w:eastAsia="仿宋_GB2312"/>
          <w:szCs w:val="28"/>
        </w:rPr>
      </w:pPr>
      <w:r>
        <w:rPr>
          <w:rFonts w:hint="eastAsia" w:ascii="仿宋_GB2312" w:hAnsi="仿宋" w:eastAsia="仿宋_GB2312"/>
          <w:szCs w:val="28"/>
        </w:rPr>
        <w:t>1、本合同正常履行完毕；</w:t>
      </w:r>
    </w:p>
    <w:p>
      <w:pPr>
        <w:spacing w:line="480" w:lineRule="exact"/>
        <w:rPr>
          <w:rFonts w:hint="eastAsia" w:ascii="仿宋_GB2312" w:hAnsi="仿宋" w:eastAsia="仿宋_GB2312"/>
          <w:szCs w:val="28"/>
        </w:rPr>
      </w:pPr>
      <w:r>
        <w:rPr>
          <w:rFonts w:hint="eastAsia" w:ascii="仿宋_GB2312" w:hAnsi="仿宋" w:eastAsia="仿宋_GB2312"/>
          <w:szCs w:val="28"/>
        </w:rPr>
        <w:t>2、合同双方协议终止本合同的履行；</w:t>
      </w:r>
    </w:p>
    <w:p>
      <w:pPr>
        <w:spacing w:line="480" w:lineRule="exact"/>
        <w:rPr>
          <w:rFonts w:hint="eastAsia" w:ascii="仿宋_GB2312" w:hAnsi="仿宋" w:eastAsia="仿宋_GB2312"/>
          <w:szCs w:val="28"/>
        </w:rPr>
      </w:pPr>
      <w:r>
        <w:rPr>
          <w:rFonts w:hint="eastAsia" w:ascii="仿宋_GB2312" w:hAnsi="仿宋" w:eastAsia="仿宋_GB2312"/>
          <w:szCs w:val="28"/>
        </w:rPr>
        <w:t>3、不可抗力事件导致本合同无法履行或履行不必要；</w:t>
      </w:r>
    </w:p>
    <w:p>
      <w:pPr>
        <w:spacing w:line="480" w:lineRule="exact"/>
        <w:rPr>
          <w:rFonts w:hint="eastAsia" w:ascii="仿宋_GB2312" w:hAnsi="仿宋" w:eastAsia="仿宋_GB2312"/>
          <w:szCs w:val="28"/>
        </w:rPr>
      </w:pPr>
      <w:r>
        <w:rPr>
          <w:rFonts w:hint="eastAsia" w:ascii="仿宋_GB2312" w:hAnsi="仿宋" w:eastAsia="仿宋_GB2312"/>
          <w:szCs w:val="28"/>
        </w:rPr>
        <w:t>4、符合本合同约定的其他终止合同的条款。</w:t>
      </w:r>
    </w:p>
    <w:p>
      <w:pPr>
        <w:spacing w:line="480" w:lineRule="exact"/>
        <w:rPr>
          <w:rFonts w:hint="eastAsia" w:ascii="仿宋_GB2312" w:hAnsi="仿宋" w:eastAsia="仿宋_GB2312"/>
          <w:szCs w:val="28"/>
        </w:rPr>
      </w:pPr>
      <w:r>
        <w:rPr>
          <w:rFonts w:hint="eastAsia" w:ascii="仿宋_GB2312" w:hAnsi="仿宋" w:eastAsia="仿宋_GB2312"/>
          <w:szCs w:val="28"/>
        </w:rPr>
        <w:t>（二）对本合同终止有过错的一方应赔偿另一方因合同终止而受到的损失。对合同终止双方均无过错的，则各自承担所受到的损失。</w:t>
      </w:r>
    </w:p>
    <w:p>
      <w:pPr>
        <w:spacing w:line="480" w:lineRule="exact"/>
        <w:rPr>
          <w:rFonts w:hint="eastAsia" w:ascii="仿宋_GB2312" w:hAnsi="仿宋" w:eastAsia="仿宋_GB2312"/>
          <w:szCs w:val="28"/>
        </w:rPr>
      </w:pPr>
      <w:r>
        <w:rPr>
          <w:rFonts w:hint="eastAsia" w:ascii="仿宋_GB2312" w:hAnsi="仿宋" w:eastAsia="仿宋_GB2312"/>
          <w:szCs w:val="28"/>
        </w:rPr>
        <w:t>十二、其他</w:t>
      </w:r>
    </w:p>
    <w:p>
      <w:pPr>
        <w:spacing w:line="480" w:lineRule="exact"/>
        <w:rPr>
          <w:rFonts w:hint="eastAsia" w:ascii="仿宋_GB2312" w:hAnsi="仿宋" w:eastAsia="仿宋_GB2312"/>
          <w:szCs w:val="28"/>
        </w:rPr>
      </w:pPr>
      <w:r>
        <w:rPr>
          <w:rFonts w:hint="eastAsia" w:ascii="仿宋_GB2312" w:hAnsi="仿宋" w:eastAsia="仿宋_GB2312"/>
          <w:szCs w:val="28"/>
        </w:rPr>
        <w:t>（一）买卖双方必须严格按照采购文件、投标文件及有关承诺签订采购合同，不得擅自变更。合同执行期内，买卖双方均不得随意变更或解除合同。</w:t>
      </w:r>
    </w:p>
    <w:p>
      <w:pPr>
        <w:spacing w:line="480" w:lineRule="exact"/>
        <w:rPr>
          <w:rFonts w:hint="eastAsia" w:ascii="仿宋_GB2312" w:hAnsi="仿宋" w:eastAsia="仿宋_GB2312"/>
          <w:szCs w:val="28"/>
        </w:rPr>
      </w:pPr>
      <w:r>
        <w:rPr>
          <w:rFonts w:hint="eastAsia" w:ascii="仿宋_GB2312" w:hAnsi="仿宋" w:eastAsia="仿宋_GB2312"/>
          <w:szCs w:val="28"/>
        </w:rPr>
        <w:t>（二）本合同执行期间，如遇不可抗力，致使合同无法履行时，买卖双方应按有关法律规定及时协商处理。</w:t>
      </w:r>
    </w:p>
    <w:p>
      <w:pPr>
        <w:spacing w:line="480" w:lineRule="exact"/>
        <w:rPr>
          <w:rFonts w:hint="eastAsia" w:ascii="仿宋_GB2312" w:hAnsi="仿宋" w:eastAsia="仿宋_GB2312"/>
          <w:szCs w:val="28"/>
        </w:rPr>
      </w:pPr>
      <w:r>
        <w:rPr>
          <w:rFonts w:hint="eastAsia" w:ascii="仿宋_GB2312" w:hAnsi="仿宋" w:eastAsia="仿宋_GB2312"/>
          <w:szCs w:val="28"/>
        </w:rPr>
        <w:t>（三）合同未尽事宜，买卖双方另行签订补充协议，补充协议是合同的组成部分。</w:t>
      </w:r>
    </w:p>
    <w:p>
      <w:pPr>
        <w:spacing w:line="480" w:lineRule="exact"/>
        <w:rPr>
          <w:rFonts w:hint="eastAsia" w:ascii="仿宋_GB2312" w:hAnsi="仿宋" w:eastAsia="仿宋_GB2312"/>
          <w:szCs w:val="28"/>
        </w:rPr>
      </w:pPr>
      <w:r>
        <w:rPr>
          <w:rFonts w:hint="eastAsia" w:ascii="仿宋_GB2312" w:hAnsi="仿宋" w:eastAsia="仿宋_GB2312"/>
          <w:szCs w:val="28"/>
        </w:rPr>
        <w:t xml:space="preserve">（四）本合同如发生纠纷，买卖双方应当及时协商解决，协商不成时，向 买方所在地  人民法院起诉。   </w:t>
      </w:r>
    </w:p>
    <w:p>
      <w:pPr>
        <w:spacing w:line="480" w:lineRule="exact"/>
        <w:rPr>
          <w:rFonts w:hint="eastAsia" w:ascii="仿宋_GB2312" w:hAnsi="仿宋" w:eastAsia="仿宋_GB2312"/>
          <w:szCs w:val="28"/>
        </w:rPr>
      </w:pPr>
      <w:r>
        <w:rPr>
          <w:rFonts w:hint="eastAsia" w:ascii="仿宋_GB2312" w:hAnsi="仿宋" w:eastAsia="仿宋_GB2312"/>
          <w:szCs w:val="28"/>
        </w:rPr>
        <w:t>本合同一式陆份，自买卖双方法定代表人或委托代理人签字加盖单位公章后生效。</w:t>
      </w:r>
    </w:p>
    <w:p>
      <w:pPr>
        <w:spacing w:line="480" w:lineRule="exact"/>
        <w:rPr>
          <w:rFonts w:hint="eastAsia" w:ascii="仿宋_GB2312" w:hAnsi="仿宋" w:eastAsia="仿宋_GB2312"/>
          <w:szCs w:val="28"/>
        </w:rPr>
      </w:pPr>
      <w:r>
        <w:rPr>
          <w:rFonts w:hint="eastAsia" w:ascii="仿宋_GB2312" w:hAnsi="仿宋" w:eastAsia="仿宋_GB2312"/>
          <w:szCs w:val="28"/>
        </w:rPr>
        <w:t xml:space="preserve">买    方：                           卖    方：             </w:t>
      </w:r>
    </w:p>
    <w:p>
      <w:pPr>
        <w:spacing w:line="480" w:lineRule="exact"/>
        <w:rPr>
          <w:rFonts w:hint="eastAsia" w:ascii="仿宋_GB2312" w:hAnsi="仿宋" w:eastAsia="仿宋_GB2312"/>
          <w:szCs w:val="28"/>
        </w:rPr>
      </w:pPr>
      <w:r>
        <w:rPr>
          <w:rFonts w:hint="eastAsia" w:ascii="仿宋_GB2312" w:hAnsi="仿宋" w:eastAsia="仿宋_GB2312"/>
          <w:szCs w:val="28"/>
        </w:rPr>
        <w:t>单位盖章：                           单位盖章：</w:t>
      </w:r>
    </w:p>
    <w:p>
      <w:pPr>
        <w:spacing w:line="480" w:lineRule="exact"/>
        <w:rPr>
          <w:rFonts w:hint="eastAsia" w:ascii="仿宋_GB2312" w:hAnsi="仿宋" w:eastAsia="仿宋_GB2312"/>
          <w:szCs w:val="28"/>
        </w:rPr>
      </w:pPr>
      <w:r>
        <w:rPr>
          <w:rFonts w:hint="eastAsia" w:ascii="仿宋_GB2312" w:hAnsi="仿宋" w:eastAsia="仿宋_GB2312"/>
          <w:szCs w:val="28"/>
        </w:rPr>
        <w:t>法定代表人或委托代理人：             法定代表人或委托代理人：</w:t>
      </w:r>
    </w:p>
    <w:p>
      <w:pPr>
        <w:spacing w:line="480" w:lineRule="exact"/>
        <w:rPr>
          <w:rFonts w:ascii="仿宋_GB2312" w:hAnsi="仿宋" w:eastAsia="仿宋_GB2312"/>
          <w:szCs w:val="28"/>
        </w:rPr>
      </w:pPr>
      <w:r>
        <w:rPr>
          <w:rFonts w:hint="eastAsia" w:ascii="仿宋_GB2312" w:hAnsi="仿宋" w:eastAsia="仿宋_GB2312"/>
          <w:szCs w:val="28"/>
        </w:rPr>
        <w:t>日    期：                           日    期:</w:t>
      </w: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pStyle w:val="2"/>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rPr>
      </w:pPr>
      <w:bookmarkStart w:id="109" w:name="_Toc479170303"/>
      <w:bookmarkStart w:id="110" w:name="_Toc516580573"/>
      <w:r>
        <w:rPr>
          <w:rFonts w:hint="eastAsia" w:ascii="华文中宋" w:hAnsi="华文中宋" w:eastAsia="华文中宋"/>
          <w:b/>
          <w:bCs/>
          <w:color w:val="000000" w:themeColor="text1"/>
          <w:sz w:val="36"/>
          <w:szCs w:val="36"/>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spacing w:line="360" w:lineRule="auto"/>
        <w:ind w:firstLine="437"/>
        <w:rPr>
          <w:rFonts w:ascii="宋体" w:hAnsi="宋体" w:eastAsia="宋体"/>
          <w:b/>
          <w:sz w:val="24"/>
          <w:szCs w:val="18"/>
        </w:rPr>
      </w:pPr>
      <w:r>
        <w:rPr>
          <w:rFonts w:hint="eastAsia" w:ascii="宋体" w:hAnsi="宋体" w:eastAsia="宋体"/>
          <w:b/>
          <w:sz w:val="24"/>
          <w:szCs w:val="18"/>
        </w:rPr>
        <w:t>1．线下咨询会及高中展示牌</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w:t>
      </w:r>
    </w:p>
    <w:p>
      <w:pPr>
        <w:spacing w:line="360" w:lineRule="auto"/>
        <w:ind w:firstLine="437"/>
        <w:rPr>
          <w:rFonts w:ascii="宋体" w:hAnsi="宋体" w:eastAsia="宋体"/>
          <w:sz w:val="24"/>
          <w:szCs w:val="18"/>
        </w:rPr>
      </w:pPr>
      <w:r>
        <w:rPr>
          <w:rFonts w:hint="eastAsia" w:ascii="宋体" w:hAnsi="宋体" w:eastAsia="宋体"/>
          <w:sz w:val="24"/>
          <w:szCs w:val="18"/>
        </w:rPr>
        <w:t>1、7</w:t>
      </w:r>
      <w:r>
        <w:rPr>
          <w:rFonts w:ascii="宋体" w:hAnsi="宋体" w:eastAsia="宋体"/>
          <w:sz w:val="24"/>
          <w:szCs w:val="18"/>
        </w:rPr>
        <w:t>条线下进中学宣传线路，</w:t>
      </w:r>
      <w:r>
        <w:rPr>
          <w:rFonts w:hint="eastAsia" w:ascii="宋体" w:hAnsi="宋体" w:eastAsia="宋体"/>
          <w:sz w:val="24"/>
          <w:szCs w:val="18"/>
        </w:rPr>
        <w:t>覆盖安徽省不少于9个地市，进入不少于45所生源对口高中；</w:t>
      </w:r>
    </w:p>
    <w:p>
      <w:pPr>
        <w:spacing w:line="360" w:lineRule="auto"/>
        <w:ind w:firstLine="437"/>
        <w:rPr>
          <w:rFonts w:ascii="宋体" w:hAnsi="宋体" w:eastAsia="宋体"/>
          <w:sz w:val="24"/>
          <w:szCs w:val="18"/>
        </w:rPr>
      </w:pPr>
      <w:r>
        <w:rPr>
          <w:rFonts w:hint="eastAsia" w:ascii="宋体" w:hAnsi="宋体" w:eastAsia="宋体"/>
          <w:sz w:val="24"/>
          <w:szCs w:val="18"/>
        </w:rPr>
        <w:t>2、覆盖招生类型：秋招</w:t>
      </w:r>
    </w:p>
    <w:p>
      <w:pPr>
        <w:spacing w:line="360" w:lineRule="auto"/>
        <w:ind w:firstLine="437"/>
        <w:rPr>
          <w:rFonts w:ascii="宋体" w:hAnsi="宋体" w:eastAsia="宋体"/>
          <w:sz w:val="24"/>
          <w:szCs w:val="18"/>
        </w:rPr>
      </w:pPr>
      <w:r>
        <w:rPr>
          <w:rFonts w:hint="eastAsia" w:ascii="宋体" w:hAnsi="宋体" w:eastAsia="宋体"/>
          <w:sz w:val="24"/>
          <w:szCs w:val="18"/>
        </w:rPr>
        <w:t>3、供应商在</w:t>
      </w:r>
      <w:r>
        <w:rPr>
          <w:rFonts w:ascii="宋体" w:hAnsi="宋体" w:eastAsia="宋体"/>
          <w:sz w:val="24"/>
          <w:szCs w:val="18"/>
        </w:rPr>
        <w:t>202</w:t>
      </w:r>
      <w:r>
        <w:rPr>
          <w:rFonts w:hint="eastAsia" w:ascii="宋体" w:hAnsi="宋体" w:eastAsia="宋体"/>
          <w:sz w:val="24"/>
          <w:szCs w:val="18"/>
        </w:rPr>
        <w:t>3</w:t>
      </w:r>
      <w:r>
        <w:rPr>
          <w:rFonts w:ascii="宋体" w:hAnsi="宋体" w:eastAsia="宋体"/>
          <w:sz w:val="24"/>
          <w:szCs w:val="18"/>
        </w:rPr>
        <w:t>年高考出分后到报考前组织</w:t>
      </w:r>
      <w:r>
        <w:rPr>
          <w:rFonts w:hint="eastAsia" w:ascii="宋体" w:hAnsi="宋体" w:eastAsia="宋体"/>
          <w:sz w:val="24"/>
          <w:szCs w:val="18"/>
        </w:rPr>
        <w:t>采购人</w:t>
      </w:r>
      <w:r>
        <w:rPr>
          <w:rFonts w:ascii="宋体" w:hAnsi="宋体" w:eastAsia="宋体"/>
          <w:sz w:val="24"/>
          <w:szCs w:val="18"/>
        </w:rPr>
        <w:t>进入安徽省各地市开展秋季招生宣传活动</w:t>
      </w:r>
      <w:r>
        <w:rPr>
          <w:rFonts w:hint="eastAsia" w:ascii="宋体" w:hAnsi="宋体" w:eastAsia="宋体"/>
          <w:sz w:val="24"/>
          <w:szCs w:val="18"/>
        </w:rPr>
        <w:t>；</w:t>
      </w:r>
    </w:p>
    <w:p>
      <w:pPr>
        <w:spacing w:line="360" w:lineRule="auto"/>
        <w:ind w:firstLine="437"/>
        <w:rPr>
          <w:rFonts w:ascii="宋体" w:hAnsi="宋体" w:eastAsia="宋体"/>
          <w:sz w:val="24"/>
          <w:szCs w:val="18"/>
        </w:rPr>
      </w:pPr>
      <w:r>
        <w:rPr>
          <w:rFonts w:hint="eastAsia" w:ascii="宋体" w:hAnsi="宋体" w:eastAsia="宋体"/>
          <w:sz w:val="24"/>
          <w:szCs w:val="18"/>
        </w:rPr>
        <w:t>4、覆盖高中应以省级示范高中为主，与采购人近年生源情况相匹配。</w:t>
      </w:r>
    </w:p>
    <w:p>
      <w:pPr>
        <w:spacing w:line="360" w:lineRule="auto"/>
        <w:ind w:firstLine="437"/>
        <w:rPr>
          <w:rFonts w:ascii="宋体" w:hAnsi="宋体" w:eastAsia="宋体"/>
          <w:sz w:val="24"/>
          <w:szCs w:val="18"/>
        </w:rPr>
      </w:pPr>
      <w:r>
        <w:rPr>
          <w:rFonts w:hint="eastAsia" w:ascii="宋体" w:hAnsi="宋体" w:eastAsia="宋体"/>
          <w:sz w:val="24"/>
          <w:szCs w:val="18"/>
        </w:rPr>
        <w:t>5、供应商统一安排食宿行，同一地点集合出发，采购人只负责准备宣传物资，宣传人员到集合点出发即可，活动结束后再统一返回出发点。</w:t>
      </w:r>
    </w:p>
    <w:p>
      <w:pPr>
        <w:spacing w:line="360" w:lineRule="auto"/>
        <w:ind w:firstLine="437"/>
        <w:rPr>
          <w:rFonts w:ascii="宋体" w:hAnsi="宋体" w:eastAsia="宋体"/>
          <w:sz w:val="24"/>
          <w:szCs w:val="18"/>
        </w:rPr>
      </w:pPr>
      <w:r>
        <w:rPr>
          <w:rFonts w:hint="eastAsia" w:ascii="宋体" w:hAnsi="宋体" w:eastAsia="宋体"/>
          <w:sz w:val="24"/>
          <w:szCs w:val="18"/>
        </w:rPr>
        <w:t>6、宣传人员可以与学生家长进行面对面交流。</w:t>
      </w:r>
    </w:p>
    <w:p>
      <w:pPr>
        <w:spacing w:line="360" w:lineRule="auto"/>
        <w:ind w:firstLine="437"/>
        <w:rPr>
          <w:rFonts w:ascii="宋体" w:hAnsi="宋体" w:eastAsia="宋体"/>
          <w:sz w:val="24"/>
          <w:szCs w:val="18"/>
        </w:rPr>
      </w:pPr>
      <w:r>
        <w:rPr>
          <w:rFonts w:hint="eastAsia" w:ascii="宋体" w:hAnsi="宋体" w:eastAsia="宋体"/>
          <w:sz w:val="24"/>
          <w:szCs w:val="18"/>
        </w:rPr>
        <w:t>7、高中展示牌：要求供应商将我校</w:t>
      </w:r>
      <w:r>
        <w:rPr>
          <w:rFonts w:ascii="宋体" w:hAnsi="宋体" w:eastAsia="宋体"/>
          <w:sz w:val="24"/>
          <w:szCs w:val="18"/>
        </w:rPr>
        <w:t>2022年已</w:t>
      </w:r>
      <w:r>
        <w:rPr>
          <w:rFonts w:hint="eastAsia" w:ascii="宋体" w:hAnsi="宋体" w:eastAsia="宋体"/>
          <w:sz w:val="24"/>
          <w:szCs w:val="18"/>
        </w:rPr>
        <w:t>在安徽省高中</w:t>
      </w:r>
      <w:r>
        <w:rPr>
          <w:rFonts w:ascii="宋体" w:hAnsi="宋体" w:eastAsia="宋体"/>
          <w:sz w:val="24"/>
          <w:szCs w:val="18"/>
        </w:rPr>
        <w:t>建设的20所重点高中的专属展示牌</w:t>
      </w:r>
      <w:r>
        <w:rPr>
          <w:rFonts w:hint="eastAsia" w:ascii="宋体" w:hAnsi="宋体" w:eastAsia="宋体"/>
          <w:sz w:val="24"/>
          <w:szCs w:val="18"/>
        </w:rPr>
        <w:t>进行</w:t>
      </w:r>
      <w:r>
        <w:rPr>
          <w:rFonts w:ascii="宋体" w:hAnsi="宋体" w:eastAsia="宋体"/>
          <w:sz w:val="24"/>
          <w:szCs w:val="18"/>
        </w:rPr>
        <w:t>维护，实现20所高中专属展示牌的内容更新</w:t>
      </w:r>
      <w:r>
        <w:rPr>
          <w:rFonts w:hint="eastAsia" w:ascii="宋体" w:hAnsi="宋体" w:eastAsia="宋体"/>
          <w:sz w:val="24"/>
          <w:szCs w:val="18"/>
        </w:rPr>
        <w:t>。</w:t>
      </w:r>
      <w:r>
        <w:rPr>
          <w:rFonts w:ascii="宋体" w:hAnsi="宋体" w:eastAsia="宋体"/>
          <w:sz w:val="24"/>
          <w:szCs w:val="18"/>
        </w:rPr>
        <w:t>20所重点高中</w:t>
      </w:r>
      <w:r>
        <w:rPr>
          <w:rFonts w:hint="eastAsia" w:ascii="宋体" w:hAnsi="宋体" w:eastAsia="宋体"/>
          <w:sz w:val="24"/>
          <w:szCs w:val="18"/>
        </w:rPr>
        <w:t>名单：北京师范大学蚌埠附属学校、涡阳一中、合肥六中、合肥七中、巢湖二中、庐江二中、界首一中、阜阳五中、阜南一中、定远中学、明光中学、含山中学、马鞍山中加双语学校、宣城中学、淮南二中、潜山野寨中学、舒城一中、寿县一中、太和一中、颖上一中。</w:t>
      </w:r>
    </w:p>
    <w:p>
      <w:pPr>
        <w:pStyle w:val="3"/>
        <w:snapToGrid w:val="0"/>
        <w:spacing w:before="0" w:after="0"/>
        <w:jc w:val="center"/>
        <w:rPr>
          <w:rFonts w:hint="eastAsia" w:ascii="华文中宋" w:hAnsi="华文中宋" w:eastAsia="华文中宋"/>
          <w:b w:val="0"/>
          <w:bCs w:val="0"/>
          <w:color w:val="000000" w:themeColor="text1"/>
        </w:rPr>
      </w:pPr>
    </w:p>
    <w:p>
      <w:pPr>
        <w:rPr>
          <w:rFonts w:hint="eastAsia" w:ascii="华文中宋" w:hAnsi="华文中宋" w:eastAsia="华文中宋"/>
          <w:color w:val="000000" w:themeColor="text1"/>
        </w:rPr>
      </w:pPr>
    </w:p>
    <w:p>
      <w:pPr>
        <w:pStyle w:val="3"/>
        <w:snapToGrid w:val="0"/>
        <w:spacing w:before="0" w:after="0"/>
        <w:ind w:left="0" w:leftChars="0" w:firstLine="0" w:firstLineChars="0"/>
        <w:jc w:val="both"/>
        <w:rPr>
          <w:rFonts w:hint="eastAsia" w:ascii="华文中宋" w:hAnsi="华文中宋" w:eastAsia="华文中宋"/>
          <w:color w:val="000000" w:themeColor="text1"/>
        </w:rPr>
      </w:pPr>
    </w:p>
    <w:p>
      <w:pPr>
        <w:rPr>
          <w:rFonts w:hint="eastAsia"/>
        </w:rPr>
      </w:pPr>
    </w:p>
    <w:p>
      <w:pPr>
        <w:pStyle w:val="3"/>
        <w:snapToGrid w:val="0"/>
        <w:spacing w:before="0" w:after="0"/>
        <w:ind w:left="0" w:leftChars="0" w:firstLine="1441" w:firstLineChars="400"/>
        <w:jc w:val="both"/>
        <w:rPr>
          <w:rFonts w:hint="eastAsia" w:ascii="华文中宋" w:hAnsi="华文中宋" w:eastAsia="华文中宋"/>
          <w:color w:val="000000" w:themeColor="text1"/>
        </w:rPr>
      </w:pPr>
    </w:p>
    <w:p>
      <w:pPr>
        <w:pStyle w:val="3"/>
        <w:snapToGrid w:val="0"/>
        <w:spacing w:before="0" w:after="0"/>
        <w:ind w:left="0" w:leftChars="0" w:firstLine="1441" w:firstLineChars="400"/>
        <w:jc w:val="both"/>
        <w:rPr>
          <w:rFonts w:ascii="华文中宋" w:hAnsi="华文中宋" w:eastAsia="华文中宋"/>
          <w:color w:val="000000" w:themeColor="text1"/>
        </w:rPr>
      </w:pPr>
      <w:r>
        <w:rPr>
          <w:rFonts w:hint="eastAsia" w:ascii="华文中宋" w:hAnsi="华文中宋" w:eastAsia="华文中宋"/>
          <w:color w:val="000000" w:themeColor="text1"/>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479170305"/>
      <w:bookmarkStart w:id="114" w:name="_Toc51658057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本次评标采用综合评分法，总分为100分，其中报价得分</w:t>
      </w:r>
      <w:r>
        <w:rPr>
          <w:rFonts w:hint="eastAsia" w:ascii="仿宋_GB2312" w:eastAsia="仿宋_GB2312"/>
          <w:szCs w:val="28"/>
          <w:lang w:val="en-US" w:eastAsia="zh-CN"/>
        </w:rPr>
        <w:t>3</w:t>
      </w:r>
      <w:r>
        <w:rPr>
          <w:rFonts w:hint="eastAsia" w:ascii="仿宋_GB2312" w:eastAsia="仿宋_GB2312"/>
          <w:szCs w:val="28"/>
        </w:rPr>
        <w:t>0分、技术得分</w:t>
      </w:r>
      <w:r>
        <w:rPr>
          <w:rFonts w:hint="eastAsia" w:ascii="仿宋_GB2312" w:eastAsia="仿宋_GB2312"/>
          <w:szCs w:val="28"/>
          <w:lang w:val="en-US" w:eastAsia="zh-CN"/>
        </w:rPr>
        <w:t>7</w:t>
      </w:r>
      <w:r>
        <w:rPr>
          <w:rFonts w:hint="eastAsia" w:ascii="仿宋_GB2312" w:eastAsia="仿宋_GB2312"/>
          <w:szCs w:val="28"/>
        </w:rPr>
        <w:t>0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pPr>
        <w:adjustRightInd w:val="0"/>
        <w:snapToGrid w:val="0"/>
        <w:spacing w:line="360" w:lineRule="auto"/>
        <w:ind w:firstLine="560" w:firstLineChars="200"/>
        <w:rPr>
          <w:rFonts w:hint="eastAsia" w:ascii="仿宋_GB2312" w:eastAsia="仿宋_GB2312"/>
          <w:szCs w:val="28"/>
        </w:rPr>
      </w:pP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投标人评标综合得分=报价得分+技术得分</w:t>
      </w:r>
    </w:p>
    <w:p>
      <w:pPr>
        <w:pStyle w:val="2"/>
        <w:rPr>
          <w:rFonts w:hint="eastAsia" w:ascii="仿宋_GB2312" w:eastAsia="仿宋_GB2312"/>
          <w:szCs w:val="28"/>
        </w:rPr>
      </w:pPr>
    </w:p>
    <w:p>
      <w:pPr>
        <w:pStyle w:val="2"/>
        <w:rPr>
          <w:rFonts w:hint="eastAsia" w:ascii="仿宋_GB2312" w:eastAsia="仿宋_GB2312"/>
          <w:szCs w:val="28"/>
        </w:rPr>
      </w:pPr>
    </w:p>
    <w:p>
      <w:pPr>
        <w:pStyle w:val="2"/>
        <w:rPr>
          <w:rFonts w:hint="eastAsia" w:ascii="仿宋_GB2312" w:eastAsia="仿宋_GB2312"/>
          <w:szCs w:val="28"/>
        </w:rPr>
      </w:pPr>
    </w:p>
    <w:p>
      <w:pPr>
        <w:pStyle w:val="2"/>
        <w:rPr>
          <w:rFonts w:hint="eastAsia" w:ascii="仿宋_GB2312" w:eastAsia="仿宋_GB2312"/>
          <w:szCs w:val="28"/>
        </w:rPr>
      </w:pPr>
    </w:p>
    <w:p>
      <w:pPr>
        <w:pStyle w:val="2"/>
        <w:rPr>
          <w:rFonts w:hint="eastAsia"/>
        </w:rPr>
      </w:pPr>
    </w:p>
    <w:tbl>
      <w:tblPr>
        <w:tblStyle w:val="23"/>
        <w:tblW w:w="907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08"/>
        <w:gridCol w:w="567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shd w:val="clear" w:color="000000" w:fill="FFFFFF"/>
            <w:vAlign w:val="center"/>
          </w:tcPr>
          <w:p>
            <w:pPr>
              <w:spacing w:line="360" w:lineRule="auto"/>
              <w:jc w:val="center"/>
              <w:rPr>
                <w:rFonts w:ascii="宋体" w:hAnsi="宋体" w:eastAsia="宋体"/>
                <w:sz w:val="21"/>
                <w:szCs w:val="21"/>
              </w:rPr>
            </w:pPr>
            <w:r>
              <w:rPr>
                <w:rFonts w:hint="eastAsia" w:ascii="宋体" w:hAnsi="宋体" w:eastAsia="宋体"/>
                <w:sz w:val="21"/>
                <w:szCs w:val="21"/>
              </w:rPr>
              <w:t>类别</w:t>
            </w:r>
          </w:p>
        </w:tc>
        <w:tc>
          <w:tcPr>
            <w:tcW w:w="1208" w:type="dxa"/>
            <w:shd w:val="clear" w:color="000000" w:fill="FFFFFF"/>
            <w:vAlign w:val="center"/>
          </w:tcPr>
          <w:p>
            <w:pPr>
              <w:spacing w:line="360" w:lineRule="auto"/>
              <w:jc w:val="center"/>
              <w:rPr>
                <w:rFonts w:ascii="宋体" w:hAnsi="宋体" w:eastAsia="宋体"/>
                <w:sz w:val="21"/>
                <w:szCs w:val="21"/>
              </w:rPr>
            </w:pPr>
            <w:r>
              <w:rPr>
                <w:rFonts w:hint="eastAsia" w:ascii="宋体" w:hAnsi="宋体" w:eastAsia="宋体"/>
                <w:sz w:val="21"/>
                <w:szCs w:val="21"/>
              </w:rPr>
              <w:t>评分内容</w:t>
            </w:r>
          </w:p>
        </w:tc>
        <w:tc>
          <w:tcPr>
            <w:tcW w:w="5670" w:type="dxa"/>
            <w:shd w:val="clear" w:color="000000" w:fill="FFFFFF"/>
            <w:vAlign w:val="center"/>
          </w:tcPr>
          <w:p>
            <w:pPr>
              <w:spacing w:line="360" w:lineRule="auto"/>
              <w:ind w:firstLine="482"/>
              <w:jc w:val="center"/>
              <w:rPr>
                <w:rFonts w:ascii="宋体" w:hAnsi="宋体" w:eastAsia="宋体"/>
                <w:sz w:val="21"/>
                <w:szCs w:val="21"/>
              </w:rPr>
            </w:pPr>
            <w:r>
              <w:rPr>
                <w:rFonts w:hint="eastAsia" w:ascii="宋体" w:hAnsi="宋体" w:eastAsia="宋体"/>
                <w:sz w:val="21"/>
                <w:szCs w:val="21"/>
              </w:rPr>
              <w:t>评分标准</w:t>
            </w:r>
          </w:p>
        </w:tc>
        <w:tc>
          <w:tcPr>
            <w:tcW w:w="724" w:type="dxa"/>
            <w:shd w:val="clear" w:color="000000" w:fill="FFFFFF"/>
          </w:tcPr>
          <w:p>
            <w:pPr>
              <w:spacing w:line="360" w:lineRule="auto"/>
              <w:rPr>
                <w:rFonts w:ascii="宋体" w:hAnsi="宋体" w:eastAsia="宋体"/>
                <w:sz w:val="21"/>
                <w:szCs w:val="21"/>
              </w:rPr>
            </w:pPr>
            <w:r>
              <w:rPr>
                <w:rFonts w:hint="eastAsia" w:ascii="宋体" w:hAnsi="宋体" w:eastAsia="宋体"/>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470" w:type="dxa"/>
            <w:vMerge w:val="restart"/>
            <w:vAlign w:val="center"/>
          </w:tcPr>
          <w:p>
            <w:pPr>
              <w:spacing w:line="360" w:lineRule="auto"/>
              <w:jc w:val="center"/>
              <w:rPr>
                <w:rFonts w:ascii="宋体" w:hAnsi="宋体" w:eastAsia="宋体"/>
                <w:sz w:val="21"/>
                <w:szCs w:val="21"/>
              </w:rPr>
            </w:pPr>
            <w:r>
              <w:rPr>
                <w:rFonts w:hint="eastAsia" w:ascii="宋体" w:hAnsi="宋体" w:eastAsia="宋体"/>
                <w:sz w:val="21"/>
                <w:szCs w:val="21"/>
              </w:rPr>
              <w:t>技术资信分</w:t>
            </w:r>
          </w:p>
          <w:p>
            <w:pPr>
              <w:spacing w:line="360" w:lineRule="auto"/>
              <w:jc w:val="center"/>
              <w:rPr>
                <w:rFonts w:ascii="宋体" w:hAnsi="宋体" w:eastAsia="宋体"/>
                <w:sz w:val="21"/>
                <w:szCs w:val="21"/>
              </w:rPr>
            </w:pPr>
            <w:r>
              <w:rPr>
                <w:rFonts w:hint="eastAsia" w:ascii="宋体" w:hAnsi="宋体" w:eastAsia="宋体"/>
                <w:sz w:val="21"/>
                <w:szCs w:val="21"/>
              </w:rPr>
              <w:t>（70分）</w:t>
            </w:r>
          </w:p>
        </w:tc>
        <w:tc>
          <w:tcPr>
            <w:tcW w:w="1208"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与学校的签约情况</w:t>
            </w:r>
          </w:p>
        </w:tc>
        <w:tc>
          <w:tcPr>
            <w:tcW w:w="5670" w:type="dxa"/>
            <w:vAlign w:val="center"/>
          </w:tcPr>
          <w:p>
            <w:pPr>
              <w:numPr>
                <w:ilvl w:val="0"/>
                <w:numId w:val="3"/>
              </w:numPr>
              <w:spacing w:line="360" w:lineRule="auto"/>
              <w:jc w:val="left"/>
              <w:rPr>
                <w:rFonts w:ascii="宋体" w:hAnsi="宋体" w:eastAsia="宋体"/>
                <w:sz w:val="21"/>
                <w:szCs w:val="21"/>
              </w:rPr>
            </w:pPr>
            <w:r>
              <w:rPr>
                <w:rFonts w:hint="eastAsia" w:ascii="宋体" w:hAnsi="宋体" w:eastAsia="宋体"/>
                <w:sz w:val="21"/>
                <w:szCs w:val="21"/>
              </w:rPr>
              <w:t>投标人在采购人招生省份签约高中数量</w:t>
            </w:r>
            <w:r>
              <w:rPr>
                <w:rFonts w:ascii="宋体" w:hAnsi="宋体" w:eastAsia="宋体"/>
                <w:sz w:val="21"/>
                <w:szCs w:val="21"/>
              </w:rPr>
              <w:t>：</w:t>
            </w:r>
          </w:p>
          <w:p>
            <w:pPr>
              <w:spacing w:line="360" w:lineRule="auto"/>
              <w:jc w:val="left"/>
              <w:rPr>
                <w:rFonts w:ascii="宋体" w:hAnsi="宋体" w:eastAsia="宋体"/>
                <w:sz w:val="21"/>
                <w:szCs w:val="21"/>
              </w:rPr>
            </w:pPr>
            <w:r>
              <w:rPr>
                <w:rFonts w:hint="eastAsia" w:ascii="宋体" w:hAnsi="宋体" w:eastAsia="宋体"/>
                <w:sz w:val="21"/>
                <w:szCs w:val="21"/>
              </w:rPr>
              <w:t>已签约数量1-10所的，得3分；</w:t>
            </w:r>
          </w:p>
          <w:p>
            <w:pPr>
              <w:spacing w:line="360" w:lineRule="auto"/>
              <w:jc w:val="left"/>
              <w:rPr>
                <w:rFonts w:ascii="宋体" w:hAnsi="宋体" w:eastAsia="宋体"/>
                <w:sz w:val="21"/>
                <w:szCs w:val="21"/>
              </w:rPr>
            </w:pPr>
            <w:r>
              <w:rPr>
                <w:rFonts w:hint="eastAsia" w:ascii="宋体" w:hAnsi="宋体" w:eastAsia="宋体"/>
                <w:sz w:val="21"/>
                <w:szCs w:val="21"/>
              </w:rPr>
              <w:t>已签约数量11-20所得6分；</w:t>
            </w:r>
          </w:p>
          <w:p>
            <w:pPr>
              <w:spacing w:line="360" w:lineRule="auto"/>
              <w:jc w:val="left"/>
              <w:rPr>
                <w:rFonts w:ascii="宋体" w:hAnsi="宋体" w:eastAsia="宋体"/>
                <w:sz w:val="21"/>
                <w:szCs w:val="21"/>
              </w:rPr>
            </w:pPr>
            <w:r>
              <w:rPr>
                <w:rFonts w:hint="eastAsia" w:ascii="宋体" w:hAnsi="宋体" w:eastAsia="宋体"/>
                <w:sz w:val="21"/>
                <w:szCs w:val="21"/>
              </w:rPr>
              <w:t>已签约数量21-30所得9分；</w:t>
            </w:r>
          </w:p>
          <w:p>
            <w:pPr>
              <w:spacing w:line="360" w:lineRule="auto"/>
              <w:jc w:val="left"/>
              <w:rPr>
                <w:rFonts w:ascii="宋体" w:hAnsi="宋体" w:eastAsia="宋体"/>
                <w:sz w:val="21"/>
                <w:szCs w:val="21"/>
              </w:rPr>
            </w:pPr>
            <w:r>
              <w:rPr>
                <w:rFonts w:hint="eastAsia" w:ascii="宋体" w:hAnsi="宋体" w:eastAsia="宋体"/>
                <w:sz w:val="21"/>
                <w:szCs w:val="21"/>
              </w:rPr>
              <w:t>已签约数量31-40所得12分；</w:t>
            </w:r>
          </w:p>
          <w:p>
            <w:pPr>
              <w:spacing w:line="360" w:lineRule="auto"/>
              <w:jc w:val="left"/>
              <w:rPr>
                <w:rFonts w:ascii="宋体" w:hAnsi="宋体" w:eastAsia="宋体"/>
                <w:sz w:val="21"/>
                <w:szCs w:val="21"/>
              </w:rPr>
            </w:pPr>
            <w:r>
              <w:rPr>
                <w:rFonts w:hint="eastAsia" w:ascii="宋体" w:hAnsi="宋体" w:eastAsia="宋体"/>
                <w:sz w:val="21"/>
                <w:szCs w:val="21"/>
              </w:rPr>
              <w:t>已签约数量41-50所得15分；</w:t>
            </w:r>
          </w:p>
          <w:p>
            <w:pPr>
              <w:spacing w:line="360" w:lineRule="auto"/>
              <w:jc w:val="left"/>
              <w:rPr>
                <w:rFonts w:ascii="宋体" w:hAnsi="宋体" w:eastAsia="宋体"/>
                <w:sz w:val="21"/>
                <w:szCs w:val="21"/>
              </w:rPr>
            </w:pPr>
            <w:r>
              <w:rPr>
                <w:rFonts w:hint="eastAsia" w:ascii="宋体" w:hAnsi="宋体" w:eastAsia="宋体"/>
                <w:sz w:val="21"/>
                <w:szCs w:val="21"/>
              </w:rPr>
              <w:t>已签约数量50所以上得18分；</w:t>
            </w:r>
          </w:p>
          <w:p>
            <w:pPr>
              <w:spacing w:line="360" w:lineRule="auto"/>
              <w:jc w:val="left"/>
              <w:rPr>
                <w:rFonts w:ascii="宋体" w:hAnsi="宋体" w:eastAsia="宋体"/>
                <w:sz w:val="21"/>
                <w:szCs w:val="21"/>
              </w:rPr>
            </w:pPr>
            <w:r>
              <w:rPr>
                <w:rFonts w:hint="eastAsia" w:ascii="宋体" w:hAnsi="宋体" w:eastAsia="宋体"/>
                <w:sz w:val="21"/>
                <w:szCs w:val="21"/>
              </w:rPr>
              <w:t>注：响应文件中需要提供对应高中签约的协议复印件</w:t>
            </w:r>
            <w:r>
              <w:rPr>
                <w:rFonts w:ascii="宋体" w:hAnsi="宋体" w:eastAsia="宋体"/>
                <w:sz w:val="21"/>
                <w:szCs w:val="21"/>
              </w:rPr>
              <w:t>，</w:t>
            </w:r>
            <w:r>
              <w:rPr>
                <w:rFonts w:hint="eastAsia" w:ascii="宋体" w:hAnsi="宋体" w:eastAsia="宋体"/>
                <w:sz w:val="21"/>
                <w:szCs w:val="21"/>
              </w:rPr>
              <w:t>并且后续提供原件备查</w:t>
            </w:r>
            <w:r>
              <w:rPr>
                <w:rFonts w:ascii="宋体" w:hAnsi="宋体" w:eastAsia="宋体"/>
                <w:sz w:val="21"/>
                <w:szCs w:val="21"/>
              </w:rPr>
              <w:t>。</w:t>
            </w:r>
          </w:p>
        </w:tc>
        <w:tc>
          <w:tcPr>
            <w:tcW w:w="724"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470" w:type="dxa"/>
            <w:vMerge w:val="continue"/>
            <w:vAlign w:val="center"/>
          </w:tcPr>
          <w:p>
            <w:pPr>
              <w:spacing w:line="360" w:lineRule="auto"/>
              <w:jc w:val="center"/>
              <w:rPr>
                <w:rFonts w:ascii="宋体" w:hAnsi="宋体" w:eastAsia="宋体"/>
                <w:sz w:val="21"/>
                <w:szCs w:val="21"/>
              </w:rPr>
            </w:pPr>
          </w:p>
        </w:tc>
        <w:tc>
          <w:tcPr>
            <w:tcW w:w="1208"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投标人生源覆盖情况</w:t>
            </w:r>
          </w:p>
        </w:tc>
        <w:tc>
          <w:tcPr>
            <w:tcW w:w="5670" w:type="dxa"/>
            <w:vAlign w:val="center"/>
          </w:tcPr>
          <w:p>
            <w:pPr>
              <w:widowControl/>
              <w:spacing w:line="360" w:lineRule="auto"/>
              <w:jc w:val="left"/>
              <w:rPr>
                <w:sz w:val="21"/>
                <w:szCs w:val="21"/>
              </w:rPr>
            </w:pPr>
            <w:r>
              <w:rPr>
                <w:rFonts w:hint="eastAsia" w:ascii="宋体" w:hAnsi="宋体" w:eastAsia="宋体"/>
                <w:sz w:val="21"/>
                <w:szCs w:val="21"/>
              </w:rPr>
              <w:t>投标人生源覆盖率，覆盖2省以上得2分，覆盖4个省以上得6分，覆盖6个省以上得10分，覆盖8个省以上得14分，覆盖10个省以上得16分；覆盖12个省及以上得20分。提供</w:t>
            </w:r>
            <w:r>
              <w:rPr>
                <w:rFonts w:ascii="宋体" w:hAnsi="宋体" w:eastAsia="宋体"/>
                <w:sz w:val="21"/>
                <w:szCs w:val="21"/>
              </w:rPr>
              <w:t>2020年1月1日以来，与高中有招生宣传合作的证明文件，文件上需体现学校公章</w:t>
            </w:r>
            <w:r>
              <w:rPr>
                <w:rFonts w:hint="eastAsia" w:ascii="宋体" w:hAnsi="宋体" w:eastAsia="宋体"/>
                <w:sz w:val="21"/>
                <w:szCs w:val="21"/>
              </w:rPr>
              <w:t>。</w:t>
            </w:r>
          </w:p>
        </w:tc>
        <w:tc>
          <w:tcPr>
            <w:tcW w:w="724"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470" w:type="dxa"/>
            <w:vMerge w:val="continue"/>
            <w:vAlign w:val="center"/>
          </w:tcPr>
          <w:p>
            <w:pPr>
              <w:spacing w:line="360" w:lineRule="auto"/>
              <w:jc w:val="center"/>
              <w:rPr>
                <w:rFonts w:ascii="宋体" w:hAnsi="宋体" w:eastAsia="宋体"/>
                <w:sz w:val="21"/>
                <w:szCs w:val="21"/>
              </w:rPr>
            </w:pPr>
          </w:p>
        </w:tc>
        <w:tc>
          <w:tcPr>
            <w:tcW w:w="1208"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供应商业绩</w:t>
            </w:r>
          </w:p>
        </w:tc>
        <w:tc>
          <w:tcPr>
            <w:tcW w:w="5670" w:type="dxa"/>
            <w:vAlign w:val="center"/>
          </w:tcPr>
          <w:p>
            <w:pPr>
              <w:spacing w:line="360" w:lineRule="auto"/>
              <w:jc w:val="left"/>
              <w:rPr>
                <w:rFonts w:ascii="宋体" w:hAnsi="宋体" w:eastAsia="宋体"/>
                <w:sz w:val="21"/>
                <w:szCs w:val="21"/>
              </w:rPr>
            </w:pPr>
            <w:r>
              <w:rPr>
                <w:rFonts w:hint="eastAsia" w:ascii="宋体" w:hAnsi="宋体" w:eastAsia="宋体"/>
                <w:sz w:val="21"/>
                <w:szCs w:val="21"/>
              </w:rPr>
              <w:t>自2020年1月1日以来（以合同签订日期为准），具有类似学校业绩（进高中咨询会或高中展示牌）：</w:t>
            </w:r>
          </w:p>
          <w:p>
            <w:pPr>
              <w:spacing w:line="360" w:lineRule="auto"/>
              <w:jc w:val="left"/>
              <w:rPr>
                <w:rFonts w:ascii="宋体" w:hAnsi="宋体" w:eastAsia="宋体"/>
                <w:sz w:val="21"/>
                <w:szCs w:val="21"/>
              </w:rPr>
            </w:pPr>
            <w:r>
              <w:rPr>
                <w:rFonts w:hint="eastAsia" w:ascii="宋体" w:hAnsi="宋体" w:eastAsia="宋体"/>
                <w:sz w:val="21"/>
                <w:szCs w:val="21"/>
              </w:rPr>
              <w:t>1、每提供一个业绩得1分，同一类型业绩最多得10分，满分20分。</w:t>
            </w:r>
          </w:p>
          <w:p>
            <w:pPr>
              <w:spacing w:line="360" w:lineRule="auto"/>
              <w:jc w:val="left"/>
              <w:rPr>
                <w:rFonts w:ascii="宋体" w:hAnsi="宋体" w:eastAsia="宋体"/>
                <w:sz w:val="21"/>
                <w:szCs w:val="21"/>
              </w:rPr>
            </w:pPr>
            <w:r>
              <w:rPr>
                <w:rFonts w:hint="eastAsia" w:ascii="宋体" w:hAnsi="宋体" w:eastAsia="宋体"/>
                <w:sz w:val="21"/>
                <w:szCs w:val="21"/>
              </w:rPr>
              <w:t>注：响应文件中需要提供合同复印件，原件备查</w:t>
            </w:r>
            <w:r>
              <w:rPr>
                <w:rFonts w:ascii="宋体" w:hAnsi="宋体" w:eastAsia="宋体"/>
                <w:sz w:val="21"/>
                <w:szCs w:val="21"/>
              </w:rPr>
              <w:t>，</w:t>
            </w:r>
            <w:r>
              <w:rPr>
                <w:rFonts w:hint="eastAsia" w:ascii="宋体" w:hAnsi="宋体" w:eastAsia="宋体"/>
                <w:sz w:val="21"/>
                <w:szCs w:val="21"/>
              </w:rPr>
              <w:t>未提供不得分。同一业主单位不可累计加分。</w:t>
            </w:r>
          </w:p>
        </w:tc>
        <w:tc>
          <w:tcPr>
            <w:tcW w:w="724" w:type="dxa"/>
            <w:vAlign w:val="center"/>
          </w:tcPr>
          <w:p>
            <w:pPr>
              <w:spacing w:line="360" w:lineRule="auto"/>
              <w:rPr>
                <w:rFonts w:ascii="宋体" w:hAnsi="宋体" w:eastAsia="宋体"/>
                <w:sz w:val="21"/>
                <w:szCs w:val="21"/>
              </w:rPr>
            </w:pPr>
            <w:r>
              <w:rPr>
                <w:rFonts w:ascii="宋体" w:hAnsi="宋体" w:eastAsia="宋体"/>
                <w:sz w:val="21"/>
                <w:szCs w:val="21"/>
              </w:rPr>
              <w:t>0-</w:t>
            </w:r>
            <w:r>
              <w:rPr>
                <w:rFonts w:hint="eastAsia" w:ascii="宋体" w:hAnsi="宋体" w:eastAsia="宋体"/>
                <w:sz w:val="21"/>
                <w:szCs w:val="21"/>
              </w:rPr>
              <w:t>20</w:t>
            </w:r>
            <w:r>
              <w:rPr>
                <w:rFonts w:ascii="宋体" w:hAnsi="宋体" w:eastAsia="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470" w:type="dxa"/>
            <w:vMerge w:val="continue"/>
            <w:vAlign w:val="center"/>
          </w:tcPr>
          <w:p>
            <w:pPr>
              <w:spacing w:line="360" w:lineRule="auto"/>
              <w:jc w:val="center"/>
              <w:rPr>
                <w:rFonts w:ascii="宋体" w:hAnsi="宋体" w:eastAsia="宋体"/>
                <w:sz w:val="21"/>
                <w:szCs w:val="21"/>
              </w:rPr>
            </w:pPr>
          </w:p>
        </w:tc>
        <w:tc>
          <w:tcPr>
            <w:tcW w:w="1208"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服务方案</w:t>
            </w:r>
          </w:p>
        </w:tc>
        <w:tc>
          <w:tcPr>
            <w:tcW w:w="5670" w:type="dxa"/>
            <w:vAlign w:val="center"/>
          </w:tcPr>
          <w:p>
            <w:pPr>
              <w:spacing w:line="360" w:lineRule="auto"/>
              <w:jc w:val="left"/>
              <w:rPr>
                <w:rFonts w:ascii="宋体" w:hAnsi="宋体" w:eastAsia="宋体"/>
                <w:sz w:val="21"/>
                <w:szCs w:val="21"/>
              </w:rPr>
            </w:pPr>
            <w:r>
              <w:rPr>
                <w:rFonts w:hint="eastAsia" w:ascii="宋体" w:hAnsi="宋体" w:eastAsia="宋体"/>
                <w:sz w:val="21"/>
                <w:szCs w:val="21"/>
              </w:rPr>
              <w:t>针对该项目的健全有效的内部管理制度，由评标委员会进行横向比较，较好得12</w:t>
            </w:r>
            <w:r>
              <w:rPr>
                <w:rFonts w:ascii="宋体" w:hAnsi="宋体" w:eastAsia="宋体"/>
                <w:sz w:val="21"/>
                <w:szCs w:val="21"/>
              </w:rPr>
              <w:t>分，一般得</w:t>
            </w:r>
            <w:r>
              <w:rPr>
                <w:rFonts w:hint="eastAsia" w:ascii="宋体" w:hAnsi="宋体" w:eastAsia="宋体"/>
                <w:sz w:val="21"/>
                <w:szCs w:val="21"/>
              </w:rPr>
              <w:t>6</w:t>
            </w:r>
            <w:r>
              <w:rPr>
                <w:rFonts w:ascii="宋体" w:hAnsi="宋体" w:eastAsia="宋体"/>
                <w:sz w:val="21"/>
                <w:szCs w:val="21"/>
              </w:rPr>
              <w:t>分，较差不得分</w:t>
            </w:r>
            <w:r>
              <w:rPr>
                <w:rFonts w:hint="eastAsia" w:ascii="宋体" w:hAnsi="宋体" w:eastAsia="宋体"/>
                <w:sz w:val="21"/>
                <w:szCs w:val="21"/>
              </w:rPr>
              <w:t>。</w:t>
            </w:r>
          </w:p>
        </w:tc>
        <w:tc>
          <w:tcPr>
            <w:tcW w:w="724" w:type="dxa"/>
            <w:vAlign w:val="center"/>
          </w:tcPr>
          <w:p>
            <w:pPr>
              <w:spacing w:line="360" w:lineRule="auto"/>
              <w:jc w:val="center"/>
              <w:rPr>
                <w:rFonts w:ascii="宋体" w:hAnsi="宋体" w:eastAsia="宋体"/>
                <w:sz w:val="21"/>
                <w:szCs w:val="21"/>
              </w:rPr>
            </w:pPr>
            <w:r>
              <w:rPr>
                <w:rFonts w:ascii="宋体" w:hAnsi="宋体" w:eastAsia="宋体"/>
                <w:sz w:val="21"/>
                <w:szCs w:val="21"/>
              </w:rPr>
              <w:t>0-</w:t>
            </w:r>
            <w:r>
              <w:rPr>
                <w:rFonts w:hint="eastAsia" w:ascii="宋体" w:hAnsi="宋体" w:eastAsia="宋体"/>
                <w:sz w:val="21"/>
                <w:szCs w:val="21"/>
              </w:rPr>
              <w:t>12</w:t>
            </w:r>
            <w:r>
              <w:rPr>
                <w:rFonts w:ascii="宋体" w:hAnsi="宋体" w:eastAsia="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trPr>
        <w:tc>
          <w:tcPr>
            <w:tcW w:w="1470" w:type="dxa"/>
            <w:vAlign w:val="center"/>
          </w:tcPr>
          <w:p>
            <w:pPr>
              <w:spacing w:line="360" w:lineRule="auto"/>
              <w:rPr>
                <w:rFonts w:ascii="宋体" w:hAnsi="宋体" w:eastAsia="宋体"/>
                <w:sz w:val="21"/>
                <w:szCs w:val="21"/>
              </w:rPr>
            </w:pPr>
            <w:r>
              <w:rPr>
                <w:rFonts w:hint="eastAsia" w:ascii="宋体" w:hAnsi="宋体" w:eastAsia="宋体"/>
                <w:sz w:val="21"/>
                <w:szCs w:val="21"/>
              </w:rPr>
              <w:t>价格分</w:t>
            </w:r>
          </w:p>
          <w:p>
            <w:pPr>
              <w:spacing w:line="360" w:lineRule="auto"/>
              <w:rPr>
                <w:rFonts w:ascii="宋体" w:hAnsi="宋体" w:eastAsia="宋体"/>
                <w:sz w:val="21"/>
                <w:szCs w:val="21"/>
              </w:rPr>
            </w:pPr>
            <w:r>
              <w:rPr>
                <w:rFonts w:hint="eastAsia" w:ascii="宋体" w:hAnsi="宋体" w:eastAsia="宋体"/>
                <w:sz w:val="21"/>
                <w:szCs w:val="21"/>
              </w:rPr>
              <w:t>（30分）</w:t>
            </w:r>
          </w:p>
        </w:tc>
        <w:tc>
          <w:tcPr>
            <w:tcW w:w="7602" w:type="dxa"/>
            <w:gridSpan w:val="3"/>
            <w:vAlign w:val="center"/>
          </w:tcPr>
          <w:p>
            <w:pPr>
              <w:spacing w:line="360" w:lineRule="auto"/>
              <w:rPr>
                <w:rFonts w:ascii="宋体" w:hAnsi="宋体" w:eastAsia="宋体"/>
                <w:sz w:val="21"/>
                <w:szCs w:val="21"/>
              </w:rPr>
            </w:pPr>
            <w:r>
              <w:rPr>
                <w:rFonts w:hint="eastAsia" w:ascii="宋体" w:hAnsi="宋体" w:eastAsia="宋体"/>
                <w:sz w:val="21"/>
                <w:szCs w:val="21"/>
              </w:rPr>
              <w:t>价格分统一采用低价优先法，即满足磋商文件要求且价格最低的最后报价为评标基准价，其价格分为满分 30分。其他供应商的价格分统一按照下列公式计算：最后报价得分＝（评标基准价/最后报价）× 30 ％×100</w:t>
            </w:r>
          </w:p>
        </w:tc>
      </w:tr>
    </w:tbl>
    <w:p>
      <w:pPr>
        <w:pStyle w:val="2"/>
        <w:rPr>
          <w:rFonts w:hint="eastAsia"/>
        </w:rPr>
      </w:pPr>
    </w:p>
    <w:p>
      <w:pPr>
        <w:adjustRightInd w:val="0"/>
        <w:snapToGrid w:val="0"/>
        <w:spacing w:line="360" w:lineRule="auto"/>
        <w:rPr>
          <w:rFonts w:hint="eastAsia" w:ascii="仿宋_GB2312" w:eastAsia="仿宋_GB2312"/>
          <w:szCs w:val="28"/>
        </w:rPr>
      </w:pP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或因不可抗力提出不能履行合同，或者招标文件规定应当提交履约保证金而在规定的期限内未能提交的，招标人可以选择排名第二名中标人进行递补。</w:t>
      </w:r>
    </w:p>
    <w:p>
      <w:pPr>
        <w:rPr>
          <w:rFonts w:hint="default" w:ascii="Times New Roman" w:hAnsi="Times New Roman" w:eastAsia="仿宋_GB2312" w:cs="Times New Roman"/>
        </w:rPr>
      </w:pPr>
    </w:p>
    <w:p>
      <w:pPr>
        <w:adjustRightInd w:val="0"/>
        <w:snapToGrid w:val="0"/>
        <w:spacing w:line="360" w:lineRule="auto"/>
        <w:rPr>
          <w:rFonts w:ascii="仿宋_GB2312" w:eastAsia="仿宋_GB2312"/>
          <w:szCs w:val="28"/>
        </w:rPr>
      </w:pPr>
    </w:p>
    <w:p>
      <w:pPr>
        <w:pStyle w:val="32"/>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w:pict>
          <v:rect id="_x0000_s1028" o:spid="_x0000_s1028" o:spt="1" style="position:absolute;left:0pt;margin-left:350.05pt;margin-top:0.1pt;height:30.35pt;width:51.95pt;z-index:251659264;mso-width-relative:page;mso-height-relative:page;" coordsize="21600,21600">
            <v:path/>
            <v:fill focussize="0,0"/>
            <v:stroke/>
            <v:imagedata o:title=""/>
            <o:lock v:ext="edit"/>
            <v:textbox>
              <w:txbxContent>
                <w:p>
                  <w:pPr>
                    <w:jc w:val="center"/>
                    <w:rPr>
                      <w:b/>
                      <w:sz w:val="32"/>
                      <w:szCs w:val="32"/>
                    </w:rPr>
                  </w:pPr>
                  <w:r>
                    <w:rPr>
                      <w:rFonts w:hint="eastAsia" w:ascii="仿宋_GB2312" w:hAnsi="宋体" w:eastAsia="仿宋_GB2312"/>
                      <w:b/>
                      <w:sz w:val="32"/>
                      <w:szCs w:val="32"/>
                    </w:rPr>
                    <w:t>正本</w:t>
                  </w:r>
                </w:p>
              </w:txbxContent>
            </v:textbox>
          </v:rect>
        </w:pict>
      </w:r>
      <w:r>
        <w:rPr>
          <w:rFonts w:hint="eastAsia" w:eastAsia="仿宋_GB2312"/>
          <w:snapToGrid w:val="0"/>
          <w:sz w:val="30"/>
        </w:rPr>
        <w:t>项目编号：WYGZ202</w:t>
      </w:r>
      <w:r>
        <w:rPr>
          <w:rFonts w:hint="eastAsia" w:eastAsia="仿宋_GB2312"/>
          <w:snapToGrid w:val="0"/>
          <w:sz w:val="30"/>
          <w:lang w:val="en-US" w:eastAsia="zh-CN"/>
        </w:rPr>
        <w:t>3025</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2023年线下普教招生宣传服务项目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六、实施方案</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2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45"/>
          <w:rFonts w:hAnsi="宋体"/>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Style w:val="45"/>
          <w:rFonts w:ascii="华文中宋" w:hAnsi="华文中宋" w:eastAsia="华文中宋"/>
          <w:sz w:val="28"/>
          <w:szCs w:val="28"/>
        </w:rPr>
      </w:pPr>
      <w:r>
        <w:rPr>
          <w:rStyle w:val="45"/>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23"/>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45"/>
          <w:rFonts w:ascii="华文中宋" w:hAnsi="华文中宋" w:eastAsia="华文中宋"/>
          <w:b w:val="0"/>
          <w:color w:val="auto"/>
          <w:szCs w:val="28"/>
        </w:rPr>
      </w:pPr>
      <w:r>
        <w:rPr>
          <w:rFonts w:hint="eastAsia"/>
          <w:bCs/>
          <w:spacing w:val="-6"/>
          <w:sz w:val="32"/>
        </w:rPr>
        <w:t>三、</w:t>
      </w:r>
      <w:bookmarkStart w:id="119" w:name="_Toc460901585"/>
      <w:bookmarkStart w:id="120" w:name="_Toc513029276"/>
      <w:bookmarkStart w:id="121" w:name="_Toc23828478"/>
      <w:bookmarkStart w:id="122" w:name="_Toc26554095"/>
      <w:bookmarkStart w:id="123" w:name="_Toc22356580"/>
      <w:bookmarkStart w:id="124" w:name="_Toc120614283"/>
      <w:bookmarkStart w:id="125" w:name="_Toc49090577"/>
      <w:r>
        <w:rPr>
          <w:rFonts w:hint="eastAsia" w:ascii="华文中宋" w:hAnsi="华文中宋" w:eastAsia="华文中宋"/>
          <w:b/>
          <w:spacing w:val="-6"/>
          <w:sz w:val="32"/>
          <w:szCs w:val="28"/>
        </w:rPr>
        <w:t>、</w:t>
      </w:r>
      <w:r>
        <w:rPr>
          <w:rStyle w:val="45"/>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45"/>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5.如果在确定成交后拒绝签订合同，我们的磋商保证金可被贵方没收。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2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Ansi="宋体"/>
          <w:b/>
        </w:rPr>
      </w:pPr>
      <w:bookmarkStart w:id="126" w:name="_Toc120614291"/>
      <w:bookmarkStart w:id="127" w:name="_Toc22356583"/>
      <w:bookmarkStart w:id="128" w:name="_Toc26554103"/>
      <w:bookmarkStart w:id="129" w:name="_Toc49090582"/>
      <w:bookmarkStart w:id="130" w:name="_Toc513029281"/>
      <w:bookmarkStart w:id="131" w:name="_Toc24878535"/>
      <w:bookmarkStart w:id="132" w:name="_Toc23828483"/>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w:pict>
          <v:shape id="Text Box 3" o:spid="_x0000_s1029" o:spt="202" type="#_x0000_t202" style="position:absolute;left:0pt;margin-left:0pt;margin-top:11.7pt;height:185.85pt;width:270.15pt;z-index:251660288;mso-width-relative:page;mso-height-relative:page;" coordsize="21600,21600">
            <v:path/>
            <v:fill focussize="0,0"/>
            <v:stroke joinstyle="miter"/>
            <v:imagedata o:title=""/>
            <o:lock v:ext="edit"/>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3"/>
        <w:snapToGrid w:val="0"/>
        <w:spacing w:beforeLines="0" w:afterLines="0" w:line="360" w:lineRule="auto"/>
        <w:jc w:val="left"/>
        <w:rPr>
          <w:rFonts w:hAnsi="宋体"/>
        </w:rPr>
      </w:pPr>
    </w:p>
    <w:p>
      <w:pPr>
        <w:pStyle w:val="13"/>
        <w:snapToGrid w:val="0"/>
        <w:spacing w:beforeLines="0" w:afterLines="0" w:line="360" w:lineRule="auto"/>
        <w:jc w:val="left"/>
        <w:rPr>
          <w:rFonts w:hAnsi="宋体"/>
        </w:rPr>
      </w:pPr>
    </w:p>
    <w:p>
      <w:pPr>
        <w:pStyle w:val="13"/>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1"/>
      <w:bookmarkStart w:id="135" w:name="OLE_LINK3"/>
      <w:bookmarkStart w:id="136" w:name="OLE_LINK2"/>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4"/>
      <w:bookmarkStart w:id="138" w:name="OLE_LINK9"/>
      <w:bookmarkStart w:id="139" w:name="OLE_LINK5"/>
      <w:bookmarkStart w:id="140" w:name="OLE_LINK6"/>
      <w:bookmarkStart w:id="141" w:name="OLE_LINK8"/>
      <w:bookmarkStart w:id="142" w:name="OLE_LINK7"/>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8"/>
      <w:bookmarkStart w:id="144" w:name="OLE_LINK76"/>
      <w:bookmarkStart w:id="145" w:name="OLE_LINK77"/>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6"/>
          <w:rFonts w:hint="eastAsia" w:ascii="黑体" w:hAnsi="黑体" w:eastAsia="黑体"/>
          <w:color w:val="3E3E3E"/>
          <w:sz w:val="30"/>
          <w:szCs w:val="30"/>
        </w:rPr>
        <w:t xml:space="preserve">第五章 </w:t>
      </w:r>
      <w:r>
        <w:rPr>
          <w:rStyle w:val="26"/>
          <w:rFonts w:hint="eastAsia" w:ascii="微软雅黑" w:hAnsi="微软雅黑" w:eastAsia="黑体"/>
          <w:color w:val="3E3E3E"/>
          <w:sz w:val="30"/>
          <w:szCs w:val="30"/>
        </w:rPr>
        <w:t> </w:t>
      </w:r>
      <w:r>
        <w:rPr>
          <w:rStyle w:val="26"/>
          <w:rFonts w:hint="eastAsia" w:ascii="黑体" w:hAnsi="黑体" w:eastAsia="黑体"/>
          <w:color w:val="3E3E3E"/>
          <w:sz w:val="30"/>
          <w:szCs w:val="30"/>
        </w:rPr>
        <w:t>投诉的处理</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3"/>
      <w:bookmarkStart w:id="147" w:name="OLE_LINK12"/>
      <w:bookmarkStart w:id="148" w:name="OLE_LINK11"/>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5"/>
      <w:bookmarkStart w:id="150" w:name="OLE_LINK14"/>
      <w:r>
        <w:rPr>
          <w:rFonts w:hint="eastAsia" w:ascii="仿宋_GB2312" w:hAnsi="微软雅黑" w:eastAsia="仿宋_GB2312"/>
          <w:color w:val="3E3E3E"/>
          <w:sz w:val="30"/>
          <w:szCs w:val="30"/>
        </w:rPr>
        <w:t>（一）未确定中标或者成交供应商的，责令重新开展采购活动。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jc w:val="center"/>
        <w:rPr>
          <w:rStyle w:val="26"/>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6"/>
          <w:rFonts w:hint="eastAsia" w:ascii="黑体" w:hAnsi="黑体" w:eastAsia="黑体"/>
          <w:color w:val="3E3E3E"/>
          <w:sz w:val="30"/>
          <w:szCs w:val="30"/>
        </w:rPr>
        <w:t xml:space="preserve">第六章 </w:t>
      </w:r>
      <w:r>
        <w:rPr>
          <w:rStyle w:val="26"/>
          <w:rFonts w:hint="eastAsia" w:ascii="微软雅黑" w:hAnsi="微软雅黑" w:eastAsia="黑体"/>
          <w:color w:val="3E3E3E"/>
          <w:sz w:val="30"/>
          <w:szCs w:val="30"/>
        </w:rPr>
        <w:t> </w:t>
      </w:r>
      <w:r>
        <w:rPr>
          <w:rStyle w:val="26"/>
          <w:rFonts w:hint="eastAsia" w:ascii="黑体" w:hAnsi="黑体" w:eastAsia="黑体"/>
          <w:color w:val="3E3E3E"/>
          <w:sz w:val="30"/>
          <w:szCs w:val="30"/>
        </w:rPr>
        <w:t>法律责任</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26"/>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7"/>
      <w:bookmarkStart w:id="152" w:name="OLE_LINK16"/>
      <w:bookmarkStart w:id="153" w:name="OLE_LINK18"/>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0"/>
        <w:shd w:val="clear" w:color="auto" w:fill="FFFFFF"/>
        <w:adjustRightInd w:val="0"/>
        <w:snapToGrid w:val="0"/>
        <w:spacing w:before="0" w:beforeAutospacing="0" w:after="0" w:afterAutospacing="0" w:line="560" w:lineRule="exact"/>
        <w:ind w:firstLine="602" w:firstLineChars="200"/>
        <w:jc w:val="both"/>
        <w:rPr>
          <w:rStyle w:val="26"/>
          <w:rFonts w:ascii="仿宋_GB2312" w:hAnsi="微软雅黑" w:eastAsia="仿宋_GB2312"/>
          <w:color w:val="3E3E3E"/>
          <w:sz w:val="30"/>
          <w:szCs w:val="30"/>
        </w:rPr>
      </w:pPr>
      <w:r>
        <w:rPr>
          <w:rStyle w:val="26"/>
          <w:rFonts w:hint="eastAsia" w:ascii="仿宋_GB2312" w:hAnsi="微软雅黑" w:eastAsia="仿宋_GB2312"/>
          <w:color w:val="3E3E3E"/>
          <w:sz w:val="30"/>
          <w:szCs w:val="30"/>
        </w:rPr>
        <w:t>　</w:t>
      </w:r>
    </w:p>
    <w:p>
      <w:pPr>
        <w:pStyle w:val="20"/>
        <w:shd w:val="clear" w:color="auto" w:fill="FFFFFF"/>
        <w:adjustRightInd w:val="0"/>
        <w:snapToGrid w:val="0"/>
        <w:spacing w:before="0" w:beforeAutospacing="0" w:after="0" w:afterAutospacing="0" w:line="560" w:lineRule="exact"/>
        <w:jc w:val="center"/>
        <w:rPr>
          <w:rStyle w:val="26"/>
          <w:rFonts w:ascii="黑体" w:hAnsi="黑体" w:eastAsia="黑体"/>
          <w:color w:val="3E3E3E"/>
          <w:sz w:val="30"/>
          <w:szCs w:val="30"/>
        </w:rPr>
      </w:pPr>
      <w:r>
        <w:rPr>
          <w:rStyle w:val="26"/>
          <w:rFonts w:hint="eastAsia" w:ascii="黑体" w:hAnsi="黑体" w:eastAsia="黑体"/>
          <w:color w:val="3E3E3E"/>
          <w:sz w:val="30"/>
          <w:szCs w:val="30"/>
        </w:rPr>
        <w:t xml:space="preserve">第七章 </w:t>
      </w:r>
      <w:r>
        <w:rPr>
          <w:rStyle w:val="26"/>
          <w:rFonts w:hint="eastAsia" w:ascii="微软雅黑" w:hAnsi="微软雅黑" w:eastAsia="黑体"/>
          <w:color w:val="3E3E3E"/>
          <w:sz w:val="30"/>
          <w:szCs w:val="30"/>
        </w:rPr>
        <w:t> </w:t>
      </w:r>
      <w:r>
        <w:rPr>
          <w:rStyle w:val="26"/>
          <w:rFonts w:hint="eastAsia" w:ascii="黑体" w:hAnsi="黑体" w:eastAsia="黑体"/>
          <w:color w:val="3E3E3E"/>
          <w:sz w:val="30"/>
          <w:szCs w:val="30"/>
        </w:rPr>
        <w:t>附则</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0"/>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0"/>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16"/>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939CC11"/>
    <w:multiLevelType w:val="singleLevel"/>
    <w:tmpl w:val="0939CC11"/>
    <w:lvl w:ilvl="0" w:tentative="0">
      <w:start w:val="1"/>
      <w:numFmt w:val="decimal"/>
      <w:suff w:val="nothing"/>
      <w:lvlText w:val="（%1）"/>
      <w:lvlJc w:val="left"/>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5"/>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6408FB"/>
    <w:rsid w:val="016E4195"/>
    <w:rsid w:val="01726537"/>
    <w:rsid w:val="01C04E49"/>
    <w:rsid w:val="0214243C"/>
    <w:rsid w:val="02214D2D"/>
    <w:rsid w:val="022E5014"/>
    <w:rsid w:val="02512A07"/>
    <w:rsid w:val="025A529E"/>
    <w:rsid w:val="02AA6130"/>
    <w:rsid w:val="032C4E8C"/>
    <w:rsid w:val="0350498A"/>
    <w:rsid w:val="03534FA2"/>
    <w:rsid w:val="03603C2C"/>
    <w:rsid w:val="036678B6"/>
    <w:rsid w:val="03825612"/>
    <w:rsid w:val="03BC38F4"/>
    <w:rsid w:val="03FE61ED"/>
    <w:rsid w:val="04407C5D"/>
    <w:rsid w:val="04414051"/>
    <w:rsid w:val="04596F7F"/>
    <w:rsid w:val="046363BB"/>
    <w:rsid w:val="04673249"/>
    <w:rsid w:val="046774A7"/>
    <w:rsid w:val="04962E28"/>
    <w:rsid w:val="04D10E2B"/>
    <w:rsid w:val="04D83CC0"/>
    <w:rsid w:val="04DB34DA"/>
    <w:rsid w:val="0540457D"/>
    <w:rsid w:val="056E1157"/>
    <w:rsid w:val="05814F51"/>
    <w:rsid w:val="0583686C"/>
    <w:rsid w:val="05C32D63"/>
    <w:rsid w:val="05DE0EF5"/>
    <w:rsid w:val="066E0790"/>
    <w:rsid w:val="069D3826"/>
    <w:rsid w:val="06B729B6"/>
    <w:rsid w:val="06E15F8D"/>
    <w:rsid w:val="06F051CA"/>
    <w:rsid w:val="072520C3"/>
    <w:rsid w:val="07346E86"/>
    <w:rsid w:val="07963C7F"/>
    <w:rsid w:val="07A02C40"/>
    <w:rsid w:val="07A1311E"/>
    <w:rsid w:val="07C06FE0"/>
    <w:rsid w:val="07C678C3"/>
    <w:rsid w:val="07C67D31"/>
    <w:rsid w:val="07CB13CA"/>
    <w:rsid w:val="07F45D5F"/>
    <w:rsid w:val="08387D26"/>
    <w:rsid w:val="088C0852"/>
    <w:rsid w:val="08971DA8"/>
    <w:rsid w:val="08C101E7"/>
    <w:rsid w:val="08C96D0B"/>
    <w:rsid w:val="08F11F59"/>
    <w:rsid w:val="08FB16AB"/>
    <w:rsid w:val="091A74E1"/>
    <w:rsid w:val="093B3CFE"/>
    <w:rsid w:val="09766700"/>
    <w:rsid w:val="0A0134D2"/>
    <w:rsid w:val="0A0A6355"/>
    <w:rsid w:val="0A285544"/>
    <w:rsid w:val="0A6F38B0"/>
    <w:rsid w:val="0A804468"/>
    <w:rsid w:val="0A943B04"/>
    <w:rsid w:val="0AD94888"/>
    <w:rsid w:val="0B101D3B"/>
    <w:rsid w:val="0B204BAA"/>
    <w:rsid w:val="0B24468D"/>
    <w:rsid w:val="0B3E0157"/>
    <w:rsid w:val="0B3E2065"/>
    <w:rsid w:val="0B5B3B24"/>
    <w:rsid w:val="0BAD0091"/>
    <w:rsid w:val="0BF07413"/>
    <w:rsid w:val="0BF605B3"/>
    <w:rsid w:val="0C0754E7"/>
    <w:rsid w:val="0C0E1A12"/>
    <w:rsid w:val="0C0F35D8"/>
    <w:rsid w:val="0C161375"/>
    <w:rsid w:val="0C28419D"/>
    <w:rsid w:val="0C341D9A"/>
    <w:rsid w:val="0C3D258F"/>
    <w:rsid w:val="0C5D732E"/>
    <w:rsid w:val="0C5F3058"/>
    <w:rsid w:val="0C7F6C23"/>
    <w:rsid w:val="0C9B5ABD"/>
    <w:rsid w:val="0CE9794A"/>
    <w:rsid w:val="0CEB2EB7"/>
    <w:rsid w:val="0CEF5A7C"/>
    <w:rsid w:val="0D5170C4"/>
    <w:rsid w:val="0DB829D6"/>
    <w:rsid w:val="0DC84C6C"/>
    <w:rsid w:val="0DDB72D4"/>
    <w:rsid w:val="0DDC039E"/>
    <w:rsid w:val="0DDD3892"/>
    <w:rsid w:val="0DE9708F"/>
    <w:rsid w:val="0DF04D08"/>
    <w:rsid w:val="0E2B0A0E"/>
    <w:rsid w:val="0E9B2887"/>
    <w:rsid w:val="0EB53B50"/>
    <w:rsid w:val="0ECC12D1"/>
    <w:rsid w:val="0EFE1271"/>
    <w:rsid w:val="0F013329"/>
    <w:rsid w:val="0F1E0E2A"/>
    <w:rsid w:val="0F1E1F81"/>
    <w:rsid w:val="0F4E1CE6"/>
    <w:rsid w:val="0F5D383B"/>
    <w:rsid w:val="0F920FD6"/>
    <w:rsid w:val="0F953584"/>
    <w:rsid w:val="0FB83603"/>
    <w:rsid w:val="0FE62E26"/>
    <w:rsid w:val="10147078"/>
    <w:rsid w:val="10362E55"/>
    <w:rsid w:val="10644165"/>
    <w:rsid w:val="10685029"/>
    <w:rsid w:val="10705FCA"/>
    <w:rsid w:val="109E6C9D"/>
    <w:rsid w:val="10BF0A8A"/>
    <w:rsid w:val="10C71F7C"/>
    <w:rsid w:val="10C806D6"/>
    <w:rsid w:val="10F570EC"/>
    <w:rsid w:val="113A7359"/>
    <w:rsid w:val="11597C61"/>
    <w:rsid w:val="115C4C5D"/>
    <w:rsid w:val="11610760"/>
    <w:rsid w:val="1171606E"/>
    <w:rsid w:val="11731ED8"/>
    <w:rsid w:val="11861F2F"/>
    <w:rsid w:val="119A13D5"/>
    <w:rsid w:val="11AA5B71"/>
    <w:rsid w:val="11B83ECD"/>
    <w:rsid w:val="120A26AB"/>
    <w:rsid w:val="12240695"/>
    <w:rsid w:val="124872AD"/>
    <w:rsid w:val="127A403A"/>
    <w:rsid w:val="127D1806"/>
    <w:rsid w:val="128120DE"/>
    <w:rsid w:val="12E55022"/>
    <w:rsid w:val="12F412C6"/>
    <w:rsid w:val="13033073"/>
    <w:rsid w:val="13117D95"/>
    <w:rsid w:val="1363442E"/>
    <w:rsid w:val="13654DDA"/>
    <w:rsid w:val="13737112"/>
    <w:rsid w:val="13817B06"/>
    <w:rsid w:val="138402B8"/>
    <w:rsid w:val="13855EF2"/>
    <w:rsid w:val="13DE5AD5"/>
    <w:rsid w:val="140760EC"/>
    <w:rsid w:val="140C3984"/>
    <w:rsid w:val="141B23B3"/>
    <w:rsid w:val="142B6AD5"/>
    <w:rsid w:val="14A12F69"/>
    <w:rsid w:val="14A47312"/>
    <w:rsid w:val="14B21774"/>
    <w:rsid w:val="151D361E"/>
    <w:rsid w:val="154F0566"/>
    <w:rsid w:val="156404B5"/>
    <w:rsid w:val="161B2829"/>
    <w:rsid w:val="16224EF4"/>
    <w:rsid w:val="162352F4"/>
    <w:rsid w:val="168800B8"/>
    <w:rsid w:val="16AE750E"/>
    <w:rsid w:val="16EF3DAF"/>
    <w:rsid w:val="16F413A1"/>
    <w:rsid w:val="172315BE"/>
    <w:rsid w:val="174262C0"/>
    <w:rsid w:val="175C2C51"/>
    <w:rsid w:val="17D27FAE"/>
    <w:rsid w:val="17E029C8"/>
    <w:rsid w:val="180E3B64"/>
    <w:rsid w:val="184D6BA9"/>
    <w:rsid w:val="18872601"/>
    <w:rsid w:val="18AE6014"/>
    <w:rsid w:val="18FB442B"/>
    <w:rsid w:val="192A70E1"/>
    <w:rsid w:val="199537E4"/>
    <w:rsid w:val="19EF1E3B"/>
    <w:rsid w:val="19F55262"/>
    <w:rsid w:val="19FC300D"/>
    <w:rsid w:val="1A62202C"/>
    <w:rsid w:val="1A7A46E4"/>
    <w:rsid w:val="1ABE076A"/>
    <w:rsid w:val="1AD34378"/>
    <w:rsid w:val="1AE00C81"/>
    <w:rsid w:val="1B24673C"/>
    <w:rsid w:val="1B320F29"/>
    <w:rsid w:val="1B4D5028"/>
    <w:rsid w:val="1B773639"/>
    <w:rsid w:val="1BA53426"/>
    <w:rsid w:val="1BC31AC4"/>
    <w:rsid w:val="1BF0416D"/>
    <w:rsid w:val="1C0A2565"/>
    <w:rsid w:val="1C27223D"/>
    <w:rsid w:val="1C2B6B2F"/>
    <w:rsid w:val="1C55362C"/>
    <w:rsid w:val="1C8F393E"/>
    <w:rsid w:val="1CAC058A"/>
    <w:rsid w:val="1CC20766"/>
    <w:rsid w:val="1CC96E50"/>
    <w:rsid w:val="1D063C00"/>
    <w:rsid w:val="1D1237D5"/>
    <w:rsid w:val="1D3554C9"/>
    <w:rsid w:val="1DB750A2"/>
    <w:rsid w:val="1DC51D0D"/>
    <w:rsid w:val="1DE34991"/>
    <w:rsid w:val="1E081BFA"/>
    <w:rsid w:val="1E6C333E"/>
    <w:rsid w:val="1E6D68D2"/>
    <w:rsid w:val="1E705BCC"/>
    <w:rsid w:val="1E832DF2"/>
    <w:rsid w:val="1E9967BB"/>
    <w:rsid w:val="1ECF104B"/>
    <w:rsid w:val="1F2A72A4"/>
    <w:rsid w:val="1F3558B5"/>
    <w:rsid w:val="1F692CF3"/>
    <w:rsid w:val="1F8A3212"/>
    <w:rsid w:val="1FCC54BF"/>
    <w:rsid w:val="1FD955FC"/>
    <w:rsid w:val="202F7639"/>
    <w:rsid w:val="208A38C9"/>
    <w:rsid w:val="20A837A8"/>
    <w:rsid w:val="20B84CA3"/>
    <w:rsid w:val="20B90B25"/>
    <w:rsid w:val="20CD06F1"/>
    <w:rsid w:val="20F546B7"/>
    <w:rsid w:val="211238C6"/>
    <w:rsid w:val="21A05C0C"/>
    <w:rsid w:val="21B83EF1"/>
    <w:rsid w:val="21DC53A3"/>
    <w:rsid w:val="220D7430"/>
    <w:rsid w:val="22803C35"/>
    <w:rsid w:val="22837AA1"/>
    <w:rsid w:val="22847ED7"/>
    <w:rsid w:val="22920DB6"/>
    <w:rsid w:val="22F015DA"/>
    <w:rsid w:val="22FF1DC4"/>
    <w:rsid w:val="232343C6"/>
    <w:rsid w:val="232F5BFF"/>
    <w:rsid w:val="239A4BCB"/>
    <w:rsid w:val="23B6281C"/>
    <w:rsid w:val="23DC25DC"/>
    <w:rsid w:val="23E2040E"/>
    <w:rsid w:val="23F47EA3"/>
    <w:rsid w:val="24465CBC"/>
    <w:rsid w:val="244D19E5"/>
    <w:rsid w:val="244F4D25"/>
    <w:rsid w:val="246547D2"/>
    <w:rsid w:val="246D5DE4"/>
    <w:rsid w:val="24D55150"/>
    <w:rsid w:val="24EF6ACB"/>
    <w:rsid w:val="251A12ED"/>
    <w:rsid w:val="2536687B"/>
    <w:rsid w:val="254E6E50"/>
    <w:rsid w:val="25536B14"/>
    <w:rsid w:val="255524A9"/>
    <w:rsid w:val="255D0B9A"/>
    <w:rsid w:val="25973F8F"/>
    <w:rsid w:val="25981BED"/>
    <w:rsid w:val="25D22791"/>
    <w:rsid w:val="25D61B6D"/>
    <w:rsid w:val="25E740D0"/>
    <w:rsid w:val="25F147AA"/>
    <w:rsid w:val="25F9482C"/>
    <w:rsid w:val="26152D46"/>
    <w:rsid w:val="262275D1"/>
    <w:rsid w:val="26647BE9"/>
    <w:rsid w:val="26674E6B"/>
    <w:rsid w:val="26832765"/>
    <w:rsid w:val="26A92E9F"/>
    <w:rsid w:val="26CA303B"/>
    <w:rsid w:val="26D03A87"/>
    <w:rsid w:val="27126FD7"/>
    <w:rsid w:val="272B58EA"/>
    <w:rsid w:val="2734505D"/>
    <w:rsid w:val="273708BD"/>
    <w:rsid w:val="274F178B"/>
    <w:rsid w:val="276A2CDE"/>
    <w:rsid w:val="277F6F78"/>
    <w:rsid w:val="27853190"/>
    <w:rsid w:val="27887700"/>
    <w:rsid w:val="278B7A0E"/>
    <w:rsid w:val="27920CEA"/>
    <w:rsid w:val="27A67BE5"/>
    <w:rsid w:val="27B22C6C"/>
    <w:rsid w:val="27B4697B"/>
    <w:rsid w:val="27C62527"/>
    <w:rsid w:val="27D100FA"/>
    <w:rsid w:val="27D47410"/>
    <w:rsid w:val="27EE3C0E"/>
    <w:rsid w:val="28077F17"/>
    <w:rsid w:val="28175C2D"/>
    <w:rsid w:val="28383327"/>
    <w:rsid w:val="283D68EF"/>
    <w:rsid w:val="28480BDC"/>
    <w:rsid w:val="28490B8A"/>
    <w:rsid w:val="284A42BE"/>
    <w:rsid w:val="288D390E"/>
    <w:rsid w:val="28A90D0B"/>
    <w:rsid w:val="28B01D10"/>
    <w:rsid w:val="29096EBF"/>
    <w:rsid w:val="291B4956"/>
    <w:rsid w:val="295043D8"/>
    <w:rsid w:val="296707A4"/>
    <w:rsid w:val="297B2229"/>
    <w:rsid w:val="29846CBA"/>
    <w:rsid w:val="29923FC6"/>
    <w:rsid w:val="29B15DDE"/>
    <w:rsid w:val="29E3402F"/>
    <w:rsid w:val="29F73CC8"/>
    <w:rsid w:val="2A002667"/>
    <w:rsid w:val="2A26348C"/>
    <w:rsid w:val="2A5E32CD"/>
    <w:rsid w:val="2A623950"/>
    <w:rsid w:val="2A6D0F47"/>
    <w:rsid w:val="2A924D25"/>
    <w:rsid w:val="2AB92256"/>
    <w:rsid w:val="2ACE1E53"/>
    <w:rsid w:val="2AF45B19"/>
    <w:rsid w:val="2B081B32"/>
    <w:rsid w:val="2B495075"/>
    <w:rsid w:val="2B5743BB"/>
    <w:rsid w:val="2B62420B"/>
    <w:rsid w:val="2BC47018"/>
    <w:rsid w:val="2BCB7442"/>
    <w:rsid w:val="2BF47B91"/>
    <w:rsid w:val="2C0C2425"/>
    <w:rsid w:val="2C427CE3"/>
    <w:rsid w:val="2C7D1337"/>
    <w:rsid w:val="2CBA11C5"/>
    <w:rsid w:val="2CBE711C"/>
    <w:rsid w:val="2CD80DEF"/>
    <w:rsid w:val="2D04195B"/>
    <w:rsid w:val="2D0637A8"/>
    <w:rsid w:val="2D07058C"/>
    <w:rsid w:val="2D4D13D7"/>
    <w:rsid w:val="2D656721"/>
    <w:rsid w:val="2D713B88"/>
    <w:rsid w:val="2D8F207D"/>
    <w:rsid w:val="2D9C42BC"/>
    <w:rsid w:val="2DA753EC"/>
    <w:rsid w:val="2DD5001A"/>
    <w:rsid w:val="2DD62C2E"/>
    <w:rsid w:val="2E10231E"/>
    <w:rsid w:val="2E417CA3"/>
    <w:rsid w:val="2E4501EC"/>
    <w:rsid w:val="2E767352"/>
    <w:rsid w:val="2E8768EC"/>
    <w:rsid w:val="2EA02EE8"/>
    <w:rsid w:val="2ECF230F"/>
    <w:rsid w:val="2EF220D0"/>
    <w:rsid w:val="2F071AA9"/>
    <w:rsid w:val="2F0F176F"/>
    <w:rsid w:val="2F1D7493"/>
    <w:rsid w:val="2F321A65"/>
    <w:rsid w:val="2FC53274"/>
    <w:rsid w:val="2FDB163C"/>
    <w:rsid w:val="2FE25206"/>
    <w:rsid w:val="2FE303AE"/>
    <w:rsid w:val="2FF662F5"/>
    <w:rsid w:val="2FF90936"/>
    <w:rsid w:val="30334ACB"/>
    <w:rsid w:val="306164E1"/>
    <w:rsid w:val="306B6A91"/>
    <w:rsid w:val="30833B13"/>
    <w:rsid w:val="309D339E"/>
    <w:rsid w:val="30AE21AF"/>
    <w:rsid w:val="30C17A75"/>
    <w:rsid w:val="30CA29AD"/>
    <w:rsid w:val="30FA20C4"/>
    <w:rsid w:val="31025BEE"/>
    <w:rsid w:val="3110771A"/>
    <w:rsid w:val="31260162"/>
    <w:rsid w:val="314375FF"/>
    <w:rsid w:val="314820DA"/>
    <w:rsid w:val="31534716"/>
    <w:rsid w:val="316A6A7E"/>
    <w:rsid w:val="31C550D4"/>
    <w:rsid w:val="31C64430"/>
    <w:rsid w:val="31DB0486"/>
    <w:rsid w:val="31DF5CA7"/>
    <w:rsid w:val="32116418"/>
    <w:rsid w:val="32164A45"/>
    <w:rsid w:val="322F2FD1"/>
    <w:rsid w:val="329D086E"/>
    <w:rsid w:val="32B141B6"/>
    <w:rsid w:val="331A6C1E"/>
    <w:rsid w:val="334641B2"/>
    <w:rsid w:val="33642B33"/>
    <w:rsid w:val="336867E5"/>
    <w:rsid w:val="33735E81"/>
    <w:rsid w:val="33842269"/>
    <w:rsid w:val="338B4FAA"/>
    <w:rsid w:val="33A131F3"/>
    <w:rsid w:val="33D9726A"/>
    <w:rsid w:val="33F00D0E"/>
    <w:rsid w:val="33F31CB7"/>
    <w:rsid w:val="33F572C4"/>
    <w:rsid w:val="34633A60"/>
    <w:rsid w:val="34844EB9"/>
    <w:rsid w:val="348D60D4"/>
    <w:rsid w:val="34963F3F"/>
    <w:rsid w:val="349A5D8B"/>
    <w:rsid w:val="34B02C4E"/>
    <w:rsid w:val="34D158EA"/>
    <w:rsid w:val="34D348B8"/>
    <w:rsid w:val="34E649F1"/>
    <w:rsid w:val="34EE541B"/>
    <w:rsid w:val="353A3EF8"/>
    <w:rsid w:val="35C72486"/>
    <w:rsid w:val="364F0F9F"/>
    <w:rsid w:val="36570F1E"/>
    <w:rsid w:val="36E320F2"/>
    <w:rsid w:val="36E95CBF"/>
    <w:rsid w:val="37172072"/>
    <w:rsid w:val="371E2C4F"/>
    <w:rsid w:val="37240659"/>
    <w:rsid w:val="374D496F"/>
    <w:rsid w:val="3768226B"/>
    <w:rsid w:val="377063EE"/>
    <w:rsid w:val="377D2DBF"/>
    <w:rsid w:val="37977C3C"/>
    <w:rsid w:val="37EA7B7C"/>
    <w:rsid w:val="37F671F9"/>
    <w:rsid w:val="37FF4F6A"/>
    <w:rsid w:val="381E78D3"/>
    <w:rsid w:val="383701B5"/>
    <w:rsid w:val="38611E86"/>
    <w:rsid w:val="388B62BD"/>
    <w:rsid w:val="38935877"/>
    <w:rsid w:val="38B8587C"/>
    <w:rsid w:val="3965703B"/>
    <w:rsid w:val="39887364"/>
    <w:rsid w:val="39D00B94"/>
    <w:rsid w:val="3A0E5146"/>
    <w:rsid w:val="3A161A24"/>
    <w:rsid w:val="3A7A1F34"/>
    <w:rsid w:val="3A9248CD"/>
    <w:rsid w:val="3AC73AE7"/>
    <w:rsid w:val="3ACA35C5"/>
    <w:rsid w:val="3ADF4930"/>
    <w:rsid w:val="3B096DEB"/>
    <w:rsid w:val="3B3068D9"/>
    <w:rsid w:val="3B494880"/>
    <w:rsid w:val="3B4B75F2"/>
    <w:rsid w:val="3B567FF1"/>
    <w:rsid w:val="3B6A6C7C"/>
    <w:rsid w:val="3B8523F1"/>
    <w:rsid w:val="3B903D50"/>
    <w:rsid w:val="3BD12293"/>
    <w:rsid w:val="3BEF2420"/>
    <w:rsid w:val="3C2E07BA"/>
    <w:rsid w:val="3C5067EE"/>
    <w:rsid w:val="3C9A3DEE"/>
    <w:rsid w:val="3CAD5337"/>
    <w:rsid w:val="3CB32382"/>
    <w:rsid w:val="3CDF5E57"/>
    <w:rsid w:val="3CE31410"/>
    <w:rsid w:val="3CE84C78"/>
    <w:rsid w:val="3D152E3B"/>
    <w:rsid w:val="3D217FFC"/>
    <w:rsid w:val="3D5839EB"/>
    <w:rsid w:val="3D5E5D7A"/>
    <w:rsid w:val="3D615AAB"/>
    <w:rsid w:val="3DC91C62"/>
    <w:rsid w:val="3E2E206D"/>
    <w:rsid w:val="3E2E7BFD"/>
    <w:rsid w:val="3E7C5339"/>
    <w:rsid w:val="3EA741B3"/>
    <w:rsid w:val="3ED431BF"/>
    <w:rsid w:val="3F3138FC"/>
    <w:rsid w:val="3F6D6663"/>
    <w:rsid w:val="3F8D556B"/>
    <w:rsid w:val="3FA4757D"/>
    <w:rsid w:val="3FAA3B64"/>
    <w:rsid w:val="3FD11EED"/>
    <w:rsid w:val="3FE936B5"/>
    <w:rsid w:val="402B37FA"/>
    <w:rsid w:val="40C549DC"/>
    <w:rsid w:val="41071826"/>
    <w:rsid w:val="41097D80"/>
    <w:rsid w:val="4148640D"/>
    <w:rsid w:val="41526B64"/>
    <w:rsid w:val="418B02DE"/>
    <w:rsid w:val="41A41E99"/>
    <w:rsid w:val="41B7114E"/>
    <w:rsid w:val="41EB146A"/>
    <w:rsid w:val="41F73C96"/>
    <w:rsid w:val="420E5181"/>
    <w:rsid w:val="42103651"/>
    <w:rsid w:val="42172E09"/>
    <w:rsid w:val="42260D80"/>
    <w:rsid w:val="422800C4"/>
    <w:rsid w:val="42304DCB"/>
    <w:rsid w:val="42BD0A46"/>
    <w:rsid w:val="42C512FB"/>
    <w:rsid w:val="42E756C5"/>
    <w:rsid w:val="42EC22F6"/>
    <w:rsid w:val="431C7F89"/>
    <w:rsid w:val="43324D3B"/>
    <w:rsid w:val="433A2642"/>
    <w:rsid w:val="435818D4"/>
    <w:rsid w:val="437A0AD4"/>
    <w:rsid w:val="43874121"/>
    <w:rsid w:val="43C466EB"/>
    <w:rsid w:val="44590E3F"/>
    <w:rsid w:val="44A67896"/>
    <w:rsid w:val="44C71778"/>
    <w:rsid w:val="44E12F57"/>
    <w:rsid w:val="45592BB7"/>
    <w:rsid w:val="455D6D5F"/>
    <w:rsid w:val="45B71B11"/>
    <w:rsid w:val="45B778DE"/>
    <w:rsid w:val="45B95580"/>
    <w:rsid w:val="45BA10C5"/>
    <w:rsid w:val="460155D9"/>
    <w:rsid w:val="46271523"/>
    <w:rsid w:val="465F4E30"/>
    <w:rsid w:val="469879CA"/>
    <w:rsid w:val="46BF1035"/>
    <w:rsid w:val="47147BD5"/>
    <w:rsid w:val="4715739B"/>
    <w:rsid w:val="476620AC"/>
    <w:rsid w:val="4799013B"/>
    <w:rsid w:val="479E648A"/>
    <w:rsid w:val="47BE4873"/>
    <w:rsid w:val="47D05D34"/>
    <w:rsid w:val="484506F7"/>
    <w:rsid w:val="487D056E"/>
    <w:rsid w:val="48A11624"/>
    <w:rsid w:val="48B50408"/>
    <w:rsid w:val="48E02C37"/>
    <w:rsid w:val="492D763A"/>
    <w:rsid w:val="496362C2"/>
    <w:rsid w:val="496F51B4"/>
    <w:rsid w:val="499C60AE"/>
    <w:rsid w:val="49CF6810"/>
    <w:rsid w:val="4A116A41"/>
    <w:rsid w:val="4A1470AD"/>
    <w:rsid w:val="4A6601A3"/>
    <w:rsid w:val="4A7F34DA"/>
    <w:rsid w:val="4A890ED6"/>
    <w:rsid w:val="4A8D3670"/>
    <w:rsid w:val="4B376839"/>
    <w:rsid w:val="4B4E0533"/>
    <w:rsid w:val="4B4E4840"/>
    <w:rsid w:val="4B4F0750"/>
    <w:rsid w:val="4B4F1990"/>
    <w:rsid w:val="4B9B1E02"/>
    <w:rsid w:val="4BE759D5"/>
    <w:rsid w:val="4BF4668B"/>
    <w:rsid w:val="4BF70A34"/>
    <w:rsid w:val="4BFF0910"/>
    <w:rsid w:val="4C1432BC"/>
    <w:rsid w:val="4C2F29BE"/>
    <w:rsid w:val="4C5A1C92"/>
    <w:rsid w:val="4C5D614A"/>
    <w:rsid w:val="4C601BB3"/>
    <w:rsid w:val="4C7B3413"/>
    <w:rsid w:val="4C9C479A"/>
    <w:rsid w:val="4CAF5B83"/>
    <w:rsid w:val="4CC6019D"/>
    <w:rsid w:val="4CCF612A"/>
    <w:rsid w:val="4D005027"/>
    <w:rsid w:val="4D1A32BA"/>
    <w:rsid w:val="4D4C50E4"/>
    <w:rsid w:val="4D7C333E"/>
    <w:rsid w:val="4DC176EF"/>
    <w:rsid w:val="4DC96400"/>
    <w:rsid w:val="4DE712D5"/>
    <w:rsid w:val="4E276CCD"/>
    <w:rsid w:val="4E3F7F89"/>
    <w:rsid w:val="4E802CA1"/>
    <w:rsid w:val="4E865164"/>
    <w:rsid w:val="4E8F62C2"/>
    <w:rsid w:val="4E9C4FE8"/>
    <w:rsid w:val="4EA12F2C"/>
    <w:rsid w:val="4EB92457"/>
    <w:rsid w:val="4ECD685D"/>
    <w:rsid w:val="4EE67094"/>
    <w:rsid w:val="4EEE25F0"/>
    <w:rsid w:val="4F1F4BD3"/>
    <w:rsid w:val="4F2B31C3"/>
    <w:rsid w:val="4F473A81"/>
    <w:rsid w:val="4F562CCF"/>
    <w:rsid w:val="4FB808B8"/>
    <w:rsid w:val="4FDF63AF"/>
    <w:rsid w:val="4FED6C7C"/>
    <w:rsid w:val="50206901"/>
    <w:rsid w:val="50364453"/>
    <w:rsid w:val="50374AE4"/>
    <w:rsid w:val="506F73E0"/>
    <w:rsid w:val="50723FA4"/>
    <w:rsid w:val="507B1B11"/>
    <w:rsid w:val="50921E0B"/>
    <w:rsid w:val="50BD4E1F"/>
    <w:rsid w:val="51033C78"/>
    <w:rsid w:val="5139213B"/>
    <w:rsid w:val="514D42FE"/>
    <w:rsid w:val="51865FE2"/>
    <w:rsid w:val="51890F52"/>
    <w:rsid w:val="518F2482"/>
    <w:rsid w:val="51A10970"/>
    <w:rsid w:val="51B7558C"/>
    <w:rsid w:val="51CF03A0"/>
    <w:rsid w:val="51D449D7"/>
    <w:rsid w:val="51D5494E"/>
    <w:rsid w:val="51D61D88"/>
    <w:rsid w:val="51D86880"/>
    <w:rsid w:val="51ED32B0"/>
    <w:rsid w:val="51FC2A61"/>
    <w:rsid w:val="52305A4C"/>
    <w:rsid w:val="52790720"/>
    <w:rsid w:val="529C042A"/>
    <w:rsid w:val="52A20049"/>
    <w:rsid w:val="52B6147C"/>
    <w:rsid w:val="52C62F8D"/>
    <w:rsid w:val="52D73541"/>
    <w:rsid w:val="52D76772"/>
    <w:rsid w:val="52EB0BC7"/>
    <w:rsid w:val="52EB3111"/>
    <w:rsid w:val="5303729C"/>
    <w:rsid w:val="533B6A69"/>
    <w:rsid w:val="5366580D"/>
    <w:rsid w:val="537A24E5"/>
    <w:rsid w:val="53AF4198"/>
    <w:rsid w:val="53BE05B9"/>
    <w:rsid w:val="53C14124"/>
    <w:rsid w:val="53E23643"/>
    <w:rsid w:val="53FB2901"/>
    <w:rsid w:val="543053DD"/>
    <w:rsid w:val="544902DE"/>
    <w:rsid w:val="54AD72FB"/>
    <w:rsid w:val="54DD4AE6"/>
    <w:rsid w:val="55004AAD"/>
    <w:rsid w:val="5508477A"/>
    <w:rsid w:val="551D2513"/>
    <w:rsid w:val="55270A38"/>
    <w:rsid w:val="55271527"/>
    <w:rsid w:val="55957FC3"/>
    <w:rsid w:val="559A62AF"/>
    <w:rsid w:val="55A00F40"/>
    <w:rsid w:val="55B852EE"/>
    <w:rsid w:val="55BA31FE"/>
    <w:rsid w:val="55C57DF1"/>
    <w:rsid w:val="55D77D4F"/>
    <w:rsid w:val="55ED2EE0"/>
    <w:rsid w:val="55F4547F"/>
    <w:rsid w:val="55FC3B84"/>
    <w:rsid w:val="56184813"/>
    <w:rsid w:val="562D7CD9"/>
    <w:rsid w:val="564646E7"/>
    <w:rsid w:val="564D221C"/>
    <w:rsid w:val="56C9467C"/>
    <w:rsid w:val="56F22A32"/>
    <w:rsid w:val="573C2881"/>
    <w:rsid w:val="57503EF1"/>
    <w:rsid w:val="57584FC8"/>
    <w:rsid w:val="576565CB"/>
    <w:rsid w:val="57742049"/>
    <w:rsid w:val="57833712"/>
    <w:rsid w:val="579409DA"/>
    <w:rsid w:val="57940B30"/>
    <w:rsid w:val="57BA67C5"/>
    <w:rsid w:val="57D933E0"/>
    <w:rsid w:val="57E24FBA"/>
    <w:rsid w:val="57EE149B"/>
    <w:rsid w:val="5801089C"/>
    <w:rsid w:val="58124774"/>
    <w:rsid w:val="5815459A"/>
    <w:rsid w:val="58562316"/>
    <w:rsid w:val="58847AF3"/>
    <w:rsid w:val="58CE2190"/>
    <w:rsid w:val="58F5454D"/>
    <w:rsid w:val="593005BF"/>
    <w:rsid w:val="596925A5"/>
    <w:rsid w:val="596F5057"/>
    <w:rsid w:val="59BE70D6"/>
    <w:rsid w:val="5A01354B"/>
    <w:rsid w:val="5A0518B3"/>
    <w:rsid w:val="5A4A649B"/>
    <w:rsid w:val="5A4C128D"/>
    <w:rsid w:val="5A4C7CA2"/>
    <w:rsid w:val="5AC55625"/>
    <w:rsid w:val="5AD81E24"/>
    <w:rsid w:val="5B2836D5"/>
    <w:rsid w:val="5B661732"/>
    <w:rsid w:val="5B793214"/>
    <w:rsid w:val="5B7A6F8C"/>
    <w:rsid w:val="5B80368C"/>
    <w:rsid w:val="5B9E068A"/>
    <w:rsid w:val="5BDB6A8B"/>
    <w:rsid w:val="5BE76B6F"/>
    <w:rsid w:val="5BF6341D"/>
    <w:rsid w:val="5BFA436F"/>
    <w:rsid w:val="5C5D2B35"/>
    <w:rsid w:val="5C785A4A"/>
    <w:rsid w:val="5C8A4BAE"/>
    <w:rsid w:val="5CD071EB"/>
    <w:rsid w:val="5CD85AE1"/>
    <w:rsid w:val="5CE7440B"/>
    <w:rsid w:val="5D03534B"/>
    <w:rsid w:val="5D375134"/>
    <w:rsid w:val="5D705BAB"/>
    <w:rsid w:val="5D734AE1"/>
    <w:rsid w:val="5DA452E5"/>
    <w:rsid w:val="5E3C5005"/>
    <w:rsid w:val="5E7A731E"/>
    <w:rsid w:val="5E7E23E5"/>
    <w:rsid w:val="5E9E2D4D"/>
    <w:rsid w:val="5EAF00A9"/>
    <w:rsid w:val="5EE66E12"/>
    <w:rsid w:val="5EF46E1E"/>
    <w:rsid w:val="5F2A4E35"/>
    <w:rsid w:val="5F484AAD"/>
    <w:rsid w:val="5F704A26"/>
    <w:rsid w:val="5FAB66BA"/>
    <w:rsid w:val="5FCC6526"/>
    <w:rsid w:val="601E5502"/>
    <w:rsid w:val="60390672"/>
    <w:rsid w:val="604E1113"/>
    <w:rsid w:val="607272CC"/>
    <w:rsid w:val="607B5964"/>
    <w:rsid w:val="60872213"/>
    <w:rsid w:val="609943F6"/>
    <w:rsid w:val="60BA1016"/>
    <w:rsid w:val="61476329"/>
    <w:rsid w:val="614F51FB"/>
    <w:rsid w:val="61533593"/>
    <w:rsid w:val="618302A0"/>
    <w:rsid w:val="6191069B"/>
    <w:rsid w:val="61AA2B5C"/>
    <w:rsid w:val="61D116DC"/>
    <w:rsid w:val="61D24292"/>
    <w:rsid w:val="62056794"/>
    <w:rsid w:val="621E68C3"/>
    <w:rsid w:val="625F5B3B"/>
    <w:rsid w:val="62A0441B"/>
    <w:rsid w:val="62A82919"/>
    <w:rsid w:val="62E07A8F"/>
    <w:rsid w:val="633C5103"/>
    <w:rsid w:val="63447D3F"/>
    <w:rsid w:val="63487979"/>
    <w:rsid w:val="6355498B"/>
    <w:rsid w:val="63567371"/>
    <w:rsid w:val="635F6634"/>
    <w:rsid w:val="64254D6C"/>
    <w:rsid w:val="643B7C2E"/>
    <w:rsid w:val="6449573F"/>
    <w:rsid w:val="648C61C9"/>
    <w:rsid w:val="649066CE"/>
    <w:rsid w:val="64A0522C"/>
    <w:rsid w:val="64B40718"/>
    <w:rsid w:val="64BE623C"/>
    <w:rsid w:val="64DD4813"/>
    <w:rsid w:val="64E57F6D"/>
    <w:rsid w:val="651E4E2C"/>
    <w:rsid w:val="658A1D19"/>
    <w:rsid w:val="658B25A8"/>
    <w:rsid w:val="659A6BA8"/>
    <w:rsid w:val="659F57DB"/>
    <w:rsid w:val="65B17A4E"/>
    <w:rsid w:val="65B3194D"/>
    <w:rsid w:val="65CE74AD"/>
    <w:rsid w:val="65EB394E"/>
    <w:rsid w:val="65EC7449"/>
    <w:rsid w:val="661A19B5"/>
    <w:rsid w:val="661C5D4D"/>
    <w:rsid w:val="66240220"/>
    <w:rsid w:val="665D4CD0"/>
    <w:rsid w:val="66660838"/>
    <w:rsid w:val="66866023"/>
    <w:rsid w:val="66B9456E"/>
    <w:rsid w:val="66C207B0"/>
    <w:rsid w:val="66C87F07"/>
    <w:rsid w:val="66CB4B3F"/>
    <w:rsid w:val="66D34947"/>
    <w:rsid w:val="670519A4"/>
    <w:rsid w:val="672122EC"/>
    <w:rsid w:val="674A6CC4"/>
    <w:rsid w:val="675F4E6C"/>
    <w:rsid w:val="676346CC"/>
    <w:rsid w:val="67D432D5"/>
    <w:rsid w:val="67D84977"/>
    <w:rsid w:val="68174103"/>
    <w:rsid w:val="684A3248"/>
    <w:rsid w:val="688E6065"/>
    <w:rsid w:val="68900C2C"/>
    <w:rsid w:val="68990544"/>
    <w:rsid w:val="689F4FDB"/>
    <w:rsid w:val="690600B1"/>
    <w:rsid w:val="698E5C96"/>
    <w:rsid w:val="699B6A4B"/>
    <w:rsid w:val="69A31628"/>
    <w:rsid w:val="69E47297"/>
    <w:rsid w:val="69E93C5A"/>
    <w:rsid w:val="69EB5C3D"/>
    <w:rsid w:val="6A056C5C"/>
    <w:rsid w:val="6A0E449D"/>
    <w:rsid w:val="6A394B10"/>
    <w:rsid w:val="6A3D3930"/>
    <w:rsid w:val="6A483C28"/>
    <w:rsid w:val="6A5D1F52"/>
    <w:rsid w:val="6AB9032C"/>
    <w:rsid w:val="6AD9189E"/>
    <w:rsid w:val="6B2E3D42"/>
    <w:rsid w:val="6B3247F9"/>
    <w:rsid w:val="6B4E74C4"/>
    <w:rsid w:val="6B5B46E4"/>
    <w:rsid w:val="6B692BDE"/>
    <w:rsid w:val="6B7C5673"/>
    <w:rsid w:val="6BC608D8"/>
    <w:rsid w:val="6BD546E2"/>
    <w:rsid w:val="6BDA6C7A"/>
    <w:rsid w:val="6C0C0BE2"/>
    <w:rsid w:val="6C1873D9"/>
    <w:rsid w:val="6C432EAB"/>
    <w:rsid w:val="6C5539AC"/>
    <w:rsid w:val="6CA90B9D"/>
    <w:rsid w:val="6CCF7B5A"/>
    <w:rsid w:val="6CE81115"/>
    <w:rsid w:val="6D6579D8"/>
    <w:rsid w:val="6D700BD1"/>
    <w:rsid w:val="6D7F230E"/>
    <w:rsid w:val="6D8C7324"/>
    <w:rsid w:val="6DFA4963"/>
    <w:rsid w:val="6E376A09"/>
    <w:rsid w:val="6E4C7344"/>
    <w:rsid w:val="6E5F3F4B"/>
    <w:rsid w:val="6EBF2834"/>
    <w:rsid w:val="6ECA1524"/>
    <w:rsid w:val="6EE14F8A"/>
    <w:rsid w:val="6EED1AF7"/>
    <w:rsid w:val="6EFF182A"/>
    <w:rsid w:val="6F284536"/>
    <w:rsid w:val="6F397C4F"/>
    <w:rsid w:val="6F5F7E81"/>
    <w:rsid w:val="6F61645F"/>
    <w:rsid w:val="6F733592"/>
    <w:rsid w:val="6F7D1C3F"/>
    <w:rsid w:val="6F9B29AB"/>
    <w:rsid w:val="6FCF7FAB"/>
    <w:rsid w:val="6FD50999"/>
    <w:rsid w:val="6FD6520B"/>
    <w:rsid w:val="6FE7655A"/>
    <w:rsid w:val="70003AAC"/>
    <w:rsid w:val="70160934"/>
    <w:rsid w:val="70415CA3"/>
    <w:rsid w:val="706F71EC"/>
    <w:rsid w:val="70715D1C"/>
    <w:rsid w:val="70A3624A"/>
    <w:rsid w:val="70A6040A"/>
    <w:rsid w:val="70B772CD"/>
    <w:rsid w:val="70BE7AA5"/>
    <w:rsid w:val="70E04E91"/>
    <w:rsid w:val="715845FE"/>
    <w:rsid w:val="719839C7"/>
    <w:rsid w:val="71AB7A47"/>
    <w:rsid w:val="72242951"/>
    <w:rsid w:val="722A4382"/>
    <w:rsid w:val="723260D7"/>
    <w:rsid w:val="7241581D"/>
    <w:rsid w:val="72866E0A"/>
    <w:rsid w:val="72A66B9A"/>
    <w:rsid w:val="72B7679A"/>
    <w:rsid w:val="72EB65E8"/>
    <w:rsid w:val="72F07381"/>
    <w:rsid w:val="730D7924"/>
    <w:rsid w:val="736B27D3"/>
    <w:rsid w:val="73705753"/>
    <w:rsid w:val="73974144"/>
    <w:rsid w:val="73D17591"/>
    <w:rsid w:val="73D73C05"/>
    <w:rsid w:val="73FE0302"/>
    <w:rsid w:val="74081C27"/>
    <w:rsid w:val="740C1331"/>
    <w:rsid w:val="74220E03"/>
    <w:rsid w:val="744C7CFC"/>
    <w:rsid w:val="7460646C"/>
    <w:rsid w:val="74930E8A"/>
    <w:rsid w:val="74B16EFA"/>
    <w:rsid w:val="74D26BC9"/>
    <w:rsid w:val="74FA2B93"/>
    <w:rsid w:val="75013D26"/>
    <w:rsid w:val="7513293E"/>
    <w:rsid w:val="751C4A37"/>
    <w:rsid w:val="758E216D"/>
    <w:rsid w:val="75D031CF"/>
    <w:rsid w:val="75E50038"/>
    <w:rsid w:val="75F85C3A"/>
    <w:rsid w:val="76086AF3"/>
    <w:rsid w:val="760C32A3"/>
    <w:rsid w:val="761E665C"/>
    <w:rsid w:val="76481B4F"/>
    <w:rsid w:val="764C351C"/>
    <w:rsid w:val="76641728"/>
    <w:rsid w:val="767B6391"/>
    <w:rsid w:val="768C47F8"/>
    <w:rsid w:val="769211D6"/>
    <w:rsid w:val="76B002EC"/>
    <w:rsid w:val="77097262"/>
    <w:rsid w:val="772A6B84"/>
    <w:rsid w:val="773A5AF5"/>
    <w:rsid w:val="774E7257"/>
    <w:rsid w:val="77966D42"/>
    <w:rsid w:val="77C22C5C"/>
    <w:rsid w:val="780659D7"/>
    <w:rsid w:val="780E7E5F"/>
    <w:rsid w:val="7814493D"/>
    <w:rsid w:val="783828A6"/>
    <w:rsid w:val="7871156E"/>
    <w:rsid w:val="78AF2513"/>
    <w:rsid w:val="78D20837"/>
    <w:rsid w:val="78D60657"/>
    <w:rsid w:val="78D766EA"/>
    <w:rsid w:val="78EF00C7"/>
    <w:rsid w:val="78F30652"/>
    <w:rsid w:val="7909677D"/>
    <w:rsid w:val="790C75C1"/>
    <w:rsid w:val="79131EC6"/>
    <w:rsid w:val="79165DDC"/>
    <w:rsid w:val="79186D67"/>
    <w:rsid w:val="793223B0"/>
    <w:rsid w:val="793E60EE"/>
    <w:rsid w:val="796706F8"/>
    <w:rsid w:val="79756B26"/>
    <w:rsid w:val="79824362"/>
    <w:rsid w:val="79917A0D"/>
    <w:rsid w:val="79B71A16"/>
    <w:rsid w:val="7A0B2382"/>
    <w:rsid w:val="7A9C7DD7"/>
    <w:rsid w:val="7AA078CD"/>
    <w:rsid w:val="7ACE1446"/>
    <w:rsid w:val="7AD005EF"/>
    <w:rsid w:val="7ADD7A7C"/>
    <w:rsid w:val="7AF36362"/>
    <w:rsid w:val="7B901196"/>
    <w:rsid w:val="7B9D57DF"/>
    <w:rsid w:val="7BF12F29"/>
    <w:rsid w:val="7BF411CF"/>
    <w:rsid w:val="7C0250F8"/>
    <w:rsid w:val="7C3C1DBF"/>
    <w:rsid w:val="7C3C5E6C"/>
    <w:rsid w:val="7C684EAD"/>
    <w:rsid w:val="7C6F6210"/>
    <w:rsid w:val="7C727ADF"/>
    <w:rsid w:val="7C75312C"/>
    <w:rsid w:val="7C7C5D27"/>
    <w:rsid w:val="7C967BB3"/>
    <w:rsid w:val="7C9C1F1E"/>
    <w:rsid w:val="7CCE096B"/>
    <w:rsid w:val="7CD37E68"/>
    <w:rsid w:val="7D0006C9"/>
    <w:rsid w:val="7D224368"/>
    <w:rsid w:val="7D44147C"/>
    <w:rsid w:val="7D5F006C"/>
    <w:rsid w:val="7D6F6242"/>
    <w:rsid w:val="7D7346BB"/>
    <w:rsid w:val="7DB83C60"/>
    <w:rsid w:val="7DB9671E"/>
    <w:rsid w:val="7DCA74A7"/>
    <w:rsid w:val="7DDD3193"/>
    <w:rsid w:val="7DDF6BD3"/>
    <w:rsid w:val="7E1D3A7B"/>
    <w:rsid w:val="7E3660BC"/>
    <w:rsid w:val="7E44104E"/>
    <w:rsid w:val="7E464086"/>
    <w:rsid w:val="7E4F4CC7"/>
    <w:rsid w:val="7E535169"/>
    <w:rsid w:val="7E83045A"/>
    <w:rsid w:val="7EC109B8"/>
    <w:rsid w:val="7EE21CD9"/>
    <w:rsid w:val="7F2C6B94"/>
    <w:rsid w:val="7F4306B9"/>
    <w:rsid w:val="7F8B597C"/>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2"/>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54"/>
    <w:semiHidden/>
    <w:unhideWhenUsed/>
    <w:qFormat/>
    <w:uiPriority w:val="9"/>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eastAsia="仿宋_GB2312"/>
    </w:r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link w:val="61"/>
    <w:qFormat/>
    <w:uiPriority w:val="0"/>
    <w:pPr>
      <w:jc w:val="left"/>
    </w:pPr>
  </w:style>
  <w:style w:type="paragraph" w:styleId="12">
    <w:name w:val="Body Text Indent"/>
    <w:basedOn w:val="1"/>
    <w:link w:val="41"/>
    <w:qFormat/>
    <w:uiPriority w:val="0"/>
    <w:pPr>
      <w:spacing w:line="200" w:lineRule="atLeast"/>
      <w:ind w:firstLine="301"/>
    </w:pPr>
    <w:rPr>
      <w:rFonts w:ascii="宋体" w:hAnsi="Courier New" w:cstheme="minorBidi"/>
      <w:spacing w:val="-4"/>
      <w:sz w:val="18"/>
      <w:szCs w:val="22"/>
    </w:rPr>
  </w:style>
  <w:style w:type="paragraph" w:styleId="13">
    <w:name w:val="Plain Text"/>
    <w:basedOn w:val="1"/>
    <w:link w:val="46"/>
    <w:qFormat/>
    <w:uiPriority w:val="0"/>
    <w:pPr>
      <w:spacing w:beforeLines="50" w:afterLines="50" w:line="400" w:lineRule="atLeast"/>
    </w:pPr>
    <w:rPr>
      <w:rFonts w:ascii="宋体" w:hAnsi="Courier New" w:cstheme="minorBidi"/>
      <w:sz w:val="24"/>
      <w:szCs w:val="22"/>
    </w:rPr>
  </w:style>
  <w:style w:type="paragraph" w:styleId="14">
    <w:name w:val="Date"/>
    <w:basedOn w:val="1"/>
    <w:next w:val="1"/>
    <w:link w:val="30"/>
    <w:unhideWhenUsed/>
    <w:qFormat/>
    <w:uiPriority w:val="0"/>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50"/>
    <w:unhideWhenUsed/>
    <w:qFormat/>
    <w:uiPriority w:val="99"/>
    <w:pPr>
      <w:tabs>
        <w:tab w:val="center" w:pos="4153"/>
        <w:tab w:val="right" w:pos="8306"/>
      </w:tabs>
      <w:snapToGrid w:val="0"/>
      <w:jc w:val="left"/>
    </w:pPr>
    <w:rPr>
      <w:sz w:val="18"/>
      <w:szCs w:val="18"/>
    </w:rPr>
  </w:style>
  <w:style w:type="paragraph" w:styleId="17">
    <w:name w:val="header"/>
    <w:basedOn w:val="1"/>
    <w:link w:val="4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1">
    <w:name w:val="Title"/>
    <w:basedOn w:val="1"/>
    <w:next w:val="1"/>
    <w:link w:val="39"/>
    <w:qFormat/>
    <w:uiPriority w:val="10"/>
    <w:pPr>
      <w:spacing w:before="240" w:after="60"/>
      <w:jc w:val="center"/>
      <w:outlineLvl w:val="0"/>
    </w:pPr>
    <w:rPr>
      <w:rFonts w:asciiTheme="majorHAnsi" w:hAnsiTheme="majorHAnsi" w:cstheme="majorBidi"/>
      <w:b/>
      <w:bCs/>
      <w:sz w:val="32"/>
      <w:szCs w:val="32"/>
    </w:rPr>
  </w:style>
  <w:style w:type="paragraph" w:styleId="22">
    <w:name w:val="annotation subject"/>
    <w:basedOn w:val="11"/>
    <w:next w:val="11"/>
    <w:link w:val="65"/>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000FF" w:themeColor="hyperlink"/>
      <w:u w:val="single"/>
    </w:rPr>
  </w:style>
  <w:style w:type="character" w:styleId="29">
    <w:name w:val="annotation reference"/>
    <w:basedOn w:val="25"/>
    <w:semiHidden/>
    <w:unhideWhenUsed/>
    <w:qFormat/>
    <w:uiPriority w:val="99"/>
    <w:rPr>
      <w:sz w:val="21"/>
      <w:szCs w:val="21"/>
    </w:rPr>
  </w:style>
  <w:style w:type="character" w:customStyle="1" w:styleId="30">
    <w:name w:val="日期 Char"/>
    <w:basedOn w:val="25"/>
    <w:link w:val="14"/>
    <w:qFormat/>
    <w:uiPriority w:val="0"/>
    <w:rPr>
      <w:rFonts w:ascii="Times New Roman" w:hAnsi="Times New Roman" w:eastAsia="宋体" w:cs="Times New Roman"/>
      <w:sz w:val="28"/>
      <w:szCs w:val="20"/>
    </w:rPr>
  </w:style>
  <w:style w:type="paragraph" w:styleId="31">
    <w:name w:val="List Paragraph"/>
    <w:basedOn w:val="1"/>
    <w:link w:val="44"/>
    <w:qFormat/>
    <w:uiPriority w:val="99"/>
    <w:pPr>
      <w:ind w:firstLine="420" w:firstLineChars="200"/>
    </w:p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第四级"/>
    <w:basedOn w:val="1"/>
    <w:next w:val="36"/>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6">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character" w:customStyle="1" w:styleId="38">
    <w:name w:val="标题 1 Char"/>
    <w:basedOn w:val="25"/>
    <w:link w:val="3"/>
    <w:qFormat/>
    <w:uiPriority w:val="0"/>
    <w:rPr>
      <w:rFonts w:ascii="宋体" w:hAnsi="Arial" w:eastAsia="黑体" w:cs="Times New Roman"/>
      <w:b/>
      <w:bCs/>
      <w:color w:val="000000"/>
      <w:kern w:val="44"/>
      <w:sz w:val="36"/>
      <w:szCs w:val="32"/>
    </w:rPr>
  </w:style>
  <w:style w:type="character" w:customStyle="1" w:styleId="39">
    <w:name w:val="标题 Char"/>
    <w:basedOn w:val="25"/>
    <w:link w:val="21"/>
    <w:qFormat/>
    <w:uiPriority w:val="10"/>
    <w:rPr>
      <w:rFonts w:eastAsia="宋体" w:asciiTheme="majorHAnsi" w:hAnsiTheme="majorHAnsi" w:cstheme="majorBidi"/>
      <w:b/>
      <w:bCs/>
      <w:sz w:val="32"/>
      <w:szCs w:val="32"/>
    </w:rPr>
  </w:style>
  <w:style w:type="character" w:customStyle="1" w:styleId="40">
    <w:name w:val="标题 2 Char"/>
    <w:basedOn w:val="25"/>
    <w:link w:val="4"/>
    <w:semiHidden/>
    <w:qFormat/>
    <w:uiPriority w:val="9"/>
    <w:rPr>
      <w:rFonts w:asciiTheme="majorHAnsi" w:hAnsiTheme="majorHAnsi" w:eastAsiaTheme="majorEastAsia" w:cstheme="majorBidi"/>
      <w:b/>
      <w:bCs/>
      <w:sz w:val="32"/>
      <w:szCs w:val="32"/>
    </w:rPr>
  </w:style>
  <w:style w:type="character" w:customStyle="1" w:styleId="41">
    <w:name w:val="正文文本缩进 Char"/>
    <w:link w:val="12"/>
    <w:qFormat/>
    <w:locked/>
    <w:uiPriority w:val="0"/>
    <w:rPr>
      <w:rFonts w:ascii="宋体" w:hAnsi="Courier New" w:eastAsia="宋体"/>
      <w:spacing w:val="-4"/>
      <w:sz w:val="18"/>
    </w:rPr>
  </w:style>
  <w:style w:type="character" w:customStyle="1" w:styleId="42">
    <w:name w:val="正文文本缩进 Char1"/>
    <w:basedOn w:val="25"/>
    <w:qFormat/>
    <w:uiPriority w:val="99"/>
    <w:rPr>
      <w:rFonts w:ascii="Times New Roman" w:hAnsi="Times New Roman" w:eastAsia="宋体" w:cs="Times New Roman"/>
      <w:sz w:val="28"/>
      <w:szCs w:val="20"/>
    </w:rPr>
  </w:style>
  <w:style w:type="character" w:customStyle="1" w:styleId="43">
    <w:name w:val="标题 3 Char"/>
    <w:qFormat/>
    <w:uiPriority w:val="0"/>
    <w:rPr>
      <w:rFonts w:eastAsia="宋体"/>
      <w:b/>
      <w:bCs/>
      <w:kern w:val="2"/>
      <w:sz w:val="32"/>
      <w:szCs w:val="32"/>
      <w:lang w:val="en-US" w:eastAsia="zh-CN" w:bidi="ar-SA"/>
    </w:rPr>
  </w:style>
  <w:style w:type="character" w:customStyle="1" w:styleId="44">
    <w:name w:val="列出段落 Char"/>
    <w:link w:val="31"/>
    <w:qFormat/>
    <w:locked/>
    <w:uiPriority w:val="0"/>
    <w:rPr>
      <w:rFonts w:ascii="Times New Roman" w:hAnsi="Times New Roman" w:eastAsia="宋体" w:cs="Times New Roman"/>
      <w:sz w:val="28"/>
      <w:szCs w:val="20"/>
    </w:rPr>
  </w:style>
  <w:style w:type="character" w:customStyle="1" w:styleId="45">
    <w:name w:val="正文 第五章 中间"/>
    <w:qFormat/>
    <w:uiPriority w:val="0"/>
    <w:rPr>
      <w:b/>
      <w:bCs/>
      <w:color w:val="000000"/>
      <w:sz w:val="32"/>
    </w:rPr>
  </w:style>
  <w:style w:type="character" w:customStyle="1" w:styleId="46">
    <w:name w:val="纯文本 Char1"/>
    <w:link w:val="13"/>
    <w:qFormat/>
    <w:uiPriority w:val="0"/>
    <w:rPr>
      <w:rFonts w:ascii="宋体" w:hAnsi="Courier New" w:eastAsia="宋体"/>
      <w:sz w:val="24"/>
    </w:rPr>
  </w:style>
  <w:style w:type="character" w:customStyle="1" w:styleId="47">
    <w:name w:val="纯文本 Char"/>
    <w:basedOn w:val="25"/>
    <w:semiHidden/>
    <w:qFormat/>
    <w:uiPriority w:val="99"/>
    <w:rPr>
      <w:rFonts w:ascii="宋体" w:hAnsi="Courier New" w:eastAsia="宋体" w:cs="Courier New"/>
      <w:szCs w:val="21"/>
    </w:rPr>
  </w:style>
  <w:style w:type="character" w:customStyle="1" w:styleId="48">
    <w:name w:val="标题 3 Char1"/>
    <w:basedOn w:val="25"/>
    <w:link w:val="5"/>
    <w:semiHidden/>
    <w:qFormat/>
    <w:uiPriority w:val="9"/>
    <w:rPr>
      <w:rFonts w:ascii="Times New Roman" w:hAnsi="Times New Roman" w:eastAsia="宋体" w:cs="Times New Roman"/>
      <w:b/>
      <w:bCs/>
      <w:sz w:val="32"/>
      <w:szCs w:val="32"/>
    </w:rPr>
  </w:style>
  <w:style w:type="character" w:customStyle="1" w:styleId="49">
    <w:name w:val="页眉 Char"/>
    <w:basedOn w:val="25"/>
    <w:link w:val="17"/>
    <w:semiHidden/>
    <w:qFormat/>
    <w:uiPriority w:val="99"/>
    <w:rPr>
      <w:rFonts w:ascii="Times New Roman" w:hAnsi="Times New Roman" w:eastAsia="宋体" w:cs="Times New Roman"/>
      <w:sz w:val="18"/>
      <w:szCs w:val="18"/>
    </w:rPr>
  </w:style>
  <w:style w:type="character" w:customStyle="1" w:styleId="50">
    <w:name w:val="页脚 Char"/>
    <w:basedOn w:val="25"/>
    <w:link w:val="16"/>
    <w:qFormat/>
    <w:uiPriority w:val="99"/>
    <w:rPr>
      <w:rFonts w:ascii="Times New Roman" w:hAnsi="Times New Roman" w:eastAsia="宋体" w:cs="Times New Roman"/>
      <w:sz w:val="18"/>
      <w:szCs w:val="18"/>
    </w:rPr>
  </w:style>
  <w:style w:type="character" w:customStyle="1" w:styleId="51">
    <w:name w:val="标题 4 Char"/>
    <w:basedOn w:val="25"/>
    <w:link w:val="6"/>
    <w:semiHidden/>
    <w:qFormat/>
    <w:uiPriority w:val="9"/>
    <w:rPr>
      <w:rFonts w:asciiTheme="majorHAnsi" w:hAnsiTheme="majorHAnsi" w:eastAsiaTheme="majorEastAsia" w:cstheme="majorBidi"/>
      <w:b/>
      <w:bCs/>
      <w:sz w:val="28"/>
      <w:szCs w:val="28"/>
    </w:rPr>
  </w:style>
  <w:style w:type="character" w:customStyle="1" w:styleId="52">
    <w:name w:val="标题 5 Char"/>
    <w:basedOn w:val="25"/>
    <w:link w:val="7"/>
    <w:semiHidden/>
    <w:qFormat/>
    <w:uiPriority w:val="9"/>
    <w:rPr>
      <w:rFonts w:ascii="Times New Roman" w:hAnsi="Times New Roman" w:eastAsia="宋体" w:cs="Times New Roman"/>
      <w:b/>
      <w:bCs/>
      <w:sz w:val="28"/>
      <w:szCs w:val="28"/>
    </w:rPr>
  </w:style>
  <w:style w:type="character" w:customStyle="1" w:styleId="53">
    <w:name w:val="标题 6 Char"/>
    <w:basedOn w:val="25"/>
    <w:link w:val="8"/>
    <w:semiHidden/>
    <w:qFormat/>
    <w:uiPriority w:val="9"/>
    <w:rPr>
      <w:rFonts w:asciiTheme="majorHAnsi" w:hAnsiTheme="majorHAnsi" w:eastAsiaTheme="majorEastAsia" w:cstheme="majorBidi"/>
      <w:b/>
      <w:bCs/>
      <w:sz w:val="24"/>
      <w:szCs w:val="24"/>
    </w:rPr>
  </w:style>
  <w:style w:type="character" w:customStyle="1" w:styleId="54">
    <w:name w:val="标题 7 Char"/>
    <w:basedOn w:val="25"/>
    <w:link w:val="9"/>
    <w:semiHidden/>
    <w:qFormat/>
    <w:uiPriority w:val="9"/>
    <w:rPr>
      <w:rFonts w:ascii="Times New Roman" w:hAnsi="Times New Roman" w:eastAsia="宋体" w:cs="Times New Roman"/>
      <w:b/>
      <w:bCs/>
      <w:sz w:val="24"/>
      <w:szCs w:val="24"/>
    </w:rPr>
  </w:style>
  <w:style w:type="paragraph" w:customStyle="1" w:styleId="55">
    <w:name w:val="首行缩进"/>
    <w:basedOn w:val="1"/>
    <w:next w:val="1"/>
    <w:qFormat/>
    <w:uiPriority w:val="0"/>
    <w:pPr>
      <w:spacing w:line="360" w:lineRule="auto"/>
      <w:ind w:firstLine="200" w:firstLineChars="200"/>
    </w:pPr>
    <w:rPr>
      <w:rFonts w:ascii="Calibri" w:hAnsi="Calibri"/>
      <w:sz w:val="24"/>
      <w:szCs w:val="21"/>
    </w:rPr>
  </w:style>
  <w:style w:type="paragraph" w:customStyle="1" w:styleId="56">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批注框文本 Char"/>
    <w:basedOn w:val="25"/>
    <w:link w:val="15"/>
    <w:semiHidden/>
    <w:qFormat/>
    <w:uiPriority w:val="99"/>
    <w:rPr>
      <w:rFonts w:ascii="Times New Roman" w:hAnsi="Times New Roman" w:eastAsia="宋体" w:cs="Times New Roman"/>
      <w:sz w:val="18"/>
      <w:szCs w:val="18"/>
    </w:rPr>
  </w:style>
  <w:style w:type="paragraph" w:customStyle="1" w:styleId="58">
    <w:name w:val="TOC 标题1"/>
    <w:basedOn w:val="3"/>
    <w:next w:val="1"/>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59">
    <w:name w:val="样式1"/>
    <w:basedOn w:val="1"/>
    <w:qFormat/>
    <w:uiPriority w:val="0"/>
    <w:pPr>
      <w:numPr>
        <w:ilvl w:val="0"/>
        <w:numId w:val="2"/>
      </w:numPr>
      <w:adjustRightInd w:val="0"/>
      <w:textAlignment w:val="baseline"/>
    </w:pPr>
    <w:rPr>
      <w:rFonts w:ascii="宋体" w:hAnsi="宋体"/>
      <w:kern w:val="0"/>
      <w:sz w:val="21"/>
    </w:rPr>
  </w:style>
  <w:style w:type="paragraph" w:customStyle="1" w:styleId="60">
    <w:name w:val="Char Char Char Char Char Char Char1 Char"/>
    <w:basedOn w:val="1"/>
    <w:qFormat/>
    <w:uiPriority w:val="0"/>
    <w:rPr>
      <w:rFonts w:ascii="Tahoma" w:hAnsi="Tahoma"/>
      <w:sz w:val="24"/>
    </w:rPr>
  </w:style>
  <w:style w:type="character" w:customStyle="1" w:styleId="61">
    <w:name w:val="批注文字 Char"/>
    <w:basedOn w:val="25"/>
    <w:link w:val="11"/>
    <w:qFormat/>
    <w:uiPriority w:val="0"/>
    <w:rPr>
      <w:rFonts w:ascii="Times New Roman" w:hAnsi="Times New Roman" w:eastAsia="宋体" w:cs="Times New Roman"/>
      <w:sz w:val="28"/>
      <w:szCs w:val="20"/>
    </w:rPr>
  </w:style>
  <w:style w:type="character" w:customStyle="1" w:styleId="62">
    <w:name w:val="font51"/>
    <w:qFormat/>
    <w:uiPriority w:val="0"/>
    <w:rPr>
      <w:rFonts w:hint="eastAsia" w:ascii="宋体" w:hAnsi="宋体" w:eastAsia="宋体" w:cs="宋体"/>
      <w:color w:val="000000"/>
      <w:sz w:val="24"/>
      <w:szCs w:val="24"/>
      <w:u w:val="none"/>
    </w:rPr>
  </w:style>
  <w:style w:type="paragraph" w:customStyle="1" w:styleId="63">
    <w:name w:val="_Style 13"/>
    <w:basedOn w:val="1"/>
    <w:next w:val="31"/>
    <w:qFormat/>
    <w:uiPriority w:val="0"/>
    <w:pPr>
      <w:ind w:firstLine="420" w:firstLineChars="200"/>
    </w:pPr>
    <w:rPr>
      <w:rFonts w:ascii="Calibri" w:hAnsi="Calibri"/>
      <w:kern w:val="0"/>
      <w:sz w:val="20"/>
      <w:lang w:val="zh-CN"/>
    </w:rPr>
  </w:style>
  <w:style w:type="paragraph" w:customStyle="1" w:styleId="64">
    <w:name w:val="正文缩进2格"/>
    <w:basedOn w:val="1"/>
    <w:qFormat/>
    <w:uiPriority w:val="0"/>
    <w:pPr>
      <w:spacing w:line="600" w:lineRule="exact"/>
      <w:ind w:firstLine="639" w:firstLineChars="206"/>
    </w:pPr>
    <w:rPr>
      <w:rFonts w:ascii="仿宋_GB2312" w:hAnsi="宋体" w:eastAsia="仿宋_GB2312"/>
      <w:sz w:val="31"/>
      <w:szCs w:val="22"/>
    </w:rPr>
  </w:style>
  <w:style w:type="character" w:customStyle="1" w:styleId="65">
    <w:name w:val="批注主题 Char"/>
    <w:basedOn w:val="61"/>
    <w:link w:val="22"/>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47</Pages>
  <Words>16370</Words>
  <Characters>16813</Characters>
  <Lines>159</Lines>
  <Paragraphs>45</Paragraphs>
  <TotalTime>3</TotalTime>
  <ScaleCrop>false</ScaleCrop>
  <LinksUpToDate>false</LinksUpToDate>
  <CharactersWithSpaces>19989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2023-06-01T06:28:42Z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4C26227BCB294D39AA2781FF4FE8B61D</vt:lpwstr>
  </property>
</Properties>
</file>