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0" w:lineRule="exact"/>
        <w:jc w:val="center"/>
      </w:pPr>
      <w:r>
        <w:rPr>
          <w:rFonts w:hint="eastAsia"/>
        </w:rPr>
        <w:t>第四章  采购需求</w:t>
      </w:r>
    </w:p>
    <w:p>
      <w:pPr>
        <w:pStyle w:val="39"/>
        <w:spacing w:line="360" w:lineRule="auto"/>
        <w:ind w:firstLine="470" w:firstLineChars="196"/>
        <w:rPr>
          <w:rFonts w:ascii="宋体" w:hAnsi="宋体"/>
          <w:sz w:val="24"/>
          <w:szCs w:val="24"/>
        </w:rPr>
      </w:pPr>
      <w:r>
        <w:rPr>
          <w:rFonts w:hint="eastAsia" w:ascii="宋体" w:hAnsi="宋体"/>
          <w:sz w:val="24"/>
          <w:szCs w:val="24"/>
        </w:rPr>
        <w:t>备注：</w:t>
      </w:r>
    </w:p>
    <w:p>
      <w:pPr>
        <w:pStyle w:val="39"/>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sz w:val="24"/>
          <w:szCs w:val="24"/>
        </w:rPr>
      </w:pPr>
      <w:r>
        <w:rPr>
          <w:rFonts w:hint="eastAsia" w:ascii="宋体" w:hAnsi="宋体"/>
          <w:sz w:val="24"/>
          <w:szCs w:val="24"/>
        </w:rPr>
        <w:t>1.以下《采购需求说明》及《采购需求一览表》所列内容为采购人所提采购需求，供应商应认真仔细研究，投标时应慎重选择相应的产品及技术参数、规格型号等进行投标。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ascii="宋体" w:hAnsi="宋体"/>
          <w:b/>
          <w:color w:val="FF0000"/>
          <w:sz w:val="24"/>
          <w:szCs w:val="24"/>
        </w:rPr>
      </w:pPr>
      <w:r>
        <w:rPr>
          <w:rFonts w:hint="eastAsia" w:ascii="宋体" w:hAnsi="宋体" w:eastAsia="宋体" w:cs="Times New Roman"/>
          <w:b/>
          <w:color w:val="auto"/>
          <w:sz w:val="24"/>
          <w:szCs w:val="24"/>
          <w:highlight w:val="none"/>
          <w:lang w:val="en-US" w:eastAsia="zh-CN"/>
        </w:rPr>
        <w:t>2.采购</w:t>
      </w:r>
      <w:r>
        <w:rPr>
          <w:rFonts w:hint="eastAsia" w:ascii="宋体" w:hAnsi="宋体" w:cs="Times New Roman"/>
          <w:b/>
          <w:color w:val="auto"/>
          <w:sz w:val="24"/>
          <w:szCs w:val="24"/>
          <w:highlight w:val="none"/>
          <w:lang w:val="en-US" w:eastAsia="zh-CN"/>
        </w:rPr>
        <w:t>需求中各项参数均不得有负偏离，否则投标无效。</w:t>
      </w:r>
      <w:r>
        <w:rPr>
          <w:rFonts w:hint="eastAsia" w:ascii="宋体" w:hAnsi="宋体"/>
          <w:b/>
          <w:color w:val="FF0000"/>
          <w:sz w:val="24"/>
          <w:szCs w:val="24"/>
          <w:highlight w:val="none"/>
          <w:lang w:val="en-US" w:eastAsia="zh-CN"/>
        </w:rPr>
        <w:t>其中</w:t>
      </w:r>
      <w:r>
        <w:rPr>
          <w:rFonts w:hint="eastAsia" w:ascii="宋体" w:hAnsi="宋体" w:cs="Times New Roman"/>
          <w:b/>
          <w:color w:val="FF0000"/>
          <w:sz w:val="24"/>
          <w:szCs w:val="24"/>
          <w:highlight w:val="none"/>
        </w:rPr>
        <w:t>标有*的参数</w:t>
      </w:r>
      <w:r>
        <w:rPr>
          <w:rFonts w:hint="eastAsia" w:ascii="宋体" w:hAnsi="宋体" w:cs="Times New Roman"/>
          <w:b/>
          <w:color w:val="FF0000"/>
          <w:sz w:val="24"/>
          <w:szCs w:val="24"/>
          <w:highlight w:val="none"/>
          <w:lang w:eastAsia="zh-CN"/>
        </w:rPr>
        <w:t>，</w:t>
      </w:r>
      <w:r>
        <w:rPr>
          <w:rFonts w:hint="eastAsia" w:ascii="宋体" w:hAnsi="宋体" w:cs="Times New Roman"/>
          <w:b/>
          <w:color w:val="FF0000"/>
          <w:sz w:val="24"/>
          <w:szCs w:val="24"/>
          <w:highlight w:val="none"/>
          <w:lang w:val="en-US" w:eastAsia="zh-CN"/>
        </w:rPr>
        <w:t>必须提供</w:t>
      </w:r>
      <w:r>
        <w:rPr>
          <w:rFonts w:hint="eastAsia" w:ascii="宋体" w:hAnsi="宋体"/>
          <w:b/>
          <w:color w:val="FF0000"/>
          <w:sz w:val="24"/>
          <w:szCs w:val="24"/>
          <w:highlight w:val="none"/>
          <w:lang w:eastAsia="zh-CN"/>
        </w:rPr>
        <w:t>支持资料，</w:t>
      </w:r>
      <w:r>
        <w:rPr>
          <w:rFonts w:hint="eastAsia" w:ascii="宋体" w:hAnsi="宋体"/>
          <w:b/>
          <w:color w:val="FF0000"/>
          <w:sz w:val="24"/>
          <w:szCs w:val="24"/>
          <w:highlight w:val="none"/>
          <w:lang w:val="en-US" w:eastAsia="zh-CN"/>
        </w:rPr>
        <w:t>未标有*参数的，以具体要求中是否要求提供为准</w:t>
      </w:r>
      <w:r>
        <w:rPr>
          <w:rFonts w:hint="eastAsia" w:ascii="宋体" w:hAnsi="宋体"/>
          <w:b/>
          <w:color w:val="FF0000"/>
          <w:sz w:val="24"/>
          <w:szCs w:val="24"/>
          <w:highlight w:val="none"/>
          <w:lang w:eastAsia="zh-CN"/>
        </w:rPr>
        <w:t>。</w:t>
      </w:r>
      <w:r>
        <w:rPr>
          <w:rFonts w:hint="eastAsia" w:ascii="宋体" w:hAnsi="宋体" w:cs="Times New Roman"/>
          <w:b/>
          <w:color w:val="auto"/>
          <w:sz w:val="24"/>
          <w:szCs w:val="24"/>
          <w:highlight w:val="none"/>
          <w:lang w:val="en-US" w:eastAsia="zh-CN"/>
        </w:rPr>
        <w:t>采购需求说明中</w:t>
      </w:r>
      <w:r>
        <w:rPr>
          <w:rFonts w:hint="eastAsia" w:ascii="宋体" w:hAnsi="宋体"/>
          <w:b/>
          <w:color w:val="auto"/>
          <w:sz w:val="24"/>
          <w:szCs w:val="24"/>
          <w:highlight w:val="none"/>
          <w:lang w:val="en-US" w:eastAsia="zh-CN"/>
        </w:rPr>
        <w:t>要求在</w:t>
      </w:r>
      <w:r>
        <w:rPr>
          <w:rFonts w:hint="eastAsia" w:ascii="宋体" w:hAnsi="宋体"/>
          <w:b/>
          <w:color w:val="auto"/>
          <w:sz w:val="24"/>
          <w:szCs w:val="24"/>
          <w:highlight w:val="none"/>
          <w:lang w:eastAsia="zh-CN"/>
        </w:rPr>
        <w:t>投标文件中提供技术支持资料</w:t>
      </w:r>
      <w:r>
        <w:rPr>
          <w:rFonts w:hint="eastAsia" w:ascii="宋体" w:hAnsi="宋体"/>
          <w:b/>
          <w:color w:val="auto"/>
          <w:sz w:val="24"/>
          <w:szCs w:val="24"/>
          <w:highlight w:val="none"/>
          <w:lang w:val="en-US" w:eastAsia="zh-CN"/>
        </w:rPr>
        <w:t>或其他支持资料的，以</w:t>
      </w:r>
      <w:r>
        <w:rPr>
          <w:rFonts w:hint="eastAsia" w:ascii="宋体" w:hAnsi="宋体"/>
          <w:b/>
          <w:color w:val="auto"/>
          <w:sz w:val="24"/>
          <w:szCs w:val="24"/>
          <w:highlight w:val="none"/>
        </w:rPr>
        <w:t>招标文件明确要求的材料</w:t>
      </w:r>
      <w:r>
        <w:rPr>
          <w:rFonts w:hint="eastAsia" w:ascii="宋体" w:hAnsi="宋体"/>
          <w:b/>
          <w:color w:val="auto"/>
          <w:sz w:val="24"/>
          <w:szCs w:val="24"/>
          <w:highlight w:val="none"/>
          <w:lang w:val="en-US" w:eastAsia="zh-CN"/>
        </w:rPr>
        <w:t>为准；招标文件未明确要求的，</w:t>
      </w:r>
      <w:r>
        <w:rPr>
          <w:rFonts w:hint="eastAsia" w:ascii="宋体" w:hAnsi="宋体"/>
          <w:b/>
          <w:color w:val="auto"/>
          <w:sz w:val="24"/>
          <w:szCs w:val="24"/>
          <w:highlight w:val="none"/>
        </w:rPr>
        <w:t>以制造商公开发布的资料或</w:t>
      </w:r>
      <w:r>
        <w:rPr>
          <w:rFonts w:hint="eastAsia" w:ascii="宋体" w:hAnsi="宋体"/>
          <w:b/>
          <w:color w:val="auto"/>
          <w:sz w:val="24"/>
          <w:szCs w:val="24"/>
          <w:highlight w:val="none"/>
          <w:lang w:val="en-US" w:eastAsia="zh-CN"/>
        </w:rPr>
        <w:t>或产品彩页或</w:t>
      </w:r>
      <w:r>
        <w:rPr>
          <w:rFonts w:hint="eastAsia" w:ascii="宋体" w:hAnsi="宋体"/>
          <w:b/>
          <w:color w:val="auto"/>
          <w:sz w:val="24"/>
          <w:szCs w:val="24"/>
          <w:highlight w:val="none"/>
        </w:rPr>
        <w:t>检测机构出具的检测报告为准。若制造商公开发布的资料与检测机构出具的检测报告不一致，以检测机构出具的检测报告为准。若为外文证明材料，须同时提供中文翻译说明。</w:t>
      </w:r>
      <w:r>
        <w:rPr>
          <w:rFonts w:hint="eastAsia" w:ascii="宋体" w:hAnsi="宋体"/>
          <w:b/>
          <w:color w:val="auto"/>
          <w:sz w:val="24"/>
          <w:szCs w:val="24"/>
          <w:highlight w:val="none"/>
          <w:lang w:val="en-US" w:eastAsia="zh-CN"/>
        </w:rPr>
        <w:t>不满足上述要求的，</w:t>
      </w:r>
      <w:r>
        <w:rPr>
          <w:rFonts w:hint="eastAsia" w:ascii="宋体" w:hAnsi="宋体"/>
          <w:b/>
          <w:color w:val="auto"/>
          <w:sz w:val="24"/>
          <w:szCs w:val="24"/>
          <w:highlight w:val="none"/>
        </w:rPr>
        <w:t>不予认可</w:t>
      </w:r>
      <w:r>
        <w:rPr>
          <w:rFonts w:hint="eastAsia" w:ascii="宋体" w:hAnsi="宋体"/>
          <w:b/>
          <w:color w:val="auto"/>
          <w:sz w:val="24"/>
          <w:szCs w:val="24"/>
          <w:highlight w:val="none"/>
          <w:lang w:eastAsia="zh-CN"/>
        </w:rPr>
        <w:t>。</w:t>
      </w:r>
    </w:p>
    <w:p>
      <w:pPr>
        <w:pStyle w:val="39"/>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sz w:val="24"/>
          <w:szCs w:val="24"/>
        </w:rPr>
      </w:pPr>
      <w:r>
        <w:rPr>
          <w:rFonts w:hint="eastAsia" w:ascii="宋体" w:hAnsi="宋体"/>
          <w:sz w:val="24"/>
          <w:szCs w:val="24"/>
        </w:rPr>
        <w:t>3.投标报价包括采购、运输、人工、安装、售后、验收、税费等所有费用。</w:t>
      </w:r>
    </w:p>
    <w:p>
      <w:pPr>
        <w:pStyle w:val="39"/>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sz w:val="24"/>
          <w:szCs w:val="24"/>
        </w:rPr>
      </w:pPr>
      <w:r>
        <w:rPr>
          <w:rFonts w:hint="eastAsia" w:ascii="宋体" w:hAnsi="宋体"/>
          <w:sz w:val="24"/>
          <w:szCs w:val="24"/>
        </w:rPr>
        <w:t>4.本项目招标文件通用部分第三章 “投标文件格式”中内容应根据项目需要和评标办法规定填写；如不需要，则填写无。</w:t>
      </w:r>
    </w:p>
    <w:p>
      <w:pPr>
        <w:pStyle w:val="39"/>
        <w:spacing w:line="360" w:lineRule="auto"/>
        <w:ind w:firstLine="470" w:firstLineChars="196"/>
        <w:rPr>
          <w:rFonts w:ascii="宋体" w:hAnsi="宋体"/>
          <w:sz w:val="24"/>
          <w:szCs w:val="24"/>
        </w:rPr>
      </w:pPr>
      <w:r>
        <w:rPr>
          <w:rFonts w:hint="eastAsia" w:ascii="宋体" w:hAnsi="宋体"/>
          <w:sz w:val="24"/>
          <w:szCs w:val="24"/>
        </w:rPr>
        <w:t>5.中标供应商和采购人签订的合同应与招标文件中的采购合同一致，不得另行签订与采购合同相背离的其他合同。</w:t>
      </w:r>
    </w:p>
    <w:p>
      <w:pPr>
        <w:pStyle w:val="39"/>
        <w:spacing w:line="360" w:lineRule="auto"/>
        <w:ind w:firstLine="470" w:firstLineChars="196"/>
        <w:rPr>
          <w:rFonts w:ascii="宋体" w:hAnsi="宋体"/>
          <w:sz w:val="24"/>
          <w:szCs w:val="24"/>
        </w:rPr>
      </w:pPr>
      <w:r>
        <w:rPr>
          <w:rFonts w:hint="eastAsia" w:ascii="宋体" w:hAnsi="宋体"/>
          <w:sz w:val="24"/>
          <w:szCs w:val="24"/>
        </w:rPr>
        <w:t>6.下列《采购需求一览表》中标注“▲”的产品，投标供应商在投标文件《主要中标标的承诺函》中填写名称、规格、型号、数量、单价等信息该承诺函经评标委员会评审认可后随评审结果一并公示，如投标文件中未提供、提供不全将可能导致投标无效。</w:t>
      </w:r>
      <w:bookmarkStart w:id="0" w:name="_Hlk33586079"/>
      <w:r>
        <w:rPr>
          <w:rFonts w:hint="eastAsia" w:ascii="宋体" w:hAnsi="宋体"/>
          <w:sz w:val="24"/>
          <w:szCs w:val="24"/>
        </w:rPr>
        <w:t>采购人（代理机构）在编制招标文件时必须将采购的主要产品(包括核心产品)标注“▲”。</w:t>
      </w:r>
      <w:bookmarkEnd w:id="0"/>
    </w:p>
    <w:p>
      <w:pPr>
        <w:pStyle w:val="39"/>
        <w:spacing w:line="360" w:lineRule="auto"/>
        <w:ind w:firstLine="470" w:firstLineChars="196"/>
        <w:rPr>
          <w:rFonts w:ascii="宋体" w:hAnsi="宋体"/>
          <w:sz w:val="24"/>
          <w:szCs w:val="24"/>
        </w:rPr>
      </w:pPr>
      <w:r>
        <w:rPr>
          <w:rFonts w:hint="eastAsia" w:ascii="宋体" w:hAnsi="宋体"/>
          <w:sz w:val="24"/>
          <w:szCs w:val="24"/>
        </w:rPr>
        <w:t>7.采购人或代理机构查询中国政府采购网相关链接，并根据查询结果，在采购需求一览表填写列入品目清单情况。</w:t>
      </w:r>
    </w:p>
    <w:p>
      <w:pPr>
        <w:pStyle w:val="39"/>
        <w:spacing w:line="360" w:lineRule="auto"/>
        <w:ind w:firstLine="472" w:firstLineChars="196"/>
        <w:rPr>
          <w:rFonts w:ascii="宋体" w:hAnsi="宋体"/>
          <w:b/>
          <w:sz w:val="24"/>
          <w:szCs w:val="24"/>
        </w:rPr>
      </w:pPr>
      <w:r>
        <w:rPr>
          <w:rFonts w:hint="eastAsia" w:ascii="宋体" w:hAnsi="宋体"/>
          <w:b/>
          <w:sz w:val="24"/>
          <w:szCs w:val="24"/>
        </w:rPr>
        <w:t>采购产品如有列入品目清单内强制采购类节能产品，必须按品目清单要求采购。提供国家确定的认证机构证明网页截图，及认证机构出具的、处于有效期之内的节能产品认证证书，否则按无效投标处理。</w:t>
      </w:r>
    </w:p>
    <w:p>
      <w:pPr>
        <w:pStyle w:val="39"/>
        <w:spacing w:line="360" w:lineRule="auto"/>
        <w:ind w:firstLine="470" w:firstLineChars="196"/>
        <w:rPr>
          <w:rFonts w:ascii="宋体" w:hAnsi="宋体"/>
          <w:sz w:val="24"/>
          <w:szCs w:val="24"/>
        </w:rPr>
      </w:pPr>
      <w:r>
        <w:rPr>
          <w:rFonts w:hint="eastAsia" w:ascii="宋体" w:hAnsi="宋体"/>
          <w:sz w:val="24"/>
          <w:szCs w:val="24"/>
        </w:rPr>
        <w:t>采购产品如有列入品目清单内优先采购节能或环境标志产品，根据评标办法要求提供相关证明材料，否则在评标时相关评审项不得分。</w:t>
      </w:r>
    </w:p>
    <w:p>
      <w:pPr>
        <w:pStyle w:val="39"/>
        <w:spacing w:line="360" w:lineRule="auto"/>
        <w:ind w:firstLine="480" w:firstLineChars="200"/>
        <w:rPr>
          <w:rFonts w:ascii="宋体" w:hAnsi="宋体"/>
          <w:sz w:val="24"/>
          <w:szCs w:val="24"/>
        </w:rPr>
      </w:pPr>
      <w:r>
        <w:rPr>
          <w:rFonts w:hint="eastAsia" w:ascii="宋体" w:hAnsi="宋体"/>
          <w:sz w:val="24"/>
          <w:szCs w:val="24"/>
        </w:rPr>
        <w:t>8.采购人、采购代理机构应当依据国务院批准的中小企业划分标准，根据采购项目具体情况，在采购文件中明确采购标的对应的中小企业划分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w:t>
      </w:r>
      <w:bookmarkStart w:id="1" w:name="_GoBack"/>
      <w:bookmarkEnd w:id="1"/>
      <w:r>
        <w:rPr>
          <w:rFonts w:hint="eastAsia" w:ascii="宋体" w:hAnsi="宋体"/>
          <w:sz w:val="24"/>
          <w:szCs w:val="24"/>
        </w:rPr>
        <w:t>技术服务业，房地产开发经营，物业管理，租赁和商业服务业和其他未列明行业等十六类。（如下图所示）</w:t>
      </w:r>
    </w:p>
    <w:p>
      <w:pPr>
        <w:pStyle w:val="39"/>
        <w:numPr>
          <w:ilvl w:val="255"/>
          <w:numId w:val="0"/>
        </w:numPr>
        <w:spacing w:line="360" w:lineRule="auto"/>
        <w:ind w:firstLine="480" w:firstLineChars="200"/>
        <w:rPr>
          <w:rFonts w:ascii="宋体" w:hAnsi="宋体"/>
          <w:sz w:val="24"/>
          <w:szCs w:val="24"/>
        </w:rPr>
      </w:pPr>
      <w:r>
        <w:rPr>
          <w:rFonts w:hint="eastAsia" w:ascii="宋体" w:hAnsi="宋体"/>
          <w:sz w:val="24"/>
          <w:szCs w:val="24"/>
        </w:rPr>
        <w:t>9.采购人（代理机构）在编制招标文件时必须将采购标的性质（采购货物或采购服务）予以明确。</w:t>
      </w:r>
    </w:p>
    <w:p>
      <w:pPr>
        <w:pStyle w:val="39"/>
        <w:numPr>
          <w:ilvl w:val="255"/>
          <w:numId w:val="0"/>
        </w:numPr>
        <w:spacing w:line="360" w:lineRule="auto"/>
        <w:rPr>
          <w:rFonts w:ascii="宋体" w:hAnsi="宋体"/>
          <w:sz w:val="24"/>
          <w:szCs w:val="24"/>
        </w:rPr>
      </w:pPr>
      <w:r>
        <w:rPr>
          <w:rFonts w:hint="eastAsia" w:ascii="宋体" w:hAnsi="宋体"/>
          <w:sz w:val="24"/>
          <w:szCs w:val="24"/>
        </w:rPr>
        <w:t>中小企业划分标准：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04"/>
        <w:gridCol w:w="1097"/>
        <w:gridCol w:w="1295"/>
        <w:gridCol w:w="1561"/>
        <w:gridCol w:w="138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widowControl/>
              <w:spacing w:line="360" w:lineRule="auto"/>
              <w:rPr>
                <w:rFonts w:ascii="宋体" w:hAnsi="宋体"/>
                <w:sz w:val="18"/>
                <w:szCs w:val="18"/>
              </w:rPr>
            </w:pPr>
            <w:r>
              <w:rPr>
                <w:rFonts w:hint="eastAsia" w:ascii="宋体" w:hAnsi="宋体"/>
                <w:sz w:val="18"/>
                <w:szCs w:val="18"/>
              </w:rPr>
              <w:t>行业名称</w:t>
            </w:r>
          </w:p>
        </w:tc>
        <w:tc>
          <w:tcPr>
            <w:tcW w:w="1104" w:type="dxa"/>
            <w:vAlign w:val="center"/>
          </w:tcPr>
          <w:p>
            <w:pPr>
              <w:widowControl/>
              <w:spacing w:line="360" w:lineRule="auto"/>
              <w:rPr>
                <w:rFonts w:ascii="宋体" w:hAnsi="宋体"/>
                <w:sz w:val="18"/>
                <w:szCs w:val="18"/>
              </w:rPr>
            </w:pPr>
            <w:r>
              <w:rPr>
                <w:rFonts w:hint="eastAsia" w:ascii="宋体" w:hAnsi="宋体"/>
                <w:sz w:val="18"/>
                <w:szCs w:val="18"/>
              </w:rPr>
              <w:t>指标名称</w:t>
            </w:r>
          </w:p>
        </w:tc>
        <w:tc>
          <w:tcPr>
            <w:tcW w:w="1097" w:type="dxa"/>
            <w:vAlign w:val="center"/>
          </w:tcPr>
          <w:p>
            <w:pPr>
              <w:widowControl/>
              <w:spacing w:line="360" w:lineRule="auto"/>
              <w:rPr>
                <w:rFonts w:ascii="宋体" w:hAnsi="宋体"/>
                <w:sz w:val="18"/>
                <w:szCs w:val="18"/>
              </w:rPr>
            </w:pPr>
            <w:r>
              <w:rPr>
                <w:rFonts w:hint="eastAsia" w:ascii="宋体" w:hAnsi="宋体"/>
                <w:sz w:val="18"/>
                <w:szCs w:val="18"/>
              </w:rPr>
              <w:t>计量单位</w:t>
            </w:r>
          </w:p>
        </w:tc>
        <w:tc>
          <w:tcPr>
            <w:tcW w:w="1295" w:type="dxa"/>
            <w:vAlign w:val="center"/>
          </w:tcPr>
          <w:p>
            <w:pPr>
              <w:widowControl/>
              <w:spacing w:line="360" w:lineRule="auto"/>
              <w:ind w:firstLine="420"/>
              <w:rPr>
                <w:rFonts w:ascii="宋体" w:hAnsi="宋体"/>
                <w:sz w:val="18"/>
                <w:szCs w:val="18"/>
              </w:rPr>
            </w:pPr>
            <w:r>
              <w:rPr>
                <w:rFonts w:hint="eastAsia" w:ascii="宋体" w:hAnsi="宋体"/>
                <w:sz w:val="18"/>
                <w:szCs w:val="18"/>
              </w:rPr>
              <w:t>大型</w:t>
            </w:r>
          </w:p>
        </w:tc>
        <w:tc>
          <w:tcPr>
            <w:tcW w:w="1561" w:type="dxa"/>
            <w:vAlign w:val="center"/>
          </w:tcPr>
          <w:p>
            <w:pPr>
              <w:widowControl/>
              <w:spacing w:line="360" w:lineRule="auto"/>
              <w:ind w:firstLine="420"/>
              <w:rPr>
                <w:rFonts w:ascii="宋体" w:hAnsi="宋体"/>
                <w:sz w:val="18"/>
                <w:szCs w:val="18"/>
              </w:rPr>
            </w:pPr>
            <w:r>
              <w:rPr>
                <w:rFonts w:hint="eastAsia" w:ascii="宋体" w:hAnsi="宋体"/>
                <w:sz w:val="18"/>
                <w:szCs w:val="18"/>
              </w:rPr>
              <w:t>中型</w:t>
            </w:r>
          </w:p>
        </w:tc>
        <w:tc>
          <w:tcPr>
            <w:tcW w:w="1389" w:type="dxa"/>
            <w:vAlign w:val="center"/>
          </w:tcPr>
          <w:p>
            <w:pPr>
              <w:widowControl/>
              <w:spacing w:line="360" w:lineRule="auto"/>
              <w:ind w:firstLine="420"/>
              <w:rPr>
                <w:rFonts w:ascii="宋体" w:hAnsi="宋体"/>
                <w:sz w:val="18"/>
                <w:szCs w:val="18"/>
              </w:rPr>
            </w:pPr>
            <w:r>
              <w:rPr>
                <w:rFonts w:hint="eastAsia" w:ascii="宋体" w:hAnsi="宋体"/>
                <w:sz w:val="18"/>
                <w:szCs w:val="18"/>
              </w:rPr>
              <w:t>小型</w:t>
            </w:r>
          </w:p>
        </w:tc>
        <w:tc>
          <w:tcPr>
            <w:tcW w:w="965" w:type="dxa"/>
            <w:vAlign w:val="center"/>
          </w:tcPr>
          <w:p>
            <w:pPr>
              <w:widowControl/>
              <w:spacing w:line="360" w:lineRule="auto"/>
              <w:rPr>
                <w:rFonts w:ascii="宋体" w:hAnsi="宋体"/>
                <w:sz w:val="18"/>
                <w:szCs w:val="18"/>
              </w:rPr>
            </w:pPr>
            <w:r>
              <w:rPr>
                <w:rFonts w:hint="eastAsia" w:ascii="宋体" w:hAnsi="宋体"/>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Align w:val="center"/>
          </w:tcPr>
          <w:p>
            <w:pPr>
              <w:widowControl/>
              <w:spacing w:line="360" w:lineRule="auto"/>
              <w:jc w:val="center"/>
              <w:rPr>
                <w:rFonts w:ascii="宋体" w:hAnsi="宋体"/>
                <w:sz w:val="18"/>
                <w:szCs w:val="18"/>
              </w:rPr>
            </w:pPr>
            <w:r>
              <w:rPr>
                <w:rFonts w:hint="eastAsia" w:ascii="宋体" w:hAnsi="宋体"/>
                <w:sz w:val="18"/>
                <w:szCs w:val="18"/>
              </w:rPr>
              <w:t>农、林、牧、渔业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Y≥20000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500≤Y&lt;20000</w:t>
            </w:r>
          </w:p>
        </w:tc>
        <w:tc>
          <w:tcPr>
            <w:tcW w:w="1389" w:type="dxa"/>
            <w:vAlign w:val="center"/>
          </w:tcPr>
          <w:p>
            <w:pPr>
              <w:widowControl/>
              <w:spacing w:line="360" w:lineRule="auto"/>
              <w:rPr>
                <w:rFonts w:ascii="宋体" w:hAnsi="宋体"/>
                <w:sz w:val="18"/>
                <w:szCs w:val="18"/>
              </w:rPr>
            </w:pPr>
            <w:r>
              <w:rPr>
                <w:rFonts w:hint="eastAsia" w:ascii="宋体" w:hAnsi="宋体"/>
                <w:sz w:val="18"/>
                <w:szCs w:val="18"/>
              </w:rPr>
              <w:t>50≤Y&lt;500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line="360" w:lineRule="auto"/>
              <w:jc w:val="center"/>
              <w:rPr>
                <w:rFonts w:ascii="宋体" w:hAnsi="宋体"/>
                <w:sz w:val="18"/>
                <w:szCs w:val="18"/>
              </w:rPr>
            </w:pPr>
            <w:r>
              <w:rPr>
                <w:rFonts w:hint="eastAsia" w:ascii="宋体" w:hAnsi="宋体"/>
                <w:sz w:val="18"/>
                <w:szCs w:val="18"/>
              </w:rPr>
              <w:t>工业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Y≥40000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2000≤Y&lt;40000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300≤Y&lt;2000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line="360" w:lineRule="auto"/>
              <w:jc w:val="center"/>
              <w:rPr>
                <w:rFonts w:ascii="宋体" w:hAnsi="宋体"/>
                <w:sz w:val="18"/>
                <w:szCs w:val="18"/>
              </w:rPr>
            </w:pPr>
            <w:r>
              <w:rPr>
                <w:rFonts w:hint="eastAsia" w:ascii="宋体" w:hAnsi="宋体"/>
                <w:sz w:val="18"/>
                <w:szCs w:val="18"/>
              </w:rPr>
              <w:t>建筑业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Y≥80000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6000≤Y&lt;80000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300≤Y&lt;6000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Z≥80000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5000≤Z&lt;80000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300≤Z&lt;5000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line="360" w:lineRule="auto"/>
              <w:jc w:val="center"/>
              <w:rPr>
                <w:rFonts w:ascii="宋体" w:hAnsi="宋体"/>
                <w:sz w:val="18"/>
                <w:szCs w:val="18"/>
              </w:rPr>
            </w:pPr>
            <w:r>
              <w:rPr>
                <w:rFonts w:hint="eastAsia" w:ascii="宋体" w:hAnsi="宋体"/>
                <w:sz w:val="18"/>
                <w:szCs w:val="18"/>
              </w:rPr>
              <w:t>批发业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X≥200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20≤X&lt;200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5≤X&lt;20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Y≥40000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5000≤Y&lt;40000</w:t>
            </w:r>
          </w:p>
        </w:tc>
        <w:tc>
          <w:tcPr>
            <w:tcW w:w="1389" w:type="dxa"/>
            <w:vAlign w:val="center"/>
          </w:tcPr>
          <w:p>
            <w:pPr>
              <w:widowControl/>
              <w:spacing w:line="360" w:lineRule="auto"/>
              <w:rPr>
                <w:rFonts w:ascii="宋体" w:hAnsi="宋体"/>
                <w:sz w:val="18"/>
                <w:szCs w:val="18"/>
              </w:rPr>
            </w:pPr>
            <w:r>
              <w:rPr>
                <w:rFonts w:hint="eastAsia" w:ascii="宋体" w:hAnsi="宋体"/>
                <w:sz w:val="18"/>
                <w:szCs w:val="18"/>
              </w:rPr>
              <w:t>1000≤Y&lt;5000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9"/>
              <w:numPr>
                <w:ilvl w:val="255"/>
                <w:numId w:val="0"/>
              </w:numPr>
              <w:spacing w:line="360" w:lineRule="auto"/>
              <w:jc w:val="center"/>
              <w:rPr>
                <w:rFonts w:ascii="宋体" w:hAnsi="宋体"/>
                <w:sz w:val="18"/>
                <w:szCs w:val="18"/>
              </w:rPr>
            </w:pPr>
            <w:r>
              <w:rPr>
                <w:rFonts w:hint="eastAsia" w:ascii="宋体" w:hAnsi="宋体"/>
                <w:sz w:val="18"/>
                <w:szCs w:val="18"/>
              </w:rPr>
              <w:t>零售业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50≤X&lt;300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10≤X&lt;50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9"/>
              <w:numPr>
                <w:ilvl w:val="255"/>
                <w:numId w:val="0"/>
              </w:numPr>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Y≥20000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500≤Y&lt;20000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100≤Y&lt;500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2" w:type="dxa"/>
            <w:vMerge w:val="restart"/>
            <w:vAlign w:val="center"/>
          </w:tcPr>
          <w:p>
            <w:pPr>
              <w:widowControl/>
              <w:spacing w:line="360" w:lineRule="auto"/>
              <w:jc w:val="center"/>
              <w:rPr>
                <w:rFonts w:ascii="宋体" w:hAnsi="宋体"/>
                <w:sz w:val="18"/>
                <w:szCs w:val="18"/>
              </w:rPr>
            </w:pPr>
            <w:r>
              <w:rPr>
                <w:rFonts w:hint="eastAsia" w:ascii="宋体" w:hAnsi="宋体"/>
                <w:sz w:val="18"/>
                <w:szCs w:val="18"/>
              </w:rPr>
              <w:t>交通运输业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3000≤Y&lt;30000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200≤Y&lt;3000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line="360" w:lineRule="auto"/>
              <w:jc w:val="center"/>
              <w:rPr>
                <w:rFonts w:ascii="宋体" w:hAnsi="宋体"/>
                <w:sz w:val="18"/>
                <w:szCs w:val="18"/>
              </w:rPr>
            </w:pPr>
            <w:r>
              <w:rPr>
                <w:rFonts w:hint="eastAsia" w:ascii="宋体" w:hAnsi="宋体"/>
                <w:sz w:val="18"/>
                <w:szCs w:val="18"/>
              </w:rPr>
              <w:t>仓储业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X≥200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100≤X&lt;200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20≤X&lt;100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1000≤Y&lt;30000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line="360" w:lineRule="auto"/>
              <w:jc w:val="center"/>
              <w:rPr>
                <w:rFonts w:ascii="宋体" w:hAnsi="宋体"/>
                <w:sz w:val="18"/>
                <w:szCs w:val="18"/>
              </w:rPr>
            </w:pPr>
            <w:r>
              <w:rPr>
                <w:rFonts w:hint="eastAsia" w:ascii="宋体" w:hAnsi="宋体"/>
                <w:sz w:val="18"/>
                <w:szCs w:val="18"/>
              </w:rPr>
              <w:t>邮政业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2000≤Y&lt;30000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12" w:type="dxa"/>
            <w:vMerge w:val="restart"/>
            <w:vAlign w:val="center"/>
          </w:tcPr>
          <w:p>
            <w:pPr>
              <w:widowControl/>
              <w:spacing w:line="360" w:lineRule="auto"/>
              <w:jc w:val="center"/>
              <w:rPr>
                <w:rFonts w:ascii="宋体" w:hAnsi="宋体"/>
                <w:sz w:val="18"/>
                <w:szCs w:val="18"/>
              </w:rPr>
            </w:pPr>
            <w:r>
              <w:rPr>
                <w:rFonts w:hint="eastAsia" w:ascii="宋体" w:hAnsi="宋体"/>
                <w:sz w:val="18"/>
                <w:szCs w:val="18"/>
              </w:rPr>
              <w:t>住宿业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2000≤Y&lt;10000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line="360" w:lineRule="auto"/>
              <w:jc w:val="center"/>
              <w:rPr>
                <w:rFonts w:ascii="宋体" w:hAnsi="宋体"/>
                <w:sz w:val="18"/>
                <w:szCs w:val="18"/>
              </w:rPr>
            </w:pPr>
            <w:r>
              <w:rPr>
                <w:rFonts w:hint="eastAsia" w:ascii="宋体" w:hAnsi="宋体"/>
                <w:sz w:val="18"/>
                <w:szCs w:val="18"/>
              </w:rPr>
              <w:t>餐饮业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2000≤Y&lt;10000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line="360" w:lineRule="auto"/>
              <w:jc w:val="center"/>
              <w:rPr>
                <w:rFonts w:ascii="宋体" w:hAnsi="宋体"/>
                <w:sz w:val="18"/>
                <w:szCs w:val="18"/>
              </w:rPr>
            </w:pPr>
            <w:r>
              <w:rPr>
                <w:rFonts w:hint="eastAsia" w:ascii="宋体" w:hAnsi="宋体"/>
                <w:sz w:val="18"/>
                <w:szCs w:val="18"/>
              </w:rPr>
              <w:t>信息传输业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X≥2000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100≤X&lt;2000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Y≥100000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1000≤Y&lt;100000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line="360" w:lineRule="auto"/>
              <w:jc w:val="center"/>
              <w:rPr>
                <w:rFonts w:ascii="宋体" w:hAnsi="宋体"/>
                <w:sz w:val="18"/>
                <w:szCs w:val="18"/>
              </w:rPr>
            </w:pPr>
            <w:r>
              <w:rPr>
                <w:rFonts w:hint="eastAsia" w:ascii="宋体" w:hAnsi="宋体"/>
                <w:sz w:val="18"/>
                <w:szCs w:val="18"/>
              </w:rPr>
              <w:t>软件和信息技术服务业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1000≤Y&lt;10000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50≤Y&lt;1000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line="360" w:lineRule="auto"/>
              <w:jc w:val="center"/>
              <w:rPr>
                <w:rFonts w:ascii="宋体" w:hAnsi="宋体"/>
                <w:sz w:val="18"/>
                <w:szCs w:val="18"/>
              </w:rPr>
            </w:pPr>
            <w:r>
              <w:rPr>
                <w:rFonts w:hint="eastAsia" w:ascii="宋体" w:hAnsi="宋体"/>
                <w:sz w:val="18"/>
                <w:szCs w:val="18"/>
              </w:rPr>
              <w:t>房地产开发经营</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Y≥200000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1000≤Y&lt;200000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Z≥10000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5000≤Z&lt;10000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2000≤Z&lt;5000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line="360" w:lineRule="auto"/>
              <w:jc w:val="center"/>
              <w:rPr>
                <w:rFonts w:ascii="宋体" w:hAnsi="宋体"/>
                <w:sz w:val="18"/>
                <w:szCs w:val="18"/>
              </w:rPr>
            </w:pPr>
            <w:r>
              <w:rPr>
                <w:rFonts w:hint="eastAsia" w:ascii="宋体" w:hAnsi="宋体"/>
                <w:sz w:val="18"/>
                <w:szCs w:val="18"/>
              </w:rPr>
              <w:t>物业管理</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100≤X&lt;300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Y≥5000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1000≤Y&lt;5000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500≤Y&lt;1000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line="360" w:lineRule="auto"/>
              <w:jc w:val="center"/>
              <w:rPr>
                <w:rFonts w:ascii="宋体" w:hAnsi="宋体"/>
                <w:sz w:val="18"/>
                <w:szCs w:val="18"/>
              </w:rPr>
            </w:pPr>
            <w:r>
              <w:rPr>
                <w:rFonts w:hint="eastAsia" w:ascii="宋体" w:hAnsi="宋体"/>
                <w:sz w:val="18"/>
                <w:szCs w:val="18"/>
              </w:rPr>
              <w:t>租赁和商务服务业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line="360" w:lineRule="auto"/>
              <w:jc w:val="center"/>
              <w:rPr>
                <w:rFonts w:ascii="宋体" w:hAnsi="宋体"/>
                <w:sz w:val="18"/>
                <w:szCs w:val="18"/>
              </w:rPr>
            </w:pP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Z≥120000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8000≤Z&lt;120000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100≤Z&lt;8000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widowControl/>
              <w:spacing w:line="360" w:lineRule="auto"/>
              <w:jc w:val="center"/>
              <w:rPr>
                <w:rFonts w:ascii="宋体" w:hAnsi="宋体"/>
                <w:sz w:val="18"/>
                <w:szCs w:val="18"/>
              </w:rPr>
            </w:pPr>
            <w:r>
              <w:rPr>
                <w:rFonts w:hint="eastAsia" w:ascii="宋体" w:hAnsi="宋体"/>
                <w:sz w:val="18"/>
                <w:szCs w:val="18"/>
              </w:rPr>
              <w:t>其他未列明行业</w:t>
            </w:r>
          </w:p>
        </w:tc>
        <w:tc>
          <w:tcPr>
            <w:tcW w:w="1104" w:type="dxa"/>
            <w:vAlign w:val="center"/>
          </w:tcPr>
          <w:p>
            <w:pPr>
              <w:widowControl/>
              <w:spacing w:line="360" w:lineRule="auto"/>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line="360" w:lineRule="auto"/>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line="360" w:lineRule="auto"/>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line="360" w:lineRule="auto"/>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line="360" w:lineRule="auto"/>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line="360" w:lineRule="auto"/>
              <w:jc w:val="center"/>
              <w:rPr>
                <w:rFonts w:ascii="宋体" w:hAnsi="宋体"/>
                <w:sz w:val="18"/>
                <w:szCs w:val="18"/>
              </w:rPr>
            </w:pPr>
            <w:r>
              <w:rPr>
                <w:rFonts w:hint="eastAsia" w:ascii="宋体" w:hAnsi="宋体"/>
                <w:sz w:val="18"/>
                <w:szCs w:val="18"/>
              </w:rPr>
              <w:t>X&lt;10</w:t>
            </w:r>
          </w:p>
        </w:tc>
      </w:tr>
    </w:tbl>
    <w:p>
      <w:pPr>
        <w:pStyle w:val="39"/>
        <w:numPr>
          <w:ilvl w:val="255"/>
          <w:numId w:val="0"/>
        </w:numPr>
        <w:spacing w:line="360" w:lineRule="auto"/>
        <w:rPr>
          <w:rFonts w:ascii="宋体" w:hAnsi="宋体"/>
          <w:sz w:val="24"/>
          <w:szCs w:val="24"/>
        </w:rPr>
      </w:pPr>
    </w:p>
    <w:p>
      <w:pPr>
        <w:pStyle w:val="39"/>
        <w:ind w:firstLine="470" w:firstLineChars="196"/>
        <w:rPr>
          <w:rFonts w:ascii="宋体" w:hAnsi="宋体"/>
          <w:sz w:val="24"/>
          <w:szCs w:val="24"/>
        </w:rPr>
      </w:pPr>
    </w:p>
    <w:p>
      <w:pPr>
        <w:rPr>
          <w:rFonts w:ascii="宋体" w:hAnsi="宋体"/>
          <w:b/>
          <w:sz w:val="28"/>
          <w:szCs w:val="28"/>
        </w:rPr>
      </w:pPr>
      <w:r>
        <w:rPr>
          <w:rFonts w:hint="eastAsia" w:ascii="宋体" w:hAnsi="宋体"/>
          <w:b/>
          <w:sz w:val="28"/>
          <w:szCs w:val="28"/>
        </w:rPr>
        <w:br w:type="page"/>
      </w:r>
    </w:p>
    <w:p>
      <w:pPr>
        <w:pStyle w:val="5"/>
        <w:adjustRightInd w:val="0"/>
        <w:spacing w:before="0" w:after="0" w:line="36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采购需求说明</w:t>
      </w:r>
    </w:p>
    <w:p>
      <w:pPr>
        <w:pStyle w:val="5"/>
        <w:adjustRightInd w:val="0"/>
        <w:snapToGrid w:val="0"/>
        <w:spacing w:before="0" w:after="0"/>
        <w:rPr>
          <w:rFonts w:hint="eastAsia" w:asciiTheme="minorEastAsia" w:hAnsiTheme="minorEastAsia" w:eastAsiaTheme="minorEastAsia" w:cstheme="minorEastAsia"/>
          <w:color w:val="000000"/>
          <w:kern w:val="0"/>
          <w:sz w:val="21"/>
          <w:szCs w:val="21"/>
        </w:rPr>
      </w:pPr>
      <w:r>
        <w:rPr>
          <w:rFonts w:hint="eastAsia" w:ascii="宋体" w:hAnsi="宋体" w:cs="宋体"/>
          <w:color w:val="000000"/>
          <w:kern w:val="0"/>
          <w:sz w:val="21"/>
          <w:szCs w:val="21"/>
        </w:rPr>
        <w:t>技术参数</w:t>
      </w:r>
      <w:r>
        <w:rPr>
          <w:rFonts w:hint="eastAsia" w:ascii="宋体" w:hAnsi="宋体" w:cs="宋体"/>
          <w:color w:val="000000"/>
          <w:kern w:val="0"/>
          <w:sz w:val="21"/>
          <w:szCs w:val="21"/>
          <w:lang w:val="en-US" w:eastAsia="zh-CN"/>
        </w:rPr>
        <w:t>及要求</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一、热辐射计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1．辐射热强度量程0～10kW/m2;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 辨 率0.01 kW/m2；标定精度±5%；功耗30Mw</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 辨 率0.1℃</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2．外型尺寸/重量175×75×35mm/300</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二、热球式风速仪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1.测量范围：0～30m/s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2.工作环境：温度 －10～40℃ 湿度≤85％RH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3.大 气 压:  970～1040hPa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4.测量精度：≤3％（满量程）</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5.反应时间：≤3s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6.显    示：四位数字显示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 辨 率：0.01m/s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8.电    源：直流5～6V(可充电)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9.内置充电锂电池</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10.外形尺寸：190×90×40（㎜）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11.重    量：380g</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三、手持风杯式三杯风速测量仪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1.有直读装置</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2.风速测量范围： 0-30m/s</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3.风速传感器启动风速：0.8m/s</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4.风速测量精度： ±（0.3+0.03×V）m/s（V实际风速）</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5.可显示的风速参数：瞬时风速、平均风速、瞬时风级、平均风级、对应浪高</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6.电源电压：4.5V5#干电池3节</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四、紫外可见分光光度计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（一）设备性能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1.全息闪耀光栅单色器，具有波长精度高，单色性好，杂散光低等优点。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2.液晶屏显示，读数清晰自然。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3.采用微机测量系统，T - A转换精度高，并有自动调0％T和调100％T，浓度因子设定、浓度直读。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4.测量读数准确性高，重现性好和稳定性佳。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5.自动光门技术 ，无需黑体，保护光电传感器。</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（二）技术指标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1.显示器：液晶显示屏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2.测光方式： 单光束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3.单色器： 自准直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4.焦距： 160mm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5.光栅： 1200 线/mm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6.检测器： 光电池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7.光谱带宽： 4nm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8.波长设定： 手动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9.波长范围： 200 ~ 1000nm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10.波长准确度： ±2nm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11.波长重复性： ≤1nm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12.光源切换波长： 340nm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13.杂散光： ≤0.1% (T) (在220nm处，以Nal测定) (在360nm处，以NaNO2测定)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14.光度范围： 0.0 ~ 200.0% T   0 ~ 2.000A   0.000 ~ 9999C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15.光度准确度： ±0.5%T   ±0.004Abs（0 ~ 0.5A）   ±0.008Abs（0.5 ~ 1A）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16.光度重复性： ≤ 0.2%T   0.002Abs（0 ~ 0.5A）   0.004Abs（0.5 ~ 1 A）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17.噪声： 0.3</w:t>
      </w:r>
    </w:p>
    <w:p>
      <w:pPr>
        <w:pStyle w:val="5"/>
        <w:numPr>
          <w:ilvl w:val="0"/>
          <w:numId w:val="1"/>
        </w:numPr>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荧光光度计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（一）设备性能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1.采用了大孔径光路设计，使其检测限可达到高档仪器测试水平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2.灵敏度极高，使其可测得媲美高档仪器的拉曼谱图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3.具有多档激发波长选择及自动切换功能，方便用户使用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4.采用8英寸彩色触控屏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5.采用高亮度、长寿命LED光源，确保了测试的高稳定性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6.采用全新设计的样品池，确保了测试方法多样化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7.自动调零、自动本底扣除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8.实时荧光值、浓度显示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9.单点标样浓度直读测试功能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10.荧光值显示超宽动态范围，准确地测定样品的细微变化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11.可选配通用数据处理软件包进行多点标样线性回归测试</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（二）技术指标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1.光源： LED冷光源，另可根据用户需求特别定制热光源、干涉滤光片组合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2.标准机型配有4种波长自动切换激发光源（360nm、400nm、450nm、515nm）, 同时在325 ~ 700nm范围内用户可以根据需要订购其它激发光源组件（间隔点10nm）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3.EM发射波长范围：325nm ~ 1100nm 连续可调；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4.EM发射波长准确度： ±2nm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5.EM发射波长重复性： ≤1nm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6.灵敏度： 硫酸奎宁检出限为5</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10 （g/mL）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7.线性相关系数： ≥0.995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8.零点漂移： ±0.3%（10min内）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9.峰值强度重复性： ≤1.5%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10.荧光光谱扫描功能： 可扫描水拉曼峰S/N≥50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11.电源电压： AC220V±22V , 50Hz±1Hz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12.功率： 100W</w:t>
      </w:r>
    </w:p>
    <w:p>
      <w:pPr>
        <w:pStyle w:val="5"/>
        <w:adjustRightInd w:val="0"/>
        <w:spacing w:before="0" w:after="0" w:line="360" w:lineRule="auto"/>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color w:val="000000"/>
          <w:kern w:val="0"/>
          <w:sz w:val="21"/>
          <w:szCs w:val="21"/>
        </w:rPr>
        <w:t>六、大气压专用压力计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1.量程： 300~1100hPa</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2.温度：－55℃～+125℃ ±0.5℃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3.精度： 0.5级</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4.分辨率：0.03hPa</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5.工作电压：6V （DC）</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6、仪表重量：约180克7、外形尺寸：160×81×30</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七、数显高压灭菌锅</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（一）设备功能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1.微电脑自动控制内部温度，到达设定温度自动开始计时；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2.数显屏显示设定温度、实际温度、灭菌时间；</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3.外壳采用SUS304不锈钢，精湛工艺，精心制作；</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4.采用电加热方式，升温速率快，到达设定温度时间小于30min；</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5.配有安全阀，内部蒸汽压力异常增大自动泄出；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6.灭菌完成自动蜂鸣报警，同时断开加热，自然降温；</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7.配有手动排气阀可用于手动排气泄压，在压力异常升高时可手动打开泄压保护人员；</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8.内置水位安全浮球，灭菌过程中一旦内部水位过低，电加热管自动停止加热，并伴有蜂鸣器报警提醒；</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9.配有自涨式密封圈，耐热耐水硅橡胶材质，有效保证灭菌过程中的气密性。</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（二）性能参数</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1.外部尺寸（mm）：ф325×555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2.内腔尺寸（mm）：ф300×330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3.内筒尺寸（mm）：ф280×225×1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4.容积(L)：18</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5.重量(kg)：14.4</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6.电源(V)：220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7.功率(kW)：2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8.极限工作温度(℃)：126</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9.设计温度(℃)：128</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10.极限工作压力(MPa)：0.142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11.设计压力(MPa)：0.165</w:t>
      </w:r>
    </w:p>
    <w:p>
      <w:pPr>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12.灭菌时间(min)：0~999</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八、皮脂厚度计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1、产品名称∶皮脂厚度计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2、包装盒︰铝盒高档包装</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3、测量范围:O-6OM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4、精度:0.2mm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5、误差:±0.5m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6、适用范围:测量脂肪厚</w:t>
      </w:r>
    </w:p>
    <w:p>
      <w:pPr>
        <w:pStyle w:val="2"/>
        <w:spacing w:line="360" w:lineRule="auto"/>
        <w:ind w:left="0" w:leftChars="0"/>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7、调整方法:用手转动调整圈使指针对准到”o”数字即可</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九、背力计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1、材质:金属制除显示表</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2、尺寸:50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37</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17CM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3、测试范围:0-400KG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4、重量:5KG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5、分度值:1KG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6、示值误差:1/400F.S</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7、电源:配有电源器（可用9V电池/用户自配)</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8、功能:背力峰值保持/开关清零/定时关机/过载指示</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十、血糖仪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1、660血糖仪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2、度量单位：mmol/L</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3、血样量：0.8uL(微升)</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4、自动关机：15秒~3分钟</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5、检测范围：1.1-33.3mmol/L</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6、血样类型：毛细血管全血</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7、记忆组数：500组测量结果</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8、红细胞压积比：10%-70%</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9、血糖试纸、采样针、酒精棉各100片，主机一台，7号电池两节。</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十一、磁力搅拌器</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1、工作盘尺[mm]：184</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 184</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2、盘面材料：玻璃陶瓷</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3、电机类型：罩极电机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4、电机输入功率[W]：15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5、电机输出功率[W]：1.5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6、功率[W]：30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7、电压[VAC]：100-120/200-240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8、频率[Hz]：50/60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9、最大搅拌量(H2O)[L]：10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10、搅拌子最大尺寸(L</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O)[mm]：80 </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 10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11、转速范围[rpm]：0-1500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12、转速显示：刻度</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13、保护级别(DIN EN 60529)：IP21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14、环境温度[°C]：5-40</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15、相对湿度[%]：80</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糖度仪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1、测量水果Brix值（糖度），帮助评估水果的采摘时期和水果分级销售等各项指标评定；</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2、测量各类饮料、果汁等液体的浓度，帮助质量监测；</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3、测量切削油或者工业溶液，防冻液等，评估浓度配比调配作参考。</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4、目前是物联网自动化技术革新年代，ATAGO也秉承与时俱进的理念，隆重推出NFC功能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5、无需手写测量记录，只需要把仪器贴近手机或电脑的NFC接收端，所有测量结果一目了然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6、滴2-3滴样品至棱镜表面→按下START键→3秒即显示测量值及温度；</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7、测量范围 0.0 ~ 53.0%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8、测量精度 ±0.2%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9、测量温度 10 ~ 100°C（ATC）</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10、分辨率 0.1%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11、环境温度 10 ~ 40°C</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12、电源 AAA 电池x2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13、国际防护等级 lP65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14、尺寸和重量 5.5</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3.1</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109mm，100g（仅主机）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15、配件 PAL便携腰包 : RE-39409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挂绳 : RE-39410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 蔗糖溶液 (±0.03%) : RE-110010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 蔗糖溶液 (±0.03%) : RE-110020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 蔗糖溶液 (±0.03%) : RE-110030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40% 蔗糖溶液 (±0.04%) : RE-110040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50% 蔗糖溶液 (±0.05%) : RE-110050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 蔗糖溶液 (±0.05%) : RE-110060</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匀浆机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1.处理量为 0.5 – 100 ml 的小型分散机。宽广的转速范围(8000 – 30,000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rpm)确保用户即使使用小直径转子也能够以高线速度作业。拥有多种分散刀具可选，因而能适用于各种不同的应用领域。</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2.快（式）插接口便于分散刀具的互换</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3.机身轻巧，设计人性，适用于人工操作</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4.可直插电源(不需电源适配器)，使用方便</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5.不锈钢分散刀具的清洗方便快捷，拆卸不需任何工具</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6.有两种尺寸的一次性分散刀具可选，特别适用于PCR分析</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7.高性能马达保证卓越的速度稳定性</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8.静音运行</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9.电机输入功率[W]： 125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10.电机输出功率 [W]： 75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11.容量(H2O)： 0.0005 - 0.1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12.最大粘度 [mPas] ：5000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13.速度范围 [rpm]： 8000 - 30000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14.转速控制：无级</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15.转速显示：刻度</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16.噪音(无分散头) [dB(A)]： 65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17.延长臂直径 [mm]： 8</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18.延长臂长度 [mm] ：100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19.工序类型 ：分批处理</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20.工作时间 开 [min]： 10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21.工作时间 关 [min]： 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22.外形尺寸 [mm] ：56 </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 178 </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 xml:space="preserve"> 66</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23.重量 [kg] ：0.61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24.允许环境温度 [°C] ：5 - 40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25.允许相对湿度 [%] ：80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26.DIN EN 60529 保护方式 ：IP 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27.电压 [V] ：230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28.频率 [Hz]： 50/60</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29.仪器输入功率： [W] 125</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凯氏定氮仪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（一）设备性能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1.KDN系列凯氏定氮仪，采用微电脑进行过程控制。</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2.自动式蒸馏控制、自动加水、自动水位控制、自动停水。</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3.各种安全保护：消化管安全门装置，蒸汽发生器缺水报警，水位检测故障报警。</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4.仪器外壳采用特制喷塑钢板，工作区域采用ABS防腐面板，防化学试剂腐蚀和机械损坏表面，耐酸耐碱。</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5.水位检测，低水位报警，仪器控制系统故障能自动断电。</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6.采用自来水水源，适应性广，对实验要求低。</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（二）技术参数</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1.测定品种：粮食、食品、乳制品、饮料、饲料、土壤、水、药物、沉淀物和化学品等；</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2.工作方式：半自动</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3.进水方式：自来水、蒸馏水两种进水方式，使用区域广泛</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4.样品量：固体0.20g～2.00g；半固定2.00g～5.00 g液体10.00ml～25.ml</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5.测定范围：0.1mgN～200mgN(毫克氮)</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6.回收率：≥99%（相对误差，包括消化过程）；</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7.蒸馏速度：5～ 15分钟/样品 （按样品量而定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8.冷却水消耗：3L/分钟</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9.重复率：相对标准偏差&lt;±1%</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10.供电：AC220V/50Hz</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11.功率：1000w</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12.供水：水压大于1.5MPa；水温小于20度</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13.外形尺寸：380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320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670mm</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14.重量：20kg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（三）数显红外消化炉参数</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1.石英红外加热管，辐射为主、传到为辅；加热时间快，效率高。</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2.整机机箱采用特制喷塑钢板，工作台面采用不锈钢材料制成，具有良好的耐腐蚀性，</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3.双层外壳设计，空气隔热层与硅酸铝隔热层，双重隔热效果</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4.整机具有过压、过流、过热等多重保护</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5.整机小巧美观，操作简单，使用方便、快捷</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6.显示方式：数字显示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7.控温方式：数显控制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8.控温阶段：自动可调</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9.控温范围：室温-600℃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10.控温精度：±2℃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11.升温速度：30℃/min</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12.测定范围：0.1mgN～200mgN(毫克氮)</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13.测定数量： 8个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14.消化时间：60-90分钟／批（按样品量而定）</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15.消化管容量：300ml</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除湿器</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功率1680w，型号DR-1382L，最大日除湿量5.72L/h，适用面积80-200m3</w:t>
      </w:r>
    </w:p>
    <w:p>
      <w:pPr>
        <w:pStyle w:val="5"/>
        <w:numPr>
          <w:ilvl w:val="0"/>
          <w:numId w:val="2"/>
        </w:numPr>
        <w:adjustRightInd w:val="0"/>
        <w:spacing w:before="0" w:after="0" w:line="360" w:lineRule="auto"/>
        <w:rPr>
          <w:rFonts w:asciiTheme="minorEastAsia" w:hAnsiTheme="minorEastAsia" w:eastAsiaTheme="minorEastAsia" w:cstheme="minorEastAsia"/>
          <w:b w:val="0"/>
          <w:color w:val="000000"/>
          <w:kern w:val="0"/>
          <w:sz w:val="21"/>
          <w:szCs w:val="21"/>
          <w:lang w:bidi="ar"/>
        </w:rPr>
      </w:pPr>
      <w:r>
        <w:rPr>
          <w:rFonts w:hint="eastAsia" w:asciiTheme="minorEastAsia" w:hAnsiTheme="minorEastAsia" w:eastAsiaTheme="minorEastAsia" w:cstheme="minorEastAsia"/>
          <w:color w:val="000000"/>
          <w:kern w:val="0"/>
          <w:sz w:val="21"/>
          <w:szCs w:val="21"/>
        </w:rPr>
        <w:t>水银血压计</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双刻度显示，表面喷塑处理，防腐，试管顶部加阻汞纸，防止使用不当水银漏出。</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手持式体脂测定仪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1.面板材质：ABS</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2.颜色：黑色</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3.产品尺寸：长222mm宽152mm高63mm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4.产品净重：0.3kg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5.电源方式：干电池</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6.显示类型：LED显示</w:t>
      </w:r>
    </w:p>
    <w:p>
      <w:pPr>
        <w:pStyle w:val="5"/>
        <w:numPr>
          <w:ilvl w:val="0"/>
          <w:numId w:val="2"/>
        </w:numPr>
        <w:adjustRightInd w:val="0"/>
        <w:spacing w:before="0" w:after="0" w:line="360" w:lineRule="auto"/>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color w:val="000000"/>
          <w:kern w:val="0"/>
          <w:sz w:val="21"/>
          <w:szCs w:val="21"/>
        </w:rPr>
        <w:t>光照培养箱</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（一）新型人性化设计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1、光照系统采用LED冷光源灯管，发热量小，使用寿命长，相比普通灯管更加节能。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2、采用无氟设计的压缩机，使用寿命长，节能环保。</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3、工作室采用优质镜面不锈钢加工成型，四角圆弧过度；防腐性能好，便于清洁。</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4、隔板采用优质304不锈钢棒加工成型，载重量大，并且采用新型设计，无需工具快速拆装，便于工作室消毒和清洗；</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5、采用复门设计，内门为玻璃门，方便用户实时观察实验情况，并且内门采用可加锁设计，保证实验的安全性不受侵扰。</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6、操作界面采用大屏幕液晶屏设计，全部功能参数同屏显示，结合人性化触摸按钮设计，使操控更加清晰直观。</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7、具有循环风量无级调节功能。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8、制冷系统防尘过滤网设计，方便清洁除尘。</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（二）智能化控制技术</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1、可模拟大自然白天黑夜的温度变化，也可以模拟大自然多方向性光源。</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2、用户设定的参数可以在停电的情况下自动保存，并在通电后运行原设定程序。</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3、循环风速大小无级可调，可避免试验过程中由于循环风速过快而吹到植物幼苗。</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（三）智能化多段可编程控制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程序控制温度、光照度、时间和升温速率，并可以多段阶梯程序控制，使简化复杂的试验过程，真正实现自动控制和运行。</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（四）故障自诊断功能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当设备发生故障时，液晶显示屏出现故障信息，运行故障一目了然。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（五）安全保障功能</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1、独立限温报警系统，可声光报警提示操作者保证安全运行不发生意外。</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2、温度异常（偏高或偏低）报警。</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3、设备自带漏电保护器开关。</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（六）主要技术参数</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1、工作室容积（L）：250</w:t>
      </w:r>
      <w:r>
        <w:rPr>
          <w:rFonts w:hint="eastAsia" w:asciiTheme="minorEastAsia" w:hAnsiTheme="minorEastAsia" w:eastAsiaTheme="minorEastAsia" w:cstheme="minorEastAsia"/>
          <w:szCs w:val="21"/>
        </w:rPr>
        <w:tab/>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2、控制方式：P．I．D微电脑智能控制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3、控温范围（℃）：有光照：10—60    无光照：0-60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4、温度分辨率（℃）：0.1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5、温度均匀性（℃）：±1</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6、温度波动度（℃）：间断式运行±0.5    平衡式运行±0.2</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7、光照强度（LX）：0—12000</w:t>
      </w:r>
      <w:r>
        <w:rPr>
          <w:rFonts w:hint="eastAsia" w:asciiTheme="minorEastAsia" w:hAnsiTheme="minorEastAsia" w:eastAsiaTheme="minorEastAsia" w:cstheme="minorEastAsia"/>
          <w:szCs w:val="21"/>
        </w:rPr>
        <w:tab/>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8、程控功能：温度、光照度单独设定，可设定30段程序，每段设置时间范围1—99小时</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9、载物托板（标配）：3块</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10、输入功率：800W</w:t>
      </w:r>
      <w:r>
        <w:rPr>
          <w:rFonts w:hint="eastAsia" w:asciiTheme="minorEastAsia" w:hAnsiTheme="minorEastAsia" w:eastAsiaTheme="minorEastAsia" w:cstheme="minorEastAsia"/>
          <w:szCs w:val="21"/>
        </w:rPr>
        <w:tab/>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11、电源：AC220V  50HZ</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12、工作环境温度：＋5—35℃</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13、连续运转时间：可长时间连续运转</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14、工作室尺寸（mm）：550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550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850</w:t>
      </w:r>
      <w:r>
        <w:rPr>
          <w:rFonts w:hint="eastAsia" w:asciiTheme="minorEastAsia" w:hAnsiTheme="minorEastAsia" w:eastAsiaTheme="minorEastAsia" w:cstheme="minorEastAsia"/>
          <w:szCs w:val="21"/>
        </w:rPr>
        <w:tab/>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15、外形尺寸（mm）：830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830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1510</w:t>
      </w:r>
    </w:p>
    <w:p>
      <w:pPr>
        <w:pStyle w:val="5"/>
        <w:numPr>
          <w:ilvl w:val="0"/>
          <w:numId w:val="2"/>
        </w:numPr>
        <w:adjustRightInd w:val="0"/>
        <w:spacing w:before="0" w:after="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显微镜</w:t>
      </w:r>
    </w:p>
    <w:p>
      <w:pPr>
        <w:numPr>
          <w:ilvl w:val="0"/>
          <w:numId w:val="3"/>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放大倍数：50X-1600X </w:t>
      </w:r>
    </w:p>
    <w:p>
      <w:pPr>
        <w:numPr>
          <w:ilvl w:val="0"/>
          <w:numId w:val="3"/>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单目直筒，弯臂支架可45度倾斜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3、目镜：惠更斯H5X、H10X、H16X</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4、物镜：消色差物镜10X、40X（弹）、100X（弹油） 5、三孔 载 物 台单层方平台，移动尺，大小120mm×120mm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6、调焦机构：粗微动不同轴，粗调50mm，微调范围：1.8-2.2mm </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7、光 源：反光镜，阿贝聚光镜，N.A=1.25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8、标配照明：平凹反光镜，φ50mm</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二十、机械式干湿球温度计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1、干球温度传感器：测量范围:0~120℃ 精度:0.5℃（0.2℃@10℃~40℃） 分辨率:0.1℃（PT1000）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2、黑球温度传感器：测量范围:0~120℃ 精度:0.5℃（0.2℃@10℃~40℃） 分辨率:0.1℃（PT1000）</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3、湿球温度传感器：范围:0~120℃ 精度:0.5℃ 分辨率:0.1℃（仅JT2011适用）</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4、相对湿度传感器：0~100%RH 精度:±3%读数</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5、仪器存储：SD存储卡</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6、显示：2.8英寸液晶显示屏</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7、存储间隔：1~60分钟可调</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8、执行标准：GB Z T189.7-2007、GBT 934-2008 ISO 7243-2017 ACGIH EPRI OSHA</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9、黑球直径（mm）：直径50mm或150mm可选</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10、供电/电池：4节AA级碱性电池或可充电电池/DC9V</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11、外观尺寸（mm）：210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65</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270mm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12、重量（g）：约1500g（主机）</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13、传感器扩展（梯度）：可扩展三梯度测量（三组WBGT传感器组同时测量）</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14、传感器延长：标准配置5m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15、通信：RS485（选配）</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16、语言选项：中文/英文/葡萄牙语</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17、单位选择：℃/℉</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二十一、移动紫外线消毒灯车</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1.操控方式：其他</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2.类别：商用杀菌灯</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3.最大瓦数：40-60W(含)</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4.电压：220v</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5.适用面积：20㎡-50㎡（含）</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6.光源类型：紫外线光源</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7.固定方式：插入式</w:t>
      </w:r>
    </w:p>
    <w:p>
      <w:pPr>
        <w:pStyle w:val="19"/>
        <w:spacing w:after="0" w:line="360" w:lineRule="auto"/>
        <w:ind w:left="0" w:leftChars="0" w:firstLine="0" w:firstLineChars="0"/>
        <w:rPr>
          <w:rFonts w:asciiTheme="minorEastAsia" w:hAnsiTheme="minorEastAsia" w:eastAsiaTheme="minorEastAsia" w:cstheme="minorEastAsia"/>
          <w:szCs w:val="21"/>
        </w:rPr>
      </w:pP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二十二、电子分析天平</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1、千分之一电子天平；</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2、超大的高对比度LCD显示屏；</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3、量程：200g；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4、可读性：0.1mg；</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5、重复性：0.1mg；</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6、线性误差：0.2mg。</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二十三、闪光融合频率仪</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1、亮点闪烁频率：4.0---60.0 Hz，0.1Hz分档可调，三位数字显示，误差小于0.1Hz；</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2、亮点颜色：红、黄、绿、蓝、白 5种可选；亮点直径：φ2mm；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亮点观察距离：约500mm；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4、背景光：白色，强度分四档可调1、1/4、1/16与全黑；</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5、亮点波形：方形；</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亮点闪烁亮黑比：1:3 、1:1、3:1 三档；</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 亮点光强度七档：1、1/2、1/4、1/8、1/16、1/32、1/64；</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 外形尺寸：300×150×250mm；</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9、工作条件:电源:交流220V土10%，50Hz+1Hz; 相对湿度:≤85%</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10、功耗:5W</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二十四、反应时测定仪</w:t>
      </w:r>
    </w:p>
    <w:p>
      <w:pPr>
        <w:numPr>
          <w:ilvl w:val="0"/>
          <w:numId w:val="4"/>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简单反应时测时范围: 100μs~ 99.9999 s</w:t>
      </w:r>
    </w:p>
    <w:p>
      <w:pPr>
        <w:numPr>
          <w:ilvl w:val="0"/>
          <w:numId w:val="4"/>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使用环境温度: 0~40 °C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3、选择反应时测时范围: 100μs~ 99.9999 s</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4、刺激呈现:红、绿、黄、蓝半导体发光二极管，压电蜂鸣器</w:t>
      </w:r>
    </w:p>
    <w:p>
      <w:p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5、分辨率: 100μs</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6、反应键:四孔光电式无触点反应键;</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7、精度: 1/10000~+ 1个字</w:t>
      </w:r>
    </w:p>
    <w:p>
      <w:pPr>
        <w:adjustRightInd w:val="0"/>
        <w:spacing w:line="360" w:lineRule="auto"/>
        <w:jc w:val="left"/>
        <w:rPr>
          <w:rFonts w:asciiTheme="minorEastAsia" w:hAnsiTheme="minorEastAsia" w:eastAsiaTheme="minorEastAsia" w:cstheme="minorEastAsia"/>
          <w:szCs w:val="21"/>
          <w:vertAlign w:val="superscript"/>
        </w:rPr>
      </w:pPr>
      <w:r>
        <w:rPr>
          <w:rFonts w:hint="eastAsia" w:asciiTheme="minorEastAsia" w:hAnsiTheme="minorEastAsia" w:eastAsiaTheme="minorEastAsia" w:cstheme="minorEastAsia"/>
          <w:szCs w:val="21"/>
        </w:rPr>
        <w:t>8、时间显示: 8位高亮度LED数码管反应</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9、键盘尺寸: 95</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50</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9mm</w:t>
      </w:r>
      <w:r>
        <w:rPr>
          <w:rFonts w:hint="eastAsia" w:asciiTheme="minorEastAsia" w:hAnsiTheme="minorEastAsia" w:eastAsiaTheme="minorEastAsia" w:cstheme="minorEastAsia"/>
          <w:szCs w:val="21"/>
          <w:vertAlign w:val="superscript"/>
        </w:rPr>
        <w:t>3</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10使用电源:交流220V土22V 50HZ</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11、消耗功率:10瓦</w:t>
      </w:r>
    </w:p>
    <w:p>
      <w:pPr>
        <w:pStyle w:val="5"/>
        <w:adjustRightInd w:val="0"/>
        <w:spacing w:before="0" w:after="0" w:line="360" w:lineRule="auto"/>
        <w:rPr>
          <w:rFonts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color w:val="000000"/>
          <w:kern w:val="0"/>
          <w:sz w:val="21"/>
          <w:szCs w:val="21"/>
        </w:rPr>
        <w:t>二十五、通风干湿表</w:t>
      </w:r>
    </w:p>
    <w:p>
      <w:pPr>
        <w:numPr>
          <w:ilvl w:val="0"/>
          <w:numId w:val="5"/>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 DHM2</w:t>
      </w:r>
    </w:p>
    <w:p>
      <w:pPr>
        <w:numPr>
          <w:ilvl w:val="0"/>
          <w:numId w:val="5"/>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材质:铜质</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3、仪器尺寸:92.5MM</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92 .5MM</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szCs w:val="21"/>
        </w:rPr>
        <w:t>415MM</w:t>
      </w:r>
    </w:p>
    <w:p>
      <w:pPr>
        <w:numPr>
          <w:ilvl w:val="0"/>
          <w:numId w:val="5"/>
        </w:numPr>
        <w:adjustRightIn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相对湿度测量范围: 10~ 100%</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5、使用温度范围: -36 ~ +46°C</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6、相对湿度误差:±2%RH</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7、温度表误差:±0. 2℃</w:t>
      </w:r>
    </w:p>
    <w:p>
      <w:pPr>
        <w:pStyle w:val="19"/>
        <w:numPr>
          <w:ilvl w:val="0"/>
          <w:numId w:val="6"/>
        </w:numPr>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测量空气相对湿度时:能在-10~ +45℃的环境下正常工作</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二十六、冰箱</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1.类别：对开门 制冷剂：R600a 面板材质：钣金</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2.冷冻能力(kg/12h)：7.0</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3.总容量(L)：538</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4.额定电压/频率：220V/50Hz</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5.冷冻室(L)：172</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6.综合耗电量(kW-h/24h)：0.89</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7.二星级冷冻室（L)：24</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8.能效等级：1</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9.冷藏室(L)：342</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10.压缩机类型：变频</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11.制冷方式：风冷</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12.噪音值dB(A)：37</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13.控制方式：电脑</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14.气候类型：SN·N·ST·T</w:t>
      </w:r>
    </w:p>
    <w:p>
      <w:pPr>
        <w:widowControl/>
        <w:spacing w:line="360" w:lineRule="auto"/>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15.按键方式：触摸</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16.尺寸含把手及电源线：647</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908</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1775</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二十七、倒置生物显微镜</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（一）显微系统：</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1、光学系统：无限远光学系统。</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2、观察镜筒：铰链式三目观察镜筒，可接驳成像系统，45°倾斜，瞳距45-79mm，眼点可调，分光比100：0，0：100；</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3、目镜：超大视野目镜WF10X（视场数Ф23mm），高眼点，屈光度可调；</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4、物镜：无限远平场消色差物镜系列、共4颗、参数满足以下要求：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无限远平场消色差物镜4X，数值孔径≥0.1，工作距离≥19mm，盖玻片1.2；</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无限远平场消色差相衬物镜10X，数值孔径≥0.25，工作距离≥10.2mm，盖玻片1.2；</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无限远平场消色差相衬物镜20X，数值孔径≥0.4，工作距离≥6mm，盖玻片1.2；</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无限远平场消色差物镜40X，数值孔径≥0.6，工作距离≥2.3mm，盖玻片1.2；</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5、物镜转换器：内向式五孔转换器；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6、照明系统：3W LED，预置中心，亮度连续可调；</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7、调焦系统：粗微调同轴，粗调带锁紧装置（防止撞镜头），可设置松紧，微调格值1μm，；</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8、载物台：平板载物台，尺寸≥170</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250mm，行程≥130</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85mm，兼容多种微型实验板，多孔板夹和载物台夹；</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9、可升级CCD成像；</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10、适配聚光镜、带相衬滑板插槽；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11、超长工作距离聚光镜，卸下聚光镜后培养皿高度可达190mm；</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12、相衬系统 ：通用相衬环板；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13、可升级浮雕3D反差观察，聚光镜处预留浮雕反差调节滑块插槽，观察镜筒侧预留浮雕反差滑块插槽；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二、其他要求：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1.所有部件均为同一品牌成套产品（电脑除外）。</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2.供货时，如供应商所供货物与技术指标有出入，用户单位将拒绝收货和验收签字，所有责任将由供应商自行负责，且用户单位有权追究其相关责任。</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3.安装后，中标商对用户方进行完善的各项相关培训，培训内容包括但不限于：软件嵌入分析解决方案兼容性调试、仪器的技术原理、操作、数据处理、基本维护、注意事项等。</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4.如果仪器在使用过程中出现故障，在接到用户维修服务的请求后，仪器公司工程师在8小时内作出应答，进行电话指导，网上诊断协助排除故障，解决问题，在48小时内到达现场解决。</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二十八、厌氧培养箱</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1.箱体采用10mm亚克力材质，安全可靠；</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 培养区域尺寸：700mm×549m×500mm，内腔体积269L，内腔有效体积192L，可放置400个90mm平皿；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 标配7寸彩色电容触摸屏，实时监控和记录培养参数，精准的参数控制，温度、气体、湿度实时监控，模拟不同生理环境，支持低氧、高氧、间歇性气体控制多种模型，满足更多的研究需求；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 一键式参数控制，通过触摸屏上的按键，一键即可完成氧气浓度、二氧化碳浓度、温度、湿度、压力、风扇、照明灯等项目的开启和关闭，主界面点击【一键停止】，可关闭所有控制；</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 外部尺寸：920mm×800mm×784mm</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 氧气控制范围：0.1%~99.9%，精度±0.1%@≤90%；</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 二氧化碳控制范围：0.1%~20%，精度±0.1%@5%；</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8. 温度控制范围：环境温度+5℃~45℃，精度±0.1℃；</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9. 湿度控制范围：环境湿度~85%RH；</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 正压控制系统，微正压环境保护样品不受污染；</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11. 间歇性气体控制：可进行氧气、二氧化碳浓度的间歇性控制，可对氧气、二氧化碳、时间及循环次数等参数的自主设定，梯度段数可设置10段，循环次数可设置有限循环（1~999次）和无限循环，可设置维持段浓度；</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12. 多功能舷窗转移系统，分为外门和内门 ，用于实验操作和转移样品，单次可转移20个平皿，两个操作口带气体开关，可操作单个操作口；</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13. 具有裸手袖套操作系统，内置真空泵，可通过脚踏开关或设置界面，进行抽气/充气操作；</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14. 整体符合人体工程学设计，10°斜面、大视窗透明面板搭配裸手操作，视线广阔、操作灵活舒适；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15. 整机侧板可拆，便于设备深度清洁或者设备进出；</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16. 标配LED灯照明，亮度可实现5级设定，根据需要自主调节；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17. 标配内置电源插座1个，方便内置小仪器，使用方便安全；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18. 标配冷凝降湿功能；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19. 标配氧气传感器，实时监测仓内氧气浓度；</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20. 具有氧气传感器一键校准和定时校准提醒功能；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21. 具有三级权限控制，设备管理安全高效；</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22. 曲线显示，可查看氧气浓度、二氧化碳浓度、温度、湿度和压力等参数的实时曲线和历史曲线；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23. 数据导出功能，历史数据可自主查询并导出；</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24. 日志查询功能，查看用户操作日志，包括操作时间、用户及操作内容；</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25. 历史报警信息查询功能，保存时间90天，可查询当前报警及历史报警信息，自主选择目标日期，可查看该段时间内的报警详情，并可将报警信息导出；</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26. 系统屏幕可显示制造商和代理商信息，遇到使用疑问或故障，可直接通过官方渠道咨询；</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27. 中文操作系统，更符合中国用户的操作和使用；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28. 安全及警报功能：参数超限时仪器均会保护并报警，在报警界面中可查询；</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29. 具有控制超时保护，自动关闭控制。</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二十九、定向型大流量大气颗粒物采样器</w:t>
      </w:r>
    </w:p>
    <w:p>
      <w:pPr>
        <w:pStyle w:val="19"/>
        <w:numPr>
          <w:ilvl w:val="0"/>
          <w:numId w:val="7"/>
        </w:numPr>
        <w:spacing w:after="0" w:line="360" w:lineRule="auto"/>
        <w:ind w:left="420" w:leftChars="0" w:hanging="42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主要参数要求：</w:t>
      </w:r>
    </w:p>
    <w:p>
      <w:pPr>
        <w:pStyle w:val="19"/>
        <w:numPr>
          <w:ilvl w:val="0"/>
          <w:numId w:val="0"/>
        </w:numPr>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宋体" w:hAnsi="宋体"/>
        </w:rPr>
        <w:t>*</w:t>
      </w:r>
      <w:r>
        <w:rPr>
          <w:rFonts w:hint="eastAsia" w:asciiTheme="minorEastAsia" w:hAnsiTheme="minorEastAsia" w:eastAsiaTheme="minorEastAsia" w:cstheme="minorEastAsia"/>
          <w:color w:val="000000"/>
          <w:kern w:val="0"/>
          <w:szCs w:val="21"/>
          <w:lang w:bidi="ar"/>
        </w:rPr>
        <w:t>1</w:t>
      </w:r>
      <w:r>
        <w:rPr>
          <w:rFonts w:asciiTheme="minorEastAsia" w:hAnsiTheme="minorEastAsia" w:eastAsiaTheme="minorEastAsia" w:cstheme="minorEastAsia"/>
          <w:color w:val="000000"/>
          <w:kern w:val="0"/>
          <w:szCs w:val="21"/>
          <w:lang w:bidi="ar"/>
        </w:rPr>
        <w:t>.</w:t>
      </w:r>
      <w:r>
        <w:rPr>
          <w:rFonts w:hint="eastAsia" w:asciiTheme="minorEastAsia" w:hAnsiTheme="minorEastAsia" w:eastAsiaTheme="minorEastAsia" w:cstheme="minorEastAsia"/>
          <w:color w:val="000000"/>
          <w:kern w:val="0"/>
          <w:szCs w:val="21"/>
          <w:lang w:bidi="ar"/>
        </w:rPr>
        <w:t>最大流量误差≤2%，流量范围0.8-1.2m</w:t>
      </w:r>
      <w:r>
        <w:rPr>
          <w:rFonts w:asciiTheme="minorEastAsia" w:hAnsiTheme="minorEastAsia" w:eastAsiaTheme="minorEastAsia" w:cstheme="minorEastAsia"/>
          <w:color w:val="000000"/>
          <w:kern w:val="0"/>
          <w:szCs w:val="21"/>
          <w:vertAlign w:val="superscript"/>
          <w:lang w:bidi="ar"/>
        </w:rPr>
        <w:t>3</w:t>
      </w:r>
      <w:r>
        <w:rPr>
          <w:rFonts w:hint="eastAsia" w:asciiTheme="minorEastAsia" w:hAnsiTheme="minorEastAsia" w:eastAsiaTheme="minorEastAsia" w:cstheme="minorEastAsia"/>
          <w:color w:val="000000"/>
          <w:kern w:val="0"/>
          <w:szCs w:val="21"/>
          <w:lang w:bidi="ar"/>
        </w:rPr>
        <w:t>/秒，流量稳定性≤5%。</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w:t>
      </w:r>
      <w:r>
        <w:rPr>
          <w:rFonts w:asciiTheme="minorEastAsia" w:hAnsiTheme="minorEastAsia" w:eastAsiaTheme="minorEastAsia" w:cstheme="minorEastAsia"/>
          <w:color w:val="000000"/>
          <w:kern w:val="0"/>
          <w:szCs w:val="21"/>
          <w:lang w:bidi="ar"/>
        </w:rPr>
        <w:t>.</w:t>
      </w:r>
      <w:r>
        <w:rPr>
          <w:rFonts w:hint="eastAsia" w:asciiTheme="minorEastAsia" w:hAnsiTheme="minorEastAsia" w:eastAsiaTheme="minorEastAsia" w:cstheme="minorEastAsia"/>
          <w:color w:val="000000"/>
          <w:kern w:val="0"/>
          <w:szCs w:val="21"/>
          <w:lang w:bidi="ar"/>
        </w:rPr>
        <w:t>设备使用第三年，免费计量一次</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二、 执行标准</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HJ 93-2013        环境空气颗粒物(PM10和PM2.5)采样器 技术要求及检测方法</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HJ/T 374-2007  总悬浮颗粒物采样器技术要求及检测方法</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HJ 618-2011      环境空气PM10和PM2.5的测定 重量法</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JJG 943-2011    总悬浮颗粒物采样器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三、 产品特点</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1.可设置即时、定时采样，等间隔多种采样模式</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2.一机多用，可用于TSP和PM10或PM2.5采样，翻斗防雨式结构设计，运输携带方便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3.切割器采用铝合金材质，结构紧凑，有效防止静电吸附</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4.实时监测计压、计温，自动补偿流量偏差，进一步优化了流量精确度</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5.配置无刷直流采样泵，无火花、低噪声，使用寿命长，极大提高稳定性，维护方便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 xml:space="preserve">6.采用点阵式宽温、高亮VFD显示屏，工作温度范围宽，实现良好人机交互 </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7.自动累计采样体积，并根据气压、温度换算标况采样体积</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8.自动检测交流停电，保存运行数据，来电后自动恢复采样</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 xml:space="preserve">9.采样结束，根据用户需求存储采样数据，数据可随时查询、打印（选配） </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10.自动保存上次采样的设定参数，下次采样时自动采用；可保存40组采样数据供用户查询</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三十、大气颗粒物采样仪</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1.采样流量：（80-120）L/min，工作点流量为100 L/min；采样时间：99h59min内任意设置；</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2.负载能力：100L/min流量时，可克服阻力9kPa，设备使用第三年，免费计量一次；</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3.配置：含主机、TSP/PM10/PM2.5采样头、配套采样亭</w:t>
      </w:r>
    </w:p>
    <w:p>
      <w:pPr>
        <w:pStyle w:val="5"/>
        <w:adjustRightInd w:val="0"/>
        <w:spacing w:before="0" w:after="0" w:line="360" w:lineRule="auto"/>
        <w:rPr>
          <w:rFonts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rPr>
        <w:t>三十一、电动移液器</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1.电动马达驱动，降低人为操作误差，提高结果精准度；降低手部劳损 ；功能丰富，优化实验流程，提高效率</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2.操作直观：功能在选项盘上，转动即可选择；操作摇杆“上即吸、下即放”，可掌控活塞运动</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3</w:t>
      </w:r>
      <w:r>
        <w:rPr>
          <w:rFonts w:hint="eastAsia" w:asciiTheme="minorEastAsia" w:hAnsiTheme="minorEastAsia" w:eastAsiaTheme="minorEastAsia" w:cstheme="minorEastAsia"/>
          <w:color w:val="000000"/>
          <w:kern w:val="0"/>
          <w:szCs w:val="21"/>
          <w:lang w:bidi="ar"/>
        </w:rPr>
        <w:t>.彩色大屏幕显示，显示屏背光设计，具亮度调节功能，便于阅读</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4</w:t>
      </w:r>
      <w:r>
        <w:rPr>
          <w:rFonts w:hint="eastAsia" w:asciiTheme="minorEastAsia" w:hAnsiTheme="minorEastAsia" w:eastAsiaTheme="minorEastAsia" w:cstheme="minorEastAsia"/>
          <w:color w:val="000000"/>
          <w:kern w:val="0"/>
          <w:szCs w:val="21"/>
          <w:lang w:bidi="ar"/>
        </w:rPr>
        <w:t>.弹性吸嘴功能，确保吸头装配气密性及移液均一性</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5</w:t>
      </w:r>
      <w:r>
        <w:rPr>
          <w:rFonts w:hint="eastAsia" w:asciiTheme="minorEastAsia" w:hAnsiTheme="minorEastAsia" w:eastAsiaTheme="minorEastAsia" w:cstheme="minorEastAsia"/>
          <w:color w:val="000000"/>
          <w:kern w:val="0"/>
          <w:szCs w:val="21"/>
          <w:lang w:bidi="ar"/>
        </w:rPr>
        <w:t>.锂聚合物电池，性能佳，一次充电可完成 12,000 次分液</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6</w:t>
      </w:r>
      <w:r>
        <w:rPr>
          <w:rFonts w:hint="eastAsia" w:asciiTheme="minorEastAsia" w:hAnsiTheme="minorEastAsia" w:eastAsiaTheme="minorEastAsia" w:cstheme="minorEastAsia"/>
          <w:color w:val="000000"/>
          <w:kern w:val="0"/>
          <w:szCs w:val="21"/>
          <w:lang w:bidi="ar"/>
        </w:rPr>
        <w:t>.重量轻，平衡性好，符合人体工程学设计</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7</w:t>
      </w:r>
      <w:r>
        <w:rPr>
          <w:rFonts w:hint="eastAsia" w:asciiTheme="minorEastAsia" w:hAnsiTheme="minorEastAsia" w:eastAsiaTheme="minorEastAsia" w:cstheme="minorEastAsia"/>
          <w:color w:val="000000"/>
          <w:kern w:val="0"/>
          <w:szCs w:val="21"/>
          <w:lang w:bidi="ar"/>
        </w:rPr>
        <w:t>.下半支可徒手拆卸，方便维护保养，且可高温高压灭菌</w:t>
      </w:r>
      <w:r>
        <w:rPr>
          <w:rFonts w:hint="eastAsia" w:asciiTheme="minorEastAsia" w:hAnsiTheme="minorEastAsia" w:eastAsiaTheme="minorEastAsia" w:cstheme="minorEastAsia"/>
          <w:color w:val="000000"/>
          <w:kern w:val="0"/>
          <w:szCs w:val="21"/>
          <w:lang w:bidi="ar"/>
        </w:rPr>
        <w:br w:type="textWrapping"/>
      </w:r>
      <w:r>
        <w:rPr>
          <w:rFonts w:asciiTheme="minorEastAsia" w:hAnsiTheme="minorEastAsia" w:eastAsiaTheme="minorEastAsia" w:cstheme="minorEastAsia"/>
          <w:color w:val="000000"/>
          <w:kern w:val="0"/>
          <w:szCs w:val="21"/>
          <w:lang w:bidi="ar"/>
        </w:rPr>
        <w:t>8</w:t>
      </w:r>
      <w:r>
        <w:rPr>
          <w:rFonts w:hint="eastAsia" w:asciiTheme="minorEastAsia" w:hAnsiTheme="minorEastAsia" w:eastAsiaTheme="minorEastAsia" w:cstheme="minorEastAsia"/>
          <w:color w:val="000000"/>
          <w:kern w:val="0"/>
          <w:szCs w:val="21"/>
          <w:lang w:bidi="ar"/>
        </w:rPr>
        <w:t>.历史记忆功能，自动保存最近10个参数的设置，方便调取</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三十二、移液器</w:t>
      </w:r>
    </w:p>
    <w:p>
      <w:pPr>
        <w:numPr>
          <w:ilvl w:val="0"/>
          <w:numId w:val="8"/>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量程要求：0.1-2.5ul、0.5-10ul、2-20ul、10-100ul、20-200ul、100-1000ul、1000-5000ul各1支为1套。</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2、三点校正，可根据按钮颜色选择适配标准吸嘴。</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3、可整支高温高压灭菌和紫外线灭菌，坚固耐用，耐高温抗腐蚀，操作更安全。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4、伸缩式弹性吸嘴设计，确保吸头装配的气密性和移液均一性。</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5、具有密度调节窗口，适用于甘油、氯化铯等不同密度的液体，通用性更广泛。</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6、四位数体积显示，可精确至小数点后两位数字，操作时显示屏正对操作者。</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7、卓越人体工程学设计，重量小于80g。</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三十三、加热磁力搅拌器</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1.最大搅拌量：5L     </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2.转速范围200-1500RPM</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三十四、多用途旋转摇床</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1.电源：220V</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2.功率：35W</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3.转速控制：数字式</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4.定时：0-120分/连续</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5.托盘：250×160mm</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6.旋转速度：10-80转360度垂直旋转</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7.外形尺寸：420×170×190mm</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8.标准配置：1.5ml×48　15ml×18　50ml×12夹具</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三十五、吸顶式空调</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1.电压/频率:220V/50Hz;</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2.循环风量≥1200m3/h；</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3.制冷量≥65000W；</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4.最大制热功率≥2000W；</w:t>
      </w:r>
    </w:p>
    <w:p>
      <w:pPr>
        <w:pStyle w:val="19"/>
        <w:spacing w:after="0" w:line="360" w:lineRule="auto"/>
        <w:ind w:left="0" w:leftChars="0" w:firstLine="0" w:firstLineChars="0"/>
        <w:rPr>
          <w:rFonts w:hint="eastAsia" w:asciiTheme="minorEastAsia" w:hAnsiTheme="minorEastAsia" w:eastAsiaTheme="minorEastAsia" w:cstheme="minorEastAsia"/>
          <w:color w:val="000000"/>
          <w:kern w:val="0"/>
          <w:szCs w:val="21"/>
          <w:lang w:eastAsia="zh-CN" w:bidi="ar"/>
        </w:rPr>
      </w:pPr>
      <w:r>
        <w:rPr>
          <w:rFonts w:hint="eastAsia" w:asciiTheme="minorEastAsia" w:hAnsiTheme="minorEastAsia" w:eastAsiaTheme="minorEastAsia" w:cstheme="minorEastAsia"/>
          <w:color w:val="000000"/>
          <w:kern w:val="0"/>
          <w:szCs w:val="21"/>
          <w:lang w:bidi="ar"/>
        </w:rPr>
        <w:t>5.最大制冷功率≥2000W</w:t>
      </w:r>
      <w:r>
        <w:rPr>
          <w:rFonts w:hint="eastAsia" w:asciiTheme="minorEastAsia" w:hAnsiTheme="minorEastAsia" w:eastAsiaTheme="minorEastAsia" w:cstheme="minorEastAsia"/>
          <w:color w:val="000000"/>
          <w:kern w:val="0"/>
          <w:szCs w:val="21"/>
          <w:lang w:eastAsia="zh-CN" w:bidi="ar"/>
        </w:rPr>
        <w:t>。</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三十六、双头PCR仪</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1、7”TFT高清真彩全触摸屏，曲线图形实时显示程序；</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2、使用半导体芯片；</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3、样品台容量: 96孔</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0.2ml，96孔</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0.2ml+77孔</w:t>
      </w:r>
      <w:r>
        <w:rPr>
          <w:rFonts w:hint="eastAsia" w:asciiTheme="minorEastAsia" w:hAnsiTheme="minorEastAsia" w:eastAsiaTheme="minorEastAsia" w:cstheme="minorEastAsia"/>
          <w:b/>
          <w:color w:val="000000"/>
          <w:kern w:val="0"/>
          <w:szCs w:val="21"/>
          <w:lang w:bidi="ar"/>
        </w:rPr>
        <w:t>×</w:t>
      </w:r>
      <w:r>
        <w:rPr>
          <w:rFonts w:hint="eastAsia" w:asciiTheme="minorEastAsia" w:hAnsiTheme="minorEastAsia" w:eastAsiaTheme="minorEastAsia" w:cstheme="minorEastAsia"/>
          <w:color w:val="000000"/>
          <w:kern w:val="0"/>
          <w:szCs w:val="21"/>
          <w:lang w:bidi="ar"/>
        </w:rPr>
        <w:t>0.5ml，384孔以及原位载盘等另有多种规格样品台可更换</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4、最大变温速度：6℃/秒；</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 xml:space="preserve">5、中英文双语可选界面； </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6、Top-Open开合热盖技术，有防过压的声音提示功能，热盖自动关闭功能；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 xml:space="preserve">7、温度范围：0℃～105℃； 梯度30℃～99.9℃梯度温度均匀性：≤±0.2℃(95℃时)； </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8、主机可储存15，000个以上PCR标准程序, 还可通过U盘无限量下载程序。</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9、独特的前进风后出风的风道设计，仪器之间可紧贴摆放，节约空间。</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10、多用户登录并有密码保护，有TM计算器，有程序向导功能。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11、 拓展功能：选购原位载盘可升级为原位PCR</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12、变温速率可调，0.1～105℃</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13、时间递增/递减功能：每步骤1-120s，总递变时间可达1200，000S可以做Long PCR实验。</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14、温度递增/递减功能：0.1～10℃，可以做降落PCR实验。</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15、热盖温度：30～112℃，最高112℃，可以解决更高实验温度下水蒸气在顶部凝结的问题。</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16、最大循环数；最大循环数可达10000个。</w:t>
      </w:r>
    </w:p>
    <w:p>
      <w:pPr>
        <w:pStyle w:val="5"/>
        <w:adjustRightInd w:val="0"/>
        <w:spacing w:before="0" w:after="0" w:line="360" w:lineRule="auto"/>
        <w:rPr>
          <w:rFonts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rPr>
        <w:t>三十七、荧光定量PCR</w:t>
      </w:r>
    </w:p>
    <w:p>
      <w:pPr>
        <w:pStyle w:val="19"/>
        <w:spacing w:after="0" w:line="360" w:lineRule="auto"/>
        <w:ind w:left="0" w:leftChars="0" w:firstLine="0" w:firstLineChars="0"/>
        <w:rPr>
          <w:rStyle w:val="88"/>
          <w:rFonts w:hint="default" w:asciiTheme="minorEastAsia" w:hAnsiTheme="minorEastAsia" w:eastAsiaTheme="minorEastAsia" w:cstheme="minorEastAsia"/>
          <w:sz w:val="21"/>
          <w:szCs w:val="21"/>
          <w:lang w:bidi="ar"/>
        </w:rPr>
      </w:pPr>
      <w:r>
        <w:rPr>
          <w:rStyle w:val="88"/>
          <w:rFonts w:hint="default" w:asciiTheme="minorEastAsia" w:hAnsiTheme="minorEastAsia" w:eastAsiaTheme="minorEastAsia" w:cstheme="minorEastAsia"/>
          <w:sz w:val="21"/>
          <w:szCs w:val="21"/>
          <w:lang w:bidi="ar"/>
        </w:rPr>
        <w:t xml:space="preserve">（一）工作条件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1.环境温度： 10℃～30℃</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2.相对湿度： ≤70％</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 xml:space="preserve">（二）技术性能指标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产品采用极为成熟的热电制冷技术，全新的光源和光路设计。独特的恒流电源和6分区独立控温方式，结果分析更快速、准确、稳定。同时，采用模块化设计，具有多种配置选择，新增温度梯度、样本4℃低温保存、自动除湿等多种功能，充分满足科学研究和临床医疗的需求；</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（三）基本性能</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 样本容量:0.2ml单管（顶部透明）、8联排试管（顶部透明）、96×0.2ml（半裙边、无裙边）；</w:t>
      </w:r>
      <w:r>
        <w:rPr>
          <w:rStyle w:val="88"/>
          <w:rFonts w:hint="default" w:asciiTheme="minorEastAsia" w:hAnsiTheme="minorEastAsia" w:eastAsiaTheme="minorEastAsia" w:cstheme="minorEastAsia"/>
          <w:sz w:val="21"/>
          <w:szCs w:val="21"/>
          <w:lang w:bidi="ar"/>
        </w:rPr>
        <w:br w:type="textWrapping"/>
      </w:r>
      <w:r>
        <w:rPr>
          <w:rFonts w:hint="eastAsia" w:ascii="宋体" w:hAnsi="宋体"/>
        </w:rPr>
        <w:t>*</w:t>
      </w:r>
      <w:r>
        <w:rPr>
          <w:rStyle w:val="88"/>
          <w:rFonts w:hint="default" w:asciiTheme="minorEastAsia" w:hAnsiTheme="minorEastAsia" w:eastAsiaTheme="minorEastAsia" w:cstheme="minorEastAsia"/>
          <w:sz w:val="21"/>
          <w:szCs w:val="21"/>
          <w:lang w:bidi="ar"/>
        </w:rPr>
        <w:t>2. 样本通量：96孔；</w:t>
      </w:r>
      <w:r>
        <w:rPr>
          <w:rStyle w:val="88"/>
          <w:rFonts w:hint="default" w:asciiTheme="minorEastAsia" w:hAnsiTheme="minorEastAsia" w:eastAsiaTheme="minorEastAsia" w:cstheme="minorEastAsia"/>
          <w:sz w:val="21"/>
          <w:szCs w:val="21"/>
          <w:lang w:bidi="ar"/>
        </w:rPr>
        <w:br w:type="textWrapping"/>
      </w:r>
      <w:r>
        <w:rPr>
          <w:rFonts w:hint="eastAsia" w:ascii="宋体" w:hAnsi="宋体"/>
        </w:rPr>
        <w:t>*</w:t>
      </w:r>
      <w:r>
        <w:rPr>
          <w:rStyle w:val="88"/>
          <w:rFonts w:hint="default" w:asciiTheme="minorEastAsia" w:hAnsiTheme="minorEastAsia" w:eastAsiaTheme="minorEastAsia" w:cstheme="minorEastAsia"/>
          <w:sz w:val="21"/>
          <w:szCs w:val="21"/>
          <w:lang w:bidi="ar"/>
        </w:rPr>
        <w:t>3. 反应体系：10-100</w:t>
      </w:r>
      <w:r>
        <w:rPr>
          <w:rFonts w:hint="eastAsia" w:asciiTheme="minorEastAsia" w:hAnsiTheme="minorEastAsia" w:eastAsiaTheme="minorEastAsia" w:cstheme="minorEastAsia"/>
          <w:color w:val="000000"/>
          <w:kern w:val="0"/>
          <w:szCs w:val="21"/>
          <w:lang w:bidi="ar"/>
        </w:rPr>
        <w:t>μ</w:t>
      </w:r>
      <w:r>
        <w:rPr>
          <w:rStyle w:val="88"/>
          <w:rFonts w:hint="default" w:asciiTheme="minorEastAsia" w:hAnsiTheme="minorEastAsia" w:eastAsiaTheme="minorEastAsia" w:cstheme="minorEastAsia"/>
          <w:sz w:val="21"/>
          <w:szCs w:val="21"/>
          <w:lang w:bidi="ar"/>
        </w:rPr>
        <w:t>L；</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4. 线性范围：1～1010copies；</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b/>
          <w:sz w:val="21"/>
          <w:szCs w:val="21"/>
          <w:lang w:bidi="ar"/>
        </w:rPr>
        <w:t>*</w:t>
      </w:r>
      <w:r>
        <w:rPr>
          <w:rStyle w:val="88"/>
          <w:rFonts w:hint="default" w:asciiTheme="minorEastAsia" w:hAnsiTheme="minorEastAsia" w:eastAsiaTheme="minorEastAsia" w:cstheme="minorEastAsia"/>
          <w:sz w:val="21"/>
          <w:szCs w:val="21"/>
          <w:lang w:bidi="ar"/>
        </w:rPr>
        <w:t>5.样品仓：全自动探出式样品仓设计，操作便捷；</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（四）温控系统：</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 控温技术：采用72系列长寿命半导体制冷器 (Ferrotec Peltier) ，微热管阵列技术，提高传热导效率；</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2. 控温模式：依据加液量自动选择BLOCK和模拟TUBE两种控温模式；</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3. 控温范围：4～105℃(最小设置刻度：0.1℃)具有SOAK低温保存功能；</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b/>
          <w:sz w:val="21"/>
          <w:szCs w:val="21"/>
          <w:lang w:bidi="ar"/>
        </w:rPr>
        <w:t>*</w:t>
      </w:r>
      <w:r>
        <w:rPr>
          <w:rStyle w:val="88"/>
          <w:rFonts w:hint="default" w:asciiTheme="minorEastAsia" w:hAnsiTheme="minorEastAsia" w:eastAsiaTheme="minorEastAsia" w:cstheme="minorEastAsia"/>
          <w:sz w:val="21"/>
          <w:szCs w:val="21"/>
          <w:lang w:bidi="ar"/>
        </w:rPr>
        <w:t>4.最大升温速度： 6.5℃/s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5. 温度精确度：≤±0.1℃；</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b/>
          <w:sz w:val="21"/>
          <w:szCs w:val="21"/>
          <w:lang w:bidi="ar"/>
        </w:rPr>
        <w:t>*</w:t>
      </w:r>
      <w:r>
        <w:rPr>
          <w:rStyle w:val="88"/>
          <w:rFonts w:hint="default" w:asciiTheme="minorEastAsia" w:hAnsiTheme="minorEastAsia" w:eastAsiaTheme="minorEastAsia" w:cstheme="minorEastAsia"/>
          <w:sz w:val="21"/>
          <w:szCs w:val="21"/>
          <w:lang w:bidi="ar"/>
        </w:rPr>
        <w:t>6.温度均匀性：≤±0.2℃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 xml:space="preserve">7.检测重复性：CT的 CV值≤0.2%；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8.精确温控模块： 6个独立的精确温控区域，从而在温度梯度设置时确保每个独立的温控区域可设置不同且具体的温度值；</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b/>
          <w:sz w:val="21"/>
          <w:szCs w:val="21"/>
          <w:lang w:bidi="ar"/>
        </w:rPr>
        <w:t>*</w:t>
      </w:r>
      <w:r>
        <w:rPr>
          <w:rStyle w:val="88"/>
          <w:rFonts w:hint="default" w:asciiTheme="minorEastAsia" w:hAnsiTheme="minorEastAsia" w:eastAsiaTheme="minorEastAsia" w:cstheme="minorEastAsia"/>
          <w:sz w:val="21"/>
          <w:szCs w:val="21"/>
          <w:lang w:bidi="ar"/>
        </w:rPr>
        <w:t>9.热盖温度范围：30℃～110℃（可调）；</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10.热盖技术：内置式高密封性热盖，可自动调节，实现试管压力恒定，自动升降，有效防止试剂蒸发，确保实验稳定可靠，操作简便；同时适配多种类型试管，通用性强；</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（五）荧光检测系统：</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1.检测器：采用新一代高灵敏度CMOS，顶部成像技术，检测快速，单个通道检测仅需1s；</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2.激发光源：长寿命LED光源，免维护；</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3.荧光检测波长：500-800nm；</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4.激发光波长：300-800nm；</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5.检测通道:4个；</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b/>
          <w:sz w:val="21"/>
          <w:szCs w:val="21"/>
          <w:lang w:bidi="ar"/>
        </w:rPr>
        <w:t>*</w:t>
      </w:r>
      <w:r>
        <w:rPr>
          <w:rStyle w:val="88"/>
          <w:rFonts w:hint="default" w:asciiTheme="minorEastAsia" w:hAnsiTheme="minorEastAsia" w:eastAsiaTheme="minorEastAsia" w:cstheme="minorEastAsia"/>
          <w:sz w:val="21"/>
          <w:szCs w:val="21"/>
          <w:lang w:bidi="ar"/>
        </w:rPr>
        <w:t>6.部分荧光染料： F1:FAM，SYBR Green I，LC Green；F2:VIC，HEX，TET，JOE ，CY3 ，TAMARA，NED;F3:ROX，TEXAS-RED；F4: CY5 ；</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7.分辨率：在单重反应中可区分低至1.5倍的拷贝数差异；</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8.数据采集： 所有反应孔同时采集荧光数据，不同孔之间不存在时间差；</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9.光电检测：采用全新的阵列平场光源，可大幅提升激发光效应，强化荧光信号；</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10.光纤传导设计：采用高端光纤的集束传导设计，提升荧光信号强度，减少光传导损失，消除边缘光程差，无需校准；</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11.激发和检测通道采用独立的滤光轮，无需拓展通道即可应对二次激发检测试验，如双杂交探针的应用；</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（六）软件系统：</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1.软件功能：绝对定量自动分析，相对定量，SNP分析，溶解曲线（可连续扫描、检测时间短）、基因分型；</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2.操作界面：大屏幕触摸式软件操作，国际化标准的UI设计，人性化的运行界面，单机操作，也可通过USB上传PC端编辑好的运行程序。程序设定灵活，实验分析和报告功能全面，全部参数可存储；</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3.APP功能：适配手机/平板电脑 APP，实现用户远程操作和实时监控；</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4. 数据导出：导出CSV、Excel、txt等格式的实验数据；</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5. 外部电源要求：100-240V，50/60Hz，1000W；</w:t>
      </w:r>
      <w:r>
        <w:rPr>
          <w:rStyle w:val="88"/>
          <w:rFonts w:hint="default" w:asciiTheme="minorEastAsia" w:hAnsiTheme="minorEastAsia" w:eastAsiaTheme="minorEastAsia" w:cstheme="minorEastAsia"/>
          <w:sz w:val="21"/>
          <w:szCs w:val="21"/>
          <w:lang w:bidi="ar"/>
        </w:rPr>
        <w:br w:type="textWrapping"/>
      </w:r>
      <w:r>
        <w:rPr>
          <w:rStyle w:val="88"/>
          <w:rFonts w:hint="default" w:asciiTheme="minorEastAsia" w:hAnsiTheme="minorEastAsia" w:eastAsiaTheme="minorEastAsia" w:cstheme="minorEastAsia"/>
          <w:sz w:val="21"/>
          <w:szCs w:val="21"/>
          <w:lang w:bidi="ar"/>
        </w:rPr>
        <w:t>6. 信号接口：USB接口（与计算机连接）；蓝牙接口；网络接口；</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三十八、流式细胞仪自动进样器</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宋体" w:hAnsi="宋体"/>
        </w:rPr>
        <w:t>*</w:t>
      </w:r>
      <w:r>
        <w:rPr>
          <w:rFonts w:hint="eastAsia" w:asciiTheme="minorEastAsia" w:hAnsiTheme="minorEastAsia" w:eastAsiaTheme="minorEastAsia" w:cstheme="minorEastAsia"/>
          <w:color w:val="000000"/>
          <w:kern w:val="0"/>
          <w:szCs w:val="21"/>
          <w:lang w:bidi="ar"/>
        </w:rPr>
        <w:t>（一）提供一套96孔板自动进样器，能在现有实验室流式细胞仪上使用。</w:t>
      </w:r>
      <w:r>
        <w:rPr>
          <w:rFonts w:hint="eastAsia" w:asciiTheme="minorEastAsia" w:hAnsiTheme="minorEastAsia" w:eastAsiaTheme="minorEastAsia" w:cstheme="minorEastAsia"/>
          <w:color w:val="000000"/>
          <w:kern w:val="0"/>
          <w:szCs w:val="21"/>
          <w:lang w:bidi="ar"/>
        </w:rPr>
        <w:br w:type="textWrapping"/>
      </w:r>
      <w:r>
        <w:rPr>
          <w:rFonts w:hint="eastAsia" w:ascii="宋体" w:hAnsi="宋体"/>
        </w:rPr>
        <w:t>*</w:t>
      </w:r>
      <w:r>
        <w:rPr>
          <w:rFonts w:hint="eastAsia" w:asciiTheme="minorEastAsia" w:hAnsiTheme="minorEastAsia" w:eastAsiaTheme="minorEastAsia" w:cstheme="minorEastAsia"/>
          <w:color w:val="000000"/>
          <w:kern w:val="0"/>
          <w:szCs w:val="21"/>
          <w:lang w:bidi="ar"/>
        </w:rPr>
        <w:t>（二）能适配并满足实验室现有流式细胞仪的配套使用要求，实验室现有流式细胞仪性能参数如下：</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1.1、仪器检测范围：最高可选配488nm、638nm、405nm 561nm激光器，荧光通道至少可以实现4激光同时检测13色，且可拓展至6激光21色。同时包含前向角散射光检测通道和侧向角散射光检测通道。</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1.2、为保障激光器的检测能力和使用寿命，激光功率范围要求：50-80mW。</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1.3、全自动光路校准功能，无需人工调节，仪器全自动完成光路校准；滤光片一共13片，可以自由拔插，可以根据实验需求选择使用相应的滤光片，使得仪器的实际检测范围大于实际配置。</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1.4、为了保证仪器的荧光灵敏度，需采用超高灵敏度的光纤阵列检测器（FAPD）。荧光检测灵敏度：FITC≤30 MESF，PE≤10 MESF。</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1.5、为了满足不同的实验需求，各通道增益电压可调。同时，具备自动荧光补偿功能，通道增益电压改变时，无需重新使用单阳性样本调节补偿，仪器自动完成调节。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1.6、细胞检测能力：细胞分析速度：≥30000细胞/秒；能将0.08μm目标颗粒与噪音信号明显区分。</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1.7、数字采样频率≥25Mhz。</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1.8、可选配备96孔板自动进样器，采用蠕动泵驱动的连续的上样方式，并兼容其他上样模式，包括1.5ml、2ml、5ml等多规格试管上样。</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1.9样本流速具有低速、中速、高速、自定义调节四种模式可选，流速范围：10ul/min—240 ul/min。</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2.0、清洗模式：日常清洗，深度清洗。</w:t>
      </w:r>
    </w:p>
    <w:p>
      <w:pPr>
        <w:pStyle w:val="5"/>
        <w:adjustRightInd w:val="0"/>
        <w:spacing w:before="0" w:after="0" w:line="36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三十九、负80度冰箱</w:t>
      </w:r>
    </w:p>
    <w:p>
      <w:pPr>
        <w:spacing w:line="360" w:lineRule="auto"/>
        <w:rPr>
          <w:rFonts w:hint="default" w:eastAsia="宋体"/>
          <w:lang w:val="en-US" w:eastAsia="zh-CN"/>
        </w:rPr>
      </w:pPr>
      <w:r>
        <w:rPr>
          <w:rFonts w:hint="eastAsia"/>
          <w:lang w:val="en-US" w:eastAsia="zh-CN"/>
        </w:rPr>
        <w:t>（一）</w:t>
      </w:r>
      <w:r>
        <w:rPr>
          <w:rFonts w:hint="eastAsia" w:asciiTheme="minorEastAsia" w:hAnsiTheme="minorEastAsia" w:eastAsiaTheme="minorEastAsia" w:cstheme="minorEastAsia"/>
          <w:color w:val="000000"/>
          <w:kern w:val="0"/>
          <w:szCs w:val="21"/>
          <w:lang w:val="en-US" w:eastAsia="zh-CN" w:bidi="ar"/>
        </w:rPr>
        <w:t>技术参数</w:t>
      </w:r>
    </w:p>
    <w:p>
      <w:pPr>
        <w:numPr>
          <w:ilvl w:val="0"/>
          <w:numId w:val="9"/>
        </w:num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温度范围（环境温度30℃时）：-50℃至-86℃。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2.温度精度:≤±1℃。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3.微处理控制器：齐眼线高度的中央信息处理中心，包括微处理控制器和监控系统，以确保所有监控显示易于读取。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4.采用工业级压缩机制冷系统，2台1.5HP压缩机功率大，性能优越，可在开门后迅速恢复到设定温度，不必担心多次开门影响样本安全。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5.容量不小于490L。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6.报警：标配远程报警触点，报警选项包括温度过高/过低报警，电力异常报警，门未关报警，冷凝器过热报警，温度探头异常报警，电池低电量报警。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7.箱体结构：腔体内部全部采用高强度不锈钢材料，外部有镀锌涂层，耐腐蚀，传热好，防止结霜生锈，冷气均匀。箱体表面为重型冷轧腔体表面结构，耐腐蚀粉末涂层表面处理。保温层为5英寸（127mm）原位发泡聚氨酯保温材料。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8.箱内分层:4层。标配4层内门，闭合紧密，减少样品暴露空气中的时间，防止冷气流失。高密度聚合物材料的塑料内门，耐低温，导热系数比钢板低的多，因此更好的保温，且美观，低温下不会粘手。标配4层隔板为坚固的不锈钢搁架，超大负荷承重。每层隔板高度均可随意调节,适宜各种形状、大小的容器的保存和取放。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9．保温层及三联点式门密封条设计，双重门密封胶条，外加一层保温层镶嵌在箱体内，确保最佳密封和绝热效果，共3层。高度绝热，在满载情况下，即使停止制冷，冰箱内也能维持-60℃以下低温12 小时，-20℃以下超过40小时。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10．符合人体工程学的门把手设计，单手操作，标配门锁扣设计，方便用户独立配套挂锁，可自配挂锁实现双人双锁，加强样品保护。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11.真空压力平衡口设计：真空压力平衡口位于冰箱外门的内壁，与一个泄压阀相接，是空气进入冰箱内的通道，有助于释放开关门时由于温差在冰箱内形成的真空，巧妙地实现了腔体内外的压力平衡，方便再次开门，减少除霜维护工作。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12.先进的电器设计，标配电涌保护器以及高/低电压自动补偿功能，调节到适配电压，适合中国宽电压范围，使压缩机和敏感器件免受电压波动损害。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13.过滤器：便于拆卸、可水洗的空气进气过滤器，位于冷凝器前部，防止冷凝器上灰尘凝结，确保最佳散热效果。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14.标配新型易于滚动的可锁定脚轮，便于安装和移动。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15.具有2个1” (25mm) 检修口：可连接外部探头或仪器。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16.制冷剂：采用新型高效节能，HFC制冷剂。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eastAsia="zh-CN" w:bidi="ar"/>
        </w:rPr>
        <w:t>（</w:t>
      </w:r>
      <w:r>
        <w:rPr>
          <w:rFonts w:hint="eastAsia" w:asciiTheme="minorEastAsia" w:hAnsiTheme="minorEastAsia" w:eastAsiaTheme="minorEastAsia" w:cstheme="minorEastAsia"/>
          <w:color w:val="000000"/>
          <w:kern w:val="0"/>
          <w:szCs w:val="21"/>
          <w:lang w:bidi="ar"/>
        </w:rPr>
        <w:t>二</w:t>
      </w:r>
      <w:r>
        <w:rPr>
          <w:rFonts w:hint="eastAsia" w:asciiTheme="minorEastAsia" w:hAnsiTheme="minorEastAsia" w:eastAsiaTheme="minorEastAsia" w:cstheme="minorEastAsia"/>
          <w:color w:val="000000"/>
          <w:kern w:val="0"/>
          <w:szCs w:val="21"/>
          <w:lang w:eastAsia="zh-CN" w:bidi="ar"/>
        </w:rPr>
        <w:t>）</w:t>
      </w:r>
      <w:r>
        <w:rPr>
          <w:rFonts w:hint="eastAsia" w:asciiTheme="minorEastAsia" w:hAnsiTheme="minorEastAsia" w:eastAsiaTheme="minorEastAsia" w:cstheme="minorEastAsia"/>
          <w:color w:val="000000"/>
          <w:kern w:val="0"/>
          <w:szCs w:val="21"/>
          <w:lang w:bidi="ar"/>
        </w:rPr>
        <w:t>配置</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1.超低温冰箱 1台。 </w:t>
      </w:r>
    </w:p>
    <w:p>
      <w:pPr>
        <w:pStyle w:val="2"/>
        <w:spacing w:line="360" w:lineRule="auto"/>
        <w:ind w:left="0" w:leftChars="0"/>
        <w:rPr>
          <w:rFonts w:asciiTheme="minorEastAsia" w:hAnsiTheme="minorEastAsia" w:eastAsiaTheme="minorEastAsia" w:cstheme="minorEastAsia"/>
          <w:color w:val="000000"/>
          <w:kern w:val="0"/>
          <w:szCs w:val="21"/>
          <w:lang w:bidi="ar"/>
        </w:rPr>
      </w:pPr>
      <w:r>
        <w:rPr>
          <w:rFonts w:hint="eastAsia"/>
          <w:lang w:bidi="ar"/>
        </w:rPr>
        <w:t>2</w:t>
      </w:r>
      <w:r>
        <w:rPr>
          <w:lang w:bidi="ar"/>
        </w:rPr>
        <w:t xml:space="preserve">. </w:t>
      </w:r>
      <w:r>
        <w:rPr>
          <w:rFonts w:hint="eastAsia"/>
          <w:lang w:bidi="ar"/>
        </w:rPr>
        <w:t>配6套冻存架及冻存盒。</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eastAsia="zh-CN" w:bidi="ar"/>
        </w:rPr>
        <w:t>（</w:t>
      </w:r>
      <w:r>
        <w:rPr>
          <w:rFonts w:hint="eastAsia" w:asciiTheme="minorEastAsia" w:hAnsiTheme="minorEastAsia" w:eastAsiaTheme="minorEastAsia" w:cstheme="minorEastAsia"/>
          <w:color w:val="000000"/>
          <w:kern w:val="0"/>
          <w:szCs w:val="21"/>
          <w:lang w:bidi="ar"/>
        </w:rPr>
        <w:t>三</w:t>
      </w:r>
      <w:r>
        <w:rPr>
          <w:rFonts w:hint="eastAsia" w:asciiTheme="minorEastAsia" w:hAnsiTheme="minorEastAsia" w:eastAsiaTheme="minorEastAsia" w:cstheme="minorEastAsia"/>
          <w:color w:val="000000"/>
          <w:kern w:val="0"/>
          <w:szCs w:val="21"/>
          <w:lang w:eastAsia="zh-CN" w:bidi="ar"/>
        </w:rPr>
        <w:t>）</w:t>
      </w:r>
      <w:r>
        <w:rPr>
          <w:rFonts w:hint="eastAsia" w:asciiTheme="minorEastAsia" w:hAnsiTheme="minorEastAsia" w:eastAsiaTheme="minorEastAsia" w:cstheme="minorEastAsia"/>
          <w:color w:val="000000"/>
          <w:kern w:val="0"/>
          <w:szCs w:val="21"/>
          <w:lang w:bidi="ar"/>
        </w:rPr>
        <w:t xml:space="preserve">技术服务条款 </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1.冰箱生产厂家在国内设有组装工厂及零配件仓库，所有配件可在7个工作日内调配到位； 2.为保证售后的及时有效，要求具有经厂家专业培训的经验丰富的维修工程师，</w:t>
      </w:r>
      <w:r>
        <w:rPr>
          <w:rFonts w:hint="eastAsia" w:asciiTheme="minorEastAsia" w:hAnsiTheme="minorEastAsia" w:eastAsiaTheme="minorEastAsia" w:cstheme="minorEastAsia"/>
          <w:color w:val="000000"/>
          <w:kern w:val="0"/>
          <w:szCs w:val="21"/>
          <w:lang w:val="en-US" w:eastAsia="zh-CN" w:bidi="ar"/>
        </w:rPr>
        <w:t>具有</w:t>
      </w:r>
      <w:r>
        <w:rPr>
          <w:rFonts w:hint="eastAsia" w:asciiTheme="minorEastAsia" w:hAnsiTheme="minorEastAsia" w:eastAsiaTheme="minorEastAsia" w:cstheme="minorEastAsia"/>
          <w:color w:val="000000"/>
          <w:kern w:val="0"/>
          <w:szCs w:val="21"/>
          <w:lang w:bidi="ar"/>
        </w:rPr>
        <w:t>培训证书。售后问题12小时内及时响应。到货后免费培训2人直至完全能独立操作。</w:t>
      </w:r>
    </w:p>
    <w:p>
      <w:pPr>
        <w:pStyle w:val="5"/>
        <w:adjustRightInd w:val="0"/>
        <w:spacing w:before="0" w:after="0" w:line="360" w:lineRule="auto"/>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四十、二层组合式全温恒温培养箱</w:t>
      </w:r>
    </w:p>
    <w:p>
      <w:pPr>
        <w:spacing w:line="360" w:lineRule="auto"/>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（一）性能概述</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1、一层、二层或三层叠加组合，以最小的占地面积为用户提供最大的使用空间</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2、PID微电脑智能控温仪，控温精确</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3、三维一体的偏三轮驱动，运转平滑、稳定、耐久、可靠</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4、具有超温报警功能及异常情况自动断电功能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5、具有断电恢复功能，避免因停电、死机而造成的数据丢失问题</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6、流线型外观，美观大方；内衬采用圆弧角（R角）镜面不锈钢设计，便于清洁，不容易滋生细菌、防腐蚀；外壳采用静电喷塑</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别具一格的门设计，不锈钢无螺丝固定，整体更加美观、整洁，下两层为下翻式开门，第三层为上翻式开门，摇板可自由抽出，方便装卸摇瓶，每层可独立控制，各层可在不同温度转速下同时运转或根据需要运行一层、两层或三层</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8、精选压缩机、无氟环保制冷剂，噪音低、制冷效果好，确保设备在低温状态下长时间稳定运行</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9、人性化设计的开门即停功能，使用更加安全快捷</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10、具有紫外线灭菌功能</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（二）产品特点</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1、摇床内胆采用无缝焊接技术，底部可进行全方位无死角冲洗，无需专用工具，清理方便</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2、配备高质伺服电机，控制速度精确、高速性能好、稳定性强</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3、中空钢化双面加热玻璃，方便随时在不开门情况下在各个角度观察箱体内部情况；同时具有玻璃加热和门加热功能，避免在低温或高湿状态下运行引起的玻璃起雾、滴水现象</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4、特殊的制冷工艺，制冷量可调节，温度控制更加精准</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5、定时除霜功能，1~89分钟可自由设定，除霜间隔30~600分钟可调，能确保长时间在低温状态下运行时蒸发器不结冰</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6、LCD触摸屏，设定温度、转速、时间和实测温度、转速、剩余时间在同一界面显示，不用相互切换界面，观察更直观；操作界面加密锁定功能，杜绝重复操作和人为误操作；可自由设定摇板正转或反转；强制对流的风扇常开或自动</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7、拥有数据记录功能，每分钟记录一次数据，可记录近三个月的数据，并且可显示温度、速度曲线，方便数据的分析；有USB接口，可将上述数据导出并保存</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8、右侧为一体模具化设计，上方7寸真彩触摸屏，中部白板设计，下方透明插页框方便用户进行使用登记和保留插放使用记录</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9、夹具为一次成型塑胶夹具，方便单手取放样品瓶</w:t>
      </w:r>
      <w:r>
        <w:rPr>
          <w:rFonts w:hint="eastAsia" w:asciiTheme="minorEastAsia" w:hAnsiTheme="minorEastAsia" w:eastAsiaTheme="minorEastAsia" w:cstheme="minorEastAsia"/>
          <w:color w:val="000000"/>
          <w:kern w:val="0"/>
          <w:szCs w:val="21"/>
          <w:lang w:bidi="ar"/>
        </w:rPr>
        <w:br w:type="textWrapping"/>
      </w:r>
      <w:r>
        <w:rPr>
          <w:rFonts w:hint="eastAsia" w:asciiTheme="minorEastAsia" w:hAnsiTheme="minorEastAsia" w:eastAsiaTheme="minorEastAsia" w:cstheme="minorEastAsia"/>
          <w:color w:val="000000"/>
          <w:kern w:val="0"/>
          <w:szCs w:val="21"/>
          <w:lang w:bidi="ar"/>
        </w:rPr>
        <w:t>10、可选配控湿功能，控湿范围在环境湿度到9</w:t>
      </w:r>
    </w:p>
    <w:p>
      <w:pPr>
        <w:pStyle w:val="5"/>
        <w:adjustRightInd w:val="0"/>
        <w:spacing w:before="0" w:after="0" w:line="360" w:lineRule="auto"/>
        <w:rPr>
          <w:rFonts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rPr>
        <w:t>四十一、负20度冰箱</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1.有效容积≥26</w:t>
      </w:r>
      <w:r>
        <w:rPr>
          <w:rFonts w:asciiTheme="minorEastAsia" w:hAnsiTheme="minorEastAsia" w:eastAsiaTheme="minorEastAsia" w:cstheme="minorEastAsia"/>
          <w:color w:val="000000"/>
          <w:kern w:val="0"/>
          <w:szCs w:val="21"/>
          <w:lang w:bidi="ar"/>
        </w:rPr>
        <w:t>0</w:t>
      </w:r>
      <w:r>
        <w:rPr>
          <w:rFonts w:hint="eastAsia" w:asciiTheme="minorEastAsia" w:hAnsiTheme="minorEastAsia" w:eastAsiaTheme="minorEastAsia" w:cstheme="minorEastAsia"/>
          <w:color w:val="000000"/>
          <w:kern w:val="0"/>
          <w:szCs w:val="21"/>
          <w:lang w:bidi="ar"/>
        </w:rPr>
        <w:t xml:space="preserve">L </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b/>
          <w:color w:val="000000"/>
          <w:kern w:val="0"/>
          <w:szCs w:val="21"/>
          <w:lang w:bidi="ar"/>
        </w:rPr>
        <w:t>2.</w:t>
      </w:r>
      <w:r>
        <w:rPr>
          <w:rFonts w:hint="eastAsia" w:asciiTheme="minorEastAsia" w:hAnsiTheme="minorEastAsia" w:eastAsiaTheme="minorEastAsia" w:cstheme="minorEastAsia"/>
          <w:color w:val="000000"/>
          <w:kern w:val="0"/>
          <w:szCs w:val="21"/>
          <w:lang w:bidi="ar"/>
        </w:rPr>
        <w:t xml:space="preserve">无氟环保,压缩机，碳氢制冷剂，高密度保温层，合理的蒸发冷凝器系统设计，耗电量低 </w:t>
      </w:r>
    </w:p>
    <w:p>
      <w:pPr>
        <w:pStyle w:val="19"/>
        <w:spacing w:after="0" w:line="360" w:lineRule="auto"/>
        <w:ind w:left="0" w:leftChars="0" w:firstLine="0" w:firstLineChars="0"/>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color w:val="000000"/>
          <w:kern w:val="0"/>
          <w:szCs w:val="21"/>
          <w:lang w:bidi="ar"/>
        </w:rPr>
        <w:t xml:space="preserve">3.微电脑温控，温度数字显示，箱内温度-10℃ ~-25℃可调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 xml:space="preserve">4.多重故障报警：高低温报警，传感器故障报警，断电报警、开门报警、环温高报警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b/>
          <w:color w:val="000000"/>
          <w:kern w:val="0"/>
          <w:szCs w:val="21"/>
          <w:lang w:bidi="ar"/>
        </w:rPr>
        <w:t>5.</w:t>
      </w:r>
      <w:r>
        <w:rPr>
          <w:rFonts w:hint="eastAsia" w:asciiTheme="minorEastAsia" w:hAnsiTheme="minorEastAsia" w:eastAsiaTheme="minorEastAsia" w:cstheme="minorEastAsia"/>
          <w:color w:val="000000"/>
          <w:kern w:val="0"/>
          <w:szCs w:val="21"/>
          <w:lang w:bidi="ar"/>
        </w:rPr>
        <w:t xml:space="preserve">多种报警方式：声音蜂鸣报警、灯光闪烁报警、符号闪烁报警，可接远程报警接口。 5、内置7层抽屉 </w:t>
      </w:r>
    </w:p>
    <w:p>
      <w:pPr>
        <w:pStyle w:val="19"/>
        <w:spacing w:after="0" w:line="360" w:lineRule="auto"/>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bidi="ar"/>
        </w:rPr>
        <w:t xml:space="preserve">6.人性化设计：门锁扣+门锁 </w:t>
      </w:r>
    </w:p>
    <w:p>
      <w:pPr>
        <w:pStyle w:val="19"/>
        <w:spacing w:after="0" w:line="360" w:lineRule="auto"/>
        <w:ind w:left="0" w:leftChars="0" w:firstLine="0" w:firstLineChars="0"/>
        <w:rPr>
          <w:rFonts w:asciiTheme="minorEastAsia" w:hAnsiTheme="minorEastAsia" w:eastAsiaTheme="minorEastAsia" w:cstheme="minorEastAsia"/>
          <w:szCs w:val="21"/>
        </w:rPr>
        <w:sectPr>
          <w:footerReference r:id="rId3" w:type="default"/>
          <w:pgSz w:w="11907" w:h="16840"/>
          <w:pgMar w:top="1440" w:right="1800" w:bottom="1276" w:left="1800" w:header="851" w:footer="851" w:gutter="0"/>
          <w:pgNumType w:start="1"/>
          <w:cols w:space="720" w:num="1"/>
          <w:docGrid w:linePitch="312" w:charSpace="0"/>
        </w:sectPr>
      </w:pPr>
      <w:r>
        <w:rPr>
          <w:rFonts w:asciiTheme="minorEastAsia" w:hAnsiTheme="minorEastAsia" w:eastAsiaTheme="minorEastAsia" w:cstheme="minorEastAsia"/>
          <w:color w:val="000000"/>
          <w:kern w:val="0"/>
          <w:szCs w:val="21"/>
          <w:lang w:bidi="ar"/>
        </w:rPr>
        <w:t>7</w:t>
      </w:r>
      <w:r>
        <w:rPr>
          <w:rFonts w:hint="eastAsia" w:asciiTheme="minorEastAsia" w:hAnsiTheme="minorEastAsia" w:eastAsiaTheme="minorEastAsia" w:cstheme="minorEastAsia"/>
          <w:color w:val="000000"/>
          <w:kern w:val="0"/>
          <w:szCs w:val="21"/>
          <w:lang w:bidi="ar"/>
        </w:rPr>
        <w:t>.立式柜蒸发器直接做为搁物架，制冷速度更快</w:t>
      </w:r>
    </w:p>
    <w:p>
      <w:pPr>
        <w:pStyle w:val="5"/>
        <w:snapToGrid w:val="0"/>
        <w:spacing w:before="0" w:after="0" w:line="360" w:lineRule="auto"/>
        <w:jc w:val="center"/>
        <w:textAlignment w:val="baseline"/>
        <w:rPr>
          <w:sz w:val="28"/>
          <w:szCs w:val="30"/>
        </w:rPr>
      </w:pPr>
      <w:r>
        <w:rPr>
          <w:rFonts w:hint="eastAsia"/>
          <w:sz w:val="28"/>
          <w:szCs w:val="30"/>
        </w:rPr>
        <w:t>采购需求一览表</w:t>
      </w:r>
    </w:p>
    <w:tbl>
      <w:tblPr>
        <w:tblStyle w:val="20"/>
        <w:tblW w:w="13452" w:type="dxa"/>
        <w:tblInd w:w="96" w:type="dxa"/>
        <w:tblLayout w:type="autofit"/>
        <w:tblCellMar>
          <w:top w:w="0" w:type="dxa"/>
          <w:left w:w="108" w:type="dxa"/>
          <w:bottom w:w="0" w:type="dxa"/>
          <w:right w:w="108" w:type="dxa"/>
        </w:tblCellMar>
      </w:tblPr>
      <w:tblGrid>
        <w:gridCol w:w="972"/>
        <w:gridCol w:w="1740"/>
        <w:gridCol w:w="2088"/>
        <w:gridCol w:w="972"/>
        <w:gridCol w:w="972"/>
        <w:gridCol w:w="1272"/>
        <w:gridCol w:w="972"/>
        <w:gridCol w:w="2520"/>
        <w:gridCol w:w="972"/>
        <w:gridCol w:w="972"/>
      </w:tblGrid>
      <w:tr>
        <w:tblPrEx>
          <w:tblCellMar>
            <w:top w:w="0" w:type="dxa"/>
            <w:left w:w="108" w:type="dxa"/>
            <w:bottom w:w="0" w:type="dxa"/>
            <w:right w:w="108" w:type="dxa"/>
          </w:tblCellMar>
        </w:tblPrEx>
        <w:trPr>
          <w:trHeight w:val="64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名称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技术参数和规格型号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合计价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列入优先采购和强制采购品目清单情况（优先采购或强制采购）</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18"/>
                <w:szCs w:val="18"/>
                <w:lang w:bidi="ar"/>
              </w:rPr>
            </w:pPr>
            <w:r>
              <w:rPr>
                <w:rFonts w:hint="eastAsia" w:ascii="宋体" w:hAnsi="宋体" w:cs="宋体"/>
                <w:b/>
                <w:bCs/>
                <w:color w:val="000000"/>
                <w:kern w:val="0"/>
                <w:sz w:val="18"/>
                <w:szCs w:val="18"/>
              </w:rPr>
              <w:t>所属行业（按工信部联企业【2011】300号）</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备注</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热辐射计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热球式风速仪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手持风杯式三杯风速测量仪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紫外可见分光光度计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荧光光度计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大气压专用压力计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数显高压灭菌锅</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皮脂厚度计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背力计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18"/>
                <w:szCs w:val="18"/>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血糖仪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磁力搅拌器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糖度仪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匀浆机</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凯氏定氮仪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除湿器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水银血压计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lang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手持式体脂测定仪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lang w:bidi="ar"/>
              </w:rPr>
              <w:t>9</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光照培养箱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显微镜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机械式干湿球温度计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个</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移动紫外线消毒灯车</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电子分析天平</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闪光融合频率仪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反应时测定仪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通风干湿表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olor w:val="000000"/>
                <w:sz w:val="18"/>
                <w:szCs w:val="18"/>
              </w:rPr>
            </w:pPr>
            <w:r>
              <w:rPr>
                <w:rFonts w:ascii="Times New Roman" w:hAnsi="Times New Roman"/>
                <w:color w:val="000000"/>
                <w:kern w:val="0"/>
                <w:sz w:val="18"/>
                <w:szCs w:val="18"/>
                <w:lang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方正仿宋_GBK" w:hAnsi="方正仿宋_GBK" w:eastAsia="方正仿宋_GBK" w:cs="方正仿宋_GBK"/>
                <w:color w:val="000000"/>
                <w:sz w:val="18"/>
                <w:szCs w:val="18"/>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冰箱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倒置生物显微镜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厌氧培养箱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定向型大流量大气颗粒物采样器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大气颗粒物采样仪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电动移液器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允许采购进口产品</w:t>
            </w: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移液器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允许采购进口产品</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加热磁力搅拌器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多用途旋转摇床</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cs="宋体"/>
                <w:color w:val="000000"/>
                <w:kern w:val="0"/>
                <w:sz w:val="20"/>
                <w:szCs w:val="20"/>
                <w:lang w:bidi="ar"/>
              </w:rPr>
            </w:pPr>
            <w:r>
              <w:rPr>
                <w:rFonts w:hint="eastAsia" w:ascii="宋体" w:hAnsi="宋体" w:cs="宋体"/>
                <w:b/>
                <w:bCs/>
                <w:color w:val="000000"/>
                <w:kern w:val="0"/>
                <w:sz w:val="20"/>
                <w:szCs w:val="20"/>
                <w:lang w:bidi="ar"/>
              </w:rPr>
              <w:t>强制采购节能产品</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双头PCR仪</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荧光定量PCR</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流式细胞仪自动进样器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负80度冰箱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二层组合式全温恒温培养箱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2"/>
              </w:rPr>
            </w:pPr>
            <w:r>
              <w:rPr>
                <w:rFonts w:hint="eastAsia" w:ascii="宋体" w:hAnsi="宋体" w:cs="宋体"/>
                <w:color w:val="000000"/>
                <w:sz w:val="18"/>
                <w:szCs w:val="18"/>
                <w:lang w:val="en-US" w:eastAsia="zh-CN"/>
              </w:rPr>
              <w:t>工业</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负20度冰箱</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lang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000000"/>
                <w:sz w:val="22"/>
              </w:rPr>
            </w:pPr>
          </w:p>
        </w:tc>
      </w:tr>
    </w:tbl>
    <w:p>
      <w:pPr>
        <w:pStyle w:val="39"/>
        <w:jc w:val="center"/>
        <w:rPr>
          <w:rFonts w:ascii="宋体" w:hAnsi="宋体"/>
          <w:sz w:val="24"/>
          <w:szCs w:val="24"/>
        </w:rPr>
      </w:pPr>
      <w:r>
        <w:rPr>
          <w:rFonts w:ascii="宋体" w:hAnsi="宋体"/>
          <w:sz w:val="24"/>
          <w:szCs w:val="24"/>
        </w:rPr>
        <w:t>本项目核心产品一览表</w:t>
      </w:r>
    </w:p>
    <w:tbl>
      <w:tblPr>
        <w:tblStyle w:val="20"/>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t>核心产品</w:t>
            </w:r>
            <w:r>
              <w:rPr>
                <w:rFonts w:hint="eastAsia"/>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rPr>
              <w:t>1</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rPr>
              <w:t>荧光定量P</w:t>
            </w:r>
            <w:r>
              <w:t>CR</w:t>
            </w:r>
          </w:p>
        </w:tc>
      </w:tr>
    </w:tbl>
    <w:p>
      <w:pPr>
        <w:pStyle w:val="39"/>
        <w:ind w:firstLine="470" w:firstLineChars="196"/>
        <w:jc w:val="center"/>
        <w:rPr>
          <w:rFonts w:ascii="宋体" w:hAnsi="宋体"/>
          <w:sz w:val="24"/>
          <w:szCs w:val="24"/>
        </w:rPr>
      </w:pPr>
    </w:p>
    <w:p>
      <w:pPr>
        <w:pStyle w:val="39"/>
        <w:ind w:firstLine="470" w:firstLineChars="196"/>
        <w:rPr>
          <w:rFonts w:ascii="宋体" w:hAnsi="宋体"/>
          <w:sz w:val="24"/>
          <w:szCs w:val="24"/>
        </w:rPr>
      </w:pPr>
      <w:r>
        <w:rPr>
          <w:rFonts w:hint="eastAsia" w:ascii="宋体" w:hAnsi="宋体"/>
          <w:sz w:val="24"/>
          <w:szCs w:val="24"/>
        </w:rPr>
        <w:t>备注：1.本表序号为采购需求一览表中对应的产品序号；</w:t>
      </w:r>
    </w:p>
    <w:p>
      <w:pPr>
        <w:pStyle w:val="39"/>
        <w:ind w:firstLine="1200" w:firstLineChars="500"/>
        <w:rPr>
          <w:rFonts w:ascii="宋体" w:hAnsi="宋体"/>
          <w:sz w:val="24"/>
          <w:szCs w:val="24"/>
        </w:rPr>
      </w:pPr>
      <w:r>
        <w:rPr>
          <w:rFonts w:hint="eastAsia" w:ascii="宋体" w:hAnsi="宋体"/>
          <w:sz w:val="24"/>
          <w:szCs w:val="24"/>
        </w:rPr>
        <w:t xml:space="preserve">2.上表应根据具体项目和评标办法合理填写。     </w:t>
      </w:r>
    </w:p>
    <w:p>
      <w:pPr>
        <w:widowControl/>
        <w:jc w:val="left"/>
        <w:sectPr>
          <w:pgSz w:w="16840" w:h="11907" w:orient="landscape"/>
          <w:pgMar w:top="1797" w:right="1440" w:bottom="1797" w:left="1276" w:header="851" w:footer="851" w:gutter="0"/>
          <w:cols w:space="720" w:num="1"/>
          <w:docGrid w:linePitch="312" w:charSpace="0"/>
        </w:sectPr>
      </w:pPr>
    </w:p>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5EF9A"/>
    <w:multiLevelType w:val="singleLevel"/>
    <w:tmpl w:val="DAE5EF9A"/>
    <w:lvl w:ilvl="0" w:tentative="0">
      <w:start w:val="5"/>
      <w:numFmt w:val="chineseCounting"/>
      <w:suff w:val="nothing"/>
      <w:lvlText w:val="%1、"/>
      <w:lvlJc w:val="left"/>
      <w:rPr>
        <w:rFonts w:hint="eastAsia"/>
      </w:rPr>
    </w:lvl>
  </w:abstractNum>
  <w:abstractNum w:abstractNumId="1">
    <w:nsid w:val="E480A6B6"/>
    <w:multiLevelType w:val="singleLevel"/>
    <w:tmpl w:val="E480A6B6"/>
    <w:lvl w:ilvl="0" w:tentative="0">
      <w:start w:val="1"/>
      <w:numFmt w:val="decimal"/>
      <w:lvlText w:val="%1."/>
      <w:lvlJc w:val="left"/>
      <w:pPr>
        <w:tabs>
          <w:tab w:val="left" w:pos="312"/>
        </w:tabs>
      </w:pPr>
    </w:lvl>
  </w:abstractNum>
  <w:abstractNum w:abstractNumId="2">
    <w:nsid w:val="EDA00697"/>
    <w:multiLevelType w:val="singleLevel"/>
    <w:tmpl w:val="EDA00697"/>
    <w:lvl w:ilvl="0" w:tentative="0">
      <w:start w:val="12"/>
      <w:numFmt w:val="chineseCounting"/>
      <w:suff w:val="nothing"/>
      <w:lvlText w:val="%1、"/>
      <w:lvlJc w:val="left"/>
      <w:rPr>
        <w:rFonts w:hint="eastAsia"/>
      </w:rPr>
    </w:lvl>
  </w:abstractNum>
  <w:abstractNum w:abstractNumId="3">
    <w:nsid w:val="0253B2A0"/>
    <w:multiLevelType w:val="singleLevel"/>
    <w:tmpl w:val="0253B2A0"/>
    <w:lvl w:ilvl="0" w:tentative="0">
      <w:start w:val="1"/>
      <w:numFmt w:val="decimal"/>
      <w:suff w:val="nothing"/>
      <w:lvlText w:val="%1、"/>
      <w:lvlJc w:val="left"/>
    </w:lvl>
  </w:abstractNum>
  <w:abstractNum w:abstractNumId="4">
    <w:nsid w:val="08315DE4"/>
    <w:multiLevelType w:val="multilevel"/>
    <w:tmpl w:val="08315DE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257FE3"/>
    <w:multiLevelType w:val="singleLevel"/>
    <w:tmpl w:val="4B257FE3"/>
    <w:lvl w:ilvl="0" w:tentative="0">
      <w:start w:val="1"/>
      <w:numFmt w:val="decimal"/>
      <w:suff w:val="nothing"/>
      <w:lvlText w:val="%1、"/>
      <w:lvlJc w:val="left"/>
    </w:lvl>
  </w:abstractNum>
  <w:abstractNum w:abstractNumId="6">
    <w:nsid w:val="4D47DF0A"/>
    <w:multiLevelType w:val="singleLevel"/>
    <w:tmpl w:val="4D47DF0A"/>
    <w:lvl w:ilvl="0" w:tentative="0">
      <w:start w:val="8"/>
      <w:numFmt w:val="decimal"/>
      <w:suff w:val="nothing"/>
      <w:lvlText w:val="%1、"/>
      <w:lvlJc w:val="left"/>
    </w:lvl>
  </w:abstractNum>
  <w:abstractNum w:abstractNumId="7">
    <w:nsid w:val="4EA073B0"/>
    <w:multiLevelType w:val="singleLevel"/>
    <w:tmpl w:val="4EA073B0"/>
    <w:lvl w:ilvl="0" w:tentative="0">
      <w:start w:val="1"/>
      <w:numFmt w:val="decimal"/>
      <w:suff w:val="nothing"/>
      <w:lvlText w:val="%1、"/>
      <w:lvlJc w:val="left"/>
    </w:lvl>
  </w:abstractNum>
  <w:abstractNum w:abstractNumId="8">
    <w:nsid w:val="5F24CCA0"/>
    <w:multiLevelType w:val="singleLevel"/>
    <w:tmpl w:val="5F24CCA0"/>
    <w:lvl w:ilvl="0" w:tentative="0">
      <w:start w:val="1"/>
      <w:numFmt w:val="decimal"/>
      <w:suff w:val="nothing"/>
      <w:lvlText w:val="%1、"/>
      <w:lvlJc w:val="left"/>
    </w:lvl>
  </w:abstractNum>
  <w:num w:numId="1">
    <w:abstractNumId w:val="0"/>
  </w:num>
  <w:num w:numId="2">
    <w:abstractNumId w:val="2"/>
  </w:num>
  <w:num w:numId="3">
    <w:abstractNumId w:val="7"/>
  </w:num>
  <w:num w:numId="4">
    <w:abstractNumId w:val="3"/>
  </w:num>
  <w:num w:numId="5">
    <w:abstractNumId w:val="8"/>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WQwMGVhYmE3NmY5MjNhMzhjNzVlOWI1OTgxNDUifQ=="/>
  </w:docVars>
  <w:rsids>
    <w:rsidRoot w:val="70335BE5"/>
    <w:rsid w:val="0001743C"/>
    <w:rsid w:val="00027618"/>
    <w:rsid w:val="000309ED"/>
    <w:rsid w:val="000441AF"/>
    <w:rsid w:val="00051080"/>
    <w:rsid w:val="000544AD"/>
    <w:rsid w:val="00055795"/>
    <w:rsid w:val="00072D9A"/>
    <w:rsid w:val="00081240"/>
    <w:rsid w:val="00086B71"/>
    <w:rsid w:val="000945B3"/>
    <w:rsid w:val="00097303"/>
    <w:rsid w:val="000A3191"/>
    <w:rsid w:val="000B5110"/>
    <w:rsid w:val="000C03E9"/>
    <w:rsid w:val="000D198B"/>
    <w:rsid w:val="000E6F3F"/>
    <w:rsid w:val="000F255B"/>
    <w:rsid w:val="000F7671"/>
    <w:rsid w:val="00107DEA"/>
    <w:rsid w:val="00194CD8"/>
    <w:rsid w:val="001A032A"/>
    <w:rsid w:val="001A4408"/>
    <w:rsid w:val="001A7127"/>
    <w:rsid w:val="001B3190"/>
    <w:rsid w:val="001C423D"/>
    <w:rsid w:val="001C594C"/>
    <w:rsid w:val="001F34FC"/>
    <w:rsid w:val="00204F52"/>
    <w:rsid w:val="002214A0"/>
    <w:rsid w:val="00262425"/>
    <w:rsid w:val="00263235"/>
    <w:rsid w:val="00266F35"/>
    <w:rsid w:val="00277946"/>
    <w:rsid w:val="002814F7"/>
    <w:rsid w:val="002902C4"/>
    <w:rsid w:val="002B1980"/>
    <w:rsid w:val="002B1A56"/>
    <w:rsid w:val="002F259F"/>
    <w:rsid w:val="0030384E"/>
    <w:rsid w:val="003456B4"/>
    <w:rsid w:val="00347DCB"/>
    <w:rsid w:val="003500FE"/>
    <w:rsid w:val="00374952"/>
    <w:rsid w:val="003754EC"/>
    <w:rsid w:val="003764A5"/>
    <w:rsid w:val="00383B0B"/>
    <w:rsid w:val="00383C6E"/>
    <w:rsid w:val="00383F5E"/>
    <w:rsid w:val="003C2443"/>
    <w:rsid w:val="003C5C38"/>
    <w:rsid w:val="003C7267"/>
    <w:rsid w:val="003D573F"/>
    <w:rsid w:val="003E22EB"/>
    <w:rsid w:val="003E3F4F"/>
    <w:rsid w:val="003F71F5"/>
    <w:rsid w:val="0042348B"/>
    <w:rsid w:val="00425002"/>
    <w:rsid w:val="00426603"/>
    <w:rsid w:val="00442E5C"/>
    <w:rsid w:val="00445250"/>
    <w:rsid w:val="00455798"/>
    <w:rsid w:val="00481611"/>
    <w:rsid w:val="00494B2C"/>
    <w:rsid w:val="004A3C8D"/>
    <w:rsid w:val="004A5BC3"/>
    <w:rsid w:val="004C1E7D"/>
    <w:rsid w:val="00517EDF"/>
    <w:rsid w:val="005278BA"/>
    <w:rsid w:val="00531BDA"/>
    <w:rsid w:val="0056455E"/>
    <w:rsid w:val="005C0178"/>
    <w:rsid w:val="005C0993"/>
    <w:rsid w:val="005C4DE3"/>
    <w:rsid w:val="005C737C"/>
    <w:rsid w:val="005D14CE"/>
    <w:rsid w:val="005E5586"/>
    <w:rsid w:val="00607B32"/>
    <w:rsid w:val="00616AB8"/>
    <w:rsid w:val="006177BB"/>
    <w:rsid w:val="006300E5"/>
    <w:rsid w:val="0064640F"/>
    <w:rsid w:val="0067461B"/>
    <w:rsid w:val="00677670"/>
    <w:rsid w:val="00695DE7"/>
    <w:rsid w:val="006C213C"/>
    <w:rsid w:val="006C3681"/>
    <w:rsid w:val="006E4DFA"/>
    <w:rsid w:val="006F09A5"/>
    <w:rsid w:val="007117C9"/>
    <w:rsid w:val="00720207"/>
    <w:rsid w:val="00724055"/>
    <w:rsid w:val="007265D8"/>
    <w:rsid w:val="00743F6B"/>
    <w:rsid w:val="0076589F"/>
    <w:rsid w:val="00787CB9"/>
    <w:rsid w:val="00791F38"/>
    <w:rsid w:val="007961F8"/>
    <w:rsid w:val="007B029C"/>
    <w:rsid w:val="007B2238"/>
    <w:rsid w:val="007B5E0F"/>
    <w:rsid w:val="007C5C7A"/>
    <w:rsid w:val="007D7001"/>
    <w:rsid w:val="007E6B49"/>
    <w:rsid w:val="007E785B"/>
    <w:rsid w:val="007F6D69"/>
    <w:rsid w:val="008245D9"/>
    <w:rsid w:val="0084095C"/>
    <w:rsid w:val="008456F3"/>
    <w:rsid w:val="00845803"/>
    <w:rsid w:val="00846655"/>
    <w:rsid w:val="00855C97"/>
    <w:rsid w:val="00864B08"/>
    <w:rsid w:val="00866D07"/>
    <w:rsid w:val="00875F3B"/>
    <w:rsid w:val="00890234"/>
    <w:rsid w:val="00897E45"/>
    <w:rsid w:val="008A26DF"/>
    <w:rsid w:val="008B1BB3"/>
    <w:rsid w:val="008B487B"/>
    <w:rsid w:val="008F757D"/>
    <w:rsid w:val="008F77D8"/>
    <w:rsid w:val="00901C86"/>
    <w:rsid w:val="009042D1"/>
    <w:rsid w:val="009060F6"/>
    <w:rsid w:val="009435CD"/>
    <w:rsid w:val="00983D33"/>
    <w:rsid w:val="00987B05"/>
    <w:rsid w:val="009977E0"/>
    <w:rsid w:val="009B4FDB"/>
    <w:rsid w:val="009C43A7"/>
    <w:rsid w:val="009C5EB1"/>
    <w:rsid w:val="009D7691"/>
    <w:rsid w:val="009E6507"/>
    <w:rsid w:val="00A179C8"/>
    <w:rsid w:val="00A4573A"/>
    <w:rsid w:val="00A813CE"/>
    <w:rsid w:val="00A81FC8"/>
    <w:rsid w:val="00A915B3"/>
    <w:rsid w:val="00A9468A"/>
    <w:rsid w:val="00A964C5"/>
    <w:rsid w:val="00AA612F"/>
    <w:rsid w:val="00AC2B51"/>
    <w:rsid w:val="00AC4535"/>
    <w:rsid w:val="00AD096C"/>
    <w:rsid w:val="00AE55DA"/>
    <w:rsid w:val="00B14331"/>
    <w:rsid w:val="00B46FE3"/>
    <w:rsid w:val="00B64DC4"/>
    <w:rsid w:val="00B67713"/>
    <w:rsid w:val="00B90B97"/>
    <w:rsid w:val="00BA7A6B"/>
    <w:rsid w:val="00BB271C"/>
    <w:rsid w:val="00BB69F2"/>
    <w:rsid w:val="00BC0459"/>
    <w:rsid w:val="00BC14BB"/>
    <w:rsid w:val="00BC5908"/>
    <w:rsid w:val="00BE45FB"/>
    <w:rsid w:val="00BE6A4D"/>
    <w:rsid w:val="00BE7D99"/>
    <w:rsid w:val="00BF077C"/>
    <w:rsid w:val="00BF688E"/>
    <w:rsid w:val="00BF73D5"/>
    <w:rsid w:val="00C31AD4"/>
    <w:rsid w:val="00C44805"/>
    <w:rsid w:val="00C55C8B"/>
    <w:rsid w:val="00C64130"/>
    <w:rsid w:val="00C722CE"/>
    <w:rsid w:val="00C75497"/>
    <w:rsid w:val="00C81828"/>
    <w:rsid w:val="00C852B0"/>
    <w:rsid w:val="00CC1B3C"/>
    <w:rsid w:val="00CC3424"/>
    <w:rsid w:val="00CD6063"/>
    <w:rsid w:val="00CE64FA"/>
    <w:rsid w:val="00D04EAF"/>
    <w:rsid w:val="00D053DD"/>
    <w:rsid w:val="00D13819"/>
    <w:rsid w:val="00D172D8"/>
    <w:rsid w:val="00D877B1"/>
    <w:rsid w:val="00DF0180"/>
    <w:rsid w:val="00DF4086"/>
    <w:rsid w:val="00E03145"/>
    <w:rsid w:val="00E052C4"/>
    <w:rsid w:val="00E20C22"/>
    <w:rsid w:val="00E32EF7"/>
    <w:rsid w:val="00E43D2A"/>
    <w:rsid w:val="00E44BA4"/>
    <w:rsid w:val="00E8770A"/>
    <w:rsid w:val="00EA404E"/>
    <w:rsid w:val="00EA4B4C"/>
    <w:rsid w:val="00ED36D8"/>
    <w:rsid w:val="00EF1C88"/>
    <w:rsid w:val="00F06A5C"/>
    <w:rsid w:val="00F11671"/>
    <w:rsid w:val="00F12342"/>
    <w:rsid w:val="00F300D4"/>
    <w:rsid w:val="00F6516C"/>
    <w:rsid w:val="00F7313D"/>
    <w:rsid w:val="00F81CF4"/>
    <w:rsid w:val="00F84529"/>
    <w:rsid w:val="00F85CAA"/>
    <w:rsid w:val="00F905EF"/>
    <w:rsid w:val="00F90AF9"/>
    <w:rsid w:val="00FB1EF9"/>
    <w:rsid w:val="00FC5433"/>
    <w:rsid w:val="00FF200B"/>
    <w:rsid w:val="00FF4408"/>
    <w:rsid w:val="015B4ED6"/>
    <w:rsid w:val="01AD40C1"/>
    <w:rsid w:val="01FB4AEA"/>
    <w:rsid w:val="02347263"/>
    <w:rsid w:val="02393B95"/>
    <w:rsid w:val="02CE688C"/>
    <w:rsid w:val="03333CE8"/>
    <w:rsid w:val="03BD3D35"/>
    <w:rsid w:val="03E54D09"/>
    <w:rsid w:val="04C37F09"/>
    <w:rsid w:val="04CD1BCB"/>
    <w:rsid w:val="05BF7399"/>
    <w:rsid w:val="077139C8"/>
    <w:rsid w:val="079970C8"/>
    <w:rsid w:val="079C10B5"/>
    <w:rsid w:val="08086930"/>
    <w:rsid w:val="08142C41"/>
    <w:rsid w:val="0875682F"/>
    <w:rsid w:val="08A232E4"/>
    <w:rsid w:val="08C56E82"/>
    <w:rsid w:val="09102C3B"/>
    <w:rsid w:val="094C0857"/>
    <w:rsid w:val="09C45DD3"/>
    <w:rsid w:val="09F608D1"/>
    <w:rsid w:val="0A70708C"/>
    <w:rsid w:val="0AC477B5"/>
    <w:rsid w:val="0B0B0B75"/>
    <w:rsid w:val="0B172F8E"/>
    <w:rsid w:val="0B9143FD"/>
    <w:rsid w:val="0C66691B"/>
    <w:rsid w:val="0C8860B0"/>
    <w:rsid w:val="0CC006E2"/>
    <w:rsid w:val="0CF60BFA"/>
    <w:rsid w:val="0E4A763D"/>
    <w:rsid w:val="0E8D0E12"/>
    <w:rsid w:val="0F053FD7"/>
    <w:rsid w:val="0F0E2EB6"/>
    <w:rsid w:val="0F9B420F"/>
    <w:rsid w:val="0FDD0E8D"/>
    <w:rsid w:val="106E535E"/>
    <w:rsid w:val="1150511E"/>
    <w:rsid w:val="11C01723"/>
    <w:rsid w:val="148B26F0"/>
    <w:rsid w:val="14B04B54"/>
    <w:rsid w:val="15EF109A"/>
    <w:rsid w:val="16125616"/>
    <w:rsid w:val="16932C54"/>
    <w:rsid w:val="16C529CE"/>
    <w:rsid w:val="16F81949"/>
    <w:rsid w:val="17084BFA"/>
    <w:rsid w:val="17821581"/>
    <w:rsid w:val="178F1A39"/>
    <w:rsid w:val="185B79B1"/>
    <w:rsid w:val="199D182F"/>
    <w:rsid w:val="1A131B70"/>
    <w:rsid w:val="1A1F35FC"/>
    <w:rsid w:val="1A3927B1"/>
    <w:rsid w:val="1A43042A"/>
    <w:rsid w:val="1A9B3EA1"/>
    <w:rsid w:val="1B6C3A19"/>
    <w:rsid w:val="1BD25BEE"/>
    <w:rsid w:val="1BE707CE"/>
    <w:rsid w:val="1C040448"/>
    <w:rsid w:val="1D7A7B0F"/>
    <w:rsid w:val="1D8E54B6"/>
    <w:rsid w:val="1D954B43"/>
    <w:rsid w:val="1E0D0FBE"/>
    <w:rsid w:val="1E6858C6"/>
    <w:rsid w:val="1F300B0F"/>
    <w:rsid w:val="1F326221"/>
    <w:rsid w:val="1FE40979"/>
    <w:rsid w:val="1FEB2CEC"/>
    <w:rsid w:val="1FF30EC9"/>
    <w:rsid w:val="21527F1C"/>
    <w:rsid w:val="22BD2102"/>
    <w:rsid w:val="234B316F"/>
    <w:rsid w:val="23744D47"/>
    <w:rsid w:val="23E00E2D"/>
    <w:rsid w:val="24B24AB7"/>
    <w:rsid w:val="25472489"/>
    <w:rsid w:val="256C4AEF"/>
    <w:rsid w:val="25D75779"/>
    <w:rsid w:val="26284737"/>
    <w:rsid w:val="26645DC2"/>
    <w:rsid w:val="269A2444"/>
    <w:rsid w:val="271525EF"/>
    <w:rsid w:val="273E3590"/>
    <w:rsid w:val="27782106"/>
    <w:rsid w:val="27BD3A55"/>
    <w:rsid w:val="27E15995"/>
    <w:rsid w:val="28375750"/>
    <w:rsid w:val="29555E7E"/>
    <w:rsid w:val="29877EA4"/>
    <w:rsid w:val="29A40E0C"/>
    <w:rsid w:val="2A5A214A"/>
    <w:rsid w:val="2A6A5A37"/>
    <w:rsid w:val="2ABC7762"/>
    <w:rsid w:val="2BA665A8"/>
    <w:rsid w:val="2BD31A99"/>
    <w:rsid w:val="2C0322D0"/>
    <w:rsid w:val="2C3342E6"/>
    <w:rsid w:val="2C4478DE"/>
    <w:rsid w:val="2C531E8C"/>
    <w:rsid w:val="2C751002"/>
    <w:rsid w:val="2F2A2D4D"/>
    <w:rsid w:val="2F973AA4"/>
    <w:rsid w:val="2FA412F9"/>
    <w:rsid w:val="3028757C"/>
    <w:rsid w:val="31375CC5"/>
    <w:rsid w:val="319C59AA"/>
    <w:rsid w:val="31D01EB0"/>
    <w:rsid w:val="32F0099A"/>
    <w:rsid w:val="33311DB3"/>
    <w:rsid w:val="33DA251E"/>
    <w:rsid w:val="33FE78CF"/>
    <w:rsid w:val="340D0020"/>
    <w:rsid w:val="34697BAD"/>
    <w:rsid w:val="35354993"/>
    <w:rsid w:val="35796F80"/>
    <w:rsid w:val="3584704E"/>
    <w:rsid w:val="35CF35CA"/>
    <w:rsid w:val="35E541CA"/>
    <w:rsid w:val="360C37F8"/>
    <w:rsid w:val="36323C57"/>
    <w:rsid w:val="37020520"/>
    <w:rsid w:val="37125B5E"/>
    <w:rsid w:val="385F0BCE"/>
    <w:rsid w:val="388A235A"/>
    <w:rsid w:val="38DC383C"/>
    <w:rsid w:val="39737B98"/>
    <w:rsid w:val="3ABC275E"/>
    <w:rsid w:val="3B106A7B"/>
    <w:rsid w:val="3B19797F"/>
    <w:rsid w:val="3B6D4A02"/>
    <w:rsid w:val="400A237E"/>
    <w:rsid w:val="401D36A4"/>
    <w:rsid w:val="402B55A8"/>
    <w:rsid w:val="415C1ACF"/>
    <w:rsid w:val="419D5A66"/>
    <w:rsid w:val="41A01FC6"/>
    <w:rsid w:val="41EE3D76"/>
    <w:rsid w:val="42207741"/>
    <w:rsid w:val="42437576"/>
    <w:rsid w:val="435A3C9F"/>
    <w:rsid w:val="43BB3027"/>
    <w:rsid w:val="43FE596F"/>
    <w:rsid w:val="44482B18"/>
    <w:rsid w:val="4616643F"/>
    <w:rsid w:val="467D6FC1"/>
    <w:rsid w:val="47423C96"/>
    <w:rsid w:val="479A72AE"/>
    <w:rsid w:val="47F868D0"/>
    <w:rsid w:val="48552A95"/>
    <w:rsid w:val="49530196"/>
    <w:rsid w:val="496B01E0"/>
    <w:rsid w:val="49E8369E"/>
    <w:rsid w:val="4A214D31"/>
    <w:rsid w:val="4A925339"/>
    <w:rsid w:val="4B3A63B8"/>
    <w:rsid w:val="4BB1287E"/>
    <w:rsid w:val="4BF56BDD"/>
    <w:rsid w:val="4C6060CB"/>
    <w:rsid w:val="4D5441C1"/>
    <w:rsid w:val="4E444299"/>
    <w:rsid w:val="4E9527DF"/>
    <w:rsid w:val="4ECA2C32"/>
    <w:rsid w:val="4F096CDF"/>
    <w:rsid w:val="50A674DD"/>
    <w:rsid w:val="51D13A27"/>
    <w:rsid w:val="52157E66"/>
    <w:rsid w:val="52370C09"/>
    <w:rsid w:val="525B06C9"/>
    <w:rsid w:val="526A7882"/>
    <w:rsid w:val="53D244DB"/>
    <w:rsid w:val="53D80D9B"/>
    <w:rsid w:val="557C1AF7"/>
    <w:rsid w:val="55AB3A95"/>
    <w:rsid w:val="567535C9"/>
    <w:rsid w:val="56F269C8"/>
    <w:rsid w:val="578D6167"/>
    <w:rsid w:val="58190FD5"/>
    <w:rsid w:val="58311061"/>
    <w:rsid w:val="58AF6E7E"/>
    <w:rsid w:val="58B70261"/>
    <w:rsid w:val="5AA438C6"/>
    <w:rsid w:val="5AA83C68"/>
    <w:rsid w:val="5AB973C8"/>
    <w:rsid w:val="5AC36DF4"/>
    <w:rsid w:val="5AE23E21"/>
    <w:rsid w:val="5B225A35"/>
    <w:rsid w:val="5B226AEC"/>
    <w:rsid w:val="5B363D9B"/>
    <w:rsid w:val="5B654F8E"/>
    <w:rsid w:val="5BDE39E3"/>
    <w:rsid w:val="5BEA2F4C"/>
    <w:rsid w:val="5CD06C40"/>
    <w:rsid w:val="5CD322A6"/>
    <w:rsid w:val="5CF15961"/>
    <w:rsid w:val="5D7E4575"/>
    <w:rsid w:val="5D7E7CF3"/>
    <w:rsid w:val="5DA54E35"/>
    <w:rsid w:val="5DB85BE7"/>
    <w:rsid w:val="5E87179F"/>
    <w:rsid w:val="5E9C001F"/>
    <w:rsid w:val="5EE0046E"/>
    <w:rsid w:val="5EF7655F"/>
    <w:rsid w:val="5FC41AFF"/>
    <w:rsid w:val="60201BE5"/>
    <w:rsid w:val="61FC2AC2"/>
    <w:rsid w:val="6236702C"/>
    <w:rsid w:val="62566E95"/>
    <w:rsid w:val="626E28CF"/>
    <w:rsid w:val="628B61ED"/>
    <w:rsid w:val="640F0C6A"/>
    <w:rsid w:val="642312E6"/>
    <w:rsid w:val="644A7C2C"/>
    <w:rsid w:val="646A7B30"/>
    <w:rsid w:val="651560CC"/>
    <w:rsid w:val="652C540A"/>
    <w:rsid w:val="65C9438A"/>
    <w:rsid w:val="663019A7"/>
    <w:rsid w:val="666450C8"/>
    <w:rsid w:val="66EC4200"/>
    <w:rsid w:val="672F0772"/>
    <w:rsid w:val="676E4A62"/>
    <w:rsid w:val="68180423"/>
    <w:rsid w:val="68D55489"/>
    <w:rsid w:val="6989378C"/>
    <w:rsid w:val="69AA3E2C"/>
    <w:rsid w:val="6A7E7DD0"/>
    <w:rsid w:val="6AD05083"/>
    <w:rsid w:val="6AFE3B65"/>
    <w:rsid w:val="6B2875ED"/>
    <w:rsid w:val="6B8F5D24"/>
    <w:rsid w:val="6BF12332"/>
    <w:rsid w:val="6C8F1157"/>
    <w:rsid w:val="6C9D5BD5"/>
    <w:rsid w:val="6CFE33CF"/>
    <w:rsid w:val="6D914BEF"/>
    <w:rsid w:val="6E4113F5"/>
    <w:rsid w:val="70335BE5"/>
    <w:rsid w:val="713C641C"/>
    <w:rsid w:val="715A164F"/>
    <w:rsid w:val="7172111B"/>
    <w:rsid w:val="71FC5DCD"/>
    <w:rsid w:val="728E1843"/>
    <w:rsid w:val="72A1642E"/>
    <w:rsid w:val="734E6DC6"/>
    <w:rsid w:val="75037DF2"/>
    <w:rsid w:val="75D23A35"/>
    <w:rsid w:val="765C7958"/>
    <w:rsid w:val="76605E1D"/>
    <w:rsid w:val="767D6F6B"/>
    <w:rsid w:val="77575032"/>
    <w:rsid w:val="77FD3CAE"/>
    <w:rsid w:val="78894E2D"/>
    <w:rsid w:val="78BA37A1"/>
    <w:rsid w:val="78E514D5"/>
    <w:rsid w:val="79C334D9"/>
    <w:rsid w:val="7A337E8F"/>
    <w:rsid w:val="7A9D64D7"/>
    <w:rsid w:val="7AC41F0E"/>
    <w:rsid w:val="7B380C78"/>
    <w:rsid w:val="7C154DAB"/>
    <w:rsid w:val="7C576E74"/>
    <w:rsid w:val="7C974F18"/>
    <w:rsid w:val="7CEC4FA9"/>
    <w:rsid w:val="7DB60C46"/>
    <w:rsid w:val="7E2D3F14"/>
    <w:rsid w:val="7E714ED6"/>
    <w:rsid w:val="7E8853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9"/>
    <w:qFormat/>
    <w:uiPriority w:val="99"/>
    <w:pPr>
      <w:jc w:val="left"/>
    </w:pPr>
  </w:style>
  <w:style w:type="paragraph" w:styleId="8">
    <w:name w:val="Body Text"/>
    <w:basedOn w:val="1"/>
    <w:link w:val="63"/>
    <w:qFormat/>
    <w:uiPriority w:val="0"/>
    <w:pPr>
      <w:spacing w:after="120"/>
    </w:pPr>
    <w:rPr>
      <w:rFonts w:ascii="Times New Roman" w:hAnsi="Times New Roman"/>
      <w:szCs w:val="20"/>
      <w:lang w:val="zh-CN"/>
    </w:rPr>
  </w:style>
  <w:style w:type="paragraph" w:styleId="9">
    <w:name w:val="Body Text Indent"/>
    <w:basedOn w:val="1"/>
    <w:next w:val="10"/>
    <w:link w:val="65"/>
    <w:qFormat/>
    <w:uiPriority w:val="0"/>
    <w:pPr>
      <w:spacing w:after="120"/>
      <w:ind w:left="420" w:leftChars="200"/>
    </w:pPr>
  </w:style>
  <w:style w:type="paragraph" w:customStyle="1" w:styleId="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11">
    <w:name w:val="Plain Text"/>
    <w:basedOn w:val="1"/>
    <w:qFormat/>
    <w:uiPriority w:val="0"/>
    <w:rPr>
      <w:rFonts w:ascii="宋体" w:hAnsi="Courier New"/>
      <w:szCs w:val="20"/>
    </w:rPr>
  </w:style>
  <w:style w:type="paragraph" w:styleId="12">
    <w:name w:val="Balloon Text"/>
    <w:basedOn w:val="1"/>
    <w:link w:val="61"/>
    <w:qFormat/>
    <w:uiPriority w:val="0"/>
    <w:rPr>
      <w:sz w:val="18"/>
      <w:szCs w:val="18"/>
    </w:rPr>
  </w:style>
  <w:style w:type="paragraph" w:styleId="13">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60"/>
    <w:qFormat/>
    <w:uiPriority w:val="0"/>
    <w:rPr>
      <w:b/>
      <w:bCs/>
    </w:rPr>
  </w:style>
  <w:style w:type="paragraph" w:styleId="18">
    <w:name w:val="Body Text First Indent"/>
    <w:basedOn w:val="8"/>
    <w:link w:val="82"/>
    <w:unhideWhenUsed/>
    <w:qFormat/>
    <w:uiPriority w:val="99"/>
    <w:pPr>
      <w:ind w:firstLine="420" w:firstLineChars="100"/>
    </w:pPr>
    <w:rPr>
      <w:szCs w:val="24"/>
      <w:lang w:val="en-US"/>
    </w:rPr>
  </w:style>
  <w:style w:type="paragraph" w:styleId="19">
    <w:name w:val="Body Text First Indent 2"/>
    <w:basedOn w:val="9"/>
    <w:link w:val="66"/>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99"/>
    <w:rPr>
      <w:rFonts w:hint="eastAsia" w:ascii="微软雅黑" w:hAnsi="微软雅黑" w:eastAsia="微软雅黑" w:cs="微软雅黑"/>
      <w:color w:val="02396F"/>
      <w:u w:val="singl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99"/>
    <w:rPr>
      <w:rFonts w:hint="eastAsia" w:ascii="微软雅黑" w:hAnsi="微软雅黑" w:eastAsia="微软雅黑" w:cs="微软雅黑"/>
      <w:color w:val="02396F"/>
      <w:u w:val="single"/>
    </w:rPr>
  </w:style>
  <w:style w:type="character" w:styleId="30">
    <w:name w:val="HTML Code"/>
    <w:basedOn w:val="22"/>
    <w:qFormat/>
    <w:uiPriority w:val="0"/>
    <w:rPr>
      <w:rFonts w:hint="default" w:ascii="serif" w:hAnsi="serif" w:eastAsia="serif" w:cs="serif"/>
      <w:sz w:val="21"/>
      <w:szCs w:val="21"/>
    </w:rPr>
  </w:style>
  <w:style w:type="character" w:styleId="31">
    <w:name w:val="annotation reference"/>
    <w:qFormat/>
    <w:uiPriority w:val="99"/>
    <w:rPr>
      <w:sz w:val="21"/>
      <w:szCs w:val="21"/>
    </w:rPr>
  </w:style>
  <w:style w:type="character" w:styleId="32">
    <w:name w:val="HTML Cite"/>
    <w:basedOn w:val="22"/>
    <w:qFormat/>
    <w:uiPriority w:val="0"/>
  </w:style>
  <w:style w:type="character" w:styleId="33">
    <w:name w:val="HTML Keyboard"/>
    <w:basedOn w:val="22"/>
    <w:qFormat/>
    <w:uiPriority w:val="0"/>
    <w:rPr>
      <w:rFonts w:hint="default" w:ascii="serif" w:hAnsi="serif" w:eastAsia="serif" w:cs="serif"/>
      <w:sz w:val="21"/>
      <w:szCs w:val="21"/>
    </w:rPr>
  </w:style>
  <w:style w:type="character" w:styleId="34">
    <w:name w:val="HTML Sample"/>
    <w:basedOn w:val="22"/>
    <w:qFormat/>
    <w:uiPriority w:val="0"/>
    <w:rPr>
      <w:rFonts w:ascii="serif" w:hAnsi="serif" w:eastAsia="serif" w:cs="serif"/>
      <w:sz w:val="21"/>
      <w:szCs w:val="21"/>
    </w:rPr>
  </w:style>
  <w:style w:type="character" w:customStyle="1" w:styleId="35">
    <w:name w:val="通用部分 Char"/>
    <w:link w:val="36"/>
    <w:qFormat/>
    <w:uiPriority w:val="0"/>
    <w:rPr>
      <w:rFonts w:ascii="宋体" w:hAnsi="宋体"/>
      <w:b/>
      <w:sz w:val="44"/>
      <w:szCs w:val="44"/>
    </w:rPr>
  </w:style>
  <w:style w:type="paragraph" w:customStyle="1" w:styleId="36">
    <w:name w:val="通用部分"/>
    <w:basedOn w:val="1"/>
    <w:link w:val="35"/>
    <w:qFormat/>
    <w:uiPriority w:val="0"/>
    <w:pPr>
      <w:jc w:val="center"/>
    </w:pPr>
    <w:rPr>
      <w:rFonts w:ascii="宋体" w:hAnsi="宋体"/>
      <w:b/>
      <w:sz w:val="44"/>
      <w:szCs w:val="44"/>
    </w:rPr>
  </w:style>
  <w:style w:type="paragraph" w:customStyle="1" w:styleId="37">
    <w:name w:val="Normal_0"/>
    <w:qFormat/>
    <w:uiPriority w:val="0"/>
    <w:rPr>
      <w:rFonts w:ascii="Calibri" w:hAnsi="Calibri" w:eastAsia="宋体" w:cs="Times New Roman"/>
      <w:sz w:val="24"/>
      <w:szCs w:val="24"/>
      <w:lang w:val="en-US" w:eastAsia="zh-CN" w:bidi="ar-SA"/>
    </w:rPr>
  </w:style>
  <w:style w:type="paragraph" w:customStyle="1" w:styleId="38">
    <w:name w:val="Normal_1"/>
    <w:qFormat/>
    <w:uiPriority w:val="0"/>
    <w:rPr>
      <w:rFonts w:ascii="Times New Roman" w:hAnsi="Times New Roman" w:eastAsia="Times New Roman" w:cs="Times New Roman"/>
      <w:sz w:val="24"/>
      <w:szCs w:val="24"/>
      <w:lang w:val="en-US" w:eastAsia="zh-CN" w:bidi="ar-SA"/>
    </w:rPr>
  </w:style>
  <w:style w:type="paragraph" w:customStyle="1" w:styleId="39">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styleId="40">
    <w:name w:val="No Spacing"/>
    <w:qFormat/>
    <w:uiPriority w:val="0"/>
    <w:rPr>
      <w:rFonts w:ascii="Calibri" w:hAnsi="Calibri" w:eastAsia="宋体" w:cs="Times New Roman"/>
      <w:kern w:val="2"/>
      <w:sz w:val="22"/>
      <w:lang w:val="en-US" w:eastAsia="zh-CN" w:bidi="ar-SA"/>
    </w:rPr>
  </w:style>
  <w:style w:type="paragraph" w:customStyle="1" w:styleId="41">
    <w:name w:val="Body text|1"/>
    <w:basedOn w:val="1"/>
    <w:qFormat/>
    <w:uiPriority w:val="0"/>
    <w:pPr>
      <w:spacing w:line="415" w:lineRule="auto"/>
      <w:ind w:firstLine="400"/>
    </w:pPr>
    <w:rPr>
      <w:rFonts w:ascii="宋体" w:hAnsi="宋体" w:cs="宋体"/>
      <w:color w:val="44505D"/>
      <w:sz w:val="28"/>
      <w:szCs w:val="28"/>
      <w:lang w:val="zh-TW" w:eastAsia="zh-TW" w:bidi="zh-TW"/>
    </w:rPr>
  </w:style>
  <w:style w:type="paragraph" w:customStyle="1" w:styleId="42">
    <w:name w:val="Body text|5"/>
    <w:basedOn w:val="1"/>
    <w:qFormat/>
    <w:uiPriority w:val="0"/>
    <w:pPr>
      <w:ind w:hanging="1840"/>
    </w:pPr>
    <w:rPr>
      <w:sz w:val="10"/>
      <w:szCs w:val="10"/>
      <w:u w:val="single"/>
      <w:lang w:val="zh-CN"/>
    </w:rPr>
  </w:style>
  <w:style w:type="character" w:customStyle="1" w:styleId="43">
    <w:name w:val="qxdate"/>
    <w:basedOn w:val="22"/>
    <w:qFormat/>
    <w:uiPriority w:val="0"/>
    <w:rPr>
      <w:color w:val="333333"/>
      <w:sz w:val="9"/>
      <w:szCs w:val="9"/>
    </w:rPr>
  </w:style>
  <w:style w:type="character" w:customStyle="1" w:styleId="44">
    <w:name w:val="gjfg"/>
    <w:basedOn w:val="22"/>
    <w:qFormat/>
    <w:uiPriority w:val="0"/>
  </w:style>
  <w:style w:type="character" w:customStyle="1" w:styleId="45">
    <w:name w:val="redfilefwwh"/>
    <w:basedOn w:val="22"/>
    <w:qFormat/>
    <w:uiPriority w:val="0"/>
    <w:rPr>
      <w:color w:val="BA2636"/>
      <w:sz w:val="9"/>
      <w:szCs w:val="9"/>
    </w:rPr>
  </w:style>
  <w:style w:type="character" w:customStyle="1" w:styleId="46">
    <w:name w:val="prev2"/>
    <w:basedOn w:val="22"/>
    <w:qFormat/>
    <w:uiPriority w:val="0"/>
    <w:rPr>
      <w:rFonts w:ascii="微软雅黑" w:hAnsi="微软雅黑" w:eastAsia="微软雅黑" w:cs="微软雅黑"/>
      <w:sz w:val="10"/>
      <w:szCs w:val="10"/>
    </w:rPr>
  </w:style>
  <w:style w:type="character" w:customStyle="1" w:styleId="47">
    <w:name w:val="redfilenumber"/>
    <w:basedOn w:val="22"/>
    <w:qFormat/>
    <w:uiPriority w:val="0"/>
    <w:rPr>
      <w:color w:val="BA2636"/>
      <w:sz w:val="9"/>
      <w:szCs w:val="9"/>
    </w:rPr>
  </w:style>
  <w:style w:type="character" w:customStyle="1" w:styleId="48">
    <w:name w:val="displayarti"/>
    <w:basedOn w:val="22"/>
    <w:qFormat/>
    <w:uiPriority w:val="0"/>
    <w:rPr>
      <w:color w:val="FFFFFF"/>
      <w:shd w:val="clear" w:color="auto" w:fill="A00000"/>
    </w:rPr>
  </w:style>
  <w:style w:type="character" w:customStyle="1" w:styleId="49">
    <w:name w:val="cfdate"/>
    <w:basedOn w:val="22"/>
    <w:qFormat/>
    <w:uiPriority w:val="0"/>
    <w:rPr>
      <w:color w:val="333333"/>
      <w:sz w:val="9"/>
      <w:szCs w:val="9"/>
    </w:rPr>
  </w:style>
  <w:style w:type="character" w:customStyle="1" w:styleId="50">
    <w:name w:val="next2"/>
    <w:basedOn w:val="22"/>
    <w:qFormat/>
    <w:uiPriority w:val="0"/>
    <w:rPr>
      <w:rFonts w:hint="eastAsia" w:ascii="微软雅黑" w:hAnsi="微软雅黑" w:eastAsia="微软雅黑" w:cs="微软雅黑"/>
      <w:sz w:val="10"/>
      <w:szCs w:val="10"/>
    </w:rPr>
  </w:style>
  <w:style w:type="character" w:customStyle="1" w:styleId="51">
    <w:name w:val="next3"/>
    <w:basedOn w:val="22"/>
    <w:qFormat/>
    <w:uiPriority w:val="0"/>
    <w:rPr>
      <w:color w:val="888888"/>
    </w:rPr>
  </w:style>
  <w:style w:type="character" w:customStyle="1" w:styleId="52">
    <w:name w:val="prev"/>
    <w:basedOn w:val="22"/>
    <w:qFormat/>
    <w:uiPriority w:val="0"/>
    <w:rPr>
      <w:rFonts w:ascii="微软雅黑" w:hAnsi="微软雅黑" w:eastAsia="微软雅黑" w:cs="微软雅黑"/>
      <w:sz w:val="10"/>
      <w:szCs w:val="10"/>
    </w:rPr>
  </w:style>
  <w:style w:type="character" w:customStyle="1" w:styleId="53">
    <w:name w:val="prev1"/>
    <w:basedOn w:val="22"/>
    <w:qFormat/>
    <w:uiPriority w:val="0"/>
    <w:rPr>
      <w:color w:val="888888"/>
    </w:rPr>
  </w:style>
  <w:style w:type="character" w:customStyle="1" w:styleId="54">
    <w:name w:val="next"/>
    <w:basedOn w:val="22"/>
    <w:qFormat/>
    <w:uiPriority w:val="0"/>
    <w:rPr>
      <w:color w:val="888888"/>
    </w:rPr>
  </w:style>
  <w:style w:type="character" w:customStyle="1" w:styleId="55">
    <w:name w:val="next1"/>
    <w:basedOn w:val="22"/>
    <w:qFormat/>
    <w:uiPriority w:val="0"/>
    <w:rPr>
      <w:rFonts w:hint="eastAsia" w:ascii="微软雅黑" w:hAnsi="微软雅黑" w:eastAsia="微软雅黑" w:cs="微软雅黑"/>
      <w:sz w:val="10"/>
      <w:szCs w:val="10"/>
    </w:rPr>
  </w:style>
  <w:style w:type="character" w:customStyle="1" w:styleId="56">
    <w:name w:val="prev3"/>
    <w:basedOn w:val="22"/>
    <w:qFormat/>
    <w:uiPriority w:val="0"/>
    <w:rPr>
      <w:color w:val="888888"/>
    </w:rPr>
  </w:style>
  <w:style w:type="character" w:customStyle="1" w:styleId="57">
    <w:name w:val="fontborder"/>
    <w:basedOn w:val="22"/>
    <w:qFormat/>
    <w:uiPriority w:val="0"/>
    <w:rPr>
      <w:bdr w:val="single" w:color="000000" w:sz="2" w:space="0"/>
    </w:rPr>
  </w:style>
  <w:style w:type="character" w:customStyle="1" w:styleId="58">
    <w:name w:val="fontstrikethrough"/>
    <w:basedOn w:val="22"/>
    <w:qFormat/>
    <w:uiPriority w:val="0"/>
    <w:rPr>
      <w:strike/>
    </w:rPr>
  </w:style>
  <w:style w:type="character" w:customStyle="1" w:styleId="59">
    <w:name w:val="批注文字 字符"/>
    <w:basedOn w:val="22"/>
    <w:link w:val="7"/>
    <w:qFormat/>
    <w:uiPriority w:val="99"/>
    <w:rPr>
      <w:rFonts w:ascii="Calibri" w:hAnsi="Calibri"/>
      <w:kern w:val="2"/>
      <w:sz w:val="21"/>
      <w:szCs w:val="22"/>
    </w:rPr>
  </w:style>
  <w:style w:type="character" w:customStyle="1" w:styleId="60">
    <w:name w:val="批注主题 字符"/>
    <w:basedOn w:val="59"/>
    <w:link w:val="17"/>
    <w:qFormat/>
    <w:uiPriority w:val="0"/>
    <w:rPr>
      <w:rFonts w:ascii="Calibri" w:hAnsi="Calibri"/>
      <w:b/>
      <w:bCs/>
      <w:kern w:val="2"/>
      <w:sz w:val="21"/>
      <w:szCs w:val="22"/>
    </w:rPr>
  </w:style>
  <w:style w:type="character" w:customStyle="1" w:styleId="61">
    <w:name w:val="批注框文本 字符"/>
    <w:basedOn w:val="22"/>
    <w:link w:val="12"/>
    <w:qFormat/>
    <w:uiPriority w:val="0"/>
    <w:rPr>
      <w:rFonts w:ascii="Calibri" w:hAnsi="Calibri"/>
      <w:kern w:val="2"/>
      <w:sz w:val="18"/>
      <w:szCs w:val="18"/>
    </w:rPr>
  </w:style>
  <w:style w:type="character" w:customStyle="1" w:styleId="62">
    <w:name w:val="正文文本 Char"/>
    <w:basedOn w:val="22"/>
    <w:qFormat/>
    <w:uiPriority w:val="0"/>
    <w:rPr>
      <w:rFonts w:ascii="Calibri" w:hAnsi="Calibri"/>
      <w:kern w:val="2"/>
      <w:sz w:val="21"/>
      <w:szCs w:val="22"/>
    </w:rPr>
  </w:style>
  <w:style w:type="character" w:customStyle="1" w:styleId="63">
    <w:name w:val="正文文本 字符"/>
    <w:link w:val="8"/>
    <w:qFormat/>
    <w:uiPriority w:val="0"/>
    <w:rPr>
      <w:kern w:val="2"/>
      <w:sz w:val="21"/>
      <w:lang w:val="zh-CN" w:eastAsia="zh-CN"/>
    </w:rPr>
  </w:style>
  <w:style w:type="paragraph" w:customStyle="1" w:styleId="64">
    <w:name w:val="修订1"/>
    <w:hidden/>
    <w:unhideWhenUsed/>
    <w:qFormat/>
    <w:uiPriority w:val="99"/>
    <w:rPr>
      <w:rFonts w:ascii="Calibri" w:hAnsi="Calibri" w:eastAsia="宋体" w:cs="Times New Roman"/>
      <w:kern w:val="2"/>
      <w:sz w:val="21"/>
      <w:szCs w:val="22"/>
      <w:lang w:val="en-US" w:eastAsia="zh-CN" w:bidi="ar-SA"/>
    </w:rPr>
  </w:style>
  <w:style w:type="character" w:customStyle="1" w:styleId="65">
    <w:name w:val="正文文本缩进 字符"/>
    <w:basedOn w:val="22"/>
    <w:link w:val="9"/>
    <w:qFormat/>
    <w:uiPriority w:val="0"/>
    <w:rPr>
      <w:rFonts w:ascii="Calibri" w:hAnsi="Calibri"/>
      <w:kern w:val="2"/>
      <w:sz w:val="21"/>
      <w:szCs w:val="22"/>
    </w:rPr>
  </w:style>
  <w:style w:type="character" w:customStyle="1" w:styleId="66">
    <w:name w:val="正文文本首行缩进 2 字符"/>
    <w:basedOn w:val="65"/>
    <w:link w:val="19"/>
    <w:qFormat/>
    <w:uiPriority w:val="0"/>
    <w:rPr>
      <w:rFonts w:ascii="Calibri" w:hAnsi="Calibri"/>
      <w:kern w:val="2"/>
      <w:sz w:val="21"/>
      <w:szCs w:val="22"/>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文本首行缩进 字符"/>
    <w:basedOn w:val="63"/>
    <w:link w:val="18"/>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86">
    <w:name w:val="font41"/>
    <w:basedOn w:val="22"/>
    <w:qFormat/>
    <w:uiPriority w:val="0"/>
    <w:rPr>
      <w:rFonts w:hint="eastAsia" w:ascii="宋体" w:hAnsi="宋体" w:eastAsia="宋体" w:cs="宋体"/>
      <w:color w:val="000000"/>
      <w:sz w:val="18"/>
      <w:szCs w:val="18"/>
      <w:u w:val="none"/>
    </w:rPr>
  </w:style>
  <w:style w:type="character" w:customStyle="1" w:styleId="87">
    <w:name w:val="font31"/>
    <w:basedOn w:val="22"/>
    <w:qFormat/>
    <w:uiPriority w:val="0"/>
    <w:rPr>
      <w:rFonts w:hint="eastAsia" w:ascii="宋体" w:hAnsi="宋体" w:eastAsia="宋体" w:cs="宋体"/>
      <w:color w:val="000000"/>
      <w:sz w:val="18"/>
      <w:szCs w:val="18"/>
      <w:u w:val="none"/>
    </w:rPr>
  </w:style>
  <w:style w:type="character" w:customStyle="1" w:styleId="88">
    <w:name w:val="font11"/>
    <w:basedOn w:val="22"/>
    <w:qFormat/>
    <w:uiPriority w:val="0"/>
    <w:rPr>
      <w:rFonts w:hint="eastAsia" w:ascii="宋体" w:hAnsi="宋体" w:eastAsia="宋体" w:cs="宋体"/>
      <w:color w:val="000000"/>
      <w:sz w:val="18"/>
      <w:szCs w:val="18"/>
      <w:u w:val="none"/>
    </w:rPr>
  </w:style>
  <w:style w:type="paragraph" w:customStyle="1" w:styleId="8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customXml/item2.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09691-5210-4E80-8412-F0ADF71FDD7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34652</Words>
  <Characters>39439</Characters>
  <Lines>313</Lines>
  <Paragraphs>88</Paragraphs>
  <TotalTime>19</TotalTime>
  <ScaleCrop>false</ScaleCrop>
  <LinksUpToDate>false</LinksUpToDate>
  <CharactersWithSpaces>40677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2021-05-02T08:01:00Z</dcterms:created>
  <dc:creator>P</dc:creator>
  <cp:lastModifiedBy>李冀</cp:lastModifiedBy>
  <cp:lastPrinted>2022-05-09T06:19:00Z</cp:lastPrinted>
  <dcterms:modified xsi:type="dcterms:W3CDTF">2022-11-14T06:44:53Z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48BDC7A431EC43F7A1A64949D6438841</vt:lpwstr>
  </property>
</Properties>
</file>