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hint="default" w:eastAsia="仿宋_GB2312"/>
          <w:snapToGrid w:val="0"/>
          <w:color w:val="FF0000"/>
          <w:sz w:val="30"/>
          <w:lang w:val="en-US" w:eastAsia="zh-CN"/>
        </w:rPr>
      </w:pPr>
      <w:r>
        <w:rPr>
          <w:rFonts w:hint="eastAsia" w:eastAsia="仿宋_GB2312"/>
          <w:snapToGrid w:val="0"/>
          <w:sz w:val="30"/>
        </w:rPr>
        <w:t>项目编号：WYGZ202</w:t>
      </w:r>
      <w:r>
        <w:rPr>
          <w:rFonts w:hint="eastAsia" w:eastAsia="仿宋_GB2312"/>
          <w:snapToGrid w:val="0"/>
          <w:sz w:val="30"/>
          <w:lang w:val="en-US" w:eastAsia="zh-CN"/>
        </w:rPr>
        <w:t>4052</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5"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pPr>
        <w:jc w:val="center"/>
        <w:rPr>
          <w:rFonts w:ascii="华文中宋" w:hAnsi="华文中宋" w:eastAsia="华文中宋"/>
          <w:b/>
          <w:bCs/>
          <w:w w:val="90"/>
          <w:sz w:val="21"/>
          <w:szCs w:val="21"/>
        </w:rPr>
      </w:pPr>
    </w:p>
    <w:p>
      <w:pPr>
        <w:jc w:val="center"/>
        <w:rPr>
          <w:rFonts w:hint="eastAsia" w:asciiTheme="majorEastAsia" w:hAnsiTheme="majorEastAsia" w:eastAsiaTheme="majorEastAsia" w:cstheme="majorEastAsia"/>
          <w:b/>
          <w:bCs/>
          <w:w w:val="90"/>
          <w:sz w:val="48"/>
          <w:szCs w:val="48"/>
          <w:lang w:val="en-US" w:eastAsia="zh-CN"/>
        </w:rPr>
      </w:pPr>
      <w:r>
        <w:rPr>
          <w:rFonts w:hint="eastAsia" w:asciiTheme="majorEastAsia" w:hAnsiTheme="majorEastAsia" w:eastAsiaTheme="majorEastAsia" w:cstheme="majorEastAsia"/>
          <w:b/>
          <w:bCs/>
          <w:w w:val="90"/>
          <w:sz w:val="48"/>
          <w:szCs w:val="48"/>
          <w:lang w:val="en-US" w:eastAsia="zh-CN"/>
        </w:rPr>
        <w:t>智慧校园应用系统软件维保服务项目</w:t>
      </w: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磋商文件</w:t>
      </w:r>
    </w:p>
    <w:p>
      <w:pPr>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5</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23"/>
        <w:rPr>
          <w:rFonts w:hint="eastAsia"/>
        </w:rPr>
      </w:pPr>
    </w:p>
    <w:p>
      <w:pPr>
        <w:pStyle w:val="23"/>
        <w:rPr>
          <w:rFonts w:hint="eastAsia"/>
        </w:rPr>
      </w:pPr>
    </w:p>
    <w:p>
      <w:pPr>
        <w:pStyle w:val="23"/>
      </w:pPr>
      <w:r>
        <w:rPr>
          <w:rFonts w:hint="eastAsia"/>
        </w:rPr>
        <w:t>目  录</w:t>
      </w:r>
    </w:p>
    <w:p>
      <w:pPr>
        <w:pStyle w:val="23"/>
      </w:pPr>
    </w:p>
    <w:sdt>
      <w:sdtPr>
        <w:rPr>
          <w:rFonts w:ascii="Times New Roman" w:hAnsi="Times New Roman" w:eastAsia="宋体" w:cs="Times New Roman"/>
          <w:b w:val="0"/>
          <w:bCs w:val="0"/>
          <w:color w:val="auto"/>
          <w:kern w:val="2"/>
          <w:szCs w:val="20"/>
          <w:lang w:val="zh-CN"/>
        </w:rPr>
        <w:id w:val="3735165"/>
        <w:docPartObj>
          <w:docPartGallery w:val="Table of Contents"/>
          <w:docPartUnique/>
        </w:docPartObj>
      </w:sdtPr>
      <w:sdtEndPr>
        <w:rPr>
          <w:rFonts w:ascii="Times New Roman" w:hAnsi="Times New Roman" w:eastAsia="宋体" w:cs="Times New Roman"/>
          <w:b w:val="0"/>
          <w:bCs w:val="0"/>
          <w:color w:val="auto"/>
          <w:kern w:val="2"/>
          <w:szCs w:val="20"/>
          <w:lang w:val="en-US"/>
        </w:rPr>
      </w:sdtEndPr>
      <w:sdtContent>
        <w:p>
          <w:pPr>
            <w:pStyle w:val="65"/>
          </w:pPr>
        </w:p>
        <w:p>
          <w:pPr>
            <w:pStyle w:val="23"/>
            <w:jc w:val="both"/>
            <w:rPr>
              <w:rFonts w:asciiTheme="minorHAnsi" w:hAnsiTheme="minorHAnsi" w:eastAsiaTheme="minorEastAsia" w:cstheme="minorBidi"/>
              <w:b w:val="0"/>
              <w:sz w:val="28"/>
              <w:szCs w:val="28"/>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"_Toc516580569" </w:instrText>
          </w:r>
          <w:r>
            <w:fldChar w:fldCharType="separate"/>
          </w:r>
          <w:r>
            <w:rPr>
              <w:rStyle w:val="35"/>
              <w:rFonts w:hint="eastAsia"/>
              <w:b w:val="0"/>
              <w:sz w:val="28"/>
              <w:szCs w:val="28"/>
            </w:rPr>
            <w:t>第一章</w:t>
          </w:r>
          <w:r>
            <w:rPr>
              <w:rStyle w:val="35"/>
              <w:b w:val="0"/>
              <w:sz w:val="28"/>
              <w:szCs w:val="28"/>
            </w:rPr>
            <w:t xml:space="preserve">  </w:t>
          </w:r>
          <w:r>
            <w:rPr>
              <w:rStyle w:val="35"/>
              <w:rFonts w:hint="eastAsia"/>
              <w:b w:val="0"/>
              <w:sz w:val="28"/>
              <w:szCs w:val="28"/>
            </w:rPr>
            <w:t>磋商公告</w:t>
          </w:r>
          <w:r>
            <w:rPr>
              <w:b w:val="0"/>
              <w:sz w:val="28"/>
              <w:szCs w:val="28"/>
            </w:rPr>
            <w:tab/>
          </w:r>
          <w:r>
            <w:rPr>
              <w:b w:val="0"/>
              <w:sz w:val="28"/>
              <w:szCs w:val="28"/>
            </w:rPr>
            <w:fldChar w:fldCharType="begin"/>
          </w:r>
          <w:r>
            <w:rPr>
              <w:b w:val="0"/>
              <w:sz w:val="28"/>
              <w:szCs w:val="28"/>
            </w:rPr>
            <w:instrText xml:space="preserve"> PAGEREF _Toc516580569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"_Toc516580570" </w:instrText>
          </w:r>
          <w:r>
            <w:fldChar w:fldCharType="separate"/>
          </w:r>
          <w:r>
            <w:rPr>
              <w:rStyle w:val="35"/>
              <w:rFonts w:hint="eastAsia"/>
              <w:b w:val="0"/>
              <w:sz w:val="28"/>
              <w:szCs w:val="28"/>
            </w:rPr>
            <w:t>第二章</w:t>
          </w:r>
          <w:r>
            <w:rPr>
              <w:rStyle w:val="35"/>
              <w:b w:val="0"/>
              <w:sz w:val="28"/>
              <w:szCs w:val="28"/>
            </w:rPr>
            <w:t xml:space="preserve">  </w:t>
          </w:r>
          <w:r>
            <w:rPr>
              <w:rStyle w:val="35"/>
              <w:rFonts w:hint="eastAsia"/>
              <w:b w:val="0"/>
              <w:sz w:val="28"/>
              <w:szCs w:val="28"/>
            </w:rPr>
            <w:t>磋商须知前附表</w:t>
          </w:r>
          <w:r>
            <w:rPr>
              <w:b w:val="0"/>
              <w:sz w:val="28"/>
              <w:szCs w:val="28"/>
            </w:rPr>
            <w:tab/>
          </w:r>
          <w:r>
            <w:rPr>
              <w:b w:val="0"/>
              <w:sz w:val="28"/>
              <w:szCs w:val="28"/>
            </w:rPr>
            <w:fldChar w:fldCharType="begin"/>
          </w:r>
          <w:r>
            <w:rPr>
              <w:b w:val="0"/>
              <w:sz w:val="28"/>
              <w:szCs w:val="28"/>
            </w:rPr>
            <w:instrText xml:space="preserve"> PAGEREF _Toc516580570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"_Toc516580571" </w:instrText>
          </w:r>
          <w:r>
            <w:fldChar w:fldCharType="separate"/>
          </w:r>
          <w:r>
            <w:rPr>
              <w:rStyle w:val="35"/>
              <w:rFonts w:hint="eastAsia"/>
              <w:b w:val="0"/>
              <w:sz w:val="28"/>
              <w:szCs w:val="28"/>
            </w:rPr>
            <w:t>第三章</w:t>
          </w:r>
          <w:r>
            <w:rPr>
              <w:rStyle w:val="35"/>
              <w:b w:val="0"/>
              <w:sz w:val="28"/>
              <w:szCs w:val="28"/>
            </w:rPr>
            <w:t xml:space="preserve">  </w:t>
          </w:r>
          <w:r>
            <w:rPr>
              <w:rStyle w:val="35"/>
              <w:rFonts w:hint="eastAsia"/>
              <w:b w:val="0"/>
              <w:sz w:val="28"/>
              <w:szCs w:val="28"/>
            </w:rPr>
            <w:t>磋商须知</w:t>
          </w:r>
          <w:r>
            <w:rPr>
              <w:b w:val="0"/>
              <w:sz w:val="28"/>
              <w:szCs w:val="28"/>
            </w:rPr>
            <w:tab/>
          </w:r>
          <w:r>
            <w:rPr>
              <w:b w:val="0"/>
              <w:sz w:val="28"/>
              <w:szCs w:val="28"/>
            </w:rPr>
            <w:fldChar w:fldCharType="begin"/>
          </w:r>
          <w:r>
            <w:rPr>
              <w:b w:val="0"/>
              <w:sz w:val="28"/>
              <w:szCs w:val="28"/>
            </w:rPr>
            <w:instrText xml:space="preserve"> PAGEREF _Toc516580571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"_Toc516580572" </w:instrText>
          </w:r>
          <w:r>
            <w:fldChar w:fldCharType="separate"/>
          </w:r>
          <w:r>
            <w:rPr>
              <w:rStyle w:val="35"/>
              <w:rFonts w:hint="eastAsia"/>
              <w:b w:val="0"/>
              <w:sz w:val="28"/>
              <w:szCs w:val="28"/>
            </w:rPr>
            <w:t>第四章</w:t>
          </w:r>
          <w:r>
            <w:rPr>
              <w:rStyle w:val="35"/>
              <w:b w:val="0"/>
              <w:sz w:val="28"/>
              <w:szCs w:val="28"/>
            </w:rPr>
            <w:t xml:space="preserve">  </w:t>
          </w:r>
          <w:r>
            <w:rPr>
              <w:rStyle w:val="35"/>
              <w:rFonts w:hint="eastAsia"/>
              <w:b w:val="0"/>
              <w:sz w:val="28"/>
              <w:szCs w:val="28"/>
            </w:rPr>
            <w:t>合同主要条款</w:t>
          </w:r>
          <w:r>
            <w:rPr>
              <w:b w:val="0"/>
              <w:sz w:val="28"/>
              <w:szCs w:val="28"/>
            </w:rPr>
            <w:tab/>
          </w:r>
          <w:r>
            <w:rPr>
              <w:b w:val="0"/>
              <w:sz w:val="28"/>
              <w:szCs w:val="28"/>
            </w:rPr>
            <w:fldChar w:fldCharType="begin"/>
          </w:r>
          <w:r>
            <w:rPr>
              <w:b w:val="0"/>
              <w:sz w:val="28"/>
              <w:szCs w:val="28"/>
            </w:rPr>
            <w:instrText xml:space="preserve"> PAGEREF _Toc516580572 \h </w:instrText>
          </w:r>
          <w:r>
            <w:rPr>
              <w:b w:val="0"/>
              <w:sz w:val="28"/>
              <w:szCs w:val="28"/>
            </w:rPr>
            <w:fldChar w:fldCharType="separate"/>
          </w:r>
          <w:r>
            <w:rPr>
              <w:b w:val="0"/>
              <w:sz w:val="28"/>
              <w:szCs w:val="28"/>
            </w:rPr>
            <w:t>12</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"_Toc516580573" </w:instrText>
          </w:r>
          <w:r>
            <w:fldChar w:fldCharType="separate"/>
          </w:r>
          <w:r>
            <w:rPr>
              <w:rStyle w:val="35"/>
              <w:rFonts w:hint="eastAsia"/>
              <w:b w:val="0"/>
              <w:sz w:val="28"/>
              <w:szCs w:val="28"/>
            </w:rPr>
            <w:t>第五章</w:t>
          </w:r>
          <w:r>
            <w:rPr>
              <w:rStyle w:val="35"/>
              <w:b w:val="0"/>
              <w:sz w:val="28"/>
              <w:szCs w:val="28"/>
            </w:rPr>
            <w:t xml:space="preserve">  </w:t>
          </w:r>
          <w:r>
            <w:rPr>
              <w:rStyle w:val="35"/>
              <w:rFonts w:hint="eastAsia"/>
              <w:b w:val="0"/>
              <w:sz w:val="28"/>
              <w:szCs w:val="28"/>
            </w:rPr>
            <w:t>项目需求</w:t>
          </w:r>
          <w:r>
            <w:rPr>
              <w:b w:val="0"/>
              <w:sz w:val="28"/>
              <w:szCs w:val="28"/>
            </w:rPr>
            <w:tab/>
          </w:r>
          <w:r>
            <w:rPr>
              <w:b w:val="0"/>
              <w:sz w:val="28"/>
              <w:szCs w:val="28"/>
            </w:rPr>
            <w:fldChar w:fldCharType="begin"/>
          </w:r>
          <w:r>
            <w:rPr>
              <w:b w:val="0"/>
              <w:sz w:val="28"/>
              <w:szCs w:val="28"/>
            </w:rPr>
            <w:instrText xml:space="preserve"> PAGEREF _Toc516580573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23"/>
            <w:rPr>
              <w:rFonts w:asciiTheme="minorHAnsi" w:hAnsiTheme="minorHAnsi" w:cstheme="minorBidi"/>
              <w:b w:val="0"/>
              <w:sz w:val="28"/>
              <w:szCs w:val="28"/>
            </w:rPr>
          </w:pPr>
          <w:r>
            <w:fldChar w:fldCharType="begin"/>
          </w:r>
          <w:r>
            <w:instrText xml:space="preserve"> HYPERLINK \l "_Toc516580574" </w:instrText>
          </w:r>
          <w:r>
            <w:fldChar w:fldCharType="separate"/>
          </w:r>
          <w:r>
            <w:rPr>
              <w:rStyle w:val="35"/>
              <w:rFonts w:hint="eastAsia"/>
              <w:b w:val="0"/>
              <w:sz w:val="28"/>
              <w:szCs w:val="28"/>
            </w:rPr>
            <w:t>第六章</w:t>
          </w:r>
          <w:r>
            <w:rPr>
              <w:rStyle w:val="35"/>
              <w:b w:val="0"/>
              <w:sz w:val="28"/>
              <w:szCs w:val="28"/>
            </w:rPr>
            <w:t xml:space="preserve">  </w:t>
          </w:r>
          <w:r>
            <w:rPr>
              <w:rStyle w:val="35"/>
              <w:rFonts w:hint="eastAsia"/>
              <w:b w:val="0"/>
              <w:sz w:val="28"/>
              <w:szCs w:val="28"/>
            </w:rPr>
            <w:t>评分办法和评分细则</w:t>
          </w:r>
          <w:r>
            <w:rPr>
              <w:b w:val="0"/>
              <w:sz w:val="28"/>
              <w:szCs w:val="28"/>
            </w:rPr>
            <w:tab/>
          </w:r>
          <w:r>
            <w:rPr>
              <w:rFonts w:hint="eastAsia"/>
              <w:b w:val="0"/>
              <w:sz w:val="28"/>
              <w:szCs w:val="28"/>
            </w:rPr>
            <w:t>2</w:t>
          </w:r>
          <w:r>
            <w:rPr>
              <w:rFonts w:hint="eastAsia"/>
              <w:b w:val="0"/>
              <w:sz w:val="28"/>
              <w:szCs w:val="28"/>
            </w:rPr>
            <w:fldChar w:fldCharType="end"/>
          </w:r>
          <w:r>
            <w:rPr>
              <w:rFonts w:hint="eastAsia"/>
              <w:b w:val="0"/>
              <w:sz w:val="28"/>
              <w:szCs w:val="28"/>
            </w:rPr>
            <w:t>0</w:t>
          </w:r>
        </w:p>
        <w:p>
          <w:pPr>
            <w:pStyle w:val="23"/>
            <w:jc w:val="both"/>
            <w:rPr>
              <w:rFonts w:asciiTheme="minorHAnsi" w:hAnsiTheme="minorHAnsi" w:eastAsiaTheme="minorEastAsia" w:cstheme="minorBidi"/>
              <w:b w:val="0"/>
              <w:sz w:val="21"/>
              <w:szCs w:val="22"/>
            </w:rPr>
          </w:pPr>
          <w:r>
            <w:fldChar w:fldCharType="begin"/>
          </w:r>
          <w:r>
            <w:instrText xml:space="preserve"> HYPERLINK \l "_Toc516580575" </w:instrText>
          </w:r>
          <w:r>
            <w:fldChar w:fldCharType="separate"/>
          </w:r>
          <w:r>
            <w:rPr>
              <w:rStyle w:val="35"/>
              <w:rFonts w:hint="eastAsia"/>
              <w:b w:val="0"/>
              <w:sz w:val="28"/>
              <w:szCs w:val="28"/>
            </w:rPr>
            <w:t>第七章</w:t>
          </w:r>
          <w:r>
            <w:rPr>
              <w:rStyle w:val="35"/>
              <w:b w:val="0"/>
              <w:sz w:val="28"/>
              <w:szCs w:val="28"/>
            </w:rPr>
            <w:t xml:space="preserve">  </w:t>
          </w:r>
          <w:r>
            <w:rPr>
              <w:rStyle w:val="35"/>
              <w:rFonts w:hint="eastAsia"/>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_Toc516580575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r>
            <w:rPr>
              <w:rFonts w:hint="eastAsia" w:ascii="仿宋_GB2312" w:eastAsia="仿宋_GB2312"/>
              <w:sz w:val="32"/>
              <w:szCs w:val="32"/>
            </w:rPr>
            <w:fldChar w:fldCharType="end"/>
          </w:r>
        </w:p>
      </w:sdtContent>
    </w:sdt>
    <w:p>
      <w:pPr>
        <w:adjustRightInd w:val="0"/>
        <w:snapToGrid w:val="0"/>
        <w:jc w:val="center"/>
        <w:rPr>
          <w:rFonts w:ascii="仿宋_GB2312" w:hAnsi="仿宋_GB2312" w:eastAsia="仿宋_GB2312" w:cs="仿宋_GB2312"/>
          <w:b/>
          <w:sz w:val="30"/>
          <w:szCs w:val="30"/>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2"/>
        <w:snapToGrid w:val="0"/>
        <w:spacing w:before="100" w:beforeAutospacing="1" w:after="100" w:afterAutospacing="1" w:line="500" w:lineRule="atLeast"/>
        <w:ind w:left="947" w:firstLine="0"/>
        <w:jc w:val="center"/>
        <w:rPr>
          <w:rFonts w:hint="eastAsia" w:ascii="宋体" w:hAnsi="宋体" w:eastAsia="宋体" w:cs="宋体"/>
          <w:szCs w:val="21"/>
        </w:rPr>
      </w:pPr>
      <w:bookmarkStart w:id="0" w:name="_Toc479170299"/>
      <w:bookmarkStart w:id="1" w:name="_Toc516580569"/>
      <w:r>
        <w:rPr>
          <w:rFonts w:hint="eastAsia" w:ascii="宋体" w:hAnsi="宋体" w:eastAsia="宋体" w:cs="宋体"/>
          <w:szCs w:val="21"/>
        </w:rPr>
        <w:t>第一章  磋商公告</w:t>
      </w:r>
      <w:bookmarkEnd w:id="0"/>
      <w:bookmarkEnd w:id="1"/>
    </w:p>
    <w:p>
      <w:pPr>
        <w:adjustRightInd w:val="0"/>
        <w:snapToGrid w:val="0"/>
        <w:spacing w:line="500" w:lineRule="atLeast"/>
        <w:ind w:firstLine="529" w:firstLineChars="189"/>
        <w:rPr>
          <w:rFonts w:ascii="仿宋_GB2312" w:eastAsia="仿宋_GB2312"/>
          <w:szCs w:val="28"/>
        </w:rPr>
      </w:pPr>
      <w:bookmarkStart w:id="2" w:name="OLE_LINK22"/>
      <w:bookmarkStart w:id="3" w:name="OLE_LINK21"/>
      <w:r>
        <w:rPr>
          <w:rFonts w:hint="eastAsia" w:ascii="仿宋_GB2312" w:eastAsia="仿宋_GB2312"/>
          <w:szCs w:val="28"/>
          <w:lang w:eastAsia="zh-CN"/>
        </w:rPr>
        <w:t>皖南医学院智慧校园应用系统软件维保服务项目</w:t>
      </w:r>
      <w:r>
        <w:rPr>
          <w:rFonts w:hint="eastAsia" w:ascii="仿宋_GB2312" w:eastAsia="仿宋_GB2312"/>
          <w:szCs w:val="28"/>
        </w:rPr>
        <w:t>采取磋商的方式进行采购，现邀请符合资质条件的供应商参加投标和磋商。具体情况如下：</w:t>
      </w:r>
    </w:p>
    <w:p>
      <w:pPr>
        <w:adjustRightInd w:val="0"/>
        <w:snapToGrid w:val="0"/>
        <w:spacing w:line="500" w:lineRule="atLeast"/>
        <w:ind w:firstLine="534" w:firstLineChars="190"/>
        <w:rPr>
          <w:rFonts w:ascii="仿宋_GB2312" w:eastAsia="仿宋_GB2312"/>
          <w:szCs w:val="28"/>
        </w:rPr>
      </w:pPr>
      <w:r>
        <w:rPr>
          <w:rFonts w:hint="eastAsia" w:ascii="仿宋_GB2312" w:eastAsia="仿宋_GB2312"/>
          <w:b/>
          <w:szCs w:val="28"/>
        </w:rPr>
        <w:t>一、项目概况</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（一）项目名称：</w:t>
      </w:r>
      <w:r>
        <w:rPr>
          <w:rFonts w:hint="eastAsia" w:ascii="仿宋_GB2312" w:eastAsia="仿宋_GB2312"/>
          <w:szCs w:val="28"/>
          <w:lang w:eastAsia="zh-CN"/>
        </w:rPr>
        <w:t>皖南医学院智慧校园应用系统软件维保服务项目</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（二）项目编号：WYGZ202</w:t>
      </w:r>
      <w:r>
        <w:rPr>
          <w:rFonts w:hint="eastAsia" w:ascii="仿宋_GB2312" w:eastAsia="仿宋_GB2312"/>
          <w:szCs w:val="28"/>
          <w:lang w:val="en-US" w:eastAsia="zh-CN"/>
        </w:rPr>
        <w:t>4052</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（三）项目预算：</w:t>
      </w:r>
      <w:r>
        <w:rPr>
          <w:rFonts w:hint="eastAsia" w:ascii="仿宋_GB2312" w:eastAsia="仿宋_GB2312"/>
          <w:szCs w:val="28"/>
          <w:lang w:val="en-US" w:eastAsia="zh-CN"/>
        </w:rPr>
        <w:t>29.8万元</w:t>
      </w:r>
      <w:r>
        <w:rPr>
          <w:rFonts w:hint="eastAsia" w:ascii="仿宋_GB2312" w:eastAsia="仿宋_GB2312"/>
          <w:szCs w:val="28"/>
        </w:rPr>
        <w:t>；</w:t>
      </w:r>
    </w:p>
    <w:p>
      <w:pPr>
        <w:adjustRightInd w:val="0"/>
        <w:snapToGrid w:val="0"/>
        <w:spacing w:line="500" w:lineRule="atLeast"/>
        <w:ind w:left="1428" w:leftChars="200" w:hanging="868" w:hangingChars="310"/>
        <w:rPr>
          <w:rFonts w:ascii="仿宋_GB2312" w:eastAsia="仿宋_GB2312"/>
          <w:sz w:val="30"/>
          <w:szCs w:val="30"/>
        </w:rPr>
      </w:pPr>
      <w:r>
        <w:rPr>
          <w:rFonts w:hint="eastAsia" w:ascii="仿宋_GB2312" w:eastAsia="仿宋_GB2312"/>
          <w:szCs w:val="28"/>
        </w:rPr>
        <w:t>（四）项目内容：（详见磋商文件）。</w:t>
      </w:r>
    </w:p>
    <w:p>
      <w:pPr>
        <w:adjustRightInd w:val="0"/>
        <w:snapToGrid w:val="0"/>
        <w:spacing w:line="500" w:lineRule="atLeast"/>
        <w:ind w:firstLine="562" w:firstLineChars="200"/>
        <w:rPr>
          <w:rFonts w:ascii="仿宋_GB2312" w:eastAsia="仿宋_GB2312"/>
          <w:szCs w:val="28"/>
        </w:rPr>
      </w:pPr>
      <w:r>
        <w:rPr>
          <w:rFonts w:hint="eastAsia" w:ascii="仿宋_GB2312" w:eastAsia="仿宋_GB2312"/>
          <w:b/>
          <w:szCs w:val="28"/>
        </w:rPr>
        <w:t>二、投标资质</w:t>
      </w:r>
      <w:r>
        <w:rPr>
          <w:rFonts w:hint="eastAsia" w:ascii="仿宋_GB2312" w:eastAsia="仿宋_GB2312"/>
          <w:szCs w:val="28"/>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1.具有独立承担民事责任的能力；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2.具有良好的商业信誉和健全的财务会计制度；</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3.具有履行合同所必需的设备和专业技术能力;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4.本项目不接受联合体投标；</w:t>
      </w:r>
    </w:p>
    <w:p>
      <w:pPr>
        <w:adjustRightInd w:val="0"/>
        <w:snapToGrid w:val="0"/>
        <w:spacing w:line="500" w:lineRule="atLeast"/>
        <w:ind w:firstLine="562" w:firstLineChars="200"/>
        <w:rPr>
          <w:rFonts w:ascii="仿宋_GB2312" w:hAnsi="宋体" w:eastAsia="仿宋_GB2312" w:cs="宋体"/>
          <w:b/>
          <w:szCs w:val="28"/>
          <w:lang w:val="zh-CN"/>
        </w:rPr>
      </w:pPr>
      <w:r>
        <w:rPr>
          <w:rFonts w:hint="eastAsia" w:ascii="仿宋_GB2312" w:hAnsi="宋体" w:eastAsia="仿宋_GB2312" w:cs="宋体"/>
          <w:b/>
          <w:szCs w:val="28"/>
        </w:rPr>
        <w:t>三</w:t>
      </w:r>
      <w:r>
        <w:rPr>
          <w:rFonts w:hint="eastAsia" w:ascii="仿宋_GB2312" w:hAnsi="宋体" w:eastAsia="仿宋_GB2312" w:cs="宋体"/>
          <w:b/>
          <w:szCs w:val="28"/>
          <w:lang w:val="zh-CN"/>
        </w:rPr>
        <w:t>、</w:t>
      </w:r>
      <w:r>
        <w:rPr>
          <w:rFonts w:hint="eastAsia" w:ascii="仿宋_GB2312" w:hAnsi="宋体" w:eastAsia="仿宋_GB2312" w:cs="宋体"/>
          <w:b/>
          <w:szCs w:val="28"/>
          <w:lang w:val="en-US" w:eastAsia="zh-CN"/>
        </w:rPr>
        <w:t>文件获取</w:t>
      </w:r>
      <w:r>
        <w:rPr>
          <w:rFonts w:hint="eastAsia" w:ascii="仿宋_GB2312" w:hAnsi="宋体" w:eastAsia="仿宋_GB2312" w:cs="宋体"/>
          <w:b/>
          <w:szCs w:val="28"/>
          <w:lang w:val="zh-CN"/>
        </w:rPr>
        <w:t>时间及方式：</w:t>
      </w:r>
    </w:p>
    <w:p>
      <w:pPr>
        <w:adjustRightInd w:val="0"/>
        <w:snapToGrid w:val="0"/>
        <w:spacing w:line="500" w:lineRule="atLeast"/>
        <w:ind w:firstLine="529" w:firstLineChars="189"/>
        <w:rPr>
          <w:rFonts w:ascii="仿宋_GB2312" w:hAnsi="宋体" w:eastAsia="仿宋_GB2312" w:cs="宋体"/>
          <w:szCs w:val="28"/>
          <w:lang w:val="zh-CN"/>
        </w:rPr>
      </w:pPr>
      <w:r>
        <w:rPr>
          <w:rFonts w:hint="eastAsia" w:ascii="仿宋_GB2312" w:hAnsi="宋体" w:eastAsia="仿宋_GB2312" w:cs="宋体"/>
          <w:szCs w:val="28"/>
          <w:lang w:val="zh-CN"/>
        </w:rPr>
        <w:t>（一）</w:t>
      </w:r>
      <w:r>
        <w:rPr>
          <w:rFonts w:hint="eastAsia" w:ascii="仿宋_GB2312" w:hAnsi="宋体" w:eastAsia="仿宋_GB2312" w:cs="宋体"/>
          <w:szCs w:val="28"/>
          <w:lang w:val="en-US" w:eastAsia="zh-CN"/>
        </w:rPr>
        <w:t>文件获取</w:t>
      </w:r>
      <w:r>
        <w:rPr>
          <w:rFonts w:hint="eastAsia" w:ascii="仿宋_GB2312" w:hAnsi="宋体" w:eastAsia="仿宋_GB2312" w:cs="宋体"/>
          <w:szCs w:val="28"/>
          <w:lang w:val="zh-CN"/>
        </w:rPr>
        <w:t>时间：202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5</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6</w:t>
      </w:r>
      <w:r>
        <w:rPr>
          <w:rFonts w:hint="eastAsia" w:ascii="仿宋_GB2312" w:hAnsi="宋体" w:eastAsia="仿宋_GB2312" w:cs="宋体"/>
          <w:szCs w:val="28"/>
          <w:lang w:val="zh-CN"/>
        </w:rPr>
        <w:t>日9：00-202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5</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17</w:t>
      </w:r>
      <w:r>
        <w:rPr>
          <w:rFonts w:hint="eastAsia" w:ascii="仿宋_GB2312" w:hAnsi="宋体" w:eastAsia="仿宋_GB2312" w:cs="宋体"/>
          <w:szCs w:val="28"/>
          <w:lang w:val="zh-CN"/>
        </w:rPr>
        <w:t>日</w:t>
      </w:r>
      <w:r>
        <w:rPr>
          <w:rFonts w:hint="eastAsia" w:ascii="仿宋_GB2312" w:hAnsi="宋体" w:eastAsia="仿宋_GB2312" w:cs="宋体"/>
          <w:szCs w:val="28"/>
          <w:lang w:val="en-US" w:eastAsia="zh-CN"/>
        </w:rPr>
        <w:t>上午9</w:t>
      </w:r>
      <w:r>
        <w:rPr>
          <w:rFonts w:hint="eastAsia" w:ascii="仿宋_GB2312" w:hAnsi="宋体" w:eastAsia="仿宋_GB2312" w:cs="宋体"/>
          <w:szCs w:val="28"/>
          <w:lang w:val="zh-CN"/>
        </w:rPr>
        <w:t>:00；</w:t>
      </w:r>
    </w:p>
    <w:p>
      <w:pPr>
        <w:widowControl/>
        <w:adjustRightInd w:val="0"/>
        <w:snapToGrid w:val="0"/>
        <w:spacing w:line="500" w:lineRule="atLeast"/>
        <w:ind w:firstLine="560" w:firstLineChars="200"/>
        <w:rPr>
          <w:rFonts w:ascii="仿宋_GB2312" w:hAnsi="仿宋" w:eastAsia="仿宋_GB2312"/>
          <w:b/>
          <w:szCs w:val="28"/>
        </w:rPr>
      </w:pPr>
      <w:r>
        <w:rPr>
          <w:rFonts w:hint="eastAsia" w:ascii="仿宋_GB2312" w:hAnsi="宋体" w:eastAsia="仿宋_GB2312" w:cs="宋体"/>
          <w:szCs w:val="28"/>
          <w:lang w:val="zh-CN"/>
        </w:rPr>
        <w:t>（二）文件获取方式：皖南医学院智慧校园应用系统软件维保服务项目</w:t>
      </w:r>
      <w:r>
        <w:rPr>
          <w:rFonts w:hint="eastAsia" w:ascii="仿宋_GB2312" w:hAnsi="宋体" w:eastAsia="仿宋_GB2312" w:cs="宋体"/>
          <w:szCs w:val="28"/>
          <w:lang w:val="en-US" w:eastAsia="zh-CN"/>
        </w:rPr>
        <w:t>已在皖南医学院官网</w:t>
      </w:r>
      <w:r>
        <w:rPr>
          <w:rFonts w:hint="eastAsia" w:ascii="仿宋_GB2312" w:hAnsi="宋体" w:eastAsia="仿宋_GB2312" w:cs="宋体"/>
          <w:szCs w:val="28"/>
          <w:lang w:val="zh-CN"/>
        </w:rPr>
        <w:t>发布，请潜在供应商在皖南医学院</w:t>
      </w:r>
      <w:r>
        <w:rPr>
          <w:rFonts w:hint="eastAsia" w:ascii="仿宋_GB2312" w:hAnsi="宋体" w:eastAsia="仿宋_GB2312" w:cs="宋体"/>
          <w:szCs w:val="28"/>
          <w:lang w:val="en-US" w:eastAsia="zh-CN"/>
        </w:rPr>
        <w:t>官</w:t>
      </w:r>
      <w:r>
        <w:rPr>
          <w:rFonts w:hint="eastAsia" w:ascii="仿宋_GB2312" w:hAnsi="宋体" w:eastAsia="仿宋_GB2312" w:cs="宋体"/>
          <w:szCs w:val="28"/>
          <w:lang w:val="zh-CN"/>
        </w:rPr>
        <w:t>网上</w:t>
      </w:r>
      <w:r>
        <w:rPr>
          <w:rFonts w:hint="eastAsia" w:ascii="仿宋_GB2312" w:hAnsi="宋体" w:eastAsia="仿宋_GB2312" w:cs="宋体"/>
          <w:szCs w:val="28"/>
          <w:lang w:val="en-US" w:eastAsia="zh-CN"/>
        </w:rPr>
        <w:t>获取招标文件</w:t>
      </w:r>
      <w:r>
        <w:rPr>
          <w:rFonts w:hint="eastAsia" w:ascii="仿宋_GB2312" w:hAnsi="宋体" w:eastAsia="仿宋_GB2312" w:cs="宋体"/>
          <w:szCs w:val="28"/>
          <w:lang w:val="zh-CN"/>
        </w:rPr>
        <w:t>。</w:t>
      </w:r>
    </w:p>
    <w:p>
      <w:pPr>
        <w:widowControl/>
        <w:adjustRightInd w:val="0"/>
        <w:snapToGrid w:val="0"/>
        <w:spacing w:line="500" w:lineRule="atLeast"/>
        <w:ind w:firstLine="560" w:firstLineChars="200"/>
        <w:rPr>
          <w:rFonts w:ascii="仿宋_GB2312" w:hAnsi="仿宋" w:eastAsia="仿宋_GB2312"/>
          <w:szCs w:val="28"/>
        </w:rPr>
      </w:pPr>
      <w:r>
        <w:rPr>
          <w:rFonts w:hint="eastAsia" w:ascii="仿宋_GB2312" w:hAnsi="仿宋" w:eastAsia="仿宋_GB2312"/>
          <w:szCs w:val="28"/>
        </w:rPr>
        <w:t>（</w:t>
      </w:r>
      <w:r>
        <w:rPr>
          <w:rFonts w:hint="eastAsia" w:ascii="仿宋_GB2312" w:hAnsi="仿宋" w:eastAsia="仿宋_GB2312"/>
          <w:kern w:val="0"/>
          <w:szCs w:val="28"/>
        </w:rPr>
        <w:t>三）磋商文件获取：</w:t>
      </w:r>
      <w:r>
        <w:rPr>
          <w:rFonts w:hint="eastAsia" w:ascii="仿宋_GB2312" w:eastAsia="仿宋_GB2312"/>
          <w:color w:val="333333"/>
          <w:szCs w:val="28"/>
        </w:rPr>
        <w:t>网上自行下载</w:t>
      </w:r>
      <w:r>
        <w:rPr>
          <w:rFonts w:hint="eastAsia" w:ascii="仿宋_GB2312" w:hAnsi="仿宋" w:eastAsia="仿宋_GB2312"/>
          <w:kern w:val="0"/>
          <w:szCs w:val="28"/>
        </w:rPr>
        <w:t>。</w:t>
      </w:r>
    </w:p>
    <w:p>
      <w:pPr>
        <w:adjustRightInd w:val="0"/>
        <w:snapToGrid w:val="0"/>
        <w:spacing w:line="500" w:lineRule="atLeast"/>
        <w:ind w:firstLine="538" w:firstLineChars="200"/>
        <w:rPr>
          <w:rFonts w:ascii="仿宋_GB2312" w:hAnsi="宋体" w:eastAsia="仿宋_GB2312"/>
          <w:color w:val="000000"/>
          <w:spacing w:val="-6"/>
          <w:szCs w:val="28"/>
        </w:rPr>
      </w:pPr>
      <w:r>
        <w:rPr>
          <w:rFonts w:hint="eastAsia" w:ascii="仿宋_GB2312" w:hAnsi="宋体" w:eastAsia="仿宋_GB2312"/>
          <w:b/>
          <w:color w:val="000000"/>
          <w:spacing w:val="-6"/>
          <w:szCs w:val="28"/>
        </w:rPr>
        <w:t>四、响应文件份数</w:t>
      </w:r>
      <w:r>
        <w:rPr>
          <w:rFonts w:hint="eastAsia" w:ascii="仿宋_GB2312" w:hAnsi="宋体" w:eastAsia="仿宋_GB2312"/>
          <w:color w:val="000000"/>
          <w:spacing w:val="-6"/>
          <w:szCs w:val="28"/>
        </w:rPr>
        <w:t>：一式三份（正本一份，副本二份），每份响应文件须清楚表明“正本”或“副本”字样。</w:t>
      </w:r>
    </w:p>
    <w:p>
      <w:pPr>
        <w:adjustRightInd w:val="0"/>
        <w:snapToGrid w:val="0"/>
        <w:spacing w:line="500" w:lineRule="atLeast"/>
        <w:ind w:firstLine="509" w:firstLineChars="189"/>
        <w:rPr>
          <w:rFonts w:ascii="仿宋_GB2312" w:hAnsi="宋体" w:eastAsia="仿宋_GB2312"/>
          <w:color w:val="000000"/>
          <w:spacing w:val="-6"/>
          <w:szCs w:val="28"/>
        </w:rPr>
      </w:pPr>
      <w:r>
        <w:rPr>
          <w:rFonts w:hint="eastAsia" w:ascii="仿宋_GB2312" w:hAnsi="宋体" w:eastAsia="仿宋_GB2312"/>
          <w:b/>
          <w:color w:val="000000"/>
          <w:spacing w:val="-6"/>
          <w:szCs w:val="28"/>
        </w:rPr>
        <w:t>五、响应文件递交</w:t>
      </w:r>
      <w:r>
        <w:rPr>
          <w:rFonts w:hint="eastAsia" w:ascii="仿宋_GB2312" w:hAnsi="宋体" w:eastAsia="仿宋_GB2312"/>
          <w:color w:val="000000"/>
          <w:spacing w:val="-6"/>
          <w:szCs w:val="28"/>
        </w:rPr>
        <w:t>：</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（一）响应文件递交截止时间：202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5</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17</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上</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9</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0</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（二）响应文件开启时间：202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5</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17</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上</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9</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0</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（三）地点：芜湖市弋江区文昌西路22号滨江校区图书信息楼东辅楼5楼5002室；</w:t>
      </w:r>
    </w:p>
    <w:p>
      <w:pPr>
        <w:adjustRightInd w:val="0"/>
        <w:snapToGrid w:val="0"/>
        <w:spacing w:line="500" w:lineRule="atLeast"/>
        <w:ind w:firstLine="506" w:firstLineChars="189"/>
        <w:rPr>
          <w:rFonts w:hint="eastAsia" w:ascii="仿宋_GB2312" w:hAnsi="宋体" w:eastAsia="仿宋_GB2312"/>
          <w:color w:val="000000"/>
          <w:spacing w:val="-6"/>
          <w:szCs w:val="28"/>
        </w:rPr>
      </w:pPr>
      <w:r>
        <w:rPr>
          <w:rFonts w:hint="eastAsia" w:ascii="仿宋_GB2312" w:hAnsi="宋体" w:eastAsia="仿宋_GB2312"/>
          <w:color w:val="000000"/>
          <w:spacing w:val="-6"/>
          <w:szCs w:val="28"/>
        </w:rPr>
        <w:t>（四）递交响应文件时间截止后，磋商小组与供应商磋商，请供应商法定代表人或其授权委托代表（提供授权委托书）出席。</w:t>
      </w:r>
    </w:p>
    <w:p>
      <w:pPr>
        <w:pStyle w:val="17"/>
        <w:ind w:left="0" w:leftChars="0" w:firstLine="560" w:firstLineChars="200"/>
        <w:rPr>
          <w:rFonts w:hint="eastAsia" w:ascii="仿宋_GB2312" w:hAnsi="仿宋_GB2312" w:eastAsia="仿宋_GB2312" w:cs="仿宋_GB2312"/>
          <w:i w:val="0"/>
          <w:iCs w:val="0"/>
          <w:caps w:val="0"/>
          <w:color w:val="333333"/>
          <w:spacing w:val="0"/>
          <w:sz w:val="28"/>
          <w:szCs w:val="28"/>
          <w:shd w:val="clear" w:fill="FFFFFF"/>
        </w:rPr>
      </w:pPr>
      <w:r>
        <w:rPr>
          <w:rFonts w:hint="eastAsia" w:hAnsi="仿宋_GB2312" w:cs="仿宋_GB2312"/>
          <w:i w:val="0"/>
          <w:iCs w:val="0"/>
          <w:caps w:val="0"/>
          <w:color w:val="333333"/>
          <w:spacing w:val="0"/>
          <w:sz w:val="28"/>
          <w:szCs w:val="28"/>
          <w:shd w:val="clear" w:fill="FFFFFF"/>
          <w:lang w:eastAsia="zh-CN"/>
        </w:rPr>
        <w:t>（</w:t>
      </w:r>
      <w:r>
        <w:rPr>
          <w:rFonts w:hint="eastAsia" w:hAnsi="仿宋_GB2312" w:cs="仿宋_GB2312"/>
          <w:i w:val="0"/>
          <w:iCs w:val="0"/>
          <w:caps w:val="0"/>
          <w:color w:val="333333"/>
          <w:spacing w:val="0"/>
          <w:sz w:val="28"/>
          <w:szCs w:val="28"/>
          <w:shd w:val="clear" w:fill="FFFFFF"/>
          <w:lang w:val="en-US" w:eastAsia="zh-CN"/>
        </w:rPr>
        <w:t>五</w:t>
      </w:r>
      <w:r>
        <w:rPr>
          <w:rFonts w:hint="eastAsia" w:hAnsi="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因学校要求，校外人员进校需扫码登记。请各投标单位如实填写，并于202</w:t>
      </w:r>
      <w:r>
        <w:rPr>
          <w:rFonts w:hint="eastAsia" w:hAnsi="仿宋_GB2312" w:cs="仿宋_GB2312"/>
          <w:i w:val="0"/>
          <w:iCs w:val="0"/>
          <w:caps w:val="0"/>
          <w:color w:val="333333"/>
          <w:spacing w:val="0"/>
          <w:sz w:val="28"/>
          <w:szCs w:val="28"/>
          <w:shd w:val="clear" w:fill="FFFFFF"/>
          <w:lang w:val="en-US" w:eastAsia="zh-CN"/>
        </w:rPr>
        <w:t>4</w:t>
      </w:r>
      <w:r>
        <w:rPr>
          <w:rFonts w:hint="eastAsia" w:ascii="仿宋_GB2312" w:hAnsi="仿宋_GB2312" w:eastAsia="仿宋_GB2312" w:cs="仿宋_GB2312"/>
          <w:i w:val="0"/>
          <w:iCs w:val="0"/>
          <w:caps w:val="0"/>
          <w:color w:val="333333"/>
          <w:spacing w:val="0"/>
          <w:sz w:val="28"/>
          <w:szCs w:val="28"/>
          <w:shd w:val="clear" w:fill="FFFFFF"/>
        </w:rPr>
        <w:t>年</w:t>
      </w:r>
      <w:r>
        <w:rPr>
          <w:rFonts w:hint="eastAsia" w:hAnsi="仿宋_GB2312" w:cs="仿宋_GB2312"/>
          <w:i w:val="0"/>
          <w:iCs w:val="0"/>
          <w:caps w:val="0"/>
          <w:color w:val="333333"/>
          <w:spacing w:val="0"/>
          <w:sz w:val="28"/>
          <w:szCs w:val="28"/>
          <w:shd w:val="clear" w:fill="FFFFFF"/>
          <w:lang w:val="en-US" w:eastAsia="zh-CN"/>
        </w:rPr>
        <w:t>5</w:t>
      </w:r>
      <w:r>
        <w:rPr>
          <w:rFonts w:hint="eastAsia" w:ascii="仿宋_GB2312" w:hAnsi="仿宋_GB2312" w:eastAsia="仿宋_GB2312" w:cs="仿宋_GB2312"/>
          <w:i w:val="0"/>
          <w:iCs w:val="0"/>
          <w:caps w:val="0"/>
          <w:color w:val="333333"/>
          <w:spacing w:val="0"/>
          <w:sz w:val="28"/>
          <w:szCs w:val="28"/>
          <w:shd w:val="clear" w:fill="FFFFFF"/>
        </w:rPr>
        <w:t>月</w:t>
      </w:r>
      <w:r>
        <w:rPr>
          <w:rFonts w:hint="eastAsia" w:hAnsi="仿宋_GB2312" w:cs="仿宋_GB2312"/>
          <w:i w:val="0"/>
          <w:iCs w:val="0"/>
          <w:caps w:val="0"/>
          <w:color w:val="333333"/>
          <w:spacing w:val="0"/>
          <w:sz w:val="28"/>
          <w:szCs w:val="28"/>
          <w:shd w:val="clear" w:fill="FFFFFF"/>
          <w:lang w:val="en-US" w:eastAsia="zh-CN"/>
        </w:rPr>
        <w:t>16</w:t>
      </w:r>
      <w:r>
        <w:rPr>
          <w:rFonts w:hint="eastAsia" w:ascii="仿宋_GB2312" w:hAnsi="仿宋_GB2312" w:eastAsia="仿宋_GB2312" w:cs="仿宋_GB2312"/>
          <w:i w:val="0"/>
          <w:iCs w:val="0"/>
          <w:caps w:val="0"/>
          <w:color w:val="333333"/>
          <w:spacing w:val="0"/>
          <w:sz w:val="28"/>
          <w:szCs w:val="28"/>
          <w:shd w:val="clear" w:fill="FFFFFF"/>
        </w:rPr>
        <w:t>日12：00前完成登记申请（其中受访人姓名：王凌云，电话：13505596369），未按时提交申请的，后果自负。</w:t>
      </w:r>
    </w:p>
    <w:p>
      <w:pPr>
        <w:pStyle w:val="17"/>
        <w:ind w:left="0" w:leftChars="0" w:firstLine="560" w:firstLineChars="200"/>
      </w:pPr>
      <w:r>
        <w:rPr>
          <w:rFonts w:hint="eastAsia" w:ascii="仿宋_GB2312" w:hAnsi="仿宋_GB2312" w:eastAsia="仿宋_GB2312" w:cs="仿宋_GB2312"/>
          <w:i w:val="0"/>
          <w:iCs w:val="0"/>
          <w:caps w:val="0"/>
          <w:color w:val="333333"/>
          <w:spacing w:val="0"/>
          <w:sz w:val="28"/>
          <w:szCs w:val="28"/>
          <w:shd w:val="clear" w:fill="FFFFFF"/>
        </w:rPr>
        <w:t> </w:t>
      </w:r>
      <w:r>
        <w:drawing>
          <wp:inline distT="0" distB="0" distL="114300" distR="114300">
            <wp:extent cx="1781175" cy="19145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81175" cy="1914525"/>
                    </a:xfrm>
                    <a:prstGeom prst="rect">
                      <a:avLst/>
                    </a:prstGeom>
                    <a:noFill/>
                    <a:ln>
                      <a:noFill/>
                    </a:ln>
                  </pic:spPr>
                </pic:pic>
              </a:graphicData>
            </a:graphic>
          </wp:inline>
        </w:drawing>
      </w:r>
      <w:r>
        <w:rPr>
          <w:rFonts w:hint="eastAsia" w:ascii="仿宋_GB2312" w:hAnsi="仿宋_GB2312" w:eastAsia="仿宋_GB2312" w:cs="仿宋_GB2312"/>
          <w:i w:val="0"/>
          <w:iCs w:val="0"/>
          <w:caps w:val="0"/>
          <w:color w:val="333333"/>
          <w:spacing w:val="0"/>
          <w:sz w:val="28"/>
          <w:szCs w:val="28"/>
          <w:shd w:val="clear" w:fill="FFFFFF"/>
        </w:rPr>
        <w:t>。</w:t>
      </w:r>
    </w:p>
    <w:p>
      <w:pPr>
        <w:adjustRightInd w:val="0"/>
        <w:snapToGrid w:val="0"/>
        <w:spacing w:line="500" w:lineRule="atLeast"/>
        <w:ind w:firstLine="531" w:firstLineChars="189"/>
        <w:rPr>
          <w:rFonts w:ascii="仿宋_GB2312" w:eastAsia="仿宋_GB2312"/>
          <w:szCs w:val="28"/>
        </w:rPr>
      </w:pPr>
      <w:r>
        <w:rPr>
          <w:rFonts w:hint="eastAsia" w:ascii="仿宋_GB2312" w:eastAsia="仿宋_GB2312"/>
          <w:b/>
          <w:szCs w:val="28"/>
        </w:rPr>
        <w:t>六、联系方式</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（一）联系人：</w:t>
      </w:r>
      <w:r>
        <w:rPr>
          <w:rFonts w:hint="eastAsia" w:ascii="仿宋_GB2312" w:eastAsia="仿宋_GB2312"/>
          <w:szCs w:val="28"/>
          <w:lang w:eastAsia="zh-CN"/>
        </w:rPr>
        <w:t>方</w:t>
      </w:r>
      <w:r>
        <w:rPr>
          <w:rFonts w:hint="eastAsia" w:ascii="仿宋_GB2312" w:eastAsia="仿宋_GB2312"/>
          <w:szCs w:val="28"/>
        </w:rPr>
        <w:t>老师</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（二）联系电话：0553-3932052</w:t>
      </w:r>
    </w:p>
    <w:p>
      <w:pPr>
        <w:adjustRightInd w:val="0"/>
        <w:snapToGrid w:val="0"/>
        <w:spacing w:line="500" w:lineRule="atLeast"/>
        <w:ind w:firstLine="562" w:firstLineChars="200"/>
        <w:jc w:val="left"/>
        <w:rPr>
          <w:rFonts w:ascii="仿宋_GB2312" w:eastAsia="仿宋_GB2312"/>
          <w:b/>
          <w:szCs w:val="28"/>
        </w:rPr>
      </w:pPr>
      <w:r>
        <w:rPr>
          <w:rFonts w:hint="eastAsia" w:ascii="仿宋_GB2312" w:eastAsia="仿宋_GB2312"/>
          <w:b/>
          <w:szCs w:val="28"/>
        </w:rPr>
        <w:t>七、备注</w:t>
      </w:r>
    </w:p>
    <w:p>
      <w:pPr>
        <w:adjustRightInd w:val="0"/>
        <w:snapToGrid w:val="0"/>
        <w:spacing w:line="500" w:lineRule="atLeast"/>
        <w:ind w:firstLine="560" w:firstLineChars="200"/>
        <w:jc w:val="left"/>
        <w:rPr>
          <w:rFonts w:ascii="仿宋_GB2312" w:eastAsia="仿宋_GB2312"/>
          <w:szCs w:val="28"/>
        </w:rPr>
      </w:pPr>
      <w:r>
        <w:rPr>
          <w:rFonts w:hint="eastAsia" w:ascii="仿宋_GB2312" w:eastAsia="仿宋_GB2312"/>
          <w:szCs w:val="28"/>
        </w:rPr>
        <w:t>我校保留对报名合格单位进行进一步资格审核的权利。</w:t>
      </w:r>
    </w:p>
    <w:p>
      <w:pPr>
        <w:adjustRightInd w:val="0"/>
        <w:snapToGrid w:val="0"/>
        <w:spacing w:line="500" w:lineRule="atLeast"/>
        <w:ind w:firstLine="560" w:firstLineChars="200"/>
        <w:jc w:val="left"/>
        <w:rPr>
          <w:rFonts w:ascii="仿宋_GB2312" w:eastAsia="仿宋_GB2312"/>
          <w:szCs w:val="28"/>
        </w:rPr>
      </w:pPr>
    </w:p>
    <w:p>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hint="eastAsia" w:ascii="仿宋_GB2312" w:hAnsi="宋体" w:eastAsia="仿宋_GB2312" w:cs="宋体"/>
          <w:color w:val="000000"/>
          <w:kern w:val="0"/>
          <w:szCs w:val="28"/>
        </w:rPr>
        <w:t>皖南医学院国有资产管理处</w:t>
      </w:r>
    </w:p>
    <w:p>
      <w:pPr>
        <w:widowControl/>
        <w:shd w:val="clear" w:color="auto" w:fill="FFFFFF"/>
        <w:adjustRightInd w:val="0"/>
        <w:snapToGrid w:val="0"/>
        <w:spacing w:before="100" w:beforeAutospacing="1" w:after="100" w:afterAutospacing="1" w:line="240" w:lineRule="atLeast"/>
        <w:jc w:val="right"/>
        <w:rPr>
          <w:rFonts w:ascii="仿宋_GB2312" w:hAnsi="宋体" w:eastAsia="仿宋_GB2312" w:cs="宋体"/>
          <w:color w:val="000000"/>
          <w:kern w:val="0"/>
          <w:szCs w:val="28"/>
        </w:rPr>
      </w:pPr>
      <w:r>
        <w:rPr>
          <w:rFonts w:hint="eastAsia" w:ascii="仿宋_GB2312" w:hAnsi="宋体" w:eastAsia="仿宋_GB2312" w:cs="宋体"/>
          <w:color w:val="000000"/>
          <w:kern w:val="0"/>
          <w:szCs w:val="28"/>
        </w:rPr>
        <w:t>202</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年</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月</w:t>
      </w:r>
      <w:r>
        <w:rPr>
          <w:rFonts w:hint="eastAsia" w:ascii="仿宋_GB2312" w:hAnsi="宋体" w:eastAsia="仿宋_GB2312" w:cs="宋体"/>
          <w:color w:val="000000"/>
          <w:kern w:val="0"/>
          <w:szCs w:val="28"/>
          <w:lang w:val="en-US" w:eastAsia="zh-CN"/>
        </w:rPr>
        <w:t>30</w:t>
      </w:r>
      <w:bookmarkStart w:id="154" w:name="_GoBack"/>
      <w:bookmarkEnd w:id="154"/>
      <w:r>
        <w:rPr>
          <w:rFonts w:hint="eastAsia" w:ascii="仿宋_GB2312" w:hAnsi="宋体" w:eastAsia="仿宋_GB2312" w:cs="宋体"/>
          <w:color w:val="000000"/>
          <w:kern w:val="0"/>
          <w:szCs w:val="28"/>
        </w:rPr>
        <w:t>日</w:t>
      </w:r>
      <w:bookmarkEnd w:id="2"/>
      <w:bookmarkEnd w:id="3"/>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rPr>
          <w:rFonts w:ascii="仿宋_GB2312" w:hAnsi="宋体" w:eastAsia="仿宋_GB2312" w:cs="宋体"/>
          <w:color w:val="000000"/>
          <w:kern w:val="0"/>
          <w:szCs w:val="28"/>
        </w:rPr>
      </w:pPr>
    </w:p>
    <w:p>
      <w:pPr>
        <w:pStyle w:val="2"/>
        <w:snapToGrid w:val="0"/>
        <w:spacing w:before="0" w:after="0"/>
        <w:ind w:left="947" w:firstLine="0"/>
        <w:jc w:val="center"/>
        <w:rPr>
          <w:rFonts w:ascii="华文中宋" w:hAnsi="华文中宋" w:eastAsia="华文中宋"/>
        </w:rPr>
      </w:pPr>
      <w:bookmarkStart w:id="4" w:name="_Toc516580570"/>
      <w:bookmarkStart w:id="5" w:name="_Toc479170300"/>
      <w:r>
        <w:rPr>
          <w:rFonts w:hint="eastAsia" w:ascii="华文中宋" w:hAnsi="华文中宋" w:eastAsia="华文中宋"/>
        </w:rPr>
        <w:t>第二章  磋商须知前附表</w:t>
      </w:r>
      <w:bookmarkEnd w:id="4"/>
      <w:bookmarkEnd w:id="5"/>
    </w:p>
    <w:tbl>
      <w:tblPr>
        <w:tblStyle w:val="30"/>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pPr>
              <w:snapToGrid w:val="0"/>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皖南医学院智慧校园应用系统软件维保服务项目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人</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招标人</w:t>
            </w:r>
            <w:r>
              <w:rPr>
                <w:rFonts w:ascii="宋体" w:hAnsi="宋体"/>
                <w:kern w:val="0"/>
                <w:sz w:val="21"/>
                <w:szCs w:val="21"/>
              </w:rPr>
              <w:t>名称：</w:t>
            </w:r>
            <w:r>
              <w:rPr>
                <w:rFonts w:hint="eastAsia" w:ascii="宋体" w:hAnsi="宋体"/>
                <w:sz w:val="21"/>
                <w:szCs w:val="21"/>
              </w:rPr>
              <w:t>皖南医学院</w:t>
            </w:r>
          </w:p>
          <w:p>
            <w:pPr>
              <w:snapToGrid w:val="0"/>
              <w:spacing w:line="240" w:lineRule="atLeast"/>
              <w:rPr>
                <w:rFonts w:ascii="宋体" w:hAnsi="宋体"/>
                <w:kern w:val="0"/>
                <w:sz w:val="21"/>
                <w:szCs w:val="21"/>
              </w:rPr>
            </w:pPr>
            <w:r>
              <w:rPr>
                <w:rFonts w:ascii="宋体" w:hAnsi="宋体"/>
                <w:kern w:val="0"/>
                <w:sz w:val="21"/>
                <w:szCs w:val="21"/>
              </w:rPr>
              <w:t>联系人：</w:t>
            </w:r>
            <w:r>
              <w:rPr>
                <w:rFonts w:hint="eastAsia" w:ascii="宋体" w:hAnsi="宋体"/>
                <w:kern w:val="0"/>
                <w:sz w:val="21"/>
                <w:szCs w:val="21"/>
                <w:lang w:eastAsia="zh-CN"/>
              </w:rPr>
              <w:t>方</w:t>
            </w:r>
            <w:r>
              <w:rPr>
                <w:rFonts w:hint="eastAsia" w:ascii="宋体" w:hAnsi="宋体"/>
                <w:kern w:val="0"/>
                <w:sz w:val="21"/>
                <w:szCs w:val="21"/>
              </w:rPr>
              <w:t xml:space="preserve">老师 </w:t>
            </w:r>
            <w:r>
              <w:rPr>
                <w:rFonts w:hint="eastAsia" w:ascii="宋体" w:hAnsi="宋体"/>
                <w:b/>
                <w:color w:val="FF0000"/>
                <w:kern w:val="0"/>
                <w:sz w:val="21"/>
                <w:szCs w:val="21"/>
              </w:rPr>
              <w:t xml:space="preserve"> </w:t>
            </w:r>
            <w:r>
              <w:rPr>
                <w:rFonts w:hint="eastAsia" w:ascii="宋体" w:hAnsi="宋体"/>
                <w:kern w:val="0"/>
                <w:sz w:val="21"/>
                <w:szCs w:val="21"/>
              </w:rPr>
              <w:t xml:space="preserve"> </w:t>
            </w:r>
            <w:r>
              <w:rPr>
                <w:rFonts w:ascii="宋体" w:hAnsi="宋体"/>
                <w:kern w:val="0"/>
                <w:sz w:val="21"/>
                <w:szCs w:val="21"/>
              </w:rPr>
              <w:t>电话：</w:t>
            </w:r>
            <w:r>
              <w:rPr>
                <w:rFonts w:hint="eastAsia" w:ascii="宋体" w:hAnsi="宋体"/>
                <w:kern w:val="0"/>
                <w:sz w:val="21"/>
                <w:szCs w:val="21"/>
              </w:rPr>
              <w:t>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范围</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2.4</w:t>
            </w:r>
          </w:p>
        </w:tc>
        <w:tc>
          <w:tcPr>
            <w:tcW w:w="1635" w:type="dxa"/>
            <w:vAlign w:val="center"/>
          </w:tcPr>
          <w:p>
            <w:pPr>
              <w:widowControl/>
              <w:snapToGrid w:val="0"/>
              <w:spacing w:line="240" w:lineRule="atLeast"/>
              <w:jc w:val="center"/>
              <w:rPr>
                <w:rFonts w:ascii="宋体" w:hAnsi="宋体"/>
                <w:color w:val="0000FF"/>
                <w:kern w:val="0"/>
                <w:sz w:val="21"/>
                <w:szCs w:val="21"/>
              </w:rPr>
            </w:pPr>
            <w:r>
              <w:rPr>
                <w:rFonts w:hint="eastAsia" w:ascii="宋体" w:hAnsi="宋体"/>
                <w:kern w:val="0"/>
                <w:sz w:val="21"/>
                <w:szCs w:val="21"/>
              </w:rPr>
              <w:t>项目工期</w:t>
            </w:r>
            <w:r>
              <w:rPr>
                <w:rFonts w:ascii="宋体" w:hAnsi="宋体"/>
                <w:kern w:val="0"/>
                <w:sz w:val="21"/>
                <w:szCs w:val="21"/>
              </w:rPr>
              <w:t>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2.5</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2.6</w:t>
            </w:r>
          </w:p>
        </w:tc>
        <w:tc>
          <w:tcPr>
            <w:tcW w:w="1635" w:type="dxa"/>
            <w:vAlign w:val="center"/>
          </w:tcPr>
          <w:p>
            <w:pPr>
              <w:widowControl/>
              <w:spacing w:line="360" w:lineRule="exact"/>
              <w:jc w:val="center"/>
              <w:rPr>
                <w:rFonts w:ascii="宋体" w:hAnsi="宋体"/>
                <w:kern w:val="0"/>
                <w:sz w:val="21"/>
                <w:szCs w:val="21"/>
              </w:rPr>
            </w:pPr>
            <w:r>
              <w:rPr>
                <w:rFonts w:hint="eastAsia" w:ascii="宋体" w:hAnsi="宋体"/>
                <w:kern w:val="0"/>
                <w:sz w:val="21"/>
                <w:szCs w:val="21"/>
              </w:rPr>
              <w:t>踏勘现场</w:t>
            </w:r>
          </w:p>
        </w:tc>
        <w:tc>
          <w:tcPr>
            <w:tcW w:w="6480" w:type="dxa"/>
            <w:vAlign w:val="center"/>
          </w:tcPr>
          <w:p>
            <w:pPr>
              <w:spacing w:line="360" w:lineRule="exact"/>
              <w:rPr>
                <w:rFonts w:hint="eastAsia" w:ascii="宋体" w:hAnsi="宋体"/>
                <w:kern w:val="0"/>
                <w:sz w:val="21"/>
                <w:szCs w:val="21"/>
                <w:lang w:val="en-US" w:eastAsia="zh-CN"/>
              </w:rPr>
            </w:pPr>
            <w:r>
              <w:rPr>
                <w:rFonts w:hint="eastAsia" w:ascii="宋体" w:hAnsi="宋体"/>
                <w:kern w:val="0"/>
                <w:sz w:val="21"/>
                <w:szCs w:val="21"/>
                <w:lang w:val="en-US" w:eastAsia="zh-CN"/>
              </w:rPr>
              <w:t xml:space="preserve">无。 </w:t>
            </w:r>
          </w:p>
          <w:p>
            <w:pPr>
              <w:spacing w:line="360" w:lineRule="exact"/>
              <w:rPr>
                <w:rFonts w:hint="default" w:ascii="宋体" w:hAnsi="宋体" w:eastAsia="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2.7</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8</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9</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响应</w:t>
            </w:r>
            <w:r>
              <w:rPr>
                <w:rFonts w:ascii="宋体" w:hAnsi="宋体"/>
                <w:kern w:val="0"/>
                <w:sz w:val="21"/>
                <w:szCs w:val="21"/>
              </w:rPr>
              <w:t>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pPr>
              <w:snapToGrid w:val="0"/>
              <w:spacing w:line="240" w:lineRule="atLeast"/>
              <w:rPr>
                <w:rFonts w:ascii="宋体" w:hAnsi="宋体"/>
                <w:color w:val="000000"/>
                <w:sz w:val="21"/>
                <w:szCs w:val="21"/>
              </w:rPr>
            </w:pPr>
            <w:r>
              <w:rPr>
                <w:rFonts w:hint="eastAsia" w:ascii="宋体" w:hAnsi="宋体"/>
                <w:color w:val="000000"/>
                <w:sz w:val="21"/>
                <w:szCs w:val="21"/>
              </w:rPr>
              <w:t>正本1</w:t>
            </w:r>
            <w:r>
              <w:rPr>
                <w:rFonts w:ascii="宋体" w:hAnsi="宋体"/>
                <w:color w:val="000000"/>
                <w:sz w:val="21"/>
                <w:szCs w:val="21"/>
              </w:rPr>
              <w:t>份，副本</w:t>
            </w:r>
            <w:r>
              <w:rPr>
                <w:rFonts w:hint="eastAsia" w:ascii="宋体" w:hAnsi="宋体"/>
                <w:color w:val="000000"/>
                <w:sz w:val="21"/>
                <w:szCs w:val="21"/>
              </w:rPr>
              <w:t>2</w:t>
            </w:r>
            <w:r>
              <w:rPr>
                <w:rFonts w:ascii="宋体" w:hAnsi="宋体"/>
                <w:color w:val="000000"/>
                <w:sz w:val="21"/>
                <w:szCs w:val="21"/>
              </w:rPr>
              <w:t>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hint="eastAsia" w:ascii="宋体" w:hAnsi="宋体"/>
                <w:kern w:val="0"/>
                <w:sz w:val="21"/>
                <w:szCs w:val="21"/>
              </w:rPr>
              <w:t>响应</w:t>
            </w:r>
            <w:r>
              <w:rPr>
                <w:rFonts w:ascii="宋体" w:hAnsi="宋体"/>
                <w:kern w:val="0"/>
                <w:sz w:val="21"/>
                <w:szCs w:val="21"/>
              </w:rPr>
              <w:t>文件</w:t>
            </w:r>
            <w:r>
              <w:rPr>
                <w:rFonts w:hint="eastAsia" w:ascii="宋体" w:hAnsi="宋体"/>
                <w:kern w:val="0"/>
                <w:sz w:val="21"/>
                <w:szCs w:val="21"/>
              </w:rPr>
              <w:t>时间、</w:t>
            </w:r>
            <w:r>
              <w:rPr>
                <w:rFonts w:ascii="宋体" w:hAnsi="宋体"/>
                <w:kern w:val="0"/>
                <w:sz w:val="21"/>
                <w:szCs w:val="21"/>
              </w:rPr>
              <w:t>地点</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递交响应文件截止和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、开标条件</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投标截止和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：详见磋商公告</w:t>
            </w:r>
          </w:p>
          <w:p>
            <w:pPr>
              <w:snapToGrid w:val="0"/>
              <w:spacing w:line="240" w:lineRule="atLeas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磋商有效期</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自磋商之日起30天内。</w:t>
            </w:r>
          </w:p>
        </w:tc>
      </w:tr>
    </w:tbl>
    <w:p>
      <w:pPr>
        <w:pStyle w:val="9"/>
        <w:ind w:left="0" w:leftChars="0" w:firstLine="0" w:firstLineChars="0"/>
      </w:pPr>
      <w:bookmarkStart w:id="6" w:name="_Toc516580571"/>
      <w:bookmarkStart w:id="7" w:name="_Toc479170301"/>
    </w:p>
    <w:p/>
    <w:p/>
    <w:p/>
    <w:p/>
    <w:p/>
    <w:p/>
    <w:p>
      <w:pPr>
        <w:pStyle w:val="2"/>
        <w:snapToGrid w:val="0"/>
        <w:spacing w:before="0" w:after="0"/>
        <w:jc w:val="center"/>
        <w:rPr>
          <w:rFonts w:ascii="华文中宋" w:hAnsi="华文中宋" w:eastAsia="华文中宋"/>
        </w:rPr>
      </w:pPr>
      <w:r>
        <w:rPr>
          <w:rFonts w:hint="eastAsia" w:ascii="华文中宋" w:hAnsi="华文中宋" w:eastAsia="华文中宋"/>
        </w:rPr>
        <w:t>第三章  磋商须知</w:t>
      </w:r>
      <w:bookmarkEnd w:id="6"/>
      <w:bookmarkEnd w:id="7"/>
    </w:p>
    <w:p>
      <w:pPr>
        <w:adjustRightInd w:val="0"/>
        <w:snapToGrid w:val="0"/>
        <w:spacing w:line="500" w:lineRule="exact"/>
        <w:ind w:firstLine="562" w:firstLineChars="200"/>
        <w:rPr>
          <w:rFonts w:ascii="仿宋_GB2312" w:eastAsia="仿宋_GB2312"/>
          <w:b/>
          <w:color w:val="000000"/>
          <w:szCs w:val="28"/>
        </w:rPr>
      </w:pPr>
      <w:bookmarkStart w:id="8" w:name="_Hlt16619475"/>
      <w:bookmarkEnd w:id="8"/>
      <w:bookmarkStart w:id="9" w:name="_Toc513029204"/>
      <w:bookmarkStart w:id="10" w:name="_Toc16938520"/>
      <w:bookmarkStart w:id="11" w:name="_Toc20823276"/>
      <w:r>
        <w:rPr>
          <w:rFonts w:hint="eastAsia" w:ascii="仿宋_GB2312" w:eastAsia="仿宋_GB2312"/>
          <w:b/>
          <w:color w:val="000000"/>
          <w:szCs w:val="28"/>
        </w:rPr>
        <w:t>一、采购方式</w:t>
      </w:r>
      <w:bookmarkEnd w:id="9"/>
      <w:bookmarkEnd w:id="10"/>
      <w:bookmarkEnd w:id="11"/>
      <w:r>
        <w:rPr>
          <w:rFonts w:hint="eastAsia" w:ascii="仿宋_GB2312" w:eastAsia="仿宋_GB2312"/>
          <w:b/>
          <w:color w:val="000000"/>
          <w:szCs w:val="28"/>
        </w:rPr>
        <w:t>及定义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1.本次采购采用磋商方式，本磋商文件仅适用于磋商公告中所述项目。</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2采购人指本项目的需求方皖南医学院。</w:t>
      </w:r>
    </w:p>
    <w:p>
      <w:pPr>
        <w:adjustRightInd w:val="0"/>
        <w:snapToGrid w:val="0"/>
        <w:spacing w:line="500" w:lineRule="exact"/>
        <w:ind w:firstLine="560" w:firstLineChars="200"/>
        <w:rPr>
          <w:rFonts w:ascii="仿宋_GB2312" w:eastAsia="仿宋_GB2312"/>
          <w:color w:val="000000"/>
          <w:szCs w:val="28"/>
        </w:rPr>
      </w:pPr>
      <w:bookmarkStart w:id="12" w:name="_Toc20823277"/>
      <w:bookmarkStart w:id="13" w:name="_Toc513029205"/>
      <w:bookmarkStart w:id="14" w:name="_Toc16938521"/>
      <w:r>
        <w:rPr>
          <w:rFonts w:hint="eastAsia" w:ascii="仿宋_GB2312" w:eastAsia="仿宋_GB2312"/>
          <w:color w:val="000000"/>
          <w:szCs w:val="28"/>
        </w:rPr>
        <w:t>3.合格的供应商</w:t>
      </w:r>
      <w:bookmarkEnd w:id="12"/>
      <w:bookmarkEnd w:id="13"/>
      <w:bookmarkEnd w:id="14"/>
      <w:r>
        <w:rPr>
          <w:rFonts w:hint="eastAsia" w:ascii="仿宋_GB2312" w:eastAsia="仿宋_GB2312"/>
          <w:color w:val="000000"/>
          <w:szCs w:val="28"/>
        </w:rPr>
        <w:tab/>
      </w:r>
    </w:p>
    <w:p>
      <w:pPr>
        <w:pStyle w:val="43"/>
        <w:snapToGrid w:val="0"/>
        <w:spacing w:line="500" w:lineRule="exact"/>
        <w:ind w:left="560" w:firstLine="0" w:firstLineChars="0"/>
        <w:rPr>
          <w:rFonts w:ascii="仿宋_GB2312" w:hAnsi="宋体" w:eastAsia="仿宋_GB2312"/>
          <w:color w:val="000000"/>
          <w:szCs w:val="28"/>
        </w:rPr>
      </w:pPr>
      <w:r>
        <w:rPr>
          <w:rFonts w:hint="eastAsia" w:ascii="仿宋_GB2312" w:hAnsi="宋体" w:eastAsia="仿宋_GB2312"/>
          <w:color w:val="000000"/>
          <w:szCs w:val="28"/>
        </w:rPr>
        <w:t>（1）满足磋商公告中供应商的资格条件的规定。</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（2）满足本文件实质性条款的规定。</w:t>
      </w:r>
    </w:p>
    <w:p>
      <w:pPr>
        <w:adjustRightInd w:val="0"/>
        <w:snapToGrid w:val="0"/>
        <w:spacing w:line="500" w:lineRule="exact"/>
        <w:ind w:firstLine="560" w:firstLineChars="200"/>
        <w:rPr>
          <w:rFonts w:ascii="仿宋_GB2312" w:eastAsia="仿宋_GB2312"/>
          <w:color w:val="000000"/>
          <w:szCs w:val="28"/>
        </w:rPr>
      </w:pPr>
      <w:bookmarkStart w:id="15" w:name="_Toc20823278"/>
      <w:bookmarkStart w:id="16" w:name="_Toc513029206"/>
      <w:bookmarkStart w:id="17" w:name="_Toc16938522"/>
      <w:r>
        <w:rPr>
          <w:rFonts w:hint="eastAsia" w:ascii="仿宋_GB2312" w:eastAsia="仿宋_GB2312"/>
          <w:color w:val="000000"/>
          <w:szCs w:val="28"/>
        </w:rPr>
        <w:t>4.适用法律</w:t>
      </w:r>
      <w:bookmarkEnd w:id="15"/>
      <w:bookmarkEnd w:id="16"/>
      <w:bookmarkEnd w:id="17"/>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本次磋商及由此产生的合同受中华人民共和国有关的法律法规制约和保护。</w:t>
      </w:r>
    </w:p>
    <w:p>
      <w:pPr>
        <w:adjustRightInd w:val="0"/>
        <w:snapToGrid w:val="0"/>
        <w:spacing w:line="500" w:lineRule="exact"/>
        <w:ind w:firstLine="560" w:firstLineChars="200"/>
        <w:rPr>
          <w:rFonts w:ascii="仿宋_GB2312" w:eastAsia="仿宋_GB2312"/>
          <w:color w:val="000000"/>
          <w:szCs w:val="28"/>
        </w:rPr>
      </w:pPr>
      <w:bookmarkStart w:id="18" w:name="_Toc462564067"/>
      <w:bookmarkStart w:id="19" w:name="_Toc513029207"/>
      <w:bookmarkStart w:id="20" w:name="_Toc16938523"/>
      <w:bookmarkStart w:id="21" w:name="_Toc20823279"/>
      <w:r>
        <w:rPr>
          <w:rFonts w:hint="eastAsia" w:ascii="仿宋_GB2312" w:eastAsia="仿宋_GB2312"/>
          <w:color w:val="000000"/>
          <w:szCs w:val="28"/>
        </w:rPr>
        <w:t>5.磋商费用</w:t>
      </w:r>
      <w:bookmarkEnd w:id="18"/>
      <w:bookmarkEnd w:id="19"/>
      <w:bookmarkEnd w:id="20"/>
      <w:bookmarkEnd w:id="2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（1）供应商应自行承担所有与参加</w:t>
      </w:r>
      <w:r>
        <w:rPr>
          <w:rFonts w:hint="eastAsia" w:ascii="仿宋_GB2312" w:eastAsia="仿宋_GB2312"/>
          <w:color w:val="000000"/>
          <w:szCs w:val="28"/>
        </w:rPr>
        <w:t>磋商</w:t>
      </w:r>
      <w:r>
        <w:rPr>
          <w:rFonts w:hint="eastAsia" w:ascii="仿宋_GB2312" w:hAnsi="宋体" w:eastAsia="仿宋_GB2312"/>
          <w:color w:val="000000"/>
          <w:szCs w:val="28"/>
        </w:rPr>
        <w:t>有关的费用，无论</w:t>
      </w:r>
      <w:r>
        <w:rPr>
          <w:rFonts w:hint="eastAsia" w:ascii="仿宋_GB2312" w:eastAsia="仿宋_GB2312"/>
          <w:color w:val="000000"/>
          <w:szCs w:val="28"/>
        </w:rPr>
        <w:t>磋商</w:t>
      </w:r>
      <w:r>
        <w:rPr>
          <w:rFonts w:hint="eastAsia" w:ascii="仿宋_GB2312" w:hAnsi="宋体" w:eastAsia="仿宋_GB2312"/>
          <w:color w:val="000000"/>
          <w:szCs w:val="28"/>
        </w:rPr>
        <w:t>过程中的做法和结果如何，采购人在任何情况下均无义务和责任承担这些费用。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（2）本次磋商采购人不收取文件工本费与成交服务费。</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6.磋商文件的约束力</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500" w:lineRule="exact"/>
        <w:ind w:firstLine="562" w:firstLineChars="200"/>
        <w:rPr>
          <w:rFonts w:ascii="仿宋_GB2312" w:hAnsi="宋体" w:eastAsia="仿宋_GB2312"/>
          <w:b/>
          <w:color w:val="000000"/>
          <w:szCs w:val="28"/>
        </w:rPr>
      </w:pPr>
      <w:bookmarkStart w:id="22" w:name="_Toc513029209"/>
      <w:bookmarkStart w:id="23" w:name="_Toc403987206"/>
      <w:bookmarkStart w:id="24" w:name="_Toc20823281"/>
      <w:bookmarkStart w:id="25" w:name="_Toc120614215"/>
      <w:bookmarkStart w:id="26" w:name="_Toc16938525"/>
      <w:r>
        <w:rPr>
          <w:rFonts w:hint="eastAsia" w:ascii="仿宋_GB2312" w:hAnsi="宋体" w:eastAsia="仿宋_GB2312"/>
          <w:b/>
          <w:color w:val="000000"/>
          <w:szCs w:val="28"/>
        </w:rPr>
        <w:t>二、磋商文件</w:t>
      </w:r>
      <w:bookmarkEnd w:id="22"/>
      <w:bookmarkEnd w:id="23"/>
      <w:bookmarkEnd w:id="24"/>
      <w:bookmarkEnd w:id="25"/>
      <w:bookmarkEnd w:id="26"/>
    </w:p>
    <w:p>
      <w:pPr>
        <w:adjustRightInd w:val="0"/>
        <w:snapToGrid w:val="0"/>
        <w:spacing w:line="500" w:lineRule="exact"/>
        <w:ind w:firstLine="560" w:firstLineChars="200"/>
        <w:rPr>
          <w:rFonts w:ascii="仿宋_GB2312" w:eastAsia="仿宋_GB2312"/>
          <w:color w:val="000000"/>
          <w:szCs w:val="28"/>
        </w:rPr>
      </w:pPr>
      <w:bookmarkStart w:id="27" w:name="_Toc513029210"/>
      <w:bookmarkStart w:id="28" w:name="_Toc20823282"/>
      <w:bookmarkStart w:id="29" w:name="_Toc16938526"/>
      <w:r>
        <w:rPr>
          <w:rFonts w:hint="eastAsia" w:ascii="仿宋_GB2312" w:eastAsia="仿宋_GB2312"/>
          <w:color w:val="000000"/>
          <w:szCs w:val="28"/>
        </w:rPr>
        <w:t>1.磋商文件构成</w:t>
      </w:r>
      <w:bookmarkEnd w:id="27"/>
      <w:bookmarkEnd w:id="28"/>
      <w:bookmarkEnd w:id="29"/>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磋商文件有以下部分组成：</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（1）磋商公告</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（2）磋商须知前附表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（3）磋商须知</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（4）合同主要条款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（5）项目需求</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（6）评审标准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（7）响应文件格式</w:t>
      </w:r>
    </w:p>
    <w:p>
      <w:pPr>
        <w:adjustRightInd w:val="0"/>
        <w:snapToGrid w:val="0"/>
        <w:spacing w:line="500" w:lineRule="exact"/>
        <w:ind w:firstLine="560" w:firstLineChars="200"/>
        <w:rPr>
          <w:rFonts w:ascii="仿宋_GB2312" w:eastAsia="仿宋_GB2312"/>
          <w:color w:val="000000"/>
          <w:szCs w:val="28"/>
        </w:rPr>
      </w:pPr>
      <w:bookmarkStart w:id="30" w:name="_Toc513029211"/>
      <w:bookmarkStart w:id="31" w:name="_Toc462564070"/>
      <w:bookmarkStart w:id="32" w:name="_Toc20823283"/>
      <w:bookmarkStart w:id="33" w:name="_Toc16938527"/>
      <w:r>
        <w:rPr>
          <w:rFonts w:hint="eastAsia" w:ascii="仿宋_GB2312" w:eastAsia="仿宋_GB2312"/>
          <w:color w:val="000000"/>
          <w:szCs w:val="28"/>
        </w:rPr>
        <w:t>2.磋商文件的澄清</w:t>
      </w:r>
      <w:bookmarkEnd w:id="30"/>
      <w:bookmarkEnd w:id="31"/>
      <w:bookmarkEnd w:id="32"/>
      <w:bookmarkEnd w:id="33"/>
      <w:r>
        <w:rPr>
          <w:rFonts w:hint="eastAsia" w:ascii="仿宋_GB2312" w:eastAsia="仿宋_GB2312"/>
          <w:color w:val="000000"/>
          <w:szCs w:val="28"/>
        </w:rPr>
        <w:t>及修改</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500" w:lineRule="exact"/>
        <w:ind w:firstLine="562" w:firstLineChars="200"/>
        <w:rPr>
          <w:rFonts w:ascii="仿宋_GB2312" w:hAnsi="宋体" w:eastAsia="仿宋_GB2312"/>
          <w:b/>
          <w:color w:val="000000"/>
          <w:szCs w:val="28"/>
        </w:rPr>
      </w:pPr>
      <w:bookmarkStart w:id="34" w:name="_Toc16938529"/>
      <w:bookmarkStart w:id="35" w:name="_Toc120614216"/>
      <w:bookmarkStart w:id="36" w:name="_Toc403987207"/>
      <w:bookmarkStart w:id="37" w:name="_Toc513029213"/>
      <w:bookmarkStart w:id="38" w:name="_Toc20823285"/>
      <w:bookmarkStart w:id="39" w:name="_Toc462564072"/>
      <w:r>
        <w:rPr>
          <w:rFonts w:hint="eastAsia" w:ascii="仿宋_GB2312" w:hAnsi="宋体" w:eastAsia="仿宋_GB2312"/>
          <w:b/>
          <w:color w:val="000000"/>
          <w:szCs w:val="28"/>
        </w:rPr>
        <w:t>三、响应文件的递交及编制</w:t>
      </w:r>
      <w:bookmarkEnd w:id="34"/>
      <w:bookmarkEnd w:id="35"/>
      <w:bookmarkEnd w:id="36"/>
      <w:bookmarkEnd w:id="37"/>
      <w:bookmarkEnd w:id="38"/>
      <w:bookmarkEnd w:id="39"/>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2.供应商应当按照磋商文件的要求编制响应文件，并</w:t>
      </w:r>
      <w:bookmarkStart w:id="40" w:name="我"/>
      <w:bookmarkEnd w:id="40"/>
      <w:r>
        <w:rPr>
          <w:rFonts w:hint="eastAsia" w:ascii="仿宋_GB2312" w:eastAsia="仿宋_GB2312"/>
          <w:color w:val="000000"/>
          <w:szCs w:val="28"/>
        </w:rPr>
        <w:t>对其提交的响应文件的真实性、合法性承担法律责任。</w:t>
      </w:r>
    </w:p>
    <w:p>
      <w:pPr>
        <w:adjustRightInd w:val="0"/>
        <w:snapToGrid w:val="0"/>
        <w:spacing w:line="500" w:lineRule="exact"/>
        <w:ind w:firstLine="560" w:firstLineChars="200"/>
        <w:rPr>
          <w:rFonts w:ascii="仿宋_GB2312" w:eastAsia="仿宋_GB2312"/>
          <w:color w:val="000000"/>
          <w:szCs w:val="28"/>
        </w:rPr>
      </w:pPr>
      <w:bookmarkStart w:id="41" w:name="_Toc462564073"/>
      <w:bookmarkStart w:id="42" w:name="_Toc20823286"/>
      <w:bookmarkStart w:id="43" w:name="_Toc513029214"/>
      <w:bookmarkStart w:id="44" w:name="_Toc16938530"/>
      <w:r>
        <w:rPr>
          <w:rFonts w:hint="eastAsia" w:ascii="仿宋_GB2312" w:eastAsia="仿宋_GB2312"/>
          <w:color w:val="000000"/>
          <w:szCs w:val="28"/>
        </w:rPr>
        <w:t>3.响应文件的语言及度量衡单位</w:t>
      </w:r>
      <w:bookmarkEnd w:id="41"/>
      <w:bookmarkEnd w:id="42"/>
      <w:bookmarkEnd w:id="43"/>
      <w:bookmarkEnd w:id="44"/>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（1）供应商提交的响应文件以及供应商与我校就有关磋商的所有来往通知、函件和文件均应使用</w:t>
      </w:r>
      <w:r>
        <w:rPr>
          <w:rFonts w:hint="eastAsia" w:ascii="仿宋_GB2312" w:hAnsi="宋体" w:eastAsia="仿宋_GB2312"/>
          <w:bCs/>
          <w:color w:val="000000"/>
          <w:szCs w:val="28"/>
        </w:rPr>
        <w:t>简体中文</w:t>
      </w:r>
      <w:r>
        <w:rPr>
          <w:rFonts w:hint="eastAsia" w:ascii="仿宋_GB2312" w:hAnsi="宋体" w:eastAsia="仿宋_GB2312"/>
          <w:color w:val="000000"/>
          <w:szCs w:val="28"/>
        </w:rPr>
        <w:t>。</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（2）除技术性能另有规定外，响应文件所使用的度量衡单位，均须采用国家法定计量单位。</w:t>
      </w:r>
    </w:p>
    <w:p>
      <w:pPr>
        <w:adjustRightInd w:val="0"/>
        <w:snapToGrid w:val="0"/>
        <w:spacing w:line="500" w:lineRule="exact"/>
        <w:ind w:firstLine="560" w:firstLineChars="200"/>
        <w:rPr>
          <w:rFonts w:ascii="仿宋_GB2312" w:eastAsia="仿宋_GB2312"/>
          <w:color w:val="000000"/>
          <w:szCs w:val="28"/>
        </w:rPr>
      </w:pPr>
      <w:bookmarkStart w:id="45" w:name="_Toc16938531"/>
      <w:bookmarkStart w:id="46" w:name="_Toc20823287"/>
      <w:bookmarkStart w:id="47" w:name="_Toc462564074"/>
      <w:bookmarkStart w:id="48" w:name="_Toc513029215"/>
      <w:r>
        <w:rPr>
          <w:rFonts w:hint="eastAsia" w:ascii="仿宋_GB2312" w:eastAsia="仿宋_GB2312"/>
          <w:color w:val="000000"/>
          <w:szCs w:val="28"/>
        </w:rPr>
        <w:t>4.响应文件构成</w:t>
      </w:r>
      <w:bookmarkEnd w:id="45"/>
      <w:bookmarkEnd w:id="46"/>
      <w:bookmarkEnd w:id="47"/>
      <w:bookmarkEnd w:id="48"/>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（1）供应商应该按照磋商文件的要求编写响应文件应。</w:t>
      </w:r>
    </w:p>
    <w:p>
      <w:pPr>
        <w:pStyle w:val="43"/>
        <w:snapToGrid w:val="0"/>
        <w:spacing w:line="500" w:lineRule="exact"/>
        <w:ind w:firstLine="560"/>
        <w:rPr>
          <w:rFonts w:hint="default" w:ascii="仿宋_GB2312" w:hAnsi="宋体" w:eastAsia="仿宋_GB2312"/>
          <w:color w:val="000000"/>
          <w:szCs w:val="28"/>
          <w:lang w:val="en-US" w:eastAsia="zh-CN"/>
        </w:rPr>
      </w:pPr>
      <w:r>
        <w:rPr>
          <w:rFonts w:hint="eastAsia" w:ascii="仿宋_GB2312" w:hAnsi="宋体" w:eastAsia="仿宋_GB2312"/>
          <w:color w:val="000000"/>
          <w:szCs w:val="28"/>
        </w:rPr>
        <w:t>（2）供应商应将响应文件按顺序装订成册，并编制响应文件资料目录。</w:t>
      </w:r>
      <w:r>
        <w:rPr>
          <w:rFonts w:hint="eastAsia" w:ascii="仿宋_GB2312" w:hAnsi="宋体" w:eastAsia="仿宋_GB2312"/>
          <w:color w:val="000000"/>
          <w:szCs w:val="28"/>
          <w:lang w:val="en-US" w:eastAsia="zh-CN"/>
        </w:rPr>
        <w:t xml:space="preserve">   </w:t>
      </w:r>
    </w:p>
    <w:p>
      <w:pPr>
        <w:adjustRightInd w:val="0"/>
        <w:snapToGrid w:val="0"/>
        <w:spacing w:line="500" w:lineRule="exact"/>
        <w:ind w:firstLine="560" w:firstLineChars="200"/>
        <w:rPr>
          <w:rFonts w:ascii="仿宋_GB2312" w:eastAsia="仿宋_GB2312"/>
          <w:color w:val="000000"/>
          <w:szCs w:val="28"/>
        </w:rPr>
      </w:pPr>
      <w:bookmarkStart w:id="49" w:name="_Hlt26670360"/>
      <w:bookmarkEnd w:id="49"/>
      <w:bookmarkStart w:id="50" w:name="_Hlt26668975"/>
      <w:bookmarkEnd w:id="50"/>
      <w:bookmarkStart w:id="51" w:name="_Hlt26954838"/>
      <w:bookmarkEnd w:id="51"/>
      <w:bookmarkStart w:id="52" w:name="_Toc14577357"/>
      <w:bookmarkStart w:id="53" w:name="_Toc513029219"/>
      <w:bookmarkStart w:id="54" w:name="_Toc49090509"/>
      <w:bookmarkStart w:id="55" w:name="_Toc14577354"/>
      <w:bookmarkStart w:id="56" w:name="_Toc49090507"/>
      <w:bookmarkStart w:id="57" w:name="_Toc513029216"/>
      <w:r>
        <w:rPr>
          <w:rFonts w:hint="eastAsia" w:ascii="仿宋_GB2312" w:eastAsia="仿宋_GB2312"/>
          <w:color w:val="000000"/>
          <w:szCs w:val="28"/>
        </w:rPr>
        <w:t>5.证明供应商资格及符合磋商文件规定的文件</w:t>
      </w:r>
      <w:bookmarkEnd w:id="52"/>
      <w:bookmarkEnd w:id="53"/>
      <w:bookmarkEnd w:id="54"/>
    </w:p>
    <w:p>
      <w:pPr>
        <w:pStyle w:val="43"/>
        <w:snapToGrid w:val="0"/>
        <w:spacing w:line="500" w:lineRule="exact"/>
        <w:ind w:firstLine="560"/>
        <w:rPr>
          <w:rFonts w:ascii="仿宋_GB2312" w:hAnsi="宋体" w:eastAsia="仿宋_GB2312"/>
          <w:color w:val="000000"/>
          <w:szCs w:val="28"/>
        </w:rPr>
      </w:pPr>
      <w:bookmarkStart w:id="58" w:name="_Hlt26668999"/>
      <w:bookmarkEnd w:id="58"/>
      <w:r>
        <w:rPr>
          <w:rFonts w:hint="eastAsia" w:ascii="仿宋_GB2312" w:hAnsi="宋体" w:eastAsia="仿宋_GB2312"/>
          <w:color w:val="000000"/>
          <w:szCs w:val="28"/>
        </w:rPr>
        <w:t>（1）供应商应按要求提交资格证明文件及符合磋商文件规定的文件。</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（2）供应商除必须具有履行合同所需提供的货物以及服务的能力外，还必须具备相应的财务、技术方面的能力。</w:t>
      </w:r>
    </w:p>
    <w:bookmarkEnd w:id="55"/>
    <w:bookmarkEnd w:id="56"/>
    <w:bookmarkEnd w:id="57"/>
    <w:p>
      <w:pPr>
        <w:adjustRightInd w:val="0"/>
        <w:snapToGrid w:val="0"/>
        <w:spacing w:line="500" w:lineRule="exact"/>
        <w:ind w:firstLine="560" w:firstLineChars="200"/>
        <w:rPr>
          <w:rFonts w:ascii="仿宋_GB2312" w:eastAsia="仿宋_GB2312"/>
          <w:color w:val="000000"/>
          <w:szCs w:val="28"/>
        </w:rPr>
      </w:pPr>
      <w:bookmarkStart w:id="59" w:name="_Toc14577355"/>
      <w:bookmarkStart w:id="60" w:name="_Toc49090508"/>
      <w:r>
        <w:rPr>
          <w:rFonts w:hint="eastAsia" w:ascii="仿宋_GB2312" w:eastAsia="仿宋_GB2312"/>
          <w:color w:val="000000"/>
          <w:szCs w:val="28"/>
        </w:rPr>
        <w:t>6.报价</w:t>
      </w:r>
      <w:bookmarkEnd w:id="59"/>
      <w:bookmarkStart w:id="61" w:name="_Hlt26670373"/>
      <w:bookmarkEnd w:id="61"/>
      <w:r>
        <w:rPr>
          <w:rFonts w:hint="eastAsia" w:ascii="仿宋_GB2312" w:eastAsia="仿宋_GB2312"/>
          <w:color w:val="000000"/>
          <w:szCs w:val="28"/>
        </w:rPr>
        <w:t>明细表</w:t>
      </w:r>
      <w:bookmarkEnd w:id="60"/>
    </w:p>
    <w:p>
      <w:pPr>
        <w:adjustRightInd w:val="0"/>
        <w:snapToGrid w:val="0"/>
        <w:spacing w:line="500" w:lineRule="exact"/>
        <w:ind w:firstLine="560" w:firstLineChars="200"/>
        <w:rPr>
          <w:rFonts w:ascii="仿宋_GB2312" w:eastAsia="仿宋_GB2312"/>
          <w:bCs/>
          <w:color w:val="000000"/>
          <w:szCs w:val="28"/>
        </w:rPr>
      </w:pPr>
      <w:r>
        <w:rPr>
          <w:rFonts w:hint="eastAsia" w:ascii="仿宋_GB2312" w:eastAsia="仿宋_GB2312"/>
          <w:color w:val="000000"/>
          <w:szCs w:val="28"/>
        </w:rPr>
        <w:t>（1）供应商应按照磋商文件规定格式填报报价</w:t>
      </w:r>
      <w:bookmarkStart w:id="62" w:name="_Hlt26670399"/>
      <w:bookmarkEnd w:id="62"/>
      <w:r>
        <w:rPr>
          <w:rFonts w:hint="eastAsia" w:ascii="仿宋_GB2312" w:eastAsia="仿宋_GB2312"/>
          <w:color w:val="000000"/>
          <w:szCs w:val="28"/>
        </w:rPr>
        <w:t>。每项费用只允许有一个报价，任何有选择的报价将不予接受。（如有）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（2）</w:t>
      </w:r>
      <w:r>
        <w:rPr>
          <w:rFonts w:hint="eastAsia" w:ascii="仿宋_GB2312" w:hAnsi="宋体" w:eastAsia="仿宋_GB2312"/>
          <w:color w:val="000000"/>
          <w:szCs w:val="28"/>
        </w:rPr>
        <w:t>磋商报价</w:t>
      </w:r>
      <w:r>
        <w:rPr>
          <w:rFonts w:hint="eastAsia" w:ascii="仿宋_GB2312" w:hAnsi="宋体" w:eastAsia="仿宋_GB2312"/>
          <w:color w:val="000000"/>
          <w:spacing w:val="-6"/>
          <w:szCs w:val="28"/>
        </w:rPr>
        <w:t>应包括</w:t>
      </w:r>
      <w:r>
        <w:rPr>
          <w:rFonts w:hint="eastAsia" w:ascii="仿宋_GB2312" w:hAnsi="宋体" w:eastAsia="仿宋_GB2312"/>
          <w:color w:val="000000"/>
          <w:szCs w:val="28"/>
        </w:rPr>
        <w:t>所需人工费、材料费、其他（保险费，以及合同明示或暗示的风险、责任和义务等）费，以及管理费、利润和规费、税金等一切费用。具体项目对报价有特殊要求的，从其要求进行报价。</w:t>
      </w:r>
    </w:p>
    <w:p>
      <w:pPr>
        <w:pStyle w:val="43"/>
        <w:snapToGrid w:val="0"/>
        <w:spacing w:line="500" w:lineRule="exact"/>
        <w:ind w:firstLine="562"/>
        <w:rPr>
          <w:rFonts w:ascii="仿宋_GB2312" w:hAnsi="宋体" w:eastAsia="仿宋_GB2312"/>
          <w:bCs/>
          <w:color w:val="000000"/>
          <w:szCs w:val="28"/>
        </w:rPr>
      </w:pPr>
      <w:r>
        <w:rPr>
          <w:rFonts w:hint="eastAsia" w:ascii="仿宋_GB2312" w:hAnsi="宋体" w:eastAsia="仿宋_GB2312"/>
          <w:b/>
          <w:szCs w:val="28"/>
        </w:rPr>
        <w:t>最终报价一经确定不得更改，且不受市场价格波动影响。</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（3）其它费用处理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磋商文件未列明，而供应商认为必需的费用也需列入报价。</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7.响应文件货币</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响应文件中的货物单价和总价无特殊规定的采用人民币报价。磋商文件中另有规定的按规定执行。</w:t>
      </w:r>
    </w:p>
    <w:p>
      <w:pPr>
        <w:adjustRightInd w:val="0"/>
        <w:snapToGrid w:val="0"/>
        <w:spacing w:line="500" w:lineRule="exact"/>
        <w:ind w:firstLine="560" w:firstLineChars="200"/>
        <w:rPr>
          <w:rFonts w:ascii="仿宋_GB2312" w:eastAsia="仿宋_GB2312"/>
          <w:color w:val="000000"/>
          <w:szCs w:val="28"/>
        </w:rPr>
      </w:pPr>
      <w:bookmarkStart w:id="63" w:name="_Hlt26954846"/>
      <w:bookmarkEnd w:id="63"/>
      <w:bookmarkStart w:id="64" w:name="_Hlt26954731"/>
      <w:bookmarkEnd w:id="64"/>
      <w:bookmarkStart w:id="65" w:name="_Hlt26670486"/>
      <w:bookmarkEnd w:id="65"/>
      <w:bookmarkStart w:id="66" w:name="_Hlt26670482"/>
      <w:bookmarkEnd w:id="66"/>
      <w:bookmarkStart w:id="67" w:name="_Hlt26954848"/>
      <w:bookmarkEnd w:id="67"/>
      <w:bookmarkStart w:id="68" w:name="_Hlt26954739"/>
      <w:bookmarkEnd w:id="68"/>
      <w:bookmarkStart w:id="69" w:name="_Hlt26954852"/>
      <w:bookmarkEnd w:id="69"/>
      <w:bookmarkStart w:id="70" w:name="_Toc14577361"/>
      <w:bookmarkStart w:id="71" w:name="_Toc49090512"/>
      <w:r>
        <w:rPr>
          <w:rFonts w:hint="eastAsia" w:ascii="仿宋_GB2312" w:eastAsia="仿宋_GB2312"/>
          <w:color w:val="000000"/>
          <w:szCs w:val="28"/>
          <w:lang w:val="en-US" w:eastAsia="zh-CN"/>
        </w:rPr>
        <w:t>8</w:t>
      </w:r>
      <w:r>
        <w:rPr>
          <w:rFonts w:hint="eastAsia" w:ascii="仿宋_GB2312" w:eastAsia="仿宋_GB2312"/>
          <w:color w:val="000000"/>
          <w:szCs w:val="28"/>
        </w:rPr>
        <w:t>.响应文件份数和签署</w:t>
      </w:r>
      <w:bookmarkEnd w:id="70"/>
      <w:bookmarkEnd w:id="7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（1）供应商应严格按照磋商公告要求的份数准备响应文件，每份响应文件须清楚地标明“正本”或“副本”字样。一旦正本和副本不符，以正本为准。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（2）响应文件的正本和所有的副本均需打印或复印，正本由供应商法定代表人或其授权代表签字。授权代表须将“法人授权书”（原件）附在正本响应文件中。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（3）除供应商对错处做必要修改外，响应文件不得行间插字、涂改或增删。如有修改错漏处，必须由响应文件签署人签字或盖章。</w:t>
      </w:r>
    </w:p>
    <w:p>
      <w:pPr>
        <w:adjustRightInd w:val="0"/>
        <w:snapToGrid w:val="0"/>
        <w:spacing w:line="500" w:lineRule="exact"/>
        <w:ind w:firstLine="562" w:firstLineChars="200"/>
        <w:rPr>
          <w:rFonts w:ascii="仿宋_GB2312" w:hAnsi="宋体" w:eastAsia="仿宋_GB2312"/>
          <w:b/>
          <w:color w:val="000000"/>
          <w:szCs w:val="28"/>
        </w:rPr>
      </w:pPr>
      <w:bookmarkStart w:id="72" w:name="_Toc513029224"/>
      <w:bookmarkStart w:id="73" w:name="_Toc403987208"/>
      <w:bookmarkStart w:id="74" w:name="_Toc120614217"/>
      <w:bookmarkStart w:id="75" w:name="_Toc16938540"/>
      <w:bookmarkStart w:id="76" w:name="_Toc20823296"/>
      <w:r>
        <w:rPr>
          <w:rFonts w:hint="eastAsia" w:ascii="仿宋_GB2312" w:hAnsi="宋体" w:eastAsia="仿宋_GB2312"/>
          <w:b/>
          <w:color w:val="000000"/>
          <w:szCs w:val="28"/>
        </w:rPr>
        <w:t>四、响应文件的递交</w:t>
      </w:r>
      <w:bookmarkEnd w:id="72"/>
      <w:bookmarkEnd w:id="73"/>
      <w:bookmarkEnd w:id="74"/>
      <w:bookmarkEnd w:id="75"/>
      <w:bookmarkEnd w:id="76"/>
    </w:p>
    <w:p>
      <w:pPr>
        <w:adjustRightInd w:val="0"/>
        <w:snapToGrid w:val="0"/>
        <w:spacing w:line="500" w:lineRule="exact"/>
        <w:ind w:firstLine="560" w:firstLineChars="200"/>
        <w:rPr>
          <w:rFonts w:ascii="仿宋_GB2312" w:eastAsia="仿宋_GB2312"/>
          <w:color w:val="000000"/>
          <w:szCs w:val="28"/>
        </w:rPr>
      </w:pPr>
      <w:bookmarkStart w:id="77" w:name="_Toc462564084"/>
      <w:bookmarkStart w:id="78" w:name="_Toc16938541"/>
      <w:bookmarkStart w:id="79" w:name="_Toc513029225"/>
      <w:bookmarkStart w:id="80" w:name="_Toc20823297"/>
      <w:r>
        <w:rPr>
          <w:rFonts w:hint="eastAsia" w:ascii="仿宋_GB2312" w:eastAsia="仿宋_GB2312"/>
          <w:color w:val="000000"/>
          <w:szCs w:val="28"/>
        </w:rPr>
        <w:t>1.响应文件的密封和标记</w:t>
      </w:r>
      <w:bookmarkEnd w:id="77"/>
      <w:bookmarkEnd w:id="78"/>
      <w:bookmarkEnd w:id="79"/>
      <w:bookmarkEnd w:id="80"/>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（1）供应商应将响应文件正本和所有副本密封，并加盖供应商公章。不论供应商成交与否，响应文件均不退回。</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（2）密封的响应文件应：</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1）注明供应商名称，如因标注不清而产生的后果由供应商自负。按磋商公告中注明的地址送达；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2）注明磋商项目名称、项目编号。</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3）未按要求密封和加写标记，采购人对误投或过早启封概不负责。对由此造成提前开封的响应文件，采购人将予以拒绝，作无效响应处理。</w:t>
      </w:r>
    </w:p>
    <w:p>
      <w:pPr>
        <w:adjustRightInd w:val="0"/>
        <w:snapToGrid w:val="0"/>
        <w:spacing w:line="500" w:lineRule="exact"/>
        <w:ind w:firstLine="560" w:firstLineChars="200"/>
        <w:rPr>
          <w:rFonts w:ascii="仿宋_GB2312" w:eastAsia="仿宋_GB2312"/>
          <w:color w:val="000000"/>
          <w:szCs w:val="28"/>
        </w:rPr>
      </w:pPr>
      <w:bookmarkStart w:id="81" w:name="_Toc16938542"/>
      <w:bookmarkStart w:id="82" w:name="_Toc513029226"/>
      <w:bookmarkStart w:id="83" w:name="_Toc20823298"/>
      <w:r>
        <w:rPr>
          <w:rFonts w:hint="eastAsia" w:ascii="仿宋_GB2312" w:eastAsia="仿宋_GB2312"/>
          <w:color w:val="000000"/>
          <w:szCs w:val="28"/>
        </w:rPr>
        <w:t>2.响应文件提交截止</w:t>
      </w:r>
      <w:bookmarkEnd w:id="81"/>
      <w:bookmarkEnd w:id="82"/>
      <w:bookmarkEnd w:id="83"/>
      <w:r>
        <w:rPr>
          <w:rFonts w:hint="eastAsia" w:ascii="仿宋_GB2312" w:eastAsia="仿宋_GB2312"/>
          <w:color w:val="000000"/>
          <w:szCs w:val="28"/>
        </w:rPr>
        <w:t>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（1）采购人收到响应文件的时间不得迟于磋商公告中规定的截止时间。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500" w:lineRule="exact"/>
        <w:ind w:firstLine="562" w:firstLineChars="200"/>
        <w:rPr>
          <w:rFonts w:ascii="仿宋_GB2312" w:hAnsi="宋体" w:eastAsia="仿宋_GB2312"/>
          <w:b/>
          <w:color w:val="000000"/>
          <w:szCs w:val="28"/>
        </w:rPr>
      </w:pPr>
      <w:r>
        <w:rPr>
          <w:rFonts w:hint="eastAsia" w:ascii="仿宋_GB2312" w:hAnsi="宋体" w:eastAsia="仿宋_GB2312"/>
          <w:b/>
          <w:color w:val="000000"/>
          <w:szCs w:val="28"/>
        </w:rPr>
        <w:t>五、磋商与评审</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1.磋商仪式</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（1）采购人将在磋商公告中规定的时间和地点组织磋商</w:t>
      </w:r>
      <w:r>
        <w:rPr>
          <w:rFonts w:hint="eastAsia" w:ascii="仿宋_GB2312" w:hAnsi="宋体" w:eastAsia="仿宋_GB2312"/>
          <w:color w:val="000000"/>
          <w:szCs w:val="28"/>
        </w:rPr>
        <w:t>。供应商应委派携带有效证件的代表准时参加，参加磋商的代表需签名以证明其出席。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（2）磋商仪式由采购人代表主持，采购人代表、供应商代表以及有关工作人员参加。</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（3）磋商时请</w:t>
      </w:r>
      <w:r>
        <w:rPr>
          <w:rFonts w:hint="eastAsia" w:ascii="仿宋_GB2312" w:hAnsi="宋体" w:eastAsia="仿宋_GB2312"/>
          <w:color w:val="000000"/>
          <w:szCs w:val="28"/>
          <w:lang w:val="en-US" w:eastAsia="zh-CN"/>
        </w:rPr>
        <w:t>工作</w:t>
      </w:r>
      <w:r>
        <w:rPr>
          <w:rFonts w:hint="eastAsia" w:ascii="仿宋_GB2312" w:hAnsi="宋体" w:eastAsia="仿宋_GB2312"/>
          <w:color w:val="000000"/>
          <w:szCs w:val="28"/>
        </w:rPr>
        <w:t>人员查验响应文件密封情况，至响应文件开启时间后由磋商小组开启响应文件。</w:t>
      </w:r>
    </w:p>
    <w:p>
      <w:pPr>
        <w:adjustRightInd w:val="0"/>
        <w:snapToGrid w:val="0"/>
        <w:spacing w:line="500" w:lineRule="exact"/>
        <w:ind w:firstLine="560" w:firstLineChars="200"/>
        <w:rPr>
          <w:rFonts w:ascii="仿宋_GB2312" w:eastAsia="仿宋_GB2312"/>
          <w:color w:val="000000"/>
          <w:szCs w:val="28"/>
        </w:rPr>
      </w:pPr>
      <w:bookmarkStart w:id="84" w:name="_Toc16938547"/>
      <w:bookmarkStart w:id="85" w:name="_Toc513029231"/>
      <w:bookmarkStart w:id="86" w:name="_Toc20823303"/>
      <w:r>
        <w:rPr>
          <w:rFonts w:hint="eastAsia" w:ascii="仿宋_GB2312" w:eastAsia="仿宋_GB2312"/>
          <w:color w:val="000000"/>
          <w:szCs w:val="28"/>
        </w:rPr>
        <w:t>2.磋商小组</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（1）磋商仪式结束后，采购人将立即组织磋商小组进行磋商。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（2）磋商小组将按规定由3人或以上单数组成。</w:t>
      </w:r>
    </w:p>
    <w:bookmarkEnd w:id="84"/>
    <w:bookmarkEnd w:id="85"/>
    <w:bookmarkEnd w:id="86"/>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（3）磋商小组工作原则</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3.响应文件审查</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500" w:lineRule="exact"/>
        <w:ind w:firstLine="560" w:firstLineChars="200"/>
        <w:rPr>
          <w:rFonts w:ascii="仿宋_GB2312" w:eastAsia="仿宋_GB2312"/>
          <w:color w:val="000000"/>
          <w:szCs w:val="28"/>
        </w:rPr>
      </w:pPr>
      <w:bookmarkStart w:id="87" w:name="_Toc20823304"/>
      <w:bookmarkStart w:id="88" w:name="_Toc16938548"/>
      <w:bookmarkStart w:id="89" w:name="_Toc513029232"/>
      <w:r>
        <w:rPr>
          <w:rFonts w:hint="eastAsia" w:ascii="仿宋_GB2312" w:eastAsia="仿宋_GB2312"/>
          <w:color w:val="000000"/>
          <w:szCs w:val="28"/>
        </w:rPr>
        <w:t>4.供应商澄清</w:t>
      </w:r>
      <w:bookmarkEnd w:id="87"/>
      <w:bookmarkEnd w:id="88"/>
      <w:bookmarkEnd w:id="89"/>
    </w:p>
    <w:p>
      <w:pPr>
        <w:adjustRightInd w:val="0"/>
        <w:snapToGrid w:val="0"/>
        <w:spacing w:line="500" w:lineRule="exact"/>
        <w:ind w:firstLine="560" w:firstLineChars="200"/>
        <w:rPr>
          <w:rFonts w:ascii="仿宋_GB2312" w:eastAsia="仿宋_GB2312"/>
          <w:color w:val="000000"/>
          <w:szCs w:val="28"/>
        </w:rPr>
      </w:pPr>
      <w:bookmarkStart w:id="90" w:name="_Toc16938549"/>
      <w:bookmarkStart w:id="91" w:name="_Toc513029233"/>
      <w:bookmarkStart w:id="92" w:name="_Toc20823305"/>
      <w:r>
        <w:rPr>
          <w:rFonts w:hint="eastAsia" w:ascii="仿宋_GB2312" w:eastAsia="仿宋_GB2312"/>
          <w:color w:val="000000"/>
          <w:szCs w:val="28"/>
        </w:rPr>
        <w:t>（1）磋商小组要求供应商澄清、说明或者更正响应文件将以书面形式作出。</w:t>
      </w:r>
    </w:p>
    <w:bookmarkEnd w:id="90"/>
    <w:bookmarkEnd w:id="91"/>
    <w:bookmarkEnd w:id="92"/>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5.磋商程序、最后报价、综合评分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（1）磋商小组所有成员应当集中与单一供应商分别进行磋商，并给予所有参加磋商的供应商平等的磋商机会。</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（4）已提交响应文件的供应商，在提交最后报价之前，可以根据磋商情况退出磋商。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（6）评审时，磋商小组各成员独立对每个有效响应的文件进行评价、打分，然后汇总每个供应商每项评分因素的得分。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pPr>
        <w:adjustRightInd w:val="0"/>
        <w:snapToGrid w:val="0"/>
        <w:spacing w:line="500" w:lineRule="exact"/>
        <w:ind w:firstLine="560" w:firstLineChars="200"/>
        <w:rPr>
          <w:rFonts w:ascii="仿宋_GB2312" w:hAnsi="宋体" w:eastAsia="仿宋_GB2312"/>
          <w:color w:val="000000"/>
          <w:szCs w:val="28"/>
        </w:rPr>
      </w:pPr>
      <w:r>
        <w:rPr>
          <w:rFonts w:hint="eastAsia" w:ascii="仿宋_GB2312" w:eastAsia="仿宋_GB2312"/>
          <w:color w:val="000000"/>
          <w:szCs w:val="28"/>
        </w:rPr>
        <w:t>6.</w:t>
      </w:r>
      <w:bookmarkStart w:id="93" w:name="_Toc20823307"/>
      <w:bookmarkStart w:id="94" w:name="_Toc513029235"/>
      <w:bookmarkStart w:id="95" w:name="_Toc16938551"/>
      <w:r>
        <w:rPr>
          <w:rFonts w:hint="eastAsia" w:ascii="仿宋_GB2312" w:hAnsi="宋体" w:eastAsia="仿宋_GB2312"/>
          <w:color w:val="000000"/>
          <w:szCs w:val="28"/>
        </w:rPr>
        <w:t>响应无效条款</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1</w:t>
      </w:r>
      <w:r>
        <w:rPr>
          <w:rFonts w:hint="eastAsia" w:ascii="仿宋_GB2312" w:hAnsi="宋体" w:eastAsia="仿宋_GB2312"/>
          <w:color w:val="000000"/>
          <w:szCs w:val="28"/>
        </w:rPr>
        <w:t>）未按照磋商文件规定要求密封、签署、盖章的；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2</w:t>
      </w:r>
      <w:r>
        <w:rPr>
          <w:rFonts w:hint="eastAsia" w:ascii="仿宋_GB2312" w:hAnsi="宋体" w:eastAsia="仿宋_GB2312"/>
          <w:color w:val="000000"/>
          <w:szCs w:val="28"/>
        </w:rPr>
        <w:t>）供应商不具备磋商文件中规定资格条件的；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3</w:t>
      </w:r>
      <w:r>
        <w:rPr>
          <w:rFonts w:hint="eastAsia" w:ascii="仿宋_GB2312" w:hAnsi="宋体" w:eastAsia="仿宋_GB2312"/>
          <w:color w:val="000000"/>
          <w:szCs w:val="28"/>
        </w:rPr>
        <w:t>）不符合法律、法规和磋商文件中规定的其他实质性要求的；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4</w:t>
      </w:r>
      <w:r>
        <w:rPr>
          <w:rFonts w:hint="eastAsia" w:ascii="仿宋_GB2312" w:hAnsi="宋体" w:eastAsia="仿宋_GB2312"/>
          <w:color w:val="000000"/>
          <w:szCs w:val="28"/>
        </w:rPr>
        <w:t>）其他法律、法规及本磋商文件规定的属响应无效的情形。</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7.终止磋商采购活动的条款</w:t>
      </w:r>
    </w:p>
    <w:p>
      <w:pPr>
        <w:adjustRightInd w:val="0"/>
        <w:snapToGrid w:val="0"/>
        <w:spacing w:line="500" w:lineRule="exact"/>
        <w:ind w:firstLine="560" w:firstLineChars="200"/>
        <w:rPr>
          <w:rFonts w:ascii="仿宋_GB2312" w:hAnsi="宋体" w:eastAsia="仿宋_GB2312" w:cs="宋体"/>
          <w:color w:val="000000"/>
          <w:szCs w:val="28"/>
        </w:rPr>
      </w:pPr>
      <w:r>
        <w:rPr>
          <w:rFonts w:hint="eastAsia" w:ascii="仿宋_GB2312" w:hAnsi="宋体" w:eastAsia="仿宋_GB2312" w:cs="宋体"/>
          <w:color w:val="000000"/>
          <w:szCs w:val="28"/>
        </w:rPr>
        <w:t>出现下列情形之一的，采购人将终止磋商采购活动，发布项目终止公告并说明原因，重新开展采购活动：</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（1）因情况变化，不再符合规定的磋商采购方式适用情形的；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（2）出现影响采购公正的违法、违规行为的；</w:t>
      </w:r>
    </w:p>
    <w:bookmarkEnd w:id="93"/>
    <w:bookmarkEnd w:id="94"/>
    <w:bookmarkEnd w:id="95"/>
    <w:p>
      <w:pPr>
        <w:adjustRightInd w:val="0"/>
        <w:snapToGrid w:val="0"/>
        <w:spacing w:line="500" w:lineRule="exact"/>
        <w:ind w:firstLine="560" w:firstLineChars="200"/>
        <w:rPr>
          <w:rFonts w:ascii="仿宋_GB2312" w:eastAsia="仿宋_GB2312"/>
          <w:color w:val="000000"/>
          <w:szCs w:val="28"/>
        </w:rPr>
      </w:pPr>
      <w:bookmarkStart w:id="96" w:name="_Toc16938554"/>
      <w:bookmarkStart w:id="97" w:name="_Toc20823310"/>
      <w:r>
        <w:rPr>
          <w:rFonts w:hint="eastAsia" w:ascii="仿宋_GB2312" w:eastAsia="仿宋_GB2312"/>
          <w:color w:val="000000"/>
          <w:szCs w:val="28"/>
        </w:rPr>
        <w:t>8.确定</w:t>
      </w:r>
      <w:bookmarkEnd w:id="96"/>
      <w:bookmarkEnd w:id="97"/>
      <w:r>
        <w:rPr>
          <w:rFonts w:hint="eastAsia" w:ascii="仿宋_GB2312" w:eastAsia="仿宋_GB2312"/>
          <w:color w:val="000000"/>
          <w:szCs w:val="28"/>
        </w:rPr>
        <w:t>成交供应商</w:t>
      </w:r>
    </w:p>
    <w:p>
      <w:pPr>
        <w:pStyle w:val="43"/>
        <w:snapToGrid w:val="0"/>
        <w:spacing w:line="500" w:lineRule="exact"/>
        <w:ind w:firstLine="560"/>
        <w:rPr>
          <w:rFonts w:ascii="仿宋_GB2312" w:hAnsi="宋体" w:eastAsia="仿宋_GB2312" w:cs="Times New Roman"/>
          <w:color w:val="000000"/>
          <w:szCs w:val="28"/>
        </w:rPr>
      </w:pPr>
      <w:r>
        <w:rPr>
          <w:rFonts w:hint="eastAsia" w:ascii="仿宋_GB2312" w:hAnsi="宋体" w:eastAsia="仿宋_GB2312" w:cs="Times New Roman"/>
          <w:color w:val="000000"/>
          <w:szCs w:val="28"/>
        </w:rPr>
        <w:t>（1）采购人在评审结束后5个工作日内，从评审报告提出的中标候选单位中，按照排序由高到低的原则确定中标候选单位。</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（2）采购人在成交单位确定后2个工作日内在“皖南医学院校园网”公告中标结果。</w:t>
      </w:r>
    </w:p>
    <w:p>
      <w:pPr>
        <w:adjustRightInd w:val="0"/>
        <w:snapToGrid w:val="0"/>
        <w:spacing w:line="500" w:lineRule="exact"/>
        <w:ind w:firstLine="562" w:firstLineChars="200"/>
        <w:rPr>
          <w:rFonts w:ascii="仿宋_GB2312" w:hAnsi="宋体" w:eastAsia="仿宋_GB2312"/>
          <w:b/>
          <w:color w:val="000000"/>
          <w:szCs w:val="28"/>
        </w:rPr>
      </w:pPr>
      <w:bookmarkStart w:id="98" w:name="_Toc120614220"/>
      <w:bookmarkStart w:id="99" w:name="_Toc403987211"/>
      <w:bookmarkStart w:id="100" w:name="_Toc16938552"/>
      <w:bookmarkStart w:id="101" w:name="_Toc513029236"/>
      <w:bookmarkStart w:id="102" w:name="_Toc20823308"/>
      <w:r>
        <w:rPr>
          <w:rFonts w:hint="eastAsia" w:ascii="仿宋_GB2312" w:hAnsi="宋体" w:eastAsia="仿宋_GB2312"/>
          <w:b/>
          <w:color w:val="000000"/>
          <w:szCs w:val="28"/>
        </w:rPr>
        <w:t>六、授予合同</w:t>
      </w:r>
      <w:bookmarkEnd w:id="98"/>
      <w:bookmarkEnd w:id="99"/>
    </w:p>
    <w:bookmarkEnd w:id="100"/>
    <w:bookmarkEnd w:id="101"/>
    <w:bookmarkEnd w:id="102"/>
    <w:p>
      <w:pPr>
        <w:adjustRightInd w:val="0"/>
        <w:snapToGrid w:val="0"/>
        <w:spacing w:line="500" w:lineRule="exact"/>
        <w:ind w:firstLine="560" w:firstLineChars="200"/>
        <w:rPr>
          <w:rFonts w:ascii="仿宋_GB2312" w:eastAsia="仿宋_GB2312"/>
          <w:color w:val="000000"/>
          <w:szCs w:val="28"/>
        </w:rPr>
      </w:pPr>
      <w:bookmarkStart w:id="103" w:name="_Toc513029237"/>
      <w:bookmarkStart w:id="104" w:name="_Toc20823309"/>
      <w:bookmarkStart w:id="105" w:name="_Toc16938553"/>
      <w:r>
        <w:rPr>
          <w:rFonts w:hint="eastAsia" w:ascii="仿宋_GB2312" w:eastAsia="仿宋_GB2312"/>
          <w:color w:val="000000"/>
          <w:szCs w:val="28"/>
        </w:rPr>
        <w:t>1.签订合同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（1）采购人与成交单位应当在中标通知书发出之日起</w:t>
      </w:r>
      <w:r>
        <w:rPr>
          <w:rFonts w:hint="eastAsia" w:ascii="仿宋_GB2312" w:hAnsi="宋体" w:eastAsia="仿宋_GB2312"/>
          <w:color w:val="000000"/>
          <w:szCs w:val="28"/>
          <w:lang w:val="en-US" w:eastAsia="zh-CN"/>
        </w:rPr>
        <w:t>10个工作</w:t>
      </w:r>
      <w:r>
        <w:rPr>
          <w:rFonts w:hint="eastAsia" w:ascii="仿宋_GB2312" w:hAnsi="宋体" w:eastAsia="仿宋_GB2312"/>
          <w:color w:val="000000"/>
          <w:szCs w:val="28"/>
        </w:rPr>
        <w:t>日内，按照磋商文件确定的合同文本以及采购标的、采购金额、技术和服务要求等事项签订采购合同。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（3）磋商文件、成交供应商的响应文件及磋商过程中有关澄清、承诺文件均应作为合同附件。</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2.履约保证金</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（1）成交单位在收到成交通知书后，</w:t>
      </w:r>
      <w:bookmarkStart w:id="106" w:name="_Toc200451963"/>
      <w:r>
        <w:rPr>
          <w:rFonts w:hint="eastAsia" w:ascii="仿宋_GB2312" w:hAnsi="宋体" w:eastAsia="仿宋_GB2312"/>
          <w:color w:val="000000"/>
          <w:szCs w:val="28"/>
          <w:lang w:val="en-US" w:eastAsia="zh-CN"/>
        </w:rPr>
        <w:t>需缴纳履约保证金（招标文件如有要求缴纳）</w:t>
      </w:r>
      <w:r>
        <w:rPr>
          <w:rFonts w:hint="eastAsia" w:ascii="仿宋_GB2312" w:hAnsi="宋体" w:eastAsia="仿宋_GB2312"/>
          <w:color w:val="000000"/>
          <w:szCs w:val="28"/>
        </w:rPr>
        <w:t>。</w:t>
      </w:r>
    </w:p>
    <w:bookmarkEnd w:id="106"/>
    <w:p>
      <w:pPr>
        <w:pStyle w:val="43"/>
        <w:snapToGrid w:val="0"/>
        <w:spacing w:line="500" w:lineRule="exact"/>
        <w:ind w:firstLine="560"/>
        <w:rPr>
          <w:rFonts w:ascii="仿宋_GB2312" w:hAnsi="宋体" w:eastAsia="仿宋_GB2312"/>
          <w:bCs/>
          <w:color w:val="000000"/>
          <w:szCs w:val="28"/>
        </w:rPr>
      </w:pPr>
      <w:r>
        <w:rPr>
          <w:rFonts w:hint="eastAsia" w:ascii="仿宋_GB2312" w:hAnsi="宋体" w:eastAsia="仿宋_GB2312"/>
          <w:bCs/>
          <w:color w:val="000000"/>
          <w:szCs w:val="28"/>
        </w:rPr>
        <w:t>（2）履约保证金的退还：根据合同约定的条款，</w:t>
      </w:r>
      <w:r>
        <w:rPr>
          <w:rFonts w:hint="eastAsia" w:ascii="仿宋_GB2312" w:hAnsi="宋体" w:eastAsia="仿宋_GB2312"/>
          <w:color w:val="000000"/>
          <w:szCs w:val="28"/>
        </w:rPr>
        <w:t>成交单位自行下载、完成《皖南医学院项目履约保证金退付申请表》</w:t>
      </w:r>
      <w:r>
        <w:rPr>
          <w:rFonts w:hint="eastAsia" w:ascii="仿宋_GB2312" w:hAnsi="宋体" w:eastAsia="仿宋_GB2312"/>
          <w:bCs/>
          <w:color w:val="000000"/>
          <w:szCs w:val="28"/>
        </w:rPr>
        <w:t>办理保证金退还手续。</w:t>
      </w:r>
      <w:bookmarkEnd w:id="103"/>
      <w:bookmarkEnd w:id="104"/>
      <w:bookmarkEnd w:id="105"/>
    </w:p>
    <w:p>
      <w:pPr>
        <w:pStyle w:val="43"/>
        <w:snapToGrid w:val="0"/>
        <w:ind w:firstLine="562"/>
        <w:rPr>
          <w:rFonts w:ascii="仿宋_GB2312" w:hAnsi="宋体" w:eastAsia="仿宋_GB2312"/>
          <w:b/>
          <w:bCs/>
          <w:color w:val="000000"/>
          <w:szCs w:val="28"/>
        </w:rPr>
      </w:pPr>
      <w:r>
        <w:rPr>
          <w:rFonts w:hint="eastAsia" w:ascii="仿宋_GB2312" w:hAnsi="宋体" w:eastAsia="仿宋_GB2312"/>
          <w:b/>
          <w:bCs/>
          <w:color w:val="000000"/>
          <w:szCs w:val="28"/>
        </w:rPr>
        <w:t>七、质疑与投诉</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本项目为我校校内统一采购项目，在采购活动中，如需质疑或投诉，按照《皖南医学院采购质疑与投诉管理办法（试行）》（见附件）进行。质疑及投诉联系方式如下：</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 xml:space="preserve">（一）质疑联系方式： </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2.联系电话：0553-3932052；</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（二）投诉联系方式：</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1.联系部门：皖南医学院巡察工作办公室</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2.联系电话：0553-3932826</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3.通讯地址：芜湖市高校园区文昌西路22号皖南医学院巡察工作办公室</w:t>
      </w:r>
    </w:p>
    <w:p>
      <w:pPr>
        <w:pStyle w:val="43"/>
        <w:snapToGrid w:val="0"/>
        <w:ind w:right="280" w:rightChars="100" w:firstLine="560"/>
        <w:rPr>
          <w:rFonts w:ascii="仿宋_GB2312" w:hAnsi="宋体" w:eastAsia="仿宋_GB2312"/>
          <w:bCs/>
          <w:color w:val="000000"/>
          <w:szCs w:val="28"/>
        </w:rPr>
      </w:pPr>
    </w:p>
    <w:p>
      <w:pPr>
        <w:pStyle w:val="43"/>
        <w:snapToGrid w:val="0"/>
        <w:ind w:left="0" w:leftChars="0" w:right="280" w:rightChars="100" w:firstLine="0" w:firstLineChars="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2"/>
        <w:snapToGrid w:val="0"/>
        <w:spacing w:before="0" w:after="0" w:line="240" w:lineRule="atLeast"/>
        <w:ind w:left="947" w:hanging="947"/>
        <w:jc w:val="center"/>
        <w:rPr>
          <w:rFonts w:ascii="华文中宋" w:hAnsi="华文中宋" w:eastAsia="华文中宋"/>
          <w:bCs w:val="0"/>
          <w:color w:val="000000" w:themeColor="text1"/>
          <w14:textFill>
            <w14:solidFill>
              <w14:schemeClr w14:val="tx1"/>
            </w14:solidFill>
          </w14:textFill>
        </w:rPr>
      </w:pPr>
      <w:bookmarkStart w:id="107" w:name="_Toc516580572"/>
      <w:bookmarkStart w:id="108" w:name="_Toc479170302"/>
      <w:r>
        <w:rPr>
          <w:rFonts w:hint="eastAsia" w:ascii="华文中宋" w:hAnsi="华文中宋" w:eastAsia="华文中宋"/>
          <w:bCs w:val="0"/>
          <w:color w:val="000000" w:themeColor="text1"/>
          <w14:textFill>
            <w14:solidFill>
              <w14:schemeClr w14:val="tx1"/>
            </w14:solidFill>
          </w14:textFill>
        </w:rPr>
        <w:t>第四章  合同主要条款</w:t>
      </w:r>
      <w:bookmarkEnd w:id="107"/>
      <w:bookmarkEnd w:id="108"/>
    </w:p>
    <w:p>
      <w:pPr>
        <w:spacing w:line="480" w:lineRule="exact"/>
        <w:rPr>
          <w:rFonts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r>
        <w:rPr>
          <w:rFonts w:hint="eastAsia" w:ascii="仿宋_GB2312" w:hAnsi="仿宋" w:eastAsia="仿宋_GB2312"/>
          <w:szCs w:val="28"/>
          <w:lang w:val="en-US" w:eastAsia="zh-CN"/>
        </w:rPr>
        <w:t xml:space="preserve">                                             </w:t>
      </w:r>
      <w:r>
        <w:rPr>
          <w:rFonts w:hint="eastAsia" w:ascii="仿宋_GB2312" w:hAnsi="仿宋" w:eastAsia="仿宋_GB2312"/>
          <w:szCs w:val="28"/>
        </w:rPr>
        <w:t xml:space="preserve">合同编号：             </w:t>
      </w:r>
    </w:p>
    <w:p>
      <w:pPr>
        <w:spacing w:line="480" w:lineRule="exact"/>
        <w:rPr>
          <w:rFonts w:hint="eastAsia" w:ascii="仿宋_GB2312" w:hAnsi="仿宋" w:eastAsia="仿宋_GB2312"/>
          <w:szCs w:val="28"/>
        </w:rPr>
      </w:pPr>
    </w:p>
    <w:p>
      <w:pPr>
        <w:spacing w:line="480" w:lineRule="exact"/>
        <w:rPr>
          <w:rFonts w:ascii="仿宋_GB2312" w:hAnsi="仿宋" w:eastAsia="仿宋_GB2312"/>
          <w:szCs w:val="28"/>
        </w:rPr>
      </w:pPr>
    </w:p>
    <w:p>
      <w:pPr>
        <w:spacing w:line="560" w:lineRule="exact"/>
        <w:rPr>
          <w:rFonts w:ascii="宋体" w:hAnsi="宋体" w:eastAsia="宋体"/>
          <w:sz w:val="24"/>
          <w:szCs w:val="24"/>
        </w:rPr>
      </w:pPr>
      <w:r>
        <w:rPr>
          <w:rFonts w:hint="eastAsia" w:ascii="宋体" w:hAnsi="宋体" w:eastAsia="宋体"/>
          <w:b/>
          <w:sz w:val="24"/>
          <w:szCs w:val="24"/>
        </w:rPr>
        <w:t>甲方（买方）</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color w:val="AEAAAA"/>
          <w:sz w:val="24"/>
          <w:szCs w:val="24"/>
        </w:rPr>
        <w:t>皖南医学院（二级部门/单位）</w:t>
      </w:r>
      <w:r>
        <w:rPr>
          <w:rFonts w:ascii="宋体" w:hAnsi="宋体" w:eastAsia="宋体"/>
          <w:sz w:val="24"/>
          <w:szCs w:val="24"/>
        </w:rPr>
        <w:t xml:space="preserve">   </w:t>
      </w:r>
    </w:p>
    <w:p>
      <w:pPr>
        <w:spacing w:line="560" w:lineRule="exact"/>
        <w:rPr>
          <w:rFonts w:ascii="宋体" w:hAnsi="宋体" w:eastAsia="宋体"/>
          <w:sz w:val="24"/>
          <w:szCs w:val="24"/>
          <w:u w:val="single"/>
        </w:rPr>
      </w:pPr>
      <w:r>
        <w:rPr>
          <w:rFonts w:hint="eastAsia" w:ascii="宋体" w:hAnsi="宋体" w:eastAsia="宋体"/>
          <w:b/>
          <w:sz w:val="24"/>
          <w:szCs w:val="24"/>
        </w:rPr>
        <w:t>乙方（卖方</w:t>
      </w:r>
      <w:r>
        <w:rPr>
          <w:rFonts w:hint="eastAsia" w:ascii="宋体" w:hAnsi="宋体" w:eastAsia="宋体"/>
          <w:sz w:val="24"/>
          <w:szCs w:val="24"/>
        </w:rPr>
        <w:t>）：</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签订地点</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皖南医学院 </w:t>
      </w:r>
      <w:r>
        <w:rPr>
          <w:rFonts w:ascii="宋体" w:hAnsi="宋体" w:eastAsia="宋体"/>
          <w:sz w:val="24"/>
          <w:szCs w:val="24"/>
          <w:u w:val="single"/>
        </w:rPr>
        <w:t xml:space="preserve">    </w:t>
      </w:r>
      <w:r>
        <w:rPr>
          <w:rFonts w:hint="eastAsia" w:ascii="宋体" w:hAnsi="宋体" w:eastAsia="宋体"/>
          <w:sz w:val="24"/>
          <w:szCs w:val="24"/>
          <w:u w:val="single"/>
        </w:rPr>
        <w:t xml:space="preserve">  校区</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签订时间</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rPr>
        <w:t>日</w:t>
      </w:r>
    </w:p>
    <w:p>
      <w:pPr>
        <w:spacing w:line="560" w:lineRule="exact"/>
        <w:ind w:firstLine="480" w:firstLineChars="200"/>
        <w:rPr>
          <w:rFonts w:ascii="宋体" w:hAnsi="宋体" w:eastAsia="宋体"/>
          <w:sz w:val="24"/>
          <w:szCs w:val="24"/>
        </w:rPr>
      </w:pPr>
      <w:r>
        <w:rPr>
          <w:rFonts w:hint="eastAsia" w:ascii="宋体" w:hAnsi="宋体" w:eastAsia="宋体"/>
          <w:kern w:val="0"/>
          <w:sz w:val="24"/>
          <w:szCs w:val="24"/>
        </w:rPr>
        <w:t>根据《中华人民共和国民法典》</w:t>
      </w:r>
      <w:r>
        <w:rPr>
          <w:rFonts w:hint="eastAsia" w:ascii="宋体" w:hAnsi="宋体" w:eastAsia="宋体"/>
          <w:sz w:val="24"/>
          <w:szCs w:val="24"/>
        </w:rPr>
        <w:t>，经双方友好协商一致，共同签订本合同。</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服务名称及内容</w:t>
      </w:r>
    </w:p>
    <w:p>
      <w:pPr>
        <w:spacing w:line="560" w:lineRule="exact"/>
        <w:rPr>
          <w:rFonts w:ascii="宋体" w:hAnsi="宋体" w:eastAsia="宋体"/>
          <w:b/>
          <w:i/>
          <w:sz w:val="24"/>
          <w:szCs w:val="24"/>
          <w:u w:val="single"/>
        </w:rPr>
      </w:pPr>
      <w:r>
        <w:rPr>
          <w:rFonts w:hint="eastAsia" w:ascii="宋体" w:hAnsi="宋体" w:eastAsia="宋体"/>
          <w:b/>
          <w:i/>
          <w:sz w:val="24"/>
          <w:szCs w:val="24"/>
          <w:u w:val="single"/>
        </w:rPr>
        <w:t>（根据项目情况自拟）</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服务期限</w:t>
      </w:r>
    </w:p>
    <w:p>
      <w:pPr>
        <w:spacing w:line="560" w:lineRule="exact"/>
        <w:ind w:firstLine="480" w:firstLineChars="200"/>
        <w:rPr>
          <w:rFonts w:hint="eastAsia" w:ascii="宋体" w:hAnsi="宋体" w:eastAsia="宋体"/>
          <w:sz w:val="24"/>
          <w:szCs w:val="24"/>
        </w:rPr>
      </w:pPr>
      <w:r>
        <w:rPr>
          <w:rFonts w:hint="eastAsia" w:ascii="宋体" w:hAnsi="宋体" w:eastAsia="宋体"/>
          <w:sz w:val="24"/>
          <w:szCs w:val="24"/>
        </w:rPr>
        <w:t>乙方应于合同签订之日起</w:t>
      </w:r>
      <w:r>
        <w:rPr>
          <w:rFonts w:ascii="宋体" w:hAnsi="宋体" w:eastAsia="宋体"/>
          <w:sz w:val="24"/>
          <w:szCs w:val="24"/>
          <w:u w:val="single"/>
        </w:rPr>
        <w:t xml:space="preserve">      </w:t>
      </w:r>
      <w:r>
        <w:rPr>
          <w:rFonts w:hint="eastAsia" w:ascii="宋体" w:hAnsi="宋体" w:eastAsia="宋体"/>
          <w:sz w:val="24"/>
          <w:szCs w:val="24"/>
        </w:rPr>
        <w:t>日内完成合同约定的服务内容，由甲方进行验收。</w:t>
      </w:r>
    </w:p>
    <w:p>
      <w:pPr>
        <w:spacing w:line="560" w:lineRule="exact"/>
        <w:rPr>
          <w:rFonts w:ascii="宋体" w:hAnsi="宋体" w:eastAsia="宋体"/>
          <w:b/>
          <w:sz w:val="24"/>
          <w:szCs w:val="24"/>
          <w:u w:val="single"/>
        </w:rPr>
      </w:pPr>
      <w:r>
        <w:rPr>
          <w:rFonts w:hint="eastAsia" w:ascii="宋体" w:hAnsi="宋体" w:eastAsia="宋体"/>
          <w:sz w:val="24"/>
          <w:szCs w:val="24"/>
        </w:rPr>
        <w:t>验收方式为：</w:t>
      </w:r>
      <w:r>
        <w:rPr>
          <w:rFonts w:hint="eastAsia" w:ascii="宋体" w:hAnsi="宋体" w:eastAsia="宋体"/>
          <w:b/>
          <w:i/>
          <w:sz w:val="24"/>
          <w:szCs w:val="24"/>
          <w:u w:val="single"/>
        </w:rPr>
        <w:t>（根据项目情况自拟）</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合同金额：</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元（人民币大写：</w:t>
      </w:r>
      <w:r>
        <w:rPr>
          <w:rFonts w:ascii="宋体" w:hAnsi="宋体" w:eastAsia="宋体"/>
          <w:sz w:val="24"/>
          <w:szCs w:val="24"/>
          <w:u w:val="single"/>
        </w:rPr>
        <w:t xml:space="preserve">                       </w:t>
      </w:r>
      <w:r>
        <w:rPr>
          <w:rFonts w:hint="eastAsia" w:ascii="宋体" w:hAnsi="宋体" w:eastAsia="宋体"/>
          <w:sz w:val="24"/>
          <w:szCs w:val="24"/>
        </w:rPr>
        <w:t>）</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合同款支付</w:t>
      </w:r>
    </w:p>
    <w:p>
      <w:pPr>
        <w:numPr>
          <w:ilvl w:val="0"/>
          <w:numId w:val="3"/>
        </w:numPr>
        <w:spacing w:line="560" w:lineRule="exact"/>
        <w:rPr>
          <w:rFonts w:hint="eastAsia" w:ascii="宋体" w:hAnsi="宋体" w:eastAsia="宋体"/>
          <w:sz w:val="24"/>
          <w:szCs w:val="24"/>
        </w:rPr>
      </w:pPr>
      <w:r>
        <w:rPr>
          <w:rFonts w:hint="eastAsia" w:ascii="宋体" w:hAnsi="宋体" w:eastAsia="宋体"/>
          <w:sz w:val="24"/>
          <w:szCs w:val="24"/>
        </w:rPr>
        <w:t>甲方按以下第  ②   种方式支付合同款（选择其一）：</w:t>
      </w:r>
    </w:p>
    <w:p>
      <w:pPr>
        <w:numPr>
          <w:ilvl w:val="0"/>
          <w:numId w:val="3"/>
        </w:numPr>
        <w:spacing w:line="560" w:lineRule="exact"/>
        <w:rPr>
          <w:rFonts w:hint="eastAsia" w:ascii="宋体" w:hAnsi="宋体" w:eastAsia="宋体"/>
          <w:sz w:val="24"/>
          <w:szCs w:val="24"/>
        </w:rPr>
      </w:pPr>
      <w:r>
        <w:rPr>
          <w:rFonts w:hint="eastAsia" w:ascii="宋体" w:hAnsi="宋体" w:eastAsia="宋体"/>
          <w:sz w:val="24"/>
          <w:szCs w:val="24"/>
        </w:rPr>
        <w:t>①乙方履约完成并经甲方验收合格后，甲方于      日内一次性付清合同款。</w:t>
      </w:r>
    </w:p>
    <w:p>
      <w:pPr>
        <w:numPr>
          <w:ilvl w:val="0"/>
          <w:numId w:val="0"/>
        </w:numPr>
        <w:spacing w:line="560" w:lineRule="exact"/>
        <w:ind w:leftChars="0"/>
        <w:rPr>
          <w:rFonts w:ascii="宋体" w:hAnsi="宋体" w:eastAsia="宋体"/>
          <w:b/>
          <w:sz w:val="24"/>
          <w:szCs w:val="24"/>
        </w:rPr>
      </w:pPr>
      <w:r>
        <w:rPr>
          <w:rFonts w:hint="eastAsia" w:ascii="宋体" w:hAnsi="宋体" w:eastAsia="宋体"/>
          <w:sz w:val="24"/>
          <w:szCs w:val="24"/>
        </w:rPr>
        <w:t>② 签订合同后甲方预付合同款的  40  %  （即  元），乙方履约六个月经甲方考核合格后，甲方于七 日内支付合同款  30  %（即  元）,乙方服务期限满经甲方考核合格后于七 日内支付  30  %（即  元）合同款。</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售后服务</w:t>
      </w:r>
    </w:p>
    <w:p>
      <w:pPr>
        <w:numPr>
          <w:ilvl w:val="0"/>
          <w:numId w:val="4"/>
        </w:numPr>
        <w:spacing w:line="560" w:lineRule="exact"/>
        <w:rPr>
          <w:rFonts w:ascii="宋体" w:hAnsi="宋体" w:eastAsia="宋体"/>
          <w:sz w:val="24"/>
          <w:szCs w:val="24"/>
        </w:rPr>
      </w:pPr>
      <w:r>
        <w:rPr>
          <w:rFonts w:ascii="宋体" w:hAnsi="宋体" w:eastAsia="宋体"/>
          <w:sz w:val="24"/>
          <w:szCs w:val="24"/>
          <w:u w:val="single"/>
        </w:rPr>
        <w:t xml:space="preserve">        </w:t>
      </w:r>
      <w:r>
        <w:rPr>
          <w:rFonts w:hint="eastAsia" w:ascii="宋体" w:hAnsi="宋体" w:eastAsia="宋体"/>
          <w:sz w:val="24"/>
          <w:szCs w:val="24"/>
        </w:rPr>
        <w:t>年免费维保（自验收合格之日起）</w:t>
      </w:r>
      <w:r>
        <w:rPr>
          <w:rFonts w:hint="eastAsia" w:ascii="宋体" w:hAnsi="宋体" w:eastAsia="宋体"/>
          <w:b/>
          <w:i/>
          <w:sz w:val="24"/>
          <w:szCs w:val="24"/>
        </w:rPr>
        <w:t>（此条可根据项目性质编辑修改）</w:t>
      </w:r>
      <w:r>
        <w:rPr>
          <w:rFonts w:hint="eastAsia" w:ascii="宋体" w:hAnsi="宋体" w:eastAsia="宋体"/>
          <w:sz w:val="24"/>
          <w:szCs w:val="24"/>
        </w:rPr>
        <w:t>。</w:t>
      </w:r>
    </w:p>
    <w:p>
      <w:pPr>
        <w:numPr>
          <w:ilvl w:val="0"/>
          <w:numId w:val="4"/>
        </w:numPr>
        <w:spacing w:line="560" w:lineRule="exact"/>
        <w:rPr>
          <w:rFonts w:ascii="宋体" w:hAnsi="宋体" w:eastAsia="宋体"/>
          <w:sz w:val="24"/>
          <w:szCs w:val="24"/>
        </w:rPr>
      </w:pPr>
      <w:r>
        <w:rPr>
          <w:rFonts w:hint="eastAsia" w:ascii="宋体" w:hAnsi="宋体" w:eastAsia="宋体"/>
          <w:sz w:val="24"/>
          <w:szCs w:val="24"/>
        </w:rPr>
        <w:t>免费质保期结束后，甲方如有后续服务需求，乙方仍应承担维护职责，甲方需支付相应的服务费用（此条可根据项目性质编辑修改）。</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违约责任</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甲乙双方不履行合同约定的义务即为违约。</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如乙方不能按期完成合同规定服务内容，除经甲方认可的不可抗拒原因外（以书面通知为准），每延长一天，甲方按合同总金额的</w:t>
      </w:r>
      <w:r>
        <w:rPr>
          <w:rFonts w:hint="eastAsia" w:ascii="宋体" w:hAnsi="宋体"/>
          <w:sz w:val="24"/>
          <w:szCs w:val="24"/>
          <w:lang w:val="en-US" w:eastAsia="zh-CN"/>
        </w:rPr>
        <w:t>5</w:t>
      </w:r>
      <w:r>
        <w:rPr>
          <w:rFonts w:hint="eastAsia" w:ascii="宋体" w:hAnsi="宋体" w:eastAsia="宋体"/>
          <w:sz w:val="24"/>
          <w:szCs w:val="24"/>
        </w:rPr>
        <w:t>‰按日收取延迟交货违约金，违约金最高不超过合同总金额</w:t>
      </w:r>
      <w:r>
        <w:rPr>
          <w:rFonts w:hint="eastAsia" w:ascii="宋体" w:hAnsi="宋体"/>
          <w:sz w:val="24"/>
          <w:szCs w:val="24"/>
          <w:lang w:val="en-US" w:eastAsia="zh-CN"/>
        </w:rPr>
        <w:t>2.</w:t>
      </w:r>
      <w:r>
        <w:rPr>
          <w:rFonts w:ascii="宋体" w:hAnsi="宋体" w:eastAsia="宋体"/>
          <w:sz w:val="24"/>
          <w:szCs w:val="24"/>
        </w:rPr>
        <w:t>5%</w:t>
      </w:r>
      <w:r>
        <w:rPr>
          <w:rFonts w:hint="eastAsia" w:ascii="宋体" w:hAnsi="宋体" w:eastAsia="宋体"/>
          <w:sz w:val="24"/>
          <w:szCs w:val="24"/>
        </w:rPr>
        <w:t>。</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由于乙方原因不能按照约定时间完成履约的，在甲方书面通知</w:t>
      </w:r>
      <w:r>
        <w:rPr>
          <w:rFonts w:ascii="宋体" w:hAnsi="宋体" w:eastAsia="宋体"/>
          <w:sz w:val="24"/>
          <w:szCs w:val="24"/>
        </w:rPr>
        <w:t>7</w:t>
      </w:r>
      <w:r>
        <w:rPr>
          <w:rFonts w:hint="eastAsia" w:ascii="宋体" w:hAnsi="宋体" w:eastAsia="宋体"/>
          <w:sz w:val="24"/>
          <w:szCs w:val="24"/>
        </w:rPr>
        <w:t>日内乙方仍未履行或采取补救措施的，甲方有权终止合同，乙方须按合同总金额的</w:t>
      </w:r>
      <w:r>
        <w:rPr>
          <w:rFonts w:ascii="宋体" w:hAnsi="宋体" w:eastAsia="宋体"/>
          <w:sz w:val="24"/>
          <w:szCs w:val="24"/>
        </w:rPr>
        <w:t>30%</w:t>
      </w:r>
      <w:r>
        <w:rPr>
          <w:rFonts w:hint="eastAsia" w:ascii="宋体" w:hAnsi="宋体" w:eastAsia="宋体"/>
          <w:sz w:val="24"/>
          <w:szCs w:val="24"/>
        </w:rPr>
        <w:t>向甲方支付违约赔偿金，并全额退还甲方已付给乙方的货款。</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乙方提供的服务不符合合同约定的，乙方必须无条件在甲方规定的时间内整改，如乙方不能在规定时间内完成整改，或整改后仍达不到合同交付标准的，乙方须退回全部合同款，并向甲方支付合同总金额的</w:t>
      </w:r>
      <w:r>
        <w:rPr>
          <w:rFonts w:ascii="宋体" w:hAnsi="宋体" w:eastAsia="宋体"/>
          <w:sz w:val="24"/>
          <w:szCs w:val="24"/>
        </w:rPr>
        <w:t>20%</w:t>
      </w:r>
      <w:r>
        <w:rPr>
          <w:rFonts w:hint="eastAsia" w:ascii="宋体" w:hAnsi="宋体" w:eastAsia="宋体"/>
          <w:sz w:val="24"/>
          <w:szCs w:val="24"/>
        </w:rPr>
        <w:t>的赔偿金。</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甲方无正当理由逾期付款，每延长一天，按未付金额的</w:t>
      </w:r>
      <w:r>
        <w:rPr>
          <w:rFonts w:hint="eastAsia" w:ascii="宋体" w:hAnsi="宋体"/>
          <w:sz w:val="24"/>
          <w:szCs w:val="24"/>
          <w:lang w:val="en-US" w:eastAsia="zh-CN"/>
        </w:rPr>
        <w:t>5</w:t>
      </w:r>
      <w:r>
        <w:rPr>
          <w:rFonts w:hint="eastAsia" w:ascii="宋体" w:hAnsi="宋体" w:eastAsia="宋体"/>
          <w:sz w:val="24"/>
          <w:szCs w:val="24"/>
        </w:rPr>
        <w:t>‰作为违约金，违约金最多不超过合同总金额的</w:t>
      </w:r>
      <w:r>
        <w:rPr>
          <w:rFonts w:hint="eastAsia" w:ascii="宋体" w:hAnsi="宋体"/>
          <w:sz w:val="24"/>
          <w:szCs w:val="24"/>
          <w:lang w:val="en-US" w:eastAsia="zh-CN"/>
        </w:rPr>
        <w:t>2.</w:t>
      </w:r>
      <w:r>
        <w:rPr>
          <w:rFonts w:ascii="宋体" w:hAnsi="宋体" w:eastAsia="宋体"/>
          <w:sz w:val="24"/>
          <w:szCs w:val="24"/>
        </w:rPr>
        <w:t>5%</w:t>
      </w:r>
      <w:r>
        <w:rPr>
          <w:rFonts w:hint="eastAsia" w:ascii="宋体" w:hAnsi="宋体" w:eastAsia="宋体"/>
          <w:sz w:val="24"/>
          <w:szCs w:val="24"/>
        </w:rPr>
        <w:t>。</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甲方在以下情况下可向乙方发出书面通知，终止部分或全部合同：</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①乙方未能在合同规定的期限或甲方同意延长的限期内提供合同约定的服务内容。</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②如果乙方未能履行合同规定的其他义务，乙方在收到甲方发出的违约通知后</w:t>
      </w:r>
      <w:r>
        <w:rPr>
          <w:rFonts w:ascii="宋体" w:hAnsi="宋体" w:eastAsia="宋体"/>
          <w:sz w:val="24"/>
          <w:szCs w:val="24"/>
        </w:rPr>
        <w:t>7</w:t>
      </w:r>
      <w:r>
        <w:rPr>
          <w:rFonts w:hint="eastAsia" w:ascii="宋体" w:hAnsi="宋体" w:eastAsia="宋体"/>
          <w:sz w:val="24"/>
          <w:szCs w:val="24"/>
        </w:rPr>
        <w:t>天内，或经甲方书面认可延长的时间内未能纠正其过失。</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不可抗力</w:t>
      </w:r>
    </w:p>
    <w:p>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双方在订立合同时无法控制、不可预见的事件如：战争、水灾、地震，异常恶劣天气以及双方同意的事件为不可抗力事件。当因不可抗力事件发生致使履约延迟时，履行合同的期限可相应延长，但乙方应继续履行合同。</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争议处理</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本合同发生争议，由双方协商解决，协商不成时按以下第</w:t>
      </w:r>
      <w:r>
        <w:rPr>
          <w:rFonts w:ascii="宋体" w:hAnsi="宋体" w:eastAsia="宋体"/>
          <w:sz w:val="24"/>
          <w:szCs w:val="24"/>
          <w:u w:val="single"/>
        </w:rPr>
        <w:t xml:space="preserve">     </w:t>
      </w:r>
      <w:r>
        <w:rPr>
          <w:rFonts w:hint="eastAsia" w:ascii="宋体" w:hAnsi="宋体" w:eastAsia="宋体"/>
          <w:sz w:val="24"/>
          <w:szCs w:val="24"/>
        </w:rPr>
        <w:t>种方式处理（选择其一）：</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由甲方所在地仲裁机构申请仲裁。</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向甲方所在地人民法院起诉。</w:t>
      </w:r>
    </w:p>
    <w:p>
      <w:pPr>
        <w:numPr>
          <w:ilvl w:val="0"/>
          <w:numId w:val="3"/>
        </w:numPr>
        <w:spacing w:line="560" w:lineRule="exact"/>
        <w:rPr>
          <w:rFonts w:hint="eastAsia" w:ascii="宋体" w:hAnsi="宋体" w:eastAsia="宋体"/>
          <w:b/>
          <w:sz w:val="24"/>
          <w:szCs w:val="24"/>
        </w:rPr>
      </w:pPr>
      <w:r>
        <w:rPr>
          <w:rFonts w:hint="eastAsia" w:ascii="宋体" w:hAnsi="宋体" w:eastAsia="宋体"/>
          <w:b/>
          <w:sz w:val="24"/>
          <w:szCs w:val="24"/>
        </w:rPr>
        <w:t>本合同一式肆份，具有同等法律效力，甲乙双方各执壹份，财务处壹份，国资处备案壹份。本合同双方签字盖章后生效。合同未尽事宜，双方可另行签订补充协议，补充协议是合同的组成部分。</w:t>
      </w:r>
    </w:p>
    <w:p>
      <w:pPr>
        <w:spacing w:line="560" w:lineRule="exact"/>
        <w:rPr>
          <w:rFonts w:ascii="宋体" w:hAnsi="宋体" w:eastAsia="宋体"/>
          <w:sz w:val="24"/>
          <w:szCs w:val="24"/>
          <w:u w:val="single"/>
        </w:rPr>
      </w:pPr>
      <w:r>
        <w:rPr>
          <w:rFonts w:hint="eastAsia" w:ascii="宋体" w:hAnsi="宋体" w:eastAsia="宋体"/>
          <w:sz w:val="24"/>
          <w:szCs w:val="24"/>
        </w:rPr>
        <w:t>甲方：</w:t>
      </w:r>
      <w:r>
        <w:rPr>
          <w:rFonts w:hint="eastAsia" w:ascii="宋体" w:hAnsi="宋体" w:eastAsia="宋体"/>
          <w:color w:val="AEAAAA"/>
          <w:w w:val="80"/>
          <w:sz w:val="24"/>
          <w:szCs w:val="24"/>
          <w:u w:val="single"/>
        </w:rPr>
        <w:t>皖南医学院（二级部门/单位）</w:t>
      </w:r>
      <w:r>
        <w:rPr>
          <w:rFonts w:hint="eastAsia" w:ascii="宋体" w:hAnsi="宋体" w:eastAsia="宋体"/>
          <w:w w:val="80"/>
          <w:sz w:val="24"/>
          <w:szCs w:val="24"/>
          <w:u w:val="single"/>
        </w:rPr>
        <w:t>（经济合同章）</w:t>
      </w:r>
      <w:r>
        <w:rPr>
          <w:rFonts w:ascii="宋体" w:hAnsi="宋体" w:eastAsia="宋体"/>
          <w:sz w:val="24"/>
          <w:szCs w:val="24"/>
        </w:rPr>
        <w:t xml:space="preserve">   </w:t>
      </w:r>
      <w:r>
        <w:rPr>
          <w:rFonts w:hint="eastAsia" w:ascii="宋体" w:hAnsi="宋体" w:eastAsia="宋体"/>
          <w:sz w:val="24"/>
          <w:szCs w:val="24"/>
        </w:rPr>
        <w:t>乙方：</w:t>
      </w:r>
      <w:r>
        <w:rPr>
          <w:rFonts w:ascii="宋体" w:hAnsi="宋体" w:eastAsia="宋体"/>
          <w:sz w:val="24"/>
          <w:szCs w:val="24"/>
          <w:u w:val="single"/>
        </w:rPr>
        <w:t xml:space="preserve">                </w:t>
      </w:r>
      <w:r>
        <w:rPr>
          <w:rFonts w:hint="eastAsia" w:ascii="宋体" w:hAnsi="宋体" w:eastAsia="宋体"/>
          <w:sz w:val="24"/>
          <w:szCs w:val="24"/>
          <w:u w:val="single"/>
        </w:rPr>
        <w:t>（盖章）</w:t>
      </w:r>
      <w:r>
        <w:rPr>
          <w:rFonts w:ascii="宋体" w:hAnsi="宋体" w:eastAsia="宋体"/>
          <w:sz w:val="24"/>
          <w:szCs w:val="24"/>
          <w:u w:val="single"/>
        </w:rPr>
        <w:t xml:space="preserve"> </w:t>
      </w:r>
    </w:p>
    <w:p>
      <w:pPr>
        <w:spacing w:line="560" w:lineRule="exact"/>
        <w:rPr>
          <w:rFonts w:ascii="宋体" w:hAnsi="宋体" w:eastAsia="宋体"/>
          <w:sz w:val="24"/>
          <w:szCs w:val="24"/>
          <w:u w:val="single"/>
        </w:rPr>
      </w:pPr>
      <w:r>
        <w:rPr>
          <w:rFonts w:hint="eastAsia" w:ascii="宋体" w:hAnsi="宋体" w:eastAsia="宋体"/>
          <w:sz w:val="24"/>
          <w:szCs w:val="24"/>
        </w:rPr>
        <w:t>地址：</w:t>
      </w:r>
      <w:r>
        <w:rPr>
          <w:rFonts w:ascii="宋体" w:hAnsi="宋体" w:eastAsia="宋体"/>
          <w:sz w:val="24"/>
          <w:szCs w:val="24"/>
          <w:u w:val="single"/>
        </w:rPr>
        <w:t>芜湖市弋江区</w:t>
      </w:r>
      <w:r>
        <w:rPr>
          <w:rFonts w:hint="eastAsia" w:ascii="宋体" w:hAnsi="宋体" w:eastAsia="宋体"/>
          <w:sz w:val="24"/>
          <w:szCs w:val="24"/>
          <w:u w:val="single"/>
        </w:rPr>
        <w:t>文昌</w:t>
      </w:r>
      <w:r>
        <w:rPr>
          <w:rFonts w:ascii="宋体" w:hAnsi="宋体" w:eastAsia="宋体"/>
          <w:sz w:val="24"/>
          <w:szCs w:val="24"/>
          <w:u w:val="single"/>
        </w:rPr>
        <w:t>西路</w:t>
      </w:r>
      <w:r>
        <w:rPr>
          <w:rFonts w:hint="eastAsia" w:ascii="宋体" w:hAnsi="宋体" w:eastAsia="宋体"/>
          <w:sz w:val="24"/>
          <w:szCs w:val="24"/>
          <w:u w:val="single"/>
        </w:rPr>
        <w:t>22号</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地址：</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sz w:val="24"/>
          <w:szCs w:val="24"/>
        </w:rPr>
        <w:t>法定代表人或委托代理人：</w:t>
      </w:r>
      <w:r>
        <w:rPr>
          <w:rFonts w:ascii="宋体" w:hAnsi="宋体" w:eastAsia="宋体"/>
          <w:sz w:val="24"/>
          <w:szCs w:val="24"/>
        </w:rPr>
        <w:t xml:space="preserve">                 </w:t>
      </w:r>
      <w:r>
        <w:rPr>
          <w:rFonts w:hint="eastAsia" w:ascii="宋体" w:hAnsi="宋体" w:eastAsia="宋体"/>
          <w:sz w:val="24"/>
          <w:szCs w:val="24"/>
        </w:rPr>
        <w:t>法定代表人或委托代理人：</w:t>
      </w:r>
    </w:p>
    <w:p>
      <w:pPr>
        <w:spacing w:line="560" w:lineRule="exact"/>
        <w:rPr>
          <w:rFonts w:hint="eastAsia" w:ascii="宋体" w:hAnsi="宋体" w:eastAsia="宋体"/>
          <w:sz w:val="24"/>
          <w:szCs w:val="24"/>
        </w:rPr>
      </w:pP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p>
    <w:p>
      <w:pPr>
        <w:spacing w:line="560" w:lineRule="exact"/>
        <w:rPr>
          <w:rFonts w:ascii="宋体" w:hAnsi="宋体" w:eastAsia="宋体"/>
          <w:sz w:val="24"/>
          <w:szCs w:val="24"/>
        </w:rPr>
      </w:pPr>
      <w:r>
        <w:rPr>
          <w:rFonts w:hint="eastAsia" w:ascii="宋体" w:hAnsi="宋体" w:eastAsia="宋体"/>
          <w:sz w:val="24"/>
          <w:szCs w:val="24"/>
        </w:rPr>
        <w:t>账号：</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账号：</w:t>
      </w:r>
    </w:p>
    <w:p>
      <w:pPr>
        <w:spacing w:line="560" w:lineRule="exact"/>
        <w:rPr>
          <w:rFonts w:ascii="宋体" w:hAnsi="宋体" w:eastAsia="宋体"/>
          <w:sz w:val="24"/>
          <w:szCs w:val="24"/>
        </w:rPr>
      </w:pPr>
      <w:r>
        <w:rPr>
          <w:rFonts w:hint="eastAsia" w:ascii="宋体" w:hAnsi="宋体" w:eastAsia="宋体"/>
          <w:sz w:val="24"/>
          <w:szCs w:val="24"/>
        </w:rPr>
        <w:t xml:space="preserve">开户行： </w:t>
      </w:r>
      <w:r>
        <w:rPr>
          <w:rFonts w:ascii="宋体" w:hAnsi="宋体" w:eastAsia="宋体"/>
          <w:sz w:val="24"/>
          <w:szCs w:val="24"/>
        </w:rPr>
        <w:t xml:space="preserve">                                </w:t>
      </w:r>
      <w:r>
        <w:rPr>
          <w:rFonts w:hint="eastAsia" w:ascii="宋体" w:hAnsi="宋体" w:eastAsia="宋体"/>
          <w:sz w:val="24"/>
          <w:szCs w:val="24"/>
        </w:rPr>
        <w:t>开户行：</w:t>
      </w:r>
      <w:r>
        <w:rPr>
          <w:rFonts w:ascii="宋体" w:hAnsi="宋体" w:eastAsia="宋体"/>
          <w:sz w:val="24"/>
          <w:szCs w:val="24"/>
        </w:rPr>
        <w:tab/>
      </w:r>
    </w:p>
    <w:p>
      <w:pPr>
        <w:spacing w:line="560" w:lineRule="exact"/>
        <w:rPr>
          <w:rFonts w:hint="eastAsia" w:ascii="宋体" w:hAnsi="宋体" w:eastAsia="宋体"/>
          <w:sz w:val="24"/>
          <w:szCs w:val="24"/>
        </w:rPr>
      </w:pPr>
      <w:r>
        <w:rPr>
          <w:rFonts w:hint="eastAsia" w:ascii="宋体" w:hAnsi="宋体" w:eastAsia="宋体"/>
          <w:sz w:val="24"/>
          <w:szCs w:val="24"/>
        </w:rPr>
        <w:t>税号：</w:t>
      </w:r>
      <w:r>
        <w:rPr>
          <w:rFonts w:ascii="宋体" w:hAnsi="宋体" w:eastAsia="宋体"/>
          <w:sz w:val="24"/>
          <w:szCs w:val="24"/>
        </w:rPr>
        <w:t xml:space="preserve">                                   </w:t>
      </w:r>
      <w:r>
        <w:rPr>
          <w:rFonts w:hint="eastAsia" w:ascii="宋体" w:hAnsi="宋体" w:eastAsia="宋体"/>
          <w:sz w:val="24"/>
          <w:szCs w:val="24"/>
        </w:rPr>
        <w:t>税号：</w:t>
      </w:r>
    </w:p>
    <w:p>
      <w:pPr>
        <w:spacing w:line="440" w:lineRule="exact"/>
        <w:rPr>
          <w:rFonts w:hint="eastAsia" w:ascii="宋体" w:hAnsi="宋体" w:eastAsia="宋体"/>
          <w:sz w:val="24"/>
          <w:szCs w:val="24"/>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pStyle w:val="29"/>
        <w:ind w:left="0" w:leftChars="0" w:firstLine="0" w:firstLineChars="0"/>
        <w:rPr>
          <w:rFonts w:ascii="仿宋_GB2312" w:hAnsi="仿宋" w:eastAsia="仿宋_GB2312"/>
          <w:szCs w:val="28"/>
        </w:rPr>
      </w:pPr>
    </w:p>
    <w:p>
      <w:pPr>
        <w:pStyle w:val="29"/>
        <w:rPr>
          <w:rFonts w:ascii="仿宋_GB2312" w:hAnsi="仿宋" w:eastAsia="仿宋_GB2312"/>
          <w:szCs w:val="28"/>
        </w:rPr>
      </w:pPr>
    </w:p>
    <w:p>
      <w:pPr>
        <w:spacing w:line="480" w:lineRule="exact"/>
        <w:rPr>
          <w:rFonts w:ascii="仿宋" w:hAnsi="仿宋" w:eastAsia="仿宋"/>
          <w:szCs w:val="28"/>
        </w:rPr>
      </w:pPr>
    </w:p>
    <w:p>
      <w:pPr>
        <w:adjustRightInd w:val="0"/>
        <w:snapToGrid w:val="0"/>
        <w:spacing w:line="440" w:lineRule="exact"/>
        <w:ind w:firstLine="721" w:firstLineChars="200"/>
        <w:jc w:val="center"/>
        <w:rPr>
          <w:rFonts w:ascii="华文中宋" w:hAnsi="华文中宋" w:eastAsia="华文中宋"/>
          <w:b/>
          <w:bCs/>
          <w:color w:val="000000" w:themeColor="text1"/>
          <w:sz w:val="36"/>
          <w:szCs w:val="36"/>
          <w14:textFill>
            <w14:solidFill>
              <w14:schemeClr w14:val="tx1"/>
            </w14:solidFill>
          </w14:textFill>
        </w:rPr>
      </w:pPr>
      <w:bookmarkStart w:id="109" w:name="_Toc479170303"/>
      <w:bookmarkStart w:id="110" w:name="_Toc516580573"/>
      <w:r>
        <w:rPr>
          <w:rFonts w:hint="eastAsia" w:ascii="华文中宋" w:hAnsi="华文中宋" w:eastAsia="华文中宋"/>
          <w:b/>
          <w:bCs/>
          <w:color w:val="000000" w:themeColor="text1"/>
          <w:sz w:val="36"/>
          <w:szCs w:val="36"/>
          <w14:textFill>
            <w14:solidFill>
              <w14:schemeClr w14:val="tx1"/>
            </w14:solidFill>
          </w14:textFill>
        </w:rPr>
        <w:t>第五章  项目需求</w:t>
      </w:r>
      <w:bookmarkEnd w:id="109"/>
      <w:bookmarkEnd w:id="110"/>
    </w:p>
    <w:p>
      <w:pPr>
        <w:adjustRightInd w:val="0"/>
        <w:snapToGrid w:val="0"/>
        <w:spacing w:line="360" w:lineRule="auto"/>
        <w:ind w:firstLine="562" w:firstLineChars="200"/>
        <w:jc w:val="center"/>
        <w:rPr>
          <w:rFonts w:ascii="仿宋_GB2312" w:hAnsi="宋体" w:eastAsia="仿宋_GB2312"/>
          <w:b/>
          <w:szCs w:val="28"/>
        </w:rPr>
      </w:pPr>
      <w:bookmarkStart w:id="111" w:name="_Toc516580574"/>
      <w:bookmarkStart w:id="112" w:name="_Toc479170304"/>
    </w:p>
    <w:p>
      <w:pPr>
        <w:spacing w:line="560" w:lineRule="exact"/>
        <w:ind w:firstLine="602" w:firstLineChars="200"/>
        <w:jc w:val="left"/>
        <w:rPr>
          <w:rFonts w:hint="eastAsia" w:ascii="宋体" w:hAnsi="宋体" w:cs="宋体"/>
          <w:b/>
          <w:bCs/>
          <w:sz w:val="30"/>
          <w:szCs w:val="30"/>
        </w:rPr>
      </w:pPr>
      <w:r>
        <w:rPr>
          <w:rFonts w:hint="eastAsia" w:ascii="宋体" w:hAnsi="宋体" w:cs="宋体"/>
          <w:b/>
          <w:bCs/>
          <w:sz w:val="30"/>
          <w:szCs w:val="30"/>
        </w:rPr>
        <w:t>一、项目概况</w:t>
      </w:r>
    </w:p>
    <w:p>
      <w:pPr>
        <w:spacing w:line="560" w:lineRule="exact"/>
        <w:ind w:firstLine="560" w:firstLineChars="200"/>
        <w:jc w:val="left"/>
        <w:rPr>
          <w:rFonts w:hint="eastAsia" w:ascii="宋体" w:hAnsi="宋体" w:cs="宋体"/>
          <w:sz w:val="28"/>
          <w:szCs w:val="28"/>
        </w:rPr>
      </w:pPr>
      <w:r>
        <w:rPr>
          <w:rFonts w:hint="eastAsia" w:ascii="仿宋" w:hAnsi="仿宋" w:eastAsia="仿宋"/>
          <w:bCs/>
          <w:sz w:val="28"/>
          <w:szCs w:val="28"/>
        </w:rPr>
        <w:t>为学校现有信息门户、统一身份认证、今日校园APP、数据交换平台等提供系统维保服务一年，提供学校新增业务系统与数据中心对接服务。</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02" w:firstLineChars="200"/>
        <w:jc w:val="left"/>
        <w:textAlignment w:val="auto"/>
        <w:rPr>
          <w:rFonts w:hint="eastAsia" w:ascii="宋体" w:hAnsi="宋体" w:cs="宋体"/>
          <w:b/>
          <w:bCs/>
          <w:sz w:val="30"/>
          <w:szCs w:val="30"/>
        </w:rPr>
      </w:pPr>
      <w:r>
        <w:rPr>
          <w:rFonts w:hint="eastAsia" w:ascii="宋体" w:hAnsi="宋体" w:cs="宋体"/>
          <w:b/>
          <w:bCs/>
          <w:sz w:val="30"/>
          <w:szCs w:val="30"/>
        </w:rPr>
        <w:t>二、采购标的汇总表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159"/>
        <w:gridCol w:w="2242"/>
        <w:gridCol w:w="113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21"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包号</w:t>
            </w:r>
          </w:p>
        </w:tc>
        <w:tc>
          <w:tcPr>
            <w:tcW w:w="1159"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2242"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标的名称</w:t>
            </w:r>
          </w:p>
        </w:tc>
        <w:tc>
          <w:tcPr>
            <w:tcW w:w="1134"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计量</w:t>
            </w:r>
          </w:p>
          <w:p>
            <w:pPr>
              <w:spacing w:line="560" w:lineRule="exact"/>
              <w:jc w:val="center"/>
              <w:rPr>
                <w:rFonts w:ascii="仿宋" w:hAnsi="仿宋" w:eastAsia="仿宋"/>
                <w:b/>
                <w:sz w:val="28"/>
                <w:szCs w:val="28"/>
              </w:rPr>
            </w:pPr>
            <w:r>
              <w:rPr>
                <w:rFonts w:hint="eastAsia" w:ascii="仿宋" w:hAnsi="仿宋" w:eastAsia="仿宋"/>
                <w:b/>
                <w:sz w:val="28"/>
                <w:szCs w:val="28"/>
              </w:rPr>
              <w:t>单位</w:t>
            </w:r>
          </w:p>
        </w:tc>
        <w:tc>
          <w:tcPr>
            <w:tcW w:w="907"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9" w:hRule="atLeast"/>
          <w:jc w:val="center"/>
        </w:trPr>
        <w:tc>
          <w:tcPr>
            <w:tcW w:w="1221" w:type="dxa"/>
            <w:noWrap w:val="0"/>
            <w:vAlign w:val="center"/>
          </w:tcPr>
          <w:p>
            <w:pPr>
              <w:adjustRightInd w:val="0"/>
              <w:snapToGrid w:val="0"/>
              <w:spacing w:line="560" w:lineRule="exact"/>
              <w:jc w:val="center"/>
              <w:rPr>
                <w:rFonts w:hint="eastAsia" w:ascii="仿宋" w:hAnsi="仿宋" w:eastAsia="仿宋"/>
                <w:sz w:val="28"/>
                <w:szCs w:val="28"/>
              </w:rPr>
            </w:pPr>
            <w:r>
              <w:rPr>
                <w:rFonts w:hint="eastAsia" w:ascii="仿宋" w:hAnsi="仿宋" w:eastAsia="仿宋"/>
                <w:sz w:val="28"/>
                <w:szCs w:val="28"/>
              </w:rPr>
              <w:t>1</w:t>
            </w:r>
          </w:p>
        </w:tc>
        <w:tc>
          <w:tcPr>
            <w:tcW w:w="1159" w:type="dxa"/>
            <w:noWrap w:val="0"/>
            <w:vAlign w:val="center"/>
          </w:tcPr>
          <w:p>
            <w:pPr>
              <w:adjustRightInd w:val="0"/>
              <w:snapToGrid w:val="0"/>
              <w:spacing w:line="560" w:lineRule="exact"/>
              <w:jc w:val="center"/>
              <w:rPr>
                <w:rFonts w:hint="eastAsia" w:ascii="仿宋" w:hAnsi="仿宋" w:eastAsia="仿宋"/>
                <w:sz w:val="28"/>
                <w:szCs w:val="28"/>
              </w:rPr>
            </w:pPr>
            <w:r>
              <w:rPr>
                <w:rFonts w:hint="eastAsia" w:ascii="仿宋" w:hAnsi="仿宋" w:eastAsia="仿宋"/>
                <w:sz w:val="28"/>
                <w:szCs w:val="28"/>
              </w:rPr>
              <w:t>1</w:t>
            </w:r>
          </w:p>
        </w:tc>
        <w:tc>
          <w:tcPr>
            <w:tcW w:w="2242" w:type="dxa"/>
            <w:noWrap w:val="0"/>
            <w:vAlign w:val="center"/>
          </w:tcPr>
          <w:p>
            <w:pPr>
              <w:adjustRightInd w:val="0"/>
              <w:snapToGrid w:val="0"/>
              <w:spacing w:line="560" w:lineRule="exact"/>
              <w:jc w:val="center"/>
              <w:rPr>
                <w:rFonts w:ascii="仿宋" w:hAnsi="仿宋" w:eastAsia="仿宋"/>
                <w:iCs/>
                <w:sz w:val="28"/>
                <w:szCs w:val="28"/>
              </w:rPr>
            </w:pPr>
            <w:r>
              <w:rPr>
                <w:rFonts w:hint="eastAsia" w:ascii="仿宋" w:hAnsi="仿宋" w:eastAsia="仿宋"/>
                <w:sz w:val="28"/>
                <w:szCs w:val="28"/>
              </w:rPr>
              <w:t>智慧校园应用系统软件维保服务</w:t>
            </w:r>
          </w:p>
        </w:tc>
        <w:tc>
          <w:tcPr>
            <w:tcW w:w="1134" w:type="dxa"/>
            <w:noWrap w:val="0"/>
            <w:vAlign w:val="center"/>
          </w:tcPr>
          <w:p>
            <w:pPr>
              <w:adjustRightInd w:val="0"/>
              <w:snapToGrid w:val="0"/>
              <w:spacing w:line="560" w:lineRule="exact"/>
              <w:jc w:val="center"/>
              <w:rPr>
                <w:rFonts w:hint="eastAsia" w:ascii="仿宋" w:hAnsi="仿宋" w:eastAsia="仿宋"/>
                <w:sz w:val="28"/>
                <w:szCs w:val="28"/>
              </w:rPr>
            </w:pPr>
            <w:r>
              <w:rPr>
                <w:rFonts w:hint="eastAsia" w:ascii="仿宋" w:hAnsi="仿宋" w:eastAsia="仿宋"/>
                <w:sz w:val="28"/>
                <w:szCs w:val="28"/>
              </w:rPr>
              <w:t>项</w:t>
            </w:r>
          </w:p>
        </w:tc>
        <w:tc>
          <w:tcPr>
            <w:tcW w:w="907" w:type="dxa"/>
            <w:noWrap w:val="0"/>
            <w:vAlign w:val="center"/>
          </w:tcPr>
          <w:p>
            <w:pPr>
              <w:adjustRightInd w:val="0"/>
              <w:snapToGrid w:val="0"/>
              <w:spacing w:line="560" w:lineRule="exact"/>
              <w:jc w:val="center"/>
              <w:rPr>
                <w:rFonts w:hint="eastAsia" w:ascii="仿宋" w:hAnsi="仿宋" w:eastAsia="仿宋"/>
                <w:sz w:val="28"/>
                <w:szCs w:val="28"/>
              </w:rPr>
            </w:pPr>
            <w:r>
              <w:rPr>
                <w:rFonts w:hint="eastAsia" w:ascii="仿宋" w:hAnsi="仿宋" w:eastAsia="仿宋"/>
                <w:sz w:val="28"/>
                <w:szCs w:val="28"/>
              </w:rPr>
              <w:t>1</w:t>
            </w:r>
          </w:p>
        </w:tc>
      </w:tr>
    </w:tbl>
    <w:p>
      <w:pPr>
        <w:spacing w:line="560" w:lineRule="exact"/>
        <w:ind w:firstLine="640" w:firstLineChars="200"/>
        <w:jc w:val="left"/>
        <w:rPr>
          <w:rFonts w:hint="eastAsia" w:ascii="楷体_GB2312" w:hAnsi="楷体" w:eastAsia="楷体_GB2312"/>
          <w:sz w:val="32"/>
          <w:szCs w:val="32"/>
        </w:rPr>
      </w:pPr>
    </w:p>
    <w:p>
      <w:pPr>
        <w:spacing w:line="560" w:lineRule="exact"/>
        <w:jc w:val="left"/>
        <w:rPr>
          <w:rFonts w:hint="eastAsia" w:ascii="楷体_GB2312" w:hAnsi="楷体" w:eastAsia="楷体_GB2312"/>
          <w:sz w:val="32"/>
          <w:szCs w:val="32"/>
        </w:rPr>
      </w:pPr>
    </w:p>
    <w:p>
      <w:pPr>
        <w:spacing w:line="560" w:lineRule="exact"/>
        <w:ind w:firstLine="602" w:firstLineChars="200"/>
        <w:jc w:val="left"/>
        <w:rPr>
          <w:rFonts w:hint="eastAsia" w:ascii="宋体" w:hAnsi="宋体" w:cs="宋体"/>
          <w:b/>
          <w:bCs/>
          <w:sz w:val="30"/>
          <w:szCs w:val="30"/>
        </w:rPr>
      </w:pPr>
      <w:r>
        <w:rPr>
          <w:rFonts w:hint="eastAsia" w:ascii="宋体" w:hAnsi="宋体" w:cs="宋体"/>
          <w:b/>
          <w:bCs/>
          <w:sz w:val="30"/>
          <w:szCs w:val="30"/>
        </w:rPr>
        <w:t>三、技术商务要求</w:t>
      </w:r>
    </w:p>
    <w:p>
      <w:pPr>
        <w:ind w:firstLine="602" w:firstLineChars="200"/>
        <w:jc w:val="left"/>
        <w:rPr>
          <w:rFonts w:hint="eastAsia" w:ascii="仿宋" w:hAnsi="仿宋" w:eastAsia="仿宋" w:cs="仿宋"/>
          <w:color w:val="000000"/>
          <w:kern w:val="0"/>
          <w:sz w:val="30"/>
          <w:szCs w:val="30"/>
          <w:lang w:bidi="ar"/>
        </w:rPr>
      </w:pPr>
      <w:r>
        <w:rPr>
          <w:rFonts w:hint="eastAsia" w:ascii="仿宋" w:hAnsi="仿宋" w:eastAsia="仿宋" w:cs="仿宋"/>
          <w:b/>
          <w:bCs/>
          <w:color w:val="000000"/>
          <w:kern w:val="0"/>
          <w:sz w:val="30"/>
          <w:szCs w:val="30"/>
          <w:lang w:bidi="ar"/>
        </w:rPr>
        <w:t>（一）技术要求</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针对学校现有智慧校园平台（江苏金智）应用运行环境提供维护服务，保障其安全可用。从信息化实现组成来看，主要分为以下三个层面： </w:t>
      </w:r>
    </w:p>
    <w:p>
      <w:pPr>
        <w:ind w:firstLine="562" w:firstLineChars="200"/>
        <w:jc w:val="left"/>
        <w:rPr>
          <w:rFonts w:hint="eastAsia"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软件系统运维：</w:t>
      </w:r>
      <w:r>
        <w:rPr>
          <w:rFonts w:hint="eastAsia" w:ascii="仿宋" w:hAnsi="仿宋" w:eastAsia="仿宋" w:cs="仿宋"/>
          <w:color w:val="000000"/>
          <w:kern w:val="0"/>
          <w:sz w:val="28"/>
          <w:szCs w:val="28"/>
          <w:lang w:bidi="ar"/>
        </w:rPr>
        <w:t>包含信息门户、流程引擎、统一身份认证、数据交换平台、今日校园APP、人事域、学工域、公共服务等系统。</w:t>
      </w:r>
    </w:p>
    <w:p>
      <w:pPr>
        <w:ind w:firstLine="562" w:firstLineChars="200"/>
        <w:jc w:val="left"/>
        <w:rPr>
          <w:rFonts w:hint="eastAsia"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自动化软件运维监控：</w:t>
      </w:r>
      <w:r>
        <w:rPr>
          <w:rFonts w:hint="eastAsia" w:ascii="仿宋" w:hAnsi="仿宋" w:eastAsia="仿宋" w:cs="仿宋"/>
          <w:color w:val="000000"/>
          <w:kern w:val="0"/>
          <w:sz w:val="28"/>
          <w:szCs w:val="28"/>
          <w:lang w:bidi="ar"/>
        </w:rPr>
        <w:t>通过自动化运维软件监控对智慧校园平台应用进行监控，针对监控发现的软件问题进行人工处理。</w:t>
      </w:r>
    </w:p>
    <w:p>
      <w:pPr>
        <w:ind w:firstLine="562" w:firstLineChars="200"/>
        <w:jc w:val="left"/>
        <w:rPr>
          <w:rFonts w:hint="eastAsia"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操作系统运维：</w:t>
      </w:r>
      <w:r>
        <w:rPr>
          <w:rFonts w:hint="eastAsia" w:ascii="仿宋" w:hAnsi="仿宋" w:eastAsia="仿宋" w:cs="仿宋"/>
          <w:color w:val="000000"/>
          <w:kern w:val="0"/>
          <w:sz w:val="28"/>
          <w:szCs w:val="28"/>
          <w:lang w:bidi="ar"/>
        </w:rPr>
        <w:t>包括IDS统一身份认证、AMP应用管理平台、MDM主数据平台，学工域、人事域、公共服务等涉及的操作系统与中间件。</w:t>
      </w:r>
    </w:p>
    <w:p>
      <w:pPr>
        <w:numPr>
          <w:ilvl w:val="0"/>
          <w:numId w:val="6"/>
        </w:numPr>
        <w:ind w:firstLine="562" w:firstLineChars="200"/>
        <w:jc w:val="left"/>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 xml:space="preserve">软件系统运维服务要求 </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具体服务项与服务说明如下： </w:t>
      </w:r>
    </w:p>
    <w:p>
      <w:pPr>
        <w:numPr>
          <w:ilvl w:val="0"/>
          <w:numId w:val="7"/>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线上受理：采用小助手线上接入受理方式，用户可登录系统提报问题；</w:t>
      </w:r>
    </w:p>
    <w:p>
      <w:pPr>
        <w:numPr>
          <w:ilvl w:val="0"/>
          <w:numId w:val="7"/>
        </w:numPr>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巡检服务：根据要求定期输出月度维保服务总结报告。如遇特殊事件则根据特殊事件输出服务报告； </w:t>
      </w:r>
    </w:p>
    <w:p>
      <w:pPr>
        <w:numPr>
          <w:ilvl w:val="0"/>
          <w:numId w:val="7"/>
        </w:numPr>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BUG 修复：针对公司提供的应用系统中存在的 BUG，持续提供修正与消缺服务，并提供修复BUG 的必要补丁版本的升级服务；</w:t>
      </w:r>
    </w:p>
    <w:p>
      <w:pPr>
        <w:numPr>
          <w:ilvl w:val="0"/>
          <w:numId w:val="7"/>
        </w:numPr>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安全修复：针对公司提供的应用系统中存在的安全漏洞，持续提供修正与消缺服务，并提供修复安全漏洞的必要补丁版本的升级服务；</w:t>
      </w:r>
    </w:p>
    <w:p>
      <w:pPr>
        <w:numPr>
          <w:ilvl w:val="0"/>
          <w:numId w:val="7"/>
        </w:numPr>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故障处理：系统上线运行时，当出现一些突发性情况而引起业务的中断时，为了保证系统的正常运行，对该故障进行处理，包括：</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1）非计划掉电导致系统故障，学校排除故障后，配合系统恢复；</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2）系统资源不足导致系统故障，学校扩充资源后，配合学校系统恢复；</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3）硬件故障，学校排除故障并将数据还原后，配合学校系统恢复； 如出现系统运行环境变更（如：系统文件丢失、系统权限变化、 IP 变更、操作系统无法启动、数据库故障等），则不在承诺系统恢复的服务范围内；</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4）如因第三方软件故障（包含 websphere、weblogic、数据库、 https 证书等），配合学校提供有偿的修复服务;</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（6）运行支持：对系统运行过程中系统管理员及业务管理员的问题提供解答和问题解决跟踪：</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1）系统环境调整后，环境文档实时更新；</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2）系统使用过程中问题解答；</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3）系统服务临时启停；</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4）系统运行过程中访问报错问题处理。</w:t>
      </w:r>
    </w:p>
    <w:p>
      <w:pPr>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（7）服务保障：保障学校当前在用的今日校园APP和信息收集系统功能正常使用：</w:t>
      </w:r>
    </w:p>
    <w:p>
      <w:pPr>
        <w:pStyle w:val="77"/>
        <w:spacing w:line="240" w:lineRule="auto"/>
        <w:ind w:firstLine="56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保障今日校园当前各功能模块正常使用，同时要求与学校信息门户在核心业务层面打通，包括应用、待办、消息、权限等核心业务数据；要求将客户端APP的定位、扫一扫等原生能力通过标准接口对第三方应用提供开放，并且提供调用demo示例和技术支持；要求客户端APP和学校统一身份认证实现CAS单点登录集成，保障用户移动应用的使用体验；要求客户端APP的基础用户数据可以和学校主数据定时同步，确保基础人员数据及时更新。</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针对学校现有一站式调研工具（问卷星）运行环境提供维护服务，保障其安全可用。要求提供问卷星企业尊享版会员服务及SSO接口对接授权服务一年，支持多形式信息收集和对外查询，同时满足多种训练方式支持多人在线答题；有单独的用户管理体系（</w:t>
      </w:r>
      <w:r>
        <w:rPr>
          <w:rFonts w:hint="eastAsia"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bidi="ar"/>
        </w:rPr>
        <w:t>000人），支持与校内已有平台单点登录对接，支持点对点发送信息，保障师生无感化使用。</w:t>
      </w:r>
    </w:p>
    <w:p>
      <w:pPr>
        <w:ind w:firstLine="562" w:firstLineChars="200"/>
        <w:jc w:val="left"/>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2.自动化软件运维监控服务</w:t>
      </w:r>
    </w:p>
    <w:p>
      <w:pPr>
        <w:ind w:firstLine="562" w:firstLineChars="200"/>
        <w:jc w:val="left"/>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监控服务范围如下：</w:t>
      </w:r>
    </w:p>
    <w:p>
      <w:pPr>
        <w:numPr>
          <w:ilvl w:val="0"/>
          <w:numId w:val="8"/>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应用系统：统一身份认证、应用管理平台、数据交换平台、流程引擎、今日校园平台、学工域、人事域；</w:t>
      </w:r>
    </w:p>
    <w:p>
      <w:pPr>
        <w:numPr>
          <w:ilvl w:val="0"/>
          <w:numId w:val="8"/>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主机系统：以上应用涉及的主机操作系统；</w:t>
      </w:r>
    </w:p>
    <w:p>
      <w:pPr>
        <w:numPr>
          <w:ilvl w:val="0"/>
          <w:numId w:val="8"/>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数据库系统：智慧校园应用系统使用的 oracle 数据库等。</w:t>
      </w:r>
    </w:p>
    <w:p>
      <w:pPr>
        <w:ind w:firstLine="562" w:firstLineChars="200"/>
        <w:jc w:val="left"/>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监控服务要求如下：</w:t>
      </w:r>
    </w:p>
    <w:p>
      <w:pPr>
        <w:numPr>
          <w:ilvl w:val="0"/>
          <w:numId w:val="9"/>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资产盘点：以应用为单位，梳理应用的名称、URL、主机 IP、端口、API 等信息，汇总信息导入监控系统；支持通过应用名称查看关联主机、URL（如有）、端口、API（如 有）；以主机为单位，梳理主机 IP、用途、操作系统、类型、CPU、 内存、磁盘信息、状态信息；支持查看主机过去自定义时间的性能趋势；以 oracle 数据库为单位，梳理数据库版本、实例、API、业务数据量、表空间等基本信息核对呈现；支持查看与应用相关的 oracle 性能信息，包括慢 SQL、数据库整体资源消耗；</w:t>
      </w:r>
    </w:p>
    <w:p>
      <w:pPr>
        <w:numPr>
          <w:ilvl w:val="0"/>
          <w:numId w:val="9"/>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实时监控：对应用系统可用性进行实时监控，监控应用可访问，可登录；监控发现不可用的问题时，第一时间发出告警；对 oracle 数据库运行状态进行监控，包括 RMAN 备份、归档、 ASM 磁盘组使用率、实例运行状态等实时监控。 针对操作系统提供可用性监控，对主机的 CPU、磁盘、内存、文件打开数、进程等有可能影响业务运行的相关指标进行定时轮询监测；基于关键字实时（支持分钟级的轮询）的监测，即时发现操作系统、oracle、weblogic、tomcat 故障信息；实现对 API 接口监控，即时发现接口故障信息；针对 ODI 接口进行实时监控，可以查看 ODI 接口名称、用途及报错信息；</w:t>
      </w:r>
    </w:p>
    <w:p>
      <w:pPr>
        <w:numPr>
          <w:ilvl w:val="0"/>
          <w:numId w:val="9"/>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基线核查：针对主机进行安全基线核查，一旦系统运行达到基线阈值，即产生告警；</w:t>
      </w:r>
    </w:p>
    <w:p>
      <w:pPr>
        <w:numPr>
          <w:ilvl w:val="0"/>
          <w:numId w:val="9"/>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漏洞监管：对已知高危漏洞信息查看，查看影响漏洞资产影响范围；查看受漏洞影响的主机修复时间、状态；</w:t>
      </w:r>
    </w:p>
    <w:p>
      <w:pPr>
        <w:numPr>
          <w:ilvl w:val="0"/>
          <w:numId w:val="9"/>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安全监测：对操作系统安全监控，监控操作系统版本信息、开放端口、 异常进程、异常账户，openSSL 漏洞、openSSH 漏洞、木马、蠕虫病毒等；对 oracle 数据库，监控 rman 备份状态、比特币勒索病毒；</w:t>
      </w:r>
    </w:p>
    <w:p>
      <w:pPr>
        <w:numPr>
          <w:ilvl w:val="0"/>
          <w:numId w:val="9"/>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微信查询：监控发现异常后，支持通过微信端进行推送，且在微信端可以查看事件处理进展；也可以通过微信群或 QQ 群发出告警通知；微信端可以查看事件描述、发生事件、事件编号；</w:t>
      </w:r>
    </w:p>
    <w:p>
      <w:pPr>
        <w:numPr>
          <w:ilvl w:val="0"/>
          <w:numId w:val="9"/>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主动预警：监控发现异常后，守护工程师将异常信息转换成业务语言；（非技术化，用户可以理解的信息），通过即时通讯工具告知用户，工具包括 QQ、微信、电话等常用即时通讯工具；守护期间 6:00-23:00 提供电话或 QQ 即时告知，23:01-5:59 期间内异常将于 6:00 准时告知用户，告知时间可根据用户实际情况进行调整；</w:t>
      </w:r>
    </w:p>
    <w:p>
      <w:pPr>
        <w:numPr>
          <w:ilvl w:val="0"/>
          <w:numId w:val="9"/>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告警查询：支持查询历史告警事件，能够查询告警时间、恢复状态、告警级别、告警内容；支持按时间段、告警状态、告警内容查询告警信息；支持关闭告警操作；</w:t>
      </w:r>
    </w:p>
    <w:p>
      <w:pPr>
        <w:numPr>
          <w:ilvl w:val="0"/>
          <w:numId w:val="9"/>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大屏展示：支持校内自建监控大屏（最佳分辨率 1920*1080）呈现整体应用可用性状态、安全状况及故障处理进展，任一应用存在可用性、安全事件则应用的区域块都会用红色呈现，很直观；支持校内自建监控大屏（最佳分辨率 1920*1080）呈现 WEB 应用、主机的安全监测任务运行是否正常，如有安全事件则显示具体受影响主机与 WEB 应用，呈现运行环境所使用的操作系统、组件及版本分布；支持校内自建监控大屏（最佳分辨率 1920*1080）呈现 oracle 数据库运行状况；</w:t>
      </w:r>
    </w:p>
    <w:p>
      <w:pPr>
        <w:numPr>
          <w:ilvl w:val="0"/>
          <w:numId w:val="9"/>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年度报告：以 PDF 形式交付年度的运行环境分析报告及优化建议；每年服务期满前一个月以邮件的方式发送到指定邮箱。</w:t>
      </w:r>
    </w:p>
    <w:p>
      <w:pPr>
        <w:ind w:firstLine="562" w:firstLineChars="200"/>
        <w:jc w:val="left"/>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3.操作系统安全维护服务</w:t>
      </w:r>
    </w:p>
    <w:p>
      <w:pPr>
        <w:ind w:firstLine="562" w:firstLineChars="200"/>
        <w:jc w:val="left"/>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操作系统安全服务要求：</w:t>
      </w:r>
    </w:p>
    <w:p>
      <w:pPr>
        <w:numPr>
          <w:ilvl w:val="0"/>
          <w:numId w:val="10"/>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巡检服务：每季度提供1次巡检操作，主要检查操作系统及运行其上的中间件（如有），包括CPU、内存、分区状态、进程状态、文件系统读写、文件目录变更、交换分区、登录用户数、操作系统日志等；巡检发现的隐患通过修改参数配置来处理；提供《操作系统中间件巡检报告》；</w:t>
      </w:r>
    </w:p>
    <w:p>
      <w:pPr>
        <w:numPr>
          <w:ilvl w:val="0"/>
          <w:numId w:val="10"/>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故障处理服务：对监控预警（如有）、人工报修的操作系统、中间件故障进行处理，使用账号登录操作系统，检查网卡设置、磁盘空间、配置参数等，通过配置调整，让操作系统恢复正常，问题处理结束后输出《操作系统问题处理报告》；在应用系统出现不可用问题时，协助应用系统维护人员排查操作系统；</w:t>
      </w:r>
    </w:p>
    <w:p>
      <w:pPr>
        <w:numPr>
          <w:ilvl w:val="0"/>
          <w:numId w:val="10"/>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加固服务：对漏洞扫描报告、安全应急事件、安全监控中的操作系统安全漏洞等进行分析，对其中openSSL、openSSH等高危漏洞进行验证和修复；对操作系统安全配置进行调整，主要包括登录策略配置、多余账户清理，openSSL版本升级、SSH版本升级，非必要服务关闭等；对应用系统漏洞扫描报告、安全应急事件中的中间件漏洞进行分析，对其中weblogic、tomcat、apache、nginx、redis、ladp中间件的高危漏洞进行修复和补丁升级；应用加固过程中不需要进行升级操作系统内核、调整代码、外购第三方产品或服务；提供《操作系统加固报告》；</w:t>
      </w:r>
    </w:p>
    <w:p>
      <w:pPr>
        <w:numPr>
          <w:ilvl w:val="0"/>
          <w:numId w:val="10"/>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安全应急服务：通过远程或现场方式协助用户对遇到突发安全事件进行紧急分析和处理，如针对上级主管部门通报漏洞或国家信息安全漏洞库新发布的操作系统、中间件漏洞进行紧急分析并查询确认校内漏洞分布情况；针对存在漏洞的操作系统、中间件，通知安全责任人处理；协助漏洞处理人员分析漏洞，提供漏洞处理指导建议；漏洞处理完成之后，对处理结果进行验证，确认处理完成；</w:t>
      </w:r>
    </w:p>
    <w:p>
      <w:pPr>
        <w:numPr>
          <w:ilvl w:val="0"/>
          <w:numId w:val="10"/>
        </w:num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支持服务：提供操作系统、中间件技术支持服务，满足应用系统稳定运行，主要包括以下：对操作系统中应用程序代码迁移操作，在新环境进行恢复验证，确认成功上线；对中间件进行配置调整，保障业务正常运行；迎新选课期间，检查操作系统配置，消除问题隐患，保障业务稳定；</w:t>
      </w:r>
    </w:p>
    <w:p>
      <w:pPr>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本次通过监控工具+人工处理的方式对应用系统进行保障，对影响应用正常使用的安全威胁、故障隐患从监控预防到处理恢复，全流程闭环跟踪，最大程度减少应用中断时间与安全事件影响。</w:t>
      </w:r>
    </w:p>
    <w:p>
      <w:pPr>
        <w:ind w:firstLine="562" w:firstLineChars="200"/>
        <w:jc w:val="left"/>
        <w:rPr>
          <w:rFonts w:hint="eastAsia"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4.售后服务要求</w:t>
      </w:r>
      <w:r>
        <w:rPr>
          <w:rFonts w:hint="eastAsia" w:ascii="仿宋" w:hAnsi="仿宋" w:eastAsia="仿宋" w:cs="仿宋"/>
          <w:color w:val="000000"/>
          <w:kern w:val="0"/>
          <w:sz w:val="28"/>
          <w:szCs w:val="28"/>
          <w:lang w:bidi="ar"/>
        </w:rPr>
        <w:t xml:space="preserve"> </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（1）投标人具备完整的售后服务保障能力，包含（但不限于）以下服务要求:</w:t>
      </w:r>
    </w:p>
    <w:p>
      <w:pPr>
        <w:ind w:firstLine="560" w:firstLineChars="200"/>
        <w:jc w:val="left"/>
        <w:rPr>
          <w:rFonts w:hint="eastAsia" w:ascii="仿宋" w:hAnsi="仿宋" w:eastAsia="仿宋" w:cs="仿宋"/>
          <w:color w:val="000000"/>
          <w:kern w:val="0"/>
          <w:sz w:val="20"/>
          <w:szCs w:val="20"/>
          <w:lang w:bidi="ar"/>
        </w:rPr>
      </w:pPr>
      <w:r>
        <w:rPr>
          <w:rFonts w:hint="eastAsia" w:ascii="仿宋" w:hAnsi="仿宋" w:eastAsia="仿宋" w:cs="仿宋"/>
          <w:color w:val="000000"/>
          <w:kern w:val="0"/>
          <w:sz w:val="28"/>
          <w:szCs w:val="28"/>
          <w:lang w:bidi="ar"/>
        </w:rPr>
        <w:t>1）明确说明服务期限，满足招标文件要求。</w:t>
      </w:r>
    </w:p>
    <w:p>
      <w:pPr>
        <w:ind w:firstLine="560" w:firstLineChars="200"/>
        <w:jc w:val="left"/>
        <w:rPr>
          <w:rFonts w:hint="eastAsia" w:ascii="仿宋" w:hAnsi="仿宋" w:eastAsia="仿宋" w:cs="仿宋"/>
          <w:color w:val="000000"/>
          <w:kern w:val="0"/>
          <w:sz w:val="20"/>
          <w:szCs w:val="20"/>
          <w:lang w:bidi="ar"/>
        </w:rPr>
      </w:pPr>
      <w:r>
        <w:rPr>
          <w:rFonts w:hint="eastAsia" w:ascii="仿宋" w:hAnsi="仿宋" w:eastAsia="仿宋" w:cs="仿宋"/>
          <w:color w:val="000000"/>
          <w:kern w:val="0"/>
          <w:sz w:val="28"/>
          <w:szCs w:val="28"/>
          <w:lang w:bidi="ar"/>
        </w:rPr>
        <w:t>2）明确服务响应级别，并出具详细的方案和事件升级策略。</w:t>
      </w:r>
    </w:p>
    <w:p>
      <w:pPr>
        <w:ind w:firstLine="560" w:firstLineChars="200"/>
        <w:jc w:val="left"/>
        <w:rPr>
          <w:rFonts w:hint="eastAsia" w:ascii="仿宋" w:hAnsi="仿宋" w:eastAsia="仿宋" w:cs="仿宋"/>
          <w:color w:val="000000"/>
          <w:kern w:val="0"/>
          <w:sz w:val="20"/>
          <w:szCs w:val="20"/>
          <w:lang w:bidi="ar"/>
        </w:rPr>
      </w:pPr>
      <w:r>
        <w:rPr>
          <w:rFonts w:hint="eastAsia" w:ascii="仿宋" w:hAnsi="仿宋" w:eastAsia="仿宋" w:cs="仿宋"/>
          <w:color w:val="000000"/>
          <w:kern w:val="0"/>
          <w:sz w:val="28"/>
          <w:szCs w:val="28"/>
          <w:lang w:bidi="ar"/>
        </w:rPr>
        <w:t>3）提供多种服务受理通道，包括但不限于线上、电话、邮件等。</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4）提供详细的线上服务流程说明，线上报修能够做到问题登记、问题处理、加急处理、问题关闭与评价，常见问题案例库，消息通知等。</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5）要求在服务响应过程中，有运营专员参与，全程跟踪服务过程，协调解决服务过程中的问题，在方案中说明运营保障内容，提供详细服务方案。</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6）提供线上服务申诉通道，要求可针对服务人员、服务流程等进行投诉。</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（2）投标人提供本次投标产品的售后服务，包含（但不限于）以下服务要求:</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1）BUG 处理：如投标人交付的业务系统存在 BUG，投标人提供修正与消缺服务，如有修复 BUG 的补丁，提供升级服务。</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故障处理：如投标人交付的系统上线运行时，出现问题导致业务中断时，投标方对故障进行处理。由于非计划掉电导致系统故障时，投标方配合系统恢复由于系统资源不足导致系统故障时，投标方配合学校系统恢复。由于硬件故障时，投标方在学校数据还原后，配合学校系统恢复。</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3）运行支持：投标方对系统运行过程中系统管理员及业务管理员的问题提供解答和问题解决跟踪。</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在项目质保期内，因为软件系统本身原因导致系统不可用，投标方全程跟踪解决，确保问题快速解决，因为操作系统、服务器、网络设备及其他硬件设备导致系统不可用时，投标人配合招标人排查故障，提供解决方法供招标人选择，配合招标人解决问题。</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5）维保期内提供校方新建信息系统与智慧校园平台的对接服务，包括用户对接、数据对接。</w:t>
      </w:r>
    </w:p>
    <w:p>
      <w:pPr>
        <w:ind w:firstLine="562" w:firstLineChars="200"/>
        <w:jc w:val="left"/>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5.服务条款要求:</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服务期限：要求提供本服务期为</w:t>
      </w:r>
      <w:r>
        <w:rPr>
          <w:rFonts w:hint="eastAsia" w:ascii="仿宋" w:hAnsi="仿宋" w:eastAsia="仿宋" w:cs="仿宋"/>
          <w:color w:val="000000"/>
          <w:kern w:val="0"/>
          <w:sz w:val="28"/>
          <w:szCs w:val="28"/>
          <w:u w:val="single"/>
          <w:lang w:bidi="ar"/>
        </w:rPr>
        <w:t xml:space="preserve"> 1 </w:t>
      </w:r>
      <w:r>
        <w:rPr>
          <w:rFonts w:hint="eastAsia" w:ascii="仿宋" w:hAnsi="仿宋" w:eastAsia="仿宋" w:cs="仿宋"/>
          <w:color w:val="000000"/>
          <w:kern w:val="0"/>
          <w:sz w:val="28"/>
          <w:szCs w:val="28"/>
          <w:lang w:bidi="ar"/>
        </w:rPr>
        <w:t>年，第一个服务年度自2024年</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月</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日起算。</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本服务期内，校方有权全程对中标人的服务情况进行监督，如中标人提供的服务不符合招标相关要求的，校方有权向中标人提出修改意见，中标人应及时进行改正。</w:t>
      </w:r>
    </w:p>
    <w:p>
      <w:pPr>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中标人在提供服务过程中应及时向我校提供本服务所需的技术数据、测试数据、文档、文件等信息和资源（如有），并对其提供的数据、材料及信息的准确性、完整性、统一性负责。</w:t>
      </w:r>
    </w:p>
    <w:p>
      <w:pPr>
        <w:rPr>
          <w:rFonts w:hint="eastAsia" w:ascii="华文中宋" w:hAnsi="华文中宋" w:eastAsia="华文中宋"/>
          <w:color w:val="000000" w:themeColor="text1"/>
          <w14:textFill>
            <w14:solidFill>
              <w14:schemeClr w14:val="tx1"/>
            </w14:solidFill>
          </w14:textFill>
        </w:rPr>
      </w:pPr>
    </w:p>
    <w:p>
      <w:pPr>
        <w:pStyle w:val="2"/>
        <w:snapToGrid w:val="0"/>
        <w:spacing w:before="0" w:after="0"/>
        <w:ind w:left="0" w:leftChars="0" w:firstLine="1441" w:firstLineChars="400"/>
        <w:jc w:val="both"/>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第六章  评分办法和评分细则</w:t>
      </w:r>
      <w:bookmarkEnd w:id="111"/>
      <w:bookmarkEnd w:id="112"/>
    </w:p>
    <w:p>
      <w:pPr>
        <w:adjustRightInd w:val="0"/>
        <w:snapToGrid w:val="0"/>
        <w:spacing w:line="360" w:lineRule="auto"/>
        <w:ind w:firstLine="560" w:firstLineChars="200"/>
        <w:rPr>
          <w:rFonts w:hint="eastAsia" w:ascii="仿宋_GB2312" w:eastAsia="仿宋_GB2312"/>
          <w:szCs w:val="28"/>
        </w:rPr>
      </w:pPr>
      <w:bookmarkStart w:id="113" w:name="_Toc516580575"/>
      <w:bookmarkStart w:id="114" w:name="_Toc479170305"/>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一、总则</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7"/>
        <w:ind w:left="0" w:leftChars="0" w:firstLine="560" w:firstLineChars="200"/>
        <w:rPr>
          <w:rFonts w:hint="eastAsia" w:ascii="仿宋_GB2312" w:eastAsia="仿宋_GB2312"/>
          <w:szCs w:val="28"/>
        </w:rPr>
      </w:pPr>
      <w:r>
        <w:rPr>
          <w:rFonts w:hint="eastAsia" w:ascii="仿宋_GB2312" w:eastAsia="仿宋_GB2312"/>
          <w:szCs w:val="28"/>
        </w:rPr>
        <w:t>本综合评分环节采用综合评分法，总分为100分。其中：技术（服务）部分</w:t>
      </w:r>
      <w:r>
        <w:rPr>
          <w:rFonts w:hint="eastAsia"/>
          <w:szCs w:val="28"/>
          <w:lang w:val="en-US" w:eastAsia="zh-CN"/>
        </w:rPr>
        <w:t>70</w:t>
      </w:r>
      <w:r>
        <w:rPr>
          <w:rFonts w:hint="eastAsia" w:ascii="仿宋_GB2312" w:eastAsia="仿宋_GB2312"/>
          <w:szCs w:val="28"/>
        </w:rPr>
        <w:t>分，报价部分占</w:t>
      </w:r>
      <w:r>
        <w:rPr>
          <w:rFonts w:hint="eastAsia"/>
          <w:szCs w:val="28"/>
          <w:lang w:val="en-US" w:eastAsia="zh-CN"/>
        </w:rPr>
        <w:t>30</w:t>
      </w:r>
      <w:r>
        <w:rPr>
          <w:rFonts w:hint="eastAsia" w:ascii="仿宋_GB2312" w:eastAsia="仿宋_GB2312"/>
          <w:szCs w:val="28"/>
        </w:rPr>
        <w:t>分，评标委员会按综合得分由高到低顺序，对投标人进行排名。</w:t>
      </w:r>
    </w:p>
    <w:p>
      <w:pPr>
        <w:pStyle w:val="17"/>
        <w:ind w:left="0" w:leftChars="0" w:firstLine="560" w:firstLineChars="200"/>
        <w:rPr>
          <w:rFonts w:hint="eastAsia" w:ascii="仿宋_GB2312" w:eastAsia="仿宋_GB2312"/>
          <w:szCs w:val="28"/>
        </w:rPr>
      </w:pPr>
      <w:r>
        <w:rPr>
          <w:rFonts w:hint="eastAsia" w:ascii="仿宋_GB2312" w:eastAsia="仿宋_GB2312"/>
          <w:szCs w:val="28"/>
        </w:rPr>
        <w:t>投标人评标综合得分=技术（服务）分+报价分。</w:t>
      </w:r>
    </w:p>
    <w:p>
      <w:pPr>
        <w:pStyle w:val="17"/>
        <w:ind w:left="0" w:leftChars="0" w:firstLine="560" w:firstLineChars="200"/>
        <w:rPr>
          <w:rFonts w:hint="eastAsia" w:ascii="仿宋_GB2312" w:eastAsia="仿宋_GB2312"/>
          <w:szCs w:val="28"/>
        </w:rPr>
      </w:pPr>
      <w:r>
        <w:rPr>
          <w:rFonts w:hint="eastAsia" w:ascii="仿宋_GB2312" w:eastAsia="仿宋_GB2312"/>
          <w:szCs w:val="28"/>
        </w:rPr>
        <w:t>技术（服务）分为评标委员会成员对每家投标人的技术（服务）部分和所评分值的算术平均值。</w:t>
      </w:r>
    </w:p>
    <w:p>
      <w:pPr>
        <w:pStyle w:val="17"/>
        <w:ind w:left="0" w:leftChars="0" w:firstLine="560" w:firstLineChars="200"/>
        <w:rPr>
          <w:rFonts w:hint="eastAsia" w:ascii="仿宋_GB2312" w:eastAsia="仿宋_GB2312"/>
          <w:szCs w:val="28"/>
        </w:rPr>
      </w:pPr>
      <w:r>
        <w:rPr>
          <w:rFonts w:hint="eastAsia" w:ascii="仿宋_GB2312" w:eastAsia="仿宋_GB2312"/>
          <w:szCs w:val="28"/>
        </w:rPr>
        <w:t>评标基准报价为满足所有要求的各投标人最低有效报价。</w:t>
      </w:r>
    </w:p>
    <w:p>
      <w:pPr>
        <w:pStyle w:val="17"/>
        <w:ind w:left="0" w:leftChars="0" w:firstLine="560" w:firstLineChars="200"/>
        <w:rPr>
          <w:rFonts w:hint="eastAsia" w:ascii="仿宋_GB2312" w:eastAsia="仿宋_GB2312"/>
          <w:szCs w:val="28"/>
        </w:rPr>
      </w:pPr>
      <w:r>
        <w:rPr>
          <w:rFonts w:hint="eastAsia" w:ascii="仿宋_GB2312" w:eastAsia="仿宋_GB2312"/>
          <w:szCs w:val="28"/>
        </w:rPr>
        <w:t>当综合得分相同时，以其技术（服务）部分得分高的投标人排名靠前。所有得分相同时，则由评标委员会通过随机抽取的方式确定投标人排名顺序。</w:t>
      </w:r>
    </w:p>
    <w:p>
      <w:pPr>
        <w:pStyle w:val="17"/>
        <w:ind w:left="0" w:leftChars="0" w:firstLine="560" w:firstLineChars="200"/>
        <w:rPr>
          <w:rFonts w:hint="eastAsia" w:ascii="仿宋_GB2312" w:eastAsia="仿宋_GB2312"/>
          <w:szCs w:val="28"/>
        </w:rPr>
      </w:pPr>
      <w:r>
        <w:rPr>
          <w:rFonts w:hint="eastAsia" w:ascii="仿宋_GB2312" w:eastAsia="仿宋_GB2312"/>
          <w:szCs w:val="28"/>
        </w:rPr>
        <w:t>所有分数结果保留小数点后2位，第三位四舍五入。</w:t>
      </w:r>
    </w:p>
    <w:p>
      <w:pPr>
        <w:pStyle w:val="17"/>
        <w:ind w:left="0" w:leftChars="0" w:firstLine="560" w:firstLineChars="200"/>
        <w:rPr>
          <w:rFonts w:hint="eastAsia" w:ascii="仿宋_GB2312" w:eastAsia="仿宋_GB2312"/>
          <w:szCs w:val="28"/>
        </w:rPr>
      </w:pPr>
    </w:p>
    <w:p>
      <w:pPr>
        <w:pStyle w:val="17"/>
        <w:ind w:left="0" w:leftChars="0" w:firstLine="560" w:firstLineChars="200"/>
        <w:rPr>
          <w:rFonts w:hint="eastAsia" w:ascii="仿宋_GB2312" w:eastAsia="仿宋_GB2312"/>
          <w:szCs w:val="28"/>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评标项目</w:t>
            </w:r>
          </w:p>
        </w:tc>
        <w:tc>
          <w:tcPr>
            <w:tcW w:w="1826"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评标分值</w:t>
            </w:r>
          </w:p>
        </w:tc>
        <w:tc>
          <w:tcPr>
            <w:tcW w:w="4870"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ascii="仿宋" w:hAnsi="仿宋" w:eastAsia="仿宋"/>
                <w:sz w:val="24"/>
              </w:rPr>
            </w:pPr>
            <w:r>
              <w:rPr>
                <w:rFonts w:hint="eastAsia" w:ascii="仿宋" w:hAnsi="仿宋" w:eastAsia="仿宋" w:cs="仿宋"/>
                <w:sz w:val="24"/>
              </w:rPr>
              <w:t>投标报价</w:t>
            </w:r>
          </w:p>
        </w:tc>
        <w:tc>
          <w:tcPr>
            <w:tcW w:w="1826" w:type="dxa"/>
            <w:noWrap w:val="0"/>
            <w:vAlign w:val="center"/>
          </w:tcPr>
          <w:p>
            <w:pPr>
              <w:spacing w:line="520" w:lineRule="exact"/>
              <w:jc w:val="center"/>
              <w:rPr>
                <w:rFonts w:ascii="仿宋" w:hAnsi="仿宋" w:eastAsia="仿宋" w:cs="仿宋"/>
                <w:sz w:val="24"/>
              </w:rPr>
            </w:pPr>
            <w:r>
              <w:rPr>
                <w:rFonts w:hint="eastAsia" w:ascii="仿宋" w:hAnsi="仿宋" w:eastAsia="仿宋" w:cs="仿宋"/>
                <w:sz w:val="24"/>
                <w:lang w:val="en-US" w:eastAsia="zh-CN"/>
              </w:rPr>
              <w:t>3</w:t>
            </w:r>
            <w:r>
              <w:rPr>
                <w:rFonts w:ascii="仿宋" w:hAnsi="仿宋" w:eastAsia="仿宋" w:cs="仿宋"/>
                <w:sz w:val="24"/>
              </w:rPr>
              <w:t>0</w:t>
            </w:r>
          </w:p>
        </w:tc>
        <w:tc>
          <w:tcPr>
            <w:tcW w:w="4870" w:type="dxa"/>
            <w:noWrap w:val="0"/>
            <w:vAlign w:val="center"/>
          </w:tcPr>
          <w:p>
            <w:pPr>
              <w:pStyle w:val="10"/>
              <w:rPr>
                <w:rFonts w:ascii="仿宋" w:hAnsi="仿宋" w:eastAsia="仿宋" w:cs="仿宋"/>
                <w:sz w:val="24"/>
                <w:szCs w:val="24"/>
              </w:rPr>
            </w:pPr>
            <w:r>
              <w:rPr>
                <w:rFonts w:hint="eastAsia" w:ascii="仿宋" w:hAnsi="仿宋" w:eastAsia="仿宋" w:cs="仿宋"/>
                <w:sz w:val="24"/>
                <w:szCs w:val="24"/>
                <w:lang w:val="en-US" w:eastAsia="zh-CN"/>
              </w:rPr>
              <w:t>已报价的最低价为基准价，报价等于基准价的得满分30分，其余报价得分按以下公式计算：</w:t>
            </w:r>
            <w:r>
              <w:rPr>
                <w:rFonts w:hint="eastAsia" w:ascii="仿宋" w:hAnsi="仿宋" w:eastAsia="仿宋" w:cs="仿宋"/>
                <w:sz w:val="24"/>
                <w:szCs w:val="24"/>
              </w:rPr>
              <w:t>报价分=</w:t>
            </w:r>
            <w:r>
              <w:rPr>
                <w:rFonts w:hint="eastAsia" w:ascii="仿宋" w:hAnsi="仿宋" w:eastAsia="仿宋" w:cs="仿宋"/>
                <w:sz w:val="24"/>
                <w:szCs w:val="24"/>
                <w:lang w:eastAsia="zh-CN"/>
              </w:rPr>
              <w:t>（</w:t>
            </w:r>
            <w:r>
              <w:rPr>
                <w:rFonts w:hint="eastAsia" w:ascii="仿宋" w:hAnsi="仿宋" w:eastAsia="仿宋" w:cs="仿宋"/>
                <w:sz w:val="24"/>
                <w:szCs w:val="24"/>
              </w:rPr>
              <w:t>基准价/</w:t>
            </w:r>
            <w:r>
              <w:rPr>
                <w:rFonts w:hint="eastAsia" w:ascii="仿宋" w:hAnsi="仿宋" w:eastAsia="仿宋" w:cs="仿宋"/>
                <w:sz w:val="24"/>
                <w:szCs w:val="24"/>
                <w:lang w:val="en-US" w:eastAsia="zh-CN"/>
              </w:rPr>
              <w:t>报价人报</w:t>
            </w:r>
            <w:r>
              <w:rPr>
                <w:rFonts w:hint="eastAsia" w:ascii="仿宋" w:hAnsi="仿宋" w:eastAsia="仿宋" w:cs="仿宋"/>
                <w:sz w:val="24"/>
                <w:szCs w:val="24"/>
              </w:rPr>
              <w:t>价</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0。（保留小数点后两位，第三位四舍五入）</w:t>
            </w:r>
          </w:p>
          <w:p>
            <w:pPr>
              <w:pStyle w:val="1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left"/>
              <w:rPr>
                <w:rFonts w:ascii="仿宋" w:hAnsi="仿宋" w:eastAsia="仿宋" w:cs="仿宋"/>
                <w:sz w:val="24"/>
              </w:rPr>
            </w:pPr>
            <w:r>
              <w:rPr>
                <w:rFonts w:hint="eastAsia" w:ascii="仿宋" w:hAnsi="仿宋" w:eastAsia="仿宋" w:cs="仿宋"/>
                <w:sz w:val="24"/>
              </w:rPr>
              <w:t>供应商业绩</w:t>
            </w:r>
          </w:p>
        </w:tc>
        <w:tc>
          <w:tcPr>
            <w:tcW w:w="1826"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4870" w:type="dxa"/>
            <w:noWrap w:val="0"/>
            <w:vAlign w:val="center"/>
          </w:tcPr>
          <w:p>
            <w:pPr>
              <w:jc w:val="left"/>
              <w:rPr>
                <w:rFonts w:ascii="仿宋" w:hAnsi="仿宋" w:eastAsia="仿宋" w:cs="仿宋"/>
                <w:sz w:val="24"/>
              </w:rPr>
            </w:pPr>
            <w:r>
              <w:rPr>
                <w:rFonts w:hint="eastAsia" w:ascii="仿宋" w:hAnsi="仿宋" w:eastAsia="仿宋" w:cs="仿宋"/>
                <w:sz w:val="24"/>
              </w:rPr>
              <w:t>需提供已签订的软件运维服务合同，有一项加3分，加满</w:t>
            </w:r>
            <w:r>
              <w:rPr>
                <w:rFonts w:ascii="仿宋" w:hAnsi="仿宋" w:eastAsia="仿宋" w:cs="仿宋"/>
                <w:sz w:val="24"/>
              </w:rPr>
              <w:t>6</w:t>
            </w:r>
            <w:r>
              <w:rPr>
                <w:rFonts w:hint="eastAsia" w:ascii="仿宋" w:hAnsi="仿宋" w:eastAsia="仿宋" w:cs="仿宋"/>
                <w:sz w:val="24"/>
              </w:rPr>
              <w:t>分为止。（投标文件中须提供业绩合同，签订时间及金额以业绩合同为准，复印件或扫描件应能辨识买卖双方公章、签订时间，并加盖供应商公章；如业绩合同不能体现以上全部内容则不得分）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left"/>
              <w:rPr>
                <w:rFonts w:ascii="仿宋" w:hAnsi="仿宋" w:eastAsia="仿宋" w:cs="仿宋"/>
                <w:sz w:val="24"/>
              </w:rPr>
            </w:pPr>
            <w:r>
              <w:rPr>
                <w:rFonts w:hint="eastAsia" w:ascii="仿宋" w:hAnsi="仿宋" w:eastAsia="仿宋" w:cs="仿宋"/>
                <w:sz w:val="24"/>
              </w:rPr>
              <w:t>运维技术方案</w:t>
            </w:r>
          </w:p>
        </w:tc>
        <w:tc>
          <w:tcPr>
            <w:tcW w:w="1826" w:type="dxa"/>
            <w:noWrap w:val="0"/>
            <w:vAlign w:val="center"/>
          </w:tcPr>
          <w:p>
            <w:pPr>
              <w:jc w:val="center"/>
              <w:rPr>
                <w:rFonts w:ascii="仿宋" w:hAnsi="仿宋" w:eastAsia="仿宋" w:cs="仿宋"/>
                <w:sz w:val="24"/>
              </w:rPr>
            </w:pPr>
            <w:r>
              <w:rPr>
                <w:rFonts w:ascii="仿宋" w:hAnsi="仿宋" w:eastAsia="仿宋" w:cs="仿宋"/>
                <w:sz w:val="24"/>
              </w:rPr>
              <w:t>30</w:t>
            </w:r>
          </w:p>
        </w:tc>
        <w:tc>
          <w:tcPr>
            <w:tcW w:w="4870" w:type="dxa"/>
            <w:noWrap w:val="0"/>
            <w:vAlign w:val="center"/>
          </w:tcPr>
          <w:p>
            <w:pPr>
              <w:numPr>
                <w:ilvl w:val="0"/>
                <w:numId w:val="11"/>
              </w:numPr>
              <w:jc w:val="left"/>
              <w:rPr>
                <w:rFonts w:hint="eastAsia" w:ascii="仿宋" w:hAnsi="仿宋" w:eastAsia="仿宋" w:cs="仿宋"/>
                <w:sz w:val="24"/>
              </w:rPr>
            </w:pPr>
            <w:r>
              <w:rPr>
                <w:rFonts w:hint="eastAsia" w:ascii="仿宋" w:hAnsi="仿宋" w:eastAsia="仿宋" w:cs="仿宋"/>
                <w:sz w:val="24"/>
              </w:rPr>
              <w:t>对用户系统整体维护需求理解准确、能给出合理的、完整的、针对性强的总体维护方案，得10分；对用户系统整体维护需求理解基本准确、总体维护方案较为合理，有一定针对性，得7分；对用户系统整体维护需求理解不全面、总体维护方案简单，没有针对性，得3分；对用户系统整体维护需求理解不全面、不能给出总体维护方案，没有针对性，不得分。</w:t>
            </w:r>
          </w:p>
          <w:p>
            <w:pPr>
              <w:numPr>
                <w:ilvl w:val="0"/>
                <w:numId w:val="11"/>
              </w:numPr>
              <w:jc w:val="left"/>
              <w:rPr>
                <w:rFonts w:ascii="仿宋" w:hAnsi="仿宋" w:eastAsia="仿宋" w:cs="仿宋"/>
                <w:sz w:val="24"/>
              </w:rPr>
            </w:pPr>
            <w:r>
              <w:rPr>
                <w:rFonts w:hint="eastAsia" w:ascii="仿宋" w:hAnsi="仿宋" w:eastAsia="仿宋" w:cs="仿宋"/>
                <w:sz w:val="24"/>
              </w:rPr>
              <w:t>维护方案设计能根据学校的需求及时调整和提供完整的个性化服务模式、服务内容满足项目需求、响应速度快、项目支持团队人员经验丰富，资源安排合理，得10分；维护方案设计能提供较为完善合理的服务模式、服务内容基本满足项目需求、项目支持团队人员有一定的经验，得5分；维护方案设计提供完整的服务方案、服务内容、项目支持团队人员配备和资源安排仅能满足日常需求，得2分；否则，不得分。</w:t>
            </w:r>
          </w:p>
          <w:p>
            <w:pPr>
              <w:numPr>
                <w:ilvl w:val="0"/>
                <w:numId w:val="11"/>
              </w:numPr>
              <w:jc w:val="left"/>
              <w:rPr>
                <w:rFonts w:ascii="仿宋" w:hAnsi="仿宋" w:eastAsia="仿宋" w:cs="仿宋"/>
                <w:sz w:val="24"/>
              </w:rPr>
            </w:pPr>
            <w:r>
              <w:rPr>
                <w:rFonts w:hint="eastAsia" w:ascii="仿宋" w:hAnsi="仿宋" w:eastAsia="仿宋" w:cs="仿宋"/>
                <w:sz w:val="24"/>
              </w:rPr>
              <w:t>根据投标人提供的售后进度管控方案（1）售后进度计划管理工具软件或系统，至少包含功能模块、任务、时间节点、人员管理，并提供截图大于10张；（2）可开放给采购人使用，采购人可通过工具软件实时查询售后任务的详细进度信息，得10分；</w:t>
            </w:r>
          </w:p>
          <w:p>
            <w:pPr>
              <w:jc w:val="left"/>
              <w:rPr>
                <w:rFonts w:hint="eastAsia" w:ascii="仿宋" w:hAnsi="仿宋" w:eastAsia="仿宋" w:cs="仿宋"/>
                <w:sz w:val="24"/>
              </w:rPr>
            </w:pPr>
            <w:r>
              <w:rPr>
                <w:rFonts w:hint="eastAsia" w:ascii="仿宋" w:hAnsi="仿宋" w:eastAsia="仿宋" w:cs="仿宋"/>
                <w:sz w:val="24"/>
              </w:rPr>
              <w:t>投标人提供的售后进度管控方案（1）售后进度计划管理工具软件或系统，包含功能模块、任务、时间节点，并提供截图5-10张；（2）可开放给采购人使用，采购人可通过工具软件实时查询售后任务的详细进度信息，得6分；</w:t>
            </w:r>
          </w:p>
          <w:p>
            <w:pPr>
              <w:jc w:val="left"/>
              <w:rPr>
                <w:rFonts w:hint="eastAsia" w:ascii="仿宋" w:hAnsi="仿宋" w:eastAsia="仿宋" w:cs="仿宋"/>
                <w:sz w:val="24"/>
              </w:rPr>
            </w:pPr>
            <w:r>
              <w:rPr>
                <w:rFonts w:hint="eastAsia" w:ascii="仿宋" w:hAnsi="仿宋" w:eastAsia="仿宋" w:cs="仿宋"/>
                <w:sz w:val="24"/>
              </w:rPr>
              <w:t>投标人提供的售后进度管控方案（1）售后进度计划管理工具软件或系统，包含功能模块、任务，并提供截图1-4张；（2）可开放给采购人使用，采购人可通过工具软件查询售后任务的详细进度信息，得2分；</w:t>
            </w:r>
          </w:p>
          <w:p>
            <w:pPr>
              <w:jc w:val="left"/>
              <w:rPr>
                <w:rFonts w:ascii="仿宋" w:hAnsi="仿宋" w:eastAsia="仿宋" w:cs="仿宋"/>
                <w:sz w:val="24"/>
              </w:rPr>
            </w:pPr>
            <w:r>
              <w:rPr>
                <w:rFonts w:hint="eastAsia" w:ascii="仿宋" w:hAnsi="仿宋" w:eastAsia="仿宋" w:cs="仿宋"/>
                <w:sz w:val="24"/>
              </w:rPr>
              <w:t>投标人提供的售后进度管控方案（1）售后进度计划管理工具软件或系统，至少包含功能模块、任务、时间节点、人员管理，但没有提供相关截图；（2）可开放给采购人使用，</w:t>
            </w:r>
            <w:r>
              <w:rPr>
                <w:rFonts w:hint="eastAsia" w:ascii="仿宋" w:hAnsi="仿宋" w:eastAsia="仿宋" w:cs="仿宋"/>
                <w:sz w:val="24"/>
                <w:lang w:val="en-US" w:eastAsia="zh-CN"/>
              </w:rPr>
              <w:t>但</w:t>
            </w:r>
            <w:r>
              <w:rPr>
                <w:rFonts w:hint="eastAsia" w:ascii="仿宋" w:hAnsi="仿宋" w:eastAsia="仿宋" w:cs="仿宋"/>
                <w:sz w:val="24"/>
              </w:rPr>
              <w:t>采购人</w:t>
            </w:r>
            <w:r>
              <w:rPr>
                <w:rFonts w:hint="eastAsia" w:ascii="仿宋" w:hAnsi="仿宋" w:eastAsia="仿宋" w:cs="仿宋"/>
                <w:sz w:val="24"/>
                <w:lang w:val="en-US" w:eastAsia="zh-CN"/>
              </w:rPr>
              <w:t>不能</w:t>
            </w:r>
            <w:r>
              <w:rPr>
                <w:rFonts w:hint="eastAsia" w:ascii="仿宋" w:hAnsi="仿宋" w:eastAsia="仿宋" w:cs="仿宋"/>
                <w:sz w:val="24"/>
              </w:rPr>
              <w:t>通过工具软件查询售后任务的详细进度信息，不得分。</w:t>
            </w:r>
          </w:p>
          <w:p>
            <w:pPr>
              <w:pStyle w:val="29"/>
              <w:ind w:left="0" w:leftChars="0" w:firstLine="0" w:firstLineChars="0"/>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left"/>
              <w:rPr>
                <w:rFonts w:ascii="仿宋" w:hAnsi="仿宋" w:eastAsia="仿宋" w:cs="仿宋"/>
                <w:sz w:val="24"/>
              </w:rPr>
            </w:pPr>
            <w:r>
              <w:rPr>
                <w:rFonts w:hint="eastAsia" w:ascii="仿宋" w:hAnsi="仿宋" w:eastAsia="仿宋" w:cs="仿宋"/>
                <w:sz w:val="24"/>
              </w:rPr>
              <w:t>运维服务能力支撑</w:t>
            </w:r>
          </w:p>
        </w:tc>
        <w:tc>
          <w:tcPr>
            <w:tcW w:w="1826" w:type="dxa"/>
            <w:noWrap w:val="0"/>
            <w:vAlign w:val="center"/>
          </w:tcPr>
          <w:p>
            <w:pPr>
              <w:jc w:val="center"/>
              <w:rPr>
                <w:rFonts w:hint="eastAsia" w:ascii="仿宋" w:hAnsi="仿宋" w:eastAsia="仿宋" w:cs="仿宋"/>
                <w:sz w:val="24"/>
                <w:lang w:val="en-US" w:eastAsia="zh-CN"/>
              </w:rPr>
            </w:pPr>
            <w:r>
              <w:rPr>
                <w:rFonts w:ascii="仿宋" w:hAnsi="仿宋" w:eastAsia="仿宋" w:cs="仿宋"/>
                <w:sz w:val="24"/>
              </w:rPr>
              <w:t>1</w:t>
            </w:r>
            <w:r>
              <w:rPr>
                <w:rFonts w:hint="eastAsia" w:ascii="仿宋" w:hAnsi="仿宋" w:eastAsia="仿宋" w:cs="仿宋"/>
                <w:sz w:val="24"/>
                <w:lang w:val="en-US" w:eastAsia="zh-CN"/>
              </w:rPr>
              <w:t>5</w:t>
            </w:r>
          </w:p>
        </w:tc>
        <w:tc>
          <w:tcPr>
            <w:tcW w:w="4870" w:type="dxa"/>
            <w:noWrap w:val="0"/>
            <w:vAlign w:val="center"/>
          </w:tcPr>
          <w:p>
            <w:pPr>
              <w:jc w:val="left"/>
              <w:rPr>
                <w:rFonts w:ascii="仿宋" w:hAnsi="仿宋" w:eastAsia="仿宋" w:cs="仿宋"/>
                <w:sz w:val="24"/>
              </w:rPr>
            </w:pPr>
            <w:r>
              <w:rPr>
                <w:rFonts w:hint="eastAsia" w:ascii="仿宋" w:hAnsi="仿宋" w:eastAsia="仿宋" w:cs="仿宋"/>
                <w:sz w:val="24"/>
              </w:rPr>
              <w:t>根据投标人提供的运维服务方案及各项支撑措施，从以下几个方案的内容进行综合评审：（1）支持数据平台服务：从前端 URL 响应时间、中间件、主机、数据库全方位对应用系统进行监控，中间任意环节出现故障可以快速准确定位，并提供</w:t>
            </w:r>
            <w:r>
              <w:rPr>
                <w:rFonts w:hint="eastAsia" w:ascii="仿宋" w:hAnsi="仿宋" w:eastAsia="仿宋" w:cs="仿宋"/>
                <w:sz w:val="24"/>
                <w:lang w:val="en-US" w:eastAsia="zh-CN"/>
              </w:rPr>
              <w:t>任意</w:t>
            </w:r>
            <w:r>
              <w:rPr>
                <w:rFonts w:hint="eastAsia" w:ascii="仿宋" w:hAnsi="仿宋" w:eastAsia="仿宋" w:cs="仿宋"/>
                <w:sz w:val="24"/>
              </w:rPr>
              <w:t xml:space="preserve"> </w:t>
            </w:r>
            <w:r>
              <w:rPr>
                <w:rFonts w:hint="eastAsia" w:ascii="仿宋" w:hAnsi="仿宋" w:eastAsia="仿宋" w:cs="仿宋"/>
                <w:sz w:val="24"/>
                <w:lang w:val="en-US" w:eastAsia="zh-CN"/>
              </w:rPr>
              <w:t>1</w:t>
            </w:r>
            <w:r>
              <w:rPr>
                <w:rFonts w:hint="eastAsia" w:ascii="仿宋" w:hAnsi="仿宋" w:eastAsia="仿宋" w:cs="仿宋"/>
                <w:sz w:val="24"/>
              </w:rPr>
              <w:t xml:space="preserve"> 个月的真实环境数据</w:t>
            </w:r>
            <w:r>
              <w:rPr>
                <w:rFonts w:hint="eastAsia" w:ascii="仿宋" w:hAnsi="仿宋" w:eastAsia="仿宋" w:cs="仿宋"/>
                <w:sz w:val="24"/>
                <w:lang w:eastAsia="zh-CN"/>
              </w:rPr>
              <w:t>；</w:t>
            </w:r>
            <w:r>
              <w:rPr>
                <w:rFonts w:hint="eastAsia" w:ascii="仿宋" w:hAnsi="仿宋" w:eastAsia="仿宋" w:cs="仿宋"/>
                <w:sz w:val="24"/>
              </w:rPr>
              <w:t xml:space="preserve">（2）支持对接入应用的运行监控信息、用户行为分析、用户设备的监控与统计功能，监控信息应包含访客数、页面浏览量、页面平均停留时间、监控使用的浏览器及版本信息、终端设备信息、访问所在地域信息。 </w:t>
            </w:r>
          </w:p>
          <w:p>
            <w:pPr>
              <w:jc w:val="left"/>
              <w:rPr>
                <w:rFonts w:ascii="仿宋" w:hAnsi="仿宋" w:eastAsia="仿宋" w:cs="仿宋"/>
                <w:sz w:val="24"/>
              </w:rPr>
            </w:pPr>
            <w:r>
              <w:rPr>
                <w:rFonts w:hint="eastAsia" w:ascii="仿宋" w:hAnsi="仿宋" w:eastAsia="仿宋" w:cs="仿宋"/>
                <w:sz w:val="24"/>
              </w:rPr>
              <w:t>1、投标人提供的运维支撑服务能够在满足学校日常运维与管理的基础上，个性化制定学校运维与管理模式，全面包含上述各项内容要求的，并完整提供服务功能截图的，得</w:t>
            </w:r>
            <w:r>
              <w:rPr>
                <w:rFonts w:ascii="仿宋" w:hAnsi="仿宋" w:eastAsia="仿宋" w:cs="仿宋"/>
                <w:sz w:val="24"/>
              </w:rPr>
              <w:t>15</w:t>
            </w:r>
            <w:r>
              <w:rPr>
                <w:rFonts w:hint="eastAsia" w:ascii="仿宋" w:hAnsi="仿宋" w:eastAsia="仿宋" w:cs="仿宋"/>
                <w:sz w:val="24"/>
              </w:rPr>
              <w:t xml:space="preserve"> 分； </w:t>
            </w:r>
          </w:p>
          <w:p>
            <w:pPr>
              <w:jc w:val="left"/>
              <w:rPr>
                <w:rFonts w:ascii="仿宋" w:hAnsi="仿宋" w:eastAsia="仿宋" w:cs="仿宋"/>
                <w:sz w:val="24"/>
              </w:rPr>
            </w:pPr>
            <w:r>
              <w:rPr>
                <w:rFonts w:hint="eastAsia" w:ascii="仿宋" w:hAnsi="仿宋" w:eastAsia="仿宋" w:cs="仿宋"/>
                <w:sz w:val="24"/>
              </w:rPr>
              <w:t xml:space="preserve">2、运维服务方案及支撑措施能够满足日常运维与管理服务需求，基本涵盖上述各项内容的，得 9分； </w:t>
            </w:r>
          </w:p>
          <w:p>
            <w:pPr>
              <w:jc w:val="left"/>
              <w:rPr>
                <w:rFonts w:ascii="仿宋" w:hAnsi="仿宋" w:eastAsia="仿宋" w:cs="仿宋"/>
                <w:sz w:val="24"/>
              </w:rPr>
            </w:pPr>
            <w:r>
              <w:rPr>
                <w:rFonts w:hint="eastAsia" w:ascii="仿宋" w:hAnsi="仿宋" w:eastAsia="仿宋" w:cs="仿宋"/>
                <w:sz w:val="24"/>
              </w:rPr>
              <w:t xml:space="preserve">3、运维服务方案及各项支撑措施较为简略或有缺失，各项内容有待进一步细化的，得3分； </w:t>
            </w:r>
          </w:p>
          <w:p>
            <w:pPr>
              <w:jc w:val="left"/>
              <w:rPr>
                <w:rFonts w:ascii="仿宋" w:hAnsi="仿宋" w:eastAsia="仿宋" w:cs="仿宋"/>
                <w:sz w:val="24"/>
              </w:rPr>
            </w:pPr>
            <w:r>
              <w:rPr>
                <w:rFonts w:hint="eastAsia" w:ascii="仿宋" w:hAnsi="仿宋" w:eastAsia="仿宋" w:cs="仿宋"/>
                <w:sz w:val="24"/>
              </w:rPr>
              <w:t>4、未提供任何内容不得分。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left"/>
              <w:rPr>
                <w:rFonts w:ascii="仿宋" w:hAnsi="仿宋" w:eastAsia="仿宋" w:cs="仿宋"/>
                <w:sz w:val="24"/>
              </w:rPr>
            </w:pPr>
            <w:r>
              <w:rPr>
                <w:rFonts w:hint="eastAsia" w:ascii="仿宋" w:hAnsi="仿宋" w:eastAsia="仿宋" w:cs="仿宋"/>
                <w:sz w:val="24"/>
              </w:rPr>
              <w:t>项目组人员配置</w:t>
            </w:r>
          </w:p>
        </w:tc>
        <w:tc>
          <w:tcPr>
            <w:tcW w:w="1826" w:type="dxa"/>
            <w:noWrap w:val="0"/>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4870" w:type="dxa"/>
            <w:noWrap w:val="0"/>
            <w:vAlign w:val="center"/>
          </w:tcPr>
          <w:p>
            <w:pPr>
              <w:jc w:val="left"/>
              <w:rPr>
                <w:rFonts w:hint="eastAsia" w:ascii="仿宋" w:hAnsi="仿宋" w:eastAsia="仿宋" w:cs="仿宋"/>
                <w:sz w:val="24"/>
              </w:rPr>
            </w:pPr>
            <w:r>
              <w:rPr>
                <w:rFonts w:hint="eastAsia" w:ascii="仿宋" w:hAnsi="仿宋" w:eastAsia="仿宋" w:cs="仿宋"/>
                <w:sz w:val="24"/>
              </w:rPr>
              <w:t>1、本项目服务团队</w:t>
            </w:r>
            <w:r>
              <w:rPr>
                <w:rFonts w:hint="eastAsia" w:eastAsia="仿宋"/>
                <w:sz w:val="24"/>
              </w:rPr>
              <w:t>服务人员不少于10</w:t>
            </w:r>
            <w:r>
              <w:rPr>
                <w:rFonts w:hint="eastAsia" w:ascii="仿宋" w:hAnsi="仿宋" w:eastAsia="仿宋" w:cs="仿宋"/>
                <w:sz w:val="24"/>
              </w:rPr>
              <w:t>人，且在接到采购人通知后能在2小时内到达现场的，得</w:t>
            </w:r>
            <w:r>
              <w:rPr>
                <w:rFonts w:hint="eastAsia" w:ascii="仿宋" w:hAnsi="仿宋" w:eastAsia="仿宋" w:cs="仿宋"/>
                <w:sz w:val="24"/>
                <w:lang w:val="en-US" w:eastAsia="zh-CN"/>
              </w:rPr>
              <w:t>7</w:t>
            </w:r>
            <w:r>
              <w:rPr>
                <w:rFonts w:hint="eastAsia" w:ascii="仿宋" w:hAnsi="仿宋" w:eastAsia="仿宋" w:cs="仿宋"/>
                <w:sz w:val="24"/>
              </w:rPr>
              <w:t>分；服务团队</w:t>
            </w:r>
            <w:r>
              <w:rPr>
                <w:rFonts w:hint="eastAsia" w:eastAsia="仿宋"/>
                <w:sz w:val="24"/>
              </w:rPr>
              <w:t>服务人员5-9人，</w:t>
            </w:r>
            <w:r>
              <w:rPr>
                <w:rFonts w:hint="eastAsia" w:ascii="仿宋" w:hAnsi="仿宋" w:eastAsia="仿宋" w:cs="仿宋"/>
                <w:sz w:val="24"/>
              </w:rPr>
              <w:t>且在接到采购人通知后能在</w:t>
            </w:r>
            <w:r>
              <w:rPr>
                <w:rFonts w:hint="eastAsia" w:ascii="仿宋" w:hAnsi="仿宋" w:eastAsia="仿宋" w:cs="仿宋"/>
                <w:sz w:val="24"/>
                <w:lang w:val="en-US" w:eastAsia="zh-CN"/>
              </w:rPr>
              <w:t>3-5</w:t>
            </w:r>
            <w:r>
              <w:rPr>
                <w:rFonts w:hint="eastAsia" w:ascii="仿宋" w:hAnsi="仿宋" w:eastAsia="仿宋" w:cs="仿宋"/>
                <w:sz w:val="24"/>
              </w:rPr>
              <w:t>小时内到达现场的，得</w:t>
            </w:r>
            <w:r>
              <w:rPr>
                <w:rFonts w:hint="eastAsia" w:ascii="仿宋" w:hAnsi="仿宋" w:eastAsia="仿宋" w:cs="仿宋"/>
                <w:sz w:val="24"/>
                <w:lang w:val="en-US" w:eastAsia="zh-CN"/>
              </w:rPr>
              <w:t>4</w:t>
            </w:r>
            <w:r>
              <w:rPr>
                <w:rFonts w:hint="eastAsia" w:ascii="仿宋" w:hAnsi="仿宋" w:eastAsia="仿宋" w:cs="仿宋"/>
                <w:sz w:val="24"/>
              </w:rPr>
              <w:t>分；服务团队</w:t>
            </w:r>
            <w:r>
              <w:rPr>
                <w:rFonts w:hint="eastAsia" w:eastAsia="仿宋"/>
                <w:sz w:val="24"/>
              </w:rPr>
              <w:t>服务人员少于5人，</w:t>
            </w:r>
            <w:r>
              <w:rPr>
                <w:rFonts w:hint="eastAsia" w:ascii="仿宋" w:hAnsi="仿宋" w:eastAsia="仿宋" w:cs="仿宋"/>
                <w:sz w:val="24"/>
              </w:rPr>
              <w:t>且在接到采购人通知后在</w:t>
            </w:r>
            <w:r>
              <w:rPr>
                <w:rFonts w:hint="eastAsia" w:ascii="仿宋" w:hAnsi="仿宋" w:eastAsia="仿宋" w:cs="仿宋"/>
                <w:sz w:val="24"/>
                <w:lang w:val="en-US" w:eastAsia="zh-CN"/>
              </w:rPr>
              <w:t>5</w:t>
            </w:r>
            <w:r>
              <w:rPr>
                <w:rFonts w:hint="eastAsia" w:ascii="仿宋" w:hAnsi="仿宋" w:eastAsia="仿宋" w:cs="仿宋"/>
                <w:sz w:val="24"/>
              </w:rPr>
              <w:t>小时</w:t>
            </w:r>
            <w:r>
              <w:rPr>
                <w:rFonts w:hint="eastAsia" w:ascii="仿宋" w:hAnsi="仿宋" w:eastAsia="仿宋" w:cs="仿宋"/>
                <w:sz w:val="24"/>
                <w:lang w:val="en-US" w:eastAsia="zh-CN"/>
              </w:rPr>
              <w:t>后</w:t>
            </w:r>
            <w:r>
              <w:rPr>
                <w:rFonts w:hint="eastAsia" w:ascii="仿宋" w:hAnsi="仿宋" w:eastAsia="仿宋" w:cs="仿宋"/>
                <w:sz w:val="24"/>
              </w:rPr>
              <w:t>到达现场的，不得分。</w:t>
            </w:r>
          </w:p>
          <w:p>
            <w:pPr>
              <w:jc w:val="left"/>
              <w:rPr>
                <w:rFonts w:ascii="仿宋" w:hAnsi="仿宋" w:eastAsia="仿宋" w:cs="仿宋"/>
                <w:sz w:val="24"/>
              </w:rPr>
            </w:pPr>
            <w:r>
              <w:rPr>
                <w:rFonts w:hint="eastAsia" w:ascii="仿宋" w:hAnsi="仿宋" w:eastAsia="仿宋" w:cs="仿宋"/>
                <w:sz w:val="24"/>
              </w:rPr>
              <w:t>以上均需提供加盖公章的承诺函。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left"/>
              <w:rPr>
                <w:rFonts w:ascii="仿宋" w:hAnsi="仿宋" w:eastAsia="仿宋" w:cs="仿宋"/>
                <w:sz w:val="24"/>
              </w:rPr>
            </w:pPr>
            <w:r>
              <w:rPr>
                <w:rFonts w:hint="eastAsia" w:ascii="仿宋" w:hAnsi="仿宋" w:eastAsia="仿宋" w:cs="仿宋"/>
                <w:sz w:val="24"/>
              </w:rPr>
              <w:t>培训方案</w:t>
            </w:r>
          </w:p>
        </w:tc>
        <w:tc>
          <w:tcPr>
            <w:tcW w:w="1826"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4870" w:type="dxa"/>
            <w:noWrap w:val="0"/>
            <w:vAlign w:val="center"/>
          </w:tcPr>
          <w:p>
            <w:pPr>
              <w:jc w:val="left"/>
              <w:rPr>
                <w:rFonts w:ascii="仿宋" w:hAnsi="仿宋" w:eastAsia="仿宋" w:cs="仿宋"/>
                <w:sz w:val="24"/>
              </w:rPr>
            </w:pPr>
            <w:r>
              <w:rPr>
                <w:rFonts w:hint="eastAsia" w:ascii="仿宋" w:hAnsi="仿宋" w:eastAsia="仿宋" w:cs="仿宋"/>
                <w:sz w:val="24"/>
              </w:rPr>
              <w:t>有针对性的培训方案，培训方案应包括培训的时间、地点、目标、方式、内容、对象和措施。对方案的科学性可行性进行综合评比。方案科学有前瞻性且详细可操作性强，得</w:t>
            </w:r>
            <w:r>
              <w:rPr>
                <w:rFonts w:hint="eastAsia" w:ascii="仿宋" w:hAnsi="仿宋" w:eastAsia="仿宋" w:cs="仿宋"/>
                <w:sz w:val="24"/>
                <w:lang w:val="en-US" w:eastAsia="zh-CN"/>
              </w:rPr>
              <w:t>6</w:t>
            </w:r>
            <w:r>
              <w:rPr>
                <w:rFonts w:hint="eastAsia" w:ascii="仿宋" w:hAnsi="仿宋" w:eastAsia="仿宋" w:cs="仿宋"/>
                <w:sz w:val="24"/>
              </w:rPr>
              <w:t>分；方案完整能满足需要的，得</w:t>
            </w:r>
            <w:r>
              <w:rPr>
                <w:rFonts w:hint="eastAsia" w:ascii="仿宋" w:hAnsi="仿宋" w:eastAsia="仿宋" w:cs="仿宋"/>
                <w:sz w:val="24"/>
                <w:lang w:val="en-US" w:eastAsia="zh-CN"/>
              </w:rPr>
              <w:t>3</w:t>
            </w:r>
            <w:r>
              <w:rPr>
                <w:rFonts w:hint="eastAsia" w:ascii="仿宋" w:hAnsi="仿宋" w:eastAsia="仿宋" w:cs="仿宋"/>
                <w:sz w:val="24"/>
              </w:rPr>
              <w:t>分；方案不完整但能基本满足需要的，得1分；方案存在明显缺陷的或无方案的，不得分。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left"/>
              <w:rPr>
                <w:rFonts w:ascii="仿宋" w:hAnsi="仿宋" w:eastAsia="仿宋" w:cs="仿宋"/>
                <w:sz w:val="24"/>
              </w:rPr>
            </w:pPr>
            <w:r>
              <w:rPr>
                <w:rFonts w:hint="eastAsia" w:ascii="仿宋" w:hAnsi="仿宋" w:eastAsia="仿宋" w:cs="仿宋"/>
                <w:sz w:val="24"/>
              </w:rPr>
              <w:t>售后服务承诺</w:t>
            </w:r>
          </w:p>
        </w:tc>
        <w:tc>
          <w:tcPr>
            <w:tcW w:w="1826"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4870" w:type="dxa"/>
            <w:noWrap w:val="0"/>
            <w:vAlign w:val="center"/>
          </w:tcPr>
          <w:p>
            <w:pPr>
              <w:jc w:val="left"/>
              <w:rPr>
                <w:rFonts w:eastAsia="仿宋"/>
                <w:sz w:val="24"/>
              </w:rPr>
            </w:pPr>
            <w:r>
              <w:rPr>
                <w:rFonts w:hint="eastAsia" w:eastAsia="仿宋"/>
                <w:sz w:val="24"/>
              </w:rPr>
              <w:t>1．</w:t>
            </w:r>
            <w:r>
              <w:rPr>
                <w:rFonts w:hint="eastAsia" w:eastAsia="仿宋"/>
                <w:sz w:val="24"/>
                <w:lang w:val="en-US" w:eastAsia="zh-CN"/>
              </w:rPr>
              <w:t>投标人需在承诺书中签署承诺：“如</w:t>
            </w:r>
            <w:r>
              <w:rPr>
                <w:rFonts w:hint="eastAsia" w:eastAsia="仿宋"/>
                <w:sz w:val="24"/>
              </w:rPr>
              <w:t>采购方有重要保障场景</w:t>
            </w:r>
            <w:r>
              <w:rPr>
                <w:rFonts w:hint="eastAsia" w:eastAsia="仿宋"/>
                <w:sz w:val="24"/>
                <w:lang w:eastAsia="zh-CN"/>
              </w:rPr>
              <w:t>，</w:t>
            </w:r>
            <w:r>
              <w:rPr>
                <w:rFonts w:hint="eastAsia" w:eastAsia="仿宋"/>
                <w:sz w:val="24"/>
                <w:lang w:val="en-US" w:eastAsia="zh-CN"/>
              </w:rPr>
              <w:t>中标方无条件提供</w:t>
            </w:r>
            <w:r>
              <w:rPr>
                <w:rFonts w:hint="eastAsia" w:eastAsia="仿宋"/>
                <w:sz w:val="24"/>
              </w:rPr>
              <w:t>服务本项目的二线技术支撑人员提供现场技术支撑</w:t>
            </w:r>
            <w:r>
              <w:rPr>
                <w:rFonts w:hint="eastAsia" w:eastAsia="仿宋"/>
                <w:sz w:val="24"/>
                <w:lang w:val="en-US" w:eastAsia="zh-CN"/>
              </w:rPr>
              <w:t>”</w:t>
            </w:r>
            <w:r>
              <w:rPr>
                <w:rFonts w:hint="eastAsia" w:eastAsia="仿宋"/>
                <w:sz w:val="24"/>
              </w:rPr>
              <w:t>，得</w:t>
            </w:r>
            <w:r>
              <w:rPr>
                <w:rFonts w:hint="eastAsia" w:eastAsia="仿宋"/>
                <w:sz w:val="24"/>
                <w:lang w:val="en-US" w:eastAsia="zh-CN"/>
              </w:rPr>
              <w:t>4</w:t>
            </w:r>
            <w:r>
              <w:rPr>
                <w:rFonts w:hint="eastAsia" w:eastAsia="仿宋"/>
                <w:sz w:val="24"/>
              </w:rPr>
              <w:t>分。</w:t>
            </w:r>
          </w:p>
          <w:p>
            <w:pPr>
              <w:jc w:val="left"/>
              <w:rPr>
                <w:rFonts w:hint="eastAsia" w:eastAsia="仿宋"/>
                <w:sz w:val="24"/>
              </w:rPr>
            </w:pPr>
            <w:r>
              <w:rPr>
                <w:rFonts w:hint="eastAsia" w:ascii="仿宋" w:hAnsi="仿宋" w:eastAsia="仿宋" w:cs="仿宋"/>
                <w:sz w:val="24"/>
              </w:rPr>
              <w:t>2.投标人承诺提供 7×24 小时技术支持服务的，针对本项目应做到工作日半小时内响应，非工作日一小时内响应，得</w:t>
            </w:r>
            <w:r>
              <w:rPr>
                <w:rFonts w:ascii="仿宋" w:hAnsi="仿宋" w:eastAsia="仿宋" w:cs="仿宋"/>
                <w:sz w:val="24"/>
              </w:rPr>
              <w:t>2</w:t>
            </w:r>
            <w:r>
              <w:rPr>
                <w:rFonts w:hint="eastAsia" w:ascii="仿宋" w:hAnsi="仿宋" w:eastAsia="仿宋" w:cs="仿宋"/>
                <w:sz w:val="24"/>
              </w:rPr>
              <w:t>分；</w:t>
            </w:r>
          </w:p>
          <w:p>
            <w:pPr>
              <w:jc w:val="left"/>
              <w:rPr>
                <w:rFonts w:hint="eastAsia" w:eastAsia="仿宋"/>
                <w:sz w:val="24"/>
              </w:rPr>
            </w:pPr>
            <w:r>
              <w:rPr>
                <w:rFonts w:hint="eastAsia" w:eastAsia="仿宋"/>
                <w:sz w:val="24"/>
              </w:rPr>
              <w:t>未提供承诺或承诺内容不满足要求均不</w:t>
            </w:r>
            <w:r>
              <w:rPr>
                <w:rFonts w:hint="eastAsia" w:eastAsia="仿宋"/>
                <w:sz w:val="24"/>
                <w:lang w:val="en-US" w:eastAsia="zh-CN"/>
              </w:rPr>
              <w:t>得</w:t>
            </w:r>
            <w:r>
              <w:rPr>
                <w:rFonts w:hint="eastAsia" w:eastAsia="仿宋"/>
                <w:sz w:val="24"/>
              </w:rPr>
              <w:t>分。</w:t>
            </w:r>
          </w:p>
        </w:tc>
      </w:tr>
    </w:tbl>
    <w:p>
      <w:pPr>
        <w:keepNext w:val="0"/>
        <w:keepLines w:val="0"/>
        <w:pageBreakBefore w:val="0"/>
        <w:widowControl w:val="0"/>
        <w:tabs>
          <w:tab w:val="left" w:pos="180"/>
          <w:tab w:val="left" w:pos="1701"/>
        </w:tabs>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p>
      <w:pPr>
        <w:adjustRightInd w:val="0"/>
        <w:snapToGrid w:val="0"/>
        <w:spacing w:line="360" w:lineRule="auto"/>
        <w:rPr>
          <w:rFonts w:hint="eastAsia" w:ascii="仿宋_GB2312" w:eastAsia="仿宋_GB2312"/>
          <w:szCs w:val="28"/>
        </w:rPr>
      </w:pPr>
    </w:p>
    <w:p>
      <w:pPr>
        <w:adjustRightInd w:val="0"/>
        <w:snapToGrid w:val="0"/>
        <w:spacing w:line="360" w:lineRule="auto"/>
        <w:rPr>
          <w:rFonts w:hint="eastAsia" w:ascii="仿宋_GB2312" w:eastAsia="仿宋_GB2312"/>
          <w:szCs w:val="28"/>
        </w:rPr>
      </w:pPr>
      <w:r>
        <w:rPr>
          <w:rFonts w:hint="eastAsia" w:ascii="仿宋_GB2312" w:eastAsia="仿宋_GB2312"/>
          <w:szCs w:val="28"/>
        </w:rPr>
        <w:t>二、评标内容及标准</w:t>
      </w:r>
    </w:p>
    <w:p>
      <w:pPr>
        <w:adjustRightInd w:val="0"/>
        <w:snapToGrid w:val="0"/>
        <w:spacing w:line="460" w:lineRule="exact"/>
        <w:ind w:firstLine="560"/>
        <w:rPr>
          <w:rFonts w:hint="default" w:ascii="Times New Roman" w:hAnsi="Times New Roman" w:eastAsia="仿宋_GB2312" w:cs="Times New Roman"/>
        </w:rPr>
      </w:pPr>
      <w:r>
        <w:rPr>
          <w:rFonts w:hint="default" w:ascii="Times New Roman" w:hAnsi="Times New Roman" w:eastAsia="仿宋_GB2312" w:cs="Times New Roman"/>
          <w:szCs w:val="28"/>
        </w:rPr>
        <w:t>其他：如第一中标人放弃中标</w:t>
      </w:r>
      <w:r>
        <w:rPr>
          <w:rFonts w:hint="eastAsia" w:eastAsia="仿宋_GB2312" w:cs="Times New Roman"/>
          <w:szCs w:val="28"/>
          <w:lang w:eastAsia="zh-CN"/>
        </w:rPr>
        <w:t>，</w:t>
      </w:r>
      <w:r>
        <w:rPr>
          <w:rFonts w:hint="default" w:ascii="Times New Roman" w:hAnsi="Times New Roman" w:eastAsia="仿宋_GB2312" w:cs="Times New Roman"/>
          <w:szCs w:val="28"/>
        </w:rPr>
        <w:t>或因不可抗力提出不能履行合同，招标人可以选择排名第二名中标人进行递补。</w:t>
      </w:r>
    </w:p>
    <w:p>
      <w:pPr>
        <w:adjustRightInd w:val="0"/>
        <w:snapToGrid w:val="0"/>
        <w:spacing w:line="360" w:lineRule="auto"/>
        <w:rPr>
          <w:rFonts w:ascii="仿宋_GB2312" w:eastAsia="仿宋_GB2312"/>
          <w:szCs w:val="28"/>
        </w:rPr>
      </w:pPr>
    </w:p>
    <w:p>
      <w:pPr>
        <w:pStyle w:val="39"/>
      </w:pPr>
      <w:r>
        <w:rPr>
          <w:rFonts w:hint="eastAsia"/>
        </w:rPr>
        <w:t xml:space="preserve">第七章  </w:t>
      </w:r>
      <w:bookmarkStart w:id="115" w:name="_Toc403987220"/>
      <w:r>
        <w:rPr>
          <w:rFonts w:hint="eastAsia"/>
        </w:rPr>
        <w:t>响应文件格式</w:t>
      </w:r>
      <w:bookmarkEnd w:id="113"/>
      <w:bookmarkEnd w:id="114"/>
      <w:bookmarkEnd w:id="115"/>
      <w:bookmarkStart w:id="116" w:name="_Hlt26671244"/>
      <w:bookmarkEnd w:id="116"/>
      <w:bookmarkStart w:id="117" w:name="_Hlt26955039"/>
      <w:bookmarkEnd w:id="117"/>
    </w:p>
    <w:p>
      <w:pPr>
        <w:jc w:val="left"/>
        <w:rPr>
          <w:rFonts w:hint="eastAsia" w:eastAsia="仿宋_GB2312"/>
          <w:snapToGrid w:val="0"/>
          <w:sz w:val="30"/>
        </w:rPr>
      </w:pPr>
    </w:p>
    <w:p>
      <w:pPr>
        <w:jc w:val="left"/>
        <w:rPr>
          <w:rFonts w:hint="default" w:eastAsia="仿宋_GB2312"/>
          <w:snapToGrid w:val="0"/>
          <w:sz w:val="30"/>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4445635</wp:posOffset>
                </wp:positionH>
                <wp:positionV relativeFrom="paragraph">
                  <wp:posOffset>1270</wp:posOffset>
                </wp:positionV>
                <wp:extent cx="659765" cy="385445"/>
                <wp:effectExtent l="4445" t="4445" r="21590" b="10160"/>
                <wp:wrapNone/>
                <wp:docPr id="5" name="矩形 4"/>
                <wp:cNvGraphicFramePr/>
                <a:graphic xmlns:a="http://schemas.openxmlformats.org/drawingml/2006/main">
                  <a:graphicData uri="http://schemas.microsoft.com/office/word/2010/wordprocessingShape">
                    <wps:wsp>
                      <wps:cNvSpPr/>
                      <wps:spPr>
                        <a:xfrm>
                          <a:off x="0" y="0"/>
                          <a:ext cx="65976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32"/>
                                <w:szCs w:val="32"/>
                              </w:rPr>
                            </w:pPr>
                            <w:r>
                              <w:rPr>
                                <w:rFonts w:hint="eastAsia" w:ascii="仿宋_GB2312" w:hAnsi="宋体" w:eastAsia="仿宋_GB2312"/>
                                <w:b/>
                                <w:sz w:val="32"/>
                                <w:szCs w:val="32"/>
                              </w:rPr>
                              <w:t>正本</w:t>
                            </w:r>
                          </w:p>
                        </w:txbxContent>
                      </wps:txbx>
                      <wps:bodyPr upright="1"/>
                    </wps:wsp>
                  </a:graphicData>
                </a:graphic>
              </wp:anchor>
            </w:drawing>
          </mc:Choice>
          <mc:Fallback>
            <w:pict>
              <v:rect id="矩形 4" o:spid="_x0000_s1026" o:spt="1" style="position:absolute;left:0pt;margin-left:350.05pt;margin-top:0.1pt;height:30.35pt;width:51.95pt;z-index:251659264;mso-width-relative:page;mso-height-relative:page;" fillcolor="#FFFFFF" filled="t" stroked="t" coordsize="21600,21600" o:gfxdata="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6tra1QAAAAcBAAAPAAAAAAAAAAEAIAAAACIAAABkcnMvZG93bnJl&#10;di54bWxQSwECFAAUAAAACACHTuJAiYCj0gACAAAoBAAADgAAAAAAAAABACAAAAAkAQAAZHJzL2Uy&#10;b0RvYy54bWxQSwUGAAAAAAYABgBZAQAAlgUAAAAA&#10;">
                <v:fill on="t" focussize="0,0"/>
                <v:stroke color="#000000" joinstyle="miter"/>
                <v:imagedata o:title=""/>
                <o:lock v:ext="edit" aspectratio="f"/>
                <v:textbox>
                  <w:txbxContent>
                    <w:p>
                      <w:pPr>
                        <w:jc w:val="center"/>
                        <w:rPr>
                          <w:b/>
                          <w:sz w:val="32"/>
                          <w:szCs w:val="32"/>
                        </w:rPr>
                      </w:pPr>
                      <w:r>
                        <w:rPr>
                          <w:rFonts w:hint="eastAsia" w:ascii="仿宋_GB2312" w:hAnsi="宋体" w:eastAsia="仿宋_GB2312"/>
                          <w:b/>
                          <w:sz w:val="32"/>
                          <w:szCs w:val="32"/>
                        </w:rPr>
                        <w:t>正本</w:t>
                      </w:r>
                    </w:p>
                  </w:txbxContent>
                </v:textbox>
              </v:rect>
            </w:pict>
          </mc:Fallback>
        </mc:AlternateContent>
      </w:r>
      <w:r>
        <w:rPr>
          <w:rFonts w:hint="eastAsia" w:eastAsia="仿宋_GB2312"/>
          <w:snapToGrid w:val="0"/>
          <w:sz w:val="30"/>
        </w:rPr>
        <w:t>项目编号：WYGZ202</w:t>
      </w:r>
      <w:r>
        <w:rPr>
          <w:rFonts w:hint="eastAsia" w:eastAsia="仿宋_GB2312"/>
          <w:snapToGrid w:val="0"/>
          <w:sz w:val="30"/>
          <w:lang w:val="en-US" w:eastAsia="zh-CN"/>
        </w:rPr>
        <w:t>4052</w:t>
      </w:r>
    </w:p>
    <w:p>
      <w:pPr>
        <w:jc w:val="left"/>
        <w:rPr>
          <w:rFonts w:ascii="仿宋_GB2312" w:eastAsia="仿宋_GB2312"/>
          <w:sz w:val="52"/>
          <w:szCs w:val="52"/>
        </w:rPr>
      </w:pPr>
    </w:p>
    <w:p>
      <w:pPr>
        <w:jc w:val="center"/>
        <w:rPr>
          <w:rFonts w:ascii="华文中宋" w:hAnsi="华文中宋" w:eastAsia="华文中宋" w:cs="宋体"/>
          <w:b/>
          <w:sz w:val="52"/>
          <w:szCs w:val="52"/>
        </w:rPr>
      </w:pPr>
      <w:bookmarkStart w:id="118" w:name="_Hlk450146333"/>
      <w:r>
        <w:rPr>
          <w:rFonts w:ascii="仿宋_GB2312" w:eastAsia="仿宋_GB2312"/>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5"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pPr>
        <w:jc w:val="center"/>
        <w:rPr>
          <w:rFonts w:ascii="华文中宋" w:hAnsi="华文中宋" w:eastAsia="华文中宋" w:cs="宋体"/>
          <w:b/>
          <w:sz w:val="52"/>
          <w:szCs w:val="52"/>
        </w:rPr>
      </w:pPr>
    </w:p>
    <w:p>
      <w:pPr>
        <w:jc w:val="center"/>
        <w:rPr>
          <w:rFonts w:hint="eastAsia" w:ascii="华文中宋" w:hAnsi="华文中宋" w:eastAsia="华文中宋"/>
          <w:b/>
          <w:bCs/>
          <w:w w:val="90"/>
          <w:sz w:val="48"/>
          <w:szCs w:val="48"/>
        </w:rPr>
      </w:pPr>
      <w:r>
        <w:rPr>
          <w:rFonts w:hint="eastAsia" w:ascii="华文中宋" w:hAnsi="华文中宋" w:eastAsia="华文中宋"/>
          <w:b/>
          <w:bCs/>
          <w:w w:val="90"/>
          <w:sz w:val="48"/>
          <w:szCs w:val="48"/>
        </w:rPr>
        <w:t>皖南医学院智慧校园应用系统软件维保服务项目</w:t>
      </w:r>
    </w:p>
    <w:p>
      <w:pPr>
        <w:jc w:val="center"/>
        <w:rPr>
          <w:rFonts w:ascii="黑体" w:hAnsi="黑体" w:eastAsia="黑体" w:cs="Arial"/>
          <w:b/>
          <w:sz w:val="72"/>
        </w:rPr>
      </w:pPr>
      <w:r>
        <w:rPr>
          <w:rFonts w:hint="eastAsia" w:ascii="黑体" w:hAnsi="黑体" w:eastAsia="黑体" w:cs="Arial"/>
          <w:b/>
          <w:sz w:val="72"/>
        </w:rPr>
        <w:t>投</w:t>
      </w:r>
    </w:p>
    <w:p>
      <w:pPr>
        <w:jc w:val="center"/>
        <w:rPr>
          <w:rFonts w:ascii="黑体" w:hAnsi="黑体" w:eastAsia="黑体" w:cs="Arial"/>
          <w:b/>
          <w:sz w:val="72"/>
        </w:rPr>
      </w:pPr>
      <w:r>
        <w:rPr>
          <w:rFonts w:hint="eastAsia" w:ascii="黑体" w:hAnsi="黑体" w:eastAsia="黑体" w:cs="Arial"/>
          <w:b/>
          <w:sz w:val="72"/>
        </w:rPr>
        <w:t>标</w:t>
      </w:r>
    </w:p>
    <w:p>
      <w:pPr>
        <w:jc w:val="center"/>
        <w:rPr>
          <w:rFonts w:ascii="黑体" w:hAnsi="黑体" w:eastAsia="黑体" w:cs="Arial"/>
          <w:sz w:val="32"/>
        </w:rPr>
      </w:pPr>
      <w:r>
        <w:rPr>
          <w:rFonts w:hint="eastAsia" w:ascii="黑体" w:hAnsi="黑体" w:eastAsia="黑体" w:cs="Arial"/>
          <w:b/>
          <w:sz w:val="72"/>
        </w:rPr>
        <w:t>书</w:t>
      </w:r>
      <w:bookmarkEnd w:id="118"/>
    </w:p>
    <w:p>
      <w:pPr>
        <w:rPr>
          <w:rFonts w:ascii="仿宋_GB2312" w:hAnsi="Arial" w:eastAsia="仿宋_GB2312" w:cs="Arial"/>
          <w:sz w:val="32"/>
        </w:rPr>
      </w:pPr>
      <w:r>
        <w:rPr>
          <w:rFonts w:hint="eastAsia" w:ascii="仿宋_GB2312" w:hAnsi="Arial" w:eastAsia="仿宋_GB2312" w:cs="Arial"/>
          <w:sz w:val="32"/>
        </w:rPr>
        <w:t xml:space="preserve">              </w:t>
      </w: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320" w:firstLineChars="100"/>
        <w:jc w:val="center"/>
        <w:rPr>
          <w:sz w:val="32"/>
          <w:szCs w:val="32"/>
        </w:rPr>
      </w:pPr>
    </w:p>
    <w:p>
      <w:pPr>
        <w:ind w:firstLine="320" w:firstLineChars="100"/>
        <w:jc w:val="center"/>
        <w:rPr>
          <w:sz w:val="32"/>
          <w:szCs w:val="32"/>
        </w:rPr>
      </w:pPr>
    </w:p>
    <w:p>
      <w:pPr>
        <w:ind w:firstLine="320" w:firstLineChars="100"/>
        <w:jc w:val="center"/>
        <w:rPr>
          <w:sz w:val="32"/>
          <w:szCs w:val="32"/>
        </w:rPr>
      </w:pPr>
    </w:p>
    <w:p>
      <w:pPr>
        <w:spacing w:line="440" w:lineRule="exact"/>
        <w:jc w:val="center"/>
        <w:rPr>
          <w:rFonts w:hAnsi="宋体"/>
          <w:b/>
          <w:bCs/>
          <w:color w:val="000000"/>
          <w:sz w:val="32"/>
          <w:szCs w:val="32"/>
        </w:rPr>
      </w:pPr>
      <w:r>
        <w:rPr>
          <w:rFonts w:hint="eastAsia" w:hAnsi="宋体"/>
          <w:b/>
          <w:bCs/>
          <w:color w:val="000000"/>
          <w:sz w:val="32"/>
          <w:szCs w:val="32"/>
        </w:rPr>
        <w:t>响应文件目录</w:t>
      </w:r>
    </w:p>
    <w:p>
      <w:pPr>
        <w:snapToGrid w:val="0"/>
        <w:spacing w:before="50" w:after="50"/>
        <w:rPr>
          <w:rFonts w:hAnsi="宋体"/>
          <w:color w:val="000000"/>
          <w:sz w:val="24"/>
          <w:szCs w:val="24"/>
        </w:rPr>
      </w:pP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一、开标一览表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二、资格性和符合性检查响应对照表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三、磋商函格式</w:t>
      </w:r>
    </w:p>
    <w:p>
      <w:pPr>
        <w:adjustRightInd w:val="0"/>
        <w:snapToGrid w:val="0"/>
        <w:spacing w:line="360" w:lineRule="auto"/>
        <w:rPr>
          <w:rFonts w:asciiTheme="minorEastAsia" w:hAnsiTheme="minorEastAsia" w:eastAsiaTheme="minorEastAsia"/>
          <w:b/>
          <w:color w:val="000000"/>
          <w:spacing w:val="-6"/>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spacing w:val="-6"/>
          <w:sz w:val="24"/>
          <w:szCs w:val="24"/>
        </w:rPr>
        <w:t>投标人一般情况表</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五、法人授权书格式</w:t>
      </w:r>
    </w:p>
    <w:p>
      <w:pPr>
        <w:adjustRightInd w:val="0"/>
        <w:snapToGrid w:val="0"/>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六、实施方案</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lang w:val="en-US" w:eastAsia="zh-CN"/>
        </w:rPr>
        <w:t>根据项目具体要求编制</w:t>
      </w:r>
      <w:r>
        <w:rPr>
          <w:rFonts w:hint="eastAsia" w:asciiTheme="minorEastAsia" w:hAnsiTheme="minorEastAsia" w:eastAsiaTheme="minorEastAsia"/>
          <w:b/>
          <w:sz w:val="24"/>
          <w:szCs w:val="24"/>
          <w:lang w:eastAsia="zh-CN"/>
        </w:rPr>
        <w:t>）</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七．报价明细表（根据项目具体要求编制）</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八、承诺书（针对招标文件相关要求提供的承诺书）格式自拟</w:t>
      </w:r>
    </w:p>
    <w:p>
      <w:pPr>
        <w:tabs>
          <w:tab w:val="left" w:pos="5580"/>
        </w:tabs>
        <w:adjustRightInd w:val="0"/>
        <w:snapToGrid w:val="0"/>
        <w:spacing w:line="360" w:lineRule="auto"/>
        <w:jc w:val="left"/>
        <w:rPr>
          <w:rFonts w:asciiTheme="minorEastAsia" w:hAnsiTheme="minorEastAsia" w:eastAsiaTheme="minorEastAsia"/>
          <w:b/>
          <w:sz w:val="24"/>
          <w:szCs w:val="24"/>
        </w:rPr>
      </w:pPr>
    </w:p>
    <w:p>
      <w:pPr>
        <w:jc w:val="center"/>
        <w:rPr>
          <w:rFonts w:hAnsi="宋体"/>
          <w:color w:val="000000"/>
          <w:sz w:val="24"/>
        </w:rPr>
      </w:pPr>
      <w:r>
        <w:rPr>
          <w:rFonts w:hAnsi="宋体"/>
          <w:color w:val="000000"/>
          <w:sz w:val="24"/>
        </w:rPr>
        <w:br w:type="page"/>
      </w:r>
    </w:p>
    <w:p>
      <w:pPr>
        <w:snapToGrid w:val="0"/>
        <w:spacing w:before="50" w:after="50" w:line="360" w:lineRule="auto"/>
        <w:jc w:val="center"/>
        <w:rPr>
          <w:rFonts w:ascii="华文中宋" w:hAnsi="华文中宋" w:eastAsia="华文中宋"/>
          <w:b/>
          <w:color w:val="000000"/>
          <w:spacing w:val="-6"/>
          <w:szCs w:val="28"/>
        </w:rPr>
      </w:pPr>
      <w:r>
        <w:rPr>
          <w:rFonts w:hint="eastAsia" w:ascii="华文中宋" w:hAnsi="华文中宋" w:eastAsia="华文中宋"/>
          <w:b/>
          <w:color w:val="000000"/>
          <w:spacing w:val="-6"/>
          <w:szCs w:val="28"/>
        </w:rPr>
        <w:t>一、开标一览表</w:t>
      </w:r>
    </w:p>
    <w:tbl>
      <w:tblPr>
        <w:tblStyle w:val="3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项目名称</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项目编号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投标报价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小写:</w:t>
            </w:r>
            <w:r>
              <w:rPr>
                <w:rFonts w:hint="eastAsia" w:ascii="仿宋_GB2312" w:eastAsia="仿宋_GB2312"/>
                <w:color w:val="000000"/>
                <w:kern w:val="0"/>
                <w:sz w:val="32"/>
                <w:szCs w:val="32"/>
                <w:u w:val="single"/>
              </w:rPr>
              <w:t xml:space="preserve">               </w:t>
            </w:r>
          </w:p>
          <w:p>
            <w:pPr>
              <w:jc w:val="left"/>
              <w:rPr>
                <w:rFonts w:ascii="仿宋_GB2312" w:eastAsia="仿宋_GB2312"/>
                <w:b/>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大写:</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备注</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eastAsia="仿宋_GB2312"/>
                <w:color w:val="000000"/>
                <w:kern w:val="0"/>
                <w:sz w:val="32"/>
                <w:szCs w:val="32"/>
                <w:lang w:val="en-US" w:eastAsia="zh-CN"/>
              </w:rPr>
            </w:pPr>
          </w:p>
        </w:tc>
      </w:tr>
    </w:tbl>
    <w:p>
      <w:pPr>
        <w:snapToGrid w:val="0"/>
        <w:spacing w:before="50" w:after="50" w:line="360" w:lineRule="auto"/>
        <w:jc w:val="left"/>
        <w:rPr>
          <w:rFonts w:ascii="宋体" w:hAnsi="宋体"/>
          <w:spacing w:val="-6"/>
          <w:sz w:val="24"/>
        </w:rPr>
      </w:pPr>
      <w:r>
        <w:rPr>
          <w:rFonts w:hint="eastAsia" w:ascii="宋体" w:hAnsi="宋体"/>
          <w:spacing w:val="-6"/>
          <w:sz w:val="24"/>
        </w:rPr>
        <w:t>注: 1、报价不得涂改否则其投标作无效标处理。</w:t>
      </w:r>
    </w:p>
    <w:p>
      <w:pPr>
        <w:snapToGrid w:val="0"/>
        <w:spacing w:before="50" w:after="50" w:line="360" w:lineRule="auto"/>
        <w:ind w:firstLine="456" w:firstLineChars="200"/>
        <w:jc w:val="lef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w:t>
      </w:r>
      <w:r>
        <w:rPr>
          <w:rFonts w:hint="eastAsia" w:asciiTheme="minorEastAsia" w:hAnsiTheme="minorEastAsia" w:eastAsiaTheme="minorEastAsia"/>
          <w:sz w:val="24"/>
          <w:szCs w:val="24"/>
        </w:rPr>
        <w:t>磋商报价</w:t>
      </w:r>
      <w:r>
        <w:rPr>
          <w:rFonts w:hint="eastAsia" w:asciiTheme="minorEastAsia" w:hAnsiTheme="minorEastAsia" w:eastAsiaTheme="minorEastAsia"/>
          <w:spacing w:val="-6"/>
          <w:sz w:val="24"/>
          <w:szCs w:val="24"/>
        </w:rPr>
        <w:t>应包括</w:t>
      </w:r>
      <w:r>
        <w:rPr>
          <w:rFonts w:hint="eastAsia" w:asciiTheme="minorEastAsia" w:hAnsiTheme="minorEastAsia" w:eastAsiaTheme="minorEastAsia"/>
          <w:sz w:val="24"/>
          <w:szCs w:val="24"/>
        </w:rPr>
        <w:t>所需人工费、材料费、其他（保险费，以及合同明示或暗示的风险、责任和义务等）费，以及管理费、利润和规费、税金等一切费用</w:t>
      </w:r>
      <w:r>
        <w:rPr>
          <w:rFonts w:hint="eastAsia" w:asciiTheme="minorEastAsia" w:hAnsiTheme="minorEastAsia" w:eastAsiaTheme="minorEastAsia"/>
          <w:spacing w:val="-6"/>
          <w:sz w:val="24"/>
          <w:szCs w:val="24"/>
        </w:rPr>
        <w:t>。</w:t>
      </w: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授权代表签字：</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投标人名称（盖章）：                                </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 </w:t>
      </w:r>
    </w:p>
    <w:p>
      <w:pPr>
        <w:jc w:val="right"/>
        <w:rPr>
          <w:rFonts w:hAnsi="宋体"/>
          <w:sz w:val="24"/>
        </w:rPr>
      </w:pPr>
      <w:r>
        <w:rPr>
          <w:rFonts w:hint="eastAsia" w:ascii="宋体" w:hAnsi="宋体"/>
          <w:spacing w:val="-6"/>
          <w:sz w:val="24"/>
        </w:rPr>
        <w:t>日期：    年   月   日</w:t>
      </w:r>
    </w:p>
    <w:p>
      <w:pPr>
        <w:jc w:val="center"/>
        <w:rPr>
          <w:rStyle w:val="52"/>
          <w:rFonts w:hAnsi="宋体"/>
        </w:rPr>
      </w:pPr>
    </w:p>
    <w:p>
      <w:pPr>
        <w:pStyle w:val="25"/>
        <w:rPr>
          <w:rStyle w:val="52"/>
          <w:rFonts w:hAnsi="宋体"/>
        </w:rPr>
      </w:pPr>
    </w:p>
    <w:p>
      <w:pPr>
        <w:pStyle w:val="25"/>
        <w:rPr>
          <w:rStyle w:val="52"/>
          <w:rFonts w:hAnsi="宋体"/>
        </w:rPr>
      </w:pPr>
    </w:p>
    <w:p>
      <w:pPr>
        <w:pStyle w:val="25"/>
        <w:rPr>
          <w:rStyle w:val="52"/>
          <w:rFonts w:hAnsi="宋体"/>
        </w:rPr>
      </w:pPr>
    </w:p>
    <w:p>
      <w:pPr>
        <w:pStyle w:val="25"/>
        <w:rPr>
          <w:rStyle w:val="52"/>
          <w:rFonts w:hAnsi="宋体"/>
        </w:rPr>
      </w:pPr>
    </w:p>
    <w:p>
      <w:pPr>
        <w:pStyle w:val="25"/>
        <w:rPr>
          <w:rStyle w:val="52"/>
          <w:rFonts w:hAnsi="宋体"/>
        </w:rPr>
      </w:pPr>
    </w:p>
    <w:p>
      <w:pPr>
        <w:jc w:val="both"/>
        <w:rPr>
          <w:rFonts w:ascii="宋体" w:hAnsi="宋体"/>
          <w:color w:val="000000"/>
          <w:spacing w:val="-6"/>
          <w:sz w:val="24"/>
        </w:rPr>
      </w:pPr>
    </w:p>
    <w:p>
      <w:pPr>
        <w:jc w:val="both"/>
        <w:rPr>
          <w:rFonts w:ascii="宋体" w:hAnsi="宋体"/>
          <w:color w:val="000000"/>
          <w:spacing w:val="-6"/>
          <w:sz w:val="24"/>
        </w:rPr>
      </w:pPr>
    </w:p>
    <w:p>
      <w:pPr>
        <w:jc w:val="center"/>
        <w:rPr>
          <w:rFonts w:ascii="宋体" w:hAnsi="宋体"/>
          <w:color w:val="000000"/>
          <w:spacing w:val="-6"/>
          <w:sz w:val="24"/>
        </w:rPr>
      </w:pPr>
    </w:p>
    <w:p>
      <w:pPr>
        <w:jc w:val="center"/>
        <w:rPr>
          <w:rStyle w:val="52"/>
          <w:rFonts w:ascii="华文中宋" w:hAnsi="华文中宋" w:eastAsia="华文中宋"/>
          <w:sz w:val="28"/>
          <w:szCs w:val="28"/>
        </w:rPr>
      </w:pPr>
      <w:r>
        <w:rPr>
          <w:rStyle w:val="52"/>
          <w:rFonts w:hint="eastAsia" w:ascii="华文中宋" w:hAnsi="华文中宋" w:eastAsia="华文中宋"/>
          <w:sz w:val="28"/>
          <w:szCs w:val="28"/>
        </w:rPr>
        <w:t>二、资格性和符合性检查响应对照表</w:t>
      </w:r>
    </w:p>
    <w:p>
      <w:pPr>
        <w:ind w:firstLine="309"/>
        <w:rPr>
          <w:rFonts w:hAnsi="宋体"/>
          <w:color w:val="000000"/>
          <w:sz w:val="24"/>
          <w:szCs w:val="24"/>
        </w:rPr>
      </w:pPr>
    </w:p>
    <w:p>
      <w:pPr>
        <w:ind w:firstLine="309"/>
        <w:rPr>
          <w:rFonts w:hAnsi="宋体"/>
          <w:color w:val="000000"/>
          <w:sz w:val="24"/>
          <w:szCs w:val="24"/>
        </w:rPr>
      </w:pPr>
      <w:r>
        <w:rPr>
          <w:rFonts w:hint="eastAsia" w:hAnsi="宋体"/>
          <w:color w:val="000000"/>
          <w:sz w:val="24"/>
          <w:szCs w:val="24"/>
        </w:rPr>
        <w:t>供应商全称（加盖公章）：</w:t>
      </w:r>
    </w:p>
    <w:tbl>
      <w:tblPr>
        <w:tblStyle w:val="30"/>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sz w:val="21"/>
              </w:rPr>
            </w:pPr>
            <w:r>
              <w:rPr>
                <w:rFonts w:hint="eastAsia" w:hAnsi="宋体"/>
                <w:b/>
                <w:color w:val="000000"/>
                <w:sz w:val="21"/>
              </w:rPr>
              <w:t>序号</w:t>
            </w:r>
          </w:p>
        </w:tc>
        <w:tc>
          <w:tcPr>
            <w:tcW w:w="4678" w:type="dxa"/>
            <w:vAlign w:val="center"/>
          </w:tcPr>
          <w:p>
            <w:pPr>
              <w:snapToGrid w:val="0"/>
              <w:spacing w:line="240" w:lineRule="atLeast"/>
              <w:jc w:val="center"/>
              <w:rPr>
                <w:rFonts w:hAnsi="宋体"/>
                <w:b/>
                <w:color w:val="000000"/>
                <w:sz w:val="21"/>
              </w:rPr>
            </w:pPr>
            <w:r>
              <w:rPr>
                <w:rFonts w:hint="eastAsia" w:hAnsi="宋体"/>
                <w:b/>
                <w:color w:val="000000"/>
                <w:sz w:val="21"/>
              </w:rPr>
              <w:t>资格和符合性检查响应内容</w:t>
            </w:r>
          </w:p>
        </w:tc>
        <w:tc>
          <w:tcPr>
            <w:tcW w:w="1842" w:type="dxa"/>
            <w:vAlign w:val="center"/>
          </w:tcPr>
          <w:p>
            <w:pPr>
              <w:snapToGrid w:val="0"/>
              <w:spacing w:line="240" w:lineRule="atLeast"/>
              <w:jc w:val="center"/>
              <w:rPr>
                <w:rFonts w:hAnsi="宋体"/>
                <w:b/>
                <w:color w:val="000000"/>
                <w:sz w:val="21"/>
              </w:rPr>
            </w:pPr>
            <w:r>
              <w:rPr>
                <w:rFonts w:hint="eastAsia" w:hAnsi="宋体"/>
                <w:b/>
                <w:color w:val="000000"/>
                <w:sz w:val="21"/>
              </w:rPr>
              <w:t>是否响应</w:t>
            </w:r>
          </w:p>
          <w:p>
            <w:pPr>
              <w:snapToGrid w:val="0"/>
              <w:spacing w:line="240" w:lineRule="atLeast"/>
              <w:jc w:val="center"/>
              <w:rPr>
                <w:rFonts w:hAnsi="宋体"/>
                <w:b/>
                <w:color w:val="000000"/>
                <w:sz w:val="21"/>
              </w:rPr>
            </w:pPr>
            <w:r>
              <w:rPr>
                <w:rFonts w:hint="eastAsia" w:hAnsi="宋体"/>
                <w:b/>
                <w:color w:val="000000"/>
                <w:sz w:val="21"/>
              </w:rPr>
              <w:t>（填是或者否）</w:t>
            </w:r>
          </w:p>
        </w:tc>
        <w:tc>
          <w:tcPr>
            <w:tcW w:w="1701" w:type="dxa"/>
            <w:vAlign w:val="center"/>
          </w:tcPr>
          <w:p>
            <w:pPr>
              <w:snapToGrid w:val="0"/>
              <w:spacing w:line="240" w:lineRule="atLeast"/>
              <w:jc w:val="center"/>
              <w:rPr>
                <w:rFonts w:hAnsi="宋体"/>
                <w:b/>
                <w:color w:val="000000"/>
                <w:sz w:val="21"/>
              </w:rPr>
            </w:pPr>
            <w:r>
              <w:rPr>
                <w:rFonts w:hint="eastAsia" w:hAnsi="宋体"/>
                <w:b/>
                <w:color w:val="000000"/>
                <w:sz w:val="21"/>
              </w:rPr>
              <w:t>响应文件中的</w:t>
            </w:r>
          </w:p>
          <w:p>
            <w:pPr>
              <w:snapToGrid w:val="0"/>
              <w:spacing w:line="240" w:lineRule="atLeast"/>
              <w:jc w:val="center"/>
              <w:rPr>
                <w:rFonts w:hAnsi="宋体"/>
                <w:b/>
                <w:color w:val="000000"/>
                <w:sz w:val="21"/>
              </w:rPr>
            </w:pPr>
            <w:r>
              <w:rPr>
                <w:rFonts w:hint="eastAsia" w:hAnsi="宋体"/>
                <w:b/>
                <w:color w:val="000000"/>
                <w:sz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sz w:val="21"/>
              </w:rPr>
            </w:pPr>
            <w:r>
              <w:rPr>
                <w:rFonts w:hint="eastAsia" w:hAnsi="宋体"/>
                <w:color w:val="000000"/>
                <w:sz w:val="21"/>
              </w:rPr>
              <w:t>1</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1   工商营业执照</w:t>
            </w:r>
            <w:r>
              <w:rPr>
                <w:rFonts w:hint="eastAsia" w:hAnsi="宋体"/>
                <w:i/>
                <w:iCs/>
                <w:color w:val="000000"/>
                <w:sz w:val="21"/>
                <w:u w:val="single"/>
              </w:rPr>
              <w:t>、资质证书</w:t>
            </w:r>
            <w:r>
              <w:rPr>
                <w:rFonts w:hAnsi="宋体"/>
                <w:i/>
                <w:iCs/>
                <w:color w:val="000000"/>
                <w:sz w:val="21"/>
                <w:u w:val="single"/>
              </w:rPr>
              <w:t>（复印件</w:t>
            </w:r>
            <w:r>
              <w:rPr>
                <w:rFonts w:hint="eastAsia" w:hAnsi="宋体"/>
                <w:i/>
                <w:iCs/>
                <w:color w:val="000000"/>
                <w:sz w:val="21"/>
                <w:u w:val="single"/>
              </w:rPr>
              <w:t>，</w:t>
            </w:r>
            <w:r>
              <w:rPr>
                <w:rFonts w:hAnsi="宋体"/>
                <w:i/>
                <w:iCs/>
                <w:color w:val="000000"/>
                <w:sz w:val="21"/>
                <w:u w:val="single"/>
              </w:rPr>
              <w:t>加盖公章）</w:t>
            </w:r>
          </w:p>
        </w:tc>
        <w:tc>
          <w:tcPr>
            <w:tcW w:w="1842" w:type="dxa"/>
            <w:vAlign w:val="center"/>
          </w:tcPr>
          <w:p>
            <w:pPr>
              <w:jc w:val="center"/>
              <w:rPr>
                <w:rFonts w:hAnsi="宋体"/>
                <w:b/>
                <w:color w:val="000000"/>
                <w:sz w:val="21"/>
              </w:rPr>
            </w:pPr>
          </w:p>
        </w:tc>
        <w:tc>
          <w:tcPr>
            <w:tcW w:w="1701" w:type="dxa"/>
            <w:vAlign w:val="center"/>
          </w:tcPr>
          <w:p>
            <w:pPr>
              <w:jc w:val="center"/>
              <w:rPr>
                <w:rFonts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2</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2   法人授权书（原件</w:t>
            </w:r>
            <w:r>
              <w:rPr>
                <w:rFonts w:hint="eastAsia" w:hAnsi="宋体"/>
                <w:i/>
                <w:iCs/>
                <w:color w:val="000000"/>
                <w:sz w:val="21"/>
                <w:u w:val="single"/>
              </w:rPr>
              <w:t>，</w:t>
            </w:r>
            <w:r>
              <w:rPr>
                <w:rFonts w:hAnsi="宋体"/>
                <w:i/>
                <w:iCs/>
                <w:color w:val="000000"/>
                <w:sz w:val="21"/>
                <w:u w:val="single"/>
              </w:rPr>
              <w:t>非法定代表人参与</w:t>
            </w:r>
            <w:r>
              <w:rPr>
                <w:rFonts w:hint="eastAsia" w:hAnsi="宋体"/>
                <w:i/>
                <w:iCs/>
                <w:color w:val="000000"/>
                <w:sz w:val="21"/>
                <w:u w:val="single"/>
              </w:rPr>
              <w:t>磋商</w:t>
            </w:r>
            <w:r>
              <w:rPr>
                <w:rFonts w:hAnsi="宋体"/>
                <w:i/>
                <w:iCs/>
                <w:color w:val="000000"/>
                <w:sz w:val="21"/>
                <w:u w:val="single"/>
              </w:rPr>
              <w:t>时必须提供）</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3</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文件3</w:t>
            </w:r>
            <w:r>
              <w:rPr>
                <w:rFonts w:hAnsi="宋体"/>
                <w:i/>
                <w:iCs/>
                <w:color w:val="000000"/>
                <w:sz w:val="21"/>
                <w:u w:val="single"/>
              </w:rPr>
              <w:t xml:space="preserve">  </w:t>
            </w:r>
            <w:r>
              <w:rPr>
                <w:rFonts w:hint="eastAsia" w:hAnsi="宋体"/>
                <w:i/>
                <w:iCs/>
                <w:color w:val="000000"/>
                <w:sz w:val="21"/>
                <w:u w:val="single"/>
              </w:rPr>
              <w:t xml:space="preserve"> 投标人一般情况表</w:t>
            </w:r>
            <w:r>
              <w:rPr>
                <w:rFonts w:hAnsi="宋体"/>
                <w:i/>
                <w:iCs/>
                <w:color w:val="000000"/>
                <w:sz w:val="21"/>
                <w:u w:val="single"/>
              </w:rPr>
              <w:t>（原件）</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sz w:val="21"/>
              </w:rPr>
            </w:pPr>
            <w:r>
              <w:rPr>
                <w:rFonts w:hint="eastAsia" w:hAnsi="宋体"/>
                <w:color w:val="000000"/>
                <w:sz w:val="21"/>
              </w:rPr>
              <w:t>4</w:t>
            </w:r>
          </w:p>
        </w:tc>
        <w:tc>
          <w:tcPr>
            <w:tcW w:w="4678" w:type="dxa"/>
            <w:vAlign w:val="center"/>
          </w:tcPr>
          <w:p>
            <w:pPr>
              <w:rPr>
                <w:rFonts w:hAnsi="宋体"/>
                <w:i/>
                <w:iCs/>
                <w:color w:val="000000"/>
                <w:sz w:val="21"/>
                <w:u w:val="single"/>
              </w:rPr>
            </w:pPr>
            <w:r>
              <w:rPr>
                <w:rFonts w:hint="eastAsia" w:hAnsi="宋体"/>
                <w:i/>
                <w:iCs/>
                <w:color w:val="000000"/>
                <w:sz w:val="21"/>
                <w:u w:val="single"/>
              </w:rPr>
              <w:t>磋商文件中的其他实质性要求</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bl>
    <w:p>
      <w:pPr>
        <w:snapToGrid w:val="0"/>
        <w:spacing w:before="50" w:after="50"/>
        <w:rPr>
          <w:rFonts w:hAnsi="宋体"/>
          <w:color w:val="000000"/>
          <w:sz w:val="32"/>
          <w:szCs w:val="32"/>
        </w:rPr>
      </w:pPr>
    </w:p>
    <w:p>
      <w:pPr>
        <w:snapToGrid w:val="0"/>
        <w:spacing w:before="50" w:after="50"/>
        <w:jc w:val="center"/>
        <w:rPr>
          <w:rFonts w:hAnsi="宋体"/>
          <w:color w:val="000000"/>
          <w:sz w:val="32"/>
          <w:szCs w:val="32"/>
        </w:rPr>
      </w:pPr>
      <w:r>
        <w:rPr>
          <w:rFonts w:hAnsi="宋体"/>
          <w:color w:val="000000"/>
          <w:sz w:val="32"/>
          <w:szCs w:val="32"/>
        </w:rPr>
        <w:br w:type="page"/>
      </w:r>
    </w:p>
    <w:p>
      <w:pPr>
        <w:jc w:val="center"/>
        <w:rPr>
          <w:rStyle w:val="52"/>
          <w:rFonts w:ascii="华文中宋" w:hAnsi="华文中宋" w:eastAsia="华文中宋"/>
          <w:b w:val="0"/>
          <w:color w:val="auto"/>
          <w:szCs w:val="28"/>
        </w:rPr>
      </w:pPr>
      <w:r>
        <w:rPr>
          <w:rFonts w:hint="eastAsia"/>
          <w:bCs/>
          <w:spacing w:val="-6"/>
          <w:sz w:val="32"/>
        </w:rPr>
        <w:t>三、</w:t>
      </w:r>
      <w:bookmarkStart w:id="119" w:name="_Toc26554095"/>
      <w:bookmarkStart w:id="120" w:name="_Toc49090577"/>
      <w:bookmarkStart w:id="121" w:name="_Toc120614283"/>
      <w:bookmarkStart w:id="122" w:name="_Toc22356580"/>
      <w:bookmarkStart w:id="123" w:name="_Toc460901585"/>
      <w:bookmarkStart w:id="124" w:name="_Toc23828478"/>
      <w:bookmarkStart w:id="125" w:name="_Toc513029276"/>
      <w:r>
        <w:rPr>
          <w:rFonts w:hint="eastAsia" w:ascii="华文中宋" w:hAnsi="华文中宋" w:eastAsia="华文中宋"/>
          <w:b/>
          <w:spacing w:val="-6"/>
          <w:sz w:val="32"/>
          <w:szCs w:val="28"/>
        </w:rPr>
        <w:t>、</w:t>
      </w:r>
      <w:r>
        <w:rPr>
          <w:rStyle w:val="52"/>
          <w:rFonts w:hint="eastAsia" w:ascii="华文中宋" w:hAnsi="华文中宋" w:eastAsia="华文中宋"/>
          <w:color w:val="auto"/>
          <w:szCs w:val="28"/>
        </w:rPr>
        <w:t>磋商函格式</w:t>
      </w:r>
    </w:p>
    <w:bookmarkEnd w:id="119"/>
    <w:bookmarkEnd w:id="120"/>
    <w:bookmarkEnd w:id="121"/>
    <w:bookmarkEnd w:id="122"/>
    <w:bookmarkEnd w:id="123"/>
    <w:bookmarkEnd w:id="124"/>
    <w:bookmarkEnd w:id="125"/>
    <w:p>
      <w:pPr>
        <w:tabs>
          <w:tab w:val="left" w:pos="5580"/>
        </w:tabs>
        <w:spacing w:line="480" w:lineRule="exact"/>
        <w:rPr>
          <w:rStyle w:val="52"/>
          <w:rFonts w:hAnsi="宋体"/>
          <w:color w:val="auto"/>
        </w:rPr>
      </w:pPr>
    </w:p>
    <w:p>
      <w:pPr>
        <w:rPr>
          <w:rFonts w:ascii="仿宋_GB2312" w:hAnsi="宋体" w:eastAsia="仿宋_GB2312"/>
        </w:rPr>
      </w:pPr>
      <w:r>
        <w:rPr>
          <w:rFonts w:hint="eastAsia" w:ascii="仿宋_GB2312" w:hAnsi="宋体" w:eastAsia="仿宋_GB2312"/>
        </w:rPr>
        <w:t>致：皖南医学院</w:t>
      </w:r>
    </w:p>
    <w:p>
      <w:pPr>
        <w:ind w:firstLine="560" w:firstLineChars="200"/>
        <w:rPr>
          <w:rFonts w:ascii="仿宋_GB2312" w:hAnsi="宋体" w:eastAsia="仿宋_GB2312"/>
        </w:rPr>
      </w:pPr>
      <w:r>
        <w:rPr>
          <w:rFonts w:hint="eastAsia" w:ascii="仿宋_GB2312" w:hAnsi="宋体" w:eastAsia="仿宋_GB2312"/>
        </w:rPr>
        <w:t>根据贵方的______________</w:t>
      </w:r>
      <w:r>
        <w:rPr>
          <w:rFonts w:hint="eastAsia" w:ascii="仿宋_GB2312" w:eastAsia="仿宋_GB2312"/>
          <w:szCs w:val="28"/>
        </w:rPr>
        <w:t>项目磋商</w:t>
      </w:r>
      <w:r>
        <w:rPr>
          <w:rFonts w:hint="eastAsia" w:ascii="仿宋_GB2312" w:hAnsi="宋体" w:eastAsia="仿宋_GB2312"/>
        </w:rPr>
        <w:t>文件，正式授权下述_______________(姓名和职务)代表我方______________（供应商的名称），全权处理本次项目磋商的有关事宜。</w:t>
      </w:r>
    </w:p>
    <w:p>
      <w:pPr>
        <w:ind w:firstLine="560" w:firstLineChars="200"/>
        <w:rPr>
          <w:rFonts w:ascii="仿宋_GB2312" w:hAnsi="宋体" w:eastAsia="仿宋_GB2312"/>
        </w:rPr>
      </w:pPr>
      <w:r>
        <w:rPr>
          <w:rFonts w:hint="eastAsia" w:ascii="仿宋_GB2312" w:hAnsi="宋体" w:eastAsia="仿宋_GB2312"/>
        </w:rPr>
        <w:t>据此函，__________（签字人）兹宣布同意如下：</w:t>
      </w:r>
    </w:p>
    <w:p>
      <w:pPr>
        <w:rPr>
          <w:rFonts w:ascii="仿宋_GB2312" w:hAnsi="宋体" w:eastAsia="仿宋_GB2312"/>
        </w:rPr>
      </w:pPr>
      <w:r>
        <w:rPr>
          <w:rFonts w:hint="eastAsia" w:ascii="仿宋_GB2312" w:hAnsi="宋体" w:eastAsia="仿宋_GB2312"/>
        </w:rPr>
        <w:t>1.按磋商文件规定的各项要求，向甲方提供所需货物与服务。</w:t>
      </w:r>
    </w:p>
    <w:p>
      <w:pPr>
        <w:rPr>
          <w:rFonts w:ascii="仿宋_GB2312" w:hAnsi="宋体" w:eastAsia="仿宋_GB2312"/>
        </w:rPr>
      </w:pPr>
      <w:r>
        <w:rPr>
          <w:rFonts w:hint="eastAsia" w:ascii="仿宋_GB2312" w:hAnsi="宋体" w:eastAsia="仿宋_GB2312"/>
        </w:rPr>
        <w:t>2.我们完全理解贵方不一定将合同授予最低报价的供应商。</w:t>
      </w:r>
    </w:p>
    <w:p>
      <w:pPr>
        <w:rPr>
          <w:rFonts w:ascii="仿宋_GB2312" w:hAnsi="宋体" w:eastAsia="仿宋_GB2312"/>
        </w:rPr>
      </w:pPr>
      <w:r>
        <w:rPr>
          <w:rFonts w:hint="eastAsia" w:ascii="仿宋_GB2312" w:hAnsi="宋体" w:eastAsia="仿宋_GB2312"/>
        </w:rPr>
        <w:t>3.我们已详细审核全部磋商文件及其有效补充文件，我们知道必须放弃提出含糊不清或误解问题的权利。</w:t>
      </w:r>
    </w:p>
    <w:p>
      <w:pPr>
        <w:rPr>
          <w:rFonts w:ascii="仿宋_GB2312" w:hAnsi="宋体" w:eastAsia="仿宋_GB2312"/>
        </w:rPr>
      </w:pPr>
      <w:r>
        <w:rPr>
          <w:rFonts w:hint="eastAsia" w:ascii="仿宋_GB2312" w:hAnsi="宋体" w:eastAsia="仿宋_GB2312"/>
        </w:rPr>
        <w:t>4.我们同意从规定的响应文件开启时间起遵循本响应文件。</w:t>
      </w:r>
    </w:p>
    <w:p>
      <w:pPr>
        <w:rPr>
          <w:rFonts w:ascii="仿宋_GB2312" w:hAnsi="宋体" w:eastAsia="仿宋_GB2312"/>
        </w:rPr>
      </w:pPr>
      <w:r>
        <w:rPr>
          <w:rFonts w:hint="eastAsia" w:ascii="仿宋_GB2312" w:hAnsi="宋体" w:eastAsia="仿宋_GB2312"/>
        </w:rPr>
        <w:t>5.如果在确定成交后拒绝签订合同，我们的</w:t>
      </w:r>
      <w:r>
        <w:rPr>
          <w:rFonts w:hint="eastAsia" w:ascii="仿宋_GB2312" w:hAnsi="宋体" w:eastAsia="仿宋_GB2312"/>
          <w:lang w:val="en-US" w:eastAsia="zh-CN"/>
        </w:rPr>
        <w:t>履约</w:t>
      </w:r>
      <w:r>
        <w:rPr>
          <w:rFonts w:hint="eastAsia" w:ascii="仿宋_GB2312" w:hAnsi="宋体" w:eastAsia="仿宋_GB2312"/>
        </w:rPr>
        <w:t>保证金可被贵方没收。</w:t>
      </w:r>
    </w:p>
    <w:p>
      <w:pPr>
        <w:rPr>
          <w:rFonts w:ascii="仿宋_GB2312" w:hAnsi="宋体" w:eastAsia="仿宋_GB2312"/>
        </w:rPr>
      </w:pPr>
      <w:r>
        <w:rPr>
          <w:rFonts w:hint="eastAsia" w:ascii="仿宋_GB2312" w:hAnsi="宋体" w:eastAsia="仿宋_GB2312"/>
        </w:rPr>
        <w:t>6.同意向贵方提供贵方可能另外要求的与磋商有关的任何证据或资料，并保证我方已提供和将要提供的文件是真实的、准确的。</w:t>
      </w:r>
    </w:p>
    <w:p>
      <w:pPr>
        <w:rPr>
          <w:rFonts w:ascii="仿宋_GB2312" w:hAnsi="宋体" w:eastAsia="仿宋_GB2312"/>
        </w:rPr>
      </w:pPr>
      <w:r>
        <w:rPr>
          <w:rFonts w:hint="eastAsia" w:ascii="仿宋_GB2312" w:hAnsi="宋体" w:eastAsia="仿宋_GB2312"/>
        </w:rPr>
        <w:t>7.一旦我方别确认成交,我方将根据磋商文件的规定，严格履行合同的责任和义务,并保证在磋商文件规定的时间完成项目，交付甲方验收、使用。</w:t>
      </w:r>
    </w:p>
    <w:p>
      <w:pPr>
        <w:rPr>
          <w:rFonts w:ascii="仿宋_GB2312" w:hAnsi="宋体" w:eastAsia="仿宋_GB2312"/>
        </w:rPr>
      </w:pPr>
      <w:r>
        <w:rPr>
          <w:rFonts w:hint="eastAsia" w:ascii="仿宋_GB2312" w:hAnsi="宋体" w:eastAsia="仿宋_GB2312"/>
        </w:rPr>
        <w:t>8.遵守磋商文件中要求的收费项目和标准。</w:t>
      </w:r>
    </w:p>
    <w:p>
      <w:pPr>
        <w:rPr>
          <w:rFonts w:ascii="仿宋_GB2312" w:hAnsi="宋体" w:eastAsia="仿宋_GB2312"/>
        </w:rPr>
      </w:pPr>
      <w:r>
        <w:rPr>
          <w:rFonts w:hint="eastAsia" w:ascii="仿宋_GB2312" w:hAnsi="宋体" w:eastAsia="仿宋_GB2312"/>
        </w:rPr>
        <w:t>9.与本磋商有关的正式通讯地址为：</w:t>
      </w:r>
    </w:p>
    <w:p>
      <w:pPr>
        <w:rPr>
          <w:rFonts w:ascii="仿宋_GB2312" w:hAnsi="宋体" w:eastAsia="仿宋_GB2312"/>
        </w:rPr>
      </w:pPr>
      <w:r>
        <w:rPr>
          <w:rFonts w:hint="eastAsia" w:ascii="仿宋_GB2312" w:hAnsi="宋体" w:eastAsia="仿宋_GB2312"/>
        </w:rPr>
        <w:t>地址：</w:t>
      </w:r>
    </w:p>
    <w:p>
      <w:pPr>
        <w:rPr>
          <w:rFonts w:ascii="仿宋_GB2312" w:hAnsi="宋体" w:eastAsia="仿宋_GB2312"/>
        </w:rPr>
      </w:pPr>
      <w:r>
        <w:rPr>
          <w:rFonts w:hint="eastAsia" w:ascii="仿宋_GB2312" w:hAnsi="宋体" w:eastAsia="仿宋_GB2312"/>
        </w:rPr>
        <w:t>邮编：</w:t>
      </w:r>
    </w:p>
    <w:p>
      <w:pPr>
        <w:rPr>
          <w:rFonts w:ascii="仿宋_GB2312" w:hAnsi="宋体" w:eastAsia="仿宋_GB2312"/>
        </w:rPr>
      </w:pPr>
      <w:r>
        <w:rPr>
          <w:rFonts w:hint="eastAsia" w:ascii="仿宋_GB2312" w:hAnsi="宋体" w:eastAsia="仿宋_GB2312"/>
        </w:rPr>
        <w:t>电话：</w:t>
      </w:r>
    </w:p>
    <w:p>
      <w:pPr>
        <w:rPr>
          <w:rFonts w:ascii="仿宋_GB2312" w:hAnsi="宋体" w:eastAsia="仿宋_GB2312"/>
        </w:rPr>
      </w:pPr>
      <w:r>
        <w:rPr>
          <w:rFonts w:hint="eastAsia" w:ascii="仿宋_GB2312" w:hAnsi="宋体" w:eastAsia="仿宋_GB2312"/>
        </w:rPr>
        <w:t>传真：</w:t>
      </w:r>
    </w:p>
    <w:p>
      <w:pPr>
        <w:rPr>
          <w:rFonts w:ascii="仿宋_GB2312" w:hAnsi="宋体" w:eastAsia="仿宋_GB2312"/>
        </w:rPr>
      </w:pPr>
      <w:r>
        <w:rPr>
          <w:rFonts w:hint="eastAsia" w:ascii="仿宋_GB2312" w:hAnsi="宋体" w:eastAsia="仿宋_GB2312"/>
        </w:rPr>
        <w:t>供应商开户行：</w:t>
      </w:r>
    </w:p>
    <w:p>
      <w:pPr>
        <w:rPr>
          <w:rFonts w:ascii="仿宋_GB2312" w:hAnsi="宋体" w:eastAsia="仿宋_GB2312"/>
        </w:rPr>
      </w:pPr>
      <w:r>
        <w:rPr>
          <w:rFonts w:hint="eastAsia" w:ascii="仿宋_GB2312" w:hAnsi="宋体" w:eastAsia="仿宋_GB2312"/>
        </w:rPr>
        <w:t xml:space="preserve">账户：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供应商授权代表姓名（签字）：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供应商名称（公章）：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日期：________年</w:t>
      </w:r>
      <w:r>
        <w:rPr>
          <w:rFonts w:hint="eastAsia" w:ascii="仿宋_GB2312" w:hAnsi="宋体" w:eastAsia="仿宋_GB2312"/>
          <w:u w:val="single"/>
        </w:rPr>
        <w:t>_    __</w:t>
      </w:r>
      <w:r>
        <w:rPr>
          <w:rFonts w:hint="eastAsia" w:ascii="仿宋_GB2312" w:hAnsi="宋体" w:eastAsia="仿宋_GB2312"/>
        </w:rPr>
        <w:t>月</w:t>
      </w:r>
      <w:r>
        <w:rPr>
          <w:rFonts w:hint="eastAsia" w:ascii="仿宋_GB2312" w:hAnsi="宋体" w:eastAsia="仿宋_GB2312"/>
          <w:u w:val="single"/>
        </w:rPr>
        <w:t>__   __</w:t>
      </w:r>
      <w:r>
        <w:rPr>
          <w:rFonts w:hint="eastAsia" w:ascii="仿宋_GB2312" w:hAnsi="宋体" w:eastAsia="仿宋_GB2312"/>
        </w:rPr>
        <w:t>日</w:t>
      </w:r>
    </w:p>
    <w:p>
      <w:pPr>
        <w:rPr>
          <w:rFonts w:ascii="仿宋_GB2312" w:hAnsi="宋体" w:eastAsia="仿宋_GB2312"/>
          <w:i/>
          <w:u w:val="single"/>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r>
        <w:rPr>
          <w:rFonts w:hint="eastAsia" w:ascii="宋体" w:hAnsi="宋体"/>
          <w:b/>
          <w:color w:val="000000"/>
          <w:spacing w:val="-6"/>
          <w:sz w:val="24"/>
        </w:rPr>
        <w:t>四、投标人一般情况表</w:t>
      </w:r>
    </w:p>
    <w:p>
      <w:pPr>
        <w:spacing w:line="360" w:lineRule="auto"/>
        <w:rPr>
          <w:rFonts w:ascii="宋体" w:hAnsi="宋体"/>
          <w:color w:val="000000"/>
          <w:spacing w:val="-6"/>
        </w:rPr>
      </w:pPr>
    </w:p>
    <w:tbl>
      <w:tblPr>
        <w:tblStyle w:val="3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2</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3</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4</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电话：</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5</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传真：</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6</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注册地：</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7</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8</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9</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作为承包人经历年数：</w:t>
            </w:r>
          </w:p>
        </w:tc>
        <w:tc>
          <w:tcPr>
            <w:tcW w:w="5627" w:type="dxa"/>
            <w:gridSpan w:val="2"/>
            <w:vAlign w:val="center"/>
          </w:tcPr>
          <w:p>
            <w:pPr>
              <w:spacing w:line="360" w:lineRule="auto"/>
              <w:rPr>
                <w:rFonts w:ascii="宋体" w:hAnsi="宋体"/>
                <w:color w:val="000000"/>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10</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其他需要说明的情况</w:t>
            </w:r>
          </w:p>
        </w:tc>
        <w:tc>
          <w:tcPr>
            <w:tcW w:w="5627" w:type="dxa"/>
            <w:gridSpan w:val="2"/>
            <w:vAlign w:val="center"/>
          </w:tcPr>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spacing w:line="360" w:lineRule="auto"/>
              <w:rPr>
                <w:rFonts w:ascii="宋体" w:hAnsi="宋体"/>
                <w:color w:val="000000"/>
                <w:spacing w:val="-6"/>
                <w:sz w:val="24"/>
              </w:rPr>
            </w:pPr>
          </w:p>
        </w:tc>
      </w:tr>
    </w:tbl>
    <w:p>
      <w:pPr>
        <w:spacing w:line="360" w:lineRule="auto"/>
        <w:ind w:firstLine="573"/>
        <w:rPr>
          <w:rFonts w:ascii="宋体" w:hAnsi="宋体"/>
          <w:color w:val="000000"/>
          <w:spacing w:val="-6"/>
          <w:sz w:val="24"/>
        </w:rPr>
      </w:pPr>
    </w:p>
    <w:p>
      <w:pPr>
        <w:spacing w:line="360" w:lineRule="auto"/>
        <w:ind w:firstLine="228" w:firstLineChars="100"/>
        <w:rPr>
          <w:rFonts w:ascii="宋体" w:hAnsi="宋体"/>
          <w:color w:val="000000"/>
          <w:spacing w:val="-6"/>
          <w:sz w:val="24"/>
        </w:rPr>
      </w:pPr>
      <w:r>
        <w:rPr>
          <w:rFonts w:hint="eastAsia" w:ascii="宋体" w:hAnsi="宋体"/>
          <w:color w:val="000000"/>
          <w:spacing w:val="-6"/>
          <w:sz w:val="24"/>
        </w:rPr>
        <w:t>说明：所有投标申请人都须填写此表；</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ind w:left="540" w:firstLine="30"/>
        <w:jc w:val="center"/>
        <w:rPr>
          <w:rFonts w:ascii="宋体" w:hAnsi="宋体"/>
          <w:color w:val="000000"/>
          <w:spacing w:val="-6"/>
          <w:sz w:val="24"/>
        </w:rPr>
      </w:pPr>
      <w:r>
        <w:rPr>
          <w:rFonts w:hint="eastAsia" w:ascii="宋体" w:hAnsi="宋体"/>
          <w:color w:val="000000"/>
          <w:spacing w:val="-6"/>
          <w:sz w:val="24"/>
        </w:rPr>
        <w:t xml:space="preserve">           授权代表签字：</w:t>
      </w:r>
    </w:p>
    <w:p>
      <w:pPr>
        <w:spacing w:line="360" w:lineRule="auto"/>
        <w:ind w:left="540" w:firstLine="5068"/>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投标人名称（盖章）：</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日期：    年   月  日</w:t>
      </w:r>
    </w:p>
    <w:p>
      <w:pPr>
        <w:rPr>
          <w:rFonts w:ascii="仿宋_GB2312" w:eastAsia="仿宋_GB2312"/>
        </w:rPr>
      </w:pPr>
    </w:p>
    <w:p>
      <w:pPr>
        <w:snapToGrid w:val="0"/>
        <w:spacing w:before="50" w:after="50"/>
        <w:jc w:val="center"/>
        <w:rPr>
          <w:rFonts w:ascii="华文中宋" w:hAnsi="华文中宋" w:eastAsia="华文中宋"/>
          <w:szCs w:val="28"/>
        </w:rPr>
      </w:pPr>
    </w:p>
    <w:p>
      <w:pPr>
        <w:snapToGrid w:val="0"/>
        <w:spacing w:before="50" w:after="50"/>
        <w:jc w:val="center"/>
        <w:rPr>
          <w:rFonts w:ascii="华文中宋" w:hAnsi="华文中宋" w:eastAsia="华文中宋"/>
          <w:szCs w:val="28"/>
        </w:rPr>
      </w:pPr>
    </w:p>
    <w:p>
      <w:pPr>
        <w:jc w:val="center"/>
        <w:rPr>
          <w:rFonts w:hint="eastAsia" w:hAnsi="宋体"/>
          <w:b/>
        </w:rPr>
      </w:pPr>
      <w:bookmarkStart w:id="126" w:name="_Toc26554103"/>
      <w:bookmarkStart w:id="127" w:name="_Toc120614291"/>
      <w:bookmarkStart w:id="128" w:name="_Toc22356583"/>
      <w:bookmarkStart w:id="129" w:name="_Toc24878535"/>
      <w:bookmarkStart w:id="130" w:name="_Toc513029281"/>
      <w:bookmarkStart w:id="131" w:name="_Toc23828483"/>
      <w:bookmarkStart w:id="132" w:name="_Toc49090582"/>
    </w:p>
    <w:p>
      <w:pPr>
        <w:jc w:val="center"/>
        <w:rPr>
          <w:rFonts w:hAnsi="宋体"/>
          <w:b/>
        </w:rPr>
      </w:pPr>
      <w:r>
        <w:rPr>
          <w:rFonts w:hint="eastAsia" w:hAnsi="宋体"/>
          <w:b/>
        </w:rPr>
        <w:t>五、法人授权书</w:t>
      </w:r>
      <w:bookmarkEnd w:id="126"/>
      <w:bookmarkEnd w:id="127"/>
      <w:bookmarkEnd w:id="128"/>
      <w:bookmarkEnd w:id="129"/>
      <w:bookmarkEnd w:id="130"/>
      <w:bookmarkEnd w:id="131"/>
      <w:bookmarkEnd w:id="132"/>
      <w:r>
        <w:rPr>
          <w:rFonts w:hint="eastAsia" w:hAnsi="宋体"/>
          <w:b/>
        </w:rPr>
        <w:t>格式</w:t>
      </w:r>
    </w:p>
    <w:p>
      <w:pPr>
        <w:snapToGrid w:val="0"/>
        <w:spacing w:line="360" w:lineRule="auto"/>
        <w:rPr>
          <w:rFonts w:ascii="宋体" w:hAnsi="宋体"/>
          <w:b/>
          <w:spacing w:val="-6"/>
          <w:sz w:val="24"/>
        </w:rPr>
      </w:pPr>
      <w:r>
        <w:rPr>
          <w:rFonts w:hint="eastAsia" w:ascii="宋体" w:hAnsi="宋体"/>
          <w:spacing w:val="-6"/>
          <w:sz w:val="24"/>
        </w:rPr>
        <w:t>致：皖南医学院：</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 xml:space="preserve">_（投标人名称）的法定代表人，现授权委托本单位在职职工 </w:t>
      </w:r>
      <w:r>
        <w:rPr>
          <w:rFonts w:hint="eastAsia" w:ascii="宋体" w:hAnsi="宋体"/>
          <w:spacing w:val="-6"/>
          <w:sz w:val="24"/>
          <w:u w:val="single"/>
        </w:rPr>
        <w:t xml:space="preserve">              </w:t>
      </w:r>
      <w:r>
        <w:rPr>
          <w:rFonts w:hint="eastAsia" w:ascii="宋体" w:hAnsi="宋体"/>
          <w:spacing w:val="-6"/>
          <w:sz w:val="24"/>
        </w:rPr>
        <w:t>（姓名）以我方的名义参加</w:t>
      </w:r>
      <w:r>
        <w:rPr>
          <w:rFonts w:hint="eastAsia" w:ascii="宋体" w:hAnsi="宋体"/>
          <w:spacing w:val="-6"/>
          <w:sz w:val="24"/>
          <w:u w:val="single"/>
        </w:rPr>
        <w:t xml:space="preserve">             </w:t>
      </w:r>
      <w:r>
        <w:rPr>
          <w:rFonts w:hint="eastAsia" w:ascii="宋体" w:hAnsi="宋体"/>
          <w:spacing w:val="-6"/>
          <w:sz w:val="24"/>
        </w:rPr>
        <w:t>项目的投标活动，并代表我方全权办理针对上述项目的投标、开标、磋商、签约等具体事务和签署相关文件。</w:t>
      </w:r>
    </w:p>
    <w:p>
      <w:pPr>
        <w:snapToGrid w:val="0"/>
        <w:spacing w:line="360" w:lineRule="auto"/>
        <w:rPr>
          <w:rFonts w:ascii="宋体" w:hAnsi="宋体"/>
          <w:spacing w:val="-6"/>
          <w:sz w:val="24"/>
        </w:rPr>
      </w:pPr>
      <w:r>
        <w:rPr>
          <w:rFonts w:hint="eastAsia" w:ascii="宋体" w:hAnsi="宋体"/>
          <w:spacing w:val="-6"/>
          <w:sz w:val="24"/>
        </w:rPr>
        <w:t xml:space="preserve">    我方对被授权人的签名负全部责任。</w:t>
      </w:r>
    </w:p>
    <w:p>
      <w:pPr>
        <w:snapToGrid w:val="0"/>
        <w:spacing w:line="360" w:lineRule="auto"/>
        <w:ind w:firstLine="48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rPr>
      </w:pPr>
      <w:r>
        <w:rPr>
          <w:rFonts w:hint="eastAsia" w:ascii="宋体" w:hAnsi="宋体"/>
          <w:spacing w:val="-6"/>
          <w:sz w:val="24"/>
        </w:rPr>
        <w:t>被授权人无转委托权，特此委托。</w:t>
      </w:r>
    </w:p>
    <w:p>
      <w:pPr>
        <w:snapToGrid w:val="0"/>
        <w:spacing w:beforeLines="50" w:after="50" w:line="360" w:lineRule="auto"/>
        <w:rPr>
          <w:rFonts w:ascii="宋体" w:hAnsi="宋体"/>
          <w:spacing w:val="-6"/>
          <w:sz w:val="24"/>
        </w:rPr>
      </w:pPr>
    </w:p>
    <w:p>
      <w:pPr>
        <w:snapToGrid w:val="0"/>
        <w:spacing w:beforeLines="50" w:after="50" w:line="360" w:lineRule="auto"/>
        <w:rPr>
          <w:rFonts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r>
        <w:rPr>
          <w:rFonts w:hint="eastAsia" w:ascii="宋体" w:hAnsi="宋体"/>
          <w:spacing w:val="-6"/>
          <w:sz w:val="24"/>
        </w:rPr>
        <w:t xml:space="preserve">                 法定代表人签名：</w:t>
      </w:r>
      <w:r>
        <w:rPr>
          <w:rFonts w:hint="eastAsia" w:ascii="宋体" w:hAnsi="宋体"/>
          <w:spacing w:val="-6"/>
          <w:sz w:val="24"/>
          <w:u w:val="single"/>
        </w:rPr>
        <w:t xml:space="preserve">          </w:t>
      </w:r>
    </w:p>
    <w:p>
      <w:pPr>
        <w:snapToGrid w:val="0"/>
        <w:spacing w:beforeLines="50" w:after="50" w:line="360" w:lineRule="auto"/>
        <w:ind w:firstLine="912" w:firstLineChars="400"/>
        <w:rPr>
          <w:rFonts w:ascii="宋体" w:hAnsi="宋体"/>
          <w:spacing w:val="-6"/>
          <w:sz w:val="24"/>
        </w:rPr>
      </w:pPr>
      <w:r>
        <w:rPr>
          <w:rFonts w:hint="eastAsia" w:ascii="宋体" w:hAnsi="宋体"/>
          <w:spacing w:val="-6"/>
          <w:sz w:val="24"/>
        </w:rPr>
        <w:t>职务：</w:t>
      </w:r>
      <w:r>
        <w:rPr>
          <w:rFonts w:hint="eastAsia" w:ascii="宋体" w:hAnsi="宋体"/>
          <w:spacing w:val="-6"/>
          <w:sz w:val="24"/>
          <w:u w:val="single"/>
        </w:rPr>
        <w:t xml:space="preserve">           </w:t>
      </w:r>
      <w:r>
        <w:rPr>
          <w:rFonts w:hint="eastAsia" w:ascii="宋体" w:hAnsi="宋体"/>
          <w:spacing w:val="-6"/>
          <w:sz w:val="24"/>
        </w:rPr>
        <w:t xml:space="preserve">                          职务：</w:t>
      </w:r>
      <w:r>
        <w:rPr>
          <w:rFonts w:hint="eastAsia" w:ascii="宋体" w:hAnsi="宋体"/>
          <w:spacing w:val="-6"/>
          <w:sz w:val="24"/>
          <w:u w:val="single"/>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 xml:space="preserve">                                    投标人名称（盖章）：</w:t>
      </w:r>
    </w:p>
    <w:p>
      <w:pPr>
        <w:snapToGrid w:val="0"/>
        <w:spacing w:beforeLines="50" w:after="50" w:line="360" w:lineRule="auto"/>
        <w:jc w:val="center"/>
        <w:rPr>
          <w:rFonts w:ascii="宋体" w:hAnsi="宋体"/>
          <w:spacing w:val="-6"/>
          <w:sz w:val="24"/>
        </w:rPr>
      </w:pPr>
      <w:r>
        <w:rPr>
          <w:rFonts w:hint="eastAsia" w:ascii="宋体" w:hAnsi="宋体"/>
          <w:spacing w:val="-6"/>
          <w:sz w:val="24"/>
        </w:rPr>
        <w:t xml:space="preserve">                                        年    月    日</w:t>
      </w:r>
    </w:p>
    <w:p>
      <w:pPr>
        <w:spacing w:line="360" w:lineRule="auto"/>
        <w:rPr>
          <w:rFonts w:ascii="宋体" w:hAnsi="宋体"/>
          <w:spacing w:val="-6"/>
        </w:rPr>
      </w:pPr>
      <w:r>
        <w:rPr>
          <w:rFonts w:ascii="宋体" w:hAnsi="宋体"/>
          <w:spacing w:val="-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148590</wp:posOffset>
                </wp:positionV>
                <wp:extent cx="3430905" cy="2360295"/>
                <wp:effectExtent l="4445" t="4445" r="12700" b="16510"/>
                <wp:wrapNone/>
                <wp:docPr id="6" name="Text Box 3"/>
                <wp:cNvGraphicFramePr/>
                <a:graphic xmlns:a="http://schemas.openxmlformats.org/drawingml/2006/main">
                  <a:graphicData uri="http://schemas.microsoft.com/office/word/2010/wordprocessingShape">
                    <wps:wsp>
                      <wps:cNvSpPr txBox="1"/>
                      <wps:spPr>
                        <a:xfrm>
                          <a:off x="0" y="0"/>
                          <a:ext cx="34309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Text Box 3" o:spid="_x0000_s1026" o:spt="202" type="#_x0000_t202" style="position:absolute;left:0pt;margin-left:0pt;margin-top:11.7pt;height:185.85pt;width:270.15pt;z-index:251660288;mso-width-relative:page;mso-height-relative:page;" fillcolor="#FFFFFF" filled="t" stroked="t" coordsize="21600,21600" o:gfxdata="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r8Gc1wAAAAcBAAAPAAAAAAAAAAEAIAAAACIAAABkcnMvZG93bnJldi54&#10;bWxQSwECFAAUAAAACACHTuJAMcr/v/sBAAA2BAAADgAAAAAAAAABACAAAAAmAQAAZHJzL2Uyb0Rv&#10;Yy54bWxQSwUGAAAAAAYABgBZAQAAkw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360" w:lineRule="auto"/>
        <w:rPr>
          <w:rFonts w:ascii="宋体" w:hAnsi="宋体"/>
          <w:spacing w:val="-6"/>
        </w:rPr>
      </w:pPr>
    </w:p>
    <w:p>
      <w:pPr>
        <w:spacing w:line="360" w:lineRule="auto"/>
        <w:rPr>
          <w:rFonts w:ascii="宋体" w:hAnsi="宋体"/>
          <w:spacing w:val="-6"/>
        </w:rPr>
      </w:pPr>
    </w:p>
    <w:p>
      <w:pPr>
        <w:adjustRightInd w:val="0"/>
        <w:snapToGrid w:val="0"/>
        <w:spacing w:line="300" w:lineRule="auto"/>
        <w:rPr>
          <w:rFonts w:ascii="宋体" w:hAnsi="宋体"/>
          <w:spacing w:val="-6"/>
          <w:sz w:val="24"/>
        </w:rPr>
      </w:pPr>
      <w:r>
        <w:rPr>
          <w:rFonts w:hint="eastAsia" w:ascii="宋体" w:hAnsi="宋体"/>
          <w:spacing w:val="-6"/>
          <w:sz w:val="24"/>
        </w:rPr>
        <w:t xml:space="preserve"> </w:t>
      </w:r>
    </w:p>
    <w:p>
      <w:pPr>
        <w:pStyle w:val="18"/>
        <w:snapToGrid w:val="0"/>
        <w:spacing w:beforeLines="0" w:afterLines="0" w:line="360" w:lineRule="auto"/>
        <w:jc w:val="left"/>
        <w:rPr>
          <w:rFonts w:hAnsi="宋体"/>
        </w:rPr>
      </w:pPr>
    </w:p>
    <w:p>
      <w:pPr>
        <w:pStyle w:val="18"/>
        <w:snapToGrid w:val="0"/>
        <w:spacing w:beforeLines="0" w:afterLines="0" w:line="360" w:lineRule="auto"/>
        <w:jc w:val="left"/>
        <w:rPr>
          <w:rFonts w:hAnsi="宋体"/>
        </w:rPr>
      </w:pPr>
    </w:p>
    <w:p>
      <w:pPr>
        <w:pStyle w:val="18"/>
        <w:snapToGrid w:val="0"/>
        <w:spacing w:beforeLines="0" w:afterLines="0" w:line="360" w:lineRule="auto"/>
        <w:jc w:val="left"/>
        <w:rPr>
          <w:rFonts w:hAnsi="宋体"/>
        </w:rPr>
      </w:pPr>
    </w:p>
    <w:p>
      <w:pPr>
        <w:spacing w:line="360" w:lineRule="auto"/>
        <w:jc w:val="center"/>
        <w:rPr>
          <w:rFonts w:ascii="宋体" w:hAnsi="宋体"/>
          <w:b/>
          <w:spacing w:val="-6"/>
          <w:sz w:val="24"/>
        </w:rPr>
      </w:pPr>
    </w:p>
    <w:p>
      <w:pPr>
        <w:rPr>
          <w:rFonts w:ascii="仿宋_GB2312" w:eastAsia="仿宋_GB2312"/>
        </w:rPr>
      </w:pPr>
    </w:p>
    <w:p>
      <w:pPr>
        <w:rPr>
          <w:rFonts w:ascii="仿宋_GB2312" w:eastAsia="仿宋_GB2312"/>
        </w:rPr>
      </w:pPr>
    </w:p>
    <w:p>
      <w:pPr>
        <w:rPr>
          <w:rFonts w:hAnsi="宋体"/>
          <w:b/>
        </w:rPr>
      </w:pPr>
      <w:r>
        <w:rPr>
          <w:rFonts w:hint="eastAsia" w:hAnsi="宋体"/>
          <w:b/>
        </w:rPr>
        <w:t>六、实施方案（</w:t>
      </w:r>
      <w:r>
        <w:rPr>
          <w:rFonts w:hint="eastAsia" w:hAnsi="宋体"/>
        </w:rPr>
        <w:t>包括设计方案、</w:t>
      </w:r>
      <w:r>
        <w:rPr>
          <w:rFonts w:hint="eastAsia" w:ascii="仿宋_GB2312" w:eastAsia="仿宋_GB2312"/>
          <w:sz w:val="30"/>
          <w:szCs w:val="30"/>
        </w:rPr>
        <w:t>项目管理及团队等</w:t>
      </w:r>
      <w:r>
        <w:rPr>
          <w:rFonts w:hint="eastAsia" w:hAnsi="宋体"/>
          <w:b/>
        </w:rPr>
        <w:t>）</w:t>
      </w:r>
    </w:p>
    <w:p>
      <w:pPr>
        <w:rPr>
          <w:rFonts w:hAnsi="宋体"/>
          <w:b/>
        </w:rPr>
      </w:pPr>
      <w:r>
        <w:rPr>
          <w:rFonts w:hint="eastAsia" w:hAnsi="宋体"/>
          <w:b/>
        </w:rPr>
        <w:t>七、业绩证明材料及其它</w:t>
      </w:r>
    </w:p>
    <w:p>
      <w:pPr>
        <w:jc w:val="left"/>
        <w:rPr>
          <w:rFonts w:hint="eastAsia" w:ascii="仿宋_GB2312" w:hAnsi="华文中宋" w:eastAsia="仿宋_GB2312"/>
          <w:b/>
          <w:szCs w:val="28"/>
        </w:rPr>
      </w:pPr>
    </w:p>
    <w:p>
      <w:pPr>
        <w:jc w:val="left"/>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ascii="仿宋_GB2312" w:eastAsia="仿宋_GB2312"/>
        </w:rPr>
      </w:pPr>
      <w:r>
        <w:rPr>
          <w:rFonts w:hint="eastAsia" w:ascii="仿宋_GB2312" w:hAnsi="华文中宋" w:eastAsia="仿宋_GB2312"/>
          <w:b/>
          <w:szCs w:val="28"/>
        </w:rPr>
        <w:t xml:space="preserve">  </w:t>
      </w:r>
      <w:r>
        <w:rPr>
          <w:rFonts w:hint="eastAsia" w:ascii="仿宋_GB2312" w:hAnsi="宋体" w:eastAsia="仿宋_GB2312"/>
          <w:color w:val="000000" w:themeColor="text1"/>
          <w:szCs w:val="28"/>
          <w14:textFill>
            <w14:solidFill>
              <w14:schemeClr w14:val="tx1"/>
            </w14:solidFill>
          </w14:textFill>
        </w:rPr>
        <w:t xml:space="preserve"> </w:t>
      </w:r>
    </w:p>
    <w:p>
      <w:pPr>
        <w:rPr>
          <w:rFonts w:hint="eastAsia" w:ascii="仿宋_GB2312" w:eastAsia="仿宋_GB2312"/>
          <w:b/>
        </w:rPr>
      </w:pPr>
    </w:p>
    <w:p>
      <w:pPr>
        <w:rPr>
          <w:rFonts w:ascii="仿宋_GB2312" w:eastAsia="仿宋_GB2312"/>
          <w:b/>
        </w:rPr>
      </w:pPr>
      <w:r>
        <w:rPr>
          <w:rFonts w:hint="eastAsia" w:ascii="仿宋_GB2312" w:eastAsia="仿宋_GB2312"/>
          <w:b/>
        </w:rPr>
        <w:t>附件1：</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color w:val="333333"/>
          <w:sz w:val="30"/>
          <w:szCs w:val="30"/>
        </w:rPr>
      </w:pPr>
      <w:bookmarkStart w:id="133" w:name="_Toc374453341"/>
      <w:r>
        <w:rPr>
          <w:rFonts w:hint="eastAsia" w:ascii="黑体" w:hAnsi="黑体" w:eastAsia="黑体" w:cs="宋体"/>
          <w:b/>
          <w:bCs/>
          <w:color w:val="333333"/>
          <w:sz w:val="30"/>
          <w:szCs w:val="30"/>
        </w:rPr>
        <w:t>第一章</w:t>
      </w:r>
      <w:r>
        <w:rPr>
          <w:rFonts w:hint="eastAsia" w:ascii="宋体" w:hAnsi="宋体" w:eastAsia="黑体"/>
          <w:color w:val="333333"/>
          <w:sz w:val="30"/>
          <w:szCs w:val="30"/>
        </w:rPr>
        <w:t>  </w:t>
      </w:r>
      <w:r>
        <w:rPr>
          <w:rFonts w:hint="eastAsia" w:ascii="黑体" w:hAnsi="黑体" w:eastAsia="黑体" w:cs="宋体"/>
          <w:b/>
          <w:bCs/>
          <w:color w:val="333333"/>
          <w:sz w:val="30"/>
          <w:szCs w:val="30"/>
        </w:rPr>
        <w:t>总 则</w:t>
      </w:r>
      <w:bookmarkEnd w:id="133"/>
    </w:p>
    <w:p>
      <w:pPr>
        <w:spacing w:line="560" w:lineRule="exact"/>
        <w:ind w:firstLine="600" w:firstLineChars="200"/>
        <w:rPr>
          <w:rFonts w:ascii="仿宋_GB2312" w:hAnsi="宋体" w:eastAsia="仿宋_GB2312" w:cs="宋体"/>
          <w:color w:val="333333"/>
          <w:sz w:val="30"/>
          <w:szCs w:val="30"/>
        </w:rPr>
      </w:pPr>
      <w:r>
        <w:rPr>
          <w:rFonts w:hint="eastAsia" w:ascii="宋体" w:hAnsi="宋体" w:eastAsia="仿宋_GB2312"/>
          <w:color w:val="333333"/>
          <w:sz w:val="30"/>
          <w:szCs w:val="30"/>
        </w:rPr>
        <w:t> </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 xml:space="preserve"> </w:t>
      </w:r>
      <w:r>
        <w:rPr>
          <w:rFonts w:hint="eastAsia" w:ascii="仿宋_GB2312" w:hAnsi="宋体" w:eastAsia="仿宋_GB2312" w:cs="宋体"/>
          <w:b/>
          <w:color w:val="333333"/>
          <w:sz w:val="30"/>
          <w:szCs w:val="30"/>
        </w:rPr>
        <w:t>第一条</w:t>
      </w:r>
      <w:r>
        <w:rPr>
          <w:rFonts w:hint="eastAsia" w:ascii="仿宋_GB2312" w:hAnsi="宋体" w:eastAsia="仿宋_GB2312" w:cs="宋体"/>
          <w:color w:val="333333"/>
          <w:sz w:val="30"/>
          <w:szCs w:val="30"/>
        </w:rPr>
        <w:t xml:space="preserve">  为规范</w:t>
      </w:r>
      <w:r>
        <w:rPr>
          <w:rFonts w:hint="eastAsia" w:ascii="仿宋_GB2312" w:eastAsia="仿宋_GB2312" w:cs="宋体" w:hAnsiTheme="minorEastAsia"/>
          <w:color w:val="333333"/>
          <w:sz w:val="30"/>
          <w:szCs w:val="30"/>
        </w:rPr>
        <w:t>学校</w:t>
      </w:r>
      <w:r>
        <w:rPr>
          <w:rFonts w:hint="eastAsia" w:ascii="仿宋_GB2312" w:hAnsi="宋体" w:eastAsia="仿宋_GB2312" w:cs="宋体"/>
          <w:color w:val="333333"/>
          <w:sz w:val="30"/>
          <w:szCs w:val="30"/>
        </w:rPr>
        <w:t>采购活动质疑</w:t>
      </w:r>
      <w:r>
        <w:rPr>
          <w:rFonts w:hint="eastAsia" w:ascii="仿宋_GB2312" w:eastAsia="仿宋_GB2312" w:cs="宋体" w:hAnsiTheme="minorEastAsia"/>
          <w:color w:val="333333"/>
          <w:sz w:val="30"/>
          <w:szCs w:val="30"/>
        </w:rPr>
        <w:t>和投诉</w:t>
      </w:r>
      <w:r>
        <w:rPr>
          <w:rFonts w:hint="eastAsia" w:ascii="仿宋_GB2312" w:hAnsi="宋体" w:eastAsia="仿宋_GB2312" w:cs="宋体"/>
          <w:color w:val="333333"/>
          <w:sz w:val="30"/>
          <w:szCs w:val="30"/>
        </w:rPr>
        <w:t>行为，确保采购活动公平竞争、合理运转</w:t>
      </w:r>
      <w:r>
        <w:rPr>
          <w:rFonts w:hint="eastAsia" w:ascii="仿宋_GB2312" w:eastAsia="仿宋_GB2312" w:cs="宋体" w:hAnsiTheme="minorEastAsia"/>
          <w:color w:val="333333"/>
          <w:sz w:val="30"/>
          <w:szCs w:val="30"/>
        </w:rPr>
        <w:t>，</w:t>
      </w:r>
      <w:r>
        <w:rPr>
          <w:rFonts w:hint="eastAsia" w:ascii="仿宋_GB2312" w:hAnsi="宋体" w:eastAsia="仿宋_GB2312" w:cs="宋体"/>
          <w:color w:val="333333"/>
          <w:sz w:val="30"/>
          <w:szCs w:val="30"/>
        </w:rPr>
        <w:t>保护参加</w:t>
      </w:r>
      <w:r>
        <w:rPr>
          <w:rFonts w:hint="eastAsia" w:ascii="仿宋_GB2312" w:eastAsia="仿宋_GB2312" w:cs="宋体" w:hAnsiTheme="minorEastAsia"/>
          <w:color w:val="333333"/>
          <w:sz w:val="30"/>
          <w:szCs w:val="30"/>
        </w:rPr>
        <w:t>学校采购活动当事人的</w:t>
      </w:r>
      <w:r>
        <w:rPr>
          <w:rFonts w:hint="eastAsia" w:ascii="仿宋_GB2312" w:hAnsi="宋体" w:eastAsia="仿宋_GB2312" w:cs="宋体"/>
          <w:color w:val="333333"/>
          <w:sz w:val="30"/>
          <w:szCs w:val="30"/>
        </w:rPr>
        <w:t>合法权益，根据《中华人民共和国政府采购法》</w:t>
      </w:r>
      <w:r>
        <w:rPr>
          <w:rFonts w:hint="eastAsia" w:ascii="仿宋_GB2312" w:eastAsia="仿宋_GB2312" w:cs="宋体" w:hAnsiTheme="minorEastAsia"/>
          <w:color w:val="333333"/>
          <w:sz w:val="30"/>
          <w:szCs w:val="30"/>
        </w:rPr>
        <w:t>、《中华人民共和国政府采购法实施条例》、</w:t>
      </w:r>
      <w:r>
        <w:rPr>
          <w:rFonts w:hint="eastAsia" w:ascii="仿宋_GB2312" w:hAnsi="宋体" w:eastAsia="仿宋_GB2312" w:cs="宋体"/>
          <w:color w:val="333333"/>
          <w:sz w:val="30"/>
          <w:szCs w:val="30"/>
        </w:rPr>
        <w:t>《政府采购</w:t>
      </w:r>
      <w:r>
        <w:rPr>
          <w:rFonts w:hint="eastAsia" w:ascii="仿宋_GB2312" w:eastAsia="仿宋_GB2312" w:cs="宋体" w:hAnsiTheme="minorEastAsia"/>
          <w:color w:val="333333"/>
          <w:sz w:val="30"/>
          <w:szCs w:val="30"/>
        </w:rPr>
        <w:t>质疑和投诉</w:t>
      </w:r>
      <w:r>
        <w:rPr>
          <w:rFonts w:hint="eastAsia" w:ascii="仿宋_GB2312" w:hAnsi="宋体" w:eastAsia="仿宋_GB2312" w:cs="宋体"/>
          <w:color w:val="333333"/>
          <w:sz w:val="30"/>
          <w:szCs w:val="30"/>
        </w:rPr>
        <w:t>办法》（财政部</w:t>
      </w:r>
      <w:r>
        <w:rPr>
          <w:rFonts w:hint="eastAsia" w:ascii="仿宋_GB2312" w:eastAsia="仿宋_GB2312" w:cs="宋体" w:hAnsiTheme="minorEastAsia"/>
          <w:color w:val="333333"/>
          <w:sz w:val="30"/>
          <w:szCs w:val="30"/>
        </w:rPr>
        <w:t>令</w:t>
      </w:r>
      <w:r>
        <w:rPr>
          <w:rFonts w:hint="eastAsia" w:ascii="仿宋_GB2312" w:hAnsi="宋体" w:eastAsia="仿宋_GB2312" w:cs="宋体"/>
          <w:color w:val="333333"/>
          <w:sz w:val="30"/>
          <w:szCs w:val="30"/>
        </w:rPr>
        <w:t>第</w:t>
      </w:r>
      <w:r>
        <w:rPr>
          <w:rFonts w:hint="eastAsia" w:ascii="仿宋_GB2312" w:eastAsia="仿宋_GB2312" w:cs="宋体" w:hAnsiTheme="minorEastAsia"/>
          <w:color w:val="333333"/>
          <w:sz w:val="30"/>
          <w:szCs w:val="30"/>
        </w:rPr>
        <w:t>94</w:t>
      </w:r>
      <w:r>
        <w:rPr>
          <w:rFonts w:hint="eastAsia" w:ascii="仿宋_GB2312" w:hAnsi="宋体" w:eastAsia="仿宋_GB2312" w:cs="宋体"/>
          <w:color w:val="333333"/>
          <w:sz w:val="30"/>
          <w:szCs w:val="30"/>
        </w:rPr>
        <w:t>号）</w:t>
      </w:r>
      <w:r>
        <w:rPr>
          <w:rFonts w:hint="eastAsia" w:ascii="仿宋_GB2312" w:eastAsia="仿宋_GB2312" w:cs="宋体" w:hAnsiTheme="minorEastAsia"/>
          <w:color w:val="333333"/>
          <w:sz w:val="30"/>
          <w:szCs w:val="30"/>
        </w:rPr>
        <w:t>和安徽省政府有关文件</w:t>
      </w:r>
      <w:r>
        <w:rPr>
          <w:rFonts w:hint="eastAsia" w:ascii="仿宋_GB2312" w:hAnsi="宋体" w:eastAsia="仿宋_GB2312" w:cs="宋体"/>
          <w:color w:val="333333"/>
          <w:sz w:val="30"/>
          <w:szCs w:val="30"/>
        </w:rPr>
        <w:t>精神，</w:t>
      </w:r>
      <w:r>
        <w:rPr>
          <w:rFonts w:hint="eastAsia" w:ascii="仿宋_GB2312" w:eastAsia="仿宋_GB2312" w:cs="宋体" w:hAnsiTheme="minorEastAsia"/>
          <w:color w:val="333333"/>
          <w:sz w:val="30"/>
          <w:szCs w:val="30"/>
        </w:rPr>
        <w:t>结合学校实际，</w:t>
      </w:r>
      <w:r>
        <w:rPr>
          <w:rFonts w:hint="eastAsia" w:ascii="仿宋_GB2312" w:hAnsi="宋体" w:eastAsia="仿宋_GB2312" w:cs="宋体"/>
          <w:color w:val="333333"/>
          <w:sz w:val="30"/>
          <w:szCs w:val="30"/>
        </w:rPr>
        <w:t>制定本办法。</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hAnsi="宋体" w:eastAsia="仿宋_GB2312" w:cs="宋体"/>
          <w:b/>
          <w:color w:val="333333"/>
          <w:sz w:val="30"/>
          <w:szCs w:val="30"/>
        </w:rPr>
        <w:t>第二条</w:t>
      </w:r>
      <w:r>
        <w:rPr>
          <w:rFonts w:hint="eastAsia" w:ascii="仿宋_GB2312" w:hAnsi="宋体" w:eastAsia="仿宋_GB2312" w:cs="宋体"/>
          <w:color w:val="333333"/>
          <w:sz w:val="30"/>
          <w:szCs w:val="30"/>
        </w:rPr>
        <w:t xml:space="preserve">  </w:t>
      </w:r>
      <w:r>
        <w:rPr>
          <w:rFonts w:hint="eastAsia" w:ascii="仿宋_GB2312" w:eastAsia="仿宋_GB2312" w:cs="宋体" w:hAnsiTheme="minorEastAsia"/>
          <w:color w:val="333333"/>
          <w:sz w:val="30"/>
          <w:szCs w:val="30"/>
        </w:rPr>
        <w:t>本办法适用于</w:t>
      </w:r>
      <w:bookmarkStart w:id="134" w:name="OLE_LINK3"/>
      <w:bookmarkStart w:id="135" w:name="OLE_LINK2"/>
      <w:bookmarkStart w:id="136" w:name="OLE_LINK1"/>
      <w:r>
        <w:rPr>
          <w:rFonts w:hint="eastAsia" w:ascii="仿宋_GB2312" w:eastAsia="仿宋_GB2312" w:cs="宋体" w:hAnsiTheme="minorEastAsia"/>
          <w:color w:val="333333"/>
          <w:sz w:val="30"/>
          <w:szCs w:val="30"/>
        </w:rPr>
        <w:t>学校采购活动</w:t>
      </w:r>
      <w:bookmarkEnd w:id="134"/>
      <w:bookmarkEnd w:id="135"/>
      <w:bookmarkEnd w:id="136"/>
      <w:r>
        <w:rPr>
          <w:rFonts w:hint="eastAsia" w:ascii="仿宋_GB2312" w:eastAsia="仿宋_GB2312" w:cs="宋体" w:hAnsiTheme="minorEastAsia"/>
          <w:color w:val="333333"/>
          <w:sz w:val="30"/>
          <w:szCs w:val="30"/>
        </w:rPr>
        <w:t>质疑的提出和答复、投诉的提起和处理。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33333"/>
          <w:sz w:val="30"/>
          <w:szCs w:val="30"/>
        </w:rPr>
      </w:pPr>
      <w:r>
        <w:rPr>
          <w:rFonts w:hint="eastAsia" w:ascii="仿宋_GB2312" w:eastAsia="仿宋_GB2312" w:hAnsiTheme="minorEastAsia"/>
          <w:b/>
          <w:color w:val="333333"/>
          <w:sz w:val="30"/>
          <w:szCs w:val="30"/>
        </w:rPr>
        <w:t>第三条</w:t>
      </w:r>
      <w:r>
        <w:rPr>
          <w:rFonts w:hint="eastAsia" w:ascii="仿宋_GB2312" w:eastAsia="仿宋_GB2312" w:hAnsiTheme="minorEastAsia"/>
          <w:color w:val="333333"/>
          <w:sz w:val="30"/>
          <w:szCs w:val="30"/>
        </w:rPr>
        <w:t xml:space="preserve">  学校政府采购中的集中采购和分散采购项目质疑的提出与答复和投诉</w:t>
      </w:r>
      <w:r>
        <w:rPr>
          <w:rFonts w:hint="eastAsia" w:ascii="仿宋_GB2312" w:eastAsia="仿宋_GB2312"/>
          <w:color w:val="353535"/>
          <w:sz w:val="30"/>
          <w:szCs w:val="30"/>
        </w:rPr>
        <w:t>的提起与处理</w:t>
      </w:r>
      <w:r>
        <w:rPr>
          <w:rFonts w:hint="eastAsia" w:ascii="仿宋_GB2312" w:eastAsia="仿宋_GB2312" w:hAnsiTheme="minorEastAsia"/>
          <w:color w:val="333333"/>
          <w:sz w:val="30"/>
          <w:szCs w:val="30"/>
        </w:rPr>
        <w:t>遵照《</w:t>
      </w:r>
      <w:r>
        <w:rPr>
          <w:rFonts w:hint="eastAsia" w:ascii="仿宋_GB2312" w:eastAsia="仿宋_GB2312"/>
          <w:color w:val="333333"/>
          <w:sz w:val="30"/>
          <w:szCs w:val="30"/>
        </w:rPr>
        <w:t>政府采购</w:t>
      </w:r>
      <w:r>
        <w:rPr>
          <w:rFonts w:hint="eastAsia" w:ascii="仿宋_GB2312" w:eastAsia="仿宋_GB2312" w:hAnsiTheme="minorEastAsia"/>
          <w:color w:val="333333"/>
          <w:sz w:val="30"/>
          <w:szCs w:val="30"/>
        </w:rPr>
        <w:t>质疑和投诉</w:t>
      </w:r>
      <w:r>
        <w:rPr>
          <w:rFonts w:hint="eastAsia" w:ascii="仿宋_GB2312" w:eastAsia="仿宋_GB2312"/>
          <w:color w:val="333333"/>
          <w:sz w:val="30"/>
          <w:szCs w:val="30"/>
        </w:rPr>
        <w:t>办法》（财政部</w:t>
      </w:r>
      <w:r>
        <w:rPr>
          <w:rFonts w:hint="eastAsia" w:ascii="仿宋_GB2312" w:eastAsia="仿宋_GB2312" w:hAnsiTheme="minorEastAsia"/>
          <w:color w:val="333333"/>
          <w:sz w:val="30"/>
          <w:szCs w:val="30"/>
        </w:rPr>
        <w:t>令</w:t>
      </w:r>
      <w:r>
        <w:rPr>
          <w:rFonts w:hint="eastAsia" w:ascii="仿宋_GB2312" w:eastAsia="仿宋_GB2312"/>
          <w:color w:val="333333"/>
          <w:sz w:val="30"/>
          <w:szCs w:val="30"/>
        </w:rPr>
        <w:t>第</w:t>
      </w:r>
      <w:r>
        <w:rPr>
          <w:rFonts w:hint="eastAsia" w:ascii="仿宋_GB2312" w:eastAsia="仿宋_GB2312" w:hAnsiTheme="minorEastAsia"/>
          <w:color w:val="333333"/>
          <w:sz w:val="30"/>
          <w:szCs w:val="30"/>
        </w:rPr>
        <w:t>94</w:t>
      </w:r>
      <w:r>
        <w:rPr>
          <w:rFonts w:hint="eastAsia" w:ascii="仿宋_GB2312" w:eastAsia="仿宋_GB2312"/>
          <w:color w:val="333333"/>
          <w:sz w:val="30"/>
          <w:szCs w:val="30"/>
        </w:rPr>
        <w:t>号）</w:t>
      </w:r>
      <w:r>
        <w:rPr>
          <w:rFonts w:hint="eastAsia" w:ascii="仿宋_GB2312" w:eastAsia="仿宋_GB2312" w:hAnsiTheme="minorEastAsia"/>
          <w:color w:val="333333"/>
          <w:sz w:val="30"/>
          <w:szCs w:val="30"/>
        </w:rPr>
        <w:t>和安徽省有关</w:t>
      </w:r>
      <w:r>
        <w:rPr>
          <w:rFonts w:hint="eastAsia" w:ascii="仿宋_GB2312" w:eastAsia="仿宋_GB2312"/>
          <w:color w:val="333333"/>
          <w:sz w:val="30"/>
          <w:szCs w:val="30"/>
        </w:rPr>
        <w:t>规定执行，上级政策如有调整，按最新政策规定执行。</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第四条</w:t>
      </w:r>
      <w:r>
        <w:rPr>
          <w:rFonts w:hint="eastAsia" w:ascii="仿宋_GB2312" w:eastAsia="仿宋_GB2312" w:cs="宋体" w:hAnsiTheme="minorEastAsia"/>
          <w:color w:val="333333"/>
          <w:sz w:val="30"/>
          <w:szCs w:val="30"/>
        </w:rPr>
        <w:t xml:space="preserve">  供应商提出质疑和投诉应当坚持依法依规、诚实信用原则。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第五条</w:t>
      </w:r>
      <w:r>
        <w:rPr>
          <w:rFonts w:hint="eastAsia" w:ascii="仿宋_GB2312" w:eastAsia="仿宋_GB2312" w:cs="宋体" w:hAnsiTheme="minorEastAsia"/>
          <w:color w:val="333333"/>
          <w:sz w:val="30"/>
          <w:szCs w:val="30"/>
        </w:rPr>
        <w:t xml:space="preserve">  采购质疑答复和投诉处理应当坚持依法依规、权责对等、公平公正、简便高效原则。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第六条</w:t>
      </w:r>
      <w:r>
        <w:rPr>
          <w:rFonts w:hint="eastAsia" w:ascii="仿宋_GB2312" w:eastAsia="仿宋_GB2312" w:cs="宋体" w:hAnsiTheme="minorEastAsia"/>
          <w:color w:val="333333"/>
          <w:sz w:val="30"/>
          <w:szCs w:val="30"/>
        </w:rPr>
        <w:t xml:space="preserve">  学校国有资产管理处（以下简称“国资处”）负责供应商质疑答复。学校委托采购代理机构采购的，采购代理机构在委托授权范围内作出答复。</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学校监察处负责接受和处理校内自主采购项目的投诉。</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第七条</w:t>
      </w:r>
      <w:r>
        <w:rPr>
          <w:rFonts w:hint="eastAsia" w:ascii="仿宋_GB2312" w:eastAsia="仿宋_GB2312" w:cs="宋体" w:hAnsiTheme="minorEastAsia"/>
          <w:color w:val="333333"/>
          <w:sz w:val="30"/>
          <w:szCs w:val="30"/>
        </w:rPr>
        <w:t xml:space="preserve">  国资处、委托采购代理机构应当在采购文件中载明接收质疑函和受理投诉的方式、联系部门、联系电话和通讯地址等信息。</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第八条</w:t>
      </w:r>
      <w:r>
        <w:rPr>
          <w:rFonts w:hint="eastAsia" w:ascii="仿宋_GB2312" w:eastAsia="仿宋_GB2312" w:cs="宋体" w:hAnsiTheme="minor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代理人提出质疑和投诉，应当提交供应商签署的授权委托书。</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第九条</w:t>
      </w:r>
      <w:r>
        <w:rPr>
          <w:rFonts w:hint="eastAsia" w:ascii="仿宋_GB2312" w:eastAsia="仿宋_GB2312" w:cs="宋体" w:hAnsiTheme="minorEastAsia"/>
          <w:color w:val="333333"/>
          <w:sz w:val="30"/>
          <w:szCs w:val="30"/>
        </w:rPr>
        <w:t xml:space="preserve">  以联合体形式参加学校采购活动的，其投诉应当由组成联合体的所有供应商共同提出。</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第二章 质疑的提出</w:t>
      </w:r>
    </w:p>
    <w:p>
      <w:pPr>
        <w:spacing w:line="560" w:lineRule="exact"/>
        <w:ind w:firstLine="600" w:firstLineChars="200"/>
        <w:rPr>
          <w:rFonts w:ascii="仿宋_GB2312" w:eastAsia="仿宋_GB2312" w:cs="宋体" w:hAnsiTheme="minorEastAsia"/>
          <w:color w:val="333333"/>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第十条</w:t>
      </w:r>
      <w:bookmarkStart w:id="137" w:name="OLE_LINK5"/>
      <w:bookmarkStart w:id="138" w:name="OLE_LINK9"/>
      <w:bookmarkStart w:id="139" w:name="OLE_LINK4"/>
      <w:bookmarkStart w:id="140" w:name="OLE_LINK8"/>
      <w:bookmarkStart w:id="141" w:name="OLE_LINK7"/>
      <w:bookmarkStart w:id="142" w:name="OLE_LINK6"/>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bookmarkEnd w:id="137"/>
      <w:bookmarkEnd w:id="138"/>
      <w:bookmarkEnd w:id="139"/>
      <w:bookmarkEnd w:id="140"/>
      <w:bookmarkEnd w:id="141"/>
      <w:bookmarkEnd w:id="142"/>
      <w:r>
        <w:rPr>
          <w:rFonts w:hint="eastAsia" w:ascii="仿宋_GB2312" w:hAnsi="微软雅黑" w:eastAsia="仿宋_GB2312"/>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采购文件可以要求供应商在质疑期内一次性提出针对同一采购程序环节的质疑。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E3E3E"/>
          <w:sz w:val="30"/>
          <w:szCs w:val="30"/>
        </w:rPr>
      </w:pPr>
      <w:r>
        <w:rPr>
          <w:rFonts w:hint="eastAsia" w:ascii="仿宋_GB2312" w:eastAsia="仿宋_GB2312" w:hAnsiTheme="minorEastAsia"/>
          <w:b/>
          <w:color w:val="333333"/>
          <w:sz w:val="30"/>
          <w:szCs w:val="30"/>
        </w:rPr>
        <w:t>第十一条</w:t>
      </w:r>
      <w:r>
        <w:rPr>
          <w:rFonts w:hint="eastAsia" w:ascii="仿宋_GB2312" w:eastAsia="仿宋_GB2312" w:hAnsiTheme="minorEastAsia"/>
          <w:color w:val="333333"/>
          <w:sz w:val="30"/>
          <w:szCs w:val="30"/>
        </w:rPr>
        <w:t xml:space="preserve">  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eastAsia="仿宋_GB2312" w:hAnsiTheme="minorEastAsia"/>
          <w:color w:val="3E3E3E"/>
          <w:sz w:val="30"/>
          <w:szCs w:val="30"/>
        </w:rPr>
        <w:t>提出质疑的供应商（以下简称质疑供应商）应当是参与所质疑项目采购活动的供应商。</w:t>
      </w:r>
    </w:p>
    <w:p>
      <w:pPr>
        <w:spacing w:line="560" w:lineRule="exact"/>
        <w:ind w:firstLine="600" w:firstLineChars="200"/>
        <w:rPr>
          <w:rFonts w:ascii="仿宋_GB2312" w:eastAsia="仿宋_GB2312" w:hAnsiTheme="minorEastAsia"/>
          <w:color w:val="3E3E3E"/>
          <w:sz w:val="30"/>
          <w:szCs w:val="30"/>
        </w:rPr>
      </w:pPr>
      <w:r>
        <w:rPr>
          <w:rFonts w:hint="eastAsia" w:ascii="仿宋_GB2312" w:eastAsia="仿宋_GB2312" w:hAnsiTheme="minorEastAsia"/>
          <w:color w:val="3E3E3E"/>
          <w:sz w:val="30"/>
          <w:szCs w:val="30"/>
        </w:rPr>
        <w:t xml:space="preserve">潜在供应商已依法依规获取其可质疑的采购文件的，可以对该文件提出质疑。对采购文件提出质疑的，应当在采购文件规定的时间内提出。 </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供应商提出质疑应当提交质疑函和必要的证明材料。质疑函应当包括下列内容：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（一）供应商的姓名或者名称、地址、邮编、联系人及联系电话；</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（二）质疑项目的名称、编号；</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（三）具体、明确的质疑事项和与质疑事项相关的请求；</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（五）必要的法律依据；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（六）提出质疑的日期。</w:t>
      </w:r>
    </w:p>
    <w:p>
      <w:pPr>
        <w:spacing w:line="560" w:lineRule="exact"/>
        <w:ind w:firstLine="600" w:firstLineChars="200"/>
        <w:rPr>
          <w:rFonts w:ascii="仿宋_GB2312" w:hAnsi="微软雅黑" w:eastAsia="仿宋_GB2312"/>
          <w:color w:val="3E3E3E"/>
          <w:sz w:val="30"/>
          <w:szCs w:val="30"/>
        </w:rPr>
      </w:pPr>
      <w:r>
        <w:rPr>
          <w:rFonts w:hint="eastAsia" w:ascii="仿宋_GB2312" w:hAnsi="微软雅黑" w:eastAsia="仿宋_GB2312"/>
          <w:color w:val="3E3E3E"/>
          <w:sz w:val="30"/>
          <w:szCs w:val="30"/>
        </w:rPr>
        <w:t>供应商为自然人的，应当由本人签字；供应商为法人或者其他组织的，应当由法定代表人、主要负责人，或者其授权代表签字或者盖章，并加盖公章。</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第十三条</w:t>
      </w:r>
      <w:r>
        <w:rPr>
          <w:rFonts w:hint="eastAsia" w:ascii="仿宋_GB2312" w:hAnsi="宋体" w:eastAsia="仿宋_GB2312" w:cs="宋体"/>
          <w:color w:val="333333"/>
          <w:sz w:val="30"/>
          <w:szCs w:val="30"/>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600" w:firstLineChars="200"/>
        <w:rPr>
          <w:rFonts w:ascii="仿宋_GB2312" w:hAnsi="微软雅黑" w:eastAsia="仿宋_GB2312"/>
          <w:color w:val="3E3E3E"/>
          <w:sz w:val="30"/>
          <w:szCs w:val="30"/>
        </w:rPr>
      </w:pPr>
    </w:p>
    <w:p>
      <w:pPr>
        <w:spacing w:line="560" w:lineRule="exact"/>
        <w:jc w:val="center"/>
        <w:rPr>
          <w:rFonts w:ascii="黑体" w:hAnsi="黑体" w:eastAsia="黑体"/>
          <w:b/>
          <w:color w:val="3E3E3E"/>
          <w:sz w:val="30"/>
          <w:szCs w:val="30"/>
        </w:rPr>
      </w:pPr>
      <w:r>
        <w:rPr>
          <w:rFonts w:hint="eastAsia" w:ascii="黑体" w:hAnsi="黑体" w:eastAsia="黑体"/>
          <w:b/>
          <w:color w:val="3E3E3E"/>
          <w:sz w:val="30"/>
          <w:szCs w:val="30"/>
        </w:rPr>
        <w:t>第三章  质疑的答复</w:t>
      </w:r>
    </w:p>
    <w:p>
      <w:pPr>
        <w:spacing w:line="560" w:lineRule="exact"/>
        <w:ind w:firstLine="600" w:firstLineChars="200"/>
        <w:rPr>
          <w:rFonts w:ascii="仿宋_GB2312" w:hAnsi="微软雅黑" w:eastAsia="仿宋_GB2312"/>
          <w:color w:val="3E3E3E"/>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hAnsi="微软雅黑" w:eastAsia="仿宋_GB2312"/>
          <w:b/>
          <w:color w:val="3E3E3E"/>
          <w:sz w:val="30"/>
          <w:szCs w:val="30"/>
        </w:rPr>
        <w:t>第十四条</w:t>
      </w:r>
      <w:r>
        <w:rPr>
          <w:rFonts w:hint="eastAsia" w:ascii="仿宋_GB2312" w:hAnsi="微软雅黑" w:eastAsia="仿宋_GB2312"/>
          <w:color w:val="3E3E3E"/>
          <w:sz w:val="30"/>
          <w:szCs w:val="30"/>
        </w:rPr>
        <w:t xml:space="preserve">  </w:t>
      </w:r>
      <w:r>
        <w:rPr>
          <w:rFonts w:hint="eastAsia" w:ascii="仿宋_GB2312" w:hAnsi="宋体" w:eastAsia="仿宋_GB2312" w:cs="宋体"/>
          <w:color w:val="333333"/>
          <w:sz w:val="30"/>
          <w:szCs w:val="30"/>
        </w:rPr>
        <w:t>供应商对</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宋体" w:eastAsia="仿宋_GB2312" w:cs="宋体"/>
          <w:color w:val="333333"/>
          <w:sz w:val="30"/>
          <w:szCs w:val="30"/>
        </w:rPr>
        <w:t>有疑问的，可以向学校国资处、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提出询问，国资处、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应及时口头答复。</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第十五</w:t>
      </w:r>
      <w:r>
        <w:rPr>
          <w:rFonts w:hint="eastAsia" w:ascii="仿宋_GB2312" w:hAnsi="宋体" w:eastAsia="仿宋_GB2312" w:cs="宋体"/>
          <w:color w:val="333333"/>
          <w:sz w:val="30"/>
          <w:szCs w:val="30"/>
        </w:rPr>
        <w:t>条  国资处、采购代理机构对供应商提出的询问，应区别不同情况予以处理：</w:t>
      </w:r>
      <w:r>
        <w:rPr>
          <w:rFonts w:hint="eastAsia" w:ascii="仿宋_GB2312" w:hAnsi="宋体" w:eastAsia="仿宋_GB2312" w:cs="宋体"/>
          <w:sz w:val="30"/>
          <w:szCs w:val="30"/>
        </w:rPr>
        <w:t>属于工作中的问题，应当及时纠正；</w:t>
      </w:r>
      <w:r>
        <w:rPr>
          <w:rFonts w:hint="eastAsia" w:ascii="仿宋_GB2312" w:hAnsi="宋体" w:eastAsia="仿宋_GB2312" w:cs="宋体"/>
          <w:color w:val="333333"/>
          <w:sz w:val="30"/>
          <w:szCs w:val="30"/>
        </w:rPr>
        <w:t>属于供应商的误解，应予以解释说明。</w:t>
      </w:r>
    </w:p>
    <w:p>
      <w:pPr>
        <w:spacing w:line="560" w:lineRule="exact"/>
        <w:ind w:firstLine="602" w:firstLineChars="200"/>
        <w:rPr>
          <w:rFonts w:ascii="仿宋_GB2312" w:hAnsi="微软雅黑" w:eastAsia="仿宋_GB2312"/>
          <w:color w:val="3E3E3E"/>
          <w:sz w:val="30"/>
          <w:szCs w:val="30"/>
        </w:rPr>
      </w:pPr>
      <w:r>
        <w:rPr>
          <w:rFonts w:hint="eastAsia" w:ascii="仿宋_GB2312" w:hAnsi="微软雅黑" w:eastAsia="仿宋_GB2312"/>
          <w:b/>
          <w:color w:val="3E3E3E"/>
          <w:sz w:val="30"/>
          <w:szCs w:val="30"/>
        </w:rPr>
        <w:t>第十六</w:t>
      </w:r>
      <w:r>
        <w:rPr>
          <w:rFonts w:hint="eastAsia" w:ascii="仿宋_GB2312" w:hAnsi="微软雅黑" w:eastAsia="仿宋_GB2312"/>
          <w:color w:val="3E3E3E"/>
          <w:sz w:val="30"/>
          <w:szCs w:val="30"/>
        </w:rPr>
        <w:t xml:space="preserve">条  </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第十七条</w:t>
      </w:r>
      <w:r>
        <w:rPr>
          <w:rFonts w:hint="eastAsia" w:ascii="仿宋_GB2312" w:hAnsi="宋体" w:eastAsia="仿宋_GB2312" w:cs="宋体"/>
          <w:color w:val="333333"/>
          <w:sz w:val="30"/>
          <w:szCs w:val="30"/>
        </w:rPr>
        <w:t xml:space="preserve">  供应商的书面质疑属于下列情形之一的，国资处、采购代理机构可不予受理，并以书面形式告知其不予受理的原因：</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（一）未通过资格审核，或未参与该采购项目活动的供应商；</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（二）已超过法律规定或采购文件约定的质疑期限；</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第十八条</w:t>
      </w:r>
      <w:r>
        <w:rPr>
          <w:rFonts w:hint="eastAsia" w:ascii="仿宋_GB2312" w:hAnsi="宋体" w:eastAsia="仿宋_GB2312" w:cs="宋体"/>
          <w:color w:val="333333"/>
          <w:sz w:val="30"/>
          <w:szCs w:val="30"/>
        </w:rPr>
        <w:t xml:space="preserve">  国资处可就供应商的质疑事项进行调查取证，有关当事人应当如实反映情况和提供有关材料。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第十九条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供应商对评审过程、中标或者成交结果提出质疑的，国资处、采购代理机构可以组织原评标委员会、谈判小组、询价小组或者磋商小组协助答复质疑。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第二十条</w:t>
      </w:r>
      <w:r>
        <w:rPr>
          <w:rFonts w:hint="eastAsia" w:ascii="仿宋_GB2312" w:eastAsia="仿宋_GB2312"/>
          <w:color w:val="333333"/>
          <w:sz w:val="30"/>
          <w:szCs w:val="30"/>
        </w:rPr>
        <w:t xml:space="preserve">  采购评审人员应当积极配合国资处答复质疑供应商提出的质疑。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第二十一条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质疑答复应当包括下列内容：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（一）质疑供应商的姓名或者名称；</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（二）收到质疑函的日期、质疑项目名称及编号；</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（三）质疑事项、质疑答复的具体内容、事实依据和法律及相关政策规定等依据；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（四）告知质疑供应商依法投诉的权利；</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（五）质疑答复人名称；</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（六）答复质疑的日期。</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质疑答复的内容不得涉及商业秘密。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（一）对采购文件提出的质疑，依法通过澄清或者修改可以继续开展采购活动的，澄清或者修改采购文件后继续开展采购活动；否则应当修改采购文件后重新开展采购活动。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质疑答复导致中标、成交结果改变的，国资处应当将有关情况书面报告监察处。</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第四章  投诉的提起</w:t>
      </w:r>
    </w:p>
    <w:p>
      <w:pPr>
        <w:spacing w:line="560" w:lineRule="exact"/>
        <w:ind w:firstLine="600" w:firstLineChars="200"/>
        <w:rPr>
          <w:rFonts w:ascii="仿宋_GB2312" w:eastAsia="仿宋_GB2312" w:cs="宋体" w:hAnsiTheme="minorEastAsia"/>
          <w:color w:val="333333"/>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eastAsia="仿宋_GB2312"/>
          <w:b/>
          <w:color w:val="333333"/>
          <w:sz w:val="30"/>
          <w:szCs w:val="30"/>
        </w:rPr>
        <w:t>第二十三条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质疑供应商对国资处、采购代理机构的答复不满意，或者</w:t>
      </w:r>
      <w:bookmarkStart w:id="143" w:name="OLE_LINK78"/>
      <w:bookmarkStart w:id="144" w:name="OLE_LINK77"/>
      <w:bookmarkStart w:id="145" w:name="OLE_LINK76"/>
      <w:r>
        <w:rPr>
          <w:rFonts w:hint="eastAsia" w:ascii="仿宋_GB2312" w:hAnsi="微软雅黑" w:eastAsia="仿宋_GB2312"/>
          <w:color w:val="3E3E3E"/>
          <w:sz w:val="30"/>
          <w:szCs w:val="30"/>
        </w:rPr>
        <w:t>国资处、采购代理机构</w:t>
      </w:r>
      <w:bookmarkEnd w:id="143"/>
      <w:bookmarkEnd w:id="144"/>
      <w:bookmarkEnd w:id="145"/>
      <w:r>
        <w:rPr>
          <w:rFonts w:hint="eastAsia" w:ascii="仿宋_GB2312" w:hAnsi="微软雅黑" w:eastAsia="仿宋_GB2312"/>
          <w:color w:val="3E3E3E"/>
          <w:sz w:val="30"/>
          <w:szCs w:val="30"/>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color w:val="333333"/>
          <w:sz w:val="30"/>
          <w:szCs w:val="30"/>
        </w:rPr>
        <w:t> </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第二十四条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投诉人投诉时,应当提交投诉书和必要的证明材料。投诉书应当包括下列内容：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（一）投诉人和被投诉人的姓名或者名称、投诉人的通讯地址、邮编、联系人及联系电话；</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（二）质疑和质疑答复情况说明及相关证明材料；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（三）具体、明确的投诉事项和与投诉事项相关的投诉请求；</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（六）提起投诉的日期。</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投诉人为自然人的，应当由本人签字；投诉人为法人或者其他组织的，应当由法定代表人、主要负责人，或者其授权代表签字或者盖章，并加盖公章。</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第二十五条</w:t>
      </w:r>
      <w:r>
        <w:rPr>
          <w:rFonts w:hint="eastAsia" w:ascii="仿宋_GB2312" w:hAnsi="微软雅黑" w:eastAsia="仿宋_GB2312"/>
          <w:color w:val="3E3E3E"/>
          <w:sz w:val="30"/>
          <w:szCs w:val="30"/>
        </w:rPr>
        <w:t xml:space="preserve">  投诉人应当根据本办法第七条规定的信息内容，并按照其规定的方式提起投诉。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投诉人提起投诉应当符合下列条件：</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（一）提起投诉前已依法、依规进行质疑；</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（二）投诉书内容符合本办法的规定；</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（三）在投诉有效期限内提起投诉；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（四）同一投诉事项未经投诉处理。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第二十六条</w:t>
      </w:r>
      <w:r>
        <w:rPr>
          <w:rFonts w:hint="eastAsia" w:ascii="仿宋_GB2312" w:hAnsi="微软雅黑" w:eastAsia="仿宋_GB2312"/>
          <w:color w:val="3E3E3E"/>
          <w:sz w:val="30"/>
          <w:szCs w:val="30"/>
        </w:rPr>
        <w:t xml:space="preserve">  供应商投诉的事项不得超出已质疑事项的范围，但基于质疑答复内容提出的投诉事项除外。</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33"/>
          <w:rFonts w:hint="eastAsia" w:ascii="黑体" w:hAnsi="黑体" w:eastAsia="黑体"/>
          <w:color w:val="3E3E3E"/>
          <w:sz w:val="30"/>
          <w:szCs w:val="30"/>
        </w:rPr>
        <w:t xml:space="preserve">第五章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投诉的处理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第二十七条</w:t>
      </w:r>
      <w:r>
        <w:rPr>
          <w:rFonts w:hint="eastAsia" w:ascii="仿宋_GB2312" w:hAnsi="微软雅黑" w:eastAsia="仿宋_GB2312"/>
          <w:color w:val="3E3E3E"/>
          <w:sz w:val="30"/>
          <w:szCs w:val="30"/>
        </w:rPr>
        <w:t xml:space="preserve">  监察处收到投诉书后，应当在5个工作日内进行审查，审查后按照下列情况处理：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（二）投诉不符合本办法第二十五条规定条件的，应当在3个工作日内书面告知投诉人不予受理，并说明理由。</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（三）投诉不属于本部门管辖的，应当在3个工作日内书面告知投诉人向有管辖权的部门提起投诉。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第二十八条</w:t>
      </w:r>
      <w:r>
        <w:rPr>
          <w:rFonts w:hint="eastAsia" w:ascii="仿宋_GB2312" w:hAnsi="微软雅黑" w:eastAsia="仿宋_GB2312"/>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第二十九条</w:t>
      </w:r>
      <w:r>
        <w:rPr>
          <w:rFonts w:hint="eastAsia" w:ascii="仿宋_GB2312" w:hAnsi="微软雅黑" w:eastAsia="仿宋_GB2312"/>
          <w:color w:val="3E3E3E"/>
          <w:sz w:val="30"/>
          <w:szCs w:val="30"/>
        </w:rPr>
        <w:t xml:space="preserve">  监察处处理投诉事项原则上采用书面审查的方式。监察处认为有必要时，可以进行调查取证或者组织质证。</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第三十条</w:t>
      </w:r>
      <w:r>
        <w:rPr>
          <w:rFonts w:hint="eastAsia" w:ascii="仿宋_GB2312" w:hAnsi="微软雅黑" w:eastAsia="仿宋_GB2312"/>
          <w:color w:val="3E3E3E"/>
          <w:sz w:val="30"/>
          <w:szCs w:val="30"/>
        </w:rPr>
        <w:t xml:space="preserve">  监察处可以根据法律、法规规定或者职责权限，委托相关单位或者第三方开展调查取证、检验、检测、鉴定。</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质证应当通知相关当事人到场，并制作质证笔录。质证笔录应当由当事人签字确认。</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第三十一条</w:t>
      </w:r>
      <w:r>
        <w:rPr>
          <w:rFonts w:hint="eastAsia" w:ascii="仿宋_GB2312" w:hAnsi="微软雅黑" w:eastAsia="仿宋_GB2312"/>
          <w:color w:val="3E3E3E"/>
          <w:sz w:val="30"/>
          <w:szCs w:val="30"/>
        </w:rPr>
        <w:t xml:space="preserve">  监察处依法、依规进行调查取证时，投诉人、国资处以及与投诉事项有关的部门及人员应当如实反映情况，并提供监察处所需要的相关材料。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第三十二条</w:t>
      </w:r>
      <w:r>
        <w:rPr>
          <w:rFonts w:hint="eastAsia" w:ascii="仿宋_GB2312" w:hAnsi="微软雅黑" w:eastAsia="仿宋_GB2312"/>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第三十三条</w:t>
      </w:r>
      <w:r>
        <w:rPr>
          <w:rFonts w:hint="eastAsia" w:ascii="仿宋_GB2312" w:hAnsi="微软雅黑" w:eastAsia="仿宋_GB2312"/>
          <w:color w:val="3E3E3E"/>
          <w:sz w:val="30"/>
          <w:szCs w:val="30"/>
        </w:rPr>
        <w:t xml:space="preserve">  监察处应当自收到投诉之日起30个工作日内，对投诉事项作出处理决定。</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第三十四条</w:t>
      </w:r>
      <w:r>
        <w:rPr>
          <w:rFonts w:hint="eastAsia" w:ascii="仿宋_GB2312" w:hAnsi="微软雅黑" w:eastAsia="仿宋_GB2312"/>
          <w:color w:val="3E3E3E"/>
          <w:sz w:val="30"/>
          <w:szCs w:val="30"/>
        </w:rPr>
        <w:t xml:space="preserve">  监察处处理投诉事项，需要检验、检测、鉴定、专家评审以及需要投诉人补正材料的，所需时间不计算在投诉处理期限内。</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前款所称所需时间，是指监察处向相关单位、第三方、投诉人发出相关文书、补正通知之日至收到相关反馈文书或材料之日。</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监察处向相关单位、第三方开展检验、检测、鉴定、专家评审的，应当将所需时间告知投诉人。</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第三十五条</w:t>
      </w:r>
      <w:r>
        <w:rPr>
          <w:rFonts w:hint="eastAsia" w:ascii="仿宋_GB2312" w:hAnsi="微软雅黑" w:eastAsia="仿宋_GB2312"/>
          <w:color w:val="3E3E3E"/>
          <w:sz w:val="30"/>
          <w:szCs w:val="30"/>
        </w:rPr>
        <w:t xml:space="preserve">  监察处在处理投诉事项期间，可以视具体情况书面通知国资处暂停采购活动，暂停采购活动时间最长不得超过30日。</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国资处收到暂停采购活动通知后应当立即中止采购活动，在法定的暂停期限结束前或者监察处发出恢复采购活动通知前，不得进行该项采购活动。</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第三十六条</w:t>
      </w:r>
      <w:r>
        <w:rPr>
          <w:rFonts w:hint="eastAsia" w:ascii="仿宋_GB2312" w:hAnsi="微软雅黑" w:eastAsia="仿宋_GB2312"/>
          <w:color w:val="3E3E3E"/>
          <w:sz w:val="30"/>
          <w:szCs w:val="30"/>
        </w:rPr>
        <w:t xml:space="preserve">  投诉处理过程中，有下列情形之一的，监察处应当驳回投诉：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（一）受理后发现投诉不符合受理条件；</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（二）投诉事项缺乏事实依据，投诉事项不成立；</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（三）投诉人捏造事实或者提供虚假材料；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（四）投诉人以非法手段取得证明材料。证据来源的合法性存在明显疑问，投诉人无法证明其取得方式合法的，视为以非法手段取得证明材料。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第三十七条</w:t>
      </w:r>
      <w:r>
        <w:rPr>
          <w:rFonts w:hint="eastAsia" w:ascii="仿宋_GB2312" w:hAnsi="微软雅黑" w:eastAsia="仿宋_GB2312"/>
          <w:color w:val="3E3E3E"/>
          <w:sz w:val="30"/>
          <w:szCs w:val="30"/>
        </w:rPr>
        <w:t xml:space="preserve">  监察处受理投诉后,投诉人书面申请撤回投诉的，监察处应当终止投诉处理程序，并书面告知相关当事人。</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第三十八条</w:t>
      </w:r>
      <w:r>
        <w:rPr>
          <w:rFonts w:hint="eastAsia" w:ascii="仿宋_GB2312" w:hAnsi="微软雅黑" w:eastAsia="仿宋_GB2312"/>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（一）未确定中标或者成交供应商的，责令重新开展采购活动。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第三十九条</w:t>
      </w:r>
      <w:bookmarkStart w:id="146" w:name="OLE_LINK11"/>
      <w:bookmarkStart w:id="147" w:name="OLE_LINK12"/>
      <w:bookmarkStart w:id="148" w:name="OLE_LINK13"/>
      <w:r>
        <w:rPr>
          <w:rFonts w:hint="eastAsia" w:ascii="仿宋_GB2312" w:hAnsi="微软雅黑" w:eastAsia="仿宋_GB2312"/>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bookmarkStart w:id="149" w:name="OLE_LINK15"/>
      <w:bookmarkStart w:id="150" w:name="OLE_LINK14"/>
      <w:r>
        <w:rPr>
          <w:rFonts w:hint="eastAsia" w:ascii="仿宋_GB2312" w:hAnsi="微软雅黑" w:eastAsia="仿宋_GB2312"/>
          <w:color w:val="3E3E3E"/>
          <w:sz w:val="30"/>
          <w:szCs w:val="30"/>
        </w:rPr>
        <w:t>（一）未确定中标或者成交供应商的，责令重新开展采购活动。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bookmarkEnd w:id="149"/>
    <w:bookmarkEnd w:id="150"/>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投诉人对废标行为提起的投诉事项成立的，监察处应当认定废标行为无效。</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第四十条</w:t>
      </w:r>
      <w:r>
        <w:rPr>
          <w:rFonts w:hint="eastAsia" w:ascii="仿宋_GB2312" w:hAnsi="微软雅黑" w:eastAsia="仿宋_GB2312"/>
          <w:color w:val="3E3E3E"/>
          <w:sz w:val="30"/>
          <w:szCs w:val="30"/>
        </w:rPr>
        <w:t xml:space="preserve">  监察处作出处理决定，应当制作投诉处理决定书，并加盖公章。投诉处理决定书应当包括下列内容：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（一）投诉人和被投诉人的姓名或者名称、通讯地址等；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（二）处理决定查明的事实和相关依据，具体处理决定和法律依据；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（三）告知相关当事人申请行政复议的权利、行政复议机关和行政复议申请期限，以及提起行政诉讼的权利和起诉期限；</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（四）作出处理决定的日期。</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第四十一条</w:t>
      </w:r>
      <w:r>
        <w:rPr>
          <w:rFonts w:hint="eastAsia" w:ascii="仿宋_GB2312" w:hAnsi="微软雅黑" w:eastAsia="仿宋_GB2312"/>
          <w:color w:val="3E3E3E"/>
          <w:sz w:val="30"/>
          <w:szCs w:val="30"/>
        </w:rPr>
        <w:t xml:space="preserve">  监察处应当将投诉处理决定书送达投诉人和与投诉事项有关的当事人，并及时将投诉处理结果在校园网公告。</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第四十二条</w:t>
      </w:r>
      <w:r>
        <w:rPr>
          <w:rFonts w:hint="eastAsia" w:ascii="仿宋_GB2312" w:hAnsi="微软雅黑" w:eastAsia="仿宋_GB2312"/>
          <w:color w:val="3E3E3E"/>
          <w:sz w:val="30"/>
          <w:szCs w:val="30"/>
        </w:rPr>
        <w:t xml:space="preserve">  监察处应当建立投诉处理档案管理制度。</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Style w:val="33"/>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33"/>
          <w:rFonts w:hint="eastAsia" w:ascii="黑体" w:hAnsi="黑体" w:eastAsia="黑体"/>
          <w:color w:val="3E3E3E"/>
          <w:sz w:val="30"/>
          <w:szCs w:val="30"/>
        </w:rPr>
        <w:t xml:space="preserve">第六章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法律责任</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第四十三条</w:t>
      </w:r>
      <w:r>
        <w:rPr>
          <w:rFonts w:hint="eastAsia" w:ascii="仿宋_GB2312" w:hAnsi="微软雅黑" w:eastAsia="仿宋_GB2312"/>
          <w:color w:val="3E3E3E"/>
          <w:sz w:val="30"/>
          <w:szCs w:val="30"/>
        </w:rPr>
        <w:t xml:space="preserve">  国资处、采购代理机构有下列情形之一的，由监察处责令限期改正；情节严重的，给予警告，对直接负责的主管人员和其他直接责任人员依法依规追究相应责任：</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（一）拒收质疑供应商在质疑期内发出的质疑函；</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（二）对质疑不予答复或者答复与事实明显不符，并不能作出合理说明；</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（三）拒绝配合监察处处理投诉事宜。</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第四十四条</w:t>
      </w:r>
      <w:r>
        <w:rPr>
          <w:rFonts w:hint="eastAsia" w:ascii="仿宋_GB2312" w:hAnsi="微软雅黑" w:eastAsia="仿宋_GB2312"/>
          <w:color w:val="3E3E3E"/>
          <w:sz w:val="30"/>
          <w:szCs w:val="30"/>
        </w:rPr>
        <w:t xml:space="preserve">  投诉人在学校采购活动中2年内三次以上投诉查无实据的，列入不良行为记录名单。</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投诉人有下列行为之一的，属于虚假、恶意投诉，由国资处、监察处列入不良行为记录名单，禁止其1至3年内参加学校采购活动：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（一）捏造事实;</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（二）提供虚假材料;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（三）以非法手段取得证明材料。证据来源的合法性存在明显疑问，投诉人无法证明其取得方式合法的，视为以非法手段取得证明材料。</w:t>
      </w:r>
    </w:p>
    <w:p>
      <w:pPr>
        <w:spacing w:line="560" w:lineRule="exact"/>
        <w:ind w:firstLine="602" w:firstLineChars="200"/>
        <w:rPr>
          <w:rFonts w:ascii="仿宋_GB2312" w:hAnsi="宋体" w:eastAsia="仿宋_GB2312" w:cs="宋体"/>
          <w:color w:val="333333"/>
          <w:sz w:val="30"/>
          <w:szCs w:val="30"/>
        </w:rPr>
      </w:pPr>
      <w:r>
        <w:rPr>
          <w:rStyle w:val="33"/>
          <w:rFonts w:hint="eastAsia" w:ascii="仿宋_GB2312" w:hAnsi="微软雅黑" w:eastAsia="仿宋_GB2312"/>
          <w:color w:val="3E3E3E"/>
          <w:sz w:val="30"/>
          <w:szCs w:val="30"/>
        </w:rPr>
        <w:t xml:space="preserve">第四十五条  </w:t>
      </w:r>
      <w:r>
        <w:rPr>
          <w:rFonts w:hint="eastAsia" w:ascii="仿宋_GB2312" w:hAnsi="宋体" w:eastAsia="仿宋_GB2312" w:cs="宋体"/>
          <w:color w:val="333333"/>
          <w:sz w:val="30"/>
          <w:szCs w:val="30"/>
        </w:rPr>
        <w:t>国资处在处理质疑过程中，发现采购当事人有违法违规行为的，应在规定的权限范围内及时给予处理；无权处理的，应移交有关部门依法依规处理。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第四十六条</w:t>
      </w:r>
      <w:r>
        <w:rPr>
          <w:rFonts w:hint="eastAsia" w:ascii="仿宋_GB2312" w:hAnsi="宋体" w:eastAsia="仿宋_GB2312" w:cs="宋体"/>
          <w:color w:val="333333"/>
          <w:sz w:val="30"/>
          <w:szCs w:val="30"/>
        </w:rPr>
        <w:t xml:space="preserve">  国资处和监察处的工作人员在处理质疑、投诉过程中违反本办法规定及存在滥用职权、玩忽职守、徇私舞弊等行为的，学校将依法依</w:t>
      </w:r>
      <w:bookmarkStart w:id="151" w:name="OLE_LINK17"/>
      <w:bookmarkStart w:id="152" w:name="OLE_LINK16"/>
      <w:bookmarkStart w:id="153" w:name="OLE_LINK18"/>
      <w:r>
        <w:rPr>
          <w:rFonts w:hint="eastAsia" w:ascii="仿宋_GB2312" w:hAnsi="宋体" w:eastAsia="仿宋_GB2312" w:cs="宋体"/>
          <w:color w:val="333333"/>
          <w:sz w:val="30"/>
          <w:szCs w:val="30"/>
        </w:rPr>
        <w:t>规</w:t>
      </w:r>
      <w:bookmarkEnd w:id="151"/>
      <w:bookmarkEnd w:id="152"/>
      <w:bookmarkEnd w:id="153"/>
      <w:r>
        <w:rPr>
          <w:rFonts w:hint="eastAsia" w:ascii="仿宋_GB2312" w:hAnsi="宋体" w:eastAsia="仿宋_GB2312" w:cs="宋体"/>
          <w:color w:val="333333"/>
          <w:sz w:val="30"/>
          <w:szCs w:val="30"/>
        </w:rPr>
        <w:t>追究其相应责任。</w:t>
      </w:r>
    </w:p>
    <w:p>
      <w:pPr>
        <w:pStyle w:val="26"/>
        <w:shd w:val="clear" w:color="auto" w:fill="FFFFFF"/>
        <w:adjustRightInd w:val="0"/>
        <w:snapToGrid w:val="0"/>
        <w:spacing w:before="0" w:beforeAutospacing="0" w:after="0" w:afterAutospacing="0" w:line="560" w:lineRule="exact"/>
        <w:ind w:firstLine="602" w:firstLineChars="200"/>
        <w:jc w:val="both"/>
        <w:rPr>
          <w:rStyle w:val="33"/>
          <w:rFonts w:ascii="仿宋_GB2312" w:hAnsi="微软雅黑" w:eastAsia="仿宋_GB2312"/>
          <w:color w:val="3E3E3E"/>
          <w:sz w:val="30"/>
          <w:szCs w:val="30"/>
        </w:rPr>
      </w:pPr>
      <w:r>
        <w:rPr>
          <w:rStyle w:val="33"/>
          <w:rFonts w:hint="eastAsia" w:ascii="仿宋_GB2312" w:hAnsi="微软雅黑" w:eastAsia="仿宋_GB2312"/>
          <w:color w:val="3E3E3E"/>
          <w:sz w:val="30"/>
          <w:szCs w:val="30"/>
        </w:rPr>
        <w:t>　</w:t>
      </w:r>
    </w:p>
    <w:p>
      <w:pPr>
        <w:pStyle w:val="26"/>
        <w:shd w:val="clear" w:color="auto" w:fill="FFFFFF"/>
        <w:adjustRightInd w:val="0"/>
        <w:snapToGrid w:val="0"/>
        <w:spacing w:before="0" w:beforeAutospacing="0" w:after="0" w:afterAutospacing="0" w:line="560" w:lineRule="exact"/>
        <w:jc w:val="center"/>
        <w:rPr>
          <w:rStyle w:val="33"/>
          <w:rFonts w:ascii="黑体" w:hAnsi="黑体" w:eastAsia="黑体"/>
          <w:color w:val="3E3E3E"/>
          <w:sz w:val="30"/>
          <w:szCs w:val="30"/>
        </w:rPr>
      </w:pPr>
      <w:r>
        <w:rPr>
          <w:rStyle w:val="33"/>
          <w:rFonts w:hint="eastAsia" w:ascii="黑体" w:hAnsi="黑体" w:eastAsia="黑体"/>
          <w:color w:val="3E3E3E"/>
          <w:sz w:val="30"/>
          <w:szCs w:val="30"/>
        </w:rPr>
        <w:t xml:space="preserve">第七章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附则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第四十七条</w:t>
      </w:r>
      <w:r>
        <w:rPr>
          <w:rFonts w:hint="eastAsia" w:ascii="仿宋_GB2312" w:hAnsi="微软雅黑" w:eastAsia="仿宋_GB2312"/>
          <w:color w:val="3E3E3E"/>
          <w:sz w:val="30"/>
          <w:szCs w:val="30"/>
        </w:rPr>
        <w:t xml:space="preserve">  质疑函和投诉书应当使用中文。质疑和投诉文本采用我校制定的范本。</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第四十八条</w:t>
      </w:r>
      <w:r>
        <w:rPr>
          <w:rFonts w:hint="eastAsia" w:ascii="仿宋_GB2312" w:hAnsi="微软雅黑" w:eastAsia="仿宋_GB2312"/>
          <w:color w:val="3E3E3E"/>
          <w:sz w:val="30"/>
          <w:szCs w:val="30"/>
        </w:rPr>
        <w:t xml:space="preserve">  本办法由学校国有资产管理处负责解释。</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 xml:space="preserve">第四十九条  </w:t>
      </w:r>
      <w:r>
        <w:rPr>
          <w:rFonts w:hint="eastAsia" w:ascii="仿宋_GB2312" w:hAnsi="微软雅黑" w:eastAsia="仿宋_GB2312"/>
          <w:color w:val="3E3E3E"/>
          <w:sz w:val="30"/>
          <w:szCs w:val="30"/>
        </w:rPr>
        <w:t>本办法自发布之日起施行。</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rPr>
          <w:szCs w:val="28"/>
        </w:rPr>
      </w:pPr>
      <w:r>
        <w:rPr>
          <w:szCs w:val="28"/>
        </w:rPr>
        <w:br w:type="page"/>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240" w:lineRule="atLeast"/>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spacing w:line="240" w:lineRule="atLeast"/>
        <w:rPr>
          <w:rFonts w:ascii="仿宋_GB2312" w:eastAsia="仿宋_GB2312"/>
          <w:sz w:val="30"/>
          <w:szCs w:val="30"/>
        </w:rPr>
      </w:pPr>
      <w:r>
        <w:rPr>
          <w:rFonts w:hint="eastAsia" w:ascii="仿宋_GB2312" w:eastAsia="仿宋_GB2312"/>
          <w:sz w:val="30"/>
          <w:szCs w:val="30"/>
        </w:rPr>
        <w:t xml:space="preserve">签字(签章)：                   公章：                      </w:t>
      </w:r>
    </w:p>
    <w:p>
      <w:pPr>
        <w:spacing w:line="240" w:lineRule="atLeast"/>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附件3：</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adjustRightInd w:val="0"/>
        <w:snapToGrid w:val="0"/>
        <w:spacing w:line="360" w:lineRule="auto"/>
        <w:jc w:val="left"/>
        <w:rPr>
          <w:rFonts w:ascii="宋体" w:hAnsi="宋体" w:cs="宋体"/>
          <w:b/>
          <w:bCs/>
          <w:color w:val="000000"/>
          <w:kern w:val="36"/>
          <w:sz w:val="24"/>
          <w:szCs w:val="24"/>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rPr>
          <w:rFonts w:ascii="仿宋_GB2312"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21"/>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CEA7E"/>
    <w:multiLevelType w:val="singleLevel"/>
    <w:tmpl w:val="C95CEA7E"/>
    <w:lvl w:ilvl="0" w:tentative="0">
      <w:start w:val="1"/>
      <w:numFmt w:val="decimal"/>
      <w:suff w:val="nothing"/>
      <w:lvlText w:val="（%1）"/>
      <w:lvlJc w:val="left"/>
    </w:lvl>
  </w:abstractNum>
  <w:abstractNum w:abstractNumId="1">
    <w:nsid w:val="D11A2864"/>
    <w:multiLevelType w:val="singleLevel"/>
    <w:tmpl w:val="D11A2864"/>
    <w:lvl w:ilvl="0" w:tentative="0">
      <w:start w:val="1"/>
      <w:numFmt w:val="decimal"/>
      <w:suff w:val="nothing"/>
      <w:lvlText w:val="%1、"/>
      <w:lvlJc w:val="left"/>
    </w:lvl>
  </w:abstractNum>
  <w:abstractNum w:abstractNumId="2">
    <w:nsid w:val="EF7D2749"/>
    <w:multiLevelType w:val="singleLevel"/>
    <w:tmpl w:val="EF7D2749"/>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186166D"/>
    <w:multiLevelType w:val="multilevel"/>
    <w:tmpl w:val="0186166D"/>
    <w:lvl w:ilvl="0" w:tentative="0">
      <w:start w:val="1"/>
      <w:numFmt w:val="decimal"/>
      <w:lvlText w:val="%1."/>
      <w:lvlJc w:val="left"/>
      <w:pPr>
        <w:tabs>
          <w:tab w:val="left" w:pos="480"/>
        </w:tabs>
        <w:ind w:left="480" w:hanging="360"/>
      </w:pPr>
      <w:rPr>
        <w:rFonts w:hint="default" w:cs="Times New Roman"/>
      </w:rPr>
    </w:lvl>
    <w:lvl w:ilvl="1" w:tentative="0">
      <w:start w:val="1"/>
      <w:numFmt w:val="lowerLetter"/>
      <w:lvlText w:val="%2)"/>
      <w:lvlJc w:val="left"/>
      <w:pPr>
        <w:tabs>
          <w:tab w:val="left" w:pos="960"/>
        </w:tabs>
        <w:ind w:left="960" w:hanging="420"/>
      </w:pPr>
      <w:rPr>
        <w:rFonts w:cs="Times New Roman"/>
      </w:rPr>
    </w:lvl>
    <w:lvl w:ilvl="2" w:tentative="0">
      <w:start w:val="1"/>
      <w:numFmt w:val="lowerRoman"/>
      <w:lvlText w:val="%3."/>
      <w:lvlJc w:val="right"/>
      <w:pPr>
        <w:tabs>
          <w:tab w:val="left" w:pos="1380"/>
        </w:tabs>
        <w:ind w:left="1380" w:hanging="4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1"/>
      <w:numFmt w:val="lowerLetter"/>
      <w:lvlText w:val="%5)"/>
      <w:lvlJc w:val="left"/>
      <w:pPr>
        <w:tabs>
          <w:tab w:val="left" w:pos="2220"/>
        </w:tabs>
        <w:ind w:left="2220" w:hanging="420"/>
      </w:pPr>
      <w:rPr>
        <w:rFonts w:cs="Times New Roman"/>
      </w:rPr>
    </w:lvl>
    <w:lvl w:ilvl="5" w:tentative="0">
      <w:start w:val="1"/>
      <w:numFmt w:val="lowerRoman"/>
      <w:lvlText w:val="%6."/>
      <w:lvlJc w:val="right"/>
      <w:pPr>
        <w:tabs>
          <w:tab w:val="left" w:pos="2640"/>
        </w:tabs>
        <w:ind w:left="2640" w:hanging="420"/>
      </w:pPr>
      <w:rPr>
        <w:rFonts w:cs="Times New Roman"/>
      </w:rPr>
    </w:lvl>
    <w:lvl w:ilvl="6" w:tentative="0">
      <w:start w:val="1"/>
      <w:numFmt w:val="decimal"/>
      <w:lvlText w:val="%7."/>
      <w:lvlJc w:val="left"/>
      <w:pPr>
        <w:tabs>
          <w:tab w:val="left" w:pos="3060"/>
        </w:tabs>
        <w:ind w:left="3060" w:hanging="420"/>
      </w:pPr>
      <w:rPr>
        <w:rFonts w:cs="Times New Roman"/>
      </w:rPr>
    </w:lvl>
    <w:lvl w:ilvl="7" w:tentative="0">
      <w:start w:val="1"/>
      <w:numFmt w:val="lowerLetter"/>
      <w:lvlText w:val="%8)"/>
      <w:lvlJc w:val="left"/>
      <w:pPr>
        <w:tabs>
          <w:tab w:val="left" w:pos="3480"/>
        </w:tabs>
        <w:ind w:left="3480" w:hanging="420"/>
      </w:pPr>
      <w:rPr>
        <w:rFonts w:cs="Times New Roman"/>
      </w:rPr>
    </w:lvl>
    <w:lvl w:ilvl="8" w:tentative="0">
      <w:start w:val="1"/>
      <w:numFmt w:val="lowerRoman"/>
      <w:lvlText w:val="%9."/>
      <w:lvlJc w:val="right"/>
      <w:pPr>
        <w:tabs>
          <w:tab w:val="left" w:pos="3900"/>
        </w:tabs>
        <w:ind w:left="3900" w:hanging="420"/>
      </w:pPr>
      <w:rPr>
        <w:rFonts w:cs="Times New Roman"/>
      </w:rPr>
    </w:lvl>
  </w:abstractNum>
  <w:abstractNum w:abstractNumId="5">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1"/>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6">
    <w:nsid w:val="2D9FECA8"/>
    <w:multiLevelType w:val="singleLevel"/>
    <w:tmpl w:val="2D9FECA8"/>
    <w:lvl w:ilvl="0" w:tentative="0">
      <w:start w:val="1"/>
      <w:numFmt w:val="decimal"/>
      <w:suff w:val="nothing"/>
      <w:lvlText w:val="（%1）"/>
      <w:lvlJc w:val="left"/>
    </w:lvl>
  </w:abstractNum>
  <w:abstractNum w:abstractNumId="7">
    <w:nsid w:val="42AC718A"/>
    <w:multiLevelType w:val="singleLevel"/>
    <w:tmpl w:val="42AC718A"/>
    <w:lvl w:ilvl="0" w:tentative="0">
      <w:start w:val="1"/>
      <w:numFmt w:val="decimal"/>
      <w:suff w:val="nothing"/>
      <w:lvlText w:val="（%1）"/>
      <w:lvlJc w:val="left"/>
    </w:lvl>
  </w:abstractNum>
  <w:abstractNum w:abstractNumId="8">
    <w:nsid w:val="524D1167"/>
    <w:multiLevelType w:val="multilevel"/>
    <w:tmpl w:val="524D1167"/>
    <w:lvl w:ilvl="0" w:tentative="0">
      <w:start w:val="1"/>
      <w:numFmt w:val="chineseCountingThousand"/>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9E0D8C"/>
    <w:multiLevelType w:val="multilevel"/>
    <w:tmpl w:val="5F9E0D8C"/>
    <w:lvl w:ilvl="0" w:tentative="0">
      <w:start w:val="1"/>
      <w:numFmt w:val="decimal"/>
      <w:lvlText w:val="%1."/>
      <w:lvlJc w:val="left"/>
      <w:pPr>
        <w:tabs>
          <w:tab w:val="left" w:pos="465"/>
        </w:tabs>
        <w:ind w:left="465"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7A8EF6AB"/>
    <w:multiLevelType w:val="singleLevel"/>
    <w:tmpl w:val="7A8EF6AB"/>
    <w:lvl w:ilvl="0" w:tentative="0">
      <w:start w:val="1"/>
      <w:numFmt w:val="decimal"/>
      <w:lvlText w:val="%1."/>
      <w:lvlJc w:val="left"/>
      <w:pPr>
        <w:tabs>
          <w:tab w:val="left" w:pos="312"/>
        </w:tabs>
      </w:pPr>
    </w:lvl>
  </w:abstractNum>
  <w:num w:numId="1">
    <w:abstractNumId w:val="5"/>
  </w:num>
  <w:num w:numId="2">
    <w:abstractNumId w:val="3"/>
  </w:num>
  <w:num w:numId="3">
    <w:abstractNumId w:val="8"/>
  </w:num>
  <w:num w:numId="4">
    <w:abstractNumId w:val="9"/>
  </w:num>
  <w:num w:numId="5">
    <w:abstractNumId w:val="4"/>
  </w:num>
  <w:num w:numId="6">
    <w:abstractNumId w:val="1"/>
  </w:num>
  <w:num w:numId="7">
    <w:abstractNumId w:val="6"/>
  </w:num>
  <w:num w:numId="8">
    <w:abstractNumId w:val="0"/>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jVhZDhjNDEyMDY4NGU5ZjNmOGIyZWI3MmRhMzkifQ=="/>
  </w:docVars>
  <w:rsids>
    <w:rsidRoot w:val="00BC5577"/>
    <w:rsid w:val="000014F5"/>
    <w:rsid w:val="00004A55"/>
    <w:rsid w:val="000145F1"/>
    <w:rsid w:val="00014639"/>
    <w:rsid w:val="00022591"/>
    <w:rsid w:val="00025CB9"/>
    <w:rsid w:val="00026701"/>
    <w:rsid w:val="00030FC8"/>
    <w:rsid w:val="00031DCB"/>
    <w:rsid w:val="00032FC9"/>
    <w:rsid w:val="000425B0"/>
    <w:rsid w:val="00043394"/>
    <w:rsid w:val="000445D9"/>
    <w:rsid w:val="0004477D"/>
    <w:rsid w:val="00046EB7"/>
    <w:rsid w:val="000525C6"/>
    <w:rsid w:val="00054A09"/>
    <w:rsid w:val="00054F96"/>
    <w:rsid w:val="00055D1C"/>
    <w:rsid w:val="00060CF9"/>
    <w:rsid w:val="00061743"/>
    <w:rsid w:val="000626B6"/>
    <w:rsid w:val="00066B1F"/>
    <w:rsid w:val="000727A1"/>
    <w:rsid w:val="00072A64"/>
    <w:rsid w:val="000732B5"/>
    <w:rsid w:val="00075398"/>
    <w:rsid w:val="000757B4"/>
    <w:rsid w:val="00077034"/>
    <w:rsid w:val="000816C4"/>
    <w:rsid w:val="00090287"/>
    <w:rsid w:val="00090B1B"/>
    <w:rsid w:val="00090EBA"/>
    <w:rsid w:val="00095E42"/>
    <w:rsid w:val="000A1BBD"/>
    <w:rsid w:val="000A590D"/>
    <w:rsid w:val="000A5CF1"/>
    <w:rsid w:val="000A5FFD"/>
    <w:rsid w:val="000B13EB"/>
    <w:rsid w:val="000B66FC"/>
    <w:rsid w:val="000B7D52"/>
    <w:rsid w:val="000C0658"/>
    <w:rsid w:val="000C3C34"/>
    <w:rsid w:val="000C7E70"/>
    <w:rsid w:val="000D11A5"/>
    <w:rsid w:val="000D190D"/>
    <w:rsid w:val="000D66E3"/>
    <w:rsid w:val="000D6D14"/>
    <w:rsid w:val="000D79EE"/>
    <w:rsid w:val="000E66A5"/>
    <w:rsid w:val="000E6A02"/>
    <w:rsid w:val="000E6DEB"/>
    <w:rsid w:val="000E7510"/>
    <w:rsid w:val="000F04C7"/>
    <w:rsid w:val="000F16BF"/>
    <w:rsid w:val="000F5E30"/>
    <w:rsid w:val="000F62AB"/>
    <w:rsid w:val="000F799E"/>
    <w:rsid w:val="001021A1"/>
    <w:rsid w:val="00105D6C"/>
    <w:rsid w:val="001072FF"/>
    <w:rsid w:val="00111607"/>
    <w:rsid w:val="0011443D"/>
    <w:rsid w:val="001153B1"/>
    <w:rsid w:val="00115B8E"/>
    <w:rsid w:val="001210DB"/>
    <w:rsid w:val="00121562"/>
    <w:rsid w:val="00122EE3"/>
    <w:rsid w:val="00126A97"/>
    <w:rsid w:val="00126E72"/>
    <w:rsid w:val="001275E1"/>
    <w:rsid w:val="00131147"/>
    <w:rsid w:val="00135FAA"/>
    <w:rsid w:val="0014716B"/>
    <w:rsid w:val="00150648"/>
    <w:rsid w:val="00150DCB"/>
    <w:rsid w:val="00151752"/>
    <w:rsid w:val="00151BAA"/>
    <w:rsid w:val="0015242D"/>
    <w:rsid w:val="001527A4"/>
    <w:rsid w:val="00161047"/>
    <w:rsid w:val="00161C25"/>
    <w:rsid w:val="00163E61"/>
    <w:rsid w:val="0016665E"/>
    <w:rsid w:val="00167162"/>
    <w:rsid w:val="001703B9"/>
    <w:rsid w:val="00171FB3"/>
    <w:rsid w:val="00173155"/>
    <w:rsid w:val="001731F7"/>
    <w:rsid w:val="001736DA"/>
    <w:rsid w:val="001751ED"/>
    <w:rsid w:val="001764F4"/>
    <w:rsid w:val="00180D64"/>
    <w:rsid w:val="00191473"/>
    <w:rsid w:val="00192F29"/>
    <w:rsid w:val="001934EA"/>
    <w:rsid w:val="001978D8"/>
    <w:rsid w:val="001A636E"/>
    <w:rsid w:val="001A671F"/>
    <w:rsid w:val="001A731C"/>
    <w:rsid w:val="001B0012"/>
    <w:rsid w:val="001B08C2"/>
    <w:rsid w:val="001B11E1"/>
    <w:rsid w:val="001B1AFB"/>
    <w:rsid w:val="001B37FC"/>
    <w:rsid w:val="001B3A1D"/>
    <w:rsid w:val="001B4CC1"/>
    <w:rsid w:val="001B6F48"/>
    <w:rsid w:val="001B7110"/>
    <w:rsid w:val="001B7B15"/>
    <w:rsid w:val="001C03AB"/>
    <w:rsid w:val="001C04E3"/>
    <w:rsid w:val="001C16BD"/>
    <w:rsid w:val="001C1B17"/>
    <w:rsid w:val="001C66E0"/>
    <w:rsid w:val="001C7A6B"/>
    <w:rsid w:val="001D64BE"/>
    <w:rsid w:val="001D6EB9"/>
    <w:rsid w:val="001D7421"/>
    <w:rsid w:val="001E2169"/>
    <w:rsid w:val="001E3594"/>
    <w:rsid w:val="001E5488"/>
    <w:rsid w:val="001E5522"/>
    <w:rsid w:val="001F0A36"/>
    <w:rsid w:val="001F15EA"/>
    <w:rsid w:val="001F55FC"/>
    <w:rsid w:val="001F7874"/>
    <w:rsid w:val="0020162E"/>
    <w:rsid w:val="00204069"/>
    <w:rsid w:val="0021074E"/>
    <w:rsid w:val="00212CF7"/>
    <w:rsid w:val="00213CAB"/>
    <w:rsid w:val="00213CDD"/>
    <w:rsid w:val="00214C57"/>
    <w:rsid w:val="00217CBD"/>
    <w:rsid w:val="00220CCC"/>
    <w:rsid w:val="00221E64"/>
    <w:rsid w:val="002228B8"/>
    <w:rsid w:val="00223A2F"/>
    <w:rsid w:val="00224A8E"/>
    <w:rsid w:val="002251A1"/>
    <w:rsid w:val="00226064"/>
    <w:rsid w:val="00227F35"/>
    <w:rsid w:val="00233A55"/>
    <w:rsid w:val="00233EF1"/>
    <w:rsid w:val="00235FFF"/>
    <w:rsid w:val="00236194"/>
    <w:rsid w:val="002374BA"/>
    <w:rsid w:val="00237B6A"/>
    <w:rsid w:val="00237DC5"/>
    <w:rsid w:val="00240CAC"/>
    <w:rsid w:val="00241599"/>
    <w:rsid w:val="00241677"/>
    <w:rsid w:val="00243FEB"/>
    <w:rsid w:val="0025265F"/>
    <w:rsid w:val="002529E2"/>
    <w:rsid w:val="00253084"/>
    <w:rsid w:val="002558D5"/>
    <w:rsid w:val="00257024"/>
    <w:rsid w:val="00261227"/>
    <w:rsid w:val="00262661"/>
    <w:rsid w:val="00263949"/>
    <w:rsid w:val="00264055"/>
    <w:rsid w:val="00266BD9"/>
    <w:rsid w:val="00270053"/>
    <w:rsid w:val="00270964"/>
    <w:rsid w:val="002715B7"/>
    <w:rsid w:val="002725F1"/>
    <w:rsid w:val="00272628"/>
    <w:rsid w:val="002736A2"/>
    <w:rsid w:val="002852CE"/>
    <w:rsid w:val="0029067B"/>
    <w:rsid w:val="00291AFF"/>
    <w:rsid w:val="00292163"/>
    <w:rsid w:val="0029257D"/>
    <w:rsid w:val="00294697"/>
    <w:rsid w:val="002976DF"/>
    <w:rsid w:val="002A1322"/>
    <w:rsid w:val="002A2845"/>
    <w:rsid w:val="002A3595"/>
    <w:rsid w:val="002A6B9D"/>
    <w:rsid w:val="002B1499"/>
    <w:rsid w:val="002B1C4F"/>
    <w:rsid w:val="002B4D61"/>
    <w:rsid w:val="002C36FB"/>
    <w:rsid w:val="002C5D27"/>
    <w:rsid w:val="002D0555"/>
    <w:rsid w:val="002D4FB0"/>
    <w:rsid w:val="002D6BE2"/>
    <w:rsid w:val="002D7725"/>
    <w:rsid w:val="002D7C26"/>
    <w:rsid w:val="002D7FBD"/>
    <w:rsid w:val="002E7FB5"/>
    <w:rsid w:val="002F174A"/>
    <w:rsid w:val="002F1934"/>
    <w:rsid w:val="002F1E13"/>
    <w:rsid w:val="002F3E1E"/>
    <w:rsid w:val="002F45F4"/>
    <w:rsid w:val="002F57FD"/>
    <w:rsid w:val="002F5830"/>
    <w:rsid w:val="002F6DCC"/>
    <w:rsid w:val="00300EED"/>
    <w:rsid w:val="0030165E"/>
    <w:rsid w:val="003019D6"/>
    <w:rsid w:val="00304B9A"/>
    <w:rsid w:val="00307681"/>
    <w:rsid w:val="003107D8"/>
    <w:rsid w:val="00310D20"/>
    <w:rsid w:val="00312989"/>
    <w:rsid w:val="0031766C"/>
    <w:rsid w:val="00321384"/>
    <w:rsid w:val="0032234C"/>
    <w:rsid w:val="003223EB"/>
    <w:rsid w:val="003256F3"/>
    <w:rsid w:val="00325EB1"/>
    <w:rsid w:val="003270D3"/>
    <w:rsid w:val="00330FD0"/>
    <w:rsid w:val="003328D1"/>
    <w:rsid w:val="0033644F"/>
    <w:rsid w:val="00340558"/>
    <w:rsid w:val="003414E3"/>
    <w:rsid w:val="00342A0C"/>
    <w:rsid w:val="00343FF0"/>
    <w:rsid w:val="00344EB5"/>
    <w:rsid w:val="00345405"/>
    <w:rsid w:val="00350F27"/>
    <w:rsid w:val="003518AA"/>
    <w:rsid w:val="0036161F"/>
    <w:rsid w:val="003672EF"/>
    <w:rsid w:val="00367922"/>
    <w:rsid w:val="003740E4"/>
    <w:rsid w:val="0038139D"/>
    <w:rsid w:val="00382799"/>
    <w:rsid w:val="00387CD7"/>
    <w:rsid w:val="00393058"/>
    <w:rsid w:val="003A3478"/>
    <w:rsid w:val="003A5CB2"/>
    <w:rsid w:val="003A6EB0"/>
    <w:rsid w:val="003A794F"/>
    <w:rsid w:val="003A7B30"/>
    <w:rsid w:val="003A7DF3"/>
    <w:rsid w:val="003B231B"/>
    <w:rsid w:val="003B5F36"/>
    <w:rsid w:val="003B62D5"/>
    <w:rsid w:val="003B6339"/>
    <w:rsid w:val="003C1878"/>
    <w:rsid w:val="003C6FA3"/>
    <w:rsid w:val="003D00A4"/>
    <w:rsid w:val="003D0DF6"/>
    <w:rsid w:val="003D1598"/>
    <w:rsid w:val="003D2C4E"/>
    <w:rsid w:val="003D3EE0"/>
    <w:rsid w:val="003D4A3B"/>
    <w:rsid w:val="003D4C36"/>
    <w:rsid w:val="003D5423"/>
    <w:rsid w:val="003E04D5"/>
    <w:rsid w:val="003E1105"/>
    <w:rsid w:val="003E3E04"/>
    <w:rsid w:val="003E4019"/>
    <w:rsid w:val="003E5908"/>
    <w:rsid w:val="003E5B36"/>
    <w:rsid w:val="003F2B42"/>
    <w:rsid w:val="003F623C"/>
    <w:rsid w:val="00402AB9"/>
    <w:rsid w:val="004059C7"/>
    <w:rsid w:val="00405AD5"/>
    <w:rsid w:val="0040675B"/>
    <w:rsid w:val="00406DFB"/>
    <w:rsid w:val="00414CB9"/>
    <w:rsid w:val="00416DBA"/>
    <w:rsid w:val="00420272"/>
    <w:rsid w:val="0042285D"/>
    <w:rsid w:val="004239F5"/>
    <w:rsid w:val="0042749B"/>
    <w:rsid w:val="0043033C"/>
    <w:rsid w:val="00431AF3"/>
    <w:rsid w:val="00434069"/>
    <w:rsid w:val="00434CBD"/>
    <w:rsid w:val="0044126C"/>
    <w:rsid w:val="00442B95"/>
    <w:rsid w:val="004434EB"/>
    <w:rsid w:val="004444D6"/>
    <w:rsid w:val="00444653"/>
    <w:rsid w:val="00447C90"/>
    <w:rsid w:val="00455DD0"/>
    <w:rsid w:val="0046384F"/>
    <w:rsid w:val="00463850"/>
    <w:rsid w:val="00471368"/>
    <w:rsid w:val="004730BD"/>
    <w:rsid w:val="004746C6"/>
    <w:rsid w:val="00474799"/>
    <w:rsid w:val="0047649E"/>
    <w:rsid w:val="004825E0"/>
    <w:rsid w:val="00486499"/>
    <w:rsid w:val="004868F5"/>
    <w:rsid w:val="00490572"/>
    <w:rsid w:val="004905D0"/>
    <w:rsid w:val="00490761"/>
    <w:rsid w:val="00496C5C"/>
    <w:rsid w:val="004A36EE"/>
    <w:rsid w:val="004A3880"/>
    <w:rsid w:val="004A3EE9"/>
    <w:rsid w:val="004A62A5"/>
    <w:rsid w:val="004A6BDB"/>
    <w:rsid w:val="004A7255"/>
    <w:rsid w:val="004B5EB1"/>
    <w:rsid w:val="004C31B0"/>
    <w:rsid w:val="004C47BC"/>
    <w:rsid w:val="004C5A1B"/>
    <w:rsid w:val="004C73AD"/>
    <w:rsid w:val="004C7C18"/>
    <w:rsid w:val="004C7F73"/>
    <w:rsid w:val="004D0BDF"/>
    <w:rsid w:val="004D1D0D"/>
    <w:rsid w:val="004E1E16"/>
    <w:rsid w:val="004E46BD"/>
    <w:rsid w:val="004E4E60"/>
    <w:rsid w:val="004E6D50"/>
    <w:rsid w:val="004F3E4F"/>
    <w:rsid w:val="004F45B1"/>
    <w:rsid w:val="005002B5"/>
    <w:rsid w:val="0050235E"/>
    <w:rsid w:val="00504CB5"/>
    <w:rsid w:val="0050520E"/>
    <w:rsid w:val="0050712D"/>
    <w:rsid w:val="0050743C"/>
    <w:rsid w:val="0051327B"/>
    <w:rsid w:val="005166F5"/>
    <w:rsid w:val="00517409"/>
    <w:rsid w:val="005175F3"/>
    <w:rsid w:val="00520DCF"/>
    <w:rsid w:val="00522BD4"/>
    <w:rsid w:val="00524237"/>
    <w:rsid w:val="00532293"/>
    <w:rsid w:val="0053459E"/>
    <w:rsid w:val="00536608"/>
    <w:rsid w:val="0053764B"/>
    <w:rsid w:val="00543834"/>
    <w:rsid w:val="00546D71"/>
    <w:rsid w:val="00547EA0"/>
    <w:rsid w:val="00551515"/>
    <w:rsid w:val="00551BDD"/>
    <w:rsid w:val="00551FEC"/>
    <w:rsid w:val="005523C4"/>
    <w:rsid w:val="00554369"/>
    <w:rsid w:val="00554AE2"/>
    <w:rsid w:val="00555776"/>
    <w:rsid w:val="00555B79"/>
    <w:rsid w:val="0055641C"/>
    <w:rsid w:val="00561E04"/>
    <w:rsid w:val="0056392A"/>
    <w:rsid w:val="005646E2"/>
    <w:rsid w:val="00565458"/>
    <w:rsid w:val="00567904"/>
    <w:rsid w:val="00573087"/>
    <w:rsid w:val="005811F4"/>
    <w:rsid w:val="00584838"/>
    <w:rsid w:val="00590DBB"/>
    <w:rsid w:val="005A0BF7"/>
    <w:rsid w:val="005A2B3C"/>
    <w:rsid w:val="005A3563"/>
    <w:rsid w:val="005A4C77"/>
    <w:rsid w:val="005A5F4F"/>
    <w:rsid w:val="005A62A2"/>
    <w:rsid w:val="005A7E46"/>
    <w:rsid w:val="005B2B83"/>
    <w:rsid w:val="005B5553"/>
    <w:rsid w:val="005B5E8D"/>
    <w:rsid w:val="005C01F1"/>
    <w:rsid w:val="005C088A"/>
    <w:rsid w:val="005C3422"/>
    <w:rsid w:val="005C6313"/>
    <w:rsid w:val="005C71AE"/>
    <w:rsid w:val="005C7A2E"/>
    <w:rsid w:val="005D162A"/>
    <w:rsid w:val="005D1854"/>
    <w:rsid w:val="005D3F9D"/>
    <w:rsid w:val="005D5526"/>
    <w:rsid w:val="005E5716"/>
    <w:rsid w:val="005F0FE5"/>
    <w:rsid w:val="005F24EB"/>
    <w:rsid w:val="005F2695"/>
    <w:rsid w:val="005F4905"/>
    <w:rsid w:val="005F4BA2"/>
    <w:rsid w:val="005F6BC9"/>
    <w:rsid w:val="006004E9"/>
    <w:rsid w:val="006026F7"/>
    <w:rsid w:val="0060541F"/>
    <w:rsid w:val="00615114"/>
    <w:rsid w:val="00622D02"/>
    <w:rsid w:val="00622F66"/>
    <w:rsid w:val="006263E4"/>
    <w:rsid w:val="006267B4"/>
    <w:rsid w:val="00627A2F"/>
    <w:rsid w:val="00633DF0"/>
    <w:rsid w:val="0063557D"/>
    <w:rsid w:val="0063665D"/>
    <w:rsid w:val="00636C78"/>
    <w:rsid w:val="00641EB6"/>
    <w:rsid w:val="00642F2F"/>
    <w:rsid w:val="006459E2"/>
    <w:rsid w:val="0064630B"/>
    <w:rsid w:val="00646335"/>
    <w:rsid w:val="006463EF"/>
    <w:rsid w:val="00647A0D"/>
    <w:rsid w:val="00647F8D"/>
    <w:rsid w:val="00672C2F"/>
    <w:rsid w:val="00673AF2"/>
    <w:rsid w:val="006742A2"/>
    <w:rsid w:val="006742A6"/>
    <w:rsid w:val="00676832"/>
    <w:rsid w:val="006774A7"/>
    <w:rsid w:val="00681C46"/>
    <w:rsid w:val="00686A3C"/>
    <w:rsid w:val="00690406"/>
    <w:rsid w:val="0069130E"/>
    <w:rsid w:val="00693357"/>
    <w:rsid w:val="00694664"/>
    <w:rsid w:val="00696FEE"/>
    <w:rsid w:val="006976EE"/>
    <w:rsid w:val="006A1047"/>
    <w:rsid w:val="006A1690"/>
    <w:rsid w:val="006A28FE"/>
    <w:rsid w:val="006A44C6"/>
    <w:rsid w:val="006A4F39"/>
    <w:rsid w:val="006A5E3A"/>
    <w:rsid w:val="006B2C5F"/>
    <w:rsid w:val="006B2C76"/>
    <w:rsid w:val="006B6FDF"/>
    <w:rsid w:val="006C16AF"/>
    <w:rsid w:val="006C37FE"/>
    <w:rsid w:val="006C4228"/>
    <w:rsid w:val="006C5A02"/>
    <w:rsid w:val="006C6886"/>
    <w:rsid w:val="006D073A"/>
    <w:rsid w:val="006D12E5"/>
    <w:rsid w:val="006D169F"/>
    <w:rsid w:val="006D2EC2"/>
    <w:rsid w:val="006D6348"/>
    <w:rsid w:val="006D70CD"/>
    <w:rsid w:val="006D768A"/>
    <w:rsid w:val="006E1D68"/>
    <w:rsid w:val="006E3742"/>
    <w:rsid w:val="006E39DC"/>
    <w:rsid w:val="006E5253"/>
    <w:rsid w:val="006E5C73"/>
    <w:rsid w:val="006E7053"/>
    <w:rsid w:val="006F09B8"/>
    <w:rsid w:val="006F0D6E"/>
    <w:rsid w:val="006F3A6A"/>
    <w:rsid w:val="00702D7E"/>
    <w:rsid w:val="0070367E"/>
    <w:rsid w:val="007046A7"/>
    <w:rsid w:val="0070557F"/>
    <w:rsid w:val="00707376"/>
    <w:rsid w:val="007110E8"/>
    <w:rsid w:val="0071278B"/>
    <w:rsid w:val="00715842"/>
    <w:rsid w:val="00716208"/>
    <w:rsid w:val="007168C1"/>
    <w:rsid w:val="00716A7C"/>
    <w:rsid w:val="007212B5"/>
    <w:rsid w:val="0072308D"/>
    <w:rsid w:val="00724544"/>
    <w:rsid w:val="00725B45"/>
    <w:rsid w:val="00730DA2"/>
    <w:rsid w:val="00734301"/>
    <w:rsid w:val="007434E4"/>
    <w:rsid w:val="00744CA7"/>
    <w:rsid w:val="00744F24"/>
    <w:rsid w:val="00750559"/>
    <w:rsid w:val="007511FA"/>
    <w:rsid w:val="00764077"/>
    <w:rsid w:val="00765D64"/>
    <w:rsid w:val="00773316"/>
    <w:rsid w:val="0077395A"/>
    <w:rsid w:val="00775766"/>
    <w:rsid w:val="00775EB4"/>
    <w:rsid w:val="00776F7C"/>
    <w:rsid w:val="00777DF9"/>
    <w:rsid w:val="007801F7"/>
    <w:rsid w:val="00783B28"/>
    <w:rsid w:val="0078407F"/>
    <w:rsid w:val="00786EBB"/>
    <w:rsid w:val="007872F5"/>
    <w:rsid w:val="00787466"/>
    <w:rsid w:val="00790186"/>
    <w:rsid w:val="00791439"/>
    <w:rsid w:val="00791A70"/>
    <w:rsid w:val="00793718"/>
    <w:rsid w:val="00793D6A"/>
    <w:rsid w:val="00794821"/>
    <w:rsid w:val="007A736E"/>
    <w:rsid w:val="007B14BE"/>
    <w:rsid w:val="007B1A36"/>
    <w:rsid w:val="007B3D86"/>
    <w:rsid w:val="007B4637"/>
    <w:rsid w:val="007B5680"/>
    <w:rsid w:val="007B6598"/>
    <w:rsid w:val="007B71C1"/>
    <w:rsid w:val="007C1F35"/>
    <w:rsid w:val="007C7664"/>
    <w:rsid w:val="007D26C4"/>
    <w:rsid w:val="007D2766"/>
    <w:rsid w:val="007D3FEB"/>
    <w:rsid w:val="007D4103"/>
    <w:rsid w:val="007D44C8"/>
    <w:rsid w:val="007D5AEF"/>
    <w:rsid w:val="007D77AE"/>
    <w:rsid w:val="007E28FA"/>
    <w:rsid w:val="007E4692"/>
    <w:rsid w:val="007E59C0"/>
    <w:rsid w:val="007E6DD5"/>
    <w:rsid w:val="007F325E"/>
    <w:rsid w:val="007F3440"/>
    <w:rsid w:val="007F345E"/>
    <w:rsid w:val="007F4175"/>
    <w:rsid w:val="007F7BBF"/>
    <w:rsid w:val="007F7E3A"/>
    <w:rsid w:val="008012B5"/>
    <w:rsid w:val="00802194"/>
    <w:rsid w:val="00806431"/>
    <w:rsid w:val="0081002C"/>
    <w:rsid w:val="00810224"/>
    <w:rsid w:val="00811611"/>
    <w:rsid w:val="00813943"/>
    <w:rsid w:val="00813FA3"/>
    <w:rsid w:val="00817226"/>
    <w:rsid w:val="00824FC1"/>
    <w:rsid w:val="0082513C"/>
    <w:rsid w:val="0082653A"/>
    <w:rsid w:val="00826740"/>
    <w:rsid w:val="00826D13"/>
    <w:rsid w:val="00827542"/>
    <w:rsid w:val="00833062"/>
    <w:rsid w:val="0083335C"/>
    <w:rsid w:val="0083374E"/>
    <w:rsid w:val="00833E64"/>
    <w:rsid w:val="00834376"/>
    <w:rsid w:val="00834E19"/>
    <w:rsid w:val="00835407"/>
    <w:rsid w:val="0084286C"/>
    <w:rsid w:val="00843039"/>
    <w:rsid w:val="008457B3"/>
    <w:rsid w:val="00847CB0"/>
    <w:rsid w:val="00850167"/>
    <w:rsid w:val="008506F0"/>
    <w:rsid w:val="00850DAC"/>
    <w:rsid w:val="00853EA8"/>
    <w:rsid w:val="00856021"/>
    <w:rsid w:val="00856E1F"/>
    <w:rsid w:val="0086035C"/>
    <w:rsid w:val="00864388"/>
    <w:rsid w:val="00864D4C"/>
    <w:rsid w:val="008663E5"/>
    <w:rsid w:val="0086745A"/>
    <w:rsid w:val="00867EF8"/>
    <w:rsid w:val="00870674"/>
    <w:rsid w:val="00871822"/>
    <w:rsid w:val="00873353"/>
    <w:rsid w:val="008734F8"/>
    <w:rsid w:val="0087389B"/>
    <w:rsid w:val="008740F7"/>
    <w:rsid w:val="00874DC8"/>
    <w:rsid w:val="00875FBB"/>
    <w:rsid w:val="008770F0"/>
    <w:rsid w:val="008807C9"/>
    <w:rsid w:val="00883039"/>
    <w:rsid w:val="00885DDE"/>
    <w:rsid w:val="00887800"/>
    <w:rsid w:val="00891545"/>
    <w:rsid w:val="008919BF"/>
    <w:rsid w:val="00891B39"/>
    <w:rsid w:val="00892D36"/>
    <w:rsid w:val="0089554F"/>
    <w:rsid w:val="008A07A1"/>
    <w:rsid w:val="008A2229"/>
    <w:rsid w:val="008A2A34"/>
    <w:rsid w:val="008B2325"/>
    <w:rsid w:val="008B2CFC"/>
    <w:rsid w:val="008B42C0"/>
    <w:rsid w:val="008B4F14"/>
    <w:rsid w:val="008B4F27"/>
    <w:rsid w:val="008B6E70"/>
    <w:rsid w:val="008C6F3E"/>
    <w:rsid w:val="008C768F"/>
    <w:rsid w:val="008D16ED"/>
    <w:rsid w:val="008D2BE7"/>
    <w:rsid w:val="008D3D8E"/>
    <w:rsid w:val="008D5B4B"/>
    <w:rsid w:val="008D6956"/>
    <w:rsid w:val="008D6DF4"/>
    <w:rsid w:val="008D71F1"/>
    <w:rsid w:val="008E2781"/>
    <w:rsid w:val="008E6637"/>
    <w:rsid w:val="008F5455"/>
    <w:rsid w:val="008F5791"/>
    <w:rsid w:val="008F633D"/>
    <w:rsid w:val="00900CF3"/>
    <w:rsid w:val="0091046F"/>
    <w:rsid w:val="0091153A"/>
    <w:rsid w:val="0091184A"/>
    <w:rsid w:val="009141DB"/>
    <w:rsid w:val="0091687E"/>
    <w:rsid w:val="009222FC"/>
    <w:rsid w:val="00922B4D"/>
    <w:rsid w:val="00931FD5"/>
    <w:rsid w:val="00934AA7"/>
    <w:rsid w:val="00936311"/>
    <w:rsid w:val="00937A0F"/>
    <w:rsid w:val="00943A15"/>
    <w:rsid w:val="00945DC0"/>
    <w:rsid w:val="00947D4A"/>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876D5"/>
    <w:rsid w:val="009907FA"/>
    <w:rsid w:val="00995F3C"/>
    <w:rsid w:val="0099624C"/>
    <w:rsid w:val="00997516"/>
    <w:rsid w:val="009A7914"/>
    <w:rsid w:val="009A796C"/>
    <w:rsid w:val="009B05DD"/>
    <w:rsid w:val="009B2571"/>
    <w:rsid w:val="009B2EB7"/>
    <w:rsid w:val="009B44A2"/>
    <w:rsid w:val="009B71F4"/>
    <w:rsid w:val="009B7614"/>
    <w:rsid w:val="009C297A"/>
    <w:rsid w:val="009C3B34"/>
    <w:rsid w:val="009C486C"/>
    <w:rsid w:val="009C56EE"/>
    <w:rsid w:val="009D3926"/>
    <w:rsid w:val="009D3C55"/>
    <w:rsid w:val="009D3D62"/>
    <w:rsid w:val="009D3F15"/>
    <w:rsid w:val="009D5840"/>
    <w:rsid w:val="009D78E3"/>
    <w:rsid w:val="009D7B7E"/>
    <w:rsid w:val="009E1155"/>
    <w:rsid w:val="009E1B94"/>
    <w:rsid w:val="009F44C7"/>
    <w:rsid w:val="009F55B8"/>
    <w:rsid w:val="00A011B9"/>
    <w:rsid w:val="00A040DE"/>
    <w:rsid w:val="00A0589A"/>
    <w:rsid w:val="00A06144"/>
    <w:rsid w:val="00A12EEA"/>
    <w:rsid w:val="00A14FEE"/>
    <w:rsid w:val="00A15BAE"/>
    <w:rsid w:val="00A20A76"/>
    <w:rsid w:val="00A21659"/>
    <w:rsid w:val="00A30BAC"/>
    <w:rsid w:val="00A33B47"/>
    <w:rsid w:val="00A35942"/>
    <w:rsid w:val="00A46974"/>
    <w:rsid w:val="00A50D5B"/>
    <w:rsid w:val="00A51317"/>
    <w:rsid w:val="00A51800"/>
    <w:rsid w:val="00A53CB0"/>
    <w:rsid w:val="00A55673"/>
    <w:rsid w:val="00A60D37"/>
    <w:rsid w:val="00A626E2"/>
    <w:rsid w:val="00A63BA4"/>
    <w:rsid w:val="00A64211"/>
    <w:rsid w:val="00A6426C"/>
    <w:rsid w:val="00A65291"/>
    <w:rsid w:val="00A66C13"/>
    <w:rsid w:val="00A72A3A"/>
    <w:rsid w:val="00A743B1"/>
    <w:rsid w:val="00A75FB0"/>
    <w:rsid w:val="00A813FE"/>
    <w:rsid w:val="00A816E8"/>
    <w:rsid w:val="00A82245"/>
    <w:rsid w:val="00A8249A"/>
    <w:rsid w:val="00A82705"/>
    <w:rsid w:val="00A83EDB"/>
    <w:rsid w:val="00A861ED"/>
    <w:rsid w:val="00A8678B"/>
    <w:rsid w:val="00A86BD1"/>
    <w:rsid w:val="00A91789"/>
    <w:rsid w:val="00A92519"/>
    <w:rsid w:val="00A945A1"/>
    <w:rsid w:val="00A9788D"/>
    <w:rsid w:val="00AA4119"/>
    <w:rsid w:val="00AA6B68"/>
    <w:rsid w:val="00AB0C9E"/>
    <w:rsid w:val="00AB1A67"/>
    <w:rsid w:val="00AC170B"/>
    <w:rsid w:val="00AC2FBD"/>
    <w:rsid w:val="00AC5A9C"/>
    <w:rsid w:val="00AD518B"/>
    <w:rsid w:val="00AD62C5"/>
    <w:rsid w:val="00AD6462"/>
    <w:rsid w:val="00AD6CB0"/>
    <w:rsid w:val="00AE03A6"/>
    <w:rsid w:val="00AE3283"/>
    <w:rsid w:val="00AE5138"/>
    <w:rsid w:val="00AE5A30"/>
    <w:rsid w:val="00AE73E5"/>
    <w:rsid w:val="00AF2FDA"/>
    <w:rsid w:val="00AF64FC"/>
    <w:rsid w:val="00AF6D9A"/>
    <w:rsid w:val="00AF7AD3"/>
    <w:rsid w:val="00B00FBD"/>
    <w:rsid w:val="00B063BA"/>
    <w:rsid w:val="00B11B69"/>
    <w:rsid w:val="00B11ECB"/>
    <w:rsid w:val="00B12110"/>
    <w:rsid w:val="00B12DA1"/>
    <w:rsid w:val="00B14905"/>
    <w:rsid w:val="00B2124D"/>
    <w:rsid w:val="00B220FE"/>
    <w:rsid w:val="00B24005"/>
    <w:rsid w:val="00B25F19"/>
    <w:rsid w:val="00B2734A"/>
    <w:rsid w:val="00B32FE7"/>
    <w:rsid w:val="00B333EF"/>
    <w:rsid w:val="00B338D5"/>
    <w:rsid w:val="00B35942"/>
    <w:rsid w:val="00B36B8C"/>
    <w:rsid w:val="00B40D1E"/>
    <w:rsid w:val="00B415DB"/>
    <w:rsid w:val="00B42154"/>
    <w:rsid w:val="00B50CA0"/>
    <w:rsid w:val="00B53CA4"/>
    <w:rsid w:val="00B54329"/>
    <w:rsid w:val="00B5454B"/>
    <w:rsid w:val="00B56541"/>
    <w:rsid w:val="00B62AA7"/>
    <w:rsid w:val="00B65934"/>
    <w:rsid w:val="00B67285"/>
    <w:rsid w:val="00B70DEE"/>
    <w:rsid w:val="00B72F7B"/>
    <w:rsid w:val="00B73EC2"/>
    <w:rsid w:val="00B746E8"/>
    <w:rsid w:val="00B80E75"/>
    <w:rsid w:val="00B815D6"/>
    <w:rsid w:val="00B8244C"/>
    <w:rsid w:val="00B8521A"/>
    <w:rsid w:val="00B918F8"/>
    <w:rsid w:val="00B92D9C"/>
    <w:rsid w:val="00B96E5A"/>
    <w:rsid w:val="00BA3D08"/>
    <w:rsid w:val="00BA5C1A"/>
    <w:rsid w:val="00BA5FCA"/>
    <w:rsid w:val="00BB1E10"/>
    <w:rsid w:val="00BB28FE"/>
    <w:rsid w:val="00BB3521"/>
    <w:rsid w:val="00BB3F42"/>
    <w:rsid w:val="00BB54AD"/>
    <w:rsid w:val="00BC0D51"/>
    <w:rsid w:val="00BC2C0C"/>
    <w:rsid w:val="00BC2EA0"/>
    <w:rsid w:val="00BC46FC"/>
    <w:rsid w:val="00BC5577"/>
    <w:rsid w:val="00BD1959"/>
    <w:rsid w:val="00BD23A2"/>
    <w:rsid w:val="00BD2BDB"/>
    <w:rsid w:val="00BD31C6"/>
    <w:rsid w:val="00BD3C08"/>
    <w:rsid w:val="00BD3E73"/>
    <w:rsid w:val="00BD57F6"/>
    <w:rsid w:val="00BD699D"/>
    <w:rsid w:val="00BE01F1"/>
    <w:rsid w:val="00BE1929"/>
    <w:rsid w:val="00BE3672"/>
    <w:rsid w:val="00BE39FD"/>
    <w:rsid w:val="00BE5825"/>
    <w:rsid w:val="00BF5A35"/>
    <w:rsid w:val="00C03BFA"/>
    <w:rsid w:val="00C06D6B"/>
    <w:rsid w:val="00C07D42"/>
    <w:rsid w:val="00C106A1"/>
    <w:rsid w:val="00C10D7E"/>
    <w:rsid w:val="00C16665"/>
    <w:rsid w:val="00C208F2"/>
    <w:rsid w:val="00C21E22"/>
    <w:rsid w:val="00C22582"/>
    <w:rsid w:val="00C25E55"/>
    <w:rsid w:val="00C31149"/>
    <w:rsid w:val="00C31E0E"/>
    <w:rsid w:val="00C423DB"/>
    <w:rsid w:val="00C43A2E"/>
    <w:rsid w:val="00C43D8B"/>
    <w:rsid w:val="00C461D2"/>
    <w:rsid w:val="00C464B8"/>
    <w:rsid w:val="00C5229F"/>
    <w:rsid w:val="00C56E7C"/>
    <w:rsid w:val="00C6189A"/>
    <w:rsid w:val="00C707EC"/>
    <w:rsid w:val="00C75422"/>
    <w:rsid w:val="00C754A0"/>
    <w:rsid w:val="00C800E9"/>
    <w:rsid w:val="00C8225A"/>
    <w:rsid w:val="00C822E1"/>
    <w:rsid w:val="00C8259E"/>
    <w:rsid w:val="00C8512F"/>
    <w:rsid w:val="00C90162"/>
    <w:rsid w:val="00C957DA"/>
    <w:rsid w:val="00C95F19"/>
    <w:rsid w:val="00CA1C76"/>
    <w:rsid w:val="00CA7226"/>
    <w:rsid w:val="00CA7F2F"/>
    <w:rsid w:val="00CB04C9"/>
    <w:rsid w:val="00CB1D0C"/>
    <w:rsid w:val="00CB23C7"/>
    <w:rsid w:val="00CB580F"/>
    <w:rsid w:val="00CB6362"/>
    <w:rsid w:val="00CC0705"/>
    <w:rsid w:val="00CC57C0"/>
    <w:rsid w:val="00CC78F5"/>
    <w:rsid w:val="00CD1342"/>
    <w:rsid w:val="00CD2123"/>
    <w:rsid w:val="00CD605C"/>
    <w:rsid w:val="00CE09CA"/>
    <w:rsid w:val="00CE2957"/>
    <w:rsid w:val="00CE3481"/>
    <w:rsid w:val="00CE6817"/>
    <w:rsid w:val="00CE6C0B"/>
    <w:rsid w:val="00D004B0"/>
    <w:rsid w:val="00D02C4B"/>
    <w:rsid w:val="00D045A9"/>
    <w:rsid w:val="00D071B5"/>
    <w:rsid w:val="00D102D8"/>
    <w:rsid w:val="00D10D83"/>
    <w:rsid w:val="00D10EEE"/>
    <w:rsid w:val="00D1155C"/>
    <w:rsid w:val="00D144CC"/>
    <w:rsid w:val="00D156A0"/>
    <w:rsid w:val="00D15D20"/>
    <w:rsid w:val="00D15E6E"/>
    <w:rsid w:val="00D17B62"/>
    <w:rsid w:val="00D2159F"/>
    <w:rsid w:val="00D23B91"/>
    <w:rsid w:val="00D269BF"/>
    <w:rsid w:val="00D30028"/>
    <w:rsid w:val="00D3011E"/>
    <w:rsid w:val="00D3196D"/>
    <w:rsid w:val="00D3234C"/>
    <w:rsid w:val="00D345EF"/>
    <w:rsid w:val="00D4137B"/>
    <w:rsid w:val="00D416B8"/>
    <w:rsid w:val="00D44F77"/>
    <w:rsid w:val="00D5623B"/>
    <w:rsid w:val="00D56E1B"/>
    <w:rsid w:val="00D57693"/>
    <w:rsid w:val="00D62A34"/>
    <w:rsid w:val="00D632A9"/>
    <w:rsid w:val="00D67019"/>
    <w:rsid w:val="00D67D86"/>
    <w:rsid w:val="00D739DC"/>
    <w:rsid w:val="00D76D5D"/>
    <w:rsid w:val="00D81479"/>
    <w:rsid w:val="00D83FB1"/>
    <w:rsid w:val="00D865A9"/>
    <w:rsid w:val="00D916E8"/>
    <w:rsid w:val="00D9231C"/>
    <w:rsid w:val="00D94A65"/>
    <w:rsid w:val="00D96790"/>
    <w:rsid w:val="00D97314"/>
    <w:rsid w:val="00DA077E"/>
    <w:rsid w:val="00DA3331"/>
    <w:rsid w:val="00DA38A4"/>
    <w:rsid w:val="00DA70DC"/>
    <w:rsid w:val="00DB4103"/>
    <w:rsid w:val="00DC19CB"/>
    <w:rsid w:val="00DC5C5B"/>
    <w:rsid w:val="00DC71E1"/>
    <w:rsid w:val="00DC73CC"/>
    <w:rsid w:val="00DD3583"/>
    <w:rsid w:val="00DD53A0"/>
    <w:rsid w:val="00DE4BD3"/>
    <w:rsid w:val="00DF156B"/>
    <w:rsid w:val="00DF1A6D"/>
    <w:rsid w:val="00DF4644"/>
    <w:rsid w:val="00E071B0"/>
    <w:rsid w:val="00E11000"/>
    <w:rsid w:val="00E127AE"/>
    <w:rsid w:val="00E14555"/>
    <w:rsid w:val="00E16171"/>
    <w:rsid w:val="00E16D29"/>
    <w:rsid w:val="00E20202"/>
    <w:rsid w:val="00E20C68"/>
    <w:rsid w:val="00E23E1F"/>
    <w:rsid w:val="00E30A42"/>
    <w:rsid w:val="00E32EA7"/>
    <w:rsid w:val="00E34641"/>
    <w:rsid w:val="00E35D00"/>
    <w:rsid w:val="00E515A1"/>
    <w:rsid w:val="00E54912"/>
    <w:rsid w:val="00E55656"/>
    <w:rsid w:val="00E578E2"/>
    <w:rsid w:val="00E57AE6"/>
    <w:rsid w:val="00E614B3"/>
    <w:rsid w:val="00E643D7"/>
    <w:rsid w:val="00E646B7"/>
    <w:rsid w:val="00E668FB"/>
    <w:rsid w:val="00E722C2"/>
    <w:rsid w:val="00E72FE7"/>
    <w:rsid w:val="00E736A8"/>
    <w:rsid w:val="00E77ACA"/>
    <w:rsid w:val="00E8067F"/>
    <w:rsid w:val="00E806CE"/>
    <w:rsid w:val="00E80A83"/>
    <w:rsid w:val="00E80B93"/>
    <w:rsid w:val="00E8143D"/>
    <w:rsid w:val="00E84801"/>
    <w:rsid w:val="00E85D12"/>
    <w:rsid w:val="00E85E5F"/>
    <w:rsid w:val="00E86793"/>
    <w:rsid w:val="00E87E01"/>
    <w:rsid w:val="00E92B31"/>
    <w:rsid w:val="00E9582C"/>
    <w:rsid w:val="00EA70D7"/>
    <w:rsid w:val="00EB2702"/>
    <w:rsid w:val="00EB2806"/>
    <w:rsid w:val="00EB3550"/>
    <w:rsid w:val="00EB71A1"/>
    <w:rsid w:val="00EC22A0"/>
    <w:rsid w:val="00EC2FA2"/>
    <w:rsid w:val="00EC3128"/>
    <w:rsid w:val="00EC71E2"/>
    <w:rsid w:val="00ED421D"/>
    <w:rsid w:val="00EE5CF8"/>
    <w:rsid w:val="00EE7443"/>
    <w:rsid w:val="00EF6465"/>
    <w:rsid w:val="00EF6F08"/>
    <w:rsid w:val="00EF70E5"/>
    <w:rsid w:val="00F01EF0"/>
    <w:rsid w:val="00F03151"/>
    <w:rsid w:val="00F05D87"/>
    <w:rsid w:val="00F06A12"/>
    <w:rsid w:val="00F101C4"/>
    <w:rsid w:val="00F1126F"/>
    <w:rsid w:val="00F12930"/>
    <w:rsid w:val="00F12CDE"/>
    <w:rsid w:val="00F1372D"/>
    <w:rsid w:val="00F142BC"/>
    <w:rsid w:val="00F15032"/>
    <w:rsid w:val="00F157D1"/>
    <w:rsid w:val="00F16FC0"/>
    <w:rsid w:val="00F1778B"/>
    <w:rsid w:val="00F179E6"/>
    <w:rsid w:val="00F25778"/>
    <w:rsid w:val="00F26DDB"/>
    <w:rsid w:val="00F30644"/>
    <w:rsid w:val="00F312DE"/>
    <w:rsid w:val="00F323E9"/>
    <w:rsid w:val="00F32BC1"/>
    <w:rsid w:val="00F37A6C"/>
    <w:rsid w:val="00F46509"/>
    <w:rsid w:val="00F4693E"/>
    <w:rsid w:val="00F46AFC"/>
    <w:rsid w:val="00F50CF1"/>
    <w:rsid w:val="00F55080"/>
    <w:rsid w:val="00F60EF2"/>
    <w:rsid w:val="00F60FC1"/>
    <w:rsid w:val="00F61507"/>
    <w:rsid w:val="00F64700"/>
    <w:rsid w:val="00F66A70"/>
    <w:rsid w:val="00F66E79"/>
    <w:rsid w:val="00F70222"/>
    <w:rsid w:val="00F71603"/>
    <w:rsid w:val="00F75B01"/>
    <w:rsid w:val="00F76890"/>
    <w:rsid w:val="00F76999"/>
    <w:rsid w:val="00F77E4D"/>
    <w:rsid w:val="00F8357D"/>
    <w:rsid w:val="00F855B8"/>
    <w:rsid w:val="00F90135"/>
    <w:rsid w:val="00F90513"/>
    <w:rsid w:val="00F9094B"/>
    <w:rsid w:val="00F909D0"/>
    <w:rsid w:val="00F90C57"/>
    <w:rsid w:val="00F92775"/>
    <w:rsid w:val="00F952B0"/>
    <w:rsid w:val="00F9592A"/>
    <w:rsid w:val="00F96C14"/>
    <w:rsid w:val="00F9767D"/>
    <w:rsid w:val="00FA0FBF"/>
    <w:rsid w:val="00FA1EA1"/>
    <w:rsid w:val="00FA20A4"/>
    <w:rsid w:val="00FA25F4"/>
    <w:rsid w:val="00FA3764"/>
    <w:rsid w:val="00FA60A5"/>
    <w:rsid w:val="00FA6130"/>
    <w:rsid w:val="00FA7195"/>
    <w:rsid w:val="00FB0DD8"/>
    <w:rsid w:val="00FB0F61"/>
    <w:rsid w:val="00FB11E8"/>
    <w:rsid w:val="00FB22B9"/>
    <w:rsid w:val="00FB28DC"/>
    <w:rsid w:val="00FB2AFA"/>
    <w:rsid w:val="00FC00FC"/>
    <w:rsid w:val="00FC3B49"/>
    <w:rsid w:val="00FC3EC2"/>
    <w:rsid w:val="00FC5CB8"/>
    <w:rsid w:val="00FD2E79"/>
    <w:rsid w:val="00FD3DD1"/>
    <w:rsid w:val="00FD5657"/>
    <w:rsid w:val="00FE0527"/>
    <w:rsid w:val="00FE1C65"/>
    <w:rsid w:val="00FE4346"/>
    <w:rsid w:val="00FF271A"/>
    <w:rsid w:val="00FF40B4"/>
    <w:rsid w:val="00FF50E0"/>
    <w:rsid w:val="01156A16"/>
    <w:rsid w:val="01173F1B"/>
    <w:rsid w:val="011C44BE"/>
    <w:rsid w:val="01207B0A"/>
    <w:rsid w:val="01213761"/>
    <w:rsid w:val="012B0C48"/>
    <w:rsid w:val="01372C5B"/>
    <w:rsid w:val="014001AC"/>
    <w:rsid w:val="016408FB"/>
    <w:rsid w:val="01643016"/>
    <w:rsid w:val="016E4195"/>
    <w:rsid w:val="01726537"/>
    <w:rsid w:val="01AC75F0"/>
    <w:rsid w:val="01C04E49"/>
    <w:rsid w:val="0214243C"/>
    <w:rsid w:val="02214D2D"/>
    <w:rsid w:val="022E5014"/>
    <w:rsid w:val="02512A07"/>
    <w:rsid w:val="025A529E"/>
    <w:rsid w:val="025F4662"/>
    <w:rsid w:val="026877BA"/>
    <w:rsid w:val="027A6CFA"/>
    <w:rsid w:val="02AA6130"/>
    <w:rsid w:val="02C170CB"/>
    <w:rsid w:val="02F76AB3"/>
    <w:rsid w:val="032C4E8C"/>
    <w:rsid w:val="03433F84"/>
    <w:rsid w:val="0350498A"/>
    <w:rsid w:val="03534FA2"/>
    <w:rsid w:val="035B174D"/>
    <w:rsid w:val="03603C2C"/>
    <w:rsid w:val="036678B6"/>
    <w:rsid w:val="03825612"/>
    <w:rsid w:val="039B3DC0"/>
    <w:rsid w:val="03BC38F4"/>
    <w:rsid w:val="03FE61ED"/>
    <w:rsid w:val="04277401"/>
    <w:rsid w:val="043833BC"/>
    <w:rsid w:val="04407C5D"/>
    <w:rsid w:val="04414051"/>
    <w:rsid w:val="04545D1C"/>
    <w:rsid w:val="04596F7F"/>
    <w:rsid w:val="046363BB"/>
    <w:rsid w:val="04673249"/>
    <w:rsid w:val="046774A7"/>
    <w:rsid w:val="04962E28"/>
    <w:rsid w:val="04B30C95"/>
    <w:rsid w:val="04C44C50"/>
    <w:rsid w:val="04D10E2B"/>
    <w:rsid w:val="04D83CC0"/>
    <w:rsid w:val="04DB34DA"/>
    <w:rsid w:val="04E57987"/>
    <w:rsid w:val="04F512AE"/>
    <w:rsid w:val="0540457D"/>
    <w:rsid w:val="056E1157"/>
    <w:rsid w:val="05814F51"/>
    <w:rsid w:val="0583686C"/>
    <w:rsid w:val="059C5BCD"/>
    <w:rsid w:val="05AF5900"/>
    <w:rsid w:val="05C32D63"/>
    <w:rsid w:val="05DE0EF5"/>
    <w:rsid w:val="06677F89"/>
    <w:rsid w:val="06693D01"/>
    <w:rsid w:val="066E0790"/>
    <w:rsid w:val="067B3A34"/>
    <w:rsid w:val="069D3826"/>
    <w:rsid w:val="06B729B6"/>
    <w:rsid w:val="06E15F8D"/>
    <w:rsid w:val="06E7061D"/>
    <w:rsid w:val="06F051CA"/>
    <w:rsid w:val="06FC6923"/>
    <w:rsid w:val="07047ECE"/>
    <w:rsid w:val="071A4FFB"/>
    <w:rsid w:val="072520C3"/>
    <w:rsid w:val="07346E86"/>
    <w:rsid w:val="07963C7F"/>
    <w:rsid w:val="07A02C40"/>
    <w:rsid w:val="07A07BF6"/>
    <w:rsid w:val="07A1311E"/>
    <w:rsid w:val="07C06FE0"/>
    <w:rsid w:val="07C678C3"/>
    <w:rsid w:val="07C67D31"/>
    <w:rsid w:val="07CB13CA"/>
    <w:rsid w:val="07F45D5F"/>
    <w:rsid w:val="082A5712"/>
    <w:rsid w:val="08387D26"/>
    <w:rsid w:val="088C0852"/>
    <w:rsid w:val="08971DA8"/>
    <w:rsid w:val="08C101E7"/>
    <w:rsid w:val="08C16076"/>
    <w:rsid w:val="08C96D0B"/>
    <w:rsid w:val="08E13197"/>
    <w:rsid w:val="08F11F59"/>
    <w:rsid w:val="08FA50E4"/>
    <w:rsid w:val="08FB16AB"/>
    <w:rsid w:val="091A74E1"/>
    <w:rsid w:val="093B3CFE"/>
    <w:rsid w:val="09420839"/>
    <w:rsid w:val="09436A8B"/>
    <w:rsid w:val="09695884"/>
    <w:rsid w:val="09766700"/>
    <w:rsid w:val="09B72FD5"/>
    <w:rsid w:val="0A0134D2"/>
    <w:rsid w:val="0A0A6355"/>
    <w:rsid w:val="0A285544"/>
    <w:rsid w:val="0A6F38B0"/>
    <w:rsid w:val="0A804468"/>
    <w:rsid w:val="0A943B04"/>
    <w:rsid w:val="0AD83203"/>
    <w:rsid w:val="0AD94888"/>
    <w:rsid w:val="0B101D3B"/>
    <w:rsid w:val="0B204BAA"/>
    <w:rsid w:val="0B24468D"/>
    <w:rsid w:val="0B3E0157"/>
    <w:rsid w:val="0B3E2065"/>
    <w:rsid w:val="0B5B3B24"/>
    <w:rsid w:val="0BAD0091"/>
    <w:rsid w:val="0BE300B2"/>
    <w:rsid w:val="0BF07413"/>
    <w:rsid w:val="0BF605B3"/>
    <w:rsid w:val="0C0369A6"/>
    <w:rsid w:val="0C0754E7"/>
    <w:rsid w:val="0C0E1A12"/>
    <w:rsid w:val="0C0F35D8"/>
    <w:rsid w:val="0C161375"/>
    <w:rsid w:val="0C28419D"/>
    <w:rsid w:val="0C2B5731"/>
    <w:rsid w:val="0C341D9A"/>
    <w:rsid w:val="0C3D258F"/>
    <w:rsid w:val="0C5D60B6"/>
    <w:rsid w:val="0C5D732E"/>
    <w:rsid w:val="0C5F3058"/>
    <w:rsid w:val="0C670CE3"/>
    <w:rsid w:val="0C7F6C23"/>
    <w:rsid w:val="0C9B5ABD"/>
    <w:rsid w:val="0CE9794A"/>
    <w:rsid w:val="0CEB2EB7"/>
    <w:rsid w:val="0CEF5A7C"/>
    <w:rsid w:val="0D4032E2"/>
    <w:rsid w:val="0D5170C4"/>
    <w:rsid w:val="0DB829D6"/>
    <w:rsid w:val="0DC84C6C"/>
    <w:rsid w:val="0DDB72D4"/>
    <w:rsid w:val="0DDC039E"/>
    <w:rsid w:val="0DDD3892"/>
    <w:rsid w:val="0DE620DB"/>
    <w:rsid w:val="0DE9708F"/>
    <w:rsid w:val="0DF04D08"/>
    <w:rsid w:val="0DF465A6"/>
    <w:rsid w:val="0E176739"/>
    <w:rsid w:val="0E2B0A0E"/>
    <w:rsid w:val="0E7616B1"/>
    <w:rsid w:val="0E9B2887"/>
    <w:rsid w:val="0EA87C9E"/>
    <w:rsid w:val="0EB53B50"/>
    <w:rsid w:val="0ECC12D1"/>
    <w:rsid w:val="0EE04D7C"/>
    <w:rsid w:val="0EFE1271"/>
    <w:rsid w:val="0F013329"/>
    <w:rsid w:val="0F1E0E2A"/>
    <w:rsid w:val="0F1E1F81"/>
    <w:rsid w:val="0F3330FE"/>
    <w:rsid w:val="0F4075C9"/>
    <w:rsid w:val="0F4E1CE6"/>
    <w:rsid w:val="0F5D383B"/>
    <w:rsid w:val="0F9067A2"/>
    <w:rsid w:val="0F920FD6"/>
    <w:rsid w:val="0F953584"/>
    <w:rsid w:val="0FB83603"/>
    <w:rsid w:val="0FE62E26"/>
    <w:rsid w:val="10147078"/>
    <w:rsid w:val="10362E55"/>
    <w:rsid w:val="10644165"/>
    <w:rsid w:val="10685029"/>
    <w:rsid w:val="10705FCA"/>
    <w:rsid w:val="109E6C9D"/>
    <w:rsid w:val="10BF0A8A"/>
    <w:rsid w:val="10C71F7C"/>
    <w:rsid w:val="10C806D6"/>
    <w:rsid w:val="10F570EC"/>
    <w:rsid w:val="113A7359"/>
    <w:rsid w:val="113B44EC"/>
    <w:rsid w:val="11597C61"/>
    <w:rsid w:val="115C4C5D"/>
    <w:rsid w:val="11610760"/>
    <w:rsid w:val="1171606E"/>
    <w:rsid w:val="1173012A"/>
    <w:rsid w:val="11731ED8"/>
    <w:rsid w:val="11861F2F"/>
    <w:rsid w:val="119A13D5"/>
    <w:rsid w:val="11AA5B71"/>
    <w:rsid w:val="11B83ECD"/>
    <w:rsid w:val="11F72B09"/>
    <w:rsid w:val="120A26AB"/>
    <w:rsid w:val="12240695"/>
    <w:rsid w:val="123F1DBA"/>
    <w:rsid w:val="124872AD"/>
    <w:rsid w:val="126E68BD"/>
    <w:rsid w:val="127A403A"/>
    <w:rsid w:val="127D1806"/>
    <w:rsid w:val="128120DE"/>
    <w:rsid w:val="12B97DBE"/>
    <w:rsid w:val="12E55022"/>
    <w:rsid w:val="12F412C6"/>
    <w:rsid w:val="13033073"/>
    <w:rsid w:val="13117D95"/>
    <w:rsid w:val="1363442E"/>
    <w:rsid w:val="13654DDA"/>
    <w:rsid w:val="13737112"/>
    <w:rsid w:val="13817B06"/>
    <w:rsid w:val="138402B8"/>
    <w:rsid w:val="13855EF2"/>
    <w:rsid w:val="139323BD"/>
    <w:rsid w:val="139D323C"/>
    <w:rsid w:val="13B3480E"/>
    <w:rsid w:val="13DD5D2E"/>
    <w:rsid w:val="13DE5AD5"/>
    <w:rsid w:val="13E42C19"/>
    <w:rsid w:val="13F15336"/>
    <w:rsid w:val="140760EC"/>
    <w:rsid w:val="140C3984"/>
    <w:rsid w:val="141B23B3"/>
    <w:rsid w:val="142B6AD5"/>
    <w:rsid w:val="143174A5"/>
    <w:rsid w:val="144913EC"/>
    <w:rsid w:val="14891A12"/>
    <w:rsid w:val="14952165"/>
    <w:rsid w:val="14A12F69"/>
    <w:rsid w:val="14A47312"/>
    <w:rsid w:val="14B21774"/>
    <w:rsid w:val="15080B89"/>
    <w:rsid w:val="151D361E"/>
    <w:rsid w:val="154F0566"/>
    <w:rsid w:val="15632263"/>
    <w:rsid w:val="156404B5"/>
    <w:rsid w:val="15910B7E"/>
    <w:rsid w:val="15EA64E1"/>
    <w:rsid w:val="15F80F1F"/>
    <w:rsid w:val="15FD6214"/>
    <w:rsid w:val="16135A37"/>
    <w:rsid w:val="161B2829"/>
    <w:rsid w:val="16224EF4"/>
    <w:rsid w:val="162352F4"/>
    <w:rsid w:val="165A6908"/>
    <w:rsid w:val="167D7355"/>
    <w:rsid w:val="167E531B"/>
    <w:rsid w:val="168800B8"/>
    <w:rsid w:val="16AE750E"/>
    <w:rsid w:val="16B03286"/>
    <w:rsid w:val="16DA0303"/>
    <w:rsid w:val="16EF3DAF"/>
    <w:rsid w:val="16F413A1"/>
    <w:rsid w:val="172315BE"/>
    <w:rsid w:val="174262C0"/>
    <w:rsid w:val="175C2C51"/>
    <w:rsid w:val="17D27FAE"/>
    <w:rsid w:val="17DD62FD"/>
    <w:rsid w:val="17E029C8"/>
    <w:rsid w:val="17E4768B"/>
    <w:rsid w:val="180E3B64"/>
    <w:rsid w:val="184049E4"/>
    <w:rsid w:val="184D6BA9"/>
    <w:rsid w:val="185D0A68"/>
    <w:rsid w:val="185F6D12"/>
    <w:rsid w:val="18872601"/>
    <w:rsid w:val="18A92683"/>
    <w:rsid w:val="18AE6014"/>
    <w:rsid w:val="18E76CBF"/>
    <w:rsid w:val="18EB2C9C"/>
    <w:rsid w:val="18F953B8"/>
    <w:rsid w:val="18FB442B"/>
    <w:rsid w:val="1915691B"/>
    <w:rsid w:val="192A70E1"/>
    <w:rsid w:val="199537E4"/>
    <w:rsid w:val="19AD7F51"/>
    <w:rsid w:val="19EF1E3B"/>
    <w:rsid w:val="19F55262"/>
    <w:rsid w:val="19FC300D"/>
    <w:rsid w:val="1A383CBF"/>
    <w:rsid w:val="1A444411"/>
    <w:rsid w:val="1A62202C"/>
    <w:rsid w:val="1A7A46E4"/>
    <w:rsid w:val="1AA0476B"/>
    <w:rsid w:val="1ABE076A"/>
    <w:rsid w:val="1AD34378"/>
    <w:rsid w:val="1AE00C81"/>
    <w:rsid w:val="1B24673C"/>
    <w:rsid w:val="1B2E0C1E"/>
    <w:rsid w:val="1B320F29"/>
    <w:rsid w:val="1B4D5028"/>
    <w:rsid w:val="1B721452"/>
    <w:rsid w:val="1B773639"/>
    <w:rsid w:val="1B851185"/>
    <w:rsid w:val="1BA53426"/>
    <w:rsid w:val="1BB90E2F"/>
    <w:rsid w:val="1BC31AC4"/>
    <w:rsid w:val="1BD1468F"/>
    <w:rsid w:val="1BDB2B53"/>
    <w:rsid w:val="1BF0416D"/>
    <w:rsid w:val="1C0A2565"/>
    <w:rsid w:val="1C27223D"/>
    <w:rsid w:val="1C2B6B2F"/>
    <w:rsid w:val="1C3A1F70"/>
    <w:rsid w:val="1C55362C"/>
    <w:rsid w:val="1C8F393E"/>
    <w:rsid w:val="1CAC058A"/>
    <w:rsid w:val="1CC20766"/>
    <w:rsid w:val="1CC96E50"/>
    <w:rsid w:val="1CE27F12"/>
    <w:rsid w:val="1D063C00"/>
    <w:rsid w:val="1D1237D5"/>
    <w:rsid w:val="1D152095"/>
    <w:rsid w:val="1D3554C9"/>
    <w:rsid w:val="1D57445C"/>
    <w:rsid w:val="1DB750A2"/>
    <w:rsid w:val="1DC51D0D"/>
    <w:rsid w:val="1DE34991"/>
    <w:rsid w:val="1DFC5003"/>
    <w:rsid w:val="1E081BFA"/>
    <w:rsid w:val="1E2C58E8"/>
    <w:rsid w:val="1E6C333E"/>
    <w:rsid w:val="1E6D68D2"/>
    <w:rsid w:val="1E705BCC"/>
    <w:rsid w:val="1E832DF2"/>
    <w:rsid w:val="1E9967BB"/>
    <w:rsid w:val="1EB8717C"/>
    <w:rsid w:val="1ECC6AB2"/>
    <w:rsid w:val="1ECF104B"/>
    <w:rsid w:val="1F0152BD"/>
    <w:rsid w:val="1F2A72A4"/>
    <w:rsid w:val="1F3558B5"/>
    <w:rsid w:val="1F4201E6"/>
    <w:rsid w:val="1F43738D"/>
    <w:rsid w:val="1F692CF3"/>
    <w:rsid w:val="1F8119CF"/>
    <w:rsid w:val="1F8A3212"/>
    <w:rsid w:val="1FCC54BF"/>
    <w:rsid w:val="1FD955FC"/>
    <w:rsid w:val="20104D96"/>
    <w:rsid w:val="202F7639"/>
    <w:rsid w:val="20607ACB"/>
    <w:rsid w:val="20651585"/>
    <w:rsid w:val="20717F2A"/>
    <w:rsid w:val="208A38C9"/>
    <w:rsid w:val="20A0436C"/>
    <w:rsid w:val="20A837A8"/>
    <w:rsid w:val="20B84CA3"/>
    <w:rsid w:val="20B90B25"/>
    <w:rsid w:val="20C718F8"/>
    <w:rsid w:val="20CD06F1"/>
    <w:rsid w:val="20F546B7"/>
    <w:rsid w:val="20FB5A46"/>
    <w:rsid w:val="211238C6"/>
    <w:rsid w:val="212D20A3"/>
    <w:rsid w:val="21415B4F"/>
    <w:rsid w:val="21535882"/>
    <w:rsid w:val="21562C7C"/>
    <w:rsid w:val="21A05C0C"/>
    <w:rsid w:val="21A12149"/>
    <w:rsid w:val="21A25EC1"/>
    <w:rsid w:val="21B83EF1"/>
    <w:rsid w:val="21BE0F4D"/>
    <w:rsid w:val="21DC53A3"/>
    <w:rsid w:val="220D7430"/>
    <w:rsid w:val="22266AF2"/>
    <w:rsid w:val="227E248B"/>
    <w:rsid w:val="228026A7"/>
    <w:rsid w:val="22803C35"/>
    <w:rsid w:val="22837AA1"/>
    <w:rsid w:val="22847ED7"/>
    <w:rsid w:val="22920DB6"/>
    <w:rsid w:val="22995516"/>
    <w:rsid w:val="229B303C"/>
    <w:rsid w:val="22DB168B"/>
    <w:rsid w:val="22F015DA"/>
    <w:rsid w:val="22F34C27"/>
    <w:rsid w:val="22FF1DC4"/>
    <w:rsid w:val="23185C3E"/>
    <w:rsid w:val="231B23CF"/>
    <w:rsid w:val="232343C6"/>
    <w:rsid w:val="232F5BFF"/>
    <w:rsid w:val="23356FED"/>
    <w:rsid w:val="23476D20"/>
    <w:rsid w:val="239A4BCB"/>
    <w:rsid w:val="23B5012E"/>
    <w:rsid w:val="23B6281C"/>
    <w:rsid w:val="23BA1BE8"/>
    <w:rsid w:val="23BC14BC"/>
    <w:rsid w:val="23CB16FF"/>
    <w:rsid w:val="23CF4AD8"/>
    <w:rsid w:val="23DC25DC"/>
    <w:rsid w:val="23E2040E"/>
    <w:rsid w:val="23E66539"/>
    <w:rsid w:val="23F47EA3"/>
    <w:rsid w:val="24465CBC"/>
    <w:rsid w:val="244D19E5"/>
    <w:rsid w:val="244F40DF"/>
    <w:rsid w:val="244F4D25"/>
    <w:rsid w:val="246547D2"/>
    <w:rsid w:val="246D5DE4"/>
    <w:rsid w:val="24952AED"/>
    <w:rsid w:val="24D55150"/>
    <w:rsid w:val="24E30CCB"/>
    <w:rsid w:val="24EF6ACB"/>
    <w:rsid w:val="251A12ED"/>
    <w:rsid w:val="2536687B"/>
    <w:rsid w:val="254E6E50"/>
    <w:rsid w:val="25536B14"/>
    <w:rsid w:val="255524A9"/>
    <w:rsid w:val="255A0F8D"/>
    <w:rsid w:val="255D0B9A"/>
    <w:rsid w:val="256B319A"/>
    <w:rsid w:val="2572277A"/>
    <w:rsid w:val="25973F8F"/>
    <w:rsid w:val="25981BED"/>
    <w:rsid w:val="25D22791"/>
    <w:rsid w:val="25D61B6D"/>
    <w:rsid w:val="25E740D0"/>
    <w:rsid w:val="25EE7927"/>
    <w:rsid w:val="25F147AA"/>
    <w:rsid w:val="25F9482C"/>
    <w:rsid w:val="26152D46"/>
    <w:rsid w:val="262275D1"/>
    <w:rsid w:val="2650413E"/>
    <w:rsid w:val="26647BE9"/>
    <w:rsid w:val="26674E6B"/>
    <w:rsid w:val="26832765"/>
    <w:rsid w:val="26834513"/>
    <w:rsid w:val="268F4C66"/>
    <w:rsid w:val="26A06E73"/>
    <w:rsid w:val="26A92E9F"/>
    <w:rsid w:val="26CA303B"/>
    <w:rsid w:val="26D03A87"/>
    <w:rsid w:val="26E52AD8"/>
    <w:rsid w:val="26E66850"/>
    <w:rsid w:val="26ED7BDF"/>
    <w:rsid w:val="27126FD7"/>
    <w:rsid w:val="272B58EA"/>
    <w:rsid w:val="2734505D"/>
    <w:rsid w:val="273708BD"/>
    <w:rsid w:val="274F178B"/>
    <w:rsid w:val="276A2CDE"/>
    <w:rsid w:val="276C4FA7"/>
    <w:rsid w:val="277F6F78"/>
    <w:rsid w:val="27853190"/>
    <w:rsid w:val="27887700"/>
    <w:rsid w:val="278B7A0E"/>
    <w:rsid w:val="27920CEA"/>
    <w:rsid w:val="27960276"/>
    <w:rsid w:val="27A67BE5"/>
    <w:rsid w:val="27B22C6C"/>
    <w:rsid w:val="27B4697B"/>
    <w:rsid w:val="27C22E19"/>
    <w:rsid w:val="27C62527"/>
    <w:rsid w:val="27D100FA"/>
    <w:rsid w:val="27D47410"/>
    <w:rsid w:val="27EE3C0E"/>
    <w:rsid w:val="28077F17"/>
    <w:rsid w:val="28175C2D"/>
    <w:rsid w:val="28383327"/>
    <w:rsid w:val="283D68EF"/>
    <w:rsid w:val="28480BDC"/>
    <w:rsid w:val="28490B8A"/>
    <w:rsid w:val="284A42BE"/>
    <w:rsid w:val="288307FB"/>
    <w:rsid w:val="288D390E"/>
    <w:rsid w:val="28A90D0B"/>
    <w:rsid w:val="28B01D10"/>
    <w:rsid w:val="28DB4651"/>
    <w:rsid w:val="29017B27"/>
    <w:rsid w:val="29096EBF"/>
    <w:rsid w:val="291B4956"/>
    <w:rsid w:val="295043D8"/>
    <w:rsid w:val="296707A4"/>
    <w:rsid w:val="297B2229"/>
    <w:rsid w:val="29846CBA"/>
    <w:rsid w:val="29923FC6"/>
    <w:rsid w:val="299627B0"/>
    <w:rsid w:val="299D58EC"/>
    <w:rsid w:val="29B15DDE"/>
    <w:rsid w:val="29CA4A05"/>
    <w:rsid w:val="29E3402F"/>
    <w:rsid w:val="29F73CC8"/>
    <w:rsid w:val="2A002667"/>
    <w:rsid w:val="2A250A71"/>
    <w:rsid w:val="2A25684B"/>
    <w:rsid w:val="2A26348C"/>
    <w:rsid w:val="2A5E32CD"/>
    <w:rsid w:val="2A623950"/>
    <w:rsid w:val="2A6D0F47"/>
    <w:rsid w:val="2A810D6A"/>
    <w:rsid w:val="2A924D25"/>
    <w:rsid w:val="2A9C5BA4"/>
    <w:rsid w:val="2AB92256"/>
    <w:rsid w:val="2AC62C21"/>
    <w:rsid w:val="2ACE1E53"/>
    <w:rsid w:val="2AE13EFE"/>
    <w:rsid w:val="2AF45B19"/>
    <w:rsid w:val="2B081B32"/>
    <w:rsid w:val="2B2D2CA0"/>
    <w:rsid w:val="2B495075"/>
    <w:rsid w:val="2B5743BB"/>
    <w:rsid w:val="2B62420B"/>
    <w:rsid w:val="2BC47018"/>
    <w:rsid w:val="2BCB7442"/>
    <w:rsid w:val="2BD355F5"/>
    <w:rsid w:val="2BEE0681"/>
    <w:rsid w:val="2BF47B91"/>
    <w:rsid w:val="2C0C2425"/>
    <w:rsid w:val="2C132325"/>
    <w:rsid w:val="2C427CE3"/>
    <w:rsid w:val="2C7D1337"/>
    <w:rsid w:val="2CBA11C5"/>
    <w:rsid w:val="2CBE711C"/>
    <w:rsid w:val="2CD80DEF"/>
    <w:rsid w:val="2D0068BE"/>
    <w:rsid w:val="2D04195B"/>
    <w:rsid w:val="2D0637A8"/>
    <w:rsid w:val="2D07058C"/>
    <w:rsid w:val="2D256324"/>
    <w:rsid w:val="2D4D13D7"/>
    <w:rsid w:val="2D656721"/>
    <w:rsid w:val="2D713B88"/>
    <w:rsid w:val="2D8F207D"/>
    <w:rsid w:val="2D917516"/>
    <w:rsid w:val="2D9920E6"/>
    <w:rsid w:val="2D9C42BC"/>
    <w:rsid w:val="2DA753EC"/>
    <w:rsid w:val="2DA76D39"/>
    <w:rsid w:val="2DC31699"/>
    <w:rsid w:val="2DC518B5"/>
    <w:rsid w:val="2DD5001A"/>
    <w:rsid w:val="2DD62C2E"/>
    <w:rsid w:val="2E10231E"/>
    <w:rsid w:val="2E3A1431"/>
    <w:rsid w:val="2E417CA3"/>
    <w:rsid w:val="2E4501EC"/>
    <w:rsid w:val="2E767352"/>
    <w:rsid w:val="2E8768EC"/>
    <w:rsid w:val="2EA02EE8"/>
    <w:rsid w:val="2EB72FAC"/>
    <w:rsid w:val="2EB931C8"/>
    <w:rsid w:val="2ECF230F"/>
    <w:rsid w:val="2EF220D0"/>
    <w:rsid w:val="2F071AA9"/>
    <w:rsid w:val="2F0D7070"/>
    <w:rsid w:val="2F0F176F"/>
    <w:rsid w:val="2F1D7493"/>
    <w:rsid w:val="2F300FB0"/>
    <w:rsid w:val="2F321A65"/>
    <w:rsid w:val="2F3A598B"/>
    <w:rsid w:val="2F3F11F4"/>
    <w:rsid w:val="2FC53274"/>
    <w:rsid w:val="2FD73A0C"/>
    <w:rsid w:val="2FDB163C"/>
    <w:rsid w:val="2FE25206"/>
    <w:rsid w:val="2FE303AE"/>
    <w:rsid w:val="2FE73D65"/>
    <w:rsid w:val="2FF662F5"/>
    <w:rsid w:val="2FF90936"/>
    <w:rsid w:val="30334ACB"/>
    <w:rsid w:val="306164E1"/>
    <w:rsid w:val="306B6A91"/>
    <w:rsid w:val="307D6477"/>
    <w:rsid w:val="30833B13"/>
    <w:rsid w:val="309D339E"/>
    <w:rsid w:val="30AE21AF"/>
    <w:rsid w:val="30C17A75"/>
    <w:rsid w:val="30CA29AD"/>
    <w:rsid w:val="30FA20C4"/>
    <w:rsid w:val="30FC52B5"/>
    <w:rsid w:val="31025BEE"/>
    <w:rsid w:val="3110771A"/>
    <w:rsid w:val="31260162"/>
    <w:rsid w:val="314375FF"/>
    <w:rsid w:val="314820DA"/>
    <w:rsid w:val="31534716"/>
    <w:rsid w:val="316A6A7E"/>
    <w:rsid w:val="31880C30"/>
    <w:rsid w:val="31C550D4"/>
    <w:rsid w:val="31C64430"/>
    <w:rsid w:val="31DB0486"/>
    <w:rsid w:val="31DF5CA7"/>
    <w:rsid w:val="32081D71"/>
    <w:rsid w:val="32116418"/>
    <w:rsid w:val="32164A45"/>
    <w:rsid w:val="322F2FD1"/>
    <w:rsid w:val="329830F5"/>
    <w:rsid w:val="329D086E"/>
    <w:rsid w:val="32A0644D"/>
    <w:rsid w:val="32B141B6"/>
    <w:rsid w:val="32E620B2"/>
    <w:rsid w:val="33150BE9"/>
    <w:rsid w:val="331A6C1E"/>
    <w:rsid w:val="332B5D17"/>
    <w:rsid w:val="334301D8"/>
    <w:rsid w:val="334641B2"/>
    <w:rsid w:val="33642B33"/>
    <w:rsid w:val="336631F3"/>
    <w:rsid w:val="336867E5"/>
    <w:rsid w:val="33735E81"/>
    <w:rsid w:val="33842269"/>
    <w:rsid w:val="338B4FAA"/>
    <w:rsid w:val="33A131F3"/>
    <w:rsid w:val="33A855B9"/>
    <w:rsid w:val="33D9726A"/>
    <w:rsid w:val="33DA1498"/>
    <w:rsid w:val="33F00D0E"/>
    <w:rsid w:val="33F31CB7"/>
    <w:rsid w:val="33F572C4"/>
    <w:rsid w:val="34160775"/>
    <w:rsid w:val="34190265"/>
    <w:rsid w:val="34633A60"/>
    <w:rsid w:val="34844EB9"/>
    <w:rsid w:val="348D60D4"/>
    <w:rsid w:val="34963F3F"/>
    <w:rsid w:val="349A5D8B"/>
    <w:rsid w:val="34B02C4E"/>
    <w:rsid w:val="34D158EA"/>
    <w:rsid w:val="34D16D92"/>
    <w:rsid w:val="34D348B8"/>
    <w:rsid w:val="34E649F1"/>
    <w:rsid w:val="34EE541B"/>
    <w:rsid w:val="350A1DB9"/>
    <w:rsid w:val="35197E58"/>
    <w:rsid w:val="351B1DBB"/>
    <w:rsid w:val="353A3EF8"/>
    <w:rsid w:val="354B4824"/>
    <w:rsid w:val="354E3F3E"/>
    <w:rsid w:val="355A28E3"/>
    <w:rsid w:val="356279EA"/>
    <w:rsid w:val="35C72486"/>
    <w:rsid w:val="36211653"/>
    <w:rsid w:val="364F0F9F"/>
    <w:rsid w:val="36570F1E"/>
    <w:rsid w:val="366652B8"/>
    <w:rsid w:val="36D93CDC"/>
    <w:rsid w:val="36E320F2"/>
    <w:rsid w:val="36E95CBF"/>
    <w:rsid w:val="37172072"/>
    <w:rsid w:val="371E2C4F"/>
    <w:rsid w:val="37240659"/>
    <w:rsid w:val="374D496F"/>
    <w:rsid w:val="3768226B"/>
    <w:rsid w:val="377063EE"/>
    <w:rsid w:val="377D2DBF"/>
    <w:rsid w:val="37977C3C"/>
    <w:rsid w:val="37B073B9"/>
    <w:rsid w:val="37C93F06"/>
    <w:rsid w:val="37E666B0"/>
    <w:rsid w:val="37EA7B7C"/>
    <w:rsid w:val="37F671F9"/>
    <w:rsid w:val="37FF4F6A"/>
    <w:rsid w:val="381E78D3"/>
    <w:rsid w:val="3821593A"/>
    <w:rsid w:val="383701B5"/>
    <w:rsid w:val="38404012"/>
    <w:rsid w:val="38611E86"/>
    <w:rsid w:val="387E4B3B"/>
    <w:rsid w:val="388B62BD"/>
    <w:rsid w:val="38935877"/>
    <w:rsid w:val="38B8587C"/>
    <w:rsid w:val="3965703B"/>
    <w:rsid w:val="396C0E37"/>
    <w:rsid w:val="39887364"/>
    <w:rsid w:val="399860D0"/>
    <w:rsid w:val="39AD4ACB"/>
    <w:rsid w:val="39C649EB"/>
    <w:rsid w:val="39D00B94"/>
    <w:rsid w:val="3A0E5146"/>
    <w:rsid w:val="3A161A24"/>
    <w:rsid w:val="3A1A0893"/>
    <w:rsid w:val="3A1E65D5"/>
    <w:rsid w:val="3A39340F"/>
    <w:rsid w:val="3A4B534C"/>
    <w:rsid w:val="3A7A1F34"/>
    <w:rsid w:val="3A865F28"/>
    <w:rsid w:val="3A9248CD"/>
    <w:rsid w:val="3AC73AE7"/>
    <w:rsid w:val="3ACA35C5"/>
    <w:rsid w:val="3ACC4283"/>
    <w:rsid w:val="3ADF4930"/>
    <w:rsid w:val="3B096DEB"/>
    <w:rsid w:val="3B0A0908"/>
    <w:rsid w:val="3B3068D9"/>
    <w:rsid w:val="3B437011"/>
    <w:rsid w:val="3B494880"/>
    <w:rsid w:val="3B4B75F2"/>
    <w:rsid w:val="3B567FF1"/>
    <w:rsid w:val="3B6A6C7C"/>
    <w:rsid w:val="3B8523F1"/>
    <w:rsid w:val="3B903D50"/>
    <w:rsid w:val="3B91653C"/>
    <w:rsid w:val="3BD12293"/>
    <w:rsid w:val="3BEF2420"/>
    <w:rsid w:val="3C1F4887"/>
    <w:rsid w:val="3C2E07BA"/>
    <w:rsid w:val="3C5067EE"/>
    <w:rsid w:val="3C5F4C83"/>
    <w:rsid w:val="3C6978B0"/>
    <w:rsid w:val="3C9A3DEE"/>
    <w:rsid w:val="3CAD5337"/>
    <w:rsid w:val="3CB32382"/>
    <w:rsid w:val="3CDF5E57"/>
    <w:rsid w:val="3CE31410"/>
    <w:rsid w:val="3CE84C78"/>
    <w:rsid w:val="3CFC0570"/>
    <w:rsid w:val="3D152E3B"/>
    <w:rsid w:val="3D217FFC"/>
    <w:rsid w:val="3D5839EB"/>
    <w:rsid w:val="3D5E5D7A"/>
    <w:rsid w:val="3D615AAB"/>
    <w:rsid w:val="3D6D06A3"/>
    <w:rsid w:val="3DC91C62"/>
    <w:rsid w:val="3E077380"/>
    <w:rsid w:val="3E2E206D"/>
    <w:rsid w:val="3E2E7BFD"/>
    <w:rsid w:val="3E7C5339"/>
    <w:rsid w:val="3E94330A"/>
    <w:rsid w:val="3E9E7CE5"/>
    <w:rsid w:val="3EA741B3"/>
    <w:rsid w:val="3EB70DA6"/>
    <w:rsid w:val="3ED431BF"/>
    <w:rsid w:val="3F3138FC"/>
    <w:rsid w:val="3F626F64"/>
    <w:rsid w:val="3F6D6663"/>
    <w:rsid w:val="3F6F342F"/>
    <w:rsid w:val="3F8D556B"/>
    <w:rsid w:val="3FA4757D"/>
    <w:rsid w:val="3FAA3B64"/>
    <w:rsid w:val="3FD11EED"/>
    <w:rsid w:val="3FD55988"/>
    <w:rsid w:val="3FDD65EB"/>
    <w:rsid w:val="3FE936B5"/>
    <w:rsid w:val="401B7113"/>
    <w:rsid w:val="402A3F1D"/>
    <w:rsid w:val="402B37FA"/>
    <w:rsid w:val="40552625"/>
    <w:rsid w:val="4093314D"/>
    <w:rsid w:val="40C549DC"/>
    <w:rsid w:val="40E0155A"/>
    <w:rsid w:val="41071826"/>
    <w:rsid w:val="41097D80"/>
    <w:rsid w:val="411B386E"/>
    <w:rsid w:val="413519E5"/>
    <w:rsid w:val="4148640D"/>
    <w:rsid w:val="41526B64"/>
    <w:rsid w:val="418B02DE"/>
    <w:rsid w:val="41A41E99"/>
    <w:rsid w:val="41B7114E"/>
    <w:rsid w:val="41D57EC1"/>
    <w:rsid w:val="41EB146A"/>
    <w:rsid w:val="41F67E38"/>
    <w:rsid w:val="41F73C96"/>
    <w:rsid w:val="420E5181"/>
    <w:rsid w:val="42103651"/>
    <w:rsid w:val="421502BE"/>
    <w:rsid w:val="42172E09"/>
    <w:rsid w:val="42254279"/>
    <w:rsid w:val="42260D80"/>
    <w:rsid w:val="422800C4"/>
    <w:rsid w:val="42304DCB"/>
    <w:rsid w:val="42BD0A46"/>
    <w:rsid w:val="42C512FB"/>
    <w:rsid w:val="42D24401"/>
    <w:rsid w:val="42E756C5"/>
    <w:rsid w:val="42EC22F6"/>
    <w:rsid w:val="43065E58"/>
    <w:rsid w:val="430F7403"/>
    <w:rsid w:val="431C7F89"/>
    <w:rsid w:val="43284021"/>
    <w:rsid w:val="43324D3B"/>
    <w:rsid w:val="4339622E"/>
    <w:rsid w:val="433A2642"/>
    <w:rsid w:val="435818D4"/>
    <w:rsid w:val="437A0AD4"/>
    <w:rsid w:val="43853221"/>
    <w:rsid w:val="43874121"/>
    <w:rsid w:val="43A44CBA"/>
    <w:rsid w:val="43AF029E"/>
    <w:rsid w:val="43C401ED"/>
    <w:rsid w:val="43C466EB"/>
    <w:rsid w:val="4427252A"/>
    <w:rsid w:val="44590E3F"/>
    <w:rsid w:val="445E7F59"/>
    <w:rsid w:val="44A67896"/>
    <w:rsid w:val="44A92F3F"/>
    <w:rsid w:val="44C71778"/>
    <w:rsid w:val="44E12F57"/>
    <w:rsid w:val="451302DE"/>
    <w:rsid w:val="451376C1"/>
    <w:rsid w:val="45592BB7"/>
    <w:rsid w:val="455D6D5F"/>
    <w:rsid w:val="45701CAF"/>
    <w:rsid w:val="45B71B11"/>
    <w:rsid w:val="45B778DE"/>
    <w:rsid w:val="45B95580"/>
    <w:rsid w:val="45BA10C5"/>
    <w:rsid w:val="45F4468E"/>
    <w:rsid w:val="460155D9"/>
    <w:rsid w:val="460A7EE3"/>
    <w:rsid w:val="46271523"/>
    <w:rsid w:val="462D194E"/>
    <w:rsid w:val="465F4E30"/>
    <w:rsid w:val="469519CD"/>
    <w:rsid w:val="469879CA"/>
    <w:rsid w:val="46BF1035"/>
    <w:rsid w:val="47147BD5"/>
    <w:rsid w:val="4715739B"/>
    <w:rsid w:val="476620AC"/>
    <w:rsid w:val="477A0BC3"/>
    <w:rsid w:val="4799013B"/>
    <w:rsid w:val="479E648A"/>
    <w:rsid w:val="47B16CDB"/>
    <w:rsid w:val="47BE4873"/>
    <w:rsid w:val="47D05D34"/>
    <w:rsid w:val="484506F7"/>
    <w:rsid w:val="485B6C46"/>
    <w:rsid w:val="48783354"/>
    <w:rsid w:val="487D056E"/>
    <w:rsid w:val="48A11624"/>
    <w:rsid w:val="48AF5FEF"/>
    <w:rsid w:val="48B50408"/>
    <w:rsid w:val="48E02C37"/>
    <w:rsid w:val="492D763A"/>
    <w:rsid w:val="496362C2"/>
    <w:rsid w:val="496F51B4"/>
    <w:rsid w:val="499C60AE"/>
    <w:rsid w:val="49A40179"/>
    <w:rsid w:val="49A60395"/>
    <w:rsid w:val="49A72240"/>
    <w:rsid w:val="49CF6810"/>
    <w:rsid w:val="4A003601"/>
    <w:rsid w:val="4A116A41"/>
    <w:rsid w:val="4A1470AD"/>
    <w:rsid w:val="4A2B177C"/>
    <w:rsid w:val="4A6601A3"/>
    <w:rsid w:val="4A7F34DA"/>
    <w:rsid w:val="4A890ED6"/>
    <w:rsid w:val="4A8D3670"/>
    <w:rsid w:val="4AC05487"/>
    <w:rsid w:val="4AEC627C"/>
    <w:rsid w:val="4AFD2237"/>
    <w:rsid w:val="4B2257F9"/>
    <w:rsid w:val="4B2B0B52"/>
    <w:rsid w:val="4B376839"/>
    <w:rsid w:val="4B4E0533"/>
    <w:rsid w:val="4B4E4840"/>
    <w:rsid w:val="4B4F0750"/>
    <w:rsid w:val="4B4F1990"/>
    <w:rsid w:val="4B6202EC"/>
    <w:rsid w:val="4B75001F"/>
    <w:rsid w:val="4B9B1E02"/>
    <w:rsid w:val="4BBA1ED6"/>
    <w:rsid w:val="4BC863A1"/>
    <w:rsid w:val="4BE759D5"/>
    <w:rsid w:val="4BF4668B"/>
    <w:rsid w:val="4BF70A34"/>
    <w:rsid w:val="4BFF0910"/>
    <w:rsid w:val="4C1432BC"/>
    <w:rsid w:val="4C2F29BE"/>
    <w:rsid w:val="4C5A1C92"/>
    <w:rsid w:val="4C5D614A"/>
    <w:rsid w:val="4C601BB3"/>
    <w:rsid w:val="4C7B3413"/>
    <w:rsid w:val="4C9C479A"/>
    <w:rsid w:val="4C9E5354"/>
    <w:rsid w:val="4CAF5B83"/>
    <w:rsid w:val="4CC6019D"/>
    <w:rsid w:val="4CCF612A"/>
    <w:rsid w:val="4CD945DE"/>
    <w:rsid w:val="4CDD40CE"/>
    <w:rsid w:val="4CEE62DB"/>
    <w:rsid w:val="4D005027"/>
    <w:rsid w:val="4D1A32BA"/>
    <w:rsid w:val="4D4C50E4"/>
    <w:rsid w:val="4D5D0D6B"/>
    <w:rsid w:val="4D7C333E"/>
    <w:rsid w:val="4D805CA4"/>
    <w:rsid w:val="4D891B60"/>
    <w:rsid w:val="4DC176EF"/>
    <w:rsid w:val="4DC96400"/>
    <w:rsid w:val="4DE712D5"/>
    <w:rsid w:val="4DF711BF"/>
    <w:rsid w:val="4E07496F"/>
    <w:rsid w:val="4E1A0D1A"/>
    <w:rsid w:val="4E276CCD"/>
    <w:rsid w:val="4E390D09"/>
    <w:rsid w:val="4E3F7F89"/>
    <w:rsid w:val="4E802CA1"/>
    <w:rsid w:val="4E834801"/>
    <w:rsid w:val="4E865164"/>
    <w:rsid w:val="4E8F62C2"/>
    <w:rsid w:val="4E9C4FE8"/>
    <w:rsid w:val="4EA12F2C"/>
    <w:rsid w:val="4EB92457"/>
    <w:rsid w:val="4ECD685D"/>
    <w:rsid w:val="4EE67094"/>
    <w:rsid w:val="4EEE25F0"/>
    <w:rsid w:val="4F0771E0"/>
    <w:rsid w:val="4F1813ED"/>
    <w:rsid w:val="4F1F4BD3"/>
    <w:rsid w:val="4F2B31C3"/>
    <w:rsid w:val="4F473A81"/>
    <w:rsid w:val="4F562CCF"/>
    <w:rsid w:val="4F7F321A"/>
    <w:rsid w:val="4FB808B8"/>
    <w:rsid w:val="4FDF63AF"/>
    <w:rsid w:val="4FEA1F32"/>
    <w:rsid w:val="4FED6C7C"/>
    <w:rsid w:val="4FF53E4A"/>
    <w:rsid w:val="50206901"/>
    <w:rsid w:val="503264DF"/>
    <w:rsid w:val="50364453"/>
    <w:rsid w:val="50374AE4"/>
    <w:rsid w:val="506F73E0"/>
    <w:rsid w:val="50723FA4"/>
    <w:rsid w:val="507B1B11"/>
    <w:rsid w:val="50921E0B"/>
    <w:rsid w:val="509267B4"/>
    <w:rsid w:val="50B16D4A"/>
    <w:rsid w:val="50BB2978"/>
    <w:rsid w:val="50BD4E1F"/>
    <w:rsid w:val="50BE7D72"/>
    <w:rsid w:val="50EC48E0"/>
    <w:rsid w:val="51033C78"/>
    <w:rsid w:val="5139213B"/>
    <w:rsid w:val="514D42FE"/>
    <w:rsid w:val="51865FE2"/>
    <w:rsid w:val="51890F52"/>
    <w:rsid w:val="518E1E3B"/>
    <w:rsid w:val="518F2482"/>
    <w:rsid w:val="51A10970"/>
    <w:rsid w:val="51B7558C"/>
    <w:rsid w:val="51BA64BB"/>
    <w:rsid w:val="51BD44CE"/>
    <w:rsid w:val="51CF03A0"/>
    <w:rsid w:val="51D449D7"/>
    <w:rsid w:val="51D5494E"/>
    <w:rsid w:val="51D61D88"/>
    <w:rsid w:val="51D86880"/>
    <w:rsid w:val="51ED32B0"/>
    <w:rsid w:val="51FC2A61"/>
    <w:rsid w:val="52305A4C"/>
    <w:rsid w:val="525C3CE7"/>
    <w:rsid w:val="52790720"/>
    <w:rsid w:val="529C042A"/>
    <w:rsid w:val="52A20049"/>
    <w:rsid w:val="52B256B5"/>
    <w:rsid w:val="52B6147C"/>
    <w:rsid w:val="52B92EE7"/>
    <w:rsid w:val="52C62F8D"/>
    <w:rsid w:val="52D4387D"/>
    <w:rsid w:val="52D73541"/>
    <w:rsid w:val="52D76772"/>
    <w:rsid w:val="52EB0BC7"/>
    <w:rsid w:val="52EB3111"/>
    <w:rsid w:val="52F21F55"/>
    <w:rsid w:val="5303729C"/>
    <w:rsid w:val="530B5CD4"/>
    <w:rsid w:val="53373E0C"/>
    <w:rsid w:val="533B6A69"/>
    <w:rsid w:val="5349426B"/>
    <w:rsid w:val="5366580D"/>
    <w:rsid w:val="537A24E5"/>
    <w:rsid w:val="53AF4198"/>
    <w:rsid w:val="53BE05B9"/>
    <w:rsid w:val="53C14124"/>
    <w:rsid w:val="53C75190"/>
    <w:rsid w:val="53E23643"/>
    <w:rsid w:val="53E33630"/>
    <w:rsid w:val="53FB2901"/>
    <w:rsid w:val="542B571F"/>
    <w:rsid w:val="543053DD"/>
    <w:rsid w:val="544902DE"/>
    <w:rsid w:val="54AD72FB"/>
    <w:rsid w:val="54C31DFB"/>
    <w:rsid w:val="54DD4AE6"/>
    <w:rsid w:val="55004AAD"/>
    <w:rsid w:val="5507618C"/>
    <w:rsid w:val="5508477A"/>
    <w:rsid w:val="551D2513"/>
    <w:rsid w:val="55270A38"/>
    <w:rsid w:val="55271527"/>
    <w:rsid w:val="55957FC3"/>
    <w:rsid w:val="559A62AF"/>
    <w:rsid w:val="55A00F40"/>
    <w:rsid w:val="55AE6607"/>
    <w:rsid w:val="55B852EE"/>
    <w:rsid w:val="55BA31FE"/>
    <w:rsid w:val="55C57DF1"/>
    <w:rsid w:val="55D77D4F"/>
    <w:rsid w:val="55DF4A13"/>
    <w:rsid w:val="55ED2EE0"/>
    <w:rsid w:val="55F4547F"/>
    <w:rsid w:val="55FC3B84"/>
    <w:rsid w:val="56184813"/>
    <w:rsid w:val="562D7CD9"/>
    <w:rsid w:val="564646E7"/>
    <w:rsid w:val="564D221C"/>
    <w:rsid w:val="565E489A"/>
    <w:rsid w:val="56A63783"/>
    <w:rsid w:val="56C9467C"/>
    <w:rsid w:val="56CD6F61"/>
    <w:rsid w:val="56EB5639"/>
    <w:rsid w:val="56F22A32"/>
    <w:rsid w:val="572A6162"/>
    <w:rsid w:val="573C2881"/>
    <w:rsid w:val="57476D14"/>
    <w:rsid w:val="57503EF1"/>
    <w:rsid w:val="57584FC8"/>
    <w:rsid w:val="57596A47"/>
    <w:rsid w:val="575B27BF"/>
    <w:rsid w:val="576565CB"/>
    <w:rsid w:val="57742049"/>
    <w:rsid w:val="57833712"/>
    <w:rsid w:val="578D049F"/>
    <w:rsid w:val="579409DA"/>
    <w:rsid w:val="57940B30"/>
    <w:rsid w:val="57BA67C5"/>
    <w:rsid w:val="57C00874"/>
    <w:rsid w:val="57D4431F"/>
    <w:rsid w:val="57D933E0"/>
    <w:rsid w:val="57E24FBA"/>
    <w:rsid w:val="57EE149B"/>
    <w:rsid w:val="57EF4CB5"/>
    <w:rsid w:val="57F95B34"/>
    <w:rsid w:val="5801089C"/>
    <w:rsid w:val="58124774"/>
    <w:rsid w:val="5815459A"/>
    <w:rsid w:val="58562316"/>
    <w:rsid w:val="587D49B7"/>
    <w:rsid w:val="58823D7B"/>
    <w:rsid w:val="58847AF3"/>
    <w:rsid w:val="588564EA"/>
    <w:rsid w:val="58A41F44"/>
    <w:rsid w:val="58CE2190"/>
    <w:rsid w:val="58F5454D"/>
    <w:rsid w:val="593005BF"/>
    <w:rsid w:val="596925A5"/>
    <w:rsid w:val="596F5057"/>
    <w:rsid w:val="59A55F73"/>
    <w:rsid w:val="59BE70D6"/>
    <w:rsid w:val="59D86349"/>
    <w:rsid w:val="59DD570D"/>
    <w:rsid w:val="59F91E1B"/>
    <w:rsid w:val="5A01354B"/>
    <w:rsid w:val="5A0518B3"/>
    <w:rsid w:val="5A2275C4"/>
    <w:rsid w:val="5A4A649B"/>
    <w:rsid w:val="5A4C128D"/>
    <w:rsid w:val="5A4C7CA2"/>
    <w:rsid w:val="5A53777D"/>
    <w:rsid w:val="5A584D94"/>
    <w:rsid w:val="5A9009D2"/>
    <w:rsid w:val="5AAE1676"/>
    <w:rsid w:val="5AC55625"/>
    <w:rsid w:val="5ACC6A4D"/>
    <w:rsid w:val="5AD81E24"/>
    <w:rsid w:val="5AE20B01"/>
    <w:rsid w:val="5B0F6823"/>
    <w:rsid w:val="5B2836D5"/>
    <w:rsid w:val="5B661732"/>
    <w:rsid w:val="5B793214"/>
    <w:rsid w:val="5B7A6F8C"/>
    <w:rsid w:val="5B80368C"/>
    <w:rsid w:val="5B9E068A"/>
    <w:rsid w:val="5BAD7361"/>
    <w:rsid w:val="5BC621D1"/>
    <w:rsid w:val="5BDB6A8B"/>
    <w:rsid w:val="5BE76B6F"/>
    <w:rsid w:val="5BF6341D"/>
    <w:rsid w:val="5BFA436F"/>
    <w:rsid w:val="5C036F81"/>
    <w:rsid w:val="5C441A74"/>
    <w:rsid w:val="5C584A0D"/>
    <w:rsid w:val="5C5D2B35"/>
    <w:rsid w:val="5C7560D1"/>
    <w:rsid w:val="5C785A4A"/>
    <w:rsid w:val="5C8A4BAE"/>
    <w:rsid w:val="5CD071EB"/>
    <w:rsid w:val="5CD85AE1"/>
    <w:rsid w:val="5CE7440B"/>
    <w:rsid w:val="5CEC5C67"/>
    <w:rsid w:val="5D03534B"/>
    <w:rsid w:val="5D375134"/>
    <w:rsid w:val="5D705BAB"/>
    <w:rsid w:val="5D734AE1"/>
    <w:rsid w:val="5DA452E5"/>
    <w:rsid w:val="5DC42740"/>
    <w:rsid w:val="5DF272AD"/>
    <w:rsid w:val="5E317DD6"/>
    <w:rsid w:val="5E3C5005"/>
    <w:rsid w:val="5E3E0745"/>
    <w:rsid w:val="5E761C8C"/>
    <w:rsid w:val="5E7A731E"/>
    <w:rsid w:val="5E7E23E5"/>
    <w:rsid w:val="5E9E2D4D"/>
    <w:rsid w:val="5EA160B2"/>
    <w:rsid w:val="5EAF00A9"/>
    <w:rsid w:val="5EC62C14"/>
    <w:rsid w:val="5ED7354C"/>
    <w:rsid w:val="5EE66E12"/>
    <w:rsid w:val="5EF46E1E"/>
    <w:rsid w:val="5F2A4E35"/>
    <w:rsid w:val="5F484AAD"/>
    <w:rsid w:val="5F6661A5"/>
    <w:rsid w:val="5F704A26"/>
    <w:rsid w:val="5FAB66BA"/>
    <w:rsid w:val="5FAE5456"/>
    <w:rsid w:val="5FB539CC"/>
    <w:rsid w:val="5FCC6526"/>
    <w:rsid w:val="6008100A"/>
    <w:rsid w:val="60193217"/>
    <w:rsid w:val="601E5502"/>
    <w:rsid w:val="60390672"/>
    <w:rsid w:val="604A33D1"/>
    <w:rsid w:val="604E1113"/>
    <w:rsid w:val="60593614"/>
    <w:rsid w:val="607272CC"/>
    <w:rsid w:val="607B5964"/>
    <w:rsid w:val="60872213"/>
    <w:rsid w:val="609943F6"/>
    <w:rsid w:val="60BA1016"/>
    <w:rsid w:val="60FC519A"/>
    <w:rsid w:val="61476329"/>
    <w:rsid w:val="614F51FB"/>
    <w:rsid w:val="61533593"/>
    <w:rsid w:val="61572249"/>
    <w:rsid w:val="618302A0"/>
    <w:rsid w:val="6191069B"/>
    <w:rsid w:val="61AA2B5C"/>
    <w:rsid w:val="61C71439"/>
    <w:rsid w:val="61CD42B9"/>
    <w:rsid w:val="61D116DC"/>
    <w:rsid w:val="61D24292"/>
    <w:rsid w:val="61FE0917"/>
    <w:rsid w:val="62056794"/>
    <w:rsid w:val="621E68C3"/>
    <w:rsid w:val="625F5B3B"/>
    <w:rsid w:val="62A0441B"/>
    <w:rsid w:val="62A82919"/>
    <w:rsid w:val="62AE40EB"/>
    <w:rsid w:val="62E07A8F"/>
    <w:rsid w:val="631F28F3"/>
    <w:rsid w:val="633A3BD0"/>
    <w:rsid w:val="633C5103"/>
    <w:rsid w:val="63447D3F"/>
    <w:rsid w:val="63487979"/>
    <w:rsid w:val="6355498B"/>
    <w:rsid w:val="63567371"/>
    <w:rsid w:val="635F6634"/>
    <w:rsid w:val="63E47698"/>
    <w:rsid w:val="64254D6C"/>
    <w:rsid w:val="643B7C2E"/>
    <w:rsid w:val="6449573F"/>
    <w:rsid w:val="6461518D"/>
    <w:rsid w:val="648A0240"/>
    <w:rsid w:val="648C61C9"/>
    <w:rsid w:val="649066CE"/>
    <w:rsid w:val="64A0522C"/>
    <w:rsid w:val="64B40718"/>
    <w:rsid w:val="64BE623C"/>
    <w:rsid w:val="64DD4813"/>
    <w:rsid w:val="64E57F6D"/>
    <w:rsid w:val="65183A9D"/>
    <w:rsid w:val="651E4E2C"/>
    <w:rsid w:val="658A1D19"/>
    <w:rsid w:val="658B25A8"/>
    <w:rsid w:val="659A6BA8"/>
    <w:rsid w:val="659F57DB"/>
    <w:rsid w:val="65B17A4E"/>
    <w:rsid w:val="65B3194D"/>
    <w:rsid w:val="65CE74AD"/>
    <w:rsid w:val="65E25E59"/>
    <w:rsid w:val="65EB394E"/>
    <w:rsid w:val="65EC7449"/>
    <w:rsid w:val="6603474E"/>
    <w:rsid w:val="660E4EA0"/>
    <w:rsid w:val="661A19B5"/>
    <w:rsid w:val="661C5D4D"/>
    <w:rsid w:val="66240220"/>
    <w:rsid w:val="665D4CD0"/>
    <w:rsid w:val="66660838"/>
    <w:rsid w:val="66770C98"/>
    <w:rsid w:val="66866023"/>
    <w:rsid w:val="66976C44"/>
    <w:rsid w:val="66B9456E"/>
    <w:rsid w:val="66C207B0"/>
    <w:rsid w:val="66C87F07"/>
    <w:rsid w:val="66CB4B3F"/>
    <w:rsid w:val="66D34947"/>
    <w:rsid w:val="670519A4"/>
    <w:rsid w:val="672122EC"/>
    <w:rsid w:val="673C7FD0"/>
    <w:rsid w:val="674A6CC4"/>
    <w:rsid w:val="675F4E6C"/>
    <w:rsid w:val="676346CC"/>
    <w:rsid w:val="67746F85"/>
    <w:rsid w:val="67780823"/>
    <w:rsid w:val="67C20BF7"/>
    <w:rsid w:val="67D432D5"/>
    <w:rsid w:val="67D84977"/>
    <w:rsid w:val="67E45EB9"/>
    <w:rsid w:val="67F2789F"/>
    <w:rsid w:val="68174103"/>
    <w:rsid w:val="681F3395"/>
    <w:rsid w:val="684A3248"/>
    <w:rsid w:val="68790CB1"/>
    <w:rsid w:val="687E00BB"/>
    <w:rsid w:val="688E6065"/>
    <w:rsid w:val="68900C2C"/>
    <w:rsid w:val="68990544"/>
    <w:rsid w:val="689F4FDB"/>
    <w:rsid w:val="68B65AA7"/>
    <w:rsid w:val="68D51CA5"/>
    <w:rsid w:val="68F95994"/>
    <w:rsid w:val="690600B1"/>
    <w:rsid w:val="6930042C"/>
    <w:rsid w:val="695A0B28"/>
    <w:rsid w:val="698E5C96"/>
    <w:rsid w:val="699B6A4B"/>
    <w:rsid w:val="699D6C67"/>
    <w:rsid w:val="69A31628"/>
    <w:rsid w:val="69E47297"/>
    <w:rsid w:val="69E93C5A"/>
    <w:rsid w:val="69EB5C3D"/>
    <w:rsid w:val="6A056C5C"/>
    <w:rsid w:val="6A0E449D"/>
    <w:rsid w:val="6A2E78BF"/>
    <w:rsid w:val="6A2F3E43"/>
    <w:rsid w:val="6A394B10"/>
    <w:rsid w:val="6A3D3930"/>
    <w:rsid w:val="6A44520F"/>
    <w:rsid w:val="6A483C28"/>
    <w:rsid w:val="6A5D1F52"/>
    <w:rsid w:val="6A7C062B"/>
    <w:rsid w:val="6AA95198"/>
    <w:rsid w:val="6AB9032C"/>
    <w:rsid w:val="6ABB6C9C"/>
    <w:rsid w:val="6AD9189E"/>
    <w:rsid w:val="6AE563D8"/>
    <w:rsid w:val="6B2D7B77"/>
    <w:rsid w:val="6B2E3D42"/>
    <w:rsid w:val="6B3247F9"/>
    <w:rsid w:val="6B341F03"/>
    <w:rsid w:val="6B4E74C4"/>
    <w:rsid w:val="6B5B46E4"/>
    <w:rsid w:val="6B692BDE"/>
    <w:rsid w:val="6B7C5673"/>
    <w:rsid w:val="6B7E03D2"/>
    <w:rsid w:val="6BC32289"/>
    <w:rsid w:val="6BC608D8"/>
    <w:rsid w:val="6BD546E2"/>
    <w:rsid w:val="6BDA6C7A"/>
    <w:rsid w:val="6C094140"/>
    <w:rsid w:val="6C0C0BE2"/>
    <w:rsid w:val="6C1873D9"/>
    <w:rsid w:val="6C432EAB"/>
    <w:rsid w:val="6C5409E7"/>
    <w:rsid w:val="6C5539AC"/>
    <w:rsid w:val="6CA90B9D"/>
    <w:rsid w:val="6CC369E5"/>
    <w:rsid w:val="6CCF7B5A"/>
    <w:rsid w:val="6CE81115"/>
    <w:rsid w:val="6D0B038C"/>
    <w:rsid w:val="6D6579D8"/>
    <w:rsid w:val="6D700BD1"/>
    <w:rsid w:val="6D7101EF"/>
    <w:rsid w:val="6D7355DD"/>
    <w:rsid w:val="6D7F230E"/>
    <w:rsid w:val="6D8C7324"/>
    <w:rsid w:val="6D9D5488"/>
    <w:rsid w:val="6D9D6F89"/>
    <w:rsid w:val="6DA06A61"/>
    <w:rsid w:val="6DC02F24"/>
    <w:rsid w:val="6DFA4963"/>
    <w:rsid w:val="6E22598D"/>
    <w:rsid w:val="6E376A09"/>
    <w:rsid w:val="6E4C7344"/>
    <w:rsid w:val="6E4F6056"/>
    <w:rsid w:val="6E5F3F4B"/>
    <w:rsid w:val="6E8C12D1"/>
    <w:rsid w:val="6EB20C27"/>
    <w:rsid w:val="6EBF2834"/>
    <w:rsid w:val="6ECA1524"/>
    <w:rsid w:val="6EE14F8A"/>
    <w:rsid w:val="6EED1AF7"/>
    <w:rsid w:val="6EF54E4F"/>
    <w:rsid w:val="6EFF182A"/>
    <w:rsid w:val="6F284536"/>
    <w:rsid w:val="6F35349E"/>
    <w:rsid w:val="6F397C4F"/>
    <w:rsid w:val="6F4B4A6F"/>
    <w:rsid w:val="6F5953DE"/>
    <w:rsid w:val="6F5F7E81"/>
    <w:rsid w:val="6F61645F"/>
    <w:rsid w:val="6F733592"/>
    <w:rsid w:val="6F7B5355"/>
    <w:rsid w:val="6F7D1C3F"/>
    <w:rsid w:val="6F9B29AB"/>
    <w:rsid w:val="6FBC006E"/>
    <w:rsid w:val="6FCF7FAB"/>
    <w:rsid w:val="6FD50999"/>
    <w:rsid w:val="6FD6520B"/>
    <w:rsid w:val="6FDB5DF3"/>
    <w:rsid w:val="6FE7655A"/>
    <w:rsid w:val="6FF11EBF"/>
    <w:rsid w:val="70003AAC"/>
    <w:rsid w:val="7000585A"/>
    <w:rsid w:val="70160934"/>
    <w:rsid w:val="70415CA3"/>
    <w:rsid w:val="70433998"/>
    <w:rsid w:val="706F71EC"/>
    <w:rsid w:val="70715D1C"/>
    <w:rsid w:val="70840239"/>
    <w:rsid w:val="70A3624A"/>
    <w:rsid w:val="70A6040A"/>
    <w:rsid w:val="70B772CD"/>
    <w:rsid w:val="70BE7AA5"/>
    <w:rsid w:val="70E04E91"/>
    <w:rsid w:val="715845FE"/>
    <w:rsid w:val="71836742"/>
    <w:rsid w:val="719839C7"/>
    <w:rsid w:val="71991D6D"/>
    <w:rsid w:val="71AB7A47"/>
    <w:rsid w:val="71E11860"/>
    <w:rsid w:val="72242951"/>
    <w:rsid w:val="722A4382"/>
    <w:rsid w:val="722F0678"/>
    <w:rsid w:val="722F68CA"/>
    <w:rsid w:val="723260D7"/>
    <w:rsid w:val="7241581D"/>
    <w:rsid w:val="724A3704"/>
    <w:rsid w:val="726C367A"/>
    <w:rsid w:val="72866E0A"/>
    <w:rsid w:val="72A66B9A"/>
    <w:rsid w:val="72B7679A"/>
    <w:rsid w:val="72C94629"/>
    <w:rsid w:val="72EB65E8"/>
    <w:rsid w:val="72F07381"/>
    <w:rsid w:val="730D7924"/>
    <w:rsid w:val="731D4975"/>
    <w:rsid w:val="736B27D3"/>
    <w:rsid w:val="73705753"/>
    <w:rsid w:val="73974144"/>
    <w:rsid w:val="73D17591"/>
    <w:rsid w:val="73D73C05"/>
    <w:rsid w:val="73FE0302"/>
    <w:rsid w:val="74081C27"/>
    <w:rsid w:val="740C1331"/>
    <w:rsid w:val="74220E03"/>
    <w:rsid w:val="744C7CFC"/>
    <w:rsid w:val="745919DD"/>
    <w:rsid w:val="745E5245"/>
    <w:rsid w:val="7460646C"/>
    <w:rsid w:val="74930E8A"/>
    <w:rsid w:val="749B3DA3"/>
    <w:rsid w:val="74B16EFA"/>
    <w:rsid w:val="74D26BC9"/>
    <w:rsid w:val="74FA2B93"/>
    <w:rsid w:val="75013D26"/>
    <w:rsid w:val="7513293E"/>
    <w:rsid w:val="751C4A37"/>
    <w:rsid w:val="752E4C17"/>
    <w:rsid w:val="75355FA6"/>
    <w:rsid w:val="75616A81"/>
    <w:rsid w:val="75640639"/>
    <w:rsid w:val="758E216D"/>
    <w:rsid w:val="75D031CF"/>
    <w:rsid w:val="75E50038"/>
    <w:rsid w:val="75F85C3A"/>
    <w:rsid w:val="76086AF3"/>
    <w:rsid w:val="760C32A3"/>
    <w:rsid w:val="761E665C"/>
    <w:rsid w:val="76481B4F"/>
    <w:rsid w:val="764C351C"/>
    <w:rsid w:val="76524935"/>
    <w:rsid w:val="765C7562"/>
    <w:rsid w:val="7662101C"/>
    <w:rsid w:val="76641728"/>
    <w:rsid w:val="767B6391"/>
    <w:rsid w:val="768C47F8"/>
    <w:rsid w:val="769211D6"/>
    <w:rsid w:val="76A827A7"/>
    <w:rsid w:val="76B002EC"/>
    <w:rsid w:val="76B80C3C"/>
    <w:rsid w:val="77097262"/>
    <w:rsid w:val="772A6B84"/>
    <w:rsid w:val="77381D7D"/>
    <w:rsid w:val="773A5AF5"/>
    <w:rsid w:val="774E7257"/>
    <w:rsid w:val="776C1A27"/>
    <w:rsid w:val="778B45A3"/>
    <w:rsid w:val="77966D42"/>
    <w:rsid w:val="77A80CB1"/>
    <w:rsid w:val="77B91110"/>
    <w:rsid w:val="77C22C5C"/>
    <w:rsid w:val="780659D7"/>
    <w:rsid w:val="780E7E5F"/>
    <w:rsid w:val="7814493D"/>
    <w:rsid w:val="782B7E83"/>
    <w:rsid w:val="783562BD"/>
    <w:rsid w:val="783828A6"/>
    <w:rsid w:val="78456DCF"/>
    <w:rsid w:val="7871156E"/>
    <w:rsid w:val="78AF2513"/>
    <w:rsid w:val="78D20837"/>
    <w:rsid w:val="78D60657"/>
    <w:rsid w:val="78D6184E"/>
    <w:rsid w:val="78D766EA"/>
    <w:rsid w:val="78EF00C7"/>
    <w:rsid w:val="78F30652"/>
    <w:rsid w:val="78FE2B52"/>
    <w:rsid w:val="7909677D"/>
    <w:rsid w:val="790C75C1"/>
    <w:rsid w:val="79131EC6"/>
    <w:rsid w:val="79165DDC"/>
    <w:rsid w:val="79186D67"/>
    <w:rsid w:val="793223B0"/>
    <w:rsid w:val="793E60EE"/>
    <w:rsid w:val="796706F8"/>
    <w:rsid w:val="79756B26"/>
    <w:rsid w:val="79806E99"/>
    <w:rsid w:val="79824362"/>
    <w:rsid w:val="79917A0D"/>
    <w:rsid w:val="79986B03"/>
    <w:rsid w:val="79B71A16"/>
    <w:rsid w:val="79CC49FF"/>
    <w:rsid w:val="7A0B2382"/>
    <w:rsid w:val="7A1268B5"/>
    <w:rsid w:val="7A3B22B0"/>
    <w:rsid w:val="7A9814B1"/>
    <w:rsid w:val="7A9C7DD7"/>
    <w:rsid w:val="7AA078CD"/>
    <w:rsid w:val="7ACE1446"/>
    <w:rsid w:val="7AD005EF"/>
    <w:rsid w:val="7ADD7A7C"/>
    <w:rsid w:val="7AF36362"/>
    <w:rsid w:val="7B1D33FC"/>
    <w:rsid w:val="7B1E128A"/>
    <w:rsid w:val="7B346CFF"/>
    <w:rsid w:val="7B3665D4"/>
    <w:rsid w:val="7B476A33"/>
    <w:rsid w:val="7B71585E"/>
    <w:rsid w:val="7B901196"/>
    <w:rsid w:val="7B9D57DF"/>
    <w:rsid w:val="7BE55790"/>
    <w:rsid w:val="7BF12F29"/>
    <w:rsid w:val="7BF411CF"/>
    <w:rsid w:val="7C0250F8"/>
    <w:rsid w:val="7C3C1DBF"/>
    <w:rsid w:val="7C3C5E6C"/>
    <w:rsid w:val="7C4E5B9F"/>
    <w:rsid w:val="7C66126F"/>
    <w:rsid w:val="7C684EAD"/>
    <w:rsid w:val="7C6D4277"/>
    <w:rsid w:val="7C6F6210"/>
    <w:rsid w:val="7C727ADF"/>
    <w:rsid w:val="7C75312C"/>
    <w:rsid w:val="7C7C5D27"/>
    <w:rsid w:val="7C967BB3"/>
    <w:rsid w:val="7C9C1F1E"/>
    <w:rsid w:val="7CA9476E"/>
    <w:rsid w:val="7CCE096B"/>
    <w:rsid w:val="7CD37E68"/>
    <w:rsid w:val="7CD95DB0"/>
    <w:rsid w:val="7D0006C9"/>
    <w:rsid w:val="7D0D7808"/>
    <w:rsid w:val="7D224368"/>
    <w:rsid w:val="7D44147C"/>
    <w:rsid w:val="7D5F006C"/>
    <w:rsid w:val="7D6F6242"/>
    <w:rsid w:val="7D7346BB"/>
    <w:rsid w:val="7DB83C60"/>
    <w:rsid w:val="7DB9671E"/>
    <w:rsid w:val="7DCA74A7"/>
    <w:rsid w:val="7DCB394B"/>
    <w:rsid w:val="7DDD3193"/>
    <w:rsid w:val="7DDF6BD3"/>
    <w:rsid w:val="7E12157A"/>
    <w:rsid w:val="7E1D3A7B"/>
    <w:rsid w:val="7E3660BC"/>
    <w:rsid w:val="7E44104E"/>
    <w:rsid w:val="7E464086"/>
    <w:rsid w:val="7E4F4CC7"/>
    <w:rsid w:val="7E535169"/>
    <w:rsid w:val="7E5B6E43"/>
    <w:rsid w:val="7E685AFC"/>
    <w:rsid w:val="7E8266AF"/>
    <w:rsid w:val="7E83045A"/>
    <w:rsid w:val="7E953F59"/>
    <w:rsid w:val="7EBA02C1"/>
    <w:rsid w:val="7EC109B8"/>
    <w:rsid w:val="7EC23A71"/>
    <w:rsid w:val="7EE21CD9"/>
    <w:rsid w:val="7F2C6B94"/>
    <w:rsid w:val="7F4306B9"/>
    <w:rsid w:val="7F65089D"/>
    <w:rsid w:val="7F8B597C"/>
    <w:rsid w:val="7FAF4932"/>
    <w:rsid w:val="7FC628BB"/>
    <w:rsid w:val="7FCD0F20"/>
    <w:rsid w:val="7FD50AB1"/>
    <w:rsid w:val="7FDA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5"/>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4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5"/>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9"/>
    <w:autoRedefine/>
    <w:semiHidden/>
    <w:unhideWhenUsed/>
    <w:qFormat/>
    <w:uiPriority w:val="9"/>
    <w:pPr>
      <w:keepNext/>
      <w:keepLines/>
      <w:spacing w:before="280" w:after="290" w:line="376" w:lineRule="auto"/>
      <w:outlineLvl w:val="4"/>
    </w:pPr>
    <w:rPr>
      <w:b/>
      <w:bCs/>
      <w:szCs w:val="28"/>
    </w:rPr>
  </w:style>
  <w:style w:type="paragraph" w:styleId="7">
    <w:name w:val="heading 6"/>
    <w:basedOn w:val="1"/>
    <w:next w:val="1"/>
    <w:link w:val="60"/>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1"/>
    <w:autoRedefine/>
    <w:semiHidden/>
    <w:unhideWhenUsed/>
    <w:qFormat/>
    <w:uiPriority w:val="9"/>
    <w:pPr>
      <w:keepNext/>
      <w:keepLines/>
      <w:spacing w:before="240" w:after="64" w:line="320" w:lineRule="auto"/>
      <w:outlineLvl w:val="6"/>
    </w:pPr>
    <w:rPr>
      <w:b/>
      <w:bCs/>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rPr>
      <w:rFonts w:ascii="Times New Roman" w:hAnsi="Times New Roman" w:cs="Times New Roman"/>
      <w:szCs w:val="20"/>
    </w:rPr>
  </w:style>
  <w:style w:type="paragraph" w:styleId="10">
    <w:name w:val="annotation text"/>
    <w:basedOn w:val="1"/>
    <w:link w:val="68"/>
    <w:autoRedefine/>
    <w:qFormat/>
    <w:uiPriority w:val="0"/>
    <w:pPr>
      <w:jc w:val="left"/>
    </w:pPr>
  </w:style>
  <w:style w:type="paragraph" w:styleId="11">
    <w:name w:val="Body Text"/>
    <w:basedOn w:val="1"/>
    <w:next w:val="12"/>
    <w:autoRedefine/>
    <w:qFormat/>
    <w:uiPriority w:val="0"/>
    <w:pPr>
      <w:spacing w:line="360" w:lineRule="auto"/>
    </w:pPr>
    <w:rPr>
      <w:sz w:val="24"/>
    </w:rPr>
  </w:style>
  <w:style w:type="paragraph" w:customStyle="1" w:styleId="12">
    <w:name w:val="style4"/>
    <w:basedOn w:val="13"/>
    <w:next w:val="15"/>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正文1"/>
    <w:basedOn w:val="1"/>
    <w:next w:val="14"/>
    <w:autoRedefine/>
    <w:qFormat/>
    <w:uiPriority w:val="0"/>
    <w:pPr>
      <w:spacing w:line="300" w:lineRule="auto"/>
      <w:ind w:firstLine="200" w:firstLineChars="200"/>
    </w:pPr>
    <w:rPr>
      <w:sz w:val="24"/>
    </w:rPr>
  </w:style>
  <w:style w:type="paragraph" w:customStyle="1" w:styleId="14">
    <w:name w:val="正文文本1"/>
    <w:basedOn w:val="13"/>
    <w:next w:val="12"/>
    <w:autoRedefine/>
    <w:qFormat/>
    <w:uiPriority w:val="0"/>
    <w:pPr>
      <w:spacing w:after="120"/>
    </w:pPr>
    <w:rPr>
      <w:kern w:val="0"/>
      <w:sz w:val="20"/>
    </w:rPr>
  </w:style>
  <w:style w:type="paragraph" w:customStyle="1" w:styleId="1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Body Text Indent"/>
    <w:basedOn w:val="1"/>
    <w:link w:val="48"/>
    <w:autoRedefine/>
    <w:qFormat/>
    <w:uiPriority w:val="0"/>
    <w:pPr>
      <w:spacing w:line="200" w:lineRule="atLeast"/>
      <w:ind w:firstLine="301"/>
    </w:pPr>
    <w:rPr>
      <w:rFonts w:ascii="宋体" w:hAnsi="Courier New" w:cstheme="minorBidi"/>
      <w:spacing w:val="-4"/>
      <w:sz w:val="18"/>
      <w:szCs w:val="22"/>
    </w:rPr>
  </w:style>
  <w:style w:type="paragraph" w:styleId="17">
    <w:name w:val="Block Text"/>
    <w:basedOn w:val="1"/>
    <w:autoRedefine/>
    <w:qFormat/>
    <w:uiPriority w:val="0"/>
    <w:pPr>
      <w:spacing w:line="360" w:lineRule="auto"/>
      <w:ind w:left="630" w:right="-609" w:firstLine="420"/>
    </w:pPr>
    <w:rPr>
      <w:rFonts w:ascii="仿宋_GB2312" w:eastAsia="仿宋_GB2312"/>
    </w:rPr>
  </w:style>
  <w:style w:type="paragraph" w:styleId="18">
    <w:name w:val="Plain Text"/>
    <w:basedOn w:val="1"/>
    <w:link w:val="53"/>
    <w:autoRedefine/>
    <w:qFormat/>
    <w:uiPriority w:val="0"/>
    <w:pPr>
      <w:spacing w:beforeLines="50" w:afterLines="50" w:line="400" w:lineRule="atLeast"/>
    </w:pPr>
    <w:rPr>
      <w:rFonts w:ascii="宋体" w:hAnsi="Courier New" w:cstheme="minorBidi"/>
      <w:sz w:val="24"/>
      <w:szCs w:val="22"/>
    </w:rPr>
  </w:style>
  <w:style w:type="paragraph" w:styleId="19">
    <w:name w:val="Date"/>
    <w:basedOn w:val="1"/>
    <w:next w:val="1"/>
    <w:link w:val="37"/>
    <w:autoRedefine/>
    <w:unhideWhenUsed/>
    <w:qFormat/>
    <w:uiPriority w:val="0"/>
    <w:pPr>
      <w:ind w:left="100" w:leftChars="2500"/>
    </w:pPr>
  </w:style>
  <w:style w:type="paragraph" w:styleId="20">
    <w:name w:val="Balloon Text"/>
    <w:basedOn w:val="1"/>
    <w:link w:val="64"/>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4">
    <w:name w:val="toc 2"/>
    <w:basedOn w:val="1"/>
    <w:next w:val="1"/>
    <w:autoRedefine/>
    <w:unhideWhenUsed/>
    <w:qFormat/>
    <w:uiPriority w:val="39"/>
    <w:pPr>
      <w:ind w:left="420" w:leftChars="200"/>
    </w:pPr>
  </w:style>
  <w:style w:type="paragraph" w:styleId="25">
    <w:name w:val="Body Text 2"/>
    <w:basedOn w:val="1"/>
    <w:autoRedefine/>
    <w:semiHidden/>
    <w:unhideWhenUsed/>
    <w:qFormat/>
    <w:uiPriority w:val="99"/>
    <w:pPr>
      <w:spacing w:after="120" w:line="480" w:lineRule="auto"/>
    </w:pPr>
  </w:style>
  <w:style w:type="paragraph" w:styleId="26">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7">
    <w:name w:val="Title"/>
    <w:basedOn w:val="1"/>
    <w:next w:val="1"/>
    <w:link w:val="46"/>
    <w:autoRedefine/>
    <w:qFormat/>
    <w:uiPriority w:val="10"/>
    <w:pPr>
      <w:spacing w:before="240" w:after="60"/>
      <w:jc w:val="center"/>
      <w:outlineLvl w:val="0"/>
    </w:pPr>
    <w:rPr>
      <w:rFonts w:asciiTheme="majorHAnsi" w:hAnsiTheme="majorHAnsi" w:cstheme="majorBidi"/>
      <w:b/>
      <w:bCs/>
      <w:sz w:val="32"/>
      <w:szCs w:val="32"/>
    </w:rPr>
  </w:style>
  <w:style w:type="paragraph" w:styleId="28">
    <w:name w:val="annotation subject"/>
    <w:basedOn w:val="10"/>
    <w:next w:val="10"/>
    <w:link w:val="72"/>
    <w:autoRedefine/>
    <w:semiHidden/>
    <w:unhideWhenUsed/>
    <w:qFormat/>
    <w:uiPriority w:val="99"/>
    <w:rPr>
      <w:b/>
      <w:bCs/>
    </w:rPr>
  </w:style>
  <w:style w:type="paragraph" w:styleId="29">
    <w:name w:val="Body Text First Indent 2"/>
    <w:basedOn w:val="16"/>
    <w:next w:val="1"/>
    <w:autoRedefine/>
    <w:unhideWhenUsed/>
    <w:qFormat/>
    <w:uiPriority w:val="99"/>
    <w:pPr>
      <w:spacing w:after="120"/>
      <w:ind w:left="420" w:leftChars="200" w:firstLine="420" w:firstLineChars="200"/>
    </w:pPr>
    <w:rPr>
      <w:sz w:val="21"/>
    </w:rPr>
  </w:style>
  <w:style w:type="table" w:styleId="31">
    <w:name w:val="Table Grid"/>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annotation reference"/>
    <w:basedOn w:val="32"/>
    <w:autoRedefine/>
    <w:semiHidden/>
    <w:unhideWhenUsed/>
    <w:qFormat/>
    <w:uiPriority w:val="99"/>
    <w:rPr>
      <w:sz w:val="21"/>
      <w:szCs w:val="21"/>
    </w:rPr>
  </w:style>
  <w:style w:type="character" w:customStyle="1" w:styleId="37">
    <w:name w:val="日期 Char"/>
    <w:basedOn w:val="32"/>
    <w:link w:val="19"/>
    <w:autoRedefine/>
    <w:qFormat/>
    <w:uiPriority w:val="0"/>
    <w:rPr>
      <w:rFonts w:ascii="Times New Roman" w:hAnsi="Times New Roman" w:eastAsia="宋体" w:cs="Times New Roman"/>
      <w:sz w:val="28"/>
      <w:szCs w:val="20"/>
    </w:rPr>
  </w:style>
  <w:style w:type="paragraph" w:styleId="38">
    <w:name w:val="List Paragraph"/>
    <w:basedOn w:val="1"/>
    <w:link w:val="51"/>
    <w:autoRedefine/>
    <w:qFormat/>
    <w:uiPriority w:val="99"/>
    <w:pPr>
      <w:ind w:firstLine="420" w:firstLineChars="200"/>
    </w:pPr>
  </w:style>
  <w:style w:type="paragraph" w:customStyle="1" w:styleId="39">
    <w:name w:val="正文 第一章"/>
    <w:basedOn w:val="1"/>
    <w:next w:val="40"/>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40">
    <w:name w:val="正文 1.1"/>
    <w:basedOn w:val="1"/>
    <w:next w:val="41"/>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41">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42">
    <w:name w:val="第四级"/>
    <w:basedOn w:val="1"/>
    <w:next w:val="43"/>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43">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4">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character" w:customStyle="1" w:styleId="45">
    <w:name w:val="标题 1 Char"/>
    <w:basedOn w:val="32"/>
    <w:link w:val="2"/>
    <w:autoRedefine/>
    <w:qFormat/>
    <w:uiPriority w:val="0"/>
    <w:rPr>
      <w:rFonts w:ascii="宋体" w:hAnsi="Arial" w:eastAsia="黑体" w:cs="Times New Roman"/>
      <w:b/>
      <w:bCs/>
      <w:color w:val="000000"/>
      <w:kern w:val="44"/>
      <w:sz w:val="36"/>
      <w:szCs w:val="32"/>
    </w:rPr>
  </w:style>
  <w:style w:type="character" w:customStyle="1" w:styleId="46">
    <w:name w:val="标题 Char"/>
    <w:basedOn w:val="32"/>
    <w:link w:val="27"/>
    <w:autoRedefine/>
    <w:qFormat/>
    <w:uiPriority w:val="10"/>
    <w:rPr>
      <w:rFonts w:eastAsia="宋体" w:asciiTheme="majorHAnsi" w:hAnsiTheme="majorHAnsi" w:cstheme="majorBidi"/>
      <w:b/>
      <w:bCs/>
      <w:sz w:val="32"/>
      <w:szCs w:val="32"/>
    </w:rPr>
  </w:style>
  <w:style w:type="character" w:customStyle="1" w:styleId="47">
    <w:name w:val="标题 2 Char"/>
    <w:basedOn w:val="32"/>
    <w:link w:val="3"/>
    <w:autoRedefine/>
    <w:semiHidden/>
    <w:qFormat/>
    <w:uiPriority w:val="9"/>
    <w:rPr>
      <w:rFonts w:asciiTheme="majorHAnsi" w:hAnsiTheme="majorHAnsi" w:eastAsiaTheme="majorEastAsia" w:cstheme="majorBidi"/>
      <w:b/>
      <w:bCs/>
      <w:sz w:val="32"/>
      <w:szCs w:val="32"/>
    </w:rPr>
  </w:style>
  <w:style w:type="character" w:customStyle="1" w:styleId="48">
    <w:name w:val="正文文本缩进 Char"/>
    <w:link w:val="16"/>
    <w:autoRedefine/>
    <w:qFormat/>
    <w:locked/>
    <w:uiPriority w:val="0"/>
    <w:rPr>
      <w:rFonts w:ascii="宋体" w:hAnsi="Courier New" w:eastAsia="宋体"/>
      <w:spacing w:val="-4"/>
      <w:sz w:val="18"/>
    </w:rPr>
  </w:style>
  <w:style w:type="character" w:customStyle="1" w:styleId="49">
    <w:name w:val="正文文本缩进 Char1"/>
    <w:basedOn w:val="32"/>
    <w:autoRedefine/>
    <w:qFormat/>
    <w:uiPriority w:val="99"/>
    <w:rPr>
      <w:rFonts w:ascii="Times New Roman" w:hAnsi="Times New Roman" w:eastAsia="宋体" w:cs="Times New Roman"/>
      <w:sz w:val="28"/>
      <w:szCs w:val="20"/>
    </w:rPr>
  </w:style>
  <w:style w:type="character" w:customStyle="1" w:styleId="50">
    <w:name w:val="标题 3 Char"/>
    <w:autoRedefine/>
    <w:qFormat/>
    <w:uiPriority w:val="0"/>
    <w:rPr>
      <w:rFonts w:eastAsia="宋体"/>
      <w:b/>
      <w:bCs/>
      <w:kern w:val="2"/>
      <w:sz w:val="32"/>
      <w:szCs w:val="32"/>
      <w:lang w:val="en-US" w:eastAsia="zh-CN" w:bidi="ar-SA"/>
    </w:rPr>
  </w:style>
  <w:style w:type="character" w:customStyle="1" w:styleId="51">
    <w:name w:val="列出段落 Char"/>
    <w:link w:val="38"/>
    <w:autoRedefine/>
    <w:qFormat/>
    <w:locked/>
    <w:uiPriority w:val="0"/>
    <w:rPr>
      <w:rFonts w:ascii="Times New Roman" w:hAnsi="Times New Roman" w:eastAsia="宋体" w:cs="Times New Roman"/>
      <w:sz w:val="28"/>
      <w:szCs w:val="20"/>
    </w:rPr>
  </w:style>
  <w:style w:type="character" w:customStyle="1" w:styleId="52">
    <w:name w:val="正文 第五章 中间"/>
    <w:autoRedefine/>
    <w:qFormat/>
    <w:uiPriority w:val="0"/>
    <w:rPr>
      <w:b/>
      <w:bCs/>
      <w:color w:val="000000"/>
      <w:sz w:val="32"/>
    </w:rPr>
  </w:style>
  <w:style w:type="character" w:customStyle="1" w:styleId="53">
    <w:name w:val="纯文本 Char1"/>
    <w:link w:val="18"/>
    <w:autoRedefine/>
    <w:qFormat/>
    <w:uiPriority w:val="0"/>
    <w:rPr>
      <w:rFonts w:ascii="宋体" w:hAnsi="Courier New" w:eastAsia="宋体"/>
      <w:sz w:val="24"/>
    </w:rPr>
  </w:style>
  <w:style w:type="character" w:customStyle="1" w:styleId="54">
    <w:name w:val="纯文本 Char"/>
    <w:basedOn w:val="32"/>
    <w:autoRedefine/>
    <w:semiHidden/>
    <w:qFormat/>
    <w:uiPriority w:val="99"/>
    <w:rPr>
      <w:rFonts w:ascii="宋体" w:hAnsi="Courier New" w:eastAsia="宋体" w:cs="Courier New"/>
      <w:szCs w:val="21"/>
    </w:rPr>
  </w:style>
  <w:style w:type="character" w:customStyle="1" w:styleId="55">
    <w:name w:val="标题 3 Char1"/>
    <w:basedOn w:val="32"/>
    <w:link w:val="4"/>
    <w:autoRedefine/>
    <w:semiHidden/>
    <w:qFormat/>
    <w:uiPriority w:val="9"/>
    <w:rPr>
      <w:rFonts w:ascii="Times New Roman" w:hAnsi="Times New Roman" w:eastAsia="宋体" w:cs="Times New Roman"/>
      <w:b/>
      <w:bCs/>
      <w:sz w:val="32"/>
      <w:szCs w:val="32"/>
    </w:rPr>
  </w:style>
  <w:style w:type="character" w:customStyle="1" w:styleId="56">
    <w:name w:val="页眉 Char"/>
    <w:basedOn w:val="32"/>
    <w:link w:val="22"/>
    <w:autoRedefine/>
    <w:semiHidden/>
    <w:qFormat/>
    <w:uiPriority w:val="99"/>
    <w:rPr>
      <w:rFonts w:ascii="Times New Roman" w:hAnsi="Times New Roman" w:eastAsia="宋体" w:cs="Times New Roman"/>
      <w:sz w:val="18"/>
      <w:szCs w:val="18"/>
    </w:rPr>
  </w:style>
  <w:style w:type="character" w:customStyle="1" w:styleId="57">
    <w:name w:val="页脚 Char"/>
    <w:basedOn w:val="32"/>
    <w:link w:val="21"/>
    <w:autoRedefine/>
    <w:qFormat/>
    <w:uiPriority w:val="99"/>
    <w:rPr>
      <w:rFonts w:ascii="Times New Roman" w:hAnsi="Times New Roman" w:eastAsia="宋体" w:cs="Times New Roman"/>
      <w:sz w:val="18"/>
      <w:szCs w:val="18"/>
    </w:rPr>
  </w:style>
  <w:style w:type="character" w:customStyle="1" w:styleId="58">
    <w:name w:val="标题 4 Char"/>
    <w:basedOn w:val="32"/>
    <w:link w:val="5"/>
    <w:autoRedefine/>
    <w:semiHidden/>
    <w:qFormat/>
    <w:uiPriority w:val="9"/>
    <w:rPr>
      <w:rFonts w:asciiTheme="majorHAnsi" w:hAnsiTheme="majorHAnsi" w:eastAsiaTheme="majorEastAsia" w:cstheme="majorBidi"/>
      <w:b/>
      <w:bCs/>
      <w:sz w:val="28"/>
      <w:szCs w:val="28"/>
    </w:rPr>
  </w:style>
  <w:style w:type="character" w:customStyle="1" w:styleId="59">
    <w:name w:val="标题 5 Char"/>
    <w:basedOn w:val="32"/>
    <w:link w:val="6"/>
    <w:autoRedefine/>
    <w:semiHidden/>
    <w:qFormat/>
    <w:uiPriority w:val="9"/>
    <w:rPr>
      <w:rFonts w:ascii="Times New Roman" w:hAnsi="Times New Roman" w:eastAsia="宋体" w:cs="Times New Roman"/>
      <w:b/>
      <w:bCs/>
      <w:sz w:val="28"/>
      <w:szCs w:val="28"/>
    </w:rPr>
  </w:style>
  <w:style w:type="character" w:customStyle="1" w:styleId="60">
    <w:name w:val="标题 6 Char"/>
    <w:basedOn w:val="32"/>
    <w:link w:val="7"/>
    <w:autoRedefine/>
    <w:semiHidden/>
    <w:qFormat/>
    <w:uiPriority w:val="9"/>
    <w:rPr>
      <w:rFonts w:asciiTheme="majorHAnsi" w:hAnsiTheme="majorHAnsi" w:eastAsiaTheme="majorEastAsia" w:cstheme="majorBidi"/>
      <w:b/>
      <w:bCs/>
      <w:sz w:val="24"/>
      <w:szCs w:val="24"/>
    </w:rPr>
  </w:style>
  <w:style w:type="character" w:customStyle="1" w:styleId="61">
    <w:name w:val="标题 7 Char"/>
    <w:basedOn w:val="32"/>
    <w:link w:val="8"/>
    <w:autoRedefine/>
    <w:semiHidden/>
    <w:qFormat/>
    <w:uiPriority w:val="9"/>
    <w:rPr>
      <w:rFonts w:ascii="Times New Roman" w:hAnsi="Times New Roman" w:eastAsia="宋体" w:cs="Times New Roman"/>
      <w:b/>
      <w:bCs/>
      <w:sz w:val="24"/>
      <w:szCs w:val="24"/>
    </w:rPr>
  </w:style>
  <w:style w:type="paragraph" w:customStyle="1" w:styleId="62">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6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批注框文本 Char"/>
    <w:basedOn w:val="32"/>
    <w:link w:val="20"/>
    <w:autoRedefine/>
    <w:semiHidden/>
    <w:qFormat/>
    <w:uiPriority w:val="99"/>
    <w:rPr>
      <w:rFonts w:ascii="Times New Roman" w:hAnsi="Times New Roman" w:eastAsia="宋体" w:cs="Times New Roman"/>
      <w:sz w:val="18"/>
      <w:szCs w:val="18"/>
    </w:rPr>
  </w:style>
  <w:style w:type="paragraph" w:customStyle="1" w:styleId="65">
    <w:name w:val="TOC 标题1"/>
    <w:basedOn w:val="2"/>
    <w:next w:val="1"/>
    <w:autoRedefine/>
    <w:unhideWhenUsed/>
    <w:qFormat/>
    <w:uiPriority w:val="39"/>
    <w:pPr>
      <w:widowControl/>
      <w:autoSpaceDE/>
      <w:autoSpaceDN/>
      <w:adjustRightInd/>
      <w:spacing w:before="480" w:after="0" w:line="276" w:lineRule="auto"/>
      <w:ind w:left="0" w:firstLine="0"/>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66">
    <w:name w:val="样式1"/>
    <w:basedOn w:val="1"/>
    <w:autoRedefine/>
    <w:qFormat/>
    <w:uiPriority w:val="0"/>
    <w:pPr>
      <w:numPr>
        <w:ilvl w:val="0"/>
        <w:numId w:val="2"/>
      </w:numPr>
      <w:adjustRightInd w:val="0"/>
      <w:textAlignment w:val="baseline"/>
    </w:pPr>
    <w:rPr>
      <w:rFonts w:ascii="宋体" w:hAnsi="宋体"/>
      <w:kern w:val="0"/>
      <w:sz w:val="21"/>
    </w:rPr>
  </w:style>
  <w:style w:type="paragraph" w:customStyle="1" w:styleId="67">
    <w:name w:val="Char Char Char Char Char Char Char1 Char"/>
    <w:basedOn w:val="1"/>
    <w:autoRedefine/>
    <w:qFormat/>
    <w:uiPriority w:val="0"/>
    <w:rPr>
      <w:rFonts w:ascii="Tahoma" w:hAnsi="Tahoma"/>
      <w:sz w:val="24"/>
    </w:rPr>
  </w:style>
  <w:style w:type="character" w:customStyle="1" w:styleId="68">
    <w:name w:val="批注文字 Char"/>
    <w:basedOn w:val="32"/>
    <w:link w:val="10"/>
    <w:autoRedefine/>
    <w:qFormat/>
    <w:uiPriority w:val="0"/>
    <w:rPr>
      <w:rFonts w:ascii="Times New Roman" w:hAnsi="Times New Roman" w:eastAsia="宋体" w:cs="Times New Roman"/>
      <w:sz w:val="28"/>
      <w:szCs w:val="20"/>
    </w:rPr>
  </w:style>
  <w:style w:type="character" w:customStyle="1" w:styleId="69">
    <w:name w:val="font51"/>
    <w:basedOn w:val="32"/>
    <w:autoRedefine/>
    <w:qFormat/>
    <w:uiPriority w:val="0"/>
    <w:rPr>
      <w:rFonts w:hint="eastAsia" w:ascii="宋体" w:hAnsi="宋体" w:eastAsia="宋体" w:cs="宋体"/>
      <w:color w:val="000000"/>
      <w:sz w:val="24"/>
      <w:szCs w:val="24"/>
      <w:u w:val="none"/>
    </w:rPr>
  </w:style>
  <w:style w:type="paragraph" w:customStyle="1" w:styleId="70">
    <w:name w:val="_Style 13"/>
    <w:basedOn w:val="1"/>
    <w:next w:val="38"/>
    <w:autoRedefine/>
    <w:qFormat/>
    <w:uiPriority w:val="0"/>
    <w:pPr>
      <w:ind w:firstLine="420" w:firstLineChars="200"/>
    </w:pPr>
    <w:rPr>
      <w:rFonts w:ascii="Calibri" w:hAnsi="Calibri"/>
      <w:kern w:val="0"/>
      <w:sz w:val="20"/>
      <w:lang w:val="zh-CN"/>
    </w:rPr>
  </w:style>
  <w:style w:type="paragraph" w:customStyle="1" w:styleId="71">
    <w:name w:val="正文缩进2格"/>
    <w:basedOn w:val="1"/>
    <w:autoRedefine/>
    <w:qFormat/>
    <w:uiPriority w:val="0"/>
    <w:pPr>
      <w:spacing w:line="600" w:lineRule="exact"/>
      <w:ind w:firstLine="639" w:firstLineChars="206"/>
    </w:pPr>
    <w:rPr>
      <w:rFonts w:ascii="仿宋_GB2312" w:hAnsi="宋体" w:eastAsia="仿宋_GB2312"/>
      <w:sz w:val="31"/>
      <w:szCs w:val="22"/>
    </w:rPr>
  </w:style>
  <w:style w:type="character" w:customStyle="1" w:styleId="72">
    <w:name w:val="批注主题 Char"/>
    <w:basedOn w:val="68"/>
    <w:link w:val="28"/>
    <w:autoRedefine/>
    <w:semiHidden/>
    <w:qFormat/>
    <w:uiPriority w:val="99"/>
    <w:rPr>
      <w:b/>
      <w:bCs/>
      <w:kern w:val="2"/>
    </w:rPr>
  </w:style>
  <w:style w:type="character" w:customStyle="1" w:styleId="73">
    <w:name w:val="font61"/>
    <w:basedOn w:val="32"/>
    <w:autoRedefine/>
    <w:qFormat/>
    <w:uiPriority w:val="0"/>
    <w:rPr>
      <w:rFonts w:hint="default" w:ascii="Times New Roman" w:hAnsi="Times New Roman" w:cs="Times New Roman"/>
      <w:color w:val="000000"/>
      <w:sz w:val="32"/>
      <w:szCs w:val="32"/>
      <w:u w:val="none"/>
    </w:rPr>
  </w:style>
  <w:style w:type="character" w:customStyle="1" w:styleId="74">
    <w:name w:val="font41"/>
    <w:basedOn w:val="32"/>
    <w:autoRedefine/>
    <w:qFormat/>
    <w:uiPriority w:val="0"/>
    <w:rPr>
      <w:rFonts w:hint="eastAsia" w:ascii="宋体" w:hAnsi="宋体" w:eastAsia="宋体" w:cs="宋体"/>
      <w:color w:val="000000"/>
      <w:sz w:val="32"/>
      <w:szCs w:val="32"/>
      <w:u w:val="none"/>
    </w:rPr>
  </w:style>
  <w:style w:type="character" w:customStyle="1" w:styleId="75">
    <w:name w:val="font81"/>
    <w:basedOn w:val="32"/>
    <w:autoRedefine/>
    <w:qFormat/>
    <w:uiPriority w:val="0"/>
    <w:rPr>
      <w:rFonts w:hint="eastAsia" w:ascii="宋体" w:hAnsi="宋体" w:eastAsia="宋体" w:cs="宋体"/>
      <w:color w:val="000000"/>
      <w:sz w:val="28"/>
      <w:szCs w:val="28"/>
      <w:u w:val="none"/>
    </w:rPr>
  </w:style>
  <w:style w:type="character" w:customStyle="1" w:styleId="76">
    <w:name w:val="font71"/>
    <w:basedOn w:val="32"/>
    <w:autoRedefine/>
    <w:qFormat/>
    <w:uiPriority w:val="0"/>
    <w:rPr>
      <w:rFonts w:hint="default" w:ascii="Times New Roman" w:hAnsi="Times New Roman" w:cs="Times New Roman"/>
      <w:color w:val="000000"/>
      <w:sz w:val="28"/>
      <w:szCs w:val="28"/>
      <w:u w:val="none"/>
    </w:rPr>
  </w:style>
  <w:style w:type="paragraph" w:customStyle="1" w:styleId="77">
    <w:name w:val="标准文本"/>
    <w:basedOn w:val="1"/>
    <w:autoRedefine/>
    <w:qFormat/>
    <w:uiPriority w:val="0"/>
    <w:pPr>
      <w:spacing w:line="360" w:lineRule="auto"/>
      <w:ind w:firstLine="48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0090-D148-4C3E-90A9-2738C14BA3D7}">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56</Pages>
  <Words>17531</Words>
  <Characters>18051</Characters>
  <Lines>159</Lines>
  <Paragraphs>45</Paragraphs>
  <TotalTime>16</TotalTime>
  <ScaleCrop>false</ScaleCrop>
  <LinksUpToDate>false</LinksUpToDate>
  <CharactersWithSpaces>21197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2018-06-28T09:07:00Z</dcterms:created>
  <dc:creator>20110004</dc:creator>
  <cp:lastModifiedBy>Administrator</cp:lastModifiedBy>
  <cp:lastPrinted>2020-08-06T07:00:00Z</cp:lastPrinted>
  <dcterms:modified xsi:type="dcterms:W3CDTF">2024-04-30T08:04:48Z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34A1B56B23BB445B85F3522732CDF5D2_13</vt:lpwstr>
  </property>
</Properties>
</file>