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3009</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w w:val="90"/>
          <w:sz w:val="48"/>
          <w:szCs w:val="48"/>
          <w:lang w:eastAsia="zh-CN"/>
        </w:rPr>
      </w:pPr>
      <w:r>
        <w:rPr>
          <w:rFonts w:hint="eastAsia" w:asciiTheme="majorEastAsia" w:hAnsiTheme="majorEastAsia" w:eastAsiaTheme="majorEastAsia" w:cstheme="majorEastAsia"/>
          <w:b/>
          <w:bCs/>
          <w:w w:val="90"/>
          <w:sz w:val="48"/>
          <w:szCs w:val="48"/>
          <w:lang w:eastAsia="zh-CN"/>
        </w:rPr>
        <w:t>2023-2025年新生入学体检服务</w:t>
      </w: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w w:val="90"/>
          <w:sz w:val="48"/>
          <w:szCs w:val="48"/>
          <w:lang w:eastAsia="zh-CN"/>
        </w:rPr>
        <w:t>项目</w:t>
      </w: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10"/>
        <w:rPr>
          <w:rFonts w:ascii="仿宋_GB2312" w:eastAsia="仿宋_GB2312"/>
          <w:sz w:val="44"/>
          <w:szCs w:val="44"/>
        </w:rPr>
      </w:pPr>
    </w:p>
    <w:p>
      <w:pPr>
        <w:pStyle w:val="10"/>
        <w:rPr>
          <w:rFonts w:ascii="仿宋_GB2312" w:eastAsia="仿宋_GB2312"/>
          <w:sz w:val="44"/>
          <w:szCs w:val="44"/>
        </w:rPr>
      </w:pPr>
    </w:p>
    <w:p>
      <w:pPr>
        <w:pStyle w:val="1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3</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6</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19"/>
      </w:pPr>
      <w:r>
        <w:rPr>
          <w:rFonts w:hint="eastAsia"/>
        </w:rPr>
        <w:t>目  录</w:t>
      </w:r>
    </w:p>
    <w:p>
      <w:pPr>
        <w:pStyle w:val="19"/>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59"/>
          </w:pPr>
        </w:p>
        <w:p>
          <w:pPr>
            <w:pStyle w:val="19"/>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29"/>
              <w:rFonts w:hint="eastAsia"/>
              <w:b w:val="0"/>
              <w:sz w:val="28"/>
              <w:szCs w:val="28"/>
            </w:rPr>
            <w:t>第一章</w:t>
          </w:r>
          <w:r>
            <w:rPr>
              <w:rStyle w:val="29"/>
              <w:b w:val="0"/>
              <w:sz w:val="28"/>
              <w:szCs w:val="28"/>
            </w:rPr>
            <w:t xml:space="preserve">  </w:t>
          </w:r>
          <w:r>
            <w:rPr>
              <w:rStyle w:val="29"/>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29"/>
              <w:rFonts w:hint="eastAsia"/>
              <w:b w:val="0"/>
              <w:sz w:val="28"/>
              <w:szCs w:val="28"/>
            </w:rPr>
            <w:t>第二章</w:t>
          </w:r>
          <w:r>
            <w:rPr>
              <w:rStyle w:val="29"/>
              <w:b w:val="0"/>
              <w:sz w:val="28"/>
              <w:szCs w:val="28"/>
            </w:rPr>
            <w:t xml:space="preserve">  </w:t>
          </w:r>
          <w:r>
            <w:rPr>
              <w:rStyle w:val="29"/>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29"/>
              <w:rFonts w:hint="eastAsia"/>
              <w:b w:val="0"/>
              <w:sz w:val="28"/>
              <w:szCs w:val="28"/>
            </w:rPr>
            <w:t>第三章</w:t>
          </w:r>
          <w:r>
            <w:rPr>
              <w:rStyle w:val="29"/>
              <w:b w:val="0"/>
              <w:sz w:val="28"/>
              <w:szCs w:val="28"/>
            </w:rPr>
            <w:t xml:space="preserve">  </w:t>
          </w:r>
          <w:r>
            <w:rPr>
              <w:rStyle w:val="29"/>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29"/>
              <w:rFonts w:hint="eastAsia"/>
              <w:b w:val="0"/>
              <w:sz w:val="28"/>
              <w:szCs w:val="28"/>
            </w:rPr>
            <w:t>第四章</w:t>
          </w:r>
          <w:r>
            <w:rPr>
              <w:rStyle w:val="29"/>
              <w:b w:val="0"/>
              <w:sz w:val="28"/>
              <w:szCs w:val="28"/>
            </w:rPr>
            <w:t xml:space="preserve">  </w:t>
          </w:r>
          <w:r>
            <w:rPr>
              <w:rStyle w:val="29"/>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29"/>
              <w:rFonts w:hint="eastAsia"/>
              <w:b w:val="0"/>
              <w:sz w:val="28"/>
              <w:szCs w:val="28"/>
            </w:rPr>
            <w:t>第五章</w:t>
          </w:r>
          <w:r>
            <w:rPr>
              <w:rStyle w:val="29"/>
              <w:b w:val="0"/>
              <w:sz w:val="28"/>
              <w:szCs w:val="28"/>
            </w:rPr>
            <w:t xml:space="preserve">  </w:t>
          </w:r>
          <w:r>
            <w:rPr>
              <w:rStyle w:val="29"/>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19"/>
            <w:rPr>
              <w:rFonts w:asciiTheme="minorHAnsi" w:hAnsiTheme="minorHAnsi" w:cstheme="minorBidi"/>
              <w:b w:val="0"/>
              <w:sz w:val="28"/>
              <w:szCs w:val="28"/>
            </w:rPr>
          </w:pPr>
          <w:r>
            <w:fldChar w:fldCharType="begin"/>
          </w:r>
          <w:r>
            <w:instrText xml:space="preserve"> HYPERLINK \l "_Toc516580574" </w:instrText>
          </w:r>
          <w:r>
            <w:fldChar w:fldCharType="separate"/>
          </w:r>
          <w:r>
            <w:rPr>
              <w:rStyle w:val="29"/>
              <w:rFonts w:hint="eastAsia"/>
              <w:b w:val="0"/>
              <w:sz w:val="28"/>
              <w:szCs w:val="28"/>
            </w:rPr>
            <w:t>第六章</w:t>
          </w:r>
          <w:r>
            <w:rPr>
              <w:rStyle w:val="29"/>
              <w:b w:val="0"/>
              <w:sz w:val="28"/>
              <w:szCs w:val="28"/>
            </w:rPr>
            <w:t xml:space="preserve">  </w:t>
          </w:r>
          <w:r>
            <w:rPr>
              <w:rStyle w:val="29"/>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19"/>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29"/>
              <w:rFonts w:hint="eastAsia"/>
              <w:b w:val="0"/>
              <w:sz w:val="28"/>
              <w:szCs w:val="28"/>
            </w:rPr>
            <w:t>第七章</w:t>
          </w:r>
          <w:r>
            <w:rPr>
              <w:rStyle w:val="29"/>
              <w:b w:val="0"/>
              <w:sz w:val="28"/>
              <w:szCs w:val="28"/>
            </w:rPr>
            <w:t xml:space="preserve">  </w:t>
          </w:r>
          <w:r>
            <w:rPr>
              <w:rStyle w:val="29"/>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3"/>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479170299"/>
      <w:bookmarkStart w:id="1" w:name="_Toc51658056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1"/>
      <w:bookmarkStart w:id="3" w:name="OLE_LINK22"/>
      <w:r>
        <w:rPr>
          <w:rFonts w:hint="eastAsia" w:ascii="仿宋_GB2312" w:eastAsia="仿宋_GB2312"/>
          <w:szCs w:val="28"/>
          <w:lang w:eastAsia="zh-CN"/>
        </w:rPr>
        <w:t>皖南医学院2023-2025年新生入学体检服务项目</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（一）项目名称：2023-2025年新生入学体检服务项目；</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3009</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据实结算</w:t>
      </w:r>
      <w:r>
        <w:rPr>
          <w:rFonts w:hint="eastAsia" w:ascii="仿宋_GB2312" w:eastAsia="仿宋_GB2312"/>
          <w:szCs w:val="28"/>
        </w:rPr>
        <w:t>；</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1.具有独立承担民事责任的能力；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2.具有良好的商业信誉和健全的财务会计制度；</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3.具有履行合同所必需的设备和专业技术能力;</w:t>
      </w:r>
    </w:p>
    <w:p>
      <w:pPr>
        <w:adjustRightInd w:val="0"/>
        <w:snapToGrid w:val="0"/>
        <w:spacing w:line="500" w:lineRule="atLeast"/>
        <w:ind w:firstLine="560" w:firstLineChars="200"/>
        <w:rPr>
          <w:rFonts w:hint="eastAsia"/>
        </w:rPr>
      </w:pPr>
      <w:r>
        <w:rPr>
          <w:rFonts w:hint="eastAsia" w:ascii="仿宋_GB2312" w:eastAsia="仿宋_GB2312"/>
          <w:szCs w:val="28"/>
          <w:lang w:eastAsia="zh-CN"/>
        </w:rPr>
        <w:t>4.投标单位应具有医疗机构执业许可证（经卫生行政部门审批的三级医疗机构，机构设置中有单独设置的健康管理中心或体检中心）</w:t>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、报名时间及方式：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（一）报名时间：202</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6</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15</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6</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21</w:t>
      </w:r>
      <w:r>
        <w:rPr>
          <w:rFonts w:hint="eastAsia" w:ascii="仿宋_GB2312" w:hAnsi="宋体" w:eastAsia="仿宋_GB2312" w:cs="宋体"/>
          <w:szCs w:val="28"/>
          <w:lang w:val="zh-CN"/>
        </w:rPr>
        <w:t>日17:00；</w:t>
      </w:r>
    </w:p>
    <w:p>
      <w:pPr>
        <w:widowControl/>
        <w:adjustRightInd w:val="0"/>
        <w:snapToGrid w:val="0"/>
        <w:spacing w:line="500" w:lineRule="atLeast"/>
        <w:ind w:firstLine="560" w:firstLineChars="200"/>
        <w:rPr>
          <w:rFonts w:ascii="仿宋_GB2312" w:hAnsi="宋体" w:eastAsia="仿宋_GB2312" w:cs="宋体"/>
          <w:szCs w:val="28"/>
          <w:lang w:val="zh-CN"/>
        </w:rPr>
      </w:pPr>
      <w:r>
        <w:rPr>
          <w:rFonts w:hint="eastAsia" w:ascii="仿宋_GB2312" w:hAnsi="宋体" w:eastAsia="仿宋_GB2312" w:cs="宋体"/>
          <w:szCs w:val="28"/>
          <w:lang w:val="zh-CN"/>
        </w:rPr>
        <w:t>（二）报名方式：2023-2025年新生入学体检服务项目已在皖南医学院网上采购平台（http://wnmc.youzhicai.com/）发布，请潜在供应商在皖南医学院网上采购平台参与项目报名。</w:t>
      </w:r>
    </w:p>
    <w:p>
      <w:pPr>
        <w:widowControl/>
        <w:adjustRightInd w:val="0"/>
        <w:snapToGrid w:val="0"/>
        <w:spacing w:line="500" w:lineRule="atLeast"/>
        <w:ind w:firstLine="562" w:firstLineChars="200"/>
        <w:rPr>
          <w:rFonts w:ascii="仿宋_GB2312" w:hAnsi="仿宋" w:eastAsia="仿宋_GB2312"/>
          <w:b/>
          <w:szCs w:val="28"/>
        </w:rPr>
      </w:pPr>
      <w:r>
        <w:rPr>
          <w:rFonts w:hint="eastAsia" w:ascii="仿宋_GB2312" w:hAnsi="宋体" w:eastAsia="仿宋_GB2312" w:cs="宋体"/>
          <w:b/>
          <w:szCs w:val="28"/>
          <w:lang w:val="zh-CN"/>
        </w:rPr>
        <w:t>未进行网上报名的单位，不得参与本项目投标。</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6</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28</w:t>
      </w:r>
      <w:r>
        <w:rPr>
          <w:rFonts w:hint="eastAsia" w:ascii="仿宋_GB2312" w:hAnsi="宋体" w:eastAsia="仿宋_GB2312"/>
          <w:color w:val="000000"/>
          <w:spacing w:val="-6"/>
          <w:szCs w:val="28"/>
        </w:rPr>
        <w:t>日上午9：30；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6</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28</w:t>
      </w:r>
      <w:r>
        <w:rPr>
          <w:rFonts w:hint="eastAsia" w:ascii="仿宋_GB2312" w:hAnsi="宋体" w:eastAsia="仿宋_GB2312"/>
          <w:color w:val="000000"/>
          <w:spacing w:val="-6"/>
          <w:szCs w:val="28"/>
        </w:rPr>
        <w:t>日上午9：30；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13"/>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因学校要求，校外人员进校需扫码登记。请各投标单位如实填写，并于2023年6月</w:t>
      </w:r>
      <w:r>
        <w:rPr>
          <w:rFonts w:hint="eastAsia" w:hAnsi="仿宋_GB2312" w:cs="仿宋_GB2312"/>
          <w:i w:val="0"/>
          <w:iCs w:val="0"/>
          <w:caps w:val="0"/>
          <w:color w:val="333333"/>
          <w:spacing w:val="0"/>
          <w:sz w:val="28"/>
          <w:szCs w:val="28"/>
          <w:shd w:val="clear" w:fill="FFFFFF"/>
          <w:lang w:val="en-US" w:eastAsia="zh-CN"/>
        </w:rPr>
        <w:t>27</w:t>
      </w:r>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13"/>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drawing>
          <wp:inline distT="0" distB="0" distL="114300" distR="114300">
            <wp:extent cx="1781175" cy="19145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81175" cy="1914525"/>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2</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6</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15</w:t>
      </w:r>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仿宋_GB2312" w:hAnsi="宋体" w:eastAsia="仿宋_GB2312" w:cs="宋体"/>
          <w:color w:val="000000"/>
          <w:kern w:val="0"/>
          <w:szCs w:val="28"/>
        </w:rPr>
      </w:pPr>
    </w:p>
    <w:p>
      <w:pPr>
        <w:pStyle w:val="3"/>
        <w:snapToGrid w:val="0"/>
        <w:spacing w:before="0" w:after="0"/>
        <w:ind w:left="947" w:firstLine="0"/>
        <w:jc w:val="center"/>
        <w:rPr>
          <w:rFonts w:ascii="华文中宋" w:hAnsi="华文中宋" w:eastAsia="华文中宋"/>
        </w:rPr>
      </w:pPr>
      <w:bookmarkStart w:id="4" w:name="_Toc479170300"/>
      <w:bookmarkStart w:id="5" w:name="_Toc516580570"/>
      <w:r>
        <w:rPr>
          <w:rFonts w:hint="eastAsia" w:ascii="华文中宋" w:hAnsi="华文中宋" w:eastAsia="华文中宋"/>
        </w:rPr>
        <w:t>第二章  磋商须知前附表</w:t>
      </w:r>
      <w:bookmarkEnd w:id="4"/>
      <w:bookmarkEnd w:id="5"/>
    </w:p>
    <w:tbl>
      <w:tblPr>
        <w:tblStyle w:val="24"/>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2023-2025年新生入学体检服务项目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eastAsia" w:ascii="宋体" w:hAnsi="宋体" w:eastAsia="宋体"/>
                <w:kern w:val="0"/>
                <w:sz w:val="21"/>
                <w:szCs w:val="21"/>
                <w:lang w:val="en-US" w:eastAsia="zh-CN"/>
              </w:rPr>
            </w:pPr>
            <w:r>
              <w:rPr>
                <w:rFonts w:hint="eastAsia" w:ascii="宋体" w:hAnsi="宋体"/>
                <w:kern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hint="eastAsia" w:ascii="宋体" w:hAnsi="宋体"/>
                <w:kern w:val="0"/>
                <w:sz w:val="21"/>
                <w:szCs w:val="21"/>
              </w:rPr>
              <w:t>交纳及退付</w:t>
            </w:r>
          </w:p>
        </w:tc>
        <w:tc>
          <w:tcPr>
            <w:tcW w:w="6480" w:type="dxa"/>
            <w:vAlign w:val="center"/>
          </w:tcPr>
          <w:p>
            <w:pPr>
              <w:snapToGrid w:val="0"/>
              <w:spacing w:line="240" w:lineRule="atLeast"/>
              <w:jc w:val="left"/>
              <w:rPr>
                <w:rFonts w:ascii="宋体" w:hAnsi="宋体"/>
                <w:kern w:val="0"/>
                <w:sz w:val="21"/>
                <w:szCs w:val="21"/>
              </w:rPr>
            </w:pPr>
            <w:r>
              <w:rPr>
                <w:rFonts w:hint="eastAsia" w:ascii="宋体" w:hAnsi="宋体"/>
                <w:b/>
                <w:kern w:val="0"/>
                <w:sz w:val="21"/>
                <w:szCs w:val="21"/>
              </w:rPr>
              <w:t>本项目履约保证金：</w:t>
            </w:r>
            <w:r>
              <w:rPr>
                <w:rFonts w:hint="eastAsia" w:ascii="宋体" w:hAnsi="宋体"/>
                <w:b/>
                <w:kern w:val="0"/>
                <w:sz w:val="21"/>
                <w:szCs w:val="21"/>
                <w:lang w:val="en-US" w:eastAsia="zh-CN"/>
              </w:rPr>
              <w:t>7000</w:t>
            </w:r>
            <w:r>
              <w:rPr>
                <w:rFonts w:hint="eastAsia" w:ascii="宋体" w:hAnsi="宋体"/>
                <w:b/>
                <w:kern w:val="0"/>
                <w:sz w:val="21"/>
                <w:szCs w:val="21"/>
              </w:rPr>
              <w:t>元</w:t>
            </w:r>
          </w:p>
          <w:p>
            <w:pPr>
              <w:snapToGrid w:val="0"/>
              <w:spacing w:line="240" w:lineRule="atLeast"/>
              <w:jc w:val="left"/>
              <w:rPr>
                <w:rFonts w:ascii="宋体" w:hAnsi="宋体"/>
                <w:kern w:val="0"/>
                <w:sz w:val="21"/>
                <w:szCs w:val="21"/>
              </w:rPr>
            </w:pPr>
            <w:r>
              <w:rPr>
                <w:rFonts w:hint="eastAsia" w:ascii="宋体" w:hAnsi="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3.4</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bookmarkStart w:id="6" w:name="_Toc479170301"/>
      <w:bookmarkStart w:id="7" w:name="_Toc516580571"/>
    </w:p>
    <w:p/>
    <w:p/>
    <w:p>
      <w:pPr>
        <w:pStyle w:val="10"/>
      </w:pPr>
    </w:p>
    <w:p>
      <w:pPr>
        <w:pStyle w:val="10"/>
      </w:pPr>
    </w:p>
    <w:p>
      <w:pPr>
        <w:pStyle w:val="10"/>
      </w:pPr>
    </w:p>
    <w:p>
      <w:pPr>
        <w:pStyle w:val="10"/>
        <w:ind w:left="0" w:leftChars="0" w:firstLine="0" w:firstLineChars="0"/>
      </w:pPr>
    </w:p>
    <w:p/>
    <w:p>
      <w:pPr>
        <w:pStyle w:val="3"/>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513029204"/>
      <w:bookmarkStart w:id="10" w:name="_Toc16938520"/>
      <w:bookmarkStart w:id="11" w:name="_Toc20823276"/>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20823277"/>
      <w:bookmarkStart w:id="13" w:name="_Toc513029205"/>
      <w:bookmarkStart w:id="14" w:name="_Toc16938521"/>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37"/>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20823278"/>
      <w:bookmarkStart w:id="16" w:name="_Toc16938522"/>
      <w:bookmarkStart w:id="17" w:name="_Toc513029206"/>
      <w:r>
        <w:rPr>
          <w:rFonts w:hint="eastAsia" w:ascii="仿宋_GB2312" w:eastAsia="仿宋_GB2312"/>
          <w:color w:val="000000"/>
          <w:szCs w:val="28"/>
        </w:rPr>
        <w:t>4.适用法律</w:t>
      </w:r>
      <w:bookmarkEnd w:id="15"/>
      <w:bookmarkEnd w:id="16"/>
      <w:bookmarkEnd w:id="17"/>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513029207"/>
      <w:bookmarkStart w:id="19" w:name="_Toc462564067"/>
      <w:bookmarkStart w:id="20" w:name="_Toc20823279"/>
      <w:bookmarkStart w:id="21" w:name="_Toc16938523"/>
      <w:r>
        <w:rPr>
          <w:rFonts w:hint="eastAsia" w:ascii="仿宋_GB2312" w:eastAsia="仿宋_GB2312"/>
          <w:color w:val="000000"/>
          <w:szCs w:val="28"/>
        </w:rPr>
        <w:t>5.磋商费用</w:t>
      </w:r>
      <w:bookmarkEnd w:id="18"/>
      <w:bookmarkEnd w:id="19"/>
      <w:bookmarkEnd w:id="20"/>
      <w:bookmarkEnd w:id="21"/>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513029209"/>
      <w:bookmarkStart w:id="23" w:name="_Toc20823281"/>
      <w:bookmarkStart w:id="24" w:name="_Toc120614215"/>
      <w:bookmarkStart w:id="25" w:name="_Toc403987206"/>
      <w:bookmarkStart w:id="26" w:name="_Toc16938525"/>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20823282"/>
      <w:bookmarkStart w:id="28" w:name="_Toc513029210"/>
      <w:bookmarkStart w:id="29" w:name="_Toc16938526"/>
      <w:r>
        <w:rPr>
          <w:rFonts w:hint="eastAsia" w:ascii="仿宋_GB2312" w:eastAsia="仿宋_GB2312"/>
          <w:color w:val="000000"/>
          <w:szCs w:val="28"/>
        </w:rPr>
        <w:t>1.磋商文件构成</w:t>
      </w:r>
      <w:bookmarkEnd w:id="27"/>
      <w:bookmarkEnd w:id="28"/>
      <w:bookmarkEnd w:id="29"/>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16938527"/>
      <w:bookmarkStart w:id="31" w:name="_Toc513029211"/>
      <w:bookmarkStart w:id="32" w:name="_Toc462564070"/>
      <w:bookmarkStart w:id="33" w:name="_Toc20823283"/>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120614216"/>
      <w:bookmarkStart w:id="35" w:name="_Toc403987207"/>
      <w:bookmarkStart w:id="36" w:name="_Toc20823285"/>
      <w:bookmarkStart w:id="37" w:name="_Toc16938529"/>
      <w:bookmarkStart w:id="38" w:name="_Toc462564072"/>
      <w:bookmarkStart w:id="39" w:name="_Toc513029213"/>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16938530"/>
      <w:bookmarkStart w:id="42" w:name="_Toc20823286"/>
      <w:bookmarkStart w:id="43" w:name="_Toc462564073"/>
      <w:bookmarkStart w:id="44" w:name="_Toc513029214"/>
      <w:r>
        <w:rPr>
          <w:rFonts w:hint="eastAsia" w:ascii="仿宋_GB2312" w:eastAsia="仿宋_GB2312"/>
          <w:color w:val="000000"/>
          <w:szCs w:val="28"/>
        </w:rPr>
        <w:t>3.响应文件的语言及度量衡单位</w:t>
      </w:r>
      <w:bookmarkEnd w:id="41"/>
      <w:bookmarkEnd w:id="42"/>
      <w:bookmarkEnd w:id="43"/>
      <w:bookmarkEnd w:id="44"/>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513029215"/>
      <w:bookmarkStart w:id="46" w:name="_Toc462564074"/>
      <w:bookmarkStart w:id="47" w:name="_Toc16938531"/>
      <w:bookmarkStart w:id="48" w:name="_Toc20823287"/>
      <w:r>
        <w:rPr>
          <w:rFonts w:hint="eastAsia" w:ascii="仿宋_GB2312" w:eastAsia="仿宋_GB2312"/>
          <w:color w:val="000000"/>
          <w:szCs w:val="28"/>
        </w:rPr>
        <w:t>4.响应文件构成</w:t>
      </w:r>
      <w:bookmarkEnd w:id="45"/>
      <w:bookmarkEnd w:id="46"/>
      <w:bookmarkEnd w:id="47"/>
      <w:bookmarkEnd w:id="48"/>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37"/>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668975"/>
      <w:bookmarkEnd w:id="49"/>
      <w:bookmarkStart w:id="50" w:name="_Hlt26670360"/>
      <w:bookmarkEnd w:id="50"/>
      <w:bookmarkStart w:id="51" w:name="_Hlt26954838"/>
      <w:bookmarkEnd w:id="51"/>
      <w:bookmarkStart w:id="52" w:name="_Toc14577357"/>
      <w:bookmarkStart w:id="53" w:name="_Toc49090509"/>
      <w:bookmarkStart w:id="54" w:name="_Toc513029219"/>
      <w:bookmarkStart w:id="55" w:name="_Toc513029216"/>
      <w:bookmarkStart w:id="56" w:name="_Toc14577354"/>
      <w:bookmarkStart w:id="57" w:name="_Toc49090507"/>
      <w:r>
        <w:rPr>
          <w:rFonts w:hint="eastAsia" w:ascii="仿宋_GB2312" w:eastAsia="仿宋_GB2312"/>
          <w:color w:val="000000"/>
          <w:szCs w:val="28"/>
        </w:rPr>
        <w:t>5.证明供应商资格及符合磋商文件规定的文件</w:t>
      </w:r>
      <w:bookmarkEnd w:id="52"/>
      <w:bookmarkEnd w:id="53"/>
      <w:bookmarkEnd w:id="54"/>
    </w:p>
    <w:p>
      <w:pPr>
        <w:pStyle w:val="37"/>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费率。每项费用只允许有一个报价，任何有选择的报价将不予接受。（如有）</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37"/>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954852"/>
      <w:bookmarkEnd w:id="63"/>
      <w:bookmarkStart w:id="64" w:name="_Hlt26954846"/>
      <w:bookmarkEnd w:id="64"/>
      <w:bookmarkStart w:id="65" w:name="_Hlt26670482"/>
      <w:bookmarkEnd w:id="65"/>
      <w:bookmarkStart w:id="66" w:name="_Hlt26954731"/>
      <w:bookmarkEnd w:id="66"/>
      <w:bookmarkStart w:id="67" w:name="_Hlt26954739"/>
      <w:bookmarkEnd w:id="67"/>
      <w:bookmarkStart w:id="68" w:name="_Hlt26670486"/>
      <w:bookmarkEnd w:id="68"/>
      <w:bookmarkStart w:id="69" w:name="_Hlt26954848"/>
      <w:bookmarkEnd w:id="69"/>
      <w:bookmarkStart w:id="70" w:name="_Toc49090512"/>
      <w:bookmarkStart w:id="71" w:name="_Toc14577361"/>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16938540"/>
      <w:bookmarkStart w:id="73" w:name="_Toc403987208"/>
      <w:bookmarkStart w:id="74" w:name="_Toc120614217"/>
      <w:bookmarkStart w:id="75" w:name="_Toc20823296"/>
      <w:bookmarkStart w:id="76" w:name="_Toc513029224"/>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513029225"/>
      <w:bookmarkStart w:id="78" w:name="_Toc16938541"/>
      <w:bookmarkStart w:id="79" w:name="_Toc20823297"/>
      <w:bookmarkStart w:id="80" w:name="_Toc462564084"/>
      <w:r>
        <w:rPr>
          <w:rFonts w:hint="eastAsia" w:ascii="仿宋_GB2312" w:eastAsia="仿宋_GB2312"/>
          <w:color w:val="000000"/>
          <w:szCs w:val="28"/>
        </w:rPr>
        <w:t>1.响应文件的密封和标记</w:t>
      </w:r>
      <w:bookmarkEnd w:id="77"/>
      <w:bookmarkEnd w:id="78"/>
      <w:bookmarkEnd w:id="79"/>
      <w:bookmarkEnd w:id="80"/>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513029226"/>
      <w:bookmarkStart w:id="82" w:name="_Toc16938542"/>
      <w:bookmarkStart w:id="83" w:name="_Toc20823298"/>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20823303"/>
      <w:bookmarkStart w:id="85" w:name="_Toc513029231"/>
      <w:bookmarkStart w:id="86" w:name="_Toc16938547"/>
      <w:r>
        <w:rPr>
          <w:rFonts w:hint="eastAsia" w:ascii="仿宋_GB2312" w:eastAsia="仿宋_GB2312"/>
          <w:color w:val="000000"/>
          <w:szCs w:val="28"/>
        </w:rPr>
        <w:t>2.磋商小组</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20823304"/>
      <w:bookmarkStart w:id="88" w:name="_Toc16938548"/>
      <w:bookmarkStart w:id="89" w:name="_Toc513029232"/>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20823305"/>
      <w:bookmarkStart w:id="91" w:name="_Toc513029233"/>
      <w:bookmarkStart w:id="92" w:name="_Toc16938549"/>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20823307"/>
      <w:bookmarkStart w:id="94" w:name="_Toc16938551"/>
      <w:bookmarkStart w:id="95" w:name="_Toc513029235"/>
      <w:r>
        <w:rPr>
          <w:rFonts w:hint="eastAsia" w:ascii="仿宋_GB2312" w:hAnsi="宋体" w:eastAsia="仿宋_GB2312"/>
          <w:color w:val="000000"/>
          <w:szCs w:val="28"/>
        </w:rPr>
        <w:t>响应无效条款</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20823310"/>
      <w:bookmarkStart w:id="97" w:name="_Toc16938554"/>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37"/>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120614220"/>
      <w:bookmarkStart w:id="99" w:name="_Toc403987211"/>
      <w:bookmarkStart w:id="100" w:name="_Toc513029236"/>
      <w:bookmarkStart w:id="101" w:name="_Toc16938552"/>
      <w:bookmarkStart w:id="102" w:name="_Toc20823308"/>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513029237"/>
      <w:bookmarkStart w:id="104" w:name="_Toc16938553"/>
      <w:bookmarkStart w:id="105" w:name="_Toc20823309"/>
      <w:r>
        <w:rPr>
          <w:rFonts w:hint="eastAsia" w:ascii="仿宋_GB2312" w:eastAsia="仿宋_GB2312"/>
          <w:color w:val="000000"/>
          <w:szCs w:val="28"/>
        </w:rPr>
        <w:t>1.签订合同</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（1）采购人与成交单位应当在中标通知书发出之日起5日内，按照磋商文件确定的合同文本以及采购标的、采购金额、技术和服务要求等事项签订采购合同。</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2.履约保证金</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（1）成交单位在收到成交通知书后，磋商保证金将自动转为履约保证金</w:t>
      </w:r>
      <w:bookmarkStart w:id="106" w:name="_Toc200451963"/>
      <w:r>
        <w:rPr>
          <w:rFonts w:hint="eastAsia" w:ascii="仿宋_GB2312" w:hAnsi="宋体" w:eastAsia="仿宋_GB2312"/>
          <w:color w:val="000000"/>
          <w:szCs w:val="28"/>
        </w:rPr>
        <w:t>，不足的在中标公示结束后3日内补齐。</w:t>
      </w:r>
    </w:p>
    <w:bookmarkEnd w:id="106"/>
    <w:p>
      <w:pPr>
        <w:pStyle w:val="37"/>
        <w:snapToGrid w:val="0"/>
        <w:spacing w:line="500" w:lineRule="exact"/>
        <w:ind w:firstLine="560"/>
        <w:rPr>
          <w:rFonts w:ascii="仿宋_GB2312" w:hAnsi="宋体" w:eastAsia="仿宋_GB2312"/>
          <w:bCs/>
          <w:color w:val="000000"/>
          <w:szCs w:val="28"/>
        </w:rPr>
      </w:pPr>
      <w:r>
        <w:rPr>
          <w:rFonts w:hint="eastAsia" w:ascii="仿宋_GB2312" w:hAnsi="宋体" w:eastAsia="仿宋_GB2312"/>
          <w:bCs/>
          <w:color w:val="000000"/>
          <w:szCs w:val="28"/>
        </w:rPr>
        <w:t>（2）履约保证金的退还：根据合同约定的条款，</w:t>
      </w:r>
      <w:r>
        <w:rPr>
          <w:rFonts w:hint="eastAsia" w:ascii="仿宋_GB2312" w:hAnsi="宋体" w:eastAsia="仿宋_GB2312"/>
          <w:color w:val="000000"/>
          <w:szCs w:val="28"/>
        </w:rPr>
        <w:t>成交单位自行下载、完成《皖南医学院项目履约保证金退付申请表》</w:t>
      </w:r>
      <w:r>
        <w:rPr>
          <w:rFonts w:hint="eastAsia" w:ascii="仿宋_GB2312" w:hAnsi="宋体" w:eastAsia="仿宋_GB2312"/>
          <w:bCs/>
          <w:color w:val="000000"/>
          <w:szCs w:val="28"/>
        </w:rPr>
        <w:t>办理保证金退还手续。</w:t>
      </w:r>
      <w:bookmarkEnd w:id="103"/>
      <w:bookmarkEnd w:id="104"/>
      <w:bookmarkEnd w:id="105"/>
    </w:p>
    <w:p>
      <w:pPr>
        <w:pStyle w:val="37"/>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 xml:space="preserve">（一）质疑联系方式： </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1.联系部门：皖南医学院国资处；</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2.联系电话：0553-3932052；</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（二）投诉联系方式：</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2.联系电话：0553-3932826</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3.通讯地址：芜湖市高校园区文昌西路22号皖南医学院巡察工作办公室</w:t>
      </w:r>
    </w:p>
    <w:p>
      <w:pPr>
        <w:pStyle w:val="37"/>
        <w:snapToGrid w:val="0"/>
        <w:ind w:right="280" w:rightChars="100" w:firstLine="560"/>
        <w:rPr>
          <w:rFonts w:ascii="仿宋_GB2312" w:hAnsi="宋体" w:eastAsia="仿宋_GB2312"/>
          <w:bCs/>
          <w:color w:val="000000"/>
          <w:szCs w:val="28"/>
        </w:rPr>
      </w:pPr>
    </w:p>
    <w:p>
      <w:pPr>
        <w:pStyle w:val="37"/>
        <w:snapToGrid w:val="0"/>
        <w:ind w:left="0" w:leftChars="0" w:right="280" w:rightChars="100" w:firstLine="0" w:firstLineChars="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
        <w:snapToGrid w:val="0"/>
        <w:spacing w:before="0" w:after="0" w:line="240" w:lineRule="atLeast"/>
        <w:ind w:left="947" w:hanging="947"/>
        <w:jc w:val="center"/>
        <w:rPr>
          <w:rFonts w:ascii="华文中宋" w:hAnsi="华文中宋" w:eastAsia="华文中宋"/>
          <w:bCs w:val="0"/>
          <w:color w:val="000000" w:themeColor="text1"/>
        </w:rPr>
      </w:pPr>
      <w:bookmarkStart w:id="107" w:name="_Toc479170302"/>
      <w:bookmarkStart w:id="108" w:name="_Toc516580572"/>
      <w:r>
        <w:rPr>
          <w:rFonts w:hint="eastAsia" w:ascii="华文中宋" w:hAnsi="华文中宋" w:eastAsia="华文中宋"/>
          <w:bCs w:val="0"/>
          <w:color w:val="000000" w:themeColor="text1"/>
        </w:rPr>
        <w:t>第四章  合同主要条款</w:t>
      </w:r>
      <w:bookmarkEnd w:id="107"/>
      <w:bookmarkEnd w:id="108"/>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买  方：皖南医学院                        电话：XXX-XXXXXX</w:t>
      </w:r>
    </w:p>
    <w:p>
      <w:pPr>
        <w:spacing w:line="480" w:lineRule="exact"/>
        <w:rPr>
          <w:rFonts w:hint="eastAsia" w:ascii="仿宋_GB2312" w:hAnsi="仿宋" w:eastAsia="仿宋_GB2312"/>
          <w:szCs w:val="28"/>
        </w:rPr>
      </w:pPr>
      <w:r>
        <w:rPr>
          <w:rFonts w:hint="eastAsia" w:ascii="仿宋_GB2312" w:hAnsi="仿宋" w:eastAsia="仿宋_GB2312"/>
          <w:szCs w:val="28"/>
        </w:rPr>
        <w:t>卖  方：XXXXXXXXXXXX                      电话： XXX-XXXXXX</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p>
    <w:p>
      <w:pPr>
        <w:spacing w:line="480" w:lineRule="exact"/>
        <w:rPr>
          <w:rFonts w:hint="eastAsia" w:ascii="仿宋_GB2312" w:hAnsi="仿宋" w:eastAsia="仿宋_GB2312"/>
          <w:szCs w:val="28"/>
        </w:rPr>
      </w:pPr>
      <w:r>
        <w:rPr>
          <w:rFonts w:hint="eastAsia" w:ascii="仿宋_GB2312" w:hAnsi="仿宋" w:eastAsia="仿宋_GB2312"/>
          <w:szCs w:val="28"/>
        </w:rPr>
        <w:t>买方通过        组织的          方式采购活动，经评审，决定将本项目采购合同授予卖方。为进一步明确双方的责任，确保合同的顺利履行，根据我国合同等法律法规规定，遵循平等、自愿、公平和诚实信用的原则，买卖双方协商一致同意按如下条款签订本合同：</w:t>
      </w:r>
    </w:p>
    <w:p>
      <w:pPr>
        <w:spacing w:line="480" w:lineRule="exact"/>
        <w:rPr>
          <w:rFonts w:hint="eastAsia" w:ascii="仿宋_GB2312" w:hAnsi="仿宋" w:eastAsia="仿宋_GB2312"/>
          <w:szCs w:val="28"/>
        </w:rPr>
      </w:pPr>
      <w:r>
        <w:rPr>
          <w:rFonts w:hint="eastAsia" w:ascii="仿宋_GB2312" w:hAnsi="仿宋" w:eastAsia="仿宋_GB2312"/>
          <w:szCs w:val="28"/>
        </w:rPr>
        <w:t>一、服务名称及内容</w:t>
      </w:r>
    </w:p>
    <w:p>
      <w:pPr>
        <w:spacing w:line="480" w:lineRule="exact"/>
        <w:rPr>
          <w:rFonts w:hint="eastAsia" w:ascii="仿宋_GB2312" w:hAnsi="仿宋" w:eastAsia="仿宋_GB2312"/>
          <w:szCs w:val="28"/>
        </w:rPr>
      </w:pPr>
      <w:r>
        <w:rPr>
          <w:rFonts w:hint="eastAsia" w:ascii="仿宋_GB2312" w:hAnsi="仿宋" w:eastAsia="仿宋_GB2312"/>
          <w:szCs w:val="28"/>
        </w:rPr>
        <w:t>本合同采购服务名称和内容同采购文件规定。</w:t>
      </w:r>
    </w:p>
    <w:p>
      <w:pPr>
        <w:spacing w:line="480" w:lineRule="exact"/>
        <w:rPr>
          <w:rFonts w:hint="eastAsia" w:ascii="仿宋_GB2312" w:hAnsi="仿宋" w:eastAsia="仿宋_GB2312"/>
          <w:szCs w:val="28"/>
        </w:rPr>
      </w:pPr>
      <w:r>
        <w:rPr>
          <w:rFonts w:hint="eastAsia" w:ascii="仿宋_GB2312" w:hAnsi="仿宋" w:eastAsia="仿宋_GB2312"/>
          <w:szCs w:val="28"/>
        </w:rPr>
        <w:t>二、组成合同的文件</w:t>
      </w:r>
    </w:p>
    <w:p>
      <w:pPr>
        <w:spacing w:line="480" w:lineRule="exact"/>
        <w:rPr>
          <w:rFonts w:hint="eastAsia" w:ascii="仿宋_GB2312" w:hAnsi="仿宋" w:eastAsia="仿宋_GB2312"/>
          <w:szCs w:val="28"/>
        </w:rPr>
      </w:pPr>
      <w:r>
        <w:rPr>
          <w:rFonts w:hint="eastAsia" w:ascii="仿宋_GB2312" w:hAnsi="仿宋" w:eastAsia="仿宋_GB2312"/>
          <w:szCs w:val="28"/>
        </w:rPr>
        <w:t>组成本合同的文件包括：</w:t>
      </w:r>
    </w:p>
    <w:p>
      <w:pPr>
        <w:spacing w:line="480" w:lineRule="exact"/>
        <w:rPr>
          <w:rFonts w:hint="eastAsia" w:ascii="仿宋_GB2312" w:hAnsi="仿宋" w:eastAsia="仿宋_GB2312"/>
          <w:szCs w:val="28"/>
        </w:rPr>
      </w:pPr>
      <w:r>
        <w:rPr>
          <w:rFonts w:hint="eastAsia" w:ascii="仿宋_GB2312" w:hAnsi="仿宋" w:eastAsia="仿宋_GB2312"/>
          <w:szCs w:val="28"/>
        </w:rPr>
        <w:t>(一)采购文件及答疑、更正公告;</w:t>
      </w:r>
    </w:p>
    <w:p>
      <w:pPr>
        <w:spacing w:line="480" w:lineRule="exact"/>
        <w:rPr>
          <w:rFonts w:hint="eastAsia" w:ascii="仿宋_GB2312" w:hAnsi="仿宋" w:eastAsia="仿宋_GB2312"/>
          <w:szCs w:val="28"/>
        </w:rPr>
      </w:pPr>
      <w:r>
        <w:rPr>
          <w:rFonts w:hint="eastAsia" w:ascii="仿宋_GB2312" w:hAnsi="仿宋" w:eastAsia="仿宋_GB2312"/>
          <w:szCs w:val="28"/>
        </w:rPr>
        <w:t>(二)采购文件标准文本中的“合同条款”；</w:t>
      </w:r>
    </w:p>
    <w:p>
      <w:pPr>
        <w:spacing w:line="480" w:lineRule="exact"/>
        <w:rPr>
          <w:rFonts w:hint="eastAsia" w:ascii="仿宋_GB2312" w:hAnsi="仿宋" w:eastAsia="仿宋_GB2312"/>
          <w:szCs w:val="28"/>
        </w:rPr>
      </w:pPr>
      <w:r>
        <w:rPr>
          <w:rFonts w:hint="eastAsia" w:ascii="仿宋_GB2312" w:hAnsi="仿宋" w:eastAsia="仿宋_GB2312"/>
          <w:szCs w:val="28"/>
        </w:rPr>
        <w:t>(三)中标或成交公告；</w:t>
      </w:r>
    </w:p>
    <w:p>
      <w:pPr>
        <w:spacing w:line="480" w:lineRule="exact"/>
        <w:rPr>
          <w:rFonts w:hint="eastAsia" w:ascii="仿宋_GB2312" w:hAnsi="仿宋" w:eastAsia="仿宋_GB2312"/>
          <w:szCs w:val="28"/>
        </w:rPr>
      </w:pPr>
      <w:r>
        <w:rPr>
          <w:rFonts w:hint="eastAsia" w:ascii="仿宋_GB2312" w:hAnsi="仿宋" w:eastAsia="仿宋_GB2312"/>
          <w:szCs w:val="28"/>
        </w:rPr>
        <w:t>(四)卖方提交的投标文件及书面承诺函；</w:t>
      </w:r>
    </w:p>
    <w:p>
      <w:pPr>
        <w:spacing w:line="480" w:lineRule="exact"/>
        <w:rPr>
          <w:rFonts w:hint="eastAsia" w:ascii="仿宋_GB2312" w:hAnsi="仿宋" w:eastAsia="仿宋_GB2312"/>
          <w:szCs w:val="28"/>
        </w:rPr>
      </w:pPr>
      <w:r>
        <w:rPr>
          <w:rFonts w:hint="eastAsia" w:ascii="仿宋_GB2312" w:hAnsi="仿宋" w:eastAsia="仿宋_GB2312"/>
          <w:szCs w:val="28"/>
        </w:rPr>
        <w:t>(五)双方另行签订的补充协议。</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三、 本合同的总金额为￥       元(人民币大写：        )。</w:t>
      </w:r>
    </w:p>
    <w:p>
      <w:pPr>
        <w:spacing w:line="480" w:lineRule="exact"/>
        <w:rPr>
          <w:rFonts w:hint="eastAsia" w:ascii="仿宋_GB2312" w:hAnsi="仿宋" w:eastAsia="仿宋_GB2312"/>
          <w:szCs w:val="28"/>
        </w:rPr>
      </w:pPr>
      <w:r>
        <w:rPr>
          <w:rFonts w:hint="eastAsia" w:ascii="仿宋_GB2312" w:hAnsi="仿宋" w:eastAsia="仿宋_GB2312"/>
          <w:szCs w:val="28"/>
        </w:rPr>
        <w:t>四、服务期限</w:t>
      </w:r>
    </w:p>
    <w:p>
      <w:pPr>
        <w:spacing w:line="480" w:lineRule="exact"/>
        <w:rPr>
          <w:rFonts w:hint="eastAsia" w:ascii="仿宋_GB2312" w:hAnsi="仿宋" w:eastAsia="仿宋_GB2312"/>
          <w:szCs w:val="28"/>
        </w:rPr>
      </w:pPr>
      <w:r>
        <w:rPr>
          <w:rFonts w:hint="eastAsia" w:ascii="仿宋_GB2312" w:hAnsi="仿宋" w:eastAsia="仿宋_GB2312"/>
          <w:szCs w:val="28"/>
        </w:rPr>
        <w:t>卖方应于合同签字生效后开始计算的    日内完成合同规定的服务内容，由买方进行验收。</w:t>
      </w:r>
    </w:p>
    <w:p>
      <w:pPr>
        <w:spacing w:line="480" w:lineRule="exact"/>
        <w:rPr>
          <w:rFonts w:hint="eastAsia" w:ascii="仿宋_GB2312" w:hAnsi="仿宋" w:eastAsia="仿宋_GB2312"/>
          <w:szCs w:val="28"/>
        </w:rPr>
      </w:pPr>
      <w:r>
        <w:rPr>
          <w:rFonts w:hint="eastAsia" w:ascii="仿宋_GB2312" w:hAnsi="仿宋" w:eastAsia="仿宋_GB2312"/>
          <w:szCs w:val="28"/>
        </w:rPr>
        <w:t>五、验收要求</w:t>
      </w:r>
    </w:p>
    <w:p>
      <w:pPr>
        <w:spacing w:line="480" w:lineRule="exact"/>
        <w:rPr>
          <w:rFonts w:hint="eastAsia" w:ascii="仿宋_GB2312" w:hAnsi="仿宋" w:eastAsia="仿宋_GB2312"/>
          <w:szCs w:val="28"/>
        </w:rPr>
      </w:pPr>
      <w:r>
        <w:rPr>
          <w:rFonts w:hint="eastAsia" w:ascii="仿宋_GB2312" w:hAnsi="仿宋" w:eastAsia="仿宋_GB2312"/>
          <w:szCs w:val="28"/>
        </w:rPr>
        <w:t>（一）质量标准</w:t>
      </w:r>
    </w:p>
    <w:p>
      <w:pPr>
        <w:spacing w:line="480" w:lineRule="exact"/>
        <w:rPr>
          <w:rFonts w:hint="eastAsia" w:ascii="仿宋_GB2312" w:hAnsi="仿宋" w:eastAsia="仿宋_GB2312"/>
          <w:szCs w:val="28"/>
        </w:rPr>
      </w:pPr>
      <w:r>
        <w:rPr>
          <w:rFonts w:hint="eastAsia" w:ascii="仿宋_GB2312" w:hAnsi="仿宋" w:eastAsia="仿宋_GB2312"/>
          <w:szCs w:val="28"/>
        </w:rPr>
        <w:t>卖方保证提供的服务质量应符合中华人民共和国相关标准及相应的技术规范、本次采购相关文件中的全部相关要求及卖方相关服务标准及相应的技术规范中之较高者。</w:t>
      </w:r>
    </w:p>
    <w:p>
      <w:pPr>
        <w:spacing w:line="480" w:lineRule="exact"/>
        <w:rPr>
          <w:rFonts w:hint="eastAsia" w:ascii="仿宋_GB2312" w:hAnsi="仿宋" w:eastAsia="仿宋_GB2312"/>
          <w:szCs w:val="28"/>
        </w:rPr>
      </w:pPr>
      <w:r>
        <w:rPr>
          <w:rFonts w:hint="eastAsia" w:ascii="仿宋_GB2312" w:hAnsi="仿宋" w:eastAsia="仿宋_GB2312"/>
          <w:szCs w:val="28"/>
        </w:rPr>
        <w:t>（二）验收组织</w:t>
      </w:r>
    </w:p>
    <w:p>
      <w:pPr>
        <w:spacing w:line="480" w:lineRule="exact"/>
        <w:rPr>
          <w:rFonts w:hint="eastAsia" w:ascii="仿宋_GB2312" w:hAnsi="仿宋" w:eastAsia="仿宋_GB2312"/>
          <w:szCs w:val="28"/>
        </w:rPr>
      </w:pPr>
      <w:r>
        <w:rPr>
          <w:rFonts w:hint="eastAsia" w:ascii="仿宋_GB2312" w:hAnsi="仿宋" w:eastAsia="仿宋_GB2312"/>
          <w:szCs w:val="28"/>
        </w:rPr>
        <w:t>买方负责组织验收工作。</w:t>
      </w:r>
    </w:p>
    <w:p>
      <w:pPr>
        <w:spacing w:line="480" w:lineRule="exact"/>
        <w:rPr>
          <w:rFonts w:hint="eastAsia" w:ascii="仿宋_GB2312" w:hAnsi="仿宋" w:eastAsia="仿宋_GB2312"/>
          <w:szCs w:val="28"/>
        </w:rPr>
      </w:pPr>
      <w:r>
        <w:rPr>
          <w:rFonts w:hint="eastAsia" w:ascii="仿宋_GB2312" w:hAnsi="仿宋" w:eastAsia="仿宋_GB2312"/>
          <w:szCs w:val="28"/>
        </w:rPr>
        <w:t>（三）验收程序</w:t>
      </w:r>
    </w:p>
    <w:p>
      <w:pPr>
        <w:spacing w:line="480" w:lineRule="exact"/>
        <w:rPr>
          <w:rFonts w:hint="eastAsia" w:ascii="仿宋_GB2312" w:hAnsi="仿宋" w:eastAsia="仿宋_GB2312"/>
          <w:szCs w:val="28"/>
        </w:rPr>
      </w:pPr>
      <w:r>
        <w:rPr>
          <w:rFonts w:hint="eastAsia" w:ascii="仿宋_GB2312" w:hAnsi="仿宋" w:eastAsia="仿宋_GB2312"/>
          <w:szCs w:val="28"/>
        </w:rPr>
        <w:t>1、成立验收小组，验收人员应由买方代表和技术专家组成。</w:t>
      </w:r>
    </w:p>
    <w:p>
      <w:pPr>
        <w:spacing w:line="480" w:lineRule="exact"/>
        <w:rPr>
          <w:rFonts w:hint="eastAsia" w:ascii="仿宋_GB2312" w:hAnsi="仿宋" w:eastAsia="仿宋_GB2312"/>
          <w:szCs w:val="28"/>
        </w:rPr>
      </w:pPr>
      <w:r>
        <w:rPr>
          <w:rFonts w:hint="eastAsia" w:ascii="仿宋_GB2312" w:hAnsi="仿宋" w:eastAsia="仿宋_GB2312"/>
          <w:szCs w:val="28"/>
        </w:rPr>
        <w:t>2、验收方出具验收报告。</w:t>
      </w:r>
    </w:p>
    <w:p>
      <w:pPr>
        <w:spacing w:line="480" w:lineRule="exact"/>
        <w:rPr>
          <w:rFonts w:hint="eastAsia" w:ascii="仿宋_GB2312" w:hAnsi="仿宋" w:eastAsia="仿宋_GB2312"/>
          <w:szCs w:val="28"/>
        </w:rPr>
      </w:pPr>
      <w:r>
        <w:rPr>
          <w:rFonts w:hint="eastAsia" w:ascii="仿宋_GB2312" w:hAnsi="仿宋" w:eastAsia="仿宋_GB2312"/>
          <w:szCs w:val="28"/>
        </w:rPr>
        <w:t>六、付款方式</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(可编辑) </w:t>
      </w:r>
    </w:p>
    <w:p>
      <w:pPr>
        <w:spacing w:line="480" w:lineRule="exact"/>
        <w:rPr>
          <w:rFonts w:hint="eastAsia" w:ascii="仿宋_GB2312" w:hAnsi="仿宋" w:eastAsia="仿宋_GB2312"/>
          <w:szCs w:val="28"/>
        </w:rPr>
      </w:pPr>
      <w:r>
        <w:rPr>
          <w:rFonts w:hint="eastAsia" w:ascii="仿宋_GB2312" w:hAnsi="仿宋" w:eastAsia="仿宋_GB2312"/>
          <w:szCs w:val="28"/>
        </w:rPr>
        <w:t>七、售后服务</w:t>
      </w:r>
    </w:p>
    <w:p>
      <w:pPr>
        <w:spacing w:line="480" w:lineRule="exact"/>
        <w:rPr>
          <w:rFonts w:hint="eastAsia" w:ascii="仿宋_GB2312" w:hAnsi="仿宋" w:eastAsia="仿宋_GB2312"/>
          <w:szCs w:val="28"/>
        </w:rPr>
      </w:pPr>
      <w:r>
        <w:rPr>
          <w:rFonts w:hint="eastAsia" w:ascii="仿宋_GB2312" w:hAnsi="仿宋" w:eastAsia="仿宋_GB2312"/>
          <w:szCs w:val="28"/>
        </w:rPr>
        <w:t>（一）卖方对合同服务的质量保修期为验收报告签署之日起   个月。</w:t>
      </w:r>
    </w:p>
    <w:p>
      <w:pPr>
        <w:spacing w:line="480" w:lineRule="exact"/>
        <w:rPr>
          <w:rFonts w:hint="eastAsia" w:ascii="仿宋_GB2312" w:hAnsi="仿宋" w:eastAsia="仿宋_GB2312"/>
          <w:szCs w:val="28"/>
        </w:rPr>
      </w:pPr>
      <w:r>
        <w:rPr>
          <w:rFonts w:hint="eastAsia" w:ascii="仿宋_GB2312" w:hAnsi="仿宋" w:eastAsia="仿宋_GB2312"/>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     天内免费维修或更换有缺陷的部分。</w:t>
      </w:r>
    </w:p>
    <w:p>
      <w:pPr>
        <w:spacing w:line="480" w:lineRule="exact"/>
        <w:rPr>
          <w:rFonts w:hint="eastAsia" w:ascii="仿宋_GB2312" w:hAnsi="仿宋" w:eastAsia="仿宋_GB2312"/>
          <w:szCs w:val="28"/>
        </w:rPr>
      </w:pPr>
      <w:r>
        <w:rPr>
          <w:rFonts w:hint="eastAsia" w:ascii="仿宋_GB2312" w:hAnsi="仿宋" w:eastAsia="仿宋_GB2312"/>
          <w:szCs w:val="28"/>
        </w:rPr>
        <w:t>（三）如卖方在收到通知后在合同规定时间内，没有弥补缺陷，买方可采取必要的补救措施，但由此引发的风险和费用将由卖方承担。</w:t>
      </w:r>
    </w:p>
    <w:p>
      <w:pPr>
        <w:spacing w:line="480" w:lineRule="exact"/>
        <w:rPr>
          <w:rFonts w:hint="eastAsia" w:ascii="仿宋_GB2312" w:hAnsi="仿宋" w:eastAsia="仿宋_GB2312"/>
          <w:szCs w:val="28"/>
        </w:rPr>
      </w:pPr>
      <w:r>
        <w:rPr>
          <w:rFonts w:hint="eastAsia" w:ascii="仿宋_GB2312" w:hAnsi="仿宋" w:eastAsia="仿宋_GB2312"/>
          <w:szCs w:val="28"/>
        </w:rPr>
        <w:t>八、履约保证金</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本项目履约保证金为￥           元(人民币大写：       )，收受人为           ，期限为验收合格后     。如卖方未能按期履行合同，买方可从履约保证金中获得经济上的赔偿。</w:t>
      </w:r>
    </w:p>
    <w:p>
      <w:pPr>
        <w:spacing w:line="480" w:lineRule="exact"/>
        <w:rPr>
          <w:rFonts w:hint="eastAsia" w:ascii="仿宋_GB2312" w:hAnsi="仿宋" w:eastAsia="仿宋_GB2312"/>
          <w:szCs w:val="28"/>
        </w:rPr>
      </w:pPr>
      <w:r>
        <w:rPr>
          <w:rFonts w:hint="eastAsia" w:ascii="仿宋_GB2312" w:hAnsi="仿宋" w:eastAsia="仿宋_GB2312"/>
          <w:szCs w:val="28"/>
        </w:rPr>
        <w:t>九、违约责任</w:t>
      </w:r>
    </w:p>
    <w:p>
      <w:pPr>
        <w:spacing w:line="480" w:lineRule="exact"/>
        <w:rPr>
          <w:rFonts w:hint="eastAsia" w:ascii="仿宋_GB2312" w:hAnsi="仿宋" w:eastAsia="仿宋_GB2312"/>
          <w:szCs w:val="28"/>
        </w:rPr>
      </w:pPr>
      <w:r>
        <w:rPr>
          <w:rFonts w:hint="eastAsia" w:ascii="仿宋_GB2312" w:hAnsi="仿宋" w:eastAsia="仿宋_GB2312"/>
          <w:szCs w:val="28"/>
        </w:rPr>
        <w:t>（一）卖方服务期限超过合同约定服务期限。如果卖方由于自身的原因未能按期履行完合同，买方可从履约保证金中获得经济上的赔偿。其标准为按每延期一周收取合同金额的      %，但误期赔偿费总额不得超过履约保证金总额。一周按7天计算，不足7天按一周计算。在此情况下，卖方不得要求买方退还其履约保证金。</w:t>
      </w:r>
    </w:p>
    <w:p>
      <w:pPr>
        <w:spacing w:line="480" w:lineRule="exact"/>
        <w:rPr>
          <w:rFonts w:hint="eastAsia" w:ascii="仿宋_GB2312" w:hAnsi="仿宋" w:eastAsia="仿宋_GB2312"/>
          <w:szCs w:val="28"/>
        </w:rPr>
      </w:pPr>
      <w:r>
        <w:rPr>
          <w:rFonts w:hint="eastAsia" w:ascii="仿宋_GB2312" w:hAnsi="仿宋" w:eastAsia="仿宋_GB2312"/>
          <w:szCs w:val="28"/>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并追究对学校造成的经济损失。</w:t>
      </w:r>
    </w:p>
    <w:p>
      <w:pPr>
        <w:spacing w:line="480" w:lineRule="exact"/>
        <w:rPr>
          <w:rFonts w:hint="eastAsia" w:ascii="仿宋_GB2312" w:hAnsi="仿宋" w:eastAsia="仿宋_GB2312"/>
          <w:szCs w:val="28"/>
        </w:rPr>
      </w:pPr>
      <w:r>
        <w:rPr>
          <w:rFonts w:hint="eastAsia" w:ascii="仿宋_GB2312" w:hAnsi="仿宋" w:eastAsia="仿宋_GB2312"/>
          <w:szCs w:val="28"/>
        </w:rPr>
        <w:t>（四）卖方将合同转包、擅自变更、中止或者终止合同的，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（五）买方违反合同规定拒绝接收服务的，应当承担由此造成的损失。</w:t>
      </w:r>
    </w:p>
    <w:p>
      <w:pPr>
        <w:spacing w:line="480" w:lineRule="exact"/>
        <w:rPr>
          <w:rFonts w:hint="eastAsia" w:ascii="仿宋_GB2312" w:hAnsi="仿宋" w:eastAsia="仿宋_GB2312"/>
          <w:szCs w:val="28"/>
        </w:rPr>
      </w:pPr>
      <w:r>
        <w:rPr>
          <w:rFonts w:hint="eastAsia" w:ascii="仿宋_GB2312" w:hAnsi="仿宋" w:eastAsia="仿宋_GB2312"/>
          <w:szCs w:val="28"/>
        </w:rPr>
        <w:t>十、合同签订地点</w:t>
      </w:r>
    </w:p>
    <w:p>
      <w:pPr>
        <w:spacing w:line="480" w:lineRule="exact"/>
        <w:rPr>
          <w:rFonts w:hint="eastAsia" w:ascii="仿宋_GB2312" w:hAnsi="仿宋" w:eastAsia="仿宋_GB2312"/>
          <w:szCs w:val="28"/>
        </w:rPr>
      </w:pPr>
      <w:r>
        <w:rPr>
          <w:rFonts w:hint="eastAsia" w:ascii="仿宋_GB2312" w:hAnsi="仿宋" w:eastAsia="仿宋_GB2312"/>
          <w:szCs w:val="28"/>
        </w:rPr>
        <w:t>本合同在皖南医学院滨江校区签订。</w:t>
      </w:r>
    </w:p>
    <w:p>
      <w:pPr>
        <w:spacing w:line="480" w:lineRule="exact"/>
        <w:rPr>
          <w:rFonts w:hint="eastAsia" w:ascii="仿宋_GB2312" w:hAnsi="仿宋" w:eastAsia="仿宋_GB2312"/>
          <w:szCs w:val="28"/>
        </w:rPr>
      </w:pPr>
      <w:r>
        <w:rPr>
          <w:rFonts w:hint="eastAsia" w:ascii="仿宋_GB2312" w:hAnsi="仿宋" w:eastAsia="仿宋_GB2312"/>
          <w:szCs w:val="28"/>
        </w:rPr>
        <w:t>十一、合同的终止</w:t>
      </w:r>
    </w:p>
    <w:p>
      <w:pPr>
        <w:spacing w:line="480" w:lineRule="exact"/>
        <w:rPr>
          <w:rFonts w:hint="eastAsia" w:ascii="仿宋_GB2312" w:hAnsi="仿宋" w:eastAsia="仿宋_GB2312"/>
          <w:szCs w:val="28"/>
        </w:rPr>
      </w:pPr>
      <w:r>
        <w:rPr>
          <w:rFonts w:hint="eastAsia" w:ascii="仿宋_GB2312" w:hAnsi="仿宋" w:eastAsia="仿宋_GB2312"/>
          <w:szCs w:val="28"/>
        </w:rPr>
        <w:t>（一）本合同因下列原因而终止：</w:t>
      </w:r>
    </w:p>
    <w:p>
      <w:pPr>
        <w:spacing w:line="480" w:lineRule="exact"/>
        <w:rPr>
          <w:rFonts w:hint="eastAsia" w:ascii="仿宋_GB2312" w:hAnsi="仿宋" w:eastAsia="仿宋_GB2312"/>
          <w:szCs w:val="28"/>
        </w:rPr>
      </w:pPr>
      <w:r>
        <w:rPr>
          <w:rFonts w:hint="eastAsia" w:ascii="仿宋_GB2312" w:hAnsi="仿宋" w:eastAsia="仿宋_GB2312"/>
          <w:szCs w:val="28"/>
        </w:rPr>
        <w:t>1、本合同正常履行完毕；</w:t>
      </w:r>
    </w:p>
    <w:p>
      <w:pPr>
        <w:spacing w:line="480" w:lineRule="exact"/>
        <w:rPr>
          <w:rFonts w:hint="eastAsia" w:ascii="仿宋_GB2312" w:hAnsi="仿宋" w:eastAsia="仿宋_GB2312"/>
          <w:szCs w:val="28"/>
        </w:rPr>
      </w:pPr>
      <w:r>
        <w:rPr>
          <w:rFonts w:hint="eastAsia" w:ascii="仿宋_GB2312" w:hAnsi="仿宋" w:eastAsia="仿宋_GB2312"/>
          <w:szCs w:val="28"/>
        </w:rPr>
        <w:t>2、合同双方协议终止本合同的履行；</w:t>
      </w:r>
    </w:p>
    <w:p>
      <w:pPr>
        <w:spacing w:line="480" w:lineRule="exact"/>
        <w:rPr>
          <w:rFonts w:hint="eastAsia" w:ascii="仿宋_GB2312" w:hAnsi="仿宋" w:eastAsia="仿宋_GB2312"/>
          <w:szCs w:val="28"/>
        </w:rPr>
      </w:pPr>
      <w:r>
        <w:rPr>
          <w:rFonts w:hint="eastAsia" w:ascii="仿宋_GB2312" w:hAnsi="仿宋" w:eastAsia="仿宋_GB2312"/>
          <w:szCs w:val="28"/>
        </w:rPr>
        <w:t>3、不可抗力事件导致本合同无法履行或履行不必要；</w:t>
      </w:r>
    </w:p>
    <w:p>
      <w:pPr>
        <w:spacing w:line="480" w:lineRule="exact"/>
        <w:rPr>
          <w:rFonts w:hint="eastAsia" w:ascii="仿宋_GB2312" w:hAnsi="仿宋" w:eastAsia="仿宋_GB2312"/>
          <w:szCs w:val="28"/>
        </w:rPr>
      </w:pPr>
      <w:r>
        <w:rPr>
          <w:rFonts w:hint="eastAsia" w:ascii="仿宋_GB2312" w:hAnsi="仿宋" w:eastAsia="仿宋_GB2312"/>
          <w:szCs w:val="28"/>
        </w:rPr>
        <w:t>4、符合本合同约定的其他终止合同的条款。</w:t>
      </w:r>
    </w:p>
    <w:p>
      <w:pPr>
        <w:spacing w:line="480" w:lineRule="exact"/>
        <w:rPr>
          <w:rFonts w:hint="eastAsia" w:ascii="仿宋_GB2312" w:hAnsi="仿宋" w:eastAsia="仿宋_GB2312"/>
          <w:szCs w:val="28"/>
        </w:rPr>
      </w:pPr>
      <w:r>
        <w:rPr>
          <w:rFonts w:hint="eastAsia" w:ascii="仿宋_GB2312" w:hAnsi="仿宋" w:eastAsia="仿宋_GB2312"/>
          <w:szCs w:val="28"/>
        </w:rPr>
        <w:t>（二）对本合同终止有过错的一方应赔偿另一方因合同终止而受到的损失。对合同终止双方均无过错的，则各自承担所受到的损失。</w:t>
      </w:r>
    </w:p>
    <w:p>
      <w:pPr>
        <w:spacing w:line="480" w:lineRule="exact"/>
        <w:rPr>
          <w:rFonts w:hint="eastAsia" w:ascii="仿宋_GB2312" w:hAnsi="仿宋" w:eastAsia="仿宋_GB2312"/>
          <w:szCs w:val="28"/>
        </w:rPr>
      </w:pPr>
      <w:r>
        <w:rPr>
          <w:rFonts w:hint="eastAsia" w:ascii="仿宋_GB2312" w:hAnsi="仿宋" w:eastAsia="仿宋_GB2312"/>
          <w:szCs w:val="28"/>
        </w:rPr>
        <w:t>十二、其他</w:t>
      </w:r>
    </w:p>
    <w:p>
      <w:pPr>
        <w:spacing w:line="480" w:lineRule="exact"/>
        <w:rPr>
          <w:rFonts w:hint="eastAsia" w:ascii="仿宋_GB2312" w:hAnsi="仿宋" w:eastAsia="仿宋_GB2312"/>
          <w:szCs w:val="28"/>
        </w:rPr>
      </w:pPr>
      <w:r>
        <w:rPr>
          <w:rFonts w:hint="eastAsia" w:ascii="仿宋_GB2312" w:hAnsi="仿宋" w:eastAsia="仿宋_GB2312"/>
          <w:szCs w:val="28"/>
        </w:rPr>
        <w:t>（一）买卖双方必须严格按照采购文件、投标文件及有关承诺签订采购合同，不得擅自变更。合同执行期内，买卖双方均不得随意变更或解除合同。</w:t>
      </w:r>
    </w:p>
    <w:p>
      <w:pPr>
        <w:spacing w:line="480" w:lineRule="exact"/>
        <w:rPr>
          <w:rFonts w:hint="eastAsia" w:ascii="仿宋_GB2312" w:hAnsi="仿宋" w:eastAsia="仿宋_GB2312"/>
          <w:szCs w:val="28"/>
        </w:rPr>
      </w:pPr>
      <w:r>
        <w:rPr>
          <w:rFonts w:hint="eastAsia" w:ascii="仿宋_GB2312" w:hAnsi="仿宋" w:eastAsia="仿宋_GB2312"/>
          <w:szCs w:val="28"/>
        </w:rPr>
        <w:t>（二）本合同执行期间，如遇不可抗力，致使合同无法履行时，买卖双方应按有关法律规定及时协商处理。</w:t>
      </w:r>
    </w:p>
    <w:p>
      <w:pPr>
        <w:spacing w:line="480" w:lineRule="exact"/>
        <w:rPr>
          <w:rFonts w:hint="eastAsia" w:ascii="仿宋_GB2312" w:hAnsi="仿宋" w:eastAsia="仿宋_GB2312"/>
          <w:szCs w:val="28"/>
        </w:rPr>
      </w:pPr>
      <w:r>
        <w:rPr>
          <w:rFonts w:hint="eastAsia" w:ascii="仿宋_GB2312" w:hAnsi="仿宋" w:eastAsia="仿宋_GB2312"/>
          <w:szCs w:val="28"/>
        </w:rPr>
        <w:t>（三）合同未尽事宜，买卖双方另行签订补充协议，补充协议是合同的组成部分。</w:t>
      </w:r>
    </w:p>
    <w:p>
      <w:pPr>
        <w:spacing w:line="480" w:lineRule="exact"/>
        <w:rPr>
          <w:rFonts w:hint="eastAsia" w:ascii="仿宋_GB2312" w:hAnsi="仿宋" w:eastAsia="仿宋_GB2312"/>
          <w:szCs w:val="28"/>
        </w:rPr>
      </w:pPr>
      <w:r>
        <w:rPr>
          <w:rFonts w:hint="eastAsia" w:ascii="仿宋_GB2312" w:hAnsi="仿宋" w:eastAsia="仿宋_GB2312"/>
          <w:szCs w:val="28"/>
        </w:rPr>
        <w:t xml:space="preserve">（四）本合同如发生纠纷，买卖双方应当及时协商解决，协商不成时，向 买方所在地  人民法院起诉。   </w:t>
      </w:r>
    </w:p>
    <w:p>
      <w:pPr>
        <w:spacing w:line="480" w:lineRule="exact"/>
        <w:rPr>
          <w:rFonts w:hint="eastAsia" w:ascii="仿宋_GB2312" w:hAnsi="仿宋" w:eastAsia="仿宋_GB2312"/>
          <w:szCs w:val="28"/>
        </w:rPr>
      </w:pPr>
      <w:r>
        <w:rPr>
          <w:rFonts w:hint="eastAsia" w:ascii="仿宋_GB2312" w:hAnsi="仿宋" w:eastAsia="仿宋_GB2312"/>
          <w:szCs w:val="28"/>
        </w:rPr>
        <w:t>本合同一式陆份，自买卖双方法定代表人或委托代理人签字加盖单位公章后生效。</w:t>
      </w:r>
    </w:p>
    <w:p>
      <w:pPr>
        <w:spacing w:line="480" w:lineRule="exact"/>
        <w:rPr>
          <w:rFonts w:hint="eastAsia" w:ascii="仿宋_GB2312" w:hAnsi="仿宋" w:eastAsia="仿宋_GB2312"/>
          <w:szCs w:val="28"/>
        </w:rPr>
      </w:pPr>
      <w:r>
        <w:rPr>
          <w:rFonts w:hint="eastAsia" w:ascii="仿宋_GB2312" w:hAnsi="仿宋" w:eastAsia="仿宋_GB2312"/>
          <w:szCs w:val="28"/>
        </w:rPr>
        <w:t xml:space="preserve">买    方：                           卖    方：             </w:t>
      </w:r>
    </w:p>
    <w:p>
      <w:pPr>
        <w:spacing w:line="480" w:lineRule="exact"/>
        <w:rPr>
          <w:rFonts w:hint="eastAsia" w:ascii="仿宋_GB2312" w:hAnsi="仿宋" w:eastAsia="仿宋_GB2312"/>
          <w:szCs w:val="28"/>
        </w:rPr>
      </w:pPr>
      <w:r>
        <w:rPr>
          <w:rFonts w:hint="eastAsia" w:ascii="仿宋_GB2312" w:hAnsi="仿宋" w:eastAsia="仿宋_GB2312"/>
          <w:szCs w:val="28"/>
        </w:rPr>
        <w:t>单位盖章：                           单位盖章：</w:t>
      </w:r>
    </w:p>
    <w:p>
      <w:pPr>
        <w:spacing w:line="480" w:lineRule="exact"/>
        <w:rPr>
          <w:rFonts w:hint="eastAsia" w:ascii="仿宋_GB2312" w:hAnsi="仿宋" w:eastAsia="仿宋_GB2312"/>
          <w:szCs w:val="28"/>
        </w:rPr>
      </w:pPr>
      <w:r>
        <w:rPr>
          <w:rFonts w:hint="eastAsia" w:ascii="仿宋_GB2312" w:hAnsi="仿宋" w:eastAsia="仿宋_GB2312"/>
          <w:szCs w:val="28"/>
        </w:rPr>
        <w:t>法定代表人或委托代理人：             法定代表人或委托代理人：</w:t>
      </w:r>
    </w:p>
    <w:p>
      <w:pPr>
        <w:spacing w:line="480" w:lineRule="exact"/>
        <w:rPr>
          <w:rFonts w:ascii="仿宋_GB2312" w:hAnsi="仿宋" w:eastAsia="仿宋_GB2312"/>
          <w:szCs w:val="28"/>
        </w:rPr>
      </w:pPr>
      <w:r>
        <w:rPr>
          <w:rFonts w:hint="eastAsia" w:ascii="仿宋_GB2312" w:hAnsi="仿宋" w:eastAsia="仿宋_GB2312"/>
          <w:szCs w:val="28"/>
        </w:rPr>
        <w:t>日    期：                           日    期:</w:t>
      </w: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pStyle w:val="13"/>
      </w:pPr>
    </w:p>
    <w:p>
      <w:pPr>
        <w:pStyle w:val="13"/>
      </w:pPr>
    </w:p>
    <w:p>
      <w:pPr>
        <w:pStyle w:val="13"/>
      </w:pPr>
    </w:p>
    <w:p>
      <w:pPr>
        <w:spacing w:line="480" w:lineRule="exact"/>
        <w:rPr>
          <w:rFonts w:ascii="仿宋_GB2312" w:hAnsi="仿宋" w:eastAsia="仿宋_GB2312"/>
          <w:szCs w:val="28"/>
        </w:rPr>
      </w:pPr>
      <w:bookmarkStart w:id="154" w:name="_GoBack"/>
      <w:bookmarkEnd w:id="154"/>
    </w:p>
    <w:p>
      <w:pPr>
        <w:spacing w:line="480" w:lineRule="exact"/>
        <w:rPr>
          <w:rFonts w:ascii="仿宋_GB2312" w:hAnsi="仿宋" w:eastAsia="仿宋_GB2312"/>
          <w:szCs w:val="28"/>
        </w:rPr>
      </w:pPr>
    </w:p>
    <w:p>
      <w:pPr>
        <w:spacing w:line="480" w:lineRule="exact"/>
        <w:rPr>
          <w:rFonts w:ascii="仿宋" w:hAnsi="仿宋" w:eastAsia="仿宋"/>
          <w:szCs w:val="28"/>
        </w:rPr>
      </w:pPr>
    </w:p>
    <w:p>
      <w:pPr>
        <w:adjustRightInd w:val="0"/>
        <w:snapToGrid w:val="0"/>
        <w:spacing w:line="440" w:lineRule="exact"/>
        <w:ind w:firstLine="721" w:firstLineChars="200"/>
        <w:jc w:val="center"/>
        <w:rPr>
          <w:rFonts w:ascii="华文中宋" w:hAnsi="华文中宋" w:eastAsia="华文中宋"/>
          <w:b/>
          <w:bCs/>
          <w:color w:val="000000" w:themeColor="text1"/>
          <w:sz w:val="36"/>
          <w:szCs w:val="36"/>
        </w:rPr>
      </w:pPr>
      <w:bookmarkStart w:id="109" w:name="_Toc516580573"/>
      <w:bookmarkStart w:id="110" w:name="_Toc479170303"/>
      <w:r>
        <w:rPr>
          <w:rFonts w:hint="eastAsia" w:ascii="华文中宋" w:hAnsi="华文中宋" w:eastAsia="华文中宋"/>
          <w:b/>
          <w:bCs/>
          <w:color w:val="000000" w:themeColor="text1"/>
          <w:sz w:val="36"/>
          <w:szCs w:val="36"/>
        </w:rPr>
        <w:t>第五章  项目需求</w:t>
      </w:r>
      <w:bookmarkEnd w:id="109"/>
      <w:bookmarkEnd w:id="110"/>
    </w:p>
    <w:p>
      <w:pPr>
        <w:adjustRightInd w:val="0"/>
        <w:snapToGrid w:val="0"/>
        <w:spacing w:line="360" w:lineRule="auto"/>
        <w:ind w:firstLine="562" w:firstLineChars="200"/>
        <w:jc w:val="center"/>
        <w:rPr>
          <w:rFonts w:ascii="仿宋_GB2312" w:hAnsi="宋体" w:eastAsia="仿宋_GB2312"/>
          <w:b/>
          <w:szCs w:val="28"/>
        </w:rPr>
      </w:pPr>
      <w:bookmarkStart w:id="111" w:name="_Toc516580574"/>
      <w:bookmarkStart w:id="112" w:name="_Toc479170304"/>
    </w:p>
    <w:p>
      <w:pPr>
        <w:spacing w:line="560" w:lineRule="exact"/>
        <w:ind w:firstLine="602" w:firstLineChars="200"/>
        <w:rPr>
          <w:rFonts w:ascii="仿宋_GB2312" w:eastAsia="仿宋_GB2312"/>
          <w:b/>
          <w:sz w:val="30"/>
          <w:szCs w:val="30"/>
        </w:rPr>
      </w:pPr>
      <w:r>
        <w:rPr>
          <w:rFonts w:hint="eastAsia" w:ascii="仿宋_GB2312" w:eastAsia="仿宋_GB2312"/>
          <w:b/>
          <w:sz w:val="30"/>
          <w:szCs w:val="30"/>
        </w:rPr>
        <w:t>一、新生入学体检人数、时间、地点及体检内容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1.体检人数：新生入学体检人数约4300人（以学校招生实际参检人数为准）；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2.体检时间为：每年9月份，具体以学校安排为准；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3.体检地点：皖南医学院滨江校区和赭麓校区。</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4.体检内容包括体格检查、实验室检查和DR胸片检查。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体格检查：身高测量、体重测量、视力检查、色力检查、嗅觉检查、血压测量、内科心肺听诊、外科脊柱四肢检查等。</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心脏听诊异常的学生需加做心电图。</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实验室检查：肝功能检查（包括丙氨酸氨基转移酶、门冬氨酸氨基转移酶、总胆红素、直接胆红素、总蛋白、白蛋白、球蛋白）。</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DR胸片检查：</w:t>
      </w:r>
      <w:r>
        <w:rPr>
          <w:rFonts w:hint="eastAsia" w:ascii="仿宋_GB2312" w:eastAsia="仿宋_GB2312"/>
          <w:sz w:val="28"/>
          <w:szCs w:val="28"/>
        </w:rPr>
        <w:t>胸部DR平片（不含胶片，保存原始影像资料备查），</w:t>
      </w:r>
      <w:r>
        <w:rPr>
          <w:rFonts w:hint="eastAsia" w:ascii="仿宋_GB2312" w:eastAsia="仿宋_GB2312"/>
          <w:sz w:val="30"/>
          <w:szCs w:val="30"/>
        </w:rPr>
        <w:t>胸片检查地点在校内。</w:t>
      </w:r>
    </w:p>
    <w:p>
      <w:pPr>
        <w:spacing w:line="560" w:lineRule="exact"/>
        <w:ind w:firstLine="602" w:firstLineChars="200"/>
        <w:rPr>
          <w:rFonts w:ascii="仿宋_GB2312" w:eastAsia="仿宋_GB2312"/>
          <w:b/>
          <w:sz w:val="30"/>
          <w:szCs w:val="30"/>
        </w:rPr>
      </w:pPr>
      <w:r>
        <w:rPr>
          <w:rFonts w:hint="eastAsia" w:ascii="仿宋_GB2312" w:eastAsia="仿宋_GB2312"/>
          <w:b/>
          <w:sz w:val="30"/>
          <w:szCs w:val="30"/>
        </w:rPr>
        <w:t>二、体检项目要求</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1.参与投标单位根据我校学生体检内容按每人份报价；</w:t>
      </w:r>
      <w:r>
        <w:rPr>
          <w:rFonts w:hint="eastAsia" w:ascii="仿宋_GB2312" w:eastAsia="仿宋_GB2312"/>
          <w:sz w:val="28"/>
          <w:szCs w:val="28"/>
        </w:rPr>
        <w:t>中标后须提供上门服务，按学校要求在规定时间内完成体检工作。</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 投标单位应具有医疗机构执业许可证（经卫生行政部门审批的三级医疗机构，机构设置中有单独设置的健康管理中心或体检中心）；</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3.投标单位开展体检所需的一次性消耗品、检测仪器、人员、运输等所有费用由投标单位负责。</w:t>
      </w:r>
    </w:p>
    <w:p>
      <w:pPr>
        <w:spacing w:line="560" w:lineRule="exact"/>
        <w:ind w:firstLine="555"/>
        <w:rPr>
          <w:rFonts w:ascii="仿宋_GB2312" w:eastAsia="仿宋_GB2312"/>
          <w:sz w:val="30"/>
          <w:szCs w:val="30"/>
        </w:rPr>
      </w:pPr>
      <w:r>
        <w:rPr>
          <w:rFonts w:hint="eastAsia" w:ascii="仿宋_GB2312" w:eastAsia="仿宋_GB2312"/>
          <w:sz w:val="30"/>
          <w:szCs w:val="30"/>
        </w:rPr>
        <w:t>4. 投标单位可自带配置DR机的体检车或者使用我校的DR 机进行胸片拍摄。如使用我校的DR机，我校保障体检开始前的设备正常使用，以及DR机的正常维修和保养，中标单位负责体检期间DR机的正常使用和维修保养。</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5.投标单位中标后提供体检表并负责发放和收集，须对所有参加体检的学生建立电子健康档案和纸质档案，并对学生的健康状况分析评估，并提供分析总结报告。</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6.</w:t>
      </w:r>
      <w:r>
        <w:rPr>
          <w:rFonts w:hint="eastAsia" w:ascii="仿宋_GB2312" w:eastAsia="仿宋_GB2312"/>
          <w:color w:val="FF0000"/>
          <w:sz w:val="30"/>
          <w:szCs w:val="30"/>
        </w:rPr>
        <w:t xml:space="preserve"> </w:t>
      </w:r>
      <w:r>
        <w:rPr>
          <w:rFonts w:hint="eastAsia" w:ascii="仿宋_GB2312" w:hAnsi="宋体" w:eastAsia="仿宋_GB2312" w:cs="宋体"/>
          <w:sz w:val="30"/>
          <w:szCs w:val="30"/>
        </w:rPr>
        <w:t>体检过程中如发现学生胸片、肝功能、心脏听诊异常情况，及时</w:t>
      </w:r>
      <w:r>
        <w:rPr>
          <w:rFonts w:hint="eastAsia" w:ascii="仿宋_GB2312" w:eastAsia="仿宋_GB2312"/>
          <w:sz w:val="30"/>
          <w:szCs w:val="30"/>
        </w:rPr>
        <w:t>汇总检查异常学生信息，反馈给学校，并给出进一步检查建议。</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7.体检异常学生以中标价格到中标单位复查，往返交通费由中标单位负担。在校生需要每年定期复查心电图的，可参照中标价格到中标单位复查，往返交通费用自理。</w:t>
      </w:r>
    </w:p>
    <w:p>
      <w:pPr>
        <w:spacing w:line="220" w:lineRule="atLeast"/>
        <w:ind w:firstLine="600" w:firstLineChars="200"/>
        <w:rPr>
          <w:rFonts w:ascii="仿宋_GB2312" w:eastAsia="仿宋_GB2312"/>
          <w:sz w:val="30"/>
          <w:szCs w:val="30"/>
        </w:rPr>
      </w:pPr>
      <w:r>
        <w:rPr>
          <w:rFonts w:hint="eastAsia" w:ascii="仿宋_GB2312" w:eastAsia="仿宋_GB2312"/>
          <w:sz w:val="30"/>
          <w:szCs w:val="30"/>
        </w:rPr>
        <w:t>8. 若遇上级有关部门关于高校学生健康体检政策调整，学生体检项目有变化，学校与中标单位双方协商解决。</w:t>
      </w:r>
    </w:p>
    <w:p>
      <w:pPr>
        <w:pStyle w:val="3"/>
        <w:snapToGrid w:val="0"/>
        <w:spacing w:before="0" w:after="0"/>
        <w:jc w:val="center"/>
        <w:rPr>
          <w:rFonts w:hint="eastAsia" w:ascii="华文中宋" w:hAnsi="华文中宋" w:eastAsia="华文中宋"/>
          <w:b w:val="0"/>
          <w:bCs w:val="0"/>
          <w:color w:val="000000" w:themeColor="text1"/>
        </w:rPr>
      </w:pPr>
    </w:p>
    <w:p>
      <w:pPr>
        <w:rPr>
          <w:rFonts w:hint="eastAsia" w:ascii="华文中宋" w:hAnsi="华文中宋" w:eastAsia="华文中宋"/>
          <w:color w:val="000000" w:themeColor="text1"/>
        </w:rPr>
      </w:pPr>
    </w:p>
    <w:p>
      <w:pPr>
        <w:pStyle w:val="3"/>
        <w:snapToGrid w:val="0"/>
        <w:spacing w:before="0" w:after="0"/>
        <w:ind w:left="0" w:leftChars="0" w:firstLine="0" w:firstLineChars="0"/>
        <w:jc w:val="both"/>
        <w:rPr>
          <w:rFonts w:hint="eastAsia" w:ascii="华文中宋" w:hAnsi="华文中宋" w:eastAsia="华文中宋"/>
          <w:color w:val="000000" w:themeColor="text1"/>
        </w:rPr>
      </w:pPr>
    </w:p>
    <w:p>
      <w:pPr>
        <w:rPr>
          <w:rFonts w:hint="eastAsia"/>
        </w:rPr>
      </w:pPr>
    </w:p>
    <w:p>
      <w:pPr>
        <w:pStyle w:val="13"/>
        <w:rPr>
          <w:rFonts w:hint="eastAsia"/>
        </w:rPr>
      </w:pPr>
    </w:p>
    <w:p>
      <w:pPr>
        <w:pStyle w:val="13"/>
        <w:rPr>
          <w:rFonts w:hint="eastAsia"/>
        </w:rPr>
      </w:pPr>
    </w:p>
    <w:p>
      <w:pPr>
        <w:pStyle w:val="13"/>
        <w:rPr>
          <w:rFonts w:hint="eastAsia"/>
        </w:rPr>
      </w:pPr>
    </w:p>
    <w:p>
      <w:pPr>
        <w:pStyle w:val="3"/>
        <w:snapToGrid w:val="0"/>
        <w:spacing w:before="0" w:after="0"/>
        <w:ind w:left="0" w:leftChars="0" w:firstLine="1441" w:firstLineChars="400"/>
        <w:jc w:val="both"/>
        <w:rPr>
          <w:rFonts w:hint="eastAsia" w:ascii="华文中宋" w:hAnsi="华文中宋" w:eastAsia="华文中宋"/>
          <w:color w:val="000000" w:themeColor="text1"/>
        </w:rPr>
      </w:pPr>
    </w:p>
    <w:p>
      <w:pPr>
        <w:pStyle w:val="3"/>
        <w:snapToGrid w:val="0"/>
        <w:spacing w:before="0" w:after="0"/>
        <w:ind w:left="0" w:leftChars="0" w:firstLine="1441" w:firstLineChars="400"/>
        <w:jc w:val="both"/>
        <w:rPr>
          <w:rFonts w:ascii="华文中宋" w:hAnsi="华文中宋" w:eastAsia="华文中宋"/>
          <w:color w:val="000000" w:themeColor="text1"/>
        </w:rPr>
      </w:pPr>
      <w:r>
        <w:rPr>
          <w:rFonts w:hint="eastAsia" w:ascii="华文中宋" w:hAnsi="华文中宋" w:eastAsia="华文中宋"/>
          <w:color w:val="000000" w:themeColor="text1"/>
        </w:rPr>
        <w:t>第六章  评分办法和评分细则</w:t>
      </w:r>
      <w:bookmarkEnd w:id="111"/>
      <w:bookmarkEnd w:id="112"/>
    </w:p>
    <w:p>
      <w:pPr>
        <w:adjustRightInd w:val="0"/>
        <w:snapToGrid w:val="0"/>
        <w:spacing w:line="360" w:lineRule="auto"/>
        <w:ind w:firstLine="560" w:firstLineChars="200"/>
        <w:rPr>
          <w:rFonts w:hint="eastAsia" w:ascii="仿宋_GB2312" w:eastAsia="仿宋_GB2312"/>
          <w:szCs w:val="28"/>
        </w:rPr>
      </w:pPr>
      <w:bookmarkStart w:id="113" w:name="_Toc479170305"/>
      <w:bookmarkStart w:id="114" w:name="_Toc516580575"/>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一、总则</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本次评标采用综合评分法，总分为100分，其中报价得分</w:t>
      </w:r>
      <w:r>
        <w:rPr>
          <w:rFonts w:hint="eastAsia" w:ascii="仿宋_GB2312" w:eastAsia="仿宋_GB2312"/>
          <w:szCs w:val="28"/>
          <w:lang w:val="en-US" w:eastAsia="zh-CN"/>
        </w:rPr>
        <w:t>3</w:t>
      </w:r>
      <w:r>
        <w:rPr>
          <w:rFonts w:hint="eastAsia" w:ascii="仿宋_GB2312" w:eastAsia="仿宋_GB2312"/>
          <w:szCs w:val="28"/>
        </w:rPr>
        <w:t>0分、技术得分</w:t>
      </w:r>
      <w:r>
        <w:rPr>
          <w:rFonts w:hint="eastAsia" w:ascii="仿宋_GB2312" w:eastAsia="仿宋_GB2312"/>
          <w:szCs w:val="28"/>
          <w:lang w:val="en-US" w:eastAsia="zh-CN"/>
        </w:rPr>
        <w:t>7</w:t>
      </w:r>
      <w:r>
        <w:rPr>
          <w:rFonts w:hint="eastAsia" w:ascii="仿宋_GB2312" w:eastAsia="仿宋_GB2312"/>
          <w:szCs w:val="28"/>
        </w:rPr>
        <w:t>0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投标文件不参与各项评分。</w:t>
      </w:r>
    </w:p>
    <w:p>
      <w:pPr>
        <w:adjustRightInd w:val="0"/>
        <w:snapToGrid w:val="0"/>
        <w:spacing w:line="360" w:lineRule="auto"/>
        <w:ind w:firstLine="560" w:firstLineChars="200"/>
        <w:rPr>
          <w:rFonts w:hint="eastAsia" w:ascii="仿宋_GB2312" w:eastAsia="仿宋_GB2312"/>
          <w:szCs w:val="28"/>
        </w:rPr>
      </w:pP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投标人评标综合得分=报价得分+技术得分</w:t>
      </w:r>
    </w:p>
    <w:p>
      <w:pPr>
        <w:pStyle w:val="13"/>
        <w:rPr>
          <w:rFonts w:hint="eastAsia" w:ascii="仿宋_GB2312" w:eastAsia="仿宋_GB2312"/>
          <w:szCs w:val="28"/>
        </w:rPr>
      </w:pPr>
    </w:p>
    <w:p>
      <w:pPr>
        <w:pStyle w:val="13"/>
        <w:rPr>
          <w:rFonts w:hint="eastAsia" w:ascii="仿宋_GB2312" w:eastAsia="仿宋_GB2312"/>
          <w:szCs w:val="28"/>
        </w:rPr>
      </w:pPr>
    </w:p>
    <w:p>
      <w:pPr>
        <w:pStyle w:val="13"/>
        <w:rPr>
          <w:rFonts w:hint="eastAsia" w:ascii="仿宋_GB2312" w:eastAsia="仿宋_GB2312"/>
          <w:szCs w:val="28"/>
        </w:rPr>
      </w:pPr>
    </w:p>
    <w:p>
      <w:pPr>
        <w:pStyle w:val="13"/>
        <w:rPr>
          <w:rFonts w:hint="eastAsia" w:ascii="仿宋_GB2312" w:eastAsia="仿宋_GB2312"/>
          <w:szCs w:val="28"/>
        </w:rPr>
      </w:pPr>
    </w:p>
    <w:p>
      <w:pPr>
        <w:pStyle w:val="13"/>
        <w:rPr>
          <w:rFonts w:hint="eastAsia"/>
        </w:rPr>
      </w:pPr>
    </w:p>
    <w:tbl>
      <w:tblPr>
        <w:tblStyle w:val="24"/>
        <w:tblW w:w="9781" w:type="dxa"/>
        <w:tblInd w:w="-559"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43"/>
        <w:gridCol w:w="851"/>
        <w:gridCol w:w="708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43" w:type="dxa"/>
            <w:tcBorders>
              <w:top w:val="outset" w:color="auto" w:sz="6" w:space="0"/>
              <w:left w:val="outset" w:color="auto" w:sz="6" w:space="0"/>
              <w:bottom w:val="outset" w:color="auto" w:sz="6" w:space="0"/>
              <w:right w:val="outset" w:color="auto" w:sz="6" w:space="0"/>
            </w:tcBorders>
            <w:vAlign w:val="center"/>
          </w:tcPr>
          <w:p>
            <w:pPr>
              <w:jc w:val="center"/>
            </w:pPr>
            <w:r>
              <w:t>评审项目</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pPr>
            <w:r>
              <w:t>分值</w:t>
            </w:r>
          </w:p>
        </w:tc>
        <w:tc>
          <w:tcPr>
            <w:tcW w:w="7087" w:type="dxa"/>
            <w:tcBorders>
              <w:top w:val="outset" w:color="auto" w:sz="6" w:space="0"/>
              <w:left w:val="outset" w:color="auto" w:sz="6" w:space="0"/>
              <w:bottom w:val="outset" w:color="auto" w:sz="6" w:space="0"/>
              <w:right w:val="outset" w:color="auto" w:sz="6" w:space="0"/>
            </w:tcBorders>
            <w:vAlign w:val="center"/>
          </w:tcPr>
          <w:p>
            <w:pPr>
              <w:jc w:val="center"/>
            </w:pPr>
            <w: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43" w:type="dxa"/>
            <w:tcBorders>
              <w:top w:val="outset" w:color="auto" w:sz="6" w:space="0"/>
              <w:left w:val="outset" w:color="auto" w:sz="6" w:space="0"/>
              <w:bottom w:val="outset" w:color="auto" w:sz="6" w:space="0"/>
              <w:right w:val="outset" w:color="auto" w:sz="6" w:space="0"/>
            </w:tcBorders>
            <w:vAlign w:val="center"/>
          </w:tcPr>
          <w:p>
            <w:pPr>
              <w:jc w:val="center"/>
            </w:pPr>
            <w:r>
              <w:t>投标报价</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仿宋_GB2312" w:eastAsia="仿宋_GB2312"/>
              </w:rPr>
            </w:pPr>
            <w:r>
              <w:rPr>
                <w:rFonts w:hint="eastAsia" w:ascii="仿宋_GB2312" w:eastAsia="仿宋_GB2312"/>
              </w:rPr>
              <w:t>30.00</w:t>
            </w:r>
          </w:p>
        </w:tc>
        <w:tc>
          <w:tcPr>
            <w:tcW w:w="7087" w:type="dxa"/>
            <w:tcBorders>
              <w:top w:val="outset" w:color="auto" w:sz="6" w:space="0"/>
              <w:left w:val="outset" w:color="auto" w:sz="6" w:space="0"/>
              <w:bottom w:val="outset" w:color="auto" w:sz="6" w:space="0"/>
              <w:right w:val="outset" w:color="auto" w:sz="6" w:space="0"/>
            </w:tcBorders>
            <w:vAlign w:val="center"/>
          </w:tcPr>
          <w:p>
            <w:pPr>
              <w:jc w:val="left"/>
              <w:rPr>
                <w:szCs w:val="22"/>
              </w:rPr>
            </w:pPr>
            <w:r>
              <w:rPr>
                <w:rFonts w:hint="eastAsia"/>
                <w:szCs w:val="22"/>
              </w:rPr>
              <w:t>投标报价分</w:t>
            </w:r>
            <w:r>
              <w:rPr>
                <w:szCs w:val="22"/>
              </w:rPr>
              <w:t>统一采用低价优先法，即满足招标文件要求且投标价格最低的投标报价为评标基准价，其价格分为满分</w:t>
            </w:r>
            <w:r>
              <w:rPr>
                <w:rFonts w:hint="eastAsia"/>
                <w:szCs w:val="22"/>
              </w:rPr>
              <w:t>30</w:t>
            </w:r>
            <w:r>
              <w:rPr>
                <w:szCs w:val="22"/>
              </w:rPr>
              <w:t>分。其他投标人的价格分统一按照下列公式计算：</w:t>
            </w:r>
          </w:p>
          <w:p>
            <w:pPr>
              <w:jc w:val="left"/>
              <w:rPr>
                <w:szCs w:val="22"/>
              </w:rPr>
            </w:pPr>
            <w:r>
              <w:rPr>
                <w:szCs w:val="22"/>
              </w:rPr>
              <w:t>投标报价得分＝（评标基准价/投标报价）×</w:t>
            </w:r>
            <w:r>
              <w:rPr>
                <w:rFonts w:hint="eastAsia"/>
                <w:szCs w:val="22"/>
              </w:rPr>
              <w:t>30</w:t>
            </w:r>
            <w:r>
              <w:rPr>
                <w:szCs w:val="22"/>
              </w:rPr>
              <w:t>%×100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24" w:hRule="atLeast"/>
        </w:trPr>
        <w:tc>
          <w:tcPr>
            <w:tcW w:w="1843" w:type="dxa"/>
            <w:tcBorders>
              <w:top w:val="outset" w:color="auto" w:sz="6" w:space="0"/>
              <w:left w:val="outset" w:color="auto" w:sz="6" w:space="0"/>
              <w:bottom w:val="outset" w:color="auto" w:sz="6" w:space="0"/>
              <w:right w:val="outset" w:color="auto" w:sz="6" w:space="0"/>
            </w:tcBorders>
            <w:vAlign w:val="center"/>
          </w:tcPr>
          <w:p>
            <w:pPr>
              <w:jc w:val="center"/>
            </w:pPr>
            <w:r>
              <w:t>投标人业绩</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仿宋_GB2312" w:eastAsia="仿宋_GB2312"/>
              </w:rPr>
            </w:pPr>
            <w:r>
              <w:rPr>
                <w:rFonts w:hint="eastAsia" w:ascii="仿宋_GB2312" w:eastAsia="仿宋_GB2312"/>
              </w:rPr>
              <w:t>20.00</w:t>
            </w:r>
          </w:p>
        </w:tc>
        <w:tc>
          <w:tcPr>
            <w:tcW w:w="7087" w:type="dxa"/>
            <w:tcBorders>
              <w:top w:val="outset" w:color="auto" w:sz="6" w:space="0"/>
              <w:left w:val="outset" w:color="auto" w:sz="6" w:space="0"/>
              <w:bottom w:val="outset" w:color="auto" w:sz="6" w:space="0"/>
              <w:right w:val="outset" w:color="auto" w:sz="6" w:space="0"/>
            </w:tcBorders>
            <w:vAlign w:val="center"/>
          </w:tcPr>
          <w:p>
            <w:pPr>
              <w:jc w:val="left"/>
              <w:rPr>
                <w:szCs w:val="22"/>
              </w:rPr>
            </w:pPr>
            <w:r>
              <w:rPr>
                <w:rFonts w:hint="eastAsia"/>
                <w:szCs w:val="22"/>
              </w:rPr>
              <w:t>提供自2020年1月1日以来体检费用超过30万及以上的体检业绩。每提供一个得4分，满分20分，加满为止。</w:t>
            </w:r>
          </w:p>
          <w:p>
            <w:pPr>
              <w:jc w:val="left"/>
              <w:rPr>
                <w:szCs w:val="22"/>
              </w:rPr>
            </w:pPr>
            <w:r>
              <w:rPr>
                <w:rFonts w:hint="eastAsia"/>
                <w:szCs w:val="22"/>
              </w:rPr>
              <w:t>注：投标文件中须提供业绩合同，签订时间以业绩</w:t>
            </w:r>
            <w:r>
              <w:rPr>
                <w:szCs w:val="22"/>
              </w:rPr>
              <w:t>合同为准，复印件</w:t>
            </w:r>
            <w:r>
              <w:rPr>
                <w:rFonts w:hint="eastAsia"/>
                <w:szCs w:val="22"/>
              </w:rPr>
              <w:t>或扫描件</w:t>
            </w:r>
            <w:r>
              <w:rPr>
                <w:szCs w:val="22"/>
              </w:rPr>
              <w:t>应能辨识买卖双方公章、签订时间、金额</w:t>
            </w:r>
            <w:r>
              <w:rPr>
                <w:rFonts w:hint="eastAsia"/>
                <w:szCs w:val="22"/>
              </w:rPr>
              <w:t>，并加盖投标人公章；否则不得分。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83" w:hRule="atLeast"/>
        </w:trPr>
        <w:tc>
          <w:tcPr>
            <w:tcW w:w="184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sz w:val="24"/>
                <w:szCs w:val="24"/>
              </w:rPr>
            </w:pPr>
            <w:r>
              <w:rPr>
                <w:rFonts w:hint="eastAsia" w:ascii="宋体" w:hAnsi="宋体"/>
                <w:sz w:val="24"/>
                <w:szCs w:val="24"/>
              </w:rPr>
              <w:t>服务方案</w:t>
            </w:r>
          </w:p>
        </w:tc>
        <w:tc>
          <w:tcPr>
            <w:tcW w:w="851"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40.00</w:t>
            </w:r>
          </w:p>
        </w:tc>
        <w:tc>
          <w:tcPr>
            <w:tcW w:w="7087" w:type="dxa"/>
            <w:tcBorders>
              <w:top w:val="outset" w:color="auto" w:sz="6" w:space="0"/>
              <w:left w:val="outset" w:color="auto" w:sz="6" w:space="0"/>
              <w:bottom w:val="outset" w:color="auto" w:sz="6" w:space="0"/>
              <w:right w:val="outset" w:color="auto" w:sz="6" w:space="0"/>
            </w:tcBorders>
            <w:vAlign w:val="center"/>
          </w:tcPr>
          <w:p>
            <w:pPr>
              <w:rPr>
                <w:rFonts w:ascii="宋体" w:hAnsi="宋体"/>
                <w:sz w:val="24"/>
                <w:szCs w:val="24"/>
              </w:rPr>
            </w:pPr>
            <w:r>
              <w:rPr>
                <w:rFonts w:hint="eastAsia" w:ascii="宋体" w:hAnsi="宋体"/>
                <w:sz w:val="24"/>
                <w:szCs w:val="24"/>
              </w:rPr>
              <w:t>要提供明确的、详细的服务方案，包括体检安排，安全预案，异常学生健康建议等。</w:t>
            </w:r>
          </w:p>
          <w:p>
            <w:pPr>
              <w:rPr>
                <w:rFonts w:ascii="宋体" w:hAnsi="宋体"/>
                <w:sz w:val="24"/>
                <w:szCs w:val="24"/>
              </w:rPr>
            </w:pPr>
            <w:r>
              <w:rPr>
                <w:rFonts w:hint="eastAsia" w:ascii="Arial" w:hAnsi="Arial" w:cs="Arial"/>
                <w:sz w:val="24"/>
              </w:rPr>
              <w:t>本项由评标委员会根据本项目特点及投标人响应文件比较分析独立评定，</w:t>
            </w:r>
            <w:r>
              <w:rPr>
                <w:rFonts w:hint="eastAsia" w:ascii="宋体" w:hAnsi="宋体"/>
                <w:sz w:val="24"/>
                <w:szCs w:val="24"/>
              </w:rPr>
              <w:t>优秀：11-15分；良：6-10分；一般：1-5分，不提供不得分。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44" w:hRule="atLeast"/>
        </w:trPr>
        <w:tc>
          <w:tcPr>
            <w:tcW w:w="184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sz w:val="24"/>
              </w:rPr>
            </w:pPr>
            <w:r>
              <w:rPr>
                <w:rFonts w:hint="eastAsia" w:ascii="宋体" w:hAnsi="宋体"/>
                <w:sz w:val="24"/>
              </w:rPr>
              <w:t>体检医生配备力量</w:t>
            </w:r>
          </w:p>
        </w:tc>
        <w:tc>
          <w:tcPr>
            <w:tcW w:w="851"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sz w:val="24"/>
              </w:rPr>
            </w:pPr>
            <w:r>
              <w:rPr>
                <w:rFonts w:hint="eastAsia" w:ascii="宋体" w:hAnsi="宋体"/>
                <w:sz w:val="24"/>
              </w:rPr>
              <w:t>10.00</w:t>
            </w:r>
          </w:p>
        </w:tc>
        <w:tc>
          <w:tcPr>
            <w:tcW w:w="7087" w:type="dxa"/>
            <w:tcBorders>
              <w:top w:val="outset" w:color="auto" w:sz="6" w:space="0"/>
              <w:left w:val="outset" w:color="auto" w:sz="6" w:space="0"/>
              <w:bottom w:val="outset" w:color="auto" w:sz="6" w:space="0"/>
              <w:right w:val="outset" w:color="auto" w:sz="6" w:space="0"/>
            </w:tcBorders>
            <w:vAlign w:val="center"/>
          </w:tcPr>
          <w:p>
            <w:pPr>
              <w:snapToGrid w:val="0"/>
              <w:rPr>
                <w:rFonts w:ascii="宋体" w:hAnsi="宋体"/>
                <w:sz w:val="24"/>
              </w:rPr>
            </w:pPr>
            <w:r>
              <w:rPr>
                <w:rFonts w:hint="eastAsia" w:ascii="宋体" w:hAnsi="宋体"/>
                <w:sz w:val="24"/>
              </w:rPr>
              <w:t>提供体检医生情况一览表（附体检医生的执业资格证书复印件）。</w:t>
            </w:r>
          </w:p>
          <w:p>
            <w:pPr>
              <w:rPr>
                <w:rFonts w:ascii="宋体" w:hAnsi="宋体"/>
                <w:sz w:val="24"/>
              </w:rPr>
            </w:pPr>
            <w:r>
              <w:rPr>
                <w:rFonts w:hint="eastAsia" w:ascii="Arial" w:hAnsi="Arial" w:cs="Arial"/>
                <w:sz w:val="24"/>
                <w:szCs w:val="22"/>
              </w:rPr>
              <w:t>本项由评标委员会根据体检医生职称（中级职称和高级职称人数）独立评定，</w:t>
            </w:r>
            <w:r>
              <w:rPr>
                <w:rFonts w:hint="eastAsia" w:ascii="宋体" w:hAnsi="宋体"/>
                <w:sz w:val="24"/>
              </w:rPr>
              <w:t>优秀：7-10分；良：4-6分；一般：1-3分，不提供不得分。</w:t>
            </w:r>
          </w:p>
        </w:tc>
      </w:tr>
    </w:tbl>
    <w:p>
      <w:pPr>
        <w:adjustRightInd w:val="0"/>
        <w:snapToGrid w:val="0"/>
        <w:spacing w:line="360" w:lineRule="auto"/>
        <w:rPr>
          <w:rFonts w:hint="eastAsia" w:ascii="仿宋_GB2312" w:eastAsia="仿宋_GB2312"/>
          <w:szCs w:val="28"/>
        </w:rPr>
      </w:pP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二、评标内容及标准</w:t>
      </w:r>
    </w:p>
    <w:p>
      <w:pPr>
        <w:adjustRightInd w:val="0"/>
        <w:snapToGrid w:val="0"/>
        <w:spacing w:line="460" w:lineRule="exact"/>
        <w:ind w:firstLine="560"/>
        <w:rPr>
          <w:rFonts w:hint="default" w:ascii="Times New Roman" w:hAnsi="Times New Roman" w:eastAsia="仿宋_GB2312" w:cs="Times New Roman"/>
        </w:rPr>
      </w:pPr>
      <w:r>
        <w:rPr>
          <w:rFonts w:hint="default" w:ascii="Times New Roman" w:hAnsi="Times New Roman" w:eastAsia="仿宋_GB2312" w:cs="Times New Roman"/>
          <w:szCs w:val="28"/>
        </w:rPr>
        <w:t>其他：如第一中标人放弃中标</w:t>
      </w:r>
      <w:r>
        <w:rPr>
          <w:rFonts w:hint="eastAsia" w:eastAsia="仿宋_GB2312" w:cs="Times New Roman"/>
          <w:szCs w:val="28"/>
          <w:lang w:eastAsia="zh-CN"/>
        </w:rPr>
        <w:t>，</w:t>
      </w:r>
      <w:r>
        <w:rPr>
          <w:rFonts w:hint="default" w:ascii="Times New Roman" w:hAnsi="Times New Roman" w:eastAsia="仿宋_GB2312" w:cs="Times New Roman"/>
          <w:szCs w:val="28"/>
        </w:rPr>
        <w:t>或因不可抗力提出不能履行合同，或者招标文件规定应当提交履约保证金而在规定的期限内未能提交的，招标人可以选择排名第二名中标人进行递补。</w:t>
      </w:r>
    </w:p>
    <w:p>
      <w:pPr>
        <w:adjustRightInd w:val="0"/>
        <w:snapToGrid w:val="0"/>
        <w:spacing w:line="360" w:lineRule="auto"/>
        <w:rPr>
          <w:rFonts w:ascii="仿宋_GB2312" w:eastAsia="仿宋_GB2312"/>
          <w:szCs w:val="28"/>
        </w:rPr>
      </w:pPr>
    </w:p>
    <w:p>
      <w:pPr>
        <w:pStyle w:val="33"/>
      </w:pPr>
      <w:r>
        <w:rPr>
          <w:rFonts w:hint="eastAsia"/>
        </w:rPr>
        <w:t xml:space="preserve">第七章  </w:t>
      </w:r>
      <w:bookmarkStart w:id="115" w:name="_Toc403987220"/>
      <w:r>
        <w:rPr>
          <w:rFonts w:hint="eastAsia"/>
        </w:rPr>
        <w:t>响应文件格式</w:t>
      </w:r>
      <w:bookmarkEnd w:id="113"/>
      <w:bookmarkEnd w:id="114"/>
      <w:bookmarkEnd w:id="115"/>
      <w:bookmarkStart w:id="116" w:name="_Hlt26671244"/>
      <w:bookmarkEnd w:id="116"/>
      <w:bookmarkStart w:id="117" w:name="_Hlt26955039"/>
      <w:bookmarkEnd w:id="117"/>
    </w:p>
    <w:p>
      <w:pPr>
        <w:jc w:val="left"/>
        <w:rPr>
          <w:rFonts w:hint="eastAsia" w:eastAsia="仿宋_GB2312"/>
          <w:snapToGrid w:val="0"/>
          <w:sz w:val="30"/>
        </w:rPr>
      </w:pPr>
    </w:p>
    <w:p>
      <w:pPr>
        <w:jc w:val="left"/>
        <w:rPr>
          <w:rFonts w:hint="default" w:eastAsia="仿宋_GB2312"/>
          <w:snapToGrid w:val="0"/>
          <w:sz w:val="30"/>
          <w:lang w:val="en-US" w:eastAsia="zh-CN"/>
        </w:rPr>
      </w:pPr>
      <w:r>
        <w:pict>
          <v:rect id="_x0000_s1028" o:spid="_x0000_s1028" o:spt="1" style="position:absolute;left:0pt;margin-left:350.05pt;margin-top:0.1pt;height:30.35pt;width:51.95pt;z-index:251659264;mso-width-relative:page;mso-height-relative:page;" coordsize="21600,21600">
            <v:path/>
            <v:fill focussize="0,0"/>
            <v:stroke/>
            <v:imagedata o:title=""/>
            <o:lock v:ext="edit"/>
            <v:textbox>
              <w:txbxContent>
                <w:p>
                  <w:pPr>
                    <w:jc w:val="center"/>
                    <w:rPr>
                      <w:b/>
                      <w:sz w:val="32"/>
                      <w:szCs w:val="32"/>
                    </w:rPr>
                  </w:pPr>
                  <w:r>
                    <w:rPr>
                      <w:rFonts w:hint="eastAsia" w:ascii="仿宋_GB2312" w:hAnsi="宋体" w:eastAsia="仿宋_GB2312"/>
                      <w:b/>
                      <w:sz w:val="32"/>
                      <w:szCs w:val="32"/>
                    </w:rPr>
                    <w:t>正本</w:t>
                  </w:r>
                </w:p>
              </w:txbxContent>
            </v:textbox>
          </v:rect>
        </w:pict>
      </w:r>
      <w:r>
        <w:rPr>
          <w:rFonts w:hint="eastAsia" w:eastAsia="仿宋_GB2312"/>
          <w:snapToGrid w:val="0"/>
          <w:sz w:val="30"/>
        </w:rPr>
        <w:t>项目编号：WYGZ202</w:t>
      </w:r>
      <w:r>
        <w:rPr>
          <w:rFonts w:hint="eastAsia" w:eastAsia="仿宋_GB2312"/>
          <w:snapToGrid w:val="0"/>
          <w:sz w:val="30"/>
          <w:lang w:val="en-US" w:eastAsia="zh-CN"/>
        </w:rPr>
        <w:t>3009</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18"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hint="eastAsia" w:ascii="华文中宋" w:hAnsi="华文中宋" w:eastAsia="华文中宋"/>
          <w:b/>
          <w:bCs/>
          <w:w w:val="90"/>
          <w:sz w:val="48"/>
          <w:szCs w:val="48"/>
        </w:rPr>
      </w:pPr>
      <w:r>
        <w:rPr>
          <w:rFonts w:hint="eastAsia" w:ascii="华文中宋" w:hAnsi="华文中宋" w:eastAsia="华文中宋"/>
          <w:b/>
          <w:bCs/>
          <w:w w:val="90"/>
          <w:sz w:val="48"/>
          <w:szCs w:val="48"/>
        </w:rPr>
        <w:t>2023-2025年新生入学体检服务项目</w:t>
      </w:r>
    </w:p>
    <w:p>
      <w:pPr>
        <w:jc w:val="center"/>
        <w:rPr>
          <w:rFonts w:ascii="黑体" w:hAnsi="黑体" w:eastAsia="黑体" w:cs="Arial"/>
          <w:b/>
          <w:sz w:val="72"/>
        </w:rPr>
      </w:pP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18"/>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一、开标一览表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五、法人授权书格式</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六、实施方案</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七、承诺书（针对招标文件相关要求提供的承诺书）格式自拟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24"/>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ascii="仿宋_GB2312" w:eastAsia="仿宋_GB2312"/>
                <w:b/>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eastAsia="仿宋_GB2312"/>
                <w:color w:val="000000"/>
                <w:kern w:val="0"/>
                <w:sz w:val="32"/>
                <w:szCs w:val="32"/>
                <w:lang w:val="en-US"/>
              </w:rPr>
            </w:pPr>
            <w:r>
              <w:rPr>
                <w:rFonts w:hint="eastAsia" w:ascii="仿宋_GB2312" w:hAnsi="仿宋_GB2312" w:eastAsia="仿宋_GB2312" w:cs="仿宋_GB2312"/>
                <w:b/>
                <w:color w:val="000000"/>
                <w:sz w:val="28"/>
                <w:szCs w:val="28"/>
                <w:lang w:val="en-US" w:eastAsia="zh-CN"/>
              </w:rPr>
              <w:t>报价为单人体检服务价格（即报价明细表1-3项价格合计）</w:t>
            </w: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46"/>
          <w:rFonts w:hAnsi="宋体"/>
        </w:rPr>
      </w:pPr>
    </w:p>
    <w:p>
      <w:pPr>
        <w:pStyle w:val="2"/>
        <w:rPr>
          <w:rStyle w:val="46"/>
          <w:rFonts w:hAnsi="宋体"/>
        </w:rPr>
      </w:pPr>
    </w:p>
    <w:p>
      <w:pPr>
        <w:pStyle w:val="2"/>
        <w:rPr>
          <w:rStyle w:val="46"/>
          <w:rFonts w:hAnsi="宋体"/>
        </w:rPr>
      </w:pPr>
    </w:p>
    <w:p>
      <w:pPr>
        <w:pStyle w:val="2"/>
        <w:rPr>
          <w:rStyle w:val="46"/>
          <w:rFonts w:hAnsi="宋体"/>
        </w:rPr>
      </w:pPr>
    </w:p>
    <w:p>
      <w:pPr>
        <w:pStyle w:val="2"/>
        <w:rPr>
          <w:rStyle w:val="46"/>
          <w:rFonts w:hAnsi="宋体"/>
        </w:rPr>
      </w:pPr>
    </w:p>
    <w:p>
      <w:pPr>
        <w:pStyle w:val="2"/>
        <w:rPr>
          <w:rStyle w:val="46"/>
          <w:rFonts w:hAnsi="宋体"/>
        </w:rPr>
      </w:pPr>
    </w:p>
    <w:p>
      <w:pPr>
        <w:spacing w:line="220" w:lineRule="atLeast"/>
        <w:jc w:val="center"/>
        <w:rPr>
          <w:rFonts w:hint="eastAsia" w:ascii="方正小标宋简体" w:hAnsi="黑体" w:eastAsia="方正小标宋简体"/>
          <w:b/>
          <w:sz w:val="32"/>
          <w:szCs w:val="32"/>
        </w:rPr>
      </w:pPr>
      <w:r>
        <w:rPr>
          <w:rFonts w:hint="eastAsia" w:ascii="方正小标宋简体" w:hAnsi="黑体" w:eastAsia="方正小标宋简体"/>
          <w:b/>
          <w:sz w:val="32"/>
          <w:szCs w:val="32"/>
        </w:rPr>
        <w:t>皖南医学院新生入学体检（2023年-2025年）项目</w:t>
      </w:r>
    </w:p>
    <w:p>
      <w:pPr>
        <w:spacing w:line="220" w:lineRule="atLeast"/>
        <w:jc w:val="center"/>
        <w:rPr>
          <w:rFonts w:hint="default" w:ascii="方正小标宋简体" w:hAnsi="黑体" w:eastAsia="方正小标宋简体"/>
          <w:b/>
          <w:sz w:val="32"/>
          <w:szCs w:val="32"/>
          <w:lang w:val="en-US" w:eastAsia="zh-CN"/>
        </w:rPr>
      </w:pPr>
      <w:r>
        <w:rPr>
          <w:rFonts w:hint="eastAsia" w:ascii="方正小标宋简体" w:hAnsi="黑体" w:eastAsia="方正小标宋简体"/>
          <w:b/>
          <w:sz w:val="32"/>
          <w:szCs w:val="32"/>
          <w:lang w:val="en-US" w:eastAsia="zh-CN"/>
        </w:rPr>
        <w:t>报价明细表</w:t>
      </w:r>
    </w:p>
    <w:tbl>
      <w:tblPr>
        <w:tblStyle w:val="2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53"/>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after="0" w:line="220" w:lineRule="atLeast"/>
              <w:jc w:val="center"/>
              <w:rPr>
                <w:rFonts w:ascii="仿宋_GB2312" w:eastAsia="仿宋_GB2312"/>
                <w:b/>
                <w:sz w:val="28"/>
                <w:szCs w:val="28"/>
              </w:rPr>
            </w:pPr>
            <w:r>
              <w:rPr>
                <w:rFonts w:hint="eastAsia" w:ascii="仿宋_GB2312" w:eastAsia="仿宋_GB2312"/>
                <w:b/>
                <w:sz w:val="28"/>
                <w:szCs w:val="28"/>
              </w:rPr>
              <w:t>序号</w:t>
            </w:r>
          </w:p>
        </w:tc>
        <w:tc>
          <w:tcPr>
            <w:tcW w:w="4253" w:type="dxa"/>
            <w:vAlign w:val="center"/>
          </w:tcPr>
          <w:p>
            <w:pPr>
              <w:spacing w:after="0" w:line="220" w:lineRule="atLeast"/>
              <w:jc w:val="center"/>
              <w:rPr>
                <w:rFonts w:ascii="仿宋_GB2312" w:eastAsia="仿宋_GB2312"/>
                <w:b/>
                <w:sz w:val="28"/>
                <w:szCs w:val="28"/>
              </w:rPr>
            </w:pPr>
            <w:r>
              <w:rPr>
                <w:rFonts w:hint="eastAsia" w:ascii="仿宋_GB2312" w:eastAsia="仿宋_GB2312"/>
                <w:b/>
                <w:sz w:val="28"/>
                <w:szCs w:val="28"/>
              </w:rPr>
              <w:t>体检内容</w:t>
            </w:r>
          </w:p>
        </w:tc>
        <w:tc>
          <w:tcPr>
            <w:tcW w:w="1276" w:type="dxa"/>
            <w:vAlign w:val="center"/>
          </w:tcPr>
          <w:p>
            <w:pPr>
              <w:spacing w:after="0" w:line="220" w:lineRule="atLeast"/>
              <w:jc w:val="center"/>
              <w:rPr>
                <w:rFonts w:ascii="仿宋_GB2312" w:eastAsia="仿宋_GB2312"/>
                <w:b/>
                <w:sz w:val="28"/>
                <w:szCs w:val="28"/>
              </w:rPr>
            </w:pPr>
            <w:r>
              <w:rPr>
                <w:rFonts w:hint="eastAsia" w:ascii="仿宋_GB2312" w:eastAsia="仿宋_GB2312"/>
                <w:b/>
                <w:sz w:val="28"/>
                <w:szCs w:val="28"/>
                <w:lang w:val="en-US" w:eastAsia="zh-CN"/>
              </w:rPr>
              <w:t>原价</w:t>
            </w:r>
            <w:r>
              <w:rPr>
                <w:rFonts w:hint="eastAsia" w:ascii="仿宋_GB2312" w:eastAsia="仿宋_GB2312"/>
                <w:b/>
                <w:sz w:val="28"/>
                <w:szCs w:val="28"/>
              </w:rPr>
              <w:t>（元）</w:t>
            </w:r>
          </w:p>
        </w:tc>
        <w:tc>
          <w:tcPr>
            <w:tcW w:w="1134" w:type="dxa"/>
            <w:shd w:val="clear" w:color="auto" w:fill="auto"/>
            <w:vAlign w:val="center"/>
          </w:tcPr>
          <w:p>
            <w:pPr>
              <w:spacing w:after="0" w:line="220" w:lineRule="atLeast"/>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实际</w:t>
            </w:r>
          </w:p>
          <w:p>
            <w:pPr>
              <w:spacing w:after="0" w:line="220" w:lineRule="atLeast"/>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报价（元）</w:t>
            </w:r>
          </w:p>
        </w:tc>
        <w:tc>
          <w:tcPr>
            <w:tcW w:w="1134" w:type="dxa"/>
            <w:shd w:val="clear" w:color="auto" w:fill="auto"/>
            <w:vAlign w:val="center"/>
          </w:tcPr>
          <w:p>
            <w:pPr>
              <w:adjustRightInd/>
              <w:snapToGrid/>
              <w:spacing w:after="0" w:line="220" w:lineRule="atLeast"/>
              <w:jc w:val="center"/>
              <w:rPr>
                <w:rFonts w:ascii="仿宋_GB2312" w:eastAsia="仿宋_GB2312"/>
                <w:b/>
                <w:sz w:val="28"/>
                <w:szCs w:val="28"/>
              </w:rPr>
            </w:pPr>
            <w:r>
              <w:rPr>
                <w:rFonts w:hint="eastAsia" w:ascii="仿宋_GB2312"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20" w:lineRule="atLeast"/>
              <w:jc w:val="center"/>
              <w:rPr>
                <w:rFonts w:ascii="仿宋_GB2312" w:eastAsia="仿宋_GB2312"/>
                <w:sz w:val="28"/>
                <w:szCs w:val="28"/>
              </w:rPr>
            </w:pPr>
            <w:r>
              <w:rPr>
                <w:rFonts w:hint="eastAsia" w:ascii="仿宋_GB2312" w:eastAsia="仿宋_GB2312"/>
                <w:sz w:val="28"/>
                <w:szCs w:val="28"/>
              </w:rPr>
              <w:t>1</w:t>
            </w:r>
          </w:p>
        </w:tc>
        <w:tc>
          <w:tcPr>
            <w:tcW w:w="4253" w:type="dxa"/>
          </w:tcPr>
          <w:p>
            <w:pPr>
              <w:spacing w:after="0" w:line="220" w:lineRule="atLeast"/>
              <w:rPr>
                <w:rFonts w:ascii="仿宋_GB2312" w:eastAsia="仿宋_GB2312"/>
                <w:sz w:val="28"/>
                <w:szCs w:val="28"/>
              </w:rPr>
            </w:pPr>
            <w:r>
              <w:rPr>
                <w:rFonts w:hint="eastAsia" w:ascii="仿宋_GB2312" w:eastAsia="仿宋_GB2312"/>
                <w:sz w:val="28"/>
                <w:szCs w:val="28"/>
              </w:rPr>
              <w:t>常规体格检查：身高测量、体重测量、视力检查、色力检查、嗅觉检查、血压测量、内科心肺听诊、外科脊柱四肢检查等。</w:t>
            </w:r>
          </w:p>
        </w:tc>
        <w:tc>
          <w:tcPr>
            <w:tcW w:w="1276" w:type="dxa"/>
          </w:tcPr>
          <w:p>
            <w:pPr>
              <w:spacing w:after="0" w:line="220" w:lineRule="atLeast"/>
              <w:rPr>
                <w:rFonts w:ascii="仿宋_GB2312" w:eastAsia="仿宋_GB2312"/>
                <w:sz w:val="28"/>
                <w:szCs w:val="28"/>
              </w:rPr>
            </w:pPr>
          </w:p>
        </w:tc>
        <w:tc>
          <w:tcPr>
            <w:tcW w:w="1134" w:type="dxa"/>
            <w:shd w:val="clear" w:color="auto" w:fill="auto"/>
          </w:tcPr>
          <w:p>
            <w:pPr>
              <w:spacing w:after="0" w:line="220" w:lineRule="atLeast"/>
              <w:rPr>
                <w:rFonts w:ascii="仿宋_GB2312" w:eastAsia="仿宋_GB2312"/>
                <w:sz w:val="28"/>
                <w:szCs w:val="28"/>
              </w:rPr>
            </w:pPr>
          </w:p>
        </w:tc>
        <w:tc>
          <w:tcPr>
            <w:tcW w:w="1134" w:type="dxa"/>
            <w:shd w:val="clear" w:color="auto" w:fill="auto"/>
          </w:tcPr>
          <w:p>
            <w:pPr>
              <w:adjustRightInd/>
              <w:snapToGrid/>
              <w:spacing w:after="0" w:line="220" w:lineRule="atLeas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20" w:lineRule="atLeast"/>
              <w:jc w:val="center"/>
              <w:rPr>
                <w:rFonts w:ascii="仿宋_GB2312" w:eastAsia="仿宋_GB2312"/>
                <w:sz w:val="28"/>
                <w:szCs w:val="28"/>
              </w:rPr>
            </w:pPr>
            <w:r>
              <w:rPr>
                <w:rFonts w:hint="eastAsia" w:ascii="仿宋_GB2312" w:eastAsia="仿宋_GB2312"/>
                <w:sz w:val="28"/>
                <w:szCs w:val="28"/>
              </w:rPr>
              <w:t>2</w:t>
            </w:r>
          </w:p>
        </w:tc>
        <w:tc>
          <w:tcPr>
            <w:tcW w:w="4253" w:type="dxa"/>
          </w:tcPr>
          <w:p>
            <w:pPr>
              <w:spacing w:after="0" w:line="220" w:lineRule="atLeast"/>
              <w:rPr>
                <w:rFonts w:ascii="仿宋_GB2312" w:eastAsia="仿宋_GB2312"/>
                <w:sz w:val="28"/>
                <w:szCs w:val="28"/>
              </w:rPr>
            </w:pPr>
            <w:r>
              <w:rPr>
                <w:rFonts w:hint="eastAsia" w:ascii="仿宋_GB2312" w:eastAsia="仿宋_GB2312"/>
                <w:sz w:val="28"/>
                <w:szCs w:val="28"/>
              </w:rPr>
              <w:t>实验室检查：肝功能九项检查，包括丙氨酸氨基转移酶、门冬氨酸氨基转移酶、总胆红素、直接胆红素、总蛋白、白蛋白、球蛋白等。</w:t>
            </w:r>
          </w:p>
        </w:tc>
        <w:tc>
          <w:tcPr>
            <w:tcW w:w="1276" w:type="dxa"/>
          </w:tcPr>
          <w:p>
            <w:pPr>
              <w:spacing w:after="0" w:line="220" w:lineRule="atLeast"/>
              <w:rPr>
                <w:rFonts w:ascii="仿宋_GB2312" w:eastAsia="仿宋_GB2312"/>
                <w:sz w:val="28"/>
                <w:szCs w:val="28"/>
              </w:rPr>
            </w:pPr>
          </w:p>
        </w:tc>
        <w:tc>
          <w:tcPr>
            <w:tcW w:w="1134" w:type="dxa"/>
            <w:shd w:val="clear" w:color="auto" w:fill="auto"/>
          </w:tcPr>
          <w:p>
            <w:pPr>
              <w:spacing w:after="0" w:line="220" w:lineRule="atLeast"/>
              <w:rPr>
                <w:rFonts w:ascii="仿宋_GB2312" w:eastAsia="仿宋_GB2312"/>
                <w:sz w:val="28"/>
                <w:szCs w:val="28"/>
              </w:rPr>
            </w:pPr>
          </w:p>
        </w:tc>
        <w:tc>
          <w:tcPr>
            <w:tcW w:w="1134" w:type="dxa"/>
            <w:shd w:val="clear" w:color="auto" w:fill="auto"/>
          </w:tcPr>
          <w:p>
            <w:pPr>
              <w:adjustRightInd/>
              <w:snapToGrid/>
              <w:spacing w:after="0" w:line="220" w:lineRule="atLeas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20" w:lineRule="atLeast"/>
              <w:jc w:val="center"/>
              <w:rPr>
                <w:rFonts w:ascii="仿宋_GB2312" w:eastAsia="仿宋_GB2312"/>
                <w:sz w:val="28"/>
                <w:szCs w:val="28"/>
              </w:rPr>
            </w:pPr>
            <w:r>
              <w:rPr>
                <w:rFonts w:hint="eastAsia" w:ascii="仿宋_GB2312" w:eastAsia="仿宋_GB2312"/>
                <w:sz w:val="28"/>
                <w:szCs w:val="28"/>
              </w:rPr>
              <w:t>3</w:t>
            </w:r>
          </w:p>
        </w:tc>
        <w:tc>
          <w:tcPr>
            <w:tcW w:w="4253" w:type="dxa"/>
          </w:tcPr>
          <w:p>
            <w:pPr>
              <w:spacing w:after="0" w:line="220" w:lineRule="atLeast"/>
              <w:rPr>
                <w:rFonts w:ascii="仿宋_GB2312" w:eastAsia="仿宋_GB2312"/>
                <w:sz w:val="28"/>
                <w:szCs w:val="28"/>
              </w:rPr>
            </w:pPr>
            <w:r>
              <w:rPr>
                <w:rFonts w:hint="eastAsia" w:ascii="仿宋_GB2312" w:eastAsia="仿宋_GB2312"/>
                <w:sz w:val="28"/>
                <w:szCs w:val="28"/>
              </w:rPr>
              <w:t>放射检查：胸部DR平片（不含胶片，保存原始影像资料）</w:t>
            </w:r>
          </w:p>
        </w:tc>
        <w:tc>
          <w:tcPr>
            <w:tcW w:w="1276" w:type="dxa"/>
          </w:tcPr>
          <w:p>
            <w:pPr>
              <w:spacing w:after="0" w:line="220" w:lineRule="atLeast"/>
              <w:rPr>
                <w:rFonts w:ascii="仿宋_GB2312" w:eastAsia="仿宋_GB2312"/>
                <w:sz w:val="28"/>
                <w:szCs w:val="28"/>
              </w:rPr>
            </w:pPr>
          </w:p>
        </w:tc>
        <w:tc>
          <w:tcPr>
            <w:tcW w:w="1134" w:type="dxa"/>
            <w:shd w:val="clear" w:color="auto" w:fill="auto"/>
          </w:tcPr>
          <w:p>
            <w:pPr>
              <w:spacing w:after="0" w:line="220" w:lineRule="atLeast"/>
              <w:rPr>
                <w:rFonts w:ascii="仿宋_GB2312" w:eastAsia="仿宋_GB2312"/>
                <w:sz w:val="28"/>
                <w:szCs w:val="28"/>
              </w:rPr>
            </w:pPr>
          </w:p>
        </w:tc>
        <w:tc>
          <w:tcPr>
            <w:tcW w:w="1134" w:type="dxa"/>
            <w:shd w:val="clear" w:color="auto" w:fill="auto"/>
          </w:tcPr>
          <w:p>
            <w:pPr>
              <w:adjustRightInd/>
              <w:snapToGrid/>
              <w:spacing w:after="0" w:line="220" w:lineRule="atLeas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20" w:lineRule="atLeast"/>
              <w:jc w:val="center"/>
              <w:rPr>
                <w:rFonts w:ascii="仿宋_GB2312" w:eastAsia="仿宋_GB2312"/>
                <w:sz w:val="28"/>
                <w:szCs w:val="28"/>
              </w:rPr>
            </w:pPr>
            <w:r>
              <w:rPr>
                <w:rFonts w:hint="eastAsia" w:ascii="仿宋_GB2312" w:eastAsia="仿宋_GB2312"/>
                <w:sz w:val="28"/>
                <w:szCs w:val="28"/>
              </w:rPr>
              <w:t>4</w:t>
            </w:r>
          </w:p>
        </w:tc>
        <w:tc>
          <w:tcPr>
            <w:tcW w:w="4253" w:type="dxa"/>
          </w:tcPr>
          <w:p>
            <w:pPr>
              <w:spacing w:after="0" w:line="220" w:lineRule="atLeast"/>
              <w:rPr>
                <w:rFonts w:ascii="仿宋_GB2312" w:eastAsia="仿宋_GB2312"/>
                <w:sz w:val="28"/>
                <w:szCs w:val="28"/>
              </w:rPr>
            </w:pPr>
            <w:r>
              <w:rPr>
                <w:rFonts w:hint="eastAsia" w:ascii="仿宋_GB2312" w:eastAsia="仿宋_GB2312"/>
                <w:sz w:val="28"/>
                <w:szCs w:val="28"/>
              </w:rPr>
              <w:t>心电图检查（</w:t>
            </w:r>
            <w:r>
              <w:rPr>
                <w:rFonts w:hint="eastAsia" w:ascii="仿宋_GB2312" w:eastAsia="仿宋_GB2312"/>
                <w:b/>
                <w:bCs/>
                <w:sz w:val="28"/>
                <w:szCs w:val="28"/>
              </w:rPr>
              <w:t>心脏听诊异常加做</w:t>
            </w:r>
            <w:r>
              <w:rPr>
                <w:rFonts w:hint="eastAsia" w:ascii="仿宋_GB2312" w:eastAsia="仿宋_GB2312"/>
                <w:b/>
                <w:bCs/>
                <w:sz w:val="28"/>
                <w:szCs w:val="28"/>
                <w:lang w:eastAsia="zh-CN"/>
              </w:rPr>
              <w:t>，</w:t>
            </w:r>
            <w:r>
              <w:rPr>
                <w:rFonts w:hint="eastAsia" w:ascii="仿宋_GB2312" w:eastAsia="仿宋_GB2312"/>
                <w:b/>
                <w:bCs/>
                <w:sz w:val="28"/>
                <w:szCs w:val="28"/>
                <w:lang w:val="en-US" w:eastAsia="zh-CN"/>
              </w:rPr>
              <w:t>不纳入此次报价汇总中</w:t>
            </w:r>
            <w:r>
              <w:rPr>
                <w:rFonts w:hint="eastAsia" w:ascii="仿宋_GB2312" w:eastAsia="仿宋_GB2312"/>
                <w:sz w:val="28"/>
                <w:szCs w:val="28"/>
              </w:rPr>
              <w:t>）</w:t>
            </w:r>
          </w:p>
        </w:tc>
        <w:tc>
          <w:tcPr>
            <w:tcW w:w="1276" w:type="dxa"/>
          </w:tcPr>
          <w:p>
            <w:pPr>
              <w:spacing w:after="0" w:line="220" w:lineRule="atLeast"/>
              <w:rPr>
                <w:rFonts w:ascii="仿宋_GB2312" w:eastAsia="仿宋_GB2312"/>
                <w:sz w:val="28"/>
                <w:szCs w:val="28"/>
              </w:rPr>
            </w:pPr>
          </w:p>
        </w:tc>
        <w:tc>
          <w:tcPr>
            <w:tcW w:w="1134" w:type="dxa"/>
            <w:shd w:val="clear" w:color="auto" w:fill="auto"/>
          </w:tcPr>
          <w:p>
            <w:pPr>
              <w:spacing w:after="0" w:line="220" w:lineRule="atLeast"/>
              <w:rPr>
                <w:rFonts w:ascii="仿宋_GB2312" w:eastAsia="仿宋_GB2312"/>
                <w:sz w:val="28"/>
                <w:szCs w:val="28"/>
              </w:rPr>
            </w:pPr>
          </w:p>
        </w:tc>
        <w:tc>
          <w:tcPr>
            <w:tcW w:w="1134" w:type="dxa"/>
            <w:shd w:val="clear" w:color="auto" w:fill="auto"/>
          </w:tcPr>
          <w:p>
            <w:pPr>
              <w:adjustRightInd/>
              <w:snapToGrid/>
              <w:spacing w:after="0" w:line="220" w:lineRule="atLeast"/>
              <w:rPr>
                <w:rFonts w:ascii="仿宋_GB2312" w:eastAsia="仿宋_GB2312"/>
                <w:sz w:val="28"/>
                <w:szCs w:val="28"/>
              </w:rPr>
            </w:pPr>
          </w:p>
        </w:tc>
      </w:tr>
    </w:tbl>
    <w:p>
      <w:pPr>
        <w:spacing w:line="220" w:lineRule="atLeast"/>
        <w:rPr>
          <w:rFonts w:ascii="仿宋_GB2312" w:eastAsia="仿宋_GB2312"/>
          <w:sz w:val="28"/>
          <w:szCs w:val="28"/>
        </w:rPr>
      </w:pPr>
      <w:r>
        <w:rPr>
          <w:rFonts w:hint="eastAsia" w:ascii="仿宋_GB2312" w:eastAsia="仿宋_GB2312"/>
          <w:sz w:val="28"/>
          <w:szCs w:val="28"/>
        </w:rPr>
        <w:t>具体要求：</w:t>
      </w:r>
    </w:p>
    <w:p>
      <w:pPr>
        <w:spacing w:line="560" w:lineRule="exact"/>
        <w:ind w:firstLine="560" w:firstLineChars="200"/>
        <w:rPr>
          <w:rFonts w:ascii="仿宋_GB2312" w:eastAsia="仿宋_GB2312"/>
          <w:sz w:val="30"/>
          <w:szCs w:val="30"/>
        </w:rPr>
      </w:pPr>
      <w:r>
        <w:rPr>
          <w:rFonts w:hint="eastAsia" w:ascii="仿宋_GB2312" w:eastAsia="仿宋_GB2312"/>
          <w:sz w:val="28"/>
          <w:szCs w:val="28"/>
        </w:rPr>
        <w:t xml:space="preserve">  </w:t>
      </w:r>
      <w:r>
        <w:rPr>
          <w:rFonts w:hint="eastAsia" w:ascii="仿宋_GB2312" w:eastAsia="仿宋_GB2312"/>
          <w:sz w:val="30"/>
          <w:szCs w:val="30"/>
        </w:rPr>
        <w:t>1.参与投标单位根据我校学生体检内容按每人份报价；</w:t>
      </w:r>
      <w:r>
        <w:rPr>
          <w:rFonts w:hint="eastAsia" w:ascii="仿宋_GB2312" w:eastAsia="仿宋_GB2312"/>
          <w:sz w:val="28"/>
          <w:szCs w:val="28"/>
        </w:rPr>
        <w:t>中标后须提供上门服务，按学校要求在规定时间内完成体检工作。</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 投标单位应具有医疗机构执业许可证（经卫生行政部门审批的三级医疗机构，机构设置中有单独设置的健康管理中心或体检中心）；</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3.投标单位开展体检所需的一次性消耗品、检测仪器、人员、运输等所有费用由投标单位负责。</w:t>
      </w:r>
    </w:p>
    <w:p>
      <w:pPr>
        <w:spacing w:line="560" w:lineRule="exact"/>
        <w:ind w:firstLine="555"/>
        <w:rPr>
          <w:rFonts w:ascii="仿宋_GB2312" w:eastAsia="仿宋_GB2312"/>
          <w:sz w:val="30"/>
          <w:szCs w:val="30"/>
        </w:rPr>
      </w:pPr>
      <w:r>
        <w:rPr>
          <w:rFonts w:hint="eastAsia" w:ascii="仿宋_GB2312" w:eastAsia="仿宋_GB2312"/>
          <w:sz w:val="30"/>
          <w:szCs w:val="30"/>
        </w:rPr>
        <w:t>4. 投标单位可自带配置DR机的体检车或者使用我校的DR 机进行胸片拍摄。如使用我校的DR机，我校保障体检开始前的设备正常使用，以及DR机的正常维修和保养，中标单位负责体检期间DR机的正常使用和维修保养。</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5.投标单位中标后提供体检表并负责发放和收集，须对所有参加体检的学生建立电子健康档案和纸质档案，并对学生的健康状况分析评估，并提供分析总结报告。</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6.</w:t>
      </w:r>
      <w:r>
        <w:rPr>
          <w:rFonts w:hint="eastAsia" w:ascii="仿宋_GB2312" w:eastAsia="仿宋_GB2312"/>
          <w:color w:val="FF0000"/>
          <w:sz w:val="30"/>
          <w:szCs w:val="30"/>
        </w:rPr>
        <w:t xml:space="preserve"> </w:t>
      </w:r>
      <w:r>
        <w:rPr>
          <w:rFonts w:hint="eastAsia" w:ascii="仿宋_GB2312" w:hAnsi="宋体" w:eastAsia="仿宋_GB2312" w:cs="宋体"/>
          <w:sz w:val="30"/>
          <w:szCs w:val="30"/>
        </w:rPr>
        <w:t>体检过程中如发现学生胸片、肝功能、心脏听诊异常情况，及时</w:t>
      </w:r>
      <w:r>
        <w:rPr>
          <w:rFonts w:hint="eastAsia" w:ascii="仿宋_GB2312" w:eastAsia="仿宋_GB2312"/>
          <w:sz w:val="30"/>
          <w:szCs w:val="30"/>
        </w:rPr>
        <w:t>汇总检查异常学生信息，反馈给学校，并给出进一步检查建议。</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7.体检心脏听诊异常学生可自主选择以中标价格到中标单位复查，或者其到他医院复查，若选择中标单位复查，学生往返交通费由中标单位负担。在校生需要每年定期复查心电图的，亦可参照中标价格自主选择到中标单位复查，往返交通费用自理。</w:t>
      </w:r>
    </w:p>
    <w:p>
      <w:pPr>
        <w:spacing w:line="220" w:lineRule="atLeast"/>
        <w:ind w:firstLine="600" w:firstLineChars="200"/>
        <w:rPr>
          <w:rFonts w:ascii="仿宋_GB2312" w:eastAsia="仿宋_GB2312"/>
          <w:sz w:val="30"/>
          <w:szCs w:val="30"/>
        </w:rPr>
      </w:pPr>
      <w:r>
        <w:rPr>
          <w:rFonts w:hint="eastAsia" w:ascii="仿宋_GB2312" w:eastAsia="仿宋_GB2312"/>
          <w:sz w:val="30"/>
          <w:szCs w:val="30"/>
        </w:rPr>
        <w:t>8.若遇上级有关部门关于高校学生健康体检政策调整，学生体检项目有变化，学校与中标单位双方协商解决。</w:t>
      </w: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both"/>
        <w:rPr>
          <w:rFonts w:ascii="宋体" w:hAnsi="宋体"/>
          <w:color w:val="000000"/>
          <w:spacing w:val="-6"/>
          <w:sz w:val="24"/>
        </w:rPr>
      </w:pPr>
    </w:p>
    <w:p>
      <w:pPr>
        <w:jc w:val="center"/>
        <w:rPr>
          <w:rFonts w:ascii="宋体" w:hAnsi="宋体"/>
          <w:color w:val="000000"/>
          <w:spacing w:val="-6"/>
          <w:sz w:val="24"/>
        </w:rPr>
      </w:pPr>
    </w:p>
    <w:p>
      <w:pPr>
        <w:jc w:val="center"/>
        <w:rPr>
          <w:rStyle w:val="46"/>
          <w:rFonts w:ascii="华文中宋" w:hAnsi="华文中宋" w:eastAsia="华文中宋"/>
          <w:sz w:val="28"/>
          <w:szCs w:val="28"/>
        </w:rPr>
      </w:pPr>
      <w:r>
        <w:rPr>
          <w:rStyle w:val="46"/>
          <w:rFonts w:hint="eastAsia" w:ascii="华文中宋" w:hAnsi="华文中宋" w:eastAsia="华文中宋"/>
          <w:sz w:val="28"/>
          <w:szCs w:val="28"/>
        </w:rPr>
        <w:t>二、资格性和符合性检查响应对照表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24"/>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46"/>
          <w:rFonts w:ascii="华文中宋" w:hAnsi="华文中宋" w:eastAsia="华文中宋"/>
          <w:b w:val="0"/>
          <w:color w:val="auto"/>
          <w:szCs w:val="28"/>
        </w:rPr>
      </w:pPr>
      <w:r>
        <w:rPr>
          <w:rFonts w:hint="eastAsia"/>
          <w:bCs/>
          <w:spacing w:val="-6"/>
          <w:sz w:val="32"/>
        </w:rPr>
        <w:t>三、</w:t>
      </w:r>
      <w:bookmarkStart w:id="119" w:name="_Toc22356580"/>
      <w:bookmarkStart w:id="120" w:name="_Toc460901585"/>
      <w:bookmarkStart w:id="121" w:name="_Toc26554095"/>
      <w:bookmarkStart w:id="122" w:name="_Toc23828478"/>
      <w:bookmarkStart w:id="123" w:name="_Toc513029276"/>
      <w:bookmarkStart w:id="124" w:name="_Toc120614283"/>
      <w:bookmarkStart w:id="125" w:name="_Toc49090577"/>
      <w:r>
        <w:rPr>
          <w:rFonts w:hint="eastAsia" w:ascii="华文中宋" w:hAnsi="华文中宋" w:eastAsia="华文中宋"/>
          <w:b/>
          <w:spacing w:val="-6"/>
          <w:sz w:val="32"/>
          <w:szCs w:val="28"/>
        </w:rPr>
        <w:t>、</w:t>
      </w:r>
      <w:r>
        <w:rPr>
          <w:rStyle w:val="46"/>
          <w:rFonts w:hint="eastAsia" w:ascii="华文中宋" w:hAnsi="华文中宋" w:eastAsia="华文中宋"/>
          <w:color w:val="auto"/>
          <w:szCs w:val="28"/>
        </w:rPr>
        <w:t>磋商函格式</w:t>
      </w:r>
    </w:p>
    <w:bookmarkEnd w:id="119"/>
    <w:bookmarkEnd w:id="120"/>
    <w:bookmarkEnd w:id="121"/>
    <w:bookmarkEnd w:id="122"/>
    <w:bookmarkEnd w:id="123"/>
    <w:bookmarkEnd w:id="124"/>
    <w:bookmarkEnd w:id="125"/>
    <w:p>
      <w:pPr>
        <w:tabs>
          <w:tab w:val="left" w:pos="5580"/>
        </w:tabs>
        <w:spacing w:line="480" w:lineRule="exact"/>
        <w:rPr>
          <w:rStyle w:val="46"/>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5.如果在确定成交后拒绝签订合同，我们的磋商保证金可被贵方没收。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rPr>
        <w:t>四、投标人一般情况表</w:t>
      </w:r>
    </w:p>
    <w:p>
      <w:pPr>
        <w:spacing w:line="360" w:lineRule="auto"/>
        <w:rPr>
          <w:rFonts w:ascii="宋体" w:hAnsi="宋体"/>
          <w:color w:val="000000"/>
          <w:spacing w:val="-6"/>
        </w:rPr>
      </w:pPr>
    </w:p>
    <w:tbl>
      <w:tblPr>
        <w:tblStyle w:val="2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Ansi="宋体"/>
          <w:b/>
        </w:rPr>
      </w:pPr>
      <w:bookmarkStart w:id="126" w:name="_Toc120614291"/>
      <w:bookmarkStart w:id="127" w:name="_Toc49090582"/>
      <w:bookmarkStart w:id="128" w:name="_Toc24878535"/>
      <w:bookmarkStart w:id="129" w:name="_Toc26554103"/>
      <w:bookmarkStart w:id="130" w:name="_Toc513029281"/>
      <w:bookmarkStart w:id="131" w:name="_Toc22356583"/>
      <w:bookmarkStart w:id="132" w:name="_Toc23828483"/>
      <w:r>
        <w:rPr>
          <w:rFonts w:hint="eastAsia" w:hAnsi="宋体"/>
          <w:b/>
        </w:rPr>
        <w:t>五、法人授权书</w:t>
      </w:r>
      <w:bookmarkEnd w:id="126"/>
      <w:bookmarkEnd w:id="127"/>
      <w:bookmarkEnd w:id="128"/>
      <w:bookmarkEnd w:id="129"/>
      <w:bookmarkEnd w:id="130"/>
      <w:bookmarkEnd w:id="131"/>
      <w:bookmarkEnd w:id="132"/>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w:pict>
          <v:shape id="Text Box 3" o:spid="_x0000_s1029" o:spt="202" type="#_x0000_t202" style="position:absolute;left:0pt;margin-left:0pt;margin-top:11.7pt;height:185.85pt;width:270.15pt;z-index:251660288;mso-width-relative:page;mso-height-relative:page;" coordsize="21600,21600">
            <v:path/>
            <v:fill focussize="0,0"/>
            <v:stroke joinstyle="miter"/>
            <v:imagedata o:title=""/>
            <o:lock v:ext="edit"/>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4"/>
        <w:snapToGrid w:val="0"/>
        <w:spacing w:beforeLines="0" w:afterLines="0" w:line="360" w:lineRule="auto"/>
        <w:jc w:val="left"/>
        <w:rPr>
          <w:rFonts w:hAnsi="宋体"/>
        </w:rPr>
      </w:pPr>
    </w:p>
    <w:p>
      <w:pPr>
        <w:pStyle w:val="14"/>
        <w:snapToGrid w:val="0"/>
        <w:spacing w:beforeLines="0" w:afterLines="0" w:line="360" w:lineRule="auto"/>
        <w:jc w:val="left"/>
        <w:rPr>
          <w:rFonts w:hAnsi="宋体"/>
        </w:rPr>
      </w:pPr>
    </w:p>
    <w:p>
      <w:pPr>
        <w:pStyle w:val="14"/>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rPr>
        <w:t>六、实施方案（</w:t>
      </w:r>
      <w:r>
        <w:rPr>
          <w:rFonts w:hint="eastAsia" w:hAnsi="宋体"/>
        </w:rPr>
        <w:t>包括设计方案、</w:t>
      </w:r>
      <w:r>
        <w:rPr>
          <w:rFonts w:hint="eastAsia" w:ascii="仿宋_GB2312" w:eastAsia="仿宋_GB2312"/>
          <w:sz w:val="30"/>
          <w:szCs w:val="30"/>
        </w:rPr>
        <w:t>项目管理及团队等</w:t>
      </w:r>
      <w:r>
        <w:rPr>
          <w:rFonts w:hint="eastAsia" w:hAnsi="宋体"/>
          <w:b/>
        </w:rPr>
        <w:t>）</w:t>
      </w:r>
    </w:p>
    <w:p>
      <w:pPr>
        <w:rPr>
          <w:rFonts w:hAnsi="宋体"/>
          <w:b/>
        </w:rPr>
      </w:pPr>
      <w:r>
        <w:rPr>
          <w:rFonts w:hint="eastAsia" w:hAnsi="宋体"/>
          <w:b/>
        </w:rPr>
        <w:t>七、业绩证明材料及其它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33"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33"/>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34" w:name="OLE_LINK3"/>
      <w:bookmarkStart w:id="135" w:name="OLE_LINK2"/>
      <w:bookmarkStart w:id="136" w:name="OLE_LINK1"/>
      <w:r>
        <w:rPr>
          <w:rFonts w:hint="eastAsia" w:ascii="仿宋_GB2312" w:eastAsia="仿宋_GB2312" w:cs="宋体" w:hAnsiTheme="minorEastAsia"/>
          <w:color w:val="333333"/>
          <w:sz w:val="30"/>
          <w:szCs w:val="30"/>
        </w:rPr>
        <w:t>学校采购活动</w:t>
      </w:r>
      <w:bookmarkEnd w:id="134"/>
      <w:bookmarkEnd w:id="135"/>
      <w:bookmarkEnd w:id="136"/>
      <w:r>
        <w:rPr>
          <w:rFonts w:hint="eastAsia" w:ascii="仿宋_GB2312" w:eastAsia="仿宋_GB2312" w:cs="宋体" w:hAnsiTheme="minorEastAsia"/>
          <w:color w:val="333333"/>
          <w:sz w:val="30"/>
          <w:szCs w:val="30"/>
        </w:rPr>
        <w:t>质疑的提出和答复、投诉的提起和处理。</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37" w:name="OLE_LINK7"/>
      <w:bookmarkStart w:id="138" w:name="OLE_LINK8"/>
      <w:bookmarkStart w:id="139" w:name="OLE_LINK5"/>
      <w:bookmarkStart w:id="140" w:name="OLE_LINK4"/>
      <w:bookmarkStart w:id="141" w:name="OLE_LINK6"/>
      <w:bookmarkStart w:id="142" w:name="OLE_LINK9"/>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37"/>
      <w:bookmarkEnd w:id="138"/>
      <w:bookmarkEnd w:id="139"/>
      <w:bookmarkEnd w:id="140"/>
      <w:bookmarkEnd w:id="141"/>
      <w:bookmarkEnd w:id="142"/>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43" w:name="OLE_LINK77"/>
      <w:bookmarkStart w:id="144" w:name="OLE_LINK76"/>
      <w:bookmarkStart w:id="145" w:name="OLE_LINK78"/>
      <w:r>
        <w:rPr>
          <w:rFonts w:hint="eastAsia" w:ascii="仿宋_GB2312" w:hAnsi="微软雅黑" w:eastAsia="仿宋_GB2312"/>
          <w:color w:val="3E3E3E"/>
          <w:sz w:val="30"/>
          <w:szCs w:val="30"/>
        </w:rPr>
        <w:t>国资处、采购代理机构</w:t>
      </w:r>
      <w:bookmarkEnd w:id="143"/>
      <w:bookmarkEnd w:id="144"/>
      <w:bookmarkEnd w:id="145"/>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7"/>
          <w:rFonts w:hint="eastAsia" w:ascii="黑体" w:hAnsi="黑体" w:eastAsia="黑体"/>
          <w:color w:val="3E3E3E"/>
          <w:sz w:val="30"/>
          <w:szCs w:val="30"/>
        </w:rPr>
        <w:t xml:space="preserve">第五章 </w:t>
      </w:r>
      <w:r>
        <w:rPr>
          <w:rStyle w:val="27"/>
          <w:rFonts w:hint="eastAsia" w:ascii="微软雅黑" w:hAnsi="微软雅黑" w:eastAsia="黑体"/>
          <w:color w:val="3E3E3E"/>
          <w:sz w:val="30"/>
          <w:szCs w:val="30"/>
        </w:rPr>
        <w:t> </w:t>
      </w:r>
      <w:r>
        <w:rPr>
          <w:rStyle w:val="27"/>
          <w:rFonts w:hint="eastAsia" w:ascii="黑体" w:hAnsi="黑体" w:eastAsia="黑体"/>
          <w:color w:val="3E3E3E"/>
          <w:sz w:val="30"/>
          <w:szCs w:val="30"/>
        </w:rPr>
        <w:t>投诉的处理</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46" w:name="OLE_LINK12"/>
      <w:bookmarkStart w:id="147" w:name="OLE_LINK13"/>
      <w:bookmarkStart w:id="148" w:name="OLE_LINK11"/>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49" w:name="OLE_LINK14"/>
      <w:bookmarkStart w:id="150" w:name="OLE_LINK15"/>
      <w:r>
        <w:rPr>
          <w:rFonts w:hint="eastAsia" w:ascii="仿宋_GB2312" w:hAnsi="微软雅黑" w:eastAsia="仿宋_GB2312"/>
          <w:color w:val="3E3E3E"/>
          <w:sz w:val="30"/>
          <w:szCs w:val="30"/>
        </w:rPr>
        <w:t>（一）未确定中标或者成交供应商的，责令重新开展采购活动。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49"/>
    <w:bookmarkEnd w:id="150"/>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jc w:val="center"/>
        <w:rPr>
          <w:rStyle w:val="27"/>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7"/>
          <w:rFonts w:hint="eastAsia" w:ascii="黑体" w:hAnsi="黑体" w:eastAsia="黑体"/>
          <w:color w:val="3E3E3E"/>
          <w:sz w:val="30"/>
          <w:szCs w:val="30"/>
        </w:rPr>
        <w:t xml:space="preserve">第六章 </w:t>
      </w:r>
      <w:r>
        <w:rPr>
          <w:rStyle w:val="27"/>
          <w:rFonts w:hint="eastAsia" w:ascii="微软雅黑" w:hAnsi="微软雅黑" w:eastAsia="黑体"/>
          <w:color w:val="3E3E3E"/>
          <w:sz w:val="30"/>
          <w:szCs w:val="30"/>
        </w:rPr>
        <w:t> </w:t>
      </w:r>
      <w:r>
        <w:rPr>
          <w:rStyle w:val="27"/>
          <w:rFonts w:hint="eastAsia" w:ascii="黑体" w:hAnsi="黑体" w:eastAsia="黑体"/>
          <w:color w:val="3E3E3E"/>
          <w:sz w:val="30"/>
          <w:szCs w:val="30"/>
        </w:rPr>
        <w:t>法律责任</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27"/>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51" w:name="OLE_LINK17"/>
      <w:bookmarkStart w:id="152" w:name="OLE_LINK18"/>
      <w:bookmarkStart w:id="153" w:name="OLE_LINK16"/>
      <w:r>
        <w:rPr>
          <w:rFonts w:hint="eastAsia" w:ascii="仿宋_GB2312" w:hAnsi="宋体" w:eastAsia="仿宋_GB2312" w:cs="宋体"/>
          <w:color w:val="333333"/>
          <w:sz w:val="30"/>
          <w:szCs w:val="30"/>
        </w:rPr>
        <w:t>规</w:t>
      </w:r>
      <w:bookmarkEnd w:id="151"/>
      <w:bookmarkEnd w:id="152"/>
      <w:bookmarkEnd w:id="153"/>
      <w:r>
        <w:rPr>
          <w:rFonts w:hint="eastAsia" w:ascii="仿宋_GB2312" w:hAnsi="宋体" w:eastAsia="仿宋_GB2312" w:cs="宋体"/>
          <w:color w:val="333333"/>
          <w:sz w:val="30"/>
          <w:szCs w:val="30"/>
        </w:rPr>
        <w:t>追究其相应责任。</w:t>
      </w:r>
    </w:p>
    <w:p>
      <w:pPr>
        <w:pStyle w:val="21"/>
        <w:shd w:val="clear" w:color="auto" w:fill="FFFFFF"/>
        <w:adjustRightInd w:val="0"/>
        <w:snapToGrid w:val="0"/>
        <w:spacing w:before="0" w:beforeAutospacing="0" w:after="0" w:afterAutospacing="0" w:line="560" w:lineRule="exact"/>
        <w:ind w:firstLine="602" w:firstLineChars="200"/>
        <w:jc w:val="both"/>
        <w:rPr>
          <w:rStyle w:val="27"/>
          <w:rFonts w:ascii="仿宋_GB2312" w:hAnsi="微软雅黑" w:eastAsia="仿宋_GB2312"/>
          <w:color w:val="3E3E3E"/>
          <w:sz w:val="30"/>
          <w:szCs w:val="30"/>
        </w:rPr>
      </w:pPr>
      <w:r>
        <w:rPr>
          <w:rStyle w:val="27"/>
          <w:rFonts w:hint="eastAsia" w:ascii="仿宋_GB2312" w:hAnsi="微软雅黑" w:eastAsia="仿宋_GB2312"/>
          <w:color w:val="3E3E3E"/>
          <w:sz w:val="30"/>
          <w:szCs w:val="30"/>
        </w:rPr>
        <w:t>　</w:t>
      </w:r>
    </w:p>
    <w:p>
      <w:pPr>
        <w:pStyle w:val="21"/>
        <w:shd w:val="clear" w:color="auto" w:fill="FFFFFF"/>
        <w:adjustRightInd w:val="0"/>
        <w:snapToGrid w:val="0"/>
        <w:spacing w:before="0" w:beforeAutospacing="0" w:after="0" w:afterAutospacing="0" w:line="560" w:lineRule="exact"/>
        <w:jc w:val="center"/>
        <w:rPr>
          <w:rStyle w:val="27"/>
          <w:rFonts w:ascii="黑体" w:hAnsi="黑体" w:eastAsia="黑体"/>
          <w:color w:val="3E3E3E"/>
          <w:sz w:val="30"/>
          <w:szCs w:val="30"/>
        </w:rPr>
      </w:pPr>
      <w:r>
        <w:rPr>
          <w:rStyle w:val="27"/>
          <w:rFonts w:hint="eastAsia" w:ascii="黑体" w:hAnsi="黑体" w:eastAsia="黑体"/>
          <w:color w:val="3E3E3E"/>
          <w:sz w:val="30"/>
          <w:szCs w:val="30"/>
        </w:rPr>
        <w:t xml:space="preserve">第七章 </w:t>
      </w:r>
      <w:r>
        <w:rPr>
          <w:rStyle w:val="27"/>
          <w:rFonts w:hint="eastAsia" w:ascii="微软雅黑" w:hAnsi="微软雅黑" w:eastAsia="黑体"/>
          <w:color w:val="3E3E3E"/>
          <w:sz w:val="30"/>
          <w:szCs w:val="30"/>
        </w:rPr>
        <w:t> </w:t>
      </w:r>
      <w:r>
        <w:rPr>
          <w:rStyle w:val="27"/>
          <w:rFonts w:hint="eastAsia" w:ascii="黑体" w:hAnsi="黑体" w:eastAsia="黑体"/>
          <w:color w:val="3E3E3E"/>
          <w:sz w:val="30"/>
          <w:szCs w:val="30"/>
        </w:rPr>
        <w:t>附则</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szCs w:val="28"/>
        </w:rPr>
      </w:pPr>
      <w:r>
        <w:rPr>
          <w:szCs w:val="28"/>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240" w:lineRule="atLeast"/>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spacing w:line="240" w:lineRule="atLeast"/>
        <w:rPr>
          <w:rFonts w:ascii="仿宋_GB2312" w:eastAsia="仿宋_GB2312"/>
          <w:sz w:val="30"/>
          <w:szCs w:val="30"/>
        </w:rPr>
      </w:pPr>
      <w:r>
        <w:rPr>
          <w:rFonts w:hint="eastAsia" w:ascii="仿宋_GB2312" w:eastAsia="仿宋_GB2312"/>
          <w:sz w:val="30"/>
          <w:szCs w:val="30"/>
        </w:rPr>
        <w:t xml:space="preserve">签字(签章)：                   公章：                      </w:t>
      </w:r>
    </w:p>
    <w:p>
      <w:pPr>
        <w:spacing w:line="240" w:lineRule="atLeast"/>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附件3：</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adjustRightInd w:val="0"/>
        <w:snapToGrid w:val="0"/>
        <w:spacing w:line="360" w:lineRule="auto"/>
        <w:jc w:val="left"/>
        <w:rPr>
          <w:rFonts w:ascii="宋体" w:hAnsi="宋体" w:cs="宋体"/>
          <w:b/>
          <w:bCs/>
          <w:color w:val="000000"/>
          <w:kern w:val="36"/>
          <w:sz w:val="24"/>
          <w:szCs w:val="24"/>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17"/>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4"/>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5"/>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6"/>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B15"/>
    <w:rsid w:val="001C03AB"/>
    <w:rsid w:val="001C04E3"/>
    <w:rsid w:val="001C16BD"/>
    <w:rsid w:val="001C1B17"/>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088A"/>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6408FB"/>
    <w:rsid w:val="01643016"/>
    <w:rsid w:val="016E4195"/>
    <w:rsid w:val="01726537"/>
    <w:rsid w:val="01AC75F0"/>
    <w:rsid w:val="01C04E49"/>
    <w:rsid w:val="0214243C"/>
    <w:rsid w:val="02214D2D"/>
    <w:rsid w:val="022E5014"/>
    <w:rsid w:val="02512A07"/>
    <w:rsid w:val="025A529E"/>
    <w:rsid w:val="026877BA"/>
    <w:rsid w:val="02AA6130"/>
    <w:rsid w:val="02C170CB"/>
    <w:rsid w:val="032C4E8C"/>
    <w:rsid w:val="03433F84"/>
    <w:rsid w:val="0350498A"/>
    <w:rsid w:val="03534FA2"/>
    <w:rsid w:val="03603C2C"/>
    <w:rsid w:val="036678B6"/>
    <w:rsid w:val="03825612"/>
    <w:rsid w:val="039B3DC0"/>
    <w:rsid w:val="03BC38F4"/>
    <w:rsid w:val="03FE61ED"/>
    <w:rsid w:val="04407C5D"/>
    <w:rsid w:val="04414051"/>
    <w:rsid w:val="04596F7F"/>
    <w:rsid w:val="046363BB"/>
    <w:rsid w:val="04673249"/>
    <w:rsid w:val="046774A7"/>
    <w:rsid w:val="04962E28"/>
    <w:rsid w:val="04D10E2B"/>
    <w:rsid w:val="04D83CC0"/>
    <w:rsid w:val="04DB34DA"/>
    <w:rsid w:val="04E57987"/>
    <w:rsid w:val="04F512AE"/>
    <w:rsid w:val="0540457D"/>
    <w:rsid w:val="056E1157"/>
    <w:rsid w:val="05814F51"/>
    <w:rsid w:val="0583686C"/>
    <w:rsid w:val="05C32D63"/>
    <w:rsid w:val="05DE0EF5"/>
    <w:rsid w:val="066E0790"/>
    <w:rsid w:val="069D3826"/>
    <w:rsid w:val="06B729B6"/>
    <w:rsid w:val="06E15F8D"/>
    <w:rsid w:val="06E7061D"/>
    <w:rsid w:val="06F051CA"/>
    <w:rsid w:val="06FC6923"/>
    <w:rsid w:val="072520C3"/>
    <w:rsid w:val="07346E86"/>
    <w:rsid w:val="07963C7F"/>
    <w:rsid w:val="07A02C40"/>
    <w:rsid w:val="07A07BF6"/>
    <w:rsid w:val="07A1311E"/>
    <w:rsid w:val="07C06FE0"/>
    <w:rsid w:val="07C678C3"/>
    <w:rsid w:val="07C67D31"/>
    <w:rsid w:val="07CB13CA"/>
    <w:rsid w:val="07F45D5F"/>
    <w:rsid w:val="08387D26"/>
    <w:rsid w:val="088C0852"/>
    <w:rsid w:val="08971DA8"/>
    <w:rsid w:val="08C101E7"/>
    <w:rsid w:val="08C16076"/>
    <w:rsid w:val="08C96D0B"/>
    <w:rsid w:val="08F11F59"/>
    <w:rsid w:val="08FB16AB"/>
    <w:rsid w:val="091A74E1"/>
    <w:rsid w:val="093B3CFE"/>
    <w:rsid w:val="09436A8B"/>
    <w:rsid w:val="09766700"/>
    <w:rsid w:val="0A0134D2"/>
    <w:rsid w:val="0A0A6355"/>
    <w:rsid w:val="0A285544"/>
    <w:rsid w:val="0A6F38B0"/>
    <w:rsid w:val="0A804468"/>
    <w:rsid w:val="0A943B04"/>
    <w:rsid w:val="0AD83203"/>
    <w:rsid w:val="0AD94888"/>
    <w:rsid w:val="0B101D3B"/>
    <w:rsid w:val="0B204BAA"/>
    <w:rsid w:val="0B24468D"/>
    <w:rsid w:val="0B3E0157"/>
    <w:rsid w:val="0B3E2065"/>
    <w:rsid w:val="0B5B3B24"/>
    <w:rsid w:val="0BAD0091"/>
    <w:rsid w:val="0BF07413"/>
    <w:rsid w:val="0BF605B3"/>
    <w:rsid w:val="0C0754E7"/>
    <w:rsid w:val="0C0E1A12"/>
    <w:rsid w:val="0C0F35D8"/>
    <w:rsid w:val="0C161375"/>
    <w:rsid w:val="0C28419D"/>
    <w:rsid w:val="0C341D9A"/>
    <w:rsid w:val="0C3D258F"/>
    <w:rsid w:val="0C5D732E"/>
    <w:rsid w:val="0C5F3058"/>
    <w:rsid w:val="0C7F6C23"/>
    <w:rsid w:val="0C9B5ABD"/>
    <w:rsid w:val="0CE9794A"/>
    <w:rsid w:val="0CEB2EB7"/>
    <w:rsid w:val="0CEF5A7C"/>
    <w:rsid w:val="0D5170C4"/>
    <w:rsid w:val="0DB829D6"/>
    <w:rsid w:val="0DC84C6C"/>
    <w:rsid w:val="0DDB72D4"/>
    <w:rsid w:val="0DDC039E"/>
    <w:rsid w:val="0DDD3892"/>
    <w:rsid w:val="0DE9708F"/>
    <w:rsid w:val="0DF04D08"/>
    <w:rsid w:val="0E176739"/>
    <w:rsid w:val="0E2B0A0E"/>
    <w:rsid w:val="0E7616B1"/>
    <w:rsid w:val="0E9B2887"/>
    <w:rsid w:val="0EB53B50"/>
    <w:rsid w:val="0ECC12D1"/>
    <w:rsid w:val="0EFE1271"/>
    <w:rsid w:val="0F013329"/>
    <w:rsid w:val="0F1E0E2A"/>
    <w:rsid w:val="0F1E1F81"/>
    <w:rsid w:val="0F3330FE"/>
    <w:rsid w:val="0F4E1CE6"/>
    <w:rsid w:val="0F5D383B"/>
    <w:rsid w:val="0F9067A2"/>
    <w:rsid w:val="0F920FD6"/>
    <w:rsid w:val="0F953584"/>
    <w:rsid w:val="0FB83603"/>
    <w:rsid w:val="0FE62E26"/>
    <w:rsid w:val="10147078"/>
    <w:rsid w:val="10362E55"/>
    <w:rsid w:val="10644165"/>
    <w:rsid w:val="10685029"/>
    <w:rsid w:val="10705FCA"/>
    <w:rsid w:val="109E6C9D"/>
    <w:rsid w:val="10BF0A8A"/>
    <w:rsid w:val="10C71F7C"/>
    <w:rsid w:val="10C806D6"/>
    <w:rsid w:val="10F570EC"/>
    <w:rsid w:val="113A7359"/>
    <w:rsid w:val="11597C61"/>
    <w:rsid w:val="115C4C5D"/>
    <w:rsid w:val="11610760"/>
    <w:rsid w:val="1171606E"/>
    <w:rsid w:val="11731ED8"/>
    <w:rsid w:val="11861F2F"/>
    <w:rsid w:val="119A13D5"/>
    <w:rsid w:val="11AA5B71"/>
    <w:rsid w:val="11B83ECD"/>
    <w:rsid w:val="120A26AB"/>
    <w:rsid w:val="12240695"/>
    <w:rsid w:val="124872AD"/>
    <w:rsid w:val="127A403A"/>
    <w:rsid w:val="127D1806"/>
    <w:rsid w:val="128120DE"/>
    <w:rsid w:val="12E55022"/>
    <w:rsid w:val="12F412C6"/>
    <w:rsid w:val="13033073"/>
    <w:rsid w:val="13117D95"/>
    <w:rsid w:val="1363442E"/>
    <w:rsid w:val="13654DDA"/>
    <w:rsid w:val="13737112"/>
    <w:rsid w:val="13817B06"/>
    <w:rsid w:val="138402B8"/>
    <w:rsid w:val="13855EF2"/>
    <w:rsid w:val="13DE5AD5"/>
    <w:rsid w:val="13F15336"/>
    <w:rsid w:val="140760EC"/>
    <w:rsid w:val="140C3984"/>
    <w:rsid w:val="141B23B3"/>
    <w:rsid w:val="142B6AD5"/>
    <w:rsid w:val="143174A5"/>
    <w:rsid w:val="144913EC"/>
    <w:rsid w:val="14A12F69"/>
    <w:rsid w:val="14A47312"/>
    <w:rsid w:val="14B21774"/>
    <w:rsid w:val="151D361E"/>
    <w:rsid w:val="154F0566"/>
    <w:rsid w:val="156404B5"/>
    <w:rsid w:val="15910B7E"/>
    <w:rsid w:val="161B2829"/>
    <w:rsid w:val="16224EF4"/>
    <w:rsid w:val="162352F4"/>
    <w:rsid w:val="165A6908"/>
    <w:rsid w:val="168800B8"/>
    <w:rsid w:val="16AE750E"/>
    <w:rsid w:val="16B03286"/>
    <w:rsid w:val="16EF3DAF"/>
    <w:rsid w:val="16F413A1"/>
    <w:rsid w:val="172315BE"/>
    <w:rsid w:val="174262C0"/>
    <w:rsid w:val="175C2C51"/>
    <w:rsid w:val="17D27FAE"/>
    <w:rsid w:val="17E029C8"/>
    <w:rsid w:val="17E4768B"/>
    <w:rsid w:val="180E3B64"/>
    <w:rsid w:val="184D6BA9"/>
    <w:rsid w:val="18872601"/>
    <w:rsid w:val="18AE6014"/>
    <w:rsid w:val="18E76CBF"/>
    <w:rsid w:val="18FB442B"/>
    <w:rsid w:val="192A70E1"/>
    <w:rsid w:val="199537E4"/>
    <w:rsid w:val="19AD7F51"/>
    <w:rsid w:val="19EF1E3B"/>
    <w:rsid w:val="19F55262"/>
    <w:rsid w:val="19FC300D"/>
    <w:rsid w:val="1A444411"/>
    <w:rsid w:val="1A62202C"/>
    <w:rsid w:val="1A7A46E4"/>
    <w:rsid w:val="1ABE076A"/>
    <w:rsid w:val="1AD34378"/>
    <w:rsid w:val="1AE00C81"/>
    <w:rsid w:val="1B24673C"/>
    <w:rsid w:val="1B320F29"/>
    <w:rsid w:val="1B4D5028"/>
    <w:rsid w:val="1B773639"/>
    <w:rsid w:val="1BA53426"/>
    <w:rsid w:val="1BC31AC4"/>
    <w:rsid w:val="1BF0416D"/>
    <w:rsid w:val="1C0A2565"/>
    <w:rsid w:val="1C27223D"/>
    <w:rsid w:val="1C2B6B2F"/>
    <w:rsid w:val="1C55362C"/>
    <w:rsid w:val="1C8F393E"/>
    <w:rsid w:val="1CAC058A"/>
    <w:rsid w:val="1CC20766"/>
    <w:rsid w:val="1CC96E50"/>
    <w:rsid w:val="1D063C00"/>
    <w:rsid w:val="1D1237D5"/>
    <w:rsid w:val="1D3554C9"/>
    <w:rsid w:val="1D57445C"/>
    <w:rsid w:val="1DB750A2"/>
    <w:rsid w:val="1DC51D0D"/>
    <w:rsid w:val="1DE34991"/>
    <w:rsid w:val="1E081BFA"/>
    <w:rsid w:val="1E6C333E"/>
    <w:rsid w:val="1E6D68D2"/>
    <w:rsid w:val="1E705BCC"/>
    <w:rsid w:val="1E832DF2"/>
    <w:rsid w:val="1E9967BB"/>
    <w:rsid w:val="1EB8717C"/>
    <w:rsid w:val="1ECC6AB2"/>
    <w:rsid w:val="1ECF104B"/>
    <w:rsid w:val="1F0152BD"/>
    <w:rsid w:val="1F2A72A4"/>
    <w:rsid w:val="1F3558B5"/>
    <w:rsid w:val="1F4201E6"/>
    <w:rsid w:val="1F43738D"/>
    <w:rsid w:val="1F692CF3"/>
    <w:rsid w:val="1F8A3212"/>
    <w:rsid w:val="1FCC54BF"/>
    <w:rsid w:val="1FD955FC"/>
    <w:rsid w:val="202F7639"/>
    <w:rsid w:val="208A38C9"/>
    <w:rsid w:val="20A837A8"/>
    <w:rsid w:val="20B84CA3"/>
    <w:rsid w:val="20B90B25"/>
    <w:rsid w:val="20CD06F1"/>
    <w:rsid w:val="20F546B7"/>
    <w:rsid w:val="20FB5A46"/>
    <w:rsid w:val="211238C6"/>
    <w:rsid w:val="21415B4F"/>
    <w:rsid w:val="21535882"/>
    <w:rsid w:val="21A05C0C"/>
    <w:rsid w:val="21A12149"/>
    <w:rsid w:val="21B83EF1"/>
    <w:rsid w:val="21DC53A3"/>
    <w:rsid w:val="220D7430"/>
    <w:rsid w:val="22266AF2"/>
    <w:rsid w:val="22803C35"/>
    <w:rsid w:val="22837AA1"/>
    <w:rsid w:val="22847ED7"/>
    <w:rsid w:val="22920DB6"/>
    <w:rsid w:val="22995516"/>
    <w:rsid w:val="22F015DA"/>
    <w:rsid w:val="22FF1DC4"/>
    <w:rsid w:val="23185C3E"/>
    <w:rsid w:val="231B23CF"/>
    <w:rsid w:val="232343C6"/>
    <w:rsid w:val="232F5BFF"/>
    <w:rsid w:val="239A4BCB"/>
    <w:rsid w:val="23B6281C"/>
    <w:rsid w:val="23BA1BE8"/>
    <w:rsid w:val="23DC25DC"/>
    <w:rsid w:val="23E2040E"/>
    <w:rsid w:val="23E66539"/>
    <w:rsid w:val="23F47EA3"/>
    <w:rsid w:val="24465CBC"/>
    <w:rsid w:val="244D19E5"/>
    <w:rsid w:val="244F4D25"/>
    <w:rsid w:val="246547D2"/>
    <w:rsid w:val="246D5DE4"/>
    <w:rsid w:val="24D55150"/>
    <w:rsid w:val="24EF6ACB"/>
    <w:rsid w:val="251A12ED"/>
    <w:rsid w:val="2536687B"/>
    <w:rsid w:val="254E6E50"/>
    <w:rsid w:val="25536B14"/>
    <w:rsid w:val="255524A9"/>
    <w:rsid w:val="255D0B9A"/>
    <w:rsid w:val="25973F8F"/>
    <w:rsid w:val="25981BED"/>
    <w:rsid w:val="25D22791"/>
    <w:rsid w:val="25D61B6D"/>
    <w:rsid w:val="25E740D0"/>
    <w:rsid w:val="25F147AA"/>
    <w:rsid w:val="25F9482C"/>
    <w:rsid w:val="26152D46"/>
    <w:rsid w:val="262275D1"/>
    <w:rsid w:val="26647BE9"/>
    <w:rsid w:val="26674E6B"/>
    <w:rsid w:val="26832765"/>
    <w:rsid w:val="26A06E73"/>
    <w:rsid w:val="26A92E9F"/>
    <w:rsid w:val="26CA303B"/>
    <w:rsid w:val="26D03A87"/>
    <w:rsid w:val="27126FD7"/>
    <w:rsid w:val="272B58EA"/>
    <w:rsid w:val="2734505D"/>
    <w:rsid w:val="273708BD"/>
    <w:rsid w:val="274F178B"/>
    <w:rsid w:val="276A2CDE"/>
    <w:rsid w:val="277F6F78"/>
    <w:rsid w:val="27853190"/>
    <w:rsid w:val="27887700"/>
    <w:rsid w:val="278B7A0E"/>
    <w:rsid w:val="27920CEA"/>
    <w:rsid w:val="27960276"/>
    <w:rsid w:val="27A67BE5"/>
    <w:rsid w:val="27B22C6C"/>
    <w:rsid w:val="27B4697B"/>
    <w:rsid w:val="27C62527"/>
    <w:rsid w:val="27D100FA"/>
    <w:rsid w:val="27D47410"/>
    <w:rsid w:val="27EE3C0E"/>
    <w:rsid w:val="28077F17"/>
    <w:rsid w:val="28175C2D"/>
    <w:rsid w:val="28383327"/>
    <w:rsid w:val="283D68EF"/>
    <w:rsid w:val="28480BDC"/>
    <w:rsid w:val="28490B8A"/>
    <w:rsid w:val="284A42BE"/>
    <w:rsid w:val="288307FB"/>
    <w:rsid w:val="288D390E"/>
    <w:rsid w:val="28A90D0B"/>
    <w:rsid w:val="28B01D10"/>
    <w:rsid w:val="29096EBF"/>
    <w:rsid w:val="291B4956"/>
    <w:rsid w:val="295043D8"/>
    <w:rsid w:val="296707A4"/>
    <w:rsid w:val="297B2229"/>
    <w:rsid w:val="29846CBA"/>
    <w:rsid w:val="29923FC6"/>
    <w:rsid w:val="299D58EC"/>
    <w:rsid w:val="29B15DDE"/>
    <w:rsid w:val="29CA4A05"/>
    <w:rsid w:val="29E3402F"/>
    <w:rsid w:val="29F73CC8"/>
    <w:rsid w:val="2A002667"/>
    <w:rsid w:val="2A250A71"/>
    <w:rsid w:val="2A26348C"/>
    <w:rsid w:val="2A5E32CD"/>
    <w:rsid w:val="2A623950"/>
    <w:rsid w:val="2A6D0F47"/>
    <w:rsid w:val="2A924D25"/>
    <w:rsid w:val="2AB92256"/>
    <w:rsid w:val="2ACE1E53"/>
    <w:rsid w:val="2AF45B19"/>
    <w:rsid w:val="2B081B32"/>
    <w:rsid w:val="2B495075"/>
    <w:rsid w:val="2B5743BB"/>
    <w:rsid w:val="2B62420B"/>
    <w:rsid w:val="2BC47018"/>
    <w:rsid w:val="2BCB7442"/>
    <w:rsid w:val="2BF47B91"/>
    <w:rsid w:val="2C0C2425"/>
    <w:rsid w:val="2C132325"/>
    <w:rsid w:val="2C427CE3"/>
    <w:rsid w:val="2C7D1337"/>
    <w:rsid w:val="2CBA11C5"/>
    <w:rsid w:val="2CBE711C"/>
    <w:rsid w:val="2CD80DEF"/>
    <w:rsid w:val="2D04195B"/>
    <w:rsid w:val="2D0637A8"/>
    <w:rsid w:val="2D07058C"/>
    <w:rsid w:val="2D256324"/>
    <w:rsid w:val="2D4D13D7"/>
    <w:rsid w:val="2D656721"/>
    <w:rsid w:val="2D713B88"/>
    <w:rsid w:val="2D8F207D"/>
    <w:rsid w:val="2D9C42BC"/>
    <w:rsid w:val="2DA753EC"/>
    <w:rsid w:val="2DC518B5"/>
    <w:rsid w:val="2DD5001A"/>
    <w:rsid w:val="2DD62C2E"/>
    <w:rsid w:val="2E10231E"/>
    <w:rsid w:val="2E417CA3"/>
    <w:rsid w:val="2E4501EC"/>
    <w:rsid w:val="2E767352"/>
    <w:rsid w:val="2E8768EC"/>
    <w:rsid w:val="2EA02EE8"/>
    <w:rsid w:val="2ECF230F"/>
    <w:rsid w:val="2EF220D0"/>
    <w:rsid w:val="2F071AA9"/>
    <w:rsid w:val="2F0F176F"/>
    <w:rsid w:val="2F1D7493"/>
    <w:rsid w:val="2F321A65"/>
    <w:rsid w:val="2FC53274"/>
    <w:rsid w:val="2FDB163C"/>
    <w:rsid w:val="2FE25206"/>
    <w:rsid w:val="2FE303AE"/>
    <w:rsid w:val="2FF662F5"/>
    <w:rsid w:val="2FF90936"/>
    <w:rsid w:val="30334ACB"/>
    <w:rsid w:val="306164E1"/>
    <w:rsid w:val="306B6A91"/>
    <w:rsid w:val="30833B13"/>
    <w:rsid w:val="309D339E"/>
    <w:rsid w:val="30AE21AF"/>
    <w:rsid w:val="30C17A75"/>
    <w:rsid w:val="30CA29AD"/>
    <w:rsid w:val="30FA20C4"/>
    <w:rsid w:val="31025BEE"/>
    <w:rsid w:val="3110771A"/>
    <w:rsid w:val="31260162"/>
    <w:rsid w:val="314375FF"/>
    <w:rsid w:val="314820DA"/>
    <w:rsid w:val="31534716"/>
    <w:rsid w:val="316A6A7E"/>
    <w:rsid w:val="31C550D4"/>
    <w:rsid w:val="31C64430"/>
    <w:rsid w:val="31DB0486"/>
    <w:rsid w:val="31DF5CA7"/>
    <w:rsid w:val="32081D71"/>
    <w:rsid w:val="32116418"/>
    <w:rsid w:val="32164A45"/>
    <w:rsid w:val="322F2FD1"/>
    <w:rsid w:val="329830F5"/>
    <w:rsid w:val="329D086E"/>
    <w:rsid w:val="32B141B6"/>
    <w:rsid w:val="33150BE9"/>
    <w:rsid w:val="331A6C1E"/>
    <w:rsid w:val="332B5D17"/>
    <w:rsid w:val="334641B2"/>
    <w:rsid w:val="33642B33"/>
    <w:rsid w:val="336867E5"/>
    <w:rsid w:val="33735E81"/>
    <w:rsid w:val="33842269"/>
    <w:rsid w:val="338B4FAA"/>
    <w:rsid w:val="33A131F3"/>
    <w:rsid w:val="33A855B9"/>
    <w:rsid w:val="33D9726A"/>
    <w:rsid w:val="33DA1498"/>
    <w:rsid w:val="33F00D0E"/>
    <w:rsid w:val="33F31CB7"/>
    <w:rsid w:val="33F572C4"/>
    <w:rsid w:val="34190265"/>
    <w:rsid w:val="34633A60"/>
    <w:rsid w:val="34844EB9"/>
    <w:rsid w:val="348D60D4"/>
    <w:rsid w:val="34963F3F"/>
    <w:rsid w:val="349A5D8B"/>
    <w:rsid w:val="34B02C4E"/>
    <w:rsid w:val="34D158EA"/>
    <w:rsid w:val="34D16D92"/>
    <w:rsid w:val="34D348B8"/>
    <w:rsid w:val="34E649F1"/>
    <w:rsid w:val="34EE541B"/>
    <w:rsid w:val="350A1DB9"/>
    <w:rsid w:val="353A3EF8"/>
    <w:rsid w:val="35C72486"/>
    <w:rsid w:val="36211653"/>
    <w:rsid w:val="364F0F9F"/>
    <w:rsid w:val="36570F1E"/>
    <w:rsid w:val="36E320F2"/>
    <w:rsid w:val="36E95CBF"/>
    <w:rsid w:val="37172072"/>
    <w:rsid w:val="371E2C4F"/>
    <w:rsid w:val="37240659"/>
    <w:rsid w:val="374D496F"/>
    <w:rsid w:val="3768226B"/>
    <w:rsid w:val="377063EE"/>
    <w:rsid w:val="377D2DBF"/>
    <w:rsid w:val="37977C3C"/>
    <w:rsid w:val="37B073B9"/>
    <w:rsid w:val="37EA7B7C"/>
    <w:rsid w:val="37F671F9"/>
    <w:rsid w:val="37FF4F6A"/>
    <w:rsid w:val="381E78D3"/>
    <w:rsid w:val="3821593A"/>
    <w:rsid w:val="383701B5"/>
    <w:rsid w:val="38611E86"/>
    <w:rsid w:val="387E4B3B"/>
    <w:rsid w:val="388B62BD"/>
    <w:rsid w:val="38935877"/>
    <w:rsid w:val="38B8587C"/>
    <w:rsid w:val="3965703B"/>
    <w:rsid w:val="39887364"/>
    <w:rsid w:val="399860D0"/>
    <w:rsid w:val="39D00B94"/>
    <w:rsid w:val="3A0E5146"/>
    <w:rsid w:val="3A161A24"/>
    <w:rsid w:val="3A1A0893"/>
    <w:rsid w:val="3A7A1F34"/>
    <w:rsid w:val="3A9248CD"/>
    <w:rsid w:val="3AC73AE7"/>
    <w:rsid w:val="3ACA35C5"/>
    <w:rsid w:val="3ACC4283"/>
    <w:rsid w:val="3ADF4930"/>
    <w:rsid w:val="3B096DEB"/>
    <w:rsid w:val="3B0A0908"/>
    <w:rsid w:val="3B3068D9"/>
    <w:rsid w:val="3B494880"/>
    <w:rsid w:val="3B4B75F2"/>
    <w:rsid w:val="3B567FF1"/>
    <w:rsid w:val="3B6A6C7C"/>
    <w:rsid w:val="3B8523F1"/>
    <w:rsid w:val="3B903D50"/>
    <w:rsid w:val="3BD12293"/>
    <w:rsid w:val="3BEF2420"/>
    <w:rsid w:val="3C1F4887"/>
    <w:rsid w:val="3C2E07BA"/>
    <w:rsid w:val="3C5067EE"/>
    <w:rsid w:val="3C5F4C83"/>
    <w:rsid w:val="3C9A3DEE"/>
    <w:rsid w:val="3CAD5337"/>
    <w:rsid w:val="3CB32382"/>
    <w:rsid w:val="3CDF5E57"/>
    <w:rsid w:val="3CE31410"/>
    <w:rsid w:val="3CE84C78"/>
    <w:rsid w:val="3D152E3B"/>
    <w:rsid w:val="3D217FFC"/>
    <w:rsid w:val="3D5839EB"/>
    <w:rsid w:val="3D5E5D7A"/>
    <w:rsid w:val="3D615AAB"/>
    <w:rsid w:val="3D6D06A3"/>
    <w:rsid w:val="3DC91C62"/>
    <w:rsid w:val="3E077380"/>
    <w:rsid w:val="3E2E206D"/>
    <w:rsid w:val="3E2E7BFD"/>
    <w:rsid w:val="3E7C5339"/>
    <w:rsid w:val="3E9E7CE5"/>
    <w:rsid w:val="3EA741B3"/>
    <w:rsid w:val="3ED431BF"/>
    <w:rsid w:val="3F3138FC"/>
    <w:rsid w:val="3F6D6663"/>
    <w:rsid w:val="3F8D556B"/>
    <w:rsid w:val="3FA4757D"/>
    <w:rsid w:val="3FAA3B64"/>
    <w:rsid w:val="3FD11EED"/>
    <w:rsid w:val="3FDD65EB"/>
    <w:rsid w:val="3FE936B5"/>
    <w:rsid w:val="402A3F1D"/>
    <w:rsid w:val="402B37FA"/>
    <w:rsid w:val="40C549DC"/>
    <w:rsid w:val="41071826"/>
    <w:rsid w:val="41097D80"/>
    <w:rsid w:val="4148640D"/>
    <w:rsid w:val="41526B64"/>
    <w:rsid w:val="418B02DE"/>
    <w:rsid w:val="41A41E99"/>
    <w:rsid w:val="41B7114E"/>
    <w:rsid w:val="41EB146A"/>
    <w:rsid w:val="41F73C96"/>
    <w:rsid w:val="420E5181"/>
    <w:rsid w:val="42103651"/>
    <w:rsid w:val="421502BE"/>
    <w:rsid w:val="42172E09"/>
    <w:rsid w:val="42260D80"/>
    <w:rsid w:val="422800C4"/>
    <w:rsid w:val="42304DCB"/>
    <w:rsid w:val="42BD0A46"/>
    <w:rsid w:val="42C512FB"/>
    <w:rsid w:val="42E756C5"/>
    <w:rsid w:val="42EC22F6"/>
    <w:rsid w:val="431C7F89"/>
    <w:rsid w:val="43284021"/>
    <w:rsid w:val="43324D3B"/>
    <w:rsid w:val="433A2642"/>
    <w:rsid w:val="435818D4"/>
    <w:rsid w:val="437A0AD4"/>
    <w:rsid w:val="43874121"/>
    <w:rsid w:val="43A44CBA"/>
    <w:rsid w:val="43C466EB"/>
    <w:rsid w:val="44590E3F"/>
    <w:rsid w:val="44A67896"/>
    <w:rsid w:val="44A92F3F"/>
    <w:rsid w:val="44C71778"/>
    <w:rsid w:val="44E12F57"/>
    <w:rsid w:val="451302DE"/>
    <w:rsid w:val="45592BB7"/>
    <w:rsid w:val="455D6D5F"/>
    <w:rsid w:val="45B71B11"/>
    <w:rsid w:val="45B778DE"/>
    <w:rsid w:val="45B95580"/>
    <w:rsid w:val="45BA10C5"/>
    <w:rsid w:val="460155D9"/>
    <w:rsid w:val="460A7EE3"/>
    <w:rsid w:val="46271523"/>
    <w:rsid w:val="465F4E30"/>
    <w:rsid w:val="469879CA"/>
    <w:rsid w:val="46BF1035"/>
    <w:rsid w:val="47147BD5"/>
    <w:rsid w:val="4715739B"/>
    <w:rsid w:val="476620AC"/>
    <w:rsid w:val="4799013B"/>
    <w:rsid w:val="479E648A"/>
    <w:rsid w:val="47BE4873"/>
    <w:rsid w:val="47D05D34"/>
    <w:rsid w:val="484506F7"/>
    <w:rsid w:val="487D056E"/>
    <w:rsid w:val="48A11624"/>
    <w:rsid w:val="48B50408"/>
    <w:rsid w:val="48E02C37"/>
    <w:rsid w:val="492D763A"/>
    <w:rsid w:val="496362C2"/>
    <w:rsid w:val="496F51B4"/>
    <w:rsid w:val="499C60AE"/>
    <w:rsid w:val="49CF6810"/>
    <w:rsid w:val="4A116A41"/>
    <w:rsid w:val="4A1470AD"/>
    <w:rsid w:val="4A2B177C"/>
    <w:rsid w:val="4A6601A3"/>
    <w:rsid w:val="4A7F34DA"/>
    <w:rsid w:val="4A890ED6"/>
    <w:rsid w:val="4A8D3670"/>
    <w:rsid w:val="4AC05487"/>
    <w:rsid w:val="4AFD2237"/>
    <w:rsid w:val="4B2B0B52"/>
    <w:rsid w:val="4B376839"/>
    <w:rsid w:val="4B4E0533"/>
    <w:rsid w:val="4B4E4840"/>
    <w:rsid w:val="4B4F0750"/>
    <w:rsid w:val="4B4F1990"/>
    <w:rsid w:val="4B9B1E02"/>
    <w:rsid w:val="4BBA1ED6"/>
    <w:rsid w:val="4BE759D5"/>
    <w:rsid w:val="4BF4668B"/>
    <w:rsid w:val="4BF70A34"/>
    <w:rsid w:val="4BFF0910"/>
    <w:rsid w:val="4C1432BC"/>
    <w:rsid w:val="4C2F29BE"/>
    <w:rsid w:val="4C5A1C92"/>
    <w:rsid w:val="4C5D614A"/>
    <w:rsid w:val="4C601BB3"/>
    <w:rsid w:val="4C7B3413"/>
    <w:rsid w:val="4C9C479A"/>
    <w:rsid w:val="4CAF5B83"/>
    <w:rsid w:val="4CC6019D"/>
    <w:rsid w:val="4CCF612A"/>
    <w:rsid w:val="4D005027"/>
    <w:rsid w:val="4D1A32BA"/>
    <w:rsid w:val="4D4C50E4"/>
    <w:rsid w:val="4D7C333E"/>
    <w:rsid w:val="4D891B60"/>
    <w:rsid w:val="4DC176EF"/>
    <w:rsid w:val="4DC96400"/>
    <w:rsid w:val="4DE712D5"/>
    <w:rsid w:val="4E07496F"/>
    <w:rsid w:val="4E1A0D1A"/>
    <w:rsid w:val="4E276CCD"/>
    <w:rsid w:val="4E3F7F89"/>
    <w:rsid w:val="4E802CA1"/>
    <w:rsid w:val="4E865164"/>
    <w:rsid w:val="4E8F62C2"/>
    <w:rsid w:val="4E9C4FE8"/>
    <w:rsid w:val="4EA12F2C"/>
    <w:rsid w:val="4EB92457"/>
    <w:rsid w:val="4ECD685D"/>
    <w:rsid w:val="4EE67094"/>
    <w:rsid w:val="4EEE25F0"/>
    <w:rsid w:val="4F1F4BD3"/>
    <w:rsid w:val="4F2B31C3"/>
    <w:rsid w:val="4F473A81"/>
    <w:rsid w:val="4F562CCF"/>
    <w:rsid w:val="4FB808B8"/>
    <w:rsid w:val="4FDF63AF"/>
    <w:rsid w:val="4FEA1F32"/>
    <w:rsid w:val="4FED6C7C"/>
    <w:rsid w:val="50206901"/>
    <w:rsid w:val="50364453"/>
    <w:rsid w:val="50374AE4"/>
    <w:rsid w:val="506F73E0"/>
    <w:rsid w:val="50723FA4"/>
    <w:rsid w:val="507B1B11"/>
    <w:rsid w:val="50921E0B"/>
    <w:rsid w:val="509267B4"/>
    <w:rsid w:val="50B16D4A"/>
    <w:rsid w:val="50BB2978"/>
    <w:rsid w:val="50BD4E1F"/>
    <w:rsid w:val="51033C78"/>
    <w:rsid w:val="5139213B"/>
    <w:rsid w:val="514D42FE"/>
    <w:rsid w:val="51865FE2"/>
    <w:rsid w:val="51890F52"/>
    <w:rsid w:val="518E1E3B"/>
    <w:rsid w:val="518F2482"/>
    <w:rsid w:val="51A10970"/>
    <w:rsid w:val="51B7558C"/>
    <w:rsid w:val="51CF03A0"/>
    <w:rsid w:val="51D449D7"/>
    <w:rsid w:val="51D5494E"/>
    <w:rsid w:val="51D61D88"/>
    <w:rsid w:val="51D86880"/>
    <w:rsid w:val="51ED32B0"/>
    <w:rsid w:val="51FC2A61"/>
    <w:rsid w:val="52305A4C"/>
    <w:rsid w:val="525C3CE7"/>
    <w:rsid w:val="52790720"/>
    <w:rsid w:val="529C042A"/>
    <w:rsid w:val="52A20049"/>
    <w:rsid w:val="52B256B5"/>
    <w:rsid w:val="52B6147C"/>
    <w:rsid w:val="52C62F8D"/>
    <w:rsid w:val="52D73541"/>
    <w:rsid w:val="52D76772"/>
    <w:rsid w:val="52EB0BC7"/>
    <w:rsid w:val="52EB3111"/>
    <w:rsid w:val="5303729C"/>
    <w:rsid w:val="53373E0C"/>
    <w:rsid w:val="533B6A69"/>
    <w:rsid w:val="5366580D"/>
    <w:rsid w:val="537A24E5"/>
    <w:rsid w:val="53AF4198"/>
    <w:rsid w:val="53BE05B9"/>
    <w:rsid w:val="53C14124"/>
    <w:rsid w:val="53E23643"/>
    <w:rsid w:val="53FB2901"/>
    <w:rsid w:val="542B571F"/>
    <w:rsid w:val="543053DD"/>
    <w:rsid w:val="544902DE"/>
    <w:rsid w:val="54AD72FB"/>
    <w:rsid w:val="54C31DFB"/>
    <w:rsid w:val="54DD4AE6"/>
    <w:rsid w:val="55004AAD"/>
    <w:rsid w:val="5507618C"/>
    <w:rsid w:val="5508477A"/>
    <w:rsid w:val="551D2513"/>
    <w:rsid w:val="55270A38"/>
    <w:rsid w:val="55271527"/>
    <w:rsid w:val="55957FC3"/>
    <w:rsid w:val="559A62AF"/>
    <w:rsid w:val="55A00F40"/>
    <w:rsid w:val="55AE6607"/>
    <w:rsid w:val="55B852EE"/>
    <w:rsid w:val="55BA31FE"/>
    <w:rsid w:val="55C57DF1"/>
    <w:rsid w:val="55D77D4F"/>
    <w:rsid w:val="55ED2EE0"/>
    <w:rsid w:val="55F4547F"/>
    <w:rsid w:val="55FC3B84"/>
    <w:rsid w:val="56184813"/>
    <w:rsid w:val="562D7CD9"/>
    <w:rsid w:val="564646E7"/>
    <w:rsid w:val="564D221C"/>
    <w:rsid w:val="56C9467C"/>
    <w:rsid w:val="56CD6F61"/>
    <w:rsid w:val="56F22A32"/>
    <w:rsid w:val="573C2881"/>
    <w:rsid w:val="57503EF1"/>
    <w:rsid w:val="57584FC8"/>
    <w:rsid w:val="576565CB"/>
    <w:rsid w:val="57742049"/>
    <w:rsid w:val="57833712"/>
    <w:rsid w:val="579409DA"/>
    <w:rsid w:val="57940B30"/>
    <w:rsid w:val="57BA67C5"/>
    <w:rsid w:val="57C00874"/>
    <w:rsid w:val="57D933E0"/>
    <w:rsid w:val="57E24FBA"/>
    <w:rsid w:val="57EE149B"/>
    <w:rsid w:val="5801089C"/>
    <w:rsid w:val="58124774"/>
    <w:rsid w:val="5815459A"/>
    <w:rsid w:val="58562316"/>
    <w:rsid w:val="58823D7B"/>
    <w:rsid w:val="58847AF3"/>
    <w:rsid w:val="58CE2190"/>
    <w:rsid w:val="58F5454D"/>
    <w:rsid w:val="593005BF"/>
    <w:rsid w:val="596925A5"/>
    <w:rsid w:val="596F5057"/>
    <w:rsid w:val="59A55F73"/>
    <w:rsid w:val="59BE70D6"/>
    <w:rsid w:val="59DD570D"/>
    <w:rsid w:val="5A01354B"/>
    <w:rsid w:val="5A0518B3"/>
    <w:rsid w:val="5A2275C4"/>
    <w:rsid w:val="5A4A649B"/>
    <w:rsid w:val="5A4C128D"/>
    <w:rsid w:val="5A4C7CA2"/>
    <w:rsid w:val="5A9009D2"/>
    <w:rsid w:val="5AC55625"/>
    <w:rsid w:val="5AD81E24"/>
    <w:rsid w:val="5B2836D5"/>
    <w:rsid w:val="5B661732"/>
    <w:rsid w:val="5B793214"/>
    <w:rsid w:val="5B7A6F8C"/>
    <w:rsid w:val="5B80368C"/>
    <w:rsid w:val="5B9E068A"/>
    <w:rsid w:val="5BDB6A8B"/>
    <w:rsid w:val="5BE76B6F"/>
    <w:rsid w:val="5BF6341D"/>
    <w:rsid w:val="5BFA436F"/>
    <w:rsid w:val="5C5D2B35"/>
    <w:rsid w:val="5C7560D1"/>
    <w:rsid w:val="5C785A4A"/>
    <w:rsid w:val="5C8A4BAE"/>
    <w:rsid w:val="5CD071EB"/>
    <w:rsid w:val="5CD85AE1"/>
    <w:rsid w:val="5CE7440B"/>
    <w:rsid w:val="5D03534B"/>
    <w:rsid w:val="5D375134"/>
    <w:rsid w:val="5D705BAB"/>
    <w:rsid w:val="5D734AE1"/>
    <w:rsid w:val="5DA452E5"/>
    <w:rsid w:val="5DC42740"/>
    <w:rsid w:val="5E3C5005"/>
    <w:rsid w:val="5E7A731E"/>
    <w:rsid w:val="5E7E23E5"/>
    <w:rsid w:val="5E9E2D4D"/>
    <w:rsid w:val="5EAF00A9"/>
    <w:rsid w:val="5EE66E12"/>
    <w:rsid w:val="5EF46E1E"/>
    <w:rsid w:val="5F2A4E35"/>
    <w:rsid w:val="5F484AAD"/>
    <w:rsid w:val="5F704A26"/>
    <w:rsid w:val="5FAB66BA"/>
    <w:rsid w:val="5FAE5456"/>
    <w:rsid w:val="5FB539CC"/>
    <w:rsid w:val="5FCC6526"/>
    <w:rsid w:val="60193217"/>
    <w:rsid w:val="601E5502"/>
    <w:rsid w:val="60390672"/>
    <w:rsid w:val="604E1113"/>
    <w:rsid w:val="607272CC"/>
    <w:rsid w:val="607B5964"/>
    <w:rsid w:val="60872213"/>
    <w:rsid w:val="609943F6"/>
    <w:rsid w:val="60BA1016"/>
    <w:rsid w:val="60FC519A"/>
    <w:rsid w:val="61476329"/>
    <w:rsid w:val="614F51FB"/>
    <w:rsid w:val="61533593"/>
    <w:rsid w:val="618302A0"/>
    <w:rsid w:val="6191069B"/>
    <w:rsid w:val="61AA2B5C"/>
    <w:rsid w:val="61D116DC"/>
    <w:rsid w:val="61D24292"/>
    <w:rsid w:val="61FE0917"/>
    <w:rsid w:val="62056794"/>
    <w:rsid w:val="621E68C3"/>
    <w:rsid w:val="625F5B3B"/>
    <w:rsid w:val="62A0441B"/>
    <w:rsid w:val="62A82919"/>
    <w:rsid w:val="62AE40EB"/>
    <w:rsid w:val="62E07A8F"/>
    <w:rsid w:val="633A3BD0"/>
    <w:rsid w:val="633C5103"/>
    <w:rsid w:val="63447D3F"/>
    <w:rsid w:val="63487979"/>
    <w:rsid w:val="6355498B"/>
    <w:rsid w:val="63567371"/>
    <w:rsid w:val="635F6634"/>
    <w:rsid w:val="63E47698"/>
    <w:rsid w:val="64254D6C"/>
    <w:rsid w:val="643B7C2E"/>
    <w:rsid w:val="6449573F"/>
    <w:rsid w:val="648A0240"/>
    <w:rsid w:val="648C61C9"/>
    <w:rsid w:val="649066CE"/>
    <w:rsid w:val="64A0522C"/>
    <w:rsid w:val="64B40718"/>
    <w:rsid w:val="64BE623C"/>
    <w:rsid w:val="64DD4813"/>
    <w:rsid w:val="64E57F6D"/>
    <w:rsid w:val="65183A9D"/>
    <w:rsid w:val="651E4E2C"/>
    <w:rsid w:val="658A1D19"/>
    <w:rsid w:val="658B25A8"/>
    <w:rsid w:val="659A6BA8"/>
    <w:rsid w:val="659F57DB"/>
    <w:rsid w:val="65B17A4E"/>
    <w:rsid w:val="65B3194D"/>
    <w:rsid w:val="65CE74AD"/>
    <w:rsid w:val="65EB394E"/>
    <w:rsid w:val="65EC7449"/>
    <w:rsid w:val="6603474E"/>
    <w:rsid w:val="660E4EA0"/>
    <w:rsid w:val="661A19B5"/>
    <w:rsid w:val="661C5D4D"/>
    <w:rsid w:val="66240220"/>
    <w:rsid w:val="665D4CD0"/>
    <w:rsid w:val="66660838"/>
    <w:rsid w:val="66866023"/>
    <w:rsid w:val="66B9456E"/>
    <w:rsid w:val="66C207B0"/>
    <w:rsid w:val="66C87F07"/>
    <w:rsid w:val="66CB4B3F"/>
    <w:rsid w:val="66D34947"/>
    <w:rsid w:val="670519A4"/>
    <w:rsid w:val="672122EC"/>
    <w:rsid w:val="674A6CC4"/>
    <w:rsid w:val="675F4E6C"/>
    <w:rsid w:val="676346CC"/>
    <w:rsid w:val="67746F85"/>
    <w:rsid w:val="67780823"/>
    <w:rsid w:val="67D432D5"/>
    <w:rsid w:val="67D84977"/>
    <w:rsid w:val="67F2789F"/>
    <w:rsid w:val="68174103"/>
    <w:rsid w:val="684A3248"/>
    <w:rsid w:val="68790CB1"/>
    <w:rsid w:val="687E00BB"/>
    <w:rsid w:val="688E6065"/>
    <w:rsid w:val="68900C2C"/>
    <w:rsid w:val="68990544"/>
    <w:rsid w:val="689F4FDB"/>
    <w:rsid w:val="690600B1"/>
    <w:rsid w:val="6930042C"/>
    <w:rsid w:val="698E5C96"/>
    <w:rsid w:val="699B6A4B"/>
    <w:rsid w:val="69A31628"/>
    <w:rsid w:val="69E47297"/>
    <w:rsid w:val="69E93C5A"/>
    <w:rsid w:val="69EB5C3D"/>
    <w:rsid w:val="6A056C5C"/>
    <w:rsid w:val="6A0E449D"/>
    <w:rsid w:val="6A394B10"/>
    <w:rsid w:val="6A3D3930"/>
    <w:rsid w:val="6A483C28"/>
    <w:rsid w:val="6A5D1F52"/>
    <w:rsid w:val="6AB9032C"/>
    <w:rsid w:val="6AD9189E"/>
    <w:rsid w:val="6B2E3D42"/>
    <w:rsid w:val="6B3247F9"/>
    <w:rsid w:val="6B341F03"/>
    <w:rsid w:val="6B4E74C4"/>
    <w:rsid w:val="6B5B46E4"/>
    <w:rsid w:val="6B692BDE"/>
    <w:rsid w:val="6B7C5673"/>
    <w:rsid w:val="6BC608D8"/>
    <w:rsid w:val="6BD546E2"/>
    <w:rsid w:val="6BDA6C7A"/>
    <w:rsid w:val="6C0C0BE2"/>
    <w:rsid w:val="6C1873D9"/>
    <w:rsid w:val="6C432EAB"/>
    <w:rsid w:val="6C5409E7"/>
    <w:rsid w:val="6C5539AC"/>
    <w:rsid w:val="6CA90B9D"/>
    <w:rsid w:val="6CCF7B5A"/>
    <w:rsid w:val="6CE81115"/>
    <w:rsid w:val="6D0B038C"/>
    <w:rsid w:val="6D6579D8"/>
    <w:rsid w:val="6D700BD1"/>
    <w:rsid w:val="6D7101EF"/>
    <w:rsid w:val="6D7355DD"/>
    <w:rsid w:val="6D7F230E"/>
    <w:rsid w:val="6D8C7324"/>
    <w:rsid w:val="6DFA4963"/>
    <w:rsid w:val="6E376A09"/>
    <w:rsid w:val="6E4C7344"/>
    <w:rsid w:val="6E4F6056"/>
    <w:rsid w:val="6E5F3F4B"/>
    <w:rsid w:val="6EB20C27"/>
    <w:rsid w:val="6EBF2834"/>
    <w:rsid w:val="6ECA1524"/>
    <w:rsid w:val="6EE14F8A"/>
    <w:rsid w:val="6EED1AF7"/>
    <w:rsid w:val="6EFF182A"/>
    <w:rsid w:val="6F284536"/>
    <w:rsid w:val="6F397C4F"/>
    <w:rsid w:val="6F5F7E81"/>
    <w:rsid w:val="6F61645F"/>
    <w:rsid w:val="6F733592"/>
    <w:rsid w:val="6F7D1C3F"/>
    <w:rsid w:val="6F9B29AB"/>
    <w:rsid w:val="6FCF7FAB"/>
    <w:rsid w:val="6FD50999"/>
    <w:rsid w:val="6FD6520B"/>
    <w:rsid w:val="6FE7655A"/>
    <w:rsid w:val="6FF11EBF"/>
    <w:rsid w:val="70003AAC"/>
    <w:rsid w:val="70160934"/>
    <w:rsid w:val="70415CA3"/>
    <w:rsid w:val="70433998"/>
    <w:rsid w:val="706F71EC"/>
    <w:rsid w:val="70715D1C"/>
    <w:rsid w:val="70A3624A"/>
    <w:rsid w:val="70A6040A"/>
    <w:rsid w:val="70B772CD"/>
    <w:rsid w:val="70BE7AA5"/>
    <w:rsid w:val="70E04E91"/>
    <w:rsid w:val="715845FE"/>
    <w:rsid w:val="719839C7"/>
    <w:rsid w:val="71991D6D"/>
    <w:rsid w:val="71AB7A47"/>
    <w:rsid w:val="72242951"/>
    <w:rsid w:val="722A4382"/>
    <w:rsid w:val="722F68CA"/>
    <w:rsid w:val="723260D7"/>
    <w:rsid w:val="7241581D"/>
    <w:rsid w:val="724A3704"/>
    <w:rsid w:val="72866E0A"/>
    <w:rsid w:val="72A66B9A"/>
    <w:rsid w:val="72B7679A"/>
    <w:rsid w:val="72EB65E8"/>
    <w:rsid w:val="72F07381"/>
    <w:rsid w:val="730D7924"/>
    <w:rsid w:val="731D4975"/>
    <w:rsid w:val="736B27D3"/>
    <w:rsid w:val="73705753"/>
    <w:rsid w:val="73974144"/>
    <w:rsid w:val="73D17591"/>
    <w:rsid w:val="73D73C05"/>
    <w:rsid w:val="73FE0302"/>
    <w:rsid w:val="74081C27"/>
    <w:rsid w:val="740C1331"/>
    <w:rsid w:val="74220E03"/>
    <w:rsid w:val="744C7CFC"/>
    <w:rsid w:val="745919DD"/>
    <w:rsid w:val="745E5245"/>
    <w:rsid w:val="7460646C"/>
    <w:rsid w:val="74930E8A"/>
    <w:rsid w:val="74B16EFA"/>
    <w:rsid w:val="74D26BC9"/>
    <w:rsid w:val="74FA2B93"/>
    <w:rsid w:val="75013D26"/>
    <w:rsid w:val="7513293E"/>
    <w:rsid w:val="751C4A37"/>
    <w:rsid w:val="752E4C17"/>
    <w:rsid w:val="75616A81"/>
    <w:rsid w:val="758E216D"/>
    <w:rsid w:val="75D031CF"/>
    <w:rsid w:val="75E50038"/>
    <w:rsid w:val="75F85C3A"/>
    <w:rsid w:val="76086AF3"/>
    <w:rsid w:val="760C32A3"/>
    <w:rsid w:val="761E665C"/>
    <w:rsid w:val="76481B4F"/>
    <w:rsid w:val="764C351C"/>
    <w:rsid w:val="76641728"/>
    <w:rsid w:val="767B6391"/>
    <w:rsid w:val="768C47F8"/>
    <w:rsid w:val="769211D6"/>
    <w:rsid w:val="76A827A7"/>
    <w:rsid w:val="76B002EC"/>
    <w:rsid w:val="77097262"/>
    <w:rsid w:val="772A6B84"/>
    <w:rsid w:val="773A5AF5"/>
    <w:rsid w:val="774E7257"/>
    <w:rsid w:val="778B45A3"/>
    <w:rsid w:val="77966D42"/>
    <w:rsid w:val="77A80CB1"/>
    <w:rsid w:val="77B91110"/>
    <w:rsid w:val="77C22C5C"/>
    <w:rsid w:val="780659D7"/>
    <w:rsid w:val="780E7E5F"/>
    <w:rsid w:val="7814493D"/>
    <w:rsid w:val="782B7E83"/>
    <w:rsid w:val="783828A6"/>
    <w:rsid w:val="78456DCF"/>
    <w:rsid w:val="7871156E"/>
    <w:rsid w:val="78AF2513"/>
    <w:rsid w:val="78D20837"/>
    <w:rsid w:val="78D60657"/>
    <w:rsid w:val="78D766EA"/>
    <w:rsid w:val="78EF00C7"/>
    <w:rsid w:val="78F30652"/>
    <w:rsid w:val="7909677D"/>
    <w:rsid w:val="790C75C1"/>
    <w:rsid w:val="79131EC6"/>
    <w:rsid w:val="79165DDC"/>
    <w:rsid w:val="79186D67"/>
    <w:rsid w:val="793223B0"/>
    <w:rsid w:val="793E60EE"/>
    <w:rsid w:val="796706F8"/>
    <w:rsid w:val="79756B26"/>
    <w:rsid w:val="79824362"/>
    <w:rsid w:val="79917A0D"/>
    <w:rsid w:val="79B71A16"/>
    <w:rsid w:val="7A0B2382"/>
    <w:rsid w:val="7A3B22B0"/>
    <w:rsid w:val="7A9814B1"/>
    <w:rsid w:val="7A9C7DD7"/>
    <w:rsid w:val="7AA078CD"/>
    <w:rsid w:val="7ACE1446"/>
    <w:rsid w:val="7AD005EF"/>
    <w:rsid w:val="7ADD7A7C"/>
    <w:rsid w:val="7AF36362"/>
    <w:rsid w:val="7B1D33FC"/>
    <w:rsid w:val="7B1E128A"/>
    <w:rsid w:val="7B476A33"/>
    <w:rsid w:val="7B901196"/>
    <w:rsid w:val="7B9D57DF"/>
    <w:rsid w:val="7BE55790"/>
    <w:rsid w:val="7BF12F29"/>
    <w:rsid w:val="7BF411CF"/>
    <w:rsid w:val="7C0250F8"/>
    <w:rsid w:val="7C3C1DBF"/>
    <w:rsid w:val="7C3C5E6C"/>
    <w:rsid w:val="7C684EAD"/>
    <w:rsid w:val="7C6D4277"/>
    <w:rsid w:val="7C6F6210"/>
    <w:rsid w:val="7C727ADF"/>
    <w:rsid w:val="7C75312C"/>
    <w:rsid w:val="7C7C5D27"/>
    <w:rsid w:val="7C967BB3"/>
    <w:rsid w:val="7C9C1F1E"/>
    <w:rsid w:val="7CCE096B"/>
    <w:rsid w:val="7CD37E68"/>
    <w:rsid w:val="7CD95DB0"/>
    <w:rsid w:val="7D0006C9"/>
    <w:rsid w:val="7D0D7808"/>
    <w:rsid w:val="7D224368"/>
    <w:rsid w:val="7D44147C"/>
    <w:rsid w:val="7D5F006C"/>
    <w:rsid w:val="7D6F6242"/>
    <w:rsid w:val="7D7346BB"/>
    <w:rsid w:val="7DB83C60"/>
    <w:rsid w:val="7DB9671E"/>
    <w:rsid w:val="7DCA74A7"/>
    <w:rsid w:val="7DDD3193"/>
    <w:rsid w:val="7DDF6BD3"/>
    <w:rsid w:val="7E1D3A7B"/>
    <w:rsid w:val="7E3660BC"/>
    <w:rsid w:val="7E44104E"/>
    <w:rsid w:val="7E464086"/>
    <w:rsid w:val="7E4F4CC7"/>
    <w:rsid w:val="7E535169"/>
    <w:rsid w:val="7E83045A"/>
    <w:rsid w:val="7E953F59"/>
    <w:rsid w:val="7EC109B8"/>
    <w:rsid w:val="7EE21CD9"/>
    <w:rsid w:val="7F2C6B94"/>
    <w:rsid w:val="7F4306B9"/>
    <w:rsid w:val="7F65089D"/>
    <w:rsid w:val="7F8B597C"/>
    <w:rsid w:val="7FAF4932"/>
    <w:rsid w:val="7FC628BB"/>
    <w:rsid w:val="7FD50AB1"/>
    <w:rsid w:val="7FD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9"/>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2"/>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53"/>
    <w:semiHidden/>
    <w:unhideWhenUsed/>
    <w:qFormat/>
    <w:uiPriority w:val="9"/>
    <w:pPr>
      <w:keepNext/>
      <w:keepLines/>
      <w:spacing w:before="280" w:after="290" w:line="376" w:lineRule="auto"/>
      <w:outlineLvl w:val="4"/>
    </w:pPr>
    <w:rPr>
      <w:b/>
      <w:bCs/>
      <w:szCs w:val="28"/>
    </w:rPr>
  </w:style>
  <w:style w:type="paragraph" w:styleId="8">
    <w:name w:val="heading 6"/>
    <w:basedOn w:val="1"/>
    <w:next w:val="1"/>
    <w:link w:val="5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55"/>
    <w:semiHidden/>
    <w:unhideWhenUsed/>
    <w:qFormat/>
    <w:uiPriority w:val="9"/>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2"/>
    <w:basedOn w:val="1"/>
    <w:semiHidden/>
    <w:unhideWhenUsed/>
    <w:qFormat/>
    <w:uiPriority w:val="99"/>
    <w:pPr>
      <w:spacing w:after="120" w:line="480" w:lineRule="auto"/>
    </w:pPr>
  </w:style>
  <w:style w:type="paragraph" w:styleId="10">
    <w:name w:val="Normal Indent"/>
    <w:basedOn w:val="1"/>
    <w:qFormat/>
    <w:uiPriority w:val="0"/>
    <w:pPr>
      <w:ind w:firstLine="420"/>
    </w:pPr>
    <w:rPr>
      <w:rFonts w:ascii="Times New Roman" w:hAnsi="Times New Roman" w:cs="Times New Roman"/>
      <w:szCs w:val="20"/>
    </w:rPr>
  </w:style>
  <w:style w:type="paragraph" w:styleId="11">
    <w:name w:val="annotation text"/>
    <w:basedOn w:val="1"/>
    <w:link w:val="62"/>
    <w:qFormat/>
    <w:uiPriority w:val="0"/>
    <w:pPr>
      <w:jc w:val="left"/>
    </w:pPr>
  </w:style>
  <w:style w:type="paragraph" w:styleId="12">
    <w:name w:val="Body Text Indent"/>
    <w:basedOn w:val="1"/>
    <w:link w:val="42"/>
    <w:qFormat/>
    <w:uiPriority w:val="0"/>
    <w:pPr>
      <w:spacing w:line="200" w:lineRule="atLeast"/>
      <w:ind w:firstLine="301"/>
    </w:pPr>
    <w:rPr>
      <w:rFonts w:ascii="宋体" w:hAnsi="Courier New" w:cstheme="minorBidi"/>
      <w:spacing w:val="-4"/>
      <w:sz w:val="18"/>
      <w:szCs w:val="22"/>
    </w:rPr>
  </w:style>
  <w:style w:type="paragraph" w:styleId="13">
    <w:name w:val="Block Text"/>
    <w:basedOn w:val="1"/>
    <w:qFormat/>
    <w:uiPriority w:val="0"/>
    <w:pPr>
      <w:spacing w:line="360" w:lineRule="auto"/>
      <w:ind w:left="630" w:right="-609" w:firstLine="420"/>
    </w:pPr>
    <w:rPr>
      <w:rFonts w:ascii="仿宋_GB2312" w:eastAsia="仿宋_GB2312"/>
    </w:rPr>
  </w:style>
  <w:style w:type="paragraph" w:styleId="14">
    <w:name w:val="Plain Text"/>
    <w:basedOn w:val="1"/>
    <w:link w:val="47"/>
    <w:qFormat/>
    <w:uiPriority w:val="0"/>
    <w:pPr>
      <w:spacing w:beforeLines="50" w:afterLines="50" w:line="400" w:lineRule="atLeast"/>
    </w:pPr>
    <w:rPr>
      <w:rFonts w:ascii="宋体" w:hAnsi="Courier New" w:cstheme="minorBidi"/>
      <w:sz w:val="24"/>
      <w:szCs w:val="22"/>
    </w:rPr>
  </w:style>
  <w:style w:type="paragraph" w:styleId="15">
    <w:name w:val="Date"/>
    <w:basedOn w:val="1"/>
    <w:next w:val="1"/>
    <w:link w:val="31"/>
    <w:unhideWhenUsed/>
    <w:qFormat/>
    <w:uiPriority w:val="0"/>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51"/>
    <w:unhideWhenUsed/>
    <w:qFormat/>
    <w:uiPriority w:val="99"/>
    <w:pPr>
      <w:tabs>
        <w:tab w:val="center" w:pos="4153"/>
        <w:tab w:val="right" w:pos="8306"/>
      </w:tabs>
      <w:snapToGrid w:val="0"/>
      <w:jc w:val="left"/>
    </w:pPr>
    <w:rPr>
      <w:sz w:val="18"/>
      <w:szCs w:val="18"/>
    </w:rPr>
  </w:style>
  <w:style w:type="paragraph" w:styleId="18">
    <w:name w:val="header"/>
    <w:basedOn w:val="1"/>
    <w:link w:val="5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2">
    <w:name w:val="Title"/>
    <w:basedOn w:val="1"/>
    <w:next w:val="1"/>
    <w:link w:val="40"/>
    <w:qFormat/>
    <w:uiPriority w:val="10"/>
    <w:pPr>
      <w:spacing w:before="240" w:after="60"/>
      <w:jc w:val="center"/>
      <w:outlineLvl w:val="0"/>
    </w:pPr>
    <w:rPr>
      <w:rFonts w:asciiTheme="majorHAnsi" w:hAnsiTheme="majorHAnsi" w:cstheme="majorBidi"/>
      <w:b/>
      <w:bCs/>
      <w:sz w:val="32"/>
      <w:szCs w:val="32"/>
    </w:rPr>
  </w:style>
  <w:style w:type="paragraph" w:styleId="23">
    <w:name w:val="annotation subject"/>
    <w:basedOn w:val="11"/>
    <w:next w:val="11"/>
    <w:link w:val="66"/>
    <w:semiHidden/>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rPr>
  </w:style>
  <w:style w:type="character" w:styleId="30">
    <w:name w:val="annotation reference"/>
    <w:basedOn w:val="26"/>
    <w:semiHidden/>
    <w:unhideWhenUsed/>
    <w:qFormat/>
    <w:uiPriority w:val="99"/>
    <w:rPr>
      <w:sz w:val="21"/>
      <w:szCs w:val="21"/>
    </w:rPr>
  </w:style>
  <w:style w:type="character" w:customStyle="1" w:styleId="31">
    <w:name w:val="日期 Char"/>
    <w:basedOn w:val="26"/>
    <w:link w:val="15"/>
    <w:qFormat/>
    <w:uiPriority w:val="0"/>
    <w:rPr>
      <w:rFonts w:ascii="Times New Roman" w:hAnsi="Times New Roman" w:eastAsia="宋体" w:cs="Times New Roman"/>
      <w:sz w:val="28"/>
      <w:szCs w:val="20"/>
    </w:rPr>
  </w:style>
  <w:style w:type="paragraph" w:styleId="32">
    <w:name w:val="List Paragraph"/>
    <w:basedOn w:val="1"/>
    <w:link w:val="45"/>
    <w:qFormat/>
    <w:uiPriority w:val="99"/>
    <w:pPr>
      <w:ind w:firstLine="420" w:firstLineChars="200"/>
    </w:pPr>
  </w:style>
  <w:style w:type="paragraph" w:customStyle="1" w:styleId="33">
    <w:name w:val="正文 第一章"/>
    <w:basedOn w:val="1"/>
    <w:next w:val="34"/>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4">
    <w:name w:val="正文 1.1"/>
    <w:basedOn w:val="1"/>
    <w:next w:val="35"/>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5">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6">
    <w:name w:val="第四级"/>
    <w:basedOn w:val="1"/>
    <w:next w:val="37"/>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37">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8">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character" w:customStyle="1" w:styleId="39">
    <w:name w:val="标题 1 Char"/>
    <w:basedOn w:val="26"/>
    <w:link w:val="3"/>
    <w:qFormat/>
    <w:uiPriority w:val="0"/>
    <w:rPr>
      <w:rFonts w:ascii="宋体" w:hAnsi="Arial" w:eastAsia="黑体" w:cs="Times New Roman"/>
      <w:b/>
      <w:bCs/>
      <w:color w:val="000000"/>
      <w:kern w:val="44"/>
      <w:sz w:val="36"/>
      <w:szCs w:val="32"/>
    </w:rPr>
  </w:style>
  <w:style w:type="character" w:customStyle="1" w:styleId="40">
    <w:name w:val="标题 Char"/>
    <w:basedOn w:val="26"/>
    <w:link w:val="22"/>
    <w:qFormat/>
    <w:uiPriority w:val="10"/>
    <w:rPr>
      <w:rFonts w:eastAsia="宋体" w:asciiTheme="majorHAnsi" w:hAnsiTheme="majorHAnsi" w:cstheme="majorBidi"/>
      <w:b/>
      <w:bCs/>
      <w:sz w:val="32"/>
      <w:szCs w:val="32"/>
    </w:rPr>
  </w:style>
  <w:style w:type="character" w:customStyle="1" w:styleId="41">
    <w:name w:val="标题 2 Char"/>
    <w:basedOn w:val="26"/>
    <w:link w:val="4"/>
    <w:semiHidden/>
    <w:qFormat/>
    <w:uiPriority w:val="9"/>
    <w:rPr>
      <w:rFonts w:asciiTheme="majorHAnsi" w:hAnsiTheme="majorHAnsi" w:eastAsiaTheme="majorEastAsia" w:cstheme="majorBidi"/>
      <w:b/>
      <w:bCs/>
      <w:sz w:val="32"/>
      <w:szCs w:val="32"/>
    </w:rPr>
  </w:style>
  <w:style w:type="character" w:customStyle="1" w:styleId="42">
    <w:name w:val="正文文本缩进 Char"/>
    <w:link w:val="12"/>
    <w:qFormat/>
    <w:locked/>
    <w:uiPriority w:val="0"/>
    <w:rPr>
      <w:rFonts w:ascii="宋体" w:hAnsi="Courier New" w:eastAsia="宋体"/>
      <w:spacing w:val="-4"/>
      <w:sz w:val="18"/>
    </w:rPr>
  </w:style>
  <w:style w:type="character" w:customStyle="1" w:styleId="43">
    <w:name w:val="正文文本缩进 Char1"/>
    <w:basedOn w:val="26"/>
    <w:qFormat/>
    <w:uiPriority w:val="99"/>
    <w:rPr>
      <w:rFonts w:ascii="Times New Roman" w:hAnsi="Times New Roman" w:eastAsia="宋体" w:cs="Times New Roman"/>
      <w:sz w:val="28"/>
      <w:szCs w:val="20"/>
    </w:rPr>
  </w:style>
  <w:style w:type="character" w:customStyle="1" w:styleId="44">
    <w:name w:val="标题 3 Char"/>
    <w:qFormat/>
    <w:uiPriority w:val="0"/>
    <w:rPr>
      <w:rFonts w:eastAsia="宋体"/>
      <w:b/>
      <w:bCs/>
      <w:kern w:val="2"/>
      <w:sz w:val="32"/>
      <w:szCs w:val="32"/>
      <w:lang w:val="en-US" w:eastAsia="zh-CN" w:bidi="ar-SA"/>
    </w:rPr>
  </w:style>
  <w:style w:type="character" w:customStyle="1" w:styleId="45">
    <w:name w:val="列出段落 Char"/>
    <w:link w:val="32"/>
    <w:qFormat/>
    <w:locked/>
    <w:uiPriority w:val="0"/>
    <w:rPr>
      <w:rFonts w:ascii="Times New Roman" w:hAnsi="Times New Roman" w:eastAsia="宋体" w:cs="Times New Roman"/>
      <w:sz w:val="28"/>
      <w:szCs w:val="20"/>
    </w:rPr>
  </w:style>
  <w:style w:type="character" w:customStyle="1" w:styleId="46">
    <w:name w:val="正文 第五章 中间"/>
    <w:qFormat/>
    <w:uiPriority w:val="0"/>
    <w:rPr>
      <w:b/>
      <w:bCs/>
      <w:color w:val="000000"/>
      <w:sz w:val="32"/>
    </w:rPr>
  </w:style>
  <w:style w:type="character" w:customStyle="1" w:styleId="47">
    <w:name w:val="纯文本 Char1"/>
    <w:link w:val="14"/>
    <w:qFormat/>
    <w:uiPriority w:val="0"/>
    <w:rPr>
      <w:rFonts w:ascii="宋体" w:hAnsi="Courier New" w:eastAsia="宋体"/>
      <w:sz w:val="24"/>
    </w:rPr>
  </w:style>
  <w:style w:type="character" w:customStyle="1" w:styleId="48">
    <w:name w:val="纯文本 Char"/>
    <w:basedOn w:val="26"/>
    <w:semiHidden/>
    <w:qFormat/>
    <w:uiPriority w:val="99"/>
    <w:rPr>
      <w:rFonts w:ascii="宋体" w:hAnsi="Courier New" w:eastAsia="宋体" w:cs="Courier New"/>
      <w:szCs w:val="21"/>
    </w:rPr>
  </w:style>
  <w:style w:type="character" w:customStyle="1" w:styleId="49">
    <w:name w:val="标题 3 Char1"/>
    <w:basedOn w:val="26"/>
    <w:link w:val="5"/>
    <w:semiHidden/>
    <w:qFormat/>
    <w:uiPriority w:val="9"/>
    <w:rPr>
      <w:rFonts w:ascii="Times New Roman" w:hAnsi="Times New Roman" w:eastAsia="宋体" w:cs="Times New Roman"/>
      <w:b/>
      <w:bCs/>
      <w:sz w:val="32"/>
      <w:szCs w:val="32"/>
    </w:rPr>
  </w:style>
  <w:style w:type="character" w:customStyle="1" w:styleId="50">
    <w:name w:val="页眉 Char"/>
    <w:basedOn w:val="26"/>
    <w:link w:val="18"/>
    <w:semiHidden/>
    <w:qFormat/>
    <w:uiPriority w:val="99"/>
    <w:rPr>
      <w:rFonts w:ascii="Times New Roman" w:hAnsi="Times New Roman" w:eastAsia="宋体" w:cs="Times New Roman"/>
      <w:sz w:val="18"/>
      <w:szCs w:val="18"/>
    </w:rPr>
  </w:style>
  <w:style w:type="character" w:customStyle="1" w:styleId="51">
    <w:name w:val="页脚 Char"/>
    <w:basedOn w:val="26"/>
    <w:link w:val="17"/>
    <w:qFormat/>
    <w:uiPriority w:val="99"/>
    <w:rPr>
      <w:rFonts w:ascii="Times New Roman" w:hAnsi="Times New Roman" w:eastAsia="宋体" w:cs="Times New Roman"/>
      <w:sz w:val="18"/>
      <w:szCs w:val="18"/>
    </w:rPr>
  </w:style>
  <w:style w:type="character" w:customStyle="1" w:styleId="52">
    <w:name w:val="标题 4 Char"/>
    <w:basedOn w:val="26"/>
    <w:link w:val="6"/>
    <w:semiHidden/>
    <w:qFormat/>
    <w:uiPriority w:val="9"/>
    <w:rPr>
      <w:rFonts w:asciiTheme="majorHAnsi" w:hAnsiTheme="majorHAnsi" w:eastAsiaTheme="majorEastAsia" w:cstheme="majorBidi"/>
      <w:b/>
      <w:bCs/>
      <w:sz w:val="28"/>
      <w:szCs w:val="28"/>
    </w:rPr>
  </w:style>
  <w:style w:type="character" w:customStyle="1" w:styleId="53">
    <w:name w:val="标题 5 Char"/>
    <w:basedOn w:val="26"/>
    <w:link w:val="7"/>
    <w:semiHidden/>
    <w:qFormat/>
    <w:uiPriority w:val="9"/>
    <w:rPr>
      <w:rFonts w:ascii="Times New Roman" w:hAnsi="Times New Roman" w:eastAsia="宋体" w:cs="Times New Roman"/>
      <w:b/>
      <w:bCs/>
      <w:sz w:val="28"/>
      <w:szCs w:val="28"/>
    </w:rPr>
  </w:style>
  <w:style w:type="character" w:customStyle="1" w:styleId="54">
    <w:name w:val="标题 6 Char"/>
    <w:basedOn w:val="26"/>
    <w:link w:val="8"/>
    <w:semiHidden/>
    <w:qFormat/>
    <w:uiPriority w:val="9"/>
    <w:rPr>
      <w:rFonts w:asciiTheme="majorHAnsi" w:hAnsiTheme="majorHAnsi" w:eastAsiaTheme="majorEastAsia" w:cstheme="majorBidi"/>
      <w:b/>
      <w:bCs/>
      <w:sz w:val="24"/>
      <w:szCs w:val="24"/>
    </w:rPr>
  </w:style>
  <w:style w:type="character" w:customStyle="1" w:styleId="55">
    <w:name w:val="标题 7 Char"/>
    <w:basedOn w:val="26"/>
    <w:link w:val="9"/>
    <w:semiHidden/>
    <w:qFormat/>
    <w:uiPriority w:val="9"/>
    <w:rPr>
      <w:rFonts w:ascii="Times New Roman" w:hAnsi="Times New Roman" w:eastAsia="宋体" w:cs="Times New Roman"/>
      <w:b/>
      <w:bCs/>
      <w:sz w:val="24"/>
      <w:szCs w:val="24"/>
    </w:rPr>
  </w:style>
  <w:style w:type="paragraph" w:customStyle="1" w:styleId="56">
    <w:name w:val="首行缩进"/>
    <w:basedOn w:val="1"/>
    <w:next w:val="1"/>
    <w:qFormat/>
    <w:uiPriority w:val="0"/>
    <w:pPr>
      <w:spacing w:line="360" w:lineRule="auto"/>
      <w:ind w:firstLine="200" w:firstLineChars="200"/>
    </w:pPr>
    <w:rPr>
      <w:rFonts w:ascii="Calibri" w:hAnsi="Calibri"/>
      <w:sz w:val="24"/>
      <w:szCs w:val="21"/>
    </w:rPr>
  </w:style>
  <w:style w:type="paragraph" w:customStyle="1" w:styleId="57">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8">
    <w:name w:val="批注框文本 Char"/>
    <w:basedOn w:val="26"/>
    <w:link w:val="16"/>
    <w:semiHidden/>
    <w:qFormat/>
    <w:uiPriority w:val="99"/>
    <w:rPr>
      <w:rFonts w:ascii="Times New Roman" w:hAnsi="Times New Roman" w:eastAsia="宋体" w:cs="Times New Roman"/>
      <w:sz w:val="18"/>
      <w:szCs w:val="18"/>
    </w:rPr>
  </w:style>
  <w:style w:type="paragraph" w:customStyle="1" w:styleId="59">
    <w:name w:val="TOC 标题1"/>
    <w:basedOn w:val="3"/>
    <w:next w:val="1"/>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60">
    <w:name w:val="样式1"/>
    <w:basedOn w:val="1"/>
    <w:qFormat/>
    <w:uiPriority w:val="0"/>
    <w:pPr>
      <w:numPr>
        <w:ilvl w:val="0"/>
        <w:numId w:val="2"/>
      </w:numPr>
      <w:adjustRightInd w:val="0"/>
      <w:textAlignment w:val="baseline"/>
    </w:pPr>
    <w:rPr>
      <w:rFonts w:ascii="宋体" w:hAnsi="宋体"/>
      <w:kern w:val="0"/>
      <w:sz w:val="21"/>
    </w:rPr>
  </w:style>
  <w:style w:type="paragraph" w:customStyle="1" w:styleId="61">
    <w:name w:val="Char Char Char Char Char Char Char1 Char"/>
    <w:basedOn w:val="1"/>
    <w:qFormat/>
    <w:uiPriority w:val="0"/>
    <w:rPr>
      <w:rFonts w:ascii="Tahoma" w:hAnsi="Tahoma"/>
      <w:sz w:val="24"/>
    </w:rPr>
  </w:style>
  <w:style w:type="character" w:customStyle="1" w:styleId="62">
    <w:name w:val="批注文字 Char"/>
    <w:basedOn w:val="26"/>
    <w:link w:val="11"/>
    <w:qFormat/>
    <w:uiPriority w:val="0"/>
    <w:rPr>
      <w:rFonts w:ascii="Times New Roman" w:hAnsi="Times New Roman" w:eastAsia="宋体" w:cs="Times New Roman"/>
      <w:sz w:val="28"/>
      <w:szCs w:val="20"/>
    </w:rPr>
  </w:style>
  <w:style w:type="character" w:customStyle="1" w:styleId="63">
    <w:name w:val="font51"/>
    <w:qFormat/>
    <w:uiPriority w:val="0"/>
    <w:rPr>
      <w:rFonts w:hint="eastAsia" w:ascii="宋体" w:hAnsi="宋体" w:eastAsia="宋体" w:cs="宋体"/>
      <w:color w:val="000000"/>
      <w:sz w:val="24"/>
      <w:szCs w:val="24"/>
      <w:u w:val="none"/>
    </w:rPr>
  </w:style>
  <w:style w:type="paragraph" w:customStyle="1" w:styleId="64">
    <w:name w:val="_Style 13"/>
    <w:basedOn w:val="1"/>
    <w:next w:val="32"/>
    <w:qFormat/>
    <w:uiPriority w:val="0"/>
    <w:pPr>
      <w:ind w:firstLine="420" w:firstLineChars="200"/>
    </w:pPr>
    <w:rPr>
      <w:rFonts w:ascii="Calibri" w:hAnsi="Calibri"/>
      <w:kern w:val="0"/>
      <w:sz w:val="20"/>
      <w:lang w:val="zh-CN"/>
    </w:rPr>
  </w:style>
  <w:style w:type="paragraph" w:customStyle="1" w:styleId="65">
    <w:name w:val="正文缩进2格"/>
    <w:basedOn w:val="1"/>
    <w:qFormat/>
    <w:uiPriority w:val="0"/>
    <w:pPr>
      <w:spacing w:line="600" w:lineRule="exact"/>
      <w:ind w:firstLine="639" w:firstLineChars="206"/>
    </w:pPr>
    <w:rPr>
      <w:rFonts w:ascii="仿宋_GB2312" w:hAnsi="宋体" w:eastAsia="仿宋_GB2312"/>
      <w:sz w:val="31"/>
      <w:szCs w:val="22"/>
    </w:rPr>
  </w:style>
  <w:style w:type="character" w:customStyle="1" w:styleId="66">
    <w:name w:val="批注主题 Char"/>
    <w:basedOn w:val="62"/>
    <w:link w:val="23"/>
    <w:semiHidden/>
    <w:qFormat/>
    <w:uiPriority w:val="99"/>
    <w:rPr>
      <w:b/>
      <w:bCs/>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49</Pages>
  <Words>17411</Words>
  <Characters>17911</Characters>
  <Lines>159</Lines>
  <Paragraphs>45</Paragraphs>
  <TotalTime>1</TotalTime>
  <ScaleCrop>false</ScaleCrop>
  <LinksUpToDate>false</LinksUpToDate>
  <CharactersWithSpaces>21079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Administrator</cp:lastModifiedBy>
  <cp:lastPrinted>2020-08-06T07:00:00Z</cp:lastPrinted>
  <dcterms:modified xsi:type="dcterms:W3CDTF">2023-06-15T02:29:28Z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4C26227BCB294D39AA2781FF4FE8B61D</vt:lpwstr>
  </property>
</Properties>
</file>