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2023014</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1号实验楼4楼实验室改造项目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3</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4</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0"/>
          <w:rFonts w:hint="eastAsia"/>
        </w:rPr>
        <w:t>第一章</w:t>
      </w:r>
      <w:r>
        <w:rPr>
          <w:rStyle w:val="30"/>
        </w:rPr>
        <w:t xml:space="preserve">  </w:t>
      </w:r>
      <w:r>
        <w:rPr>
          <w:rStyle w:val="30"/>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0"/>
          <w:rFonts w:hint="eastAsia"/>
        </w:rPr>
        <w:t>第二章</w:t>
      </w:r>
      <w:r>
        <w:rPr>
          <w:rStyle w:val="30"/>
        </w:rPr>
        <w:t xml:space="preserve">  </w:t>
      </w:r>
      <w:r>
        <w:rPr>
          <w:rStyle w:val="30"/>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0"/>
          <w:rFonts w:hint="eastAsia"/>
        </w:rPr>
        <w:t>第三章</w:t>
      </w:r>
      <w:r>
        <w:rPr>
          <w:rStyle w:val="30"/>
        </w:rPr>
        <w:t xml:space="preserve">  </w:t>
      </w:r>
      <w:r>
        <w:rPr>
          <w:rStyle w:val="30"/>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0"/>
          <w:rFonts w:hint="eastAsia"/>
        </w:rPr>
        <w:t>第四章</w:t>
      </w:r>
      <w:r>
        <w:rPr>
          <w:rStyle w:val="30"/>
        </w:rPr>
        <w:t xml:space="preserve">  </w:t>
      </w:r>
      <w:r>
        <w:rPr>
          <w:rStyle w:val="30"/>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0"/>
          <w:rFonts w:hint="eastAsia"/>
        </w:rPr>
        <w:t>第五章</w:t>
      </w:r>
      <w:r>
        <w:rPr>
          <w:rStyle w:val="30"/>
        </w:rPr>
        <w:t xml:space="preserve">  </w:t>
      </w:r>
      <w:r>
        <w:rPr>
          <w:rStyle w:val="30"/>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0"/>
          <w:rFonts w:hint="eastAsia"/>
        </w:rPr>
        <w:t>第六章</w:t>
      </w:r>
      <w:r>
        <w:rPr>
          <w:rStyle w:val="30"/>
        </w:rPr>
        <w:t xml:space="preserve">  </w:t>
      </w:r>
      <w:r>
        <w:rPr>
          <w:rStyle w:val="30"/>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0"/>
          <w:rFonts w:hint="eastAsia"/>
        </w:rPr>
        <w:t>第七章</w:t>
      </w:r>
      <w:r>
        <w:rPr>
          <w:rStyle w:val="30"/>
        </w:rPr>
        <w:t xml:space="preserve">  </w:t>
      </w:r>
      <w:r>
        <w:rPr>
          <w:rStyle w:val="30"/>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皖南医学院1号实验楼4楼实验室改造项目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皖南医学院1号实验楼4楼实验室改造项目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2023014</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w:t>
      </w:r>
      <w:r>
        <w:rPr>
          <w:rFonts w:hint="default" w:ascii="仿宋_GB2312" w:hAnsi="宋体" w:eastAsia="仿宋_GB2312" w:cs="宋体"/>
          <w:kern w:val="0"/>
          <w:sz w:val="24"/>
          <w:szCs w:val="24"/>
          <w:lang w:val="en-US" w:eastAsia="zh-CN" w:bidi="ar-SA"/>
        </w:rPr>
        <w:t>项目内容：</w:t>
      </w:r>
      <w:r>
        <w:rPr>
          <w:rFonts w:hint="eastAsia" w:ascii="仿宋_GB2312" w:hAnsi="宋体" w:eastAsia="仿宋_GB2312" w:cs="宋体"/>
          <w:kern w:val="0"/>
          <w:sz w:val="24"/>
          <w:szCs w:val="24"/>
          <w:lang w:val="en-US" w:eastAsia="zh-CN" w:bidi="ar-SA"/>
        </w:rPr>
        <w:t>对我校</w:t>
      </w:r>
      <w:r>
        <w:rPr>
          <w:rFonts w:hint="eastAsia" w:ascii="仿宋_GB2312" w:eastAsia="仿宋_GB2312" w:cs="宋体"/>
          <w:sz w:val="24"/>
          <w:szCs w:val="24"/>
          <w:lang w:val="en-US" w:eastAsia="zh-CN"/>
        </w:rPr>
        <w:t>1号实验楼4楼实验室</w:t>
      </w:r>
      <w:r>
        <w:rPr>
          <w:rFonts w:hint="eastAsia" w:ascii="仿宋_GB2312" w:hAnsi="宋体" w:eastAsia="仿宋_GB2312" w:cs="宋体"/>
          <w:kern w:val="0"/>
          <w:sz w:val="24"/>
          <w:szCs w:val="24"/>
          <w:lang w:val="en-US" w:eastAsia="zh-CN" w:bidi="ar-SA"/>
        </w:rPr>
        <w:t>进行维修改造。</w:t>
      </w:r>
      <w:r>
        <w:rPr>
          <w:rFonts w:hint="default" w:ascii="仿宋_GB2312" w:hAnsi="宋体" w:eastAsia="仿宋_GB2312" w:cs="宋体"/>
          <w:kern w:val="0"/>
          <w:sz w:val="24"/>
          <w:szCs w:val="24"/>
          <w:lang w:val="en-US" w:eastAsia="zh-CN" w:bidi="ar-SA"/>
        </w:rPr>
        <w:t>详见项目需求</w:t>
      </w:r>
      <w:r>
        <w:rPr>
          <w:rFonts w:hint="eastAsia" w:ascii="仿宋_GB2312" w:hAnsi="宋体" w:eastAsia="仿宋_GB2312" w:cs="宋体"/>
          <w:kern w:val="0"/>
          <w:sz w:val="24"/>
          <w:szCs w:val="24"/>
          <w:lang w:val="en-US" w:eastAsia="zh-CN" w:bidi="ar-SA"/>
        </w:rPr>
        <w:t>。</w:t>
      </w:r>
    </w:p>
    <w:p>
      <w:pPr>
        <w:pStyle w:val="24"/>
        <w:adjustRightInd w:val="0"/>
        <w:snapToGrid w:val="0"/>
        <w:spacing w:before="0" w:beforeAutospacing="0" w:after="0" w:afterAutospacing="0" w:line="360" w:lineRule="auto"/>
        <w:ind w:firstLine="480" w:firstLineChars="200"/>
        <w:jc w:val="both"/>
        <w:rPr>
          <w:rFonts w:hint="default" w:ascii="仿宋_GB2312" w:hAnsi="宋体" w:eastAsia="仿宋_GB2312" w:cs="宋体"/>
          <w:kern w:val="0"/>
          <w:sz w:val="24"/>
          <w:szCs w:val="24"/>
          <w:lang w:val="en-US" w:eastAsia="zh-CN" w:bidi="ar-SA"/>
        </w:rPr>
      </w:pPr>
      <w:r>
        <w:rPr>
          <w:rFonts w:hint="default" w:ascii="仿宋_GB2312" w:eastAsia="仿宋_GB2312" w:cs="宋体"/>
          <w:sz w:val="24"/>
          <w:szCs w:val="24"/>
          <w:lang w:val="en-US" w:eastAsia="zh-CN"/>
        </w:rPr>
        <w:t>（四）项目预</w:t>
      </w:r>
      <w:r>
        <w:rPr>
          <w:rFonts w:hint="default" w:ascii="仿宋_GB2312" w:hAnsi="宋体" w:eastAsia="仿宋_GB2312" w:cs="宋体"/>
          <w:kern w:val="0"/>
          <w:sz w:val="24"/>
          <w:szCs w:val="24"/>
          <w:lang w:val="en-US" w:eastAsia="zh-CN" w:bidi="ar-SA"/>
        </w:rPr>
        <w:t>算：</w:t>
      </w:r>
      <w:r>
        <w:rPr>
          <w:rFonts w:hint="eastAsia" w:ascii="仿宋_GB2312" w:hAnsi="宋体" w:eastAsia="仿宋_GB2312" w:cs="宋体"/>
          <w:kern w:val="0"/>
          <w:sz w:val="24"/>
          <w:szCs w:val="24"/>
          <w:lang w:val="en-US" w:eastAsia="zh-CN" w:bidi="ar-SA"/>
        </w:rPr>
        <w:t>236783.72元。</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5.具有建筑工程施工总承包三级及以上资质，或建筑装修装饰工程专业承包二级及以上企业。投标单位相关资质须是建设行政主管部门核发的，且经年检合格。</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6.具有良好的商业信誉和优良的售后服务，在近三年的经营活动中没有不良记录。</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eastAsia" w:ascii="仿宋_GB2312" w:hAnsi="宋体" w:eastAsia="仿宋_GB2312" w:cs="宋体"/>
          <w:kern w:val="0"/>
          <w:sz w:val="24"/>
          <w:szCs w:val="24"/>
          <w:lang w:val="en-US" w:eastAsia="zh-CN" w:bidi="ar-SA"/>
        </w:rPr>
        <w:t>7</w:t>
      </w:r>
      <w:r>
        <w:rPr>
          <w:rFonts w:hint="default" w:ascii="仿宋_GB2312" w:hAnsi="宋体" w:eastAsia="仿宋_GB2312" w:cs="宋体"/>
          <w:kern w:val="0"/>
          <w:sz w:val="24"/>
          <w:szCs w:val="24"/>
          <w:lang w:val="en-US" w:eastAsia="zh-CN" w:bidi="ar-SA"/>
        </w:rPr>
        <w:t>.本项目不接受联合体投标。</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3</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4</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13</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4</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20</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皖南医学院1号实验楼4楼实验室改造项目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2023014</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（一）响应文件递交截止时间：202</w:t>
      </w:r>
      <w:r>
        <w:rPr>
          <w:rFonts w:hint="eastAsia" w:ascii="仿宋_GB2312" w:eastAsia="仿宋_GB2312" w:cs="宋体"/>
          <w:sz w:val="24"/>
          <w:szCs w:val="24"/>
          <w:highlight w:val="none"/>
          <w:lang w:val="en-US" w:eastAsia="zh-CN"/>
        </w:rPr>
        <w:t>3</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4</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27</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3</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4</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27</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因学校防控要求，校外人员进校需填写《校外人员入校申请表》（附件）。请各投标单位如实填写，并于2023年4月26日12：00前将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3</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4</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13</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6"/>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6"/>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w:t>
            </w:r>
            <w:r>
              <w:rPr>
                <w:rFonts w:hint="eastAsia" w:ascii="宋体" w:hAnsi="宋体" w:cs="宋体"/>
                <w:kern w:val="0"/>
                <w:sz w:val="21"/>
                <w:szCs w:val="21"/>
                <w:lang w:eastAsia="zh-CN"/>
              </w:rPr>
              <w:t>1号实验楼4楼实验室改造项目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集中踏勘。时间：2023年4月21日上午10：00.</w:t>
            </w:r>
          </w:p>
          <w:p>
            <w:pPr>
              <w:pStyle w:val="2"/>
              <w:ind w:left="0" w:leftChars="0" w:firstLine="0" w:firstLineChars="0"/>
              <w:rPr>
                <w:rFonts w:hint="default"/>
                <w:lang w:val="en-US" w:eastAsia="zh-CN"/>
              </w:rPr>
            </w:pPr>
            <w:r>
              <w:rPr>
                <w:rFonts w:hint="eastAsia" w:ascii="宋体" w:hAnsi="宋体" w:eastAsia="宋体" w:cs="宋体"/>
                <w:kern w:val="0"/>
                <w:sz w:val="21"/>
                <w:szCs w:val="21"/>
                <w:lang w:val="en-US" w:eastAsia="zh-CN" w:bidi="ar-SA"/>
              </w:rPr>
              <w:t>联系电话：郑老师，3932514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16938519"/>
      <w:bookmarkStart w:id="5" w:name="_Toc20823275"/>
      <w:bookmarkStart w:id="6" w:name="_Toc120614214"/>
      <w:bookmarkStart w:id="7" w:name="_Toc513029203"/>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8"/>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8"/>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8"/>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8"/>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8"/>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38"/>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8"/>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8"/>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38"/>
        <w:snapToGrid w:val="0"/>
        <w:rPr>
          <w:rFonts w:hint="eastAsia" w:hAnsi="宋体" w:eastAsia="宋体"/>
          <w:sz w:val="24"/>
          <w:szCs w:val="24"/>
        </w:rPr>
      </w:pPr>
      <w:r>
        <w:rPr>
          <w:rFonts w:hint="eastAsia" w:hAnsi="宋体" w:eastAsia="宋体"/>
          <w:sz w:val="24"/>
          <w:szCs w:val="24"/>
        </w:rPr>
        <w:t>磋商文件有以下部分组成：</w:t>
      </w:r>
    </w:p>
    <w:p>
      <w:pPr>
        <w:pStyle w:val="38"/>
        <w:snapToGrid w:val="0"/>
        <w:rPr>
          <w:rFonts w:hint="eastAsia" w:hAnsi="宋体" w:eastAsia="宋体"/>
          <w:sz w:val="24"/>
          <w:szCs w:val="24"/>
        </w:rPr>
      </w:pPr>
      <w:r>
        <w:rPr>
          <w:rFonts w:hint="eastAsia" w:hAnsi="宋体" w:eastAsia="宋体"/>
          <w:sz w:val="24"/>
          <w:szCs w:val="24"/>
        </w:rPr>
        <w:t>（1）磋商公告</w:t>
      </w:r>
    </w:p>
    <w:p>
      <w:pPr>
        <w:pStyle w:val="38"/>
        <w:snapToGrid w:val="0"/>
        <w:rPr>
          <w:rFonts w:hint="eastAsia" w:hAnsi="宋体" w:eastAsia="宋体"/>
          <w:sz w:val="24"/>
          <w:szCs w:val="24"/>
        </w:rPr>
      </w:pPr>
      <w:r>
        <w:rPr>
          <w:rFonts w:hint="eastAsia" w:hAnsi="宋体" w:eastAsia="宋体"/>
          <w:sz w:val="24"/>
          <w:szCs w:val="24"/>
        </w:rPr>
        <w:t>（2）磋商须知前附表</w:t>
      </w:r>
    </w:p>
    <w:p>
      <w:pPr>
        <w:pStyle w:val="38"/>
        <w:snapToGrid w:val="0"/>
        <w:rPr>
          <w:rFonts w:hint="eastAsia" w:hAnsi="宋体" w:eastAsia="宋体"/>
          <w:sz w:val="24"/>
          <w:szCs w:val="24"/>
        </w:rPr>
      </w:pPr>
      <w:r>
        <w:rPr>
          <w:rFonts w:hint="eastAsia" w:hAnsi="宋体" w:eastAsia="宋体"/>
          <w:sz w:val="24"/>
          <w:szCs w:val="24"/>
        </w:rPr>
        <w:t>（3）磋商须知</w:t>
      </w:r>
    </w:p>
    <w:p>
      <w:pPr>
        <w:pStyle w:val="38"/>
        <w:snapToGrid w:val="0"/>
        <w:rPr>
          <w:rFonts w:hint="eastAsia" w:hAnsi="宋体" w:eastAsia="宋体"/>
          <w:sz w:val="24"/>
          <w:szCs w:val="24"/>
        </w:rPr>
      </w:pPr>
      <w:r>
        <w:rPr>
          <w:rFonts w:hint="eastAsia" w:hAnsi="宋体" w:eastAsia="宋体"/>
          <w:sz w:val="24"/>
          <w:szCs w:val="24"/>
        </w:rPr>
        <w:t>（4）合同主要条款</w:t>
      </w:r>
    </w:p>
    <w:p>
      <w:pPr>
        <w:pStyle w:val="38"/>
        <w:snapToGrid w:val="0"/>
        <w:rPr>
          <w:rFonts w:hint="eastAsia" w:hAnsi="宋体" w:eastAsia="宋体"/>
          <w:sz w:val="24"/>
          <w:szCs w:val="24"/>
        </w:rPr>
      </w:pPr>
      <w:r>
        <w:rPr>
          <w:rFonts w:hint="eastAsia" w:hAnsi="宋体" w:eastAsia="宋体"/>
          <w:sz w:val="24"/>
          <w:szCs w:val="24"/>
        </w:rPr>
        <w:t>（5）项目需求</w:t>
      </w:r>
    </w:p>
    <w:p>
      <w:pPr>
        <w:pStyle w:val="38"/>
        <w:snapToGrid w:val="0"/>
        <w:rPr>
          <w:rFonts w:hint="eastAsia" w:hAnsi="宋体" w:eastAsia="宋体"/>
          <w:sz w:val="24"/>
          <w:szCs w:val="24"/>
        </w:rPr>
      </w:pPr>
      <w:r>
        <w:rPr>
          <w:rFonts w:hint="eastAsia" w:hAnsi="宋体" w:eastAsia="宋体"/>
          <w:sz w:val="24"/>
          <w:szCs w:val="24"/>
        </w:rPr>
        <w:t>（6）评审标准</w:t>
      </w:r>
    </w:p>
    <w:p>
      <w:pPr>
        <w:pStyle w:val="38"/>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8"/>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8"/>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8"/>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8"/>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8"/>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8"/>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8"/>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8"/>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8"/>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8"/>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8"/>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8"/>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8"/>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8"/>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20823297"/>
      <w:bookmarkStart w:id="78" w:name="_Toc513029225"/>
      <w:bookmarkStart w:id="79" w:name="_Toc462564084"/>
      <w:bookmarkStart w:id="80" w:name="_Toc16938541"/>
      <w:r>
        <w:rPr>
          <w:rFonts w:hint="eastAsia" w:ascii="宋体" w:hAnsi="宋体" w:cs="宋体"/>
          <w:sz w:val="24"/>
          <w:szCs w:val="24"/>
        </w:rPr>
        <w:t>1.响应文件的密封和标记</w:t>
      </w:r>
      <w:bookmarkEnd w:id="77"/>
      <w:bookmarkEnd w:id="78"/>
      <w:bookmarkEnd w:id="79"/>
      <w:bookmarkEnd w:id="80"/>
    </w:p>
    <w:p>
      <w:pPr>
        <w:pStyle w:val="38"/>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8"/>
        <w:snapToGrid w:val="0"/>
        <w:rPr>
          <w:rFonts w:hint="eastAsia" w:hAnsi="宋体" w:eastAsia="宋体"/>
          <w:sz w:val="24"/>
          <w:szCs w:val="24"/>
        </w:rPr>
      </w:pPr>
      <w:r>
        <w:rPr>
          <w:rFonts w:hint="eastAsia" w:hAnsi="宋体" w:eastAsia="宋体"/>
          <w:sz w:val="24"/>
          <w:szCs w:val="24"/>
        </w:rPr>
        <w:t>（2）密封的响应文件应：</w:t>
      </w:r>
    </w:p>
    <w:p>
      <w:pPr>
        <w:pStyle w:val="38"/>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8"/>
        <w:snapToGrid w:val="0"/>
        <w:rPr>
          <w:rFonts w:hint="eastAsia" w:hAnsi="宋体" w:eastAsia="宋体"/>
          <w:sz w:val="24"/>
          <w:szCs w:val="24"/>
        </w:rPr>
      </w:pPr>
      <w:r>
        <w:rPr>
          <w:rFonts w:hint="eastAsia" w:hAnsi="宋体" w:eastAsia="宋体"/>
          <w:sz w:val="24"/>
          <w:szCs w:val="24"/>
        </w:rPr>
        <w:t>2）注明磋商项目名称、项目编号。</w:t>
      </w:r>
    </w:p>
    <w:p>
      <w:pPr>
        <w:pStyle w:val="38"/>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8"/>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8"/>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8"/>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8"/>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8"/>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38"/>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8"/>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8"/>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5"/>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5"/>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5"/>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5"/>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8"/>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5"/>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5"/>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8"/>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8"/>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38"/>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8"/>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8"/>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8"/>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3个工作日内缴纳履约保证金</w:t>
      </w:r>
      <w:r>
        <w:rPr>
          <w:rFonts w:hint="eastAsia" w:hAnsi="宋体" w:eastAsia="宋体"/>
          <w:sz w:val="24"/>
          <w:szCs w:val="24"/>
        </w:rPr>
        <w:t>。</w:t>
      </w:r>
    </w:p>
    <w:bookmarkEnd w:id="106"/>
    <w:p>
      <w:pPr>
        <w:pStyle w:val="38"/>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bCs/>
          <w:szCs w:val="28"/>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8"/>
        <w:snapToGrid w:val="0"/>
        <w:ind w:left="0" w:leftChars="0" w:right="280" w:rightChars="100" w:firstLine="0" w:firstLineChars="0"/>
        <w:rPr>
          <w:rFonts w:ascii="仿宋_GB2312" w:hAnsi="宋体" w:eastAsia="仿宋_GB2312"/>
          <w:bCs/>
          <w:szCs w:val="28"/>
        </w:rPr>
      </w:pPr>
    </w:p>
    <w:p>
      <w:pPr>
        <w:pStyle w:val="6"/>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spacing w:line="360" w:lineRule="auto"/>
        <w:jc w:val="center"/>
        <w:rPr>
          <w:rFonts w:ascii="黑体" w:hAnsi="黑体" w:eastAsia="黑体" w:cs="黑体"/>
          <w:b/>
          <w:spacing w:val="20"/>
          <w:kern w:val="0"/>
          <w:sz w:val="36"/>
          <w:szCs w:val="36"/>
        </w:rPr>
      </w:pPr>
      <w:r>
        <w:rPr>
          <w:rFonts w:hint="eastAsia" w:ascii="黑体" w:hAnsi="黑体" w:eastAsia="黑体" w:cs="黑体"/>
          <w:b/>
          <w:spacing w:val="-6"/>
          <w:kern w:val="0"/>
          <w:sz w:val="36"/>
          <w:szCs w:val="36"/>
        </w:rPr>
        <w:t>皖南医学院</w:t>
      </w:r>
      <w:r>
        <w:rPr>
          <w:rFonts w:hint="eastAsia" w:ascii="黑体" w:hAnsi="黑体" w:eastAsia="黑体" w:cs="黑体"/>
          <w:b/>
          <w:spacing w:val="-6"/>
          <w:kern w:val="0"/>
          <w:sz w:val="36"/>
          <w:szCs w:val="36"/>
          <w:u w:val="single"/>
        </w:rPr>
        <w:t>基础医学院1号实验楼4层实验室</w:t>
      </w:r>
      <w:r>
        <w:rPr>
          <w:rFonts w:hint="eastAsia" w:ascii="黑体" w:hAnsi="黑体" w:eastAsia="黑体" w:cs="黑体"/>
          <w:b/>
          <w:spacing w:val="-6"/>
          <w:kern w:val="0"/>
          <w:sz w:val="36"/>
          <w:szCs w:val="36"/>
          <w:u w:val="single"/>
          <w:lang w:val="en-US" w:eastAsia="zh-CN"/>
        </w:rPr>
        <w:t>改造</w:t>
      </w:r>
      <w:r>
        <w:rPr>
          <w:rFonts w:hint="eastAsia" w:ascii="黑体" w:hAnsi="黑体" w:eastAsia="黑体" w:cs="黑体"/>
          <w:b/>
          <w:spacing w:val="-6"/>
          <w:kern w:val="0"/>
          <w:sz w:val="36"/>
          <w:szCs w:val="36"/>
        </w:rPr>
        <w:t>工程</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施工合同</w:t>
      </w:r>
    </w:p>
    <w:p>
      <w:pPr>
        <w:spacing w:line="360" w:lineRule="auto"/>
        <w:rPr>
          <w:rFonts w:ascii="黑体" w:hAnsi="黑体" w:eastAsia="黑体" w:cs="Times New Roman"/>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建设单位（以下简称“甲方”）：皖南医学院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施工单位（以下简称“乙方”）：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sz w:val="28"/>
          <w:szCs w:val="28"/>
        </w:rPr>
      </w:pPr>
      <w:r>
        <w:rPr>
          <w:rFonts w:asciiTheme="majorEastAsia" w:hAnsiTheme="majorEastAsia" w:eastAsiaTheme="majorEastAsia"/>
          <w:sz w:val="28"/>
          <w:szCs w:val="28"/>
        </w:rPr>
        <w:t>根据</w:t>
      </w:r>
      <w:r>
        <w:rPr>
          <w:rFonts w:hint="eastAsia" w:asciiTheme="majorEastAsia" w:hAnsiTheme="majorEastAsia" w:eastAsiaTheme="majorEastAsia"/>
          <w:sz w:val="28"/>
          <w:szCs w:val="28"/>
        </w:rPr>
        <w:t>我国合同、建筑相关</w:t>
      </w:r>
      <w:r>
        <w:rPr>
          <w:rFonts w:asciiTheme="majorEastAsia" w:hAnsiTheme="majorEastAsia" w:eastAsiaTheme="majorEastAsia"/>
          <w:sz w:val="28"/>
          <w:szCs w:val="28"/>
        </w:rPr>
        <w:t>法律规定，遵循平等、自愿、公平和诚实信用的原则，双方就</w:t>
      </w:r>
      <w:r>
        <w:rPr>
          <w:rFonts w:hint="eastAsia" w:asciiTheme="majorEastAsia" w:hAnsiTheme="majorEastAsia" w:eastAsiaTheme="majorEastAsia"/>
          <w:sz w:val="28"/>
          <w:szCs w:val="28"/>
          <w:u w:val="single"/>
        </w:rPr>
        <w:t xml:space="preserve"> 皖南医学院基础医学院1号实验楼4层实验室</w:t>
      </w:r>
      <w:r>
        <w:rPr>
          <w:rFonts w:hint="eastAsia" w:asciiTheme="majorEastAsia" w:hAnsiTheme="majorEastAsia" w:eastAsiaTheme="majorEastAsia"/>
          <w:sz w:val="28"/>
          <w:szCs w:val="28"/>
          <w:u w:val="single"/>
          <w:lang w:val="en-US" w:eastAsia="zh-CN"/>
        </w:rPr>
        <w:t>改造</w:t>
      </w:r>
      <w:r>
        <w:rPr>
          <w:rFonts w:asciiTheme="majorEastAsia" w:hAnsiTheme="majorEastAsia" w:eastAsiaTheme="majorEastAsia"/>
          <w:sz w:val="28"/>
          <w:szCs w:val="28"/>
        </w:rPr>
        <w:t>工程施工及有关事项协商一致</w:t>
      </w:r>
      <w:r>
        <w:rPr>
          <w:rFonts w:hint="eastAsia" w:asciiTheme="majorEastAsia" w:hAnsiTheme="majorEastAsia" w:eastAsiaTheme="majorEastAsia"/>
          <w:sz w:val="28"/>
          <w:szCs w:val="28"/>
        </w:rPr>
        <w:t>，</w:t>
      </w:r>
      <w:r>
        <w:rPr>
          <w:rFonts w:asciiTheme="majorEastAsia" w:hAnsiTheme="majorEastAsia" w:eastAsiaTheme="majorEastAsia"/>
          <w:sz w:val="28"/>
          <w:szCs w:val="28"/>
        </w:rPr>
        <w:t>共同</w:t>
      </w:r>
      <w:r>
        <w:rPr>
          <w:rFonts w:hint="eastAsia" w:asciiTheme="majorEastAsia" w:hAnsiTheme="majorEastAsia" w:eastAsiaTheme="majorEastAsia"/>
          <w:sz w:val="28"/>
          <w:szCs w:val="28"/>
        </w:rPr>
        <w:t>签订本合同</w:t>
      </w:r>
      <w:r>
        <w:rPr>
          <w:rFonts w:hint="eastAsia" w:ascii="宋体" w:hAnsi="宋体" w:eastAsia="宋体" w:cs="宋体"/>
          <w:sz w:val="28"/>
          <w:szCs w:val="28"/>
        </w:rPr>
        <w:t>。</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一、工程概况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皖南医学院基础医学院1号实验楼4层实验室</w:t>
      </w:r>
      <w:r>
        <w:rPr>
          <w:rFonts w:hint="eastAsia" w:ascii="宋体" w:hAnsi="宋体" w:eastAsia="宋体" w:cs="宋体"/>
          <w:sz w:val="28"/>
          <w:szCs w:val="28"/>
          <w:u w:val="single"/>
          <w:lang w:val="en-US" w:eastAsia="zh-CN"/>
        </w:rPr>
        <w:t>改造</w:t>
      </w:r>
      <w:r>
        <w:rPr>
          <w:rFonts w:hint="eastAsia" w:ascii="宋体" w:hAnsi="宋体" w:eastAsia="宋体" w:cs="宋体"/>
          <w:sz w:val="28"/>
          <w:szCs w:val="28"/>
          <w:u w:val="single"/>
        </w:rPr>
        <w:t xml:space="preserve">工程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2.工程地点：</w:t>
      </w:r>
      <w:r>
        <w:rPr>
          <w:rFonts w:hint="eastAsia" w:ascii="宋体" w:hAnsi="宋体" w:eastAsia="宋体" w:cs="宋体"/>
          <w:sz w:val="28"/>
          <w:szCs w:val="28"/>
          <w:u w:val="single"/>
        </w:rPr>
        <w:t xml:space="preserve"> 1号实验楼4层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3.合同价：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）,其中含暂列金额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5000 </w:t>
      </w:r>
      <w:r>
        <w:rPr>
          <w:rFonts w:hint="eastAsia" w:ascii="宋体" w:hAnsi="宋体" w:eastAsia="宋体" w:cs="宋体"/>
          <w:sz w:val="28"/>
          <w:szCs w:val="28"/>
        </w:rPr>
        <w:t>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4.合同工期：工期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30</w:t>
      </w:r>
      <w:r>
        <w:rPr>
          <w:rFonts w:hint="eastAsia" w:ascii="宋体" w:hAnsi="宋体" w:eastAsia="宋体" w:cs="宋体"/>
          <w:sz w:val="28"/>
          <w:szCs w:val="28"/>
          <w:u w:val="single"/>
        </w:rPr>
        <w:t xml:space="preserve"> </w:t>
      </w:r>
      <w:r>
        <w:rPr>
          <w:rFonts w:hint="eastAsia" w:ascii="宋体" w:hAnsi="宋体" w:eastAsia="宋体" w:cs="宋体"/>
          <w:sz w:val="28"/>
          <w:szCs w:val="28"/>
        </w:rPr>
        <w:t>日历天，从甲方书面通知进场施工时间开始计算。因乙方原因推迟的按</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500</w:t>
      </w:r>
      <w:r>
        <w:rPr>
          <w:rFonts w:hint="eastAsia" w:ascii="宋体" w:hAnsi="宋体" w:eastAsia="宋体" w:cs="宋体"/>
          <w:sz w:val="28"/>
          <w:szCs w:val="28"/>
          <w:u w:val="single"/>
        </w:rPr>
        <w:t xml:space="preserve"> </w:t>
      </w:r>
      <w:r>
        <w:rPr>
          <w:rFonts w:hint="eastAsia" w:ascii="宋体" w:hAnsi="宋体" w:eastAsia="宋体" w:cs="宋体"/>
          <w:sz w:val="28"/>
          <w:szCs w:val="28"/>
        </w:rPr>
        <w:t>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二、合同文件构成</w:t>
      </w:r>
    </w:p>
    <w:p>
      <w:pPr>
        <w:spacing w:line="360" w:lineRule="auto"/>
        <w:ind w:firstLine="560" w:firstLineChars="200"/>
        <w:rPr>
          <w:rFonts w:asciiTheme="minorEastAsia" w:hAnsiTheme="minorEastAsia"/>
          <w:bCs/>
          <w:color w:val="000000"/>
          <w:sz w:val="28"/>
          <w:szCs w:val="28"/>
        </w:rPr>
      </w:pPr>
      <w:r>
        <w:rPr>
          <w:rFonts w:asciiTheme="minorEastAsia" w:hAnsiTheme="minorEastAsia"/>
          <w:bCs/>
          <w:color w:val="000000"/>
          <w:sz w:val="28"/>
          <w:szCs w:val="28"/>
        </w:rPr>
        <w:t>本</w:t>
      </w:r>
      <w:r>
        <w:rPr>
          <w:rFonts w:hint="eastAsia" w:asciiTheme="minorEastAsia" w:hAnsiTheme="minorEastAsia"/>
          <w:bCs/>
          <w:color w:val="000000"/>
          <w:sz w:val="28"/>
          <w:szCs w:val="28"/>
        </w:rPr>
        <w:t>合同</w:t>
      </w:r>
      <w:r>
        <w:rPr>
          <w:rFonts w:asciiTheme="minorEastAsia" w:hAnsiTheme="minorEastAsia"/>
          <w:bCs/>
          <w:color w:val="000000"/>
          <w:sz w:val="28"/>
          <w:szCs w:val="28"/>
        </w:rPr>
        <w:t>与下列文件一起构成合同文件：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1</w:t>
      </w:r>
      <w:r>
        <w:rPr>
          <w:rFonts w:hint="eastAsia" w:asciiTheme="minorEastAsia" w:hAnsiTheme="minorEastAsia"/>
          <w:color w:val="000000"/>
          <w:sz w:val="28"/>
          <w:szCs w:val="28"/>
        </w:rPr>
        <w:t>.</w:t>
      </w:r>
      <w:r>
        <w:rPr>
          <w:rFonts w:asciiTheme="minorEastAsia" w:hAnsiTheme="minorEastAsia"/>
          <w:color w:val="000000"/>
          <w:sz w:val="28"/>
          <w:szCs w:val="28"/>
        </w:rPr>
        <w:t>中标通知书（如果有）；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.采购文件</w:t>
      </w:r>
      <w:r>
        <w:rPr>
          <w:rFonts w:asciiTheme="minorEastAsia" w:hAnsiTheme="minorEastAsia"/>
          <w:color w:val="000000"/>
          <w:sz w:val="28"/>
          <w:szCs w:val="28"/>
        </w:rPr>
        <w:t xml:space="preserve">； </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w:t>
      </w:r>
      <w:r>
        <w:rPr>
          <w:rFonts w:asciiTheme="minorEastAsia" w:hAnsiTheme="minorEastAsia"/>
          <w:color w:val="000000"/>
          <w:sz w:val="28"/>
          <w:szCs w:val="28"/>
        </w:rPr>
        <w:t>投标</w:t>
      </w:r>
      <w:r>
        <w:rPr>
          <w:rFonts w:hint="eastAsia" w:asciiTheme="minorEastAsia" w:hAnsiTheme="minorEastAsia"/>
          <w:color w:val="000000"/>
          <w:sz w:val="28"/>
          <w:szCs w:val="28"/>
        </w:rPr>
        <w:t>文件</w:t>
      </w:r>
      <w:r>
        <w:rPr>
          <w:rFonts w:asciiTheme="minorEastAsia" w:hAnsiTheme="minorEastAsia"/>
          <w:color w:val="000000"/>
          <w:sz w:val="28"/>
          <w:szCs w:val="28"/>
        </w:rPr>
        <w:t>（如果有）；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图纸；</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5.</w:t>
      </w:r>
      <w:r>
        <w:rPr>
          <w:rFonts w:asciiTheme="minorEastAsia" w:hAnsiTheme="minorEastAsia"/>
          <w:color w:val="000000"/>
          <w:sz w:val="28"/>
          <w:szCs w:val="28"/>
        </w:rPr>
        <w:t>已标价工程量清单或预算书；</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6.</w:t>
      </w:r>
      <w:r>
        <w:rPr>
          <w:rFonts w:asciiTheme="minorEastAsia" w:hAnsiTheme="minorEastAsia"/>
          <w:color w:val="000000"/>
          <w:sz w:val="28"/>
          <w:szCs w:val="28"/>
        </w:rPr>
        <w:t>其他合同文件。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在合同订立及履行过程中形成的与合同有关的文件均构成合同文件组成部分。</w:t>
      </w:r>
    </w:p>
    <w:p>
      <w:pPr>
        <w:spacing w:line="360" w:lineRule="auto"/>
        <w:ind w:firstLine="560" w:firstLineChars="200"/>
        <w:rPr>
          <w:rFonts w:cs="宋体" w:asciiTheme="minorEastAsia" w:hAnsiTheme="minorEastAsia"/>
          <w:sz w:val="28"/>
          <w:szCs w:val="28"/>
        </w:rPr>
      </w:pPr>
      <w:r>
        <w:rPr>
          <w:rFonts w:asciiTheme="minorEastAsia" w:hAnsiTheme="minorEastAsia"/>
          <w:color w:val="000000"/>
          <w:sz w:val="28"/>
          <w:szCs w:val="28"/>
        </w:rPr>
        <w:t>上述各项合同文件包括合同当事人就该项合同文件所作出的补充和修改，属于同一类内容的文件，应以最新签署的为准。</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三、工程量结算方式和依据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1.本工程的计价依据是中标通知书、招标技术要求（图纸、工程量清单、工程控制价、隐蔽工程验收记录单、变更签证单）及建设单位书面通知等。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2.本合同履约保证金为</w:t>
      </w:r>
      <w:r>
        <w:rPr>
          <w:rFonts w:hint="eastAsia" w:ascii="宋体" w:hAnsi="宋体" w:eastAsia="宋体" w:cs="宋体"/>
          <w:sz w:val="28"/>
          <w:szCs w:val="28"/>
          <w:u w:val="single"/>
        </w:rPr>
        <w:t xml:space="preserve">    </w:t>
      </w:r>
      <w:r>
        <w:rPr>
          <w:rFonts w:hint="eastAsia" w:ascii="宋体" w:hAnsi="宋体" w:eastAsia="宋体" w:cs="宋体"/>
          <w:sz w:val="28"/>
          <w:szCs w:val="28"/>
        </w:rPr>
        <w:t>元。施工结束并经过验收合格后，凭相关凭证（汇款凭证、维修改造工程验收表等）无息退还。</w:t>
      </w:r>
    </w:p>
    <w:p>
      <w:pPr>
        <w:spacing w:line="360" w:lineRule="auto"/>
        <w:ind w:firstLine="560" w:firstLineChars="200"/>
        <w:rPr>
          <w:rFonts w:ascii="宋体" w:hAnsi="宋体"/>
          <w:sz w:val="28"/>
          <w:szCs w:val="21"/>
        </w:rPr>
      </w:pPr>
      <w:r>
        <w:rPr>
          <w:rFonts w:hint="eastAsia" w:ascii="宋体" w:hAnsi="宋体" w:eastAsia="宋体" w:cs="宋体"/>
          <w:sz w:val="28"/>
          <w:szCs w:val="28"/>
        </w:rPr>
        <w:t>3.</w:t>
      </w:r>
      <w:r>
        <w:rPr>
          <w:rFonts w:hint="eastAsia" w:ascii="宋体" w:hAnsi="宋体"/>
          <w:sz w:val="28"/>
          <w:szCs w:val="21"/>
        </w:rPr>
        <w:t>乙方须认真复核工程量清单，如发现工程量清单有漏量、漏项的，应在开工后14日内提出，在规定时间后任何以施工图不详、工程量清单有误等理由提出的索赔要求将不予受理，视为投标报价的优惠，即乙方完全理解并同意</w:t>
      </w:r>
      <w:r>
        <w:rPr>
          <w:rFonts w:hint="eastAsia" w:ascii="宋体" w:hAnsi="宋体"/>
          <w:sz w:val="28"/>
          <w:szCs w:val="28"/>
        </w:rPr>
        <w:t>施工</w:t>
      </w:r>
      <w:r>
        <w:rPr>
          <w:rFonts w:ascii="宋体" w:hAnsi="宋体"/>
          <w:sz w:val="28"/>
          <w:szCs w:val="28"/>
        </w:rPr>
        <w:t>图</w:t>
      </w:r>
      <w:r>
        <w:rPr>
          <w:rFonts w:hint="eastAsia" w:ascii="宋体" w:hAnsi="宋体"/>
          <w:sz w:val="28"/>
          <w:szCs w:val="28"/>
        </w:rPr>
        <w:t>纸</w:t>
      </w:r>
      <w:r>
        <w:rPr>
          <w:rFonts w:ascii="宋体" w:hAnsi="宋体"/>
          <w:sz w:val="28"/>
          <w:szCs w:val="28"/>
        </w:rPr>
        <w:t>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w:t>
      </w:r>
      <w:r>
        <w:rPr>
          <w:rFonts w:hint="eastAsia" w:ascii="宋体" w:hAnsi="宋体"/>
          <w:sz w:val="28"/>
          <w:szCs w:val="21"/>
        </w:rPr>
        <w:t>，施工时须按照</w:t>
      </w:r>
      <w:r>
        <w:rPr>
          <w:rFonts w:hint="eastAsia" w:ascii="宋体" w:hAnsi="宋体"/>
          <w:sz w:val="28"/>
          <w:szCs w:val="28"/>
        </w:rPr>
        <w:t>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（含技术要求）执行，</w:t>
      </w:r>
      <w:r>
        <w:rPr>
          <w:rFonts w:hint="eastAsia" w:ascii="宋体" w:hAnsi="宋体"/>
          <w:sz w:val="28"/>
          <w:szCs w:val="21"/>
        </w:rPr>
        <w:t>施工完成后，必须满足验收规范和使用功能的要求。</w:t>
      </w:r>
    </w:p>
    <w:p>
      <w:pPr>
        <w:spacing w:line="360" w:lineRule="auto"/>
        <w:ind w:firstLine="560" w:firstLineChars="200"/>
        <w:rPr>
          <w:rFonts w:ascii="宋体" w:hAnsi="宋体" w:eastAsia="宋体" w:cs="宋体"/>
          <w:sz w:val="28"/>
          <w:szCs w:val="28"/>
        </w:rPr>
      </w:pPr>
      <w:r>
        <w:rPr>
          <w:rFonts w:hint="eastAsia" w:ascii="宋体" w:hAnsi="宋体"/>
          <w:sz w:val="28"/>
          <w:szCs w:val="28"/>
        </w:rPr>
        <w:t>4.</w:t>
      </w:r>
      <w:r>
        <w:rPr>
          <w:rFonts w:ascii="宋体" w:hAnsi="宋体"/>
          <w:sz w:val="28"/>
          <w:szCs w:val="28"/>
        </w:rPr>
        <w:t>设计变更和</w:t>
      </w:r>
      <w:r>
        <w:rPr>
          <w:rFonts w:hint="eastAsia" w:ascii="宋体" w:hAnsi="宋体"/>
          <w:sz w:val="28"/>
          <w:szCs w:val="28"/>
        </w:rPr>
        <w:t>甲方</w:t>
      </w:r>
      <w:r>
        <w:rPr>
          <w:rFonts w:ascii="宋体" w:hAnsi="宋体"/>
          <w:sz w:val="28"/>
          <w:szCs w:val="28"/>
        </w:rPr>
        <w:t>提出的变更调</w:t>
      </w:r>
      <w:r>
        <w:rPr>
          <w:rFonts w:hint="eastAsia" w:ascii="宋体" w:hAnsi="宋体"/>
          <w:sz w:val="28"/>
          <w:szCs w:val="28"/>
        </w:rPr>
        <w:t>整</w:t>
      </w:r>
      <w:r>
        <w:rPr>
          <w:rFonts w:ascii="宋体" w:hAnsi="宋体"/>
          <w:sz w:val="28"/>
          <w:szCs w:val="28"/>
        </w:rPr>
        <w:t>部分，原则上参照投标文件中单价计算。</w:t>
      </w:r>
      <w:r>
        <w:rPr>
          <w:rFonts w:hint="eastAsia" w:ascii="宋体" w:hAnsi="宋体"/>
          <w:sz w:val="28"/>
          <w:szCs w:val="28"/>
        </w:rPr>
        <w:t>投标文件中没有相同类型的子目，结算时执行</w:t>
      </w:r>
      <w:r>
        <w:rPr>
          <w:rFonts w:hint="eastAsia" w:ascii="宋体" w:hAnsi="宋体"/>
          <w:spacing w:val="20"/>
          <w:sz w:val="28"/>
          <w:szCs w:val="28"/>
        </w:rPr>
        <w:t>2018版《安徽省建设工程工程量清单计价办法》、2018版《安徽省建设工程工程计价定额》及其配套的费用定额、《建设工程工程量清单计价规范》（GB50500-2013）</w:t>
      </w:r>
      <w:r>
        <w:rPr>
          <w:rFonts w:hint="eastAsia" w:ascii="宋体" w:hAnsi="宋体"/>
          <w:sz w:val="28"/>
          <w:szCs w:val="28"/>
        </w:rPr>
        <w:t>，相关优惠率同投标优惠率一致</w:t>
      </w:r>
      <w:r>
        <w:rPr>
          <w:rFonts w:ascii="宋体" w:hAnsi="宋体"/>
          <w:sz w:val="28"/>
          <w:szCs w:val="28"/>
        </w:rPr>
        <w:t>；投标文件中没有的主材参考《芜湖工程造价信息》当月信息价八折计算，信息价中没有的材料结合市场定价</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Times New Roman"/>
          <w:sz w:val="28"/>
          <w:szCs w:val="28"/>
        </w:rPr>
        <w:t>涉及合同价款变动的变更项目必须按《皖南医学院基建、修缮工程变更签证单》逐级签字盖章生效后方可施工，</w:t>
      </w:r>
      <w:r>
        <w:rPr>
          <w:rFonts w:hint="eastAsia" w:ascii="宋体" w:hAnsi="宋体"/>
          <w:sz w:val="28"/>
          <w:szCs w:val="28"/>
        </w:rPr>
        <w:t>否则，视为该项变更不涉及合同价款的变更，若发生费用由乙方自行承担。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5.所有合同款支付，乙方须提供正规发票。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四、付款及审计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1.本工程不支付进度款，工程完工后由甲方组织验收，验收合格后凭乙方提供的发票支付至合同价（不含暂列金额）的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80</w:t>
      </w:r>
      <w:r>
        <w:rPr>
          <w:rFonts w:hint="eastAsia" w:ascii="宋体" w:hAnsi="宋体" w:eastAsia="宋体" w:cs="宋体"/>
          <w:sz w:val="28"/>
          <w:szCs w:val="28"/>
          <w:u w:val="single"/>
        </w:rPr>
        <w:t xml:space="preserve">  </w:t>
      </w:r>
      <w:r>
        <w:rPr>
          <w:rFonts w:hint="eastAsia" w:ascii="宋体" w:hAnsi="宋体" w:eastAsia="宋体" w:cs="宋体"/>
          <w:sz w:val="28"/>
          <w:szCs w:val="28"/>
        </w:rPr>
        <w:t>%；审计完成，乙方先将金额为终审价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 xml:space="preserve"> </w:t>
      </w:r>
      <w:r>
        <w:rPr>
          <w:rFonts w:hint="eastAsia" w:ascii="宋体" w:hAnsi="宋体" w:eastAsia="宋体" w:cs="宋体"/>
          <w:sz w:val="28"/>
          <w:szCs w:val="28"/>
        </w:rPr>
        <w:t>%的质保金汇入甲方账户，甲方凭发票及质保金汇款凭证付至终审价的100%；</w:t>
      </w:r>
      <w:r>
        <w:rPr>
          <w:rFonts w:hint="eastAsia" w:ascii="宋体" w:hAnsi="宋体" w:eastAsia="宋体" w:cs="Times New Roman"/>
          <w:sz w:val="28"/>
          <w:szCs w:val="28"/>
        </w:rPr>
        <w:t>质保期满后无质量问题一次性无息退还质保金。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2.工程结算审核时，凡审增部分及审减率超过10%（不含10%）以上部分的审计服务费由乙方承担，在审核机构审核时直接扣除。费率参照皖价服[2007]86号文件规定的执行。</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五、质量保证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1.乙方必须严格按照施工图纸、工程量清单及有关规范施工，工程质量须达到</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标准，满足国家和地方现行规范要求。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涉及隐蔽工程内容的，乙方应在隐蔽工程覆盖、掩埋或拆除前通知甲方项目负责人会同审计处进行现场勘查、确认，</w:t>
      </w:r>
      <w:r>
        <w:rPr>
          <w:rFonts w:hint="eastAsia" w:ascii="宋体" w:hAnsi="宋体" w:eastAsia="宋体" w:cs="宋体"/>
          <w:sz w:val="28"/>
          <w:szCs w:val="28"/>
        </w:rPr>
        <w:t>并办理《隐蔽工程验收记录单》，未办理的隐蔽工程涉及的工程量不予认定</w:t>
      </w:r>
      <w:r>
        <w:rPr>
          <w:rFonts w:hint="eastAsia" w:ascii="宋体" w:hAnsi="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3.所有材料进场前需报甲方项目负责人确认，材料品牌范围及要求如下（</w:t>
      </w:r>
      <w:r>
        <w:rPr>
          <w:rFonts w:hint="eastAsia" w:ascii="宋体" w:hAnsi="宋体" w:eastAsia="宋体" w:cs="宋体"/>
          <w:sz w:val="28"/>
          <w:szCs w:val="28"/>
          <w:lang w:val="en-US" w:eastAsia="zh-CN"/>
        </w:rPr>
        <w:t>详</w:t>
      </w:r>
      <w:r>
        <w:rPr>
          <w:rFonts w:hint="eastAsia" w:ascii="宋体" w:hAnsi="宋体" w:eastAsia="宋体" w:cs="宋体"/>
          <w:sz w:val="28"/>
          <w:szCs w:val="28"/>
        </w:rPr>
        <w:t>见</w:t>
      </w:r>
      <w:r>
        <w:rPr>
          <w:rFonts w:hint="eastAsia" w:ascii="宋体" w:hAnsi="宋体" w:eastAsia="宋体" w:cs="宋体"/>
          <w:sz w:val="28"/>
          <w:szCs w:val="28"/>
          <w:lang w:val="en-US" w:eastAsia="zh-CN"/>
        </w:rPr>
        <w:t>技术要求</w:t>
      </w:r>
      <w:r>
        <w:rPr>
          <w:rFonts w:hint="eastAsia" w:ascii="宋体" w:hAnsi="宋体" w:eastAsia="宋体" w:cs="宋体"/>
          <w:sz w:val="28"/>
          <w:szCs w:val="28"/>
        </w:rPr>
        <w:t>）。</w:t>
      </w:r>
    </w:p>
    <w:tbl>
      <w:tblPr>
        <w:tblStyle w:val="27"/>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117"/>
        <w:gridCol w:w="1729"/>
        <w:gridCol w:w="23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材料名称</w:t>
            </w:r>
          </w:p>
        </w:tc>
        <w:tc>
          <w:tcPr>
            <w:tcW w:w="1729"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规格型号</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品牌范围</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内外墙及天棚涂料</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底漆、面漆</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多乐士、立邦、嘉宝莉</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电线、电缆</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鑫鸿、江苏上上、金貂</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阻燃强、弱电管</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伟星、华亚、金德</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开关、插座</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正泰、西门子、TCL</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配电箱柜及空气开关、漏电保护开关等全部电器元件</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德力西、正泰、常熟开关</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灯具</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欧普、飞利浦、雷士</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严禁使用旗下品牌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空调器</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left="0" w:leftChars="0"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美的、格力、奥克斯</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PVC卷材地板</w:t>
            </w:r>
          </w:p>
        </w:tc>
        <w:tc>
          <w:tcPr>
            <w:tcW w:w="1729" w:type="dxa"/>
            <w:vAlign w:val="center"/>
          </w:tcPr>
          <w:p>
            <w:pPr>
              <w:keepNext w:val="0"/>
              <w:keepLines w:val="0"/>
              <w:pageBreakBefore w:val="0"/>
              <w:kinsoku/>
              <w:wordWrap/>
              <w:overflowPunct/>
              <w:topLinePunct w:val="0"/>
              <w:autoSpaceDE/>
              <w:autoSpaceDN/>
              <w:bidi w:val="0"/>
              <w:spacing w:line="288" w:lineRule="auto"/>
              <w:ind w:left="0" w:lef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LG、洁福、阿姆斯壮</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给排水管</w:t>
            </w:r>
          </w:p>
        </w:tc>
        <w:tc>
          <w:tcPr>
            <w:tcW w:w="1729" w:type="dxa"/>
            <w:vAlign w:val="center"/>
          </w:tcPr>
          <w:p>
            <w:pPr>
              <w:keepNext w:val="0"/>
              <w:keepLines w:val="0"/>
              <w:pageBreakBefore w:val="0"/>
              <w:kinsoku/>
              <w:wordWrap/>
              <w:overflowPunct/>
              <w:topLinePunct w:val="0"/>
              <w:autoSpaceDE/>
              <w:autoSpaceDN/>
              <w:bidi w:val="0"/>
              <w:spacing w:line="288" w:lineRule="auto"/>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伟星、华亚、金德</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配件与管材同品牌</w:t>
            </w:r>
          </w:p>
        </w:tc>
      </w:tr>
    </w:tbl>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备注：招标文件中规定品牌的材料，必须按招标文件要求采购使用，材料进场时必须报甲方现场负责人签字确认品牌及数量，没有签字确认的材料禁止使用、不支付相应材料的工程款。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4.本工程</w:t>
      </w:r>
      <w:r>
        <w:rPr>
          <w:rFonts w:hint="eastAsia" w:ascii="宋体" w:hAnsi="宋体" w:eastAsia="宋体" w:cs="Times New Roman"/>
          <w:sz w:val="28"/>
          <w:szCs w:val="28"/>
        </w:rPr>
        <w:t>质保期</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12</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个月，质保期自工程竣工验收合格之日起计算。</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六、安全管理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1.乙方必须严格按照《建设工程安全生产管理条例》等法律法规求，安全生产，文明施工。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乙方</w:t>
      </w:r>
      <w:r>
        <w:rPr>
          <w:rFonts w:ascii="宋体" w:hAnsi="宋体"/>
          <w:sz w:val="28"/>
          <w:szCs w:val="28"/>
        </w:rPr>
        <w:t>必须完善自身质量安全管理体系和文明施工措施，杜绝野蛮施工和安全事故发生。若发生质量或安全事故，由</w:t>
      </w:r>
      <w:r>
        <w:rPr>
          <w:rFonts w:hint="eastAsia" w:ascii="宋体" w:hAnsi="宋体"/>
          <w:sz w:val="28"/>
          <w:szCs w:val="28"/>
        </w:rPr>
        <w:t>乙方</w:t>
      </w:r>
      <w:r>
        <w:rPr>
          <w:rFonts w:ascii="宋体" w:hAnsi="宋体"/>
          <w:sz w:val="28"/>
          <w:szCs w:val="28"/>
        </w:rPr>
        <w:t>承担一切</w:t>
      </w:r>
      <w:r>
        <w:rPr>
          <w:rFonts w:hint="eastAsia" w:ascii="宋体" w:hAnsi="宋体"/>
          <w:sz w:val="28"/>
          <w:szCs w:val="28"/>
        </w:rPr>
        <w:t>责任</w:t>
      </w:r>
      <w:r>
        <w:rPr>
          <w:rFonts w:ascii="宋体" w:hAnsi="宋体"/>
          <w:sz w:val="28"/>
          <w:szCs w:val="28"/>
        </w:rPr>
        <w:t>，造成</w:t>
      </w:r>
      <w:r>
        <w:rPr>
          <w:rFonts w:hint="eastAsia" w:ascii="宋体" w:hAnsi="宋体"/>
          <w:sz w:val="28"/>
          <w:szCs w:val="28"/>
        </w:rPr>
        <w:t>甲方</w:t>
      </w:r>
      <w:r>
        <w:rPr>
          <w:rFonts w:ascii="宋体" w:hAnsi="宋体"/>
          <w:sz w:val="28"/>
          <w:szCs w:val="28"/>
        </w:rPr>
        <w:t>损失的按实赔偿，并承担相应法律责任。</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七、现场岗位管理与责任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1.甲方需指派专人和乙方联系，并告知联系人联系方式。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2.甲方有义务协调、配合乙方人员进行现场施工。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3.乙方项目经理或授权委托人</w:t>
      </w:r>
      <w:r>
        <w:rPr>
          <w:rFonts w:hint="eastAsia" w:ascii="宋体" w:hAnsi="宋体" w:eastAsia="宋体" w:cs="宋体"/>
          <w:sz w:val="28"/>
          <w:szCs w:val="28"/>
          <w:u w:val="single"/>
        </w:rPr>
        <w:t xml:space="preserve">    </w:t>
      </w:r>
      <w:r>
        <w:rPr>
          <w:rFonts w:hint="eastAsia" w:ascii="宋体" w:hAnsi="宋体" w:eastAsia="宋体" w:cs="宋体"/>
          <w:sz w:val="28"/>
          <w:szCs w:val="28"/>
        </w:rPr>
        <w:t>为现场负责人（联系方式：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），是甲方认可的现场负责人，该同志必须常驻现场，负责处理乙方施工过程中发生的一切事项；甲方指定后勤管理处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郑逸凡</w:t>
      </w:r>
      <w:r>
        <w:rPr>
          <w:rFonts w:hint="eastAsia" w:ascii="宋体" w:hAnsi="宋体" w:eastAsia="宋体" w:cs="宋体"/>
          <w:sz w:val="28"/>
          <w:szCs w:val="28"/>
          <w:u w:val="single"/>
        </w:rPr>
        <w:t xml:space="preserve">   </w:t>
      </w:r>
      <w:r>
        <w:rPr>
          <w:rFonts w:hint="eastAsia" w:ascii="宋体" w:hAnsi="宋体" w:eastAsia="宋体" w:cs="宋体"/>
          <w:sz w:val="28"/>
          <w:szCs w:val="28"/>
        </w:rPr>
        <w:t>（联系方式：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13965158012</w:t>
      </w:r>
      <w:r>
        <w:rPr>
          <w:rFonts w:hint="eastAsia" w:ascii="宋体" w:hAnsi="宋体" w:eastAsia="宋体" w:cs="宋体"/>
          <w:sz w:val="28"/>
          <w:szCs w:val="28"/>
        </w:rPr>
        <w:t>）为该项目的现场负责人，负责项目管理、结算办理及工程款支付等相关事宜。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5.在施工期间，乙方应每天清理施工现场，垃圾堆放有序并及时（每天）装袋运至校外。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6.施工用水用电装表计量，按照实际用量按实计费后缴纳至学校账户，无计量或没有缴纳水电费的按照工程结算终审价的千分之七在结算审计时予以扣除。</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八、工程验收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1.工程完工后及时报学校组织验收，验收合格后办理工程结算。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验收时乙方须提供详细的资料清单，验收合格后14日内提交两套工程竣工结算资料（结算书、招投标文件、中标通知书、施工合同、隐蔽工程验收记录单、变更签证单、材料品牌确认表、合格证、维修改造工程验收表、竣工图、水电费缴纳收据等），如延期提交，造成的一切后果（含经济损失）均由乙方自行承担，经甲方发函警告后7日内仍未提交的，将其录入学校黑名单库，3年内禁止参加学校任何招投标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5.对于重复出现三次及以上的问题，甲方将发函警告乙方，将其录入学校黑名单库，3年内禁止参加学校任何招投标活动。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九、其他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2.本合同未尽事宜，遵照合同、建筑等法律法规有关条文执行。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3.本协议壹式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捌</w:t>
      </w:r>
      <w:r>
        <w:rPr>
          <w:rFonts w:hint="eastAsia" w:ascii="宋体" w:hAnsi="宋体" w:eastAsia="宋体" w:cs="宋体"/>
          <w:sz w:val="28"/>
          <w:szCs w:val="28"/>
          <w:u w:val="single"/>
        </w:rPr>
        <w:t xml:space="preserve"> </w:t>
      </w:r>
      <w:r>
        <w:rPr>
          <w:rFonts w:hint="eastAsia" w:ascii="宋体" w:hAnsi="宋体" w:eastAsia="宋体" w:cs="宋体"/>
          <w:sz w:val="28"/>
          <w:szCs w:val="28"/>
        </w:rPr>
        <w:t>份，均具有同等法律效力，甲方执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陆</w:t>
      </w:r>
      <w:r>
        <w:rPr>
          <w:rFonts w:hint="eastAsia" w:ascii="宋体" w:hAnsi="宋体" w:eastAsia="宋体" w:cs="宋体"/>
          <w:sz w:val="28"/>
          <w:szCs w:val="28"/>
          <w:u w:val="single"/>
        </w:rPr>
        <w:t xml:space="preserve"> </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贰</w:t>
      </w:r>
      <w:r>
        <w:rPr>
          <w:rFonts w:hint="eastAsia" w:ascii="宋体" w:hAnsi="宋体" w:eastAsia="宋体" w:cs="宋体"/>
          <w:sz w:val="28"/>
          <w:szCs w:val="28"/>
          <w:u w:val="single"/>
        </w:rPr>
        <w:t xml:space="preserve"> </w:t>
      </w:r>
      <w:r>
        <w:rPr>
          <w:rFonts w:hint="eastAsia" w:ascii="宋体" w:hAnsi="宋体" w:eastAsia="宋体" w:cs="宋体"/>
          <w:sz w:val="28"/>
          <w:szCs w:val="28"/>
        </w:rPr>
        <w:t>份，甲、乙双方法定代表人或其委托代理人签字盖章后生效。</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十、合同订立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1.合同订立时间：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2.合同订立地点：皖南医学院滨江校区</w:t>
      </w:r>
    </w:p>
    <w:p>
      <w:pPr>
        <w:spacing w:line="360" w:lineRule="auto"/>
        <w:ind w:firstLine="560" w:firstLineChars="200"/>
        <w:rPr>
          <w:rFonts w:ascii="宋体" w:hAnsi="宋体" w:eastAsia="宋体" w:cs="宋体"/>
          <w:sz w:val="28"/>
          <w:szCs w:val="28"/>
        </w:rPr>
      </w:pPr>
    </w:p>
    <w:tbl>
      <w:tblPr>
        <w:tblStyle w:val="2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4500" w:type="dxa"/>
            <w:vAlign w:val="center"/>
          </w:tcPr>
          <w:p>
            <w:pPr>
              <w:spacing w:line="360" w:lineRule="auto"/>
              <w:rPr>
                <w:rFonts w:ascii="宋体" w:hAnsi="宋体" w:eastAsia="宋体" w:cs="宋体"/>
                <w:spacing w:val="-6"/>
                <w:sz w:val="28"/>
                <w:szCs w:val="28"/>
              </w:rPr>
            </w:pPr>
            <w:r>
              <w:rPr>
                <w:rFonts w:ascii="宋体" w:hAnsi="宋体" w:eastAsia="宋体" w:cs="宋体"/>
                <w:sz w:val="28"/>
                <w:szCs w:val="28"/>
              </w:rPr>
              <w:br w:type="page"/>
            </w:r>
            <w:r>
              <w:rPr>
                <w:rFonts w:hint="eastAsia" w:ascii="宋体" w:hAnsi="宋体" w:eastAsia="宋体" w:cs="宋体"/>
                <w:spacing w:val="-6"/>
                <w:sz w:val="28"/>
                <w:szCs w:val="28"/>
              </w:rPr>
              <w:t>甲方：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乙方：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地址：芜湖市弋江区文昌西路22号</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邮编：241002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电话：0553-3932598</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w:t>
            </w:r>
            <w:r>
              <w:rPr>
                <w:rFonts w:hint="eastAsia" w:ascii="宋体" w:hAnsi="宋体" w:eastAsia="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开户银行：中国建设银行芜湖市分行中山路支行</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帐号：34001672208050139762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w:t>
            </w:r>
          </w:p>
        </w:tc>
      </w:tr>
    </w:tbl>
    <w:p>
      <w:pPr>
        <w:spacing w:line="360" w:lineRule="auto"/>
        <w:rPr>
          <w:rFonts w:ascii="宋体" w:hAnsi="宋体" w:eastAsia="宋体" w:cs="Times New Roman"/>
          <w:sz w:val="28"/>
          <w:szCs w:val="28"/>
        </w:rPr>
      </w:pPr>
    </w:p>
    <w:p>
      <w:pPr>
        <w:rPr>
          <w:rFonts w:hint="eastAsia"/>
        </w:rPr>
      </w:pPr>
      <w:r>
        <w:rPr>
          <w:rFonts w:hint="eastAsia"/>
        </w:rPr>
        <w:br w:type="page"/>
      </w:r>
    </w:p>
    <w:p>
      <w:pPr>
        <w:pStyle w:val="5"/>
        <w:rPr>
          <w:rFonts w:hint="eastAsia"/>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keepNext w:val="0"/>
        <w:keepLines w:val="0"/>
        <w:pageBreakBefore w:val="0"/>
        <w:widowControl w:val="0"/>
        <w:kinsoku/>
        <w:wordWrap/>
        <w:overflowPunct/>
        <w:topLinePunct w:val="0"/>
        <w:autoSpaceDE/>
        <w:autoSpaceDN/>
        <w:bidi w:val="0"/>
        <w:spacing w:line="520" w:lineRule="exact"/>
        <w:ind w:right="0" w:firstLine="560"/>
        <w:textAlignment w:val="auto"/>
        <w:rPr>
          <w:rFonts w:hint="eastAsia" w:ascii="仿宋_GB2312" w:hAnsi="仿宋_GB2312" w:eastAsia="仿宋_GB2312" w:cs="仿宋_GB2312"/>
          <w:sz w:val="28"/>
          <w:szCs w:val="28"/>
          <w:lang w:eastAsia="zh-CN"/>
        </w:rPr>
      </w:pPr>
      <w:bookmarkStart w:id="109" w:name="_Toc49763004"/>
      <w:r>
        <w:rPr>
          <w:rFonts w:hint="eastAsia" w:ascii="仿宋_GB2312" w:hAnsi="仿宋_GB2312" w:eastAsia="仿宋_GB2312" w:cs="仿宋_GB2312"/>
          <w:sz w:val="28"/>
          <w:szCs w:val="28"/>
        </w:rPr>
        <w:t>我校</w:t>
      </w:r>
      <w:r>
        <w:rPr>
          <w:rFonts w:hint="eastAsia" w:ascii="仿宋_GB2312" w:hAnsi="仿宋_GB2312" w:eastAsia="仿宋_GB2312" w:cs="仿宋_GB2312"/>
          <w:sz w:val="28"/>
          <w:szCs w:val="28"/>
          <w:lang w:eastAsia="zh-CN"/>
        </w:rPr>
        <w:t>基础医学院1号实验楼4层实验室改造工程，</w:t>
      </w:r>
      <w:r>
        <w:rPr>
          <w:rFonts w:hint="eastAsia" w:ascii="仿宋_GB2312" w:hAnsi="仿宋_GB2312" w:eastAsia="仿宋_GB2312" w:cs="仿宋_GB2312"/>
          <w:sz w:val="28"/>
          <w:szCs w:val="28"/>
          <w:lang w:val="en-US" w:eastAsia="zh-CN"/>
        </w:rPr>
        <w:t>施工地点位于我校滨江校区东南角1号实验楼4层。</w:t>
      </w:r>
      <w:r>
        <w:rPr>
          <w:rFonts w:hint="eastAsia" w:ascii="仿宋_GB2312" w:hAnsi="仿宋_GB2312" w:eastAsia="仿宋_GB2312" w:cs="仿宋_GB2312"/>
          <w:sz w:val="28"/>
          <w:szCs w:val="28"/>
          <w:lang w:eastAsia="zh-CN"/>
        </w:rPr>
        <w:t>具体</w:t>
      </w:r>
      <w:r>
        <w:rPr>
          <w:rFonts w:hint="eastAsia" w:ascii="仿宋_GB2312" w:hAnsi="仿宋_GB2312" w:eastAsia="仿宋_GB2312" w:cs="仿宋_GB2312"/>
          <w:sz w:val="28"/>
          <w:szCs w:val="28"/>
          <w:lang w:val="en-US" w:eastAsia="zh-CN"/>
        </w:rPr>
        <w:t>内容</w:t>
      </w:r>
      <w:r>
        <w:rPr>
          <w:rFonts w:hint="eastAsia" w:ascii="仿宋_GB2312" w:hAnsi="仿宋_GB2312" w:eastAsia="仿宋_GB2312" w:cs="仿宋_GB2312"/>
          <w:sz w:val="28"/>
          <w:szCs w:val="28"/>
          <w:lang w:eastAsia="zh-CN"/>
        </w:rPr>
        <w:t>详见</w:t>
      </w:r>
      <w:r>
        <w:rPr>
          <w:rFonts w:hint="eastAsia" w:ascii="仿宋_GB2312" w:hAnsi="仿宋_GB2312" w:eastAsia="仿宋_GB2312" w:cs="仿宋_GB2312"/>
          <w:sz w:val="28"/>
          <w:szCs w:val="28"/>
          <w:lang w:val="en-US" w:eastAsia="zh-CN"/>
        </w:rPr>
        <w:t>图纸、</w:t>
      </w:r>
      <w:r>
        <w:rPr>
          <w:rFonts w:hint="eastAsia" w:ascii="仿宋_GB2312" w:hAnsi="仿宋_GB2312" w:eastAsia="仿宋_GB2312" w:cs="仿宋_GB2312"/>
          <w:sz w:val="28"/>
          <w:szCs w:val="28"/>
          <w:lang w:eastAsia="zh-CN"/>
        </w:rPr>
        <w:t>工作量清单和招标</w:t>
      </w:r>
      <w:r>
        <w:rPr>
          <w:rFonts w:hint="eastAsia" w:ascii="仿宋_GB2312" w:hAnsi="仿宋_GB2312" w:eastAsia="仿宋_GB2312" w:cs="仿宋_GB2312"/>
          <w:sz w:val="28"/>
          <w:szCs w:val="28"/>
          <w:lang w:val="en-US" w:eastAsia="zh-CN"/>
        </w:rPr>
        <w:t>公告</w:t>
      </w:r>
      <w:r>
        <w:rPr>
          <w:rFonts w:hint="eastAsia" w:ascii="仿宋_GB2312" w:hAnsi="仿宋_GB2312" w:eastAsia="仿宋_GB2312" w:cs="仿宋_GB2312"/>
          <w:sz w:val="28"/>
          <w:szCs w:val="28"/>
          <w:lang w:eastAsia="zh-CN"/>
        </w:rPr>
        <w:t>等。</w:t>
      </w:r>
    </w:p>
    <w:p>
      <w:pPr>
        <w:keepNext w:val="0"/>
        <w:keepLines w:val="0"/>
        <w:pageBreakBefore w:val="0"/>
        <w:widowControl w:val="0"/>
        <w:numPr>
          <w:ilvl w:val="0"/>
          <w:numId w:val="3"/>
        </w:numPr>
        <w:kinsoku/>
        <w:wordWrap/>
        <w:overflowPunct/>
        <w:topLinePunct w:val="0"/>
        <w:autoSpaceDE/>
        <w:autoSpaceDN/>
        <w:bidi w:val="0"/>
        <w:spacing w:line="520" w:lineRule="exact"/>
        <w:ind w:right="0" w:firstLine="56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皖南医学院滨江校区基础医学院1号实验楼4层实验室改造工程</w:t>
      </w:r>
    </w:p>
    <w:p>
      <w:pPr>
        <w:keepNext w:val="0"/>
        <w:keepLines w:val="0"/>
        <w:pageBreakBefore w:val="0"/>
        <w:widowControl w:val="0"/>
        <w:numPr>
          <w:ilvl w:val="0"/>
          <w:numId w:val="0"/>
        </w:numPr>
        <w:tabs>
          <w:tab w:val="left" w:pos="567"/>
        </w:tabs>
        <w:kinsoku/>
        <w:wordWrap/>
        <w:overflowPunct/>
        <w:topLinePunct w:val="0"/>
        <w:autoSpaceDE/>
        <w:autoSpaceDN/>
        <w:bidi w:val="0"/>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二、注意事项</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须认真复核工程量清单，如发现工程量清单有漏量、漏项的，应在开工后14日内提出，在规定时间后任何以施工图不详、工程量清单有误等理由提出的索赔要求将不予受理，视为投标报价的优惠，即乙方完全理解并同意施工图纸及工程量清单（含技术要求），施工时须按照施工图纸及工程量清单（含技术要求）执行，施工完成后，必须满足验收规范和使用功能的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2.施工严格按照发包人提供的图纸进行，如有不确定尺寸、颜色、清单未明确制作工艺等情况要及时与后勤管理处及使用部门联系，得到后勤管理处工程项目负责人确认后方可施工。</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工程总报价含材料费（主材和辅材）、劳务费、搬运费（二次搬运及垂直运输费）、施工机械费、施工费或安装费、技术服务和售后服务费、综合管理费、检测检验、空调器室内外所有管道及附件、通风机安装全部所需附件、利润和税金等一切费用,且保证空调、通风机等设备正常使用。</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4.本工程工期为30个日历天（含法定节假日），从甲方书面通知进场施工时间开始计算。因乙方原因推迟的按 500 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承包人必须完善自身质量安全管理体系和文明施工措施，杜绝野蛮施工和安全事故发生。承包人若发生质量或安全事故，均由承包人自行承担一切后果，造成发包人损失的按实赔偿，并承担相应法律责任。禁止高空抛物。在施工过程中须对现场环境进行保护，如对墙面、地面及其他设施等造成破坏须原样修复或照价赔偿。</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6.工程施工中，垃圾须运输至校方指定地点临时覆盖堆放并按时清运出校外，运输需要符合环保、市政要求；完工后，保洁维修改造全部地点，清洁地面、墙面、门窗及玻璃上的油漆和灰尘，垃圾装袋并外运。</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7.本工程不支付进度款，工程完工后由甲方组织验收，验收合格后凭乙方提供的发票支付至合同价（不含暂列金额）的 70  %；审计完成，乙方先将金额为终审价 3 %的质保金汇入甲方账户，甲方凭发票及质保金汇款凭证付至终审价的100%；质保期满后无质量问题一次性无息退还质保金。</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工程质保期内出现质量问题，及时修复，修复完成后，后勤管理处会同使用部门再次进行验收，验收合格后，质保期顺延一年；一年内无质量问题后退还质保金，如再次出现问题，处理方式同前。</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对于重复出现三次及以上的问题，甲方将发函警告乙方，将其录入学校黑名单库，3年内禁止参加学校任何招投标活动。</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承包人在验收合格后两周内提交竣工资料贰份(项目决算、水电等图纸、改造竣工平面图、产品使用清单和说明、设备合格证、合格的检测报告等所有竣工资料),逾期造成的经济损失和其他一切后果均有承包单位自行承担。</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9.工程主要材料规定品牌如下</w:t>
      </w:r>
    </w:p>
    <w:tbl>
      <w:tblPr>
        <w:tblStyle w:val="27"/>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117"/>
        <w:gridCol w:w="1729"/>
        <w:gridCol w:w="23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材料名称</w:t>
            </w:r>
          </w:p>
        </w:tc>
        <w:tc>
          <w:tcPr>
            <w:tcW w:w="1729"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规格型号</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品牌范围</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内外墙及天棚涂料</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底漆、面漆</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多乐士、立邦、嘉宝莉</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电线、电缆</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鑫鸿、江苏上上、金貂</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阻燃强、弱电管</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伟星、华亚、金德</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开关、插座</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正泰、西门子、TCL</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配电箱柜及空气开关、漏电保护开关等全部电器元件</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德力西、正泰、常熟开关</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灯具</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欧普、飞利浦、雷士</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严禁使用旗下品牌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空调器</w:t>
            </w:r>
          </w:p>
        </w:tc>
        <w:tc>
          <w:tcPr>
            <w:tcW w:w="1729" w:type="dxa"/>
            <w:vAlign w:val="center"/>
          </w:tcPr>
          <w:p>
            <w:pPr>
              <w:keepNext w:val="0"/>
              <w:keepLines w:val="0"/>
              <w:pageBreakBefore w:val="0"/>
              <w:widowControl w:val="0"/>
              <w:kinsoku/>
              <w:wordWrap/>
              <w:overflowPunct/>
              <w:topLinePunct w:val="0"/>
              <w:autoSpaceDE/>
              <w:autoSpaceDN/>
              <w:bidi w:val="0"/>
              <w:spacing w:line="520" w:lineRule="exact"/>
              <w:ind w:left="0" w:leftChars="0" w:right="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美的、格力、奥克斯</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PVC卷材地板</w:t>
            </w:r>
          </w:p>
        </w:tc>
        <w:tc>
          <w:tcPr>
            <w:tcW w:w="1729" w:type="dxa"/>
            <w:vAlign w:val="center"/>
          </w:tcPr>
          <w:p>
            <w:pPr>
              <w:keepNext w:val="0"/>
              <w:keepLines w:val="0"/>
              <w:pageBreakBefore w:val="0"/>
              <w:kinsoku/>
              <w:wordWrap/>
              <w:overflowPunct/>
              <w:topLinePunct w:val="0"/>
              <w:autoSpaceDE/>
              <w:autoSpaceDN/>
              <w:bidi w:val="0"/>
              <w:spacing w:line="288" w:lineRule="auto"/>
              <w:ind w:left="0" w:lef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LG、洁福、阿姆斯壮</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61"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117"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给排水管</w:t>
            </w:r>
          </w:p>
        </w:tc>
        <w:tc>
          <w:tcPr>
            <w:tcW w:w="1729" w:type="dxa"/>
            <w:vAlign w:val="center"/>
          </w:tcPr>
          <w:p>
            <w:pPr>
              <w:keepNext w:val="0"/>
              <w:keepLines w:val="0"/>
              <w:pageBreakBefore w:val="0"/>
              <w:kinsoku/>
              <w:wordWrap/>
              <w:overflowPunct/>
              <w:topLinePunct w:val="0"/>
              <w:autoSpaceDE/>
              <w:autoSpaceDN/>
              <w:bidi w:val="0"/>
              <w:spacing w:line="288" w:lineRule="auto"/>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满足图纸设计要求</w:t>
            </w:r>
          </w:p>
        </w:tc>
        <w:tc>
          <w:tcPr>
            <w:tcW w:w="23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伟星、华亚、金德</w:t>
            </w:r>
          </w:p>
        </w:tc>
        <w:tc>
          <w:tcPr>
            <w:tcW w:w="1862" w:type="dxa"/>
            <w:vAlign w:val="center"/>
          </w:tcPr>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配件与管材同品牌</w:t>
            </w:r>
          </w:p>
        </w:tc>
      </w:tr>
    </w:tbl>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承包人采购的所有设备、材料进场时均要有合格证、检测报告等，证明该产品符合校方要求；水电材料需要提供3C认证，并符合国家规范要求；必须由建设单位项目负责人签字确认后方可进场安装，否则不支付材料款；发包人保留在承包人进场后施工期间，对承包人进场使用的任何材料因不满足工程质量和功能使用要求，而要求承包人即行调换的权利。</w:t>
      </w:r>
    </w:p>
    <w:p>
      <w:pPr>
        <w:keepNext w:val="0"/>
        <w:keepLines w:val="0"/>
        <w:pageBreakBefore w:val="0"/>
        <w:widowControl w:val="0"/>
        <w:numPr>
          <w:ilvl w:val="0"/>
          <w:numId w:val="4"/>
        </w:numPr>
        <w:tabs>
          <w:tab w:val="left" w:pos="567"/>
          <w:tab w:val="clear" w:pos="312"/>
        </w:tabs>
        <w:kinsoku/>
        <w:wordWrap/>
        <w:overflowPunct/>
        <w:topLinePunct w:val="0"/>
        <w:autoSpaceDE/>
        <w:autoSpaceDN/>
        <w:bidi w:val="0"/>
        <w:adjustRightInd/>
        <w:snapToGrid/>
        <w:spacing w:line="520" w:lineRule="exact"/>
        <w:ind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如图纸、清单与本技术要求有矛盾之处，以后勤管理处书面解释为准。</w:t>
      </w:r>
    </w:p>
    <w:p>
      <w:pPr>
        <w:pStyle w:val="6"/>
        <w:snapToGrid w:val="0"/>
        <w:spacing w:before="0" w:after="0"/>
        <w:ind w:left="0" w:leftChars="0" w:firstLine="0" w:firstLineChars="0"/>
        <w:jc w:val="center"/>
        <w:rPr>
          <w:rFonts w:ascii="楷体" w:hAnsi="楷体" w:eastAsia="楷体"/>
          <w:szCs w:val="28"/>
        </w:rPr>
      </w:pPr>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pStyle w:val="45"/>
        <w:spacing w:line="600" w:lineRule="exact"/>
        <w:rPr>
          <w:rFonts w:ascii="Calibri" w:hAnsi="Calibri" w:eastAsia="宋体" w:cs="Times New Roman"/>
          <w:kern w:val="2"/>
          <w:sz w:val="28"/>
          <w:szCs w:val="28"/>
        </w:rPr>
      </w:pPr>
      <w:bookmarkStart w:id="110" w:name="_Toc49763005"/>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本次评标采用综合评分法，总分为100分，其中报价得分</w:t>
      </w:r>
      <w:r>
        <w:rPr>
          <w:rFonts w:hint="eastAsia" w:ascii="楷体" w:hAnsi="楷体" w:eastAsia="楷体" w:cs="Times New Roman"/>
          <w:spacing w:val="0"/>
          <w:sz w:val="28"/>
          <w:szCs w:val="28"/>
          <w:lang w:val="en-US" w:eastAsia="zh-CN"/>
        </w:rPr>
        <w:t>6</w:t>
      </w:r>
      <w:r>
        <w:rPr>
          <w:rFonts w:hint="eastAsia" w:ascii="楷体" w:hAnsi="楷体" w:eastAsia="楷体" w:cs="Times New Roman"/>
          <w:spacing w:val="0"/>
          <w:sz w:val="28"/>
          <w:szCs w:val="28"/>
          <w:lang w:eastAsia="zh-CN"/>
        </w:rPr>
        <w:t>0</w:t>
      </w:r>
      <w:r>
        <w:rPr>
          <w:rFonts w:hint="eastAsia" w:ascii="楷体" w:hAnsi="楷体" w:eastAsia="楷体" w:cs="Times New Roman"/>
          <w:spacing w:val="0"/>
          <w:sz w:val="28"/>
          <w:szCs w:val="28"/>
        </w:rPr>
        <w:t>分、技术得分</w:t>
      </w:r>
      <w:r>
        <w:rPr>
          <w:rFonts w:hint="eastAsia" w:ascii="楷体" w:hAnsi="楷体" w:eastAsia="楷体"/>
          <w:spacing w:val="0"/>
          <w:sz w:val="28"/>
          <w:szCs w:val="28"/>
          <w:lang w:eastAsia="zh-CN"/>
        </w:rPr>
        <w:t>40</w:t>
      </w:r>
      <w:r>
        <w:rPr>
          <w:rFonts w:hint="eastAsia" w:ascii="楷体" w:hAnsi="楷体" w:eastAsia="楷体" w:cs="Times New Roman"/>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w:t>
      </w:r>
      <w:r>
        <w:rPr>
          <w:rFonts w:hint="eastAsia" w:ascii="楷体" w:hAnsi="楷体" w:eastAsia="楷体"/>
          <w:spacing w:val="0"/>
          <w:sz w:val="28"/>
          <w:szCs w:val="28"/>
        </w:rPr>
        <w:t>投标文件</w:t>
      </w:r>
      <w:r>
        <w:rPr>
          <w:rFonts w:hint="eastAsia" w:ascii="楷体" w:hAnsi="楷体" w:eastAsia="楷体" w:cs="Times New Roman"/>
          <w:spacing w:val="0"/>
          <w:sz w:val="28"/>
          <w:szCs w:val="28"/>
        </w:rPr>
        <w:t>不参与各项评分。</w:t>
      </w:r>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投标人评标综合得分=报价得分+技术得分</w:t>
      </w:r>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spacing w:val="0"/>
          <w:sz w:val="28"/>
          <w:szCs w:val="28"/>
        </w:rPr>
        <w:t>二）</w:t>
      </w:r>
      <w:r>
        <w:rPr>
          <w:rFonts w:hint="eastAsia" w:ascii="楷体" w:hAnsi="楷体" w:eastAsia="楷体" w:cs="Times New Roman"/>
          <w:spacing w:val="0"/>
          <w:sz w:val="28"/>
          <w:szCs w:val="28"/>
        </w:rPr>
        <w:t>评标内容及标准</w:t>
      </w:r>
    </w:p>
    <w:p>
      <w:pPr>
        <w:pStyle w:val="3"/>
        <w:adjustRightInd w:val="0"/>
        <w:snapToGrid w:val="0"/>
        <w:spacing w:line="460" w:lineRule="exact"/>
        <w:ind w:firstLine="560"/>
        <w:rPr>
          <w:rFonts w:ascii="楷体" w:hAnsi="楷体" w:eastAsia="楷体" w:cs="Times New Roman"/>
          <w:b/>
          <w:bCs/>
          <w:spacing w:val="0"/>
          <w:sz w:val="28"/>
          <w:szCs w:val="28"/>
        </w:rPr>
      </w:pPr>
      <w:r>
        <w:rPr>
          <w:rFonts w:hint="eastAsia" w:ascii="楷体" w:hAnsi="楷体" w:eastAsia="楷体" w:cs="Times New Roman"/>
          <w:b/>
          <w:bCs/>
          <w:spacing w:val="0"/>
          <w:sz w:val="28"/>
          <w:szCs w:val="28"/>
        </w:rPr>
        <w:t>1、报价得分占总分6</w:t>
      </w:r>
      <w:r>
        <w:rPr>
          <w:rFonts w:hint="eastAsia" w:ascii="楷体" w:hAnsi="楷体" w:eastAsia="楷体" w:cs="Times New Roman"/>
          <w:b/>
          <w:bCs/>
          <w:spacing w:val="0"/>
          <w:sz w:val="28"/>
          <w:szCs w:val="28"/>
          <w:lang w:val="en-US" w:eastAsia="zh-CN"/>
        </w:rPr>
        <w:t>0</w:t>
      </w:r>
      <w:r>
        <w:rPr>
          <w:rFonts w:hint="eastAsia" w:ascii="楷体" w:hAnsi="楷体" w:eastAsia="楷体" w:cs="Times New Roman"/>
          <w:b/>
          <w:bCs/>
          <w:spacing w:val="0"/>
          <w:sz w:val="28"/>
          <w:szCs w:val="28"/>
        </w:rPr>
        <w:t>%,分值为</w:t>
      </w:r>
      <w:r>
        <w:rPr>
          <w:rFonts w:hint="eastAsia" w:ascii="楷体" w:hAnsi="楷体" w:eastAsia="楷体"/>
          <w:b/>
          <w:bCs/>
          <w:spacing w:val="0"/>
          <w:sz w:val="28"/>
          <w:szCs w:val="28"/>
        </w:rPr>
        <w:t>6</w:t>
      </w:r>
      <w:r>
        <w:rPr>
          <w:rFonts w:hint="eastAsia" w:ascii="楷体" w:hAnsi="楷体" w:eastAsia="楷体"/>
          <w:b/>
          <w:bCs/>
          <w:spacing w:val="0"/>
          <w:sz w:val="28"/>
          <w:szCs w:val="28"/>
          <w:lang w:val="en-US" w:eastAsia="zh-CN"/>
        </w:rPr>
        <w:t>0</w:t>
      </w:r>
      <w:r>
        <w:rPr>
          <w:rFonts w:hint="eastAsia" w:ascii="楷体" w:hAnsi="楷体" w:eastAsia="楷体" w:cs="Times New Roman"/>
          <w:b/>
          <w:bCs/>
          <w:spacing w:val="0"/>
          <w:sz w:val="28"/>
          <w:szCs w:val="28"/>
        </w:rPr>
        <w:t>分。</w:t>
      </w:r>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有效投标单位为在10家以内（含）的，各投标单位报价平均值作为基准分；超过10家的，去掉</w:t>
      </w:r>
      <w:r>
        <w:rPr>
          <w:rFonts w:hint="eastAsia" w:ascii="楷体" w:hAnsi="楷体" w:eastAsia="楷体"/>
          <w:spacing w:val="0"/>
          <w:sz w:val="28"/>
          <w:szCs w:val="28"/>
        </w:rPr>
        <w:t>二</w:t>
      </w:r>
      <w:r>
        <w:rPr>
          <w:rFonts w:hint="eastAsia" w:ascii="楷体" w:hAnsi="楷体" w:eastAsia="楷体" w:cs="Times New Roman"/>
          <w:spacing w:val="0"/>
          <w:sz w:val="28"/>
          <w:szCs w:val="28"/>
        </w:rPr>
        <w:t>个最高报价和二个最低报价，其余各投标单位报价平均值作为基准分（</w:t>
      </w:r>
      <w:r>
        <w:rPr>
          <w:rFonts w:hint="eastAsia" w:ascii="楷体" w:hAnsi="楷体" w:eastAsia="楷体"/>
          <w:spacing w:val="0"/>
          <w:sz w:val="28"/>
          <w:szCs w:val="28"/>
          <w:lang w:eastAsia="zh-CN"/>
        </w:rPr>
        <w:t>60</w:t>
      </w:r>
      <w:r>
        <w:rPr>
          <w:rFonts w:hint="eastAsia" w:ascii="楷体" w:hAnsi="楷体" w:eastAsia="楷体" w:cs="Times New Roman"/>
          <w:spacing w:val="0"/>
          <w:sz w:val="28"/>
          <w:szCs w:val="28"/>
        </w:rPr>
        <w:t>分）：</w:t>
      </w:r>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报价得分＝基准分－|(投标人报价－平均报价）／平均报价|X 100 X B ;（报价得分保留2位小数）</w:t>
      </w:r>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B取值方式为：</w:t>
      </w:r>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1）当投标人报价高于平均报价时，B取值为1.0；</w:t>
      </w:r>
    </w:p>
    <w:p>
      <w:pPr>
        <w:pStyle w:val="3"/>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2）当投标人报价低于平均报价时，B取值为0.5。</w:t>
      </w:r>
    </w:p>
    <w:p>
      <w:pPr>
        <w:pStyle w:val="3"/>
        <w:adjustRightInd w:val="0"/>
        <w:snapToGrid w:val="0"/>
        <w:spacing w:line="460" w:lineRule="exact"/>
        <w:ind w:firstLine="560"/>
        <w:rPr>
          <w:rFonts w:ascii="楷体" w:hAnsi="楷体" w:eastAsia="楷体" w:cs="Times New Roman"/>
          <w:b/>
          <w:bCs/>
          <w:spacing w:val="0"/>
          <w:sz w:val="28"/>
          <w:szCs w:val="28"/>
        </w:rPr>
      </w:pPr>
      <w:r>
        <w:rPr>
          <w:rFonts w:hint="eastAsia" w:ascii="楷体" w:hAnsi="楷体" w:eastAsia="楷体" w:cs="Times New Roman"/>
          <w:b/>
          <w:bCs/>
          <w:spacing w:val="0"/>
          <w:sz w:val="28"/>
          <w:szCs w:val="28"/>
        </w:rPr>
        <w:t>2、技术得分</w:t>
      </w:r>
      <w:r>
        <w:rPr>
          <w:rFonts w:hint="eastAsia" w:ascii="楷体" w:hAnsi="楷体" w:eastAsia="楷体"/>
          <w:b/>
          <w:bCs/>
          <w:spacing w:val="0"/>
          <w:sz w:val="28"/>
          <w:szCs w:val="28"/>
          <w:lang w:eastAsia="zh-CN"/>
        </w:rPr>
        <w:t>40</w:t>
      </w:r>
      <w:r>
        <w:rPr>
          <w:rFonts w:hint="eastAsia" w:ascii="楷体" w:hAnsi="楷体" w:eastAsia="楷体" w:cs="Times New Roman"/>
          <w:b/>
          <w:bCs/>
          <w:spacing w:val="0"/>
          <w:sz w:val="28"/>
          <w:szCs w:val="28"/>
        </w:rPr>
        <w:t>分</w:t>
      </w:r>
    </w:p>
    <w:tbl>
      <w:tblPr>
        <w:tblStyle w:val="26"/>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932"/>
        <w:gridCol w:w="851"/>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序号</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560"/>
              <w:jc w:val="left"/>
              <w:rPr>
                <w:rFonts w:ascii="楷体" w:hAnsi="楷体" w:eastAsia="楷体" w:cs="Times New Roman"/>
                <w:sz w:val="28"/>
                <w:szCs w:val="28"/>
              </w:rPr>
            </w:pPr>
            <w:r>
              <w:rPr>
                <w:rFonts w:hint="eastAsia" w:ascii="楷体" w:hAnsi="楷体" w:eastAsia="楷体" w:cs="Times New Roman"/>
                <w:sz w:val="28"/>
                <w:szCs w:val="28"/>
              </w:rPr>
              <w:t>评审内容</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分值</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560"/>
              <w:jc w:val="left"/>
              <w:rPr>
                <w:rFonts w:ascii="楷体" w:hAnsi="楷体" w:eastAsia="楷体" w:cs="Times New Roman"/>
                <w:sz w:val="28"/>
                <w:szCs w:val="28"/>
              </w:rPr>
            </w:pPr>
            <w:r>
              <w:rPr>
                <w:rFonts w:hint="eastAsia" w:ascii="楷体" w:hAnsi="楷体" w:eastAsia="楷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1</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施工组织机构和人员组成</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hint="eastAsia" w:ascii="楷体" w:hAnsi="楷体" w:eastAsia="楷体" w:cs="Times New Roman"/>
                <w:sz w:val="28"/>
                <w:szCs w:val="28"/>
                <w:lang w:eastAsia="zh-CN"/>
              </w:rPr>
            </w:pPr>
            <w:r>
              <w:rPr>
                <w:rFonts w:hint="eastAsia" w:ascii="楷体" w:hAnsi="楷体" w:eastAsia="楷体"/>
                <w:sz w:val="28"/>
                <w:szCs w:val="28"/>
                <w:lang w:val="en-US" w:eastAsia="zh-CN"/>
              </w:rPr>
              <w:t>4</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组织机构齐全，人员配备合理得</w:t>
            </w:r>
            <w:r>
              <w:rPr>
                <w:rFonts w:hint="eastAsia" w:ascii="楷体" w:hAnsi="楷体" w:eastAsia="楷体"/>
                <w:sz w:val="28"/>
                <w:szCs w:val="28"/>
                <w:lang w:val="en-US" w:eastAsia="zh-CN"/>
              </w:rPr>
              <w:t>4</w:t>
            </w:r>
            <w:r>
              <w:rPr>
                <w:rFonts w:hint="eastAsia" w:ascii="楷体" w:hAnsi="楷体" w:eastAsia="楷体" w:cs="Times New Roman"/>
                <w:sz w:val="28"/>
                <w:szCs w:val="28"/>
              </w:rPr>
              <w:t>分，有缺陷的酌情减分。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2</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施工进度计划</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hint="eastAsia" w:ascii="楷体" w:hAnsi="楷体" w:eastAsia="楷体" w:cs="Times New Roman"/>
                <w:sz w:val="28"/>
                <w:szCs w:val="28"/>
                <w:lang w:eastAsia="zh-CN"/>
              </w:rPr>
            </w:pPr>
            <w:r>
              <w:rPr>
                <w:rFonts w:hint="eastAsia" w:ascii="楷体" w:hAnsi="楷体" w:eastAsia="楷体"/>
                <w:sz w:val="28"/>
                <w:szCs w:val="28"/>
                <w:lang w:val="en-US" w:eastAsia="zh-CN"/>
              </w:rPr>
              <w:t>6</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总施工工期目标明确，关键节点明确，各分项工程施工顺序安排恰当、工序衔接合理，进度计划安排科学，</w:t>
            </w:r>
            <w:r>
              <w:rPr>
                <w:rFonts w:hint="eastAsia" w:ascii="楷体" w:hAnsi="楷体" w:eastAsia="楷体" w:cs="Times New Roman"/>
                <w:sz w:val="28"/>
                <w:szCs w:val="28"/>
                <w:lang w:val="en-US" w:eastAsia="zh-CN"/>
              </w:rPr>
              <w:t>能提供分步骤施工进度计划的，</w:t>
            </w:r>
            <w:r>
              <w:rPr>
                <w:rFonts w:hint="eastAsia" w:ascii="楷体" w:hAnsi="楷体" w:eastAsia="楷体" w:cs="Times New Roman"/>
                <w:sz w:val="28"/>
                <w:szCs w:val="28"/>
              </w:rPr>
              <w:t>得</w:t>
            </w:r>
            <w:r>
              <w:rPr>
                <w:rFonts w:hint="eastAsia" w:ascii="楷体" w:hAnsi="楷体" w:eastAsia="楷体" w:cs="Times New Roman"/>
                <w:sz w:val="28"/>
                <w:szCs w:val="28"/>
                <w:lang w:val="en-US" w:eastAsia="zh-CN"/>
              </w:rPr>
              <w:t>6</w:t>
            </w:r>
            <w:r>
              <w:rPr>
                <w:rFonts w:hint="eastAsia" w:ascii="楷体" w:hAnsi="楷体" w:eastAsia="楷体" w:cs="Times New Roman"/>
                <w:sz w:val="28"/>
                <w:szCs w:val="28"/>
              </w:rPr>
              <w:t>分。不足的酌情减分。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3</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施工质量保证体系</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hint="eastAsia" w:ascii="楷体" w:hAnsi="楷体" w:eastAsia="楷体" w:cs="Times New Roman"/>
                <w:sz w:val="28"/>
                <w:szCs w:val="28"/>
                <w:lang w:eastAsia="zh-CN"/>
              </w:rPr>
            </w:pPr>
            <w:r>
              <w:rPr>
                <w:rFonts w:hint="eastAsia" w:ascii="楷体" w:hAnsi="楷体" w:eastAsia="楷体"/>
                <w:sz w:val="28"/>
                <w:szCs w:val="28"/>
                <w:lang w:val="en-US" w:eastAsia="zh-CN"/>
              </w:rPr>
              <w:t>6</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cs="Times New Roman"/>
                <w:sz w:val="28"/>
                <w:szCs w:val="28"/>
              </w:rPr>
              <w:t>质量管理体系完善，工程质量措施完善，按单位、分部和分项分解细化,具体明确，制度健全，能确保工程质量的，得</w:t>
            </w:r>
            <w:r>
              <w:rPr>
                <w:rFonts w:hint="eastAsia" w:ascii="楷体" w:hAnsi="楷体" w:eastAsia="楷体"/>
                <w:sz w:val="28"/>
                <w:szCs w:val="28"/>
                <w:lang w:val="en-US" w:eastAsia="zh-CN"/>
              </w:rPr>
              <w:t>6</w:t>
            </w:r>
            <w:r>
              <w:rPr>
                <w:rFonts w:hint="eastAsia" w:ascii="楷体" w:hAnsi="楷体" w:eastAsia="楷体" w:cs="Times New Roman"/>
                <w:sz w:val="28"/>
                <w:szCs w:val="28"/>
              </w:rPr>
              <w:t>分；存在缺陷或不足的，酌情减分；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4</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ascii="楷体" w:hAnsi="楷体" w:eastAsia="楷体" w:cs="Times New Roman"/>
                <w:sz w:val="28"/>
                <w:szCs w:val="28"/>
              </w:rPr>
            </w:pPr>
            <w:r>
              <w:rPr>
                <w:rFonts w:hint="eastAsia" w:ascii="楷体" w:hAnsi="楷体" w:eastAsia="楷体"/>
                <w:sz w:val="28"/>
                <w:szCs w:val="28"/>
              </w:rPr>
              <w:t>材料品牌保证</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hint="default" w:ascii="楷体" w:hAnsi="楷体" w:eastAsia="楷体" w:cs="Times New Roman"/>
                <w:sz w:val="28"/>
                <w:szCs w:val="28"/>
                <w:lang w:val="en-US" w:eastAsia="zh-CN"/>
              </w:rPr>
            </w:pPr>
            <w:r>
              <w:rPr>
                <w:rFonts w:hint="eastAsia" w:ascii="楷体" w:hAnsi="楷体" w:eastAsia="楷体"/>
                <w:sz w:val="28"/>
                <w:szCs w:val="28"/>
                <w:lang w:val="en-US" w:eastAsia="zh-CN"/>
              </w:rPr>
              <w:t>9</w:t>
            </w:r>
          </w:p>
        </w:tc>
        <w:tc>
          <w:tcPr>
            <w:tcW w:w="527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left"/>
              <w:rPr>
                <w:rFonts w:hint="eastAsia" w:ascii="楷体" w:hAnsi="楷体" w:eastAsia="楷体" w:cs="Times New Roman"/>
                <w:sz w:val="28"/>
                <w:szCs w:val="28"/>
                <w:lang w:val="en-US" w:eastAsia="zh-CN"/>
              </w:rPr>
            </w:pPr>
            <w:r>
              <w:rPr>
                <w:rFonts w:hint="eastAsia" w:ascii="楷体" w:hAnsi="楷体" w:eastAsia="楷体"/>
                <w:sz w:val="28"/>
                <w:szCs w:val="28"/>
              </w:rPr>
              <w:t>投标文件中明确所有材料品牌及规格、且是技术要求中所列的品牌的，得</w:t>
            </w:r>
            <w:r>
              <w:rPr>
                <w:rFonts w:hint="eastAsia" w:ascii="楷体" w:hAnsi="楷体" w:eastAsia="楷体"/>
                <w:sz w:val="28"/>
                <w:szCs w:val="28"/>
                <w:lang w:val="en-US" w:eastAsia="zh-CN"/>
              </w:rPr>
              <w:t>9</w:t>
            </w:r>
            <w:r>
              <w:rPr>
                <w:rFonts w:hint="eastAsia" w:ascii="楷体" w:hAnsi="楷体" w:eastAsia="楷体"/>
                <w:sz w:val="28"/>
                <w:szCs w:val="28"/>
              </w:rPr>
              <w:t>分；所列品牌不全的，按列的数量酌情给分，给分标准为</w:t>
            </w:r>
            <w:r>
              <w:rPr>
                <w:rFonts w:hint="eastAsia" w:ascii="楷体" w:hAnsi="楷体" w:eastAsia="楷体"/>
                <w:sz w:val="28"/>
                <w:szCs w:val="28"/>
                <w:lang w:val="en-US" w:eastAsia="zh-CN"/>
              </w:rPr>
              <w:t>8</w:t>
            </w:r>
            <w:r>
              <w:rPr>
                <w:rFonts w:hint="eastAsia" w:ascii="楷体" w:hAnsi="楷体" w:eastAsia="楷体"/>
                <w:sz w:val="28"/>
                <w:szCs w:val="28"/>
              </w:rPr>
              <w:t>-1分；未列材料品牌或列出的品牌与招标文件要求均不相符得0分</w:t>
            </w:r>
            <w:r>
              <w:rPr>
                <w:rFonts w:hint="eastAsia" w:ascii="楷体" w:hAnsi="楷体" w:eastAsia="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5</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rPr>
                <w:rFonts w:ascii="楷体" w:hAnsi="楷体" w:eastAsia="楷体" w:cs="Times New Roman"/>
                <w:sz w:val="28"/>
                <w:szCs w:val="28"/>
              </w:rPr>
            </w:pPr>
            <w:r>
              <w:rPr>
                <w:rFonts w:hint="eastAsia" w:ascii="楷体" w:hAnsi="楷体" w:eastAsia="楷体" w:cs="Times New Roman"/>
                <w:sz w:val="28"/>
                <w:szCs w:val="28"/>
              </w:rPr>
              <w:t>业    绩</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8</w:t>
            </w:r>
          </w:p>
        </w:tc>
        <w:tc>
          <w:tcPr>
            <w:tcW w:w="5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460" w:lineRule="exact"/>
              <w:ind w:firstLine="0" w:firstLineChars="0"/>
              <w:jc w:val="left"/>
              <w:rPr>
                <w:rFonts w:ascii="楷体" w:hAnsi="楷体" w:eastAsia="楷体" w:cs="Times New Roman"/>
                <w:spacing w:val="0"/>
                <w:sz w:val="28"/>
                <w:szCs w:val="28"/>
              </w:rPr>
            </w:pPr>
            <w:r>
              <w:rPr>
                <w:rFonts w:hint="eastAsia" w:ascii="楷体" w:hAnsi="楷体" w:eastAsia="楷体" w:cs="Times New Roman"/>
                <w:spacing w:val="0"/>
                <w:sz w:val="28"/>
                <w:szCs w:val="28"/>
              </w:rPr>
              <w:t>投标单位自20</w:t>
            </w:r>
            <w:r>
              <w:rPr>
                <w:rFonts w:hint="eastAsia" w:ascii="楷体" w:hAnsi="楷体" w:eastAsia="楷体" w:cs="Times New Roman"/>
                <w:spacing w:val="0"/>
                <w:sz w:val="28"/>
                <w:szCs w:val="28"/>
                <w:lang w:val="en-US" w:eastAsia="zh-CN"/>
              </w:rPr>
              <w:t>20</w:t>
            </w:r>
            <w:r>
              <w:rPr>
                <w:rFonts w:hint="eastAsia" w:ascii="楷体" w:hAnsi="楷体" w:eastAsia="楷体" w:cs="Times New Roman"/>
                <w:spacing w:val="0"/>
                <w:sz w:val="28"/>
                <w:szCs w:val="28"/>
              </w:rPr>
              <w:t>年</w:t>
            </w:r>
            <w:r>
              <w:rPr>
                <w:rFonts w:hint="eastAsia" w:ascii="楷体" w:hAnsi="楷体" w:eastAsia="楷体" w:cs="Times New Roman"/>
                <w:spacing w:val="0"/>
                <w:sz w:val="28"/>
                <w:szCs w:val="28"/>
                <w:lang w:val="en-US" w:eastAsia="zh-CN"/>
              </w:rPr>
              <w:t>1</w:t>
            </w:r>
            <w:r>
              <w:rPr>
                <w:rFonts w:hint="eastAsia" w:ascii="楷体" w:hAnsi="楷体" w:eastAsia="楷体" w:cs="Times New Roman"/>
                <w:spacing w:val="0"/>
                <w:sz w:val="28"/>
                <w:szCs w:val="28"/>
              </w:rPr>
              <w:t>月1日至开标之日止承担</w:t>
            </w:r>
            <w:r>
              <w:rPr>
                <w:rFonts w:hint="eastAsia" w:ascii="楷体" w:hAnsi="楷体" w:eastAsia="楷体" w:cs="Times New Roman"/>
                <w:spacing w:val="0"/>
                <w:sz w:val="28"/>
                <w:szCs w:val="28"/>
                <w:lang w:val="en-US" w:eastAsia="zh-CN"/>
              </w:rPr>
              <w:t>实验室</w:t>
            </w:r>
            <w:r>
              <w:rPr>
                <w:rFonts w:hint="eastAsia" w:ascii="楷体" w:hAnsi="楷体" w:eastAsia="楷体" w:cs="Times New Roman"/>
                <w:b w:val="0"/>
                <w:bCs w:val="0"/>
                <w:spacing w:val="0"/>
                <w:sz w:val="28"/>
                <w:szCs w:val="28"/>
                <w:lang w:val="en-US" w:eastAsia="zh-CN"/>
              </w:rPr>
              <w:t>相关维修</w:t>
            </w:r>
            <w:r>
              <w:rPr>
                <w:rFonts w:hint="eastAsia" w:ascii="楷体" w:hAnsi="楷体" w:eastAsia="楷体" w:cs="Times New Roman"/>
                <w:b w:val="0"/>
                <w:bCs w:val="0"/>
                <w:spacing w:val="0"/>
                <w:sz w:val="28"/>
                <w:szCs w:val="28"/>
                <w:lang w:eastAsia="zh-CN"/>
              </w:rPr>
              <w:t>改</w:t>
            </w:r>
            <w:r>
              <w:rPr>
                <w:rFonts w:hint="eastAsia" w:ascii="楷体" w:hAnsi="楷体" w:eastAsia="楷体" w:cs="Times New Roman"/>
                <w:spacing w:val="0"/>
                <w:sz w:val="28"/>
                <w:szCs w:val="28"/>
                <w:lang w:eastAsia="zh-CN"/>
              </w:rPr>
              <w:t>造</w:t>
            </w:r>
            <w:r>
              <w:rPr>
                <w:rFonts w:hint="eastAsia" w:ascii="楷体" w:hAnsi="楷体" w:eastAsia="楷体" w:cs="Times New Roman"/>
                <w:spacing w:val="0"/>
                <w:sz w:val="28"/>
                <w:szCs w:val="28"/>
              </w:rPr>
              <w:t>工程的业绩，</w:t>
            </w:r>
            <w:r>
              <w:rPr>
                <w:rFonts w:hint="eastAsia" w:ascii="楷体" w:hAnsi="楷体" w:eastAsia="楷体" w:cs="Times New Roman"/>
                <w:spacing w:val="0"/>
                <w:sz w:val="28"/>
                <w:szCs w:val="28"/>
                <w:lang w:eastAsia="zh-CN"/>
              </w:rPr>
              <w:t>且合同价大于</w:t>
            </w:r>
            <w:r>
              <w:rPr>
                <w:rFonts w:hint="eastAsia" w:ascii="楷体" w:hAnsi="楷体" w:eastAsia="楷体" w:cs="Times New Roman"/>
                <w:spacing w:val="0"/>
                <w:sz w:val="28"/>
                <w:szCs w:val="28"/>
                <w:lang w:val="en-US" w:eastAsia="zh-CN"/>
              </w:rPr>
              <w:t>15万的，</w:t>
            </w:r>
            <w:r>
              <w:rPr>
                <w:rFonts w:hint="eastAsia" w:ascii="楷体" w:hAnsi="楷体" w:eastAsia="楷体" w:cs="Times New Roman"/>
                <w:spacing w:val="0"/>
                <w:sz w:val="28"/>
                <w:szCs w:val="28"/>
              </w:rPr>
              <w:t>每提供一项得</w:t>
            </w:r>
            <w:r>
              <w:rPr>
                <w:rFonts w:hint="eastAsia" w:ascii="楷体" w:hAnsi="楷体" w:eastAsia="楷体" w:cs="Times New Roman"/>
                <w:spacing w:val="0"/>
                <w:sz w:val="28"/>
                <w:szCs w:val="28"/>
                <w:lang w:val="en-US" w:eastAsia="zh-CN"/>
              </w:rPr>
              <w:t>2</w:t>
            </w:r>
            <w:r>
              <w:rPr>
                <w:rFonts w:hint="eastAsia" w:ascii="楷体" w:hAnsi="楷体" w:eastAsia="楷体" w:cs="Times New Roman"/>
                <w:spacing w:val="0"/>
                <w:sz w:val="28"/>
                <w:szCs w:val="28"/>
              </w:rPr>
              <w:t>分，最高得</w:t>
            </w:r>
            <w:r>
              <w:rPr>
                <w:rFonts w:hint="eastAsia" w:ascii="楷体" w:hAnsi="楷体" w:eastAsia="楷体" w:cs="Times New Roman"/>
                <w:spacing w:val="0"/>
                <w:sz w:val="28"/>
                <w:szCs w:val="28"/>
                <w:lang w:val="en-US" w:eastAsia="zh-CN"/>
              </w:rPr>
              <w:t>8</w:t>
            </w:r>
            <w:r>
              <w:rPr>
                <w:rFonts w:hint="eastAsia" w:ascii="楷体" w:hAnsi="楷体" w:eastAsia="楷体" w:cs="Times New Roman"/>
                <w:spacing w:val="0"/>
                <w:sz w:val="28"/>
                <w:szCs w:val="28"/>
              </w:rPr>
              <w:t>分。（认定业绩的依据为</w:t>
            </w:r>
            <w:r>
              <w:rPr>
                <w:rFonts w:hint="eastAsia" w:ascii="楷体" w:hAnsi="楷体" w:eastAsia="楷体" w:cs="Times New Roman"/>
                <w:spacing w:val="0"/>
                <w:sz w:val="28"/>
                <w:szCs w:val="28"/>
                <w:lang w:val="en-US" w:eastAsia="zh-CN"/>
              </w:rPr>
              <w:t>中标通知书、</w:t>
            </w:r>
            <w:r>
              <w:rPr>
                <w:rFonts w:hint="eastAsia" w:ascii="楷体" w:hAnsi="楷体" w:eastAsia="楷体" w:cs="Times New Roman"/>
                <w:spacing w:val="0"/>
                <w:sz w:val="28"/>
                <w:szCs w:val="28"/>
              </w:rPr>
              <w:t>施工合同</w:t>
            </w:r>
            <w:r>
              <w:rPr>
                <w:rFonts w:hint="eastAsia" w:ascii="楷体" w:hAnsi="楷体" w:eastAsia="楷体" w:cs="Times New Roman"/>
                <w:spacing w:val="0"/>
                <w:sz w:val="28"/>
                <w:szCs w:val="28"/>
                <w:lang w:val="en-US" w:eastAsia="zh-CN"/>
              </w:rPr>
              <w:t>及验收报告</w:t>
            </w:r>
            <w:r>
              <w:rPr>
                <w:rFonts w:hint="eastAsia" w:ascii="楷体" w:hAnsi="楷体" w:eastAsia="楷体" w:cs="Times New Roman"/>
                <w:spacing w:val="0"/>
                <w:sz w:val="28"/>
                <w:szCs w:val="28"/>
              </w:rPr>
              <w:t>，</w:t>
            </w:r>
            <w:r>
              <w:rPr>
                <w:rFonts w:hint="eastAsia" w:ascii="楷体" w:hAnsi="楷体" w:eastAsia="楷体" w:cs="Times New Roman"/>
                <w:spacing w:val="0"/>
                <w:sz w:val="28"/>
                <w:szCs w:val="28"/>
                <w:lang w:val="en-US" w:eastAsia="zh-CN"/>
              </w:rPr>
              <w:t>缺一不可；上述文件的</w:t>
            </w:r>
            <w:r>
              <w:rPr>
                <w:rFonts w:hint="eastAsia" w:ascii="楷体" w:hAnsi="楷体" w:eastAsia="楷体" w:cs="Times New Roman"/>
                <w:spacing w:val="0"/>
                <w:sz w:val="28"/>
                <w:szCs w:val="28"/>
              </w:rPr>
              <w:t>复印件装订在投标文件中，原件用档案袋密封在开标前随投标文件一起递交给监督人员，以供评委核对，未提供原件的业绩为不得分</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lang w:val="en-US" w:eastAsia="zh-CN"/>
              </w:rPr>
              <w:t>有建设单位盖章的视为原件</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，业绩时间以</w:t>
            </w:r>
            <w:r>
              <w:rPr>
                <w:rFonts w:hint="eastAsia" w:ascii="楷体" w:hAnsi="楷体" w:eastAsia="楷体" w:cs="Times New Roman"/>
                <w:spacing w:val="0"/>
                <w:sz w:val="28"/>
                <w:szCs w:val="28"/>
                <w:lang w:val="en-US" w:eastAsia="zh-CN"/>
              </w:rPr>
              <w:t>中标通知书时间</w:t>
            </w:r>
            <w:r>
              <w:rPr>
                <w:rFonts w:hint="eastAsia" w:ascii="楷体" w:hAnsi="楷体" w:eastAsia="楷体" w:cs="Times New Roman"/>
                <w:spacing w:val="0"/>
                <w:sz w:val="28"/>
                <w:szCs w:val="28"/>
              </w:rPr>
              <w:t>为准。</w:t>
            </w:r>
            <w:r>
              <w:rPr>
                <w:rFonts w:hint="eastAsia" w:ascii="楷体" w:hAnsi="楷体" w:eastAsia="楷体" w:cs="Times New Roman"/>
                <w:spacing w:val="0"/>
                <w:sz w:val="28"/>
                <w:szCs w:val="28"/>
                <w:lang w:eastAsia="zh-CN"/>
              </w:rPr>
              <w:t>如</w:t>
            </w:r>
            <w:r>
              <w:rPr>
                <w:rFonts w:hint="eastAsia" w:ascii="楷体" w:hAnsi="楷体" w:eastAsia="楷体" w:cs="Times New Roman"/>
                <w:spacing w:val="0"/>
                <w:sz w:val="28"/>
                <w:szCs w:val="28"/>
                <w:lang w:val="en-US" w:eastAsia="zh-CN"/>
              </w:rPr>
              <w:t>中标通知书、</w:t>
            </w:r>
            <w:r>
              <w:rPr>
                <w:rFonts w:hint="eastAsia" w:ascii="楷体" w:hAnsi="楷体" w:eastAsia="楷体" w:cs="Times New Roman"/>
                <w:spacing w:val="0"/>
                <w:sz w:val="28"/>
                <w:szCs w:val="28"/>
              </w:rPr>
              <w:t>施工合同</w:t>
            </w:r>
            <w:r>
              <w:rPr>
                <w:rFonts w:hint="eastAsia" w:ascii="楷体" w:hAnsi="楷体" w:eastAsia="楷体" w:cs="Times New Roman"/>
                <w:spacing w:val="0"/>
                <w:sz w:val="28"/>
                <w:szCs w:val="28"/>
                <w:lang w:val="en-US" w:eastAsia="zh-CN"/>
              </w:rPr>
              <w:t>及验收报告</w:t>
            </w:r>
            <w:r>
              <w:rPr>
                <w:rFonts w:hint="eastAsia" w:ascii="楷体" w:hAnsi="楷体" w:eastAsia="楷体" w:cs="Times New Roman"/>
                <w:spacing w:val="0"/>
                <w:sz w:val="28"/>
                <w:szCs w:val="28"/>
              </w:rPr>
              <w:t>中不能反映</w:t>
            </w:r>
            <w:r>
              <w:rPr>
                <w:rFonts w:hint="eastAsia" w:ascii="楷体" w:hAnsi="楷体" w:eastAsia="楷体" w:cs="Times New Roman"/>
                <w:spacing w:val="0"/>
                <w:sz w:val="28"/>
                <w:szCs w:val="28"/>
                <w:lang w:eastAsia="zh-CN"/>
              </w:rPr>
              <w:t>该工程包含</w:t>
            </w:r>
            <w:r>
              <w:rPr>
                <w:rFonts w:hint="eastAsia" w:ascii="楷体" w:hAnsi="楷体" w:eastAsia="楷体" w:cs="Times New Roman"/>
                <w:b/>
                <w:bCs/>
                <w:spacing w:val="0"/>
                <w:sz w:val="28"/>
                <w:szCs w:val="28"/>
                <w:lang w:eastAsia="zh-CN"/>
              </w:rPr>
              <w:t>实验室</w:t>
            </w:r>
            <w:r>
              <w:rPr>
                <w:rFonts w:hint="eastAsia" w:ascii="楷体" w:hAnsi="楷体" w:eastAsia="楷体" w:cs="Times New Roman"/>
                <w:spacing w:val="0"/>
                <w:sz w:val="28"/>
                <w:szCs w:val="28"/>
                <w:lang w:eastAsia="zh-CN"/>
              </w:rPr>
              <w:t>施工，则</w:t>
            </w:r>
            <w:r>
              <w:rPr>
                <w:rFonts w:hint="eastAsia" w:ascii="楷体" w:hAnsi="楷体" w:eastAsia="楷体" w:cs="Times New Roman"/>
                <w:spacing w:val="0"/>
                <w:sz w:val="28"/>
                <w:szCs w:val="28"/>
              </w:rPr>
              <w:t>需提供建设单位证明，否则业绩无效</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6</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rPr>
                <w:rFonts w:ascii="楷体" w:hAnsi="楷体" w:eastAsia="楷体" w:cs="Times New Roman"/>
                <w:sz w:val="28"/>
                <w:szCs w:val="28"/>
              </w:rPr>
            </w:pPr>
            <w:r>
              <w:rPr>
                <w:rFonts w:hint="eastAsia" w:ascii="楷体" w:hAnsi="楷体" w:eastAsia="楷体" w:cs="Times New Roman"/>
                <w:sz w:val="28"/>
                <w:szCs w:val="28"/>
              </w:rPr>
              <w:t>售后承诺</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hint="eastAsia" w:ascii="楷体" w:hAnsi="楷体" w:eastAsia="楷体" w:cs="Times New Roman"/>
                <w:sz w:val="28"/>
                <w:szCs w:val="28"/>
                <w:lang w:eastAsia="zh-CN"/>
              </w:rPr>
            </w:pPr>
            <w:r>
              <w:rPr>
                <w:rFonts w:hint="eastAsia" w:ascii="楷体" w:hAnsi="楷体" w:eastAsia="楷体"/>
                <w:sz w:val="28"/>
                <w:szCs w:val="28"/>
                <w:lang w:val="en-US" w:eastAsia="zh-CN"/>
              </w:rPr>
              <w:t>4</w:t>
            </w:r>
          </w:p>
        </w:tc>
        <w:tc>
          <w:tcPr>
            <w:tcW w:w="5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460" w:lineRule="exact"/>
              <w:ind w:firstLine="0" w:firstLineChars="0"/>
              <w:jc w:val="left"/>
              <w:rPr>
                <w:rFonts w:ascii="楷体" w:hAnsi="楷体" w:eastAsia="楷体" w:cs="Times New Roman"/>
                <w:spacing w:val="0"/>
                <w:sz w:val="28"/>
                <w:szCs w:val="28"/>
              </w:rPr>
            </w:pPr>
            <w:r>
              <w:rPr>
                <w:rFonts w:hint="eastAsia" w:ascii="楷体" w:hAnsi="楷体" w:eastAsia="楷体" w:cs="Times New Roman"/>
                <w:spacing w:val="0"/>
                <w:sz w:val="28"/>
                <w:szCs w:val="28"/>
              </w:rPr>
              <w:t>包括保修年限，服务标准，人员配备，维修及保障措施等，根据投标单位承诺情况由评委给予0-</w:t>
            </w:r>
            <w:r>
              <w:rPr>
                <w:rFonts w:hint="eastAsia" w:ascii="楷体" w:hAnsi="楷体" w:eastAsia="楷体"/>
                <w:spacing w:val="0"/>
                <w:sz w:val="28"/>
                <w:szCs w:val="28"/>
                <w:lang w:val="en-US" w:eastAsia="zh-CN"/>
              </w:rPr>
              <w:t>4</w:t>
            </w:r>
            <w:r>
              <w:rPr>
                <w:rFonts w:hint="eastAsia" w:ascii="楷体" w:hAnsi="楷体" w:eastAsia="楷体" w:cs="Times New Roman"/>
                <w:spacing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98" w:firstLineChars="71"/>
              <w:jc w:val="left"/>
              <w:rPr>
                <w:rFonts w:ascii="楷体" w:hAnsi="楷体" w:eastAsia="楷体" w:cs="Times New Roman"/>
                <w:sz w:val="28"/>
                <w:szCs w:val="28"/>
              </w:rPr>
            </w:pPr>
            <w:r>
              <w:rPr>
                <w:rFonts w:hint="eastAsia" w:ascii="楷体" w:hAnsi="楷体" w:eastAsia="楷体" w:cs="Times New Roman"/>
                <w:sz w:val="28"/>
                <w:szCs w:val="28"/>
              </w:rPr>
              <w:t>7</w:t>
            </w:r>
          </w:p>
        </w:tc>
        <w:tc>
          <w:tcPr>
            <w:tcW w:w="2932"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rPr>
                <w:rFonts w:ascii="楷体" w:hAnsi="楷体" w:eastAsia="楷体" w:cs="Times New Roman"/>
                <w:sz w:val="28"/>
                <w:szCs w:val="28"/>
              </w:rPr>
            </w:pPr>
            <w:r>
              <w:rPr>
                <w:rFonts w:hint="eastAsia" w:ascii="楷体" w:hAnsi="楷体" w:eastAsia="楷体" w:cs="Times New Roman"/>
                <w:sz w:val="28"/>
                <w:szCs w:val="28"/>
                <w:lang w:val="en-US" w:eastAsia="zh-CN"/>
              </w:rPr>
              <w:t>踏勘</w:t>
            </w:r>
            <w:r>
              <w:rPr>
                <w:rFonts w:hint="eastAsia" w:ascii="楷体" w:hAnsi="楷体" w:eastAsia="楷体" w:cs="Times New Roman"/>
                <w:sz w:val="28"/>
                <w:szCs w:val="28"/>
              </w:rPr>
              <w:t>现场</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hint="eastAsia" w:ascii="楷体" w:hAnsi="楷体" w:eastAsia="楷体"/>
                <w:sz w:val="28"/>
                <w:szCs w:val="28"/>
                <w:lang w:eastAsia="zh-CN"/>
              </w:rPr>
            </w:pPr>
            <w:r>
              <w:rPr>
                <w:rFonts w:hint="eastAsia" w:ascii="楷体" w:hAnsi="楷体" w:eastAsia="楷体"/>
                <w:sz w:val="28"/>
                <w:szCs w:val="28"/>
                <w:lang w:val="en-US" w:eastAsia="zh-CN"/>
              </w:rPr>
              <w:t>3</w:t>
            </w:r>
          </w:p>
        </w:tc>
        <w:tc>
          <w:tcPr>
            <w:tcW w:w="5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460" w:lineRule="exact"/>
              <w:ind w:firstLine="0" w:firstLineChars="0"/>
              <w:jc w:val="left"/>
              <w:rPr>
                <w:rFonts w:ascii="楷体" w:hAnsi="楷体" w:eastAsia="楷体" w:cs="Times New Roman"/>
                <w:spacing w:val="0"/>
                <w:sz w:val="28"/>
                <w:szCs w:val="28"/>
              </w:rPr>
            </w:pPr>
            <w:r>
              <w:rPr>
                <w:rFonts w:hint="eastAsia" w:ascii="楷体" w:hAnsi="楷体" w:eastAsia="楷体" w:cs="Times New Roman"/>
                <w:spacing w:val="0"/>
                <w:sz w:val="28"/>
                <w:szCs w:val="28"/>
              </w:rPr>
              <w:t>各投标单位按时</w:t>
            </w:r>
            <w:r>
              <w:rPr>
                <w:rFonts w:hint="eastAsia" w:ascii="楷体" w:hAnsi="楷体" w:eastAsia="楷体" w:cs="Times New Roman"/>
                <w:spacing w:val="0"/>
                <w:sz w:val="28"/>
                <w:szCs w:val="28"/>
                <w:lang w:val="en-US" w:eastAsia="zh-CN"/>
              </w:rPr>
              <w:t>踏勘</w:t>
            </w:r>
            <w:r>
              <w:rPr>
                <w:rFonts w:hint="eastAsia" w:ascii="楷体" w:hAnsi="楷体" w:eastAsia="楷体" w:cs="Times New Roman"/>
                <w:spacing w:val="0"/>
                <w:sz w:val="28"/>
                <w:szCs w:val="28"/>
              </w:rPr>
              <w:t>现场，参加现场</w:t>
            </w:r>
            <w:r>
              <w:rPr>
                <w:rFonts w:hint="eastAsia" w:ascii="楷体" w:hAnsi="楷体" w:eastAsia="楷体" w:cs="Times New Roman"/>
                <w:spacing w:val="0"/>
                <w:sz w:val="28"/>
                <w:szCs w:val="28"/>
                <w:lang w:val="en-US" w:eastAsia="zh-CN"/>
              </w:rPr>
              <w:t>踏勘者</w:t>
            </w:r>
            <w:r>
              <w:rPr>
                <w:rFonts w:hint="eastAsia" w:ascii="楷体" w:hAnsi="楷体" w:eastAsia="楷体" w:cs="Times New Roman"/>
                <w:spacing w:val="0"/>
                <w:sz w:val="28"/>
                <w:szCs w:val="28"/>
              </w:rPr>
              <w:t>得</w:t>
            </w:r>
            <w:r>
              <w:rPr>
                <w:rFonts w:hint="eastAsia" w:ascii="楷体" w:hAnsi="楷体" w:eastAsia="楷体" w:cs="Times New Roman"/>
                <w:spacing w:val="0"/>
                <w:sz w:val="28"/>
                <w:szCs w:val="28"/>
                <w:lang w:val="en-US" w:eastAsia="zh-CN"/>
              </w:rPr>
              <w:t>3</w:t>
            </w:r>
            <w:r>
              <w:rPr>
                <w:rFonts w:hint="eastAsia" w:ascii="楷体" w:hAnsi="楷体" w:eastAsia="楷体" w:cs="Times New Roman"/>
                <w:spacing w:val="0"/>
                <w:sz w:val="28"/>
                <w:szCs w:val="28"/>
              </w:rPr>
              <w:t>分，没有</w:t>
            </w:r>
            <w:r>
              <w:rPr>
                <w:rFonts w:hint="eastAsia" w:ascii="楷体" w:hAnsi="楷体" w:eastAsia="楷体" w:cs="Times New Roman"/>
                <w:spacing w:val="0"/>
                <w:sz w:val="28"/>
                <w:szCs w:val="28"/>
                <w:lang w:val="en-US" w:eastAsia="zh-CN"/>
              </w:rPr>
              <w:t>参加者</w:t>
            </w:r>
            <w:r>
              <w:rPr>
                <w:rFonts w:hint="eastAsia" w:ascii="楷体" w:hAnsi="楷体" w:eastAsia="楷体" w:cs="Times New Roman"/>
                <w:spacing w:val="0"/>
                <w:sz w:val="28"/>
                <w:szCs w:val="28"/>
              </w:rPr>
              <w:t>不得分，以</w:t>
            </w:r>
            <w:r>
              <w:rPr>
                <w:rFonts w:hint="eastAsia" w:ascii="楷体" w:hAnsi="楷体" w:eastAsia="楷体" w:cs="Times New Roman"/>
                <w:spacing w:val="0"/>
                <w:sz w:val="28"/>
                <w:szCs w:val="28"/>
                <w:lang w:val="en-US" w:eastAsia="zh-CN"/>
              </w:rPr>
              <w:t>踏勘现场签到表</w:t>
            </w:r>
            <w:r>
              <w:rPr>
                <w:rFonts w:hint="eastAsia" w:ascii="楷体" w:hAnsi="楷体" w:eastAsia="楷体" w:cs="Times New Roman"/>
                <w:spacing w:val="0"/>
                <w:sz w:val="28"/>
                <w:szCs w:val="28"/>
              </w:rPr>
              <w:t>为准。</w:t>
            </w:r>
          </w:p>
        </w:tc>
      </w:tr>
    </w:tbl>
    <w:p>
      <w:pPr>
        <w:adjustRightInd w:val="0"/>
        <w:snapToGrid w:val="0"/>
        <w:spacing w:line="460" w:lineRule="exact"/>
        <w:ind w:firstLine="560"/>
        <w:rPr>
          <w:rFonts w:ascii="楷体" w:hAnsi="楷体" w:eastAsia="楷体" w:cs="Times New Roman"/>
          <w:color w:val="FF0000"/>
          <w:sz w:val="28"/>
          <w:szCs w:val="28"/>
        </w:rPr>
      </w:pPr>
      <w:r>
        <w:rPr>
          <w:rFonts w:hint="eastAsia" w:ascii="楷体" w:hAnsi="楷体" w:eastAsia="楷体" w:cs="Times New Roman"/>
          <w:sz w:val="28"/>
          <w:szCs w:val="28"/>
        </w:rPr>
        <w:t>其他：</w:t>
      </w:r>
      <w:r>
        <w:rPr>
          <w:rFonts w:ascii="楷体" w:hAnsi="楷体" w:eastAsia="楷体" w:cs="Times New Roman"/>
          <w:sz w:val="28"/>
          <w:szCs w:val="28"/>
        </w:rPr>
        <w:t>如</w:t>
      </w:r>
      <w:r>
        <w:rPr>
          <w:rFonts w:hint="eastAsia" w:ascii="楷体" w:hAnsi="楷体" w:eastAsia="楷体" w:cs="Times New Roman"/>
          <w:sz w:val="28"/>
          <w:szCs w:val="28"/>
        </w:rPr>
        <w:t>第一</w:t>
      </w:r>
      <w:r>
        <w:rPr>
          <w:rFonts w:ascii="楷体" w:hAnsi="楷体" w:eastAsia="楷体" w:cs="Times New Roman"/>
          <w:sz w:val="28"/>
          <w:szCs w:val="28"/>
        </w:rPr>
        <w:t>中标人放弃中标</w:t>
      </w:r>
      <w:r>
        <w:rPr>
          <w:rFonts w:hint="eastAsia" w:ascii="楷体" w:hAnsi="楷体" w:eastAsia="楷体" w:cs="Times New Roman"/>
          <w:sz w:val="28"/>
          <w:szCs w:val="28"/>
        </w:rPr>
        <w:t>,</w:t>
      </w:r>
      <w:r>
        <w:rPr>
          <w:rFonts w:ascii="楷体" w:hAnsi="楷体" w:eastAsia="楷体" w:cs="Times New Roman"/>
          <w:sz w:val="28"/>
          <w:szCs w:val="28"/>
        </w:rPr>
        <w:t>或因不可抗力提出不能履行合同，或者招标文件规定应当提交履约保证金而在规定的期限内未能提交的，招标人可以</w:t>
      </w:r>
      <w:r>
        <w:rPr>
          <w:rFonts w:hint="eastAsia" w:ascii="楷体" w:hAnsi="楷体" w:eastAsia="楷体" w:cs="Times New Roman"/>
          <w:sz w:val="28"/>
          <w:szCs w:val="28"/>
        </w:rPr>
        <w:t>选择排名第二名中标人进行递补</w:t>
      </w:r>
      <w:r>
        <w:rPr>
          <w:rFonts w:ascii="楷体" w:hAnsi="楷体" w:eastAsia="楷体" w:cs="Times New Roman"/>
          <w:sz w:val="28"/>
          <w:szCs w:val="28"/>
        </w:rPr>
        <w:t>。</w:t>
      </w:r>
    </w:p>
    <w:p>
      <w:pPr>
        <w:adjustRightInd w:val="0"/>
        <w:snapToGrid w:val="0"/>
        <w:spacing w:line="460" w:lineRule="exact"/>
        <w:ind w:firstLine="560"/>
        <w:rPr>
          <w:rFonts w:ascii="楷体" w:hAnsi="楷体" w:eastAsia="楷体" w:cs="Times New Roman"/>
          <w:sz w:val="28"/>
          <w:szCs w:val="28"/>
        </w:rPr>
      </w:pPr>
      <w:r>
        <w:rPr>
          <w:rFonts w:hint="eastAsia" w:ascii="楷体" w:hAnsi="楷体" w:eastAsia="楷体"/>
          <w:sz w:val="28"/>
          <w:szCs w:val="28"/>
        </w:rPr>
        <w:t>三）</w:t>
      </w:r>
      <w:r>
        <w:rPr>
          <w:rFonts w:hint="eastAsia" w:ascii="楷体" w:hAnsi="楷体" w:eastAsia="楷体" w:cs="Times New Roman"/>
          <w:sz w:val="28"/>
          <w:szCs w:val="28"/>
        </w:rPr>
        <w:t>确定中标人</w:t>
      </w:r>
    </w:p>
    <w:p>
      <w:pPr>
        <w:adjustRightInd w:val="0"/>
        <w:snapToGrid w:val="0"/>
        <w:spacing w:line="460" w:lineRule="exact"/>
        <w:ind w:firstLine="560"/>
        <w:rPr>
          <w:rFonts w:ascii="楷体" w:hAnsi="楷体" w:eastAsia="楷体" w:cs="Times New Roman"/>
          <w:sz w:val="28"/>
          <w:szCs w:val="28"/>
        </w:rPr>
      </w:pPr>
      <w:r>
        <w:rPr>
          <w:rFonts w:hint="eastAsia" w:ascii="楷体" w:hAnsi="楷体" w:eastAsia="楷体" w:cs="Times New Roman"/>
          <w:sz w:val="28"/>
          <w:szCs w:val="28"/>
        </w:rPr>
        <w:t>1、中标人一旦确定后，将在网上公布中标人，三个工作日内无异议，发出中标通知书。</w:t>
      </w:r>
    </w:p>
    <w:p>
      <w:pPr>
        <w:ind w:firstLine="420"/>
      </w:pPr>
    </w:p>
    <w:p>
      <w:pPr>
        <w:pStyle w:val="45"/>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955039"/>
      <w:bookmarkEnd w:id="112"/>
      <w:bookmarkStart w:id="113" w:name="_Hlt26671244"/>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6"/>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w:t>
            </w:r>
            <w:r>
              <w:rPr>
                <w:rFonts w:hint="eastAsia" w:cs="Times New Roman"/>
                <w:lang w:eastAsia="zh-CN"/>
              </w:rPr>
              <w:t>1号实验楼4楼实验室改造项目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3828483"/>
      <w:bookmarkStart w:id="118" w:name="_Toc26554103"/>
      <w:bookmarkStart w:id="119" w:name="_Toc24878535"/>
      <w:bookmarkStart w:id="120" w:name="_Toc49090582"/>
      <w:bookmarkStart w:id="121" w:name="_Toc22356583"/>
      <w:bookmarkStart w:id="122" w:name="_Toc513029281"/>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6"/>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38"/>
        <w:ind w:firstLine="0" w:firstLineChars="0"/>
        <w:rPr>
          <w:rFonts w:hint="eastAsia" w:hAnsi="宋体" w:eastAsia="宋体"/>
          <w:sz w:val="24"/>
          <w:szCs w:val="24"/>
        </w:rPr>
      </w:pPr>
    </w:p>
    <w:bookmarkEnd w:id="124"/>
    <w:p>
      <w:pPr>
        <w:jc w:val="center"/>
        <w:rPr>
          <w:rStyle w:val="64"/>
          <w:rFonts w:hAnsi="宋体"/>
          <w:color w:val="auto"/>
        </w:rPr>
      </w:pPr>
      <w:bookmarkStart w:id="125" w:name="_Toc26554095"/>
      <w:bookmarkStart w:id="126" w:name="_Toc513029276"/>
      <w:bookmarkStart w:id="127" w:name="_Toc49090577"/>
      <w:bookmarkStart w:id="128" w:name="_Toc120614283"/>
      <w:bookmarkStart w:id="129" w:name="_Toc23828478"/>
      <w:bookmarkStart w:id="130" w:name="_Toc460901585"/>
      <w:bookmarkStart w:id="131" w:name="_Toc22356580"/>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bookmarkEnd w:id="125"/>
      <w:bookmarkEnd w:id="126"/>
      <w:bookmarkEnd w:id="127"/>
      <w:bookmarkEnd w:id="128"/>
      <w:bookmarkEnd w:id="129"/>
      <w:bookmarkEnd w:id="130"/>
      <w:bookmarkEnd w:id="131"/>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w:t>
      </w:r>
      <w:bookmarkStart w:id="153" w:name="_GoBack"/>
      <w:bookmarkEnd w:id="153"/>
      <w:r>
        <w:rPr>
          <w:rFonts w:hint="eastAsia" w:ascii="仿宋_GB2312" w:hAnsi="宋体" w:eastAsia="仿宋_GB2312"/>
          <w:sz w:val="24"/>
          <w:szCs w:val="24"/>
          <w:u w:val="single"/>
        </w:rPr>
        <w:t xml:space="preserve">   __</w:t>
      </w:r>
      <w:r>
        <w:rPr>
          <w:rFonts w:hint="eastAsia" w:ascii="仿宋_GB2312" w:hAnsi="宋体" w:eastAsia="仿宋_GB2312"/>
          <w:sz w:val="24"/>
          <w:szCs w:val="24"/>
        </w:rPr>
        <w:t>日</w:t>
      </w:r>
    </w:p>
    <w:p>
      <w:pPr>
        <w:keepNext w:val="0"/>
        <w:keepLines w:val="0"/>
        <w:pageBreakBefore w:val="0"/>
        <w:widowControl w:val="0"/>
        <w:numPr>
          <w:numId w:val="0"/>
        </w:numPr>
        <w:tabs>
          <w:tab w:val="left" w:pos="567"/>
        </w:tabs>
        <w:kinsoku/>
        <w:wordWrap/>
        <w:overflowPunct/>
        <w:topLinePunct w:val="0"/>
        <w:autoSpaceDE/>
        <w:autoSpaceDN/>
        <w:bidi w:val="0"/>
        <w:adjustRightInd/>
        <w:snapToGrid/>
        <w:spacing w:line="520" w:lineRule="exact"/>
        <w:ind w:right="0" w:rightChars="0"/>
        <w:textAlignment w:val="auto"/>
        <w:rPr>
          <w:rFonts w:ascii="仿宋_GB2312" w:eastAsia="仿宋_GB2312"/>
          <w:b/>
          <w:bCs/>
          <w:sz w:val="28"/>
          <w:szCs w:val="28"/>
        </w:rPr>
      </w:pPr>
      <w:r>
        <w:rPr>
          <w:rFonts w:hint="eastAsia" w:ascii="仿宋_GB2312" w:eastAsia="仿宋_GB2312"/>
          <w:b/>
          <w:bCs/>
          <w:sz w:val="28"/>
          <w:szCs w:val="28"/>
        </w:rPr>
        <w:t>五、清单报价明细表</w:t>
      </w:r>
      <w:r>
        <w:rPr>
          <w:rFonts w:hint="eastAsia" w:ascii="仿宋_GB2312" w:eastAsia="仿宋_GB2312"/>
          <w:b/>
          <w:bCs/>
          <w:sz w:val="28"/>
          <w:szCs w:val="28"/>
          <w:lang w:eastAsia="zh-CN"/>
        </w:rPr>
        <w:t>。</w:t>
      </w:r>
      <w:r>
        <w:rPr>
          <w:rFonts w:hint="eastAsia" w:ascii="仿宋_GB2312" w:hAnsi="仿宋_GB2312" w:eastAsia="仿宋_GB2312" w:cs="仿宋_GB2312"/>
          <w:sz w:val="28"/>
          <w:szCs w:val="28"/>
          <w:lang w:val="en-US" w:eastAsia="zh-CN"/>
        </w:rPr>
        <w:t>（须包含分部分项工程量清单综合单价分析表等《建设工程工程量清单计价规范》（GB 50500-2013）中要求提供的文件。）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2"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2"/>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3" w:name="OLE_LINK2"/>
      <w:bookmarkStart w:id="134" w:name="OLE_LINK3"/>
      <w:bookmarkStart w:id="135" w:name="OLE_LINK1"/>
      <w:r>
        <w:rPr>
          <w:rFonts w:hint="eastAsia" w:ascii="仿宋_GB2312" w:hAnsi="宋体" w:eastAsia="仿宋_GB2312" w:cs="宋体"/>
          <w:sz w:val="24"/>
          <w:szCs w:val="24"/>
        </w:rPr>
        <w:t>学校采购活动</w:t>
      </w:r>
      <w:bookmarkEnd w:id="133"/>
      <w:bookmarkEnd w:id="134"/>
      <w:bookmarkEnd w:id="135"/>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6" w:name="OLE_LINK8"/>
      <w:bookmarkStart w:id="137" w:name="OLE_LINK9"/>
      <w:bookmarkStart w:id="138" w:name="OLE_LINK5"/>
      <w:bookmarkStart w:id="139" w:name="OLE_LINK4"/>
      <w:bookmarkStart w:id="140" w:name="OLE_LINK6"/>
      <w:bookmarkStart w:id="141" w:name="OLE_LINK7"/>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6"/>
      <w:bookmarkEnd w:id="137"/>
      <w:bookmarkEnd w:id="138"/>
      <w:bookmarkEnd w:id="139"/>
      <w:bookmarkEnd w:id="140"/>
      <w:bookmarkEnd w:id="141"/>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2" w:name="OLE_LINK78"/>
      <w:bookmarkStart w:id="143" w:name="OLE_LINK77"/>
      <w:bookmarkStart w:id="144" w:name="OLE_LINK76"/>
      <w:r>
        <w:rPr>
          <w:rFonts w:hint="eastAsia" w:ascii="仿宋_GB2312" w:hAnsi="微软雅黑" w:eastAsia="仿宋_GB2312"/>
          <w:sz w:val="24"/>
          <w:szCs w:val="24"/>
        </w:rPr>
        <w:t>国资处、采购代理机构</w:t>
      </w:r>
      <w:bookmarkEnd w:id="142"/>
      <w:bookmarkEnd w:id="143"/>
      <w:bookmarkEnd w:id="144"/>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第五章 </w:t>
      </w:r>
      <w:r>
        <w:rPr>
          <w:rStyle w:val="29"/>
          <w:rFonts w:hint="eastAsia" w:ascii="微软雅黑" w:hAnsi="微软雅黑" w:eastAsia="黑体"/>
          <w:sz w:val="30"/>
          <w:szCs w:val="30"/>
        </w:rPr>
        <w:t> </w:t>
      </w:r>
      <w:r>
        <w:rPr>
          <w:rStyle w:val="29"/>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5" w:name="OLE_LINK11"/>
      <w:bookmarkStart w:id="146" w:name="OLE_LINK13"/>
      <w:bookmarkStart w:id="147"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5"/>
      <w:bookmarkEnd w:id="146"/>
      <w:bookmarkEnd w:id="147"/>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8" w:name="OLE_LINK14"/>
      <w:bookmarkStart w:id="149" w:name="OLE_LINK15"/>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8"/>
    <w:bookmarkEnd w:id="149"/>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29"/>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第六章 </w:t>
      </w:r>
      <w:r>
        <w:rPr>
          <w:rStyle w:val="29"/>
          <w:rFonts w:hint="eastAsia" w:ascii="微软雅黑" w:hAnsi="微软雅黑" w:eastAsia="黑体"/>
          <w:sz w:val="30"/>
          <w:szCs w:val="30"/>
        </w:rPr>
        <w:t> </w:t>
      </w:r>
      <w:r>
        <w:rPr>
          <w:rStyle w:val="29"/>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9"/>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0" w:name="OLE_LINK16"/>
      <w:bookmarkStart w:id="151" w:name="OLE_LINK17"/>
      <w:bookmarkStart w:id="152" w:name="OLE_LINK18"/>
      <w:r>
        <w:rPr>
          <w:rFonts w:hint="eastAsia" w:ascii="仿宋_GB2312" w:hAnsi="宋体" w:eastAsia="仿宋_GB2312" w:cs="宋体"/>
          <w:sz w:val="24"/>
          <w:szCs w:val="24"/>
        </w:rPr>
        <w:t>规</w:t>
      </w:r>
      <w:bookmarkEnd w:id="150"/>
      <w:bookmarkEnd w:id="151"/>
      <w:bookmarkEnd w:id="152"/>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29"/>
          <w:rFonts w:ascii="仿宋_GB2312" w:hAnsi="微软雅黑" w:eastAsia="仿宋_GB2312"/>
          <w:sz w:val="24"/>
          <w:szCs w:val="24"/>
        </w:rPr>
      </w:pPr>
      <w:r>
        <w:rPr>
          <w:rStyle w:val="29"/>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29"/>
          <w:rFonts w:ascii="黑体" w:hAnsi="黑体" w:eastAsia="黑体"/>
          <w:sz w:val="24"/>
          <w:szCs w:val="24"/>
        </w:rPr>
      </w:pPr>
      <w:r>
        <w:rPr>
          <w:rStyle w:val="29"/>
          <w:rFonts w:hint="eastAsia" w:ascii="黑体" w:hAnsi="黑体" w:eastAsia="黑体"/>
          <w:sz w:val="24"/>
          <w:szCs w:val="24"/>
        </w:rPr>
        <w:t xml:space="preserve">第七章 </w:t>
      </w:r>
      <w:r>
        <w:rPr>
          <w:rStyle w:val="29"/>
          <w:rFonts w:hint="eastAsia" w:ascii="微软雅黑" w:hAnsi="微软雅黑" w:eastAsia="黑体"/>
          <w:sz w:val="24"/>
          <w:szCs w:val="24"/>
        </w:rPr>
        <w:t> </w:t>
      </w:r>
      <w:r>
        <w:rPr>
          <w:rStyle w:val="29"/>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13F7D"/>
    <w:multiLevelType w:val="singleLevel"/>
    <w:tmpl w:val="A2313F7D"/>
    <w:lvl w:ilvl="0" w:tentative="0">
      <w:start w:val="11"/>
      <w:numFmt w:val="decimal"/>
      <w:lvlText w:val="%1."/>
      <w:lvlJc w:val="left"/>
      <w:pPr>
        <w:tabs>
          <w:tab w:val="left" w:pos="312"/>
        </w:tabs>
      </w:pPr>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3"/>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4"/>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9"/>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2761CB9B"/>
    <w:multiLevelType w:val="singleLevel"/>
    <w:tmpl w:val="2761CB9B"/>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A01301"/>
    <w:rsid w:val="03B66375"/>
    <w:rsid w:val="0432311F"/>
    <w:rsid w:val="04910E13"/>
    <w:rsid w:val="04E55E3A"/>
    <w:rsid w:val="055F6389"/>
    <w:rsid w:val="09296F01"/>
    <w:rsid w:val="092E1276"/>
    <w:rsid w:val="09564F15"/>
    <w:rsid w:val="09A84CAA"/>
    <w:rsid w:val="09AC2920"/>
    <w:rsid w:val="0A4546CD"/>
    <w:rsid w:val="0A9D21CB"/>
    <w:rsid w:val="0A9D2C05"/>
    <w:rsid w:val="0C5D773D"/>
    <w:rsid w:val="0D7754CF"/>
    <w:rsid w:val="0D7E2A6A"/>
    <w:rsid w:val="0DA16FB4"/>
    <w:rsid w:val="0DAD78C9"/>
    <w:rsid w:val="0E7E3960"/>
    <w:rsid w:val="0ECE2C8D"/>
    <w:rsid w:val="107556EE"/>
    <w:rsid w:val="10A328AC"/>
    <w:rsid w:val="11097CFF"/>
    <w:rsid w:val="11725165"/>
    <w:rsid w:val="11A93BAF"/>
    <w:rsid w:val="12A869B3"/>
    <w:rsid w:val="12DA0610"/>
    <w:rsid w:val="16192806"/>
    <w:rsid w:val="162C38CF"/>
    <w:rsid w:val="17252284"/>
    <w:rsid w:val="177B58CD"/>
    <w:rsid w:val="18020BC4"/>
    <w:rsid w:val="18B051AF"/>
    <w:rsid w:val="18E70052"/>
    <w:rsid w:val="19254BEF"/>
    <w:rsid w:val="19464AA9"/>
    <w:rsid w:val="19DC3498"/>
    <w:rsid w:val="1A07319C"/>
    <w:rsid w:val="1A33516B"/>
    <w:rsid w:val="1B4F4CC3"/>
    <w:rsid w:val="1B7570E3"/>
    <w:rsid w:val="1BA211E7"/>
    <w:rsid w:val="1D1A4E10"/>
    <w:rsid w:val="1E2D6CC4"/>
    <w:rsid w:val="1F025BBE"/>
    <w:rsid w:val="1F946F19"/>
    <w:rsid w:val="1FD03D76"/>
    <w:rsid w:val="203877A5"/>
    <w:rsid w:val="20EB3EDD"/>
    <w:rsid w:val="214E2D29"/>
    <w:rsid w:val="21A428FD"/>
    <w:rsid w:val="22372AAE"/>
    <w:rsid w:val="228869AA"/>
    <w:rsid w:val="22C22324"/>
    <w:rsid w:val="23567244"/>
    <w:rsid w:val="236513B9"/>
    <w:rsid w:val="24EE3E19"/>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D31750C"/>
    <w:rsid w:val="2DE634B9"/>
    <w:rsid w:val="2E826240"/>
    <w:rsid w:val="2E8D0331"/>
    <w:rsid w:val="2EDF550D"/>
    <w:rsid w:val="30C91186"/>
    <w:rsid w:val="31495EDE"/>
    <w:rsid w:val="31921319"/>
    <w:rsid w:val="31BC6863"/>
    <w:rsid w:val="32FA2CBE"/>
    <w:rsid w:val="338B35BF"/>
    <w:rsid w:val="34092461"/>
    <w:rsid w:val="34EF42C7"/>
    <w:rsid w:val="35941F30"/>
    <w:rsid w:val="35E04617"/>
    <w:rsid w:val="35EA3087"/>
    <w:rsid w:val="365657D0"/>
    <w:rsid w:val="36607CEC"/>
    <w:rsid w:val="36EF1694"/>
    <w:rsid w:val="36F40B16"/>
    <w:rsid w:val="37922808"/>
    <w:rsid w:val="388443D5"/>
    <w:rsid w:val="38FB3C73"/>
    <w:rsid w:val="390659FB"/>
    <w:rsid w:val="390D1E7C"/>
    <w:rsid w:val="3A014C0D"/>
    <w:rsid w:val="3A3D3FD1"/>
    <w:rsid w:val="3B6A356D"/>
    <w:rsid w:val="3B7F0DA7"/>
    <w:rsid w:val="3BAB4838"/>
    <w:rsid w:val="3BF1493F"/>
    <w:rsid w:val="3C474EBB"/>
    <w:rsid w:val="3C504A40"/>
    <w:rsid w:val="3C776471"/>
    <w:rsid w:val="3E2E563A"/>
    <w:rsid w:val="3E547D6D"/>
    <w:rsid w:val="3EA52FF6"/>
    <w:rsid w:val="3EFC727D"/>
    <w:rsid w:val="3F2969DF"/>
    <w:rsid w:val="3F646DBC"/>
    <w:rsid w:val="43001B9C"/>
    <w:rsid w:val="44E0509A"/>
    <w:rsid w:val="450C5FC9"/>
    <w:rsid w:val="457774F2"/>
    <w:rsid w:val="45C94FEF"/>
    <w:rsid w:val="462D2409"/>
    <w:rsid w:val="463D2F25"/>
    <w:rsid w:val="47C1249E"/>
    <w:rsid w:val="481B4427"/>
    <w:rsid w:val="485756B9"/>
    <w:rsid w:val="48835154"/>
    <w:rsid w:val="49276B29"/>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116AAD"/>
    <w:rsid w:val="5234643D"/>
    <w:rsid w:val="52823DEE"/>
    <w:rsid w:val="52EC4B4A"/>
    <w:rsid w:val="53510242"/>
    <w:rsid w:val="54102DA0"/>
    <w:rsid w:val="54B565B4"/>
    <w:rsid w:val="5517751A"/>
    <w:rsid w:val="56194C24"/>
    <w:rsid w:val="56F05266"/>
    <w:rsid w:val="57350A15"/>
    <w:rsid w:val="575168F3"/>
    <w:rsid w:val="58732C56"/>
    <w:rsid w:val="594D5E25"/>
    <w:rsid w:val="59E14756"/>
    <w:rsid w:val="5A7E4E4D"/>
    <w:rsid w:val="5A876F07"/>
    <w:rsid w:val="5AB55191"/>
    <w:rsid w:val="5ABC17C7"/>
    <w:rsid w:val="5B3A2360"/>
    <w:rsid w:val="5BFB2CB6"/>
    <w:rsid w:val="5C957923"/>
    <w:rsid w:val="5CA42F27"/>
    <w:rsid w:val="5CE11CAD"/>
    <w:rsid w:val="5D0F5ABF"/>
    <w:rsid w:val="5DE021E2"/>
    <w:rsid w:val="5DFA5BF3"/>
    <w:rsid w:val="5E545B85"/>
    <w:rsid w:val="5E6C12B6"/>
    <w:rsid w:val="5F765DB0"/>
    <w:rsid w:val="622A6C63"/>
    <w:rsid w:val="623D10A6"/>
    <w:rsid w:val="62EF21DB"/>
    <w:rsid w:val="631D68AE"/>
    <w:rsid w:val="632D6F40"/>
    <w:rsid w:val="63AF1D1A"/>
    <w:rsid w:val="63F510AA"/>
    <w:rsid w:val="648E32AE"/>
    <w:rsid w:val="64A06B15"/>
    <w:rsid w:val="64BC084D"/>
    <w:rsid w:val="64D252BD"/>
    <w:rsid w:val="65412DFD"/>
    <w:rsid w:val="657F52AC"/>
    <w:rsid w:val="65ED3907"/>
    <w:rsid w:val="663742F4"/>
    <w:rsid w:val="663A01C8"/>
    <w:rsid w:val="668B2466"/>
    <w:rsid w:val="66DB439B"/>
    <w:rsid w:val="66E003B2"/>
    <w:rsid w:val="6817729A"/>
    <w:rsid w:val="699E695C"/>
    <w:rsid w:val="69BF7E12"/>
    <w:rsid w:val="6A407083"/>
    <w:rsid w:val="6A576E16"/>
    <w:rsid w:val="6B5E1C10"/>
    <w:rsid w:val="6B9C09D1"/>
    <w:rsid w:val="6BC86475"/>
    <w:rsid w:val="6C0D40F8"/>
    <w:rsid w:val="6C2E4C0D"/>
    <w:rsid w:val="6DA6798D"/>
    <w:rsid w:val="6DED4397"/>
    <w:rsid w:val="6F420D0F"/>
    <w:rsid w:val="701B5C41"/>
    <w:rsid w:val="71091718"/>
    <w:rsid w:val="71587B7E"/>
    <w:rsid w:val="7276222A"/>
    <w:rsid w:val="73197CE0"/>
    <w:rsid w:val="732A1BFA"/>
    <w:rsid w:val="73344FDD"/>
    <w:rsid w:val="73616E39"/>
    <w:rsid w:val="73C0694D"/>
    <w:rsid w:val="74A54B7B"/>
    <w:rsid w:val="751B270C"/>
    <w:rsid w:val="7532635D"/>
    <w:rsid w:val="768C17FB"/>
    <w:rsid w:val="77722493"/>
    <w:rsid w:val="77C93AFF"/>
    <w:rsid w:val="781529D2"/>
    <w:rsid w:val="79002FDD"/>
    <w:rsid w:val="790F7714"/>
    <w:rsid w:val="795F3BA3"/>
    <w:rsid w:val="79CE0777"/>
    <w:rsid w:val="7A2C2B5D"/>
    <w:rsid w:val="7A3C397B"/>
    <w:rsid w:val="7AE123AE"/>
    <w:rsid w:val="7C88056F"/>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50"/>
    <w:qFormat/>
    <w:uiPriority w:val="9"/>
    <w:pPr>
      <w:keepNext/>
      <w:keepLines/>
      <w:spacing w:before="260" w:after="260" w:line="416" w:lineRule="auto"/>
      <w:outlineLvl w:val="2"/>
    </w:pPr>
    <w:rPr>
      <w:b/>
      <w:bCs/>
      <w:sz w:val="32"/>
      <w:szCs w:val="32"/>
    </w:rPr>
  </w:style>
  <w:style w:type="paragraph" w:styleId="9">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2"/>
    <w:qFormat/>
    <w:uiPriority w:val="9"/>
    <w:pPr>
      <w:keepNext/>
      <w:keepLines/>
      <w:spacing w:before="280" w:after="290" w:line="376" w:lineRule="auto"/>
      <w:outlineLvl w:val="4"/>
    </w:pPr>
    <w:rPr>
      <w:b/>
      <w:bCs/>
      <w:szCs w:val="28"/>
    </w:rPr>
  </w:style>
  <w:style w:type="paragraph" w:styleId="11">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4"/>
    <w:qFormat/>
    <w:uiPriority w:val="9"/>
    <w:pPr>
      <w:keepNext/>
      <w:keepLines/>
      <w:spacing w:before="240" w:after="64" w:line="320" w:lineRule="auto"/>
      <w:outlineLvl w:val="6"/>
    </w:pPr>
    <w:rPr>
      <w:b/>
      <w:bCs/>
      <w:sz w:val="24"/>
      <w:szCs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7"/>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index 4"/>
    <w:basedOn w:val="1"/>
    <w:next w:val="1"/>
    <w:qFormat/>
    <w:uiPriority w:val="99"/>
    <w:pPr>
      <w:ind w:left="600" w:leftChars="600"/>
    </w:pPr>
    <w:rPr>
      <w:rFonts w:ascii="Calibri" w:hAnsi="Calibri"/>
      <w:szCs w:val="24"/>
    </w:rPr>
  </w:style>
  <w:style w:type="paragraph" w:styleId="16">
    <w:name w:val="Plain Text"/>
    <w:basedOn w:val="1"/>
    <w:link w:val="55"/>
    <w:qFormat/>
    <w:uiPriority w:val="0"/>
    <w:pPr>
      <w:spacing w:beforeLines="50" w:afterLines="50" w:line="400" w:lineRule="atLeast"/>
    </w:pPr>
    <w:rPr>
      <w:rFonts w:ascii="宋体" w:hAnsi="Courier New"/>
      <w:kern w:val="0"/>
      <w:sz w:val="24"/>
    </w:rPr>
  </w:style>
  <w:style w:type="paragraph" w:styleId="17">
    <w:name w:val="Date"/>
    <w:basedOn w:val="1"/>
    <w:next w:val="1"/>
    <w:link w:val="56"/>
    <w:unhideWhenUsed/>
    <w:qFormat/>
    <w:uiPriority w:val="99"/>
    <w:pPr>
      <w:ind w:left="100" w:leftChars="2500"/>
    </w:pPr>
  </w:style>
  <w:style w:type="paragraph" w:styleId="18">
    <w:name w:val="Balloon Text"/>
    <w:basedOn w:val="1"/>
    <w:link w:val="57"/>
    <w:unhideWhenUsed/>
    <w:qFormat/>
    <w:uiPriority w:val="99"/>
    <w:rPr>
      <w:sz w:val="18"/>
      <w:szCs w:val="18"/>
    </w:rPr>
  </w:style>
  <w:style w:type="paragraph" w:styleId="19">
    <w:name w:val="footer"/>
    <w:basedOn w:val="1"/>
    <w:link w:val="58"/>
    <w:unhideWhenUsed/>
    <w:qFormat/>
    <w:uiPriority w:val="99"/>
    <w:pPr>
      <w:tabs>
        <w:tab w:val="center" w:pos="4153"/>
        <w:tab w:val="right" w:pos="8306"/>
      </w:tabs>
      <w:snapToGrid w:val="0"/>
      <w:jc w:val="left"/>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0"/>
    <w:qFormat/>
    <w:uiPriority w:val="10"/>
    <w:pPr>
      <w:spacing w:before="240" w:after="60"/>
      <w:jc w:val="center"/>
      <w:outlineLvl w:val="0"/>
    </w:pPr>
    <w:rPr>
      <w:rFonts w:ascii="Cambria" w:hAnsi="Cambria" w:cs="Times New Roman"/>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Hyperlink"/>
    <w:basedOn w:val="28"/>
    <w:unhideWhenUsed/>
    <w:qFormat/>
    <w:uiPriority w:val="99"/>
    <w:rPr>
      <w:color w:val="0000FF"/>
      <w:u w:val="single"/>
    </w:rPr>
  </w:style>
  <w:style w:type="paragraph" w:styleId="31">
    <w:name w:val="List Paragraph"/>
    <w:basedOn w:val="1"/>
    <w:link w:val="63"/>
    <w:qFormat/>
    <w:uiPriority w:val="0"/>
    <w:pPr>
      <w:ind w:firstLine="420" w:firstLineChars="200"/>
    </w:pPr>
    <w:rPr>
      <w:kern w:val="0"/>
    </w:rPr>
  </w:style>
  <w:style w:type="paragraph" w:customStyle="1" w:styleId="32">
    <w:name w:val="正文 第一章"/>
    <w:basedOn w:val="1"/>
    <w:next w:val="33"/>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3">
    <w:name w:val="正文 1.1"/>
    <w:basedOn w:val="1"/>
    <w:next w:val="34"/>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4">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5">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6">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标题 2 New"/>
    <w:basedOn w:val="42"/>
    <w:next w:val="42"/>
    <w:qFormat/>
    <w:uiPriority w:val="0"/>
    <w:pPr>
      <w:keepNext/>
      <w:keepLines/>
      <w:spacing w:before="260" w:after="260" w:line="413" w:lineRule="auto"/>
      <w:outlineLvl w:val="1"/>
    </w:pPr>
    <w:rPr>
      <w:rFonts w:ascii="Arial" w:hAnsi="Arial" w:eastAsia="黑体"/>
      <w:b/>
      <w:bCs/>
      <w:sz w:val="32"/>
      <w:szCs w:val="32"/>
    </w:rPr>
  </w:style>
  <w:style w:type="paragraph" w:customStyle="1" w:styleId="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Normal_0"/>
    <w:qFormat/>
    <w:uiPriority w:val="99"/>
    <w:rPr>
      <w:rFonts w:ascii="Calibri" w:hAnsi="Calibri" w:eastAsia="宋体" w:cs="Times New Roman"/>
      <w:sz w:val="24"/>
      <w:szCs w:val="24"/>
      <w:lang w:val="en-US" w:eastAsia="zh-CN" w:bidi="ar-SA"/>
    </w:rPr>
  </w:style>
  <w:style w:type="paragraph" w:customStyle="1" w:styleId="46">
    <w:name w:val="Default"/>
    <w:next w:val="23"/>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7">
    <w:name w:val="正文文本缩进 Char"/>
    <w:link w:val="3"/>
    <w:qFormat/>
    <w:locked/>
    <w:uiPriority w:val="0"/>
    <w:rPr>
      <w:rFonts w:ascii="宋体" w:hAnsi="Courier New" w:eastAsia="宋体"/>
      <w:spacing w:val="-4"/>
      <w:sz w:val="18"/>
    </w:rPr>
  </w:style>
  <w:style w:type="character" w:customStyle="1" w:styleId="48">
    <w:name w:val="标题 1 Char"/>
    <w:basedOn w:val="28"/>
    <w:link w:val="6"/>
    <w:qFormat/>
    <w:uiPriority w:val="0"/>
    <w:rPr>
      <w:rFonts w:ascii="宋体" w:hAnsi="Arial" w:eastAsia="黑体" w:cs="Times New Roman"/>
      <w:b/>
      <w:bCs/>
      <w:color w:val="000000"/>
      <w:kern w:val="44"/>
      <w:sz w:val="36"/>
      <w:szCs w:val="32"/>
    </w:rPr>
  </w:style>
  <w:style w:type="character" w:customStyle="1" w:styleId="49">
    <w:name w:val="标题 2 Char"/>
    <w:basedOn w:val="28"/>
    <w:link w:val="7"/>
    <w:semiHidden/>
    <w:qFormat/>
    <w:uiPriority w:val="9"/>
    <w:rPr>
      <w:rFonts w:ascii="Cambria" w:hAnsi="Cambria" w:eastAsia="宋体" w:cs="Times New Roman"/>
      <w:b/>
      <w:bCs/>
      <w:sz w:val="32"/>
      <w:szCs w:val="32"/>
    </w:rPr>
  </w:style>
  <w:style w:type="character" w:customStyle="1" w:styleId="50">
    <w:name w:val="标题 3 Char1"/>
    <w:basedOn w:val="28"/>
    <w:link w:val="8"/>
    <w:semiHidden/>
    <w:qFormat/>
    <w:uiPriority w:val="9"/>
    <w:rPr>
      <w:rFonts w:ascii="Times New Roman" w:hAnsi="Times New Roman" w:eastAsia="宋体" w:cs="Times New Roman"/>
      <w:b/>
      <w:bCs/>
      <w:sz w:val="32"/>
      <w:szCs w:val="32"/>
    </w:rPr>
  </w:style>
  <w:style w:type="character" w:customStyle="1" w:styleId="51">
    <w:name w:val="标题 4 Char"/>
    <w:basedOn w:val="28"/>
    <w:link w:val="9"/>
    <w:semiHidden/>
    <w:qFormat/>
    <w:uiPriority w:val="9"/>
    <w:rPr>
      <w:rFonts w:ascii="Cambria" w:hAnsi="Cambria" w:eastAsia="宋体" w:cs="Times New Roman"/>
      <w:b/>
      <w:bCs/>
      <w:sz w:val="28"/>
      <w:szCs w:val="28"/>
    </w:rPr>
  </w:style>
  <w:style w:type="character" w:customStyle="1" w:styleId="52">
    <w:name w:val="标题 5 Char"/>
    <w:basedOn w:val="28"/>
    <w:link w:val="10"/>
    <w:semiHidden/>
    <w:qFormat/>
    <w:uiPriority w:val="9"/>
    <w:rPr>
      <w:rFonts w:ascii="Times New Roman" w:hAnsi="Times New Roman" w:eastAsia="宋体" w:cs="Times New Roman"/>
      <w:b/>
      <w:bCs/>
      <w:sz w:val="28"/>
      <w:szCs w:val="28"/>
    </w:rPr>
  </w:style>
  <w:style w:type="character" w:customStyle="1" w:styleId="53">
    <w:name w:val="标题 6 Char"/>
    <w:basedOn w:val="28"/>
    <w:link w:val="11"/>
    <w:semiHidden/>
    <w:qFormat/>
    <w:uiPriority w:val="9"/>
    <w:rPr>
      <w:rFonts w:ascii="Cambria" w:hAnsi="Cambria" w:eastAsia="宋体" w:cs="Times New Roman"/>
      <w:b/>
      <w:bCs/>
      <w:sz w:val="24"/>
      <w:szCs w:val="24"/>
    </w:rPr>
  </w:style>
  <w:style w:type="character" w:customStyle="1" w:styleId="54">
    <w:name w:val="标题 7 Char"/>
    <w:basedOn w:val="28"/>
    <w:link w:val="12"/>
    <w:semiHidden/>
    <w:qFormat/>
    <w:uiPriority w:val="9"/>
    <w:rPr>
      <w:rFonts w:ascii="Times New Roman" w:hAnsi="Times New Roman" w:eastAsia="宋体" w:cs="Times New Roman"/>
      <w:b/>
      <w:bCs/>
      <w:sz w:val="24"/>
      <w:szCs w:val="24"/>
    </w:rPr>
  </w:style>
  <w:style w:type="character" w:customStyle="1" w:styleId="55">
    <w:name w:val="纯文本 Char1"/>
    <w:link w:val="16"/>
    <w:qFormat/>
    <w:uiPriority w:val="0"/>
    <w:rPr>
      <w:rFonts w:ascii="宋体" w:hAnsi="Courier New" w:eastAsia="宋体"/>
      <w:sz w:val="24"/>
    </w:rPr>
  </w:style>
  <w:style w:type="character" w:customStyle="1" w:styleId="56">
    <w:name w:val="日期 Char"/>
    <w:basedOn w:val="28"/>
    <w:link w:val="17"/>
    <w:semiHidden/>
    <w:qFormat/>
    <w:uiPriority w:val="99"/>
    <w:rPr>
      <w:rFonts w:ascii="Times New Roman" w:hAnsi="Times New Roman" w:eastAsia="宋体" w:cs="Times New Roman"/>
      <w:sz w:val="28"/>
      <w:szCs w:val="20"/>
    </w:rPr>
  </w:style>
  <w:style w:type="character" w:customStyle="1" w:styleId="57">
    <w:name w:val="批注框文本 Char"/>
    <w:basedOn w:val="28"/>
    <w:link w:val="18"/>
    <w:semiHidden/>
    <w:qFormat/>
    <w:uiPriority w:val="99"/>
    <w:rPr>
      <w:rFonts w:ascii="Times New Roman" w:hAnsi="Times New Roman" w:eastAsia="宋体" w:cs="Times New Roman"/>
      <w:sz w:val="18"/>
      <w:szCs w:val="18"/>
    </w:rPr>
  </w:style>
  <w:style w:type="character" w:customStyle="1" w:styleId="58">
    <w:name w:val="页脚 Char"/>
    <w:basedOn w:val="28"/>
    <w:link w:val="19"/>
    <w:qFormat/>
    <w:uiPriority w:val="99"/>
    <w:rPr>
      <w:rFonts w:ascii="Times New Roman" w:hAnsi="Times New Roman" w:eastAsia="宋体" w:cs="Times New Roman"/>
      <w:sz w:val="18"/>
      <w:szCs w:val="18"/>
    </w:rPr>
  </w:style>
  <w:style w:type="character" w:customStyle="1" w:styleId="59">
    <w:name w:val="页眉 Char"/>
    <w:basedOn w:val="28"/>
    <w:link w:val="20"/>
    <w:semiHidden/>
    <w:qFormat/>
    <w:uiPriority w:val="99"/>
    <w:rPr>
      <w:rFonts w:ascii="Times New Roman" w:hAnsi="Times New Roman" w:eastAsia="宋体" w:cs="Times New Roman"/>
      <w:sz w:val="18"/>
      <w:szCs w:val="18"/>
    </w:rPr>
  </w:style>
  <w:style w:type="character" w:customStyle="1" w:styleId="60">
    <w:name w:val="标题 Char"/>
    <w:basedOn w:val="28"/>
    <w:link w:val="25"/>
    <w:qFormat/>
    <w:uiPriority w:val="10"/>
    <w:rPr>
      <w:rFonts w:ascii="Cambria" w:hAnsi="Cambria" w:eastAsia="宋体" w:cs="Times New Roman"/>
      <w:b/>
      <w:bCs/>
      <w:sz w:val="32"/>
      <w:szCs w:val="32"/>
    </w:rPr>
  </w:style>
  <w:style w:type="character" w:customStyle="1" w:styleId="61">
    <w:name w:val="正文文本缩进 Char1"/>
    <w:basedOn w:val="28"/>
    <w:semiHidden/>
    <w:qFormat/>
    <w:uiPriority w:val="99"/>
    <w:rPr>
      <w:rFonts w:ascii="Times New Roman" w:hAnsi="Times New Roman" w:eastAsia="宋体" w:cs="Times New Roman"/>
      <w:sz w:val="28"/>
      <w:szCs w:val="20"/>
    </w:rPr>
  </w:style>
  <w:style w:type="character" w:customStyle="1" w:styleId="62">
    <w:name w:val="纯文本 Char"/>
    <w:basedOn w:val="28"/>
    <w:semiHidden/>
    <w:qFormat/>
    <w:uiPriority w:val="99"/>
    <w:rPr>
      <w:rFonts w:ascii="宋体" w:hAnsi="Courier New" w:eastAsia="宋体" w:cs="Courier New"/>
      <w:szCs w:val="21"/>
    </w:rPr>
  </w:style>
  <w:style w:type="character" w:customStyle="1" w:styleId="63">
    <w:name w:val="列出段落 Char"/>
    <w:link w:val="31"/>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 w:type="paragraph" w:customStyle="1" w:styleId="66">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7">
    <w:name w:val="_Style 13"/>
    <w:basedOn w:val="1"/>
    <w:next w:val="31"/>
    <w:qFormat/>
    <w:uiPriority w:val="99"/>
    <w:pPr>
      <w:ind w:firstLine="420" w:firstLineChars="200"/>
    </w:pPr>
  </w:style>
  <w:style w:type="paragraph" w:customStyle="1" w:styleId="68">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49</Pages>
  <Words>19963</Words>
  <Characters>20534</Characters>
  <Lines>158</Lines>
  <Paragraphs>44</Paragraphs>
  <TotalTime>6</TotalTime>
  <ScaleCrop>false</ScaleCrop>
  <LinksUpToDate>false</LinksUpToDate>
  <CharactersWithSpaces>23571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2023-04-13T02:21:31Z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EC2D55065EE9410B8AC07D03BAF4E20B</vt:lpwstr>
  </property>
</Properties>
</file>