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2024031</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2024-2026创新创业竞赛培训指导项目（二次）</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4</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皖南医学院2024-2026创新创业竞赛培训指导项目（二次）</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皖南医学院2024-2026创新创业竞赛培训指导项目（二次）</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2024031</w:t>
      </w:r>
      <w:r>
        <w:rPr>
          <w:rFonts w:ascii="仿宋_GB2312" w:eastAsia="仿宋_GB2312" w:cs="宋体"/>
          <w:sz w:val="24"/>
          <w:szCs w:val="24"/>
        </w:rPr>
        <w:t>;</w:t>
      </w:r>
    </w:p>
    <w:p>
      <w:pPr>
        <w:keepNext w:val="0"/>
        <w:keepLines w:val="0"/>
        <w:pageBreakBefore w:val="0"/>
        <w:widowControl/>
        <w:suppressLineNumbers w:val="0"/>
        <w:kinsoku/>
        <w:wordWrap/>
        <w:overflowPunct/>
        <w:topLinePunct w:val="0"/>
        <w:bidi w:val="0"/>
        <w:spacing w:line="240" w:lineRule="auto"/>
        <w:ind w:left="0" w:leftChars="0" w:firstLine="480" w:firstLineChars="200"/>
        <w:jc w:val="left"/>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（三）项目内容：</w:t>
      </w:r>
      <w:r>
        <w:rPr>
          <w:rFonts w:hint="eastAsia" w:ascii="仿宋_GB2312" w:hAnsi="宋体" w:eastAsia="仿宋_GB2312" w:cs="宋体"/>
          <w:kern w:val="0"/>
          <w:sz w:val="24"/>
          <w:szCs w:val="24"/>
          <w:lang w:val="en-US" w:eastAsia="zh-CN" w:bidi="ar-SA"/>
        </w:rPr>
        <w:t>以线上线下结合的模式对2024-2026年创新创业竞赛进行培训指导。主要内容包括以下三个部分：校赛阶段、省赛阶段、国赛阶段。</w:t>
      </w:r>
      <w:r>
        <w:rPr>
          <w:rFonts w:hint="eastAsia" w:ascii="仿宋_GB2312" w:eastAsia="仿宋_GB2312" w:cs="宋体"/>
          <w:sz w:val="24"/>
          <w:szCs w:val="24"/>
          <w:lang w:val="en-US" w:eastAsia="zh-CN"/>
        </w:rPr>
        <w:t>详见磋商文件。</w:t>
      </w:r>
    </w:p>
    <w:p>
      <w:pPr>
        <w:pStyle w:val="46"/>
        <w:autoSpaceDN w:val="0"/>
        <w:spacing w:line="360" w:lineRule="auto"/>
        <w:ind w:firstLine="480" w:firstLineChars="200"/>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（四）项目预算：15万元/年</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rPr>
      </w:pPr>
      <w:r>
        <w:rPr>
          <w:rFonts w:ascii="仿宋_GB2312" w:hAnsi="宋体" w:eastAsia="仿宋_GB2312" w:cs="宋体"/>
          <w:kern w:val="0"/>
          <w:sz w:val="24"/>
          <w:szCs w:val="24"/>
          <w:lang w:val="en-US" w:eastAsia="zh-CN"/>
        </w:rPr>
        <w:t>6.服务团队要求：供应商提供的服务团队中，3人及以上参与过中国国际“互联网+”大学生创新创业大赛、“挑战杯”中国大学生创业计划竞赛省赛及以上评审。需提供服务团队人员名单及竞赛组委会等颁发的聘书等证明材料。</w:t>
      </w:r>
    </w:p>
    <w:p>
      <w:pPr>
        <w:adjustRightInd w:val="0"/>
        <w:snapToGrid w:val="0"/>
        <w:spacing w:line="360" w:lineRule="auto"/>
        <w:ind w:firstLine="453" w:firstLineChars="189"/>
        <w:rPr>
          <w:rFonts w:hint="eastAsia" w:ascii="仿宋_GB2312" w:hAnsi="宋体" w:eastAsia="仿宋_GB2312" w:cs="宋体"/>
          <w:kern w:val="0"/>
          <w:sz w:val="24"/>
          <w:szCs w:val="24"/>
        </w:rPr>
      </w:pPr>
      <w:r>
        <w:rPr>
          <w:rFonts w:hint="default" w:ascii="仿宋_GB2312" w:hAnsi="宋体" w:eastAsia="仿宋_GB2312" w:cs="宋体"/>
          <w:kern w:val="0"/>
          <w:sz w:val="24"/>
          <w:szCs w:val="24"/>
          <w:lang w:val="en-US" w:eastAsia="zh-CN"/>
        </w:rPr>
        <w:t>7.供应商要求：应具有中国国际“互联网+”大学生创新创业大赛或“挑战杯”中国大学生创业计划竞赛服务经验，并获得过上述竞赛国家级奖项。上述业绩需提供双方服务协议及与</w:t>
      </w:r>
      <w:r>
        <w:rPr>
          <w:rFonts w:hint="eastAsia" w:ascii="仿宋_GB2312" w:hAnsi="宋体" w:eastAsia="仿宋_GB2312" w:cs="宋体"/>
          <w:kern w:val="0"/>
          <w:sz w:val="24"/>
          <w:szCs w:val="24"/>
          <w:lang w:val="en-US" w:eastAsia="zh-CN"/>
        </w:rPr>
        <w:t>服务协议</w:t>
      </w:r>
      <w:r>
        <w:rPr>
          <w:rFonts w:hint="default" w:ascii="仿宋_GB2312" w:hAnsi="宋体" w:eastAsia="仿宋_GB2312" w:cs="宋体"/>
          <w:kern w:val="0"/>
          <w:sz w:val="24"/>
          <w:szCs w:val="24"/>
          <w:lang w:val="en-US" w:eastAsia="zh-CN"/>
        </w:rPr>
        <w:t>相对应的奖项证书。</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8</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获取文件</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时间：</w:t>
      </w:r>
      <w:r>
        <w:rPr>
          <w:rFonts w:hint="eastAsia" w:ascii="仿宋_GB2312" w:eastAsia="仿宋_GB2312" w:cs="宋体"/>
          <w:kern w:val="0"/>
          <w:sz w:val="24"/>
          <w:szCs w:val="24"/>
          <w:highlight w:val="none"/>
          <w:lang w:val="en-US" w:eastAsia="zh-CN" w:bidi="ar-SA"/>
        </w:rPr>
        <w:t>2024年5月6日</w:t>
      </w:r>
      <w:r>
        <w:rPr>
          <w:rFonts w:hint="eastAsia" w:ascii="仿宋_GB2312" w:hAnsi="宋体" w:eastAsia="仿宋_GB2312" w:cs="宋体"/>
          <w:kern w:val="0"/>
          <w:sz w:val="24"/>
          <w:szCs w:val="24"/>
          <w:highlight w:val="none"/>
          <w:lang w:val="en-US" w:eastAsia="zh-CN" w:bidi="ar-SA"/>
        </w:rPr>
        <w:t>-</w:t>
      </w:r>
      <w:r>
        <w:rPr>
          <w:rFonts w:hint="eastAsia" w:ascii="仿宋_GB2312" w:eastAsia="仿宋_GB2312" w:cs="宋体"/>
          <w:kern w:val="0"/>
          <w:sz w:val="24"/>
          <w:szCs w:val="24"/>
          <w:highlight w:val="none"/>
          <w:lang w:val="en-US" w:eastAsia="zh-CN" w:bidi="ar-SA"/>
        </w:rPr>
        <w:t>2024年5月17</w:t>
      </w:r>
      <w:r>
        <w:rPr>
          <w:rFonts w:hint="eastAsia" w:ascii="仿宋_GB2312" w:hAnsi="宋体" w:eastAsia="仿宋_GB2312" w:cs="宋体"/>
          <w:kern w:val="0"/>
          <w:sz w:val="24"/>
          <w:szCs w:val="24"/>
          <w:highlight w:val="none"/>
          <w:lang w:val="en-US" w:eastAsia="zh-CN" w:bidi="ar-SA"/>
        </w:rPr>
        <w:t>日</w:t>
      </w:r>
      <w:r>
        <w:rPr>
          <w:rFonts w:hint="eastAsia" w:ascii="仿宋_GB2312" w:eastAsia="仿宋_GB2312" w:cs="宋体"/>
          <w:kern w:val="0"/>
          <w:sz w:val="24"/>
          <w:szCs w:val="24"/>
          <w:highlight w:val="none"/>
          <w:lang w:val="en-US" w:eastAsia="zh-CN" w:bidi="ar-SA"/>
        </w:rPr>
        <w:t>上午9</w:t>
      </w:r>
      <w:r>
        <w:rPr>
          <w:rFonts w:hint="eastAsia" w:ascii="仿宋_GB2312" w:hAnsi="宋体" w:eastAsia="仿宋_GB2312" w:cs="宋体"/>
          <w:kern w:val="0"/>
          <w:sz w:val="24"/>
          <w:szCs w:val="24"/>
          <w:highlight w:val="none"/>
          <w:lang w:val="en-US" w:eastAsia="zh-CN" w:bidi="ar-SA"/>
        </w:rPr>
        <w:t>:00；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eastAsia="仿宋_GB2312" w:cs="宋体"/>
          <w:sz w:val="24"/>
          <w:szCs w:val="24"/>
          <w:lang w:eastAsia="zh-CN"/>
        </w:rPr>
        <w:t>获取文件</w:t>
      </w:r>
      <w:r>
        <w:rPr>
          <w:rFonts w:hint="eastAsia" w:ascii="仿宋_GB2312" w:hAnsi="宋体" w:eastAsia="仿宋_GB2312" w:cs="宋体"/>
          <w:kern w:val="0"/>
          <w:sz w:val="24"/>
          <w:szCs w:val="24"/>
          <w:lang w:val="zh-CN"/>
        </w:rPr>
        <w:t>方式：</w:t>
      </w:r>
      <w:r>
        <w:rPr>
          <w:rFonts w:hint="eastAsia" w:ascii="仿宋_GB2312" w:hAnsi="宋体" w:eastAsia="仿宋_GB2312" w:cs="宋体"/>
          <w:kern w:val="0"/>
          <w:sz w:val="24"/>
          <w:szCs w:val="24"/>
          <w:lang w:eastAsia="zh-CN"/>
        </w:rPr>
        <w:t>皖南医学院2024-2026创新创业竞赛培训指导项目（二次）</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2024031</w:t>
      </w:r>
      <w:r>
        <w:rPr>
          <w:rFonts w:ascii="仿宋_GB2312" w:hAnsi="宋体" w:eastAsia="仿宋_GB2312" w:cs="宋体"/>
          <w:kern w:val="0"/>
          <w:sz w:val="24"/>
          <w:szCs w:val="24"/>
        </w:rPr>
        <w:t>）已在皖南医学院</w:t>
      </w:r>
      <w:r>
        <w:rPr>
          <w:rFonts w:hint="eastAsia" w:ascii="仿宋_GB2312" w:hAnsi="宋体" w:eastAsia="仿宋_GB2312" w:cs="宋体"/>
          <w:kern w:val="0"/>
          <w:sz w:val="24"/>
          <w:szCs w:val="24"/>
          <w:lang w:eastAsia="zh-CN"/>
        </w:rPr>
        <w:t>国资处</w:t>
      </w:r>
      <w:r>
        <w:rPr>
          <w:rFonts w:ascii="仿宋_GB2312" w:hAnsi="宋体" w:eastAsia="仿宋_GB2312" w:cs="宋体"/>
          <w:kern w:val="0"/>
          <w:sz w:val="24"/>
          <w:szCs w:val="24"/>
        </w:rPr>
        <w:t>（</w:t>
      </w:r>
      <w:r>
        <w:rPr>
          <w:rFonts w:hint="eastAsia" w:ascii="仿宋_GB2312" w:hAnsi="宋体" w:eastAsia="仿宋_GB2312" w:cs="宋体"/>
          <w:kern w:val="0"/>
          <w:sz w:val="24"/>
          <w:szCs w:val="24"/>
        </w:rPr>
        <w:t>https://gzc.wnmc.edu.cn/</w:t>
      </w:r>
      <w:r>
        <w:rPr>
          <w:rFonts w:ascii="仿宋_GB2312" w:hAnsi="宋体" w:eastAsia="仿宋_GB2312" w:cs="宋体"/>
          <w:kern w:val="0"/>
          <w:sz w:val="24"/>
          <w:szCs w:val="24"/>
        </w:rPr>
        <w:t>）发布</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5</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17</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5</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17</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w:t>
      </w:r>
      <w:r>
        <w:rPr>
          <w:rFonts w:hint="eastAsia" w:ascii="仿宋_GB2312" w:eastAsia="仿宋_GB2312" w:cs="宋体"/>
          <w:sz w:val="24"/>
          <w:szCs w:val="24"/>
          <w:highlight w:val="none"/>
        </w:rPr>
        <w:t>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16</w:t>
      </w:r>
      <w:bookmarkStart w:id="133" w:name="_GoBack"/>
      <w:bookmarkEnd w:id="133"/>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6</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3"/>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皖南医学院2024-2026创新创业竞赛培训指导项目（二次）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20614214"/>
      <w:bookmarkStart w:id="4" w:name="_Toc403987205"/>
      <w:bookmarkStart w:id="5" w:name="_Toc16938519"/>
      <w:bookmarkStart w:id="6" w:name="_Toc513029203"/>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513029205"/>
      <w:bookmarkStart w:id="13" w:name="_Toc16938521"/>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462564067"/>
      <w:bookmarkStart w:id="19" w:name="_Toc513029207"/>
      <w:bookmarkStart w:id="20" w:name="_Toc20823279"/>
      <w:bookmarkStart w:id="21" w:name="_Toc16938523"/>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403987206"/>
      <w:bookmarkStart w:id="24" w:name="_Toc12061421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20823283"/>
      <w:bookmarkStart w:id="31" w:name="_Toc513029211"/>
      <w:bookmarkStart w:id="32" w:name="_Toc16938527"/>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513029213"/>
      <w:bookmarkStart w:id="35" w:name="_Toc16938529"/>
      <w:bookmarkStart w:id="36" w:name="_Toc462564072"/>
      <w:bookmarkStart w:id="37" w:name="_Toc403987207"/>
      <w:bookmarkStart w:id="38" w:name="_Toc120614216"/>
      <w:bookmarkStart w:id="39" w:name="_Toc20823285"/>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513029214"/>
      <w:bookmarkStart w:id="42" w:name="_Toc16938530"/>
      <w:bookmarkStart w:id="43" w:name="_Toc20823286"/>
      <w:bookmarkStart w:id="44" w:name="_Toc462564073"/>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668975"/>
      <w:bookmarkEnd w:id="50"/>
      <w:bookmarkStart w:id="51" w:name="_Hlt26954838"/>
      <w:bookmarkEnd w:id="51"/>
      <w:bookmarkStart w:id="52" w:name="_Toc49090509"/>
      <w:bookmarkStart w:id="53" w:name="_Toc513029219"/>
      <w:bookmarkStart w:id="54" w:name="_Toc14577357"/>
      <w:bookmarkStart w:id="55" w:name="_Toc49090507"/>
      <w:bookmarkStart w:id="56" w:name="_Toc14577354"/>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6"/>
      <w:bookmarkEnd w:id="63"/>
      <w:bookmarkStart w:id="64" w:name="_Hlt26954852"/>
      <w:bookmarkEnd w:id="64"/>
      <w:bookmarkStart w:id="65" w:name="_Hlt26954846"/>
      <w:bookmarkEnd w:id="65"/>
      <w:bookmarkStart w:id="66" w:name="_Hlt26954848"/>
      <w:bookmarkEnd w:id="66"/>
      <w:bookmarkStart w:id="67" w:name="_Hlt26954739"/>
      <w:bookmarkEnd w:id="67"/>
      <w:bookmarkStart w:id="68" w:name="_Hlt26954731"/>
      <w:bookmarkEnd w:id="68"/>
      <w:bookmarkStart w:id="69" w:name="_Hlt26670482"/>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20614217"/>
      <w:bookmarkStart w:id="73" w:name="_Toc20823296"/>
      <w:bookmarkStart w:id="74" w:name="_Toc16938540"/>
      <w:bookmarkStart w:id="75" w:name="_Toc403987208"/>
      <w:bookmarkStart w:id="76" w:name="_Toc513029224"/>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20823297"/>
      <w:bookmarkStart w:id="78" w:name="_Toc16938541"/>
      <w:bookmarkStart w:id="79" w:name="_Toc462564084"/>
      <w:bookmarkStart w:id="80" w:name="_Toc513029225"/>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513029231"/>
      <w:bookmarkStart w:id="85" w:name="_Toc16938547"/>
      <w:bookmarkStart w:id="86" w:name="_Toc20823303"/>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513029232"/>
      <w:bookmarkStart w:id="88" w:name="_Toc20823304"/>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513029235"/>
      <w:bookmarkStart w:id="94" w:name="_Toc16938551"/>
      <w:bookmarkStart w:id="95" w:name="_Toc20823307"/>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20823309"/>
      <w:bookmarkStart w:id="104" w:name="_Toc16938553"/>
      <w:bookmarkStart w:id="105" w:name="_Toc513029237"/>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3"/>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（1）技术要求</w:t>
      </w:r>
    </w:p>
    <w:p>
      <w:pPr>
        <w:keepNext w:val="0"/>
        <w:keepLines w:val="0"/>
        <w:pageBreakBefore w:val="0"/>
        <w:widowControl/>
        <w:suppressLineNumbers w:val="0"/>
        <w:kinsoku/>
        <w:wordWrap/>
        <w:overflowPunct/>
        <w:topLinePunct w:val="0"/>
        <w:bidi w:val="0"/>
        <w:spacing w:line="240" w:lineRule="auto"/>
        <w:ind w:left="0" w:leftChars="0"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以线上线下结合的模式对2024-2026年创新创业竞赛进行培训指导。主要内容包括以下三个部分：校赛阶段、省赛阶段、国赛阶段。</w:t>
      </w:r>
    </w:p>
    <w:p>
      <w:pPr>
        <w:keepNext w:val="0"/>
        <w:keepLines w:val="0"/>
        <w:pageBreakBefore w:val="0"/>
        <w:widowControl/>
        <w:suppressLineNumbers w:val="0"/>
        <w:kinsoku/>
        <w:wordWrap/>
        <w:overflowPunct/>
        <w:topLinePunct w:val="0"/>
        <w:bidi w:val="0"/>
        <w:spacing w:line="240" w:lineRule="auto"/>
        <w:ind w:left="0" w:leftChars="0" w:firstLine="643" w:firstLineChars="20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（一）校赛阶段</w:t>
      </w:r>
    </w:p>
    <w:p>
      <w:pPr>
        <w:keepNext w:val="0"/>
        <w:keepLines w:val="0"/>
        <w:pageBreakBefore w:val="0"/>
        <w:widowControl/>
        <w:suppressLineNumbers w:val="0"/>
        <w:kinsoku/>
        <w:wordWrap/>
        <w:overflowPunct/>
        <w:topLinePunct w:val="0"/>
        <w:bidi w:val="0"/>
        <w:spacing w:line="240" w:lineRule="auto"/>
        <w:ind w:left="0" w:leftChars="0" w:firstLine="643" w:firstLineChars="20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1.启动阶段</w:t>
      </w:r>
    </w:p>
    <w:p>
      <w:pPr>
        <w:pStyle w:val="10"/>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召开启动大会。举办皖南医学院大学生创新大赛的启动仪式，同时邀请专家进行大赛规则解读、项目发掘、备赛方案的培训，更好的帮助二级学院和老师的潜力项目的发掘与培训工作。</w:t>
      </w:r>
    </w:p>
    <w:p>
      <w:pPr>
        <w:pStyle w:val="9"/>
        <w:keepNext w:val="0"/>
        <w:keepLines w:val="0"/>
        <w:pageBreakBefore w:val="0"/>
        <w:kinsoku/>
        <w:wordWrap/>
        <w:overflowPunct/>
        <w:topLinePunct w:val="0"/>
        <w:bidi w:val="0"/>
        <w:spacing w:line="240" w:lineRule="auto"/>
        <w:ind w:left="0" w:leftChars="0" w:firstLine="643" w:firstLineChars="200"/>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培训内容：</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如何选择优质的种子项目</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优质种子项目的几大特点</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主要项目来源与方向</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项目基本培育规范</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重点模块打磨要点</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怎样培育高质量项目</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专家库搭建结构和合理性</w:t>
      </w:r>
    </w:p>
    <w:p>
      <w:pPr>
        <w:pStyle w:val="9"/>
        <w:keepNext w:val="0"/>
        <w:keepLines w:val="0"/>
        <w:pageBreakBefore w:val="0"/>
        <w:kinsoku/>
        <w:wordWrap/>
        <w:overflowPunct/>
        <w:topLinePunct w:val="0"/>
        <w:bidi w:val="0"/>
        <w:spacing w:line="240" w:lineRule="auto"/>
        <w:ind w:left="0" w:lef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项目成功和大竞获奖的关键点补充和提炼。</w:t>
      </w:r>
    </w:p>
    <w:p>
      <w:pPr>
        <w:pStyle w:val="9"/>
        <w:keepNext w:val="0"/>
        <w:keepLines w:val="0"/>
        <w:pageBreakBefore w:val="0"/>
        <w:kinsoku/>
        <w:wordWrap/>
        <w:overflowPunct/>
        <w:topLinePunct w:val="0"/>
        <w:bidi w:val="0"/>
        <w:spacing w:line="240" w:lineRule="auto"/>
        <w:ind w:left="0" w:leftChars="0" w:firstLine="643"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注：</w:t>
      </w:r>
      <w:r>
        <w:rPr>
          <w:rFonts w:hint="eastAsia" w:ascii="仿宋_GB2312" w:hAnsi="仿宋_GB2312" w:eastAsia="仿宋_GB2312" w:cs="仿宋_GB2312"/>
          <w:b w:val="0"/>
          <w:bCs/>
          <w:kern w:val="2"/>
          <w:sz w:val="32"/>
          <w:szCs w:val="32"/>
          <w:lang w:val="en-US" w:eastAsia="zh-CN" w:bidi="ar-SA"/>
        </w:rPr>
        <w:t>培训专家和校方共同商定。</w:t>
      </w:r>
    </w:p>
    <w:p>
      <w:pPr>
        <w:pStyle w:val="9"/>
        <w:keepNext w:val="0"/>
        <w:keepLines w:val="0"/>
        <w:pageBreakBefore w:val="0"/>
        <w:kinsoku/>
        <w:wordWrap/>
        <w:overflowPunct/>
        <w:topLinePunct w:val="0"/>
        <w:bidi w:val="0"/>
        <w:spacing w:line="240" w:lineRule="auto"/>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2.科创训练营（校赛进阶训练营)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对各学院选拔报送的重点项目进行分类培训，提供进阶培训；根据不同类别参赛项目的共性问题进行针对性指导，进一步完善参赛作品。</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训练营</w:t>
      </w:r>
      <w:r>
        <w:rPr>
          <w:rFonts w:hint="eastAsia" w:ascii="仿宋_GB2312" w:hAnsi="仿宋_GB2312" w:eastAsia="仿宋_GB2312" w:cs="仿宋_GB2312"/>
          <w:b/>
          <w:bCs/>
          <w:sz w:val="32"/>
          <w:szCs w:val="32"/>
        </w:rPr>
        <w:t>时长：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课时</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授课形式：</w:t>
      </w:r>
      <w:r>
        <w:rPr>
          <w:rFonts w:hint="eastAsia" w:ascii="仿宋_GB2312" w:hAnsi="仿宋_GB2312" w:eastAsia="仿宋_GB2312" w:cs="仿宋_GB2312"/>
          <w:sz w:val="32"/>
          <w:szCs w:val="32"/>
          <w:lang w:val="en-US" w:eastAsia="zh-CN"/>
        </w:rPr>
        <w:t>线下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根据项目类型、阶段、行业、赛道，和校方共</w:t>
      </w:r>
    </w:p>
    <w:p>
      <w:pPr>
        <w:pStyle w:val="9"/>
        <w:keepNext w:val="0"/>
        <w:keepLines w:val="0"/>
        <w:pageBreakBefore w:val="0"/>
        <w:numPr>
          <w:ilvl w:val="0"/>
          <w:numId w:val="0"/>
        </w:numPr>
        <w:kinsoku/>
        <w:wordWrap/>
        <w:overflowPunct/>
        <w:topLinePunct w:val="0"/>
        <w:bidi w:val="0"/>
        <w:spacing w:line="240" w:lineRule="auto"/>
        <w:ind w:left="0"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同确定专家组。</w:t>
      </w:r>
    </w:p>
    <w:tbl>
      <w:tblPr>
        <w:tblStyle w:val="29"/>
        <w:tblpPr w:leftFromText="180" w:rightFromText="180" w:vertAnchor="text" w:horzAnchor="page" w:tblpX="2136" w:tblpY="741"/>
        <w:tblOverlap w:val="never"/>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39"/>
        <w:gridCol w:w="330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3"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w:t>
            </w:r>
          </w:p>
        </w:tc>
        <w:tc>
          <w:tcPr>
            <w:tcW w:w="5939" w:type="dxa"/>
            <w:gridSpan w:val="2"/>
            <w:noWrap w:val="0"/>
            <w:vAlign w:val="center"/>
          </w:tcPr>
          <w:p>
            <w:pPr>
              <w:keepNext w:val="0"/>
              <w:keepLines w:val="0"/>
              <w:pageBreakBefore w:val="0"/>
              <w:kinsoku/>
              <w:wordWrap/>
              <w:overflowPunct/>
              <w:topLinePunct w:val="0"/>
              <w:bidi w:val="0"/>
              <w:spacing w:line="240" w:lineRule="auto"/>
              <w:ind w:left="0" w:leftChars="0" w:firstLine="56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课程内容</w:t>
            </w:r>
          </w:p>
        </w:tc>
        <w:tc>
          <w:tcPr>
            <w:tcW w:w="1191"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noWrap w:val="0"/>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第一天</w:t>
            </w:r>
          </w:p>
        </w:tc>
        <w:tc>
          <w:tcPr>
            <w:tcW w:w="2639"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大学生创业项目</w:t>
            </w:r>
          </w:p>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商业计划书撰写与优化</w:t>
            </w:r>
          </w:p>
        </w:tc>
        <w:tc>
          <w:tcPr>
            <w:tcW w:w="3300" w:type="dxa"/>
            <w:noWrap w:val="0"/>
            <w:vAlign w:val="center"/>
          </w:tcPr>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计划书的呈现逻辑</w:t>
            </w:r>
          </w:p>
          <w:p>
            <w:pPr>
              <w:keepNext w:val="0"/>
              <w:keepLines w:val="0"/>
              <w:pageBreakBefore w:val="0"/>
              <w:widowControl/>
              <w:kinsoku/>
              <w:wordWrap/>
              <w:overflowPunct/>
              <w:topLinePunct w:val="0"/>
              <w:bidi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计划书的基本结构</w:t>
            </w:r>
          </w:p>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计划书的撰写要点</w:t>
            </w:r>
          </w:p>
        </w:tc>
        <w:tc>
          <w:tcPr>
            <w:tcW w:w="1191" w:type="dxa"/>
            <w:vMerge w:val="restart"/>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学时</w:t>
            </w:r>
          </w:p>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23" w:type="dxa"/>
            <w:vMerge w:val="continue"/>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c>
          <w:tcPr>
            <w:tcW w:w="2639"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大学生创业项目</w:t>
            </w:r>
          </w:p>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路演展示PPT制作</w:t>
            </w:r>
          </w:p>
        </w:tc>
        <w:tc>
          <w:tcPr>
            <w:tcW w:w="3300" w:type="dxa"/>
            <w:noWrap w:val="0"/>
            <w:vAlign w:val="center"/>
          </w:tcPr>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PPT展示结构梳理</w:t>
            </w:r>
          </w:p>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PPT内容视觉优化</w:t>
            </w:r>
          </w:p>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PPT编排演示技巧</w:t>
            </w:r>
          </w:p>
        </w:tc>
        <w:tc>
          <w:tcPr>
            <w:tcW w:w="1191" w:type="dxa"/>
            <w:vMerge w:val="continue"/>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3" w:type="dxa"/>
            <w:vMerge w:val="continue"/>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c>
          <w:tcPr>
            <w:tcW w:w="2639"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大学生创业项目路演与融资过程关键要素</w:t>
            </w:r>
          </w:p>
        </w:tc>
        <w:tc>
          <w:tcPr>
            <w:tcW w:w="3300" w:type="dxa"/>
            <w:noWrap w:val="0"/>
            <w:vAlign w:val="center"/>
          </w:tcPr>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项目资料准备</w:t>
            </w:r>
          </w:p>
          <w:p>
            <w:pPr>
              <w:keepNext w:val="0"/>
              <w:keepLines w:val="0"/>
              <w:pageBreakBefore w:val="0"/>
              <w:widowControl/>
              <w:kinsoku/>
              <w:wordWrap/>
              <w:overflowPunct/>
              <w:topLinePunct w:val="0"/>
              <w:autoSpaceDE w:val="0"/>
              <w:autoSpaceDN w:val="0"/>
              <w:bidi w:val="0"/>
              <w:adjustRightInd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项目路演要点</w:t>
            </w:r>
          </w:p>
          <w:p>
            <w:pPr>
              <w:keepNext w:val="0"/>
              <w:keepLines w:val="0"/>
              <w:pageBreakBefore w:val="0"/>
              <w:widowControl/>
              <w:kinsoku/>
              <w:wordWrap/>
              <w:overflowPunct/>
              <w:topLinePunct w:val="0"/>
              <w:bidi w:val="0"/>
              <w:spacing w:line="240" w:lineRule="auto"/>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项目形象打造</w:t>
            </w:r>
          </w:p>
        </w:tc>
        <w:tc>
          <w:tcPr>
            <w:tcW w:w="1191" w:type="dxa"/>
            <w:vMerge w:val="continue"/>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3" w:type="dxa"/>
            <w:vMerge w:val="restart"/>
            <w:noWrap w:val="0"/>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第二天</w:t>
            </w:r>
          </w:p>
        </w:tc>
        <w:tc>
          <w:tcPr>
            <w:tcW w:w="7130" w:type="dxa"/>
            <w:gridSpan w:val="3"/>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创业团队</w:t>
            </w:r>
            <w:r>
              <w:rPr>
                <w:rFonts w:hint="eastAsia" w:ascii="仿宋_GB2312" w:hAnsi="仿宋_GB2312" w:eastAsia="仿宋_GB2312" w:cs="仿宋_GB2312"/>
                <w:b/>
                <w:sz w:val="32"/>
                <w:szCs w:val="32"/>
              </w:rPr>
              <w:t>分组</w:t>
            </w:r>
            <w:r>
              <w:rPr>
                <w:rFonts w:hint="eastAsia" w:ascii="仿宋_GB2312" w:hAnsi="仿宋_GB2312" w:eastAsia="仿宋_GB2312" w:cs="仿宋_GB2312"/>
                <w:b/>
                <w:sz w:val="32"/>
                <w:szCs w:val="32"/>
                <w:lang w:val="zh-CN"/>
              </w:rPr>
              <w:t xml:space="preserve">实战模拟路演及指导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023" w:type="dxa"/>
            <w:vMerge w:val="continue"/>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p>
        </w:tc>
        <w:tc>
          <w:tcPr>
            <w:tcW w:w="5939" w:type="dxa"/>
            <w:gridSpan w:val="2"/>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创业项目文案优化与调整</w:t>
            </w:r>
          </w:p>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创业项目PPT展示</w:t>
            </w:r>
            <w:r>
              <w:rPr>
                <w:rFonts w:hint="eastAsia" w:ascii="仿宋_GB2312" w:hAnsi="仿宋_GB2312" w:eastAsia="仿宋_GB2312" w:cs="仿宋_GB2312"/>
                <w:sz w:val="32"/>
                <w:szCs w:val="32"/>
                <w:lang w:val="en-US" w:eastAsia="zh-CN"/>
              </w:rPr>
              <w:t>及路演优化</w:t>
            </w:r>
          </w:p>
        </w:tc>
        <w:tc>
          <w:tcPr>
            <w:tcW w:w="1191" w:type="dxa"/>
            <w:noWrap w:val="0"/>
            <w:vAlign w:val="center"/>
          </w:tcPr>
          <w:p>
            <w:pPr>
              <w:keepNext w:val="0"/>
              <w:keepLines w:val="0"/>
              <w:pageBreakBefore w:val="0"/>
              <w:widowControl/>
              <w:kinsoku/>
              <w:wordWrap/>
              <w:overflowPunct/>
              <w:topLinePunct w:val="0"/>
              <w:bidi w:val="0"/>
              <w:spacing w:line="240" w:lineRule="auto"/>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课时</w:t>
            </w:r>
          </w:p>
        </w:tc>
      </w:tr>
    </w:tbl>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备注：提供各省金奖级参赛模板，快速提升校赛水平。</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3.校赛选拔</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校赛初赛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根据学校大赛安排，参考各学院实际报名情况及历届大赛成绩，确定名额的分配数量。组织校外专家评委对晋级项目进行线上评审，评出进入校赛决赛的项目，进入校赛决赛数量30个以内。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评选方式：网评评审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评审专家：4人，根据项目类型、阶段、行业、赛道，和校方共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同确定专家组</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校赛决赛</w:t>
      </w:r>
    </w:p>
    <w:p>
      <w:pPr>
        <w:keepNext w:val="0"/>
        <w:keepLines w:val="0"/>
        <w:pageBreakBefore w:val="0"/>
        <w:kinsoku/>
        <w:wordWrap/>
        <w:overflowPunct/>
        <w:topLinePunct w:val="0"/>
        <w:bidi w:val="0"/>
        <w:adjustRightInd w:val="0"/>
        <w:snapToGrid w:val="0"/>
        <w:spacing w:line="24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根据省赛现场赛路演+答辩方式进行校赛，</w:t>
      </w:r>
      <w:r>
        <w:rPr>
          <w:rFonts w:hint="eastAsia" w:ascii="仿宋_GB2312" w:hAnsi="仿宋_GB2312" w:eastAsia="仿宋_GB2312" w:cs="仿宋_GB2312"/>
          <w:sz w:val="32"/>
          <w:szCs w:val="32"/>
        </w:rPr>
        <w:t>选拔参加省赛的项目团队</w:t>
      </w:r>
      <w:r>
        <w:rPr>
          <w:rFonts w:hint="eastAsia" w:ascii="仿宋_GB2312" w:hAnsi="仿宋_GB2312" w:eastAsia="仿宋_GB2312" w:cs="仿宋_GB2312"/>
          <w:sz w:val="32"/>
          <w:szCs w:val="32"/>
          <w:lang w:eastAsia="zh-CN"/>
        </w:rPr>
        <w:t>。</w:t>
      </w:r>
    </w:p>
    <w:p>
      <w:pPr>
        <w:pStyle w:val="26"/>
        <w:keepNext w:val="0"/>
        <w:keepLines w:val="0"/>
        <w:pageBreakBefore w:val="0"/>
        <w:kinsoku/>
        <w:wordWrap/>
        <w:overflowPunct/>
        <w:topLinePunct w:val="0"/>
        <w:bidi w:val="0"/>
        <w:spacing w:line="240" w:lineRule="auto"/>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评审专家：省赛评审经验丰富的专家</w:t>
      </w:r>
    </w:p>
    <w:p>
      <w:pPr>
        <w:pStyle w:val="9"/>
        <w:keepNext w:val="0"/>
        <w:keepLines w:val="0"/>
        <w:pageBreakBefore w:val="0"/>
        <w:numPr>
          <w:ilvl w:val="0"/>
          <w:numId w:val="0"/>
        </w:numPr>
        <w:kinsoku/>
        <w:wordWrap/>
        <w:overflowPunct/>
        <w:topLinePunct w:val="0"/>
        <w:bidi w:val="0"/>
        <w:spacing w:line="240" w:lineRule="auto"/>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评选结果：</w:t>
      </w:r>
      <w:r>
        <w:rPr>
          <w:rFonts w:hint="eastAsia" w:ascii="仿宋_GB2312" w:hAnsi="仿宋_GB2312" w:eastAsia="仿宋_GB2312" w:cs="仿宋_GB2312"/>
          <w:kern w:val="2"/>
          <w:sz w:val="32"/>
          <w:szCs w:val="32"/>
          <w:lang w:val="en-US" w:eastAsia="zh-CN" w:bidi="ar-SA"/>
        </w:rPr>
        <w:t>30个优秀项目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（二）省赛阶段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1.省赛优秀项目选拔集训营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训练目的：</w:t>
      </w:r>
      <w:r>
        <w:rPr>
          <w:rFonts w:hint="eastAsia" w:ascii="仿宋_GB2312" w:hAnsi="仿宋_GB2312" w:eastAsia="仿宋_GB2312" w:cs="仿宋_GB2312"/>
          <w:sz w:val="32"/>
          <w:szCs w:val="32"/>
        </w:rPr>
        <w:t>帮助</w:t>
      </w:r>
      <w:r>
        <w:rPr>
          <w:rFonts w:hint="eastAsia" w:ascii="仿宋_GB2312" w:hAnsi="仿宋_GB2312" w:eastAsia="仿宋_GB2312" w:cs="仿宋_GB2312"/>
          <w:sz w:val="32"/>
          <w:szCs w:val="32"/>
          <w:lang w:val="en-US" w:eastAsia="zh-CN"/>
        </w:rPr>
        <w:t>省赛网评参赛项目</w:t>
      </w:r>
      <w:r>
        <w:rPr>
          <w:rFonts w:hint="eastAsia" w:ascii="仿宋_GB2312" w:hAnsi="仿宋_GB2312" w:eastAsia="仿宋_GB2312" w:cs="仿宋_GB2312"/>
          <w:sz w:val="32"/>
          <w:szCs w:val="32"/>
        </w:rPr>
        <w:t>进一步打磨对商业计划书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PPT文案做优化调整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重点项目参赛视频制作。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训练对象：</w:t>
      </w:r>
      <w:r>
        <w:rPr>
          <w:rFonts w:hint="eastAsia" w:ascii="仿宋_GB2312" w:hAnsi="仿宋_GB2312" w:eastAsia="仿宋_GB2312" w:cs="仿宋_GB2312"/>
          <w:sz w:val="32"/>
          <w:szCs w:val="32"/>
          <w:lang w:val="en-US" w:eastAsia="zh-CN"/>
        </w:rPr>
        <w:t>省赛网评</w:t>
      </w:r>
      <w:r>
        <w:rPr>
          <w:rFonts w:hint="eastAsia" w:ascii="仿宋_GB2312" w:hAnsi="仿宋_GB2312" w:eastAsia="仿宋_GB2312" w:cs="仿宋_GB2312"/>
          <w:sz w:val="32"/>
          <w:szCs w:val="32"/>
        </w:rPr>
        <w:t>团队成员及指导教师</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训练营</w:t>
      </w:r>
      <w:r>
        <w:rPr>
          <w:rFonts w:hint="eastAsia" w:ascii="仿宋_GB2312" w:hAnsi="仿宋_GB2312" w:eastAsia="仿宋_GB2312" w:cs="仿宋_GB2312"/>
          <w:b/>
          <w:bCs/>
          <w:sz w:val="32"/>
          <w:szCs w:val="32"/>
        </w:rPr>
        <w:t>时长：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课时</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授课形式：</w:t>
      </w:r>
      <w:r>
        <w:rPr>
          <w:rFonts w:hint="eastAsia" w:ascii="仿宋_GB2312" w:hAnsi="仿宋_GB2312" w:eastAsia="仿宋_GB2312" w:cs="仿宋_GB2312"/>
          <w:sz w:val="32"/>
          <w:szCs w:val="32"/>
          <w:lang w:val="en-US" w:eastAsia="zh-CN"/>
        </w:rPr>
        <w:t>线下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根据项目类型、阶段、行业、赛道，和校方共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同确定专家组</w:t>
      </w:r>
    </w:p>
    <w:tbl>
      <w:tblPr>
        <w:tblStyle w:val="28"/>
        <w:tblW w:w="8255" w:type="dxa"/>
        <w:jc w:val="right"/>
        <w:tblLayout w:type="autofit"/>
        <w:tblCellMar>
          <w:top w:w="0" w:type="dxa"/>
          <w:left w:w="0" w:type="dxa"/>
          <w:bottom w:w="0" w:type="dxa"/>
          <w:right w:w="0" w:type="dxa"/>
        </w:tblCellMar>
      </w:tblPr>
      <w:tblGrid>
        <w:gridCol w:w="870"/>
        <w:gridCol w:w="2985"/>
        <w:gridCol w:w="3090"/>
        <w:gridCol w:w="1310"/>
      </w:tblGrid>
      <w:tr>
        <w:tblPrEx>
          <w:tblCellMar>
            <w:top w:w="0" w:type="dxa"/>
            <w:left w:w="0" w:type="dxa"/>
            <w:bottom w:w="0" w:type="dxa"/>
            <w:right w:w="0" w:type="dxa"/>
          </w:tblCellMar>
        </w:tblPrEx>
        <w:trPr>
          <w:trHeight w:val="319" w:hRule="atLeast"/>
          <w:jc w:val="right"/>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日期</w:t>
            </w:r>
          </w:p>
        </w:tc>
        <w:tc>
          <w:tcPr>
            <w:tcW w:w="60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课程内容</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面授课时</w:t>
            </w:r>
          </w:p>
        </w:tc>
      </w:tr>
      <w:tr>
        <w:tblPrEx>
          <w:tblCellMar>
            <w:top w:w="0" w:type="dxa"/>
            <w:left w:w="0" w:type="dxa"/>
            <w:bottom w:w="0" w:type="dxa"/>
            <w:right w:w="0" w:type="dxa"/>
          </w:tblCellMar>
        </w:tblPrEx>
        <w:trPr>
          <w:trHeight w:val="450" w:hRule="atLeast"/>
          <w:jc w:val="right"/>
        </w:trPr>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第1天</w:t>
            </w:r>
          </w:p>
        </w:tc>
        <w:tc>
          <w:tcPr>
            <w:tcW w:w="298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创业大赛商业计划书撰写与优化</w:t>
            </w:r>
          </w:p>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文案的呈现逻辑</w:t>
            </w:r>
          </w:p>
        </w:tc>
        <w:tc>
          <w:tcPr>
            <w:tcW w:w="13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4学时</w:t>
            </w:r>
          </w:p>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right"/>
        </w:trPr>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298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文案的基本结构</w:t>
            </w:r>
          </w:p>
        </w:tc>
        <w:tc>
          <w:tcPr>
            <w:tcW w:w="1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right"/>
        </w:trPr>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298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文案的撰写要点</w:t>
            </w:r>
          </w:p>
        </w:tc>
        <w:tc>
          <w:tcPr>
            <w:tcW w:w="1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520" w:hRule="atLeast"/>
          <w:jc w:val="right"/>
        </w:trPr>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bottom"/>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第2天</w:t>
            </w:r>
          </w:p>
        </w:tc>
        <w:tc>
          <w:tcPr>
            <w:tcW w:w="298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创业大赛答辩PPT</w:t>
            </w:r>
          </w:p>
        </w:tc>
        <w:tc>
          <w:tcPr>
            <w:tcW w:w="30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PPT展示结构梳理</w:t>
            </w:r>
          </w:p>
        </w:tc>
        <w:tc>
          <w:tcPr>
            <w:tcW w:w="13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4学时</w:t>
            </w:r>
          </w:p>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right"/>
        </w:trPr>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298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PPT内容视觉优化</w:t>
            </w:r>
          </w:p>
        </w:tc>
        <w:tc>
          <w:tcPr>
            <w:tcW w:w="13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right"/>
        </w:trPr>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298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PPT编排演示技巧</w:t>
            </w:r>
          </w:p>
        </w:tc>
        <w:tc>
          <w:tcPr>
            <w:tcW w:w="13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right"/>
        </w:trPr>
        <w:tc>
          <w:tcPr>
            <w:tcW w:w="87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p>
        </w:tc>
        <w:tc>
          <w:tcPr>
            <w:tcW w:w="298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p>
        </w:tc>
        <w:tc>
          <w:tcPr>
            <w:tcW w:w="30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重点项目参赛视频制作指导</w:t>
            </w:r>
          </w:p>
        </w:tc>
        <w:tc>
          <w:tcPr>
            <w:tcW w:w="131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p>
        </w:tc>
      </w:tr>
    </w:tbl>
    <w:p>
      <w:pPr>
        <w:pStyle w:val="34"/>
        <w:keepNext w:val="0"/>
        <w:keepLines w:val="0"/>
        <w:pageBreakBefore w:val="0"/>
        <w:numPr>
          <w:ilvl w:val="0"/>
          <w:numId w:val="0"/>
        </w:numPr>
        <w:kinsoku/>
        <w:wordWrap/>
        <w:overflowPunct/>
        <w:topLinePunct w:val="0"/>
        <w:bidi w:val="0"/>
        <w:adjustRightInd w:val="0"/>
        <w:snapToGrid w:val="0"/>
        <w:spacing w:line="240" w:lineRule="auto"/>
        <w:ind w:left="0" w:leftChars="0" w:firstLine="640" w:firstLineChars="200"/>
        <w:rPr>
          <w:rFonts w:hint="eastAsia" w:ascii="仿宋_GB2312" w:hAnsi="仿宋_GB2312" w:eastAsia="仿宋_GB2312" w:cs="仿宋_GB2312"/>
          <w:sz w:val="32"/>
          <w:szCs w:val="32"/>
          <w:lang w:val="en-US" w:eastAsia="zh-CN"/>
        </w:rPr>
      </w:pPr>
    </w:p>
    <w:p>
      <w:pPr>
        <w:pStyle w:val="34"/>
        <w:keepNext w:val="0"/>
        <w:keepLines w:val="0"/>
        <w:pageBreakBefore w:val="0"/>
        <w:numPr>
          <w:ilvl w:val="0"/>
          <w:numId w:val="0"/>
        </w:numPr>
        <w:kinsoku/>
        <w:wordWrap/>
        <w:overflowPunct/>
        <w:topLinePunct w:val="0"/>
        <w:bidi w:val="0"/>
        <w:adjustRightInd w:val="0"/>
        <w:snapToGrid w:val="0"/>
        <w:spacing w:line="24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注：选拔20支参赛队伍进入下一轮。</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2.省赛优秀项目选拔集训营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训练目的：</w:t>
      </w:r>
      <w:r>
        <w:rPr>
          <w:rFonts w:hint="eastAsia" w:ascii="仿宋_GB2312" w:hAnsi="仿宋_GB2312" w:eastAsia="仿宋_GB2312" w:cs="仿宋_GB2312"/>
          <w:sz w:val="32"/>
          <w:szCs w:val="32"/>
        </w:rPr>
        <w:t>帮助</w:t>
      </w:r>
      <w:r>
        <w:rPr>
          <w:rFonts w:hint="eastAsia" w:ascii="仿宋_GB2312" w:hAnsi="仿宋_GB2312" w:eastAsia="仿宋_GB2312" w:cs="仿宋_GB2312"/>
          <w:sz w:val="32"/>
          <w:szCs w:val="32"/>
          <w:lang w:val="en-US" w:eastAsia="zh-CN"/>
        </w:rPr>
        <w:t>省赛现场赛参赛项目</w:t>
      </w:r>
      <w:r>
        <w:rPr>
          <w:rFonts w:hint="eastAsia" w:ascii="仿宋_GB2312" w:hAnsi="仿宋_GB2312" w:eastAsia="仿宋_GB2312" w:cs="仿宋_GB2312"/>
          <w:sz w:val="32"/>
          <w:szCs w:val="32"/>
        </w:rPr>
        <w:t>进一步打磨对商业计划书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PPT文案做优化调整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重点项目参赛视频制作。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训练对象：</w:t>
      </w:r>
      <w:r>
        <w:rPr>
          <w:rFonts w:hint="eastAsia" w:ascii="仿宋_GB2312" w:hAnsi="仿宋_GB2312" w:eastAsia="仿宋_GB2312" w:cs="仿宋_GB2312"/>
          <w:sz w:val="32"/>
          <w:szCs w:val="32"/>
          <w:lang w:val="en-US" w:eastAsia="zh-CN"/>
        </w:rPr>
        <w:t>省赛网评</w:t>
      </w:r>
      <w:r>
        <w:rPr>
          <w:rFonts w:hint="eastAsia" w:ascii="仿宋_GB2312" w:hAnsi="仿宋_GB2312" w:eastAsia="仿宋_GB2312" w:cs="仿宋_GB2312"/>
          <w:sz w:val="32"/>
          <w:szCs w:val="32"/>
        </w:rPr>
        <w:t>团队成员及指导教师</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训练营</w:t>
      </w:r>
      <w:r>
        <w:rPr>
          <w:rFonts w:hint="eastAsia" w:ascii="仿宋_GB2312" w:hAnsi="仿宋_GB2312" w:eastAsia="仿宋_GB2312" w:cs="仿宋_GB2312"/>
          <w:b/>
          <w:bCs/>
          <w:sz w:val="32"/>
          <w:szCs w:val="32"/>
        </w:rPr>
        <w:t>时长：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课时</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授课形式：</w:t>
      </w:r>
      <w:r>
        <w:rPr>
          <w:rFonts w:hint="eastAsia" w:ascii="仿宋_GB2312" w:hAnsi="仿宋_GB2312" w:eastAsia="仿宋_GB2312" w:cs="仿宋_GB2312"/>
          <w:sz w:val="32"/>
          <w:szCs w:val="32"/>
          <w:lang w:val="en-US" w:eastAsia="zh-CN"/>
        </w:rPr>
        <w:t>线下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根据项目类型、阶段、行业、赛道，和校方共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同确定专家组</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sz w:val="32"/>
          <w:szCs w:val="32"/>
          <w:lang w:val="en-US" w:eastAsia="zh-CN"/>
        </w:rPr>
        <w:t>选拔15支参赛队伍进入下一轮。</w:t>
      </w:r>
    </w:p>
    <w:tbl>
      <w:tblPr>
        <w:tblStyle w:val="28"/>
        <w:tblW w:w="9233" w:type="dxa"/>
        <w:jc w:val="center"/>
        <w:tblLayout w:type="autofit"/>
        <w:tblCellMar>
          <w:top w:w="0" w:type="dxa"/>
          <w:left w:w="0" w:type="dxa"/>
          <w:bottom w:w="0" w:type="dxa"/>
          <w:right w:w="0" w:type="dxa"/>
        </w:tblCellMar>
      </w:tblPr>
      <w:tblGrid>
        <w:gridCol w:w="843"/>
        <w:gridCol w:w="3615"/>
        <w:gridCol w:w="3985"/>
        <w:gridCol w:w="790"/>
      </w:tblGrid>
      <w:tr>
        <w:tblPrEx>
          <w:tblCellMar>
            <w:top w:w="0" w:type="dxa"/>
            <w:left w:w="0" w:type="dxa"/>
            <w:bottom w:w="0" w:type="dxa"/>
            <w:right w:w="0" w:type="dxa"/>
          </w:tblCellMar>
        </w:tblPrEx>
        <w:trPr>
          <w:trHeight w:val="45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第1天</w:t>
            </w: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创业计划大赛参赛全程指导</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分成若干团队，项目要点梳理</w:t>
            </w:r>
          </w:p>
        </w:tc>
        <w:tc>
          <w:tcPr>
            <w:tcW w:w="7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4学时</w:t>
            </w:r>
          </w:p>
        </w:tc>
      </w:tr>
      <w:tr>
        <w:tblPrEx>
          <w:tblCellMar>
            <w:top w:w="0" w:type="dxa"/>
            <w:left w:w="0" w:type="dxa"/>
            <w:bottom w:w="0" w:type="dxa"/>
            <w:right w:w="0" w:type="dxa"/>
          </w:tblCellMar>
        </w:tblPrEx>
        <w:trPr>
          <w:trHeight w:val="45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项目薄弱环节优化 </w:t>
            </w:r>
          </w:p>
        </w:tc>
        <w:tc>
          <w:tcPr>
            <w:tcW w:w="7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第2天</w:t>
            </w: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创新创业大赛参赛网评环节全程指导</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计划书及PPT逻辑调整</w:t>
            </w:r>
          </w:p>
        </w:tc>
        <w:tc>
          <w:tcPr>
            <w:tcW w:w="7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4学时</w:t>
            </w:r>
          </w:p>
        </w:tc>
      </w:tr>
      <w:tr>
        <w:tblPrEx>
          <w:tblCellMar>
            <w:top w:w="0" w:type="dxa"/>
            <w:left w:w="0" w:type="dxa"/>
            <w:bottom w:w="0" w:type="dxa"/>
            <w:right w:w="0" w:type="dxa"/>
          </w:tblCellMar>
        </w:tblPrEx>
        <w:trPr>
          <w:trHeight w:val="45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项目计划书及PPT美化</w:t>
            </w:r>
          </w:p>
        </w:tc>
        <w:tc>
          <w:tcPr>
            <w:tcW w:w="7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bl>
    <w:p>
      <w:pPr>
        <w:pStyle w:val="34"/>
        <w:keepNext w:val="0"/>
        <w:keepLines w:val="0"/>
        <w:pageBreakBefore w:val="0"/>
        <w:numPr>
          <w:ilvl w:val="0"/>
          <w:numId w:val="0"/>
        </w:numPr>
        <w:kinsoku/>
        <w:wordWrap/>
        <w:overflowPunct/>
        <w:topLinePunct w:val="0"/>
        <w:bidi w:val="0"/>
        <w:adjustRightInd w:val="0"/>
        <w:snapToGrid w:val="0"/>
        <w:spacing w:line="240" w:lineRule="auto"/>
        <w:ind w:left="0" w:leftChars="0"/>
        <w:rPr>
          <w:rFonts w:hint="eastAsia" w:ascii="仿宋_GB2312" w:hAnsi="仿宋_GB2312" w:eastAsia="仿宋_GB2312" w:cs="仿宋_GB2312"/>
          <w:b/>
          <w:bCs/>
          <w:sz w:val="32"/>
          <w:szCs w:val="32"/>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3.重点培育项目组（省赛直通）</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直通项目挖掘</w:t>
      </w:r>
    </w:p>
    <w:p>
      <w:pPr>
        <w:keepNext w:val="0"/>
        <w:keepLines w:val="0"/>
        <w:pageBreakBefore w:val="0"/>
        <w:widowControl/>
        <w:suppressLineNumbers w:val="0"/>
        <w:kinsoku/>
        <w:wordWrap/>
        <w:overflowPunct/>
        <w:topLinePunct w:val="0"/>
        <w:bidi w:val="0"/>
        <w:spacing w:line="240" w:lineRule="auto"/>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在校赛初赛网评时针对性了解项目情况，确定校内重点培育项目，以及各个项目后续的材料补充方向及打磨重点，增强项目的竞争性， 加强材料支撑的严谨性。</w:t>
      </w:r>
    </w:p>
    <w:p>
      <w:pPr>
        <w:keepNext w:val="0"/>
        <w:keepLines w:val="0"/>
        <w:pageBreakBefore w:val="0"/>
        <w:widowControl/>
        <w:suppressLineNumbers w:val="0"/>
        <w:kinsoku/>
        <w:wordWrap/>
        <w:overflowPunct/>
        <w:topLinePunct w:val="0"/>
        <w:bidi w:val="0"/>
        <w:spacing w:line="240" w:lineRule="auto"/>
        <w:ind w:left="0" w:leftChars="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针对进入重点培育的项目，从项目计划书、支撑材料、项目视频、答辩 PPT 等方面，进行多轮次一对一深度辅导。并以往届国赛及省赛金奖项目为例，重点 打磨市场痛点、项目创新点、商业模式、财务模式及股权架构，进一步打磨作品， 精益求精，突出项目核心亮点.</w:t>
      </w:r>
    </w:p>
    <w:p>
      <w:pPr>
        <w:pStyle w:val="34"/>
        <w:keepNext w:val="0"/>
        <w:keepLines w:val="0"/>
        <w:pageBreakBefore w:val="0"/>
        <w:numPr>
          <w:ilvl w:val="0"/>
          <w:numId w:val="0"/>
        </w:numPr>
        <w:kinsoku/>
        <w:wordWrap/>
        <w:overflowPunct/>
        <w:topLinePunct w:val="0"/>
        <w:bidi w:val="0"/>
        <w:adjustRightInd w:val="0"/>
        <w:snapToGrid w:val="0"/>
        <w:spacing w:line="240" w:lineRule="auto"/>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直通项目参赛资料打磨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针对进入重点培育的项目，从项目计划书、支撑材料、项目视频、答辩 PPT 等方面，进行多轮次一对一深度辅导。并以往届国赛及省赛金奖项目为例，重点打磨市场痛点、项目创新点、商业模式、财务模式及股权架构，进一步打磨作品， 精益求精，突出项目核心亮点</w:t>
      </w:r>
    </w:p>
    <w:p>
      <w:pPr>
        <w:pStyle w:val="34"/>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注：直通组项目数量10个</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4.省赛冲刺特训营</w:t>
      </w:r>
    </w:p>
    <w:p>
      <w:pPr>
        <w:pStyle w:val="26"/>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对现场赛项目的PPT、路演稿进行升级，并进行高强度答辩模拟，提供大赛答辩问题库，快速提升赛事答辩水平。</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训练对象：</w:t>
      </w:r>
      <w:r>
        <w:rPr>
          <w:rFonts w:hint="eastAsia" w:ascii="仿宋_GB2312" w:hAnsi="仿宋_GB2312" w:eastAsia="仿宋_GB2312" w:cs="仿宋_GB2312"/>
          <w:sz w:val="32"/>
          <w:szCs w:val="32"/>
          <w:lang w:val="en-US" w:eastAsia="zh-CN"/>
        </w:rPr>
        <w:t>省赛现场赛</w:t>
      </w:r>
      <w:r>
        <w:rPr>
          <w:rFonts w:hint="eastAsia" w:ascii="仿宋_GB2312" w:hAnsi="仿宋_GB2312" w:eastAsia="仿宋_GB2312" w:cs="仿宋_GB2312"/>
          <w:sz w:val="32"/>
          <w:szCs w:val="32"/>
        </w:rPr>
        <w:t>团队成员及指导教师</w:t>
      </w:r>
    </w:p>
    <w:p>
      <w:pPr>
        <w:pStyle w:val="34"/>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训练营</w:t>
      </w:r>
      <w:r>
        <w:rPr>
          <w:rFonts w:hint="eastAsia" w:ascii="仿宋_GB2312" w:hAnsi="仿宋_GB2312" w:eastAsia="仿宋_GB2312" w:cs="仿宋_GB2312"/>
          <w:b/>
          <w:bCs/>
          <w:sz w:val="32"/>
          <w:szCs w:val="32"/>
        </w:rPr>
        <w:t>时长：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课时</w:t>
      </w:r>
    </w:p>
    <w:p>
      <w:pPr>
        <w:pStyle w:val="34"/>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授课形式：</w:t>
      </w:r>
      <w:r>
        <w:rPr>
          <w:rFonts w:hint="eastAsia" w:ascii="仿宋_GB2312" w:hAnsi="仿宋_GB2312" w:eastAsia="仿宋_GB2312" w:cs="仿宋_GB2312"/>
          <w:sz w:val="32"/>
          <w:szCs w:val="32"/>
          <w:lang w:val="en-US" w:eastAsia="zh-CN"/>
        </w:rPr>
        <w:t>线下</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kern w:val="2"/>
          <w:sz w:val="32"/>
          <w:szCs w:val="32"/>
          <w:lang w:val="en-US" w:eastAsia="zh-CN" w:bidi="ar-SA"/>
        </w:rPr>
        <w:t>根据项目类型、阶段、行业、赛道，和校方共同</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确定专家组</w:t>
      </w:r>
    </w:p>
    <w:p>
      <w:pPr>
        <w:pStyle w:val="34"/>
        <w:keepNext w:val="0"/>
        <w:keepLines w:val="0"/>
        <w:pageBreakBefore w:val="0"/>
        <w:numPr>
          <w:ilvl w:val="0"/>
          <w:numId w:val="0"/>
        </w:numPr>
        <w:kinsoku/>
        <w:wordWrap/>
        <w:overflowPunct/>
        <w:topLinePunct w:val="0"/>
        <w:bidi w:val="0"/>
        <w:adjustRightInd w:val="0"/>
        <w:snapToGrid w:val="0"/>
        <w:spacing w:line="240" w:lineRule="auto"/>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参训项目：</w:t>
      </w:r>
      <w:r>
        <w:rPr>
          <w:rFonts w:hint="eastAsia" w:ascii="仿宋_GB2312" w:hAnsi="仿宋_GB2312" w:eastAsia="仿宋_GB2312" w:cs="仿宋_GB2312"/>
          <w:sz w:val="32"/>
          <w:szCs w:val="32"/>
          <w:lang w:val="en-US" w:eastAsia="zh-CN"/>
        </w:rPr>
        <w:t>30个</w:t>
      </w:r>
    </w:p>
    <w:tbl>
      <w:tblPr>
        <w:tblStyle w:val="28"/>
        <w:tblW w:w="9233" w:type="dxa"/>
        <w:jc w:val="center"/>
        <w:tblLayout w:type="autofit"/>
        <w:tblCellMar>
          <w:top w:w="0" w:type="dxa"/>
          <w:left w:w="0" w:type="dxa"/>
          <w:bottom w:w="0" w:type="dxa"/>
          <w:right w:w="0" w:type="dxa"/>
        </w:tblCellMar>
      </w:tblPr>
      <w:tblGrid>
        <w:gridCol w:w="843"/>
        <w:gridCol w:w="3615"/>
        <w:gridCol w:w="3985"/>
        <w:gridCol w:w="790"/>
      </w:tblGrid>
      <w:tr>
        <w:tblPrEx>
          <w:tblCellMar>
            <w:top w:w="0" w:type="dxa"/>
            <w:left w:w="0" w:type="dxa"/>
            <w:bottom w:w="0" w:type="dxa"/>
            <w:right w:w="0" w:type="dxa"/>
          </w:tblCellMar>
        </w:tblPrEx>
        <w:trPr>
          <w:trHeight w:val="45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第1天</w:t>
            </w: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现场赛全程指导</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分成若干团队，模拟路演</w:t>
            </w:r>
          </w:p>
        </w:tc>
        <w:tc>
          <w:tcPr>
            <w:tcW w:w="7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4学时</w:t>
            </w:r>
          </w:p>
        </w:tc>
      </w:tr>
      <w:tr>
        <w:tblPrEx>
          <w:tblCellMar>
            <w:top w:w="0" w:type="dxa"/>
            <w:left w:w="0" w:type="dxa"/>
            <w:bottom w:w="0" w:type="dxa"/>
            <w:right w:w="0" w:type="dxa"/>
          </w:tblCellMar>
        </w:tblPrEx>
        <w:trPr>
          <w:trHeight w:val="45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 xml:space="preserve"> PPT优化升级</w:t>
            </w:r>
          </w:p>
        </w:tc>
        <w:tc>
          <w:tcPr>
            <w:tcW w:w="7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第2天</w:t>
            </w: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现场赛全程指导</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路演答辩稿优化定稿</w:t>
            </w:r>
          </w:p>
        </w:tc>
        <w:tc>
          <w:tcPr>
            <w:tcW w:w="7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4学时</w:t>
            </w:r>
          </w:p>
        </w:tc>
      </w:tr>
      <w:tr>
        <w:tblPrEx>
          <w:tblCellMar>
            <w:top w:w="0" w:type="dxa"/>
            <w:left w:w="0" w:type="dxa"/>
            <w:bottom w:w="0" w:type="dxa"/>
            <w:right w:w="0" w:type="dxa"/>
          </w:tblCellMar>
        </w:tblPrEx>
        <w:trPr>
          <w:trHeight w:val="45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路演要点及答辩要点 </w:t>
            </w:r>
          </w:p>
        </w:tc>
        <w:tc>
          <w:tcPr>
            <w:tcW w:w="7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5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模拟实战路演</w:t>
            </w:r>
          </w:p>
        </w:tc>
        <w:tc>
          <w:tcPr>
            <w:tcW w:w="7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rPr>
                <w:rFonts w:hint="eastAsia" w:ascii="仿宋_GB2312" w:hAnsi="仿宋_GB2312" w:eastAsia="仿宋_GB2312" w:cs="仿宋_GB2312"/>
                <w:i w:val="0"/>
                <w:color w:val="000000"/>
                <w:sz w:val="32"/>
                <w:szCs w:val="32"/>
                <w:u w:val="none"/>
              </w:rPr>
            </w:pPr>
          </w:p>
        </w:tc>
      </w:tr>
    </w:tbl>
    <w:p>
      <w:pPr>
        <w:pStyle w:val="34"/>
        <w:keepNext w:val="0"/>
        <w:keepLines w:val="0"/>
        <w:pageBreakBefore w:val="0"/>
        <w:numPr>
          <w:ilvl w:val="0"/>
          <w:numId w:val="0"/>
        </w:numPr>
        <w:kinsoku/>
        <w:wordWrap/>
        <w:overflowPunct/>
        <w:topLinePunct w:val="0"/>
        <w:bidi w:val="0"/>
        <w:spacing w:line="240" w:lineRule="auto"/>
        <w:ind w:left="0" w:leftChars="0" w:firstLine="643" w:firstLineChars="200"/>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（三）国赛阶段</w:t>
      </w:r>
    </w:p>
    <w:p>
      <w:pPr>
        <w:pStyle w:val="34"/>
        <w:keepNext w:val="0"/>
        <w:keepLines w:val="0"/>
        <w:pageBreakBefore w:val="0"/>
        <w:numPr>
          <w:ilvl w:val="0"/>
          <w:numId w:val="0"/>
        </w:numPr>
        <w:kinsoku/>
        <w:wordWrap/>
        <w:overflowPunct/>
        <w:topLinePunct w:val="0"/>
        <w:bidi w:val="0"/>
        <w:spacing w:line="240" w:lineRule="auto"/>
        <w:ind w:left="0" w:leftChars="0" w:firstLine="643" w:firstLineChars="200"/>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1.省赛金奖排位赛打磨强化训练营</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对极速路演PPT、讲稿及网评商业计划书材料进行优化，评委专家一对一辅导跟进项目。（16学时）</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根据项目类型、阶段、行业、赛道，和校方共</w:t>
      </w:r>
    </w:p>
    <w:p>
      <w:pPr>
        <w:pStyle w:val="9"/>
        <w:keepNext w:val="0"/>
        <w:keepLines w:val="0"/>
        <w:pageBreakBefore w:val="0"/>
        <w:numPr>
          <w:ilvl w:val="0"/>
          <w:numId w:val="0"/>
        </w:numPr>
        <w:kinsoku/>
        <w:wordWrap/>
        <w:overflowPunct/>
        <w:topLinePunct w:val="0"/>
        <w:bidi w:val="0"/>
        <w:spacing w:line="240" w:lineRule="auto"/>
        <w:ind w:left="0"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kern w:val="2"/>
          <w:sz w:val="32"/>
          <w:szCs w:val="32"/>
          <w:lang w:val="en-US" w:eastAsia="zh-CN" w:bidi="ar-SA"/>
        </w:rPr>
        <w:t>同确定专家组</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2.国赛网评打磨</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对网评PPT一对一辅导，对项目产品服务、创新优势、商业模式、案例证明专项打磨；对网评计划书进行视觉优化、对证明材料进行扩充。（16学时）</w:t>
      </w:r>
    </w:p>
    <w:p>
      <w:pPr>
        <w:pStyle w:val="9"/>
        <w:keepNext w:val="0"/>
        <w:keepLines w:val="0"/>
        <w:pageBreakBefore w:val="0"/>
        <w:numPr>
          <w:ilvl w:val="0"/>
          <w:numId w:val="0"/>
        </w:numPr>
        <w:kinsoku/>
        <w:wordWrap/>
        <w:overflowPunct/>
        <w:topLinePunct w:val="0"/>
        <w:bidi w:val="0"/>
        <w:spacing w:line="240" w:lineRule="auto"/>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授课师资：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根据项目类型、阶段、行业、赛道，和校方共同确定专家组。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（2）商务要求</w:t>
      </w:r>
    </w:p>
    <w:p>
      <w:pPr>
        <w:pStyle w:val="1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（一）服务时间为2024年5月-2026年12月，合同一年一签。经考核合格且获得国家级奖项后续签下一年合同。</w:t>
      </w:r>
    </w:p>
    <w:p>
      <w:pPr>
        <w:pStyle w:val="9"/>
        <w:keepNext w:val="0"/>
        <w:keepLines w:val="0"/>
        <w:pageBreakBefore w:val="0"/>
        <w:numPr>
          <w:ilvl w:val="0"/>
          <w:numId w:val="0"/>
        </w:numPr>
        <w:kinsoku/>
        <w:wordWrap/>
        <w:overflowPunct/>
        <w:topLinePunct w:val="0"/>
        <w:bidi w:val="0"/>
        <w:spacing w:line="240" w:lineRule="auto"/>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（二）项目金额合计15万元/年。其中基础服务费用3万元/年。如辅导项目获当年中国国际大学生创新大赛安徽省省赛金奖 2项，则支付余额费用（12万元）的30%；如获当年省赛金奖3项，则支付余额费用（12万元）</w:t>
      </w:r>
      <w:r>
        <w:rPr>
          <w:rFonts w:hint="eastAsia" w:ascii="仿宋_GB2312" w:hAnsi="仿宋_GB2312" w:eastAsia="仿宋_GB2312" w:cs="仿宋_GB2312"/>
          <w:kern w:val="2"/>
          <w:sz w:val="32"/>
          <w:szCs w:val="32"/>
          <w:highlight w:val="none"/>
          <w:lang w:val="en-US" w:eastAsia="zh-CN" w:bidi="ar-SA"/>
        </w:rPr>
        <w:t>的60%；如获</w:t>
      </w:r>
      <w:r>
        <w:rPr>
          <w:rFonts w:hint="eastAsia" w:ascii="仿宋_GB2312" w:hAnsi="仿宋_GB2312" w:eastAsia="仿宋_GB2312" w:cs="仿宋_GB2312"/>
          <w:kern w:val="2"/>
          <w:sz w:val="32"/>
          <w:szCs w:val="32"/>
          <w:lang w:val="en-US" w:eastAsia="zh-CN" w:bidi="ar-SA"/>
        </w:rPr>
        <w:t>当年</w:t>
      </w:r>
      <w:r>
        <w:rPr>
          <w:rFonts w:hint="eastAsia" w:ascii="仿宋_GB2312" w:hAnsi="仿宋_GB2312" w:eastAsia="仿宋_GB2312" w:cs="仿宋_GB2312"/>
          <w:kern w:val="2"/>
          <w:sz w:val="32"/>
          <w:szCs w:val="32"/>
          <w:highlight w:val="none"/>
          <w:lang w:val="en-US" w:eastAsia="zh-CN" w:bidi="ar-SA"/>
        </w:rPr>
        <w:t>省赛金奖 4项及以上但无项目进入国赛，则支付</w:t>
      </w:r>
      <w:r>
        <w:rPr>
          <w:rFonts w:hint="eastAsia" w:ascii="仿宋_GB2312" w:hAnsi="仿宋_GB2312" w:eastAsia="仿宋_GB2312" w:cs="仿宋_GB2312"/>
          <w:kern w:val="2"/>
          <w:sz w:val="32"/>
          <w:szCs w:val="32"/>
          <w:lang w:val="en-US" w:eastAsia="zh-CN" w:bidi="ar-SA"/>
        </w:rPr>
        <w:t>余额费用（12万元）</w:t>
      </w:r>
      <w:r>
        <w:rPr>
          <w:rFonts w:hint="eastAsia" w:ascii="仿宋_GB2312" w:hAnsi="仿宋_GB2312" w:eastAsia="仿宋_GB2312" w:cs="仿宋_GB2312"/>
          <w:kern w:val="2"/>
          <w:sz w:val="32"/>
          <w:szCs w:val="32"/>
          <w:highlight w:val="none"/>
          <w:lang w:val="en-US" w:eastAsia="zh-CN" w:bidi="ar-SA"/>
        </w:rPr>
        <w:t>的80%；如获</w:t>
      </w:r>
      <w:r>
        <w:rPr>
          <w:rFonts w:hint="eastAsia" w:ascii="仿宋_GB2312" w:hAnsi="仿宋_GB2312" w:eastAsia="仿宋_GB2312" w:cs="仿宋_GB2312"/>
          <w:kern w:val="2"/>
          <w:sz w:val="32"/>
          <w:szCs w:val="32"/>
          <w:lang w:val="en-US" w:eastAsia="zh-CN" w:bidi="ar-SA"/>
        </w:rPr>
        <w:t>当年</w:t>
      </w:r>
      <w:r>
        <w:rPr>
          <w:rFonts w:hint="eastAsia" w:ascii="仿宋_GB2312" w:hAnsi="仿宋_GB2312" w:eastAsia="仿宋_GB2312" w:cs="仿宋_GB2312"/>
          <w:kern w:val="2"/>
          <w:sz w:val="32"/>
          <w:szCs w:val="32"/>
          <w:highlight w:val="none"/>
          <w:lang w:val="en-US" w:eastAsia="zh-CN" w:bidi="ar-SA"/>
        </w:rPr>
        <w:t>省赛金奖 4项及以上且有项目进入国赛，则支付</w:t>
      </w:r>
      <w:r>
        <w:rPr>
          <w:rFonts w:hint="eastAsia" w:ascii="仿宋_GB2312" w:hAnsi="仿宋_GB2312" w:eastAsia="仿宋_GB2312" w:cs="仿宋_GB2312"/>
          <w:kern w:val="2"/>
          <w:sz w:val="32"/>
          <w:szCs w:val="32"/>
          <w:lang w:val="en-US" w:eastAsia="zh-CN" w:bidi="ar-SA"/>
        </w:rPr>
        <w:t>余额费用（12万元）</w:t>
      </w:r>
      <w:r>
        <w:rPr>
          <w:rFonts w:hint="eastAsia" w:ascii="仿宋_GB2312" w:hAnsi="仿宋_GB2312" w:eastAsia="仿宋_GB2312" w:cs="仿宋_GB2312"/>
          <w:kern w:val="2"/>
          <w:sz w:val="32"/>
          <w:szCs w:val="32"/>
          <w:highlight w:val="none"/>
          <w:lang w:val="en-US" w:eastAsia="zh-CN" w:bidi="ar-SA"/>
        </w:rPr>
        <w:t>的100%。</w:t>
      </w:r>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w:t>
      </w:r>
      <w:r>
        <w:rPr>
          <w:rFonts w:hint="eastAsia" w:ascii="宋体" w:hAnsi="宋体" w:cs="宋体"/>
          <w:sz w:val="24"/>
          <w:szCs w:val="24"/>
          <w:lang w:val="en-US" w:eastAsia="zh-CN"/>
        </w:rPr>
        <w:t>2024031</w:t>
      </w:r>
      <w:r>
        <w:rPr>
          <w:rFonts w:hint="eastAsia" w:ascii="宋体" w:hAnsi="宋体" w:eastAsia="宋体" w:cs="宋体"/>
          <w:sz w:val="24"/>
          <w:szCs w:val="24"/>
          <w:lang w:val="en-US" w:eastAsia="zh-CN"/>
        </w:rPr>
        <w:t>-1</w:t>
      </w:r>
    </w:p>
    <w:p>
      <w:pPr>
        <w:pStyle w:val="27"/>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1、乙方应于合同签订之日起 </w:t>
      </w:r>
      <w:r>
        <w:rPr>
          <w:rFonts w:hint="eastAsia" w:ascii="仿宋" w:hAnsi="仿宋" w:eastAsia="仿宋" w:cs="仿宋"/>
          <w:sz w:val="28"/>
          <w:szCs w:val="28"/>
          <w:u w:val="single"/>
        </w:rPr>
        <w:t xml:space="preserve"> 一 </w:t>
      </w:r>
      <w:r>
        <w:rPr>
          <w:rFonts w:hint="eastAsia" w:ascii="仿宋" w:hAnsi="仿宋" w:eastAsia="仿宋" w:cs="仿宋"/>
          <w:sz w:val="28"/>
          <w:szCs w:val="28"/>
        </w:rPr>
        <w:t xml:space="preserve"> 年内完成合同约定的服务内容，由甲方进行验收。验收方式为：阶段性组织考核验收，考核合格后阶段性付款</w:t>
      </w:r>
      <w:r>
        <w:rPr>
          <w:rFonts w:hint="eastAsia" w:ascii="仿宋" w:hAnsi="仿宋" w:eastAsia="仿宋" w:cs="仿宋"/>
          <w:sz w:val="28"/>
          <w:szCs w:val="28"/>
          <w:lang w:eastAsia="zh-CN"/>
        </w:rPr>
        <w:t>。</w:t>
      </w:r>
      <w:r>
        <w:rPr>
          <w:rFonts w:hint="eastAsia" w:ascii="仿宋" w:hAnsi="仿宋" w:eastAsia="仿宋" w:cs="仿宋"/>
          <w:sz w:val="28"/>
          <w:szCs w:val="28"/>
        </w:rPr>
        <w:t>成立验收小组，验收人员应由买方代表和技术专家组成。</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Style w:val="3"/>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2"/>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3"/>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7"/>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3"/>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09" w:name="_Toc49763004"/>
      <w:r>
        <w:rPr>
          <w:rFonts w:hint="eastAsia" w:ascii="华文中宋" w:hAnsi="华文中宋" w:eastAsia="华文中宋"/>
          <w:color w:val="auto"/>
        </w:rPr>
        <w:t xml:space="preserve"> 评分办法和评分细则</w:t>
      </w:r>
      <w:bookmarkEnd w:id="109"/>
    </w:p>
    <w:p>
      <w:pPr>
        <w:adjustRightInd w:val="0"/>
        <w:snapToGrid w:val="0"/>
        <w:spacing w:line="400" w:lineRule="exact"/>
        <w:rPr>
          <w:rFonts w:ascii="Times New Roman" w:hAnsi="Times New Roman" w:eastAsia="宋体"/>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sz w:val="32"/>
                <w:szCs w:val="32"/>
              </w:rPr>
            </w:pPr>
            <w:bookmarkStart w:id="110" w:name="_Toc49763005"/>
            <w:r>
              <w:rPr>
                <w:rFonts w:hint="eastAsia" w:ascii="仿宋_GB2312" w:hAnsi="仿宋" w:eastAsia="仿宋_GB2312"/>
                <w:sz w:val="32"/>
                <w:szCs w:val="32"/>
              </w:rPr>
              <w:t>评标项目</w:t>
            </w:r>
          </w:p>
        </w:tc>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4870"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磋商报价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1826" w:type="dxa"/>
            <w:noWrap w:val="0"/>
            <w:vAlign w:val="center"/>
          </w:tcPr>
          <w:p>
            <w:pPr>
              <w:spacing w:line="5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1"/>
                <w:szCs w:val="21"/>
              </w:rPr>
            </w:pPr>
            <w:r>
              <w:rPr>
                <w:rFonts w:hint="eastAsia" w:ascii="宋体" w:hAnsi="宋体" w:eastAsia="宋体" w:cs="宋体"/>
                <w:sz w:val="21"/>
                <w:szCs w:val="21"/>
              </w:rPr>
              <w:t>有效供应商的最后报价最低的价格为磋商基准价，其价格分为满分。其他供应商的价格分统一按照下列公式计算：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磋商报价得分=（磋商基准价/最后磋商报价）×价格权值×100</w:t>
            </w:r>
            <w:r>
              <w:rPr>
                <w:rFonts w:hint="eastAsia" w:ascii="宋体" w:hAnsi="宋体" w:eastAsia="宋体" w:cs="宋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总体服务方案</w:t>
            </w:r>
          </w:p>
        </w:tc>
        <w:tc>
          <w:tcPr>
            <w:tcW w:w="1826" w:type="dxa"/>
            <w:noWrap w:val="0"/>
            <w:vAlign w:val="center"/>
          </w:tcPr>
          <w:p>
            <w:pPr>
              <w:spacing w:line="5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服务方案考虑全面，不漏项，专业性、系统性强，操作可行性强，</w:t>
            </w:r>
            <w:r>
              <w:rPr>
                <w:rFonts w:hint="eastAsia" w:ascii="宋体" w:hAnsi="宋体" w:cs="宋体"/>
                <w:sz w:val="21"/>
                <w:szCs w:val="21"/>
                <w:lang w:eastAsia="zh-CN"/>
              </w:rPr>
              <w:t>有单独的启动仪式工作方案，</w:t>
            </w:r>
            <w:r>
              <w:rPr>
                <w:rFonts w:hint="eastAsia" w:ascii="宋体" w:hAnsi="宋体" w:eastAsia="宋体" w:cs="宋体"/>
                <w:sz w:val="21"/>
                <w:szCs w:val="21"/>
              </w:rPr>
              <w:t>得</w:t>
            </w:r>
            <w:r>
              <w:rPr>
                <w:rFonts w:hint="eastAsia" w:ascii="宋体" w:hAnsi="宋体" w:cs="宋体"/>
                <w:sz w:val="21"/>
                <w:szCs w:val="21"/>
                <w:lang w:val="en-US" w:eastAsia="zh-CN"/>
              </w:rPr>
              <w:t>30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服务方案考虑较为全面，基本不漏项，专业性、系统性较强，操作可行性较强，</w:t>
            </w:r>
            <w:r>
              <w:rPr>
                <w:rFonts w:hint="eastAsia" w:ascii="宋体" w:hAnsi="宋体" w:cs="宋体"/>
                <w:sz w:val="21"/>
                <w:szCs w:val="21"/>
                <w:lang w:eastAsia="zh-CN"/>
              </w:rPr>
              <w:t>但服务方案无单独的启动仪式工作方案，</w:t>
            </w:r>
            <w:r>
              <w:rPr>
                <w:rFonts w:hint="eastAsia" w:ascii="宋体" w:hAnsi="宋体" w:eastAsia="宋体" w:cs="宋体"/>
                <w:sz w:val="21"/>
                <w:szCs w:val="21"/>
              </w:rPr>
              <w:t>得</w:t>
            </w:r>
            <w:r>
              <w:rPr>
                <w:rFonts w:hint="eastAsia" w:ascii="宋体" w:hAnsi="宋体" w:cs="宋体"/>
                <w:sz w:val="21"/>
                <w:szCs w:val="21"/>
                <w:lang w:val="en-US" w:eastAsia="zh-CN"/>
              </w:rPr>
              <w:t>15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服务方案考虑不全，有明显漏项，专业性、系统性不强，操作可行性差，得</w:t>
            </w:r>
            <w:r>
              <w:rPr>
                <w:rFonts w:hint="eastAsia" w:ascii="宋体" w:hAnsi="宋体"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trike/>
                <w:dstrike w:val="0"/>
                <w:kern w:val="2"/>
                <w:sz w:val="21"/>
                <w:szCs w:val="21"/>
                <w:lang w:val="en-US" w:eastAsia="zh-CN" w:bidi="ar-SA"/>
              </w:rPr>
            </w:pPr>
            <w:r>
              <w:rPr>
                <w:rFonts w:hint="eastAsia" w:ascii="宋体" w:hAnsi="宋体" w:cs="宋体"/>
                <w:sz w:val="21"/>
                <w:szCs w:val="21"/>
                <w:lang w:eastAsia="zh-CN"/>
              </w:rPr>
              <w:t>无服务方案不得分。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服务实施计划</w:t>
            </w:r>
          </w:p>
        </w:tc>
        <w:tc>
          <w:tcPr>
            <w:tcW w:w="1826" w:type="dxa"/>
            <w:noWrap w:val="0"/>
            <w:vAlign w:val="center"/>
          </w:tcPr>
          <w:p>
            <w:pPr>
              <w:spacing w:line="5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服务实施计划</w:t>
            </w:r>
            <w:r>
              <w:rPr>
                <w:rFonts w:hint="eastAsia" w:ascii="宋体" w:hAnsi="宋体" w:eastAsia="宋体" w:cs="宋体"/>
                <w:sz w:val="21"/>
                <w:szCs w:val="21"/>
              </w:rPr>
              <w:t>考虑全面，操作可行性强，</w:t>
            </w:r>
            <w:r>
              <w:rPr>
                <w:rFonts w:hint="eastAsia" w:ascii="宋体" w:hAnsi="宋体" w:cs="宋体"/>
                <w:sz w:val="21"/>
                <w:szCs w:val="21"/>
                <w:lang w:eastAsia="zh-CN"/>
              </w:rPr>
              <w:t>按照时间线明确各阶段服务，</w:t>
            </w:r>
            <w:r>
              <w:rPr>
                <w:rFonts w:hint="eastAsia" w:ascii="宋体" w:hAnsi="宋体" w:eastAsia="宋体" w:cs="宋体"/>
                <w:sz w:val="21"/>
                <w:szCs w:val="21"/>
              </w:rPr>
              <w:t>得</w:t>
            </w:r>
            <w:r>
              <w:rPr>
                <w:rFonts w:hint="eastAsia" w:ascii="宋体" w:hAnsi="宋体" w:cs="宋体"/>
                <w:sz w:val="21"/>
                <w:szCs w:val="21"/>
                <w:lang w:val="en-US" w:eastAsia="zh-CN"/>
              </w:rPr>
              <w:t>10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服务实施计划</w:t>
            </w:r>
            <w:r>
              <w:rPr>
                <w:rFonts w:hint="eastAsia" w:ascii="宋体" w:hAnsi="宋体" w:eastAsia="宋体" w:cs="宋体"/>
                <w:sz w:val="21"/>
                <w:szCs w:val="21"/>
              </w:rPr>
              <w:t>考虑</w:t>
            </w:r>
            <w:r>
              <w:rPr>
                <w:rFonts w:hint="eastAsia" w:ascii="宋体" w:hAnsi="宋体" w:cs="宋体"/>
                <w:sz w:val="21"/>
                <w:szCs w:val="21"/>
                <w:lang w:eastAsia="zh-CN"/>
              </w:rPr>
              <w:t>较</w:t>
            </w:r>
            <w:r>
              <w:rPr>
                <w:rFonts w:hint="eastAsia" w:ascii="宋体" w:hAnsi="宋体" w:eastAsia="宋体" w:cs="宋体"/>
                <w:sz w:val="21"/>
                <w:szCs w:val="21"/>
              </w:rPr>
              <w:t>周全，有一定的操作可行性</w:t>
            </w:r>
            <w:r>
              <w:rPr>
                <w:rFonts w:hint="eastAsia" w:ascii="宋体" w:hAnsi="宋体" w:cs="宋体"/>
                <w:sz w:val="21"/>
                <w:szCs w:val="21"/>
                <w:lang w:eastAsia="zh-CN"/>
              </w:rPr>
              <w:t>，但未按照时间线明确各阶段服务，</w:t>
            </w:r>
            <w:r>
              <w:rPr>
                <w:rFonts w:hint="eastAsia" w:ascii="宋体" w:hAnsi="宋体" w:eastAsia="宋体" w:cs="宋体"/>
                <w:sz w:val="21"/>
                <w:szCs w:val="21"/>
              </w:rPr>
              <w:t>得</w:t>
            </w:r>
            <w:r>
              <w:rPr>
                <w:rFonts w:hint="eastAsia" w:ascii="宋体" w:hAnsi="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服务实施计划</w:t>
            </w:r>
            <w:r>
              <w:rPr>
                <w:rFonts w:hint="eastAsia" w:ascii="宋体" w:hAnsi="宋体" w:eastAsia="宋体" w:cs="宋体"/>
                <w:sz w:val="21"/>
                <w:szCs w:val="21"/>
              </w:rPr>
              <w:t>考虑不全，操作可行性差，得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kern w:val="2"/>
                <w:sz w:val="21"/>
                <w:szCs w:val="21"/>
                <w:lang w:val="en-US" w:eastAsia="zh-CN" w:bidi="ar-SA"/>
              </w:rPr>
            </w:pPr>
            <w:r>
              <w:rPr>
                <w:rFonts w:hint="eastAsia" w:ascii="宋体" w:hAnsi="宋体" w:cs="宋体"/>
                <w:sz w:val="21"/>
                <w:szCs w:val="21"/>
                <w:lang w:eastAsia="zh-CN"/>
              </w:rPr>
              <w:t>无服务实施计划不得分。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质量控制方案</w:t>
            </w:r>
          </w:p>
        </w:tc>
        <w:tc>
          <w:tcPr>
            <w:tcW w:w="1826"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质量控制方案</w:t>
            </w:r>
            <w:r>
              <w:rPr>
                <w:rFonts w:hint="eastAsia" w:ascii="宋体" w:hAnsi="宋体" w:eastAsia="宋体" w:cs="宋体"/>
                <w:sz w:val="21"/>
                <w:szCs w:val="21"/>
              </w:rPr>
              <w:t>考虑全面，操作可行性强，</w:t>
            </w:r>
            <w:r>
              <w:rPr>
                <w:rFonts w:hint="eastAsia" w:ascii="宋体" w:hAnsi="宋体" w:cs="宋体"/>
                <w:sz w:val="21"/>
                <w:szCs w:val="21"/>
                <w:lang w:eastAsia="zh-CN"/>
              </w:rPr>
              <w:t>明确响应时间和培训效果，</w:t>
            </w:r>
            <w:r>
              <w:rPr>
                <w:rFonts w:hint="eastAsia" w:ascii="宋体" w:hAnsi="宋体" w:eastAsia="宋体" w:cs="宋体"/>
                <w:sz w:val="21"/>
                <w:szCs w:val="21"/>
              </w:rPr>
              <w:t>得</w:t>
            </w:r>
            <w:r>
              <w:rPr>
                <w:rFonts w:hint="eastAsia" w:ascii="宋体" w:hAnsi="宋体" w:cs="宋体"/>
                <w:sz w:val="21"/>
                <w:szCs w:val="21"/>
                <w:lang w:val="en-US" w:eastAsia="zh-CN"/>
              </w:rPr>
              <w:t>10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质量控制方案</w:t>
            </w:r>
            <w:r>
              <w:rPr>
                <w:rFonts w:hint="eastAsia" w:ascii="宋体" w:hAnsi="宋体" w:eastAsia="宋体" w:cs="宋体"/>
                <w:sz w:val="21"/>
                <w:szCs w:val="21"/>
              </w:rPr>
              <w:t>考虑周全，有一定的操作可行性，</w:t>
            </w:r>
            <w:r>
              <w:rPr>
                <w:rFonts w:hint="eastAsia" w:ascii="宋体" w:hAnsi="宋体" w:cs="宋体"/>
                <w:sz w:val="21"/>
                <w:szCs w:val="21"/>
                <w:lang w:eastAsia="zh-CN"/>
              </w:rPr>
              <w:t>明确响应时间或培训效果，</w:t>
            </w:r>
            <w:r>
              <w:rPr>
                <w:rFonts w:hint="eastAsia" w:ascii="宋体" w:hAnsi="宋体" w:eastAsia="宋体" w:cs="宋体"/>
                <w:sz w:val="21"/>
                <w:szCs w:val="21"/>
              </w:rPr>
              <w:t>得</w:t>
            </w:r>
            <w:r>
              <w:rPr>
                <w:rFonts w:hint="eastAsia" w:ascii="宋体" w:hAnsi="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质量控制方案</w:t>
            </w:r>
            <w:r>
              <w:rPr>
                <w:rFonts w:hint="eastAsia" w:ascii="宋体" w:hAnsi="宋体" w:eastAsia="宋体" w:cs="宋体"/>
                <w:sz w:val="21"/>
                <w:szCs w:val="21"/>
              </w:rPr>
              <w:t>考虑不全，操作可行性差，</w:t>
            </w:r>
            <w:r>
              <w:rPr>
                <w:rFonts w:hint="eastAsia" w:ascii="宋体" w:hAnsi="宋体" w:cs="宋体"/>
                <w:sz w:val="21"/>
                <w:szCs w:val="21"/>
                <w:lang w:eastAsia="zh-CN"/>
              </w:rPr>
              <w:t>没有明确响应时间或培训效果，</w:t>
            </w:r>
            <w:r>
              <w:rPr>
                <w:rFonts w:hint="eastAsia" w:ascii="宋体" w:hAnsi="宋体" w:eastAsia="宋体" w:cs="宋体"/>
                <w:sz w:val="21"/>
                <w:szCs w:val="21"/>
              </w:rPr>
              <w:t>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无质量控制方案不得分。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应急预案</w:t>
            </w:r>
          </w:p>
        </w:tc>
        <w:tc>
          <w:tcPr>
            <w:tcW w:w="1826"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应急预案</w:t>
            </w:r>
            <w:r>
              <w:rPr>
                <w:rFonts w:hint="eastAsia" w:ascii="宋体" w:hAnsi="宋体" w:eastAsia="宋体" w:cs="宋体"/>
                <w:sz w:val="21"/>
                <w:szCs w:val="21"/>
              </w:rPr>
              <w:t>考虑全面，</w:t>
            </w:r>
            <w:r>
              <w:rPr>
                <w:rFonts w:hint="eastAsia" w:ascii="宋体" w:hAnsi="宋体" w:cs="宋体"/>
                <w:sz w:val="21"/>
                <w:szCs w:val="21"/>
                <w:lang w:eastAsia="zh-CN"/>
              </w:rPr>
              <w:t>有替代方案或备用方案，</w:t>
            </w:r>
            <w:r>
              <w:rPr>
                <w:rFonts w:hint="eastAsia" w:ascii="宋体" w:hAnsi="宋体" w:eastAsia="宋体" w:cs="宋体"/>
                <w:sz w:val="21"/>
                <w:szCs w:val="21"/>
              </w:rPr>
              <w:t>操作可行性强，得</w:t>
            </w:r>
            <w:r>
              <w:rPr>
                <w:rFonts w:hint="eastAsia" w:ascii="宋体" w:hAnsi="宋体" w:cs="宋体"/>
                <w:sz w:val="21"/>
                <w:szCs w:val="21"/>
                <w:lang w:val="en-US" w:eastAsia="zh-CN"/>
              </w:rPr>
              <w:t>10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应急预案</w:t>
            </w:r>
            <w:r>
              <w:rPr>
                <w:rFonts w:hint="eastAsia" w:ascii="宋体" w:hAnsi="宋体" w:eastAsia="宋体" w:cs="宋体"/>
                <w:sz w:val="21"/>
                <w:szCs w:val="21"/>
              </w:rPr>
              <w:t>考虑周全，有一定的操作可行性，得</w:t>
            </w:r>
            <w:r>
              <w:rPr>
                <w:rFonts w:hint="eastAsia" w:ascii="宋体" w:hAnsi="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cs="宋体"/>
                <w:sz w:val="21"/>
                <w:szCs w:val="21"/>
                <w:lang w:eastAsia="zh-CN"/>
              </w:rPr>
              <w:t>应急预案</w:t>
            </w:r>
            <w:r>
              <w:rPr>
                <w:rFonts w:hint="eastAsia" w:ascii="宋体" w:hAnsi="宋体" w:eastAsia="宋体" w:cs="宋体"/>
                <w:sz w:val="21"/>
                <w:szCs w:val="21"/>
              </w:rPr>
              <w:t>考虑不全，操作可行性差，得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无应急预案不得分。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管理制度</w:t>
            </w:r>
          </w:p>
        </w:tc>
        <w:tc>
          <w:tcPr>
            <w:tcW w:w="1826"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10分</w:t>
            </w:r>
          </w:p>
        </w:tc>
        <w:tc>
          <w:tcPr>
            <w:tcW w:w="4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管理制度</w:t>
            </w:r>
            <w:r>
              <w:rPr>
                <w:rFonts w:hint="eastAsia" w:ascii="宋体" w:hAnsi="宋体" w:cs="宋体"/>
                <w:sz w:val="21"/>
                <w:szCs w:val="21"/>
                <w:lang w:eastAsia="zh-CN"/>
              </w:rPr>
              <w:t>完善</w:t>
            </w:r>
            <w:r>
              <w:rPr>
                <w:rFonts w:hint="eastAsia" w:ascii="宋体" w:hAnsi="宋体" w:eastAsia="宋体" w:cs="宋体"/>
                <w:sz w:val="21"/>
                <w:szCs w:val="21"/>
              </w:rPr>
              <w:t>，操作可行性强，得</w:t>
            </w:r>
            <w:r>
              <w:rPr>
                <w:rFonts w:hint="eastAsia" w:ascii="宋体" w:hAnsi="宋体" w:cs="宋体"/>
                <w:sz w:val="21"/>
                <w:szCs w:val="21"/>
                <w:lang w:val="en-US" w:eastAsia="zh-CN"/>
              </w:rPr>
              <w:t>10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管理制度</w:t>
            </w:r>
            <w:r>
              <w:rPr>
                <w:rFonts w:hint="eastAsia" w:ascii="宋体" w:hAnsi="宋体" w:cs="宋体"/>
                <w:sz w:val="21"/>
                <w:szCs w:val="21"/>
                <w:lang w:eastAsia="zh-CN"/>
              </w:rPr>
              <w:t>较完善</w:t>
            </w:r>
            <w:r>
              <w:rPr>
                <w:rFonts w:hint="eastAsia" w:ascii="宋体" w:hAnsi="宋体" w:eastAsia="宋体" w:cs="宋体"/>
                <w:sz w:val="21"/>
                <w:szCs w:val="21"/>
              </w:rPr>
              <w:t>，有一定的操作可行性，得</w:t>
            </w:r>
            <w:r>
              <w:rPr>
                <w:rFonts w:hint="eastAsia" w:ascii="宋体" w:hAnsi="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管理制度</w:t>
            </w:r>
            <w:r>
              <w:rPr>
                <w:rFonts w:hint="eastAsia" w:ascii="宋体" w:hAnsi="宋体" w:cs="宋体"/>
                <w:sz w:val="21"/>
                <w:szCs w:val="21"/>
                <w:lang w:eastAsia="zh-CN"/>
              </w:rPr>
              <w:t>不健全</w:t>
            </w:r>
            <w:r>
              <w:rPr>
                <w:rFonts w:hint="eastAsia" w:ascii="宋体" w:hAnsi="宋体" w:eastAsia="宋体" w:cs="宋体"/>
                <w:sz w:val="21"/>
                <w:szCs w:val="21"/>
              </w:rPr>
              <w:t>，操作可行性差，得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无管理制度不得分。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49090576"/>
      <w:bookmarkStart w:id="115" w:name="_Toc120614282"/>
      <w:bookmarkStart w:id="116" w:name="_Toc26554094"/>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2"/>
        <w:gridCol w:w="6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63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3262"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皖南医学院2024-2026创新创业竞赛培训指导项目（二次）</w:t>
            </w:r>
          </w:p>
        </w:tc>
        <w:tc>
          <w:tcPr>
            <w:tcW w:w="6329" w:type="dxa"/>
            <w:tcBorders>
              <w:top w:val="single" w:color="auto" w:sz="4" w:space="0"/>
              <w:left w:val="single" w:color="auto" w:sz="4" w:space="0"/>
              <w:right w:val="single" w:color="auto" w:sz="4" w:space="0"/>
            </w:tcBorders>
            <w:vAlign w:val="center"/>
          </w:tcPr>
          <w:p>
            <w:pPr>
              <w:pStyle w:val="27"/>
              <w:ind w:firstLine="0" w:firstLineChars="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元/年（大写）</w:t>
            </w:r>
          </w:p>
          <w:p>
            <w:pPr>
              <w:pStyle w:val="21"/>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元/年（小写）</w:t>
            </w:r>
          </w:p>
          <w:p>
            <w:pPr>
              <w:pStyle w:val="27"/>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br w:type="page"/>
      </w: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4878535"/>
      <w:bookmarkStart w:id="119" w:name="_Toc26554103"/>
      <w:bookmarkStart w:id="120" w:name="_Toc513029281"/>
      <w:bookmarkStart w:id="121" w:name="_Toc49090582"/>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23828478"/>
      <w:bookmarkStart w:id="126" w:name="_Toc22356580"/>
      <w:bookmarkStart w:id="127" w:name="_Toc513029276"/>
      <w:bookmarkStart w:id="128" w:name="_Toc120614283"/>
      <w:bookmarkStart w:id="129" w:name="_Toc460901585"/>
      <w:bookmarkStart w:id="130" w:name="_Toc49090577"/>
      <w:bookmarkStart w:id="131" w:name="_Toc26554095"/>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rFonts w:hint="eastAsia" w:ascii="Times New Roman" w:hAnsi="Times New Roman" w:cs="Times New Roman"/>
          <w:b/>
          <w:bCs/>
          <w:sz w:val="24"/>
        </w:rPr>
      </w:pPr>
    </w:p>
    <w:p>
      <w:pPr>
        <w:rPr>
          <w:rFonts w:hint="eastAsia" w:ascii="Times New Roman" w:hAnsi="Times New Roman" w:cs="Times New Roman"/>
          <w:b/>
          <w:bCs/>
          <w:sz w:val="24"/>
        </w:rPr>
      </w:pPr>
      <w:r>
        <w:rPr>
          <w:rFonts w:hint="eastAsia" w:ascii="Times New Roman" w:hAnsi="Times New Roman" w:cs="Times New Roman"/>
          <w:b/>
          <w:bCs/>
          <w:sz w:val="24"/>
        </w:rPr>
        <w:t>五、 投标文件</w:t>
      </w:r>
      <w:r>
        <w:rPr>
          <w:rFonts w:hint="eastAsia" w:ascii="Times New Roman" w:hAnsi="Times New Roman" w:cs="Times New Roman"/>
          <w:b/>
          <w:bCs/>
          <w:sz w:val="24"/>
          <w:lang w:eastAsia="zh-CN"/>
        </w:rPr>
        <w:t>应</w:t>
      </w:r>
      <w:r>
        <w:rPr>
          <w:rFonts w:hint="eastAsia" w:ascii="Times New Roman" w:hAnsi="Times New Roman" w:cs="Times New Roman"/>
          <w:b/>
          <w:bCs/>
          <w:sz w:val="24"/>
        </w:rPr>
        <w:t>包含</w:t>
      </w:r>
      <w:r>
        <w:rPr>
          <w:rFonts w:hint="eastAsia" w:ascii="Times New Roman" w:hAnsi="Times New Roman" w:cs="Times New Roman"/>
          <w:b/>
          <w:bCs/>
          <w:sz w:val="24"/>
          <w:lang w:eastAsia="zh-CN"/>
        </w:rPr>
        <w:t>总体服务方案、服务实施计划、质量控制方案、应急预案、管理制度等</w:t>
      </w:r>
      <w:r>
        <w:rPr>
          <w:rFonts w:hint="eastAsia" w:ascii="Times New Roman" w:hAnsi="Times New Roman" w:cs="Times New Roman"/>
          <w:b/>
          <w:bCs/>
          <w:sz w:val="24"/>
        </w:rPr>
        <w:t>需要提供的其它材料。</w:t>
      </w:r>
    </w:p>
    <w:p>
      <w:pPr>
        <w:rPr>
          <w:rFonts w:hint="eastAsia" w:ascii="Times New Roman" w:hAnsi="Times New Roman" w:cs="Times New Roman"/>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3">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20AE"/>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78D1C71"/>
    <w:rsid w:val="07EA3EEA"/>
    <w:rsid w:val="09296F01"/>
    <w:rsid w:val="09564F15"/>
    <w:rsid w:val="09A84CAA"/>
    <w:rsid w:val="09AC2920"/>
    <w:rsid w:val="0A156CDC"/>
    <w:rsid w:val="0A4546CD"/>
    <w:rsid w:val="0A9D2C05"/>
    <w:rsid w:val="0AD639E4"/>
    <w:rsid w:val="0B7A69B0"/>
    <w:rsid w:val="0BF978D5"/>
    <w:rsid w:val="0C5D773D"/>
    <w:rsid w:val="0D7754CF"/>
    <w:rsid w:val="0D7E2A6A"/>
    <w:rsid w:val="0DA16FB4"/>
    <w:rsid w:val="0DE65A99"/>
    <w:rsid w:val="0E7E3960"/>
    <w:rsid w:val="0EB9334C"/>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863CD0"/>
    <w:rsid w:val="159C294C"/>
    <w:rsid w:val="162C38CF"/>
    <w:rsid w:val="171262BF"/>
    <w:rsid w:val="17252284"/>
    <w:rsid w:val="17464FEC"/>
    <w:rsid w:val="177B58CD"/>
    <w:rsid w:val="179606CE"/>
    <w:rsid w:val="18020BC4"/>
    <w:rsid w:val="186500A0"/>
    <w:rsid w:val="18835AD4"/>
    <w:rsid w:val="18B051AF"/>
    <w:rsid w:val="18E70052"/>
    <w:rsid w:val="18F953B8"/>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A428FD"/>
    <w:rsid w:val="21FE134A"/>
    <w:rsid w:val="228869AA"/>
    <w:rsid w:val="22C22324"/>
    <w:rsid w:val="23567244"/>
    <w:rsid w:val="236513B9"/>
    <w:rsid w:val="24B5162E"/>
    <w:rsid w:val="24D82326"/>
    <w:rsid w:val="261507FA"/>
    <w:rsid w:val="26566759"/>
    <w:rsid w:val="26DD1E76"/>
    <w:rsid w:val="27717DCB"/>
    <w:rsid w:val="281D1648"/>
    <w:rsid w:val="28574F87"/>
    <w:rsid w:val="28A8200F"/>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3C16643"/>
    <w:rsid w:val="44E0509A"/>
    <w:rsid w:val="457774F2"/>
    <w:rsid w:val="45A10401"/>
    <w:rsid w:val="45C94FEF"/>
    <w:rsid w:val="462D2409"/>
    <w:rsid w:val="46481983"/>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4DC110F"/>
    <w:rsid w:val="5517751A"/>
    <w:rsid w:val="55794BB0"/>
    <w:rsid w:val="55E7489B"/>
    <w:rsid w:val="56194C24"/>
    <w:rsid w:val="569C48C5"/>
    <w:rsid w:val="56F05266"/>
    <w:rsid w:val="57164C89"/>
    <w:rsid w:val="57350A15"/>
    <w:rsid w:val="575168F3"/>
    <w:rsid w:val="57D815E8"/>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5F7F2DC3"/>
    <w:rsid w:val="5FD56875"/>
    <w:rsid w:val="608E6286"/>
    <w:rsid w:val="61076011"/>
    <w:rsid w:val="61834DEC"/>
    <w:rsid w:val="61F25ACE"/>
    <w:rsid w:val="622A6C63"/>
    <w:rsid w:val="62546789"/>
    <w:rsid w:val="62830C12"/>
    <w:rsid w:val="62EF21DB"/>
    <w:rsid w:val="631D68AE"/>
    <w:rsid w:val="632D6F40"/>
    <w:rsid w:val="63AF1D1A"/>
    <w:rsid w:val="63F510AA"/>
    <w:rsid w:val="648E32AE"/>
    <w:rsid w:val="64A06B15"/>
    <w:rsid w:val="64D252BD"/>
    <w:rsid w:val="64EC5360"/>
    <w:rsid w:val="65317645"/>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C6B0957"/>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9002FDD"/>
    <w:rsid w:val="79551456"/>
    <w:rsid w:val="799534B7"/>
    <w:rsid w:val="79A864D4"/>
    <w:rsid w:val="7A2C2B5D"/>
    <w:rsid w:val="7A3C397B"/>
    <w:rsid w:val="7AAC4F5C"/>
    <w:rsid w:val="7BBB4D2B"/>
    <w:rsid w:val="7CBB28FC"/>
    <w:rsid w:val="7D2106AF"/>
    <w:rsid w:val="7D2D2186"/>
    <w:rsid w:val="7E486D4A"/>
    <w:rsid w:val="7E54777A"/>
    <w:rsid w:val="7EAC5BC9"/>
    <w:rsid w:val="7EE8612B"/>
    <w:rsid w:val="7EFE77F8"/>
    <w:rsid w:val="7F6041C6"/>
    <w:rsid w:val="7F7B7750"/>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1"/>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3"/>
    <w:autoRedefine/>
    <w:qFormat/>
    <w:uiPriority w:val="9"/>
    <w:pPr>
      <w:keepNext/>
      <w:keepLines/>
      <w:spacing w:before="260" w:after="260" w:line="416" w:lineRule="auto"/>
      <w:outlineLvl w:val="2"/>
    </w:pPr>
    <w:rPr>
      <w:b/>
      <w:bCs/>
      <w:sz w:val="32"/>
      <w:szCs w:val="32"/>
    </w:rPr>
  </w:style>
  <w:style w:type="paragraph" w:styleId="2">
    <w:name w:val="heading 4"/>
    <w:basedOn w:val="1"/>
    <w:next w:val="1"/>
    <w:link w:val="54"/>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autoRedefine/>
    <w:qFormat/>
    <w:uiPriority w:val="9"/>
    <w:pPr>
      <w:keepNext/>
      <w:keepLines/>
      <w:spacing w:before="280" w:after="290" w:line="376" w:lineRule="auto"/>
      <w:outlineLvl w:val="4"/>
    </w:pPr>
    <w:rPr>
      <w:b/>
      <w:bCs/>
      <w:szCs w:val="28"/>
    </w:rPr>
  </w:style>
  <w:style w:type="paragraph" w:styleId="7">
    <w:name w:val="heading 6"/>
    <w:basedOn w:val="1"/>
    <w:next w:val="1"/>
    <w:link w:val="56"/>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autoRedefine/>
    <w:qFormat/>
    <w:uiPriority w:val="9"/>
    <w:pPr>
      <w:keepNext/>
      <w:keepLines/>
      <w:spacing w:before="240" w:after="64" w:line="320" w:lineRule="auto"/>
      <w:outlineLvl w:val="6"/>
    </w:pPr>
    <w:rPr>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next w:val="1"/>
    <w:autoRedefine/>
    <w:unhideWhenUsed/>
    <w:qFormat/>
    <w:uiPriority w:val="99"/>
    <w:pPr>
      <w:spacing w:after="120"/>
    </w:pPr>
  </w:style>
  <w:style w:type="paragraph" w:styleId="12">
    <w:name w:val="Body Text Indent"/>
    <w:basedOn w:val="1"/>
    <w:next w:val="13"/>
    <w:link w:val="50"/>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8"/>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9"/>
    <w:autoRedefine/>
    <w:unhideWhenUsed/>
    <w:qFormat/>
    <w:uiPriority w:val="99"/>
    <w:pPr>
      <w:ind w:left="100" w:leftChars="2500"/>
    </w:pPr>
  </w:style>
  <w:style w:type="paragraph" w:styleId="17">
    <w:name w:val="Balloon Text"/>
    <w:basedOn w:val="1"/>
    <w:link w:val="60"/>
    <w:autoRedefine/>
    <w:unhideWhenUsed/>
    <w:qFormat/>
    <w:uiPriority w:val="99"/>
    <w:rPr>
      <w:sz w:val="18"/>
      <w:szCs w:val="18"/>
    </w:rPr>
  </w:style>
  <w:style w:type="paragraph" w:styleId="18">
    <w:name w:val="footer"/>
    <w:basedOn w:val="1"/>
    <w:link w:val="61"/>
    <w:autoRedefine/>
    <w:unhideWhenUsed/>
    <w:qFormat/>
    <w:uiPriority w:val="99"/>
    <w:pPr>
      <w:tabs>
        <w:tab w:val="center" w:pos="4153"/>
        <w:tab w:val="right" w:pos="8306"/>
      </w:tabs>
      <w:snapToGrid w:val="0"/>
      <w:jc w:val="left"/>
    </w:pPr>
    <w:rPr>
      <w:sz w:val="18"/>
      <w:szCs w:val="18"/>
    </w:rPr>
  </w:style>
  <w:style w:type="paragraph" w:styleId="19">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3"/>
    <w:autoRedefine/>
    <w:qFormat/>
    <w:uiPriority w:val="10"/>
    <w:pPr>
      <w:spacing w:before="240" w:after="60"/>
      <w:jc w:val="center"/>
      <w:outlineLvl w:val="0"/>
    </w:pPr>
    <w:rPr>
      <w:rFonts w:ascii="Cambria" w:hAnsi="Cambria"/>
      <w:b/>
      <w:bCs/>
      <w:sz w:val="32"/>
      <w:szCs w:val="32"/>
    </w:rPr>
  </w:style>
  <w:style w:type="paragraph" w:styleId="26">
    <w:name w:val="Body Text First Indent"/>
    <w:basedOn w:val="11"/>
    <w:autoRedefine/>
    <w:qFormat/>
    <w:uiPriority w:val="0"/>
    <w:pPr>
      <w:ind w:firstLine="420"/>
    </w:pPr>
    <w:rPr>
      <w:rFonts w:ascii="Calibri" w:hAnsi="Calibri" w:eastAsia="宋体" w:cs="Times New Roman"/>
      <w:sz w:val="20"/>
      <w:szCs w:val="20"/>
      <w:lang w:val="en-US" w:bidi="ar-SA"/>
    </w:rPr>
  </w:style>
  <w:style w:type="paragraph" w:styleId="27">
    <w:name w:val="Body Text First Indent 2"/>
    <w:basedOn w:val="12"/>
    <w:next w:val="21"/>
    <w:autoRedefine/>
    <w:qFormat/>
    <w:uiPriority w:val="0"/>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Hyperlink"/>
    <w:basedOn w:val="30"/>
    <w:autoRedefine/>
    <w:unhideWhenUsed/>
    <w:qFormat/>
    <w:uiPriority w:val="99"/>
    <w:rPr>
      <w:color w:val="0000FF"/>
      <w:u w:val="single"/>
    </w:rPr>
  </w:style>
  <w:style w:type="paragraph" w:styleId="34">
    <w:name w:val="List Paragraph"/>
    <w:basedOn w:val="1"/>
    <w:link w:val="66"/>
    <w:autoRedefine/>
    <w:qFormat/>
    <w:uiPriority w:val="0"/>
    <w:pPr>
      <w:ind w:firstLine="420" w:firstLineChars="200"/>
    </w:pPr>
    <w:rPr>
      <w:kern w:val="0"/>
    </w:rPr>
  </w:style>
  <w:style w:type="paragraph" w:customStyle="1" w:styleId="35">
    <w:name w:val="正文 第一章"/>
    <w:basedOn w:val="1"/>
    <w:next w:val="36"/>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4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autoRedefine/>
    <w:qFormat/>
    <w:uiPriority w:val="99"/>
    <w:rPr>
      <w:rFonts w:ascii="Calibri" w:hAnsi="Calibri" w:eastAsia="宋体" w:cs="Times New Roman"/>
      <w:sz w:val="24"/>
      <w:szCs w:val="24"/>
      <w:lang w:val="en-US" w:eastAsia="zh-CN" w:bidi="ar-SA"/>
    </w:rPr>
  </w:style>
  <w:style w:type="paragraph" w:customStyle="1" w:styleId="49">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autoRedefine/>
    <w:qFormat/>
    <w:locked/>
    <w:uiPriority w:val="0"/>
    <w:rPr>
      <w:rFonts w:ascii="宋体" w:hAnsi="Courier New" w:eastAsia="宋体"/>
      <w:spacing w:val="-4"/>
      <w:sz w:val="18"/>
    </w:rPr>
  </w:style>
  <w:style w:type="character" w:customStyle="1" w:styleId="51">
    <w:name w:val="标题 1 字符"/>
    <w:basedOn w:val="30"/>
    <w:link w:val="3"/>
    <w:autoRedefine/>
    <w:qFormat/>
    <w:uiPriority w:val="0"/>
    <w:rPr>
      <w:rFonts w:ascii="宋体" w:hAnsi="Arial" w:eastAsia="黑体" w:cs="Times New Roman"/>
      <w:b/>
      <w:bCs/>
      <w:color w:val="000000"/>
      <w:kern w:val="44"/>
      <w:sz w:val="36"/>
      <w:szCs w:val="32"/>
    </w:rPr>
  </w:style>
  <w:style w:type="character" w:customStyle="1" w:styleId="52">
    <w:name w:val="标题 2 字符"/>
    <w:basedOn w:val="30"/>
    <w:link w:val="4"/>
    <w:autoRedefine/>
    <w:semiHidden/>
    <w:qFormat/>
    <w:uiPriority w:val="9"/>
    <w:rPr>
      <w:rFonts w:ascii="Cambria" w:hAnsi="Cambria" w:eastAsia="宋体" w:cs="Times New Roman"/>
      <w:b/>
      <w:bCs/>
      <w:sz w:val="32"/>
      <w:szCs w:val="32"/>
    </w:rPr>
  </w:style>
  <w:style w:type="character" w:customStyle="1" w:styleId="53">
    <w:name w:val="标题 3 字符"/>
    <w:basedOn w:val="30"/>
    <w:link w:val="5"/>
    <w:autoRedefine/>
    <w:semiHidden/>
    <w:qFormat/>
    <w:uiPriority w:val="9"/>
    <w:rPr>
      <w:rFonts w:ascii="Times New Roman" w:hAnsi="Times New Roman" w:eastAsia="宋体" w:cs="Times New Roman"/>
      <w:b/>
      <w:bCs/>
      <w:sz w:val="32"/>
      <w:szCs w:val="32"/>
    </w:rPr>
  </w:style>
  <w:style w:type="character" w:customStyle="1" w:styleId="54">
    <w:name w:val="标题 4 字符"/>
    <w:basedOn w:val="30"/>
    <w:link w:val="2"/>
    <w:autoRedefine/>
    <w:semiHidden/>
    <w:qFormat/>
    <w:uiPriority w:val="9"/>
    <w:rPr>
      <w:rFonts w:ascii="Cambria" w:hAnsi="Cambria" w:eastAsia="宋体" w:cs="Times New Roman"/>
      <w:b/>
      <w:bCs/>
      <w:sz w:val="28"/>
      <w:szCs w:val="28"/>
    </w:rPr>
  </w:style>
  <w:style w:type="character" w:customStyle="1" w:styleId="55">
    <w:name w:val="标题 5 字符"/>
    <w:basedOn w:val="30"/>
    <w:link w:val="6"/>
    <w:autoRedefine/>
    <w:semiHidden/>
    <w:qFormat/>
    <w:uiPriority w:val="9"/>
    <w:rPr>
      <w:rFonts w:ascii="Times New Roman" w:hAnsi="Times New Roman" w:eastAsia="宋体" w:cs="Times New Roman"/>
      <w:b/>
      <w:bCs/>
      <w:sz w:val="28"/>
      <w:szCs w:val="28"/>
    </w:rPr>
  </w:style>
  <w:style w:type="character" w:customStyle="1" w:styleId="56">
    <w:name w:val="标题 6 字符"/>
    <w:basedOn w:val="30"/>
    <w:link w:val="7"/>
    <w:autoRedefine/>
    <w:semiHidden/>
    <w:qFormat/>
    <w:uiPriority w:val="9"/>
    <w:rPr>
      <w:rFonts w:ascii="Cambria" w:hAnsi="Cambria" w:eastAsia="宋体" w:cs="Times New Roman"/>
      <w:b/>
      <w:bCs/>
      <w:sz w:val="24"/>
      <w:szCs w:val="24"/>
    </w:rPr>
  </w:style>
  <w:style w:type="character" w:customStyle="1" w:styleId="57">
    <w:name w:val="标题 7 字符"/>
    <w:basedOn w:val="30"/>
    <w:link w:val="8"/>
    <w:autoRedefine/>
    <w:semiHidden/>
    <w:qFormat/>
    <w:uiPriority w:val="9"/>
    <w:rPr>
      <w:rFonts w:ascii="Times New Roman" w:hAnsi="Times New Roman" w:eastAsia="宋体" w:cs="Times New Roman"/>
      <w:b/>
      <w:bCs/>
      <w:sz w:val="24"/>
      <w:szCs w:val="24"/>
    </w:rPr>
  </w:style>
  <w:style w:type="character" w:customStyle="1" w:styleId="58">
    <w:name w:val="纯文本 字符"/>
    <w:link w:val="15"/>
    <w:autoRedefine/>
    <w:qFormat/>
    <w:uiPriority w:val="0"/>
    <w:rPr>
      <w:rFonts w:ascii="宋体" w:hAnsi="Courier New" w:eastAsia="宋体"/>
      <w:sz w:val="24"/>
    </w:rPr>
  </w:style>
  <w:style w:type="character" w:customStyle="1" w:styleId="59">
    <w:name w:val="日期 字符"/>
    <w:basedOn w:val="30"/>
    <w:link w:val="16"/>
    <w:autoRedefine/>
    <w:semiHidden/>
    <w:qFormat/>
    <w:uiPriority w:val="99"/>
    <w:rPr>
      <w:rFonts w:ascii="Times New Roman" w:hAnsi="Times New Roman" w:eastAsia="宋体" w:cs="Times New Roman"/>
      <w:sz w:val="28"/>
      <w:szCs w:val="20"/>
    </w:rPr>
  </w:style>
  <w:style w:type="character" w:customStyle="1" w:styleId="60">
    <w:name w:val="批注框文本 字符"/>
    <w:basedOn w:val="30"/>
    <w:link w:val="17"/>
    <w:autoRedefine/>
    <w:semiHidden/>
    <w:qFormat/>
    <w:uiPriority w:val="99"/>
    <w:rPr>
      <w:rFonts w:ascii="Times New Roman" w:hAnsi="Times New Roman" w:eastAsia="宋体" w:cs="Times New Roman"/>
      <w:sz w:val="18"/>
      <w:szCs w:val="18"/>
    </w:rPr>
  </w:style>
  <w:style w:type="character" w:customStyle="1" w:styleId="61">
    <w:name w:val="页脚 字符"/>
    <w:basedOn w:val="30"/>
    <w:link w:val="18"/>
    <w:autoRedefine/>
    <w:qFormat/>
    <w:uiPriority w:val="99"/>
    <w:rPr>
      <w:rFonts w:ascii="Times New Roman" w:hAnsi="Times New Roman" w:eastAsia="宋体" w:cs="Times New Roman"/>
      <w:sz w:val="18"/>
      <w:szCs w:val="18"/>
    </w:rPr>
  </w:style>
  <w:style w:type="character" w:customStyle="1" w:styleId="62">
    <w:name w:val="页眉 字符"/>
    <w:basedOn w:val="30"/>
    <w:link w:val="19"/>
    <w:autoRedefine/>
    <w:semiHidden/>
    <w:qFormat/>
    <w:uiPriority w:val="99"/>
    <w:rPr>
      <w:rFonts w:ascii="Times New Roman" w:hAnsi="Times New Roman" w:eastAsia="宋体" w:cs="Times New Roman"/>
      <w:sz w:val="18"/>
      <w:szCs w:val="18"/>
    </w:rPr>
  </w:style>
  <w:style w:type="character" w:customStyle="1" w:styleId="63">
    <w:name w:val="标题 字符"/>
    <w:basedOn w:val="30"/>
    <w:link w:val="25"/>
    <w:autoRedefine/>
    <w:qFormat/>
    <w:uiPriority w:val="10"/>
    <w:rPr>
      <w:rFonts w:ascii="Cambria" w:hAnsi="Cambria" w:eastAsia="宋体" w:cs="Times New Roman"/>
      <w:b/>
      <w:bCs/>
      <w:sz w:val="32"/>
      <w:szCs w:val="32"/>
    </w:rPr>
  </w:style>
  <w:style w:type="character" w:customStyle="1" w:styleId="64">
    <w:name w:val="正文文本缩进 Char1"/>
    <w:basedOn w:val="30"/>
    <w:autoRedefine/>
    <w:semiHidden/>
    <w:qFormat/>
    <w:uiPriority w:val="99"/>
    <w:rPr>
      <w:rFonts w:ascii="Times New Roman" w:hAnsi="Times New Roman" w:eastAsia="宋体" w:cs="Times New Roman"/>
      <w:sz w:val="28"/>
      <w:szCs w:val="20"/>
    </w:rPr>
  </w:style>
  <w:style w:type="character" w:customStyle="1" w:styleId="65">
    <w:name w:val="纯文本 Char"/>
    <w:basedOn w:val="30"/>
    <w:autoRedefine/>
    <w:semiHidden/>
    <w:qFormat/>
    <w:uiPriority w:val="99"/>
    <w:rPr>
      <w:rFonts w:ascii="宋体" w:hAnsi="Courier New" w:eastAsia="宋体" w:cs="Courier New"/>
      <w:szCs w:val="21"/>
    </w:rPr>
  </w:style>
  <w:style w:type="character" w:customStyle="1" w:styleId="66">
    <w:name w:val="列出段落 字符"/>
    <w:link w:val="34"/>
    <w:autoRedefine/>
    <w:qFormat/>
    <w:locked/>
    <w:uiPriority w:val="0"/>
    <w:rPr>
      <w:rFonts w:ascii="Times New Roman" w:hAnsi="Times New Roman" w:eastAsia="宋体" w:cs="Times New Roman"/>
      <w:sz w:val="28"/>
      <w:szCs w:val="20"/>
    </w:rPr>
  </w:style>
  <w:style w:type="character" w:customStyle="1" w:styleId="67">
    <w:name w:val="正文 第五章 中间"/>
    <w:autoRedefine/>
    <w:qFormat/>
    <w:uiPriority w:val="0"/>
    <w:rPr>
      <w:b/>
      <w:bCs/>
      <w:color w:val="000000"/>
      <w:sz w:val="32"/>
    </w:rPr>
  </w:style>
  <w:style w:type="character" w:customStyle="1" w:styleId="68">
    <w:name w:val="标题 3 Char"/>
    <w:autoRedefine/>
    <w:qFormat/>
    <w:uiPriority w:val="0"/>
    <w:rPr>
      <w:rFonts w:eastAsia="宋体"/>
      <w:b/>
      <w:bCs/>
      <w:kern w:val="2"/>
      <w:sz w:val="32"/>
      <w:szCs w:val="32"/>
      <w:lang w:val="en-US" w:eastAsia="zh-CN" w:bidi="ar-SA"/>
    </w:rPr>
  </w:style>
  <w:style w:type="paragraph" w:customStyle="1" w:styleId="69">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autoRedefine/>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43</Pages>
  <Words>18995</Words>
  <Characters>19686</Characters>
  <Lines>170</Lines>
  <Paragraphs>48</Paragraphs>
  <TotalTime>15</TotalTime>
  <ScaleCrop>false</ScaleCrop>
  <LinksUpToDate>false</LinksUpToDate>
  <CharactersWithSpaces>22553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2024-05-06T02:39:27Z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EC2D55065EE9410B8AC07D03BAF4E20B</vt:lpwstr>
  </property>
</Properties>
</file>