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2022045</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w w:val="90"/>
          <w:sz w:val="48"/>
          <w:szCs w:val="48"/>
        </w:rPr>
      </w:pPr>
      <w:r>
        <w:rPr>
          <w:rFonts w:hint="eastAsia" w:ascii="华文中宋" w:hAnsi="华文中宋" w:eastAsia="华文中宋"/>
          <w:b/>
          <w:bCs/>
          <w:sz w:val="52"/>
          <w:szCs w:val="52"/>
          <w:lang w:eastAsia="zh-CN"/>
        </w:rPr>
        <w:t>听力耳机购置项目</w:t>
      </w:r>
      <w:r>
        <w:rPr>
          <w:rFonts w:hint="eastAsia" w:ascii="华文中宋" w:hAnsi="华文中宋" w:eastAsia="华文中宋"/>
          <w:b/>
          <w:bCs/>
          <w:sz w:val="52"/>
          <w:szCs w:val="52"/>
        </w:rPr>
        <w:t xml:space="preserve">      </w:t>
      </w:r>
      <w:r>
        <w:rPr>
          <w:rFonts w:hint="eastAsia" w:ascii="华文中宋" w:hAnsi="华文中宋" w:eastAsia="华文中宋"/>
          <w:b/>
          <w:bCs/>
          <w:w w:val="90"/>
          <w:sz w:val="48"/>
          <w:szCs w:val="48"/>
        </w:rPr>
        <w:t xml:space="preserve">  </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2</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5</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29"/>
          <w:rFonts w:hint="eastAsia"/>
        </w:rPr>
        <w:t>第一章</w:t>
      </w:r>
      <w:r>
        <w:rPr>
          <w:rStyle w:val="29"/>
        </w:rPr>
        <w:t xml:space="preserve">  </w:t>
      </w:r>
      <w:r>
        <w:rPr>
          <w:rStyle w:val="29"/>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29"/>
          <w:rFonts w:hint="eastAsia"/>
        </w:rPr>
        <w:t>第二章</w:t>
      </w:r>
      <w:r>
        <w:rPr>
          <w:rStyle w:val="29"/>
        </w:rPr>
        <w:t xml:space="preserve">  </w:t>
      </w:r>
      <w:r>
        <w:rPr>
          <w:rStyle w:val="29"/>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29"/>
          <w:rFonts w:hint="eastAsia"/>
        </w:rPr>
        <w:t>第三章</w:t>
      </w:r>
      <w:r>
        <w:rPr>
          <w:rStyle w:val="29"/>
        </w:rPr>
        <w:t xml:space="preserve">  </w:t>
      </w:r>
      <w:r>
        <w:rPr>
          <w:rStyle w:val="29"/>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29"/>
          <w:rFonts w:hint="eastAsia"/>
        </w:rPr>
        <w:t>第四章</w:t>
      </w:r>
      <w:r>
        <w:rPr>
          <w:rStyle w:val="29"/>
        </w:rPr>
        <w:t xml:space="preserve">  </w:t>
      </w:r>
      <w:r>
        <w:rPr>
          <w:rStyle w:val="29"/>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29"/>
          <w:rFonts w:hint="eastAsia"/>
        </w:rPr>
        <w:t>第五章</w:t>
      </w:r>
      <w:r>
        <w:rPr>
          <w:rStyle w:val="29"/>
        </w:rPr>
        <w:t xml:space="preserve">  </w:t>
      </w:r>
      <w:r>
        <w:rPr>
          <w:rStyle w:val="29"/>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29"/>
          <w:rFonts w:hint="eastAsia"/>
        </w:rPr>
        <w:t>第六章</w:t>
      </w:r>
      <w:r>
        <w:rPr>
          <w:rStyle w:val="29"/>
        </w:rPr>
        <w:t xml:space="preserve">  </w:t>
      </w:r>
      <w:r>
        <w:rPr>
          <w:rStyle w:val="29"/>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29"/>
          <w:rFonts w:hint="eastAsia"/>
        </w:rPr>
        <w:t>第七章</w:t>
      </w:r>
      <w:r>
        <w:rPr>
          <w:rStyle w:val="29"/>
        </w:rPr>
        <w:t xml:space="preserve">  </w:t>
      </w:r>
      <w:r>
        <w:rPr>
          <w:rStyle w:val="29"/>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6"/>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皖南医学院听力耳机购置项目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皖南医学院听力耳机购置项目</w:t>
      </w:r>
      <w:r>
        <w:rPr>
          <w:rFonts w:hint="default"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（二）项目编号：WYGZ</w:t>
      </w:r>
      <w:r>
        <w:rPr>
          <w:rFonts w:hint="eastAsia" w:ascii="仿宋_GB2312" w:eastAsia="仿宋_GB2312" w:cs="宋体"/>
          <w:sz w:val="24"/>
          <w:szCs w:val="24"/>
          <w:lang w:val="en-US" w:eastAsia="zh-CN"/>
        </w:rPr>
        <w:t>2022045</w:t>
      </w:r>
      <w:r>
        <w:rPr>
          <w:rFonts w:hint="default"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（三）项目内容：</w:t>
      </w:r>
      <w:r>
        <w:rPr>
          <w:rFonts w:hint="eastAsia" w:ascii="仿宋_GB2312" w:eastAsia="仿宋_GB2312" w:cs="宋体"/>
          <w:sz w:val="24"/>
          <w:szCs w:val="24"/>
          <w:lang w:val="en-US" w:eastAsia="zh-CN"/>
        </w:rPr>
        <w:t>我校新生听力耳机购置项目，暂定数量为3800副/年，学生自愿购买，最终数量以学生开学实际购买为准，根据单价据实结算。服务期三年，合同一年一签，经考核通过后续签</w:t>
      </w:r>
      <w:r>
        <w:rPr>
          <w:rFonts w:hint="default" w:ascii="仿宋_GB2312" w:eastAsia="仿宋_GB2312" w:cs="宋体"/>
          <w:sz w:val="24"/>
          <w:szCs w:val="24"/>
          <w:lang w:val="en-US" w:eastAsia="zh-CN"/>
        </w:rPr>
        <w:t>，详见项目需求</w:t>
      </w:r>
      <w:r>
        <w:rPr>
          <w:rFonts w:hint="eastAsia"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（四）项目预算：</w:t>
      </w:r>
      <w:r>
        <w:rPr>
          <w:rFonts w:hint="eastAsia" w:ascii="仿宋_GB2312" w:eastAsia="仿宋_GB2312" w:cs="宋体"/>
          <w:sz w:val="24"/>
          <w:szCs w:val="24"/>
          <w:lang w:val="en-US" w:eastAsia="zh-CN"/>
        </w:rPr>
        <w:t>18元/副。</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t>供应商能够独立承担民事责任能力；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2.具有良好的商业信誉和健全的财务会计制度；</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3.具有履行合同所必需的设备和专业技术能力；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4.有依法缴纳税收和社会保障资金的良好记录；</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5.三年内，在经营活动中没有重大违法记录；</w:t>
      </w:r>
    </w:p>
    <w:p>
      <w:pPr>
        <w:adjustRightInd w:val="0"/>
        <w:snapToGrid w:val="0"/>
        <w:spacing w:line="360" w:lineRule="auto"/>
        <w:ind w:firstLine="453" w:firstLineChars="189"/>
        <w:rPr>
          <w:rFonts w:hint="eastAsia" w:ascii="仿宋_GB2312" w:hAnsi="宋体" w:eastAsia="仿宋_GB2312" w:cs="宋体"/>
          <w:kern w:val="0"/>
          <w:sz w:val="24"/>
          <w:szCs w:val="24"/>
          <w:lang w:val="zh-CN" w:eastAsia="zh-CN" w:bidi="ar-SA"/>
        </w:rPr>
      </w:pPr>
      <w:r>
        <w:rPr>
          <w:rFonts w:hint="default" w:ascii="仿宋_GB2312" w:hAnsi="宋体" w:eastAsia="仿宋_GB2312" w:cs="宋体"/>
          <w:kern w:val="0"/>
          <w:sz w:val="24"/>
          <w:szCs w:val="24"/>
          <w:lang w:val="en-US" w:eastAsia="zh-CN" w:bidi="ar-SA"/>
        </w:rPr>
        <w:t>6.本项目不接受联合体投标。</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三、报名时间及方式：</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w:t>
      </w:r>
      <w:r>
        <w:rPr>
          <w:rFonts w:hint="default" w:ascii="仿宋_GB2312" w:eastAsia="仿宋_GB2312" w:cs="宋体"/>
          <w:sz w:val="24"/>
          <w:szCs w:val="24"/>
          <w:highlight w:val="none"/>
          <w:lang w:val="en-US" w:eastAsia="zh-CN"/>
        </w:rPr>
        <w:t>报名时间：202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5</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日-202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5</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17</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highlight w:val="none"/>
          <w:lang w:val="zh-CN" w:eastAsia="zh-CN" w:bidi="ar-SA"/>
        </w:rPr>
      </w:pPr>
      <w:r>
        <w:rPr>
          <w:rFonts w:hint="eastAsia" w:ascii="仿宋_GB2312" w:eastAsia="仿宋_GB2312" w:cs="宋体"/>
          <w:sz w:val="24"/>
          <w:szCs w:val="24"/>
          <w:highlight w:val="none"/>
          <w:lang w:val="zh-CN"/>
        </w:rPr>
        <w:t>（二）</w:t>
      </w:r>
      <w:r>
        <w:rPr>
          <w:rFonts w:hint="eastAsia" w:ascii="仿宋_GB2312" w:hAnsi="宋体" w:eastAsia="仿宋_GB2312" w:cs="宋体"/>
          <w:kern w:val="0"/>
          <w:sz w:val="24"/>
          <w:szCs w:val="24"/>
          <w:highlight w:val="none"/>
          <w:lang w:val="zh-CN" w:eastAsia="zh-CN" w:bidi="ar-SA"/>
        </w:rPr>
        <w:t>报名方式：</w:t>
      </w:r>
      <w:r>
        <w:rPr>
          <w:rFonts w:hint="eastAsia" w:ascii="仿宋_GB2312" w:hAnsi="宋体" w:eastAsia="仿宋_GB2312" w:cs="宋体"/>
          <w:kern w:val="0"/>
          <w:sz w:val="24"/>
          <w:szCs w:val="24"/>
          <w:highlight w:val="none"/>
          <w:lang w:val="en-US" w:eastAsia="zh-CN" w:bidi="ar-SA"/>
        </w:rPr>
        <w:t>皖南医学院听力耳机购置项目</w:t>
      </w:r>
      <w:r>
        <w:rPr>
          <w:rFonts w:hint="default" w:ascii="仿宋_GB2312" w:hAnsi="宋体" w:eastAsia="仿宋_GB2312" w:cs="宋体"/>
          <w:kern w:val="0"/>
          <w:sz w:val="24"/>
          <w:szCs w:val="24"/>
          <w:highlight w:val="none"/>
          <w:lang w:val="en-US" w:eastAsia="zh-CN" w:bidi="ar-SA"/>
        </w:rPr>
        <w:t>（项目编号：WYGZ</w:t>
      </w:r>
      <w:r>
        <w:rPr>
          <w:rFonts w:hint="eastAsia" w:ascii="仿宋_GB2312" w:hAnsi="宋体" w:eastAsia="仿宋_GB2312" w:cs="宋体"/>
          <w:kern w:val="0"/>
          <w:sz w:val="24"/>
          <w:szCs w:val="24"/>
          <w:highlight w:val="none"/>
          <w:lang w:val="en-US" w:eastAsia="zh-CN" w:bidi="ar-SA"/>
        </w:rPr>
        <w:t>2022045</w:t>
      </w:r>
      <w:r>
        <w:rPr>
          <w:rFonts w:hint="default" w:ascii="仿宋_GB2312" w:hAnsi="宋体" w:eastAsia="仿宋_GB2312" w:cs="宋体"/>
          <w:kern w:val="0"/>
          <w:sz w:val="24"/>
          <w:szCs w:val="24"/>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highlight w:val="none"/>
          <w:lang w:val="en-US" w:eastAsia="zh-CN" w:bidi="ar-SA"/>
        </w:rPr>
        <w:t>报名</w:t>
      </w:r>
      <w:r>
        <w:rPr>
          <w:rFonts w:hint="eastAsia" w:ascii="仿宋_GB2312" w:hAnsi="宋体" w:eastAsia="仿宋_GB2312" w:cs="宋体"/>
          <w:kern w:val="0"/>
          <w:sz w:val="24"/>
          <w:szCs w:val="24"/>
          <w:highlight w:val="none"/>
          <w:lang w:val="zh-CN" w:eastAsia="zh-CN" w:bidi="ar-SA"/>
        </w:rPr>
        <w:t>；</w:t>
      </w:r>
    </w:p>
    <w:p>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（三）招标文件获取：自行下载。</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四、响应文件份数：一式三份（正本一份，副本二份），每份响应文件须清楚表明“正本”或“副本”字样。</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五、响应文件递交：</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（一）响应文件递交截止时间：202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5</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24</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5</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24</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（三）地点：芜湖市弋江区文昌西路22号皖南医学院滨江校区图书信息楼东辅楼5楼5002室；</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（四）递交响应文件时间截止后，磋商小组与供应商磋商，请供应商法定代表人或其授权委托代表（提供授权委托书）出席。</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bookmarkStart w:id="160" w:name="_GoBack"/>
      <w:bookmarkEnd w:id="160"/>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（二）联系电话：0553-3932052</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3"/>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3"/>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因学校防控要求，校外人员进校需填写《校外人员入校申请表》（附件）。请各投标单位如实填写，并于2022年5月19日17：00前将</w:t>
      </w:r>
      <w:r>
        <w:rPr>
          <w:rFonts w:hint="eastAsia" w:ascii="仿宋_GB2312" w:eastAsia="仿宋_GB2312" w:cs="宋体"/>
          <w:b/>
          <w:bCs/>
          <w:sz w:val="28"/>
          <w:szCs w:val="28"/>
          <w:highlight w:val="red"/>
          <w:lang w:val="en-US" w:eastAsia="zh-CN"/>
        </w:rPr>
        <w:t>手写签名扫描版</w:t>
      </w:r>
      <w:r>
        <w:rPr>
          <w:rFonts w:hint="eastAsia" w:ascii="仿宋_GB2312" w:eastAsia="仿宋_GB2312" w:cs="宋体"/>
          <w:sz w:val="24"/>
          <w:szCs w:val="24"/>
          <w:lang w:val="en-US" w:eastAsia="zh-CN"/>
        </w:rPr>
        <w:t>传至470242012@qq.com。未按时提交《校外人员入校申请表》的，后果自负。</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3"/>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3"/>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default" w:ascii="仿宋_GB2312" w:eastAsia="仿宋_GB2312" w:cs="宋体"/>
          <w:sz w:val="24"/>
          <w:szCs w:val="24"/>
          <w:highlight w:val="none"/>
          <w:lang w:val="en-US" w:eastAsia="zh-CN"/>
        </w:rPr>
        <w:t>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5</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日</w:t>
      </w:r>
    </w:p>
    <w:p>
      <w:pPr>
        <w:jc w:val="right"/>
        <w:rPr>
          <w:rFonts w:ascii="仿宋_GB2312" w:eastAsia="仿宋_GB2312"/>
          <w:sz w:val="24"/>
          <w:szCs w:val="24"/>
        </w:rPr>
      </w:pPr>
    </w:p>
    <w:p>
      <w:pPr>
        <w:pStyle w:val="6"/>
        <w:snapToGrid w:val="0"/>
        <w:spacing w:before="0" w:after="0"/>
        <w:ind w:left="0" w:leftChars="0" w:firstLine="2168" w:firstLineChars="600"/>
        <w:jc w:val="both"/>
        <w:rPr>
          <w:rFonts w:ascii="华文中宋" w:hAnsi="华文中宋" w:eastAsia="华文中宋"/>
          <w:color w:val="auto"/>
        </w:rPr>
      </w:pPr>
      <w:bookmarkStart w:id="1" w:name="_Toc49763000"/>
      <w:r>
        <w:rPr>
          <w:rFonts w:hint="eastAsia" w:ascii="华文中宋" w:hAnsi="华文中宋" w:eastAsia="华文中宋"/>
          <w:color w:val="auto"/>
        </w:rPr>
        <w:br w:type="page"/>
      </w:r>
      <w:r>
        <w:rPr>
          <w:rFonts w:hint="eastAsia" w:ascii="华文中宋" w:hAnsi="华文中宋" w:eastAsia="华文中宋"/>
          <w:color w:val="auto"/>
        </w:rPr>
        <w:t>第二章  磋商须知前附表</w:t>
      </w:r>
      <w:bookmarkEnd w:id="1"/>
    </w:p>
    <w:tbl>
      <w:tblPr>
        <w:tblStyle w:val="25"/>
        <w:tblW w:w="919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皖南医学院</w:t>
            </w:r>
            <w:r>
              <w:rPr>
                <w:rFonts w:hint="eastAsia" w:ascii="宋体" w:hAnsi="宋体" w:cs="宋体"/>
                <w:kern w:val="0"/>
                <w:sz w:val="21"/>
                <w:szCs w:val="21"/>
                <w:lang w:eastAsia="zh-CN"/>
              </w:rPr>
              <w:t>听力耳机购置项目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cs="宋体"/>
                <w:kern w:val="0"/>
                <w:sz w:val="21"/>
                <w:szCs w:val="21"/>
              </w:rPr>
            </w:pPr>
            <w:r>
              <w:rPr>
                <w:rFonts w:hint="eastAsia" w:ascii="宋体" w:hAnsi="宋体" w:cs="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pStyle w:val="2"/>
              <w:ind w:left="0" w:leftChars="0" w:firstLine="0" w:firstLineChars="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3000</w:t>
            </w:r>
            <w:r>
              <w:rPr>
                <w:rFonts w:hint="eastAsia" w:ascii="宋体" w:hAnsi="宋体" w:eastAsia="宋体" w:cs="宋体"/>
                <w:kern w:val="0"/>
                <w:sz w:val="21"/>
                <w:szCs w:val="21"/>
              </w:rPr>
              <w:t>元。</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20823275"/>
      <w:bookmarkStart w:id="4" w:name="_Toc403987205"/>
      <w:bookmarkStart w:id="5" w:name="_Toc16938519"/>
      <w:bookmarkStart w:id="6" w:name="_Toc120614214"/>
      <w:bookmarkStart w:id="7" w:name="_Toc513029203"/>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37"/>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37"/>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16938521"/>
      <w:bookmarkStart w:id="13" w:name="_Toc20823277"/>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37"/>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37"/>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20823278"/>
      <w:bookmarkStart w:id="16" w:name="_Toc513029206"/>
      <w:bookmarkStart w:id="17" w:name="_Toc16938522"/>
      <w:r>
        <w:rPr>
          <w:rFonts w:hint="eastAsia" w:ascii="宋体" w:hAnsi="宋体" w:cs="宋体"/>
          <w:sz w:val="24"/>
          <w:szCs w:val="24"/>
        </w:rPr>
        <w:t>4.适用法律</w:t>
      </w:r>
      <w:bookmarkEnd w:id="15"/>
      <w:bookmarkEnd w:id="16"/>
      <w:bookmarkEnd w:id="17"/>
    </w:p>
    <w:p>
      <w:pPr>
        <w:pStyle w:val="37"/>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16938523"/>
      <w:bookmarkStart w:id="19" w:name="_Toc462564067"/>
      <w:bookmarkStart w:id="20" w:name="_Toc513029207"/>
      <w:bookmarkStart w:id="21" w:name="_Toc20823279"/>
      <w:r>
        <w:rPr>
          <w:rFonts w:hint="eastAsia" w:ascii="宋体" w:hAnsi="宋体" w:cs="宋体"/>
          <w:sz w:val="24"/>
          <w:szCs w:val="24"/>
        </w:rPr>
        <w:t>5.磋商费用</w:t>
      </w:r>
      <w:bookmarkEnd w:id="18"/>
      <w:bookmarkEnd w:id="19"/>
      <w:bookmarkEnd w:id="20"/>
      <w:bookmarkEnd w:id="21"/>
    </w:p>
    <w:p>
      <w:pPr>
        <w:pStyle w:val="37"/>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37"/>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37"/>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120614215"/>
      <w:bookmarkStart w:id="23" w:name="_Toc403987206"/>
      <w:bookmarkStart w:id="24" w:name="_Toc16938525"/>
      <w:bookmarkStart w:id="25" w:name="_Toc20823281"/>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20823282"/>
      <w:bookmarkStart w:id="28" w:name="_Toc16938526"/>
      <w:bookmarkStart w:id="29" w:name="_Toc513029210"/>
      <w:r>
        <w:rPr>
          <w:rFonts w:hint="eastAsia" w:ascii="宋体" w:hAnsi="宋体" w:cs="宋体"/>
          <w:sz w:val="24"/>
          <w:szCs w:val="24"/>
        </w:rPr>
        <w:t>1.磋商文件构成</w:t>
      </w:r>
      <w:bookmarkEnd w:id="27"/>
      <w:bookmarkEnd w:id="28"/>
      <w:bookmarkEnd w:id="29"/>
    </w:p>
    <w:p>
      <w:pPr>
        <w:pStyle w:val="37"/>
        <w:snapToGrid w:val="0"/>
        <w:rPr>
          <w:rFonts w:hint="eastAsia" w:hAnsi="宋体" w:eastAsia="宋体"/>
          <w:sz w:val="24"/>
          <w:szCs w:val="24"/>
        </w:rPr>
      </w:pPr>
      <w:r>
        <w:rPr>
          <w:rFonts w:hint="eastAsia" w:hAnsi="宋体" w:eastAsia="宋体"/>
          <w:sz w:val="24"/>
          <w:szCs w:val="24"/>
        </w:rPr>
        <w:t>磋商文件有以下部分组成：</w:t>
      </w:r>
    </w:p>
    <w:p>
      <w:pPr>
        <w:pStyle w:val="37"/>
        <w:snapToGrid w:val="0"/>
        <w:rPr>
          <w:rFonts w:hint="eastAsia" w:hAnsi="宋体" w:eastAsia="宋体"/>
          <w:sz w:val="24"/>
          <w:szCs w:val="24"/>
        </w:rPr>
      </w:pPr>
      <w:r>
        <w:rPr>
          <w:rFonts w:hint="eastAsia" w:hAnsi="宋体" w:eastAsia="宋体"/>
          <w:sz w:val="24"/>
          <w:szCs w:val="24"/>
        </w:rPr>
        <w:t>（1）磋商公告</w:t>
      </w:r>
    </w:p>
    <w:p>
      <w:pPr>
        <w:pStyle w:val="37"/>
        <w:snapToGrid w:val="0"/>
        <w:rPr>
          <w:rFonts w:hint="eastAsia" w:hAnsi="宋体" w:eastAsia="宋体"/>
          <w:sz w:val="24"/>
          <w:szCs w:val="24"/>
        </w:rPr>
      </w:pPr>
      <w:r>
        <w:rPr>
          <w:rFonts w:hint="eastAsia" w:hAnsi="宋体" w:eastAsia="宋体"/>
          <w:sz w:val="24"/>
          <w:szCs w:val="24"/>
        </w:rPr>
        <w:t>（2）磋商须知前附表</w:t>
      </w:r>
    </w:p>
    <w:p>
      <w:pPr>
        <w:pStyle w:val="37"/>
        <w:snapToGrid w:val="0"/>
        <w:rPr>
          <w:rFonts w:hint="eastAsia" w:hAnsi="宋体" w:eastAsia="宋体"/>
          <w:sz w:val="24"/>
          <w:szCs w:val="24"/>
        </w:rPr>
      </w:pPr>
      <w:r>
        <w:rPr>
          <w:rFonts w:hint="eastAsia" w:hAnsi="宋体" w:eastAsia="宋体"/>
          <w:sz w:val="24"/>
          <w:szCs w:val="24"/>
        </w:rPr>
        <w:t>（3）磋商须知</w:t>
      </w:r>
    </w:p>
    <w:p>
      <w:pPr>
        <w:pStyle w:val="37"/>
        <w:snapToGrid w:val="0"/>
        <w:rPr>
          <w:rFonts w:hint="eastAsia" w:hAnsi="宋体" w:eastAsia="宋体"/>
          <w:sz w:val="24"/>
          <w:szCs w:val="24"/>
        </w:rPr>
      </w:pPr>
      <w:r>
        <w:rPr>
          <w:rFonts w:hint="eastAsia" w:hAnsi="宋体" w:eastAsia="宋体"/>
          <w:sz w:val="24"/>
          <w:szCs w:val="24"/>
        </w:rPr>
        <w:t>（4）合同主要条款</w:t>
      </w:r>
    </w:p>
    <w:p>
      <w:pPr>
        <w:pStyle w:val="37"/>
        <w:snapToGrid w:val="0"/>
        <w:rPr>
          <w:rFonts w:hint="eastAsia" w:hAnsi="宋体" w:eastAsia="宋体"/>
          <w:sz w:val="24"/>
          <w:szCs w:val="24"/>
        </w:rPr>
      </w:pPr>
      <w:r>
        <w:rPr>
          <w:rFonts w:hint="eastAsia" w:hAnsi="宋体" w:eastAsia="宋体"/>
          <w:sz w:val="24"/>
          <w:szCs w:val="24"/>
        </w:rPr>
        <w:t>（5）项目需求</w:t>
      </w:r>
    </w:p>
    <w:p>
      <w:pPr>
        <w:pStyle w:val="37"/>
        <w:snapToGrid w:val="0"/>
        <w:rPr>
          <w:rFonts w:hint="eastAsia" w:hAnsi="宋体" w:eastAsia="宋体"/>
          <w:sz w:val="24"/>
          <w:szCs w:val="24"/>
        </w:rPr>
      </w:pPr>
      <w:r>
        <w:rPr>
          <w:rFonts w:hint="eastAsia" w:hAnsi="宋体" w:eastAsia="宋体"/>
          <w:sz w:val="24"/>
          <w:szCs w:val="24"/>
        </w:rPr>
        <w:t>（6）评审标准</w:t>
      </w:r>
    </w:p>
    <w:p>
      <w:pPr>
        <w:pStyle w:val="37"/>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20823283"/>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37"/>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462564072"/>
      <w:bookmarkStart w:id="36" w:name="_Toc120614216"/>
      <w:bookmarkStart w:id="37" w:name="_Toc403987207"/>
      <w:bookmarkStart w:id="38" w:name="_Toc16938529"/>
      <w:bookmarkStart w:id="39" w:name="_Toc513029213"/>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20823286"/>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37"/>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37"/>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37"/>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37"/>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37"/>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37"/>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37"/>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37"/>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37"/>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37"/>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6"/>
      <w:bookmarkEnd w:id="63"/>
      <w:bookmarkStart w:id="64" w:name="_Hlt26954846"/>
      <w:bookmarkEnd w:id="64"/>
      <w:bookmarkStart w:id="65" w:name="_Hlt26954848"/>
      <w:bookmarkEnd w:id="65"/>
      <w:bookmarkStart w:id="66" w:name="_Hlt26954731"/>
      <w:bookmarkEnd w:id="66"/>
      <w:bookmarkStart w:id="67" w:name="_Hlt26670482"/>
      <w:bookmarkEnd w:id="67"/>
      <w:bookmarkStart w:id="68" w:name="_Toc14577359"/>
      <w:bookmarkStart w:id="69" w:name="_Toc49090510"/>
      <w:r>
        <w:rPr>
          <w:rFonts w:hint="eastAsia" w:ascii="宋体" w:hAnsi="宋体" w:cs="宋体"/>
          <w:sz w:val="24"/>
          <w:szCs w:val="24"/>
        </w:rPr>
        <w:t>8.磋商保证金</w:t>
      </w:r>
      <w:bookmarkEnd w:id="68"/>
      <w:bookmarkEnd w:id="69"/>
    </w:p>
    <w:p>
      <w:pPr>
        <w:pStyle w:val="37"/>
        <w:snapToGrid w:val="0"/>
        <w:rPr>
          <w:rFonts w:hint="eastAsia" w:hAnsi="宋体" w:eastAsia="宋体"/>
          <w:sz w:val="24"/>
          <w:szCs w:val="24"/>
        </w:rPr>
      </w:pPr>
      <w:bookmarkStart w:id="70" w:name="_Hlt26954734"/>
      <w:bookmarkEnd w:id="70"/>
      <w:bookmarkStart w:id="71" w:name="_Hlt26954850"/>
      <w:bookmarkEnd w:id="71"/>
      <w:bookmarkStart w:id="72" w:name="_Hlt26670489"/>
      <w:bookmarkEnd w:id="72"/>
      <w:bookmarkStart w:id="73" w:name="_Toc49090511"/>
      <w:bookmarkStart w:id="74" w:name="_Toc14577360"/>
      <w:r>
        <w:rPr>
          <w:rFonts w:hint="eastAsia" w:hAnsi="宋体" w:eastAsia="宋体"/>
          <w:sz w:val="24"/>
          <w:szCs w:val="24"/>
        </w:rPr>
        <w:t>（1）供应商提交的磋商保证金必须在响应文件提交截止时间前一天下午14：00前到账，并作为其磋商响应的组成部分，否则将被视为非实质性响应而予以拒绝。</w:t>
      </w:r>
    </w:p>
    <w:p>
      <w:pPr>
        <w:pStyle w:val="37"/>
        <w:snapToGrid w:val="0"/>
        <w:rPr>
          <w:rFonts w:hint="eastAsia" w:hAnsi="宋体" w:eastAsia="宋体"/>
          <w:sz w:val="24"/>
          <w:szCs w:val="24"/>
        </w:rPr>
      </w:pPr>
      <w:r>
        <w:rPr>
          <w:rFonts w:hint="eastAsia" w:hAnsi="宋体" w:eastAsia="宋体"/>
          <w:sz w:val="24"/>
          <w:szCs w:val="24"/>
        </w:rPr>
        <w:t>（2）中标单位的磋商保证金，将自动转为履约保证金，不足部分在双方签订合同前交齐。</w:t>
      </w:r>
    </w:p>
    <w:p>
      <w:pPr>
        <w:pStyle w:val="37"/>
        <w:snapToGrid w:val="0"/>
        <w:rPr>
          <w:rFonts w:hint="eastAsia" w:hAnsi="宋体" w:eastAsia="宋体"/>
          <w:sz w:val="24"/>
          <w:szCs w:val="24"/>
        </w:rPr>
      </w:pPr>
      <w:r>
        <w:rPr>
          <w:rFonts w:hint="eastAsia" w:hAnsi="宋体" w:eastAsia="宋体"/>
          <w:sz w:val="24"/>
          <w:szCs w:val="24"/>
        </w:rPr>
        <w:t>（3）未成交供应商的磋商保证金将在成交通知书发出后10个工作日内退还。</w:t>
      </w:r>
    </w:p>
    <w:p>
      <w:pPr>
        <w:pStyle w:val="37"/>
        <w:snapToGrid w:val="0"/>
        <w:rPr>
          <w:rFonts w:hint="eastAsia" w:hAnsi="宋体" w:eastAsia="宋体"/>
          <w:sz w:val="24"/>
          <w:szCs w:val="24"/>
        </w:rPr>
      </w:pPr>
      <w:r>
        <w:rPr>
          <w:rFonts w:hint="eastAsia" w:hAnsi="宋体" w:eastAsia="宋体"/>
          <w:sz w:val="24"/>
          <w:szCs w:val="24"/>
        </w:rPr>
        <w:t xml:space="preserve">（4）有下列情形之一的，磋商保证金不予退还： </w:t>
      </w:r>
    </w:p>
    <w:p>
      <w:pPr>
        <w:pStyle w:val="34"/>
        <w:snapToGrid w:val="0"/>
        <w:ind w:firstLine="480" w:firstLineChars="200"/>
        <w:rPr>
          <w:rFonts w:hint="eastAsia" w:hAnsi="宋体" w:eastAsia="宋体"/>
          <w:sz w:val="24"/>
          <w:szCs w:val="24"/>
        </w:rPr>
      </w:pPr>
      <w:r>
        <w:rPr>
          <w:rFonts w:hint="eastAsia" w:hAnsi="宋体" w:eastAsia="宋体"/>
          <w:sz w:val="24"/>
          <w:szCs w:val="24"/>
        </w:rPr>
        <w:t>1）供应商在提交响应文件截止时间后撤回响应文件的；</w:t>
      </w:r>
    </w:p>
    <w:p>
      <w:pPr>
        <w:pStyle w:val="34"/>
        <w:snapToGrid w:val="0"/>
        <w:ind w:firstLine="480" w:firstLineChars="200"/>
        <w:rPr>
          <w:rFonts w:hint="eastAsia" w:hAnsi="宋体" w:eastAsia="宋体"/>
          <w:sz w:val="24"/>
          <w:szCs w:val="24"/>
        </w:rPr>
      </w:pPr>
      <w:r>
        <w:rPr>
          <w:rFonts w:hint="eastAsia" w:hAnsi="宋体" w:eastAsia="宋体"/>
          <w:sz w:val="24"/>
          <w:szCs w:val="24"/>
        </w:rPr>
        <w:t>2）供应商在响应文件中提供虚假材料的；</w:t>
      </w:r>
    </w:p>
    <w:p>
      <w:pPr>
        <w:pStyle w:val="34"/>
        <w:snapToGrid w:val="0"/>
        <w:ind w:firstLine="480" w:firstLineChars="200"/>
        <w:rPr>
          <w:rFonts w:hint="eastAsia" w:hAnsi="宋体" w:eastAsia="宋体"/>
          <w:sz w:val="24"/>
          <w:szCs w:val="24"/>
        </w:rPr>
      </w:pPr>
      <w:r>
        <w:rPr>
          <w:rFonts w:hint="eastAsia" w:hAnsi="宋体" w:eastAsia="宋体"/>
          <w:sz w:val="24"/>
          <w:szCs w:val="24"/>
        </w:rPr>
        <w:t>3）除因不可抗力或磋商文件认可的情形以外，成交供应商不与采购人签订合同的；</w:t>
      </w:r>
    </w:p>
    <w:p>
      <w:pPr>
        <w:pStyle w:val="34"/>
        <w:snapToGrid w:val="0"/>
        <w:ind w:firstLine="480" w:firstLineChars="200"/>
        <w:rPr>
          <w:rFonts w:hint="eastAsia" w:hAnsi="宋体" w:eastAsia="宋体"/>
          <w:sz w:val="24"/>
          <w:szCs w:val="24"/>
        </w:rPr>
      </w:pPr>
      <w:r>
        <w:rPr>
          <w:rFonts w:hint="eastAsia" w:hAnsi="宋体" w:eastAsia="宋体"/>
          <w:sz w:val="24"/>
          <w:szCs w:val="24"/>
        </w:rPr>
        <w:t>4）供应商与采购人、其他供应商恶意串通的；</w:t>
      </w:r>
    </w:p>
    <w:p>
      <w:pPr>
        <w:pStyle w:val="34"/>
        <w:snapToGrid w:val="0"/>
        <w:ind w:firstLine="480" w:firstLineChars="200"/>
        <w:rPr>
          <w:rFonts w:hint="eastAsia" w:hAnsi="宋体" w:eastAsia="宋体"/>
          <w:sz w:val="24"/>
          <w:szCs w:val="24"/>
        </w:rPr>
      </w:pPr>
      <w:r>
        <w:rPr>
          <w:rFonts w:hint="eastAsia" w:hAnsi="宋体" w:eastAsia="宋体"/>
          <w:sz w:val="24"/>
          <w:szCs w:val="24"/>
        </w:rPr>
        <w:t>5）磋商文件规定的其他情形。</w:t>
      </w:r>
    </w:p>
    <w:bookmarkEnd w:id="73"/>
    <w:bookmarkEnd w:id="74"/>
    <w:p>
      <w:pPr>
        <w:adjustRightInd w:val="0"/>
        <w:snapToGrid w:val="0"/>
        <w:spacing w:line="360" w:lineRule="auto"/>
        <w:ind w:firstLine="480" w:firstLineChars="200"/>
        <w:rPr>
          <w:rFonts w:hint="eastAsia" w:ascii="宋体" w:hAnsi="宋体" w:cs="宋体"/>
          <w:sz w:val="24"/>
          <w:szCs w:val="24"/>
        </w:rPr>
      </w:pPr>
      <w:bookmarkStart w:id="75" w:name="_Hlt26954852"/>
      <w:bookmarkEnd w:id="75"/>
      <w:bookmarkStart w:id="76" w:name="_Hlt26954739"/>
      <w:bookmarkEnd w:id="76"/>
      <w:bookmarkStart w:id="77" w:name="_Toc49090512"/>
      <w:bookmarkStart w:id="78" w:name="_Toc14577361"/>
      <w:r>
        <w:rPr>
          <w:rFonts w:hint="eastAsia" w:ascii="宋体" w:hAnsi="宋体" w:cs="宋体"/>
          <w:sz w:val="24"/>
          <w:szCs w:val="24"/>
        </w:rPr>
        <w:t>9.响应文件份数和签署</w:t>
      </w:r>
      <w:bookmarkEnd w:id="77"/>
      <w:bookmarkEnd w:id="78"/>
    </w:p>
    <w:p>
      <w:pPr>
        <w:pStyle w:val="37"/>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37"/>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37"/>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9" w:name="_Toc16938540"/>
      <w:bookmarkStart w:id="80" w:name="_Toc513029224"/>
      <w:bookmarkStart w:id="81" w:name="_Toc120614217"/>
      <w:bookmarkStart w:id="82" w:name="_Toc20823296"/>
      <w:bookmarkStart w:id="83" w:name="_Toc403987208"/>
      <w:r>
        <w:rPr>
          <w:rFonts w:hint="eastAsia" w:ascii="宋体" w:hAnsi="宋体" w:cs="宋体"/>
          <w:sz w:val="24"/>
          <w:szCs w:val="24"/>
        </w:rPr>
        <w:t>（四）响应文件的递交</w:t>
      </w:r>
      <w:bookmarkEnd w:id="79"/>
      <w:bookmarkEnd w:id="80"/>
      <w:bookmarkEnd w:id="81"/>
      <w:bookmarkEnd w:id="82"/>
      <w:bookmarkEnd w:id="83"/>
    </w:p>
    <w:p>
      <w:pPr>
        <w:adjustRightInd w:val="0"/>
        <w:snapToGrid w:val="0"/>
        <w:spacing w:line="360" w:lineRule="auto"/>
        <w:ind w:firstLine="480" w:firstLineChars="200"/>
        <w:rPr>
          <w:rFonts w:hint="eastAsia" w:ascii="宋体" w:hAnsi="宋体" w:cs="宋体"/>
          <w:sz w:val="24"/>
          <w:szCs w:val="24"/>
        </w:rPr>
      </w:pPr>
      <w:bookmarkStart w:id="84" w:name="_Toc20823297"/>
      <w:bookmarkStart w:id="85" w:name="_Toc513029225"/>
      <w:bookmarkStart w:id="86" w:name="_Toc462564084"/>
      <w:bookmarkStart w:id="87" w:name="_Toc16938541"/>
      <w:r>
        <w:rPr>
          <w:rFonts w:hint="eastAsia" w:ascii="宋体" w:hAnsi="宋体" w:cs="宋体"/>
          <w:sz w:val="24"/>
          <w:szCs w:val="24"/>
        </w:rPr>
        <w:t>1.响应文件的密封和标记</w:t>
      </w:r>
      <w:bookmarkEnd w:id="84"/>
      <w:bookmarkEnd w:id="85"/>
      <w:bookmarkEnd w:id="86"/>
      <w:bookmarkEnd w:id="87"/>
    </w:p>
    <w:p>
      <w:pPr>
        <w:pStyle w:val="37"/>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37"/>
        <w:snapToGrid w:val="0"/>
        <w:rPr>
          <w:rFonts w:hint="eastAsia" w:hAnsi="宋体" w:eastAsia="宋体"/>
          <w:sz w:val="24"/>
          <w:szCs w:val="24"/>
        </w:rPr>
      </w:pPr>
      <w:r>
        <w:rPr>
          <w:rFonts w:hint="eastAsia" w:hAnsi="宋体" w:eastAsia="宋体"/>
          <w:sz w:val="24"/>
          <w:szCs w:val="24"/>
        </w:rPr>
        <w:t>（2）密封的响应文件应：</w:t>
      </w:r>
    </w:p>
    <w:p>
      <w:pPr>
        <w:pStyle w:val="37"/>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37"/>
        <w:snapToGrid w:val="0"/>
        <w:rPr>
          <w:rFonts w:hint="eastAsia" w:hAnsi="宋体" w:eastAsia="宋体"/>
          <w:sz w:val="24"/>
          <w:szCs w:val="24"/>
        </w:rPr>
      </w:pPr>
      <w:r>
        <w:rPr>
          <w:rFonts w:hint="eastAsia" w:hAnsi="宋体" w:eastAsia="宋体"/>
          <w:sz w:val="24"/>
          <w:szCs w:val="24"/>
        </w:rPr>
        <w:t>2）注明磋商项目名称、项目编号。</w:t>
      </w:r>
    </w:p>
    <w:p>
      <w:pPr>
        <w:pStyle w:val="37"/>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8" w:name="_Toc513029226"/>
      <w:bookmarkStart w:id="89" w:name="_Toc16938542"/>
      <w:bookmarkStart w:id="90" w:name="_Toc20823298"/>
      <w:r>
        <w:rPr>
          <w:rFonts w:hint="eastAsia" w:ascii="宋体" w:hAnsi="宋体" w:cs="宋体"/>
          <w:sz w:val="24"/>
          <w:szCs w:val="24"/>
        </w:rPr>
        <w:t>2.响应文件提交截止</w:t>
      </w:r>
      <w:bookmarkEnd w:id="88"/>
      <w:bookmarkEnd w:id="89"/>
      <w:bookmarkEnd w:id="90"/>
      <w:r>
        <w:rPr>
          <w:rFonts w:hint="eastAsia" w:ascii="宋体" w:hAnsi="宋体" w:cs="宋体"/>
          <w:sz w:val="24"/>
          <w:szCs w:val="24"/>
        </w:rPr>
        <w:t>时间</w:t>
      </w:r>
    </w:p>
    <w:p>
      <w:pPr>
        <w:pStyle w:val="37"/>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37"/>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37"/>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37"/>
        <w:snapToGrid w:val="0"/>
        <w:rPr>
          <w:rFonts w:hint="eastAsia"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37"/>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91" w:name="_Toc20823303"/>
      <w:bookmarkStart w:id="92" w:name="_Toc513029231"/>
      <w:bookmarkStart w:id="93" w:name="_Toc16938547"/>
      <w:r>
        <w:rPr>
          <w:rFonts w:hint="eastAsia" w:ascii="宋体" w:hAnsi="宋体" w:cs="宋体"/>
          <w:sz w:val="24"/>
          <w:szCs w:val="24"/>
        </w:rPr>
        <w:t>2.磋商小组</w:t>
      </w:r>
    </w:p>
    <w:p>
      <w:pPr>
        <w:pStyle w:val="37"/>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37"/>
        <w:snapToGrid w:val="0"/>
        <w:rPr>
          <w:rFonts w:hint="eastAsia" w:hAnsi="宋体" w:eastAsia="宋体"/>
          <w:sz w:val="24"/>
          <w:szCs w:val="24"/>
        </w:rPr>
      </w:pPr>
      <w:r>
        <w:rPr>
          <w:rFonts w:hint="eastAsia" w:hAnsi="宋体" w:eastAsia="宋体"/>
          <w:sz w:val="24"/>
          <w:szCs w:val="24"/>
        </w:rPr>
        <w:t>（2）磋商小组将按规定由3人或以上单数组成。</w:t>
      </w:r>
    </w:p>
    <w:bookmarkEnd w:id="91"/>
    <w:bookmarkEnd w:id="92"/>
    <w:bookmarkEnd w:id="93"/>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94" w:name="_Toc16938548"/>
      <w:bookmarkStart w:id="95" w:name="_Toc20823304"/>
      <w:bookmarkStart w:id="96" w:name="_Toc513029232"/>
      <w:r>
        <w:rPr>
          <w:rFonts w:hint="eastAsia" w:ascii="宋体" w:hAnsi="宋体" w:cs="宋体"/>
          <w:sz w:val="24"/>
          <w:szCs w:val="24"/>
        </w:rPr>
        <w:t>4.供应商澄清</w:t>
      </w:r>
      <w:bookmarkEnd w:id="94"/>
      <w:bookmarkEnd w:id="95"/>
      <w:bookmarkEnd w:id="96"/>
    </w:p>
    <w:p>
      <w:pPr>
        <w:adjustRightInd w:val="0"/>
        <w:snapToGrid w:val="0"/>
        <w:spacing w:line="360" w:lineRule="auto"/>
        <w:ind w:firstLine="480" w:firstLineChars="200"/>
        <w:rPr>
          <w:rFonts w:hint="eastAsia" w:ascii="宋体" w:hAnsi="宋体" w:cs="宋体"/>
          <w:sz w:val="24"/>
          <w:szCs w:val="24"/>
        </w:rPr>
      </w:pPr>
      <w:bookmarkStart w:id="97" w:name="_Toc16938549"/>
      <w:bookmarkStart w:id="98" w:name="_Toc20823305"/>
      <w:bookmarkStart w:id="99" w:name="_Toc513029233"/>
      <w:r>
        <w:rPr>
          <w:rFonts w:hint="eastAsia" w:ascii="宋体" w:hAnsi="宋体" w:cs="宋体"/>
          <w:sz w:val="24"/>
          <w:szCs w:val="24"/>
        </w:rPr>
        <w:t>磋商小组要求供应商澄清、说明或者更正响应文件将以书面形式作出。</w:t>
      </w:r>
    </w:p>
    <w:bookmarkEnd w:id="97"/>
    <w:bookmarkEnd w:id="98"/>
    <w:bookmarkEnd w:id="99"/>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（4）已提交响应文件的供应商，在提交最后报价之前，可以根据磋商情况退出磋商。采购人将退还退出磋商的供应商的磋商保证金。</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37"/>
        <w:snapToGrid w:val="0"/>
        <w:rPr>
          <w:rFonts w:hint="eastAsia" w:hAnsi="宋体" w:eastAsia="宋体"/>
          <w:sz w:val="24"/>
          <w:szCs w:val="24"/>
        </w:rPr>
      </w:pPr>
      <w:bookmarkStart w:id="100" w:name="_Toc513029235"/>
      <w:bookmarkStart w:id="101" w:name="_Toc20823307"/>
      <w:bookmarkStart w:id="102" w:name="_Toc16938551"/>
      <w:r>
        <w:rPr>
          <w:rFonts w:hint="eastAsia" w:hAnsi="宋体" w:eastAsia="宋体"/>
          <w:sz w:val="24"/>
          <w:szCs w:val="24"/>
        </w:rPr>
        <w:t>（1）响应无效条款</w:t>
      </w:r>
    </w:p>
    <w:p>
      <w:pPr>
        <w:pStyle w:val="34"/>
        <w:snapToGrid w:val="0"/>
        <w:ind w:firstLine="480" w:firstLineChars="200"/>
        <w:rPr>
          <w:rFonts w:hint="eastAsia" w:hAnsi="宋体" w:eastAsia="宋体"/>
          <w:sz w:val="24"/>
          <w:szCs w:val="24"/>
        </w:rPr>
      </w:pPr>
      <w:r>
        <w:rPr>
          <w:rFonts w:hint="eastAsia" w:hAnsi="宋体" w:eastAsia="宋体"/>
          <w:sz w:val="24"/>
          <w:szCs w:val="24"/>
        </w:rPr>
        <w:t>1）未按要求交纳磋商保证金的；</w:t>
      </w:r>
    </w:p>
    <w:p>
      <w:pPr>
        <w:pStyle w:val="34"/>
        <w:snapToGrid w:val="0"/>
        <w:ind w:firstLine="480" w:firstLineChars="200"/>
        <w:rPr>
          <w:rFonts w:hint="eastAsia" w:hAnsi="宋体" w:eastAsia="宋体"/>
          <w:sz w:val="24"/>
          <w:szCs w:val="24"/>
        </w:rPr>
      </w:pPr>
      <w:r>
        <w:rPr>
          <w:rFonts w:hint="eastAsia" w:hAnsi="宋体" w:eastAsia="宋体"/>
          <w:sz w:val="24"/>
          <w:szCs w:val="24"/>
        </w:rPr>
        <w:t>2）未按照磋商文件规定要求密封、签署、盖章的；</w:t>
      </w:r>
    </w:p>
    <w:p>
      <w:pPr>
        <w:pStyle w:val="34"/>
        <w:snapToGrid w:val="0"/>
        <w:ind w:firstLine="480" w:firstLineChars="200"/>
        <w:rPr>
          <w:rFonts w:hint="eastAsia" w:hAnsi="宋体" w:eastAsia="宋体"/>
          <w:sz w:val="24"/>
          <w:szCs w:val="24"/>
        </w:rPr>
      </w:pPr>
      <w:r>
        <w:rPr>
          <w:rFonts w:hint="eastAsia" w:hAnsi="宋体" w:eastAsia="宋体"/>
          <w:sz w:val="24"/>
          <w:szCs w:val="24"/>
        </w:rPr>
        <w:t>3）供应商不具备磋商文件中规定资格条件的；</w:t>
      </w:r>
    </w:p>
    <w:p>
      <w:pPr>
        <w:pStyle w:val="34"/>
        <w:snapToGrid w:val="0"/>
        <w:ind w:firstLine="480" w:firstLineChars="200"/>
        <w:rPr>
          <w:rFonts w:hint="eastAsia" w:hAnsi="宋体" w:eastAsia="宋体"/>
          <w:sz w:val="24"/>
          <w:szCs w:val="24"/>
        </w:rPr>
      </w:pPr>
      <w:r>
        <w:rPr>
          <w:rFonts w:hint="eastAsia" w:hAnsi="宋体" w:eastAsia="宋体"/>
          <w:sz w:val="24"/>
          <w:szCs w:val="24"/>
        </w:rPr>
        <w:t>4）不符合法律、法规和磋商文件中规定的其他实质性要求的（本磋商文件中斜体且有下划线部分为实质性要求和条件）；</w:t>
      </w:r>
    </w:p>
    <w:p>
      <w:pPr>
        <w:pStyle w:val="34"/>
        <w:snapToGrid w:val="0"/>
        <w:ind w:firstLine="480" w:firstLineChars="200"/>
        <w:rPr>
          <w:rFonts w:hint="eastAsia" w:hAnsi="宋体" w:eastAsia="宋体"/>
          <w:sz w:val="24"/>
          <w:szCs w:val="24"/>
        </w:rPr>
      </w:pPr>
      <w:r>
        <w:rPr>
          <w:rFonts w:hint="eastAsia" w:hAnsi="宋体" w:eastAsia="宋体"/>
          <w:sz w:val="24"/>
          <w:szCs w:val="24"/>
        </w:rPr>
        <w:t>5）其他法律、法规及本磋商文件规定的属响应无效的情形。</w:t>
      </w:r>
    </w:p>
    <w:p>
      <w:pPr>
        <w:pStyle w:val="37"/>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4"/>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4"/>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16938554"/>
      <w:bookmarkStart w:id="104" w:name="_Toc20823310"/>
      <w:r>
        <w:rPr>
          <w:rFonts w:hint="eastAsia" w:ascii="宋体" w:hAnsi="宋体" w:cs="宋体"/>
          <w:sz w:val="24"/>
          <w:szCs w:val="24"/>
        </w:rPr>
        <w:t>8.确定</w:t>
      </w:r>
      <w:bookmarkEnd w:id="103"/>
      <w:bookmarkEnd w:id="104"/>
      <w:r>
        <w:rPr>
          <w:rFonts w:hint="eastAsia" w:ascii="宋体" w:hAnsi="宋体" w:cs="宋体"/>
          <w:sz w:val="24"/>
          <w:szCs w:val="24"/>
        </w:rPr>
        <w:t>成交供应商</w:t>
      </w:r>
    </w:p>
    <w:p>
      <w:pPr>
        <w:pStyle w:val="37"/>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37"/>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105" w:name="_Toc403987211"/>
      <w:bookmarkStart w:id="106" w:name="_Toc120614220"/>
      <w:bookmarkStart w:id="107" w:name="_Toc513029236"/>
      <w:bookmarkStart w:id="108" w:name="_Toc20823308"/>
      <w:bookmarkStart w:id="109" w:name="_Toc16938552"/>
      <w:r>
        <w:rPr>
          <w:rFonts w:hint="eastAsia" w:ascii="宋体" w:hAnsi="宋体" w:cs="宋体"/>
          <w:sz w:val="24"/>
          <w:szCs w:val="24"/>
        </w:rPr>
        <w:t>（六）授予合同</w:t>
      </w:r>
      <w:bookmarkEnd w:id="105"/>
      <w:bookmarkEnd w:id="106"/>
    </w:p>
    <w:bookmarkEnd w:id="107"/>
    <w:bookmarkEnd w:id="108"/>
    <w:bookmarkEnd w:id="109"/>
    <w:p>
      <w:pPr>
        <w:adjustRightInd w:val="0"/>
        <w:snapToGrid w:val="0"/>
        <w:spacing w:line="360" w:lineRule="auto"/>
        <w:ind w:firstLine="480" w:firstLineChars="200"/>
        <w:rPr>
          <w:rFonts w:hint="eastAsia" w:ascii="宋体" w:hAnsi="宋体" w:cs="宋体"/>
          <w:sz w:val="24"/>
          <w:szCs w:val="24"/>
        </w:rPr>
      </w:pPr>
      <w:bookmarkStart w:id="110" w:name="_Toc513029237"/>
      <w:bookmarkStart w:id="111" w:name="_Toc16938553"/>
      <w:bookmarkStart w:id="112" w:name="_Toc20823309"/>
      <w:r>
        <w:rPr>
          <w:rFonts w:hint="eastAsia" w:ascii="宋体" w:hAnsi="宋体" w:cs="宋体"/>
          <w:sz w:val="24"/>
          <w:szCs w:val="24"/>
        </w:rPr>
        <w:t>1.签订合同</w:t>
      </w:r>
    </w:p>
    <w:p>
      <w:pPr>
        <w:pStyle w:val="37"/>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37"/>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37"/>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37"/>
        <w:snapToGrid w:val="0"/>
        <w:rPr>
          <w:rFonts w:hint="eastAsia" w:hAnsi="宋体" w:eastAsia="宋体"/>
          <w:sz w:val="24"/>
          <w:szCs w:val="24"/>
        </w:rPr>
      </w:pPr>
      <w:r>
        <w:rPr>
          <w:rFonts w:hint="eastAsia" w:hAnsi="宋体" w:eastAsia="宋体"/>
          <w:sz w:val="24"/>
          <w:szCs w:val="24"/>
        </w:rPr>
        <w:t>（1）中标单位在收到成交通知书后，磋商保证金将自动转为履约保证金</w:t>
      </w:r>
      <w:bookmarkStart w:id="113" w:name="_Toc200451963"/>
      <w:r>
        <w:rPr>
          <w:rFonts w:hint="eastAsia" w:hAnsi="宋体" w:eastAsia="宋体"/>
          <w:sz w:val="24"/>
          <w:szCs w:val="24"/>
        </w:rPr>
        <w:t>，不足部分在双方签订合同前交齐。</w:t>
      </w:r>
    </w:p>
    <w:bookmarkEnd w:id="113"/>
    <w:p>
      <w:pPr>
        <w:pStyle w:val="37"/>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10"/>
      <w:bookmarkEnd w:id="111"/>
      <w:bookmarkEnd w:id="112"/>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6"/>
        <w:numPr>
          <w:ilvl w:val="0"/>
          <w:numId w:val="2"/>
        </w:numPr>
        <w:snapToGrid w:val="0"/>
        <w:spacing w:before="0" w:after="0"/>
        <w:ind w:left="947" w:hanging="947"/>
        <w:jc w:val="center"/>
        <w:rPr>
          <w:rFonts w:hint="eastAsia"/>
        </w:rPr>
      </w:pPr>
      <w:bookmarkStart w:id="114" w:name="_Toc49763002"/>
      <w:r>
        <w:rPr>
          <w:rFonts w:hint="eastAsia" w:ascii="华文中宋" w:hAnsi="华文中宋" w:eastAsia="华文中宋"/>
          <w:bCs w:val="0"/>
          <w:color w:val="auto"/>
          <w:highlight w:val="none"/>
        </w:rPr>
        <w:t xml:space="preserve"> 合同主要条款</w:t>
      </w:r>
      <w:bookmarkEnd w:id="114"/>
    </w:p>
    <w:p>
      <w:pPr>
        <w:jc w:val="center"/>
        <w:rPr>
          <w:rFonts w:hint="eastAsia" w:ascii="宋体" w:hAnsi="宋体" w:eastAsia="宋体"/>
          <w:b/>
          <w:sz w:val="44"/>
          <w:szCs w:val="44"/>
        </w:rPr>
      </w:pPr>
      <w:r>
        <w:rPr>
          <w:rFonts w:hint="eastAsia" w:ascii="宋体" w:hAnsi="宋体" w:eastAsia="宋体"/>
          <w:b/>
          <w:sz w:val="44"/>
          <w:szCs w:val="44"/>
        </w:rPr>
        <w:t>皖南医学院采购项目合同（货物类）</w:t>
      </w:r>
    </w:p>
    <w:p>
      <w:pPr>
        <w:jc w:val="center"/>
        <w:rPr>
          <w:rFonts w:hint="eastAsia" w:ascii="Arial" w:hAnsi="Arial"/>
          <w:sz w:val="36"/>
          <w:szCs w:val="36"/>
        </w:rPr>
      </w:pPr>
      <w:r>
        <w:rPr>
          <w:rFonts w:hint="eastAsia" w:ascii="Arial" w:hAnsi="Arial"/>
          <w:sz w:val="36"/>
          <w:szCs w:val="36"/>
        </w:rPr>
        <w:t>（标准模板）</w:t>
      </w:r>
    </w:p>
    <w:p>
      <w:pPr>
        <w:adjustRightInd w:val="0"/>
        <w:snapToGrid w:val="0"/>
        <w:spacing w:line="360" w:lineRule="auto"/>
        <w:jc w:val="right"/>
        <w:rPr>
          <w:rFonts w:hint="eastAsia" w:ascii="仿宋_GB2312" w:hAnsi="宋体" w:eastAsia="仿宋_GB2312" w:cs="宋体"/>
          <w:b w:val="0"/>
          <w:bCs w:val="0"/>
          <w:color w:val="000000"/>
          <w:kern w:val="36"/>
          <w:sz w:val="28"/>
          <w:szCs w:val="28"/>
          <w:lang w:val="en-US" w:eastAsia="zh-CN"/>
        </w:rPr>
      </w:pPr>
      <w:r>
        <w:rPr>
          <w:rFonts w:hint="eastAsia" w:ascii="仿宋_GB2312" w:hAnsi="宋体" w:eastAsia="仿宋_GB2312" w:cs="宋体"/>
          <w:b w:val="0"/>
          <w:bCs w:val="0"/>
          <w:color w:val="000000"/>
          <w:kern w:val="36"/>
          <w:sz w:val="28"/>
          <w:szCs w:val="28"/>
          <w:lang w:val="en-US" w:eastAsia="zh-CN"/>
        </w:rPr>
        <w:t>合同编号：WYGZ2022045-1</w:t>
      </w:r>
    </w:p>
    <w:p>
      <w:pPr>
        <w:adjustRightInd w:val="0"/>
        <w:snapToGrid w:val="0"/>
        <w:spacing w:line="360" w:lineRule="auto"/>
        <w:jc w:val="right"/>
        <w:rPr>
          <w:rFonts w:hint="default" w:ascii="仿宋_GB2312" w:hAnsi="宋体" w:eastAsia="仿宋_GB2312" w:cs="宋体"/>
          <w:b w:val="0"/>
          <w:bCs w:val="0"/>
          <w:color w:val="000000"/>
          <w:kern w:val="36"/>
          <w:sz w:val="28"/>
          <w:szCs w:val="28"/>
          <w:lang w:val="en-US" w:eastAsia="zh-CN"/>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  方：皖南医学院                        电话：</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卖  方：                                  电话：</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买方通过</w:t>
      </w:r>
      <w:r>
        <w:rPr>
          <w:rFonts w:hint="eastAsia" w:ascii="仿宋_GB2312" w:hAnsi="宋体" w:eastAsia="仿宋_GB2312" w:cs="宋体"/>
          <w:b w:val="0"/>
          <w:bCs w:val="0"/>
          <w:color w:val="000000"/>
          <w:kern w:val="36"/>
          <w:sz w:val="28"/>
          <w:szCs w:val="28"/>
          <w:u w:val="single"/>
        </w:rPr>
        <w:t xml:space="preserve">       </w:t>
      </w:r>
      <w:r>
        <w:rPr>
          <w:rFonts w:hint="eastAsia" w:ascii="仿宋_GB2312" w:hAnsi="宋体" w:eastAsia="仿宋_GB2312" w:cs="宋体"/>
          <w:b w:val="0"/>
          <w:bCs w:val="0"/>
          <w:color w:val="000000"/>
          <w:kern w:val="36"/>
          <w:sz w:val="28"/>
          <w:szCs w:val="28"/>
        </w:rPr>
        <w:t>组织的采购活动，经批准，决定将本项目采购合同授予卖方。为进一步明确双方的责任，确保合同的顺利履行，根据《中华人民共和国合同法》及有关法律规定，遵循平等、自愿、公平和诚实信用的原则，买卖双方协商一致同意按如下条款签订本合同：</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bCs/>
          <w:color w:val="000000"/>
          <w:kern w:val="36"/>
          <w:sz w:val="28"/>
          <w:szCs w:val="28"/>
        </w:rPr>
        <w:t>一、货物的名称、规格型号、数量和价格（若产品过多则见附表，如有附表则必须加盖公章）</w:t>
      </w:r>
      <w:r>
        <w:rPr>
          <w:rFonts w:hint="eastAsia" w:ascii="仿宋_GB2312" w:hAnsi="宋体" w:eastAsia="仿宋_GB2312" w:cs="宋体"/>
          <w:b w:val="0"/>
          <w:bCs w:val="0"/>
          <w:color w:val="000000"/>
          <w:kern w:val="36"/>
          <w:sz w:val="28"/>
          <w:szCs w:val="28"/>
        </w:rPr>
        <w:t xml:space="preserve">  </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单位：元</w:t>
      </w:r>
    </w:p>
    <w:tbl>
      <w:tblPr>
        <w:tblStyle w:val="25"/>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616"/>
        <w:gridCol w:w="610"/>
        <w:gridCol w:w="610"/>
        <w:gridCol w:w="1476"/>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55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产品名称</w:t>
            </w:r>
          </w:p>
        </w:tc>
        <w:tc>
          <w:tcPr>
            <w:tcW w:w="161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规格型号</w:t>
            </w:r>
          </w:p>
        </w:tc>
        <w:tc>
          <w:tcPr>
            <w:tcW w:w="610"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单位</w:t>
            </w:r>
          </w:p>
        </w:tc>
        <w:tc>
          <w:tcPr>
            <w:tcW w:w="610"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数量</w:t>
            </w:r>
          </w:p>
        </w:tc>
        <w:tc>
          <w:tcPr>
            <w:tcW w:w="147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单价</w:t>
            </w:r>
          </w:p>
        </w:tc>
        <w:tc>
          <w:tcPr>
            <w:tcW w:w="147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小计</w:t>
            </w:r>
          </w:p>
        </w:tc>
        <w:tc>
          <w:tcPr>
            <w:tcW w:w="1476" w:type="dxa"/>
            <w:noWrap w:val="0"/>
            <w:vAlign w:val="center"/>
          </w:tcPr>
          <w:p>
            <w:pPr>
              <w:adjustRightInd w:val="0"/>
              <w:snapToGrid w:val="0"/>
              <w:jc w:val="center"/>
              <w:rPr>
                <w:rFonts w:hint="eastAsia" w:ascii="仿宋" w:hAnsi="仿宋" w:eastAsia="仿宋"/>
                <w:szCs w:val="28"/>
              </w:rPr>
            </w:pPr>
            <w:r>
              <w:rPr>
                <w:rFonts w:hint="eastAsia" w:ascii="仿宋" w:hAnsi="仿宋" w:eastAsia="仿宋"/>
                <w:szCs w:val="28"/>
              </w:rPr>
              <w:t>生产</w:t>
            </w:r>
          </w:p>
          <w:p>
            <w:pPr>
              <w:adjustRightInd w:val="0"/>
              <w:snapToGrid w:val="0"/>
              <w:jc w:val="center"/>
              <w:rPr>
                <w:rFonts w:hint="eastAsia" w:ascii="仿宋" w:hAnsi="仿宋" w:eastAsia="仿宋"/>
                <w:szCs w:val="28"/>
              </w:rPr>
            </w:pPr>
            <w:r>
              <w:rPr>
                <w:rFonts w:hint="eastAsia" w:ascii="仿宋" w:hAnsi="仿宋" w:eastAsia="仿宋"/>
                <w:szCs w:val="28"/>
              </w:rPr>
              <w:t>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556" w:type="dxa"/>
            <w:noWrap w:val="0"/>
            <w:vAlign w:val="center"/>
          </w:tcPr>
          <w:p>
            <w:pPr>
              <w:jc w:val="center"/>
              <w:rPr>
                <w:rFonts w:ascii="宋体" w:hAnsi="宋体"/>
                <w:color w:val="000000"/>
                <w:szCs w:val="21"/>
              </w:rPr>
            </w:pPr>
          </w:p>
        </w:tc>
        <w:tc>
          <w:tcPr>
            <w:tcW w:w="1616" w:type="dxa"/>
            <w:noWrap w:val="0"/>
            <w:vAlign w:val="center"/>
          </w:tcPr>
          <w:p>
            <w:pPr>
              <w:jc w:val="center"/>
              <w:rPr>
                <w:rFonts w:ascii="宋体" w:hAnsi="宋体"/>
                <w:color w:val="000000"/>
                <w:szCs w:val="21"/>
                <w:highlight w:val="white"/>
              </w:rPr>
            </w:pPr>
          </w:p>
        </w:tc>
        <w:tc>
          <w:tcPr>
            <w:tcW w:w="610" w:type="dxa"/>
            <w:noWrap w:val="0"/>
            <w:vAlign w:val="center"/>
          </w:tcPr>
          <w:p>
            <w:pPr>
              <w:jc w:val="center"/>
              <w:rPr>
                <w:rFonts w:ascii="宋体" w:hAnsi="宋体"/>
                <w:color w:val="000000"/>
                <w:szCs w:val="21"/>
              </w:rPr>
            </w:pPr>
          </w:p>
        </w:tc>
        <w:tc>
          <w:tcPr>
            <w:tcW w:w="610" w:type="dxa"/>
            <w:noWrap w:val="0"/>
            <w:vAlign w:val="center"/>
          </w:tcPr>
          <w:p>
            <w:pPr>
              <w:jc w:val="center"/>
              <w:rPr>
                <w:rFonts w:ascii="宋体" w:hAnsi="宋体"/>
                <w:color w:val="000000"/>
                <w:szCs w:val="21"/>
              </w:rPr>
            </w:pPr>
          </w:p>
        </w:tc>
        <w:tc>
          <w:tcPr>
            <w:tcW w:w="1476" w:type="dxa"/>
            <w:noWrap w:val="0"/>
            <w:vAlign w:val="center"/>
          </w:tcPr>
          <w:p>
            <w:pPr>
              <w:jc w:val="center"/>
              <w:rPr>
                <w:rFonts w:ascii="宋体" w:hAnsi="宋体"/>
                <w:color w:val="000000"/>
                <w:szCs w:val="21"/>
              </w:rPr>
            </w:pPr>
          </w:p>
        </w:tc>
        <w:tc>
          <w:tcPr>
            <w:tcW w:w="1476" w:type="dxa"/>
            <w:noWrap w:val="0"/>
            <w:vAlign w:val="center"/>
          </w:tcPr>
          <w:p>
            <w:pPr>
              <w:jc w:val="center"/>
              <w:rPr>
                <w:rFonts w:ascii="宋体" w:hAnsi="宋体"/>
                <w:color w:val="000000"/>
                <w:szCs w:val="21"/>
              </w:rPr>
            </w:pPr>
          </w:p>
        </w:tc>
        <w:tc>
          <w:tcPr>
            <w:tcW w:w="1476" w:type="dxa"/>
            <w:noWrap w:val="0"/>
            <w:vAlign w:val="center"/>
          </w:tcPr>
          <w:p>
            <w:pPr>
              <w:jc w:val="center"/>
              <w:rPr>
                <w:rFonts w:ascii="宋体" w:hAnsi="宋体"/>
                <w:color w:val="000000"/>
                <w:szCs w:val="21"/>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5868" w:type="dxa"/>
            <w:gridSpan w:val="5"/>
            <w:noWrap w:val="0"/>
            <w:vAlign w:val="top"/>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合计</w:t>
            </w:r>
          </w:p>
        </w:tc>
        <w:tc>
          <w:tcPr>
            <w:tcW w:w="2952" w:type="dxa"/>
            <w:gridSpan w:val="2"/>
            <w:noWrap w:val="0"/>
            <w:vAlign w:val="top"/>
          </w:tcPr>
          <w:p>
            <w:pPr>
              <w:spacing w:before="100" w:beforeLines="50" w:beforeAutospacing="1" w:after="100" w:afterLines="30" w:afterAutospacing="1" w:line="360" w:lineRule="auto"/>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8820" w:type="dxa"/>
            <w:gridSpan w:val="7"/>
            <w:noWrap w:val="0"/>
            <w:vAlign w:val="top"/>
          </w:tcPr>
          <w:p>
            <w:pPr>
              <w:spacing w:before="100" w:beforeLines="50" w:beforeAutospacing="1" w:after="100" w:afterLines="30" w:afterAutospacing="1" w:line="360" w:lineRule="auto"/>
              <w:rPr>
                <w:rFonts w:hint="eastAsia" w:ascii="仿宋" w:hAnsi="仿宋" w:eastAsia="仿宋"/>
                <w:szCs w:val="28"/>
              </w:rPr>
            </w:pPr>
            <w:r>
              <w:rPr>
                <w:rFonts w:hint="eastAsia" w:ascii="仿宋" w:hAnsi="仿宋" w:eastAsia="仿宋"/>
                <w:szCs w:val="28"/>
              </w:rPr>
              <w:t>合同总金额（大写）：</w:t>
            </w:r>
          </w:p>
          <w:p>
            <w:pPr>
              <w:spacing w:before="100" w:beforeLines="50" w:beforeAutospacing="1" w:after="100" w:afterLines="30" w:afterAutospacing="1" w:line="360" w:lineRule="auto"/>
              <w:rPr>
                <w:rFonts w:hint="eastAsia" w:ascii="仿宋" w:hAnsi="仿宋" w:eastAsia="仿宋"/>
                <w:szCs w:val="28"/>
              </w:rPr>
            </w:pPr>
            <w:r>
              <w:rPr>
                <w:rFonts w:hint="eastAsia" w:ascii="仿宋" w:hAnsi="仿宋" w:eastAsia="仿宋"/>
                <w:szCs w:val="28"/>
              </w:rPr>
              <w:t>备注：上述（含附表）产品报价含产品生产、运输&lt;送达至买方指定地点并下货&gt;、</w:t>
            </w:r>
            <w:r>
              <w:rPr>
                <w:rFonts w:hint="eastAsia" w:ascii="仿宋" w:hAnsi="仿宋" w:eastAsia="仿宋"/>
                <w:color w:val="00B0F0"/>
                <w:szCs w:val="28"/>
              </w:rPr>
              <w:t>安装</w:t>
            </w:r>
            <w:r>
              <w:rPr>
                <w:rFonts w:hint="eastAsia" w:ascii="仿宋" w:hAnsi="仿宋" w:eastAsia="仿宋"/>
                <w:szCs w:val="28"/>
              </w:rPr>
              <w:t>、调试、检验及售后服务、税金、劳保基金等费用。</w:t>
            </w:r>
          </w:p>
        </w:tc>
      </w:tr>
    </w:tbl>
    <w:p>
      <w:pPr>
        <w:adjustRightInd w:val="0"/>
        <w:snapToGrid w:val="0"/>
        <w:spacing w:line="360" w:lineRule="auto"/>
        <w:jc w:val="both"/>
        <w:rPr>
          <w:rFonts w:hint="eastAsia" w:ascii="仿宋_GB2312" w:hAnsi="宋体" w:eastAsia="仿宋_GB2312" w:cs="宋体"/>
          <w:b w:val="0"/>
          <w:bCs w:val="0"/>
          <w:color w:val="000000"/>
          <w:kern w:val="36"/>
          <w:sz w:val="28"/>
          <w:szCs w:val="28"/>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bCs/>
          <w:color w:val="000000"/>
          <w:kern w:val="36"/>
          <w:sz w:val="28"/>
          <w:szCs w:val="28"/>
        </w:rPr>
        <w:t>二、组成合同的文件</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组成本合同的文件包括：</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(一)采购文件及答疑、更正公告;</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(二)采购文件标准文本中的“合同条款”；</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(三)中标或成交公告；</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(四)卖方提交的投标文件及书面承诺函；</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(五)双方另行签订的补充协议。</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三、 本合同的总金额为¥</w:t>
      </w:r>
      <w:r>
        <w:rPr>
          <w:rFonts w:hint="eastAsia" w:ascii="仿宋_GB2312" w:hAnsi="宋体" w:eastAsia="仿宋_GB2312" w:cs="宋体"/>
          <w:b/>
          <w:bCs/>
          <w:color w:val="000000"/>
          <w:kern w:val="36"/>
          <w:sz w:val="28"/>
          <w:szCs w:val="28"/>
          <w:u w:val="single"/>
        </w:rPr>
        <w:t xml:space="preserve">       </w:t>
      </w:r>
      <w:r>
        <w:rPr>
          <w:rFonts w:hint="eastAsia" w:ascii="仿宋_GB2312" w:hAnsi="宋体" w:eastAsia="仿宋_GB2312" w:cs="宋体"/>
          <w:b/>
          <w:bCs/>
          <w:color w:val="000000"/>
          <w:kern w:val="36"/>
          <w:sz w:val="28"/>
          <w:szCs w:val="28"/>
        </w:rPr>
        <w:t>元(人民币大写：</w:t>
      </w:r>
      <w:r>
        <w:rPr>
          <w:rFonts w:hint="eastAsia" w:ascii="仿宋_GB2312" w:hAnsi="宋体" w:eastAsia="仿宋_GB2312" w:cs="宋体"/>
          <w:b/>
          <w:bCs/>
          <w:color w:val="000000"/>
          <w:kern w:val="36"/>
          <w:sz w:val="28"/>
          <w:szCs w:val="28"/>
          <w:u w:val="single"/>
        </w:rPr>
        <w:t xml:space="preserve">           </w:t>
      </w:r>
      <w:r>
        <w:rPr>
          <w:rFonts w:hint="eastAsia" w:ascii="仿宋_GB2312" w:hAnsi="宋体" w:eastAsia="仿宋_GB2312" w:cs="宋体"/>
          <w:b/>
          <w:bCs/>
          <w:color w:val="000000"/>
          <w:kern w:val="36"/>
          <w:sz w:val="28"/>
          <w:szCs w:val="28"/>
        </w:rPr>
        <w:t>)。</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四、供货期限</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卖方应于合同签字生效后开始计算的   日内将货物送到买方指定的地点，由买方进行验收。</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货物运输至买方指定地点到货物验收合格前，  卖方 负责对货物承担安保义务。</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bCs/>
          <w:color w:val="000000"/>
          <w:kern w:val="36"/>
          <w:sz w:val="28"/>
          <w:szCs w:val="28"/>
        </w:rPr>
        <w:t>五、验收要求</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（一）质量标准</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（二）验收组织</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买方负责组织验收工作，大型或者复杂的政府采购项目，必须邀请国家认可的质量检测机构参加验收工作。</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（三）验收程序</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由买方组织验收。</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六、付款方式</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可编辑</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七、售后服务</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（一）卖方对合同货物的质量保修期为验收证书签署之日起 36个月。</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（二）卖方在合同货物的质量保修期内，免费为买方提供合同货物的技术指导和维修服务服务的时间是：每周 5天8小时（工作时间）。</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（三）卖方保证在合同货物出现故障和缺陷时，或接到买方提出的技术服务要求后 48 小时内予以答复，如买方有要求或必要时，卖方应在接到买方通知后 48 小时内派员至买方免费维修和提供现场指导。</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（四）如卖方在接到买方维修通知后 72 小时仍不能修复有关货物，卖方应提供与该货物同一型号的备用货物。</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五）如卖方在接到买方提出的技术服务要求或维修通知后48小时内没有响应、拒绝或没有派员到达买方提供技术服务、修理或退换货物，买方有权委托第三方对合同货物进行维修或提供技术服务，因此产生的相关费用由卖方承担。</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（六）在合同货物保修期届满后，如果因合同货物硬件或软件的固有缺陷和瑕疵出现紧急故障和事故，卖方应在接到买方通知之后 48 小时内到达现场。</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八、违约责任</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（一）卖方供货期超过合同约定供货期限。如果卖方由于自身的原因未能按期履行完合同，买方可从履约保证金中获得经济上的赔偿。其标准为按每延期一周收取合同金额的 0.5 %，但误期赔偿费总额不得超过履约保证金总额。一周按7天计算，不足7天按一周计算。在此情况下，卖方不得要求买方退还其履约保证金。</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三）卖方交货不符合合同质量标准，卖方必须重新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卖方将合同转包，提供假冒伪劣产品，擅自变更、中止或者终止合同的，买方有权终止合同，没收履约保证金，并提请政府采购监管部门对卖方进行采购金额千分之五的罚款，列入不良行为记录名单，在一至三年内禁止参加政府采购活动。</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（五）买方未能按时组织验收，由财政部门责令限期改正，给予警告，对直接负责的主管人员和其他直接责任人员，由其行政主管部门给予处分，并予通报。</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(六)买方违反合同规定拒绝接收货物的，应当承担由此造成的损失。</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（七）验收合格后，买方未能按时提请付款，由财政部门责令限期改正，给予警告。</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（八）买方擅自变更、中止或者终止合同，由财政部门责令限期改正，给予警告，对直接负责的主管人员和其他直接责任人员，由其行政主管部门给予处分，并予通报。</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九、签约地点</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本合同在</w:t>
      </w:r>
      <w:r>
        <w:rPr>
          <w:rFonts w:hint="eastAsia" w:ascii="仿宋_GB2312" w:hAnsi="宋体" w:eastAsia="仿宋_GB2312" w:cs="宋体"/>
          <w:b w:val="0"/>
          <w:bCs w:val="0"/>
          <w:color w:val="000000"/>
          <w:kern w:val="36"/>
          <w:sz w:val="28"/>
          <w:szCs w:val="28"/>
          <w:u w:val="single"/>
        </w:rPr>
        <w:t xml:space="preserve"> 皖南医学院</w:t>
      </w:r>
      <w:r>
        <w:rPr>
          <w:rFonts w:hint="eastAsia" w:ascii="仿宋_GB2312" w:hAnsi="宋体" w:eastAsia="仿宋_GB2312" w:cs="宋体"/>
          <w:b w:val="0"/>
          <w:bCs w:val="0"/>
          <w:color w:val="000000"/>
          <w:kern w:val="36"/>
          <w:sz w:val="28"/>
          <w:szCs w:val="28"/>
        </w:rPr>
        <w:t>签订。</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十、合同的终止</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（一）本合同因下列原因而终止：</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1、本合同正常履行完毕；</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2、合同双方协议终止本合同的履行；</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3、不可抗力事件导致本合同无法履行或履行不必要；</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4、符合本合同约定的其他终止合同的条款。</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（二）对本合同终止有过错的一方应赔偿另一方因合同终止而受到的损失。对合同终止双方均无过错的，则各自承担所受到的损失。</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十一、其他</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（一）买卖双方必须严格按照采购文件、投标文件及有关承诺签订采购合同，不得擅自变更。合同执行期内，买卖双方均不得随意变更或解除合同。</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（二）本合同执行期间，如遇不可抗力，致使合同无法履行时，买卖双方应按有关法律规定及时协商处理。</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（三）合同未尽事宜，买卖双方另行签订补充协议，补充协议是合同的组成部分。</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（四）本合同如发生纠纷，买卖双方应当及时协商解决，协商不成时，按以下第（2）项方式处理：（1）根据《中华人民共和国仲裁法》的规定向</w:t>
      </w:r>
      <w:r>
        <w:rPr>
          <w:rFonts w:hint="eastAsia" w:ascii="仿宋_GB2312" w:hAnsi="宋体" w:eastAsia="仿宋_GB2312" w:cs="宋体"/>
          <w:b w:val="0"/>
          <w:bCs w:val="0"/>
          <w:color w:val="000000"/>
          <w:kern w:val="36"/>
          <w:sz w:val="28"/>
          <w:szCs w:val="28"/>
          <w:u w:val="single"/>
        </w:rPr>
        <w:t xml:space="preserve">           </w:t>
      </w:r>
      <w:r>
        <w:rPr>
          <w:rFonts w:hint="eastAsia" w:ascii="仿宋_GB2312" w:hAnsi="宋体" w:eastAsia="仿宋_GB2312" w:cs="宋体"/>
          <w:b w:val="0"/>
          <w:bCs w:val="0"/>
          <w:color w:val="000000"/>
          <w:kern w:val="36"/>
          <w:sz w:val="28"/>
          <w:szCs w:val="28"/>
        </w:rPr>
        <w:t xml:space="preserve"> 申请仲裁。（2）向 </w:t>
      </w:r>
      <w:r>
        <w:rPr>
          <w:rFonts w:hint="eastAsia" w:ascii="仿宋_GB2312" w:hAnsi="宋体" w:eastAsia="仿宋_GB2312" w:cs="宋体"/>
          <w:b w:val="0"/>
          <w:bCs w:val="0"/>
          <w:color w:val="000000"/>
          <w:kern w:val="36"/>
          <w:sz w:val="28"/>
          <w:szCs w:val="28"/>
          <w:u w:val="single"/>
        </w:rPr>
        <w:t xml:space="preserve"> 买方所在地 </w:t>
      </w:r>
      <w:r>
        <w:rPr>
          <w:rFonts w:hint="eastAsia" w:ascii="仿宋_GB2312" w:hAnsi="宋体" w:eastAsia="仿宋_GB2312" w:cs="宋体"/>
          <w:b w:val="0"/>
          <w:bCs w:val="0"/>
          <w:color w:val="000000"/>
          <w:kern w:val="36"/>
          <w:sz w:val="28"/>
          <w:szCs w:val="28"/>
        </w:rPr>
        <w:t>人民法院起诉。</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 xml:space="preserve">  本合同一式陆份，自买卖双方法定代表人或委托代理人和见证方签字加盖单位公章后生效。</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 方： 皖南医学院                 卖 方：</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单位盖章：                         单位盖章：</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法定代表人或委托代理人：           法定代表人或委托代理人：</w:t>
      </w:r>
    </w:p>
    <w:p>
      <w:pPr>
        <w:rPr>
          <w:rFonts w:hint="eastAsia" w:ascii="华文中宋" w:hAnsi="华文中宋" w:eastAsia="华文中宋"/>
          <w:bCs/>
          <w:color w:val="auto"/>
          <w:highlight w:val="none"/>
        </w:rPr>
      </w:pPr>
      <w:r>
        <w:rPr>
          <w:rFonts w:hint="eastAsia" w:ascii="仿宋_GB2312" w:hAnsi="宋体" w:eastAsia="仿宋_GB2312" w:cs="宋体"/>
          <w:b w:val="0"/>
          <w:bCs w:val="0"/>
          <w:color w:val="000000"/>
          <w:kern w:val="36"/>
          <w:sz w:val="28"/>
          <w:szCs w:val="28"/>
        </w:rPr>
        <w:t>日    期：                         日    期:</w:t>
      </w:r>
      <w:r>
        <w:rPr>
          <w:rFonts w:hint="eastAsia" w:ascii="仿宋_GB2312" w:hAnsi="宋体" w:eastAsia="仿宋_GB2312" w:cs="宋体"/>
          <w:b w:val="0"/>
          <w:bCs w:val="0"/>
          <w:color w:val="000000"/>
          <w:kern w:val="36"/>
          <w:sz w:val="28"/>
          <w:szCs w:val="28"/>
        </w:rPr>
        <w:br w:type="page"/>
      </w:r>
    </w:p>
    <w:p>
      <w:pPr>
        <w:pStyle w:val="2"/>
        <w:rPr>
          <w:rFonts w:hint="eastAsia" w:ascii="华文中宋" w:hAnsi="华文中宋" w:eastAsia="华文中宋"/>
          <w:bCs/>
          <w:color w:val="auto"/>
          <w:highlight w:val="none"/>
        </w:rPr>
      </w:pPr>
    </w:p>
    <w:p>
      <w:pPr>
        <w:pStyle w:val="6"/>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15" w:name="_Toc49763003"/>
      <w:r>
        <w:rPr>
          <w:rFonts w:hint="eastAsia" w:ascii="华文中宋" w:hAnsi="华文中宋" w:eastAsia="华文中宋"/>
          <w:bCs w:val="0"/>
          <w:color w:val="auto"/>
        </w:rPr>
        <w:t xml:space="preserve"> 项目需求</w:t>
      </w:r>
      <w:bookmarkEnd w:id="115"/>
    </w:p>
    <w:p>
      <w:pPr>
        <w:keepNext w:val="0"/>
        <w:keepLines w:val="0"/>
        <w:pageBreakBefore w:val="0"/>
        <w:widowControl w:val="0"/>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color w:val="000000"/>
          <w:sz w:val="30"/>
          <w:szCs w:val="30"/>
          <w:lang w:val="en-US" w:eastAsia="zh-CN"/>
        </w:rPr>
      </w:pPr>
      <w:r>
        <w:rPr>
          <w:rFonts w:hint="eastAsia" w:ascii="仿宋" w:hAnsi="仿宋" w:eastAsia="仿宋"/>
          <w:color w:val="000000"/>
          <w:sz w:val="30"/>
          <w:szCs w:val="30"/>
          <w:lang w:val="en-US" w:eastAsia="zh-CN"/>
        </w:rPr>
        <w:t>我校新生听力耳机购置项目，暂定数量为3800副/年，学生自愿购买，最终数量以学生开学实际购买为准，根据单价据实结算。服务期三年，合同一年一签，经考核通过后续签。具体要求如下：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color w:val="000000"/>
          <w:sz w:val="30"/>
          <w:szCs w:val="30"/>
          <w:lang w:val="en-US" w:eastAsia="zh-CN"/>
        </w:rPr>
      </w:pPr>
      <w:r>
        <w:rPr>
          <w:rFonts w:hint="eastAsia" w:ascii="仿宋" w:hAnsi="仿宋" w:eastAsia="仿宋"/>
          <w:color w:val="000000"/>
          <w:sz w:val="30"/>
          <w:szCs w:val="30"/>
          <w:lang w:val="en-US" w:eastAsia="zh-CN"/>
        </w:rPr>
        <w:t>一、耳机类型：两波段头戴式收音耳机；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color w:val="000000"/>
          <w:sz w:val="30"/>
          <w:szCs w:val="30"/>
          <w:lang w:val="en-US" w:eastAsia="zh-CN"/>
        </w:rPr>
      </w:pPr>
      <w:r>
        <w:rPr>
          <w:rFonts w:hint="eastAsia" w:ascii="仿宋" w:hAnsi="仿宋" w:eastAsia="仿宋"/>
          <w:color w:val="000000"/>
          <w:sz w:val="30"/>
          <w:szCs w:val="30"/>
          <w:lang w:val="en-US" w:eastAsia="zh-CN"/>
        </w:rPr>
        <w:t>二、使用电池：2节5号电池；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color w:val="000000"/>
          <w:sz w:val="30"/>
          <w:szCs w:val="30"/>
          <w:lang w:val="en-US" w:eastAsia="zh-CN"/>
        </w:rPr>
      </w:pPr>
      <w:r>
        <w:rPr>
          <w:rFonts w:hint="eastAsia" w:ascii="仿宋" w:hAnsi="仿宋" w:eastAsia="仿宋"/>
          <w:color w:val="000000"/>
          <w:sz w:val="30"/>
          <w:szCs w:val="30"/>
          <w:lang w:val="en-US" w:eastAsia="zh-CN"/>
        </w:rPr>
        <w:t>三、频率技术指标范围：1、FM(调频): 60-108MHz，分校园和社会频段；2、灵敏度：≤40uV，整机谐波失真≤10%，静态电流≤35mA；</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color w:val="000000"/>
          <w:sz w:val="30"/>
          <w:szCs w:val="30"/>
          <w:lang w:val="en-US" w:eastAsia="zh-CN"/>
        </w:rPr>
      </w:pPr>
      <w:r>
        <w:rPr>
          <w:rFonts w:hint="eastAsia" w:ascii="仿宋" w:hAnsi="仿宋" w:eastAsia="仿宋"/>
          <w:color w:val="000000"/>
          <w:sz w:val="30"/>
          <w:szCs w:val="30"/>
          <w:lang w:val="en-US" w:eastAsia="zh-CN"/>
        </w:rPr>
        <w:t>四、功能特点：1、数码显示收音耳机工作频率；液晶LCD显示屏；8个功能按键；可手动上/下调整频率(可选择功能)。2、自动向上/向下扫描电台功能；电台记忆功能：电台存储/读取；校园频段、公共频段各≥6个电台；校园频段为:60-87MHZ,社会频段为：88-108MHz；立体声/单声道可自由选择；高保真立体声。3、一键系统开机，开机工作频率为上次关机前工作频率，上电复位默认校园频段，工作频率“60.0MHz”；开机状态下，一键系统关机，关机后显示屏熄灭，系统处于省电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color w:val="000000"/>
          <w:sz w:val="30"/>
          <w:szCs w:val="30"/>
          <w:lang w:val="en-US" w:eastAsia="zh-CN"/>
        </w:rPr>
      </w:pPr>
      <w:r>
        <w:rPr>
          <w:rFonts w:hint="eastAsia" w:ascii="仿宋" w:hAnsi="仿宋" w:eastAsia="仿宋"/>
          <w:color w:val="000000"/>
          <w:sz w:val="30"/>
          <w:szCs w:val="30"/>
          <w:lang w:val="en-US" w:eastAsia="zh-CN"/>
        </w:rPr>
        <w:t>五、提供耳机样品，投标耳机需提供正规来源渠道的证明材料及售后服务承诺。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00" w:firstLineChars="200"/>
        <w:textAlignment w:val="auto"/>
        <w:rPr>
          <w:rFonts w:hint="eastAsia" w:ascii="仿宋" w:hAnsi="仿宋" w:eastAsia="仿宋"/>
          <w:sz w:val="28"/>
          <w:szCs w:val="28"/>
        </w:rPr>
      </w:pPr>
      <w:r>
        <w:rPr>
          <w:rFonts w:hint="eastAsia" w:ascii="仿宋" w:hAnsi="仿宋" w:eastAsia="仿宋"/>
          <w:color w:val="000000"/>
          <w:sz w:val="30"/>
          <w:szCs w:val="30"/>
          <w:lang w:val="en-US" w:eastAsia="zh-CN"/>
        </w:rPr>
        <w:t>六、</w:t>
      </w:r>
      <w:r>
        <w:rPr>
          <w:rFonts w:hint="eastAsia" w:ascii="仿宋" w:hAnsi="仿宋" w:eastAsia="仿宋"/>
          <w:sz w:val="28"/>
          <w:szCs w:val="28"/>
        </w:rPr>
        <w:t>新生入学期间，供应商在学校指点地点设点自行出售，学生自愿采购，学校不负责统一发放。在</w:t>
      </w:r>
      <w:r>
        <w:rPr>
          <w:rFonts w:hint="eastAsia" w:ascii="仿宋" w:hAnsi="仿宋" w:eastAsia="仿宋"/>
          <w:sz w:val="28"/>
          <w:szCs w:val="28"/>
          <w:lang w:eastAsia="zh-CN"/>
        </w:rPr>
        <w:t>每</w:t>
      </w:r>
      <w:r>
        <w:rPr>
          <w:rFonts w:hint="eastAsia" w:ascii="仿宋" w:hAnsi="仿宋" w:eastAsia="仿宋"/>
          <w:sz w:val="28"/>
          <w:szCs w:val="28"/>
        </w:rPr>
        <w:t>学年</w:t>
      </w:r>
      <w:r>
        <w:rPr>
          <w:rFonts w:hint="eastAsia" w:ascii="仿宋" w:hAnsi="仿宋" w:eastAsia="仿宋"/>
          <w:sz w:val="28"/>
          <w:szCs w:val="28"/>
          <w:lang w:eastAsia="zh-CN"/>
        </w:rPr>
        <w:t>的四六级英语考试前</w:t>
      </w:r>
      <w:r>
        <w:rPr>
          <w:rFonts w:hint="eastAsia" w:ascii="仿宋" w:hAnsi="仿宋" w:eastAsia="仿宋"/>
          <w:sz w:val="28"/>
          <w:szCs w:val="28"/>
        </w:rPr>
        <w:t>，须提供听力耳机免费维修和更换服务，</w:t>
      </w:r>
      <w:r>
        <w:rPr>
          <w:rFonts w:hint="eastAsia" w:ascii="仿宋" w:hAnsi="仿宋" w:eastAsia="仿宋"/>
          <w:sz w:val="28"/>
          <w:szCs w:val="28"/>
          <w:lang w:eastAsia="zh-CN"/>
        </w:rPr>
        <w:t>校方</w:t>
      </w:r>
      <w:r>
        <w:rPr>
          <w:rFonts w:hint="eastAsia" w:ascii="仿宋" w:hAnsi="仿宋" w:eastAsia="仿宋"/>
          <w:sz w:val="28"/>
          <w:szCs w:val="28"/>
        </w:rPr>
        <w:t>负责提供维修场所。</w:t>
      </w:r>
    </w:p>
    <w:p>
      <w:pPr>
        <w:autoSpaceDN w:val="0"/>
        <w:rPr>
          <w:rFonts w:hint="eastAsia"/>
          <w:b/>
          <w:bCs/>
          <w:sz w:val="30"/>
          <w:szCs w:val="30"/>
        </w:rPr>
      </w:pPr>
    </w:p>
    <w:p>
      <w:pPr>
        <w:pStyle w:val="6"/>
        <w:snapToGrid w:val="0"/>
        <w:spacing w:before="0" w:after="0"/>
        <w:ind w:left="0" w:leftChars="0" w:firstLine="0" w:firstLineChars="0"/>
        <w:jc w:val="center"/>
        <w:rPr>
          <w:rFonts w:ascii="楷体" w:hAnsi="楷体" w:eastAsia="楷体"/>
          <w:szCs w:val="28"/>
        </w:rPr>
      </w:pPr>
      <w:bookmarkStart w:id="116" w:name="_Toc49763004"/>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16"/>
    </w:p>
    <w:p>
      <w:pPr>
        <w:pStyle w:val="44"/>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ascii="Calibri" w:hAnsi="Calibri" w:eastAsia="宋体" w:cs="Times New Roman"/>
          <w:b/>
          <w:bCs/>
          <w:kern w:val="2"/>
          <w:sz w:val="28"/>
          <w:szCs w:val="28"/>
        </w:rPr>
      </w:pPr>
      <w:bookmarkStart w:id="117" w:name="_Toc49763005"/>
      <w:r>
        <w:rPr>
          <w:rFonts w:hint="eastAsia" w:ascii="Calibri" w:hAnsi="Calibri" w:eastAsia="宋体" w:cs="Times New Roman"/>
          <w:b/>
          <w:bCs/>
          <w:kern w:val="2"/>
          <w:sz w:val="28"/>
          <w:szCs w:val="28"/>
        </w:rPr>
        <w:t xml:space="preserve">一、评审原则 </w:t>
      </w:r>
    </w:p>
    <w:p>
      <w:pPr>
        <w:pStyle w:val="44"/>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1、合法、合规、公平、公正、科学、审慎、择优原则，</w:t>
      </w:r>
      <w:r>
        <w:rPr>
          <w:rFonts w:ascii="Calibri" w:hAnsi="Calibri" w:eastAsia="宋体" w:cs="Times New Roman"/>
          <w:kern w:val="2"/>
          <w:sz w:val="28"/>
          <w:szCs w:val="28"/>
        </w:rPr>
        <w:t>强调竞争性、客观性，减少机会性、主观性</w:t>
      </w:r>
      <w:r>
        <w:rPr>
          <w:rFonts w:hint="eastAsia" w:ascii="Calibri" w:hAnsi="Calibri" w:eastAsia="宋体" w:cs="Times New Roman"/>
          <w:kern w:val="2"/>
          <w:sz w:val="28"/>
          <w:szCs w:val="28"/>
        </w:rPr>
        <w:t>；</w:t>
      </w:r>
    </w:p>
    <w:p>
      <w:pPr>
        <w:pStyle w:val="44"/>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2、评标方式：本次评标采用综合评分法。</w:t>
      </w:r>
    </w:p>
    <w:p>
      <w:pPr>
        <w:pStyle w:val="44"/>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hint="eastAsia" w:ascii="Calibri" w:hAnsi="Calibri" w:eastAsia="宋体" w:cs="Times New Roman"/>
          <w:b/>
          <w:bCs/>
          <w:kern w:val="2"/>
          <w:sz w:val="28"/>
          <w:szCs w:val="28"/>
        </w:rPr>
      </w:pPr>
      <w:r>
        <w:rPr>
          <w:rFonts w:hint="eastAsia" w:ascii="Calibri" w:hAnsi="Calibri" w:eastAsia="宋体" w:cs="Times New Roman"/>
          <w:b/>
          <w:bCs/>
          <w:kern w:val="2"/>
          <w:sz w:val="28"/>
          <w:szCs w:val="28"/>
        </w:rPr>
        <w:t>二、评审内容及分值分配</w:t>
      </w:r>
    </w:p>
    <w:p>
      <w:pPr>
        <w:widowControl/>
        <w:adjustRightInd w:val="0"/>
        <w:snapToGrid w:val="0"/>
        <w:spacing w:line="360" w:lineRule="auto"/>
        <w:ind w:firstLine="643" w:firstLineChars="200"/>
        <w:rPr>
          <w:rFonts w:ascii="仿宋_GB2312" w:hAnsi="仿宋" w:eastAsia="仿宋_GB2312" w:cs="宋体"/>
          <w:kern w:val="0"/>
          <w:sz w:val="28"/>
          <w:szCs w:val="28"/>
        </w:rPr>
      </w:pPr>
      <w:r>
        <w:rPr>
          <w:rFonts w:hint="eastAsia" w:ascii="仿宋_GB2312" w:hAnsi="仿宋" w:eastAsia="仿宋_GB2312"/>
          <w:b/>
          <w:bCs w:val="0"/>
          <w:sz w:val="32"/>
          <w:szCs w:val="32"/>
        </w:rPr>
        <w:t>采用综合评分法，</w:t>
      </w:r>
      <w:r>
        <w:rPr>
          <w:rFonts w:hint="eastAsia" w:ascii="仿宋_GB2312" w:hAnsi="仿宋" w:eastAsia="仿宋_GB2312" w:cs="宋体"/>
          <w:b/>
          <w:bCs w:val="0"/>
          <w:kern w:val="0"/>
          <w:sz w:val="32"/>
          <w:szCs w:val="32"/>
        </w:rPr>
        <w:t>满分为1</w:t>
      </w:r>
      <w:r>
        <w:rPr>
          <w:rFonts w:hint="eastAsia" w:ascii="仿宋_GB2312" w:hAnsi="仿宋" w:eastAsia="仿宋_GB2312"/>
          <w:b/>
          <w:bCs w:val="0"/>
          <w:sz w:val="32"/>
          <w:szCs w:val="32"/>
        </w:rPr>
        <w:t>00分（数值计算结果均保留两位小数，第三位四舍五入）</w:t>
      </w:r>
    </w:p>
    <w:tbl>
      <w:tblPr>
        <w:tblStyle w:val="25"/>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1802"/>
        <w:gridCol w:w="67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lang w:val="de-DE"/>
              </w:rPr>
            </w:pPr>
            <w:r>
              <w:rPr>
                <w:rFonts w:hint="eastAsia" w:ascii="宋体" w:hAnsi="宋体"/>
                <w:sz w:val="24"/>
              </w:rPr>
              <w:t>序号</w:t>
            </w:r>
          </w:p>
        </w:tc>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lang w:val="de-DE"/>
              </w:rPr>
            </w:pPr>
            <w:r>
              <w:rPr>
                <w:rFonts w:hint="eastAsia" w:ascii="宋体" w:hAnsi="宋体"/>
                <w:sz w:val="24"/>
              </w:rPr>
              <w:t>指标</w:t>
            </w:r>
          </w:p>
        </w:tc>
        <w:tc>
          <w:tcPr>
            <w:tcW w:w="6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lang w:val="de-DE"/>
              </w:rPr>
            </w:pPr>
            <w:r>
              <w:rPr>
                <w:rFonts w:hint="eastAsia" w:ascii="宋体" w:hAnsi="宋体"/>
                <w:sz w:val="24"/>
              </w:rPr>
              <w:t>指标描述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2"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baseline"/>
              <w:rPr>
                <w:rFonts w:ascii="宋体" w:hAnsi="宋体"/>
                <w:sz w:val="24"/>
              </w:rPr>
            </w:pPr>
            <w:r>
              <w:rPr>
                <w:rFonts w:hint="eastAsia" w:ascii="宋体" w:hAnsi="宋体"/>
                <w:sz w:val="24"/>
              </w:rPr>
              <w:t>1</w:t>
            </w:r>
          </w:p>
        </w:tc>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sz w:val="24"/>
              </w:rPr>
            </w:pPr>
            <w:r>
              <w:rPr>
                <w:rFonts w:hint="eastAsia" w:ascii="宋体" w:hAnsi="宋体"/>
                <w:color w:val="000000"/>
                <w:sz w:val="24"/>
              </w:rPr>
              <w:t>投标报价</w:t>
            </w:r>
          </w:p>
          <w:p>
            <w:pPr>
              <w:spacing w:line="360" w:lineRule="auto"/>
              <w:jc w:val="center"/>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40</w:t>
            </w:r>
            <w:r>
              <w:rPr>
                <w:rFonts w:hint="eastAsia" w:ascii="宋体" w:hAnsi="宋体"/>
                <w:color w:val="000000"/>
                <w:sz w:val="24"/>
              </w:rPr>
              <w:t>分）</w:t>
            </w:r>
          </w:p>
        </w:tc>
        <w:tc>
          <w:tcPr>
            <w:tcW w:w="67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olor w:val="000000"/>
                <w:sz w:val="24"/>
              </w:rPr>
            </w:pPr>
            <w:r>
              <w:rPr>
                <w:rFonts w:hint="eastAsia" w:ascii="宋体" w:hAnsi="宋体"/>
                <w:color w:val="000000"/>
                <w:sz w:val="24"/>
              </w:rPr>
              <w:t>采用百分制，具体步骤和要求如下：</w:t>
            </w:r>
          </w:p>
          <w:p>
            <w:pPr>
              <w:spacing w:line="360" w:lineRule="auto"/>
              <w:rPr>
                <w:rFonts w:hint="eastAsia" w:ascii="宋体" w:hAnsi="宋体"/>
                <w:color w:val="000000"/>
                <w:sz w:val="24"/>
              </w:rPr>
            </w:pPr>
            <w:r>
              <w:rPr>
                <w:rFonts w:hint="eastAsia" w:ascii="宋体" w:hAnsi="宋体"/>
                <w:color w:val="000000"/>
                <w:sz w:val="24"/>
              </w:rPr>
              <w:t>（1）取满足招标文件要求且投标价格最低的投标报价为评标基准价（单位：元，四舍五入），其对应的分值为</w:t>
            </w:r>
            <w:r>
              <w:rPr>
                <w:rFonts w:hint="eastAsia" w:ascii="宋体" w:hAnsi="宋体"/>
                <w:color w:val="000000"/>
                <w:sz w:val="24"/>
                <w:lang w:val="en-US" w:eastAsia="zh-CN"/>
              </w:rPr>
              <w:t>40</w:t>
            </w:r>
            <w:r>
              <w:rPr>
                <w:rFonts w:hint="eastAsia" w:ascii="宋体" w:hAnsi="宋体"/>
                <w:color w:val="000000"/>
                <w:sz w:val="24"/>
              </w:rPr>
              <w:t>分（基准分）。</w:t>
            </w:r>
          </w:p>
          <w:p>
            <w:pPr>
              <w:spacing w:line="360" w:lineRule="auto"/>
              <w:rPr>
                <w:rFonts w:hint="eastAsia" w:ascii="宋体" w:hAnsi="宋体"/>
                <w:color w:val="000000"/>
                <w:sz w:val="24"/>
              </w:rPr>
            </w:pPr>
            <w:r>
              <w:rPr>
                <w:rFonts w:hint="eastAsia" w:ascii="宋体" w:hAnsi="宋体"/>
                <w:color w:val="000000"/>
                <w:sz w:val="24"/>
              </w:rPr>
              <w:t>（2）各投标人的价格得分按如下公式计算：</w:t>
            </w:r>
          </w:p>
          <w:p>
            <w:pPr>
              <w:spacing w:line="360" w:lineRule="auto"/>
              <w:rPr>
                <w:rFonts w:hint="eastAsia" w:ascii="宋体" w:hAnsi="宋体"/>
                <w:color w:val="000000"/>
                <w:sz w:val="24"/>
              </w:rPr>
            </w:pPr>
            <w:r>
              <w:rPr>
                <w:rFonts w:hint="eastAsia" w:ascii="宋体" w:hAnsi="宋体"/>
                <w:color w:val="000000"/>
                <w:sz w:val="24"/>
              </w:rPr>
              <w:t>投标报价得分=（评标基准价/投标报价）×</w:t>
            </w:r>
            <w:r>
              <w:rPr>
                <w:rFonts w:hint="eastAsia" w:ascii="宋体" w:hAnsi="宋体"/>
                <w:color w:val="000000"/>
                <w:sz w:val="24"/>
                <w:lang w:val="en-US" w:eastAsia="zh-CN"/>
              </w:rPr>
              <w:t>40</w:t>
            </w:r>
            <w:r>
              <w:rPr>
                <w:rFonts w:hint="eastAsia" w:ascii="宋体" w:hAnsi="宋体"/>
                <w:color w:val="000000"/>
                <w:sz w:val="24"/>
              </w:rPr>
              <w:t>%（价格权值）×100。</w:t>
            </w:r>
          </w:p>
          <w:p>
            <w:pPr>
              <w:spacing w:line="360" w:lineRule="auto"/>
              <w:rPr>
                <w:rFonts w:ascii="宋体" w:hAnsi="宋体"/>
                <w:color w:val="000000"/>
                <w:sz w:val="24"/>
                <w:lang w:val="de-DE"/>
              </w:rPr>
            </w:pPr>
            <w:r>
              <w:rPr>
                <w:rFonts w:hint="eastAsia" w:ascii="宋体" w:hAnsi="宋体"/>
                <w:color w:val="000000"/>
                <w:sz w:val="24"/>
              </w:rPr>
              <w:t>（3）所算出的投标报价得分即为该投标人的报价得分。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98"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baseline"/>
              <w:rPr>
                <w:rFonts w:ascii="宋体" w:hAnsi="宋体"/>
                <w:sz w:val="24"/>
              </w:rPr>
            </w:pPr>
            <w:r>
              <w:rPr>
                <w:rFonts w:hint="eastAsia" w:ascii="宋体" w:hAnsi="宋体"/>
                <w:sz w:val="24"/>
              </w:rPr>
              <w:t>2</w:t>
            </w:r>
          </w:p>
        </w:tc>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sz w:val="24"/>
              </w:rPr>
            </w:pPr>
            <w:r>
              <w:rPr>
                <w:rFonts w:hint="eastAsia" w:ascii="宋体" w:hAnsi="宋体"/>
                <w:color w:val="000000"/>
                <w:sz w:val="24"/>
              </w:rPr>
              <w:t>产品优势</w:t>
            </w:r>
          </w:p>
          <w:p>
            <w:pPr>
              <w:spacing w:line="360" w:lineRule="auto"/>
              <w:jc w:val="center"/>
              <w:rPr>
                <w:rFonts w:ascii="宋体" w:hAnsi="宋体"/>
                <w:sz w:val="24"/>
              </w:rPr>
            </w:pPr>
            <w:r>
              <w:rPr>
                <w:rFonts w:hint="eastAsia"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rPr>
              <w:t>0分）</w:t>
            </w:r>
          </w:p>
        </w:tc>
        <w:tc>
          <w:tcPr>
            <w:tcW w:w="67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Arial" w:hAnsi="Arial" w:cs="Arial"/>
                <w:sz w:val="24"/>
              </w:rPr>
            </w:pPr>
            <w:r>
              <w:rPr>
                <w:rFonts w:hint="eastAsia" w:ascii="宋体" w:hAnsi="宋体"/>
                <w:color w:val="000000"/>
                <w:sz w:val="24"/>
              </w:rPr>
              <w:t>依据投标人投标时提供的耳机产品样品及样品检验报告等，由评委从投标产品的</w:t>
            </w:r>
            <w:r>
              <w:rPr>
                <w:rFonts w:hint="eastAsia" w:ascii="Arial" w:hAnsi="Arial" w:cs="Arial"/>
                <w:sz w:val="24"/>
              </w:rPr>
              <w:t>制作精细程度；工艺；产品材质是否符合标书要求</w:t>
            </w:r>
            <w:r>
              <w:rPr>
                <w:rFonts w:hint="eastAsia" w:ascii="宋体" w:hAnsi="宋体"/>
                <w:color w:val="000000"/>
                <w:sz w:val="24"/>
              </w:rPr>
              <w:t>等方面酌情打分。优得</w:t>
            </w:r>
            <w:r>
              <w:rPr>
                <w:rFonts w:hint="eastAsia" w:ascii="宋体" w:hAnsi="宋体"/>
                <w:color w:val="000000"/>
                <w:sz w:val="24"/>
                <w:lang w:val="en-US" w:eastAsia="zh-CN"/>
              </w:rPr>
              <w:t>25</w:t>
            </w:r>
            <w:r>
              <w:rPr>
                <w:rFonts w:hint="eastAsia"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rPr>
              <w:t>0分，良好得1</w:t>
            </w:r>
            <w:r>
              <w:rPr>
                <w:rFonts w:hint="eastAsia" w:ascii="宋体" w:hAnsi="宋体"/>
                <w:color w:val="000000"/>
                <w:sz w:val="24"/>
                <w:lang w:val="en-US" w:eastAsia="zh-CN"/>
              </w:rPr>
              <w:t>5</w:t>
            </w:r>
            <w:r>
              <w:rPr>
                <w:rFonts w:hint="eastAsia" w:ascii="宋体" w:hAnsi="宋体"/>
                <w:color w:val="000000"/>
                <w:sz w:val="24"/>
              </w:rPr>
              <w:t>-</w:t>
            </w:r>
            <w:r>
              <w:rPr>
                <w:rFonts w:hint="eastAsia" w:ascii="宋体" w:hAnsi="宋体"/>
                <w:color w:val="000000"/>
                <w:sz w:val="24"/>
                <w:lang w:val="en-US" w:eastAsia="zh-CN"/>
              </w:rPr>
              <w:t>24</w:t>
            </w:r>
            <w:r>
              <w:rPr>
                <w:rFonts w:hint="eastAsia" w:ascii="宋体" w:hAnsi="宋体"/>
                <w:color w:val="000000"/>
                <w:sz w:val="24"/>
              </w:rPr>
              <w:t>分，一般得0-</w:t>
            </w:r>
            <w:r>
              <w:rPr>
                <w:rFonts w:hint="eastAsia" w:ascii="宋体" w:hAnsi="宋体"/>
                <w:color w:val="000000"/>
                <w:sz w:val="24"/>
                <w:lang w:val="en-US" w:eastAsia="zh-CN"/>
              </w:rPr>
              <w:t>14</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98"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baseline"/>
              <w:rPr>
                <w:rFonts w:ascii="宋体" w:hAnsi="宋体"/>
                <w:sz w:val="24"/>
              </w:rPr>
            </w:pPr>
            <w:r>
              <w:rPr>
                <w:rFonts w:hint="eastAsia" w:ascii="宋体" w:hAnsi="宋体"/>
                <w:sz w:val="24"/>
              </w:rPr>
              <w:t>3</w:t>
            </w:r>
          </w:p>
        </w:tc>
        <w:tc>
          <w:tcPr>
            <w:tcW w:w="18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60"/>
              <w:jc w:val="center"/>
              <w:textAlignment w:val="baseline"/>
              <w:rPr>
                <w:rFonts w:ascii="宋体" w:hAnsi="宋体"/>
                <w:sz w:val="24"/>
              </w:rPr>
            </w:pPr>
            <w:r>
              <w:rPr>
                <w:rFonts w:hint="eastAsia" w:ascii="宋体" w:hAnsi="宋体"/>
                <w:sz w:val="24"/>
              </w:rPr>
              <w:t>产品质量反馈（</w:t>
            </w:r>
            <w:r>
              <w:rPr>
                <w:rFonts w:hint="eastAsia" w:ascii="宋体" w:hAnsi="宋体"/>
                <w:sz w:val="24"/>
                <w:lang w:val="en-US" w:eastAsia="zh-CN"/>
              </w:rPr>
              <w:t>8</w:t>
            </w:r>
            <w:r>
              <w:rPr>
                <w:rFonts w:hint="eastAsia" w:ascii="宋体" w:hAnsi="宋体"/>
                <w:sz w:val="24"/>
              </w:rPr>
              <w:t>分）</w:t>
            </w:r>
          </w:p>
        </w:tc>
        <w:tc>
          <w:tcPr>
            <w:tcW w:w="6777" w:type="dxa"/>
            <w:tcBorders>
              <w:top w:val="single" w:color="auto" w:sz="4" w:space="0"/>
              <w:left w:val="single" w:color="auto" w:sz="4" w:space="0"/>
              <w:bottom w:val="single" w:color="auto" w:sz="4" w:space="0"/>
              <w:right w:val="single" w:color="auto" w:sz="4" w:space="0"/>
            </w:tcBorders>
            <w:noWrap w:val="0"/>
            <w:vAlign w:val="center"/>
          </w:tcPr>
          <w:p>
            <w:pPr>
              <w:spacing w:before="166" w:beforeLines="50" w:line="0" w:lineRule="atLeast"/>
              <w:rPr>
                <w:rFonts w:ascii="Arial" w:hAnsi="Arial" w:cs="Arial"/>
                <w:sz w:val="24"/>
              </w:rPr>
            </w:pPr>
            <w:r>
              <w:rPr>
                <w:rFonts w:hint="eastAsia" w:ascii="Arial" w:hAnsi="Arial" w:cs="Arial"/>
                <w:sz w:val="24"/>
              </w:rPr>
              <w:t>使用用户的书面关于产品质量反馈，提供用户满意度报告或验收报告酌情打分。</w:t>
            </w:r>
            <w:r>
              <w:rPr>
                <w:rFonts w:hint="eastAsia" w:ascii="宋体" w:hAnsi="宋体"/>
                <w:color w:val="000000"/>
                <w:sz w:val="24"/>
              </w:rPr>
              <w:t>优得</w:t>
            </w: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olor w:val="000000"/>
                <w:sz w:val="24"/>
                <w:lang w:val="en-US" w:eastAsia="zh-CN"/>
              </w:rPr>
              <w:t>8</w:t>
            </w:r>
            <w:r>
              <w:rPr>
                <w:rFonts w:hint="eastAsia" w:ascii="宋体" w:hAnsi="宋体"/>
                <w:color w:val="000000"/>
                <w:sz w:val="24"/>
              </w:rPr>
              <w:t>分，良好得</w:t>
            </w:r>
            <w:r>
              <w:rPr>
                <w:rFonts w:hint="eastAsia" w:ascii="宋体" w:hAnsi="宋体"/>
                <w:color w:val="000000"/>
                <w:sz w:val="24"/>
                <w:lang w:val="en-US" w:eastAsia="zh-CN"/>
              </w:rPr>
              <w:t>2</w:t>
            </w:r>
            <w:r>
              <w:rPr>
                <w:rFonts w:hint="eastAsia" w:ascii="宋体" w:hAnsi="宋体"/>
                <w:color w:val="000000"/>
                <w:sz w:val="24"/>
              </w:rPr>
              <w:t>-</w:t>
            </w:r>
            <w:r>
              <w:rPr>
                <w:rFonts w:hint="eastAsia" w:ascii="宋体" w:hAnsi="宋体"/>
                <w:color w:val="000000"/>
                <w:sz w:val="24"/>
                <w:lang w:val="en-US" w:eastAsia="zh-CN"/>
              </w:rPr>
              <w:t>5</w:t>
            </w:r>
            <w:r>
              <w:rPr>
                <w:rFonts w:hint="eastAsia" w:ascii="宋体" w:hAnsi="宋体"/>
                <w:color w:val="000000"/>
                <w:sz w:val="24"/>
              </w:rPr>
              <w:t>分，一般得0-</w:t>
            </w:r>
            <w:r>
              <w:rPr>
                <w:rFonts w:hint="eastAsia" w:ascii="宋体" w:hAnsi="宋体"/>
                <w:color w:val="000000"/>
                <w:sz w:val="24"/>
                <w:lang w:val="en-US" w:eastAsia="zh-CN"/>
              </w:rPr>
              <w:t>1</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98"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baseline"/>
              <w:rPr>
                <w:rFonts w:ascii="宋体" w:hAnsi="宋体"/>
                <w:sz w:val="24"/>
              </w:rPr>
            </w:pPr>
            <w:r>
              <w:rPr>
                <w:rFonts w:hint="eastAsia" w:ascii="宋体" w:hAnsi="宋体"/>
                <w:sz w:val="24"/>
              </w:rPr>
              <w:t>4</w:t>
            </w:r>
          </w:p>
        </w:tc>
        <w:tc>
          <w:tcPr>
            <w:tcW w:w="18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60"/>
              <w:jc w:val="center"/>
              <w:textAlignment w:val="baseline"/>
              <w:rPr>
                <w:rFonts w:hint="eastAsia" w:ascii="宋体" w:hAnsi="宋体"/>
                <w:sz w:val="24"/>
              </w:rPr>
            </w:pPr>
            <w:r>
              <w:rPr>
                <w:rFonts w:hint="eastAsia" w:ascii="宋体" w:hAnsi="宋体"/>
                <w:sz w:val="24"/>
              </w:rPr>
              <w:t>其他要求</w:t>
            </w:r>
          </w:p>
          <w:p>
            <w:pPr>
              <w:autoSpaceDE w:val="0"/>
              <w:autoSpaceDN w:val="0"/>
              <w:adjustRightInd w:val="0"/>
              <w:spacing w:line="360" w:lineRule="auto"/>
              <w:ind w:left="60"/>
              <w:jc w:val="center"/>
              <w:textAlignment w:val="baseline"/>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分）</w:t>
            </w:r>
          </w:p>
        </w:tc>
        <w:tc>
          <w:tcPr>
            <w:tcW w:w="67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textAlignment w:val="baseline"/>
              <w:rPr>
                <w:rFonts w:ascii="Arial" w:hAnsi="Arial" w:cs="Arial"/>
                <w:sz w:val="24"/>
              </w:rPr>
            </w:pPr>
            <w:r>
              <w:rPr>
                <w:rFonts w:hint="eastAsia" w:ascii="Arial" w:hAnsi="Arial" w:cs="Arial"/>
                <w:sz w:val="24"/>
              </w:rPr>
              <w:t>配送调换服务承诺函、售后服务承诺函及其他优惠条件</w:t>
            </w:r>
            <w:r>
              <w:rPr>
                <w:rFonts w:hint="eastAsia" w:ascii="宋体" w:hAnsi="宋体"/>
                <w:sz w:val="24"/>
              </w:rPr>
              <w:t>（投标</w:t>
            </w:r>
            <w:r>
              <w:rPr>
                <w:rFonts w:ascii="宋体" w:hAnsi="宋体"/>
                <w:sz w:val="24"/>
              </w:rPr>
              <w:t>单位提供承诺函，格式自拟</w:t>
            </w:r>
            <w:r>
              <w:rPr>
                <w:rFonts w:hint="eastAsia" w:ascii="宋体" w:hAnsi="宋体"/>
                <w:sz w:val="24"/>
              </w:rPr>
              <w:t>）</w:t>
            </w:r>
            <w:r>
              <w:rPr>
                <w:rFonts w:hint="eastAsia" w:ascii="宋体" w:hAnsi="宋体"/>
                <w:color w:val="000000"/>
                <w:sz w:val="24"/>
              </w:rPr>
              <w:t>优得3分，良好得1分，一般得0分。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98"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baseline"/>
              <w:rPr>
                <w:rFonts w:ascii="宋体" w:hAnsi="宋体"/>
                <w:sz w:val="24"/>
              </w:rPr>
            </w:pPr>
            <w:r>
              <w:rPr>
                <w:rFonts w:hint="eastAsia" w:ascii="宋体" w:hAnsi="宋体"/>
                <w:sz w:val="24"/>
              </w:rPr>
              <w:t>5</w:t>
            </w:r>
          </w:p>
        </w:tc>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baseline"/>
              <w:rPr>
                <w:rFonts w:hint="default" w:ascii="宋体" w:hAnsi="宋体" w:eastAsiaTheme="minorEastAsia"/>
                <w:sz w:val="24"/>
                <w:lang w:val="en-US" w:eastAsia="zh-CN"/>
              </w:rPr>
            </w:pPr>
            <w:r>
              <w:rPr>
                <w:rFonts w:hint="eastAsia" w:ascii="宋体" w:hAnsi="宋体"/>
                <w:sz w:val="24"/>
              </w:rPr>
              <w:t>业绩</w:t>
            </w:r>
          </w:p>
          <w:p>
            <w:pPr>
              <w:spacing w:line="360" w:lineRule="auto"/>
              <w:jc w:val="center"/>
              <w:textAlignment w:val="baseline"/>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分）</w:t>
            </w:r>
          </w:p>
        </w:tc>
        <w:tc>
          <w:tcPr>
            <w:tcW w:w="6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baseline"/>
              <w:rPr>
                <w:rFonts w:ascii="Arial" w:hAnsi="Arial" w:cs="Arial"/>
                <w:sz w:val="24"/>
              </w:rPr>
            </w:pPr>
            <w:r>
              <w:rPr>
                <w:rFonts w:hint="eastAsia" w:ascii="Arial" w:hAnsi="Arial" w:cs="Arial"/>
                <w:sz w:val="24"/>
              </w:rPr>
              <w:t>签订时间自开标之日起上推三年内，投标同类产品的有一项加</w:t>
            </w:r>
            <w:r>
              <w:rPr>
                <w:rFonts w:hint="eastAsia" w:ascii="Arial" w:hAnsi="Arial" w:cs="Arial"/>
                <w:sz w:val="24"/>
                <w:lang w:val="en-US" w:eastAsia="zh-CN"/>
              </w:rPr>
              <w:t>3</w:t>
            </w:r>
            <w:r>
              <w:rPr>
                <w:rFonts w:hint="eastAsia" w:ascii="Arial" w:hAnsi="Arial" w:cs="Arial"/>
                <w:sz w:val="24"/>
              </w:rPr>
              <w:t>分，加满</w:t>
            </w:r>
            <w:r>
              <w:rPr>
                <w:rFonts w:hint="eastAsia" w:ascii="Arial" w:hAnsi="Arial" w:cs="Arial"/>
                <w:sz w:val="24"/>
                <w:lang w:val="en-US" w:eastAsia="zh-CN"/>
              </w:rPr>
              <w:t>9</w:t>
            </w:r>
            <w:r>
              <w:rPr>
                <w:rFonts w:hint="eastAsia" w:ascii="Arial" w:hAnsi="Arial" w:cs="Arial"/>
                <w:sz w:val="24"/>
              </w:rPr>
              <w:t>分为止。（以销售合同为准，复印件应能辨识买卖双方公章、签订时间、金额，复印件须加盖投标人公章；否则，不得分）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textAlignment w:val="auto"/>
        <w:rPr>
          <w:rFonts w:hint="eastAsia" w:ascii="仿宋" w:hAnsi="仿宋" w:eastAsia="仿宋"/>
          <w:sz w:val="28"/>
          <w:szCs w:val="28"/>
          <w:lang w:val="en-US" w:eastAsia="zh-CN"/>
        </w:rPr>
      </w:pPr>
    </w:p>
    <w:p>
      <w:pPr>
        <w:pStyle w:val="44"/>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8" w:name="_Toc403987220"/>
      <w:r>
        <w:rPr>
          <w:rFonts w:hint="eastAsia" w:ascii="华文中宋" w:hAnsi="华文中宋" w:eastAsia="华文中宋"/>
          <w:b/>
          <w:sz w:val="36"/>
          <w:szCs w:val="36"/>
        </w:rPr>
        <w:t>响应文件格式</w:t>
      </w:r>
      <w:bookmarkEnd w:id="117"/>
      <w:bookmarkEnd w:id="118"/>
    </w:p>
    <w:p>
      <w:pPr>
        <w:jc w:val="center"/>
        <w:rPr>
          <w:rFonts w:hAnsi="宋体"/>
          <w:b/>
          <w:sz w:val="72"/>
        </w:rPr>
      </w:pPr>
      <w:bookmarkStart w:id="119" w:name="_Hlt26671244"/>
      <w:bookmarkEnd w:id="119"/>
      <w:bookmarkStart w:id="120" w:name="_Hlt26955039"/>
      <w:bookmarkEnd w:id="120"/>
      <w:bookmarkStart w:id="121" w:name="_Toc26554094"/>
      <w:bookmarkStart w:id="122" w:name="_Toc120614282"/>
      <w:bookmarkStart w:id="123"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21"/>
    <w:bookmarkEnd w:id="122"/>
    <w:bookmarkEnd w:id="123"/>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五、清单报价明细表</w:t>
      </w:r>
    </w:p>
    <w:p>
      <w:pPr>
        <w:adjustRightInd w:val="0"/>
        <w:snapToGrid w:val="0"/>
        <w:spacing w:line="360" w:lineRule="auto"/>
        <w:rPr>
          <w:rFonts w:ascii="宋体" w:hAnsi="宋体"/>
          <w:b/>
          <w:sz w:val="24"/>
          <w:szCs w:val="24"/>
        </w:rPr>
      </w:pPr>
      <w:r>
        <w:rPr>
          <w:rFonts w:hint="eastAsia" w:ascii="宋体" w:hAnsi="宋体"/>
          <w:b/>
          <w:sz w:val="24"/>
          <w:szCs w:val="24"/>
        </w:rPr>
        <w:t>六、施工方案</w:t>
      </w:r>
    </w:p>
    <w:p>
      <w:pPr>
        <w:adjustRightInd w:val="0"/>
        <w:snapToGrid w:val="0"/>
        <w:spacing w:line="360" w:lineRule="auto"/>
        <w:rPr>
          <w:rFonts w:ascii="宋体" w:hAnsi="宋体"/>
          <w:b/>
          <w:sz w:val="24"/>
          <w:szCs w:val="24"/>
        </w:rPr>
      </w:pPr>
      <w:r>
        <w:rPr>
          <w:rFonts w:hint="eastAsia" w:ascii="宋体" w:hAnsi="宋体"/>
          <w:b/>
          <w:sz w:val="24"/>
          <w:szCs w:val="24"/>
        </w:rPr>
        <w:t>七、投标人需要提供的其它材料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5"/>
        <w:tblW w:w="9115" w:type="dxa"/>
        <w:jc w:val="center"/>
        <w:tblInd w:w="2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3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eastAsia="宋体" w:cs="Times New Roman"/>
                <w:lang w:eastAsia="zh-CN"/>
              </w:rPr>
              <w:t>皖南医学院</w:t>
            </w:r>
            <w:r>
              <w:rPr>
                <w:rFonts w:hint="eastAsia" w:cs="Times New Roman"/>
                <w:lang w:eastAsia="zh-CN"/>
              </w:rPr>
              <w:t>听力耳机购置项目</w:t>
            </w:r>
          </w:p>
        </w:tc>
        <w:tc>
          <w:tcPr>
            <w:tcW w:w="3978"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/副</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/副</w:t>
            </w:r>
          </w:p>
          <w:p>
            <w:pPr>
              <w:pStyle w:val="2"/>
              <w:numPr>
                <w:ilvl w:val="0"/>
                <w:numId w:val="0"/>
              </w:numPr>
              <w:rPr>
                <w:rFonts w:hint="eastAsia"/>
                <w:lang w:val="en-US" w:eastAsia="zh-CN"/>
              </w:rPr>
            </w:pPr>
          </w:p>
          <w:p>
            <w:pPr>
              <w:pStyle w:val="2"/>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2" w:hRule="atLeast"/>
          <w:jc w:val="center"/>
        </w:trPr>
        <w:tc>
          <w:tcPr>
            <w:tcW w:w="91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3"/>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3"/>
          <w:rFonts w:ascii="华文中宋" w:hAnsi="华文中宋" w:eastAsia="华文中宋"/>
          <w:color w:val="auto"/>
          <w:sz w:val="28"/>
          <w:szCs w:val="28"/>
        </w:rPr>
      </w:pPr>
      <w:r>
        <w:rPr>
          <w:rStyle w:val="63"/>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5"/>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3"/>
          <w:rFonts w:ascii="华文中宋" w:hAnsi="华文中宋" w:eastAsia="华文中宋"/>
          <w:color w:val="auto"/>
          <w:sz w:val="28"/>
          <w:szCs w:val="28"/>
        </w:rPr>
      </w:pPr>
      <w:r>
        <w:rPr>
          <w:rFonts w:hAnsi="宋体"/>
          <w:sz w:val="32"/>
          <w:szCs w:val="32"/>
        </w:rPr>
        <w:br w:type="page"/>
      </w:r>
      <w:r>
        <w:rPr>
          <w:rStyle w:val="63"/>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24" w:name="_Toc23828483"/>
      <w:bookmarkStart w:id="125" w:name="_Toc26554103"/>
      <w:bookmarkStart w:id="126" w:name="_Toc24878535"/>
      <w:bookmarkStart w:id="127" w:name="_Toc49090582"/>
      <w:bookmarkStart w:id="128" w:name="_Toc513029281"/>
      <w:bookmarkStart w:id="129" w:name="_Toc22356583"/>
      <w:bookmarkStart w:id="130" w:name="_Toc120614291"/>
      <w:bookmarkStart w:id="131"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24"/>
      <w:bookmarkEnd w:id="125"/>
      <w:bookmarkEnd w:id="126"/>
      <w:bookmarkEnd w:id="127"/>
      <w:bookmarkEnd w:id="128"/>
      <w:bookmarkEnd w:id="129"/>
      <w:bookmarkEnd w:id="130"/>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59264;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H0cu9oAAAAKAQAADwAAAAAAAAABACAAAAAiAAAAZHJzL2Rvd25y&#10;ZXYueG1sUEsBAhQAFAAAAAgAh07iQOQSdYD8AQAA9wMAAA4AAAAAAAAAAQAgAAAAKQEAAGRycy9l&#10;Mm9Eb2MueG1sUEsFBgAAAAAGAAYAWQEAAJcFA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8240"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8240;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Lr0p2QAAAAoBAAAPAAAAAAAAAAEAIAAAACIAAABkcnMvZG93bnJldi54bWxQSwECFAAUAAAACACH&#10;TuJAR9b+YuoBAAD2AwAADgAAAAAAAAABACAAAAAoAQAAZHJzL2Uyb0RvYy54bWxQSwUGAAAAAAYA&#10;BgBZAQAAhA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5"/>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37"/>
        <w:ind w:firstLine="0" w:firstLineChars="0"/>
        <w:rPr>
          <w:rFonts w:hint="eastAsia" w:hAnsi="宋体" w:eastAsia="宋体"/>
          <w:sz w:val="24"/>
          <w:szCs w:val="24"/>
        </w:rPr>
      </w:pPr>
    </w:p>
    <w:bookmarkEnd w:id="131"/>
    <w:p>
      <w:pPr>
        <w:jc w:val="center"/>
        <w:rPr>
          <w:rStyle w:val="63"/>
          <w:rFonts w:ascii="华文中宋" w:hAnsi="华文中宋" w:eastAsia="华文中宋"/>
          <w:b w:val="0"/>
          <w:color w:val="auto"/>
          <w:sz w:val="28"/>
          <w:szCs w:val="28"/>
        </w:rPr>
      </w:pPr>
      <w:bookmarkStart w:id="132" w:name="_Toc22356580"/>
      <w:bookmarkStart w:id="133" w:name="_Toc460901585"/>
      <w:bookmarkStart w:id="134" w:name="_Toc23828478"/>
      <w:bookmarkStart w:id="135" w:name="_Toc120614283"/>
      <w:bookmarkStart w:id="136" w:name="_Toc49090577"/>
      <w:bookmarkStart w:id="137" w:name="_Toc513029276"/>
      <w:bookmarkStart w:id="138" w:name="_Toc26554095"/>
      <w:r>
        <w:rPr>
          <w:rFonts w:hint="eastAsia" w:ascii="华文中宋" w:hAnsi="华文中宋" w:eastAsia="华文中宋"/>
          <w:b/>
          <w:spacing w:val="-6"/>
          <w:szCs w:val="28"/>
        </w:rPr>
        <w:t>四、</w:t>
      </w:r>
      <w:r>
        <w:rPr>
          <w:rStyle w:val="63"/>
          <w:rFonts w:hint="eastAsia" w:ascii="华文中宋" w:hAnsi="华文中宋" w:eastAsia="华文中宋"/>
          <w:color w:val="auto"/>
          <w:sz w:val="28"/>
          <w:szCs w:val="28"/>
        </w:rPr>
        <w:t>磋商函格式</w:t>
      </w:r>
    </w:p>
    <w:bookmarkEnd w:id="132"/>
    <w:bookmarkEnd w:id="133"/>
    <w:bookmarkEnd w:id="134"/>
    <w:bookmarkEnd w:id="135"/>
    <w:bookmarkEnd w:id="136"/>
    <w:bookmarkEnd w:id="137"/>
    <w:bookmarkEnd w:id="138"/>
    <w:p>
      <w:pPr>
        <w:tabs>
          <w:tab w:val="left" w:pos="5580"/>
        </w:tabs>
        <w:spacing w:line="480" w:lineRule="exact"/>
        <w:rPr>
          <w:rStyle w:val="63"/>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ascii="仿宋_GB2312" w:eastAsia="仿宋_GB2312"/>
          <w:b/>
          <w:bCs/>
          <w:sz w:val="28"/>
          <w:szCs w:val="28"/>
        </w:rPr>
      </w:pPr>
      <w:r>
        <w:rPr>
          <w:rFonts w:hint="eastAsia" w:ascii="仿宋_GB2312" w:eastAsia="仿宋_GB2312"/>
          <w:b/>
          <w:bCs/>
          <w:sz w:val="28"/>
          <w:szCs w:val="28"/>
        </w:rPr>
        <w:t>五、清单报价明细表（结合项目需求自行编制）</w:t>
      </w:r>
    </w:p>
    <w:p>
      <w:pPr>
        <w:rPr>
          <w:rFonts w:ascii="仿宋_GB2312" w:eastAsia="仿宋_GB2312"/>
          <w:b/>
          <w:bCs/>
          <w:sz w:val="28"/>
          <w:szCs w:val="28"/>
        </w:rPr>
      </w:pPr>
      <w:r>
        <w:rPr>
          <w:rFonts w:hint="eastAsia" w:ascii="仿宋_GB2312" w:eastAsia="仿宋_GB2312"/>
          <w:b/>
          <w:bCs/>
          <w:sz w:val="28"/>
          <w:szCs w:val="28"/>
        </w:rPr>
        <w:t>六、施工方案（主要但不限于</w:t>
      </w:r>
      <w:r>
        <w:rPr>
          <w:rFonts w:hint="eastAsia" w:ascii="仿宋_GB2312" w:hAnsi="宋体" w:eastAsia="仿宋_GB2312"/>
          <w:b/>
          <w:bCs/>
          <w:sz w:val="28"/>
          <w:szCs w:val="28"/>
        </w:rPr>
        <w:t>施工组织机构和人员组成、施工进度计划、施工质量和安全保证体系等</w:t>
      </w:r>
      <w:r>
        <w:rPr>
          <w:rFonts w:hint="eastAsia" w:ascii="仿宋_GB2312" w:eastAsia="仿宋_GB2312"/>
          <w:b/>
          <w:bCs/>
          <w:sz w:val="28"/>
          <w:szCs w:val="28"/>
        </w:rPr>
        <w:t>）</w:t>
      </w:r>
    </w:p>
    <w:p>
      <w:pPr>
        <w:rPr>
          <w:rFonts w:ascii="仿宋_GB2312" w:eastAsia="仿宋_GB2312"/>
          <w:b/>
          <w:bCs/>
          <w:sz w:val="28"/>
          <w:szCs w:val="28"/>
        </w:rPr>
      </w:pPr>
      <w:r>
        <w:rPr>
          <w:rFonts w:hint="eastAsia" w:ascii="仿宋_GB2312" w:eastAsia="仿宋_GB2312"/>
          <w:b/>
          <w:bCs/>
          <w:sz w:val="28"/>
          <w:szCs w:val="28"/>
        </w:rPr>
        <w:t>七、</w:t>
      </w:r>
      <w:r>
        <w:rPr>
          <w:rFonts w:hint="eastAsia" w:ascii="仿宋_GB2312" w:hAnsi="宋体" w:eastAsia="仿宋_GB2312"/>
          <w:b/>
          <w:bCs/>
          <w:sz w:val="28"/>
          <w:szCs w:val="28"/>
        </w:rPr>
        <w:t>业绩、售后服务、所投主要产品品牌等</w:t>
      </w:r>
      <w:r>
        <w:rPr>
          <w:rFonts w:hint="eastAsia" w:ascii="仿宋_GB2312" w:eastAsia="仿宋_GB2312"/>
          <w:b/>
          <w:bCs/>
          <w:sz w:val="28"/>
          <w:szCs w:val="28"/>
        </w:rPr>
        <w:t>投标人需要提供的其它材料</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sz w:val="30"/>
          <w:szCs w:val="30"/>
        </w:rPr>
      </w:pPr>
      <w:bookmarkStart w:id="139" w:name="_Toc374453341"/>
      <w:r>
        <w:rPr>
          <w:rFonts w:hint="eastAsia" w:ascii="黑体" w:hAnsi="黑体" w:eastAsia="黑体" w:cs="宋体"/>
          <w:b/>
          <w:bCs/>
          <w:sz w:val="30"/>
          <w:szCs w:val="30"/>
        </w:rPr>
        <w:t>第一章</w:t>
      </w:r>
      <w:r>
        <w:rPr>
          <w:rFonts w:hint="eastAsia" w:ascii="宋体" w:hAnsi="宋体" w:eastAsia="黑体"/>
          <w:sz w:val="30"/>
          <w:szCs w:val="30"/>
        </w:rPr>
        <w:t>  </w:t>
      </w:r>
      <w:r>
        <w:rPr>
          <w:rFonts w:hint="eastAsia" w:ascii="黑体" w:hAnsi="黑体" w:eastAsia="黑体" w:cs="宋体"/>
          <w:b/>
          <w:bCs/>
          <w:sz w:val="30"/>
          <w:szCs w:val="30"/>
        </w:rPr>
        <w:t>总 则</w:t>
      </w:r>
      <w:bookmarkEnd w:id="139"/>
    </w:p>
    <w:p>
      <w:pPr>
        <w:spacing w:line="560" w:lineRule="exact"/>
        <w:ind w:firstLine="480" w:firstLineChars="200"/>
        <w:rPr>
          <w:rFonts w:ascii="仿宋_GB2312" w:hAnsi="宋体" w:eastAsia="仿宋_GB2312" w:cs="宋体"/>
          <w:sz w:val="24"/>
          <w:szCs w:val="24"/>
        </w:rPr>
      </w:pPr>
      <w:r>
        <w:rPr>
          <w:rFonts w:hint="eastAsia" w:ascii="宋体" w:hAnsi="宋体" w:eastAsia="仿宋_GB2312"/>
          <w:sz w:val="24"/>
          <w:szCs w:val="24"/>
        </w:rPr>
        <w:t> </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第一条</w:t>
      </w:r>
      <w:r>
        <w:rPr>
          <w:rFonts w:hint="eastAsia" w:ascii="仿宋_GB2312" w:hAnsi="宋体" w:eastAsia="仿宋_GB2312" w:cs="宋体"/>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第二条</w:t>
      </w:r>
      <w:r>
        <w:rPr>
          <w:rFonts w:hint="eastAsia" w:ascii="仿宋_GB2312" w:hAnsi="宋体" w:eastAsia="仿宋_GB2312" w:cs="宋体"/>
          <w:sz w:val="24"/>
          <w:szCs w:val="24"/>
        </w:rPr>
        <w:t xml:space="preserve">  本办法适用于</w:t>
      </w:r>
      <w:bookmarkStart w:id="140" w:name="OLE_LINK1"/>
      <w:bookmarkStart w:id="141" w:name="OLE_LINK3"/>
      <w:bookmarkStart w:id="142" w:name="OLE_LINK2"/>
      <w:r>
        <w:rPr>
          <w:rFonts w:hint="eastAsia" w:ascii="仿宋_GB2312" w:hAnsi="宋体" w:eastAsia="仿宋_GB2312" w:cs="宋体"/>
          <w:sz w:val="24"/>
          <w:szCs w:val="24"/>
        </w:rPr>
        <w:t>学校采购活动</w:t>
      </w:r>
      <w:bookmarkEnd w:id="140"/>
      <w:bookmarkEnd w:id="141"/>
      <w:bookmarkEnd w:id="142"/>
      <w:r>
        <w:rPr>
          <w:rFonts w:hint="eastAsia" w:ascii="仿宋_GB2312" w:hAnsi="宋体" w:eastAsia="仿宋_GB2312" w:cs="宋体"/>
          <w:sz w:val="24"/>
          <w:szCs w:val="24"/>
        </w:rPr>
        <w:t>质疑的提出和答复、投诉的提起和处理。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第三条</w:t>
      </w:r>
      <w:r>
        <w:rPr>
          <w:rFonts w:hint="eastAsia" w:ascii="仿宋_GB2312" w:eastAsia="仿宋_GB2312"/>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第四条</w:t>
      </w:r>
      <w:r>
        <w:rPr>
          <w:rFonts w:hint="eastAsia" w:ascii="仿宋_GB2312" w:hAnsi="宋体" w:eastAsia="仿宋_GB2312" w:cs="宋体"/>
          <w:sz w:val="24"/>
          <w:szCs w:val="24"/>
        </w:rPr>
        <w:t xml:space="preserve">  供应商提出质疑和投诉应当坚持依法依规、诚实信用原则。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ascii="仿宋_GB2312" w:hAnsi="宋体" w:eastAsia="仿宋_GB2312" w:cs="宋体"/>
          <w:sz w:val="24"/>
          <w:szCs w:val="24"/>
        </w:rPr>
        <w:t xml:space="preserve">  采购质疑答复和投诉处理应当坚持依法依规、权责对等、公平公正、简便高效原则。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sz w:val="24"/>
          <w:szCs w:val="24"/>
        </w:rPr>
        <w:t xml:space="preserve">  学校国有资产管理处（以下简称“国资处”）负责供应商质疑答复。学校委托采购代理机构采购的，采购代理机构在委托授权范围内作出答复。</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学校监察处负责接受和处理校内自主采购项目的投诉。</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国资处、委托采购代理机构应当在采购文件中载明接收质疑函和受理投诉的方式、联系部门、联系电话和通讯地址等信息。</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代理人提出质疑和投诉，应当提交供应商签署的授权委托书。</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宋体" w:eastAsia="仿宋_GB2312" w:cs="宋体"/>
          <w:sz w:val="24"/>
          <w:szCs w:val="24"/>
        </w:rPr>
        <w:t xml:space="preserve">  以联合体形式参加学校采购活动的，其投诉应当由组成联合体的所有供应商共同提出。</w:t>
      </w:r>
    </w:p>
    <w:p>
      <w:pPr>
        <w:spacing w:line="560" w:lineRule="exact"/>
        <w:ind w:firstLine="480" w:firstLineChars="200"/>
        <w:rPr>
          <w:rFonts w:ascii="仿宋_GB2312" w:hAnsi="宋体" w:eastAsia="仿宋_GB2312" w:cs="宋体"/>
          <w:sz w:val="24"/>
          <w:szCs w:val="24"/>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第二章 质疑的提出</w:t>
      </w:r>
    </w:p>
    <w:p>
      <w:pPr>
        <w:spacing w:line="560" w:lineRule="exact"/>
        <w:ind w:firstLine="600" w:firstLineChars="200"/>
        <w:rPr>
          <w:rFonts w:ascii="仿宋_GB2312" w:hAnsi="宋体" w:eastAsia="仿宋_GB2312" w:cs="宋体"/>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第十条</w:t>
      </w:r>
      <w:bookmarkStart w:id="143" w:name="OLE_LINK7"/>
      <w:bookmarkStart w:id="144" w:name="OLE_LINK6"/>
      <w:bookmarkStart w:id="145" w:name="OLE_LINK4"/>
      <w:bookmarkStart w:id="146" w:name="OLE_LINK5"/>
      <w:bookmarkStart w:id="147" w:name="OLE_LINK8"/>
      <w:bookmarkStart w:id="148" w:name="OLE_LINK9"/>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bookmarkEnd w:id="143"/>
      <w:bookmarkEnd w:id="144"/>
      <w:bookmarkEnd w:id="145"/>
      <w:bookmarkEnd w:id="146"/>
      <w:bookmarkEnd w:id="147"/>
      <w:bookmarkEnd w:id="148"/>
      <w:r>
        <w:rPr>
          <w:rFonts w:hint="eastAsia" w:ascii="仿宋_GB2312" w:hAnsi="微软雅黑" w:eastAsia="仿宋_GB2312"/>
          <w:sz w:val="24"/>
          <w:szCs w:val="24"/>
        </w:rPr>
        <w:t>，供应商认为采购文件、采购过程、中标或者成交结果使自己的权益受到损害的，可以在知道或者应知其权益受到损害之日起5个工作日内，以书面形式向国资处、采购代理机构提出质疑。</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采购文件可以要求供应商在质疑期内一次性提出针对同一采购程序环节的质疑。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学校自主采购活动</w:t>
      </w:r>
      <w:r>
        <w:rPr>
          <w:rFonts w:hint="eastAsia" w:ascii="仿宋_GB2312" w:hAnsi="微软雅黑" w:eastAsia="仿宋_GB2312"/>
          <w:sz w:val="24"/>
          <w:szCs w:val="24"/>
        </w:rPr>
        <w:t>中</w:t>
      </w:r>
      <w:r>
        <w:rPr>
          <w:rFonts w:hint="eastAsia" w:ascii="仿宋_GB2312" w:eastAsia="仿宋_GB2312"/>
          <w:sz w:val="24"/>
          <w:szCs w:val="24"/>
        </w:rPr>
        <w:t>，提出质疑的供应商（以下简称质疑供应商）应当是参与所质疑项目采购活动的供应商。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潜在供应商已依法依规获取其可质疑的采购文件的，可以对该文件提出质疑。对采购文件提出质疑的，应当在采购文件规定的时间内提出。 </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供应商提出质疑应当提交质疑函和必要的证明材料。质疑函应当包括下列内容：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（一）供应商的姓名或者名称、地址、邮编、联系人及联系电话；</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（二）质疑项目的名称、编号；</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（三）具体、明确的质疑事项和与质疑事项相关的请求；</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（五）必要的法律依据；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（六）提出质疑的日期。</w:t>
      </w:r>
    </w:p>
    <w:p>
      <w:pPr>
        <w:spacing w:line="560" w:lineRule="exact"/>
        <w:ind w:firstLine="480" w:firstLineChars="200"/>
        <w:rPr>
          <w:rFonts w:ascii="仿宋_GB2312" w:hAnsi="微软雅黑" w:eastAsia="仿宋_GB2312"/>
          <w:sz w:val="24"/>
          <w:szCs w:val="24"/>
        </w:rPr>
      </w:pPr>
      <w:r>
        <w:rPr>
          <w:rFonts w:hint="eastAsia" w:ascii="仿宋_GB2312" w:hAnsi="微软雅黑" w:eastAsia="仿宋_GB2312"/>
          <w:sz w:val="24"/>
          <w:szCs w:val="24"/>
        </w:rPr>
        <w:t>供应商为自然人的，应当由本人签字；供应商为法人或者其他组织的，应当由法定代表人、主要负责人，或者其授权代表签字或者盖章，并加盖公章。</w:t>
      </w:r>
    </w:p>
    <w:p>
      <w:pPr>
        <w:spacing w:line="560" w:lineRule="exact"/>
        <w:ind w:firstLine="482" w:firstLineChars="200"/>
        <w:rPr>
          <w:rFonts w:ascii="仿宋_GB2312" w:hAnsi="微软雅黑" w:eastAsia="仿宋_GB2312"/>
          <w:sz w:val="24"/>
          <w:szCs w:val="24"/>
        </w:rPr>
      </w:pPr>
      <w:r>
        <w:rPr>
          <w:rFonts w:hint="eastAsia" w:ascii="仿宋_GB2312" w:hAnsi="宋体" w:eastAsia="仿宋_GB2312" w:cs="宋体"/>
          <w:b/>
          <w:sz w:val="24"/>
          <w:szCs w:val="24"/>
        </w:rPr>
        <w:t>第十三条</w:t>
      </w:r>
      <w:r>
        <w:rPr>
          <w:rFonts w:hint="eastAsia" w:ascii="仿宋_GB2312" w:hAnsi="宋体" w:eastAsia="仿宋_GB2312" w:cs="宋体"/>
          <w:sz w:val="24"/>
          <w:szCs w:val="24"/>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480" w:firstLineChars="200"/>
        <w:rPr>
          <w:rFonts w:ascii="仿宋_GB2312" w:hAnsi="微软雅黑" w:eastAsia="仿宋_GB2312"/>
          <w:sz w:val="24"/>
          <w:szCs w:val="24"/>
        </w:rPr>
      </w:pPr>
    </w:p>
    <w:p>
      <w:pPr>
        <w:spacing w:line="560" w:lineRule="exact"/>
        <w:jc w:val="center"/>
        <w:rPr>
          <w:rFonts w:ascii="黑体" w:hAnsi="黑体" w:eastAsia="黑体"/>
          <w:b/>
          <w:sz w:val="30"/>
          <w:szCs w:val="30"/>
        </w:rPr>
      </w:pPr>
      <w:r>
        <w:rPr>
          <w:rFonts w:hint="eastAsia" w:ascii="黑体" w:hAnsi="黑体" w:eastAsia="黑体"/>
          <w:b/>
          <w:sz w:val="30"/>
          <w:szCs w:val="30"/>
        </w:rPr>
        <w:t>第三章  质疑的答复</w:t>
      </w:r>
    </w:p>
    <w:p>
      <w:pPr>
        <w:spacing w:line="560" w:lineRule="exact"/>
        <w:ind w:firstLine="600" w:firstLineChars="200"/>
        <w:rPr>
          <w:rFonts w:ascii="仿宋_GB2312" w:hAnsi="微软雅黑" w:eastAsia="仿宋_GB2312"/>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hAnsi="微软雅黑" w:eastAsia="仿宋_GB2312"/>
          <w:b/>
          <w:sz w:val="24"/>
          <w:szCs w:val="24"/>
        </w:rPr>
        <w:t>第十四条</w:t>
      </w:r>
      <w:r>
        <w:rPr>
          <w:rFonts w:hint="eastAsia" w:ascii="仿宋_GB2312" w:hAnsi="微软雅黑" w:eastAsia="仿宋_GB2312"/>
          <w:sz w:val="24"/>
          <w:szCs w:val="24"/>
        </w:rPr>
        <w:t xml:space="preserve">  </w:t>
      </w:r>
      <w:r>
        <w:rPr>
          <w:rFonts w:hint="eastAsia" w:ascii="仿宋_GB2312" w:hAnsi="宋体" w:eastAsia="仿宋_GB2312" w:cs="宋体"/>
          <w:sz w:val="24"/>
          <w:szCs w:val="24"/>
        </w:rPr>
        <w:t>供应商对学校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采购活动有疑问的，可以向学校国资处、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提出询问，国资处、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应及时口头答复。</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第十五</w:t>
      </w:r>
      <w:r>
        <w:rPr>
          <w:rFonts w:hint="eastAsia" w:ascii="仿宋_GB2312" w:hAnsi="宋体" w:eastAsia="仿宋_GB2312" w:cs="宋体"/>
          <w:sz w:val="24"/>
          <w:szCs w:val="24"/>
        </w:rPr>
        <w:t>条  国资处、采购代理机构对供应商提出的询问，应区别不同情况予以处理：属于工作中的问题，应当及时纠正；属于供应商的误解，应予以解释说明。</w:t>
      </w:r>
    </w:p>
    <w:p>
      <w:pPr>
        <w:spacing w:line="560" w:lineRule="exact"/>
        <w:ind w:firstLine="482" w:firstLineChars="200"/>
        <w:rPr>
          <w:rFonts w:ascii="仿宋_GB2312" w:hAnsi="微软雅黑" w:eastAsia="仿宋_GB2312"/>
          <w:sz w:val="24"/>
          <w:szCs w:val="24"/>
        </w:rPr>
      </w:pPr>
      <w:r>
        <w:rPr>
          <w:rFonts w:hint="eastAsia" w:ascii="仿宋_GB2312" w:hAnsi="微软雅黑" w:eastAsia="仿宋_GB2312"/>
          <w:b/>
          <w:sz w:val="24"/>
          <w:szCs w:val="24"/>
        </w:rPr>
        <w:t>第十六</w:t>
      </w:r>
      <w:r>
        <w:rPr>
          <w:rFonts w:hint="eastAsia" w:ascii="仿宋_GB2312" w:hAnsi="微软雅黑" w:eastAsia="仿宋_GB2312"/>
          <w:sz w:val="24"/>
          <w:szCs w:val="24"/>
        </w:rPr>
        <w:t xml:space="preserve">条  </w:t>
      </w:r>
      <w:r>
        <w:rPr>
          <w:rFonts w:hint="eastAsia" w:ascii="仿宋_GB2312" w:hAnsi="宋体" w:eastAsia="仿宋_GB2312" w:cs="宋体"/>
          <w:sz w:val="24"/>
          <w:szCs w:val="24"/>
        </w:rPr>
        <w:t>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w:t>
      </w:r>
      <w:r>
        <w:rPr>
          <w:rFonts w:hint="eastAsia" w:ascii="仿宋_GB2312" w:hAnsi="微软雅黑" w:eastAsia="仿宋_GB2312"/>
          <w:sz w:val="24"/>
          <w:szCs w:val="24"/>
        </w:rPr>
        <w:t>中</w:t>
      </w:r>
      <w:r>
        <w:rPr>
          <w:rFonts w:hint="eastAsia" w:ascii="仿宋_GB2312" w:hAnsi="宋体" w:eastAsia="仿宋_GB2312"/>
          <w:sz w:val="24"/>
          <w:szCs w:val="24"/>
        </w:rPr>
        <w:t>，</w:t>
      </w:r>
      <w:r>
        <w:rPr>
          <w:rFonts w:hint="eastAsia" w:ascii="仿宋_GB2312" w:hAnsi="微软雅黑" w:eastAsia="仿宋_GB2312"/>
          <w:sz w:val="24"/>
          <w:szCs w:val="24"/>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第十七条</w:t>
      </w:r>
      <w:r>
        <w:rPr>
          <w:rFonts w:hint="eastAsia" w:ascii="仿宋_GB2312" w:hAnsi="宋体" w:eastAsia="仿宋_GB2312" w:cs="宋体"/>
          <w:sz w:val="24"/>
          <w:szCs w:val="24"/>
        </w:rPr>
        <w:t xml:space="preserve">  供应商的书面质疑属于下列情形之一的，国资处、采购代理机构可不予受理，并以书面形式告知其不予受理的原因：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（一）未通过资格审核，或未参与该采购项目活动的供应商；</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（二）已超过法律规定或采购文件约定的质疑期限；</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第十八条</w:t>
      </w:r>
      <w:r>
        <w:rPr>
          <w:rFonts w:hint="eastAsia" w:ascii="仿宋_GB2312" w:hAnsi="宋体" w:eastAsia="仿宋_GB2312" w:cs="宋体"/>
          <w:sz w:val="24"/>
          <w:szCs w:val="24"/>
        </w:rPr>
        <w:t xml:space="preserve">  国资处可就供应商的质疑事项进行调查取证，有关当事人应当如实反映情况和提供有关材料。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第十九条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供应商对评审过程、中标或者成交结果提出质疑的，国资处、采购代理机构可以组织原评标委员会、谈判小组、询价小组或者磋商小组协助答复质疑。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第二十条</w:t>
      </w:r>
      <w:r>
        <w:rPr>
          <w:rFonts w:hint="eastAsia" w:ascii="仿宋_GB2312" w:eastAsia="仿宋_GB2312"/>
          <w:sz w:val="24"/>
          <w:szCs w:val="24"/>
        </w:rPr>
        <w:t xml:space="preserve">  采购评审人员应当积极配合国资处答复质疑供应商提出的质疑。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第二十一条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质疑答复应当包括下列内容：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（一）质疑供应商的姓名或者名称；</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（二）收到质疑函的日期、质疑项目名称及编号；</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（三）质疑事项、质疑答复的具体内容、事实依据和法律及相关政策规定等依据；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（四）告知质疑供应商依法投诉的权利；</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（五）质疑答复人名称；</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（六）答复质疑的日期。</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质疑答复的内容不得涉及商业秘密。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（一）对采购文件提出的质疑，依法通过澄清或者修改可以继续开展采购活动的，澄清或者修改采购文件后继续开展采购活动；否则应当修改采购文件后重新开展采购活动。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质疑答复导致中标、成交结果改变的，国资处应当将有关情况书面报告监察处。</w:t>
      </w:r>
    </w:p>
    <w:p>
      <w:pPr>
        <w:spacing w:line="560" w:lineRule="exact"/>
        <w:ind w:firstLine="600" w:firstLineChars="200"/>
        <w:rPr>
          <w:rFonts w:ascii="仿宋_GB2312" w:hAnsi="宋体" w:eastAsia="仿宋_GB2312" w:cs="宋体"/>
          <w:sz w:val="30"/>
          <w:szCs w:val="30"/>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第四章  投诉的提起</w:t>
      </w:r>
    </w:p>
    <w:p>
      <w:pPr>
        <w:spacing w:line="560" w:lineRule="exact"/>
        <w:ind w:firstLine="600" w:firstLineChars="200"/>
        <w:rPr>
          <w:rFonts w:ascii="仿宋_GB2312" w:hAnsi="宋体" w:eastAsia="仿宋_GB2312" w:cs="宋体"/>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eastAsia="仿宋_GB2312"/>
          <w:b/>
          <w:sz w:val="24"/>
          <w:szCs w:val="24"/>
        </w:rPr>
        <w:t>第二十三条</w:t>
      </w:r>
      <w:r>
        <w:rPr>
          <w:rFonts w:hint="eastAsia" w:ascii="仿宋_GB2312" w:eastAsia="仿宋_GB2312"/>
          <w:sz w:val="24"/>
          <w:szCs w:val="24"/>
        </w:rPr>
        <w:t xml:space="preserve">  学校</w:t>
      </w:r>
      <w:r>
        <w:rPr>
          <w:rFonts w:hint="eastAsia" w:ascii="仿宋_GB2312" w:hAnsi="宋体" w:eastAsia="仿宋_GB2312"/>
          <w:sz w:val="24"/>
          <w:szCs w:val="24"/>
        </w:rPr>
        <w:t>自主</w:t>
      </w:r>
      <w:r>
        <w:rPr>
          <w:rFonts w:hint="eastAsia" w:ascii="仿宋_GB2312" w:eastAsia="仿宋_GB2312"/>
          <w:sz w:val="24"/>
          <w:szCs w:val="24"/>
        </w:rPr>
        <w:t>采购活动中，</w:t>
      </w:r>
      <w:r>
        <w:rPr>
          <w:rFonts w:hint="eastAsia" w:ascii="仿宋_GB2312" w:hAnsi="微软雅黑" w:eastAsia="仿宋_GB2312"/>
          <w:sz w:val="24"/>
          <w:szCs w:val="24"/>
        </w:rPr>
        <w:t>质疑供应商对国资处、采购代理机构的答复不满意，或者</w:t>
      </w:r>
      <w:bookmarkStart w:id="149" w:name="OLE_LINK77"/>
      <w:bookmarkStart w:id="150" w:name="OLE_LINK76"/>
      <w:bookmarkStart w:id="151" w:name="OLE_LINK78"/>
      <w:r>
        <w:rPr>
          <w:rFonts w:hint="eastAsia" w:ascii="仿宋_GB2312" w:hAnsi="微软雅黑" w:eastAsia="仿宋_GB2312"/>
          <w:sz w:val="24"/>
          <w:szCs w:val="24"/>
        </w:rPr>
        <w:t>国资处、采购代理机构</w:t>
      </w:r>
      <w:bookmarkEnd w:id="149"/>
      <w:bookmarkEnd w:id="150"/>
      <w:bookmarkEnd w:id="151"/>
      <w:r>
        <w:rPr>
          <w:rFonts w:hint="eastAsia" w:ascii="仿宋_GB2312" w:hAnsi="微软雅黑" w:eastAsia="仿宋_GB231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sz w:val="24"/>
          <w:szCs w:val="24"/>
        </w:rPr>
        <w:t> </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第二十四条</w:t>
      </w:r>
      <w:r>
        <w:rPr>
          <w:rFonts w:hint="eastAsia" w:ascii="仿宋_GB2312" w:eastAsia="仿宋_GB2312"/>
          <w:sz w:val="24"/>
          <w:szCs w:val="24"/>
        </w:rPr>
        <w:t xml:space="preserve">  学校自主采购活动中，</w:t>
      </w:r>
      <w:r>
        <w:rPr>
          <w:rFonts w:hint="eastAsia" w:ascii="仿宋_GB2312" w:hAnsi="微软雅黑" w:eastAsia="仿宋_GB2312"/>
          <w:sz w:val="24"/>
          <w:szCs w:val="24"/>
        </w:rPr>
        <w:t>投诉人投诉时,应当提交投诉书和必要的证明材料。投诉书应当包括下列内容：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（一）投诉人和被投诉人的姓名或者名称、投诉人的通讯地址、邮编、联系人及联系电话；</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（二）质疑和质疑答复情况说明及相关证明材料；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（三）具体、明确的投诉事项和与投诉事项相关的投诉请求；</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（六）提起投诉的日期。</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投诉人为自然人的，应当由本人签字；投诉人为法人或者其他组织的，应当由法定代表人、主要负责人，或者其授权代表签字或者盖章，并加盖公章。</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第二十五条</w:t>
      </w:r>
      <w:r>
        <w:rPr>
          <w:rFonts w:hint="eastAsia" w:ascii="仿宋_GB2312" w:hAnsi="微软雅黑" w:eastAsia="仿宋_GB2312"/>
          <w:sz w:val="24"/>
          <w:szCs w:val="24"/>
        </w:rPr>
        <w:t xml:space="preserve">  投诉人应当根据本办法第七条规定的信息内容，并按照其规定的方式提起投诉。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投诉人提起投诉应当符合下列条件：</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（一）提起投诉前已依法、依规进行质疑；</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（二）投诉书内容符合本办法的规定；</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（三）在投诉有效期限内提起投诉；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（四）同一投诉事项未经投诉处理。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第二十六条</w:t>
      </w:r>
      <w:r>
        <w:rPr>
          <w:rFonts w:hint="eastAsia" w:ascii="仿宋_GB2312" w:hAnsi="微软雅黑" w:eastAsia="仿宋_GB2312"/>
          <w:sz w:val="24"/>
          <w:szCs w:val="24"/>
        </w:rPr>
        <w:t xml:space="preserve">  供应商投诉的事项不得超出已质疑事项的范围，但基于质疑答复内容提出的投诉事项除外。</w:t>
      </w:r>
    </w:p>
    <w:p>
      <w:pPr>
        <w:pStyle w:val="23"/>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sz w:val="30"/>
          <w:szCs w:val="30"/>
        </w:rPr>
      </w:pPr>
    </w:p>
    <w:p>
      <w:pPr>
        <w:pStyle w:val="23"/>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8"/>
          <w:rFonts w:hint="eastAsia" w:ascii="黑体" w:hAnsi="黑体" w:eastAsia="黑体"/>
          <w:sz w:val="30"/>
          <w:szCs w:val="30"/>
        </w:rPr>
        <w:t xml:space="preserve">第五章 </w:t>
      </w:r>
      <w:r>
        <w:rPr>
          <w:rStyle w:val="28"/>
          <w:rFonts w:hint="eastAsia" w:ascii="微软雅黑" w:hAnsi="微软雅黑" w:eastAsia="黑体"/>
          <w:sz w:val="30"/>
          <w:szCs w:val="30"/>
        </w:rPr>
        <w:t> </w:t>
      </w:r>
      <w:r>
        <w:rPr>
          <w:rStyle w:val="28"/>
          <w:rFonts w:hint="eastAsia" w:ascii="黑体" w:hAnsi="黑体" w:eastAsia="黑体"/>
          <w:sz w:val="30"/>
          <w:szCs w:val="30"/>
        </w:rPr>
        <w:t>投诉的处理</w:t>
      </w:r>
    </w:p>
    <w:p>
      <w:pPr>
        <w:pStyle w:val="23"/>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第二十七条</w:t>
      </w:r>
      <w:r>
        <w:rPr>
          <w:rFonts w:hint="eastAsia" w:ascii="仿宋_GB2312" w:hAnsi="微软雅黑" w:eastAsia="仿宋_GB2312"/>
          <w:sz w:val="24"/>
          <w:szCs w:val="24"/>
        </w:rPr>
        <w:t xml:space="preserve">  监察处收到投诉书后，应当在5个工作日内进行审查，审查后按照下列情况处理：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（二）投诉不符合本办法第二十五条规定条件的，应当在3个工作日内书面告知投诉人不予受理，并说明理由。</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（三）投诉不属于本部门管辖的，应当在3个工作日内书面告知投诉人向有管辖权的部门提起投诉。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第二十八条</w:t>
      </w:r>
      <w:r>
        <w:rPr>
          <w:rFonts w:hint="eastAsia" w:ascii="仿宋_GB2312" w:hAnsi="微软雅黑" w:eastAsia="仿宋_GB2312"/>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第二十九条</w:t>
      </w:r>
      <w:r>
        <w:rPr>
          <w:rFonts w:hint="eastAsia" w:ascii="仿宋_GB2312" w:hAnsi="微软雅黑" w:eastAsia="仿宋_GB2312"/>
          <w:sz w:val="24"/>
          <w:szCs w:val="24"/>
        </w:rPr>
        <w:t xml:space="preserve">  监察处处理投诉事项原则上采用书面审查的方式。监察处认为有必要时，可以进行调查取证或者组织质证。</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第三十条</w:t>
      </w:r>
      <w:r>
        <w:rPr>
          <w:rFonts w:hint="eastAsia" w:ascii="仿宋_GB2312" w:hAnsi="微软雅黑" w:eastAsia="仿宋_GB2312"/>
          <w:sz w:val="24"/>
          <w:szCs w:val="24"/>
        </w:rPr>
        <w:t xml:space="preserve">  监察处可以根据法律、法规规定或者职责权限，委托相关单位或者第三方开展调查取证、检验、检测、鉴定。</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质证应当通知相关当事人到场，并制作质证笔录。质证笔录应当由当事人签字确认。</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第三十一条</w:t>
      </w:r>
      <w:r>
        <w:rPr>
          <w:rFonts w:hint="eastAsia" w:ascii="仿宋_GB2312" w:hAnsi="微软雅黑" w:eastAsia="仿宋_GB2312"/>
          <w:sz w:val="24"/>
          <w:szCs w:val="24"/>
        </w:rPr>
        <w:t xml:space="preserve">  监察处依法、依规进行调查取证时，投诉人、国资处以及与投诉事项有关的部门及人员应当如实反映情况，并提供监察处所需要的相关材料。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第三十二条</w:t>
      </w:r>
      <w:r>
        <w:rPr>
          <w:rFonts w:hint="eastAsia" w:ascii="仿宋_GB2312" w:hAnsi="微软雅黑" w:eastAsia="仿宋_GB2312"/>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第三十三条</w:t>
      </w:r>
      <w:r>
        <w:rPr>
          <w:rFonts w:hint="eastAsia" w:ascii="仿宋_GB2312" w:hAnsi="微软雅黑" w:eastAsia="仿宋_GB2312"/>
          <w:sz w:val="24"/>
          <w:szCs w:val="24"/>
        </w:rPr>
        <w:t xml:space="preserve">  监察处应当自收到投诉之日起30个工作日内，对投诉事项作出处理决定。</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第三十四条</w:t>
      </w:r>
      <w:r>
        <w:rPr>
          <w:rFonts w:hint="eastAsia" w:ascii="仿宋_GB2312" w:hAnsi="微软雅黑" w:eastAsia="仿宋_GB2312"/>
          <w:sz w:val="24"/>
          <w:szCs w:val="24"/>
        </w:rPr>
        <w:t xml:space="preserve">  监察处处理投诉事项，需要检验、检测、鉴定、专家评审以及需要投诉人补正材料的，所需时间不计算在投诉处理期限内。</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前款所称所需时间，是指监察处向相关单位、第三方、投诉人发出相关文书、补正通知之日至收到相关反馈文书或材料之日。</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监察处向相关单位、第三方开展检验、检测、鉴定、专家评审的，应当将所需时间告知投诉人。</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第三十五条</w:t>
      </w:r>
      <w:r>
        <w:rPr>
          <w:rFonts w:hint="eastAsia" w:ascii="仿宋_GB2312" w:hAnsi="微软雅黑" w:eastAsia="仿宋_GB2312"/>
          <w:sz w:val="24"/>
          <w:szCs w:val="24"/>
        </w:rPr>
        <w:t xml:space="preserve">  监察处在处理投诉事项期间，可以视具体情况书面通知国资处暂停采购活动，暂停采购活动时间最长不得超过30日。</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国资处收到暂停采购活动通知后应当立即中止采购活动，在法定的暂停期限结束前或者监察处发出恢复采购活动通知前，不得进行该项采购活动。</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第三十六条</w:t>
      </w:r>
      <w:r>
        <w:rPr>
          <w:rFonts w:hint="eastAsia" w:ascii="仿宋_GB2312" w:hAnsi="微软雅黑" w:eastAsia="仿宋_GB2312"/>
          <w:sz w:val="24"/>
          <w:szCs w:val="24"/>
        </w:rPr>
        <w:t xml:space="preserve">  投诉处理过程中，有下列情形之一的，监察处应当驳回投诉：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（一）受理后发现投诉不符合受理条件；</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（二）投诉事项缺乏事实依据，投诉事项不成立；</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（三）投诉人捏造事实或者提供虚假材料；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（四）投诉人以非法手段取得证明材料。证据来源的合法性存在明显疑问，投诉人无法证明其取得方式合法的，视为以非法手段取得证明材料。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第三十七条</w:t>
      </w:r>
      <w:r>
        <w:rPr>
          <w:rFonts w:hint="eastAsia" w:ascii="仿宋_GB2312" w:hAnsi="微软雅黑" w:eastAsia="仿宋_GB2312"/>
          <w:sz w:val="24"/>
          <w:szCs w:val="24"/>
        </w:rPr>
        <w:t xml:space="preserve">  监察处受理投诉后,投诉人书面申请撤回投诉的，监察处应当终止投诉处理程序，并书面告知相关当事人。</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第三十八条</w:t>
      </w:r>
      <w:r>
        <w:rPr>
          <w:rFonts w:hint="eastAsia" w:ascii="仿宋_GB2312" w:hAnsi="微软雅黑" w:eastAsia="仿宋_GB2312"/>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（一）未确定中标或者成交供应商的，责令重新开展采购活动。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第三十九条</w:t>
      </w:r>
      <w:bookmarkStart w:id="152" w:name="OLE_LINK12"/>
      <w:bookmarkStart w:id="153" w:name="OLE_LINK13"/>
      <w:bookmarkStart w:id="154" w:name="OLE_LINK11"/>
      <w:r>
        <w:rPr>
          <w:rFonts w:hint="eastAsia" w:ascii="仿宋_GB2312" w:hAnsi="微软雅黑" w:eastAsia="仿宋_GB2312"/>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2"/>
      <w:bookmarkEnd w:id="153"/>
      <w:bookmarkEnd w:id="154"/>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bookmarkStart w:id="155" w:name="OLE_LINK15"/>
      <w:bookmarkStart w:id="156" w:name="OLE_LINK14"/>
      <w:r>
        <w:rPr>
          <w:rFonts w:hint="eastAsia" w:ascii="仿宋_GB2312" w:hAnsi="微软雅黑" w:eastAsia="仿宋_GB2312"/>
          <w:sz w:val="24"/>
          <w:szCs w:val="24"/>
        </w:rPr>
        <w:t>（一）未确定中标或者成交供应商的，责令重新开展采购活动。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bookmarkEnd w:id="155"/>
    <w:bookmarkEnd w:id="156"/>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投诉人对废标行为提起的投诉事项成立的，监察处应当认定废标行为无效。</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第四十条</w:t>
      </w:r>
      <w:r>
        <w:rPr>
          <w:rFonts w:hint="eastAsia" w:ascii="仿宋_GB2312" w:hAnsi="微软雅黑" w:eastAsia="仿宋_GB2312"/>
          <w:sz w:val="24"/>
          <w:szCs w:val="24"/>
        </w:rPr>
        <w:t xml:space="preserve">  监察处作出处理决定，应当制作投诉处理决定书，并加盖公章。投诉处理决定书应当包括下列内容：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（一）投诉人和被投诉人的姓名或者名称、通讯地址等；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（二）处理决定查明的事实和相关依据，具体处理决定和法律依据；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（三）告知相关当事人申请行政复议的权利、行政复议机关和行政复议申请期限，以及提起行政诉讼的权利和起诉期限；</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（四）作出处理决定的日期。</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第四十一条</w:t>
      </w:r>
      <w:r>
        <w:rPr>
          <w:rFonts w:hint="eastAsia" w:ascii="仿宋_GB2312" w:hAnsi="微软雅黑" w:eastAsia="仿宋_GB2312"/>
          <w:sz w:val="24"/>
          <w:szCs w:val="24"/>
        </w:rPr>
        <w:t xml:space="preserve">  监察处应当将投诉处理决定书送达投诉人和与投诉事项有关的当事人，并及时将投诉处理结果在校园网公告。</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第四十二条</w:t>
      </w:r>
      <w:r>
        <w:rPr>
          <w:rFonts w:hint="eastAsia" w:ascii="仿宋_GB2312" w:hAnsi="微软雅黑" w:eastAsia="仿宋_GB2312"/>
          <w:sz w:val="24"/>
          <w:szCs w:val="24"/>
        </w:rPr>
        <w:t xml:space="preserve">  监察处应当建立投诉处理档案管理制度。</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pStyle w:val="23"/>
        <w:shd w:val="clear" w:color="auto" w:fill="FFFFFF"/>
        <w:adjustRightInd w:val="0"/>
        <w:snapToGrid w:val="0"/>
        <w:spacing w:before="0" w:beforeAutospacing="0" w:after="0" w:afterAutospacing="0" w:line="560" w:lineRule="exact"/>
        <w:jc w:val="center"/>
        <w:rPr>
          <w:rStyle w:val="28"/>
          <w:rFonts w:ascii="仿宋_GB2312" w:hAnsi="微软雅黑" w:eastAsia="仿宋_GB2312"/>
          <w:sz w:val="24"/>
          <w:szCs w:val="24"/>
        </w:rPr>
      </w:pPr>
    </w:p>
    <w:p>
      <w:pPr>
        <w:pStyle w:val="23"/>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8"/>
          <w:rFonts w:hint="eastAsia" w:ascii="黑体" w:hAnsi="黑体" w:eastAsia="黑体"/>
          <w:sz w:val="30"/>
          <w:szCs w:val="30"/>
        </w:rPr>
        <w:t xml:space="preserve">第六章 </w:t>
      </w:r>
      <w:r>
        <w:rPr>
          <w:rStyle w:val="28"/>
          <w:rFonts w:hint="eastAsia" w:ascii="微软雅黑" w:hAnsi="微软雅黑" w:eastAsia="黑体"/>
          <w:sz w:val="30"/>
          <w:szCs w:val="30"/>
        </w:rPr>
        <w:t> </w:t>
      </w:r>
      <w:r>
        <w:rPr>
          <w:rStyle w:val="28"/>
          <w:rFonts w:hint="eastAsia" w:ascii="黑体" w:hAnsi="黑体" w:eastAsia="黑体"/>
          <w:sz w:val="30"/>
          <w:szCs w:val="30"/>
        </w:rPr>
        <w:t>法律责任</w:t>
      </w:r>
    </w:p>
    <w:p>
      <w:pPr>
        <w:pStyle w:val="23"/>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第四十三条</w:t>
      </w:r>
      <w:r>
        <w:rPr>
          <w:rFonts w:hint="eastAsia" w:ascii="仿宋_GB2312" w:hAnsi="微软雅黑" w:eastAsia="仿宋_GB2312"/>
          <w:sz w:val="24"/>
          <w:szCs w:val="24"/>
        </w:rPr>
        <w:t xml:space="preserve">  国资处、采购代理机构有下列情形之一的，由监察处责令限期改正；情节严重的，给予警告，对直接负责的主管人员和其他直接责任人员依法依规追究相应责任：</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（一）拒收质疑供应商在质疑期内发出的质疑函；</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（二）对质疑不予答复或者答复与事实明显不符，并不能作出合理说明；</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（三）拒绝配合监察处处理投诉事宜。</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第四十四条</w:t>
      </w:r>
      <w:r>
        <w:rPr>
          <w:rFonts w:hint="eastAsia" w:ascii="仿宋_GB2312" w:hAnsi="微软雅黑" w:eastAsia="仿宋_GB2312"/>
          <w:sz w:val="24"/>
          <w:szCs w:val="24"/>
        </w:rPr>
        <w:t xml:space="preserve">  投诉人在学校采购活动中2年内三次以上投诉查无实据的，列入不良行为记录名单。</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投诉人有下列行为之一的，属于虚假、恶意投诉，由国资处、监察处列入不良行为记录名单，禁止其1至3年内参加学校采购活动：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（一）捏造事实;</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（二）提供虚假材料;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（三）以非法手段取得证明材料。证据来源的合法性存在明显疑问，投诉人无法证明其取得方式合法的，视为以非法手段取得证明材料。</w:t>
      </w:r>
    </w:p>
    <w:p>
      <w:pPr>
        <w:spacing w:line="560" w:lineRule="exact"/>
        <w:ind w:firstLine="482" w:firstLineChars="200"/>
        <w:rPr>
          <w:rFonts w:ascii="仿宋_GB2312" w:hAnsi="宋体" w:eastAsia="仿宋_GB2312" w:cs="宋体"/>
          <w:sz w:val="24"/>
          <w:szCs w:val="24"/>
        </w:rPr>
      </w:pPr>
      <w:r>
        <w:rPr>
          <w:rStyle w:val="28"/>
          <w:rFonts w:hint="eastAsia" w:ascii="仿宋_GB2312" w:hAnsi="微软雅黑" w:eastAsia="仿宋_GB2312"/>
          <w:sz w:val="24"/>
          <w:szCs w:val="24"/>
        </w:rPr>
        <w:t xml:space="preserve">第四十五条  </w:t>
      </w:r>
      <w:r>
        <w:rPr>
          <w:rFonts w:hint="eastAsia" w:ascii="仿宋_GB2312" w:hAnsi="宋体" w:eastAsia="仿宋_GB2312" w:cs="宋体"/>
          <w:sz w:val="24"/>
          <w:szCs w:val="24"/>
        </w:rPr>
        <w:t>国资处在处理质疑过程中，发现采购当事人有违法违规行为的，应在规定的权限范围内及时给予处理；无权处理的，应移交有关部门依法依规处理。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第四十六条</w:t>
      </w:r>
      <w:r>
        <w:rPr>
          <w:rFonts w:hint="eastAsia" w:ascii="仿宋_GB2312" w:hAnsi="宋体" w:eastAsia="仿宋_GB2312" w:cs="宋体"/>
          <w:sz w:val="24"/>
          <w:szCs w:val="24"/>
        </w:rPr>
        <w:t xml:space="preserve">  国资处和监察处的工作人员在处理质疑、投诉过程中违反本办法规定及存在滥用职权、玩忽职守、徇私舞弊等行为的，学校将依法依</w:t>
      </w:r>
      <w:bookmarkStart w:id="157" w:name="OLE_LINK16"/>
      <w:bookmarkStart w:id="158" w:name="OLE_LINK17"/>
      <w:bookmarkStart w:id="159" w:name="OLE_LINK18"/>
      <w:r>
        <w:rPr>
          <w:rFonts w:hint="eastAsia" w:ascii="仿宋_GB2312" w:hAnsi="宋体" w:eastAsia="仿宋_GB2312" w:cs="宋体"/>
          <w:sz w:val="24"/>
          <w:szCs w:val="24"/>
        </w:rPr>
        <w:t>规</w:t>
      </w:r>
      <w:bookmarkEnd w:id="157"/>
      <w:bookmarkEnd w:id="158"/>
      <w:bookmarkEnd w:id="159"/>
      <w:r>
        <w:rPr>
          <w:rFonts w:hint="eastAsia" w:ascii="仿宋_GB2312" w:hAnsi="宋体" w:eastAsia="仿宋_GB2312" w:cs="宋体"/>
          <w:sz w:val="24"/>
          <w:szCs w:val="24"/>
        </w:rPr>
        <w:t>追究其相应责任。</w:t>
      </w:r>
    </w:p>
    <w:p>
      <w:pPr>
        <w:pStyle w:val="23"/>
        <w:shd w:val="clear" w:color="auto" w:fill="FFFFFF"/>
        <w:adjustRightInd w:val="0"/>
        <w:snapToGrid w:val="0"/>
        <w:spacing w:before="0" w:beforeAutospacing="0" w:after="0" w:afterAutospacing="0" w:line="560" w:lineRule="exact"/>
        <w:ind w:firstLine="482" w:firstLineChars="200"/>
        <w:jc w:val="both"/>
        <w:rPr>
          <w:rStyle w:val="28"/>
          <w:rFonts w:ascii="仿宋_GB2312" w:hAnsi="微软雅黑" w:eastAsia="仿宋_GB2312"/>
          <w:sz w:val="24"/>
          <w:szCs w:val="24"/>
        </w:rPr>
      </w:pPr>
      <w:r>
        <w:rPr>
          <w:rStyle w:val="28"/>
          <w:rFonts w:hint="eastAsia" w:ascii="仿宋_GB2312" w:hAnsi="微软雅黑" w:eastAsia="仿宋_GB2312"/>
          <w:sz w:val="24"/>
          <w:szCs w:val="24"/>
        </w:rPr>
        <w:t>　</w:t>
      </w:r>
    </w:p>
    <w:p>
      <w:pPr>
        <w:pStyle w:val="23"/>
        <w:shd w:val="clear" w:color="auto" w:fill="FFFFFF"/>
        <w:adjustRightInd w:val="0"/>
        <w:snapToGrid w:val="0"/>
        <w:spacing w:before="0" w:beforeAutospacing="0" w:after="0" w:afterAutospacing="0" w:line="560" w:lineRule="exact"/>
        <w:jc w:val="center"/>
        <w:rPr>
          <w:rStyle w:val="28"/>
          <w:rFonts w:ascii="黑体" w:hAnsi="黑体" w:eastAsia="黑体"/>
          <w:sz w:val="24"/>
          <w:szCs w:val="24"/>
        </w:rPr>
      </w:pPr>
      <w:r>
        <w:rPr>
          <w:rStyle w:val="28"/>
          <w:rFonts w:hint="eastAsia" w:ascii="黑体" w:hAnsi="黑体" w:eastAsia="黑体"/>
          <w:sz w:val="24"/>
          <w:szCs w:val="24"/>
        </w:rPr>
        <w:t xml:space="preserve">第七章 </w:t>
      </w:r>
      <w:r>
        <w:rPr>
          <w:rStyle w:val="28"/>
          <w:rFonts w:hint="eastAsia" w:ascii="微软雅黑" w:hAnsi="微软雅黑" w:eastAsia="黑体"/>
          <w:sz w:val="24"/>
          <w:szCs w:val="24"/>
        </w:rPr>
        <w:t> </w:t>
      </w:r>
      <w:r>
        <w:rPr>
          <w:rStyle w:val="28"/>
          <w:rFonts w:hint="eastAsia" w:ascii="黑体" w:hAnsi="黑体" w:eastAsia="黑体"/>
          <w:sz w:val="24"/>
          <w:szCs w:val="24"/>
        </w:rPr>
        <w:t>附则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b/>
          <w:sz w:val="24"/>
          <w:szCs w:val="24"/>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第四十七条</w:t>
      </w:r>
      <w:r>
        <w:rPr>
          <w:rFonts w:hint="eastAsia" w:ascii="仿宋_GB2312" w:hAnsi="微软雅黑" w:eastAsia="仿宋_GB2312"/>
          <w:sz w:val="24"/>
          <w:szCs w:val="24"/>
        </w:rPr>
        <w:t xml:space="preserve">  质疑函和投诉书应当使用中文。质疑和投诉文本采用我校制定的范本。</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第四十八条</w:t>
      </w:r>
      <w:r>
        <w:rPr>
          <w:rFonts w:hint="eastAsia" w:ascii="仿宋_GB2312" w:hAnsi="微软雅黑" w:eastAsia="仿宋_GB2312"/>
          <w:sz w:val="24"/>
          <w:szCs w:val="24"/>
        </w:rPr>
        <w:t xml:space="preserve">  本办法由学校国有资产管理处负责解释。</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 xml:space="preserve">第四十九条  </w:t>
      </w:r>
      <w:r>
        <w:rPr>
          <w:rFonts w:hint="eastAsia" w:ascii="仿宋_GB2312" w:hAnsi="微软雅黑" w:eastAsia="仿宋_GB2312"/>
          <w:sz w:val="24"/>
          <w:szCs w:val="24"/>
        </w:rPr>
        <w:t>本办法自发布之日起施行。</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宋体" w:hAnsi="宋体"/>
          <w:b/>
          <w:sz w:val="24"/>
          <w:szCs w:val="24"/>
        </w:rPr>
      </w:pPr>
      <w:r>
        <w:rPr>
          <w:rFonts w:hint="eastAsia" w:ascii="宋体" w:hAnsi="宋体"/>
          <w:b/>
          <w:sz w:val="24"/>
          <w:szCs w:val="24"/>
        </w:rPr>
        <w:t>附件2：</w:t>
      </w:r>
    </w:p>
    <w:p>
      <w:pPr>
        <w:jc w:val="center"/>
        <w:rPr>
          <w:rFonts w:ascii="仿宋" w:hAnsi="仿宋" w:eastAsia="仿宋" w:cs="仿宋"/>
          <w:b/>
          <w:bCs/>
          <w:sz w:val="24"/>
          <w:szCs w:val="24"/>
        </w:rPr>
      </w:pPr>
      <w:r>
        <w:rPr>
          <w:rFonts w:hint="eastAsia" w:ascii="仿宋" w:hAnsi="仿宋" w:eastAsia="仿宋" w:cs="仿宋"/>
          <w:b/>
          <w:bCs/>
          <w:sz w:val="24"/>
          <w:szCs w:val="24"/>
        </w:rPr>
        <w:t>质疑函范本</w:t>
      </w:r>
    </w:p>
    <w:p>
      <w:pPr>
        <w:adjustRightInd w:val="0"/>
        <w:snapToGrid w:val="0"/>
        <w:spacing w:before="312"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tabs>
          <w:tab w:val="left" w:pos="2175"/>
        </w:tabs>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r>
        <w:rPr>
          <w:rFonts w:ascii="仿宋" w:hAnsi="仿宋" w:eastAsia="仿宋" w:cs="仿宋"/>
          <w:sz w:val="24"/>
          <w:szCs w:val="24"/>
        </w:rPr>
        <w:tab/>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黑体" w:hAnsi="黑体" w:eastAsia="黑体"/>
          <w:b/>
          <w:sz w:val="32"/>
          <w:szCs w:val="32"/>
        </w:rPr>
      </w:pPr>
      <w:r>
        <w:rPr>
          <w:rFonts w:hint="eastAsia" w:ascii="黑体" w:hAnsi="黑体" w:eastAsia="黑体"/>
          <w:b/>
          <w:sz w:val="32"/>
          <w:szCs w:val="32"/>
        </w:rPr>
        <w:t>质疑函制作说明：</w:t>
      </w:r>
    </w:p>
    <w:p>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宋体" w:hAnsi="宋体"/>
          <w:b/>
          <w:sz w:val="30"/>
          <w:szCs w:val="30"/>
        </w:rPr>
      </w:pPr>
      <w:r>
        <w:rPr>
          <w:rFonts w:hint="eastAsia" w:ascii="宋体" w:hAnsi="宋体"/>
          <w:b/>
          <w:sz w:val="30"/>
          <w:szCs w:val="30"/>
        </w:rPr>
        <w:t>附件3：</w:t>
      </w:r>
    </w:p>
    <w:p>
      <w:pPr>
        <w:jc w:val="center"/>
        <w:rPr>
          <w:rFonts w:ascii="宋体" w:hAnsi="宋体"/>
          <w:b/>
          <w:sz w:val="24"/>
          <w:szCs w:val="24"/>
        </w:rPr>
      </w:pPr>
      <w:r>
        <w:rPr>
          <w:rFonts w:hint="eastAsia" w:ascii="宋体" w:hAnsi="宋体"/>
          <w:b/>
          <w:sz w:val="24"/>
          <w:szCs w:val="24"/>
        </w:rPr>
        <w:t>投诉书范本</w:t>
      </w:r>
    </w:p>
    <w:p>
      <w:pPr>
        <w:rPr>
          <w:rFonts w:ascii="黑体" w:hAnsi="黑体" w:eastAsia="黑体"/>
          <w:sz w:val="24"/>
          <w:szCs w:val="24"/>
        </w:rPr>
      </w:pPr>
      <w:r>
        <w:rPr>
          <w:rFonts w:hint="eastAsia" w:ascii="黑体" w:hAnsi="黑体" w:eastAsia="黑体"/>
          <w:sz w:val="24"/>
          <w:szCs w:val="24"/>
        </w:rPr>
        <w:t>一、投诉相关主体基本情况</w:t>
      </w:r>
    </w:p>
    <w:p>
      <w:pPr>
        <w:rPr>
          <w:rFonts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jc w:val="left"/>
        <w:rPr>
          <w:rFonts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rPr>
          <w:rFonts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rPr>
      </w:pPr>
      <w:r>
        <w:rPr>
          <w:rFonts w:hint="eastAsia" w:ascii="仿宋_GB2312" w:eastAsia="仿宋_GB2312"/>
          <w:sz w:val="24"/>
          <w:szCs w:val="24"/>
        </w:rPr>
        <w:t>被投诉人2</w:t>
      </w:r>
    </w:p>
    <w:p>
      <w:pPr>
        <w:rPr>
          <w:rFonts w:ascii="仿宋_GB2312" w:eastAsia="仿宋_GB2312"/>
          <w:sz w:val="24"/>
          <w:szCs w:val="24"/>
          <w:u w:val="dotted"/>
        </w:rPr>
      </w:pPr>
      <w:r>
        <w:rPr>
          <w:rFonts w:hint="eastAsia" w:ascii="仿宋_GB2312" w:eastAsia="仿宋_GB2312"/>
          <w:sz w:val="24"/>
          <w:szCs w:val="24"/>
        </w:rPr>
        <w:t>……</w:t>
      </w:r>
    </w:p>
    <w:p>
      <w:pPr>
        <w:rPr>
          <w:rFonts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黑体" w:hAnsi="黑体" w:eastAsia="黑体"/>
          <w:sz w:val="24"/>
          <w:szCs w:val="24"/>
        </w:rPr>
      </w:pPr>
      <w:r>
        <w:rPr>
          <w:rFonts w:hint="eastAsia" w:ascii="黑体" w:hAnsi="黑体" w:eastAsia="黑体"/>
          <w:sz w:val="24"/>
          <w:szCs w:val="24"/>
        </w:rPr>
        <w:t>二、投诉项目基本情况</w:t>
      </w:r>
    </w:p>
    <w:p>
      <w:pPr>
        <w:rPr>
          <w:rFonts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黑体" w:hAnsi="黑体" w:eastAsia="黑体"/>
          <w:sz w:val="24"/>
          <w:szCs w:val="24"/>
        </w:rPr>
      </w:pPr>
      <w:r>
        <w:rPr>
          <w:rFonts w:hint="eastAsia" w:ascii="黑体" w:hAnsi="黑体" w:eastAsia="黑体"/>
          <w:sz w:val="24"/>
          <w:szCs w:val="24"/>
        </w:rPr>
        <w:t>三、质疑基本情况</w:t>
      </w:r>
    </w:p>
    <w:p>
      <w:pPr>
        <w:ind w:firstLine="480" w:firstLineChars="200"/>
        <w:rPr>
          <w:rFonts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ind w:firstLine="360" w:firstLineChars="150"/>
        <w:rPr>
          <w:rFonts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rPr>
          <w:rFonts w:ascii="黑体" w:hAnsi="黑体" w:eastAsia="黑体"/>
          <w:sz w:val="24"/>
          <w:szCs w:val="24"/>
        </w:rPr>
      </w:pPr>
      <w:r>
        <w:rPr>
          <w:rFonts w:hint="eastAsia" w:ascii="黑体" w:hAnsi="黑体" w:eastAsia="黑体"/>
          <w:sz w:val="24"/>
          <w:szCs w:val="24"/>
        </w:rPr>
        <w:t>四、投诉事项具体内容</w:t>
      </w:r>
    </w:p>
    <w:p>
      <w:pPr>
        <w:rPr>
          <w:rFonts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投诉事项2</w:t>
      </w:r>
    </w:p>
    <w:p>
      <w:pPr>
        <w:rPr>
          <w:rFonts w:ascii="仿宋_GB2312" w:eastAsia="仿宋_GB2312"/>
          <w:sz w:val="24"/>
          <w:szCs w:val="24"/>
          <w:u w:val="dotted"/>
        </w:rPr>
      </w:pPr>
      <w:r>
        <w:rPr>
          <w:rFonts w:hint="eastAsia" w:ascii="仿宋_GB2312" w:eastAsia="仿宋_GB2312"/>
          <w:sz w:val="24"/>
          <w:szCs w:val="24"/>
        </w:rPr>
        <w:t>……</w:t>
      </w:r>
    </w:p>
    <w:p>
      <w:pPr>
        <w:rPr>
          <w:rFonts w:ascii="黑体" w:hAnsi="黑体" w:eastAsia="黑体"/>
          <w:sz w:val="24"/>
          <w:szCs w:val="24"/>
        </w:rPr>
      </w:pPr>
      <w:r>
        <w:rPr>
          <w:rFonts w:hint="eastAsia" w:ascii="黑体" w:hAnsi="黑体" w:eastAsia="黑体"/>
          <w:sz w:val="24"/>
          <w:szCs w:val="24"/>
        </w:rPr>
        <w:t>五、与投诉事项相关的投诉请求</w:t>
      </w:r>
    </w:p>
    <w:p>
      <w:pPr>
        <w:rPr>
          <w:rFonts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rPr>
          <w:rFonts w:ascii="仿宋_GB2312" w:eastAsia="仿宋_GB2312"/>
          <w:sz w:val="24"/>
          <w:szCs w:val="24"/>
          <w:u w:val="single"/>
        </w:rPr>
      </w:pPr>
      <w:r>
        <w:rPr>
          <w:rFonts w:hint="eastAsia" w:ascii="仿宋_GB2312" w:eastAsia="仿宋_GB2312"/>
          <w:sz w:val="24"/>
          <w:szCs w:val="24"/>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rPr>
          <w:rFonts w:ascii="黑体" w:hAnsi="黑体" w:eastAsia="黑体"/>
          <w:b/>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480" w:firstLineChars="200"/>
        <w:rPr>
          <w:rFonts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3.投诉人若对项目的某一分包进行投诉，投诉书应列明具体分包号。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pPr>
        <w:widowControl/>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pPr>
        <w:adjustRightInd w:val="0"/>
        <w:snapToGrid w:val="0"/>
        <w:spacing w:line="360" w:lineRule="auto"/>
        <w:jc w:val="left"/>
        <w:rPr>
          <w:rFonts w:ascii="宋体" w:hAnsi="宋体" w:cs="宋体"/>
          <w:b/>
          <w:bCs/>
          <w:kern w:val="36"/>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adjustRightInd w:val="0"/>
        <w:snapToGrid w:val="0"/>
        <w:spacing w:line="500" w:lineRule="atLeast"/>
        <w:ind w:right="520" w:firstLine="480" w:firstLineChars="200"/>
        <w:jc w:val="left"/>
        <w:rPr>
          <w:rFonts w:cs="宋体"/>
          <w:sz w:val="24"/>
          <w:szCs w:val="24"/>
          <w:shd w:val="clear" w:color="auto" w:fill="FFFFFF"/>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2"/>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3"/>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8"/>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OGU1NTJhMWM0ZjkzYmZmMWEzMGNhMDg5ZTE0YWE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3A01301"/>
    <w:rsid w:val="0432311F"/>
    <w:rsid w:val="04910E13"/>
    <w:rsid w:val="04E55E3A"/>
    <w:rsid w:val="055F6389"/>
    <w:rsid w:val="09296F01"/>
    <w:rsid w:val="09564F15"/>
    <w:rsid w:val="09A84CAA"/>
    <w:rsid w:val="09AC2920"/>
    <w:rsid w:val="0A4546CD"/>
    <w:rsid w:val="0A9D2C05"/>
    <w:rsid w:val="0C5D773D"/>
    <w:rsid w:val="0D7754CF"/>
    <w:rsid w:val="0D7E2A6A"/>
    <w:rsid w:val="0DA16FB4"/>
    <w:rsid w:val="0E7E3960"/>
    <w:rsid w:val="0ECE2C8D"/>
    <w:rsid w:val="107556EE"/>
    <w:rsid w:val="10A328AC"/>
    <w:rsid w:val="11097CFF"/>
    <w:rsid w:val="11A93BAF"/>
    <w:rsid w:val="12A869B3"/>
    <w:rsid w:val="162C38CF"/>
    <w:rsid w:val="17252284"/>
    <w:rsid w:val="177B58CD"/>
    <w:rsid w:val="18020BC4"/>
    <w:rsid w:val="18B051AF"/>
    <w:rsid w:val="18E70052"/>
    <w:rsid w:val="19254BEF"/>
    <w:rsid w:val="19DC3498"/>
    <w:rsid w:val="1A07319C"/>
    <w:rsid w:val="1A33516B"/>
    <w:rsid w:val="1B4F4CC3"/>
    <w:rsid w:val="1B7570E3"/>
    <w:rsid w:val="1BA211E7"/>
    <w:rsid w:val="1E2D6CC4"/>
    <w:rsid w:val="1F025BBE"/>
    <w:rsid w:val="1FD03D76"/>
    <w:rsid w:val="203877A5"/>
    <w:rsid w:val="20EB3EDD"/>
    <w:rsid w:val="21A428FD"/>
    <w:rsid w:val="228869AA"/>
    <w:rsid w:val="22C22324"/>
    <w:rsid w:val="23567244"/>
    <w:rsid w:val="236513B9"/>
    <w:rsid w:val="261507FA"/>
    <w:rsid w:val="26566759"/>
    <w:rsid w:val="27717DCB"/>
    <w:rsid w:val="281D1648"/>
    <w:rsid w:val="28574F87"/>
    <w:rsid w:val="28AF482A"/>
    <w:rsid w:val="291D580A"/>
    <w:rsid w:val="29674BDA"/>
    <w:rsid w:val="29831EC9"/>
    <w:rsid w:val="29913DEF"/>
    <w:rsid w:val="29B44350"/>
    <w:rsid w:val="2ADF5772"/>
    <w:rsid w:val="2B9343A5"/>
    <w:rsid w:val="2C231C3E"/>
    <w:rsid w:val="2C43766C"/>
    <w:rsid w:val="2D31750C"/>
    <w:rsid w:val="2DE634B9"/>
    <w:rsid w:val="2EDF550D"/>
    <w:rsid w:val="30C91186"/>
    <w:rsid w:val="31495EDE"/>
    <w:rsid w:val="31921319"/>
    <w:rsid w:val="31BC6863"/>
    <w:rsid w:val="32FA2CBE"/>
    <w:rsid w:val="338B35BF"/>
    <w:rsid w:val="34092461"/>
    <w:rsid w:val="34EF42C7"/>
    <w:rsid w:val="35EA3087"/>
    <w:rsid w:val="36607CEC"/>
    <w:rsid w:val="36EF1694"/>
    <w:rsid w:val="388443D5"/>
    <w:rsid w:val="38FB3C73"/>
    <w:rsid w:val="390659FB"/>
    <w:rsid w:val="390D1E7C"/>
    <w:rsid w:val="3A014C0D"/>
    <w:rsid w:val="3A3D3FD1"/>
    <w:rsid w:val="3B6A356D"/>
    <w:rsid w:val="3BAB4838"/>
    <w:rsid w:val="3BF1493F"/>
    <w:rsid w:val="3E2E563A"/>
    <w:rsid w:val="3E547D6D"/>
    <w:rsid w:val="3EA52FF6"/>
    <w:rsid w:val="3F2969DF"/>
    <w:rsid w:val="3F646DBC"/>
    <w:rsid w:val="43001B9C"/>
    <w:rsid w:val="44E0509A"/>
    <w:rsid w:val="457774F2"/>
    <w:rsid w:val="45C94FEF"/>
    <w:rsid w:val="462D2409"/>
    <w:rsid w:val="47C1249E"/>
    <w:rsid w:val="481B4427"/>
    <w:rsid w:val="485756B9"/>
    <w:rsid w:val="48835154"/>
    <w:rsid w:val="4939003C"/>
    <w:rsid w:val="4A010EEA"/>
    <w:rsid w:val="4CAC2800"/>
    <w:rsid w:val="4CFB5EE3"/>
    <w:rsid w:val="4D263AF9"/>
    <w:rsid w:val="4D4B074A"/>
    <w:rsid w:val="4EF26D89"/>
    <w:rsid w:val="4FC205E1"/>
    <w:rsid w:val="502C74D1"/>
    <w:rsid w:val="507C6DB1"/>
    <w:rsid w:val="50F02837"/>
    <w:rsid w:val="516F3CBE"/>
    <w:rsid w:val="517C5E2B"/>
    <w:rsid w:val="51C639B2"/>
    <w:rsid w:val="51F17F8E"/>
    <w:rsid w:val="52823DEE"/>
    <w:rsid w:val="52EC4B4A"/>
    <w:rsid w:val="53510242"/>
    <w:rsid w:val="54102DA0"/>
    <w:rsid w:val="54B565B4"/>
    <w:rsid w:val="5517751A"/>
    <w:rsid w:val="56194C24"/>
    <w:rsid w:val="56F05266"/>
    <w:rsid w:val="57350A15"/>
    <w:rsid w:val="575168F3"/>
    <w:rsid w:val="58732C56"/>
    <w:rsid w:val="594D5E25"/>
    <w:rsid w:val="59E14756"/>
    <w:rsid w:val="5A7E4E4D"/>
    <w:rsid w:val="5AB55191"/>
    <w:rsid w:val="5C957923"/>
    <w:rsid w:val="5CA42F27"/>
    <w:rsid w:val="5CE11CAD"/>
    <w:rsid w:val="5D0F5ABF"/>
    <w:rsid w:val="5DE021E2"/>
    <w:rsid w:val="5DFA5BF3"/>
    <w:rsid w:val="5E545B85"/>
    <w:rsid w:val="5F765DB0"/>
    <w:rsid w:val="622A6C63"/>
    <w:rsid w:val="62EF21DB"/>
    <w:rsid w:val="631D68AE"/>
    <w:rsid w:val="632D6F40"/>
    <w:rsid w:val="63AF1D1A"/>
    <w:rsid w:val="63F510AA"/>
    <w:rsid w:val="648E32AE"/>
    <w:rsid w:val="64A06B15"/>
    <w:rsid w:val="64D252BD"/>
    <w:rsid w:val="65412DFD"/>
    <w:rsid w:val="657F52AC"/>
    <w:rsid w:val="663A01C8"/>
    <w:rsid w:val="668B2466"/>
    <w:rsid w:val="66DB439B"/>
    <w:rsid w:val="66E003B2"/>
    <w:rsid w:val="6817729A"/>
    <w:rsid w:val="699E695C"/>
    <w:rsid w:val="69BF7E12"/>
    <w:rsid w:val="6B9C09D1"/>
    <w:rsid w:val="6C2E4C0D"/>
    <w:rsid w:val="6DA6798D"/>
    <w:rsid w:val="6DED4397"/>
    <w:rsid w:val="6F420D0F"/>
    <w:rsid w:val="701B5C41"/>
    <w:rsid w:val="71091718"/>
    <w:rsid w:val="71587B7E"/>
    <w:rsid w:val="7276222A"/>
    <w:rsid w:val="73197CE0"/>
    <w:rsid w:val="732A1BFA"/>
    <w:rsid w:val="73344FDD"/>
    <w:rsid w:val="73616E39"/>
    <w:rsid w:val="73C0694D"/>
    <w:rsid w:val="74A54B7B"/>
    <w:rsid w:val="751B270C"/>
    <w:rsid w:val="7532635D"/>
    <w:rsid w:val="768C17FB"/>
    <w:rsid w:val="77722493"/>
    <w:rsid w:val="79002FDD"/>
    <w:rsid w:val="7A2C2B5D"/>
    <w:rsid w:val="7A3C397B"/>
    <w:rsid w:val="7CBB28FC"/>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link w:val="47"/>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7">
    <w:name w:val="heading 2"/>
    <w:basedOn w:val="1"/>
    <w:next w:val="1"/>
    <w:link w:val="4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9"/>
    <w:qFormat/>
    <w:uiPriority w:val="9"/>
    <w:pPr>
      <w:keepNext/>
      <w:keepLines/>
      <w:spacing w:before="260" w:after="260" w:line="416" w:lineRule="auto"/>
      <w:outlineLvl w:val="2"/>
    </w:pPr>
    <w:rPr>
      <w:b/>
      <w:bCs/>
      <w:sz w:val="32"/>
      <w:szCs w:val="32"/>
    </w:rPr>
  </w:style>
  <w:style w:type="paragraph" w:styleId="9">
    <w:name w:val="heading 4"/>
    <w:basedOn w:val="1"/>
    <w:next w:val="1"/>
    <w:link w:val="50"/>
    <w:qFormat/>
    <w:uiPriority w:val="9"/>
    <w:pPr>
      <w:keepNext/>
      <w:keepLines/>
      <w:spacing w:before="280" w:after="290" w:line="376" w:lineRule="auto"/>
      <w:outlineLvl w:val="3"/>
    </w:pPr>
    <w:rPr>
      <w:rFonts w:ascii="Cambria" w:hAnsi="Cambria" w:eastAsia="宋体" w:cs="Times New Roman"/>
      <w:b/>
      <w:bCs/>
      <w:szCs w:val="28"/>
    </w:rPr>
  </w:style>
  <w:style w:type="paragraph" w:styleId="10">
    <w:name w:val="heading 5"/>
    <w:basedOn w:val="1"/>
    <w:next w:val="1"/>
    <w:link w:val="51"/>
    <w:qFormat/>
    <w:uiPriority w:val="9"/>
    <w:pPr>
      <w:keepNext/>
      <w:keepLines/>
      <w:spacing w:before="280" w:after="290" w:line="376" w:lineRule="auto"/>
      <w:outlineLvl w:val="4"/>
    </w:pPr>
    <w:rPr>
      <w:b/>
      <w:bCs/>
      <w:szCs w:val="28"/>
    </w:rPr>
  </w:style>
  <w:style w:type="paragraph" w:styleId="11">
    <w:name w:val="heading 6"/>
    <w:basedOn w:val="1"/>
    <w:next w:val="1"/>
    <w:link w:val="52"/>
    <w:qFormat/>
    <w:uiPriority w:val="9"/>
    <w:pPr>
      <w:keepNext/>
      <w:keepLines/>
      <w:spacing w:before="240" w:after="64" w:line="320" w:lineRule="auto"/>
      <w:outlineLvl w:val="5"/>
    </w:pPr>
    <w:rPr>
      <w:rFonts w:ascii="Cambria" w:hAnsi="Cambria" w:eastAsia="宋体" w:cs="Times New Roman"/>
      <w:b/>
      <w:bCs/>
      <w:sz w:val="24"/>
      <w:szCs w:val="24"/>
    </w:rPr>
  </w:style>
  <w:style w:type="paragraph" w:styleId="12">
    <w:name w:val="heading 7"/>
    <w:basedOn w:val="1"/>
    <w:next w:val="1"/>
    <w:link w:val="53"/>
    <w:qFormat/>
    <w:uiPriority w:val="9"/>
    <w:pPr>
      <w:keepNext/>
      <w:keepLines/>
      <w:spacing w:before="240" w:after="64" w:line="320" w:lineRule="auto"/>
      <w:outlineLvl w:val="6"/>
    </w:pPr>
    <w:rPr>
      <w:b/>
      <w:bCs/>
      <w:sz w:val="24"/>
      <w:szCs w:val="24"/>
    </w:rPr>
  </w:style>
  <w:style w:type="character" w:default="1" w:styleId="27">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46"/>
    <w:qFormat/>
    <w:uiPriority w:val="0"/>
    <w:pPr>
      <w:spacing w:line="200" w:lineRule="atLeast"/>
      <w:ind w:firstLine="301"/>
    </w:pPr>
    <w:rPr>
      <w:rFonts w:ascii="宋体" w:hAnsi="Courier New"/>
      <w:spacing w:val="-4"/>
      <w:kern w:val="0"/>
      <w:sz w:val="18"/>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style>
  <w:style w:type="paragraph" w:styleId="13">
    <w:name w:val="Normal Indent"/>
    <w:basedOn w:val="1"/>
    <w:qFormat/>
    <w:uiPriority w:val="0"/>
    <w:pPr>
      <w:ind w:firstLine="420"/>
    </w:pPr>
    <w:rPr>
      <w:rFonts w:ascii="Times New Roman" w:hAnsi="Times New Roman" w:cs="Times New Roman"/>
      <w:szCs w:val="20"/>
    </w:rPr>
  </w:style>
  <w:style w:type="paragraph" w:styleId="14">
    <w:name w:val="annotation text"/>
    <w:basedOn w:val="1"/>
    <w:qFormat/>
    <w:uiPriority w:val="0"/>
    <w:pPr>
      <w:jc w:val="left"/>
    </w:pPr>
    <w:rPr>
      <w:kern w:val="0"/>
      <w:sz w:val="21"/>
      <w:szCs w:val="21"/>
    </w:rPr>
  </w:style>
  <w:style w:type="paragraph" w:styleId="15">
    <w:name w:val="Plain Text"/>
    <w:basedOn w:val="1"/>
    <w:link w:val="54"/>
    <w:qFormat/>
    <w:uiPriority w:val="0"/>
    <w:pPr>
      <w:spacing w:beforeLines="50" w:afterLines="50" w:line="400" w:lineRule="atLeast"/>
    </w:pPr>
    <w:rPr>
      <w:rFonts w:ascii="宋体" w:hAnsi="Courier New"/>
      <w:kern w:val="0"/>
      <w:sz w:val="24"/>
    </w:rPr>
  </w:style>
  <w:style w:type="paragraph" w:styleId="16">
    <w:name w:val="Date"/>
    <w:basedOn w:val="1"/>
    <w:next w:val="1"/>
    <w:link w:val="55"/>
    <w:unhideWhenUsed/>
    <w:qFormat/>
    <w:uiPriority w:val="99"/>
    <w:pPr>
      <w:ind w:left="100" w:leftChars="2500"/>
    </w:pPr>
  </w:style>
  <w:style w:type="paragraph" w:styleId="17">
    <w:name w:val="Balloon Text"/>
    <w:basedOn w:val="1"/>
    <w:link w:val="56"/>
    <w:unhideWhenUsed/>
    <w:qFormat/>
    <w:uiPriority w:val="99"/>
    <w:rPr>
      <w:sz w:val="18"/>
      <w:szCs w:val="18"/>
    </w:rPr>
  </w:style>
  <w:style w:type="paragraph" w:styleId="18">
    <w:name w:val="footer"/>
    <w:basedOn w:val="1"/>
    <w:link w:val="57"/>
    <w:unhideWhenUsed/>
    <w:qFormat/>
    <w:uiPriority w:val="99"/>
    <w:pPr>
      <w:tabs>
        <w:tab w:val="center" w:pos="4153"/>
        <w:tab w:val="right" w:pos="8306"/>
      </w:tabs>
      <w:snapToGrid w:val="0"/>
      <w:jc w:val="left"/>
    </w:pPr>
    <w:rPr>
      <w:sz w:val="18"/>
      <w:szCs w:val="18"/>
    </w:rPr>
  </w:style>
  <w:style w:type="paragraph" w:styleId="19">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1">
    <w:name w:val="index 7"/>
    <w:basedOn w:val="1"/>
    <w:next w:val="1"/>
    <w:unhideWhenUsed/>
    <w:qFormat/>
    <w:uiPriority w:val="99"/>
    <w:pPr>
      <w:ind w:left="1200" w:leftChars="1200"/>
    </w:pPr>
  </w:style>
  <w:style w:type="paragraph" w:styleId="22">
    <w:name w:val="toc 2"/>
    <w:basedOn w:val="1"/>
    <w:next w:val="1"/>
    <w:unhideWhenUsed/>
    <w:qFormat/>
    <w:uiPriority w:val="39"/>
    <w:pPr>
      <w:ind w:left="420" w:leftChars="200"/>
    </w:pPr>
  </w:style>
  <w:style w:type="paragraph" w:styleId="23">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4">
    <w:name w:val="Title"/>
    <w:basedOn w:val="1"/>
    <w:next w:val="1"/>
    <w:link w:val="59"/>
    <w:qFormat/>
    <w:uiPriority w:val="10"/>
    <w:pPr>
      <w:spacing w:before="240" w:after="60"/>
      <w:jc w:val="center"/>
      <w:outlineLvl w:val="0"/>
    </w:pPr>
    <w:rPr>
      <w:rFonts w:ascii="Cambria" w:hAnsi="Cambria" w:cs="Times New Roman"/>
      <w:b/>
      <w:bCs/>
      <w:sz w:val="32"/>
      <w:szCs w:val="32"/>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basedOn w:val="27"/>
    <w:unhideWhenUsed/>
    <w:qFormat/>
    <w:uiPriority w:val="99"/>
    <w:rPr>
      <w:color w:val="0000FF"/>
      <w:u w:val="single"/>
    </w:rPr>
  </w:style>
  <w:style w:type="paragraph" w:styleId="30">
    <w:name w:val="List Paragraph"/>
    <w:basedOn w:val="1"/>
    <w:link w:val="62"/>
    <w:qFormat/>
    <w:uiPriority w:val="0"/>
    <w:pPr>
      <w:ind w:firstLine="420" w:firstLineChars="200"/>
    </w:pPr>
    <w:rPr>
      <w:kern w:val="0"/>
    </w:rPr>
  </w:style>
  <w:style w:type="paragraph" w:customStyle="1" w:styleId="31">
    <w:name w:val="正文 第一章"/>
    <w:basedOn w:val="1"/>
    <w:next w:val="32"/>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2">
    <w:name w:val="正文 1.1"/>
    <w:basedOn w:val="1"/>
    <w:next w:val="33"/>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3">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4">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5">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38">
    <w:name w:val="第四级"/>
    <w:basedOn w:val="1"/>
    <w:next w:val="37"/>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3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0">
    <w:name w:val="标题 2 New"/>
    <w:basedOn w:val="41"/>
    <w:next w:val="41"/>
    <w:qFormat/>
    <w:uiPriority w:val="0"/>
    <w:pPr>
      <w:keepNext/>
      <w:keepLines/>
      <w:spacing w:before="260" w:after="260" w:line="413" w:lineRule="auto"/>
      <w:outlineLvl w:val="1"/>
    </w:pPr>
    <w:rPr>
      <w:rFonts w:ascii="Arial" w:hAnsi="Arial" w:eastAsia="黑体"/>
      <w:b/>
      <w:bCs/>
      <w:sz w:val="32"/>
      <w:szCs w:val="32"/>
    </w:rPr>
  </w:style>
  <w:style w:type="paragraph" w:customStyle="1" w:styleId="4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Normal_0"/>
    <w:qFormat/>
    <w:uiPriority w:val="99"/>
    <w:rPr>
      <w:rFonts w:ascii="Calibri" w:hAnsi="Calibri" w:eastAsia="宋体" w:cs="Times New Roman"/>
      <w:sz w:val="24"/>
      <w:szCs w:val="24"/>
      <w:lang w:val="en-US" w:eastAsia="zh-CN" w:bidi="ar-SA"/>
    </w:rPr>
  </w:style>
  <w:style w:type="paragraph" w:customStyle="1" w:styleId="45">
    <w:name w:val="Default"/>
    <w:next w:val="22"/>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6">
    <w:name w:val="正文文本缩进 Char"/>
    <w:link w:val="3"/>
    <w:qFormat/>
    <w:locked/>
    <w:uiPriority w:val="0"/>
    <w:rPr>
      <w:rFonts w:ascii="宋体" w:hAnsi="Courier New" w:eastAsia="宋体"/>
      <w:spacing w:val="-4"/>
      <w:sz w:val="18"/>
    </w:rPr>
  </w:style>
  <w:style w:type="character" w:customStyle="1" w:styleId="47">
    <w:name w:val="标题 1 Char"/>
    <w:basedOn w:val="27"/>
    <w:link w:val="6"/>
    <w:qFormat/>
    <w:uiPriority w:val="0"/>
    <w:rPr>
      <w:rFonts w:ascii="宋体" w:hAnsi="Arial" w:eastAsia="黑体" w:cs="Times New Roman"/>
      <w:b/>
      <w:bCs/>
      <w:color w:val="000000"/>
      <w:kern w:val="44"/>
      <w:sz w:val="36"/>
      <w:szCs w:val="32"/>
    </w:rPr>
  </w:style>
  <w:style w:type="character" w:customStyle="1" w:styleId="48">
    <w:name w:val="标题 2 Char"/>
    <w:basedOn w:val="27"/>
    <w:link w:val="7"/>
    <w:semiHidden/>
    <w:qFormat/>
    <w:uiPriority w:val="9"/>
    <w:rPr>
      <w:rFonts w:ascii="Cambria" w:hAnsi="Cambria" w:eastAsia="宋体" w:cs="Times New Roman"/>
      <w:b/>
      <w:bCs/>
      <w:sz w:val="32"/>
      <w:szCs w:val="32"/>
    </w:rPr>
  </w:style>
  <w:style w:type="character" w:customStyle="1" w:styleId="49">
    <w:name w:val="标题 3 Char1"/>
    <w:basedOn w:val="27"/>
    <w:link w:val="8"/>
    <w:semiHidden/>
    <w:qFormat/>
    <w:uiPriority w:val="9"/>
    <w:rPr>
      <w:rFonts w:ascii="Times New Roman" w:hAnsi="Times New Roman" w:eastAsia="宋体" w:cs="Times New Roman"/>
      <w:b/>
      <w:bCs/>
      <w:sz w:val="32"/>
      <w:szCs w:val="32"/>
    </w:rPr>
  </w:style>
  <w:style w:type="character" w:customStyle="1" w:styleId="50">
    <w:name w:val="标题 4 Char"/>
    <w:basedOn w:val="27"/>
    <w:link w:val="9"/>
    <w:semiHidden/>
    <w:qFormat/>
    <w:uiPriority w:val="9"/>
    <w:rPr>
      <w:rFonts w:ascii="Cambria" w:hAnsi="Cambria" w:eastAsia="宋体" w:cs="Times New Roman"/>
      <w:b/>
      <w:bCs/>
      <w:sz w:val="28"/>
      <w:szCs w:val="28"/>
    </w:rPr>
  </w:style>
  <w:style w:type="character" w:customStyle="1" w:styleId="51">
    <w:name w:val="标题 5 Char"/>
    <w:basedOn w:val="27"/>
    <w:link w:val="10"/>
    <w:semiHidden/>
    <w:qFormat/>
    <w:uiPriority w:val="9"/>
    <w:rPr>
      <w:rFonts w:ascii="Times New Roman" w:hAnsi="Times New Roman" w:eastAsia="宋体" w:cs="Times New Roman"/>
      <w:b/>
      <w:bCs/>
      <w:sz w:val="28"/>
      <w:szCs w:val="28"/>
    </w:rPr>
  </w:style>
  <w:style w:type="character" w:customStyle="1" w:styleId="52">
    <w:name w:val="标题 6 Char"/>
    <w:basedOn w:val="27"/>
    <w:link w:val="11"/>
    <w:semiHidden/>
    <w:qFormat/>
    <w:uiPriority w:val="9"/>
    <w:rPr>
      <w:rFonts w:ascii="Cambria" w:hAnsi="Cambria" w:eastAsia="宋体" w:cs="Times New Roman"/>
      <w:b/>
      <w:bCs/>
      <w:sz w:val="24"/>
      <w:szCs w:val="24"/>
    </w:rPr>
  </w:style>
  <w:style w:type="character" w:customStyle="1" w:styleId="53">
    <w:name w:val="标题 7 Char"/>
    <w:basedOn w:val="27"/>
    <w:link w:val="12"/>
    <w:semiHidden/>
    <w:qFormat/>
    <w:uiPriority w:val="9"/>
    <w:rPr>
      <w:rFonts w:ascii="Times New Roman" w:hAnsi="Times New Roman" w:eastAsia="宋体" w:cs="Times New Roman"/>
      <w:b/>
      <w:bCs/>
      <w:sz w:val="24"/>
      <w:szCs w:val="24"/>
    </w:rPr>
  </w:style>
  <w:style w:type="character" w:customStyle="1" w:styleId="54">
    <w:name w:val="纯文本 Char1"/>
    <w:link w:val="15"/>
    <w:qFormat/>
    <w:uiPriority w:val="0"/>
    <w:rPr>
      <w:rFonts w:ascii="宋体" w:hAnsi="Courier New" w:eastAsia="宋体"/>
      <w:sz w:val="24"/>
    </w:rPr>
  </w:style>
  <w:style w:type="character" w:customStyle="1" w:styleId="55">
    <w:name w:val="日期 Char"/>
    <w:basedOn w:val="27"/>
    <w:link w:val="16"/>
    <w:semiHidden/>
    <w:qFormat/>
    <w:uiPriority w:val="99"/>
    <w:rPr>
      <w:rFonts w:ascii="Times New Roman" w:hAnsi="Times New Roman" w:eastAsia="宋体" w:cs="Times New Roman"/>
      <w:sz w:val="28"/>
      <w:szCs w:val="20"/>
    </w:rPr>
  </w:style>
  <w:style w:type="character" w:customStyle="1" w:styleId="56">
    <w:name w:val="批注框文本 Char"/>
    <w:basedOn w:val="27"/>
    <w:link w:val="17"/>
    <w:semiHidden/>
    <w:qFormat/>
    <w:uiPriority w:val="99"/>
    <w:rPr>
      <w:rFonts w:ascii="Times New Roman" w:hAnsi="Times New Roman" w:eastAsia="宋体" w:cs="Times New Roman"/>
      <w:sz w:val="18"/>
      <w:szCs w:val="18"/>
    </w:rPr>
  </w:style>
  <w:style w:type="character" w:customStyle="1" w:styleId="57">
    <w:name w:val="页脚 Char"/>
    <w:basedOn w:val="27"/>
    <w:link w:val="18"/>
    <w:qFormat/>
    <w:uiPriority w:val="99"/>
    <w:rPr>
      <w:rFonts w:ascii="Times New Roman" w:hAnsi="Times New Roman" w:eastAsia="宋体" w:cs="Times New Roman"/>
      <w:sz w:val="18"/>
      <w:szCs w:val="18"/>
    </w:rPr>
  </w:style>
  <w:style w:type="character" w:customStyle="1" w:styleId="58">
    <w:name w:val="页眉 Char"/>
    <w:basedOn w:val="27"/>
    <w:link w:val="19"/>
    <w:semiHidden/>
    <w:qFormat/>
    <w:uiPriority w:val="99"/>
    <w:rPr>
      <w:rFonts w:ascii="Times New Roman" w:hAnsi="Times New Roman" w:eastAsia="宋体" w:cs="Times New Roman"/>
      <w:sz w:val="18"/>
      <w:szCs w:val="18"/>
    </w:rPr>
  </w:style>
  <w:style w:type="character" w:customStyle="1" w:styleId="59">
    <w:name w:val="标题 Char"/>
    <w:basedOn w:val="27"/>
    <w:link w:val="24"/>
    <w:qFormat/>
    <w:uiPriority w:val="10"/>
    <w:rPr>
      <w:rFonts w:ascii="Cambria" w:hAnsi="Cambria" w:eastAsia="宋体" w:cs="Times New Roman"/>
      <w:b/>
      <w:bCs/>
      <w:sz w:val="32"/>
      <w:szCs w:val="32"/>
    </w:rPr>
  </w:style>
  <w:style w:type="character" w:customStyle="1" w:styleId="60">
    <w:name w:val="正文文本缩进 Char1"/>
    <w:basedOn w:val="27"/>
    <w:semiHidden/>
    <w:qFormat/>
    <w:uiPriority w:val="99"/>
    <w:rPr>
      <w:rFonts w:ascii="Times New Roman" w:hAnsi="Times New Roman" w:eastAsia="宋体" w:cs="Times New Roman"/>
      <w:sz w:val="28"/>
      <w:szCs w:val="20"/>
    </w:rPr>
  </w:style>
  <w:style w:type="character" w:customStyle="1" w:styleId="61">
    <w:name w:val="纯文本 Char"/>
    <w:basedOn w:val="27"/>
    <w:semiHidden/>
    <w:qFormat/>
    <w:uiPriority w:val="99"/>
    <w:rPr>
      <w:rFonts w:ascii="宋体" w:hAnsi="Courier New" w:eastAsia="宋体" w:cs="Courier New"/>
      <w:szCs w:val="21"/>
    </w:rPr>
  </w:style>
  <w:style w:type="character" w:customStyle="1" w:styleId="62">
    <w:name w:val="列出段落 Char"/>
    <w:link w:val="30"/>
    <w:qFormat/>
    <w:locked/>
    <w:uiPriority w:val="0"/>
    <w:rPr>
      <w:rFonts w:ascii="Times New Roman" w:hAnsi="Times New Roman" w:eastAsia="宋体" w:cs="Times New Roman"/>
      <w:sz w:val="28"/>
      <w:szCs w:val="20"/>
    </w:rPr>
  </w:style>
  <w:style w:type="character" w:customStyle="1" w:styleId="63">
    <w:name w:val="正文 第五章 中间"/>
    <w:qFormat/>
    <w:uiPriority w:val="0"/>
    <w:rPr>
      <w:b/>
      <w:bCs/>
      <w:color w:val="000000"/>
      <w:sz w:val="32"/>
    </w:rPr>
  </w:style>
  <w:style w:type="character" w:customStyle="1" w:styleId="64">
    <w:name w:val="标题 3 Char"/>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48</Pages>
  <Words>18073</Words>
  <Characters>18640</Characters>
  <Lines>158</Lines>
  <Paragraphs>44</Paragraphs>
  <TotalTime>9</TotalTime>
  <ScaleCrop>false</ScaleCrop>
  <LinksUpToDate>false</LinksUpToDate>
  <CharactersWithSpaces>21632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2022-05-06T07:46:12Z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EC2D55065EE9410B8AC07D03BAF4E20B</vt:lpwstr>
  </property>
</Properties>
</file>