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 w:firstLineChars="50"/>
        <w:rPr>
          <w:rFonts w:hint="default" w:eastAsia="仿宋_GB2312"/>
          <w:snapToGrid w:val="0"/>
          <w:color w:val="FF0000"/>
          <w:sz w:val="30"/>
          <w:lang w:val="en-US" w:eastAsia="zh-CN"/>
        </w:rPr>
      </w:pPr>
      <w:r>
        <w:rPr>
          <w:rFonts w:hint="eastAsia" w:eastAsia="仿宋_GB2312"/>
          <w:snapToGrid w:val="0"/>
          <w:sz w:val="30"/>
        </w:rPr>
        <w:t>项目编号：WYGZ202</w:t>
      </w:r>
      <w:r>
        <w:rPr>
          <w:rFonts w:hint="eastAsia" w:eastAsia="仿宋_GB2312"/>
          <w:snapToGrid w:val="0"/>
          <w:sz w:val="30"/>
          <w:lang w:val="en-US" w:eastAsia="zh-CN"/>
        </w:rPr>
        <w:t>4047</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0" distR="0">
            <wp:extent cx="3319145" cy="714375"/>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382851414\FileRecv\皖南医学院.jpg"/>
                    <pic:cNvPicPr>
                      <a:picLocks noChangeAspect="1" noChangeArrowheads="1"/>
                    </pic:cNvPicPr>
                  </pic:nvPicPr>
                  <pic:blipFill>
                    <a:blip r:embed="rId5" cstate="print"/>
                    <a:srcRect/>
                    <a:stretch>
                      <a:fillRect/>
                    </a:stretch>
                  </pic:blipFill>
                  <pic:spPr>
                    <a:xfrm>
                      <a:off x="0" y="0"/>
                      <a:ext cx="3321553" cy="714879"/>
                    </a:xfrm>
                    <a:prstGeom prst="rect">
                      <a:avLst/>
                    </a:prstGeom>
                    <a:noFill/>
                    <a:ln w="9525">
                      <a:noFill/>
                      <a:miter lim="800000"/>
                      <a:headEnd/>
                      <a:tailEnd/>
                    </a:ln>
                  </pic:spPr>
                </pic:pic>
              </a:graphicData>
            </a:graphic>
          </wp:inline>
        </w:drawing>
      </w:r>
    </w:p>
    <w:p>
      <w:pPr>
        <w:jc w:val="center"/>
        <w:rPr>
          <w:rFonts w:ascii="华文中宋" w:hAnsi="华文中宋" w:eastAsia="华文中宋"/>
          <w:b/>
          <w:bCs/>
          <w:w w:val="90"/>
          <w:sz w:val="21"/>
          <w:szCs w:val="21"/>
        </w:rPr>
      </w:pPr>
    </w:p>
    <w:p>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w w:val="90"/>
          <w:sz w:val="48"/>
          <w:szCs w:val="48"/>
          <w:lang w:val="en-US" w:eastAsia="zh-CN"/>
        </w:rPr>
        <w:t>专利代理服务项目（化学材料与环境工程类别）</w:t>
      </w:r>
      <w:r>
        <w:rPr>
          <w:rFonts w:hint="eastAsia" w:asciiTheme="majorEastAsia" w:hAnsiTheme="majorEastAsia" w:eastAsiaTheme="majorEastAsia" w:cstheme="majorEastAsia"/>
          <w:b/>
          <w:bCs/>
          <w:sz w:val="52"/>
          <w:szCs w:val="52"/>
        </w:rPr>
        <w:t>磋商文件</w:t>
      </w:r>
    </w:p>
    <w:p>
      <w:pPr>
        <w:rPr>
          <w:rFonts w:ascii="仿宋_GB2312" w:eastAsia="仿宋_GB2312"/>
          <w:sz w:val="44"/>
          <w:szCs w:val="44"/>
        </w:rPr>
      </w:pPr>
    </w:p>
    <w:p>
      <w:pPr>
        <w:pStyle w:val="9"/>
        <w:rPr>
          <w:rFonts w:ascii="仿宋_GB2312" w:eastAsia="仿宋_GB2312"/>
          <w:sz w:val="44"/>
          <w:szCs w:val="44"/>
        </w:rPr>
      </w:pPr>
    </w:p>
    <w:p>
      <w:pPr>
        <w:pStyle w:val="9"/>
        <w:rPr>
          <w:rFonts w:ascii="仿宋_GB2312" w:eastAsia="仿宋_GB2312"/>
          <w:sz w:val="44"/>
          <w:szCs w:val="44"/>
        </w:rPr>
      </w:pPr>
    </w:p>
    <w:p>
      <w:pPr>
        <w:pStyle w:val="9"/>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4</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4</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pStyle w:val="23"/>
        <w:rPr>
          <w:rFonts w:hint="eastAsia"/>
        </w:rPr>
      </w:pPr>
    </w:p>
    <w:p>
      <w:pPr>
        <w:pStyle w:val="23"/>
        <w:rPr>
          <w:rFonts w:hint="eastAsia"/>
        </w:rPr>
      </w:pPr>
    </w:p>
    <w:p>
      <w:pPr>
        <w:pStyle w:val="23"/>
      </w:pPr>
      <w:r>
        <w:rPr>
          <w:rFonts w:hint="eastAsia"/>
        </w:rPr>
        <w:t>目  录</w:t>
      </w:r>
    </w:p>
    <w:p>
      <w:pPr>
        <w:pStyle w:val="23"/>
      </w:pPr>
    </w:p>
    <w:sdt>
      <w:sdtPr>
        <w:rPr>
          <w:rFonts w:ascii="Times New Roman" w:hAnsi="Times New Roman" w:eastAsia="宋体" w:cs="Times New Roman"/>
          <w:b w:val="0"/>
          <w:bCs w:val="0"/>
          <w:color w:val="auto"/>
          <w:kern w:val="2"/>
          <w:szCs w:val="20"/>
          <w:lang w:val="zh-CN"/>
        </w:rPr>
        <w:id w:val="3735165"/>
        <w:docPartObj>
          <w:docPartGallery w:val="Table of Contents"/>
          <w:docPartUnique/>
        </w:docPartObj>
      </w:sdtPr>
      <w:sdtEndPr>
        <w:rPr>
          <w:rFonts w:ascii="Times New Roman" w:hAnsi="Times New Roman" w:eastAsia="宋体" w:cs="Times New Roman"/>
          <w:b w:val="0"/>
          <w:bCs w:val="0"/>
          <w:color w:val="auto"/>
          <w:kern w:val="2"/>
          <w:szCs w:val="20"/>
          <w:lang w:val="en-US"/>
        </w:rPr>
      </w:sdtEndPr>
      <w:sdtContent>
        <w:p>
          <w:pPr>
            <w:pStyle w:val="65"/>
          </w:pPr>
        </w:p>
        <w:p>
          <w:pPr>
            <w:pStyle w:val="23"/>
            <w:jc w:val="both"/>
            <w:rPr>
              <w:rFonts w:asciiTheme="minorHAnsi" w:hAnsiTheme="minorHAnsi" w:eastAsiaTheme="minorEastAsia" w:cstheme="minorBidi"/>
              <w:b w:val="0"/>
              <w:sz w:val="28"/>
              <w:szCs w:val="28"/>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"_Toc516580569" </w:instrText>
          </w:r>
          <w:r>
            <w:fldChar w:fldCharType="separate"/>
          </w:r>
          <w:r>
            <w:rPr>
              <w:rStyle w:val="35"/>
              <w:rFonts w:hint="eastAsia"/>
              <w:b w:val="0"/>
              <w:sz w:val="28"/>
              <w:szCs w:val="28"/>
            </w:rPr>
            <w:t>第一章</w:t>
          </w:r>
          <w:r>
            <w:rPr>
              <w:rStyle w:val="35"/>
              <w:b w:val="0"/>
              <w:sz w:val="28"/>
              <w:szCs w:val="28"/>
            </w:rPr>
            <w:t xml:space="preserve">  </w:t>
          </w:r>
          <w:r>
            <w:rPr>
              <w:rStyle w:val="35"/>
              <w:rFonts w:hint="eastAsia"/>
              <w:b w:val="0"/>
              <w:sz w:val="28"/>
              <w:szCs w:val="28"/>
            </w:rPr>
            <w:t>磋商公告</w:t>
          </w:r>
          <w:r>
            <w:rPr>
              <w:b w:val="0"/>
              <w:sz w:val="28"/>
              <w:szCs w:val="28"/>
            </w:rPr>
            <w:tab/>
          </w:r>
          <w:r>
            <w:rPr>
              <w:b w:val="0"/>
              <w:sz w:val="28"/>
              <w:szCs w:val="28"/>
            </w:rPr>
            <w:fldChar w:fldCharType="begin"/>
          </w:r>
          <w:r>
            <w:rPr>
              <w:b w:val="0"/>
              <w:sz w:val="28"/>
              <w:szCs w:val="28"/>
            </w:rPr>
            <w:instrText xml:space="preserve"> PAGEREF _Toc516580569 \h </w:instrText>
          </w:r>
          <w:r>
            <w:rPr>
              <w:b w:val="0"/>
              <w:sz w:val="28"/>
              <w:szCs w:val="28"/>
            </w:rPr>
            <w:fldChar w:fldCharType="separate"/>
          </w:r>
          <w:r>
            <w:rPr>
              <w:b w:val="0"/>
              <w:sz w:val="28"/>
              <w:szCs w:val="28"/>
            </w:rPr>
            <w:t>1</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"_Toc516580570" </w:instrText>
          </w:r>
          <w:r>
            <w:fldChar w:fldCharType="separate"/>
          </w:r>
          <w:r>
            <w:rPr>
              <w:rStyle w:val="35"/>
              <w:rFonts w:hint="eastAsia"/>
              <w:b w:val="0"/>
              <w:sz w:val="28"/>
              <w:szCs w:val="28"/>
            </w:rPr>
            <w:t>第二章</w:t>
          </w:r>
          <w:r>
            <w:rPr>
              <w:rStyle w:val="35"/>
              <w:b w:val="0"/>
              <w:sz w:val="28"/>
              <w:szCs w:val="28"/>
            </w:rPr>
            <w:t xml:space="preserve">  </w:t>
          </w:r>
          <w:r>
            <w:rPr>
              <w:rStyle w:val="35"/>
              <w:rFonts w:hint="eastAsia"/>
              <w:b w:val="0"/>
              <w:sz w:val="28"/>
              <w:szCs w:val="28"/>
            </w:rPr>
            <w:t>磋商须知前附表</w:t>
          </w:r>
          <w:r>
            <w:rPr>
              <w:b w:val="0"/>
              <w:sz w:val="28"/>
              <w:szCs w:val="28"/>
            </w:rPr>
            <w:tab/>
          </w:r>
          <w:r>
            <w:rPr>
              <w:b w:val="0"/>
              <w:sz w:val="28"/>
              <w:szCs w:val="28"/>
            </w:rPr>
            <w:fldChar w:fldCharType="begin"/>
          </w:r>
          <w:r>
            <w:rPr>
              <w:b w:val="0"/>
              <w:sz w:val="28"/>
              <w:szCs w:val="28"/>
            </w:rPr>
            <w:instrText xml:space="preserve"> PAGEREF _Toc516580570 \h </w:instrText>
          </w:r>
          <w:r>
            <w:rPr>
              <w:b w:val="0"/>
              <w:sz w:val="28"/>
              <w:szCs w:val="28"/>
            </w:rPr>
            <w:fldChar w:fldCharType="separate"/>
          </w:r>
          <w:r>
            <w:rPr>
              <w:b w:val="0"/>
              <w:sz w:val="28"/>
              <w:szCs w:val="28"/>
            </w:rPr>
            <w:t>3</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"_Toc516580571" </w:instrText>
          </w:r>
          <w:r>
            <w:fldChar w:fldCharType="separate"/>
          </w:r>
          <w:r>
            <w:rPr>
              <w:rStyle w:val="35"/>
              <w:rFonts w:hint="eastAsia"/>
              <w:b w:val="0"/>
              <w:sz w:val="28"/>
              <w:szCs w:val="28"/>
            </w:rPr>
            <w:t>第三章</w:t>
          </w:r>
          <w:r>
            <w:rPr>
              <w:rStyle w:val="35"/>
              <w:b w:val="0"/>
              <w:sz w:val="28"/>
              <w:szCs w:val="28"/>
            </w:rPr>
            <w:t xml:space="preserve">  </w:t>
          </w:r>
          <w:r>
            <w:rPr>
              <w:rStyle w:val="35"/>
              <w:rFonts w:hint="eastAsia"/>
              <w:b w:val="0"/>
              <w:sz w:val="28"/>
              <w:szCs w:val="28"/>
            </w:rPr>
            <w:t>磋商须知</w:t>
          </w:r>
          <w:r>
            <w:rPr>
              <w:b w:val="0"/>
              <w:sz w:val="28"/>
              <w:szCs w:val="28"/>
            </w:rPr>
            <w:tab/>
          </w:r>
          <w:r>
            <w:rPr>
              <w:b w:val="0"/>
              <w:sz w:val="28"/>
              <w:szCs w:val="28"/>
            </w:rPr>
            <w:fldChar w:fldCharType="begin"/>
          </w:r>
          <w:r>
            <w:rPr>
              <w:b w:val="0"/>
              <w:sz w:val="28"/>
              <w:szCs w:val="28"/>
            </w:rPr>
            <w:instrText xml:space="preserve"> PAGEREF _Toc516580571 \h </w:instrText>
          </w:r>
          <w:r>
            <w:rPr>
              <w:b w:val="0"/>
              <w:sz w:val="28"/>
              <w:szCs w:val="28"/>
            </w:rPr>
            <w:fldChar w:fldCharType="separate"/>
          </w:r>
          <w:r>
            <w:rPr>
              <w:b w:val="0"/>
              <w:sz w:val="28"/>
              <w:szCs w:val="28"/>
            </w:rPr>
            <w:t>4</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"_Toc516580572" </w:instrText>
          </w:r>
          <w:r>
            <w:fldChar w:fldCharType="separate"/>
          </w:r>
          <w:r>
            <w:rPr>
              <w:rStyle w:val="35"/>
              <w:rFonts w:hint="eastAsia"/>
              <w:b w:val="0"/>
              <w:sz w:val="28"/>
              <w:szCs w:val="28"/>
            </w:rPr>
            <w:t>第四章</w:t>
          </w:r>
          <w:r>
            <w:rPr>
              <w:rStyle w:val="35"/>
              <w:b w:val="0"/>
              <w:sz w:val="28"/>
              <w:szCs w:val="28"/>
            </w:rPr>
            <w:t xml:space="preserve">  </w:t>
          </w:r>
          <w:r>
            <w:rPr>
              <w:rStyle w:val="35"/>
              <w:rFonts w:hint="eastAsia"/>
              <w:b w:val="0"/>
              <w:sz w:val="28"/>
              <w:szCs w:val="28"/>
            </w:rPr>
            <w:t>合同主要条款</w:t>
          </w:r>
          <w:r>
            <w:rPr>
              <w:b w:val="0"/>
              <w:sz w:val="28"/>
              <w:szCs w:val="28"/>
            </w:rPr>
            <w:tab/>
          </w:r>
          <w:r>
            <w:rPr>
              <w:b w:val="0"/>
              <w:sz w:val="28"/>
              <w:szCs w:val="28"/>
            </w:rPr>
            <w:fldChar w:fldCharType="begin"/>
          </w:r>
          <w:r>
            <w:rPr>
              <w:b w:val="0"/>
              <w:sz w:val="28"/>
              <w:szCs w:val="28"/>
            </w:rPr>
            <w:instrText xml:space="preserve"> PAGEREF _Toc516580572 \h </w:instrText>
          </w:r>
          <w:r>
            <w:rPr>
              <w:b w:val="0"/>
              <w:sz w:val="28"/>
              <w:szCs w:val="28"/>
            </w:rPr>
            <w:fldChar w:fldCharType="separate"/>
          </w:r>
          <w:r>
            <w:rPr>
              <w:b w:val="0"/>
              <w:sz w:val="28"/>
              <w:szCs w:val="28"/>
            </w:rPr>
            <w:t>12</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"_Toc516580573" </w:instrText>
          </w:r>
          <w:r>
            <w:fldChar w:fldCharType="separate"/>
          </w:r>
          <w:r>
            <w:rPr>
              <w:rStyle w:val="35"/>
              <w:rFonts w:hint="eastAsia"/>
              <w:b w:val="0"/>
              <w:sz w:val="28"/>
              <w:szCs w:val="28"/>
            </w:rPr>
            <w:t>第五章</w:t>
          </w:r>
          <w:r>
            <w:rPr>
              <w:rStyle w:val="35"/>
              <w:b w:val="0"/>
              <w:sz w:val="28"/>
              <w:szCs w:val="28"/>
            </w:rPr>
            <w:t xml:space="preserve">  </w:t>
          </w:r>
          <w:r>
            <w:rPr>
              <w:rStyle w:val="35"/>
              <w:rFonts w:hint="eastAsia"/>
              <w:b w:val="0"/>
              <w:sz w:val="28"/>
              <w:szCs w:val="28"/>
            </w:rPr>
            <w:t>项目需求</w:t>
          </w:r>
          <w:r>
            <w:rPr>
              <w:b w:val="0"/>
              <w:sz w:val="28"/>
              <w:szCs w:val="28"/>
            </w:rPr>
            <w:tab/>
          </w:r>
          <w:r>
            <w:rPr>
              <w:b w:val="0"/>
              <w:sz w:val="28"/>
              <w:szCs w:val="28"/>
            </w:rPr>
            <w:fldChar w:fldCharType="begin"/>
          </w:r>
          <w:r>
            <w:rPr>
              <w:b w:val="0"/>
              <w:sz w:val="28"/>
              <w:szCs w:val="28"/>
            </w:rPr>
            <w:instrText xml:space="preserve"> PAGEREF _Toc516580573 \h </w:instrText>
          </w:r>
          <w:r>
            <w:rPr>
              <w:b w:val="0"/>
              <w:sz w:val="28"/>
              <w:szCs w:val="28"/>
            </w:rPr>
            <w:fldChar w:fldCharType="separate"/>
          </w:r>
          <w:r>
            <w:rPr>
              <w:b w:val="0"/>
              <w:sz w:val="28"/>
              <w:szCs w:val="28"/>
            </w:rPr>
            <w:t>17</w:t>
          </w:r>
          <w:r>
            <w:rPr>
              <w:b w:val="0"/>
              <w:sz w:val="28"/>
              <w:szCs w:val="28"/>
            </w:rPr>
            <w:fldChar w:fldCharType="end"/>
          </w:r>
          <w:r>
            <w:rPr>
              <w:b w:val="0"/>
              <w:sz w:val="28"/>
              <w:szCs w:val="28"/>
            </w:rPr>
            <w:fldChar w:fldCharType="end"/>
          </w:r>
        </w:p>
        <w:p>
          <w:pPr>
            <w:pStyle w:val="23"/>
            <w:rPr>
              <w:rFonts w:asciiTheme="minorHAnsi" w:hAnsiTheme="minorHAnsi" w:cstheme="minorBidi"/>
              <w:b w:val="0"/>
              <w:sz w:val="28"/>
              <w:szCs w:val="28"/>
            </w:rPr>
          </w:pPr>
          <w:r>
            <w:fldChar w:fldCharType="begin"/>
          </w:r>
          <w:r>
            <w:instrText xml:space="preserve"> HYPERLINK \l "_Toc516580574" </w:instrText>
          </w:r>
          <w:r>
            <w:fldChar w:fldCharType="separate"/>
          </w:r>
          <w:r>
            <w:rPr>
              <w:rStyle w:val="35"/>
              <w:rFonts w:hint="eastAsia"/>
              <w:b w:val="0"/>
              <w:sz w:val="28"/>
              <w:szCs w:val="28"/>
            </w:rPr>
            <w:t>第六章</w:t>
          </w:r>
          <w:r>
            <w:rPr>
              <w:rStyle w:val="35"/>
              <w:b w:val="0"/>
              <w:sz w:val="28"/>
              <w:szCs w:val="28"/>
            </w:rPr>
            <w:t xml:space="preserve">  </w:t>
          </w:r>
          <w:r>
            <w:rPr>
              <w:rStyle w:val="35"/>
              <w:rFonts w:hint="eastAsia"/>
              <w:b w:val="0"/>
              <w:sz w:val="28"/>
              <w:szCs w:val="28"/>
            </w:rPr>
            <w:t>评分办法和评分细则</w:t>
          </w:r>
          <w:r>
            <w:rPr>
              <w:b w:val="0"/>
              <w:sz w:val="28"/>
              <w:szCs w:val="28"/>
            </w:rPr>
            <w:tab/>
          </w:r>
          <w:r>
            <w:rPr>
              <w:rFonts w:hint="eastAsia"/>
              <w:b w:val="0"/>
              <w:sz w:val="28"/>
              <w:szCs w:val="28"/>
            </w:rPr>
            <w:t>2</w:t>
          </w:r>
          <w:r>
            <w:rPr>
              <w:rFonts w:hint="eastAsia"/>
              <w:b w:val="0"/>
              <w:sz w:val="28"/>
              <w:szCs w:val="28"/>
            </w:rPr>
            <w:fldChar w:fldCharType="end"/>
          </w:r>
          <w:r>
            <w:rPr>
              <w:rFonts w:hint="eastAsia"/>
              <w:b w:val="0"/>
              <w:sz w:val="28"/>
              <w:szCs w:val="28"/>
            </w:rPr>
            <w:t>0</w:t>
          </w:r>
        </w:p>
        <w:p>
          <w:pPr>
            <w:pStyle w:val="23"/>
            <w:jc w:val="both"/>
            <w:rPr>
              <w:rFonts w:asciiTheme="minorHAnsi" w:hAnsiTheme="minorHAnsi" w:eastAsiaTheme="minorEastAsia" w:cstheme="minorBidi"/>
              <w:b w:val="0"/>
              <w:sz w:val="21"/>
              <w:szCs w:val="22"/>
            </w:rPr>
          </w:pPr>
          <w:r>
            <w:fldChar w:fldCharType="begin"/>
          </w:r>
          <w:r>
            <w:instrText xml:space="preserve"> HYPERLINK \l "_Toc516580575" </w:instrText>
          </w:r>
          <w:r>
            <w:fldChar w:fldCharType="separate"/>
          </w:r>
          <w:r>
            <w:rPr>
              <w:rStyle w:val="35"/>
              <w:rFonts w:hint="eastAsia"/>
              <w:b w:val="0"/>
              <w:sz w:val="28"/>
              <w:szCs w:val="28"/>
            </w:rPr>
            <w:t>第七章</w:t>
          </w:r>
          <w:r>
            <w:rPr>
              <w:rStyle w:val="35"/>
              <w:b w:val="0"/>
              <w:sz w:val="28"/>
              <w:szCs w:val="28"/>
            </w:rPr>
            <w:t xml:space="preserve">  </w:t>
          </w:r>
          <w:r>
            <w:rPr>
              <w:rStyle w:val="35"/>
              <w:rFonts w:hint="eastAsia"/>
              <w:b w:val="0"/>
              <w:sz w:val="28"/>
              <w:szCs w:val="28"/>
            </w:rPr>
            <w:t>响应文件格式</w:t>
          </w:r>
          <w:r>
            <w:rPr>
              <w:b w:val="0"/>
              <w:sz w:val="28"/>
              <w:szCs w:val="28"/>
            </w:rPr>
            <w:tab/>
          </w:r>
          <w:r>
            <w:rPr>
              <w:b w:val="0"/>
              <w:sz w:val="28"/>
              <w:szCs w:val="28"/>
            </w:rPr>
            <w:fldChar w:fldCharType="begin"/>
          </w:r>
          <w:r>
            <w:rPr>
              <w:b w:val="0"/>
              <w:sz w:val="28"/>
              <w:szCs w:val="28"/>
            </w:rPr>
            <w:instrText xml:space="preserve"> PAGEREF _Toc516580575 \h </w:instrText>
          </w:r>
          <w:r>
            <w:rPr>
              <w:b w:val="0"/>
              <w:sz w:val="28"/>
              <w:szCs w:val="28"/>
            </w:rPr>
            <w:fldChar w:fldCharType="separate"/>
          </w:r>
          <w:r>
            <w:rPr>
              <w:b w:val="0"/>
              <w:sz w:val="28"/>
              <w:szCs w:val="28"/>
            </w:rPr>
            <w:t>20</w:t>
          </w:r>
          <w:r>
            <w:rPr>
              <w:b w:val="0"/>
              <w:sz w:val="28"/>
              <w:szCs w:val="28"/>
            </w:rPr>
            <w:fldChar w:fldCharType="end"/>
          </w:r>
          <w:r>
            <w:rPr>
              <w:b w:val="0"/>
              <w:sz w:val="28"/>
              <w:szCs w:val="28"/>
            </w:rPr>
            <w:fldChar w:fldCharType="end"/>
          </w:r>
        </w:p>
        <w:p>
          <w:r>
            <w:rPr>
              <w:rFonts w:hint="eastAsia" w:ascii="仿宋_GB2312" w:eastAsia="仿宋_GB2312"/>
              <w:sz w:val="32"/>
              <w:szCs w:val="32"/>
            </w:rPr>
            <w:fldChar w:fldCharType="end"/>
          </w:r>
        </w:p>
      </w:sdtContent>
    </w:sdt>
    <w:p>
      <w:pPr>
        <w:adjustRightInd w:val="0"/>
        <w:snapToGrid w:val="0"/>
        <w:jc w:val="center"/>
        <w:rPr>
          <w:rFonts w:ascii="仿宋_GB2312" w:hAnsi="仿宋_GB2312" w:eastAsia="仿宋_GB2312" w:cs="仿宋_GB2312"/>
          <w:b/>
          <w:sz w:val="30"/>
          <w:szCs w:val="30"/>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425" w:num="1"/>
          <w:docGrid w:type="lines" w:linePitch="312" w:charSpace="0"/>
        </w:sectPr>
      </w:pPr>
    </w:p>
    <w:p>
      <w:pPr>
        <w:pStyle w:val="2"/>
        <w:snapToGrid w:val="0"/>
        <w:spacing w:before="100" w:beforeAutospacing="1" w:after="100" w:afterAutospacing="1" w:line="500" w:lineRule="atLeast"/>
        <w:ind w:left="947" w:firstLine="0"/>
        <w:jc w:val="center"/>
        <w:rPr>
          <w:rFonts w:hint="eastAsia" w:ascii="宋体" w:hAnsi="宋体" w:eastAsia="宋体" w:cs="宋体"/>
          <w:szCs w:val="21"/>
        </w:rPr>
      </w:pPr>
      <w:bookmarkStart w:id="0" w:name="_Toc516580569"/>
      <w:bookmarkStart w:id="1" w:name="_Toc479170299"/>
      <w:r>
        <w:rPr>
          <w:rFonts w:hint="eastAsia" w:ascii="宋体" w:hAnsi="宋体" w:eastAsia="宋体" w:cs="宋体"/>
          <w:szCs w:val="21"/>
        </w:rPr>
        <w:t>第一章  磋商公告</w:t>
      </w:r>
      <w:bookmarkEnd w:id="0"/>
      <w:bookmarkEnd w:id="1"/>
    </w:p>
    <w:p>
      <w:pPr>
        <w:adjustRightInd w:val="0"/>
        <w:snapToGrid w:val="0"/>
        <w:spacing w:line="500" w:lineRule="atLeast"/>
        <w:ind w:firstLine="529" w:firstLineChars="189"/>
        <w:rPr>
          <w:rFonts w:ascii="仿宋_GB2312" w:eastAsia="仿宋_GB2312"/>
          <w:szCs w:val="28"/>
        </w:rPr>
      </w:pPr>
      <w:bookmarkStart w:id="2" w:name="OLE_LINK21"/>
      <w:bookmarkStart w:id="3" w:name="OLE_LINK22"/>
      <w:r>
        <w:rPr>
          <w:rFonts w:hint="eastAsia" w:ascii="仿宋_GB2312" w:eastAsia="仿宋_GB2312"/>
          <w:szCs w:val="28"/>
          <w:lang w:eastAsia="zh-CN"/>
        </w:rPr>
        <w:t>皖南医学院专利代理服务项目（化学材料与环境工程类别）</w:t>
      </w:r>
      <w:r>
        <w:rPr>
          <w:rFonts w:hint="eastAsia" w:ascii="仿宋_GB2312" w:eastAsia="仿宋_GB2312"/>
          <w:szCs w:val="28"/>
        </w:rPr>
        <w:t>采取磋商的方式进行采购，现邀请符合资质条件的供应商参加投标和磋商。具体情况如下：</w:t>
      </w:r>
    </w:p>
    <w:p>
      <w:pPr>
        <w:adjustRightInd w:val="0"/>
        <w:snapToGrid w:val="0"/>
        <w:spacing w:line="500" w:lineRule="atLeast"/>
        <w:ind w:firstLine="534" w:firstLineChars="190"/>
        <w:rPr>
          <w:rFonts w:ascii="仿宋_GB2312" w:eastAsia="仿宋_GB2312"/>
          <w:szCs w:val="28"/>
        </w:rPr>
      </w:pPr>
      <w:r>
        <w:rPr>
          <w:rFonts w:hint="eastAsia" w:ascii="仿宋_GB2312" w:eastAsia="仿宋_GB2312"/>
          <w:b/>
          <w:szCs w:val="28"/>
        </w:rPr>
        <w:t>一、项目概况</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（一）项目名称：</w:t>
      </w:r>
      <w:r>
        <w:rPr>
          <w:rFonts w:hint="eastAsia" w:ascii="仿宋_GB2312" w:eastAsia="仿宋_GB2312"/>
          <w:szCs w:val="28"/>
          <w:lang w:eastAsia="zh-CN"/>
        </w:rPr>
        <w:t>皖南医学院专利代理服务项目（化学材料与环境工程类别）</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（二）项目编号：WYGZ202</w:t>
      </w:r>
      <w:r>
        <w:rPr>
          <w:rFonts w:hint="eastAsia" w:ascii="仿宋_GB2312" w:eastAsia="仿宋_GB2312"/>
          <w:szCs w:val="28"/>
          <w:lang w:val="en-US" w:eastAsia="zh-CN"/>
        </w:rPr>
        <w:t>4047</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（三）项目预算：</w:t>
      </w:r>
      <w:r>
        <w:rPr>
          <w:rFonts w:hint="eastAsia" w:ascii="仿宋_GB2312" w:eastAsia="仿宋_GB2312"/>
          <w:szCs w:val="28"/>
          <w:lang w:val="en-US" w:eastAsia="zh-CN"/>
        </w:rPr>
        <w:t>10万元/年，共3年</w:t>
      </w:r>
      <w:r>
        <w:rPr>
          <w:rFonts w:hint="eastAsia" w:ascii="仿宋_GB2312" w:eastAsia="仿宋_GB2312"/>
          <w:szCs w:val="28"/>
        </w:rPr>
        <w:t>；</w:t>
      </w:r>
    </w:p>
    <w:p>
      <w:pPr>
        <w:adjustRightInd w:val="0"/>
        <w:snapToGrid w:val="0"/>
        <w:spacing w:line="500" w:lineRule="atLeast"/>
        <w:ind w:left="1428" w:leftChars="200" w:hanging="868" w:hangingChars="310"/>
        <w:rPr>
          <w:rFonts w:ascii="仿宋_GB2312" w:eastAsia="仿宋_GB2312"/>
          <w:sz w:val="30"/>
          <w:szCs w:val="30"/>
        </w:rPr>
      </w:pPr>
      <w:r>
        <w:rPr>
          <w:rFonts w:hint="eastAsia" w:ascii="仿宋_GB2312" w:eastAsia="仿宋_GB2312"/>
          <w:szCs w:val="28"/>
        </w:rPr>
        <w:t>（四）项目内容：（详见磋商文件）。</w:t>
      </w:r>
    </w:p>
    <w:p>
      <w:pPr>
        <w:adjustRightInd w:val="0"/>
        <w:snapToGrid w:val="0"/>
        <w:spacing w:line="500" w:lineRule="atLeast"/>
        <w:ind w:firstLine="562" w:firstLineChars="200"/>
        <w:rPr>
          <w:rFonts w:ascii="仿宋_GB2312" w:eastAsia="仿宋_GB2312"/>
          <w:szCs w:val="28"/>
        </w:rPr>
      </w:pPr>
      <w:r>
        <w:rPr>
          <w:rFonts w:hint="eastAsia" w:ascii="仿宋_GB2312" w:eastAsia="仿宋_GB2312"/>
          <w:b/>
          <w:szCs w:val="28"/>
        </w:rPr>
        <w:t>二、投标资质</w:t>
      </w:r>
      <w:r>
        <w:rPr>
          <w:rFonts w:hint="eastAsia" w:ascii="仿宋_GB2312" w:eastAsia="仿宋_GB2312"/>
          <w:szCs w:val="28"/>
        </w:rPr>
        <w:t>：</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1.具有独立承担民事责任的能力；</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2.具有良好的商业信誉和健全的财务会计制度；</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3.具有履行合同所必需的设备和专业技术能力;</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4.本项目不接受联合体投标；</w:t>
      </w:r>
    </w:p>
    <w:p>
      <w:pPr>
        <w:adjustRightInd w:val="0"/>
        <w:snapToGrid w:val="0"/>
        <w:spacing w:line="500" w:lineRule="atLeast"/>
        <w:ind w:firstLine="562" w:firstLineChars="200"/>
        <w:rPr>
          <w:rFonts w:ascii="仿宋_GB2312" w:hAnsi="宋体" w:eastAsia="仿宋_GB2312" w:cs="宋体"/>
          <w:b/>
          <w:szCs w:val="28"/>
          <w:lang w:val="zh-CN"/>
        </w:rPr>
      </w:pPr>
      <w:r>
        <w:rPr>
          <w:rFonts w:hint="eastAsia" w:ascii="仿宋_GB2312" w:hAnsi="宋体" w:eastAsia="仿宋_GB2312" w:cs="宋体"/>
          <w:b/>
          <w:szCs w:val="28"/>
        </w:rPr>
        <w:t>三</w:t>
      </w:r>
      <w:r>
        <w:rPr>
          <w:rFonts w:hint="eastAsia" w:ascii="仿宋_GB2312" w:hAnsi="宋体" w:eastAsia="仿宋_GB2312" w:cs="宋体"/>
          <w:b/>
          <w:szCs w:val="28"/>
          <w:lang w:val="zh-CN"/>
        </w:rPr>
        <w:t>、</w:t>
      </w:r>
      <w:r>
        <w:rPr>
          <w:rFonts w:hint="eastAsia" w:ascii="仿宋_GB2312" w:hAnsi="宋体" w:eastAsia="仿宋_GB2312" w:cs="宋体"/>
          <w:b/>
          <w:szCs w:val="28"/>
          <w:lang w:val="en-US" w:eastAsia="zh-CN"/>
        </w:rPr>
        <w:t>文件获取</w:t>
      </w:r>
      <w:r>
        <w:rPr>
          <w:rFonts w:hint="eastAsia" w:ascii="仿宋_GB2312" w:hAnsi="宋体" w:eastAsia="仿宋_GB2312" w:cs="宋体"/>
          <w:b/>
          <w:szCs w:val="28"/>
          <w:lang w:val="zh-CN"/>
        </w:rPr>
        <w:t>时间及方式：</w:t>
      </w:r>
    </w:p>
    <w:p>
      <w:pPr>
        <w:adjustRightInd w:val="0"/>
        <w:snapToGrid w:val="0"/>
        <w:spacing w:line="500" w:lineRule="atLeast"/>
        <w:ind w:firstLine="529" w:firstLineChars="189"/>
        <w:rPr>
          <w:rFonts w:ascii="仿宋_GB2312" w:hAnsi="宋体" w:eastAsia="仿宋_GB2312" w:cs="宋体"/>
          <w:szCs w:val="28"/>
          <w:lang w:val="zh-CN"/>
        </w:rPr>
      </w:pPr>
      <w:r>
        <w:rPr>
          <w:rFonts w:hint="eastAsia" w:ascii="仿宋_GB2312" w:hAnsi="宋体" w:eastAsia="仿宋_GB2312" w:cs="宋体"/>
          <w:szCs w:val="28"/>
          <w:lang w:val="zh-CN"/>
        </w:rPr>
        <w:t>（一）</w:t>
      </w:r>
      <w:r>
        <w:rPr>
          <w:rFonts w:hint="eastAsia" w:ascii="仿宋_GB2312" w:hAnsi="宋体" w:eastAsia="仿宋_GB2312" w:cs="宋体"/>
          <w:szCs w:val="28"/>
          <w:lang w:val="en-US" w:eastAsia="zh-CN"/>
        </w:rPr>
        <w:t>文件获取</w:t>
      </w:r>
      <w:r>
        <w:rPr>
          <w:rFonts w:hint="eastAsia" w:ascii="仿宋_GB2312" w:hAnsi="宋体" w:eastAsia="仿宋_GB2312" w:cs="宋体"/>
          <w:szCs w:val="28"/>
          <w:lang w:val="zh-CN"/>
        </w:rPr>
        <w:t>时间：202</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24</w:t>
      </w:r>
      <w:r>
        <w:rPr>
          <w:rFonts w:hint="eastAsia" w:ascii="仿宋_GB2312" w:hAnsi="宋体" w:eastAsia="仿宋_GB2312" w:cs="宋体"/>
          <w:szCs w:val="28"/>
          <w:lang w:val="zh-CN"/>
        </w:rPr>
        <w:t>日9：00-202</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30</w:t>
      </w:r>
      <w:r>
        <w:rPr>
          <w:rFonts w:hint="eastAsia" w:ascii="仿宋_GB2312" w:hAnsi="宋体" w:eastAsia="仿宋_GB2312" w:cs="宋体"/>
          <w:szCs w:val="28"/>
          <w:lang w:val="zh-CN"/>
        </w:rPr>
        <w:t>日17:00；</w:t>
      </w:r>
    </w:p>
    <w:p>
      <w:pPr>
        <w:widowControl/>
        <w:adjustRightInd w:val="0"/>
        <w:snapToGrid w:val="0"/>
        <w:spacing w:line="500" w:lineRule="atLeast"/>
        <w:ind w:firstLine="560" w:firstLineChars="200"/>
        <w:rPr>
          <w:rFonts w:ascii="仿宋_GB2312" w:hAnsi="仿宋" w:eastAsia="仿宋_GB2312"/>
          <w:b/>
          <w:szCs w:val="28"/>
        </w:rPr>
      </w:pPr>
      <w:r>
        <w:rPr>
          <w:rFonts w:hint="eastAsia" w:ascii="仿宋_GB2312" w:hAnsi="宋体" w:eastAsia="仿宋_GB2312" w:cs="宋体"/>
          <w:szCs w:val="28"/>
          <w:lang w:val="zh-CN"/>
        </w:rPr>
        <w:t>（二）</w:t>
      </w:r>
      <w:r>
        <w:rPr>
          <w:rFonts w:hint="eastAsia" w:ascii="仿宋_GB2312" w:hAnsi="宋体" w:eastAsia="仿宋_GB2312" w:cs="宋体"/>
          <w:szCs w:val="28"/>
          <w:lang w:val="en-US" w:eastAsia="zh-CN"/>
        </w:rPr>
        <w:t>文件获取</w:t>
      </w:r>
      <w:r>
        <w:rPr>
          <w:rFonts w:hint="eastAsia" w:ascii="仿宋_GB2312" w:hAnsi="宋体" w:eastAsia="仿宋_GB2312" w:cs="宋体"/>
          <w:szCs w:val="28"/>
          <w:lang w:val="zh-CN"/>
        </w:rPr>
        <w:t>方式：皖南医学院专利代理服务项目（化学材料与环境工程类别）已在皖南医学院</w:t>
      </w:r>
      <w:r>
        <w:rPr>
          <w:rFonts w:hint="eastAsia" w:ascii="仿宋_GB2312" w:hAnsi="宋体" w:eastAsia="仿宋_GB2312" w:cs="宋体"/>
          <w:szCs w:val="28"/>
          <w:lang w:val="en-US" w:eastAsia="zh-CN"/>
        </w:rPr>
        <w:t>官网</w:t>
      </w:r>
      <w:r>
        <w:rPr>
          <w:rFonts w:hint="eastAsia" w:ascii="仿宋_GB2312" w:hAnsi="宋体" w:eastAsia="仿宋_GB2312" w:cs="宋体"/>
          <w:szCs w:val="28"/>
          <w:lang w:val="zh-CN"/>
        </w:rPr>
        <w:t>发布，请潜在供应商在皖南医学院</w:t>
      </w:r>
      <w:r>
        <w:rPr>
          <w:rFonts w:hint="eastAsia" w:ascii="仿宋_GB2312" w:hAnsi="宋体" w:eastAsia="仿宋_GB2312" w:cs="宋体"/>
          <w:szCs w:val="28"/>
          <w:lang w:val="en-US" w:eastAsia="zh-CN"/>
        </w:rPr>
        <w:t>官网获取招标文件</w:t>
      </w:r>
      <w:r>
        <w:rPr>
          <w:rFonts w:hint="eastAsia" w:ascii="仿宋_GB2312" w:hAnsi="宋体" w:eastAsia="仿宋_GB2312" w:cs="宋体"/>
          <w:szCs w:val="28"/>
          <w:lang w:val="zh-CN"/>
        </w:rPr>
        <w:t>。</w:t>
      </w:r>
    </w:p>
    <w:p>
      <w:pPr>
        <w:widowControl/>
        <w:adjustRightInd w:val="0"/>
        <w:snapToGrid w:val="0"/>
        <w:spacing w:line="500" w:lineRule="atLeast"/>
        <w:ind w:firstLine="560" w:firstLineChars="200"/>
        <w:rPr>
          <w:rFonts w:ascii="仿宋_GB2312" w:hAnsi="仿宋" w:eastAsia="仿宋_GB2312"/>
          <w:szCs w:val="28"/>
        </w:rPr>
      </w:pPr>
      <w:r>
        <w:rPr>
          <w:rFonts w:hint="eastAsia" w:ascii="仿宋_GB2312" w:hAnsi="仿宋" w:eastAsia="仿宋_GB2312"/>
          <w:szCs w:val="28"/>
        </w:rPr>
        <w:t>（</w:t>
      </w:r>
      <w:r>
        <w:rPr>
          <w:rFonts w:hint="eastAsia" w:ascii="仿宋_GB2312" w:hAnsi="仿宋" w:eastAsia="仿宋_GB2312"/>
          <w:kern w:val="0"/>
          <w:szCs w:val="28"/>
        </w:rPr>
        <w:t>三）磋商文件获取：</w:t>
      </w:r>
      <w:r>
        <w:rPr>
          <w:rFonts w:hint="eastAsia" w:ascii="仿宋_GB2312" w:eastAsia="仿宋_GB2312"/>
          <w:color w:val="333333"/>
          <w:szCs w:val="28"/>
        </w:rPr>
        <w:t>网上自行下载</w:t>
      </w:r>
      <w:r>
        <w:rPr>
          <w:rFonts w:hint="eastAsia" w:ascii="仿宋_GB2312" w:hAnsi="仿宋" w:eastAsia="仿宋_GB2312"/>
          <w:kern w:val="0"/>
          <w:szCs w:val="28"/>
        </w:rPr>
        <w:t>。</w:t>
      </w:r>
    </w:p>
    <w:p>
      <w:pPr>
        <w:adjustRightInd w:val="0"/>
        <w:snapToGrid w:val="0"/>
        <w:spacing w:line="500" w:lineRule="atLeast"/>
        <w:ind w:firstLine="538" w:firstLineChars="200"/>
        <w:rPr>
          <w:rFonts w:ascii="仿宋_GB2312" w:hAnsi="宋体" w:eastAsia="仿宋_GB2312"/>
          <w:color w:val="000000"/>
          <w:spacing w:val="-6"/>
          <w:szCs w:val="28"/>
        </w:rPr>
      </w:pPr>
      <w:r>
        <w:rPr>
          <w:rFonts w:hint="eastAsia" w:ascii="仿宋_GB2312" w:hAnsi="宋体" w:eastAsia="仿宋_GB2312"/>
          <w:b/>
          <w:color w:val="000000"/>
          <w:spacing w:val="-6"/>
          <w:szCs w:val="28"/>
        </w:rPr>
        <w:t>四、响应文件份数</w:t>
      </w:r>
      <w:r>
        <w:rPr>
          <w:rFonts w:hint="eastAsia" w:ascii="仿宋_GB2312" w:hAnsi="宋体" w:eastAsia="仿宋_GB2312"/>
          <w:color w:val="000000"/>
          <w:spacing w:val="-6"/>
          <w:szCs w:val="28"/>
        </w:rPr>
        <w:t>：一式三份（正本一份，副本二份），每份响应文件须清楚表明“正本”或“副本”字样。</w:t>
      </w:r>
    </w:p>
    <w:p>
      <w:pPr>
        <w:adjustRightInd w:val="0"/>
        <w:snapToGrid w:val="0"/>
        <w:spacing w:line="500" w:lineRule="atLeast"/>
        <w:ind w:firstLine="509" w:firstLineChars="189"/>
        <w:rPr>
          <w:rFonts w:ascii="仿宋_GB2312" w:hAnsi="宋体" w:eastAsia="仿宋_GB2312"/>
          <w:color w:val="000000"/>
          <w:spacing w:val="-6"/>
          <w:szCs w:val="28"/>
        </w:rPr>
      </w:pPr>
      <w:r>
        <w:rPr>
          <w:rFonts w:hint="eastAsia" w:ascii="仿宋_GB2312" w:hAnsi="宋体" w:eastAsia="仿宋_GB2312"/>
          <w:b/>
          <w:color w:val="000000"/>
          <w:spacing w:val="-6"/>
          <w:szCs w:val="28"/>
        </w:rPr>
        <w:t>五、响应文件递交</w:t>
      </w:r>
      <w:r>
        <w:rPr>
          <w:rFonts w:hint="eastAsia" w:ascii="仿宋_GB2312" w:hAnsi="宋体" w:eastAsia="仿宋_GB2312"/>
          <w:color w:val="000000"/>
          <w:spacing w:val="-6"/>
          <w:szCs w:val="28"/>
        </w:rPr>
        <w:t>：</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（一）响应文件递交截止时间：202</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5</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10</w:t>
      </w:r>
      <w:r>
        <w:rPr>
          <w:rFonts w:hint="eastAsia" w:ascii="仿宋_GB2312" w:hAnsi="宋体" w:eastAsia="仿宋_GB2312"/>
          <w:color w:val="000000"/>
          <w:spacing w:val="-6"/>
          <w:szCs w:val="28"/>
        </w:rPr>
        <w:t>日</w:t>
      </w:r>
      <w:r>
        <w:rPr>
          <w:rFonts w:hint="eastAsia" w:ascii="仿宋_GB2312" w:hAnsi="宋体" w:eastAsia="仿宋_GB2312"/>
          <w:color w:val="000000"/>
          <w:spacing w:val="-6"/>
          <w:szCs w:val="28"/>
          <w:lang w:val="en-US" w:eastAsia="zh-CN"/>
        </w:rPr>
        <w:t>下</w:t>
      </w:r>
      <w:r>
        <w:rPr>
          <w:rFonts w:hint="eastAsia" w:ascii="仿宋_GB2312" w:hAnsi="宋体" w:eastAsia="仿宋_GB2312"/>
          <w:color w:val="000000"/>
          <w:spacing w:val="-6"/>
          <w:szCs w:val="28"/>
        </w:rPr>
        <w:t>午</w:t>
      </w:r>
      <w:r>
        <w:rPr>
          <w:rFonts w:hint="eastAsia" w:ascii="仿宋_GB2312" w:hAnsi="宋体" w:eastAsia="仿宋_GB2312"/>
          <w:color w:val="000000"/>
          <w:spacing w:val="-6"/>
          <w:szCs w:val="28"/>
          <w:lang w:val="en-US" w:eastAsia="zh-CN"/>
        </w:rPr>
        <w:t>14</w:t>
      </w:r>
      <w:r>
        <w:rPr>
          <w:rFonts w:hint="eastAsia" w:ascii="仿宋_GB2312" w:hAnsi="宋体" w:eastAsia="仿宋_GB2312"/>
          <w:color w:val="000000"/>
          <w:spacing w:val="-6"/>
          <w:szCs w:val="28"/>
        </w:rPr>
        <w:t>：</w:t>
      </w:r>
      <w:r>
        <w:rPr>
          <w:rFonts w:hint="eastAsia" w:ascii="仿宋_GB2312" w:hAnsi="宋体" w:eastAsia="仿宋_GB2312"/>
          <w:color w:val="000000"/>
          <w:spacing w:val="-6"/>
          <w:szCs w:val="28"/>
          <w:lang w:val="en-US" w:eastAsia="zh-CN"/>
        </w:rPr>
        <w:t>3</w:t>
      </w:r>
      <w:r>
        <w:rPr>
          <w:rFonts w:hint="eastAsia" w:ascii="仿宋_GB2312" w:hAnsi="宋体" w:eastAsia="仿宋_GB2312"/>
          <w:color w:val="000000"/>
          <w:spacing w:val="-6"/>
          <w:szCs w:val="28"/>
        </w:rPr>
        <w:t>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（二）响应文件开启时间：202</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5</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10</w:t>
      </w:r>
      <w:r>
        <w:rPr>
          <w:rFonts w:hint="eastAsia" w:ascii="仿宋_GB2312" w:hAnsi="宋体" w:eastAsia="仿宋_GB2312"/>
          <w:color w:val="000000"/>
          <w:spacing w:val="-6"/>
          <w:szCs w:val="28"/>
        </w:rPr>
        <w:t>日</w:t>
      </w:r>
      <w:r>
        <w:rPr>
          <w:rFonts w:hint="eastAsia" w:ascii="仿宋_GB2312" w:hAnsi="宋体" w:eastAsia="仿宋_GB2312"/>
          <w:color w:val="000000"/>
          <w:spacing w:val="-6"/>
          <w:szCs w:val="28"/>
          <w:lang w:val="en-US" w:eastAsia="zh-CN"/>
        </w:rPr>
        <w:t>下</w:t>
      </w:r>
      <w:r>
        <w:rPr>
          <w:rFonts w:hint="eastAsia" w:ascii="仿宋_GB2312" w:hAnsi="宋体" w:eastAsia="仿宋_GB2312"/>
          <w:color w:val="000000"/>
          <w:spacing w:val="-6"/>
          <w:szCs w:val="28"/>
        </w:rPr>
        <w:t>午</w:t>
      </w:r>
      <w:r>
        <w:rPr>
          <w:rFonts w:hint="eastAsia" w:ascii="仿宋_GB2312" w:hAnsi="宋体" w:eastAsia="仿宋_GB2312"/>
          <w:color w:val="000000"/>
          <w:spacing w:val="-6"/>
          <w:szCs w:val="28"/>
          <w:lang w:val="en-US" w:eastAsia="zh-CN"/>
        </w:rPr>
        <w:t>14</w:t>
      </w:r>
      <w:r>
        <w:rPr>
          <w:rFonts w:hint="eastAsia" w:ascii="仿宋_GB2312" w:hAnsi="宋体" w:eastAsia="仿宋_GB2312"/>
          <w:color w:val="000000"/>
          <w:spacing w:val="-6"/>
          <w:szCs w:val="28"/>
        </w:rPr>
        <w:t>：</w:t>
      </w:r>
      <w:r>
        <w:rPr>
          <w:rFonts w:hint="eastAsia" w:ascii="仿宋_GB2312" w:hAnsi="宋体" w:eastAsia="仿宋_GB2312"/>
          <w:color w:val="000000"/>
          <w:spacing w:val="-6"/>
          <w:szCs w:val="28"/>
          <w:lang w:val="en-US" w:eastAsia="zh-CN"/>
        </w:rPr>
        <w:t>3</w:t>
      </w:r>
      <w:r>
        <w:rPr>
          <w:rFonts w:hint="eastAsia" w:ascii="仿宋_GB2312" w:hAnsi="宋体" w:eastAsia="仿宋_GB2312"/>
          <w:color w:val="000000"/>
          <w:spacing w:val="-6"/>
          <w:szCs w:val="28"/>
        </w:rPr>
        <w:t>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（三）地点：芜湖市弋江区文昌西路22号滨江校区图书信息楼东辅楼5楼5002室；</w:t>
      </w:r>
    </w:p>
    <w:p>
      <w:pPr>
        <w:adjustRightInd w:val="0"/>
        <w:snapToGrid w:val="0"/>
        <w:spacing w:line="500" w:lineRule="atLeast"/>
        <w:ind w:firstLine="506" w:firstLineChars="189"/>
        <w:rPr>
          <w:rFonts w:hint="eastAsia" w:ascii="仿宋_GB2312" w:hAnsi="宋体" w:eastAsia="仿宋_GB2312"/>
          <w:color w:val="000000"/>
          <w:spacing w:val="-6"/>
          <w:szCs w:val="28"/>
        </w:rPr>
      </w:pPr>
      <w:r>
        <w:rPr>
          <w:rFonts w:hint="eastAsia" w:ascii="仿宋_GB2312" w:hAnsi="宋体" w:eastAsia="仿宋_GB2312"/>
          <w:color w:val="000000"/>
          <w:spacing w:val="-6"/>
          <w:szCs w:val="28"/>
        </w:rPr>
        <w:t>（四）递交响应文件时间截止后，磋商小组与供应商磋商，请供应商法定代表人或其授权委托代表（提供授权委托书）出席。</w:t>
      </w:r>
    </w:p>
    <w:p>
      <w:pPr>
        <w:pStyle w:val="17"/>
        <w:ind w:left="0" w:leftChars="0" w:firstLine="560" w:firstLineChars="200"/>
        <w:rPr>
          <w:rFonts w:hint="eastAsia" w:ascii="仿宋_GB2312" w:hAnsi="仿宋_GB2312" w:eastAsia="仿宋_GB2312" w:cs="仿宋_GB2312"/>
          <w:i w:val="0"/>
          <w:iCs w:val="0"/>
          <w:caps w:val="0"/>
          <w:color w:val="333333"/>
          <w:spacing w:val="0"/>
          <w:sz w:val="28"/>
          <w:szCs w:val="28"/>
          <w:shd w:val="clear" w:fill="FFFFFF"/>
        </w:rPr>
      </w:pPr>
      <w:r>
        <w:rPr>
          <w:rFonts w:hint="eastAsia" w:hAnsi="仿宋_GB2312" w:cs="仿宋_GB2312"/>
          <w:i w:val="0"/>
          <w:iCs w:val="0"/>
          <w:caps w:val="0"/>
          <w:color w:val="333333"/>
          <w:spacing w:val="0"/>
          <w:sz w:val="28"/>
          <w:szCs w:val="28"/>
          <w:shd w:val="clear" w:fill="FFFFFF"/>
          <w:lang w:eastAsia="zh-CN"/>
        </w:rPr>
        <w:t>（</w:t>
      </w:r>
      <w:r>
        <w:rPr>
          <w:rFonts w:hint="eastAsia" w:hAnsi="仿宋_GB2312" w:cs="仿宋_GB2312"/>
          <w:i w:val="0"/>
          <w:iCs w:val="0"/>
          <w:caps w:val="0"/>
          <w:color w:val="333333"/>
          <w:spacing w:val="0"/>
          <w:sz w:val="28"/>
          <w:szCs w:val="28"/>
          <w:shd w:val="clear" w:fill="FFFFFF"/>
          <w:lang w:val="en-US" w:eastAsia="zh-CN"/>
        </w:rPr>
        <w:t>五</w:t>
      </w:r>
      <w:r>
        <w:rPr>
          <w:rFonts w:hint="eastAsia" w:hAnsi="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因学校要求，校外人员进校需扫码登记。请各投标单位如实填写，并于202</w:t>
      </w:r>
      <w:r>
        <w:rPr>
          <w:rFonts w:hint="eastAsia" w:hAnsi="仿宋_GB2312" w:cs="仿宋_GB2312"/>
          <w:i w:val="0"/>
          <w:iCs w:val="0"/>
          <w:caps w:val="0"/>
          <w:color w:val="333333"/>
          <w:spacing w:val="0"/>
          <w:sz w:val="28"/>
          <w:szCs w:val="28"/>
          <w:shd w:val="clear" w:fill="FFFFFF"/>
          <w:lang w:val="en-US" w:eastAsia="zh-CN"/>
        </w:rPr>
        <w:t>4</w:t>
      </w:r>
      <w:r>
        <w:rPr>
          <w:rFonts w:hint="eastAsia" w:ascii="仿宋_GB2312" w:hAnsi="仿宋_GB2312" w:eastAsia="仿宋_GB2312" w:cs="仿宋_GB2312"/>
          <w:i w:val="0"/>
          <w:iCs w:val="0"/>
          <w:caps w:val="0"/>
          <w:color w:val="333333"/>
          <w:spacing w:val="0"/>
          <w:sz w:val="28"/>
          <w:szCs w:val="28"/>
          <w:shd w:val="clear" w:fill="FFFFFF"/>
        </w:rPr>
        <w:t>年</w:t>
      </w:r>
      <w:r>
        <w:rPr>
          <w:rFonts w:hint="eastAsia" w:hAnsi="仿宋_GB2312" w:cs="仿宋_GB2312"/>
          <w:i w:val="0"/>
          <w:iCs w:val="0"/>
          <w:caps w:val="0"/>
          <w:color w:val="333333"/>
          <w:spacing w:val="0"/>
          <w:sz w:val="28"/>
          <w:szCs w:val="28"/>
          <w:shd w:val="clear" w:fill="FFFFFF"/>
          <w:lang w:val="en-US" w:eastAsia="zh-CN"/>
        </w:rPr>
        <w:t>5</w:t>
      </w:r>
      <w:r>
        <w:rPr>
          <w:rFonts w:hint="eastAsia" w:ascii="仿宋_GB2312" w:hAnsi="仿宋_GB2312" w:eastAsia="仿宋_GB2312" w:cs="仿宋_GB2312"/>
          <w:i w:val="0"/>
          <w:iCs w:val="0"/>
          <w:caps w:val="0"/>
          <w:color w:val="333333"/>
          <w:spacing w:val="0"/>
          <w:sz w:val="28"/>
          <w:szCs w:val="28"/>
          <w:shd w:val="clear" w:fill="FFFFFF"/>
        </w:rPr>
        <w:t>月</w:t>
      </w:r>
      <w:r>
        <w:rPr>
          <w:rFonts w:hint="eastAsia" w:hAnsi="仿宋_GB2312" w:cs="仿宋_GB2312"/>
          <w:i w:val="0"/>
          <w:iCs w:val="0"/>
          <w:caps w:val="0"/>
          <w:color w:val="333333"/>
          <w:spacing w:val="0"/>
          <w:sz w:val="28"/>
          <w:szCs w:val="28"/>
          <w:shd w:val="clear" w:fill="FFFFFF"/>
          <w:lang w:val="en-US" w:eastAsia="zh-CN"/>
        </w:rPr>
        <w:t>9</w:t>
      </w:r>
      <w:r>
        <w:rPr>
          <w:rFonts w:hint="eastAsia" w:ascii="仿宋_GB2312" w:hAnsi="仿宋_GB2312" w:eastAsia="仿宋_GB2312" w:cs="仿宋_GB2312"/>
          <w:i w:val="0"/>
          <w:iCs w:val="0"/>
          <w:caps w:val="0"/>
          <w:color w:val="333333"/>
          <w:spacing w:val="0"/>
          <w:sz w:val="28"/>
          <w:szCs w:val="28"/>
          <w:shd w:val="clear" w:fill="FFFFFF"/>
        </w:rPr>
        <w:t>日12：00前完成登记申请（其中受访人姓名：王凌云，电话：13505596369），未按时提交申请的，后果自负。</w:t>
      </w:r>
    </w:p>
    <w:p>
      <w:pPr>
        <w:pStyle w:val="17"/>
        <w:ind w:left="0" w:leftChars="0" w:firstLine="560" w:firstLineChars="200"/>
      </w:pPr>
      <w:r>
        <w:rPr>
          <w:rFonts w:hint="eastAsia" w:ascii="仿宋_GB2312" w:hAnsi="仿宋_GB2312" w:eastAsia="仿宋_GB2312" w:cs="仿宋_GB2312"/>
          <w:i w:val="0"/>
          <w:iCs w:val="0"/>
          <w:caps w:val="0"/>
          <w:color w:val="333333"/>
          <w:spacing w:val="0"/>
          <w:sz w:val="28"/>
          <w:szCs w:val="28"/>
          <w:shd w:val="clear" w:fill="FFFFFF"/>
        </w:rPr>
        <w:t> </w:t>
      </w:r>
      <w:r>
        <w:drawing>
          <wp:inline distT="0" distB="0" distL="114300" distR="114300">
            <wp:extent cx="1781175" cy="19145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781175" cy="1914525"/>
                    </a:xfrm>
                    <a:prstGeom prst="rect">
                      <a:avLst/>
                    </a:prstGeom>
                    <a:noFill/>
                    <a:ln>
                      <a:noFill/>
                    </a:ln>
                  </pic:spPr>
                </pic:pic>
              </a:graphicData>
            </a:graphic>
          </wp:inline>
        </w:drawing>
      </w:r>
      <w:r>
        <w:rPr>
          <w:rFonts w:hint="eastAsia" w:ascii="仿宋_GB2312" w:hAnsi="仿宋_GB2312" w:eastAsia="仿宋_GB2312" w:cs="仿宋_GB2312"/>
          <w:i w:val="0"/>
          <w:iCs w:val="0"/>
          <w:caps w:val="0"/>
          <w:color w:val="333333"/>
          <w:spacing w:val="0"/>
          <w:sz w:val="28"/>
          <w:szCs w:val="28"/>
          <w:shd w:val="clear" w:fill="FFFFFF"/>
        </w:rPr>
        <w:t>。</w:t>
      </w:r>
    </w:p>
    <w:p>
      <w:pPr>
        <w:adjustRightInd w:val="0"/>
        <w:snapToGrid w:val="0"/>
        <w:spacing w:line="500" w:lineRule="atLeast"/>
        <w:ind w:firstLine="531" w:firstLineChars="189"/>
        <w:rPr>
          <w:rFonts w:ascii="仿宋_GB2312" w:eastAsia="仿宋_GB2312"/>
          <w:szCs w:val="28"/>
        </w:rPr>
      </w:pPr>
      <w:r>
        <w:rPr>
          <w:rFonts w:hint="eastAsia" w:ascii="仿宋_GB2312" w:eastAsia="仿宋_GB2312"/>
          <w:b/>
          <w:szCs w:val="28"/>
        </w:rPr>
        <w:t>六、联系方式</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（一）联系人：</w:t>
      </w:r>
      <w:r>
        <w:rPr>
          <w:rFonts w:hint="eastAsia" w:ascii="仿宋_GB2312" w:eastAsia="仿宋_GB2312"/>
          <w:szCs w:val="28"/>
          <w:lang w:eastAsia="zh-CN"/>
        </w:rPr>
        <w:t>方</w:t>
      </w:r>
      <w:r>
        <w:rPr>
          <w:rFonts w:hint="eastAsia" w:ascii="仿宋_GB2312" w:eastAsia="仿宋_GB2312"/>
          <w:szCs w:val="28"/>
        </w:rPr>
        <w:t>老师</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（二）联系电话：0553-3932052</w:t>
      </w:r>
    </w:p>
    <w:p>
      <w:pPr>
        <w:adjustRightInd w:val="0"/>
        <w:snapToGrid w:val="0"/>
        <w:spacing w:line="500" w:lineRule="atLeast"/>
        <w:ind w:firstLine="562" w:firstLineChars="200"/>
        <w:jc w:val="left"/>
        <w:rPr>
          <w:rFonts w:ascii="仿宋_GB2312" w:eastAsia="仿宋_GB2312"/>
          <w:b/>
          <w:szCs w:val="28"/>
        </w:rPr>
      </w:pPr>
      <w:r>
        <w:rPr>
          <w:rFonts w:hint="eastAsia" w:ascii="仿宋_GB2312" w:eastAsia="仿宋_GB2312"/>
          <w:b/>
          <w:szCs w:val="28"/>
        </w:rPr>
        <w:t>七、备注</w:t>
      </w:r>
    </w:p>
    <w:p>
      <w:pPr>
        <w:adjustRightInd w:val="0"/>
        <w:snapToGrid w:val="0"/>
        <w:spacing w:line="500" w:lineRule="atLeast"/>
        <w:ind w:firstLine="560" w:firstLineChars="200"/>
        <w:jc w:val="left"/>
        <w:rPr>
          <w:rFonts w:ascii="仿宋_GB2312" w:eastAsia="仿宋_GB2312"/>
          <w:szCs w:val="28"/>
        </w:rPr>
      </w:pPr>
      <w:r>
        <w:rPr>
          <w:rFonts w:hint="eastAsia" w:ascii="仿宋_GB2312" w:eastAsia="仿宋_GB2312"/>
          <w:szCs w:val="28"/>
        </w:rPr>
        <w:t>我校保留对报名合格单位进行进一步资格审核的权利。</w:t>
      </w:r>
    </w:p>
    <w:p>
      <w:pPr>
        <w:adjustRightInd w:val="0"/>
        <w:snapToGrid w:val="0"/>
        <w:spacing w:line="500" w:lineRule="atLeast"/>
        <w:ind w:firstLine="560" w:firstLineChars="200"/>
        <w:jc w:val="left"/>
        <w:rPr>
          <w:rFonts w:ascii="仿宋_GB2312" w:eastAsia="仿宋_GB2312"/>
          <w:szCs w:val="28"/>
        </w:rPr>
      </w:pPr>
    </w:p>
    <w:p>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r>
        <w:rPr>
          <w:rFonts w:hint="eastAsia" w:ascii="仿宋_GB2312" w:hAnsi="宋体" w:eastAsia="仿宋_GB2312" w:cs="宋体"/>
          <w:color w:val="000000"/>
          <w:kern w:val="0"/>
          <w:szCs w:val="28"/>
        </w:rPr>
        <w:t>皖南医学院国有资产管理处</w:t>
      </w:r>
    </w:p>
    <w:p>
      <w:pPr>
        <w:widowControl/>
        <w:shd w:val="clear" w:color="auto" w:fill="FFFFFF"/>
        <w:adjustRightInd w:val="0"/>
        <w:snapToGrid w:val="0"/>
        <w:spacing w:before="100" w:beforeAutospacing="1" w:after="100" w:afterAutospacing="1" w:line="240" w:lineRule="atLeast"/>
        <w:jc w:val="right"/>
        <w:rPr>
          <w:rFonts w:ascii="仿宋_GB2312" w:hAnsi="宋体" w:eastAsia="仿宋_GB2312" w:cs="宋体"/>
          <w:color w:val="000000"/>
          <w:kern w:val="0"/>
          <w:szCs w:val="28"/>
        </w:rPr>
      </w:pPr>
      <w:r>
        <w:rPr>
          <w:rFonts w:hint="eastAsia" w:ascii="仿宋_GB2312" w:hAnsi="宋体" w:eastAsia="仿宋_GB2312" w:cs="宋体"/>
          <w:color w:val="000000"/>
          <w:kern w:val="0"/>
          <w:szCs w:val="28"/>
        </w:rPr>
        <w:t>202</w:t>
      </w:r>
      <w:r>
        <w:rPr>
          <w:rFonts w:hint="eastAsia" w:ascii="仿宋_GB2312" w:hAnsi="宋体" w:eastAsia="仿宋_GB2312" w:cs="宋体"/>
          <w:color w:val="000000"/>
          <w:kern w:val="0"/>
          <w:szCs w:val="28"/>
          <w:lang w:val="en-US" w:eastAsia="zh-CN"/>
        </w:rPr>
        <w:t>4</w:t>
      </w:r>
      <w:r>
        <w:rPr>
          <w:rFonts w:hint="eastAsia" w:ascii="仿宋_GB2312" w:hAnsi="宋体" w:eastAsia="仿宋_GB2312" w:cs="宋体"/>
          <w:color w:val="000000"/>
          <w:kern w:val="0"/>
          <w:szCs w:val="28"/>
        </w:rPr>
        <w:t>年</w:t>
      </w:r>
      <w:r>
        <w:rPr>
          <w:rFonts w:hint="eastAsia" w:ascii="仿宋_GB2312" w:hAnsi="宋体" w:eastAsia="仿宋_GB2312" w:cs="宋体"/>
          <w:color w:val="000000"/>
          <w:kern w:val="0"/>
          <w:szCs w:val="28"/>
          <w:lang w:val="en-US" w:eastAsia="zh-CN"/>
        </w:rPr>
        <w:t>4</w:t>
      </w:r>
      <w:r>
        <w:rPr>
          <w:rFonts w:hint="eastAsia" w:ascii="仿宋_GB2312" w:hAnsi="宋体" w:eastAsia="仿宋_GB2312" w:cs="宋体"/>
          <w:color w:val="000000"/>
          <w:kern w:val="0"/>
          <w:szCs w:val="28"/>
        </w:rPr>
        <w:t>月</w:t>
      </w:r>
      <w:r>
        <w:rPr>
          <w:rFonts w:hint="eastAsia" w:ascii="仿宋_GB2312" w:hAnsi="宋体" w:eastAsia="仿宋_GB2312" w:cs="宋体"/>
          <w:color w:val="000000"/>
          <w:kern w:val="0"/>
          <w:szCs w:val="28"/>
          <w:lang w:val="en-US" w:eastAsia="zh-CN"/>
        </w:rPr>
        <w:t>24</w:t>
      </w:r>
      <w:r>
        <w:rPr>
          <w:rFonts w:hint="eastAsia" w:ascii="仿宋_GB2312" w:hAnsi="宋体" w:eastAsia="仿宋_GB2312" w:cs="宋体"/>
          <w:color w:val="000000"/>
          <w:kern w:val="0"/>
          <w:szCs w:val="28"/>
        </w:rPr>
        <w:t>日</w:t>
      </w:r>
      <w:bookmarkEnd w:id="2"/>
      <w:bookmarkEnd w:id="3"/>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rPr>
          <w:rFonts w:ascii="仿宋_GB2312" w:hAnsi="宋体" w:eastAsia="仿宋_GB2312" w:cs="宋体"/>
          <w:color w:val="000000"/>
          <w:kern w:val="0"/>
          <w:szCs w:val="28"/>
        </w:rPr>
      </w:pPr>
    </w:p>
    <w:p>
      <w:pPr>
        <w:pStyle w:val="2"/>
        <w:snapToGrid w:val="0"/>
        <w:spacing w:before="0" w:after="0"/>
        <w:ind w:left="947" w:firstLine="0"/>
        <w:jc w:val="center"/>
        <w:rPr>
          <w:rFonts w:ascii="华文中宋" w:hAnsi="华文中宋" w:eastAsia="华文中宋"/>
        </w:rPr>
      </w:pPr>
      <w:bookmarkStart w:id="4" w:name="_Toc479170300"/>
      <w:bookmarkStart w:id="5" w:name="_Toc516580570"/>
      <w:r>
        <w:rPr>
          <w:rFonts w:hint="eastAsia" w:ascii="华文中宋" w:hAnsi="华文中宋" w:eastAsia="华文中宋"/>
        </w:rPr>
        <w:t>第二章  磋商须知前附表</w:t>
      </w:r>
      <w:bookmarkEnd w:id="4"/>
      <w:bookmarkEnd w:id="5"/>
    </w:p>
    <w:tbl>
      <w:tblPr>
        <w:tblStyle w:val="30"/>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635"/>
        <w:gridCol w:w="64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10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条款号</w:t>
            </w:r>
          </w:p>
        </w:tc>
        <w:tc>
          <w:tcPr>
            <w:tcW w:w="1635"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条款名称</w:t>
            </w:r>
          </w:p>
        </w:tc>
        <w:tc>
          <w:tcPr>
            <w:tcW w:w="64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项目名称</w:t>
            </w:r>
          </w:p>
        </w:tc>
        <w:tc>
          <w:tcPr>
            <w:tcW w:w="6480" w:type="dxa"/>
            <w:vAlign w:val="center"/>
          </w:tcPr>
          <w:p>
            <w:pPr>
              <w:snapToGrid w:val="0"/>
              <w:spacing w:line="240" w:lineRule="atLeas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皖南医学院专利代理服务项目（化学材料与环境工程类别）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人</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招标人</w:t>
            </w:r>
            <w:r>
              <w:rPr>
                <w:rFonts w:ascii="宋体" w:hAnsi="宋体"/>
                <w:kern w:val="0"/>
                <w:sz w:val="21"/>
                <w:szCs w:val="21"/>
              </w:rPr>
              <w:t>名称：</w:t>
            </w:r>
            <w:r>
              <w:rPr>
                <w:rFonts w:hint="eastAsia" w:ascii="宋体" w:hAnsi="宋体"/>
                <w:sz w:val="21"/>
                <w:szCs w:val="21"/>
              </w:rPr>
              <w:t>皖南医学院</w:t>
            </w:r>
          </w:p>
          <w:p>
            <w:pPr>
              <w:snapToGrid w:val="0"/>
              <w:spacing w:line="240" w:lineRule="atLeast"/>
              <w:rPr>
                <w:rFonts w:ascii="宋体" w:hAnsi="宋体"/>
                <w:kern w:val="0"/>
                <w:sz w:val="21"/>
                <w:szCs w:val="21"/>
              </w:rPr>
            </w:pPr>
            <w:r>
              <w:rPr>
                <w:rFonts w:ascii="宋体" w:hAnsi="宋体"/>
                <w:kern w:val="0"/>
                <w:sz w:val="21"/>
                <w:szCs w:val="21"/>
              </w:rPr>
              <w:t>联系人：</w:t>
            </w:r>
            <w:r>
              <w:rPr>
                <w:rFonts w:hint="eastAsia" w:ascii="宋体" w:hAnsi="宋体"/>
                <w:kern w:val="0"/>
                <w:sz w:val="21"/>
                <w:szCs w:val="21"/>
                <w:lang w:eastAsia="zh-CN"/>
              </w:rPr>
              <w:t>方</w:t>
            </w:r>
            <w:r>
              <w:rPr>
                <w:rFonts w:hint="eastAsia" w:ascii="宋体" w:hAnsi="宋体"/>
                <w:kern w:val="0"/>
                <w:sz w:val="21"/>
                <w:szCs w:val="21"/>
              </w:rPr>
              <w:t xml:space="preserve">老师 </w:t>
            </w:r>
            <w:r>
              <w:rPr>
                <w:rFonts w:hint="eastAsia" w:ascii="宋体" w:hAnsi="宋体"/>
                <w:b/>
                <w:color w:val="FF0000"/>
                <w:kern w:val="0"/>
                <w:sz w:val="21"/>
                <w:szCs w:val="21"/>
              </w:rPr>
              <w:t xml:space="preserve"> </w:t>
            </w:r>
            <w:r>
              <w:rPr>
                <w:rFonts w:hint="eastAsia" w:ascii="宋体" w:hAnsi="宋体"/>
                <w:kern w:val="0"/>
                <w:sz w:val="21"/>
                <w:szCs w:val="21"/>
              </w:rPr>
              <w:t xml:space="preserve"> </w:t>
            </w:r>
            <w:r>
              <w:rPr>
                <w:rFonts w:ascii="宋体" w:hAnsi="宋体"/>
                <w:kern w:val="0"/>
                <w:sz w:val="21"/>
                <w:szCs w:val="21"/>
              </w:rPr>
              <w:t>电话：</w:t>
            </w:r>
            <w:r>
              <w:rPr>
                <w:rFonts w:hint="eastAsia" w:ascii="宋体" w:hAnsi="宋体"/>
                <w:kern w:val="0"/>
                <w:sz w:val="21"/>
                <w:szCs w:val="21"/>
              </w:rPr>
              <w:t>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2.3</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范围</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2.4</w:t>
            </w:r>
          </w:p>
        </w:tc>
        <w:tc>
          <w:tcPr>
            <w:tcW w:w="1635" w:type="dxa"/>
            <w:vAlign w:val="center"/>
          </w:tcPr>
          <w:p>
            <w:pPr>
              <w:widowControl/>
              <w:snapToGrid w:val="0"/>
              <w:spacing w:line="240" w:lineRule="atLeast"/>
              <w:jc w:val="center"/>
              <w:rPr>
                <w:rFonts w:ascii="宋体" w:hAnsi="宋体"/>
                <w:color w:val="0000FF"/>
                <w:kern w:val="0"/>
                <w:sz w:val="21"/>
                <w:szCs w:val="21"/>
              </w:rPr>
            </w:pPr>
            <w:r>
              <w:rPr>
                <w:rFonts w:hint="eastAsia" w:ascii="宋体" w:hAnsi="宋体"/>
                <w:kern w:val="0"/>
                <w:sz w:val="21"/>
                <w:szCs w:val="21"/>
              </w:rPr>
              <w:t>项目工期</w:t>
            </w:r>
            <w:r>
              <w:rPr>
                <w:rFonts w:ascii="宋体" w:hAnsi="宋体"/>
                <w:kern w:val="0"/>
                <w:sz w:val="21"/>
                <w:szCs w:val="21"/>
              </w:rPr>
              <w:t>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2.5</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2.6</w:t>
            </w:r>
          </w:p>
        </w:tc>
        <w:tc>
          <w:tcPr>
            <w:tcW w:w="1635" w:type="dxa"/>
            <w:vAlign w:val="center"/>
          </w:tcPr>
          <w:p>
            <w:pPr>
              <w:widowControl/>
              <w:spacing w:line="360" w:lineRule="exact"/>
              <w:jc w:val="center"/>
              <w:rPr>
                <w:rFonts w:ascii="宋体" w:hAnsi="宋体"/>
                <w:kern w:val="0"/>
                <w:sz w:val="21"/>
                <w:szCs w:val="21"/>
              </w:rPr>
            </w:pPr>
            <w:r>
              <w:rPr>
                <w:rFonts w:hint="eastAsia" w:ascii="宋体" w:hAnsi="宋体"/>
                <w:kern w:val="0"/>
                <w:sz w:val="21"/>
                <w:szCs w:val="21"/>
              </w:rPr>
              <w:t>踏勘现场</w:t>
            </w:r>
          </w:p>
        </w:tc>
        <w:tc>
          <w:tcPr>
            <w:tcW w:w="6480" w:type="dxa"/>
            <w:vAlign w:val="center"/>
          </w:tcPr>
          <w:p>
            <w:pPr>
              <w:spacing w:line="360" w:lineRule="exact"/>
              <w:rPr>
                <w:rFonts w:hint="eastAsia" w:ascii="宋体" w:hAnsi="宋体"/>
                <w:kern w:val="0"/>
                <w:sz w:val="21"/>
                <w:szCs w:val="21"/>
                <w:lang w:val="en-US" w:eastAsia="zh-CN"/>
              </w:rPr>
            </w:pPr>
            <w:r>
              <w:rPr>
                <w:rFonts w:hint="eastAsia" w:ascii="宋体" w:hAnsi="宋体"/>
                <w:kern w:val="0"/>
                <w:sz w:val="21"/>
                <w:szCs w:val="21"/>
                <w:lang w:val="en-US" w:eastAsia="zh-CN"/>
              </w:rPr>
              <w:t xml:space="preserve">无。 </w:t>
            </w:r>
          </w:p>
          <w:p>
            <w:pPr>
              <w:spacing w:line="360" w:lineRule="exact"/>
              <w:rPr>
                <w:rFonts w:hint="default" w:ascii="宋体" w:hAnsi="宋体" w:eastAsia="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2.7</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分包</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8</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9</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响应</w:t>
            </w:r>
            <w:r>
              <w:rPr>
                <w:rFonts w:ascii="宋体" w:hAnsi="宋体"/>
                <w:kern w:val="0"/>
                <w:sz w:val="21"/>
                <w:szCs w:val="21"/>
              </w:rPr>
              <w:t>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3.0</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投标文件份数</w:t>
            </w:r>
          </w:p>
        </w:tc>
        <w:tc>
          <w:tcPr>
            <w:tcW w:w="6480" w:type="dxa"/>
            <w:vAlign w:val="center"/>
          </w:tcPr>
          <w:p>
            <w:pPr>
              <w:snapToGrid w:val="0"/>
              <w:spacing w:line="240" w:lineRule="atLeast"/>
              <w:rPr>
                <w:rFonts w:ascii="宋体" w:hAnsi="宋体"/>
                <w:color w:val="000000"/>
                <w:sz w:val="21"/>
                <w:szCs w:val="21"/>
              </w:rPr>
            </w:pPr>
            <w:r>
              <w:rPr>
                <w:rFonts w:hint="eastAsia" w:ascii="宋体" w:hAnsi="宋体"/>
                <w:color w:val="000000"/>
                <w:sz w:val="21"/>
                <w:szCs w:val="21"/>
              </w:rPr>
              <w:t>正本1</w:t>
            </w:r>
            <w:r>
              <w:rPr>
                <w:rFonts w:ascii="宋体" w:hAnsi="宋体"/>
                <w:color w:val="000000"/>
                <w:sz w:val="21"/>
                <w:szCs w:val="21"/>
              </w:rPr>
              <w:t>份，副本</w:t>
            </w:r>
            <w:r>
              <w:rPr>
                <w:rFonts w:hint="eastAsia" w:ascii="宋体" w:hAnsi="宋体"/>
                <w:color w:val="000000"/>
                <w:sz w:val="21"/>
                <w:szCs w:val="21"/>
              </w:rPr>
              <w:t>2</w:t>
            </w:r>
            <w:r>
              <w:rPr>
                <w:rFonts w:ascii="宋体" w:hAnsi="宋体"/>
                <w:color w:val="000000"/>
                <w:sz w:val="21"/>
                <w:szCs w:val="21"/>
              </w:rPr>
              <w:t>份</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递交</w:t>
            </w:r>
            <w:r>
              <w:rPr>
                <w:rFonts w:hint="eastAsia" w:ascii="宋体" w:hAnsi="宋体"/>
                <w:kern w:val="0"/>
                <w:sz w:val="21"/>
                <w:szCs w:val="21"/>
              </w:rPr>
              <w:t>响应</w:t>
            </w:r>
            <w:r>
              <w:rPr>
                <w:rFonts w:ascii="宋体" w:hAnsi="宋体"/>
                <w:kern w:val="0"/>
                <w:sz w:val="21"/>
                <w:szCs w:val="21"/>
              </w:rPr>
              <w:t>文件</w:t>
            </w:r>
            <w:r>
              <w:rPr>
                <w:rFonts w:hint="eastAsia" w:ascii="宋体" w:hAnsi="宋体"/>
                <w:kern w:val="0"/>
                <w:sz w:val="21"/>
                <w:szCs w:val="21"/>
              </w:rPr>
              <w:t>时间、</w:t>
            </w:r>
            <w:r>
              <w:rPr>
                <w:rFonts w:ascii="宋体" w:hAnsi="宋体"/>
                <w:kern w:val="0"/>
                <w:sz w:val="21"/>
                <w:szCs w:val="21"/>
              </w:rPr>
              <w:t>地点</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递交响应文件截止和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、开标条件</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投标截止和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：详见磋商公告</w:t>
            </w:r>
          </w:p>
          <w:p>
            <w:pPr>
              <w:snapToGrid w:val="0"/>
              <w:spacing w:line="240" w:lineRule="atLeast"/>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3.3</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履约保证金</w:t>
            </w:r>
            <w:r>
              <w:rPr>
                <w:rFonts w:hint="eastAsia" w:ascii="宋体" w:hAnsi="宋体"/>
                <w:kern w:val="0"/>
                <w:sz w:val="21"/>
                <w:szCs w:val="21"/>
              </w:rPr>
              <w:t>交纳及退付</w:t>
            </w:r>
          </w:p>
        </w:tc>
        <w:tc>
          <w:tcPr>
            <w:tcW w:w="6480" w:type="dxa"/>
            <w:vAlign w:val="center"/>
          </w:tcPr>
          <w:p>
            <w:pPr>
              <w:snapToGrid w:val="0"/>
              <w:spacing w:line="240" w:lineRule="atLeast"/>
              <w:jc w:val="left"/>
              <w:rPr>
                <w:rFonts w:ascii="宋体" w:hAnsi="宋体"/>
                <w:kern w:val="0"/>
                <w:sz w:val="21"/>
                <w:szCs w:val="21"/>
              </w:rPr>
            </w:pPr>
            <w:r>
              <w:rPr>
                <w:rFonts w:hint="eastAsia" w:ascii="宋体" w:hAnsi="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3.4</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磋商有效期</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自磋商之日起30天内。</w:t>
            </w:r>
          </w:p>
        </w:tc>
      </w:tr>
    </w:tbl>
    <w:p>
      <w:pPr>
        <w:pStyle w:val="9"/>
        <w:ind w:left="0" w:leftChars="0" w:firstLine="0" w:firstLineChars="0"/>
      </w:pPr>
      <w:bookmarkStart w:id="6" w:name="_Toc516580571"/>
      <w:bookmarkStart w:id="7" w:name="_Toc479170301"/>
    </w:p>
    <w:p/>
    <w:p/>
    <w:p/>
    <w:p/>
    <w:p/>
    <w:p/>
    <w:p>
      <w:pPr>
        <w:pStyle w:val="2"/>
        <w:snapToGrid w:val="0"/>
        <w:spacing w:before="0" w:after="0"/>
        <w:jc w:val="center"/>
        <w:rPr>
          <w:rFonts w:ascii="华文中宋" w:hAnsi="华文中宋" w:eastAsia="华文中宋"/>
        </w:rPr>
      </w:pPr>
      <w:r>
        <w:rPr>
          <w:rFonts w:hint="eastAsia" w:ascii="华文中宋" w:hAnsi="华文中宋" w:eastAsia="华文中宋"/>
        </w:rPr>
        <w:t>第三章  磋商须知</w:t>
      </w:r>
      <w:bookmarkEnd w:id="6"/>
      <w:bookmarkEnd w:id="7"/>
    </w:p>
    <w:p>
      <w:pPr>
        <w:adjustRightInd w:val="0"/>
        <w:snapToGrid w:val="0"/>
        <w:spacing w:line="500" w:lineRule="exact"/>
        <w:ind w:firstLine="562" w:firstLineChars="200"/>
        <w:rPr>
          <w:rFonts w:ascii="仿宋_GB2312" w:eastAsia="仿宋_GB2312"/>
          <w:b/>
          <w:color w:val="000000"/>
          <w:szCs w:val="28"/>
        </w:rPr>
      </w:pPr>
      <w:bookmarkStart w:id="8" w:name="_Hlt16619475"/>
      <w:bookmarkEnd w:id="8"/>
      <w:bookmarkStart w:id="9" w:name="_Toc513029204"/>
      <w:bookmarkStart w:id="10" w:name="_Toc16938520"/>
      <w:bookmarkStart w:id="11" w:name="_Toc20823276"/>
      <w:r>
        <w:rPr>
          <w:rFonts w:hint="eastAsia" w:ascii="仿宋_GB2312" w:eastAsia="仿宋_GB2312"/>
          <w:b/>
          <w:color w:val="000000"/>
          <w:szCs w:val="28"/>
        </w:rPr>
        <w:t>一、采购方式</w:t>
      </w:r>
      <w:bookmarkEnd w:id="9"/>
      <w:bookmarkEnd w:id="10"/>
      <w:bookmarkEnd w:id="11"/>
      <w:r>
        <w:rPr>
          <w:rFonts w:hint="eastAsia" w:ascii="仿宋_GB2312" w:eastAsia="仿宋_GB2312"/>
          <w:b/>
          <w:color w:val="000000"/>
          <w:szCs w:val="28"/>
        </w:rPr>
        <w:t>及定义</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1.本次采购采用磋商方式，本磋商文件仅适用于磋商公告中所述项目。</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2采购人指本项目的需求方皖南医学院。</w:t>
      </w:r>
    </w:p>
    <w:p>
      <w:pPr>
        <w:adjustRightInd w:val="0"/>
        <w:snapToGrid w:val="0"/>
        <w:spacing w:line="500" w:lineRule="exact"/>
        <w:ind w:firstLine="560" w:firstLineChars="200"/>
        <w:rPr>
          <w:rFonts w:ascii="仿宋_GB2312" w:eastAsia="仿宋_GB2312"/>
          <w:color w:val="000000"/>
          <w:szCs w:val="28"/>
        </w:rPr>
      </w:pPr>
      <w:bookmarkStart w:id="12" w:name="_Toc513029205"/>
      <w:bookmarkStart w:id="13" w:name="_Toc20823277"/>
      <w:bookmarkStart w:id="14" w:name="_Toc16938521"/>
      <w:r>
        <w:rPr>
          <w:rFonts w:hint="eastAsia" w:ascii="仿宋_GB2312" w:eastAsia="仿宋_GB2312"/>
          <w:color w:val="000000"/>
          <w:szCs w:val="28"/>
        </w:rPr>
        <w:t>3.合格的供应商</w:t>
      </w:r>
      <w:bookmarkEnd w:id="12"/>
      <w:bookmarkEnd w:id="13"/>
      <w:bookmarkEnd w:id="14"/>
      <w:r>
        <w:rPr>
          <w:rFonts w:hint="eastAsia" w:ascii="仿宋_GB2312" w:eastAsia="仿宋_GB2312"/>
          <w:color w:val="000000"/>
          <w:szCs w:val="28"/>
        </w:rPr>
        <w:tab/>
      </w:r>
    </w:p>
    <w:p>
      <w:pPr>
        <w:pStyle w:val="43"/>
        <w:snapToGrid w:val="0"/>
        <w:spacing w:line="500" w:lineRule="exact"/>
        <w:ind w:left="560" w:firstLine="0" w:firstLineChars="0"/>
        <w:rPr>
          <w:rFonts w:ascii="仿宋_GB2312" w:hAnsi="宋体" w:eastAsia="仿宋_GB2312"/>
          <w:color w:val="000000"/>
          <w:szCs w:val="28"/>
        </w:rPr>
      </w:pPr>
      <w:r>
        <w:rPr>
          <w:rFonts w:hint="eastAsia" w:ascii="仿宋_GB2312" w:hAnsi="宋体" w:eastAsia="仿宋_GB2312"/>
          <w:color w:val="000000"/>
          <w:szCs w:val="28"/>
        </w:rPr>
        <w:t>（1）满足磋商公告中供应商的资格条件的规定。</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（2）满足本文件实质性条款的规定。</w:t>
      </w:r>
    </w:p>
    <w:p>
      <w:pPr>
        <w:adjustRightInd w:val="0"/>
        <w:snapToGrid w:val="0"/>
        <w:spacing w:line="500" w:lineRule="exact"/>
        <w:ind w:firstLine="560" w:firstLineChars="200"/>
        <w:rPr>
          <w:rFonts w:ascii="仿宋_GB2312" w:eastAsia="仿宋_GB2312"/>
          <w:color w:val="000000"/>
          <w:szCs w:val="28"/>
        </w:rPr>
      </w:pPr>
      <w:bookmarkStart w:id="15" w:name="_Toc20823278"/>
      <w:bookmarkStart w:id="16" w:name="_Toc16938522"/>
      <w:bookmarkStart w:id="17" w:name="_Toc513029206"/>
      <w:r>
        <w:rPr>
          <w:rFonts w:hint="eastAsia" w:ascii="仿宋_GB2312" w:eastAsia="仿宋_GB2312"/>
          <w:color w:val="000000"/>
          <w:szCs w:val="28"/>
        </w:rPr>
        <w:t>4.适用法律</w:t>
      </w:r>
      <w:bookmarkEnd w:id="15"/>
      <w:bookmarkEnd w:id="16"/>
      <w:bookmarkEnd w:id="17"/>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本次磋商及由此产生的合同受中华人民共和国有关的法律法规制约和保护。</w:t>
      </w:r>
    </w:p>
    <w:p>
      <w:pPr>
        <w:adjustRightInd w:val="0"/>
        <w:snapToGrid w:val="0"/>
        <w:spacing w:line="500" w:lineRule="exact"/>
        <w:ind w:firstLine="560" w:firstLineChars="200"/>
        <w:rPr>
          <w:rFonts w:ascii="仿宋_GB2312" w:eastAsia="仿宋_GB2312"/>
          <w:color w:val="000000"/>
          <w:szCs w:val="28"/>
        </w:rPr>
      </w:pPr>
      <w:bookmarkStart w:id="18" w:name="_Toc513029207"/>
      <w:bookmarkStart w:id="19" w:name="_Toc16938523"/>
      <w:bookmarkStart w:id="20" w:name="_Toc20823279"/>
      <w:bookmarkStart w:id="21" w:name="_Toc462564067"/>
      <w:r>
        <w:rPr>
          <w:rFonts w:hint="eastAsia" w:ascii="仿宋_GB2312" w:eastAsia="仿宋_GB2312"/>
          <w:color w:val="000000"/>
          <w:szCs w:val="28"/>
        </w:rPr>
        <w:t>5.磋商费用</w:t>
      </w:r>
      <w:bookmarkEnd w:id="18"/>
      <w:bookmarkEnd w:id="19"/>
      <w:bookmarkEnd w:id="20"/>
      <w:bookmarkEnd w:id="21"/>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（1）供应商应自行承担所有与参加</w:t>
      </w:r>
      <w:r>
        <w:rPr>
          <w:rFonts w:hint="eastAsia" w:ascii="仿宋_GB2312" w:eastAsia="仿宋_GB2312"/>
          <w:color w:val="000000"/>
          <w:szCs w:val="28"/>
        </w:rPr>
        <w:t>磋商</w:t>
      </w:r>
      <w:r>
        <w:rPr>
          <w:rFonts w:hint="eastAsia" w:ascii="仿宋_GB2312" w:hAnsi="宋体" w:eastAsia="仿宋_GB2312"/>
          <w:color w:val="000000"/>
          <w:szCs w:val="28"/>
        </w:rPr>
        <w:t>有关的费用，无论</w:t>
      </w:r>
      <w:r>
        <w:rPr>
          <w:rFonts w:hint="eastAsia" w:ascii="仿宋_GB2312" w:eastAsia="仿宋_GB2312"/>
          <w:color w:val="000000"/>
          <w:szCs w:val="28"/>
        </w:rPr>
        <w:t>磋商</w:t>
      </w:r>
      <w:r>
        <w:rPr>
          <w:rFonts w:hint="eastAsia" w:ascii="仿宋_GB2312" w:hAnsi="宋体" w:eastAsia="仿宋_GB2312"/>
          <w:color w:val="000000"/>
          <w:szCs w:val="28"/>
        </w:rPr>
        <w:t>过程中的做法和结果如何，采购人在任何情况下均无义务和责任承担这些费用。</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（2）本次磋商采购人不收取文件工本费与成交服务费。</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6.磋商文件的约束力</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500" w:lineRule="exact"/>
        <w:ind w:firstLine="562" w:firstLineChars="200"/>
        <w:rPr>
          <w:rFonts w:ascii="仿宋_GB2312" w:hAnsi="宋体" w:eastAsia="仿宋_GB2312"/>
          <w:b/>
          <w:color w:val="000000"/>
          <w:szCs w:val="28"/>
        </w:rPr>
      </w:pPr>
      <w:bookmarkStart w:id="22" w:name="_Toc16938525"/>
      <w:bookmarkStart w:id="23" w:name="_Toc403987206"/>
      <w:bookmarkStart w:id="24" w:name="_Toc513029209"/>
      <w:bookmarkStart w:id="25" w:name="_Toc120614215"/>
      <w:bookmarkStart w:id="26" w:name="_Toc20823281"/>
      <w:r>
        <w:rPr>
          <w:rFonts w:hint="eastAsia" w:ascii="仿宋_GB2312" w:hAnsi="宋体" w:eastAsia="仿宋_GB2312"/>
          <w:b/>
          <w:color w:val="000000"/>
          <w:szCs w:val="28"/>
        </w:rPr>
        <w:t>二、磋商文件</w:t>
      </w:r>
      <w:bookmarkEnd w:id="22"/>
      <w:bookmarkEnd w:id="23"/>
      <w:bookmarkEnd w:id="24"/>
      <w:bookmarkEnd w:id="25"/>
      <w:bookmarkEnd w:id="26"/>
    </w:p>
    <w:p>
      <w:pPr>
        <w:adjustRightInd w:val="0"/>
        <w:snapToGrid w:val="0"/>
        <w:spacing w:line="500" w:lineRule="exact"/>
        <w:ind w:firstLine="560" w:firstLineChars="200"/>
        <w:rPr>
          <w:rFonts w:ascii="仿宋_GB2312" w:eastAsia="仿宋_GB2312"/>
          <w:color w:val="000000"/>
          <w:szCs w:val="28"/>
        </w:rPr>
      </w:pPr>
      <w:bookmarkStart w:id="27" w:name="_Toc16938526"/>
      <w:bookmarkStart w:id="28" w:name="_Toc20823282"/>
      <w:bookmarkStart w:id="29" w:name="_Toc513029210"/>
      <w:r>
        <w:rPr>
          <w:rFonts w:hint="eastAsia" w:ascii="仿宋_GB2312" w:eastAsia="仿宋_GB2312"/>
          <w:color w:val="000000"/>
          <w:szCs w:val="28"/>
        </w:rPr>
        <w:t>1.磋商文件构成</w:t>
      </w:r>
      <w:bookmarkEnd w:id="27"/>
      <w:bookmarkEnd w:id="28"/>
      <w:bookmarkEnd w:id="29"/>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磋商文件有以下部分组成：</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（1）磋商公告</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（2）磋商须知前附表</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（3）磋商须知</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（4）合同主要条款</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（5）项目需求</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（6）评审标准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（7）响应文件格式</w:t>
      </w:r>
    </w:p>
    <w:p>
      <w:pPr>
        <w:adjustRightInd w:val="0"/>
        <w:snapToGrid w:val="0"/>
        <w:spacing w:line="500" w:lineRule="exact"/>
        <w:ind w:firstLine="560" w:firstLineChars="200"/>
        <w:rPr>
          <w:rFonts w:ascii="仿宋_GB2312" w:eastAsia="仿宋_GB2312"/>
          <w:color w:val="000000"/>
          <w:szCs w:val="28"/>
        </w:rPr>
      </w:pPr>
      <w:bookmarkStart w:id="30" w:name="_Toc16938527"/>
      <w:bookmarkStart w:id="31" w:name="_Toc20823283"/>
      <w:bookmarkStart w:id="32" w:name="_Toc462564070"/>
      <w:bookmarkStart w:id="33" w:name="_Toc513029211"/>
      <w:r>
        <w:rPr>
          <w:rFonts w:hint="eastAsia" w:ascii="仿宋_GB2312" w:eastAsia="仿宋_GB2312"/>
          <w:color w:val="000000"/>
          <w:szCs w:val="28"/>
        </w:rPr>
        <w:t>2.磋商文件的澄清</w:t>
      </w:r>
      <w:bookmarkEnd w:id="30"/>
      <w:bookmarkEnd w:id="31"/>
      <w:bookmarkEnd w:id="32"/>
      <w:bookmarkEnd w:id="33"/>
      <w:r>
        <w:rPr>
          <w:rFonts w:hint="eastAsia" w:ascii="仿宋_GB2312" w:eastAsia="仿宋_GB2312"/>
          <w:color w:val="000000"/>
          <w:szCs w:val="28"/>
        </w:rPr>
        <w:t>及修改</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任何要求对磋商文件进行澄清的供应商，均应在提交首次响应文件截止时间5日前按磋商公告中的通讯地址，以书面形式通知采购联系人。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500" w:lineRule="exact"/>
        <w:ind w:firstLine="562" w:firstLineChars="200"/>
        <w:rPr>
          <w:rFonts w:ascii="仿宋_GB2312" w:hAnsi="宋体" w:eastAsia="仿宋_GB2312"/>
          <w:b/>
          <w:color w:val="000000"/>
          <w:szCs w:val="28"/>
        </w:rPr>
      </w:pPr>
      <w:bookmarkStart w:id="34" w:name="_Toc462564072"/>
      <w:bookmarkStart w:id="35" w:name="_Toc20823285"/>
      <w:bookmarkStart w:id="36" w:name="_Toc403987207"/>
      <w:bookmarkStart w:id="37" w:name="_Toc513029213"/>
      <w:bookmarkStart w:id="38" w:name="_Toc120614216"/>
      <w:bookmarkStart w:id="39" w:name="_Toc16938529"/>
      <w:r>
        <w:rPr>
          <w:rFonts w:hint="eastAsia" w:ascii="仿宋_GB2312" w:hAnsi="宋体" w:eastAsia="仿宋_GB2312"/>
          <w:b/>
          <w:color w:val="000000"/>
          <w:szCs w:val="28"/>
        </w:rPr>
        <w:t>三、响应文件的递交及编制</w:t>
      </w:r>
      <w:bookmarkEnd w:id="34"/>
      <w:bookmarkEnd w:id="35"/>
      <w:bookmarkEnd w:id="36"/>
      <w:bookmarkEnd w:id="37"/>
      <w:bookmarkEnd w:id="38"/>
      <w:bookmarkEnd w:id="39"/>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2.供应商应当按照磋商文件的要求编制响应文件，并</w:t>
      </w:r>
      <w:bookmarkStart w:id="40" w:name="我"/>
      <w:bookmarkEnd w:id="40"/>
      <w:r>
        <w:rPr>
          <w:rFonts w:hint="eastAsia" w:ascii="仿宋_GB2312" w:eastAsia="仿宋_GB2312"/>
          <w:color w:val="000000"/>
          <w:szCs w:val="28"/>
        </w:rPr>
        <w:t>对其提交的响应文件的真实性、合法性承担法律责任。</w:t>
      </w:r>
    </w:p>
    <w:p>
      <w:pPr>
        <w:adjustRightInd w:val="0"/>
        <w:snapToGrid w:val="0"/>
        <w:spacing w:line="500" w:lineRule="exact"/>
        <w:ind w:firstLine="560" w:firstLineChars="200"/>
        <w:rPr>
          <w:rFonts w:ascii="仿宋_GB2312" w:eastAsia="仿宋_GB2312"/>
          <w:color w:val="000000"/>
          <w:szCs w:val="28"/>
        </w:rPr>
      </w:pPr>
      <w:bookmarkStart w:id="41" w:name="_Toc16938530"/>
      <w:bookmarkStart w:id="42" w:name="_Toc513029214"/>
      <w:bookmarkStart w:id="43" w:name="_Toc20823286"/>
      <w:bookmarkStart w:id="44" w:name="_Toc462564073"/>
      <w:r>
        <w:rPr>
          <w:rFonts w:hint="eastAsia" w:ascii="仿宋_GB2312" w:eastAsia="仿宋_GB2312"/>
          <w:color w:val="000000"/>
          <w:szCs w:val="28"/>
        </w:rPr>
        <w:t>3.响应文件的语言及度量衡单位</w:t>
      </w:r>
      <w:bookmarkEnd w:id="41"/>
      <w:bookmarkEnd w:id="42"/>
      <w:bookmarkEnd w:id="43"/>
      <w:bookmarkEnd w:id="44"/>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（1）供应商提交的响应文件以及供应商与我校就有关磋商的所有来往通知、函件和文件均应使用</w:t>
      </w:r>
      <w:r>
        <w:rPr>
          <w:rFonts w:hint="eastAsia" w:ascii="仿宋_GB2312" w:hAnsi="宋体" w:eastAsia="仿宋_GB2312"/>
          <w:bCs/>
          <w:color w:val="000000"/>
          <w:szCs w:val="28"/>
        </w:rPr>
        <w:t>简体中文</w:t>
      </w:r>
      <w:r>
        <w:rPr>
          <w:rFonts w:hint="eastAsia" w:ascii="仿宋_GB2312" w:hAnsi="宋体" w:eastAsia="仿宋_GB2312"/>
          <w:color w:val="000000"/>
          <w:szCs w:val="28"/>
        </w:rPr>
        <w:t>。</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（2）除技术性能另有规定外，响应文件所使用的度量衡单位，均须采用国家法定计量单位。</w:t>
      </w:r>
    </w:p>
    <w:p>
      <w:pPr>
        <w:adjustRightInd w:val="0"/>
        <w:snapToGrid w:val="0"/>
        <w:spacing w:line="500" w:lineRule="exact"/>
        <w:ind w:firstLine="560" w:firstLineChars="200"/>
        <w:rPr>
          <w:rFonts w:ascii="仿宋_GB2312" w:eastAsia="仿宋_GB2312"/>
          <w:color w:val="000000"/>
          <w:szCs w:val="28"/>
        </w:rPr>
      </w:pPr>
      <w:bookmarkStart w:id="45" w:name="_Toc513029215"/>
      <w:bookmarkStart w:id="46" w:name="_Toc20823287"/>
      <w:bookmarkStart w:id="47" w:name="_Toc16938531"/>
      <w:bookmarkStart w:id="48" w:name="_Toc462564074"/>
      <w:r>
        <w:rPr>
          <w:rFonts w:hint="eastAsia" w:ascii="仿宋_GB2312" w:eastAsia="仿宋_GB2312"/>
          <w:color w:val="000000"/>
          <w:szCs w:val="28"/>
        </w:rPr>
        <w:t>4.响应文件构成</w:t>
      </w:r>
      <w:bookmarkEnd w:id="45"/>
      <w:bookmarkEnd w:id="46"/>
      <w:bookmarkEnd w:id="47"/>
      <w:bookmarkEnd w:id="48"/>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（1）供应商应该按照磋商文件的要求编写响应文件应。</w:t>
      </w:r>
    </w:p>
    <w:p>
      <w:pPr>
        <w:pStyle w:val="43"/>
        <w:snapToGrid w:val="0"/>
        <w:spacing w:line="500" w:lineRule="exact"/>
        <w:ind w:firstLine="560"/>
        <w:rPr>
          <w:rFonts w:hint="default" w:ascii="仿宋_GB2312" w:hAnsi="宋体" w:eastAsia="仿宋_GB2312"/>
          <w:color w:val="000000"/>
          <w:szCs w:val="28"/>
          <w:lang w:val="en-US" w:eastAsia="zh-CN"/>
        </w:rPr>
      </w:pPr>
      <w:r>
        <w:rPr>
          <w:rFonts w:hint="eastAsia" w:ascii="仿宋_GB2312" w:hAnsi="宋体" w:eastAsia="仿宋_GB2312"/>
          <w:color w:val="000000"/>
          <w:szCs w:val="28"/>
        </w:rPr>
        <w:t>（2）供应商应将响应文件按顺序装订成册，并编制响应文件资料目录。</w:t>
      </w:r>
      <w:r>
        <w:rPr>
          <w:rFonts w:hint="eastAsia" w:ascii="仿宋_GB2312" w:hAnsi="宋体" w:eastAsia="仿宋_GB2312"/>
          <w:color w:val="000000"/>
          <w:szCs w:val="28"/>
          <w:lang w:val="en-US" w:eastAsia="zh-CN"/>
        </w:rPr>
        <w:t xml:space="preserve">   </w:t>
      </w:r>
    </w:p>
    <w:p>
      <w:pPr>
        <w:adjustRightInd w:val="0"/>
        <w:snapToGrid w:val="0"/>
        <w:spacing w:line="500" w:lineRule="exact"/>
        <w:ind w:firstLine="560" w:firstLineChars="200"/>
        <w:rPr>
          <w:rFonts w:ascii="仿宋_GB2312" w:eastAsia="仿宋_GB2312"/>
          <w:color w:val="000000"/>
          <w:szCs w:val="28"/>
        </w:rPr>
      </w:pPr>
      <w:bookmarkStart w:id="49" w:name="_Hlt26668975"/>
      <w:bookmarkEnd w:id="49"/>
      <w:bookmarkStart w:id="50" w:name="_Hlt26954838"/>
      <w:bookmarkEnd w:id="50"/>
      <w:bookmarkStart w:id="51" w:name="_Hlt26670360"/>
      <w:bookmarkEnd w:id="51"/>
      <w:bookmarkStart w:id="52" w:name="_Toc14577357"/>
      <w:bookmarkStart w:id="53" w:name="_Toc49090509"/>
      <w:bookmarkStart w:id="54" w:name="_Toc513029219"/>
      <w:bookmarkStart w:id="55" w:name="_Toc513029216"/>
      <w:bookmarkStart w:id="56" w:name="_Toc49090507"/>
      <w:bookmarkStart w:id="57" w:name="_Toc14577354"/>
      <w:r>
        <w:rPr>
          <w:rFonts w:hint="eastAsia" w:ascii="仿宋_GB2312" w:eastAsia="仿宋_GB2312"/>
          <w:color w:val="000000"/>
          <w:szCs w:val="28"/>
        </w:rPr>
        <w:t>5.证明供应商资格及符合磋商文件规定的文件</w:t>
      </w:r>
      <w:bookmarkEnd w:id="52"/>
      <w:bookmarkEnd w:id="53"/>
      <w:bookmarkEnd w:id="54"/>
    </w:p>
    <w:p>
      <w:pPr>
        <w:pStyle w:val="43"/>
        <w:snapToGrid w:val="0"/>
        <w:spacing w:line="500" w:lineRule="exact"/>
        <w:ind w:firstLine="560"/>
        <w:rPr>
          <w:rFonts w:ascii="仿宋_GB2312" w:hAnsi="宋体" w:eastAsia="仿宋_GB2312"/>
          <w:color w:val="000000"/>
          <w:szCs w:val="28"/>
        </w:rPr>
      </w:pPr>
      <w:bookmarkStart w:id="58" w:name="_Hlt26668999"/>
      <w:bookmarkEnd w:id="58"/>
      <w:r>
        <w:rPr>
          <w:rFonts w:hint="eastAsia" w:ascii="仿宋_GB2312" w:hAnsi="宋体" w:eastAsia="仿宋_GB2312"/>
          <w:color w:val="000000"/>
          <w:szCs w:val="28"/>
        </w:rPr>
        <w:t>（1）供应商应按要求提交资格证明文件及符合磋商文件规定的文件。</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（2）供应商除必须具有履行合同所需提供的货物以及服务的能力外，还必须具备相应的财务、技术方面的能力。</w:t>
      </w:r>
    </w:p>
    <w:bookmarkEnd w:id="55"/>
    <w:bookmarkEnd w:id="56"/>
    <w:bookmarkEnd w:id="57"/>
    <w:p>
      <w:pPr>
        <w:adjustRightInd w:val="0"/>
        <w:snapToGrid w:val="0"/>
        <w:spacing w:line="500" w:lineRule="exact"/>
        <w:ind w:firstLine="560" w:firstLineChars="200"/>
        <w:rPr>
          <w:rFonts w:ascii="仿宋_GB2312" w:eastAsia="仿宋_GB2312"/>
          <w:color w:val="000000"/>
          <w:szCs w:val="28"/>
        </w:rPr>
      </w:pPr>
      <w:bookmarkStart w:id="59" w:name="_Toc14577355"/>
      <w:bookmarkStart w:id="60" w:name="_Toc49090508"/>
      <w:r>
        <w:rPr>
          <w:rFonts w:hint="eastAsia" w:ascii="仿宋_GB2312" w:eastAsia="仿宋_GB2312"/>
          <w:color w:val="000000"/>
          <w:szCs w:val="28"/>
        </w:rPr>
        <w:t>6.报价</w:t>
      </w:r>
      <w:bookmarkEnd w:id="59"/>
      <w:bookmarkStart w:id="61" w:name="_Hlt26670373"/>
      <w:bookmarkEnd w:id="61"/>
      <w:r>
        <w:rPr>
          <w:rFonts w:hint="eastAsia" w:ascii="仿宋_GB2312" w:eastAsia="仿宋_GB2312"/>
          <w:color w:val="000000"/>
          <w:szCs w:val="28"/>
        </w:rPr>
        <w:t>明细表</w:t>
      </w:r>
      <w:bookmarkEnd w:id="60"/>
    </w:p>
    <w:p>
      <w:pPr>
        <w:adjustRightInd w:val="0"/>
        <w:snapToGrid w:val="0"/>
        <w:spacing w:line="500" w:lineRule="exact"/>
        <w:ind w:firstLine="560" w:firstLineChars="200"/>
        <w:rPr>
          <w:rFonts w:ascii="仿宋_GB2312" w:eastAsia="仿宋_GB2312"/>
          <w:bCs/>
          <w:color w:val="000000"/>
          <w:szCs w:val="28"/>
        </w:rPr>
      </w:pPr>
      <w:r>
        <w:rPr>
          <w:rFonts w:hint="eastAsia" w:ascii="仿宋_GB2312" w:eastAsia="仿宋_GB2312"/>
          <w:color w:val="000000"/>
          <w:szCs w:val="28"/>
        </w:rPr>
        <w:t>（1）供应商应按照磋商文件规定格式填报报价</w:t>
      </w:r>
      <w:bookmarkStart w:id="62" w:name="_Hlt26670399"/>
      <w:bookmarkEnd w:id="62"/>
      <w:r>
        <w:rPr>
          <w:rFonts w:hint="eastAsia" w:ascii="仿宋_GB2312" w:eastAsia="仿宋_GB2312"/>
          <w:color w:val="000000"/>
          <w:szCs w:val="28"/>
        </w:rPr>
        <w:t>。每项费用只允许有一个报价，任何有选择的报价将不予接受。（如有）</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（2）</w:t>
      </w:r>
      <w:r>
        <w:rPr>
          <w:rFonts w:hint="eastAsia" w:ascii="仿宋_GB2312" w:hAnsi="宋体" w:eastAsia="仿宋_GB2312"/>
          <w:color w:val="000000"/>
          <w:szCs w:val="28"/>
        </w:rPr>
        <w:t>磋商报价</w:t>
      </w:r>
      <w:r>
        <w:rPr>
          <w:rFonts w:hint="eastAsia" w:ascii="仿宋_GB2312" w:hAnsi="宋体" w:eastAsia="仿宋_GB2312"/>
          <w:color w:val="000000"/>
          <w:spacing w:val="-6"/>
          <w:szCs w:val="28"/>
        </w:rPr>
        <w:t>应包括</w:t>
      </w:r>
      <w:r>
        <w:rPr>
          <w:rFonts w:hint="eastAsia" w:ascii="仿宋_GB2312" w:hAnsi="宋体" w:eastAsia="仿宋_GB2312"/>
          <w:color w:val="000000"/>
          <w:szCs w:val="28"/>
        </w:rPr>
        <w:t>所需人工费、材料费、其他（保险费，以及合同明示或暗示的风险、责任和义务等）费，以及管理费、利润和规费、税金等一切费用。具体项目对报价有特殊要求的，从其要求进行报价。</w:t>
      </w:r>
    </w:p>
    <w:p>
      <w:pPr>
        <w:pStyle w:val="43"/>
        <w:snapToGrid w:val="0"/>
        <w:spacing w:line="500" w:lineRule="exact"/>
        <w:ind w:firstLine="562"/>
        <w:rPr>
          <w:rFonts w:ascii="仿宋_GB2312" w:hAnsi="宋体" w:eastAsia="仿宋_GB2312"/>
          <w:bCs/>
          <w:color w:val="000000"/>
          <w:szCs w:val="28"/>
        </w:rPr>
      </w:pPr>
      <w:r>
        <w:rPr>
          <w:rFonts w:hint="eastAsia" w:ascii="仿宋_GB2312" w:hAnsi="宋体" w:eastAsia="仿宋_GB2312"/>
          <w:b/>
          <w:szCs w:val="28"/>
        </w:rPr>
        <w:t>最终报价一经确定不得更改，且不受市场价格波动影响。</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（3）其它费用处理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磋商文件未列明，而供应商认为必需的费用也需列入报价。</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7.响应文件货币</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响应文件中的货物单价和总价无特殊规定的采用人民币报价。磋商文件中另有规定的按规定执行。</w:t>
      </w:r>
    </w:p>
    <w:p>
      <w:pPr>
        <w:adjustRightInd w:val="0"/>
        <w:snapToGrid w:val="0"/>
        <w:spacing w:line="500" w:lineRule="exact"/>
        <w:ind w:firstLine="560" w:firstLineChars="200"/>
        <w:rPr>
          <w:rFonts w:ascii="仿宋_GB2312" w:eastAsia="仿宋_GB2312"/>
          <w:color w:val="000000"/>
          <w:szCs w:val="28"/>
        </w:rPr>
      </w:pPr>
      <w:bookmarkStart w:id="63" w:name="_Hlt26954739"/>
      <w:bookmarkEnd w:id="63"/>
      <w:bookmarkStart w:id="64" w:name="_Hlt26670482"/>
      <w:bookmarkEnd w:id="64"/>
      <w:bookmarkStart w:id="65" w:name="_Hlt26670486"/>
      <w:bookmarkEnd w:id="65"/>
      <w:bookmarkStart w:id="66" w:name="_Hlt26954846"/>
      <w:bookmarkEnd w:id="66"/>
      <w:bookmarkStart w:id="67" w:name="_Hlt26954848"/>
      <w:bookmarkEnd w:id="67"/>
      <w:bookmarkStart w:id="68" w:name="_Hlt26954852"/>
      <w:bookmarkEnd w:id="68"/>
      <w:bookmarkStart w:id="69" w:name="_Hlt26954731"/>
      <w:bookmarkEnd w:id="69"/>
      <w:bookmarkStart w:id="70" w:name="_Toc14577361"/>
      <w:bookmarkStart w:id="71" w:name="_Toc49090512"/>
      <w:r>
        <w:rPr>
          <w:rFonts w:hint="eastAsia" w:ascii="仿宋_GB2312" w:eastAsia="仿宋_GB2312"/>
          <w:color w:val="000000"/>
          <w:szCs w:val="28"/>
          <w:lang w:val="en-US" w:eastAsia="zh-CN"/>
        </w:rPr>
        <w:t>8</w:t>
      </w:r>
      <w:r>
        <w:rPr>
          <w:rFonts w:hint="eastAsia" w:ascii="仿宋_GB2312" w:eastAsia="仿宋_GB2312"/>
          <w:color w:val="000000"/>
          <w:szCs w:val="28"/>
        </w:rPr>
        <w:t>.响应文件份数和签署</w:t>
      </w:r>
      <w:bookmarkEnd w:id="70"/>
      <w:bookmarkEnd w:id="71"/>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（1）供应商应严格按照磋商公告要求的份数准备响应文件，每份响应文件须清楚地标明“正本”或“副本”字样。一旦正本和副本不符，以正本为准。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（2）响应文件的正本和所有的副本均需打印或复印，正本由供应商法定代表人或其授权代表签字。授权代表须将“法人授权书”（原件）附在正本响应文件中。</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（3）除供应商对错处做必要修改外，响应文件不得行间插字、涂改或增删。如有修改错漏处，必须由响应文件签署人签字或盖章。</w:t>
      </w:r>
    </w:p>
    <w:p>
      <w:pPr>
        <w:adjustRightInd w:val="0"/>
        <w:snapToGrid w:val="0"/>
        <w:spacing w:line="500" w:lineRule="exact"/>
        <w:ind w:firstLine="562" w:firstLineChars="200"/>
        <w:rPr>
          <w:rFonts w:ascii="仿宋_GB2312" w:hAnsi="宋体" w:eastAsia="仿宋_GB2312"/>
          <w:b/>
          <w:color w:val="000000"/>
          <w:szCs w:val="28"/>
        </w:rPr>
      </w:pPr>
      <w:bookmarkStart w:id="72" w:name="_Toc513029224"/>
      <w:bookmarkStart w:id="73" w:name="_Toc20823296"/>
      <w:bookmarkStart w:id="74" w:name="_Toc16938540"/>
      <w:bookmarkStart w:id="75" w:name="_Toc403987208"/>
      <w:bookmarkStart w:id="76" w:name="_Toc120614217"/>
      <w:r>
        <w:rPr>
          <w:rFonts w:hint="eastAsia" w:ascii="仿宋_GB2312" w:hAnsi="宋体" w:eastAsia="仿宋_GB2312"/>
          <w:b/>
          <w:color w:val="000000"/>
          <w:szCs w:val="28"/>
        </w:rPr>
        <w:t>四、响应文件的递交</w:t>
      </w:r>
      <w:bookmarkEnd w:id="72"/>
      <w:bookmarkEnd w:id="73"/>
      <w:bookmarkEnd w:id="74"/>
      <w:bookmarkEnd w:id="75"/>
      <w:bookmarkEnd w:id="76"/>
    </w:p>
    <w:p>
      <w:pPr>
        <w:adjustRightInd w:val="0"/>
        <w:snapToGrid w:val="0"/>
        <w:spacing w:line="500" w:lineRule="exact"/>
        <w:ind w:firstLine="560" w:firstLineChars="200"/>
        <w:rPr>
          <w:rFonts w:ascii="仿宋_GB2312" w:eastAsia="仿宋_GB2312"/>
          <w:color w:val="000000"/>
          <w:szCs w:val="28"/>
        </w:rPr>
      </w:pPr>
      <w:bookmarkStart w:id="77" w:name="_Toc513029225"/>
      <w:bookmarkStart w:id="78" w:name="_Toc16938541"/>
      <w:bookmarkStart w:id="79" w:name="_Toc462564084"/>
      <w:bookmarkStart w:id="80" w:name="_Toc20823297"/>
      <w:r>
        <w:rPr>
          <w:rFonts w:hint="eastAsia" w:ascii="仿宋_GB2312" w:eastAsia="仿宋_GB2312"/>
          <w:color w:val="000000"/>
          <w:szCs w:val="28"/>
        </w:rPr>
        <w:t>1.响应文件的密封和标记</w:t>
      </w:r>
      <w:bookmarkEnd w:id="77"/>
      <w:bookmarkEnd w:id="78"/>
      <w:bookmarkEnd w:id="79"/>
      <w:bookmarkEnd w:id="80"/>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（1）供应商应将响应文件正本和所有副本密封，并加盖供应商公章。不论供应商成交与否，响应文件均不退回。</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（2）密封的响应文件应：</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1）注明供应商名称，如因标注不清而产生的后果由供应商自负。按磋商公告中注明的地址送达；</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2）注明磋商项目名称、项目编号。</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3）未按要求密封和加写标记，采购人对误投或过早启封概不负责。对由此造成提前开封的响应文件，采购人将予以拒绝，作无效响应处理。</w:t>
      </w:r>
    </w:p>
    <w:p>
      <w:pPr>
        <w:adjustRightInd w:val="0"/>
        <w:snapToGrid w:val="0"/>
        <w:spacing w:line="500" w:lineRule="exact"/>
        <w:ind w:firstLine="560" w:firstLineChars="200"/>
        <w:rPr>
          <w:rFonts w:ascii="仿宋_GB2312" w:eastAsia="仿宋_GB2312"/>
          <w:color w:val="000000"/>
          <w:szCs w:val="28"/>
        </w:rPr>
      </w:pPr>
      <w:bookmarkStart w:id="81" w:name="_Toc20823298"/>
      <w:bookmarkStart w:id="82" w:name="_Toc16938542"/>
      <w:bookmarkStart w:id="83" w:name="_Toc513029226"/>
      <w:r>
        <w:rPr>
          <w:rFonts w:hint="eastAsia" w:ascii="仿宋_GB2312" w:eastAsia="仿宋_GB2312"/>
          <w:color w:val="000000"/>
          <w:szCs w:val="28"/>
        </w:rPr>
        <w:t>2.响应文件提交截止</w:t>
      </w:r>
      <w:bookmarkEnd w:id="81"/>
      <w:bookmarkEnd w:id="82"/>
      <w:bookmarkEnd w:id="83"/>
      <w:r>
        <w:rPr>
          <w:rFonts w:hint="eastAsia" w:ascii="仿宋_GB2312" w:eastAsia="仿宋_GB2312"/>
          <w:color w:val="000000"/>
          <w:szCs w:val="28"/>
        </w:rPr>
        <w:t>时间</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（1）采购人收到响应文件的时间不得迟于磋商公告中规定的截止时间。</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500" w:lineRule="exact"/>
        <w:ind w:firstLine="562" w:firstLineChars="200"/>
        <w:rPr>
          <w:rFonts w:ascii="仿宋_GB2312" w:hAnsi="宋体" w:eastAsia="仿宋_GB2312"/>
          <w:b/>
          <w:color w:val="000000"/>
          <w:szCs w:val="28"/>
        </w:rPr>
      </w:pPr>
      <w:r>
        <w:rPr>
          <w:rFonts w:hint="eastAsia" w:ascii="仿宋_GB2312" w:hAnsi="宋体" w:eastAsia="仿宋_GB2312"/>
          <w:b/>
          <w:color w:val="000000"/>
          <w:szCs w:val="28"/>
        </w:rPr>
        <w:t>五、磋商与评审</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1.磋商仪式</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（1）采购人将在磋商公告中规定的时间和地点组织磋商</w:t>
      </w:r>
      <w:r>
        <w:rPr>
          <w:rFonts w:hint="eastAsia" w:ascii="仿宋_GB2312" w:hAnsi="宋体" w:eastAsia="仿宋_GB2312"/>
          <w:color w:val="000000"/>
          <w:szCs w:val="28"/>
        </w:rPr>
        <w:t>。供应商应委派携带有效证件的代表准时参加，参加磋商的代表需签名以证明其出席。</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（2）磋商仪式由采购人代表主持，采购人代表、供应商代表以及有关工作人员参加。</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（3）磋商时请</w:t>
      </w:r>
      <w:r>
        <w:rPr>
          <w:rFonts w:hint="eastAsia" w:ascii="仿宋_GB2312" w:hAnsi="宋体" w:eastAsia="仿宋_GB2312"/>
          <w:color w:val="000000"/>
          <w:szCs w:val="28"/>
          <w:lang w:val="en-US" w:eastAsia="zh-CN"/>
        </w:rPr>
        <w:t>工作</w:t>
      </w:r>
      <w:r>
        <w:rPr>
          <w:rFonts w:hint="eastAsia" w:ascii="仿宋_GB2312" w:hAnsi="宋体" w:eastAsia="仿宋_GB2312"/>
          <w:color w:val="000000"/>
          <w:szCs w:val="28"/>
        </w:rPr>
        <w:t>人员查验响应文件密封情况，至响应文件开启时间后由磋商小组开启响应文件。</w:t>
      </w:r>
    </w:p>
    <w:p>
      <w:pPr>
        <w:adjustRightInd w:val="0"/>
        <w:snapToGrid w:val="0"/>
        <w:spacing w:line="500" w:lineRule="exact"/>
        <w:ind w:firstLine="560" w:firstLineChars="200"/>
        <w:rPr>
          <w:rFonts w:ascii="仿宋_GB2312" w:eastAsia="仿宋_GB2312"/>
          <w:color w:val="000000"/>
          <w:szCs w:val="28"/>
        </w:rPr>
      </w:pPr>
      <w:bookmarkStart w:id="84" w:name="_Toc513029231"/>
      <w:bookmarkStart w:id="85" w:name="_Toc16938547"/>
      <w:bookmarkStart w:id="86" w:name="_Toc20823303"/>
      <w:r>
        <w:rPr>
          <w:rFonts w:hint="eastAsia" w:ascii="仿宋_GB2312" w:eastAsia="仿宋_GB2312"/>
          <w:color w:val="000000"/>
          <w:szCs w:val="28"/>
        </w:rPr>
        <w:t>2.磋商小组</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（1）磋商仪式结束后，采购人将立即组织磋商小组进行磋商。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（2）磋商小组将按规定由3人或以上单数组成。</w:t>
      </w:r>
    </w:p>
    <w:bookmarkEnd w:id="84"/>
    <w:bookmarkEnd w:id="85"/>
    <w:bookmarkEnd w:id="86"/>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（3）磋商小组工作原则</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3.响应文件审查</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500" w:lineRule="exact"/>
        <w:ind w:firstLine="560" w:firstLineChars="200"/>
        <w:rPr>
          <w:rFonts w:ascii="仿宋_GB2312" w:eastAsia="仿宋_GB2312"/>
          <w:color w:val="000000"/>
          <w:szCs w:val="28"/>
        </w:rPr>
      </w:pPr>
      <w:bookmarkStart w:id="87" w:name="_Toc20823304"/>
      <w:bookmarkStart w:id="88" w:name="_Toc513029232"/>
      <w:bookmarkStart w:id="89" w:name="_Toc16938548"/>
      <w:r>
        <w:rPr>
          <w:rFonts w:hint="eastAsia" w:ascii="仿宋_GB2312" w:eastAsia="仿宋_GB2312"/>
          <w:color w:val="000000"/>
          <w:szCs w:val="28"/>
        </w:rPr>
        <w:t>4.供应商澄清</w:t>
      </w:r>
      <w:bookmarkEnd w:id="87"/>
      <w:bookmarkEnd w:id="88"/>
      <w:bookmarkEnd w:id="89"/>
    </w:p>
    <w:p>
      <w:pPr>
        <w:adjustRightInd w:val="0"/>
        <w:snapToGrid w:val="0"/>
        <w:spacing w:line="500" w:lineRule="exact"/>
        <w:ind w:firstLine="560" w:firstLineChars="200"/>
        <w:rPr>
          <w:rFonts w:ascii="仿宋_GB2312" w:eastAsia="仿宋_GB2312"/>
          <w:color w:val="000000"/>
          <w:szCs w:val="28"/>
        </w:rPr>
      </w:pPr>
      <w:bookmarkStart w:id="90" w:name="_Toc20823305"/>
      <w:bookmarkStart w:id="91" w:name="_Toc16938549"/>
      <w:bookmarkStart w:id="92" w:name="_Toc513029233"/>
      <w:r>
        <w:rPr>
          <w:rFonts w:hint="eastAsia" w:ascii="仿宋_GB2312" w:eastAsia="仿宋_GB2312"/>
          <w:color w:val="000000"/>
          <w:szCs w:val="28"/>
        </w:rPr>
        <w:t>（1）磋商小组要求供应商澄清、说明或者更正响应文件将以书面形式作出。</w:t>
      </w:r>
    </w:p>
    <w:bookmarkEnd w:id="90"/>
    <w:bookmarkEnd w:id="91"/>
    <w:bookmarkEnd w:id="92"/>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5.磋商程序、最后报价、综合评分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（1）磋商小组所有成员应当集中与单一供应商分别进行磋商，并给予所有参加磋商的供应商平等的磋商机会。</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（3）磋商文件能够详细列明采购标的的技术、服务要求的，磋商结束后，磋商小组将要求所有实质性响应的供应商在规定时间内提交最后报价。最后报价是供应商响应文件的有效组成部分。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（4）已提交响应文件的供应商，在提交最后报价之前，可以根据磋商情况退出磋商。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（6）评审时，磋商小组各成员独立对每个有效响应的文件进行评价、打分，然后汇总每个供应商每项评分因素的得分。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7）磋商小组应当根据综合评分情况，按照评审得分由高到低顺序推荐2名成交候选单位，并编写评审报告。评审得分相同的，按照最后报价由低到高的顺序推荐。评审得分且最后报价相同的，按照技术指标优劣顺序推荐。</w:t>
      </w:r>
    </w:p>
    <w:p>
      <w:pPr>
        <w:adjustRightInd w:val="0"/>
        <w:snapToGrid w:val="0"/>
        <w:spacing w:line="500" w:lineRule="exact"/>
        <w:ind w:firstLine="560" w:firstLineChars="200"/>
        <w:rPr>
          <w:rFonts w:ascii="仿宋_GB2312" w:hAnsi="宋体" w:eastAsia="仿宋_GB2312"/>
          <w:color w:val="000000"/>
          <w:szCs w:val="28"/>
        </w:rPr>
      </w:pPr>
      <w:r>
        <w:rPr>
          <w:rFonts w:hint="eastAsia" w:ascii="仿宋_GB2312" w:eastAsia="仿宋_GB2312"/>
          <w:color w:val="000000"/>
          <w:szCs w:val="28"/>
        </w:rPr>
        <w:t>6.</w:t>
      </w:r>
      <w:bookmarkStart w:id="93" w:name="_Toc16938551"/>
      <w:bookmarkStart w:id="94" w:name="_Toc20823307"/>
      <w:bookmarkStart w:id="95" w:name="_Toc513029235"/>
      <w:r>
        <w:rPr>
          <w:rFonts w:hint="eastAsia" w:ascii="仿宋_GB2312" w:hAnsi="宋体" w:eastAsia="仿宋_GB2312"/>
          <w:color w:val="000000"/>
          <w:szCs w:val="28"/>
        </w:rPr>
        <w:t>响应无效条款</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1</w:t>
      </w:r>
      <w:r>
        <w:rPr>
          <w:rFonts w:hint="eastAsia" w:ascii="仿宋_GB2312" w:hAnsi="宋体" w:eastAsia="仿宋_GB2312"/>
          <w:color w:val="000000"/>
          <w:szCs w:val="28"/>
        </w:rPr>
        <w:t>）未按照磋商文件规定要求密封、签署、盖章的；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2</w:t>
      </w:r>
      <w:r>
        <w:rPr>
          <w:rFonts w:hint="eastAsia" w:ascii="仿宋_GB2312" w:hAnsi="宋体" w:eastAsia="仿宋_GB2312"/>
          <w:color w:val="000000"/>
          <w:szCs w:val="28"/>
        </w:rPr>
        <w:t>）供应商不具备磋商文件中规定资格条件的；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3</w:t>
      </w:r>
      <w:r>
        <w:rPr>
          <w:rFonts w:hint="eastAsia" w:ascii="仿宋_GB2312" w:hAnsi="宋体" w:eastAsia="仿宋_GB2312"/>
          <w:color w:val="000000"/>
          <w:szCs w:val="28"/>
        </w:rPr>
        <w:t>）不符合法律、法规和磋商文件中规定的其他实质性要求的；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4</w:t>
      </w:r>
      <w:r>
        <w:rPr>
          <w:rFonts w:hint="eastAsia" w:ascii="仿宋_GB2312" w:hAnsi="宋体" w:eastAsia="仿宋_GB2312"/>
          <w:color w:val="000000"/>
          <w:szCs w:val="28"/>
        </w:rPr>
        <w:t>）其他法律、法规及本磋商文件规定的属响应无效的情形。</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7.终止磋商采购活动的条款</w:t>
      </w:r>
    </w:p>
    <w:p>
      <w:pPr>
        <w:adjustRightInd w:val="0"/>
        <w:snapToGrid w:val="0"/>
        <w:spacing w:line="500" w:lineRule="exact"/>
        <w:ind w:firstLine="560" w:firstLineChars="200"/>
        <w:rPr>
          <w:rFonts w:ascii="仿宋_GB2312" w:hAnsi="宋体" w:eastAsia="仿宋_GB2312" w:cs="宋体"/>
          <w:color w:val="000000"/>
          <w:szCs w:val="28"/>
        </w:rPr>
      </w:pPr>
      <w:r>
        <w:rPr>
          <w:rFonts w:hint="eastAsia" w:ascii="仿宋_GB2312" w:hAnsi="宋体" w:eastAsia="仿宋_GB2312" w:cs="宋体"/>
          <w:color w:val="000000"/>
          <w:szCs w:val="28"/>
        </w:rPr>
        <w:t>出现下列情形之一的，采购人将终止磋商采购活动，发布项目终止公告并说明原因，重新开展采购活动：</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（1）因情况变化，不再符合规定的磋商采购方式适用情形的；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（2）出现影响采购公正的违法、违规行为的；</w:t>
      </w:r>
    </w:p>
    <w:bookmarkEnd w:id="93"/>
    <w:bookmarkEnd w:id="94"/>
    <w:bookmarkEnd w:id="95"/>
    <w:p>
      <w:pPr>
        <w:adjustRightInd w:val="0"/>
        <w:snapToGrid w:val="0"/>
        <w:spacing w:line="500" w:lineRule="exact"/>
        <w:ind w:firstLine="560" w:firstLineChars="200"/>
        <w:rPr>
          <w:rFonts w:ascii="仿宋_GB2312" w:eastAsia="仿宋_GB2312"/>
          <w:color w:val="000000"/>
          <w:szCs w:val="28"/>
        </w:rPr>
      </w:pPr>
      <w:bookmarkStart w:id="96" w:name="_Toc16938554"/>
      <w:bookmarkStart w:id="97" w:name="_Toc20823310"/>
      <w:r>
        <w:rPr>
          <w:rFonts w:hint="eastAsia" w:ascii="仿宋_GB2312" w:eastAsia="仿宋_GB2312"/>
          <w:color w:val="000000"/>
          <w:szCs w:val="28"/>
        </w:rPr>
        <w:t>8.确定</w:t>
      </w:r>
      <w:bookmarkEnd w:id="96"/>
      <w:bookmarkEnd w:id="97"/>
      <w:r>
        <w:rPr>
          <w:rFonts w:hint="eastAsia" w:ascii="仿宋_GB2312" w:eastAsia="仿宋_GB2312"/>
          <w:color w:val="000000"/>
          <w:szCs w:val="28"/>
        </w:rPr>
        <w:t>成交供应商</w:t>
      </w:r>
    </w:p>
    <w:p>
      <w:pPr>
        <w:pStyle w:val="43"/>
        <w:snapToGrid w:val="0"/>
        <w:spacing w:line="500" w:lineRule="exact"/>
        <w:ind w:firstLine="560"/>
        <w:rPr>
          <w:rFonts w:ascii="仿宋_GB2312" w:hAnsi="宋体" w:eastAsia="仿宋_GB2312" w:cs="Times New Roman"/>
          <w:color w:val="000000"/>
          <w:szCs w:val="28"/>
        </w:rPr>
      </w:pPr>
      <w:r>
        <w:rPr>
          <w:rFonts w:hint="eastAsia" w:ascii="仿宋_GB2312" w:hAnsi="宋体" w:eastAsia="仿宋_GB2312" w:cs="Times New Roman"/>
          <w:color w:val="000000"/>
          <w:szCs w:val="28"/>
        </w:rPr>
        <w:t>（1）采购人在评审结束后5个工作日内，从评审报告提出的中标候选单位中，按照排序由高到低的原则确定中标候选单位。</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（2）采购人在成交单位确定后2个工作日内在“皖南医学院校园网”公告中标结果。</w:t>
      </w:r>
    </w:p>
    <w:p>
      <w:pPr>
        <w:adjustRightInd w:val="0"/>
        <w:snapToGrid w:val="0"/>
        <w:spacing w:line="500" w:lineRule="exact"/>
        <w:ind w:firstLine="562" w:firstLineChars="200"/>
        <w:rPr>
          <w:rFonts w:ascii="仿宋_GB2312" w:hAnsi="宋体" w:eastAsia="仿宋_GB2312"/>
          <w:b/>
          <w:color w:val="000000"/>
          <w:szCs w:val="28"/>
        </w:rPr>
      </w:pPr>
      <w:bookmarkStart w:id="98" w:name="_Toc120614220"/>
      <w:bookmarkStart w:id="99" w:name="_Toc403987211"/>
      <w:bookmarkStart w:id="100" w:name="_Toc513029236"/>
      <w:bookmarkStart w:id="101" w:name="_Toc16938552"/>
      <w:bookmarkStart w:id="102" w:name="_Toc20823308"/>
      <w:r>
        <w:rPr>
          <w:rFonts w:hint="eastAsia" w:ascii="仿宋_GB2312" w:hAnsi="宋体" w:eastAsia="仿宋_GB2312"/>
          <w:b/>
          <w:color w:val="000000"/>
          <w:szCs w:val="28"/>
        </w:rPr>
        <w:t>六、授予合同</w:t>
      </w:r>
      <w:bookmarkEnd w:id="98"/>
      <w:bookmarkEnd w:id="99"/>
    </w:p>
    <w:bookmarkEnd w:id="100"/>
    <w:bookmarkEnd w:id="101"/>
    <w:bookmarkEnd w:id="102"/>
    <w:p>
      <w:pPr>
        <w:adjustRightInd w:val="0"/>
        <w:snapToGrid w:val="0"/>
        <w:spacing w:line="500" w:lineRule="exact"/>
        <w:ind w:firstLine="560" w:firstLineChars="200"/>
        <w:rPr>
          <w:rFonts w:ascii="仿宋_GB2312" w:eastAsia="仿宋_GB2312"/>
          <w:color w:val="000000"/>
          <w:szCs w:val="28"/>
        </w:rPr>
      </w:pPr>
      <w:bookmarkStart w:id="103" w:name="_Toc20823309"/>
      <w:bookmarkStart w:id="104" w:name="_Toc513029237"/>
      <w:bookmarkStart w:id="105" w:name="_Toc16938553"/>
      <w:r>
        <w:rPr>
          <w:rFonts w:hint="eastAsia" w:ascii="仿宋_GB2312" w:eastAsia="仿宋_GB2312"/>
          <w:color w:val="000000"/>
          <w:szCs w:val="28"/>
        </w:rPr>
        <w:t>1.签订合同</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（1）采购人与成交单位应当在中标通知书发出之日起</w:t>
      </w:r>
      <w:r>
        <w:rPr>
          <w:rFonts w:hint="eastAsia" w:ascii="仿宋_GB2312" w:hAnsi="宋体" w:eastAsia="仿宋_GB2312"/>
          <w:color w:val="000000"/>
          <w:szCs w:val="28"/>
          <w:lang w:val="en-US" w:eastAsia="zh-CN"/>
        </w:rPr>
        <w:t>10个工作</w:t>
      </w:r>
      <w:r>
        <w:rPr>
          <w:rFonts w:hint="eastAsia" w:ascii="仿宋_GB2312" w:hAnsi="宋体" w:eastAsia="仿宋_GB2312"/>
          <w:color w:val="000000"/>
          <w:szCs w:val="28"/>
        </w:rPr>
        <w:t>日内，按照磋商文件确定的合同文本以及采购标的、采购金额、技术和服务要求等事项签订采购合同。</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成交单位拒绝签订采购合同的，采购人可以按照从评审报告提出的中标候选单位中，按照排序由高到低的原则重新确定其他供应商作为成交单位并签订采购合同，也可以重新开展采购活动。拒绝签订采购合同的成交单位不得参加对该项目重新开展的采购活动。</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（3）磋商文件、成交供应商的响应文件及磋商过程中有关澄清、承诺文件均应作为合同附件。</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2.履约保证金</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（1）成交单位在收到成交通知书后，</w:t>
      </w:r>
      <w:bookmarkStart w:id="106" w:name="_Toc200451963"/>
      <w:r>
        <w:rPr>
          <w:rFonts w:hint="eastAsia" w:ascii="仿宋_GB2312" w:hAnsi="宋体" w:eastAsia="仿宋_GB2312"/>
          <w:color w:val="000000"/>
          <w:szCs w:val="28"/>
          <w:lang w:val="en-US" w:eastAsia="zh-CN"/>
        </w:rPr>
        <w:t>需缴纳履约保证金（招标文件如有要求缴纳）</w:t>
      </w:r>
      <w:r>
        <w:rPr>
          <w:rFonts w:hint="eastAsia" w:ascii="仿宋_GB2312" w:hAnsi="宋体" w:eastAsia="仿宋_GB2312"/>
          <w:color w:val="000000"/>
          <w:szCs w:val="28"/>
        </w:rPr>
        <w:t>。</w:t>
      </w:r>
    </w:p>
    <w:bookmarkEnd w:id="106"/>
    <w:p>
      <w:pPr>
        <w:pStyle w:val="43"/>
        <w:snapToGrid w:val="0"/>
        <w:spacing w:line="500" w:lineRule="exact"/>
        <w:ind w:firstLine="560"/>
        <w:rPr>
          <w:rFonts w:ascii="仿宋_GB2312" w:hAnsi="宋体" w:eastAsia="仿宋_GB2312"/>
          <w:bCs/>
          <w:color w:val="000000"/>
          <w:szCs w:val="28"/>
        </w:rPr>
      </w:pPr>
      <w:r>
        <w:rPr>
          <w:rFonts w:hint="eastAsia" w:ascii="仿宋_GB2312" w:hAnsi="宋体" w:eastAsia="仿宋_GB2312"/>
          <w:bCs/>
          <w:color w:val="000000"/>
          <w:szCs w:val="28"/>
        </w:rPr>
        <w:t>（2）履约保证金的退还：根据合同约定的条款，</w:t>
      </w:r>
      <w:r>
        <w:rPr>
          <w:rFonts w:hint="eastAsia" w:ascii="仿宋_GB2312" w:hAnsi="宋体" w:eastAsia="仿宋_GB2312"/>
          <w:color w:val="000000"/>
          <w:szCs w:val="28"/>
        </w:rPr>
        <w:t>成交单位自行下载、完成《皖南医学院项目履约保证金退付申请表》</w:t>
      </w:r>
      <w:r>
        <w:rPr>
          <w:rFonts w:hint="eastAsia" w:ascii="仿宋_GB2312" w:hAnsi="宋体" w:eastAsia="仿宋_GB2312"/>
          <w:bCs/>
          <w:color w:val="000000"/>
          <w:szCs w:val="28"/>
        </w:rPr>
        <w:t>办理保证金退还手续。</w:t>
      </w:r>
      <w:bookmarkEnd w:id="103"/>
      <w:bookmarkEnd w:id="104"/>
      <w:bookmarkEnd w:id="105"/>
    </w:p>
    <w:p>
      <w:pPr>
        <w:pStyle w:val="43"/>
        <w:snapToGrid w:val="0"/>
        <w:ind w:firstLine="562"/>
        <w:rPr>
          <w:rFonts w:ascii="仿宋_GB2312" w:hAnsi="宋体" w:eastAsia="仿宋_GB2312"/>
          <w:b/>
          <w:bCs/>
          <w:color w:val="000000"/>
          <w:szCs w:val="28"/>
        </w:rPr>
      </w:pPr>
      <w:r>
        <w:rPr>
          <w:rFonts w:hint="eastAsia" w:ascii="仿宋_GB2312" w:hAnsi="宋体" w:eastAsia="仿宋_GB2312"/>
          <w:b/>
          <w:bCs/>
          <w:color w:val="000000"/>
          <w:szCs w:val="28"/>
        </w:rPr>
        <w:t>七、质疑与投诉</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本项目为我校校内统一采购项目，在采购活动中，如需质疑或投诉，按照《皖南医学院采购质疑与投诉管理办法（试行）》（见附件）进行。质疑及投诉联系方式如下：</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 xml:space="preserve">（一）质疑联系方式： </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1.联系部门：皖南医学院国资处；</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2.联系电话：0553-3932052；</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3.通讯地址：芜湖市高校园区文昌西路22号皖南医学院国资处。</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（二）投诉联系方式：</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1.联系部门：皖南医学院巡察工作办公室</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2.联系电话：0553-3932826</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3.通讯地址：芜湖市高校园区文昌西路22号皖南医学院巡察工作办公室</w:t>
      </w:r>
    </w:p>
    <w:p>
      <w:pPr>
        <w:pStyle w:val="43"/>
        <w:snapToGrid w:val="0"/>
        <w:ind w:right="280" w:rightChars="100" w:firstLine="560"/>
        <w:rPr>
          <w:rFonts w:ascii="仿宋_GB2312" w:hAnsi="宋体" w:eastAsia="仿宋_GB2312"/>
          <w:bCs/>
          <w:color w:val="000000"/>
          <w:szCs w:val="28"/>
        </w:rPr>
      </w:pPr>
    </w:p>
    <w:p>
      <w:pPr>
        <w:pStyle w:val="43"/>
        <w:snapToGrid w:val="0"/>
        <w:ind w:left="0" w:leftChars="0" w:right="280" w:rightChars="100" w:firstLine="0" w:firstLineChars="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2"/>
        <w:snapToGrid w:val="0"/>
        <w:spacing w:before="0" w:after="0" w:line="240" w:lineRule="atLeast"/>
        <w:ind w:left="947" w:hanging="947"/>
        <w:jc w:val="center"/>
        <w:rPr>
          <w:rFonts w:ascii="华文中宋" w:hAnsi="华文中宋" w:eastAsia="华文中宋"/>
          <w:bCs w:val="0"/>
          <w:color w:val="000000" w:themeColor="text1"/>
          <w14:textFill>
            <w14:solidFill>
              <w14:schemeClr w14:val="tx1"/>
            </w14:solidFill>
          </w14:textFill>
        </w:rPr>
      </w:pPr>
      <w:bookmarkStart w:id="107" w:name="_Toc479170302"/>
      <w:bookmarkStart w:id="108" w:name="_Toc516580572"/>
      <w:r>
        <w:rPr>
          <w:rFonts w:hint="eastAsia" w:ascii="华文中宋" w:hAnsi="华文中宋" w:eastAsia="华文中宋"/>
          <w:bCs w:val="0"/>
          <w:color w:val="000000" w:themeColor="text1"/>
          <w14:textFill>
            <w14:solidFill>
              <w14:schemeClr w14:val="tx1"/>
            </w14:solidFill>
          </w14:textFill>
        </w:rPr>
        <w:t>第四章  合同主要条款</w:t>
      </w:r>
      <w:bookmarkEnd w:id="107"/>
      <w:bookmarkEnd w:id="108"/>
    </w:p>
    <w:p>
      <w:pPr>
        <w:spacing w:line="480" w:lineRule="exact"/>
        <w:rPr>
          <w:rFonts w:ascii="仿宋_GB2312" w:hAnsi="仿宋" w:eastAsia="仿宋_GB2312"/>
          <w:szCs w:val="28"/>
        </w:rPr>
      </w:pPr>
    </w:p>
    <w:p>
      <w:pPr>
        <w:spacing w:line="480" w:lineRule="exact"/>
        <w:rPr>
          <w:rFonts w:hint="eastAsia" w:ascii="仿宋_GB2312" w:hAnsi="仿宋" w:eastAsia="仿宋_GB2312"/>
          <w:szCs w:val="28"/>
        </w:rPr>
      </w:pPr>
      <w:r>
        <w:rPr>
          <w:rFonts w:hint="eastAsia" w:ascii="仿宋_GB2312" w:hAnsi="仿宋" w:eastAsia="仿宋_GB2312"/>
          <w:szCs w:val="28"/>
        </w:rPr>
        <w:t xml:space="preserve"> </w:t>
      </w:r>
      <w:r>
        <w:rPr>
          <w:rFonts w:hint="eastAsia" w:ascii="仿宋_GB2312" w:hAnsi="仿宋" w:eastAsia="仿宋_GB2312"/>
          <w:szCs w:val="28"/>
          <w:lang w:val="en-US" w:eastAsia="zh-CN"/>
        </w:rPr>
        <w:t xml:space="preserve">                                             </w:t>
      </w:r>
      <w:r>
        <w:rPr>
          <w:rFonts w:hint="eastAsia" w:ascii="仿宋_GB2312" w:hAnsi="仿宋" w:eastAsia="仿宋_GB2312"/>
          <w:szCs w:val="28"/>
        </w:rPr>
        <w:t xml:space="preserve">合同编号：             </w:t>
      </w:r>
    </w:p>
    <w:p>
      <w:pPr>
        <w:spacing w:line="480" w:lineRule="exact"/>
        <w:rPr>
          <w:rFonts w:hint="eastAsia" w:ascii="仿宋_GB2312" w:hAnsi="仿宋" w:eastAsia="仿宋_GB2312"/>
          <w:szCs w:val="28"/>
        </w:rPr>
      </w:pPr>
    </w:p>
    <w:p>
      <w:pPr>
        <w:spacing w:line="560" w:lineRule="exact"/>
        <w:rPr>
          <w:rFonts w:ascii="宋体" w:hAnsi="宋体" w:eastAsia="宋体"/>
          <w:sz w:val="24"/>
          <w:szCs w:val="24"/>
        </w:rPr>
      </w:pPr>
      <w:r>
        <w:rPr>
          <w:rFonts w:hint="eastAsia" w:ascii="宋体" w:hAnsi="宋体" w:eastAsia="宋体"/>
          <w:b/>
          <w:sz w:val="24"/>
          <w:szCs w:val="24"/>
        </w:rPr>
        <w:t>甲方（买方）</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color w:val="AEAAAA"/>
          <w:sz w:val="24"/>
          <w:szCs w:val="24"/>
        </w:rPr>
        <w:t>皖南医学院（二级部门/单位）</w:t>
      </w:r>
      <w:r>
        <w:rPr>
          <w:rFonts w:ascii="宋体" w:hAnsi="宋体" w:eastAsia="宋体"/>
          <w:sz w:val="24"/>
          <w:szCs w:val="24"/>
        </w:rPr>
        <w:t xml:space="preserve">   </w:t>
      </w:r>
    </w:p>
    <w:p>
      <w:pPr>
        <w:spacing w:line="560" w:lineRule="exact"/>
        <w:rPr>
          <w:rFonts w:ascii="宋体" w:hAnsi="宋体" w:eastAsia="宋体"/>
          <w:sz w:val="24"/>
          <w:szCs w:val="24"/>
          <w:u w:val="single"/>
        </w:rPr>
      </w:pPr>
      <w:r>
        <w:rPr>
          <w:rFonts w:hint="eastAsia" w:ascii="宋体" w:hAnsi="宋体" w:eastAsia="宋体"/>
          <w:b/>
          <w:sz w:val="24"/>
          <w:szCs w:val="24"/>
        </w:rPr>
        <w:t>乙方（卖方</w:t>
      </w:r>
      <w:r>
        <w:rPr>
          <w:rFonts w:hint="eastAsia" w:ascii="宋体" w:hAnsi="宋体" w:eastAsia="宋体"/>
          <w:sz w:val="24"/>
          <w:szCs w:val="24"/>
        </w:rPr>
        <w:t>）：</w:t>
      </w:r>
      <w:r>
        <w:rPr>
          <w:rFonts w:ascii="宋体" w:hAnsi="宋体" w:eastAsia="宋体"/>
          <w:sz w:val="24"/>
          <w:szCs w:val="24"/>
          <w:u w:val="single"/>
        </w:rPr>
        <w:t xml:space="preserve">                           </w:t>
      </w:r>
    </w:p>
    <w:p>
      <w:pPr>
        <w:spacing w:line="560" w:lineRule="exact"/>
        <w:rPr>
          <w:rFonts w:ascii="宋体" w:hAnsi="宋体" w:eastAsia="宋体"/>
          <w:sz w:val="24"/>
          <w:szCs w:val="24"/>
        </w:rPr>
      </w:pPr>
      <w:r>
        <w:rPr>
          <w:rFonts w:hint="eastAsia" w:ascii="宋体" w:hAnsi="宋体" w:eastAsia="宋体"/>
          <w:b/>
          <w:sz w:val="24"/>
          <w:szCs w:val="24"/>
        </w:rPr>
        <w:t>签订地点</w:t>
      </w:r>
      <w:r>
        <w:rPr>
          <w:rFonts w:hint="eastAsia"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u w:val="single"/>
        </w:rPr>
        <w:t xml:space="preserve">皖南医学院 </w:t>
      </w:r>
      <w:r>
        <w:rPr>
          <w:rFonts w:ascii="宋体" w:hAnsi="宋体" w:eastAsia="宋体"/>
          <w:sz w:val="24"/>
          <w:szCs w:val="24"/>
          <w:u w:val="single"/>
        </w:rPr>
        <w:t xml:space="preserve">    </w:t>
      </w:r>
      <w:r>
        <w:rPr>
          <w:rFonts w:hint="eastAsia" w:ascii="宋体" w:hAnsi="宋体" w:eastAsia="宋体"/>
          <w:sz w:val="24"/>
          <w:szCs w:val="24"/>
          <w:u w:val="single"/>
        </w:rPr>
        <w:t xml:space="preserve">  校区</w:t>
      </w:r>
      <w:r>
        <w:rPr>
          <w:rFonts w:ascii="宋体" w:hAnsi="宋体" w:eastAsia="宋体"/>
          <w:sz w:val="24"/>
          <w:szCs w:val="24"/>
          <w:u w:val="single"/>
        </w:rPr>
        <w:t xml:space="preserve"> </w:t>
      </w:r>
    </w:p>
    <w:p>
      <w:pPr>
        <w:spacing w:line="560" w:lineRule="exact"/>
        <w:rPr>
          <w:rFonts w:ascii="宋体" w:hAnsi="宋体" w:eastAsia="宋体"/>
          <w:sz w:val="24"/>
          <w:szCs w:val="24"/>
        </w:rPr>
      </w:pPr>
      <w:r>
        <w:rPr>
          <w:rFonts w:hint="eastAsia" w:ascii="宋体" w:hAnsi="宋体" w:eastAsia="宋体"/>
          <w:b/>
          <w:sz w:val="24"/>
          <w:szCs w:val="24"/>
        </w:rPr>
        <w:t>签订时间</w:t>
      </w:r>
      <w:r>
        <w:rPr>
          <w:rFonts w:hint="eastAsia"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rPr>
        <w:t>年</w:t>
      </w:r>
      <w:r>
        <w:rPr>
          <w:rFonts w:ascii="宋体" w:hAnsi="宋体" w:eastAsia="宋体"/>
          <w:sz w:val="24"/>
          <w:szCs w:val="24"/>
          <w:u w:val="single"/>
        </w:rPr>
        <w:t xml:space="preserve">    </w:t>
      </w:r>
      <w:r>
        <w:rPr>
          <w:rFonts w:hint="eastAsia" w:ascii="宋体" w:hAnsi="宋体" w:eastAsia="宋体"/>
          <w:sz w:val="24"/>
          <w:szCs w:val="24"/>
        </w:rPr>
        <w:t>月</w:t>
      </w:r>
      <w:r>
        <w:rPr>
          <w:rFonts w:ascii="宋体" w:hAnsi="宋体" w:eastAsia="宋体"/>
          <w:sz w:val="24"/>
          <w:szCs w:val="24"/>
          <w:u w:val="single"/>
        </w:rPr>
        <w:t xml:space="preserve">    </w:t>
      </w:r>
      <w:r>
        <w:rPr>
          <w:rFonts w:hint="eastAsia" w:ascii="宋体" w:hAnsi="宋体" w:eastAsia="宋体"/>
          <w:sz w:val="24"/>
          <w:szCs w:val="24"/>
        </w:rPr>
        <w:t>日</w:t>
      </w:r>
    </w:p>
    <w:p>
      <w:pPr>
        <w:spacing w:line="560" w:lineRule="exact"/>
        <w:ind w:firstLine="480" w:firstLineChars="200"/>
        <w:rPr>
          <w:rFonts w:ascii="宋体" w:hAnsi="宋体" w:eastAsia="宋体"/>
          <w:sz w:val="24"/>
          <w:szCs w:val="24"/>
        </w:rPr>
      </w:pPr>
      <w:r>
        <w:rPr>
          <w:rFonts w:hint="eastAsia" w:ascii="宋体" w:hAnsi="宋体" w:eastAsia="宋体"/>
          <w:kern w:val="0"/>
          <w:sz w:val="24"/>
          <w:szCs w:val="24"/>
        </w:rPr>
        <w:t>根据《中华人民共和国民法典》</w:t>
      </w:r>
      <w:r>
        <w:rPr>
          <w:rFonts w:hint="eastAsia" w:ascii="宋体" w:hAnsi="宋体" w:eastAsia="宋体"/>
          <w:sz w:val="24"/>
          <w:szCs w:val="24"/>
        </w:rPr>
        <w:t>，经双方友好协商一致，共同签订本合同。</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服务名称及内容</w:t>
      </w:r>
    </w:p>
    <w:p>
      <w:pPr>
        <w:spacing w:line="560" w:lineRule="exact"/>
        <w:rPr>
          <w:rFonts w:ascii="宋体" w:hAnsi="宋体" w:eastAsia="宋体"/>
          <w:b/>
          <w:i/>
          <w:sz w:val="24"/>
          <w:szCs w:val="24"/>
          <w:u w:val="single"/>
        </w:rPr>
      </w:pPr>
      <w:r>
        <w:rPr>
          <w:rFonts w:hint="eastAsia" w:ascii="宋体" w:hAnsi="宋体" w:eastAsia="宋体"/>
          <w:b/>
          <w:i/>
          <w:sz w:val="24"/>
          <w:szCs w:val="24"/>
          <w:u w:val="single"/>
        </w:rPr>
        <w:t>（根据项目情况自拟）</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服务期限</w:t>
      </w:r>
    </w:p>
    <w:p>
      <w:pPr>
        <w:spacing w:line="560" w:lineRule="exact"/>
        <w:ind w:firstLine="480" w:firstLineChars="200"/>
        <w:rPr>
          <w:rFonts w:hint="eastAsia" w:ascii="宋体" w:hAnsi="宋体" w:eastAsia="宋体"/>
          <w:sz w:val="24"/>
          <w:szCs w:val="24"/>
        </w:rPr>
      </w:pPr>
      <w:r>
        <w:rPr>
          <w:rFonts w:hint="eastAsia" w:ascii="宋体" w:hAnsi="宋体" w:eastAsia="宋体"/>
          <w:sz w:val="24"/>
          <w:szCs w:val="24"/>
        </w:rPr>
        <w:t>乙方应于合同签订之日起</w:t>
      </w:r>
      <w:r>
        <w:rPr>
          <w:rFonts w:ascii="宋体" w:hAnsi="宋体" w:eastAsia="宋体"/>
          <w:sz w:val="24"/>
          <w:szCs w:val="24"/>
          <w:u w:val="single"/>
        </w:rPr>
        <w:t xml:space="preserve">      </w:t>
      </w:r>
      <w:r>
        <w:rPr>
          <w:rFonts w:hint="eastAsia" w:ascii="宋体" w:hAnsi="宋体" w:eastAsia="宋体"/>
          <w:sz w:val="24"/>
          <w:szCs w:val="24"/>
        </w:rPr>
        <w:t>日内完成合同约定的服务内容，由甲方进行验收。</w:t>
      </w:r>
    </w:p>
    <w:p>
      <w:pPr>
        <w:spacing w:line="560" w:lineRule="exact"/>
        <w:rPr>
          <w:rFonts w:ascii="宋体" w:hAnsi="宋体" w:eastAsia="宋体"/>
          <w:b/>
          <w:sz w:val="24"/>
          <w:szCs w:val="24"/>
          <w:u w:val="single"/>
        </w:rPr>
      </w:pPr>
      <w:r>
        <w:rPr>
          <w:rFonts w:hint="eastAsia" w:ascii="宋体" w:hAnsi="宋体" w:eastAsia="宋体"/>
          <w:sz w:val="24"/>
          <w:szCs w:val="24"/>
        </w:rPr>
        <w:t>验收方式为：</w:t>
      </w:r>
      <w:r>
        <w:rPr>
          <w:rFonts w:hint="eastAsia" w:ascii="宋体" w:hAnsi="宋体" w:eastAsia="宋体"/>
          <w:b/>
          <w:i/>
          <w:sz w:val="24"/>
          <w:szCs w:val="24"/>
          <w:u w:val="single"/>
        </w:rPr>
        <w:t>（根据项目情况自拟）</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合同金额：</w:t>
      </w:r>
      <w:r>
        <w:rPr>
          <w:rFonts w:hint="eastAsia"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rPr>
        <w:t>元（人民币大写：</w:t>
      </w:r>
      <w:r>
        <w:rPr>
          <w:rFonts w:ascii="宋体" w:hAnsi="宋体" w:eastAsia="宋体"/>
          <w:sz w:val="24"/>
          <w:szCs w:val="24"/>
          <w:u w:val="single"/>
        </w:rPr>
        <w:t xml:space="preserve">                       </w:t>
      </w:r>
      <w:r>
        <w:rPr>
          <w:rFonts w:hint="eastAsia" w:ascii="宋体" w:hAnsi="宋体" w:eastAsia="宋体"/>
          <w:sz w:val="24"/>
          <w:szCs w:val="24"/>
        </w:rPr>
        <w:t>）</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合同款支付</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甲方按以下第</w:t>
      </w:r>
      <w:r>
        <w:rPr>
          <w:rFonts w:ascii="宋体" w:hAnsi="宋体" w:eastAsia="宋体"/>
          <w:sz w:val="24"/>
          <w:szCs w:val="24"/>
          <w:u w:val="single"/>
        </w:rPr>
        <w:t xml:space="preserve">     </w:t>
      </w:r>
      <w:r>
        <w:rPr>
          <w:rFonts w:hint="eastAsia" w:ascii="宋体" w:hAnsi="宋体" w:eastAsia="宋体"/>
          <w:sz w:val="24"/>
          <w:szCs w:val="24"/>
        </w:rPr>
        <w:t>种方式支付合同款（选择其一）：</w:t>
      </w:r>
    </w:p>
    <w:p>
      <w:pPr>
        <w:spacing w:line="560" w:lineRule="exact"/>
        <w:ind w:left="465"/>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 xml:space="preserve"> </w:t>
      </w:r>
      <w:r>
        <w:rPr>
          <w:rFonts w:hint="eastAsia" w:ascii="宋体" w:hAnsi="宋体" w:eastAsia="宋体"/>
          <w:sz w:val="24"/>
          <w:szCs w:val="24"/>
        </w:rPr>
        <w:t>乙方履约完成并经甲方验收合格后，甲方于</w:t>
      </w:r>
      <w:r>
        <w:rPr>
          <w:rFonts w:ascii="宋体" w:hAnsi="宋体" w:eastAsia="宋体"/>
          <w:sz w:val="24"/>
          <w:szCs w:val="24"/>
          <w:u w:val="single"/>
        </w:rPr>
        <w:t xml:space="preserve">      </w:t>
      </w:r>
      <w:r>
        <w:rPr>
          <w:rFonts w:hint="eastAsia" w:ascii="宋体" w:hAnsi="宋体" w:eastAsia="宋体"/>
          <w:sz w:val="24"/>
          <w:szCs w:val="24"/>
        </w:rPr>
        <w:t>日内一次性付清合同款。</w:t>
      </w:r>
    </w:p>
    <w:p>
      <w:pPr>
        <w:spacing w:line="560" w:lineRule="exact"/>
        <w:ind w:left="465"/>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 xml:space="preserve"> </w:t>
      </w:r>
      <w:r>
        <w:rPr>
          <w:rFonts w:hint="eastAsia" w:ascii="宋体" w:hAnsi="宋体" w:eastAsia="宋体"/>
          <w:sz w:val="24"/>
          <w:szCs w:val="24"/>
        </w:rPr>
        <w:t>签订合同后甲方预付合同款的</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（即</w:t>
      </w:r>
      <w:r>
        <w:rPr>
          <w:rFonts w:ascii="宋体" w:hAnsi="宋体" w:eastAsia="宋体"/>
          <w:sz w:val="24"/>
          <w:szCs w:val="24"/>
          <w:u w:val="single"/>
        </w:rPr>
        <w:t xml:space="preserve">        </w:t>
      </w:r>
      <w:r>
        <w:rPr>
          <w:rFonts w:hint="eastAsia" w:ascii="宋体" w:hAnsi="宋体" w:eastAsia="宋体"/>
          <w:sz w:val="24"/>
          <w:szCs w:val="24"/>
        </w:rPr>
        <w:t>元），乙方履约完成经甲方验收合格后，甲方于</w:t>
      </w:r>
      <w:r>
        <w:rPr>
          <w:rFonts w:ascii="宋体" w:hAnsi="宋体" w:eastAsia="宋体"/>
          <w:sz w:val="24"/>
          <w:szCs w:val="24"/>
          <w:u w:val="single"/>
        </w:rPr>
        <w:t xml:space="preserve">      </w:t>
      </w:r>
      <w:r>
        <w:rPr>
          <w:rFonts w:hint="eastAsia" w:ascii="宋体" w:hAnsi="宋体" w:eastAsia="宋体"/>
          <w:sz w:val="24"/>
          <w:szCs w:val="24"/>
        </w:rPr>
        <w:t>日内一次性付清余款。</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乙方须按国家有关财税规定为甲方开具正规发票。</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售后服务</w:t>
      </w:r>
    </w:p>
    <w:p>
      <w:pPr>
        <w:numPr>
          <w:ilvl w:val="0"/>
          <w:numId w:val="4"/>
        </w:numPr>
        <w:spacing w:line="560" w:lineRule="exact"/>
        <w:rPr>
          <w:rFonts w:ascii="宋体" w:hAnsi="宋体" w:eastAsia="宋体"/>
          <w:sz w:val="24"/>
          <w:szCs w:val="24"/>
        </w:rPr>
      </w:pPr>
      <w:r>
        <w:rPr>
          <w:rFonts w:ascii="宋体" w:hAnsi="宋体" w:eastAsia="宋体"/>
          <w:sz w:val="24"/>
          <w:szCs w:val="24"/>
          <w:u w:val="single"/>
        </w:rPr>
        <w:t xml:space="preserve">        </w:t>
      </w:r>
      <w:r>
        <w:rPr>
          <w:rFonts w:hint="eastAsia" w:ascii="宋体" w:hAnsi="宋体" w:eastAsia="宋体"/>
          <w:sz w:val="24"/>
          <w:szCs w:val="24"/>
        </w:rPr>
        <w:t>年免费维保（自验收合格之日起）</w:t>
      </w:r>
      <w:r>
        <w:rPr>
          <w:rFonts w:hint="eastAsia" w:ascii="宋体" w:hAnsi="宋体" w:eastAsia="宋体"/>
          <w:b/>
          <w:i/>
          <w:sz w:val="24"/>
          <w:szCs w:val="24"/>
        </w:rPr>
        <w:t>（此条可根据项目性质编辑修改）</w:t>
      </w:r>
      <w:r>
        <w:rPr>
          <w:rFonts w:hint="eastAsia" w:ascii="宋体" w:hAnsi="宋体" w:eastAsia="宋体"/>
          <w:sz w:val="24"/>
          <w:szCs w:val="24"/>
        </w:rPr>
        <w:t>。</w:t>
      </w:r>
    </w:p>
    <w:p>
      <w:pPr>
        <w:numPr>
          <w:ilvl w:val="0"/>
          <w:numId w:val="4"/>
        </w:numPr>
        <w:spacing w:line="560" w:lineRule="exact"/>
        <w:rPr>
          <w:rFonts w:ascii="宋体" w:hAnsi="宋体" w:eastAsia="宋体"/>
          <w:sz w:val="24"/>
          <w:szCs w:val="24"/>
        </w:rPr>
      </w:pPr>
      <w:r>
        <w:rPr>
          <w:rFonts w:hint="eastAsia" w:ascii="宋体" w:hAnsi="宋体" w:eastAsia="宋体"/>
          <w:sz w:val="24"/>
          <w:szCs w:val="24"/>
        </w:rPr>
        <w:t>免费质保期结束后，甲方如有后续服务需求，乙方仍应承担维护职责，甲方需支付相应的服务费用（此条可根据项目性质编辑修改）。</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违约责任</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甲乙双方不履行合同约定的义务即为违约。</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如乙方不能按期完成合同规定服务内容，除经甲方认可的不可抗拒原因外（以书面通知为准），每延长一天，甲方按合同总金额的</w:t>
      </w:r>
      <w:r>
        <w:rPr>
          <w:rFonts w:ascii="宋体" w:hAnsi="宋体" w:eastAsia="宋体"/>
          <w:sz w:val="24"/>
          <w:szCs w:val="24"/>
        </w:rPr>
        <w:t>3</w:t>
      </w:r>
      <w:r>
        <w:rPr>
          <w:rFonts w:hint="eastAsia" w:ascii="宋体" w:hAnsi="宋体" w:eastAsia="宋体"/>
          <w:sz w:val="24"/>
          <w:szCs w:val="24"/>
        </w:rPr>
        <w:t>‰按日收取延迟交货违约金，违约金最高不超过合同总金额</w:t>
      </w:r>
      <w:r>
        <w:rPr>
          <w:rFonts w:ascii="宋体" w:hAnsi="宋体" w:eastAsia="宋体"/>
          <w:sz w:val="24"/>
          <w:szCs w:val="24"/>
        </w:rPr>
        <w:t>5%</w:t>
      </w:r>
      <w:r>
        <w:rPr>
          <w:rFonts w:hint="eastAsia" w:ascii="宋体" w:hAnsi="宋体" w:eastAsia="宋体"/>
          <w:sz w:val="24"/>
          <w:szCs w:val="24"/>
        </w:rPr>
        <w:t>。</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由于乙方原因不能按照约定时间完成履约的，在甲方书面通知</w:t>
      </w:r>
      <w:r>
        <w:rPr>
          <w:rFonts w:ascii="宋体" w:hAnsi="宋体" w:eastAsia="宋体"/>
          <w:sz w:val="24"/>
          <w:szCs w:val="24"/>
        </w:rPr>
        <w:t>7</w:t>
      </w:r>
      <w:r>
        <w:rPr>
          <w:rFonts w:hint="eastAsia" w:ascii="宋体" w:hAnsi="宋体" w:eastAsia="宋体"/>
          <w:sz w:val="24"/>
          <w:szCs w:val="24"/>
        </w:rPr>
        <w:t>日内乙方仍未履行或采取补救措施的，甲方有权终止合同，乙方须按合同总金额的</w:t>
      </w:r>
      <w:r>
        <w:rPr>
          <w:rFonts w:ascii="宋体" w:hAnsi="宋体" w:eastAsia="宋体"/>
          <w:sz w:val="24"/>
          <w:szCs w:val="24"/>
        </w:rPr>
        <w:t>30%</w:t>
      </w:r>
      <w:r>
        <w:rPr>
          <w:rFonts w:hint="eastAsia" w:ascii="宋体" w:hAnsi="宋体" w:eastAsia="宋体"/>
          <w:sz w:val="24"/>
          <w:szCs w:val="24"/>
        </w:rPr>
        <w:t>向甲方支付违约赔偿金，并全额退还甲方已付给乙方的货款。</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乙方提供的服务不符合合同约定的，乙方必须无条件在甲方规定的时间内整改，如乙方不能在规定时间内完成整改，或整改后仍达不到合同交付标准的，乙方须退回全部合同款，并向甲方支付合同总金额的</w:t>
      </w:r>
      <w:r>
        <w:rPr>
          <w:rFonts w:ascii="宋体" w:hAnsi="宋体" w:eastAsia="宋体"/>
          <w:sz w:val="24"/>
          <w:szCs w:val="24"/>
        </w:rPr>
        <w:t>20%</w:t>
      </w:r>
      <w:r>
        <w:rPr>
          <w:rFonts w:hint="eastAsia" w:ascii="宋体" w:hAnsi="宋体" w:eastAsia="宋体"/>
          <w:sz w:val="24"/>
          <w:szCs w:val="24"/>
        </w:rPr>
        <w:t>的赔偿金。</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甲方无正当理由逾期付款，每延长一天，按未付金额的</w:t>
      </w:r>
      <w:r>
        <w:rPr>
          <w:rFonts w:ascii="宋体" w:hAnsi="宋体" w:eastAsia="宋体"/>
          <w:sz w:val="24"/>
          <w:szCs w:val="24"/>
        </w:rPr>
        <w:t>3</w:t>
      </w:r>
      <w:r>
        <w:rPr>
          <w:rFonts w:hint="eastAsia" w:ascii="宋体" w:hAnsi="宋体" w:eastAsia="宋体"/>
          <w:sz w:val="24"/>
          <w:szCs w:val="24"/>
        </w:rPr>
        <w:t>‰作为违约金，违约金最多不超过合同总金额的</w:t>
      </w:r>
      <w:r>
        <w:rPr>
          <w:rFonts w:ascii="宋体" w:hAnsi="宋体" w:eastAsia="宋体"/>
          <w:sz w:val="24"/>
          <w:szCs w:val="24"/>
        </w:rPr>
        <w:t>5%</w:t>
      </w:r>
      <w:r>
        <w:rPr>
          <w:rFonts w:hint="eastAsia" w:ascii="宋体" w:hAnsi="宋体" w:eastAsia="宋体"/>
          <w:sz w:val="24"/>
          <w:szCs w:val="24"/>
        </w:rPr>
        <w:t>。</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甲方在以下情况下可向乙方发出书面通知，终止部分或全部合同：</w:t>
      </w:r>
    </w:p>
    <w:p>
      <w:pPr>
        <w:spacing w:line="560" w:lineRule="exact"/>
        <w:ind w:left="160" w:leftChars="57" w:firstLine="240" w:firstLineChars="100"/>
        <w:rPr>
          <w:rFonts w:ascii="宋体" w:hAnsi="宋体" w:eastAsia="宋体"/>
          <w:sz w:val="24"/>
          <w:szCs w:val="24"/>
        </w:rPr>
      </w:pPr>
      <w:r>
        <w:rPr>
          <w:rFonts w:hint="eastAsia" w:ascii="宋体" w:hAnsi="宋体" w:eastAsia="宋体"/>
          <w:sz w:val="24"/>
          <w:szCs w:val="24"/>
        </w:rPr>
        <w:t>①乙方未能在合同规定的期限或甲方同意延长的限期内提供合同约定的服务内容。</w:t>
      </w:r>
    </w:p>
    <w:p>
      <w:pPr>
        <w:spacing w:line="560" w:lineRule="exact"/>
        <w:ind w:left="160" w:leftChars="57" w:firstLine="240" w:firstLineChars="100"/>
        <w:rPr>
          <w:rFonts w:ascii="宋体" w:hAnsi="宋体" w:eastAsia="宋体"/>
          <w:sz w:val="24"/>
          <w:szCs w:val="24"/>
        </w:rPr>
      </w:pPr>
      <w:r>
        <w:rPr>
          <w:rFonts w:hint="eastAsia" w:ascii="宋体" w:hAnsi="宋体" w:eastAsia="宋体"/>
          <w:sz w:val="24"/>
          <w:szCs w:val="24"/>
        </w:rPr>
        <w:t>②如果乙方未能履行合同规定的其他义务，乙方在收到甲方发出的违约通知后</w:t>
      </w:r>
      <w:r>
        <w:rPr>
          <w:rFonts w:ascii="宋体" w:hAnsi="宋体" w:eastAsia="宋体"/>
          <w:sz w:val="24"/>
          <w:szCs w:val="24"/>
        </w:rPr>
        <w:t>7</w:t>
      </w:r>
      <w:r>
        <w:rPr>
          <w:rFonts w:hint="eastAsia" w:ascii="宋体" w:hAnsi="宋体" w:eastAsia="宋体"/>
          <w:sz w:val="24"/>
          <w:szCs w:val="24"/>
        </w:rPr>
        <w:t>天内，或经甲方书面认可延长的时间内未能纠正其过失。</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不可抗力</w:t>
      </w:r>
    </w:p>
    <w:p>
      <w:pPr>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双方在订立合同时无法控制、不可预见的事件如：战争、水灾、地震，异常恶劣天气以及双方同意的事件为不可抗力事件。当因不可抗力事件发生致使履约延迟时，履行合同的期限可相应延长，但乙方应继续履行合同。</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争议处理</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本合同发生争议，由双方协商解决，协商不成时按以下第</w:t>
      </w:r>
      <w:r>
        <w:rPr>
          <w:rFonts w:ascii="宋体" w:hAnsi="宋体" w:eastAsia="宋体"/>
          <w:sz w:val="24"/>
          <w:szCs w:val="24"/>
          <w:u w:val="single"/>
        </w:rPr>
        <w:t xml:space="preserve">     </w:t>
      </w:r>
      <w:r>
        <w:rPr>
          <w:rFonts w:hint="eastAsia" w:ascii="宋体" w:hAnsi="宋体" w:eastAsia="宋体"/>
          <w:sz w:val="24"/>
          <w:szCs w:val="24"/>
        </w:rPr>
        <w:t>种方式处理（选择其一）：</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 xml:space="preserve"> </w:t>
      </w:r>
      <w:r>
        <w:rPr>
          <w:rFonts w:hint="eastAsia" w:ascii="宋体" w:hAnsi="宋体" w:eastAsia="宋体"/>
          <w:sz w:val="24"/>
          <w:szCs w:val="24"/>
        </w:rPr>
        <w:t>由甲方所在地仲裁机构申请仲裁。</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 xml:space="preserve"> </w:t>
      </w:r>
      <w:r>
        <w:rPr>
          <w:rFonts w:hint="eastAsia" w:ascii="宋体" w:hAnsi="宋体" w:eastAsia="宋体"/>
          <w:sz w:val="24"/>
          <w:szCs w:val="24"/>
        </w:rPr>
        <w:t>向甲方所在地人民法院起诉。</w:t>
      </w:r>
    </w:p>
    <w:p>
      <w:pPr>
        <w:numPr>
          <w:ilvl w:val="0"/>
          <w:numId w:val="3"/>
        </w:numPr>
        <w:spacing w:line="560" w:lineRule="exact"/>
        <w:rPr>
          <w:rFonts w:hint="eastAsia" w:ascii="宋体" w:hAnsi="宋体" w:eastAsia="宋体"/>
          <w:b/>
          <w:sz w:val="24"/>
          <w:szCs w:val="24"/>
        </w:rPr>
      </w:pPr>
      <w:r>
        <w:rPr>
          <w:rFonts w:hint="eastAsia" w:ascii="宋体" w:hAnsi="宋体" w:eastAsia="宋体"/>
          <w:b/>
          <w:sz w:val="24"/>
          <w:szCs w:val="24"/>
        </w:rPr>
        <w:t>本合同一式肆份，具有同等法律效力，甲乙双方各执壹份，财务处壹份，国资处备案壹份。本合同双方签字盖章后生效。合同未尽事宜，双方可另行签订补充协议，补充协议是合同的组成部分。</w:t>
      </w:r>
    </w:p>
    <w:p>
      <w:pPr>
        <w:spacing w:line="560" w:lineRule="exact"/>
        <w:rPr>
          <w:rFonts w:ascii="宋体" w:hAnsi="宋体" w:eastAsia="宋体"/>
          <w:sz w:val="24"/>
          <w:szCs w:val="24"/>
          <w:u w:val="single"/>
        </w:rPr>
      </w:pPr>
      <w:r>
        <w:rPr>
          <w:rFonts w:hint="eastAsia" w:ascii="宋体" w:hAnsi="宋体" w:eastAsia="宋体"/>
          <w:sz w:val="24"/>
          <w:szCs w:val="24"/>
        </w:rPr>
        <w:t>甲方：</w:t>
      </w:r>
      <w:r>
        <w:rPr>
          <w:rFonts w:hint="eastAsia" w:ascii="宋体" w:hAnsi="宋体" w:eastAsia="宋体"/>
          <w:color w:val="AEAAAA"/>
          <w:w w:val="80"/>
          <w:sz w:val="24"/>
          <w:szCs w:val="24"/>
          <w:u w:val="single"/>
        </w:rPr>
        <w:t>皖南医学院（二级部门/单位）</w:t>
      </w:r>
      <w:r>
        <w:rPr>
          <w:rFonts w:hint="eastAsia" w:ascii="宋体" w:hAnsi="宋体" w:eastAsia="宋体"/>
          <w:w w:val="80"/>
          <w:sz w:val="24"/>
          <w:szCs w:val="24"/>
          <w:u w:val="single"/>
        </w:rPr>
        <w:t>（经济合同章）</w:t>
      </w:r>
      <w:r>
        <w:rPr>
          <w:rFonts w:ascii="宋体" w:hAnsi="宋体" w:eastAsia="宋体"/>
          <w:sz w:val="24"/>
          <w:szCs w:val="24"/>
        </w:rPr>
        <w:t xml:space="preserve">   </w:t>
      </w:r>
      <w:r>
        <w:rPr>
          <w:rFonts w:hint="eastAsia" w:ascii="宋体" w:hAnsi="宋体" w:eastAsia="宋体"/>
          <w:sz w:val="24"/>
          <w:szCs w:val="24"/>
        </w:rPr>
        <w:t>乙方：</w:t>
      </w:r>
      <w:r>
        <w:rPr>
          <w:rFonts w:ascii="宋体" w:hAnsi="宋体" w:eastAsia="宋体"/>
          <w:sz w:val="24"/>
          <w:szCs w:val="24"/>
          <w:u w:val="single"/>
        </w:rPr>
        <w:t xml:space="preserve">                </w:t>
      </w:r>
      <w:r>
        <w:rPr>
          <w:rFonts w:hint="eastAsia" w:ascii="宋体" w:hAnsi="宋体" w:eastAsia="宋体"/>
          <w:sz w:val="24"/>
          <w:szCs w:val="24"/>
          <w:u w:val="single"/>
        </w:rPr>
        <w:t>（盖章）</w:t>
      </w:r>
      <w:r>
        <w:rPr>
          <w:rFonts w:ascii="宋体" w:hAnsi="宋体" w:eastAsia="宋体"/>
          <w:sz w:val="24"/>
          <w:szCs w:val="24"/>
          <w:u w:val="single"/>
        </w:rPr>
        <w:t xml:space="preserve"> </w:t>
      </w:r>
    </w:p>
    <w:p>
      <w:pPr>
        <w:spacing w:line="560" w:lineRule="exact"/>
        <w:rPr>
          <w:rFonts w:ascii="宋体" w:hAnsi="宋体" w:eastAsia="宋体"/>
          <w:sz w:val="24"/>
          <w:szCs w:val="24"/>
          <w:u w:val="single"/>
        </w:rPr>
      </w:pPr>
      <w:r>
        <w:rPr>
          <w:rFonts w:hint="eastAsia" w:ascii="宋体" w:hAnsi="宋体" w:eastAsia="宋体"/>
          <w:sz w:val="24"/>
          <w:szCs w:val="24"/>
        </w:rPr>
        <w:t>地址：</w:t>
      </w:r>
      <w:r>
        <w:rPr>
          <w:rFonts w:ascii="宋体" w:hAnsi="宋体" w:eastAsia="宋体"/>
          <w:sz w:val="24"/>
          <w:szCs w:val="24"/>
          <w:u w:val="single"/>
        </w:rPr>
        <w:t>芜湖市弋江区</w:t>
      </w:r>
      <w:r>
        <w:rPr>
          <w:rFonts w:hint="eastAsia" w:ascii="宋体" w:hAnsi="宋体" w:eastAsia="宋体"/>
          <w:sz w:val="24"/>
          <w:szCs w:val="24"/>
          <w:u w:val="single"/>
        </w:rPr>
        <w:t>文昌</w:t>
      </w:r>
      <w:r>
        <w:rPr>
          <w:rFonts w:ascii="宋体" w:hAnsi="宋体" w:eastAsia="宋体"/>
          <w:sz w:val="24"/>
          <w:szCs w:val="24"/>
          <w:u w:val="single"/>
        </w:rPr>
        <w:t>西路</w:t>
      </w:r>
      <w:r>
        <w:rPr>
          <w:rFonts w:hint="eastAsia" w:ascii="宋体" w:hAnsi="宋体" w:eastAsia="宋体"/>
          <w:sz w:val="24"/>
          <w:szCs w:val="24"/>
          <w:u w:val="single"/>
        </w:rPr>
        <w:t>22号</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地址：</w:t>
      </w:r>
      <w:r>
        <w:rPr>
          <w:rFonts w:ascii="宋体" w:hAnsi="宋体" w:eastAsia="宋体"/>
          <w:sz w:val="24"/>
          <w:szCs w:val="24"/>
          <w:u w:val="single"/>
        </w:rPr>
        <w:t xml:space="preserve">                        </w:t>
      </w:r>
    </w:p>
    <w:p>
      <w:pPr>
        <w:spacing w:line="560" w:lineRule="exact"/>
        <w:rPr>
          <w:rFonts w:ascii="宋体" w:hAnsi="宋体" w:eastAsia="宋体"/>
          <w:sz w:val="24"/>
          <w:szCs w:val="24"/>
        </w:rPr>
      </w:pPr>
      <w:r>
        <w:rPr>
          <w:rFonts w:hint="eastAsia" w:ascii="宋体" w:hAnsi="宋体" w:eastAsia="宋体"/>
          <w:sz w:val="24"/>
          <w:szCs w:val="24"/>
        </w:rPr>
        <w:t>法定代表人或委托代理人：</w:t>
      </w:r>
      <w:r>
        <w:rPr>
          <w:rFonts w:ascii="宋体" w:hAnsi="宋体" w:eastAsia="宋体"/>
          <w:sz w:val="24"/>
          <w:szCs w:val="24"/>
        </w:rPr>
        <w:t xml:space="preserve">                 </w:t>
      </w:r>
      <w:r>
        <w:rPr>
          <w:rFonts w:hint="eastAsia" w:ascii="宋体" w:hAnsi="宋体" w:eastAsia="宋体"/>
          <w:sz w:val="24"/>
          <w:szCs w:val="24"/>
        </w:rPr>
        <w:t>法定代表人或委托代理人：</w:t>
      </w:r>
    </w:p>
    <w:p>
      <w:pPr>
        <w:spacing w:line="560" w:lineRule="exact"/>
        <w:rPr>
          <w:rFonts w:hint="eastAsia" w:ascii="宋体" w:hAnsi="宋体" w:eastAsia="宋体"/>
          <w:sz w:val="24"/>
          <w:szCs w:val="24"/>
        </w:rPr>
      </w:pPr>
      <w:r>
        <w:rPr>
          <w:rFonts w:hint="eastAsia" w:ascii="宋体" w:hAnsi="宋体" w:eastAsia="宋体"/>
          <w:sz w:val="24"/>
          <w:szCs w:val="24"/>
        </w:rPr>
        <w:t>联系</w:t>
      </w:r>
      <w:r>
        <w:rPr>
          <w:rFonts w:ascii="宋体" w:hAnsi="宋体" w:eastAsia="宋体"/>
          <w:sz w:val="24"/>
          <w:szCs w:val="24"/>
        </w:rPr>
        <w:t>电话：</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联系</w:t>
      </w:r>
      <w:r>
        <w:rPr>
          <w:rFonts w:ascii="宋体" w:hAnsi="宋体" w:eastAsia="宋体"/>
          <w:sz w:val="24"/>
          <w:szCs w:val="24"/>
        </w:rPr>
        <w:t>电话：</w:t>
      </w:r>
      <w:r>
        <w:rPr>
          <w:rFonts w:hint="eastAsia" w:ascii="宋体" w:hAnsi="宋体" w:eastAsia="宋体"/>
          <w:sz w:val="24"/>
          <w:szCs w:val="24"/>
        </w:rPr>
        <w:t xml:space="preserve">   </w:t>
      </w:r>
    </w:p>
    <w:p>
      <w:pPr>
        <w:spacing w:line="560" w:lineRule="exact"/>
        <w:rPr>
          <w:rFonts w:ascii="宋体" w:hAnsi="宋体" w:eastAsia="宋体"/>
          <w:sz w:val="24"/>
          <w:szCs w:val="24"/>
        </w:rPr>
      </w:pPr>
      <w:r>
        <w:rPr>
          <w:rFonts w:hint="eastAsia" w:ascii="宋体" w:hAnsi="宋体" w:eastAsia="宋体"/>
          <w:sz w:val="24"/>
          <w:szCs w:val="24"/>
        </w:rPr>
        <w:t>账号：</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账号：</w:t>
      </w:r>
    </w:p>
    <w:p>
      <w:pPr>
        <w:spacing w:line="560" w:lineRule="exact"/>
        <w:rPr>
          <w:rFonts w:ascii="宋体" w:hAnsi="宋体" w:eastAsia="宋体"/>
          <w:sz w:val="24"/>
          <w:szCs w:val="24"/>
        </w:rPr>
      </w:pPr>
      <w:r>
        <w:rPr>
          <w:rFonts w:hint="eastAsia" w:ascii="宋体" w:hAnsi="宋体" w:eastAsia="宋体"/>
          <w:sz w:val="24"/>
          <w:szCs w:val="24"/>
        </w:rPr>
        <w:t xml:space="preserve">开户行： </w:t>
      </w:r>
      <w:r>
        <w:rPr>
          <w:rFonts w:ascii="宋体" w:hAnsi="宋体" w:eastAsia="宋体"/>
          <w:sz w:val="24"/>
          <w:szCs w:val="24"/>
        </w:rPr>
        <w:t xml:space="preserve">                                </w:t>
      </w:r>
      <w:r>
        <w:rPr>
          <w:rFonts w:hint="eastAsia" w:ascii="宋体" w:hAnsi="宋体" w:eastAsia="宋体"/>
          <w:sz w:val="24"/>
          <w:szCs w:val="24"/>
        </w:rPr>
        <w:t>开户行：</w:t>
      </w:r>
      <w:r>
        <w:rPr>
          <w:rFonts w:ascii="宋体" w:hAnsi="宋体" w:eastAsia="宋体"/>
          <w:sz w:val="24"/>
          <w:szCs w:val="24"/>
        </w:rPr>
        <w:tab/>
      </w:r>
    </w:p>
    <w:p>
      <w:pPr>
        <w:spacing w:line="560" w:lineRule="exact"/>
        <w:rPr>
          <w:rFonts w:hint="eastAsia" w:ascii="宋体" w:hAnsi="宋体" w:eastAsia="宋体"/>
          <w:sz w:val="24"/>
          <w:szCs w:val="24"/>
        </w:rPr>
      </w:pPr>
      <w:r>
        <w:rPr>
          <w:rFonts w:hint="eastAsia" w:ascii="宋体" w:hAnsi="宋体" w:eastAsia="宋体"/>
          <w:sz w:val="24"/>
          <w:szCs w:val="24"/>
        </w:rPr>
        <w:t>税号：</w:t>
      </w:r>
      <w:r>
        <w:rPr>
          <w:rFonts w:ascii="宋体" w:hAnsi="宋体" w:eastAsia="宋体"/>
          <w:sz w:val="24"/>
          <w:szCs w:val="24"/>
        </w:rPr>
        <w:t xml:space="preserve">                                   </w:t>
      </w:r>
      <w:r>
        <w:rPr>
          <w:rFonts w:hint="eastAsia" w:ascii="宋体" w:hAnsi="宋体" w:eastAsia="宋体"/>
          <w:sz w:val="24"/>
          <w:szCs w:val="24"/>
        </w:rPr>
        <w:t>税号：</w:t>
      </w:r>
    </w:p>
    <w:p>
      <w:pPr>
        <w:spacing w:line="440" w:lineRule="exact"/>
        <w:rPr>
          <w:rFonts w:hint="eastAsia" w:ascii="宋体" w:hAnsi="宋体" w:eastAsia="宋体"/>
          <w:sz w:val="24"/>
          <w:szCs w:val="24"/>
        </w:rPr>
      </w:pPr>
    </w:p>
    <w:p>
      <w:pPr>
        <w:spacing w:line="480" w:lineRule="exact"/>
        <w:rPr>
          <w:rFonts w:ascii="仿宋_GB2312" w:hAnsi="仿宋" w:eastAsia="仿宋_GB2312"/>
          <w:szCs w:val="28"/>
        </w:rPr>
      </w:pPr>
    </w:p>
    <w:p>
      <w:pPr>
        <w:pStyle w:val="29"/>
        <w:rPr>
          <w:rFonts w:ascii="仿宋_GB2312" w:hAnsi="仿宋" w:eastAsia="仿宋_GB2312"/>
          <w:szCs w:val="28"/>
        </w:rPr>
      </w:pPr>
    </w:p>
    <w:p>
      <w:pPr>
        <w:pStyle w:val="29"/>
        <w:rPr>
          <w:rFonts w:ascii="仿宋_GB2312" w:hAnsi="仿宋" w:eastAsia="仿宋_GB2312"/>
          <w:szCs w:val="28"/>
        </w:rPr>
      </w:pPr>
    </w:p>
    <w:p>
      <w:pPr>
        <w:pStyle w:val="29"/>
        <w:rPr>
          <w:rFonts w:ascii="仿宋_GB2312" w:hAnsi="仿宋" w:eastAsia="仿宋_GB2312"/>
          <w:szCs w:val="28"/>
        </w:rPr>
      </w:pPr>
    </w:p>
    <w:p>
      <w:pPr>
        <w:pStyle w:val="29"/>
        <w:rPr>
          <w:rFonts w:ascii="仿宋_GB2312" w:hAnsi="仿宋" w:eastAsia="仿宋_GB2312"/>
          <w:szCs w:val="28"/>
        </w:rPr>
      </w:pPr>
    </w:p>
    <w:p>
      <w:pPr>
        <w:pStyle w:val="29"/>
        <w:rPr>
          <w:rFonts w:ascii="仿宋_GB2312" w:hAnsi="仿宋" w:eastAsia="仿宋_GB2312"/>
          <w:szCs w:val="28"/>
        </w:rPr>
      </w:pPr>
    </w:p>
    <w:p>
      <w:pPr>
        <w:pStyle w:val="29"/>
        <w:rPr>
          <w:rFonts w:ascii="仿宋_GB2312" w:hAnsi="仿宋" w:eastAsia="仿宋_GB2312"/>
          <w:szCs w:val="28"/>
        </w:rPr>
      </w:pPr>
    </w:p>
    <w:p>
      <w:pPr>
        <w:pStyle w:val="29"/>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 w:hAnsi="仿宋" w:eastAsia="仿宋"/>
          <w:szCs w:val="28"/>
        </w:rPr>
      </w:pPr>
    </w:p>
    <w:p>
      <w:pPr>
        <w:adjustRightInd w:val="0"/>
        <w:snapToGrid w:val="0"/>
        <w:spacing w:line="440" w:lineRule="exact"/>
        <w:ind w:firstLine="721" w:firstLineChars="200"/>
        <w:jc w:val="center"/>
        <w:rPr>
          <w:rFonts w:ascii="华文中宋" w:hAnsi="华文中宋" w:eastAsia="华文中宋"/>
          <w:b/>
          <w:bCs/>
          <w:color w:val="000000" w:themeColor="text1"/>
          <w:sz w:val="36"/>
          <w:szCs w:val="36"/>
          <w14:textFill>
            <w14:solidFill>
              <w14:schemeClr w14:val="tx1"/>
            </w14:solidFill>
          </w14:textFill>
        </w:rPr>
      </w:pPr>
      <w:bookmarkStart w:id="109" w:name="_Toc516580573"/>
      <w:bookmarkStart w:id="110" w:name="_Toc479170303"/>
      <w:r>
        <w:rPr>
          <w:rFonts w:hint="eastAsia" w:ascii="华文中宋" w:hAnsi="华文中宋" w:eastAsia="华文中宋"/>
          <w:b/>
          <w:bCs/>
          <w:color w:val="000000" w:themeColor="text1"/>
          <w:sz w:val="36"/>
          <w:szCs w:val="36"/>
          <w14:textFill>
            <w14:solidFill>
              <w14:schemeClr w14:val="tx1"/>
            </w14:solidFill>
          </w14:textFill>
        </w:rPr>
        <w:t>第五章  项目需求</w:t>
      </w:r>
      <w:bookmarkEnd w:id="109"/>
      <w:bookmarkEnd w:id="110"/>
    </w:p>
    <w:p>
      <w:pPr>
        <w:adjustRightInd w:val="0"/>
        <w:snapToGrid w:val="0"/>
        <w:spacing w:line="360" w:lineRule="auto"/>
        <w:ind w:firstLine="562" w:firstLineChars="200"/>
        <w:jc w:val="center"/>
        <w:rPr>
          <w:rFonts w:ascii="仿宋_GB2312" w:hAnsi="宋体" w:eastAsia="仿宋_GB2312"/>
          <w:b/>
          <w:szCs w:val="28"/>
        </w:rPr>
      </w:pPr>
      <w:bookmarkStart w:id="111" w:name="_Toc516580574"/>
      <w:bookmarkStart w:id="112" w:name="_Toc479170304"/>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一、项目概况</w:t>
      </w:r>
    </w:p>
    <w:p>
      <w:pPr>
        <w:spacing w:line="560" w:lineRule="exact"/>
        <w:ind w:firstLine="640" w:firstLineChars="200"/>
        <w:jc w:val="left"/>
        <w:rPr>
          <w:rFonts w:ascii="仿宋" w:hAnsi="仿宋" w:eastAsia="仿宋"/>
          <w:bCs/>
          <w:sz w:val="32"/>
          <w:szCs w:val="32"/>
          <w:u w:val="single"/>
        </w:rPr>
      </w:pPr>
      <w:r>
        <w:rPr>
          <w:rFonts w:hint="eastAsia" w:ascii="仿宋" w:hAnsi="仿宋" w:eastAsia="仿宋"/>
          <w:bCs/>
          <w:sz w:val="32"/>
          <w:szCs w:val="32"/>
          <w:u w:val="single"/>
        </w:rPr>
        <w:t>为进一步加强皖南医学院的知识产权管理和保护工作，推动学校专利工作持续有效的开展，提高专利申请质量，充分发挥专利代理机构的作用，根据皖南医学院工作的需要，拟通过公开招标方式确定</w:t>
      </w:r>
      <w:r>
        <w:rPr>
          <w:rFonts w:hint="eastAsia" w:ascii="仿宋" w:hAnsi="仿宋" w:eastAsia="仿宋"/>
          <w:bCs/>
          <w:color w:val="0A0A0A"/>
          <w:sz w:val="32"/>
          <w:szCs w:val="32"/>
          <w:u w:val="single"/>
        </w:rPr>
        <w:t>化学材料与环境工程专利代理服务</w:t>
      </w:r>
      <w:r>
        <w:rPr>
          <w:rFonts w:hint="eastAsia" w:ascii="仿宋" w:hAnsi="仿宋" w:eastAsia="仿宋"/>
          <w:bCs/>
          <w:sz w:val="32"/>
          <w:szCs w:val="32"/>
          <w:u w:val="single"/>
        </w:rPr>
        <w:t>机构负责皖南医学院专利申请代理事务及管理协助工作，期限为3年，合同一年一签，经考核合格的，续签合同；考核不合格的，不再续签合同。通过建立和完善有效的专利培育全流程管理制度，为后续专利成果转化和应用的合法合规性提供有力保障，同时也有助于提升我校创新环境和竞争力，吸引更多的创新人才和资本；通过项目的实施，可进一步提升我校知识产权的质量，普及教职员工专利相关知识，同时高质量的知识产权有助于吸引更多的投资，有助于促进高价值专利的技术转移，从而提高我校产学研导向的知识产权产生；高价值发明专利的培育有助于推动生命健康领域和生物制造领域相关产业升级和转型，促进新兴产业的发展，进而提高我省经济实力和竞争优势。</w:t>
      </w:r>
    </w:p>
    <w:p>
      <w:pPr>
        <w:spacing w:line="560" w:lineRule="exact"/>
        <w:ind w:firstLine="640" w:firstLineChars="200"/>
        <w:jc w:val="left"/>
        <w:rPr>
          <w:rFonts w:ascii="仿宋" w:hAnsi="仿宋" w:eastAsia="仿宋"/>
          <w:bCs/>
          <w:sz w:val="32"/>
          <w:szCs w:val="32"/>
        </w:rPr>
      </w:pPr>
      <w:r>
        <w:rPr>
          <w:rFonts w:hint="eastAsia" w:ascii="仿宋" w:hAnsi="仿宋" w:eastAsia="仿宋"/>
          <w:bCs/>
          <w:sz w:val="32"/>
          <w:szCs w:val="32"/>
        </w:rPr>
        <w:t>二、采购标的汇总表</w:t>
      </w:r>
    </w:p>
    <w:tbl>
      <w:tblPr>
        <w:tblStyle w:val="30"/>
        <w:tblW w:w="4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209"/>
        <w:gridCol w:w="2340"/>
        <w:gridCol w:w="1184"/>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274" w:type="dxa"/>
            <w:noWrap w:val="0"/>
            <w:vAlign w:val="center"/>
          </w:tcPr>
          <w:p>
            <w:pPr>
              <w:spacing w:line="560" w:lineRule="exact"/>
              <w:jc w:val="center"/>
              <w:rPr>
                <w:rFonts w:ascii="仿宋" w:hAnsi="仿宋" w:eastAsia="仿宋"/>
                <w:bCs/>
                <w:sz w:val="32"/>
                <w:szCs w:val="32"/>
              </w:rPr>
            </w:pPr>
            <w:r>
              <w:rPr>
                <w:rFonts w:hint="eastAsia" w:ascii="仿宋" w:hAnsi="仿宋" w:eastAsia="仿宋"/>
                <w:bCs/>
                <w:sz w:val="32"/>
                <w:szCs w:val="32"/>
              </w:rPr>
              <w:t>包号</w:t>
            </w:r>
          </w:p>
        </w:tc>
        <w:tc>
          <w:tcPr>
            <w:tcW w:w="1209" w:type="dxa"/>
            <w:noWrap w:val="0"/>
            <w:vAlign w:val="center"/>
          </w:tcPr>
          <w:p>
            <w:pPr>
              <w:spacing w:line="560" w:lineRule="exact"/>
              <w:jc w:val="center"/>
              <w:rPr>
                <w:rFonts w:ascii="仿宋" w:hAnsi="仿宋" w:eastAsia="仿宋"/>
                <w:bCs/>
                <w:sz w:val="32"/>
                <w:szCs w:val="32"/>
              </w:rPr>
            </w:pPr>
            <w:r>
              <w:rPr>
                <w:rFonts w:hint="eastAsia" w:ascii="仿宋" w:hAnsi="仿宋" w:eastAsia="仿宋"/>
                <w:bCs/>
                <w:sz w:val="32"/>
                <w:szCs w:val="32"/>
              </w:rPr>
              <w:t>序号</w:t>
            </w:r>
          </w:p>
        </w:tc>
        <w:tc>
          <w:tcPr>
            <w:tcW w:w="2340" w:type="dxa"/>
            <w:noWrap w:val="0"/>
            <w:vAlign w:val="center"/>
          </w:tcPr>
          <w:p>
            <w:pPr>
              <w:spacing w:line="560" w:lineRule="exact"/>
              <w:jc w:val="center"/>
              <w:rPr>
                <w:rFonts w:ascii="仿宋" w:hAnsi="仿宋" w:eastAsia="仿宋"/>
                <w:bCs/>
                <w:sz w:val="32"/>
                <w:szCs w:val="32"/>
              </w:rPr>
            </w:pPr>
            <w:r>
              <w:rPr>
                <w:rFonts w:hint="eastAsia" w:ascii="仿宋" w:hAnsi="仿宋" w:eastAsia="仿宋"/>
                <w:bCs/>
                <w:sz w:val="32"/>
                <w:szCs w:val="32"/>
              </w:rPr>
              <w:t>标的名称</w:t>
            </w:r>
          </w:p>
        </w:tc>
        <w:tc>
          <w:tcPr>
            <w:tcW w:w="1184" w:type="dxa"/>
            <w:noWrap w:val="0"/>
            <w:vAlign w:val="center"/>
          </w:tcPr>
          <w:p>
            <w:pPr>
              <w:spacing w:line="560" w:lineRule="exact"/>
              <w:jc w:val="center"/>
              <w:rPr>
                <w:rFonts w:ascii="仿宋" w:hAnsi="仿宋" w:eastAsia="仿宋"/>
                <w:bCs/>
                <w:sz w:val="32"/>
                <w:szCs w:val="32"/>
              </w:rPr>
            </w:pPr>
            <w:r>
              <w:rPr>
                <w:rFonts w:hint="eastAsia" w:ascii="仿宋" w:hAnsi="仿宋" w:eastAsia="仿宋"/>
                <w:bCs/>
                <w:sz w:val="32"/>
                <w:szCs w:val="32"/>
              </w:rPr>
              <w:t>计量</w:t>
            </w:r>
          </w:p>
          <w:p>
            <w:pPr>
              <w:spacing w:line="560" w:lineRule="exact"/>
              <w:jc w:val="center"/>
              <w:rPr>
                <w:rFonts w:ascii="仿宋" w:hAnsi="仿宋" w:eastAsia="仿宋"/>
                <w:bCs/>
                <w:sz w:val="32"/>
                <w:szCs w:val="32"/>
              </w:rPr>
            </w:pPr>
            <w:r>
              <w:rPr>
                <w:rFonts w:hint="eastAsia" w:ascii="仿宋" w:hAnsi="仿宋" w:eastAsia="仿宋"/>
                <w:bCs/>
                <w:sz w:val="32"/>
                <w:szCs w:val="32"/>
              </w:rPr>
              <w:t>单位</w:t>
            </w:r>
          </w:p>
        </w:tc>
        <w:tc>
          <w:tcPr>
            <w:tcW w:w="947" w:type="dxa"/>
            <w:noWrap w:val="0"/>
            <w:vAlign w:val="center"/>
          </w:tcPr>
          <w:p>
            <w:pPr>
              <w:spacing w:line="560" w:lineRule="exact"/>
              <w:jc w:val="center"/>
              <w:rPr>
                <w:rFonts w:ascii="仿宋" w:hAnsi="仿宋" w:eastAsia="仿宋"/>
                <w:bCs/>
                <w:sz w:val="32"/>
                <w:szCs w:val="32"/>
              </w:rPr>
            </w:pPr>
            <w:r>
              <w:rPr>
                <w:rFonts w:hint="eastAsia" w:ascii="仿宋" w:hAnsi="仿宋" w:eastAsia="仿宋"/>
                <w:bCs/>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1274" w:type="dxa"/>
            <w:noWrap w:val="0"/>
            <w:vAlign w:val="center"/>
          </w:tcPr>
          <w:p>
            <w:pPr>
              <w:adjustRightInd w:val="0"/>
              <w:snapToGrid w:val="0"/>
              <w:spacing w:line="560" w:lineRule="exact"/>
              <w:jc w:val="center"/>
              <w:rPr>
                <w:rFonts w:hint="eastAsia" w:ascii="仿宋" w:hAnsi="仿宋" w:eastAsia="仿宋"/>
                <w:bCs/>
                <w:sz w:val="32"/>
                <w:szCs w:val="32"/>
              </w:rPr>
            </w:pPr>
            <w:r>
              <w:rPr>
                <w:rFonts w:hint="eastAsia" w:ascii="仿宋" w:hAnsi="仿宋" w:eastAsia="仿宋"/>
                <w:bCs/>
                <w:sz w:val="32"/>
                <w:szCs w:val="32"/>
              </w:rPr>
              <w:t>1</w:t>
            </w:r>
          </w:p>
        </w:tc>
        <w:tc>
          <w:tcPr>
            <w:tcW w:w="1209" w:type="dxa"/>
            <w:noWrap w:val="0"/>
            <w:vAlign w:val="center"/>
          </w:tcPr>
          <w:p>
            <w:pPr>
              <w:adjustRightInd w:val="0"/>
              <w:snapToGrid w:val="0"/>
              <w:spacing w:line="560" w:lineRule="exact"/>
              <w:jc w:val="center"/>
              <w:rPr>
                <w:rFonts w:hint="eastAsia" w:ascii="仿宋" w:hAnsi="仿宋" w:eastAsia="仿宋"/>
                <w:bCs/>
                <w:sz w:val="32"/>
                <w:szCs w:val="32"/>
              </w:rPr>
            </w:pPr>
            <w:r>
              <w:rPr>
                <w:rFonts w:hint="eastAsia" w:ascii="仿宋" w:hAnsi="仿宋" w:eastAsia="仿宋"/>
                <w:bCs/>
                <w:sz w:val="32"/>
                <w:szCs w:val="32"/>
              </w:rPr>
              <w:t>1</w:t>
            </w:r>
          </w:p>
        </w:tc>
        <w:tc>
          <w:tcPr>
            <w:tcW w:w="2340" w:type="dxa"/>
            <w:noWrap w:val="0"/>
            <w:vAlign w:val="center"/>
          </w:tcPr>
          <w:p>
            <w:pPr>
              <w:adjustRightInd w:val="0"/>
              <w:snapToGrid w:val="0"/>
              <w:spacing w:line="560" w:lineRule="exact"/>
              <w:jc w:val="center"/>
              <w:rPr>
                <w:rFonts w:hint="eastAsia" w:ascii="仿宋" w:hAnsi="仿宋" w:eastAsia="仿宋"/>
                <w:bCs/>
                <w:color w:val="0A0A0A"/>
                <w:sz w:val="32"/>
                <w:szCs w:val="32"/>
              </w:rPr>
            </w:pPr>
            <w:r>
              <w:rPr>
                <w:rFonts w:hint="eastAsia" w:ascii="仿宋" w:hAnsi="仿宋" w:eastAsia="仿宋"/>
                <w:bCs/>
                <w:color w:val="0A0A0A"/>
                <w:sz w:val="32"/>
                <w:szCs w:val="32"/>
              </w:rPr>
              <w:t>化学材料与环境工程专利代理服务</w:t>
            </w:r>
          </w:p>
        </w:tc>
        <w:tc>
          <w:tcPr>
            <w:tcW w:w="1184" w:type="dxa"/>
            <w:noWrap w:val="0"/>
            <w:vAlign w:val="center"/>
          </w:tcPr>
          <w:p>
            <w:pPr>
              <w:adjustRightInd w:val="0"/>
              <w:snapToGrid w:val="0"/>
              <w:spacing w:line="560" w:lineRule="exact"/>
              <w:jc w:val="center"/>
              <w:rPr>
                <w:rFonts w:hint="eastAsia" w:ascii="仿宋" w:hAnsi="仿宋" w:eastAsia="仿宋"/>
                <w:bCs/>
                <w:sz w:val="32"/>
                <w:szCs w:val="32"/>
              </w:rPr>
            </w:pPr>
            <w:r>
              <w:rPr>
                <w:rFonts w:hint="eastAsia" w:ascii="仿宋" w:hAnsi="仿宋" w:eastAsia="仿宋"/>
                <w:bCs/>
                <w:sz w:val="32"/>
                <w:szCs w:val="32"/>
              </w:rPr>
              <w:t>1</w:t>
            </w:r>
          </w:p>
        </w:tc>
        <w:tc>
          <w:tcPr>
            <w:tcW w:w="947" w:type="dxa"/>
            <w:noWrap w:val="0"/>
            <w:vAlign w:val="center"/>
          </w:tcPr>
          <w:p>
            <w:pPr>
              <w:adjustRightInd w:val="0"/>
              <w:snapToGrid w:val="0"/>
              <w:spacing w:line="560" w:lineRule="exact"/>
              <w:jc w:val="center"/>
              <w:rPr>
                <w:rFonts w:hint="eastAsia" w:ascii="仿宋" w:hAnsi="仿宋" w:eastAsia="仿宋"/>
                <w:bCs/>
                <w:sz w:val="32"/>
                <w:szCs w:val="32"/>
              </w:rPr>
            </w:pPr>
            <w:r>
              <w:rPr>
                <w:rFonts w:hint="eastAsia" w:ascii="仿宋" w:hAnsi="仿宋" w:eastAsia="仿宋"/>
                <w:bCs/>
                <w:sz w:val="32"/>
                <w:szCs w:val="32"/>
              </w:rPr>
              <w:t>1</w:t>
            </w:r>
          </w:p>
        </w:tc>
      </w:tr>
    </w:tbl>
    <w:p>
      <w:pPr>
        <w:spacing w:line="560" w:lineRule="exact"/>
        <w:jc w:val="left"/>
        <w:rPr>
          <w:rFonts w:ascii="仿宋" w:hAnsi="仿宋" w:eastAsia="仿宋"/>
          <w:bCs/>
          <w:sz w:val="32"/>
          <w:szCs w:val="32"/>
        </w:rPr>
      </w:pPr>
    </w:p>
    <w:p>
      <w:pPr>
        <w:spacing w:line="560" w:lineRule="exact"/>
        <w:jc w:val="left"/>
        <w:rPr>
          <w:rFonts w:ascii="仿宋" w:hAnsi="仿宋" w:eastAsia="仿宋"/>
          <w:bCs/>
          <w:sz w:val="32"/>
          <w:szCs w:val="32"/>
        </w:rPr>
      </w:pPr>
    </w:p>
    <w:p>
      <w:pPr>
        <w:spacing w:line="560" w:lineRule="exact"/>
        <w:jc w:val="left"/>
        <w:rPr>
          <w:rFonts w:hint="eastAsia" w:ascii="仿宋" w:hAnsi="仿宋" w:eastAsia="仿宋"/>
          <w:bCs/>
          <w:sz w:val="32"/>
          <w:szCs w:val="32"/>
        </w:rPr>
      </w:pPr>
    </w:p>
    <w:p>
      <w:pPr>
        <w:spacing w:line="560" w:lineRule="exact"/>
        <w:jc w:val="left"/>
        <w:rPr>
          <w:rFonts w:ascii="仿宋" w:hAnsi="仿宋" w:eastAsia="仿宋"/>
          <w:bCs/>
          <w:sz w:val="32"/>
          <w:szCs w:val="32"/>
        </w:rPr>
      </w:pPr>
      <w:r>
        <w:rPr>
          <w:rFonts w:hint="eastAsia" w:ascii="仿宋" w:hAnsi="仿宋" w:eastAsia="仿宋"/>
          <w:bCs/>
          <w:sz w:val="32"/>
          <w:szCs w:val="32"/>
        </w:rPr>
        <w:t>三、技术商务要求</w:t>
      </w:r>
    </w:p>
    <w:p>
      <w:pPr>
        <w:spacing w:line="560" w:lineRule="exact"/>
        <w:jc w:val="left"/>
        <w:rPr>
          <w:rFonts w:ascii="仿宋" w:hAnsi="仿宋" w:eastAsia="仿宋"/>
          <w:bCs/>
          <w:sz w:val="32"/>
          <w:szCs w:val="32"/>
        </w:rPr>
      </w:pPr>
      <w:r>
        <w:rPr>
          <w:rFonts w:hint="eastAsia" w:ascii="仿宋" w:hAnsi="仿宋" w:eastAsia="仿宋"/>
          <w:bCs/>
          <w:sz w:val="32"/>
          <w:szCs w:val="32"/>
        </w:rPr>
        <w:t>（一）技术要求</w:t>
      </w:r>
    </w:p>
    <w:p>
      <w:pPr>
        <w:suppressLineNumbers/>
        <w:spacing w:line="360" w:lineRule="auto"/>
        <w:rPr>
          <w:rFonts w:hint="eastAsia" w:ascii="仿宋" w:hAnsi="仿宋" w:eastAsia="仿宋" w:cs="仿宋_GB2312"/>
          <w:bCs/>
          <w:sz w:val="32"/>
          <w:szCs w:val="32"/>
        </w:rPr>
      </w:pPr>
      <w:r>
        <w:rPr>
          <w:rFonts w:hint="eastAsia" w:ascii="仿宋" w:hAnsi="仿宋" w:eastAsia="仿宋" w:cs="仿宋_GB2312"/>
          <w:bCs/>
          <w:sz w:val="32"/>
          <w:szCs w:val="32"/>
        </w:rPr>
        <w:t>1.知识产权申请代理服务</w:t>
      </w:r>
    </w:p>
    <w:p>
      <w:pPr>
        <w:suppressLineNumbers/>
        <w:spacing w:line="360" w:lineRule="auto"/>
        <w:ind w:firstLine="640" w:firstLineChars="200"/>
        <w:rPr>
          <w:rFonts w:hint="eastAsia" w:ascii="仿宋" w:hAnsi="仿宋" w:eastAsia="仿宋" w:cs="仿宋_GB2312"/>
          <w:bCs/>
          <w:sz w:val="32"/>
          <w:szCs w:val="32"/>
        </w:rPr>
      </w:pPr>
      <w:r>
        <w:rPr>
          <w:rFonts w:hint="eastAsia" w:ascii="仿宋" w:hAnsi="仿宋" w:eastAsia="仿宋" w:cs="仿宋_GB2312"/>
          <w:bCs/>
          <w:sz w:val="32"/>
          <w:szCs w:val="32"/>
        </w:rPr>
        <w:t>根据学校发明人申报需求，按照大致学科类别分派到代理公司。由该公司选派专业代理师一对一指导知识产权。</w:t>
      </w:r>
    </w:p>
    <w:p>
      <w:pPr>
        <w:suppressLineNumbers/>
        <w:spacing w:line="360" w:lineRule="auto"/>
        <w:rPr>
          <w:rFonts w:hint="eastAsia" w:ascii="仿宋" w:hAnsi="仿宋" w:eastAsia="仿宋" w:cs="仿宋_GB2312"/>
          <w:bCs/>
          <w:sz w:val="32"/>
          <w:szCs w:val="32"/>
        </w:rPr>
      </w:pPr>
      <w:r>
        <w:rPr>
          <w:rFonts w:hint="eastAsia" w:ascii="仿宋" w:hAnsi="仿宋" w:eastAsia="仿宋" w:cs="仿宋_GB2312"/>
          <w:bCs/>
          <w:sz w:val="32"/>
          <w:szCs w:val="32"/>
        </w:rPr>
        <w:t>发明人委托代理公司办理专利申请事务时，代理公司应在收到发明人交付的技术交底书之日起，在15个工作日内完成初步申请文件；对需要发明人补充资料的，待发明人补充资料完毕后，代理公司在5个工作日内完成初步申请文件。</w:t>
      </w:r>
    </w:p>
    <w:p>
      <w:pPr>
        <w:suppressLineNumbers/>
        <w:spacing w:line="360" w:lineRule="auto"/>
        <w:rPr>
          <w:rFonts w:hint="eastAsia" w:ascii="仿宋" w:hAnsi="仿宋" w:eastAsia="仿宋" w:cs="仿宋_GB2312"/>
          <w:bCs/>
          <w:sz w:val="32"/>
          <w:szCs w:val="32"/>
        </w:rPr>
      </w:pPr>
      <w:r>
        <w:rPr>
          <w:rFonts w:hint="eastAsia" w:ascii="仿宋" w:hAnsi="仿宋" w:eastAsia="仿宋" w:cs="仿宋_GB2312"/>
          <w:bCs/>
          <w:sz w:val="32"/>
          <w:szCs w:val="32"/>
        </w:rPr>
        <w:t>代理公司在完成初步申请文件后，应立即交发明人确认。发明人认为应该修改的，代理公司应按发明人的意见进行修改，每次修改不得超过3个工作日。</w:t>
      </w:r>
    </w:p>
    <w:p>
      <w:pPr>
        <w:suppressLineNumbers/>
        <w:spacing w:line="360" w:lineRule="auto"/>
        <w:ind w:firstLine="640" w:firstLineChars="200"/>
        <w:rPr>
          <w:rFonts w:hint="eastAsia" w:ascii="仿宋" w:hAnsi="仿宋" w:eastAsia="仿宋" w:cs="仿宋_GB2312"/>
          <w:bCs/>
          <w:sz w:val="32"/>
          <w:szCs w:val="32"/>
        </w:rPr>
      </w:pPr>
      <w:r>
        <w:rPr>
          <w:rFonts w:hint="eastAsia" w:ascii="仿宋" w:hAnsi="仿宋" w:eastAsia="仿宋" w:cs="仿宋_GB2312"/>
          <w:bCs/>
          <w:sz w:val="32"/>
          <w:szCs w:val="32"/>
        </w:rPr>
        <w:t>发明人委托代理公司办理专利申请事务加急服务的，代理公司应主动与有关部门沟通，满足发明人的时间要求。</w:t>
      </w:r>
    </w:p>
    <w:p>
      <w:pPr>
        <w:suppressLineNumbers/>
        <w:spacing w:line="360" w:lineRule="auto"/>
        <w:ind w:firstLine="640" w:firstLineChars="200"/>
        <w:rPr>
          <w:rFonts w:hint="eastAsia" w:ascii="仿宋" w:hAnsi="仿宋" w:eastAsia="仿宋" w:cs="仿宋_GB2312"/>
          <w:bCs/>
          <w:sz w:val="32"/>
          <w:szCs w:val="32"/>
        </w:rPr>
      </w:pPr>
      <w:bookmarkStart w:id="154" w:name="_GoBack"/>
      <w:bookmarkEnd w:id="154"/>
      <w:r>
        <w:rPr>
          <w:rFonts w:hint="eastAsia" w:ascii="仿宋" w:hAnsi="仿宋" w:eastAsia="仿宋" w:cs="仿宋_GB2312"/>
          <w:bCs/>
          <w:sz w:val="32"/>
          <w:szCs w:val="32"/>
        </w:rPr>
        <w:t>代理公司每年1-9月期间应提供至少一次专利申请事务加急服务代理公司在保证服务质量，全面、正确理解发明人发明创造或专利技术内容的基础上，务必争取发明人获得最合理的保护范围，达到承诺的发明专利授权率（其中发明专利授权率不低于70%，实用新型专利、外观设计专利、计算机软件著作权授权率不低于90%）。</w:t>
      </w:r>
    </w:p>
    <w:p>
      <w:pPr>
        <w:suppressLineNumbers/>
        <w:spacing w:line="360" w:lineRule="auto"/>
        <w:rPr>
          <w:rFonts w:hint="eastAsia" w:ascii="仿宋" w:hAnsi="仿宋" w:eastAsia="仿宋" w:cs="仿宋_GB2312"/>
          <w:bCs/>
          <w:sz w:val="32"/>
          <w:szCs w:val="32"/>
        </w:rPr>
      </w:pPr>
      <w:r>
        <w:rPr>
          <w:rFonts w:hint="eastAsia" w:ascii="仿宋" w:hAnsi="仿宋" w:eastAsia="仿宋" w:cs="仿宋_GB2312"/>
          <w:bCs/>
          <w:sz w:val="32"/>
          <w:szCs w:val="32"/>
        </w:rPr>
        <w:t>2.知识产权管理服务</w:t>
      </w:r>
    </w:p>
    <w:p>
      <w:pPr>
        <w:suppressLineNumbers/>
        <w:spacing w:line="360" w:lineRule="auto"/>
        <w:ind w:firstLine="640" w:firstLineChars="200"/>
        <w:rPr>
          <w:rFonts w:hint="eastAsia" w:ascii="仿宋" w:hAnsi="仿宋" w:eastAsia="仿宋" w:cs="仿宋_GB2312"/>
          <w:bCs/>
          <w:sz w:val="32"/>
          <w:szCs w:val="32"/>
        </w:rPr>
      </w:pPr>
      <w:r>
        <w:rPr>
          <w:rFonts w:hint="eastAsia" w:ascii="仿宋" w:hAnsi="仿宋" w:eastAsia="仿宋" w:cs="仿宋_GB2312"/>
          <w:bCs/>
          <w:sz w:val="32"/>
          <w:szCs w:val="32"/>
        </w:rPr>
        <w:t>代理公司每月向专利权人（学校）提供上月专利申请、专利被撤回及被驳回、专利及计算机软件著作权等知产授权的清单，并附对应的授权证书原件。</w:t>
      </w:r>
    </w:p>
    <w:p>
      <w:pPr>
        <w:suppressLineNumbers/>
        <w:spacing w:line="360" w:lineRule="auto"/>
        <w:rPr>
          <w:rFonts w:hint="eastAsia" w:ascii="仿宋" w:hAnsi="仿宋" w:eastAsia="仿宋" w:cs="仿宋_GB2312"/>
          <w:bCs/>
          <w:sz w:val="32"/>
          <w:szCs w:val="32"/>
        </w:rPr>
      </w:pPr>
      <w:r>
        <w:rPr>
          <w:rFonts w:hint="eastAsia" w:ascii="仿宋" w:hAnsi="仿宋" w:eastAsia="仿宋" w:cs="仿宋_GB2312"/>
          <w:bCs/>
          <w:sz w:val="32"/>
          <w:szCs w:val="32"/>
        </w:rPr>
        <w:t>专利代理公司在专利权的有效期内，依据专利权人维护要求（发明专利一直维护，实用新型专利维护3年，外观设计专利只维护当年）负责专利权的监管并缴纳相关年费。如因专利代理公司监管不到位，导致专利逾期缴费产生滞纳金的，由专利代理公司负责承担相关费用。</w:t>
      </w:r>
    </w:p>
    <w:p>
      <w:pPr>
        <w:suppressLineNumbers/>
        <w:spacing w:line="360" w:lineRule="auto"/>
        <w:rPr>
          <w:rFonts w:hint="eastAsia" w:ascii="仿宋" w:hAnsi="仿宋" w:eastAsia="仿宋" w:cs="仿宋_GB2312"/>
          <w:bCs/>
          <w:sz w:val="32"/>
          <w:szCs w:val="32"/>
        </w:rPr>
      </w:pPr>
      <w:r>
        <w:rPr>
          <w:rFonts w:hint="eastAsia" w:ascii="仿宋" w:hAnsi="仿宋" w:eastAsia="仿宋" w:cs="仿宋_GB2312"/>
          <w:bCs/>
          <w:sz w:val="32"/>
          <w:szCs w:val="32"/>
        </w:rPr>
        <w:t>3.知识产权咨询服务</w:t>
      </w:r>
    </w:p>
    <w:p>
      <w:pPr>
        <w:suppressLineNumbers/>
        <w:spacing w:line="360" w:lineRule="auto"/>
        <w:ind w:firstLine="640" w:firstLineChars="200"/>
        <w:rPr>
          <w:rFonts w:hint="eastAsia" w:ascii="仿宋" w:hAnsi="仿宋" w:eastAsia="仿宋" w:cs="仿宋_GB2312"/>
          <w:bCs/>
          <w:sz w:val="32"/>
          <w:szCs w:val="32"/>
        </w:rPr>
      </w:pPr>
      <w:r>
        <w:rPr>
          <w:rFonts w:hint="eastAsia" w:ascii="仿宋" w:hAnsi="仿宋" w:eastAsia="仿宋" w:cs="仿宋_GB2312"/>
          <w:bCs/>
          <w:sz w:val="32"/>
          <w:szCs w:val="32"/>
        </w:rPr>
        <w:t>根据学院需求及特点，代理公司每学期需面对面开展不少于3次的培训及专利数据分析挖掘服务，并能够及时为教师提供知识产权申报咨询。</w:t>
      </w:r>
    </w:p>
    <w:p>
      <w:pPr>
        <w:suppressLineNumbers/>
        <w:spacing w:line="360" w:lineRule="auto"/>
        <w:rPr>
          <w:rFonts w:hint="eastAsia" w:ascii="仿宋" w:hAnsi="仿宋" w:eastAsia="仿宋" w:cs="仿宋_GB2312"/>
          <w:bCs/>
          <w:sz w:val="32"/>
          <w:szCs w:val="32"/>
        </w:rPr>
      </w:pPr>
      <w:r>
        <w:rPr>
          <w:rFonts w:hint="eastAsia" w:ascii="仿宋" w:hAnsi="仿宋" w:eastAsia="仿宋" w:cs="仿宋_GB2312"/>
          <w:bCs/>
          <w:sz w:val="32"/>
          <w:szCs w:val="32"/>
        </w:rPr>
        <w:t>4.当年具体考核目标如下：</w:t>
      </w:r>
    </w:p>
    <w:tbl>
      <w:tblPr>
        <w:tblStyle w:val="30"/>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2136"/>
        <w:gridCol w:w="2612"/>
        <w:gridCol w:w="1603"/>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序号</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绩效考核项目</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截至2024年底</w:t>
            </w:r>
          </w:p>
        </w:tc>
        <w:tc>
          <w:tcPr>
            <w:tcW w:w="1843" w:type="dxa"/>
            <w:tcBorders>
              <w:top w:val="single" w:color="auto" w:sz="4" w:space="0"/>
              <w:left w:val="single" w:color="auto" w:sz="4" w:space="0"/>
              <w:bottom w:val="single" w:color="auto" w:sz="4" w:space="0"/>
              <w:right w:val="single" w:color="auto" w:sz="4" w:space="0"/>
            </w:tcBorders>
            <w:noWrap w:val="0"/>
            <w:vAlign w:val="top"/>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截至2025年底</w:t>
            </w:r>
          </w:p>
        </w:tc>
        <w:tc>
          <w:tcPr>
            <w:tcW w:w="1779" w:type="dxa"/>
            <w:tcBorders>
              <w:top w:val="single" w:color="auto" w:sz="4" w:space="0"/>
              <w:left w:val="single" w:color="auto" w:sz="4" w:space="0"/>
              <w:bottom w:val="single" w:color="auto" w:sz="4" w:space="0"/>
              <w:right w:val="single" w:color="auto" w:sz="4" w:space="0"/>
            </w:tcBorders>
            <w:noWrap w:val="0"/>
            <w:vAlign w:val="top"/>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截至2026年底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1</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发明专利授权量（件）</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 xml:space="preserve">≥12 </w:t>
            </w:r>
          </w:p>
        </w:tc>
        <w:tc>
          <w:tcPr>
            <w:tcW w:w="1843" w:type="dxa"/>
            <w:tcBorders>
              <w:top w:val="single" w:color="auto" w:sz="4" w:space="0"/>
              <w:left w:val="single" w:color="auto" w:sz="4" w:space="0"/>
              <w:bottom w:val="single" w:color="auto" w:sz="4" w:space="0"/>
              <w:right w:val="single" w:color="auto" w:sz="4" w:space="0"/>
            </w:tcBorders>
            <w:noWrap w:val="0"/>
            <w:vAlign w:val="top"/>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增长≥20%</w:t>
            </w:r>
          </w:p>
        </w:tc>
        <w:tc>
          <w:tcPr>
            <w:tcW w:w="1779" w:type="dxa"/>
            <w:tcBorders>
              <w:top w:val="single" w:color="auto" w:sz="4" w:space="0"/>
              <w:left w:val="single" w:color="auto" w:sz="4" w:space="0"/>
              <w:bottom w:val="single" w:color="auto" w:sz="4" w:space="0"/>
              <w:right w:val="single" w:color="auto" w:sz="4" w:space="0"/>
            </w:tcBorders>
            <w:noWrap w:val="0"/>
            <w:vAlign w:val="top"/>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增长≥20%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2</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PCT专利申请量（件）</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 xml:space="preserve">≥1 </w:t>
            </w:r>
          </w:p>
        </w:tc>
        <w:tc>
          <w:tcPr>
            <w:tcW w:w="1843" w:type="dxa"/>
            <w:tcBorders>
              <w:top w:val="single" w:color="auto" w:sz="4" w:space="0"/>
              <w:left w:val="single" w:color="auto" w:sz="4" w:space="0"/>
              <w:bottom w:val="single" w:color="auto" w:sz="4" w:space="0"/>
              <w:right w:val="single" w:color="auto" w:sz="4" w:space="0"/>
            </w:tcBorders>
            <w:noWrap w:val="0"/>
            <w:vAlign w:val="top"/>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增长≥20%</w:t>
            </w:r>
          </w:p>
        </w:tc>
        <w:tc>
          <w:tcPr>
            <w:tcW w:w="1779" w:type="dxa"/>
            <w:tcBorders>
              <w:top w:val="single" w:color="auto" w:sz="4" w:space="0"/>
              <w:left w:val="single" w:color="auto" w:sz="4" w:space="0"/>
              <w:bottom w:val="single" w:color="auto" w:sz="4" w:space="0"/>
              <w:right w:val="single" w:color="auto" w:sz="4" w:space="0"/>
            </w:tcBorders>
            <w:noWrap w:val="0"/>
            <w:vAlign w:val="top"/>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增长≥20%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3</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培训（次）</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≥3（上半年报计划、内容）</w:t>
            </w:r>
          </w:p>
        </w:tc>
        <w:tc>
          <w:tcPr>
            <w:tcW w:w="1843" w:type="dxa"/>
            <w:tcBorders>
              <w:top w:val="single" w:color="auto" w:sz="4" w:space="0"/>
              <w:left w:val="single" w:color="auto" w:sz="4" w:space="0"/>
              <w:bottom w:val="single" w:color="auto" w:sz="4" w:space="0"/>
              <w:right w:val="single" w:color="auto" w:sz="4" w:space="0"/>
            </w:tcBorders>
            <w:noWrap w:val="0"/>
            <w:vAlign w:val="top"/>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增长≥20%</w:t>
            </w:r>
          </w:p>
        </w:tc>
        <w:tc>
          <w:tcPr>
            <w:tcW w:w="1779" w:type="dxa"/>
            <w:tcBorders>
              <w:top w:val="single" w:color="auto" w:sz="4" w:space="0"/>
              <w:left w:val="single" w:color="auto" w:sz="4" w:space="0"/>
              <w:bottom w:val="single" w:color="auto" w:sz="4" w:space="0"/>
              <w:right w:val="single" w:color="auto" w:sz="4" w:space="0"/>
            </w:tcBorders>
            <w:noWrap w:val="0"/>
            <w:vAlign w:val="top"/>
          </w:tcPr>
          <w:p>
            <w:pPr>
              <w:suppressLineNumbers/>
              <w:spacing w:line="360" w:lineRule="auto"/>
              <w:rPr>
                <w:rFonts w:hint="eastAsia" w:ascii="仿宋" w:hAnsi="仿宋" w:eastAsia="仿宋" w:cs="仿宋_GB2312"/>
                <w:bCs/>
                <w:sz w:val="24"/>
              </w:rPr>
            </w:pPr>
            <w:r>
              <w:rPr>
                <w:rFonts w:hint="eastAsia" w:ascii="仿宋" w:hAnsi="仿宋" w:eastAsia="仿宋" w:cs="仿宋_GB2312"/>
                <w:bCs/>
                <w:sz w:val="24"/>
              </w:rPr>
              <w:t>增长≥20%</w:t>
            </w:r>
          </w:p>
        </w:tc>
      </w:tr>
    </w:tbl>
    <w:p>
      <w:pPr>
        <w:jc w:val="left"/>
        <w:rPr>
          <w:rFonts w:hint="eastAsia" w:ascii="仿宋" w:hAnsi="仿宋" w:eastAsia="仿宋"/>
          <w:bCs/>
          <w:sz w:val="32"/>
          <w:szCs w:val="32"/>
        </w:rPr>
      </w:pPr>
      <w:r>
        <w:rPr>
          <w:rFonts w:hint="eastAsia" w:ascii="仿宋" w:hAnsi="仿宋" w:eastAsia="仿宋"/>
          <w:bCs/>
          <w:sz w:val="32"/>
          <w:szCs w:val="32"/>
        </w:rPr>
        <w:t>（二）商务要求</w:t>
      </w:r>
    </w:p>
    <w:p>
      <w:pPr>
        <w:jc w:val="left"/>
        <w:rPr>
          <w:rFonts w:hint="eastAsia" w:ascii="仿宋" w:hAnsi="仿宋" w:eastAsia="仿宋"/>
          <w:bCs/>
          <w:sz w:val="32"/>
          <w:szCs w:val="32"/>
        </w:rPr>
      </w:pPr>
      <w:r>
        <w:rPr>
          <w:rFonts w:hint="eastAsia" w:ascii="仿宋" w:hAnsi="仿宋" w:eastAsia="仿宋"/>
          <w:bCs/>
          <w:sz w:val="32"/>
          <w:szCs w:val="32"/>
        </w:rPr>
        <w:t>1.有关事务的代理服务费用：</w:t>
      </w:r>
    </w:p>
    <w:p>
      <w:pPr>
        <w:ind w:firstLine="640" w:firstLineChars="200"/>
        <w:jc w:val="left"/>
        <w:rPr>
          <w:rFonts w:hint="eastAsia" w:ascii="仿宋" w:hAnsi="仿宋" w:eastAsia="仿宋"/>
          <w:bCs/>
          <w:sz w:val="32"/>
          <w:szCs w:val="32"/>
        </w:rPr>
      </w:pPr>
      <w:r>
        <w:rPr>
          <w:rFonts w:hint="eastAsia" w:ascii="仿宋" w:hAnsi="仿宋" w:eastAsia="仿宋"/>
          <w:bCs/>
          <w:sz w:val="32"/>
          <w:szCs w:val="32"/>
        </w:rPr>
        <w:t>（1）国内发明专利新申请代理费：每件不高于3000元人民币；</w:t>
      </w:r>
    </w:p>
    <w:p>
      <w:pPr>
        <w:ind w:firstLine="640" w:firstLineChars="200"/>
        <w:jc w:val="left"/>
        <w:rPr>
          <w:rFonts w:hint="eastAsia" w:ascii="仿宋" w:hAnsi="仿宋" w:eastAsia="仿宋"/>
          <w:bCs/>
          <w:sz w:val="32"/>
          <w:szCs w:val="32"/>
        </w:rPr>
      </w:pPr>
      <w:r>
        <w:rPr>
          <w:rFonts w:hint="eastAsia" w:ascii="仿宋" w:hAnsi="仿宋" w:eastAsia="仿宋"/>
          <w:bCs/>
          <w:sz w:val="32"/>
          <w:szCs w:val="32"/>
        </w:rPr>
        <w:t>（2）国内实用新型专利新申请代理费：每件不高于1500元人民币；</w:t>
      </w:r>
    </w:p>
    <w:p>
      <w:pPr>
        <w:ind w:firstLine="640" w:firstLineChars="200"/>
        <w:jc w:val="left"/>
        <w:rPr>
          <w:rFonts w:hint="eastAsia" w:ascii="仿宋" w:hAnsi="仿宋" w:eastAsia="仿宋"/>
          <w:bCs/>
          <w:sz w:val="32"/>
          <w:szCs w:val="32"/>
        </w:rPr>
      </w:pPr>
      <w:r>
        <w:rPr>
          <w:rFonts w:hint="eastAsia" w:ascii="仿宋" w:hAnsi="仿宋" w:eastAsia="仿宋"/>
          <w:bCs/>
          <w:sz w:val="32"/>
          <w:szCs w:val="32"/>
        </w:rPr>
        <w:t>（3）国内外观专利新申请代理费：每件不高于800元人民币；</w:t>
      </w:r>
    </w:p>
    <w:p>
      <w:pPr>
        <w:ind w:firstLine="640" w:firstLineChars="200"/>
        <w:jc w:val="left"/>
        <w:rPr>
          <w:rFonts w:hint="eastAsia" w:ascii="仿宋" w:hAnsi="仿宋" w:eastAsia="仿宋"/>
          <w:bCs/>
          <w:sz w:val="32"/>
          <w:szCs w:val="32"/>
        </w:rPr>
      </w:pPr>
      <w:r>
        <w:rPr>
          <w:rFonts w:hint="eastAsia" w:ascii="仿宋" w:hAnsi="仿宋" w:eastAsia="仿宋"/>
          <w:bCs/>
          <w:sz w:val="32"/>
          <w:szCs w:val="32"/>
        </w:rPr>
        <w:t>（4）计算机软件著作权新申请代理费：每件不高于800元人民币；</w:t>
      </w:r>
    </w:p>
    <w:p>
      <w:pPr>
        <w:ind w:firstLine="640" w:firstLineChars="200"/>
        <w:jc w:val="left"/>
        <w:rPr>
          <w:rFonts w:hint="eastAsia" w:ascii="仿宋" w:hAnsi="仿宋" w:eastAsia="仿宋"/>
          <w:bCs/>
          <w:sz w:val="32"/>
          <w:szCs w:val="32"/>
        </w:rPr>
      </w:pPr>
      <w:r>
        <w:rPr>
          <w:rFonts w:hint="eastAsia" w:ascii="仿宋" w:hAnsi="仿宋" w:eastAsia="仿宋"/>
          <w:bCs/>
          <w:sz w:val="32"/>
          <w:szCs w:val="32"/>
        </w:rPr>
        <w:t>（5）代理公司代为缴纳的相关费用（包括专利申请的申请费、实质审查费、申请文件印刷费、登记费、印花税、维持费、证书费、授权后的年费等），专利受理后进行结算，专利权人根据专利代理公司提供的政府主管机关出具的凭据、代理收费凭据、费用清单及情况说明，经专利权人核对无误后，按照账单所列款项向代理公司指定的账户支付代理费和官方费用；</w:t>
      </w:r>
    </w:p>
    <w:p>
      <w:pPr>
        <w:ind w:firstLine="640" w:firstLineChars="200"/>
        <w:jc w:val="left"/>
        <w:rPr>
          <w:rFonts w:hint="eastAsia" w:ascii="仿宋" w:hAnsi="仿宋" w:eastAsia="仿宋"/>
          <w:bCs/>
          <w:sz w:val="32"/>
          <w:szCs w:val="32"/>
        </w:rPr>
      </w:pPr>
      <w:r>
        <w:rPr>
          <w:rFonts w:hint="eastAsia" w:ascii="仿宋" w:hAnsi="仿宋" w:eastAsia="仿宋"/>
          <w:bCs/>
          <w:sz w:val="32"/>
          <w:szCs w:val="32"/>
        </w:rPr>
        <w:t>（6）知识产权事务咨询、开办知识产权讲座以及用于撰写及答复审查意见的检索分析不收费，专题检索分析项目收费标准另作约定。</w:t>
      </w:r>
    </w:p>
    <w:p>
      <w:pPr>
        <w:jc w:val="left"/>
        <w:rPr>
          <w:rFonts w:hint="eastAsia" w:ascii="仿宋" w:hAnsi="仿宋" w:eastAsia="仿宋"/>
          <w:bCs/>
          <w:sz w:val="32"/>
          <w:szCs w:val="32"/>
        </w:rPr>
      </w:pPr>
      <w:r>
        <w:rPr>
          <w:rFonts w:hint="eastAsia" w:ascii="仿宋" w:hAnsi="仿宋" w:eastAsia="仿宋"/>
          <w:bCs/>
          <w:sz w:val="32"/>
          <w:szCs w:val="32"/>
        </w:rPr>
        <w:t>2.采购需求：</w:t>
      </w:r>
    </w:p>
    <w:p>
      <w:pPr>
        <w:ind w:firstLine="640" w:firstLineChars="200"/>
        <w:rPr>
          <w:rFonts w:hint="eastAsia"/>
        </w:rPr>
      </w:pPr>
      <w:r>
        <w:rPr>
          <w:rFonts w:hint="eastAsia" w:ascii="仿宋" w:hAnsi="仿宋" w:eastAsia="仿宋"/>
          <w:bCs/>
          <w:sz w:val="32"/>
          <w:szCs w:val="32"/>
        </w:rPr>
        <w:t>本次以</w:t>
      </w:r>
      <w:r>
        <w:rPr>
          <w:rFonts w:hint="eastAsia" w:ascii="仿宋" w:hAnsi="仿宋" w:eastAsia="仿宋"/>
          <w:bCs/>
          <w:sz w:val="32"/>
          <w:szCs w:val="32"/>
          <w:lang w:val="en-US" w:eastAsia="zh-CN"/>
        </w:rPr>
        <w:t>磋商的</w:t>
      </w:r>
      <w:r>
        <w:rPr>
          <w:rFonts w:hint="eastAsia" w:ascii="仿宋" w:hAnsi="仿宋" w:eastAsia="仿宋"/>
          <w:bCs/>
          <w:sz w:val="32"/>
          <w:szCs w:val="32"/>
        </w:rPr>
        <w:t>方式确定</w:t>
      </w:r>
      <w:r>
        <w:rPr>
          <w:rFonts w:hint="eastAsia" w:ascii="仿宋" w:hAnsi="仿宋" w:eastAsia="仿宋"/>
          <w:bCs/>
          <w:sz w:val="32"/>
          <w:szCs w:val="32"/>
          <w:lang w:val="en-US" w:eastAsia="zh-CN"/>
        </w:rPr>
        <w:t>化学材料与环境工程类别</w:t>
      </w:r>
      <w:r>
        <w:rPr>
          <w:rFonts w:hint="eastAsia" w:ascii="仿宋" w:hAnsi="仿宋" w:eastAsia="仿宋"/>
          <w:bCs/>
          <w:color w:val="0A0A0A"/>
          <w:sz w:val="32"/>
          <w:szCs w:val="32"/>
        </w:rPr>
        <w:t>专利代理服务</w:t>
      </w:r>
      <w:r>
        <w:rPr>
          <w:rFonts w:hint="eastAsia" w:ascii="仿宋" w:hAnsi="仿宋" w:eastAsia="仿宋"/>
          <w:bCs/>
          <w:sz w:val="32"/>
          <w:szCs w:val="32"/>
        </w:rPr>
        <w:t>机构负责我校专利申请代理事物及管理协助工作。合同履行期限：期限为3年，合同一年一签，经考核合格的，续签合同；考核不合格的，不再续签合同。</w:t>
      </w:r>
    </w:p>
    <w:p>
      <w:pPr>
        <w:pStyle w:val="2"/>
        <w:snapToGrid w:val="0"/>
        <w:spacing w:before="0" w:after="0"/>
        <w:ind w:left="0" w:leftChars="0" w:firstLine="0" w:firstLineChars="0"/>
        <w:jc w:val="both"/>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pStyle w:val="2"/>
        <w:snapToGrid w:val="0"/>
        <w:spacing w:before="0" w:after="0"/>
        <w:ind w:left="0" w:leftChars="0" w:firstLine="1441" w:firstLineChars="400"/>
        <w:jc w:val="both"/>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第六章  评分办法和评分细则</w:t>
      </w:r>
      <w:bookmarkEnd w:id="111"/>
      <w:bookmarkEnd w:id="112"/>
    </w:p>
    <w:p>
      <w:pPr>
        <w:adjustRightInd w:val="0"/>
        <w:snapToGrid w:val="0"/>
        <w:spacing w:line="360" w:lineRule="auto"/>
        <w:ind w:firstLine="560" w:firstLineChars="200"/>
        <w:rPr>
          <w:rFonts w:hint="eastAsia" w:ascii="仿宋_GB2312" w:eastAsia="仿宋_GB2312"/>
          <w:szCs w:val="28"/>
        </w:rPr>
      </w:pPr>
      <w:bookmarkStart w:id="113" w:name="_Toc516580575"/>
      <w:bookmarkStart w:id="114" w:name="_Toc479170305"/>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一、总则</w:t>
      </w: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pStyle w:val="17"/>
        <w:ind w:left="0" w:leftChars="0" w:firstLine="560" w:firstLineChars="200"/>
        <w:rPr>
          <w:rFonts w:hint="eastAsia" w:ascii="仿宋_GB2312" w:eastAsia="仿宋_GB2312"/>
          <w:szCs w:val="28"/>
        </w:rPr>
      </w:pPr>
      <w:r>
        <w:rPr>
          <w:rFonts w:hint="eastAsia" w:ascii="仿宋_GB2312" w:eastAsia="仿宋_GB2312"/>
          <w:szCs w:val="28"/>
        </w:rPr>
        <w:t>本综合评分环节采用综合评分法，总分为100分。其中：技术（服务）部分</w:t>
      </w:r>
      <w:r>
        <w:rPr>
          <w:rFonts w:hint="eastAsia"/>
          <w:szCs w:val="28"/>
          <w:lang w:val="en-US" w:eastAsia="zh-CN"/>
        </w:rPr>
        <w:t>70</w:t>
      </w:r>
      <w:r>
        <w:rPr>
          <w:rFonts w:hint="eastAsia" w:ascii="仿宋_GB2312" w:eastAsia="仿宋_GB2312"/>
          <w:szCs w:val="28"/>
        </w:rPr>
        <w:t>分，报价部分占</w:t>
      </w:r>
      <w:r>
        <w:rPr>
          <w:rFonts w:hint="eastAsia"/>
          <w:szCs w:val="28"/>
          <w:lang w:val="en-US" w:eastAsia="zh-CN"/>
        </w:rPr>
        <w:t>30</w:t>
      </w:r>
      <w:r>
        <w:rPr>
          <w:rFonts w:hint="eastAsia" w:ascii="仿宋_GB2312" w:eastAsia="仿宋_GB2312"/>
          <w:szCs w:val="28"/>
        </w:rPr>
        <w:t>分，评标委员会按综合得分由高到低顺序，对投标人进行排名。</w:t>
      </w:r>
    </w:p>
    <w:p>
      <w:pPr>
        <w:pStyle w:val="17"/>
        <w:ind w:left="0" w:leftChars="0" w:firstLine="560" w:firstLineChars="200"/>
        <w:rPr>
          <w:rFonts w:hint="eastAsia" w:ascii="仿宋_GB2312" w:eastAsia="仿宋_GB2312"/>
          <w:szCs w:val="28"/>
        </w:rPr>
      </w:pPr>
      <w:r>
        <w:rPr>
          <w:rFonts w:hint="eastAsia" w:ascii="仿宋_GB2312" w:eastAsia="仿宋_GB2312"/>
          <w:szCs w:val="28"/>
        </w:rPr>
        <w:t>投标人评标综合得分=技术（服务）分+报价分。</w:t>
      </w:r>
    </w:p>
    <w:p>
      <w:pPr>
        <w:pStyle w:val="17"/>
        <w:ind w:left="0" w:leftChars="0" w:firstLine="560" w:firstLineChars="200"/>
        <w:rPr>
          <w:rFonts w:hint="eastAsia" w:ascii="仿宋_GB2312" w:eastAsia="仿宋_GB2312"/>
          <w:szCs w:val="28"/>
        </w:rPr>
      </w:pPr>
      <w:r>
        <w:rPr>
          <w:rFonts w:hint="eastAsia" w:ascii="仿宋_GB2312" w:eastAsia="仿宋_GB2312"/>
          <w:szCs w:val="28"/>
        </w:rPr>
        <w:t>技术（服务）分为评标委员会成员对每家投标人的技术（服务）部分和所评分值的算术平均值。</w:t>
      </w:r>
    </w:p>
    <w:p>
      <w:pPr>
        <w:pStyle w:val="17"/>
        <w:ind w:left="0" w:leftChars="0" w:firstLine="560" w:firstLineChars="200"/>
        <w:rPr>
          <w:rFonts w:hint="eastAsia" w:ascii="仿宋_GB2312" w:eastAsia="仿宋_GB2312"/>
          <w:szCs w:val="28"/>
        </w:rPr>
      </w:pPr>
      <w:r>
        <w:rPr>
          <w:rFonts w:hint="eastAsia" w:ascii="仿宋_GB2312" w:eastAsia="仿宋_GB2312"/>
          <w:szCs w:val="28"/>
        </w:rPr>
        <w:t>评标基准报价为满足所有要求的各投标人最低有效报价。</w:t>
      </w:r>
    </w:p>
    <w:p>
      <w:pPr>
        <w:pStyle w:val="17"/>
        <w:ind w:left="0" w:leftChars="0" w:firstLine="560" w:firstLineChars="200"/>
        <w:rPr>
          <w:rFonts w:hint="eastAsia" w:ascii="仿宋_GB2312" w:eastAsia="仿宋_GB2312"/>
          <w:szCs w:val="28"/>
        </w:rPr>
      </w:pPr>
      <w:r>
        <w:rPr>
          <w:rFonts w:hint="eastAsia" w:ascii="仿宋_GB2312" w:eastAsia="仿宋_GB2312"/>
          <w:szCs w:val="28"/>
        </w:rPr>
        <w:t>当综合得分相同时，以其技术（服务）部分得分高的投标人排名靠前。所有得分相同时，则由评标委员会通过随机抽取的方式确定投标人排名顺序。</w:t>
      </w:r>
    </w:p>
    <w:p>
      <w:pPr>
        <w:pStyle w:val="17"/>
        <w:ind w:left="0" w:leftChars="0" w:firstLine="560" w:firstLineChars="200"/>
        <w:rPr>
          <w:rFonts w:hint="eastAsia" w:ascii="仿宋_GB2312" w:eastAsia="仿宋_GB2312"/>
          <w:szCs w:val="28"/>
        </w:rPr>
      </w:pPr>
      <w:r>
        <w:rPr>
          <w:rFonts w:hint="eastAsia" w:ascii="仿宋_GB2312" w:eastAsia="仿宋_GB2312"/>
          <w:szCs w:val="28"/>
        </w:rPr>
        <w:t>所有分数结果保留小数点后2位，第三位四舍五入。</w:t>
      </w:r>
    </w:p>
    <w:p>
      <w:pPr>
        <w:pStyle w:val="17"/>
        <w:ind w:left="0" w:leftChars="0" w:firstLine="560" w:firstLineChars="200"/>
        <w:rPr>
          <w:rFonts w:hint="eastAsia" w:ascii="仿宋_GB2312" w:eastAsia="仿宋_GB2312"/>
          <w:szCs w:val="28"/>
        </w:rPr>
      </w:pPr>
    </w:p>
    <w:p>
      <w:pPr>
        <w:pStyle w:val="17"/>
        <w:ind w:left="0" w:leftChars="0" w:firstLine="560" w:firstLineChars="200"/>
        <w:rPr>
          <w:rFonts w:hint="eastAsia" w:ascii="仿宋_GB2312" w:eastAsia="仿宋_GB2312"/>
          <w:szCs w:val="28"/>
        </w:rPr>
      </w:pPr>
    </w:p>
    <w:tbl>
      <w:tblPr>
        <w:tblStyle w:val="30"/>
        <w:tblpPr w:leftFromText="180" w:rightFromText="180" w:vertAnchor="text" w:horzAnchor="page" w:tblpX="1470" w:tblpY="516"/>
        <w:tblOverlap w:val="never"/>
        <w:tblW w:w="91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560"/>
        <w:gridCol w:w="5925"/>
        <w:gridCol w:w="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19" w:type="dxa"/>
            <w:noWrap w:val="0"/>
            <w:vAlign w:val="top"/>
          </w:tcPr>
          <w:p>
            <w:pPr>
              <w:kinsoku w:val="0"/>
              <w:overflowPunct w:val="0"/>
              <w:spacing w:before="88" w:after="120" w:line="360" w:lineRule="auto"/>
              <w:jc w:val="center"/>
              <w:rPr>
                <w:rFonts w:ascii="宋体" w:hAnsi="宋体"/>
                <w:b/>
                <w:bCs/>
                <w:sz w:val="24"/>
              </w:rPr>
            </w:pPr>
            <w:r>
              <w:rPr>
                <w:rFonts w:ascii="宋体" w:hAnsi="宋体"/>
                <w:b/>
                <w:bCs/>
                <w:sz w:val="24"/>
              </w:rPr>
              <w:t>序号</w:t>
            </w:r>
          </w:p>
        </w:tc>
        <w:tc>
          <w:tcPr>
            <w:tcW w:w="1560" w:type="dxa"/>
            <w:noWrap w:val="0"/>
            <w:vAlign w:val="top"/>
          </w:tcPr>
          <w:p>
            <w:pPr>
              <w:kinsoku w:val="0"/>
              <w:overflowPunct w:val="0"/>
              <w:spacing w:before="88" w:after="120" w:line="360" w:lineRule="auto"/>
              <w:jc w:val="center"/>
              <w:rPr>
                <w:rFonts w:ascii="宋体" w:hAnsi="宋体"/>
                <w:b/>
                <w:bCs/>
                <w:sz w:val="24"/>
              </w:rPr>
            </w:pPr>
            <w:r>
              <w:rPr>
                <w:rFonts w:ascii="宋体" w:hAnsi="宋体"/>
                <w:b/>
                <w:bCs/>
                <w:sz w:val="24"/>
              </w:rPr>
              <w:t>评审因素</w:t>
            </w:r>
          </w:p>
        </w:tc>
        <w:tc>
          <w:tcPr>
            <w:tcW w:w="5925" w:type="dxa"/>
            <w:noWrap w:val="0"/>
            <w:vAlign w:val="top"/>
          </w:tcPr>
          <w:p>
            <w:pPr>
              <w:kinsoku w:val="0"/>
              <w:overflowPunct w:val="0"/>
              <w:spacing w:before="88" w:after="120" w:line="360" w:lineRule="auto"/>
              <w:ind w:right="45" w:rightChars="16"/>
              <w:jc w:val="center"/>
              <w:rPr>
                <w:rFonts w:ascii="宋体" w:hAnsi="宋体"/>
                <w:b/>
                <w:bCs/>
                <w:sz w:val="24"/>
              </w:rPr>
            </w:pPr>
            <w:r>
              <w:rPr>
                <w:rFonts w:ascii="宋体" w:hAnsi="宋体"/>
                <w:b/>
                <w:bCs/>
                <w:sz w:val="24"/>
              </w:rPr>
              <w:t>评分细节</w:t>
            </w:r>
          </w:p>
        </w:tc>
        <w:tc>
          <w:tcPr>
            <w:tcW w:w="727" w:type="dxa"/>
            <w:noWrap w:val="0"/>
            <w:vAlign w:val="top"/>
          </w:tcPr>
          <w:p>
            <w:pPr>
              <w:kinsoku w:val="0"/>
              <w:overflowPunct w:val="0"/>
              <w:spacing w:before="88" w:after="120" w:line="360" w:lineRule="auto"/>
              <w:jc w:val="center"/>
              <w:rPr>
                <w:rFonts w:ascii="宋体" w:hAnsi="宋体"/>
                <w:b/>
                <w:bCs/>
                <w:sz w:val="24"/>
              </w:rPr>
            </w:pPr>
            <w:r>
              <w:rPr>
                <w:rFonts w:ascii="宋体" w:hAnsi="宋体"/>
                <w:b/>
                <w:bCs/>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trPr>
        <w:tc>
          <w:tcPr>
            <w:tcW w:w="919" w:type="dxa"/>
            <w:noWrap w:val="0"/>
            <w:vAlign w:val="center"/>
          </w:tcPr>
          <w:p>
            <w:pPr>
              <w:kinsoku w:val="0"/>
              <w:overflowPunct w:val="0"/>
              <w:spacing w:after="120" w:line="360" w:lineRule="auto"/>
              <w:jc w:val="center"/>
              <w:rPr>
                <w:rFonts w:ascii="宋体" w:hAnsi="宋体"/>
                <w:sz w:val="24"/>
              </w:rPr>
            </w:pPr>
            <w:r>
              <w:rPr>
                <w:rFonts w:ascii="宋体" w:hAnsi="宋体"/>
                <w:sz w:val="24"/>
              </w:rPr>
              <w:t>1</w:t>
            </w:r>
          </w:p>
        </w:tc>
        <w:tc>
          <w:tcPr>
            <w:tcW w:w="1560" w:type="dxa"/>
            <w:noWrap w:val="0"/>
            <w:vAlign w:val="center"/>
          </w:tcPr>
          <w:p>
            <w:pPr>
              <w:kinsoku w:val="0"/>
              <w:overflowPunct w:val="0"/>
              <w:spacing w:after="120" w:line="360" w:lineRule="auto"/>
              <w:ind w:right="155"/>
              <w:jc w:val="center"/>
              <w:rPr>
                <w:rFonts w:ascii="宋体" w:hAnsi="宋体"/>
                <w:sz w:val="24"/>
              </w:rPr>
            </w:pPr>
            <w:r>
              <w:rPr>
                <w:rFonts w:ascii="宋体" w:hAnsi="宋体"/>
                <w:sz w:val="24"/>
              </w:rPr>
              <w:t>投标报价</w:t>
            </w:r>
          </w:p>
        </w:tc>
        <w:tc>
          <w:tcPr>
            <w:tcW w:w="5925" w:type="dxa"/>
            <w:noWrap w:val="0"/>
            <w:vAlign w:val="top"/>
          </w:tcPr>
          <w:p>
            <w:pPr>
              <w:spacing w:line="360" w:lineRule="auto"/>
              <w:rPr>
                <w:rFonts w:ascii="宋体" w:hAnsi="宋体"/>
                <w:kern w:val="0"/>
                <w:sz w:val="24"/>
              </w:rPr>
            </w:pPr>
            <w:r>
              <w:rPr>
                <w:rFonts w:ascii="宋体" w:hAnsi="宋体"/>
                <w:kern w:val="0"/>
                <w:sz w:val="24"/>
              </w:rPr>
              <w:t>价格分采用低价优先法计算，即满足招标文件要求且投标价格最低的投标报价为评标基准价，其价格分为满分</w:t>
            </w:r>
            <w:r>
              <w:rPr>
                <w:rFonts w:hint="eastAsia" w:ascii="宋体" w:hAnsi="宋体"/>
                <w:kern w:val="0"/>
                <w:sz w:val="24"/>
              </w:rPr>
              <w:t>30</w:t>
            </w:r>
            <w:r>
              <w:rPr>
                <w:rFonts w:ascii="宋体" w:hAnsi="宋体"/>
                <w:kern w:val="0"/>
                <w:sz w:val="24"/>
              </w:rPr>
              <w:t>分。其他投标人的价格分按照下列公式计算：</w:t>
            </w:r>
          </w:p>
          <w:p>
            <w:pPr>
              <w:spacing w:line="360" w:lineRule="auto"/>
              <w:rPr>
                <w:rFonts w:ascii="宋体" w:hAnsi="宋体"/>
                <w:kern w:val="0"/>
                <w:sz w:val="24"/>
              </w:rPr>
            </w:pPr>
            <w:r>
              <w:rPr>
                <w:rFonts w:ascii="宋体" w:hAnsi="宋体"/>
                <w:kern w:val="0"/>
                <w:sz w:val="24"/>
              </w:rPr>
              <w:t>投标报价得分=（评标基准价／投标报价）×</w:t>
            </w:r>
            <w:r>
              <w:rPr>
                <w:rFonts w:hint="eastAsia" w:ascii="宋体" w:hAnsi="宋体"/>
                <w:kern w:val="0"/>
                <w:sz w:val="24"/>
              </w:rPr>
              <w:t>30</w:t>
            </w:r>
            <w:r>
              <w:rPr>
                <w:rFonts w:ascii="宋体" w:hAnsi="宋体"/>
                <w:kern w:val="0"/>
                <w:sz w:val="24"/>
              </w:rPr>
              <w:t>（精确到小数点后两位）</w:t>
            </w:r>
          </w:p>
        </w:tc>
        <w:tc>
          <w:tcPr>
            <w:tcW w:w="727" w:type="dxa"/>
            <w:noWrap w:val="0"/>
            <w:vAlign w:val="center"/>
          </w:tcPr>
          <w:p>
            <w:pPr>
              <w:spacing w:line="360" w:lineRule="auto"/>
              <w:jc w:val="center"/>
              <w:rPr>
                <w:rFonts w:ascii="宋体" w:hAnsi="宋体"/>
                <w:kern w:val="0"/>
                <w:sz w:val="24"/>
              </w:rPr>
            </w:pPr>
            <w:r>
              <w:rPr>
                <w:rFonts w:hint="eastAsia" w:ascii="宋体" w:hAnsi="宋体"/>
                <w:kern w:val="0"/>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trPr>
        <w:tc>
          <w:tcPr>
            <w:tcW w:w="919" w:type="dxa"/>
            <w:noWrap w:val="0"/>
            <w:vAlign w:val="center"/>
          </w:tcPr>
          <w:p>
            <w:pPr>
              <w:kinsoku w:val="0"/>
              <w:overflowPunct w:val="0"/>
              <w:spacing w:after="120" w:line="360" w:lineRule="auto"/>
              <w:jc w:val="center"/>
              <w:rPr>
                <w:rFonts w:ascii="宋体" w:hAnsi="宋体"/>
                <w:sz w:val="24"/>
              </w:rPr>
            </w:pPr>
            <w:r>
              <w:rPr>
                <w:rFonts w:hint="eastAsia" w:ascii="宋体" w:hAnsi="宋体"/>
                <w:sz w:val="24"/>
              </w:rPr>
              <w:t>2</w:t>
            </w:r>
          </w:p>
        </w:tc>
        <w:tc>
          <w:tcPr>
            <w:tcW w:w="1560" w:type="dxa"/>
            <w:noWrap w:val="0"/>
            <w:vAlign w:val="center"/>
          </w:tcPr>
          <w:p>
            <w:pPr>
              <w:kinsoku w:val="0"/>
              <w:overflowPunct w:val="0"/>
              <w:spacing w:after="120" w:line="360" w:lineRule="auto"/>
              <w:ind w:right="155"/>
              <w:jc w:val="center"/>
              <w:rPr>
                <w:rFonts w:ascii="宋体" w:hAnsi="宋体"/>
                <w:sz w:val="24"/>
              </w:rPr>
            </w:pPr>
            <w:r>
              <w:rPr>
                <w:rFonts w:ascii="宋体" w:hAnsi="宋体"/>
                <w:sz w:val="24"/>
              </w:rPr>
              <w:t>非正常申请情况</w:t>
            </w:r>
          </w:p>
        </w:tc>
        <w:tc>
          <w:tcPr>
            <w:tcW w:w="5925" w:type="dxa"/>
            <w:noWrap w:val="0"/>
            <w:vAlign w:val="top"/>
          </w:tcPr>
          <w:p>
            <w:pPr>
              <w:spacing w:line="360" w:lineRule="auto"/>
              <w:rPr>
                <w:rFonts w:ascii="宋体" w:hAnsi="宋体"/>
                <w:kern w:val="0"/>
                <w:sz w:val="24"/>
              </w:rPr>
            </w:pPr>
            <w:r>
              <w:rPr>
                <w:rFonts w:hint="eastAsia" w:ascii="宋体" w:hAnsi="宋体"/>
                <w:kern w:val="0"/>
                <w:sz w:val="24"/>
              </w:rPr>
              <w:t>年度两批次被国家知识产权局认定为非正常申请案件</w:t>
            </w:r>
            <w:r>
              <w:rPr>
                <w:rFonts w:hint="eastAsia" w:ascii="宋体" w:hAnsi="宋体"/>
                <w:kern w:val="0"/>
                <w:sz w:val="24"/>
                <w:lang w:val="en-US" w:eastAsia="zh-CN"/>
              </w:rPr>
              <w:t>.</w:t>
            </w:r>
            <w:r>
              <w:rPr>
                <w:rFonts w:hint="eastAsia" w:ascii="宋体" w:hAnsi="宋体"/>
                <w:kern w:val="0"/>
                <w:sz w:val="24"/>
              </w:rPr>
              <w:t>数量少于100件，得10分，等于或大于100件，不得分。此项需提供承诺函。</w:t>
            </w:r>
          </w:p>
        </w:tc>
        <w:tc>
          <w:tcPr>
            <w:tcW w:w="727" w:type="dxa"/>
            <w:noWrap w:val="0"/>
            <w:vAlign w:val="center"/>
          </w:tcPr>
          <w:p>
            <w:pPr>
              <w:spacing w:line="360" w:lineRule="auto"/>
              <w:jc w:val="center"/>
              <w:rPr>
                <w:rFonts w:ascii="宋体" w:hAnsi="宋体"/>
                <w:kern w:val="0"/>
                <w:sz w:val="24"/>
              </w:rPr>
            </w:pPr>
            <w:r>
              <w:rPr>
                <w:rFonts w:hint="eastAsia" w:ascii="宋体" w:hAnsi="宋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2" w:hRule="atLeast"/>
        </w:trPr>
        <w:tc>
          <w:tcPr>
            <w:tcW w:w="919" w:type="dxa"/>
            <w:noWrap w:val="0"/>
            <w:vAlign w:val="top"/>
          </w:tcPr>
          <w:p>
            <w:pPr>
              <w:spacing w:line="360" w:lineRule="auto"/>
              <w:rPr>
                <w:rFonts w:ascii="宋体" w:hAnsi="宋体"/>
                <w:kern w:val="0"/>
                <w:sz w:val="24"/>
              </w:rPr>
            </w:pPr>
          </w:p>
          <w:p>
            <w:pPr>
              <w:spacing w:line="360" w:lineRule="auto"/>
              <w:jc w:val="center"/>
              <w:rPr>
                <w:rFonts w:ascii="宋体" w:hAnsi="宋体"/>
                <w:kern w:val="0"/>
                <w:sz w:val="24"/>
              </w:rPr>
            </w:pPr>
            <w:r>
              <w:rPr>
                <w:rFonts w:hint="eastAsia" w:ascii="宋体" w:hAnsi="宋体"/>
                <w:kern w:val="0"/>
                <w:sz w:val="24"/>
              </w:rPr>
              <w:t>3</w:t>
            </w:r>
          </w:p>
        </w:tc>
        <w:tc>
          <w:tcPr>
            <w:tcW w:w="1560" w:type="dxa"/>
            <w:noWrap w:val="0"/>
            <w:vAlign w:val="top"/>
          </w:tcPr>
          <w:p>
            <w:pPr>
              <w:spacing w:line="360" w:lineRule="auto"/>
              <w:jc w:val="center"/>
              <w:rPr>
                <w:rFonts w:ascii="宋体" w:hAnsi="宋体"/>
                <w:kern w:val="0"/>
                <w:sz w:val="24"/>
              </w:rPr>
            </w:pPr>
          </w:p>
          <w:p>
            <w:pPr>
              <w:spacing w:line="360" w:lineRule="auto"/>
              <w:jc w:val="center"/>
              <w:rPr>
                <w:rFonts w:ascii="宋体" w:hAnsi="宋体"/>
                <w:kern w:val="0"/>
                <w:sz w:val="24"/>
              </w:rPr>
            </w:pPr>
            <w:r>
              <w:rPr>
                <w:rFonts w:hint="eastAsia" w:ascii="宋体" w:hAnsi="宋体" w:cs="Arial"/>
                <w:bCs/>
                <w:color w:val="000000"/>
                <w:sz w:val="24"/>
              </w:rPr>
              <w:t>发明专利年代理数量</w:t>
            </w:r>
          </w:p>
        </w:tc>
        <w:tc>
          <w:tcPr>
            <w:tcW w:w="5925" w:type="dxa"/>
            <w:noWrap w:val="0"/>
            <w:vAlign w:val="top"/>
          </w:tcPr>
          <w:p>
            <w:pPr>
              <w:adjustRightInd w:val="0"/>
              <w:snapToGrid w:val="0"/>
              <w:spacing w:line="360" w:lineRule="auto"/>
              <w:rPr>
                <w:rFonts w:ascii="宋体" w:hAnsi="宋体" w:cs="宋体"/>
                <w:bCs/>
                <w:sz w:val="24"/>
              </w:rPr>
            </w:pPr>
            <w:r>
              <w:rPr>
                <w:rFonts w:hint="eastAsia" w:ascii="宋体" w:hAnsi="宋体" w:cs="宋体"/>
                <w:bCs/>
                <w:sz w:val="24"/>
              </w:rPr>
              <w:t>根据投标人提供的任一年度年发明专利代理数量（年平均代理数量）进行评分（0-10分）：</w:t>
            </w:r>
          </w:p>
          <w:p>
            <w:pPr>
              <w:adjustRightInd w:val="0"/>
              <w:snapToGrid w:val="0"/>
              <w:spacing w:line="360" w:lineRule="auto"/>
              <w:rPr>
                <w:rFonts w:ascii="宋体" w:hAnsi="宋体" w:cs="宋体"/>
                <w:bCs/>
                <w:sz w:val="24"/>
              </w:rPr>
            </w:pPr>
            <w:r>
              <w:rPr>
                <w:rFonts w:hint="eastAsia" w:ascii="宋体" w:hAnsi="宋体" w:cs="宋体"/>
                <w:bCs/>
                <w:sz w:val="24"/>
              </w:rPr>
              <w:t>年平均代理数量3500件（含）以上的，得10分；</w:t>
            </w:r>
          </w:p>
          <w:p>
            <w:pPr>
              <w:adjustRightInd w:val="0"/>
              <w:snapToGrid w:val="0"/>
              <w:spacing w:line="360" w:lineRule="auto"/>
              <w:rPr>
                <w:rFonts w:ascii="宋体" w:hAnsi="宋体" w:cs="宋体"/>
                <w:bCs/>
                <w:sz w:val="24"/>
              </w:rPr>
            </w:pPr>
            <w:r>
              <w:rPr>
                <w:rFonts w:hint="eastAsia" w:ascii="宋体" w:hAnsi="宋体" w:cs="宋体"/>
                <w:bCs/>
                <w:sz w:val="24"/>
              </w:rPr>
              <w:t>年平均代理数量3000件（含）-3499件的，得8分；</w:t>
            </w:r>
          </w:p>
          <w:p>
            <w:pPr>
              <w:adjustRightInd w:val="0"/>
              <w:snapToGrid w:val="0"/>
              <w:spacing w:line="360" w:lineRule="auto"/>
              <w:rPr>
                <w:rFonts w:ascii="宋体" w:hAnsi="宋体" w:cs="宋体"/>
                <w:bCs/>
                <w:sz w:val="24"/>
              </w:rPr>
            </w:pPr>
            <w:r>
              <w:rPr>
                <w:rFonts w:hint="eastAsia" w:ascii="宋体" w:hAnsi="宋体" w:cs="宋体"/>
                <w:bCs/>
                <w:sz w:val="24"/>
              </w:rPr>
              <w:t>年平均代理数量2500件（含）-2999件的，得6分；</w:t>
            </w:r>
          </w:p>
          <w:p>
            <w:pPr>
              <w:adjustRightInd w:val="0"/>
              <w:snapToGrid w:val="0"/>
              <w:spacing w:line="360" w:lineRule="auto"/>
              <w:rPr>
                <w:rFonts w:ascii="宋体" w:hAnsi="宋体" w:cs="宋体"/>
                <w:bCs/>
                <w:sz w:val="24"/>
              </w:rPr>
            </w:pPr>
            <w:r>
              <w:rPr>
                <w:rFonts w:hint="eastAsia" w:ascii="宋体" w:hAnsi="宋体" w:cs="宋体"/>
                <w:bCs/>
                <w:sz w:val="24"/>
              </w:rPr>
              <w:t>年平均代理数量2000件（含）-2499件的，得4分；</w:t>
            </w:r>
          </w:p>
          <w:p>
            <w:pPr>
              <w:adjustRightInd w:val="0"/>
              <w:snapToGrid w:val="0"/>
              <w:spacing w:line="360" w:lineRule="auto"/>
              <w:rPr>
                <w:rFonts w:ascii="宋体" w:hAnsi="宋体" w:cs="宋体"/>
                <w:bCs/>
                <w:sz w:val="24"/>
              </w:rPr>
            </w:pPr>
            <w:r>
              <w:rPr>
                <w:rFonts w:hint="eastAsia" w:ascii="宋体" w:hAnsi="宋体" w:cs="宋体"/>
                <w:bCs/>
                <w:sz w:val="24"/>
              </w:rPr>
              <w:t>年平均代理数量1500件（含）-1999件的，得2分；</w:t>
            </w:r>
          </w:p>
          <w:p>
            <w:pPr>
              <w:adjustRightInd w:val="0"/>
              <w:snapToGrid w:val="0"/>
              <w:spacing w:line="360" w:lineRule="auto"/>
              <w:rPr>
                <w:rFonts w:ascii="宋体" w:hAnsi="宋体" w:cs="宋体"/>
                <w:bCs/>
                <w:sz w:val="24"/>
              </w:rPr>
            </w:pPr>
            <w:r>
              <w:rPr>
                <w:rFonts w:hint="eastAsia" w:ascii="宋体" w:hAnsi="宋体" w:cs="宋体"/>
                <w:bCs/>
                <w:sz w:val="24"/>
              </w:rPr>
              <w:t>年平均代理数量1500件以下的，不得分。</w:t>
            </w:r>
          </w:p>
          <w:p>
            <w:pPr>
              <w:spacing w:line="360" w:lineRule="auto"/>
              <w:rPr>
                <w:rFonts w:ascii="宋体" w:hAnsi="宋体"/>
                <w:kern w:val="0"/>
                <w:sz w:val="24"/>
              </w:rPr>
            </w:pPr>
            <w:r>
              <w:rPr>
                <w:rFonts w:hint="eastAsia" w:ascii="宋体" w:hAnsi="宋体" w:cs="宋体"/>
                <w:bCs/>
                <w:sz w:val="24"/>
              </w:rPr>
              <w:t>需提供国家知识产权局官网公开的专利信息。</w:t>
            </w:r>
          </w:p>
        </w:tc>
        <w:tc>
          <w:tcPr>
            <w:tcW w:w="727" w:type="dxa"/>
            <w:noWrap w:val="0"/>
            <w:vAlign w:val="center"/>
          </w:tcPr>
          <w:p>
            <w:pPr>
              <w:spacing w:line="360" w:lineRule="auto"/>
              <w:jc w:val="center"/>
              <w:rPr>
                <w:rFonts w:ascii="宋体" w:hAnsi="宋体"/>
                <w:kern w:val="0"/>
                <w:sz w:val="24"/>
              </w:rPr>
            </w:pPr>
            <w:r>
              <w:rPr>
                <w:rFonts w:hint="eastAsia" w:ascii="宋体" w:hAnsi="宋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19" w:type="dxa"/>
            <w:noWrap w:val="0"/>
            <w:vAlign w:val="top"/>
          </w:tcPr>
          <w:p>
            <w:pPr>
              <w:spacing w:line="360" w:lineRule="auto"/>
              <w:ind w:firstLine="240" w:firstLineChars="100"/>
              <w:rPr>
                <w:rFonts w:ascii="宋体" w:hAnsi="宋体"/>
                <w:kern w:val="0"/>
                <w:sz w:val="24"/>
              </w:rPr>
            </w:pPr>
          </w:p>
          <w:p>
            <w:pPr>
              <w:spacing w:line="360" w:lineRule="auto"/>
              <w:ind w:firstLine="240" w:firstLineChars="100"/>
              <w:rPr>
                <w:rFonts w:ascii="宋体" w:hAnsi="宋体"/>
                <w:kern w:val="0"/>
                <w:sz w:val="24"/>
              </w:rPr>
            </w:pPr>
          </w:p>
          <w:p>
            <w:pPr>
              <w:spacing w:line="360" w:lineRule="auto"/>
              <w:ind w:firstLine="240" w:firstLineChars="100"/>
              <w:rPr>
                <w:rFonts w:ascii="宋体" w:hAnsi="宋体"/>
                <w:kern w:val="0"/>
                <w:sz w:val="24"/>
              </w:rPr>
            </w:pPr>
          </w:p>
          <w:p>
            <w:pPr>
              <w:spacing w:line="360" w:lineRule="auto"/>
              <w:ind w:firstLine="240" w:firstLineChars="100"/>
              <w:rPr>
                <w:rFonts w:ascii="宋体" w:hAnsi="宋体"/>
                <w:kern w:val="0"/>
                <w:sz w:val="24"/>
              </w:rPr>
            </w:pPr>
            <w:r>
              <w:rPr>
                <w:rFonts w:hint="eastAsia" w:ascii="宋体" w:hAnsi="宋体"/>
                <w:kern w:val="0"/>
                <w:sz w:val="24"/>
              </w:rPr>
              <w:t>4</w:t>
            </w:r>
          </w:p>
        </w:tc>
        <w:tc>
          <w:tcPr>
            <w:tcW w:w="1560" w:type="dxa"/>
            <w:noWrap w:val="0"/>
            <w:vAlign w:val="center"/>
          </w:tcPr>
          <w:p>
            <w:pPr>
              <w:spacing w:line="360" w:lineRule="auto"/>
              <w:jc w:val="center"/>
              <w:rPr>
                <w:rFonts w:ascii="宋体" w:hAnsi="宋体"/>
                <w:kern w:val="0"/>
                <w:sz w:val="24"/>
              </w:rPr>
            </w:pPr>
            <w:r>
              <w:rPr>
                <w:rFonts w:hint="eastAsia" w:ascii="宋体" w:hAnsi="宋体" w:cs="Arial"/>
                <w:bCs/>
                <w:color w:val="000000"/>
                <w:sz w:val="24"/>
              </w:rPr>
              <w:t>发明专利年授权数量</w:t>
            </w:r>
          </w:p>
        </w:tc>
        <w:tc>
          <w:tcPr>
            <w:tcW w:w="5925" w:type="dxa"/>
            <w:noWrap w:val="0"/>
            <w:vAlign w:val="center"/>
          </w:tcPr>
          <w:p>
            <w:pPr>
              <w:adjustRightInd w:val="0"/>
              <w:snapToGrid w:val="0"/>
              <w:spacing w:line="360" w:lineRule="auto"/>
              <w:rPr>
                <w:rFonts w:ascii="宋体" w:hAnsi="宋体" w:cs="宋体"/>
                <w:bCs/>
                <w:sz w:val="24"/>
              </w:rPr>
            </w:pPr>
            <w:r>
              <w:rPr>
                <w:rFonts w:hint="eastAsia" w:ascii="宋体" w:hAnsi="宋体" w:cs="宋体"/>
                <w:bCs/>
                <w:sz w:val="24"/>
              </w:rPr>
              <w:t>根据投标人任一年度提供的年发明专利授权数量（年平均授权数量）进行评分（0-10分），</w:t>
            </w:r>
          </w:p>
          <w:p>
            <w:pPr>
              <w:adjustRightInd w:val="0"/>
              <w:snapToGrid w:val="0"/>
              <w:spacing w:line="360" w:lineRule="auto"/>
              <w:rPr>
                <w:rFonts w:ascii="宋体" w:hAnsi="宋体" w:cs="宋体"/>
                <w:bCs/>
                <w:sz w:val="24"/>
              </w:rPr>
            </w:pPr>
            <w:r>
              <w:rPr>
                <w:rFonts w:hint="eastAsia" w:ascii="宋体" w:hAnsi="宋体" w:cs="宋体"/>
                <w:bCs/>
                <w:sz w:val="24"/>
              </w:rPr>
              <w:t>年平均授权数量500件（含）以上的，得10分；</w:t>
            </w:r>
          </w:p>
          <w:p>
            <w:pPr>
              <w:adjustRightInd w:val="0"/>
              <w:snapToGrid w:val="0"/>
              <w:spacing w:line="360" w:lineRule="auto"/>
              <w:rPr>
                <w:rFonts w:ascii="宋体" w:hAnsi="宋体" w:cs="宋体"/>
                <w:bCs/>
                <w:sz w:val="24"/>
              </w:rPr>
            </w:pPr>
            <w:r>
              <w:rPr>
                <w:rFonts w:hint="eastAsia" w:ascii="宋体" w:hAnsi="宋体" w:cs="宋体"/>
                <w:bCs/>
                <w:sz w:val="24"/>
              </w:rPr>
              <w:t>年平均授权数量400件（含）-499件的，得8分；</w:t>
            </w:r>
          </w:p>
          <w:p>
            <w:pPr>
              <w:adjustRightInd w:val="0"/>
              <w:snapToGrid w:val="0"/>
              <w:spacing w:line="360" w:lineRule="auto"/>
              <w:rPr>
                <w:rFonts w:ascii="宋体" w:hAnsi="宋体" w:cs="宋体"/>
                <w:bCs/>
                <w:sz w:val="24"/>
              </w:rPr>
            </w:pPr>
            <w:r>
              <w:rPr>
                <w:rFonts w:hint="eastAsia" w:ascii="宋体" w:hAnsi="宋体" w:cs="宋体"/>
                <w:bCs/>
                <w:sz w:val="24"/>
              </w:rPr>
              <w:t>年平均授权数量300件（含）-399件的，得6分；</w:t>
            </w:r>
          </w:p>
          <w:p>
            <w:pPr>
              <w:adjustRightInd w:val="0"/>
              <w:snapToGrid w:val="0"/>
              <w:spacing w:line="360" w:lineRule="auto"/>
              <w:rPr>
                <w:rFonts w:ascii="宋体" w:hAnsi="宋体" w:cs="宋体"/>
                <w:bCs/>
                <w:sz w:val="24"/>
              </w:rPr>
            </w:pPr>
            <w:r>
              <w:rPr>
                <w:rFonts w:hint="eastAsia" w:ascii="宋体" w:hAnsi="宋体" w:cs="宋体"/>
                <w:bCs/>
                <w:sz w:val="24"/>
              </w:rPr>
              <w:t>年平均授权数量200件（含）-299件的，得4分；</w:t>
            </w:r>
          </w:p>
          <w:p>
            <w:pPr>
              <w:adjustRightInd w:val="0"/>
              <w:snapToGrid w:val="0"/>
              <w:spacing w:line="360" w:lineRule="auto"/>
              <w:rPr>
                <w:rFonts w:ascii="宋体" w:hAnsi="宋体" w:cs="宋体"/>
                <w:bCs/>
                <w:sz w:val="24"/>
              </w:rPr>
            </w:pPr>
            <w:r>
              <w:rPr>
                <w:rFonts w:hint="eastAsia" w:ascii="宋体" w:hAnsi="宋体" w:cs="宋体"/>
                <w:bCs/>
                <w:sz w:val="24"/>
              </w:rPr>
              <w:t>年平均授权数量100件（含）-199件的，得2分；</w:t>
            </w:r>
          </w:p>
          <w:p>
            <w:pPr>
              <w:adjustRightInd w:val="0"/>
              <w:snapToGrid w:val="0"/>
              <w:spacing w:line="360" w:lineRule="auto"/>
              <w:rPr>
                <w:rFonts w:ascii="宋体" w:hAnsi="宋体" w:cs="宋体"/>
                <w:bCs/>
                <w:sz w:val="24"/>
              </w:rPr>
            </w:pPr>
            <w:r>
              <w:rPr>
                <w:rFonts w:hint="eastAsia" w:ascii="宋体" w:hAnsi="宋体" w:cs="宋体"/>
                <w:bCs/>
                <w:sz w:val="24"/>
              </w:rPr>
              <w:t>年平均授权数量100件以下的，不得分。</w:t>
            </w:r>
          </w:p>
          <w:p>
            <w:pPr>
              <w:adjustRightInd w:val="0"/>
              <w:snapToGrid w:val="0"/>
              <w:spacing w:line="360" w:lineRule="auto"/>
              <w:rPr>
                <w:rFonts w:ascii="宋体" w:hAnsi="宋体" w:cs="宋体"/>
                <w:bCs/>
                <w:sz w:val="24"/>
              </w:rPr>
            </w:pPr>
            <w:r>
              <w:rPr>
                <w:rFonts w:hint="eastAsia" w:ascii="宋体" w:hAnsi="宋体" w:cs="宋体"/>
                <w:bCs/>
                <w:sz w:val="24"/>
              </w:rPr>
              <w:t>需提供国家知识产权局官网公开的专利信息。</w:t>
            </w:r>
          </w:p>
        </w:tc>
        <w:tc>
          <w:tcPr>
            <w:tcW w:w="727" w:type="dxa"/>
            <w:noWrap w:val="0"/>
            <w:vAlign w:val="center"/>
          </w:tcPr>
          <w:p>
            <w:pPr>
              <w:spacing w:line="360" w:lineRule="auto"/>
              <w:jc w:val="center"/>
              <w:rPr>
                <w:rFonts w:ascii="宋体" w:hAnsi="宋体"/>
                <w:kern w:val="0"/>
                <w:sz w:val="24"/>
              </w:rPr>
            </w:pPr>
            <w:r>
              <w:rPr>
                <w:rFonts w:hint="eastAsia" w:ascii="宋体" w:hAnsi="宋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919" w:type="dxa"/>
            <w:noWrap w:val="0"/>
            <w:vAlign w:val="center"/>
          </w:tcPr>
          <w:p>
            <w:pPr>
              <w:kinsoku w:val="0"/>
              <w:overflowPunct w:val="0"/>
              <w:spacing w:after="120" w:line="360" w:lineRule="auto"/>
              <w:ind w:left="213"/>
              <w:jc w:val="center"/>
              <w:rPr>
                <w:rFonts w:ascii="宋体" w:hAnsi="宋体"/>
                <w:sz w:val="24"/>
              </w:rPr>
            </w:pPr>
          </w:p>
          <w:p>
            <w:pPr>
              <w:kinsoku w:val="0"/>
              <w:overflowPunct w:val="0"/>
              <w:spacing w:after="120" w:line="360" w:lineRule="auto"/>
              <w:jc w:val="center"/>
              <w:rPr>
                <w:rFonts w:ascii="宋体" w:hAnsi="宋体"/>
                <w:sz w:val="24"/>
              </w:rPr>
            </w:pPr>
            <w:r>
              <w:rPr>
                <w:rFonts w:hint="eastAsia" w:ascii="宋体" w:hAnsi="宋体"/>
                <w:sz w:val="24"/>
              </w:rPr>
              <w:t>5</w:t>
            </w:r>
          </w:p>
        </w:tc>
        <w:tc>
          <w:tcPr>
            <w:tcW w:w="1560" w:type="dxa"/>
            <w:noWrap w:val="0"/>
            <w:vAlign w:val="center"/>
          </w:tcPr>
          <w:p>
            <w:pPr>
              <w:kinsoku w:val="0"/>
              <w:overflowPunct w:val="0"/>
              <w:spacing w:after="120" w:line="360" w:lineRule="auto"/>
              <w:jc w:val="center"/>
              <w:rPr>
                <w:rFonts w:ascii="宋体" w:hAnsi="宋体"/>
                <w:sz w:val="24"/>
              </w:rPr>
            </w:pPr>
            <w:r>
              <w:rPr>
                <w:rFonts w:ascii="宋体" w:hAnsi="宋体"/>
                <w:sz w:val="24"/>
              </w:rPr>
              <w:t>服务方案评价</w:t>
            </w:r>
          </w:p>
        </w:tc>
        <w:tc>
          <w:tcPr>
            <w:tcW w:w="5925" w:type="dxa"/>
            <w:noWrap w:val="0"/>
            <w:vAlign w:val="center"/>
          </w:tcPr>
          <w:p>
            <w:pPr>
              <w:kinsoku w:val="0"/>
              <w:overflowPunct w:val="0"/>
              <w:spacing w:before="88" w:after="120" w:line="360" w:lineRule="auto"/>
              <w:ind w:right="245"/>
              <w:jc w:val="left"/>
              <w:rPr>
                <w:rFonts w:ascii="宋体" w:hAnsi="宋体"/>
                <w:sz w:val="24"/>
              </w:rPr>
            </w:pPr>
            <w:r>
              <w:rPr>
                <w:rFonts w:ascii="宋体" w:hAnsi="宋体"/>
                <w:sz w:val="24"/>
              </w:rPr>
              <w:t>根据项目需求，对</w:t>
            </w:r>
            <w:r>
              <w:rPr>
                <w:rFonts w:ascii="宋体" w:hAnsi="宋体"/>
                <w:kern w:val="0"/>
                <w:sz w:val="24"/>
              </w:rPr>
              <w:t>投标人</w:t>
            </w:r>
            <w:r>
              <w:rPr>
                <w:rFonts w:ascii="宋体" w:hAnsi="宋体"/>
                <w:sz w:val="24"/>
              </w:rPr>
              <w:t>所提供的</w:t>
            </w:r>
            <w:r>
              <w:rPr>
                <w:rFonts w:hint="eastAsia" w:ascii="宋体" w:hAnsi="宋体" w:cs="宋体"/>
                <w:sz w:val="24"/>
              </w:rPr>
              <w:t>①</w:t>
            </w:r>
            <w:r>
              <w:rPr>
                <w:rFonts w:ascii="宋体" w:hAnsi="宋体"/>
                <w:sz w:val="24"/>
              </w:rPr>
              <w:t>项目服务流程、</w:t>
            </w:r>
            <w:r>
              <w:rPr>
                <w:rFonts w:hint="eastAsia" w:ascii="宋体" w:hAnsi="宋体" w:cs="宋体"/>
                <w:sz w:val="24"/>
              </w:rPr>
              <w:t>②</w:t>
            </w:r>
            <w:r>
              <w:rPr>
                <w:rFonts w:ascii="宋体" w:hAnsi="宋体"/>
                <w:sz w:val="24"/>
              </w:rPr>
              <w:t>公司内部管理制度及规范、</w:t>
            </w:r>
            <w:r>
              <w:rPr>
                <w:rFonts w:hint="eastAsia" w:ascii="宋体" w:hAnsi="宋体" w:cs="宋体"/>
                <w:sz w:val="24"/>
              </w:rPr>
              <w:t>③</w:t>
            </w:r>
            <w:r>
              <w:rPr>
                <w:rFonts w:ascii="宋体" w:hAnsi="宋体"/>
                <w:sz w:val="24"/>
              </w:rPr>
              <w:t>日常内部质量控制及质量监管制度、</w:t>
            </w:r>
            <w:r>
              <w:rPr>
                <w:rFonts w:hint="eastAsia" w:ascii="宋体" w:hAnsi="宋体" w:cs="宋体"/>
                <w:sz w:val="24"/>
              </w:rPr>
              <w:t>④</w:t>
            </w:r>
            <w:r>
              <w:rPr>
                <w:rFonts w:ascii="宋体" w:hAnsi="宋体"/>
                <w:sz w:val="24"/>
              </w:rPr>
              <w:t>全过程质量管理制度等方案进行综合评价。</w:t>
            </w:r>
          </w:p>
          <w:p>
            <w:pPr>
              <w:kinsoku w:val="0"/>
              <w:overflowPunct w:val="0"/>
              <w:spacing w:before="88" w:after="120" w:line="360" w:lineRule="auto"/>
              <w:ind w:right="245"/>
              <w:jc w:val="left"/>
              <w:rPr>
                <w:rFonts w:ascii="宋体" w:hAnsi="宋体"/>
                <w:sz w:val="24"/>
              </w:rPr>
            </w:pPr>
            <w:r>
              <w:rPr>
                <w:rFonts w:hint="eastAsia" w:ascii="宋体" w:hAnsi="宋体"/>
                <w:sz w:val="24"/>
              </w:rPr>
              <w:t>以上4项均满足可得10分；</w:t>
            </w:r>
          </w:p>
          <w:p>
            <w:pPr>
              <w:kinsoku w:val="0"/>
              <w:overflowPunct w:val="0"/>
              <w:spacing w:before="88" w:after="120" w:line="360" w:lineRule="auto"/>
              <w:ind w:right="245"/>
              <w:jc w:val="left"/>
              <w:rPr>
                <w:rFonts w:ascii="宋体" w:hAnsi="宋体"/>
                <w:sz w:val="24"/>
              </w:rPr>
            </w:pPr>
            <w:r>
              <w:rPr>
                <w:rFonts w:hint="eastAsia" w:ascii="宋体" w:hAnsi="宋体"/>
                <w:sz w:val="24"/>
              </w:rPr>
              <w:t>满足3项，</w:t>
            </w:r>
            <w:r>
              <w:rPr>
                <w:rFonts w:ascii="宋体" w:hAnsi="宋体"/>
                <w:sz w:val="24"/>
              </w:rPr>
              <w:t>对于每一</w:t>
            </w:r>
            <w:r>
              <w:rPr>
                <w:rFonts w:hint="eastAsia" w:ascii="宋体" w:hAnsi="宋体"/>
                <w:sz w:val="24"/>
              </w:rPr>
              <w:t>项</w:t>
            </w:r>
            <w:r>
              <w:rPr>
                <w:rFonts w:ascii="宋体" w:hAnsi="宋体"/>
                <w:sz w:val="24"/>
              </w:rPr>
              <w:t>，贴合项目实际，合理可行的，得</w:t>
            </w:r>
            <w:r>
              <w:rPr>
                <w:rFonts w:hint="eastAsia" w:ascii="宋体" w:hAnsi="宋体"/>
                <w:sz w:val="24"/>
              </w:rPr>
              <w:t>8</w:t>
            </w:r>
            <w:r>
              <w:rPr>
                <w:rFonts w:ascii="宋体" w:hAnsi="宋体"/>
                <w:sz w:val="24"/>
              </w:rPr>
              <w:t>分；</w:t>
            </w:r>
          </w:p>
          <w:p>
            <w:pPr>
              <w:kinsoku w:val="0"/>
              <w:overflowPunct w:val="0"/>
              <w:spacing w:before="88" w:after="120" w:line="360" w:lineRule="auto"/>
              <w:ind w:right="245"/>
              <w:jc w:val="left"/>
              <w:rPr>
                <w:rFonts w:ascii="宋体" w:hAnsi="宋体"/>
                <w:sz w:val="24"/>
              </w:rPr>
            </w:pPr>
            <w:r>
              <w:rPr>
                <w:rFonts w:hint="eastAsia" w:ascii="宋体" w:hAnsi="宋体"/>
                <w:sz w:val="24"/>
              </w:rPr>
              <w:t>满足2项，</w:t>
            </w:r>
            <w:r>
              <w:rPr>
                <w:rFonts w:ascii="宋体" w:hAnsi="宋体"/>
                <w:sz w:val="24"/>
              </w:rPr>
              <w:t>基本合理，和项目实际不够贴合的，得</w:t>
            </w:r>
            <w:r>
              <w:rPr>
                <w:rFonts w:hint="eastAsia" w:ascii="宋体" w:hAnsi="宋体"/>
                <w:sz w:val="24"/>
              </w:rPr>
              <w:t>4</w:t>
            </w:r>
            <w:r>
              <w:rPr>
                <w:rFonts w:ascii="宋体" w:hAnsi="宋体"/>
                <w:sz w:val="24"/>
              </w:rPr>
              <w:t>分；</w:t>
            </w:r>
          </w:p>
          <w:p>
            <w:pPr>
              <w:kinsoku w:val="0"/>
              <w:overflowPunct w:val="0"/>
              <w:spacing w:before="88" w:after="120" w:line="360" w:lineRule="auto"/>
              <w:ind w:right="245"/>
              <w:jc w:val="left"/>
              <w:rPr>
                <w:rFonts w:ascii="宋体" w:hAnsi="宋体"/>
                <w:sz w:val="24"/>
              </w:rPr>
            </w:pPr>
            <w:r>
              <w:rPr>
                <w:rFonts w:hint="eastAsia" w:ascii="宋体" w:hAnsi="宋体"/>
                <w:sz w:val="24"/>
              </w:rPr>
              <w:t>满足1项，</w:t>
            </w:r>
            <w:r>
              <w:rPr>
                <w:rFonts w:ascii="宋体" w:hAnsi="宋体"/>
                <w:sz w:val="24"/>
              </w:rPr>
              <w:t>合理性差，不能结合项目实际的，得0分。</w:t>
            </w:r>
          </w:p>
        </w:tc>
        <w:tc>
          <w:tcPr>
            <w:tcW w:w="727" w:type="dxa"/>
            <w:noWrap w:val="0"/>
            <w:vAlign w:val="center"/>
          </w:tcPr>
          <w:p>
            <w:pPr>
              <w:spacing w:line="360" w:lineRule="auto"/>
              <w:jc w:val="center"/>
              <w:rPr>
                <w:rFonts w:ascii="宋体" w:hAnsi="宋体"/>
                <w:kern w:val="0"/>
                <w:sz w:val="24"/>
              </w:rPr>
            </w:pPr>
            <w:r>
              <w:rPr>
                <w:rFonts w:hint="eastAsia" w:ascii="宋体" w:hAnsi="宋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trPr>
        <w:tc>
          <w:tcPr>
            <w:tcW w:w="919" w:type="dxa"/>
            <w:noWrap w:val="0"/>
            <w:vAlign w:val="center"/>
          </w:tcPr>
          <w:p>
            <w:pPr>
              <w:spacing w:line="360" w:lineRule="auto"/>
              <w:jc w:val="center"/>
              <w:rPr>
                <w:rFonts w:ascii="宋体" w:hAnsi="宋体"/>
                <w:kern w:val="0"/>
                <w:sz w:val="24"/>
              </w:rPr>
            </w:pPr>
            <w:r>
              <w:rPr>
                <w:rFonts w:hint="eastAsia" w:ascii="宋体" w:hAnsi="宋体"/>
                <w:kern w:val="0"/>
                <w:sz w:val="24"/>
              </w:rPr>
              <w:t>6</w:t>
            </w:r>
          </w:p>
        </w:tc>
        <w:tc>
          <w:tcPr>
            <w:tcW w:w="1560" w:type="dxa"/>
            <w:noWrap w:val="0"/>
            <w:vAlign w:val="center"/>
          </w:tcPr>
          <w:p>
            <w:pPr>
              <w:kinsoku w:val="0"/>
              <w:overflowPunct w:val="0"/>
              <w:spacing w:after="120" w:line="360" w:lineRule="auto"/>
              <w:jc w:val="center"/>
              <w:rPr>
                <w:rFonts w:ascii="宋体" w:hAnsi="宋体"/>
                <w:sz w:val="24"/>
              </w:rPr>
            </w:pPr>
            <w:r>
              <w:rPr>
                <w:rFonts w:ascii="宋体" w:hAnsi="宋体"/>
                <w:sz w:val="24"/>
              </w:rPr>
              <w:t>对拟派团队的综合评价</w:t>
            </w:r>
            <w:r>
              <w:rPr>
                <w:rFonts w:ascii="宋体" w:hAnsi="宋体"/>
                <w:b/>
                <w:bCs/>
                <w:sz w:val="24"/>
              </w:rPr>
              <w:t>（此项需根据</w:t>
            </w:r>
            <w:r>
              <w:rPr>
                <w:rFonts w:hint="eastAsia" w:ascii="宋体" w:hAnsi="宋体"/>
                <w:b/>
                <w:bCs/>
                <w:sz w:val="24"/>
              </w:rPr>
              <w:t>项目需求，</w:t>
            </w:r>
            <w:r>
              <w:rPr>
                <w:rFonts w:ascii="宋体" w:hAnsi="宋体"/>
                <w:b/>
                <w:bCs/>
                <w:sz w:val="24"/>
              </w:rPr>
              <w:t>提供相应专业背景的职业代理师</w:t>
            </w:r>
            <w:r>
              <w:rPr>
                <w:rFonts w:ascii="宋体" w:hAnsi="宋体"/>
                <w:sz w:val="24"/>
              </w:rPr>
              <w:t>）</w:t>
            </w:r>
          </w:p>
        </w:tc>
        <w:tc>
          <w:tcPr>
            <w:tcW w:w="5925" w:type="dxa"/>
            <w:noWrap w:val="0"/>
            <w:vAlign w:val="center"/>
          </w:tcPr>
          <w:p>
            <w:pPr>
              <w:pStyle w:val="10"/>
              <w:numPr>
                <w:ilvl w:val="0"/>
                <w:numId w:val="6"/>
              </w:numPr>
              <w:snapToGrid w:val="0"/>
              <w:spacing w:line="360" w:lineRule="auto"/>
              <w:rPr>
                <w:rFonts w:ascii="宋体" w:hAnsi="宋体"/>
                <w:sz w:val="24"/>
              </w:rPr>
            </w:pPr>
            <w:r>
              <w:rPr>
                <w:rFonts w:ascii="宋体" w:hAnsi="宋体"/>
                <w:sz w:val="24"/>
              </w:rPr>
              <w:t>符合项目需求的执业代理师数量达到4人得2分</w:t>
            </w:r>
            <w:r>
              <w:rPr>
                <w:rFonts w:hint="eastAsia" w:ascii="宋体" w:hAnsi="宋体"/>
                <w:sz w:val="24"/>
              </w:rPr>
              <w:t>，</w:t>
            </w:r>
            <w:r>
              <w:rPr>
                <w:rFonts w:ascii="宋体" w:hAnsi="宋体"/>
                <w:sz w:val="24"/>
              </w:rPr>
              <w:t>在此基础上每增加2人得1分，最多6分</w:t>
            </w:r>
            <w:r>
              <w:rPr>
                <w:rFonts w:hint="eastAsia" w:ascii="宋体" w:hAnsi="宋体"/>
                <w:sz w:val="24"/>
              </w:rPr>
              <w:t>。提供证明材料：专职专利代理人清单加盖公章（包括：序号、姓名、学历、出生年月、执业证号/资格证号、首次执业时间/颁证日期、技术领域、知识产权人才情况）、《专利代理人执业证书》及《专利代理人资格证书》复印件加盖公章</w:t>
            </w:r>
            <w:r>
              <w:rPr>
                <w:rFonts w:ascii="宋体" w:hAnsi="宋体"/>
                <w:sz w:val="24"/>
              </w:rPr>
              <w:t>；</w:t>
            </w:r>
          </w:p>
          <w:p>
            <w:pPr>
              <w:kinsoku w:val="0"/>
              <w:overflowPunct w:val="0"/>
              <w:spacing w:before="88" w:after="120" w:line="360" w:lineRule="auto"/>
              <w:ind w:right="245"/>
              <w:jc w:val="left"/>
              <w:rPr>
                <w:rFonts w:ascii="宋体" w:hAnsi="宋体"/>
                <w:sz w:val="24"/>
              </w:rPr>
            </w:pPr>
            <w:r>
              <w:rPr>
                <w:rFonts w:ascii="宋体" w:hAnsi="宋体"/>
                <w:sz w:val="24"/>
              </w:rPr>
              <w:t>2、</w:t>
            </w:r>
            <w:r>
              <w:rPr>
                <w:rFonts w:ascii="宋体" w:hAnsi="宋体"/>
                <w:kern w:val="0"/>
                <w:sz w:val="24"/>
              </w:rPr>
              <w:t>投标人</w:t>
            </w:r>
            <w:r>
              <w:rPr>
                <w:rFonts w:ascii="宋体" w:hAnsi="宋体"/>
                <w:sz w:val="24"/>
              </w:rPr>
              <w:t>对执业代理师团队及服务团队有年度培训方案的得2分（提供年度培训方案及培训现场照片等）。</w:t>
            </w:r>
          </w:p>
        </w:tc>
        <w:tc>
          <w:tcPr>
            <w:tcW w:w="727" w:type="dxa"/>
            <w:noWrap w:val="0"/>
            <w:vAlign w:val="center"/>
          </w:tcPr>
          <w:p>
            <w:pPr>
              <w:spacing w:line="360" w:lineRule="auto"/>
              <w:jc w:val="center"/>
              <w:rPr>
                <w:rFonts w:ascii="宋体" w:hAnsi="宋体"/>
                <w:kern w:val="0"/>
                <w:sz w:val="24"/>
              </w:rPr>
            </w:pPr>
            <w:r>
              <w:rPr>
                <w:rFonts w:ascii="宋体" w:hAnsi="宋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19" w:type="dxa"/>
            <w:noWrap w:val="0"/>
            <w:vAlign w:val="center"/>
          </w:tcPr>
          <w:p>
            <w:pPr>
              <w:spacing w:line="360" w:lineRule="auto"/>
              <w:jc w:val="center"/>
              <w:rPr>
                <w:rFonts w:ascii="宋体" w:hAnsi="宋体"/>
                <w:kern w:val="0"/>
                <w:sz w:val="24"/>
              </w:rPr>
            </w:pPr>
            <w:r>
              <w:rPr>
                <w:rFonts w:hint="eastAsia" w:ascii="宋体" w:hAnsi="宋体"/>
                <w:kern w:val="0"/>
                <w:sz w:val="24"/>
              </w:rPr>
              <w:t>7</w:t>
            </w:r>
          </w:p>
        </w:tc>
        <w:tc>
          <w:tcPr>
            <w:tcW w:w="1560" w:type="dxa"/>
            <w:noWrap w:val="0"/>
            <w:vAlign w:val="center"/>
          </w:tcPr>
          <w:p>
            <w:pPr>
              <w:kinsoku w:val="0"/>
              <w:overflowPunct w:val="0"/>
              <w:spacing w:after="120" w:line="360" w:lineRule="auto"/>
              <w:jc w:val="center"/>
              <w:rPr>
                <w:rFonts w:ascii="宋体" w:hAnsi="宋体"/>
                <w:sz w:val="24"/>
              </w:rPr>
            </w:pPr>
            <w:r>
              <w:rPr>
                <w:rFonts w:ascii="宋体" w:hAnsi="宋体"/>
                <w:sz w:val="24"/>
              </w:rPr>
              <w:t>对公司标准化管理的评价</w:t>
            </w:r>
          </w:p>
        </w:tc>
        <w:tc>
          <w:tcPr>
            <w:tcW w:w="5925" w:type="dxa"/>
            <w:noWrap w:val="0"/>
            <w:vAlign w:val="center"/>
          </w:tcPr>
          <w:p>
            <w:pPr>
              <w:kinsoku w:val="0"/>
              <w:overflowPunct w:val="0"/>
              <w:spacing w:before="88" w:after="120" w:line="360" w:lineRule="auto"/>
              <w:ind w:right="245"/>
              <w:jc w:val="left"/>
              <w:rPr>
                <w:rFonts w:ascii="宋体" w:hAnsi="宋体"/>
                <w:sz w:val="24"/>
              </w:rPr>
            </w:pPr>
            <w:r>
              <w:rPr>
                <w:rFonts w:ascii="宋体" w:hAnsi="宋体"/>
                <w:sz w:val="24"/>
              </w:rPr>
              <w:t>1、通过《专利代理机构服务规范》贯标验收的单位得</w:t>
            </w:r>
            <w:r>
              <w:rPr>
                <w:rFonts w:hint="eastAsia" w:ascii="宋体" w:hAnsi="宋体"/>
                <w:sz w:val="24"/>
              </w:rPr>
              <w:t>2</w:t>
            </w:r>
            <w:r>
              <w:rPr>
                <w:rFonts w:ascii="宋体" w:hAnsi="宋体"/>
                <w:sz w:val="24"/>
              </w:rPr>
              <w:t>分，提供验收合格证明并加盖公章</w:t>
            </w:r>
            <w:r>
              <w:rPr>
                <w:rFonts w:hint="eastAsia" w:ascii="宋体" w:hAnsi="宋体"/>
                <w:sz w:val="24"/>
              </w:rPr>
              <w:t>；</w:t>
            </w:r>
          </w:p>
          <w:p>
            <w:pPr>
              <w:kinsoku w:val="0"/>
              <w:overflowPunct w:val="0"/>
              <w:spacing w:before="88" w:after="120" w:line="360" w:lineRule="auto"/>
              <w:ind w:right="245"/>
              <w:jc w:val="left"/>
              <w:rPr>
                <w:rFonts w:ascii="宋体" w:hAnsi="宋体"/>
                <w:sz w:val="24"/>
              </w:rPr>
            </w:pPr>
            <w:r>
              <w:rPr>
                <w:rFonts w:ascii="宋体" w:hAnsi="宋体"/>
                <w:sz w:val="24"/>
              </w:rPr>
              <w:t>2、对代理师撰写的申请文件，公司内部具有抽查审核流程的得</w:t>
            </w:r>
            <w:r>
              <w:rPr>
                <w:rFonts w:hint="eastAsia" w:ascii="宋体" w:hAnsi="宋体"/>
                <w:sz w:val="24"/>
              </w:rPr>
              <w:t>4</w:t>
            </w:r>
            <w:r>
              <w:rPr>
                <w:rFonts w:ascii="宋体" w:hAnsi="宋体"/>
                <w:sz w:val="24"/>
              </w:rPr>
              <w:t>分（提供审核流程记录文件</w:t>
            </w:r>
            <w:r>
              <w:rPr>
                <w:rFonts w:hint="eastAsia" w:ascii="宋体" w:hAnsi="宋体"/>
                <w:sz w:val="24"/>
              </w:rPr>
              <w:t>复印件</w:t>
            </w:r>
            <w:r>
              <w:rPr>
                <w:rFonts w:ascii="宋体" w:hAnsi="宋体"/>
                <w:sz w:val="24"/>
              </w:rPr>
              <w:t>）；</w:t>
            </w:r>
          </w:p>
          <w:p>
            <w:pPr>
              <w:kinsoku w:val="0"/>
              <w:overflowPunct w:val="0"/>
              <w:spacing w:before="88" w:after="120" w:line="360" w:lineRule="auto"/>
              <w:ind w:right="245"/>
              <w:jc w:val="left"/>
              <w:rPr>
                <w:rFonts w:ascii="宋体" w:hAnsi="宋体"/>
                <w:sz w:val="24"/>
              </w:rPr>
            </w:pPr>
            <w:r>
              <w:rPr>
                <w:rFonts w:hint="eastAsia" w:ascii="宋体" w:hAnsi="宋体"/>
                <w:sz w:val="24"/>
              </w:rPr>
              <w:t>3</w:t>
            </w:r>
            <w:r>
              <w:rPr>
                <w:rFonts w:ascii="宋体" w:hAnsi="宋体"/>
                <w:sz w:val="24"/>
              </w:rPr>
              <w:t>、提供</w:t>
            </w:r>
            <w:r>
              <w:rPr>
                <w:rFonts w:hint="eastAsia" w:ascii="宋体" w:hAnsi="宋体"/>
                <w:sz w:val="24"/>
              </w:rPr>
              <w:t>4</w:t>
            </w:r>
            <w:r>
              <w:rPr>
                <w:rFonts w:ascii="宋体" w:hAnsi="宋体"/>
                <w:sz w:val="24"/>
              </w:rPr>
              <w:t>个典型内部抽查审核案例，注明审核人员资质，</w:t>
            </w:r>
            <w:r>
              <w:rPr>
                <w:rFonts w:hint="eastAsia" w:ascii="宋体" w:hAnsi="宋体"/>
                <w:sz w:val="24"/>
              </w:rPr>
              <w:t>提供1个可得1分，最高可</w:t>
            </w:r>
            <w:r>
              <w:rPr>
                <w:rFonts w:ascii="宋体" w:hAnsi="宋体"/>
                <w:sz w:val="24"/>
              </w:rPr>
              <w:t>得</w:t>
            </w:r>
            <w:r>
              <w:rPr>
                <w:rFonts w:hint="eastAsia" w:ascii="宋体" w:hAnsi="宋体"/>
                <w:sz w:val="24"/>
              </w:rPr>
              <w:t>4</w:t>
            </w:r>
            <w:r>
              <w:rPr>
                <w:rFonts w:ascii="宋体" w:hAnsi="宋体"/>
                <w:sz w:val="24"/>
              </w:rPr>
              <w:t>分。</w:t>
            </w:r>
          </w:p>
        </w:tc>
        <w:tc>
          <w:tcPr>
            <w:tcW w:w="727" w:type="dxa"/>
            <w:noWrap w:val="0"/>
            <w:vAlign w:val="center"/>
          </w:tcPr>
          <w:p>
            <w:pPr>
              <w:spacing w:line="360" w:lineRule="auto"/>
              <w:jc w:val="center"/>
              <w:rPr>
                <w:rFonts w:ascii="宋体" w:hAnsi="宋体"/>
                <w:kern w:val="0"/>
                <w:sz w:val="24"/>
              </w:rPr>
            </w:pPr>
            <w:r>
              <w:rPr>
                <w:rFonts w:hint="eastAsia" w:ascii="宋体" w:hAnsi="宋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19" w:type="dxa"/>
            <w:noWrap w:val="0"/>
            <w:vAlign w:val="top"/>
          </w:tcPr>
          <w:p>
            <w:pPr>
              <w:kinsoku w:val="0"/>
              <w:overflowPunct w:val="0"/>
              <w:spacing w:after="120" w:line="360" w:lineRule="auto"/>
              <w:ind w:left="213"/>
              <w:rPr>
                <w:rFonts w:ascii="宋体" w:hAnsi="宋体"/>
                <w:sz w:val="24"/>
              </w:rPr>
            </w:pPr>
          </w:p>
          <w:p>
            <w:pPr>
              <w:kinsoku w:val="0"/>
              <w:overflowPunct w:val="0"/>
              <w:spacing w:after="120" w:line="360" w:lineRule="auto"/>
              <w:ind w:left="213"/>
              <w:rPr>
                <w:rFonts w:ascii="宋体" w:hAnsi="宋体"/>
                <w:sz w:val="24"/>
              </w:rPr>
            </w:pPr>
            <w:r>
              <w:rPr>
                <w:rFonts w:hint="eastAsia" w:ascii="宋体" w:hAnsi="宋体"/>
                <w:sz w:val="24"/>
              </w:rPr>
              <w:t>8</w:t>
            </w:r>
          </w:p>
        </w:tc>
        <w:tc>
          <w:tcPr>
            <w:tcW w:w="1560" w:type="dxa"/>
            <w:noWrap w:val="0"/>
            <w:vAlign w:val="top"/>
          </w:tcPr>
          <w:p>
            <w:pPr>
              <w:kinsoku w:val="0"/>
              <w:overflowPunct w:val="0"/>
              <w:spacing w:after="120" w:line="360" w:lineRule="auto"/>
              <w:ind w:left="155" w:right="155"/>
              <w:jc w:val="center"/>
              <w:rPr>
                <w:rFonts w:ascii="宋体" w:hAnsi="宋体"/>
                <w:sz w:val="24"/>
              </w:rPr>
            </w:pPr>
          </w:p>
          <w:p>
            <w:pPr>
              <w:kinsoku w:val="0"/>
              <w:overflowPunct w:val="0"/>
              <w:spacing w:after="120" w:line="360" w:lineRule="auto"/>
              <w:ind w:left="155" w:right="155"/>
              <w:jc w:val="center"/>
              <w:rPr>
                <w:rFonts w:ascii="宋体" w:hAnsi="宋体"/>
                <w:kern w:val="0"/>
                <w:sz w:val="24"/>
              </w:rPr>
            </w:pPr>
            <w:r>
              <w:rPr>
                <w:rFonts w:ascii="宋体" w:hAnsi="宋体"/>
                <w:sz w:val="24"/>
              </w:rPr>
              <w:t>业绩</w:t>
            </w:r>
          </w:p>
        </w:tc>
        <w:tc>
          <w:tcPr>
            <w:tcW w:w="5925" w:type="dxa"/>
            <w:noWrap w:val="0"/>
            <w:vAlign w:val="top"/>
          </w:tcPr>
          <w:p>
            <w:pPr>
              <w:kinsoku w:val="0"/>
              <w:overflowPunct w:val="0"/>
              <w:spacing w:before="88" w:after="120" w:line="360" w:lineRule="auto"/>
              <w:ind w:right="155"/>
              <w:rPr>
                <w:rFonts w:ascii="宋体" w:hAnsi="宋体"/>
                <w:sz w:val="24"/>
              </w:rPr>
            </w:pPr>
            <w:r>
              <w:rPr>
                <w:rFonts w:ascii="宋体" w:hAnsi="宋体"/>
                <w:sz w:val="24"/>
              </w:rPr>
              <w:t>依据投标人完成项目案例，每提供一个得</w:t>
            </w:r>
            <w:r>
              <w:rPr>
                <w:rFonts w:hint="eastAsia" w:ascii="宋体" w:hAnsi="宋体"/>
                <w:sz w:val="24"/>
              </w:rPr>
              <w:t>3</w:t>
            </w:r>
            <w:r>
              <w:rPr>
                <w:rFonts w:ascii="宋体" w:hAnsi="宋体"/>
                <w:sz w:val="24"/>
              </w:rPr>
              <w:t>分，最多</w:t>
            </w:r>
            <w:r>
              <w:rPr>
                <w:rFonts w:hint="eastAsia" w:ascii="宋体" w:hAnsi="宋体"/>
                <w:sz w:val="24"/>
              </w:rPr>
              <w:t>6</w:t>
            </w:r>
            <w:r>
              <w:rPr>
                <w:rFonts w:ascii="宋体" w:hAnsi="宋体"/>
                <w:sz w:val="24"/>
              </w:rPr>
              <w:t>分。</w:t>
            </w:r>
            <w:r>
              <w:rPr>
                <w:rFonts w:ascii="宋体" w:hAnsi="宋体"/>
                <w:b/>
                <w:bCs/>
                <w:sz w:val="24"/>
              </w:rPr>
              <w:t>须提供有效的合同</w:t>
            </w:r>
            <w:r>
              <w:rPr>
                <w:rFonts w:ascii="宋体" w:hAnsi="宋体"/>
                <w:sz w:val="24"/>
              </w:rPr>
              <w:t>（时间以合同签订日期为准）。（合同复印件加盖公章，原件备查）。</w:t>
            </w:r>
          </w:p>
        </w:tc>
        <w:tc>
          <w:tcPr>
            <w:tcW w:w="727" w:type="dxa"/>
            <w:noWrap w:val="0"/>
            <w:vAlign w:val="top"/>
          </w:tcPr>
          <w:p>
            <w:pPr>
              <w:spacing w:line="360" w:lineRule="auto"/>
              <w:jc w:val="center"/>
              <w:rPr>
                <w:rFonts w:ascii="宋体" w:hAnsi="宋体"/>
                <w:kern w:val="0"/>
                <w:sz w:val="24"/>
              </w:rPr>
            </w:pPr>
          </w:p>
          <w:p>
            <w:pPr>
              <w:spacing w:line="360" w:lineRule="auto"/>
              <w:jc w:val="center"/>
              <w:rPr>
                <w:rFonts w:ascii="宋体" w:hAnsi="宋体"/>
                <w:kern w:val="0"/>
                <w:sz w:val="24"/>
              </w:rPr>
            </w:pPr>
            <w:r>
              <w:rPr>
                <w:rFonts w:hint="eastAsia" w:ascii="宋体" w:hAnsi="宋体"/>
                <w:kern w:val="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19" w:type="dxa"/>
            <w:noWrap w:val="0"/>
            <w:vAlign w:val="top"/>
          </w:tcPr>
          <w:p>
            <w:pPr>
              <w:kinsoku w:val="0"/>
              <w:overflowPunct w:val="0"/>
              <w:spacing w:after="120" w:line="360" w:lineRule="auto"/>
              <w:ind w:left="213"/>
              <w:rPr>
                <w:rFonts w:ascii="宋体" w:hAnsi="宋体"/>
                <w:sz w:val="24"/>
              </w:rPr>
            </w:pPr>
            <w:r>
              <w:rPr>
                <w:rFonts w:hint="eastAsia" w:ascii="宋体" w:hAnsi="宋体"/>
                <w:sz w:val="24"/>
              </w:rPr>
              <w:t>9</w:t>
            </w:r>
          </w:p>
        </w:tc>
        <w:tc>
          <w:tcPr>
            <w:tcW w:w="1560" w:type="dxa"/>
            <w:noWrap w:val="0"/>
            <w:vAlign w:val="top"/>
          </w:tcPr>
          <w:p>
            <w:pPr>
              <w:kinsoku w:val="0"/>
              <w:overflowPunct w:val="0"/>
              <w:spacing w:after="120" w:line="360" w:lineRule="auto"/>
              <w:ind w:left="155" w:right="155"/>
              <w:jc w:val="center"/>
              <w:rPr>
                <w:rFonts w:ascii="仿宋_GB2312" w:hAnsi="宋体" w:eastAsia="仿宋_GB2312"/>
                <w:sz w:val="24"/>
              </w:rPr>
            </w:pPr>
            <w:r>
              <w:rPr>
                <w:rFonts w:hint="eastAsia" w:ascii="仿宋_GB2312" w:hAnsi="宋体" w:eastAsia="仿宋_GB2312"/>
                <w:sz w:val="24"/>
              </w:rPr>
              <w:t>响应服务时间</w:t>
            </w:r>
          </w:p>
        </w:tc>
        <w:tc>
          <w:tcPr>
            <w:tcW w:w="5925" w:type="dxa"/>
            <w:noWrap w:val="0"/>
            <w:vAlign w:val="top"/>
          </w:tcPr>
          <w:p>
            <w:pPr>
              <w:kinsoku w:val="0"/>
              <w:overflowPunct w:val="0"/>
              <w:spacing w:before="88" w:after="120" w:line="360" w:lineRule="auto"/>
              <w:ind w:right="155"/>
              <w:rPr>
                <w:rFonts w:ascii="仿宋_GB2312" w:hAnsi="宋体" w:eastAsia="仿宋_GB2312"/>
                <w:sz w:val="24"/>
              </w:rPr>
            </w:pPr>
            <w:r>
              <w:rPr>
                <w:rFonts w:hint="eastAsia" w:ascii="仿宋_GB2312" w:hAnsi="仿宋" w:eastAsia="仿宋_GB2312" w:cs="仿宋_GB2312"/>
                <w:bCs/>
                <w:sz w:val="24"/>
              </w:rPr>
              <w:t>代理公司应在收到发明人交付的技术交底书之日起，完成初步申请文件在在15个工作日内得4分；在</w:t>
            </w:r>
            <w:r>
              <w:rPr>
                <w:rFonts w:hint="eastAsia" w:ascii="仿宋_GB2312" w:hAnsi="仿宋" w:eastAsia="仿宋_GB2312" w:cs="仿宋_GB2312"/>
                <w:bCs/>
                <w:sz w:val="24"/>
                <w:lang w:val="en-US" w:eastAsia="zh-CN"/>
              </w:rPr>
              <w:t>16-</w:t>
            </w:r>
            <w:r>
              <w:rPr>
                <w:rFonts w:hint="eastAsia" w:ascii="仿宋_GB2312" w:hAnsi="仿宋" w:eastAsia="仿宋_GB2312" w:cs="仿宋_GB2312"/>
                <w:bCs/>
                <w:sz w:val="24"/>
              </w:rPr>
              <w:t>20个工作日内得2分；大于20个工作日不得分。</w:t>
            </w:r>
            <w:r>
              <w:rPr>
                <w:rFonts w:hint="eastAsia" w:ascii="宋体" w:hAnsi="宋体"/>
                <w:kern w:val="0"/>
                <w:sz w:val="24"/>
              </w:rPr>
              <w:t>此项需提供承诺书。</w:t>
            </w:r>
          </w:p>
        </w:tc>
        <w:tc>
          <w:tcPr>
            <w:tcW w:w="727" w:type="dxa"/>
            <w:noWrap w:val="0"/>
            <w:vAlign w:val="top"/>
          </w:tcPr>
          <w:p>
            <w:pPr>
              <w:spacing w:line="360" w:lineRule="auto"/>
              <w:jc w:val="center"/>
              <w:rPr>
                <w:rFonts w:ascii="宋体" w:hAnsi="宋体"/>
                <w:kern w:val="0"/>
                <w:sz w:val="24"/>
              </w:rPr>
            </w:pPr>
            <w:r>
              <w:rPr>
                <w:rFonts w:hint="eastAsia" w:ascii="宋体" w:hAnsi="宋体"/>
                <w:kern w:val="0"/>
                <w:sz w:val="24"/>
              </w:rPr>
              <w:t>4</w:t>
            </w:r>
          </w:p>
        </w:tc>
      </w:tr>
    </w:tbl>
    <w:p>
      <w:pPr>
        <w:keepNext w:val="0"/>
        <w:keepLines w:val="0"/>
        <w:pageBreakBefore w:val="0"/>
        <w:widowControl w:val="0"/>
        <w:tabs>
          <w:tab w:val="left" w:pos="180"/>
          <w:tab w:val="left" w:pos="1701"/>
        </w:tabs>
        <w:kinsoku/>
        <w:wordWrap/>
        <w:overflowPunct/>
        <w:topLinePunct w:val="0"/>
        <w:autoSpaceDE/>
        <w:autoSpaceDN/>
        <w:bidi w:val="0"/>
        <w:adjustRightInd/>
        <w:snapToGrid/>
        <w:spacing w:line="360" w:lineRule="auto"/>
        <w:textAlignment w:val="auto"/>
        <w:rPr>
          <w:rFonts w:hint="eastAsia" w:ascii="仿宋_GB2312" w:eastAsia="仿宋_GB2312"/>
          <w:sz w:val="32"/>
          <w:szCs w:val="32"/>
          <w:lang w:val="en-US" w:eastAsia="zh-CN"/>
        </w:rPr>
      </w:pPr>
    </w:p>
    <w:p>
      <w:pPr>
        <w:adjustRightInd w:val="0"/>
        <w:snapToGrid w:val="0"/>
        <w:spacing w:line="360" w:lineRule="auto"/>
        <w:rPr>
          <w:rFonts w:hint="eastAsia" w:ascii="仿宋_GB2312" w:eastAsia="仿宋_GB2312"/>
          <w:szCs w:val="28"/>
        </w:rPr>
      </w:pPr>
    </w:p>
    <w:p>
      <w:pPr>
        <w:adjustRightInd w:val="0"/>
        <w:snapToGrid w:val="0"/>
        <w:spacing w:line="360" w:lineRule="auto"/>
        <w:rPr>
          <w:rFonts w:hint="eastAsia" w:ascii="仿宋_GB2312" w:eastAsia="仿宋_GB2312"/>
          <w:szCs w:val="28"/>
        </w:rPr>
      </w:pPr>
      <w:r>
        <w:rPr>
          <w:rFonts w:hint="eastAsia" w:ascii="仿宋_GB2312" w:eastAsia="仿宋_GB2312"/>
          <w:szCs w:val="28"/>
        </w:rPr>
        <w:t>二、评标内容及标准</w:t>
      </w:r>
    </w:p>
    <w:p>
      <w:pPr>
        <w:adjustRightInd w:val="0"/>
        <w:snapToGrid w:val="0"/>
        <w:spacing w:line="460" w:lineRule="exact"/>
        <w:ind w:firstLine="560"/>
        <w:rPr>
          <w:rFonts w:hint="default" w:ascii="Times New Roman" w:hAnsi="Times New Roman" w:eastAsia="仿宋_GB2312" w:cs="Times New Roman"/>
        </w:rPr>
      </w:pPr>
      <w:r>
        <w:rPr>
          <w:rFonts w:hint="default" w:ascii="Times New Roman" w:hAnsi="Times New Roman" w:eastAsia="仿宋_GB2312" w:cs="Times New Roman"/>
          <w:szCs w:val="28"/>
        </w:rPr>
        <w:t>其他：如第一中标人放弃中标</w:t>
      </w:r>
      <w:r>
        <w:rPr>
          <w:rFonts w:hint="eastAsia" w:eastAsia="仿宋_GB2312" w:cs="Times New Roman"/>
          <w:szCs w:val="28"/>
          <w:lang w:eastAsia="zh-CN"/>
        </w:rPr>
        <w:t>，</w:t>
      </w:r>
      <w:r>
        <w:rPr>
          <w:rFonts w:hint="default" w:ascii="Times New Roman" w:hAnsi="Times New Roman" w:eastAsia="仿宋_GB2312" w:cs="Times New Roman"/>
          <w:szCs w:val="28"/>
        </w:rPr>
        <w:t>或因不可抗力提出不能履行合同，招标人可以选择排名第二名中标人进行递补。</w:t>
      </w:r>
    </w:p>
    <w:p>
      <w:pPr>
        <w:adjustRightInd w:val="0"/>
        <w:snapToGrid w:val="0"/>
        <w:spacing w:line="360" w:lineRule="auto"/>
        <w:rPr>
          <w:rFonts w:ascii="仿宋_GB2312" w:eastAsia="仿宋_GB2312"/>
          <w:szCs w:val="28"/>
        </w:rPr>
      </w:pPr>
    </w:p>
    <w:p>
      <w:pPr>
        <w:pStyle w:val="39"/>
      </w:pPr>
      <w:r>
        <w:rPr>
          <w:rFonts w:hint="eastAsia"/>
        </w:rPr>
        <w:t xml:space="preserve">第七章  </w:t>
      </w:r>
      <w:bookmarkStart w:id="115" w:name="_Toc403987220"/>
      <w:r>
        <w:rPr>
          <w:rFonts w:hint="eastAsia"/>
        </w:rPr>
        <w:t>响应文件格式</w:t>
      </w:r>
      <w:bookmarkEnd w:id="113"/>
      <w:bookmarkEnd w:id="114"/>
      <w:bookmarkEnd w:id="115"/>
      <w:bookmarkStart w:id="116" w:name="_Hlt26671244"/>
      <w:bookmarkEnd w:id="116"/>
      <w:bookmarkStart w:id="117" w:name="_Hlt26955039"/>
      <w:bookmarkEnd w:id="117"/>
    </w:p>
    <w:p>
      <w:pPr>
        <w:jc w:val="left"/>
        <w:rPr>
          <w:rFonts w:hint="eastAsia" w:eastAsia="仿宋_GB2312"/>
          <w:snapToGrid w:val="0"/>
          <w:sz w:val="30"/>
        </w:rPr>
      </w:pPr>
    </w:p>
    <w:p>
      <w:pPr>
        <w:jc w:val="left"/>
        <w:rPr>
          <w:rFonts w:hint="default" w:eastAsia="仿宋_GB2312"/>
          <w:snapToGrid w:val="0"/>
          <w:sz w:val="30"/>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4445635</wp:posOffset>
                </wp:positionH>
                <wp:positionV relativeFrom="paragraph">
                  <wp:posOffset>1270</wp:posOffset>
                </wp:positionV>
                <wp:extent cx="659765" cy="385445"/>
                <wp:effectExtent l="4445" t="4445" r="21590" b="10160"/>
                <wp:wrapNone/>
                <wp:docPr id="5" name="矩形 4"/>
                <wp:cNvGraphicFramePr/>
                <a:graphic xmlns:a="http://schemas.openxmlformats.org/drawingml/2006/main">
                  <a:graphicData uri="http://schemas.microsoft.com/office/word/2010/wordprocessingShape">
                    <wps:wsp>
                      <wps:cNvSpPr/>
                      <wps:spPr>
                        <a:xfrm>
                          <a:off x="0" y="0"/>
                          <a:ext cx="65976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32"/>
                                <w:szCs w:val="32"/>
                              </w:rPr>
                            </w:pPr>
                            <w:r>
                              <w:rPr>
                                <w:rFonts w:hint="eastAsia" w:ascii="仿宋_GB2312" w:hAnsi="宋体" w:eastAsia="仿宋_GB2312"/>
                                <w:b/>
                                <w:sz w:val="32"/>
                                <w:szCs w:val="32"/>
                              </w:rPr>
                              <w:t>正本</w:t>
                            </w:r>
                          </w:p>
                        </w:txbxContent>
                      </wps:txbx>
                      <wps:bodyPr upright="1"/>
                    </wps:wsp>
                  </a:graphicData>
                </a:graphic>
              </wp:anchor>
            </w:drawing>
          </mc:Choice>
          <mc:Fallback>
            <w:pict>
              <v:rect id="矩形 4" o:spid="_x0000_s1026" o:spt="1" style="position:absolute;left:0pt;margin-left:350.05pt;margin-top:0.1pt;height:30.35pt;width:51.95pt;z-index:251659264;mso-width-relative:page;mso-height-relative:page;" fillcolor="#FFFFFF" filled="t" stroked="t" coordsize="21600,21600" o:gfxdata="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6tra1QAAAAcBAAAPAAAAAAAAAAEAIAAAACIAAABkcnMvZG93bnJl&#10;di54bWxQSwECFAAUAAAACACHTuJAiYCj0gACAAAoBAAADgAAAAAAAAABACAAAAAkAQAAZHJzL2Uy&#10;b0RvYy54bWxQSwUGAAAAAAYABgBZAQAAlgUAAAAA&#10;">
                <v:fill on="t" focussize="0,0"/>
                <v:stroke color="#000000" joinstyle="miter"/>
                <v:imagedata o:title=""/>
                <o:lock v:ext="edit" aspectratio="f"/>
                <v:textbox>
                  <w:txbxContent>
                    <w:p>
                      <w:pPr>
                        <w:jc w:val="center"/>
                        <w:rPr>
                          <w:b/>
                          <w:sz w:val="32"/>
                          <w:szCs w:val="32"/>
                        </w:rPr>
                      </w:pPr>
                      <w:r>
                        <w:rPr>
                          <w:rFonts w:hint="eastAsia" w:ascii="仿宋_GB2312" w:hAnsi="宋体" w:eastAsia="仿宋_GB2312"/>
                          <w:b/>
                          <w:sz w:val="32"/>
                          <w:szCs w:val="32"/>
                        </w:rPr>
                        <w:t>正本</w:t>
                      </w:r>
                    </w:p>
                  </w:txbxContent>
                </v:textbox>
              </v:rect>
            </w:pict>
          </mc:Fallback>
        </mc:AlternateContent>
      </w:r>
      <w:r>
        <w:rPr>
          <w:rFonts w:hint="eastAsia" w:eastAsia="仿宋_GB2312"/>
          <w:snapToGrid w:val="0"/>
          <w:sz w:val="30"/>
        </w:rPr>
        <w:t>项目编号：WYGZ202</w:t>
      </w:r>
      <w:r>
        <w:rPr>
          <w:rFonts w:hint="eastAsia" w:eastAsia="仿宋_GB2312"/>
          <w:snapToGrid w:val="0"/>
          <w:sz w:val="30"/>
          <w:lang w:val="en-US" w:eastAsia="zh-CN"/>
        </w:rPr>
        <w:t>4047</w:t>
      </w:r>
    </w:p>
    <w:p>
      <w:pPr>
        <w:jc w:val="left"/>
        <w:rPr>
          <w:rFonts w:ascii="仿宋_GB2312" w:eastAsia="仿宋_GB2312"/>
          <w:sz w:val="52"/>
          <w:szCs w:val="52"/>
        </w:rPr>
      </w:pPr>
    </w:p>
    <w:p>
      <w:pPr>
        <w:jc w:val="center"/>
        <w:rPr>
          <w:rFonts w:ascii="华文中宋" w:hAnsi="华文中宋" w:eastAsia="华文中宋" w:cs="宋体"/>
          <w:b/>
          <w:sz w:val="52"/>
          <w:szCs w:val="52"/>
        </w:rPr>
      </w:pPr>
      <w:bookmarkStart w:id="118" w:name="_Hlk450146333"/>
      <w:r>
        <w:rPr>
          <w:rFonts w:ascii="仿宋_GB2312" w:eastAsia="仿宋_GB2312"/>
          <w:sz w:val="52"/>
          <w:szCs w:val="52"/>
        </w:rPr>
        <w:drawing>
          <wp:inline distT="0" distB="0" distL="0" distR="0">
            <wp:extent cx="3286125" cy="714375"/>
            <wp:effectExtent l="19050" t="0" r="9525" b="0"/>
            <wp:docPr id="3" name="图片 2"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皖南医学院"/>
                    <pic:cNvPicPr>
                      <a:picLocks noChangeAspect="1" noChangeArrowheads="1"/>
                    </pic:cNvPicPr>
                  </pic:nvPicPr>
                  <pic:blipFill>
                    <a:blip r:embed="rId5" cstate="print"/>
                    <a:srcRect/>
                    <a:stretch>
                      <a:fillRect/>
                    </a:stretch>
                  </pic:blipFill>
                  <pic:spPr>
                    <a:xfrm>
                      <a:off x="0" y="0"/>
                      <a:ext cx="3286125" cy="714375"/>
                    </a:xfrm>
                    <a:prstGeom prst="rect">
                      <a:avLst/>
                    </a:prstGeom>
                    <a:noFill/>
                    <a:ln w="9525">
                      <a:noFill/>
                      <a:miter lim="800000"/>
                      <a:headEnd/>
                      <a:tailEnd/>
                    </a:ln>
                  </pic:spPr>
                </pic:pic>
              </a:graphicData>
            </a:graphic>
          </wp:inline>
        </w:drawing>
      </w:r>
    </w:p>
    <w:p>
      <w:pPr>
        <w:jc w:val="center"/>
        <w:rPr>
          <w:rFonts w:ascii="华文中宋" w:hAnsi="华文中宋" w:eastAsia="华文中宋" w:cs="宋体"/>
          <w:b/>
          <w:sz w:val="52"/>
          <w:szCs w:val="52"/>
        </w:rPr>
      </w:pPr>
    </w:p>
    <w:p>
      <w:pPr>
        <w:jc w:val="center"/>
        <w:rPr>
          <w:rFonts w:hint="eastAsia" w:ascii="华文中宋" w:hAnsi="华文中宋" w:eastAsia="华文中宋"/>
          <w:b/>
          <w:bCs/>
          <w:w w:val="90"/>
          <w:sz w:val="48"/>
          <w:szCs w:val="48"/>
        </w:rPr>
      </w:pPr>
      <w:r>
        <w:rPr>
          <w:rFonts w:hint="eastAsia" w:ascii="华文中宋" w:hAnsi="华文中宋" w:eastAsia="华文中宋"/>
          <w:b/>
          <w:bCs/>
          <w:w w:val="90"/>
          <w:sz w:val="48"/>
          <w:szCs w:val="48"/>
        </w:rPr>
        <w:t>专利代理服务项目（化学材料与环境工程类别）</w:t>
      </w:r>
    </w:p>
    <w:p>
      <w:pPr>
        <w:jc w:val="center"/>
        <w:rPr>
          <w:rFonts w:ascii="黑体" w:hAnsi="黑体" w:eastAsia="黑体" w:cs="Arial"/>
          <w:b/>
          <w:sz w:val="72"/>
        </w:rPr>
      </w:pPr>
      <w:r>
        <w:rPr>
          <w:rFonts w:hint="eastAsia" w:ascii="黑体" w:hAnsi="黑体" w:eastAsia="黑体" w:cs="Arial"/>
          <w:b/>
          <w:sz w:val="72"/>
        </w:rPr>
        <w:t>投</w:t>
      </w:r>
    </w:p>
    <w:p>
      <w:pPr>
        <w:jc w:val="center"/>
        <w:rPr>
          <w:rFonts w:ascii="黑体" w:hAnsi="黑体" w:eastAsia="黑体" w:cs="Arial"/>
          <w:b/>
          <w:sz w:val="72"/>
        </w:rPr>
      </w:pPr>
      <w:r>
        <w:rPr>
          <w:rFonts w:hint="eastAsia" w:ascii="黑体" w:hAnsi="黑体" w:eastAsia="黑体" w:cs="Arial"/>
          <w:b/>
          <w:sz w:val="72"/>
        </w:rPr>
        <w:t>标</w:t>
      </w:r>
    </w:p>
    <w:p>
      <w:pPr>
        <w:jc w:val="center"/>
        <w:rPr>
          <w:rFonts w:ascii="黑体" w:hAnsi="黑体" w:eastAsia="黑体" w:cs="Arial"/>
          <w:sz w:val="32"/>
        </w:rPr>
      </w:pPr>
      <w:r>
        <w:rPr>
          <w:rFonts w:hint="eastAsia" w:ascii="黑体" w:hAnsi="黑体" w:eastAsia="黑体" w:cs="Arial"/>
          <w:b/>
          <w:sz w:val="72"/>
        </w:rPr>
        <w:t>书</w:t>
      </w:r>
      <w:bookmarkEnd w:id="118"/>
    </w:p>
    <w:p>
      <w:pPr>
        <w:rPr>
          <w:rFonts w:ascii="仿宋_GB2312" w:hAnsi="Arial" w:eastAsia="仿宋_GB2312" w:cs="Arial"/>
          <w:sz w:val="32"/>
        </w:rPr>
      </w:pPr>
      <w:r>
        <w:rPr>
          <w:rFonts w:hint="eastAsia" w:ascii="仿宋_GB2312" w:hAnsi="Arial" w:eastAsia="仿宋_GB2312" w:cs="Arial"/>
          <w:sz w:val="32"/>
        </w:rPr>
        <w:t xml:space="preserve">              </w:t>
      </w:r>
    </w:p>
    <w:p>
      <w:pPr>
        <w:spacing w:line="360" w:lineRule="auto"/>
        <w:ind w:firstLine="1600" w:firstLineChars="500"/>
        <w:rPr>
          <w:sz w:val="32"/>
          <w:szCs w:val="32"/>
          <w:u w:val="single"/>
        </w:rPr>
      </w:pPr>
      <w:r>
        <w:rPr>
          <w:rFonts w:hint="eastAsia"/>
          <w:sz w:val="32"/>
          <w:szCs w:val="32"/>
        </w:rPr>
        <w:t>投标单位（盖章）：</w:t>
      </w:r>
      <w:r>
        <w:rPr>
          <w:sz w:val="32"/>
          <w:szCs w:val="32"/>
          <w:u w:val="single"/>
        </w:rPr>
        <w:t xml:space="preserve">                     </w:t>
      </w:r>
    </w:p>
    <w:p>
      <w:pPr>
        <w:spacing w:line="360" w:lineRule="auto"/>
        <w:ind w:firstLine="1600" w:firstLineChars="500"/>
        <w:rPr>
          <w:sz w:val="32"/>
          <w:szCs w:val="32"/>
          <w:u w:val="single"/>
        </w:rPr>
      </w:pPr>
      <w:r>
        <w:rPr>
          <w:rFonts w:hint="eastAsia"/>
          <w:sz w:val="32"/>
          <w:szCs w:val="32"/>
        </w:rPr>
        <w:t>投标单位地址：</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电</w:t>
      </w:r>
      <w:r>
        <w:rPr>
          <w:sz w:val="32"/>
          <w:szCs w:val="32"/>
        </w:rPr>
        <w:t xml:space="preserve">  </w:t>
      </w:r>
      <w:r>
        <w:rPr>
          <w:rFonts w:hint="eastAsia"/>
          <w:sz w:val="32"/>
          <w:szCs w:val="32"/>
        </w:rPr>
        <w:t>话：</w:t>
      </w:r>
      <w:r>
        <w:rPr>
          <w:sz w:val="32"/>
          <w:szCs w:val="32"/>
        </w:rPr>
        <w:t xml:space="preserve"> </w:t>
      </w:r>
      <w:r>
        <w:rPr>
          <w:sz w:val="32"/>
          <w:szCs w:val="32"/>
          <w:u w:val="single"/>
        </w:rPr>
        <w:t xml:space="preserve">                     </w:t>
      </w:r>
    </w:p>
    <w:p>
      <w:pPr>
        <w:ind w:firstLine="320" w:firstLineChars="100"/>
        <w:jc w:val="center"/>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ind w:firstLine="320" w:firstLineChars="100"/>
        <w:jc w:val="center"/>
        <w:rPr>
          <w:sz w:val="32"/>
          <w:szCs w:val="32"/>
        </w:rPr>
      </w:pPr>
    </w:p>
    <w:p>
      <w:pPr>
        <w:ind w:firstLine="320" w:firstLineChars="100"/>
        <w:jc w:val="center"/>
        <w:rPr>
          <w:sz w:val="32"/>
          <w:szCs w:val="32"/>
        </w:rPr>
      </w:pPr>
    </w:p>
    <w:p>
      <w:pPr>
        <w:ind w:firstLine="320" w:firstLineChars="100"/>
        <w:jc w:val="center"/>
        <w:rPr>
          <w:sz w:val="32"/>
          <w:szCs w:val="32"/>
        </w:rPr>
      </w:pPr>
    </w:p>
    <w:p>
      <w:pPr>
        <w:spacing w:line="440" w:lineRule="exact"/>
        <w:jc w:val="center"/>
        <w:rPr>
          <w:rFonts w:hAnsi="宋体"/>
          <w:b/>
          <w:bCs/>
          <w:color w:val="000000"/>
          <w:sz w:val="32"/>
          <w:szCs w:val="32"/>
        </w:rPr>
      </w:pPr>
      <w:r>
        <w:rPr>
          <w:rFonts w:hint="eastAsia" w:hAnsi="宋体"/>
          <w:b/>
          <w:bCs/>
          <w:color w:val="000000"/>
          <w:sz w:val="32"/>
          <w:szCs w:val="32"/>
        </w:rPr>
        <w:t>响应文件目录</w:t>
      </w:r>
    </w:p>
    <w:p>
      <w:pPr>
        <w:snapToGrid w:val="0"/>
        <w:spacing w:before="50" w:after="50"/>
        <w:rPr>
          <w:rFonts w:hAnsi="宋体"/>
          <w:color w:val="000000"/>
          <w:sz w:val="24"/>
          <w:szCs w:val="24"/>
        </w:rPr>
      </w:pP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一、开标一览表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二、资格性和符合性检查响应对照表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三、磋商函格式</w:t>
      </w:r>
    </w:p>
    <w:p>
      <w:pPr>
        <w:adjustRightInd w:val="0"/>
        <w:snapToGrid w:val="0"/>
        <w:spacing w:line="360" w:lineRule="auto"/>
        <w:rPr>
          <w:rFonts w:asciiTheme="minorEastAsia" w:hAnsiTheme="minorEastAsia" w:eastAsiaTheme="minorEastAsia"/>
          <w:b/>
          <w:color w:val="000000"/>
          <w:spacing w:val="-6"/>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color w:val="000000"/>
          <w:spacing w:val="-6"/>
          <w:sz w:val="24"/>
          <w:szCs w:val="24"/>
        </w:rPr>
        <w:t>投标人一般情况表</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五、法人授权书格式</w:t>
      </w:r>
    </w:p>
    <w:p>
      <w:pPr>
        <w:adjustRightInd w:val="0"/>
        <w:snapToGrid w:val="0"/>
        <w:spacing w:line="360" w:lineRule="auto"/>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rPr>
        <w:t>六、实施方案</w:t>
      </w:r>
      <w:r>
        <w:rPr>
          <w:rFonts w:hint="eastAsia" w:asciiTheme="minorEastAsia" w:hAnsiTheme="minorEastAsia" w:eastAsiaTheme="minorEastAsia"/>
          <w:b/>
          <w:sz w:val="24"/>
          <w:szCs w:val="24"/>
          <w:lang w:eastAsia="zh-CN"/>
        </w:rPr>
        <w:t>（</w:t>
      </w:r>
      <w:r>
        <w:rPr>
          <w:rFonts w:hint="eastAsia" w:asciiTheme="minorEastAsia" w:hAnsiTheme="minorEastAsia" w:eastAsiaTheme="minorEastAsia"/>
          <w:b/>
          <w:sz w:val="24"/>
          <w:szCs w:val="24"/>
          <w:lang w:val="en-US" w:eastAsia="zh-CN"/>
        </w:rPr>
        <w:t>根据项目具体要求编制</w:t>
      </w:r>
      <w:r>
        <w:rPr>
          <w:rFonts w:hint="eastAsia" w:asciiTheme="minorEastAsia" w:hAnsiTheme="minorEastAsia" w:eastAsiaTheme="minorEastAsia"/>
          <w:b/>
          <w:sz w:val="24"/>
          <w:szCs w:val="24"/>
          <w:lang w:eastAsia="zh-CN"/>
        </w:rPr>
        <w:t>）</w:t>
      </w:r>
    </w:p>
    <w:p>
      <w:pPr>
        <w:adjustRightInd w:val="0"/>
        <w:snapToGrid w:val="0"/>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七．报价明细表（根据项目具体要求编制）</w:t>
      </w:r>
    </w:p>
    <w:p>
      <w:pPr>
        <w:adjustRightInd w:val="0"/>
        <w:snapToGrid w:val="0"/>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八、承诺书（针对招标文件相关要求提供的承诺书）格式自拟</w:t>
      </w:r>
    </w:p>
    <w:p>
      <w:pPr>
        <w:tabs>
          <w:tab w:val="left" w:pos="5580"/>
        </w:tabs>
        <w:adjustRightInd w:val="0"/>
        <w:snapToGrid w:val="0"/>
        <w:spacing w:line="360" w:lineRule="auto"/>
        <w:jc w:val="left"/>
        <w:rPr>
          <w:rFonts w:asciiTheme="minorEastAsia" w:hAnsiTheme="minorEastAsia" w:eastAsiaTheme="minorEastAsia"/>
          <w:b/>
          <w:sz w:val="24"/>
          <w:szCs w:val="24"/>
        </w:rPr>
      </w:pPr>
    </w:p>
    <w:p>
      <w:pPr>
        <w:jc w:val="center"/>
        <w:rPr>
          <w:rFonts w:hAnsi="宋体"/>
          <w:color w:val="000000"/>
          <w:sz w:val="24"/>
        </w:rPr>
      </w:pPr>
      <w:r>
        <w:rPr>
          <w:rFonts w:hAnsi="宋体"/>
          <w:color w:val="000000"/>
          <w:sz w:val="24"/>
        </w:rPr>
        <w:br w:type="page"/>
      </w:r>
    </w:p>
    <w:p>
      <w:pPr>
        <w:snapToGrid w:val="0"/>
        <w:spacing w:before="50" w:after="50" w:line="360" w:lineRule="auto"/>
        <w:jc w:val="center"/>
        <w:rPr>
          <w:rFonts w:ascii="华文中宋" w:hAnsi="华文中宋" w:eastAsia="华文中宋"/>
          <w:b/>
          <w:color w:val="000000"/>
          <w:spacing w:val="-6"/>
          <w:szCs w:val="28"/>
        </w:rPr>
      </w:pPr>
      <w:r>
        <w:rPr>
          <w:rFonts w:hint="eastAsia" w:ascii="华文中宋" w:hAnsi="华文中宋" w:eastAsia="华文中宋"/>
          <w:b/>
          <w:color w:val="000000"/>
          <w:spacing w:val="-6"/>
          <w:szCs w:val="28"/>
        </w:rPr>
        <w:t>一、开标一览表</w:t>
      </w:r>
    </w:p>
    <w:tbl>
      <w:tblPr>
        <w:tblStyle w:val="30"/>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项目名称</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项目编号</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7"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投标报价</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小写:</w:t>
            </w:r>
            <w:r>
              <w:rPr>
                <w:rFonts w:hint="eastAsia" w:ascii="仿宋_GB2312" w:eastAsia="仿宋_GB2312"/>
                <w:color w:val="000000"/>
                <w:kern w:val="0"/>
                <w:sz w:val="32"/>
                <w:szCs w:val="32"/>
                <w:u w:val="single"/>
              </w:rPr>
              <w:t xml:space="preserve">               </w:t>
            </w:r>
          </w:p>
          <w:p>
            <w:pPr>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大写:</w:t>
            </w:r>
            <w:r>
              <w:rPr>
                <w:rFonts w:hint="eastAsia" w:ascii="仿宋_GB2312" w:eastAsia="仿宋_GB2312"/>
                <w:color w:val="000000"/>
                <w:kern w:val="0"/>
                <w:sz w:val="32"/>
                <w:szCs w:val="32"/>
                <w:u w:val="single"/>
              </w:rPr>
              <w:t xml:space="preserve">              </w:t>
            </w:r>
            <w:r>
              <w:rPr>
                <w:rFonts w:hint="eastAsia" w:ascii="仿宋_GB2312" w:eastAsia="仿宋_GB2312"/>
                <w:color w:val="000000"/>
                <w:kern w:val="0"/>
                <w:sz w:val="32"/>
                <w:szCs w:val="32"/>
              </w:rPr>
              <w:t xml:space="preserve"> </w:t>
            </w:r>
          </w:p>
          <w:p>
            <w:pPr>
              <w:spacing w:line="360" w:lineRule="auto"/>
              <w:jc w:val="left"/>
              <w:rPr>
                <w:rFonts w:ascii="仿宋" w:hAnsi="仿宋" w:eastAsia="仿宋"/>
                <w:bCs/>
                <w:sz w:val="32"/>
                <w:szCs w:val="32"/>
                <w:u w:val="single"/>
              </w:rPr>
            </w:pPr>
            <w:r>
              <w:rPr>
                <w:rFonts w:ascii="仿宋" w:hAnsi="仿宋" w:eastAsia="仿宋"/>
                <w:bCs/>
                <w:sz w:val="32"/>
                <w:szCs w:val="32"/>
              </w:rPr>
              <w:t>分项价格：</w:t>
            </w:r>
          </w:p>
          <w:tbl>
            <w:tblPr>
              <w:tblStyle w:val="30"/>
              <w:tblpPr w:leftFromText="180" w:rightFromText="180" w:vertAnchor="text" w:horzAnchor="page" w:tblpX="96" w:tblpY="144"/>
              <w:tblOverlap w:val="never"/>
              <w:tblW w:w="49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3599"/>
              <w:gridCol w:w="1117"/>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13" w:type="dxa"/>
                  <w:noWrap w:val="0"/>
                  <w:vAlign w:val="center"/>
                </w:tcPr>
                <w:p>
                  <w:pPr>
                    <w:spacing w:line="360" w:lineRule="auto"/>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3599" w:type="dxa"/>
                  <w:noWrap w:val="0"/>
                  <w:vAlign w:val="center"/>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分项名称</w:t>
                  </w:r>
                </w:p>
              </w:tc>
              <w:tc>
                <w:tcPr>
                  <w:tcW w:w="1117" w:type="dxa"/>
                  <w:noWrap w:val="0"/>
                  <w:vAlign w:val="center"/>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分项价格</w:t>
                  </w:r>
                </w:p>
              </w:tc>
              <w:tc>
                <w:tcPr>
                  <w:tcW w:w="1580" w:type="dxa"/>
                  <w:noWrap w:val="0"/>
                  <w:vAlign w:val="center"/>
                </w:tcPr>
                <w:p>
                  <w:pPr>
                    <w:spacing w:line="360" w:lineRule="auto"/>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3" w:type="dxa"/>
                  <w:noWrap w:val="0"/>
                  <w:vAlign w:val="top"/>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3599" w:type="dxa"/>
                  <w:noWrap w:val="0"/>
                  <w:vAlign w:val="center"/>
                </w:tcPr>
                <w:p>
                  <w:pPr>
                    <w:spacing w:line="360" w:lineRule="auto"/>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国内发明专利新申请代理费</w:t>
                  </w:r>
                </w:p>
              </w:tc>
              <w:tc>
                <w:tcPr>
                  <w:tcW w:w="1117" w:type="dxa"/>
                  <w:noWrap w:val="0"/>
                  <w:vAlign w:val="center"/>
                </w:tcPr>
                <w:p>
                  <w:pPr>
                    <w:spacing w:line="360" w:lineRule="auto"/>
                    <w:jc w:val="left"/>
                    <w:rPr>
                      <w:rFonts w:hint="eastAsia" w:ascii="仿宋_GB2312" w:hAnsi="仿宋_GB2312" w:eastAsia="仿宋_GB2312" w:cs="仿宋_GB2312"/>
                      <w:bCs/>
                      <w:sz w:val="24"/>
                      <w:szCs w:val="24"/>
                    </w:rPr>
                  </w:pPr>
                </w:p>
              </w:tc>
              <w:tc>
                <w:tcPr>
                  <w:tcW w:w="1580" w:type="dxa"/>
                  <w:noWrap w:val="0"/>
                  <w:vAlign w:val="center"/>
                </w:tcPr>
                <w:p>
                  <w:pPr>
                    <w:spacing w:line="360" w:lineRule="auto"/>
                    <w:jc w:val="left"/>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color w:val="333333"/>
                      <w:sz w:val="24"/>
                      <w:szCs w:val="24"/>
                      <w:shd w:val="clear" w:color="auto" w:fill="FFFFFF"/>
                      <w:lang w:val="en-US" w:eastAsia="zh-CN"/>
                    </w:rPr>
                    <w:t>3000/件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3" w:type="dxa"/>
                  <w:noWrap w:val="0"/>
                  <w:vAlign w:val="top"/>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3599" w:type="dxa"/>
                  <w:noWrap w:val="0"/>
                  <w:vAlign w:val="center"/>
                </w:tcPr>
                <w:p>
                  <w:pPr>
                    <w:spacing w:line="360" w:lineRule="auto"/>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国内实用新型专利新申请代理费</w:t>
                  </w:r>
                </w:p>
              </w:tc>
              <w:tc>
                <w:tcPr>
                  <w:tcW w:w="1117" w:type="dxa"/>
                  <w:noWrap w:val="0"/>
                  <w:vAlign w:val="center"/>
                </w:tcPr>
                <w:p>
                  <w:pPr>
                    <w:spacing w:line="360" w:lineRule="auto"/>
                    <w:jc w:val="left"/>
                    <w:rPr>
                      <w:rFonts w:hint="eastAsia" w:ascii="仿宋_GB2312" w:hAnsi="仿宋_GB2312" w:eastAsia="仿宋_GB2312" w:cs="仿宋_GB2312"/>
                      <w:bCs/>
                      <w:sz w:val="24"/>
                      <w:szCs w:val="24"/>
                    </w:rPr>
                  </w:pPr>
                </w:p>
              </w:tc>
              <w:tc>
                <w:tcPr>
                  <w:tcW w:w="1580" w:type="dxa"/>
                  <w:noWrap w:val="0"/>
                  <w:vAlign w:val="center"/>
                </w:tcPr>
                <w:p>
                  <w:pPr>
                    <w:spacing w:line="360" w:lineRule="auto"/>
                    <w:jc w:val="left"/>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color w:val="333333"/>
                      <w:sz w:val="24"/>
                      <w:szCs w:val="24"/>
                      <w:shd w:val="clear" w:color="auto" w:fill="FFFFFF"/>
                      <w:lang w:val="en-US" w:eastAsia="zh-CN"/>
                    </w:rPr>
                    <w:t>1500/件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3" w:type="dxa"/>
                  <w:noWrap w:val="0"/>
                  <w:vAlign w:val="top"/>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3599" w:type="dxa"/>
                  <w:noWrap w:val="0"/>
                  <w:vAlign w:val="center"/>
                </w:tcPr>
                <w:p>
                  <w:pPr>
                    <w:spacing w:line="360" w:lineRule="auto"/>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国内外观专利新申请代理费</w:t>
                  </w:r>
                </w:p>
              </w:tc>
              <w:tc>
                <w:tcPr>
                  <w:tcW w:w="1117" w:type="dxa"/>
                  <w:noWrap w:val="0"/>
                  <w:vAlign w:val="center"/>
                </w:tcPr>
                <w:p>
                  <w:pPr>
                    <w:spacing w:line="360" w:lineRule="auto"/>
                    <w:jc w:val="left"/>
                    <w:rPr>
                      <w:rFonts w:hint="eastAsia" w:ascii="仿宋_GB2312" w:hAnsi="仿宋_GB2312" w:eastAsia="仿宋_GB2312" w:cs="仿宋_GB2312"/>
                      <w:bCs/>
                      <w:sz w:val="24"/>
                      <w:szCs w:val="24"/>
                    </w:rPr>
                  </w:pPr>
                </w:p>
              </w:tc>
              <w:tc>
                <w:tcPr>
                  <w:tcW w:w="1580" w:type="dxa"/>
                  <w:noWrap w:val="0"/>
                  <w:vAlign w:val="center"/>
                </w:tcPr>
                <w:p>
                  <w:pPr>
                    <w:spacing w:line="360" w:lineRule="auto"/>
                    <w:jc w:val="left"/>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color w:val="333333"/>
                      <w:sz w:val="24"/>
                      <w:szCs w:val="24"/>
                      <w:shd w:val="clear" w:color="auto" w:fill="FFFFFF"/>
                      <w:lang w:val="en-US" w:eastAsia="zh-CN"/>
                    </w:rPr>
                    <w:t>800/件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3" w:type="dxa"/>
                  <w:noWrap w:val="0"/>
                  <w:vAlign w:val="top"/>
                </w:tcPr>
                <w:p>
                  <w:pPr>
                    <w:spacing w:line="360" w:lineRule="auto"/>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w:t>
                  </w:r>
                </w:p>
              </w:tc>
              <w:tc>
                <w:tcPr>
                  <w:tcW w:w="3599" w:type="dxa"/>
                  <w:noWrap w:val="0"/>
                  <w:vAlign w:val="center"/>
                </w:tcPr>
                <w:p>
                  <w:pPr>
                    <w:spacing w:line="360" w:lineRule="auto"/>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计算机软件著作权新申请代理费</w:t>
                  </w:r>
                </w:p>
              </w:tc>
              <w:tc>
                <w:tcPr>
                  <w:tcW w:w="1117" w:type="dxa"/>
                  <w:noWrap w:val="0"/>
                  <w:vAlign w:val="center"/>
                </w:tcPr>
                <w:p>
                  <w:pPr>
                    <w:spacing w:line="360" w:lineRule="auto"/>
                    <w:jc w:val="left"/>
                    <w:rPr>
                      <w:rFonts w:hint="eastAsia" w:ascii="仿宋_GB2312" w:hAnsi="仿宋_GB2312" w:eastAsia="仿宋_GB2312" w:cs="仿宋_GB2312"/>
                      <w:bCs/>
                      <w:sz w:val="24"/>
                      <w:szCs w:val="24"/>
                    </w:rPr>
                  </w:pPr>
                </w:p>
              </w:tc>
              <w:tc>
                <w:tcPr>
                  <w:tcW w:w="1580" w:type="dxa"/>
                  <w:noWrap w:val="0"/>
                  <w:vAlign w:val="center"/>
                </w:tcPr>
                <w:p>
                  <w:pPr>
                    <w:spacing w:line="360" w:lineRule="auto"/>
                    <w:jc w:val="left"/>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color w:val="333333"/>
                      <w:sz w:val="24"/>
                      <w:szCs w:val="24"/>
                      <w:shd w:val="clear" w:color="auto" w:fill="FFFFFF"/>
                      <w:lang w:val="en-US" w:eastAsia="zh-CN"/>
                    </w:rPr>
                    <w:t>800/件</w:t>
                  </w:r>
                </w:p>
              </w:tc>
            </w:tr>
          </w:tbl>
          <w:p>
            <w:pPr>
              <w:jc w:val="left"/>
              <w:rPr>
                <w:rFonts w:hint="eastAsia" w:ascii="仿宋_GB2312" w:eastAsia="仿宋_GB2312"/>
                <w:color w:val="000000"/>
                <w:kern w:val="0"/>
                <w:sz w:val="32"/>
                <w:szCs w:val="32"/>
              </w:rPr>
            </w:pPr>
          </w:p>
          <w:p>
            <w:pPr>
              <w:jc w:val="left"/>
              <w:rPr>
                <w:rFonts w:hint="eastAsia" w:ascii="仿宋_GB2312" w:eastAsia="仿宋_GB2312"/>
                <w:color w:val="000000"/>
                <w:kern w:val="0"/>
                <w:sz w:val="32"/>
                <w:szCs w:val="32"/>
              </w:rPr>
            </w:pPr>
          </w:p>
          <w:p>
            <w:pPr>
              <w:jc w:val="left"/>
              <w:rPr>
                <w:rFonts w:hint="eastAsia" w:ascii="仿宋_GB2312"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备注</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eastAsia="仿宋_GB2312"/>
                <w:color w:val="000000"/>
                <w:kern w:val="0"/>
                <w:sz w:val="32"/>
                <w:szCs w:val="32"/>
                <w:lang w:val="en-US" w:eastAsia="zh-CN"/>
              </w:rPr>
            </w:pPr>
            <w:r>
              <w:rPr>
                <w:rFonts w:hint="eastAsia" w:ascii="仿宋_GB2312" w:eastAsia="仿宋_GB2312"/>
                <w:b/>
                <w:bCs/>
                <w:color w:val="000000"/>
                <w:kern w:val="0"/>
                <w:sz w:val="32"/>
                <w:szCs w:val="32"/>
                <w:lang w:val="en-US" w:eastAsia="zh-CN"/>
              </w:rPr>
              <w:t>报价为各分项报价汇总价格</w:t>
            </w:r>
          </w:p>
        </w:tc>
      </w:tr>
    </w:tbl>
    <w:p>
      <w:pPr>
        <w:snapToGrid w:val="0"/>
        <w:spacing w:before="50" w:after="50" w:line="360" w:lineRule="auto"/>
        <w:jc w:val="left"/>
        <w:rPr>
          <w:rFonts w:ascii="宋体" w:hAnsi="宋体"/>
          <w:spacing w:val="-6"/>
          <w:sz w:val="24"/>
        </w:rPr>
      </w:pPr>
      <w:r>
        <w:rPr>
          <w:rFonts w:hint="eastAsia" w:ascii="宋体" w:hAnsi="宋体"/>
          <w:spacing w:val="-6"/>
          <w:sz w:val="24"/>
        </w:rPr>
        <w:t>注: 1、报价不得涂改否则其投标作无效标处理。</w:t>
      </w:r>
    </w:p>
    <w:p>
      <w:pPr>
        <w:snapToGrid w:val="0"/>
        <w:spacing w:before="50" w:after="50" w:line="360" w:lineRule="auto"/>
        <w:ind w:firstLine="456" w:firstLineChars="200"/>
        <w:jc w:val="left"/>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2、</w:t>
      </w:r>
      <w:r>
        <w:rPr>
          <w:rFonts w:hint="eastAsia" w:asciiTheme="minorEastAsia" w:hAnsiTheme="minorEastAsia" w:eastAsiaTheme="minorEastAsia"/>
          <w:sz w:val="24"/>
          <w:szCs w:val="24"/>
        </w:rPr>
        <w:t>磋商报价</w:t>
      </w:r>
      <w:r>
        <w:rPr>
          <w:rFonts w:hint="eastAsia" w:asciiTheme="minorEastAsia" w:hAnsiTheme="minorEastAsia" w:eastAsiaTheme="minorEastAsia"/>
          <w:spacing w:val="-6"/>
          <w:sz w:val="24"/>
          <w:szCs w:val="24"/>
        </w:rPr>
        <w:t>应包括</w:t>
      </w:r>
      <w:r>
        <w:rPr>
          <w:rFonts w:hint="eastAsia" w:asciiTheme="minorEastAsia" w:hAnsiTheme="minorEastAsia" w:eastAsiaTheme="minorEastAsia"/>
          <w:sz w:val="24"/>
          <w:szCs w:val="24"/>
        </w:rPr>
        <w:t>所需人工费、材料费、其他（保险费，以及合同明示或暗示的风险、责任和义务等）费，以及管理费、利润和规费、税金等一切费用</w:t>
      </w:r>
      <w:r>
        <w:rPr>
          <w:rFonts w:hint="eastAsia" w:asciiTheme="minorEastAsia" w:hAnsiTheme="minorEastAsia" w:eastAsiaTheme="minorEastAsia"/>
          <w:spacing w:val="-6"/>
          <w:sz w:val="24"/>
          <w:szCs w:val="24"/>
        </w:rPr>
        <w:t>。</w:t>
      </w: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授权代表签字：</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投标人名称（盖章）：                                </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 </w:t>
      </w:r>
    </w:p>
    <w:p>
      <w:pPr>
        <w:jc w:val="right"/>
        <w:rPr>
          <w:rFonts w:hAnsi="宋体"/>
          <w:sz w:val="24"/>
        </w:rPr>
      </w:pPr>
      <w:r>
        <w:rPr>
          <w:rFonts w:hint="eastAsia" w:ascii="宋体" w:hAnsi="宋体"/>
          <w:spacing w:val="-6"/>
          <w:sz w:val="24"/>
        </w:rPr>
        <w:t>日期：    年   月   日</w:t>
      </w:r>
    </w:p>
    <w:p>
      <w:pPr>
        <w:jc w:val="center"/>
        <w:rPr>
          <w:rStyle w:val="52"/>
          <w:rFonts w:hAnsi="宋体"/>
        </w:rPr>
      </w:pPr>
    </w:p>
    <w:p>
      <w:pPr>
        <w:jc w:val="both"/>
        <w:rPr>
          <w:rFonts w:ascii="宋体" w:hAnsi="宋体"/>
          <w:color w:val="000000"/>
          <w:spacing w:val="-6"/>
          <w:sz w:val="24"/>
        </w:rPr>
      </w:pPr>
    </w:p>
    <w:p>
      <w:pPr>
        <w:jc w:val="both"/>
        <w:rPr>
          <w:rFonts w:ascii="宋体" w:hAnsi="宋体"/>
          <w:color w:val="000000"/>
          <w:spacing w:val="-6"/>
          <w:sz w:val="24"/>
        </w:rPr>
      </w:pPr>
    </w:p>
    <w:p>
      <w:pPr>
        <w:jc w:val="center"/>
        <w:rPr>
          <w:rFonts w:ascii="宋体" w:hAnsi="宋体"/>
          <w:color w:val="000000"/>
          <w:spacing w:val="-6"/>
          <w:sz w:val="24"/>
        </w:rPr>
      </w:pPr>
    </w:p>
    <w:p>
      <w:pPr>
        <w:jc w:val="center"/>
        <w:rPr>
          <w:rStyle w:val="52"/>
          <w:rFonts w:ascii="华文中宋" w:hAnsi="华文中宋" w:eastAsia="华文中宋"/>
          <w:sz w:val="28"/>
          <w:szCs w:val="28"/>
        </w:rPr>
      </w:pPr>
      <w:r>
        <w:rPr>
          <w:rStyle w:val="52"/>
          <w:rFonts w:hint="eastAsia" w:ascii="华文中宋" w:hAnsi="华文中宋" w:eastAsia="华文中宋"/>
          <w:sz w:val="28"/>
          <w:szCs w:val="28"/>
        </w:rPr>
        <w:t>二、资格性和符合性检查响应对照表</w:t>
      </w:r>
    </w:p>
    <w:p>
      <w:pPr>
        <w:ind w:firstLine="309"/>
        <w:rPr>
          <w:rFonts w:hAnsi="宋体"/>
          <w:color w:val="000000"/>
          <w:sz w:val="24"/>
          <w:szCs w:val="24"/>
        </w:rPr>
      </w:pPr>
    </w:p>
    <w:p>
      <w:pPr>
        <w:ind w:firstLine="309"/>
        <w:rPr>
          <w:rFonts w:hAnsi="宋体"/>
          <w:color w:val="000000"/>
          <w:sz w:val="24"/>
          <w:szCs w:val="24"/>
        </w:rPr>
      </w:pPr>
      <w:r>
        <w:rPr>
          <w:rFonts w:hint="eastAsia" w:hAnsi="宋体"/>
          <w:color w:val="000000"/>
          <w:sz w:val="24"/>
          <w:szCs w:val="24"/>
        </w:rPr>
        <w:t>供应商全称（加盖公章）：</w:t>
      </w:r>
    </w:p>
    <w:tbl>
      <w:tblPr>
        <w:tblStyle w:val="30"/>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color w:val="000000"/>
                <w:sz w:val="21"/>
              </w:rPr>
            </w:pPr>
            <w:r>
              <w:rPr>
                <w:rFonts w:hint="eastAsia" w:hAnsi="宋体"/>
                <w:b/>
                <w:color w:val="000000"/>
                <w:sz w:val="21"/>
              </w:rPr>
              <w:t>序号</w:t>
            </w:r>
          </w:p>
        </w:tc>
        <w:tc>
          <w:tcPr>
            <w:tcW w:w="4678" w:type="dxa"/>
            <w:vAlign w:val="center"/>
          </w:tcPr>
          <w:p>
            <w:pPr>
              <w:snapToGrid w:val="0"/>
              <w:spacing w:line="240" w:lineRule="atLeast"/>
              <w:jc w:val="center"/>
              <w:rPr>
                <w:rFonts w:hAnsi="宋体"/>
                <w:b/>
                <w:color w:val="000000"/>
                <w:sz w:val="21"/>
              </w:rPr>
            </w:pPr>
            <w:r>
              <w:rPr>
                <w:rFonts w:hint="eastAsia" w:hAnsi="宋体"/>
                <w:b/>
                <w:color w:val="000000"/>
                <w:sz w:val="21"/>
              </w:rPr>
              <w:t>资格和符合性检查响应内容</w:t>
            </w:r>
          </w:p>
        </w:tc>
        <w:tc>
          <w:tcPr>
            <w:tcW w:w="1842" w:type="dxa"/>
            <w:vAlign w:val="center"/>
          </w:tcPr>
          <w:p>
            <w:pPr>
              <w:snapToGrid w:val="0"/>
              <w:spacing w:line="240" w:lineRule="atLeast"/>
              <w:jc w:val="center"/>
              <w:rPr>
                <w:rFonts w:hAnsi="宋体"/>
                <w:b/>
                <w:color w:val="000000"/>
                <w:sz w:val="21"/>
              </w:rPr>
            </w:pPr>
            <w:r>
              <w:rPr>
                <w:rFonts w:hint="eastAsia" w:hAnsi="宋体"/>
                <w:b/>
                <w:color w:val="000000"/>
                <w:sz w:val="21"/>
              </w:rPr>
              <w:t>是否响应</w:t>
            </w:r>
          </w:p>
          <w:p>
            <w:pPr>
              <w:snapToGrid w:val="0"/>
              <w:spacing w:line="240" w:lineRule="atLeast"/>
              <w:jc w:val="center"/>
              <w:rPr>
                <w:rFonts w:hAnsi="宋体"/>
                <w:b/>
                <w:color w:val="000000"/>
                <w:sz w:val="21"/>
              </w:rPr>
            </w:pPr>
            <w:r>
              <w:rPr>
                <w:rFonts w:hint="eastAsia" w:hAnsi="宋体"/>
                <w:b/>
                <w:color w:val="000000"/>
                <w:sz w:val="21"/>
              </w:rPr>
              <w:t>（填是或者否）</w:t>
            </w:r>
          </w:p>
        </w:tc>
        <w:tc>
          <w:tcPr>
            <w:tcW w:w="1701" w:type="dxa"/>
            <w:vAlign w:val="center"/>
          </w:tcPr>
          <w:p>
            <w:pPr>
              <w:snapToGrid w:val="0"/>
              <w:spacing w:line="240" w:lineRule="atLeast"/>
              <w:jc w:val="center"/>
              <w:rPr>
                <w:rFonts w:hAnsi="宋体"/>
                <w:b/>
                <w:color w:val="000000"/>
                <w:sz w:val="21"/>
              </w:rPr>
            </w:pPr>
            <w:r>
              <w:rPr>
                <w:rFonts w:hint="eastAsia" w:hAnsi="宋体"/>
                <w:b/>
                <w:color w:val="000000"/>
                <w:sz w:val="21"/>
              </w:rPr>
              <w:t>响应文件中的</w:t>
            </w:r>
          </w:p>
          <w:p>
            <w:pPr>
              <w:snapToGrid w:val="0"/>
              <w:spacing w:line="240" w:lineRule="atLeast"/>
              <w:jc w:val="center"/>
              <w:rPr>
                <w:rFonts w:hAnsi="宋体"/>
                <w:b/>
                <w:color w:val="000000"/>
                <w:sz w:val="21"/>
              </w:rPr>
            </w:pPr>
            <w:r>
              <w:rPr>
                <w:rFonts w:hint="eastAsia" w:hAnsi="宋体"/>
                <w:b/>
                <w:color w:val="000000"/>
                <w:sz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color w:val="000000"/>
                <w:sz w:val="21"/>
              </w:rPr>
            </w:pPr>
            <w:r>
              <w:rPr>
                <w:rFonts w:hint="eastAsia" w:hAnsi="宋体"/>
                <w:color w:val="000000"/>
                <w:sz w:val="21"/>
              </w:rPr>
              <w:t>1</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1   工商营业执照</w:t>
            </w:r>
            <w:r>
              <w:rPr>
                <w:rFonts w:hint="eastAsia" w:hAnsi="宋体"/>
                <w:i/>
                <w:iCs/>
                <w:color w:val="000000"/>
                <w:sz w:val="21"/>
                <w:u w:val="single"/>
              </w:rPr>
              <w:t>、资质证书</w:t>
            </w:r>
            <w:r>
              <w:rPr>
                <w:rFonts w:hAnsi="宋体"/>
                <w:i/>
                <w:iCs/>
                <w:color w:val="000000"/>
                <w:sz w:val="21"/>
                <w:u w:val="single"/>
              </w:rPr>
              <w:t>（复印件</w:t>
            </w:r>
            <w:r>
              <w:rPr>
                <w:rFonts w:hint="eastAsia" w:hAnsi="宋体"/>
                <w:i/>
                <w:iCs/>
                <w:color w:val="000000"/>
                <w:sz w:val="21"/>
                <w:u w:val="single"/>
              </w:rPr>
              <w:t>，</w:t>
            </w:r>
            <w:r>
              <w:rPr>
                <w:rFonts w:hAnsi="宋体"/>
                <w:i/>
                <w:iCs/>
                <w:color w:val="000000"/>
                <w:sz w:val="21"/>
                <w:u w:val="single"/>
              </w:rPr>
              <w:t>加盖公章）</w:t>
            </w:r>
          </w:p>
        </w:tc>
        <w:tc>
          <w:tcPr>
            <w:tcW w:w="1842" w:type="dxa"/>
            <w:vAlign w:val="center"/>
          </w:tcPr>
          <w:p>
            <w:pPr>
              <w:jc w:val="center"/>
              <w:rPr>
                <w:rFonts w:hAnsi="宋体"/>
                <w:b/>
                <w:color w:val="000000"/>
                <w:sz w:val="21"/>
              </w:rPr>
            </w:pPr>
          </w:p>
        </w:tc>
        <w:tc>
          <w:tcPr>
            <w:tcW w:w="1701" w:type="dxa"/>
            <w:vAlign w:val="center"/>
          </w:tcPr>
          <w:p>
            <w:pPr>
              <w:jc w:val="center"/>
              <w:rPr>
                <w:rFonts w:hAnsi="宋体"/>
                <w:b/>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2</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2   法人授权书（原件</w:t>
            </w:r>
            <w:r>
              <w:rPr>
                <w:rFonts w:hint="eastAsia" w:hAnsi="宋体"/>
                <w:i/>
                <w:iCs/>
                <w:color w:val="000000"/>
                <w:sz w:val="21"/>
                <w:u w:val="single"/>
              </w:rPr>
              <w:t>，</w:t>
            </w:r>
            <w:r>
              <w:rPr>
                <w:rFonts w:hAnsi="宋体"/>
                <w:i/>
                <w:iCs/>
                <w:color w:val="000000"/>
                <w:sz w:val="21"/>
                <w:u w:val="single"/>
              </w:rPr>
              <w:t>非法定代表人参与</w:t>
            </w:r>
            <w:r>
              <w:rPr>
                <w:rFonts w:hint="eastAsia" w:hAnsi="宋体"/>
                <w:i/>
                <w:iCs/>
                <w:color w:val="000000"/>
                <w:sz w:val="21"/>
                <w:u w:val="single"/>
              </w:rPr>
              <w:t>磋商</w:t>
            </w:r>
            <w:r>
              <w:rPr>
                <w:rFonts w:hAnsi="宋体"/>
                <w:i/>
                <w:iCs/>
                <w:color w:val="000000"/>
                <w:sz w:val="21"/>
                <w:u w:val="single"/>
              </w:rPr>
              <w:t>时必须提供）</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3</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文件3</w:t>
            </w:r>
            <w:r>
              <w:rPr>
                <w:rFonts w:hAnsi="宋体"/>
                <w:i/>
                <w:iCs/>
                <w:color w:val="000000"/>
                <w:sz w:val="21"/>
                <w:u w:val="single"/>
              </w:rPr>
              <w:t xml:space="preserve">  </w:t>
            </w:r>
            <w:r>
              <w:rPr>
                <w:rFonts w:hint="eastAsia" w:hAnsi="宋体"/>
                <w:i/>
                <w:iCs/>
                <w:color w:val="000000"/>
                <w:sz w:val="21"/>
                <w:u w:val="single"/>
              </w:rPr>
              <w:t xml:space="preserve"> 投标人一般情况表</w:t>
            </w:r>
            <w:r>
              <w:rPr>
                <w:rFonts w:hAnsi="宋体"/>
                <w:i/>
                <w:iCs/>
                <w:color w:val="000000"/>
                <w:sz w:val="21"/>
                <w:u w:val="single"/>
              </w:rPr>
              <w:t>（原件）</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color w:val="000000"/>
                <w:sz w:val="21"/>
              </w:rPr>
            </w:pPr>
            <w:r>
              <w:rPr>
                <w:rFonts w:hint="eastAsia" w:hAnsi="宋体"/>
                <w:color w:val="000000"/>
                <w:sz w:val="21"/>
              </w:rPr>
              <w:t>4</w:t>
            </w:r>
          </w:p>
        </w:tc>
        <w:tc>
          <w:tcPr>
            <w:tcW w:w="4678" w:type="dxa"/>
            <w:vAlign w:val="center"/>
          </w:tcPr>
          <w:p>
            <w:pPr>
              <w:rPr>
                <w:rFonts w:hAnsi="宋体"/>
                <w:i/>
                <w:iCs/>
                <w:color w:val="000000"/>
                <w:sz w:val="21"/>
                <w:u w:val="single"/>
              </w:rPr>
            </w:pPr>
            <w:r>
              <w:rPr>
                <w:rFonts w:hint="eastAsia" w:hAnsi="宋体"/>
                <w:i/>
                <w:iCs/>
                <w:color w:val="000000"/>
                <w:sz w:val="21"/>
                <w:u w:val="single"/>
              </w:rPr>
              <w:t>磋商文件中的其他实质性要求</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bl>
    <w:p>
      <w:pPr>
        <w:snapToGrid w:val="0"/>
        <w:spacing w:before="50" w:after="50"/>
        <w:rPr>
          <w:rFonts w:hAnsi="宋体"/>
          <w:color w:val="000000"/>
          <w:sz w:val="32"/>
          <w:szCs w:val="32"/>
        </w:rPr>
      </w:pPr>
    </w:p>
    <w:p>
      <w:pPr>
        <w:snapToGrid w:val="0"/>
        <w:spacing w:before="50" w:after="50"/>
        <w:jc w:val="center"/>
        <w:rPr>
          <w:rFonts w:hAnsi="宋体"/>
          <w:color w:val="000000"/>
          <w:sz w:val="32"/>
          <w:szCs w:val="32"/>
        </w:rPr>
      </w:pPr>
      <w:r>
        <w:rPr>
          <w:rFonts w:hAnsi="宋体"/>
          <w:color w:val="000000"/>
          <w:sz w:val="32"/>
          <w:szCs w:val="32"/>
        </w:rPr>
        <w:br w:type="page"/>
      </w:r>
    </w:p>
    <w:p>
      <w:pPr>
        <w:jc w:val="center"/>
        <w:rPr>
          <w:rStyle w:val="52"/>
          <w:rFonts w:ascii="华文中宋" w:hAnsi="华文中宋" w:eastAsia="华文中宋"/>
          <w:b w:val="0"/>
          <w:color w:val="auto"/>
          <w:szCs w:val="28"/>
        </w:rPr>
      </w:pPr>
      <w:r>
        <w:rPr>
          <w:rFonts w:hint="eastAsia"/>
          <w:bCs/>
          <w:spacing w:val="-6"/>
          <w:sz w:val="32"/>
        </w:rPr>
        <w:t>三、</w:t>
      </w:r>
      <w:bookmarkStart w:id="119" w:name="_Toc513029276"/>
      <w:bookmarkStart w:id="120" w:name="_Toc120614283"/>
      <w:bookmarkStart w:id="121" w:name="_Toc22356580"/>
      <w:bookmarkStart w:id="122" w:name="_Toc49090577"/>
      <w:bookmarkStart w:id="123" w:name="_Toc460901585"/>
      <w:bookmarkStart w:id="124" w:name="_Toc23828478"/>
      <w:bookmarkStart w:id="125" w:name="_Toc26554095"/>
      <w:r>
        <w:rPr>
          <w:rFonts w:hint="eastAsia" w:ascii="华文中宋" w:hAnsi="华文中宋" w:eastAsia="华文中宋"/>
          <w:b/>
          <w:spacing w:val="-6"/>
          <w:sz w:val="32"/>
          <w:szCs w:val="28"/>
        </w:rPr>
        <w:t>、</w:t>
      </w:r>
      <w:r>
        <w:rPr>
          <w:rStyle w:val="52"/>
          <w:rFonts w:hint="eastAsia" w:ascii="华文中宋" w:hAnsi="华文中宋" w:eastAsia="华文中宋"/>
          <w:color w:val="auto"/>
          <w:szCs w:val="28"/>
        </w:rPr>
        <w:t>磋商函格式</w:t>
      </w:r>
    </w:p>
    <w:bookmarkEnd w:id="119"/>
    <w:bookmarkEnd w:id="120"/>
    <w:bookmarkEnd w:id="121"/>
    <w:bookmarkEnd w:id="122"/>
    <w:bookmarkEnd w:id="123"/>
    <w:bookmarkEnd w:id="124"/>
    <w:bookmarkEnd w:id="125"/>
    <w:p>
      <w:pPr>
        <w:tabs>
          <w:tab w:val="left" w:pos="5580"/>
        </w:tabs>
        <w:spacing w:line="480" w:lineRule="exact"/>
        <w:rPr>
          <w:rStyle w:val="52"/>
          <w:rFonts w:hAnsi="宋体"/>
          <w:color w:val="auto"/>
        </w:rPr>
      </w:pPr>
    </w:p>
    <w:p>
      <w:pPr>
        <w:rPr>
          <w:rFonts w:ascii="仿宋_GB2312" w:hAnsi="宋体" w:eastAsia="仿宋_GB2312"/>
        </w:rPr>
      </w:pPr>
      <w:r>
        <w:rPr>
          <w:rFonts w:hint="eastAsia" w:ascii="仿宋_GB2312" w:hAnsi="宋体" w:eastAsia="仿宋_GB2312"/>
        </w:rPr>
        <w:t>致：皖南医学院</w:t>
      </w:r>
    </w:p>
    <w:p>
      <w:pPr>
        <w:ind w:firstLine="560" w:firstLineChars="200"/>
        <w:rPr>
          <w:rFonts w:ascii="仿宋_GB2312" w:hAnsi="宋体" w:eastAsia="仿宋_GB2312"/>
        </w:rPr>
      </w:pPr>
      <w:r>
        <w:rPr>
          <w:rFonts w:hint="eastAsia" w:ascii="仿宋_GB2312" w:hAnsi="宋体" w:eastAsia="仿宋_GB2312"/>
        </w:rPr>
        <w:t>根据贵方的______________</w:t>
      </w:r>
      <w:r>
        <w:rPr>
          <w:rFonts w:hint="eastAsia" w:ascii="仿宋_GB2312" w:eastAsia="仿宋_GB2312"/>
          <w:szCs w:val="28"/>
        </w:rPr>
        <w:t>项目磋商</w:t>
      </w:r>
      <w:r>
        <w:rPr>
          <w:rFonts w:hint="eastAsia" w:ascii="仿宋_GB2312" w:hAnsi="宋体" w:eastAsia="仿宋_GB2312"/>
        </w:rPr>
        <w:t>文件，正式授权下述_______________(姓名和职务)代表我方______________（供应商的名称），全权处理本次项目磋商的有关事宜。</w:t>
      </w:r>
    </w:p>
    <w:p>
      <w:pPr>
        <w:ind w:firstLine="560" w:firstLineChars="200"/>
        <w:rPr>
          <w:rFonts w:ascii="仿宋_GB2312" w:hAnsi="宋体" w:eastAsia="仿宋_GB2312"/>
        </w:rPr>
      </w:pPr>
      <w:r>
        <w:rPr>
          <w:rFonts w:hint="eastAsia" w:ascii="仿宋_GB2312" w:hAnsi="宋体" w:eastAsia="仿宋_GB2312"/>
        </w:rPr>
        <w:t>据此函，__________（签字人）兹宣布同意如下：</w:t>
      </w:r>
    </w:p>
    <w:p>
      <w:pPr>
        <w:rPr>
          <w:rFonts w:ascii="仿宋_GB2312" w:hAnsi="宋体" w:eastAsia="仿宋_GB2312"/>
        </w:rPr>
      </w:pPr>
      <w:r>
        <w:rPr>
          <w:rFonts w:hint="eastAsia" w:ascii="仿宋_GB2312" w:hAnsi="宋体" w:eastAsia="仿宋_GB2312"/>
        </w:rPr>
        <w:t>1.按磋商文件规定的各项要求，向甲方提供所需货物与服务。</w:t>
      </w:r>
    </w:p>
    <w:p>
      <w:pPr>
        <w:rPr>
          <w:rFonts w:ascii="仿宋_GB2312" w:hAnsi="宋体" w:eastAsia="仿宋_GB2312"/>
        </w:rPr>
      </w:pPr>
      <w:r>
        <w:rPr>
          <w:rFonts w:hint="eastAsia" w:ascii="仿宋_GB2312" w:hAnsi="宋体" w:eastAsia="仿宋_GB2312"/>
        </w:rPr>
        <w:t>2.我们完全理解贵方不一定将合同授予最低报价的供应商。</w:t>
      </w:r>
    </w:p>
    <w:p>
      <w:pPr>
        <w:rPr>
          <w:rFonts w:ascii="仿宋_GB2312" w:hAnsi="宋体" w:eastAsia="仿宋_GB2312"/>
        </w:rPr>
      </w:pPr>
      <w:r>
        <w:rPr>
          <w:rFonts w:hint="eastAsia" w:ascii="仿宋_GB2312" w:hAnsi="宋体" w:eastAsia="仿宋_GB2312"/>
        </w:rPr>
        <w:t>3.我们已详细审核全部磋商文件及其有效补充文件，我们知道必须放弃提出含糊不清或误解问题的权利。</w:t>
      </w:r>
    </w:p>
    <w:p>
      <w:pPr>
        <w:rPr>
          <w:rFonts w:ascii="仿宋_GB2312" w:hAnsi="宋体" w:eastAsia="仿宋_GB2312"/>
        </w:rPr>
      </w:pPr>
      <w:r>
        <w:rPr>
          <w:rFonts w:hint="eastAsia" w:ascii="仿宋_GB2312" w:hAnsi="宋体" w:eastAsia="仿宋_GB2312"/>
        </w:rPr>
        <w:t>4.我们同意从规定的响应文件开启时间起遵循本响应文件。</w:t>
      </w:r>
    </w:p>
    <w:p>
      <w:pPr>
        <w:rPr>
          <w:rFonts w:ascii="仿宋_GB2312" w:hAnsi="宋体" w:eastAsia="仿宋_GB2312"/>
        </w:rPr>
      </w:pPr>
      <w:r>
        <w:rPr>
          <w:rFonts w:hint="eastAsia" w:ascii="仿宋_GB2312" w:hAnsi="宋体" w:eastAsia="仿宋_GB2312"/>
        </w:rPr>
        <w:t>5.如果在确定成交后拒绝签订合同，我们的</w:t>
      </w:r>
      <w:r>
        <w:rPr>
          <w:rFonts w:hint="eastAsia" w:ascii="仿宋_GB2312" w:hAnsi="宋体" w:eastAsia="仿宋_GB2312"/>
          <w:lang w:val="en-US" w:eastAsia="zh-CN"/>
        </w:rPr>
        <w:t>履约</w:t>
      </w:r>
      <w:r>
        <w:rPr>
          <w:rFonts w:hint="eastAsia" w:ascii="仿宋_GB2312" w:hAnsi="宋体" w:eastAsia="仿宋_GB2312"/>
        </w:rPr>
        <w:t>保证金可被贵方没收。</w:t>
      </w:r>
    </w:p>
    <w:p>
      <w:pPr>
        <w:rPr>
          <w:rFonts w:ascii="仿宋_GB2312" w:hAnsi="宋体" w:eastAsia="仿宋_GB2312"/>
        </w:rPr>
      </w:pPr>
      <w:r>
        <w:rPr>
          <w:rFonts w:hint="eastAsia" w:ascii="仿宋_GB2312" w:hAnsi="宋体" w:eastAsia="仿宋_GB2312"/>
        </w:rPr>
        <w:t>6.同意向贵方提供贵方可能另外要求的与磋商有关的任何证据或资料，并保证我方已提供和将要提供的文件是真实的、准确的。</w:t>
      </w:r>
    </w:p>
    <w:p>
      <w:pPr>
        <w:rPr>
          <w:rFonts w:ascii="仿宋_GB2312" w:hAnsi="宋体" w:eastAsia="仿宋_GB2312"/>
        </w:rPr>
      </w:pPr>
      <w:r>
        <w:rPr>
          <w:rFonts w:hint="eastAsia" w:ascii="仿宋_GB2312" w:hAnsi="宋体" w:eastAsia="仿宋_GB2312"/>
        </w:rPr>
        <w:t>7.一旦我方别确认成交,我方将根据磋商文件的规定，严格履行合同的责任和义务,并保证在磋商文件规定的时间完成项目，交付甲方验收、使用。</w:t>
      </w:r>
    </w:p>
    <w:p>
      <w:pPr>
        <w:rPr>
          <w:rFonts w:ascii="仿宋_GB2312" w:hAnsi="宋体" w:eastAsia="仿宋_GB2312"/>
        </w:rPr>
      </w:pPr>
      <w:r>
        <w:rPr>
          <w:rFonts w:hint="eastAsia" w:ascii="仿宋_GB2312" w:hAnsi="宋体" w:eastAsia="仿宋_GB2312"/>
        </w:rPr>
        <w:t>8.遵守磋商文件中要求的收费项目和标准。</w:t>
      </w:r>
    </w:p>
    <w:p>
      <w:pPr>
        <w:rPr>
          <w:rFonts w:ascii="仿宋_GB2312" w:hAnsi="宋体" w:eastAsia="仿宋_GB2312"/>
        </w:rPr>
      </w:pPr>
      <w:r>
        <w:rPr>
          <w:rFonts w:hint="eastAsia" w:ascii="仿宋_GB2312" w:hAnsi="宋体" w:eastAsia="仿宋_GB2312"/>
        </w:rPr>
        <w:t>9.与本磋商有关的正式通讯地址为：</w:t>
      </w:r>
    </w:p>
    <w:p>
      <w:pPr>
        <w:rPr>
          <w:rFonts w:ascii="仿宋_GB2312" w:hAnsi="宋体" w:eastAsia="仿宋_GB2312"/>
        </w:rPr>
      </w:pPr>
      <w:r>
        <w:rPr>
          <w:rFonts w:hint="eastAsia" w:ascii="仿宋_GB2312" w:hAnsi="宋体" w:eastAsia="仿宋_GB2312"/>
        </w:rPr>
        <w:t>地址：</w:t>
      </w:r>
    </w:p>
    <w:p>
      <w:pPr>
        <w:rPr>
          <w:rFonts w:ascii="仿宋_GB2312" w:hAnsi="宋体" w:eastAsia="仿宋_GB2312"/>
        </w:rPr>
      </w:pPr>
      <w:r>
        <w:rPr>
          <w:rFonts w:hint="eastAsia" w:ascii="仿宋_GB2312" w:hAnsi="宋体" w:eastAsia="仿宋_GB2312"/>
        </w:rPr>
        <w:t>邮编：</w:t>
      </w:r>
    </w:p>
    <w:p>
      <w:pPr>
        <w:rPr>
          <w:rFonts w:ascii="仿宋_GB2312" w:hAnsi="宋体" w:eastAsia="仿宋_GB2312"/>
        </w:rPr>
      </w:pPr>
      <w:r>
        <w:rPr>
          <w:rFonts w:hint="eastAsia" w:ascii="仿宋_GB2312" w:hAnsi="宋体" w:eastAsia="仿宋_GB2312"/>
        </w:rPr>
        <w:t>电话：</w:t>
      </w:r>
    </w:p>
    <w:p>
      <w:pPr>
        <w:rPr>
          <w:rFonts w:ascii="仿宋_GB2312" w:hAnsi="宋体" w:eastAsia="仿宋_GB2312"/>
        </w:rPr>
      </w:pPr>
      <w:r>
        <w:rPr>
          <w:rFonts w:hint="eastAsia" w:ascii="仿宋_GB2312" w:hAnsi="宋体" w:eastAsia="仿宋_GB2312"/>
        </w:rPr>
        <w:t>传真：</w:t>
      </w:r>
    </w:p>
    <w:p>
      <w:pPr>
        <w:rPr>
          <w:rFonts w:ascii="仿宋_GB2312" w:hAnsi="宋体" w:eastAsia="仿宋_GB2312"/>
        </w:rPr>
      </w:pPr>
      <w:r>
        <w:rPr>
          <w:rFonts w:hint="eastAsia" w:ascii="仿宋_GB2312" w:hAnsi="宋体" w:eastAsia="仿宋_GB2312"/>
        </w:rPr>
        <w:t>供应商开户行：</w:t>
      </w:r>
    </w:p>
    <w:p>
      <w:pPr>
        <w:rPr>
          <w:rFonts w:ascii="仿宋_GB2312" w:hAnsi="宋体" w:eastAsia="仿宋_GB2312"/>
        </w:rPr>
      </w:pPr>
      <w:r>
        <w:rPr>
          <w:rFonts w:hint="eastAsia" w:ascii="仿宋_GB2312" w:hAnsi="宋体" w:eastAsia="仿宋_GB2312"/>
        </w:rPr>
        <w:t xml:space="preserve">账户：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供应商授权代表姓名（签字）：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供应商名称（公章）：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日期：________年</w:t>
      </w:r>
      <w:r>
        <w:rPr>
          <w:rFonts w:hint="eastAsia" w:ascii="仿宋_GB2312" w:hAnsi="宋体" w:eastAsia="仿宋_GB2312"/>
          <w:u w:val="single"/>
        </w:rPr>
        <w:t>_    __</w:t>
      </w:r>
      <w:r>
        <w:rPr>
          <w:rFonts w:hint="eastAsia" w:ascii="仿宋_GB2312" w:hAnsi="宋体" w:eastAsia="仿宋_GB2312"/>
        </w:rPr>
        <w:t>月</w:t>
      </w:r>
      <w:r>
        <w:rPr>
          <w:rFonts w:hint="eastAsia" w:ascii="仿宋_GB2312" w:hAnsi="宋体" w:eastAsia="仿宋_GB2312"/>
          <w:u w:val="single"/>
        </w:rPr>
        <w:t>__   __</w:t>
      </w:r>
      <w:r>
        <w:rPr>
          <w:rFonts w:hint="eastAsia" w:ascii="仿宋_GB2312" w:hAnsi="宋体" w:eastAsia="仿宋_GB2312"/>
        </w:rPr>
        <w:t>日</w:t>
      </w:r>
    </w:p>
    <w:p>
      <w:pPr>
        <w:rPr>
          <w:rFonts w:ascii="仿宋_GB2312" w:hAnsi="宋体" w:eastAsia="仿宋_GB2312"/>
          <w:i/>
          <w:u w:val="single"/>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r>
        <w:rPr>
          <w:rFonts w:hint="eastAsia" w:ascii="宋体" w:hAnsi="宋体"/>
          <w:b/>
          <w:color w:val="000000"/>
          <w:spacing w:val="-6"/>
          <w:sz w:val="24"/>
        </w:rPr>
        <w:t>四、投标人一般情况表</w:t>
      </w:r>
    </w:p>
    <w:p>
      <w:pPr>
        <w:spacing w:line="360" w:lineRule="auto"/>
        <w:rPr>
          <w:rFonts w:ascii="宋体" w:hAnsi="宋体"/>
          <w:color w:val="000000"/>
          <w:spacing w:val="-6"/>
        </w:rPr>
      </w:pPr>
    </w:p>
    <w:tbl>
      <w:tblPr>
        <w:tblStyle w:val="3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2</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3</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4</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电话：</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5</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传真：</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6</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注册地：</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7</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8</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9</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作为承包人经历年数：</w:t>
            </w:r>
          </w:p>
        </w:tc>
        <w:tc>
          <w:tcPr>
            <w:tcW w:w="5627" w:type="dxa"/>
            <w:gridSpan w:val="2"/>
            <w:vAlign w:val="center"/>
          </w:tcPr>
          <w:p>
            <w:pPr>
              <w:spacing w:line="360" w:lineRule="auto"/>
              <w:rPr>
                <w:rFonts w:ascii="宋体" w:hAnsi="宋体"/>
                <w:color w:val="000000"/>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10</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其他需要说明的情况</w:t>
            </w:r>
          </w:p>
        </w:tc>
        <w:tc>
          <w:tcPr>
            <w:tcW w:w="5627" w:type="dxa"/>
            <w:gridSpan w:val="2"/>
            <w:vAlign w:val="center"/>
          </w:tcPr>
          <w:p>
            <w:pPr>
              <w:spacing w:line="360" w:lineRule="auto"/>
              <w:rPr>
                <w:rFonts w:ascii="宋体" w:hAnsi="宋体"/>
                <w:color w:val="000000"/>
                <w:spacing w:val="-6"/>
                <w:sz w:val="24"/>
              </w:rPr>
            </w:pPr>
          </w:p>
          <w:p>
            <w:pPr>
              <w:spacing w:line="360" w:lineRule="auto"/>
              <w:rPr>
                <w:rFonts w:ascii="宋体" w:hAnsi="宋体"/>
                <w:color w:val="000000"/>
                <w:spacing w:val="-6"/>
                <w:sz w:val="24"/>
              </w:rPr>
            </w:pPr>
          </w:p>
          <w:p>
            <w:pPr>
              <w:spacing w:line="360" w:lineRule="auto"/>
              <w:rPr>
                <w:rFonts w:ascii="宋体" w:hAnsi="宋体"/>
                <w:color w:val="000000"/>
                <w:spacing w:val="-6"/>
                <w:sz w:val="24"/>
              </w:rPr>
            </w:pPr>
          </w:p>
        </w:tc>
      </w:tr>
    </w:tbl>
    <w:p>
      <w:pPr>
        <w:spacing w:line="360" w:lineRule="auto"/>
        <w:ind w:firstLine="573"/>
        <w:rPr>
          <w:rFonts w:ascii="宋体" w:hAnsi="宋体"/>
          <w:color w:val="000000"/>
          <w:spacing w:val="-6"/>
          <w:sz w:val="24"/>
        </w:rPr>
      </w:pPr>
    </w:p>
    <w:p>
      <w:pPr>
        <w:spacing w:line="360" w:lineRule="auto"/>
        <w:ind w:firstLine="228" w:firstLineChars="100"/>
        <w:rPr>
          <w:rFonts w:ascii="宋体" w:hAnsi="宋体"/>
          <w:color w:val="000000"/>
          <w:spacing w:val="-6"/>
          <w:sz w:val="24"/>
        </w:rPr>
      </w:pPr>
      <w:r>
        <w:rPr>
          <w:rFonts w:hint="eastAsia" w:ascii="宋体" w:hAnsi="宋体"/>
          <w:color w:val="000000"/>
          <w:spacing w:val="-6"/>
          <w:sz w:val="24"/>
        </w:rPr>
        <w:t>说明：所有投标申请人都须填写此表；</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ind w:left="540" w:firstLine="30"/>
        <w:jc w:val="center"/>
        <w:rPr>
          <w:rFonts w:ascii="宋体" w:hAnsi="宋体"/>
          <w:color w:val="000000"/>
          <w:spacing w:val="-6"/>
          <w:sz w:val="24"/>
        </w:rPr>
      </w:pPr>
      <w:r>
        <w:rPr>
          <w:rFonts w:hint="eastAsia" w:ascii="宋体" w:hAnsi="宋体"/>
          <w:color w:val="000000"/>
          <w:spacing w:val="-6"/>
          <w:sz w:val="24"/>
        </w:rPr>
        <w:t xml:space="preserve">           授权代表签字：</w:t>
      </w:r>
    </w:p>
    <w:p>
      <w:pPr>
        <w:spacing w:line="360" w:lineRule="auto"/>
        <w:ind w:left="540" w:firstLine="5068"/>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投标人名称（盖章）：</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日期：    年   月  日</w:t>
      </w:r>
    </w:p>
    <w:p>
      <w:pPr>
        <w:rPr>
          <w:rFonts w:ascii="仿宋_GB2312" w:eastAsia="仿宋_GB2312"/>
        </w:rPr>
      </w:pPr>
    </w:p>
    <w:p>
      <w:pPr>
        <w:snapToGrid w:val="0"/>
        <w:spacing w:before="50" w:after="50"/>
        <w:jc w:val="center"/>
        <w:rPr>
          <w:rFonts w:ascii="华文中宋" w:hAnsi="华文中宋" w:eastAsia="华文中宋"/>
          <w:szCs w:val="28"/>
        </w:rPr>
      </w:pPr>
    </w:p>
    <w:p>
      <w:pPr>
        <w:snapToGrid w:val="0"/>
        <w:spacing w:before="50" w:after="50"/>
        <w:jc w:val="center"/>
        <w:rPr>
          <w:rFonts w:ascii="华文中宋" w:hAnsi="华文中宋" w:eastAsia="华文中宋"/>
          <w:szCs w:val="28"/>
        </w:rPr>
      </w:pPr>
    </w:p>
    <w:p>
      <w:pPr>
        <w:jc w:val="center"/>
        <w:rPr>
          <w:rFonts w:hint="eastAsia" w:hAnsi="宋体"/>
          <w:b/>
        </w:rPr>
      </w:pPr>
      <w:bookmarkStart w:id="126" w:name="_Toc26554103"/>
      <w:bookmarkStart w:id="127" w:name="_Toc120614291"/>
      <w:bookmarkStart w:id="128" w:name="_Toc23828483"/>
      <w:bookmarkStart w:id="129" w:name="_Toc49090582"/>
      <w:bookmarkStart w:id="130" w:name="_Toc513029281"/>
      <w:bookmarkStart w:id="131" w:name="_Toc22356583"/>
      <w:bookmarkStart w:id="132" w:name="_Toc24878535"/>
    </w:p>
    <w:p>
      <w:pPr>
        <w:jc w:val="center"/>
        <w:rPr>
          <w:rFonts w:hAnsi="宋体"/>
          <w:b/>
        </w:rPr>
      </w:pPr>
      <w:r>
        <w:rPr>
          <w:rFonts w:hint="eastAsia" w:hAnsi="宋体"/>
          <w:b/>
        </w:rPr>
        <w:t>五、法人授权书</w:t>
      </w:r>
      <w:bookmarkEnd w:id="126"/>
      <w:bookmarkEnd w:id="127"/>
      <w:bookmarkEnd w:id="128"/>
      <w:bookmarkEnd w:id="129"/>
      <w:bookmarkEnd w:id="130"/>
      <w:bookmarkEnd w:id="131"/>
      <w:bookmarkEnd w:id="132"/>
      <w:r>
        <w:rPr>
          <w:rFonts w:hint="eastAsia" w:hAnsi="宋体"/>
          <w:b/>
        </w:rPr>
        <w:t>格式</w:t>
      </w:r>
    </w:p>
    <w:p>
      <w:pPr>
        <w:snapToGrid w:val="0"/>
        <w:spacing w:line="360" w:lineRule="auto"/>
        <w:rPr>
          <w:rFonts w:ascii="宋体" w:hAnsi="宋体"/>
          <w:b/>
          <w:spacing w:val="-6"/>
          <w:sz w:val="24"/>
        </w:rPr>
      </w:pPr>
      <w:r>
        <w:rPr>
          <w:rFonts w:hint="eastAsia" w:ascii="宋体" w:hAnsi="宋体"/>
          <w:spacing w:val="-6"/>
          <w:sz w:val="24"/>
        </w:rPr>
        <w:t>致：皖南医学院：</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 xml:space="preserve">_（投标人名称）的法定代表人，现授权委托本单位在职职工 </w:t>
      </w:r>
      <w:r>
        <w:rPr>
          <w:rFonts w:hint="eastAsia" w:ascii="宋体" w:hAnsi="宋体"/>
          <w:spacing w:val="-6"/>
          <w:sz w:val="24"/>
          <w:u w:val="single"/>
        </w:rPr>
        <w:t xml:space="preserve">              </w:t>
      </w:r>
      <w:r>
        <w:rPr>
          <w:rFonts w:hint="eastAsia" w:ascii="宋体" w:hAnsi="宋体"/>
          <w:spacing w:val="-6"/>
          <w:sz w:val="24"/>
        </w:rPr>
        <w:t>（姓名）以我方的名义参加</w:t>
      </w:r>
      <w:r>
        <w:rPr>
          <w:rFonts w:hint="eastAsia" w:ascii="宋体" w:hAnsi="宋体"/>
          <w:spacing w:val="-6"/>
          <w:sz w:val="24"/>
          <w:u w:val="single"/>
        </w:rPr>
        <w:t xml:space="preserve">             </w:t>
      </w:r>
      <w:r>
        <w:rPr>
          <w:rFonts w:hint="eastAsia" w:ascii="宋体" w:hAnsi="宋体"/>
          <w:spacing w:val="-6"/>
          <w:sz w:val="24"/>
        </w:rPr>
        <w:t>项目的投标活动，并代表我方全权办理针对上述项目的投标、开标、磋商、签约等具体事务和签署相关文件。</w:t>
      </w:r>
    </w:p>
    <w:p>
      <w:pPr>
        <w:snapToGrid w:val="0"/>
        <w:spacing w:line="360" w:lineRule="auto"/>
        <w:rPr>
          <w:rFonts w:ascii="宋体" w:hAnsi="宋体"/>
          <w:spacing w:val="-6"/>
          <w:sz w:val="24"/>
        </w:rPr>
      </w:pPr>
      <w:r>
        <w:rPr>
          <w:rFonts w:hint="eastAsia" w:ascii="宋体" w:hAnsi="宋体"/>
          <w:spacing w:val="-6"/>
          <w:sz w:val="24"/>
        </w:rPr>
        <w:t xml:space="preserve">    我方对被授权人的签名负全部责任。</w:t>
      </w:r>
    </w:p>
    <w:p>
      <w:pPr>
        <w:snapToGrid w:val="0"/>
        <w:spacing w:line="360" w:lineRule="auto"/>
        <w:ind w:firstLine="48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rPr>
      </w:pPr>
      <w:r>
        <w:rPr>
          <w:rFonts w:hint="eastAsia" w:ascii="宋体" w:hAnsi="宋体"/>
          <w:spacing w:val="-6"/>
          <w:sz w:val="24"/>
        </w:rPr>
        <w:t>被授权人无转委托权，特此委托。</w:t>
      </w:r>
    </w:p>
    <w:p>
      <w:pPr>
        <w:snapToGrid w:val="0"/>
        <w:spacing w:beforeLines="50" w:after="50" w:line="360" w:lineRule="auto"/>
        <w:rPr>
          <w:rFonts w:ascii="宋体" w:hAnsi="宋体"/>
          <w:spacing w:val="-6"/>
          <w:sz w:val="24"/>
        </w:rPr>
      </w:pPr>
    </w:p>
    <w:p>
      <w:pPr>
        <w:snapToGrid w:val="0"/>
        <w:spacing w:beforeLines="50" w:after="50" w:line="360" w:lineRule="auto"/>
        <w:rPr>
          <w:rFonts w:ascii="宋体" w:hAnsi="宋体"/>
          <w:spacing w:val="-6"/>
          <w:sz w:val="24"/>
          <w:u w:val="single"/>
        </w:rPr>
      </w:pPr>
      <w:r>
        <w:rPr>
          <w:rFonts w:hint="eastAsia" w:ascii="宋体" w:hAnsi="宋体"/>
          <w:spacing w:val="-6"/>
          <w:sz w:val="24"/>
        </w:rPr>
        <w:t>被授权人签名：</w:t>
      </w:r>
      <w:r>
        <w:rPr>
          <w:rFonts w:hint="eastAsia" w:ascii="宋体" w:hAnsi="宋体"/>
          <w:spacing w:val="-6"/>
          <w:sz w:val="24"/>
          <w:u w:val="single"/>
        </w:rPr>
        <w:t xml:space="preserve">          </w:t>
      </w:r>
      <w:r>
        <w:rPr>
          <w:rFonts w:hint="eastAsia" w:ascii="宋体" w:hAnsi="宋体"/>
          <w:spacing w:val="-6"/>
          <w:sz w:val="24"/>
        </w:rPr>
        <w:t xml:space="preserve">                 法定代表人签名：</w:t>
      </w:r>
      <w:r>
        <w:rPr>
          <w:rFonts w:hint="eastAsia" w:ascii="宋体" w:hAnsi="宋体"/>
          <w:spacing w:val="-6"/>
          <w:sz w:val="24"/>
          <w:u w:val="single"/>
        </w:rPr>
        <w:t xml:space="preserve">          </w:t>
      </w:r>
    </w:p>
    <w:p>
      <w:pPr>
        <w:snapToGrid w:val="0"/>
        <w:spacing w:beforeLines="50" w:after="50" w:line="360" w:lineRule="auto"/>
        <w:ind w:firstLine="912" w:firstLineChars="400"/>
        <w:rPr>
          <w:rFonts w:ascii="宋体" w:hAnsi="宋体"/>
          <w:spacing w:val="-6"/>
          <w:sz w:val="24"/>
        </w:rPr>
      </w:pPr>
      <w:r>
        <w:rPr>
          <w:rFonts w:hint="eastAsia" w:ascii="宋体" w:hAnsi="宋体"/>
          <w:spacing w:val="-6"/>
          <w:sz w:val="24"/>
        </w:rPr>
        <w:t>职务：</w:t>
      </w:r>
      <w:r>
        <w:rPr>
          <w:rFonts w:hint="eastAsia" w:ascii="宋体" w:hAnsi="宋体"/>
          <w:spacing w:val="-6"/>
          <w:sz w:val="24"/>
          <w:u w:val="single"/>
        </w:rPr>
        <w:t xml:space="preserve">           </w:t>
      </w:r>
      <w:r>
        <w:rPr>
          <w:rFonts w:hint="eastAsia" w:ascii="宋体" w:hAnsi="宋体"/>
          <w:spacing w:val="-6"/>
          <w:sz w:val="24"/>
        </w:rPr>
        <w:t xml:space="preserve">                          职务：</w:t>
      </w:r>
      <w:r>
        <w:rPr>
          <w:rFonts w:hint="eastAsia" w:ascii="宋体" w:hAnsi="宋体"/>
          <w:spacing w:val="-6"/>
          <w:sz w:val="24"/>
          <w:u w:val="single"/>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被授权人身份证号码：</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 xml:space="preserve">                                    投标人名称（盖章）：</w:t>
      </w:r>
    </w:p>
    <w:p>
      <w:pPr>
        <w:snapToGrid w:val="0"/>
        <w:spacing w:beforeLines="50" w:after="50" w:line="360" w:lineRule="auto"/>
        <w:jc w:val="center"/>
        <w:rPr>
          <w:rFonts w:ascii="宋体" w:hAnsi="宋体"/>
          <w:spacing w:val="-6"/>
          <w:sz w:val="24"/>
        </w:rPr>
      </w:pPr>
      <w:r>
        <w:rPr>
          <w:rFonts w:hint="eastAsia" w:ascii="宋体" w:hAnsi="宋体"/>
          <w:spacing w:val="-6"/>
          <w:sz w:val="24"/>
        </w:rPr>
        <w:t xml:space="preserve">                                        年    月    日</w:t>
      </w:r>
    </w:p>
    <w:p>
      <w:pPr>
        <w:spacing w:line="360" w:lineRule="auto"/>
        <w:rPr>
          <w:rFonts w:ascii="宋体" w:hAnsi="宋体"/>
          <w:spacing w:val="-6"/>
        </w:rPr>
      </w:pPr>
      <w:r>
        <w:rPr>
          <w:rFonts w:ascii="宋体" w:hAnsi="宋体"/>
          <w:spacing w:val="-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148590</wp:posOffset>
                </wp:positionV>
                <wp:extent cx="3430905" cy="2360295"/>
                <wp:effectExtent l="4445" t="4445" r="12700" b="16510"/>
                <wp:wrapNone/>
                <wp:docPr id="6" name="Text Box 3"/>
                <wp:cNvGraphicFramePr/>
                <a:graphic xmlns:a="http://schemas.openxmlformats.org/drawingml/2006/main">
                  <a:graphicData uri="http://schemas.microsoft.com/office/word/2010/wordprocessingShape">
                    <wps:wsp>
                      <wps:cNvSpPr txBox="1"/>
                      <wps:spPr>
                        <a:xfrm>
                          <a:off x="0" y="0"/>
                          <a:ext cx="34309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wps:txbx>
                      <wps:bodyPr upright="1"/>
                    </wps:wsp>
                  </a:graphicData>
                </a:graphic>
              </wp:anchor>
            </w:drawing>
          </mc:Choice>
          <mc:Fallback>
            <w:pict>
              <v:shape id="Text Box 3" o:spid="_x0000_s1026" o:spt="202" type="#_x0000_t202" style="position:absolute;left:0pt;margin-left:0pt;margin-top:11.7pt;height:185.85pt;width:270.15pt;z-index:251660288;mso-width-relative:page;mso-height-relative:page;" fillcolor="#FFFFFF" filled="t" stroked="t" coordsize="21600,21600" o:gfxdata="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r8Gc1wAAAAcBAAAPAAAAAAAAAAEAIAAAACIAAABkcnMvZG93bnJldi54&#10;bWxQSwECFAAUAAAACACHTuJAMcr/v/sBAAA2BAAADgAAAAAAAAABACAAAAAmAQAAZHJzL2Uyb0Rv&#10;Yy54bWxQSwUGAAAAAAYABgBZAQAAkw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mc:Fallback>
        </mc:AlternateContent>
      </w:r>
    </w:p>
    <w:p>
      <w:pPr>
        <w:spacing w:line="360" w:lineRule="auto"/>
        <w:rPr>
          <w:rFonts w:ascii="宋体" w:hAnsi="宋体"/>
          <w:spacing w:val="-6"/>
        </w:rPr>
      </w:pPr>
    </w:p>
    <w:p>
      <w:pPr>
        <w:spacing w:line="360" w:lineRule="auto"/>
        <w:rPr>
          <w:rFonts w:ascii="宋体" w:hAnsi="宋体"/>
          <w:spacing w:val="-6"/>
        </w:rPr>
      </w:pPr>
    </w:p>
    <w:p>
      <w:pPr>
        <w:adjustRightInd w:val="0"/>
        <w:snapToGrid w:val="0"/>
        <w:spacing w:line="300" w:lineRule="auto"/>
        <w:rPr>
          <w:rFonts w:ascii="宋体" w:hAnsi="宋体"/>
          <w:spacing w:val="-6"/>
          <w:sz w:val="24"/>
        </w:rPr>
      </w:pPr>
      <w:r>
        <w:rPr>
          <w:rFonts w:hint="eastAsia" w:ascii="宋体" w:hAnsi="宋体"/>
          <w:spacing w:val="-6"/>
          <w:sz w:val="24"/>
        </w:rPr>
        <w:t xml:space="preserve"> </w:t>
      </w:r>
    </w:p>
    <w:p>
      <w:pPr>
        <w:pStyle w:val="18"/>
        <w:snapToGrid w:val="0"/>
        <w:spacing w:beforeLines="0" w:afterLines="0" w:line="360" w:lineRule="auto"/>
        <w:jc w:val="left"/>
        <w:rPr>
          <w:rFonts w:hAnsi="宋体"/>
        </w:rPr>
      </w:pPr>
    </w:p>
    <w:p>
      <w:pPr>
        <w:pStyle w:val="18"/>
        <w:snapToGrid w:val="0"/>
        <w:spacing w:beforeLines="0" w:afterLines="0" w:line="360" w:lineRule="auto"/>
        <w:jc w:val="left"/>
        <w:rPr>
          <w:rFonts w:hAnsi="宋体"/>
        </w:rPr>
      </w:pPr>
    </w:p>
    <w:p>
      <w:pPr>
        <w:pStyle w:val="18"/>
        <w:snapToGrid w:val="0"/>
        <w:spacing w:beforeLines="0" w:afterLines="0" w:line="360" w:lineRule="auto"/>
        <w:jc w:val="left"/>
        <w:rPr>
          <w:rFonts w:hAnsi="宋体"/>
        </w:rPr>
      </w:pPr>
    </w:p>
    <w:p>
      <w:pPr>
        <w:spacing w:line="360" w:lineRule="auto"/>
        <w:jc w:val="center"/>
        <w:rPr>
          <w:rFonts w:ascii="宋体" w:hAnsi="宋体"/>
          <w:b/>
          <w:spacing w:val="-6"/>
          <w:sz w:val="24"/>
        </w:rPr>
      </w:pPr>
    </w:p>
    <w:p>
      <w:pPr>
        <w:rPr>
          <w:rFonts w:ascii="仿宋_GB2312" w:eastAsia="仿宋_GB2312"/>
        </w:rPr>
      </w:pPr>
    </w:p>
    <w:p>
      <w:pPr>
        <w:rPr>
          <w:rFonts w:ascii="仿宋_GB2312" w:eastAsia="仿宋_GB2312"/>
        </w:rPr>
      </w:pPr>
    </w:p>
    <w:p>
      <w:pPr>
        <w:rPr>
          <w:rFonts w:hAnsi="宋体"/>
          <w:b/>
        </w:rPr>
      </w:pPr>
      <w:r>
        <w:rPr>
          <w:rFonts w:hint="eastAsia" w:hAnsi="宋体"/>
          <w:b/>
        </w:rPr>
        <w:t>六、实施方案（</w:t>
      </w:r>
      <w:r>
        <w:rPr>
          <w:rFonts w:hint="eastAsia" w:hAnsi="宋体"/>
        </w:rPr>
        <w:t>包括设计方案、</w:t>
      </w:r>
      <w:r>
        <w:rPr>
          <w:rFonts w:hint="eastAsia" w:ascii="仿宋_GB2312" w:eastAsia="仿宋_GB2312"/>
          <w:sz w:val="30"/>
          <w:szCs w:val="30"/>
        </w:rPr>
        <w:t>项目管理及团队等</w:t>
      </w:r>
      <w:r>
        <w:rPr>
          <w:rFonts w:hint="eastAsia" w:hAnsi="宋体"/>
          <w:b/>
        </w:rPr>
        <w:t>）</w:t>
      </w:r>
    </w:p>
    <w:p>
      <w:pPr>
        <w:rPr>
          <w:rFonts w:hAnsi="宋体"/>
          <w:b/>
        </w:rPr>
      </w:pPr>
      <w:r>
        <w:rPr>
          <w:rFonts w:hint="eastAsia" w:hAnsi="宋体"/>
          <w:b/>
        </w:rPr>
        <w:t>七、业绩证明材料及其它</w:t>
      </w:r>
    </w:p>
    <w:p>
      <w:pPr>
        <w:jc w:val="left"/>
        <w:rPr>
          <w:rFonts w:hint="eastAsia" w:ascii="仿宋_GB2312" w:hAnsi="华文中宋" w:eastAsia="仿宋_GB2312"/>
          <w:b/>
          <w:szCs w:val="28"/>
        </w:rPr>
      </w:pPr>
    </w:p>
    <w:p>
      <w:pPr>
        <w:jc w:val="left"/>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ascii="仿宋_GB2312" w:eastAsia="仿宋_GB2312"/>
        </w:rPr>
      </w:pPr>
      <w:r>
        <w:rPr>
          <w:rFonts w:hint="eastAsia" w:ascii="仿宋_GB2312" w:hAnsi="华文中宋" w:eastAsia="仿宋_GB2312"/>
          <w:b/>
          <w:szCs w:val="28"/>
        </w:rPr>
        <w:t xml:space="preserve">  </w:t>
      </w:r>
      <w:r>
        <w:rPr>
          <w:rFonts w:hint="eastAsia" w:ascii="仿宋_GB2312" w:hAnsi="宋体" w:eastAsia="仿宋_GB2312"/>
          <w:color w:val="000000" w:themeColor="text1"/>
          <w:szCs w:val="28"/>
          <w14:textFill>
            <w14:solidFill>
              <w14:schemeClr w14:val="tx1"/>
            </w14:solidFill>
          </w14:textFill>
        </w:rPr>
        <w:t xml:space="preserve"> </w:t>
      </w:r>
    </w:p>
    <w:p>
      <w:pPr>
        <w:rPr>
          <w:rFonts w:hint="eastAsia" w:ascii="仿宋_GB2312" w:eastAsia="仿宋_GB2312"/>
          <w:b/>
        </w:rPr>
      </w:pPr>
    </w:p>
    <w:p>
      <w:pPr>
        <w:rPr>
          <w:rFonts w:ascii="仿宋_GB2312" w:eastAsia="仿宋_GB2312"/>
          <w:b/>
        </w:rPr>
      </w:pPr>
      <w:r>
        <w:rPr>
          <w:rFonts w:hint="eastAsia" w:ascii="仿宋_GB2312" w:eastAsia="仿宋_GB2312"/>
          <w:b/>
        </w:rPr>
        <w:t>附件1：</w:t>
      </w: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color w:val="333333"/>
          <w:sz w:val="30"/>
          <w:szCs w:val="30"/>
        </w:rPr>
      </w:pPr>
      <w:bookmarkStart w:id="133" w:name="_Toc374453341"/>
      <w:r>
        <w:rPr>
          <w:rFonts w:hint="eastAsia" w:ascii="黑体" w:hAnsi="黑体" w:eastAsia="黑体" w:cs="宋体"/>
          <w:b/>
          <w:bCs/>
          <w:color w:val="333333"/>
          <w:sz w:val="30"/>
          <w:szCs w:val="30"/>
        </w:rPr>
        <w:t>第一章</w:t>
      </w:r>
      <w:r>
        <w:rPr>
          <w:rFonts w:hint="eastAsia" w:ascii="宋体" w:hAnsi="宋体" w:eastAsia="黑体"/>
          <w:color w:val="333333"/>
          <w:sz w:val="30"/>
          <w:szCs w:val="30"/>
        </w:rPr>
        <w:t>  </w:t>
      </w:r>
      <w:r>
        <w:rPr>
          <w:rFonts w:hint="eastAsia" w:ascii="黑体" w:hAnsi="黑体" w:eastAsia="黑体" w:cs="宋体"/>
          <w:b/>
          <w:bCs/>
          <w:color w:val="333333"/>
          <w:sz w:val="30"/>
          <w:szCs w:val="30"/>
        </w:rPr>
        <w:t>总 则</w:t>
      </w:r>
      <w:bookmarkEnd w:id="133"/>
    </w:p>
    <w:p>
      <w:pPr>
        <w:spacing w:line="560" w:lineRule="exact"/>
        <w:ind w:firstLine="600" w:firstLineChars="200"/>
        <w:rPr>
          <w:rFonts w:ascii="仿宋_GB2312" w:hAnsi="宋体" w:eastAsia="仿宋_GB2312" w:cs="宋体"/>
          <w:color w:val="333333"/>
          <w:sz w:val="30"/>
          <w:szCs w:val="30"/>
        </w:rPr>
      </w:pPr>
      <w:r>
        <w:rPr>
          <w:rFonts w:hint="eastAsia" w:ascii="宋体" w:hAnsi="宋体" w:eastAsia="仿宋_GB2312"/>
          <w:color w:val="333333"/>
          <w:sz w:val="30"/>
          <w:szCs w:val="30"/>
        </w:rPr>
        <w:t> </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 xml:space="preserve"> </w:t>
      </w:r>
      <w:r>
        <w:rPr>
          <w:rFonts w:hint="eastAsia" w:ascii="仿宋_GB2312" w:hAnsi="宋体" w:eastAsia="仿宋_GB2312" w:cs="宋体"/>
          <w:b/>
          <w:color w:val="333333"/>
          <w:sz w:val="30"/>
          <w:szCs w:val="30"/>
        </w:rPr>
        <w:t>第一条</w:t>
      </w:r>
      <w:r>
        <w:rPr>
          <w:rFonts w:hint="eastAsia" w:ascii="仿宋_GB2312" w:hAnsi="宋体" w:eastAsia="仿宋_GB2312" w:cs="宋体"/>
          <w:color w:val="333333"/>
          <w:sz w:val="30"/>
          <w:szCs w:val="30"/>
        </w:rPr>
        <w:t xml:space="preserve">  为规范</w:t>
      </w:r>
      <w:r>
        <w:rPr>
          <w:rFonts w:hint="eastAsia" w:ascii="仿宋_GB2312" w:eastAsia="仿宋_GB2312" w:cs="宋体" w:hAnsiTheme="minorEastAsia"/>
          <w:color w:val="333333"/>
          <w:sz w:val="30"/>
          <w:szCs w:val="30"/>
        </w:rPr>
        <w:t>学校</w:t>
      </w:r>
      <w:r>
        <w:rPr>
          <w:rFonts w:hint="eastAsia" w:ascii="仿宋_GB2312" w:hAnsi="宋体" w:eastAsia="仿宋_GB2312" w:cs="宋体"/>
          <w:color w:val="333333"/>
          <w:sz w:val="30"/>
          <w:szCs w:val="30"/>
        </w:rPr>
        <w:t>采购活动质疑</w:t>
      </w:r>
      <w:r>
        <w:rPr>
          <w:rFonts w:hint="eastAsia" w:ascii="仿宋_GB2312" w:eastAsia="仿宋_GB2312" w:cs="宋体" w:hAnsiTheme="minorEastAsia"/>
          <w:color w:val="333333"/>
          <w:sz w:val="30"/>
          <w:szCs w:val="30"/>
        </w:rPr>
        <w:t>和投诉</w:t>
      </w:r>
      <w:r>
        <w:rPr>
          <w:rFonts w:hint="eastAsia" w:ascii="仿宋_GB2312" w:hAnsi="宋体" w:eastAsia="仿宋_GB2312" w:cs="宋体"/>
          <w:color w:val="333333"/>
          <w:sz w:val="30"/>
          <w:szCs w:val="30"/>
        </w:rPr>
        <w:t>行为，确保采购活动公平竞争、合理运转</w:t>
      </w:r>
      <w:r>
        <w:rPr>
          <w:rFonts w:hint="eastAsia" w:ascii="仿宋_GB2312" w:eastAsia="仿宋_GB2312" w:cs="宋体" w:hAnsiTheme="minorEastAsia"/>
          <w:color w:val="333333"/>
          <w:sz w:val="30"/>
          <w:szCs w:val="30"/>
        </w:rPr>
        <w:t>，</w:t>
      </w:r>
      <w:r>
        <w:rPr>
          <w:rFonts w:hint="eastAsia" w:ascii="仿宋_GB2312" w:hAnsi="宋体" w:eastAsia="仿宋_GB2312" w:cs="宋体"/>
          <w:color w:val="333333"/>
          <w:sz w:val="30"/>
          <w:szCs w:val="30"/>
        </w:rPr>
        <w:t>保护参加</w:t>
      </w:r>
      <w:r>
        <w:rPr>
          <w:rFonts w:hint="eastAsia" w:ascii="仿宋_GB2312" w:eastAsia="仿宋_GB2312" w:cs="宋体" w:hAnsiTheme="minorEastAsia"/>
          <w:color w:val="333333"/>
          <w:sz w:val="30"/>
          <w:szCs w:val="30"/>
        </w:rPr>
        <w:t>学校采购活动当事人的</w:t>
      </w:r>
      <w:r>
        <w:rPr>
          <w:rFonts w:hint="eastAsia" w:ascii="仿宋_GB2312" w:hAnsi="宋体" w:eastAsia="仿宋_GB2312" w:cs="宋体"/>
          <w:color w:val="333333"/>
          <w:sz w:val="30"/>
          <w:szCs w:val="30"/>
        </w:rPr>
        <w:t>合法权益，根据《中华人民共和国政府采购法》</w:t>
      </w:r>
      <w:r>
        <w:rPr>
          <w:rFonts w:hint="eastAsia" w:ascii="仿宋_GB2312" w:eastAsia="仿宋_GB2312" w:cs="宋体" w:hAnsiTheme="minorEastAsia"/>
          <w:color w:val="333333"/>
          <w:sz w:val="30"/>
          <w:szCs w:val="30"/>
        </w:rPr>
        <w:t>、《中华人民共和国政府采购法实施条例》、</w:t>
      </w:r>
      <w:r>
        <w:rPr>
          <w:rFonts w:hint="eastAsia" w:ascii="仿宋_GB2312" w:hAnsi="宋体" w:eastAsia="仿宋_GB2312" w:cs="宋体"/>
          <w:color w:val="333333"/>
          <w:sz w:val="30"/>
          <w:szCs w:val="30"/>
        </w:rPr>
        <w:t>《政府采购</w:t>
      </w:r>
      <w:r>
        <w:rPr>
          <w:rFonts w:hint="eastAsia" w:ascii="仿宋_GB2312" w:eastAsia="仿宋_GB2312" w:cs="宋体" w:hAnsiTheme="minorEastAsia"/>
          <w:color w:val="333333"/>
          <w:sz w:val="30"/>
          <w:szCs w:val="30"/>
        </w:rPr>
        <w:t>质疑和投诉</w:t>
      </w:r>
      <w:r>
        <w:rPr>
          <w:rFonts w:hint="eastAsia" w:ascii="仿宋_GB2312" w:hAnsi="宋体" w:eastAsia="仿宋_GB2312" w:cs="宋体"/>
          <w:color w:val="333333"/>
          <w:sz w:val="30"/>
          <w:szCs w:val="30"/>
        </w:rPr>
        <w:t>办法》（财政部</w:t>
      </w:r>
      <w:r>
        <w:rPr>
          <w:rFonts w:hint="eastAsia" w:ascii="仿宋_GB2312" w:eastAsia="仿宋_GB2312" w:cs="宋体" w:hAnsiTheme="minorEastAsia"/>
          <w:color w:val="333333"/>
          <w:sz w:val="30"/>
          <w:szCs w:val="30"/>
        </w:rPr>
        <w:t>令</w:t>
      </w:r>
      <w:r>
        <w:rPr>
          <w:rFonts w:hint="eastAsia" w:ascii="仿宋_GB2312" w:hAnsi="宋体" w:eastAsia="仿宋_GB2312" w:cs="宋体"/>
          <w:color w:val="333333"/>
          <w:sz w:val="30"/>
          <w:szCs w:val="30"/>
        </w:rPr>
        <w:t>第</w:t>
      </w:r>
      <w:r>
        <w:rPr>
          <w:rFonts w:hint="eastAsia" w:ascii="仿宋_GB2312" w:eastAsia="仿宋_GB2312" w:cs="宋体" w:hAnsiTheme="minorEastAsia"/>
          <w:color w:val="333333"/>
          <w:sz w:val="30"/>
          <w:szCs w:val="30"/>
        </w:rPr>
        <w:t>94</w:t>
      </w:r>
      <w:r>
        <w:rPr>
          <w:rFonts w:hint="eastAsia" w:ascii="仿宋_GB2312" w:hAnsi="宋体" w:eastAsia="仿宋_GB2312" w:cs="宋体"/>
          <w:color w:val="333333"/>
          <w:sz w:val="30"/>
          <w:szCs w:val="30"/>
        </w:rPr>
        <w:t>号）</w:t>
      </w:r>
      <w:r>
        <w:rPr>
          <w:rFonts w:hint="eastAsia" w:ascii="仿宋_GB2312" w:eastAsia="仿宋_GB2312" w:cs="宋体" w:hAnsiTheme="minorEastAsia"/>
          <w:color w:val="333333"/>
          <w:sz w:val="30"/>
          <w:szCs w:val="30"/>
        </w:rPr>
        <w:t>和安徽省政府有关文件</w:t>
      </w:r>
      <w:r>
        <w:rPr>
          <w:rFonts w:hint="eastAsia" w:ascii="仿宋_GB2312" w:hAnsi="宋体" w:eastAsia="仿宋_GB2312" w:cs="宋体"/>
          <w:color w:val="333333"/>
          <w:sz w:val="30"/>
          <w:szCs w:val="30"/>
        </w:rPr>
        <w:t>精神，</w:t>
      </w:r>
      <w:r>
        <w:rPr>
          <w:rFonts w:hint="eastAsia" w:ascii="仿宋_GB2312" w:eastAsia="仿宋_GB2312" w:cs="宋体" w:hAnsiTheme="minorEastAsia"/>
          <w:color w:val="333333"/>
          <w:sz w:val="30"/>
          <w:szCs w:val="30"/>
        </w:rPr>
        <w:t>结合学校实际，</w:t>
      </w:r>
      <w:r>
        <w:rPr>
          <w:rFonts w:hint="eastAsia" w:ascii="仿宋_GB2312" w:hAnsi="宋体" w:eastAsia="仿宋_GB2312" w:cs="宋体"/>
          <w:color w:val="333333"/>
          <w:sz w:val="30"/>
          <w:szCs w:val="30"/>
        </w:rPr>
        <w:t>制定本办法。</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hAnsi="宋体" w:eastAsia="仿宋_GB2312" w:cs="宋体"/>
          <w:b/>
          <w:color w:val="333333"/>
          <w:sz w:val="30"/>
          <w:szCs w:val="30"/>
        </w:rPr>
        <w:t>第二条</w:t>
      </w:r>
      <w:r>
        <w:rPr>
          <w:rFonts w:hint="eastAsia" w:ascii="仿宋_GB2312" w:hAnsi="宋体" w:eastAsia="仿宋_GB2312" w:cs="宋体"/>
          <w:color w:val="333333"/>
          <w:sz w:val="30"/>
          <w:szCs w:val="30"/>
        </w:rPr>
        <w:t xml:space="preserve">  </w:t>
      </w:r>
      <w:r>
        <w:rPr>
          <w:rFonts w:hint="eastAsia" w:ascii="仿宋_GB2312" w:eastAsia="仿宋_GB2312" w:cs="宋体" w:hAnsiTheme="minorEastAsia"/>
          <w:color w:val="333333"/>
          <w:sz w:val="30"/>
          <w:szCs w:val="30"/>
        </w:rPr>
        <w:t>本办法适用于</w:t>
      </w:r>
      <w:bookmarkStart w:id="134" w:name="OLE_LINK3"/>
      <w:bookmarkStart w:id="135" w:name="OLE_LINK1"/>
      <w:bookmarkStart w:id="136" w:name="OLE_LINK2"/>
      <w:r>
        <w:rPr>
          <w:rFonts w:hint="eastAsia" w:ascii="仿宋_GB2312" w:eastAsia="仿宋_GB2312" w:cs="宋体" w:hAnsiTheme="minorEastAsia"/>
          <w:color w:val="333333"/>
          <w:sz w:val="30"/>
          <w:szCs w:val="30"/>
        </w:rPr>
        <w:t>学校采购活动</w:t>
      </w:r>
      <w:bookmarkEnd w:id="134"/>
      <w:bookmarkEnd w:id="135"/>
      <w:bookmarkEnd w:id="136"/>
      <w:r>
        <w:rPr>
          <w:rFonts w:hint="eastAsia" w:ascii="仿宋_GB2312" w:eastAsia="仿宋_GB2312" w:cs="宋体" w:hAnsiTheme="minorEastAsia"/>
          <w:color w:val="333333"/>
          <w:sz w:val="30"/>
          <w:szCs w:val="30"/>
        </w:rPr>
        <w:t>质疑的提出和答复、投诉的提起和处理。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33333"/>
          <w:sz w:val="30"/>
          <w:szCs w:val="30"/>
        </w:rPr>
      </w:pPr>
      <w:r>
        <w:rPr>
          <w:rFonts w:hint="eastAsia" w:ascii="仿宋_GB2312" w:eastAsia="仿宋_GB2312" w:hAnsiTheme="minorEastAsia"/>
          <w:b/>
          <w:color w:val="333333"/>
          <w:sz w:val="30"/>
          <w:szCs w:val="30"/>
        </w:rPr>
        <w:t>第三条</w:t>
      </w:r>
      <w:r>
        <w:rPr>
          <w:rFonts w:hint="eastAsia" w:ascii="仿宋_GB2312" w:eastAsia="仿宋_GB2312" w:hAnsiTheme="minorEastAsia"/>
          <w:color w:val="333333"/>
          <w:sz w:val="30"/>
          <w:szCs w:val="30"/>
        </w:rPr>
        <w:t xml:space="preserve">  学校政府采购中的集中采购和分散采购项目质疑的提出与答复和投诉</w:t>
      </w:r>
      <w:r>
        <w:rPr>
          <w:rFonts w:hint="eastAsia" w:ascii="仿宋_GB2312" w:eastAsia="仿宋_GB2312"/>
          <w:color w:val="353535"/>
          <w:sz w:val="30"/>
          <w:szCs w:val="30"/>
        </w:rPr>
        <w:t>的提起与处理</w:t>
      </w:r>
      <w:r>
        <w:rPr>
          <w:rFonts w:hint="eastAsia" w:ascii="仿宋_GB2312" w:eastAsia="仿宋_GB2312" w:hAnsiTheme="minorEastAsia"/>
          <w:color w:val="333333"/>
          <w:sz w:val="30"/>
          <w:szCs w:val="30"/>
        </w:rPr>
        <w:t>遵照《</w:t>
      </w:r>
      <w:r>
        <w:rPr>
          <w:rFonts w:hint="eastAsia" w:ascii="仿宋_GB2312" w:eastAsia="仿宋_GB2312"/>
          <w:color w:val="333333"/>
          <w:sz w:val="30"/>
          <w:szCs w:val="30"/>
        </w:rPr>
        <w:t>政府采购</w:t>
      </w:r>
      <w:r>
        <w:rPr>
          <w:rFonts w:hint="eastAsia" w:ascii="仿宋_GB2312" w:eastAsia="仿宋_GB2312" w:hAnsiTheme="minorEastAsia"/>
          <w:color w:val="333333"/>
          <w:sz w:val="30"/>
          <w:szCs w:val="30"/>
        </w:rPr>
        <w:t>质疑和投诉</w:t>
      </w:r>
      <w:r>
        <w:rPr>
          <w:rFonts w:hint="eastAsia" w:ascii="仿宋_GB2312" w:eastAsia="仿宋_GB2312"/>
          <w:color w:val="333333"/>
          <w:sz w:val="30"/>
          <w:szCs w:val="30"/>
        </w:rPr>
        <w:t>办法》（财政部</w:t>
      </w:r>
      <w:r>
        <w:rPr>
          <w:rFonts w:hint="eastAsia" w:ascii="仿宋_GB2312" w:eastAsia="仿宋_GB2312" w:hAnsiTheme="minorEastAsia"/>
          <w:color w:val="333333"/>
          <w:sz w:val="30"/>
          <w:szCs w:val="30"/>
        </w:rPr>
        <w:t>令</w:t>
      </w:r>
      <w:r>
        <w:rPr>
          <w:rFonts w:hint="eastAsia" w:ascii="仿宋_GB2312" w:eastAsia="仿宋_GB2312"/>
          <w:color w:val="333333"/>
          <w:sz w:val="30"/>
          <w:szCs w:val="30"/>
        </w:rPr>
        <w:t>第</w:t>
      </w:r>
      <w:r>
        <w:rPr>
          <w:rFonts w:hint="eastAsia" w:ascii="仿宋_GB2312" w:eastAsia="仿宋_GB2312" w:hAnsiTheme="minorEastAsia"/>
          <w:color w:val="333333"/>
          <w:sz w:val="30"/>
          <w:szCs w:val="30"/>
        </w:rPr>
        <w:t>94</w:t>
      </w:r>
      <w:r>
        <w:rPr>
          <w:rFonts w:hint="eastAsia" w:ascii="仿宋_GB2312" w:eastAsia="仿宋_GB2312"/>
          <w:color w:val="333333"/>
          <w:sz w:val="30"/>
          <w:szCs w:val="30"/>
        </w:rPr>
        <w:t>号）</w:t>
      </w:r>
      <w:r>
        <w:rPr>
          <w:rFonts w:hint="eastAsia" w:ascii="仿宋_GB2312" w:eastAsia="仿宋_GB2312" w:hAnsiTheme="minorEastAsia"/>
          <w:color w:val="333333"/>
          <w:sz w:val="30"/>
          <w:szCs w:val="30"/>
        </w:rPr>
        <w:t>和安徽省有关</w:t>
      </w:r>
      <w:r>
        <w:rPr>
          <w:rFonts w:hint="eastAsia" w:ascii="仿宋_GB2312" w:eastAsia="仿宋_GB2312"/>
          <w:color w:val="333333"/>
          <w:sz w:val="30"/>
          <w:szCs w:val="30"/>
        </w:rPr>
        <w:t>规定执行，上级政策如有调整，按最新政策规定执行。</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第四条</w:t>
      </w:r>
      <w:r>
        <w:rPr>
          <w:rFonts w:hint="eastAsia" w:ascii="仿宋_GB2312" w:eastAsia="仿宋_GB2312" w:cs="宋体" w:hAnsiTheme="minorEastAsia"/>
          <w:color w:val="333333"/>
          <w:sz w:val="30"/>
          <w:szCs w:val="30"/>
        </w:rPr>
        <w:t xml:space="preserve">  供应商提出质疑和投诉应当坚持依法依规、诚实信用原则。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第五条</w:t>
      </w:r>
      <w:r>
        <w:rPr>
          <w:rFonts w:hint="eastAsia" w:ascii="仿宋_GB2312" w:eastAsia="仿宋_GB2312" w:cs="宋体" w:hAnsiTheme="minorEastAsia"/>
          <w:color w:val="333333"/>
          <w:sz w:val="30"/>
          <w:szCs w:val="30"/>
        </w:rPr>
        <w:t xml:space="preserve">  采购质疑答复和投诉处理应当坚持依法依规、权责对等、公平公正、简便高效原则。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第六条</w:t>
      </w:r>
      <w:r>
        <w:rPr>
          <w:rFonts w:hint="eastAsia" w:ascii="仿宋_GB2312" w:eastAsia="仿宋_GB2312" w:cs="宋体" w:hAnsiTheme="minorEastAsia"/>
          <w:color w:val="333333"/>
          <w:sz w:val="30"/>
          <w:szCs w:val="30"/>
        </w:rPr>
        <w:t xml:space="preserve">  学校国有资产管理处（以下简称“国资处”）负责供应商质疑答复。学校委托采购代理机构采购的，采购代理机构在委托授权范围内作出答复。</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学校监察处负责接受和处理校内自主采购项目的投诉。</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第七条</w:t>
      </w:r>
      <w:r>
        <w:rPr>
          <w:rFonts w:hint="eastAsia" w:ascii="仿宋_GB2312" w:eastAsia="仿宋_GB2312" w:cs="宋体" w:hAnsiTheme="minorEastAsia"/>
          <w:color w:val="333333"/>
          <w:sz w:val="30"/>
          <w:szCs w:val="30"/>
        </w:rPr>
        <w:t xml:space="preserve">  国资处、委托采购代理机构应当在采购文件中载明接收质疑函和受理投诉的方式、联系部门、联系电话和通讯地址等信息。</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第八条</w:t>
      </w:r>
      <w:r>
        <w:rPr>
          <w:rFonts w:hint="eastAsia" w:ascii="仿宋_GB2312" w:eastAsia="仿宋_GB2312" w:cs="宋体" w:hAnsiTheme="minorEastAsia"/>
          <w:color w:val="333333"/>
          <w:sz w:val="30"/>
          <w:szCs w:val="30"/>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代理人提出质疑和投诉，应当提交供应商签署的授权委托书。</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第九条</w:t>
      </w:r>
      <w:r>
        <w:rPr>
          <w:rFonts w:hint="eastAsia" w:ascii="仿宋_GB2312" w:eastAsia="仿宋_GB2312" w:cs="宋体" w:hAnsiTheme="minorEastAsia"/>
          <w:color w:val="333333"/>
          <w:sz w:val="30"/>
          <w:szCs w:val="30"/>
        </w:rPr>
        <w:t xml:space="preserve">  以联合体形式参加学校采购活动的，其投诉应当由组成联合体的所有供应商共同提出。</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第二章 质疑的提出</w:t>
      </w:r>
    </w:p>
    <w:p>
      <w:pPr>
        <w:spacing w:line="560" w:lineRule="exact"/>
        <w:ind w:firstLine="600" w:firstLineChars="200"/>
        <w:rPr>
          <w:rFonts w:ascii="仿宋_GB2312" w:eastAsia="仿宋_GB2312" w:cs="宋体" w:hAnsiTheme="minorEastAsia"/>
          <w:color w:val="333333"/>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第十条</w:t>
      </w:r>
      <w:bookmarkStart w:id="137" w:name="OLE_LINK7"/>
      <w:bookmarkStart w:id="138" w:name="OLE_LINK5"/>
      <w:bookmarkStart w:id="139" w:name="OLE_LINK8"/>
      <w:bookmarkStart w:id="140" w:name="OLE_LINK6"/>
      <w:bookmarkStart w:id="141" w:name="OLE_LINK4"/>
      <w:bookmarkStart w:id="142" w:name="OLE_LINK9"/>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bookmarkEnd w:id="137"/>
      <w:bookmarkEnd w:id="138"/>
      <w:bookmarkEnd w:id="139"/>
      <w:bookmarkEnd w:id="140"/>
      <w:bookmarkEnd w:id="141"/>
      <w:bookmarkEnd w:id="142"/>
      <w:r>
        <w:rPr>
          <w:rFonts w:hint="eastAsia" w:ascii="仿宋_GB2312" w:hAnsi="微软雅黑" w:eastAsia="仿宋_GB2312"/>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采购文件可以要求供应商在质疑期内一次性提出针对同一采购程序环节的质疑。</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E3E3E"/>
          <w:sz w:val="30"/>
          <w:szCs w:val="30"/>
        </w:rPr>
      </w:pPr>
      <w:r>
        <w:rPr>
          <w:rFonts w:hint="eastAsia" w:ascii="仿宋_GB2312" w:eastAsia="仿宋_GB2312" w:hAnsiTheme="minorEastAsia"/>
          <w:b/>
          <w:color w:val="333333"/>
          <w:sz w:val="30"/>
          <w:szCs w:val="30"/>
        </w:rPr>
        <w:t>第十一条</w:t>
      </w:r>
      <w:r>
        <w:rPr>
          <w:rFonts w:hint="eastAsia" w:ascii="仿宋_GB2312" w:eastAsia="仿宋_GB2312" w:hAnsiTheme="minorEastAsia"/>
          <w:color w:val="333333"/>
          <w:sz w:val="30"/>
          <w:szCs w:val="30"/>
        </w:rPr>
        <w:t xml:space="preserve">  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eastAsia="仿宋_GB2312" w:hAnsiTheme="minorEastAsia"/>
          <w:color w:val="3E3E3E"/>
          <w:sz w:val="30"/>
          <w:szCs w:val="30"/>
        </w:rPr>
        <w:t>提出质疑的供应商（以下简称质疑供应商）应当是参与所质疑项目采购活动的供应商。</w:t>
      </w:r>
    </w:p>
    <w:p>
      <w:pPr>
        <w:spacing w:line="560" w:lineRule="exact"/>
        <w:ind w:firstLine="600" w:firstLineChars="200"/>
        <w:rPr>
          <w:rFonts w:ascii="仿宋_GB2312" w:eastAsia="仿宋_GB2312" w:hAnsiTheme="minorEastAsia"/>
          <w:color w:val="3E3E3E"/>
          <w:sz w:val="30"/>
          <w:szCs w:val="30"/>
        </w:rPr>
      </w:pPr>
      <w:r>
        <w:rPr>
          <w:rFonts w:hint="eastAsia" w:ascii="仿宋_GB2312" w:eastAsia="仿宋_GB2312" w:hAnsiTheme="minorEastAsia"/>
          <w:color w:val="3E3E3E"/>
          <w:sz w:val="30"/>
          <w:szCs w:val="30"/>
        </w:rPr>
        <w:t xml:space="preserve">潜在供应商已依法依规获取其可质疑的采购文件的，可以对该文件提出质疑。对采购文件提出质疑的，应当在采购文件规定的时间内提出。 </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供应商提出质疑应当提交质疑函和必要的证明材料。质疑函应当包括下列内容：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（一）供应商的姓名或者名称、地址、邮编、联系人及联系电话；</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（二）质疑项目的名称、编号；</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（三）具体、明确的质疑事项和与质疑事项相关的请求；</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（五）必要的法律依据；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（六）提出质疑的日期。</w:t>
      </w:r>
    </w:p>
    <w:p>
      <w:pPr>
        <w:spacing w:line="560" w:lineRule="exact"/>
        <w:ind w:firstLine="600" w:firstLineChars="200"/>
        <w:rPr>
          <w:rFonts w:ascii="仿宋_GB2312" w:hAnsi="微软雅黑" w:eastAsia="仿宋_GB2312"/>
          <w:color w:val="3E3E3E"/>
          <w:sz w:val="30"/>
          <w:szCs w:val="30"/>
        </w:rPr>
      </w:pPr>
      <w:r>
        <w:rPr>
          <w:rFonts w:hint="eastAsia" w:ascii="仿宋_GB2312" w:hAnsi="微软雅黑" w:eastAsia="仿宋_GB2312"/>
          <w:color w:val="3E3E3E"/>
          <w:sz w:val="30"/>
          <w:szCs w:val="30"/>
        </w:rPr>
        <w:t>供应商为自然人的，应当由本人签字；供应商为法人或者其他组织的，应当由法定代表人、主要负责人，或者其授权代表签字或者盖章，并加盖公章。</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第十三条</w:t>
      </w:r>
      <w:r>
        <w:rPr>
          <w:rFonts w:hint="eastAsia" w:ascii="仿宋_GB2312" w:hAnsi="宋体" w:eastAsia="仿宋_GB2312" w:cs="宋体"/>
          <w:color w:val="333333"/>
          <w:sz w:val="30"/>
          <w:szCs w:val="30"/>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600" w:firstLineChars="200"/>
        <w:rPr>
          <w:rFonts w:ascii="仿宋_GB2312" w:hAnsi="微软雅黑" w:eastAsia="仿宋_GB2312"/>
          <w:color w:val="3E3E3E"/>
          <w:sz w:val="30"/>
          <w:szCs w:val="30"/>
        </w:rPr>
      </w:pPr>
    </w:p>
    <w:p>
      <w:pPr>
        <w:spacing w:line="560" w:lineRule="exact"/>
        <w:jc w:val="center"/>
        <w:rPr>
          <w:rFonts w:ascii="黑体" w:hAnsi="黑体" w:eastAsia="黑体"/>
          <w:b/>
          <w:color w:val="3E3E3E"/>
          <w:sz w:val="30"/>
          <w:szCs w:val="30"/>
        </w:rPr>
      </w:pPr>
      <w:r>
        <w:rPr>
          <w:rFonts w:hint="eastAsia" w:ascii="黑体" w:hAnsi="黑体" w:eastAsia="黑体"/>
          <w:b/>
          <w:color w:val="3E3E3E"/>
          <w:sz w:val="30"/>
          <w:szCs w:val="30"/>
        </w:rPr>
        <w:t>第三章  质疑的答复</w:t>
      </w:r>
    </w:p>
    <w:p>
      <w:pPr>
        <w:spacing w:line="560" w:lineRule="exact"/>
        <w:ind w:firstLine="600" w:firstLineChars="200"/>
        <w:rPr>
          <w:rFonts w:ascii="仿宋_GB2312" w:hAnsi="微软雅黑" w:eastAsia="仿宋_GB2312"/>
          <w:color w:val="3E3E3E"/>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hAnsi="微软雅黑" w:eastAsia="仿宋_GB2312"/>
          <w:b/>
          <w:color w:val="3E3E3E"/>
          <w:sz w:val="30"/>
          <w:szCs w:val="30"/>
        </w:rPr>
        <w:t>第十四条</w:t>
      </w:r>
      <w:r>
        <w:rPr>
          <w:rFonts w:hint="eastAsia" w:ascii="仿宋_GB2312" w:hAnsi="微软雅黑" w:eastAsia="仿宋_GB2312"/>
          <w:color w:val="3E3E3E"/>
          <w:sz w:val="30"/>
          <w:szCs w:val="30"/>
        </w:rPr>
        <w:t xml:space="preserve">  </w:t>
      </w:r>
      <w:r>
        <w:rPr>
          <w:rFonts w:hint="eastAsia" w:ascii="仿宋_GB2312" w:hAnsi="宋体" w:eastAsia="仿宋_GB2312" w:cs="宋体"/>
          <w:color w:val="333333"/>
          <w:sz w:val="30"/>
          <w:szCs w:val="30"/>
        </w:rPr>
        <w:t>供应商对</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宋体" w:eastAsia="仿宋_GB2312" w:cs="宋体"/>
          <w:color w:val="333333"/>
          <w:sz w:val="30"/>
          <w:szCs w:val="30"/>
        </w:rPr>
        <w:t>有疑问的，可以向学校国资处、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提出询问，国资处、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应及时口头答复。</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第十五</w:t>
      </w:r>
      <w:r>
        <w:rPr>
          <w:rFonts w:hint="eastAsia" w:ascii="仿宋_GB2312" w:hAnsi="宋体" w:eastAsia="仿宋_GB2312" w:cs="宋体"/>
          <w:color w:val="333333"/>
          <w:sz w:val="30"/>
          <w:szCs w:val="30"/>
        </w:rPr>
        <w:t>条  国资处、采购代理机构对供应商提出的询问，应区别不同情况予以处理：</w:t>
      </w:r>
      <w:r>
        <w:rPr>
          <w:rFonts w:hint="eastAsia" w:ascii="仿宋_GB2312" w:hAnsi="宋体" w:eastAsia="仿宋_GB2312" w:cs="宋体"/>
          <w:sz w:val="30"/>
          <w:szCs w:val="30"/>
        </w:rPr>
        <w:t>属于工作中的问题，应当及时纠正；</w:t>
      </w:r>
      <w:r>
        <w:rPr>
          <w:rFonts w:hint="eastAsia" w:ascii="仿宋_GB2312" w:hAnsi="宋体" w:eastAsia="仿宋_GB2312" w:cs="宋体"/>
          <w:color w:val="333333"/>
          <w:sz w:val="30"/>
          <w:szCs w:val="30"/>
        </w:rPr>
        <w:t>属于供应商的误解，应予以解释说明。</w:t>
      </w:r>
    </w:p>
    <w:p>
      <w:pPr>
        <w:spacing w:line="560" w:lineRule="exact"/>
        <w:ind w:firstLine="602" w:firstLineChars="200"/>
        <w:rPr>
          <w:rFonts w:ascii="仿宋_GB2312" w:hAnsi="微软雅黑" w:eastAsia="仿宋_GB2312"/>
          <w:color w:val="3E3E3E"/>
          <w:sz w:val="30"/>
          <w:szCs w:val="30"/>
        </w:rPr>
      </w:pPr>
      <w:r>
        <w:rPr>
          <w:rFonts w:hint="eastAsia" w:ascii="仿宋_GB2312" w:hAnsi="微软雅黑" w:eastAsia="仿宋_GB2312"/>
          <w:b/>
          <w:color w:val="3E3E3E"/>
          <w:sz w:val="30"/>
          <w:szCs w:val="30"/>
        </w:rPr>
        <w:t>第十六</w:t>
      </w:r>
      <w:r>
        <w:rPr>
          <w:rFonts w:hint="eastAsia" w:ascii="仿宋_GB2312" w:hAnsi="微软雅黑" w:eastAsia="仿宋_GB2312"/>
          <w:color w:val="3E3E3E"/>
          <w:sz w:val="30"/>
          <w:szCs w:val="30"/>
        </w:rPr>
        <w:t xml:space="preserve">条  </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第十七条</w:t>
      </w:r>
      <w:r>
        <w:rPr>
          <w:rFonts w:hint="eastAsia" w:ascii="仿宋_GB2312" w:hAnsi="宋体" w:eastAsia="仿宋_GB2312" w:cs="宋体"/>
          <w:color w:val="333333"/>
          <w:sz w:val="30"/>
          <w:szCs w:val="30"/>
        </w:rPr>
        <w:t xml:space="preserve">  供应商的书面质疑属于下列情形之一的，国资处、采购代理机构可不予受理，并以书面形式告知其不予受理的原因：</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（一）未通过资格审核，或未参与该采购项目活动的供应商；</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（二）已超过法律规定或采购文件约定的质疑期限；</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第十八条</w:t>
      </w:r>
      <w:r>
        <w:rPr>
          <w:rFonts w:hint="eastAsia" w:ascii="仿宋_GB2312" w:hAnsi="宋体" w:eastAsia="仿宋_GB2312" w:cs="宋体"/>
          <w:color w:val="333333"/>
          <w:sz w:val="30"/>
          <w:szCs w:val="30"/>
        </w:rPr>
        <w:t xml:space="preserve">  国资处可就供应商的质疑事项进行调查取证，有关当事人应当如实反映情况和提供有关材料。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第十九条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供应商对评审过程、中标或者成交结果提出质疑的，国资处、采购代理机构可以组织原评标委员会、谈判小组、询价小组或者磋商小组协助答复质疑。</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第二十条</w:t>
      </w:r>
      <w:r>
        <w:rPr>
          <w:rFonts w:hint="eastAsia" w:ascii="仿宋_GB2312" w:eastAsia="仿宋_GB2312"/>
          <w:color w:val="333333"/>
          <w:sz w:val="30"/>
          <w:szCs w:val="30"/>
        </w:rPr>
        <w:t xml:space="preserve">  采购评审人员应当积极配合国资处答复质疑供应商提出的质疑。</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第二十一条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质疑答复应当包括下列内容：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（一）质疑供应商的姓名或者名称；</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（二）收到质疑函的日期、质疑项目名称及编号；</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（三）质疑事项、质疑答复的具体内容、事实依据和法律及相关政策规定等依据；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（四）告知质疑供应商依法投诉的权利；</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（五）质疑答复人名称；</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（六）答复质疑的日期。</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质疑答复的内容不得涉及商业秘密。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（一）对采购文件提出的质疑，依法通过澄清或者修改可以继续开展采购活动的，澄清或者修改采购文件后继续开展采购活动；否则应当修改采购文件后重新开展采购活动。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质疑答复导致中标、成交结果改变的，国资处应当将有关情况书面报告监察处。</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第四章  投诉的提起</w:t>
      </w:r>
    </w:p>
    <w:p>
      <w:pPr>
        <w:spacing w:line="560" w:lineRule="exact"/>
        <w:ind w:firstLine="600" w:firstLineChars="200"/>
        <w:rPr>
          <w:rFonts w:ascii="仿宋_GB2312" w:eastAsia="仿宋_GB2312" w:cs="宋体" w:hAnsiTheme="minorEastAsia"/>
          <w:color w:val="333333"/>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eastAsia="仿宋_GB2312"/>
          <w:b/>
          <w:color w:val="333333"/>
          <w:sz w:val="30"/>
          <w:szCs w:val="30"/>
        </w:rPr>
        <w:t>第二十三条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质疑供应商对国资处、采购代理机构的答复不满意，或者</w:t>
      </w:r>
      <w:bookmarkStart w:id="143" w:name="OLE_LINK76"/>
      <w:bookmarkStart w:id="144" w:name="OLE_LINK78"/>
      <w:bookmarkStart w:id="145" w:name="OLE_LINK77"/>
      <w:r>
        <w:rPr>
          <w:rFonts w:hint="eastAsia" w:ascii="仿宋_GB2312" w:hAnsi="微软雅黑" w:eastAsia="仿宋_GB2312"/>
          <w:color w:val="3E3E3E"/>
          <w:sz w:val="30"/>
          <w:szCs w:val="30"/>
        </w:rPr>
        <w:t>国资处、采购代理机构</w:t>
      </w:r>
      <w:bookmarkEnd w:id="143"/>
      <w:bookmarkEnd w:id="144"/>
      <w:bookmarkEnd w:id="145"/>
      <w:r>
        <w:rPr>
          <w:rFonts w:hint="eastAsia" w:ascii="仿宋_GB2312" w:hAnsi="微软雅黑" w:eastAsia="仿宋_GB2312"/>
          <w:color w:val="3E3E3E"/>
          <w:sz w:val="30"/>
          <w:szCs w:val="30"/>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color w:val="333333"/>
          <w:sz w:val="30"/>
          <w:szCs w:val="30"/>
        </w:rPr>
        <w:t> </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第二十四条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投诉人投诉时,应当提交投诉书和必要的证明材料。投诉书应当包括下列内容：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（一）投诉人和被投诉人的姓名或者名称、投诉人的通讯地址、邮编、联系人及联系电话；</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（二）质疑和质疑答复情况说明及相关证明材料；</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（三）具体、明确的投诉事项和与投诉事项相关的投诉请求；</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（五）法律依据；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（六）提起投诉的日期。</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投诉人为自然人的，应当由本人签字；投诉人为法人或者其他组织的，应当由法定代表人、主要负责人，或者其授权代表签字或者盖章，并加盖公章。</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第二十五条</w:t>
      </w:r>
      <w:r>
        <w:rPr>
          <w:rFonts w:hint="eastAsia" w:ascii="仿宋_GB2312" w:hAnsi="微软雅黑" w:eastAsia="仿宋_GB2312"/>
          <w:color w:val="3E3E3E"/>
          <w:sz w:val="30"/>
          <w:szCs w:val="30"/>
        </w:rPr>
        <w:t xml:space="preserve">  投诉人应当根据本办法第七条规定的信息内容，并按照其规定的方式提起投诉。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投诉人提起投诉应当符合下列条件：</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（一）提起投诉前已依法、依规进行质疑；</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（二）投诉书内容符合本办法的规定；</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（三）在投诉有效期限内提起投诉；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（四）同一投诉事项未经投诉处理。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第二十六条</w:t>
      </w:r>
      <w:r>
        <w:rPr>
          <w:rFonts w:hint="eastAsia" w:ascii="仿宋_GB2312" w:hAnsi="微软雅黑" w:eastAsia="仿宋_GB2312"/>
          <w:color w:val="3E3E3E"/>
          <w:sz w:val="30"/>
          <w:szCs w:val="30"/>
        </w:rPr>
        <w:t xml:space="preserve">  供应商投诉的事项不得超出已质疑事项的范围，但基于质疑答复内容提出的投诉事项除外。</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33"/>
          <w:rFonts w:hint="eastAsia" w:ascii="黑体" w:hAnsi="黑体" w:eastAsia="黑体"/>
          <w:color w:val="3E3E3E"/>
          <w:sz w:val="30"/>
          <w:szCs w:val="30"/>
        </w:rPr>
        <w:t xml:space="preserve">第五章 </w:t>
      </w:r>
      <w:r>
        <w:rPr>
          <w:rStyle w:val="33"/>
          <w:rFonts w:hint="eastAsia" w:ascii="微软雅黑" w:hAnsi="微软雅黑" w:eastAsia="黑体"/>
          <w:color w:val="3E3E3E"/>
          <w:sz w:val="30"/>
          <w:szCs w:val="30"/>
        </w:rPr>
        <w:t> </w:t>
      </w:r>
      <w:r>
        <w:rPr>
          <w:rStyle w:val="33"/>
          <w:rFonts w:hint="eastAsia" w:ascii="黑体" w:hAnsi="黑体" w:eastAsia="黑体"/>
          <w:color w:val="3E3E3E"/>
          <w:sz w:val="30"/>
          <w:szCs w:val="30"/>
        </w:rPr>
        <w:t>投诉的处理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第二十七条</w:t>
      </w:r>
      <w:r>
        <w:rPr>
          <w:rFonts w:hint="eastAsia" w:ascii="仿宋_GB2312" w:hAnsi="微软雅黑" w:eastAsia="仿宋_GB2312"/>
          <w:color w:val="3E3E3E"/>
          <w:sz w:val="30"/>
          <w:szCs w:val="30"/>
        </w:rPr>
        <w:t xml:space="preserve">  监察处收到投诉书后，应当在5个工作日内进行审查，审查后按照下列情况处理：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（二）投诉不符合本办法第二十五条规定条件的，应当在3个工作日内书面告知投诉人不予受理，并说明理由。</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（三）投诉不属于本部门管辖的，应当在3个工作日内书面告知投诉人向有管辖权的部门提起投诉。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（四）投诉符合本办法第二十四条、第二十五条规定的，自收到投诉书之日起即为受理，并在收到投诉后8个工作日内向被投诉人和其他与投诉事项有关的当事人发出投诉答复通知书及投诉书副本。</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第二十八条</w:t>
      </w:r>
      <w:r>
        <w:rPr>
          <w:rFonts w:hint="eastAsia" w:ascii="仿宋_GB2312" w:hAnsi="微软雅黑" w:eastAsia="仿宋_GB2312"/>
          <w:color w:val="3E3E3E"/>
          <w:sz w:val="30"/>
          <w:szCs w:val="30"/>
        </w:rPr>
        <w:t xml:space="preserve">  国资处和其他与投诉事项有关的当事人应当在收到投诉答复通知书及投诉书副本之日起5个工作日内，以书面形式向监察处作出说明，并提交相关证据、依据和其他有关材料。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第二十九条</w:t>
      </w:r>
      <w:r>
        <w:rPr>
          <w:rFonts w:hint="eastAsia" w:ascii="仿宋_GB2312" w:hAnsi="微软雅黑" w:eastAsia="仿宋_GB2312"/>
          <w:color w:val="3E3E3E"/>
          <w:sz w:val="30"/>
          <w:szCs w:val="30"/>
        </w:rPr>
        <w:t xml:space="preserve">  监察处处理投诉事项原则上采用书面审查的方式。监察处认为有必要时，可以进行调查取证或者组织质证。</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第三十条</w:t>
      </w:r>
      <w:r>
        <w:rPr>
          <w:rFonts w:hint="eastAsia" w:ascii="仿宋_GB2312" w:hAnsi="微软雅黑" w:eastAsia="仿宋_GB2312"/>
          <w:color w:val="3E3E3E"/>
          <w:sz w:val="30"/>
          <w:szCs w:val="30"/>
        </w:rPr>
        <w:t xml:space="preserve">  监察处可以根据法律、法规规定或者职责权限，委托相关单位或者第三方开展调查取证、检验、检测、鉴定。</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质证应当通知相关当事人到场，并制作质证笔录。质证笔录应当由当事人签字确认。</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第三十一条</w:t>
      </w:r>
      <w:r>
        <w:rPr>
          <w:rFonts w:hint="eastAsia" w:ascii="仿宋_GB2312" w:hAnsi="微软雅黑" w:eastAsia="仿宋_GB2312"/>
          <w:color w:val="3E3E3E"/>
          <w:sz w:val="30"/>
          <w:szCs w:val="30"/>
        </w:rPr>
        <w:t xml:space="preserve">  监察处依法、依规进行调查取证时，投诉人、国资处以及与投诉事项有关的部门及人员应当如实反映情况，并提供监察处所需要的相关材料。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第三十二条</w:t>
      </w:r>
      <w:r>
        <w:rPr>
          <w:rFonts w:hint="eastAsia" w:ascii="仿宋_GB2312" w:hAnsi="微软雅黑" w:eastAsia="仿宋_GB2312"/>
          <w:color w:val="3E3E3E"/>
          <w:sz w:val="30"/>
          <w:szCs w:val="30"/>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第三十三条</w:t>
      </w:r>
      <w:r>
        <w:rPr>
          <w:rFonts w:hint="eastAsia" w:ascii="仿宋_GB2312" w:hAnsi="微软雅黑" w:eastAsia="仿宋_GB2312"/>
          <w:color w:val="3E3E3E"/>
          <w:sz w:val="30"/>
          <w:szCs w:val="30"/>
        </w:rPr>
        <w:t xml:space="preserve">  监察处应当自收到投诉之日起30个工作日内，对投诉事项作出处理决定。</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第三十四条</w:t>
      </w:r>
      <w:r>
        <w:rPr>
          <w:rFonts w:hint="eastAsia" w:ascii="仿宋_GB2312" w:hAnsi="微软雅黑" w:eastAsia="仿宋_GB2312"/>
          <w:color w:val="3E3E3E"/>
          <w:sz w:val="30"/>
          <w:szCs w:val="30"/>
        </w:rPr>
        <w:t xml:space="preserve">  监察处处理投诉事项，需要检验、检测、鉴定、专家评审以及需要投诉人补正材料的，所需时间不计算在投诉处理期限内。</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前款所称所需时间，是指监察处向相关单位、第三方、投诉人发出相关文书、补正通知之日至收到相关反馈文书或材料之日。</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监察处向相关单位、第三方开展检验、检测、鉴定、专家评审的，应当将所需时间告知投诉人。</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第三十五条</w:t>
      </w:r>
      <w:r>
        <w:rPr>
          <w:rFonts w:hint="eastAsia" w:ascii="仿宋_GB2312" w:hAnsi="微软雅黑" w:eastAsia="仿宋_GB2312"/>
          <w:color w:val="3E3E3E"/>
          <w:sz w:val="30"/>
          <w:szCs w:val="30"/>
        </w:rPr>
        <w:t xml:space="preserve">  监察处在处理投诉事项期间，可以视具体情况书面通知国资处暂停采购活动，暂停采购活动时间最长不得超过30日。</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国资处收到暂停采购活动通知后应当立即中止采购活动，在法定的暂停期限结束前或者监察处发出恢复采购活动通知前，不得进行该项采购活动。</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第三十六条</w:t>
      </w:r>
      <w:r>
        <w:rPr>
          <w:rFonts w:hint="eastAsia" w:ascii="仿宋_GB2312" w:hAnsi="微软雅黑" w:eastAsia="仿宋_GB2312"/>
          <w:color w:val="3E3E3E"/>
          <w:sz w:val="30"/>
          <w:szCs w:val="30"/>
        </w:rPr>
        <w:t xml:space="preserve">  投诉处理过程中，有下列情形之一的，监察处应当驳回投诉：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（一）受理后发现投诉不符合受理条件；</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（二）投诉事项缺乏事实依据，投诉事项不成立；</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（三）投诉人捏造事实或者提供虚假材料；</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（四）投诉人以非法手段取得证明材料。证据来源的合法性存在明显疑问，投诉人无法证明其取得方式合法的，视为以非法手段取得证明材料。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第三十七条</w:t>
      </w:r>
      <w:r>
        <w:rPr>
          <w:rFonts w:hint="eastAsia" w:ascii="仿宋_GB2312" w:hAnsi="微软雅黑" w:eastAsia="仿宋_GB2312"/>
          <w:color w:val="3E3E3E"/>
          <w:sz w:val="30"/>
          <w:szCs w:val="30"/>
        </w:rPr>
        <w:t xml:space="preserve">  监察处受理投诉后,投诉人书面申请撤回投诉的，监察处应当终止投诉处理程序，并书面告知相关当事人。</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第三十八条</w:t>
      </w:r>
      <w:r>
        <w:rPr>
          <w:rFonts w:hint="eastAsia" w:ascii="仿宋_GB2312" w:hAnsi="微软雅黑" w:eastAsia="仿宋_GB2312"/>
          <w:color w:val="3E3E3E"/>
          <w:sz w:val="30"/>
          <w:szCs w:val="30"/>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（一）未确定中标或者成交供应商的，责令重新开展采购活动。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第三十九条</w:t>
      </w:r>
      <w:bookmarkStart w:id="146" w:name="OLE_LINK13"/>
      <w:bookmarkStart w:id="147" w:name="OLE_LINK12"/>
      <w:bookmarkStart w:id="148" w:name="OLE_LINK11"/>
      <w:r>
        <w:rPr>
          <w:rFonts w:hint="eastAsia" w:ascii="仿宋_GB2312" w:hAnsi="微软雅黑" w:eastAsia="仿宋_GB2312"/>
          <w:color w:val="3E3E3E"/>
          <w:sz w:val="30"/>
          <w:szCs w:val="30"/>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6"/>
      <w:bookmarkEnd w:id="147"/>
      <w:bookmarkEnd w:id="148"/>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bookmarkStart w:id="149" w:name="OLE_LINK15"/>
      <w:bookmarkStart w:id="150" w:name="OLE_LINK14"/>
      <w:r>
        <w:rPr>
          <w:rFonts w:hint="eastAsia" w:ascii="仿宋_GB2312" w:hAnsi="微软雅黑" w:eastAsia="仿宋_GB2312"/>
          <w:color w:val="3E3E3E"/>
          <w:sz w:val="30"/>
          <w:szCs w:val="30"/>
        </w:rPr>
        <w:t>（一）未确定中标或者成交供应商的，责令重新开展采购活动。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bookmarkEnd w:id="149"/>
    <w:bookmarkEnd w:id="150"/>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投诉人对废标行为提起的投诉事项成立的，监察处应当认定废标行为无效。</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第四十条</w:t>
      </w:r>
      <w:r>
        <w:rPr>
          <w:rFonts w:hint="eastAsia" w:ascii="仿宋_GB2312" w:hAnsi="微软雅黑" w:eastAsia="仿宋_GB2312"/>
          <w:color w:val="3E3E3E"/>
          <w:sz w:val="30"/>
          <w:szCs w:val="30"/>
        </w:rPr>
        <w:t xml:space="preserve">  监察处作出处理决定，应当制作投诉处理决定书，并加盖公章。投诉处理决定书应当包括下列内容：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（一）投诉人和被投诉人的姓名或者名称、通讯地址等；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（二）处理决定查明的事实和相关依据，具体处理决定和法律依据；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（三）告知相关当事人申请行政复议的权利、行政复议机关和行政复议申请期限，以及提起行政诉讼的权利和起诉期限；</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（四）作出处理决定的日期。</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第四十一条</w:t>
      </w:r>
      <w:r>
        <w:rPr>
          <w:rFonts w:hint="eastAsia" w:ascii="仿宋_GB2312" w:hAnsi="微软雅黑" w:eastAsia="仿宋_GB2312"/>
          <w:color w:val="3E3E3E"/>
          <w:sz w:val="30"/>
          <w:szCs w:val="30"/>
        </w:rPr>
        <w:t xml:space="preserve">  监察处应当将投诉处理决定书送达投诉人和与投诉事项有关的当事人，并及时将投诉处理结果在校园网公告。</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第四十二条</w:t>
      </w:r>
      <w:r>
        <w:rPr>
          <w:rFonts w:hint="eastAsia" w:ascii="仿宋_GB2312" w:hAnsi="微软雅黑" w:eastAsia="仿宋_GB2312"/>
          <w:color w:val="3E3E3E"/>
          <w:sz w:val="30"/>
          <w:szCs w:val="30"/>
        </w:rPr>
        <w:t xml:space="preserve">  监察处应当建立投诉处理档案管理制度。</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jc w:val="center"/>
        <w:rPr>
          <w:rStyle w:val="33"/>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33"/>
          <w:rFonts w:hint="eastAsia" w:ascii="黑体" w:hAnsi="黑体" w:eastAsia="黑体"/>
          <w:color w:val="3E3E3E"/>
          <w:sz w:val="30"/>
          <w:szCs w:val="30"/>
        </w:rPr>
        <w:t xml:space="preserve">第六章 </w:t>
      </w:r>
      <w:r>
        <w:rPr>
          <w:rStyle w:val="33"/>
          <w:rFonts w:hint="eastAsia" w:ascii="微软雅黑" w:hAnsi="微软雅黑" w:eastAsia="黑体"/>
          <w:color w:val="3E3E3E"/>
          <w:sz w:val="30"/>
          <w:szCs w:val="30"/>
        </w:rPr>
        <w:t> </w:t>
      </w:r>
      <w:r>
        <w:rPr>
          <w:rStyle w:val="33"/>
          <w:rFonts w:hint="eastAsia" w:ascii="黑体" w:hAnsi="黑体" w:eastAsia="黑体"/>
          <w:color w:val="3E3E3E"/>
          <w:sz w:val="30"/>
          <w:szCs w:val="30"/>
        </w:rPr>
        <w:t>法律责任</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第四十三条</w:t>
      </w:r>
      <w:r>
        <w:rPr>
          <w:rFonts w:hint="eastAsia" w:ascii="仿宋_GB2312" w:hAnsi="微软雅黑" w:eastAsia="仿宋_GB2312"/>
          <w:color w:val="3E3E3E"/>
          <w:sz w:val="30"/>
          <w:szCs w:val="30"/>
        </w:rPr>
        <w:t xml:space="preserve">  国资处、采购代理机构有下列情形之一的，由监察处责令限期改正；情节严重的，给予警告，对直接负责的主管人员和其他直接责任人员依法依规追究相应责任：</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（一）拒收质疑供应商在质疑期内发出的质疑函；</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（二）对质疑不予答复或者答复与事实明显不符，并不能作出合理说明；</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（三）拒绝配合监察处处理投诉事宜。</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第四十四条</w:t>
      </w:r>
      <w:r>
        <w:rPr>
          <w:rFonts w:hint="eastAsia" w:ascii="仿宋_GB2312" w:hAnsi="微软雅黑" w:eastAsia="仿宋_GB2312"/>
          <w:color w:val="3E3E3E"/>
          <w:sz w:val="30"/>
          <w:szCs w:val="30"/>
        </w:rPr>
        <w:t xml:space="preserve">  投诉人在学校采购活动中2年内三次以上投诉查无实据的，列入不良行为记录名单。</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投诉人有下列行为之一的，属于虚假、恶意投诉，由国资处、监察处列入不良行为记录名单，禁止其1至3年内参加学校采购活动：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（一）捏造事实;</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（二）提供虚假材料;</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（三）以非法手段取得证明材料。证据来源的合法性存在明显疑问，投诉人无法证明其取得方式合法的，视为以非法手段取得证明材料。</w:t>
      </w:r>
    </w:p>
    <w:p>
      <w:pPr>
        <w:spacing w:line="560" w:lineRule="exact"/>
        <w:ind w:firstLine="602" w:firstLineChars="200"/>
        <w:rPr>
          <w:rFonts w:ascii="仿宋_GB2312" w:hAnsi="宋体" w:eastAsia="仿宋_GB2312" w:cs="宋体"/>
          <w:color w:val="333333"/>
          <w:sz w:val="30"/>
          <w:szCs w:val="30"/>
        </w:rPr>
      </w:pPr>
      <w:r>
        <w:rPr>
          <w:rStyle w:val="33"/>
          <w:rFonts w:hint="eastAsia" w:ascii="仿宋_GB2312" w:hAnsi="微软雅黑" w:eastAsia="仿宋_GB2312"/>
          <w:color w:val="3E3E3E"/>
          <w:sz w:val="30"/>
          <w:szCs w:val="30"/>
        </w:rPr>
        <w:t xml:space="preserve">第四十五条  </w:t>
      </w:r>
      <w:r>
        <w:rPr>
          <w:rFonts w:hint="eastAsia" w:ascii="仿宋_GB2312" w:hAnsi="宋体" w:eastAsia="仿宋_GB2312" w:cs="宋体"/>
          <w:color w:val="333333"/>
          <w:sz w:val="30"/>
          <w:szCs w:val="30"/>
        </w:rPr>
        <w:t>国资处在处理质疑过程中，发现采购当事人有违法违规行为的，应在规定的权限范围内及时给予处理；无权处理的，应移交有关部门依法依规处理。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第四十六条</w:t>
      </w:r>
      <w:r>
        <w:rPr>
          <w:rFonts w:hint="eastAsia" w:ascii="仿宋_GB2312" w:hAnsi="宋体" w:eastAsia="仿宋_GB2312" w:cs="宋体"/>
          <w:color w:val="333333"/>
          <w:sz w:val="30"/>
          <w:szCs w:val="30"/>
        </w:rPr>
        <w:t xml:space="preserve">  国资处和监察处的工作人员在处理质疑、投诉过程中违反本办法规定及存在滥用职权、玩忽职守、徇私舞弊等行为的，学校将依法依</w:t>
      </w:r>
      <w:bookmarkStart w:id="151" w:name="OLE_LINK17"/>
      <w:bookmarkStart w:id="152" w:name="OLE_LINK16"/>
      <w:bookmarkStart w:id="153" w:name="OLE_LINK18"/>
      <w:r>
        <w:rPr>
          <w:rFonts w:hint="eastAsia" w:ascii="仿宋_GB2312" w:hAnsi="宋体" w:eastAsia="仿宋_GB2312" w:cs="宋体"/>
          <w:color w:val="333333"/>
          <w:sz w:val="30"/>
          <w:szCs w:val="30"/>
        </w:rPr>
        <w:t>规</w:t>
      </w:r>
      <w:bookmarkEnd w:id="151"/>
      <w:bookmarkEnd w:id="152"/>
      <w:bookmarkEnd w:id="153"/>
      <w:r>
        <w:rPr>
          <w:rFonts w:hint="eastAsia" w:ascii="仿宋_GB2312" w:hAnsi="宋体" w:eastAsia="仿宋_GB2312" w:cs="宋体"/>
          <w:color w:val="333333"/>
          <w:sz w:val="30"/>
          <w:szCs w:val="30"/>
        </w:rPr>
        <w:t>追究其相应责任。</w:t>
      </w:r>
    </w:p>
    <w:p>
      <w:pPr>
        <w:pStyle w:val="26"/>
        <w:shd w:val="clear" w:color="auto" w:fill="FFFFFF"/>
        <w:adjustRightInd w:val="0"/>
        <w:snapToGrid w:val="0"/>
        <w:spacing w:before="0" w:beforeAutospacing="0" w:after="0" w:afterAutospacing="0" w:line="560" w:lineRule="exact"/>
        <w:ind w:firstLine="602" w:firstLineChars="200"/>
        <w:jc w:val="both"/>
        <w:rPr>
          <w:rStyle w:val="33"/>
          <w:rFonts w:ascii="仿宋_GB2312" w:hAnsi="微软雅黑" w:eastAsia="仿宋_GB2312"/>
          <w:color w:val="3E3E3E"/>
          <w:sz w:val="30"/>
          <w:szCs w:val="30"/>
        </w:rPr>
      </w:pPr>
      <w:r>
        <w:rPr>
          <w:rStyle w:val="33"/>
          <w:rFonts w:hint="eastAsia" w:ascii="仿宋_GB2312" w:hAnsi="微软雅黑" w:eastAsia="仿宋_GB2312"/>
          <w:color w:val="3E3E3E"/>
          <w:sz w:val="30"/>
          <w:szCs w:val="30"/>
        </w:rPr>
        <w:t>　</w:t>
      </w:r>
    </w:p>
    <w:p>
      <w:pPr>
        <w:pStyle w:val="26"/>
        <w:shd w:val="clear" w:color="auto" w:fill="FFFFFF"/>
        <w:adjustRightInd w:val="0"/>
        <w:snapToGrid w:val="0"/>
        <w:spacing w:before="0" w:beforeAutospacing="0" w:after="0" w:afterAutospacing="0" w:line="560" w:lineRule="exact"/>
        <w:jc w:val="center"/>
        <w:rPr>
          <w:rStyle w:val="33"/>
          <w:rFonts w:ascii="黑体" w:hAnsi="黑体" w:eastAsia="黑体"/>
          <w:color w:val="3E3E3E"/>
          <w:sz w:val="30"/>
          <w:szCs w:val="30"/>
        </w:rPr>
      </w:pPr>
      <w:r>
        <w:rPr>
          <w:rStyle w:val="33"/>
          <w:rFonts w:hint="eastAsia" w:ascii="黑体" w:hAnsi="黑体" w:eastAsia="黑体"/>
          <w:color w:val="3E3E3E"/>
          <w:sz w:val="30"/>
          <w:szCs w:val="30"/>
        </w:rPr>
        <w:t xml:space="preserve">第七章 </w:t>
      </w:r>
      <w:r>
        <w:rPr>
          <w:rStyle w:val="33"/>
          <w:rFonts w:hint="eastAsia" w:ascii="微软雅黑" w:hAnsi="微软雅黑" w:eastAsia="黑体"/>
          <w:color w:val="3E3E3E"/>
          <w:sz w:val="30"/>
          <w:szCs w:val="30"/>
        </w:rPr>
        <w:t> </w:t>
      </w:r>
      <w:r>
        <w:rPr>
          <w:rStyle w:val="33"/>
          <w:rFonts w:hint="eastAsia" w:ascii="黑体" w:hAnsi="黑体" w:eastAsia="黑体"/>
          <w:color w:val="3E3E3E"/>
          <w:sz w:val="30"/>
          <w:szCs w:val="30"/>
        </w:rPr>
        <w:t>附则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第四十七条</w:t>
      </w:r>
      <w:r>
        <w:rPr>
          <w:rFonts w:hint="eastAsia" w:ascii="仿宋_GB2312" w:hAnsi="微软雅黑" w:eastAsia="仿宋_GB2312"/>
          <w:color w:val="3E3E3E"/>
          <w:sz w:val="30"/>
          <w:szCs w:val="30"/>
        </w:rPr>
        <w:t xml:space="preserve">  质疑函和投诉书应当使用中文。质疑和投诉文本采用我校制定的范本。</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第四十八条</w:t>
      </w:r>
      <w:r>
        <w:rPr>
          <w:rFonts w:hint="eastAsia" w:ascii="仿宋_GB2312" w:hAnsi="微软雅黑" w:eastAsia="仿宋_GB2312"/>
          <w:color w:val="3E3E3E"/>
          <w:sz w:val="30"/>
          <w:szCs w:val="30"/>
        </w:rPr>
        <w:t xml:space="preserve">  本办法由学校国有资产管理处负责解释。</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 xml:space="preserve">第四十九条  </w:t>
      </w:r>
      <w:r>
        <w:rPr>
          <w:rFonts w:hint="eastAsia" w:ascii="仿宋_GB2312" w:hAnsi="微软雅黑" w:eastAsia="仿宋_GB2312"/>
          <w:color w:val="3E3E3E"/>
          <w:sz w:val="30"/>
          <w:szCs w:val="30"/>
        </w:rPr>
        <w:t>本办法自发布之日起施行。</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rPr>
          <w:szCs w:val="28"/>
        </w:rPr>
      </w:pPr>
      <w:r>
        <w:rPr>
          <w:szCs w:val="28"/>
        </w:rPr>
        <w:br w:type="page"/>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附件2：</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240" w:lineRule="atLeast"/>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spacing w:line="240" w:lineRule="atLeast"/>
        <w:rPr>
          <w:rFonts w:ascii="仿宋_GB2312" w:eastAsia="仿宋_GB2312"/>
          <w:sz w:val="30"/>
          <w:szCs w:val="30"/>
        </w:rPr>
      </w:pPr>
      <w:r>
        <w:rPr>
          <w:rFonts w:hint="eastAsia" w:ascii="仿宋_GB2312" w:eastAsia="仿宋_GB2312"/>
          <w:sz w:val="30"/>
          <w:szCs w:val="30"/>
        </w:rPr>
        <w:t xml:space="preserve">签字(签章)：                   公章：                      </w:t>
      </w:r>
    </w:p>
    <w:p>
      <w:pPr>
        <w:spacing w:line="240" w:lineRule="atLeast"/>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附件3：</w:t>
      </w: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adjustRightInd w:val="0"/>
        <w:snapToGrid w:val="0"/>
        <w:spacing w:line="360" w:lineRule="auto"/>
        <w:jc w:val="left"/>
        <w:rPr>
          <w:rFonts w:ascii="宋体" w:hAnsi="宋体" w:cs="宋体"/>
          <w:b/>
          <w:bCs/>
          <w:color w:val="000000"/>
          <w:kern w:val="36"/>
          <w:sz w:val="24"/>
          <w:szCs w:val="24"/>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rPr>
          <w:rFonts w:ascii="仿宋_GB2312" w:eastAsia="仿宋_GB231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6887"/>
    </w:sdtPr>
    <w:sdtContent>
      <w:p>
        <w:pPr>
          <w:pStyle w:val="21"/>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186166D"/>
    <w:multiLevelType w:val="multilevel"/>
    <w:tmpl w:val="0186166D"/>
    <w:lvl w:ilvl="0" w:tentative="0">
      <w:start w:val="1"/>
      <w:numFmt w:val="decimal"/>
      <w:lvlText w:val="%1."/>
      <w:lvlJc w:val="left"/>
      <w:pPr>
        <w:tabs>
          <w:tab w:val="left" w:pos="480"/>
        </w:tabs>
        <w:ind w:left="480" w:hanging="360"/>
      </w:pPr>
      <w:rPr>
        <w:rFonts w:hint="default" w:cs="Times New Roman"/>
      </w:rPr>
    </w:lvl>
    <w:lvl w:ilvl="1" w:tentative="0">
      <w:start w:val="1"/>
      <w:numFmt w:val="lowerLetter"/>
      <w:lvlText w:val="%2)"/>
      <w:lvlJc w:val="left"/>
      <w:pPr>
        <w:tabs>
          <w:tab w:val="left" w:pos="960"/>
        </w:tabs>
        <w:ind w:left="960" w:hanging="420"/>
      </w:pPr>
      <w:rPr>
        <w:rFonts w:cs="Times New Roman"/>
      </w:rPr>
    </w:lvl>
    <w:lvl w:ilvl="2" w:tentative="0">
      <w:start w:val="1"/>
      <w:numFmt w:val="lowerRoman"/>
      <w:lvlText w:val="%3."/>
      <w:lvlJc w:val="right"/>
      <w:pPr>
        <w:tabs>
          <w:tab w:val="left" w:pos="1380"/>
        </w:tabs>
        <w:ind w:left="1380" w:hanging="4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1"/>
      <w:numFmt w:val="lowerLetter"/>
      <w:lvlText w:val="%5)"/>
      <w:lvlJc w:val="left"/>
      <w:pPr>
        <w:tabs>
          <w:tab w:val="left" w:pos="2220"/>
        </w:tabs>
        <w:ind w:left="2220" w:hanging="420"/>
      </w:pPr>
      <w:rPr>
        <w:rFonts w:cs="Times New Roman"/>
      </w:rPr>
    </w:lvl>
    <w:lvl w:ilvl="5" w:tentative="0">
      <w:start w:val="1"/>
      <w:numFmt w:val="lowerRoman"/>
      <w:lvlText w:val="%6."/>
      <w:lvlJc w:val="right"/>
      <w:pPr>
        <w:tabs>
          <w:tab w:val="left" w:pos="2640"/>
        </w:tabs>
        <w:ind w:left="2640" w:hanging="420"/>
      </w:pPr>
      <w:rPr>
        <w:rFonts w:cs="Times New Roman"/>
      </w:rPr>
    </w:lvl>
    <w:lvl w:ilvl="6" w:tentative="0">
      <w:start w:val="1"/>
      <w:numFmt w:val="decimal"/>
      <w:lvlText w:val="%7."/>
      <w:lvlJc w:val="left"/>
      <w:pPr>
        <w:tabs>
          <w:tab w:val="left" w:pos="3060"/>
        </w:tabs>
        <w:ind w:left="3060" w:hanging="420"/>
      </w:pPr>
      <w:rPr>
        <w:rFonts w:cs="Times New Roman"/>
      </w:rPr>
    </w:lvl>
    <w:lvl w:ilvl="7" w:tentative="0">
      <w:start w:val="1"/>
      <w:numFmt w:val="lowerLetter"/>
      <w:lvlText w:val="%8)"/>
      <w:lvlJc w:val="left"/>
      <w:pPr>
        <w:tabs>
          <w:tab w:val="left" w:pos="3480"/>
        </w:tabs>
        <w:ind w:left="3480" w:hanging="420"/>
      </w:pPr>
      <w:rPr>
        <w:rFonts w:cs="Times New Roman"/>
      </w:rPr>
    </w:lvl>
    <w:lvl w:ilvl="8" w:tentative="0">
      <w:start w:val="1"/>
      <w:numFmt w:val="lowerRoman"/>
      <w:lvlText w:val="%9."/>
      <w:lvlJc w:val="right"/>
      <w:pPr>
        <w:tabs>
          <w:tab w:val="left" w:pos="3900"/>
        </w:tabs>
        <w:ind w:left="3900" w:hanging="420"/>
      </w:pPr>
      <w:rPr>
        <w:rFonts w:cs="Times New Roman"/>
      </w:rPr>
    </w:lvl>
  </w:abstractNum>
  <w:abstractNum w:abstractNumId="2">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1"/>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2"/>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3">
    <w:nsid w:val="524D1167"/>
    <w:multiLevelType w:val="multilevel"/>
    <w:tmpl w:val="524D1167"/>
    <w:lvl w:ilvl="0" w:tentative="0">
      <w:start w:val="1"/>
      <w:numFmt w:val="chineseCountingThousand"/>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96D067"/>
    <w:multiLevelType w:val="singleLevel"/>
    <w:tmpl w:val="5A96D067"/>
    <w:lvl w:ilvl="0" w:tentative="0">
      <w:start w:val="1"/>
      <w:numFmt w:val="decimal"/>
      <w:suff w:val="nothing"/>
      <w:lvlText w:val="%1、"/>
      <w:lvlJc w:val="left"/>
    </w:lvl>
  </w:abstractNum>
  <w:abstractNum w:abstractNumId="5">
    <w:nsid w:val="5F9E0D8C"/>
    <w:multiLevelType w:val="multilevel"/>
    <w:tmpl w:val="5F9E0D8C"/>
    <w:lvl w:ilvl="0" w:tentative="0">
      <w:start w:val="1"/>
      <w:numFmt w:val="decimal"/>
      <w:lvlText w:val="%1."/>
      <w:lvlJc w:val="left"/>
      <w:pPr>
        <w:tabs>
          <w:tab w:val="left" w:pos="465"/>
        </w:tabs>
        <w:ind w:left="465"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NjVhZDhjNDEyMDY4NGU5ZjNmOGIyZWI3MmRhMzkifQ=="/>
  </w:docVars>
  <w:rsids>
    <w:rsidRoot w:val="00BC5577"/>
    <w:rsid w:val="000014F5"/>
    <w:rsid w:val="00004A55"/>
    <w:rsid w:val="000145F1"/>
    <w:rsid w:val="00014639"/>
    <w:rsid w:val="00022591"/>
    <w:rsid w:val="00025CB9"/>
    <w:rsid w:val="00026701"/>
    <w:rsid w:val="00030FC8"/>
    <w:rsid w:val="00031DCB"/>
    <w:rsid w:val="00032FC9"/>
    <w:rsid w:val="000425B0"/>
    <w:rsid w:val="00043394"/>
    <w:rsid w:val="000445D9"/>
    <w:rsid w:val="0004477D"/>
    <w:rsid w:val="00046EB7"/>
    <w:rsid w:val="000525C6"/>
    <w:rsid w:val="00054A09"/>
    <w:rsid w:val="00054F96"/>
    <w:rsid w:val="00055D1C"/>
    <w:rsid w:val="00060CF9"/>
    <w:rsid w:val="00061743"/>
    <w:rsid w:val="000626B6"/>
    <w:rsid w:val="00066B1F"/>
    <w:rsid w:val="000727A1"/>
    <w:rsid w:val="00072A64"/>
    <w:rsid w:val="000732B5"/>
    <w:rsid w:val="00075398"/>
    <w:rsid w:val="000757B4"/>
    <w:rsid w:val="00077034"/>
    <w:rsid w:val="000816C4"/>
    <w:rsid w:val="00090287"/>
    <w:rsid w:val="00090B1B"/>
    <w:rsid w:val="00090EBA"/>
    <w:rsid w:val="00095E42"/>
    <w:rsid w:val="000A1BBD"/>
    <w:rsid w:val="000A590D"/>
    <w:rsid w:val="000A5CF1"/>
    <w:rsid w:val="000A5FFD"/>
    <w:rsid w:val="000B13EB"/>
    <w:rsid w:val="000B66FC"/>
    <w:rsid w:val="000B7D52"/>
    <w:rsid w:val="000C0658"/>
    <w:rsid w:val="000C3C34"/>
    <w:rsid w:val="000C7E70"/>
    <w:rsid w:val="000D11A5"/>
    <w:rsid w:val="000D190D"/>
    <w:rsid w:val="000D66E3"/>
    <w:rsid w:val="000D6D14"/>
    <w:rsid w:val="000D79EE"/>
    <w:rsid w:val="000E66A5"/>
    <w:rsid w:val="000E6A02"/>
    <w:rsid w:val="000E6DEB"/>
    <w:rsid w:val="000E7510"/>
    <w:rsid w:val="000F04C7"/>
    <w:rsid w:val="000F16BF"/>
    <w:rsid w:val="000F5E30"/>
    <w:rsid w:val="000F62AB"/>
    <w:rsid w:val="000F799E"/>
    <w:rsid w:val="001021A1"/>
    <w:rsid w:val="00105D6C"/>
    <w:rsid w:val="001072FF"/>
    <w:rsid w:val="00111607"/>
    <w:rsid w:val="0011443D"/>
    <w:rsid w:val="001153B1"/>
    <w:rsid w:val="00115B8E"/>
    <w:rsid w:val="0011760F"/>
    <w:rsid w:val="001210DB"/>
    <w:rsid w:val="00121562"/>
    <w:rsid w:val="00122EE3"/>
    <w:rsid w:val="00126A97"/>
    <w:rsid w:val="00126E72"/>
    <w:rsid w:val="001275E1"/>
    <w:rsid w:val="00131147"/>
    <w:rsid w:val="00135FAA"/>
    <w:rsid w:val="0014716B"/>
    <w:rsid w:val="00150648"/>
    <w:rsid w:val="00150DCB"/>
    <w:rsid w:val="00151752"/>
    <w:rsid w:val="00151BAA"/>
    <w:rsid w:val="0015242D"/>
    <w:rsid w:val="001527A4"/>
    <w:rsid w:val="00161047"/>
    <w:rsid w:val="00161C25"/>
    <w:rsid w:val="00163E61"/>
    <w:rsid w:val="0016665E"/>
    <w:rsid w:val="00167162"/>
    <w:rsid w:val="001703B9"/>
    <w:rsid w:val="00171FB3"/>
    <w:rsid w:val="00173155"/>
    <w:rsid w:val="001731F7"/>
    <w:rsid w:val="001736DA"/>
    <w:rsid w:val="001751ED"/>
    <w:rsid w:val="001764F4"/>
    <w:rsid w:val="00180D64"/>
    <w:rsid w:val="00191473"/>
    <w:rsid w:val="00192F29"/>
    <w:rsid w:val="001934EA"/>
    <w:rsid w:val="001978D8"/>
    <w:rsid w:val="001A636E"/>
    <w:rsid w:val="001A671F"/>
    <w:rsid w:val="001A731C"/>
    <w:rsid w:val="001B0012"/>
    <w:rsid w:val="001B08C2"/>
    <w:rsid w:val="001B11E1"/>
    <w:rsid w:val="001B1AFB"/>
    <w:rsid w:val="001B37FC"/>
    <w:rsid w:val="001B3A1D"/>
    <w:rsid w:val="001B4CC1"/>
    <w:rsid w:val="001B6F48"/>
    <w:rsid w:val="001B7110"/>
    <w:rsid w:val="001B7B15"/>
    <w:rsid w:val="001C03AB"/>
    <w:rsid w:val="001C04E3"/>
    <w:rsid w:val="001C16BD"/>
    <w:rsid w:val="001C1B17"/>
    <w:rsid w:val="001C7A6B"/>
    <w:rsid w:val="001D64BE"/>
    <w:rsid w:val="001D6EB9"/>
    <w:rsid w:val="001D7421"/>
    <w:rsid w:val="001E2169"/>
    <w:rsid w:val="001E3594"/>
    <w:rsid w:val="001E5488"/>
    <w:rsid w:val="001E5522"/>
    <w:rsid w:val="001F0A36"/>
    <w:rsid w:val="001F15EA"/>
    <w:rsid w:val="001F55FC"/>
    <w:rsid w:val="001F7874"/>
    <w:rsid w:val="0020162E"/>
    <w:rsid w:val="00204069"/>
    <w:rsid w:val="0021074E"/>
    <w:rsid w:val="00212CF7"/>
    <w:rsid w:val="00213CAB"/>
    <w:rsid w:val="00213CDD"/>
    <w:rsid w:val="00214C57"/>
    <w:rsid w:val="00217CBD"/>
    <w:rsid w:val="00220CCC"/>
    <w:rsid w:val="00221E64"/>
    <w:rsid w:val="002228B8"/>
    <w:rsid w:val="00223A2F"/>
    <w:rsid w:val="00224A8E"/>
    <w:rsid w:val="002251A1"/>
    <w:rsid w:val="00226064"/>
    <w:rsid w:val="00227F35"/>
    <w:rsid w:val="00233A55"/>
    <w:rsid w:val="00233EF1"/>
    <w:rsid w:val="00235FFF"/>
    <w:rsid w:val="00236194"/>
    <w:rsid w:val="002374BA"/>
    <w:rsid w:val="00237B6A"/>
    <w:rsid w:val="00237DC5"/>
    <w:rsid w:val="00240CAC"/>
    <w:rsid w:val="00241599"/>
    <w:rsid w:val="00241677"/>
    <w:rsid w:val="00243FEB"/>
    <w:rsid w:val="0025265F"/>
    <w:rsid w:val="002529E2"/>
    <w:rsid w:val="00253084"/>
    <w:rsid w:val="002558D5"/>
    <w:rsid w:val="00257024"/>
    <w:rsid w:val="00261227"/>
    <w:rsid w:val="00262661"/>
    <w:rsid w:val="00263949"/>
    <w:rsid w:val="00264055"/>
    <w:rsid w:val="00266BD9"/>
    <w:rsid w:val="00270053"/>
    <w:rsid w:val="00270964"/>
    <w:rsid w:val="002715B7"/>
    <w:rsid w:val="002725F1"/>
    <w:rsid w:val="00272628"/>
    <w:rsid w:val="002736A2"/>
    <w:rsid w:val="002852CE"/>
    <w:rsid w:val="0029067B"/>
    <w:rsid w:val="00291AFF"/>
    <w:rsid w:val="00292163"/>
    <w:rsid w:val="0029257D"/>
    <w:rsid w:val="00294697"/>
    <w:rsid w:val="002976DF"/>
    <w:rsid w:val="002A1322"/>
    <w:rsid w:val="002A2845"/>
    <w:rsid w:val="002A3595"/>
    <w:rsid w:val="002A6B9D"/>
    <w:rsid w:val="002B1499"/>
    <w:rsid w:val="002B1C4F"/>
    <w:rsid w:val="002B4D61"/>
    <w:rsid w:val="002C36FB"/>
    <w:rsid w:val="002C5D27"/>
    <w:rsid w:val="002D0555"/>
    <w:rsid w:val="002D4FB0"/>
    <w:rsid w:val="002D6BE2"/>
    <w:rsid w:val="002D7725"/>
    <w:rsid w:val="002D7C26"/>
    <w:rsid w:val="002D7FBD"/>
    <w:rsid w:val="002E7FB5"/>
    <w:rsid w:val="002F174A"/>
    <w:rsid w:val="002F1934"/>
    <w:rsid w:val="002F1E13"/>
    <w:rsid w:val="002F3E1E"/>
    <w:rsid w:val="002F45F4"/>
    <w:rsid w:val="002F57FD"/>
    <w:rsid w:val="002F5830"/>
    <w:rsid w:val="002F6DCC"/>
    <w:rsid w:val="00300EED"/>
    <w:rsid w:val="0030165E"/>
    <w:rsid w:val="003019D6"/>
    <w:rsid w:val="00304B9A"/>
    <w:rsid w:val="00307681"/>
    <w:rsid w:val="003107D8"/>
    <w:rsid w:val="00310D20"/>
    <w:rsid w:val="00312989"/>
    <w:rsid w:val="0031766C"/>
    <w:rsid w:val="00321384"/>
    <w:rsid w:val="0032234C"/>
    <w:rsid w:val="003223EB"/>
    <w:rsid w:val="003256F3"/>
    <w:rsid w:val="00325EB1"/>
    <w:rsid w:val="003270D3"/>
    <w:rsid w:val="00330FD0"/>
    <w:rsid w:val="003328D1"/>
    <w:rsid w:val="0033644F"/>
    <w:rsid w:val="00340558"/>
    <w:rsid w:val="003414E3"/>
    <w:rsid w:val="00342A0C"/>
    <w:rsid w:val="00343FF0"/>
    <w:rsid w:val="00344EB5"/>
    <w:rsid w:val="00345405"/>
    <w:rsid w:val="00350F27"/>
    <w:rsid w:val="003518AA"/>
    <w:rsid w:val="0036161F"/>
    <w:rsid w:val="003672EF"/>
    <w:rsid w:val="00367922"/>
    <w:rsid w:val="003740E4"/>
    <w:rsid w:val="0038139D"/>
    <w:rsid w:val="00382799"/>
    <w:rsid w:val="00387CD7"/>
    <w:rsid w:val="00393058"/>
    <w:rsid w:val="003A3478"/>
    <w:rsid w:val="003A5CB2"/>
    <w:rsid w:val="003A6EB0"/>
    <w:rsid w:val="003A794F"/>
    <w:rsid w:val="003A7B30"/>
    <w:rsid w:val="003A7DF3"/>
    <w:rsid w:val="003B231B"/>
    <w:rsid w:val="003B5F36"/>
    <w:rsid w:val="003B62D5"/>
    <w:rsid w:val="003B6339"/>
    <w:rsid w:val="003C1878"/>
    <w:rsid w:val="003C6FA3"/>
    <w:rsid w:val="003D00A4"/>
    <w:rsid w:val="003D0DF6"/>
    <w:rsid w:val="003D1598"/>
    <w:rsid w:val="003D2C4E"/>
    <w:rsid w:val="003D3EE0"/>
    <w:rsid w:val="003D4A3B"/>
    <w:rsid w:val="003D4C36"/>
    <w:rsid w:val="003D5423"/>
    <w:rsid w:val="003E04D5"/>
    <w:rsid w:val="003E1105"/>
    <w:rsid w:val="003E3E04"/>
    <w:rsid w:val="003E4019"/>
    <w:rsid w:val="003E5908"/>
    <w:rsid w:val="003E5B36"/>
    <w:rsid w:val="003F2B42"/>
    <w:rsid w:val="003F623C"/>
    <w:rsid w:val="00402AB9"/>
    <w:rsid w:val="004059C7"/>
    <w:rsid w:val="00405AD5"/>
    <w:rsid w:val="0040675B"/>
    <w:rsid w:val="00406DFB"/>
    <w:rsid w:val="00414CB9"/>
    <w:rsid w:val="00416DBA"/>
    <w:rsid w:val="00420272"/>
    <w:rsid w:val="0042285D"/>
    <w:rsid w:val="004239F5"/>
    <w:rsid w:val="0042749B"/>
    <w:rsid w:val="0043033C"/>
    <w:rsid w:val="00431AF3"/>
    <w:rsid w:val="00434069"/>
    <w:rsid w:val="00434CBD"/>
    <w:rsid w:val="0044126C"/>
    <w:rsid w:val="00442B95"/>
    <w:rsid w:val="004434EB"/>
    <w:rsid w:val="004444D6"/>
    <w:rsid w:val="00444653"/>
    <w:rsid w:val="00447C90"/>
    <w:rsid w:val="00455DD0"/>
    <w:rsid w:val="0046384F"/>
    <w:rsid w:val="00463850"/>
    <w:rsid w:val="00471368"/>
    <w:rsid w:val="004730BD"/>
    <w:rsid w:val="004746C6"/>
    <w:rsid w:val="00474799"/>
    <w:rsid w:val="0047649E"/>
    <w:rsid w:val="004825E0"/>
    <w:rsid w:val="00486499"/>
    <w:rsid w:val="004868F5"/>
    <w:rsid w:val="00490572"/>
    <w:rsid w:val="004905D0"/>
    <w:rsid w:val="00490761"/>
    <w:rsid w:val="00496C5C"/>
    <w:rsid w:val="004A36EE"/>
    <w:rsid w:val="004A3880"/>
    <w:rsid w:val="004A3EE9"/>
    <w:rsid w:val="004A62A5"/>
    <w:rsid w:val="004A6BDB"/>
    <w:rsid w:val="004A7255"/>
    <w:rsid w:val="004B5EB1"/>
    <w:rsid w:val="004C31B0"/>
    <w:rsid w:val="004C47BC"/>
    <w:rsid w:val="004C5A1B"/>
    <w:rsid w:val="004C73AD"/>
    <w:rsid w:val="004C7C18"/>
    <w:rsid w:val="004C7F73"/>
    <w:rsid w:val="004D0BDF"/>
    <w:rsid w:val="004D1D0D"/>
    <w:rsid w:val="004E1E16"/>
    <w:rsid w:val="004E46BD"/>
    <w:rsid w:val="004E4E60"/>
    <w:rsid w:val="004E6D50"/>
    <w:rsid w:val="004F3E4F"/>
    <w:rsid w:val="004F45B1"/>
    <w:rsid w:val="005002B5"/>
    <w:rsid w:val="0050235E"/>
    <w:rsid w:val="00504CB5"/>
    <w:rsid w:val="0050520E"/>
    <w:rsid w:val="0050712D"/>
    <w:rsid w:val="0050743C"/>
    <w:rsid w:val="0051327B"/>
    <w:rsid w:val="005166F5"/>
    <w:rsid w:val="00517409"/>
    <w:rsid w:val="005175F3"/>
    <w:rsid w:val="00520DCF"/>
    <w:rsid w:val="00522BD4"/>
    <w:rsid w:val="00524237"/>
    <w:rsid w:val="00532293"/>
    <w:rsid w:val="0053459E"/>
    <w:rsid w:val="00536608"/>
    <w:rsid w:val="0053764B"/>
    <w:rsid w:val="00543834"/>
    <w:rsid w:val="00546D71"/>
    <w:rsid w:val="00547EA0"/>
    <w:rsid w:val="00551515"/>
    <w:rsid w:val="00551BDD"/>
    <w:rsid w:val="00551FEC"/>
    <w:rsid w:val="005523C4"/>
    <w:rsid w:val="00554369"/>
    <w:rsid w:val="00554AE2"/>
    <w:rsid w:val="00555776"/>
    <w:rsid w:val="00555B79"/>
    <w:rsid w:val="0055641C"/>
    <w:rsid w:val="00561E04"/>
    <w:rsid w:val="0056392A"/>
    <w:rsid w:val="005646E2"/>
    <w:rsid w:val="00565458"/>
    <w:rsid w:val="00567904"/>
    <w:rsid w:val="00573087"/>
    <w:rsid w:val="005811F4"/>
    <w:rsid w:val="00584838"/>
    <w:rsid w:val="00590DBB"/>
    <w:rsid w:val="005A0BF7"/>
    <w:rsid w:val="005A2B3C"/>
    <w:rsid w:val="005A3563"/>
    <w:rsid w:val="005A4C77"/>
    <w:rsid w:val="005A5F4F"/>
    <w:rsid w:val="005A62A2"/>
    <w:rsid w:val="005A7E46"/>
    <w:rsid w:val="005B2B83"/>
    <w:rsid w:val="005B5553"/>
    <w:rsid w:val="005B5E8D"/>
    <w:rsid w:val="005C01F1"/>
    <w:rsid w:val="005C088A"/>
    <w:rsid w:val="005C3422"/>
    <w:rsid w:val="005C6313"/>
    <w:rsid w:val="005C71AE"/>
    <w:rsid w:val="005C7A2E"/>
    <w:rsid w:val="005D162A"/>
    <w:rsid w:val="005D1854"/>
    <w:rsid w:val="005D3F9D"/>
    <w:rsid w:val="005D5526"/>
    <w:rsid w:val="005E5716"/>
    <w:rsid w:val="005F0FE5"/>
    <w:rsid w:val="005F24EB"/>
    <w:rsid w:val="005F2695"/>
    <w:rsid w:val="005F4905"/>
    <w:rsid w:val="005F4BA2"/>
    <w:rsid w:val="005F6BC9"/>
    <w:rsid w:val="006004E9"/>
    <w:rsid w:val="006026F7"/>
    <w:rsid w:val="0060541F"/>
    <w:rsid w:val="00615114"/>
    <w:rsid w:val="00622D02"/>
    <w:rsid w:val="00622F66"/>
    <w:rsid w:val="006263E4"/>
    <w:rsid w:val="006267B4"/>
    <w:rsid w:val="00627A2F"/>
    <w:rsid w:val="00633DF0"/>
    <w:rsid w:val="0063557D"/>
    <w:rsid w:val="0063665D"/>
    <w:rsid w:val="00636C78"/>
    <w:rsid w:val="00641EB6"/>
    <w:rsid w:val="00642F2F"/>
    <w:rsid w:val="006459E2"/>
    <w:rsid w:val="0064630B"/>
    <w:rsid w:val="00646335"/>
    <w:rsid w:val="006463EF"/>
    <w:rsid w:val="00647A0D"/>
    <w:rsid w:val="00647F8D"/>
    <w:rsid w:val="00672C2F"/>
    <w:rsid w:val="00673AF2"/>
    <w:rsid w:val="006742A2"/>
    <w:rsid w:val="006742A6"/>
    <w:rsid w:val="00676832"/>
    <w:rsid w:val="006774A7"/>
    <w:rsid w:val="00681C46"/>
    <w:rsid w:val="00686A3C"/>
    <w:rsid w:val="00690406"/>
    <w:rsid w:val="0069130E"/>
    <w:rsid w:val="00693357"/>
    <w:rsid w:val="00694664"/>
    <w:rsid w:val="00696FEE"/>
    <w:rsid w:val="006976EE"/>
    <w:rsid w:val="006A1047"/>
    <w:rsid w:val="006A1690"/>
    <w:rsid w:val="006A28FE"/>
    <w:rsid w:val="006A44C6"/>
    <w:rsid w:val="006A4F39"/>
    <w:rsid w:val="006A5E3A"/>
    <w:rsid w:val="006B2C5F"/>
    <w:rsid w:val="006B2C76"/>
    <w:rsid w:val="006B6FDF"/>
    <w:rsid w:val="006C16AF"/>
    <w:rsid w:val="006C37FE"/>
    <w:rsid w:val="006C4228"/>
    <w:rsid w:val="006C5A02"/>
    <w:rsid w:val="006C6886"/>
    <w:rsid w:val="006D073A"/>
    <w:rsid w:val="006D12E5"/>
    <w:rsid w:val="006D169F"/>
    <w:rsid w:val="006D2EC2"/>
    <w:rsid w:val="006D6348"/>
    <w:rsid w:val="006D70CD"/>
    <w:rsid w:val="006D768A"/>
    <w:rsid w:val="006E1D68"/>
    <w:rsid w:val="006E3742"/>
    <w:rsid w:val="006E39DC"/>
    <w:rsid w:val="006E5253"/>
    <w:rsid w:val="006E5C73"/>
    <w:rsid w:val="006E7053"/>
    <w:rsid w:val="006F09B8"/>
    <w:rsid w:val="006F0D6E"/>
    <w:rsid w:val="006F3A6A"/>
    <w:rsid w:val="00702D7E"/>
    <w:rsid w:val="0070367E"/>
    <w:rsid w:val="007046A7"/>
    <w:rsid w:val="0070557F"/>
    <w:rsid w:val="00707376"/>
    <w:rsid w:val="007110E8"/>
    <w:rsid w:val="0071278B"/>
    <w:rsid w:val="00715842"/>
    <w:rsid w:val="00716208"/>
    <w:rsid w:val="007168C1"/>
    <w:rsid w:val="00716A7C"/>
    <w:rsid w:val="007212B5"/>
    <w:rsid w:val="0072308D"/>
    <w:rsid w:val="00724544"/>
    <w:rsid w:val="00725B45"/>
    <w:rsid w:val="00730DA2"/>
    <w:rsid w:val="00734301"/>
    <w:rsid w:val="007434E4"/>
    <w:rsid w:val="00744CA7"/>
    <w:rsid w:val="00744F24"/>
    <w:rsid w:val="00750559"/>
    <w:rsid w:val="007511FA"/>
    <w:rsid w:val="00764077"/>
    <w:rsid w:val="00765D64"/>
    <w:rsid w:val="00773316"/>
    <w:rsid w:val="0077395A"/>
    <w:rsid w:val="00775766"/>
    <w:rsid w:val="00775EB4"/>
    <w:rsid w:val="00776F7C"/>
    <w:rsid w:val="00777DF9"/>
    <w:rsid w:val="007801F7"/>
    <w:rsid w:val="00783B28"/>
    <w:rsid w:val="0078407F"/>
    <w:rsid w:val="00786EBB"/>
    <w:rsid w:val="007872F5"/>
    <w:rsid w:val="00787466"/>
    <w:rsid w:val="00790186"/>
    <w:rsid w:val="00791439"/>
    <w:rsid w:val="00791A70"/>
    <w:rsid w:val="00793718"/>
    <w:rsid w:val="00793D6A"/>
    <w:rsid w:val="00794821"/>
    <w:rsid w:val="007A736E"/>
    <w:rsid w:val="007B14BE"/>
    <w:rsid w:val="007B1A36"/>
    <w:rsid w:val="007B3D86"/>
    <w:rsid w:val="007B4637"/>
    <w:rsid w:val="007B5680"/>
    <w:rsid w:val="007B6598"/>
    <w:rsid w:val="007B71C1"/>
    <w:rsid w:val="007C1F35"/>
    <w:rsid w:val="007C7664"/>
    <w:rsid w:val="007D26C4"/>
    <w:rsid w:val="007D2766"/>
    <w:rsid w:val="007D3FEB"/>
    <w:rsid w:val="007D4103"/>
    <w:rsid w:val="007D44C8"/>
    <w:rsid w:val="007D5AEF"/>
    <w:rsid w:val="007D77AE"/>
    <w:rsid w:val="007E28FA"/>
    <w:rsid w:val="007E4692"/>
    <w:rsid w:val="007E59C0"/>
    <w:rsid w:val="007E6DD5"/>
    <w:rsid w:val="007F325E"/>
    <w:rsid w:val="007F3440"/>
    <w:rsid w:val="007F345E"/>
    <w:rsid w:val="007F4175"/>
    <w:rsid w:val="007F7BBF"/>
    <w:rsid w:val="007F7E3A"/>
    <w:rsid w:val="008012B5"/>
    <w:rsid w:val="00802194"/>
    <w:rsid w:val="00806431"/>
    <w:rsid w:val="0081002C"/>
    <w:rsid w:val="00810224"/>
    <w:rsid w:val="00811611"/>
    <w:rsid w:val="00813943"/>
    <w:rsid w:val="00813FA3"/>
    <w:rsid w:val="00817226"/>
    <w:rsid w:val="00824FC1"/>
    <w:rsid w:val="0082513C"/>
    <w:rsid w:val="0082653A"/>
    <w:rsid w:val="00826740"/>
    <w:rsid w:val="00826D13"/>
    <w:rsid w:val="00827542"/>
    <w:rsid w:val="00833062"/>
    <w:rsid w:val="0083335C"/>
    <w:rsid w:val="0083374E"/>
    <w:rsid w:val="00833E64"/>
    <w:rsid w:val="00834376"/>
    <w:rsid w:val="00834E19"/>
    <w:rsid w:val="00835407"/>
    <w:rsid w:val="0084286C"/>
    <w:rsid w:val="00843039"/>
    <w:rsid w:val="008457B3"/>
    <w:rsid w:val="00847CB0"/>
    <w:rsid w:val="00850167"/>
    <w:rsid w:val="008506F0"/>
    <w:rsid w:val="00850DAC"/>
    <w:rsid w:val="00853EA8"/>
    <w:rsid w:val="00856021"/>
    <w:rsid w:val="00856E1F"/>
    <w:rsid w:val="0086035C"/>
    <w:rsid w:val="00864388"/>
    <w:rsid w:val="00864D4C"/>
    <w:rsid w:val="008663E5"/>
    <w:rsid w:val="0086745A"/>
    <w:rsid w:val="00867EF8"/>
    <w:rsid w:val="00870674"/>
    <w:rsid w:val="00871822"/>
    <w:rsid w:val="00873353"/>
    <w:rsid w:val="008734F8"/>
    <w:rsid w:val="0087389B"/>
    <w:rsid w:val="008740F7"/>
    <w:rsid w:val="00874DC8"/>
    <w:rsid w:val="00875FBB"/>
    <w:rsid w:val="008770F0"/>
    <w:rsid w:val="008807C9"/>
    <w:rsid w:val="00883039"/>
    <w:rsid w:val="00885DDE"/>
    <w:rsid w:val="00887800"/>
    <w:rsid w:val="00891545"/>
    <w:rsid w:val="008919BF"/>
    <w:rsid w:val="00891B39"/>
    <w:rsid w:val="00892D36"/>
    <w:rsid w:val="0089554F"/>
    <w:rsid w:val="008A07A1"/>
    <w:rsid w:val="008A2229"/>
    <w:rsid w:val="008A2A34"/>
    <w:rsid w:val="008B2325"/>
    <w:rsid w:val="008B2CFC"/>
    <w:rsid w:val="008B42C0"/>
    <w:rsid w:val="008B4F14"/>
    <w:rsid w:val="008B4F27"/>
    <w:rsid w:val="008B6E70"/>
    <w:rsid w:val="008C6F3E"/>
    <w:rsid w:val="008C768F"/>
    <w:rsid w:val="008D16ED"/>
    <w:rsid w:val="008D2BE7"/>
    <w:rsid w:val="008D3D8E"/>
    <w:rsid w:val="008D5B4B"/>
    <w:rsid w:val="008D6956"/>
    <w:rsid w:val="008D6DF4"/>
    <w:rsid w:val="008D71F1"/>
    <w:rsid w:val="008E2781"/>
    <w:rsid w:val="008E6637"/>
    <w:rsid w:val="008F5455"/>
    <w:rsid w:val="008F5791"/>
    <w:rsid w:val="008F633D"/>
    <w:rsid w:val="00900CF3"/>
    <w:rsid w:val="0091046F"/>
    <w:rsid w:val="0091153A"/>
    <w:rsid w:val="0091184A"/>
    <w:rsid w:val="009141DB"/>
    <w:rsid w:val="0091687E"/>
    <w:rsid w:val="009222FC"/>
    <w:rsid w:val="00922B4D"/>
    <w:rsid w:val="00931FD5"/>
    <w:rsid w:val="00934AA7"/>
    <w:rsid w:val="00936311"/>
    <w:rsid w:val="00937A0F"/>
    <w:rsid w:val="00943A15"/>
    <w:rsid w:val="00945DC0"/>
    <w:rsid w:val="00947D4A"/>
    <w:rsid w:val="00952451"/>
    <w:rsid w:val="00952BDD"/>
    <w:rsid w:val="009574B6"/>
    <w:rsid w:val="00963021"/>
    <w:rsid w:val="00963C5D"/>
    <w:rsid w:val="009701C9"/>
    <w:rsid w:val="009705F2"/>
    <w:rsid w:val="009712BC"/>
    <w:rsid w:val="009712EA"/>
    <w:rsid w:val="00972596"/>
    <w:rsid w:val="00973A9D"/>
    <w:rsid w:val="009742FB"/>
    <w:rsid w:val="00974671"/>
    <w:rsid w:val="00974D68"/>
    <w:rsid w:val="00975F18"/>
    <w:rsid w:val="009772F2"/>
    <w:rsid w:val="00981B07"/>
    <w:rsid w:val="00982048"/>
    <w:rsid w:val="0098329F"/>
    <w:rsid w:val="009876D5"/>
    <w:rsid w:val="009907FA"/>
    <w:rsid w:val="00995F3C"/>
    <w:rsid w:val="0099624C"/>
    <w:rsid w:val="00997516"/>
    <w:rsid w:val="009A7914"/>
    <w:rsid w:val="009A796C"/>
    <w:rsid w:val="009B05DD"/>
    <w:rsid w:val="009B2571"/>
    <w:rsid w:val="009B2EB7"/>
    <w:rsid w:val="009B44A2"/>
    <w:rsid w:val="009B71F4"/>
    <w:rsid w:val="009B7614"/>
    <w:rsid w:val="009C297A"/>
    <w:rsid w:val="009C3B34"/>
    <w:rsid w:val="009C486C"/>
    <w:rsid w:val="009C56EE"/>
    <w:rsid w:val="009D3926"/>
    <w:rsid w:val="009D3C55"/>
    <w:rsid w:val="009D3D62"/>
    <w:rsid w:val="009D3F15"/>
    <w:rsid w:val="009D5840"/>
    <w:rsid w:val="009D78E3"/>
    <w:rsid w:val="009D7B7E"/>
    <w:rsid w:val="009E1155"/>
    <w:rsid w:val="009E1B94"/>
    <w:rsid w:val="009F44C7"/>
    <w:rsid w:val="009F55B8"/>
    <w:rsid w:val="00A011B9"/>
    <w:rsid w:val="00A040DE"/>
    <w:rsid w:val="00A0589A"/>
    <w:rsid w:val="00A06144"/>
    <w:rsid w:val="00A12EEA"/>
    <w:rsid w:val="00A14FEE"/>
    <w:rsid w:val="00A15BAE"/>
    <w:rsid w:val="00A20A76"/>
    <w:rsid w:val="00A21659"/>
    <w:rsid w:val="00A30BAC"/>
    <w:rsid w:val="00A33B47"/>
    <w:rsid w:val="00A35942"/>
    <w:rsid w:val="00A46974"/>
    <w:rsid w:val="00A50D5B"/>
    <w:rsid w:val="00A51317"/>
    <w:rsid w:val="00A51800"/>
    <w:rsid w:val="00A53CB0"/>
    <w:rsid w:val="00A55673"/>
    <w:rsid w:val="00A60D37"/>
    <w:rsid w:val="00A626E2"/>
    <w:rsid w:val="00A63BA4"/>
    <w:rsid w:val="00A64211"/>
    <w:rsid w:val="00A6426C"/>
    <w:rsid w:val="00A65291"/>
    <w:rsid w:val="00A66C13"/>
    <w:rsid w:val="00A72A3A"/>
    <w:rsid w:val="00A743B1"/>
    <w:rsid w:val="00A75FB0"/>
    <w:rsid w:val="00A813FE"/>
    <w:rsid w:val="00A816E8"/>
    <w:rsid w:val="00A82245"/>
    <w:rsid w:val="00A8249A"/>
    <w:rsid w:val="00A82705"/>
    <w:rsid w:val="00A83EDB"/>
    <w:rsid w:val="00A861ED"/>
    <w:rsid w:val="00A8678B"/>
    <w:rsid w:val="00A86BD1"/>
    <w:rsid w:val="00A91789"/>
    <w:rsid w:val="00A92519"/>
    <w:rsid w:val="00A945A1"/>
    <w:rsid w:val="00A9788D"/>
    <w:rsid w:val="00AA4119"/>
    <w:rsid w:val="00AA6B68"/>
    <w:rsid w:val="00AB0C9E"/>
    <w:rsid w:val="00AB1A67"/>
    <w:rsid w:val="00AC170B"/>
    <w:rsid w:val="00AC2FBD"/>
    <w:rsid w:val="00AC5A9C"/>
    <w:rsid w:val="00AD518B"/>
    <w:rsid w:val="00AD62C5"/>
    <w:rsid w:val="00AD6462"/>
    <w:rsid w:val="00AD6CB0"/>
    <w:rsid w:val="00AE03A6"/>
    <w:rsid w:val="00AE3283"/>
    <w:rsid w:val="00AE5138"/>
    <w:rsid w:val="00AE5A30"/>
    <w:rsid w:val="00AE73E5"/>
    <w:rsid w:val="00AF2FDA"/>
    <w:rsid w:val="00AF64FC"/>
    <w:rsid w:val="00AF6D9A"/>
    <w:rsid w:val="00AF7AD3"/>
    <w:rsid w:val="00B00FBD"/>
    <w:rsid w:val="00B063BA"/>
    <w:rsid w:val="00B11B69"/>
    <w:rsid w:val="00B11ECB"/>
    <w:rsid w:val="00B12110"/>
    <w:rsid w:val="00B12DA1"/>
    <w:rsid w:val="00B14905"/>
    <w:rsid w:val="00B2124D"/>
    <w:rsid w:val="00B220FE"/>
    <w:rsid w:val="00B24005"/>
    <w:rsid w:val="00B25F19"/>
    <w:rsid w:val="00B2734A"/>
    <w:rsid w:val="00B32FE7"/>
    <w:rsid w:val="00B333EF"/>
    <w:rsid w:val="00B338D5"/>
    <w:rsid w:val="00B35942"/>
    <w:rsid w:val="00B36B8C"/>
    <w:rsid w:val="00B40D1E"/>
    <w:rsid w:val="00B415DB"/>
    <w:rsid w:val="00B42154"/>
    <w:rsid w:val="00B50CA0"/>
    <w:rsid w:val="00B53CA4"/>
    <w:rsid w:val="00B54329"/>
    <w:rsid w:val="00B5454B"/>
    <w:rsid w:val="00B56541"/>
    <w:rsid w:val="00B62AA7"/>
    <w:rsid w:val="00B65934"/>
    <w:rsid w:val="00B67285"/>
    <w:rsid w:val="00B70DEE"/>
    <w:rsid w:val="00B72F7B"/>
    <w:rsid w:val="00B73EC2"/>
    <w:rsid w:val="00B746E8"/>
    <w:rsid w:val="00B80E75"/>
    <w:rsid w:val="00B815D6"/>
    <w:rsid w:val="00B8244C"/>
    <w:rsid w:val="00B8521A"/>
    <w:rsid w:val="00B918F8"/>
    <w:rsid w:val="00B92D9C"/>
    <w:rsid w:val="00B96E5A"/>
    <w:rsid w:val="00BA3D08"/>
    <w:rsid w:val="00BA5C1A"/>
    <w:rsid w:val="00BA5FCA"/>
    <w:rsid w:val="00BB1E10"/>
    <w:rsid w:val="00BB28FE"/>
    <w:rsid w:val="00BB3521"/>
    <w:rsid w:val="00BB3F42"/>
    <w:rsid w:val="00BB54AD"/>
    <w:rsid w:val="00BC0D51"/>
    <w:rsid w:val="00BC2C0C"/>
    <w:rsid w:val="00BC2EA0"/>
    <w:rsid w:val="00BC46FC"/>
    <w:rsid w:val="00BC5577"/>
    <w:rsid w:val="00BD1959"/>
    <w:rsid w:val="00BD23A2"/>
    <w:rsid w:val="00BD2BDB"/>
    <w:rsid w:val="00BD31C6"/>
    <w:rsid w:val="00BD3C08"/>
    <w:rsid w:val="00BD3E73"/>
    <w:rsid w:val="00BD57F6"/>
    <w:rsid w:val="00BD699D"/>
    <w:rsid w:val="00BE01F1"/>
    <w:rsid w:val="00BE1929"/>
    <w:rsid w:val="00BE3672"/>
    <w:rsid w:val="00BE39FD"/>
    <w:rsid w:val="00BE5825"/>
    <w:rsid w:val="00BF5A35"/>
    <w:rsid w:val="00C03BFA"/>
    <w:rsid w:val="00C06D6B"/>
    <w:rsid w:val="00C07D42"/>
    <w:rsid w:val="00C106A1"/>
    <w:rsid w:val="00C10D7E"/>
    <w:rsid w:val="00C16665"/>
    <w:rsid w:val="00C208F2"/>
    <w:rsid w:val="00C21E22"/>
    <w:rsid w:val="00C22582"/>
    <w:rsid w:val="00C25E55"/>
    <w:rsid w:val="00C31149"/>
    <w:rsid w:val="00C31E0E"/>
    <w:rsid w:val="00C423DB"/>
    <w:rsid w:val="00C43A2E"/>
    <w:rsid w:val="00C43D8B"/>
    <w:rsid w:val="00C461D2"/>
    <w:rsid w:val="00C464B8"/>
    <w:rsid w:val="00C5229F"/>
    <w:rsid w:val="00C56E7C"/>
    <w:rsid w:val="00C6189A"/>
    <w:rsid w:val="00C707EC"/>
    <w:rsid w:val="00C75422"/>
    <w:rsid w:val="00C754A0"/>
    <w:rsid w:val="00C800E9"/>
    <w:rsid w:val="00C8225A"/>
    <w:rsid w:val="00C822E1"/>
    <w:rsid w:val="00C8259E"/>
    <w:rsid w:val="00C8512F"/>
    <w:rsid w:val="00C90162"/>
    <w:rsid w:val="00C957DA"/>
    <w:rsid w:val="00C95F19"/>
    <w:rsid w:val="00CA1C76"/>
    <w:rsid w:val="00CA7226"/>
    <w:rsid w:val="00CA7F2F"/>
    <w:rsid w:val="00CB04C9"/>
    <w:rsid w:val="00CB1D0C"/>
    <w:rsid w:val="00CB23C7"/>
    <w:rsid w:val="00CB580F"/>
    <w:rsid w:val="00CB6362"/>
    <w:rsid w:val="00CC0705"/>
    <w:rsid w:val="00CC57C0"/>
    <w:rsid w:val="00CC78F5"/>
    <w:rsid w:val="00CD1342"/>
    <w:rsid w:val="00CD2123"/>
    <w:rsid w:val="00CD605C"/>
    <w:rsid w:val="00CE09CA"/>
    <w:rsid w:val="00CE2957"/>
    <w:rsid w:val="00CE3481"/>
    <w:rsid w:val="00CE6817"/>
    <w:rsid w:val="00CE6C0B"/>
    <w:rsid w:val="00D004B0"/>
    <w:rsid w:val="00D02C4B"/>
    <w:rsid w:val="00D045A9"/>
    <w:rsid w:val="00D071B5"/>
    <w:rsid w:val="00D102D8"/>
    <w:rsid w:val="00D10D83"/>
    <w:rsid w:val="00D10EEE"/>
    <w:rsid w:val="00D1155C"/>
    <w:rsid w:val="00D144CC"/>
    <w:rsid w:val="00D156A0"/>
    <w:rsid w:val="00D15D20"/>
    <w:rsid w:val="00D15E6E"/>
    <w:rsid w:val="00D17B62"/>
    <w:rsid w:val="00D2159F"/>
    <w:rsid w:val="00D23B91"/>
    <w:rsid w:val="00D269BF"/>
    <w:rsid w:val="00D30028"/>
    <w:rsid w:val="00D3011E"/>
    <w:rsid w:val="00D3196D"/>
    <w:rsid w:val="00D3234C"/>
    <w:rsid w:val="00D345EF"/>
    <w:rsid w:val="00D4137B"/>
    <w:rsid w:val="00D416B8"/>
    <w:rsid w:val="00D44F77"/>
    <w:rsid w:val="00D5623B"/>
    <w:rsid w:val="00D56E1B"/>
    <w:rsid w:val="00D57693"/>
    <w:rsid w:val="00D62A34"/>
    <w:rsid w:val="00D632A9"/>
    <w:rsid w:val="00D67019"/>
    <w:rsid w:val="00D67D86"/>
    <w:rsid w:val="00D739DC"/>
    <w:rsid w:val="00D76D5D"/>
    <w:rsid w:val="00D81479"/>
    <w:rsid w:val="00D83FB1"/>
    <w:rsid w:val="00D865A9"/>
    <w:rsid w:val="00D916E8"/>
    <w:rsid w:val="00D9231C"/>
    <w:rsid w:val="00D94A65"/>
    <w:rsid w:val="00D96790"/>
    <w:rsid w:val="00D97314"/>
    <w:rsid w:val="00DA077E"/>
    <w:rsid w:val="00DA3331"/>
    <w:rsid w:val="00DA38A4"/>
    <w:rsid w:val="00DA70DC"/>
    <w:rsid w:val="00DB4103"/>
    <w:rsid w:val="00DC19CB"/>
    <w:rsid w:val="00DC5C5B"/>
    <w:rsid w:val="00DC71E1"/>
    <w:rsid w:val="00DC73CC"/>
    <w:rsid w:val="00DD3583"/>
    <w:rsid w:val="00DD53A0"/>
    <w:rsid w:val="00DE4BD3"/>
    <w:rsid w:val="00DF156B"/>
    <w:rsid w:val="00DF1A6D"/>
    <w:rsid w:val="00DF4644"/>
    <w:rsid w:val="00E071B0"/>
    <w:rsid w:val="00E11000"/>
    <w:rsid w:val="00E127AE"/>
    <w:rsid w:val="00E14555"/>
    <w:rsid w:val="00E16171"/>
    <w:rsid w:val="00E16D29"/>
    <w:rsid w:val="00E20202"/>
    <w:rsid w:val="00E20C68"/>
    <w:rsid w:val="00E23E1F"/>
    <w:rsid w:val="00E30A42"/>
    <w:rsid w:val="00E32EA7"/>
    <w:rsid w:val="00E34641"/>
    <w:rsid w:val="00E35D00"/>
    <w:rsid w:val="00E515A1"/>
    <w:rsid w:val="00E54912"/>
    <w:rsid w:val="00E55656"/>
    <w:rsid w:val="00E578E2"/>
    <w:rsid w:val="00E57AE6"/>
    <w:rsid w:val="00E614B3"/>
    <w:rsid w:val="00E643D7"/>
    <w:rsid w:val="00E646B7"/>
    <w:rsid w:val="00E668FB"/>
    <w:rsid w:val="00E722C2"/>
    <w:rsid w:val="00E72FE7"/>
    <w:rsid w:val="00E736A8"/>
    <w:rsid w:val="00E77ACA"/>
    <w:rsid w:val="00E8067F"/>
    <w:rsid w:val="00E806CE"/>
    <w:rsid w:val="00E80A83"/>
    <w:rsid w:val="00E80B93"/>
    <w:rsid w:val="00E8143D"/>
    <w:rsid w:val="00E84801"/>
    <w:rsid w:val="00E85D12"/>
    <w:rsid w:val="00E85E5F"/>
    <w:rsid w:val="00E86793"/>
    <w:rsid w:val="00E87E01"/>
    <w:rsid w:val="00E92B31"/>
    <w:rsid w:val="00E9582C"/>
    <w:rsid w:val="00EA70D7"/>
    <w:rsid w:val="00EB2702"/>
    <w:rsid w:val="00EB2806"/>
    <w:rsid w:val="00EB3550"/>
    <w:rsid w:val="00EB71A1"/>
    <w:rsid w:val="00EC22A0"/>
    <w:rsid w:val="00EC2FA2"/>
    <w:rsid w:val="00EC3128"/>
    <w:rsid w:val="00EC71E2"/>
    <w:rsid w:val="00ED421D"/>
    <w:rsid w:val="00EE5CF8"/>
    <w:rsid w:val="00EE7443"/>
    <w:rsid w:val="00EF6465"/>
    <w:rsid w:val="00EF6F08"/>
    <w:rsid w:val="00EF70E5"/>
    <w:rsid w:val="00F01EF0"/>
    <w:rsid w:val="00F03151"/>
    <w:rsid w:val="00F05D87"/>
    <w:rsid w:val="00F06A12"/>
    <w:rsid w:val="00F101C4"/>
    <w:rsid w:val="00F1126F"/>
    <w:rsid w:val="00F12930"/>
    <w:rsid w:val="00F12CDE"/>
    <w:rsid w:val="00F1372D"/>
    <w:rsid w:val="00F142BC"/>
    <w:rsid w:val="00F15032"/>
    <w:rsid w:val="00F157D1"/>
    <w:rsid w:val="00F16FC0"/>
    <w:rsid w:val="00F1778B"/>
    <w:rsid w:val="00F179E6"/>
    <w:rsid w:val="00F25778"/>
    <w:rsid w:val="00F26DDB"/>
    <w:rsid w:val="00F30644"/>
    <w:rsid w:val="00F312DE"/>
    <w:rsid w:val="00F323E9"/>
    <w:rsid w:val="00F32BC1"/>
    <w:rsid w:val="00F37A6C"/>
    <w:rsid w:val="00F46509"/>
    <w:rsid w:val="00F4693E"/>
    <w:rsid w:val="00F46AFC"/>
    <w:rsid w:val="00F50CF1"/>
    <w:rsid w:val="00F55080"/>
    <w:rsid w:val="00F60EF2"/>
    <w:rsid w:val="00F60FC1"/>
    <w:rsid w:val="00F61507"/>
    <w:rsid w:val="00F64700"/>
    <w:rsid w:val="00F66A70"/>
    <w:rsid w:val="00F66E79"/>
    <w:rsid w:val="00F70222"/>
    <w:rsid w:val="00F71603"/>
    <w:rsid w:val="00F75B01"/>
    <w:rsid w:val="00F76890"/>
    <w:rsid w:val="00F76999"/>
    <w:rsid w:val="00F77E4D"/>
    <w:rsid w:val="00F8357D"/>
    <w:rsid w:val="00F855B8"/>
    <w:rsid w:val="00F90135"/>
    <w:rsid w:val="00F90513"/>
    <w:rsid w:val="00F9094B"/>
    <w:rsid w:val="00F909D0"/>
    <w:rsid w:val="00F90C57"/>
    <w:rsid w:val="00F92775"/>
    <w:rsid w:val="00F952B0"/>
    <w:rsid w:val="00F9592A"/>
    <w:rsid w:val="00F96C14"/>
    <w:rsid w:val="00F9767D"/>
    <w:rsid w:val="00FA0FBF"/>
    <w:rsid w:val="00FA1EA1"/>
    <w:rsid w:val="00FA20A4"/>
    <w:rsid w:val="00FA25F4"/>
    <w:rsid w:val="00FA3764"/>
    <w:rsid w:val="00FA60A5"/>
    <w:rsid w:val="00FA6130"/>
    <w:rsid w:val="00FA7195"/>
    <w:rsid w:val="00FB0DD8"/>
    <w:rsid w:val="00FB0F61"/>
    <w:rsid w:val="00FB11E8"/>
    <w:rsid w:val="00FB22B9"/>
    <w:rsid w:val="00FB28DC"/>
    <w:rsid w:val="00FB2AFA"/>
    <w:rsid w:val="00FC00FC"/>
    <w:rsid w:val="00FC3B49"/>
    <w:rsid w:val="00FC3EC2"/>
    <w:rsid w:val="00FC5CB8"/>
    <w:rsid w:val="00FD2E79"/>
    <w:rsid w:val="00FD3DD1"/>
    <w:rsid w:val="00FD5657"/>
    <w:rsid w:val="00FE0527"/>
    <w:rsid w:val="00FE1C65"/>
    <w:rsid w:val="00FE4346"/>
    <w:rsid w:val="00FF271A"/>
    <w:rsid w:val="00FF40B4"/>
    <w:rsid w:val="00FF50E0"/>
    <w:rsid w:val="01156A16"/>
    <w:rsid w:val="01173F1B"/>
    <w:rsid w:val="011C44BE"/>
    <w:rsid w:val="01207B0A"/>
    <w:rsid w:val="01213761"/>
    <w:rsid w:val="012B0C48"/>
    <w:rsid w:val="01372C5B"/>
    <w:rsid w:val="014001AC"/>
    <w:rsid w:val="016408FB"/>
    <w:rsid w:val="01643016"/>
    <w:rsid w:val="016E4195"/>
    <w:rsid w:val="01726537"/>
    <w:rsid w:val="01AC75F0"/>
    <w:rsid w:val="01C04E49"/>
    <w:rsid w:val="01D31020"/>
    <w:rsid w:val="0214243C"/>
    <w:rsid w:val="02214D2D"/>
    <w:rsid w:val="022E5014"/>
    <w:rsid w:val="02512A07"/>
    <w:rsid w:val="025A529E"/>
    <w:rsid w:val="026877BA"/>
    <w:rsid w:val="027A6CFA"/>
    <w:rsid w:val="02AA6130"/>
    <w:rsid w:val="02C170CB"/>
    <w:rsid w:val="02C75FE1"/>
    <w:rsid w:val="02F76AB3"/>
    <w:rsid w:val="032064E7"/>
    <w:rsid w:val="032C4E8C"/>
    <w:rsid w:val="03433F84"/>
    <w:rsid w:val="0350498A"/>
    <w:rsid w:val="03534FA2"/>
    <w:rsid w:val="035B174D"/>
    <w:rsid w:val="03603C2C"/>
    <w:rsid w:val="036678B6"/>
    <w:rsid w:val="03825612"/>
    <w:rsid w:val="03847B8B"/>
    <w:rsid w:val="039B3DC0"/>
    <w:rsid w:val="03BC38F4"/>
    <w:rsid w:val="03FE61ED"/>
    <w:rsid w:val="04277401"/>
    <w:rsid w:val="04407C5D"/>
    <w:rsid w:val="04414051"/>
    <w:rsid w:val="044C50BA"/>
    <w:rsid w:val="04596F7F"/>
    <w:rsid w:val="046363BB"/>
    <w:rsid w:val="04673249"/>
    <w:rsid w:val="046774A7"/>
    <w:rsid w:val="04962E28"/>
    <w:rsid w:val="04B30C95"/>
    <w:rsid w:val="04C44C50"/>
    <w:rsid w:val="04D10E2B"/>
    <w:rsid w:val="04D83CC0"/>
    <w:rsid w:val="04DB34DA"/>
    <w:rsid w:val="04E57987"/>
    <w:rsid w:val="04F512AE"/>
    <w:rsid w:val="0540457D"/>
    <w:rsid w:val="056E1157"/>
    <w:rsid w:val="05814F51"/>
    <w:rsid w:val="0583686C"/>
    <w:rsid w:val="059C5BCD"/>
    <w:rsid w:val="05AF5900"/>
    <w:rsid w:val="05C32D63"/>
    <w:rsid w:val="05DE0EF5"/>
    <w:rsid w:val="06677F89"/>
    <w:rsid w:val="066E0790"/>
    <w:rsid w:val="067B3A34"/>
    <w:rsid w:val="069D3826"/>
    <w:rsid w:val="06B729B6"/>
    <w:rsid w:val="06BD404D"/>
    <w:rsid w:val="06E15F8D"/>
    <w:rsid w:val="06E7061D"/>
    <w:rsid w:val="06F051CA"/>
    <w:rsid w:val="06FC6923"/>
    <w:rsid w:val="071A4FFB"/>
    <w:rsid w:val="072520C3"/>
    <w:rsid w:val="07346E86"/>
    <w:rsid w:val="07963C7F"/>
    <w:rsid w:val="07A02C40"/>
    <w:rsid w:val="07A07BF6"/>
    <w:rsid w:val="07A1311E"/>
    <w:rsid w:val="07C06FE0"/>
    <w:rsid w:val="07C678C3"/>
    <w:rsid w:val="07C67D31"/>
    <w:rsid w:val="07CB13CA"/>
    <w:rsid w:val="07F45D5F"/>
    <w:rsid w:val="08387D26"/>
    <w:rsid w:val="084367D4"/>
    <w:rsid w:val="088C0852"/>
    <w:rsid w:val="08971DA8"/>
    <w:rsid w:val="08C101E7"/>
    <w:rsid w:val="08C16076"/>
    <w:rsid w:val="08C96D0B"/>
    <w:rsid w:val="08E13197"/>
    <w:rsid w:val="08F11F59"/>
    <w:rsid w:val="08FA50E4"/>
    <w:rsid w:val="08FB16AB"/>
    <w:rsid w:val="091A74E1"/>
    <w:rsid w:val="093B3CFE"/>
    <w:rsid w:val="09420839"/>
    <w:rsid w:val="09436A8B"/>
    <w:rsid w:val="09695884"/>
    <w:rsid w:val="09766700"/>
    <w:rsid w:val="09B72FD5"/>
    <w:rsid w:val="0A0134D2"/>
    <w:rsid w:val="0A0A6355"/>
    <w:rsid w:val="0A285544"/>
    <w:rsid w:val="0A6F38B0"/>
    <w:rsid w:val="0A804468"/>
    <w:rsid w:val="0A943B04"/>
    <w:rsid w:val="0AD83203"/>
    <w:rsid w:val="0AD94888"/>
    <w:rsid w:val="0B101D3B"/>
    <w:rsid w:val="0B204BAA"/>
    <w:rsid w:val="0B24468D"/>
    <w:rsid w:val="0B3E0157"/>
    <w:rsid w:val="0B3E2065"/>
    <w:rsid w:val="0B5B3B24"/>
    <w:rsid w:val="0BAD0091"/>
    <w:rsid w:val="0BE300B2"/>
    <w:rsid w:val="0BF07413"/>
    <w:rsid w:val="0BF605B3"/>
    <w:rsid w:val="0C0754E7"/>
    <w:rsid w:val="0C0E1A12"/>
    <w:rsid w:val="0C0F35D8"/>
    <w:rsid w:val="0C161375"/>
    <w:rsid w:val="0C28419D"/>
    <w:rsid w:val="0C2B5731"/>
    <w:rsid w:val="0C341D9A"/>
    <w:rsid w:val="0C3940B8"/>
    <w:rsid w:val="0C3D258F"/>
    <w:rsid w:val="0C5D60B6"/>
    <w:rsid w:val="0C5D732E"/>
    <w:rsid w:val="0C5F3058"/>
    <w:rsid w:val="0C670CE3"/>
    <w:rsid w:val="0C7F6C23"/>
    <w:rsid w:val="0C9B5ABD"/>
    <w:rsid w:val="0CE9794A"/>
    <w:rsid w:val="0CEB2EB7"/>
    <w:rsid w:val="0CEF5A7C"/>
    <w:rsid w:val="0D046532"/>
    <w:rsid w:val="0D4032E2"/>
    <w:rsid w:val="0D5170C4"/>
    <w:rsid w:val="0DB829D6"/>
    <w:rsid w:val="0DC84C6C"/>
    <w:rsid w:val="0DDB72D4"/>
    <w:rsid w:val="0DDC039E"/>
    <w:rsid w:val="0DDD3892"/>
    <w:rsid w:val="0DE620DB"/>
    <w:rsid w:val="0DE9708F"/>
    <w:rsid w:val="0DF04D08"/>
    <w:rsid w:val="0DF465A6"/>
    <w:rsid w:val="0E176739"/>
    <w:rsid w:val="0E2B0A0E"/>
    <w:rsid w:val="0E39045D"/>
    <w:rsid w:val="0E7616B1"/>
    <w:rsid w:val="0E9B2887"/>
    <w:rsid w:val="0EA87C9E"/>
    <w:rsid w:val="0EB53B50"/>
    <w:rsid w:val="0ECC12D1"/>
    <w:rsid w:val="0EE04D7C"/>
    <w:rsid w:val="0EFE1271"/>
    <w:rsid w:val="0F013329"/>
    <w:rsid w:val="0F1E0E2A"/>
    <w:rsid w:val="0F1E1F81"/>
    <w:rsid w:val="0F3330FE"/>
    <w:rsid w:val="0F4075C9"/>
    <w:rsid w:val="0F4E1CE6"/>
    <w:rsid w:val="0F5D383B"/>
    <w:rsid w:val="0F9067A2"/>
    <w:rsid w:val="0F920FD6"/>
    <w:rsid w:val="0F953584"/>
    <w:rsid w:val="0FB83603"/>
    <w:rsid w:val="0FE62E26"/>
    <w:rsid w:val="10147078"/>
    <w:rsid w:val="10362E55"/>
    <w:rsid w:val="10644165"/>
    <w:rsid w:val="10685029"/>
    <w:rsid w:val="10705FCA"/>
    <w:rsid w:val="109E6C9D"/>
    <w:rsid w:val="10BF0A8A"/>
    <w:rsid w:val="10C71F7C"/>
    <w:rsid w:val="10C806D6"/>
    <w:rsid w:val="10F570EC"/>
    <w:rsid w:val="11007AE1"/>
    <w:rsid w:val="113A7359"/>
    <w:rsid w:val="113B44EC"/>
    <w:rsid w:val="11597C61"/>
    <w:rsid w:val="115C4C5D"/>
    <w:rsid w:val="11610760"/>
    <w:rsid w:val="1171606E"/>
    <w:rsid w:val="11731ED8"/>
    <w:rsid w:val="11861F2F"/>
    <w:rsid w:val="119A13D5"/>
    <w:rsid w:val="11AA5B71"/>
    <w:rsid w:val="11B83ECD"/>
    <w:rsid w:val="120A26AB"/>
    <w:rsid w:val="12240695"/>
    <w:rsid w:val="123F1DBA"/>
    <w:rsid w:val="124872AD"/>
    <w:rsid w:val="127A403A"/>
    <w:rsid w:val="127D1806"/>
    <w:rsid w:val="128120DE"/>
    <w:rsid w:val="12B97DBE"/>
    <w:rsid w:val="12E55022"/>
    <w:rsid w:val="12F412C6"/>
    <w:rsid w:val="13033073"/>
    <w:rsid w:val="13117D95"/>
    <w:rsid w:val="1363442E"/>
    <w:rsid w:val="13654DDA"/>
    <w:rsid w:val="13737112"/>
    <w:rsid w:val="13817B06"/>
    <w:rsid w:val="138402B8"/>
    <w:rsid w:val="13855EF2"/>
    <w:rsid w:val="139323BD"/>
    <w:rsid w:val="13B16CE7"/>
    <w:rsid w:val="13DD5D2E"/>
    <w:rsid w:val="13DE5AD5"/>
    <w:rsid w:val="13E42C19"/>
    <w:rsid w:val="13F15336"/>
    <w:rsid w:val="140760EC"/>
    <w:rsid w:val="140C3984"/>
    <w:rsid w:val="141B23B3"/>
    <w:rsid w:val="142B6AD5"/>
    <w:rsid w:val="143174A5"/>
    <w:rsid w:val="144913EC"/>
    <w:rsid w:val="14891A12"/>
    <w:rsid w:val="14A12F69"/>
    <w:rsid w:val="14A47312"/>
    <w:rsid w:val="14B21774"/>
    <w:rsid w:val="15080B89"/>
    <w:rsid w:val="151D361E"/>
    <w:rsid w:val="154F0566"/>
    <w:rsid w:val="15632263"/>
    <w:rsid w:val="156404B5"/>
    <w:rsid w:val="15910B7E"/>
    <w:rsid w:val="15EA64E1"/>
    <w:rsid w:val="15FD6214"/>
    <w:rsid w:val="16021A7C"/>
    <w:rsid w:val="16135A37"/>
    <w:rsid w:val="161B2829"/>
    <w:rsid w:val="16224EF4"/>
    <w:rsid w:val="162352F4"/>
    <w:rsid w:val="165A6908"/>
    <w:rsid w:val="167D7355"/>
    <w:rsid w:val="167E531B"/>
    <w:rsid w:val="168800B8"/>
    <w:rsid w:val="16AE750E"/>
    <w:rsid w:val="16B03286"/>
    <w:rsid w:val="16DA0303"/>
    <w:rsid w:val="16EF3DAF"/>
    <w:rsid w:val="16F413A1"/>
    <w:rsid w:val="172315BE"/>
    <w:rsid w:val="172F68A1"/>
    <w:rsid w:val="174262C0"/>
    <w:rsid w:val="175C2C51"/>
    <w:rsid w:val="17D27FAE"/>
    <w:rsid w:val="17DD62FD"/>
    <w:rsid w:val="17E029C8"/>
    <w:rsid w:val="17E4768B"/>
    <w:rsid w:val="180E3B64"/>
    <w:rsid w:val="184D6BA9"/>
    <w:rsid w:val="185F6D12"/>
    <w:rsid w:val="18872601"/>
    <w:rsid w:val="18A92683"/>
    <w:rsid w:val="18AE6014"/>
    <w:rsid w:val="18C13529"/>
    <w:rsid w:val="18E76CBF"/>
    <w:rsid w:val="18FB442B"/>
    <w:rsid w:val="1915691B"/>
    <w:rsid w:val="192A70E1"/>
    <w:rsid w:val="199537E4"/>
    <w:rsid w:val="19AD7F51"/>
    <w:rsid w:val="19EF1E3B"/>
    <w:rsid w:val="19F55262"/>
    <w:rsid w:val="19FC300D"/>
    <w:rsid w:val="1A383CBF"/>
    <w:rsid w:val="1A444411"/>
    <w:rsid w:val="1A62202C"/>
    <w:rsid w:val="1A7A46E4"/>
    <w:rsid w:val="1AA0476B"/>
    <w:rsid w:val="1ABE076A"/>
    <w:rsid w:val="1AD34378"/>
    <w:rsid w:val="1AE00C81"/>
    <w:rsid w:val="1B24673C"/>
    <w:rsid w:val="1B2E0C1E"/>
    <w:rsid w:val="1B320F29"/>
    <w:rsid w:val="1B4D5028"/>
    <w:rsid w:val="1B773639"/>
    <w:rsid w:val="1BA53426"/>
    <w:rsid w:val="1BB90E2F"/>
    <w:rsid w:val="1BC31AC4"/>
    <w:rsid w:val="1BD1468F"/>
    <w:rsid w:val="1BDB2B53"/>
    <w:rsid w:val="1BF0416D"/>
    <w:rsid w:val="1C0A2565"/>
    <w:rsid w:val="1C27223D"/>
    <w:rsid w:val="1C2B6B2F"/>
    <w:rsid w:val="1C55362C"/>
    <w:rsid w:val="1C8F393E"/>
    <w:rsid w:val="1CA05B4B"/>
    <w:rsid w:val="1CAC058A"/>
    <w:rsid w:val="1CC20766"/>
    <w:rsid w:val="1CC41839"/>
    <w:rsid w:val="1CC96E50"/>
    <w:rsid w:val="1CE27F12"/>
    <w:rsid w:val="1D063C00"/>
    <w:rsid w:val="1D1237D5"/>
    <w:rsid w:val="1D152095"/>
    <w:rsid w:val="1D3554C9"/>
    <w:rsid w:val="1D57445C"/>
    <w:rsid w:val="1DB750A2"/>
    <w:rsid w:val="1DC51D0D"/>
    <w:rsid w:val="1DE34991"/>
    <w:rsid w:val="1E081BFA"/>
    <w:rsid w:val="1E2C58E8"/>
    <w:rsid w:val="1E6C333E"/>
    <w:rsid w:val="1E6D68D2"/>
    <w:rsid w:val="1E705BCC"/>
    <w:rsid w:val="1E832DF2"/>
    <w:rsid w:val="1E9967BB"/>
    <w:rsid w:val="1EB8717C"/>
    <w:rsid w:val="1ECC6AB2"/>
    <w:rsid w:val="1ECF104B"/>
    <w:rsid w:val="1F0152BD"/>
    <w:rsid w:val="1F2A72A4"/>
    <w:rsid w:val="1F3558B5"/>
    <w:rsid w:val="1F4201E6"/>
    <w:rsid w:val="1F43738D"/>
    <w:rsid w:val="1F692CF3"/>
    <w:rsid w:val="1F6A2B6C"/>
    <w:rsid w:val="1F8119CF"/>
    <w:rsid w:val="1F8A3212"/>
    <w:rsid w:val="1FCC54BF"/>
    <w:rsid w:val="1FD955FC"/>
    <w:rsid w:val="20104D96"/>
    <w:rsid w:val="202F7639"/>
    <w:rsid w:val="20607ACB"/>
    <w:rsid w:val="208A38C9"/>
    <w:rsid w:val="20A0436C"/>
    <w:rsid w:val="20A837A8"/>
    <w:rsid w:val="20B84CA3"/>
    <w:rsid w:val="20B90B25"/>
    <w:rsid w:val="20C718F8"/>
    <w:rsid w:val="20CD06F1"/>
    <w:rsid w:val="20F546B7"/>
    <w:rsid w:val="20FB5A46"/>
    <w:rsid w:val="211238C6"/>
    <w:rsid w:val="21336F8E"/>
    <w:rsid w:val="21415B4F"/>
    <w:rsid w:val="21535882"/>
    <w:rsid w:val="21562C7C"/>
    <w:rsid w:val="21A05C0C"/>
    <w:rsid w:val="21A12149"/>
    <w:rsid w:val="21A25EC1"/>
    <w:rsid w:val="21B83EF1"/>
    <w:rsid w:val="21BE0F4D"/>
    <w:rsid w:val="21DC53A3"/>
    <w:rsid w:val="220D7430"/>
    <w:rsid w:val="22266AF2"/>
    <w:rsid w:val="224D407F"/>
    <w:rsid w:val="22574EFE"/>
    <w:rsid w:val="227E248B"/>
    <w:rsid w:val="22803C35"/>
    <w:rsid w:val="22837AA1"/>
    <w:rsid w:val="22847ED7"/>
    <w:rsid w:val="22920DB6"/>
    <w:rsid w:val="22995516"/>
    <w:rsid w:val="22DB168B"/>
    <w:rsid w:val="22E36792"/>
    <w:rsid w:val="22F015DA"/>
    <w:rsid w:val="22F34C27"/>
    <w:rsid w:val="22FF1DC4"/>
    <w:rsid w:val="23185C3E"/>
    <w:rsid w:val="231B23CF"/>
    <w:rsid w:val="232343C6"/>
    <w:rsid w:val="232F5BFF"/>
    <w:rsid w:val="239A4BCB"/>
    <w:rsid w:val="23B6281C"/>
    <w:rsid w:val="23BA1BE8"/>
    <w:rsid w:val="23CB16FF"/>
    <w:rsid w:val="23CF4AD8"/>
    <w:rsid w:val="23DC25DC"/>
    <w:rsid w:val="23E2040E"/>
    <w:rsid w:val="23E66539"/>
    <w:rsid w:val="23F47EA3"/>
    <w:rsid w:val="24465CBC"/>
    <w:rsid w:val="244D19E5"/>
    <w:rsid w:val="244F40DF"/>
    <w:rsid w:val="244F4D25"/>
    <w:rsid w:val="246547D2"/>
    <w:rsid w:val="246D5DE4"/>
    <w:rsid w:val="24952AED"/>
    <w:rsid w:val="24D55150"/>
    <w:rsid w:val="24E30CCB"/>
    <w:rsid w:val="24EF6ACB"/>
    <w:rsid w:val="251A12ED"/>
    <w:rsid w:val="2536687B"/>
    <w:rsid w:val="254E6E50"/>
    <w:rsid w:val="25536B14"/>
    <w:rsid w:val="255524A9"/>
    <w:rsid w:val="255D0B9A"/>
    <w:rsid w:val="256B319A"/>
    <w:rsid w:val="25973F8F"/>
    <w:rsid w:val="25981BED"/>
    <w:rsid w:val="25D22791"/>
    <w:rsid w:val="25D61B6D"/>
    <w:rsid w:val="25E740D0"/>
    <w:rsid w:val="25EE7927"/>
    <w:rsid w:val="25F147AA"/>
    <w:rsid w:val="25F9482C"/>
    <w:rsid w:val="26152D46"/>
    <w:rsid w:val="262275D1"/>
    <w:rsid w:val="263A491A"/>
    <w:rsid w:val="2650413E"/>
    <w:rsid w:val="26647BE9"/>
    <w:rsid w:val="26674E6B"/>
    <w:rsid w:val="26832765"/>
    <w:rsid w:val="26834513"/>
    <w:rsid w:val="268F4C66"/>
    <w:rsid w:val="26A06E73"/>
    <w:rsid w:val="26A92E9F"/>
    <w:rsid w:val="26CA303B"/>
    <w:rsid w:val="26D03A87"/>
    <w:rsid w:val="26E52AD8"/>
    <w:rsid w:val="26E66850"/>
    <w:rsid w:val="26ED7BDF"/>
    <w:rsid w:val="27126FD7"/>
    <w:rsid w:val="272B58EA"/>
    <w:rsid w:val="2734505D"/>
    <w:rsid w:val="273708BD"/>
    <w:rsid w:val="274F178B"/>
    <w:rsid w:val="276A2CDE"/>
    <w:rsid w:val="277F6F78"/>
    <w:rsid w:val="27853190"/>
    <w:rsid w:val="27887700"/>
    <w:rsid w:val="278B7A0E"/>
    <w:rsid w:val="27920CEA"/>
    <w:rsid w:val="27960276"/>
    <w:rsid w:val="27A67BE5"/>
    <w:rsid w:val="27B22C6C"/>
    <w:rsid w:val="27B4697B"/>
    <w:rsid w:val="27C22E19"/>
    <w:rsid w:val="27C62527"/>
    <w:rsid w:val="27D100FA"/>
    <w:rsid w:val="27D47410"/>
    <w:rsid w:val="27EE3C0E"/>
    <w:rsid w:val="28077F17"/>
    <w:rsid w:val="28175C2D"/>
    <w:rsid w:val="28383327"/>
    <w:rsid w:val="283D68EF"/>
    <w:rsid w:val="28480BDC"/>
    <w:rsid w:val="28490B8A"/>
    <w:rsid w:val="284A42BE"/>
    <w:rsid w:val="288307FB"/>
    <w:rsid w:val="288D390E"/>
    <w:rsid w:val="28A90D0B"/>
    <w:rsid w:val="28B01D10"/>
    <w:rsid w:val="28DB4651"/>
    <w:rsid w:val="29017B27"/>
    <w:rsid w:val="29096EBF"/>
    <w:rsid w:val="291B4956"/>
    <w:rsid w:val="295043D8"/>
    <w:rsid w:val="296707A4"/>
    <w:rsid w:val="297B2229"/>
    <w:rsid w:val="29846CBA"/>
    <w:rsid w:val="29923FC6"/>
    <w:rsid w:val="299627B0"/>
    <w:rsid w:val="299D58EC"/>
    <w:rsid w:val="29B15DDE"/>
    <w:rsid w:val="29CA4A05"/>
    <w:rsid w:val="29E3402F"/>
    <w:rsid w:val="29F73CC8"/>
    <w:rsid w:val="2A002667"/>
    <w:rsid w:val="2A250A71"/>
    <w:rsid w:val="2A25684B"/>
    <w:rsid w:val="2A261D85"/>
    <w:rsid w:val="2A26348C"/>
    <w:rsid w:val="2A5E32CD"/>
    <w:rsid w:val="2A623950"/>
    <w:rsid w:val="2A6D0F47"/>
    <w:rsid w:val="2A810D6A"/>
    <w:rsid w:val="2A924D25"/>
    <w:rsid w:val="2AB92256"/>
    <w:rsid w:val="2AC62C21"/>
    <w:rsid w:val="2ACE1E53"/>
    <w:rsid w:val="2AF45B19"/>
    <w:rsid w:val="2B081B32"/>
    <w:rsid w:val="2B2D2CA0"/>
    <w:rsid w:val="2B406E77"/>
    <w:rsid w:val="2B495075"/>
    <w:rsid w:val="2B5743BB"/>
    <w:rsid w:val="2B62420B"/>
    <w:rsid w:val="2B8C5C18"/>
    <w:rsid w:val="2BC47018"/>
    <w:rsid w:val="2BCB7442"/>
    <w:rsid w:val="2BD355F5"/>
    <w:rsid w:val="2BEE0681"/>
    <w:rsid w:val="2BF47B91"/>
    <w:rsid w:val="2C0C2425"/>
    <w:rsid w:val="2C132325"/>
    <w:rsid w:val="2C427CE3"/>
    <w:rsid w:val="2C5F157F"/>
    <w:rsid w:val="2C7D1337"/>
    <w:rsid w:val="2CBA11C5"/>
    <w:rsid w:val="2CBE711C"/>
    <w:rsid w:val="2CD80DEF"/>
    <w:rsid w:val="2D0068BE"/>
    <w:rsid w:val="2D04195B"/>
    <w:rsid w:val="2D0637A8"/>
    <w:rsid w:val="2D07058C"/>
    <w:rsid w:val="2D256324"/>
    <w:rsid w:val="2D4D13D7"/>
    <w:rsid w:val="2D656721"/>
    <w:rsid w:val="2D713B88"/>
    <w:rsid w:val="2D8F207D"/>
    <w:rsid w:val="2D917516"/>
    <w:rsid w:val="2D9920E6"/>
    <w:rsid w:val="2D9C42BC"/>
    <w:rsid w:val="2DA753EC"/>
    <w:rsid w:val="2DA76D39"/>
    <w:rsid w:val="2DA82AB1"/>
    <w:rsid w:val="2DC518B5"/>
    <w:rsid w:val="2DD5001A"/>
    <w:rsid w:val="2DD62C2E"/>
    <w:rsid w:val="2E10231E"/>
    <w:rsid w:val="2E3A1431"/>
    <w:rsid w:val="2E417CA3"/>
    <w:rsid w:val="2E4501EC"/>
    <w:rsid w:val="2E767352"/>
    <w:rsid w:val="2E8768EC"/>
    <w:rsid w:val="2EA02EE8"/>
    <w:rsid w:val="2EB72FAC"/>
    <w:rsid w:val="2ECF230F"/>
    <w:rsid w:val="2EF220D0"/>
    <w:rsid w:val="2F071AA9"/>
    <w:rsid w:val="2F0D7070"/>
    <w:rsid w:val="2F0F176F"/>
    <w:rsid w:val="2F1D7493"/>
    <w:rsid w:val="2F300FB0"/>
    <w:rsid w:val="2F321A65"/>
    <w:rsid w:val="2F3A598B"/>
    <w:rsid w:val="2F3F11F4"/>
    <w:rsid w:val="2FC53274"/>
    <w:rsid w:val="2FD73A0C"/>
    <w:rsid w:val="2FDB163C"/>
    <w:rsid w:val="2FE25206"/>
    <w:rsid w:val="2FE303AE"/>
    <w:rsid w:val="2FF662F5"/>
    <w:rsid w:val="2FF90936"/>
    <w:rsid w:val="30334ACB"/>
    <w:rsid w:val="306164E1"/>
    <w:rsid w:val="306B6A91"/>
    <w:rsid w:val="30833B13"/>
    <w:rsid w:val="309D339E"/>
    <w:rsid w:val="30AE21AF"/>
    <w:rsid w:val="30C17A75"/>
    <w:rsid w:val="30CA29AD"/>
    <w:rsid w:val="30FA20C4"/>
    <w:rsid w:val="30FC52B5"/>
    <w:rsid w:val="31025BEE"/>
    <w:rsid w:val="3110771A"/>
    <w:rsid w:val="31260162"/>
    <w:rsid w:val="314375FF"/>
    <w:rsid w:val="314820DA"/>
    <w:rsid w:val="31534716"/>
    <w:rsid w:val="316948CE"/>
    <w:rsid w:val="316A6A7E"/>
    <w:rsid w:val="31880C30"/>
    <w:rsid w:val="31C550D4"/>
    <w:rsid w:val="31C64430"/>
    <w:rsid w:val="31CF685F"/>
    <w:rsid w:val="31DB0486"/>
    <w:rsid w:val="31DF5CA7"/>
    <w:rsid w:val="32081D71"/>
    <w:rsid w:val="32116418"/>
    <w:rsid w:val="32164A45"/>
    <w:rsid w:val="322F2FD1"/>
    <w:rsid w:val="329110B5"/>
    <w:rsid w:val="329830F5"/>
    <w:rsid w:val="329D086E"/>
    <w:rsid w:val="32A0644D"/>
    <w:rsid w:val="32B141B6"/>
    <w:rsid w:val="33150BE9"/>
    <w:rsid w:val="331A6C1E"/>
    <w:rsid w:val="331C1F78"/>
    <w:rsid w:val="332B5D17"/>
    <w:rsid w:val="334301D8"/>
    <w:rsid w:val="334641B2"/>
    <w:rsid w:val="33642B33"/>
    <w:rsid w:val="336631F3"/>
    <w:rsid w:val="336867E5"/>
    <w:rsid w:val="33735E81"/>
    <w:rsid w:val="33842269"/>
    <w:rsid w:val="338B4FAA"/>
    <w:rsid w:val="33A131F3"/>
    <w:rsid w:val="33A855B9"/>
    <w:rsid w:val="33D9726A"/>
    <w:rsid w:val="33DA1498"/>
    <w:rsid w:val="33F00D0E"/>
    <w:rsid w:val="33F31CB7"/>
    <w:rsid w:val="33F572C4"/>
    <w:rsid w:val="34160775"/>
    <w:rsid w:val="34190265"/>
    <w:rsid w:val="34633A60"/>
    <w:rsid w:val="34844EB9"/>
    <w:rsid w:val="348D60D4"/>
    <w:rsid w:val="34963F3F"/>
    <w:rsid w:val="349A5D8B"/>
    <w:rsid w:val="34B02C4E"/>
    <w:rsid w:val="34D158EA"/>
    <w:rsid w:val="34D16D92"/>
    <w:rsid w:val="34D348B8"/>
    <w:rsid w:val="34E649F1"/>
    <w:rsid w:val="34EE541B"/>
    <w:rsid w:val="350A1DB9"/>
    <w:rsid w:val="35197E58"/>
    <w:rsid w:val="351B1DBB"/>
    <w:rsid w:val="353A3EF8"/>
    <w:rsid w:val="354E3F3E"/>
    <w:rsid w:val="355A28E3"/>
    <w:rsid w:val="356279EA"/>
    <w:rsid w:val="35C72486"/>
    <w:rsid w:val="36211653"/>
    <w:rsid w:val="364F0F9F"/>
    <w:rsid w:val="36570F1E"/>
    <w:rsid w:val="366652B8"/>
    <w:rsid w:val="36D93CDC"/>
    <w:rsid w:val="36DF3409"/>
    <w:rsid w:val="36E320F2"/>
    <w:rsid w:val="36E95CBF"/>
    <w:rsid w:val="37172072"/>
    <w:rsid w:val="371E2C4F"/>
    <w:rsid w:val="37240659"/>
    <w:rsid w:val="374D496F"/>
    <w:rsid w:val="3768226B"/>
    <w:rsid w:val="377063EE"/>
    <w:rsid w:val="377D2DBF"/>
    <w:rsid w:val="37977C3C"/>
    <w:rsid w:val="37B073B9"/>
    <w:rsid w:val="37E666B0"/>
    <w:rsid w:val="37EA7B7C"/>
    <w:rsid w:val="37F671F9"/>
    <w:rsid w:val="37FF4F6A"/>
    <w:rsid w:val="381E78D3"/>
    <w:rsid w:val="3821593A"/>
    <w:rsid w:val="383701B5"/>
    <w:rsid w:val="38611E86"/>
    <w:rsid w:val="387E4B3B"/>
    <w:rsid w:val="388B62BD"/>
    <w:rsid w:val="38935877"/>
    <w:rsid w:val="38B8587C"/>
    <w:rsid w:val="392956A1"/>
    <w:rsid w:val="3965703B"/>
    <w:rsid w:val="396C0E37"/>
    <w:rsid w:val="39887364"/>
    <w:rsid w:val="399860D0"/>
    <w:rsid w:val="39C649EB"/>
    <w:rsid w:val="39D00B94"/>
    <w:rsid w:val="3A0E5146"/>
    <w:rsid w:val="3A161A24"/>
    <w:rsid w:val="3A1A0893"/>
    <w:rsid w:val="3A1E65D5"/>
    <w:rsid w:val="3A39340F"/>
    <w:rsid w:val="3A7A1F34"/>
    <w:rsid w:val="3A9248CD"/>
    <w:rsid w:val="3AC73AE7"/>
    <w:rsid w:val="3ACA35C5"/>
    <w:rsid w:val="3ACC4283"/>
    <w:rsid w:val="3ADF4930"/>
    <w:rsid w:val="3B096DEB"/>
    <w:rsid w:val="3B0A0908"/>
    <w:rsid w:val="3B3068D9"/>
    <w:rsid w:val="3B437011"/>
    <w:rsid w:val="3B494880"/>
    <w:rsid w:val="3B4B75F2"/>
    <w:rsid w:val="3B567FF1"/>
    <w:rsid w:val="3B6A6C7C"/>
    <w:rsid w:val="3B8523F1"/>
    <w:rsid w:val="3B903D50"/>
    <w:rsid w:val="3B91653C"/>
    <w:rsid w:val="3BD12293"/>
    <w:rsid w:val="3BEF2420"/>
    <w:rsid w:val="3C1F4887"/>
    <w:rsid w:val="3C2E07BA"/>
    <w:rsid w:val="3C5067EE"/>
    <w:rsid w:val="3C5F4C83"/>
    <w:rsid w:val="3C6978B0"/>
    <w:rsid w:val="3C9A3DEE"/>
    <w:rsid w:val="3CAD5337"/>
    <w:rsid w:val="3CB32382"/>
    <w:rsid w:val="3CDF5E57"/>
    <w:rsid w:val="3CE31410"/>
    <w:rsid w:val="3CE84C78"/>
    <w:rsid w:val="3CFC0570"/>
    <w:rsid w:val="3D152E3B"/>
    <w:rsid w:val="3D217FFC"/>
    <w:rsid w:val="3D5839EB"/>
    <w:rsid w:val="3D5E5D7A"/>
    <w:rsid w:val="3D615AAB"/>
    <w:rsid w:val="3D6D06A3"/>
    <w:rsid w:val="3DC91C62"/>
    <w:rsid w:val="3E077380"/>
    <w:rsid w:val="3E2E206D"/>
    <w:rsid w:val="3E2E7BFD"/>
    <w:rsid w:val="3E7C5339"/>
    <w:rsid w:val="3E9E7CE5"/>
    <w:rsid w:val="3EA741B3"/>
    <w:rsid w:val="3EB70DA6"/>
    <w:rsid w:val="3ED431BF"/>
    <w:rsid w:val="3F3138FC"/>
    <w:rsid w:val="3F626F64"/>
    <w:rsid w:val="3F6D6663"/>
    <w:rsid w:val="3F6F342F"/>
    <w:rsid w:val="3F8D556B"/>
    <w:rsid w:val="3FA4757D"/>
    <w:rsid w:val="3FAA3B64"/>
    <w:rsid w:val="3FD11EED"/>
    <w:rsid w:val="3FD55988"/>
    <w:rsid w:val="3FDD65EB"/>
    <w:rsid w:val="3FE936B5"/>
    <w:rsid w:val="401B7113"/>
    <w:rsid w:val="402A3F1D"/>
    <w:rsid w:val="402B37FA"/>
    <w:rsid w:val="4093314D"/>
    <w:rsid w:val="40C549DC"/>
    <w:rsid w:val="40E0155A"/>
    <w:rsid w:val="41071826"/>
    <w:rsid w:val="41097D80"/>
    <w:rsid w:val="411B386E"/>
    <w:rsid w:val="4148640D"/>
    <w:rsid w:val="4151103E"/>
    <w:rsid w:val="41526B64"/>
    <w:rsid w:val="418B02DE"/>
    <w:rsid w:val="41A41E99"/>
    <w:rsid w:val="41B7114E"/>
    <w:rsid w:val="41EB146A"/>
    <w:rsid w:val="41F67E38"/>
    <w:rsid w:val="41F73C96"/>
    <w:rsid w:val="420E5181"/>
    <w:rsid w:val="42103651"/>
    <w:rsid w:val="421502BE"/>
    <w:rsid w:val="42172E09"/>
    <w:rsid w:val="42260D80"/>
    <w:rsid w:val="422800C4"/>
    <w:rsid w:val="422E312E"/>
    <w:rsid w:val="42304DCB"/>
    <w:rsid w:val="42BD0A46"/>
    <w:rsid w:val="42C512FB"/>
    <w:rsid w:val="42D24401"/>
    <w:rsid w:val="42E756C5"/>
    <w:rsid w:val="42EC22F6"/>
    <w:rsid w:val="43065E58"/>
    <w:rsid w:val="431C7F89"/>
    <w:rsid w:val="43284021"/>
    <w:rsid w:val="43324D3B"/>
    <w:rsid w:val="4339622E"/>
    <w:rsid w:val="433A2642"/>
    <w:rsid w:val="435818D4"/>
    <w:rsid w:val="437A0AD4"/>
    <w:rsid w:val="43853221"/>
    <w:rsid w:val="43874121"/>
    <w:rsid w:val="43A44CBA"/>
    <w:rsid w:val="43AF029E"/>
    <w:rsid w:val="43C466EB"/>
    <w:rsid w:val="440B62DD"/>
    <w:rsid w:val="4427252A"/>
    <w:rsid w:val="44590E3F"/>
    <w:rsid w:val="445E7F59"/>
    <w:rsid w:val="44A67896"/>
    <w:rsid w:val="44A92F3F"/>
    <w:rsid w:val="44C71778"/>
    <w:rsid w:val="44E12F57"/>
    <w:rsid w:val="451302DE"/>
    <w:rsid w:val="451376C1"/>
    <w:rsid w:val="45592BB7"/>
    <w:rsid w:val="455D6D5F"/>
    <w:rsid w:val="45701CAF"/>
    <w:rsid w:val="45B71B11"/>
    <w:rsid w:val="45B778DE"/>
    <w:rsid w:val="45B95580"/>
    <w:rsid w:val="45BA10C5"/>
    <w:rsid w:val="45C142B9"/>
    <w:rsid w:val="45F4468E"/>
    <w:rsid w:val="460155D9"/>
    <w:rsid w:val="460A7EE3"/>
    <w:rsid w:val="46271523"/>
    <w:rsid w:val="462D194E"/>
    <w:rsid w:val="465F4E30"/>
    <w:rsid w:val="469519CD"/>
    <w:rsid w:val="469879CA"/>
    <w:rsid w:val="46BF1035"/>
    <w:rsid w:val="47147BD5"/>
    <w:rsid w:val="4715739B"/>
    <w:rsid w:val="476620AC"/>
    <w:rsid w:val="4799013B"/>
    <w:rsid w:val="479E648A"/>
    <w:rsid w:val="47BE4873"/>
    <w:rsid w:val="47D05D34"/>
    <w:rsid w:val="484506F7"/>
    <w:rsid w:val="485B6C46"/>
    <w:rsid w:val="48783354"/>
    <w:rsid w:val="487D056E"/>
    <w:rsid w:val="48A11624"/>
    <w:rsid w:val="48AF5FEF"/>
    <w:rsid w:val="48B50408"/>
    <w:rsid w:val="48E02C37"/>
    <w:rsid w:val="492D763A"/>
    <w:rsid w:val="492E435B"/>
    <w:rsid w:val="496362C2"/>
    <w:rsid w:val="496F51B4"/>
    <w:rsid w:val="499C60AE"/>
    <w:rsid w:val="49A40179"/>
    <w:rsid w:val="49A72240"/>
    <w:rsid w:val="49CB1BAA"/>
    <w:rsid w:val="49CF6810"/>
    <w:rsid w:val="4A003601"/>
    <w:rsid w:val="4A116A41"/>
    <w:rsid w:val="4A1470AD"/>
    <w:rsid w:val="4A2B177C"/>
    <w:rsid w:val="4A431740"/>
    <w:rsid w:val="4A6601A3"/>
    <w:rsid w:val="4A7F34DA"/>
    <w:rsid w:val="4A890ED6"/>
    <w:rsid w:val="4A8D3670"/>
    <w:rsid w:val="4AC05487"/>
    <w:rsid w:val="4AFD2237"/>
    <w:rsid w:val="4B2257F9"/>
    <w:rsid w:val="4B2B0B52"/>
    <w:rsid w:val="4B376839"/>
    <w:rsid w:val="4B4E0533"/>
    <w:rsid w:val="4B4E4840"/>
    <w:rsid w:val="4B4F0750"/>
    <w:rsid w:val="4B4F1990"/>
    <w:rsid w:val="4B75001F"/>
    <w:rsid w:val="4B9B1E02"/>
    <w:rsid w:val="4BBA1ED6"/>
    <w:rsid w:val="4BC863A1"/>
    <w:rsid w:val="4BE759D5"/>
    <w:rsid w:val="4BF4668B"/>
    <w:rsid w:val="4BF70A34"/>
    <w:rsid w:val="4BFF0910"/>
    <w:rsid w:val="4C1432BC"/>
    <w:rsid w:val="4C2F29BE"/>
    <w:rsid w:val="4C5A1C92"/>
    <w:rsid w:val="4C5D614A"/>
    <w:rsid w:val="4C601BB3"/>
    <w:rsid w:val="4C7B3413"/>
    <w:rsid w:val="4C9C479A"/>
    <w:rsid w:val="4C9E5354"/>
    <w:rsid w:val="4CAF5B83"/>
    <w:rsid w:val="4CC6019D"/>
    <w:rsid w:val="4CCF612A"/>
    <w:rsid w:val="4CD945DE"/>
    <w:rsid w:val="4CDD40CE"/>
    <w:rsid w:val="4D005027"/>
    <w:rsid w:val="4D1A32BA"/>
    <w:rsid w:val="4D4C50E4"/>
    <w:rsid w:val="4D5D0D6B"/>
    <w:rsid w:val="4D7C333E"/>
    <w:rsid w:val="4D805CA4"/>
    <w:rsid w:val="4D891B60"/>
    <w:rsid w:val="4DC176EF"/>
    <w:rsid w:val="4DC96400"/>
    <w:rsid w:val="4DE712D5"/>
    <w:rsid w:val="4DF711BF"/>
    <w:rsid w:val="4E07496F"/>
    <w:rsid w:val="4E1A0D1A"/>
    <w:rsid w:val="4E276CCD"/>
    <w:rsid w:val="4E2875CB"/>
    <w:rsid w:val="4E3F7F89"/>
    <w:rsid w:val="4E802CA1"/>
    <w:rsid w:val="4E834801"/>
    <w:rsid w:val="4E865164"/>
    <w:rsid w:val="4E8B1908"/>
    <w:rsid w:val="4E8F62C2"/>
    <w:rsid w:val="4E9C4FE8"/>
    <w:rsid w:val="4EA12F2C"/>
    <w:rsid w:val="4EB92457"/>
    <w:rsid w:val="4ECD685D"/>
    <w:rsid w:val="4EE67094"/>
    <w:rsid w:val="4EEE25F0"/>
    <w:rsid w:val="4F0771E0"/>
    <w:rsid w:val="4F1F4BD3"/>
    <w:rsid w:val="4F2B31C3"/>
    <w:rsid w:val="4F473A81"/>
    <w:rsid w:val="4F562CCF"/>
    <w:rsid w:val="4FB808B8"/>
    <w:rsid w:val="4FDF63AF"/>
    <w:rsid w:val="4FEA1F32"/>
    <w:rsid w:val="4FED6C7C"/>
    <w:rsid w:val="4FF53E4A"/>
    <w:rsid w:val="50206901"/>
    <w:rsid w:val="50364453"/>
    <w:rsid w:val="50374AE4"/>
    <w:rsid w:val="506F73E0"/>
    <w:rsid w:val="50723FA4"/>
    <w:rsid w:val="507B1B11"/>
    <w:rsid w:val="50921E0B"/>
    <w:rsid w:val="509267B4"/>
    <w:rsid w:val="50B16D4A"/>
    <w:rsid w:val="50BB2978"/>
    <w:rsid w:val="50BD4E1F"/>
    <w:rsid w:val="50BE7D72"/>
    <w:rsid w:val="51033C78"/>
    <w:rsid w:val="5139213B"/>
    <w:rsid w:val="514D42FE"/>
    <w:rsid w:val="51865FE2"/>
    <w:rsid w:val="51890F52"/>
    <w:rsid w:val="518E1E3B"/>
    <w:rsid w:val="518F2482"/>
    <w:rsid w:val="51A10970"/>
    <w:rsid w:val="51B7558C"/>
    <w:rsid w:val="51BA64BB"/>
    <w:rsid w:val="51BD44CE"/>
    <w:rsid w:val="51CF03A0"/>
    <w:rsid w:val="51D449D7"/>
    <w:rsid w:val="51D5494E"/>
    <w:rsid w:val="51D61D88"/>
    <w:rsid w:val="51D86880"/>
    <w:rsid w:val="51ED32B0"/>
    <w:rsid w:val="51FC2A61"/>
    <w:rsid w:val="52305A4C"/>
    <w:rsid w:val="525C3CE7"/>
    <w:rsid w:val="52790720"/>
    <w:rsid w:val="529C042A"/>
    <w:rsid w:val="52A20049"/>
    <w:rsid w:val="52B256B5"/>
    <w:rsid w:val="52B6147C"/>
    <w:rsid w:val="52B92EE7"/>
    <w:rsid w:val="52C62F8D"/>
    <w:rsid w:val="52D73541"/>
    <w:rsid w:val="52D76772"/>
    <w:rsid w:val="52EB0BC7"/>
    <w:rsid w:val="52EB3111"/>
    <w:rsid w:val="52F21F55"/>
    <w:rsid w:val="5303729C"/>
    <w:rsid w:val="53163E96"/>
    <w:rsid w:val="53373E0C"/>
    <w:rsid w:val="533B6A69"/>
    <w:rsid w:val="53430A03"/>
    <w:rsid w:val="5349426B"/>
    <w:rsid w:val="5366580D"/>
    <w:rsid w:val="537A24E5"/>
    <w:rsid w:val="537E1A3B"/>
    <w:rsid w:val="53AF4198"/>
    <w:rsid w:val="53BE05B9"/>
    <w:rsid w:val="53C14124"/>
    <w:rsid w:val="53C75190"/>
    <w:rsid w:val="53E23643"/>
    <w:rsid w:val="53FB2901"/>
    <w:rsid w:val="542B571F"/>
    <w:rsid w:val="543053DD"/>
    <w:rsid w:val="544902DE"/>
    <w:rsid w:val="54AD72FB"/>
    <w:rsid w:val="54C31DFB"/>
    <w:rsid w:val="54DD4AE6"/>
    <w:rsid w:val="55004AAD"/>
    <w:rsid w:val="5507618C"/>
    <w:rsid w:val="5508477A"/>
    <w:rsid w:val="551D2513"/>
    <w:rsid w:val="55270A38"/>
    <w:rsid w:val="55271527"/>
    <w:rsid w:val="55957FC3"/>
    <w:rsid w:val="559A62AF"/>
    <w:rsid w:val="55A00F40"/>
    <w:rsid w:val="55AE6607"/>
    <w:rsid w:val="55B852EE"/>
    <w:rsid w:val="55BA31FE"/>
    <w:rsid w:val="55C57DF1"/>
    <w:rsid w:val="55D77D4F"/>
    <w:rsid w:val="55ED2EE0"/>
    <w:rsid w:val="55F4547F"/>
    <w:rsid w:val="55FC3B84"/>
    <w:rsid w:val="56184813"/>
    <w:rsid w:val="562D7CD9"/>
    <w:rsid w:val="564646E7"/>
    <w:rsid w:val="564D221C"/>
    <w:rsid w:val="565E489A"/>
    <w:rsid w:val="56A63783"/>
    <w:rsid w:val="56C9467C"/>
    <w:rsid w:val="56CD6F61"/>
    <w:rsid w:val="56EB5639"/>
    <w:rsid w:val="56F22A32"/>
    <w:rsid w:val="572A6162"/>
    <w:rsid w:val="573C2881"/>
    <w:rsid w:val="57476D14"/>
    <w:rsid w:val="57503EF1"/>
    <w:rsid w:val="57584FC8"/>
    <w:rsid w:val="57596A47"/>
    <w:rsid w:val="575B27BF"/>
    <w:rsid w:val="576565CB"/>
    <w:rsid w:val="57742049"/>
    <w:rsid w:val="57833712"/>
    <w:rsid w:val="578C6201"/>
    <w:rsid w:val="578D049F"/>
    <w:rsid w:val="579409DA"/>
    <w:rsid w:val="57940B30"/>
    <w:rsid w:val="57BA67C5"/>
    <w:rsid w:val="57C00874"/>
    <w:rsid w:val="57D933E0"/>
    <w:rsid w:val="57E24FBA"/>
    <w:rsid w:val="57EE149B"/>
    <w:rsid w:val="57EF4CB5"/>
    <w:rsid w:val="57F95B34"/>
    <w:rsid w:val="5801089C"/>
    <w:rsid w:val="58124774"/>
    <w:rsid w:val="5815459A"/>
    <w:rsid w:val="58562316"/>
    <w:rsid w:val="58823D7B"/>
    <w:rsid w:val="58847AF3"/>
    <w:rsid w:val="588564EA"/>
    <w:rsid w:val="58A41F44"/>
    <w:rsid w:val="58CE2190"/>
    <w:rsid w:val="58F5454D"/>
    <w:rsid w:val="593005BF"/>
    <w:rsid w:val="596925A5"/>
    <w:rsid w:val="596F5057"/>
    <w:rsid w:val="59A55F73"/>
    <w:rsid w:val="59BE70D6"/>
    <w:rsid w:val="59DD570D"/>
    <w:rsid w:val="5A01354B"/>
    <w:rsid w:val="5A0518B3"/>
    <w:rsid w:val="5A2275C4"/>
    <w:rsid w:val="5A4A649B"/>
    <w:rsid w:val="5A4C128D"/>
    <w:rsid w:val="5A4C7CA2"/>
    <w:rsid w:val="5A53777D"/>
    <w:rsid w:val="5A584D94"/>
    <w:rsid w:val="5A9009D2"/>
    <w:rsid w:val="5A9445CF"/>
    <w:rsid w:val="5AAE1676"/>
    <w:rsid w:val="5AC55625"/>
    <w:rsid w:val="5ACC6A4D"/>
    <w:rsid w:val="5AD81E24"/>
    <w:rsid w:val="5AE20B01"/>
    <w:rsid w:val="5B0F6823"/>
    <w:rsid w:val="5B2836D5"/>
    <w:rsid w:val="5B661732"/>
    <w:rsid w:val="5B793214"/>
    <w:rsid w:val="5B7A6F8C"/>
    <w:rsid w:val="5B80368C"/>
    <w:rsid w:val="5B9E068A"/>
    <w:rsid w:val="5BDB5C7C"/>
    <w:rsid w:val="5BDB6A8B"/>
    <w:rsid w:val="5BE76B6F"/>
    <w:rsid w:val="5BF6341D"/>
    <w:rsid w:val="5BFA436F"/>
    <w:rsid w:val="5C036F81"/>
    <w:rsid w:val="5C584A0D"/>
    <w:rsid w:val="5C5D2B35"/>
    <w:rsid w:val="5C7560D1"/>
    <w:rsid w:val="5C785A4A"/>
    <w:rsid w:val="5C8A4BAE"/>
    <w:rsid w:val="5C9A0407"/>
    <w:rsid w:val="5CD071EB"/>
    <w:rsid w:val="5CD85AE1"/>
    <w:rsid w:val="5CE7440B"/>
    <w:rsid w:val="5CEC5C67"/>
    <w:rsid w:val="5D03534B"/>
    <w:rsid w:val="5D375134"/>
    <w:rsid w:val="5D59154F"/>
    <w:rsid w:val="5D705BAB"/>
    <w:rsid w:val="5D734AE1"/>
    <w:rsid w:val="5DA452E5"/>
    <w:rsid w:val="5DC42740"/>
    <w:rsid w:val="5DF272AD"/>
    <w:rsid w:val="5E317DD6"/>
    <w:rsid w:val="5E3C5005"/>
    <w:rsid w:val="5E3E0745"/>
    <w:rsid w:val="5E736640"/>
    <w:rsid w:val="5E761C8C"/>
    <w:rsid w:val="5E7A731E"/>
    <w:rsid w:val="5E7E23E5"/>
    <w:rsid w:val="5E9E2D4D"/>
    <w:rsid w:val="5EA160B2"/>
    <w:rsid w:val="5EAF00A9"/>
    <w:rsid w:val="5EC62C14"/>
    <w:rsid w:val="5ED7354C"/>
    <w:rsid w:val="5EE66E12"/>
    <w:rsid w:val="5EF2703B"/>
    <w:rsid w:val="5EF46E1E"/>
    <w:rsid w:val="5F2A4E35"/>
    <w:rsid w:val="5F484AAD"/>
    <w:rsid w:val="5F704A26"/>
    <w:rsid w:val="5F8D3732"/>
    <w:rsid w:val="5FAB66BA"/>
    <w:rsid w:val="5FAE5456"/>
    <w:rsid w:val="5FB539CC"/>
    <w:rsid w:val="5FCC6526"/>
    <w:rsid w:val="6008100A"/>
    <w:rsid w:val="60193217"/>
    <w:rsid w:val="601E5502"/>
    <w:rsid w:val="60390672"/>
    <w:rsid w:val="604E1113"/>
    <w:rsid w:val="60593614"/>
    <w:rsid w:val="607272CC"/>
    <w:rsid w:val="607B5964"/>
    <w:rsid w:val="60872213"/>
    <w:rsid w:val="609943F6"/>
    <w:rsid w:val="60BA1016"/>
    <w:rsid w:val="60FC519A"/>
    <w:rsid w:val="61476329"/>
    <w:rsid w:val="614F51FB"/>
    <w:rsid w:val="61533593"/>
    <w:rsid w:val="618302A0"/>
    <w:rsid w:val="6191069B"/>
    <w:rsid w:val="61AA2B5C"/>
    <w:rsid w:val="61CD42B9"/>
    <w:rsid w:val="61D116DC"/>
    <w:rsid w:val="61D24292"/>
    <w:rsid w:val="61EA6C19"/>
    <w:rsid w:val="61FE0917"/>
    <w:rsid w:val="62056794"/>
    <w:rsid w:val="621E68C3"/>
    <w:rsid w:val="625F5B3B"/>
    <w:rsid w:val="62A0441B"/>
    <w:rsid w:val="62A82919"/>
    <w:rsid w:val="62AE40EB"/>
    <w:rsid w:val="62E07A8F"/>
    <w:rsid w:val="62E23D94"/>
    <w:rsid w:val="631F28F3"/>
    <w:rsid w:val="633A3BD0"/>
    <w:rsid w:val="633C5103"/>
    <w:rsid w:val="63447D3F"/>
    <w:rsid w:val="63487979"/>
    <w:rsid w:val="6355498B"/>
    <w:rsid w:val="63567371"/>
    <w:rsid w:val="635F6634"/>
    <w:rsid w:val="63E47698"/>
    <w:rsid w:val="64254D6C"/>
    <w:rsid w:val="643B7C2E"/>
    <w:rsid w:val="6449573F"/>
    <w:rsid w:val="6461518D"/>
    <w:rsid w:val="648A0240"/>
    <w:rsid w:val="648C61C9"/>
    <w:rsid w:val="649066CE"/>
    <w:rsid w:val="64A0522C"/>
    <w:rsid w:val="64B40718"/>
    <w:rsid w:val="64BE623C"/>
    <w:rsid w:val="64DD4813"/>
    <w:rsid w:val="64E57F6D"/>
    <w:rsid w:val="65165F77"/>
    <w:rsid w:val="65183A9D"/>
    <w:rsid w:val="651E4E2C"/>
    <w:rsid w:val="658A1D19"/>
    <w:rsid w:val="658B25A8"/>
    <w:rsid w:val="659A6BA8"/>
    <w:rsid w:val="659F57DB"/>
    <w:rsid w:val="65B17A4E"/>
    <w:rsid w:val="65B3194D"/>
    <w:rsid w:val="65CE74AD"/>
    <w:rsid w:val="65E25E59"/>
    <w:rsid w:val="65EB394E"/>
    <w:rsid w:val="65EC7449"/>
    <w:rsid w:val="6603474E"/>
    <w:rsid w:val="660E4EA0"/>
    <w:rsid w:val="661A19B5"/>
    <w:rsid w:val="661C5D4D"/>
    <w:rsid w:val="66240220"/>
    <w:rsid w:val="665D4CD0"/>
    <w:rsid w:val="666351EC"/>
    <w:rsid w:val="66660838"/>
    <w:rsid w:val="66770C98"/>
    <w:rsid w:val="66866023"/>
    <w:rsid w:val="66976C44"/>
    <w:rsid w:val="66B9456E"/>
    <w:rsid w:val="66C207B0"/>
    <w:rsid w:val="66C87F07"/>
    <w:rsid w:val="66CB4B3F"/>
    <w:rsid w:val="66D34947"/>
    <w:rsid w:val="670519A4"/>
    <w:rsid w:val="672122EC"/>
    <w:rsid w:val="674A6CC4"/>
    <w:rsid w:val="675F4E6C"/>
    <w:rsid w:val="676346CC"/>
    <w:rsid w:val="67746F85"/>
    <w:rsid w:val="67780823"/>
    <w:rsid w:val="67C20BF7"/>
    <w:rsid w:val="67D432D5"/>
    <w:rsid w:val="67D84977"/>
    <w:rsid w:val="67E45EB9"/>
    <w:rsid w:val="67F2789F"/>
    <w:rsid w:val="68174103"/>
    <w:rsid w:val="684A3248"/>
    <w:rsid w:val="68701E42"/>
    <w:rsid w:val="68790CB1"/>
    <w:rsid w:val="687E00BB"/>
    <w:rsid w:val="688E6065"/>
    <w:rsid w:val="68900C2C"/>
    <w:rsid w:val="68990544"/>
    <w:rsid w:val="689F4FDB"/>
    <w:rsid w:val="68D20407"/>
    <w:rsid w:val="68D51CA5"/>
    <w:rsid w:val="68F95994"/>
    <w:rsid w:val="690600B1"/>
    <w:rsid w:val="6930042C"/>
    <w:rsid w:val="698E5C96"/>
    <w:rsid w:val="699B6A4B"/>
    <w:rsid w:val="69A31628"/>
    <w:rsid w:val="69E47297"/>
    <w:rsid w:val="69E93C5A"/>
    <w:rsid w:val="69EB5C3D"/>
    <w:rsid w:val="6A056C5C"/>
    <w:rsid w:val="6A0E449D"/>
    <w:rsid w:val="6A2F3E43"/>
    <w:rsid w:val="6A394B10"/>
    <w:rsid w:val="6A3D3930"/>
    <w:rsid w:val="6A483C28"/>
    <w:rsid w:val="6A5D1F52"/>
    <w:rsid w:val="6A7C062B"/>
    <w:rsid w:val="6A9F07BD"/>
    <w:rsid w:val="6AA95198"/>
    <w:rsid w:val="6AB9032C"/>
    <w:rsid w:val="6ABB6C9C"/>
    <w:rsid w:val="6AD9189E"/>
    <w:rsid w:val="6AE563D8"/>
    <w:rsid w:val="6AEA5EDC"/>
    <w:rsid w:val="6B2D7B77"/>
    <w:rsid w:val="6B2E3D42"/>
    <w:rsid w:val="6B3247F9"/>
    <w:rsid w:val="6B341F03"/>
    <w:rsid w:val="6B4E74C4"/>
    <w:rsid w:val="6B5B46E4"/>
    <w:rsid w:val="6B692BDE"/>
    <w:rsid w:val="6B7C5673"/>
    <w:rsid w:val="6B7E03D2"/>
    <w:rsid w:val="6BC32289"/>
    <w:rsid w:val="6BC608D8"/>
    <w:rsid w:val="6BD546E2"/>
    <w:rsid w:val="6BDA6C7A"/>
    <w:rsid w:val="6C094140"/>
    <w:rsid w:val="6C0C0BE2"/>
    <w:rsid w:val="6C1873D9"/>
    <w:rsid w:val="6C432EAB"/>
    <w:rsid w:val="6C5409E7"/>
    <w:rsid w:val="6C5539AC"/>
    <w:rsid w:val="6CA90B9D"/>
    <w:rsid w:val="6CC369E5"/>
    <w:rsid w:val="6CCF7B5A"/>
    <w:rsid w:val="6CE81115"/>
    <w:rsid w:val="6D0B038C"/>
    <w:rsid w:val="6D6579D8"/>
    <w:rsid w:val="6D700BD1"/>
    <w:rsid w:val="6D7101EF"/>
    <w:rsid w:val="6D7355DD"/>
    <w:rsid w:val="6D7F230E"/>
    <w:rsid w:val="6D806684"/>
    <w:rsid w:val="6D8C7324"/>
    <w:rsid w:val="6D9D6F89"/>
    <w:rsid w:val="6DC02F24"/>
    <w:rsid w:val="6DFA4963"/>
    <w:rsid w:val="6E22598D"/>
    <w:rsid w:val="6E376A09"/>
    <w:rsid w:val="6E4C7344"/>
    <w:rsid w:val="6E4F6056"/>
    <w:rsid w:val="6E5F3F4B"/>
    <w:rsid w:val="6EB20C27"/>
    <w:rsid w:val="6EBF2834"/>
    <w:rsid w:val="6ECA1524"/>
    <w:rsid w:val="6EE14F8A"/>
    <w:rsid w:val="6EED1AF7"/>
    <w:rsid w:val="6EF54E4F"/>
    <w:rsid w:val="6EFF182A"/>
    <w:rsid w:val="6F284536"/>
    <w:rsid w:val="6F397C4F"/>
    <w:rsid w:val="6F4B4A6F"/>
    <w:rsid w:val="6F5953DE"/>
    <w:rsid w:val="6F5F7E81"/>
    <w:rsid w:val="6F61645F"/>
    <w:rsid w:val="6F733592"/>
    <w:rsid w:val="6F7B5355"/>
    <w:rsid w:val="6F7D1C3F"/>
    <w:rsid w:val="6F9B29AB"/>
    <w:rsid w:val="6FBC006E"/>
    <w:rsid w:val="6FCF7FAB"/>
    <w:rsid w:val="6FD50999"/>
    <w:rsid w:val="6FD6520B"/>
    <w:rsid w:val="6FDB5DF3"/>
    <w:rsid w:val="6FDD600F"/>
    <w:rsid w:val="6FE7655A"/>
    <w:rsid w:val="6FF11EBF"/>
    <w:rsid w:val="6FF62C2D"/>
    <w:rsid w:val="70003AAC"/>
    <w:rsid w:val="7000585A"/>
    <w:rsid w:val="70160934"/>
    <w:rsid w:val="70415CA3"/>
    <w:rsid w:val="70433998"/>
    <w:rsid w:val="706F71EC"/>
    <w:rsid w:val="70715D1C"/>
    <w:rsid w:val="70840239"/>
    <w:rsid w:val="70904E30"/>
    <w:rsid w:val="70A1528F"/>
    <w:rsid w:val="70A3624A"/>
    <w:rsid w:val="70A6040A"/>
    <w:rsid w:val="70B772CD"/>
    <w:rsid w:val="70BE7AA5"/>
    <w:rsid w:val="70C525FF"/>
    <w:rsid w:val="70E04E91"/>
    <w:rsid w:val="715845FE"/>
    <w:rsid w:val="71836742"/>
    <w:rsid w:val="719839C7"/>
    <w:rsid w:val="71991D6D"/>
    <w:rsid w:val="71AB7A47"/>
    <w:rsid w:val="71E11860"/>
    <w:rsid w:val="72242951"/>
    <w:rsid w:val="722A4382"/>
    <w:rsid w:val="722F0678"/>
    <w:rsid w:val="722F68CA"/>
    <w:rsid w:val="723260D7"/>
    <w:rsid w:val="7241581D"/>
    <w:rsid w:val="724A3704"/>
    <w:rsid w:val="726C367A"/>
    <w:rsid w:val="72866E0A"/>
    <w:rsid w:val="72A66B9A"/>
    <w:rsid w:val="72B7679A"/>
    <w:rsid w:val="72EB65E8"/>
    <w:rsid w:val="72F07381"/>
    <w:rsid w:val="73090EC9"/>
    <w:rsid w:val="730D7924"/>
    <w:rsid w:val="731D4975"/>
    <w:rsid w:val="736B27D3"/>
    <w:rsid w:val="73705753"/>
    <w:rsid w:val="73974144"/>
    <w:rsid w:val="73A40BF2"/>
    <w:rsid w:val="73B13A3B"/>
    <w:rsid w:val="73D17591"/>
    <w:rsid w:val="73D73C05"/>
    <w:rsid w:val="73FE0302"/>
    <w:rsid w:val="74081C27"/>
    <w:rsid w:val="740C1331"/>
    <w:rsid w:val="742064CB"/>
    <w:rsid w:val="74220E03"/>
    <w:rsid w:val="744C7CFC"/>
    <w:rsid w:val="745919DD"/>
    <w:rsid w:val="745E5245"/>
    <w:rsid w:val="7460646C"/>
    <w:rsid w:val="74930E8A"/>
    <w:rsid w:val="749B3DA3"/>
    <w:rsid w:val="74B16EFA"/>
    <w:rsid w:val="74D26BC9"/>
    <w:rsid w:val="74FA2B93"/>
    <w:rsid w:val="75013D26"/>
    <w:rsid w:val="7513293E"/>
    <w:rsid w:val="751C4A37"/>
    <w:rsid w:val="752E4C17"/>
    <w:rsid w:val="75355FA6"/>
    <w:rsid w:val="754E0E15"/>
    <w:rsid w:val="75616A81"/>
    <w:rsid w:val="75640639"/>
    <w:rsid w:val="758E216D"/>
    <w:rsid w:val="75D031CF"/>
    <w:rsid w:val="75E50038"/>
    <w:rsid w:val="75F85C3A"/>
    <w:rsid w:val="76086AF3"/>
    <w:rsid w:val="760C32A3"/>
    <w:rsid w:val="761E665C"/>
    <w:rsid w:val="76481B4F"/>
    <w:rsid w:val="764C351C"/>
    <w:rsid w:val="76524935"/>
    <w:rsid w:val="765C7562"/>
    <w:rsid w:val="7662101C"/>
    <w:rsid w:val="76641728"/>
    <w:rsid w:val="767B6391"/>
    <w:rsid w:val="768C47F8"/>
    <w:rsid w:val="769211D6"/>
    <w:rsid w:val="76A827A7"/>
    <w:rsid w:val="76B002EC"/>
    <w:rsid w:val="77097262"/>
    <w:rsid w:val="772A6B84"/>
    <w:rsid w:val="77381D7D"/>
    <w:rsid w:val="773A5AF5"/>
    <w:rsid w:val="774E7257"/>
    <w:rsid w:val="776C1A27"/>
    <w:rsid w:val="778B45A3"/>
    <w:rsid w:val="77966D42"/>
    <w:rsid w:val="77A80CB1"/>
    <w:rsid w:val="77B91110"/>
    <w:rsid w:val="77C22C5C"/>
    <w:rsid w:val="780659D7"/>
    <w:rsid w:val="780E7E5F"/>
    <w:rsid w:val="7814493D"/>
    <w:rsid w:val="782B7E83"/>
    <w:rsid w:val="783562BD"/>
    <w:rsid w:val="783828A6"/>
    <w:rsid w:val="78456DCF"/>
    <w:rsid w:val="7871156E"/>
    <w:rsid w:val="78AD0549"/>
    <w:rsid w:val="78AF2513"/>
    <w:rsid w:val="78D20837"/>
    <w:rsid w:val="78D60657"/>
    <w:rsid w:val="78D6184E"/>
    <w:rsid w:val="78D766EA"/>
    <w:rsid w:val="78EF00C7"/>
    <w:rsid w:val="78F30652"/>
    <w:rsid w:val="7909677D"/>
    <w:rsid w:val="790C75C1"/>
    <w:rsid w:val="79131EC6"/>
    <w:rsid w:val="79165DDC"/>
    <w:rsid w:val="79186D67"/>
    <w:rsid w:val="793223B0"/>
    <w:rsid w:val="793E60EE"/>
    <w:rsid w:val="796706F8"/>
    <w:rsid w:val="79756B26"/>
    <w:rsid w:val="79806E99"/>
    <w:rsid w:val="79824362"/>
    <w:rsid w:val="79917A0D"/>
    <w:rsid w:val="79986B03"/>
    <w:rsid w:val="79B71A16"/>
    <w:rsid w:val="79CC49FF"/>
    <w:rsid w:val="7A0B2382"/>
    <w:rsid w:val="7A1268B5"/>
    <w:rsid w:val="7A3B22B0"/>
    <w:rsid w:val="7A9814B1"/>
    <w:rsid w:val="7A9C7DD7"/>
    <w:rsid w:val="7AA078CD"/>
    <w:rsid w:val="7AB756AF"/>
    <w:rsid w:val="7ACE1446"/>
    <w:rsid w:val="7AD005EF"/>
    <w:rsid w:val="7ADD3367"/>
    <w:rsid w:val="7ADD7A7C"/>
    <w:rsid w:val="7AF36362"/>
    <w:rsid w:val="7B1D33FC"/>
    <w:rsid w:val="7B1E128A"/>
    <w:rsid w:val="7B3665D4"/>
    <w:rsid w:val="7B424F78"/>
    <w:rsid w:val="7B476A33"/>
    <w:rsid w:val="7B71585E"/>
    <w:rsid w:val="7B901196"/>
    <w:rsid w:val="7B9D57DF"/>
    <w:rsid w:val="7BE55790"/>
    <w:rsid w:val="7BF12F29"/>
    <w:rsid w:val="7BF411CF"/>
    <w:rsid w:val="7C0250F8"/>
    <w:rsid w:val="7C3C1DBF"/>
    <w:rsid w:val="7C3C5E6C"/>
    <w:rsid w:val="7C66126F"/>
    <w:rsid w:val="7C684EAD"/>
    <w:rsid w:val="7C6D4277"/>
    <w:rsid w:val="7C6F6210"/>
    <w:rsid w:val="7C727ADF"/>
    <w:rsid w:val="7C75312C"/>
    <w:rsid w:val="7C7C5D27"/>
    <w:rsid w:val="7C967BB3"/>
    <w:rsid w:val="7C9C1F1E"/>
    <w:rsid w:val="7CA9476E"/>
    <w:rsid w:val="7CCE096B"/>
    <w:rsid w:val="7CD37E68"/>
    <w:rsid w:val="7CD95DB0"/>
    <w:rsid w:val="7D0006C9"/>
    <w:rsid w:val="7D0D7808"/>
    <w:rsid w:val="7D224368"/>
    <w:rsid w:val="7D44147C"/>
    <w:rsid w:val="7D5F006C"/>
    <w:rsid w:val="7D6F6242"/>
    <w:rsid w:val="7D7346BB"/>
    <w:rsid w:val="7DB83C60"/>
    <w:rsid w:val="7DB9671E"/>
    <w:rsid w:val="7DBB1012"/>
    <w:rsid w:val="7DCA74A7"/>
    <w:rsid w:val="7DCB394B"/>
    <w:rsid w:val="7DDD3193"/>
    <w:rsid w:val="7DDF6BD3"/>
    <w:rsid w:val="7E1D3A7B"/>
    <w:rsid w:val="7E3660BC"/>
    <w:rsid w:val="7E44104E"/>
    <w:rsid w:val="7E464086"/>
    <w:rsid w:val="7E4F4CC7"/>
    <w:rsid w:val="7E535169"/>
    <w:rsid w:val="7E5B6E43"/>
    <w:rsid w:val="7E685AFC"/>
    <w:rsid w:val="7E8266AF"/>
    <w:rsid w:val="7E83045A"/>
    <w:rsid w:val="7E953F59"/>
    <w:rsid w:val="7EBA02C1"/>
    <w:rsid w:val="7EC109B8"/>
    <w:rsid w:val="7EC23A71"/>
    <w:rsid w:val="7EE21CD9"/>
    <w:rsid w:val="7F2C6B94"/>
    <w:rsid w:val="7F4306B9"/>
    <w:rsid w:val="7F65089D"/>
    <w:rsid w:val="7F8B597C"/>
    <w:rsid w:val="7FAA57E2"/>
    <w:rsid w:val="7FAF4932"/>
    <w:rsid w:val="7FC628BB"/>
    <w:rsid w:val="7FD50AB1"/>
    <w:rsid w:val="7FDA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45"/>
    <w:autoRedefine/>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47"/>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5"/>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8"/>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9"/>
    <w:autoRedefine/>
    <w:semiHidden/>
    <w:unhideWhenUsed/>
    <w:qFormat/>
    <w:uiPriority w:val="9"/>
    <w:pPr>
      <w:keepNext/>
      <w:keepLines/>
      <w:spacing w:before="280" w:after="290" w:line="376" w:lineRule="auto"/>
      <w:outlineLvl w:val="4"/>
    </w:pPr>
    <w:rPr>
      <w:b/>
      <w:bCs/>
      <w:szCs w:val="28"/>
    </w:rPr>
  </w:style>
  <w:style w:type="paragraph" w:styleId="7">
    <w:name w:val="heading 6"/>
    <w:basedOn w:val="1"/>
    <w:next w:val="1"/>
    <w:link w:val="60"/>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61"/>
    <w:autoRedefine/>
    <w:semiHidden/>
    <w:unhideWhenUsed/>
    <w:qFormat/>
    <w:uiPriority w:val="9"/>
    <w:pPr>
      <w:keepNext/>
      <w:keepLines/>
      <w:spacing w:before="240" w:after="64" w:line="320" w:lineRule="auto"/>
      <w:outlineLvl w:val="6"/>
    </w:pPr>
    <w:rPr>
      <w:b/>
      <w:bCs/>
      <w:sz w:val="24"/>
      <w:szCs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rPr>
      <w:rFonts w:ascii="Times New Roman" w:hAnsi="Times New Roman" w:cs="Times New Roman"/>
      <w:szCs w:val="20"/>
    </w:rPr>
  </w:style>
  <w:style w:type="paragraph" w:styleId="10">
    <w:name w:val="annotation text"/>
    <w:basedOn w:val="1"/>
    <w:link w:val="68"/>
    <w:autoRedefine/>
    <w:qFormat/>
    <w:uiPriority w:val="0"/>
    <w:pPr>
      <w:jc w:val="left"/>
    </w:pPr>
  </w:style>
  <w:style w:type="paragraph" w:styleId="11">
    <w:name w:val="Body Text"/>
    <w:basedOn w:val="1"/>
    <w:next w:val="12"/>
    <w:autoRedefine/>
    <w:qFormat/>
    <w:uiPriority w:val="0"/>
    <w:pPr>
      <w:spacing w:line="360" w:lineRule="auto"/>
    </w:pPr>
    <w:rPr>
      <w:sz w:val="24"/>
    </w:rPr>
  </w:style>
  <w:style w:type="paragraph" w:customStyle="1" w:styleId="12">
    <w:name w:val="style4"/>
    <w:basedOn w:val="13"/>
    <w:next w:val="15"/>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正文1"/>
    <w:basedOn w:val="1"/>
    <w:next w:val="14"/>
    <w:autoRedefine/>
    <w:qFormat/>
    <w:uiPriority w:val="0"/>
    <w:pPr>
      <w:spacing w:line="300" w:lineRule="auto"/>
      <w:ind w:firstLine="200" w:firstLineChars="200"/>
    </w:pPr>
    <w:rPr>
      <w:sz w:val="24"/>
    </w:rPr>
  </w:style>
  <w:style w:type="paragraph" w:customStyle="1" w:styleId="14">
    <w:name w:val="正文文本1"/>
    <w:basedOn w:val="13"/>
    <w:next w:val="12"/>
    <w:autoRedefine/>
    <w:qFormat/>
    <w:uiPriority w:val="0"/>
    <w:pPr>
      <w:spacing w:after="120"/>
    </w:pPr>
    <w:rPr>
      <w:kern w:val="0"/>
      <w:sz w:val="20"/>
    </w:rPr>
  </w:style>
  <w:style w:type="paragraph" w:customStyle="1" w:styleId="1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6">
    <w:name w:val="Body Text Indent"/>
    <w:basedOn w:val="1"/>
    <w:link w:val="48"/>
    <w:autoRedefine/>
    <w:qFormat/>
    <w:uiPriority w:val="0"/>
    <w:pPr>
      <w:spacing w:line="200" w:lineRule="atLeast"/>
      <w:ind w:firstLine="301"/>
    </w:pPr>
    <w:rPr>
      <w:rFonts w:ascii="宋体" w:hAnsi="Courier New" w:cstheme="minorBidi"/>
      <w:spacing w:val="-4"/>
      <w:sz w:val="18"/>
      <w:szCs w:val="22"/>
    </w:rPr>
  </w:style>
  <w:style w:type="paragraph" w:styleId="17">
    <w:name w:val="Block Text"/>
    <w:basedOn w:val="1"/>
    <w:autoRedefine/>
    <w:qFormat/>
    <w:uiPriority w:val="0"/>
    <w:pPr>
      <w:spacing w:line="360" w:lineRule="auto"/>
      <w:ind w:left="630" w:right="-609" w:firstLine="420"/>
    </w:pPr>
    <w:rPr>
      <w:rFonts w:ascii="仿宋_GB2312" w:eastAsia="仿宋_GB2312"/>
    </w:rPr>
  </w:style>
  <w:style w:type="paragraph" w:styleId="18">
    <w:name w:val="Plain Text"/>
    <w:basedOn w:val="1"/>
    <w:link w:val="53"/>
    <w:autoRedefine/>
    <w:qFormat/>
    <w:uiPriority w:val="0"/>
    <w:pPr>
      <w:spacing w:beforeLines="50" w:afterLines="50" w:line="400" w:lineRule="atLeast"/>
    </w:pPr>
    <w:rPr>
      <w:rFonts w:ascii="宋体" w:hAnsi="Courier New" w:cstheme="minorBidi"/>
      <w:sz w:val="24"/>
      <w:szCs w:val="22"/>
    </w:rPr>
  </w:style>
  <w:style w:type="paragraph" w:styleId="19">
    <w:name w:val="Date"/>
    <w:basedOn w:val="1"/>
    <w:next w:val="1"/>
    <w:link w:val="37"/>
    <w:autoRedefine/>
    <w:unhideWhenUsed/>
    <w:qFormat/>
    <w:uiPriority w:val="0"/>
    <w:pPr>
      <w:ind w:left="100" w:leftChars="2500"/>
    </w:pPr>
  </w:style>
  <w:style w:type="paragraph" w:styleId="20">
    <w:name w:val="Balloon Text"/>
    <w:basedOn w:val="1"/>
    <w:link w:val="64"/>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4">
    <w:name w:val="toc 2"/>
    <w:basedOn w:val="1"/>
    <w:next w:val="1"/>
    <w:autoRedefine/>
    <w:unhideWhenUsed/>
    <w:qFormat/>
    <w:uiPriority w:val="39"/>
    <w:pPr>
      <w:ind w:left="420" w:leftChars="200"/>
    </w:pPr>
  </w:style>
  <w:style w:type="paragraph" w:styleId="25">
    <w:name w:val="Body Text 2"/>
    <w:basedOn w:val="1"/>
    <w:autoRedefine/>
    <w:semiHidden/>
    <w:unhideWhenUsed/>
    <w:qFormat/>
    <w:uiPriority w:val="99"/>
    <w:pPr>
      <w:spacing w:after="120" w:line="480" w:lineRule="auto"/>
    </w:pPr>
  </w:style>
  <w:style w:type="paragraph" w:styleId="26">
    <w:name w:val="Normal (Web)"/>
    <w:basedOn w:val="1"/>
    <w:autoRedefine/>
    <w:qFormat/>
    <w:uiPriority w:val="0"/>
    <w:pPr>
      <w:widowControl/>
      <w:spacing w:before="100" w:beforeAutospacing="1" w:after="100" w:afterAutospacing="1"/>
      <w:ind w:firstLine="420"/>
      <w:jc w:val="left"/>
    </w:pPr>
    <w:rPr>
      <w:rFonts w:ascii="宋体" w:hAnsi="宋体"/>
      <w:kern w:val="0"/>
      <w:sz w:val="20"/>
    </w:rPr>
  </w:style>
  <w:style w:type="paragraph" w:styleId="27">
    <w:name w:val="Title"/>
    <w:basedOn w:val="1"/>
    <w:next w:val="1"/>
    <w:link w:val="46"/>
    <w:autoRedefine/>
    <w:qFormat/>
    <w:uiPriority w:val="10"/>
    <w:pPr>
      <w:spacing w:before="240" w:after="60"/>
      <w:jc w:val="center"/>
      <w:outlineLvl w:val="0"/>
    </w:pPr>
    <w:rPr>
      <w:rFonts w:asciiTheme="majorHAnsi" w:hAnsiTheme="majorHAnsi" w:cstheme="majorBidi"/>
      <w:b/>
      <w:bCs/>
      <w:sz w:val="32"/>
      <w:szCs w:val="32"/>
    </w:rPr>
  </w:style>
  <w:style w:type="paragraph" w:styleId="28">
    <w:name w:val="annotation subject"/>
    <w:basedOn w:val="10"/>
    <w:next w:val="10"/>
    <w:link w:val="72"/>
    <w:autoRedefine/>
    <w:semiHidden/>
    <w:unhideWhenUsed/>
    <w:qFormat/>
    <w:uiPriority w:val="99"/>
    <w:rPr>
      <w:b/>
      <w:bCs/>
    </w:rPr>
  </w:style>
  <w:style w:type="paragraph" w:styleId="29">
    <w:name w:val="Body Text First Indent 2"/>
    <w:basedOn w:val="16"/>
    <w:autoRedefine/>
    <w:unhideWhenUsed/>
    <w:qFormat/>
    <w:uiPriority w:val="99"/>
    <w:pPr>
      <w:spacing w:after="120"/>
      <w:ind w:left="420" w:leftChars="200" w:firstLine="420" w:firstLineChars="200"/>
    </w:pPr>
    <w:rPr>
      <w:sz w:val="21"/>
    </w:rPr>
  </w:style>
  <w:style w:type="table" w:styleId="31">
    <w:name w:val="Table Grid"/>
    <w:basedOn w:val="3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22"/>
    <w:rPr>
      <w:b/>
      <w:bCs/>
    </w:rPr>
  </w:style>
  <w:style w:type="character" w:styleId="34">
    <w:name w:val="page number"/>
    <w:basedOn w:val="32"/>
    <w:autoRedefine/>
    <w:qFormat/>
    <w:uiPriority w:val="0"/>
  </w:style>
  <w:style w:type="character" w:styleId="35">
    <w:name w:val="Hyperlink"/>
    <w:basedOn w:val="32"/>
    <w:autoRedefine/>
    <w:unhideWhenUsed/>
    <w:qFormat/>
    <w:uiPriority w:val="99"/>
    <w:rPr>
      <w:color w:val="0000FF" w:themeColor="hyperlink"/>
      <w:u w:val="single"/>
      <w14:textFill>
        <w14:solidFill>
          <w14:schemeClr w14:val="hlink"/>
        </w14:solidFill>
      </w14:textFill>
    </w:rPr>
  </w:style>
  <w:style w:type="character" w:styleId="36">
    <w:name w:val="annotation reference"/>
    <w:basedOn w:val="32"/>
    <w:autoRedefine/>
    <w:semiHidden/>
    <w:unhideWhenUsed/>
    <w:qFormat/>
    <w:uiPriority w:val="99"/>
    <w:rPr>
      <w:sz w:val="21"/>
      <w:szCs w:val="21"/>
    </w:rPr>
  </w:style>
  <w:style w:type="character" w:customStyle="1" w:styleId="37">
    <w:name w:val="日期 Char"/>
    <w:basedOn w:val="32"/>
    <w:link w:val="19"/>
    <w:autoRedefine/>
    <w:qFormat/>
    <w:uiPriority w:val="0"/>
    <w:rPr>
      <w:rFonts w:ascii="Times New Roman" w:hAnsi="Times New Roman" w:eastAsia="宋体" w:cs="Times New Roman"/>
      <w:sz w:val="28"/>
      <w:szCs w:val="20"/>
    </w:rPr>
  </w:style>
  <w:style w:type="paragraph" w:styleId="38">
    <w:name w:val="List Paragraph"/>
    <w:basedOn w:val="1"/>
    <w:link w:val="51"/>
    <w:autoRedefine/>
    <w:qFormat/>
    <w:uiPriority w:val="99"/>
    <w:pPr>
      <w:ind w:firstLine="420" w:firstLineChars="200"/>
    </w:pPr>
  </w:style>
  <w:style w:type="paragraph" w:customStyle="1" w:styleId="39">
    <w:name w:val="正文 第一章"/>
    <w:basedOn w:val="1"/>
    <w:next w:val="40"/>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40">
    <w:name w:val="正文 1.1"/>
    <w:basedOn w:val="1"/>
    <w:next w:val="41"/>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41">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42">
    <w:name w:val="第四级"/>
    <w:basedOn w:val="1"/>
    <w:next w:val="43"/>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customStyle="1" w:styleId="43">
    <w:name w:val="正文空2格  1."/>
    <w:basedOn w:val="1"/>
    <w:autoRedefine/>
    <w:qFormat/>
    <w:uiPriority w:val="0"/>
    <w:pPr>
      <w:adjustRightInd w:val="0"/>
      <w:spacing w:line="360" w:lineRule="auto"/>
      <w:ind w:firstLine="480" w:firstLineChars="200"/>
      <w:textAlignment w:val="baseline"/>
    </w:pPr>
    <w:rPr>
      <w:rFonts w:ascii="宋体" w:eastAsia="仿宋" w:cs="宋体"/>
      <w:kern w:val="0"/>
    </w:rPr>
  </w:style>
  <w:style w:type="paragraph" w:customStyle="1" w:styleId="44">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character" w:customStyle="1" w:styleId="45">
    <w:name w:val="标题 1 Char"/>
    <w:basedOn w:val="32"/>
    <w:link w:val="2"/>
    <w:autoRedefine/>
    <w:qFormat/>
    <w:uiPriority w:val="0"/>
    <w:rPr>
      <w:rFonts w:ascii="宋体" w:hAnsi="Arial" w:eastAsia="黑体" w:cs="Times New Roman"/>
      <w:b/>
      <w:bCs/>
      <w:color w:val="000000"/>
      <w:kern w:val="44"/>
      <w:sz w:val="36"/>
      <w:szCs w:val="32"/>
    </w:rPr>
  </w:style>
  <w:style w:type="character" w:customStyle="1" w:styleId="46">
    <w:name w:val="标题 Char"/>
    <w:basedOn w:val="32"/>
    <w:link w:val="27"/>
    <w:autoRedefine/>
    <w:qFormat/>
    <w:uiPriority w:val="10"/>
    <w:rPr>
      <w:rFonts w:eastAsia="宋体" w:asciiTheme="majorHAnsi" w:hAnsiTheme="majorHAnsi" w:cstheme="majorBidi"/>
      <w:b/>
      <w:bCs/>
      <w:sz w:val="32"/>
      <w:szCs w:val="32"/>
    </w:rPr>
  </w:style>
  <w:style w:type="character" w:customStyle="1" w:styleId="47">
    <w:name w:val="标题 2 Char"/>
    <w:basedOn w:val="32"/>
    <w:link w:val="3"/>
    <w:autoRedefine/>
    <w:semiHidden/>
    <w:qFormat/>
    <w:uiPriority w:val="9"/>
    <w:rPr>
      <w:rFonts w:asciiTheme="majorHAnsi" w:hAnsiTheme="majorHAnsi" w:eastAsiaTheme="majorEastAsia" w:cstheme="majorBidi"/>
      <w:b/>
      <w:bCs/>
      <w:sz w:val="32"/>
      <w:szCs w:val="32"/>
    </w:rPr>
  </w:style>
  <w:style w:type="character" w:customStyle="1" w:styleId="48">
    <w:name w:val="正文文本缩进 Char"/>
    <w:link w:val="16"/>
    <w:autoRedefine/>
    <w:qFormat/>
    <w:locked/>
    <w:uiPriority w:val="0"/>
    <w:rPr>
      <w:rFonts w:ascii="宋体" w:hAnsi="Courier New" w:eastAsia="宋体"/>
      <w:spacing w:val="-4"/>
      <w:sz w:val="18"/>
    </w:rPr>
  </w:style>
  <w:style w:type="character" w:customStyle="1" w:styleId="49">
    <w:name w:val="正文文本缩进 Char1"/>
    <w:basedOn w:val="32"/>
    <w:autoRedefine/>
    <w:qFormat/>
    <w:uiPriority w:val="99"/>
    <w:rPr>
      <w:rFonts w:ascii="Times New Roman" w:hAnsi="Times New Roman" w:eastAsia="宋体" w:cs="Times New Roman"/>
      <w:sz w:val="28"/>
      <w:szCs w:val="20"/>
    </w:rPr>
  </w:style>
  <w:style w:type="character" w:customStyle="1" w:styleId="50">
    <w:name w:val="标题 3 Char"/>
    <w:autoRedefine/>
    <w:qFormat/>
    <w:uiPriority w:val="0"/>
    <w:rPr>
      <w:rFonts w:eastAsia="宋体"/>
      <w:b/>
      <w:bCs/>
      <w:kern w:val="2"/>
      <w:sz w:val="32"/>
      <w:szCs w:val="32"/>
      <w:lang w:val="en-US" w:eastAsia="zh-CN" w:bidi="ar-SA"/>
    </w:rPr>
  </w:style>
  <w:style w:type="character" w:customStyle="1" w:styleId="51">
    <w:name w:val="列出段落 Char"/>
    <w:link w:val="38"/>
    <w:autoRedefine/>
    <w:qFormat/>
    <w:locked/>
    <w:uiPriority w:val="0"/>
    <w:rPr>
      <w:rFonts w:ascii="Times New Roman" w:hAnsi="Times New Roman" w:eastAsia="宋体" w:cs="Times New Roman"/>
      <w:sz w:val="28"/>
      <w:szCs w:val="20"/>
    </w:rPr>
  </w:style>
  <w:style w:type="character" w:customStyle="1" w:styleId="52">
    <w:name w:val="正文 第五章 中间"/>
    <w:autoRedefine/>
    <w:qFormat/>
    <w:uiPriority w:val="0"/>
    <w:rPr>
      <w:b/>
      <w:bCs/>
      <w:color w:val="000000"/>
      <w:sz w:val="32"/>
    </w:rPr>
  </w:style>
  <w:style w:type="character" w:customStyle="1" w:styleId="53">
    <w:name w:val="纯文本 Char1"/>
    <w:link w:val="18"/>
    <w:autoRedefine/>
    <w:qFormat/>
    <w:uiPriority w:val="0"/>
    <w:rPr>
      <w:rFonts w:ascii="宋体" w:hAnsi="Courier New" w:eastAsia="宋体"/>
      <w:sz w:val="24"/>
    </w:rPr>
  </w:style>
  <w:style w:type="character" w:customStyle="1" w:styleId="54">
    <w:name w:val="纯文本 Char"/>
    <w:basedOn w:val="32"/>
    <w:autoRedefine/>
    <w:semiHidden/>
    <w:qFormat/>
    <w:uiPriority w:val="99"/>
    <w:rPr>
      <w:rFonts w:ascii="宋体" w:hAnsi="Courier New" w:eastAsia="宋体" w:cs="Courier New"/>
      <w:szCs w:val="21"/>
    </w:rPr>
  </w:style>
  <w:style w:type="character" w:customStyle="1" w:styleId="55">
    <w:name w:val="标题 3 Char1"/>
    <w:basedOn w:val="32"/>
    <w:link w:val="4"/>
    <w:autoRedefine/>
    <w:semiHidden/>
    <w:qFormat/>
    <w:uiPriority w:val="9"/>
    <w:rPr>
      <w:rFonts w:ascii="Times New Roman" w:hAnsi="Times New Roman" w:eastAsia="宋体" w:cs="Times New Roman"/>
      <w:b/>
      <w:bCs/>
      <w:sz w:val="32"/>
      <w:szCs w:val="32"/>
    </w:rPr>
  </w:style>
  <w:style w:type="character" w:customStyle="1" w:styleId="56">
    <w:name w:val="页眉 Char"/>
    <w:basedOn w:val="32"/>
    <w:link w:val="22"/>
    <w:autoRedefine/>
    <w:semiHidden/>
    <w:qFormat/>
    <w:uiPriority w:val="99"/>
    <w:rPr>
      <w:rFonts w:ascii="Times New Roman" w:hAnsi="Times New Roman" w:eastAsia="宋体" w:cs="Times New Roman"/>
      <w:sz w:val="18"/>
      <w:szCs w:val="18"/>
    </w:rPr>
  </w:style>
  <w:style w:type="character" w:customStyle="1" w:styleId="57">
    <w:name w:val="页脚 Char"/>
    <w:basedOn w:val="32"/>
    <w:link w:val="21"/>
    <w:autoRedefine/>
    <w:qFormat/>
    <w:uiPriority w:val="99"/>
    <w:rPr>
      <w:rFonts w:ascii="Times New Roman" w:hAnsi="Times New Roman" w:eastAsia="宋体" w:cs="Times New Roman"/>
      <w:sz w:val="18"/>
      <w:szCs w:val="18"/>
    </w:rPr>
  </w:style>
  <w:style w:type="character" w:customStyle="1" w:styleId="58">
    <w:name w:val="标题 4 Char"/>
    <w:basedOn w:val="32"/>
    <w:link w:val="5"/>
    <w:autoRedefine/>
    <w:semiHidden/>
    <w:qFormat/>
    <w:uiPriority w:val="9"/>
    <w:rPr>
      <w:rFonts w:asciiTheme="majorHAnsi" w:hAnsiTheme="majorHAnsi" w:eastAsiaTheme="majorEastAsia" w:cstheme="majorBidi"/>
      <w:b/>
      <w:bCs/>
      <w:sz w:val="28"/>
      <w:szCs w:val="28"/>
    </w:rPr>
  </w:style>
  <w:style w:type="character" w:customStyle="1" w:styleId="59">
    <w:name w:val="标题 5 Char"/>
    <w:basedOn w:val="32"/>
    <w:link w:val="6"/>
    <w:autoRedefine/>
    <w:semiHidden/>
    <w:qFormat/>
    <w:uiPriority w:val="9"/>
    <w:rPr>
      <w:rFonts w:ascii="Times New Roman" w:hAnsi="Times New Roman" w:eastAsia="宋体" w:cs="Times New Roman"/>
      <w:b/>
      <w:bCs/>
      <w:sz w:val="28"/>
      <w:szCs w:val="28"/>
    </w:rPr>
  </w:style>
  <w:style w:type="character" w:customStyle="1" w:styleId="60">
    <w:name w:val="标题 6 Char"/>
    <w:basedOn w:val="32"/>
    <w:link w:val="7"/>
    <w:autoRedefine/>
    <w:semiHidden/>
    <w:qFormat/>
    <w:uiPriority w:val="9"/>
    <w:rPr>
      <w:rFonts w:asciiTheme="majorHAnsi" w:hAnsiTheme="majorHAnsi" w:eastAsiaTheme="majorEastAsia" w:cstheme="majorBidi"/>
      <w:b/>
      <w:bCs/>
      <w:sz w:val="24"/>
      <w:szCs w:val="24"/>
    </w:rPr>
  </w:style>
  <w:style w:type="character" w:customStyle="1" w:styleId="61">
    <w:name w:val="标题 7 Char"/>
    <w:basedOn w:val="32"/>
    <w:link w:val="8"/>
    <w:autoRedefine/>
    <w:semiHidden/>
    <w:qFormat/>
    <w:uiPriority w:val="9"/>
    <w:rPr>
      <w:rFonts w:ascii="Times New Roman" w:hAnsi="Times New Roman" w:eastAsia="宋体" w:cs="Times New Roman"/>
      <w:b/>
      <w:bCs/>
      <w:sz w:val="24"/>
      <w:szCs w:val="24"/>
    </w:rPr>
  </w:style>
  <w:style w:type="paragraph" w:customStyle="1" w:styleId="62">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63">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4">
    <w:name w:val="批注框文本 Char"/>
    <w:basedOn w:val="32"/>
    <w:link w:val="20"/>
    <w:autoRedefine/>
    <w:semiHidden/>
    <w:qFormat/>
    <w:uiPriority w:val="99"/>
    <w:rPr>
      <w:rFonts w:ascii="Times New Roman" w:hAnsi="Times New Roman" w:eastAsia="宋体" w:cs="Times New Roman"/>
      <w:sz w:val="18"/>
      <w:szCs w:val="18"/>
    </w:rPr>
  </w:style>
  <w:style w:type="paragraph" w:customStyle="1" w:styleId="65">
    <w:name w:val="TOC 标题1"/>
    <w:basedOn w:val="2"/>
    <w:next w:val="1"/>
    <w:autoRedefine/>
    <w:unhideWhenUsed/>
    <w:qFormat/>
    <w:uiPriority w:val="39"/>
    <w:pPr>
      <w:widowControl/>
      <w:autoSpaceDE/>
      <w:autoSpaceDN/>
      <w:adjustRightInd/>
      <w:spacing w:before="480" w:after="0" w:line="276" w:lineRule="auto"/>
      <w:ind w:left="0" w:firstLine="0"/>
      <w:textAlignment w:val="auto"/>
      <w:outlineLvl w:val="9"/>
    </w:pPr>
    <w:rPr>
      <w:rFonts w:asciiTheme="majorHAnsi" w:hAnsiTheme="majorHAnsi" w:eastAsiaTheme="majorEastAsia" w:cstheme="majorBidi"/>
      <w:color w:val="376092" w:themeColor="accent1" w:themeShade="BF"/>
      <w:kern w:val="0"/>
      <w:sz w:val="28"/>
      <w:szCs w:val="28"/>
    </w:rPr>
  </w:style>
  <w:style w:type="paragraph" w:customStyle="1" w:styleId="66">
    <w:name w:val="样式1"/>
    <w:basedOn w:val="1"/>
    <w:autoRedefine/>
    <w:qFormat/>
    <w:uiPriority w:val="0"/>
    <w:pPr>
      <w:numPr>
        <w:ilvl w:val="0"/>
        <w:numId w:val="2"/>
      </w:numPr>
      <w:adjustRightInd w:val="0"/>
      <w:textAlignment w:val="baseline"/>
    </w:pPr>
    <w:rPr>
      <w:rFonts w:ascii="宋体" w:hAnsi="宋体"/>
      <w:kern w:val="0"/>
      <w:sz w:val="21"/>
    </w:rPr>
  </w:style>
  <w:style w:type="paragraph" w:customStyle="1" w:styleId="67">
    <w:name w:val="Char Char Char Char Char Char Char1 Char"/>
    <w:basedOn w:val="1"/>
    <w:autoRedefine/>
    <w:qFormat/>
    <w:uiPriority w:val="0"/>
    <w:rPr>
      <w:rFonts w:ascii="Tahoma" w:hAnsi="Tahoma"/>
      <w:sz w:val="24"/>
    </w:rPr>
  </w:style>
  <w:style w:type="character" w:customStyle="1" w:styleId="68">
    <w:name w:val="批注文字 Char"/>
    <w:basedOn w:val="32"/>
    <w:link w:val="10"/>
    <w:autoRedefine/>
    <w:qFormat/>
    <w:uiPriority w:val="0"/>
    <w:rPr>
      <w:rFonts w:ascii="Times New Roman" w:hAnsi="Times New Roman" w:eastAsia="宋体" w:cs="Times New Roman"/>
      <w:sz w:val="28"/>
      <w:szCs w:val="20"/>
    </w:rPr>
  </w:style>
  <w:style w:type="character" w:customStyle="1" w:styleId="69">
    <w:name w:val="font51"/>
    <w:basedOn w:val="32"/>
    <w:autoRedefine/>
    <w:qFormat/>
    <w:uiPriority w:val="0"/>
    <w:rPr>
      <w:rFonts w:hint="eastAsia" w:ascii="宋体" w:hAnsi="宋体" w:eastAsia="宋体" w:cs="宋体"/>
      <w:color w:val="000000"/>
      <w:sz w:val="24"/>
      <w:szCs w:val="24"/>
      <w:u w:val="none"/>
    </w:rPr>
  </w:style>
  <w:style w:type="paragraph" w:customStyle="1" w:styleId="70">
    <w:name w:val="_Style 13"/>
    <w:basedOn w:val="1"/>
    <w:next w:val="38"/>
    <w:autoRedefine/>
    <w:qFormat/>
    <w:uiPriority w:val="0"/>
    <w:pPr>
      <w:ind w:firstLine="420" w:firstLineChars="200"/>
    </w:pPr>
    <w:rPr>
      <w:rFonts w:ascii="Calibri" w:hAnsi="Calibri"/>
      <w:kern w:val="0"/>
      <w:sz w:val="20"/>
      <w:lang w:val="zh-CN"/>
    </w:rPr>
  </w:style>
  <w:style w:type="paragraph" w:customStyle="1" w:styleId="71">
    <w:name w:val="正文缩进2格"/>
    <w:basedOn w:val="1"/>
    <w:autoRedefine/>
    <w:qFormat/>
    <w:uiPriority w:val="0"/>
    <w:pPr>
      <w:spacing w:line="600" w:lineRule="exact"/>
      <w:ind w:firstLine="639" w:firstLineChars="206"/>
    </w:pPr>
    <w:rPr>
      <w:rFonts w:ascii="仿宋_GB2312" w:hAnsi="宋体" w:eastAsia="仿宋_GB2312"/>
      <w:sz w:val="31"/>
      <w:szCs w:val="22"/>
    </w:rPr>
  </w:style>
  <w:style w:type="character" w:customStyle="1" w:styleId="72">
    <w:name w:val="批注主题 Char"/>
    <w:basedOn w:val="68"/>
    <w:link w:val="28"/>
    <w:autoRedefine/>
    <w:semiHidden/>
    <w:qFormat/>
    <w:uiPriority w:val="99"/>
    <w:rPr>
      <w:b/>
      <w:bCs/>
      <w:kern w:val="2"/>
    </w:rPr>
  </w:style>
  <w:style w:type="character" w:customStyle="1" w:styleId="73">
    <w:name w:val="font61"/>
    <w:basedOn w:val="32"/>
    <w:autoRedefine/>
    <w:qFormat/>
    <w:uiPriority w:val="0"/>
    <w:rPr>
      <w:rFonts w:hint="default" w:ascii="Times New Roman" w:hAnsi="Times New Roman" w:cs="Times New Roman"/>
      <w:color w:val="000000"/>
      <w:sz w:val="32"/>
      <w:szCs w:val="32"/>
      <w:u w:val="none"/>
    </w:rPr>
  </w:style>
  <w:style w:type="character" w:customStyle="1" w:styleId="74">
    <w:name w:val="font41"/>
    <w:basedOn w:val="32"/>
    <w:autoRedefine/>
    <w:qFormat/>
    <w:uiPriority w:val="0"/>
    <w:rPr>
      <w:rFonts w:hint="eastAsia" w:ascii="宋体" w:hAnsi="宋体" w:eastAsia="宋体" w:cs="宋体"/>
      <w:color w:val="000000"/>
      <w:sz w:val="32"/>
      <w:szCs w:val="32"/>
      <w:u w:val="none"/>
    </w:rPr>
  </w:style>
  <w:style w:type="character" w:customStyle="1" w:styleId="75">
    <w:name w:val="font81"/>
    <w:basedOn w:val="32"/>
    <w:autoRedefine/>
    <w:qFormat/>
    <w:uiPriority w:val="0"/>
    <w:rPr>
      <w:rFonts w:hint="eastAsia" w:ascii="宋体" w:hAnsi="宋体" w:eastAsia="宋体" w:cs="宋体"/>
      <w:color w:val="000000"/>
      <w:sz w:val="28"/>
      <w:szCs w:val="28"/>
      <w:u w:val="none"/>
    </w:rPr>
  </w:style>
  <w:style w:type="character" w:customStyle="1" w:styleId="76">
    <w:name w:val="font71"/>
    <w:basedOn w:val="32"/>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E0090-D148-4C3E-90A9-2738C14BA3D7}">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52</Pages>
  <Words>17531</Words>
  <Characters>18051</Characters>
  <Lines>159</Lines>
  <Paragraphs>45</Paragraphs>
  <TotalTime>51</TotalTime>
  <ScaleCrop>false</ScaleCrop>
  <LinksUpToDate>false</LinksUpToDate>
  <CharactersWithSpaces>21197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2018-06-28T09:07:00Z</dcterms:created>
  <dc:creator>20110004</dc:creator>
  <cp:lastModifiedBy>Administrator</cp:lastModifiedBy>
  <cp:lastPrinted>2020-08-06T07:00:00Z</cp:lastPrinted>
  <dcterms:modified xsi:type="dcterms:W3CDTF">2024-04-24T02:21:42Z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34A1B56B23BB445B85F3522732CDF5D2_13</vt:lpwstr>
  </property>
</Properties>
</file>