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2024066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rPr>
        <w:t>逸夫科技楼动物灭菌器楼面加固</w:t>
      </w:r>
      <w:r>
        <w:rPr>
          <w:rFonts w:hint="eastAsia" w:ascii="华文中宋" w:hAnsi="华文中宋" w:eastAsia="华文中宋"/>
          <w:b/>
          <w:bCs/>
          <w:sz w:val="52"/>
          <w:szCs w:val="52"/>
          <w:lang w:eastAsia="zh-CN"/>
        </w:rPr>
        <w:t>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5</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3"/>
          <w:rFonts w:hint="eastAsia"/>
        </w:rPr>
        <w:t>第一章</w:t>
      </w:r>
      <w:r>
        <w:rPr>
          <w:rStyle w:val="33"/>
        </w:rPr>
        <w:t xml:space="preserve">  </w:t>
      </w:r>
      <w:r>
        <w:rPr>
          <w:rStyle w:val="33"/>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3"/>
          <w:rFonts w:hint="eastAsia"/>
        </w:rPr>
        <w:t>第二章</w:t>
      </w:r>
      <w:r>
        <w:rPr>
          <w:rStyle w:val="33"/>
        </w:rPr>
        <w:t xml:space="preserve">  </w:t>
      </w:r>
      <w:r>
        <w:rPr>
          <w:rStyle w:val="33"/>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3"/>
          <w:rFonts w:hint="eastAsia"/>
        </w:rPr>
        <w:t>第三章</w:t>
      </w:r>
      <w:r>
        <w:rPr>
          <w:rStyle w:val="33"/>
        </w:rPr>
        <w:t xml:space="preserve">  </w:t>
      </w:r>
      <w:r>
        <w:rPr>
          <w:rStyle w:val="33"/>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3"/>
          <w:rFonts w:hint="eastAsia"/>
        </w:rPr>
        <w:t>第四章</w:t>
      </w:r>
      <w:r>
        <w:rPr>
          <w:rStyle w:val="33"/>
        </w:rPr>
        <w:t xml:space="preserve">  </w:t>
      </w:r>
      <w:r>
        <w:rPr>
          <w:rStyle w:val="33"/>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3"/>
          <w:rFonts w:hint="eastAsia"/>
        </w:rPr>
        <w:t>第五章</w:t>
      </w:r>
      <w:r>
        <w:rPr>
          <w:rStyle w:val="33"/>
        </w:rPr>
        <w:t xml:space="preserve">  </w:t>
      </w:r>
      <w:r>
        <w:rPr>
          <w:rStyle w:val="33"/>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3"/>
          <w:rFonts w:hint="eastAsia"/>
        </w:rPr>
        <w:t>第六章</w:t>
      </w:r>
      <w:r>
        <w:rPr>
          <w:rStyle w:val="33"/>
        </w:rPr>
        <w:t xml:space="preserve">  </w:t>
      </w:r>
      <w:r>
        <w:rPr>
          <w:rStyle w:val="33"/>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3"/>
          <w:rFonts w:hint="eastAsia"/>
        </w:rPr>
        <w:t>第七章</w:t>
      </w:r>
      <w:r>
        <w:rPr>
          <w:rStyle w:val="33"/>
        </w:rPr>
        <w:t xml:space="preserve">  </w:t>
      </w:r>
      <w:r>
        <w:rPr>
          <w:rStyle w:val="33"/>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24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皖南医学院逸夫科技楼动物灭菌器楼面加固项目</w:t>
      </w:r>
      <w:r>
        <w:rPr>
          <w:rFonts w:ascii="仿宋_GB2312" w:eastAsia="仿宋_GB2312" w:cs="宋体"/>
          <w:sz w:val="24"/>
          <w:szCs w:val="24"/>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w:t>
      </w:r>
      <w:r>
        <w:rPr>
          <w:rFonts w:hint="eastAsia" w:ascii="仿宋_GB2312" w:eastAsia="仿宋_GB2312" w:cs="宋体"/>
          <w:sz w:val="24"/>
          <w:szCs w:val="24"/>
          <w:lang w:eastAsia="zh-CN"/>
        </w:rPr>
        <w:t>一）项目名称：皖南医学院逸夫科技楼动物灭菌器楼面加固项目；</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hint="eastAsia" w:ascii="仿宋_GB2312" w:eastAsia="仿宋_GB2312" w:cs="宋体"/>
          <w:sz w:val="24"/>
          <w:szCs w:val="24"/>
          <w:lang w:eastAsia="zh-CN"/>
        </w:rPr>
        <w:t>（二）项目编号：WYGZ2024066;</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 xml:space="preserve">（三）项目内容：皖南医学院逸夫科技楼动物灭菌器楼面加固工程位于芜湖市弋江区皖南医学院滨江校区内，工程包含梁底加固、板底加固等，详见磋商文件、施工图纸及工程量清单、合同等。 </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（四）项目预算：73998.16元</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5" w:firstLineChars="189"/>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6.</w:t>
      </w:r>
      <w:r>
        <w:rPr>
          <w:rFonts w:ascii="仿宋_GB2312" w:hAnsi="宋体" w:eastAsia="仿宋_GB2312" w:cs="宋体"/>
          <w:b/>
          <w:bCs/>
          <w:kern w:val="0"/>
          <w:sz w:val="24"/>
          <w:szCs w:val="24"/>
        </w:rPr>
        <w:t>具有</w:t>
      </w:r>
      <w:r>
        <w:rPr>
          <w:rFonts w:hint="eastAsia" w:ascii="仿宋_GB2312" w:hAnsi="宋体" w:eastAsia="仿宋_GB2312" w:cs="宋体"/>
          <w:b/>
          <w:bCs/>
          <w:kern w:val="0"/>
          <w:sz w:val="24"/>
          <w:szCs w:val="24"/>
        </w:rPr>
        <w:t>特种工程结构补强专业承包</w:t>
      </w:r>
      <w:r>
        <w:rPr>
          <w:rFonts w:hint="eastAsia" w:ascii="仿宋_GB2312" w:hAnsi="宋体" w:eastAsia="仿宋_GB2312" w:cs="宋体"/>
          <w:b/>
          <w:bCs/>
          <w:kern w:val="0"/>
          <w:sz w:val="24"/>
          <w:szCs w:val="24"/>
          <w:lang w:val="en-US" w:eastAsia="zh-CN"/>
        </w:rPr>
        <w:t>资质，</w:t>
      </w:r>
      <w:r>
        <w:rPr>
          <w:rFonts w:hint="eastAsia" w:ascii="仿宋_GB2312" w:hAnsi="宋体" w:eastAsia="仿宋_GB2312" w:cs="宋体"/>
          <w:b/>
          <w:bCs/>
          <w:kern w:val="0"/>
          <w:sz w:val="24"/>
          <w:szCs w:val="24"/>
        </w:rPr>
        <w:t>具备有效的安全生产许可证。投标单位相关资质须是建设行政主管部门核发的，且经年检合格。投标人拟委任的项目负责人须具备建筑工程专业二级及以上注册建造师执业资格，具备有效的安全生产考核合格证书。</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获取文件</w:t>
      </w:r>
      <w:r>
        <w:rPr>
          <w:rFonts w:ascii="仿宋_GB2312" w:eastAsia="仿宋_GB2312" w:cs="宋体"/>
          <w:sz w:val="24"/>
          <w:szCs w:val="24"/>
        </w:rPr>
        <w:t>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w:t>
      </w:r>
      <w:r>
        <w:rPr>
          <w:rFonts w:hint="eastAsia" w:ascii="仿宋_GB2312" w:eastAsia="仿宋_GB2312" w:cs="宋体"/>
          <w:sz w:val="24"/>
          <w:szCs w:val="24"/>
          <w:lang w:val="zh-CN"/>
        </w:rPr>
        <w:t>间：</w:t>
      </w:r>
      <w:r>
        <w:rPr>
          <w:rFonts w:hint="eastAsia" w:ascii="仿宋_GB2312" w:eastAsia="仿宋_GB2312" w:cs="宋体"/>
          <w:sz w:val="24"/>
          <w:szCs w:val="24"/>
          <w:lang w:val="en-US" w:eastAsia="zh-CN"/>
        </w:rPr>
        <w:t>2024年5月29日-2024年6月12日上午9：00；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（二）获取方式：</w:t>
      </w:r>
      <w:r>
        <w:rPr>
          <w:rFonts w:hint="eastAsia" w:ascii="仿宋_GB2312" w:eastAsia="仿宋_GB2312" w:cs="宋体"/>
          <w:sz w:val="24"/>
          <w:szCs w:val="24"/>
          <w:lang w:val="zh-CN" w:eastAsia="zh-CN"/>
        </w:rPr>
        <w:t>皖南医学院逸夫科技楼动物灭菌器楼面加固项目</w:t>
      </w:r>
      <w:r>
        <w:rPr>
          <w:rFonts w:hint="eastAsia" w:ascii="仿宋_GB2312" w:eastAsia="仿宋_GB2312" w:cs="宋体"/>
          <w:sz w:val="24"/>
          <w:szCs w:val="24"/>
          <w:lang w:val="zh-CN"/>
        </w:rPr>
        <w:t>（项目编号：WYGZ</w:t>
      </w:r>
      <w:r>
        <w:rPr>
          <w:rFonts w:hint="eastAsia" w:ascii="仿宋_GB2312" w:eastAsia="仿宋_GB2312" w:cs="宋体"/>
          <w:sz w:val="24"/>
          <w:szCs w:val="24"/>
          <w:lang w:val="zh-CN" w:eastAsia="zh-CN"/>
        </w:rPr>
        <w:t>2024066</w:t>
      </w:r>
      <w:r>
        <w:rPr>
          <w:rFonts w:hint="eastAsia" w:ascii="仿宋_GB2312" w:eastAsia="仿宋_GB2312" w:cs="宋体"/>
          <w:sz w:val="24"/>
          <w:szCs w:val="24"/>
          <w:lang w:val="zh-CN"/>
        </w:rPr>
        <w:t>）已在皖南医学院</w:t>
      </w:r>
      <w:r>
        <w:rPr>
          <w:rFonts w:hint="eastAsia" w:ascii="仿宋_GB2312" w:eastAsia="仿宋_GB2312" w:cs="宋体"/>
          <w:sz w:val="24"/>
          <w:szCs w:val="24"/>
          <w:lang w:val="zh-CN" w:eastAsia="zh-CN"/>
        </w:rPr>
        <w:t>国资处</w:t>
      </w:r>
      <w:r>
        <w:rPr>
          <w:rFonts w:hint="eastAsia" w:ascii="仿宋_GB2312" w:eastAsia="仿宋_GB2312" w:cs="宋体"/>
          <w:sz w:val="24"/>
          <w:szCs w:val="24"/>
          <w:lang w:val="zh-CN"/>
        </w:rPr>
        <w:t>（https://gzc.wnmc.edu.cn/）发布；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（一）响应文件递交截止时间：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6月12日上午9：00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（二）响应文件开启时间：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6月12日上午9：00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六、</w:t>
      </w:r>
      <w:r>
        <w:rPr>
          <w:rFonts w:hint="eastAsia" w:ascii="仿宋_GB2312" w:eastAsia="仿宋_GB2312" w:cs="宋体"/>
          <w:sz w:val="24"/>
          <w:szCs w:val="24"/>
          <w:lang w:eastAsia="zh-CN"/>
        </w:rPr>
        <w:t>公告期限</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eastAsia="zh-CN"/>
        </w:rPr>
        <w:t>自本公告发布之日起</w:t>
      </w:r>
      <w:r>
        <w:rPr>
          <w:rFonts w:hint="eastAsia" w:ascii="仿宋_GB2312" w:eastAsia="仿宋_GB2312" w:cs="宋体"/>
          <w:sz w:val="24"/>
          <w:szCs w:val="24"/>
          <w:lang w:val="en-US" w:eastAsia="zh-CN"/>
        </w:rPr>
        <w:t>5个工作日。</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七、</w:t>
      </w:r>
      <w:r>
        <w:rPr>
          <w:rFonts w:ascii="仿宋_GB2312" w:eastAsia="仿宋_GB2312" w:cs="宋体"/>
          <w:sz w:val="24"/>
          <w:szCs w:val="24"/>
        </w:rPr>
        <w:t>联系方式：</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八</w:t>
      </w:r>
      <w:r>
        <w:rPr>
          <w:rFonts w:ascii="仿宋_GB2312" w:eastAsia="仿宋_GB2312" w:cs="宋体"/>
          <w:sz w:val="24"/>
          <w:szCs w:val="24"/>
        </w:rPr>
        <w:t>、备注</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lang w:eastAsia="zh-CN"/>
        </w:rPr>
        <w:t>九</w:t>
      </w:r>
      <w:r>
        <w:rPr>
          <w:rFonts w:hint="eastAsia" w:ascii="仿宋_GB2312" w:eastAsia="仿宋_GB2312" w:cs="宋体"/>
          <w:sz w:val="24"/>
          <w:szCs w:val="24"/>
        </w:rPr>
        <w:t>、温馨提示</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6</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11</w:t>
      </w:r>
      <w:r>
        <w:rPr>
          <w:rFonts w:hint="eastAsia" w:ascii="仿宋_GB2312" w:eastAsia="仿宋_GB2312" w:cs="宋体"/>
          <w:sz w:val="24"/>
          <w:szCs w:val="24"/>
        </w:rPr>
        <w:t>日17：00前如实填写，未按时提交校外人员入校申请的，后果自负（受访人：王凌云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5"/>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5"/>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5</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28</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皖南医学院逸夫科技楼动物灭菌器楼面加固项目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7"/>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20823275"/>
      <w:bookmarkStart w:id="4" w:name="_Toc513029203"/>
      <w:bookmarkStart w:id="5" w:name="_Toc403987205"/>
      <w:bookmarkStart w:id="6" w:name="_Toc16938519"/>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1"/>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1"/>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1"/>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1"/>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1"/>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1"/>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1"/>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1"/>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513029209"/>
      <w:bookmarkStart w:id="23" w:name="_Toc16938525"/>
      <w:bookmarkStart w:id="24" w:name="_Toc403987206"/>
      <w:bookmarkStart w:id="25" w:name="_Toc20823281"/>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20823282"/>
      <w:bookmarkStart w:id="29" w:name="_Toc513029210"/>
      <w:r>
        <w:rPr>
          <w:rFonts w:hint="eastAsia" w:ascii="宋体" w:hAnsi="宋体" w:cs="宋体"/>
          <w:sz w:val="24"/>
          <w:szCs w:val="24"/>
        </w:rPr>
        <w:t>1.磋商文件构成</w:t>
      </w:r>
      <w:bookmarkEnd w:id="27"/>
      <w:bookmarkEnd w:id="28"/>
      <w:bookmarkEnd w:id="29"/>
    </w:p>
    <w:p>
      <w:pPr>
        <w:pStyle w:val="41"/>
        <w:snapToGrid w:val="0"/>
        <w:rPr>
          <w:rFonts w:hAnsi="宋体" w:eastAsia="宋体"/>
          <w:sz w:val="24"/>
          <w:szCs w:val="24"/>
        </w:rPr>
      </w:pPr>
      <w:r>
        <w:rPr>
          <w:rFonts w:hint="eastAsia" w:hAnsi="宋体" w:eastAsia="宋体"/>
          <w:sz w:val="24"/>
          <w:szCs w:val="24"/>
        </w:rPr>
        <w:t>磋商文件有以下部分组成：</w:t>
      </w:r>
    </w:p>
    <w:p>
      <w:pPr>
        <w:pStyle w:val="41"/>
        <w:snapToGrid w:val="0"/>
        <w:rPr>
          <w:rFonts w:hAnsi="宋体" w:eastAsia="宋体"/>
          <w:sz w:val="24"/>
          <w:szCs w:val="24"/>
        </w:rPr>
      </w:pPr>
      <w:r>
        <w:rPr>
          <w:rFonts w:hint="eastAsia" w:hAnsi="宋体" w:eastAsia="宋体"/>
          <w:sz w:val="24"/>
          <w:szCs w:val="24"/>
        </w:rPr>
        <w:t>（1）磋商公告</w:t>
      </w:r>
    </w:p>
    <w:p>
      <w:pPr>
        <w:pStyle w:val="41"/>
        <w:snapToGrid w:val="0"/>
        <w:rPr>
          <w:rFonts w:hAnsi="宋体" w:eastAsia="宋体"/>
          <w:sz w:val="24"/>
          <w:szCs w:val="24"/>
        </w:rPr>
      </w:pPr>
      <w:r>
        <w:rPr>
          <w:rFonts w:hint="eastAsia" w:hAnsi="宋体" w:eastAsia="宋体"/>
          <w:sz w:val="24"/>
          <w:szCs w:val="24"/>
        </w:rPr>
        <w:t>（2）磋商须知前附表</w:t>
      </w:r>
    </w:p>
    <w:p>
      <w:pPr>
        <w:pStyle w:val="41"/>
        <w:snapToGrid w:val="0"/>
        <w:rPr>
          <w:rFonts w:hAnsi="宋体" w:eastAsia="宋体"/>
          <w:sz w:val="24"/>
          <w:szCs w:val="24"/>
        </w:rPr>
      </w:pPr>
      <w:r>
        <w:rPr>
          <w:rFonts w:hint="eastAsia" w:hAnsi="宋体" w:eastAsia="宋体"/>
          <w:sz w:val="24"/>
          <w:szCs w:val="24"/>
        </w:rPr>
        <w:t>（3）磋商须知</w:t>
      </w:r>
    </w:p>
    <w:p>
      <w:pPr>
        <w:pStyle w:val="41"/>
        <w:snapToGrid w:val="0"/>
        <w:rPr>
          <w:rFonts w:hAnsi="宋体" w:eastAsia="宋体"/>
          <w:sz w:val="24"/>
          <w:szCs w:val="24"/>
        </w:rPr>
      </w:pPr>
      <w:r>
        <w:rPr>
          <w:rFonts w:hint="eastAsia" w:hAnsi="宋体" w:eastAsia="宋体"/>
          <w:sz w:val="24"/>
          <w:szCs w:val="24"/>
        </w:rPr>
        <w:t>（4）合同主要条款</w:t>
      </w:r>
    </w:p>
    <w:p>
      <w:pPr>
        <w:pStyle w:val="41"/>
        <w:snapToGrid w:val="0"/>
        <w:rPr>
          <w:rFonts w:hAnsi="宋体" w:eastAsia="宋体"/>
          <w:sz w:val="24"/>
          <w:szCs w:val="24"/>
        </w:rPr>
      </w:pPr>
      <w:r>
        <w:rPr>
          <w:rFonts w:hint="eastAsia" w:hAnsi="宋体" w:eastAsia="宋体"/>
          <w:sz w:val="24"/>
          <w:szCs w:val="24"/>
        </w:rPr>
        <w:t>（5）项目需求</w:t>
      </w:r>
    </w:p>
    <w:p>
      <w:pPr>
        <w:pStyle w:val="41"/>
        <w:snapToGrid w:val="0"/>
        <w:rPr>
          <w:rFonts w:hAnsi="宋体" w:eastAsia="宋体"/>
          <w:sz w:val="24"/>
          <w:szCs w:val="24"/>
        </w:rPr>
      </w:pPr>
      <w:r>
        <w:rPr>
          <w:rFonts w:hint="eastAsia" w:hAnsi="宋体" w:eastAsia="宋体"/>
          <w:sz w:val="24"/>
          <w:szCs w:val="24"/>
        </w:rPr>
        <w:t>（6）评审标准</w:t>
      </w:r>
    </w:p>
    <w:p>
      <w:pPr>
        <w:pStyle w:val="41"/>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462564070"/>
      <w:bookmarkStart w:id="31" w:name="_Toc20823283"/>
      <w:bookmarkStart w:id="32" w:name="_Toc16938527"/>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1"/>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16938529"/>
      <w:bookmarkStart w:id="36" w:name="_Toc513029213"/>
      <w:bookmarkStart w:id="37" w:name="_Toc20823285"/>
      <w:bookmarkStart w:id="38" w:name="_Toc403987207"/>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462564073"/>
      <w:bookmarkStart w:id="43" w:name="_Toc16938530"/>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1"/>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1"/>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513029215"/>
      <w:bookmarkStart w:id="46" w:name="_Toc16938531"/>
      <w:bookmarkStart w:id="47" w:name="_Toc20823287"/>
      <w:bookmarkStart w:id="48" w:name="_Toc462564074"/>
      <w:r>
        <w:rPr>
          <w:rFonts w:hint="eastAsia" w:ascii="宋体" w:hAnsi="宋体" w:cs="宋体"/>
          <w:sz w:val="24"/>
          <w:szCs w:val="24"/>
        </w:rPr>
        <w:t>4.响应文件构成</w:t>
      </w:r>
      <w:bookmarkEnd w:id="45"/>
      <w:bookmarkEnd w:id="46"/>
      <w:bookmarkEnd w:id="47"/>
      <w:bookmarkEnd w:id="48"/>
    </w:p>
    <w:p>
      <w:pPr>
        <w:pStyle w:val="41"/>
        <w:snapToGrid w:val="0"/>
        <w:rPr>
          <w:rFonts w:hAnsi="宋体" w:eastAsia="宋体"/>
          <w:sz w:val="24"/>
          <w:szCs w:val="24"/>
        </w:rPr>
      </w:pPr>
      <w:r>
        <w:rPr>
          <w:rFonts w:hint="eastAsia" w:hAnsi="宋体" w:eastAsia="宋体"/>
          <w:sz w:val="24"/>
          <w:szCs w:val="24"/>
        </w:rPr>
        <w:t>（1）供应商应该按照磋商文件的要求编写响应文件应。</w:t>
      </w:r>
    </w:p>
    <w:p>
      <w:pPr>
        <w:pStyle w:val="41"/>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68975"/>
      <w:bookmarkEnd w:id="49"/>
      <w:bookmarkStart w:id="50" w:name="_Hlt26954838"/>
      <w:bookmarkEnd w:id="50"/>
      <w:bookmarkStart w:id="51" w:name="_Hlt26670360"/>
      <w:bookmarkEnd w:id="51"/>
      <w:bookmarkStart w:id="52" w:name="_Toc14577357"/>
      <w:bookmarkStart w:id="53" w:name="_Toc49090509"/>
      <w:bookmarkStart w:id="54" w:name="_Toc513029219"/>
      <w:bookmarkStart w:id="55" w:name="_Toc14577354"/>
      <w:bookmarkStart w:id="56" w:name="_Toc49090507"/>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41"/>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1"/>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1"/>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1"/>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1"/>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1"/>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6"/>
      <w:bookmarkEnd w:id="63"/>
      <w:bookmarkStart w:id="64" w:name="_Hlt26954852"/>
      <w:bookmarkEnd w:id="64"/>
      <w:bookmarkStart w:id="65" w:name="_Hlt26954848"/>
      <w:bookmarkEnd w:id="65"/>
      <w:bookmarkStart w:id="66" w:name="_Hlt26954739"/>
      <w:bookmarkEnd w:id="66"/>
      <w:bookmarkStart w:id="67" w:name="_Hlt26670486"/>
      <w:bookmarkEnd w:id="67"/>
      <w:bookmarkStart w:id="68" w:name="_Hlt26670482"/>
      <w:bookmarkEnd w:id="68"/>
      <w:bookmarkStart w:id="69" w:name="_Hlt26954731"/>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1"/>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1"/>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6938540"/>
      <w:bookmarkStart w:id="73" w:name="_Toc120614217"/>
      <w:bookmarkStart w:id="74" w:name="_Toc513029224"/>
      <w:bookmarkStart w:id="75" w:name="_Toc403987208"/>
      <w:bookmarkStart w:id="76" w:name="_Toc20823296"/>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1"/>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1"/>
        <w:snapToGrid w:val="0"/>
        <w:rPr>
          <w:rFonts w:hAnsi="宋体" w:eastAsia="宋体"/>
          <w:sz w:val="24"/>
          <w:szCs w:val="24"/>
        </w:rPr>
      </w:pPr>
      <w:r>
        <w:rPr>
          <w:rFonts w:hint="eastAsia" w:hAnsi="宋体" w:eastAsia="宋体"/>
          <w:sz w:val="24"/>
          <w:szCs w:val="24"/>
        </w:rPr>
        <w:t>（2）密封的响应文件应：</w:t>
      </w:r>
    </w:p>
    <w:p>
      <w:pPr>
        <w:pStyle w:val="41"/>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1"/>
        <w:snapToGrid w:val="0"/>
        <w:rPr>
          <w:rFonts w:hAnsi="宋体" w:eastAsia="宋体"/>
          <w:sz w:val="24"/>
          <w:szCs w:val="24"/>
        </w:rPr>
      </w:pPr>
      <w:r>
        <w:rPr>
          <w:rFonts w:hint="eastAsia" w:hAnsi="宋体" w:eastAsia="宋体"/>
          <w:sz w:val="24"/>
          <w:szCs w:val="24"/>
        </w:rPr>
        <w:t>2）注明磋商项目名称、项目编号。</w:t>
      </w:r>
    </w:p>
    <w:p>
      <w:pPr>
        <w:pStyle w:val="41"/>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513029226"/>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1"/>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1"/>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1"/>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1"/>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1"/>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1"/>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1"/>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1"/>
        <w:snapToGrid w:val="0"/>
        <w:rPr>
          <w:rFonts w:hAnsi="宋体" w:eastAsia="宋体"/>
          <w:sz w:val="24"/>
          <w:szCs w:val="24"/>
        </w:rPr>
      </w:pPr>
      <w:bookmarkStart w:id="93" w:name="_Toc20823307"/>
      <w:bookmarkStart w:id="94" w:name="_Toc513029235"/>
      <w:bookmarkStart w:id="95" w:name="_Toc16938551"/>
      <w:r>
        <w:rPr>
          <w:rFonts w:hint="eastAsia" w:hAnsi="宋体" w:eastAsia="宋体"/>
          <w:sz w:val="24"/>
          <w:szCs w:val="24"/>
        </w:rPr>
        <w:t>（1）响应无效条款</w:t>
      </w:r>
    </w:p>
    <w:p>
      <w:pPr>
        <w:pStyle w:val="38"/>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8"/>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8"/>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1"/>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8"/>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8"/>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20823310"/>
      <w:bookmarkStart w:id="97" w:name="_Toc16938554"/>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1"/>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1"/>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20823308"/>
      <w:bookmarkStart w:id="101" w:name="_Toc513029236"/>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513029237"/>
      <w:bookmarkStart w:id="105" w:name="_Toc20823309"/>
      <w:r>
        <w:rPr>
          <w:rFonts w:hint="eastAsia" w:ascii="宋体" w:hAnsi="宋体" w:cs="宋体"/>
          <w:sz w:val="24"/>
          <w:szCs w:val="24"/>
        </w:rPr>
        <w:t>1.签订合同</w:t>
      </w:r>
    </w:p>
    <w:p>
      <w:pPr>
        <w:pStyle w:val="41"/>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1"/>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1"/>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1"/>
        <w:snapToGrid w:val="0"/>
        <w:ind w:right="280" w:rightChars="100" w:firstLine="560"/>
        <w:rPr>
          <w:rFonts w:ascii="仿宋_GB2312" w:hAnsi="宋体" w:eastAsia="仿宋_GB2312"/>
          <w:bCs/>
          <w:szCs w:val="28"/>
        </w:rPr>
      </w:pPr>
    </w:p>
    <w:p>
      <w:pPr>
        <w:pStyle w:val="41"/>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left="0" w:leftChars="0" w:firstLine="0" w:firstLineChars="0"/>
        <w:jc w:val="left"/>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一、技术要求</w:t>
      </w:r>
    </w:p>
    <w:p>
      <w:pPr>
        <w:tabs>
          <w:tab w:val="left" w:pos="567"/>
        </w:tabs>
        <w:spacing w:line="520" w:lineRule="exact"/>
        <w:ind w:firstLine="560" w:firstLineChars="200"/>
        <w:rPr>
          <w:rFonts w:eastAsia="仿宋"/>
          <w:sz w:val="28"/>
          <w:szCs w:val="28"/>
        </w:rPr>
      </w:pPr>
      <w:r>
        <w:rPr>
          <w:rFonts w:eastAsia="仿宋"/>
          <w:sz w:val="28"/>
          <w:szCs w:val="28"/>
        </w:rPr>
        <w:t>1.承包人须认真复核工程量清单，如发现工程量清单有漏量、漏项的，应在开工后7日内提出，在规定时间后任何以施工图不详、工程量清单有误等理由提出的索赔要求将不予受理，视为投标报价的优惠，即承包人完全理解并同意施工图纸及工程量清单（含技术要求），施工时须按照施工图纸及工程量清单（含技术要求）执行，施工完成后，必须满足验收规范和使用功能的要求。</w:t>
      </w:r>
    </w:p>
    <w:p>
      <w:pPr>
        <w:tabs>
          <w:tab w:val="left" w:pos="567"/>
        </w:tabs>
        <w:spacing w:line="520" w:lineRule="exact"/>
        <w:ind w:firstLine="560" w:firstLineChars="200"/>
        <w:rPr>
          <w:rFonts w:eastAsia="仿宋"/>
          <w:sz w:val="28"/>
          <w:szCs w:val="28"/>
        </w:rPr>
      </w:pPr>
      <w:r>
        <w:rPr>
          <w:rFonts w:eastAsia="仿宋"/>
          <w:sz w:val="28"/>
          <w:szCs w:val="28"/>
        </w:rPr>
        <w:t>2.施工严格按照发包人提供的图纸进行，如有不确定尺寸、颜色、清单未明确制作工艺等情况要及时与后勤管理处及使用部门联系，得到确认后方可施工。</w:t>
      </w:r>
    </w:p>
    <w:p>
      <w:pPr>
        <w:tabs>
          <w:tab w:val="left" w:pos="567"/>
        </w:tabs>
        <w:spacing w:line="520" w:lineRule="exact"/>
        <w:ind w:firstLine="560" w:firstLineChars="200"/>
        <w:rPr>
          <w:rFonts w:eastAsia="仿宋"/>
          <w:sz w:val="28"/>
          <w:szCs w:val="28"/>
        </w:rPr>
      </w:pPr>
      <w:r>
        <w:rPr>
          <w:rFonts w:eastAsia="仿宋"/>
          <w:sz w:val="28"/>
          <w:szCs w:val="28"/>
        </w:rPr>
        <w:t>3.工程总报价含材料费（主材和辅材）、劳务费、搬运费（二次搬运及垂直运输费）、施工机械费、施工费或安装费、技术服务和售后服务费、综合管理费、利润和税金等一切费用。</w:t>
      </w:r>
    </w:p>
    <w:p>
      <w:pPr>
        <w:tabs>
          <w:tab w:val="left" w:pos="567"/>
        </w:tabs>
        <w:spacing w:line="520" w:lineRule="exact"/>
        <w:ind w:firstLine="560" w:firstLineChars="200"/>
        <w:rPr>
          <w:rFonts w:hint="eastAsia" w:eastAsia="仿宋"/>
          <w:sz w:val="28"/>
          <w:szCs w:val="28"/>
          <w:lang w:eastAsia="zh-CN"/>
        </w:rPr>
      </w:pPr>
      <w:r>
        <w:rPr>
          <w:rFonts w:eastAsia="仿宋"/>
          <w:sz w:val="28"/>
          <w:szCs w:val="28"/>
        </w:rPr>
        <w:t>4.本工程工期</w:t>
      </w:r>
      <w:r>
        <w:rPr>
          <w:rFonts w:eastAsia="仿宋"/>
          <w:color w:val="0000FF"/>
          <w:sz w:val="28"/>
          <w:szCs w:val="28"/>
        </w:rPr>
        <w:t xml:space="preserve"> </w:t>
      </w:r>
      <w:r>
        <w:rPr>
          <w:rFonts w:hint="eastAsia" w:eastAsia="仿宋"/>
          <w:sz w:val="28"/>
          <w:szCs w:val="28"/>
          <w:lang w:val="en-US" w:eastAsia="zh-CN"/>
        </w:rPr>
        <w:t>15</w:t>
      </w:r>
      <w:r>
        <w:rPr>
          <w:rFonts w:eastAsia="仿宋"/>
          <w:sz w:val="28"/>
          <w:szCs w:val="28"/>
        </w:rPr>
        <w:t>日历天，从发包人书面通知进场施工时间开始计算。因承包人原因推迟的按500元/天对其进行处罚（发包人原因除外，但需承包人书面提出，后勤管理处现场负责人签字确认），在结算审计时扣除；推迟10天及以上发包人将发函警告承包人，将其录入学校黑名单库并在已有处罚基础上扣除全部履约保证金，3年内禁止参加学校任何招投标活动。不可抗力因素除外。</w:t>
      </w:r>
      <w:r>
        <w:rPr>
          <w:rFonts w:eastAsia="仿宋"/>
          <w:sz w:val="28"/>
          <w:szCs w:val="28"/>
        </w:rPr>
        <w:br w:type="textWrapping"/>
      </w:r>
      <w:r>
        <w:rPr>
          <w:rFonts w:eastAsia="仿宋"/>
          <w:sz w:val="28"/>
          <w:szCs w:val="28"/>
        </w:rPr>
        <w:t xml:space="preserve">    本工程施工期间因施工场地仍有科研需要，承包人需服从发包人的要求，无条件配合</w:t>
      </w:r>
      <w:r>
        <w:rPr>
          <w:rFonts w:hint="eastAsia" w:eastAsia="仿宋"/>
          <w:sz w:val="28"/>
          <w:szCs w:val="28"/>
          <w:lang w:eastAsia="zh-CN"/>
        </w:rPr>
        <w:t>。</w:t>
      </w:r>
    </w:p>
    <w:p>
      <w:pPr>
        <w:tabs>
          <w:tab w:val="left" w:pos="567"/>
        </w:tabs>
        <w:spacing w:line="520" w:lineRule="exact"/>
        <w:ind w:firstLine="560" w:firstLineChars="200"/>
        <w:rPr>
          <w:rFonts w:eastAsia="仿宋"/>
          <w:sz w:val="28"/>
          <w:szCs w:val="28"/>
        </w:rPr>
      </w:pPr>
      <w:r>
        <w:rPr>
          <w:rFonts w:eastAsia="仿宋"/>
          <w:sz w:val="28"/>
          <w:szCs w:val="28"/>
        </w:rPr>
        <w:t>5.承包人必须完善自身质量安全管理体系和文明施工措施，杜绝野蛮施工和安全事故发生。承包人若发生质量或安全事故，均由承包人自行承担一切后果，造成发包人损失的按实赔偿，并承担相应法律责任。禁止高空抛物。在施工过程中须对现场环境进行保护，如对墙面、地面及其他设施等造成破坏须原样修复或照价赔偿。</w:t>
      </w:r>
    </w:p>
    <w:p>
      <w:pPr>
        <w:tabs>
          <w:tab w:val="left" w:pos="567"/>
        </w:tabs>
        <w:spacing w:line="520" w:lineRule="exact"/>
        <w:ind w:firstLine="560" w:firstLineChars="200"/>
        <w:rPr>
          <w:rFonts w:eastAsia="仿宋"/>
          <w:sz w:val="28"/>
          <w:szCs w:val="28"/>
        </w:rPr>
      </w:pPr>
      <w:r>
        <w:rPr>
          <w:rFonts w:eastAsia="仿宋"/>
          <w:sz w:val="28"/>
          <w:szCs w:val="28"/>
        </w:rPr>
        <w:t>6.工程施工中，垃圾须运输至校方指定地点临时覆盖堆放并按时清运出校外，运输需要符合环保、市政要求；完工后，保洁维修改造全部地点，清洁地面、墙面、门窗及玻璃上的油漆和灰尘，垃圾装袋并外运。</w:t>
      </w:r>
    </w:p>
    <w:p>
      <w:pPr>
        <w:spacing w:line="520" w:lineRule="exact"/>
        <w:ind w:firstLine="560" w:firstLineChars="200"/>
        <w:rPr>
          <w:rFonts w:eastAsia="仿宋"/>
          <w:sz w:val="28"/>
          <w:szCs w:val="28"/>
        </w:rPr>
      </w:pPr>
      <w:r>
        <w:rPr>
          <w:rFonts w:eastAsia="仿宋"/>
          <w:sz w:val="28"/>
          <w:szCs w:val="28"/>
        </w:rPr>
        <w:t>7.</w:t>
      </w:r>
      <w:r>
        <w:rPr>
          <w:rFonts w:hint="eastAsia" w:eastAsia="仿宋"/>
          <w:sz w:val="28"/>
          <w:szCs w:val="28"/>
        </w:rPr>
        <w:t>本工程不支付进度款，工程完工后由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spacing w:line="520" w:lineRule="exact"/>
        <w:ind w:firstLine="560" w:firstLineChars="200"/>
        <w:rPr>
          <w:rFonts w:eastAsia="仿宋"/>
          <w:sz w:val="28"/>
          <w:szCs w:val="28"/>
        </w:rPr>
      </w:pPr>
      <w:r>
        <w:rPr>
          <w:rFonts w:eastAsia="仿宋"/>
          <w:sz w:val="28"/>
          <w:szCs w:val="28"/>
        </w:rPr>
        <w:t>本工程质保期</w:t>
      </w:r>
      <w:r>
        <w:rPr>
          <w:rFonts w:hint="eastAsia" w:eastAsia="仿宋"/>
          <w:sz w:val="28"/>
          <w:szCs w:val="28"/>
          <w:lang w:val="en-US" w:eastAsia="zh-CN"/>
        </w:rPr>
        <w:t>12</w:t>
      </w:r>
      <w:r>
        <w:rPr>
          <w:rFonts w:eastAsia="仿宋"/>
          <w:sz w:val="28"/>
          <w:szCs w:val="28"/>
        </w:rPr>
        <w:t>个月，质保期从验收合格之日起计算。工程质保期内出现质量问题，承包人需及时修复，修复完成后发包人再次进行验收，验收合格后质保期顺延一年；如承包人不能修复或修复不及时，发包人可另行安排队伍维修，发生的费用从质量保证金中扣除；如再次出现质量问题，处理方式同前。对于多次重复出现的问题，发包人将</w:t>
      </w:r>
      <w:r>
        <w:rPr>
          <w:rFonts w:hint="eastAsia" w:eastAsia="仿宋"/>
          <w:sz w:val="28"/>
          <w:szCs w:val="28"/>
          <w:lang w:val="en-US" w:eastAsia="zh-CN"/>
        </w:rPr>
        <w:t>发函警报承包人，</w:t>
      </w:r>
      <w:r>
        <w:rPr>
          <w:rFonts w:eastAsia="仿宋"/>
          <w:sz w:val="28"/>
          <w:szCs w:val="28"/>
        </w:rPr>
        <w:t>并将承包人记入发包人黑名单库，三年内禁止参加发包人组织的校内采购活动。</w:t>
      </w:r>
    </w:p>
    <w:p>
      <w:pPr>
        <w:tabs>
          <w:tab w:val="left" w:pos="567"/>
        </w:tabs>
        <w:spacing w:line="520" w:lineRule="exact"/>
        <w:ind w:firstLine="560" w:firstLineChars="200"/>
        <w:rPr>
          <w:rFonts w:eastAsia="仿宋"/>
          <w:sz w:val="28"/>
          <w:szCs w:val="28"/>
        </w:rPr>
      </w:pPr>
      <w:r>
        <w:rPr>
          <w:rFonts w:eastAsia="仿宋"/>
          <w:sz w:val="28"/>
          <w:szCs w:val="28"/>
        </w:rPr>
        <w:t>8.工程竣工验收</w:t>
      </w:r>
      <w:r>
        <w:rPr>
          <w:rFonts w:hint="eastAsia" w:eastAsia="仿宋"/>
          <w:sz w:val="28"/>
          <w:szCs w:val="28"/>
          <w:lang w:val="en-US" w:eastAsia="zh-CN"/>
        </w:rPr>
        <w:t>时同时</w:t>
      </w:r>
      <w:r>
        <w:rPr>
          <w:rFonts w:eastAsia="仿宋"/>
          <w:sz w:val="28"/>
          <w:szCs w:val="28"/>
        </w:rPr>
        <w:t>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等。如延期提交，在结算审计时按</w:t>
      </w:r>
      <w:r>
        <w:rPr>
          <w:rFonts w:hint="eastAsia" w:eastAsia="仿宋"/>
          <w:sz w:val="28"/>
          <w:szCs w:val="28"/>
          <w:lang w:val="en-US" w:eastAsia="zh-CN"/>
        </w:rPr>
        <w:t>3</w:t>
      </w:r>
      <w:r>
        <w:rPr>
          <w:rFonts w:eastAsia="仿宋"/>
          <w:sz w:val="28"/>
          <w:szCs w:val="28"/>
        </w:rPr>
        <w:t>00元/天进行扣款。经发包人发函警告后7日内仍未提交的，将其录入学校黑名单库，3年内禁止参加学校任何招投标活动。</w:t>
      </w:r>
    </w:p>
    <w:p>
      <w:pPr>
        <w:tabs>
          <w:tab w:val="left" w:pos="567"/>
        </w:tabs>
        <w:spacing w:line="520" w:lineRule="exact"/>
        <w:ind w:firstLine="560" w:firstLineChars="200"/>
        <w:rPr>
          <w:rFonts w:eastAsia="仿宋"/>
          <w:sz w:val="28"/>
          <w:szCs w:val="28"/>
        </w:rPr>
      </w:pPr>
      <w:r>
        <w:rPr>
          <w:rFonts w:eastAsia="仿宋"/>
          <w:sz w:val="28"/>
          <w:szCs w:val="28"/>
        </w:rPr>
        <w:t>9.承包人采购的所有设备、材料进场时均要有合格证、检测报告等，证明该产品符合校方要求；水电材料需要提供3C认证，并符合国家规范要求；必须由建设单位项目负责人签字确认后方可进场安装，否则不支付材料款；发包人保留在承包人进场后施工期间，对承包人进场使用的任何材料因不满足工程质量和功能使用要求，而要求承包人即行调换的权利。</w:t>
      </w:r>
    </w:p>
    <w:p>
      <w:pPr>
        <w:tabs>
          <w:tab w:val="left" w:pos="567"/>
        </w:tabs>
        <w:spacing w:line="520" w:lineRule="exact"/>
        <w:ind w:firstLine="560" w:firstLineChars="200"/>
        <w:rPr>
          <w:rFonts w:eastAsia="仿宋"/>
          <w:sz w:val="28"/>
          <w:szCs w:val="28"/>
        </w:rPr>
      </w:pPr>
      <w:r>
        <w:rPr>
          <w:rFonts w:eastAsia="仿宋"/>
          <w:sz w:val="28"/>
          <w:szCs w:val="28"/>
        </w:rPr>
        <w:t>1</w:t>
      </w:r>
      <w:r>
        <w:rPr>
          <w:rFonts w:hint="eastAsia" w:eastAsia="仿宋"/>
          <w:sz w:val="28"/>
          <w:szCs w:val="28"/>
          <w:lang w:val="en-US" w:eastAsia="zh-CN"/>
        </w:rPr>
        <w:t>0</w:t>
      </w:r>
      <w:r>
        <w:rPr>
          <w:rFonts w:eastAsia="仿宋"/>
          <w:sz w:val="28"/>
          <w:szCs w:val="28"/>
        </w:rPr>
        <w:t>.如图纸、清单与本技术要求有矛盾之处，以后勤管理处书面解释为准。</w:t>
      </w:r>
    </w:p>
    <w:p>
      <w:pPr>
        <w:tabs>
          <w:tab w:val="left" w:pos="567"/>
        </w:tabs>
        <w:spacing w:line="520" w:lineRule="exact"/>
        <w:ind w:firstLine="560" w:firstLineChars="200"/>
        <w:rPr>
          <w:rFonts w:eastAsia="仿宋"/>
          <w:sz w:val="28"/>
          <w:szCs w:val="28"/>
        </w:rPr>
      </w:pPr>
      <w:r>
        <w:rPr>
          <w:rFonts w:eastAsia="仿宋"/>
          <w:sz w:val="28"/>
          <w:szCs w:val="28"/>
        </w:rPr>
        <w:t>1</w:t>
      </w:r>
      <w:r>
        <w:rPr>
          <w:rFonts w:hint="eastAsia" w:eastAsia="仿宋"/>
          <w:sz w:val="28"/>
          <w:szCs w:val="28"/>
          <w:lang w:val="en-US" w:eastAsia="zh-CN"/>
        </w:rPr>
        <w:t>1</w:t>
      </w:r>
      <w:r>
        <w:rPr>
          <w:rFonts w:eastAsia="仿宋"/>
          <w:sz w:val="28"/>
          <w:szCs w:val="28"/>
        </w:rPr>
        <w:t>.投标文件须包含分部分项工程量清单综合单价分析表等《建设工程工程量清单计价规范》（GB 50500-2013）中要求提供的文件。</w:t>
      </w:r>
    </w:p>
    <w:p>
      <w:pPr>
        <w:pStyle w:val="15"/>
        <w:spacing w:line="520" w:lineRule="exact"/>
        <w:ind w:left="0" w:leftChars="0" w:firstLine="560" w:firstLineChars="200"/>
        <w:rPr>
          <w:rFonts w:eastAsia="仿宋"/>
          <w:sz w:val="28"/>
          <w:szCs w:val="28"/>
        </w:rPr>
      </w:pPr>
      <w:r>
        <w:rPr>
          <w:rFonts w:eastAsia="仿宋"/>
          <w:sz w:val="28"/>
          <w:szCs w:val="28"/>
        </w:rPr>
        <w:t>1</w:t>
      </w:r>
      <w:r>
        <w:rPr>
          <w:rFonts w:hint="eastAsia" w:eastAsia="仿宋"/>
          <w:sz w:val="28"/>
          <w:szCs w:val="28"/>
          <w:lang w:val="en-US" w:eastAsia="zh-CN"/>
        </w:rPr>
        <w:t>2</w:t>
      </w:r>
      <w:r>
        <w:rPr>
          <w:rFonts w:eastAsia="仿宋"/>
          <w:sz w:val="28"/>
          <w:szCs w:val="28"/>
        </w:rPr>
        <w:t>.涉及隐蔽工程内容的，承包人应在隐蔽工程覆盖、掩埋或拆除前通知发包人代表进行现场勘查、确认，并由现场代表会同审计处，共同做好隐蔽工程记录。未按规定办理隐蔽工程记录的，其工程量不予认定。在施工过程中，承包人必须填写学校规定的隐蔽工程验收记录单，及时通知发包人验收并办理签字手续。</w:t>
      </w:r>
    </w:p>
    <w:p>
      <w:pPr>
        <w:spacing w:line="520" w:lineRule="exact"/>
        <w:ind w:firstLine="560" w:firstLineChars="200"/>
        <w:rPr>
          <w:rFonts w:eastAsia="仿宋"/>
          <w:sz w:val="28"/>
          <w:szCs w:val="28"/>
        </w:rPr>
      </w:pPr>
      <w:r>
        <w:rPr>
          <w:rFonts w:eastAsia="仿宋"/>
          <w:sz w:val="28"/>
          <w:szCs w:val="28"/>
        </w:rPr>
        <w:t>1</w:t>
      </w:r>
      <w:r>
        <w:rPr>
          <w:rFonts w:hint="eastAsia" w:eastAsia="仿宋"/>
          <w:sz w:val="28"/>
          <w:szCs w:val="28"/>
          <w:lang w:val="en-US" w:eastAsia="zh-CN"/>
        </w:rPr>
        <w:t>3</w:t>
      </w:r>
      <w:r>
        <w:rPr>
          <w:rFonts w:eastAsia="仿宋"/>
          <w:sz w:val="28"/>
          <w:szCs w:val="28"/>
        </w:rPr>
        <w:t>.合同价款范围</w:t>
      </w:r>
    </w:p>
    <w:p>
      <w:pPr>
        <w:spacing w:line="520" w:lineRule="exact"/>
        <w:ind w:firstLine="560" w:firstLineChars="200"/>
        <w:rPr>
          <w:rFonts w:eastAsia="仿宋"/>
          <w:sz w:val="28"/>
          <w:szCs w:val="28"/>
        </w:rPr>
      </w:pPr>
      <w:r>
        <w:rPr>
          <w:rFonts w:eastAsia="仿宋"/>
          <w:sz w:val="28"/>
          <w:szCs w:val="28"/>
        </w:rPr>
        <w:t>（1）本工程合同价格形式为固定单价合同，合同价款范围为按施工图纸及工程量清单（含技术要求）完成施工所需的全部费用。</w:t>
      </w:r>
    </w:p>
    <w:p>
      <w:pPr>
        <w:spacing w:line="520" w:lineRule="exact"/>
        <w:ind w:firstLine="560" w:firstLineChars="200"/>
        <w:rPr>
          <w:rFonts w:eastAsia="仿宋"/>
          <w:sz w:val="28"/>
          <w:szCs w:val="28"/>
        </w:rPr>
      </w:pPr>
      <w:r>
        <w:rPr>
          <w:rFonts w:eastAsia="仿宋"/>
          <w:sz w:val="28"/>
          <w:szCs w:val="28"/>
        </w:rPr>
        <w:t>（2）承包人在投标时应充分考虑材料（设备）价格上涨等不确定因素，风险自行承担。在工程施工期间，若安徽省或芜湖市政府相关文件规定涉人工费或税金调整，按文件规定办理。</w:t>
      </w:r>
    </w:p>
    <w:p>
      <w:pPr>
        <w:spacing w:line="520" w:lineRule="exact"/>
        <w:ind w:firstLine="560" w:firstLineChars="200"/>
        <w:rPr>
          <w:rFonts w:eastAsia="仿宋"/>
          <w:sz w:val="28"/>
          <w:szCs w:val="28"/>
        </w:rPr>
      </w:pPr>
      <w:r>
        <w:rPr>
          <w:rFonts w:eastAsia="仿宋"/>
          <w:sz w:val="28"/>
          <w:szCs w:val="28"/>
        </w:rPr>
        <w:t>（3）按国家建筑法、施工标准及规范的规定，本工程主要建筑材料要进行检测试验（含复试），并提供合格的检测（复试）报告，检测试验发生的费用由承包人承担。</w:t>
      </w:r>
    </w:p>
    <w:p>
      <w:pPr>
        <w:spacing w:line="520" w:lineRule="exact"/>
        <w:ind w:firstLine="560" w:firstLineChars="200"/>
        <w:rPr>
          <w:rFonts w:eastAsia="仿宋"/>
          <w:sz w:val="28"/>
          <w:szCs w:val="28"/>
        </w:rPr>
      </w:pPr>
      <w:r>
        <w:rPr>
          <w:rFonts w:eastAsia="仿宋"/>
          <w:sz w:val="28"/>
          <w:szCs w:val="28"/>
        </w:rPr>
        <w:t>（4）现场施工</w:t>
      </w:r>
      <w:r>
        <w:rPr>
          <w:rFonts w:hint="eastAsia" w:eastAsia="仿宋"/>
          <w:sz w:val="28"/>
          <w:szCs w:val="28"/>
          <w:lang w:val="en-US" w:eastAsia="zh-CN"/>
        </w:rPr>
        <w:t>水电费在</w:t>
      </w:r>
      <w:r>
        <w:rPr>
          <w:rFonts w:eastAsia="仿宋"/>
          <w:sz w:val="28"/>
          <w:szCs w:val="28"/>
        </w:rPr>
        <w:t>工程结算审计时按审定金额的 7‰在工程造价中予以扣除。</w:t>
      </w:r>
    </w:p>
    <w:p>
      <w:pPr>
        <w:spacing w:line="520" w:lineRule="exact"/>
        <w:ind w:firstLine="560" w:firstLineChars="200"/>
        <w:rPr>
          <w:rFonts w:eastAsia="仿宋"/>
          <w:sz w:val="28"/>
          <w:szCs w:val="28"/>
        </w:rPr>
      </w:pPr>
      <w:r>
        <w:rPr>
          <w:rFonts w:eastAsia="仿宋"/>
          <w:sz w:val="28"/>
          <w:szCs w:val="28"/>
        </w:rPr>
        <w:t>（5）所有辅材及配件均已列入清单和措施费中，工作量及费用不另签证。</w:t>
      </w:r>
    </w:p>
    <w:p>
      <w:pPr>
        <w:pStyle w:val="15"/>
        <w:spacing w:line="520" w:lineRule="exact"/>
        <w:ind w:left="0" w:leftChars="0" w:firstLine="560" w:firstLineChars="200"/>
        <w:rPr>
          <w:rFonts w:eastAsia="仿宋"/>
          <w:sz w:val="28"/>
          <w:szCs w:val="28"/>
        </w:rPr>
      </w:pPr>
      <w:r>
        <w:rPr>
          <w:rFonts w:eastAsia="仿宋"/>
          <w:sz w:val="28"/>
          <w:szCs w:val="28"/>
        </w:rPr>
        <w:t>1</w:t>
      </w:r>
      <w:r>
        <w:rPr>
          <w:rFonts w:hint="eastAsia" w:eastAsia="仿宋"/>
          <w:sz w:val="28"/>
          <w:szCs w:val="28"/>
          <w:lang w:val="en-US" w:eastAsia="zh-CN"/>
        </w:rPr>
        <w:t>4</w:t>
      </w:r>
      <w:bookmarkStart w:id="134" w:name="_GoBack"/>
      <w:bookmarkEnd w:id="134"/>
      <w:r>
        <w:rPr>
          <w:rFonts w:eastAsia="仿宋"/>
          <w:sz w:val="28"/>
          <w:szCs w:val="28"/>
        </w:rPr>
        <w:t>.变更及签证要求</w:t>
      </w:r>
    </w:p>
    <w:p>
      <w:pPr>
        <w:spacing w:line="520" w:lineRule="exact"/>
        <w:ind w:firstLine="560" w:firstLineChars="200"/>
        <w:rPr>
          <w:rFonts w:eastAsia="仿宋"/>
          <w:sz w:val="28"/>
          <w:szCs w:val="28"/>
        </w:rPr>
      </w:pPr>
      <w:r>
        <w:rPr>
          <w:rFonts w:eastAsia="仿宋"/>
          <w:sz w:val="28"/>
          <w:szCs w:val="28"/>
        </w:rPr>
        <w:t xml:space="preserve">（1）本工程原则上不办理变更，确因实际需要进行的设计变更和发包人提出的变更调增调减部分，原则上参照投标文件中单价计算。投标文件中没有相同类型的子目，结算时执行2018版《安 徽省建设工程工程量清单计价办法》、2018版《安徽省建设工程工程计价定额》及其配套的费用定额、《建设工程工程量清单计价规范》（GB50500-2013），相关优惠率同投标优惠率一致。投标文件中没有的主材参考芜湖市建设工程造价管理站发布的当月信息价计算，信息价中没有的材料结合市场定价。 </w:t>
      </w:r>
    </w:p>
    <w:p>
      <w:pPr>
        <w:spacing w:line="520" w:lineRule="exact"/>
        <w:ind w:firstLine="560" w:firstLineChars="200"/>
        <w:rPr>
          <w:rFonts w:eastAsia="仿宋"/>
          <w:sz w:val="28"/>
          <w:szCs w:val="28"/>
        </w:rPr>
      </w:pPr>
      <w:r>
        <w:rPr>
          <w:rFonts w:eastAsia="仿宋"/>
          <w:sz w:val="28"/>
          <w:szCs w:val="28"/>
        </w:rPr>
        <w:t xml:space="preserve">（2）因图纸设计发生变更或调整工作内容需要增加费用的，承包人在双方确定变更后7日内向发包人提出变更工程价款材料，提交发包人签字确认。否则，视为该项变更不涉及合同价款的变更，若发生费用由承包人自行承担。发生经济签证产生的合同价款变更，其最终造价以审计部门核定为准。 </w:t>
      </w:r>
    </w:p>
    <w:p>
      <w:pPr>
        <w:spacing w:line="520" w:lineRule="exact"/>
        <w:ind w:firstLine="560" w:firstLineChars="200"/>
        <w:rPr>
          <w:rFonts w:eastAsia="仿宋"/>
          <w:sz w:val="28"/>
          <w:szCs w:val="28"/>
        </w:rPr>
      </w:pPr>
      <w:r>
        <w:rPr>
          <w:rFonts w:eastAsia="仿宋"/>
          <w:sz w:val="28"/>
          <w:szCs w:val="28"/>
        </w:rPr>
        <w:t>（3）所有工程变更必须按照皖南医学院有关管理文件办理，具体参照《皖南医学院基建维修工程管理办法（修订）》（校政〔2020〕118 号）及《后勤管理处基建维修工程变更签证管理规定（修订）》（后勤〔2022〕002 号）文件执行，变更签证必须按《皖南医学院基建维修工程变更签证审批表》逐级签字盖章后有效。</w:t>
      </w:r>
    </w:p>
    <w:p>
      <w:pPr>
        <w:pStyle w:val="15"/>
        <w:spacing w:line="520" w:lineRule="exact"/>
        <w:ind w:left="0" w:leftChars="0" w:firstLine="560" w:firstLineChars="200"/>
        <w:rPr>
          <w:rFonts w:eastAsia="仿宋"/>
          <w:sz w:val="28"/>
          <w:szCs w:val="28"/>
        </w:rPr>
      </w:pPr>
      <w:r>
        <w:rPr>
          <w:rFonts w:eastAsia="仿宋"/>
          <w:sz w:val="28"/>
          <w:szCs w:val="28"/>
        </w:rPr>
        <w:t>1</w:t>
      </w:r>
      <w:r>
        <w:rPr>
          <w:rFonts w:hint="eastAsia" w:eastAsia="仿宋"/>
          <w:sz w:val="28"/>
          <w:szCs w:val="28"/>
          <w:lang w:val="en-US" w:eastAsia="zh-CN"/>
        </w:rPr>
        <w:t>5</w:t>
      </w:r>
      <w:r>
        <w:rPr>
          <w:rFonts w:eastAsia="仿宋"/>
          <w:sz w:val="28"/>
          <w:szCs w:val="28"/>
        </w:rPr>
        <w:t>.工程审计要求</w:t>
      </w:r>
    </w:p>
    <w:p>
      <w:pPr>
        <w:spacing w:line="520" w:lineRule="exact"/>
        <w:ind w:firstLine="560" w:firstLineChars="200"/>
        <w:rPr>
          <w:rFonts w:eastAsia="仿宋"/>
          <w:sz w:val="28"/>
          <w:szCs w:val="28"/>
        </w:rPr>
      </w:pPr>
      <w:r>
        <w:rPr>
          <w:rFonts w:eastAsia="仿宋"/>
          <w:sz w:val="28"/>
          <w:szCs w:val="28"/>
        </w:rPr>
        <w:t>（1）承包人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pPr>
        <w:spacing w:line="520" w:lineRule="exact"/>
        <w:ind w:firstLine="560" w:firstLineChars="200"/>
        <w:rPr>
          <w:rFonts w:eastAsia="仿宋"/>
          <w:sz w:val="28"/>
          <w:szCs w:val="28"/>
        </w:rPr>
      </w:pPr>
      <w:r>
        <w:rPr>
          <w:rFonts w:eastAsia="仿宋"/>
          <w:sz w:val="28"/>
          <w:szCs w:val="28"/>
        </w:rPr>
        <w:t xml:space="preserve">（2）承包人应按照学校审计处相关文件规定，积极配合做好工程结算审计工作，在规定的时间内完成审计报告签字盖章。 </w:t>
      </w:r>
    </w:p>
    <w:p>
      <w:pPr>
        <w:spacing w:line="520" w:lineRule="exact"/>
        <w:ind w:firstLine="560" w:firstLineChars="200"/>
        <w:rPr>
          <w:rFonts w:eastAsia="仿宋"/>
          <w:sz w:val="28"/>
          <w:szCs w:val="28"/>
        </w:rPr>
      </w:pPr>
      <w:r>
        <w:rPr>
          <w:rFonts w:eastAsia="仿宋"/>
          <w:sz w:val="28"/>
          <w:szCs w:val="28"/>
        </w:rPr>
        <w:t>（3）工程结算审核时，凡审增部分及审减率超过10%（不含10%）以上部分的审计服务费由承包人承担，在审核机构审核时直接扣除。费率参照皖价服〔2007〕86号文件规定的标准执行。</w:t>
      </w:r>
    </w:p>
    <w:p>
      <w:pPr>
        <w:spacing w:line="560" w:lineRule="exact"/>
        <w:ind w:firstLine="640" w:firstLineChars="200"/>
        <w:jc w:val="left"/>
        <w:rPr>
          <w:rFonts w:hint="eastAsia" w:ascii="仿宋" w:hAnsi="仿宋" w:eastAsia="仿宋"/>
          <w:i/>
          <w:sz w:val="32"/>
          <w:szCs w:val="32"/>
          <w:u w:val="single"/>
        </w:rPr>
      </w:pPr>
    </w:p>
    <w:p>
      <w:pPr>
        <w:ind w:firstLine="960" w:firstLineChars="300"/>
        <w:rPr>
          <w:rFonts w:hint="eastAsia" w:ascii="华文中宋" w:hAnsi="华文中宋" w:eastAsia="华文中宋"/>
          <w:b/>
          <w:kern w:val="0"/>
          <w:sz w:val="36"/>
          <w:szCs w:val="36"/>
        </w:rPr>
      </w:pPr>
      <w:r>
        <w:rPr>
          <w:rFonts w:hint="eastAsia" w:ascii="仿宋_GB2312" w:hAnsi="仿宋" w:eastAsia="仿宋_GB2312"/>
          <w:sz w:val="32"/>
          <w:szCs w:val="32"/>
          <w:u w:val="none"/>
        </w:rPr>
        <w:t xml:space="preserve">     </w:t>
      </w: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spacing w:line="360" w:lineRule="auto"/>
        <w:jc w:val="center"/>
        <w:rPr>
          <w:rFonts w:hint="eastAsia" w:ascii="黑体" w:hAnsi="黑体" w:eastAsia="黑体" w:cs="黑体"/>
          <w:b/>
          <w:spacing w:val="-6"/>
          <w:kern w:val="0"/>
          <w:sz w:val="36"/>
          <w:szCs w:val="36"/>
        </w:rPr>
      </w:pPr>
      <w:r>
        <w:rPr>
          <w:rFonts w:hint="eastAsia" w:ascii="黑体" w:hAnsi="黑体" w:eastAsia="黑体" w:cs="黑体"/>
          <w:b/>
          <w:spacing w:val="-6"/>
          <w:kern w:val="0"/>
          <w:sz w:val="36"/>
          <w:szCs w:val="36"/>
        </w:rPr>
        <w:t>皖南医学院逸夫科技楼动物灭菌器楼面加固工程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jc w:val="center"/>
        <w:rPr>
          <w:rFonts w:ascii="黑体" w:hAnsi="黑体" w:eastAsia="黑体" w:cs="黑体"/>
          <w:b/>
          <w:spacing w:val="-6"/>
          <w:kern w:val="0"/>
          <w:sz w:val="36"/>
          <w:szCs w:val="36"/>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Cs w:val="28"/>
        </w:rPr>
      </w:pPr>
      <w:r>
        <w:rPr>
          <w:rFonts w:hint="eastAsia" w:ascii="宋体" w:hAnsi="宋体" w:cs="宋体"/>
          <w:szCs w:val="28"/>
        </w:rPr>
        <w:t>建设单位（以下简称“甲方”）：</w:t>
      </w:r>
      <w:r>
        <w:rPr>
          <w:rFonts w:hint="eastAsia" w:ascii="宋体" w:hAnsi="宋体" w:cs="宋体"/>
          <w:szCs w:val="28"/>
          <w:u w:val="single"/>
        </w:rPr>
        <w:t>皖南医学院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Cs w:val="28"/>
          <w:u w:val="single"/>
        </w:rPr>
      </w:pPr>
      <w:r>
        <w:rPr>
          <w:rFonts w:hint="eastAsia" w:ascii="宋体" w:hAnsi="宋体" w:cs="宋体"/>
          <w:szCs w:val="28"/>
        </w:rPr>
        <w:t>施工单位（以下简称“乙方”）：</w:t>
      </w:r>
      <w:r>
        <w:rPr>
          <w:rFonts w:hint="eastAsia" w:ascii="宋体" w:hAnsi="宋体" w:cs="宋体"/>
          <w:szCs w:val="28"/>
          <w:u w:val="single"/>
          <w:lang w:val="en-US" w:eastAsia="zh-CN"/>
        </w:rPr>
        <w:t xml:space="preserve">          </w:t>
      </w:r>
      <w:r>
        <w:rPr>
          <w:rFonts w:ascii="宋体" w:hAnsi="宋体" w:cs="宋体"/>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48" w:firstLineChars="196"/>
        <w:textAlignment w:val="auto"/>
        <w:rPr>
          <w:rFonts w:ascii="宋体" w:hAnsi="宋体" w:cs="宋体"/>
          <w:szCs w:val="28"/>
        </w:rPr>
      </w:pPr>
      <w:r>
        <w:rPr>
          <w:rFonts w:asciiTheme="majorEastAsia" w:hAnsiTheme="majorEastAsia" w:eastAsiaTheme="majorEastAsia"/>
          <w:szCs w:val="28"/>
        </w:rPr>
        <w:t>根据</w:t>
      </w:r>
      <w:r>
        <w:rPr>
          <w:rFonts w:hint="eastAsia" w:asciiTheme="majorEastAsia" w:hAnsiTheme="majorEastAsia" w:eastAsiaTheme="majorEastAsia"/>
          <w:szCs w:val="28"/>
        </w:rPr>
        <w:t>我国合同、建筑相关</w:t>
      </w:r>
      <w:r>
        <w:rPr>
          <w:rFonts w:asciiTheme="majorEastAsia" w:hAnsiTheme="majorEastAsia" w:eastAsiaTheme="majorEastAsia"/>
          <w:szCs w:val="28"/>
        </w:rPr>
        <w:t>法律规定，遵循平等、自愿、公平和诚实信用的原则，双方就</w:t>
      </w:r>
      <w:r>
        <w:rPr>
          <w:rFonts w:hint="eastAsia" w:asciiTheme="majorEastAsia" w:hAnsiTheme="majorEastAsia" w:eastAsiaTheme="majorEastAsia"/>
          <w:szCs w:val="28"/>
          <w:u w:val="single"/>
        </w:rPr>
        <w:t xml:space="preserve"> 皖南医学院逸夫科技楼动物灭菌器楼面加固工程</w:t>
      </w:r>
      <w:r>
        <w:rPr>
          <w:rFonts w:asciiTheme="majorEastAsia" w:hAnsiTheme="majorEastAsia" w:eastAsiaTheme="majorEastAsia"/>
          <w:szCs w:val="28"/>
        </w:rPr>
        <w:t>施工及有关事项协商一致</w:t>
      </w:r>
      <w:r>
        <w:rPr>
          <w:rFonts w:hint="eastAsia" w:asciiTheme="majorEastAsia" w:hAnsiTheme="majorEastAsia" w:eastAsiaTheme="majorEastAsia"/>
          <w:szCs w:val="28"/>
        </w:rPr>
        <w:t>，</w:t>
      </w:r>
      <w:r>
        <w:rPr>
          <w:rFonts w:asciiTheme="majorEastAsia" w:hAnsiTheme="majorEastAsia" w:eastAsiaTheme="majorEastAsia"/>
          <w:szCs w:val="28"/>
        </w:rPr>
        <w:t>共同</w:t>
      </w:r>
      <w:r>
        <w:rPr>
          <w:rFonts w:hint="eastAsia" w:asciiTheme="majorEastAsia" w:hAnsiTheme="majorEastAsia" w:eastAsiaTheme="majorEastAsia"/>
          <w:szCs w:val="28"/>
        </w:rPr>
        <w:t>签订本合同</w:t>
      </w:r>
      <w:r>
        <w:rPr>
          <w:rFonts w:hint="eastAsia" w:ascii="宋体" w:hAnsi="宋体" w:cs="宋体"/>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一、工程概况</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1.工程名称：</w:t>
      </w:r>
      <w:r>
        <w:rPr>
          <w:rFonts w:hint="eastAsia" w:asciiTheme="majorEastAsia" w:hAnsiTheme="majorEastAsia" w:eastAsiaTheme="majorEastAsia"/>
          <w:szCs w:val="28"/>
          <w:u w:val="single"/>
        </w:rPr>
        <w:t>皖南医学院逸夫科技楼动物灭菌器楼面加固工程</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（合同编号：</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2.工程地点：皖南医学院滨江校区</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3.合同价：</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u w:val="single"/>
        </w:rPr>
        <w:t>（小写：</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u w:val="single"/>
        </w:rPr>
        <w:t>元）</w:t>
      </w:r>
      <w:r>
        <w:rPr>
          <w:rFonts w:hint="eastAsia" w:asciiTheme="majorEastAsia" w:hAnsiTheme="majorEastAsia" w:eastAsiaTheme="majorEastAsia"/>
          <w:szCs w:val="28"/>
        </w:rPr>
        <w:t>,其中含暂列金额</w:t>
      </w:r>
      <w:r>
        <w:rPr>
          <w:rFonts w:hint="eastAsia" w:asciiTheme="majorEastAsia" w:hAnsiTheme="majorEastAsia" w:eastAsiaTheme="majorEastAsia"/>
          <w:szCs w:val="28"/>
          <w:u w:val="single"/>
          <w:lang w:val="en-US" w:eastAsia="zh-CN"/>
        </w:rPr>
        <w:t>5000</w:t>
      </w:r>
      <w:r>
        <w:rPr>
          <w:rFonts w:hint="eastAsia" w:asciiTheme="majorEastAsia" w:hAnsiTheme="majorEastAsia" w:eastAsiaTheme="majorEastAsia"/>
          <w:szCs w:val="28"/>
        </w:rPr>
        <w:t>元。</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4.合同工期：工期</w:t>
      </w:r>
      <w:r>
        <w:rPr>
          <w:rFonts w:hint="eastAsia" w:asciiTheme="majorEastAsia" w:hAnsiTheme="majorEastAsia" w:eastAsiaTheme="majorEastAsia"/>
          <w:szCs w:val="28"/>
          <w:u w:val="single"/>
          <w:lang w:val="en-US" w:eastAsia="zh-CN"/>
        </w:rPr>
        <w:t>15</w:t>
      </w:r>
      <w:r>
        <w:rPr>
          <w:rFonts w:hint="eastAsia" w:asciiTheme="majorEastAsia" w:hAnsiTheme="majorEastAsia" w:eastAsiaTheme="majorEastAsia"/>
          <w:szCs w:val="28"/>
        </w:rPr>
        <w:t>日历天，从甲方书面通知进场施工时间开始计算。因乙方原因推迟的按</w:t>
      </w:r>
      <w:r>
        <w:rPr>
          <w:rFonts w:hint="eastAsia" w:asciiTheme="majorEastAsia" w:hAnsiTheme="majorEastAsia" w:eastAsiaTheme="majorEastAsia"/>
          <w:szCs w:val="28"/>
          <w:u w:val="single"/>
          <w:lang w:val="en-US" w:eastAsia="zh-CN"/>
        </w:rPr>
        <w:t>5</w:t>
      </w:r>
      <w:r>
        <w:rPr>
          <w:rFonts w:hint="eastAsia" w:asciiTheme="majorEastAsia" w:hAnsiTheme="majorEastAsia" w:eastAsiaTheme="majorEastAsia"/>
          <w:szCs w:val="28"/>
          <w:u w:val="single"/>
        </w:rPr>
        <w:t>00元</w:t>
      </w:r>
      <w:r>
        <w:rPr>
          <w:rFonts w:hint="eastAsia" w:asciiTheme="majorEastAsia" w:hAnsiTheme="majorEastAsia" w:eastAsiaTheme="majorEastAsia"/>
          <w:szCs w:val="28"/>
        </w:rPr>
        <w:t>/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二、合同文件构成</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本合同与下列文件一起构成合同文件：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1.中标通知书；</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 xml:space="preserve">2.采购文件； </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3.投标文件；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asciiTheme="majorEastAsia" w:hAnsiTheme="majorEastAsia" w:eastAsiaTheme="majorEastAsia"/>
          <w:szCs w:val="28"/>
        </w:rPr>
        <w:t>4</w:t>
      </w:r>
      <w:r>
        <w:rPr>
          <w:rFonts w:hint="eastAsia" w:asciiTheme="majorEastAsia" w:hAnsiTheme="majorEastAsia" w:eastAsiaTheme="majorEastAsia"/>
          <w:szCs w:val="28"/>
        </w:rPr>
        <w:t>.已标价工程量清单或预算书；</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asciiTheme="majorEastAsia" w:hAnsiTheme="majorEastAsia" w:eastAsiaTheme="majorEastAsia"/>
          <w:szCs w:val="28"/>
        </w:rPr>
        <w:t>5</w:t>
      </w:r>
      <w:r>
        <w:rPr>
          <w:rFonts w:hint="eastAsia" w:asciiTheme="majorEastAsia" w:hAnsiTheme="majorEastAsia" w:eastAsiaTheme="majorEastAsia"/>
          <w:szCs w:val="28"/>
        </w:rPr>
        <w:t>.技术要求；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Theme="majorEastAsia" w:hAnsiTheme="majorEastAsia" w:eastAsiaTheme="majorEastAsia"/>
          <w:szCs w:val="28"/>
          <w:lang w:val="en-US" w:eastAsia="zh-CN"/>
        </w:rPr>
      </w:pPr>
      <w:r>
        <w:rPr>
          <w:rFonts w:hint="eastAsia" w:asciiTheme="majorEastAsia" w:hAnsiTheme="majorEastAsia" w:eastAsiaTheme="majorEastAsia"/>
          <w:szCs w:val="28"/>
        </w:rPr>
        <w:t>6.</w:t>
      </w:r>
      <w:r>
        <w:rPr>
          <w:rFonts w:hint="eastAsia" w:asciiTheme="majorEastAsia" w:hAnsiTheme="majorEastAsia" w:eastAsiaTheme="majorEastAsia"/>
          <w:szCs w:val="28"/>
          <w:lang w:val="en-US" w:eastAsia="zh-CN"/>
        </w:rPr>
        <w:t>施工图纸；</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lang w:val="en-US" w:eastAsia="zh-CN"/>
        </w:rPr>
        <w:t>7.</w:t>
      </w:r>
      <w:r>
        <w:rPr>
          <w:rFonts w:hint="eastAsia" w:asciiTheme="majorEastAsia" w:hAnsiTheme="majorEastAsia" w:eastAsiaTheme="majorEastAsia"/>
          <w:szCs w:val="28"/>
        </w:rPr>
        <w:t>其他合同文件。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在合同订立及履行过程中形成的与合同有关的文件均构成合同文件组成部分。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上述各项合同文件包括合同当事人就该项合同文件所作出的补充和修改，属于同一类内容的文件，应以最新签署的为准。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三、工程量结算方式和依据</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1.本工程的计价依据是中标通知书、招标技术要求（</w:t>
      </w:r>
      <w:r>
        <w:rPr>
          <w:rFonts w:hint="eastAsia" w:asciiTheme="majorEastAsia" w:hAnsiTheme="majorEastAsia" w:eastAsiaTheme="majorEastAsia"/>
          <w:szCs w:val="28"/>
          <w:lang w:val="en-US" w:eastAsia="zh-CN"/>
        </w:rPr>
        <w:t>施工图、</w:t>
      </w:r>
      <w:r>
        <w:rPr>
          <w:rFonts w:hint="eastAsia" w:asciiTheme="majorEastAsia" w:hAnsiTheme="majorEastAsia" w:eastAsiaTheme="majorEastAsia"/>
          <w:szCs w:val="28"/>
        </w:rPr>
        <w:t>工程量清单、工程控制价、隐蔽工程验收记录单、变更签证单）及建设单位书面通知等。</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2.本合同履约保证金为</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rPr>
        <w:t>元。施工结束并经过验收合格后，凭相关凭证（汇款凭证、维修改造工程验收表等）无息退还。</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3.乙方须认真复核工程量清单，如发现工程量清单有漏量、漏项的，应在开工后</w:t>
      </w:r>
      <w:r>
        <w:rPr>
          <w:rFonts w:hint="eastAsia" w:asciiTheme="majorEastAsia" w:hAnsiTheme="majorEastAsia" w:eastAsiaTheme="majorEastAsia"/>
          <w:szCs w:val="28"/>
          <w:lang w:val="en-US" w:eastAsia="zh-CN"/>
        </w:rPr>
        <w:t>7</w:t>
      </w:r>
      <w:r>
        <w:rPr>
          <w:rFonts w:hint="eastAsia" w:asciiTheme="majorEastAsia" w:hAnsiTheme="majorEastAsia" w:eastAsiaTheme="majorEastAsia"/>
          <w:szCs w:val="28"/>
        </w:rPr>
        <w:t>日内提出，在规定时间后任何以施工图不详、工程量清单有误等理由提出的索赔要求将不予受理，视为投标报价的优惠，即乙方完全理解并同意工程量清单（含技术要求），施工时须按照工程量清单（含技术要求）执行，施工完成后，必须满足验收规范和使用功能的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计算，信息价中没有的材料结合市场定价。</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5.所有变更签证必须按照皖南医学院有关管理文件办理。具体参照《皖南医学院基建维修工程管理办法（修订）》</w:t>
      </w:r>
      <w:bookmarkStart w:id="109" w:name="文号"/>
      <w:r>
        <w:rPr>
          <w:rFonts w:hint="eastAsia" w:asciiTheme="majorEastAsia" w:hAnsiTheme="majorEastAsia" w:eastAsiaTheme="majorEastAsia"/>
          <w:szCs w:val="28"/>
        </w:rPr>
        <w:t>（校政〔2020〕118号</w:t>
      </w:r>
      <w:bookmarkEnd w:id="109"/>
      <w:r>
        <w:rPr>
          <w:rFonts w:hint="eastAsia" w:asciiTheme="majorEastAsia" w:hAnsiTheme="majorEastAsia" w:eastAsiaTheme="majorEastAsia"/>
          <w:szCs w:val="28"/>
        </w:rPr>
        <w:t>）及《后勤管理处基建维修工程变更签证管理规定（修订）》（后勤〔2023〕15号）文件执行。否则，视为该项变更不涉及合同价款的变更，若发生费用由乙方自行承担。</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6.所有合同款支付，乙方须提供正规发票。</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四、付款及审计</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1.本工程不支付进度款，工程完工后由甲方组织验收，验收合格后凭乙方提供的发票支付至合同价（不含暂列金额）的</w:t>
      </w:r>
      <w:r>
        <w:rPr>
          <w:rFonts w:hint="eastAsia" w:asciiTheme="majorEastAsia" w:hAnsiTheme="majorEastAsia" w:eastAsiaTheme="majorEastAsia"/>
          <w:szCs w:val="28"/>
          <w:u w:val="single"/>
        </w:rPr>
        <w:t>80%</w:t>
      </w:r>
      <w:r>
        <w:rPr>
          <w:rFonts w:hint="eastAsia" w:asciiTheme="majorEastAsia" w:hAnsiTheme="majorEastAsia" w:eastAsiaTheme="majorEastAsia"/>
          <w:szCs w:val="28"/>
        </w:rPr>
        <w:t>；审计完成，乙方先将金额为终审价</w:t>
      </w:r>
      <w:r>
        <w:rPr>
          <w:rFonts w:hint="eastAsia" w:asciiTheme="majorEastAsia" w:hAnsiTheme="majorEastAsia" w:eastAsiaTheme="majorEastAsia"/>
          <w:szCs w:val="28"/>
          <w:u w:val="single"/>
        </w:rPr>
        <w:t>3%</w:t>
      </w:r>
      <w:r>
        <w:rPr>
          <w:rFonts w:hint="eastAsia" w:asciiTheme="majorEastAsia" w:hAnsiTheme="majorEastAsia" w:eastAsiaTheme="majorEastAsia"/>
          <w:szCs w:val="28"/>
        </w:rPr>
        <w:t>的质保金汇入甲方账户，甲方凭发票及质保金汇款凭证付至终审价的100%；质保期满后无质量问题一次性无息退还质保金。</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2.工程结算审核时，凡审增部分及审减率超过10%（不含10%）以上部分的审计服务费由乙方承担，在审核机构审核时直接扣除。费率参照皖价服[2007]86号文件规定的执行。</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五、质量保证</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1.乙方必须严格按照工程量清单及有关规范施工，工程质量须达到</w:t>
      </w:r>
      <w:r>
        <w:rPr>
          <w:rFonts w:hint="eastAsia" w:asciiTheme="majorEastAsia" w:hAnsiTheme="majorEastAsia" w:eastAsiaTheme="majorEastAsia"/>
          <w:szCs w:val="28"/>
          <w:u w:val="single"/>
        </w:rPr>
        <w:t>合格</w:t>
      </w:r>
      <w:r>
        <w:rPr>
          <w:rFonts w:hint="eastAsia" w:asciiTheme="majorEastAsia" w:hAnsiTheme="majorEastAsia" w:eastAsiaTheme="majorEastAsia"/>
          <w:szCs w:val="28"/>
        </w:rPr>
        <w:t>标准，满足国家和地方现行规范要求，满足使用部门的使用要求。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2.涉及隐蔽工程内容的，乙方应在隐蔽工程覆盖、掩埋或拆除前通知甲方项目负责人会同审计处进行现场勘查、确认，并办理《隐蔽工程验收记录单》，未办理的隐蔽工程涉及的工程量不予认定。</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所用主要材料应选择中等档次及以上品牌，并满足其他技术要求，提前送样，且由甲方项目负责人确认后方可进场，进场时要有合格证、检测报告等材料，水电材料需提供3C认证材料，并符合国家规范要求，否则禁止使用、不支付相应材料的工程款。</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4.本工程质保期</w:t>
      </w:r>
      <w:r>
        <w:rPr>
          <w:rFonts w:hint="eastAsia" w:asciiTheme="majorEastAsia" w:hAnsiTheme="majorEastAsia" w:eastAsiaTheme="majorEastAsia"/>
          <w:szCs w:val="28"/>
          <w:u w:val="single"/>
        </w:rPr>
        <w:t>12</w:t>
      </w:r>
      <w:r>
        <w:rPr>
          <w:rFonts w:hint="eastAsia" w:asciiTheme="majorEastAsia" w:hAnsiTheme="majorEastAsia" w:eastAsiaTheme="majorEastAsia"/>
          <w:szCs w:val="28"/>
        </w:rPr>
        <w:t>个月，质保期自工程竣工验收合格之日起计算。</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六、安全管理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1.乙方必须严格按照《建设工程安全生产管理条例》等法律法规求，安全生产，文明施工。</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ins w:id="0" w:author="王戬" w:date="2021-03-31T14:30:00Z"/>
          <w:rFonts w:asciiTheme="majorEastAsia" w:hAnsiTheme="majorEastAsia" w:eastAsiaTheme="majorEastAsia"/>
          <w:szCs w:val="28"/>
        </w:rPr>
      </w:pPr>
      <w:r>
        <w:rPr>
          <w:rFonts w:hint="eastAsia" w:asciiTheme="majorEastAsia" w:hAnsiTheme="majorEastAsia" w:eastAsiaTheme="majorEastAsia"/>
          <w:szCs w:val="28"/>
        </w:rPr>
        <w:t>2.乙方必须完善自身质量安全管理体系和文明施工措施，杜绝野蛮施工和安全事故发生。若发生质量或安全事故，由乙方承担一切责任，造成甲方损失的按实赔偿，并承担相应法律责任。</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3.工程材料、设备、构配件及已完工程在竣工验收交付前均由乙方负责看护，丢失、被盗、损坏等责任均由乙方承担。</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七、现场岗位管理与责任</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1.甲方需指派专人和乙方联系，并告知联系人联系方式。</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2.甲方有义务协调、配合乙方人员进行现场施工。</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3.乙方项目经理或授权委托人</w:t>
      </w:r>
      <w:r>
        <w:rPr>
          <w:rFonts w:hint="eastAsia" w:asciiTheme="majorEastAsia" w:hAnsiTheme="majorEastAsia" w:eastAsiaTheme="majorEastAsia"/>
          <w:szCs w:val="28"/>
          <w:u w:val="single"/>
        </w:rPr>
        <w:t xml:space="preserve"> </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rPr>
        <w:t>为现场负责人（联系方式：</w:t>
      </w:r>
      <w:r>
        <w:rPr>
          <w:rFonts w:hint="eastAsia" w:asciiTheme="majorEastAsia" w:hAnsiTheme="majorEastAsia" w:eastAsiaTheme="majorEastAsia"/>
          <w:szCs w:val="28"/>
          <w:u w:val="single"/>
        </w:rPr>
        <w:t xml:space="preserve"> </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u w:val="single"/>
        </w:rPr>
        <w:t xml:space="preserve"> </w:t>
      </w:r>
      <w:r>
        <w:rPr>
          <w:rFonts w:hint="eastAsia" w:asciiTheme="majorEastAsia" w:hAnsiTheme="majorEastAsia" w:eastAsiaTheme="majorEastAsia"/>
          <w:szCs w:val="28"/>
        </w:rPr>
        <w:t>），是甲方认可的现场负责人，该同志必须常驻现场，负责处理乙方施工过程中发生的一切事项；甲方指定后勤管理处</w:t>
      </w:r>
      <w:r>
        <w:rPr>
          <w:rFonts w:hint="eastAsia" w:asciiTheme="majorEastAsia" w:hAnsiTheme="majorEastAsia" w:eastAsiaTheme="majorEastAsia"/>
          <w:szCs w:val="28"/>
          <w:u w:val="single"/>
          <w:lang w:val="en-US" w:eastAsia="zh-CN"/>
        </w:rPr>
        <w:t>郑逸凡</w:t>
      </w:r>
      <w:r>
        <w:rPr>
          <w:rFonts w:hint="eastAsia" w:asciiTheme="majorEastAsia" w:hAnsiTheme="majorEastAsia" w:eastAsiaTheme="majorEastAsia"/>
          <w:szCs w:val="28"/>
        </w:rPr>
        <w:t>（联系方式：</w:t>
      </w:r>
      <w:r>
        <w:rPr>
          <w:rFonts w:hint="eastAsia" w:asciiTheme="majorEastAsia" w:hAnsiTheme="majorEastAsia" w:eastAsiaTheme="majorEastAsia"/>
          <w:szCs w:val="28"/>
          <w:u w:val="single"/>
        </w:rPr>
        <w:t>0553-3932</w:t>
      </w:r>
      <w:r>
        <w:rPr>
          <w:rFonts w:asciiTheme="majorEastAsia" w:hAnsiTheme="majorEastAsia" w:eastAsiaTheme="majorEastAsia"/>
          <w:szCs w:val="28"/>
          <w:u w:val="single"/>
        </w:rPr>
        <w:t>415</w:t>
      </w:r>
      <w:r>
        <w:rPr>
          <w:rFonts w:hint="eastAsia" w:asciiTheme="majorEastAsia" w:hAnsiTheme="majorEastAsia" w:eastAsiaTheme="majorEastAsia"/>
          <w:szCs w:val="28"/>
        </w:rPr>
        <w:t>）为该项目的现场负责人，负责项目管理、结算办理及工程款支付等相关事宜。</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5.在施工期间，乙方应每天清理施工现场，垃圾堆放有序并及时（每天）装袋运至校外。</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6.施工用水用电按照工程结算终审价的千分之七在结算审计时予以扣除。</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八、工程验收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1.工程完工后及时报学校组织验收，验收合格后办理工程结算。</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2.验收时乙方须提供详细的资料清单，验收合格</w:t>
      </w:r>
      <w:r>
        <w:rPr>
          <w:rFonts w:hint="eastAsia" w:asciiTheme="majorEastAsia" w:hAnsiTheme="majorEastAsia" w:eastAsiaTheme="majorEastAsia"/>
          <w:szCs w:val="28"/>
          <w:lang w:val="en-US" w:eastAsia="zh-CN"/>
        </w:rPr>
        <w:t>时同时</w:t>
      </w:r>
      <w:r>
        <w:rPr>
          <w:rFonts w:hint="eastAsia" w:asciiTheme="majorEastAsia" w:hAnsiTheme="majorEastAsia" w:eastAsiaTheme="majorEastAsia"/>
          <w:szCs w:val="28"/>
        </w:rPr>
        <w:t>提交两套工程竣工结算资料（结算书、招投标文件、中标通知书、施工合同、隐蔽工程验收记录单、变更签证单、材料品牌确认表、合格证、维修改造工程验收表、竣工图等），如延期提交，在结算审计时按300元/天进行扣款，1万元封顶。经甲方发函警告后7日内仍未提交的，将其录入学校黑名单库，3年内禁止参加学校任何招投标活动。</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4.工程质保期内出现质量问题，及时修复，修复完成后，后勤管理处会同相关部门再次进行验收，验收合格后，质保期顺延一年；一年内无质量问题后退还质保金，如再次出现问题，处理方式同前。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5.对于重复出现三次及以上的问题，甲方将发函警告乙方，将其录入学校黑名单库，3年内禁止参加学校任何招投标活动。</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Theme="majorEastAsia" w:hAnsiTheme="majorEastAsia" w:eastAsiaTheme="majorEastAsia"/>
          <w:b/>
          <w:szCs w:val="28"/>
        </w:rPr>
      </w:pPr>
      <w:r>
        <w:rPr>
          <w:rFonts w:hint="eastAsia" w:asciiTheme="majorEastAsia" w:hAnsiTheme="majorEastAsia" w:eastAsiaTheme="majorEastAsia"/>
          <w:b/>
          <w:szCs w:val="28"/>
        </w:rPr>
        <w:t>九、其他</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1.本合同未尽事宜由双方协商解决，如协商不成，双方同意将本合同引起的争议提交工程所在地人民法院诉讼解决。</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2.本合同未尽事宜，遵照合同、建筑等法律法规有关条文执行。</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3.本协议壹式捌份，均具有同等法律效力，甲方执伍份，乙方执叁份，甲、乙双方法定代表人或其委托代理人签字盖章后生效。</w:t>
      </w:r>
    </w:p>
    <w:p>
      <w:pPr>
        <w:keepNext w:val="0"/>
        <w:keepLines w:val="0"/>
        <w:pageBreakBefore w:val="0"/>
        <w:kinsoku/>
        <w:wordWrap/>
        <w:overflowPunct/>
        <w:topLinePunct w:val="0"/>
        <w:autoSpaceDE/>
        <w:autoSpaceDN/>
        <w:bidi w:val="0"/>
        <w:adjustRightInd/>
        <w:snapToGrid/>
        <w:spacing w:line="560" w:lineRule="exact"/>
        <w:ind w:firstLine="548" w:firstLineChars="196"/>
        <w:textAlignment w:val="auto"/>
        <w:rPr>
          <w:rFonts w:asciiTheme="majorEastAsia" w:hAnsiTheme="majorEastAsia" w:eastAsiaTheme="majorEastAsia"/>
          <w:szCs w:val="28"/>
        </w:rPr>
      </w:pPr>
      <w:r>
        <w:rPr>
          <w:rFonts w:hint="eastAsia" w:asciiTheme="majorEastAsia" w:hAnsiTheme="majorEastAsia" w:eastAsiaTheme="majorEastAsia"/>
          <w:szCs w:val="28"/>
        </w:rPr>
        <w:t>十、合同订立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Cs w:val="28"/>
        </w:rPr>
      </w:pPr>
      <w:r>
        <w:rPr>
          <w:rFonts w:hint="eastAsia" w:asciiTheme="majorEastAsia" w:hAnsiTheme="majorEastAsia" w:eastAsiaTheme="majorEastAsia"/>
          <w:szCs w:val="28"/>
        </w:rPr>
        <w:t xml:space="preserve">1.合同订立时间：  </w:t>
      </w:r>
      <w:r>
        <w:rPr>
          <w:rFonts w:asciiTheme="majorEastAsia" w:hAnsiTheme="majorEastAsia" w:eastAsiaTheme="majorEastAsia"/>
          <w:szCs w:val="28"/>
        </w:rPr>
        <w:t xml:space="preserve">  </w:t>
      </w:r>
      <w:r>
        <w:rPr>
          <w:rFonts w:hint="eastAsia" w:asciiTheme="majorEastAsia" w:hAnsiTheme="majorEastAsia" w:eastAsiaTheme="majorEastAsia"/>
          <w:szCs w:val="28"/>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2.合同订立地点：皖南医学院滨江校区。</w:t>
      </w:r>
    </w:p>
    <w:tbl>
      <w:tblPr>
        <w:tblStyle w:val="2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Theme="majorEastAsia" w:hAnsiTheme="majorEastAsia" w:eastAsiaTheme="majorEastAsia"/>
                <w:szCs w:val="28"/>
              </w:rPr>
            </w:pPr>
            <w:r>
              <w:rPr>
                <w:rFonts w:asciiTheme="majorEastAsia" w:hAnsiTheme="majorEastAsia" w:eastAsiaTheme="majorEastAsia"/>
                <w:szCs w:val="28"/>
              </w:rPr>
              <w:br w:type="page"/>
            </w:r>
            <w:r>
              <w:rPr>
                <w:rFonts w:hint="eastAsia" w:asciiTheme="majorEastAsia" w:hAnsiTheme="majorEastAsia" w:eastAsiaTheme="majorEastAsia"/>
                <w:szCs w:val="28"/>
              </w:rPr>
              <w:t>甲方：</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（公章）</w:t>
            </w:r>
          </w:p>
          <w:p>
            <w:pPr>
              <w:spacing w:line="360" w:lineRule="auto"/>
              <w:rPr>
                <w:rFonts w:asciiTheme="majorEastAsia" w:hAnsiTheme="majorEastAsia" w:eastAsiaTheme="majorEastAsia"/>
                <w:szCs w:val="28"/>
              </w:rPr>
            </w:pPr>
          </w:p>
          <w:p>
            <w:pPr>
              <w:spacing w:line="360" w:lineRule="auto"/>
              <w:rPr>
                <w:rFonts w:asciiTheme="majorEastAsia" w:hAnsiTheme="majorEastAsia" w:eastAsiaTheme="majorEastAsia"/>
                <w:szCs w:val="28"/>
              </w:rPr>
            </w:pP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乙方：</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（公章）</w:t>
            </w:r>
          </w:p>
          <w:p>
            <w:pPr>
              <w:spacing w:line="360" w:lineRule="auto"/>
              <w:rPr>
                <w:rFonts w:asciiTheme="majorEastAsia" w:hAnsiTheme="majorEastAsia" w:eastAsiaTheme="majorEastAsia"/>
                <w:szCs w:val="28"/>
              </w:rPr>
            </w:pPr>
          </w:p>
          <w:p>
            <w:pPr>
              <w:spacing w:line="360" w:lineRule="auto"/>
              <w:rPr>
                <w:rFonts w:asciiTheme="majorEastAsia" w:hAnsiTheme="majorEastAsia" w:eastAsiaTheme="maj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法定代表人或其委托代理人：</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（签字）</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法定代表人或其委托代理人：</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地址：芜湖市弋江区文昌西路22号</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地址：</w:t>
            </w:r>
            <w:r>
              <w:rPr>
                <w:rFonts w:asciiTheme="majorEastAsia" w:hAnsiTheme="majorEastAsia" w:eastAsiaTheme="maj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邮编：241002</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电话：0553-3932</w:t>
            </w:r>
            <w:r>
              <w:rPr>
                <w:rFonts w:asciiTheme="majorEastAsia" w:hAnsiTheme="majorEastAsia" w:eastAsiaTheme="majorEastAsia"/>
                <w:szCs w:val="28"/>
              </w:rPr>
              <w:t>598</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传真：</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开户银行：中国建设银行芜湖市分行中山路支行</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开户银行：</w:t>
            </w:r>
            <w:r>
              <w:rPr>
                <w:rFonts w:asciiTheme="majorEastAsia" w:hAnsiTheme="majorEastAsia" w:eastAsiaTheme="maj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帐号：34001672208050139762</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帐号：</w:t>
            </w:r>
          </w:p>
        </w:tc>
      </w:tr>
    </w:tbl>
    <w:p>
      <w:pPr>
        <w:rPr>
          <w:rFonts w:ascii="仿宋_GB2312" w:eastAsia="仿宋_GB2312"/>
          <w:sz w:val="24"/>
          <w:szCs w:val="24"/>
        </w:rPr>
      </w:pPr>
    </w:p>
    <w:p>
      <w:pPr>
        <w:spacing w:line="440" w:lineRule="exact"/>
        <w:rPr>
          <w:rFonts w:hint="eastAsia" w:ascii="宋体" w:hAnsi="宋体" w:eastAsia="宋体"/>
          <w:sz w:val="24"/>
          <w:szCs w:val="24"/>
        </w:rPr>
      </w:pPr>
    </w:p>
    <w:p>
      <w:r>
        <w:br w:type="page"/>
      </w: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10" w:name="_Toc49763004"/>
      <w:r>
        <w:rPr>
          <w:rFonts w:hint="eastAsia" w:ascii="华文中宋" w:hAnsi="华文中宋" w:eastAsia="华文中宋"/>
          <w:color w:val="auto"/>
        </w:rPr>
        <w:t xml:space="preserve"> 评分办法和评分细则</w:t>
      </w:r>
      <w:bookmarkEnd w:id="110"/>
    </w:p>
    <w:p>
      <w:pPr>
        <w:adjustRightInd w:val="0"/>
        <w:snapToGrid w:val="0"/>
        <w:spacing w:line="400" w:lineRule="exact"/>
        <w:rPr>
          <w:rFonts w:ascii="Times New Roman" w:hAnsi="Times New Roman" w:eastAsia="宋体"/>
          <w:sz w:val="24"/>
          <w:szCs w:val="24"/>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方正仿宋_GBK" w:eastAsia="方正仿宋_GBK"/>
                <w:sz w:val="32"/>
                <w:szCs w:val="32"/>
              </w:rPr>
            </w:pPr>
            <w:bookmarkStart w:id="111" w:name="_Toc49763005"/>
            <w:r>
              <w:rPr>
                <w:rFonts w:hint="eastAsia" w:ascii="方正仿宋_GBK" w:eastAsia="方正仿宋_GBK"/>
                <w:sz w:val="32"/>
                <w:szCs w:val="32"/>
              </w:rPr>
              <w:t>评标项目</w:t>
            </w:r>
          </w:p>
        </w:tc>
        <w:tc>
          <w:tcPr>
            <w:tcW w:w="1826" w:type="dxa"/>
            <w:noWrap w:val="0"/>
            <w:vAlign w:val="center"/>
          </w:tcPr>
          <w:p>
            <w:pPr>
              <w:spacing w:line="520" w:lineRule="exact"/>
              <w:jc w:val="center"/>
              <w:rPr>
                <w:rFonts w:hint="eastAsia" w:ascii="方正仿宋_GBK" w:eastAsia="方正仿宋_GBK"/>
                <w:sz w:val="32"/>
                <w:szCs w:val="32"/>
              </w:rPr>
            </w:pPr>
            <w:r>
              <w:rPr>
                <w:rFonts w:hint="eastAsia" w:ascii="方正仿宋_GBK" w:eastAsia="方正仿宋_GBK"/>
                <w:sz w:val="32"/>
                <w:szCs w:val="32"/>
              </w:rPr>
              <w:t>评标分值</w:t>
            </w:r>
          </w:p>
        </w:tc>
        <w:tc>
          <w:tcPr>
            <w:tcW w:w="4870" w:type="dxa"/>
            <w:noWrap w:val="0"/>
            <w:vAlign w:val="center"/>
          </w:tcPr>
          <w:p>
            <w:pPr>
              <w:spacing w:line="520" w:lineRule="exact"/>
              <w:jc w:val="center"/>
              <w:rPr>
                <w:rFonts w:hint="eastAsia" w:ascii="方正仿宋_GBK" w:eastAsia="方正仿宋_GBK"/>
                <w:sz w:val="32"/>
                <w:szCs w:val="32"/>
              </w:rPr>
            </w:pPr>
            <w:r>
              <w:rPr>
                <w:rFonts w:hint="eastAsia" w:ascii="方正仿宋_GBK" w:eastAsia="方正仿宋_GBK"/>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826" w:type="dxa"/>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报价得分</w:t>
            </w:r>
          </w:p>
        </w:tc>
        <w:tc>
          <w:tcPr>
            <w:tcW w:w="1826" w:type="dxa"/>
            <w:noWrap w:val="0"/>
            <w:vAlign w:val="center"/>
          </w:tcPr>
          <w:p>
            <w:pPr>
              <w:spacing w:line="520" w:lineRule="exact"/>
              <w:jc w:val="center"/>
              <w:rPr>
                <w:rFonts w:ascii="仿宋" w:hAnsi="仿宋" w:eastAsia="仿宋"/>
                <w:kern w:val="2"/>
                <w:sz w:val="32"/>
                <w:szCs w:val="32"/>
                <w:lang w:val="en-US" w:eastAsia="zh-CN" w:bidi="ar-SA"/>
              </w:rPr>
            </w:pPr>
            <w:r>
              <w:rPr>
                <w:rFonts w:hint="eastAsia" w:ascii="仿宋" w:hAnsi="仿宋" w:eastAsia="仿宋"/>
                <w:sz w:val="32"/>
                <w:szCs w:val="32"/>
                <w:lang w:val="en-US" w:eastAsia="zh-CN"/>
              </w:rPr>
              <w:t>5</w:t>
            </w:r>
            <w:r>
              <w:rPr>
                <w:rFonts w:hint="eastAsia" w:ascii="仿宋" w:hAnsi="仿宋" w:eastAsia="仿宋"/>
                <w:sz w:val="32"/>
                <w:szCs w:val="32"/>
              </w:rPr>
              <w:t>0</w:t>
            </w:r>
          </w:p>
        </w:tc>
        <w:tc>
          <w:tcPr>
            <w:tcW w:w="4870" w:type="dxa"/>
            <w:noWrap w:val="0"/>
            <w:vAlign w:val="center"/>
          </w:tcPr>
          <w:p>
            <w:pPr>
              <w:jc w:val="left"/>
              <w:rPr>
                <w:rFonts w:hint="eastAsia" w:ascii="仿宋" w:hAnsi="仿宋" w:eastAsia="仿宋"/>
                <w:sz w:val="24"/>
                <w:szCs w:val="24"/>
              </w:rPr>
            </w:pPr>
            <w:r>
              <w:rPr>
                <w:rFonts w:hint="eastAsia" w:ascii="仿宋" w:hAnsi="仿宋" w:eastAsia="仿宋"/>
                <w:sz w:val="24"/>
                <w:szCs w:val="24"/>
              </w:rPr>
              <w:t>1.各投标单位有效报价最低报价作为基准报价（</w:t>
            </w:r>
            <w:r>
              <w:rPr>
                <w:rFonts w:hint="eastAsia" w:ascii="仿宋" w:hAnsi="仿宋" w:eastAsia="仿宋"/>
                <w:sz w:val="24"/>
                <w:szCs w:val="24"/>
                <w:lang w:val="en-US" w:eastAsia="zh-CN"/>
              </w:rPr>
              <w:t>5</w:t>
            </w:r>
            <w:r>
              <w:rPr>
                <w:rFonts w:ascii="仿宋" w:hAnsi="仿宋" w:eastAsia="仿宋"/>
                <w:sz w:val="24"/>
                <w:szCs w:val="24"/>
              </w:rPr>
              <w:t>0</w:t>
            </w:r>
            <w:r>
              <w:rPr>
                <w:rFonts w:hint="eastAsia" w:ascii="仿宋" w:hAnsi="仿宋" w:eastAsia="仿宋"/>
                <w:sz w:val="24"/>
                <w:szCs w:val="24"/>
              </w:rPr>
              <w:t>分）；</w:t>
            </w:r>
          </w:p>
          <w:p>
            <w:pPr>
              <w:jc w:val="left"/>
              <w:rPr>
                <w:rFonts w:hint="eastAsia" w:ascii="仿宋" w:hAnsi="仿宋" w:eastAsia="仿宋"/>
                <w:sz w:val="24"/>
                <w:szCs w:val="24"/>
              </w:rPr>
            </w:pPr>
            <w:r>
              <w:rPr>
                <w:rFonts w:hint="eastAsia" w:ascii="仿宋" w:hAnsi="仿宋" w:eastAsia="仿宋"/>
                <w:sz w:val="24"/>
                <w:szCs w:val="24"/>
              </w:rPr>
              <w:t>2.报价得分＝基准报价／投标人报价×</w:t>
            </w:r>
            <w:r>
              <w:rPr>
                <w:rFonts w:hint="eastAsia" w:ascii="仿宋" w:hAnsi="仿宋" w:eastAsia="仿宋"/>
                <w:sz w:val="24"/>
                <w:szCs w:val="24"/>
                <w:lang w:val="en-US" w:eastAsia="zh-CN"/>
              </w:rPr>
              <w:t>5</w:t>
            </w:r>
            <w:r>
              <w:rPr>
                <w:rFonts w:ascii="仿宋" w:hAnsi="仿宋" w:eastAsia="仿宋"/>
                <w:sz w:val="24"/>
                <w:szCs w:val="24"/>
              </w:rPr>
              <w:t>0</w:t>
            </w:r>
            <w:r>
              <w:rPr>
                <w:rFonts w:hint="eastAsia" w:ascii="仿宋" w:hAnsi="仿宋" w:eastAsia="仿宋"/>
                <w:sz w:val="24"/>
                <w:szCs w:val="24"/>
              </w:rPr>
              <w:t>（保留2位小数）。</w:t>
            </w:r>
          </w:p>
          <w:p>
            <w:pPr>
              <w:jc w:val="left"/>
              <w:rPr>
                <w:rFonts w:ascii="仿宋" w:hAnsi="仿宋" w:eastAsia="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ascii="仿宋" w:hAnsi="仿宋" w:eastAsia="仿宋"/>
                <w:kern w:val="2"/>
                <w:sz w:val="32"/>
                <w:szCs w:val="32"/>
                <w:lang w:val="en-US" w:eastAsia="zh-CN" w:bidi="ar-SA"/>
              </w:rPr>
            </w:pPr>
            <w:r>
              <w:rPr>
                <w:rFonts w:hint="eastAsia" w:ascii="仿宋" w:hAnsi="仿宋" w:eastAsia="仿宋"/>
                <w:sz w:val="32"/>
                <w:szCs w:val="32"/>
              </w:rPr>
              <w:t>资源配备计划</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8</w:t>
            </w:r>
          </w:p>
        </w:tc>
        <w:tc>
          <w:tcPr>
            <w:tcW w:w="0" w:type="auto"/>
            <w:noWrap w:val="0"/>
            <w:vAlign w:val="center"/>
          </w:tcPr>
          <w:p>
            <w:pPr>
              <w:jc w:val="left"/>
              <w:rPr>
                <w:rFonts w:hint="eastAsia" w:ascii="仿宋" w:hAnsi="仿宋" w:eastAsia="仿宋"/>
                <w:szCs w:val="21"/>
              </w:rPr>
            </w:pPr>
            <w:r>
              <w:rPr>
                <w:rFonts w:hint="eastAsia" w:ascii="仿宋" w:hAnsi="仿宋" w:eastAsia="仿宋"/>
                <w:szCs w:val="21"/>
              </w:rPr>
              <w:t>拟投入的人工、主要材料、主要施工机械、设备有详细计划且计划周密，劳动力安排合理，材料进场时间、数量、批次合理，设备数量、选型配置、进场数量、时间安排合理，满足施工需要。</w:t>
            </w:r>
          </w:p>
          <w:p>
            <w:pPr>
              <w:jc w:val="left"/>
              <w:rPr>
                <w:rFonts w:ascii="仿宋" w:hAnsi="仿宋" w:eastAsia="仿宋"/>
                <w:kern w:val="2"/>
                <w:sz w:val="21"/>
                <w:szCs w:val="21"/>
                <w:lang w:val="en-US" w:eastAsia="zh-CN" w:bidi="ar-SA"/>
              </w:rPr>
            </w:pPr>
            <w:r>
              <w:rPr>
                <w:rFonts w:hint="eastAsia" w:ascii="仿宋" w:hAnsi="仿宋" w:eastAsia="仿宋"/>
                <w:szCs w:val="21"/>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施工进度保障</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总施工工期目标明确，关键节点明确，各分项工程施工顺序安排恰当、工序衔接合理，进度计划安排科学。</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质量保证体系</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安全文明施工</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安全保障体系完善，安全措施或制度健全，有明确的环保及文明施工目标及体系。</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施工方案</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各主要分部施工方法符合项目实际，须有详尽的施工技术方案，工艺先进，方法科学合理、可行，能指导具体施工并确保质量、进度与安全。</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w:t>
            </w:r>
            <w:r>
              <w:rPr>
                <w:rFonts w:hint="eastAsia" w:ascii="仿宋" w:hAnsi="仿宋" w:eastAsia="仿宋"/>
                <w:sz w:val="24"/>
                <w:szCs w:val="24"/>
                <w:lang w:val="en-US" w:eastAsia="zh-CN"/>
              </w:rPr>
              <w:t>8</w:t>
            </w:r>
            <w:r>
              <w:rPr>
                <w:rFonts w:hint="eastAsia" w:ascii="仿宋" w:hAnsi="仿宋" w:eastAsia="仿宋"/>
                <w:sz w:val="24"/>
                <w:szCs w:val="24"/>
              </w:rPr>
              <w:t>.0分；（2）方案一般且能满足需要的，得</w:t>
            </w:r>
            <w:r>
              <w:rPr>
                <w:rFonts w:hint="eastAsia" w:ascii="仿宋" w:hAnsi="仿宋" w:eastAsia="仿宋"/>
                <w:sz w:val="24"/>
                <w:szCs w:val="24"/>
                <w:lang w:val="en-US" w:eastAsia="zh-CN"/>
              </w:rPr>
              <w:t>6</w:t>
            </w:r>
            <w:r>
              <w:rPr>
                <w:rFonts w:hint="eastAsia" w:ascii="仿宋" w:hAnsi="仿宋" w:eastAsia="仿宋"/>
                <w:sz w:val="24"/>
                <w:szCs w:val="24"/>
              </w:rPr>
              <w:t>.0分；（3）方案不完整但能基本满足需要的，得</w:t>
            </w:r>
            <w:r>
              <w:rPr>
                <w:rFonts w:hint="eastAsia" w:ascii="仿宋" w:hAnsi="仿宋" w:eastAsia="仿宋"/>
                <w:sz w:val="24"/>
                <w:szCs w:val="24"/>
                <w:lang w:val="en-US" w:eastAsia="zh-CN"/>
              </w:rPr>
              <w:t>4</w:t>
            </w:r>
            <w:r>
              <w:rPr>
                <w:rFonts w:hint="eastAsia" w:ascii="仿宋" w:hAnsi="仿宋" w:eastAsia="仿宋"/>
                <w:sz w:val="24"/>
                <w:szCs w:val="24"/>
              </w:rPr>
              <w:t>.0分。（4）方案存在明显缺陷的，得</w:t>
            </w:r>
            <w:r>
              <w:rPr>
                <w:rFonts w:hint="eastAsia" w:ascii="仿宋" w:hAnsi="仿宋" w:eastAsia="仿宋"/>
                <w:sz w:val="24"/>
                <w:szCs w:val="24"/>
                <w:lang w:val="en-US" w:eastAsia="zh-CN"/>
              </w:rPr>
              <w:t>2</w:t>
            </w:r>
            <w:r>
              <w:rPr>
                <w:rFonts w:hint="eastAsia" w:ascii="仿宋" w:hAnsi="仿宋" w:eastAsia="仿宋"/>
                <w:sz w:val="24"/>
                <w:szCs w:val="24"/>
              </w:rPr>
              <w:t>.0分。（5）无服务方案的，得0分。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业绩</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6</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投标人具有</w:t>
            </w:r>
            <w:r>
              <w:rPr>
                <w:rFonts w:hint="eastAsia" w:ascii="仿宋" w:hAnsi="仿宋" w:eastAsia="仿宋"/>
                <w:sz w:val="24"/>
                <w:szCs w:val="24"/>
                <w:lang w:val="en-US" w:eastAsia="zh-CN"/>
              </w:rPr>
              <w:t>结构补强、加固</w:t>
            </w:r>
            <w:r>
              <w:rPr>
                <w:rFonts w:hint="eastAsia" w:ascii="仿宋" w:hAnsi="仿宋" w:eastAsia="仿宋"/>
                <w:sz w:val="24"/>
                <w:szCs w:val="24"/>
              </w:rPr>
              <w:t>施工业绩，每提供一项得</w:t>
            </w:r>
            <w:r>
              <w:rPr>
                <w:rFonts w:hint="eastAsia" w:ascii="仿宋" w:hAnsi="仿宋" w:eastAsia="仿宋"/>
                <w:sz w:val="24"/>
                <w:szCs w:val="24"/>
                <w:lang w:val="en-US" w:eastAsia="zh-CN"/>
              </w:rPr>
              <w:t>3</w:t>
            </w:r>
            <w:r>
              <w:rPr>
                <w:rFonts w:hint="eastAsia" w:ascii="仿宋" w:hAnsi="仿宋" w:eastAsia="仿宋"/>
                <w:sz w:val="24"/>
                <w:szCs w:val="24"/>
              </w:rPr>
              <w:t>分，最多得</w:t>
            </w:r>
            <w:r>
              <w:rPr>
                <w:rFonts w:hint="eastAsia" w:ascii="仿宋" w:hAnsi="仿宋" w:eastAsia="仿宋"/>
                <w:sz w:val="24"/>
                <w:szCs w:val="24"/>
                <w:lang w:val="en-US" w:eastAsia="zh-CN"/>
              </w:rPr>
              <w:t>6</w:t>
            </w:r>
            <w:r>
              <w:rPr>
                <w:rFonts w:hint="eastAsia" w:ascii="仿宋" w:hAnsi="仿宋" w:eastAsia="仿宋"/>
                <w:sz w:val="24"/>
                <w:szCs w:val="24"/>
              </w:rPr>
              <w:t>分。</w:t>
            </w:r>
          </w:p>
          <w:p>
            <w:pPr>
              <w:jc w:val="left"/>
              <w:rPr>
                <w:rFonts w:hint="eastAsia" w:ascii="仿宋" w:hAnsi="仿宋" w:eastAsia="仿宋"/>
                <w:sz w:val="24"/>
                <w:szCs w:val="24"/>
              </w:rPr>
            </w:pPr>
            <w:r>
              <w:rPr>
                <w:rFonts w:hint="eastAsia" w:ascii="仿宋" w:hAnsi="仿宋" w:eastAsia="仿宋"/>
                <w:sz w:val="24"/>
                <w:szCs w:val="24"/>
              </w:rPr>
              <w:t>1.认定业绩的依据为施工合同和竣工验收报告（或建设单位出具的验收证明），响应文件中须提供上述材料的扫描件或复印件且能辨识买卖双方公章、标的信息。</w:t>
            </w:r>
          </w:p>
          <w:p>
            <w:pPr>
              <w:jc w:val="left"/>
              <w:rPr>
                <w:rFonts w:hint="eastAsia" w:ascii="仿宋" w:hAnsi="仿宋" w:eastAsia="仿宋"/>
                <w:kern w:val="2"/>
                <w:sz w:val="24"/>
                <w:szCs w:val="24"/>
                <w:lang w:val="en-US" w:eastAsia="zh-CN" w:bidi="ar-SA"/>
              </w:rPr>
            </w:pPr>
            <w:r>
              <w:rPr>
                <w:rFonts w:hint="eastAsia" w:ascii="仿宋" w:hAnsi="仿宋" w:eastAsia="仿宋"/>
                <w:sz w:val="24"/>
                <w:szCs w:val="24"/>
              </w:rPr>
              <w:t>2.如业绩材料不能反映所需信息，则需提供建设单位加盖公章的证明，否则业绩无效。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售后服务方案</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4</w:t>
            </w:r>
          </w:p>
        </w:tc>
        <w:tc>
          <w:tcPr>
            <w:tcW w:w="0" w:type="auto"/>
            <w:noWrap w:val="0"/>
            <w:vAlign w:val="center"/>
          </w:tcPr>
          <w:p>
            <w:pPr>
              <w:jc w:val="left"/>
              <w:rPr>
                <w:rFonts w:hint="eastAsia" w:ascii="仿宋" w:hAnsi="仿宋" w:eastAsia="仿宋"/>
                <w:kern w:val="2"/>
                <w:sz w:val="24"/>
                <w:szCs w:val="24"/>
                <w:lang w:val="en-US" w:eastAsia="zh-CN" w:bidi="ar-SA"/>
              </w:rPr>
            </w:pPr>
            <w:r>
              <w:rPr>
                <w:rFonts w:hint="eastAsia" w:ascii="仿宋" w:hAnsi="仿宋" w:eastAsia="仿宋"/>
                <w:sz w:val="24"/>
                <w:szCs w:val="24"/>
              </w:rPr>
              <w:t>包括保修年限、服务标准、人员配备、维修及保障措施等，根据供应商承诺情况得</w:t>
            </w:r>
            <w:r>
              <w:rPr>
                <w:rFonts w:hint="eastAsia" w:ascii="仿宋" w:hAnsi="仿宋" w:eastAsia="仿宋"/>
                <w:sz w:val="24"/>
                <w:szCs w:val="24"/>
                <w:lang w:val="en-US" w:eastAsia="zh-CN"/>
              </w:rPr>
              <w:t>4</w:t>
            </w:r>
            <w:r>
              <w:rPr>
                <w:rFonts w:hint="eastAsia" w:ascii="仿宋" w:hAnsi="仿宋" w:eastAsia="仿宋"/>
                <w:sz w:val="24"/>
                <w:szCs w:val="24"/>
              </w:rPr>
              <w:t>.0分；无售后服务方案的，得0分。</w:t>
            </w:r>
          </w:p>
        </w:tc>
      </w:tr>
    </w:tbl>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955039"/>
      <w:bookmarkEnd w:id="113"/>
      <w:bookmarkStart w:id="114" w:name="_Hlt26671244"/>
      <w:bookmarkEnd w:id="114"/>
      <w:bookmarkStart w:id="115" w:name="_Toc120614282"/>
      <w:bookmarkStart w:id="116" w:name="_Toc26554094"/>
      <w:bookmarkStart w:id="117"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7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7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359"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皖南医学院逸夫科技楼动物灭菌器楼面加固项目</w:t>
            </w:r>
          </w:p>
        </w:tc>
        <w:tc>
          <w:tcPr>
            <w:tcW w:w="7232" w:type="dxa"/>
            <w:tcBorders>
              <w:top w:val="single" w:color="auto" w:sz="4" w:space="0"/>
              <w:left w:val="single" w:color="auto" w:sz="4" w:space="0"/>
              <w:right w:val="single" w:color="auto" w:sz="4" w:space="0"/>
            </w:tcBorders>
            <w:vAlign w:val="center"/>
          </w:tcPr>
          <w:p>
            <w:pPr>
              <w:pStyle w:val="27"/>
              <w:ind w:firstLine="0" w:firstLineChars="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大写：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lang w:val="en-US" w:eastAsia="zh-CN" w:bidi="ar-SA"/>
              </w:rPr>
              <w:t>元</w:t>
            </w:r>
          </w:p>
          <w:p>
            <w:pPr>
              <w:pStyle w:val="22"/>
              <w:rPr>
                <w:rFonts w:hint="default"/>
                <w:lang w:val="en-US" w:eastAsia="zh-CN"/>
              </w:rPr>
            </w:pPr>
            <w:r>
              <w:rPr>
                <w:rFonts w:hint="eastAsia"/>
                <w:sz w:val="30"/>
                <w:szCs w:val="30"/>
                <w:lang w:val="en-US" w:eastAsia="zh-CN"/>
              </w:rPr>
              <w:t>小写：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仿宋"/>
                <w:spacing w:val="-6"/>
                <w:sz w:val="24"/>
                <w:szCs w:val="24"/>
                <w:lang w:eastAsia="zh-CN"/>
              </w:rPr>
            </w:pPr>
            <w:r>
              <w:rPr>
                <w:rFonts w:hint="eastAsia"/>
              </w:rPr>
              <w:t>备注：</w:t>
            </w:r>
          </w:p>
        </w:tc>
      </w:tr>
    </w:tbl>
    <w:p>
      <w:pPr>
        <w:snapToGrid w:val="0"/>
        <w:spacing w:before="50" w:after="50" w:line="360" w:lineRule="auto"/>
        <w:jc w:val="left"/>
        <w:rPr>
          <w:rFonts w:ascii="宋体" w:hAnsi="宋体"/>
          <w:spacing w:val="-6"/>
          <w:sz w:val="24"/>
          <w:szCs w:val="24"/>
        </w:rPr>
      </w:pPr>
    </w:p>
    <w:p>
      <w:pPr>
        <w:pStyle w:val="14"/>
        <w:ind w:left="0" w:leftChars="0" w:firstLine="0" w:firstLineChars="0"/>
        <w:jc w:val="both"/>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7"/>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7"/>
          <w:rFonts w:ascii="华文中宋" w:hAnsi="华文中宋" w:eastAsia="华文中宋"/>
          <w:color w:val="auto"/>
          <w:sz w:val="28"/>
          <w:szCs w:val="28"/>
        </w:rPr>
      </w:pPr>
    </w:p>
    <w:p>
      <w:pPr>
        <w:jc w:val="center"/>
        <w:rPr>
          <w:rStyle w:val="67"/>
          <w:rFonts w:hint="eastAsia" w:ascii="华文中宋" w:hAnsi="华文中宋" w:eastAsia="华文中宋"/>
          <w:color w:val="auto"/>
          <w:sz w:val="28"/>
          <w:szCs w:val="28"/>
        </w:rPr>
      </w:pPr>
    </w:p>
    <w:p>
      <w:pPr>
        <w:jc w:val="cente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7"/>
          <w:rFonts w:ascii="华文中宋" w:hAnsi="华文中宋" w:eastAsia="华文中宋"/>
          <w:color w:val="auto"/>
          <w:sz w:val="28"/>
          <w:szCs w:val="28"/>
        </w:rPr>
      </w:pPr>
      <w:r>
        <w:rPr>
          <w:rFonts w:hAnsi="宋体"/>
          <w:sz w:val="32"/>
          <w:szCs w:val="32"/>
        </w:rPr>
        <w:br w:type="page"/>
      </w:r>
      <w:r>
        <w:rPr>
          <w:rStyle w:val="67"/>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49090582"/>
      <w:bookmarkStart w:id="119" w:name="_Toc120614291"/>
      <w:bookmarkStart w:id="120" w:name="_Toc24878535"/>
      <w:bookmarkStart w:id="121" w:name="_Toc22356583"/>
      <w:bookmarkStart w:id="122" w:name="_Toc513029281"/>
      <w:bookmarkStart w:id="123" w:name="_Toc26554103"/>
      <w:bookmarkStart w:id="124" w:name="_Toc23828483"/>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41"/>
        <w:ind w:firstLine="0" w:firstLineChars="0"/>
        <w:rPr>
          <w:rFonts w:hAnsi="宋体" w:eastAsia="宋体"/>
          <w:sz w:val="24"/>
          <w:szCs w:val="24"/>
        </w:rPr>
      </w:pPr>
    </w:p>
    <w:bookmarkEnd w:id="125"/>
    <w:p>
      <w:pPr>
        <w:rPr>
          <w:rFonts w:ascii="华文中宋" w:hAnsi="华文中宋" w:eastAsia="华文中宋"/>
          <w:b/>
          <w:spacing w:val="-6"/>
          <w:szCs w:val="28"/>
        </w:rPr>
      </w:pPr>
      <w:bookmarkStart w:id="126" w:name="_Toc460901585"/>
      <w:bookmarkStart w:id="127" w:name="_Toc49090577"/>
      <w:bookmarkStart w:id="128" w:name="_Toc22356580"/>
      <w:bookmarkStart w:id="129" w:name="_Toc23828478"/>
      <w:bookmarkStart w:id="130" w:name="_Toc26554095"/>
      <w:bookmarkStart w:id="131" w:name="_Toc513029276"/>
      <w:bookmarkStart w:id="132" w:name="_Toc120614283"/>
      <w:r>
        <w:rPr>
          <w:rFonts w:hint="eastAsia" w:ascii="华文中宋" w:hAnsi="华文中宋" w:eastAsia="华文中宋"/>
          <w:b/>
          <w:spacing w:val="-6"/>
          <w:szCs w:val="28"/>
        </w:rPr>
        <w:br w:type="page"/>
      </w:r>
    </w:p>
    <w:p>
      <w:pPr>
        <w:jc w:val="center"/>
        <w:rPr>
          <w:rStyle w:val="67"/>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7"/>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7"/>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包含资源配备计划</w:t>
      </w:r>
      <w:r>
        <w:rPr>
          <w:rFonts w:hint="eastAsia"/>
          <w:b/>
          <w:bCs/>
          <w:sz w:val="24"/>
          <w:lang w:eastAsia="zh-CN"/>
        </w:rPr>
        <w:t>、</w:t>
      </w:r>
      <w:r>
        <w:rPr>
          <w:rFonts w:hint="eastAsia"/>
          <w:b/>
          <w:bCs/>
          <w:sz w:val="24"/>
        </w:rPr>
        <w:t>施工进度保障</w:t>
      </w:r>
      <w:r>
        <w:rPr>
          <w:rFonts w:hint="eastAsia"/>
          <w:b/>
          <w:bCs/>
          <w:sz w:val="24"/>
          <w:lang w:eastAsia="zh-CN"/>
        </w:rPr>
        <w:t>、</w:t>
      </w:r>
      <w:r>
        <w:rPr>
          <w:rFonts w:hint="eastAsia"/>
          <w:b/>
          <w:bCs/>
          <w:sz w:val="24"/>
        </w:rPr>
        <w:t>质量保证体系</w:t>
      </w:r>
      <w:r>
        <w:rPr>
          <w:rFonts w:hint="eastAsia"/>
          <w:b/>
          <w:bCs/>
          <w:sz w:val="24"/>
          <w:lang w:eastAsia="zh-CN"/>
        </w:rPr>
        <w:t>、</w:t>
      </w:r>
      <w:r>
        <w:rPr>
          <w:rFonts w:hint="eastAsia"/>
          <w:b/>
          <w:bCs/>
          <w:sz w:val="24"/>
        </w:rPr>
        <w:t>安全文明施工</w:t>
      </w:r>
      <w:r>
        <w:rPr>
          <w:rFonts w:hint="eastAsia"/>
          <w:b/>
          <w:bCs/>
          <w:sz w:val="24"/>
          <w:lang w:eastAsia="zh-CN"/>
        </w:rPr>
        <w:t>、</w:t>
      </w:r>
      <w:r>
        <w:rPr>
          <w:rFonts w:hint="eastAsia"/>
          <w:b/>
          <w:bCs/>
          <w:sz w:val="24"/>
        </w:rPr>
        <w:t>施工方案</w:t>
      </w:r>
      <w:r>
        <w:rPr>
          <w:rFonts w:hint="eastAsia"/>
          <w:b/>
          <w:bCs/>
          <w:sz w:val="24"/>
          <w:lang w:eastAsia="zh-CN"/>
        </w:rPr>
        <w:t>、</w:t>
      </w:r>
      <w:r>
        <w:rPr>
          <w:rFonts w:hint="eastAsia"/>
          <w:b/>
          <w:bCs/>
          <w:sz w:val="24"/>
        </w:rPr>
        <w:t>业绩</w:t>
      </w:r>
      <w:r>
        <w:rPr>
          <w:rFonts w:hint="eastAsia"/>
          <w:b/>
          <w:bCs/>
          <w:sz w:val="24"/>
          <w:lang w:eastAsia="zh-CN"/>
        </w:rPr>
        <w:t>、</w:t>
      </w:r>
      <w:r>
        <w:rPr>
          <w:rFonts w:hint="eastAsia"/>
          <w:b/>
          <w:bCs/>
          <w:sz w:val="24"/>
        </w:rPr>
        <w:t>售后服务方案</w:t>
      </w:r>
      <w:r>
        <w:rPr>
          <w:rFonts w:hint="eastAsia"/>
          <w:b/>
          <w:bCs/>
          <w:sz w:val="24"/>
          <w:lang w:eastAsia="zh-CN"/>
        </w:rPr>
        <w:t>等</w:t>
      </w:r>
      <w:r>
        <w:rPr>
          <w:rFonts w:hint="eastAsia"/>
          <w:b/>
          <w:bCs/>
          <w:sz w:val="24"/>
        </w:rPr>
        <w:t>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3"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3"/>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戬">
    <w15:presenceInfo w15:providerId="None" w15:userId="王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78D1C71"/>
    <w:rsid w:val="07AB0349"/>
    <w:rsid w:val="07B62A5A"/>
    <w:rsid w:val="09296F01"/>
    <w:rsid w:val="0940696F"/>
    <w:rsid w:val="09564F15"/>
    <w:rsid w:val="09A84CAA"/>
    <w:rsid w:val="09AC2920"/>
    <w:rsid w:val="0A4546CD"/>
    <w:rsid w:val="0A5B7E05"/>
    <w:rsid w:val="0A9D2C05"/>
    <w:rsid w:val="0AD639E4"/>
    <w:rsid w:val="0B7A69B0"/>
    <w:rsid w:val="0BF978D5"/>
    <w:rsid w:val="0C5D773D"/>
    <w:rsid w:val="0D7754CF"/>
    <w:rsid w:val="0D7E2A6A"/>
    <w:rsid w:val="0DA16FB4"/>
    <w:rsid w:val="0DE65A99"/>
    <w:rsid w:val="0E7E3960"/>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773A8D"/>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1B5E77"/>
    <w:rsid w:val="19254BEF"/>
    <w:rsid w:val="193E2DCB"/>
    <w:rsid w:val="19DC3498"/>
    <w:rsid w:val="1A07319C"/>
    <w:rsid w:val="1A33516B"/>
    <w:rsid w:val="1B4F4CC3"/>
    <w:rsid w:val="1B7570E3"/>
    <w:rsid w:val="1BA211E7"/>
    <w:rsid w:val="1C88217A"/>
    <w:rsid w:val="1E2D6CC4"/>
    <w:rsid w:val="1E4075E6"/>
    <w:rsid w:val="1F025BBE"/>
    <w:rsid w:val="1FCC554E"/>
    <w:rsid w:val="1FD03D76"/>
    <w:rsid w:val="203877A5"/>
    <w:rsid w:val="20EB3EDD"/>
    <w:rsid w:val="211D3C0E"/>
    <w:rsid w:val="21A428FD"/>
    <w:rsid w:val="21FE134A"/>
    <w:rsid w:val="228869AA"/>
    <w:rsid w:val="22C22324"/>
    <w:rsid w:val="23567244"/>
    <w:rsid w:val="236513B9"/>
    <w:rsid w:val="2426622E"/>
    <w:rsid w:val="24B5162E"/>
    <w:rsid w:val="24D82326"/>
    <w:rsid w:val="261507FA"/>
    <w:rsid w:val="26395046"/>
    <w:rsid w:val="26566759"/>
    <w:rsid w:val="26DD1E76"/>
    <w:rsid w:val="27717DCB"/>
    <w:rsid w:val="281D1648"/>
    <w:rsid w:val="28574F87"/>
    <w:rsid w:val="28AF482A"/>
    <w:rsid w:val="291347BC"/>
    <w:rsid w:val="291D580A"/>
    <w:rsid w:val="29674BDA"/>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2FA2CBE"/>
    <w:rsid w:val="32FC59EE"/>
    <w:rsid w:val="338B35BF"/>
    <w:rsid w:val="34092461"/>
    <w:rsid w:val="34700F39"/>
    <w:rsid w:val="34E77996"/>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EBE0387"/>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6194C24"/>
    <w:rsid w:val="569C48C5"/>
    <w:rsid w:val="56F05266"/>
    <w:rsid w:val="57164C89"/>
    <w:rsid w:val="57350A15"/>
    <w:rsid w:val="575168F3"/>
    <w:rsid w:val="58732C56"/>
    <w:rsid w:val="594D5E25"/>
    <w:rsid w:val="59E14756"/>
    <w:rsid w:val="5A7E4E4D"/>
    <w:rsid w:val="5AB55191"/>
    <w:rsid w:val="5BEF34D6"/>
    <w:rsid w:val="5C957923"/>
    <w:rsid w:val="5CA42F27"/>
    <w:rsid w:val="5CE11CAD"/>
    <w:rsid w:val="5D0F5ABF"/>
    <w:rsid w:val="5D283143"/>
    <w:rsid w:val="5DE021E2"/>
    <w:rsid w:val="5DFA5BF3"/>
    <w:rsid w:val="5E056FE1"/>
    <w:rsid w:val="5E545B85"/>
    <w:rsid w:val="5E6301AB"/>
    <w:rsid w:val="5F765DB0"/>
    <w:rsid w:val="5F7F2DC3"/>
    <w:rsid w:val="5F826CC3"/>
    <w:rsid w:val="608E6286"/>
    <w:rsid w:val="61076011"/>
    <w:rsid w:val="61834DEC"/>
    <w:rsid w:val="61F25ACE"/>
    <w:rsid w:val="620F62B8"/>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C2E4C0D"/>
    <w:rsid w:val="6DA6798D"/>
    <w:rsid w:val="6DED4397"/>
    <w:rsid w:val="6E9A5523"/>
    <w:rsid w:val="6EB04D47"/>
    <w:rsid w:val="6F370FC4"/>
    <w:rsid w:val="6F420D0F"/>
    <w:rsid w:val="6FAA3E8C"/>
    <w:rsid w:val="701B5C41"/>
    <w:rsid w:val="70B34FC2"/>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9002FDD"/>
    <w:rsid w:val="796851DB"/>
    <w:rsid w:val="799534B7"/>
    <w:rsid w:val="79A864D4"/>
    <w:rsid w:val="7A2C2B5D"/>
    <w:rsid w:val="7A3C397B"/>
    <w:rsid w:val="7AAC4F5C"/>
    <w:rsid w:val="7B931C78"/>
    <w:rsid w:val="7BBB4D2B"/>
    <w:rsid w:val="7CBB28FC"/>
    <w:rsid w:val="7D2106AF"/>
    <w:rsid w:val="7D2D2186"/>
    <w:rsid w:val="7E486D4A"/>
    <w:rsid w:val="7E54777A"/>
    <w:rsid w:val="7EAC5BC9"/>
    <w:rsid w:val="7EE8612B"/>
    <w:rsid w:val="7EFE77F8"/>
    <w:rsid w:val="7F38130C"/>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1"/>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autoRedefine/>
    <w:qFormat/>
    <w:uiPriority w:val="9"/>
    <w:pPr>
      <w:keepNext/>
      <w:keepLines/>
      <w:spacing w:before="280" w:after="290" w:line="376" w:lineRule="auto"/>
      <w:outlineLvl w:val="4"/>
    </w:pPr>
    <w:rPr>
      <w:b/>
      <w:bCs/>
      <w:szCs w:val="28"/>
    </w:rPr>
  </w:style>
  <w:style w:type="paragraph" w:styleId="7">
    <w:name w:val="heading 6"/>
    <w:basedOn w:val="1"/>
    <w:next w:val="1"/>
    <w:link w:val="56"/>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autoRedefine/>
    <w:qFormat/>
    <w:uiPriority w:val="9"/>
    <w:pPr>
      <w:keepNext/>
      <w:keepLines/>
      <w:spacing w:before="240" w:after="64" w:line="320" w:lineRule="auto"/>
      <w:outlineLvl w:val="6"/>
    </w:pPr>
    <w:rPr>
      <w:b/>
      <w:bCs/>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50"/>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Block Text"/>
    <w:basedOn w:val="1"/>
    <w:autoRedefine/>
    <w:unhideWhenUsed/>
    <w:qFormat/>
    <w:uiPriority w:val="0"/>
    <w:pPr>
      <w:spacing w:line="360" w:lineRule="auto"/>
      <w:ind w:left="630" w:right="-609" w:firstLine="420"/>
    </w:pPr>
    <w:rPr>
      <w:rFonts w:ascii="仿宋_GB2312" w:eastAsia="仿宋_GB2312"/>
    </w:rPr>
  </w:style>
  <w:style w:type="paragraph" w:styleId="15">
    <w:name w:val="index 4"/>
    <w:basedOn w:val="1"/>
    <w:next w:val="1"/>
    <w:autoRedefine/>
    <w:qFormat/>
    <w:uiPriority w:val="99"/>
    <w:pPr>
      <w:ind w:left="600" w:leftChars="600"/>
    </w:pPr>
    <w:rPr>
      <w:szCs w:val="24"/>
    </w:rPr>
  </w:style>
  <w:style w:type="paragraph" w:styleId="16">
    <w:name w:val="Plain Text"/>
    <w:basedOn w:val="1"/>
    <w:link w:val="58"/>
    <w:autoRedefine/>
    <w:qFormat/>
    <w:uiPriority w:val="0"/>
    <w:pPr>
      <w:spacing w:beforeLines="50" w:afterLines="50" w:line="400" w:lineRule="atLeast"/>
    </w:pPr>
    <w:rPr>
      <w:rFonts w:ascii="宋体" w:hAnsi="Courier New"/>
      <w:kern w:val="0"/>
      <w:sz w:val="24"/>
    </w:rPr>
  </w:style>
  <w:style w:type="paragraph" w:styleId="17">
    <w:name w:val="Date"/>
    <w:basedOn w:val="1"/>
    <w:next w:val="1"/>
    <w:link w:val="59"/>
    <w:autoRedefine/>
    <w:unhideWhenUsed/>
    <w:qFormat/>
    <w:uiPriority w:val="99"/>
    <w:pPr>
      <w:ind w:left="100" w:leftChars="2500"/>
    </w:pPr>
  </w:style>
  <w:style w:type="paragraph" w:styleId="18">
    <w:name w:val="Balloon Text"/>
    <w:basedOn w:val="1"/>
    <w:link w:val="60"/>
    <w:autoRedefine/>
    <w:unhideWhenUsed/>
    <w:qFormat/>
    <w:uiPriority w:val="99"/>
    <w:rPr>
      <w:sz w:val="18"/>
      <w:szCs w:val="18"/>
    </w:rPr>
  </w:style>
  <w:style w:type="paragraph" w:styleId="19">
    <w:name w:val="footer"/>
    <w:basedOn w:val="1"/>
    <w:link w:val="61"/>
    <w:autoRedefine/>
    <w:unhideWhenUsed/>
    <w:qFormat/>
    <w:uiPriority w:val="99"/>
    <w:pPr>
      <w:tabs>
        <w:tab w:val="center" w:pos="4153"/>
        <w:tab w:val="right" w:pos="8306"/>
      </w:tabs>
      <w:snapToGrid w:val="0"/>
      <w:jc w:val="left"/>
    </w:pPr>
    <w:rPr>
      <w:sz w:val="18"/>
      <w:szCs w:val="18"/>
    </w:rPr>
  </w:style>
  <w:style w:type="paragraph" w:styleId="20">
    <w:name w:val="header"/>
    <w:basedOn w:val="1"/>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autoRedefine/>
    <w:qFormat/>
    <w:uiPriority w:val="0"/>
    <w:pPr>
      <w:ind w:left="420" w:hanging="420"/>
    </w:pPr>
  </w:style>
  <w:style w:type="paragraph" w:styleId="23">
    <w:name w:val="index 7"/>
    <w:basedOn w:val="1"/>
    <w:next w:val="1"/>
    <w:autoRedefine/>
    <w:unhideWhenUsed/>
    <w:qFormat/>
    <w:uiPriority w:val="99"/>
    <w:pPr>
      <w:ind w:left="1200" w:leftChars="1200"/>
    </w:p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3"/>
    <w:autoRedefine/>
    <w:qFormat/>
    <w:uiPriority w:val="10"/>
    <w:pPr>
      <w:spacing w:before="240" w:after="60"/>
      <w:jc w:val="center"/>
      <w:outlineLvl w:val="0"/>
    </w:pPr>
    <w:rPr>
      <w:rFonts w:ascii="Cambria" w:hAnsi="Cambria"/>
      <w:b/>
      <w:bCs/>
      <w:sz w:val="32"/>
      <w:szCs w:val="32"/>
    </w:rPr>
  </w:style>
  <w:style w:type="paragraph" w:styleId="27">
    <w:name w:val="Body Text First Indent 2"/>
    <w:basedOn w:val="12"/>
    <w:next w:val="22"/>
    <w:autoRedefine/>
    <w:qFormat/>
    <w:uiPriority w:val="0"/>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Hyperlink"/>
    <w:basedOn w:val="30"/>
    <w:autoRedefine/>
    <w:unhideWhenUsed/>
    <w:qFormat/>
    <w:uiPriority w:val="99"/>
    <w:rPr>
      <w:color w:val="0000FF"/>
      <w:u w:val="single"/>
    </w:rPr>
  </w:style>
  <w:style w:type="paragraph" w:styleId="34">
    <w:name w:val="List Paragraph"/>
    <w:basedOn w:val="1"/>
    <w:link w:val="66"/>
    <w:autoRedefine/>
    <w:qFormat/>
    <w:uiPriority w:val="0"/>
    <w:pPr>
      <w:ind w:firstLine="420" w:firstLineChars="200"/>
    </w:pPr>
    <w:rPr>
      <w:kern w:val="0"/>
    </w:rPr>
  </w:style>
  <w:style w:type="paragraph" w:customStyle="1" w:styleId="35">
    <w:name w:val="正文 第一章"/>
    <w:basedOn w:val="1"/>
    <w:next w:val="36"/>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4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autoRedefine/>
    <w:qFormat/>
    <w:uiPriority w:val="99"/>
    <w:rPr>
      <w:rFonts w:ascii="Calibri" w:hAnsi="Calibri" w:eastAsia="宋体" w:cs="Times New Roman"/>
      <w:sz w:val="24"/>
      <w:szCs w:val="24"/>
      <w:lang w:val="en-US" w:eastAsia="zh-CN" w:bidi="ar-SA"/>
    </w:rPr>
  </w:style>
  <w:style w:type="paragraph" w:customStyle="1" w:styleId="49">
    <w:name w:val="Default"/>
    <w:next w:val="24"/>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autoRedefine/>
    <w:qFormat/>
    <w:locked/>
    <w:uiPriority w:val="0"/>
    <w:rPr>
      <w:rFonts w:ascii="宋体" w:hAnsi="Courier New" w:eastAsia="宋体"/>
      <w:spacing w:val="-4"/>
      <w:sz w:val="18"/>
    </w:rPr>
  </w:style>
  <w:style w:type="character" w:customStyle="1" w:styleId="51">
    <w:name w:val="标题 1 字符"/>
    <w:basedOn w:val="30"/>
    <w:link w:val="2"/>
    <w:autoRedefine/>
    <w:qFormat/>
    <w:uiPriority w:val="0"/>
    <w:rPr>
      <w:rFonts w:ascii="宋体" w:hAnsi="Arial" w:eastAsia="黑体" w:cs="Times New Roman"/>
      <w:b/>
      <w:bCs/>
      <w:color w:val="000000"/>
      <w:kern w:val="44"/>
      <w:sz w:val="36"/>
      <w:szCs w:val="32"/>
    </w:rPr>
  </w:style>
  <w:style w:type="character" w:customStyle="1" w:styleId="52">
    <w:name w:val="标题 2 字符"/>
    <w:basedOn w:val="30"/>
    <w:link w:val="3"/>
    <w:autoRedefine/>
    <w:semiHidden/>
    <w:qFormat/>
    <w:uiPriority w:val="9"/>
    <w:rPr>
      <w:rFonts w:ascii="Cambria" w:hAnsi="Cambria" w:eastAsia="宋体" w:cs="Times New Roman"/>
      <w:b/>
      <w:bCs/>
      <w:sz w:val="32"/>
      <w:szCs w:val="32"/>
    </w:rPr>
  </w:style>
  <w:style w:type="character" w:customStyle="1" w:styleId="53">
    <w:name w:val="标题 3 字符"/>
    <w:basedOn w:val="30"/>
    <w:link w:val="4"/>
    <w:autoRedefine/>
    <w:semiHidden/>
    <w:qFormat/>
    <w:uiPriority w:val="9"/>
    <w:rPr>
      <w:rFonts w:ascii="Times New Roman" w:hAnsi="Times New Roman" w:eastAsia="宋体" w:cs="Times New Roman"/>
      <w:b/>
      <w:bCs/>
      <w:sz w:val="32"/>
      <w:szCs w:val="32"/>
    </w:rPr>
  </w:style>
  <w:style w:type="character" w:customStyle="1" w:styleId="54">
    <w:name w:val="标题 4 字符"/>
    <w:basedOn w:val="30"/>
    <w:link w:val="5"/>
    <w:autoRedefine/>
    <w:semiHidden/>
    <w:qFormat/>
    <w:uiPriority w:val="9"/>
    <w:rPr>
      <w:rFonts w:ascii="Cambria" w:hAnsi="Cambria" w:eastAsia="宋体" w:cs="Times New Roman"/>
      <w:b/>
      <w:bCs/>
      <w:sz w:val="28"/>
      <w:szCs w:val="28"/>
    </w:rPr>
  </w:style>
  <w:style w:type="character" w:customStyle="1" w:styleId="55">
    <w:name w:val="标题 5 字符"/>
    <w:basedOn w:val="30"/>
    <w:link w:val="6"/>
    <w:autoRedefine/>
    <w:semiHidden/>
    <w:qFormat/>
    <w:uiPriority w:val="9"/>
    <w:rPr>
      <w:rFonts w:ascii="Times New Roman" w:hAnsi="Times New Roman" w:eastAsia="宋体" w:cs="Times New Roman"/>
      <w:b/>
      <w:bCs/>
      <w:sz w:val="28"/>
      <w:szCs w:val="28"/>
    </w:rPr>
  </w:style>
  <w:style w:type="character" w:customStyle="1" w:styleId="56">
    <w:name w:val="标题 6 字符"/>
    <w:basedOn w:val="30"/>
    <w:link w:val="7"/>
    <w:autoRedefine/>
    <w:semiHidden/>
    <w:qFormat/>
    <w:uiPriority w:val="9"/>
    <w:rPr>
      <w:rFonts w:ascii="Cambria" w:hAnsi="Cambria" w:eastAsia="宋体" w:cs="Times New Roman"/>
      <w:b/>
      <w:bCs/>
      <w:sz w:val="24"/>
      <w:szCs w:val="24"/>
    </w:rPr>
  </w:style>
  <w:style w:type="character" w:customStyle="1" w:styleId="57">
    <w:name w:val="标题 7 字符"/>
    <w:basedOn w:val="30"/>
    <w:link w:val="8"/>
    <w:autoRedefine/>
    <w:semiHidden/>
    <w:qFormat/>
    <w:uiPriority w:val="9"/>
    <w:rPr>
      <w:rFonts w:ascii="Times New Roman" w:hAnsi="Times New Roman" w:eastAsia="宋体" w:cs="Times New Roman"/>
      <w:b/>
      <w:bCs/>
      <w:sz w:val="24"/>
      <w:szCs w:val="24"/>
    </w:rPr>
  </w:style>
  <w:style w:type="character" w:customStyle="1" w:styleId="58">
    <w:name w:val="纯文本 字符"/>
    <w:link w:val="16"/>
    <w:autoRedefine/>
    <w:qFormat/>
    <w:uiPriority w:val="0"/>
    <w:rPr>
      <w:rFonts w:ascii="宋体" w:hAnsi="Courier New" w:eastAsia="宋体"/>
      <w:sz w:val="24"/>
    </w:rPr>
  </w:style>
  <w:style w:type="character" w:customStyle="1" w:styleId="59">
    <w:name w:val="日期 字符"/>
    <w:basedOn w:val="30"/>
    <w:link w:val="17"/>
    <w:autoRedefine/>
    <w:semiHidden/>
    <w:qFormat/>
    <w:uiPriority w:val="99"/>
    <w:rPr>
      <w:rFonts w:ascii="Times New Roman" w:hAnsi="Times New Roman" w:eastAsia="宋体" w:cs="Times New Roman"/>
      <w:sz w:val="28"/>
      <w:szCs w:val="20"/>
    </w:rPr>
  </w:style>
  <w:style w:type="character" w:customStyle="1" w:styleId="60">
    <w:name w:val="批注框文本 字符"/>
    <w:basedOn w:val="30"/>
    <w:link w:val="18"/>
    <w:autoRedefine/>
    <w:semiHidden/>
    <w:qFormat/>
    <w:uiPriority w:val="99"/>
    <w:rPr>
      <w:rFonts w:ascii="Times New Roman" w:hAnsi="Times New Roman" w:eastAsia="宋体" w:cs="Times New Roman"/>
      <w:sz w:val="18"/>
      <w:szCs w:val="18"/>
    </w:rPr>
  </w:style>
  <w:style w:type="character" w:customStyle="1" w:styleId="61">
    <w:name w:val="页脚 字符"/>
    <w:basedOn w:val="30"/>
    <w:link w:val="19"/>
    <w:autoRedefine/>
    <w:qFormat/>
    <w:uiPriority w:val="99"/>
    <w:rPr>
      <w:rFonts w:ascii="Times New Roman" w:hAnsi="Times New Roman" w:eastAsia="宋体" w:cs="Times New Roman"/>
      <w:sz w:val="18"/>
      <w:szCs w:val="18"/>
    </w:rPr>
  </w:style>
  <w:style w:type="character" w:customStyle="1" w:styleId="62">
    <w:name w:val="页眉 字符"/>
    <w:basedOn w:val="30"/>
    <w:link w:val="20"/>
    <w:autoRedefine/>
    <w:semiHidden/>
    <w:qFormat/>
    <w:uiPriority w:val="99"/>
    <w:rPr>
      <w:rFonts w:ascii="Times New Roman" w:hAnsi="Times New Roman" w:eastAsia="宋体" w:cs="Times New Roman"/>
      <w:sz w:val="18"/>
      <w:szCs w:val="18"/>
    </w:rPr>
  </w:style>
  <w:style w:type="character" w:customStyle="1" w:styleId="63">
    <w:name w:val="标题 字符"/>
    <w:basedOn w:val="30"/>
    <w:link w:val="26"/>
    <w:autoRedefine/>
    <w:qFormat/>
    <w:uiPriority w:val="10"/>
    <w:rPr>
      <w:rFonts w:ascii="Cambria" w:hAnsi="Cambria" w:eastAsia="宋体" w:cs="Times New Roman"/>
      <w:b/>
      <w:bCs/>
      <w:sz w:val="32"/>
      <w:szCs w:val="32"/>
    </w:rPr>
  </w:style>
  <w:style w:type="character" w:customStyle="1" w:styleId="64">
    <w:name w:val="正文文本缩进 Char1"/>
    <w:basedOn w:val="30"/>
    <w:autoRedefine/>
    <w:semiHidden/>
    <w:qFormat/>
    <w:uiPriority w:val="99"/>
    <w:rPr>
      <w:rFonts w:ascii="Times New Roman" w:hAnsi="Times New Roman" w:eastAsia="宋体" w:cs="Times New Roman"/>
      <w:sz w:val="28"/>
      <w:szCs w:val="20"/>
    </w:rPr>
  </w:style>
  <w:style w:type="character" w:customStyle="1" w:styleId="65">
    <w:name w:val="纯文本 Char"/>
    <w:basedOn w:val="30"/>
    <w:autoRedefine/>
    <w:semiHidden/>
    <w:qFormat/>
    <w:uiPriority w:val="99"/>
    <w:rPr>
      <w:rFonts w:ascii="宋体" w:hAnsi="Courier New" w:eastAsia="宋体" w:cs="Courier New"/>
      <w:szCs w:val="21"/>
    </w:rPr>
  </w:style>
  <w:style w:type="character" w:customStyle="1" w:styleId="66">
    <w:name w:val="列出段落 字符"/>
    <w:link w:val="34"/>
    <w:autoRedefine/>
    <w:qFormat/>
    <w:locked/>
    <w:uiPriority w:val="0"/>
    <w:rPr>
      <w:rFonts w:ascii="Times New Roman" w:hAnsi="Times New Roman" w:eastAsia="宋体" w:cs="Times New Roman"/>
      <w:sz w:val="28"/>
      <w:szCs w:val="20"/>
    </w:rPr>
  </w:style>
  <w:style w:type="character" w:customStyle="1" w:styleId="67">
    <w:name w:val="正文 第五章 中间"/>
    <w:autoRedefine/>
    <w:qFormat/>
    <w:uiPriority w:val="0"/>
    <w:rPr>
      <w:b/>
      <w:bCs/>
      <w:color w:val="000000"/>
      <w:sz w:val="32"/>
    </w:rPr>
  </w:style>
  <w:style w:type="character" w:customStyle="1" w:styleId="68">
    <w:name w:val="标题 3 Char"/>
    <w:autoRedefine/>
    <w:qFormat/>
    <w:uiPriority w:val="0"/>
    <w:rPr>
      <w:rFonts w:eastAsia="宋体"/>
      <w:b/>
      <w:bCs/>
      <w:kern w:val="2"/>
      <w:sz w:val="32"/>
      <w:szCs w:val="32"/>
      <w:lang w:val="en-US" w:eastAsia="zh-CN" w:bidi="ar-SA"/>
    </w:rPr>
  </w:style>
  <w:style w:type="paragraph" w:customStyle="1" w:styleId="69">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autoRedefine/>
    <w:qFormat/>
    <w:uiPriority w:val="0"/>
    <w:pPr>
      <w:jc w:val="center"/>
    </w:pPr>
    <w:rPr>
      <w:rFonts w:ascii="宋体" w:hAnsi="宋体"/>
      <w:b/>
      <w:sz w:val="44"/>
      <w:szCs w:val="44"/>
    </w:rPr>
  </w:style>
  <w:style w:type="paragraph" w:customStyle="1" w:styleId="72">
    <w:name w:val="text-tag1"/>
    <w:basedOn w:val="1"/>
    <w:autoRedefine/>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44</Pages>
  <Words>20464</Words>
  <Characters>21049</Characters>
  <Lines>170</Lines>
  <Paragraphs>48</Paragraphs>
  <TotalTime>0</TotalTime>
  <ScaleCrop>false</ScaleCrop>
  <LinksUpToDate>false</LinksUpToDate>
  <CharactersWithSpaces>23929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2024-05-29T01:28:09Z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EC2D55065EE9410B8AC07D03BAF4E20B</vt:lpwstr>
  </property>
</Properties>
</file>