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0" w:firstLineChars="200"/>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w:t>
      </w:r>
      <w:r>
        <w:rPr>
          <w:rFonts w:hint="eastAsia" w:eastAsia="仿宋_GB2312"/>
          <w:snapToGrid w:val="0"/>
          <w:sz w:val="30"/>
          <w:lang w:val="en-US" w:eastAsia="zh-CN"/>
        </w:rPr>
        <w:t>3</w:t>
      </w:r>
      <w:r>
        <w:rPr>
          <w:rFonts w:hint="eastAsia" w:eastAsia="仿宋_GB2312"/>
          <w:snapToGrid w:val="0"/>
          <w:sz w:val="30"/>
          <w:lang w:eastAsia="zh-CN"/>
        </w:rPr>
        <w:t>0</w:t>
      </w:r>
      <w:r>
        <w:rPr>
          <w:rFonts w:hint="eastAsia" w:eastAsia="仿宋_GB2312"/>
          <w:snapToGrid w:val="0"/>
          <w:sz w:val="30"/>
          <w:lang w:val="en-US" w:eastAsia="zh-CN"/>
        </w:rPr>
        <w:t>17</w:t>
      </w:r>
    </w:p>
    <w:p>
      <w:pPr>
        <w:ind w:firstLine="1040" w:firstLineChars="200"/>
        <w:jc w:val="center"/>
        <w:rPr>
          <w:rFonts w:ascii="仿宋_GB2312" w:eastAsia="仿宋_GB2312"/>
          <w:sz w:val="52"/>
          <w:szCs w:val="52"/>
        </w:rPr>
      </w:pPr>
    </w:p>
    <w:p>
      <w:pPr>
        <w:ind w:firstLine="1040" w:firstLineChars="2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ind w:firstLine="1044" w:firstLineChars="200"/>
        <w:jc w:val="center"/>
        <w:rPr>
          <w:rFonts w:hint="eastAsia" w:asciiTheme="majorEastAsia" w:hAnsiTheme="majorEastAsia" w:eastAsiaTheme="majorEastAsia" w:cstheme="majorEastAsia"/>
          <w:b/>
          <w:bCs/>
          <w:sz w:val="52"/>
          <w:szCs w:val="52"/>
          <w:lang w:val="en-US" w:eastAsia="zh-CN"/>
        </w:rPr>
      </w:pPr>
    </w:p>
    <w:p>
      <w:pPr>
        <w:ind w:firstLine="1044" w:firstLineChars="200"/>
        <w:jc w:val="center"/>
        <w:rPr>
          <w:rFonts w:hint="eastAsia" w:asciiTheme="majorEastAsia" w:hAnsiTheme="majorEastAsia" w:eastAsiaTheme="majorEastAsia" w:cstheme="majorEastAsia"/>
          <w:b/>
          <w:bCs/>
          <w:sz w:val="52"/>
          <w:szCs w:val="52"/>
          <w:lang w:val="en-US" w:eastAsia="zh-CN"/>
        </w:rPr>
      </w:pPr>
      <w:r>
        <w:rPr>
          <w:rFonts w:hint="eastAsia" w:asciiTheme="majorEastAsia" w:hAnsiTheme="majorEastAsia" w:eastAsiaTheme="majorEastAsia" w:cstheme="majorEastAsia"/>
          <w:b/>
          <w:bCs/>
          <w:sz w:val="52"/>
          <w:szCs w:val="52"/>
          <w:lang w:val="en-US" w:eastAsia="zh-CN"/>
        </w:rPr>
        <w:t>赭麓校区供电线路维修改造</w:t>
      </w:r>
    </w:p>
    <w:p>
      <w:pPr>
        <w:ind w:firstLine="1044" w:firstLineChars="200"/>
        <w:jc w:val="center"/>
        <w:rPr>
          <w:rFonts w:hint="eastAsia" w:asciiTheme="majorEastAsia" w:hAnsiTheme="majorEastAsia" w:eastAsiaTheme="majorEastAsia" w:cstheme="majorEastAsia"/>
          <w:b/>
          <w:bCs/>
          <w:w w:val="90"/>
          <w:sz w:val="48"/>
          <w:szCs w:val="48"/>
        </w:rPr>
      </w:pPr>
      <w:r>
        <w:rPr>
          <w:rFonts w:hint="eastAsia" w:asciiTheme="majorEastAsia" w:hAnsiTheme="majorEastAsia" w:eastAsiaTheme="majorEastAsia" w:cstheme="majorEastAsia"/>
          <w:b/>
          <w:bCs/>
          <w:sz w:val="52"/>
          <w:szCs w:val="52"/>
          <w:lang w:val="en-US" w:eastAsia="zh-CN"/>
        </w:rPr>
        <w:t>工程</w:t>
      </w:r>
      <w:r>
        <w:rPr>
          <w:rFonts w:hint="eastAsia" w:asciiTheme="majorEastAsia" w:hAnsiTheme="majorEastAsia" w:eastAsiaTheme="majorEastAsia" w:cstheme="majorEastAsia"/>
          <w:b/>
          <w:bCs/>
          <w:sz w:val="52"/>
          <w:szCs w:val="52"/>
          <w:lang w:eastAsia="zh-CN"/>
        </w:rPr>
        <w:t>项目</w:t>
      </w:r>
      <w:r>
        <w:rPr>
          <w:rFonts w:hint="eastAsia" w:asciiTheme="majorEastAsia" w:hAnsiTheme="majorEastAsia" w:eastAsiaTheme="majorEastAsia" w:cstheme="majorEastAsia"/>
          <w:b/>
          <w:bCs/>
          <w:sz w:val="52"/>
          <w:szCs w:val="52"/>
        </w:rPr>
        <w:t xml:space="preserve">      </w:t>
      </w:r>
      <w:r>
        <w:rPr>
          <w:rFonts w:hint="eastAsia" w:asciiTheme="majorEastAsia" w:hAnsiTheme="majorEastAsia" w:eastAsiaTheme="majorEastAsia" w:cstheme="majorEastAsia"/>
          <w:b/>
          <w:bCs/>
          <w:w w:val="90"/>
          <w:sz w:val="48"/>
          <w:szCs w:val="48"/>
        </w:rPr>
        <w:t xml:space="preserve">  </w:t>
      </w:r>
    </w:p>
    <w:p>
      <w:pPr>
        <w:ind w:firstLine="3654" w:firstLineChars="700"/>
        <w:jc w:val="both"/>
        <w:rPr>
          <w:rFonts w:hint="eastAsia" w:asciiTheme="majorEastAsia" w:hAnsiTheme="majorEastAsia" w:eastAsiaTheme="majorEastAsia" w:cstheme="majorEastAsia"/>
          <w:sz w:val="52"/>
          <w:szCs w:val="52"/>
        </w:rPr>
      </w:pPr>
      <w:r>
        <w:rPr>
          <w:rFonts w:hint="eastAsia" w:asciiTheme="majorEastAsia" w:hAnsiTheme="majorEastAsia" w:eastAsiaTheme="majorEastAsia" w:cstheme="majorEastAsia"/>
          <w:b/>
          <w:bCs/>
          <w:sz w:val="52"/>
          <w:szCs w:val="52"/>
        </w:rPr>
        <w:t>磋商文件</w:t>
      </w:r>
    </w:p>
    <w:p>
      <w:pPr>
        <w:ind w:firstLine="723" w:firstLineChars="200"/>
        <w:jc w:val="center"/>
        <w:rPr>
          <w:rFonts w:hint="eastAsia" w:ascii="仿宋_GB2312" w:eastAsia="仿宋_GB2312"/>
          <w:b/>
          <w:sz w:val="36"/>
          <w:szCs w:val="36"/>
        </w:rPr>
      </w:pPr>
    </w:p>
    <w:p>
      <w:pPr>
        <w:ind w:firstLine="723" w:firstLineChars="200"/>
        <w:jc w:val="center"/>
        <w:rPr>
          <w:rFonts w:hint="eastAsia" w:ascii="仿宋_GB2312" w:eastAsia="仿宋_GB2312"/>
          <w:b/>
          <w:sz w:val="36"/>
          <w:szCs w:val="36"/>
        </w:rPr>
      </w:pPr>
    </w:p>
    <w:p>
      <w:pPr>
        <w:ind w:firstLine="723" w:firstLineChars="200"/>
        <w:jc w:val="center"/>
        <w:rPr>
          <w:rFonts w:hint="eastAsia" w:ascii="仿宋_GB2312" w:eastAsia="仿宋_GB2312"/>
          <w:b/>
          <w:sz w:val="36"/>
          <w:szCs w:val="36"/>
        </w:rPr>
      </w:pPr>
    </w:p>
    <w:p>
      <w:pPr>
        <w:ind w:firstLine="723" w:firstLineChars="200"/>
        <w:jc w:val="center"/>
        <w:rPr>
          <w:rFonts w:hint="eastAsia" w:ascii="仿宋_GB2312" w:eastAsia="仿宋_GB2312"/>
          <w:b/>
          <w:sz w:val="36"/>
          <w:szCs w:val="36"/>
        </w:rPr>
      </w:pPr>
    </w:p>
    <w:p>
      <w:pPr>
        <w:ind w:firstLine="723" w:firstLineChars="200"/>
        <w:jc w:val="center"/>
        <w:rPr>
          <w:rFonts w:hint="eastAsia" w:ascii="仿宋_GB2312" w:eastAsia="仿宋_GB2312"/>
          <w:b/>
          <w:sz w:val="36"/>
          <w:szCs w:val="36"/>
        </w:rPr>
      </w:pPr>
    </w:p>
    <w:p>
      <w:pPr>
        <w:ind w:firstLine="723" w:firstLineChars="200"/>
        <w:jc w:val="center"/>
        <w:rPr>
          <w:rFonts w:hint="eastAsia" w:ascii="仿宋_GB2312" w:eastAsia="仿宋_GB2312"/>
          <w:b/>
          <w:sz w:val="36"/>
          <w:szCs w:val="36"/>
        </w:rPr>
      </w:pPr>
    </w:p>
    <w:p>
      <w:pPr>
        <w:jc w:val="both"/>
        <w:rPr>
          <w:rFonts w:hint="eastAsia" w:ascii="仿宋_GB2312" w:eastAsia="仿宋_GB2312"/>
          <w:b/>
          <w:sz w:val="36"/>
          <w:szCs w:val="36"/>
        </w:rPr>
      </w:pPr>
    </w:p>
    <w:p>
      <w:pPr>
        <w:ind w:firstLine="723" w:firstLineChars="200"/>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ind w:firstLine="723" w:firstLineChars="20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3</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4</w:t>
      </w:r>
      <w:r>
        <w:rPr>
          <w:rFonts w:hint="eastAsia" w:ascii="仿宋_GB2312" w:hAnsi="仿宋_GB2312" w:eastAsia="仿宋_GB2312" w:cs="仿宋_GB2312"/>
          <w:b/>
          <w:sz w:val="36"/>
          <w:szCs w:val="36"/>
        </w:rPr>
        <w:t>月</w:t>
      </w:r>
    </w:p>
    <w:p>
      <w:pPr>
        <w:ind w:firstLine="723" w:firstLineChars="200"/>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pStyle w:val="22"/>
        <w:ind w:firstLine="721" w:firstLineChars="200"/>
      </w:pPr>
      <w:r>
        <w:rPr>
          <w:rFonts w:hint="eastAsia"/>
        </w:rPr>
        <w:t>目  录</w:t>
      </w:r>
    </w:p>
    <w:p>
      <w:pPr>
        <w:pStyle w:val="22"/>
        <w:ind w:firstLine="602" w:firstLineChars="200"/>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1"/>
          <w:rFonts w:hint="eastAsia"/>
        </w:rPr>
        <w:t>第一章</w:t>
      </w:r>
      <w:r>
        <w:rPr>
          <w:rStyle w:val="31"/>
        </w:rPr>
        <w:t xml:space="preserve">  </w:t>
      </w:r>
      <w:r>
        <w:rPr>
          <w:rStyle w:val="31"/>
          <w:rFonts w:hint="eastAsia" w:ascii="宋体" w:hAnsi="宋体" w:eastAsia="宋体" w:cs="宋体"/>
        </w:rPr>
        <w:t>磋</w:t>
      </w:r>
      <w:r>
        <w:rPr>
          <w:rStyle w:val="31"/>
          <w:rFonts w:hint="eastAsia"/>
        </w:rPr>
        <w:t>商公告</w:t>
      </w:r>
      <w:r>
        <w:tab/>
      </w:r>
      <w:r>
        <w:fldChar w:fldCharType="begin"/>
      </w:r>
      <w:r>
        <w:instrText xml:space="preserve"> PAGEREF _Toc49762999 \h </w:instrText>
      </w:r>
      <w:r>
        <w:fldChar w:fldCharType="separate"/>
      </w:r>
      <w:r>
        <w:t>1</w:t>
      </w:r>
      <w:r>
        <w:fldChar w:fldCharType="end"/>
      </w:r>
      <w:r>
        <w:fldChar w:fldCharType="end"/>
      </w:r>
    </w:p>
    <w:p>
      <w:pPr>
        <w:pStyle w:val="22"/>
        <w:ind w:firstLine="721" w:firstLineChars="200"/>
        <w:rPr>
          <w:rFonts w:ascii="Calibri" w:hAnsi="Calibri" w:eastAsia="宋体"/>
          <w:b w:val="0"/>
          <w:sz w:val="21"/>
          <w:szCs w:val="22"/>
        </w:rPr>
      </w:pPr>
      <w:r>
        <w:fldChar w:fldCharType="begin"/>
      </w:r>
      <w:r>
        <w:instrText xml:space="preserve"> HYPERLINK \l "_Toc49763000" </w:instrText>
      </w:r>
      <w:r>
        <w:fldChar w:fldCharType="separate"/>
      </w:r>
      <w:r>
        <w:rPr>
          <w:rStyle w:val="31"/>
          <w:rFonts w:hint="eastAsia"/>
        </w:rPr>
        <w:t>第二章</w:t>
      </w:r>
      <w:r>
        <w:rPr>
          <w:rStyle w:val="31"/>
        </w:rPr>
        <w:t xml:space="preserve">  </w:t>
      </w:r>
      <w:r>
        <w:rPr>
          <w:rStyle w:val="31"/>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2"/>
        <w:ind w:firstLine="721" w:firstLineChars="200"/>
        <w:rPr>
          <w:rFonts w:ascii="Calibri" w:hAnsi="Calibri" w:eastAsia="宋体"/>
          <w:b w:val="0"/>
          <w:sz w:val="21"/>
          <w:szCs w:val="22"/>
        </w:rPr>
      </w:pPr>
      <w:r>
        <w:fldChar w:fldCharType="begin"/>
      </w:r>
      <w:r>
        <w:instrText xml:space="preserve"> HYPERLINK \l "_Toc49763001" </w:instrText>
      </w:r>
      <w:r>
        <w:fldChar w:fldCharType="separate"/>
      </w:r>
      <w:r>
        <w:rPr>
          <w:rStyle w:val="31"/>
          <w:rFonts w:hint="eastAsia"/>
        </w:rPr>
        <w:t>第三章</w:t>
      </w:r>
      <w:r>
        <w:rPr>
          <w:rStyle w:val="31"/>
        </w:rPr>
        <w:t xml:space="preserve">  </w:t>
      </w:r>
      <w:r>
        <w:rPr>
          <w:rStyle w:val="31"/>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2"/>
        <w:ind w:firstLine="721" w:firstLineChars="200"/>
        <w:rPr>
          <w:rFonts w:ascii="Calibri" w:hAnsi="Calibri" w:eastAsia="宋体"/>
          <w:b w:val="0"/>
          <w:sz w:val="21"/>
          <w:szCs w:val="22"/>
        </w:rPr>
      </w:pPr>
      <w:r>
        <w:fldChar w:fldCharType="begin"/>
      </w:r>
      <w:r>
        <w:instrText xml:space="preserve"> HYPERLINK \l "_Toc49763002" </w:instrText>
      </w:r>
      <w:r>
        <w:fldChar w:fldCharType="separate"/>
      </w:r>
      <w:r>
        <w:rPr>
          <w:rStyle w:val="31"/>
          <w:rFonts w:hint="eastAsia"/>
        </w:rPr>
        <w:t>第四章</w:t>
      </w:r>
      <w:r>
        <w:rPr>
          <w:rStyle w:val="31"/>
        </w:rPr>
        <w:t xml:space="preserve">  </w:t>
      </w:r>
      <w:r>
        <w:rPr>
          <w:rStyle w:val="31"/>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2"/>
        <w:ind w:firstLine="721" w:firstLineChars="200"/>
        <w:rPr>
          <w:rFonts w:ascii="Calibri" w:hAnsi="Calibri" w:eastAsia="宋体"/>
          <w:b w:val="0"/>
          <w:sz w:val="21"/>
          <w:szCs w:val="22"/>
        </w:rPr>
      </w:pPr>
      <w:r>
        <w:fldChar w:fldCharType="begin"/>
      </w:r>
      <w:r>
        <w:instrText xml:space="preserve"> HYPERLINK \l "_Toc49763003" </w:instrText>
      </w:r>
      <w:r>
        <w:fldChar w:fldCharType="separate"/>
      </w:r>
      <w:r>
        <w:rPr>
          <w:rStyle w:val="31"/>
          <w:rFonts w:hint="eastAsia"/>
        </w:rPr>
        <w:t>第五章</w:t>
      </w:r>
      <w:r>
        <w:rPr>
          <w:rStyle w:val="31"/>
        </w:rPr>
        <w:t xml:space="preserve">  </w:t>
      </w:r>
      <w:r>
        <w:rPr>
          <w:rStyle w:val="31"/>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2"/>
        <w:ind w:firstLine="721" w:firstLineChars="200"/>
        <w:rPr>
          <w:rFonts w:ascii="Calibri" w:hAnsi="Calibri" w:eastAsia="宋体"/>
          <w:b w:val="0"/>
          <w:sz w:val="21"/>
          <w:szCs w:val="22"/>
        </w:rPr>
      </w:pPr>
      <w:r>
        <w:fldChar w:fldCharType="begin"/>
      </w:r>
      <w:r>
        <w:instrText xml:space="preserve"> HYPERLINK \l "_Toc49763004" </w:instrText>
      </w:r>
      <w:r>
        <w:fldChar w:fldCharType="separate"/>
      </w:r>
      <w:r>
        <w:rPr>
          <w:rStyle w:val="31"/>
          <w:rFonts w:hint="eastAsia"/>
        </w:rPr>
        <w:t>第六章</w:t>
      </w:r>
      <w:r>
        <w:rPr>
          <w:rStyle w:val="31"/>
        </w:rPr>
        <w:t xml:space="preserve">  </w:t>
      </w:r>
      <w:r>
        <w:rPr>
          <w:rStyle w:val="31"/>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2"/>
        <w:ind w:firstLine="721" w:firstLineChars="200"/>
        <w:rPr>
          <w:rFonts w:ascii="Calibri" w:hAnsi="Calibri" w:eastAsia="宋体"/>
          <w:b w:val="0"/>
          <w:sz w:val="21"/>
          <w:szCs w:val="22"/>
        </w:rPr>
      </w:pPr>
      <w:r>
        <w:fldChar w:fldCharType="begin"/>
      </w:r>
      <w:r>
        <w:instrText xml:space="preserve"> HYPERLINK \l "_Toc49763005" </w:instrText>
      </w:r>
      <w:r>
        <w:fldChar w:fldCharType="separate"/>
      </w:r>
      <w:r>
        <w:rPr>
          <w:rStyle w:val="31"/>
          <w:rFonts w:hint="eastAsia"/>
        </w:rPr>
        <w:t>第七章</w:t>
      </w:r>
      <w:r>
        <w:rPr>
          <w:rStyle w:val="31"/>
        </w:rPr>
        <w:t xml:space="preserve">  </w:t>
      </w:r>
      <w:r>
        <w:rPr>
          <w:rStyle w:val="31"/>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ind w:firstLine="602" w:firstLineChars="20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6"/>
        <w:ind w:firstLine="1807" w:firstLineChars="500"/>
        <w:rPr>
          <w:rFonts w:hint="eastAsia" w:ascii="宋体" w:hAnsi="宋体" w:eastAsia="宋体" w:cs="宋体"/>
          <w:color w:val="auto"/>
          <w:szCs w:val="21"/>
        </w:rPr>
      </w:pPr>
      <w:bookmarkStart w:id="0" w:name="_Toc49762999"/>
    </w:p>
    <w:p>
      <w:pPr>
        <w:pStyle w:val="6"/>
        <w:ind w:firstLine="1807" w:firstLineChars="500"/>
        <w:rPr>
          <w:rFonts w:hint="eastAsia" w:ascii="宋体" w:hAnsi="宋体" w:eastAsia="宋体" w:cs="宋体"/>
          <w:color w:val="auto"/>
          <w:szCs w:val="21"/>
        </w:rPr>
      </w:pPr>
      <w:r>
        <w:rPr>
          <w:rFonts w:hint="eastAsia" w:ascii="宋体" w:hAnsi="宋体" w:eastAsia="宋体" w:cs="宋体"/>
          <w:color w:val="auto"/>
          <w:szCs w:val="21"/>
        </w:rPr>
        <w:t>第一章  磋商公告</w:t>
      </w:r>
      <w:bookmarkEnd w:id="0"/>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赭麓校区供电线路维修改造工程项目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赭麓校区供电线路维修改造工程项目</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2023017</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50万元。</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（一）具有独立承担民事责任的能力；</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（二）具有良好的商业信誉和健全的财务会计制度；</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（三）具有履行合同所必需的设备和专业技术能力；</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（四）有依法缴纳税收和社会保障资金的良好记录；</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（五）参加采购活动前三年内，在经营活动中没有重大违法记录；</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（六）法律、行政法规规定的其他条件</w:t>
      </w:r>
      <w:r>
        <w:rPr>
          <w:rFonts w:hint="eastAsia" w:ascii="仿宋_GB2312" w:eastAsia="仿宋_GB2312" w:cs="宋体"/>
          <w:kern w:val="0"/>
          <w:sz w:val="24"/>
          <w:szCs w:val="24"/>
          <w:lang w:val="en-US" w:eastAsia="zh-CN" w:bidi="ar-SA"/>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（七）承装电力设施许可证4级，承修电力设施可证4级，承试电力设施许可证5级；</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（八）本项目不接受联合体投标</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三、报名时间及方式：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21</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26</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hAnsi="宋体" w:eastAsia="仿宋_GB2312" w:cs="宋体"/>
          <w:kern w:val="0"/>
          <w:sz w:val="24"/>
          <w:szCs w:val="24"/>
          <w:highlight w:val="none"/>
          <w:lang w:val="en-US" w:eastAsia="zh-CN" w:bidi="ar-SA"/>
        </w:rPr>
        <w:t>赭麓校区供电线路维修改造工程项目</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2023017</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5"/>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5</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5</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因学校防控要求，校外人员进校需填写《校外人员入校申请表》（附件）。请各投标单位如实填写，并于2023年5月8日12：00前将</w:t>
      </w:r>
      <w:r>
        <w:rPr>
          <w:rFonts w:hint="eastAsia" w:ascii="仿宋_GB2312" w:eastAsia="仿宋_GB2312" w:cs="宋体"/>
          <w:b/>
          <w:bCs/>
          <w:sz w:val="28"/>
          <w:szCs w:val="28"/>
          <w:highlight w:val="red"/>
          <w:lang w:val="en-US" w:eastAsia="zh-CN"/>
        </w:rPr>
        <w:t>手写签名扫描版</w:t>
      </w:r>
      <w:r>
        <w:rPr>
          <w:rFonts w:hint="eastAsia" w:ascii="仿宋_GB2312" w:eastAsia="仿宋_GB2312" w:cs="宋体"/>
          <w:sz w:val="24"/>
          <w:szCs w:val="24"/>
          <w:lang w:val="en-US" w:eastAsia="zh-CN"/>
        </w:rPr>
        <w:t>传至842807551@qq.com。未按时提交《校外人员入校申请表》的，后果自负。</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5"/>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20</w:t>
      </w:r>
      <w:r>
        <w:rPr>
          <w:rFonts w:hint="default" w:ascii="仿宋_GB2312" w:eastAsia="仿宋_GB2312" w:cs="宋体"/>
          <w:sz w:val="24"/>
          <w:szCs w:val="24"/>
          <w:highlight w:val="none"/>
          <w:lang w:val="en-US" w:eastAsia="zh-CN"/>
        </w:rPr>
        <w:t>日</w:t>
      </w:r>
    </w:p>
    <w:p>
      <w:pPr>
        <w:pStyle w:val="6"/>
        <w:snapToGrid w:val="0"/>
        <w:spacing w:before="0" w:after="0"/>
        <w:ind w:left="0" w:leftChars="0" w:firstLine="721" w:firstLineChars="200"/>
        <w:jc w:val="both"/>
        <w:rPr>
          <w:rFonts w:ascii="华文中宋" w:hAnsi="华文中宋" w:eastAsia="华文中宋"/>
          <w:color w:val="auto"/>
        </w:rPr>
      </w:pPr>
      <w:bookmarkStart w:id="1" w:name="_Toc49763000"/>
      <w:r>
        <w:rPr>
          <w:rFonts w:hint="eastAsia" w:ascii="华文中宋" w:hAnsi="华文中宋" w:eastAsia="华文中宋"/>
          <w:color w:val="auto"/>
        </w:rPr>
        <w:br w:type="page"/>
      </w:r>
      <w:r>
        <w:rPr>
          <w:rFonts w:hint="eastAsia" w:asciiTheme="majorEastAsia" w:hAnsiTheme="majorEastAsia" w:eastAsiaTheme="majorEastAsia" w:cstheme="majorEastAsia"/>
          <w:color w:val="auto"/>
        </w:rPr>
        <w:t>第二章  磋商须知前附表</w:t>
      </w:r>
      <w:bookmarkEnd w:id="1"/>
    </w:p>
    <w:tbl>
      <w:tblPr>
        <w:tblStyle w:val="27"/>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赭麓校区供电线路维修改造工程项目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ind w:firstLine="420" w:firstLineChars="200"/>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ind w:firstLine="420" w:firstLineChars="200"/>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
              <w:ind w:left="0" w:leftChars="0" w:firstLine="0" w:firstLineChars="0"/>
              <w:rPr>
                <w:rFonts w:hint="default"/>
                <w:lang w:val="en-US" w:eastAsia="zh-CN"/>
              </w:rPr>
            </w:pPr>
            <w:r>
              <w:rPr>
                <w:rFonts w:hint="eastAsia"/>
                <w:b/>
                <w:bCs/>
                <w:sz w:val="21"/>
                <w:szCs w:val="21"/>
                <w:lang w:val="en-US" w:eastAsia="zh-CN"/>
              </w:rPr>
              <w:t>踏勘联系人：江老师 ；踏勘时间2022年4月27</w:t>
            </w:r>
            <w:bookmarkStart w:id="153" w:name="_GoBack"/>
            <w:bookmarkEnd w:id="153"/>
            <w:r>
              <w:rPr>
                <w:rFonts w:hint="eastAsia"/>
                <w:b/>
                <w:bCs/>
                <w:sz w:val="21"/>
                <w:szCs w:val="21"/>
                <w:lang w:val="en-US" w:eastAsia="zh-CN"/>
              </w:rPr>
              <w:t>日14:00；踏勘联系方式：0553-3932089</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ind w:firstLine="420" w:firstLineChars="200"/>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10000元</w:t>
            </w:r>
          </w:p>
          <w:p>
            <w:pPr>
              <w:ind w:firstLine="420" w:firstLineChars="200"/>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ind w:firstLine="420" w:firstLineChars="200"/>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
              <w:ind w:left="0" w:leftChars="0" w:firstLine="404" w:firstLineChars="20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ind w:firstLine="420" w:firstLineChars="200"/>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ind w:firstLine="420" w:firstLineChars="200"/>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ind w:firstLine="480" w:firstLineChars="200"/>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Theme="majorEastAsia" w:hAnsiTheme="majorEastAsia" w:eastAsiaTheme="majorEastAsia" w:cstheme="majorEastAsia"/>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16938519"/>
      <w:bookmarkStart w:id="4" w:name="_Toc120614214"/>
      <w:bookmarkStart w:id="5" w:name="_Toc513029203"/>
      <w:bookmarkStart w:id="6" w:name="_Toc403987205"/>
      <w:bookmarkStart w:id="7" w:name="_Toc20823275"/>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20823276"/>
      <w:bookmarkStart w:id="10" w:name="_Toc16938520"/>
      <w:bookmarkStart w:id="11" w:name="_Toc513029204"/>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38"/>
        <w:snapToGrid w:val="0"/>
        <w:ind w:firstLine="480" w:firstLineChars="20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38"/>
        <w:snapToGrid w:val="0"/>
        <w:ind w:firstLine="480" w:firstLineChars="20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20823277"/>
      <w:bookmarkStart w:id="13" w:name="_Toc513029205"/>
      <w:bookmarkStart w:id="14" w:name="_Toc16938521"/>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38"/>
        <w:snapToGrid w:val="0"/>
        <w:ind w:left="560" w:firstLine="480" w:firstLineChars="200"/>
        <w:rPr>
          <w:rFonts w:hint="eastAsia" w:hAnsi="宋体" w:eastAsia="宋体"/>
          <w:sz w:val="24"/>
          <w:szCs w:val="24"/>
        </w:rPr>
      </w:pPr>
      <w:r>
        <w:rPr>
          <w:rFonts w:hint="eastAsia" w:hAnsi="宋体" w:eastAsia="宋体"/>
          <w:sz w:val="24"/>
          <w:szCs w:val="24"/>
        </w:rPr>
        <w:t>（1）满足磋商公告中供应商的资格条件的规定。</w:t>
      </w:r>
    </w:p>
    <w:p>
      <w:pPr>
        <w:pStyle w:val="38"/>
        <w:snapToGrid w:val="0"/>
        <w:ind w:firstLine="480" w:firstLineChars="20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20823278"/>
      <w:bookmarkStart w:id="16" w:name="_Toc513029206"/>
      <w:bookmarkStart w:id="17" w:name="_Toc16938522"/>
      <w:r>
        <w:rPr>
          <w:rFonts w:hint="eastAsia" w:ascii="宋体" w:hAnsi="宋体" w:cs="宋体"/>
          <w:sz w:val="24"/>
          <w:szCs w:val="24"/>
        </w:rPr>
        <w:t>4.适用法律</w:t>
      </w:r>
      <w:bookmarkEnd w:id="15"/>
      <w:bookmarkEnd w:id="16"/>
      <w:bookmarkEnd w:id="17"/>
    </w:p>
    <w:p>
      <w:pPr>
        <w:pStyle w:val="38"/>
        <w:snapToGrid w:val="0"/>
        <w:ind w:firstLine="480" w:firstLineChars="20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462564067"/>
      <w:bookmarkStart w:id="19" w:name="_Toc20823279"/>
      <w:bookmarkStart w:id="20" w:name="_Toc513029207"/>
      <w:bookmarkStart w:id="21" w:name="_Toc16938523"/>
      <w:r>
        <w:rPr>
          <w:rFonts w:hint="eastAsia" w:ascii="宋体" w:hAnsi="宋体" w:cs="宋体"/>
          <w:sz w:val="24"/>
          <w:szCs w:val="24"/>
        </w:rPr>
        <w:t>5.磋商费用</w:t>
      </w:r>
      <w:bookmarkEnd w:id="18"/>
      <w:bookmarkEnd w:id="19"/>
      <w:bookmarkEnd w:id="20"/>
      <w:bookmarkEnd w:id="21"/>
    </w:p>
    <w:p>
      <w:pPr>
        <w:pStyle w:val="38"/>
        <w:snapToGrid w:val="0"/>
        <w:ind w:firstLine="480" w:firstLineChars="20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38"/>
        <w:snapToGrid w:val="0"/>
        <w:ind w:firstLine="480" w:firstLineChars="20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38"/>
        <w:snapToGrid w:val="0"/>
        <w:ind w:firstLine="480" w:firstLineChars="20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16938525"/>
      <w:bookmarkStart w:id="23" w:name="_Toc513029209"/>
      <w:bookmarkStart w:id="24" w:name="_Toc120614215"/>
      <w:bookmarkStart w:id="25" w:name="_Toc403987206"/>
      <w:bookmarkStart w:id="26" w:name="_Toc20823281"/>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513029210"/>
      <w:bookmarkStart w:id="28" w:name="_Toc20823282"/>
      <w:bookmarkStart w:id="29" w:name="_Toc16938526"/>
      <w:r>
        <w:rPr>
          <w:rFonts w:hint="eastAsia" w:ascii="宋体" w:hAnsi="宋体" w:cs="宋体"/>
          <w:sz w:val="24"/>
          <w:szCs w:val="24"/>
        </w:rPr>
        <w:t>1.磋商文件构成</w:t>
      </w:r>
      <w:bookmarkEnd w:id="27"/>
      <w:bookmarkEnd w:id="28"/>
      <w:bookmarkEnd w:id="29"/>
    </w:p>
    <w:p>
      <w:pPr>
        <w:pStyle w:val="38"/>
        <w:snapToGrid w:val="0"/>
        <w:ind w:firstLine="480" w:firstLineChars="200"/>
        <w:rPr>
          <w:rFonts w:hint="eastAsia" w:hAnsi="宋体" w:eastAsia="宋体"/>
          <w:sz w:val="24"/>
          <w:szCs w:val="24"/>
        </w:rPr>
      </w:pPr>
      <w:r>
        <w:rPr>
          <w:rFonts w:hint="eastAsia" w:hAnsi="宋体" w:eastAsia="宋体"/>
          <w:sz w:val="24"/>
          <w:szCs w:val="24"/>
        </w:rPr>
        <w:t>磋商文件有以下部分组成：</w:t>
      </w:r>
    </w:p>
    <w:p>
      <w:pPr>
        <w:pStyle w:val="38"/>
        <w:snapToGrid w:val="0"/>
        <w:ind w:firstLine="480" w:firstLineChars="200"/>
        <w:rPr>
          <w:rFonts w:hint="eastAsia" w:hAnsi="宋体" w:eastAsia="宋体"/>
          <w:sz w:val="24"/>
          <w:szCs w:val="24"/>
        </w:rPr>
      </w:pPr>
      <w:r>
        <w:rPr>
          <w:rFonts w:hint="eastAsia" w:hAnsi="宋体" w:eastAsia="宋体"/>
          <w:sz w:val="24"/>
          <w:szCs w:val="24"/>
        </w:rPr>
        <w:t>（1）磋商公告</w:t>
      </w:r>
    </w:p>
    <w:p>
      <w:pPr>
        <w:pStyle w:val="38"/>
        <w:snapToGrid w:val="0"/>
        <w:ind w:firstLine="480" w:firstLineChars="200"/>
        <w:rPr>
          <w:rFonts w:hint="eastAsia" w:hAnsi="宋体" w:eastAsia="宋体"/>
          <w:sz w:val="24"/>
          <w:szCs w:val="24"/>
        </w:rPr>
      </w:pPr>
      <w:r>
        <w:rPr>
          <w:rFonts w:hint="eastAsia" w:hAnsi="宋体" w:eastAsia="宋体"/>
          <w:sz w:val="24"/>
          <w:szCs w:val="24"/>
        </w:rPr>
        <w:t>（2）磋商须知前附表</w:t>
      </w:r>
    </w:p>
    <w:p>
      <w:pPr>
        <w:pStyle w:val="38"/>
        <w:snapToGrid w:val="0"/>
        <w:ind w:firstLine="480" w:firstLineChars="200"/>
        <w:rPr>
          <w:rFonts w:hint="eastAsia" w:hAnsi="宋体" w:eastAsia="宋体"/>
          <w:sz w:val="24"/>
          <w:szCs w:val="24"/>
        </w:rPr>
      </w:pPr>
      <w:r>
        <w:rPr>
          <w:rFonts w:hint="eastAsia" w:hAnsi="宋体" w:eastAsia="宋体"/>
          <w:sz w:val="24"/>
          <w:szCs w:val="24"/>
        </w:rPr>
        <w:t>（3）磋商须知</w:t>
      </w:r>
    </w:p>
    <w:p>
      <w:pPr>
        <w:pStyle w:val="38"/>
        <w:snapToGrid w:val="0"/>
        <w:ind w:firstLine="480" w:firstLineChars="200"/>
        <w:rPr>
          <w:rFonts w:hint="eastAsia" w:hAnsi="宋体" w:eastAsia="宋体"/>
          <w:sz w:val="24"/>
          <w:szCs w:val="24"/>
        </w:rPr>
      </w:pPr>
      <w:r>
        <w:rPr>
          <w:rFonts w:hint="eastAsia" w:hAnsi="宋体" w:eastAsia="宋体"/>
          <w:sz w:val="24"/>
          <w:szCs w:val="24"/>
        </w:rPr>
        <w:t>（4）合同主要条款</w:t>
      </w:r>
    </w:p>
    <w:p>
      <w:pPr>
        <w:pStyle w:val="38"/>
        <w:snapToGrid w:val="0"/>
        <w:ind w:firstLine="480" w:firstLineChars="200"/>
        <w:rPr>
          <w:rFonts w:hint="eastAsia" w:hAnsi="宋体" w:eastAsia="宋体"/>
          <w:sz w:val="24"/>
          <w:szCs w:val="24"/>
        </w:rPr>
      </w:pPr>
      <w:r>
        <w:rPr>
          <w:rFonts w:hint="eastAsia" w:hAnsi="宋体" w:eastAsia="宋体"/>
          <w:sz w:val="24"/>
          <w:szCs w:val="24"/>
        </w:rPr>
        <w:t>（5）项目需求</w:t>
      </w:r>
    </w:p>
    <w:p>
      <w:pPr>
        <w:pStyle w:val="38"/>
        <w:snapToGrid w:val="0"/>
        <w:ind w:firstLine="480" w:firstLineChars="200"/>
        <w:rPr>
          <w:rFonts w:hint="eastAsia" w:hAnsi="宋体" w:eastAsia="宋体"/>
          <w:sz w:val="24"/>
          <w:szCs w:val="24"/>
        </w:rPr>
      </w:pPr>
      <w:r>
        <w:rPr>
          <w:rFonts w:hint="eastAsia" w:hAnsi="宋体" w:eastAsia="宋体"/>
          <w:sz w:val="24"/>
          <w:szCs w:val="24"/>
        </w:rPr>
        <w:t>（6）评审标准</w:t>
      </w:r>
    </w:p>
    <w:p>
      <w:pPr>
        <w:pStyle w:val="38"/>
        <w:snapToGrid w:val="0"/>
        <w:ind w:firstLine="480" w:firstLineChars="20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513029211"/>
      <w:bookmarkStart w:id="31" w:name="_Toc462564070"/>
      <w:bookmarkStart w:id="32" w:name="_Toc16938527"/>
      <w:bookmarkStart w:id="33" w:name="_Toc20823283"/>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38"/>
        <w:snapToGrid w:val="0"/>
        <w:ind w:firstLine="480" w:firstLineChars="20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462564072"/>
      <w:bookmarkStart w:id="35" w:name="_Toc20823285"/>
      <w:bookmarkStart w:id="36" w:name="_Toc120614216"/>
      <w:bookmarkStart w:id="37" w:name="_Toc513029213"/>
      <w:bookmarkStart w:id="38" w:name="_Toc16938529"/>
      <w:bookmarkStart w:id="39" w:name="_Toc403987207"/>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20823286"/>
      <w:bookmarkStart w:id="42" w:name="_Toc462564073"/>
      <w:bookmarkStart w:id="43" w:name="_Toc513029214"/>
      <w:bookmarkStart w:id="44" w:name="_Toc16938530"/>
      <w:r>
        <w:rPr>
          <w:rFonts w:hint="eastAsia" w:ascii="宋体" w:hAnsi="宋体" w:cs="宋体"/>
          <w:sz w:val="24"/>
          <w:szCs w:val="24"/>
        </w:rPr>
        <w:t>3.响应文件的语言及度量衡单位</w:t>
      </w:r>
      <w:bookmarkEnd w:id="41"/>
      <w:bookmarkEnd w:id="42"/>
      <w:bookmarkEnd w:id="43"/>
      <w:bookmarkEnd w:id="44"/>
    </w:p>
    <w:p>
      <w:pPr>
        <w:pStyle w:val="38"/>
        <w:snapToGrid w:val="0"/>
        <w:ind w:firstLine="480" w:firstLineChars="20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38"/>
        <w:snapToGrid w:val="0"/>
        <w:ind w:firstLine="480" w:firstLineChars="20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513029215"/>
      <w:bookmarkStart w:id="46" w:name="_Toc462564074"/>
      <w:bookmarkStart w:id="47" w:name="_Toc20823287"/>
      <w:bookmarkStart w:id="48" w:name="_Toc16938531"/>
      <w:r>
        <w:rPr>
          <w:rFonts w:hint="eastAsia" w:ascii="宋体" w:hAnsi="宋体" w:cs="宋体"/>
          <w:sz w:val="24"/>
          <w:szCs w:val="24"/>
        </w:rPr>
        <w:t>4.响应文件构成</w:t>
      </w:r>
      <w:bookmarkEnd w:id="45"/>
      <w:bookmarkEnd w:id="46"/>
      <w:bookmarkEnd w:id="47"/>
      <w:bookmarkEnd w:id="48"/>
    </w:p>
    <w:p>
      <w:pPr>
        <w:pStyle w:val="38"/>
        <w:snapToGrid w:val="0"/>
        <w:ind w:firstLine="480" w:firstLineChars="200"/>
        <w:rPr>
          <w:rFonts w:hint="eastAsia" w:hAnsi="宋体" w:eastAsia="宋体"/>
          <w:sz w:val="24"/>
          <w:szCs w:val="24"/>
        </w:rPr>
      </w:pPr>
      <w:r>
        <w:rPr>
          <w:rFonts w:hint="eastAsia" w:hAnsi="宋体" w:eastAsia="宋体"/>
          <w:sz w:val="24"/>
          <w:szCs w:val="24"/>
        </w:rPr>
        <w:t>（1）供应商应该按照磋商文件的要求编写响应文件应。</w:t>
      </w:r>
    </w:p>
    <w:p>
      <w:pPr>
        <w:pStyle w:val="38"/>
        <w:snapToGrid w:val="0"/>
        <w:ind w:firstLine="480" w:firstLineChars="20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670360"/>
      <w:bookmarkEnd w:id="49"/>
      <w:bookmarkStart w:id="50" w:name="_Hlt26668975"/>
      <w:bookmarkEnd w:id="50"/>
      <w:bookmarkStart w:id="51" w:name="_Hlt26954838"/>
      <w:bookmarkEnd w:id="51"/>
      <w:bookmarkStart w:id="52" w:name="_Toc14577357"/>
      <w:bookmarkStart w:id="53" w:name="_Toc49090509"/>
      <w:bookmarkStart w:id="54" w:name="_Toc513029219"/>
      <w:bookmarkStart w:id="55" w:name="_Toc513029216"/>
      <w:bookmarkStart w:id="56" w:name="_Toc14577354"/>
      <w:bookmarkStart w:id="57" w:name="_Toc49090507"/>
      <w:r>
        <w:rPr>
          <w:rFonts w:hint="eastAsia" w:ascii="宋体" w:hAnsi="宋体" w:cs="宋体"/>
          <w:sz w:val="24"/>
          <w:szCs w:val="24"/>
        </w:rPr>
        <w:t>5.证明供应商资格及符合磋商文件规定的文件</w:t>
      </w:r>
      <w:bookmarkEnd w:id="52"/>
      <w:bookmarkEnd w:id="53"/>
      <w:bookmarkEnd w:id="54"/>
    </w:p>
    <w:p>
      <w:pPr>
        <w:pStyle w:val="38"/>
        <w:snapToGrid w:val="0"/>
        <w:ind w:firstLine="480" w:firstLineChars="20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38"/>
        <w:snapToGrid w:val="0"/>
        <w:ind w:firstLine="480" w:firstLineChars="20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38"/>
        <w:snapToGrid w:val="0"/>
        <w:ind w:firstLine="480" w:firstLineChars="20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38"/>
        <w:snapToGrid w:val="0"/>
        <w:ind w:firstLine="482" w:firstLineChars="200"/>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38"/>
        <w:snapToGrid w:val="0"/>
        <w:ind w:firstLine="480" w:firstLineChars="20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38"/>
        <w:snapToGrid w:val="0"/>
        <w:ind w:firstLine="480" w:firstLineChars="20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954846"/>
      <w:bookmarkEnd w:id="63"/>
      <w:bookmarkStart w:id="64" w:name="_Hlt26670486"/>
      <w:bookmarkEnd w:id="64"/>
      <w:bookmarkStart w:id="65" w:name="_Hlt26954852"/>
      <w:bookmarkEnd w:id="65"/>
      <w:bookmarkStart w:id="66" w:name="_Hlt26954739"/>
      <w:bookmarkEnd w:id="66"/>
      <w:bookmarkStart w:id="67" w:name="_Hlt26954731"/>
      <w:bookmarkEnd w:id="67"/>
      <w:bookmarkStart w:id="68" w:name="_Hlt26670482"/>
      <w:bookmarkEnd w:id="68"/>
      <w:bookmarkStart w:id="69" w:name="_Hlt26954848"/>
      <w:bookmarkEnd w:id="69"/>
      <w:bookmarkStart w:id="70" w:name="_Toc49090512"/>
      <w:bookmarkStart w:id="71" w:name="_Toc14577361"/>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38"/>
        <w:snapToGrid w:val="0"/>
        <w:ind w:firstLine="480" w:firstLineChars="20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38"/>
        <w:snapToGrid w:val="0"/>
        <w:ind w:firstLine="480" w:firstLineChars="20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38"/>
        <w:snapToGrid w:val="0"/>
        <w:ind w:firstLine="480" w:firstLineChars="20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20823296"/>
      <w:bookmarkStart w:id="73" w:name="_Toc403987208"/>
      <w:bookmarkStart w:id="74" w:name="_Toc513029224"/>
      <w:bookmarkStart w:id="75" w:name="_Toc120614217"/>
      <w:bookmarkStart w:id="76" w:name="_Toc16938540"/>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513029225"/>
      <w:bookmarkStart w:id="78" w:name="_Toc462564084"/>
      <w:bookmarkStart w:id="79" w:name="_Toc16938541"/>
      <w:bookmarkStart w:id="80" w:name="_Toc20823297"/>
      <w:r>
        <w:rPr>
          <w:rFonts w:hint="eastAsia" w:ascii="宋体" w:hAnsi="宋体" w:cs="宋体"/>
          <w:sz w:val="24"/>
          <w:szCs w:val="24"/>
        </w:rPr>
        <w:t>1.响应文件的密封和标记</w:t>
      </w:r>
      <w:bookmarkEnd w:id="77"/>
      <w:bookmarkEnd w:id="78"/>
      <w:bookmarkEnd w:id="79"/>
      <w:bookmarkEnd w:id="80"/>
    </w:p>
    <w:p>
      <w:pPr>
        <w:pStyle w:val="38"/>
        <w:snapToGrid w:val="0"/>
        <w:ind w:firstLine="480" w:firstLineChars="20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38"/>
        <w:snapToGrid w:val="0"/>
        <w:ind w:firstLine="480" w:firstLineChars="200"/>
        <w:rPr>
          <w:rFonts w:hint="eastAsia" w:hAnsi="宋体" w:eastAsia="宋体"/>
          <w:sz w:val="24"/>
          <w:szCs w:val="24"/>
        </w:rPr>
      </w:pPr>
      <w:r>
        <w:rPr>
          <w:rFonts w:hint="eastAsia" w:hAnsi="宋体" w:eastAsia="宋体"/>
          <w:sz w:val="24"/>
          <w:szCs w:val="24"/>
        </w:rPr>
        <w:t>（2）密封的响应文件应：</w:t>
      </w:r>
    </w:p>
    <w:p>
      <w:pPr>
        <w:pStyle w:val="38"/>
        <w:snapToGrid w:val="0"/>
        <w:ind w:firstLine="480" w:firstLineChars="20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38"/>
        <w:snapToGrid w:val="0"/>
        <w:ind w:firstLine="480" w:firstLineChars="200"/>
        <w:rPr>
          <w:rFonts w:hint="eastAsia" w:hAnsi="宋体" w:eastAsia="宋体"/>
          <w:sz w:val="24"/>
          <w:szCs w:val="24"/>
        </w:rPr>
      </w:pPr>
      <w:r>
        <w:rPr>
          <w:rFonts w:hint="eastAsia" w:hAnsi="宋体" w:eastAsia="宋体"/>
          <w:sz w:val="24"/>
          <w:szCs w:val="24"/>
        </w:rPr>
        <w:t>2）注明磋商项目名称、项目编号。</w:t>
      </w:r>
    </w:p>
    <w:p>
      <w:pPr>
        <w:pStyle w:val="38"/>
        <w:snapToGrid w:val="0"/>
        <w:ind w:firstLine="480" w:firstLineChars="20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513029226"/>
      <w:bookmarkStart w:id="82" w:name="_Toc16938542"/>
      <w:bookmarkStart w:id="83" w:name="_Toc20823298"/>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38"/>
        <w:snapToGrid w:val="0"/>
        <w:ind w:firstLine="480" w:firstLineChars="20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38"/>
        <w:snapToGrid w:val="0"/>
        <w:ind w:firstLine="480" w:firstLineChars="20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38"/>
        <w:snapToGrid w:val="0"/>
        <w:ind w:firstLine="480" w:firstLineChars="20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38"/>
        <w:snapToGrid w:val="0"/>
        <w:ind w:firstLine="480" w:firstLineChars="200"/>
        <w:rPr>
          <w:rFonts w:hint="eastAsia" w:hAnsi="宋体" w:eastAsia="宋体"/>
          <w:sz w:val="24"/>
          <w:szCs w:val="24"/>
        </w:rPr>
      </w:pPr>
      <w:r>
        <w:rPr>
          <w:rFonts w:hint="eastAsia" w:hAnsi="宋体" w:eastAsia="宋体"/>
          <w:sz w:val="24"/>
          <w:szCs w:val="24"/>
        </w:rPr>
        <w:t>（2）磋商仪式由采购人代表主持，有关工作人员参加。</w:t>
      </w:r>
    </w:p>
    <w:p>
      <w:pPr>
        <w:pStyle w:val="38"/>
        <w:snapToGrid w:val="0"/>
        <w:ind w:firstLine="480" w:firstLineChars="20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513029231"/>
      <w:bookmarkStart w:id="85" w:name="_Toc16938547"/>
      <w:bookmarkStart w:id="86" w:name="_Toc20823303"/>
      <w:r>
        <w:rPr>
          <w:rFonts w:hint="eastAsia" w:ascii="宋体" w:hAnsi="宋体" w:cs="宋体"/>
          <w:sz w:val="24"/>
          <w:szCs w:val="24"/>
        </w:rPr>
        <w:t>2.磋商小组</w:t>
      </w:r>
    </w:p>
    <w:p>
      <w:pPr>
        <w:pStyle w:val="38"/>
        <w:snapToGrid w:val="0"/>
        <w:ind w:firstLine="480" w:firstLineChars="20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38"/>
        <w:snapToGrid w:val="0"/>
        <w:ind w:firstLine="480" w:firstLineChars="20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20823304"/>
      <w:bookmarkStart w:id="88" w:name="_Toc513029232"/>
      <w:bookmarkStart w:id="89" w:name="_Toc16938548"/>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513029233"/>
      <w:bookmarkStart w:id="91" w:name="_Toc20823305"/>
      <w:bookmarkStart w:id="92" w:name="_Toc16938549"/>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38"/>
        <w:snapToGrid w:val="0"/>
        <w:ind w:firstLine="480" w:firstLineChars="200"/>
        <w:rPr>
          <w:rFonts w:hint="eastAsia" w:hAnsi="宋体" w:eastAsia="宋体"/>
          <w:sz w:val="24"/>
          <w:szCs w:val="24"/>
        </w:rPr>
      </w:pPr>
      <w:bookmarkStart w:id="93" w:name="_Toc513029235"/>
      <w:bookmarkStart w:id="94" w:name="_Toc20823307"/>
      <w:bookmarkStart w:id="95" w:name="_Toc16938551"/>
      <w:r>
        <w:rPr>
          <w:rFonts w:hint="eastAsia" w:hAnsi="宋体" w:eastAsia="宋体"/>
          <w:sz w:val="24"/>
          <w:szCs w:val="24"/>
        </w:rPr>
        <w:t>（1）响应无效条款</w:t>
      </w:r>
    </w:p>
    <w:p>
      <w:pPr>
        <w:pStyle w:val="35"/>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5"/>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5"/>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5"/>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38"/>
        <w:snapToGrid w:val="0"/>
        <w:ind w:firstLine="480" w:firstLineChars="20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5"/>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5"/>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20823310"/>
      <w:bookmarkStart w:id="97" w:name="_Toc16938554"/>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38"/>
        <w:snapToGrid w:val="0"/>
        <w:ind w:firstLine="480" w:firstLineChars="20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38"/>
        <w:snapToGrid w:val="0"/>
        <w:ind w:firstLine="480" w:firstLineChars="20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403987211"/>
      <w:bookmarkStart w:id="99" w:name="_Toc120614220"/>
      <w:bookmarkStart w:id="100" w:name="_Toc513029236"/>
      <w:bookmarkStart w:id="101" w:name="_Toc16938552"/>
      <w:bookmarkStart w:id="102" w:name="_Toc20823308"/>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16938553"/>
      <w:bookmarkStart w:id="104" w:name="_Toc513029237"/>
      <w:bookmarkStart w:id="105" w:name="_Toc20823309"/>
      <w:r>
        <w:rPr>
          <w:rFonts w:hint="eastAsia" w:ascii="宋体" w:hAnsi="宋体" w:cs="宋体"/>
          <w:sz w:val="24"/>
          <w:szCs w:val="24"/>
        </w:rPr>
        <w:t>1.签订合同</w:t>
      </w:r>
    </w:p>
    <w:p>
      <w:pPr>
        <w:pStyle w:val="38"/>
        <w:snapToGrid w:val="0"/>
        <w:ind w:firstLine="480" w:firstLineChars="20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38"/>
        <w:snapToGrid w:val="0"/>
        <w:ind w:firstLine="480" w:firstLineChars="20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8"/>
        <w:snapToGrid w:val="0"/>
        <w:ind w:firstLine="480" w:firstLineChars="20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38"/>
        <w:snapToGrid w:val="0"/>
        <w:ind w:firstLine="480" w:firstLineChars="20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38"/>
        <w:snapToGrid w:val="0"/>
        <w:ind w:firstLine="480" w:firstLineChars="20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482" w:firstLineChars="200"/>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480" w:firstLineChars="200"/>
        <w:jc w:val="left"/>
        <w:rPr>
          <w:rFonts w:hint="eastAsia" w:ascii="宋体" w:hAnsi="宋体" w:cs="宋体"/>
          <w:kern w:val="0"/>
          <w:sz w:val="24"/>
          <w:szCs w:val="24"/>
          <w:shd w:val="clear" w:color="auto" w:fill="FFFFFF"/>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2"/>
        <w:rPr>
          <w:rFonts w:hint="eastAsia" w:ascii="宋体" w:hAnsi="宋体" w:cs="宋体"/>
          <w:kern w:val="0"/>
          <w:sz w:val="24"/>
          <w:szCs w:val="24"/>
          <w:shd w:val="clear" w:color="auto" w:fill="FFFFFF"/>
        </w:rPr>
      </w:pPr>
    </w:p>
    <w:p>
      <w:pPr>
        <w:pStyle w:val="5"/>
      </w:pPr>
    </w:p>
    <w:p>
      <w:pPr>
        <w:pStyle w:val="6"/>
        <w:numPr>
          <w:ilvl w:val="0"/>
          <w:numId w:val="0"/>
        </w:numPr>
        <w:snapToGrid w:val="0"/>
        <w:spacing w:before="0" w:after="0"/>
        <w:ind w:leftChars="200" w:firstLine="2168" w:firstLineChars="600"/>
        <w:jc w:val="both"/>
        <w:rPr>
          <w:rFonts w:hint="eastAsia" w:asciiTheme="majorEastAsia" w:hAnsiTheme="majorEastAsia" w:eastAsiaTheme="majorEastAsia" w:cstheme="majorEastAsia"/>
        </w:rPr>
      </w:pPr>
      <w:bookmarkStart w:id="107" w:name="_Toc49763002"/>
      <w:r>
        <w:rPr>
          <w:rFonts w:hint="eastAsia" w:asciiTheme="majorEastAsia" w:hAnsiTheme="majorEastAsia" w:eastAsiaTheme="majorEastAsia" w:cstheme="majorEastAsia"/>
          <w:bCs w:val="0"/>
          <w:color w:val="auto"/>
          <w:highlight w:val="none"/>
          <w:lang w:val="en-US" w:eastAsia="zh-CN"/>
        </w:rPr>
        <w:t xml:space="preserve">第四章 </w:t>
      </w:r>
      <w:r>
        <w:rPr>
          <w:rFonts w:hint="eastAsia" w:asciiTheme="majorEastAsia" w:hAnsiTheme="majorEastAsia" w:eastAsiaTheme="majorEastAsia" w:cstheme="majorEastAsia"/>
          <w:bCs w:val="0"/>
          <w:color w:val="auto"/>
          <w:highlight w:val="none"/>
        </w:rPr>
        <w:t>合同主要条款</w:t>
      </w:r>
      <w:bookmarkEnd w:id="107"/>
    </w:p>
    <w:p>
      <w:pPr>
        <w:spacing w:line="460" w:lineRule="exact"/>
        <w:jc w:val="center"/>
        <w:rPr>
          <w:rFonts w:ascii="黑体" w:eastAsia="黑体" w:cs="Times New Roman"/>
          <w:b/>
          <w:sz w:val="32"/>
          <w:szCs w:val="32"/>
        </w:rPr>
      </w:pPr>
      <w:r>
        <w:rPr>
          <w:rFonts w:hint="eastAsia" w:ascii="黑体" w:eastAsia="黑体" w:cs="Arial Unicode MS"/>
          <w:b/>
          <w:sz w:val="32"/>
          <w:szCs w:val="32"/>
        </w:rPr>
        <w:t>皖南医学院</w:t>
      </w:r>
      <w:r>
        <w:rPr>
          <w:rFonts w:ascii="黑体" w:eastAsia="黑体" w:cs="Arial Unicode MS"/>
          <w:b/>
          <w:sz w:val="32"/>
          <w:szCs w:val="32"/>
        </w:rPr>
        <w:t>赭麓校区供电线路改造工程</w:t>
      </w:r>
      <w:r>
        <w:rPr>
          <w:rFonts w:hint="eastAsia" w:ascii="黑体" w:eastAsia="黑体" w:cs="Times New Roman"/>
          <w:b/>
          <w:sz w:val="32"/>
          <w:szCs w:val="32"/>
        </w:rPr>
        <w:t>施工合同</w:t>
      </w:r>
    </w:p>
    <w:p>
      <w:pPr>
        <w:spacing w:line="460" w:lineRule="exact"/>
        <w:rPr>
          <w:rFonts w:ascii="宋体" w:eastAsia="宋体" w:cs="Times New Roman"/>
          <w:sz w:val="28"/>
          <w:szCs w:val="28"/>
        </w:rPr>
      </w:pPr>
    </w:p>
    <w:p>
      <w:pPr>
        <w:spacing w:line="460" w:lineRule="exact"/>
        <w:rPr>
          <w:rFonts w:hint="eastAsia" w:ascii="宋体" w:eastAsia="宋体" w:cs="Times New Roman"/>
          <w:sz w:val="28"/>
          <w:szCs w:val="28"/>
        </w:rPr>
      </w:pPr>
    </w:p>
    <w:p>
      <w:pPr>
        <w:spacing w:line="460" w:lineRule="exact"/>
        <w:ind w:right="560" w:firstLine="3960" w:firstLineChars="1650"/>
        <w:jc w:val="left"/>
        <w:rPr>
          <w:rFonts w:hint="eastAsia" w:ascii="宋体" w:eastAsia="宋体" w:cs="Times New Roman"/>
          <w:sz w:val="24"/>
          <w:szCs w:val="24"/>
          <w:u w:val="single"/>
        </w:rPr>
      </w:pPr>
      <w:r>
        <w:rPr>
          <w:rFonts w:hint="eastAsia" w:ascii="宋体" w:eastAsia="宋体" w:cs="Times New Roman"/>
          <w:sz w:val="24"/>
          <w:szCs w:val="24"/>
        </w:rPr>
        <w:t>合同编号：</w:t>
      </w:r>
      <w:r>
        <w:rPr>
          <w:rFonts w:hint="eastAsia" w:ascii="宋体" w:eastAsia="宋体" w:cs="Times New Roman"/>
          <w:sz w:val="24"/>
          <w:szCs w:val="24"/>
          <w:u w:val="single"/>
        </w:rPr>
        <w:t xml:space="preserve">                </w:t>
      </w:r>
    </w:p>
    <w:p>
      <w:pPr>
        <w:spacing w:line="460" w:lineRule="exact"/>
        <w:rPr>
          <w:rFonts w:hint="eastAsia" w:ascii="宋体" w:eastAsia="宋体" w:cs="Times New Roman"/>
          <w:sz w:val="24"/>
          <w:szCs w:val="24"/>
        </w:rPr>
      </w:pPr>
    </w:p>
    <w:p>
      <w:pPr>
        <w:spacing w:line="460" w:lineRule="exact"/>
        <w:rPr>
          <w:rFonts w:ascii="宋体" w:eastAsia="宋体" w:cs="Times New Roman"/>
          <w:sz w:val="24"/>
          <w:szCs w:val="24"/>
        </w:rPr>
      </w:pPr>
      <w:r>
        <w:rPr>
          <w:rFonts w:hint="eastAsia" w:ascii="宋体" w:eastAsia="宋体" w:cs="Times New Roman"/>
          <w:sz w:val="24"/>
          <w:szCs w:val="24"/>
        </w:rPr>
        <w:t xml:space="preserve">建设单位：皖南医学院                      （以下简称：甲方）             </w:t>
      </w:r>
    </w:p>
    <w:p>
      <w:pPr>
        <w:spacing w:line="460" w:lineRule="exact"/>
        <w:rPr>
          <w:rFonts w:ascii="宋体" w:eastAsia="宋体" w:cs="Times New Roman"/>
          <w:sz w:val="24"/>
          <w:szCs w:val="24"/>
        </w:rPr>
      </w:pPr>
      <w:r>
        <w:rPr>
          <w:rFonts w:hint="eastAsia" w:ascii="宋体" w:eastAsia="宋体" w:cs="Times New Roman"/>
          <w:sz w:val="24"/>
          <w:szCs w:val="24"/>
        </w:rPr>
        <w:t xml:space="preserve">施工单位： </w:t>
      </w:r>
      <w:r>
        <w:rPr>
          <w:rFonts w:hint="eastAsia" w:ascii="宋体" w:eastAsia="宋体" w:cs="Times New Roman"/>
          <w:sz w:val="24"/>
          <w:szCs w:val="24"/>
          <w:lang w:eastAsia="zh-CN"/>
        </w:rPr>
        <w:t>。。。。。。。。。</w:t>
      </w:r>
      <w:r>
        <w:rPr>
          <w:rFonts w:hint="eastAsia" w:ascii="宋体" w:eastAsia="宋体" w:cs="Times New Roman"/>
          <w:sz w:val="24"/>
          <w:szCs w:val="24"/>
        </w:rPr>
        <w:t xml:space="preserve">                       （以下简称：乙方）                                               </w:t>
      </w:r>
    </w:p>
    <w:p>
      <w:pPr>
        <w:spacing w:line="460" w:lineRule="exact"/>
        <w:rPr>
          <w:rFonts w:ascii="宋体" w:eastAsia="宋体" w:cs="Times New Roman"/>
          <w:b/>
          <w:sz w:val="24"/>
          <w:szCs w:val="24"/>
        </w:rPr>
      </w:pPr>
      <w:r>
        <w:rPr>
          <w:rFonts w:hint="eastAsia" w:ascii="宋体" w:eastAsia="宋体" w:cs="Times New Roman"/>
          <w:b/>
          <w:sz w:val="24"/>
          <w:szCs w:val="24"/>
        </w:rPr>
        <w:t>一、工程概况</w:t>
      </w:r>
    </w:p>
    <w:p>
      <w:pPr>
        <w:spacing w:line="460" w:lineRule="exact"/>
        <w:rPr>
          <w:rFonts w:ascii="宋体" w:eastAsia="宋体" w:cs="Times New Roman"/>
          <w:sz w:val="24"/>
          <w:szCs w:val="24"/>
        </w:rPr>
      </w:pPr>
      <w:r>
        <w:rPr>
          <w:rFonts w:hint="eastAsia" w:ascii="宋体" w:eastAsia="宋体"/>
          <w:sz w:val="24"/>
          <w:szCs w:val="24"/>
        </w:rPr>
        <w:t>1.</w:t>
      </w:r>
      <w:r>
        <w:rPr>
          <w:rFonts w:hint="eastAsia" w:ascii="宋体" w:eastAsia="宋体" w:cs="Times New Roman"/>
          <w:sz w:val="24"/>
          <w:szCs w:val="24"/>
        </w:rPr>
        <w:t>工程名称</w:t>
      </w:r>
      <w:r>
        <w:rPr>
          <w:rFonts w:hint="eastAsia" w:ascii="宋体" w:eastAsia="宋体" w:cs="Times New Roman"/>
          <w:sz w:val="24"/>
          <w:szCs w:val="24"/>
          <w:lang w:eastAsia="zh-CN"/>
        </w:rPr>
        <w:t>：皖南医学院</w:t>
      </w:r>
      <w:r>
        <w:rPr>
          <w:rFonts w:ascii="宋体" w:eastAsia="宋体" w:cs="Times New Roman"/>
          <w:sz w:val="24"/>
          <w:szCs w:val="24"/>
          <w:lang w:eastAsia="zh-CN"/>
        </w:rPr>
        <w:t>赭麓校区供电线路维修改造</w:t>
      </w:r>
      <w:r>
        <w:rPr>
          <w:rFonts w:hint="eastAsia" w:ascii="宋体" w:eastAsia="宋体" w:cs="Times New Roman"/>
          <w:sz w:val="24"/>
          <w:szCs w:val="24"/>
          <w:lang w:eastAsia="zh-CN"/>
        </w:rPr>
        <w:t>工</w:t>
      </w:r>
      <w:r>
        <w:rPr>
          <w:rFonts w:hint="eastAsia" w:ascii="宋体" w:eastAsia="宋体" w:cs="Times New Roman"/>
          <w:sz w:val="24"/>
          <w:szCs w:val="24"/>
        </w:rPr>
        <w:t>（合同编号：</w:t>
      </w:r>
      <w:r>
        <w:rPr>
          <w:rFonts w:ascii="宋体" w:eastAsia="宋体" w:cs="Times New Roman"/>
          <w:sz w:val="24"/>
          <w:szCs w:val="24"/>
        </w:rPr>
        <w:t xml:space="preserve">     ）</w:t>
      </w:r>
    </w:p>
    <w:p>
      <w:pPr>
        <w:spacing w:line="460" w:lineRule="exact"/>
        <w:rPr>
          <w:rFonts w:ascii="宋体" w:eastAsia="宋体" w:cs="Times New Roman"/>
          <w:sz w:val="24"/>
          <w:szCs w:val="24"/>
        </w:rPr>
      </w:pPr>
      <w:r>
        <w:rPr>
          <w:rFonts w:hint="eastAsia" w:ascii="宋体" w:eastAsia="宋体" w:cs="Times New Roman"/>
          <w:sz w:val="24"/>
          <w:szCs w:val="24"/>
        </w:rPr>
        <w:t>2.工程地点：</w:t>
      </w:r>
      <w:r>
        <w:rPr>
          <w:rFonts w:hint="eastAsia" w:ascii="宋体" w:eastAsia="宋体" w:cs="Times New Roman"/>
          <w:sz w:val="24"/>
          <w:szCs w:val="24"/>
          <w:lang w:eastAsia="zh-CN"/>
        </w:rPr>
        <w:t>滨江校区</w:t>
      </w:r>
      <w:r>
        <w:rPr>
          <w:rFonts w:hint="eastAsia" w:ascii="宋体" w:eastAsia="宋体" w:cs="Times New Roman"/>
          <w:sz w:val="24"/>
          <w:szCs w:val="24"/>
        </w:rPr>
        <w:t xml:space="preserve">          </w:t>
      </w:r>
    </w:p>
    <w:p>
      <w:pPr>
        <w:spacing w:line="460" w:lineRule="exact"/>
        <w:rPr>
          <w:rFonts w:ascii="宋体" w:eastAsia="宋体"/>
          <w:color w:val="FF0000"/>
          <w:sz w:val="24"/>
          <w:szCs w:val="24"/>
        </w:rPr>
      </w:pPr>
      <w:r>
        <w:rPr>
          <w:rFonts w:hint="eastAsia" w:ascii="宋体" w:eastAsia="宋体" w:cs="Times New Roman"/>
          <w:sz w:val="24"/>
          <w:szCs w:val="24"/>
        </w:rPr>
        <w:t>3．合同价：                   元（小写：         元）,其中暂列金为</w:t>
      </w:r>
      <w:r>
        <w:rPr>
          <w:rFonts w:hint="eastAsia" w:ascii="宋体" w:eastAsia="宋体"/>
          <w:sz w:val="24"/>
          <w:szCs w:val="24"/>
        </w:rPr>
        <w:t xml:space="preserve">        元。</w:t>
      </w:r>
    </w:p>
    <w:p>
      <w:pPr>
        <w:spacing w:line="460" w:lineRule="exact"/>
        <w:rPr>
          <w:rFonts w:ascii="宋体" w:eastAsia="宋体" w:cs="Times New Roman"/>
          <w:sz w:val="24"/>
          <w:szCs w:val="24"/>
        </w:rPr>
      </w:pPr>
      <w:r>
        <w:rPr>
          <w:rFonts w:hint="eastAsia" w:ascii="宋体" w:eastAsia="宋体" w:cs="Times New Roman"/>
          <w:sz w:val="24"/>
          <w:szCs w:val="24"/>
        </w:rPr>
        <w:t>4．合同工期：工期</w:t>
      </w:r>
      <w:r>
        <w:rPr>
          <w:rFonts w:hint="eastAsia" w:ascii="宋体" w:eastAsia="宋体"/>
          <w:sz w:val="24"/>
          <w:szCs w:val="24"/>
          <w:u w:val="single"/>
        </w:rPr>
        <w:t xml:space="preserve">  </w:t>
      </w:r>
      <w:r>
        <w:rPr>
          <w:rFonts w:ascii="宋体" w:eastAsia="宋体"/>
          <w:sz w:val="24"/>
          <w:szCs w:val="24"/>
          <w:u w:val="single"/>
        </w:rPr>
        <w:t>50</w:t>
      </w:r>
      <w:r>
        <w:rPr>
          <w:rFonts w:hint="eastAsia" w:ascii="宋体" w:eastAsia="宋体"/>
          <w:sz w:val="24"/>
          <w:szCs w:val="24"/>
          <w:u w:val="single"/>
        </w:rPr>
        <w:t xml:space="preserve">  </w:t>
      </w:r>
      <w:r>
        <w:rPr>
          <w:rFonts w:hint="eastAsia" w:ascii="宋体" w:eastAsia="宋体" w:cs="Times New Roman"/>
          <w:sz w:val="24"/>
          <w:szCs w:val="24"/>
        </w:rPr>
        <w:t>日历</w:t>
      </w:r>
      <w:r>
        <w:rPr>
          <w:rFonts w:ascii="宋体" w:eastAsia="宋体" w:cs="Times New Roman"/>
          <w:sz w:val="24"/>
          <w:szCs w:val="24"/>
        </w:rPr>
        <w:t>天，</w:t>
      </w:r>
      <w:r>
        <w:rPr>
          <w:rFonts w:hint="eastAsia" w:ascii="宋体" w:eastAsia="宋体" w:cs="Times New Roman"/>
          <w:sz w:val="24"/>
          <w:szCs w:val="24"/>
        </w:rPr>
        <w:t>时间自合同签订之日第二天开始算起。乙方每推迟一天罚款</w:t>
      </w:r>
      <w:r>
        <w:rPr>
          <w:rFonts w:hint="eastAsia" w:ascii="宋体" w:eastAsia="宋体" w:cs="Times New Roman"/>
          <w:sz w:val="24"/>
          <w:szCs w:val="24"/>
          <w:lang w:val="en-US" w:eastAsia="zh-CN"/>
        </w:rPr>
        <w:t>500</w:t>
      </w:r>
      <w:r>
        <w:rPr>
          <w:rFonts w:hint="eastAsia" w:ascii="宋体" w:eastAsia="宋体" w:cs="Times New Roman"/>
          <w:sz w:val="24"/>
          <w:szCs w:val="24"/>
        </w:rPr>
        <w:t>元，以此类推，推迟</w:t>
      </w:r>
      <w:r>
        <w:rPr>
          <w:rFonts w:hint="eastAsia" w:ascii="宋体" w:eastAsia="宋体" w:cs="Times New Roman"/>
          <w:sz w:val="24"/>
          <w:szCs w:val="24"/>
          <w:lang w:val="en-US" w:eastAsia="zh-CN"/>
        </w:rPr>
        <w:t>6</w:t>
      </w:r>
      <w:r>
        <w:rPr>
          <w:rFonts w:hint="eastAsia" w:ascii="宋体" w:eastAsia="宋体" w:cs="Times New Roman"/>
          <w:sz w:val="24"/>
          <w:szCs w:val="24"/>
        </w:rPr>
        <w:t>天没收全部工程履约金，</w:t>
      </w:r>
      <w:r>
        <w:rPr>
          <w:rFonts w:ascii="宋体" w:eastAsia="宋体" w:cs="Times New Roman"/>
          <w:sz w:val="24"/>
          <w:szCs w:val="24"/>
        </w:rPr>
        <w:t>不可抗力因素除</w:t>
      </w:r>
      <w:r>
        <w:rPr>
          <w:rFonts w:hint="eastAsia" w:ascii="宋体" w:eastAsia="宋体" w:cs="Times New Roman"/>
          <w:sz w:val="24"/>
          <w:szCs w:val="24"/>
        </w:rPr>
        <w:t>外。</w:t>
      </w:r>
    </w:p>
    <w:p>
      <w:pPr>
        <w:spacing w:line="460" w:lineRule="exact"/>
        <w:rPr>
          <w:rFonts w:ascii="宋体" w:eastAsia="宋体" w:cs="Times New Roman"/>
          <w:b/>
          <w:sz w:val="24"/>
          <w:szCs w:val="24"/>
        </w:rPr>
      </w:pPr>
      <w:r>
        <w:rPr>
          <w:rFonts w:hint="eastAsia" w:ascii="宋体" w:eastAsia="宋体" w:cs="Times New Roman"/>
          <w:b/>
          <w:sz w:val="24"/>
          <w:szCs w:val="24"/>
        </w:rPr>
        <w:t>二、工程量结算方式和依据</w:t>
      </w:r>
    </w:p>
    <w:p>
      <w:pPr>
        <w:spacing w:line="460" w:lineRule="exact"/>
        <w:rPr>
          <w:rFonts w:ascii="宋体" w:eastAsia="宋体" w:cs="Times New Roman"/>
          <w:sz w:val="24"/>
          <w:szCs w:val="24"/>
        </w:rPr>
      </w:pPr>
      <w:r>
        <w:rPr>
          <w:rFonts w:hint="eastAsia" w:ascii="宋体" w:eastAsia="宋体" w:cs="Times New Roman"/>
          <w:sz w:val="24"/>
          <w:szCs w:val="24"/>
        </w:rPr>
        <w:t>1．本工程的计价依据是中标通知书、招标技术要求、工程量清单、工程量控制价、隐蔽记录、施工图及建设单位书面通知等。</w:t>
      </w:r>
    </w:p>
    <w:p>
      <w:pPr>
        <w:spacing w:line="460" w:lineRule="exact"/>
        <w:rPr>
          <w:rFonts w:ascii="宋体" w:eastAsia="宋体" w:cs="Times New Roman"/>
          <w:sz w:val="24"/>
          <w:szCs w:val="24"/>
        </w:rPr>
      </w:pPr>
      <w:r>
        <w:rPr>
          <w:rFonts w:hint="eastAsia" w:ascii="宋体" w:eastAsia="宋体" w:cs="Times New Roman"/>
          <w:sz w:val="24"/>
          <w:szCs w:val="24"/>
        </w:rPr>
        <w:t>2．本合同履约保证金为</w:t>
      </w:r>
      <w:r>
        <w:rPr>
          <w:rFonts w:hint="eastAsia" w:ascii="宋体" w:eastAsia="宋体" w:cs="Times New Roman"/>
          <w:sz w:val="24"/>
          <w:szCs w:val="24"/>
          <w:u w:val="single"/>
        </w:rPr>
        <w:t xml:space="preserve">   </w:t>
      </w:r>
      <w:r>
        <w:rPr>
          <w:rFonts w:ascii="宋体" w:eastAsia="宋体" w:cs="Times New Roman"/>
          <w:sz w:val="24"/>
          <w:szCs w:val="24"/>
          <w:u w:val="single"/>
        </w:rPr>
        <w:t>XXXXX</w:t>
      </w:r>
      <w:r>
        <w:rPr>
          <w:rFonts w:hint="eastAsia" w:ascii="宋体" w:eastAsia="宋体" w:cs="Times New Roman"/>
          <w:sz w:val="24"/>
          <w:szCs w:val="24"/>
          <w:u w:val="single"/>
        </w:rPr>
        <w:t xml:space="preserve">       </w:t>
      </w:r>
      <w:r>
        <w:rPr>
          <w:rFonts w:hint="eastAsia" w:ascii="宋体" w:eastAsia="宋体" w:cs="Times New Roman"/>
          <w:sz w:val="24"/>
          <w:szCs w:val="24"/>
        </w:rPr>
        <w:t>元。施工结束并经过验收合格后，凭相关凭证（汇款单据、验收报告等）无息退还。</w:t>
      </w:r>
    </w:p>
    <w:p>
      <w:pPr>
        <w:spacing w:line="460" w:lineRule="exact"/>
        <w:rPr>
          <w:rFonts w:ascii="宋体" w:eastAsia="宋体" w:cs="Times New Roman"/>
          <w:sz w:val="24"/>
          <w:szCs w:val="24"/>
        </w:rPr>
      </w:pPr>
      <w:r>
        <w:rPr>
          <w:rFonts w:hint="eastAsia" w:ascii="宋体" w:eastAsia="宋体" w:cs="Times New Roman"/>
          <w:sz w:val="24"/>
          <w:szCs w:val="24"/>
        </w:rPr>
        <w:t>3．本工程原则上不办理工程变更。</w:t>
      </w:r>
    </w:p>
    <w:p>
      <w:pPr>
        <w:spacing w:line="460" w:lineRule="exact"/>
        <w:rPr>
          <w:rFonts w:ascii="宋体" w:eastAsia="宋体" w:cs="Times New Roman"/>
          <w:sz w:val="24"/>
          <w:szCs w:val="24"/>
        </w:rPr>
      </w:pPr>
      <w:r>
        <w:rPr>
          <w:rFonts w:hint="eastAsia" w:ascii="宋体" w:eastAsia="宋体" w:cs="Times New Roman"/>
          <w:sz w:val="24"/>
          <w:szCs w:val="24"/>
        </w:rPr>
        <w:t>4．所有合同款支付，乙方须提供正式发票。</w:t>
      </w:r>
    </w:p>
    <w:p>
      <w:pPr>
        <w:spacing w:line="460" w:lineRule="exact"/>
        <w:rPr>
          <w:rFonts w:ascii="宋体" w:eastAsia="宋体" w:cs="Times New Roman"/>
          <w:b/>
          <w:sz w:val="24"/>
          <w:szCs w:val="24"/>
        </w:rPr>
      </w:pPr>
      <w:r>
        <w:rPr>
          <w:rFonts w:hint="eastAsia" w:ascii="宋体" w:eastAsia="宋体" w:cs="Times New Roman"/>
          <w:b/>
          <w:sz w:val="24"/>
          <w:szCs w:val="24"/>
        </w:rPr>
        <w:t>三、付款方式</w:t>
      </w:r>
    </w:p>
    <w:p>
      <w:pPr>
        <w:spacing w:line="460" w:lineRule="exact"/>
        <w:ind w:firstLine="480" w:firstLineChars="200"/>
        <w:rPr>
          <w:rFonts w:ascii="宋体" w:eastAsia="宋体" w:cs="Times New Roman"/>
          <w:sz w:val="24"/>
          <w:szCs w:val="24"/>
        </w:rPr>
      </w:pPr>
      <w:r>
        <w:rPr>
          <w:rFonts w:hint="eastAsia" w:ascii="宋体" w:eastAsia="宋体" w:cs="Times New Roman"/>
          <w:sz w:val="24"/>
          <w:szCs w:val="24"/>
        </w:rPr>
        <w:t>本工程不支付进度款，工程完工后由甲方组织验收，验收合格后凭发票支付至合同价的</w:t>
      </w:r>
      <w:r>
        <w:rPr>
          <w:rFonts w:hint="eastAsia" w:ascii="宋体" w:eastAsia="宋体"/>
          <w:sz w:val="24"/>
          <w:szCs w:val="24"/>
          <w:u w:val="single"/>
        </w:rPr>
        <w:t xml:space="preserve"> </w:t>
      </w:r>
      <w:r>
        <w:rPr>
          <w:rFonts w:hint="eastAsia" w:ascii="宋体" w:eastAsia="宋体"/>
          <w:sz w:val="24"/>
          <w:szCs w:val="24"/>
          <w:u w:val="single"/>
          <w:lang w:val="en-US" w:eastAsia="zh-CN"/>
        </w:rPr>
        <w:t>70</w:t>
      </w:r>
      <w:r>
        <w:rPr>
          <w:rFonts w:hint="eastAsia" w:ascii="宋体" w:eastAsia="宋体"/>
          <w:sz w:val="24"/>
          <w:szCs w:val="24"/>
          <w:u w:val="single"/>
        </w:rPr>
        <w:t xml:space="preserve">  </w:t>
      </w:r>
      <w:r>
        <w:rPr>
          <w:rFonts w:hint="eastAsia" w:ascii="宋体" w:eastAsia="宋体" w:cs="Times New Roman"/>
          <w:sz w:val="24"/>
          <w:szCs w:val="24"/>
        </w:rPr>
        <w:t>%（暂列金不含）；审计完成，施工单位先将</w:t>
      </w:r>
      <w:r>
        <w:rPr>
          <w:rFonts w:hint="eastAsia" w:ascii="宋体" w:eastAsia="宋体" w:cs="Times New Roman"/>
          <w:sz w:val="24"/>
          <w:szCs w:val="24"/>
          <w:u w:val="single"/>
        </w:rPr>
        <w:t xml:space="preserve"> </w:t>
      </w:r>
      <w:r>
        <w:rPr>
          <w:rFonts w:ascii="宋体" w:eastAsia="宋体" w:cs="Times New Roman"/>
          <w:sz w:val="24"/>
          <w:szCs w:val="24"/>
          <w:u w:val="single"/>
        </w:rPr>
        <w:t>3</w:t>
      </w:r>
      <w:r>
        <w:rPr>
          <w:rFonts w:hint="eastAsia" w:ascii="宋体" w:eastAsia="宋体" w:cs="Times New Roman"/>
          <w:sz w:val="24"/>
          <w:szCs w:val="24"/>
          <w:u w:val="single"/>
        </w:rPr>
        <w:t xml:space="preserve">  </w:t>
      </w:r>
      <w:r>
        <w:rPr>
          <w:rFonts w:hint="eastAsia" w:ascii="宋体" w:eastAsia="宋体" w:cs="Times New Roman"/>
          <w:sz w:val="24"/>
          <w:szCs w:val="24"/>
        </w:rPr>
        <w:t>%的质保金汇入皖医账户，凭汇款凭证（</w:t>
      </w:r>
      <w:r>
        <w:rPr>
          <w:rFonts w:hint="eastAsia" w:ascii="宋体" w:eastAsia="宋体" w:cs="Times New Roman"/>
          <w:sz w:val="24"/>
          <w:szCs w:val="24"/>
          <w:u w:val="single"/>
        </w:rPr>
        <w:t xml:space="preserve"> </w:t>
      </w:r>
      <w:r>
        <w:rPr>
          <w:rFonts w:ascii="宋体" w:eastAsia="宋体" w:cs="Times New Roman"/>
          <w:sz w:val="24"/>
          <w:szCs w:val="24"/>
          <w:u w:val="single"/>
        </w:rPr>
        <w:t>3</w:t>
      </w:r>
      <w:r>
        <w:rPr>
          <w:rFonts w:hint="eastAsia" w:ascii="宋体" w:eastAsia="宋体" w:cs="Times New Roman"/>
          <w:sz w:val="24"/>
          <w:szCs w:val="24"/>
          <w:u w:val="single"/>
        </w:rPr>
        <w:t xml:space="preserve"> </w:t>
      </w:r>
      <w:r>
        <w:rPr>
          <w:rFonts w:hint="eastAsia" w:ascii="宋体" w:eastAsia="宋体" w:cs="Times New Roman"/>
          <w:sz w:val="24"/>
          <w:szCs w:val="24"/>
        </w:rPr>
        <w:t>%质保金）付至终审价的100%；正常使用满一年且无质量问题一次性退回质保金。（质保期从验收合格日期开始计算）</w:t>
      </w:r>
    </w:p>
    <w:p>
      <w:pPr>
        <w:spacing w:line="460" w:lineRule="exact"/>
        <w:rPr>
          <w:rFonts w:ascii="宋体" w:eastAsia="宋体" w:cs="Times New Roman"/>
          <w:b/>
          <w:sz w:val="24"/>
          <w:szCs w:val="24"/>
        </w:rPr>
      </w:pPr>
      <w:r>
        <w:rPr>
          <w:rFonts w:hint="eastAsia" w:ascii="宋体" w:eastAsia="宋体" w:cs="Times New Roman"/>
          <w:b/>
          <w:sz w:val="24"/>
          <w:szCs w:val="24"/>
        </w:rPr>
        <w:t>四、质量保证</w:t>
      </w:r>
    </w:p>
    <w:p>
      <w:pPr>
        <w:spacing w:line="460" w:lineRule="exact"/>
        <w:rPr>
          <w:rFonts w:ascii="宋体" w:eastAsia="宋体" w:cs="Times New Roman"/>
          <w:sz w:val="24"/>
          <w:szCs w:val="24"/>
        </w:rPr>
      </w:pPr>
      <w:r>
        <w:rPr>
          <w:rFonts w:hint="eastAsia" w:ascii="宋体" w:eastAsia="宋体" w:cs="Times New Roman"/>
          <w:sz w:val="24"/>
          <w:szCs w:val="24"/>
        </w:rPr>
        <w:t>1.乙方必须按照甲方认可的预算书内容规范施工，竣工验收必须达到合格标准。隐蔽工程必须及时通知甲方验收并办理签证手续；变更项目必须按照甲方变更通知要求和建设规范组织施工。</w:t>
      </w:r>
    </w:p>
    <w:p>
      <w:pPr>
        <w:spacing w:line="460" w:lineRule="exact"/>
        <w:rPr>
          <w:rFonts w:hint="eastAsia" w:ascii="宋体" w:eastAsia="宋体" w:cs="Times New Roman"/>
          <w:sz w:val="24"/>
          <w:szCs w:val="24"/>
          <w:lang w:eastAsia="zh-CN"/>
        </w:rPr>
      </w:pPr>
      <w:r>
        <w:rPr>
          <w:rFonts w:hint="eastAsia" w:ascii="宋体" w:eastAsia="宋体" w:cs="Times New Roman"/>
          <w:sz w:val="24"/>
          <w:szCs w:val="24"/>
        </w:rPr>
        <w:t>2.招标文件中规定品牌的材料设备，必须按招标文件要求办理，材料进场时必须报甲方现场负责人签字确认品牌及数量，没有签字确认的材料禁止使用</w:t>
      </w:r>
      <w:r>
        <w:rPr>
          <w:rFonts w:hint="eastAsia" w:ascii="宋体" w:eastAsia="宋体" w:cs="Times New Roman"/>
          <w:sz w:val="24"/>
          <w:szCs w:val="24"/>
          <w:lang w:eastAsia="zh-CN"/>
        </w:rPr>
        <w:t>。</w:t>
      </w:r>
    </w:p>
    <w:p>
      <w:pPr>
        <w:spacing w:line="460" w:lineRule="exact"/>
        <w:rPr>
          <w:rFonts w:ascii="宋体" w:eastAsia="宋体" w:cs="Times New Roman"/>
          <w:sz w:val="24"/>
          <w:szCs w:val="24"/>
        </w:rPr>
      </w:pPr>
      <w:r>
        <w:rPr>
          <w:rFonts w:hint="eastAsia" w:ascii="宋体" w:eastAsia="宋体" w:cs="Times New Roman"/>
          <w:sz w:val="24"/>
          <w:szCs w:val="24"/>
        </w:rPr>
        <w:t>3.工程施工必须满足国家和地方现行规范要求。</w:t>
      </w:r>
    </w:p>
    <w:p>
      <w:pPr>
        <w:spacing w:line="460" w:lineRule="exact"/>
        <w:rPr>
          <w:rFonts w:ascii="宋体" w:eastAsia="宋体" w:cs="Times New Roman"/>
          <w:b/>
          <w:sz w:val="24"/>
          <w:szCs w:val="24"/>
        </w:rPr>
      </w:pPr>
      <w:r>
        <w:rPr>
          <w:rFonts w:hint="eastAsia" w:ascii="宋体" w:eastAsia="宋体" w:cs="Times New Roman"/>
          <w:b/>
          <w:sz w:val="24"/>
          <w:szCs w:val="24"/>
        </w:rPr>
        <w:t>五、安全管理</w:t>
      </w:r>
    </w:p>
    <w:p>
      <w:pPr>
        <w:spacing w:line="460" w:lineRule="exact"/>
        <w:rPr>
          <w:rFonts w:ascii="宋体" w:eastAsia="宋体" w:cs="Times New Roman"/>
          <w:sz w:val="24"/>
          <w:szCs w:val="24"/>
        </w:rPr>
      </w:pPr>
      <w:r>
        <w:rPr>
          <w:rFonts w:hint="eastAsia" w:ascii="宋体" w:eastAsia="宋体" w:cs="Times New Roman"/>
          <w:sz w:val="24"/>
          <w:szCs w:val="24"/>
        </w:rPr>
        <w:t>乙方按照安全生产管理条例有关规定要求，安全生产，文明施工，施工过程中发生的任何事故</w:t>
      </w:r>
      <w:r>
        <w:rPr>
          <w:rFonts w:hint="eastAsia" w:ascii="宋体" w:eastAsia="宋体"/>
          <w:sz w:val="24"/>
          <w:szCs w:val="24"/>
        </w:rPr>
        <w:t>均由乙方承担全部</w:t>
      </w:r>
      <w:r>
        <w:rPr>
          <w:rFonts w:hint="eastAsia" w:ascii="宋体" w:eastAsia="宋体" w:cs="Times New Roman"/>
          <w:sz w:val="24"/>
          <w:szCs w:val="24"/>
        </w:rPr>
        <w:t>责任，与甲方无关。</w:t>
      </w:r>
    </w:p>
    <w:p>
      <w:pPr>
        <w:spacing w:line="460" w:lineRule="exact"/>
        <w:rPr>
          <w:rFonts w:ascii="宋体" w:eastAsia="宋体" w:cs="Times New Roman"/>
          <w:b/>
          <w:sz w:val="24"/>
          <w:szCs w:val="24"/>
        </w:rPr>
      </w:pPr>
      <w:r>
        <w:rPr>
          <w:rFonts w:hint="eastAsia" w:ascii="宋体" w:eastAsia="宋体" w:cs="Times New Roman"/>
          <w:b/>
          <w:sz w:val="24"/>
          <w:szCs w:val="24"/>
        </w:rPr>
        <w:t>六、现场岗位管理与责任</w:t>
      </w:r>
    </w:p>
    <w:p>
      <w:pPr>
        <w:spacing w:line="460" w:lineRule="exact"/>
        <w:rPr>
          <w:rFonts w:ascii="宋体" w:eastAsia="宋体" w:cs="Times New Roman"/>
          <w:sz w:val="24"/>
          <w:szCs w:val="24"/>
        </w:rPr>
      </w:pPr>
      <w:r>
        <w:rPr>
          <w:rFonts w:hint="eastAsia" w:ascii="宋体" w:eastAsia="宋体" w:cs="Times New Roman"/>
          <w:sz w:val="24"/>
          <w:szCs w:val="24"/>
        </w:rPr>
        <w:t>1．甲方需指派专人和乙方联系，并告知联系人联系方式。</w:t>
      </w:r>
    </w:p>
    <w:p>
      <w:pPr>
        <w:spacing w:line="460" w:lineRule="exact"/>
        <w:rPr>
          <w:rFonts w:ascii="宋体" w:eastAsia="宋体" w:cs="Times New Roman"/>
          <w:sz w:val="24"/>
          <w:szCs w:val="24"/>
        </w:rPr>
      </w:pPr>
      <w:r>
        <w:rPr>
          <w:rFonts w:hint="eastAsia" w:ascii="宋体" w:eastAsia="宋体" w:cs="Times New Roman"/>
          <w:sz w:val="24"/>
          <w:szCs w:val="24"/>
        </w:rPr>
        <w:t>2．甲方有义务协调、配合乙方人员进行现场施工。</w:t>
      </w:r>
    </w:p>
    <w:p>
      <w:pPr>
        <w:spacing w:line="460" w:lineRule="exact"/>
        <w:rPr>
          <w:rFonts w:ascii="宋体" w:eastAsia="宋体" w:cs="Times New Roman"/>
          <w:sz w:val="24"/>
          <w:szCs w:val="24"/>
        </w:rPr>
      </w:pPr>
      <w:r>
        <w:rPr>
          <w:rFonts w:hint="eastAsia" w:ascii="宋体" w:eastAsia="宋体" w:cs="Times New Roman"/>
          <w:sz w:val="24"/>
          <w:szCs w:val="24"/>
        </w:rPr>
        <w:t>3．乙方项目经理：      为现场负责人(联系方式：)是甲方认可的现场负责人，该同志必须常驻现场，负责处理乙方施工过程中发生的一切事项；甲方指定后勤管理处</w:t>
      </w:r>
      <w:r>
        <w:rPr>
          <w:rFonts w:hint="eastAsia" w:ascii="宋体" w:eastAsia="宋体"/>
          <w:sz w:val="24"/>
          <w:szCs w:val="24"/>
        </w:rPr>
        <w:t xml:space="preserve">     </w:t>
      </w:r>
      <w:r>
        <w:rPr>
          <w:rFonts w:hint="eastAsia" w:ascii="宋体" w:eastAsia="宋体" w:cs="Times New Roman"/>
          <w:sz w:val="24"/>
          <w:szCs w:val="24"/>
        </w:rPr>
        <w:t xml:space="preserve"> (联系方式：)为该项目的现场负责人，负责项目管理、决算办理及工程款支付等相关事宜。</w:t>
      </w:r>
    </w:p>
    <w:p>
      <w:pPr>
        <w:spacing w:line="460" w:lineRule="exact"/>
        <w:rPr>
          <w:rFonts w:ascii="宋体" w:eastAsia="宋体" w:cs="Times New Roman"/>
          <w:sz w:val="24"/>
          <w:szCs w:val="24"/>
        </w:rPr>
      </w:pPr>
      <w:r>
        <w:rPr>
          <w:rFonts w:hint="eastAsia" w:ascii="宋体" w:eastAsia="宋体" w:cs="Times New Roman"/>
          <w:sz w:val="24"/>
          <w:szCs w:val="24"/>
        </w:rPr>
        <w:t>4．乙方应做到文明施工，施工期间不得损坏污损校园其他设施（不得在沥青路面上拌制混凝土及砂浆，直接堆放水泥），花岗岩路面不能行车，材料及垃圾要人工二次倒运。如有损坏，乙方负责按原样修复。</w:t>
      </w:r>
    </w:p>
    <w:p>
      <w:pPr>
        <w:spacing w:line="460" w:lineRule="exact"/>
        <w:rPr>
          <w:rFonts w:ascii="宋体" w:eastAsia="宋体" w:cs="Times New Roman"/>
          <w:sz w:val="24"/>
          <w:szCs w:val="24"/>
        </w:rPr>
      </w:pPr>
      <w:r>
        <w:rPr>
          <w:rFonts w:hint="eastAsia" w:ascii="宋体" w:eastAsia="宋体" w:cs="Times New Roman"/>
          <w:sz w:val="24"/>
          <w:szCs w:val="24"/>
        </w:rPr>
        <w:t>5．在施工期间，乙方应每天清理施工现场，垃圾堆放有序并及时运</w:t>
      </w:r>
    </w:p>
    <w:p>
      <w:pPr>
        <w:spacing w:line="460" w:lineRule="exact"/>
        <w:rPr>
          <w:rFonts w:ascii="宋体" w:eastAsia="宋体" w:cs="Times New Roman"/>
          <w:sz w:val="24"/>
          <w:szCs w:val="24"/>
        </w:rPr>
      </w:pPr>
      <w:r>
        <w:rPr>
          <w:rFonts w:hint="eastAsia" w:ascii="宋体" w:eastAsia="宋体" w:cs="Times New Roman"/>
          <w:sz w:val="24"/>
          <w:szCs w:val="24"/>
        </w:rPr>
        <w:t>至校外。</w:t>
      </w:r>
    </w:p>
    <w:p>
      <w:pPr>
        <w:spacing w:line="460" w:lineRule="exact"/>
        <w:rPr>
          <w:rFonts w:ascii="宋体" w:eastAsia="宋体" w:cs="Times New Roman"/>
          <w:sz w:val="24"/>
          <w:szCs w:val="24"/>
        </w:rPr>
      </w:pPr>
      <w:r>
        <w:rPr>
          <w:rFonts w:ascii="宋体" w:eastAsia="宋体" w:cs="Times New Roman"/>
          <w:sz w:val="24"/>
          <w:szCs w:val="24"/>
        </w:rPr>
        <w:t>6.乙方在施工过程中，对供电线路要有明确的了解，不得有错接、乱接、虚接的现象，如因由此发生的事故，乙方应当赔偿甲方和住户的损失。</w:t>
      </w:r>
    </w:p>
    <w:p>
      <w:pPr>
        <w:spacing w:line="460" w:lineRule="exact"/>
        <w:rPr>
          <w:rFonts w:ascii="宋体" w:eastAsia="宋体" w:cs="Times New Roman"/>
          <w:b/>
          <w:sz w:val="24"/>
          <w:szCs w:val="24"/>
        </w:rPr>
      </w:pPr>
      <w:r>
        <w:rPr>
          <w:rFonts w:hint="eastAsia" w:ascii="宋体" w:eastAsia="宋体" w:cs="Times New Roman"/>
          <w:b/>
          <w:sz w:val="24"/>
          <w:szCs w:val="24"/>
        </w:rPr>
        <w:t>七、工程验收</w:t>
      </w:r>
    </w:p>
    <w:p>
      <w:pPr>
        <w:spacing w:line="460" w:lineRule="exact"/>
        <w:rPr>
          <w:rFonts w:ascii="宋体" w:eastAsia="宋体" w:cs="Times New Roman"/>
          <w:sz w:val="24"/>
          <w:szCs w:val="24"/>
        </w:rPr>
      </w:pPr>
      <w:r>
        <w:rPr>
          <w:rFonts w:hint="eastAsia" w:ascii="宋体" w:eastAsia="宋体" w:cs="Times New Roman"/>
          <w:sz w:val="24"/>
          <w:szCs w:val="24"/>
        </w:rPr>
        <w:t>1. 工程完工后及时报学校组织验收，验收合格后办理工程决算。</w:t>
      </w:r>
    </w:p>
    <w:p>
      <w:pPr>
        <w:spacing w:line="460" w:lineRule="exact"/>
        <w:rPr>
          <w:rFonts w:ascii="宋体" w:eastAsia="宋体" w:cs="Times New Roman"/>
          <w:sz w:val="24"/>
          <w:szCs w:val="24"/>
        </w:rPr>
      </w:pPr>
      <w:r>
        <w:rPr>
          <w:rFonts w:hint="eastAsia" w:ascii="宋体" w:eastAsia="宋体" w:cs="Times New Roman"/>
          <w:sz w:val="24"/>
          <w:szCs w:val="24"/>
        </w:rPr>
        <w:t>2. 乙方验收时须提供详细的清单，验收合格后两周内提交竣工资料(项目决算及所有材料合格证等)，如延期提交，造成的一切后果（含经济损失）均由乙方自行承担。</w:t>
      </w:r>
    </w:p>
    <w:p>
      <w:pPr>
        <w:spacing w:line="460" w:lineRule="exact"/>
        <w:rPr>
          <w:rFonts w:hint="eastAsia" w:ascii="宋体" w:eastAsia="宋体" w:cs="Times New Roman"/>
          <w:color w:val="auto"/>
          <w:sz w:val="24"/>
          <w:szCs w:val="24"/>
          <w:highlight w:val="none"/>
        </w:rPr>
      </w:pPr>
      <w:r>
        <w:rPr>
          <w:rFonts w:hint="eastAsia" w:ascii="宋体" w:eastAsia="宋体" w:cs="Times New Roman"/>
          <w:sz w:val="24"/>
          <w:szCs w:val="24"/>
        </w:rPr>
        <w:t>3．工程质保期内出现质量问题，及时修复，修复完成后，我处会同使用部门再次进行验收，验收合格后，质保期顺延一年；一年内无质</w:t>
      </w:r>
      <w:r>
        <w:rPr>
          <w:rFonts w:hint="eastAsia" w:ascii="宋体" w:eastAsia="宋体" w:cs="Times New Roman"/>
          <w:color w:val="auto"/>
          <w:sz w:val="24"/>
          <w:szCs w:val="24"/>
          <w:highlight w:val="none"/>
        </w:rPr>
        <w:t>量问题后支付质保金，如再次出现问题，处理方式同前。</w:t>
      </w:r>
    </w:p>
    <w:p>
      <w:pPr>
        <w:spacing w:line="460" w:lineRule="exact"/>
        <w:rPr>
          <w:rFonts w:hint="eastAsia" w:ascii="宋体" w:eastAsia="宋体" w:cs="Times New Roman"/>
          <w:color w:val="auto"/>
          <w:sz w:val="24"/>
          <w:szCs w:val="24"/>
          <w:highlight w:val="none"/>
        </w:rPr>
      </w:pPr>
      <w:r>
        <w:rPr>
          <w:rFonts w:hint="eastAsia" w:ascii="宋体" w:eastAsia="宋体" w:cs="Times New Roman"/>
          <w:color w:val="auto"/>
          <w:sz w:val="24"/>
          <w:szCs w:val="24"/>
          <w:highlight w:val="none"/>
        </w:rPr>
        <w:t>4.对于多次重复出现的问题，学校将视修复情况通报芜湖市工程质量监督部门和公共资源交易管理中心。</w:t>
      </w:r>
    </w:p>
    <w:p>
      <w:pPr>
        <w:spacing w:line="460" w:lineRule="exact"/>
        <w:rPr>
          <w:rFonts w:hint="eastAsia" w:ascii="宋体" w:cs="Times New Roman"/>
          <w:b/>
          <w:sz w:val="24"/>
          <w:szCs w:val="24"/>
        </w:rPr>
      </w:pPr>
      <w:r>
        <w:rPr>
          <w:rFonts w:hint="eastAsia" w:ascii="宋体" w:eastAsia="宋体" w:cs="Times New Roman"/>
          <w:b/>
          <w:sz w:val="24"/>
          <w:szCs w:val="24"/>
        </w:rPr>
        <w:t>八、其他</w:t>
      </w:r>
    </w:p>
    <w:p>
      <w:pPr>
        <w:pStyle w:val="43"/>
        <w:pBdr>
          <w:top w:val="none" w:color="auto" w:sz="0" w:space="0"/>
          <w:left w:val="none" w:color="auto" w:sz="0" w:space="0"/>
          <w:bottom w:val="none" w:color="auto" w:sz="0" w:space="0"/>
          <w:right w:val="none" w:color="auto" w:sz="0" w:space="0"/>
        </w:pBdr>
        <w:kinsoku/>
        <w:wordWrap/>
        <w:overflowPunct/>
        <w:topLinePunct w:val="0"/>
        <w:autoSpaceDE/>
        <w:autoSpaceDN/>
        <w:spacing w:line="480" w:lineRule="exact"/>
        <w:ind w:left="0"/>
        <w:rPr>
          <w:rFonts w:hint="eastAsia" w:ascii="宋体" w:eastAsia="宋体"/>
          <w:vanish w:val="0"/>
          <w:color w:val="000000"/>
          <w:sz w:val="24"/>
          <w:szCs w:val="24"/>
        </w:rPr>
      </w:pPr>
      <w:r>
        <w:rPr>
          <w:rFonts w:ascii="宋体" w:eastAsia="宋体"/>
          <w:vanish w:val="0"/>
          <w:color w:val="000000"/>
          <w:sz w:val="24"/>
          <w:szCs w:val="24"/>
        </w:rPr>
        <w:t>1、</w:t>
      </w:r>
      <w:r>
        <w:rPr>
          <w:rFonts w:hint="eastAsia" w:ascii="宋体" w:eastAsia="宋体"/>
          <w:vanish w:val="0"/>
          <w:color w:val="000000"/>
          <w:sz w:val="24"/>
          <w:szCs w:val="24"/>
        </w:rPr>
        <w:t>.承包人对所报送的工程结算资料真实性、完整性、合法性、合格性负责。工程结算资料报送学校委托的审核机构后，审核过程中不得补充新增签证项目。不规范、不完善的工程结算资料，承包人自接到完善资料通知单7日内一次性完善。</w:t>
      </w:r>
    </w:p>
    <w:p>
      <w:pPr>
        <w:pStyle w:val="43"/>
        <w:pBdr>
          <w:top w:val="none" w:color="auto" w:sz="0" w:space="0"/>
          <w:left w:val="none" w:color="auto" w:sz="0" w:space="0"/>
          <w:bottom w:val="none" w:color="auto" w:sz="0" w:space="0"/>
          <w:right w:val="none" w:color="auto" w:sz="0" w:space="0"/>
        </w:pBdr>
        <w:kinsoku/>
        <w:wordWrap/>
        <w:overflowPunct/>
        <w:topLinePunct w:val="0"/>
        <w:autoSpaceDE/>
        <w:autoSpaceDN/>
        <w:spacing w:line="480" w:lineRule="exact"/>
        <w:ind w:left="0"/>
        <w:rPr>
          <w:rFonts w:hint="eastAsia" w:ascii="宋体" w:eastAsia="宋体"/>
          <w:vanish w:val="0"/>
          <w:color w:val="000000"/>
          <w:sz w:val="24"/>
          <w:szCs w:val="24"/>
        </w:rPr>
      </w:pPr>
      <w:r>
        <w:rPr>
          <w:rFonts w:hint="eastAsia" w:ascii="宋体" w:eastAsia="宋体"/>
          <w:vanish w:val="0"/>
          <w:color w:val="000000"/>
          <w:sz w:val="24"/>
          <w:szCs w:val="24"/>
        </w:rPr>
        <w:t>2</w:t>
      </w:r>
      <w:r>
        <w:rPr>
          <w:rFonts w:ascii="宋体" w:eastAsia="宋体"/>
          <w:vanish w:val="0"/>
          <w:color w:val="000000"/>
          <w:sz w:val="24"/>
          <w:szCs w:val="24"/>
        </w:rPr>
        <w:t>、</w:t>
      </w:r>
      <w:r>
        <w:rPr>
          <w:rFonts w:hint="eastAsia" w:ascii="宋体" w:eastAsia="宋体"/>
          <w:vanish w:val="0"/>
          <w:color w:val="000000"/>
          <w:sz w:val="24"/>
          <w:szCs w:val="24"/>
        </w:rPr>
        <w:t>承包人应按照学校审计处相关文件规定，积极配合做好工程结算审计工作，在规定的时间内完成审计报告签字盖章。</w:t>
      </w:r>
    </w:p>
    <w:p>
      <w:pPr>
        <w:pStyle w:val="43"/>
        <w:spacing w:line="480" w:lineRule="exact"/>
        <w:ind w:left="0"/>
        <w:rPr>
          <w:rFonts w:ascii="宋体" w:eastAsia="宋体"/>
          <w:vanish w:val="0"/>
          <w:color w:val="000000"/>
          <w:sz w:val="24"/>
          <w:szCs w:val="24"/>
        </w:rPr>
      </w:pPr>
      <w:r>
        <w:rPr>
          <w:rFonts w:ascii="宋体" w:eastAsia="宋体"/>
          <w:vanish w:val="0"/>
          <w:color w:val="000000"/>
          <w:sz w:val="24"/>
          <w:szCs w:val="24"/>
        </w:rPr>
        <w:t>3、</w:t>
      </w:r>
      <w:r>
        <w:rPr>
          <w:rFonts w:hint="eastAsia" w:ascii="宋体" w:eastAsia="宋体"/>
          <w:vanish w:val="0"/>
          <w:color w:val="000000"/>
          <w:sz w:val="24"/>
          <w:szCs w:val="24"/>
        </w:rPr>
        <w:t>工程结算审核时，凡审增部分及审减率超过10%（不含10%）以上部分的审计服务费由承包人承担，在审核机构审核时直接扣除。费率参照皖价服〔2007〕86号文件规定的标准执行。</w:t>
      </w:r>
    </w:p>
    <w:p>
      <w:pPr>
        <w:spacing w:line="460" w:lineRule="exact"/>
        <w:ind w:left="0"/>
        <w:rPr>
          <w:rFonts w:ascii="宋体" w:eastAsia="宋体" w:cs="Times New Roman"/>
          <w:sz w:val="24"/>
          <w:szCs w:val="24"/>
        </w:rPr>
      </w:pPr>
      <w:r>
        <w:rPr>
          <w:rFonts w:ascii="宋体" w:eastAsia="宋体" w:cs="Times New Roman"/>
          <w:sz w:val="24"/>
          <w:szCs w:val="24"/>
        </w:rPr>
        <w:t>4、</w:t>
      </w:r>
      <w:r>
        <w:rPr>
          <w:rFonts w:hint="eastAsia" w:ascii="宋体" w:eastAsia="宋体" w:cs="Times New Roman"/>
          <w:sz w:val="24"/>
          <w:szCs w:val="24"/>
        </w:rPr>
        <w:t>本合同未尽事宜由双方协商解决，如协商不成，双方同意将本合同引起的争议提交工程所在地人民法院诉讼解决。</w:t>
      </w:r>
    </w:p>
    <w:p>
      <w:pPr>
        <w:spacing w:line="460" w:lineRule="exact"/>
        <w:rPr>
          <w:rFonts w:ascii="宋体" w:eastAsia="宋体" w:cs="Times New Roman"/>
          <w:sz w:val="24"/>
          <w:szCs w:val="24"/>
        </w:rPr>
      </w:pPr>
      <w:r>
        <w:rPr>
          <w:rFonts w:ascii="宋体" w:eastAsia="宋体" w:cs="Times New Roman"/>
          <w:sz w:val="24"/>
          <w:szCs w:val="24"/>
        </w:rPr>
        <w:t>5、</w:t>
      </w:r>
      <w:r>
        <w:rPr>
          <w:rFonts w:hint="eastAsia" w:ascii="宋体" w:eastAsia="宋体" w:cs="Times New Roman"/>
          <w:sz w:val="24"/>
          <w:szCs w:val="24"/>
        </w:rPr>
        <w:t>合同经双方法定代表人或授权代表签字并加盖单位公章后生效。</w:t>
      </w:r>
    </w:p>
    <w:p>
      <w:pPr>
        <w:spacing w:line="460" w:lineRule="exact"/>
        <w:rPr>
          <w:rFonts w:ascii="宋体" w:eastAsia="宋体" w:cs="Times New Roman"/>
          <w:sz w:val="24"/>
          <w:szCs w:val="24"/>
        </w:rPr>
      </w:pPr>
      <w:r>
        <w:rPr>
          <w:rFonts w:ascii="宋体" w:eastAsia="宋体" w:cs="Times New Roman"/>
          <w:sz w:val="24"/>
          <w:szCs w:val="24"/>
        </w:rPr>
        <w:t>6、</w:t>
      </w:r>
      <w:r>
        <w:rPr>
          <w:rFonts w:hint="eastAsia" w:ascii="宋体" w:eastAsia="宋体" w:cs="Times New Roman"/>
          <w:sz w:val="24"/>
          <w:szCs w:val="24"/>
        </w:rPr>
        <w:t>本合同未尽事宜，遵照《合同法》有关条文执行。</w:t>
      </w:r>
    </w:p>
    <w:p>
      <w:pPr>
        <w:spacing w:line="460" w:lineRule="exact"/>
        <w:rPr>
          <w:rFonts w:ascii="宋体" w:eastAsia="宋体" w:cs="Times New Roman"/>
          <w:sz w:val="24"/>
          <w:szCs w:val="24"/>
        </w:rPr>
      </w:pPr>
      <w:r>
        <w:rPr>
          <w:rFonts w:ascii="宋体" w:eastAsia="宋体" w:cs="Times New Roman"/>
          <w:sz w:val="24"/>
          <w:szCs w:val="24"/>
        </w:rPr>
        <w:t>7、</w:t>
      </w:r>
      <w:r>
        <w:rPr>
          <w:rFonts w:hint="eastAsia" w:ascii="宋体" w:eastAsia="宋体" w:cs="Times New Roman"/>
          <w:sz w:val="24"/>
          <w:szCs w:val="24"/>
        </w:rPr>
        <w:t>本协议壹式捌份，甲方陆份，乙方贰份，甲、乙双方签字盖章后生效。</w:t>
      </w:r>
    </w:p>
    <w:p>
      <w:pPr>
        <w:spacing w:line="460" w:lineRule="exact"/>
        <w:rPr>
          <w:rFonts w:ascii="宋体" w:eastAsia="宋体" w:cs="Times New Roman"/>
          <w:b/>
          <w:sz w:val="24"/>
          <w:szCs w:val="24"/>
        </w:rPr>
      </w:pPr>
      <w:r>
        <w:rPr>
          <w:rFonts w:hint="eastAsia" w:ascii="宋体" w:eastAsia="宋体" w:cs="Times New Roman"/>
          <w:b/>
          <w:sz w:val="24"/>
          <w:szCs w:val="24"/>
        </w:rPr>
        <w:t>九、合同订立</w:t>
      </w:r>
    </w:p>
    <w:p>
      <w:pPr>
        <w:spacing w:line="460" w:lineRule="exact"/>
        <w:rPr>
          <w:rFonts w:ascii="宋体" w:eastAsia="宋体" w:cs="Times New Roman"/>
          <w:sz w:val="24"/>
          <w:szCs w:val="24"/>
        </w:rPr>
      </w:pPr>
      <w:r>
        <w:rPr>
          <w:rFonts w:hint="eastAsia" w:ascii="宋体" w:eastAsia="宋体" w:cs="Times New Roman"/>
          <w:sz w:val="24"/>
          <w:szCs w:val="24"/>
        </w:rPr>
        <w:t>1．合同订立时间：    年    月   日</w:t>
      </w:r>
    </w:p>
    <w:p>
      <w:pPr>
        <w:spacing w:line="460" w:lineRule="exact"/>
        <w:rPr>
          <w:rFonts w:ascii="宋体" w:eastAsia="宋体" w:cs="Times New Roman"/>
          <w:sz w:val="24"/>
          <w:szCs w:val="24"/>
        </w:rPr>
      </w:pPr>
      <w:r>
        <w:rPr>
          <w:rFonts w:hint="eastAsia" w:ascii="宋体" w:eastAsia="宋体" w:cs="Times New Roman"/>
          <w:sz w:val="24"/>
          <w:szCs w:val="24"/>
        </w:rPr>
        <w:t>2</w:t>
      </w:r>
      <w:r>
        <w:rPr>
          <w:rFonts w:hint="eastAsia" w:ascii="宋体" w:eastAsia="宋体"/>
          <w:sz w:val="24"/>
          <w:szCs w:val="24"/>
        </w:rPr>
        <w:t>．合同订立地点：皖南医学院滨江</w:t>
      </w:r>
      <w:r>
        <w:rPr>
          <w:rFonts w:hint="eastAsia" w:ascii="宋体" w:eastAsia="宋体" w:cs="Times New Roman"/>
          <w:sz w:val="24"/>
          <w:szCs w:val="24"/>
        </w:rPr>
        <w:t xml:space="preserve">校区后勤管理处办公室  </w:t>
      </w:r>
    </w:p>
    <w:p>
      <w:pPr>
        <w:spacing w:line="460" w:lineRule="exact"/>
        <w:rPr>
          <w:rFonts w:ascii="宋体" w:eastAsia="宋体" w:cs="Times New Roman"/>
          <w:sz w:val="24"/>
          <w:szCs w:val="24"/>
        </w:rPr>
      </w:pPr>
    </w:p>
    <w:p>
      <w:pPr>
        <w:spacing w:line="460" w:lineRule="exact"/>
        <w:rPr>
          <w:rFonts w:ascii="宋体" w:eastAsia="宋体" w:cs="Times New Roman"/>
          <w:sz w:val="24"/>
          <w:szCs w:val="24"/>
        </w:rPr>
      </w:pPr>
    </w:p>
    <w:p>
      <w:pPr>
        <w:spacing w:line="460" w:lineRule="exact"/>
        <w:rPr>
          <w:rFonts w:ascii="宋体" w:eastAsia="宋体" w:cs="Times New Roman"/>
          <w:sz w:val="24"/>
          <w:szCs w:val="24"/>
        </w:rPr>
      </w:pPr>
      <w:r>
        <w:rPr>
          <w:rFonts w:hint="eastAsia" w:ascii="宋体" w:eastAsia="宋体" w:cs="Times New Roman"/>
          <w:sz w:val="24"/>
          <w:szCs w:val="24"/>
        </w:rPr>
        <w:t>甲     方：（公章）                      乙     方：（公章）</w:t>
      </w:r>
    </w:p>
    <w:p>
      <w:pPr>
        <w:spacing w:line="460" w:lineRule="exact"/>
        <w:ind w:left="4920" w:hanging="4920" w:hangingChars="2050"/>
        <w:rPr>
          <w:rFonts w:ascii="宋体" w:eastAsia="宋体" w:cs="Times New Roman"/>
          <w:sz w:val="24"/>
          <w:szCs w:val="24"/>
        </w:rPr>
      </w:pPr>
      <w:r>
        <w:rPr>
          <w:rFonts w:hint="eastAsia" w:ascii="宋体" w:eastAsia="宋体" w:cs="Times New Roman"/>
          <w:sz w:val="24"/>
          <w:szCs w:val="24"/>
        </w:rPr>
        <w:t xml:space="preserve">法定代表人               　　           法定代表人（或委托代表人）： </w:t>
      </w:r>
    </w:p>
    <w:p>
      <w:pPr>
        <w:spacing w:line="460" w:lineRule="exact"/>
        <w:rPr>
          <w:rFonts w:ascii="宋体" w:eastAsia="宋体" w:cs="Times New Roman"/>
          <w:sz w:val="24"/>
          <w:szCs w:val="24"/>
        </w:rPr>
      </w:pPr>
      <w:r>
        <w:rPr>
          <w:rFonts w:hint="eastAsia" w:ascii="宋体" w:eastAsia="宋体" w:cs="Times New Roman"/>
          <w:sz w:val="24"/>
          <w:szCs w:val="24"/>
        </w:rPr>
        <w:t xml:space="preserve">委托代表人：　　　　　                  开户行： </w:t>
      </w:r>
    </w:p>
    <w:p>
      <w:pPr>
        <w:spacing w:line="460" w:lineRule="exact"/>
        <w:rPr>
          <w:rFonts w:ascii="宋体" w:eastAsia="宋体" w:cs="Times New Roman"/>
          <w:sz w:val="24"/>
          <w:szCs w:val="24"/>
        </w:rPr>
      </w:pPr>
      <w:r>
        <w:rPr>
          <w:rFonts w:hint="eastAsia" w:ascii="宋体" w:eastAsia="宋体" w:cs="Times New Roman"/>
          <w:sz w:val="24"/>
          <w:szCs w:val="24"/>
        </w:rPr>
        <w:t xml:space="preserve">                                        银行帐号：</w:t>
      </w:r>
    </w:p>
    <w:p>
      <w:pPr>
        <w:rPr>
          <w:sz w:val="24"/>
          <w:szCs w:val="24"/>
        </w:rPr>
      </w:pPr>
    </w:p>
    <w:p>
      <w:pPr>
        <w:rPr>
          <w:rFonts w:hint="eastAsia" w:asciiTheme="majorEastAsia" w:hAnsiTheme="majorEastAsia" w:eastAsiaTheme="majorEastAsia" w:cstheme="majorEastAsia"/>
          <w:bCs w:val="0"/>
          <w:color w:val="auto"/>
          <w:highlight w:val="none"/>
        </w:rPr>
      </w:pPr>
    </w:p>
    <w:p>
      <w:pPr>
        <w:pStyle w:val="5"/>
        <w:ind w:left="0" w:leftChars="0" w:firstLine="0" w:firstLineChars="0"/>
        <w:rPr>
          <w:rFonts w:hint="eastAsia" w:asciiTheme="majorEastAsia" w:hAnsiTheme="majorEastAsia" w:eastAsiaTheme="majorEastAsia" w:cstheme="majorEastAsia"/>
          <w:bCs w:val="0"/>
          <w:color w:val="auto"/>
          <w:highlight w:val="none"/>
        </w:rPr>
      </w:pPr>
    </w:p>
    <w:p>
      <w:pPr>
        <w:pStyle w:val="5"/>
        <w:rPr>
          <w:rFonts w:hint="eastAsia" w:asciiTheme="majorEastAsia" w:hAnsiTheme="majorEastAsia" w:eastAsiaTheme="majorEastAsia" w:cstheme="majorEastAsia"/>
          <w:bCs w:val="0"/>
          <w:color w:val="auto"/>
          <w:highlight w:val="none"/>
        </w:rPr>
      </w:pPr>
    </w:p>
    <w:p>
      <w:pPr>
        <w:pStyle w:val="6"/>
        <w:numPr>
          <w:ilvl w:val="0"/>
          <w:numId w:val="0"/>
        </w:numPr>
        <w:snapToGrid w:val="0"/>
        <w:spacing w:before="0" w:after="0"/>
        <w:ind w:leftChars="200"/>
        <w:jc w:val="both"/>
        <w:rPr>
          <w:rFonts w:hint="eastAsia" w:ascii="宋体" w:hAnsi="宋体" w:eastAsia="宋体" w:cs="宋体"/>
          <w:bCs w:val="0"/>
          <w:color w:val="auto"/>
        </w:rPr>
      </w:pPr>
      <w:bookmarkStart w:id="108" w:name="_Toc49763003"/>
      <w:r>
        <w:rPr>
          <w:rFonts w:hint="eastAsia" w:hAnsi="宋体" w:eastAsia="宋体" w:cs="宋体"/>
          <w:bCs w:val="0"/>
          <w:color w:val="auto"/>
          <w:lang w:val="en-US" w:eastAsia="zh-CN"/>
        </w:rPr>
        <w:t xml:space="preserve">            第五章 </w:t>
      </w:r>
      <w:r>
        <w:rPr>
          <w:rFonts w:hint="eastAsia" w:ascii="宋体" w:hAnsi="宋体" w:eastAsia="宋体" w:cs="宋体"/>
          <w:bCs w:val="0"/>
          <w:color w:val="auto"/>
        </w:rPr>
        <w:t>项目需求</w:t>
      </w:r>
      <w:bookmarkEnd w:id="108"/>
    </w:p>
    <w:p>
      <w:pPr>
        <w:autoSpaceDN w:val="0"/>
        <w:spacing w:line="540" w:lineRule="exact"/>
        <w:ind w:firstLine="608" w:firstLineChars="200"/>
        <w:rPr>
          <w:rFonts w:ascii="宋体"/>
          <w:sz w:val="30"/>
          <w:szCs w:val="30"/>
        </w:rPr>
      </w:pPr>
      <w:bookmarkStart w:id="109" w:name="_Toc49763004"/>
      <w:r>
        <w:rPr>
          <w:rFonts w:hint="eastAsia" w:ascii="宋体"/>
          <w:spacing w:val="2"/>
          <w:sz w:val="30"/>
          <w:szCs w:val="30"/>
        </w:rPr>
        <w:t>1.</w:t>
      </w:r>
      <w:r>
        <w:rPr>
          <w:rFonts w:ascii="宋体"/>
          <w:spacing w:val="2"/>
          <w:sz w:val="30"/>
          <w:szCs w:val="30"/>
        </w:rPr>
        <w:t>施工</w:t>
      </w:r>
      <w:r>
        <w:rPr>
          <w:rFonts w:hint="eastAsia" w:ascii="宋体"/>
          <w:spacing w:val="2"/>
          <w:sz w:val="30"/>
          <w:szCs w:val="30"/>
        </w:rPr>
        <w:t>资质要求：</w:t>
      </w:r>
      <w:r>
        <w:rPr>
          <w:rFonts w:hint="eastAsia" w:ascii="宋体"/>
          <w:sz w:val="30"/>
          <w:szCs w:val="30"/>
        </w:rPr>
        <w:t>承装电力设施许可证4级，承修电力设施可证4级，承试电力设施许可证5级。</w:t>
      </w:r>
    </w:p>
    <w:p>
      <w:pPr>
        <w:autoSpaceDN w:val="0"/>
        <w:spacing w:line="540" w:lineRule="exact"/>
        <w:ind w:firstLine="600" w:firstLineChars="200"/>
        <w:rPr>
          <w:rFonts w:ascii="宋体"/>
          <w:sz w:val="30"/>
          <w:szCs w:val="30"/>
        </w:rPr>
      </w:pPr>
      <w:r>
        <w:rPr>
          <w:rFonts w:hint="eastAsia" w:ascii="宋体"/>
          <w:sz w:val="30"/>
          <w:szCs w:val="30"/>
        </w:rPr>
        <w:t>2.项目内容：更换老旧电力干线、支线，更换25个单元楼配电箱等。</w:t>
      </w:r>
    </w:p>
    <w:p>
      <w:pPr>
        <w:autoSpaceDN w:val="0"/>
        <w:spacing w:line="540" w:lineRule="exact"/>
        <w:ind w:firstLine="608" w:firstLineChars="200"/>
        <w:rPr>
          <w:rFonts w:ascii="宋体"/>
          <w:spacing w:val="2"/>
          <w:sz w:val="30"/>
          <w:szCs w:val="30"/>
        </w:rPr>
      </w:pPr>
      <w:r>
        <w:rPr>
          <w:rFonts w:hint="eastAsia" w:ascii="宋体"/>
          <w:spacing w:val="2"/>
          <w:sz w:val="30"/>
          <w:szCs w:val="30"/>
        </w:rPr>
        <w:t>3.所有供电设备执行国家、相关机构、部门的标准，通过ISO-9001系列质量体系认证，通过国家质量认证中心3C强制认证，持有国家相关部门认可的生产许可证。</w:t>
      </w:r>
    </w:p>
    <w:p>
      <w:pPr>
        <w:autoSpaceDN w:val="0"/>
        <w:spacing w:line="540" w:lineRule="exact"/>
        <w:ind w:firstLine="608" w:firstLineChars="200"/>
        <w:rPr>
          <w:rFonts w:ascii="宋体"/>
          <w:spacing w:val="2"/>
          <w:sz w:val="30"/>
          <w:szCs w:val="30"/>
        </w:rPr>
      </w:pPr>
      <w:r>
        <w:rPr>
          <w:rFonts w:hint="eastAsia" w:ascii="宋体"/>
          <w:spacing w:val="2"/>
          <w:sz w:val="30"/>
          <w:szCs w:val="30"/>
        </w:rPr>
        <w:t>4.配电柜材质为厚度不小于1.5毫米的不锈钢箱。配电柜门应在不小于90度内灵活开闭，门在开启过程中不应损坏涂覆层，门上锁后不得有明显的晃动现象。</w:t>
      </w:r>
    </w:p>
    <w:p>
      <w:pPr>
        <w:autoSpaceDN w:val="0"/>
        <w:spacing w:line="540" w:lineRule="exact"/>
        <w:ind w:firstLine="608" w:firstLineChars="200"/>
        <w:rPr>
          <w:rFonts w:ascii="宋体"/>
          <w:spacing w:val="2"/>
          <w:sz w:val="30"/>
          <w:szCs w:val="30"/>
        </w:rPr>
      </w:pPr>
      <w:r>
        <w:rPr>
          <w:rFonts w:hint="eastAsia" w:ascii="宋体"/>
          <w:spacing w:val="2"/>
          <w:sz w:val="30"/>
          <w:szCs w:val="30"/>
        </w:rPr>
        <w:t>5.配电柜的外壳和金属零件应表面平整，不应有毛边、锐边。焊接应光洁均匀，无气孔、裂纹等现象。配电柜涂层不应有皱纹、汽包、色度不均等现象。</w:t>
      </w:r>
    </w:p>
    <w:p>
      <w:pPr>
        <w:autoSpaceDN w:val="0"/>
        <w:spacing w:line="540" w:lineRule="exact"/>
        <w:ind w:firstLine="608" w:firstLineChars="200"/>
        <w:rPr>
          <w:rFonts w:ascii="宋体"/>
          <w:spacing w:val="2"/>
          <w:sz w:val="30"/>
          <w:szCs w:val="30"/>
        </w:rPr>
      </w:pPr>
      <w:r>
        <w:rPr>
          <w:rFonts w:hint="eastAsia" w:ascii="宋体"/>
          <w:spacing w:val="2"/>
          <w:sz w:val="30"/>
          <w:szCs w:val="30"/>
        </w:rPr>
        <w:t>6.电缆品牌：江苏上上、鑫鸿、无锡华美。</w:t>
      </w:r>
    </w:p>
    <w:p>
      <w:pPr>
        <w:autoSpaceDN w:val="0"/>
        <w:spacing w:line="540" w:lineRule="exact"/>
        <w:ind w:firstLine="608" w:firstLineChars="200"/>
        <w:rPr>
          <w:rFonts w:ascii="宋体"/>
          <w:spacing w:val="2"/>
          <w:sz w:val="30"/>
          <w:szCs w:val="30"/>
        </w:rPr>
      </w:pPr>
      <w:r>
        <w:rPr>
          <w:rFonts w:hint="eastAsia" w:ascii="宋体"/>
          <w:spacing w:val="2"/>
          <w:sz w:val="30"/>
          <w:szCs w:val="30"/>
        </w:rPr>
        <w:t>7.低压断路器品牌：ABB、施耐德、常熟开关.</w:t>
      </w:r>
    </w:p>
    <w:p>
      <w:pPr>
        <w:autoSpaceDN w:val="0"/>
        <w:spacing w:line="540" w:lineRule="exact"/>
        <w:ind w:firstLine="600" w:firstLineChars="200"/>
        <w:rPr>
          <w:rFonts w:ascii="宋体"/>
          <w:spacing w:val="2"/>
          <w:sz w:val="30"/>
          <w:szCs w:val="30"/>
        </w:rPr>
      </w:pPr>
      <w:r>
        <w:rPr>
          <w:rFonts w:hint="eastAsia" w:ascii="宋体"/>
          <w:sz w:val="30"/>
          <w:szCs w:val="30"/>
        </w:rPr>
        <w:t>8.售后质保期服务响应时间30分钟。</w:t>
      </w:r>
    </w:p>
    <w:p>
      <w:pPr>
        <w:pStyle w:val="4"/>
        <w:spacing w:line="540" w:lineRule="exact"/>
        <w:ind w:left="608" w:firstLine="0" w:firstLineChars="0"/>
        <w:rPr>
          <w:rFonts w:ascii="宋体"/>
          <w:b/>
          <w:spacing w:val="2"/>
          <w:sz w:val="30"/>
          <w:szCs w:val="30"/>
        </w:rPr>
      </w:pPr>
      <w:r>
        <w:rPr>
          <w:rFonts w:hint="eastAsia" w:ascii="宋体"/>
          <w:spacing w:val="2"/>
          <w:sz w:val="30"/>
          <w:szCs w:val="30"/>
        </w:rPr>
        <w:t>※</w:t>
      </w:r>
      <w:r>
        <w:rPr>
          <w:rFonts w:hint="eastAsia" w:ascii="宋体"/>
          <w:b/>
          <w:spacing w:val="2"/>
          <w:sz w:val="30"/>
          <w:szCs w:val="30"/>
        </w:rPr>
        <w:t>赭麓校区家属区概况：家属区共有10幢住宅楼（1#—5#；7#—11#），均为6层砖混结构建筑，区内道路狭窄，住户以本校退休老年职工和校外租、购房户为主，住户包括相当一部分准备中考、高考的学生。请投标人认真踏勘现场，并向住户和物业单位详细了解居民生活作息规律，拟订切实可行的施工（停送电）办法，合理安排施工工序，制订妥善的施工车辆进出、停放措施及安全文明施工措施。</w:t>
      </w:r>
    </w:p>
    <w:p>
      <w:pPr>
        <w:pStyle w:val="6"/>
        <w:snapToGrid w:val="0"/>
        <w:spacing w:before="0" w:after="0"/>
        <w:ind w:left="0" w:leftChars="0" w:firstLine="0" w:firstLineChars="0"/>
        <w:jc w:val="both"/>
        <w:rPr>
          <w:rFonts w:hint="eastAsia" w:asciiTheme="majorEastAsia" w:hAnsiTheme="majorEastAsia" w:eastAsiaTheme="majorEastAsia" w:cstheme="majorEastAsia"/>
          <w:color w:val="auto"/>
        </w:rPr>
      </w:pPr>
    </w:p>
    <w:p>
      <w:pPr>
        <w:pStyle w:val="6"/>
        <w:snapToGrid w:val="0"/>
        <w:spacing w:before="0" w:after="0"/>
        <w:ind w:left="0" w:leftChars="0" w:firstLine="723" w:firstLineChars="200"/>
        <w:jc w:val="center"/>
        <w:rPr>
          <w:rFonts w:ascii="楷体" w:hAnsi="楷体" w:eastAsia="楷体"/>
          <w:szCs w:val="28"/>
        </w:rPr>
      </w:pPr>
      <w:r>
        <w:rPr>
          <w:rFonts w:hint="eastAsia" w:asciiTheme="majorEastAsia" w:hAnsiTheme="majorEastAsia" w:eastAsiaTheme="majorEastAsia" w:cstheme="majorEastAsia"/>
          <w:color w:val="auto"/>
        </w:rPr>
        <w:t>第六章  评分办法和评分细则</w:t>
      </w:r>
      <w:bookmarkEnd w:id="109"/>
    </w:p>
    <w:p>
      <w:pPr>
        <w:pStyle w:val="3"/>
        <w:adjustRightInd w:val="0"/>
        <w:snapToGrid w:val="0"/>
        <w:spacing w:line="460" w:lineRule="exact"/>
        <w:ind w:firstLine="560"/>
        <w:rPr>
          <w:rFonts w:hint="eastAsia" w:cs="宋体"/>
          <w:b/>
          <w:spacing w:val="0"/>
          <w:sz w:val="24"/>
          <w:szCs w:val="24"/>
        </w:rPr>
      </w:pPr>
      <w:bookmarkStart w:id="110" w:name="_Toc49763005"/>
    </w:p>
    <w:p>
      <w:pPr>
        <w:pStyle w:val="3"/>
        <w:adjustRightInd w:val="0"/>
        <w:snapToGrid w:val="0"/>
        <w:spacing w:line="460" w:lineRule="exact"/>
        <w:ind w:firstLine="560"/>
        <w:rPr>
          <w:rFonts w:hint="eastAsia" w:cs="宋体"/>
          <w:spacing w:val="0"/>
          <w:sz w:val="30"/>
          <w:szCs w:val="30"/>
        </w:rPr>
      </w:pPr>
      <w:r>
        <w:rPr>
          <w:rFonts w:hint="eastAsia" w:cs="宋体"/>
          <w:b/>
          <w:spacing w:val="0"/>
          <w:sz w:val="30"/>
          <w:szCs w:val="30"/>
        </w:rPr>
        <w:t>一、</w:t>
      </w:r>
      <w:r>
        <w:rPr>
          <w:rFonts w:hint="eastAsia" w:cs="宋体"/>
          <w:spacing w:val="0"/>
          <w:sz w:val="30"/>
          <w:szCs w:val="30"/>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3"/>
        <w:adjustRightInd w:val="0"/>
        <w:snapToGrid w:val="0"/>
        <w:spacing w:line="460" w:lineRule="exact"/>
        <w:ind w:firstLine="560"/>
        <w:rPr>
          <w:rFonts w:hint="eastAsia" w:cs="宋体"/>
          <w:spacing w:val="0"/>
          <w:sz w:val="30"/>
          <w:szCs w:val="30"/>
        </w:rPr>
      </w:pPr>
      <w:r>
        <w:rPr>
          <w:rFonts w:hint="eastAsia" w:cs="宋体"/>
          <w:spacing w:val="0"/>
          <w:sz w:val="30"/>
          <w:szCs w:val="30"/>
        </w:rPr>
        <w:t>本次评标采用综合评分法，总分为100分，其中报价得分50分、技术得分50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pStyle w:val="3"/>
        <w:adjustRightInd w:val="0"/>
        <w:snapToGrid w:val="0"/>
        <w:spacing w:line="460" w:lineRule="exact"/>
        <w:ind w:firstLine="560"/>
        <w:rPr>
          <w:rFonts w:hint="eastAsia" w:cs="宋体"/>
          <w:spacing w:val="0"/>
          <w:sz w:val="30"/>
          <w:szCs w:val="30"/>
        </w:rPr>
      </w:pPr>
      <w:r>
        <w:rPr>
          <w:rFonts w:hint="eastAsia" w:cs="宋体"/>
          <w:spacing w:val="0"/>
          <w:sz w:val="30"/>
          <w:szCs w:val="30"/>
        </w:rPr>
        <w:t>投标人评标综合得分=报价得分+技术得分</w:t>
      </w:r>
    </w:p>
    <w:p>
      <w:pPr>
        <w:pStyle w:val="3"/>
        <w:adjustRightInd w:val="0"/>
        <w:snapToGrid w:val="0"/>
        <w:spacing w:line="460" w:lineRule="exact"/>
        <w:ind w:firstLine="560"/>
        <w:rPr>
          <w:rFonts w:hint="eastAsia" w:cs="宋体"/>
          <w:b/>
          <w:bCs/>
          <w:spacing w:val="0"/>
          <w:sz w:val="30"/>
          <w:szCs w:val="30"/>
        </w:rPr>
      </w:pPr>
      <w:r>
        <w:rPr>
          <w:rFonts w:hint="eastAsia" w:cs="宋体"/>
          <w:b/>
          <w:bCs/>
          <w:spacing w:val="0"/>
          <w:sz w:val="30"/>
          <w:szCs w:val="30"/>
        </w:rPr>
        <w:t>二、评标内容及标准</w:t>
      </w:r>
    </w:p>
    <w:p>
      <w:pPr>
        <w:pStyle w:val="3"/>
        <w:adjustRightInd w:val="0"/>
        <w:snapToGrid w:val="0"/>
        <w:spacing w:line="460" w:lineRule="exact"/>
        <w:ind w:firstLine="560"/>
        <w:rPr>
          <w:rFonts w:hint="eastAsia" w:cs="宋体"/>
          <w:spacing w:val="0"/>
          <w:sz w:val="30"/>
          <w:szCs w:val="30"/>
        </w:rPr>
      </w:pPr>
      <w:r>
        <w:rPr>
          <w:rFonts w:hint="eastAsia" w:cs="宋体"/>
          <w:spacing w:val="0"/>
          <w:sz w:val="30"/>
          <w:szCs w:val="30"/>
        </w:rPr>
        <w:t>1、报价得分占总分50%,分值为50分。</w:t>
      </w:r>
    </w:p>
    <w:p>
      <w:pPr>
        <w:pStyle w:val="3"/>
        <w:adjustRightInd w:val="0"/>
        <w:snapToGrid w:val="0"/>
        <w:spacing w:line="460" w:lineRule="exact"/>
        <w:ind w:firstLine="560"/>
        <w:rPr>
          <w:rFonts w:hint="eastAsia" w:cs="宋体"/>
          <w:spacing w:val="0"/>
          <w:sz w:val="30"/>
          <w:szCs w:val="30"/>
        </w:rPr>
      </w:pPr>
      <w:r>
        <w:rPr>
          <w:rFonts w:hint="eastAsia" w:cs="宋体"/>
          <w:spacing w:val="0"/>
          <w:sz w:val="30"/>
          <w:szCs w:val="30"/>
        </w:rPr>
        <w:t>有效投标单位为在10家以内（含）的，各投标单位报价平均值作为报价基准值；超过10家的，去掉二个最高报价和二个最低报价，其余各投标单位报价平均值作为报价基准值（50分）：</w:t>
      </w:r>
    </w:p>
    <w:p>
      <w:pPr>
        <w:pStyle w:val="3"/>
        <w:adjustRightInd w:val="0"/>
        <w:snapToGrid w:val="0"/>
        <w:spacing w:line="460" w:lineRule="exact"/>
        <w:ind w:firstLine="560"/>
        <w:rPr>
          <w:rFonts w:hint="eastAsia" w:cs="宋体"/>
          <w:spacing w:val="0"/>
          <w:sz w:val="30"/>
          <w:szCs w:val="30"/>
        </w:rPr>
      </w:pPr>
      <w:r>
        <w:rPr>
          <w:rFonts w:hint="eastAsia" w:cs="宋体"/>
          <w:spacing w:val="0"/>
          <w:sz w:val="30"/>
          <w:szCs w:val="30"/>
        </w:rPr>
        <w:t>报价得分＝50－|(投标人报价－报价基准值）／报价基准值|×50×B ;（报价得分保留2位小数）</w:t>
      </w:r>
    </w:p>
    <w:p>
      <w:pPr>
        <w:pStyle w:val="3"/>
        <w:adjustRightInd w:val="0"/>
        <w:snapToGrid w:val="0"/>
        <w:spacing w:line="460" w:lineRule="exact"/>
        <w:ind w:firstLine="560"/>
        <w:rPr>
          <w:rFonts w:hint="eastAsia" w:cs="宋体"/>
          <w:spacing w:val="0"/>
          <w:sz w:val="30"/>
          <w:szCs w:val="30"/>
        </w:rPr>
      </w:pPr>
      <w:r>
        <w:rPr>
          <w:rFonts w:hint="eastAsia" w:cs="宋体"/>
          <w:spacing w:val="0"/>
          <w:sz w:val="30"/>
          <w:szCs w:val="30"/>
        </w:rPr>
        <w:t>B取值方式为：</w:t>
      </w:r>
    </w:p>
    <w:p>
      <w:pPr>
        <w:pStyle w:val="3"/>
        <w:adjustRightInd w:val="0"/>
        <w:snapToGrid w:val="0"/>
        <w:spacing w:line="460" w:lineRule="exact"/>
        <w:ind w:firstLine="560"/>
        <w:rPr>
          <w:rFonts w:hint="eastAsia" w:cs="宋体"/>
          <w:spacing w:val="0"/>
          <w:sz w:val="30"/>
          <w:szCs w:val="30"/>
        </w:rPr>
      </w:pPr>
      <w:r>
        <w:rPr>
          <w:rFonts w:hint="eastAsia" w:cs="宋体"/>
          <w:spacing w:val="0"/>
          <w:sz w:val="30"/>
          <w:szCs w:val="30"/>
        </w:rPr>
        <w:t>1）当投标人报价高于报价基准值时，B取值为1.0；</w:t>
      </w:r>
    </w:p>
    <w:p>
      <w:pPr>
        <w:pStyle w:val="3"/>
        <w:adjustRightInd w:val="0"/>
        <w:snapToGrid w:val="0"/>
        <w:spacing w:line="460" w:lineRule="exact"/>
        <w:ind w:firstLine="560"/>
        <w:rPr>
          <w:rFonts w:hint="eastAsia" w:cs="宋体"/>
          <w:spacing w:val="0"/>
          <w:sz w:val="30"/>
          <w:szCs w:val="30"/>
        </w:rPr>
      </w:pPr>
      <w:r>
        <w:rPr>
          <w:rFonts w:hint="eastAsia" w:cs="宋体"/>
          <w:spacing w:val="0"/>
          <w:sz w:val="30"/>
          <w:szCs w:val="30"/>
        </w:rPr>
        <w:t>2）当投标人报价低于报价基准值时，B取值为0.5。</w:t>
      </w:r>
    </w:p>
    <w:p>
      <w:pPr>
        <w:autoSpaceDN w:val="0"/>
        <w:spacing w:line="360" w:lineRule="exact"/>
        <w:rPr>
          <w:rFonts w:ascii="宋体"/>
          <w:spacing w:val="2"/>
          <w:sz w:val="32"/>
          <w:szCs w:val="32"/>
        </w:rPr>
      </w:pPr>
    </w:p>
    <w:p>
      <w:pPr>
        <w:autoSpaceDN w:val="0"/>
        <w:spacing w:line="360" w:lineRule="exact"/>
        <w:rPr>
          <w:rFonts w:ascii="宋体"/>
          <w:spacing w:val="2"/>
          <w:sz w:val="32"/>
          <w:szCs w:val="32"/>
        </w:rPr>
      </w:pPr>
    </w:p>
    <w:p>
      <w:pPr>
        <w:autoSpaceDN w:val="0"/>
        <w:spacing w:line="360" w:lineRule="exact"/>
        <w:rPr>
          <w:rFonts w:hint="eastAsia" w:ascii="宋体"/>
          <w:spacing w:val="2"/>
          <w:sz w:val="32"/>
          <w:szCs w:val="32"/>
        </w:rPr>
      </w:pPr>
    </w:p>
    <w:p>
      <w:pPr>
        <w:autoSpaceDN w:val="0"/>
        <w:spacing w:line="360" w:lineRule="exact"/>
        <w:rPr>
          <w:rFonts w:ascii="宋体"/>
          <w:spacing w:val="2"/>
          <w:sz w:val="32"/>
          <w:szCs w:val="32"/>
        </w:rPr>
      </w:pPr>
      <w:r>
        <w:rPr>
          <w:rFonts w:ascii="宋体"/>
          <w:spacing w:val="2"/>
          <w:sz w:val="32"/>
          <w:szCs w:val="32"/>
        </w:rPr>
        <w:t>方案技术得分50分</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5"/>
        <w:gridCol w:w="606"/>
        <w:gridCol w:w="5528"/>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345" w:type="dxa"/>
          </w:tcPr>
          <w:p>
            <w:pPr>
              <w:widowControl/>
              <w:autoSpaceDN w:val="0"/>
              <w:jc w:val="center"/>
              <w:textAlignment w:val="center"/>
              <w:rPr>
                <w:sz w:val="24"/>
                <w:szCs w:val="24"/>
              </w:rPr>
            </w:pPr>
            <w:r>
              <w:rPr>
                <w:rFonts w:hint="eastAsia" w:ascii="宋体" w:cs="宋体"/>
                <w:sz w:val="24"/>
                <w:szCs w:val="24"/>
              </w:rPr>
              <w:t>评审因素</w:t>
            </w:r>
          </w:p>
          <w:p>
            <w:pPr>
              <w:autoSpaceDN w:val="0"/>
              <w:spacing w:line="360" w:lineRule="exact"/>
              <w:rPr>
                <w:rFonts w:ascii="宋体"/>
                <w:spacing w:val="2"/>
                <w:sz w:val="24"/>
                <w:szCs w:val="24"/>
              </w:rPr>
            </w:pPr>
          </w:p>
        </w:tc>
        <w:tc>
          <w:tcPr>
            <w:tcW w:w="606" w:type="dxa"/>
          </w:tcPr>
          <w:p>
            <w:pPr>
              <w:widowControl/>
              <w:autoSpaceDN w:val="0"/>
              <w:jc w:val="center"/>
              <w:textAlignment w:val="center"/>
            </w:pPr>
            <w:r>
              <w:rPr>
                <w:rFonts w:hint="eastAsia" w:ascii="宋体" w:cs="宋体"/>
                <w:sz w:val="24"/>
              </w:rPr>
              <w:t>分值</w:t>
            </w:r>
          </w:p>
          <w:p>
            <w:pPr>
              <w:autoSpaceDN w:val="0"/>
              <w:spacing w:line="360" w:lineRule="exact"/>
              <w:rPr>
                <w:rFonts w:ascii="宋体"/>
                <w:spacing w:val="2"/>
                <w:sz w:val="32"/>
                <w:szCs w:val="32"/>
              </w:rPr>
            </w:pPr>
          </w:p>
        </w:tc>
        <w:tc>
          <w:tcPr>
            <w:tcW w:w="5528" w:type="dxa"/>
          </w:tcPr>
          <w:p>
            <w:pPr>
              <w:widowControl/>
              <w:autoSpaceDN w:val="0"/>
              <w:jc w:val="center"/>
              <w:textAlignment w:val="center"/>
            </w:pPr>
            <w:r>
              <w:rPr>
                <w:rFonts w:hint="eastAsia" w:ascii="宋体" w:cs="宋体"/>
                <w:sz w:val="24"/>
              </w:rPr>
              <w:t>评分标准</w:t>
            </w:r>
          </w:p>
          <w:p>
            <w:pPr>
              <w:autoSpaceDN w:val="0"/>
              <w:spacing w:line="360" w:lineRule="exact"/>
              <w:rPr>
                <w:rFonts w:ascii="宋体"/>
                <w:spacing w:val="2"/>
                <w:sz w:val="32"/>
                <w:szCs w:val="32"/>
              </w:rPr>
            </w:pPr>
          </w:p>
        </w:tc>
        <w:tc>
          <w:tcPr>
            <w:tcW w:w="1043" w:type="dxa"/>
          </w:tcPr>
          <w:p>
            <w:pPr>
              <w:autoSpaceDN w:val="0"/>
              <w:spacing w:line="360" w:lineRule="exact"/>
              <w:rPr>
                <w:rFonts w:ascii="宋体"/>
                <w:spacing w:val="2"/>
                <w:szCs w:val="21"/>
              </w:rPr>
            </w:pPr>
            <w:r>
              <w:rPr>
                <w:rFonts w:hint="eastAsia" w:ascii="宋体"/>
                <w:spacing w:val="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9" w:hRule="atLeast"/>
        </w:trPr>
        <w:tc>
          <w:tcPr>
            <w:tcW w:w="1345" w:type="dxa"/>
          </w:tcPr>
          <w:p>
            <w:pPr>
              <w:widowControl/>
              <w:autoSpaceDN w:val="0"/>
              <w:textAlignment w:val="center"/>
              <w:rPr>
                <w:rFonts w:ascii="宋体" w:cs="宋体"/>
                <w:sz w:val="24"/>
                <w:szCs w:val="24"/>
              </w:rPr>
            </w:pPr>
          </w:p>
          <w:p>
            <w:pPr>
              <w:widowControl/>
              <w:autoSpaceDN w:val="0"/>
              <w:textAlignment w:val="center"/>
              <w:rPr>
                <w:rFonts w:ascii="宋体" w:cs="宋体"/>
                <w:sz w:val="24"/>
                <w:szCs w:val="24"/>
              </w:rPr>
            </w:pPr>
          </w:p>
          <w:p>
            <w:pPr>
              <w:widowControl/>
              <w:autoSpaceDN w:val="0"/>
              <w:textAlignment w:val="center"/>
              <w:rPr>
                <w:rFonts w:ascii="宋体" w:cs="宋体"/>
                <w:sz w:val="24"/>
                <w:szCs w:val="24"/>
              </w:rPr>
            </w:pPr>
            <w:r>
              <w:rPr>
                <w:rFonts w:hint="eastAsia" w:ascii="宋体" w:cs="宋体"/>
                <w:sz w:val="24"/>
                <w:szCs w:val="24"/>
              </w:rPr>
              <w:t>施工方案</w:t>
            </w:r>
          </w:p>
          <w:p>
            <w:pPr>
              <w:autoSpaceDN w:val="0"/>
              <w:spacing w:line="360" w:lineRule="exact"/>
              <w:rPr>
                <w:rFonts w:ascii="宋体"/>
                <w:spacing w:val="2"/>
                <w:sz w:val="24"/>
                <w:szCs w:val="24"/>
              </w:rPr>
            </w:pPr>
          </w:p>
        </w:tc>
        <w:tc>
          <w:tcPr>
            <w:tcW w:w="606" w:type="dxa"/>
          </w:tcPr>
          <w:p>
            <w:pPr>
              <w:autoSpaceDN w:val="0"/>
              <w:spacing w:line="360" w:lineRule="exact"/>
              <w:rPr>
                <w:rFonts w:ascii="宋体"/>
                <w:spacing w:val="2"/>
                <w:sz w:val="32"/>
                <w:szCs w:val="32"/>
              </w:rPr>
            </w:pPr>
          </w:p>
          <w:p>
            <w:pPr>
              <w:autoSpaceDN w:val="0"/>
              <w:spacing w:line="360" w:lineRule="exact"/>
              <w:rPr>
                <w:rFonts w:ascii="宋体"/>
                <w:spacing w:val="2"/>
                <w:sz w:val="32"/>
                <w:szCs w:val="32"/>
              </w:rPr>
            </w:pPr>
          </w:p>
          <w:p>
            <w:pPr>
              <w:autoSpaceDN w:val="0"/>
              <w:spacing w:line="360" w:lineRule="exact"/>
              <w:rPr>
                <w:rFonts w:ascii="宋体"/>
                <w:spacing w:val="2"/>
                <w:sz w:val="32"/>
                <w:szCs w:val="32"/>
              </w:rPr>
            </w:pPr>
            <w:r>
              <w:rPr>
                <w:rFonts w:hint="eastAsia" w:ascii="宋体"/>
                <w:spacing w:val="2"/>
                <w:sz w:val="32"/>
                <w:szCs w:val="32"/>
              </w:rPr>
              <w:t>4</w:t>
            </w:r>
            <w:r>
              <w:rPr>
                <w:rFonts w:ascii="宋体"/>
                <w:spacing w:val="2"/>
                <w:sz w:val="32"/>
                <w:szCs w:val="32"/>
              </w:rPr>
              <w:t>0</w:t>
            </w:r>
          </w:p>
        </w:tc>
        <w:tc>
          <w:tcPr>
            <w:tcW w:w="5528" w:type="dxa"/>
          </w:tcPr>
          <w:p>
            <w:pPr>
              <w:widowControl/>
              <w:autoSpaceDN w:val="0"/>
              <w:textAlignment w:val="center"/>
              <w:rPr>
                <w:rFonts w:ascii="宋体" w:cs="宋体"/>
                <w:sz w:val="24"/>
                <w:szCs w:val="24"/>
              </w:rPr>
            </w:pPr>
            <w:r>
              <w:rPr>
                <w:rFonts w:hint="eastAsia" w:ascii="宋体" w:cs="宋体"/>
                <w:sz w:val="24"/>
                <w:szCs w:val="24"/>
              </w:rPr>
              <w:t>专家根据投标人所提供的</w:t>
            </w:r>
            <w:r>
              <w:rPr>
                <w:rFonts w:ascii="宋体" w:cs="宋体"/>
                <w:sz w:val="24"/>
                <w:szCs w:val="24"/>
              </w:rPr>
              <w:t>施工</w:t>
            </w:r>
            <w:r>
              <w:rPr>
                <w:rFonts w:hint="eastAsia" w:ascii="宋体" w:cs="宋体"/>
                <w:sz w:val="24"/>
                <w:szCs w:val="24"/>
              </w:rPr>
              <w:t>方案合理性，细致性，及可行性进行评分</w:t>
            </w:r>
          </w:p>
          <w:p>
            <w:pPr>
              <w:widowControl/>
              <w:numPr>
                <w:ilvl w:val="0"/>
                <w:numId w:val="2"/>
              </w:numPr>
              <w:autoSpaceDN w:val="0"/>
              <w:textAlignment w:val="center"/>
              <w:rPr>
                <w:rFonts w:ascii="宋体" w:cs="宋体"/>
                <w:sz w:val="24"/>
                <w:szCs w:val="24"/>
              </w:rPr>
            </w:pPr>
            <w:r>
              <w:rPr>
                <w:rFonts w:ascii="宋体" w:cs="宋体"/>
                <w:sz w:val="24"/>
                <w:szCs w:val="24"/>
              </w:rPr>
              <w:t>根据工程的特点和小区居民的生活规律合理安排停送电时间段，主要包括主干线、支线、单元楼层停送电的方式方法，以及对小区供电线路情况的了解和采取的施工措施，优的的21-30分，良好的的10-20分，一般化的1-9分，最高30分。</w:t>
            </w:r>
          </w:p>
          <w:p>
            <w:pPr>
              <w:widowControl/>
              <w:autoSpaceDN w:val="0"/>
              <w:textAlignment w:val="center"/>
              <w:rPr>
                <w:sz w:val="24"/>
                <w:szCs w:val="24"/>
              </w:rPr>
            </w:pPr>
            <w:r>
              <w:rPr>
                <w:sz w:val="24"/>
                <w:szCs w:val="24"/>
              </w:rPr>
              <w:t>2、文明施工安全保障措施方案，如施工人员、车辆、进出的管理，施工过程中对环境卫生的清洁管理，如何在施工中保障小区人员的安全，优的7-10分，良好的4-6分，一般化的1-3分，最高10分。</w:t>
            </w:r>
          </w:p>
          <w:p>
            <w:pPr>
              <w:autoSpaceDN w:val="0"/>
              <w:spacing w:line="360" w:lineRule="exact"/>
              <w:rPr>
                <w:rFonts w:ascii="宋体"/>
                <w:spacing w:val="2"/>
                <w:sz w:val="24"/>
                <w:szCs w:val="24"/>
              </w:rPr>
            </w:pPr>
          </w:p>
        </w:tc>
        <w:tc>
          <w:tcPr>
            <w:tcW w:w="1043" w:type="dxa"/>
          </w:tcPr>
          <w:p>
            <w:pPr>
              <w:autoSpaceDN w:val="0"/>
              <w:spacing w:line="360" w:lineRule="exact"/>
              <w:rPr>
                <w:rFonts w:ascii="宋体"/>
                <w:spacing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atLeast"/>
        </w:trPr>
        <w:tc>
          <w:tcPr>
            <w:tcW w:w="1345" w:type="dxa"/>
          </w:tcPr>
          <w:p>
            <w:pPr>
              <w:autoSpaceDN w:val="0"/>
              <w:rPr>
                <w:rFonts w:ascii="宋体" w:cs="宋体"/>
                <w:sz w:val="24"/>
                <w:szCs w:val="24"/>
              </w:rPr>
            </w:pPr>
          </w:p>
          <w:p>
            <w:pPr>
              <w:autoSpaceDN w:val="0"/>
              <w:rPr>
                <w:rFonts w:ascii="宋体" w:cs="宋体"/>
                <w:sz w:val="24"/>
                <w:szCs w:val="24"/>
              </w:rPr>
            </w:pPr>
          </w:p>
          <w:p>
            <w:pPr>
              <w:autoSpaceDN w:val="0"/>
              <w:rPr>
                <w:sz w:val="24"/>
                <w:szCs w:val="24"/>
              </w:rPr>
            </w:pPr>
            <w:r>
              <w:rPr>
                <w:rFonts w:hint="eastAsia" w:ascii="宋体" w:cs="宋体"/>
                <w:sz w:val="24"/>
                <w:szCs w:val="24"/>
              </w:rPr>
              <w:t>近</w:t>
            </w:r>
            <w:r>
              <w:rPr>
                <w:rFonts w:ascii="宋体" w:cs="宋体"/>
                <w:sz w:val="24"/>
                <w:szCs w:val="24"/>
              </w:rPr>
              <w:t>5</w:t>
            </w:r>
            <w:r>
              <w:rPr>
                <w:rFonts w:hint="eastAsia" w:ascii="宋体" w:cs="宋体"/>
                <w:sz w:val="24"/>
                <w:szCs w:val="24"/>
              </w:rPr>
              <w:t>年业绩</w:t>
            </w:r>
          </w:p>
          <w:p>
            <w:pPr>
              <w:autoSpaceDN w:val="0"/>
              <w:spacing w:line="360" w:lineRule="exact"/>
              <w:rPr>
                <w:rFonts w:ascii="宋体"/>
                <w:spacing w:val="2"/>
                <w:sz w:val="24"/>
                <w:szCs w:val="24"/>
              </w:rPr>
            </w:pPr>
          </w:p>
        </w:tc>
        <w:tc>
          <w:tcPr>
            <w:tcW w:w="606" w:type="dxa"/>
          </w:tcPr>
          <w:p>
            <w:pPr>
              <w:autoSpaceDN w:val="0"/>
              <w:spacing w:line="360" w:lineRule="exact"/>
              <w:rPr>
                <w:rFonts w:ascii="宋体"/>
                <w:spacing w:val="2"/>
                <w:sz w:val="32"/>
                <w:szCs w:val="32"/>
              </w:rPr>
            </w:pPr>
          </w:p>
          <w:p>
            <w:pPr>
              <w:autoSpaceDN w:val="0"/>
              <w:spacing w:line="360" w:lineRule="exact"/>
              <w:rPr>
                <w:rFonts w:ascii="宋体"/>
                <w:spacing w:val="2"/>
                <w:sz w:val="32"/>
                <w:szCs w:val="32"/>
              </w:rPr>
            </w:pPr>
          </w:p>
          <w:p>
            <w:pPr>
              <w:autoSpaceDN w:val="0"/>
              <w:spacing w:line="360" w:lineRule="exact"/>
              <w:rPr>
                <w:rFonts w:ascii="宋体"/>
                <w:spacing w:val="2"/>
                <w:sz w:val="32"/>
                <w:szCs w:val="32"/>
              </w:rPr>
            </w:pPr>
            <w:r>
              <w:rPr>
                <w:rFonts w:ascii="宋体"/>
                <w:spacing w:val="2"/>
                <w:sz w:val="32"/>
                <w:szCs w:val="32"/>
              </w:rPr>
              <w:t>5</w:t>
            </w:r>
          </w:p>
        </w:tc>
        <w:tc>
          <w:tcPr>
            <w:tcW w:w="5528" w:type="dxa"/>
          </w:tcPr>
          <w:p>
            <w:pPr>
              <w:widowControl/>
              <w:autoSpaceDN w:val="0"/>
              <w:textAlignment w:val="center"/>
              <w:rPr>
                <w:sz w:val="24"/>
                <w:szCs w:val="24"/>
              </w:rPr>
            </w:pPr>
            <w:r>
              <w:rPr>
                <w:rFonts w:hint="eastAsia" w:ascii="宋体" w:cs="宋体"/>
                <w:sz w:val="24"/>
                <w:szCs w:val="24"/>
              </w:rPr>
              <w:t>提供近5年（2019年1月1日至</w:t>
            </w:r>
            <w:r>
              <w:rPr>
                <w:rFonts w:ascii="宋体" w:cs="宋体"/>
                <w:sz w:val="24"/>
                <w:szCs w:val="24"/>
              </w:rPr>
              <w:t>2023年4月12日</w:t>
            </w:r>
            <w:r>
              <w:rPr>
                <w:rFonts w:hint="eastAsia" w:ascii="宋体" w:cs="宋体"/>
                <w:sz w:val="24"/>
                <w:szCs w:val="24"/>
              </w:rPr>
              <w:t>，以合同签订时间为准）</w:t>
            </w:r>
            <w:r>
              <w:rPr>
                <w:rFonts w:ascii="宋体" w:cs="宋体"/>
                <w:sz w:val="24"/>
                <w:szCs w:val="24"/>
              </w:rPr>
              <w:t>50</w:t>
            </w:r>
            <w:r>
              <w:rPr>
                <w:rFonts w:hint="eastAsia" w:ascii="宋体" w:cs="宋体"/>
                <w:sz w:val="24"/>
                <w:szCs w:val="24"/>
              </w:rPr>
              <w:t>万及以上的</w:t>
            </w:r>
            <w:r>
              <w:rPr>
                <w:rFonts w:ascii="宋体" w:cs="宋体"/>
                <w:sz w:val="24"/>
                <w:szCs w:val="24"/>
              </w:rPr>
              <w:t>电力供电工程</w:t>
            </w:r>
            <w:r>
              <w:rPr>
                <w:rFonts w:hint="eastAsia" w:ascii="宋体" w:cs="宋体"/>
                <w:sz w:val="24"/>
                <w:szCs w:val="24"/>
              </w:rPr>
              <w:t>项目施工合同，每提供一份得1分，最高</w:t>
            </w:r>
            <w:r>
              <w:rPr>
                <w:rFonts w:ascii="宋体" w:cs="宋体"/>
                <w:sz w:val="24"/>
                <w:szCs w:val="24"/>
              </w:rPr>
              <w:t>5</w:t>
            </w:r>
            <w:r>
              <w:rPr>
                <w:rFonts w:hint="eastAsia" w:ascii="宋体" w:cs="宋体"/>
                <w:sz w:val="24"/>
                <w:szCs w:val="24"/>
              </w:rPr>
              <w:t>分。</w:t>
            </w:r>
          </w:p>
          <w:p>
            <w:pPr>
              <w:autoSpaceDN w:val="0"/>
              <w:spacing w:line="360" w:lineRule="exact"/>
              <w:rPr>
                <w:rFonts w:ascii="宋体"/>
                <w:spacing w:val="2"/>
                <w:sz w:val="24"/>
                <w:szCs w:val="24"/>
              </w:rPr>
            </w:pPr>
          </w:p>
        </w:tc>
        <w:tc>
          <w:tcPr>
            <w:tcW w:w="1043" w:type="dxa"/>
          </w:tcPr>
          <w:p>
            <w:pPr>
              <w:autoSpaceDN w:val="0"/>
              <w:spacing w:line="360" w:lineRule="exact"/>
              <w:rPr>
                <w:rFonts w:ascii="宋体"/>
                <w:spacing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2" w:hRule="atLeast"/>
        </w:trPr>
        <w:tc>
          <w:tcPr>
            <w:tcW w:w="1345" w:type="dxa"/>
          </w:tcPr>
          <w:p>
            <w:pPr>
              <w:autoSpaceDN w:val="0"/>
              <w:rPr>
                <w:rFonts w:ascii="宋体" w:cs="宋体"/>
                <w:sz w:val="24"/>
                <w:szCs w:val="24"/>
              </w:rPr>
            </w:pPr>
          </w:p>
          <w:p>
            <w:pPr>
              <w:autoSpaceDN w:val="0"/>
              <w:jc w:val="center"/>
              <w:rPr>
                <w:rFonts w:ascii="宋体" w:cs="宋体"/>
                <w:sz w:val="24"/>
                <w:szCs w:val="24"/>
              </w:rPr>
            </w:pPr>
          </w:p>
          <w:p>
            <w:pPr>
              <w:autoSpaceDN w:val="0"/>
              <w:rPr>
                <w:rFonts w:ascii="宋体" w:cs="宋体"/>
                <w:sz w:val="24"/>
                <w:szCs w:val="24"/>
              </w:rPr>
            </w:pPr>
          </w:p>
          <w:p>
            <w:pPr>
              <w:autoSpaceDN w:val="0"/>
              <w:rPr>
                <w:rFonts w:ascii="宋体" w:cs="宋体"/>
                <w:sz w:val="24"/>
                <w:szCs w:val="24"/>
              </w:rPr>
            </w:pPr>
            <w:r>
              <w:rPr>
                <w:rFonts w:hint="eastAsia" w:ascii="宋体" w:cs="宋体"/>
                <w:sz w:val="24"/>
                <w:szCs w:val="24"/>
              </w:rPr>
              <w:t>售后服务</w:t>
            </w:r>
          </w:p>
          <w:p>
            <w:pPr>
              <w:autoSpaceDN w:val="0"/>
              <w:rPr>
                <w:sz w:val="24"/>
                <w:szCs w:val="24"/>
              </w:rPr>
            </w:pPr>
          </w:p>
          <w:p>
            <w:pPr>
              <w:autoSpaceDN w:val="0"/>
              <w:spacing w:line="360" w:lineRule="exact"/>
              <w:rPr>
                <w:rFonts w:ascii="宋体"/>
                <w:spacing w:val="2"/>
                <w:sz w:val="24"/>
                <w:szCs w:val="24"/>
              </w:rPr>
            </w:pPr>
          </w:p>
        </w:tc>
        <w:tc>
          <w:tcPr>
            <w:tcW w:w="606" w:type="dxa"/>
          </w:tcPr>
          <w:p>
            <w:pPr>
              <w:autoSpaceDN w:val="0"/>
              <w:spacing w:line="360" w:lineRule="exact"/>
              <w:rPr>
                <w:rFonts w:ascii="宋体"/>
                <w:spacing w:val="2"/>
                <w:sz w:val="32"/>
                <w:szCs w:val="32"/>
              </w:rPr>
            </w:pPr>
          </w:p>
          <w:p>
            <w:pPr>
              <w:autoSpaceDN w:val="0"/>
              <w:spacing w:line="360" w:lineRule="exact"/>
              <w:rPr>
                <w:rFonts w:ascii="宋体"/>
                <w:spacing w:val="2"/>
                <w:sz w:val="32"/>
                <w:szCs w:val="32"/>
              </w:rPr>
            </w:pPr>
          </w:p>
          <w:p>
            <w:pPr>
              <w:autoSpaceDN w:val="0"/>
              <w:spacing w:line="360" w:lineRule="exact"/>
              <w:rPr>
                <w:rFonts w:ascii="宋体"/>
                <w:spacing w:val="2"/>
                <w:sz w:val="32"/>
                <w:szCs w:val="32"/>
              </w:rPr>
            </w:pPr>
          </w:p>
          <w:p>
            <w:pPr>
              <w:autoSpaceDN w:val="0"/>
              <w:spacing w:line="360" w:lineRule="exact"/>
              <w:rPr>
                <w:rFonts w:ascii="宋体"/>
                <w:spacing w:val="2"/>
                <w:sz w:val="32"/>
                <w:szCs w:val="32"/>
              </w:rPr>
            </w:pPr>
            <w:r>
              <w:rPr>
                <w:rFonts w:ascii="宋体"/>
                <w:spacing w:val="2"/>
                <w:sz w:val="32"/>
                <w:szCs w:val="32"/>
              </w:rPr>
              <w:t>5</w:t>
            </w:r>
          </w:p>
          <w:p>
            <w:pPr>
              <w:autoSpaceDN w:val="0"/>
              <w:spacing w:line="360" w:lineRule="exact"/>
              <w:rPr>
                <w:rFonts w:ascii="宋体"/>
                <w:spacing w:val="2"/>
                <w:sz w:val="32"/>
                <w:szCs w:val="32"/>
              </w:rPr>
            </w:pPr>
          </w:p>
        </w:tc>
        <w:tc>
          <w:tcPr>
            <w:tcW w:w="5528" w:type="dxa"/>
          </w:tcPr>
          <w:p>
            <w:pPr>
              <w:autoSpaceDN w:val="0"/>
              <w:spacing w:line="320" w:lineRule="exact"/>
              <w:jc w:val="left"/>
              <w:rPr>
                <w:rFonts w:ascii="宋体" w:cs="宋体"/>
                <w:sz w:val="24"/>
                <w:szCs w:val="24"/>
              </w:rPr>
            </w:pPr>
            <w:r>
              <w:rPr>
                <w:rFonts w:hint="eastAsia" w:ascii="宋体" w:cs="宋体"/>
                <w:sz w:val="24"/>
                <w:szCs w:val="24"/>
              </w:rPr>
              <w:t>1、对投标人提供的售后服务评审：依据投标人所投的故障响应时间、固定售后服务机构地理位置、售后服务能力、接到报修后详细的故障响应方案等内容；投标人的投标文件中需提供相应的证明资料，评委会根据投标人提供的售后服务地理位置、响应时间、服务能力评审。优的，得</w:t>
            </w:r>
            <w:r>
              <w:rPr>
                <w:rFonts w:ascii="宋体" w:cs="宋体"/>
                <w:sz w:val="24"/>
                <w:szCs w:val="24"/>
              </w:rPr>
              <w:t>3</w:t>
            </w:r>
            <w:r>
              <w:rPr>
                <w:rFonts w:hint="eastAsia" w:ascii="宋体" w:cs="宋体"/>
                <w:sz w:val="24"/>
                <w:szCs w:val="24"/>
              </w:rPr>
              <w:t>分；良的，得</w:t>
            </w:r>
            <w:r>
              <w:rPr>
                <w:rFonts w:ascii="宋体" w:cs="宋体"/>
                <w:sz w:val="24"/>
                <w:szCs w:val="24"/>
              </w:rPr>
              <w:t>2</w:t>
            </w:r>
            <w:r>
              <w:rPr>
                <w:rFonts w:hint="eastAsia" w:ascii="宋体" w:cs="宋体"/>
                <w:sz w:val="24"/>
                <w:szCs w:val="24"/>
              </w:rPr>
              <w:t>分；一般的，得</w:t>
            </w:r>
            <w:r>
              <w:rPr>
                <w:rFonts w:ascii="宋体" w:cs="宋体"/>
                <w:sz w:val="24"/>
                <w:szCs w:val="24"/>
              </w:rPr>
              <w:t>1</w:t>
            </w:r>
            <w:r>
              <w:rPr>
                <w:rFonts w:hint="eastAsia" w:ascii="宋体" w:cs="宋体"/>
                <w:sz w:val="24"/>
                <w:szCs w:val="24"/>
              </w:rPr>
              <w:t>分；最多得</w:t>
            </w:r>
            <w:r>
              <w:rPr>
                <w:rFonts w:ascii="宋体" w:cs="宋体"/>
                <w:sz w:val="24"/>
                <w:szCs w:val="24"/>
              </w:rPr>
              <w:t>3</w:t>
            </w:r>
            <w:r>
              <w:rPr>
                <w:rFonts w:hint="eastAsia" w:ascii="宋体" w:cs="宋体"/>
                <w:sz w:val="24"/>
                <w:szCs w:val="24"/>
              </w:rPr>
              <w:t>分。</w:t>
            </w:r>
          </w:p>
          <w:p>
            <w:pPr>
              <w:autoSpaceDN w:val="0"/>
              <w:spacing w:line="320" w:lineRule="exact"/>
              <w:jc w:val="left"/>
              <w:rPr>
                <w:sz w:val="24"/>
                <w:szCs w:val="24"/>
              </w:rPr>
            </w:pPr>
            <w:r>
              <w:rPr>
                <w:rFonts w:hint="eastAsia" w:ascii="宋体" w:cs="宋体"/>
                <w:sz w:val="24"/>
                <w:szCs w:val="24"/>
              </w:rPr>
              <w:t>2、投标人承诺的免费质保期在合同1年的基础上，每增加1年，得</w:t>
            </w:r>
            <w:r>
              <w:rPr>
                <w:rFonts w:ascii="宋体" w:cs="宋体"/>
                <w:sz w:val="24"/>
                <w:szCs w:val="24"/>
              </w:rPr>
              <w:t>1</w:t>
            </w:r>
            <w:r>
              <w:rPr>
                <w:rFonts w:hint="eastAsia" w:ascii="宋体" w:cs="宋体"/>
                <w:sz w:val="24"/>
                <w:szCs w:val="24"/>
              </w:rPr>
              <w:t>分，最多得</w:t>
            </w:r>
            <w:r>
              <w:rPr>
                <w:rFonts w:ascii="宋体" w:cs="宋体"/>
                <w:sz w:val="24"/>
                <w:szCs w:val="24"/>
              </w:rPr>
              <w:t>2</w:t>
            </w:r>
            <w:r>
              <w:rPr>
                <w:rFonts w:hint="eastAsia" w:ascii="宋体" w:cs="宋体"/>
                <w:sz w:val="24"/>
                <w:szCs w:val="24"/>
              </w:rPr>
              <w:t>分。</w:t>
            </w:r>
          </w:p>
          <w:p>
            <w:pPr>
              <w:autoSpaceDN w:val="0"/>
              <w:spacing w:line="360" w:lineRule="exact"/>
              <w:rPr>
                <w:rFonts w:ascii="宋体"/>
                <w:spacing w:val="2"/>
                <w:sz w:val="24"/>
                <w:szCs w:val="24"/>
              </w:rPr>
            </w:pPr>
          </w:p>
        </w:tc>
        <w:tc>
          <w:tcPr>
            <w:tcW w:w="1043" w:type="dxa"/>
          </w:tcPr>
          <w:p>
            <w:pPr>
              <w:autoSpaceDN w:val="0"/>
              <w:spacing w:line="360" w:lineRule="exact"/>
              <w:rPr>
                <w:rFonts w:ascii="宋体"/>
                <w:spacing w:val="2"/>
                <w:sz w:val="24"/>
                <w:szCs w:val="24"/>
              </w:rPr>
            </w:pPr>
          </w:p>
        </w:tc>
      </w:tr>
    </w:tbl>
    <w:p>
      <w:pPr>
        <w:autoSpaceDN w:val="0"/>
        <w:spacing w:line="360" w:lineRule="exact"/>
        <w:rPr>
          <w:rFonts w:ascii="宋体"/>
          <w:spacing w:val="2"/>
          <w:sz w:val="32"/>
          <w:szCs w:val="32"/>
        </w:rPr>
      </w:pPr>
    </w:p>
    <w:p>
      <w:pPr>
        <w:ind w:firstLine="723" w:firstLineChars="200"/>
        <w:jc w:val="center"/>
        <w:rPr>
          <w:rFonts w:hint="eastAsia" w:asciiTheme="majorEastAsia" w:hAnsiTheme="majorEastAsia" w:eastAsiaTheme="majorEastAsia" w:cstheme="majorEastAsia"/>
          <w:b/>
          <w:sz w:val="36"/>
          <w:szCs w:val="36"/>
        </w:rPr>
      </w:pPr>
    </w:p>
    <w:p>
      <w:pPr>
        <w:ind w:firstLine="723" w:firstLineChars="200"/>
        <w:jc w:val="center"/>
        <w:rPr>
          <w:rFonts w:hint="eastAsia" w:asciiTheme="majorEastAsia" w:hAnsiTheme="majorEastAsia" w:eastAsiaTheme="majorEastAsia" w:cstheme="majorEastAsia"/>
          <w:b/>
          <w:sz w:val="36"/>
          <w:szCs w:val="36"/>
        </w:rPr>
      </w:pPr>
    </w:p>
    <w:p>
      <w:pPr>
        <w:ind w:firstLine="723" w:firstLineChars="200"/>
        <w:jc w:val="center"/>
        <w:rPr>
          <w:rFonts w:hint="eastAsia" w:asciiTheme="majorEastAsia" w:hAnsiTheme="majorEastAsia" w:eastAsiaTheme="majorEastAsia" w:cstheme="majorEastAsia"/>
          <w:b/>
          <w:sz w:val="36"/>
          <w:szCs w:val="36"/>
        </w:rPr>
      </w:pPr>
    </w:p>
    <w:p>
      <w:pPr>
        <w:ind w:firstLine="723" w:firstLineChars="200"/>
        <w:jc w:val="center"/>
        <w:rPr>
          <w:rFonts w:hint="eastAsia" w:asciiTheme="majorEastAsia" w:hAnsiTheme="majorEastAsia" w:eastAsiaTheme="majorEastAsia" w:cstheme="majorEastAsia"/>
          <w:b/>
          <w:sz w:val="36"/>
          <w:szCs w:val="36"/>
        </w:rPr>
      </w:pPr>
    </w:p>
    <w:p>
      <w:pPr>
        <w:ind w:firstLine="723" w:firstLineChars="200"/>
        <w:jc w:val="center"/>
        <w:rPr>
          <w:rFonts w:hint="eastAsia" w:asciiTheme="majorEastAsia" w:hAnsiTheme="majorEastAsia" w:eastAsiaTheme="majorEastAsia" w:cstheme="majorEastAsia"/>
          <w:b/>
          <w:sz w:val="36"/>
          <w:szCs w:val="36"/>
        </w:rPr>
      </w:pPr>
    </w:p>
    <w:p>
      <w:pPr>
        <w:ind w:firstLine="723" w:firstLineChars="200"/>
        <w:jc w:val="center"/>
        <w:rPr>
          <w:rFonts w:hint="eastAsia" w:asciiTheme="majorEastAsia" w:hAnsiTheme="majorEastAsia" w:eastAsiaTheme="majorEastAsia" w:cstheme="majorEastAsia"/>
          <w:b/>
          <w:sz w:val="36"/>
          <w:szCs w:val="36"/>
        </w:rPr>
      </w:pPr>
    </w:p>
    <w:p>
      <w:pPr>
        <w:ind w:firstLine="723" w:firstLineChars="200"/>
        <w:jc w:val="center"/>
        <w:rPr>
          <w:rFonts w:hint="eastAsia" w:ascii="华文中宋" w:hAnsi="华文中宋" w:eastAsia="华文中宋"/>
          <w:b/>
          <w:sz w:val="36"/>
          <w:szCs w:val="36"/>
        </w:rPr>
      </w:pPr>
      <w:r>
        <w:rPr>
          <w:rFonts w:hint="eastAsia" w:asciiTheme="majorEastAsia" w:hAnsiTheme="majorEastAsia" w:eastAsiaTheme="majorEastAsia" w:cstheme="majorEastAsia"/>
          <w:b/>
          <w:sz w:val="36"/>
          <w:szCs w:val="36"/>
        </w:rPr>
        <w:t xml:space="preserve">第七章  </w:t>
      </w:r>
      <w:bookmarkStart w:id="111" w:name="_Toc403987220"/>
      <w:r>
        <w:rPr>
          <w:rFonts w:hint="eastAsia" w:asciiTheme="majorEastAsia" w:hAnsiTheme="majorEastAsia" w:eastAsiaTheme="majorEastAsia" w:cstheme="majorEastAsia"/>
          <w:b/>
          <w:sz w:val="36"/>
          <w:szCs w:val="36"/>
        </w:rPr>
        <w:t>响应文件格式</w:t>
      </w:r>
      <w:bookmarkEnd w:id="110"/>
      <w:bookmarkEnd w:id="111"/>
    </w:p>
    <w:p>
      <w:pPr>
        <w:ind w:firstLine="1446" w:firstLineChars="200"/>
        <w:jc w:val="center"/>
        <w:rPr>
          <w:rFonts w:hint="eastAsia" w:hAnsi="宋体"/>
          <w:b/>
          <w:sz w:val="72"/>
        </w:rPr>
      </w:pPr>
      <w:bookmarkStart w:id="112" w:name="_Hlt26671244"/>
      <w:bookmarkEnd w:id="112"/>
      <w:bookmarkStart w:id="113" w:name="_Hlt26955039"/>
      <w:bookmarkEnd w:id="113"/>
      <w:bookmarkStart w:id="114" w:name="_Toc120614282"/>
      <w:bookmarkStart w:id="115" w:name="_Toc49090576"/>
      <w:bookmarkStart w:id="116" w:name="_Toc26554094"/>
    </w:p>
    <w:p>
      <w:pPr>
        <w:ind w:firstLine="1446" w:firstLineChars="200"/>
        <w:jc w:val="center"/>
        <w:rPr>
          <w:rFonts w:hint="eastAsia" w:hAnsi="宋体"/>
          <w:b/>
          <w:sz w:val="72"/>
        </w:rPr>
      </w:pPr>
    </w:p>
    <w:p>
      <w:pPr>
        <w:ind w:firstLine="1446" w:firstLineChars="200"/>
        <w:jc w:val="center"/>
        <w:rPr>
          <w:rFonts w:hAnsi="宋体"/>
          <w:b/>
          <w:sz w:val="72"/>
        </w:rPr>
      </w:pPr>
      <w:r>
        <w:rPr>
          <w:rFonts w:hint="eastAsia" w:hAnsi="宋体"/>
          <w:b/>
          <w:sz w:val="72"/>
        </w:rPr>
        <w:t>响  应  文  件</w:t>
      </w:r>
    </w:p>
    <w:p>
      <w:pPr>
        <w:ind w:left="1016" w:firstLine="723" w:firstLineChars="200"/>
        <w:rPr>
          <w:rFonts w:hAnsi="宋体"/>
          <w:b/>
          <w:sz w:val="36"/>
        </w:rPr>
      </w:pPr>
      <w:r>
        <w:rPr>
          <w:rFonts w:hint="eastAsia" w:hAnsi="宋体"/>
          <w:b/>
          <w:sz w:val="36"/>
        </w:rPr>
        <w:t>项 目 名 称：</w:t>
      </w:r>
      <w:r>
        <w:rPr>
          <w:rFonts w:hint="eastAsia" w:hAnsi="宋体"/>
          <w:b/>
          <w:sz w:val="36"/>
          <w:u w:val="single"/>
        </w:rPr>
        <w:t xml:space="preserve">               </w:t>
      </w:r>
    </w:p>
    <w:p>
      <w:pPr>
        <w:ind w:left="1016" w:firstLine="723" w:firstLineChars="200"/>
        <w:rPr>
          <w:rFonts w:hAnsi="宋体"/>
          <w:b/>
          <w:sz w:val="36"/>
          <w:u w:val="single"/>
        </w:rPr>
      </w:pPr>
      <w:r>
        <w:rPr>
          <w:rFonts w:hint="eastAsia" w:hAnsi="宋体"/>
          <w:b/>
          <w:sz w:val="36"/>
        </w:rPr>
        <w:t>项 目 编 号：</w:t>
      </w:r>
      <w:r>
        <w:rPr>
          <w:rFonts w:hint="eastAsia" w:hAnsi="宋体"/>
          <w:b/>
          <w:sz w:val="36"/>
          <w:u w:val="single"/>
        </w:rPr>
        <w:t xml:space="preserve">               </w:t>
      </w:r>
    </w:p>
    <w:p>
      <w:pPr>
        <w:ind w:firstLine="1807" w:firstLineChars="50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firstLine="1807" w:firstLineChars="500"/>
        <w:rPr>
          <w:rFonts w:hAnsi="宋体"/>
          <w:b/>
          <w:sz w:val="36"/>
        </w:rPr>
      </w:pPr>
      <w:r>
        <w:rPr>
          <w:rFonts w:hint="eastAsia" w:hAnsi="宋体"/>
          <w:b/>
          <w:sz w:val="36"/>
        </w:rPr>
        <w:t>日      期 ：</w:t>
      </w:r>
      <w:r>
        <w:rPr>
          <w:rFonts w:hint="eastAsia" w:hAnsi="宋体"/>
          <w:b/>
          <w:sz w:val="36"/>
          <w:u w:val="single"/>
        </w:rPr>
        <w:t xml:space="preserve">               </w:t>
      </w:r>
    </w:p>
    <w:bookmarkEnd w:id="114"/>
    <w:bookmarkEnd w:id="115"/>
    <w:bookmarkEnd w:id="116"/>
    <w:p>
      <w:pPr>
        <w:spacing w:line="440" w:lineRule="exact"/>
        <w:ind w:firstLine="643" w:firstLineChars="200"/>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tabs>
          <w:tab w:val="left" w:pos="5580"/>
        </w:tabs>
        <w:adjustRightInd w:val="0"/>
        <w:snapToGrid w:val="0"/>
        <w:spacing w:line="360" w:lineRule="auto"/>
        <w:ind w:firstLine="482" w:firstLineChars="200"/>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ind w:firstLine="482" w:firstLineChars="200"/>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ind w:firstLine="482" w:firstLineChars="200"/>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ind w:firstLine="482" w:firstLineChars="200"/>
        <w:jc w:val="left"/>
        <w:rPr>
          <w:rFonts w:hAnsi="宋体"/>
          <w:b/>
          <w:sz w:val="24"/>
          <w:szCs w:val="24"/>
        </w:rPr>
      </w:pPr>
      <w:r>
        <w:rPr>
          <w:rFonts w:hint="eastAsia" w:hAnsi="宋体"/>
          <w:b/>
          <w:sz w:val="24"/>
          <w:szCs w:val="24"/>
        </w:rPr>
        <w:t>四、磋商函格式</w:t>
      </w:r>
    </w:p>
    <w:p>
      <w:pPr>
        <w:adjustRightInd w:val="0"/>
        <w:snapToGrid w:val="0"/>
        <w:spacing w:line="360" w:lineRule="auto"/>
        <w:ind w:firstLine="482" w:firstLineChars="200"/>
        <w:rPr>
          <w:rFonts w:ascii="宋体" w:hAnsi="宋体"/>
          <w:b/>
          <w:sz w:val="24"/>
          <w:szCs w:val="24"/>
        </w:rPr>
      </w:pPr>
      <w:r>
        <w:rPr>
          <w:rFonts w:hint="eastAsia" w:ascii="宋体" w:hAnsi="宋体"/>
          <w:b/>
          <w:sz w:val="24"/>
          <w:szCs w:val="24"/>
        </w:rPr>
        <w:t>五、</w:t>
      </w:r>
      <w:r>
        <w:rPr>
          <w:rFonts w:hint="eastAsia" w:ascii="宋体" w:hAnsi="宋体"/>
          <w:b/>
          <w:sz w:val="24"/>
          <w:szCs w:val="24"/>
          <w:lang w:val="en-US" w:eastAsia="zh-CN"/>
        </w:rPr>
        <w:t>分部分项工程量清单综合单价分析</w:t>
      </w:r>
      <w:r>
        <w:rPr>
          <w:rFonts w:hint="eastAsia" w:ascii="宋体" w:hAnsi="宋体"/>
          <w:b/>
          <w:sz w:val="24"/>
          <w:szCs w:val="24"/>
        </w:rPr>
        <w:t>表</w:t>
      </w:r>
    </w:p>
    <w:p>
      <w:pPr>
        <w:adjustRightInd w:val="0"/>
        <w:snapToGrid w:val="0"/>
        <w:spacing w:line="360" w:lineRule="auto"/>
        <w:ind w:firstLine="482" w:firstLineChars="200"/>
        <w:rPr>
          <w:rFonts w:ascii="宋体" w:hAnsi="宋体"/>
          <w:b/>
          <w:sz w:val="24"/>
          <w:szCs w:val="24"/>
        </w:rPr>
      </w:pPr>
      <w:r>
        <w:rPr>
          <w:rFonts w:hint="eastAsia" w:ascii="宋体" w:hAnsi="宋体"/>
          <w:b/>
          <w:sz w:val="24"/>
          <w:szCs w:val="24"/>
        </w:rPr>
        <w:t>六、施工方案</w:t>
      </w:r>
    </w:p>
    <w:p>
      <w:pPr>
        <w:adjustRightInd w:val="0"/>
        <w:snapToGrid w:val="0"/>
        <w:spacing w:line="360" w:lineRule="auto"/>
        <w:ind w:firstLine="482" w:firstLineChars="200"/>
        <w:rPr>
          <w:rFonts w:ascii="宋体" w:hAnsi="宋体"/>
          <w:b/>
          <w:sz w:val="24"/>
          <w:szCs w:val="24"/>
        </w:rPr>
      </w:pPr>
      <w:r>
        <w:rPr>
          <w:rFonts w:hint="eastAsia" w:ascii="宋体" w:hAnsi="宋体"/>
          <w:b/>
          <w:sz w:val="24"/>
          <w:szCs w:val="24"/>
        </w:rPr>
        <w:t>七、投标人需要提供的其它材料</w:t>
      </w:r>
    </w:p>
    <w:p>
      <w:pPr>
        <w:ind w:firstLine="480" w:firstLineChars="200"/>
        <w:jc w:val="center"/>
        <w:rPr>
          <w:rFonts w:hAnsi="宋体"/>
          <w:sz w:val="24"/>
        </w:rPr>
      </w:pPr>
      <w:r>
        <w:rPr>
          <w:rFonts w:hAnsi="宋体"/>
          <w:sz w:val="24"/>
        </w:rPr>
        <w:br w:type="page"/>
      </w:r>
    </w:p>
    <w:p>
      <w:pPr>
        <w:snapToGrid w:val="0"/>
        <w:spacing w:before="50" w:after="50" w:line="360" w:lineRule="auto"/>
        <w:ind w:firstLine="538" w:firstLineChars="200"/>
        <w:jc w:val="center"/>
        <w:rPr>
          <w:rFonts w:hint="eastAsia" w:ascii="宋体" w:hAnsi="宋体" w:eastAsia="宋体" w:cs="宋体"/>
          <w:b/>
          <w:spacing w:val="-6"/>
          <w:szCs w:val="28"/>
        </w:rPr>
      </w:pPr>
      <w:r>
        <w:rPr>
          <w:rFonts w:hint="eastAsia" w:ascii="宋体" w:hAnsi="宋体" w:eastAsia="宋体" w:cs="宋体"/>
          <w:b/>
          <w:spacing w:val="-6"/>
          <w:szCs w:val="28"/>
        </w:rPr>
        <w:t>一、开标一览表</w:t>
      </w:r>
    </w:p>
    <w:p>
      <w:pPr>
        <w:snapToGrid w:val="0"/>
        <w:spacing w:before="50" w:after="50" w:line="360" w:lineRule="auto"/>
        <w:ind w:firstLine="456" w:firstLineChars="200"/>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ind w:firstLine="456" w:firstLineChars="200"/>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7"/>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eastAsia="宋体" w:cs="Times New Roman"/>
                <w:lang w:eastAsia="zh-CN"/>
              </w:rPr>
              <w:t xml:space="preserve">皖南医学院赭麓校区供电线路维修改造工程项目项目    </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ind w:firstLine="456" w:firstLineChars="20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ind w:firstLine="456" w:firstLineChars="20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202" w:leftChars="-72" w:right="-1089" w:rightChars="-389" w:firstLine="456" w:firstLineChars="200"/>
        <w:rPr>
          <w:rFonts w:ascii="宋体" w:hAnsi="宋体"/>
          <w:spacing w:val="-6"/>
          <w:sz w:val="24"/>
          <w:szCs w:val="24"/>
        </w:rPr>
      </w:pPr>
      <w:r>
        <w:rPr>
          <w:rFonts w:hint="eastAsia" w:ascii="宋体" w:hAnsi="宋体"/>
          <w:spacing w:val="-6"/>
          <w:sz w:val="24"/>
          <w:szCs w:val="24"/>
        </w:rPr>
        <w:t>授权代表签字：</w:t>
      </w:r>
    </w:p>
    <w:p>
      <w:pPr>
        <w:ind w:firstLine="456" w:firstLineChars="200"/>
        <w:jc w:val="center"/>
        <w:rPr>
          <w:rFonts w:hAnsi="宋体"/>
          <w:sz w:val="24"/>
          <w:szCs w:val="24"/>
        </w:rPr>
      </w:pPr>
      <w:r>
        <w:rPr>
          <w:rFonts w:hint="eastAsia" w:ascii="宋体" w:hAnsi="宋体"/>
          <w:spacing w:val="-6"/>
          <w:sz w:val="24"/>
          <w:szCs w:val="24"/>
        </w:rPr>
        <w:t>投标人名称（盖章）：                                 日期：    年   月   日</w:t>
      </w:r>
    </w:p>
    <w:p>
      <w:pPr>
        <w:ind w:firstLine="562" w:firstLineChars="200"/>
        <w:jc w:val="center"/>
        <w:rPr>
          <w:rStyle w:val="64"/>
          <w:rFonts w:hint="eastAsia" w:asciiTheme="majorEastAsia" w:hAnsiTheme="majorEastAsia" w:eastAsiaTheme="majorEastAsia" w:cstheme="majorEastAsia"/>
          <w:color w:val="auto"/>
          <w:sz w:val="28"/>
          <w:szCs w:val="28"/>
        </w:rPr>
      </w:pPr>
    </w:p>
    <w:p>
      <w:pPr>
        <w:ind w:firstLine="562" w:firstLineChars="200"/>
        <w:jc w:val="center"/>
        <w:rPr>
          <w:rStyle w:val="64"/>
          <w:rFonts w:hint="eastAsia" w:asciiTheme="majorEastAsia" w:hAnsiTheme="majorEastAsia" w:eastAsiaTheme="majorEastAsia" w:cstheme="majorEastAsia"/>
          <w:color w:val="auto"/>
          <w:sz w:val="28"/>
          <w:szCs w:val="28"/>
        </w:rPr>
      </w:pPr>
    </w:p>
    <w:p>
      <w:pPr>
        <w:ind w:firstLine="562" w:firstLineChars="200"/>
        <w:jc w:val="center"/>
        <w:rPr>
          <w:rStyle w:val="64"/>
          <w:rFonts w:hint="eastAsia" w:asciiTheme="majorEastAsia" w:hAnsiTheme="majorEastAsia" w:eastAsiaTheme="majorEastAsia" w:cstheme="majorEastAsia"/>
          <w:color w:val="auto"/>
          <w:sz w:val="28"/>
          <w:szCs w:val="28"/>
        </w:rPr>
      </w:pPr>
    </w:p>
    <w:p>
      <w:pPr>
        <w:ind w:firstLine="562" w:firstLineChars="200"/>
        <w:jc w:val="center"/>
        <w:rPr>
          <w:rStyle w:val="64"/>
          <w:rFonts w:hint="eastAsia" w:asciiTheme="majorEastAsia" w:hAnsiTheme="majorEastAsia" w:eastAsiaTheme="majorEastAsia" w:cstheme="majorEastAsia"/>
          <w:color w:val="auto"/>
          <w:sz w:val="28"/>
          <w:szCs w:val="28"/>
        </w:rPr>
      </w:pPr>
    </w:p>
    <w:p>
      <w:pPr>
        <w:ind w:firstLine="562" w:firstLineChars="200"/>
        <w:jc w:val="center"/>
        <w:rPr>
          <w:rStyle w:val="64"/>
          <w:rFonts w:hint="eastAsia" w:asciiTheme="majorEastAsia" w:hAnsiTheme="majorEastAsia" w:eastAsiaTheme="majorEastAsia" w:cstheme="majorEastAsia"/>
          <w:color w:val="auto"/>
          <w:sz w:val="28"/>
          <w:szCs w:val="28"/>
        </w:rPr>
      </w:pPr>
    </w:p>
    <w:p>
      <w:pPr>
        <w:ind w:firstLine="562" w:firstLineChars="200"/>
        <w:jc w:val="center"/>
        <w:rPr>
          <w:rStyle w:val="64"/>
          <w:rFonts w:hint="eastAsia" w:asciiTheme="majorEastAsia" w:hAnsiTheme="majorEastAsia" w:eastAsiaTheme="majorEastAsia" w:cstheme="majorEastAsia"/>
          <w:color w:val="auto"/>
          <w:sz w:val="28"/>
          <w:szCs w:val="28"/>
        </w:rPr>
      </w:pPr>
    </w:p>
    <w:p>
      <w:pPr>
        <w:ind w:firstLine="562" w:firstLineChars="200"/>
        <w:jc w:val="center"/>
        <w:rPr>
          <w:rStyle w:val="64"/>
          <w:rFonts w:hint="eastAsia" w:asciiTheme="majorEastAsia" w:hAnsiTheme="majorEastAsia" w:eastAsiaTheme="majorEastAsia" w:cstheme="majorEastAsia"/>
          <w:color w:val="auto"/>
          <w:sz w:val="28"/>
          <w:szCs w:val="28"/>
        </w:rPr>
      </w:pPr>
    </w:p>
    <w:p>
      <w:pPr>
        <w:ind w:firstLine="562" w:firstLineChars="200"/>
        <w:jc w:val="center"/>
        <w:rPr>
          <w:rStyle w:val="64"/>
          <w:rFonts w:hint="eastAsia" w:asciiTheme="majorEastAsia" w:hAnsiTheme="majorEastAsia" w:eastAsiaTheme="majorEastAsia" w:cstheme="majorEastAsia"/>
          <w:color w:val="auto"/>
          <w:sz w:val="28"/>
          <w:szCs w:val="28"/>
        </w:rPr>
      </w:pPr>
    </w:p>
    <w:p>
      <w:pPr>
        <w:jc w:val="both"/>
        <w:rPr>
          <w:rStyle w:val="64"/>
          <w:rFonts w:hint="eastAsia" w:asciiTheme="majorEastAsia" w:hAnsiTheme="majorEastAsia" w:eastAsiaTheme="majorEastAsia" w:cstheme="majorEastAsia"/>
          <w:color w:val="auto"/>
          <w:sz w:val="28"/>
          <w:szCs w:val="28"/>
        </w:rPr>
      </w:pPr>
    </w:p>
    <w:p>
      <w:pPr>
        <w:ind w:firstLine="562" w:firstLineChars="200"/>
        <w:jc w:val="center"/>
        <w:rPr>
          <w:rStyle w:val="64"/>
          <w:rFonts w:hint="eastAsia" w:asciiTheme="majorEastAsia" w:hAnsiTheme="majorEastAsia" w:eastAsiaTheme="majorEastAsia" w:cstheme="majorEastAsia"/>
          <w:color w:val="auto"/>
          <w:sz w:val="28"/>
          <w:szCs w:val="28"/>
        </w:rPr>
      </w:pPr>
    </w:p>
    <w:p>
      <w:pPr>
        <w:ind w:firstLine="562" w:firstLineChars="200"/>
        <w:jc w:val="center"/>
        <w:rPr>
          <w:rStyle w:val="64"/>
          <w:rFonts w:hint="eastAsia" w:asciiTheme="majorEastAsia" w:hAnsiTheme="majorEastAsia" w:eastAsiaTheme="majorEastAsia" w:cstheme="majorEastAsia"/>
          <w:color w:val="auto"/>
          <w:sz w:val="28"/>
          <w:szCs w:val="28"/>
        </w:rPr>
      </w:pPr>
      <w:r>
        <w:rPr>
          <w:rStyle w:val="64"/>
          <w:rFonts w:hint="eastAsia" w:asciiTheme="majorEastAsia" w:hAnsiTheme="majorEastAsia" w:eastAsiaTheme="majorEastAsia" w:cstheme="majorEastAsia"/>
          <w:color w:val="auto"/>
          <w:sz w:val="28"/>
          <w:szCs w:val="28"/>
        </w:rPr>
        <w:t>二、资格性和符合性检查响应对照表</w:t>
      </w:r>
    </w:p>
    <w:p>
      <w:pPr>
        <w:ind w:firstLine="480" w:firstLineChars="200"/>
        <w:rPr>
          <w:rFonts w:hAnsi="宋体"/>
          <w:sz w:val="24"/>
          <w:szCs w:val="24"/>
        </w:rPr>
      </w:pPr>
      <w:r>
        <w:rPr>
          <w:rFonts w:hint="eastAsia" w:hAnsi="宋体"/>
          <w:sz w:val="24"/>
          <w:szCs w:val="24"/>
        </w:rPr>
        <w:t>供应商全称（加盖公章）：</w:t>
      </w:r>
    </w:p>
    <w:tbl>
      <w:tblPr>
        <w:tblStyle w:val="27"/>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ind w:firstLine="482" w:firstLineChars="200"/>
              <w:jc w:val="center"/>
              <w:rPr>
                <w:rFonts w:hAnsi="宋体"/>
                <w:b/>
                <w:sz w:val="24"/>
                <w:szCs w:val="24"/>
              </w:rPr>
            </w:pPr>
            <w:r>
              <w:rPr>
                <w:rFonts w:hint="eastAsia" w:hAnsi="宋体"/>
                <w:b/>
                <w:sz w:val="24"/>
                <w:szCs w:val="24"/>
              </w:rPr>
              <w:t>是否响应</w:t>
            </w:r>
          </w:p>
          <w:p>
            <w:pPr>
              <w:snapToGrid w:val="0"/>
              <w:spacing w:line="240" w:lineRule="atLeast"/>
              <w:ind w:firstLine="482" w:firstLineChars="200"/>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ind w:firstLine="482" w:firstLineChars="200"/>
              <w:jc w:val="center"/>
              <w:rPr>
                <w:rFonts w:hAnsi="宋体"/>
                <w:b/>
                <w:sz w:val="24"/>
                <w:szCs w:val="24"/>
              </w:rPr>
            </w:pPr>
            <w:r>
              <w:rPr>
                <w:rFonts w:hint="eastAsia" w:hAnsi="宋体"/>
                <w:b/>
                <w:sz w:val="24"/>
                <w:szCs w:val="24"/>
              </w:rPr>
              <w:t>响应文件中的</w:t>
            </w:r>
          </w:p>
          <w:p>
            <w:pPr>
              <w:snapToGrid w:val="0"/>
              <w:spacing w:line="240" w:lineRule="atLeast"/>
              <w:ind w:firstLine="482" w:firstLineChars="200"/>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ind w:firstLine="640" w:firstLineChars="200"/>
        <w:jc w:val="center"/>
        <w:rPr>
          <w:rStyle w:val="64"/>
          <w:rFonts w:ascii="华文中宋" w:hAnsi="华文中宋" w:eastAsia="华文中宋"/>
          <w:color w:val="auto"/>
          <w:sz w:val="28"/>
          <w:szCs w:val="28"/>
        </w:rPr>
      </w:pPr>
      <w:r>
        <w:rPr>
          <w:rFonts w:hAnsi="宋体"/>
          <w:sz w:val="32"/>
          <w:szCs w:val="32"/>
        </w:rPr>
        <w:br w:type="page"/>
      </w:r>
      <w:r>
        <w:rPr>
          <w:rStyle w:val="64"/>
          <w:rFonts w:hint="eastAsia" w:asciiTheme="majorEastAsia" w:hAnsiTheme="majorEastAsia" w:eastAsiaTheme="majorEastAsia" w:cstheme="majorEastAsia"/>
          <w:color w:val="auto"/>
          <w:sz w:val="28"/>
          <w:szCs w:val="28"/>
        </w:rPr>
        <w:t>三、资信证明文件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1、实质性资格证明文件目录</w:t>
      </w:r>
    </w:p>
    <w:p>
      <w:pPr>
        <w:ind w:firstLine="480" w:firstLineChars="200"/>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ind w:firstLine="480" w:firstLineChars="200"/>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ind w:firstLine="480" w:firstLineChars="200"/>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ind w:firstLine="480" w:firstLineChars="200"/>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ind w:firstLine="480" w:firstLineChars="200"/>
        <w:rPr>
          <w:rFonts w:ascii="仿宋_GB2312" w:hAnsi="宋体" w:eastAsia="仿宋_GB2312"/>
          <w:sz w:val="24"/>
          <w:szCs w:val="24"/>
        </w:rPr>
      </w:pPr>
      <w:r>
        <w:rPr>
          <w:rFonts w:hint="eastAsia" w:ascii="仿宋_GB2312" w:hAnsi="宋体" w:eastAsia="仿宋_GB2312"/>
          <w:sz w:val="24"/>
          <w:szCs w:val="24"/>
        </w:rPr>
        <w:t>2、非实质性资信证明文件目录</w:t>
      </w:r>
    </w:p>
    <w:p>
      <w:pPr>
        <w:ind w:firstLine="480" w:firstLineChars="200"/>
        <w:rPr>
          <w:rFonts w:ascii="仿宋_GB2312" w:hAnsi="宋体" w:eastAsia="仿宋_GB2312"/>
          <w:iCs/>
          <w:sz w:val="24"/>
          <w:szCs w:val="24"/>
        </w:rPr>
      </w:pPr>
      <w:bookmarkStart w:id="117" w:name="_Toc120614291"/>
      <w:bookmarkStart w:id="118" w:name="_Toc22356583"/>
      <w:bookmarkStart w:id="119" w:name="_Toc24878535"/>
      <w:bookmarkStart w:id="120" w:name="_Toc49090582"/>
      <w:bookmarkStart w:id="121" w:name="_Toc513029281"/>
      <w:bookmarkStart w:id="122" w:name="_Toc23828483"/>
      <w:bookmarkStart w:id="123" w:name="_Toc26554103"/>
      <w:bookmarkStart w:id="124"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ind w:firstLine="480" w:firstLineChars="200"/>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ind w:firstLine="560" w:firstLineChars="200"/>
        <w:jc w:val="center"/>
        <w:rPr>
          <w:rFonts w:hAnsi="宋体"/>
        </w:rPr>
      </w:pPr>
      <w:r>
        <w:rPr>
          <w:rFonts w:hAnsi="宋体"/>
          <w:szCs w:val="24"/>
        </w:rPr>
        <w:br w:type="page"/>
      </w:r>
      <w:r>
        <w:rPr>
          <w:rFonts w:hint="eastAsia" w:hAnsi="宋体"/>
        </w:rPr>
        <w:t>法人授权书</w:t>
      </w:r>
      <w:bookmarkEnd w:id="117"/>
      <w:bookmarkEnd w:id="118"/>
      <w:bookmarkEnd w:id="119"/>
      <w:bookmarkEnd w:id="120"/>
      <w:bookmarkEnd w:id="121"/>
      <w:bookmarkEnd w:id="122"/>
      <w:bookmarkEnd w:id="123"/>
      <w:r>
        <w:rPr>
          <w:rFonts w:hint="eastAsia" w:hAnsi="宋体"/>
        </w:rPr>
        <w:t>格式</w:t>
      </w:r>
    </w:p>
    <w:p>
      <w:pPr>
        <w:snapToGrid w:val="0"/>
        <w:spacing w:line="360" w:lineRule="auto"/>
        <w:ind w:firstLine="456" w:firstLineChars="200"/>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456" w:firstLineChars="2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ind w:firstLine="456" w:firstLineChars="200"/>
        <w:rPr>
          <w:rFonts w:ascii="宋体" w:hAnsi="宋体"/>
          <w:spacing w:val="-6"/>
          <w:sz w:val="24"/>
          <w:szCs w:val="24"/>
        </w:rPr>
      </w:pPr>
      <w:r>
        <w:rPr>
          <w:rFonts w:hint="eastAsia" w:ascii="宋体" w:hAnsi="宋体"/>
          <w:spacing w:val="-6"/>
          <w:sz w:val="24"/>
          <w:szCs w:val="24"/>
        </w:rPr>
        <w:t>我方对被授权人的签名负全部责任。</w:t>
      </w:r>
    </w:p>
    <w:p>
      <w:pPr>
        <w:snapToGrid w:val="0"/>
        <w:spacing w:line="360" w:lineRule="auto"/>
        <w:ind w:firstLine="456" w:firstLineChars="20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56" w:firstLineChars="20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ind w:firstLine="456" w:firstLineChars="200"/>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456" w:firstLineChars="2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ind w:firstLine="456" w:firstLineChars="200"/>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3089275</wp:posOffset>
                </wp:positionH>
                <wp:positionV relativeFrom="paragraph">
                  <wp:posOffset>311150</wp:posOffset>
                </wp:positionV>
                <wp:extent cx="3023235" cy="1122680"/>
                <wp:effectExtent l="4445" t="4445" r="20320" b="15875"/>
                <wp:wrapNone/>
                <wp:docPr id="2" name="文本框 4"/>
                <wp:cNvGraphicFramePr/>
                <a:graphic xmlns:a="http://schemas.openxmlformats.org/drawingml/2006/main">
                  <a:graphicData uri="http://schemas.microsoft.com/office/word/2010/wordprocessingShape">
                    <wps:wsp>
                      <wps:cNvSpPr txBox="1"/>
                      <wps:spPr>
                        <a:xfrm>
                          <a:off x="0" y="0"/>
                          <a:ext cx="3023235" cy="11226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3.25pt;margin-top:24.5pt;height:88.4pt;width:238.05pt;z-index:251660288;mso-width-relative:page;mso-height-relative:page;" fillcolor="#FFFFFF" filled="t" stroked="t" coordsize="21600,21600" o:gfxdata="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bHxLV9oAAAAKAQAA&#10;DwAAAAAAAAABACAAAAAiAAAAZHJzL2Rvd25yZXYueG1sUEsBAhQAFAAAAAgAh07iQGFKK2UXAgAA&#10;RQQAAA4AAAAAAAAAAQAgAAAAKQEAAGRycy9lMm9Eb2MueG1sUEsFBgAAAAAGAAYAWQEAALIFAAAA&#10;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-88900</wp:posOffset>
                </wp:positionH>
                <wp:positionV relativeFrom="paragraph">
                  <wp:posOffset>306705</wp:posOffset>
                </wp:positionV>
                <wp:extent cx="3062605" cy="1113790"/>
                <wp:effectExtent l="4445" t="4445" r="19050" b="5715"/>
                <wp:wrapNone/>
                <wp:docPr id="1" name="Text Box 3"/>
                <wp:cNvGraphicFramePr/>
                <a:graphic xmlns:a="http://schemas.openxmlformats.org/drawingml/2006/main">
                  <a:graphicData uri="http://schemas.microsoft.com/office/word/2010/wordprocessingShape">
                    <wps:wsp>
                      <wps:cNvSpPr txBox="1"/>
                      <wps:spPr>
                        <a:xfrm>
                          <a:off x="0" y="0"/>
                          <a:ext cx="3062605" cy="11137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7pt;margin-top:24.15pt;height:87.7pt;width:241.15pt;z-index:251659264;mso-width-relative:page;mso-height-relative:page;" fillcolor="#FFFFFF" filled="t" stroked="t" coordsize="21600,21600" o:gfxdata="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mPGJ9kAAAAKAQAADwAAAAAAAAABACAAAAAiAAAA&#10;ZHJzL2Rvd25yZXYueG1sUEsBAhQAFAAAAAgAh07iQMW+esoGAgAARAQAAA4AAAAAAAAAAQAgAAAA&#10;KAEAAGRycy9lMm9Eb2MueG1sUEsFBgAAAAAGAAYAWQEAAKAFA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r>
        <w:rPr>
          <w:rFonts w:hint="eastAsia" w:ascii="宋体" w:hAnsi="宋体"/>
          <w:spacing w:val="-6"/>
          <w:sz w:val="24"/>
          <w:szCs w:val="24"/>
        </w:rPr>
        <w:t>投标人名称（盖章）：</w:t>
      </w:r>
    </w:p>
    <w:p>
      <w:pPr>
        <w:snapToGrid w:val="0"/>
        <w:spacing w:before="156" w:beforeLines="50" w:after="50" w:line="360" w:lineRule="auto"/>
        <w:ind w:firstLine="456" w:firstLineChars="200"/>
        <w:jc w:val="center"/>
        <w:rPr>
          <w:rFonts w:ascii="宋体" w:hAnsi="宋体"/>
          <w:spacing w:val="-6"/>
          <w:sz w:val="24"/>
          <w:szCs w:val="24"/>
        </w:rPr>
      </w:pPr>
      <w:r>
        <w:rPr>
          <w:rFonts w:hint="eastAsia" w:ascii="宋体" w:hAnsi="宋体"/>
          <w:spacing w:val="-6"/>
          <w:sz w:val="24"/>
          <w:szCs w:val="24"/>
        </w:rPr>
        <w:t>年    月    日</w:t>
      </w:r>
    </w:p>
    <w:p>
      <w:pPr>
        <w:spacing w:line="360" w:lineRule="auto"/>
        <w:ind w:firstLine="456" w:firstLineChars="200"/>
        <w:rPr>
          <w:rFonts w:ascii="宋体" w:hAnsi="宋体"/>
          <w:spacing w:val="-6"/>
          <w:sz w:val="24"/>
          <w:szCs w:val="24"/>
        </w:rPr>
      </w:pPr>
    </w:p>
    <w:p>
      <w:pPr>
        <w:spacing w:line="360" w:lineRule="auto"/>
        <w:ind w:firstLine="458" w:firstLineChars="200"/>
        <w:jc w:val="center"/>
        <w:rPr>
          <w:rFonts w:hint="eastAsia" w:ascii="宋体" w:hAnsi="宋体"/>
          <w:b/>
          <w:spacing w:val="-6"/>
          <w:sz w:val="24"/>
        </w:rPr>
      </w:pPr>
    </w:p>
    <w:p>
      <w:pPr>
        <w:spacing w:line="360" w:lineRule="auto"/>
        <w:ind w:firstLine="458" w:firstLineChars="200"/>
        <w:jc w:val="center"/>
        <w:rPr>
          <w:rFonts w:ascii="宋体" w:hAnsi="宋体"/>
          <w:b/>
          <w:spacing w:val="-6"/>
          <w:sz w:val="24"/>
        </w:rPr>
      </w:pPr>
      <w:r>
        <w:rPr>
          <w:rFonts w:hint="eastAsia" w:ascii="宋体" w:hAnsi="宋体"/>
          <w:b/>
          <w:spacing w:val="-6"/>
          <w:sz w:val="24"/>
        </w:rPr>
        <w:t>投标人一般情况表</w:t>
      </w:r>
    </w:p>
    <w:tbl>
      <w:tblPr>
        <w:tblStyle w:val="27"/>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tc>
      </w:tr>
    </w:tbl>
    <w:p>
      <w:pPr>
        <w:spacing w:line="360" w:lineRule="auto"/>
        <w:ind w:firstLine="456" w:firstLineChars="2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ind w:firstLine="456" w:firstLineChars="200"/>
        <w:jc w:val="both"/>
        <w:rPr>
          <w:rFonts w:ascii="宋体" w:hAnsi="宋体"/>
          <w:spacing w:val="-6"/>
          <w:sz w:val="24"/>
          <w:szCs w:val="24"/>
        </w:rPr>
      </w:pPr>
      <w:r>
        <w:rPr>
          <w:rFonts w:hint="eastAsia" w:ascii="宋体" w:hAnsi="宋体"/>
          <w:spacing w:val="-6"/>
          <w:sz w:val="24"/>
          <w:szCs w:val="24"/>
        </w:rPr>
        <w:t>授权代表签字：</w:t>
      </w:r>
    </w:p>
    <w:p>
      <w:pPr>
        <w:spacing w:line="360" w:lineRule="auto"/>
        <w:ind w:firstLine="456" w:firstLineChars="200"/>
        <w:jc w:val="both"/>
        <w:rPr>
          <w:rFonts w:ascii="宋体" w:hAnsi="宋体"/>
          <w:spacing w:val="-6"/>
          <w:sz w:val="24"/>
          <w:szCs w:val="24"/>
        </w:rPr>
      </w:pPr>
      <w:r>
        <w:rPr>
          <w:rFonts w:hint="eastAsia" w:ascii="宋体" w:hAnsi="宋体"/>
          <w:spacing w:val="-6"/>
          <w:sz w:val="24"/>
          <w:szCs w:val="24"/>
        </w:rPr>
        <w:t>投标人名称（盖章）：</w:t>
      </w:r>
    </w:p>
    <w:p>
      <w:pPr>
        <w:spacing w:line="360" w:lineRule="auto"/>
        <w:ind w:firstLine="456" w:firstLineChars="200"/>
        <w:jc w:val="both"/>
        <w:rPr>
          <w:rFonts w:ascii="宋体" w:hAnsi="宋体"/>
          <w:spacing w:val="-6"/>
          <w:sz w:val="24"/>
          <w:szCs w:val="24"/>
        </w:rPr>
      </w:pPr>
      <w:r>
        <w:rPr>
          <w:rFonts w:hint="eastAsia" w:ascii="宋体" w:hAnsi="宋体"/>
          <w:spacing w:val="-6"/>
          <w:sz w:val="24"/>
          <w:szCs w:val="24"/>
        </w:rPr>
        <w:t>日期：    年   月  日</w:t>
      </w:r>
    </w:p>
    <w:bookmarkEnd w:id="124"/>
    <w:p>
      <w:pPr>
        <w:ind w:firstLine="537" w:firstLineChars="200"/>
        <w:jc w:val="center"/>
        <w:rPr>
          <w:rStyle w:val="64"/>
          <w:rFonts w:ascii="华文中宋" w:hAnsi="华文中宋" w:eastAsia="华文中宋"/>
          <w:b w:val="0"/>
          <w:color w:val="auto"/>
          <w:sz w:val="28"/>
          <w:szCs w:val="28"/>
        </w:rPr>
      </w:pPr>
      <w:bookmarkStart w:id="125" w:name="_Toc120614283"/>
      <w:bookmarkStart w:id="126" w:name="_Toc23828478"/>
      <w:bookmarkStart w:id="127" w:name="_Toc460901585"/>
      <w:bookmarkStart w:id="128" w:name="_Toc22356580"/>
      <w:bookmarkStart w:id="129" w:name="_Toc513029276"/>
      <w:bookmarkStart w:id="130" w:name="_Toc26554095"/>
      <w:bookmarkStart w:id="131" w:name="_Toc49090577"/>
      <w:r>
        <w:rPr>
          <w:rFonts w:hint="eastAsia" w:ascii="华文中宋" w:hAnsi="华文中宋" w:eastAsia="华文中宋"/>
          <w:b/>
          <w:spacing w:val="-6"/>
          <w:szCs w:val="28"/>
        </w:rPr>
        <w:t>四、</w:t>
      </w:r>
      <w:r>
        <w:rPr>
          <w:rStyle w:val="64"/>
          <w:rFonts w:hint="eastAsia" w:ascii="华文中宋" w:hAnsi="华文中宋" w:eastAsia="华文中宋"/>
          <w:color w:val="auto"/>
          <w:sz w:val="28"/>
          <w:szCs w:val="28"/>
        </w:rPr>
        <w:t>磋商函格式</w:t>
      </w:r>
    </w:p>
    <w:bookmarkEnd w:id="125"/>
    <w:bookmarkEnd w:id="126"/>
    <w:bookmarkEnd w:id="127"/>
    <w:bookmarkEnd w:id="128"/>
    <w:bookmarkEnd w:id="129"/>
    <w:bookmarkEnd w:id="130"/>
    <w:bookmarkEnd w:id="131"/>
    <w:p>
      <w:pPr>
        <w:ind w:firstLine="480" w:firstLineChars="200"/>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ind w:firstLine="562" w:firstLineChars="200"/>
        <w:rPr>
          <w:rFonts w:ascii="仿宋_GB2312" w:eastAsia="仿宋_GB2312"/>
          <w:b/>
          <w:bCs/>
          <w:sz w:val="28"/>
          <w:szCs w:val="28"/>
        </w:rPr>
      </w:pPr>
      <w:r>
        <w:rPr>
          <w:rFonts w:hint="eastAsia" w:ascii="仿宋_GB2312" w:eastAsia="仿宋_GB2312"/>
          <w:b/>
          <w:bCs/>
          <w:sz w:val="28"/>
          <w:szCs w:val="28"/>
        </w:rPr>
        <w:t>五、分部分项工程量清单综合单价分析表</w:t>
      </w:r>
    </w:p>
    <w:p>
      <w:pPr>
        <w:ind w:firstLine="562" w:firstLineChars="200"/>
        <w:rPr>
          <w:rFonts w:ascii="仿宋_GB2312" w:eastAsia="仿宋_GB2312"/>
          <w:b/>
          <w:bCs/>
          <w:sz w:val="28"/>
          <w:szCs w:val="28"/>
        </w:rPr>
      </w:pPr>
      <w:r>
        <w:rPr>
          <w:rFonts w:hint="eastAsia" w:ascii="仿宋_GB2312" w:eastAsia="仿宋_GB2312"/>
          <w:b/>
          <w:bCs/>
          <w:sz w:val="28"/>
          <w:szCs w:val="28"/>
        </w:rPr>
        <w:t>六、施工方案（主要但不限于</w:t>
      </w:r>
      <w:r>
        <w:rPr>
          <w:rFonts w:hint="eastAsia" w:ascii="仿宋_GB2312" w:hAnsi="宋体" w:eastAsia="仿宋_GB2312"/>
          <w:b/>
          <w:bCs/>
          <w:sz w:val="28"/>
          <w:szCs w:val="28"/>
        </w:rPr>
        <w:t>施工组织机构和人员组成、施工进度计划、施工质量和安全保证体系等</w:t>
      </w:r>
      <w:r>
        <w:rPr>
          <w:rFonts w:hint="eastAsia" w:ascii="仿宋_GB2312" w:eastAsia="仿宋_GB2312"/>
          <w:b/>
          <w:bCs/>
          <w:sz w:val="28"/>
          <w:szCs w:val="28"/>
        </w:rPr>
        <w:t>）</w:t>
      </w:r>
    </w:p>
    <w:p>
      <w:pPr>
        <w:ind w:firstLine="562" w:firstLineChars="200"/>
        <w:rPr>
          <w:rFonts w:ascii="仿宋_GB2312" w:eastAsia="仿宋_GB2312"/>
          <w:b/>
          <w:bCs/>
          <w:sz w:val="28"/>
          <w:szCs w:val="28"/>
        </w:rPr>
      </w:pPr>
      <w:r>
        <w:rPr>
          <w:rFonts w:hint="eastAsia" w:ascii="仿宋_GB2312" w:eastAsia="仿宋_GB2312"/>
          <w:b/>
          <w:bCs/>
          <w:sz w:val="28"/>
          <w:szCs w:val="28"/>
        </w:rPr>
        <w:t>七、</w:t>
      </w:r>
      <w:r>
        <w:rPr>
          <w:rFonts w:hint="eastAsia" w:ascii="仿宋_GB2312" w:hAnsi="宋体" w:eastAsia="仿宋_GB2312"/>
          <w:b/>
          <w:bCs/>
          <w:sz w:val="28"/>
          <w:szCs w:val="28"/>
        </w:rPr>
        <w:t>业绩、售后服务、所投主要产品品牌等</w:t>
      </w:r>
      <w:r>
        <w:rPr>
          <w:rFonts w:hint="eastAsia" w:ascii="仿宋_GB2312" w:eastAsia="仿宋_GB2312"/>
          <w:b/>
          <w:bCs/>
          <w:sz w:val="28"/>
          <w:szCs w:val="28"/>
        </w:rPr>
        <w:t>投标人需要提供的其它材料</w:t>
      </w:r>
    </w:p>
    <w:p>
      <w:pPr>
        <w:ind w:firstLine="482" w:firstLineChars="200"/>
        <w:rPr>
          <w:rFonts w:ascii="宋体" w:hAnsi="宋体"/>
          <w:b/>
          <w:sz w:val="24"/>
          <w:szCs w:val="24"/>
        </w:rPr>
      </w:pPr>
      <w:r>
        <w:rPr>
          <w:rFonts w:hint="eastAsia" w:ascii="宋体" w:hAnsi="宋体"/>
          <w:b/>
          <w:sz w:val="24"/>
          <w:szCs w:val="24"/>
        </w:rPr>
        <w:t>附件1：</w:t>
      </w:r>
    </w:p>
    <w:p>
      <w:pPr>
        <w:spacing w:line="560" w:lineRule="exact"/>
        <w:ind w:firstLine="721" w:firstLineChars="200"/>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2" w:firstLineChars="200"/>
        <w:jc w:val="center"/>
        <w:rPr>
          <w:rFonts w:ascii="黑体" w:hAnsi="黑体" w:eastAsia="黑体" w:cs="宋体"/>
          <w:sz w:val="30"/>
          <w:szCs w:val="30"/>
        </w:rPr>
      </w:pPr>
      <w:bookmarkStart w:id="132"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2"/>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3" w:name="OLE_LINK3"/>
      <w:bookmarkStart w:id="134" w:name="OLE_LINK1"/>
      <w:bookmarkStart w:id="135" w:name="OLE_LINK2"/>
      <w:r>
        <w:rPr>
          <w:rFonts w:hint="eastAsia" w:ascii="仿宋_GB2312" w:hAnsi="宋体" w:eastAsia="仿宋_GB2312" w:cs="宋体"/>
          <w:sz w:val="24"/>
          <w:szCs w:val="24"/>
        </w:rPr>
        <w:t>学校采购活动</w:t>
      </w:r>
      <w:bookmarkEnd w:id="133"/>
      <w:bookmarkEnd w:id="134"/>
      <w:bookmarkEnd w:id="135"/>
      <w:r>
        <w:rPr>
          <w:rFonts w:hint="eastAsia" w:ascii="仿宋_GB2312" w:hAnsi="宋体" w:eastAsia="仿宋_GB2312" w:cs="宋体"/>
          <w:sz w:val="24"/>
          <w:szCs w:val="24"/>
        </w:rPr>
        <w:t>质疑的提出和答复、投诉的提起和处理。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602" w:firstLineChars="200"/>
        <w:jc w:val="center"/>
        <w:rPr>
          <w:rFonts w:ascii="黑体" w:hAnsi="黑体" w:eastAsia="黑体" w:cs="宋体"/>
          <w:b/>
          <w:sz w:val="30"/>
          <w:szCs w:val="30"/>
        </w:rPr>
      </w:pPr>
      <w:r>
        <w:rPr>
          <w:rFonts w:hint="eastAsia" w:ascii="黑体" w:hAnsi="黑体" w:eastAsia="黑体" w:cs="宋体"/>
          <w:b/>
          <w:sz w:val="30"/>
          <w:szCs w:val="30"/>
        </w:rPr>
        <w:t>第二章 质疑的提出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6" w:name="OLE_LINK5"/>
      <w:bookmarkStart w:id="137" w:name="OLE_LINK9"/>
      <w:bookmarkStart w:id="138" w:name="OLE_LINK6"/>
      <w:bookmarkStart w:id="139" w:name="OLE_LINK8"/>
      <w:bookmarkStart w:id="140" w:name="OLE_LINK4"/>
      <w:bookmarkStart w:id="141" w:name="OLE_LINK7"/>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6"/>
      <w:bookmarkEnd w:id="137"/>
      <w:bookmarkEnd w:id="138"/>
      <w:bookmarkEnd w:id="139"/>
      <w:bookmarkEnd w:id="140"/>
      <w:bookmarkEnd w:id="141"/>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2" w:firstLineChars="200"/>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2" w:firstLineChars="200"/>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2" w:name="OLE_LINK77"/>
      <w:bookmarkStart w:id="143" w:name="OLE_LINK76"/>
      <w:bookmarkStart w:id="144" w:name="OLE_LINK78"/>
      <w:r>
        <w:rPr>
          <w:rFonts w:hint="eastAsia" w:ascii="仿宋_GB2312" w:hAnsi="微软雅黑" w:eastAsia="仿宋_GB2312"/>
          <w:sz w:val="24"/>
          <w:szCs w:val="24"/>
        </w:rPr>
        <w:t>国资处、采购代理机构</w:t>
      </w:r>
      <w:bookmarkEnd w:id="142"/>
      <w:bookmarkEnd w:id="143"/>
      <w:bookmarkEnd w:id="144"/>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5"/>
        <w:shd w:val="clear" w:color="auto" w:fill="FFFFFF"/>
        <w:adjustRightInd w:val="0"/>
        <w:snapToGrid w:val="0"/>
        <w:spacing w:before="0" w:beforeAutospacing="0" w:after="0" w:afterAutospacing="0" w:line="560" w:lineRule="exact"/>
        <w:ind w:firstLine="602" w:firstLineChars="200"/>
        <w:jc w:val="center"/>
        <w:rPr>
          <w:rFonts w:ascii="黑体" w:hAnsi="黑体" w:eastAsia="黑体"/>
          <w:sz w:val="30"/>
          <w:szCs w:val="30"/>
        </w:rPr>
      </w:pPr>
      <w:r>
        <w:rPr>
          <w:rStyle w:val="30"/>
          <w:rFonts w:hint="eastAsia" w:ascii="黑体" w:hAnsi="黑体" w:eastAsia="黑体"/>
          <w:sz w:val="30"/>
          <w:szCs w:val="30"/>
        </w:rPr>
        <w:t xml:space="preserve">第五章 </w:t>
      </w:r>
      <w:r>
        <w:rPr>
          <w:rStyle w:val="30"/>
          <w:rFonts w:hint="eastAsia" w:ascii="微软雅黑" w:hAnsi="微软雅黑" w:eastAsia="黑体"/>
          <w:sz w:val="30"/>
          <w:szCs w:val="30"/>
        </w:rPr>
        <w:t> </w:t>
      </w:r>
      <w:r>
        <w:rPr>
          <w:rStyle w:val="30"/>
          <w:rFonts w:hint="eastAsia" w:ascii="黑体" w:hAnsi="黑体" w:eastAsia="黑体"/>
          <w:sz w:val="30"/>
          <w:szCs w:val="30"/>
        </w:rPr>
        <w:t>投诉的处理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5" w:name="OLE_LINK12"/>
      <w:bookmarkStart w:id="146" w:name="OLE_LINK11"/>
      <w:bookmarkStart w:id="147"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5"/>
      <w:bookmarkEnd w:id="146"/>
      <w:bookmarkEnd w:id="147"/>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8" w:name="OLE_LINK14"/>
      <w:bookmarkStart w:id="149" w:name="OLE_LINK15"/>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8"/>
    <w:bookmarkEnd w:id="149"/>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5"/>
        <w:shd w:val="clear" w:color="auto" w:fill="FFFFFF"/>
        <w:adjustRightInd w:val="0"/>
        <w:snapToGrid w:val="0"/>
        <w:spacing w:before="0" w:beforeAutospacing="0" w:after="0" w:afterAutospacing="0" w:line="560" w:lineRule="exact"/>
        <w:ind w:firstLine="602" w:firstLineChars="200"/>
        <w:jc w:val="center"/>
        <w:rPr>
          <w:rFonts w:ascii="黑体" w:hAnsi="黑体" w:eastAsia="黑体"/>
          <w:sz w:val="30"/>
          <w:szCs w:val="30"/>
        </w:rPr>
      </w:pPr>
      <w:r>
        <w:rPr>
          <w:rStyle w:val="30"/>
          <w:rFonts w:hint="eastAsia" w:ascii="黑体" w:hAnsi="黑体" w:eastAsia="黑体"/>
          <w:sz w:val="30"/>
          <w:szCs w:val="30"/>
        </w:rPr>
        <w:t xml:space="preserve">第六章 </w:t>
      </w:r>
      <w:r>
        <w:rPr>
          <w:rStyle w:val="30"/>
          <w:rFonts w:hint="eastAsia" w:ascii="微软雅黑" w:hAnsi="微软雅黑" w:eastAsia="黑体"/>
          <w:sz w:val="30"/>
          <w:szCs w:val="30"/>
        </w:rPr>
        <w:t> </w:t>
      </w:r>
      <w:r>
        <w:rPr>
          <w:rStyle w:val="30"/>
          <w:rFonts w:hint="eastAsia" w:ascii="黑体" w:hAnsi="黑体" w:eastAsia="黑体"/>
          <w:sz w:val="30"/>
          <w:szCs w:val="30"/>
        </w:rPr>
        <w:t>法律责任</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30"/>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0" w:name="OLE_LINK16"/>
      <w:bookmarkStart w:id="151" w:name="OLE_LINK18"/>
      <w:bookmarkStart w:id="152" w:name="OLE_LINK17"/>
      <w:r>
        <w:rPr>
          <w:rFonts w:hint="eastAsia" w:ascii="仿宋_GB2312" w:hAnsi="宋体" w:eastAsia="仿宋_GB2312" w:cs="宋体"/>
          <w:sz w:val="24"/>
          <w:szCs w:val="24"/>
        </w:rPr>
        <w:t>规</w:t>
      </w:r>
      <w:bookmarkEnd w:id="150"/>
      <w:bookmarkEnd w:id="151"/>
      <w:bookmarkEnd w:id="152"/>
      <w:r>
        <w:rPr>
          <w:rFonts w:hint="eastAsia" w:ascii="仿宋_GB2312" w:hAnsi="宋体" w:eastAsia="仿宋_GB2312" w:cs="宋体"/>
          <w:sz w:val="24"/>
          <w:szCs w:val="24"/>
        </w:rPr>
        <w:t>追究其相应责任。</w:t>
      </w:r>
    </w:p>
    <w:p>
      <w:pPr>
        <w:pStyle w:val="25"/>
        <w:shd w:val="clear" w:color="auto" w:fill="FFFFFF"/>
        <w:adjustRightInd w:val="0"/>
        <w:snapToGrid w:val="0"/>
        <w:spacing w:before="0" w:beforeAutospacing="0" w:after="0" w:afterAutospacing="0" w:line="560" w:lineRule="exact"/>
        <w:ind w:firstLine="482" w:firstLineChars="200"/>
        <w:jc w:val="center"/>
        <w:rPr>
          <w:rStyle w:val="30"/>
          <w:rFonts w:ascii="黑体" w:hAnsi="黑体" w:eastAsia="黑体"/>
          <w:sz w:val="24"/>
          <w:szCs w:val="24"/>
        </w:rPr>
      </w:pPr>
      <w:r>
        <w:rPr>
          <w:rStyle w:val="30"/>
          <w:rFonts w:hint="eastAsia" w:ascii="黑体" w:hAnsi="黑体" w:eastAsia="黑体"/>
          <w:sz w:val="24"/>
          <w:szCs w:val="24"/>
        </w:rPr>
        <w:t xml:space="preserve">第七章 </w:t>
      </w:r>
      <w:r>
        <w:rPr>
          <w:rStyle w:val="30"/>
          <w:rFonts w:hint="eastAsia" w:ascii="微软雅黑" w:hAnsi="微软雅黑" w:eastAsia="黑体"/>
          <w:sz w:val="24"/>
          <w:szCs w:val="24"/>
        </w:rPr>
        <w:t> </w:t>
      </w:r>
      <w:r>
        <w:rPr>
          <w:rStyle w:val="30"/>
          <w:rFonts w:hint="eastAsia" w:ascii="黑体" w:hAnsi="黑体" w:eastAsia="黑体"/>
          <w:sz w:val="24"/>
          <w:szCs w:val="24"/>
        </w:rPr>
        <w:t>附则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ind w:firstLine="482" w:firstLineChars="200"/>
        <w:rPr>
          <w:rFonts w:ascii="宋体" w:hAnsi="宋体"/>
          <w:b/>
          <w:sz w:val="24"/>
          <w:szCs w:val="24"/>
        </w:rPr>
      </w:pPr>
      <w:r>
        <w:rPr>
          <w:rFonts w:hint="eastAsia" w:ascii="宋体" w:hAnsi="宋体"/>
          <w:b/>
          <w:sz w:val="24"/>
          <w:szCs w:val="24"/>
        </w:rPr>
        <w:t>附件2：</w:t>
      </w:r>
    </w:p>
    <w:p>
      <w:pPr>
        <w:ind w:firstLine="482" w:firstLineChars="200"/>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ind w:firstLine="480" w:firstLineChars="200"/>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ind w:firstLine="480" w:firstLineChars="200"/>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ind w:firstLine="480" w:firstLineChars="200"/>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ind w:firstLine="480" w:firstLineChars="200"/>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ind w:firstLine="480" w:firstLineChars="200"/>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ind w:firstLine="480" w:firstLineChars="200"/>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ind w:firstLine="480" w:firstLineChars="200"/>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ind w:firstLine="480" w:firstLineChars="200"/>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ind w:firstLine="480" w:firstLineChars="200"/>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tabs>
          <w:tab w:val="left" w:pos="2175"/>
        </w:tabs>
        <w:adjustRightInd w:val="0"/>
        <w:snapToGrid w:val="0"/>
        <w:spacing w:line="360" w:lineRule="auto"/>
        <w:ind w:firstLine="480" w:firstLineChars="200"/>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ind w:firstLine="480" w:firstLineChars="200"/>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ind w:firstLine="480" w:firstLineChars="200"/>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ind w:firstLine="480" w:firstLineChars="200"/>
        <w:rPr>
          <w:rFonts w:ascii="仿宋_GB2312" w:eastAsia="仿宋_GB2312"/>
          <w:sz w:val="24"/>
          <w:szCs w:val="24"/>
        </w:rPr>
      </w:pPr>
      <w:r>
        <w:rPr>
          <w:rFonts w:hint="eastAsia" w:ascii="仿宋_GB2312" w:eastAsia="仿宋_GB2312"/>
          <w:sz w:val="24"/>
          <w:szCs w:val="24"/>
        </w:rPr>
        <w:t xml:space="preserve">签字(签章)：                   公章：                      </w:t>
      </w:r>
    </w:p>
    <w:p>
      <w:pPr>
        <w:ind w:firstLine="480" w:firstLineChars="200"/>
        <w:rPr>
          <w:rFonts w:ascii="仿宋_GB2312" w:eastAsia="仿宋_GB2312"/>
          <w:sz w:val="24"/>
          <w:szCs w:val="24"/>
        </w:rPr>
      </w:pPr>
      <w:r>
        <w:rPr>
          <w:rFonts w:hint="eastAsia" w:ascii="仿宋_GB2312" w:eastAsia="仿宋_GB2312"/>
          <w:sz w:val="24"/>
          <w:szCs w:val="24"/>
        </w:rPr>
        <w:t xml:space="preserve">日期：    </w:t>
      </w:r>
    </w:p>
    <w:p>
      <w:pPr>
        <w:widowControl/>
        <w:ind w:firstLine="482" w:firstLineChars="200"/>
        <w:jc w:val="left"/>
        <w:rPr>
          <w:rFonts w:ascii="宋体" w:hAnsi="宋体" w:cs="宋体"/>
          <w:b/>
          <w:bCs/>
          <w:kern w:val="36"/>
          <w:sz w:val="24"/>
          <w:szCs w:val="24"/>
        </w:rPr>
      </w:pPr>
      <w:r>
        <w:rPr>
          <w:rFonts w:ascii="宋体" w:hAnsi="宋体" w:cs="宋体"/>
          <w:b/>
          <w:bCs/>
          <w:kern w:val="36"/>
          <w:sz w:val="24"/>
          <w:szCs w:val="24"/>
        </w:rPr>
        <w:br w:type="page"/>
      </w:r>
    </w:p>
    <w:p>
      <w:pPr>
        <w:ind w:firstLine="643" w:firstLineChars="200"/>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ind w:firstLine="480" w:firstLineChars="200"/>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widowControl/>
        <w:ind w:firstLine="482" w:firstLineChars="200"/>
        <w:jc w:val="left"/>
        <w:rPr>
          <w:rFonts w:ascii="宋体" w:hAnsi="宋体" w:cs="宋体"/>
          <w:b/>
          <w:bCs/>
          <w:kern w:val="36"/>
          <w:sz w:val="24"/>
          <w:szCs w:val="24"/>
        </w:rPr>
      </w:pPr>
      <w:r>
        <w:rPr>
          <w:rFonts w:ascii="宋体" w:hAnsi="宋体" w:cs="宋体"/>
          <w:b/>
          <w:bCs/>
          <w:kern w:val="36"/>
          <w:sz w:val="24"/>
          <w:szCs w:val="24"/>
        </w:rPr>
        <w:br w:type="page"/>
      </w:r>
    </w:p>
    <w:p>
      <w:pPr>
        <w:ind w:firstLine="602" w:firstLineChars="200"/>
        <w:rPr>
          <w:rFonts w:ascii="宋体" w:hAnsi="宋体"/>
          <w:b/>
          <w:sz w:val="30"/>
          <w:szCs w:val="30"/>
        </w:rPr>
      </w:pPr>
      <w:r>
        <w:rPr>
          <w:rFonts w:hint="eastAsia" w:ascii="宋体" w:hAnsi="宋体"/>
          <w:b/>
          <w:sz w:val="30"/>
          <w:szCs w:val="30"/>
        </w:rPr>
        <w:t>附件3：</w:t>
      </w:r>
    </w:p>
    <w:p>
      <w:pPr>
        <w:ind w:firstLine="482" w:firstLineChars="200"/>
        <w:jc w:val="center"/>
        <w:rPr>
          <w:rFonts w:ascii="宋体" w:hAnsi="宋体"/>
          <w:b/>
          <w:sz w:val="24"/>
          <w:szCs w:val="24"/>
        </w:rPr>
      </w:pPr>
      <w:r>
        <w:rPr>
          <w:rFonts w:hint="eastAsia" w:ascii="宋体" w:hAnsi="宋体"/>
          <w:b/>
          <w:sz w:val="24"/>
          <w:szCs w:val="24"/>
        </w:rPr>
        <w:t>投诉书范本</w:t>
      </w:r>
    </w:p>
    <w:p>
      <w:pPr>
        <w:ind w:firstLine="480" w:firstLineChars="200"/>
        <w:rPr>
          <w:rFonts w:ascii="黑体" w:hAnsi="黑体" w:eastAsia="黑体"/>
          <w:sz w:val="24"/>
          <w:szCs w:val="24"/>
        </w:rPr>
      </w:pPr>
      <w:r>
        <w:rPr>
          <w:rFonts w:hint="eastAsia" w:ascii="黑体" w:hAnsi="黑体" w:eastAsia="黑体"/>
          <w:sz w:val="24"/>
          <w:szCs w:val="24"/>
        </w:rPr>
        <w:t>一、投诉相关主体基本情况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ind w:firstLine="480" w:firstLineChars="200"/>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ind w:firstLine="480" w:firstLineChars="200"/>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ind w:firstLine="480" w:firstLineChars="200"/>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ind w:firstLine="480" w:firstLineChars="200"/>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ind w:firstLine="480" w:firstLineChars="200"/>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ind w:firstLine="480" w:firstLineChars="200"/>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ind w:firstLine="480" w:firstLineChars="200"/>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ind w:firstLine="480" w:firstLineChars="200"/>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ind w:firstLine="480" w:firstLineChars="200"/>
        <w:rPr>
          <w:rFonts w:ascii="仿宋_GB2312" w:eastAsia="仿宋_GB2312"/>
          <w:sz w:val="24"/>
          <w:szCs w:val="24"/>
        </w:rPr>
      </w:pPr>
      <w:r>
        <w:rPr>
          <w:rFonts w:hint="eastAsia" w:ascii="仿宋_GB2312" w:eastAsia="仿宋_GB2312"/>
          <w:sz w:val="24"/>
          <w:szCs w:val="24"/>
        </w:rPr>
        <w:t>被投诉人2</w:t>
      </w:r>
    </w:p>
    <w:p>
      <w:pPr>
        <w:ind w:firstLine="480" w:firstLineChars="200"/>
        <w:rPr>
          <w:rFonts w:ascii="仿宋_GB2312" w:eastAsia="仿宋_GB2312"/>
          <w:sz w:val="24"/>
          <w:szCs w:val="24"/>
          <w:u w:val="dotted"/>
        </w:rPr>
      </w:pPr>
      <w:r>
        <w:rPr>
          <w:rFonts w:hint="eastAsia" w:ascii="仿宋_GB2312" w:eastAsia="仿宋_GB2312"/>
          <w:sz w:val="24"/>
          <w:szCs w:val="24"/>
        </w:rPr>
        <w:t>……</w:t>
      </w:r>
    </w:p>
    <w:p>
      <w:pPr>
        <w:ind w:firstLine="480" w:firstLineChars="200"/>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ind w:firstLine="480" w:firstLineChars="200"/>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ind w:firstLine="480" w:firstLineChars="200"/>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ind w:firstLine="480" w:firstLineChars="200"/>
        <w:rPr>
          <w:rFonts w:ascii="黑体" w:hAnsi="黑体" w:eastAsia="黑体"/>
          <w:sz w:val="24"/>
          <w:szCs w:val="24"/>
        </w:rPr>
      </w:pPr>
      <w:r>
        <w:rPr>
          <w:rFonts w:hint="eastAsia" w:ascii="黑体" w:hAnsi="黑体" w:eastAsia="黑体"/>
          <w:sz w:val="24"/>
          <w:szCs w:val="24"/>
        </w:rPr>
        <w:t>二、投诉项目基本情况</w:t>
      </w:r>
    </w:p>
    <w:p>
      <w:pPr>
        <w:ind w:firstLine="480" w:firstLineChars="200"/>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ind w:firstLine="480" w:firstLineChars="200"/>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ind w:firstLine="480" w:firstLineChars="200"/>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ind w:firstLine="480" w:firstLineChars="200"/>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ind w:firstLine="480" w:firstLineChars="200"/>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ind w:firstLine="480" w:firstLineChars="200"/>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ind w:firstLine="480" w:firstLineChars="200"/>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ind w:firstLine="480" w:firstLineChars="20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ind w:firstLine="480" w:firstLineChars="200"/>
        <w:rPr>
          <w:rFonts w:ascii="黑体" w:hAnsi="黑体" w:eastAsia="黑体"/>
          <w:sz w:val="24"/>
          <w:szCs w:val="24"/>
        </w:rPr>
      </w:pPr>
      <w:r>
        <w:rPr>
          <w:rFonts w:hint="eastAsia" w:ascii="黑体" w:hAnsi="黑体" w:eastAsia="黑体"/>
          <w:sz w:val="24"/>
          <w:szCs w:val="24"/>
        </w:rPr>
        <w:t>四、投诉事项具体内容</w:t>
      </w:r>
    </w:p>
    <w:p>
      <w:pPr>
        <w:ind w:firstLine="480" w:firstLineChars="200"/>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ind w:firstLine="480" w:firstLineChars="200"/>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ind w:firstLine="480" w:firstLineChars="200"/>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ind w:firstLine="480" w:firstLineChars="200"/>
        <w:rPr>
          <w:rFonts w:ascii="仿宋_GB2312" w:eastAsia="仿宋_GB2312"/>
          <w:sz w:val="24"/>
          <w:szCs w:val="24"/>
        </w:rPr>
      </w:pPr>
      <w:r>
        <w:rPr>
          <w:rFonts w:hint="eastAsia" w:ascii="仿宋_GB2312" w:eastAsia="仿宋_GB2312"/>
          <w:sz w:val="24"/>
          <w:szCs w:val="24"/>
        </w:rPr>
        <w:t>投诉事项2</w:t>
      </w:r>
    </w:p>
    <w:p>
      <w:pPr>
        <w:ind w:firstLine="480" w:firstLineChars="200"/>
        <w:rPr>
          <w:rFonts w:ascii="仿宋_GB2312" w:eastAsia="仿宋_GB2312"/>
          <w:sz w:val="24"/>
          <w:szCs w:val="24"/>
          <w:u w:val="dotted"/>
        </w:rPr>
      </w:pPr>
      <w:r>
        <w:rPr>
          <w:rFonts w:hint="eastAsia" w:ascii="仿宋_GB2312" w:eastAsia="仿宋_GB2312"/>
          <w:sz w:val="24"/>
          <w:szCs w:val="24"/>
        </w:rPr>
        <w:t>……</w:t>
      </w:r>
    </w:p>
    <w:p>
      <w:pPr>
        <w:ind w:firstLine="480" w:firstLineChars="200"/>
        <w:rPr>
          <w:rFonts w:ascii="黑体" w:hAnsi="黑体" w:eastAsia="黑体"/>
          <w:sz w:val="24"/>
          <w:szCs w:val="24"/>
        </w:rPr>
      </w:pPr>
      <w:r>
        <w:rPr>
          <w:rFonts w:hint="eastAsia" w:ascii="黑体" w:hAnsi="黑体" w:eastAsia="黑体"/>
          <w:sz w:val="24"/>
          <w:szCs w:val="24"/>
        </w:rPr>
        <w:t>五、与投诉事项相关的投诉请求</w:t>
      </w:r>
    </w:p>
    <w:p>
      <w:pPr>
        <w:ind w:firstLine="480" w:firstLineChars="200"/>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480" w:firstLineChars="200"/>
        <w:rPr>
          <w:rFonts w:ascii="仿宋_GB2312" w:eastAsia="仿宋_GB2312"/>
          <w:sz w:val="24"/>
          <w:szCs w:val="24"/>
        </w:rPr>
      </w:pPr>
      <w:r>
        <w:rPr>
          <w:rFonts w:hint="eastAsia" w:ascii="仿宋_GB2312" w:eastAsia="仿宋_GB2312"/>
          <w:sz w:val="24"/>
          <w:szCs w:val="24"/>
        </w:rPr>
        <w:t xml:space="preserve">签字(签章)：                   公章：                      </w:t>
      </w:r>
    </w:p>
    <w:p>
      <w:pPr>
        <w:ind w:firstLine="480" w:firstLineChars="200"/>
        <w:rPr>
          <w:rFonts w:ascii="仿宋_GB2312" w:eastAsia="仿宋_GB2312"/>
          <w:sz w:val="24"/>
          <w:szCs w:val="24"/>
        </w:rPr>
      </w:pPr>
      <w:r>
        <w:rPr>
          <w:rFonts w:hint="eastAsia" w:ascii="仿宋_GB2312" w:eastAsia="仿宋_GB2312"/>
          <w:sz w:val="24"/>
          <w:szCs w:val="24"/>
        </w:rPr>
        <w:t xml:space="preserve">日期：    </w:t>
      </w:r>
    </w:p>
    <w:p>
      <w:pPr>
        <w:ind w:firstLine="643" w:firstLineChars="200"/>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ind w:firstLine="480" w:firstLineChars="200"/>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500" w:lineRule="atLeast"/>
        <w:ind w:right="520" w:firstLine="480" w:firstLineChars="200"/>
        <w:jc w:val="left"/>
        <w:rPr>
          <w:rFonts w:cs="宋体"/>
          <w:sz w:val="24"/>
          <w:szCs w:val="24"/>
          <w:shd w:val="clear" w:color="auto" w:fill="FFFFFF"/>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 PAGE   \* MERGEFORMAT </w:instrText>
    </w:r>
    <w:r>
      <w:fldChar w:fldCharType="separate"/>
    </w:r>
    <w:r>
      <w:rPr>
        <w:lang w:val="zh-CN"/>
      </w:rPr>
      <w:t>1</w:t>
    </w:r>
    <w:r>
      <w:rPr>
        <w:lang w:val="zh-CN"/>
      </w:rP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3"/>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4"/>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1">
    <w:nsid w:val="652C1335"/>
    <w:multiLevelType w:val="multilevel"/>
    <w:tmpl w:val="652C1335"/>
    <w:lvl w:ilvl="0" w:tentative="0">
      <w:start w:val="1"/>
      <w:numFmt w:val="decimal"/>
      <w:lvlText w:val="%1、"/>
      <w:lvlJc w:val="left"/>
      <w:pPr>
        <w:ind w:left="364" w:hanging="364"/>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1CF6"/>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761"/>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D6899"/>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1709"/>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01675"/>
    <w:rsid w:val="01157CCA"/>
    <w:rsid w:val="014B1C38"/>
    <w:rsid w:val="0156352C"/>
    <w:rsid w:val="015E4AD6"/>
    <w:rsid w:val="023A4BFB"/>
    <w:rsid w:val="02702D13"/>
    <w:rsid w:val="027E6FC9"/>
    <w:rsid w:val="02EB0F66"/>
    <w:rsid w:val="02FC45A7"/>
    <w:rsid w:val="03084CFA"/>
    <w:rsid w:val="030B1590"/>
    <w:rsid w:val="03164992"/>
    <w:rsid w:val="03367AB9"/>
    <w:rsid w:val="033B177D"/>
    <w:rsid w:val="034C612E"/>
    <w:rsid w:val="03667C72"/>
    <w:rsid w:val="03974383"/>
    <w:rsid w:val="03A01301"/>
    <w:rsid w:val="03A2514E"/>
    <w:rsid w:val="03B31109"/>
    <w:rsid w:val="03B66375"/>
    <w:rsid w:val="03B86720"/>
    <w:rsid w:val="03D835EA"/>
    <w:rsid w:val="040556DD"/>
    <w:rsid w:val="0432311F"/>
    <w:rsid w:val="04446205"/>
    <w:rsid w:val="047530F4"/>
    <w:rsid w:val="04910E13"/>
    <w:rsid w:val="04B8274F"/>
    <w:rsid w:val="04B844FD"/>
    <w:rsid w:val="04E55E3A"/>
    <w:rsid w:val="04F03C97"/>
    <w:rsid w:val="04FC43EA"/>
    <w:rsid w:val="04FF212C"/>
    <w:rsid w:val="055A508B"/>
    <w:rsid w:val="055F6389"/>
    <w:rsid w:val="05832D5D"/>
    <w:rsid w:val="05BE78F1"/>
    <w:rsid w:val="05DE1D42"/>
    <w:rsid w:val="05E05ABA"/>
    <w:rsid w:val="062A31D9"/>
    <w:rsid w:val="062A4F87"/>
    <w:rsid w:val="066E57BB"/>
    <w:rsid w:val="06A05249"/>
    <w:rsid w:val="06A411DD"/>
    <w:rsid w:val="06E31D05"/>
    <w:rsid w:val="07247C28"/>
    <w:rsid w:val="073154DA"/>
    <w:rsid w:val="07320597"/>
    <w:rsid w:val="073A744C"/>
    <w:rsid w:val="07D4164E"/>
    <w:rsid w:val="07DE24CD"/>
    <w:rsid w:val="07E8334B"/>
    <w:rsid w:val="07FD6DF7"/>
    <w:rsid w:val="080F08D8"/>
    <w:rsid w:val="084A1910"/>
    <w:rsid w:val="08BE5A0D"/>
    <w:rsid w:val="08CE609D"/>
    <w:rsid w:val="092959CA"/>
    <w:rsid w:val="09296F01"/>
    <w:rsid w:val="092E1276"/>
    <w:rsid w:val="09412D13"/>
    <w:rsid w:val="09564F15"/>
    <w:rsid w:val="09664528"/>
    <w:rsid w:val="097C01EF"/>
    <w:rsid w:val="09A84CAA"/>
    <w:rsid w:val="09AC2920"/>
    <w:rsid w:val="0A2368BD"/>
    <w:rsid w:val="0A4546CD"/>
    <w:rsid w:val="0A981059"/>
    <w:rsid w:val="0A9D2C05"/>
    <w:rsid w:val="0B0264D2"/>
    <w:rsid w:val="0B0E131B"/>
    <w:rsid w:val="0B13248D"/>
    <w:rsid w:val="0B381EF4"/>
    <w:rsid w:val="0B416FFB"/>
    <w:rsid w:val="0B6B22C9"/>
    <w:rsid w:val="0B73117E"/>
    <w:rsid w:val="0BDC6D23"/>
    <w:rsid w:val="0BF4406D"/>
    <w:rsid w:val="0BF978D5"/>
    <w:rsid w:val="0C197F77"/>
    <w:rsid w:val="0C5D773D"/>
    <w:rsid w:val="0C632FA1"/>
    <w:rsid w:val="0CA710DF"/>
    <w:rsid w:val="0D294166"/>
    <w:rsid w:val="0D2C5EE3"/>
    <w:rsid w:val="0D7754CF"/>
    <w:rsid w:val="0D7C07BE"/>
    <w:rsid w:val="0D7E2A6A"/>
    <w:rsid w:val="0DA16FB4"/>
    <w:rsid w:val="0DAD78C9"/>
    <w:rsid w:val="0DCD3373"/>
    <w:rsid w:val="0DED16BC"/>
    <w:rsid w:val="0DF06AB6"/>
    <w:rsid w:val="0DF465A6"/>
    <w:rsid w:val="0E2C58F9"/>
    <w:rsid w:val="0E417312"/>
    <w:rsid w:val="0E7E3960"/>
    <w:rsid w:val="0E903DF5"/>
    <w:rsid w:val="0EA63619"/>
    <w:rsid w:val="0EC51CF1"/>
    <w:rsid w:val="0ECE2C8D"/>
    <w:rsid w:val="0EEC54CF"/>
    <w:rsid w:val="0F046FDD"/>
    <w:rsid w:val="0F20786F"/>
    <w:rsid w:val="0F2C7FC2"/>
    <w:rsid w:val="0F587009"/>
    <w:rsid w:val="0F607C6B"/>
    <w:rsid w:val="0F6239E3"/>
    <w:rsid w:val="0FC24482"/>
    <w:rsid w:val="0FD1712A"/>
    <w:rsid w:val="10093E5F"/>
    <w:rsid w:val="10521CAA"/>
    <w:rsid w:val="105A46BB"/>
    <w:rsid w:val="107556EE"/>
    <w:rsid w:val="10A32505"/>
    <w:rsid w:val="10A328AC"/>
    <w:rsid w:val="10B85C94"/>
    <w:rsid w:val="10DD2302"/>
    <w:rsid w:val="10E8616A"/>
    <w:rsid w:val="11097CFF"/>
    <w:rsid w:val="110A7E8F"/>
    <w:rsid w:val="113D2012"/>
    <w:rsid w:val="11407D54"/>
    <w:rsid w:val="11725165"/>
    <w:rsid w:val="11916802"/>
    <w:rsid w:val="11A93BAF"/>
    <w:rsid w:val="11AC0F46"/>
    <w:rsid w:val="11B76268"/>
    <w:rsid w:val="11E44B84"/>
    <w:rsid w:val="11EB5F12"/>
    <w:rsid w:val="124D44D7"/>
    <w:rsid w:val="127203E1"/>
    <w:rsid w:val="12A869B3"/>
    <w:rsid w:val="12BC78AF"/>
    <w:rsid w:val="12C66037"/>
    <w:rsid w:val="12DA0610"/>
    <w:rsid w:val="13085987"/>
    <w:rsid w:val="132536A6"/>
    <w:rsid w:val="132A4F93"/>
    <w:rsid w:val="13405DEA"/>
    <w:rsid w:val="134E49AB"/>
    <w:rsid w:val="13C92283"/>
    <w:rsid w:val="13E0137B"/>
    <w:rsid w:val="14092680"/>
    <w:rsid w:val="143811B7"/>
    <w:rsid w:val="143F60A1"/>
    <w:rsid w:val="14832432"/>
    <w:rsid w:val="14863CD0"/>
    <w:rsid w:val="148D1503"/>
    <w:rsid w:val="148D505F"/>
    <w:rsid w:val="14A10B0A"/>
    <w:rsid w:val="14B545B5"/>
    <w:rsid w:val="14D709D0"/>
    <w:rsid w:val="14DC7D94"/>
    <w:rsid w:val="14E1184E"/>
    <w:rsid w:val="14EF780E"/>
    <w:rsid w:val="150E0804"/>
    <w:rsid w:val="15227E9D"/>
    <w:rsid w:val="154D47EE"/>
    <w:rsid w:val="155618F4"/>
    <w:rsid w:val="155838BF"/>
    <w:rsid w:val="15973CBB"/>
    <w:rsid w:val="15C727F2"/>
    <w:rsid w:val="16113A6D"/>
    <w:rsid w:val="16192806"/>
    <w:rsid w:val="16225734"/>
    <w:rsid w:val="162437A1"/>
    <w:rsid w:val="162C38CF"/>
    <w:rsid w:val="16353C00"/>
    <w:rsid w:val="164D0F49"/>
    <w:rsid w:val="168023D9"/>
    <w:rsid w:val="168B7CC4"/>
    <w:rsid w:val="1695644C"/>
    <w:rsid w:val="16C17241"/>
    <w:rsid w:val="16C805D0"/>
    <w:rsid w:val="16F21AF1"/>
    <w:rsid w:val="16F815A6"/>
    <w:rsid w:val="17252284"/>
    <w:rsid w:val="175D4E15"/>
    <w:rsid w:val="177B58CD"/>
    <w:rsid w:val="17A032FB"/>
    <w:rsid w:val="17B1375A"/>
    <w:rsid w:val="18020BC4"/>
    <w:rsid w:val="180513B0"/>
    <w:rsid w:val="18057602"/>
    <w:rsid w:val="180E64B6"/>
    <w:rsid w:val="18475E6C"/>
    <w:rsid w:val="189015C1"/>
    <w:rsid w:val="18A24666"/>
    <w:rsid w:val="18B051AF"/>
    <w:rsid w:val="18CD0120"/>
    <w:rsid w:val="18D05E62"/>
    <w:rsid w:val="18E70052"/>
    <w:rsid w:val="191F64A1"/>
    <w:rsid w:val="19254BEF"/>
    <w:rsid w:val="19464AA9"/>
    <w:rsid w:val="19466124"/>
    <w:rsid w:val="196F7429"/>
    <w:rsid w:val="19836A30"/>
    <w:rsid w:val="198509FA"/>
    <w:rsid w:val="19962C07"/>
    <w:rsid w:val="19AA0461"/>
    <w:rsid w:val="19C84D8B"/>
    <w:rsid w:val="19D43730"/>
    <w:rsid w:val="19DC3498"/>
    <w:rsid w:val="19FE255B"/>
    <w:rsid w:val="1A07319C"/>
    <w:rsid w:val="1A3146DE"/>
    <w:rsid w:val="1A33516B"/>
    <w:rsid w:val="1A361CF4"/>
    <w:rsid w:val="1A393593"/>
    <w:rsid w:val="1A4C59BC"/>
    <w:rsid w:val="1A7F369B"/>
    <w:rsid w:val="1A954C6D"/>
    <w:rsid w:val="1B4A1EFB"/>
    <w:rsid w:val="1B4F4CC3"/>
    <w:rsid w:val="1B75684C"/>
    <w:rsid w:val="1B7570E3"/>
    <w:rsid w:val="1B8934AF"/>
    <w:rsid w:val="1BA211E7"/>
    <w:rsid w:val="1BC03A01"/>
    <w:rsid w:val="1BC4626A"/>
    <w:rsid w:val="1BD23C9F"/>
    <w:rsid w:val="1BD6378F"/>
    <w:rsid w:val="1BFB31F6"/>
    <w:rsid w:val="1C273FEB"/>
    <w:rsid w:val="1C8651B5"/>
    <w:rsid w:val="1CA613B3"/>
    <w:rsid w:val="1CC245A5"/>
    <w:rsid w:val="1CEB14BC"/>
    <w:rsid w:val="1CF10155"/>
    <w:rsid w:val="1CF71C0F"/>
    <w:rsid w:val="1D1502E7"/>
    <w:rsid w:val="1D1A4E10"/>
    <w:rsid w:val="1D28001A"/>
    <w:rsid w:val="1D570900"/>
    <w:rsid w:val="1D862F93"/>
    <w:rsid w:val="1D8B67FB"/>
    <w:rsid w:val="1D9213A9"/>
    <w:rsid w:val="1DA67191"/>
    <w:rsid w:val="1DD65CC8"/>
    <w:rsid w:val="1DDE2DCF"/>
    <w:rsid w:val="1E116D00"/>
    <w:rsid w:val="1E2D6CC4"/>
    <w:rsid w:val="1E965458"/>
    <w:rsid w:val="1EA01E32"/>
    <w:rsid w:val="1EBC3110"/>
    <w:rsid w:val="1EBF050A"/>
    <w:rsid w:val="1ECE699F"/>
    <w:rsid w:val="1ED32208"/>
    <w:rsid w:val="1ED57D2E"/>
    <w:rsid w:val="1F025BBE"/>
    <w:rsid w:val="1F3802BD"/>
    <w:rsid w:val="1FAD4807"/>
    <w:rsid w:val="1FC102B2"/>
    <w:rsid w:val="1FD03D76"/>
    <w:rsid w:val="1FD2426D"/>
    <w:rsid w:val="1FF40688"/>
    <w:rsid w:val="20020FF7"/>
    <w:rsid w:val="201077AA"/>
    <w:rsid w:val="201A4426"/>
    <w:rsid w:val="203877A5"/>
    <w:rsid w:val="20670E5A"/>
    <w:rsid w:val="20895274"/>
    <w:rsid w:val="20971013"/>
    <w:rsid w:val="20C938C2"/>
    <w:rsid w:val="20E56222"/>
    <w:rsid w:val="20EB3EDD"/>
    <w:rsid w:val="20F52909"/>
    <w:rsid w:val="210B3EDB"/>
    <w:rsid w:val="210F504D"/>
    <w:rsid w:val="212705E9"/>
    <w:rsid w:val="214E2D29"/>
    <w:rsid w:val="215869F4"/>
    <w:rsid w:val="2164183D"/>
    <w:rsid w:val="21701F90"/>
    <w:rsid w:val="218872DA"/>
    <w:rsid w:val="21933ED0"/>
    <w:rsid w:val="21A428FD"/>
    <w:rsid w:val="21A8797C"/>
    <w:rsid w:val="21A96154"/>
    <w:rsid w:val="21AB2FC8"/>
    <w:rsid w:val="21C61BB0"/>
    <w:rsid w:val="21CA540C"/>
    <w:rsid w:val="221C3EC6"/>
    <w:rsid w:val="223905D4"/>
    <w:rsid w:val="224F6049"/>
    <w:rsid w:val="2265761B"/>
    <w:rsid w:val="227B299A"/>
    <w:rsid w:val="228869AA"/>
    <w:rsid w:val="22C22324"/>
    <w:rsid w:val="22CC31F6"/>
    <w:rsid w:val="22D95913"/>
    <w:rsid w:val="2318468D"/>
    <w:rsid w:val="23294AEC"/>
    <w:rsid w:val="232A43C0"/>
    <w:rsid w:val="23567244"/>
    <w:rsid w:val="236513B9"/>
    <w:rsid w:val="238910E7"/>
    <w:rsid w:val="23A777BF"/>
    <w:rsid w:val="23C10881"/>
    <w:rsid w:val="23CD191B"/>
    <w:rsid w:val="243674C1"/>
    <w:rsid w:val="243F3E9B"/>
    <w:rsid w:val="245060A9"/>
    <w:rsid w:val="24727DCD"/>
    <w:rsid w:val="24855D52"/>
    <w:rsid w:val="24961D0D"/>
    <w:rsid w:val="24E231A5"/>
    <w:rsid w:val="24EE3E19"/>
    <w:rsid w:val="25050C41"/>
    <w:rsid w:val="2527505B"/>
    <w:rsid w:val="255B6AB3"/>
    <w:rsid w:val="25744B73"/>
    <w:rsid w:val="257F09F3"/>
    <w:rsid w:val="25900E53"/>
    <w:rsid w:val="25AB7A3A"/>
    <w:rsid w:val="25B3069D"/>
    <w:rsid w:val="25D845A8"/>
    <w:rsid w:val="25F72C80"/>
    <w:rsid w:val="261507FA"/>
    <w:rsid w:val="26566759"/>
    <w:rsid w:val="269009DE"/>
    <w:rsid w:val="26997893"/>
    <w:rsid w:val="269E134D"/>
    <w:rsid w:val="26A83F7A"/>
    <w:rsid w:val="26EA27E4"/>
    <w:rsid w:val="27225ADA"/>
    <w:rsid w:val="275814FC"/>
    <w:rsid w:val="275B723E"/>
    <w:rsid w:val="275E5719"/>
    <w:rsid w:val="27644345"/>
    <w:rsid w:val="27711B25"/>
    <w:rsid w:val="27717DCB"/>
    <w:rsid w:val="27E014F2"/>
    <w:rsid w:val="281A0EA7"/>
    <w:rsid w:val="281D1648"/>
    <w:rsid w:val="283261F1"/>
    <w:rsid w:val="28574F87"/>
    <w:rsid w:val="2858552C"/>
    <w:rsid w:val="2890116A"/>
    <w:rsid w:val="28AF482A"/>
    <w:rsid w:val="291D580A"/>
    <w:rsid w:val="29312005"/>
    <w:rsid w:val="29385A89"/>
    <w:rsid w:val="29674BDA"/>
    <w:rsid w:val="2973261D"/>
    <w:rsid w:val="297E0FC2"/>
    <w:rsid w:val="29831EC9"/>
    <w:rsid w:val="298C1931"/>
    <w:rsid w:val="29913DEF"/>
    <w:rsid w:val="29A924E3"/>
    <w:rsid w:val="29B44350"/>
    <w:rsid w:val="2A377AEF"/>
    <w:rsid w:val="2A522B7B"/>
    <w:rsid w:val="2A557F75"/>
    <w:rsid w:val="2A677CA8"/>
    <w:rsid w:val="2A685EFA"/>
    <w:rsid w:val="2AA44A58"/>
    <w:rsid w:val="2AAA6513"/>
    <w:rsid w:val="2ADF5772"/>
    <w:rsid w:val="2B011EAB"/>
    <w:rsid w:val="2B08148B"/>
    <w:rsid w:val="2B151B38"/>
    <w:rsid w:val="2B6B6C58"/>
    <w:rsid w:val="2B8D373E"/>
    <w:rsid w:val="2B9343A5"/>
    <w:rsid w:val="2B9D7E25"/>
    <w:rsid w:val="2B9E76FA"/>
    <w:rsid w:val="2BA70961"/>
    <w:rsid w:val="2BAC0068"/>
    <w:rsid w:val="2BC07E5E"/>
    <w:rsid w:val="2BE912BD"/>
    <w:rsid w:val="2BF80131"/>
    <w:rsid w:val="2C231C3E"/>
    <w:rsid w:val="2C35005E"/>
    <w:rsid w:val="2C43766C"/>
    <w:rsid w:val="2C5007D8"/>
    <w:rsid w:val="2C7C3EDF"/>
    <w:rsid w:val="2CB52F4D"/>
    <w:rsid w:val="2CC82C80"/>
    <w:rsid w:val="2CD258AD"/>
    <w:rsid w:val="2D1E0AF2"/>
    <w:rsid w:val="2D31750C"/>
    <w:rsid w:val="2D542766"/>
    <w:rsid w:val="2D5704A8"/>
    <w:rsid w:val="2DCA2A28"/>
    <w:rsid w:val="2DE634B9"/>
    <w:rsid w:val="2DED6716"/>
    <w:rsid w:val="2E0D091F"/>
    <w:rsid w:val="2E0E6DB8"/>
    <w:rsid w:val="2E3D58F0"/>
    <w:rsid w:val="2E507B3E"/>
    <w:rsid w:val="2E5D1AEE"/>
    <w:rsid w:val="2E813A2E"/>
    <w:rsid w:val="2E826240"/>
    <w:rsid w:val="2EAE5EA6"/>
    <w:rsid w:val="2EB77450"/>
    <w:rsid w:val="2EC1207D"/>
    <w:rsid w:val="2EDF550D"/>
    <w:rsid w:val="2EE45D6B"/>
    <w:rsid w:val="2F2D14C0"/>
    <w:rsid w:val="2F4F6B3A"/>
    <w:rsid w:val="2F61427A"/>
    <w:rsid w:val="2F633134"/>
    <w:rsid w:val="2F8B61E7"/>
    <w:rsid w:val="2FA572A9"/>
    <w:rsid w:val="2FC516F9"/>
    <w:rsid w:val="300E30A0"/>
    <w:rsid w:val="30185CCC"/>
    <w:rsid w:val="30240B15"/>
    <w:rsid w:val="30354AD0"/>
    <w:rsid w:val="30403475"/>
    <w:rsid w:val="30963095"/>
    <w:rsid w:val="309B06AC"/>
    <w:rsid w:val="30B359F5"/>
    <w:rsid w:val="30C91186"/>
    <w:rsid w:val="30D77936"/>
    <w:rsid w:val="310426F5"/>
    <w:rsid w:val="31344D88"/>
    <w:rsid w:val="31495EDE"/>
    <w:rsid w:val="314D7BF8"/>
    <w:rsid w:val="31880C30"/>
    <w:rsid w:val="31921319"/>
    <w:rsid w:val="31BC6863"/>
    <w:rsid w:val="31C0486E"/>
    <w:rsid w:val="31C205E6"/>
    <w:rsid w:val="31CF685F"/>
    <w:rsid w:val="31EE13DB"/>
    <w:rsid w:val="320A7897"/>
    <w:rsid w:val="32116E77"/>
    <w:rsid w:val="322546D1"/>
    <w:rsid w:val="32B67A1F"/>
    <w:rsid w:val="32BA4FA1"/>
    <w:rsid w:val="32C520EC"/>
    <w:rsid w:val="32FA2CBE"/>
    <w:rsid w:val="32FF4F22"/>
    <w:rsid w:val="3304078A"/>
    <w:rsid w:val="330B38C7"/>
    <w:rsid w:val="33386686"/>
    <w:rsid w:val="333B788C"/>
    <w:rsid w:val="33400AAD"/>
    <w:rsid w:val="33501C21"/>
    <w:rsid w:val="335214F5"/>
    <w:rsid w:val="336E4255"/>
    <w:rsid w:val="336F02F9"/>
    <w:rsid w:val="33833DA5"/>
    <w:rsid w:val="338B35BF"/>
    <w:rsid w:val="33DF6B01"/>
    <w:rsid w:val="34092461"/>
    <w:rsid w:val="341449FD"/>
    <w:rsid w:val="34525525"/>
    <w:rsid w:val="34675474"/>
    <w:rsid w:val="347B2CCE"/>
    <w:rsid w:val="34B72DA6"/>
    <w:rsid w:val="34EE16F2"/>
    <w:rsid w:val="34EF42C7"/>
    <w:rsid w:val="35066A3B"/>
    <w:rsid w:val="353D61D5"/>
    <w:rsid w:val="35941F30"/>
    <w:rsid w:val="35E04617"/>
    <w:rsid w:val="35EA3087"/>
    <w:rsid w:val="35F25212"/>
    <w:rsid w:val="360C62D3"/>
    <w:rsid w:val="36174C78"/>
    <w:rsid w:val="365657D0"/>
    <w:rsid w:val="36607CEC"/>
    <w:rsid w:val="36820344"/>
    <w:rsid w:val="369B31B3"/>
    <w:rsid w:val="36A302BA"/>
    <w:rsid w:val="36A93B22"/>
    <w:rsid w:val="36AA33F6"/>
    <w:rsid w:val="36BD312A"/>
    <w:rsid w:val="36BD75CE"/>
    <w:rsid w:val="36C97D20"/>
    <w:rsid w:val="36DA1F2E"/>
    <w:rsid w:val="36EF1694"/>
    <w:rsid w:val="36F823B4"/>
    <w:rsid w:val="37164F30"/>
    <w:rsid w:val="37503F9E"/>
    <w:rsid w:val="376712E7"/>
    <w:rsid w:val="37904CE2"/>
    <w:rsid w:val="37C30C14"/>
    <w:rsid w:val="37D90437"/>
    <w:rsid w:val="37E33064"/>
    <w:rsid w:val="381C20D2"/>
    <w:rsid w:val="38451629"/>
    <w:rsid w:val="38455ACD"/>
    <w:rsid w:val="385B0E4C"/>
    <w:rsid w:val="38653581"/>
    <w:rsid w:val="388443D5"/>
    <w:rsid w:val="38CF183A"/>
    <w:rsid w:val="38FB3C73"/>
    <w:rsid w:val="390659FB"/>
    <w:rsid w:val="390D1E7C"/>
    <w:rsid w:val="394F429D"/>
    <w:rsid w:val="39934616"/>
    <w:rsid w:val="399F120C"/>
    <w:rsid w:val="39BD1693"/>
    <w:rsid w:val="39D013C6"/>
    <w:rsid w:val="39F23A32"/>
    <w:rsid w:val="3A014C0D"/>
    <w:rsid w:val="3A2B2AA0"/>
    <w:rsid w:val="3A331955"/>
    <w:rsid w:val="3A3556CD"/>
    <w:rsid w:val="3A3D3FD1"/>
    <w:rsid w:val="3A4928AD"/>
    <w:rsid w:val="3A557B1D"/>
    <w:rsid w:val="3A922B1F"/>
    <w:rsid w:val="3AC30F2B"/>
    <w:rsid w:val="3AD46C94"/>
    <w:rsid w:val="3AF13CEA"/>
    <w:rsid w:val="3B005CDB"/>
    <w:rsid w:val="3B1654FE"/>
    <w:rsid w:val="3B365BA1"/>
    <w:rsid w:val="3B6A356D"/>
    <w:rsid w:val="3B7F0DA7"/>
    <w:rsid w:val="3B844B5E"/>
    <w:rsid w:val="3BAB4838"/>
    <w:rsid w:val="3BF1493F"/>
    <w:rsid w:val="3C0E4427"/>
    <w:rsid w:val="3C2E5433"/>
    <w:rsid w:val="3C474EBB"/>
    <w:rsid w:val="3C6B7ACC"/>
    <w:rsid w:val="3C7C3A87"/>
    <w:rsid w:val="3C7F726B"/>
    <w:rsid w:val="3CE07B72"/>
    <w:rsid w:val="3D031AB2"/>
    <w:rsid w:val="3D3103CE"/>
    <w:rsid w:val="3D483969"/>
    <w:rsid w:val="3D7A0677"/>
    <w:rsid w:val="3DA46DF1"/>
    <w:rsid w:val="3DAA0180"/>
    <w:rsid w:val="3DFF1727"/>
    <w:rsid w:val="3E2241BA"/>
    <w:rsid w:val="3E2E563A"/>
    <w:rsid w:val="3E3208A1"/>
    <w:rsid w:val="3E547D6D"/>
    <w:rsid w:val="3E9F0F73"/>
    <w:rsid w:val="3EA52FF6"/>
    <w:rsid w:val="3EBB0897"/>
    <w:rsid w:val="3EC03D4E"/>
    <w:rsid w:val="3EC314F9"/>
    <w:rsid w:val="3ED951C1"/>
    <w:rsid w:val="3EE50F86"/>
    <w:rsid w:val="3EF67B21"/>
    <w:rsid w:val="3EFC727D"/>
    <w:rsid w:val="3F0E4CF0"/>
    <w:rsid w:val="3F2969DF"/>
    <w:rsid w:val="3F646DBC"/>
    <w:rsid w:val="3F7D3D9E"/>
    <w:rsid w:val="3FEA4211"/>
    <w:rsid w:val="40022750"/>
    <w:rsid w:val="40387CC5"/>
    <w:rsid w:val="409C46F8"/>
    <w:rsid w:val="40E51BFB"/>
    <w:rsid w:val="413C419C"/>
    <w:rsid w:val="416F3BBA"/>
    <w:rsid w:val="41892EE4"/>
    <w:rsid w:val="41FA170B"/>
    <w:rsid w:val="42134546"/>
    <w:rsid w:val="421A1D78"/>
    <w:rsid w:val="42402E61"/>
    <w:rsid w:val="425132C0"/>
    <w:rsid w:val="42976F25"/>
    <w:rsid w:val="42980EEF"/>
    <w:rsid w:val="42BC698B"/>
    <w:rsid w:val="42D55C9F"/>
    <w:rsid w:val="42E67EAC"/>
    <w:rsid w:val="43001B9C"/>
    <w:rsid w:val="432F1853"/>
    <w:rsid w:val="43301127"/>
    <w:rsid w:val="43672D9B"/>
    <w:rsid w:val="43721740"/>
    <w:rsid w:val="439C056B"/>
    <w:rsid w:val="43A35D9D"/>
    <w:rsid w:val="43A86F10"/>
    <w:rsid w:val="43B65AD0"/>
    <w:rsid w:val="43D9531B"/>
    <w:rsid w:val="440B4DC4"/>
    <w:rsid w:val="442C18EF"/>
    <w:rsid w:val="44C63AF1"/>
    <w:rsid w:val="44E0509A"/>
    <w:rsid w:val="45085EB8"/>
    <w:rsid w:val="450C5FC9"/>
    <w:rsid w:val="45120AE5"/>
    <w:rsid w:val="45280308"/>
    <w:rsid w:val="45294080"/>
    <w:rsid w:val="453A003B"/>
    <w:rsid w:val="454F1D39"/>
    <w:rsid w:val="4554734F"/>
    <w:rsid w:val="455B692F"/>
    <w:rsid w:val="457774F2"/>
    <w:rsid w:val="45C06792"/>
    <w:rsid w:val="45C94FEF"/>
    <w:rsid w:val="45E22BAD"/>
    <w:rsid w:val="460074D7"/>
    <w:rsid w:val="460739B2"/>
    <w:rsid w:val="462D2409"/>
    <w:rsid w:val="463D2F25"/>
    <w:rsid w:val="463D6035"/>
    <w:rsid w:val="465F5FAB"/>
    <w:rsid w:val="467D4684"/>
    <w:rsid w:val="46B36C64"/>
    <w:rsid w:val="47462CC7"/>
    <w:rsid w:val="474B4782"/>
    <w:rsid w:val="477F61D9"/>
    <w:rsid w:val="47892A70"/>
    <w:rsid w:val="479559FD"/>
    <w:rsid w:val="47B95B8F"/>
    <w:rsid w:val="47C1249E"/>
    <w:rsid w:val="47C702AC"/>
    <w:rsid w:val="481B4427"/>
    <w:rsid w:val="4828061F"/>
    <w:rsid w:val="485756B9"/>
    <w:rsid w:val="485D29BF"/>
    <w:rsid w:val="48835154"/>
    <w:rsid w:val="488C6E00"/>
    <w:rsid w:val="4893018E"/>
    <w:rsid w:val="489E2BB7"/>
    <w:rsid w:val="48B06F92"/>
    <w:rsid w:val="48C8230D"/>
    <w:rsid w:val="48E00EFA"/>
    <w:rsid w:val="4900334A"/>
    <w:rsid w:val="49060960"/>
    <w:rsid w:val="490A53BE"/>
    <w:rsid w:val="4916585B"/>
    <w:rsid w:val="4939003C"/>
    <w:rsid w:val="493F3E72"/>
    <w:rsid w:val="494871CB"/>
    <w:rsid w:val="495D254A"/>
    <w:rsid w:val="496E4757"/>
    <w:rsid w:val="49975A5C"/>
    <w:rsid w:val="49A34401"/>
    <w:rsid w:val="49E60792"/>
    <w:rsid w:val="4A010EEA"/>
    <w:rsid w:val="4A273284"/>
    <w:rsid w:val="4A280A90"/>
    <w:rsid w:val="4A3A3DDE"/>
    <w:rsid w:val="4A6A13C3"/>
    <w:rsid w:val="4AAA17BF"/>
    <w:rsid w:val="4ABB1C1E"/>
    <w:rsid w:val="4AFB201B"/>
    <w:rsid w:val="4AFF1B0B"/>
    <w:rsid w:val="4B054C48"/>
    <w:rsid w:val="4B1B446B"/>
    <w:rsid w:val="4B5F07FC"/>
    <w:rsid w:val="4B9304A5"/>
    <w:rsid w:val="4BA91521"/>
    <w:rsid w:val="4BDE5BC4"/>
    <w:rsid w:val="4BE17463"/>
    <w:rsid w:val="4C0342AF"/>
    <w:rsid w:val="4C2A2BB8"/>
    <w:rsid w:val="4C4179C2"/>
    <w:rsid w:val="4C5939BE"/>
    <w:rsid w:val="4C76404F"/>
    <w:rsid w:val="4C8F5111"/>
    <w:rsid w:val="4C9149E5"/>
    <w:rsid w:val="4CAC2800"/>
    <w:rsid w:val="4CDE7C33"/>
    <w:rsid w:val="4CFB5EE3"/>
    <w:rsid w:val="4D263AF9"/>
    <w:rsid w:val="4D333CEE"/>
    <w:rsid w:val="4D4B074A"/>
    <w:rsid w:val="4DF34C54"/>
    <w:rsid w:val="4E151645"/>
    <w:rsid w:val="4E28581D"/>
    <w:rsid w:val="4E467A51"/>
    <w:rsid w:val="4E8A2033"/>
    <w:rsid w:val="4ECC264C"/>
    <w:rsid w:val="4EF26D89"/>
    <w:rsid w:val="4F3E697A"/>
    <w:rsid w:val="4F935C93"/>
    <w:rsid w:val="4F952A3E"/>
    <w:rsid w:val="4FA40ED3"/>
    <w:rsid w:val="4FBF0F60"/>
    <w:rsid w:val="4FC0263A"/>
    <w:rsid w:val="4FC205E1"/>
    <w:rsid w:val="4FC926E8"/>
    <w:rsid w:val="4FE45773"/>
    <w:rsid w:val="4FF85042"/>
    <w:rsid w:val="50175B49"/>
    <w:rsid w:val="501871CB"/>
    <w:rsid w:val="501E2A33"/>
    <w:rsid w:val="502C74D1"/>
    <w:rsid w:val="506643DA"/>
    <w:rsid w:val="506D39BB"/>
    <w:rsid w:val="507C6DB1"/>
    <w:rsid w:val="508D5E0B"/>
    <w:rsid w:val="50D21A70"/>
    <w:rsid w:val="50F02837"/>
    <w:rsid w:val="510A2FB8"/>
    <w:rsid w:val="513E0EB3"/>
    <w:rsid w:val="514069D9"/>
    <w:rsid w:val="51417EB7"/>
    <w:rsid w:val="51452242"/>
    <w:rsid w:val="516F3CBE"/>
    <w:rsid w:val="517C5E2B"/>
    <w:rsid w:val="517C782D"/>
    <w:rsid w:val="51844B18"/>
    <w:rsid w:val="518A5EA7"/>
    <w:rsid w:val="51C25640"/>
    <w:rsid w:val="51C639B2"/>
    <w:rsid w:val="51DF61F2"/>
    <w:rsid w:val="51F17F8E"/>
    <w:rsid w:val="522B58DB"/>
    <w:rsid w:val="5234643D"/>
    <w:rsid w:val="52707792"/>
    <w:rsid w:val="52823DEE"/>
    <w:rsid w:val="52EC4B4A"/>
    <w:rsid w:val="52F42171"/>
    <w:rsid w:val="53051C89"/>
    <w:rsid w:val="53081779"/>
    <w:rsid w:val="531B76FE"/>
    <w:rsid w:val="53510242"/>
    <w:rsid w:val="536F17F8"/>
    <w:rsid w:val="53733096"/>
    <w:rsid w:val="538A6632"/>
    <w:rsid w:val="53A05E55"/>
    <w:rsid w:val="53FA7FA7"/>
    <w:rsid w:val="540957A8"/>
    <w:rsid w:val="54102DA0"/>
    <w:rsid w:val="541128AF"/>
    <w:rsid w:val="546926EB"/>
    <w:rsid w:val="54745318"/>
    <w:rsid w:val="54B565B4"/>
    <w:rsid w:val="54BC6CBF"/>
    <w:rsid w:val="54D2203E"/>
    <w:rsid w:val="54DE6C35"/>
    <w:rsid w:val="54E51D72"/>
    <w:rsid w:val="54E67898"/>
    <w:rsid w:val="54EF499E"/>
    <w:rsid w:val="54FA3343"/>
    <w:rsid w:val="551663CF"/>
    <w:rsid w:val="5517751A"/>
    <w:rsid w:val="551B39E5"/>
    <w:rsid w:val="551E7032"/>
    <w:rsid w:val="55382749"/>
    <w:rsid w:val="55436A98"/>
    <w:rsid w:val="55524F2D"/>
    <w:rsid w:val="557355CF"/>
    <w:rsid w:val="55805F3E"/>
    <w:rsid w:val="558A46C7"/>
    <w:rsid w:val="55AD03B6"/>
    <w:rsid w:val="56194C24"/>
    <w:rsid w:val="564725B8"/>
    <w:rsid w:val="565C42B5"/>
    <w:rsid w:val="566B274A"/>
    <w:rsid w:val="56E10C5F"/>
    <w:rsid w:val="56F05266"/>
    <w:rsid w:val="57174680"/>
    <w:rsid w:val="57234DD3"/>
    <w:rsid w:val="57325016"/>
    <w:rsid w:val="57350A15"/>
    <w:rsid w:val="574A05B2"/>
    <w:rsid w:val="575168F3"/>
    <w:rsid w:val="575541D7"/>
    <w:rsid w:val="576D604E"/>
    <w:rsid w:val="577E025B"/>
    <w:rsid w:val="57802226"/>
    <w:rsid w:val="57931A9B"/>
    <w:rsid w:val="57A53A3A"/>
    <w:rsid w:val="57AC6B77"/>
    <w:rsid w:val="57C245EC"/>
    <w:rsid w:val="57C87729"/>
    <w:rsid w:val="57D1482F"/>
    <w:rsid w:val="57E75E01"/>
    <w:rsid w:val="580C3AB9"/>
    <w:rsid w:val="583152CE"/>
    <w:rsid w:val="58732C56"/>
    <w:rsid w:val="58767185"/>
    <w:rsid w:val="58D02D39"/>
    <w:rsid w:val="5910419F"/>
    <w:rsid w:val="593C217C"/>
    <w:rsid w:val="59411541"/>
    <w:rsid w:val="594D5E25"/>
    <w:rsid w:val="59556A2A"/>
    <w:rsid w:val="59561490"/>
    <w:rsid w:val="59670749"/>
    <w:rsid w:val="598A113A"/>
    <w:rsid w:val="599B22AB"/>
    <w:rsid w:val="59C363FA"/>
    <w:rsid w:val="59CC52AE"/>
    <w:rsid w:val="59D93D40"/>
    <w:rsid w:val="59E14756"/>
    <w:rsid w:val="59FD3647"/>
    <w:rsid w:val="5A1924BD"/>
    <w:rsid w:val="5A617FBB"/>
    <w:rsid w:val="5A737E20"/>
    <w:rsid w:val="5A7E4E4D"/>
    <w:rsid w:val="5A876F07"/>
    <w:rsid w:val="5A9009D2"/>
    <w:rsid w:val="5AB55191"/>
    <w:rsid w:val="5ABA15AB"/>
    <w:rsid w:val="5AC97A40"/>
    <w:rsid w:val="5B152C85"/>
    <w:rsid w:val="5B2B06FA"/>
    <w:rsid w:val="5B3A2360"/>
    <w:rsid w:val="5B5163B3"/>
    <w:rsid w:val="5B7C0F56"/>
    <w:rsid w:val="5B871DD5"/>
    <w:rsid w:val="5BC70423"/>
    <w:rsid w:val="5BCA7F13"/>
    <w:rsid w:val="5BD13050"/>
    <w:rsid w:val="5BF44F90"/>
    <w:rsid w:val="5BFB2CB6"/>
    <w:rsid w:val="5C24551E"/>
    <w:rsid w:val="5C531704"/>
    <w:rsid w:val="5C677510"/>
    <w:rsid w:val="5C6B34A4"/>
    <w:rsid w:val="5C7D31D8"/>
    <w:rsid w:val="5C957923"/>
    <w:rsid w:val="5C9D1184"/>
    <w:rsid w:val="5CA42F27"/>
    <w:rsid w:val="5CAC38D8"/>
    <w:rsid w:val="5CB0535B"/>
    <w:rsid w:val="5CDC0F56"/>
    <w:rsid w:val="5CE11CAD"/>
    <w:rsid w:val="5CE24C77"/>
    <w:rsid w:val="5D0F5ABF"/>
    <w:rsid w:val="5D101956"/>
    <w:rsid w:val="5D1458EA"/>
    <w:rsid w:val="5D7A6168"/>
    <w:rsid w:val="5DC32E6C"/>
    <w:rsid w:val="5DC76880"/>
    <w:rsid w:val="5DE021E2"/>
    <w:rsid w:val="5DFA5BF3"/>
    <w:rsid w:val="5E351799"/>
    <w:rsid w:val="5E545B85"/>
    <w:rsid w:val="5E624433"/>
    <w:rsid w:val="5E6C12B6"/>
    <w:rsid w:val="5E7A5C21"/>
    <w:rsid w:val="5EC40C4A"/>
    <w:rsid w:val="5ECC7AFE"/>
    <w:rsid w:val="5ED35331"/>
    <w:rsid w:val="5EF332DD"/>
    <w:rsid w:val="5EF37781"/>
    <w:rsid w:val="5F765DB0"/>
    <w:rsid w:val="5F8A1E93"/>
    <w:rsid w:val="5F942D12"/>
    <w:rsid w:val="5FE86BBA"/>
    <w:rsid w:val="60200102"/>
    <w:rsid w:val="60CA62C0"/>
    <w:rsid w:val="60F35816"/>
    <w:rsid w:val="610C29F3"/>
    <w:rsid w:val="611E0D6E"/>
    <w:rsid w:val="613D4CE3"/>
    <w:rsid w:val="617F70AA"/>
    <w:rsid w:val="61891CD7"/>
    <w:rsid w:val="61D27B22"/>
    <w:rsid w:val="62257C51"/>
    <w:rsid w:val="622A6C63"/>
    <w:rsid w:val="623D10A6"/>
    <w:rsid w:val="6299063F"/>
    <w:rsid w:val="62EF21DB"/>
    <w:rsid w:val="630C7063"/>
    <w:rsid w:val="630F26B0"/>
    <w:rsid w:val="631D68AE"/>
    <w:rsid w:val="632D6F40"/>
    <w:rsid w:val="632E6FDA"/>
    <w:rsid w:val="635F53E5"/>
    <w:rsid w:val="63A728E8"/>
    <w:rsid w:val="63AF1D1A"/>
    <w:rsid w:val="63D5331D"/>
    <w:rsid w:val="63F510AA"/>
    <w:rsid w:val="63F773CC"/>
    <w:rsid w:val="63FA621D"/>
    <w:rsid w:val="645760BC"/>
    <w:rsid w:val="646E5794"/>
    <w:rsid w:val="648E32AE"/>
    <w:rsid w:val="64A06B15"/>
    <w:rsid w:val="64BC084D"/>
    <w:rsid w:val="64D252BD"/>
    <w:rsid w:val="64DB4F3F"/>
    <w:rsid w:val="64E77440"/>
    <w:rsid w:val="65000502"/>
    <w:rsid w:val="652F2B95"/>
    <w:rsid w:val="65363F24"/>
    <w:rsid w:val="65412DFD"/>
    <w:rsid w:val="65426D6C"/>
    <w:rsid w:val="65444892"/>
    <w:rsid w:val="654E5711"/>
    <w:rsid w:val="657038D9"/>
    <w:rsid w:val="657F52AC"/>
    <w:rsid w:val="65847385"/>
    <w:rsid w:val="65B14293"/>
    <w:rsid w:val="65B306B7"/>
    <w:rsid w:val="65C23A09"/>
    <w:rsid w:val="65ED3907"/>
    <w:rsid w:val="662326FA"/>
    <w:rsid w:val="663742F4"/>
    <w:rsid w:val="663A01C8"/>
    <w:rsid w:val="663A5C95"/>
    <w:rsid w:val="6647199B"/>
    <w:rsid w:val="66703465"/>
    <w:rsid w:val="66846F11"/>
    <w:rsid w:val="668B2466"/>
    <w:rsid w:val="66CF63DE"/>
    <w:rsid w:val="66D24120"/>
    <w:rsid w:val="66D6080A"/>
    <w:rsid w:val="66DB439B"/>
    <w:rsid w:val="66E003B2"/>
    <w:rsid w:val="671604B0"/>
    <w:rsid w:val="671D183F"/>
    <w:rsid w:val="67256946"/>
    <w:rsid w:val="673B7F17"/>
    <w:rsid w:val="675B2367"/>
    <w:rsid w:val="67703AB6"/>
    <w:rsid w:val="67971B84"/>
    <w:rsid w:val="67B37AAD"/>
    <w:rsid w:val="6817729A"/>
    <w:rsid w:val="68550B65"/>
    <w:rsid w:val="685F19E3"/>
    <w:rsid w:val="6905258B"/>
    <w:rsid w:val="69222455"/>
    <w:rsid w:val="693469CC"/>
    <w:rsid w:val="69731BEA"/>
    <w:rsid w:val="69943AEF"/>
    <w:rsid w:val="699C195F"/>
    <w:rsid w:val="699E695C"/>
    <w:rsid w:val="69BD2E65"/>
    <w:rsid w:val="69BF7E12"/>
    <w:rsid w:val="6A22716C"/>
    <w:rsid w:val="6A407083"/>
    <w:rsid w:val="6A4470E3"/>
    <w:rsid w:val="6A75729C"/>
    <w:rsid w:val="6AB204F0"/>
    <w:rsid w:val="6AE14931"/>
    <w:rsid w:val="6AFC79BD"/>
    <w:rsid w:val="6B2F1B41"/>
    <w:rsid w:val="6B4078AA"/>
    <w:rsid w:val="6B465590"/>
    <w:rsid w:val="6B5E1C10"/>
    <w:rsid w:val="6B6A4927"/>
    <w:rsid w:val="6B8C2AEF"/>
    <w:rsid w:val="6B9B0F84"/>
    <w:rsid w:val="6B9C09D1"/>
    <w:rsid w:val="6BA23C34"/>
    <w:rsid w:val="6BA936A1"/>
    <w:rsid w:val="6BAD1411"/>
    <w:rsid w:val="6BC86475"/>
    <w:rsid w:val="6C0D40F8"/>
    <w:rsid w:val="6C0F54CE"/>
    <w:rsid w:val="6C13111E"/>
    <w:rsid w:val="6C2C7E2E"/>
    <w:rsid w:val="6C2E4C0D"/>
    <w:rsid w:val="6C467142"/>
    <w:rsid w:val="6C4D6722"/>
    <w:rsid w:val="6C7E0F5A"/>
    <w:rsid w:val="6C823EF2"/>
    <w:rsid w:val="6C993B98"/>
    <w:rsid w:val="6CC62031"/>
    <w:rsid w:val="6D394EF9"/>
    <w:rsid w:val="6D5B4E6F"/>
    <w:rsid w:val="6D6B164E"/>
    <w:rsid w:val="6D9C0FE4"/>
    <w:rsid w:val="6DA6798D"/>
    <w:rsid w:val="6DAF0D17"/>
    <w:rsid w:val="6DCE5641"/>
    <w:rsid w:val="6DED4397"/>
    <w:rsid w:val="6DF40E20"/>
    <w:rsid w:val="6DFD1A82"/>
    <w:rsid w:val="6E313E22"/>
    <w:rsid w:val="6E9C573F"/>
    <w:rsid w:val="6EAD16FA"/>
    <w:rsid w:val="6EB72579"/>
    <w:rsid w:val="6EDA1261"/>
    <w:rsid w:val="6EEA55F9"/>
    <w:rsid w:val="6F2F65B3"/>
    <w:rsid w:val="6F370FC4"/>
    <w:rsid w:val="6F3F60CB"/>
    <w:rsid w:val="6F420D0F"/>
    <w:rsid w:val="6FAC19B2"/>
    <w:rsid w:val="6FB22D40"/>
    <w:rsid w:val="6FB2689C"/>
    <w:rsid w:val="6FBB2981"/>
    <w:rsid w:val="6FC0720B"/>
    <w:rsid w:val="6FC54822"/>
    <w:rsid w:val="70074E3A"/>
    <w:rsid w:val="701B5C41"/>
    <w:rsid w:val="704626B8"/>
    <w:rsid w:val="70691651"/>
    <w:rsid w:val="707B3132"/>
    <w:rsid w:val="70967F6C"/>
    <w:rsid w:val="709E31F4"/>
    <w:rsid w:val="70EC5DDE"/>
    <w:rsid w:val="70F50A78"/>
    <w:rsid w:val="71066EA0"/>
    <w:rsid w:val="71091718"/>
    <w:rsid w:val="712D3BA4"/>
    <w:rsid w:val="71325EE7"/>
    <w:rsid w:val="71526589"/>
    <w:rsid w:val="71587B7E"/>
    <w:rsid w:val="71816E6E"/>
    <w:rsid w:val="718801FD"/>
    <w:rsid w:val="719A3A8C"/>
    <w:rsid w:val="71C34D91"/>
    <w:rsid w:val="71E371E1"/>
    <w:rsid w:val="71F47640"/>
    <w:rsid w:val="71F87130"/>
    <w:rsid w:val="720930EC"/>
    <w:rsid w:val="72192C03"/>
    <w:rsid w:val="722515A8"/>
    <w:rsid w:val="7249173A"/>
    <w:rsid w:val="7276222A"/>
    <w:rsid w:val="73197CE0"/>
    <w:rsid w:val="732A1BFA"/>
    <w:rsid w:val="73344FDD"/>
    <w:rsid w:val="73357F10"/>
    <w:rsid w:val="73616E39"/>
    <w:rsid w:val="736B56E0"/>
    <w:rsid w:val="73942E89"/>
    <w:rsid w:val="73AF1A71"/>
    <w:rsid w:val="73B9644B"/>
    <w:rsid w:val="73C0694D"/>
    <w:rsid w:val="73FE47A6"/>
    <w:rsid w:val="741E2752"/>
    <w:rsid w:val="74404DBF"/>
    <w:rsid w:val="74564435"/>
    <w:rsid w:val="74827185"/>
    <w:rsid w:val="74A54B7B"/>
    <w:rsid w:val="74E92D60"/>
    <w:rsid w:val="74FF4332"/>
    <w:rsid w:val="750758DC"/>
    <w:rsid w:val="751B270C"/>
    <w:rsid w:val="7532635D"/>
    <w:rsid w:val="75395703"/>
    <w:rsid w:val="753D00DE"/>
    <w:rsid w:val="753D4E5A"/>
    <w:rsid w:val="756845CD"/>
    <w:rsid w:val="7577036C"/>
    <w:rsid w:val="75A373B3"/>
    <w:rsid w:val="75BA6199"/>
    <w:rsid w:val="75D66156"/>
    <w:rsid w:val="75DC28C5"/>
    <w:rsid w:val="75E11C8A"/>
    <w:rsid w:val="75EF084A"/>
    <w:rsid w:val="75F0011F"/>
    <w:rsid w:val="7601057E"/>
    <w:rsid w:val="761E2EDE"/>
    <w:rsid w:val="76312C11"/>
    <w:rsid w:val="764364A0"/>
    <w:rsid w:val="76760862"/>
    <w:rsid w:val="7682521B"/>
    <w:rsid w:val="768C17FB"/>
    <w:rsid w:val="768F4EBC"/>
    <w:rsid w:val="76E66842"/>
    <w:rsid w:val="7707575C"/>
    <w:rsid w:val="770B16B4"/>
    <w:rsid w:val="774B1AB0"/>
    <w:rsid w:val="776B5CAF"/>
    <w:rsid w:val="776E579F"/>
    <w:rsid w:val="77722493"/>
    <w:rsid w:val="77764653"/>
    <w:rsid w:val="77A25449"/>
    <w:rsid w:val="77AB07A1"/>
    <w:rsid w:val="77C93AFF"/>
    <w:rsid w:val="781529D2"/>
    <w:rsid w:val="783267CC"/>
    <w:rsid w:val="783E1615"/>
    <w:rsid w:val="783E33C3"/>
    <w:rsid w:val="786D5A56"/>
    <w:rsid w:val="788D7EA7"/>
    <w:rsid w:val="789E20B4"/>
    <w:rsid w:val="78AA6CAB"/>
    <w:rsid w:val="78DD0E2E"/>
    <w:rsid w:val="78EE4DE9"/>
    <w:rsid w:val="79002FDD"/>
    <w:rsid w:val="79045396"/>
    <w:rsid w:val="79091C23"/>
    <w:rsid w:val="790E7239"/>
    <w:rsid w:val="790F7714"/>
    <w:rsid w:val="792F0F5E"/>
    <w:rsid w:val="79517126"/>
    <w:rsid w:val="795D5ACB"/>
    <w:rsid w:val="798474FC"/>
    <w:rsid w:val="79AB21E7"/>
    <w:rsid w:val="79ED50A1"/>
    <w:rsid w:val="79F418AB"/>
    <w:rsid w:val="7A0E5017"/>
    <w:rsid w:val="7A236D15"/>
    <w:rsid w:val="7A2C2B5D"/>
    <w:rsid w:val="7A3C397B"/>
    <w:rsid w:val="7A4256DD"/>
    <w:rsid w:val="7A543574"/>
    <w:rsid w:val="7A5F5873"/>
    <w:rsid w:val="7A675A03"/>
    <w:rsid w:val="7AA17C39"/>
    <w:rsid w:val="7AC35E02"/>
    <w:rsid w:val="7AC5601E"/>
    <w:rsid w:val="7ACA40C1"/>
    <w:rsid w:val="7ACD0A2E"/>
    <w:rsid w:val="7ADF16C7"/>
    <w:rsid w:val="7AE123AE"/>
    <w:rsid w:val="7B247399"/>
    <w:rsid w:val="7B424F78"/>
    <w:rsid w:val="7B672C31"/>
    <w:rsid w:val="7B95154C"/>
    <w:rsid w:val="7BB120FE"/>
    <w:rsid w:val="7BDF4EBD"/>
    <w:rsid w:val="7C1D1542"/>
    <w:rsid w:val="7C684EB3"/>
    <w:rsid w:val="7C7C270C"/>
    <w:rsid w:val="7C88056F"/>
    <w:rsid w:val="7CB974BC"/>
    <w:rsid w:val="7CBB28FC"/>
    <w:rsid w:val="7CC85951"/>
    <w:rsid w:val="7CDB38D7"/>
    <w:rsid w:val="7CEA1D6C"/>
    <w:rsid w:val="7D072290"/>
    <w:rsid w:val="7D1D3EEF"/>
    <w:rsid w:val="7D2106AF"/>
    <w:rsid w:val="7D2D1C58"/>
    <w:rsid w:val="7D2D2186"/>
    <w:rsid w:val="7D3E3E65"/>
    <w:rsid w:val="7DEB7B49"/>
    <w:rsid w:val="7E002EC9"/>
    <w:rsid w:val="7E1D3A7B"/>
    <w:rsid w:val="7E3808B5"/>
    <w:rsid w:val="7E505BFE"/>
    <w:rsid w:val="7E54777A"/>
    <w:rsid w:val="7E611BB9"/>
    <w:rsid w:val="7E825C71"/>
    <w:rsid w:val="7E8B4E88"/>
    <w:rsid w:val="7EA85A3A"/>
    <w:rsid w:val="7EAC5BC9"/>
    <w:rsid w:val="7EB048EF"/>
    <w:rsid w:val="7EBE525E"/>
    <w:rsid w:val="7EC01803"/>
    <w:rsid w:val="7ECA59B1"/>
    <w:rsid w:val="7ED405DD"/>
    <w:rsid w:val="7EDE320A"/>
    <w:rsid w:val="7EE8612B"/>
    <w:rsid w:val="7EFE77F8"/>
    <w:rsid w:val="7F0D1D41"/>
    <w:rsid w:val="7F111831"/>
    <w:rsid w:val="7F5870F3"/>
    <w:rsid w:val="7F6041C6"/>
    <w:rsid w:val="7F710522"/>
    <w:rsid w:val="7F7B7750"/>
    <w:rsid w:val="7FCB5E84"/>
    <w:rsid w:val="7FCF2520"/>
    <w:rsid w:val="7FEA3E31"/>
    <w:rsid w:val="7FEC35B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6">
    <w:name w:val="heading 1"/>
    <w:basedOn w:val="1"/>
    <w:next w:val="1"/>
    <w:link w:val="48"/>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7">
    <w:name w:val="heading 2"/>
    <w:basedOn w:val="1"/>
    <w:next w:val="1"/>
    <w:link w:val="4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8">
    <w:name w:val="heading 3"/>
    <w:basedOn w:val="1"/>
    <w:next w:val="1"/>
    <w:link w:val="50"/>
    <w:qFormat/>
    <w:uiPriority w:val="9"/>
    <w:pPr>
      <w:keepNext/>
      <w:keepLines/>
      <w:spacing w:before="260" w:after="260" w:line="416" w:lineRule="auto"/>
      <w:outlineLvl w:val="2"/>
    </w:pPr>
    <w:rPr>
      <w:b/>
      <w:bCs/>
      <w:sz w:val="32"/>
      <w:szCs w:val="32"/>
    </w:rPr>
  </w:style>
  <w:style w:type="paragraph" w:styleId="9">
    <w:name w:val="heading 4"/>
    <w:basedOn w:val="1"/>
    <w:next w:val="1"/>
    <w:link w:val="51"/>
    <w:qFormat/>
    <w:uiPriority w:val="9"/>
    <w:pPr>
      <w:keepNext/>
      <w:keepLines/>
      <w:spacing w:before="280" w:after="290" w:line="376" w:lineRule="auto"/>
      <w:outlineLvl w:val="3"/>
    </w:pPr>
    <w:rPr>
      <w:rFonts w:ascii="Cambria" w:hAnsi="Cambria" w:eastAsia="宋体" w:cs="Times New Roman"/>
      <w:b/>
      <w:bCs/>
      <w:szCs w:val="28"/>
    </w:rPr>
  </w:style>
  <w:style w:type="paragraph" w:styleId="10">
    <w:name w:val="heading 5"/>
    <w:basedOn w:val="1"/>
    <w:next w:val="1"/>
    <w:link w:val="52"/>
    <w:qFormat/>
    <w:uiPriority w:val="9"/>
    <w:pPr>
      <w:keepNext/>
      <w:keepLines/>
      <w:spacing w:before="280" w:after="290" w:line="376" w:lineRule="auto"/>
      <w:outlineLvl w:val="4"/>
    </w:pPr>
    <w:rPr>
      <w:b/>
      <w:bCs/>
      <w:szCs w:val="28"/>
    </w:rPr>
  </w:style>
  <w:style w:type="paragraph" w:styleId="11">
    <w:name w:val="heading 6"/>
    <w:basedOn w:val="1"/>
    <w:next w:val="1"/>
    <w:link w:val="53"/>
    <w:qFormat/>
    <w:uiPriority w:val="9"/>
    <w:pPr>
      <w:keepNext/>
      <w:keepLines/>
      <w:spacing w:before="240" w:after="64" w:line="320" w:lineRule="auto"/>
      <w:outlineLvl w:val="5"/>
    </w:pPr>
    <w:rPr>
      <w:rFonts w:ascii="Cambria" w:hAnsi="Cambria" w:eastAsia="宋体" w:cs="Times New Roman"/>
      <w:b/>
      <w:bCs/>
      <w:sz w:val="24"/>
      <w:szCs w:val="24"/>
    </w:rPr>
  </w:style>
  <w:style w:type="paragraph" w:styleId="12">
    <w:name w:val="heading 7"/>
    <w:basedOn w:val="1"/>
    <w:next w:val="1"/>
    <w:link w:val="54"/>
    <w:qFormat/>
    <w:uiPriority w:val="9"/>
    <w:pPr>
      <w:keepNext/>
      <w:keepLines/>
      <w:spacing w:before="240" w:after="64" w:line="320" w:lineRule="auto"/>
      <w:outlineLvl w:val="6"/>
    </w:pPr>
    <w:rPr>
      <w:b/>
      <w:bCs/>
      <w:sz w:val="24"/>
      <w:szCs w:val="24"/>
    </w:rPr>
  </w:style>
  <w:style w:type="character" w:default="1" w:styleId="29">
    <w:name w:val="Default Paragraph Font"/>
    <w:unhideWhenUsed/>
    <w:qFormat/>
    <w:uiPriority w:val="1"/>
  </w:style>
  <w:style w:type="table" w:default="1" w:styleId="27">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link w:val="47"/>
    <w:qFormat/>
    <w:uiPriority w:val="0"/>
    <w:pPr>
      <w:spacing w:line="200" w:lineRule="atLeast"/>
      <w:ind w:firstLine="301"/>
    </w:pPr>
    <w:rPr>
      <w:rFonts w:ascii="宋体" w:hAnsi="Courier New"/>
      <w:spacing w:val="-4"/>
      <w:kern w:val="0"/>
      <w:sz w:val="18"/>
    </w:rPr>
  </w:style>
  <w:style w:type="paragraph" w:styleId="4">
    <w:name w:val="List Paragraph"/>
    <w:basedOn w:val="1"/>
    <w:link w:val="63"/>
    <w:qFormat/>
    <w:uiPriority w:val="0"/>
    <w:pPr>
      <w:ind w:firstLine="420" w:firstLineChars="200"/>
    </w:pPr>
    <w:rPr>
      <w:kern w:val="0"/>
    </w:rPr>
  </w:style>
  <w:style w:type="paragraph" w:styleId="5">
    <w:name w:val="List"/>
    <w:basedOn w:val="1"/>
    <w:qFormat/>
    <w:uiPriority w:val="0"/>
    <w:pPr>
      <w:ind w:left="420" w:hanging="420"/>
    </w:pPr>
  </w:style>
  <w:style w:type="paragraph" w:styleId="13">
    <w:name w:val="Normal Indent"/>
    <w:basedOn w:val="1"/>
    <w:qFormat/>
    <w:uiPriority w:val="0"/>
    <w:pPr>
      <w:ind w:firstLine="420"/>
    </w:pPr>
    <w:rPr>
      <w:rFonts w:ascii="Times New Roman" w:hAnsi="Times New Roman" w:cs="Times New Roman"/>
      <w:szCs w:val="20"/>
    </w:rPr>
  </w:style>
  <w:style w:type="paragraph" w:styleId="14">
    <w:name w:val="annotation text"/>
    <w:basedOn w:val="1"/>
    <w:qFormat/>
    <w:uiPriority w:val="0"/>
    <w:pPr>
      <w:jc w:val="left"/>
    </w:pPr>
    <w:rPr>
      <w:kern w:val="0"/>
      <w:sz w:val="21"/>
      <w:szCs w:val="21"/>
    </w:rPr>
  </w:style>
  <w:style w:type="paragraph" w:styleId="15">
    <w:name w:val="index 4"/>
    <w:basedOn w:val="1"/>
    <w:next w:val="1"/>
    <w:qFormat/>
    <w:uiPriority w:val="99"/>
    <w:pPr>
      <w:ind w:left="600" w:leftChars="600"/>
    </w:pPr>
    <w:rPr>
      <w:rFonts w:ascii="Calibri" w:hAnsi="Calibri"/>
      <w:szCs w:val="24"/>
    </w:rPr>
  </w:style>
  <w:style w:type="paragraph" w:styleId="16">
    <w:name w:val="Plain Text"/>
    <w:basedOn w:val="1"/>
    <w:link w:val="55"/>
    <w:qFormat/>
    <w:uiPriority w:val="0"/>
    <w:pPr>
      <w:spacing w:beforeLines="50" w:afterLines="50" w:line="400" w:lineRule="atLeast"/>
    </w:pPr>
    <w:rPr>
      <w:rFonts w:ascii="宋体" w:hAnsi="Courier New"/>
      <w:kern w:val="0"/>
      <w:sz w:val="24"/>
    </w:rPr>
  </w:style>
  <w:style w:type="paragraph" w:styleId="17">
    <w:name w:val="Date"/>
    <w:basedOn w:val="1"/>
    <w:next w:val="1"/>
    <w:link w:val="56"/>
    <w:unhideWhenUsed/>
    <w:qFormat/>
    <w:uiPriority w:val="99"/>
    <w:pPr>
      <w:ind w:left="100" w:leftChars="2500"/>
    </w:pPr>
  </w:style>
  <w:style w:type="paragraph" w:styleId="18">
    <w:name w:val="Balloon Text"/>
    <w:basedOn w:val="1"/>
    <w:link w:val="57"/>
    <w:unhideWhenUsed/>
    <w:qFormat/>
    <w:uiPriority w:val="99"/>
    <w:rPr>
      <w:sz w:val="18"/>
      <w:szCs w:val="18"/>
    </w:rPr>
  </w:style>
  <w:style w:type="paragraph" w:styleId="19">
    <w:name w:val="footer"/>
    <w:basedOn w:val="1"/>
    <w:link w:val="58"/>
    <w:unhideWhenUsed/>
    <w:qFormat/>
    <w:uiPriority w:val="99"/>
    <w:pPr>
      <w:tabs>
        <w:tab w:val="center" w:pos="4153"/>
        <w:tab w:val="right" w:pos="8306"/>
      </w:tabs>
      <w:snapToGrid w:val="0"/>
      <w:jc w:val="left"/>
    </w:pPr>
    <w:rPr>
      <w:sz w:val="18"/>
      <w:szCs w:val="18"/>
    </w:rPr>
  </w:style>
  <w:style w:type="paragraph" w:styleId="20">
    <w:name w:val="envelope return"/>
    <w:basedOn w:val="1"/>
    <w:qFormat/>
    <w:uiPriority w:val="0"/>
    <w:pPr>
      <w:snapToGrid w:val="0"/>
    </w:pPr>
    <w:rPr>
      <w:rFonts w:ascii="Arial" w:hAnsi="Arial"/>
    </w:rPr>
  </w:style>
  <w:style w:type="paragraph" w:styleId="21">
    <w:name w:val="header"/>
    <w:basedOn w:val="1"/>
    <w:link w:val="59"/>
    <w:unhideWhenUsed/>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3">
    <w:name w:val="index 7"/>
    <w:basedOn w:val="1"/>
    <w:next w:val="1"/>
    <w:unhideWhenUsed/>
    <w:qFormat/>
    <w:uiPriority w:val="99"/>
    <w:pPr>
      <w:ind w:left="1200" w:leftChars="1200"/>
    </w:pPr>
  </w:style>
  <w:style w:type="paragraph" w:styleId="24">
    <w:name w:val="toc 2"/>
    <w:basedOn w:val="1"/>
    <w:next w:val="1"/>
    <w:unhideWhenUsed/>
    <w:qFormat/>
    <w:uiPriority w:val="39"/>
    <w:pPr>
      <w:ind w:left="420" w:leftChars="200"/>
    </w:pPr>
  </w:style>
  <w:style w:type="paragraph" w:styleId="25">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6">
    <w:name w:val="Title"/>
    <w:basedOn w:val="1"/>
    <w:next w:val="1"/>
    <w:link w:val="60"/>
    <w:qFormat/>
    <w:uiPriority w:val="10"/>
    <w:pPr>
      <w:spacing w:before="240" w:after="60"/>
      <w:jc w:val="center"/>
      <w:outlineLvl w:val="0"/>
    </w:pPr>
    <w:rPr>
      <w:rFonts w:ascii="Cambria" w:hAnsi="Cambria" w:cs="Times New Roman"/>
      <w:b/>
      <w:bCs/>
      <w:sz w:val="32"/>
      <w:szCs w:val="32"/>
    </w:rPr>
  </w:style>
  <w:style w:type="table" w:styleId="28">
    <w:name w:val="Table Grid"/>
    <w:basedOn w:val="2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basedOn w:val="29"/>
    <w:qFormat/>
    <w:uiPriority w:val="0"/>
    <w:rPr>
      <w:b/>
      <w:bCs/>
    </w:rPr>
  </w:style>
  <w:style w:type="character" w:styleId="31">
    <w:name w:val="Hyperlink"/>
    <w:basedOn w:val="29"/>
    <w:unhideWhenUsed/>
    <w:qFormat/>
    <w:uiPriority w:val="99"/>
    <w:rPr>
      <w:color w:val="0000FF"/>
      <w:u w:val="single"/>
    </w:rPr>
  </w:style>
  <w:style w:type="paragraph" w:customStyle="1" w:styleId="32">
    <w:name w:val="正文 第一章"/>
    <w:basedOn w:val="1"/>
    <w:next w:val="33"/>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3">
    <w:name w:val="正文 1.1"/>
    <w:basedOn w:val="1"/>
    <w:next w:val="34"/>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4">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6">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7">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9">
    <w:name w:val="第四级"/>
    <w:basedOn w:val="1"/>
    <w:next w:val="38"/>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1">
    <w:name w:val="标题 2 New"/>
    <w:basedOn w:val="42"/>
    <w:next w:val="42"/>
    <w:qFormat/>
    <w:uiPriority w:val="0"/>
    <w:pPr>
      <w:keepNext/>
      <w:keepLines/>
      <w:spacing w:before="260" w:after="260" w:line="413" w:lineRule="auto"/>
      <w:outlineLvl w:val="1"/>
    </w:pPr>
    <w:rPr>
      <w:rFonts w:ascii="Arial" w:hAnsi="Arial" w:eastAsia="黑体"/>
      <w:b/>
      <w:bCs/>
      <w:sz w:val="32"/>
      <w:szCs w:val="32"/>
    </w:rPr>
  </w:style>
  <w:style w:type="paragraph" w:customStyle="1" w:styleId="4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5">
    <w:name w:val="Normal_0"/>
    <w:qFormat/>
    <w:uiPriority w:val="99"/>
    <w:rPr>
      <w:rFonts w:ascii="Calibri" w:hAnsi="Calibri" w:eastAsia="宋体" w:cs="Times New Roman"/>
      <w:sz w:val="24"/>
      <w:szCs w:val="24"/>
      <w:lang w:val="en-US" w:eastAsia="zh-CN" w:bidi="ar-SA"/>
    </w:rPr>
  </w:style>
  <w:style w:type="paragraph" w:customStyle="1" w:styleId="46">
    <w:name w:val="Default"/>
    <w:next w:val="24"/>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7">
    <w:name w:val="正文文本缩进 Char"/>
    <w:link w:val="3"/>
    <w:qFormat/>
    <w:locked/>
    <w:uiPriority w:val="0"/>
    <w:rPr>
      <w:rFonts w:ascii="宋体" w:hAnsi="Courier New" w:eastAsia="宋体"/>
      <w:spacing w:val="-4"/>
      <w:sz w:val="18"/>
    </w:rPr>
  </w:style>
  <w:style w:type="character" w:customStyle="1" w:styleId="48">
    <w:name w:val="标题 1 Char"/>
    <w:basedOn w:val="29"/>
    <w:link w:val="6"/>
    <w:qFormat/>
    <w:uiPriority w:val="0"/>
    <w:rPr>
      <w:rFonts w:ascii="宋体" w:hAnsi="Arial" w:eastAsia="黑体" w:cs="Times New Roman"/>
      <w:b/>
      <w:bCs/>
      <w:color w:val="000000"/>
      <w:kern w:val="44"/>
      <w:sz w:val="36"/>
      <w:szCs w:val="32"/>
    </w:rPr>
  </w:style>
  <w:style w:type="character" w:customStyle="1" w:styleId="49">
    <w:name w:val="标题 2 Char"/>
    <w:basedOn w:val="29"/>
    <w:link w:val="7"/>
    <w:semiHidden/>
    <w:qFormat/>
    <w:uiPriority w:val="9"/>
    <w:rPr>
      <w:rFonts w:ascii="Cambria" w:hAnsi="Cambria" w:eastAsia="宋体" w:cs="Times New Roman"/>
      <w:b/>
      <w:bCs/>
      <w:sz w:val="32"/>
      <w:szCs w:val="32"/>
    </w:rPr>
  </w:style>
  <w:style w:type="character" w:customStyle="1" w:styleId="50">
    <w:name w:val="标题 3 Char1"/>
    <w:basedOn w:val="29"/>
    <w:link w:val="8"/>
    <w:semiHidden/>
    <w:qFormat/>
    <w:uiPriority w:val="9"/>
    <w:rPr>
      <w:rFonts w:ascii="Times New Roman" w:hAnsi="Times New Roman" w:eastAsia="宋体" w:cs="Times New Roman"/>
      <w:b/>
      <w:bCs/>
      <w:sz w:val="32"/>
      <w:szCs w:val="32"/>
    </w:rPr>
  </w:style>
  <w:style w:type="character" w:customStyle="1" w:styleId="51">
    <w:name w:val="标题 4 Char"/>
    <w:basedOn w:val="29"/>
    <w:link w:val="9"/>
    <w:semiHidden/>
    <w:qFormat/>
    <w:uiPriority w:val="9"/>
    <w:rPr>
      <w:rFonts w:ascii="Cambria" w:hAnsi="Cambria" w:eastAsia="宋体" w:cs="Times New Roman"/>
      <w:b/>
      <w:bCs/>
      <w:sz w:val="28"/>
      <w:szCs w:val="28"/>
    </w:rPr>
  </w:style>
  <w:style w:type="character" w:customStyle="1" w:styleId="52">
    <w:name w:val="标题 5 Char"/>
    <w:basedOn w:val="29"/>
    <w:link w:val="10"/>
    <w:semiHidden/>
    <w:qFormat/>
    <w:uiPriority w:val="9"/>
    <w:rPr>
      <w:rFonts w:ascii="Times New Roman" w:hAnsi="Times New Roman" w:eastAsia="宋体" w:cs="Times New Roman"/>
      <w:b/>
      <w:bCs/>
      <w:sz w:val="28"/>
      <w:szCs w:val="28"/>
    </w:rPr>
  </w:style>
  <w:style w:type="character" w:customStyle="1" w:styleId="53">
    <w:name w:val="标题 6 Char"/>
    <w:basedOn w:val="29"/>
    <w:link w:val="11"/>
    <w:semiHidden/>
    <w:qFormat/>
    <w:uiPriority w:val="9"/>
    <w:rPr>
      <w:rFonts w:ascii="Cambria" w:hAnsi="Cambria" w:eastAsia="宋体" w:cs="Times New Roman"/>
      <w:b/>
      <w:bCs/>
      <w:sz w:val="24"/>
      <w:szCs w:val="24"/>
    </w:rPr>
  </w:style>
  <w:style w:type="character" w:customStyle="1" w:styleId="54">
    <w:name w:val="标题 7 Char"/>
    <w:basedOn w:val="29"/>
    <w:link w:val="12"/>
    <w:semiHidden/>
    <w:qFormat/>
    <w:uiPriority w:val="9"/>
    <w:rPr>
      <w:rFonts w:ascii="Times New Roman" w:hAnsi="Times New Roman" w:eastAsia="宋体" w:cs="Times New Roman"/>
      <w:b/>
      <w:bCs/>
      <w:sz w:val="24"/>
      <w:szCs w:val="24"/>
    </w:rPr>
  </w:style>
  <w:style w:type="character" w:customStyle="1" w:styleId="55">
    <w:name w:val="纯文本 Char1"/>
    <w:link w:val="16"/>
    <w:qFormat/>
    <w:uiPriority w:val="0"/>
    <w:rPr>
      <w:rFonts w:ascii="宋体" w:hAnsi="Courier New" w:eastAsia="宋体"/>
      <w:sz w:val="24"/>
    </w:rPr>
  </w:style>
  <w:style w:type="character" w:customStyle="1" w:styleId="56">
    <w:name w:val="日期 Char"/>
    <w:basedOn w:val="29"/>
    <w:link w:val="17"/>
    <w:semiHidden/>
    <w:qFormat/>
    <w:uiPriority w:val="99"/>
    <w:rPr>
      <w:rFonts w:ascii="Times New Roman" w:hAnsi="Times New Roman" w:eastAsia="宋体" w:cs="Times New Roman"/>
      <w:sz w:val="28"/>
      <w:szCs w:val="20"/>
    </w:rPr>
  </w:style>
  <w:style w:type="character" w:customStyle="1" w:styleId="57">
    <w:name w:val="批注框文本 Char"/>
    <w:basedOn w:val="29"/>
    <w:link w:val="18"/>
    <w:semiHidden/>
    <w:qFormat/>
    <w:uiPriority w:val="99"/>
    <w:rPr>
      <w:rFonts w:ascii="Times New Roman" w:hAnsi="Times New Roman" w:eastAsia="宋体" w:cs="Times New Roman"/>
      <w:sz w:val="18"/>
      <w:szCs w:val="18"/>
    </w:rPr>
  </w:style>
  <w:style w:type="character" w:customStyle="1" w:styleId="58">
    <w:name w:val="页脚 Char"/>
    <w:basedOn w:val="29"/>
    <w:link w:val="19"/>
    <w:qFormat/>
    <w:uiPriority w:val="99"/>
    <w:rPr>
      <w:rFonts w:ascii="Times New Roman" w:hAnsi="Times New Roman" w:eastAsia="宋体" w:cs="Times New Roman"/>
      <w:sz w:val="18"/>
      <w:szCs w:val="18"/>
    </w:rPr>
  </w:style>
  <w:style w:type="character" w:customStyle="1" w:styleId="59">
    <w:name w:val="页眉 Char"/>
    <w:basedOn w:val="29"/>
    <w:link w:val="21"/>
    <w:semiHidden/>
    <w:qFormat/>
    <w:uiPriority w:val="99"/>
    <w:rPr>
      <w:rFonts w:ascii="Times New Roman" w:hAnsi="Times New Roman" w:eastAsia="宋体" w:cs="Times New Roman"/>
      <w:sz w:val="18"/>
      <w:szCs w:val="18"/>
    </w:rPr>
  </w:style>
  <w:style w:type="character" w:customStyle="1" w:styleId="60">
    <w:name w:val="标题 Char"/>
    <w:basedOn w:val="29"/>
    <w:link w:val="26"/>
    <w:qFormat/>
    <w:uiPriority w:val="10"/>
    <w:rPr>
      <w:rFonts w:ascii="Cambria" w:hAnsi="Cambria" w:eastAsia="宋体" w:cs="Times New Roman"/>
      <w:b/>
      <w:bCs/>
      <w:sz w:val="32"/>
      <w:szCs w:val="32"/>
    </w:rPr>
  </w:style>
  <w:style w:type="character" w:customStyle="1" w:styleId="61">
    <w:name w:val="正文文本缩进 Char1"/>
    <w:basedOn w:val="29"/>
    <w:semiHidden/>
    <w:qFormat/>
    <w:uiPriority w:val="99"/>
    <w:rPr>
      <w:rFonts w:ascii="Times New Roman" w:hAnsi="Times New Roman" w:eastAsia="宋体" w:cs="Times New Roman"/>
      <w:sz w:val="28"/>
      <w:szCs w:val="20"/>
    </w:rPr>
  </w:style>
  <w:style w:type="character" w:customStyle="1" w:styleId="62">
    <w:name w:val="纯文本 Char"/>
    <w:basedOn w:val="29"/>
    <w:semiHidden/>
    <w:qFormat/>
    <w:uiPriority w:val="99"/>
    <w:rPr>
      <w:rFonts w:ascii="宋体" w:hAnsi="Courier New" w:eastAsia="宋体" w:cs="Courier New"/>
      <w:szCs w:val="21"/>
    </w:rPr>
  </w:style>
  <w:style w:type="character" w:customStyle="1" w:styleId="63">
    <w:name w:val="列出段落 Char"/>
    <w:link w:val="4"/>
    <w:qFormat/>
    <w:locked/>
    <w:uiPriority w:val="0"/>
    <w:rPr>
      <w:rFonts w:ascii="Times New Roman" w:hAnsi="Times New Roman" w:eastAsia="宋体" w:cs="Times New Roman"/>
      <w:sz w:val="28"/>
      <w:szCs w:val="20"/>
    </w:rPr>
  </w:style>
  <w:style w:type="character" w:customStyle="1" w:styleId="64">
    <w:name w:val="正文 第五章 中间"/>
    <w:qFormat/>
    <w:uiPriority w:val="0"/>
    <w:rPr>
      <w:b/>
      <w:bCs/>
      <w:color w:val="000000"/>
      <w:sz w:val="32"/>
    </w:rPr>
  </w:style>
  <w:style w:type="character" w:customStyle="1" w:styleId="65">
    <w:name w:val="标题 3 Char"/>
    <w:qFormat/>
    <w:uiPriority w:val="0"/>
    <w:rPr>
      <w:rFonts w:eastAsia="宋体"/>
      <w:b/>
      <w:bCs/>
      <w:kern w:val="2"/>
      <w:sz w:val="32"/>
      <w:szCs w:val="32"/>
      <w:lang w:val="en-US" w:eastAsia="zh-CN" w:bidi="ar-SA"/>
    </w:rPr>
  </w:style>
  <w:style w:type="paragraph" w:customStyle="1" w:styleId="66">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7">
    <w:name w:val="_Style 13"/>
    <w:basedOn w:val="1"/>
    <w:next w:val="4"/>
    <w:qFormat/>
    <w:uiPriority w:val="99"/>
    <w:pPr>
      <w:ind w:firstLine="420" w:firstLineChars="200"/>
    </w:pPr>
  </w:style>
  <w:style w:type="paragraph" w:customStyle="1" w:styleId="68">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69">
    <w:name w:val="正文_3"/>
    <w:qFormat/>
    <w:uiPriority w:val="0"/>
    <w:pPr>
      <w:widowControl w:val="0"/>
      <w:jc w:val="center"/>
    </w:pPr>
    <w:rPr>
      <w:rFonts w:ascii="宋体" w:hAnsi="宋体" w:eastAsia="宋体" w:cs="Times New Roman"/>
      <w:b/>
      <w:kern w:val="2"/>
      <w:sz w:val="44"/>
      <w:szCs w:val="4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37</Pages>
  <Words>16933</Words>
  <Characters>17399</Characters>
  <Lines>158</Lines>
  <Paragraphs>44</Paragraphs>
  <TotalTime>103</TotalTime>
  <ScaleCrop>false</ScaleCrop>
  <LinksUpToDate>false</LinksUpToDate>
  <CharactersWithSpaces>20043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2023-04-20T02:51:01Z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EC2D55065EE9410B8AC07D03BAF4E20B</vt:lpwstr>
  </property>
</Properties>
</file>