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1153</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sz w:val="52"/>
          <w:szCs w:val="52"/>
        </w:rPr>
      </w:pPr>
      <w:r>
        <w:rPr>
          <w:rFonts w:hint="eastAsia" w:ascii="华文中宋" w:hAnsi="华文中宋" w:eastAsia="华文中宋"/>
          <w:b/>
          <w:bCs/>
          <w:w w:val="90"/>
          <w:sz w:val="52"/>
          <w:szCs w:val="52"/>
          <w:lang w:val="en-US" w:eastAsia="zh-CN"/>
        </w:rPr>
        <w:t>2022-2024年度修缮工程造价咨询服务项目</w:t>
      </w: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12</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7"/>
      </w:pPr>
      <w:r>
        <w:rPr>
          <w:rFonts w:hint="eastAsia"/>
        </w:rPr>
        <w:t>目  录</w:t>
      </w:r>
    </w:p>
    <w:p>
      <w:pPr>
        <w:pStyle w:val="17"/>
      </w:pPr>
    </w:p>
    <w:p>
      <w:pPr>
        <w:pStyle w:val="17"/>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5"/>
          <w:rFonts w:hint="eastAsia"/>
        </w:rPr>
        <w:t>第一章</w:t>
      </w:r>
      <w:r>
        <w:rPr>
          <w:rStyle w:val="25"/>
        </w:rPr>
        <w:t xml:space="preserve">  </w:t>
      </w:r>
      <w:r>
        <w:rPr>
          <w:rStyle w:val="25"/>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5"/>
          <w:rFonts w:hint="eastAsia"/>
        </w:rPr>
        <w:t>第二章</w:t>
      </w:r>
      <w:r>
        <w:rPr>
          <w:rStyle w:val="25"/>
        </w:rPr>
        <w:t xml:space="preserve">  </w:t>
      </w:r>
      <w:r>
        <w:rPr>
          <w:rStyle w:val="25"/>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5"/>
          <w:rFonts w:hint="eastAsia"/>
        </w:rPr>
        <w:t>第三章</w:t>
      </w:r>
      <w:r>
        <w:rPr>
          <w:rStyle w:val="25"/>
        </w:rPr>
        <w:t xml:space="preserve">  </w:t>
      </w:r>
      <w:r>
        <w:rPr>
          <w:rStyle w:val="25"/>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5"/>
          <w:rFonts w:hint="eastAsia"/>
        </w:rPr>
        <w:t>第四章</w:t>
      </w:r>
      <w:r>
        <w:rPr>
          <w:rStyle w:val="25"/>
        </w:rPr>
        <w:t xml:space="preserve">  </w:t>
      </w:r>
      <w:r>
        <w:rPr>
          <w:rStyle w:val="25"/>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5"/>
          <w:rFonts w:hint="eastAsia" w:cs="华文中宋"/>
        </w:rPr>
        <w:t>第五章</w:t>
      </w:r>
      <w:r>
        <w:rPr>
          <w:rStyle w:val="25"/>
          <w:rFonts w:cs="华文中宋"/>
        </w:rPr>
        <w:t xml:space="preserve"> </w:t>
      </w:r>
      <w:r>
        <w:rPr>
          <w:rStyle w:val="25"/>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5"/>
          <w:rFonts w:hint="eastAsia" w:cs="华文中宋"/>
        </w:rPr>
        <w:t>第六章</w:t>
      </w:r>
      <w:r>
        <w:rPr>
          <w:rStyle w:val="25"/>
          <w:rFonts w:cs="华文中宋"/>
        </w:rPr>
        <w:t xml:space="preserve">  </w:t>
      </w:r>
      <w:r>
        <w:rPr>
          <w:rStyle w:val="25"/>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5"/>
          <w:rFonts w:hint="eastAsia"/>
        </w:rPr>
        <w:t>第七章</w:t>
      </w:r>
      <w:r>
        <w:rPr>
          <w:rStyle w:val="25"/>
        </w:rPr>
        <w:t xml:space="preserve">  </w:t>
      </w:r>
      <w:r>
        <w:rPr>
          <w:rStyle w:val="25"/>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 xml:space="preserve">我校2022-2024年度修缮工程造价咨询服务项目采取磋商的方式进行采购，现邀请符合资质条件的供应商参加投标和磋商。具体情况如下：    </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sz w:val="24"/>
          <w:szCs w:val="24"/>
          <w:lang w:eastAsia="zh-CN"/>
        </w:rPr>
        <w:t>皖南医学院</w:t>
      </w:r>
      <w:r>
        <w:rPr>
          <w:rFonts w:hint="eastAsia" w:ascii="仿宋_GB2312" w:eastAsia="仿宋_GB2312"/>
          <w:sz w:val="24"/>
          <w:szCs w:val="24"/>
        </w:rPr>
        <w:t>2022-2024年度修缮工程造价咨询服务项目；</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（二）项目编号：WYGZ202</w:t>
      </w:r>
      <w:r>
        <w:rPr>
          <w:rFonts w:hint="eastAsia" w:ascii="仿宋_GB2312" w:eastAsia="仿宋_GB2312"/>
          <w:sz w:val="24"/>
          <w:szCs w:val="24"/>
          <w:lang w:val="en-US" w:eastAsia="zh-CN"/>
        </w:rPr>
        <w:t>1</w:t>
      </w:r>
      <w:r>
        <w:rPr>
          <w:rFonts w:hint="eastAsia" w:ascii="仿宋_GB2312" w:eastAsia="仿宋_GB2312"/>
          <w:sz w:val="24"/>
          <w:szCs w:val="24"/>
        </w:rPr>
        <w:t>1</w:t>
      </w:r>
      <w:r>
        <w:rPr>
          <w:rFonts w:hint="eastAsia" w:ascii="仿宋_GB2312" w:eastAsia="仿宋_GB2312"/>
          <w:sz w:val="24"/>
          <w:szCs w:val="24"/>
          <w:lang w:val="en-US" w:eastAsia="zh-CN"/>
        </w:rPr>
        <w:t>53</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lang w:eastAsia="zh-CN"/>
        </w:rPr>
        <w:t>（三）</w:t>
      </w:r>
      <w:r>
        <w:rPr>
          <w:rFonts w:hint="eastAsia" w:ascii="仿宋_GB2312" w:eastAsia="仿宋_GB2312"/>
          <w:sz w:val="24"/>
          <w:szCs w:val="24"/>
        </w:rPr>
        <w:t>项目内容：详见项目需求。</w:t>
      </w:r>
    </w:p>
    <w:p>
      <w:pPr>
        <w:adjustRightInd w:val="0"/>
        <w:snapToGrid w:val="0"/>
        <w:spacing w:line="360" w:lineRule="auto"/>
        <w:ind w:firstLine="453" w:firstLineChars="189"/>
        <w:rPr>
          <w:rFonts w:hint="default" w:ascii="仿宋_GB2312" w:eastAsia="仿宋_GB2312"/>
          <w:sz w:val="24"/>
          <w:szCs w:val="24"/>
          <w:lang w:val="en-US" w:eastAsia="zh-CN"/>
        </w:rPr>
      </w:pPr>
      <w:r>
        <w:rPr>
          <w:rFonts w:hint="eastAsia" w:ascii="仿宋_GB2312" w:eastAsia="仿宋_GB2312"/>
          <w:sz w:val="24"/>
          <w:szCs w:val="24"/>
        </w:rPr>
        <w:t>（四）项目预算：</w:t>
      </w:r>
      <w:r>
        <w:rPr>
          <w:rFonts w:hint="eastAsia" w:ascii="仿宋_GB2312" w:eastAsia="仿宋_GB2312"/>
          <w:sz w:val="24"/>
          <w:szCs w:val="24"/>
          <w:lang w:val="en-US" w:eastAsia="zh-CN"/>
        </w:rPr>
        <w:t>15</w:t>
      </w:r>
      <w:r>
        <w:rPr>
          <w:rFonts w:hint="eastAsia" w:ascii="仿宋_GB2312" w:eastAsia="仿宋_GB2312"/>
          <w:sz w:val="24"/>
          <w:szCs w:val="24"/>
        </w:rPr>
        <w:t>万元</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（1）企业法人；</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（2）具备中华人民共和国住房和城乡建设部颁发的工程造价咨询企业资质证书；</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（3）具有本地化服务的能力；</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（4）拟派本项目负责人为注册造价工程师，并提供项目负责人近六个月（2021年6月-2021年11月）内任意一个月的社保缴费证明。</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（5）本项目不接受联合体投标。</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12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28</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5</w:t>
      </w:r>
      <w:r>
        <w:rPr>
          <w:rFonts w:hint="eastAsia" w:ascii="仿宋_GB2312" w:hAnsi="宋体" w:eastAsia="仿宋_GB2312" w:cs="宋体"/>
          <w:sz w:val="24"/>
          <w:szCs w:val="24"/>
          <w:lang w:val="zh-CN"/>
        </w:rPr>
        <w:t>日；</w:t>
      </w:r>
    </w:p>
    <w:p>
      <w:pPr>
        <w:pStyle w:val="19"/>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（二）报名方式：皖南医学院2022-2024年度修缮工程造价咨询服务项目（项目编号：WYGZ2021</w:t>
      </w:r>
      <w:r>
        <w:rPr>
          <w:rFonts w:hint="eastAsia" w:ascii="仿宋_GB2312" w:eastAsia="仿宋_GB2312" w:cs="宋体"/>
          <w:sz w:val="24"/>
          <w:szCs w:val="24"/>
          <w:lang w:val="en-US" w:eastAsia="zh-CN"/>
        </w:rPr>
        <w:t>53</w:t>
      </w:r>
      <w:r>
        <w:rPr>
          <w:rFonts w:hint="eastAsia" w:ascii="仿宋_GB2312" w:eastAsia="仿宋_GB2312" w:cs="宋体"/>
          <w:sz w:val="24"/>
          <w:szCs w:val="24"/>
          <w:lang w:val="zh-CN"/>
        </w:rPr>
        <w:t>）已在皖南医学院网上采购平台（http://wnmc.youzhicai.com/）发布，请潜在供应商在皖南医学院网上采购平台参与项目报名。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11</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11</w:t>
      </w:r>
      <w:r>
        <w:rPr>
          <w:rFonts w:hint="eastAsia" w:ascii="仿宋_GB2312" w:hAnsi="宋体" w:eastAsia="仿宋_GB2312"/>
          <w:spacing w:val="-6"/>
          <w:sz w:val="24"/>
          <w:szCs w:val="24"/>
        </w:rPr>
        <w:t>日9:30；</w:t>
      </w:r>
      <w:bookmarkStart w:id="152" w:name="_GoBack"/>
      <w:bookmarkEnd w:id="152"/>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12</w:t>
      </w:r>
      <w:r>
        <w:rPr>
          <w:rFonts w:hint="eastAsia" w:ascii="仿宋_GB2312" w:eastAsia="仿宋_GB2312"/>
          <w:sz w:val="24"/>
          <w:szCs w:val="24"/>
        </w:rPr>
        <w:t>月</w:t>
      </w:r>
      <w:r>
        <w:rPr>
          <w:rFonts w:hint="eastAsia" w:ascii="仿宋_GB2312" w:eastAsia="仿宋_GB2312"/>
          <w:sz w:val="24"/>
          <w:szCs w:val="24"/>
          <w:lang w:val="en-US" w:eastAsia="zh-CN"/>
        </w:rPr>
        <w:t>28</w:t>
      </w:r>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21"/>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皖南医学院2022-2024年度修缮工程造价咨询服务项目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联系人：方老师   </w:t>
            </w:r>
            <w:r>
              <w:rPr>
                <w:rFonts w:hint="eastAsia" w:ascii="仿宋_GB2312" w:hAnsi="仿宋_GB2312" w:eastAsia="仿宋_GB2312" w:cs="仿宋_GB2312"/>
                <w:b/>
                <w:kern w:val="0"/>
                <w:sz w:val="24"/>
                <w:szCs w:val="24"/>
              </w:rPr>
              <w:t xml:space="preserve"> </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无</w:t>
            </w:r>
            <w:r>
              <w:rPr>
                <w:rFonts w:hint="eastAsia" w:ascii="仿宋_GB2312" w:hAnsi="仿宋_GB2312" w:eastAsia="仿宋_GB2312"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金额：人民币</w:t>
            </w:r>
            <w:r>
              <w:rPr>
                <w:rFonts w:hint="eastAsia" w:ascii="仿宋_GB2312" w:hAnsi="仿宋_GB2312" w:eastAsia="仿宋_GB2312" w:cs="仿宋_GB2312"/>
                <w:kern w:val="0"/>
                <w:sz w:val="21"/>
                <w:szCs w:val="21"/>
                <w:lang w:val="en-US" w:eastAsia="zh-CN"/>
              </w:rPr>
              <w:t>7500</w:t>
            </w:r>
            <w:r>
              <w:rPr>
                <w:rFonts w:hint="eastAsia" w:ascii="仿宋_GB2312" w:hAnsi="仿宋_GB2312" w:eastAsia="仿宋_GB2312" w:cs="仿宋_GB2312"/>
                <w:kern w:val="0"/>
                <w:sz w:val="21"/>
                <w:szCs w:val="21"/>
              </w:rPr>
              <w:t>元。</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形式：从投标单位账户以转账方式汇入到达指定账户（注明“WYGZ202</w:t>
            </w:r>
            <w:r>
              <w:rPr>
                <w:rFonts w:hint="eastAsia" w:ascii="仿宋_GB2312" w:hAnsi="仿宋_GB2312" w:eastAsia="仿宋_GB2312" w:cs="仿宋_GB2312"/>
                <w:kern w:val="0"/>
                <w:sz w:val="21"/>
                <w:szCs w:val="21"/>
                <w:lang w:val="en-US" w:eastAsia="zh-CN"/>
              </w:rPr>
              <w:t>1153履约保</w:t>
            </w:r>
            <w:r>
              <w:rPr>
                <w:rFonts w:hint="eastAsia" w:ascii="仿宋_GB2312" w:hAnsi="仿宋_GB2312" w:eastAsia="仿宋_GB2312" w:cs="仿宋_GB2312"/>
                <w:kern w:val="0"/>
                <w:sz w:val="21"/>
                <w:szCs w:val="21"/>
              </w:rPr>
              <w:t>证金”）</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 户 名：皖南医学院</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开户银行：安徽省芜湖市建行中山路支行</w:t>
            </w:r>
          </w:p>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帐　　号：34001672208050139762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3"/>
        <w:snapToGrid w:val="0"/>
        <w:spacing w:before="0" w:after="0"/>
        <w:jc w:val="center"/>
        <w:rPr>
          <w:rFonts w:ascii="华文中宋" w:hAnsi="华文中宋" w:eastAsia="华文中宋"/>
          <w:color w:val="auto"/>
        </w:rPr>
      </w:pPr>
    </w:p>
    <w:p>
      <w:pPr>
        <w:pStyle w:val="3"/>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16938519"/>
      <w:bookmarkStart w:id="4" w:name="_Toc513029203"/>
      <w:bookmarkStart w:id="5" w:name="_Toc120614214"/>
      <w:bookmarkStart w:id="6" w:name="_Toc20823275"/>
      <w:bookmarkStart w:id="7" w:name="_Toc403987205"/>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16938520"/>
      <w:bookmarkStart w:id="10" w:name="_Toc20823276"/>
      <w:bookmarkStart w:id="11" w:name="_Toc513029204"/>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2"/>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20823277"/>
      <w:bookmarkStart w:id="13" w:name="_Toc16938521"/>
      <w:bookmarkStart w:id="14" w:name="_Toc513029205"/>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2"/>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2"/>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16938522"/>
      <w:bookmarkStart w:id="16" w:name="_Toc20823278"/>
      <w:bookmarkStart w:id="17" w:name="_Toc513029206"/>
      <w:r>
        <w:rPr>
          <w:rFonts w:hint="eastAsia" w:ascii="仿宋_GB2312" w:eastAsia="仿宋_GB2312"/>
          <w:sz w:val="24"/>
          <w:szCs w:val="24"/>
        </w:rPr>
        <w:t>4.适用法律</w:t>
      </w:r>
      <w:bookmarkEnd w:id="15"/>
      <w:bookmarkEnd w:id="16"/>
      <w:bookmarkEnd w:id="17"/>
    </w:p>
    <w:p>
      <w:pPr>
        <w:pStyle w:val="32"/>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513029207"/>
      <w:bookmarkStart w:id="19" w:name="_Toc16938523"/>
      <w:bookmarkStart w:id="20" w:name="_Toc462564067"/>
      <w:bookmarkStart w:id="21" w:name="_Toc20823279"/>
      <w:r>
        <w:rPr>
          <w:rFonts w:hint="eastAsia" w:ascii="仿宋_GB2312" w:eastAsia="仿宋_GB2312"/>
          <w:sz w:val="24"/>
          <w:szCs w:val="24"/>
        </w:rPr>
        <w:t>5.磋商费用</w:t>
      </w:r>
      <w:bookmarkEnd w:id="18"/>
      <w:bookmarkEnd w:id="19"/>
      <w:bookmarkEnd w:id="20"/>
      <w:bookmarkEnd w:id="21"/>
    </w:p>
    <w:p>
      <w:pPr>
        <w:pStyle w:val="32"/>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2"/>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2"/>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403987206"/>
      <w:bookmarkStart w:id="23" w:name="_Toc16938525"/>
      <w:bookmarkStart w:id="24" w:name="_Toc120614215"/>
      <w:bookmarkStart w:id="25" w:name="_Toc20823281"/>
      <w:bookmarkStart w:id="26" w:name="_Toc513029209"/>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513029210"/>
      <w:bookmarkStart w:id="28" w:name="_Toc16938526"/>
      <w:bookmarkStart w:id="29" w:name="_Toc20823282"/>
      <w:r>
        <w:rPr>
          <w:rFonts w:hint="eastAsia" w:ascii="仿宋_GB2312" w:eastAsia="仿宋_GB2312"/>
          <w:sz w:val="24"/>
          <w:szCs w:val="24"/>
        </w:rPr>
        <w:t>1.磋商文件构成</w:t>
      </w:r>
      <w:bookmarkEnd w:id="27"/>
      <w:bookmarkEnd w:id="28"/>
      <w:bookmarkEnd w:id="29"/>
    </w:p>
    <w:p>
      <w:pPr>
        <w:pStyle w:val="32"/>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2"/>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2"/>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2"/>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2"/>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2"/>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2"/>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2"/>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16938527"/>
      <w:bookmarkStart w:id="31" w:name="_Toc462564070"/>
      <w:bookmarkStart w:id="32" w:name="_Toc513029211"/>
      <w:bookmarkStart w:id="33" w:name="_Toc20823283"/>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2"/>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16938529"/>
      <w:bookmarkStart w:id="35" w:name="_Toc20823285"/>
      <w:bookmarkStart w:id="36" w:name="_Toc403987207"/>
      <w:bookmarkStart w:id="37" w:name="_Toc513029213"/>
      <w:bookmarkStart w:id="38" w:name="_Toc120614216"/>
      <w:bookmarkStart w:id="39" w:name="_Toc462564072"/>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462564073"/>
      <w:bookmarkStart w:id="42" w:name="_Toc513029214"/>
      <w:bookmarkStart w:id="43" w:name="_Toc16938530"/>
      <w:bookmarkStart w:id="44" w:name="_Toc20823286"/>
      <w:r>
        <w:rPr>
          <w:rFonts w:hint="eastAsia" w:ascii="仿宋_GB2312" w:eastAsia="仿宋_GB2312"/>
          <w:sz w:val="24"/>
          <w:szCs w:val="24"/>
        </w:rPr>
        <w:t>3.响应文件的语言及度量衡单位</w:t>
      </w:r>
      <w:bookmarkEnd w:id="41"/>
      <w:bookmarkEnd w:id="42"/>
      <w:bookmarkEnd w:id="43"/>
      <w:bookmarkEnd w:id="44"/>
    </w:p>
    <w:p>
      <w:pPr>
        <w:pStyle w:val="32"/>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2"/>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462564074"/>
      <w:bookmarkStart w:id="46" w:name="_Toc16938531"/>
      <w:bookmarkStart w:id="47" w:name="_Toc513029215"/>
      <w:bookmarkStart w:id="48" w:name="_Toc20823287"/>
      <w:r>
        <w:rPr>
          <w:rFonts w:hint="eastAsia" w:ascii="仿宋_GB2312" w:eastAsia="仿宋_GB2312"/>
          <w:sz w:val="24"/>
          <w:szCs w:val="24"/>
        </w:rPr>
        <w:t>4.响应文件构成</w:t>
      </w:r>
      <w:bookmarkEnd w:id="45"/>
      <w:bookmarkEnd w:id="46"/>
      <w:bookmarkEnd w:id="47"/>
      <w:bookmarkEnd w:id="48"/>
    </w:p>
    <w:p>
      <w:pPr>
        <w:pStyle w:val="32"/>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2"/>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954838"/>
      <w:bookmarkEnd w:id="49"/>
      <w:bookmarkStart w:id="50" w:name="_Hlt26668975"/>
      <w:bookmarkEnd w:id="50"/>
      <w:bookmarkStart w:id="51" w:name="_Hlt26670360"/>
      <w:bookmarkEnd w:id="51"/>
      <w:bookmarkStart w:id="52" w:name="_Toc14577357"/>
      <w:bookmarkStart w:id="53" w:name="_Toc513029219"/>
      <w:bookmarkStart w:id="54" w:name="_Toc49090509"/>
      <w:bookmarkStart w:id="55" w:name="_Toc49090507"/>
      <w:bookmarkStart w:id="56" w:name="_Toc513029216"/>
      <w:bookmarkStart w:id="57" w:name="_Toc14577354"/>
      <w:r>
        <w:rPr>
          <w:rFonts w:hint="eastAsia" w:ascii="仿宋_GB2312" w:eastAsia="仿宋_GB2312"/>
          <w:sz w:val="24"/>
          <w:szCs w:val="24"/>
        </w:rPr>
        <w:t>5.证明供应商资格及符合磋商文件规定的文件</w:t>
      </w:r>
      <w:bookmarkEnd w:id="52"/>
      <w:bookmarkEnd w:id="53"/>
      <w:bookmarkEnd w:id="54"/>
    </w:p>
    <w:p>
      <w:pPr>
        <w:pStyle w:val="32"/>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2"/>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2"/>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2"/>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2"/>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2"/>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8"/>
      <w:bookmarkEnd w:id="63"/>
      <w:bookmarkStart w:id="64" w:name="_Hlt26670486"/>
      <w:bookmarkEnd w:id="64"/>
      <w:bookmarkStart w:id="65" w:name="_Hlt26954731"/>
      <w:bookmarkEnd w:id="65"/>
      <w:bookmarkStart w:id="66" w:name="_Hlt26954846"/>
      <w:bookmarkEnd w:id="66"/>
      <w:bookmarkStart w:id="67" w:name="_Hlt26670482"/>
      <w:bookmarkEnd w:id="67"/>
      <w:bookmarkStart w:id="68" w:name="_Hlt26954739"/>
      <w:bookmarkEnd w:id="68"/>
      <w:bookmarkStart w:id="69" w:name="_Hlt26954852"/>
      <w:bookmarkEnd w:id="69"/>
      <w:bookmarkStart w:id="70" w:name="_Toc14577361"/>
      <w:bookmarkStart w:id="71" w:name="_Toc49090512"/>
      <w:r>
        <w:rPr>
          <w:rFonts w:hint="eastAsia" w:ascii="仿宋_GB2312" w:eastAsia="仿宋_GB2312"/>
          <w:sz w:val="24"/>
          <w:szCs w:val="24"/>
          <w:lang w:val="en-US" w:eastAsia="zh-CN"/>
        </w:rPr>
        <w:t>8</w:t>
      </w:r>
      <w:r>
        <w:rPr>
          <w:rFonts w:hint="eastAsia" w:ascii="仿宋_GB2312" w:eastAsia="仿宋_GB2312"/>
          <w:sz w:val="24"/>
          <w:szCs w:val="24"/>
        </w:rPr>
        <w:t>.响应文件份数和签署</w:t>
      </w:r>
      <w:bookmarkEnd w:id="70"/>
      <w:bookmarkEnd w:id="71"/>
    </w:p>
    <w:p>
      <w:pPr>
        <w:pStyle w:val="32"/>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2"/>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2"/>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2" w:name="_Toc20823296"/>
      <w:bookmarkStart w:id="73" w:name="_Toc513029224"/>
      <w:bookmarkStart w:id="74" w:name="_Toc120614217"/>
      <w:bookmarkStart w:id="75" w:name="_Toc403987208"/>
      <w:bookmarkStart w:id="76" w:name="_Toc16938540"/>
      <w:r>
        <w:rPr>
          <w:rFonts w:hint="eastAsia" w:ascii="仿宋_GB2312" w:hAnsi="宋体" w:eastAsia="仿宋_GB2312"/>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仿宋_GB2312" w:eastAsia="仿宋_GB2312"/>
          <w:sz w:val="24"/>
          <w:szCs w:val="24"/>
        </w:rPr>
      </w:pPr>
      <w:bookmarkStart w:id="77" w:name="_Toc20823297"/>
      <w:bookmarkStart w:id="78" w:name="_Toc462564084"/>
      <w:bookmarkStart w:id="79" w:name="_Toc16938541"/>
      <w:bookmarkStart w:id="80" w:name="_Toc513029225"/>
      <w:r>
        <w:rPr>
          <w:rFonts w:hint="eastAsia" w:ascii="仿宋_GB2312" w:eastAsia="仿宋_GB2312"/>
          <w:sz w:val="24"/>
          <w:szCs w:val="24"/>
        </w:rPr>
        <w:t>1.响应文件的密封和标记</w:t>
      </w:r>
      <w:bookmarkEnd w:id="77"/>
      <w:bookmarkEnd w:id="78"/>
      <w:bookmarkEnd w:id="79"/>
      <w:bookmarkEnd w:id="80"/>
    </w:p>
    <w:p>
      <w:pPr>
        <w:pStyle w:val="32"/>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2"/>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2"/>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2"/>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2"/>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1" w:name="_Toc20823298"/>
      <w:bookmarkStart w:id="82" w:name="_Toc513029226"/>
      <w:bookmarkStart w:id="83" w:name="_Toc16938542"/>
      <w:r>
        <w:rPr>
          <w:rFonts w:hint="eastAsia" w:ascii="仿宋_GB2312" w:eastAsia="仿宋_GB2312"/>
          <w:sz w:val="24"/>
          <w:szCs w:val="24"/>
        </w:rPr>
        <w:t>2.响应文件提交截止</w:t>
      </w:r>
      <w:bookmarkEnd w:id="81"/>
      <w:bookmarkEnd w:id="82"/>
      <w:bookmarkEnd w:id="83"/>
      <w:r>
        <w:rPr>
          <w:rFonts w:hint="eastAsia" w:ascii="仿宋_GB2312" w:eastAsia="仿宋_GB2312"/>
          <w:sz w:val="24"/>
          <w:szCs w:val="24"/>
        </w:rPr>
        <w:t>时间</w:t>
      </w:r>
    </w:p>
    <w:p>
      <w:pPr>
        <w:pStyle w:val="32"/>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2"/>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2"/>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2"/>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84" w:name="_Toc20823303"/>
      <w:bookmarkStart w:id="85" w:name="_Toc513029231"/>
      <w:bookmarkStart w:id="86" w:name="_Toc16938547"/>
      <w:r>
        <w:rPr>
          <w:rFonts w:hint="eastAsia" w:ascii="仿宋_GB2312" w:eastAsia="仿宋_GB2312"/>
          <w:sz w:val="24"/>
          <w:szCs w:val="24"/>
        </w:rPr>
        <w:t>2.磋商小组</w:t>
      </w:r>
    </w:p>
    <w:p>
      <w:pPr>
        <w:pStyle w:val="32"/>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2"/>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87" w:name="_Toc513029232"/>
      <w:bookmarkStart w:id="88" w:name="_Toc16938548"/>
      <w:bookmarkStart w:id="89" w:name="_Toc20823304"/>
      <w:r>
        <w:rPr>
          <w:rFonts w:hint="eastAsia" w:ascii="仿宋_GB2312" w:eastAsia="仿宋_GB2312"/>
          <w:sz w:val="24"/>
          <w:szCs w:val="24"/>
        </w:rPr>
        <w:t>4.供应商澄清</w:t>
      </w:r>
      <w:bookmarkEnd w:id="87"/>
      <w:bookmarkEnd w:id="88"/>
      <w:bookmarkEnd w:id="89"/>
    </w:p>
    <w:p>
      <w:pPr>
        <w:adjustRightInd w:val="0"/>
        <w:snapToGrid w:val="0"/>
        <w:spacing w:line="360" w:lineRule="auto"/>
        <w:ind w:firstLine="480" w:firstLineChars="200"/>
        <w:rPr>
          <w:rFonts w:ascii="仿宋_GB2312" w:eastAsia="仿宋_GB2312"/>
          <w:sz w:val="24"/>
          <w:szCs w:val="24"/>
        </w:rPr>
      </w:pPr>
      <w:bookmarkStart w:id="90" w:name="_Toc20823305"/>
      <w:bookmarkStart w:id="91" w:name="_Toc16938549"/>
      <w:bookmarkStart w:id="92" w:name="_Toc513029233"/>
      <w:r>
        <w:rPr>
          <w:rFonts w:hint="eastAsia" w:ascii="仿宋_GB2312" w:eastAsia="仿宋_GB2312"/>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2"/>
        <w:snapToGrid w:val="0"/>
        <w:rPr>
          <w:rFonts w:ascii="仿宋_GB2312" w:hAnsi="宋体" w:eastAsia="仿宋_GB2312"/>
          <w:sz w:val="24"/>
          <w:szCs w:val="24"/>
        </w:rPr>
      </w:pPr>
      <w:bookmarkStart w:id="93" w:name="_Toc20823307"/>
      <w:bookmarkStart w:id="94" w:name="_Toc16938551"/>
      <w:bookmarkStart w:id="95" w:name="_Toc513029235"/>
      <w:r>
        <w:rPr>
          <w:rFonts w:hint="eastAsia" w:ascii="仿宋_GB2312" w:hAnsi="宋体" w:eastAsia="仿宋_GB2312"/>
          <w:sz w:val="24"/>
          <w:szCs w:val="24"/>
        </w:rPr>
        <w:t>（1）响应无效条款</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1</w:t>
      </w:r>
      <w:r>
        <w:rPr>
          <w:rFonts w:hint="eastAsia" w:ascii="仿宋_GB2312" w:hAnsi="宋体" w:eastAsia="仿宋_GB2312"/>
          <w:sz w:val="24"/>
          <w:szCs w:val="24"/>
        </w:rPr>
        <w:t>）未按照磋商文件规定要求密封、签署、盖章的；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2</w:t>
      </w:r>
      <w:r>
        <w:rPr>
          <w:rFonts w:hint="eastAsia" w:ascii="仿宋_GB2312" w:hAnsi="宋体" w:eastAsia="仿宋_GB2312"/>
          <w:sz w:val="24"/>
          <w:szCs w:val="24"/>
        </w:rPr>
        <w:t>）供应商不具备磋商文件中规定资格条件的；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3</w:t>
      </w:r>
      <w:r>
        <w:rPr>
          <w:rFonts w:hint="eastAsia" w:ascii="仿宋_GB2312" w:hAnsi="宋体" w:eastAsia="仿宋_GB2312"/>
          <w:sz w:val="24"/>
          <w:szCs w:val="24"/>
        </w:rPr>
        <w:t>）不符合法律、法规和磋商文件中规定的其他实质性要求的（本磋商文件中斜体且有下划线部分为实质性要求和条件）；</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4</w:t>
      </w:r>
      <w:r>
        <w:rPr>
          <w:rFonts w:hint="eastAsia" w:ascii="仿宋_GB2312" w:hAnsi="宋体" w:eastAsia="仿宋_GB2312"/>
          <w:sz w:val="24"/>
          <w:szCs w:val="24"/>
        </w:rPr>
        <w:t>）其他法律、法规及本磋商文件规定的属响应无效的情形。</w:t>
      </w:r>
    </w:p>
    <w:p>
      <w:pPr>
        <w:pStyle w:val="32"/>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仿宋_GB2312" w:eastAsia="仿宋_GB2312"/>
          <w:sz w:val="24"/>
          <w:szCs w:val="24"/>
        </w:rPr>
      </w:pPr>
      <w:bookmarkStart w:id="96" w:name="_Toc16938554"/>
      <w:bookmarkStart w:id="97" w:name="_Toc20823310"/>
      <w:r>
        <w:rPr>
          <w:rFonts w:hint="eastAsia" w:ascii="仿宋_GB2312" w:eastAsia="仿宋_GB2312"/>
          <w:sz w:val="24"/>
          <w:szCs w:val="24"/>
        </w:rPr>
        <w:t>8.确定</w:t>
      </w:r>
      <w:bookmarkEnd w:id="96"/>
      <w:bookmarkEnd w:id="97"/>
      <w:r>
        <w:rPr>
          <w:rFonts w:hint="eastAsia" w:ascii="仿宋_GB2312" w:eastAsia="仿宋_GB2312"/>
          <w:sz w:val="24"/>
          <w:szCs w:val="24"/>
        </w:rPr>
        <w:t>成交供应商</w:t>
      </w:r>
    </w:p>
    <w:p>
      <w:pPr>
        <w:pStyle w:val="32"/>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98" w:name="_Toc403987211"/>
      <w:bookmarkStart w:id="99" w:name="_Toc120614220"/>
      <w:bookmarkStart w:id="100" w:name="_Toc20823308"/>
      <w:bookmarkStart w:id="101" w:name="_Toc16938552"/>
      <w:bookmarkStart w:id="102" w:name="_Toc513029236"/>
      <w:r>
        <w:rPr>
          <w:rFonts w:hint="eastAsia" w:ascii="仿宋_GB2312" w:hAnsi="宋体" w:eastAsia="仿宋_GB2312"/>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20823309"/>
      <w:bookmarkStart w:id="104" w:name="_Toc16938553"/>
      <w:bookmarkStart w:id="105" w:name="_Toc513029237"/>
      <w:r>
        <w:rPr>
          <w:rFonts w:hint="eastAsia" w:ascii="仿宋_GB2312" w:eastAsia="仿宋_GB2312"/>
          <w:sz w:val="24"/>
          <w:szCs w:val="24"/>
        </w:rPr>
        <w:t>1.签订合同</w:t>
      </w:r>
    </w:p>
    <w:p>
      <w:pPr>
        <w:pStyle w:val="32"/>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2"/>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2"/>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2"/>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06" w:name="_Toc200451963"/>
      <w:r>
        <w:rPr>
          <w:rFonts w:hint="eastAsia" w:ascii="仿宋_GB2312" w:hAnsi="宋体" w:eastAsia="仿宋_GB2312"/>
          <w:sz w:val="24"/>
          <w:szCs w:val="24"/>
        </w:rPr>
        <w:t>，不足部分在双方签订合同前交齐。</w:t>
      </w:r>
    </w:p>
    <w:bookmarkEnd w:id="106"/>
    <w:p>
      <w:pPr>
        <w:pStyle w:val="32"/>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ascii="仿宋_GB2312" w:hAnsi="宋体" w:eastAsia="仿宋_GB2312" w:cs="宋体"/>
          <w:b/>
          <w:kern w:val="0"/>
          <w:sz w:val="32"/>
          <w:szCs w:val="32"/>
        </w:rPr>
      </w:pPr>
      <w:bookmarkStart w:id="107" w:name="_Toc52892866"/>
      <w:r>
        <w:rPr>
          <w:rFonts w:hint="eastAsia" w:ascii="华文中宋" w:hAnsi="华文中宋" w:eastAsia="华文中宋" w:cs="华文中宋"/>
          <w:szCs w:val="36"/>
          <w:lang w:eastAsia="zh-CN"/>
        </w:rPr>
        <w:tab/>
      </w:r>
      <w:r>
        <w:rPr>
          <w:rFonts w:hint="eastAsia" w:ascii="仿宋_GB2312" w:hAnsi="仿宋_GB2312" w:eastAsia="仿宋_GB2312" w:cs="仿宋_GB2312"/>
          <w:b/>
          <w:bCs/>
          <w:sz w:val="32"/>
          <w:szCs w:val="32"/>
          <w:lang w:eastAsia="zh-CN"/>
        </w:rPr>
        <w:t>皖南医学院</w:t>
      </w:r>
      <w:r>
        <w:rPr>
          <w:rFonts w:hint="eastAsia" w:ascii="仿宋_GB2312" w:hAnsi="宋体" w:eastAsia="仿宋_GB2312" w:cs="宋体"/>
          <w:b/>
          <w:bCs/>
          <w:kern w:val="0"/>
          <w:sz w:val="32"/>
          <w:szCs w:val="32"/>
        </w:rPr>
        <w:t>2022-2024年度修缮工程造价咨询服务项目</w:t>
      </w:r>
      <w:r>
        <w:rPr>
          <w:rFonts w:hint="eastAsia" w:ascii="仿宋_GB2312" w:hAnsi="宋体" w:eastAsia="仿宋_GB2312" w:cs="宋体"/>
          <w:b/>
          <w:kern w:val="0"/>
          <w:sz w:val="32"/>
          <w:szCs w:val="32"/>
        </w:rPr>
        <w:t>合同</w:t>
      </w:r>
    </w:p>
    <w:p>
      <w:pPr>
        <w:spacing w:line="360" w:lineRule="auto"/>
        <w:jc w:val="left"/>
        <w:rPr>
          <w:rFonts w:hint="eastAsia" w:ascii="仿宋_GB2312" w:hAnsi="宋体" w:eastAsia="仿宋_GB2312" w:cs="宋体"/>
          <w:b/>
          <w:kern w:val="0"/>
          <w:sz w:val="24"/>
          <w:lang w:val="en-US" w:eastAsia="zh-CN"/>
        </w:rPr>
      </w:pPr>
      <w:r>
        <w:rPr>
          <w:rFonts w:hint="eastAsia" w:ascii="仿宋_GB2312" w:hAnsi="宋体" w:eastAsia="仿宋_GB2312" w:cs="宋体"/>
          <w:b/>
          <w:kern w:val="0"/>
          <w:sz w:val="24"/>
        </w:rPr>
        <w:t xml:space="preserve">                                 </w:t>
      </w:r>
      <w:r>
        <w:rPr>
          <w:rFonts w:hint="eastAsia" w:ascii="仿宋_GB2312" w:hAnsi="宋体" w:eastAsia="仿宋_GB2312" w:cs="宋体"/>
          <w:b/>
          <w:kern w:val="0"/>
          <w:sz w:val="24"/>
          <w:lang w:val="en-US" w:eastAsia="zh-CN"/>
        </w:rPr>
        <w:t xml:space="preserve">        </w:t>
      </w:r>
    </w:p>
    <w:p>
      <w:pPr>
        <w:spacing w:line="360" w:lineRule="auto"/>
        <w:ind w:firstLine="5301" w:firstLineChars="2200"/>
        <w:jc w:val="left"/>
        <w:rPr>
          <w:rFonts w:ascii="仿宋_GB2312" w:hAnsi="宋体" w:eastAsia="仿宋_GB2312" w:cs="宋体"/>
          <w:b/>
          <w:kern w:val="0"/>
          <w:sz w:val="24"/>
        </w:rPr>
      </w:pPr>
      <w:r>
        <w:rPr>
          <w:rFonts w:hint="eastAsia" w:ascii="仿宋_GB2312" w:hAnsi="宋体" w:eastAsia="仿宋_GB2312" w:cs="宋体"/>
          <w:b/>
          <w:kern w:val="0"/>
          <w:sz w:val="24"/>
        </w:rPr>
        <w:t>合同编号WYHT2021XXX--01</w:t>
      </w:r>
    </w:p>
    <w:p>
      <w:pPr>
        <w:spacing w:line="480" w:lineRule="auto"/>
        <w:jc w:val="left"/>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u w:val="single"/>
        </w:rPr>
        <w:t xml:space="preserve"> 皖南医学院</w:t>
      </w:r>
      <w:r>
        <w:rPr>
          <w:rFonts w:hint="eastAsia" w:ascii="宋体" w:hAnsi="宋体"/>
          <w:color w:val="0C0C0C" w:themeColor="text1" w:themeTint="F2"/>
          <w:spacing w:val="20"/>
          <w:sz w:val="28"/>
          <w:szCs w:val="28"/>
        </w:rPr>
        <w:t xml:space="preserve">（以下简称委托人）与（以下简称咨询人）经过双方协商一致，签订本合同。 </w:t>
      </w:r>
    </w:p>
    <w:p>
      <w:pPr>
        <w:tabs>
          <w:tab w:val="left" w:pos="1260"/>
        </w:tabs>
        <w:spacing w:line="480" w:lineRule="auto"/>
        <w:ind w:left="241" w:leftChars="86" w:right="-67" w:rightChars="-24"/>
        <w:rPr>
          <w:rFonts w:hint="eastAsia"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一、委托人委托咨询人为以下项目提供工程造价咨询服务：</w:t>
      </w:r>
    </w:p>
    <w:p>
      <w:pPr>
        <w:tabs>
          <w:tab w:val="left" w:pos="1260"/>
        </w:tabs>
        <w:spacing w:line="480" w:lineRule="auto"/>
        <w:ind w:left="241" w:leftChars="86" w:right="-67" w:rightChars="-24"/>
        <w:rPr>
          <w:rFonts w:hint="eastAsia"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1.项目名称：皖南医学院2022-2024年度修缮工程造价咨询服务项目</w:t>
      </w:r>
    </w:p>
    <w:p>
      <w:pPr>
        <w:tabs>
          <w:tab w:val="left" w:pos="1260"/>
        </w:tabs>
        <w:spacing w:line="480" w:lineRule="auto"/>
        <w:ind w:left="241" w:leftChars="86"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2.服务类别：</w:t>
      </w:r>
      <w:r>
        <w:rPr>
          <w:rFonts w:hint="eastAsia" w:ascii="宋体" w:hAnsi="宋体"/>
          <w:bCs/>
          <w:color w:val="0C0C0C" w:themeColor="text1" w:themeTint="F2"/>
          <w:sz w:val="28"/>
          <w:szCs w:val="28"/>
        </w:rPr>
        <w:t>（1）</w:t>
      </w:r>
      <w:r>
        <w:rPr>
          <w:rFonts w:hint="eastAsia" w:ascii="宋体" w:hAnsi="宋体"/>
          <w:color w:val="0C0C0C" w:themeColor="text1" w:themeTint="F2"/>
          <w:kern w:val="0"/>
          <w:sz w:val="28"/>
          <w:szCs w:val="28"/>
        </w:rPr>
        <w:t>修缮工程结算审核；（2）其他类型（跟踪  审计等）工程造价咨询项目</w:t>
      </w:r>
    </w:p>
    <w:p>
      <w:pPr>
        <w:tabs>
          <w:tab w:val="left" w:pos="1260"/>
        </w:tabs>
        <w:spacing w:line="480" w:lineRule="auto"/>
        <w:ind w:left="241" w:leftChars="86" w:right="-67" w:rightChars="-24"/>
        <w:rPr>
          <w:rFonts w:hint="eastAsia"/>
          <w:color w:val="0C0C0C" w:themeColor="text1" w:themeTint="F2"/>
          <w:sz w:val="28"/>
          <w:szCs w:val="28"/>
        </w:rPr>
      </w:pPr>
      <w:r>
        <w:rPr>
          <w:rFonts w:hint="eastAsia"/>
          <w:color w:val="0C0C0C" w:themeColor="text1" w:themeTint="F2"/>
          <w:sz w:val="28"/>
          <w:szCs w:val="28"/>
        </w:rPr>
        <w:t xml:space="preserve">  二、本合同的措词和用语与所属工程造价咨询合同条件及有关附件同义。</w:t>
      </w:r>
    </w:p>
    <w:p>
      <w:pPr>
        <w:tabs>
          <w:tab w:val="left" w:pos="1260"/>
        </w:tabs>
        <w:spacing w:line="480" w:lineRule="auto"/>
        <w:ind w:left="241" w:leftChars="86" w:right="-67" w:rightChars="-24"/>
        <w:rPr>
          <w:color w:val="0C0C0C" w:themeColor="text1" w:themeTint="F2"/>
          <w:sz w:val="28"/>
          <w:szCs w:val="28"/>
        </w:rPr>
      </w:pPr>
      <w:r>
        <w:rPr>
          <w:rFonts w:hint="eastAsia"/>
          <w:color w:val="0C0C0C" w:themeColor="text1" w:themeTint="F2"/>
          <w:sz w:val="28"/>
          <w:szCs w:val="28"/>
        </w:rPr>
        <w:t xml:space="preserve">  三、下列文件均为本合同的组成部分：</w:t>
      </w:r>
    </w:p>
    <w:p>
      <w:pPr>
        <w:spacing w:line="480" w:lineRule="auto"/>
        <w:ind w:left="540"/>
        <w:rPr>
          <w:rFonts w:ascii="宋体" w:hAnsi="宋体"/>
          <w:color w:val="0C0C0C" w:themeColor="text1" w:themeTint="F2"/>
          <w:sz w:val="28"/>
          <w:szCs w:val="28"/>
        </w:rPr>
      </w:pPr>
      <w:r>
        <w:rPr>
          <w:rFonts w:hint="eastAsia" w:ascii="宋体" w:hAnsi="宋体"/>
          <w:color w:val="0C0C0C" w:themeColor="text1" w:themeTint="F2"/>
          <w:sz w:val="28"/>
          <w:szCs w:val="28"/>
        </w:rPr>
        <w:t xml:space="preserve"> 1.工程造价咨询合同标准条款；</w:t>
      </w:r>
    </w:p>
    <w:p>
      <w:pPr>
        <w:spacing w:line="480" w:lineRule="auto"/>
        <w:ind w:left="540"/>
        <w:rPr>
          <w:rFonts w:ascii="宋体" w:hAnsi="宋体"/>
          <w:color w:val="0C0C0C" w:themeColor="text1" w:themeTint="F2"/>
          <w:sz w:val="28"/>
          <w:szCs w:val="28"/>
        </w:rPr>
      </w:pPr>
      <w:r>
        <w:rPr>
          <w:rFonts w:hint="eastAsia" w:ascii="宋体" w:hAnsi="宋体"/>
          <w:color w:val="0C0C0C" w:themeColor="text1" w:themeTint="F2"/>
          <w:sz w:val="28"/>
          <w:szCs w:val="28"/>
        </w:rPr>
        <w:t xml:space="preserve"> 2.工程造价咨询合同专用条款；</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3．中标通知书；</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4．投标书及其附件；</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5．招标文件；</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6．工程造价咨询合同执行中共同签署的补充与修正文件。</w:t>
      </w:r>
    </w:p>
    <w:p>
      <w:pPr>
        <w:spacing w:line="480" w:lineRule="auto"/>
        <w:ind w:left="-106" w:leftChars="-38"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四、咨询人同意按照本合同的规定，承担本合同</w:t>
      </w:r>
      <w:r>
        <w:rPr>
          <w:rFonts w:hint="eastAsia" w:ascii="宋体" w:hAnsi="宋体"/>
          <w:color w:val="0C0C0C" w:themeColor="text1" w:themeTint="F2"/>
          <w:spacing w:val="20"/>
          <w:sz w:val="28"/>
          <w:szCs w:val="28"/>
          <w:lang w:eastAsia="zh-CN"/>
        </w:rPr>
        <w:t>专用条款</w:t>
      </w:r>
      <w:r>
        <w:rPr>
          <w:rFonts w:hint="eastAsia" w:ascii="宋体" w:hAnsi="宋体"/>
          <w:color w:val="0C0C0C" w:themeColor="text1" w:themeTint="F2"/>
          <w:spacing w:val="20"/>
          <w:sz w:val="28"/>
          <w:szCs w:val="28"/>
        </w:rPr>
        <w:t>中议定范围内的工程造价咨询业务。</w:t>
      </w:r>
    </w:p>
    <w:p>
      <w:pPr>
        <w:pStyle w:val="13"/>
        <w:spacing w:line="480" w:lineRule="auto"/>
        <w:ind w:right="-67" w:rightChars="-24" w:firstLine="0" w:firstLineChars="0"/>
        <w:rPr>
          <w:color w:val="0C0C0C" w:themeColor="text1" w:themeTint="F2"/>
          <w:sz w:val="28"/>
          <w:szCs w:val="28"/>
        </w:rPr>
      </w:pPr>
      <w:r>
        <w:rPr>
          <w:rFonts w:hint="eastAsia"/>
          <w:color w:val="0C0C0C" w:themeColor="text1" w:themeTint="F2"/>
          <w:sz w:val="28"/>
          <w:szCs w:val="28"/>
        </w:rPr>
        <w:t xml:space="preserve">  五、委托人同意按照本合同规定的期限、方式、币种、额度向咨询人支付酬金。</w:t>
      </w:r>
    </w:p>
    <w:p>
      <w:pPr>
        <w:pStyle w:val="13"/>
        <w:spacing w:line="480" w:lineRule="auto"/>
        <w:ind w:right="-67" w:rightChars="-24" w:firstLine="0" w:firstLineChars="0"/>
        <w:rPr>
          <w:color w:val="0C0C0C" w:themeColor="text1" w:themeTint="F2"/>
          <w:sz w:val="28"/>
          <w:szCs w:val="28"/>
        </w:rPr>
      </w:pPr>
      <w:r>
        <w:rPr>
          <w:rFonts w:hint="eastAsia"/>
          <w:color w:val="0C0C0C" w:themeColor="text1" w:themeTint="F2"/>
          <w:sz w:val="28"/>
          <w:szCs w:val="28"/>
        </w:rPr>
        <w:t xml:space="preserve">  六、本合同的工程造价咨询业务自年</w:t>
      </w:r>
      <w:r>
        <w:rPr>
          <w:rFonts w:hint="eastAsia"/>
          <w:color w:val="0C0C0C" w:themeColor="text1" w:themeTint="F2"/>
          <w:sz w:val="28"/>
          <w:szCs w:val="28"/>
          <w:u w:val="single"/>
        </w:rPr>
        <w:t xml:space="preserve"> 　  </w:t>
      </w:r>
      <w:r>
        <w:rPr>
          <w:rFonts w:hint="eastAsia"/>
          <w:color w:val="0C0C0C" w:themeColor="text1" w:themeTint="F2"/>
          <w:sz w:val="28"/>
          <w:szCs w:val="28"/>
        </w:rPr>
        <w:t>月</w:t>
      </w:r>
      <w:r>
        <w:rPr>
          <w:rFonts w:hint="eastAsia"/>
          <w:color w:val="0C0C0C" w:themeColor="text1" w:themeTint="F2"/>
          <w:sz w:val="28"/>
          <w:szCs w:val="28"/>
          <w:u w:val="single"/>
        </w:rPr>
        <w:t xml:space="preserve">　  </w:t>
      </w:r>
      <w:r>
        <w:rPr>
          <w:rFonts w:hint="eastAsia"/>
          <w:color w:val="0C0C0C" w:themeColor="text1" w:themeTint="F2"/>
          <w:sz w:val="28"/>
          <w:szCs w:val="28"/>
        </w:rPr>
        <w:t>日合同签订日开始实施，至年</w:t>
      </w:r>
      <w:r>
        <w:rPr>
          <w:rFonts w:hint="eastAsia"/>
          <w:color w:val="0C0C0C" w:themeColor="text1" w:themeTint="F2"/>
          <w:sz w:val="28"/>
          <w:szCs w:val="28"/>
          <w:u w:val="single"/>
        </w:rPr>
        <w:t>　　</w:t>
      </w:r>
      <w:r>
        <w:rPr>
          <w:rFonts w:hint="eastAsia"/>
          <w:color w:val="0C0C0C" w:themeColor="text1" w:themeTint="F2"/>
          <w:sz w:val="28"/>
          <w:szCs w:val="28"/>
        </w:rPr>
        <w:t>月日结束。</w:t>
      </w:r>
    </w:p>
    <w:p>
      <w:pPr>
        <w:spacing w:line="480" w:lineRule="auto"/>
        <w:ind w:left="6" w:leftChars="2"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七、本合同一式八份，具有同等法律效力，委托人执五份，咨询人执三份。</w:t>
      </w:r>
    </w:p>
    <w:p>
      <w:pPr>
        <w:tabs>
          <w:tab w:val="left" w:pos="4140"/>
          <w:tab w:val="left" w:pos="4320"/>
        </w:tabs>
        <w:spacing w:beforeLines="100" w:line="480" w:lineRule="auto"/>
        <w:ind w:left="2335" w:leftChars="1" w:right="-67" w:rightChars="-24" w:hanging="2332" w:hangingChars="729"/>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委托人：  （盖章）            咨询人：（盖章）</w:t>
      </w:r>
    </w:p>
    <w:p>
      <w:pPr>
        <w:spacing w:line="480" w:lineRule="auto"/>
        <w:ind w:left="2115" w:right="-67" w:rightChars="-24"/>
        <w:rPr>
          <w:rFonts w:ascii="宋体" w:hAnsi="宋体"/>
          <w:color w:val="0C0C0C" w:themeColor="text1" w:themeTint="F2"/>
          <w:spacing w:val="20"/>
          <w:sz w:val="28"/>
          <w:szCs w:val="28"/>
        </w:rPr>
      </w:pPr>
    </w:p>
    <w:p>
      <w:pPr>
        <w:tabs>
          <w:tab w:val="left" w:pos="180"/>
        </w:tabs>
        <w:spacing w:line="480" w:lineRule="auto"/>
        <w:ind w:left="2333" w:right="-67" w:rightChars="-24" w:hanging="2332" w:hangingChars="729"/>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负  责 人：（签字）           法定代表人：（签字）</w:t>
      </w:r>
    </w:p>
    <w:p>
      <w:pPr>
        <w:spacing w:line="480" w:lineRule="auto"/>
        <w:ind w:left="2115" w:right="-67" w:rightChars="-24"/>
        <w:jc w:val="left"/>
        <w:rPr>
          <w:rFonts w:ascii="宋体" w:hAnsi="宋体"/>
          <w:color w:val="0C0C0C" w:themeColor="text1" w:themeTint="F2"/>
          <w:spacing w:val="20"/>
          <w:sz w:val="28"/>
          <w:szCs w:val="28"/>
        </w:rPr>
      </w:pPr>
    </w:p>
    <w:p>
      <w:pPr>
        <w:spacing w:line="480" w:lineRule="auto"/>
        <w:ind w:left="2544" w:right="-67" w:rightChars="-24" w:hanging="2544" w:hangingChars="795"/>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委托代理人  （签字）          委托代理人：（签字）</w:t>
      </w:r>
    </w:p>
    <w:p>
      <w:pPr>
        <w:tabs>
          <w:tab w:val="left" w:pos="1980"/>
          <w:tab w:val="left" w:pos="2160"/>
        </w:tabs>
        <w:spacing w:beforeLines="50"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住   所：                 住   所： </w:t>
      </w:r>
    </w:p>
    <w:p>
      <w:pPr>
        <w:tabs>
          <w:tab w:val="left" w:pos="1980"/>
          <w:tab w:val="left" w:pos="2160"/>
        </w:tabs>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开户 行：                 开户 行： </w:t>
      </w:r>
    </w:p>
    <w:p>
      <w:pPr>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帐   号：                 帐   号：</w:t>
      </w:r>
    </w:p>
    <w:p>
      <w:pPr>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邮   编：                 邮   编：</w:t>
      </w:r>
    </w:p>
    <w:p>
      <w:pPr>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电   话：                 电   话：</w:t>
      </w:r>
    </w:p>
    <w:p>
      <w:pPr>
        <w:spacing w:line="480" w:lineRule="auto"/>
        <w:ind w:right="-67" w:rightChars="-24"/>
        <w:rPr>
          <w:rFonts w:asciiTheme="minorEastAsia" w:hAnsiTheme="minorEastAsia" w:eastAsiaTheme="minorEastAsia" w:cstheme="minorEastAsia"/>
          <w:color w:val="0C0C0C" w:themeColor="text1" w:themeTint="F2"/>
          <w:spacing w:val="20"/>
          <w:sz w:val="28"/>
          <w:szCs w:val="28"/>
        </w:rPr>
      </w:pPr>
      <w:r>
        <w:rPr>
          <w:rFonts w:hint="eastAsia" w:ascii="宋体" w:hAnsi="宋体"/>
          <w:color w:val="0C0C0C" w:themeColor="text1" w:themeTint="F2"/>
          <w:spacing w:val="20"/>
          <w:sz w:val="24"/>
        </w:rPr>
        <w:t xml:space="preserve"> 传   真：                    </w:t>
      </w:r>
      <w:r>
        <w:rPr>
          <w:rFonts w:hint="eastAsia" w:asciiTheme="minorEastAsia" w:hAnsiTheme="minorEastAsia" w:eastAsiaTheme="minorEastAsia" w:cstheme="minorEastAsia"/>
          <w:color w:val="0C0C0C" w:themeColor="text1" w:themeTint="F2"/>
          <w:spacing w:val="20"/>
          <w:sz w:val="28"/>
          <w:szCs w:val="28"/>
        </w:rPr>
        <w:t>传   真：</w:t>
      </w:r>
    </w:p>
    <w:p>
      <w:pPr>
        <w:spacing w:line="480" w:lineRule="auto"/>
        <w:ind w:right="-67" w:rightChars="-24"/>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pacing w:val="20"/>
          <w:sz w:val="28"/>
          <w:szCs w:val="28"/>
        </w:rPr>
        <w:t xml:space="preserve"> 邮   箱：                 邮   箱：</w:t>
      </w:r>
    </w:p>
    <w:p>
      <w:pPr>
        <w:spacing w:line="480" w:lineRule="auto"/>
        <w:jc w:val="right"/>
        <w:rPr>
          <w:rFonts w:asciiTheme="minorEastAsia" w:hAnsiTheme="minorEastAsia" w:eastAsiaTheme="minorEastAsia" w:cstheme="minorEastAsia"/>
          <w:color w:val="0C0C0C" w:themeColor="text1" w:themeTint="F2"/>
          <w:spacing w:val="20"/>
          <w:sz w:val="28"/>
          <w:szCs w:val="28"/>
        </w:rPr>
      </w:pPr>
      <w:r>
        <w:rPr>
          <w:rFonts w:hint="eastAsia" w:asciiTheme="minorEastAsia" w:hAnsiTheme="minorEastAsia" w:eastAsiaTheme="minorEastAsia" w:cstheme="minorEastAsia"/>
          <w:color w:val="0C0C0C" w:themeColor="text1" w:themeTint="F2"/>
          <w:spacing w:val="20"/>
          <w:sz w:val="28"/>
          <w:szCs w:val="28"/>
        </w:rPr>
        <w:t>2021年  月  日</w:t>
      </w:r>
    </w:p>
    <w:p>
      <w:pPr>
        <w:tabs>
          <w:tab w:val="left" w:pos="5040"/>
        </w:tabs>
        <w:spacing w:line="480" w:lineRule="auto"/>
        <w:jc w:val="center"/>
        <w:rPr>
          <w:rFonts w:hint="eastAsia" w:ascii="宋体" w:hAnsi="宋体"/>
          <w:b/>
          <w:color w:val="0C0C0C" w:themeColor="text1" w:themeTint="F2"/>
          <w:sz w:val="28"/>
        </w:rPr>
      </w:pPr>
    </w:p>
    <w:p>
      <w:pPr>
        <w:tabs>
          <w:tab w:val="left" w:pos="5040"/>
        </w:tabs>
        <w:spacing w:line="480" w:lineRule="auto"/>
        <w:jc w:val="center"/>
        <w:rPr>
          <w:rFonts w:hint="eastAsia" w:ascii="宋体" w:hAnsi="宋体"/>
          <w:b/>
          <w:color w:val="0C0C0C" w:themeColor="text1" w:themeTint="F2"/>
          <w:sz w:val="28"/>
        </w:rPr>
      </w:pPr>
    </w:p>
    <w:p>
      <w:pPr>
        <w:tabs>
          <w:tab w:val="left" w:pos="5040"/>
        </w:tabs>
        <w:spacing w:line="480" w:lineRule="auto"/>
        <w:jc w:val="center"/>
        <w:rPr>
          <w:rFonts w:hint="eastAsia" w:ascii="宋体" w:hAnsi="宋体"/>
          <w:b/>
          <w:color w:val="0C0C0C" w:themeColor="text1" w:themeTint="F2"/>
          <w:sz w:val="28"/>
        </w:rPr>
      </w:pPr>
    </w:p>
    <w:p>
      <w:pPr>
        <w:tabs>
          <w:tab w:val="left" w:pos="5040"/>
        </w:tabs>
        <w:spacing w:line="480" w:lineRule="auto"/>
        <w:jc w:val="center"/>
        <w:rPr>
          <w:rFonts w:ascii="宋体" w:hAnsi="宋体"/>
          <w:b/>
          <w:color w:val="0C0C0C" w:themeColor="text1" w:themeTint="F2"/>
          <w:sz w:val="28"/>
        </w:rPr>
      </w:pPr>
      <w:r>
        <w:rPr>
          <w:rFonts w:hint="eastAsia" w:ascii="宋体" w:hAnsi="宋体"/>
          <w:b/>
          <w:color w:val="0C0C0C" w:themeColor="text1" w:themeTint="F2"/>
          <w:sz w:val="28"/>
        </w:rPr>
        <w:t>第二部分  工程造价咨询合同标准条款</w:t>
      </w:r>
    </w:p>
    <w:p>
      <w:pPr>
        <w:spacing w:line="480" w:lineRule="auto"/>
        <w:ind w:firstLine="2221" w:firstLineChars="790"/>
        <w:jc w:val="left"/>
        <w:rPr>
          <w:rFonts w:ascii="宋体" w:hAnsi="宋体"/>
          <w:b/>
          <w:bCs/>
          <w:color w:val="0C0C0C" w:themeColor="text1" w:themeTint="F2"/>
          <w:sz w:val="28"/>
        </w:rPr>
      </w:pPr>
      <w:r>
        <w:rPr>
          <w:rFonts w:hint="eastAsia" w:ascii="宋体" w:hAnsi="宋体"/>
          <w:b/>
          <w:bCs/>
          <w:color w:val="0C0C0C" w:themeColor="text1" w:themeTint="F2"/>
          <w:sz w:val="28"/>
        </w:rPr>
        <w:t>词语定义、适用语言和法律、法规</w:t>
      </w:r>
    </w:p>
    <w:p>
      <w:pPr>
        <w:numPr>
          <w:ilvl w:val="0"/>
          <w:numId w:val="2"/>
        </w:numPr>
        <w:spacing w:line="480" w:lineRule="auto"/>
        <w:ind w:hanging="450"/>
        <w:rPr>
          <w:rFonts w:ascii="宋体" w:hAnsi="宋体"/>
          <w:color w:val="0C0C0C" w:themeColor="text1" w:themeTint="F2"/>
          <w:sz w:val="28"/>
          <w:szCs w:val="28"/>
        </w:rPr>
      </w:pPr>
      <w:r>
        <w:rPr>
          <w:rFonts w:hint="eastAsia" w:ascii="宋体" w:hAnsi="宋体"/>
          <w:color w:val="0C0C0C" w:themeColor="text1" w:themeTint="F2"/>
          <w:sz w:val="28"/>
          <w:szCs w:val="28"/>
        </w:rPr>
        <w:t>下列名词和用语，除上下文另有规定外具有如下含义。</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1、“委托人”是指委托工程造价咨询业务和聘用工程造价咨询单位的一方，以及其合法继承人。</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2、“咨询人”是指承担工程造价咨询业务和工程造价咨询责任的一方，以及其合法继承人。</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3、“第三人”是指除委托人、咨询人以外与本咨询业务有关的当事人。</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4、“日”是指任何一天零时至第二天零时的时段。</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工程造价咨询合同适用的是中国的法律、法规以及</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中议定的部门规章，工程造价有关计价办法和规定或项目所在地的地方法规、地方规章。</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工程造价咨询合同的书写、解释和说明，以汉语为主导语言。当不同语言文本发生不同解释时，以汉语合同文本为准。</w:t>
      </w:r>
    </w:p>
    <w:p>
      <w:pPr>
        <w:spacing w:line="480" w:lineRule="auto"/>
        <w:jc w:val="center"/>
        <w:rPr>
          <w:rFonts w:ascii="宋体" w:hAnsi="宋体"/>
          <w:color w:val="0C0C0C" w:themeColor="text1" w:themeTint="F2"/>
          <w:sz w:val="24"/>
        </w:rPr>
      </w:pPr>
    </w:p>
    <w:p>
      <w:pPr>
        <w:spacing w:line="480" w:lineRule="auto"/>
        <w:ind w:firstLine="3204" w:firstLineChars="1140"/>
        <w:rPr>
          <w:rFonts w:ascii="宋体" w:hAnsi="宋体"/>
          <w:b/>
          <w:bCs/>
          <w:color w:val="0C0C0C" w:themeColor="text1" w:themeTint="F2"/>
          <w:sz w:val="28"/>
        </w:rPr>
      </w:pPr>
      <w:r>
        <w:rPr>
          <w:rFonts w:hint="eastAsia" w:ascii="宋体" w:hAnsi="宋体"/>
          <w:b/>
          <w:bCs/>
          <w:color w:val="0C0C0C" w:themeColor="text1" w:themeTint="F2"/>
          <w:sz w:val="28"/>
        </w:rPr>
        <w:t>咨询人的义务</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向委托人提供与工程造价咨询有关的资料，包括工程造价咨询的资质证书及承担本合同业务的专业人员名单、咨询工作计划等，并按合同</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中约定的范围实施咨询业务。</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咨询人在履行本合同期间，向委托人提供的服务包括正常服务、附加服务和额外服务。</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1、“正常服务”是指双方在</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中约定的工程造价咨询业务。</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2、“附加服务”是指在“正常服务”以外，经双方书面协议确定的附加服务。</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3、“额外服务”是指不属于“正常服务”和“附加服务“，但根据合同标准条件第十三条、第二十条和第二十二条的规定，咨询人应增加的额外工作量。</w:t>
      </w:r>
    </w:p>
    <w:p>
      <w:pPr>
        <w:numPr>
          <w:ilvl w:val="0"/>
          <w:numId w:val="2"/>
        </w:numPr>
        <w:spacing w:line="480" w:lineRule="auto"/>
        <w:ind w:left="0" w:firstLine="540"/>
        <w:rPr>
          <w:rFonts w:hint="eastAsia" w:ascii="宋体" w:hAnsi="宋体"/>
          <w:color w:val="0C0C0C" w:themeColor="text1" w:themeTint="F2"/>
          <w:sz w:val="28"/>
          <w:szCs w:val="28"/>
        </w:rPr>
      </w:pPr>
      <w:r>
        <w:rPr>
          <w:rFonts w:hint="eastAsia" w:ascii="宋体" w:hAnsi="宋体"/>
          <w:color w:val="0C0C0C" w:themeColor="text1" w:themeTint="F2"/>
          <w:sz w:val="28"/>
          <w:szCs w:val="28"/>
        </w:rPr>
        <w:t>在履行合同期间或合同规定期限内，不得泄露与本合同规定业务活动有关的保密资料。</w:t>
      </w:r>
    </w:p>
    <w:p>
      <w:pPr>
        <w:tabs>
          <w:tab w:val="left" w:pos="990"/>
        </w:tabs>
        <w:spacing w:line="480" w:lineRule="auto"/>
        <w:ind w:left="540"/>
        <w:rPr>
          <w:rFonts w:ascii="宋体" w:hAnsi="宋体"/>
          <w:color w:val="0C0C0C" w:themeColor="text1" w:themeTint="F2"/>
          <w:sz w:val="28"/>
          <w:szCs w:val="28"/>
        </w:rPr>
      </w:pPr>
    </w:p>
    <w:p>
      <w:pPr>
        <w:spacing w:line="480" w:lineRule="auto"/>
        <w:jc w:val="center"/>
        <w:rPr>
          <w:rFonts w:hint="eastAsia" w:ascii="宋体" w:hAnsi="宋体"/>
          <w:b/>
          <w:color w:val="0C0C0C" w:themeColor="text1" w:themeTint="F2"/>
          <w:sz w:val="28"/>
          <w:szCs w:val="28"/>
        </w:rPr>
      </w:pPr>
    </w:p>
    <w:p>
      <w:pPr>
        <w:spacing w:line="480" w:lineRule="auto"/>
        <w:jc w:val="center"/>
        <w:rPr>
          <w:rFonts w:hint="eastAsia" w:ascii="宋体" w:hAnsi="宋体"/>
          <w:b/>
          <w:color w:val="0C0C0C" w:themeColor="text1" w:themeTint="F2"/>
          <w:sz w:val="28"/>
          <w:szCs w:val="28"/>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委托人的义务</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第七条   委托人应负责与本工程造价咨询业务有关的第三人的协调，为咨询人工作提供外部条件。</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第八条   委托人应当在约定的时间内，免费向咨询人提供与本项目咨询业务有关的资料。</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第九条   委托人应当在约定的时间内就咨询人书面提交并要求做出答复的事宜做出书面答复。咨询人要求第三人提供有关资料时，委托人应负责转达及资料转送。</w:t>
      </w:r>
    </w:p>
    <w:p>
      <w:pPr>
        <w:spacing w:line="480" w:lineRule="auto"/>
        <w:ind w:left="1" w:firstLine="560" w:firstLineChars="200"/>
        <w:rPr>
          <w:rFonts w:hint="eastAsia" w:ascii="宋体" w:hAnsi="宋体"/>
          <w:color w:val="0C0C0C" w:themeColor="text1" w:themeTint="F2"/>
          <w:sz w:val="28"/>
          <w:szCs w:val="28"/>
        </w:rPr>
      </w:pPr>
      <w:r>
        <w:rPr>
          <w:rFonts w:hint="eastAsia" w:ascii="宋体" w:hAnsi="宋体"/>
          <w:color w:val="0C0C0C" w:themeColor="text1" w:themeTint="F2"/>
          <w:sz w:val="28"/>
          <w:szCs w:val="28"/>
        </w:rPr>
        <w:t>委托人应当授权胜任本咨询业务的代表，负责与咨询人联系。</w:t>
      </w:r>
    </w:p>
    <w:p>
      <w:pPr>
        <w:spacing w:line="480" w:lineRule="auto"/>
        <w:ind w:left="1" w:firstLine="560" w:firstLineChars="200"/>
        <w:rPr>
          <w:rFonts w:ascii="宋体" w:hAnsi="宋体"/>
          <w:color w:val="0C0C0C" w:themeColor="text1" w:themeTint="F2"/>
          <w:sz w:val="28"/>
          <w:szCs w:val="28"/>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咨询人的权利</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第十一条   委托人在委托的工程造价咨询业务范围内，授予咨询人以下权利：</w:t>
      </w:r>
    </w:p>
    <w:p>
      <w:pPr>
        <w:widowControl/>
        <w:numPr>
          <w:ilvl w:val="0"/>
          <w:numId w:val="3"/>
        </w:numPr>
        <w:tabs>
          <w:tab w:val="left" w:pos="900"/>
          <w:tab w:val="left" w:pos="1260"/>
        </w:tabs>
        <w:spacing w:line="480" w:lineRule="auto"/>
        <w:ind w:left="0" w:firstLine="539"/>
        <w:rPr>
          <w:rFonts w:ascii="宋体" w:hAnsi="宋体"/>
          <w:color w:val="0C0C0C" w:themeColor="text1" w:themeTint="F2"/>
          <w:sz w:val="28"/>
          <w:szCs w:val="28"/>
        </w:rPr>
      </w:pPr>
      <w:r>
        <w:rPr>
          <w:rFonts w:hint="eastAsia" w:ascii="宋体" w:hAnsi="宋体"/>
          <w:color w:val="0C0C0C" w:themeColor="text1" w:themeTint="F2"/>
          <w:sz w:val="28"/>
          <w:szCs w:val="28"/>
        </w:rPr>
        <w:t>咨询人在咨询过程中，如委托人提供的资料不明确时可向委托人提出书面报告。</w:t>
      </w:r>
    </w:p>
    <w:p>
      <w:pPr>
        <w:numPr>
          <w:ilvl w:val="0"/>
          <w:numId w:val="3"/>
        </w:numPr>
        <w:tabs>
          <w:tab w:val="left" w:pos="900"/>
        </w:tabs>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咨询人在咨询过程中，有权利对第三人提出与本咨询业务有关的问题进行核对或查问。</w:t>
      </w:r>
    </w:p>
    <w:p>
      <w:pPr>
        <w:numPr>
          <w:ilvl w:val="0"/>
          <w:numId w:val="3"/>
        </w:numPr>
        <w:tabs>
          <w:tab w:val="left" w:pos="900"/>
        </w:tabs>
        <w:spacing w:line="480" w:lineRule="auto"/>
        <w:ind w:hanging="180"/>
        <w:rPr>
          <w:rFonts w:ascii="宋体" w:hAnsi="宋体"/>
          <w:color w:val="0C0C0C" w:themeColor="text1" w:themeTint="F2"/>
          <w:sz w:val="28"/>
          <w:szCs w:val="28"/>
        </w:rPr>
      </w:pPr>
      <w:r>
        <w:rPr>
          <w:rFonts w:hint="eastAsia" w:ascii="宋体" w:hAnsi="宋体"/>
          <w:color w:val="0C0C0C" w:themeColor="text1" w:themeTint="F2"/>
          <w:sz w:val="28"/>
          <w:szCs w:val="28"/>
        </w:rPr>
        <w:t>咨询人在咨询过程中，有到工程现场勘察的权利。</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委托人的权利</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第十二条   委托人有下列权利：</w:t>
      </w:r>
    </w:p>
    <w:p>
      <w:pPr>
        <w:numPr>
          <w:ilvl w:val="0"/>
          <w:numId w:val="4"/>
        </w:numPr>
        <w:tabs>
          <w:tab w:val="left" w:pos="900"/>
        </w:tabs>
        <w:spacing w:line="480" w:lineRule="auto"/>
        <w:ind w:hanging="180"/>
        <w:rPr>
          <w:rFonts w:ascii="宋体" w:hAnsi="宋体"/>
          <w:color w:val="0C0C0C" w:themeColor="text1" w:themeTint="F2"/>
          <w:sz w:val="28"/>
          <w:szCs w:val="28"/>
        </w:rPr>
      </w:pPr>
      <w:r>
        <w:rPr>
          <w:rFonts w:hint="eastAsia" w:ascii="宋体" w:hAnsi="宋体"/>
          <w:color w:val="0C0C0C" w:themeColor="text1" w:themeTint="F2"/>
          <w:sz w:val="28"/>
          <w:szCs w:val="28"/>
        </w:rPr>
        <w:t>委托人有权向咨询人询问工作进展情况及相关的内容。</w:t>
      </w:r>
    </w:p>
    <w:p>
      <w:pPr>
        <w:numPr>
          <w:ilvl w:val="0"/>
          <w:numId w:val="4"/>
        </w:numPr>
        <w:tabs>
          <w:tab w:val="left" w:pos="900"/>
        </w:tabs>
        <w:spacing w:line="480" w:lineRule="auto"/>
        <w:ind w:hanging="180"/>
        <w:rPr>
          <w:rFonts w:ascii="宋体" w:hAnsi="宋体"/>
          <w:color w:val="0C0C0C" w:themeColor="text1" w:themeTint="F2"/>
          <w:sz w:val="28"/>
          <w:szCs w:val="28"/>
        </w:rPr>
      </w:pPr>
      <w:r>
        <w:rPr>
          <w:rFonts w:hint="eastAsia" w:ascii="宋体" w:hAnsi="宋体"/>
          <w:color w:val="0C0C0C" w:themeColor="text1" w:themeTint="F2"/>
          <w:sz w:val="28"/>
          <w:szCs w:val="28"/>
        </w:rPr>
        <w:t>委托人有权阐述对具体问题的意见和建议。</w:t>
      </w:r>
    </w:p>
    <w:p>
      <w:pPr>
        <w:numPr>
          <w:ilvl w:val="0"/>
          <w:numId w:val="4"/>
        </w:numPr>
        <w:tabs>
          <w:tab w:val="left" w:pos="0"/>
          <w:tab w:val="left" w:pos="1080"/>
          <w:tab w:val="clear" w:pos="720"/>
        </w:tabs>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 xml:space="preserve"> 委托人认定咨询专业人员不按咨询合同履行其职责，或与第三人串通给委托人造成经济损失的，委托人有权要求更换咨询专业人员，直至终止合同并要求咨询人承担相应的赔偿责任。</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4"/>
        </w:rPr>
      </w:pPr>
      <w:r>
        <w:rPr>
          <w:rFonts w:hint="eastAsia" w:ascii="宋体" w:hAnsi="宋体"/>
          <w:b/>
          <w:color w:val="0C0C0C" w:themeColor="text1" w:themeTint="F2"/>
          <w:sz w:val="28"/>
          <w:szCs w:val="28"/>
        </w:rPr>
        <w:t>咨询人的责任</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第十三条   咨询人的责任期即工程造价咨询合同有效期，如因非咨询人的责任造成进度的推迟或延误而超过约定的日期，双方应进一步约定延长合同有效期。</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第十四条   咨询人责任期内，应当履行工程造价咨询合同中约定的义务，因咨询人的单方过失造成的经济损失，应承担全部赔偿责任。</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第十五条   咨询人对委托人或第三人所提出的问题不能在24小时内核对或答复，导致合同不能全部或部分履行，咨询人每出现一次应向委托人支付合同总价款千分之二的违约金，并赔偿由此给委托人造成的损失。</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第十六条   咨询人向委托人提出赔偿要求不能成立时，则应补偿由于该赔偿或其他要求所导致委托人的各种费用的支出。</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委托人的责任</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第十七条   委托人应当履行工程造价咨询合同约定的义务，如有违反则应当承担违约责任，赔偿给咨询人造成的损失。</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第十八条   委托人如果向咨询人提出赔偿或其他要求不能成立时，则应补偿由于该赔偿或其他要求所导致咨询人的各种费用的支出。</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合同生效，变更与终止</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第十九条   本合同自双方签字盖章之日起生效。</w:t>
      </w:r>
    </w:p>
    <w:p>
      <w:pPr>
        <w:widowControl/>
        <w:tabs>
          <w:tab w:val="left" w:pos="900"/>
          <w:tab w:val="left" w:pos="1260"/>
        </w:tabs>
        <w:spacing w:line="480" w:lineRule="auto"/>
        <w:ind w:firstLine="560" w:firstLineChars="200"/>
        <w:jc w:val="left"/>
        <w:rPr>
          <w:rFonts w:ascii="宋体" w:hAnsi="宋体"/>
          <w:color w:val="0C0C0C" w:themeColor="text1" w:themeTint="F2"/>
          <w:sz w:val="28"/>
          <w:szCs w:val="28"/>
        </w:rPr>
      </w:pPr>
      <w:r>
        <w:rPr>
          <w:rFonts w:hint="eastAsia" w:ascii="宋体" w:hAnsi="宋体"/>
          <w:color w:val="0C0C0C" w:themeColor="text1" w:themeTint="F2"/>
          <w:sz w:val="28"/>
          <w:szCs w:val="28"/>
        </w:rPr>
        <w:t>第二十条   由于委托人或第三人的原因使咨询人工作受到阻碍或延误以致增加了工作量或持续时间，则咨询人应当将此情况与可能产生的影响及时书面通知委托人。由此增加的工作量视为额外服务，完成工程造价咨询工作时间应当延长，并得到额外的酬金。</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第二十一条   当事人一方要求变更或解除合同时，则应当在14日前通知对方；因变更或解除合同使一方遭受损失的，应由责任方负责赔偿。</w:t>
      </w:r>
    </w:p>
    <w:p>
      <w:pPr>
        <w:widowControl/>
        <w:tabs>
          <w:tab w:val="left" w:pos="900"/>
          <w:tab w:val="left" w:pos="1260"/>
        </w:tabs>
        <w:spacing w:line="480" w:lineRule="auto"/>
        <w:ind w:firstLine="560" w:firstLineChars="200"/>
        <w:rPr>
          <w:rFonts w:hint="eastAsia" w:ascii="宋体" w:hAnsi="宋体"/>
          <w:color w:val="0C0C0C" w:themeColor="text1" w:themeTint="F2"/>
          <w:sz w:val="28"/>
          <w:szCs w:val="28"/>
        </w:rPr>
      </w:pPr>
      <w:r>
        <w:rPr>
          <w:rFonts w:hint="eastAsia" w:ascii="宋体" w:hAnsi="宋体"/>
          <w:color w:val="0C0C0C" w:themeColor="text1" w:themeTint="F2"/>
          <w:sz w:val="28"/>
          <w:szCs w:val="28"/>
        </w:rPr>
        <w:t>第二十二条   咨询人由于非自身原因暂停或终止执行工程造价咨询业务，由此而增加的恢复执行工程造价咨询业务的工作，应视为额外服务，有权得到额外的时间和酬金。</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第二十三条   变更或解除合同的通知或协议应当采取书面形式，新的协议未达成之前，原合同仍然有效。</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咨询业务的酬金</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第二十四条   正常的工程造价咨询业务，附加工作和额外工作的酬金，按照工程造价咨询合同</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约定的方法计取，并按约定的时间和数额支付。</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第二十五条   如果委托人在规定的支付期限内未支付工程造价咨询酬金，自规定支付之日起，应当向咨询人补偿应支付的酬金利息。利息额按规定支付期限最后一日银行活期贷款乘以拖欠酬金时间计算。</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第二十六条   如果委托人对咨询人提交的支付通知书中的酬金或部分酬金项目提出异议，应当在收到支付通知书五日内向咨询人发出异议的通知，但委托人不得拖延其无异议酬金项目的支付。</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第二十七条   支付工程造价咨询酬金所采取的货币币种、汇率由合同</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约定。</w:t>
      </w:r>
    </w:p>
    <w:p>
      <w:pPr>
        <w:widowControl/>
        <w:tabs>
          <w:tab w:val="left" w:pos="900"/>
          <w:tab w:val="left" w:pos="1260"/>
        </w:tabs>
        <w:spacing w:line="480" w:lineRule="auto"/>
        <w:jc w:val="center"/>
        <w:rPr>
          <w:rFonts w:ascii="宋体" w:hAnsi="宋体"/>
          <w:b/>
          <w:bCs/>
          <w:color w:val="0C0C0C" w:themeColor="text1" w:themeTint="F2"/>
          <w:sz w:val="28"/>
          <w:szCs w:val="28"/>
        </w:rPr>
      </w:pPr>
      <w:r>
        <w:rPr>
          <w:rFonts w:hint="eastAsia" w:ascii="宋体" w:hAnsi="宋体"/>
          <w:b/>
          <w:bCs/>
          <w:color w:val="0C0C0C" w:themeColor="text1" w:themeTint="F2"/>
          <w:sz w:val="28"/>
          <w:szCs w:val="28"/>
        </w:rPr>
        <w:t>其他</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第二十八条   因工程造价咨询业务的需要，咨询人在合同约定外的外出考察，经委托人同意，其所需费用由委托人负责。</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第二十九条   咨询人如需外聘专家协助，在委托的工程造价咨询业务范围内其费用由咨询人承担；在委托的工程造价咨询业务范围以外经委托人认可其费用由委托人承担。</w:t>
      </w:r>
    </w:p>
    <w:p>
      <w:pPr>
        <w:widowControl/>
        <w:tabs>
          <w:tab w:val="left" w:pos="900"/>
          <w:tab w:val="left" w:pos="1260"/>
        </w:tabs>
        <w:spacing w:line="480" w:lineRule="auto"/>
        <w:rPr>
          <w:rFonts w:ascii="宋体" w:hAnsi="宋体"/>
          <w:color w:val="0C0C0C" w:themeColor="text1" w:themeTint="F2"/>
          <w:sz w:val="28"/>
          <w:szCs w:val="28"/>
        </w:rPr>
      </w:pPr>
      <w:r>
        <w:rPr>
          <w:rFonts w:hint="eastAsia" w:ascii="宋体" w:hAnsi="宋体"/>
          <w:color w:val="0C0C0C" w:themeColor="text1" w:themeTint="F2"/>
          <w:sz w:val="28"/>
          <w:szCs w:val="28"/>
        </w:rPr>
        <w:t xml:space="preserve">   第三十条   未经对方的书面同意，各方均不得转让合同约定的权利和义务。</w:t>
      </w:r>
    </w:p>
    <w:p>
      <w:pPr>
        <w:widowControl/>
        <w:tabs>
          <w:tab w:val="left" w:pos="900"/>
          <w:tab w:val="left" w:pos="1260"/>
        </w:tabs>
        <w:spacing w:line="480" w:lineRule="auto"/>
        <w:rPr>
          <w:rFonts w:ascii="宋体" w:hAnsi="宋体"/>
          <w:color w:val="0C0C0C" w:themeColor="text1" w:themeTint="F2"/>
          <w:sz w:val="28"/>
          <w:szCs w:val="28"/>
        </w:rPr>
      </w:pPr>
      <w:r>
        <w:rPr>
          <w:rFonts w:hint="eastAsia" w:ascii="宋体" w:hAnsi="宋体"/>
          <w:color w:val="0C0C0C" w:themeColor="text1" w:themeTint="F2"/>
          <w:sz w:val="28"/>
          <w:szCs w:val="28"/>
        </w:rPr>
        <w:t xml:space="preserve">   第三十一条   除委托人书面同意外，咨询人及咨询专业人员不应接受工程造价咨询合同约定以外的与工程造价咨询项目有关的任何报酬。咨询人不得参与可能与合同规定的与委托人利益相冲突的任何活动。</w:t>
      </w:r>
    </w:p>
    <w:p>
      <w:pPr>
        <w:widowControl/>
        <w:tabs>
          <w:tab w:val="left" w:pos="900"/>
          <w:tab w:val="left" w:pos="1260"/>
        </w:tabs>
        <w:spacing w:line="480" w:lineRule="auto"/>
        <w:ind w:left="539"/>
        <w:rPr>
          <w:rFonts w:ascii="宋体" w:hAnsi="宋体"/>
          <w:color w:val="0C0C0C" w:themeColor="text1" w:themeTint="F2"/>
          <w:sz w:val="24"/>
        </w:rPr>
      </w:pPr>
    </w:p>
    <w:p>
      <w:pPr>
        <w:widowControl/>
        <w:tabs>
          <w:tab w:val="left" w:pos="900"/>
          <w:tab w:val="left" w:pos="1260"/>
        </w:tabs>
        <w:spacing w:line="480" w:lineRule="auto"/>
        <w:ind w:left="539"/>
        <w:jc w:val="center"/>
        <w:rPr>
          <w:rFonts w:ascii="宋体" w:hAnsi="宋体"/>
          <w:b/>
          <w:bCs/>
          <w:color w:val="0C0C0C" w:themeColor="text1" w:themeTint="F2"/>
          <w:sz w:val="28"/>
          <w:szCs w:val="28"/>
        </w:rPr>
      </w:pPr>
      <w:r>
        <w:rPr>
          <w:rFonts w:hint="eastAsia" w:ascii="宋体" w:hAnsi="宋体"/>
          <w:b/>
          <w:bCs/>
          <w:color w:val="0C0C0C" w:themeColor="text1" w:themeTint="F2"/>
          <w:sz w:val="28"/>
          <w:szCs w:val="28"/>
        </w:rPr>
        <w:t>合同争议的解决</w:t>
      </w:r>
    </w:p>
    <w:p>
      <w:pPr>
        <w:widowControl/>
        <w:tabs>
          <w:tab w:val="left" w:pos="900"/>
          <w:tab w:val="left" w:pos="1260"/>
        </w:tabs>
        <w:spacing w:line="480" w:lineRule="auto"/>
        <w:rPr>
          <w:rFonts w:ascii="宋体" w:hAnsi="宋体"/>
          <w:color w:val="0C0C0C" w:themeColor="text1" w:themeTint="F2"/>
          <w:sz w:val="28"/>
          <w:szCs w:val="28"/>
        </w:rPr>
      </w:pPr>
      <w:r>
        <w:rPr>
          <w:rFonts w:hint="eastAsia" w:ascii="宋体" w:hAnsi="宋体"/>
          <w:color w:val="0C0C0C" w:themeColor="text1" w:themeTint="F2"/>
          <w:sz w:val="28"/>
          <w:szCs w:val="28"/>
        </w:rPr>
        <w:t xml:space="preserve">   第三十二条   本项目实施期间，双方如有纠纷，双方应协商解决协商不成的，依法向有管辖权的人民法院提起诉讼。</w:t>
      </w:r>
    </w:p>
    <w:p>
      <w:pPr>
        <w:pStyle w:val="10"/>
        <w:ind w:firstLine="630"/>
        <w:jc w:val="center"/>
        <w:rPr>
          <w:rFonts w:ascii="宋体" w:hAnsi="宋体"/>
          <w:b/>
          <w:color w:val="0C0C0C" w:themeColor="text1" w:themeTint="F2"/>
          <w:sz w:val="32"/>
          <w:szCs w:val="32"/>
        </w:rPr>
      </w:pPr>
    </w:p>
    <w:p>
      <w:pPr>
        <w:pStyle w:val="10"/>
        <w:ind w:firstLine="630"/>
        <w:jc w:val="center"/>
        <w:rPr>
          <w:rFonts w:ascii="宋体" w:hAnsi="宋体"/>
          <w:b/>
          <w:color w:val="0C0C0C" w:themeColor="text1" w:themeTint="F2"/>
          <w:sz w:val="32"/>
          <w:szCs w:val="32"/>
        </w:rPr>
      </w:pPr>
      <w:r>
        <w:rPr>
          <w:rFonts w:hint="eastAsia" w:ascii="宋体" w:hAnsi="宋体"/>
          <w:b/>
          <w:color w:val="0C0C0C" w:themeColor="text1" w:themeTint="F2"/>
          <w:sz w:val="32"/>
          <w:szCs w:val="32"/>
        </w:rPr>
        <w:t>合同专用条款主要部分</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1.本合同适用的法规及审计依据</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（1）国家、建设部、安徽省颁布的有关工程建设项目结算审计的政策和法规、规范；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（2）安徽省工程工程量清单计价规范及省市相关定额标准等；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（3) 芜湖市市场价格信息；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（4) 发包人与施工单位签订的施工承发包合同及本工程建设项目招投标文件；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（5) 勘察、设计单位提供的勘测报告文件及设计图纸；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（6) 本项目经济技术签证、竣工图纸、监理资料、工程验收资料及其他涉及价款结算的资料；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（7)项目造价咨询所需的其他有关材料；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（8) 经委托人确认补充提供的其他有关资料。                        </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2.造价咨询服务范围</w:t>
      </w:r>
    </w:p>
    <w:p>
      <w:pPr>
        <w:pStyle w:val="10"/>
        <w:ind w:firstLine="630"/>
        <w:rPr>
          <w:rFonts w:asciiTheme="minorEastAsia" w:hAnsiTheme="minorEastAsia" w:eastAsiaTheme="minorEastAsia" w:cstheme="minorEastAsia"/>
          <w:color w:val="0C0C0C" w:themeColor="text1" w:themeTint="F2"/>
          <w:spacing w:val="0"/>
          <w:sz w:val="28"/>
          <w:szCs w:val="28"/>
        </w:rPr>
      </w:pPr>
      <w:r>
        <w:rPr>
          <w:rFonts w:hint="eastAsia" w:asciiTheme="minorEastAsia" w:hAnsiTheme="minorEastAsia" w:eastAsiaTheme="minorEastAsia" w:cstheme="minorEastAsia"/>
          <w:color w:val="0C0C0C" w:themeColor="text1" w:themeTint="F2"/>
          <w:spacing w:val="0"/>
          <w:sz w:val="28"/>
          <w:szCs w:val="28"/>
        </w:rPr>
        <w:t>（1）造价咨询服务范围：2022-2024年委托人的修缮工程造价咨询。咨询合同一年一签，即第一年自2022年1月1日至2022年12月31日。考核合格续签。</w:t>
      </w:r>
    </w:p>
    <w:p>
      <w:pPr>
        <w:spacing w:line="480" w:lineRule="auto"/>
        <w:ind w:firstLine="560" w:firstLineChars="200"/>
        <w:jc w:val="left"/>
        <w:rPr>
          <w:rFonts w:ascii="宋体" w:hAnsi="宋体"/>
          <w:color w:val="0C0C0C" w:themeColor="text1" w:themeTint="F2"/>
          <w:kern w:val="0"/>
          <w:sz w:val="28"/>
          <w:szCs w:val="28"/>
        </w:rPr>
      </w:pPr>
      <w:r>
        <w:rPr>
          <w:rFonts w:hint="eastAsia" w:asciiTheme="minorEastAsia" w:hAnsiTheme="minorEastAsia" w:eastAsiaTheme="minorEastAsia" w:cstheme="minorEastAsia"/>
          <w:color w:val="0C0C0C" w:themeColor="text1" w:themeTint="F2"/>
          <w:sz w:val="28"/>
          <w:szCs w:val="28"/>
        </w:rPr>
        <w:t>（2）造价咨询服务类别：</w:t>
      </w:r>
      <w:r>
        <w:rPr>
          <w:rFonts w:hint="eastAsia" w:asciiTheme="minorEastAsia" w:hAnsiTheme="minorEastAsia" w:eastAsiaTheme="minorEastAsia" w:cstheme="minorEastAsia"/>
          <w:bCs/>
          <w:color w:val="0C0C0C" w:themeColor="text1" w:themeTint="F2"/>
          <w:sz w:val="28"/>
          <w:szCs w:val="28"/>
        </w:rPr>
        <w:sym w:font="Wingdings" w:char="F081"/>
      </w:r>
      <w:r>
        <w:rPr>
          <w:rFonts w:hint="eastAsia" w:asciiTheme="minorEastAsia" w:hAnsiTheme="minorEastAsia" w:eastAsiaTheme="minorEastAsia" w:cstheme="minorEastAsia"/>
          <w:color w:val="0C0C0C" w:themeColor="text1" w:themeTint="F2"/>
          <w:sz w:val="28"/>
          <w:szCs w:val="28"/>
        </w:rPr>
        <w:t>修缮工程结算审核；</w:t>
      </w:r>
      <w:r>
        <w:rPr>
          <w:rFonts w:hint="eastAsia" w:ascii="宋体" w:hAnsi="宋体" w:eastAsiaTheme="minorEastAsia" w:cstheme="minorEastAsia"/>
          <w:color w:val="0C0C0C" w:themeColor="text1" w:themeTint="F2"/>
          <w:kern w:val="0"/>
          <w:sz w:val="28"/>
          <w:szCs w:val="28"/>
        </w:rPr>
        <w:sym w:font="Wingdings" w:char="F082"/>
      </w:r>
      <w:r>
        <w:rPr>
          <w:rFonts w:hint="eastAsia" w:ascii="宋体" w:hAnsi="宋体"/>
          <w:color w:val="0C0C0C" w:themeColor="text1" w:themeTint="F2"/>
          <w:kern w:val="0"/>
          <w:sz w:val="28"/>
          <w:szCs w:val="28"/>
        </w:rPr>
        <w:t>其他类型（跟踪审计等）工程造价咨询项目</w:t>
      </w:r>
    </w:p>
    <w:p>
      <w:pPr>
        <w:pStyle w:val="10"/>
        <w:spacing w:beforeLines="50"/>
        <w:ind w:firstLine="562" w:firstLineChars="200"/>
        <w:rPr>
          <w:rFonts w:asciiTheme="minorEastAsia" w:hAnsiTheme="minorEastAsia" w:eastAsiaTheme="minorEastAsia" w:cstheme="minorEastAsia"/>
          <w:b/>
          <w:bCs/>
          <w:color w:val="0C0C0C" w:themeColor="text1" w:themeTint="F2"/>
          <w:sz w:val="28"/>
          <w:szCs w:val="28"/>
        </w:rPr>
      </w:pPr>
      <w:r>
        <w:rPr>
          <w:rFonts w:hint="eastAsia" w:asciiTheme="minorEastAsia" w:hAnsiTheme="minorEastAsia" w:eastAsiaTheme="minorEastAsia" w:cstheme="minorEastAsia"/>
          <w:b/>
          <w:bCs/>
          <w:color w:val="0C0C0C" w:themeColor="text1" w:themeTint="F2"/>
          <w:spacing w:val="0"/>
          <w:sz w:val="28"/>
          <w:szCs w:val="28"/>
        </w:rPr>
        <w:t>3.咨询</w:t>
      </w:r>
      <w:r>
        <w:rPr>
          <w:rFonts w:hint="eastAsia" w:asciiTheme="minorEastAsia" w:hAnsiTheme="minorEastAsia" w:eastAsiaTheme="minorEastAsia" w:cstheme="minorEastAsia"/>
          <w:b/>
          <w:bCs/>
          <w:color w:val="0C0C0C" w:themeColor="text1" w:themeTint="F2"/>
          <w:sz w:val="28"/>
          <w:szCs w:val="28"/>
        </w:rPr>
        <w:t>服务工作内容</w:t>
      </w:r>
    </w:p>
    <w:p>
      <w:pPr>
        <w:pStyle w:val="10"/>
        <w:ind w:firstLine="560" w:firstLineChars="200"/>
        <w:rPr>
          <w:rFonts w:asciiTheme="minorEastAsia" w:hAnsiTheme="minorEastAsia" w:eastAsiaTheme="minorEastAsia" w:cstheme="minorEastAsia"/>
          <w:color w:val="0C0C0C" w:themeColor="text1" w:themeTint="F2"/>
          <w:spacing w:val="0"/>
          <w:sz w:val="28"/>
          <w:szCs w:val="28"/>
        </w:rPr>
      </w:pPr>
      <w:r>
        <w:rPr>
          <w:rFonts w:hint="eastAsia" w:asciiTheme="minorEastAsia" w:hAnsiTheme="minorEastAsia" w:eastAsiaTheme="minorEastAsia" w:cstheme="minorEastAsia"/>
          <w:color w:val="0C0C0C" w:themeColor="text1" w:themeTint="F2"/>
          <w:spacing w:val="0"/>
          <w:sz w:val="28"/>
          <w:szCs w:val="28"/>
        </w:rPr>
        <w:t>（1）工程结算审核</w:t>
      </w:r>
    </w:p>
    <w:p>
      <w:pPr>
        <w:pStyle w:val="10"/>
        <w:ind w:firstLine="560" w:firstLineChars="200"/>
        <w:rPr>
          <w:rFonts w:asciiTheme="minorEastAsia" w:hAnsiTheme="minorEastAsia" w:eastAsiaTheme="minorEastAsia" w:cstheme="minorEastAsia"/>
          <w:color w:val="0C0C0C" w:themeColor="text1" w:themeTint="F2"/>
          <w:spacing w:val="0"/>
          <w:sz w:val="28"/>
          <w:szCs w:val="28"/>
        </w:rPr>
      </w:pPr>
      <w:r>
        <w:rPr>
          <w:rFonts w:hint="eastAsia" w:asciiTheme="minorEastAsia" w:hAnsiTheme="minorEastAsia" w:eastAsiaTheme="minorEastAsia" w:cstheme="minorEastAsia"/>
          <w:color w:val="0C0C0C" w:themeColor="text1" w:themeTint="F2"/>
          <w:spacing w:val="0"/>
          <w:sz w:val="28"/>
          <w:szCs w:val="28"/>
        </w:rPr>
        <w:t xml:space="preserve">  </w:t>
      </w:r>
      <w:r>
        <w:rPr>
          <w:rFonts w:hint="eastAsia" w:asciiTheme="minorEastAsia" w:hAnsiTheme="minorEastAsia" w:eastAsiaTheme="minorEastAsia" w:cstheme="minorEastAsia"/>
          <w:color w:val="0C0C0C" w:themeColor="text1" w:themeTint="F2"/>
          <w:spacing w:val="0"/>
          <w:sz w:val="28"/>
          <w:szCs w:val="28"/>
        </w:rPr>
        <w:sym w:font="Wingdings" w:char="F081"/>
      </w:r>
      <w:r>
        <w:rPr>
          <w:rFonts w:hint="eastAsia" w:asciiTheme="minorEastAsia" w:hAnsiTheme="minorEastAsia" w:eastAsiaTheme="minorEastAsia" w:cstheme="minorEastAsia"/>
          <w:color w:val="0C0C0C" w:themeColor="text1" w:themeTint="F2"/>
          <w:spacing w:val="0"/>
          <w:sz w:val="28"/>
          <w:szCs w:val="28"/>
        </w:rPr>
        <w:t>工程结算审核是对工程全部成本的真实性、合法性进行的审查和评价。</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w:t>
      </w:r>
      <w:r>
        <w:rPr>
          <w:rFonts w:hint="eastAsia" w:asciiTheme="minorEastAsia" w:hAnsiTheme="minorEastAsia" w:eastAsiaTheme="minorEastAsia" w:cstheme="minorEastAsia"/>
          <w:color w:val="0C0C0C" w:themeColor="text1" w:themeTint="F2"/>
          <w:sz w:val="28"/>
          <w:szCs w:val="28"/>
        </w:rPr>
        <w:sym w:font="Wingdings" w:char="F082"/>
      </w:r>
      <w:r>
        <w:rPr>
          <w:rFonts w:hint="eastAsia" w:asciiTheme="minorEastAsia" w:hAnsiTheme="minorEastAsia" w:eastAsiaTheme="minorEastAsia" w:cstheme="minorEastAsia"/>
          <w:color w:val="0C0C0C" w:themeColor="text1" w:themeTint="F2"/>
          <w:sz w:val="28"/>
          <w:szCs w:val="28"/>
        </w:rPr>
        <w:t>检查与合同价不同的部分，其工程量、单价、取费标准是否与现场、施工图和合同相符；</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w:t>
      </w:r>
      <w:r>
        <w:rPr>
          <w:rFonts w:hint="eastAsia" w:asciiTheme="minorEastAsia" w:hAnsiTheme="minorEastAsia" w:eastAsiaTheme="minorEastAsia" w:cstheme="minorEastAsia"/>
          <w:color w:val="0C0C0C" w:themeColor="text1" w:themeTint="F2"/>
          <w:sz w:val="28"/>
          <w:szCs w:val="28"/>
        </w:rPr>
        <w:sym w:font="Wingdings" w:char="F083"/>
      </w:r>
      <w:r>
        <w:rPr>
          <w:rFonts w:hint="eastAsia" w:asciiTheme="minorEastAsia" w:hAnsiTheme="minorEastAsia" w:eastAsiaTheme="minorEastAsia" w:cstheme="minorEastAsia"/>
          <w:color w:val="0C0C0C" w:themeColor="text1" w:themeTint="F2"/>
          <w:sz w:val="28"/>
          <w:szCs w:val="28"/>
        </w:rPr>
        <w:t>检查工程量清单项目中的清单费用与清单外费用是否合理；</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宋体" w:hAnsi="宋体" w:cs="宋体"/>
          <w:color w:val="0C0C0C" w:themeColor="text1" w:themeTint="F2"/>
          <w:sz w:val="28"/>
          <w:szCs w:val="28"/>
        </w:rPr>
        <w:t xml:space="preserve">  ④</w:t>
      </w:r>
      <w:r>
        <w:rPr>
          <w:rFonts w:hint="eastAsia" w:asciiTheme="minorEastAsia" w:hAnsiTheme="minorEastAsia" w:eastAsiaTheme="minorEastAsia" w:cstheme="minorEastAsia"/>
          <w:color w:val="0C0C0C" w:themeColor="text1" w:themeTint="F2"/>
          <w:sz w:val="28"/>
          <w:szCs w:val="28"/>
        </w:rPr>
        <w:t>检查前期、中期、后期结算的方式是否能够合理地控制工程造价。</w:t>
      </w:r>
    </w:p>
    <w:p>
      <w:pPr>
        <w:spacing w:line="480" w:lineRule="auto"/>
        <w:ind w:firstLine="560" w:firstLineChars="200"/>
        <w:jc w:val="left"/>
        <w:rPr>
          <w:rFonts w:asciiTheme="minorEastAsia" w:hAnsiTheme="minorEastAsia" w:eastAsiaTheme="minorEastAsia" w:cstheme="minorEastAsia"/>
          <w:color w:val="0C0C0C" w:themeColor="text1" w:themeTint="F2"/>
          <w:kern w:val="0"/>
          <w:sz w:val="28"/>
          <w:szCs w:val="28"/>
        </w:rPr>
      </w:pPr>
      <w:r>
        <w:rPr>
          <w:rFonts w:hint="eastAsia" w:asciiTheme="minorEastAsia" w:hAnsiTheme="minorEastAsia" w:eastAsiaTheme="minorEastAsia" w:cstheme="minorEastAsia"/>
          <w:color w:val="0C0C0C" w:themeColor="text1" w:themeTint="F2"/>
          <w:sz w:val="28"/>
          <w:szCs w:val="28"/>
        </w:rPr>
        <w:t>（2）</w:t>
      </w:r>
      <w:r>
        <w:rPr>
          <w:rFonts w:hint="eastAsia" w:asciiTheme="minorEastAsia" w:hAnsiTheme="minorEastAsia" w:eastAsiaTheme="minorEastAsia" w:cstheme="minorEastAsia"/>
          <w:color w:val="0C0C0C" w:themeColor="text1" w:themeTint="F2"/>
          <w:kern w:val="0"/>
          <w:sz w:val="28"/>
          <w:szCs w:val="28"/>
        </w:rPr>
        <w:t>其他类型工程造价咨询服务</w:t>
      </w:r>
    </w:p>
    <w:p>
      <w:pPr>
        <w:pStyle w:val="10"/>
        <w:ind w:firstLine="544" w:firstLineChars="200"/>
        <w:jc w:val="left"/>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kern w:val="0"/>
          <w:sz w:val="28"/>
          <w:szCs w:val="28"/>
        </w:rPr>
        <w:t xml:space="preserve">  </w:t>
      </w:r>
      <w:r>
        <w:rPr>
          <w:rFonts w:hint="eastAsia" w:asciiTheme="minorEastAsia" w:hAnsiTheme="minorEastAsia" w:eastAsiaTheme="minorEastAsia" w:cstheme="minorEastAsia"/>
          <w:color w:val="0C0C0C" w:themeColor="text1" w:themeTint="F2"/>
          <w:kern w:val="0"/>
          <w:sz w:val="28"/>
          <w:szCs w:val="28"/>
        </w:rPr>
        <w:sym w:font="Wingdings" w:char="F081"/>
      </w:r>
      <w:r>
        <w:rPr>
          <w:rFonts w:hint="eastAsia" w:asciiTheme="minorEastAsia" w:hAnsiTheme="minorEastAsia" w:eastAsiaTheme="minorEastAsia" w:cstheme="minorEastAsia"/>
          <w:color w:val="0C0C0C" w:themeColor="text1" w:themeTint="F2"/>
          <w:kern w:val="0"/>
          <w:sz w:val="28"/>
          <w:szCs w:val="28"/>
        </w:rPr>
        <w:t>其他类型工程造价咨询服务的工作内容以</w:t>
      </w:r>
      <w:r>
        <w:rPr>
          <w:rFonts w:hint="eastAsia" w:asciiTheme="minorEastAsia" w:hAnsiTheme="minorEastAsia" w:eastAsiaTheme="minorEastAsia" w:cstheme="minorEastAsia"/>
          <w:color w:val="0C0C0C" w:themeColor="text1" w:themeTint="F2"/>
          <w:sz w:val="28"/>
          <w:szCs w:val="28"/>
        </w:rPr>
        <w:t>《内部审计实务指南第1号－建设项目内部审计》和《内部审计实务指南第4号－高校内部审计》第四章“工程项目审计”规定相关内容为准。</w:t>
      </w:r>
    </w:p>
    <w:p>
      <w:pPr>
        <w:pStyle w:val="10"/>
        <w:ind w:firstLine="544" w:firstLineChars="200"/>
        <w:jc w:val="left"/>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w:t>
      </w:r>
      <w:r>
        <w:rPr>
          <w:rFonts w:hint="eastAsia" w:asciiTheme="minorEastAsia" w:hAnsiTheme="minorEastAsia" w:eastAsiaTheme="minorEastAsia" w:cstheme="minorEastAsia"/>
          <w:color w:val="0C0C0C" w:themeColor="text1" w:themeTint="F2"/>
          <w:sz w:val="28"/>
          <w:szCs w:val="28"/>
        </w:rPr>
        <w:sym w:font="Wingdings" w:char="F082"/>
      </w:r>
      <w:r>
        <w:rPr>
          <w:rFonts w:hint="eastAsia" w:asciiTheme="minorEastAsia" w:hAnsiTheme="minorEastAsia" w:eastAsiaTheme="minorEastAsia" w:cstheme="minorEastAsia"/>
          <w:color w:val="0C0C0C" w:themeColor="text1" w:themeTint="F2"/>
          <w:sz w:val="28"/>
          <w:szCs w:val="28"/>
        </w:rPr>
        <w:t>其他类型工程咨询服务的工作内容等，若有需要，合同双方可另行协商签订补充协议。</w:t>
      </w:r>
    </w:p>
    <w:p>
      <w:pPr>
        <w:adjustRightInd w:val="0"/>
        <w:snapToGrid w:val="0"/>
        <w:spacing w:after="120" w:line="480" w:lineRule="auto"/>
        <w:ind w:right="-67" w:rightChars="-24" w:firstLine="562"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b/>
          <w:bCs/>
          <w:color w:val="0C0C0C" w:themeColor="text1" w:themeTint="F2"/>
          <w:sz w:val="28"/>
          <w:szCs w:val="28"/>
        </w:rPr>
        <w:t>4.造价咨询服务时限和期限</w:t>
      </w:r>
    </w:p>
    <w:p>
      <w:pPr>
        <w:adjustRightInd w:val="0"/>
        <w:snapToGrid w:val="0"/>
        <w:spacing w:after="120" w:line="480" w:lineRule="auto"/>
        <w:ind w:right="-67" w:rightChars="-24"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工程结算审核时限：咨询人自签收工程项目结算审核送审资料之日起，15日内出具初步审核结果，30日内完成相关咨询服务，出具正式咨询报告。但结算审核过程中，因重大分歧导致的反复协商、反复验证等情形发生的时间不计入咨询服务时限。</w:t>
      </w:r>
    </w:p>
    <w:p>
      <w:pPr>
        <w:adjustRightInd w:val="0"/>
        <w:snapToGrid w:val="0"/>
        <w:spacing w:after="120" w:line="480" w:lineRule="auto"/>
        <w:ind w:right="-67" w:rightChars="-24"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（2）其他类型工程咨询服务时限和期限以甲方委托任务书确定，或双方协商另行签订补充协议。</w:t>
      </w:r>
      <w:r>
        <w:rPr>
          <w:rFonts w:hint="eastAsia" w:asciiTheme="minorEastAsia" w:hAnsiTheme="minorEastAsia" w:eastAsiaTheme="minorEastAsia" w:cstheme="minorEastAsia"/>
          <w:color w:val="0C0C0C" w:themeColor="text1" w:themeTint="F2"/>
          <w:sz w:val="28"/>
          <w:szCs w:val="28"/>
        </w:rPr>
        <w:tab/>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5.委托人的责任</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（1）及时向咨询人提供双方约定的委托人应提供的工程资料，包括施工图纸、招投标文件、施工合同及其他与造价有关的文件；</w:t>
      </w:r>
    </w:p>
    <w:p>
      <w:pPr>
        <w:pStyle w:val="10"/>
        <w:ind w:firstLine="544" w:firstLineChars="200"/>
        <w:jc w:val="left"/>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（2）为咨询人提供必要作业场所及其他便利条件；</w:t>
      </w:r>
    </w:p>
    <w:p>
      <w:pPr>
        <w:pStyle w:val="1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（3）协调咨询人在工程结算审核过程中与有关单位、部门之间的所有外部关系；</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（4）及时对咨询人书面提交并要求作出决定的事宜作出书面答复；</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（5）按本合同约定及时向咨询人支付审计费和报酬。</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6.咨询人的责任</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（1）咨询人及其审核人员均不得与项目任何相关单位产生或建立与审计工作无关的联系和关系；不得谋取合同约定之外的任何利益。</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（2）咨询人应严格遵守职业道德、执业纪律，维护委托人利益，保守委托人商业秘密的；</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（3）咨询人作业过程中，应及时主动通报工作进度进度、需委托人协调的问题，及时传递作业成果等可能影响进度的一切情形；</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（4）咨询人按照委托合同约定的时限完成咨询事项和咨询服务项目；</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（5）服务成果的质量，即咨询业务报告的误差率控制在±3%以内。委托人将保留对咨询人服务成果的质量委托第三方进行二次抽查的权利；</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（6）咨询人不得转包或变相转包其所承接的工程造价咨询业务；</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（7）咨询人须向委托人提供廉政承诺书；</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（8）咨询人除按规定提供相关咨询报告外，还须针对提供咨询服务过程中发现问题适时提供管理建议书；</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（9）咨询人须签订工程竣工结算审核复核承诺书；</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(10)咨询人在实施各类工程造价咨询服务前，须提供经甲方同意认可的实施方案。</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7.咨询服务年度考核</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（1）为加强审计管理，降低审计风险，提高审计质量，委托人对咨询人作业实行综合考核，采用百分制，得分在80分以下的，为不合格。具体内容详见《委托人对咨询人履约行为年度考核表》（附表1）</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（2）有下列情形之一的，直接认定为不合格：</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（一）违反审计“八不准”纪律；</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（二）隐瞒发现问题，或与有关单位和人员串通、弄虚作假的；</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3）考核不合格，委托人没收咨询人履约保证金，并列入委托人不良行为记录名单，在一定期限内禁止参加委托人采购活动；具有本条（2）行为之一的，委托人不支付咨询服务费用，并将此类情形报告政府采购监管部门，由政府采购监管部门依法处理。</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（4）考核由委托人组织有关部门在咨询人完成年度咨询服务后进行，若对被认定不合格有异议的，咨询人可以向委托人提出书面申诉。</w:t>
      </w:r>
    </w:p>
    <w:p>
      <w:pPr>
        <w:pStyle w:val="10"/>
        <w:ind w:firstLine="0"/>
        <w:rPr>
          <w:rFonts w:asciiTheme="minorEastAsia" w:hAnsiTheme="minorEastAsia" w:eastAsiaTheme="minorEastAsia" w:cstheme="minorEastAsia"/>
          <w:b/>
          <w:color w:val="0C0C0C" w:themeColor="text1" w:themeTint="F2"/>
          <w:sz w:val="28"/>
          <w:szCs w:val="28"/>
        </w:rPr>
      </w:pPr>
    </w:p>
    <w:p>
      <w:pPr>
        <w:pStyle w:val="10"/>
        <w:ind w:firstLine="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 xml:space="preserve">    8.工程造价咨询费用及支付</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（1）本合同无预付款。</w:t>
      </w:r>
    </w:p>
    <w:p>
      <w:pPr>
        <w:pStyle w:val="10"/>
        <w:ind w:firstLine="579" w:firstLineChars="207"/>
        <w:rPr>
          <w:rFonts w:asciiTheme="minorEastAsia" w:hAnsiTheme="minorEastAsia" w:eastAsiaTheme="minorEastAsia" w:cstheme="minorEastAsia"/>
          <w:color w:val="0C0C0C" w:themeColor="text1" w:themeTint="F2"/>
          <w:spacing w:val="0"/>
          <w:kern w:val="0"/>
          <w:sz w:val="28"/>
          <w:szCs w:val="28"/>
        </w:rPr>
      </w:pPr>
      <w:r>
        <w:rPr>
          <w:rFonts w:hint="eastAsia" w:asciiTheme="minorEastAsia" w:hAnsiTheme="minorEastAsia" w:eastAsiaTheme="minorEastAsia" w:cstheme="minorEastAsia"/>
          <w:color w:val="0C0C0C" w:themeColor="text1" w:themeTint="F2"/>
          <w:spacing w:val="0"/>
          <w:kern w:val="0"/>
          <w:sz w:val="28"/>
          <w:szCs w:val="28"/>
        </w:rPr>
        <w:t>（2）中标优惠率：_____________。</w:t>
      </w:r>
    </w:p>
    <w:p>
      <w:pPr>
        <w:adjustRightInd w:val="0"/>
        <w:snapToGrid w:val="0"/>
        <w:spacing w:line="480" w:lineRule="auto"/>
        <w:ind w:firstLine="560" w:firstLineChars="200"/>
        <w:jc w:val="left"/>
        <w:rPr>
          <w:rFonts w:asciiTheme="minorEastAsia" w:hAnsiTheme="minorEastAsia" w:eastAsiaTheme="minorEastAsia" w:cstheme="minorEastAsia"/>
          <w:color w:val="0C0C0C" w:themeColor="text1" w:themeTint="F2"/>
          <w:kern w:val="0"/>
          <w:sz w:val="28"/>
          <w:szCs w:val="28"/>
        </w:rPr>
      </w:pPr>
      <w:r>
        <w:rPr>
          <w:rFonts w:hint="eastAsia" w:asciiTheme="minorEastAsia" w:hAnsiTheme="minorEastAsia" w:eastAsiaTheme="minorEastAsia" w:cstheme="minorEastAsia"/>
          <w:color w:val="0C0C0C" w:themeColor="text1" w:themeTint="F2"/>
          <w:kern w:val="0"/>
          <w:sz w:val="28"/>
          <w:szCs w:val="28"/>
        </w:rPr>
        <w:t>（3）工程造价咨询服务费用计算方法</w:t>
      </w:r>
    </w:p>
    <w:p>
      <w:pPr>
        <w:pStyle w:val="10"/>
        <w:ind w:firstLine="630"/>
        <w:rPr>
          <w:rFonts w:asciiTheme="minorEastAsia" w:hAnsiTheme="minorEastAsia" w:eastAsiaTheme="minorEastAsia" w:cstheme="minorEastAsia"/>
          <w:color w:val="0C0C0C" w:themeColor="text1" w:themeTint="F2"/>
          <w:spacing w:val="0"/>
          <w:kern w:val="0"/>
          <w:sz w:val="28"/>
          <w:szCs w:val="28"/>
        </w:rPr>
      </w:pPr>
      <w:r>
        <w:rPr>
          <w:rFonts w:hint="eastAsia" w:ascii="仿宋" w:hAnsi="仿宋" w:eastAsia="仿宋" w:cs="仿宋"/>
          <w:color w:val="0C0C0C" w:themeColor="text1" w:themeTint="F2"/>
          <w:spacing w:val="0"/>
          <w:sz w:val="30"/>
          <w:szCs w:val="30"/>
          <w:lang w:val="zh-CN"/>
        </w:rPr>
        <w:t>工程造价咨询服务费用</w:t>
      </w:r>
      <w:r>
        <w:rPr>
          <w:rFonts w:hint="eastAsia" w:ascii="仿宋" w:hAnsi="仿宋" w:eastAsia="仿宋" w:cs="仿宋"/>
          <w:color w:val="0C0C0C" w:themeColor="text1" w:themeTint="F2"/>
          <w:spacing w:val="0"/>
          <w:sz w:val="30"/>
          <w:szCs w:val="30"/>
        </w:rPr>
        <w:t>=按皖价服〔2007〕86号文件规定计算的工程结算审核服务费用*（1-中标优惠率）。</w:t>
      </w:r>
    </w:p>
    <w:p>
      <w:pPr>
        <w:adjustRightInd w:val="0"/>
        <w:snapToGrid w:val="0"/>
        <w:spacing w:line="480" w:lineRule="auto"/>
        <w:jc w:val="left"/>
        <w:rPr>
          <w:rFonts w:asciiTheme="minorEastAsia" w:hAnsiTheme="minorEastAsia" w:cstheme="minorEastAsia"/>
          <w:color w:val="0C0C0C" w:themeColor="text1" w:themeTint="F2"/>
          <w:kern w:val="0"/>
          <w:sz w:val="28"/>
          <w:szCs w:val="28"/>
        </w:rPr>
      </w:pPr>
      <w:r>
        <w:rPr>
          <w:rFonts w:hint="eastAsia" w:asciiTheme="minorEastAsia" w:hAnsiTheme="minorEastAsia" w:eastAsiaTheme="minorEastAsia" w:cstheme="minorEastAsia"/>
          <w:color w:val="0C0C0C" w:themeColor="text1" w:themeTint="F2"/>
          <w:kern w:val="0"/>
          <w:sz w:val="28"/>
          <w:szCs w:val="28"/>
        </w:rPr>
        <w:t xml:space="preserve">     特别说明：</w:t>
      </w:r>
      <w:r>
        <w:rPr>
          <w:rFonts w:hint="eastAsia" w:ascii="宋体" w:hAnsi="宋体" w:cs="宋体"/>
          <w:color w:val="0C0C0C" w:themeColor="text1" w:themeTint="F2"/>
          <w:kern w:val="0"/>
          <w:sz w:val="28"/>
          <w:szCs w:val="28"/>
        </w:rPr>
        <w:sym w:font="Wingdings" w:char="F081"/>
      </w:r>
      <w:r>
        <w:rPr>
          <w:rFonts w:hint="eastAsia" w:ascii="宋体" w:hAnsi="宋体" w:cs="宋体"/>
          <w:color w:val="0C0C0C" w:themeColor="text1" w:themeTint="F2"/>
          <w:kern w:val="0"/>
          <w:sz w:val="28"/>
          <w:szCs w:val="28"/>
        </w:rPr>
        <w:t>计费基数以单位工程金额计算，合同包干加签证项目，包干价部分计入计费基数；作为收费基础的“送审工程造价”以学校后勤管理处报送审计金额为准。</w:t>
      </w:r>
      <w:r>
        <w:rPr>
          <w:rFonts w:hint="eastAsia" w:ascii="宋体" w:hAnsi="宋体" w:cs="宋体"/>
          <w:color w:val="0C0C0C" w:themeColor="text1" w:themeTint="F2"/>
          <w:kern w:val="0"/>
          <w:sz w:val="28"/>
          <w:szCs w:val="28"/>
        </w:rPr>
        <w:sym w:font="Wingdings" w:char="F082"/>
      </w:r>
      <w:r>
        <w:rPr>
          <w:rFonts w:hint="eastAsia" w:ascii="宋体" w:hAnsi="宋体" w:cs="宋体"/>
          <w:color w:val="0C0C0C" w:themeColor="text1" w:themeTint="F2"/>
          <w:kern w:val="0"/>
          <w:sz w:val="28"/>
          <w:szCs w:val="28"/>
        </w:rPr>
        <w:t>单位工程金额5万元以下的零星修缮工程项目，以报送审计金额5万元以内限额对项目进行归集打包报送，每一包作为一个单位工程计算咨询服务费。</w:t>
      </w:r>
      <w:r>
        <w:rPr>
          <w:rFonts w:hint="eastAsia" w:ascii="宋体" w:hAnsi="宋体" w:cs="宋体"/>
          <w:color w:val="0C0C0C" w:themeColor="text1" w:themeTint="F2"/>
          <w:kern w:val="0"/>
          <w:sz w:val="28"/>
          <w:szCs w:val="28"/>
        </w:rPr>
        <w:sym w:font="Wingdings" w:char="F083"/>
      </w:r>
      <w:r>
        <w:rPr>
          <w:rFonts w:hint="eastAsia" w:ascii="宋体" w:hAnsi="宋体" w:cs="宋体"/>
          <w:color w:val="0C0C0C" w:themeColor="text1" w:themeTint="F2"/>
          <w:kern w:val="0"/>
          <w:sz w:val="28"/>
          <w:szCs w:val="28"/>
        </w:rPr>
        <w:t>皖价服【2007】86号文件附表“安徽省工程造价咨询服务项目及收费标准的注2：按基本收费标准不足1000元的，按1000元计费”，不优惠。</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（4）咨询服务费用及报酬支付方式及时间：每季度支付一次，即每季度末根据已完成的工程结算审核的项目汇总结算咨询服务费用及报酬。在收到咨询人咨询服务费用及报酬的支付申请后20个工作日内付讫。</w:t>
      </w:r>
    </w:p>
    <w:p>
      <w:pPr>
        <w:widowControl/>
        <w:spacing w:line="480" w:lineRule="auto"/>
        <w:ind w:firstLine="632"/>
        <w:jc w:val="left"/>
        <w:rPr>
          <w:rFonts w:hint="eastAsia" w:asciiTheme="minorEastAsia" w:hAnsiTheme="minorEastAsia" w:eastAsiaTheme="minorEastAsia" w:cstheme="minorEastAsia"/>
          <w:b/>
          <w:color w:val="0C0C0C" w:themeColor="text1" w:themeTint="F2"/>
          <w:spacing w:val="4"/>
          <w:sz w:val="28"/>
          <w:szCs w:val="28"/>
        </w:rPr>
      </w:pPr>
    </w:p>
    <w:p>
      <w:pPr>
        <w:widowControl/>
        <w:spacing w:line="480" w:lineRule="auto"/>
        <w:ind w:firstLine="632"/>
        <w:jc w:val="left"/>
        <w:rPr>
          <w:rFonts w:asciiTheme="minorEastAsia" w:hAnsiTheme="minorEastAsia" w:eastAsiaTheme="minorEastAsia" w:cstheme="minorEastAsia"/>
          <w:b/>
          <w:color w:val="0C0C0C" w:themeColor="text1" w:themeTint="F2"/>
          <w:spacing w:val="4"/>
          <w:sz w:val="28"/>
          <w:szCs w:val="28"/>
        </w:rPr>
      </w:pPr>
      <w:r>
        <w:rPr>
          <w:rFonts w:hint="eastAsia" w:asciiTheme="minorEastAsia" w:hAnsiTheme="minorEastAsia" w:eastAsiaTheme="minorEastAsia" w:cstheme="minorEastAsia"/>
          <w:b/>
          <w:color w:val="0C0C0C" w:themeColor="text1" w:themeTint="F2"/>
          <w:spacing w:val="4"/>
          <w:sz w:val="28"/>
          <w:szCs w:val="28"/>
        </w:rPr>
        <w:t>9.履约保证金</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本项目履约保证金为￥            元(人民币大写：    )，收受人为                ，期限截至委托人完成造价咨询服务考核后30日内。</w:t>
      </w:r>
    </w:p>
    <w:p>
      <w:pPr>
        <w:widowControl/>
        <w:spacing w:line="480" w:lineRule="auto"/>
        <w:ind w:firstLine="578" w:firstLineChars="200"/>
        <w:jc w:val="left"/>
        <w:rPr>
          <w:rFonts w:asciiTheme="minorEastAsia" w:hAnsiTheme="minorEastAsia" w:eastAsiaTheme="minorEastAsia" w:cstheme="minorEastAsia"/>
          <w:b/>
          <w:bCs/>
          <w:color w:val="0C0C0C" w:themeColor="text1" w:themeTint="F2"/>
          <w:spacing w:val="4"/>
          <w:sz w:val="28"/>
          <w:szCs w:val="28"/>
        </w:rPr>
      </w:pPr>
      <w:r>
        <w:rPr>
          <w:rFonts w:hint="eastAsia" w:asciiTheme="minorEastAsia" w:hAnsiTheme="minorEastAsia" w:eastAsiaTheme="minorEastAsia" w:cstheme="minorEastAsia"/>
          <w:b/>
          <w:bCs/>
          <w:color w:val="0C0C0C" w:themeColor="text1" w:themeTint="F2"/>
          <w:spacing w:val="4"/>
          <w:sz w:val="28"/>
          <w:szCs w:val="28"/>
        </w:rPr>
        <w:t>10.违约责任</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（1）服务期限超过合同约定服务期限。如咨询人由于自身的原因未能按期履行完合同，委托人可从履约保证金中获得经济上的赔偿。其标准为按每延期一周赔付履约保证金的 10 %，但误期赔偿费总额不得超过履约保证金总额。一周按7天计算，不足7天按一周计算。在此情况下，咨询人不得要求买方退还其履约保证金。</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2）服务期限内未能履约。合同双方在履行合同过程中，如果遇到不能按时履约情况，应及时以书面形式将不能按期履约的理由、延误的时间通知对方。咨询人期限内未能履约的，委托人有权决定是否延长合同的履行时间或终止合同。如终止合同，咨询人不得要求买方返还履约保证金；如同意延长合同的履行时间，咨询人须在委托人规定的时间完成造价咨询服务，由此造成的误期赔偿费按照前款约定执行。</w:t>
      </w:r>
    </w:p>
    <w:p>
      <w:pPr>
        <w:widowControl/>
        <w:spacing w:line="480" w:lineRule="auto"/>
        <w:ind w:firstLine="632"/>
        <w:jc w:val="left"/>
        <w:rPr>
          <w:rFonts w:asciiTheme="minorEastAsia" w:hAnsiTheme="minorEastAsia" w:eastAsiaTheme="minorEastAsia" w:cstheme="minorEastAsia"/>
          <w:b/>
          <w:bCs/>
          <w:color w:val="0C0C0C" w:themeColor="text1" w:themeTint="F2"/>
          <w:spacing w:val="4"/>
          <w:sz w:val="28"/>
          <w:szCs w:val="28"/>
        </w:rPr>
      </w:pPr>
      <w:r>
        <w:rPr>
          <w:rFonts w:hint="eastAsia" w:asciiTheme="minorEastAsia" w:hAnsiTheme="minorEastAsia" w:eastAsiaTheme="minorEastAsia" w:cstheme="minorEastAsia"/>
          <w:b/>
          <w:bCs/>
          <w:color w:val="0C0C0C" w:themeColor="text1" w:themeTint="F2"/>
          <w:spacing w:val="4"/>
          <w:sz w:val="28"/>
          <w:szCs w:val="28"/>
        </w:rPr>
        <w:t>11.合同的终止</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（一）本合同因下列原因而终止：</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1、本合同正常履行完毕；</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2、合同双方协议终止本合同的履行；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3、不可抗力事件导致本合同无法履行或履行不必要；</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4、咨询人未按合同规定的期限完成委托任务，经委托人催告后，在催告期限内仍不能完成委托任务的，委托人可以取消委托，或单方终止合同；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5、咨询人年度考核不合格的，委托人有权单方终止合同；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6、符合本合同约定的其他终止合同的条款。</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（二）对本合同终止有过错的一方，应赔偿另一方因合同终止而受到的损失。对合同终止双方均无过错的，则各自承担所受到的损失。</w:t>
      </w:r>
    </w:p>
    <w:p>
      <w:pPr>
        <w:widowControl/>
        <w:spacing w:line="480" w:lineRule="auto"/>
        <w:ind w:firstLine="632"/>
        <w:jc w:val="left"/>
        <w:rPr>
          <w:rFonts w:asciiTheme="minorEastAsia" w:hAnsiTheme="minorEastAsia" w:eastAsiaTheme="minorEastAsia" w:cstheme="minorEastAsia"/>
          <w:b/>
          <w:bCs/>
          <w:color w:val="0C0C0C" w:themeColor="text1" w:themeTint="F2"/>
          <w:spacing w:val="4"/>
          <w:sz w:val="28"/>
          <w:szCs w:val="28"/>
        </w:rPr>
      </w:pPr>
      <w:r>
        <w:rPr>
          <w:rFonts w:hint="eastAsia" w:asciiTheme="minorEastAsia" w:hAnsiTheme="minorEastAsia" w:eastAsiaTheme="minorEastAsia" w:cstheme="minorEastAsia"/>
          <w:b/>
          <w:bCs/>
          <w:color w:val="0C0C0C" w:themeColor="text1" w:themeTint="F2"/>
          <w:spacing w:val="4"/>
          <w:sz w:val="28"/>
          <w:szCs w:val="28"/>
        </w:rPr>
        <w:t>12.其他</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（一）合同双方必须严格按照采购文件、投标文件及有关承诺签订采购合同，不得擅自变更。合同执行期内，双方均不得随意变更或解除合同。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（二）本合同执行期间，如遇不可抗力，致使合同无法履行时，双方应按有关法律规定及时协商处理。</w:t>
      </w:r>
    </w:p>
    <w:p>
      <w:pPr>
        <w:widowControl/>
        <w:spacing w:line="480" w:lineRule="auto"/>
        <w:ind w:firstLine="632"/>
        <w:jc w:val="left"/>
        <w:rPr>
          <w:rFonts w:hint="eastAsia"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（三）合同未尽事宜，双方另行签订补充协议，补充协议是合同的组成部分。</w:t>
      </w: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numPr>
          <w:ilvl w:val="0"/>
          <w:numId w:val="5"/>
        </w:numPr>
        <w:ind w:left="0" w:leftChars="0" w:firstLine="0" w:firstLineChars="0"/>
        <w:jc w:val="center"/>
        <w:rPr>
          <w:rFonts w:hint="eastAsia" w:ascii="华文中宋" w:hAnsi="华文中宋" w:eastAsia="华文中宋" w:cs="华文中宋"/>
          <w:szCs w:val="36"/>
        </w:rPr>
      </w:pPr>
      <w:r>
        <w:rPr>
          <w:rFonts w:hint="eastAsia" w:ascii="华文中宋" w:hAnsi="华文中宋" w:eastAsia="华文中宋" w:cs="华文中宋"/>
          <w:szCs w:val="36"/>
        </w:rPr>
        <w:t>项目需求</w:t>
      </w:r>
      <w:bookmarkEnd w:id="107"/>
    </w:p>
    <w:p>
      <w:pPr>
        <w:spacing w:line="460" w:lineRule="exact"/>
        <w:ind w:firstLine="480" w:firstLineChars="200"/>
        <w:rPr>
          <w:rFonts w:ascii="仿宋_GB2312" w:hAnsi="仿宋_GB2312" w:eastAsia="仿宋_GB2312" w:cs="仿宋_GB2312"/>
          <w:sz w:val="24"/>
          <w:szCs w:val="24"/>
        </w:rPr>
      </w:pP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2、技术文件基本内容</w:t>
      </w:r>
    </w:p>
    <w:p>
      <w:pPr>
        <w:adjustRightInd w:val="0"/>
        <w:snapToGrid w:val="0"/>
        <w:spacing w:line="480" w:lineRule="auto"/>
        <w:jc w:val="left"/>
        <w:rPr>
          <w:rFonts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(1)投标函；</w:t>
      </w:r>
    </w:p>
    <w:p>
      <w:pPr>
        <w:adjustRightInd w:val="0"/>
        <w:snapToGrid w:val="0"/>
        <w:spacing w:line="480" w:lineRule="auto"/>
        <w:ind w:firstLine="560" w:firstLineChars="200"/>
        <w:jc w:val="left"/>
        <w:rPr>
          <w:rFonts w:ascii="宋体" w:hAnsi="宋体"/>
          <w:color w:val="0C0C0C" w:themeColor="text1" w:themeTint="F2"/>
          <w:kern w:val="0"/>
          <w:sz w:val="28"/>
          <w:szCs w:val="28"/>
          <w:lang w:val="zh-CN"/>
        </w:rPr>
      </w:pPr>
      <w:r>
        <w:rPr>
          <w:rFonts w:hint="eastAsia" w:ascii="宋体"/>
          <w:color w:val="0C0C0C" w:themeColor="text1" w:themeTint="F2"/>
          <w:sz w:val="28"/>
          <w:szCs w:val="28"/>
        </w:rPr>
        <w:t>(2)法定代表人授权委托书；</w:t>
      </w:r>
    </w:p>
    <w:p>
      <w:pPr>
        <w:adjustRightInd w:val="0"/>
        <w:snapToGrid w:val="0"/>
        <w:spacing w:line="480" w:lineRule="auto"/>
        <w:ind w:firstLine="560" w:firstLineChars="200"/>
        <w:jc w:val="left"/>
        <w:rPr>
          <w:rFonts w:ascii="宋体" w:hAnsi="宋体"/>
          <w:color w:val="0C0C0C" w:themeColor="text1" w:themeTint="F2"/>
          <w:kern w:val="0"/>
          <w:sz w:val="28"/>
          <w:szCs w:val="28"/>
          <w:lang w:val="zh-CN"/>
        </w:rPr>
      </w:pPr>
      <w:r>
        <w:rPr>
          <w:rFonts w:hint="eastAsia" w:ascii="宋体" w:hAnsi="宋体"/>
          <w:color w:val="0C0C0C" w:themeColor="text1" w:themeTint="F2"/>
          <w:kern w:val="0"/>
          <w:sz w:val="28"/>
          <w:szCs w:val="28"/>
        </w:rPr>
        <w:t>(3)</w:t>
      </w:r>
      <w:r>
        <w:rPr>
          <w:rFonts w:hint="eastAsia" w:ascii="宋体" w:hAnsi="宋体"/>
          <w:color w:val="0C0C0C" w:themeColor="text1" w:themeTint="F2"/>
          <w:kern w:val="0"/>
          <w:sz w:val="28"/>
          <w:szCs w:val="28"/>
          <w:lang w:val="zh-CN"/>
        </w:rPr>
        <w:t>针对本项目特点的</w:t>
      </w:r>
      <w:r>
        <w:rPr>
          <w:rFonts w:hint="eastAsia" w:ascii="宋体" w:hAnsi="宋体"/>
          <w:color w:val="0C0C0C" w:themeColor="text1" w:themeTint="F2"/>
          <w:kern w:val="0"/>
          <w:sz w:val="28"/>
          <w:szCs w:val="28"/>
        </w:rPr>
        <w:t>修缮工程造价咨询服务</w:t>
      </w:r>
      <w:r>
        <w:rPr>
          <w:rFonts w:hint="eastAsia" w:ascii="宋体" w:hAnsi="宋体"/>
          <w:color w:val="0C0C0C" w:themeColor="text1" w:themeTint="F2"/>
          <w:kern w:val="0"/>
          <w:sz w:val="28"/>
          <w:szCs w:val="28"/>
          <w:lang w:val="zh-CN"/>
        </w:rPr>
        <w:t>实施方案（含结算审核、跟踪审计等）；</w:t>
      </w:r>
    </w:p>
    <w:p>
      <w:pPr>
        <w:adjustRightInd w:val="0"/>
        <w:snapToGrid w:val="0"/>
        <w:spacing w:line="480" w:lineRule="auto"/>
        <w:ind w:firstLine="560" w:firstLineChars="200"/>
        <w:jc w:val="left"/>
        <w:rPr>
          <w:rFonts w:ascii="宋体" w:hAnsi="宋体"/>
          <w:color w:val="0C0C0C" w:themeColor="text1" w:themeTint="F2"/>
          <w:kern w:val="0"/>
          <w:sz w:val="28"/>
          <w:szCs w:val="28"/>
          <w:lang w:val="zh-CN"/>
        </w:rPr>
      </w:pPr>
      <w:r>
        <w:rPr>
          <w:rFonts w:hint="eastAsia" w:ascii="宋体" w:hAnsi="宋体"/>
          <w:color w:val="0C0C0C" w:themeColor="text1" w:themeTint="F2"/>
          <w:kern w:val="0"/>
          <w:sz w:val="28"/>
          <w:szCs w:val="28"/>
        </w:rPr>
        <w:t>(4)</w:t>
      </w:r>
      <w:r>
        <w:rPr>
          <w:rFonts w:hint="eastAsia" w:ascii="宋体" w:hAnsi="宋体"/>
          <w:color w:val="0C0C0C" w:themeColor="text1" w:themeTint="F2"/>
          <w:kern w:val="0"/>
          <w:sz w:val="28"/>
          <w:szCs w:val="28"/>
          <w:lang w:val="zh-CN"/>
        </w:rPr>
        <w:t>拟派项目负责人及项目其他专业技术人员名单及相关资格证书；单位证明资料：包括单位介绍、造价单位综合情况一览表、投标人企业营业执照副本、资质证书副本、投标人所获国家及地方荣誉证书；</w:t>
      </w:r>
    </w:p>
    <w:p>
      <w:pPr>
        <w:adjustRightInd w:val="0"/>
        <w:snapToGrid w:val="0"/>
        <w:spacing w:line="480" w:lineRule="auto"/>
        <w:ind w:firstLine="560" w:firstLineChars="200"/>
        <w:jc w:val="left"/>
        <w:rPr>
          <w:rFonts w:hint="eastAsia" w:ascii="宋体" w:hAnsi="宋体"/>
          <w:color w:val="0C0C0C" w:themeColor="text1" w:themeTint="F2"/>
          <w:kern w:val="0"/>
          <w:sz w:val="28"/>
          <w:szCs w:val="28"/>
          <w:lang w:val="zh-CN"/>
        </w:rPr>
      </w:pPr>
      <w:r>
        <w:rPr>
          <w:rFonts w:hint="eastAsia" w:ascii="宋体" w:hAnsi="宋体"/>
          <w:color w:val="0C0C0C" w:themeColor="text1" w:themeTint="F2"/>
          <w:kern w:val="0"/>
          <w:sz w:val="28"/>
          <w:szCs w:val="28"/>
        </w:rPr>
        <w:t>(5)</w:t>
      </w:r>
      <w:r>
        <w:rPr>
          <w:rFonts w:hint="eastAsia" w:ascii="宋体" w:hAnsi="宋体"/>
          <w:color w:val="0C0C0C" w:themeColor="text1" w:themeTint="F2"/>
          <w:kern w:val="0"/>
          <w:sz w:val="28"/>
          <w:szCs w:val="28"/>
          <w:lang w:val="zh-CN"/>
        </w:rPr>
        <w:t>投标单位认为能体现自身实力及优势的其他资料。</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3、其他规定</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rPr>
        <w:t>(1</w:t>
      </w:r>
      <w:r>
        <w:rPr>
          <w:rFonts w:hint="eastAsia" w:ascii="宋体" w:hAnsi="宋体" w:cs="宋体"/>
          <w:color w:val="0C0C0C" w:themeColor="text1" w:themeTint="F2"/>
          <w:sz w:val="28"/>
          <w:szCs w:val="28"/>
          <w:lang w:val="zh-CN"/>
        </w:rPr>
        <w:t>）</w:t>
      </w:r>
      <w:r>
        <w:rPr>
          <w:rFonts w:hint="eastAsia" w:ascii="宋体" w:hAnsi="宋体" w:cs="宋体"/>
          <w:color w:val="0C0C0C" w:themeColor="text1" w:themeTint="F2"/>
          <w:sz w:val="28"/>
          <w:szCs w:val="28"/>
        </w:rPr>
        <w:t>须向委托人提供廉政承诺书；</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rPr>
        <w:t>(2</w:t>
      </w:r>
      <w:r>
        <w:rPr>
          <w:rFonts w:hint="eastAsia" w:ascii="宋体" w:hAnsi="宋体" w:cs="宋体"/>
          <w:color w:val="0C0C0C" w:themeColor="text1" w:themeTint="F2"/>
          <w:sz w:val="28"/>
          <w:szCs w:val="28"/>
          <w:lang w:val="zh-CN"/>
        </w:rPr>
        <w:t>）服务成果的质量，即咨询业务报告的误差率控制在±3%以内</w:t>
      </w:r>
      <w:r>
        <w:rPr>
          <w:rFonts w:hint="eastAsia" w:ascii="宋体" w:hAnsi="宋体" w:cs="宋体"/>
          <w:color w:val="0C0C0C" w:themeColor="text1" w:themeTint="F2"/>
          <w:sz w:val="28"/>
          <w:szCs w:val="28"/>
        </w:rPr>
        <w:t>,</w:t>
      </w:r>
      <w:r>
        <w:rPr>
          <w:rFonts w:hint="eastAsia" w:ascii="宋体" w:hAnsi="宋体" w:cs="宋体"/>
          <w:color w:val="0C0C0C" w:themeColor="text1" w:themeTint="F2"/>
          <w:sz w:val="28"/>
          <w:szCs w:val="28"/>
          <w:lang w:val="zh-CN"/>
        </w:rPr>
        <w:t>委托人将保留对咨询人服务成果的质量进行二次抽查的权利；</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rPr>
        <w:t>（3）委托人不定期对咨询服务进行综合考核；</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kern w:val="0"/>
          <w:sz w:val="28"/>
          <w:szCs w:val="28"/>
          <w:lang w:val="zh-CN"/>
        </w:rPr>
        <w:t>（</w:t>
      </w:r>
      <w:r>
        <w:rPr>
          <w:rFonts w:hint="eastAsia" w:ascii="宋体" w:hAnsi="宋体" w:cs="宋体"/>
          <w:color w:val="0C0C0C" w:themeColor="text1" w:themeTint="F2"/>
          <w:kern w:val="0"/>
          <w:sz w:val="28"/>
          <w:szCs w:val="28"/>
        </w:rPr>
        <w:t>4</w:t>
      </w:r>
      <w:r>
        <w:rPr>
          <w:rFonts w:hint="eastAsia" w:ascii="宋体" w:hAnsi="宋体" w:cs="宋体"/>
          <w:color w:val="0C0C0C" w:themeColor="text1" w:themeTint="F2"/>
          <w:sz w:val="28"/>
          <w:szCs w:val="28"/>
          <w:lang w:val="zh-CN"/>
        </w:rPr>
        <w:t>）委托人有权根据咨询人完成委托事务的质量、效率及综合考核结果等情况，或根据管理需要增减委托事务；</w:t>
      </w:r>
    </w:p>
    <w:p>
      <w:pPr>
        <w:adjustRightInd w:val="0"/>
        <w:snapToGrid w:val="0"/>
        <w:spacing w:line="480" w:lineRule="auto"/>
        <w:jc w:val="left"/>
        <w:rPr>
          <w:rFonts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lang w:val="zh-CN"/>
        </w:rPr>
        <w:t>（</w:t>
      </w:r>
      <w:r>
        <w:rPr>
          <w:rFonts w:hint="eastAsia" w:ascii="宋体" w:hAnsi="宋体" w:cs="宋体"/>
          <w:color w:val="0C0C0C" w:themeColor="text1" w:themeTint="F2"/>
          <w:sz w:val="28"/>
          <w:szCs w:val="28"/>
        </w:rPr>
        <w:t>5</w:t>
      </w:r>
      <w:r>
        <w:rPr>
          <w:rFonts w:hint="eastAsia" w:ascii="宋体" w:hAnsi="宋体" w:cs="宋体"/>
          <w:color w:val="0C0C0C" w:themeColor="text1" w:themeTint="F2"/>
          <w:sz w:val="28"/>
          <w:szCs w:val="28"/>
          <w:lang w:val="zh-CN"/>
        </w:rPr>
        <w:t>）咨询人不得转包或变相转包其所承接的工程造价咨询业务。</w:t>
      </w:r>
    </w:p>
    <w:p>
      <w:pPr>
        <w:adjustRightInd w:val="0"/>
        <w:snapToGrid w:val="0"/>
        <w:spacing w:line="480" w:lineRule="auto"/>
        <w:ind w:firstLine="280" w:firstLineChars="1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4、工程造价咨询服务费用的报价</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lang w:val="zh-CN"/>
        </w:rPr>
        <w:t>投标人的工程造价咨询</w:t>
      </w:r>
      <w:r>
        <w:rPr>
          <w:rFonts w:hint="eastAsia" w:ascii="宋体" w:hAnsi="宋体" w:cs="宋体"/>
          <w:color w:val="0C0C0C" w:themeColor="text1" w:themeTint="F2"/>
          <w:kern w:val="0"/>
          <w:sz w:val="28"/>
          <w:szCs w:val="28"/>
        </w:rPr>
        <w:t>服务费用报价：工程造价咨询服务费用按皖价服〔2007〕86号文件“工程造价咨询服务项目及收费标准”为计取基础，投标单位仅报工程咨询服务费用的优惠率</w:t>
      </w:r>
      <w:r>
        <w:rPr>
          <w:rFonts w:hint="eastAsia" w:ascii="宋体" w:hAnsi="宋体" w:cs="宋体"/>
          <w:color w:val="0C0C0C" w:themeColor="text1" w:themeTint="F2"/>
          <w:kern w:val="0"/>
          <w:sz w:val="28"/>
          <w:szCs w:val="28"/>
          <w:lang w:val="zh-CN"/>
        </w:rPr>
        <w:t>。即工程造价咨询服务费用</w:t>
      </w:r>
      <w:r>
        <w:rPr>
          <w:rFonts w:hint="eastAsia" w:ascii="宋体" w:hAnsi="宋体" w:cs="宋体"/>
          <w:color w:val="0C0C0C" w:themeColor="text1" w:themeTint="F2"/>
          <w:kern w:val="0"/>
          <w:sz w:val="28"/>
          <w:szCs w:val="28"/>
        </w:rPr>
        <w:t>=按上述文件规定计算的咨询服务费用*（1-优惠率）。各类工程造价咨询服务费用计算如下：</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（1）工程结算审核造价咨询服务费用=以皖价服〔2007〕86号文件及其附表“6清单计价 工程量清单结算审核”为计取基础计算的结算审核咨询服务费用*（1-优惠率）。</w:t>
      </w:r>
    </w:p>
    <w:p>
      <w:pPr>
        <w:adjustRightInd w:val="0"/>
        <w:snapToGrid w:val="0"/>
        <w:spacing w:line="480" w:lineRule="auto"/>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 xml:space="preserve">     特别说明：</w:t>
      </w:r>
      <w:r>
        <w:rPr>
          <w:rFonts w:hint="eastAsia" w:ascii="宋体" w:hAnsi="宋体" w:cs="宋体"/>
          <w:color w:val="0C0C0C" w:themeColor="text1" w:themeTint="F2"/>
          <w:kern w:val="0"/>
          <w:sz w:val="28"/>
          <w:szCs w:val="28"/>
        </w:rPr>
        <w:sym w:font="Wingdings" w:char="F081"/>
      </w:r>
      <w:r>
        <w:rPr>
          <w:rFonts w:hint="eastAsia" w:ascii="宋体" w:hAnsi="宋体" w:cs="宋体"/>
          <w:color w:val="0C0C0C" w:themeColor="text1" w:themeTint="F2"/>
          <w:kern w:val="0"/>
          <w:sz w:val="28"/>
          <w:szCs w:val="28"/>
        </w:rPr>
        <w:t>计费基数以单位工程金额计算，合同包干加签证项目，包干价部分计入计费基数；作为收费基础的“送审工程造价”以学校后勤管理处报送审计金额为准。</w:t>
      </w:r>
      <w:r>
        <w:rPr>
          <w:rFonts w:hint="eastAsia" w:ascii="宋体" w:hAnsi="宋体" w:cs="宋体"/>
          <w:color w:val="0C0C0C" w:themeColor="text1" w:themeTint="F2"/>
          <w:kern w:val="0"/>
          <w:sz w:val="28"/>
          <w:szCs w:val="28"/>
        </w:rPr>
        <w:sym w:font="Wingdings" w:char="F082"/>
      </w:r>
      <w:r>
        <w:rPr>
          <w:rFonts w:hint="eastAsia" w:ascii="宋体" w:hAnsi="宋体" w:cs="宋体"/>
          <w:color w:val="0C0C0C" w:themeColor="text1" w:themeTint="F2"/>
          <w:kern w:val="0"/>
          <w:sz w:val="28"/>
          <w:szCs w:val="28"/>
        </w:rPr>
        <w:t>单位工程金额5万元以下的零星修缮工程项目，以报送审计金额5万元以内限额对项目进行归集打包报送，每一包作为一个单位工程计算咨询服务费。</w:t>
      </w:r>
      <w:r>
        <w:rPr>
          <w:rFonts w:hint="eastAsia" w:ascii="宋体" w:hAnsi="宋体" w:cs="宋体"/>
          <w:color w:val="0C0C0C" w:themeColor="text1" w:themeTint="F2"/>
          <w:kern w:val="0"/>
          <w:sz w:val="28"/>
          <w:szCs w:val="28"/>
        </w:rPr>
        <w:sym w:font="Wingdings" w:char="F083"/>
      </w:r>
      <w:r>
        <w:rPr>
          <w:rFonts w:hint="eastAsia" w:ascii="宋体" w:hAnsi="宋体" w:cs="宋体"/>
          <w:color w:val="0C0C0C" w:themeColor="text1" w:themeTint="F2"/>
          <w:kern w:val="0"/>
          <w:sz w:val="28"/>
          <w:szCs w:val="28"/>
        </w:rPr>
        <w:t>皖价服【2007】86号文件附表“安徽省工程造价咨询服务项目及收费标准的注2：按基本收费标准不足1000元的，按1000元计费”，不优惠。</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(2)其他类型的工程造价咨询项目咨询服务费=以皖价服〔2007〕86号文件及其附表相应咨询项目为计取基础计算的工程造价咨询服务费用*（1-优惠率）。</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(3)报价特别说明</w:t>
      </w:r>
    </w:p>
    <w:p>
      <w:pPr>
        <w:adjustRightInd w:val="0"/>
        <w:snapToGrid w:val="0"/>
        <w:spacing w:line="480" w:lineRule="auto"/>
        <w:ind w:firstLine="560" w:firstLineChars="200"/>
        <w:jc w:val="left"/>
        <w:rPr>
          <w:rFonts w:ascii="宋体" w:hAnsi="宋体" w:cs="宋体"/>
          <w:color w:val="0C0C0C" w:themeColor="text1" w:themeTint="F2"/>
          <w:kern w:val="0"/>
          <w:sz w:val="28"/>
          <w:szCs w:val="28"/>
          <w:lang w:val="zh-CN"/>
        </w:rPr>
      </w:pPr>
      <w:r>
        <w:rPr>
          <w:rFonts w:hint="eastAsia" w:ascii="宋体" w:hAnsi="宋体" w:cs="宋体"/>
          <w:color w:val="0C0C0C" w:themeColor="text1" w:themeTint="F2"/>
          <w:kern w:val="0"/>
          <w:sz w:val="28"/>
          <w:szCs w:val="28"/>
          <w:lang w:val="zh-CN"/>
        </w:rPr>
        <w:t xml:space="preserve"> </w:t>
      </w:r>
      <w:r>
        <w:rPr>
          <w:rFonts w:hint="eastAsia" w:ascii="宋体" w:hAnsi="宋体" w:cs="宋体"/>
          <w:color w:val="0C0C0C" w:themeColor="text1" w:themeTint="F2"/>
          <w:kern w:val="0"/>
          <w:sz w:val="28"/>
          <w:szCs w:val="28"/>
          <w:lang w:val="zh-CN"/>
        </w:rPr>
        <w:sym w:font="Wingdings" w:char="F081"/>
      </w:r>
      <w:r>
        <w:rPr>
          <w:rFonts w:hint="eastAsia" w:ascii="宋体" w:hAnsi="宋体" w:cs="宋体"/>
          <w:color w:val="0C0C0C" w:themeColor="text1" w:themeTint="F2"/>
          <w:kern w:val="0"/>
          <w:sz w:val="28"/>
          <w:szCs w:val="28"/>
          <w:lang w:val="zh-CN"/>
        </w:rPr>
        <w:t>报价时，投标人须对目前市场、环境、社会等不确定因素进行合理估计，对修缮工程地点分散、工程零星等特点作出充分考量，并在报价中体现。</w:t>
      </w:r>
    </w:p>
    <w:p>
      <w:pPr>
        <w:adjustRightInd w:val="0"/>
        <w:snapToGrid w:val="0"/>
        <w:spacing w:line="480" w:lineRule="auto"/>
        <w:ind w:firstLine="560" w:firstLineChars="200"/>
        <w:jc w:val="left"/>
        <w:rPr>
          <w:rFonts w:ascii="宋体" w:hAnsi="宋体" w:cs="宋体"/>
          <w:color w:val="0C0C0C" w:themeColor="text1" w:themeTint="F2"/>
          <w:kern w:val="0"/>
          <w:sz w:val="28"/>
          <w:szCs w:val="28"/>
          <w:lang w:val="zh-CN"/>
        </w:rPr>
      </w:pPr>
      <w:r>
        <w:rPr>
          <w:rFonts w:hint="eastAsia" w:ascii="宋体" w:hAnsi="宋体" w:cs="宋体"/>
          <w:color w:val="0C0C0C" w:themeColor="text1" w:themeTint="F2"/>
          <w:kern w:val="0"/>
          <w:sz w:val="28"/>
          <w:szCs w:val="28"/>
          <w:lang w:val="zh-CN"/>
        </w:rPr>
        <w:t xml:space="preserve"> </w:t>
      </w:r>
      <w:r>
        <w:rPr>
          <w:rFonts w:hint="eastAsia" w:ascii="宋体" w:hAnsi="宋体" w:cs="宋体"/>
          <w:color w:val="0C0C0C" w:themeColor="text1" w:themeTint="F2"/>
          <w:kern w:val="0"/>
          <w:sz w:val="28"/>
          <w:szCs w:val="28"/>
          <w:lang w:val="zh-CN"/>
        </w:rPr>
        <w:sym w:font="Wingdings" w:char="F082"/>
      </w:r>
      <w:r>
        <w:rPr>
          <w:rFonts w:hint="eastAsia" w:ascii="宋体" w:hAnsi="宋体" w:cs="宋体"/>
          <w:color w:val="0C0C0C" w:themeColor="text1" w:themeTint="F2"/>
          <w:kern w:val="0"/>
          <w:sz w:val="28"/>
          <w:szCs w:val="28"/>
          <w:lang w:val="zh-CN"/>
        </w:rPr>
        <w:t>投标人的投标报价应响应提供全部服务所需的全部费用，此费用应包含服务成本（含人员成本、交通、税费等）、利润、风险及其他一切因素。</w:t>
      </w:r>
    </w:p>
    <w:p>
      <w:pPr>
        <w:adjustRightInd w:val="0"/>
        <w:snapToGrid w:val="0"/>
        <w:spacing w:line="500" w:lineRule="exact"/>
        <w:rPr>
          <w:rFonts w:hint="eastAsia"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3"/>
        <w:snapToGrid w:val="0"/>
        <w:spacing w:before="0" w:after="0"/>
        <w:jc w:val="center"/>
        <w:rPr>
          <w:rFonts w:ascii="华文中宋" w:hAnsi="华文中宋" w:eastAsia="华文中宋" w:cs="华文中宋"/>
          <w:color w:val="auto"/>
        </w:rPr>
      </w:pPr>
      <w:bookmarkStart w:id="108" w:name="_Toc52892867"/>
      <w:r>
        <w:rPr>
          <w:rFonts w:hint="eastAsia" w:ascii="华文中宋" w:hAnsi="华文中宋" w:eastAsia="华文中宋" w:cs="华文中宋"/>
          <w:color w:val="auto"/>
        </w:rPr>
        <w:t>第六章  评分办法和评分细则</w:t>
      </w:r>
      <w:bookmarkEnd w:id="108"/>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1、招标评标说明</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（1）本次招标评标依据为本招标文件和投标人投标文件。</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（2）评标委员会遵循公开、公平、公正和诚实信用原则，对所有投标人均采用相同程序和标准，选择能最大限度地满足招标文件规定的各项综合评价标准的合格中标候选人。</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2、评标办法 </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本评标方法采用综合评分法，满分为100分。其中：技术部分占70分，商务部分（造价咨询服务费用）占30分，以综合得分最高的单位为第一中标候选单位；当得分相同时，以其中造价咨询服务费得分高的单位为第一中标候选单位。按其他投标单位综合得分高低依次确定其他中标候选单位。评分方法如下：</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（1） 技术部分评分内容和分值分配（70分）</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各评委首先对投标人的投标文件进行初步评审，以确定是否符合要求，对符合要求的投标文件就以下各分项内容分别进行打分，统分时各评委给各投标人累计评分的算术平均值(按四舍五入法保留2位小数)即为各投标人在该部分的最后得分。</w:t>
      </w:r>
    </w:p>
    <w:tbl>
      <w:tblPr>
        <w:tblStyle w:val="21"/>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418"/>
        <w:gridCol w:w="1287"/>
        <w:gridCol w:w="5495"/>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426"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序号</w:t>
            </w:r>
          </w:p>
        </w:tc>
        <w:tc>
          <w:tcPr>
            <w:tcW w:w="1418"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评审内容</w:t>
            </w:r>
          </w:p>
        </w:tc>
        <w:tc>
          <w:tcPr>
            <w:tcW w:w="1287" w:type="dxa"/>
            <w:vAlign w:val="center"/>
          </w:tcPr>
          <w:p>
            <w:pPr>
              <w:tabs>
                <w:tab w:val="left" w:pos="720"/>
              </w:tabs>
              <w:spacing w:line="480" w:lineRule="auto"/>
              <w:jc w:val="center"/>
              <w:rPr>
                <w:rFonts w:ascii="宋体" w:hAnsi="宋体"/>
                <w:color w:val="0C0C0C" w:themeColor="text1" w:themeTint="F2"/>
                <w:spacing w:val="4"/>
                <w:sz w:val="24"/>
              </w:rPr>
            </w:pPr>
          </w:p>
        </w:tc>
        <w:tc>
          <w:tcPr>
            <w:tcW w:w="5495"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技术部分评分办法</w:t>
            </w:r>
          </w:p>
        </w:tc>
        <w:tc>
          <w:tcPr>
            <w:tcW w:w="742" w:type="dxa"/>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分值分配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restart"/>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1</w:t>
            </w:r>
          </w:p>
        </w:tc>
        <w:tc>
          <w:tcPr>
            <w:tcW w:w="1418" w:type="dxa"/>
            <w:vMerge w:val="restart"/>
            <w:vAlign w:val="center"/>
          </w:tcPr>
          <w:p>
            <w:pPr>
              <w:pStyle w:val="54"/>
              <w:spacing w:line="480" w:lineRule="auto"/>
              <w:rPr>
                <w:rFonts w:ascii="宋体" w:hAnsi="宋体" w:eastAsia="宋体"/>
                <w:color w:val="0C0C0C" w:themeColor="text1" w:themeTint="F2"/>
                <w:spacing w:val="4"/>
                <w:sz w:val="24"/>
                <w:szCs w:val="20"/>
              </w:rPr>
            </w:pPr>
            <w:r>
              <w:rPr>
                <w:rFonts w:hint="eastAsia" w:ascii="宋体" w:hAnsi="宋体" w:eastAsia="宋体"/>
                <w:color w:val="0C0C0C" w:themeColor="text1" w:themeTint="F2"/>
                <w:spacing w:val="4"/>
                <w:sz w:val="24"/>
                <w:szCs w:val="20"/>
              </w:rPr>
              <w:t>投标单位</w:t>
            </w:r>
          </w:p>
          <w:p>
            <w:pPr>
              <w:pStyle w:val="54"/>
              <w:spacing w:line="480" w:lineRule="auto"/>
              <w:rPr>
                <w:rFonts w:ascii="宋体" w:hAnsi="宋体" w:eastAsia="宋体"/>
                <w:color w:val="0C0C0C" w:themeColor="text1" w:themeTint="F2"/>
                <w:spacing w:val="4"/>
                <w:sz w:val="24"/>
                <w:szCs w:val="20"/>
              </w:rPr>
            </w:pPr>
            <w:r>
              <w:rPr>
                <w:rFonts w:hint="eastAsia" w:ascii="宋体" w:hAnsi="宋体" w:eastAsia="宋体"/>
                <w:color w:val="0C0C0C" w:themeColor="text1" w:themeTint="F2"/>
                <w:spacing w:val="4"/>
                <w:sz w:val="24"/>
                <w:szCs w:val="20"/>
              </w:rPr>
              <w:t>企业资质及荣誉</w:t>
            </w:r>
          </w:p>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8分</w:t>
            </w:r>
          </w:p>
        </w:tc>
        <w:tc>
          <w:tcPr>
            <w:tcW w:w="1287"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企业资质</w:t>
            </w:r>
          </w:p>
        </w:tc>
        <w:tc>
          <w:tcPr>
            <w:tcW w:w="5495" w:type="dxa"/>
            <w:vAlign w:val="center"/>
          </w:tcPr>
          <w:p>
            <w:pPr>
              <w:tabs>
                <w:tab w:val="left" w:pos="720"/>
              </w:tabs>
              <w:spacing w:line="480" w:lineRule="auto"/>
              <w:jc w:val="left"/>
              <w:rPr>
                <w:rFonts w:ascii="宋体" w:hAnsi="宋体"/>
                <w:color w:val="0C0C0C" w:themeColor="text1" w:themeTint="F2"/>
                <w:spacing w:val="4"/>
                <w:sz w:val="24"/>
              </w:rPr>
            </w:pPr>
            <w:r>
              <w:rPr>
                <w:rFonts w:hint="eastAsia" w:ascii="宋体" w:hAnsi="宋体"/>
                <w:iCs/>
                <w:color w:val="0C0C0C" w:themeColor="text1" w:themeTint="F2"/>
                <w:szCs w:val="21"/>
              </w:rPr>
              <w:t>投标咨询单位甲级2分，咨询单位乙级1分。</w:t>
            </w:r>
          </w:p>
        </w:tc>
        <w:tc>
          <w:tcPr>
            <w:tcW w:w="742"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Merge w:val="restart"/>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企业荣誉</w:t>
            </w:r>
          </w:p>
        </w:tc>
        <w:tc>
          <w:tcPr>
            <w:tcW w:w="5495" w:type="dxa"/>
            <w:vAlign w:val="center"/>
          </w:tcPr>
          <w:p>
            <w:pPr>
              <w:tabs>
                <w:tab w:val="left" w:pos="720"/>
              </w:tabs>
              <w:spacing w:line="480" w:lineRule="auto"/>
              <w:jc w:val="left"/>
              <w:rPr>
                <w:rFonts w:ascii="宋体" w:hAnsi="宋体"/>
                <w:iCs/>
                <w:color w:val="0C0C0C" w:themeColor="text1" w:themeTint="F2"/>
                <w:szCs w:val="21"/>
              </w:rPr>
            </w:pPr>
            <w:r>
              <w:rPr>
                <w:rFonts w:hint="eastAsia" w:ascii="宋体" w:hAnsi="宋体"/>
                <w:iCs/>
                <w:color w:val="0C0C0C" w:themeColor="text1" w:themeTint="F2"/>
                <w:szCs w:val="21"/>
              </w:rPr>
              <w:t>自2019年1月1日以来，在市级及以上政府审计工作中考核优秀，或被通报表彰的，每项1分，满分3分。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7"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Merge w:val="continue"/>
            <w:vAlign w:val="center"/>
          </w:tcPr>
          <w:p>
            <w:pPr>
              <w:tabs>
                <w:tab w:val="left" w:pos="720"/>
              </w:tabs>
              <w:spacing w:line="480" w:lineRule="auto"/>
              <w:jc w:val="left"/>
              <w:rPr>
                <w:rFonts w:ascii="宋体" w:hAnsi="宋体"/>
                <w:iCs/>
                <w:color w:val="0C0C0C" w:themeColor="text1" w:themeTint="F2"/>
                <w:szCs w:val="21"/>
              </w:rPr>
            </w:pPr>
          </w:p>
        </w:tc>
        <w:tc>
          <w:tcPr>
            <w:tcW w:w="5495" w:type="dxa"/>
          </w:tcPr>
          <w:p>
            <w:pPr>
              <w:tabs>
                <w:tab w:val="left" w:pos="720"/>
              </w:tabs>
              <w:spacing w:line="480" w:lineRule="auto"/>
              <w:rPr>
                <w:rFonts w:ascii="宋体" w:hAnsi="宋体"/>
                <w:iCs/>
                <w:color w:val="0C0C0C" w:themeColor="text1" w:themeTint="F2"/>
                <w:szCs w:val="21"/>
              </w:rPr>
            </w:pPr>
            <w:r>
              <w:rPr>
                <w:rFonts w:hint="eastAsia" w:ascii="宋体" w:hAnsi="宋体"/>
                <w:iCs/>
                <w:color w:val="0C0C0C" w:themeColor="text1" w:themeTint="F2"/>
                <w:szCs w:val="21"/>
              </w:rPr>
              <w:t>近三年（2019年1月1日至今，以获奖证明时间为准）获得工商行政管理部门颁发的“守合同 重信用”企业荣誉的，国家级得3分，省级个得2分，市级得1分。所有荣誉按级别高的得分，不累计，满分3分。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restart"/>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2</w:t>
            </w:r>
          </w:p>
        </w:tc>
        <w:tc>
          <w:tcPr>
            <w:tcW w:w="1418" w:type="dxa"/>
            <w:vMerge w:val="restart"/>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pacing w:val="4"/>
                <w:sz w:val="24"/>
              </w:rPr>
              <w:t>投标单位的资源、本地化服务能力及业绩情况10分</w:t>
            </w: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从事工程造价专业的专职人员</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少于20人的不得分，20人以上每多1人得0.2分，最高得2分。（须提供2021年6月-2021年11月专职人员在投标单位缴纳社会保障金的证明材料。）</w:t>
            </w:r>
          </w:p>
        </w:tc>
        <w:tc>
          <w:tcPr>
            <w:tcW w:w="742"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注册造价工程师</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少于10人的不得分，10人以上每多1人得0.4分，最高得4分。（须提供2021年6月-2021年11月专职人员在投标单位缴纳社会保障金的证明材料。）</w:t>
            </w:r>
          </w:p>
        </w:tc>
        <w:tc>
          <w:tcPr>
            <w:tcW w:w="742"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continue"/>
            <w:tcBorders>
              <w:bottom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bottom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本地化服务能力</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投标单位在本地专业服务人员，少于6人不得分，6人以上每多人得1分，最高得4分。（须提供2021年6月-2021年11月人员在投标单位缴纳的芜湖市社会保障金的证明材料。）</w:t>
            </w:r>
          </w:p>
        </w:tc>
        <w:tc>
          <w:tcPr>
            <w:tcW w:w="742"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b/>
                <w:bCs/>
                <w:color w:val="0C0C0C" w:themeColor="text1" w:themeTint="F2"/>
                <w:szCs w:val="21"/>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426" w:type="dxa"/>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w:t>
            </w:r>
          </w:p>
        </w:tc>
        <w:tc>
          <w:tcPr>
            <w:tcW w:w="1418" w:type="dxa"/>
            <w:vMerge w:val="restart"/>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hint="eastAsia" w:ascii="宋体" w:hAnsi="宋体"/>
                <w:iCs/>
                <w:color w:val="0C0C0C" w:themeColor="text1" w:themeTint="F2"/>
                <w:sz w:val="24"/>
                <w:szCs w:val="24"/>
              </w:rPr>
            </w:pPr>
            <w:r>
              <w:rPr>
                <w:rFonts w:hint="eastAsia" w:ascii="宋体" w:hAnsi="宋体"/>
                <w:iCs/>
                <w:color w:val="0C0C0C" w:themeColor="text1" w:themeTint="F2"/>
                <w:sz w:val="24"/>
                <w:szCs w:val="24"/>
              </w:rPr>
              <w:t>实施方案</w:t>
            </w:r>
          </w:p>
          <w:p>
            <w:pPr>
              <w:tabs>
                <w:tab w:val="left" w:pos="720"/>
              </w:tabs>
              <w:spacing w:line="480" w:lineRule="auto"/>
              <w:jc w:val="center"/>
              <w:rPr>
                <w:rFonts w:hint="eastAsia" w:ascii="宋体" w:hAnsi="宋体"/>
                <w:iCs/>
                <w:color w:val="0C0C0C" w:themeColor="text1" w:themeTint="F2"/>
                <w:sz w:val="24"/>
                <w:szCs w:val="24"/>
              </w:rPr>
            </w:pPr>
            <w:r>
              <w:rPr>
                <w:rFonts w:hint="eastAsia" w:ascii="宋体" w:hAnsi="宋体"/>
                <w:iCs/>
                <w:color w:val="0C0C0C" w:themeColor="text1" w:themeTint="F2"/>
                <w:sz w:val="24"/>
                <w:szCs w:val="24"/>
              </w:rPr>
              <w:t>及</w:t>
            </w:r>
          </w:p>
          <w:p>
            <w:pPr>
              <w:tabs>
                <w:tab w:val="left" w:pos="720"/>
              </w:tabs>
              <w:spacing w:line="480" w:lineRule="auto"/>
              <w:jc w:val="center"/>
              <w:rPr>
                <w:rFonts w:hint="eastAsia" w:ascii="宋体" w:hAnsi="宋体"/>
                <w:iCs/>
                <w:color w:val="0C0C0C" w:themeColor="text1" w:themeTint="F2"/>
                <w:sz w:val="24"/>
                <w:szCs w:val="24"/>
              </w:rPr>
            </w:pPr>
          </w:p>
          <w:p>
            <w:pPr>
              <w:tabs>
                <w:tab w:val="left" w:pos="720"/>
              </w:tabs>
              <w:spacing w:line="480" w:lineRule="auto"/>
              <w:jc w:val="center"/>
              <w:rPr>
                <w:rFonts w:ascii="宋体" w:hAnsi="宋体"/>
                <w:iCs/>
                <w:color w:val="0C0C0C" w:themeColor="text1" w:themeTint="F2"/>
                <w:sz w:val="24"/>
                <w:szCs w:val="24"/>
              </w:rPr>
            </w:pPr>
            <w:r>
              <w:rPr>
                <w:rFonts w:hint="eastAsia" w:ascii="宋体" w:hAnsi="宋体"/>
                <w:iCs/>
                <w:color w:val="0C0C0C" w:themeColor="text1" w:themeTint="F2"/>
                <w:sz w:val="24"/>
                <w:szCs w:val="24"/>
              </w:rPr>
              <w:t>保证措施</w:t>
            </w:r>
            <w:r>
              <w:rPr>
                <w:rFonts w:hint="eastAsia" w:ascii="宋体" w:hAnsi="宋体"/>
                <w:iCs/>
                <w:color w:val="0C0C0C" w:themeColor="text1" w:themeTint="F2"/>
                <w:sz w:val="24"/>
                <w:szCs w:val="24"/>
                <w:lang w:val="en-US" w:eastAsia="zh-CN"/>
              </w:rPr>
              <w:t>41</w:t>
            </w:r>
            <w:r>
              <w:rPr>
                <w:rFonts w:hint="eastAsia" w:ascii="宋体" w:hAnsi="宋体"/>
                <w:iCs/>
                <w:color w:val="0C0C0C" w:themeColor="text1" w:themeTint="F2"/>
                <w:sz w:val="24"/>
                <w:szCs w:val="24"/>
              </w:rPr>
              <w:t>分</w:t>
            </w:r>
          </w:p>
        </w:tc>
        <w:tc>
          <w:tcPr>
            <w:tcW w:w="1287" w:type="dxa"/>
            <w:tcBorders>
              <w:lef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方案完整性和编制水平</w:t>
            </w:r>
          </w:p>
        </w:tc>
        <w:tc>
          <w:tcPr>
            <w:tcW w:w="5495" w:type="dxa"/>
            <w:vAlign w:val="center"/>
          </w:tcPr>
          <w:p>
            <w:pPr>
              <w:pStyle w:val="19"/>
              <w:spacing w:before="0" w:beforeAutospacing="0" w:after="0" w:afterAutospacing="0" w:line="480" w:lineRule="auto"/>
              <w:ind w:left="0" w:leftChars="0" w:firstLine="0" w:firstLineChars="0"/>
              <w:rPr>
                <w:iCs/>
                <w:color w:val="0C0C0C" w:themeColor="text1" w:themeTint="F2"/>
                <w:kern w:val="2"/>
                <w:sz w:val="21"/>
                <w:szCs w:val="21"/>
              </w:rPr>
            </w:pPr>
            <w:r>
              <w:rPr>
                <w:rFonts w:hint="eastAsia"/>
                <w:iCs/>
                <w:color w:val="0C0C0C" w:themeColor="text1" w:themeTint="F2"/>
                <w:kern w:val="2"/>
                <w:sz w:val="28"/>
                <w:szCs w:val="28"/>
              </w:rPr>
              <w:t>实施方案内容完整、结构合理、针对性强得11～15分，一般得6～11分，差得0～6分。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 w:hRule="atLeast"/>
          <w:jc w:val="center"/>
        </w:trPr>
        <w:tc>
          <w:tcPr>
            <w:tcW w:w="426" w:type="dxa"/>
            <w:vMerge w:val="restart"/>
            <w:tcBorders>
              <w:top w:val="single" w:color="auto" w:sz="4" w:space="0"/>
              <w:left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审核重难点分析和控制措施</w:t>
            </w:r>
          </w:p>
        </w:tc>
        <w:tc>
          <w:tcPr>
            <w:tcW w:w="5495" w:type="dxa"/>
            <w:vAlign w:val="center"/>
          </w:tcPr>
          <w:p>
            <w:pPr>
              <w:pStyle w:val="19"/>
              <w:spacing w:before="0" w:beforeAutospacing="0" w:after="0" w:afterAutospacing="0" w:line="480" w:lineRule="auto"/>
              <w:ind w:left="0" w:leftChars="0" w:firstLine="0" w:firstLineChars="0"/>
              <w:rPr>
                <w:iCs/>
                <w:color w:val="0C0C0C" w:themeColor="text1" w:themeTint="F2"/>
                <w:kern w:val="2"/>
                <w:sz w:val="21"/>
                <w:szCs w:val="21"/>
              </w:rPr>
            </w:pPr>
            <w:r>
              <w:rPr>
                <w:rFonts w:hint="eastAsia"/>
                <w:iCs/>
                <w:color w:val="0C0C0C" w:themeColor="text1" w:themeTint="F2"/>
                <w:kern w:val="2"/>
                <w:sz w:val="28"/>
                <w:szCs w:val="28"/>
              </w:rPr>
              <w:t>重点突出、措施合理得5～9分，一般得3～5分，差得0～3分。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8" w:hRule="atLeast"/>
          <w:jc w:val="center"/>
        </w:trPr>
        <w:tc>
          <w:tcPr>
            <w:tcW w:w="426" w:type="dxa"/>
            <w:vMerge w:val="continue"/>
            <w:tcBorders>
              <w:left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质量控制</w:t>
            </w:r>
          </w:p>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措施与承诺</w:t>
            </w:r>
          </w:p>
        </w:tc>
        <w:tc>
          <w:tcPr>
            <w:tcW w:w="5495" w:type="dxa"/>
            <w:vAlign w:val="center"/>
          </w:tcPr>
          <w:p>
            <w:pPr>
              <w:pStyle w:val="19"/>
              <w:spacing w:before="0" w:beforeAutospacing="0" w:after="0" w:afterAutospacing="0" w:line="480" w:lineRule="auto"/>
              <w:rPr>
                <w:iCs/>
                <w:color w:val="0C0C0C" w:themeColor="text1" w:themeTint="F2"/>
                <w:kern w:val="2"/>
                <w:sz w:val="21"/>
                <w:szCs w:val="21"/>
              </w:rPr>
            </w:pPr>
            <w:r>
              <w:rPr>
                <w:rFonts w:hint="eastAsia"/>
                <w:iCs/>
                <w:color w:val="0C0C0C" w:themeColor="text1" w:themeTint="F2"/>
                <w:kern w:val="2"/>
                <w:sz w:val="28"/>
                <w:szCs w:val="28"/>
              </w:rPr>
              <w:t>有详细的控制措施与承诺，并有具体的保证及惩罚措施，合理得4～6分，一般得2～4分，差得0～2分。承诺报告误差率控制在±3%以内的得2分，承诺报告误差率控制在±2%以内的得4分，承诺报告误差率控制在±1%以内的得6分，此项满分6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3" w:hRule="atLeast"/>
          <w:jc w:val="center"/>
        </w:trPr>
        <w:tc>
          <w:tcPr>
            <w:tcW w:w="426" w:type="dxa"/>
            <w:vMerge w:val="continue"/>
            <w:tcBorders>
              <w:left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时间控制</w:t>
            </w:r>
          </w:p>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措施与承诺</w:t>
            </w:r>
          </w:p>
        </w:tc>
        <w:tc>
          <w:tcPr>
            <w:tcW w:w="5495" w:type="dxa"/>
            <w:vAlign w:val="center"/>
          </w:tcPr>
          <w:p>
            <w:pPr>
              <w:pStyle w:val="19"/>
              <w:spacing w:before="0" w:beforeAutospacing="0" w:after="0" w:afterAutospacing="0" w:line="480" w:lineRule="auto"/>
              <w:ind w:left="0" w:leftChars="0" w:firstLine="0" w:firstLineChars="0"/>
              <w:rPr>
                <w:iCs/>
                <w:color w:val="0C0C0C" w:themeColor="text1" w:themeTint="F2"/>
                <w:kern w:val="2"/>
                <w:sz w:val="21"/>
                <w:szCs w:val="21"/>
              </w:rPr>
            </w:pPr>
            <w:r>
              <w:rPr>
                <w:rFonts w:hint="eastAsia"/>
                <w:iCs/>
                <w:color w:val="0C0C0C" w:themeColor="text1" w:themeTint="F2"/>
                <w:kern w:val="2"/>
                <w:sz w:val="28"/>
                <w:szCs w:val="28"/>
              </w:rPr>
              <w:t>有详细的控制措施与承诺，并有具体的保证及惩罚措施，合理得4～6分，一般得2～4分，差得0～2分。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3" w:hRule="atLeast"/>
          <w:jc w:val="center"/>
        </w:trPr>
        <w:tc>
          <w:tcPr>
            <w:tcW w:w="426" w:type="dxa"/>
            <w:vMerge w:val="continue"/>
            <w:tcBorders>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争议解决措施或建议</w:t>
            </w:r>
          </w:p>
        </w:tc>
        <w:tc>
          <w:tcPr>
            <w:tcW w:w="5495" w:type="dxa"/>
            <w:vAlign w:val="center"/>
          </w:tcPr>
          <w:p>
            <w:pPr>
              <w:pStyle w:val="19"/>
              <w:spacing w:before="0" w:beforeAutospacing="0" w:after="0" w:afterAutospacing="0" w:line="480" w:lineRule="auto"/>
              <w:ind w:left="0" w:leftChars="0" w:firstLine="0" w:firstLineChars="0"/>
              <w:rPr>
                <w:iCs/>
                <w:color w:val="0C0C0C" w:themeColor="text1" w:themeTint="F2"/>
                <w:kern w:val="2"/>
                <w:sz w:val="21"/>
                <w:szCs w:val="21"/>
              </w:rPr>
            </w:pPr>
            <w:r>
              <w:rPr>
                <w:rFonts w:hint="eastAsia"/>
                <w:iCs/>
                <w:color w:val="0C0C0C" w:themeColor="text1" w:themeTint="F2"/>
                <w:kern w:val="2"/>
                <w:sz w:val="28"/>
                <w:szCs w:val="28"/>
              </w:rPr>
              <w:t>对审核过程的争议事项处理措施或建议，合理、得当、可操作性强得3～5分，一般得2～3分，差得0～2分。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8" w:hRule="atLeast"/>
          <w:jc w:val="center"/>
        </w:trPr>
        <w:tc>
          <w:tcPr>
            <w:tcW w:w="426" w:type="dxa"/>
            <w:vMerge w:val="restart"/>
            <w:tcBorders>
              <w:top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4</w:t>
            </w:r>
          </w:p>
        </w:tc>
        <w:tc>
          <w:tcPr>
            <w:tcW w:w="1418" w:type="dxa"/>
            <w:vMerge w:val="restart"/>
            <w:tcBorders>
              <w:top w:val="single" w:color="auto" w:sz="4" w:space="0"/>
            </w:tcBorders>
            <w:vAlign w:val="center"/>
          </w:tcPr>
          <w:p>
            <w:pPr>
              <w:tabs>
                <w:tab w:val="left" w:pos="720"/>
              </w:tabs>
              <w:spacing w:line="480" w:lineRule="auto"/>
              <w:jc w:val="center"/>
              <w:rPr>
                <w:rFonts w:ascii="宋体" w:hAnsi="宋体"/>
                <w:iCs/>
                <w:color w:val="0C0C0C" w:themeColor="text1" w:themeTint="F2"/>
                <w:sz w:val="24"/>
                <w:szCs w:val="24"/>
              </w:rPr>
            </w:pPr>
            <w:r>
              <w:rPr>
                <w:rFonts w:hint="eastAsia" w:ascii="宋体" w:hAnsi="宋体"/>
                <w:iCs/>
                <w:color w:val="0C0C0C" w:themeColor="text1" w:themeTint="F2"/>
                <w:sz w:val="24"/>
                <w:szCs w:val="24"/>
              </w:rPr>
              <w:t>项目负责人情况</w:t>
            </w:r>
          </w:p>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 w:val="24"/>
                <w:szCs w:val="24"/>
              </w:rPr>
              <w:t>11分</w:t>
            </w: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项目负责人资格及职称</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项目负责人须具有注册造价工程师执业资格（否则“项目负责人情况”不得分），具有工程师职称1分，高级工程师2分。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项目负责人从事造价工作年限</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项目负责人取得注册造价执业资格，并从事造价工作满8年的（含8年，提供项目负责人造价执业资格证，以资格证注册时间起算）得1分，8年以下不得分，每增加1年加0.5分，此项满分3分。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0"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获得有关荣誉称号</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s="宋体"/>
                <w:color w:val="0C0C0C" w:themeColor="text1" w:themeTint="F2"/>
                <w:sz w:val="24"/>
                <w:szCs w:val="24"/>
              </w:rPr>
              <w:t>2019年1月1日以来获得过建设主管部门或造价协会颁发的国家级奖项的得3分，省级得2分，市级得1分。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5"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项目负责人业绩</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项目负责人近2年（2020年1月1日至今，业绩以合同签订时间为准）以来作为项目负责人单项公共建筑合同金额不低于2000万元的审计业绩，每份合同得0.5分；满分3分。(注：须提供工程造价咨询合同原件)。</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bl>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详细评审评分项中，</w:t>
      </w:r>
      <w:r>
        <w:rPr>
          <w:rFonts w:ascii="宋体" w:hAnsi="宋体" w:eastAsia="宋体"/>
          <w:color w:val="0C0C0C" w:themeColor="text1" w:themeTint="F2"/>
          <w:sz w:val="24"/>
          <w:szCs w:val="24"/>
        </w:rPr>
        <w:t>按下列原则进行评分</w:t>
      </w:r>
      <w:r>
        <w:rPr>
          <w:rFonts w:hint="eastAsia" w:ascii="宋体" w:hAnsi="宋体" w:eastAsia="宋体"/>
          <w:color w:val="0C0C0C" w:themeColor="text1" w:themeTint="F2"/>
          <w:sz w:val="24"/>
          <w:szCs w:val="24"/>
        </w:rPr>
        <w:t>：</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1.企业和服务人员的资格、职称等以提供的劳动合同、社保缴费记录、资格证书、职称证书为准；</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2.项目负责人业绩以提供的造价咨询合同的签订日期和合同注明的投资额为准，合同条款需能体现项目负责人（如合同中不能体现项目负责人，需提供业主盖章并有项目负责人签章的成果文件证明材料）；相关业绩以造价咨询合同的签订日期为准，需提供合同原件。</w:t>
      </w:r>
    </w:p>
    <w:p>
      <w:pPr>
        <w:tabs>
          <w:tab w:val="left" w:pos="720"/>
        </w:tabs>
        <w:spacing w:line="480" w:lineRule="auto"/>
        <w:rPr>
          <w:b/>
          <w:bCs/>
          <w:color w:val="0C0C0C" w:themeColor="text1" w:themeTint="F2"/>
          <w:sz w:val="24"/>
        </w:rPr>
      </w:pPr>
      <w:r>
        <w:rPr>
          <w:rFonts w:hint="eastAsia" w:ascii="宋体" w:hAnsi="宋体"/>
          <w:color w:val="0C0C0C" w:themeColor="text1" w:themeTint="F2"/>
          <w:sz w:val="24"/>
          <w:szCs w:val="24"/>
        </w:rPr>
        <w:t>3.评分细则中所提及评审项的原件需在开标时携带备查。</w:t>
      </w:r>
    </w:p>
    <w:p>
      <w:pPr>
        <w:tabs>
          <w:tab w:val="left" w:pos="720"/>
        </w:tabs>
        <w:spacing w:line="480" w:lineRule="auto"/>
        <w:rPr>
          <w:b/>
          <w:bCs/>
          <w:color w:val="0C0C0C" w:themeColor="text1" w:themeTint="F2"/>
          <w:sz w:val="24"/>
        </w:rPr>
      </w:pPr>
    </w:p>
    <w:p>
      <w:pPr>
        <w:tabs>
          <w:tab w:val="left" w:pos="720"/>
        </w:tabs>
        <w:spacing w:line="480" w:lineRule="auto"/>
        <w:rPr>
          <w:rFonts w:ascii="宋体" w:hAnsi="宋体"/>
          <w:color w:val="0C0C0C" w:themeColor="text1" w:themeTint="F2"/>
          <w:sz w:val="24"/>
        </w:rPr>
      </w:pPr>
      <w:r>
        <w:rPr>
          <w:rFonts w:hint="eastAsia" w:ascii="宋体" w:hAnsi="宋体"/>
          <w:color w:val="0C0C0C" w:themeColor="text1" w:themeTint="F2"/>
          <w:spacing w:val="4"/>
          <w:sz w:val="24"/>
        </w:rPr>
        <w:t>（2）商务部分评分内容和分值分配（30分）</w:t>
      </w:r>
    </w:p>
    <w:tbl>
      <w:tblPr>
        <w:tblStyle w:val="22"/>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950" w:type="dxa"/>
            <w:vAlign w:val="center"/>
          </w:tcPr>
          <w:p>
            <w:pPr>
              <w:spacing w:line="480" w:lineRule="auto"/>
              <w:ind w:firstLine="480" w:firstLineChars="200"/>
              <w:jc w:val="center"/>
              <w:rPr>
                <w:rFonts w:ascii="宋体" w:hAnsi="宋体"/>
                <w:color w:val="0C0C0C" w:themeColor="text1" w:themeTint="F2"/>
                <w:sz w:val="24"/>
              </w:rPr>
            </w:pPr>
            <w:r>
              <w:rPr>
                <w:rFonts w:hint="eastAsia" w:ascii="宋体" w:hAnsi="宋体"/>
                <w:color w:val="0C0C0C" w:themeColor="text1" w:themeTint="F2"/>
                <w:sz w:val="24"/>
              </w:rPr>
              <w:t>项目名称</w:t>
            </w:r>
          </w:p>
        </w:tc>
        <w:tc>
          <w:tcPr>
            <w:tcW w:w="7066" w:type="dxa"/>
            <w:vAlign w:val="center"/>
          </w:tcPr>
          <w:p>
            <w:pPr>
              <w:spacing w:line="480" w:lineRule="auto"/>
              <w:rPr>
                <w:rFonts w:ascii="宋体" w:hAnsi="宋体"/>
                <w:color w:val="0C0C0C" w:themeColor="text1" w:themeTint="F2"/>
                <w:sz w:val="24"/>
              </w:rPr>
            </w:pPr>
            <w:r>
              <w:rPr>
                <w:rFonts w:hint="eastAsia" w:ascii="宋体" w:hAnsi="宋体"/>
                <w:color w:val="0C0C0C" w:themeColor="text1" w:themeTint="F2"/>
                <w:sz w:val="24"/>
              </w:rPr>
              <w:t>皖南医学院</w:t>
            </w:r>
            <w:r>
              <w:rPr>
                <w:rFonts w:hint="eastAsia" w:ascii="宋体" w:hAnsi="宋体"/>
                <w:b/>
                <w:color w:val="0C0C0C" w:themeColor="text1" w:themeTint="F2"/>
                <w:sz w:val="24"/>
              </w:rPr>
              <w:t>2022-2024</w:t>
            </w:r>
            <w:r>
              <w:rPr>
                <w:rFonts w:hint="eastAsia" w:ascii="宋体" w:hAnsi="宋体"/>
                <w:color w:val="0C0C0C" w:themeColor="text1" w:themeTint="F2"/>
                <w:sz w:val="24"/>
              </w:rPr>
              <w:t>年度修缮工程造价咨询服务项目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950" w:type="dxa"/>
            <w:vAlign w:val="center"/>
          </w:tcPr>
          <w:p>
            <w:pPr>
              <w:spacing w:line="480" w:lineRule="auto"/>
              <w:jc w:val="center"/>
              <w:rPr>
                <w:rFonts w:hint="eastAsia" w:ascii="宋体" w:hAnsi="宋体"/>
                <w:color w:val="0C0C0C" w:themeColor="text1" w:themeTint="F2"/>
                <w:sz w:val="24"/>
              </w:rPr>
            </w:pPr>
            <w:r>
              <w:rPr>
                <w:rFonts w:hint="eastAsia" w:ascii="宋体" w:hAnsi="宋体"/>
                <w:color w:val="0C0C0C" w:themeColor="text1" w:themeTint="F2"/>
                <w:sz w:val="24"/>
              </w:rPr>
              <w:t xml:space="preserve">投标报价  </w:t>
            </w:r>
          </w:p>
          <w:p>
            <w:pPr>
              <w:spacing w:line="480" w:lineRule="auto"/>
              <w:jc w:val="center"/>
              <w:rPr>
                <w:rFonts w:ascii="宋体" w:hAnsi="宋体"/>
                <w:color w:val="0C0C0C" w:themeColor="text1" w:themeTint="F2"/>
                <w:sz w:val="24"/>
              </w:rPr>
            </w:pPr>
            <w:r>
              <w:rPr>
                <w:rFonts w:hint="eastAsia" w:ascii="宋体" w:hAnsi="宋体"/>
                <w:color w:val="0C0C0C" w:themeColor="text1" w:themeTint="F2"/>
                <w:sz w:val="24"/>
              </w:rPr>
              <w:t>-优惠率（%）</w:t>
            </w:r>
          </w:p>
        </w:tc>
        <w:tc>
          <w:tcPr>
            <w:tcW w:w="7066" w:type="dxa"/>
            <w:vAlign w:val="center"/>
          </w:tcPr>
          <w:p>
            <w:pPr>
              <w:spacing w:line="480" w:lineRule="auto"/>
              <w:ind w:firstLine="480" w:firstLineChars="200"/>
              <w:rPr>
                <w:rFonts w:ascii="宋体" w:hAnsi="宋体"/>
                <w:color w:val="0C0C0C" w:themeColor="text1" w:themeTint="F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950" w:type="dxa"/>
            <w:vAlign w:val="center"/>
          </w:tcPr>
          <w:p>
            <w:pPr>
              <w:spacing w:line="480" w:lineRule="auto"/>
              <w:ind w:firstLine="480" w:firstLineChars="200"/>
              <w:rPr>
                <w:rFonts w:ascii="宋体" w:hAnsi="宋体"/>
                <w:color w:val="0C0C0C" w:themeColor="text1" w:themeTint="F2"/>
                <w:sz w:val="24"/>
              </w:rPr>
            </w:pPr>
            <w:r>
              <w:rPr>
                <w:rFonts w:hint="eastAsia" w:ascii="宋体" w:hAnsi="宋体"/>
                <w:color w:val="0C0C0C" w:themeColor="text1" w:themeTint="F2"/>
                <w:sz w:val="24"/>
              </w:rPr>
              <w:t>备注</w:t>
            </w:r>
          </w:p>
        </w:tc>
        <w:tc>
          <w:tcPr>
            <w:tcW w:w="7066" w:type="dxa"/>
            <w:vAlign w:val="center"/>
          </w:tcPr>
          <w:p>
            <w:pPr>
              <w:pStyle w:val="54"/>
              <w:spacing w:line="480" w:lineRule="auto"/>
              <w:jc w:val="left"/>
              <w:rPr>
                <w:rFonts w:ascii="宋体" w:hAnsi="宋体" w:eastAsia="宋体"/>
                <w:color w:val="0C0C0C" w:themeColor="text1" w:themeTint="F2"/>
                <w:sz w:val="24"/>
                <w:szCs w:val="24"/>
              </w:rPr>
            </w:pPr>
            <w:r>
              <w:rPr>
                <w:rFonts w:ascii="宋体" w:hAnsi="宋体" w:eastAsia="宋体"/>
                <w:color w:val="0C0C0C" w:themeColor="text1" w:themeTint="F2"/>
                <w:sz w:val="24"/>
                <w:szCs w:val="24"/>
              </w:rPr>
              <w:t>投标人参考行业收费标准，并充分考虑市场行情、成本、工程情况的基础上报价（</w:t>
            </w:r>
            <w:r>
              <w:rPr>
                <w:rFonts w:hint="eastAsia" w:ascii="宋体" w:hAnsi="宋体" w:eastAsia="宋体"/>
                <w:color w:val="0C0C0C" w:themeColor="text1" w:themeTint="F2"/>
                <w:sz w:val="24"/>
                <w:szCs w:val="24"/>
              </w:rPr>
              <w:t>所报优惠率不得高于皖价服[2007]86号文规定相应收费标准的60%。否则作无效标处理）。</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1</w:t>
            </w:r>
            <w:r>
              <w:rPr>
                <w:rFonts w:ascii="宋体" w:hAnsi="宋体" w:eastAsia="宋体"/>
                <w:color w:val="0C0C0C" w:themeColor="text1" w:themeTint="F2"/>
                <w:sz w:val="24"/>
                <w:szCs w:val="24"/>
              </w:rPr>
              <w:t>）</w:t>
            </w:r>
            <w:r>
              <w:rPr>
                <w:rFonts w:hint="eastAsia" w:ascii="宋体" w:hAnsi="宋体" w:eastAsia="宋体"/>
                <w:color w:val="0C0C0C" w:themeColor="text1" w:themeTint="F2"/>
                <w:sz w:val="24"/>
                <w:szCs w:val="24"/>
              </w:rPr>
              <w:t>投标报价</w:t>
            </w:r>
            <w:r>
              <w:rPr>
                <w:rFonts w:ascii="宋体" w:hAnsi="宋体" w:eastAsia="宋体"/>
                <w:color w:val="0C0C0C" w:themeColor="text1" w:themeTint="F2"/>
                <w:sz w:val="24"/>
                <w:szCs w:val="24"/>
              </w:rPr>
              <w:t>等于评标基准值B的得满分</w:t>
            </w:r>
            <w:r>
              <w:rPr>
                <w:rFonts w:hint="eastAsia" w:ascii="宋体" w:hAnsi="宋体" w:eastAsia="宋体"/>
                <w:color w:val="0C0C0C" w:themeColor="text1" w:themeTint="F2"/>
                <w:sz w:val="24"/>
                <w:szCs w:val="24"/>
              </w:rPr>
              <w:t>30</w:t>
            </w:r>
            <w:r>
              <w:rPr>
                <w:rFonts w:ascii="宋体" w:hAnsi="宋体" w:eastAsia="宋体"/>
                <w:color w:val="0C0C0C" w:themeColor="text1" w:themeTint="F2"/>
                <w:sz w:val="24"/>
                <w:szCs w:val="24"/>
              </w:rPr>
              <w:t>分；</w:t>
            </w:r>
            <w:r>
              <w:rPr>
                <w:rFonts w:hint="eastAsia" w:ascii="宋体" w:hAnsi="宋体" w:eastAsia="宋体"/>
                <w:color w:val="0C0C0C" w:themeColor="text1" w:themeTint="F2"/>
                <w:sz w:val="24"/>
                <w:szCs w:val="24"/>
              </w:rPr>
              <w:t>投标报价</w:t>
            </w:r>
            <w:r>
              <w:rPr>
                <w:rFonts w:ascii="宋体" w:hAnsi="宋体" w:eastAsia="宋体"/>
                <w:color w:val="0C0C0C" w:themeColor="text1" w:themeTint="F2"/>
                <w:sz w:val="24"/>
                <w:szCs w:val="24"/>
              </w:rPr>
              <w:t>每</w:t>
            </w:r>
            <w:r>
              <w:rPr>
                <w:rFonts w:hint="eastAsia" w:ascii="宋体" w:hAnsi="宋体" w:eastAsia="宋体"/>
                <w:color w:val="0C0C0C" w:themeColor="text1" w:themeTint="F2"/>
                <w:sz w:val="24"/>
                <w:szCs w:val="24"/>
              </w:rPr>
              <w:t>低</w:t>
            </w:r>
            <w:r>
              <w:rPr>
                <w:rFonts w:ascii="宋体" w:hAnsi="宋体" w:eastAsia="宋体"/>
                <w:color w:val="0C0C0C" w:themeColor="text1" w:themeTint="F2"/>
                <w:sz w:val="24"/>
                <w:szCs w:val="24"/>
              </w:rPr>
              <w:t>于评标基准值1%的扣</w:t>
            </w:r>
            <w:r>
              <w:rPr>
                <w:rFonts w:hint="eastAsia" w:ascii="宋体" w:hAnsi="宋体" w:eastAsia="宋体"/>
                <w:color w:val="0C0C0C" w:themeColor="text1" w:themeTint="F2"/>
                <w:sz w:val="24"/>
                <w:szCs w:val="24"/>
              </w:rPr>
              <w:t>0.3</w:t>
            </w:r>
            <w:r>
              <w:rPr>
                <w:rFonts w:ascii="宋体" w:hAnsi="宋体" w:eastAsia="宋体"/>
                <w:color w:val="0C0C0C" w:themeColor="text1" w:themeTint="F2"/>
                <w:sz w:val="24"/>
                <w:szCs w:val="24"/>
              </w:rPr>
              <w:t>分；每</w:t>
            </w:r>
            <w:r>
              <w:rPr>
                <w:rFonts w:hint="eastAsia" w:ascii="宋体" w:hAnsi="宋体" w:eastAsia="宋体"/>
                <w:color w:val="0C0C0C" w:themeColor="text1" w:themeTint="F2"/>
                <w:sz w:val="24"/>
                <w:szCs w:val="24"/>
              </w:rPr>
              <w:t>高</w:t>
            </w:r>
            <w:r>
              <w:rPr>
                <w:rFonts w:ascii="宋体" w:hAnsi="宋体" w:eastAsia="宋体"/>
                <w:color w:val="0C0C0C" w:themeColor="text1" w:themeTint="F2"/>
                <w:sz w:val="24"/>
                <w:szCs w:val="24"/>
              </w:rPr>
              <w:t>于评标基准值1%扣</w:t>
            </w:r>
            <w:r>
              <w:rPr>
                <w:rFonts w:hint="eastAsia" w:ascii="宋体" w:hAnsi="宋体" w:eastAsia="宋体"/>
                <w:color w:val="0C0C0C" w:themeColor="text1" w:themeTint="F2"/>
                <w:sz w:val="24"/>
                <w:szCs w:val="24"/>
              </w:rPr>
              <w:t>0.2</w:t>
            </w:r>
            <w:r>
              <w:rPr>
                <w:rFonts w:ascii="宋体" w:hAnsi="宋体" w:eastAsia="宋体"/>
                <w:color w:val="0C0C0C" w:themeColor="text1" w:themeTint="F2"/>
                <w:sz w:val="24"/>
                <w:szCs w:val="24"/>
              </w:rPr>
              <w:t>分，不足1%的，按照插入法计算得分</w:t>
            </w:r>
            <w:r>
              <w:rPr>
                <w:rFonts w:hint="eastAsia" w:ascii="宋体" w:hAnsi="宋体" w:eastAsia="宋体"/>
                <w:color w:val="0C0C0C" w:themeColor="text1" w:themeTint="F2"/>
                <w:sz w:val="24"/>
                <w:szCs w:val="24"/>
              </w:rPr>
              <w:t>。扣完为止</w:t>
            </w:r>
            <w:r>
              <w:rPr>
                <w:rFonts w:ascii="宋体" w:hAnsi="宋体" w:eastAsia="宋体"/>
                <w:color w:val="0C0C0C" w:themeColor="text1" w:themeTint="F2"/>
                <w:sz w:val="24"/>
                <w:szCs w:val="24"/>
              </w:rPr>
              <w:t>（采用四舍五入的方法精确至小数点后二位）。</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2</w:t>
            </w:r>
            <w:r>
              <w:rPr>
                <w:rFonts w:ascii="宋体" w:hAnsi="宋体" w:eastAsia="宋体"/>
                <w:color w:val="0C0C0C" w:themeColor="text1" w:themeTint="F2"/>
                <w:sz w:val="24"/>
                <w:szCs w:val="24"/>
              </w:rPr>
              <w:t>）各投标人报</w:t>
            </w:r>
            <w:r>
              <w:rPr>
                <w:rFonts w:hint="eastAsia" w:ascii="宋体" w:hAnsi="宋体" w:eastAsia="宋体"/>
                <w:color w:val="0C0C0C" w:themeColor="text1" w:themeTint="F2"/>
                <w:sz w:val="24"/>
                <w:szCs w:val="24"/>
              </w:rPr>
              <w:t>价</w:t>
            </w:r>
            <w:r>
              <w:rPr>
                <w:rFonts w:ascii="宋体" w:hAnsi="宋体" w:eastAsia="宋体"/>
                <w:color w:val="0C0C0C" w:themeColor="text1" w:themeTint="F2"/>
                <w:sz w:val="24"/>
                <w:szCs w:val="24"/>
              </w:rPr>
              <w:t>A（%），取所有有效投标人</w:t>
            </w:r>
            <w:r>
              <w:rPr>
                <w:rFonts w:hint="eastAsia" w:ascii="宋体" w:hAnsi="宋体" w:eastAsia="宋体"/>
                <w:color w:val="0C0C0C" w:themeColor="text1" w:themeTint="F2"/>
                <w:sz w:val="24"/>
                <w:szCs w:val="24"/>
              </w:rPr>
              <w:t>报价</w:t>
            </w:r>
            <w:r>
              <w:rPr>
                <w:rFonts w:ascii="宋体" w:hAnsi="宋体" w:eastAsia="宋体"/>
                <w:color w:val="0C0C0C" w:themeColor="text1" w:themeTint="F2"/>
                <w:sz w:val="24"/>
                <w:szCs w:val="24"/>
              </w:rPr>
              <w:t>的算</w:t>
            </w:r>
            <w:r>
              <w:rPr>
                <w:rFonts w:hint="eastAsia" w:ascii="宋体" w:hAnsi="宋体" w:eastAsia="宋体"/>
                <w:color w:val="0C0C0C" w:themeColor="text1" w:themeTint="F2"/>
                <w:sz w:val="24"/>
                <w:szCs w:val="24"/>
              </w:rPr>
              <w:t>数平均值为评标基准值B（%）；C为投标人商务得分。计算公式:C=30-(｜A-B｜/B*100*0.3)或C=30-(｜A-B｜/B*100*0.2）</w:t>
            </w:r>
          </w:p>
          <w:p>
            <w:pPr>
              <w:pStyle w:val="54"/>
              <w:spacing w:line="480" w:lineRule="auto"/>
              <w:jc w:val="left"/>
              <w:rPr>
                <w:rFonts w:ascii="宋体" w:hAnsi="宋体"/>
                <w:color w:val="0C0C0C" w:themeColor="text1" w:themeTint="F2"/>
                <w:sz w:val="24"/>
              </w:rPr>
            </w:pPr>
          </w:p>
        </w:tc>
      </w:tr>
    </w:tbl>
    <w:p>
      <w:pPr>
        <w:tabs>
          <w:tab w:val="left" w:pos="720"/>
        </w:tabs>
        <w:spacing w:line="480" w:lineRule="auto"/>
        <w:rPr>
          <w:rFonts w:ascii="宋体" w:hAnsi="宋体" w:cs="宋体"/>
          <w:color w:val="0C0C0C" w:themeColor="text1" w:themeTint="F2"/>
          <w:sz w:val="30"/>
          <w:szCs w:val="30"/>
        </w:rPr>
      </w:pPr>
    </w:p>
    <w:p>
      <w:pPr>
        <w:tabs>
          <w:tab w:val="left" w:pos="720"/>
        </w:tabs>
        <w:spacing w:line="480" w:lineRule="auto"/>
        <w:rPr>
          <w:rFonts w:ascii="宋体" w:hAnsi="宋体"/>
          <w:color w:val="0C0C0C" w:themeColor="text1" w:themeTint="F2"/>
          <w:spacing w:val="4"/>
          <w:sz w:val="24"/>
        </w:rPr>
      </w:pPr>
      <w:r>
        <w:rPr>
          <w:rFonts w:hint="eastAsia" w:ascii="宋体" w:hAnsi="宋体" w:cs="宋体"/>
          <w:bCs/>
          <w:color w:val="0C0C0C" w:themeColor="text1" w:themeTint="F2"/>
          <w:sz w:val="30"/>
          <w:szCs w:val="30"/>
        </w:rPr>
        <w:t>（</w:t>
      </w:r>
      <w:r>
        <w:rPr>
          <w:rFonts w:hint="eastAsia" w:ascii="宋体" w:hAnsi="宋体"/>
          <w:color w:val="0C0C0C" w:themeColor="text1" w:themeTint="F2"/>
          <w:spacing w:val="4"/>
          <w:sz w:val="24"/>
        </w:rPr>
        <w:t>3）投标人最终得分=技术部分得分+商务部分得分</w:t>
      </w:r>
    </w:p>
    <w:p>
      <w:pPr>
        <w:tabs>
          <w:tab w:val="left" w:pos="720"/>
        </w:tabs>
        <w:spacing w:line="480" w:lineRule="auto"/>
        <w:ind w:firstLine="600"/>
        <w:rPr>
          <w:color w:val="0C0C0C" w:themeColor="text1" w:themeTint="F2"/>
          <w:sz w:val="28"/>
          <w:szCs w:val="28"/>
        </w:rPr>
      </w:pPr>
      <w:r>
        <w:rPr>
          <w:rFonts w:hint="eastAsia" w:ascii="宋体" w:hAnsi="宋体"/>
          <w:color w:val="0C0C0C" w:themeColor="text1" w:themeTint="F2"/>
          <w:spacing w:val="4"/>
          <w:sz w:val="24"/>
        </w:rPr>
        <w:t>如出现投标人最终得分相等的情况，则以报价得分高者优先。</w:t>
      </w:r>
    </w:p>
    <w:p>
      <w:pPr>
        <w:spacing w:line="480" w:lineRule="auto"/>
        <w:ind w:firstLine="6160" w:firstLineChars="2200"/>
        <w:rPr>
          <w:color w:val="0C0C0C" w:themeColor="text1" w:themeTint="F2"/>
          <w:sz w:val="28"/>
          <w:szCs w:val="28"/>
        </w:rPr>
      </w:pPr>
    </w:p>
    <w:p>
      <w:pPr>
        <w:pStyle w:val="28"/>
        <w:ind w:left="0" w:leftChars="0" w:firstLine="0" w:firstLineChars="0"/>
        <w:jc w:val="center"/>
        <w:rPr>
          <w:sz w:val="44"/>
          <w:szCs w:val="44"/>
        </w:rPr>
      </w:pPr>
      <w:bookmarkStart w:id="109" w:name="_Toc52892868"/>
      <w:r>
        <w:rPr>
          <w:rFonts w:hint="eastAsia"/>
          <w:sz w:val="44"/>
          <w:szCs w:val="44"/>
        </w:rPr>
        <w:t xml:space="preserve">第七章  </w:t>
      </w:r>
      <w:bookmarkStart w:id="110" w:name="_Toc403987220"/>
      <w:r>
        <w:rPr>
          <w:rFonts w:hint="eastAsia"/>
          <w:sz w:val="44"/>
          <w:szCs w:val="44"/>
        </w:rPr>
        <w:t>响应文件格式</w:t>
      </w:r>
      <w:bookmarkEnd w:id="109"/>
      <w:bookmarkEnd w:id="110"/>
    </w:p>
    <w:p>
      <w:pPr>
        <w:jc w:val="center"/>
        <w:rPr>
          <w:rFonts w:hAnsi="宋体"/>
          <w:b/>
          <w:sz w:val="72"/>
        </w:rPr>
      </w:pPr>
      <w:bookmarkStart w:id="111" w:name="_Hlt26671244"/>
      <w:bookmarkEnd w:id="111"/>
      <w:bookmarkStart w:id="112" w:name="_Hlt26955039"/>
      <w:bookmarkEnd w:id="112"/>
      <w:bookmarkStart w:id="113" w:name="_Toc120614282"/>
      <w:bookmarkStart w:id="114" w:name="_Toc26554094"/>
      <w:bookmarkStart w:id="115"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3"/>
    <w:bookmarkEnd w:id="114"/>
    <w:bookmarkEnd w:id="115"/>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招标编号：</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投标人名称：</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w:t>
      </w:r>
    </w:p>
    <w:tbl>
      <w:tblPr>
        <w:tblStyle w:val="2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仿宋_GB2312" w:hAnsi="仿宋_GB2312" w:eastAsia="仿宋_GB2312" w:cs="仿宋_GB2312"/>
                <w:b/>
                <w:spacing w:val="-6"/>
                <w:sz w:val="24"/>
                <w:szCs w:val="24"/>
                <w:lang w:val="en-US" w:eastAsia="zh-CN"/>
              </w:rPr>
            </w:pPr>
            <w:r>
              <w:rPr>
                <w:rFonts w:hint="eastAsia" w:ascii="仿宋_GB2312" w:hAnsi="仿宋_GB2312" w:eastAsia="仿宋_GB2312" w:cs="仿宋_GB2312"/>
                <w:b/>
                <w:spacing w:val="-6"/>
                <w:sz w:val="24"/>
                <w:szCs w:val="24"/>
              </w:rPr>
              <w:t>报价</w:t>
            </w:r>
            <w:r>
              <w:rPr>
                <w:rFonts w:hint="eastAsia" w:ascii="仿宋_GB2312" w:hAnsi="仿宋_GB2312" w:eastAsia="仿宋_GB2312" w:cs="仿宋_GB2312"/>
                <w:b/>
                <w:spacing w:val="-6"/>
                <w:sz w:val="24"/>
                <w:szCs w:val="24"/>
                <w:lang w:val="en-US" w:eastAsia="zh-CN"/>
              </w:rPr>
              <w:t>(优惠率%)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2022-2024年度修缮工程造价咨询服务项目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大写：</w:t>
            </w:r>
            <w:r>
              <w:rPr>
                <w:rFonts w:hint="eastAsia" w:ascii="仿宋_GB2312" w:hAnsi="仿宋_GB2312" w:eastAsia="仿宋_GB2312" w:cs="仿宋_GB2312"/>
                <w:spacing w:val="-6"/>
                <w:sz w:val="24"/>
                <w:szCs w:val="24"/>
                <w:u w:val="single"/>
              </w:rPr>
              <w:t xml:space="preserve">                   </w:t>
            </w:r>
          </w:p>
          <w:p>
            <w:pPr>
              <w:snapToGrid w:val="0"/>
              <w:spacing w:before="50" w:after="50"/>
              <w:jc w:val="center"/>
              <w:rPr>
                <w:rFonts w:ascii="仿宋_GB2312" w:hAnsi="仿宋_GB2312" w:eastAsia="仿宋_GB2312" w:cs="仿宋_GB2312"/>
                <w:spacing w:val="-6"/>
                <w:sz w:val="24"/>
                <w:szCs w:val="24"/>
              </w:rPr>
            </w:pPr>
          </w:p>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小写：</w:t>
            </w:r>
            <w:r>
              <w:rPr>
                <w:rFonts w:hint="eastAsia" w:ascii="仿宋_GB2312" w:hAnsi="仿宋_GB2312" w:eastAsia="仿宋_GB2312" w:cs="仿宋_GB2312"/>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备注：</w:t>
            </w:r>
          </w:p>
          <w:p>
            <w:pPr>
              <w:tabs>
                <w:tab w:val="left" w:pos="1396"/>
              </w:tabs>
              <w:jc w:val="left"/>
              <w:rPr>
                <w:rFonts w:ascii="仿宋_GB2312" w:hAnsi="仿宋_GB2312" w:eastAsia="仿宋_GB2312" w:cs="仿宋_GB2312"/>
              </w:rPr>
            </w:pPr>
            <w:r>
              <w:rPr>
                <w:rFonts w:hint="eastAsia" w:ascii="仿宋_GB2312" w:hAnsi="仿宋_GB2312" w:eastAsia="仿宋_GB2312" w:cs="仿宋_GB2312"/>
              </w:rPr>
              <w:tab/>
            </w:r>
          </w:p>
        </w:tc>
      </w:tr>
    </w:tbl>
    <w:p>
      <w:pPr>
        <w:snapToGrid w:val="0"/>
        <w:spacing w:before="50" w:after="50" w:line="360" w:lineRule="auto"/>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 1、实际费用据实结算。</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2、报价不得涂改否则其投标作无效标处理。</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r>
        <w:rPr>
          <w:rFonts w:hint="eastAsia" w:ascii="仿宋_GB2312" w:hAnsi="仿宋_GB2312" w:eastAsia="仿宋_GB2312" w:cs="仿宋_GB2312"/>
          <w:sz w:val="24"/>
          <w:szCs w:val="24"/>
        </w:rPr>
        <w:t>磋商报价</w:t>
      </w:r>
      <w:r>
        <w:rPr>
          <w:rFonts w:hint="eastAsia" w:ascii="仿宋_GB2312" w:hAnsi="仿宋_GB2312" w:eastAsia="仿宋_GB2312" w:cs="仿宋_GB2312"/>
          <w:spacing w:val="-6"/>
          <w:sz w:val="24"/>
          <w:szCs w:val="24"/>
        </w:rPr>
        <w:t>应包括</w:t>
      </w:r>
      <w:r>
        <w:rPr>
          <w:rFonts w:hint="eastAsia" w:ascii="仿宋_GB2312" w:hAnsi="仿宋_GB2312" w:eastAsia="仿宋_GB2312" w:cs="仿宋_GB2312"/>
          <w:sz w:val="24"/>
          <w:szCs w:val="24"/>
        </w:rPr>
        <w:t>所需人工费、材料费、其他（保险费，以及合同明示或暗示的风险、责任和义务等）费，以及管理费、利润和规费、税金等一切费用</w:t>
      </w:r>
      <w:r>
        <w:rPr>
          <w:rFonts w:hint="eastAsia" w:ascii="仿宋_GB2312" w:hAnsi="仿宋_GB2312" w:eastAsia="仿宋_GB2312" w:cs="仿宋_GB2312"/>
          <w:spacing w:val="-6"/>
          <w:sz w:val="24"/>
          <w:szCs w:val="24"/>
        </w:rPr>
        <w:t>。</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授权代表签字：</w:t>
      </w:r>
    </w:p>
    <w:p>
      <w:pPr>
        <w:jc w:val="center"/>
        <w:rPr>
          <w:rFonts w:ascii="仿宋_GB2312" w:hAnsi="仿宋_GB2312" w:eastAsia="仿宋_GB2312" w:cs="仿宋_GB2312"/>
          <w:sz w:val="24"/>
          <w:szCs w:val="24"/>
        </w:rPr>
      </w:pPr>
      <w:r>
        <w:rPr>
          <w:rFonts w:hint="eastAsia" w:ascii="仿宋_GB2312" w:hAnsi="仿宋_GB2312" w:eastAsia="仿宋_GB2312" w:cs="仿宋_GB2312"/>
          <w:spacing w:val="-6"/>
          <w:sz w:val="24"/>
          <w:szCs w:val="24"/>
        </w:rPr>
        <w:t>投标人名称（盖章）：                                 日期：    年   月   日</w:t>
      </w:r>
    </w:p>
    <w:p>
      <w:pPr>
        <w:jc w:val="center"/>
        <w:rPr>
          <w:rStyle w:val="41"/>
          <w:rFonts w:ascii="仿宋_GB2312" w:hAnsi="仿宋_GB2312" w:eastAsia="仿宋_GB2312" w:cs="仿宋_GB2312"/>
          <w:color w:val="auto"/>
          <w:sz w:val="24"/>
          <w:szCs w:val="24"/>
        </w:rPr>
      </w:pPr>
    </w:p>
    <w:p>
      <w:pPr>
        <w:jc w:val="center"/>
        <w:rPr>
          <w:rFonts w:ascii="仿宋_GB2312" w:hAnsi="仿宋_GB2312" w:eastAsia="仿宋_GB2312" w:cs="仿宋_GB2312"/>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1"/>
          <w:rFonts w:ascii="华文中宋" w:hAnsi="华文中宋" w:eastAsia="华文中宋"/>
          <w:color w:val="auto"/>
          <w:sz w:val="28"/>
          <w:szCs w:val="28"/>
        </w:rPr>
      </w:pPr>
      <w:r>
        <w:rPr>
          <w:rStyle w:val="41"/>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21"/>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41"/>
          <w:rFonts w:ascii="华文中宋" w:hAnsi="华文中宋" w:eastAsia="华文中宋"/>
          <w:color w:val="auto"/>
          <w:sz w:val="28"/>
          <w:szCs w:val="28"/>
        </w:rPr>
      </w:pPr>
      <w:r>
        <w:rPr>
          <w:rFonts w:hAnsi="宋体"/>
          <w:sz w:val="32"/>
          <w:szCs w:val="32"/>
        </w:rPr>
        <w:br w:type="page"/>
      </w:r>
      <w:r>
        <w:rPr>
          <w:rStyle w:val="41"/>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6" w:name="_Toc22356583"/>
      <w:bookmarkStart w:id="117" w:name="_Toc24878535"/>
      <w:bookmarkStart w:id="118" w:name="_Toc513029281"/>
      <w:bookmarkStart w:id="119" w:name="_Toc26554103"/>
      <w:bookmarkStart w:id="120" w:name="_Toc23828483"/>
      <w:bookmarkStart w:id="121" w:name="_Toc120614291"/>
      <w:bookmarkStart w:id="122" w:name="_Toc49090582"/>
      <w:bookmarkStart w:id="123"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16"/>
      <w:bookmarkEnd w:id="117"/>
      <w:bookmarkEnd w:id="118"/>
      <w:bookmarkEnd w:id="119"/>
      <w:bookmarkEnd w:id="120"/>
      <w:bookmarkEnd w:id="121"/>
      <w:bookmarkEnd w:id="122"/>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2022-2024年度修缮工程造价咨询服务项目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w:pict>
          <v:shape id="文本框 4" o:spid="_x0000_s1026" o:spt="202" type="#_x0000_t202" style="position:absolute;left:0pt;margin-left:244.75pt;margin-top:11.7pt;height:185.85pt;width:238.05pt;z-index:251660288;mso-width-relative:page;mso-height-relative:page;"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9HLvaAAAACgEAAA8AAAAAAAAAAQAgAAAAIgAAAGRycy9kb3ducmV2LnhtbFBLAQIU&#10;ABQAAAAIAIdO4kCFWUTv8QEAAOkDAAAOAAAAAAAAAAEAIAAAACkBAABkcnMvZTJvRG9jLnhtbFBL&#10;BQYAAAAABgAGAFkBAACMBQA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w:r>
      <w:r>
        <w:rPr>
          <w:rFonts w:ascii="仿宋_GB2312" w:hAnsi="仿宋_GB2312" w:eastAsia="仿宋_GB2312" w:cs="仿宋_GB2312"/>
          <w:spacing w:val="-6"/>
          <w:sz w:val="24"/>
          <w:szCs w:val="24"/>
        </w:rPr>
        <w:pict>
          <v:shape id="Text Box 3" o:spid="_x0000_s1027" o:spt="202" type="#_x0000_t202" style="position:absolute;left:0pt;margin-left:-12.25pt;margin-top:11.7pt;height:185.85pt;width:241.15pt;z-index:251659264;mso-width-relative:page;mso-height-relative:page;"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Lr0p2QAAAAoB&#10;AAAPAAAAAAAAAAEAIAAAACIAAABkcnMvZG93bnJldi54bWxQSwECFAAUAAAACACHTuJA0qBnjOEB&#10;AADoAwAADgAAAAAAAAABACAAAAAoAQAAZHJzL2Uyb0RvYy54bWxQSwUGAAAAAAYABgBZAQAAewUA&#10;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21"/>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2"/>
        <w:ind w:firstLine="0" w:firstLineChars="0"/>
        <w:rPr>
          <w:rFonts w:hAnsi="宋体" w:eastAsia="宋体"/>
          <w:sz w:val="24"/>
          <w:szCs w:val="24"/>
        </w:rPr>
      </w:pPr>
    </w:p>
    <w:p>
      <w:pPr>
        <w:pStyle w:val="32"/>
        <w:ind w:firstLine="0" w:firstLineChars="0"/>
        <w:rPr>
          <w:rFonts w:hAnsi="宋体" w:eastAsia="宋体"/>
          <w:sz w:val="24"/>
          <w:szCs w:val="24"/>
        </w:rPr>
      </w:pPr>
    </w:p>
    <w:bookmarkEnd w:id="123"/>
    <w:p>
      <w:pPr>
        <w:jc w:val="center"/>
        <w:rPr>
          <w:rStyle w:val="41"/>
          <w:rFonts w:ascii="华文中宋" w:hAnsi="华文中宋" w:eastAsia="华文中宋"/>
          <w:b w:val="0"/>
          <w:color w:val="auto"/>
          <w:sz w:val="28"/>
          <w:szCs w:val="28"/>
        </w:rPr>
      </w:pPr>
      <w:bookmarkStart w:id="124" w:name="_Toc120614283"/>
      <w:bookmarkStart w:id="125" w:name="_Toc460901585"/>
      <w:bookmarkStart w:id="126" w:name="_Toc49090577"/>
      <w:bookmarkStart w:id="127" w:name="_Toc22356580"/>
      <w:bookmarkStart w:id="128" w:name="_Toc23828478"/>
      <w:bookmarkStart w:id="129" w:name="_Toc26554095"/>
      <w:bookmarkStart w:id="130" w:name="_Toc513029276"/>
      <w:r>
        <w:rPr>
          <w:rFonts w:hint="eastAsia" w:ascii="华文中宋" w:hAnsi="华文中宋" w:eastAsia="华文中宋"/>
          <w:b/>
          <w:spacing w:val="-6"/>
          <w:szCs w:val="28"/>
        </w:rPr>
        <w:t>四、</w:t>
      </w:r>
      <w:r>
        <w:rPr>
          <w:rStyle w:val="41"/>
          <w:rFonts w:hint="eastAsia" w:ascii="华文中宋" w:hAnsi="华文中宋" w:eastAsia="华文中宋"/>
          <w:color w:val="auto"/>
          <w:sz w:val="28"/>
          <w:szCs w:val="28"/>
        </w:rPr>
        <w:t>磋商函格式</w:t>
      </w:r>
    </w:p>
    <w:bookmarkEnd w:id="124"/>
    <w:bookmarkEnd w:id="125"/>
    <w:bookmarkEnd w:id="126"/>
    <w:bookmarkEnd w:id="127"/>
    <w:bookmarkEnd w:id="128"/>
    <w:bookmarkEnd w:id="129"/>
    <w:bookmarkEnd w:id="130"/>
    <w:p>
      <w:pPr>
        <w:tabs>
          <w:tab w:val="left" w:pos="5580"/>
        </w:tabs>
        <w:spacing w:line="480" w:lineRule="exact"/>
        <w:rPr>
          <w:rStyle w:val="41"/>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hAnsi="仿宋_GB2312" w:eastAsia="仿宋_GB2312" w:cs="仿宋_GB2312"/>
          <w:bCs/>
          <w:sz w:val="24"/>
          <w:szCs w:val="24"/>
        </w:rPr>
        <w:t>2022-2024年度修缮工程造价咨询服务项目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1"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1"/>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2" w:name="OLE_LINK1"/>
      <w:bookmarkStart w:id="133" w:name="OLE_LINK2"/>
      <w:bookmarkStart w:id="134" w:name="OLE_LINK3"/>
      <w:r>
        <w:rPr>
          <w:rFonts w:hint="eastAsia" w:ascii="仿宋_GB2312" w:eastAsia="仿宋_GB2312" w:cs="宋体" w:hAnsiTheme="minorEastAsia"/>
          <w:sz w:val="24"/>
          <w:szCs w:val="24"/>
        </w:rPr>
        <w:t>学校采购活动</w:t>
      </w:r>
      <w:bookmarkEnd w:id="132"/>
      <w:bookmarkEnd w:id="133"/>
      <w:bookmarkEnd w:id="134"/>
      <w:r>
        <w:rPr>
          <w:rFonts w:hint="eastAsia" w:ascii="仿宋_GB2312" w:eastAsia="仿宋_GB2312" w:cs="宋体" w:hAnsiTheme="minorEastAsia"/>
          <w:sz w:val="24"/>
          <w:szCs w:val="24"/>
        </w:rPr>
        <w:t>质疑的提出和答复、投诉的提起和处理。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5" w:name="OLE_LINK5"/>
      <w:bookmarkStart w:id="136" w:name="OLE_LINK4"/>
      <w:bookmarkStart w:id="137" w:name="OLE_LINK7"/>
      <w:bookmarkStart w:id="138" w:name="OLE_LINK9"/>
      <w:bookmarkStart w:id="139" w:name="OLE_LINK8"/>
      <w:bookmarkStart w:id="140" w:name="OLE_LINK6"/>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35"/>
      <w:bookmarkEnd w:id="136"/>
      <w:bookmarkEnd w:id="137"/>
      <w:bookmarkEnd w:id="138"/>
      <w:bookmarkEnd w:id="139"/>
      <w:bookmarkEnd w:id="140"/>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1" w:name="OLE_LINK78"/>
      <w:bookmarkStart w:id="142" w:name="OLE_LINK76"/>
      <w:bookmarkStart w:id="143" w:name="OLE_LINK77"/>
      <w:r>
        <w:rPr>
          <w:rFonts w:hint="eastAsia" w:ascii="仿宋_GB2312" w:hAnsi="微软雅黑" w:eastAsia="仿宋_GB2312"/>
          <w:sz w:val="24"/>
          <w:szCs w:val="24"/>
        </w:rPr>
        <w:t>国资处、采购代理机构</w:t>
      </w:r>
      <w:bookmarkEnd w:id="141"/>
      <w:bookmarkEnd w:id="142"/>
      <w:bookmarkEnd w:id="143"/>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4"/>
          <w:rFonts w:hint="eastAsia" w:ascii="黑体" w:hAnsi="黑体" w:eastAsia="黑体"/>
          <w:sz w:val="30"/>
          <w:szCs w:val="30"/>
        </w:rPr>
        <w:t xml:space="preserve">第五章 </w:t>
      </w:r>
      <w:r>
        <w:rPr>
          <w:rStyle w:val="24"/>
          <w:rFonts w:hint="eastAsia" w:ascii="微软雅黑" w:hAnsi="微软雅黑" w:eastAsia="黑体"/>
          <w:sz w:val="30"/>
          <w:szCs w:val="30"/>
        </w:rPr>
        <w:t> </w:t>
      </w:r>
      <w:r>
        <w:rPr>
          <w:rStyle w:val="24"/>
          <w:rFonts w:hint="eastAsia" w:ascii="黑体" w:hAnsi="黑体" w:eastAsia="黑体"/>
          <w:sz w:val="30"/>
          <w:szCs w:val="30"/>
        </w:rPr>
        <w:t>投诉的处理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4" w:name="OLE_LINK12"/>
      <w:bookmarkStart w:id="145" w:name="OLE_LINK11"/>
      <w:bookmarkStart w:id="146"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4"/>
      <w:bookmarkEnd w:id="145"/>
      <w:bookmarkEnd w:id="146"/>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7" w:name="OLE_LINK14"/>
      <w:bookmarkStart w:id="148" w:name="OLE_LINK15"/>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7"/>
    <w:bookmarkEnd w:id="148"/>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Style w:val="24"/>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4"/>
          <w:rFonts w:hint="eastAsia" w:ascii="黑体" w:hAnsi="黑体" w:eastAsia="黑体"/>
          <w:sz w:val="30"/>
          <w:szCs w:val="30"/>
        </w:rPr>
        <w:t xml:space="preserve">第六章 </w:t>
      </w:r>
      <w:r>
        <w:rPr>
          <w:rStyle w:val="24"/>
          <w:rFonts w:hint="eastAsia" w:ascii="微软雅黑" w:hAnsi="微软雅黑" w:eastAsia="黑体"/>
          <w:sz w:val="30"/>
          <w:szCs w:val="30"/>
        </w:rPr>
        <w:t> </w:t>
      </w:r>
      <w:r>
        <w:rPr>
          <w:rStyle w:val="24"/>
          <w:rFonts w:hint="eastAsia" w:ascii="黑体" w:hAnsi="黑体" w:eastAsia="黑体"/>
          <w:sz w:val="30"/>
          <w:szCs w:val="30"/>
        </w:rPr>
        <w:t>法律责任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4"/>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49" w:name="OLE_LINK17"/>
      <w:bookmarkStart w:id="150" w:name="OLE_LINK18"/>
      <w:bookmarkStart w:id="151" w:name="OLE_LINK16"/>
      <w:r>
        <w:rPr>
          <w:rFonts w:hint="eastAsia" w:ascii="仿宋_GB2312" w:hAnsi="宋体" w:eastAsia="仿宋_GB2312" w:cs="宋体"/>
          <w:sz w:val="24"/>
          <w:szCs w:val="24"/>
        </w:rPr>
        <w:t>规</w:t>
      </w:r>
      <w:bookmarkEnd w:id="149"/>
      <w:bookmarkEnd w:id="150"/>
      <w:bookmarkEnd w:id="151"/>
      <w:r>
        <w:rPr>
          <w:rFonts w:hint="eastAsia" w:ascii="仿宋_GB2312" w:hAnsi="宋体" w:eastAsia="仿宋_GB2312" w:cs="宋体"/>
          <w:sz w:val="24"/>
          <w:szCs w:val="24"/>
        </w:rPr>
        <w:t>追究其相应责任。</w:t>
      </w:r>
    </w:p>
    <w:p>
      <w:pPr>
        <w:pStyle w:val="19"/>
        <w:shd w:val="clear" w:color="auto" w:fill="FFFFFF"/>
        <w:adjustRightInd w:val="0"/>
        <w:snapToGrid w:val="0"/>
        <w:spacing w:before="0" w:beforeAutospacing="0" w:after="0" w:afterAutospacing="0" w:line="560" w:lineRule="exact"/>
        <w:ind w:firstLine="482" w:firstLineChars="200"/>
        <w:jc w:val="both"/>
        <w:rPr>
          <w:rStyle w:val="24"/>
          <w:rFonts w:ascii="仿宋_GB2312" w:hAnsi="微软雅黑" w:eastAsia="仿宋_GB2312"/>
          <w:sz w:val="24"/>
          <w:szCs w:val="24"/>
        </w:rPr>
      </w:pPr>
      <w:r>
        <w:rPr>
          <w:rStyle w:val="24"/>
          <w:rFonts w:hint="eastAsia" w:ascii="仿宋_GB2312" w:hAnsi="微软雅黑" w:eastAsia="仿宋_GB2312"/>
          <w:sz w:val="24"/>
          <w:szCs w:val="24"/>
        </w:rPr>
        <w:t>　</w:t>
      </w:r>
    </w:p>
    <w:p>
      <w:pPr>
        <w:pStyle w:val="19"/>
        <w:shd w:val="clear" w:color="auto" w:fill="FFFFFF"/>
        <w:adjustRightInd w:val="0"/>
        <w:snapToGrid w:val="0"/>
        <w:spacing w:before="0" w:beforeAutospacing="0" w:after="0" w:afterAutospacing="0" w:line="560" w:lineRule="exact"/>
        <w:jc w:val="center"/>
        <w:rPr>
          <w:rStyle w:val="24"/>
          <w:rFonts w:ascii="黑体" w:hAnsi="黑体" w:eastAsia="黑体"/>
          <w:sz w:val="24"/>
          <w:szCs w:val="24"/>
        </w:rPr>
      </w:pPr>
      <w:r>
        <w:rPr>
          <w:rStyle w:val="24"/>
          <w:rFonts w:hint="eastAsia" w:ascii="黑体" w:hAnsi="黑体" w:eastAsia="黑体"/>
          <w:sz w:val="24"/>
          <w:szCs w:val="24"/>
        </w:rPr>
        <w:t xml:space="preserve">第七章 </w:t>
      </w:r>
      <w:r>
        <w:rPr>
          <w:rStyle w:val="24"/>
          <w:rFonts w:hint="eastAsia" w:ascii="微软雅黑" w:hAnsi="微软雅黑" w:eastAsia="黑体"/>
          <w:sz w:val="24"/>
          <w:szCs w:val="24"/>
        </w:rPr>
        <w:t> </w:t>
      </w:r>
      <w:r>
        <w:rPr>
          <w:rStyle w:val="24"/>
          <w:rFonts w:hint="eastAsia" w:ascii="黑体" w:hAnsi="黑体" w:eastAsia="黑体"/>
          <w:sz w:val="24"/>
          <w:szCs w:val="24"/>
        </w:rPr>
        <w:t>附则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adjustRightInd w:val="0"/>
        <w:snapToGrid w:val="0"/>
        <w:spacing w:line="720" w:lineRule="exact"/>
        <w:jc w:val="left"/>
        <w:rPr>
          <w:rFonts w:eastAsia="方正小标宋简体" w:cs="方正小标宋简体"/>
          <w:color w:val="000000"/>
          <w:kern w:val="0"/>
          <w:sz w:val="30"/>
          <w:szCs w:val="30"/>
        </w:rPr>
      </w:pPr>
      <w:r>
        <w:rPr>
          <w:rFonts w:hint="eastAsia" w:eastAsia="方正小标宋简体" w:cs="方正小标宋简体"/>
          <w:color w:val="000000"/>
          <w:kern w:val="0"/>
          <w:sz w:val="30"/>
          <w:szCs w:val="30"/>
        </w:rPr>
        <w:t>附表1        委托人对咨询人履约行为年度考核表</w:t>
      </w:r>
    </w:p>
    <w:tbl>
      <w:tblPr>
        <w:tblStyle w:val="21"/>
        <w:tblpPr w:leftFromText="180" w:rightFromText="180" w:vertAnchor="text" w:horzAnchor="page" w:tblpX="1911" w:tblpY="303"/>
        <w:tblOverlap w:val="never"/>
        <w:tblW w:w="5008" w:type="pct"/>
        <w:tblInd w:w="0" w:type="dxa"/>
        <w:tblLayout w:type="fixed"/>
        <w:tblCellMar>
          <w:top w:w="0" w:type="dxa"/>
          <w:left w:w="0" w:type="dxa"/>
          <w:bottom w:w="0" w:type="dxa"/>
          <w:right w:w="0" w:type="dxa"/>
        </w:tblCellMar>
      </w:tblPr>
      <w:tblGrid>
        <w:gridCol w:w="489"/>
        <w:gridCol w:w="745"/>
        <w:gridCol w:w="4518"/>
        <w:gridCol w:w="1137"/>
        <w:gridCol w:w="734"/>
        <w:gridCol w:w="913"/>
      </w:tblGrid>
      <w:tr>
        <w:tblPrEx>
          <w:tblCellMar>
            <w:top w:w="0" w:type="dxa"/>
            <w:left w:w="0" w:type="dxa"/>
            <w:bottom w:w="0" w:type="dxa"/>
            <w:right w:w="0" w:type="dxa"/>
          </w:tblCellMar>
        </w:tblPrEx>
        <w:trPr>
          <w:cantSplit/>
          <w:trHeight w:val="567" w:hRule="atLeast"/>
        </w:trPr>
        <w:tc>
          <w:tcPr>
            <w:tcW w:w="286" w:type="pct"/>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ind w:left="-140" w:leftChars="-50" w:right="-140" w:rightChars="-50"/>
              <w:jc w:val="center"/>
              <w:rPr>
                <w:rFonts w:hint="eastAsia" w:ascii="仿宋_GB2312"/>
                <w:color w:val="000000"/>
                <w:kern w:val="0"/>
                <w:sz w:val="24"/>
                <w:szCs w:val="24"/>
              </w:rPr>
            </w:pPr>
            <w:r>
              <w:rPr>
                <w:rFonts w:hint="eastAsia" w:ascii="仿宋_GB2312" w:cs="仿宋_GB2312"/>
                <w:color w:val="000000"/>
                <w:kern w:val="0"/>
                <w:sz w:val="24"/>
                <w:szCs w:val="24"/>
              </w:rPr>
              <w:t>序号</w:t>
            </w:r>
          </w:p>
        </w:tc>
        <w:tc>
          <w:tcPr>
            <w:tcW w:w="43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类别</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评价内容</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扣/加分标准(分/次)</w:t>
            </w:r>
          </w:p>
        </w:tc>
        <w:tc>
          <w:tcPr>
            <w:tcW w:w="430" w:type="pct"/>
            <w:tcBorders>
              <w:top w:val="single" w:color="auto" w:sz="8" w:space="0"/>
              <w:left w:val="nil"/>
              <w:bottom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次数</w:t>
            </w: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合计</w:t>
            </w:r>
          </w:p>
        </w:tc>
      </w:tr>
      <w:tr>
        <w:tblPrEx>
          <w:tblCellMar>
            <w:top w:w="0" w:type="dxa"/>
            <w:left w:w="0" w:type="dxa"/>
            <w:bottom w:w="0" w:type="dxa"/>
            <w:right w:w="0" w:type="dxa"/>
          </w:tblCellMar>
        </w:tblPrEx>
        <w:trPr>
          <w:cantSplit/>
          <w:trHeight w:val="694" w:hRule="atLeast"/>
        </w:trPr>
        <w:tc>
          <w:tcPr>
            <w:tcW w:w="286" w:type="pct"/>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tcBorders>
              <w:left w:val="nil"/>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ind w:right="56" w:rightChars="20"/>
              <w:rPr>
                <w:rFonts w:hint="eastAsia" w:ascii="仿宋_GB2312" w:hAnsi="仿宋" w:cs="仿宋"/>
                <w:sz w:val="24"/>
                <w:szCs w:val="24"/>
              </w:rPr>
            </w:pPr>
            <w:r>
              <w:rPr>
                <w:rFonts w:hint="eastAsia" w:ascii="仿宋_GB2312" w:hAnsi="仿宋" w:cs="仿宋"/>
                <w:sz w:val="24"/>
                <w:szCs w:val="24"/>
              </w:rPr>
              <w:t>咨询人所派项目人员不符合合同约定</w:t>
            </w:r>
          </w:p>
        </w:tc>
        <w:tc>
          <w:tcPr>
            <w:tcW w:w="666" w:type="pc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2</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50" w:hRule="atLeast"/>
        </w:trPr>
        <w:tc>
          <w:tcPr>
            <w:tcW w:w="286" w:type="pct"/>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一</w:t>
            </w:r>
          </w:p>
        </w:tc>
        <w:tc>
          <w:tcPr>
            <w:tcW w:w="435" w:type="pct"/>
            <w:tcBorders>
              <w:left w:val="nil"/>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组织管理</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ind w:right="56" w:rightChars="20"/>
              <w:rPr>
                <w:rFonts w:hint="eastAsia" w:ascii="仿宋_GB2312" w:hAnsi="仿宋" w:cs="仿宋"/>
                <w:sz w:val="24"/>
                <w:szCs w:val="24"/>
              </w:rPr>
            </w:pPr>
            <w:r>
              <w:rPr>
                <w:rFonts w:hint="eastAsia" w:ascii="仿宋_GB2312"/>
                <w:color w:val="000000"/>
                <w:kern w:val="0"/>
                <w:sz w:val="24"/>
                <w:szCs w:val="24"/>
              </w:rPr>
              <w:t>工程项目报送</w:t>
            </w:r>
            <w:r>
              <w:rPr>
                <w:rFonts w:hint="eastAsia" w:ascii="仿宋_GB2312" w:hAnsi="仿宋" w:cs="仿宋"/>
                <w:kern w:val="0"/>
                <w:sz w:val="24"/>
                <w:szCs w:val="24"/>
              </w:rPr>
              <w:t>资料归还与交接单不符</w:t>
            </w:r>
          </w:p>
        </w:tc>
        <w:tc>
          <w:tcPr>
            <w:tcW w:w="666" w:type="pc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3</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930" w:hRule="atLeast"/>
        </w:trPr>
        <w:tc>
          <w:tcPr>
            <w:tcW w:w="286" w:type="pct"/>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ind w:right="56" w:rightChars="20"/>
              <w:rPr>
                <w:rFonts w:hint="eastAsia" w:ascii="仿宋_GB2312"/>
                <w:color w:val="000000"/>
                <w:kern w:val="0"/>
                <w:sz w:val="24"/>
                <w:szCs w:val="24"/>
              </w:rPr>
            </w:pPr>
            <w:r>
              <w:rPr>
                <w:rFonts w:hint="eastAsia" w:ascii="仿宋_GB2312" w:hAnsi="仿宋" w:cs="仿宋"/>
                <w:sz w:val="24"/>
                <w:szCs w:val="24"/>
              </w:rPr>
              <w:t>与被审单位及项目相关单位核对情况缺乏说服力，被投诉，造成不良影响的</w:t>
            </w:r>
          </w:p>
        </w:tc>
        <w:tc>
          <w:tcPr>
            <w:tcW w:w="666" w:type="pc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restart"/>
            <w:tcBorders>
              <w:top w:val="single" w:color="auto" w:sz="8" w:space="0"/>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二</w:t>
            </w:r>
          </w:p>
        </w:tc>
        <w:tc>
          <w:tcPr>
            <w:tcW w:w="435" w:type="pct"/>
            <w:vMerge w:val="restar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r>
              <w:rPr>
                <w:rFonts w:hint="eastAsia" w:ascii="仿宋_GB2312"/>
                <w:color w:val="000000"/>
                <w:kern w:val="0"/>
                <w:sz w:val="24"/>
                <w:szCs w:val="24"/>
              </w:rPr>
              <w:t>效率质量</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hAnsi="仿宋" w:cs="仿宋"/>
                <w:kern w:val="0"/>
                <w:sz w:val="24"/>
                <w:szCs w:val="24"/>
              </w:rPr>
            </w:pPr>
            <w:r>
              <w:rPr>
                <w:rFonts w:hint="eastAsia" w:ascii="仿宋_GB2312" w:cs="仿宋_GB2312"/>
                <w:color w:val="000000"/>
                <w:kern w:val="0"/>
                <w:sz w:val="24"/>
                <w:szCs w:val="24"/>
              </w:rPr>
              <w:t>不与委托人沟通服务项目或服务态度恶劣的</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885"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hAnsi="仿宋" w:cs="仿宋"/>
                <w:kern w:val="0"/>
                <w:sz w:val="24"/>
                <w:szCs w:val="24"/>
              </w:rPr>
              <w:t>未按约定期限完成咨询项目的（非咨询人自身原因造成的除外）</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2</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1445"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color w:val="000000"/>
                <w:kern w:val="0"/>
                <w:sz w:val="24"/>
                <w:szCs w:val="24"/>
              </w:rPr>
              <w:t>未按约定期限完成咨询项目，经催告，在催告期限内仍未完成的</w:t>
            </w:r>
            <w:r>
              <w:rPr>
                <w:rFonts w:hint="eastAsia" w:ascii="仿宋_GB2312" w:hAnsi="仿宋" w:cs="仿宋"/>
                <w:kern w:val="0"/>
                <w:sz w:val="24"/>
                <w:szCs w:val="24"/>
              </w:rPr>
              <w:t>（非咨询人自身原因造成的除外）</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cs="仿宋_GB2312"/>
                <w:color w:val="000000"/>
                <w:kern w:val="0"/>
                <w:sz w:val="24"/>
                <w:szCs w:val="24"/>
              </w:rPr>
              <w:t>咨询服务结果可能存在质量问题被退回</w:t>
            </w:r>
            <w:r>
              <w:rPr>
                <w:rFonts w:hint="eastAsia" w:ascii="仿宋_GB2312"/>
                <w:color w:val="000000"/>
                <w:kern w:val="0"/>
                <w:sz w:val="24"/>
                <w:szCs w:val="24"/>
              </w:rPr>
              <w:t>，复查属实的</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2</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color w:val="000000"/>
                <w:kern w:val="0"/>
                <w:sz w:val="24"/>
                <w:szCs w:val="24"/>
              </w:rPr>
              <w:t>咨询服务质量经委托人复审（复核）不符合合同约定的</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10</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950" w:hRule="atLeast"/>
        </w:trPr>
        <w:tc>
          <w:tcPr>
            <w:tcW w:w="286" w:type="pct"/>
            <w:vMerge w:val="restart"/>
            <w:tcBorders>
              <w:top w:val="single" w:color="auto" w:sz="8" w:space="0"/>
              <w:left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三</w:t>
            </w:r>
          </w:p>
        </w:tc>
        <w:tc>
          <w:tcPr>
            <w:tcW w:w="435" w:type="pct"/>
            <w:vMerge w:val="restart"/>
            <w:tcBorders>
              <w:top w:val="single" w:color="auto" w:sz="8" w:space="0"/>
              <w:left w:val="nil"/>
              <w:right w:val="single" w:color="auto" w:sz="8" w:space="0"/>
            </w:tcBorders>
            <w:noWrap/>
            <w:vAlign w:val="center"/>
          </w:tcPr>
          <w:p>
            <w:pPr>
              <w:widowControl/>
              <w:spacing w:line="400" w:lineRule="exact"/>
              <w:ind w:left="118"/>
              <w:rPr>
                <w:rFonts w:hint="eastAsia" w:ascii="仿宋_GB2312" w:cs="仿宋_GB2312"/>
                <w:color w:val="000000"/>
                <w:kern w:val="0"/>
                <w:sz w:val="24"/>
                <w:szCs w:val="24"/>
              </w:rPr>
            </w:pPr>
            <w:r>
              <w:rPr>
                <w:rFonts w:hint="eastAsia" w:ascii="仿宋_GB2312" w:cs="仿宋_GB2312"/>
                <w:color w:val="000000"/>
                <w:kern w:val="0"/>
                <w:sz w:val="24"/>
                <w:szCs w:val="24"/>
              </w:rPr>
              <w:t>加分项目</w:t>
            </w:r>
          </w:p>
        </w:tc>
        <w:tc>
          <w:tcPr>
            <w:tcW w:w="2645" w:type="pct"/>
            <w:tcBorders>
              <w:top w:val="single" w:color="auto" w:sz="8" w:space="0"/>
              <w:left w:val="nil"/>
              <w:bottom w:val="single" w:color="auto" w:sz="8" w:space="0"/>
              <w:right w:val="single" w:color="auto" w:sz="8" w:space="0"/>
            </w:tcBorders>
            <w:noWrap/>
            <w:vAlign w:val="center"/>
          </w:tcPr>
          <w:p>
            <w:pPr>
              <w:widowControl/>
              <w:snapToGrid w:val="0"/>
              <w:spacing w:line="400" w:lineRule="exact"/>
              <w:ind w:left="56" w:leftChars="20" w:right="56" w:rightChars="20"/>
              <w:rPr>
                <w:rFonts w:hint="eastAsia" w:ascii="仿宋_GB2312"/>
                <w:color w:val="000000"/>
                <w:kern w:val="0"/>
                <w:sz w:val="24"/>
                <w:szCs w:val="24"/>
              </w:rPr>
            </w:pPr>
            <w:r>
              <w:rPr>
                <w:rFonts w:hint="eastAsia" w:ascii="仿宋_GB2312" w:hAnsi="仿宋" w:cs="仿宋"/>
                <w:kern w:val="0"/>
                <w:sz w:val="24"/>
                <w:szCs w:val="24"/>
              </w:rPr>
              <w:t>提出项目在管理、内控等方面存在的突出性问题, 有针对性的审计建议</w:t>
            </w:r>
          </w:p>
        </w:tc>
        <w:tc>
          <w:tcPr>
            <w:tcW w:w="666" w:type="pct"/>
            <w:tcBorders>
              <w:top w:val="single" w:color="auto" w:sz="8" w:space="0"/>
              <w:left w:val="nil"/>
              <w:bottom w:val="single" w:color="auto" w:sz="8" w:space="0"/>
              <w:right w:val="single" w:color="auto" w:sz="8" w:space="0"/>
            </w:tcBorders>
            <w:noWrap/>
            <w:vAlign w:val="center"/>
          </w:tcPr>
          <w:p>
            <w:pPr>
              <w:spacing w:line="40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continue"/>
            <w:tcBorders>
              <w:left w:val="single" w:color="auto" w:sz="8" w:space="0"/>
              <w:bottom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bottom w:val="single" w:color="auto" w:sz="8" w:space="0"/>
              <w:right w:val="single" w:color="auto" w:sz="8" w:space="0"/>
            </w:tcBorders>
            <w:noWrap/>
            <w:vAlign w:val="center"/>
          </w:tcPr>
          <w:p>
            <w:pPr>
              <w:widowControl/>
              <w:spacing w:line="400" w:lineRule="exact"/>
              <w:ind w:left="118"/>
              <w:rPr>
                <w:rFonts w:hint="eastAsia" w:ascii="仿宋_GB2312" w:cs="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vAlign w:val="center"/>
          </w:tcPr>
          <w:p>
            <w:pPr>
              <w:widowControl/>
              <w:snapToGrid w:val="0"/>
              <w:spacing w:line="400" w:lineRule="exact"/>
              <w:ind w:left="56" w:leftChars="20" w:right="56" w:rightChars="20"/>
              <w:rPr>
                <w:rFonts w:hint="eastAsia" w:ascii="仿宋_GB2312"/>
                <w:color w:val="000000"/>
                <w:kern w:val="0"/>
                <w:sz w:val="24"/>
                <w:szCs w:val="24"/>
              </w:rPr>
            </w:pPr>
            <w:r>
              <w:rPr>
                <w:rFonts w:hint="eastAsia" w:ascii="仿宋_GB2312" w:hAnsi="仿宋" w:cs="仿宋"/>
                <w:kern w:val="0"/>
                <w:sz w:val="24"/>
                <w:szCs w:val="24"/>
              </w:rPr>
              <w:t>咨询过程中发现有价值的案件线索</w:t>
            </w:r>
          </w:p>
        </w:tc>
        <w:tc>
          <w:tcPr>
            <w:tcW w:w="666" w:type="pct"/>
            <w:tcBorders>
              <w:top w:val="single" w:color="auto" w:sz="8" w:space="0"/>
              <w:left w:val="nil"/>
              <w:bottom w:val="single" w:color="auto" w:sz="8" w:space="0"/>
              <w:right w:val="single" w:color="auto" w:sz="8" w:space="0"/>
            </w:tcBorders>
            <w:noWrap/>
            <w:vAlign w:val="center"/>
          </w:tcPr>
          <w:p>
            <w:pPr>
              <w:spacing w:line="40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10</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722" w:type="pct"/>
            <w:gridSpan w:val="2"/>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合计</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0" w:type="pct"/>
            <w:tcBorders>
              <w:top w:val="single" w:color="auto" w:sz="8" w:space="0"/>
              <w:left w:val="nil"/>
              <w:bottom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bl>
    <w:p>
      <w:pPr>
        <w:spacing w:line="400" w:lineRule="exact"/>
        <w:rPr>
          <w:rFonts w:hint="eastAsia"/>
        </w:rPr>
      </w:pPr>
    </w:p>
    <w:p>
      <w:pPr>
        <w:spacing w:line="400" w:lineRule="exact"/>
      </w:pPr>
      <w:r>
        <w:rPr>
          <w:rFonts w:hint="eastAsia"/>
        </w:rPr>
        <w:t>备注：本考核表初始分值100分</w:t>
      </w:r>
    </w:p>
    <w:p>
      <w:pPr>
        <w:pStyle w:val="2"/>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5"/>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31C66"/>
    <w:multiLevelType w:val="singleLevel"/>
    <w:tmpl w:val="EDE31C66"/>
    <w:lvl w:ilvl="0" w:tentative="0">
      <w:start w:val="5"/>
      <w:numFmt w:val="chineseCounting"/>
      <w:suff w:val="space"/>
      <w:lvlText w:val="第%1章"/>
      <w:lvlJc w:val="left"/>
      <w:rPr>
        <w:rFonts w:hint="eastAsia"/>
      </w:rPr>
    </w:lvl>
  </w:abstractNum>
  <w:abstractNum w:abstractNumId="1">
    <w:nsid w:val="17AF37BC"/>
    <w:multiLevelType w:val="multilevel"/>
    <w:tmpl w:val="17AF37BC"/>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9"/>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0"/>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4C9667FD"/>
    <w:multiLevelType w:val="multilevel"/>
    <w:tmpl w:val="4C9667FD"/>
    <w:lvl w:ilvl="0" w:tentative="0">
      <w:start w:val="1"/>
      <w:numFmt w:val="japaneseCounting"/>
      <w:lvlText w:val="第%1条"/>
      <w:lvlJc w:val="left"/>
      <w:pPr>
        <w:tabs>
          <w:tab w:val="left" w:pos="990"/>
        </w:tabs>
        <w:ind w:left="990" w:hanging="99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52C06A4"/>
    <w:multiLevelType w:val="multilevel"/>
    <w:tmpl w:val="652C06A4"/>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3C4"/>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3B4944"/>
    <w:rsid w:val="014F43EC"/>
    <w:rsid w:val="016862B7"/>
    <w:rsid w:val="0234138D"/>
    <w:rsid w:val="029A4FF3"/>
    <w:rsid w:val="029F0AF2"/>
    <w:rsid w:val="02F9098D"/>
    <w:rsid w:val="030D62FF"/>
    <w:rsid w:val="03141F6C"/>
    <w:rsid w:val="03174F3D"/>
    <w:rsid w:val="03311E12"/>
    <w:rsid w:val="03375366"/>
    <w:rsid w:val="03525361"/>
    <w:rsid w:val="039A654E"/>
    <w:rsid w:val="039E6B3C"/>
    <w:rsid w:val="03CD1A41"/>
    <w:rsid w:val="03D51D9B"/>
    <w:rsid w:val="03FC6F84"/>
    <w:rsid w:val="04031D92"/>
    <w:rsid w:val="04435167"/>
    <w:rsid w:val="049B5628"/>
    <w:rsid w:val="04A72032"/>
    <w:rsid w:val="04BD144B"/>
    <w:rsid w:val="04C7316C"/>
    <w:rsid w:val="04FF48D9"/>
    <w:rsid w:val="050D7FCD"/>
    <w:rsid w:val="05452235"/>
    <w:rsid w:val="057B43B4"/>
    <w:rsid w:val="05884CB4"/>
    <w:rsid w:val="0605426F"/>
    <w:rsid w:val="061B6B4D"/>
    <w:rsid w:val="0642001F"/>
    <w:rsid w:val="064603E8"/>
    <w:rsid w:val="06465B2E"/>
    <w:rsid w:val="064E0672"/>
    <w:rsid w:val="06A12781"/>
    <w:rsid w:val="06BD5FB2"/>
    <w:rsid w:val="073B020F"/>
    <w:rsid w:val="073E427C"/>
    <w:rsid w:val="074C2609"/>
    <w:rsid w:val="07C7068F"/>
    <w:rsid w:val="07EB29B1"/>
    <w:rsid w:val="07F12200"/>
    <w:rsid w:val="07FA0A50"/>
    <w:rsid w:val="088E5CA1"/>
    <w:rsid w:val="08C11D7D"/>
    <w:rsid w:val="08FD615D"/>
    <w:rsid w:val="09385DBB"/>
    <w:rsid w:val="09770B13"/>
    <w:rsid w:val="099E2C10"/>
    <w:rsid w:val="09C504E0"/>
    <w:rsid w:val="0A052A50"/>
    <w:rsid w:val="0A2C5771"/>
    <w:rsid w:val="0A717FE3"/>
    <w:rsid w:val="0A8201EC"/>
    <w:rsid w:val="0A9E5C23"/>
    <w:rsid w:val="0AAF0151"/>
    <w:rsid w:val="0AC8599B"/>
    <w:rsid w:val="0AE02304"/>
    <w:rsid w:val="0B01585A"/>
    <w:rsid w:val="0B462863"/>
    <w:rsid w:val="0B761E8C"/>
    <w:rsid w:val="0B8A12F6"/>
    <w:rsid w:val="0BD23C85"/>
    <w:rsid w:val="0BD43149"/>
    <w:rsid w:val="0BDE2831"/>
    <w:rsid w:val="0BE711B7"/>
    <w:rsid w:val="0BEB55D7"/>
    <w:rsid w:val="0BEB5B52"/>
    <w:rsid w:val="0C4122C6"/>
    <w:rsid w:val="0C452F99"/>
    <w:rsid w:val="0C48523E"/>
    <w:rsid w:val="0C767683"/>
    <w:rsid w:val="0CA13D98"/>
    <w:rsid w:val="0CAA1A45"/>
    <w:rsid w:val="0CB101B0"/>
    <w:rsid w:val="0CE916E4"/>
    <w:rsid w:val="0CF27A72"/>
    <w:rsid w:val="0D111D71"/>
    <w:rsid w:val="0D3D494A"/>
    <w:rsid w:val="0D6E60A1"/>
    <w:rsid w:val="0D9B5B8B"/>
    <w:rsid w:val="0DA21DF1"/>
    <w:rsid w:val="0DAF2814"/>
    <w:rsid w:val="0DD00D67"/>
    <w:rsid w:val="0DEA2E68"/>
    <w:rsid w:val="0E2974C8"/>
    <w:rsid w:val="0E486157"/>
    <w:rsid w:val="0E533361"/>
    <w:rsid w:val="0EB0555E"/>
    <w:rsid w:val="0F047A55"/>
    <w:rsid w:val="0F17262A"/>
    <w:rsid w:val="0F2D2F2A"/>
    <w:rsid w:val="0F335DE5"/>
    <w:rsid w:val="0F60075C"/>
    <w:rsid w:val="0F914465"/>
    <w:rsid w:val="0FB80153"/>
    <w:rsid w:val="0FBD6E6C"/>
    <w:rsid w:val="101A1D40"/>
    <w:rsid w:val="1025513D"/>
    <w:rsid w:val="1055212B"/>
    <w:rsid w:val="107C2B34"/>
    <w:rsid w:val="10890C6B"/>
    <w:rsid w:val="109C7EF6"/>
    <w:rsid w:val="10C97052"/>
    <w:rsid w:val="10F36FE9"/>
    <w:rsid w:val="12577DE7"/>
    <w:rsid w:val="125C2645"/>
    <w:rsid w:val="13027981"/>
    <w:rsid w:val="134A432B"/>
    <w:rsid w:val="13693C7B"/>
    <w:rsid w:val="136A2985"/>
    <w:rsid w:val="13CB41F1"/>
    <w:rsid w:val="14215A6F"/>
    <w:rsid w:val="14447FCD"/>
    <w:rsid w:val="14590ACC"/>
    <w:rsid w:val="145A48EA"/>
    <w:rsid w:val="14691370"/>
    <w:rsid w:val="149C4209"/>
    <w:rsid w:val="14B54789"/>
    <w:rsid w:val="152572C1"/>
    <w:rsid w:val="153831C7"/>
    <w:rsid w:val="15507A01"/>
    <w:rsid w:val="159E22A5"/>
    <w:rsid w:val="15CE3B81"/>
    <w:rsid w:val="1615277C"/>
    <w:rsid w:val="16936093"/>
    <w:rsid w:val="16CD7B2B"/>
    <w:rsid w:val="16F30C91"/>
    <w:rsid w:val="16F40907"/>
    <w:rsid w:val="175B1CF1"/>
    <w:rsid w:val="178935E9"/>
    <w:rsid w:val="178C57AD"/>
    <w:rsid w:val="17B94649"/>
    <w:rsid w:val="17E47C7C"/>
    <w:rsid w:val="17F92C94"/>
    <w:rsid w:val="181D629B"/>
    <w:rsid w:val="183D5197"/>
    <w:rsid w:val="1855311A"/>
    <w:rsid w:val="18BA0052"/>
    <w:rsid w:val="18BB7226"/>
    <w:rsid w:val="19160617"/>
    <w:rsid w:val="192C4113"/>
    <w:rsid w:val="193C6734"/>
    <w:rsid w:val="1981715C"/>
    <w:rsid w:val="19A51228"/>
    <w:rsid w:val="19D00D40"/>
    <w:rsid w:val="19DF19D9"/>
    <w:rsid w:val="1A1E3E96"/>
    <w:rsid w:val="1A29563E"/>
    <w:rsid w:val="1A6738AE"/>
    <w:rsid w:val="1A9E547C"/>
    <w:rsid w:val="1AAA0930"/>
    <w:rsid w:val="1AC75042"/>
    <w:rsid w:val="1B46065D"/>
    <w:rsid w:val="1BB94558"/>
    <w:rsid w:val="1BD3078E"/>
    <w:rsid w:val="1BD63C07"/>
    <w:rsid w:val="1C0273B8"/>
    <w:rsid w:val="1C094564"/>
    <w:rsid w:val="1C1D1621"/>
    <w:rsid w:val="1C4A7F6D"/>
    <w:rsid w:val="1C9C3D0A"/>
    <w:rsid w:val="1CA61D97"/>
    <w:rsid w:val="1CC36D54"/>
    <w:rsid w:val="1CC873F9"/>
    <w:rsid w:val="1CF00880"/>
    <w:rsid w:val="1D8D3B97"/>
    <w:rsid w:val="1DA353B0"/>
    <w:rsid w:val="1DB47A3E"/>
    <w:rsid w:val="1DE60AB3"/>
    <w:rsid w:val="1DEC3165"/>
    <w:rsid w:val="1E0D7E12"/>
    <w:rsid w:val="1E0F11DA"/>
    <w:rsid w:val="1E104638"/>
    <w:rsid w:val="1E6E3532"/>
    <w:rsid w:val="1E86350C"/>
    <w:rsid w:val="1EA93F70"/>
    <w:rsid w:val="1ED56DD3"/>
    <w:rsid w:val="1ED83327"/>
    <w:rsid w:val="1EDA17E8"/>
    <w:rsid w:val="1EDB753D"/>
    <w:rsid w:val="1EE57DD0"/>
    <w:rsid w:val="1EF01369"/>
    <w:rsid w:val="1F647385"/>
    <w:rsid w:val="1FD95964"/>
    <w:rsid w:val="21224DDA"/>
    <w:rsid w:val="216A2301"/>
    <w:rsid w:val="219C35B5"/>
    <w:rsid w:val="21AF7E11"/>
    <w:rsid w:val="21D87147"/>
    <w:rsid w:val="220646A2"/>
    <w:rsid w:val="22467258"/>
    <w:rsid w:val="225476F0"/>
    <w:rsid w:val="22AC1F99"/>
    <w:rsid w:val="22C0162A"/>
    <w:rsid w:val="234E2E43"/>
    <w:rsid w:val="235A5649"/>
    <w:rsid w:val="23742E23"/>
    <w:rsid w:val="237B0C64"/>
    <w:rsid w:val="239067FA"/>
    <w:rsid w:val="23AD35C5"/>
    <w:rsid w:val="23C55C0A"/>
    <w:rsid w:val="23CC306F"/>
    <w:rsid w:val="23D24DEB"/>
    <w:rsid w:val="23D33CAB"/>
    <w:rsid w:val="23E32EED"/>
    <w:rsid w:val="242263FD"/>
    <w:rsid w:val="24255F8E"/>
    <w:rsid w:val="24436BE8"/>
    <w:rsid w:val="246B5259"/>
    <w:rsid w:val="24A02B8C"/>
    <w:rsid w:val="250A3D72"/>
    <w:rsid w:val="25304C68"/>
    <w:rsid w:val="25337596"/>
    <w:rsid w:val="253E2C4D"/>
    <w:rsid w:val="25466F1A"/>
    <w:rsid w:val="254C5D85"/>
    <w:rsid w:val="25697422"/>
    <w:rsid w:val="257A3122"/>
    <w:rsid w:val="25B42B33"/>
    <w:rsid w:val="25C831C6"/>
    <w:rsid w:val="26111954"/>
    <w:rsid w:val="261543E8"/>
    <w:rsid w:val="261E4592"/>
    <w:rsid w:val="26420A5D"/>
    <w:rsid w:val="264439EB"/>
    <w:rsid w:val="265A1F39"/>
    <w:rsid w:val="26764AB1"/>
    <w:rsid w:val="26C01D59"/>
    <w:rsid w:val="26FB0214"/>
    <w:rsid w:val="270633B2"/>
    <w:rsid w:val="270C052C"/>
    <w:rsid w:val="27116E6C"/>
    <w:rsid w:val="27430E2D"/>
    <w:rsid w:val="277B5E5A"/>
    <w:rsid w:val="27AE42A3"/>
    <w:rsid w:val="281573ED"/>
    <w:rsid w:val="285917E7"/>
    <w:rsid w:val="286018A1"/>
    <w:rsid w:val="287763BE"/>
    <w:rsid w:val="28EF5E90"/>
    <w:rsid w:val="294E0E09"/>
    <w:rsid w:val="29573A19"/>
    <w:rsid w:val="2961426B"/>
    <w:rsid w:val="29770888"/>
    <w:rsid w:val="29A90AA3"/>
    <w:rsid w:val="29D20B71"/>
    <w:rsid w:val="29DB3439"/>
    <w:rsid w:val="2A185512"/>
    <w:rsid w:val="2A402E34"/>
    <w:rsid w:val="2A85258B"/>
    <w:rsid w:val="2AA72378"/>
    <w:rsid w:val="2AD046CD"/>
    <w:rsid w:val="2AFA67C3"/>
    <w:rsid w:val="2B100144"/>
    <w:rsid w:val="2B6A6E5A"/>
    <w:rsid w:val="2B6E5B01"/>
    <w:rsid w:val="2BC74EA2"/>
    <w:rsid w:val="2BD06081"/>
    <w:rsid w:val="2C166459"/>
    <w:rsid w:val="2C330A62"/>
    <w:rsid w:val="2C8E5BB9"/>
    <w:rsid w:val="2C8F100D"/>
    <w:rsid w:val="2CE90A48"/>
    <w:rsid w:val="2DEB1B80"/>
    <w:rsid w:val="2E656F48"/>
    <w:rsid w:val="2E682316"/>
    <w:rsid w:val="2E923CE7"/>
    <w:rsid w:val="2EAE46E1"/>
    <w:rsid w:val="2F1235FA"/>
    <w:rsid w:val="2F740F38"/>
    <w:rsid w:val="2FA05C87"/>
    <w:rsid w:val="2FBA674A"/>
    <w:rsid w:val="2FEF34C6"/>
    <w:rsid w:val="30595624"/>
    <w:rsid w:val="30682029"/>
    <w:rsid w:val="307C62BC"/>
    <w:rsid w:val="308C7616"/>
    <w:rsid w:val="308F5662"/>
    <w:rsid w:val="30F05E6D"/>
    <w:rsid w:val="31073580"/>
    <w:rsid w:val="31261645"/>
    <w:rsid w:val="312E7229"/>
    <w:rsid w:val="315B4B3B"/>
    <w:rsid w:val="316656C1"/>
    <w:rsid w:val="31CB42E5"/>
    <w:rsid w:val="31ED3189"/>
    <w:rsid w:val="31F07E99"/>
    <w:rsid w:val="31F64FCB"/>
    <w:rsid w:val="32143562"/>
    <w:rsid w:val="3221311C"/>
    <w:rsid w:val="325C64CE"/>
    <w:rsid w:val="3284740C"/>
    <w:rsid w:val="32935D9A"/>
    <w:rsid w:val="329A6E6D"/>
    <w:rsid w:val="33175BD1"/>
    <w:rsid w:val="3370124E"/>
    <w:rsid w:val="33995376"/>
    <w:rsid w:val="33BA11B8"/>
    <w:rsid w:val="33C65C0C"/>
    <w:rsid w:val="34A63463"/>
    <w:rsid w:val="34C32CC7"/>
    <w:rsid w:val="35013235"/>
    <w:rsid w:val="35383CDF"/>
    <w:rsid w:val="355E5437"/>
    <w:rsid w:val="356B634F"/>
    <w:rsid w:val="35842EDE"/>
    <w:rsid w:val="358D2630"/>
    <w:rsid w:val="35A35214"/>
    <w:rsid w:val="35BB71F1"/>
    <w:rsid w:val="35F77E5F"/>
    <w:rsid w:val="35FF3F86"/>
    <w:rsid w:val="36177727"/>
    <w:rsid w:val="36440DAE"/>
    <w:rsid w:val="3667620A"/>
    <w:rsid w:val="369264A4"/>
    <w:rsid w:val="3694235F"/>
    <w:rsid w:val="36B32945"/>
    <w:rsid w:val="36C02D57"/>
    <w:rsid w:val="36CD677B"/>
    <w:rsid w:val="36E74AE9"/>
    <w:rsid w:val="3761378B"/>
    <w:rsid w:val="376E55E1"/>
    <w:rsid w:val="376F2B88"/>
    <w:rsid w:val="37BE184F"/>
    <w:rsid w:val="37EA2644"/>
    <w:rsid w:val="37F05F4D"/>
    <w:rsid w:val="37FA17BE"/>
    <w:rsid w:val="3813700C"/>
    <w:rsid w:val="382E5B94"/>
    <w:rsid w:val="3832489A"/>
    <w:rsid w:val="383D471C"/>
    <w:rsid w:val="386553C4"/>
    <w:rsid w:val="386A5B0B"/>
    <w:rsid w:val="388B0C24"/>
    <w:rsid w:val="389A279F"/>
    <w:rsid w:val="391D0313"/>
    <w:rsid w:val="3923535C"/>
    <w:rsid w:val="392634FF"/>
    <w:rsid w:val="394D7456"/>
    <w:rsid w:val="395A7356"/>
    <w:rsid w:val="39605DDA"/>
    <w:rsid w:val="39606DBA"/>
    <w:rsid w:val="39664FE9"/>
    <w:rsid w:val="396C5CC7"/>
    <w:rsid w:val="397E3BBA"/>
    <w:rsid w:val="39801F40"/>
    <w:rsid w:val="39D27D8A"/>
    <w:rsid w:val="3A723FE3"/>
    <w:rsid w:val="3AB5795C"/>
    <w:rsid w:val="3AC42FCC"/>
    <w:rsid w:val="3ACE686B"/>
    <w:rsid w:val="3AD5386A"/>
    <w:rsid w:val="3AFF4712"/>
    <w:rsid w:val="3B267B4A"/>
    <w:rsid w:val="3B720D3D"/>
    <w:rsid w:val="3BFC0891"/>
    <w:rsid w:val="3C0119CF"/>
    <w:rsid w:val="3C094992"/>
    <w:rsid w:val="3C456F72"/>
    <w:rsid w:val="3C4D62F4"/>
    <w:rsid w:val="3C70758C"/>
    <w:rsid w:val="3CAA3284"/>
    <w:rsid w:val="3CAF79B9"/>
    <w:rsid w:val="3CCF6E69"/>
    <w:rsid w:val="3CD40F3A"/>
    <w:rsid w:val="3DA2586F"/>
    <w:rsid w:val="3DB53370"/>
    <w:rsid w:val="3DC32E01"/>
    <w:rsid w:val="3DE36A7E"/>
    <w:rsid w:val="3DEF1977"/>
    <w:rsid w:val="3E261BCA"/>
    <w:rsid w:val="3E593281"/>
    <w:rsid w:val="3E7D12BC"/>
    <w:rsid w:val="3EC936D6"/>
    <w:rsid w:val="3EE51D6B"/>
    <w:rsid w:val="3F2A344A"/>
    <w:rsid w:val="3F3A37F1"/>
    <w:rsid w:val="3F653140"/>
    <w:rsid w:val="3F705C0B"/>
    <w:rsid w:val="3F8C2233"/>
    <w:rsid w:val="3FBE7323"/>
    <w:rsid w:val="3FDD483D"/>
    <w:rsid w:val="40366C91"/>
    <w:rsid w:val="404B50C8"/>
    <w:rsid w:val="405C1C05"/>
    <w:rsid w:val="408E7F02"/>
    <w:rsid w:val="40962D22"/>
    <w:rsid w:val="40C559FD"/>
    <w:rsid w:val="40EB11DB"/>
    <w:rsid w:val="40EE6D55"/>
    <w:rsid w:val="413655D4"/>
    <w:rsid w:val="415162AF"/>
    <w:rsid w:val="41780EB4"/>
    <w:rsid w:val="418662EF"/>
    <w:rsid w:val="418670FF"/>
    <w:rsid w:val="42076C6C"/>
    <w:rsid w:val="4220687D"/>
    <w:rsid w:val="425E3D7D"/>
    <w:rsid w:val="4268674F"/>
    <w:rsid w:val="427174BE"/>
    <w:rsid w:val="428D2245"/>
    <w:rsid w:val="429B0441"/>
    <w:rsid w:val="42E27CE8"/>
    <w:rsid w:val="43491CBA"/>
    <w:rsid w:val="43752E9F"/>
    <w:rsid w:val="43A10F29"/>
    <w:rsid w:val="43A722C2"/>
    <w:rsid w:val="43AE20BA"/>
    <w:rsid w:val="43B12268"/>
    <w:rsid w:val="43E75C8A"/>
    <w:rsid w:val="442F455C"/>
    <w:rsid w:val="445C3546"/>
    <w:rsid w:val="44E8660C"/>
    <w:rsid w:val="45117D80"/>
    <w:rsid w:val="45480536"/>
    <w:rsid w:val="45963A0B"/>
    <w:rsid w:val="46114D68"/>
    <w:rsid w:val="464650EE"/>
    <w:rsid w:val="464D67FE"/>
    <w:rsid w:val="46683202"/>
    <w:rsid w:val="4675644E"/>
    <w:rsid w:val="46D72281"/>
    <w:rsid w:val="46F26E20"/>
    <w:rsid w:val="47196039"/>
    <w:rsid w:val="47280A93"/>
    <w:rsid w:val="47571E54"/>
    <w:rsid w:val="476D6EBA"/>
    <w:rsid w:val="478D6B48"/>
    <w:rsid w:val="479B635A"/>
    <w:rsid w:val="47A81209"/>
    <w:rsid w:val="47AE2FAC"/>
    <w:rsid w:val="47B14163"/>
    <w:rsid w:val="47CF2DE3"/>
    <w:rsid w:val="47E677B3"/>
    <w:rsid w:val="47FD7147"/>
    <w:rsid w:val="48140007"/>
    <w:rsid w:val="481717F0"/>
    <w:rsid w:val="48BD0E84"/>
    <w:rsid w:val="49063724"/>
    <w:rsid w:val="49067070"/>
    <w:rsid w:val="49727DEF"/>
    <w:rsid w:val="49975779"/>
    <w:rsid w:val="49C634CB"/>
    <w:rsid w:val="49DC5B65"/>
    <w:rsid w:val="4A06781F"/>
    <w:rsid w:val="4A136DA0"/>
    <w:rsid w:val="4A145BA1"/>
    <w:rsid w:val="4A606796"/>
    <w:rsid w:val="4AA2518A"/>
    <w:rsid w:val="4AD67CC5"/>
    <w:rsid w:val="4AF62C56"/>
    <w:rsid w:val="4B4F4691"/>
    <w:rsid w:val="4B527B10"/>
    <w:rsid w:val="4B6E6C91"/>
    <w:rsid w:val="4B8935FD"/>
    <w:rsid w:val="4B9F4711"/>
    <w:rsid w:val="4BA104E5"/>
    <w:rsid w:val="4BB026D7"/>
    <w:rsid w:val="4BDA1B1F"/>
    <w:rsid w:val="4C0A278F"/>
    <w:rsid w:val="4C147838"/>
    <w:rsid w:val="4C1752E8"/>
    <w:rsid w:val="4C934A75"/>
    <w:rsid w:val="4CC44806"/>
    <w:rsid w:val="4CD01D68"/>
    <w:rsid w:val="4CD92F09"/>
    <w:rsid w:val="4CF43425"/>
    <w:rsid w:val="4D1421C5"/>
    <w:rsid w:val="4D243AAB"/>
    <w:rsid w:val="4D555C8B"/>
    <w:rsid w:val="4D6308F3"/>
    <w:rsid w:val="4D695962"/>
    <w:rsid w:val="4D6D1C95"/>
    <w:rsid w:val="4D826A23"/>
    <w:rsid w:val="4E066723"/>
    <w:rsid w:val="4E08517B"/>
    <w:rsid w:val="4E2234FC"/>
    <w:rsid w:val="4E27437C"/>
    <w:rsid w:val="4E911844"/>
    <w:rsid w:val="4EB3343D"/>
    <w:rsid w:val="4EBD5F65"/>
    <w:rsid w:val="4EF745D9"/>
    <w:rsid w:val="4F4B4713"/>
    <w:rsid w:val="4F4D6CEF"/>
    <w:rsid w:val="4F5D557B"/>
    <w:rsid w:val="4F6750D3"/>
    <w:rsid w:val="4F6D437D"/>
    <w:rsid w:val="4F8B4EB5"/>
    <w:rsid w:val="4F927265"/>
    <w:rsid w:val="504E4367"/>
    <w:rsid w:val="50885D57"/>
    <w:rsid w:val="50981E5C"/>
    <w:rsid w:val="50BF160A"/>
    <w:rsid w:val="510F685B"/>
    <w:rsid w:val="512B4E2E"/>
    <w:rsid w:val="513B2511"/>
    <w:rsid w:val="51A445C0"/>
    <w:rsid w:val="51A97276"/>
    <w:rsid w:val="52383444"/>
    <w:rsid w:val="52996089"/>
    <w:rsid w:val="52A706A9"/>
    <w:rsid w:val="52EA4358"/>
    <w:rsid w:val="531225F7"/>
    <w:rsid w:val="53320361"/>
    <w:rsid w:val="53642888"/>
    <w:rsid w:val="539A0E95"/>
    <w:rsid w:val="53B637A9"/>
    <w:rsid w:val="53B65D6E"/>
    <w:rsid w:val="53B91C07"/>
    <w:rsid w:val="544B4013"/>
    <w:rsid w:val="545676F1"/>
    <w:rsid w:val="546B0211"/>
    <w:rsid w:val="54947454"/>
    <w:rsid w:val="54B419FB"/>
    <w:rsid w:val="54BB52C5"/>
    <w:rsid w:val="54C22377"/>
    <w:rsid w:val="54C84207"/>
    <w:rsid w:val="54FB7F1E"/>
    <w:rsid w:val="5544780D"/>
    <w:rsid w:val="55477FC1"/>
    <w:rsid w:val="5579789F"/>
    <w:rsid w:val="55B856D8"/>
    <w:rsid w:val="55D624BF"/>
    <w:rsid w:val="55DB27AC"/>
    <w:rsid w:val="561D6382"/>
    <w:rsid w:val="5628091A"/>
    <w:rsid w:val="562D3258"/>
    <w:rsid w:val="56320B38"/>
    <w:rsid w:val="563B4985"/>
    <w:rsid w:val="56813D1C"/>
    <w:rsid w:val="56CC2EF8"/>
    <w:rsid w:val="56D553A9"/>
    <w:rsid w:val="56FA6E69"/>
    <w:rsid w:val="5727718D"/>
    <w:rsid w:val="57572801"/>
    <w:rsid w:val="577859F7"/>
    <w:rsid w:val="57CF7087"/>
    <w:rsid w:val="57EB259F"/>
    <w:rsid w:val="580A0881"/>
    <w:rsid w:val="58254B7B"/>
    <w:rsid w:val="58360A82"/>
    <w:rsid w:val="587B6449"/>
    <w:rsid w:val="587C3A91"/>
    <w:rsid w:val="58D00A02"/>
    <w:rsid w:val="58D520FD"/>
    <w:rsid w:val="592E2905"/>
    <w:rsid w:val="593764C8"/>
    <w:rsid w:val="59530390"/>
    <w:rsid w:val="59925604"/>
    <w:rsid w:val="59A36566"/>
    <w:rsid w:val="59C6543A"/>
    <w:rsid w:val="59E314E1"/>
    <w:rsid w:val="5A1751F0"/>
    <w:rsid w:val="5A8A796A"/>
    <w:rsid w:val="5ADF60F3"/>
    <w:rsid w:val="5B001E53"/>
    <w:rsid w:val="5B0D3E3C"/>
    <w:rsid w:val="5B1A53C6"/>
    <w:rsid w:val="5B2E4542"/>
    <w:rsid w:val="5B963814"/>
    <w:rsid w:val="5BAC7B28"/>
    <w:rsid w:val="5BB04D30"/>
    <w:rsid w:val="5C44058D"/>
    <w:rsid w:val="5C526290"/>
    <w:rsid w:val="5C5F0D33"/>
    <w:rsid w:val="5CAB11F3"/>
    <w:rsid w:val="5CBF1B3C"/>
    <w:rsid w:val="5CFB10A2"/>
    <w:rsid w:val="5D472C12"/>
    <w:rsid w:val="5DBF1736"/>
    <w:rsid w:val="5DDE32C3"/>
    <w:rsid w:val="5E257683"/>
    <w:rsid w:val="5E5717C3"/>
    <w:rsid w:val="5E690773"/>
    <w:rsid w:val="5E877A7D"/>
    <w:rsid w:val="5EC614D8"/>
    <w:rsid w:val="5F1A4CA9"/>
    <w:rsid w:val="5F3F4AC9"/>
    <w:rsid w:val="5F660F3F"/>
    <w:rsid w:val="5F7F60A4"/>
    <w:rsid w:val="5FCA30FF"/>
    <w:rsid w:val="5FDD22C1"/>
    <w:rsid w:val="600C4ED2"/>
    <w:rsid w:val="60341DFF"/>
    <w:rsid w:val="60456D6B"/>
    <w:rsid w:val="609C4318"/>
    <w:rsid w:val="60DF3930"/>
    <w:rsid w:val="60EB6A42"/>
    <w:rsid w:val="61025F9A"/>
    <w:rsid w:val="61132870"/>
    <w:rsid w:val="6116747B"/>
    <w:rsid w:val="61300818"/>
    <w:rsid w:val="61336898"/>
    <w:rsid w:val="61401063"/>
    <w:rsid w:val="61A73CE8"/>
    <w:rsid w:val="61AA6DA6"/>
    <w:rsid w:val="61C95A0F"/>
    <w:rsid w:val="622B0BAC"/>
    <w:rsid w:val="62A57383"/>
    <w:rsid w:val="62B527DB"/>
    <w:rsid w:val="62F14B14"/>
    <w:rsid w:val="63055F43"/>
    <w:rsid w:val="630C0E11"/>
    <w:rsid w:val="63296BD8"/>
    <w:rsid w:val="632B1E94"/>
    <w:rsid w:val="632E57EF"/>
    <w:rsid w:val="633701CE"/>
    <w:rsid w:val="63466D07"/>
    <w:rsid w:val="639808F7"/>
    <w:rsid w:val="63E97909"/>
    <w:rsid w:val="64263C05"/>
    <w:rsid w:val="64294480"/>
    <w:rsid w:val="64782246"/>
    <w:rsid w:val="647C570A"/>
    <w:rsid w:val="64B14FC1"/>
    <w:rsid w:val="64C52428"/>
    <w:rsid w:val="64E8140A"/>
    <w:rsid w:val="651E74F9"/>
    <w:rsid w:val="65CB0B10"/>
    <w:rsid w:val="65EA26BD"/>
    <w:rsid w:val="661B62C8"/>
    <w:rsid w:val="664E059A"/>
    <w:rsid w:val="66DF7FAC"/>
    <w:rsid w:val="66EC7942"/>
    <w:rsid w:val="670B0BA2"/>
    <w:rsid w:val="672032FF"/>
    <w:rsid w:val="67393EF5"/>
    <w:rsid w:val="678E212D"/>
    <w:rsid w:val="67AA6A75"/>
    <w:rsid w:val="67B11FEE"/>
    <w:rsid w:val="67B3300F"/>
    <w:rsid w:val="67CC6DC1"/>
    <w:rsid w:val="68000A1A"/>
    <w:rsid w:val="68185610"/>
    <w:rsid w:val="683416CD"/>
    <w:rsid w:val="683D2155"/>
    <w:rsid w:val="68704A27"/>
    <w:rsid w:val="688A7038"/>
    <w:rsid w:val="690976CF"/>
    <w:rsid w:val="691B6F1A"/>
    <w:rsid w:val="69431305"/>
    <w:rsid w:val="694B4C0D"/>
    <w:rsid w:val="69651A12"/>
    <w:rsid w:val="6974326C"/>
    <w:rsid w:val="69A26F6D"/>
    <w:rsid w:val="69BB32F2"/>
    <w:rsid w:val="69EA1150"/>
    <w:rsid w:val="69EC4F13"/>
    <w:rsid w:val="6A016CF4"/>
    <w:rsid w:val="6A0E5F3C"/>
    <w:rsid w:val="6A1A027C"/>
    <w:rsid w:val="6A4F103E"/>
    <w:rsid w:val="6A8F6601"/>
    <w:rsid w:val="6A9A27BB"/>
    <w:rsid w:val="6AB51D8E"/>
    <w:rsid w:val="6B0C7706"/>
    <w:rsid w:val="6B1B6095"/>
    <w:rsid w:val="6B6C28FE"/>
    <w:rsid w:val="6B8026C9"/>
    <w:rsid w:val="6B923E7E"/>
    <w:rsid w:val="6B9E0A74"/>
    <w:rsid w:val="6BA72C9D"/>
    <w:rsid w:val="6BD54DEF"/>
    <w:rsid w:val="6C044D7B"/>
    <w:rsid w:val="6C1B1B37"/>
    <w:rsid w:val="6C1F3963"/>
    <w:rsid w:val="6C5A2BED"/>
    <w:rsid w:val="6C845C4E"/>
    <w:rsid w:val="6D0222A2"/>
    <w:rsid w:val="6D251352"/>
    <w:rsid w:val="6D2938A8"/>
    <w:rsid w:val="6D4F0278"/>
    <w:rsid w:val="6D6001EC"/>
    <w:rsid w:val="6D613624"/>
    <w:rsid w:val="6DC55B94"/>
    <w:rsid w:val="6DD71A9B"/>
    <w:rsid w:val="6DE21FFF"/>
    <w:rsid w:val="6DF1085F"/>
    <w:rsid w:val="6E267403"/>
    <w:rsid w:val="6E6B580B"/>
    <w:rsid w:val="6EAB4F77"/>
    <w:rsid w:val="6EB24C6B"/>
    <w:rsid w:val="6ED443D0"/>
    <w:rsid w:val="6EDD5FA4"/>
    <w:rsid w:val="6F032A2F"/>
    <w:rsid w:val="6F2D534C"/>
    <w:rsid w:val="6F4638AE"/>
    <w:rsid w:val="6F4F3566"/>
    <w:rsid w:val="6F653D83"/>
    <w:rsid w:val="6F9E06E4"/>
    <w:rsid w:val="6FCD5FD7"/>
    <w:rsid w:val="7014426C"/>
    <w:rsid w:val="701C509C"/>
    <w:rsid w:val="70816354"/>
    <w:rsid w:val="70AC5BC0"/>
    <w:rsid w:val="70D311C0"/>
    <w:rsid w:val="70E32271"/>
    <w:rsid w:val="70F2774D"/>
    <w:rsid w:val="71031F5C"/>
    <w:rsid w:val="710903AB"/>
    <w:rsid w:val="711B59D1"/>
    <w:rsid w:val="71505C18"/>
    <w:rsid w:val="71570EDA"/>
    <w:rsid w:val="71792D3A"/>
    <w:rsid w:val="717E112C"/>
    <w:rsid w:val="719B73E5"/>
    <w:rsid w:val="71BB7720"/>
    <w:rsid w:val="71C35DEF"/>
    <w:rsid w:val="71C86E42"/>
    <w:rsid w:val="71CA504D"/>
    <w:rsid w:val="72345C8F"/>
    <w:rsid w:val="72B64B75"/>
    <w:rsid w:val="72D82ABE"/>
    <w:rsid w:val="72F45BD1"/>
    <w:rsid w:val="72F625E1"/>
    <w:rsid w:val="7318725C"/>
    <w:rsid w:val="73236BEB"/>
    <w:rsid w:val="733A5A8F"/>
    <w:rsid w:val="73611B96"/>
    <w:rsid w:val="737F2386"/>
    <w:rsid w:val="73944C37"/>
    <w:rsid w:val="73C75AC5"/>
    <w:rsid w:val="73CD0DC6"/>
    <w:rsid w:val="73CF0426"/>
    <w:rsid w:val="73D76192"/>
    <w:rsid w:val="741100B1"/>
    <w:rsid w:val="74261BA4"/>
    <w:rsid w:val="742D188E"/>
    <w:rsid w:val="74631066"/>
    <w:rsid w:val="74A75798"/>
    <w:rsid w:val="751A50CF"/>
    <w:rsid w:val="752D0CA5"/>
    <w:rsid w:val="755873D9"/>
    <w:rsid w:val="75E8126A"/>
    <w:rsid w:val="75F33D2B"/>
    <w:rsid w:val="75F53987"/>
    <w:rsid w:val="760C5540"/>
    <w:rsid w:val="760E1C9B"/>
    <w:rsid w:val="761622A3"/>
    <w:rsid w:val="762B237E"/>
    <w:rsid w:val="76342F98"/>
    <w:rsid w:val="765134FE"/>
    <w:rsid w:val="76520169"/>
    <w:rsid w:val="765C66BE"/>
    <w:rsid w:val="76850AE5"/>
    <w:rsid w:val="76B760AB"/>
    <w:rsid w:val="76D501AF"/>
    <w:rsid w:val="76F605C0"/>
    <w:rsid w:val="76F82A99"/>
    <w:rsid w:val="77494238"/>
    <w:rsid w:val="774A6F53"/>
    <w:rsid w:val="776C38C3"/>
    <w:rsid w:val="778C5F42"/>
    <w:rsid w:val="77975072"/>
    <w:rsid w:val="77B54B7B"/>
    <w:rsid w:val="77CD73FD"/>
    <w:rsid w:val="77F6065F"/>
    <w:rsid w:val="780D746C"/>
    <w:rsid w:val="782F2C9A"/>
    <w:rsid w:val="784C22F5"/>
    <w:rsid w:val="784D77A7"/>
    <w:rsid w:val="78760DAF"/>
    <w:rsid w:val="787E2228"/>
    <w:rsid w:val="78A3798C"/>
    <w:rsid w:val="79273753"/>
    <w:rsid w:val="79560EFA"/>
    <w:rsid w:val="79C2618F"/>
    <w:rsid w:val="79DB6C56"/>
    <w:rsid w:val="7A426EF4"/>
    <w:rsid w:val="7A5C6C08"/>
    <w:rsid w:val="7A736669"/>
    <w:rsid w:val="7A837928"/>
    <w:rsid w:val="7A911ED0"/>
    <w:rsid w:val="7AD102FF"/>
    <w:rsid w:val="7ADF2049"/>
    <w:rsid w:val="7AF366E7"/>
    <w:rsid w:val="7B260951"/>
    <w:rsid w:val="7B3A62FF"/>
    <w:rsid w:val="7B485D83"/>
    <w:rsid w:val="7B950000"/>
    <w:rsid w:val="7B9B540A"/>
    <w:rsid w:val="7BA571B0"/>
    <w:rsid w:val="7BE91FDA"/>
    <w:rsid w:val="7C0A460F"/>
    <w:rsid w:val="7C2C0CD2"/>
    <w:rsid w:val="7C2D6999"/>
    <w:rsid w:val="7C4249B0"/>
    <w:rsid w:val="7C491964"/>
    <w:rsid w:val="7C51399F"/>
    <w:rsid w:val="7C5D1037"/>
    <w:rsid w:val="7C7B0712"/>
    <w:rsid w:val="7CB15915"/>
    <w:rsid w:val="7CBE2D25"/>
    <w:rsid w:val="7CCE7338"/>
    <w:rsid w:val="7CFE1757"/>
    <w:rsid w:val="7D9A149C"/>
    <w:rsid w:val="7DE056DF"/>
    <w:rsid w:val="7DE727DC"/>
    <w:rsid w:val="7E167BC7"/>
    <w:rsid w:val="7E7538B7"/>
    <w:rsid w:val="7E7622AF"/>
    <w:rsid w:val="7E7727BA"/>
    <w:rsid w:val="7EAD578E"/>
    <w:rsid w:val="7F89227A"/>
    <w:rsid w:val="7FA7314A"/>
    <w:rsid w:val="7FBB4E71"/>
    <w:rsid w:val="7FC1082D"/>
    <w:rsid w:val="7FEF0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4"/>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4"/>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7"/>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8"/>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49"/>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0"/>
    <w:semiHidden/>
    <w:unhideWhenUsed/>
    <w:qFormat/>
    <w:uiPriority w:val="9"/>
    <w:pPr>
      <w:keepNext/>
      <w:keepLines/>
      <w:spacing w:before="240" w:after="64" w:line="320" w:lineRule="auto"/>
      <w:outlineLvl w:val="6"/>
    </w:pPr>
    <w:rPr>
      <w:b/>
      <w:bCs/>
      <w:sz w:val="24"/>
      <w:szCs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0" w:lineRule="atLeast"/>
    </w:pPr>
    <w:rPr>
      <w:rFonts w:ascii="Arial" w:hAnsi="Arial" w:eastAsia="隶书"/>
      <w:b/>
      <w:spacing w:val="-20"/>
      <w:sz w:val="52"/>
      <w:szCs w:val="20"/>
    </w:rPr>
  </w:style>
  <w:style w:type="paragraph" w:styleId="10">
    <w:name w:val="Body Text Indent"/>
    <w:basedOn w:val="1"/>
    <w:link w:val="37"/>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2"/>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6"/>
    <w:semiHidden/>
    <w:unhideWhenUsed/>
    <w:qFormat/>
    <w:uiPriority w:val="99"/>
    <w:pPr>
      <w:ind w:left="100" w:leftChars="2500"/>
    </w:pPr>
  </w:style>
  <w:style w:type="paragraph" w:styleId="13">
    <w:name w:val="Body Text Indent 2"/>
    <w:basedOn w:val="1"/>
    <w:unhideWhenUsed/>
    <w:qFormat/>
    <w:uiPriority w:val="99"/>
    <w:pPr>
      <w:tabs>
        <w:tab w:val="left" w:pos="540"/>
      </w:tabs>
      <w:spacing w:line="500" w:lineRule="exact"/>
      <w:ind w:firstLine="809" w:firstLineChars="337"/>
    </w:pPr>
    <w:rPr>
      <w:rFonts w:ascii="宋体" w:hAnsi="宋体"/>
      <w:position w:val="2"/>
      <w:sz w:val="24"/>
    </w:rPr>
  </w:style>
  <w:style w:type="paragraph" w:styleId="14">
    <w:name w:val="Balloon Text"/>
    <w:basedOn w:val="1"/>
    <w:link w:val="53"/>
    <w:semiHidden/>
    <w:unhideWhenUsed/>
    <w:qFormat/>
    <w:uiPriority w:val="99"/>
    <w:rPr>
      <w:sz w:val="18"/>
      <w:szCs w:val="18"/>
    </w:rPr>
  </w:style>
  <w:style w:type="paragraph" w:styleId="15">
    <w:name w:val="footer"/>
    <w:basedOn w:val="1"/>
    <w:link w:val="46"/>
    <w:unhideWhenUsed/>
    <w:qFormat/>
    <w:uiPriority w:val="99"/>
    <w:pPr>
      <w:tabs>
        <w:tab w:val="center" w:pos="4153"/>
        <w:tab w:val="right" w:pos="8306"/>
      </w:tabs>
      <w:snapToGrid w:val="0"/>
      <w:jc w:val="left"/>
    </w:pPr>
    <w:rPr>
      <w:sz w:val="18"/>
      <w:szCs w:val="18"/>
    </w:rPr>
  </w:style>
  <w:style w:type="paragraph" w:styleId="16">
    <w:name w:val="header"/>
    <w:basedOn w:val="1"/>
    <w:link w:val="4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8">
    <w:name w:val="toc 2"/>
    <w:basedOn w:val="1"/>
    <w:next w:val="1"/>
    <w:unhideWhenUsed/>
    <w:qFormat/>
    <w:uiPriority w:val="39"/>
    <w:pPr>
      <w:ind w:left="420" w:leftChars="200"/>
    </w:pPr>
  </w:style>
  <w:style w:type="paragraph" w:styleId="19">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0">
    <w:name w:val="Title"/>
    <w:basedOn w:val="1"/>
    <w:next w:val="1"/>
    <w:link w:val="35"/>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bCs/>
    </w:rPr>
  </w:style>
  <w:style w:type="character" w:styleId="25">
    <w:name w:val="Hyperlink"/>
    <w:basedOn w:val="23"/>
    <w:unhideWhenUsed/>
    <w:qFormat/>
    <w:uiPriority w:val="99"/>
    <w:rPr>
      <w:color w:val="0000FF" w:themeColor="hyperlink"/>
      <w:u w:val="single"/>
    </w:rPr>
  </w:style>
  <w:style w:type="character" w:customStyle="1" w:styleId="26">
    <w:name w:val="日期 Char"/>
    <w:basedOn w:val="23"/>
    <w:link w:val="12"/>
    <w:semiHidden/>
    <w:qFormat/>
    <w:uiPriority w:val="99"/>
    <w:rPr>
      <w:rFonts w:ascii="Times New Roman" w:hAnsi="Times New Roman" w:eastAsia="宋体" w:cs="Times New Roman"/>
      <w:sz w:val="28"/>
      <w:szCs w:val="20"/>
    </w:rPr>
  </w:style>
  <w:style w:type="paragraph" w:styleId="27">
    <w:name w:val="List Paragraph"/>
    <w:basedOn w:val="1"/>
    <w:link w:val="40"/>
    <w:qFormat/>
    <w:uiPriority w:val="0"/>
    <w:pPr>
      <w:ind w:firstLine="420" w:firstLineChars="200"/>
    </w:pPr>
  </w:style>
  <w:style w:type="paragraph" w:customStyle="1" w:styleId="28">
    <w:name w:val="正文 第一章"/>
    <w:basedOn w:val="1"/>
    <w:next w:val="29"/>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9">
    <w:name w:val="正文 1.1"/>
    <w:basedOn w:val="1"/>
    <w:next w:val="30"/>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0">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1">
    <w:name w:val="第四级"/>
    <w:basedOn w:val="1"/>
    <w:next w:val="32"/>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2">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3">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4">
    <w:name w:val="标题 1 Char"/>
    <w:basedOn w:val="23"/>
    <w:link w:val="3"/>
    <w:qFormat/>
    <w:uiPriority w:val="0"/>
    <w:rPr>
      <w:rFonts w:ascii="宋体" w:hAnsi="Arial" w:eastAsia="黑体" w:cs="Times New Roman"/>
      <w:b/>
      <w:bCs/>
      <w:color w:val="000000"/>
      <w:kern w:val="44"/>
      <w:sz w:val="36"/>
      <w:szCs w:val="32"/>
    </w:rPr>
  </w:style>
  <w:style w:type="character" w:customStyle="1" w:styleId="35">
    <w:name w:val="标题 Char"/>
    <w:basedOn w:val="23"/>
    <w:link w:val="20"/>
    <w:qFormat/>
    <w:uiPriority w:val="10"/>
    <w:rPr>
      <w:rFonts w:eastAsia="宋体" w:asciiTheme="majorHAnsi" w:hAnsiTheme="majorHAnsi" w:cstheme="majorBidi"/>
      <w:b/>
      <w:bCs/>
      <w:sz w:val="32"/>
      <w:szCs w:val="32"/>
    </w:rPr>
  </w:style>
  <w:style w:type="character" w:customStyle="1" w:styleId="36">
    <w:name w:val="标题 2 Char"/>
    <w:basedOn w:val="23"/>
    <w:link w:val="4"/>
    <w:semiHidden/>
    <w:qFormat/>
    <w:uiPriority w:val="9"/>
    <w:rPr>
      <w:rFonts w:asciiTheme="majorHAnsi" w:hAnsiTheme="majorHAnsi" w:eastAsiaTheme="majorEastAsia" w:cstheme="majorBidi"/>
      <w:b/>
      <w:bCs/>
      <w:sz w:val="32"/>
      <w:szCs w:val="32"/>
    </w:rPr>
  </w:style>
  <w:style w:type="character" w:customStyle="1" w:styleId="37">
    <w:name w:val="正文文本缩进 Char"/>
    <w:link w:val="10"/>
    <w:qFormat/>
    <w:locked/>
    <w:uiPriority w:val="0"/>
    <w:rPr>
      <w:rFonts w:ascii="宋体" w:hAnsi="Courier New" w:eastAsia="宋体"/>
      <w:spacing w:val="-4"/>
      <w:sz w:val="18"/>
    </w:rPr>
  </w:style>
  <w:style w:type="character" w:customStyle="1" w:styleId="38">
    <w:name w:val="正文文本缩进 Char1"/>
    <w:basedOn w:val="23"/>
    <w:semiHidden/>
    <w:qFormat/>
    <w:uiPriority w:val="99"/>
    <w:rPr>
      <w:rFonts w:ascii="Times New Roman" w:hAnsi="Times New Roman" w:eastAsia="宋体" w:cs="Times New Roman"/>
      <w:sz w:val="28"/>
      <w:szCs w:val="20"/>
    </w:rPr>
  </w:style>
  <w:style w:type="character" w:customStyle="1" w:styleId="39">
    <w:name w:val="标题 3 Char"/>
    <w:qFormat/>
    <w:uiPriority w:val="0"/>
    <w:rPr>
      <w:rFonts w:eastAsia="宋体"/>
      <w:b/>
      <w:bCs/>
      <w:kern w:val="2"/>
      <w:sz w:val="32"/>
      <w:szCs w:val="32"/>
      <w:lang w:val="en-US" w:eastAsia="zh-CN" w:bidi="ar-SA"/>
    </w:rPr>
  </w:style>
  <w:style w:type="character" w:customStyle="1" w:styleId="40">
    <w:name w:val="列出段落 Char"/>
    <w:link w:val="27"/>
    <w:qFormat/>
    <w:locked/>
    <w:uiPriority w:val="0"/>
    <w:rPr>
      <w:rFonts w:ascii="Times New Roman" w:hAnsi="Times New Roman" w:eastAsia="宋体" w:cs="Times New Roman"/>
      <w:sz w:val="28"/>
      <w:szCs w:val="20"/>
    </w:rPr>
  </w:style>
  <w:style w:type="character" w:customStyle="1" w:styleId="41">
    <w:name w:val="正文 第五章 中间"/>
    <w:qFormat/>
    <w:uiPriority w:val="0"/>
    <w:rPr>
      <w:b/>
      <w:bCs/>
      <w:color w:val="000000"/>
      <w:sz w:val="32"/>
    </w:rPr>
  </w:style>
  <w:style w:type="character" w:customStyle="1" w:styleId="42">
    <w:name w:val="纯文本 Char1"/>
    <w:link w:val="11"/>
    <w:qFormat/>
    <w:uiPriority w:val="0"/>
    <w:rPr>
      <w:rFonts w:ascii="宋体" w:hAnsi="Courier New" w:eastAsia="宋体"/>
      <w:sz w:val="24"/>
    </w:rPr>
  </w:style>
  <w:style w:type="character" w:customStyle="1" w:styleId="43">
    <w:name w:val="纯文本 Char"/>
    <w:basedOn w:val="23"/>
    <w:semiHidden/>
    <w:qFormat/>
    <w:uiPriority w:val="99"/>
    <w:rPr>
      <w:rFonts w:ascii="宋体" w:hAnsi="Courier New" w:eastAsia="宋体" w:cs="Courier New"/>
      <w:szCs w:val="21"/>
    </w:rPr>
  </w:style>
  <w:style w:type="character" w:customStyle="1" w:styleId="44">
    <w:name w:val="标题 3 Char1"/>
    <w:basedOn w:val="23"/>
    <w:link w:val="5"/>
    <w:semiHidden/>
    <w:qFormat/>
    <w:uiPriority w:val="9"/>
    <w:rPr>
      <w:rFonts w:ascii="Times New Roman" w:hAnsi="Times New Roman" w:eastAsia="宋体" w:cs="Times New Roman"/>
      <w:b/>
      <w:bCs/>
      <w:sz w:val="32"/>
      <w:szCs w:val="32"/>
    </w:rPr>
  </w:style>
  <w:style w:type="character" w:customStyle="1" w:styleId="45">
    <w:name w:val="页眉 Char"/>
    <w:basedOn w:val="23"/>
    <w:link w:val="16"/>
    <w:semiHidden/>
    <w:qFormat/>
    <w:uiPriority w:val="99"/>
    <w:rPr>
      <w:rFonts w:ascii="Times New Roman" w:hAnsi="Times New Roman" w:eastAsia="宋体" w:cs="Times New Roman"/>
      <w:sz w:val="18"/>
      <w:szCs w:val="18"/>
    </w:rPr>
  </w:style>
  <w:style w:type="character" w:customStyle="1" w:styleId="46">
    <w:name w:val="页脚 Char"/>
    <w:basedOn w:val="23"/>
    <w:link w:val="15"/>
    <w:qFormat/>
    <w:uiPriority w:val="99"/>
    <w:rPr>
      <w:rFonts w:ascii="Times New Roman" w:hAnsi="Times New Roman" w:eastAsia="宋体" w:cs="Times New Roman"/>
      <w:sz w:val="18"/>
      <w:szCs w:val="18"/>
    </w:rPr>
  </w:style>
  <w:style w:type="character" w:customStyle="1" w:styleId="47">
    <w:name w:val="标题 4 Char"/>
    <w:basedOn w:val="23"/>
    <w:link w:val="6"/>
    <w:semiHidden/>
    <w:qFormat/>
    <w:uiPriority w:val="9"/>
    <w:rPr>
      <w:rFonts w:asciiTheme="majorHAnsi" w:hAnsiTheme="majorHAnsi" w:eastAsiaTheme="majorEastAsia" w:cstheme="majorBidi"/>
      <w:b/>
      <w:bCs/>
      <w:sz w:val="28"/>
      <w:szCs w:val="28"/>
    </w:rPr>
  </w:style>
  <w:style w:type="character" w:customStyle="1" w:styleId="48">
    <w:name w:val="标题 5 Char"/>
    <w:basedOn w:val="23"/>
    <w:link w:val="7"/>
    <w:semiHidden/>
    <w:qFormat/>
    <w:uiPriority w:val="9"/>
    <w:rPr>
      <w:rFonts w:ascii="Times New Roman" w:hAnsi="Times New Roman" w:eastAsia="宋体" w:cs="Times New Roman"/>
      <w:b/>
      <w:bCs/>
      <w:sz w:val="28"/>
      <w:szCs w:val="28"/>
    </w:rPr>
  </w:style>
  <w:style w:type="character" w:customStyle="1" w:styleId="49">
    <w:name w:val="标题 6 Char"/>
    <w:basedOn w:val="23"/>
    <w:link w:val="8"/>
    <w:semiHidden/>
    <w:qFormat/>
    <w:uiPriority w:val="9"/>
    <w:rPr>
      <w:rFonts w:asciiTheme="majorHAnsi" w:hAnsiTheme="majorHAnsi" w:eastAsiaTheme="majorEastAsia" w:cstheme="majorBidi"/>
      <w:b/>
      <w:bCs/>
      <w:sz w:val="24"/>
      <w:szCs w:val="24"/>
    </w:rPr>
  </w:style>
  <w:style w:type="character" w:customStyle="1" w:styleId="50">
    <w:name w:val="标题 7 Char"/>
    <w:basedOn w:val="23"/>
    <w:link w:val="9"/>
    <w:semiHidden/>
    <w:qFormat/>
    <w:uiPriority w:val="9"/>
    <w:rPr>
      <w:rFonts w:ascii="Times New Roman" w:hAnsi="Times New Roman" w:eastAsia="宋体" w:cs="Times New Roman"/>
      <w:b/>
      <w:bCs/>
      <w:sz w:val="24"/>
      <w:szCs w:val="24"/>
    </w:rPr>
  </w:style>
  <w:style w:type="paragraph" w:customStyle="1" w:styleId="51">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2">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3">
    <w:name w:val="批注框文本 Char"/>
    <w:basedOn w:val="23"/>
    <w:link w:val="14"/>
    <w:semiHidden/>
    <w:qFormat/>
    <w:uiPriority w:val="99"/>
    <w:rPr>
      <w:rFonts w:ascii="Times New Roman" w:hAnsi="Times New Roman" w:eastAsia="宋体" w:cs="Times New Roman"/>
      <w:sz w:val="18"/>
      <w:szCs w:val="18"/>
    </w:rPr>
  </w:style>
  <w:style w:type="paragraph" w:customStyle="1" w:styleId="54">
    <w:name w:val="引用1"/>
    <w:basedOn w:val="1"/>
    <w:next w:val="1"/>
    <w:qFormat/>
    <w:uiPriority w:val="0"/>
    <w:pPr>
      <w:spacing w:line="320" w:lineRule="exact"/>
      <w:jc w:val="center"/>
    </w:pPr>
    <w:rPr>
      <w:rFonts w:ascii="仿宋_GB2312" w:eastAsia="仿宋_GB2312"/>
      <w:iCs/>
      <w:color w:val="000000"/>
      <w:szCs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45</Pages>
  <Words>3952</Words>
  <Characters>22527</Characters>
  <Lines>187</Lines>
  <Paragraphs>52</Paragraphs>
  <TotalTime>53</TotalTime>
  <ScaleCrop>false</ScaleCrop>
  <LinksUpToDate>false</LinksUpToDate>
  <CharactersWithSpaces>26427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WPS_1591229444</cp:lastModifiedBy>
  <cp:lastPrinted>2019-06-10T01:13:00Z</cp:lastPrinted>
  <dcterms:modified xsi:type="dcterms:W3CDTF">2021-12-28T03:06:16Z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546492E9644C4A108178BCC3F3B75FDC</vt:lpwstr>
  </property>
</Properties>
</file>