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42</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皖南医学院赭麓校区食堂综合楼三层修缮工程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7</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ascii="宋体" w:hAnsi="宋体" w:eastAsia="宋体" w:cs="宋体"/>
        </w:rPr>
        <w:t>磋</w:t>
      </w:r>
      <w:r>
        <w:rPr>
          <w:rStyle w:val="32"/>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赭麓校区食堂综合楼三层修缮工程项目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赭麓校区食堂综合楼三层修缮工程项目</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2023042</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597584.85</w:t>
      </w:r>
      <w:bookmarkStart w:id="154" w:name="_GoBack"/>
      <w:bookmarkEnd w:id="154"/>
      <w:r>
        <w:rPr>
          <w:rFonts w:hint="eastAsia" w:ascii="仿宋_GB2312" w:eastAsia="仿宋_GB2312" w:cs="宋体"/>
          <w:sz w:val="24"/>
          <w:szCs w:val="24"/>
          <w:lang w:val="en-US" w:eastAsia="zh-CN"/>
        </w:rPr>
        <w:t>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1.具有独立法人资格，具有独立承担民事责任的能力。</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2.具有建筑工程施工总承包三级及以上资质，或建筑装修装饰工程专业承包二级及以上企业。投标单位相关资质须是建设行政主管部门核发的，且经年检合格。</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3.具有良好的商业信誉和优良的售后服务，在近三年的经营活动中没有不良记录。</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（4）本项目不接受联合体投标</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19</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25</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赭麓校区食堂综合楼三层修缮工程项目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2023042</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8</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8</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14"/>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因学校要求，校外人员进校需扫码登记。请各投标单位如实填写，并于2023年</w:t>
      </w:r>
      <w:r>
        <w:rPr>
          <w:rFonts w:hint="eastAsia" w:hAnsi="仿宋_GB2312" w:cs="仿宋_GB2312"/>
          <w:i w:val="0"/>
          <w:iCs w:val="0"/>
          <w:caps w:val="0"/>
          <w:color w:val="333333"/>
          <w:spacing w:val="0"/>
          <w:sz w:val="28"/>
          <w:szCs w:val="28"/>
          <w:shd w:val="clear" w:fill="FFFFFF"/>
          <w:lang w:val="en-US" w:eastAsia="zh-CN"/>
        </w:rPr>
        <w:t>7</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31</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4"/>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19</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3"/>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仿宋_GB2312" w:eastAsia="仿宋_GB2312" w:cs="宋体"/>
                <w:sz w:val="24"/>
                <w:szCs w:val="24"/>
                <w:lang w:val="en-US" w:eastAsia="zh-CN"/>
              </w:rPr>
              <w:t>赭麓校区食堂综合楼三层修缮工程项目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7"/>
              <w:ind w:left="0" w:leftChars="0" w:firstLine="0" w:firstLineChars="0"/>
              <w:rPr>
                <w:rFonts w:hint="default"/>
                <w:lang w:val="en-US" w:eastAsia="zh-CN"/>
              </w:rPr>
            </w:pPr>
            <w:r>
              <w:rPr>
                <w:rFonts w:hint="eastAsia"/>
                <w:b/>
                <w:bCs/>
                <w:sz w:val="21"/>
                <w:szCs w:val="21"/>
                <w:lang w:val="en-US" w:eastAsia="zh-CN"/>
              </w:rPr>
              <w:t>踏勘联系人：郑老师 ；自主踏勘。踏勘联系方式：0553-3932415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11000元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7"/>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6938519"/>
      <w:bookmarkStart w:id="4" w:name="_Toc513029203"/>
      <w:bookmarkStart w:id="5" w:name="_Toc20823275"/>
      <w:bookmarkStart w:id="6" w:name="_Toc403987205"/>
      <w:bookmarkStart w:id="7" w:name="_Toc120614214"/>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513029204"/>
      <w:bookmarkStart w:id="10" w:name="_Toc16938520"/>
      <w:bookmarkStart w:id="11" w:name="_Toc20823276"/>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513029205"/>
      <w:bookmarkStart w:id="13" w:name="_Toc16938521"/>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0"/>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40"/>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513029207"/>
      <w:bookmarkStart w:id="19" w:name="_Toc20823279"/>
      <w:bookmarkStart w:id="20" w:name="_Toc16938523"/>
      <w:bookmarkStart w:id="21" w:name="_Toc462564067"/>
      <w:r>
        <w:rPr>
          <w:rFonts w:hint="eastAsia" w:ascii="宋体" w:hAnsi="宋体" w:cs="宋体"/>
          <w:sz w:val="24"/>
          <w:szCs w:val="24"/>
        </w:rPr>
        <w:t>5.磋商费用</w:t>
      </w:r>
      <w:bookmarkEnd w:id="18"/>
      <w:bookmarkEnd w:id="19"/>
      <w:bookmarkEnd w:id="20"/>
      <w:bookmarkEnd w:id="21"/>
    </w:p>
    <w:p>
      <w:pPr>
        <w:pStyle w:val="40"/>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0"/>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403987206"/>
      <w:bookmarkStart w:id="23" w:name="_Toc120614215"/>
      <w:bookmarkStart w:id="24" w:name="_Toc20823281"/>
      <w:bookmarkStart w:id="25" w:name="_Toc513029209"/>
      <w:bookmarkStart w:id="26" w:name="_Toc16938525"/>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16938526"/>
      <w:bookmarkStart w:id="29" w:name="_Toc20823282"/>
      <w:r>
        <w:rPr>
          <w:rFonts w:hint="eastAsia" w:ascii="宋体" w:hAnsi="宋体" w:cs="宋体"/>
          <w:sz w:val="24"/>
          <w:szCs w:val="24"/>
        </w:rPr>
        <w:t>1.磋商文件构成</w:t>
      </w:r>
      <w:bookmarkEnd w:id="27"/>
      <w:bookmarkEnd w:id="28"/>
      <w:bookmarkEnd w:id="29"/>
    </w:p>
    <w:p>
      <w:pPr>
        <w:pStyle w:val="40"/>
        <w:snapToGrid w:val="0"/>
        <w:rPr>
          <w:rFonts w:hint="eastAsia" w:hAnsi="宋体" w:eastAsia="宋体"/>
          <w:sz w:val="24"/>
          <w:szCs w:val="24"/>
        </w:rPr>
      </w:pPr>
      <w:r>
        <w:rPr>
          <w:rFonts w:hint="eastAsia" w:hAnsi="宋体" w:eastAsia="宋体"/>
          <w:sz w:val="24"/>
          <w:szCs w:val="24"/>
        </w:rPr>
        <w:t>磋商文件有以下部分组成：</w:t>
      </w:r>
    </w:p>
    <w:p>
      <w:pPr>
        <w:pStyle w:val="40"/>
        <w:snapToGrid w:val="0"/>
        <w:rPr>
          <w:rFonts w:hint="eastAsia" w:hAnsi="宋体" w:eastAsia="宋体"/>
          <w:sz w:val="24"/>
          <w:szCs w:val="24"/>
        </w:rPr>
      </w:pPr>
      <w:r>
        <w:rPr>
          <w:rFonts w:hint="eastAsia" w:hAnsi="宋体" w:eastAsia="宋体"/>
          <w:sz w:val="24"/>
          <w:szCs w:val="24"/>
        </w:rPr>
        <w:t>（1）磋商公告</w:t>
      </w:r>
    </w:p>
    <w:p>
      <w:pPr>
        <w:pStyle w:val="40"/>
        <w:snapToGrid w:val="0"/>
        <w:rPr>
          <w:rFonts w:hint="eastAsia" w:hAnsi="宋体" w:eastAsia="宋体"/>
          <w:sz w:val="24"/>
          <w:szCs w:val="24"/>
        </w:rPr>
      </w:pPr>
      <w:r>
        <w:rPr>
          <w:rFonts w:hint="eastAsia" w:hAnsi="宋体" w:eastAsia="宋体"/>
          <w:sz w:val="24"/>
          <w:szCs w:val="24"/>
        </w:rPr>
        <w:t>（2）磋商须知前附表</w:t>
      </w:r>
    </w:p>
    <w:p>
      <w:pPr>
        <w:pStyle w:val="40"/>
        <w:snapToGrid w:val="0"/>
        <w:rPr>
          <w:rFonts w:hint="eastAsia" w:hAnsi="宋体" w:eastAsia="宋体"/>
          <w:sz w:val="24"/>
          <w:szCs w:val="24"/>
        </w:rPr>
      </w:pPr>
      <w:r>
        <w:rPr>
          <w:rFonts w:hint="eastAsia" w:hAnsi="宋体" w:eastAsia="宋体"/>
          <w:sz w:val="24"/>
          <w:szCs w:val="24"/>
        </w:rPr>
        <w:t>（3）磋商须知</w:t>
      </w:r>
    </w:p>
    <w:p>
      <w:pPr>
        <w:pStyle w:val="40"/>
        <w:snapToGrid w:val="0"/>
        <w:rPr>
          <w:rFonts w:hint="eastAsia" w:hAnsi="宋体" w:eastAsia="宋体"/>
          <w:sz w:val="24"/>
          <w:szCs w:val="24"/>
        </w:rPr>
      </w:pPr>
      <w:r>
        <w:rPr>
          <w:rFonts w:hint="eastAsia" w:hAnsi="宋体" w:eastAsia="宋体"/>
          <w:sz w:val="24"/>
          <w:szCs w:val="24"/>
        </w:rPr>
        <w:t>（4）合同主要条款</w:t>
      </w:r>
    </w:p>
    <w:p>
      <w:pPr>
        <w:pStyle w:val="40"/>
        <w:snapToGrid w:val="0"/>
        <w:rPr>
          <w:rFonts w:hint="eastAsia" w:hAnsi="宋体" w:eastAsia="宋体"/>
          <w:sz w:val="24"/>
          <w:szCs w:val="24"/>
        </w:rPr>
      </w:pPr>
      <w:r>
        <w:rPr>
          <w:rFonts w:hint="eastAsia" w:hAnsi="宋体" w:eastAsia="宋体"/>
          <w:sz w:val="24"/>
          <w:szCs w:val="24"/>
        </w:rPr>
        <w:t>（5）项目需求</w:t>
      </w:r>
    </w:p>
    <w:p>
      <w:pPr>
        <w:pStyle w:val="40"/>
        <w:snapToGrid w:val="0"/>
        <w:rPr>
          <w:rFonts w:hint="eastAsia" w:hAnsi="宋体" w:eastAsia="宋体"/>
          <w:sz w:val="24"/>
          <w:szCs w:val="24"/>
        </w:rPr>
      </w:pPr>
      <w:r>
        <w:rPr>
          <w:rFonts w:hint="eastAsia" w:hAnsi="宋体" w:eastAsia="宋体"/>
          <w:sz w:val="24"/>
          <w:szCs w:val="24"/>
        </w:rPr>
        <w:t>（6）评审标准</w:t>
      </w:r>
    </w:p>
    <w:p>
      <w:pPr>
        <w:pStyle w:val="40"/>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16938527"/>
      <w:bookmarkStart w:id="31" w:name="_Toc20823283"/>
      <w:bookmarkStart w:id="32" w:name="_Toc462564070"/>
      <w:bookmarkStart w:id="33" w:name="_Toc513029211"/>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16938529"/>
      <w:bookmarkStart w:id="35" w:name="_Toc462564072"/>
      <w:bookmarkStart w:id="36" w:name="_Toc20823285"/>
      <w:bookmarkStart w:id="37" w:name="_Toc403987207"/>
      <w:bookmarkStart w:id="38" w:name="_Toc513029213"/>
      <w:bookmarkStart w:id="39" w:name="_Toc120614216"/>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20823286"/>
      <w:bookmarkStart w:id="42" w:name="_Toc513029214"/>
      <w:bookmarkStart w:id="43" w:name="_Toc16938530"/>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0"/>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513029215"/>
      <w:bookmarkStart w:id="46" w:name="_Toc20823287"/>
      <w:bookmarkStart w:id="47" w:name="_Toc462564074"/>
      <w:bookmarkStart w:id="48" w:name="_Toc16938531"/>
      <w:r>
        <w:rPr>
          <w:rFonts w:hint="eastAsia" w:ascii="宋体" w:hAnsi="宋体" w:cs="宋体"/>
          <w:sz w:val="24"/>
          <w:szCs w:val="24"/>
        </w:rPr>
        <w:t>4.响应文件构成</w:t>
      </w:r>
      <w:bookmarkEnd w:id="45"/>
      <w:bookmarkEnd w:id="46"/>
      <w:bookmarkEnd w:id="47"/>
      <w:bookmarkEnd w:id="48"/>
    </w:p>
    <w:p>
      <w:pPr>
        <w:pStyle w:val="40"/>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14577354"/>
      <w:bookmarkStart w:id="56" w:name="_Toc49090507"/>
      <w:bookmarkStart w:id="57" w:name="_Toc513029216"/>
      <w:r>
        <w:rPr>
          <w:rFonts w:hint="eastAsia" w:ascii="宋体" w:hAnsi="宋体" w:cs="宋体"/>
          <w:sz w:val="24"/>
          <w:szCs w:val="24"/>
        </w:rPr>
        <w:t>5.证明供应商资格及符合磋商文件规定的文件</w:t>
      </w:r>
      <w:bookmarkEnd w:id="52"/>
      <w:bookmarkEnd w:id="53"/>
      <w:bookmarkEnd w:id="54"/>
    </w:p>
    <w:p>
      <w:pPr>
        <w:pStyle w:val="40"/>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0"/>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0"/>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0"/>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6"/>
      <w:bookmarkEnd w:id="63"/>
      <w:bookmarkStart w:id="64" w:name="_Hlt26954739"/>
      <w:bookmarkEnd w:id="64"/>
      <w:bookmarkStart w:id="65" w:name="_Hlt26954846"/>
      <w:bookmarkEnd w:id="65"/>
      <w:bookmarkStart w:id="66" w:name="_Hlt26954848"/>
      <w:bookmarkEnd w:id="66"/>
      <w:bookmarkStart w:id="67" w:name="_Hlt26954731"/>
      <w:bookmarkEnd w:id="67"/>
      <w:bookmarkStart w:id="68" w:name="_Hlt26670482"/>
      <w:bookmarkEnd w:id="68"/>
      <w:bookmarkStart w:id="69" w:name="_Hlt26954852"/>
      <w:bookmarkEnd w:id="69"/>
      <w:bookmarkStart w:id="70" w:name="_Toc14577361"/>
      <w:bookmarkStart w:id="71" w:name="_Toc49090512"/>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0"/>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20614217"/>
      <w:bookmarkStart w:id="73" w:name="_Toc513029224"/>
      <w:bookmarkStart w:id="74" w:name="_Toc403987208"/>
      <w:bookmarkStart w:id="75" w:name="_Toc16938540"/>
      <w:bookmarkStart w:id="76" w:name="_Toc20823296"/>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462564084"/>
      <w:bookmarkStart w:id="79" w:name="_Toc20823297"/>
      <w:bookmarkStart w:id="80" w:name="_Toc16938541"/>
      <w:r>
        <w:rPr>
          <w:rFonts w:hint="eastAsia" w:ascii="宋体" w:hAnsi="宋体" w:cs="宋体"/>
          <w:sz w:val="24"/>
          <w:szCs w:val="24"/>
        </w:rPr>
        <w:t>1.响应文件的密封和标记</w:t>
      </w:r>
      <w:bookmarkEnd w:id="77"/>
      <w:bookmarkEnd w:id="78"/>
      <w:bookmarkEnd w:id="79"/>
      <w:bookmarkEnd w:id="80"/>
    </w:p>
    <w:p>
      <w:pPr>
        <w:pStyle w:val="40"/>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int="eastAsia" w:hAnsi="宋体" w:eastAsia="宋体"/>
          <w:sz w:val="24"/>
          <w:szCs w:val="24"/>
        </w:rPr>
      </w:pPr>
      <w:r>
        <w:rPr>
          <w:rFonts w:hint="eastAsia" w:hAnsi="宋体" w:eastAsia="宋体"/>
          <w:sz w:val="24"/>
          <w:szCs w:val="24"/>
        </w:rPr>
        <w:t>（2）密封的响应文件应：</w:t>
      </w:r>
    </w:p>
    <w:p>
      <w:pPr>
        <w:pStyle w:val="40"/>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int="eastAsia" w:hAnsi="宋体" w:eastAsia="宋体"/>
          <w:sz w:val="24"/>
          <w:szCs w:val="24"/>
        </w:rPr>
      </w:pPr>
      <w:r>
        <w:rPr>
          <w:rFonts w:hint="eastAsia" w:hAnsi="宋体" w:eastAsia="宋体"/>
          <w:sz w:val="24"/>
          <w:szCs w:val="24"/>
        </w:rPr>
        <w:t>2）注明磋商项目名称、项目编号。</w:t>
      </w:r>
    </w:p>
    <w:p>
      <w:pPr>
        <w:pStyle w:val="40"/>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16938542"/>
      <w:bookmarkStart w:id="82" w:name="_Toc513029226"/>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0"/>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0"/>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20823303"/>
      <w:bookmarkStart w:id="85" w:name="_Toc513029231"/>
      <w:bookmarkStart w:id="86" w:name="_Toc16938547"/>
      <w:r>
        <w:rPr>
          <w:rFonts w:hint="eastAsia" w:ascii="宋体" w:hAnsi="宋体" w:cs="宋体"/>
          <w:sz w:val="24"/>
          <w:szCs w:val="24"/>
        </w:rPr>
        <w:t>2.磋商小组</w:t>
      </w:r>
    </w:p>
    <w:p>
      <w:pPr>
        <w:pStyle w:val="40"/>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20823304"/>
      <w:bookmarkStart w:id="88" w:name="_Toc513029232"/>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0"/>
        <w:snapToGrid w:val="0"/>
        <w:rPr>
          <w:rFonts w:hint="eastAsia" w:hAnsi="宋体" w:eastAsia="宋体"/>
          <w:sz w:val="24"/>
          <w:szCs w:val="24"/>
        </w:rPr>
      </w:pPr>
      <w:bookmarkStart w:id="93" w:name="_Toc16938551"/>
      <w:bookmarkStart w:id="94" w:name="_Toc20823307"/>
      <w:bookmarkStart w:id="95" w:name="_Toc513029235"/>
      <w:r>
        <w:rPr>
          <w:rFonts w:hint="eastAsia" w:hAnsi="宋体" w:eastAsia="宋体"/>
          <w:sz w:val="24"/>
          <w:szCs w:val="24"/>
        </w:rPr>
        <w:t>（1）响应无效条款</w:t>
      </w:r>
    </w:p>
    <w:p>
      <w:pPr>
        <w:pStyle w:val="37"/>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7"/>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7"/>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20823309"/>
      <w:bookmarkStart w:id="104" w:name="_Toc513029237"/>
      <w:bookmarkStart w:id="105" w:name="_Toc16938553"/>
      <w:r>
        <w:rPr>
          <w:rFonts w:hint="eastAsia" w:ascii="宋体" w:hAnsi="宋体" w:cs="宋体"/>
          <w:sz w:val="24"/>
          <w:szCs w:val="24"/>
        </w:rPr>
        <w:t>1.签订合同</w:t>
      </w:r>
    </w:p>
    <w:p>
      <w:pPr>
        <w:pStyle w:val="40"/>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0"/>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0"/>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0"/>
        <w:snapToGrid w:val="0"/>
        <w:ind w:left="0" w:leftChars="0" w:right="280" w:rightChars="100" w:firstLine="0" w:firstLineChars="0"/>
        <w:rPr>
          <w:rFonts w:ascii="仿宋_GB2312" w:hAnsi="宋体" w:eastAsia="仿宋_GB2312"/>
          <w:bCs/>
          <w:szCs w:val="28"/>
        </w:rPr>
      </w:pPr>
    </w:p>
    <w:p>
      <w:pPr>
        <w:pStyle w:val="3"/>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赭麓校区食堂综合楼三层修缮工程项目施工合同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皖南医学院赭麓校区食堂综合楼三层修缮</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皖南医学院赭麓校区食堂综合楼三层修缮工程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赭麓校区食堂综合楼三层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）及《后勤管理处基建维修工程变更签证管理规定（修订）》（后勤〔2022〕002号）文件执行。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80</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r>
        <w:rPr>
          <w:rFonts w:hint="eastAsia" w:ascii="宋体" w:hAnsi="宋体" w:eastAsia="宋体" w:cs="宋体"/>
          <w:sz w:val="28"/>
          <w:szCs w:val="28"/>
          <w:lang w:val="en-US" w:eastAsia="zh-CN"/>
        </w:rPr>
        <w:t>详</w:t>
      </w:r>
      <w:r>
        <w:rPr>
          <w:rFonts w:hint="eastAsia" w:ascii="宋体" w:hAnsi="宋体" w:eastAsia="宋体" w:cs="宋体"/>
          <w:sz w:val="28"/>
          <w:szCs w:val="28"/>
        </w:rPr>
        <w:t>见</w:t>
      </w:r>
      <w:r>
        <w:rPr>
          <w:rFonts w:hint="eastAsia" w:ascii="宋体" w:hAnsi="宋体" w:eastAsia="宋体" w:cs="宋体"/>
          <w:sz w:val="28"/>
          <w:szCs w:val="28"/>
          <w:lang w:val="en-US" w:eastAsia="zh-CN"/>
        </w:rPr>
        <w:t>技术要求</w:t>
      </w:r>
      <w:r>
        <w:rPr>
          <w:rFonts w:hint="eastAsia" w:ascii="宋体" w:hAnsi="宋体" w:eastAsia="宋体" w:cs="宋体"/>
          <w:sz w:val="28"/>
          <w:szCs w:val="28"/>
        </w:rPr>
        <w:t>）。</w:t>
      </w:r>
    </w:p>
    <w:tbl>
      <w:tblPr>
        <w:tblStyle w:val="29"/>
        <w:tblW w:w="4998" w:type="pct"/>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2020"/>
        <w:gridCol w:w="1672"/>
        <w:gridCol w:w="2759"/>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序号</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材料名称</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规格型号</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品牌范围</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1</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内外墙及天棚涂料</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底漆、面漆</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多乐士、立邦、嘉宝莉、华润、三棵树</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2</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电线、电缆</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鑫鸿、江苏上上、金貂</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3</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阻燃强、弱电管</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伟星、华亚、金德</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4</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开关、插座</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正泰、西门子、TCL、鸿雁</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5</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配电箱柜及空气开关、漏电保护开关等全部电器元件</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德力西、正泰、常熟开关</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6</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灯具</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欧普、飞利浦、雷士（非旗下）</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7</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PVC卷材地板</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LG Hausys、洁福（Gerflor）、阿姆斯壮（Armstrong）</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8</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给排水管</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伟星、华亚、金德</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配件与管材同品牌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9</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瓷砖</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东鹏、蒙娜丽莎、马可菠萝、鹰牌</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8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10</w:t>
            </w:r>
          </w:p>
        </w:tc>
        <w:tc>
          <w:tcPr>
            <w:tcW w:w="1185"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深照型灯及LED球场灯、投光灯光源</w:t>
            </w:r>
          </w:p>
        </w:tc>
        <w:tc>
          <w:tcPr>
            <w:tcW w:w="98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1619"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欧司朗、科锐、飞利浦、玛斯柯</w:t>
            </w:r>
          </w:p>
        </w:tc>
        <w:tc>
          <w:tcPr>
            <w:tcW w:w="731"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灯具制造商原件证明</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36</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元/天进行扣款，1万元封顶。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捌</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伍</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叁</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hint="eastAsia" w:ascii="宋体" w:hAnsi="宋体" w:eastAsia="宋体" w:cs="宋体"/>
          <w:sz w:val="28"/>
          <w:szCs w:val="28"/>
        </w:rPr>
      </w:pPr>
    </w:p>
    <w:p>
      <w:pPr>
        <w:spacing w:line="360" w:lineRule="auto"/>
        <w:ind w:firstLine="560" w:firstLineChars="200"/>
        <w:rPr>
          <w:rFonts w:ascii="宋体" w:hAnsi="宋体" w:eastAsia="宋体" w:cs="宋体"/>
          <w:sz w:val="28"/>
          <w:szCs w:val="28"/>
        </w:rPr>
      </w:pPr>
    </w:p>
    <w:tbl>
      <w:tblPr>
        <w:tblStyle w:val="28"/>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21"/>
        <w:rPr>
          <w:rFonts w:hint="eastAsia"/>
        </w:rPr>
      </w:pPr>
    </w:p>
    <w:p>
      <w:pPr>
        <w:pStyle w:val="21"/>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3"/>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9" w:name="_Toc49763003"/>
      <w:r>
        <w:rPr>
          <w:rFonts w:hint="eastAsia" w:ascii="宋体" w:hAnsi="宋体" w:eastAsia="宋体" w:cs="宋体"/>
          <w:bCs w:val="0"/>
          <w:color w:val="auto"/>
        </w:rPr>
        <w:t xml:space="preserve"> 项目需求</w:t>
      </w:r>
      <w:bookmarkEnd w:id="109"/>
    </w:p>
    <w:p>
      <w:pPr>
        <w:spacing w:line="500" w:lineRule="exact"/>
        <w:jc w:val="center"/>
        <w:rPr>
          <w:rFonts w:hint="eastAsia" w:asciiTheme="minorEastAsia" w:hAnsiTheme="minorEastAsia" w:eastAsiaTheme="minorEastAsia"/>
          <w:sz w:val="28"/>
          <w:szCs w:val="28"/>
        </w:rPr>
      </w:pPr>
    </w:p>
    <w:p>
      <w:pPr>
        <w:keepNext w:val="0"/>
        <w:keepLines w:val="0"/>
        <w:pageBreakBefore w:val="0"/>
        <w:widowControl w:val="0"/>
        <w:numPr>
          <w:ilvl w:val="0"/>
          <w:numId w:val="3"/>
        </w:numPr>
        <w:kinsoku/>
        <w:wordWrap/>
        <w:overflowPunct/>
        <w:topLinePunct w:val="0"/>
        <w:autoSpaceDE/>
        <w:autoSpaceDN/>
        <w:bidi w:val="0"/>
        <w:spacing w:line="520" w:lineRule="exact"/>
        <w:ind w:right="0" w:firstLine="560"/>
        <w:textAlignment w:val="auto"/>
        <w:rPr>
          <w:rFonts w:hint="eastAsia" w:ascii="仿宋_GB2312" w:hAnsi="仿宋_GB2312" w:eastAsia="仿宋_GB2312" w:cs="仿宋_GB2312"/>
          <w:sz w:val="28"/>
          <w:szCs w:val="28"/>
          <w:lang w:eastAsia="zh-CN"/>
        </w:rPr>
      </w:pPr>
      <w:bookmarkStart w:id="110" w:name="_Toc49763004"/>
      <w:r>
        <w:rPr>
          <w:rFonts w:hint="eastAsia" w:ascii="仿宋_GB2312" w:hAnsi="仿宋_GB2312" w:eastAsia="仿宋_GB2312" w:cs="仿宋_GB2312"/>
          <w:sz w:val="28"/>
          <w:szCs w:val="28"/>
        </w:rPr>
        <w:t>项目名称：</w:t>
      </w:r>
      <w:r>
        <w:rPr>
          <w:rFonts w:hint="eastAsia" w:ascii="仿宋_GB2312" w:hAnsi="仿宋_GB2312" w:eastAsia="仿宋_GB2312" w:cs="仿宋_GB2312"/>
          <w:sz w:val="28"/>
          <w:szCs w:val="28"/>
          <w:lang w:eastAsia="zh-CN"/>
        </w:rPr>
        <w:t>赭麓校区食堂综合楼三层修缮工程</w:t>
      </w:r>
    </w:p>
    <w:p>
      <w:pPr>
        <w:keepNext w:val="0"/>
        <w:keepLines w:val="0"/>
        <w:pageBreakBefore w:val="0"/>
        <w:widowControl w:val="0"/>
        <w:numPr>
          <w:ilvl w:val="0"/>
          <w:numId w:val="3"/>
        </w:numPr>
        <w:kinsoku/>
        <w:wordWrap/>
        <w:overflowPunct/>
        <w:topLinePunct w:val="0"/>
        <w:autoSpaceDE/>
        <w:autoSpaceDN/>
        <w:bidi w:val="0"/>
        <w:spacing w:line="520" w:lineRule="exact"/>
        <w:ind w:right="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报名条件：</w:t>
      </w:r>
    </w:p>
    <w:p>
      <w:pPr>
        <w:keepNext w:val="0"/>
        <w:keepLines w:val="0"/>
        <w:pageBreakBefore w:val="0"/>
        <w:widowControl w:val="0"/>
        <w:kinsoku/>
        <w:wordWrap/>
        <w:overflowPunct/>
        <w:topLinePunct w:val="0"/>
        <w:autoSpaceDE/>
        <w:autoSpaceDN/>
        <w:bidi w:val="0"/>
        <w:spacing w:line="520" w:lineRule="exact"/>
        <w:ind w:right="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1.具有独立法人资格，具有独立承担民事责任的能力。</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2.具有</w:t>
      </w:r>
      <w:r>
        <w:rPr>
          <w:rFonts w:hint="eastAsia" w:ascii="仿宋_GB2312" w:hAnsi="仿宋_GB2312" w:eastAsia="仿宋_GB2312" w:cs="仿宋_GB2312"/>
          <w:sz w:val="28"/>
          <w:szCs w:val="28"/>
          <w:lang w:val="en-US" w:eastAsia="zh-CN"/>
        </w:rPr>
        <w:t>建筑工程施工总承包三级及以上资质，或</w:t>
      </w:r>
      <w:r>
        <w:rPr>
          <w:rFonts w:hint="eastAsia" w:ascii="仿宋_GB2312" w:hAnsi="仿宋_GB2312" w:eastAsia="仿宋_GB2312" w:cs="仿宋_GB2312"/>
          <w:sz w:val="28"/>
          <w:szCs w:val="28"/>
        </w:rPr>
        <w:t>建筑装修装饰工程专业承包</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级及以上企业。投标单位相关资质须是建设行政主管部门核发的，且经年检合格。</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3.具有良好的商业信誉和优良的售后服务，在近三年的经营活动中没有不良记录。</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三、施工注意事项</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工程主要内容为墙面出新、地面铺设PVC地胶、吊顶拆除后刷乳胶漆、夹层新增石膏板隔墙、三层卫生间拆除重做等。该工程中需要出新的墙面均须铲除涂料至基层，重新批刮腻子、打磨、刷涂料。该部分施工须做隐蔽工程记录。</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2.PVC卷材地面施工过程中保证地面平整度，确保不起皮、不鼓包。</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default" w:ascii="仿宋_GB2312" w:hAnsi="仿宋_GB2312" w:eastAsia="仿宋_GB2312" w:cs="仿宋_GB2312"/>
          <w:sz w:val="28"/>
          <w:szCs w:val="28"/>
          <w:lang w:val="en-US" w:eastAsia="zh-CN"/>
        </w:rPr>
      </w:pPr>
      <w:r>
        <w:rPr>
          <w:rFonts w:ascii="宋体" w:hAnsi="宋体" w:eastAsia="宋体" w:cs="宋体"/>
          <w:sz w:val="24"/>
          <w:szCs w:val="24"/>
        </w:rPr>
        <w:drawing>
          <wp:anchor distT="0" distB="0" distL="114935" distR="114935" simplePos="0" relativeHeight="251662336" behindDoc="0" locked="0" layoutInCell="1" allowOverlap="1">
            <wp:simplePos x="0" y="0"/>
            <wp:positionH relativeFrom="column">
              <wp:posOffset>2468245</wp:posOffset>
            </wp:positionH>
            <wp:positionV relativeFrom="paragraph">
              <wp:posOffset>473075</wp:posOffset>
            </wp:positionV>
            <wp:extent cx="2741930" cy="2580640"/>
            <wp:effectExtent l="0" t="0" r="1270" b="10160"/>
            <wp:wrapTopAndBottom/>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7"/>
                    <a:stretch>
                      <a:fillRect/>
                    </a:stretch>
                  </pic:blipFill>
                  <pic:spPr>
                    <a:xfrm>
                      <a:off x="0" y="0"/>
                      <a:ext cx="2741930" cy="2580640"/>
                    </a:xfrm>
                    <a:prstGeom prst="rect">
                      <a:avLst/>
                    </a:prstGeom>
                    <a:noFill/>
                    <a:ln w="9525">
                      <a:noFill/>
                    </a:ln>
                  </pic:spPr>
                </pic:pic>
              </a:graphicData>
            </a:graphic>
          </wp:anchor>
        </w:drawing>
      </w:r>
      <w:r>
        <w:rPr>
          <w:rFonts w:ascii="宋体" w:hAnsi="宋体" w:eastAsia="宋体" w:cs="宋体"/>
          <w:sz w:val="24"/>
          <w:szCs w:val="24"/>
        </w:rPr>
        <w:drawing>
          <wp:anchor distT="0" distB="0" distL="114935" distR="114935" simplePos="0" relativeHeight="251661312" behindDoc="0" locked="0" layoutInCell="1" allowOverlap="1">
            <wp:simplePos x="0" y="0"/>
            <wp:positionH relativeFrom="column">
              <wp:posOffset>134620</wp:posOffset>
            </wp:positionH>
            <wp:positionV relativeFrom="paragraph">
              <wp:posOffset>483235</wp:posOffset>
            </wp:positionV>
            <wp:extent cx="2297430" cy="2973705"/>
            <wp:effectExtent l="0" t="0" r="7620" b="17145"/>
            <wp:wrapTopAndBottom/>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8"/>
                    <a:stretch>
                      <a:fillRect/>
                    </a:stretch>
                  </pic:blipFill>
                  <pic:spPr>
                    <a:xfrm>
                      <a:off x="0" y="0"/>
                      <a:ext cx="2297430" cy="2973705"/>
                    </a:xfrm>
                    <a:prstGeom prst="rect">
                      <a:avLst/>
                    </a:prstGeom>
                    <a:noFill/>
                    <a:ln w="9525">
                      <a:noFill/>
                    </a:ln>
                  </pic:spPr>
                </pic:pic>
              </a:graphicData>
            </a:graphic>
          </wp:anchor>
        </w:drawing>
      </w:r>
      <w:r>
        <w:rPr>
          <w:rFonts w:hint="eastAsia" w:ascii="仿宋_GB2312" w:hAnsi="仿宋_GB2312" w:eastAsia="仿宋_GB2312" w:cs="仿宋_GB2312"/>
          <w:sz w:val="28"/>
          <w:szCs w:val="28"/>
          <w:lang w:val="en-US" w:eastAsia="zh-CN"/>
        </w:rPr>
        <w:t>3.本次工程中使用的深照型灯及LED球场灯，参考样式如下图。采购前须提供样品供建设单位现场负责人选型。须保证其安装方式的安全性，如因安装不当或灯具质量问题导致事故，由施工单位承担全部责任。</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4.本工程中包含三楼卫生间地面、蹲位、墙面、吊顶、三楼及二楼给排水管维修更换等施工内容。三楼卫生间对应位置的二楼吊顶，实拍图片如下。该部分吊顶需要拆除修复，费用已列入，不另计。</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drawing>
          <wp:anchor distT="0" distB="0" distL="114935" distR="114935" simplePos="0" relativeHeight="251664384" behindDoc="0" locked="0" layoutInCell="1" allowOverlap="1">
            <wp:simplePos x="0" y="0"/>
            <wp:positionH relativeFrom="column">
              <wp:posOffset>1244600</wp:posOffset>
            </wp:positionH>
            <wp:positionV relativeFrom="paragraph">
              <wp:posOffset>55245</wp:posOffset>
            </wp:positionV>
            <wp:extent cx="2641600" cy="3521075"/>
            <wp:effectExtent l="0" t="0" r="6350" b="3175"/>
            <wp:wrapTopAndBottom/>
            <wp:docPr id="7" name="图片 7" descr="26c09ca1c111a77f208c82a320ff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6c09ca1c111a77f208c82a320ff758"/>
                    <pic:cNvPicPr>
                      <a:picLocks noChangeAspect="1"/>
                    </pic:cNvPicPr>
                  </pic:nvPicPr>
                  <pic:blipFill>
                    <a:blip r:embed="rId9"/>
                    <a:stretch>
                      <a:fillRect/>
                    </a:stretch>
                  </pic:blipFill>
                  <pic:spPr>
                    <a:xfrm>
                      <a:off x="0" y="0"/>
                      <a:ext cx="2641600" cy="3521075"/>
                    </a:xfrm>
                    <a:prstGeom prst="rect">
                      <a:avLst/>
                    </a:prstGeom>
                  </pic:spPr>
                </pic:pic>
              </a:graphicData>
            </a:graphic>
          </wp:anchor>
        </w:drawing>
      </w:r>
      <w:r>
        <w:rPr>
          <w:rFonts w:hint="eastAsia" w:ascii="仿宋_GB2312" w:hAnsi="仿宋_GB2312" w:eastAsia="仿宋_GB2312" w:cs="仿宋_GB2312"/>
          <w:sz w:val="28"/>
          <w:szCs w:val="28"/>
          <w:lang w:val="en-US" w:eastAsia="zh-CN"/>
        </w:rPr>
        <w:t>5.食堂外立面新增两盏LED投光灯提供篮球场照明，参考图如下，须可立装、可侧装、可吊装。</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default" w:ascii="仿宋_GB2312" w:hAnsi="仿宋_GB2312" w:eastAsia="仿宋_GB2312" w:cs="仿宋_GB2312"/>
          <w:sz w:val="28"/>
          <w:szCs w:val="28"/>
          <w:lang w:val="en-US" w:eastAsia="zh-CN"/>
        </w:rPr>
      </w:pPr>
      <w:r>
        <w:rPr>
          <w:rFonts w:ascii="宋体" w:hAnsi="宋体" w:eastAsia="宋体" w:cs="宋体"/>
          <w:sz w:val="24"/>
          <w:szCs w:val="24"/>
        </w:rPr>
        <w:drawing>
          <wp:anchor distT="0" distB="0" distL="114935" distR="114935" simplePos="0" relativeHeight="251663360" behindDoc="0" locked="0" layoutInCell="1" allowOverlap="1">
            <wp:simplePos x="0" y="0"/>
            <wp:positionH relativeFrom="column">
              <wp:posOffset>-177165</wp:posOffset>
            </wp:positionH>
            <wp:positionV relativeFrom="paragraph">
              <wp:posOffset>45720</wp:posOffset>
            </wp:positionV>
            <wp:extent cx="4178935" cy="1899285"/>
            <wp:effectExtent l="0" t="0" r="12065" b="5715"/>
            <wp:wrapTopAndBottom/>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10"/>
                    <a:stretch>
                      <a:fillRect/>
                    </a:stretch>
                  </pic:blipFill>
                  <pic:spPr>
                    <a:xfrm>
                      <a:off x="0" y="0"/>
                      <a:ext cx="4178935" cy="1899285"/>
                    </a:xfrm>
                    <a:prstGeom prst="rect">
                      <a:avLst/>
                    </a:prstGeom>
                    <a:noFill/>
                    <a:ln w="9525">
                      <a:noFill/>
                    </a:ln>
                  </pic:spPr>
                </pic:pic>
              </a:graphicData>
            </a:graphic>
          </wp:anchor>
        </w:drawing>
      </w:r>
      <w:r>
        <w:rPr>
          <w:rFonts w:hint="eastAsia" w:ascii="仿宋_GB2312" w:hAnsi="仿宋_GB2312" w:eastAsia="仿宋_GB2312" w:cs="仿宋_GB2312"/>
          <w:sz w:val="28"/>
          <w:szCs w:val="28"/>
          <w:lang w:val="en-US" w:eastAsia="zh-CN"/>
        </w:rPr>
        <w:t>该灯具功率须达到200w以上，须具备IP65以上级别防水，照射距离30m以上，照射面积150㎡以上。该LED灯须采用时控开关以具备定时开关功能。</w:t>
      </w:r>
    </w:p>
    <w:p>
      <w:pPr>
        <w:keepNext w:val="0"/>
        <w:keepLines w:val="0"/>
        <w:pageBreakBefore w:val="0"/>
        <w:widowControl w:val="0"/>
        <w:kinsoku/>
        <w:wordWrap/>
        <w:overflowPunct/>
        <w:topLinePunct w:val="0"/>
        <w:autoSpaceDE/>
        <w:autoSpaceDN/>
        <w:bidi w:val="0"/>
        <w:adjustRightInd w:val="0"/>
        <w:snapToGrid w:val="0"/>
        <w:spacing w:line="520" w:lineRule="exact"/>
        <w:ind w:right="0" w:firstLine="56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6.工程完工后须由具有国家要求资质的第三方机构进行室内环境检测并提供相应检测报告。检测结果符合《民用建筑工程室内环境污染控制标准》（GB50325-2020）方可验收。</w:t>
      </w:r>
    </w:p>
    <w:p>
      <w:pPr>
        <w:keepNext w:val="0"/>
        <w:keepLines w:val="0"/>
        <w:pageBreakBefore w:val="0"/>
        <w:widowControl w:val="0"/>
        <w:numPr>
          <w:ilvl w:val="0"/>
          <w:numId w:val="0"/>
        </w:numPr>
        <w:tabs>
          <w:tab w:val="left" w:pos="567"/>
        </w:tabs>
        <w:kinsoku/>
        <w:wordWrap/>
        <w:overflowPunct/>
        <w:topLinePunct w:val="0"/>
        <w:autoSpaceDE/>
        <w:autoSpaceDN/>
        <w:bidi w:val="0"/>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四、注意事项</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乙方须认真复核工程量清单，如发现工程量清单有漏量、漏项的，应在开工后14日内提出，在规定时间后任何以施工图不详、工程量清单有误等理由提出的索赔要求将不予受理，视为投标报价的优惠，即乙方完全理解并同意施工图纸及工程量清单（含技术要求），施工时须按照施工图纸及工程量清单（含技术要求）执行，施工完成后，必须满足验收规范和使用功能的要求。</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2.施工严格按照发包人提供的图纸进行，如有不确定尺寸、颜色、清单未明确制作工艺等情况要及时与后勤管理处及使用部门联系，得到后勤管理处工程项目负责人确认后方可施工。</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工程总报价含材料费（主材和辅材）、劳务费、搬运费（二次搬运及垂直运输费）、施工机械费、施工费或安装费、技术服务和售后服务费、综合管理费、检测检验、灯具安装全部所需附件、利润和税金等一切费用。</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4.本工程工期为30个日历天（含法定节假日），从甲方书面通知进场施工时间开始计算。因乙方原因推迟的按 500 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墙面、地面及其他设施等造成破坏须原样修复或照价赔偿。</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6.工程施工中，垃圾须运输至校方指定地点临时覆盖堆放并按时清运出校外，运输需要符合环保、市政要求；完工后，保洁维修改造全部地点，清洁地面、墙面、门=窗及玻璃上的油漆和灰尘，垃圾装袋并外运。</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7.本工程不支付进度款，工程完工后由甲方组织验收，验收合格后凭乙方提供的发票支付至合同价（不含暂列金额）的 80  %；审计完成，乙方先将金额为终审价 3 %的质保金汇入甲方账户，甲方凭发票及质保金汇款凭证付至终审价的100%；质保期满后无质量问题一次性无息退还质保金。</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工程质保期36个月。工程质保期内出现质量问题，及时修复，修复完成后，后勤管理处会同使用部门再次进行验收，验收合格后，质保期顺延一年；一年内无质量问题后退还质保金，如再次出现问题，处理方式同前。</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对于重复出现三次及以上的问题，甲方将发函警告乙方，将其录入学校黑名单库，3年内禁止参加学校任何招投标活动。</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9.工程主要材料规定品牌如下</w:t>
      </w:r>
    </w:p>
    <w:tbl>
      <w:tblPr>
        <w:tblStyle w:val="29"/>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064"/>
        <w:gridCol w:w="2486"/>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序号</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材料名称</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规格型号</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品牌范围</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1</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内外墙及天棚涂料</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底漆、面漆</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多乐士、立邦、嘉宝莉、华润、三棵树</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2</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电线、电缆</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鑫鸿、江苏上上、金貂</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3</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阻燃强、弱电管</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伟星、华亚、金德</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sz w:val="28"/>
                <w:szCs w:val="28"/>
                <w:lang w:val="en-US" w:eastAsia="zh-CN"/>
              </w:rPr>
            </w:pPr>
            <w:r>
              <w:rPr>
                <w:rFonts w:hint="eastAsia" w:ascii="宋体" w:hAnsi="宋体"/>
                <w:color w:val="auto"/>
                <w:sz w:val="28"/>
                <w:szCs w:val="28"/>
                <w:lang w:val="en-US" w:eastAsia="zh-CN"/>
              </w:rPr>
              <w:t>4</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开关、插座</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sz w:val="28"/>
                <w:szCs w:val="28"/>
                <w:lang w:val="en-US" w:eastAsia="zh-CN"/>
              </w:rPr>
            </w:pPr>
            <w:r>
              <w:rPr>
                <w:rFonts w:hint="eastAsia" w:ascii="宋体" w:hAnsi="宋体"/>
                <w:color w:val="auto"/>
                <w:sz w:val="28"/>
                <w:szCs w:val="28"/>
                <w:lang w:val="en-US" w:eastAsia="zh-CN"/>
              </w:rPr>
              <w:t>正泰、西门子、TCL、鸿雁</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sz w:val="28"/>
                <w:szCs w:val="28"/>
                <w:lang w:val="en-US" w:eastAsia="zh-CN"/>
              </w:rPr>
            </w:pPr>
            <w:r>
              <w:rPr>
                <w:rFonts w:hint="eastAsia" w:ascii="宋体" w:hAnsi="宋体"/>
                <w:color w:val="auto"/>
                <w:sz w:val="28"/>
                <w:szCs w:val="28"/>
                <w:lang w:val="en-US" w:eastAsia="zh-CN"/>
              </w:rPr>
              <w:t>5</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配电箱柜及空气开关、漏电保护开关等全部电器元件</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德力西、正泰、常熟开关</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sz w:val="28"/>
                <w:szCs w:val="28"/>
                <w:lang w:val="en-US" w:eastAsia="zh-CN"/>
              </w:rPr>
            </w:pPr>
            <w:r>
              <w:rPr>
                <w:rFonts w:hint="eastAsia" w:ascii="宋体" w:hAnsi="宋体"/>
                <w:color w:val="auto"/>
                <w:sz w:val="28"/>
                <w:szCs w:val="28"/>
                <w:lang w:val="en-US" w:eastAsia="zh-CN"/>
              </w:rPr>
              <w:t>6</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仿宋_GB2312" w:hAnsi="仿宋_GB2312" w:eastAsia="仿宋_GB2312" w:cs="仿宋_GB2312"/>
                <w:sz w:val="28"/>
                <w:szCs w:val="28"/>
                <w:lang w:val="en-US" w:eastAsia="zh-CN"/>
              </w:rPr>
            </w:pPr>
            <w:r>
              <w:rPr>
                <w:rFonts w:hint="eastAsia" w:ascii="宋体" w:hAnsi="宋体"/>
                <w:color w:val="auto"/>
                <w:sz w:val="28"/>
                <w:szCs w:val="28"/>
                <w:lang w:val="en-US" w:eastAsia="zh-CN"/>
              </w:rPr>
              <w:t>灯具</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r>
              <w:rPr>
                <w:rFonts w:hint="eastAsia" w:ascii="宋体" w:hAnsi="宋体"/>
                <w:color w:val="auto"/>
                <w:sz w:val="28"/>
                <w:szCs w:val="28"/>
                <w:lang w:val="en-US" w:eastAsia="zh-CN"/>
              </w:rPr>
              <w:t>欧普、飞利浦、雷士（非旗下）</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kern w:val="2"/>
                <w:sz w:val="28"/>
                <w:szCs w:val="28"/>
                <w:lang w:val="en-US" w:eastAsia="zh-CN" w:bidi="ar-SA"/>
              </w:rPr>
            </w:pPr>
            <w:r>
              <w:rPr>
                <w:rFonts w:hint="eastAsia" w:ascii="宋体" w:hAnsi="宋体"/>
                <w:color w:val="auto"/>
                <w:sz w:val="28"/>
                <w:szCs w:val="28"/>
                <w:lang w:val="en-US" w:eastAsia="zh-CN"/>
              </w:rPr>
              <w:t>7</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kern w:val="2"/>
                <w:sz w:val="28"/>
                <w:szCs w:val="28"/>
                <w:lang w:val="en-US" w:eastAsia="zh-CN" w:bidi="ar-SA"/>
              </w:rPr>
            </w:pPr>
            <w:r>
              <w:rPr>
                <w:rFonts w:hint="eastAsia" w:ascii="宋体" w:hAnsi="宋体"/>
                <w:color w:val="auto"/>
                <w:sz w:val="28"/>
                <w:szCs w:val="28"/>
                <w:lang w:val="en-US" w:eastAsia="zh-CN"/>
              </w:rPr>
              <w:t>PVC卷材地板</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kern w:val="2"/>
                <w:sz w:val="28"/>
                <w:szCs w:val="28"/>
                <w:lang w:val="en-US" w:eastAsia="zh-CN" w:bidi="ar-SA"/>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kern w:val="2"/>
                <w:sz w:val="28"/>
                <w:szCs w:val="28"/>
                <w:lang w:val="en-US" w:eastAsia="zh-CN" w:bidi="ar-SA"/>
              </w:rPr>
            </w:pPr>
            <w:r>
              <w:rPr>
                <w:rFonts w:hint="eastAsia" w:ascii="宋体" w:hAnsi="宋体"/>
                <w:color w:val="auto"/>
                <w:sz w:val="28"/>
                <w:szCs w:val="28"/>
                <w:lang w:val="en-US" w:eastAsia="zh-CN"/>
              </w:rPr>
              <w:t>LG Hausys、洁福（Gerflor）、阿姆斯壮（Armstrong）</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8</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给排水管</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伟星、华亚、金德</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配件与管材同品牌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9</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瓷砖</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东鹏、蒙娜丽莎、马可菠萝、鹰牌</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10</w:t>
            </w:r>
          </w:p>
        </w:tc>
        <w:tc>
          <w:tcPr>
            <w:tcW w:w="211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深照型灯及LED球场灯、投光灯光源</w:t>
            </w:r>
          </w:p>
        </w:tc>
        <w:tc>
          <w:tcPr>
            <w:tcW w:w="20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满足图纸设计要求</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color w:val="auto"/>
                <w:sz w:val="28"/>
                <w:szCs w:val="28"/>
                <w:lang w:val="en-US" w:eastAsia="zh-CN"/>
              </w:rPr>
            </w:pPr>
            <w:r>
              <w:rPr>
                <w:rFonts w:hint="eastAsia" w:ascii="宋体" w:hAnsi="宋体"/>
                <w:color w:val="auto"/>
                <w:sz w:val="28"/>
                <w:szCs w:val="28"/>
                <w:lang w:val="en-US" w:eastAsia="zh-CN"/>
              </w:rPr>
              <w:t>欧司朗、科锐、飞利浦、玛斯柯</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宋体" w:hAnsi="宋体"/>
                <w:color w:val="auto"/>
                <w:sz w:val="28"/>
                <w:szCs w:val="28"/>
                <w:lang w:val="en-US" w:eastAsia="zh-CN"/>
              </w:rPr>
            </w:pPr>
            <w:r>
              <w:rPr>
                <w:rFonts w:hint="eastAsia" w:ascii="宋体" w:hAnsi="宋体"/>
                <w:color w:val="auto"/>
                <w:sz w:val="28"/>
                <w:szCs w:val="28"/>
                <w:lang w:val="en-US" w:eastAsia="zh-CN"/>
              </w:rPr>
              <w:t>灯具制造商原件证明</w:t>
            </w:r>
          </w:p>
        </w:tc>
      </w:tr>
    </w:tbl>
    <w:p>
      <w:pPr>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keepNext w:val="0"/>
        <w:keepLines w:val="0"/>
        <w:pageBreakBefore w:val="0"/>
        <w:widowControl w:val="0"/>
        <w:numPr>
          <w:ilvl w:val="0"/>
          <w:numId w:val="4"/>
        </w:numPr>
        <w:tabs>
          <w:tab w:val="left" w:pos="567"/>
          <w:tab w:val="clear" w:pos="312"/>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如图纸、清单与本技术要求有矛盾之处，以后勤管理处书面解释为准。</w:t>
      </w:r>
    </w:p>
    <w:p>
      <w:pPr>
        <w:keepNext w:val="0"/>
        <w:keepLines w:val="0"/>
        <w:pageBreakBefore w:val="0"/>
        <w:widowControl w:val="0"/>
        <w:numPr>
          <w:ilvl w:val="0"/>
          <w:numId w:val="4"/>
        </w:numPr>
        <w:tabs>
          <w:tab w:val="left" w:pos="567"/>
          <w:tab w:val="clear" w:pos="312"/>
        </w:tabs>
        <w:kinsoku/>
        <w:wordWrap/>
        <w:overflowPunct/>
        <w:topLinePunct w:val="0"/>
        <w:autoSpaceDE/>
        <w:autoSpaceDN/>
        <w:bidi w:val="0"/>
        <w:adjustRightInd/>
        <w:snapToGrid/>
        <w:spacing w:line="520" w:lineRule="exact"/>
        <w:ind w:right="0" w:righ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投标文件须包含分部分项工程量清单综合单价分析表等《建设工程工程量清单计价规范》（GB 50500-2013）中要求提供的文件。</w:t>
      </w:r>
    </w:p>
    <w:p>
      <w:pPr>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p>
      <w:pPr>
        <w:ind w:firstLine="480" w:firstLineChars="200"/>
        <w:rPr>
          <w:rFonts w:ascii="Times New Roman" w:hAnsi="Times New Roman" w:eastAsia="宋体"/>
          <w:sz w:val="24"/>
          <w:szCs w:val="24"/>
        </w:rPr>
      </w:pPr>
      <w:r>
        <w:rPr>
          <w:rFonts w:ascii="Times New Roman" w:hAnsi="Times New Roman" w:eastAsia="宋体"/>
          <w:sz w:val="24"/>
          <w:szCs w:val="24"/>
        </w:rPr>
        <w:t>1</w:t>
      </w:r>
      <w:r>
        <w:rPr>
          <w:rFonts w:hint="eastAsia" w:ascii="Times New Roman" w:hAnsi="Times New Roman" w:eastAsia="宋体"/>
          <w:sz w:val="24"/>
          <w:szCs w:val="24"/>
        </w:rPr>
        <w:t>.</w:t>
      </w:r>
      <w:r>
        <w:rPr>
          <w:rFonts w:ascii="Times New Roman" w:hAnsi="Times New Roman" w:eastAsia="宋体"/>
          <w:sz w:val="24"/>
          <w:szCs w:val="24"/>
        </w:rPr>
        <w:t>商务标评审内容及标准（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评审项目</w:t>
            </w:r>
          </w:p>
        </w:tc>
        <w:tc>
          <w:tcPr>
            <w:tcW w:w="992" w:type="dxa"/>
          </w:tcPr>
          <w:p>
            <w:pPr>
              <w:rPr>
                <w:rFonts w:ascii="Times New Roman" w:hAnsi="Times New Roman" w:eastAsia="宋体"/>
                <w:sz w:val="24"/>
                <w:szCs w:val="24"/>
              </w:rPr>
            </w:pPr>
            <w:r>
              <w:rPr>
                <w:rFonts w:ascii="Times New Roman" w:hAnsi="Times New Roman" w:eastAsia="宋体"/>
                <w:sz w:val="24"/>
                <w:szCs w:val="24"/>
              </w:rPr>
              <w:t>分值</w:t>
            </w:r>
          </w:p>
        </w:tc>
        <w:tc>
          <w:tcPr>
            <w:tcW w:w="6033" w:type="dxa"/>
          </w:tcPr>
          <w:p>
            <w:pPr>
              <w:rPr>
                <w:rFonts w:ascii="Times New Roman" w:hAnsi="Times New Roman" w:eastAsia="宋体"/>
                <w:sz w:val="24"/>
                <w:szCs w:val="24"/>
              </w:rPr>
            </w:pPr>
            <w:r>
              <w:rPr>
                <w:rFonts w:ascii="Times New Roman" w:hAnsi="Times New Roman" w:eastAsia="宋体"/>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投标报价</w:t>
            </w:r>
          </w:p>
        </w:tc>
        <w:tc>
          <w:tcPr>
            <w:tcW w:w="992" w:type="dxa"/>
          </w:tcPr>
          <w:p>
            <w:pPr>
              <w:rPr>
                <w:rFonts w:ascii="Times New Roman" w:hAnsi="Times New Roman" w:eastAsia="宋体"/>
                <w:sz w:val="24"/>
                <w:szCs w:val="24"/>
              </w:rPr>
            </w:pPr>
            <w:r>
              <w:rPr>
                <w:rFonts w:hint="eastAsia" w:ascii="Times New Roman" w:hAnsi="Times New Roman" w:eastAsia="宋体"/>
                <w:sz w:val="24"/>
                <w:szCs w:val="24"/>
              </w:rPr>
              <w:t>50</w:t>
            </w:r>
            <w:r>
              <w:rPr>
                <w:rFonts w:ascii="Times New Roman" w:hAnsi="Times New Roman" w:eastAsia="宋体"/>
                <w:sz w:val="24"/>
                <w:szCs w:val="24"/>
              </w:rPr>
              <w:t>分</w:t>
            </w:r>
          </w:p>
        </w:tc>
        <w:tc>
          <w:tcPr>
            <w:tcW w:w="6033" w:type="dxa"/>
          </w:tcPr>
          <w:p>
            <w:pPr>
              <w:rPr>
                <w:rFonts w:ascii="Times New Roman" w:hAnsi="Times New Roman" w:eastAsia="宋体"/>
                <w:sz w:val="24"/>
                <w:szCs w:val="24"/>
              </w:rPr>
            </w:pPr>
            <w:r>
              <w:rPr>
                <w:rFonts w:hint="eastAsia" w:ascii="Times New Roman" w:hAnsi="Times New Roman" w:eastAsia="宋体"/>
                <w:sz w:val="24"/>
                <w:szCs w:val="24"/>
              </w:rPr>
              <w:t>满足招标文件要求且投标价格最低的投标报价为评标基准价，其价格分为满分。其他投标人的价格分统一按照下列公式计算：投标报价得分</w:t>
            </w:r>
            <w:r>
              <w:rPr>
                <w:rFonts w:ascii="Times New Roman" w:hAnsi="Times New Roman" w:eastAsia="宋体"/>
                <w:sz w:val="24"/>
                <w:szCs w:val="24"/>
              </w:rPr>
              <w:t>=(评标基准价／投标报价)×</w:t>
            </w:r>
            <w:r>
              <w:rPr>
                <w:rFonts w:hint="eastAsia" w:ascii="Times New Roman" w:hAnsi="Times New Roman" w:eastAsia="宋体"/>
                <w:sz w:val="24"/>
                <w:szCs w:val="24"/>
              </w:rPr>
              <w:t>5</w:t>
            </w:r>
            <w:r>
              <w:rPr>
                <w:rFonts w:ascii="Times New Roman" w:hAnsi="Times New Roman" w:eastAsia="宋体"/>
                <w:sz w:val="24"/>
                <w:szCs w:val="24"/>
              </w:rPr>
              <w:t>0。</w:t>
            </w:r>
          </w:p>
        </w:tc>
      </w:tr>
    </w:tbl>
    <w:p>
      <w:pPr>
        <w:ind w:firstLine="480" w:firstLineChars="200"/>
        <w:rPr>
          <w:rFonts w:ascii="Times New Roman" w:hAnsi="Times New Roman" w:eastAsia="宋体"/>
          <w:sz w:val="24"/>
          <w:szCs w:val="24"/>
        </w:rPr>
      </w:pPr>
      <w:r>
        <w:rPr>
          <w:rFonts w:ascii="Times New Roman" w:hAnsi="Times New Roman" w:eastAsia="宋体"/>
          <w:sz w:val="24"/>
          <w:szCs w:val="24"/>
        </w:rPr>
        <w:t>2.技术标评审内容及标准（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3"/>
            <w:vAlign w:val="center"/>
          </w:tcPr>
          <w:p>
            <w:pPr>
              <w:rPr>
                <w:rFonts w:ascii="Times New Roman" w:hAnsi="Times New Roman" w:eastAsia="宋体"/>
                <w:sz w:val="24"/>
                <w:szCs w:val="24"/>
              </w:rPr>
            </w:pPr>
            <w:r>
              <w:rPr>
                <w:rFonts w:ascii="Times New Roman" w:hAnsi="Times New Roman" w:eastAsia="宋体"/>
                <w:sz w:val="24"/>
                <w:szCs w:val="24"/>
              </w:rPr>
              <w:t>评审内容</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w:t>
            </w:r>
            <w:r>
              <w:rPr>
                <w:rFonts w:hint="eastAsia" w:ascii="Times New Roman" w:hAnsi="Times New Roman" w:eastAsia="宋体"/>
                <w:sz w:val="24"/>
                <w:szCs w:val="24"/>
              </w:rPr>
              <w:t>50</w:t>
            </w:r>
            <w:r>
              <w:rPr>
                <w:rFonts w:ascii="Times New Roman" w:hAnsi="Times New Roman" w:eastAsia="宋体"/>
                <w:sz w:val="24"/>
                <w:szCs w:val="24"/>
              </w:rPr>
              <w:t>分）</w:t>
            </w: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1</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2</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3</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4</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5</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6</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lang w:val="en-US" w:eastAsia="zh-CN"/>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lang w:val="en-US" w:eastAsia="zh-CN"/>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lang w:val="en-US" w:eastAsia="zh-CN"/>
              </w:rPr>
              <w:t>4</w:t>
            </w:r>
            <w:r>
              <w:rPr>
                <w:rFonts w:ascii="Times New Roman" w:hAnsi="Times New Roman" w:eastAsia="宋体"/>
                <w:sz w:val="24"/>
                <w:szCs w:val="24"/>
              </w:rPr>
              <w:t>分。（4）方案存在明显缺陷的，得</w:t>
            </w:r>
            <w:r>
              <w:rPr>
                <w:rFonts w:hint="eastAsia" w:ascii="Times New Roman" w:hAnsi="Times New Roman" w:eastAsia="宋体"/>
                <w:sz w:val="24"/>
                <w:szCs w:val="24"/>
                <w:lang w:val="en-US" w:eastAsia="zh-CN"/>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7</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w:t>
            </w:r>
            <w:r>
              <w:rPr>
                <w:rFonts w:ascii="Times New Roman" w:hAnsi="Times New Roman" w:eastAsia="宋体"/>
                <w:sz w:val="24"/>
                <w:szCs w:val="24"/>
              </w:rPr>
              <w:t>承诺</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2分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包括保修年限，服务标准，人员配备，维修及保障措施等，根据供应商承诺情况满分2分，存在缺陷或不足的，酌情减分。</w:t>
            </w:r>
          </w:p>
        </w:tc>
      </w:tr>
    </w:tbl>
    <w:p>
      <w:pPr>
        <w:ind w:firstLine="480" w:firstLineChars="200"/>
        <w:rPr>
          <w:rFonts w:ascii="Times New Roman" w:hAnsi="Times New Roman" w:eastAsia="宋体"/>
          <w:sz w:val="24"/>
          <w:szCs w:val="24"/>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955039"/>
      <w:bookmarkEnd w:id="113"/>
      <w:bookmarkStart w:id="114" w:name="_Hlt26671244"/>
      <w:bookmarkEnd w:id="114"/>
      <w:bookmarkStart w:id="115" w:name="_Toc120614282"/>
      <w:bookmarkStart w:id="116" w:name="_Toc49090576"/>
      <w:bookmarkStart w:id="117"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皖南医学院赭麓校区食堂综合楼三层修缮工程项目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7"/>
              <w:numPr>
                <w:ilvl w:val="0"/>
                <w:numId w:val="0"/>
              </w:numPr>
              <w:rPr>
                <w:rFonts w:hint="eastAsia"/>
                <w:lang w:val="en-US" w:eastAsia="zh-CN"/>
              </w:rPr>
            </w:pPr>
          </w:p>
          <w:p>
            <w:pPr>
              <w:pStyle w:val="27"/>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7"/>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jc w:val="center"/>
        <w:rPr>
          <w:rStyle w:val="66"/>
          <w:rFonts w:hint="eastAsia" w:asciiTheme="majorEastAsia" w:hAnsiTheme="majorEastAsia" w:eastAsiaTheme="majorEastAsia" w:cstheme="majorEastAsia"/>
          <w:color w:val="auto"/>
          <w:sz w:val="28"/>
          <w:szCs w:val="28"/>
        </w:rPr>
      </w:pPr>
      <w:r>
        <w:rPr>
          <w:rStyle w:val="66"/>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4878535"/>
      <w:bookmarkStart w:id="119" w:name="_Toc49090582"/>
      <w:bookmarkStart w:id="120" w:name="_Toc26554103"/>
      <w:bookmarkStart w:id="121" w:name="_Toc513029281"/>
      <w:bookmarkStart w:id="122" w:name="_Toc120614291"/>
      <w:bookmarkStart w:id="123" w:name="_Toc23828483"/>
      <w:bookmarkStart w:id="124" w:name="_Toc22356583"/>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int="eastAsia" w:hAnsi="宋体" w:eastAsia="宋体"/>
          <w:sz w:val="24"/>
          <w:szCs w:val="24"/>
        </w:rPr>
      </w:pPr>
    </w:p>
    <w:bookmarkEnd w:id="125"/>
    <w:p>
      <w:pPr>
        <w:jc w:val="center"/>
        <w:rPr>
          <w:rStyle w:val="66"/>
          <w:rFonts w:ascii="华文中宋" w:hAnsi="华文中宋" w:eastAsia="华文中宋"/>
          <w:b w:val="0"/>
          <w:color w:val="auto"/>
          <w:sz w:val="28"/>
          <w:szCs w:val="28"/>
        </w:rPr>
      </w:pPr>
      <w:bookmarkStart w:id="126" w:name="_Toc22356580"/>
      <w:bookmarkStart w:id="127" w:name="_Toc26554095"/>
      <w:bookmarkStart w:id="128" w:name="_Toc23828478"/>
      <w:bookmarkStart w:id="129" w:name="_Toc513029276"/>
      <w:bookmarkStart w:id="130" w:name="_Toc120614283"/>
      <w:bookmarkStart w:id="131" w:name="_Toc49090577"/>
      <w:bookmarkStart w:id="132" w:name="_Toc460901585"/>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numPr>
          <w:ilvl w:val="0"/>
          <w:numId w:val="5"/>
        </w:numPr>
        <w:rPr>
          <w:rFonts w:hint="eastAsia" w:ascii="仿宋_GB2312" w:eastAsia="仿宋_GB2312"/>
          <w:b/>
          <w:bCs/>
          <w:sz w:val="28"/>
          <w:szCs w:val="28"/>
        </w:rPr>
      </w:pPr>
      <w:r>
        <w:rPr>
          <w:rFonts w:hint="eastAsia" w:ascii="仿宋_GB2312" w:eastAsia="仿宋_GB2312"/>
          <w:b/>
          <w:bCs/>
          <w:sz w:val="28"/>
          <w:szCs w:val="28"/>
        </w:rPr>
        <w:t>投标文件须包含分部分项工程量清单综合单价分析表等《建设工程工程量清单计价规范》(GB 50500-2013）中要求提供的文件。</w:t>
      </w:r>
    </w:p>
    <w:p>
      <w:pPr>
        <w:numPr>
          <w:ilvl w:val="0"/>
          <w:numId w:val="5"/>
        </w:numPr>
        <w:rPr>
          <w:rFonts w:ascii="仿宋_GB2312" w:eastAsia="仿宋_GB2312"/>
          <w:b/>
          <w:bCs/>
          <w:sz w:val="28"/>
          <w:szCs w:val="28"/>
        </w:rPr>
      </w:pPr>
      <w:r>
        <w:rPr>
          <w:rFonts w:hint="eastAsia" w:ascii="仿宋_GB2312" w:eastAsia="仿宋_GB2312"/>
          <w:b/>
          <w:bCs/>
          <w:sz w:val="28"/>
          <w:szCs w:val="28"/>
        </w:rPr>
        <w:t>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1"/>
      <w:bookmarkStart w:id="135" w:name="OLE_LINK3"/>
      <w:bookmarkStart w:id="136" w:name="OLE_LINK2"/>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5"/>
      <w:bookmarkStart w:id="138" w:name="OLE_LINK9"/>
      <w:bookmarkStart w:id="139" w:name="OLE_LINK6"/>
      <w:bookmarkStart w:id="140" w:name="OLE_LINK4"/>
      <w:bookmarkStart w:id="141" w:name="OLE_LINK7"/>
      <w:bookmarkStart w:id="142" w:name="OLE_LINK8"/>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7"/>
      <w:bookmarkStart w:id="144" w:name="OLE_LINK78"/>
      <w:bookmarkStart w:id="145" w:name="OLE_LINK76"/>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第五章 </w:t>
      </w:r>
      <w:r>
        <w:rPr>
          <w:rStyle w:val="31"/>
          <w:rFonts w:hint="eastAsia" w:ascii="微软雅黑" w:hAnsi="微软雅黑" w:eastAsia="黑体"/>
          <w:sz w:val="30"/>
          <w:szCs w:val="30"/>
        </w:rPr>
        <w:t> </w:t>
      </w:r>
      <w:r>
        <w:rPr>
          <w:rStyle w:val="31"/>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1"/>
      <w:bookmarkStart w:id="147" w:name="OLE_LINK13"/>
      <w:bookmarkStart w:id="148"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4"/>
      <w:bookmarkStart w:id="150" w:name="OLE_LINK15"/>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Style w:val="31"/>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第六章 </w:t>
      </w:r>
      <w:r>
        <w:rPr>
          <w:rStyle w:val="31"/>
          <w:rFonts w:hint="eastAsia" w:ascii="微软雅黑" w:hAnsi="微软雅黑" w:eastAsia="黑体"/>
          <w:sz w:val="30"/>
          <w:szCs w:val="30"/>
        </w:rPr>
        <w:t> </w:t>
      </w:r>
      <w:r>
        <w:rPr>
          <w:rStyle w:val="31"/>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1"/>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6"/>
      <w:bookmarkStart w:id="152" w:name="OLE_LINK18"/>
      <w:bookmarkStart w:id="153" w:name="OLE_LINK17"/>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both"/>
        <w:rPr>
          <w:rStyle w:val="31"/>
          <w:rFonts w:ascii="仿宋_GB2312" w:hAnsi="微软雅黑" w:eastAsia="仿宋_GB2312"/>
          <w:sz w:val="24"/>
          <w:szCs w:val="24"/>
        </w:rPr>
      </w:pPr>
      <w:r>
        <w:rPr>
          <w:rStyle w:val="31"/>
          <w:rFonts w:hint="eastAsia" w:ascii="仿宋_GB2312" w:hAnsi="微软雅黑" w:eastAsia="仿宋_GB2312"/>
          <w:sz w:val="24"/>
          <w:szCs w:val="24"/>
        </w:rPr>
        <w:t>　</w:t>
      </w:r>
    </w:p>
    <w:p>
      <w:pPr>
        <w:pStyle w:val="25"/>
        <w:shd w:val="clear" w:color="auto" w:fill="FFFFFF"/>
        <w:adjustRightInd w:val="0"/>
        <w:snapToGrid w:val="0"/>
        <w:spacing w:before="0" w:beforeAutospacing="0" w:after="0" w:afterAutospacing="0" w:line="560" w:lineRule="exact"/>
        <w:jc w:val="center"/>
        <w:rPr>
          <w:rStyle w:val="31"/>
          <w:rFonts w:ascii="黑体" w:hAnsi="黑体" w:eastAsia="黑体"/>
          <w:sz w:val="24"/>
          <w:szCs w:val="24"/>
        </w:rPr>
      </w:pPr>
      <w:r>
        <w:rPr>
          <w:rStyle w:val="31"/>
          <w:rFonts w:hint="eastAsia" w:ascii="黑体" w:hAnsi="黑体" w:eastAsia="黑体"/>
          <w:sz w:val="24"/>
          <w:szCs w:val="24"/>
        </w:rPr>
        <w:t xml:space="preserve">第七章 </w:t>
      </w:r>
      <w:r>
        <w:rPr>
          <w:rStyle w:val="31"/>
          <w:rFonts w:hint="eastAsia" w:ascii="微软雅黑" w:hAnsi="微软雅黑" w:eastAsia="黑体"/>
          <w:sz w:val="24"/>
          <w:szCs w:val="24"/>
        </w:rPr>
        <w:t> </w:t>
      </w:r>
      <w:r>
        <w:rPr>
          <w:rStyle w:val="31"/>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1</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13F7D"/>
    <w:multiLevelType w:val="singleLevel"/>
    <w:tmpl w:val="A2313F7D"/>
    <w:lvl w:ilvl="0" w:tentative="0">
      <w:start w:val="11"/>
      <w:numFmt w:val="decimal"/>
      <w:lvlText w:val="%1."/>
      <w:lvlJc w:val="left"/>
      <w:pPr>
        <w:tabs>
          <w:tab w:val="left" w:pos="312"/>
        </w:tabs>
      </w:pPr>
    </w:lvl>
  </w:abstractNum>
  <w:abstractNum w:abstractNumId="1">
    <w:nsid w:val="FE981826"/>
    <w:multiLevelType w:val="singleLevel"/>
    <w:tmpl w:val="FE981826"/>
    <w:lvl w:ilvl="0" w:tentative="0">
      <w:start w:val="4"/>
      <w:numFmt w:val="chineseCounting"/>
      <w:suff w:val="space"/>
      <w:lvlText w:val="第%1章"/>
      <w:lvlJc w:val="left"/>
      <w:rPr>
        <w:rFonts w:hint="eastAsia"/>
      </w:rPr>
    </w:lvl>
  </w:abstractNum>
  <w:abstractNum w:abstractNumId="2">
    <w:nsid w:val="07FA6FDA"/>
    <w:multiLevelType w:val="singleLevel"/>
    <w:tmpl w:val="07FA6FDA"/>
    <w:lvl w:ilvl="0" w:tentative="0">
      <w:start w:val="5"/>
      <w:numFmt w:val="chineseCounting"/>
      <w:suff w:val="nothing"/>
      <w:lvlText w:val="%1、"/>
      <w:lvlJc w:val="left"/>
      <w:rPr>
        <w:rFonts w:hint="eastAsia"/>
      </w:rPr>
    </w:lvl>
  </w:abstractNum>
  <w:abstractNum w:abstractNumId="3">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4">
    <w:nsid w:val="2761CB9B"/>
    <w:multiLevelType w:val="singleLevel"/>
    <w:tmpl w:val="2761CB9B"/>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B44D3"/>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0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CF5500"/>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0C0502"/>
    <w:rsid w:val="01157CCA"/>
    <w:rsid w:val="011949CD"/>
    <w:rsid w:val="014B1C38"/>
    <w:rsid w:val="01543C57"/>
    <w:rsid w:val="0156352C"/>
    <w:rsid w:val="01EE5E5A"/>
    <w:rsid w:val="023A4BFB"/>
    <w:rsid w:val="02702D13"/>
    <w:rsid w:val="027E6FC9"/>
    <w:rsid w:val="02857DF9"/>
    <w:rsid w:val="02A97FD3"/>
    <w:rsid w:val="02EB0F66"/>
    <w:rsid w:val="03084CFA"/>
    <w:rsid w:val="030B1590"/>
    <w:rsid w:val="03164992"/>
    <w:rsid w:val="033B177D"/>
    <w:rsid w:val="034C612E"/>
    <w:rsid w:val="03600692"/>
    <w:rsid w:val="03667C72"/>
    <w:rsid w:val="03A01301"/>
    <w:rsid w:val="03A2514E"/>
    <w:rsid w:val="03B31109"/>
    <w:rsid w:val="03B66375"/>
    <w:rsid w:val="03B86720"/>
    <w:rsid w:val="03D835EA"/>
    <w:rsid w:val="03E434EA"/>
    <w:rsid w:val="04071455"/>
    <w:rsid w:val="0432311F"/>
    <w:rsid w:val="04446205"/>
    <w:rsid w:val="04910E13"/>
    <w:rsid w:val="04B844FD"/>
    <w:rsid w:val="04E55E3A"/>
    <w:rsid w:val="04FC43EA"/>
    <w:rsid w:val="051A6F66"/>
    <w:rsid w:val="055661F0"/>
    <w:rsid w:val="055A508B"/>
    <w:rsid w:val="055F6389"/>
    <w:rsid w:val="05BE78F1"/>
    <w:rsid w:val="05E05ABA"/>
    <w:rsid w:val="06A05249"/>
    <w:rsid w:val="06A411DD"/>
    <w:rsid w:val="06E43FCE"/>
    <w:rsid w:val="06EC66E0"/>
    <w:rsid w:val="07247C28"/>
    <w:rsid w:val="073154DA"/>
    <w:rsid w:val="07320597"/>
    <w:rsid w:val="073A744C"/>
    <w:rsid w:val="075179DA"/>
    <w:rsid w:val="07AF559C"/>
    <w:rsid w:val="07D4164E"/>
    <w:rsid w:val="084A1910"/>
    <w:rsid w:val="088A4403"/>
    <w:rsid w:val="08CE609D"/>
    <w:rsid w:val="09296F01"/>
    <w:rsid w:val="092E1276"/>
    <w:rsid w:val="09412D13"/>
    <w:rsid w:val="09564F15"/>
    <w:rsid w:val="097C01EF"/>
    <w:rsid w:val="09A84CAA"/>
    <w:rsid w:val="09AC2920"/>
    <w:rsid w:val="09D15446"/>
    <w:rsid w:val="0A2E773B"/>
    <w:rsid w:val="0A4546CD"/>
    <w:rsid w:val="0A9D2C05"/>
    <w:rsid w:val="0AC41E4E"/>
    <w:rsid w:val="0B0264D2"/>
    <w:rsid w:val="0B0E131B"/>
    <w:rsid w:val="0B13248D"/>
    <w:rsid w:val="0B381EF4"/>
    <w:rsid w:val="0B416FFB"/>
    <w:rsid w:val="0B6B22C9"/>
    <w:rsid w:val="0B73117E"/>
    <w:rsid w:val="0BDC6D23"/>
    <w:rsid w:val="0C5D773D"/>
    <w:rsid w:val="0C632FA1"/>
    <w:rsid w:val="0CA710DF"/>
    <w:rsid w:val="0CD520F0"/>
    <w:rsid w:val="0CFB4C03"/>
    <w:rsid w:val="0D294166"/>
    <w:rsid w:val="0D2C5EE3"/>
    <w:rsid w:val="0D7754CF"/>
    <w:rsid w:val="0D7C07BE"/>
    <w:rsid w:val="0D7E2A6A"/>
    <w:rsid w:val="0DA16FB4"/>
    <w:rsid w:val="0DAD78C9"/>
    <w:rsid w:val="0DB37F58"/>
    <w:rsid w:val="0DCD3373"/>
    <w:rsid w:val="0DED16BC"/>
    <w:rsid w:val="0DF465A6"/>
    <w:rsid w:val="0E2C58F9"/>
    <w:rsid w:val="0E417312"/>
    <w:rsid w:val="0E7E3960"/>
    <w:rsid w:val="0E903DF5"/>
    <w:rsid w:val="0EA63619"/>
    <w:rsid w:val="0ECE2C8D"/>
    <w:rsid w:val="0EE04D7C"/>
    <w:rsid w:val="0EEC54CF"/>
    <w:rsid w:val="0F20786F"/>
    <w:rsid w:val="0F2C7FC2"/>
    <w:rsid w:val="0F587009"/>
    <w:rsid w:val="0F627A8E"/>
    <w:rsid w:val="0FBA55CD"/>
    <w:rsid w:val="0FD1712A"/>
    <w:rsid w:val="10152804"/>
    <w:rsid w:val="1021564D"/>
    <w:rsid w:val="10563548"/>
    <w:rsid w:val="107556EE"/>
    <w:rsid w:val="10A32505"/>
    <w:rsid w:val="10A328AC"/>
    <w:rsid w:val="10B85C94"/>
    <w:rsid w:val="10E8616A"/>
    <w:rsid w:val="11097CFF"/>
    <w:rsid w:val="110A7E8F"/>
    <w:rsid w:val="11407D54"/>
    <w:rsid w:val="11725165"/>
    <w:rsid w:val="1182036D"/>
    <w:rsid w:val="11916802"/>
    <w:rsid w:val="119836EC"/>
    <w:rsid w:val="11A93BAF"/>
    <w:rsid w:val="11E44B84"/>
    <w:rsid w:val="11EB5F12"/>
    <w:rsid w:val="11FD5C45"/>
    <w:rsid w:val="1283614B"/>
    <w:rsid w:val="12A869B3"/>
    <w:rsid w:val="12C66037"/>
    <w:rsid w:val="12DA0610"/>
    <w:rsid w:val="12FE1C75"/>
    <w:rsid w:val="13085987"/>
    <w:rsid w:val="13196AAF"/>
    <w:rsid w:val="132536A6"/>
    <w:rsid w:val="1331204B"/>
    <w:rsid w:val="13405DEA"/>
    <w:rsid w:val="13C92283"/>
    <w:rsid w:val="13E0137B"/>
    <w:rsid w:val="14092680"/>
    <w:rsid w:val="143811B7"/>
    <w:rsid w:val="143F60A1"/>
    <w:rsid w:val="14863CD0"/>
    <w:rsid w:val="148D505F"/>
    <w:rsid w:val="14D709D0"/>
    <w:rsid w:val="14DC7D94"/>
    <w:rsid w:val="14E1184E"/>
    <w:rsid w:val="150E0804"/>
    <w:rsid w:val="155618F4"/>
    <w:rsid w:val="15973CBB"/>
    <w:rsid w:val="15B36D47"/>
    <w:rsid w:val="16113A6D"/>
    <w:rsid w:val="16192806"/>
    <w:rsid w:val="16225734"/>
    <w:rsid w:val="162437A1"/>
    <w:rsid w:val="162C38CF"/>
    <w:rsid w:val="1653052A"/>
    <w:rsid w:val="168023D9"/>
    <w:rsid w:val="168E50BE"/>
    <w:rsid w:val="1695644C"/>
    <w:rsid w:val="16C17241"/>
    <w:rsid w:val="16C805D0"/>
    <w:rsid w:val="16F21AF1"/>
    <w:rsid w:val="17252284"/>
    <w:rsid w:val="175D4E15"/>
    <w:rsid w:val="177B58CD"/>
    <w:rsid w:val="1787048B"/>
    <w:rsid w:val="17A032FB"/>
    <w:rsid w:val="17B1375A"/>
    <w:rsid w:val="18020BC4"/>
    <w:rsid w:val="180513B0"/>
    <w:rsid w:val="18057602"/>
    <w:rsid w:val="180E64B6"/>
    <w:rsid w:val="18624A54"/>
    <w:rsid w:val="1869193F"/>
    <w:rsid w:val="18B051AF"/>
    <w:rsid w:val="18CD0120"/>
    <w:rsid w:val="18D05E62"/>
    <w:rsid w:val="18E70052"/>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4A1EFB"/>
    <w:rsid w:val="1B4F4CC3"/>
    <w:rsid w:val="1B75684C"/>
    <w:rsid w:val="1B7570E3"/>
    <w:rsid w:val="1B8D1DE8"/>
    <w:rsid w:val="1BA211E7"/>
    <w:rsid w:val="1BC03A01"/>
    <w:rsid w:val="1BFB31F6"/>
    <w:rsid w:val="1C125497"/>
    <w:rsid w:val="1C8651B5"/>
    <w:rsid w:val="1CA613B3"/>
    <w:rsid w:val="1CDA72AF"/>
    <w:rsid w:val="1CEB14BC"/>
    <w:rsid w:val="1CF10155"/>
    <w:rsid w:val="1CF71C0F"/>
    <w:rsid w:val="1D1502E7"/>
    <w:rsid w:val="1D1A4E10"/>
    <w:rsid w:val="1D28001A"/>
    <w:rsid w:val="1D5C1A72"/>
    <w:rsid w:val="1D862F93"/>
    <w:rsid w:val="1D8B67FB"/>
    <w:rsid w:val="1D992CC6"/>
    <w:rsid w:val="1D9A259A"/>
    <w:rsid w:val="1DA67191"/>
    <w:rsid w:val="1DD65CC8"/>
    <w:rsid w:val="1E0740D4"/>
    <w:rsid w:val="1E116D00"/>
    <w:rsid w:val="1E2D6CC4"/>
    <w:rsid w:val="1E62755C"/>
    <w:rsid w:val="1E965458"/>
    <w:rsid w:val="1EA01E32"/>
    <w:rsid w:val="1EB37D7A"/>
    <w:rsid w:val="1ECE699F"/>
    <w:rsid w:val="1ED32208"/>
    <w:rsid w:val="1ED57D2E"/>
    <w:rsid w:val="1F025BBE"/>
    <w:rsid w:val="1F3802BD"/>
    <w:rsid w:val="1FAD4807"/>
    <w:rsid w:val="1FC35DD8"/>
    <w:rsid w:val="1FD03D76"/>
    <w:rsid w:val="1FF40688"/>
    <w:rsid w:val="20020FF7"/>
    <w:rsid w:val="201077AA"/>
    <w:rsid w:val="203877A5"/>
    <w:rsid w:val="20670E5A"/>
    <w:rsid w:val="20895274"/>
    <w:rsid w:val="20BD316F"/>
    <w:rsid w:val="20E56222"/>
    <w:rsid w:val="20EB3EDD"/>
    <w:rsid w:val="20F52909"/>
    <w:rsid w:val="210F504D"/>
    <w:rsid w:val="214E2D29"/>
    <w:rsid w:val="215869F4"/>
    <w:rsid w:val="2164183D"/>
    <w:rsid w:val="21740C77"/>
    <w:rsid w:val="21A428FD"/>
    <w:rsid w:val="21A96154"/>
    <w:rsid w:val="21AB2FC8"/>
    <w:rsid w:val="21FC1A76"/>
    <w:rsid w:val="221C3EC6"/>
    <w:rsid w:val="223905D4"/>
    <w:rsid w:val="224F6049"/>
    <w:rsid w:val="227B299A"/>
    <w:rsid w:val="228869AA"/>
    <w:rsid w:val="22C22324"/>
    <w:rsid w:val="22CC31F6"/>
    <w:rsid w:val="22D95913"/>
    <w:rsid w:val="23294AEC"/>
    <w:rsid w:val="232A43C0"/>
    <w:rsid w:val="23567244"/>
    <w:rsid w:val="236513B9"/>
    <w:rsid w:val="238910E7"/>
    <w:rsid w:val="23B25F07"/>
    <w:rsid w:val="23C10881"/>
    <w:rsid w:val="23CD191B"/>
    <w:rsid w:val="243674C1"/>
    <w:rsid w:val="243F3E9B"/>
    <w:rsid w:val="24466FD8"/>
    <w:rsid w:val="245060A9"/>
    <w:rsid w:val="245142FB"/>
    <w:rsid w:val="24855D52"/>
    <w:rsid w:val="24961D0D"/>
    <w:rsid w:val="24EE3E19"/>
    <w:rsid w:val="2527505B"/>
    <w:rsid w:val="25744B73"/>
    <w:rsid w:val="25900E53"/>
    <w:rsid w:val="25AB7A3A"/>
    <w:rsid w:val="25F72C80"/>
    <w:rsid w:val="261507FA"/>
    <w:rsid w:val="264F486A"/>
    <w:rsid w:val="26566759"/>
    <w:rsid w:val="26791E4E"/>
    <w:rsid w:val="26997893"/>
    <w:rsid w:val="269E134D"/>
    <w:rsid w:val="26EA27E4"/>
    <w:rsid w:val="27225ADA"/>
    <w:rsid w:val="275814FC"/>
    <w:rsid w:val="27717DCB"/>
    <w:rsid w:val="281D1648"/>
    <w:rsid w:val="283261F1"/>
    <w:rsid w:val="28574F87"/>
    <w:rsid w:val="28AF482A"/>
    <w:rsid w:val="291D580A"/>
    <w:rsid w:val="29312005"/>
    <w:rsid w:val="29674BDA"/>
    <w:rsid w:val="2973261D"/>
    <w:rsid w:val="297E0FC2"/>
    <w:rsid w:val="297F3987"/>
    <w:rsid w:val="29826D04"/>
    <w:rsid w:val="29831EC9"/>
    <w:rsid w:val="29913DEF"/>
    <w:rsid w:val="29A924E3"/>
    <w:rsid w:val="29B44350"/>
    <w:rsid w:val="2A377AEF"/>
    <w:rsid w:val="2A557F75"/>
    <w:rsid w:val="2A677CA8"/>
    <w:rsid w:val="2ADF5772"/>
    <w:rsid w:val="2B08148B"/>
    <w:rsid w:val="2B51698E"/>
    <w:rsid w:val="2B595843"/>
    <w:rsid w:val="2B6B6C58"/>
    <w:rsid w:val="2B8D373E"/>
    <w:rsid w:val="2B911481"/>
    <w:rsid w:val="2B9343A5"/>
    <w:rsid w:val="2B9D7E25"/>
    <w:rsid w:val="2B9E76FA"/>
    <w:rsid w:val="2BA70961"/>
    <w:rsid w:val="2BAC0068"/>
    <w:rsid w:val="2BC07E5E"/>
    <w:rsid w:val="2BF80131"/>
    <w:rsid w:val="2C167BD8"/>
    <w:rsid w:val="2C231C3E"/>
    <w:rsid w:val="2C43766C"/>
    <w:rsid w:val="2C5007D8"/>
    <w:rsid w:val="2C7C3EDF"/>
    <w:rsid w:val="2CB52F4D"/>
    <w:rsid w:val="2CC82C80"/>
    <w:rsid w:val="2D31750C"/>
    <w:rsid w:val="2D5704A8"/>
    <w:rsid w:val="2D5B1D46"/>
    <w:rsid w:val="2DCA2A28"/>
    <w:rsid w:val="2DE634B9"/>
    <w:rsid w:val="2DED6716"/>
    <w:rsid w:val="2E3D58F0"/>
    <w:rsid w:val="2E5D1AEE"/>
    <w:rsid w:val="2E813A2E"/>
    <w:rsid w:val="2E821554"/>
    <w:rsid w:val="2E826240"/>
    <w:rsid w:val="2EAE5EA6"/>
    <w:rsid w:val="2EC1207D"/>
    <w:rsid w:val="2EDF550D"/>
    <w:rsid w:val="2EE45D6B"/>
    <w:rsid w:val="2EFE507F"/>
    <w:rsid w:val="2F1F0B51"/>
    <w:rsid w:val="2F4F6B3A"/>
    <w:rsid w:val="2F61427A"/>
    <w:rsid w:val="2F633134"/>
    <w:rsid w:val="2F81180C"/>
    <w:rsid w:val="2F8B61E7"/>
    <w:rsid w:val="2FA572A9"/>
    <w:rsid w:val="2FA84FEB"/>
    <w:rsid w:val="2FC516F9"/>
    <w:rsid w:val="30354AD0"/>
    <w:rsid w:val="30403475"/>
    <w:rsid w:val="305B205D"/>
    <w:rsid w:val="30963095"/>
    <w:rsid w:val="309D61D2"/>
    <w:rsid w:val="30B359F5"/>
    <w:rsid w:val="30C91186"/>
    <w:rsid w:val="31344D88"/>
    <w:rsid w:val="31495EDE"/>
    <w:rsid w:val="314D7BF8"/>
    <w:rsid w:val="31921319"/>
    <w:rsid w:val="31BC6863"/>
    <w:rsid w:val="31C205E6"/>
    <w:rsid w:val="31CF685F"/>
    <w:rsid w:val="31D200FD"/>
    <w:rsid w:val="31EE13DB"/>
    <w:rsid w:val="320A7897"/>
    <w:rsid w:val="320F4EAD"/>
    <w:rsid w:val="32116E77"/>
    <w:rsid w:val="32B67A1F"/>
    <w:rsid w:val="32BA4FA1"/>
    <w:rsid w:val="32C520EC"/>
    <w:rsid w:val="32FA2CBE"/>
    <w:rsid w:val="3304078A"/>
    <w:rsid w:val="330B38C7"/>
    <w:rsid w:val="331C3D26"/>
    <w:rsid w:val="33386686"/>
    <w:rsid w:val="333B788C"/>
    <w:rsid w:val="33400AAD"/>
    <w:rsid w:val="33501C21"/>
    <w:rsid w:val="335214F5"/>
    <w:rsid w:val="336E4255"/>
    <w:rsid w:val="336F02F9"/>
    <w:rsid w:val="33833DA5"/>
    <w:rsid w:val="338B35BF"/>
    <w:rsid w:val="33DF6B01"/>
    <w:rsid w:val="34092461"/>
    <w:rsid w:val="34117602"/>
    <w:rsid w:val="341449FD"/>
    <w:rsid w:val="3434509F"/>
    <w:rsid w:val="34525525"/>
    <w:rsid w:val="34675474"/>
    <w:rsid w:val="347B2CCE"/>
    <w:rsid w:val="34B72DA6"/>
    <w:rsid w:val="34EE16F2"/>
    <w:rsid w:val="34EF42C7"/>
    <w:rsid w:val="35066A3B"/>
    <w:rsid w:val="35941F30"/>
    <w:rsid w:val="35E04617"/>
    <w:rsid w:val="35EA3087"/>
    <w:rsid w:val="35F25212"/>
    <w:rsid w:val="360C62D3"/>
    <w:rsid w:val="365657D0"/>
    <w:rsid w:val="36607CEC"/>
    <w:rsid w:val="36785717"/>
    <w:rsid w:val="367E2601"/>
    <w:rsid w:val="368A544A"/>
    <w:rsid w:val="369B31B3"/>
    <w:rsid w:val="36A302BA"/>
    <w:rsid w:val="36A93B22"/>
    <w:rsid w:val="36AA33F6"/>
    <w:rsid w:val="36BD75CE"/>
    <w:rsid w:val="36C97D20"/>
    <w:rsid w:val="36DD557A"/>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0D261A"/>
    <w:rsid w:val="3A306308"/>
    <w:rsid w:val="3A331955"/>
    <w:rsid w:val="3A3556CD"/>
    <w:rsid w:val="3A3D3FD1"/>
    <w:rsid w:val="3A465B2C"/>
    <w:rsid w:val="3A922B1F"/>
    <w:rsid w:val="3B005CDB"/>
    <w:rsid w:val="3B163750"/>
    <w:rsid w:val="3B1654FE"/>
    <w:rsid w:val="3B6A356D"/>
    <w:rsid w:val="3B7F0DA7"/>
    <w:rsid w:val="3BAB4838"/>
    <w:rsid w:val="3BF1493F"/>
    <w:rsid w:val="3C0E4427"/>
    <w:rsid w:val="3C2E5433"/>
    <w:rsid w:val="3C474EBB"/>
    <w:rsid w:val="3C6B7ACC"/>
    <w:rsid w:val="3C7C3A87"/>
    <w:rsid w:val="3C7F726B"/>
    <w:rsid w:val="3C8A7F52"/>
    <w:rsid w:val="3CBC20D5"/>
    <w:rsid w:val="3CD218F9"/>
    <w:rsid w:val="3D202664"/>
    <w:rsid w:val="3D3103CE"/>
    <w:rsid w:val="3D7A0677"/>
    <w:rsid w:val="3D8726E3"/>
    <w:rsid w:val="3DA74B34"/>
    <w:rsid w:val="3DAA0180"/>
    <w:rsid w:val="3E2241BA"/>
    <w:rsid w:val="3E2E563A"/>
    <w:rsid w:val="3E547D6D"/>
    <w:rsid w:val="3E9F0F73"/>
    <w:rsid w:val="3EA52FF6"/>
    <w:rsid w:val="3EB47508"/>
    <w:rsid w:val="3EBB0897"/>
    <w:rsid w:val="3EC314F9"/>
    <w:rsid w:val="3ED951C1"/>
    <w:rsid w:val="3EE50F86"/>
    <w:rsid w:val="3EF67B21"/>
    <w:rsid w:val="3EFC727D"/>
    <w:rsid w:val="3F012022"/>
    <w:rsid w:val="3F0E4CF0"/>
    <w:rsid w:val="3F2969DF"/>
    <w:rsid w:val="3F646DBC"/>
    <w:rsid w:val="3F7D3D9E"/>
    <w:rsid w:val="3FAE21A9"/>
    <w:rsid w:val="40022750"/>
    <w:rsid w:val="40061FE5"/>
    <w:rsid w:val="40273D0A"/>
    <w:rsid w:val="40387CC5"/>
    <w:rsid w:val="40E165AE"/>
    <w:rsid w:val="419D24D5"/>
    <w:rsid w:val="41D81760"/>
    <w:rsid w:val="41FA170B"/>
    <w:rsid w:val="420D1EA5"/>
    <w:rsid w:val="421A1D78"/>
    <w:rsid w:val="421D0D8D"/>
    <w:rsid w:val="42402E61"/>
    <w:rsid w:val="42980EEF"/>
    <w:rsid w:val="42E67EAC"/>
    <w:rsid w:val="42F06635"/>
    <w:rsid w:val="43001B9C"/>
    <w:rsid w:val="43056584"/>
    <w:rsid w:val="432F1853"/>
    <w:rsid w:val="43301127"/>
    <w:rsid w:val="43672D9B"/>
    <w:rsid w:val="43721740"/>
    <w:rsid w:val="439C056B"/>
    <w:rsid w:val="43A86F10"/>
    <w:rsid w:val="43D9531B"/>
    <w:rsid w:val="43DF68BA"/>
    <w:rsid w:val="442C18EF"/>
    <w:rsid w:val="44613C8E"/>
    <w:rsid w:val="44A771C7"/>
    <w:rsid w:val="44C63AF1"/>
    <w:rsid w:val="44E0509A"/>
    <w:rsid w:val="44E328F5"/>
    <w:rsid w:val="44E6705D"/>
    <w:rsid w:val="45085EB8"/>
    <w:rsid w:val="450C5FC9"/>
    <w:rsid w:val="45120AE5"/>
    <w:rsid w:val="45294080"/>
    <w:rsid w:val="455B692F"/>
    <w:rsid w:val="457774F2"/>
    <w:rsid w:val="45C94FEF"/>
    <w:rsid w:val="45E22BAD"/>
    <w:rsid w:val="462D2409"/>
    <w:rsid w:val="463D2F25"/>
    <w:rsid w:val="463D6035"/>
    <w:rsid w:val="465F5FAB"/>
    <w:rsid w:val="47462CC7"/>
    <w:rsid w:val="477F61D9"/>
    <w:rsid w:val="47892A70"/>
    <w:rsid w:val="479559FD"/>
    <w:rsid w:val="47B95B8F"/>
    <w:rsid w:val="47C1249E"/>
    <w:rsid w:val="47C702AC"/>
    <w:rsid w:val="47D604EF"/>
    <w:rsid w:val="47DD7AD0"/>
    <w:rsid w:val="481B4427"/>
    <w:rsid w:val="4828061F"/>
    <w:rsid w:val="483B0352"/>
    <w:rsid w:val="485756B9"/>
    <w:rsid w:val="485D29BF"/>
    <w:rsid w:val="48822127"/>
    <w:rsid w:val="48835154"/>
    <w:rsid w:val="488C6E00"/>
    <w:rsid w:val="48E00EFA"/>
    <w:rsid w:val="4939003C"/>
    <w:rsid w:val="493F3E72"/>
    <w:rsid w:val="494871CB"/>
    <w:rsid w:val="4950607F"/>
    <w:rsid w:val="495D254A"/>
    <w:rsid w:val="496E4757"/>
    <w:rsid w:val="49A34401"/>
    <w:rsid w:val="49C8030C"/>
    <w:rsid w:val="49E60792"/>
    <w:rsid w:val="4A010EEA"/>
    <w:rsid w:val="4A280A90"/>
    <w:rsid w:val="4A634EC5"/>
    <w:rsid w:val="4AAA17BF"/>
    <w:rsid w:val="4AFB201B"/>
    <w:rsid w:val="4AFF1B0B"/>
    <w:rsid w:val="4B054C48"/>
    <w:rsid w:val="4B1B446B"/>
    <w:rsid w:val="4B9304A5"/>
    <w:rsid w:val="4BA91521"/>
    <w:rsid w:val="4BDE5BC4"/>
    <w:rsid w:val="4BE17463"/>
    <w:rsid w:val="4C0B2731"/>
    <w:rsid w:val="4C2A2BB8"/>
    <w:rsid w:val="4C5939BE"/>
    <w:rsid w:val="4C76404F"/>
    <w:rsid w:val="4C8F3363"/>
    <w:rsid w:val="4C9149E5"/>
    <w:rsid w:val="4CAC2800"/>
    <w:rsid w:val="4CFB5EE3"/>
    <w:rsid w:val="4D263AF9"/>
    <w:rsid w:val="4D333CEE"/>
    <w:rsid w:val="4D4B074A"/>
    <w:rsid w:val="4E151645"/>
    <w:rsid w:val="4E467A51"/>
    <w:rsid w:val="4E7C16C5"/>
    <w:rsid w:val="4E944C60"/>
    <w:rsid w:val="4ECC264C"/>
    <w:rsid w:val="4EF26D89"/>
    <w:rsid w:val="4F367AC5"/>
    <w:rsid w:val="4F8922EB"/>
    <w:rsid w:val="4F9667B6"/>
    <w:rsid w:val="4FC205E1"/>
    <w:rsid w:val="4FC926E8"/>
    <w:rsid w:val="4FE45773"/>
    <w:rsid w:val="4FF85042"/>
    <w:rsid w:val="50175B49"/>
    <w:rsid w:val="501871CB"/>
    <w:rsid w:val="501E2A33"/>
    <w:rsid w:val="502C74D1"/>
    <w:rsid w:val="507C6DB1"/>
    <w:rsid w:val="50F02837"/>
    <w:rsid w:val="50F36BB7"/>
    <w:rsid w:val="510A2FB8"/>
    <w:rsid w:val="514069D9"/>
    <w:rsid w:val="51417EB7"/>
    <w:rsid w:val="516F3CBE"/>
    <w:rsid w:val="517C5E2B"/>
    <w:rsid w:val="517C782D"/>
    <w:rsid w:val="518A5EA7"/>
    <w:rsid w:val="51C25640"/>
    <w:rsid w:val="51C639B2"/>
    <w:rsid w:val="51DF61F2"/>
    <w:rsid w:val="51F17F8E"/>
    <w:rsid w:val="522B58DB"/>
    <w:rsid w:val="5234643D"/>
    <w:rsid w:val="52823DEE"/>
    <w:rsid w:val="52860D64"/>
    <w:rsid w:val="52EC4B4A"/>
    <w:rsid w:val="53051C89"/>
    <w:rsid w:val="53081779"/>
    <w:rsid w:val="531B76FE"/>
    <w:rsid w:val="53510242"/>
    <w:rsid w:val="536F17F8"/>
    <w:rsid w:val="53733096"/>
    <w:rsid w:val="538A6632"/>
    <w:rsid w:val="54102DA0"/>
    <w:rsid w:val="541128AF"/>
    <w:rsid w:val="546926EB"/>
    <w:rsid w:val="54745318"/>
    <w:rsid w:val="54B25E40"/>
    <w:rsid w:val="54B565B4"/>
    <w:rsid w:val="54BC6CBF"/>
    <w:rsid w:val="54D2203E"/>
    <w:rsid w:val="54DE6C35"/>
    <w:rsid w:val="54EF499E"/>
    <w:rsid w:val="54FA3343"/>
    <w:rsid w:val="551663CF"/>
    <w:rsid w:val="5517751A"/>
    <w:rsid w:val="551E7032"/>
    <w:rsid w:val="55436A98"/>
    <w:rsid w:val="55524F2D"/>
    <w:rsid w:val="558A46C7"/>
    <w:rsid w:val="55AD03B6"/>
    <w:rsid w:val="56194C24"/>
    <w:rsid w:val="564725B8"/>
    <w:rsid w:val="566B274A"/>
    <w:rsid w:val="56BE6D1E"/>
    <w:rsid w:val="56F05266"/>
    <w:rsid w:val="57174680"/>
    <w:rsid w:val="57325016"/>
    <w:rsid w:val="57350A15"/>
    <w:rsid w:val="574A05B2"/>
    <w:rsid w:val="575168F3"/>
    <w:rsid w:val="577E025B"/>
    <w:rsid w:val="57931A9B"/>
    <w:rsid w:val="57A53A3A"/>
    <w:rsid w:val="57AA2DFF"/>
    <w:rsid w:val="57AC6B77"/>
    <w:rsid w:val="57C245EC"/>
    <w:rsid w:val="57C87729"/>
    <w:rsid w:val="580C3AB9"/>
    <w:rsid w:val="583152CE"/>
    <w:rsid w:val="58732C56"/>
    <w:rsid w:val="58767185"/>
    <w:rsid w:val="58A957AC"/>
    <w:rsid w:val="58D02D39"/>
    <w:rsid w:val="58FC1D80"/>
    <w:rsid w:val="5910419F"/>
    <w:rsid w:val="594D5E25"/>
    <w:rsid w:val="59556A2A"/>
    <w:rsid w:val="59670749"/>
    <w:rsid w:val="59C363FA"/>
    <w:rsid w:val="59CC52AE"/>
    <w:rsid w:val="59D93D40"/>
    <w:rsid w:val="59E14756"/>
    <w:rsid w:val="59FD3647"/>
    <w:rsid w:val="5A13112F"/>
    <w:rsid w:val="5A1924BD"/>
    <w:rsid w:val="5A4E03B9"/>
    <w:rsid w:val="5A737E20"/>
    <w:rsid w:val="5A7E4E4D"/>
    <w:rsid w:val="5A876F07"/>
    <w:rsid w:val="5A9009D2"/>
    <w:rsid w:val="5AB55191"/>
    <w:rsid w:val="5ABA15AB"/>
    <w:rsid w:val="5AC97A40"/>
    <w:rsid w:val="5ACE14FA"/>
    <w:rsid w:val="5AF727FF"/>
    <w:rsid w:val="5B152C85"/>
    <w:rsid w:val="5B2B06FA"/>
    <w:rsid w:val="5B3A2360"/>
    <w:rsid w:val="5B495E80"/>
    <w:rsid w:val="5B5163B3"/>
    <w:rsid w:val="5B7C0F56"/>
    <w:rsid w:val="5B871DD5"/>
    <w:rsid w:val="5BC70423"/>
    <w:rsid w:val="5BD13050"/>
    <w:rsid w:val="5BD4669C"/>
    <w:rsid w:val="5BF44F90"/>
    <w:rsid w:val="5BFB2CB6"/>
    <w:rsid w:val="5C531704"/>
    <w:rsid w:val="5C6B34A4"/>
    <w:rsid w:val="5C7D31D8"/>
    <w:rsid w:val="5C957923"/>
    <w:rsid w:val="5CA42F27"/>
    <w:rsid w:val="5CAC38D8"/>
    <w:rsid w:val="5CB0535B"/>
    <w:rsid w:val="5CDC0F56"/>
    <w:rsid w:val="5CE11CAD"/>
    <w:rsid w:val="5D0336DD"/>
    <w:rsid w:val="5D0F5ABF"/>
    <w:rsid w:val="5D101956"/>
    <w:rsid w:val="5D257215"/>
    <w:rsid w:val="5D2B6790"/>
    <w:rsid w:val="5DC32E6C"/>
    <w:rsid w:val="5DC76880"/>
    <w:rsid w:val="5DE021E2"/>
    <w:rsid w:val="5DF41277"/>
    <w:rsid w:val="5DFA5BF3"/>
    <w:rsid w:val="5E545B85"/>
    <w:rsid w:val="5E6C12B6"/>
    <w:rsid w:val="5E734892"/>
    <w:rsid w:val="5EC40C4A"/>
    <w:rsid w:val="5ECC7AFE"/>
    <w:rsid w:val="5EF37781"/>
    <w:rsid w:val="5F765DB0"/>
    <w:rsid w:val="5F942D12"/>
    <w:rsid w:val="60200102"/>
    <w:rsid w:val="60343BAD"/>
    <w:rsid w:val="60CA62C0"/>
    <w:rsid w:val="60F35816"/>
    <w:rsid w:val="610C29F3"/>
    <w:rsid w:val="611E0D6E"/>
    <w:rsid w:val="61371BA7"/>
    <w:rsid w:val="613D4CE3"/>
    <w:rsid w:val="614D13CA"/>
    <w:rsid w:val="617F70AA"/>
    <w:rsid w:val="61891CD7"/>
    <w:rsid w:val="62257C51"/>
    <w:rsid w:val="622A6C63"/>
    <w:rsid w:val="623B56C7"/>
    <w:rsid w:val="623D10A6"/>
    <w:rsid w:val="62EF21DB"/>
    <w:rsid w:val="630C7063"/>
    <w:rsid w:val="631D68AE"/>
    <w:rsid w:val="632D6F40"/>
    <w:rsid w:val="634E31D8"/>
    <w:rsid w:val="635F53E5"/>
    <w:rsid w:val="63A454EE"/>
    <w:rsid w:val="63A728E8"/>
    <w:rsid w:val="63AF1D1A"/>
    <w:rsid w:val="63EF4ADB"/>
    <w:rsid w:val="63F510AA"/>
    <w:rsid w:val="63F773CC"/>
    <w:rsid w:val="645760BC"/>
    <w:rsid w:val="6468651B"/>
    <w:rsid w:val="646E5794"/>
    <w:rsid w:val="648275DD"/>
    <w:rsid w:val="648E32AE"/>
    <w:rsid w:val="64A06B15"/>
    <w:rsid w:val="64A31301"/>
    <w:rsid w:val="64BC084D"/>
    <w:rsid w:val="64D252BD"/>
    <w:rsid w:val="64E77440"/>
    <w:rsid w:val="65000502"/>
    <w:rsid w:val="65363F24"/>
    <w:rsid w:val="65412DFD"/>
    <w:rsid w:val="65426D6C"/>
    <w:rsid w:val="65444892"/>
    <w:rsid w:val="654E5711"/>
    <w:rsid w:val="656E5DB3"/>
    <w:rsid w:val="657F52AC"/>
    <w:rsid w:val="659B647C"/>
    <w:rsid w:val="65B14293"/>
    <w:rsid w:val="65BC08CD"/>
    <w:rsid w:val="65C23A09"/>
    <w:rsid w:val="65ED3907"/>
    <w:rsid w:val="66214BD4"/>
    <w:rsid w:val="663742F4"/>
    <w:rsid w:val="663A01C8"/>
    <w:rsid w:val="663C486E"/>
    <w:rsid w:val="6647199B"/>
    <w:rsid w:val="664A237C"/>
    <w:rsid w:val="66703465"/>
    <w:rsid w:val="66846F11"/>
    <w:rsid w:val="668B2466"/>
    <w:rsid w:val="669673D0"/>
    <w:rsid w:val="66DB439B"/>
    <w:rsid w:val="66E003B2"/>
    <w:rsid w:val="672C55DE"/>
    <w:rsid w:val="673B7F17"/>
    <w:rsid w:val="67971B84"/>
    <w:rsid w:val="67B37AAD"/>
    <w:rsid w:val="67B57CC9"/>
    <w:rsid w:val="680E73DA"/>
    <w:rsid w:val="6817729A"/>
    <w:rsid w:val="685F19E3"/>
    <w:rsid w:val="68B65AA7"/>
    <w:rsid w:val="693469CC"/>
    <w:rsid w:val="69731BEA"/>
    <w:rsid w:val="699A7177"/>
    <w:rsid w:val="699C195F"/>
    <w:rsid w:val="699E695C"/>
    <w:rsid w:val="69BF7E12"/>
    <w:rsid w:val="6A22716C"/>
    <w:rsid w:val="6A407083"/>
    <w:rsid w:val="6A4470E3"/>
    <w:rsid w:val="6A4E61B3"/>
    <w:rsid w:val="6A8B383A"/>
    <w:rsid w:val="6AB204F0"/>
    <w:rsid w:val="6AB75B07"/>
    <w:rsid w:val="6ACB15B2"/>
    <w:rsid w:val="6AE14931"/>
    <w:rsid w:val="6B0A20DA"/>
    <w:rsid w:val="6B2F1B41"/>
    <w:rsid w:val="6B4078AA"/>
    <w:rsid w:val="6B5E1C10"/>
    <w:rsid w:val="6B8278FE"/>
    <w:rsid w:val="6B8C2AEF"/>
    <w:rsid w:val="6B9B0F84"/>
    <w:rsid w:val="6B9C09D1"/>
    <w:rsid w:val="6BAD1411"/>
    <w:rsid w:val="6BC04E8F"/>
    <w:rsid w:val="6BC54253"/>
    <w:rsid w:val="6BC86475"/>
    <w:rsid w:val="6C0D40F8"/>
    <w:rsid w:val="6C0F54CE"/>
    <w:rsid w:val="6C13111E"/>
    <w:rsid w:val="6C2E4C0D"/>
    <w:rsid w:val="6C823EF2"/>
    <w:rsid w:val="6C993B98"/>
    <w:rsid w:val="6CA420BB"/>
    <w:rsid w:val="6CC00430"/>
    <w:rsid w:val="6D394EF9"/>
    <w:rsid w:val="6D5B4E6F"/>
    <w:rsid w:val="6D9C0FE4"/>
    <w:rsid w:val="6DA6798D"/>
    <w:rsid w:val="6DAF0D17"/>
    <w:rsid w:val="6DED4397"/>
    <w:rsid w:val="6DF40E20"/>
    <w:rsid w:val="6E313E22"/>
    <w:rsid w:val="6E9817AB"/>
    <w:rsid w:val="6EAD16FA"/>
    <w:rsid w:val="6EB72579"/>
    <w:rsid w:val="6EEA55F9"/>
    <w:rsid w:val="6F101C89"/>
    <w:rsid w:val="6F33254C"/>
    <w:rsid w:val="6F370FC4"/>
    <w:rsid w:val="6F420D0F"/>
    <w:rsid w:val="6FAC19B2"/>
    <w:rsid w:val="6FB22D40"/>
    <w:rsid w:val="6FB2689C"/>
    <w:rsid w:val="6FC0720B"/>
    <w:rsid w:val="6FC54822"/>
    <w:rsid w:val="701B5C41"/>
    <w:rsid w:val="704626B8"/>
    <w:rsid w:val="707B3132"/>
    <w:rsid w:val="70967F6C"/>
    <w:rsid w:val="70EC5DDE"/>
    <w:rsid w:val="70F50A78"/>
    <w:rsid w:val="71091718"/>
    <w:rsid w:val="714A76D4"/>
    <w:rsid w:val="71587B7E"/>
    <w:rsid w:val="71816E6E"/>
    <w:rsid w:val="71940950"/>
    <w:rsid w:val="71C34D91"/>
    <w:rsid w:val="71E371E1"/>
    <w:rsid w:val="72192C03"/>
    <w:rsid w:val="722515A8"/>
    <w:rsid w:val="7249173A"/>
    <w:rsid w:val="7276222A"/>
    <w:rsid w:val="72D134DE"/>
    <w:rsid w:val="730D09BA"/>
    <w:rsid w:val="73197CE0"/>
    <w:rsid w:val="732A1BFA"/>
    <w:rsid w:val="73344FDD"/>
    <w:rsid w:val="734343DB"/>
    <w:rsid w:val="73616E39"/>
    <w:rsid w:val="73942E89"/>
    <w:rsid w:val="73C0694D"/>
    <w:rsid w:val="74404DBF"/>
    <w:rsid w:val="74827185"/>
    <w:rsid w:val="74A54B7B"/>
    <w:rsid w:val="74FF4332"/>
    <w:rsid w:val="751B270C"/>
    <w:rsid w:val="7532635D"/>
    <w:rsid w:val="75395703"/>
    <w:rsid w:val="753D00DE"/>
    <w:rsid w:val="753D4E5A"/>
    <w:rsid w:val="756845CD"/>
    <w:rsid w:val="7577036C"/>
    <w:rsid w:val="75D66156"/>
    <w:rsid w:val="75DC28C5"/>
    <w:rsid w:val="75F0011F"/>
    <w:rsid w:val="7601057E"/>
    <w:rsid w:val="760B4F58"/>
    <w:rsid w:val="761C7166"/>
    <w:rsid w:val="761E2EDE"/>
    <w:rsid w:val="76312C11"/>
    <w:rsid w:val="76381436"/>
    <w:rsid w:val="764364A0"/>
    <w:rsid w:val="7682521B"/>
    <w:rsid w:val="768C17FB"/>
    <w:rsid w:val="76E539FB"/>
    <w:rsid w:val="76E66842"/>
    <w:rsid w:val="76EE465E"/>
    <w:rsid w:val="770B16B4"/>
    <w:rsid w:val="773D55E5"/>
    <w:rsid w:val="774B1AB0"/>
    <w:rsid w:val="77722493"/>
    <w:rsid w:val="77A25449"/>
    <w:rsid w:val="77AB07A1"/>
    <w:rsid w:val="77C93AFF"/>
    <w:rsid w:val="780659D7"/>
    <w:rsid w:val="781529D2"/>
    <w:rsid w:val="783267CC"/>
    <w:rsid w:val="78370287"/>
    <w:rsid w:val="783E1615"/>
    <w:rsid w:val="78436C2C"/>
    <w:rsid w:val="786D5A56"/>
    <w:rsid w:val="787D213D"/>
    <w:rsid w:val="78AA6CAB"/>
    <w:rsid w:val="78EE4DE9"/>
    <w:rsid w:val="79002FDD"/>
    <w:rsid w:val="790E7239"/>
    <w:rsid w:val="790F7714"/>
    <w:rsid w:val="792F0F5E"/>
    <w:rsid w:val="795D5ACB"/>
    <w:rsid w:val="798474FC"/>
    <w:rsid w:val="79EB3639"/>
    <w:rsid w:val="79F521A7"/>
    <w:rsid w:val="7A0E5017"/>
    <w:rsid w:val="7A2C2B5D"/>
    <w:rsid w:val="7A3C397B"/>
    <w:rsid w:val="7A4256DD"/>
    <w:rsid w:val="7A5F5873"/>
    <w:rsid w:val="7A675A03"/>
    <w:rsid w:val="7A811C8D"/>
    <w:rsid w:val="7A8C48BA"/>
    <w:rsid w:val="7AA17C39"/>
    <w:rsid w:val="7ACD0A2E"/>
    <w:rsid w:val="7ADF16C7"/>
    <w:rsid w:val="7AE123AE"/>
    <w:rsid w:val="7AF1471D"/>
    <w:rsid w:val="7AFD5101"/>
    <w:rsid w:val="7B247399"/>
    <w:rsid w:val="7B424F78"/>
    <w:rsid w:val="7B672C31"/>
    <w:rsid w:val="7BDF4EBD"/>
    <w:rsid w:val="7C684EB3"/>
    <w:rsid w:val="7C7C270C"/>
    <w:rsid w:val="7C88056F"/>
    <w:rsid w:val="7CB974BC"/>
    <w:rsid w:val="7CBB28FC"/>
    <w:rsid w:val="7CC85951"/>
    <w:rsid w:val="7CD460A4"/>
    <w:rsid w:val="7CDB38D7"/>
    <w:rsid w:val="7CEA1D6C"/>
    <w:rsid w:val="7D072290"/>
    <w:rsid w:val="7D1D3EEF"/>
    <w:rsid w:val="7D2106AF"/>
    <w:rsid w:val="7D2D1C58"/>
    <w:rsid w:val="7D2D2186"/>
    <w:rsid w:val="7D3E3E65"/>
    <w:rsid w:val="7D787377"/>
    <w:rsid w:val="7E002EC9"/>
    <w:rsid w:val="7E1D3A7B"/>
    <w:rsid w:val="7E3808B5"/>
    <w:rsid w:val="7E505BFE"/>
    <w:rsid w:val="7E54777A"/>
    <w:rsid w:val="7E611BB9"/>
    <w:rsid w:val="7E825C71"/>
    <w:rsid w:val="7EA85A3A"/>
    <w:rsid w:val="7EA96758"/>
    <w:rsid w:val="7EAC5BC9"/>
    <w:rsid w:val="7EB048EF"/>
    <w:rsid w:val="7EBE525E"/>
    <w:rsid w:val="7ECA59B1"/>
    <w:rsid w:val="7ED405DD"/>
    <w:rsid w:val="7EE8612B"/>
    <w:rsid w:val="7EFE77F8"/>
    <w:rsid w:val="7F0D1D41"/>
    <w:rsid w:val="7F546452"/>
    <w:rsid w:val="7F5870F3"/>
    <w:rsid w:val="7F6041C6"/>
    <w:rsid w:val="7F692AD8"/>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2"/>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9"/>
    <w:pPr>
      <w:keepNext/>
      <w:keepLines/>
      <w:spacing w:before="280" w:after="290" w:line="376" w:lineRule="auto"/>
      <w:outlineLvl w:val="3"/>
    </w:pPr>
    <w:rPr>
      <w:rFonts w:ascii="Cambria" w:hAnsi="Cambria" w:eastAsia="宋体" w:cs="Times New Roman"/>
      <w:b/>
      <w:bCs/>
      <w:szCs w:val="28"/>
    </w:rPr>
  </w:style>
  <w:style w:type="paragraph" w:styleId="7">
    <w:name w:val="heading 5"/>
    <w:basedOn w:val="1"/>
    <w:next w:val="1"/>
    <w:link w:val="54"/>
    <w:qFormat/>
    <w:uiPriority w:val="9"/>
    <w:pPr>
      <w:keepNext/>
      <w:keepLines/>
      <w:spacing w:before="280" w:after="290" w:line="376" w:lineRule="auto"/>
      <w:outlineLvl w:val="4"/>
    </w:pPr>
    <w:rPr>
      <w:b/>
      <w:bCs/>
      <w:szCs w:val="28"/>
    </w:rPr>
  </w:style>
  <w:style w:type="paragraph" w:styleId="8">
    <w:name w:val="heading 6"/>
    <w:basedOn w:val="1"/>
    <w:next w:val="1"/>
    <w:link w:val="55"/>
    <w:qFormat/>
    <w:uiPriority w:val="9"/>
    <w:pPr>
      <w:keepNext/>
      <w:keepLines/>
      <w:spacing w:before="240" w:after="64" w:line="320" w:lineRule="auto"/>
      <w:outlineLvl w:val="5"/>
    </w:pPr>
    <w:rPr>
      <w:rFonts w:ascii="Cambria" w:hAnsi="Cambria" w:eastAsia="宋体" w:cs="Times New Roman"/>
      <w:b/>
      <w:bCs/>
      <w:sz w:val="24"/>
      <w:szCs w:val="24"/>
    </w:rPr>
  </w:style>
  <w:style w:type="paragraph" w:styleId="9">
    <w:name w:val="heading 7"/>
    <w:basedOn w:val="1"/>
    <w:next w:val="1"/>
    <w:link w:val="56"/>
    <w:qFormat/>
    <w:uiPriority w:val="9"/>
    <w:pPr>
      <w:keepNext/>
      <w:keepLines/>
      <w:spacing w:before="240" w:after="64" w:line="320" w:lineRule="auto"/>
      <w:outlineLvl w:val="6"/>
    </w:pPr>
    <w:rPr>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rFonts w:ascii="Calibri" w:hAnsi="Calibri"/>
      <w:szCs w:val="24"/>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qFormat/>
    <w:uiPriority w:val="0"/>
    <w:pPr>
      <w:jc w:val="left"/>
    </w:pPr>
    <w:rPr>
      <w:kern w:val="0"/>
      <w:sz w:val="21"/>
      <w:szCs w:val="21"/>
    </w:rPr>
  </w:style>
  <w:style w:type="paragraph" w:styleId="12">
    <w:name w:val="Body Text Indent"/>
    <w:basedOn w:val="1"/>
    <w:next w:val="13"/>
    <w:link w:val="49"/>
    <w:qFormat/>
    <w:uiPriority w:val="0"/>
    <w:pPr>
      <w:spacing w:line="200" w:lineRule="atLeast"/>
      <w:ind w:firstLine="301"/>
    </w:pPr>
    <w:rPr>
      <w:rFonts w:ascii="宋体" w:hAnsi="Courier New"/>
      <w:spacing w:val="-4"/>
      <w:kern w:val="0"/>
      <w:sz w:val="18"/>
    </w:rPr>
  </w:style>
  <w:style w:type="paragraph" w:styleId="13">
    <w:name w:val="envelope return"/>
    <w:basedOn w:val="1"/>
    <w:qFormat/>
    <w:uiPriority w:val="0"/>
    <w:pPr>
      <w:snapToGrid w:val="0"/>
    </w:pPr>
    <w:rPr>
      <w:rFonts w:ascii="Arial" w:hAnsi="Arial"/>
    </w:rPr>
  </w:style>
  <w:style w:type="paragraph" w:styleId="14">
    <w:name w:val="Block Text"/>
    <w:basedOn w:val="1"/>
    <w:qFormat/>
    <w:uiPriority w:val="0"/>
    <w:pPr>
      <w:spacing w:line="360" w:lineRule="auto"/>
      <w:ind w:left="630" w:right="-609" w:firstLine="420"/>
    </w:pPr>
    <w:rPr>
      <w:rFonts w:ascii="仿宋_GB2312" w:eastAsia="仿宋_GB2312"/>
    </w:rPr>
  </w:style>
  <w:style w:type="paragraph" w:styleId="15">
    <w:name w:val="Plain Text"/>
    <w:basedOn w:val="1"/>
    <w:link w:val="57"/>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unhideWhenUsed/>
    <w:qFormat/>
    <w:uiPriority w:val="99"/>
    <w:rPr>
      <w:sz w:val="18"/>
      <w:szCs w:val="18"/>
    </w:rPr>
  </w:style>
  <w:style w:type="paragraph" w:styleId="18">
    <w:name w:val="footer"/>
    <w:basedOn w:val="1"/>
    <w:link w:val="60"/>
    <w:unhideWhenUsed/>
    <w:qFormat/>
    <w:uiPriority w:val="99"/>
    <w:pPr>
      <w:tabs>
        <w:tab w:val="center" w:pos="4153"/>
        <w:tab w:val="right" w:pos="8306"/>
      </w:tabs>
      <w:snapToGrid w:val="0"/>
      <w:jc w:val="left"/>
    </w:pPr>
    <w:rPr>
      <w:sz w:val="18"/>
      <w:szCs w:val="18"/>
    </w:rPr>
  </w:style>
  <w:style w:type="paragraph" w:styleId="19">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Body Text 2"/>
    <w:basedOn w:val="1"/>
    <w:semiHidden/>
    <w:unhideWhenUsed/>
    <w:qFormat/>
    <w:uiPriority w:val="99"/>
    <w:pPr>
      <w:spacing w:after="120" w:line="480" w:lineRule="auto"/>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cs="Times New Roman"/>
      <w:b/>
      <w:bCs/>
      <w:sz w:val="32"/>
      <w:szCs w:val="32"/>
    </w:rPr>
  </w:style>
  <w:style w:type="paragraph" w:styleId="27">
    <w:name w:val="Body Text First Indent 2"/>
    <w:basedOn w:val="12"/>
    <w:next w:val="21"/>
    <w:qFormat/>
    <w:uiPriority w:val="0"/>
    <w:pPr>
      <w:ind w:firstLine="420" w:firstLineChars="200"/>
    </w:p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bCs/>
    </w:rPr>
  </w:style>
  <w:style w:type="character" w:styleId="32">
    <w:name w:val="Hyperlink"/>
    <w:basedOn w:val="30"/>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9">
    <w:name w:val="正文文本缩进 Char"/>
    <w:link w:val="12"/>
    <w:qFormat/>
    <w:locked/>
    <w:uiPriority w:val="0"/>
    <w:rPr>
      <w:rFonts w:ascii="宋体" w:hAnsi="Courier New" w:eastAsia="宋体"/>
      <w:spacing w:val="-4"/>
      <w:sz w:val="18"/>
    </w:rPr>
  </w:style>
  <w:style w:type="character" w:customStyle="1" w:styleId="50">
    <w:name w:val="标题 1 Char"/>
    <w:basedOn w:val="30"/>
    <w:link w:val="3"/>
    <w:qFormat/>
    <w:uiPriority w:val="0"/>
    <w:rPr>
      <w:rFonts w:ascii="宋体" w:hAnsi="Arial" w:eastAsia="黑体" w:cs="Times New Roman"/>
      <w:b/>
      <w:bCs/>
      <w:color w:val="000000"/>
      <w:kern w:val="44"/>
      <w:sz w:val="36"/>
      <w:szCs w:val="32"/>
    </w:rPr>
  </w:style>
  <w:style w:type="character" w:customStyle="1" w:styleId="51">
    <w:name w:val="标题 2 Char"/>
    <w:basedOn w:val="30"/>
    <w:link w:val="4"/>
    <w:semiHidden/>
    <w:qFormat/>
    <w:uiPriority w:val="9"/>
    <w:rPr>
      <w:rFonts w:ascii="Cambria" w:hAnsi="Cambria" w:eastAsia="宋体" w:cs="Times New Roman"/>
      <w:b/>
      <w:bCs/>
      <w:sz w:val="32"/>
      <w:szCs w:val="32"/>
    </w:rPr>
  </w:style>
  <w:style w:type="character" w:customStyle="1" w:styleId="52">
    <w:name w:val="标题 3 Char1"/>
    <w:basedOn w:val="30"/>
    <w:link w:val="5"/>
    <w:semiHidden/>
    <w:qFormat/>
    <w:uiPriority w:val="9"/>
    <w:rPr>
      <w:rFonts w:ascii="Times New Roman" w:hAnsi="Times New Roman" w:eastAsia="宋体" w:cs="Times New Roman"/>
      <w:b/>
      <w:bCs/>
      <w:sz w:val="32"/>
      <w:szCs w:val="32"/>
    </w:rPr>
  </w:style>
  <w:style w:type="character" w:customStyle="1" w:styleId="53">
    <w:name w:val="标题 4 Char"/>
    <w:basedOn w:val="30"/>
    <w:link w:val="6"/>
    <w:semiHidden/>
    <w:qFormat/>
    <w:uiPriority w:val="9"/>
    <w:rPr>
      <w:rFonts w:ascii="Cambria" w:hAnsi="Cambria" w:eastAsia="宋体" w:cs="Times New Roman"/>
      <w:b/>
      <w:bCs/>
      <w:sz w:val="28"/>
      <w:szCs w:val="28"/>
    </w:rPr>
  </w:style>
  <w:style w:type="character" w:customStyle="1" w:styleId="54">
    <w:name w:val="标题 5 Char"/>
    <w:basedOn w:val="30"/>
    <w:link w:val="7"/>
    <w:semiHidden/>
    <w:qFormat/>
    <w:uiPriority w:val="9"/>
    <w:rPr>
      <w:rFonts w:ascii="Times New Roman" w:hAnsi="Times New Roman" w:eastAsia="宋体" w:cs="Times New Roman"/>
      <w:b/>
      <w:bCs/>
      <w:sz w:val="28"/>
      <w:szCs w:val="28"/>
    </w:rPr>
  </w:style>
  <w:style w:type="character" w:customStyle="1" w:styleId="55">
    <w:name w:val="标题 6 Char"/>
    <w:basedOn w:val="30"/>
    <w:link w:val="8"/>
    <w:semiHidden/>
    <w:qFormat/>
    <w:uiPriority w:val="9"/>
    <w:rPr>
      <w:rFonts w:ascii="Cambria" w:hAnsi="Cambria" w:eastAsia="宋体" w:cs="Times New Roman"/>
      <w:b/>
      <w:bCs/>
      <w:sz w:val="24"/>
      <w:szCs w:val="24"/>
    </w:rPr>
  </w:style>
  <w:style w:type="character" w:customStyle="1" w:styleId="56">
    <w:name w:val="标题 7 Char"/>
    <w:basedOn w:val="30"/>
    <w:link w:val="9"/>
    <w:semiHidden/>
    <w:qFormat/>
    <w:uiPriority w:val="9"/>
    <w:rPr>
      <w:rFonts w:ascii="Times New Roman" w:hAnsi="Times New Roman" w:eastAsia="宋体" w:cs="Times New Roman"/>
      <w:b/>
      <w:bCs/>
      <w:sz w:val="24"/>
      <w:szCs w:val="24"/>
    </w:rPr>
  </w:style>
  <w:style w:type="character" w:customStyle="1" w:styleId="57">
    <w:name w:val="纯文本 Char1"/>
    <w:link w:val="15"/>
    <w:qFormat/>
    <w:uiPriority w:val="0"/>
    <w:rPr>
      <w:rFonts w:ascii="宋体" w:hAnsi="Courier New" w:eastAsia="宋体"/>
      <w:sz w:val="24"/>
    </w:rPr>
  </w:style>
  <w:style w:type="character" w:customStyle="1" w:styleId="58">
    <w:name w:val="日期 Char"/>
    <w:basedOn w:val="30"/>
    <w:link w:val="16"/>
    <w:semiHidden/>
    <w:qFormat/>
    <w:uiPriority w:val="99"/>
    <w:rPr>
      <w:rFonts w:ascii="Times New Roman" w:hAnsi="Times New Roman" w:eastAsia="宋体" w:cs="Times New Roman"/>
      <w:sz w:val="28"/>
      <w:szCs w:val="20"/>
    </w:rPr>
  </w:style>
  <w:style w:type="character" w:customStyle="1" w:styleId="59">
    <w:name w:val="批注框文本 Char"/>
    <w:basedOn w:val="30"/>
    <w:link w:val="17"/>
    <w:semiHidden/>
    <w:qFormat/>
    <w:uiPriority w:val="99"/>
    <w:rPr>
      <w:rFonts w:ascii="Times New Roman" w:hAnsi="Times New Roman" w:eastAsia="宋体" w:cs="Times New Roman"/>
      <w:sz w:val="18"/>
      <w:szCs w:val="18"/>
    </w:rPr>
  </w:style>
  <w:style w:type="character" w:customStyle="1" w:styleId="60">
    <w:name w:val="页脚 Char"/>
    <w:basedOn w:val="30"/>
    <w:link w:val="18"/>
    <w:qFormat/>
    <w:uiPriority w:val="99"/>
    <w:rPr>
      <w:rFonts w:ascii="Times New Roman" w:hAnsi="Times New Roman" w:eastAsia="宋体" w:cs="Times New Roman"/>
      <w:sz w:val="18"/>
      <w:szCs w:val="18"/>
    </w:rPr>
  </w:style>
  <w:style w:type="character" w:customStyle="1" w:styleId="61">
    <w:name w:val="页眉 Char"/>
    <w:basedOn w:val="30"/>
    <w:link w:val="19"/>
    <w:semiHidden/>
    <w:qFormat/>
    <w:uiPriority w:val="99"/>
    <w:rPr>
      <w:rFonts w:ascii="Times New Roman" w:hAnsi="Times New Roman" w:eastAsia="宋体" w:cs="Times New Roman"/>
      <w:sz w:val="18"/>
      <w:szCs w:val="18"/>
    </w:rPr>
  </w:style>
  <w:style w:type="character" w:customStyle="1" w:styleId="62">
    <w:name w:val="标题 Char"/>
    <w:basedOn w:val="30"/>
    <w:link w:val="26"/>
    <w:qFormat/>
    <w:uiPriority w:val="10"/>
    <w:rPr>
      <w:rFonts w:ascii="Cambria" w:hAnsi="Cambria" w:eastAsia="宋体" w:cs="Times New Roman"/>
      <w:b/>
      <w:bCs/>
      <w:sz w:val="32"/>
      <w:szCs w:val="32"/>
    </w:rPr>
  </w:style>
  <w:style w:type="character" w:customStyle="1" w:styleId="63">
    <w:name w:val="正文文本缩进 Char1"/>
    <w:basedOn w:val="30"/>
    <w:semiHidden/>
    <w:qFormat/>
    <w:uiPriority w:val="99"/>
    <w:rPr>
      <w:rFonts w:ascii="Times New Roman" w:hAnsi="Times New Roman" w:eastAsia="宋体" w:cs="Times New Roman"/>
      <w:sz w:val="28"/>
      <w:szCs w:val="20"/>
    </w:rPr>
  </w:style>
  <w:style w:type="character" w:customStyle="1" w:styleId="64">
    <w:name w:val="纯文本 Char"/>
    <w:basedOn w:val="30"/>
    <w:semiHidden/>
    <w:qFormat/>
    <w:uiPriority w:val="99"/>
    <w:rPr>
      <w:rFonts w:ascii="宋体" w:hAnsi="Courier New" w:eastAsia="宋体" w:cs="Courier New"/>
      <w:szCs w:val="21"/>
    </w:rPr>
  </w:style>
  <w:style w:type="character" w:customStyle="1" w:styleId="65">
    <w:name w:val="列出段落 Char"/>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9">
    <w:name w:val="_Style 13"/>
    <w:basedOn w:val="1"/>
    <w:next w:val="33"/>
    <w:qFormat/>
    <w:uiPriority w:val="99"/>
    <w:pPr>
      <w:ind w:firstLine="420" w:firstLineChars="200"/>
    </w:pPr>
  </w:style>
  <w:style w:type="paragraph" w:customStyle="1" w:styleId="70">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51</Pages>
  <Words>20717</Words>
  <Characters>21384</Characters>
  <Lines>158</Lines>
  <Paragraphs>44</Paragraphs>
  <TotalTime>2</TotalTime>
  <ScaleCrop>false</ScaleCrop>
  <LinksUpToDate>false</LinksUpToDate>
  <CharactersWithSpaces>24286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2023-07-18T07:59:39Z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